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61152" w:rsidR="004B1FC3" w:rsidP="006502D0" w:rsidRDefault="004B1FC3">
      <w:pPr>
        <w:jc w:val="center"/>
        <w:rPr>
          <w:snapToGrid w:val="0"/>
          <w:szCs w:val="24"/>
          <w:lang w:eastAsia="en-US"/>
        </w:rPr>
      </w:pPr>
      <w:bookmarkStart w:name="_GoBack" w:id="0"/>
      <w:bookmarkEnd w:id="0"/>
    </w:p>
    <w:p w:rsidRPr="00431462" w:rsidR="00260DD7" w:rsidP="006502D0" w:rsidRDefault="00260DD7">
      <w:pPr>
        <w:jc w:val="center"/>
      </w:pPr>
    </w:p>
    <w:p w:rsidRPr="00431462" w:rsidR="00260DD7" w:rsidP="006502D0" w:rsidRDefault="00431462">
      <w:pPr>
        <w:jc w:val="center"/>
        <w:outlineLvl w:val="0"/>
      </w:pPr>
      <w:r w:rsidRPr="00431462">
        <w:t>FIRST SECTION</w:t>
      </w:r>
    </w:p>
    <w:p w:rsidR="004B1FC3" w:rsidP="006502D0" w:rsidRDefault="004B1FC3">
      <w:pPr>
        <w:jc w:val="center"/>
      </w:pPr>
    </w:p>
    <w:p w:rsidR="004B1FC3" w:rsidP="006502D0" w:rsidRDefault="004B1FC3">
      <w:pPr>
        <w:jc w:val="center"/>
      </w:pPr>
    </w:p>
    <w:p w:rsidR="004B1FC3" w:rsidP="006502D0" w:rsidRDefault="004B1FC3">
      <w:pPr>
        <w:jc w:val="center"/>
      </w:pPr>
    </w:p>
    <w:p w:rsidR="00E537D9" w:rsidP="006502D0" w:rsidRDefault="00E537D9">
      <w:pPr>
        <w:jc w:val="center"/>
      </w:pPr>
    </w:p>
    <w:p w:rsidRPr="00431462" w:rsidR="00260DD7" w:rsidP="006502D0" w:rsidRDefault="00260DD7">
      <w:pPr>
        <w:jc w:val="center"/>
      </w:pPr>
    </w:p>
    <w:p w:rsidR="0004282E" w:rsidP="006502D0" w:rsidRDefault="00260DD7">
      <w:pPr>
        <w:jc w:val="center"/>
        <w:rPr>
          <w:b/>
        </w:rPr>
      </w:pPr>
      <w:bookmarkStart w:name="To" w:id="1"/>
      <w:r w:rsidRPr="00431462">
        <w:rPr>
          <w:b/>
        </w:rPr>
        <w:t xml:space="preserve">CASE OF </w:t>
      </w:r>
      <w:bookmarkEnd w:id="1"/>
      <w:r w:rsidRPr="00431462" w:rsidR="00431462">
        <w:rPr>
          <w:b/>
        </w:rPr>
        <w:t>TEBIETI MÜHAFIZE CEMIYYETI AND ISRAFILOV</w:t>
      </w:r>
    </w:p>
    <w:p w:rsidRPr="00431462" w:rsidR="00260DD7" w:rsidP="006502D0" w:rsidRDefault="00431462">
      <w:pPr>
        <w:jc w:val="center"/>
        <w:rPr>
          <w:b/>
        </w:rPr>
      </w:pPr>
      <w:r w:rsidRPr="00431462">
        <w:rPr>
          <w:b/>
        </w:rPr>
        <w:t xml:space="preserve">v. </w:t>
      </w:r>
      <w:smartTag w:uri="urn:schemas-microsoft-com:office:smarttags" w:element="place">
        <w:smartTag w:uri="urn:schemas-microsoft-com:office:smarttags" w:element="country-region">
          <w:r w:rsidRPr="00431462">
            <w:rPr>
              <w:b/>
            </w:rPr>
            <w:t>AZERBAIJAN</w:t>
          </w:r>
        </w:smartTag>
      </w:smartTag>
    </w:p>
    <w:p w:rsidRPr="00431462" w:rsidR="00260DD7" w:rsidP="006502D0" w:rsidRDefault="00260DD7">
      <w:pPr>
        <w:jc w:val="center"/>
      </w:pPr>
    </w:p>
    <w:p w:rsidRPr="00431462" w:rsidR="00260DD7" w:rsidP="006502D0" w:rsidRDefault="00260DD7">
      <w:pPr>
        <w:jc w:val="center"/>
        <w:rPr>
          <w:i/>
        </w:rPr>
      </w:pPr>
      <w:r w:rsidRPr="00431462">
        <w:rPr>
          <w:i/>
        </w:rPr>
        <w:t>(</w:t>
      </w:r>
      <w:r w:rsidRPr="00431462" w:rsidR="00431462">
        <w:rPr>
          <w:i/>
        </w:rPr>
        <w:t>Application no. 37083/03</w:t>
      </w:r>
      <w:r w:rsidRPr="00431462">
        <w:rPr>
          <w:i/>
        </w:rPr>
        <w:t>)</w:t>
      </w:r>
    </w:p>
    <w:p w:rsidR="004B1FC3" w:rsidP="006502D0" w:rsidRDefault="004B1FC3">
      <w:pPr>
        <w:jc w:val="center"/>
      </w:pPr>
    </w:p>
    <w:p w:rsidR="004B1FC3" w:rsidP="006502D0" w:rsidRDefault="004B1FC3">
      <w:pPr>
        <w:jc w:val="center"/>
      </w:pPr>
    </w:p>
    <w:p w:rsidR="00E537D9" w:rsidP="006502D0" w:rsidRDefault="00E537D9">
      <w:pPr>
        <w:jc w:val="center"/>
      </w:pPr>
    </w:p>
    <w:p w:rsidR="00E537D9" w:rsidP="006502D0" w:rsidRDefault="00E537D9">
      <w:pPr>
        <w:jc w:val="center"/>
      </w:pPr>
    </w:p>
    <w:p w:rsidR="000D7A2F" w:rsidP="006502D0" w:rsidRDefault="000D7A2F">
      <w:pPr>
        <w:jc w:val="center"/>
      </w:pPr>
    </w:p>
    <w:p w:rsidR="004B1FC3" w:rsidP="006502D0" w:rsidRDefault="004B1FC3">
      <w:pPr>
        <w:jc w:val="center"/>
      </w:pPr>
    </w:p>
    <w:p w:rsidR="004B1FC3" w:rsidP="006502D0" w:rsidRDefault="004B1FC3">
      <w:pPr>
        <w:jc w:val="center"/>
      </w:pPr>
    </w:p>
    <w:p w:rsidR="004B1FC3" w:rsidP="006502D0" w:rsidRDefault="004B1FC3">
      <w:pPr>
        <w:jc w:val="center"/>
      </w:pPr>
      <w:r>
        <w:t>JUDGMENT</w:t>
      </w:r>
    </w:p>
    <w:p w:rsidR="004B1FC3" w:rsidP="006502D0" w:rsidRDefault="004B1FC3">
      <w:pPr>
        <w:jc w:val="center"/>
      </w:pPr>
    </w:p>
    <w:p w:rsidR="004B1FC3" w:rsidP="006502D0" w:rsidRDefault="004B1FC3">
      <w:pPr>
        <w:jc w:val="center"/>
      </w:pPr>
    </w:p>
    <w:p w:rsidR="004B1FC3" w:rsidP="006502D0" w:rsidRDefault="004B1FC3">
      <w:pPr>
        <w:jc w:val="center"/>
      </w:pPr>
      <w:smartTag w:uri="urn:schemas-microsoft-com:office:smarttags" w:element="place">
        <w:smartTag w:uri="urn:schemas-microsoft-com:office:smarttags" w:element="City">
          <w:r>
            <w:t>STRASBOURG</w:t>
          </w:r>
        </w:smartTag>
      </w:smartTag>
    </w:p>
    <w:p w:rsidR="004B1FC3" w:rsidP="006502D0" w:rsidRDefault="004B1FC3">
      <w:pPr>
        <w:jc w:val="center"/>
      </w:pPr>
    </w:p>
    <w:p w:rsidR="004B1FC3" w:rsidP="006502D0" w:rsidRDefault="00DD2D24">
      <w:pPr>
        <w:jc w:val="center"/>
      </w:pPr>
      <w:r>
        <w:t>8 October 2009</w:t>
      </w:r>
    </w:p>
    <w:p w:rsidR="000D7A2F" w:rsidP="006502D0" w:rsidRDefault="000D7A2F">
      <w:pPr>
        <w:jc w:val="center"/>
      </w:pPr>
    </w:p>
    <w:p w:rsidR="000D7A2F" w:rsidP="006502D0" w:rsidRDefault="000D7A2F">
      <w:pPr>
        <w:jc w:val="center"/>
      </w:pPr>
    </w:p>
    <w:p w:rsidR="000D7A2F" w:rsidP="000D7A2F" w:rsidRDefault="000D7A2F">
      <w:pPr>
        <w:jc w:val="center"/>
        <w:rPr>
          <w:b/>
          <w:color w:val="FF0000"/>
          <w:szCs w:val="24"/>
          <w:u w:val="single"/>
        </w:rPr>
      </w:pPr>
      <w:r w:rsidRPr="008F13C5">
        <w:rPr>
          <w:b/>
          <w:color w:val="FF0000"/>
          <w:szCs w:val="24"/>
          <w:u w:val="single"/>
        </w:rPr>
        <w:t>FINAL</w:t>
      </w:r>
    </w:p>
    <w:p w:rsidRPr="008F13C5" w:rsidR="000D7A2F" w:rsidP="000D7A2F" w:rsidRDefault="000D7A2F">
      <w:pPr>
        <w:jc w:val="center"/>
        <w:rPr>
          <w:b/>
          <w:color w:val="FF0000"/>
          <w:szCs w:val="24"/>
          <w:u w:val="single"/>
        </w:rPr>
      </w:pPr>
    </w:p>
    <w:p w:rsidR="000D7A2F" w:rsidP="000D7A2F" w:rsidRDefault="000D7A2F">
      <w:pPr>
        <w:jc w:val="center"/>
        <w:rPr>
          <w:i/>
          <w:color w:val="FF0000"/>
          <w:szCs w:val="24"/>
        </w:rPr>
      </w:pPr>
      <w:r>
        <w:rPr>
          <w:i/>
          <w:color w:val="FF0000"/>
          <w:szCs w:val="24"/>
        </w:rPr>
        <w:t>10/05/2010</w:t>
      </w:r>
    </w:p>
    <w:p w:rsidR="000D7A2F" w:rsidP="000D7A2F" w:rsidRDefault="000D7A2F">
      <w:pPr>
        <w:jc w:val="center"/>
        <w:rPr>
          <w:i/>
          <w:color w:val="FF0000"/>
          <w:szCs w:val="24"/>
        </w:rPr>
      </w:pPr>
    </w:p>
    <w:p w:rsidR="006502D0" w:rsidP="000D7A2F" w:rsidRDefault="000D7A2F">
      <w:pPr>
        <w:jc w:val="center"/>
      </w:pPr>
      <w:r w:rsidRPr="006540F9">
        <w:rPr>
          <w:i/>
          <w:color w:val="000000"/>
          <w:szCs w:val="24"/>
        </w:rPr>
        <w:t xml:space="preserve">This judgment </w:t>
      </w:r>
      <w:r>
        <w:rPr>
          <w:i/>
          <w:color w:val="000000"/>
          <w:szCs w:val="24"/>
        </w:rPr>
        <w:t>has become</w:t>
      </w:r>
      <w:r w:rsidRPr="006540F9">
        <w:rPr>
          <w:i/>
          <w:color w:val="000000"/>
          <w:szCs w:val="24"/>
        </w:rPr>
        <w:t xml:space="preserve"> final </w:t>
      </w:r>
      <w:r>
        <w:rPr>
          <w:i/>
          <w:color w:val="000000"/>
          <w:szCs w:val="24"/>
        </w:rPr>
        <w:t>under</w:t>
      </w:r>
      <w:r w:rsidRPr="006540F9">
        <w:rPr>
          <w:i/>
          <w:color w:val="000000"/>
          <w:szCs w:val="24"/>
        </w:rPr>
        <w:t xml:space="preserve"> Article 44 § 2 of the Convention.</w:t>
      </w:r>
    </w:p>
    <w:p w:rsidRPr="00530291" w:rsidR="008920C5" w:rsidP="00EC2892" w:rsidRDefault="008920C5">
      <w:pPr>
        <w:jc w:val="center"/>
        <w:rPr>
          <w:szCs w:val="24"/>
        </w:rPr>
      </w:pPr>
    </w:p>
    <w:p w:rsidR="004B1FC3" w:rsidP="00B47052" w:rsidRDefault="004B1FC3">
      <w:pPr>
        <w:pStyle w:val="JuCase"/>
        <w:sectPr w:rsidR="004B1FC3" w:rsidSect="004B1FC3">
          <w:headerReference w:type="default" r:id="rId8"/>
          <w:footnotePr>
            <w:numRestart w:val="eachPage"/>
          </w:footnotePr>
          <w:pgSz w:w="11906" w:h="16838" w:code="9"/>
          <w:pgMar w:top="2274" w:right="2274" w:bottom="2274" w:left="2274" w:header="1701" w:footer="720" w:gutter="0"/>
          <w:pgNumType w:start="1"/>
          <w:cols w:space="720"/>
          <w:docGrid w:linePitch="78"/>
        </w:sectPr>
      </w:pPr>
    </w:p>
    <w:p w:rsidRPr="00431462" w:rsidR="00260DD7" w:rsidP="00B47052" w:rsidRDefault="00260DD7">
      <w:pPr>
        <w:pStyle w:val="JuCase"/>
      </w:pPr>
      <w:r w:rsidRPr="00431462">
        <w:t xml:space="preserve">In the case of </w:t>
      </w:r>
      <w:r w:rsidRPr="00431462" w:rsidR="00431462">
        <w:rPr>
          <w:rStyle w:val="JuCaseChar"/>
        </w:rPr>
        <w:t>Tebieti Mühafize Cemiyyeti and Israfilov v.</w:t>
      </w:r>
      <w:r w:rsidR="007E6A82">
        <w:rPr>
          <w:rStyle w:val="JuCaseChar"/>
        </w:rPr>
        <w:t> </w:t>
      </w:r>
      <w:smartTag w:uri="urn:schemas-microsoft-com:office:smarttags" w:element="place">
        <w:smartTag w:uri="urn:schemas-microsoft-com:office:smarttags" w:element="country-region">
          <w:r w:rsidR="00431462" w:rsidRPr="00431462">
            <w:rPr>
              <w:rStyle w:val="JuCaseChar"/>
            </w:rPr>
            <w:t>Azerbaijan</w:t>
          </w:r>
        </w:smartTag>
      </w:smartTag>
      <w:r w:rsidRPr="00431462">
        <w:t>,</w:t>
      </w:r>
    </w:p>
    <w:p w:rsidRPr="00431462" w:rsidR="002D0345" w:rsidP="002D0345" w:rsidRDefault="00260DD7">
      <w:pPr>
        <w:pStyle w:val="JuPara"/>
      </w:pPr>
      <w:r w:rsidRPr="00431462">
        <w:t>The European Court of Human Rights</w:t>
      </w:r>
      <w:r w:rsidRPr="00431462" w:rsidR="00431462">
        <w:t xml:space="preserve"> (First Section)</w:t>
      </w:r>
      <w:r w:rsidRPr="00431462">
        <w:t xml:space="preserve">, sitting as a </w:t>
      </w:r>
      <w:r w:rsidRPr="00431462" w:rsidR="00431462">
        <w:t>Chamber</w:t>
      </w:r>
      <w:r w:rsidRPr="00431462" w:rsidR="002D0345">
        <w:t xml:space="preserve"> composed of:</w:t>
      </w:r>
    </w:p>
    <w:p w:rsidRPr="00431462" w:rsidR="00260DD7" w:rsidP="002D0345" w:rsidRDefault="00530291">
      <w:pPr>
        <w:pStyle w:val="JuJudges"/>
      </w:pPr>
      <w:r w:rsidRPr="00530291">
        <w:tab/>
        <w:t>Nina</w:t>
      </w:r>
      <w:r>
        <w:t xml:space="preserve"> </w:t>
      </w:r>
      <w:r w:rsidRPr="00530291">
        <w:t>Vajić</w:t>
      </w:r>
      <w:r>
        <w:t>,</w:t>
      </w:r>
      <w:r w:rsidRPr="00530291">
        <w:rPr>
          <w:i/>
        </w:rPr>
        <w:t xml:space="preserve"> President</w:t>
      </w:r>
      <w:r w:rsidRPr="00EC2892">
        <w:t>,</w:t>
      </w:r>
      <w:r>
        <w:rPr>
          <w:i/>
        </w:rPr>
        <w:br/>
      </w:r>
      <w:r w:rsidRPr="00530291">
        <w:tab/>
        <w:t>Anatoly</w:t>
      </w:r>
      <w:r>
        <w:t xml:space="preserve"> </w:t>
      </w:r>
      <w:r w:rsidRPr="00530291">
        <w:t>Kovler</w:t>
      </w:r>
      <w:r>
        <w:t>,</w:t>
      </w:r>
      <w:r>
        <w:rPr>
          <w:i/>
        </w:rPr>
        <w:br/>
      </w:r>
      <w:r w:rsidRPr="00530291">
        <w:tab/>
        <w:t>Elisabeth</w:t>
      </w:r>
      <w:r>
        <w:t xml:space="preserve"> </w:t>
      </w:r>
      <w:r w:rsidRPr="00530291">
        <w:t>Steiner</w:t>
      </w:r>
      <w:r>
        <w:t>,</w:t>
      </w:r>
      <w:r>
        <w:rPr>
          <w:i/>
        </w:rPr>
        <w:br/>
      </w:r>
      <w:r w:rsidRPr="00530291">
        <w:tab/>
        <w:t>Khanlar</w:t>
      </w:r>
      <w:r>
        <w:t xml:space="preserve"> </w:t>
      </w:r>
      <w:r w:rsidRPr="00530291">
        <w:t>Hajiyev</w:t>
      </w:r>
      <w:r>
        <w:t>,</w:t>
      </w:r>
      <w:r>
        <w:rPr>
          <w:i/>
        </w:rPr>
        <w:br/>
      </w:r>
      <w:r w:rsidRPr="00530291">
        <w:tab/>
        <w:t>Dean</w:t>
      </w:r>
      <w:r>
        <w:t xml:space="preserve"> </w:t>
      </w:r>
      <w:r w:rsidRPr="00530291">
        <w:t>Spielmann</w:t>
      </w:r>
      <w:r>
        <w:t>,</w:t>
      </w:r>
      <w:r>
        <w:rPr>
          <w:i/>
        </w:rPr>
        <w:br/>
      </w:r>
      <w:r w:rsidRPr="00530291">
        <w:tab/>
        <w:t>Sverre Erik</w:t>
      </w:r>
      <w:r>
        <w:t xml:space="preserve"> </w:t>
      </w:r>
      <w:r w:rsidRPr="00530291">
        <w:t>Jebens</w:t>
      </w:r>
      <w:r>
        <w:t>,</w:t>
      </w:r>
      <w:r>
        <w:rPr>
          <w:i/>
        </w:rPr>
        <w:br/>
      </w:r>
      <w:r w:rsidRPr="00530291">
        <w:tab/>
        <w:t>Giorgio</w:t>
      </w:r>
      <w:r>
        <w:t xml:space="preserve"> </w:t>
      </w:r>
      <w:r w:rsidRPr="00530291">
        <w:t>Malinverni</w:t>
      </w:r>
      <w:r>
        <w:t>,</w:t>
      </w:r>
      <w:r w:rsidRPr="00530291">
        <w:rPr>
          <w:i/>
        </w:rPr>
        <w:t xml:space="preserve"> judges</w:t>
      </w:r>
      <w:r w:rsidRPr="00EC2892">
        <w:t>,</w:t>
      </w:r>
      <w:r w:rsidRPr="007178D7" w:rsidR="002D0345">
        <w:br/>
      </w:r>
      <w:r w:rsidRPr="00431462" w:rsidR="00260DD7">
        <w:t>and</w:t>
      </w:r>
      <w:r>
        <w:t xml:space="preserve"> </w:t>
      </w:r>
      <w:r w:rsidRPr="00DC75DE">
        <w:t>André Wampach</w:t>
      </w:r>
      <w:r w:rsidRPr="00431462" w:rsidR="00FA0C4E">
        <w:rPr>
          <w:rStyle w:val="JuSignedChar"/>
        </w:rPr>
        <w:t xml:space="preserve">, </w:t>
      </w:r>
      <w:r w:rsidRPr="00530291">
        <w:rPr>
          <w:i/>
        </w:rPr>
        <w:t xml:space="preserve">Deputy </w:t>
      </w:r>
      <w:r w:rsidR="00A96861">
        <w:rPr>
          <w:i/>
        </w:rPr>
        <w:t xml:space="preserve">Section </w:t>
      </w:r>
      <w:r w:rsidRPr="00431462" w:rsidR="00431462">
        <w:rPr>
          <w:i/>
        </w:rPr>
        <w:t>Registrar</w:t>
      </w:r>
      <w:r w:rsidRPr="00431462" w:rsidR="00260DD7">
        <w:t>,</w:t>
      </w:r>
    </w:p>
    <w:p w:rsidRPr="00431462" w:rsidR="00260DD7" w:rsidRDefault="00260DD7">
      <w:pPr>
        <w:pStyle w:val="JuPara"/>
      </w:pPr>
      <w:r w:rsidRPr="00431462">
        <w:t>Having deliberated in private on</w:t>
      </w:r>
      <w:r w:rsidR="00DD2D24">
        <w:t xml:space="preserve"> 17 September 2009</w:t>
      </w:r>
      <w:r w:rsidRPr="00431462">
        <w:t>,</w:t>
      </w:r>
    </w:p>
    <w:p w:rsidRPr="00431462" w:rsidR="00260DD7" w:rsidRDefault="00260DD7">
      <w:pPr>
        <w:pStyle w:val="JuPara"/>
      </w:pPr>
      <w:r w:rsidRPr="00431462">
        <w:t>Delivers the following judgment, which was adopted on that date:</w:t>
      </w:r>
    </w:p>
    <w:p w:rsidRPr="00431462" w:rsidR="00260DD7" w:rsidP="00AF60D4" w:rsidRDefault="00260DD7">
      <w:pPr>
        <w:pStyle w:val="JuHHead"/>
        <w:outlineLvl w:val="0"/>
      </w:pPr>
      <w:r w:rsidRPr="00431462">
        <w:t>PROCEDURE</w:t>
      </w:r>
    </w:p>
    <w:p w:rsidR="00636FD2" w:rsidP="00DC17B0" w:rsidRDefault="00431462">
      <w:pPr>
        <w:pStyle w:val="JuPara"/>
      </w:pPr>
      <w:r w:rsidRPr="00431462">
        <w:fldChar w:fldCharType="begin"/>
      </w:r>
      <w:r w:rsidRPr="00431462">
        <w:instrText xml:space="preserve"> SEQ level0 \*arabic </w:instrText>
      </w:r>
      <w:r w:rsidRPr="00431462">
        <w:fldChar w:fldCharType="separate"/>
      </w:r>
      <w:r w:rsidR="00DA3181">
        <w:rPr>
          <w:noProof/>
        </w:rPr>
        <w:t>1</w:t>
      </w:r>
      <w:r w:rsidRPr="00431462">
        <w:fldChar w:fldCharType="end"/>
      </w:r>
      <w:r w:rsidRPr="00431462" w:rsidR="00260DD7">
        <w:t xml:space="preserve">.  The case originated in </w:t>
      </w:r>
      <w:r w:rsidRPr="00431462">
        <w:t>an application (no. 37083/03)</w:t>
      </w:r>
      <w:r w:rsidRPr="00431462" w:rsidR="00260DD7">
        <w:t xml:space="preserve"> against </w:t>
      </w:r>
      <w:r w:rsidRPr="00431462">
        <w:t>the Republic of Azerbaijan</w:t>
      </w:r>
      <w:r w:rsidRPr="00431462" w:rsidR="00260DD7">
        <w:t xml:space="preserve"> lodged with the </w:t>
      </w:r>
      <w:r w:rsidRPr="00431462">
        <w:t>Court under Article 34</w:t>
      </w:r>
      <w:r w:rsidRPr="00431462" w:rsidR="00260DD7">
        <w:t xml:space="preserve"> of the Convention for the Protection of Human Rights and Fundamental Freedoms (“the Convention”) by </w:t>
      </w:r>
      <w:r w:rsidRPr="00431462" w:rsidR="00FC5FC9">
        <w:t>Tebieti M</w:t>
      </w:r>
      <w:r w:rsidR="00235419">
        <w:t>ü</w:t>
      </w:r>
      <w:r w:rsidRPr="00431462" w:rsidR="00FC5FC9">
        <w:t>hafize Cemiyyeti</w:t>
      </w:r>
      <w:r w:rsidR="006237AC">
        <w:t xml:space="preserve"> (</w:t>
      </w:r>
      <w:r w:rsidR="006237AC">
        <w:rPr>
          <w:i/>
          <w:lang w:val="az-Latn-AZ"/>
        </w:rPr>
        <w:t>Təbiəti Mühafizə Cəmiyyəti</w:t>
      </w:r>
      <w:r w:rsidRPr="00636FD2" w:rsidR="006237AC">
        <w:rPr>
          <w:lang w:val="az-Latn-AZ"/>
        </w:rPr>
        <w:t xml:space="preserve"> – </w:t>
      </w:r>
      <w:r w:rsidR="006237AC">
        <w:rPr>
          <w:lang w:val="az-Latn-AZ"/>
        </w:rPr>
        <w:t xml:space="preserve">“the </w:t>
      </w:r>
      <w:smartTag w:uri="urn:schemas-microsoft-com:office:smarttags" w:element="PersonName">
        <w:r w:rsidR="006237AC">
          <w:rPr>
            <w:lang w:val="az-Latn-AZ"/>
          </w:rPr>
          <w:t>Association</w:t>
        </w:r>
      </w:smartTag>
      <w:r w:rsidR="006237AC">
        <w:rPr>
          <w:lang w:val="az-Latn-AZ"/>
        </w:rPr>
        <w:t>”)</w:t>
      </w:r>
      <w:r w:rsidR="00FC5FC9">
        <w:t>, an association with its headquarters in Baku</w:t>
      </w:r>
      <w:r w:rsidR="006237AC">
        <w:t>,</w:t>
      </w:r>
      <w:r w:rsidRPr="00431462" w:rsidR="00FC5FC9">
        <w:t xml:space="preserve"> </w:t>
      </w:r>
      <w:r w:rsidR="00FC5FC9">
        <w:rPr>
          <w:lang w:val="az-Latn-AZ"/>
        </w:rPr>
        <w:t xml:space="preserve">and </w:t>
      </w:r>
      <w:r w:rsidRPr="00431462">
        <w:t xml:space="preserve">an Azerbaijani national, </w:t>
      </w:r>
      <w:r w:rsidR="00BE3CCD">
        <w:t xml:space="preserve">Mr Sabir Israfilov </w:t>
      </w:r>
      <w:r w:rsidR="002464E7">
        <w:t xml:space="preserve">(the </w:t>
      </w:r>
      <w:smartTag w:uri="urn:schemas-microsoft-com:office:smarttags" w:element="PersonName">
        <w:r w:rsidR="002464E7">
          <w:t>Association</w:t>
        </w:r>
      </w:smartTag>
      <w:r w:rsidR="002464E7">
        <w:t xml:space="preserve"> and Mr Israfilov together </w:t>
      </w:r>
      <w:r w:rsidR="00AE6368">
        <w:t xml:space="preserve">are </w:t>
      </w:r>
      <w:r w:rsidR="002464E7">
        <w:t>referred to as “the applicants”)</w:t>
      </w:r>
      <w:r w:rsidRPr="00431462">
        <w:t>, on 8 October 2003</w:t>
      </w:r>
      <w:r w:rsidR="002464E7">
        <w:t>.</w:t>
      </w:r>
    </w:p>
    <w:p w:rsidRPr="00431462" w:rsidR="00260DD7" w:rsidRDefault="00431462">
      <w:pPr>
        <w:pStyle w:val="JuPara"/>
      </w:pPr>
      <w:r w:rsidRPr="00431462">
        <w:fldChar w:fldCharType="begin"/>
      </w:r>
      <w:r w:rsidRPr="00431462">
        <w:instrText xml:space="preserve"> SEQ level0 \*arabic </w:instrText>
      </w:r>
      <w:r w:rsidRPr="00431462">
        <w:fldChar w:fldCharType="separate"/>
      </w:r>
      <w:r w:rsidR="00DA3181">
        <w:rPr>
          <w:noProof/>
        </w:rPr>
        <w:t>2</w:t>
      </w:r>
      <w:r w:rsidRPr="00431462">
        <w:fldChar w:fldCharType="end"/>
      </w:r>
      <w:r w:rsidRPr="00431462" w:rsidR="00260DD7">
        <w:t>.  </w:t>
      </w:r>
      <w:r w:rsidRPr="00431462">
        <w:t>The applicant</w:t>
      </w:r>
      <w:r w:rsidR="00FC5FC9">
        <w:t>s</w:t>
      </w:r>
      <w:r w:rsidRPr="00431462">
        <w:t xml:space="preserve">, </w:t>
      </w:r>
      <w:r w:rsidRPr="00B028DE">
        <w:t>who had been granted legal aid,</w:t>
      </w:r>
      <w:r w:rsidRPr="00431462">
        <w:t xml:space="preserve"> </w:t>
      </w:r>
      <w:r w:rsidR="00FC5FC9">
        <w:t>were</w:t>
      </w:r>
      <w:r w:rsidRPr="00431462">
        <w:t xml:space="preserve"> represented by Mr I. Aliyev, </w:t>
      </w:r>
      <w:r w:rsidR="000407A1">
        <w:t xml:space="preserve">a </w:t>
      </w:r>
      <w:r w:rsidRPr="00431462">
        <w:t xml:space="preserve">lawyer practising in </w:t>
      </w:r>
      <w:smartTag w:uri="urn:schemas-microsoft-com:office:smarttags" w:element="place">
        <w:smartTag w:uri="urn:schemas-microsoft-com:office:smarttags" w:element="City">
          <w:r w:rsidRPr="00431462">
            <w:t>Baku</w:t>
          </w:r>
        </w:smartTag>
      </w:smartTag>
      <w:r w:rsidRPr="00431462">
        <w:t xml:space="preserve">. </w:t>
      </w:r>
      <w:r w:rsidRPr="00431462" w:rsidR="00260DD7">
        <w:t xml:space="preserve">The </w:t>
      </w:r>
      <w:r w:rsidRPr="00431462">
        <w:t>Azerbaijani</w:t>
      </w:r>
      <w:r w:rsidRPr="00431462" w:rsidR="00260DD7">
        <w:t xml:space="preserve"> Government (“the Government”) were represented by their Agent, Mr </w:t>
      </w:r>
      <w:r w:rsidR="000407A1">
        <w:t>Ç.</w:t>
      </w:r>
      <w:r w:rsidR="00636FD2">
        <w:t xml:space="preserve"> </w:t>
      </w:r>
      <w:r w:rsidR="000407A1">
        <w:t>Asgarov</w:t>
      </w:r>
      <w:r w:rsidRPr="00431462" w:rsidR="00260DD7">
        <w:t>.</w:t>
      </w:r>
    </w:p>
    <w:p w:rsidR="0004282E" w:rsidRDefault="00431462">
      <w:pPr>
        <w:pStyle w:val="JuPara"/>
      </w:pPr>
      <w:r w:rsidRPr="00BE3CCD">
        <w:fldChar w:fldCharType="begin"/>
      </w:r>
      <w:r w:rsidRPr="00BE3CCD">
        <w:instrText xml:space="preserve"> SEQ level0 \*arabic </w:instrText>
      </w:r>
      <w:r w:rsidRPr="00BE3CCD">
        <w:fldChar w:fldCharType="separate"/>
      </w:r>
      <w:r w:rsidR="00DA3181">
        <w:rPr>
          <w:noProof/>
        </w:rPr>
        <w:t>3</w:t>
      </w:r>
      <w:r w:rsidRPr="00BE3CCD">
        <w:fldChar w:fldCharType="end"/>
      </w:r>
      <w:r w:rsidRPr="00BE3CCD" w:rsidR="00260DD7">
        <w:t xml:space="preserve">.  The </w:t>
      </w:r>
      <w:r w:rsidRPr="00BE3CCD">
        <w:t>applicant</w:t>
      </w:r>
      <w:r w:rsidRPr="00BE3CCD" w:rsidR="00FC5FC9">
        <w:t>s</w:t>
      </w:r>
      <w:r w:rsidRPr="00BE3CCD" w:rsidR="00BE3CCD">
        <w:t xml:space="preserve"> alleged</w:t>
      </w:r>
      <w:r w:rsidRPr="00BE3CCD" w:rsidR="00260DD7">
        <w:t xml:space="preserve">, in particular, </w:t>
      </w:r>
      <w:r w:rsidRPr="00BE3CCD" w:rsidR="00BE3CCD">
        <w:t>that the dissolution of the Association had infringed their right to freedom of association, guaranteed under Article 11 of the Convention</w:t>
      </w:r>
      <w:r w:rsidRPr="00BE3CCD" w:rsidR="00260DD7">
        <w:t>.</w:t>
      </w:r>
    </w:p>
    <w:p w:rsidRPr="00431462" w:rsidR="00260DD7" w:rsidRDefault="00431462">
      <w:pPr>
        <w:pStyle w:val="JuPara"/>
      </w:pPr>
      <w:r w:rsidRPr="00431462">
        <w:fldChar w:fldCharType="begin"/>
      </w:r>
      <w:r w:rsidRPr="00431462">
        <w:instrText xml:space="preserve"> SEQ level0 \*arabic </w:instrText>
      </w:r>
      <w:r w:rsidRPr="00431462">
        <w:fldChar w:fldCharType="separate"/>
      </w:r>
      <w:r w:rsidR="00DA3181">
        <w:rPr>
          <w:noProof/>
        </w:rPr>
        <w:t>4</w:t>
      </w:r>
      <w:r w:rsidRPr="00431462">
        <w:fldChar w:fldCharType="end"/>
      </w:r>
      <w:r w:rsidRPr="00431462">
        <w:t>.  By a decision of 8 November 2007</w:t>
      </w:r>
      <w:r w:rsidR="007178D7">
        <w:t>,</w:t>
      </w:r>
      <w:r w:rsidRPr="00431462">
        <w:t xml:space="preserve"> the Court declared the application admissible.</w:t>
      </w:r>
    </w:p>
    <w:p w:rsidRPr="00431462" w:rsidR="00260DD7" w:rsidRDefault="00431462">
      <w:pPr>
        <w:pStyle w:val="JuPara"/>
      </w:pPr>
      <w:r w:rsidRPr="00431462">
        <w:fldChar w:fldCharType="begin"/>
      </w:r>
      <w:r w:rsidRPr="00431462">
        <w:instrText xml:space="preserve"> SEQ level0 \*arabic </w:instrText>
      </w:r>
      <w:r w:rsidRPr="00431462">
        <w:fldChar w:fldCharType="separate"/>
      </w:r>
      <w:r w:rsidR="00DA3181">
        <w:rPr>
          <w:noProof/>
        </w:rPr>
        <w:t>5</w:t>
      </w:r>
      <w:r w:rsidRPr="00431462">
        <w:fldChar w:fldCharType="end"/>
      </w:r>
      <w:r w:rsidRPr="00431462" w:rsidR="00260DD7">
        <w:t xml:space="preserve">.  The </w:t>
      </w:r>
      <w:r w:rsidRPr="00431462">
        <w:t>applicant</w:t>
      </w:r>
      <w:r w:rsidR="006237AC">
        <w:t>s</w:t>
      </w:r>
      <w:r w:rsidRPr="00431462" w:rsidR="00260DD7">
        <w:t xml:space="preserve"> and the Government each filed observations on the merits (Rule 59 § 1</w:t>
      </w:r>
      <w:r w:rsidR="00AE6368">
        <w:t xml:space="preserve"> of the Rules of Court</w:t>
      </w:r>
      <w:r w:rsidRPr="00431462" w:rsidR="00260DD7">
        <w:t>).</w:t>
      </w:r>
    </w:p>
    <w:p w:rsidRPr="00431462" w:rsidR="00260DD7" w:rsidP="00AF60D4" w:rsidRDefault="00260DD7">
      <w:pPr>
        <w:pStyle w:val="JuHHead"/>
        <w:outlineLvl w:val="0"/>
      </w:pPr>
      <w:r w:rsidRPr="00431462">
        <w:t>THE FACTS</w:t>
      </w:r>
    </w:p>
    <w:p w:rsidRPr="00431462" w:rsidR="00260DD7" w:rsidP="00AF60D4" w:rsidRDefault="00260DD7">
      <w:pPr>
        <w:pStyle w:val="JuHIRoman"/>
        <w:outlineLvl w:val="0"/>
      </w:pPr>
      <w:r w:rsidRPr="00431462">
        <w:t>I.  THE CIRCUMSTANCES OF THE CASE</w:t>
      </w:r>
    </w:p>
    <w:p w:rsidR="00636FD2" w:rsidRDefault="00431462">
      <w:pPr>
        <w:pStyle w:val="JuPara"/>
      </w:pPr>
      <w:r w:rsidRPr="00431462">
        <w:fldChar w:fldCharType="begin"/>
      </w:r>
      <w:r w:rsidRPr="00431462">
        <w:instrText xml:space="preserve"> SEQ level0 \*arabic </w:instrText>
      </w:r>
      <w:r w:rsidRPr="00431462">
        <w:fldChar w:fldCharType="separate"/>
      </w:r>
      <w:r w:rsidR="00DA3181">
        <w:rPr>
          <w:noProof/>
        </w:rPr>
        <w:t>6</w:t>
      </w:r>
      <w:r w:rsidRPr="00431462">
        <w:fldChar w:fldCharType="end"/>
      </w:r>
      <w:r w:rsidRPr="00431462" w:rsidR="00260DD7">
        <w:t>.  </w:t>
      </w:r>
      <w:r w:rsidR="00FB6043">
        <w:t xml:space="preserve">The </w:t>
      </w:r>
      <w:smartTag w:uri="urn:schemas-microsoft-com:office:smarttags" w:element="PersonName">
        <w:r w:rsidR="00FC5FC9">
          <w:t>A</w:t>
        </w:r>
        <w:r w:rsidR="00FB6043">
          <w:t>ssociation</w:t>
        </w:r>
      </w:smartTag>
      <w:r w:rsidR="003D4783">
        <w:t xml:space="preserve"> </w:t>
      </w:r>
      <w:r w:rsidR="00BE3CCD">
        <w:t>is</w:t>
      </w:r>
      <w:r w:rsidR="003D4783">
        <w:t xml:space="preserve"> a non-profit</w:t>
      </w:r>
      <w:r w:rsidR="00FC5FC9">
        <w:t>-making</w:t>
      </w:r>
      <w:r w:rsidR="003D4783">
        <w:t xml:space="preserve"> non-governmental organisation</w:t>
      </w:r>
      <w:r w:rsidR="00D51F5F">
        <w:t xml:space="preserve"> (NGO)</w:t>
      </w:r>
      <w:r w:rsidR="00BE3CCD">
        <w:t>, now dissolved, which was active between 1995 and 2002.</w:t>
      </w:r>
      <w:r w:rsidRPr="00BE3CCD" w:rsidR="00BE3CCD">
        <w:t xml:space="preserve"> </w:t>
      </w:r>
      <w:r w:rsidR="00BE3CCD">
        <w:t>The application was lodged by its former Chairman</w:t>
      </w:r>
      <w:r w:rsidR="00B028DE">
        <w:t>,</w:t>
      </w:r>
      <w:r w:rsidR="00BE3CCD">
        <w:t xml:space="preserve"> Mr </w:t>
      </w:r>
      <w:r w:rsidR="00B028DE">
        <w:t xml:space="preserve">Sabir </w:t>
      </w:r>
      <w:r w:rsidR="00BE3CCD">
        <w:t>Israfilov,</w:t>
      </w:r>
      <w:r w:rsidRPr="00431462" w:rsidR="00BE3CCD">
        <w:t xml:space="preserve"> </w:t>
      </w:r>
      <w:r w:rsidR="00BE3CCD">
        <w:t xml:space="preserve">who </w:t>
      </w:r>
      <w:r w:rsidRPr="00431462" w:rsidR="00BE3CCD">
        <w:t xml:space="preserve">was born in 1948 and lives in </w:t>
      </w:r>
      <w:smartTag w:uri="urn:schemas-microsoft-com:office:smarttags" w:element="place">
        <w:smartTag w:uri="urn:schemas-microsoft-com:office:smarttags" w:element="City">
          <w:r w:rsidR="00BE3CCD" w:rsidRPr="00431462">
            <w:t>Baku</w:t>
          </w:r>
        </w:smartTag>
      </w:smartTag>
      <w:r w:rsidRPr="00431462" w:rsidR="00BE3CCD">
        <w:t>.</w:t>
      </w:r>
    </w:p>
    <w:p w:rsidR="00BC127E" w:rsidP="00AF60D4" w:rsidRDefault="00BC127E">
      <w:pPr>
        <w:pStyle w:val="JuHA"/>
        <w:outlineLvl w:val="0"/>
      </w:pPr>
      <w:r>
        <w:t>A.  The Association</w:t>
      </w:r>
      <w:r w:rsidR="000D7A2F">
        <w:t>’</w:t>
      </w:r>
      <w:r>
        <w:t>s objects and management structure</w:t>
      </w:r>
    </w:p>
    <w:p w:rsidR="0004282E" w:rsidRDefault="00BC127E">
      <w:pPr>
        <w:pStyle w:val="JuPara"/>
      </w:pPr>
      <w:r>
        <w:fldChar w:fldCharType="begin"/>
      </w:r>
      <w:r>
        <w:instrText xml:space="preserve"> SEQ level0 \*arabic </w:instrText>
      </w:r>
      <w:r>
        <w:fldChar w:fldCharType="separate"/>
      </w:r>
      <w:r w:rsidR="00DA3181">
        <w:rPr>
          <w:noProof/>
        </w:rPr>
        <w:t>7</w:t>
      </w:r>
      <w:r>
        <w:fldChar w:fldCharType="end"/>
      </w:r>
      <w:r>
        <w:t>.  </w:t>
      </w:r>
      <w:r w:rsidR="00BE3CCD">
        <w:t>The Association was registered by the Ministry of Justice on 25</w:t>
      </w:r>
      <w:r w:rsidR="007E6A82">
        <w:t> </w:t>
      </w:r>
      <w:r w:rsidR="00BE3CCD">
        <w:t xml:space="preserve">August 1995 and acquired </w:t>
      </w:r>
      <w:r w:rsidR="006237AC">
        <w:t>the</w:t>
      </w:r>
      <w:r w:rsidR="00BE3CCD">
        <w:t xml:space="preserve"> status of a legal entity.</w:t>
      </w:r>
    </w:p>
    <w:p w:rsidR="00636FD2" w:rsidRDefault="00BE3CCD">
      <w:pPr>
        <w:pStyle w:val="JuPara"/>
      </w:pPr>
      <w:r>
        <w:fldChar w:fldCharType="begin"/>
      </w:r>
      <w:r>
        <w:instrText xml:space="preserve"> SEQ level0 \*arabic </w:instrText>
      </w:r>
      <w:r>
        <w:fldChar w:fldCharType="separate"/>
      </w:r>
      <w:r w:rsidR="00DA3181">
        <w:rPr>
          <w:noProof/>
        </w:rPr>
        <w:t>8</w:t>
      </w:r>
      <w:r>
        <w:fldChar w:fldCharType="end"/>
      </w:r>
      <w:r>
        <w:t>.  </w:t>
      </w:r>
      <w:r w:rsidR="00FC5FC9">
        <w:t>Clause 1.1 of the Association</w:t>
      </w:r>
      <w:r w:rsidR="000D7A2F">
        <w:t>’</w:t>
      </w:r>
      <w:r w:rsidR="00FC5FC9">
        <w:t xml:space="preserve">s </w:t>
      </w:r>
      <w:r w:rsidR="006237AC">
        <w:t>C</w:t>
      </w:r>
      <w:r w:rsidR="00FC5FC9">
        <w:t>harter defined it as an independent, charitable public organisation with voluntary membership</w:t>
      </w:r>
      <w:r w:rsidR="002464E7">
        <w:t>,</w:t>
      </w:r>
      <w:r w:rsidR="00FC5FC9">
        <w:t xml:space="preserve"> conducting its activities w</w:t>
      </w:r>
      <w:r w:rsidR="002464E7">
        <w:t>ithin the framework of the laws</w:t>
      </w:r>
      <w:r w:rsidR="00FC5FC9">
        <w:t xml:space="preserve"> of the Republic of Azerbaijan on public associations, other </w:t>
      </w:r>
      <w:r w:rsidR="002464E7">
        <w:t>applicable law</w:t>
      </w:r>
      <w:r w:rsidR="006237AC">
        <w:t>s</w:t>
      </w:r>
      <w:r w:rsidR="00FC5FC9">
        <w:t xml:space="preserve"> and its own </w:t>
      </w:r>
      <w:r w:rsidR="00731231">
        <w:t>C</w:t>
      </w:r>
      <w:r w:rsidR="00FC5FC9">
        <w:t>harter.</w:t>
      </w:r>
    </w:p>
    <w:p w:rsidR="00636FD2" w:rsidP="00FB6043" w:rsidRDefault="00431462">
      <w:pPr>
        <w:pStyle w:val="JuPara"/>
      </w:pPr>
      <w:r w:rsidRPr="00431462">
        <w:fldChar w:fldCharType="begin"/>
      </w:r>
      <w:r w:rsidRPr="00431462">
        <w:instrText xml:space="preserve"> SEQ level0 \*arabic </w:instrText>
      </w:r>
      <w:r w:rsidRPr="00431462">
        <w:fldChar w:fldCharType="separate"/>
      </w:r>
      <w:r w:rsidR="00DA3181">
        <w:rPr>
          <w:noProof/>
        </w:rPr>
        <w:t>9</w:t>
      </w:r>
      <w:r w:rsidRPr="00431462">
        <w:fldChar w:fldCharType="end"/>
      </w:r>
      <w:r w:rsidRPr="00431462" w:rsidR="00260DD7">
        <w:t>.  </w:t>
      </w:r>
      <w:r w:rsidR="003D4783">
        <w:t xml:space="preserve">According to </w:t>
      </w:r>
      <w:r w:rsidR="00665AF2">
        <w:t xml:space="preserve">clause 1.2 of </w:t>
      </w:r>
      <w:r w:rsidR="002464E7">
        <w:t>the</w:t>
      </w:r>
      <w:r w:rsidR="00665AF2">
        <w:t xml:space="preserve"> </w:t>
      </w:r>
      <w:r w:rsidR="006237AC">
        <w:t>C</w:t>
      </w:r>
      <w:r w:rsidR="00665AF2">
        <w:t xml:space="preserve">harter, the main objects of the </w:t>
      </w:r>
      <w:smartTag w:uri="urn:schemas-microsoft-com:office:smarttags" w:element="PersonName">
        <w:r w:rsidR="002464E7">
          <w:t>A</w:t>
        </w:r>
        <w:r w:rsidR="00665AF2">
          <w:t>ssociation</w:t>
        </w:r>
      </w:smartTag>
      <w:r w:rsidR="00665AF2">
        <w:t xml:space="preserve"> were</w:t>
      </w:r>
      <w:r w:rsidR="002464E7">
        <w:t>:</w:t>
      </w:r>
    </w:p>
    <w:p w:rsidR="00636FD2" w:rsidP="002464E7" w:rsidRDefault="00665AF2">
      <w:pPr>
        <w:pStyle w:val="JuQuot"/>
      </w:pPr>
      <w:r>
        <w:t>“</w:t>
      </w:r>
      <w:r w:rsidR="00636FD2">
        <w:t xml:space="preserve">... </w:t>
      </w:r>
      <w:r w:rsidR="002464E7">
        <w:t xml:space="preserve">in the circumstances of the present-day environmental crisis, </w:t>
      </w:r>
      <w:r w:rsidR="004A7FF8">
        <w:t xml:space="preserve">to </w:t>
      </w:r>
      <w:r>
        <w:t xml:space="preserve">develop </w:t>
      </w:r>
      <w:r w:rsidR="004A7FF8">
        <w:t>the</w:t>
      </w:r>
      <w:r>
        <w:t xml:space="preserve"> environmental culture and </w:t>
      </w:r>
      <w:r w:rsidR="004A7FF8">
        <w:t>awareness</w:t>
      </w:r>
      <w:r>
        <w:t xml:space="preserve"> </w:t>
      </w:r>
      <w:r w:rsidR="004A7FF8">
        <w:t>of the various strata of the country</w:t>
      </w:r>
      <w:r w:rsidR="000D7A2F">
        <w:t>’</w:t>
      </w:r>
      <w:r w:rsidR="004A7FF8">
        <w:t xml:space="preserve">s population, to organise a public movement for </w:t>
      </w:r>
      <w:r w:rsidR="006237AC">
        <w:t xml:space="preserve">a </w:t>
      </w:r>
      <w:r w:rsidR="004A7FF8">
        <w:t xml:space="preserve">clean environment in Azerbaijan, to give impetus to </w:t>
      </w:r>
      <w:r w:rsidR="00A84F9F">
        <w:t xml:space="preserve">the process of </w:t>
      </w:r>
      <w:r w:rsidR="004A7FF8">
        <w:t xml:space="preserve">effective resolution of </w:t>
      </w:r>
      <w:r w:rsidR="00A84F9F">
        <w:t>environmental protection problems</w:t>
      </w:r>
      <w:r w:rsidR="004A7FF8">
        <w:t>, and to</w:t>
      </w:r>
      <w:r w:rsidR="006237AC">
        <w:t xml:space="preserve"> strive permanently to promote the</w:t>
      </w:r>
      <w:r w:rsidR="00A84F9F">
        <w:t xml:space="preserve"> measures</w:t>
      </w:r>
      <w:r w:rsidR="006237AC">
        <w:t xml:space="preserve"> necessary to</w:t>
      </w:r>
      <w:r w:rsidR="00A84F9F">
        <w:t xml:space="preserve"> creat</w:t>
      </w:r>
      <w:r w:rsidR="006237AC">
        <w:t>e a</w:t>
      </w:r>
      <w:r w:rsidR="00636FD2">
        <w:t xml:space="preserve"> healthier environment.”</w:t>
      </w:r>
    </w:p>
    <w:p w:rsidR="00636FD2" w:rsidP="00FB6043" w:rsidRDefault="00114EFB">
      <w:pPr>
        <w:pStyle w:val="JuPara"/>
      </w:pPr>
      <w:r>
        <w:fldChar w:fldCharType="begin"/>
      </w:r>
      <w:r>
        <w:instrText xml:space="preserve"> SEQ level0 \*arabic </w:instrText>
      </w:r>
      <w:r>
        <w:fldChar w:fldCharType="separate"/>
      </w:r>
      <w:r w:rsidR="00DA3181">
        <w:rPr>
          <w:noProof/>
        </w:rPr>
        <w:t>10</w:t>
      </w:r>
      <w:r>
        <w:fldChar w:fldCharType="end"/>
      </w:r>
      <w:r>
        <w:t>.  </w:t>
      </w:r>
      <w:r w:rsidR="00332977">
        <w:t xml:space="preserve">According to the </w:t>
      </w:r>
      <w:r w:rsidR="001A4F64">
        <w:t>C</w:t>
      </w:r>
      <w:r w:rsidR="00332977">
        <w:t>harter, t</w:t>
      </w:r>
      <w:r>
        <w:t>he Association</w:t>
      </w:r>
      <w:r w:rsidR="000D7A2F">
        <w:t>’</w:t>
      </w:r>
      <w:r>
        <w:t>s governing bodies consisted of the Congress (the general assembly of members), the Central Council (the management board elected by the general assembly for a five</w:t>
      </w:r>
      <w:r w:rsidR="00745A7F">
        <w:noBreakHyphen/>
      </w:r>
      <w:r>
        <w:t>year term)</w:t>
      </w:r>
      <w:r w:rsidR="00F24C6E">
        <w:t>,</w:t>
      </w:r>
      <w:r>
        <w:t xml:space="preserve"> the Central </w:t>
      </w:r>
      <w:r w:rsidR="00F24C6E">
        <w:t xml:space="preserve">Supervisory Commission (a body of internal control elected by the general assembly for a five-year term), and various local bodies. Clause 4.8 of the </w:t>
      </w:r>
      <w:r w:rsidR="001A4F64">
        <w:t>C</w:t>
      </w:r>
      <w:r w:rsidR="00F24C6E">
        <w:t>harter provided that the Congress, as the general assembly of members, was the Association</w:t>
      </w:r>
      <w:r w:rsidR="000D7A2F">
        <w:t>’</w:t>
      </w:r>
      <w:r w:rsidR="00F24C6E">
        <w:t>s supreme governing body</w:t>
      </w:r>
      <w:r w:rsidR="001A4F64">
        <w:t xml:space="preserve"> and would</w:t>
      </w:r>
      <w:r w:rsidR="00F24C6E">
        <w:t xml:space="preserve"> convene once every five years.</w:t>
      </w:r>
    </w:p>
    <w:p w:rsidR="003D4783" w:rsidP="00FB6043" w:rsidRDefault="003D4783">
      <w:pPr>
        <w:pStyle w:val="JuPara"/>
      </w:pPr>
      <w:r>
        <w:fldChar w:fldCharType="begin"/>
      </w:r>
      <w:r>
        <w:instrText xml:space="preserve"> SEQ level0 \*arabic </w:instrText>
      </w:r>
      <w:r>
        <w:fldChar w:fldCharType="separate"/>
      </w:r>
      <w:r w:rsidR="00DA3181">
        <w:rPr>
          <w:noProof/>
        </w:rPr>
        <w:t>11</w:t>
      </w:r>
      <w:r>
        <w:fldChar w:fldCharType="end"/>
      </w:r>
      <w:r>
        <w:t xml:space="preserve">.  Since the </w:t>
      </w:r>
      <w:r w:rsidR="001A4F64">
        <w:t xml:space="preserve">date </w:t>
      </w:r>
      <w:r>
        <w:t xml:space="preserve">of its establishment and </w:t>
      </w:r>
      <w:r w:rsidR="00DA3181">
        <w:t>S</w:t>
      </w:r>
      <w:r>
        <w:t xml:space="preserve">tate registration, and until August 2002, </w:t>
      </w:r>
      <w:r w:rsidR="00F24C6E">
        <w:t xml:space="preserve">the </w:t>
      </w:r>
      <w:smartTag w:uri="urn:schemas-microsoft-com:office:smarttags" w:element="PersonName">
        <w:r w:rsidR="00F24C6E">
          <w:t>Association</w:t>
        </w:r>
      </w:smartTag>
      <w:r>
        <w:t xml:space="preserve"> </w:t>
      </w:r>
      <w:r w:rsidR="00230260">
        <w:t>had not</w:t>
      </w:r>
      <w:r>
        <w:t xml:space="preserve"> convene</w:t>
      </w:r>
      <w:r w:rsidR="00230260">
        <w:t>d</w:t>
      </w:r>
      <w:r>
        <w:t xml:space="preserve"> </w:t>
      </w:r>
      <w:r w:rsidR="001A4F64">
        <w:t xml:space="preserve">a </w:t>
      </w:r>
      <w:r>
        <w:t xml:space="preserve">general </w:t>
      </w:r>
      <w:r w:rsidR="00F24C6E">
        <w:t>assembly</w:t>
      </w:r>
      <w:r>
        <w:t xml:space="preserve"> of its members.</w:t>
      </w:r>
    </w:p>
    <w:p w:rsidR="00636FD2" w:rsidP="00FB6043" w:rsidRDefault="003D4783">
      <w:pPr>
        <w:pStyle w:val="JuPara"/>
      </w:pPr>
      <w:r>
        <w:fldChar w:fldCharType="begin"/>
      </w:r>
      <w:r>
        <w:instrText xml:space="preserve"> SEQ level0 \*arabic </w:instrText>
      </w:r>
      <w:r>
        <w:fldChar w:fldCharType="separate"/>
      </w:r>
      <w:r w:rsidR="00DA3181">
        <w:rPr>
          <w:noProof/>
        </w:rPr>
        <w:t>12</w:t>
      </w:r>
      <w:r>
        <w:fldChar w:fldCharType="end"/>
      </w:r>
      <w:r>
        <w:t>.  </w:t>
      </w:r>
      <w:r w:rsidR="00FB6043">
        <w:t>It appears that</w:t>
      </w:r>
      <w:r w:rsidR="00F24C6E">
        <w:t>,</w:t>
      </w:r>
      <w:r w:rsidR="00FB6043">
        <w:t xml:space="preserve"> </w:t>
      </w:r>
      <w:r w:rsidR="00F24C6E">
        <w:t>on 9</w:t>
      </w:r>
      <w:r w:rsidR="00FB6043">
        <w:t xml:space="preserve"> July 1997</w:t>
      </w:r>
      <w:r>
        <w:t xml:space="preserve">, about two years after </w:t>
      </w:r>
      <w:r w:rsidR="00F24C6E">
        <w:t>the Association</w:t>
      </w:r>
      <w:r w:rsidR="000D7A2F">
        <w:t>’</w:t>
      </w:r>
      <w:r w:rsidR="00F24C6E">
        <w:t>s</w:t>
      </w:r>
      <w:r>
        <w:t xml:space="preserve"> </w:t>
      </w:r>
      <w:r w:rsidR="00DA3181">
        <w:t>S</w:t>
      </w:r>
      <w:r>
        <w:t>tate registration,</w:t>
      </w:r>
      <w:r w:rsidR="00FB6043">
        <w:t xml:space="preserve"> the Ministry of Justice</w:t>
      </w:r>
      <w:r w:rsidR="00F24C6E">
        <w:t xml:space="preserve"> sent a letter to the </w:t>
      </w:r>
      <w:smartTag w:uri="urn:schemas-microsoft-com:office:smarttags" w:element="PersonName">
        <w:r w:rsidR="00F24C6E">
          <w:t>Association</w:t>
        </w:r>
      </w:smartTag>
      <w:r w:rsidR="00F24C6E">
        <w:t xml:space="preserve">, noting that the latter had committed </w:t>
      </w:r>
      <w:r w:rsidRPr="005F2DB6" w:rsidR="00F24C6E">
        <w:t xml:space="preserve">certain </w:t>
      </w:r>
      <w:r w:rsidRPr="005F2DB6" w:rsidR="00FB6043">
        <w:t xml:space="preserve">breaches of the </w:t>
      </w:r>
      <w:r w:rsidRPr="005F2DB6" w:rsidR="00F24C6E">
        <w:t xml:space="preserve">domestic </w:t>
      </w:r>
      <w:r w:rsidRPr="005F2DB6" w:rsidR="00FB6043">
        <w:t xml:space="preserve">law and the </w:t>
      </w:r>
      <w:r w:rsidRPr="005F2DB6" w:rsidR="00F24C6E">
        <w:t>A</w:t>
      </w:r>
      <w:r w:rsidRPr="005F2DB6" w:rsidR="00FB6043">
        <w:t>ssociation</w:t>
      </w:r>
      <w:r w:rsidR="000D7A2F">
        <w:t>’</w:t>
      </w:r>
      <w:r w:rsidRPr="005F2DB6" w:rsidR="00FB6043">
        <w:t xml:space="preserve">s own </w:t>
      </w:r>
      <w:r w:rsidR="00731231">
        <w:t>C</w:t>
      </w:r>
      <w:r w:rsidRPr="005F2DB6" w:rsidR="00FB6043">
        <w:t xml:space="preserve">harter. </w:t>
      </w:r>
      <w:r w:rsidRPr="005F2DB6">
        <w:t>The exact</w:t>
      </w:r>
      <w:r w:rsidRPr="005F2DB6" w:rsidR="00153D41">
        <w:t xml:space="preserve"> content of t</w:t>
      </w:r>
      <w:r w:rsidRPr="005F2DB6" w:rsidR="00C13FDD">
        <w:t>hat</w:t>
      </w:r>
      <w:r w:rsidRPr="005F2DB6">
        <w:t xml:space="preserve"> letter is not clear from the materials available in the case file.</w:t>
      </w:r>
    </w:p>
    <w:p w:rsidRPr="00BC127E" w:rsidR="00BC127E" w:rsidP="00AF60D4" w:rsidRDefault="00BC127E">
      <w:pPr>
        <w:pStyle w:val="JuHA"/>
        <w:outlineLvl w:val="0"/>
      </w:pPr>
      <w:r>
        <w:t>B.  Warnings issued by the Ministry of Justice</w:t>
      </w:r>
    </w:p>
    <w:p w:rsidR="00636FD2" w:rsidP="00FB6043" w:rsidRDefault="003D4783">
      <w:pPr>
        <w:pStyle w:val="JuPara"/>
      </w:pPr>
      <w:r>
        <w:fldChar w:fldCharType="begin"/>
      </w:r>
      <w:r>
        <w:instrText xml:space="preserve"> SEQ level0 \*arabic </w:instrText>
      </w:r>
      <w:r>
        <w:fldChar w:fldCharType="separate"/>
      </w:r>
      <w:r w:rsidR="00DA3181">
        <w:rPr>
          <w:noProof/>
        </w:rPr>
        <w:t>13</w:t>
      </w:r>
      <w:r>
        <w:fldChar w:fldCharType="end"/>
      </w:r>
      <w:r>
        <w:t>.  </w:t>
      </w:r>
      <w:r w:rsidR="00FB6043">
        <w:t xml:space="preserve">On 14 August 2002 the Ministry of Justice </w:t>
      </w:r>
      <w:r w:rsidR="00230260">
        <w:t>commenced</w:t>
      </w:r>
      <w:r w:rsidR="00FB6043">
        <w:t xml:space="preserve"> </w:t>
      </w:r>
      <w:r w:rsidR="00F24C6E">
        <w:t xml:space="preserve">an inspection </w:t>
      </w:r>
      <w:r w:rsidR="00FB6043">
        <w:t xml:space="preserve">of </w:t>
      </w:r>
      <w:r w:rsidR="00F24C6E">
        <w:t>the Association</w:t>
      </w:r>
      <w:r w:rsidR="000D7A2F">
        <w:t>’</w:t>
      </w:r>
      <w:r w:rsidR="00FB6043">
        <w:t>s activities.</w:t>
      </w:r>
    </w:p>
    <w:p w:rsidR="00636FD2" w:rsidP="00FB6043" w:rsidRDefault="00B91E8F">
      <w:pPr>
        <w:pStyle w:val="JuPara"/>
      </w:pPr>
      <w:r>
        <w:fldChar w:fldCharType="begin"/>
      </w:r>
      <w:r>
        <w:instrText xml:space="preserve"> SEQ level0 \*arabic </w:instrText>
      </w:r>
      <w:r>
        <w:fldChar w:fldCharType="separate"/>
      </w:r>
      <w:r w:rsidR="00DA3181">
        <w:rPr>
          <w:noProof/>
        </w:rPr>
        <w:t>14</w:t>
      </w:r>
      <w:r>
        <w:fldChar w:fldCharType="end"/>
      </w:r>
      <w:r>
        <w:t>.  </w:t>
      </w:r>
      <w:r w:rsidR="009E542F">
        <w:t>O</w:t>
      </w:r>
      <w:r w:rsidR="00FB6043">
        <w:t xml:space="preserve">n 10 September 2002 the Ministry issued a warning to </w:t>
      </w:r>
      <w:r w:rsidR="00AA414C">
        <w:t xml:space="preserve">the </w:t>
      </w:r>
      <w:smartTag w:uri="urn:schemas-microsoft-com:office:smarttags" w:element="PersonName">
        <w:r w:rsidR="00AA414C">
          <w:t>Association</w:t>
        </w:r>
      </w:smartTag>
      <w:r w:rsidR="003D4783">
        <w:t xml:space="preserve"> in accordance with </w:t>
      </w:r>
      <w:r w:rsidR="0013091A">
        <w:t>section</w:t>
      </w:r>
      <w:r w:rsidR="001A4F64">
        <w:t xml:space="preserve"> </w:t>
      </w:r>
      <w:r w:rsidR="009E542F">
        <w:t>31</w:t>
      </w:r>
      <w:r w:rsidR="001D1795">
        <w:t>.</w:t>
      </w:r>
      <w:r w:rsidR="009E542F">
        <w:t>2</w:t>
      </w:r>
      <w:r w:rsidRPr="003D4783" w:rsidR="003D4783">
        <w:t xml:space="preserve"> </w:t>
      </w:r>
      <w:r w:rsidR="003D4783">
        <w:t xml:space="preserve">of the Law on </w:t>
      </w:r>
      <w:r w:rsidR="00D51F5F">
        <w:t>n</w:t>
      </w:r>
      <w:r w:rsidR="003D4783">
        <w:t>on</w:t>
      </w:r>
      <w:r w:rsidR="003D4783">
        <w:noBreakHyphen/>
      </w:r>
      <w:r w:rsidR="00D51F5F">
        <w:t>g</w:t>
      </w:r>
      <w:r w:rsidR="003D4783">
        <w:t xml:space="preserve">overnmental </w:t>
      </w:r>
      <w:r w:rsidR="00D51F5F">
        <w:t>o</w:t>
      </w:r>
      <w:r w:rsidR="003D4783">
        <w:t>rganisations (</w:t>
      </w:r>
      <w:r w:rsidR="008D0440">
        <w:t>p</w:t>
      </w:r>
      <w:r w:rsidR="003D4783">
        <w:t xml:space="preserve">ublic </w:t>
      </w:r>
      <w:r w:rsidR="008D0440">
        <w:t>a</w:t>
      </w:r>
      <w:r w:rsidR="003D4783">
        <w:t xml:space="preserve">ssociations and </w:t>
      </w:r>
      <w:r w:rsidR="008D0440">
        <w:t>f</w:t>
      </w:r>
      <w:r w:rsidR="003D4783">
        <w:t>oundations)</w:t>
      </w:r>
      <w:r w:rsidR="00363BBC">
        <w:t xml:space="preserve"> of 13 </w:t>
      </w:r>
      <w:r w:rsidR="00D51F5F">
        <w:t>June 2000)</w:t>
      </w:r>
      <w:r w:rsidR="003D4783">
        <w:t>, applicable at the material time (“the NGO Act”).</w:t>
      </w:r>
      <w:r w:rsidR="00FB6043">
        <w:t xml:space="preserve"> </w:t>
      </w:r>
      <w:r w:rsidR="003D4783">
        <w:t>The Ministry stated that</w:t>
      </w:r>
      <w:r w:rsidR="00FB6043">
        <w:t xml:space="preserve"> </w:t>
      </w:r>
      <w:r w:rsidR="00387FE4">
        <w:t>the Association</w:t>
      </w:r>
      <w:r w:rsidR="000D7A2F">
        <w:t>’</w:t>
      </w:r>
      <w:r w:rsidR="003D4783">
        <w:t>s</w:t>
      </w:r>
      <w:r w:rsidR="00FB6043">
        <w:t xml:space="preserve"> activities did not comply with the requirements of</w:t>
      </w:r>
      <w:r w:rsidR="009E542F">
        <w:t xml:space="preserve"> its own </w:t>
      </w:r>
      <w:r w:rsidR="00731231">
        <w:t>C</w:t>
      </w:r>
      <w:r w:rsidR="009E542F">
        <w:t xml:space="preserve">harter and the domestic law. It was noted that </w:t>
      </w:r>
      <w:r w:rsidR="001A4F64">
        <w:t xml:space="preserve">a </w:t>
      </w:r>
      <w:r w:rsidR="009E542F">
        <w:t xml:space="preserve">general assembly </w:t>
      </w:r>
      <w:r w:rsidR="00387FE4">
        <w:t>of the Association</w:t>
      </w:r>
      <w:r w:rsidR="000D7A2F">
        <w:t>’</w:t>
      </w:r>
      <w:r w:rsidR="00387FE4">
        <w:t xml:space="preserve">s members had not been convened within the five-year period specified in its own </w:t>
      </w:r>
      <w:r w:rsidR="00731231">
        <w:t>C</w:t>
      </w:r>
      <w:r w:rsidR="00387FE4">
        <w:t>harter</w:t>
      </w:r>
      <w:r w:rsidR="00FB6043">
        <w:t xml:space="preserve">. </w:t>
      </w:r>
      <w:r w:rsidR="009E542F">
        <w:t xml:space="preserve">Moreover, in any event, this </w:t>
      </w:r>
      <w:r w:rsidR="00387FE4">
        <w:t>provision</w:t>
      </w:r>
      <w:r w:rsidR="009E542F">
        <w:t xml:space="preserve"> of the </w:t>
      </w:r>
      <w:r w:rsidR="00DA3181">
        <w:t>C</w:t>
      </w:r>
      <w:r w:rsidR="009E542F">
        <w:t xml:space="preserve">harter </w:t>
      </w:r>
      <w:r w:rsidR="00FB6043">
        <w:t xml:space="preserve">was itself incompatible with the domestic law, as </w:t>
      </w:r>
      <w:r w:rsidR="0013091A">
        <w:t>section</w:t>
      </w:r>
      <w:r w:rsidR="001A4F64">
        <w:t xml:space="preserve"> </w:t>
      </w:r>
      <w:r w:rsidR="009E542F">
        <w:t>25</w:t>
      </w:r>
      <w:r w:rsidR="001D1795">
        <w:t>.</w:t>
      </w:r>
      <w:r w:rsidR="009E542F">
        <w:t xml:space="preserve">2 of </w:t>
      </w:r>
      <w:r w:rsidRPr="009E542F" w:rsidR="00FB6043">
        <w:t xml:space="preserve">the </w:t>
      </w:r>
      <w:r w:rsidRPr="009E542F" w:rsidR="00B13A14">
        <w:t>NGO Act</w:t>
      </w:r>
      <w:r w:rsidR="00B13A14">
        <w:t xml:space="preserve"> </w:t>
      </w:r>
      <w:r w:rsidR="00FB6043">
        <w:t xml:space="preserve">required that the supreme governing body of </w:t>
      </w:r>
      <w:r w:rsidR="009E542F">
        <w:t>a</w:t>
      </w:r>
      <w:r w:rsidR="00FB6043">
        <w:t xml:space="preserve"> public association</w:t>
      </w:r>
      <w:r w:rsidR="00861427">
        <w:t xml:space="preserve"> </w:t>
      </w:r>
      <w:r w:rsidR="00FB6043">
        <w:t xml:space="preserve">– the general </w:t>
      </w:r>
      <w:r w:rsidR="009E542F">
        <w:t xml:space="preserve">assembly </w:t>
      </w:r>
      <w:r w:rsidR="00FB6043">
        <w:t xml:space="preserve">of members – was to be convened </w:t>
      </w:r>
      <w:r w:rsidR="009E542F">
        <w:t>at least</w:t>
      </w:r>
      <w:r w:rsidR="00FB6043">
        <w:t xml:space="preserve"> once every year. The Ministry </w:t>
      </w:r>
      <w:r w:rsidR="009E542F">
        <w:t>requested</w:t>
      </w:r>
      <w:r w:rsidR="00FB6043">
        <w:t xml:space="preserve"> that, within ten days, </w:t>
      </w:r>
      <w:r w:rsidR="009E542F">
        <w:t xml:space="preserve">the </w:t>
      </w:r>
      <w:smartTag w:uri="urn:schemas-microsoft-com:office:smarttags" w:element="PersonName">
        <w:r w:rsidR="009E542F">
          <w:t>Association</w:t>
        </w:r>
      </w:smartTag>
      <w:r w:rsidR="00FB6043">
        <w:t xml:space="preserve"> </w:t>
      </w:r>
      <w:r w:rsidR="009C681F">
        <w:t xml:space="preserve">take measures to remedy the </w:t>
      </w:r>
      <w:r w:rsidR="00DA3181">
        <w:t>above-</w:t>
      </w:r>
      <w:r w:rsidR="009C681F">
        <w:t>mentioned breach</w:t>
      </w:r>
      <w:r w:rsidR="00FB6043">
        <w:t xml:space="preserve"> and inform the Ministry </w:t>
      </w:r>
      <w:r w:rsidR="009E542F">
        <w:t>of the measures taken</w:t>
      </w:r>
      <w:r w:rsidR="00FB6043">
        <w:t>.</w:t>
      </w:r>
    </w:p>
    <w:p w:rsidR="00636FD2" w:rsidP="00FB6043" w:rsidRDefault="00B13A14">
      <w:pPr>
        <w:pStyle w:val="JuPara"/>
      </w:pPr>
      <w:r>
        <w:fldChar w:fldCharType="begin"/>
      </w:r>
      <w:r>
        <w:instrText xml:space="preserve"> SEQ level0 \*arabic </w:instrText>
      </w:r>
      <w:r>
        <w:fldChar w:fldCharType="separate"/>
      </w:r>
      <w:r w:rsidR="00DA3181">
        <w:rPr>
          <w:noProof/>
        </w:rPr>
        <w:t>15</w:t>
      </w:r>
      <w:r>
        <w:fldChar w:fldCharType="end"/>
      </w:r>
      <w:r>
        <w:t>.  </w:t>
      </w:r>
      <w:r w:rsidR="00FB6043">
        <w:t xml:space="preserve">In reply, Mr Israfilov informed the Ministry that, in fact, </w:t>
      </w:r>
      <w:r w:rsidR="0084594C">
        <w:t xml:space="preserve">a </w:t>
      </w:r>
      <w:r w:rsidR="00FB6043">
        <w:t xml:space="preserve">general </w:t>
      </w:r>
      <w:r w:rsidR="009E542F">
        <w:t>assembly</w:t>
      </w:r>
      <w:r w:rsidR="00FB6043">
        <w:t xml:space="preserve"> of members had taken place on 26 August 2002.</w:t>
      </w:r>
      <w:r w:rsidR="00A57226">
        <w:t xml:space="preserve"> It appears that, among other things, the Association</w:t>
      </w:r>
      <w:r w:rsidR="000D7A2F">
        <w:t>’</w:t>
      </w:r>
      <w:r w:rsidR="00A57226">
        <w:t>s general assembly decided to establish a working group in order to bring the Association</w:t>
      </w:r>
      <w:r w:rsidR="000D7A2F">
        <w:t>’</w:t>
      </w:r>
      <w:r w:rsidR="00A57226">
        <w:t xml:space="preserve">s </w:t>
      </w:r>
      <w:r w:rsidR="0084594C">
        <w:t>C</w:t>
      </w:r>
      <w:r w:rsidR="00A57226">
        <w:t>harter in</w:t>
      </w:r>
      <w:r w:rsidR="0084594C">
        <w:t>to</w:t>
      </w:r>
      <w:r w:rsidR="00A57226">
        <w:t xml:space="preserve"> conformity with the current legislation.</w:t>
      </w:r>
    </w:p>
    <w:p w:rsidR="00636FD2" w:rsidP="00FB6043" w:rsidRDefault="00B13A14">
      <w:pPr>
        <w:pStyle w:val="JuPara"/>
      </w:pPr>
      <w:r>
        <w:fldChar w:fldCharType="begin"/>
      </w:r>
      <w:r>
        <w:instrText xml:space="preserve"> SEQ level0 \*arabic </w:instrText>
      </w:r>
      <w:r>
        <w:fldChar w:fldCharType="separate"/>
      </w:r>
      <w:r w:rsidR="00DA3181">
        <w:rPr>
          <w:noProof/>
        </w:rPr>
        <w:t>16</w:t>
      </w:r>
      <w:r>
        <w:fldChar w:fldCharType="end"/>
      </w:r>
      <w:r>
        <w:t>.  </w:t>
      </w:r>
      <w:r w:rsidR="00FB6043">
        <w:t xml:space="preserve">Having examined the documents relating to </w:t>
      </w:r>
      <w:r w:rsidR="00387FE4">
        <w:t>the general assembly meeting of 26 August 200</w:t>
      </w:r>
      <w:r w:rsidR="004A453E">
        <w:t>2</w:t>
      </w:r>
      <w:r w:rsidR="00FB6043">
        <w:t xml:space="preserve">, on 3 October 2002 the Ministry of Justice issued a </w:t>
      </w:r>
      <w:r w:rsidR="004A453E">
        <w:t>new</w:t>
      </w:r>
      <w:r w:rsidR="00FB6043">
        <w:t xml:space="preserve"> warning</w:t>
      </w:r>
      <w:r w:rsidR="00387FE4">
        <w:t xml:space="preserve"> to the </w:t>
      </w:r>
      <w:smartTag w:uri="urn:schemas-microsoft-com:office:smarttags" w:element="PersonName">
        <w:r w:rsidR="00387FE4">
          <w:t>Association</w:t>
        </w:r>
      </w:smartTag>
      <w:r w:rsidR="004A453E">
        <w:t xml:space="preserve"> (which constituted a second warning issued in 2002)</w:t>
      </w:r>
      <w:r w:rsidR="00387FE4">
        <w:t>.</w:t>
      </w:r>
      <w:r w:rsidR="00FB6043">
        <w:t xml:space="preserve"> </w:t>
      </w:r>
      <w:r w:rsidR="00387FE4">
        <w:t xml:space="preserve">It noted </w:t>
      </w:r>
      <w:r w:rsidR="00FB6043">
        <w:t xml:space="preserve">that the general </w:t>
      </w:r>
      <w:r w:rsidR="00387FE4">
        <w:t>assembly</w:t>
      </w:r>
      <w:r w:rsidR="00FB6043">
        <w:t xml:space="preserve"> of 26 August 2002 had been </w:t>
      </w:r>
      <w:r w:rsidR="0084594C">
        <w:t>convened</w:t>
      </w:r>
      <w:r w:rsidR="00FB6043">
        <w:t xml:space="preserve"> </w:t>
      </w:r>
      <w:r w:rsidR="00E27901">
        <w:t>in</w:t>
      </w:r>
      <w:r w:rsidR="00FB6043">
        <w:t xml:space="preserve"> violation</w:t>
      </w:r>
      <w:r w:rsidR="00E27901">
        <w:t xml:space="preserve"> of numerous provisions</w:t>
      </w:r>
      <w:r w:rsidR="00FB6043">
        <w:t xml:space="preserve"> of the domestic law. </w:t>
      </w:r>
      <w:r w:rsidR="0084594C">
        <w:t>T</w:t>
      </w:r>
      <w:r w:rsidR="00FB6043">
        <w:t xml:space="preserve">he Ministry </w:t>
      </w:r>
      <w:r>
        <w:t>noted</w:t>
      </w:r>
      <w:r w:rsidR="00E27901">
        <w:t>,</w:t>
      </w:r>
      <w:r w:rsidRPr="00E27901" w:rsidR="00E27901">
        <w:rPr>
          <w:i/>
        </w:rPr>
        <w:t xml:space="preserve"> </w:t>
      </w:r>
      <w:r w:rsidR="00E27901">
        <w:rPr>
          <w:i/>
        </w:rPr>
        <w:t>inter alia</w:t>
      </w:r>
      <w:r w:rsidR="00E27901">
        <w:t>,</w:t>
      </w:r>
      <w:r w:rsidR="00FB6043">
        <w:rPr>
          <w:i/>
        </w:rPr>
        <w:t xml:space="preserve"> </w:t>
      </w:r>
      <w:r w:rsidR="00FB6043">
        <w:t xml:space="preserve">that not all members of </w:t>
      </w:r>
      <w:r w:rsidR="00387FE4">
        <w:t xml:space="preserve">the </w:t>
      </w:r>
      <w:smartTag w:uri="urn:schemas-microsoft-com:office:smarttags" w:element="PersonName">
        <w:r w:rsidR="00387FE4">
          <w:t>Association</w:t>
        </w:r>
      </w:smartTag>
      <w:r w:rsidR="00FB6043">
        <w:t xml:space="preserve"> had been properly informed about the general </w:t>
      </w:r>
      <w:r w:rsidR="00387FE4">
        <w:t>assembly</w:t>
      </w:r>
      <w:r w:rsidR="00FB6043">
        <w:t xml:space="preserve"> and thus had </w:t>
      </w:r>
      <w:r w:rsidR="00387FE4">
        <w:t xml:space="preserve">been unable </w:t>
      </w:r>
      <w:r w:rsidR="00FB6043">
        <w:t>to participate in it</w:t>
      </w:r>
      <w:r w:rsidR="00387FE4">
        <w:t>,</w:t>
      </w:r>
      <w:r w:rsidR="00FB6043">
        <w:t xml:space="preserve"> and that </w:t>
      </w:r>
      <w:r w:rsidR="00387FE4">
        <w:t>the Association</w:t>
      </w:r>
      <w:r w:rsidR="000D7A2F">
        <w:t>’</w:t>
      </w:r>
      <w:r w:rsidR="00FB6043">
        <w:t xml:space="preserve">s local </w:t>
      </w:r>
      <w:r w:rsidR="009C681F">
        <w:t>branches</w:t>
      </w:r>
      <w:r w:rsidR="00FB6043">
        <w:t xml:space="preserve"> had not been equally represented at the </w:t>
      </w:r>
      <w:r w:rsidR="00387FE4">
        <w:t>assembly</w:t>
      </w:r>
      <w:r w:rsidR="00FB6043">
        <w:t xml:space="preserve">. Generally, the current membership records had not been properly kept and it was impossible to determine the exact number and identity of members. Local </w:t>
      </w:r>
      <w:r w:rsidR="009C681F">
        <w:t>branches</w:t>
      </w:r>
      <w:r w:rsidR="00FB6043">
        <w:t xml:space="preserve"> of </w:t>
      </w:r>
      <w:r w:rsidR="00387FE4">
        <w:t xml:space="preserve">the </w:t>
      </w:r>
      <w:smartTag w:uri="urn:schemas-microsoft-com:office:smarttags" w:element="PersonName">
        <w:r w:rsidR="00387FE4">
          <w:t>Association</w:t>
        </w:r>
      </w:smartTag>
      <w:r w:rsidR="00FB6043">
        <w:t xml:space="preserve"> </w:t>
      </w:r>
      <w:r w:rsidR="00387FE4">
        <w:t>had</w:t>
      </w:r>
      <w:r w:rsidR="00FB6043">
        <w:t xml:space="preserve"> not h</w:t>
      </w:r>
      <w:r w:rsidR="00387FE4">
        <w:t>e</w:t>
      </w:r>
      <w:r w:rsidR="00FB6043">
        <w:t xml:space="preserve">ld </w:t>
      </w:r>
      <w:r w:rsidR="00387FE4">
        <w:t xml:space="preserve">any </w:t>
      </w:r>
      <w:r w:rsidR="00FB6043">
        <w:t xml:space="preserve">regular local </w:t>
      </w:r>
      <w:r w:rsidR="00387FE4">
        <w:t>assemblies</w:t>
      </w:r>
      <w:r w:rsidR="00FB6043">
        <w:t xml:space="preserve"> of members and, in fact, functioned as </w:t>
      </w:r>
      <w:r w:rsidR="009C681F">
        <w:t>regional offices</w:t>
      </w:r>
      <w:r w:rsidR="00FB6043">
        <w:t xml:space="preserve"> directly governed by the head office in a</w:t>
      </w:r>
      <w:r w:rsidR="00387FE4">
        <w:t>n administrative and</w:t>
      </w:r>
      <w:r w:rsidR="00FB6043">
        <w:t xml:space="preserve"> </w:t>
      </w:r>
      <w:r w:rsidR="00387FE4">
        <w:t>hierarchical</w:t>
      </w:r>
      <w:r w:rsidR="00FB6043">
        <w:t xml:space="preserve"> manner</w:t>
      </w:r>
      <w:r>
        <w:t xml:space="preserve">, </w:t>
      </w:r>
      <w:r w:rsidRPr="00387FE4">
        <w:t>wh</w:t>
      </w:r>
      <w:r w:rsidR="004A453E">
        <w:t xml:space="preserve">ereas in a genuine </w:t>
      </w:r>
      <w:r w:rsidRPr="00387FE4">
        <w:t>public association</w:t>
      </w:r>
      <w:r w:rsidR="004A453E">
        <w:t xml:space="preserve"> ordinary members should be able to directly participate in its management</w:t>
      </w:r>
      <w:r w:rsidR="00FB6043">
        <w:t>. The Ministry again demanded that, within ten</w:t>
      </w:r>
      <w:r w:rsidR="00DA3181">
        <w:t> </w:t>
      </w:r>
      <w:r w:rsidR="00FB6043">
        <w:t xml:space="preserve">days, information be submitted as to </w:t>
      </w:r>
      <w:r w:rsidR="00E27901">
        <w:t xml:space="preserve">the </w:t>
      </w:r>
      <w:r w:rsidR="00FB6043">
        <w:t>steps taken to remedy these breaches.</w:t>
      </w:r>
    </w:p>
    <w:p w:rsidR="00636FD2" w:rsidP="00FB6043" w:rsidRDefault="009C681F">
      <w:pPr>
        <w:pStyle w:val="JuPara"/>
      </w:pPr>
      <w:r w:rsidRPr="009C681F">
        <w:fldChar w:fldCharType="begin"/>
      </w:r>
      <w:r w:rsidRPr="009C681F">
        <w:instrText xml:space="preserve"> SEQ level0 \*arabic </w:instrText>
      </w:r>
      <w:r w:rsidRPr="009C681F">
        <w:fldChar w:fldCharType="separate"/>
      </w:r>
      <w:r w:rsidR="00DA3181">
        <w:rPr>
          <w:noProof/>
        </w:rPr>
        <w:t>17</w:t>
      </w:r>
      <w:r w:rsidRPr="009C681F">
        <w:fldChar w:fldCharType="end"/>
      </w:r>
      <w:r w:rsidRPr="009C681F">
        <w:t>.  </w:t>
      </w:r>
      <w:r w:rsidRPr="009C681F" w:rsidR="00B13A14">
        <w:t xml:space="preserve">It appears that </w:t>
      </w:r>
      <w:r w:rsidRPr="009C681F" w:rsidR="004A453E">
        <w:t xml:space="preserve">the </w:t>
      </w:r>
      <w:smartTag w:uri="urn:schemas-microsoft-com:office:smarttags" w:element="PersonName">
        <w:r w:rsidR="004A453E" w:rsidRPr="009C681F">
          <w:t>Association</w:t>
        </w:r>
      </w:smartTag>
      <w:r w:rsidRPr="009C681F" w:rsidR="00B13A14">
        <w:t xml:space="preserve"> </w:t>
      </w:r>
      <w:r w:rsidRPr="009C681F">
        <w:t xml:space="preserve">disagreed with the above findings in its correspondence with the Ministry and </w:t>
      </w:r>
      <w:r w:rsidRPr="009C681F" w:rsidR="00B13A14">
        <w:t>took no action</w:t>
      </w:r>
      <w:r w:rsidRPr="009C681F" w:rsidR="004A453E">
        <w:t xml:space="preserve"> in response to this second warning</w:t>
      </w:r>
      <w:r w:rsidRPr="009C681F" w:rsidR="00B13A14">
        <w:t>.</w:t>
      </w:r>
    </w:p>
    <w:p w:rsidR="00636FD2" w:rsidP="00FB6043" w:rsidRDefault="00B13A14">
      <w:pPr>
        <w:pStyle w:val="JuPara"/>
      </w:pPr>
      <w:r>
        <w:fldChar w:fldCharType="begin"/>
      </w:r>
      <w:r>
        <w:instrText xml:space="preserve"> SEQ level0 \*arabic </w:instrText>
      </w:r>
      <w:r>
        <w:fldChar w:fldCharType="separate"/>
      </w:r>
      <w:r w:rsidR="00DA3181">
        <w:rPr>
          <w:noProof/>
        </w:rPr>
        <w:t>18</w:t>
      </w:r>
      <w:r>
        <w:fldChar w:fldCharType="end"/>
      </w:r>
      <w:r>
        <w:t>.  </w:t>
      </w:r>
      <w:r w:rsidR="00FB6043">
        <w:t xml:space="preserve">Finally, on 28 October 2002 the Ministry issued a third warning, stating that it had not received any information from </w:t>
      </w:r>
      <w:r w:rsidR="004A453E">
        <w:t xml:space="preserve">the </w:t>
      </w:r>
      <w:smartTag w:uri="urn:schemas-microsoft-com:office:smarttags" w:element="PersonName">
        <w:r w:rsidR="004A453E">
          <w:t>Association</w:t>
        </w:r>
      </w:smartTag>
      <w:r w:rsidR="00FB6043">
        <w:t xml:space="preserve"> as to compliance with the prior two warnings. In addition to </w:t>
      </w:r>
      <w:r w:rsidR="004A453E">
        <w:t>reiterating</w:t>
      </w:r>
      <w:r w:rsidR="00FB6043">
        <w:t xml:space="preserve"> </w:t>
      </w:r>
      <w:r w:rsidR="004A453E">
        <w:t>the remarks</w:t>
      </w:r>
      <w:r w:rsidR="00FB6043">
        <w:t xml:space="preserve"> contained in the prior warnings, the Ministry noted </w:t>
      </w:r>
      <w:r w:rsidR="004A453E">
        <w:t xml:space="preserve">that the </w:t>
      </w:r>
      <w:smartTag w:uri="urn:schemas-microsoft-com:office:smarttags" w:element="PersonName">
        <w:r w:rsidR="004A453E">
          <w:t>Association</w:t>
        </w:r>
      </w:smartTag>
      <w:r w:rsidR="004A453E">
        <w:t xml:space="preserve"> also engaged in</w:t>
      </w:r>
      <w:r w:rsidR="00E27901">
        <w:t xml:space="preserve"> an</w:t>
      </w:r>
      <w:r w:rsidR="004A453E">
        <w:t xml:space="preserve"> activity prohibited by law. Specifically, the domestic law (namely, the NGO Act, </w:t>
      </w:r>
      <w:r w:rsidRPr="005D1354" w:rsidR="004A453E">
        <w:t xml:space="preserve">the Law on </w:t>
      </w:r>
      <w:r w:rsidR="00D51F5F">
        <w:t>e</w:t>
      </w:r>
      <w:r w:rsidRPr="005D1354" w:rsidR="004A453E">
        <w:t xml:space="preserve">nvironmental </w:t>
      </w:r>
      <w:r w:rsidR="00D51F5F">
        <w:t>p</w:t>
      </w:r>
      <w:r w:rsidRPr="005D1354" w:rsidR="004A453E">
        <w:t>rotection</w:t>
      </w:r>
      <w:r w:rsidR="00D51F5F">
        <w:t xml:space="preserve"> of 8 June 1999</w:t>
      </w:r>
      <w:r w:rsidRPr="005D1354" w:rsidR="004A453E">
        <w:t xml:space="preserve"> and the Law on </w:t>
      </w:r>
      <w:r w:rsidR="00D51F5F">
        <w:t>e</w:t>
      </w:r>
      <w:r w:rsidRPr="005D1354" w:rsidR="004A453E">
        <w:t xml:space="preserve">ntrepreneurial </w:t>
      </w:r>
      <w:r w:rsidR="00D51F5F">
        <w:t>a</w:t>
      </w:r>
      <w:r w:rsidRPr="005D1354" w:rsidR="004A453E">
        <w:t>ctivity</w:t>
      </w:r>
      <w:r w:rsidR="00D51F5F">
        <w:t xml:space="preserve"> of 15 December 1992</w:t>
      </w:r>
      <w:r w:rsidRPr="005D1354" w:rsidR="004A453E">
        <w:t>)</w:t>
      </w:r>
      <w:r w:rsidR="004A453E">
        <w:t xml:space="preserve"> prohibited public associations from interfering with </w:t>
      </w:r>
      <w:r w:rsidR="00E27901">
        <w:t xml:space="preserve">the </w:t>
      </w:r>
      <w:r w:rsidR="004A453E">
        <w:t>activities</w:t>
      </w:r>
      <w:r w:rsidRPr="009C681F" w:rsidR="009C681F">
        <w:t xml:space="preserve"> </w:t>
      </w:r>
      <w:r w:rsidR="009C681F">
        <w:t>of private businesses</w:t>
      </w:r>
      <w:r w:rsidR="004A453E">
        <w:t>. In this connection, the Ministry noted:</w:t>
      </w:r>
    </w:p>
    <w:p w:rsidR="00636FD2" w:rsidP="000F76AC" w:rsidRDefault="004A453E">
      <w:pPr>
        <w:pStyle w:val="JuQuot"/>
      </w:pPr>
      <w:r>
        <w:t xml:space="preserve">“However, contrary to these legal requirements, the </w:t>
      </w:r>
      <w:smartTag w:uri="urn:schemas-microsoft-com:office:smarttags" w:element="PersonName">
        <w:r>
          <w:t>Association</w:t>
        </w:r>
      </w:smartTag>
      <w:r>
        <w:t xml:space="preserve"> </w:t>
      </w:r>
      <w:r w:rsidR="00636FD2">
        <w:t>...</w:t>
      </w:r>
      <w:r w:rsidR="00A61564">
        <w:t xml:space="preserve"> attempts to collect money from State </w:t>
      </w:r>
      <w:r w:rsidR="000F76AC">
        <w:t>organs</w:t>
      </w:r>
      <w:r w:rsidR="00A61564">
        <w:t xml:space="preserve"> and commercial organisations </w:t>
      </w:r>
      <w:r w:rsidR="00E27901">
        <w:t xml:space="preserve">in </w:t>
      </w:r>
      <w:r w:rsidR="00A61564">
        <w:t xml:space="preserve">the guise of membership fees, regularly conducts [unlawful] inspections at economic enterprises and draws up [environmental compliance] reports, and engages in other illegal acts interfering with the rights of entrepreneurs </w:t>
      </w:r>
      <w:r w:rsidR="00636FD2">
        <w:t>...</w:t>
      </w:r>
      <w:r w:rsidR="00A61564">
        <w:t>”</w:t>
      </w:r>
    </w:p>
    <w:p w:rsidR="00636FD2" w:rsidP="00FB6043" w:rsidRDefault="000F76AC">
      <w:pPr>
        <w:pStyle w:val="JuPara"/>
      </w:pPr>
      <w:r>
        <w:fldChar w:fldCharType="begin"/>
      </w:r>
      <w:r>
        <w:instrText xml:space="preserve"> SEQ level0 \*arabic </w:instrText>
      </w:r>
      <w:r>
        <w:fldChar w:fldCharType="separate"/>
      </w:r>
      <w:r w:rsidR="00DA3181">
        <w:rPr>
          <w:noProof/>
        </w:rPr>
        <w:t>19</w:t>
      </w:r>
      <w:r>
        <w:fldChar w:fldCharType="end"/>
      </w:r>
      <w:r>
        <w:t>.  As</w:t>
      </w:r>
      <w:r w:rsidR="00E27901">
        <w:t xml:space="preserve"> it had done</w:t>
      </w:r>
      <w:r>
        <w:t xml:space="preserve"> previous</w:t>
      </w:r>
      <w:r w:rsidR="00E27901">
        <w:t>ly</w:t>
      </w:r>
      <w:r>
        <w:t xml:space="preserve">, the Ministry demanded that, within </w:t>
      </w:r>
      <w:r w:rsidR="00F30DDB">
        <w:t>ten</w:t>
      </w:r>
      <w:r w:rsidR="00DA3181">
        <w:t> </w:t>
      </w:r>
      <w:r>
        <w:t xml:space="preserve">days, the </w:t>
      </w:r>
      <w:smartTag w:uri="urn:schemas-microsoft-com:office:smarttags" w:element="PersonName">
        <w:r>
          <w:t>Association</w:t>
        </w:r>
      </w:smartTag>
      <w:r>
        <w:t xml:space="preserve"> submit information as to the steps </w:t>
      </w:r>
      <w:r w:rsidR="00F30DDB">
        <w:t>taken to remedy the situation</w:t>
      </w:r>
      <w:r w:rsidR="00E27901">
        <w:t>. The Association</w:t>
      </w:r>
      <w:r w:rsidR="00F30DDB">
        <w:t xml:space="preserve"> did not react.</w:t>
      </w:r>
    </w:p>
    <w:p w:rsidR="00BC127E" w:rsidP="00AF60D4" w:rsidRDefault="00BC127E">
      <w:pPr>
        <w:pStyle w:val="JuHA"/>
        <w:outlineLvl w:val="0"/>
      </w:pPr>
      <w:r>
        <w:t>C.</w:t>
      </w:r>
      <w:r w:rsidR="006F22DF">
        <w:t xml:space="preserve">  Dissolution of the </w:t>
      </w:r>
      <w:smartTag w:uri="urn:schemas-microsoft-com:office:smarttags" w:element="PersonName">
        <w:r w:rsidR="006F22DF">
          <w:t>Association</w:t>
        </w:r>
      </w:smartTag>
    </w:p>
    <w:p w:rsidR="00FB6043" w:rsidP="00FB6043" w:rsidRDefault="00B13A14">
      <w:pPr>
        <w:pStyle w:val="JuPara"/>
      </w:pPr>
      <w:r>
        <w:fldChar w:fldCharType="begin"/>
      </w:r>
      <w:r>
        <w:instrText xml:space="preserve"> SEQ level0 \*arabic </w:instrText>
      </w:r>
      <w:r>
        <w:fldChar w:fldCharType="separate"/>
      </w:r>
      <w:r w:rsidR="00DA3181">
        <w:rPr>
          <w:noProof/>
        </w:rPr>
        <w:t>20</w:t>
      </w:r>
      <w:r>
        <w:fldChar w:fldCharType="end"/>
      </w:r>
      <w:r>
        <w:t>.  </w:t>
      </w:r>
      <w:r w:rsidR="00FB6043">
        <w:t xml:space="preserve">In December 2002 the Ministry </w:t>
      </w:r>
      <w:r>
        <w:t>lodged an action with the Yasamal District Court</w:t>
      </w:r>
      <w:r w:rsidR="000F76AC">
        <w:t xml:space="preserve">, seeking an order </w:t>
      </w:r>
      <w:r w:rsidR="00E2596B">
        <w:t xml:space="preserve">for </w:t>
      </w:r>
      <w:r w:rsidR="000F76AC">
        <w:t>dissolution of</w:t>
      </w:r>
      <w:r w:rsidR="00FB6043">
        <w:t xml:space="preserve"> </w:t>
      </w:r>
      <w:r w:rsidR="000F76AC">
        <w:t xml:space="preserve">the </w:t>
      </w:r>
      <w:smartTag w:uri="urn:schemas-microsoft-com:office:smarttags" w:element="PersonName">
        <w:r w:rsidR="000F76AC">
          <w:t>Association</w:t>
        </w:r>
      </w:smartTag>
      <w:r w:rsidR="00FB6043">
        <w:t xml:space="preserve">. </w:t>
      </w:r>
      <w:r w:rsidR="000F76AC">
        <w:t xml:space="preserve">The </w:t>
      </w:r>
      <w:smartTag w:uri="urn:schemas-microsoft-com:office:smarttags" w:element="PersonName">
        <w:r w:rsidR="000F76AC">
          <w:t>Association</w:t>
        </w:r>
      </w:smartTag>
      <w:r w:rsidRPr="005F2DB6" w:rsidR="00FB6043">
        <w:t xml:space="preserve">, represented by Mr Israfilov, </w:t>
      </w:r>
      <w:r w:rsidRPr="005F2DB6">
        <w:t>lodged</w:t>
      </w:r>
      <w:r w:rsidR="00FB6043">
        <w:t xml:space="preserve"> a counterclaim, contending that the Ministry</w:t>
      </w:r>
      <w:r w:rsidR="000D7A2F">
        <w:t>’</w:t>
      </w:r>
      <w:r w:rsidR="00FB6043">
        <w:t>s warnings had been unlawful and unsubstantiated.</w:t>
      </w:r>
    </w:p>
    <w:p w:rsidR="00636FD2" w:rsidP="00FB6043" w:rsidRDefault="00B13A14">
      <w:pPr>
        <w:pStyle w:val="JuPara"/>
      </w:pPr>
      <w:r>
        <w:fldChar w:fldCharType="begin"/>
      </w:r>
      <w:r>
        <w:instrText xml:space="preserve"> SEQ level0 \*arabic </w:instrText>
      </w:r>
      <w:r>
        <w:fldChar w:fldCharType="separate"/>
      </w:r>
      <w:r w:rsidR="00DA3181">
        <w:rPr>
          <w:noProof/>
        </w:rPr>
        <w:t>21</w:t>
      </w:r>
      <w:r>
        <w:fldChar w:fldCharType="end"/>
      </w:r>
      <w:r>
        <w:t>.  </w:t>
      </w:r>
      <w:r w:rsidR="00FB6043">
        <w:t xml:space="preserve">On 7 March 2003 the Yasamal District Court dismissed </w:t>
      </w:r>
      <w:r w:rsidR="00C13FDD">
        <w:t>the Association</w:t>
      </w:r>
      <w:r w:rsidR="000D7A2F">
        <w:t>’</w:t>
      </w:r>
      <w:r w:rsidR="00FB6043">
        <w:t xml:space="preserve">s counterclaim and </w:t>
      </w:r>
      <w:r w:rsidR="00C13FDD">
        <w:t>granted the Ministry</w:t>
      </w:r>
      <w:r w:rsidR="000D7A2F">
        <w:t>’</w:t>
      </w:r>
      <w:r w:rsidR="00C13FDD">
        <w:t xml:space="preserve">s request, </w:t>
      </w:r>
      <w:r w:rsidR="00FB6043">
        <w:t>order</w:t>
      </w:r>
      <w:r w:rsidR="00C13FDD">
        <w:t>ing the Association</w:t>
      </w:r>
      <w:r w:rsidR="000D7A2F">
        <w:t>’</w:t>
      </w:r>
      <w:r w:rsidR="00C13FDD">
        <w:t>s</w:t>
      </w:r>
      <w:r w:rsidR="00FB6043">
        <w:t xml:space="preserve"> dissolution.</w:t>
      </w:r>
    </w:p>
    <w:p w:rsidR="00636FD2" w:rsidP="00FB6043" w:rsidRDefault="00C13FDD">
      <w:pPr>
        <w:pStyle w:val="JuPara"/>
      </w:pPr>
      <w:r>
        <w:fldChar w:fldCharType="begin"/>
      </w:r>
      <w:r>
        <w:instrText xml:space="preserve"> SEQ level0 \*arabic </w:instrText>
      </w:r>
      <w:r>
        <w:fldChar w:fldCharType="separate"/>
      </w:r>
      <w:r w:rsidR="00DA3181">
        <w:rPr>
          <w:noProof/>
        </w:rPr>
        <w:t>22</w:t>
      </w:r>
      <w:r>
        <w:fldChar w:fldCharType="end"/>
      </w:r>
      <w:r>
        <w:t xml:space="preserve">.  Specifically, </w:t>
      </w:r>
      <w:r w:rsidR="006068D9">
        <w:t>in respect of the Ministry</w:t>
      </w:r>
      <w:r w:rsidR="000D7A2F">
        <w:t>’</w:t>
      </w:r>
      <w:r w:rsidR="006068D9">
        <w:t xml:space="preserve">s request </w:t>
      </w:r>
      <w:r w:rsidR="00E2596B">
        <w:t xml:space="preserve">for </w:t>
      </w:r>
      <w:r w:rsidR="006068D9">
        <w:t xml:space="preserve">dissolution, the court heard oral submissions by the </w:t>
      </w:r>
      <w:r w:rsidR="007B7208">
        <w:t>Association</w:t>
      </w:r>
      <w:r w:rsidR="000D7A2F">
        <w:t>’</w:t>
      </w:r>
      <w:r w:rsidR="007B7208">
        <w:t xml:space="preserve">s members and the </w:t>
      </w:r>
      <w:r w:rsidR="006068D9">
        <w:t>officials of the Ministry of Justice</w:t>
      </w:r>
      <w:r w:rsidR="000D7A2F">
        <w:t>’</w:t>
      </w:r>
      <w:r w:rsidR="006068D9">
        <w:t>s Department of State Registration of Legal Entities, reviewed the content of the Ministry</w:t>
      </w:r>
      <w:r w:rsidR="000D7A2F">
        <w:t>’</w:t>
      </w:r>
      <w:r w:rsidR="006068D9">
        <w:t xml:space="preserve">s three warning letters issued in 2002 and examined the </w:t>
      </w:r>
      <w:r w:rsidR="000E469C">
        <w:t xml:space="preserve">correspondence between the </w:t>
      </w:r>
      <w:smartTag w:uri="urn:schemas-microsoft-com:office:smarttags" w:element="PersonName">
        <w:r w:rsidR="000E469C">
          <w:t>Association</w:t>
        </w:r>
      </w:smartTag>
      <w:r w:rsidR="000E469C">
        <w:t xml:space="preserve"> and the Ministry</w:t>
      </w:r>
      <w:r w:rsidR="003D5213">
        <w:t>.</w:t>
      </w:r>
      <w:r w:rsidR="000E469C">
        <w:t xml:space="preserve"> </w:t>
      </w:r>
      <w:r w:rsidR="003D5213">
        <w:t xml:space="preserve">The court also examined </w:t>
      </w:r>
      <w:r w:rsidR="004B1463">
        <w:t>six</w:t>
      </w:r>
      <w:r w:rsidR="000E469C">
        <w:t xml:space="preserve"> </w:t>
      </w:r>
      <w:r w:rsidR="006068D9">
        <w:t xml:space="preserve">internal reports by </w:t>
      </w:r>
      <w:r w:rsidR="004B1463">
        <w:t>various</w:t>
      </w:r>
      <w:r w:rsidR="006068D9">
        <w:t xml:space="preserve"> officials</w:t>
      </w:r>
      <w:r w:rsidR="004B1463">
        <w:t xml:space="preserve"> of the Ministry of Justice</w:t>
      </w:r>
      <w:r w:rsidR="006068D9">
        <w:t xml:space="preserve"> concerning the results of the inspection of the activities</w:t>
      </w:r>
      <w:r w:rsidR="004B1463">
        <w:t xml:space="preserve"> of the Association</w:t>
      </w:r>
      <w:r w:rsidR="000D7A2F">
        <w:t>’</w:t>
      </w:r>
      <w:r w:rsidR="004B1463">
        <w:t xml:space="preserve">s various local </w:t>
      </w:r>
      <w:r w:rsidR="00201EB8">
        <w:t>branches</w:t>
      </w:r>
      <w:r w:rsidR="006068D9">
        <w:t>.</w:t>
      </w:r>
      <w:r w:rsidR="00C11FD8">
        <w:t xml:space="preserve"> According to these reports, most of the inspected </w:t>
      </w:r>
      <w:r w:rsidR="00201EB8">
        <w:t>branches</w:t>
      </w:r>
      <w:r w:rsidR="00C11FD8">
        <w:t xml:space="preserve"> had not held regular local assemblies of members and had not maintained proper records of members and membership fees. One of these reports stated that, according to “information obtained” during the inspection, the Association</w:t>
      </w:r>
      <w:r w:rsidR="000D7A2F">
        <w:t>’</w:t>
      </w:r>
      <w:r w:rsidR="00C11FD8">
        <w:t xml:space="preserve">s </w:t>
      </w:r>
      <w:r w:rsidR="00201EB8">
        <w:t>branch</w:t>
      </w:r>
      <w:r w:rsidR="00C11FD8">
        <w:t xml:space="preserve"> in the Tovuz </w:t>
      </w:r>
      <w:r w:rsidR="006A6094">
        <w:t>r</w:t>
      </w:r>
      <w:r w:rsidR="00C11FD8">
        <w:t>egion carried out illegal environmental inspections and engaged in other illegal activities.</w:t>
      </w:r>
    </w:p>
    <w:p w:rsidR="00FB6043" w:rsidP="00FB6043" w:rsidRDefault="006068D9">
      <w:pPr>
        <w:pStyle w:val="JuPara"/>
      </w:pPr>
      <w:r>
        <w:fldChar w:fldCharType="begin"/>
      </w:r>
      <w:r>
        <w:instrText xml:space="preserve"> SEQ level0 \*arabic </w:instrText>
      </w:r>
      <w:r>
        <w:fldChar w:fldCharType="separate"/>
      </w:r>
      <w:r w:rsidR="00DA3181">
        <w:rPr>
          <w:noProof/>
        </w:rPr>
        <w:t>23</w:t>
      </w:r>
      <w:r>
        <w:fldChar w:fldCharType="end"/>
      </w:r>
      <w:r>
        <w:t xml:space="preserve">.  Based on the above materials, </w:t>
      </w:r>
      <w:r w:rsidR="00C13FDD">
        <w:t>t</w:t>
      </w:r>
      <w:r w:rsidR="00FB6043">
        <w:t xml:space="preserve">he court found that, despite </w:t>
      </w:r>
      <w:r w:rsidR="00B13A14">
        <w:t>the</w:t>
      </w:r>
      <w:r w:rsidR="00FB6043">
        <w:t xml:space="preserve"> early warning issued on 9 July 1997</w:t>
      </w:r>
      <w:r w:rsidR="00C13FDD">
        <w:t xml:space="preserve"> (the content of which was not specified in the judgment)</w:t>
      </w:r>
      <w:r w:rsidR="00FB6043">
        <w:t xml:space="preserve">, </w:t>
      </w:r>
      <w:r w:rsidR="00C13FDD">
        <w:t>the Association</w:t>
      </w:r>
      <w:r w:rsidR="00E2596B">
        <w:t xml:space="preserve"> had</w:t>
      </w:r>
      <w:r w:rsidR="00FB6043">
        <w:t xml:space="preserve"> continued to commit breaches of domestic law</w:t>
      </w:r>
      <w:r>
        <w:t xml:space="preserve"> on </w:t>
      </w:r>
      <w:r w:rsidR="00E2596B">
        <w:t xml:space="preserve">an </w:t>
      </w:r>
      <w:r w:rsidR="00201EB8">
        <w:t xml:space="preserve">even </w:t>
      </w:r>
      <w:r>
        <w:t xml:space="preserve">more systematic basis, which </w:t>
      </w:r>
      <w:r w:rsidR="00E2596B">
        <w:t xml:space="preserve">had </w:t>
      </w:r>
      <w:r>
        <w:t>led to the issuance by the Ministry of Justice of the three warning letters in 2002. The court</w:t>
      </w:r>
      <w:r w:rsidR="00FB6043">
        <w:t xml:space="preserve"> noted that the </w:t>
      </w:r>
      <w:r w:rsidR="00C13FDD">
        <w:t>A</w:t>
      </w:r>
      <w:r w:rsidR="00FB6043">
        <w:t>ssociation</w:t>
      </w:r>
      <w:r w:rsidR="000D7A2F">
        <w:t>’</w:t>
      </w:r>
      <w:r w:rsidR="00FB6043">
        <w:t xml:space="preserve">s </w:t>
      </w:r>
      <w:r w:rsidR="00E2596B">
        <w:t>C</w:t>
      </w:r>
      <w:r w:rsidR="00FB6043">
        <w:t>harter had not been brought into compl</w:t>
      </w:r>
      <w:r w:rsidR="00B13A14">
        <w:t>iance with the domestic law</w:t>
      </w:r>
      <w:r w:rsidR="00FB6043">
        <w:t xml:space="preserve"> on public associations</w:t>
      </w:r>
      <w:r w:rsidR="00E2596B">
        <w:t>,</w:t>
      </w:r>
      <w:r w:rsidR="00FB6043">
        <w:t xml:space="preserve"> which required that </w:t>
      </w:r>
      <w:r w:rsidR="00731231">
        <w:t xml:space="preserve">a </w:t>
      </w:r>
      <w:r w:rsidR="00FB6043">
        <w:t xml:space="preserve">general </w:t>
      </w:r>
      <w:r w:rsidR="00C13FDD">
        <w:t>assembly</w:t>
      </w:r>
      <w:r w:rsidR="00FB6043">
        <w:t xml:space="preserve"> of members be held no less than once a year. In any event, even the five-year period for convening </w:t>
      </w:r>
      <w:r w:rsidR="00731231">
        <w:t xml:space="preserve">a </w:t>
      </w:r>
      <w:r w:rsidR="00FB6043">
        <w:t xml:space="preserve">general </w:t>
      </w:r>
      <w:r w:rsidR="00C13FDD">
        <w:t>assembly</w:t>
      </w:r>
      <w:r w:rsidR="00FB6043">
        <w:t xml:space="preserve">, as required by the </w:t>
      </w:r>
      <w:r w:rsidR="00C13FDD">
        <w:t>Association</w:t>
      </w:r>
      <w:r w:rsidR="000D7A2F">
        <w:t>’</w:t>
      </w:r>
      <w:r w:rsidR="00C13FDD">
        <w:t xml:space="preserve">s </w:t>
      </w:r>
      <w:r w:rsidR="00E2596B">
        <w:t>C</w:t>
      </w:r>
      <w:r w:rsidR="00FB6043">
        <w:t xml:space="preserve">harter, </w:t>
      </w:r>
      <w:r w:rsidR="00C13FDD">
        <w:t>had not been complied with</w:t>
      </w:r>
      <w:r w:rsidR="00FB6043">
        <w:t>. The court further found that the Ministry</w:t>
      </w:r>
      <w:r w:rsidR="000D7A2F">
        <w:t>’</w:t>
      </w:r>
      <w:r w:rsidR="00FB6043">
        <w:t xml:space="preserve">s </w:t>
      </w:r>
      <w:r w:rsidR="007B7208">
        <w:t>findings</w:t>
      </w:r>
      <w:r w:rsidR="00FB6043">
        <w:t xml:space="preserve"> concerning numerous irregularities during the general </w:t>
      </w:r>
      <w:r w:rsidR="00C13FDD">
        <w:t>assembly</w:t>
      </w:r>
      <w:r w:rsidR="00FB6043">
        <w:t xml:space="preserve"> </w:t>
      </w:r>
      <w:r w:rsidR="00201EB8">
        <w:t xml:space="preserve">meeting </w:t>
      </w:r>
      <w:r w:rsidR="00FB6043">
        <w:t xml:space="preserve">of 26 August 2002, as well as breaches of law in the general functioning of the </w:t>
      </w:r>
      <w:smartTag w:uri="urn:schemas-microsoft-com:office:smarttags" w:element="PersonName">
        <w:r>
          <w:t>A</w:t>
        </w:r>
        <w:r w:rsidR="00FB6043">
          <w:t>ssociation</w:t>
        </w:r>
      </w:smartTag>
      <w:r w:rsidR="00FB6043">
        <w:t xml:space="preserve">, </w:t>
      </w:r>
      <w:r>
        <w:t xml:space="preserve">constituted a basis </w:t>
      </w:r>
      <w:r w:rsidR="00E2596B">
        <w:t xml:space="preserve">on which </w:t>
      </w:r>
      <w:r>
        <w:t xml:space="preserve">to dissolve the </w:t>
      </w:r>
      <w:smartTag w:uri="urn:schemas-microsoft-com:office:smarttags" w:element="PersonName">
        <w:r>
          <w:t>Association</w:t>
        </w:r>
      </w:smartTag>
      <w:r>
        <w:t xml:space="preserve"> for systematic </w:t>
      </w:r>
      <w:r w:rsidR="00E02A7F">
        <w:t>failure to comply with</w:t>
      </w:r>
      <w:r>
        <w:t xml:space="preserve"> the domestic law</w:t>
      </w:r>
      <w:r w:rsidR="00FB6043">
        <w:t>.</w:t>
      </w:r>
    </w:p>
    <w:p w:rsidR="00636FD2" w:rsidP="00FB6043" w:rsidRDefault="00740E44">
      <w:pPr>
        <w:pStyle w:val="JuPara"/>
      </w:pPr>
      <w:r>
        <w:fldChar w:fldCharType="begin"/>
      </w:r>
      <w:r>
        <w:instrText xml:space="preserve"> SEQ level0 \*arabic </w:instrText>
      </w:r>
      <w:r>
        <w:fldChar w:fldCharType="separate"/>
      </w:r>
      <w:r w:rsidR="00DA3181">
        <w:rPr>
          <w:noProof/>
        </w:rPr>
        <w:t>24</w:t>
      </w:r>
      <w:r>
        <w:fldChar w:fldCharType="end"/>
      </w:r>
      <w:r>
        <w:t>.  </w:t>
      </w:r>
      <w:r w:rsidR="00FB6043">
        <w:t xml:space="preserve">Furthermore, </w:t>
      </w:r>
      <w:r w:rsidR="00E02A7F">
        <w:t xml:space="preserve">again </w:t>
      </w:r>
      <w:r w:rsidR="007B7208">
        <w:t xml:space="preserve">based on the above-mentioned </w:t>
      </w:r>
      <w:r w:rsidR="00E35E71">
        <w:t xml:space="preserve">oral </w:t>
      </w:r>
      <w:r w:rsidR="00FB6043">
        <w:t>testimonies</w:t>
      </w:r>
      <w:r w:rsidR="00E02A7F">
        <w:t xml:space="preserve"> </w:t>
      </w:r>
      <w:r w:rsidR="005F6536">
        <w:t>of</w:t>
      </w:r>
      <w:r w:rsidR="00E02A7F">
        <w:t xml:space="preserve"> the Ministry officials</w:t>
      </w:r>
      <w:r w:rsidRPr="007B7208" w:rsidR="007B7208">
        <w:t xml:space="preserve"> </w:t>
      </w:r>
      <w:r w:rsidR="007B7208">
        <w:t>and their inspection reports</w:t>
      </w:r>
      <w:r w:rsidR="00FB6043">
        <w:t xml:space="preserve">, the court </w:t>
      </w:r>
      <w:r w:rsidR="00E02A7F">
        <w:t>noted</w:t>
      </w:r>
      <w:r w:rsidR="00FB6043">
        <w:t xml:space="preserve"> that </w:t>
      </w:r>
      <w:r w:rsidR="00E02A7F">
        <w:t xml:space="preserve">the </w:t>
      </w:r>
      <w:smartTag w:uri="urn:schemas-microsoft-com:office:smarttags" w:element="PersonName">
        <w:r w:rsidR="00E02A7F">
          <w:t>Association</w:t>
        </w:r>
      </w:smartTag>
      <w:r w:rsidR="00FB6043">
        <w:t xml:space="preserve"> had frequently </w:t>
      </w:r>
      <w:r w:rsidR="00E2596B">
        <w:t xml:space="preserve">overstepped </w:t>
      </w:r>
      <w:r w:rsidR="00FB6043">
        <w:t xml:space="preserve">the limits of the scope of its activities as defined in its </w:t>
      </w:r>
      <w:r w:rsidR="00731231">
        <w:t>C</w:t>
      </w:r>
      <w:r w:rsidR="00FB6043">
        <w:t xml:space="preserve">harter and permitted by law, by interfering with the competence of the relevant </w:t>
      </w:r>
      <w:r w:rsidR="00E2596B">
        <w:t>S</w:t>
      </w:r>
      <w:r w:rsidR="00FB6043">
        <w:t>tate authorities. In particular,</w:t>
      </w:r>
      <w:r w:rsidR="00E02A7F">
        <w:t xml:space="preserve"> it was noted that</w:t>
      </w:r>
      <w:r w:rsidR="00FB6043">
        <w:t xml:space="preserve"> the </w:t>
      </w:r>
      <w:r w:rsidR="00E02A7F">
        <w:t>A</w:t>
      </w:r>
      <w:r w:rsidR="00FB6043">
        <w:t>ssociation</w:t>
      </w:r>
      <w:r w:rsidR="000D7A2F">
        <w:t>’</w:t>
      </w:r>
      <w:r w:rsidR="00FB6043">
        <w:t xml:space="preserve">s local </w:t>
      </w:r>
      <w:r w:rsidR="00201EB8">
        <w:t>branches</w:t>
      </w:r>
      <w:r w:rsidR="00E2596B">
        <w:t xml:space="preserve"> had</w:t>
      </w:r>
      <w:r w:rsidR="00FB6043">
        <w:t xml:space="preserve"> attempted to carry out unlawful environmental </w:t>
      </w:r>
      <w:r w:rsidR="00E02A7F">
        <w:t>inspections</w:t>
      </w:r>
      <w:r w:rsidR="00FB6043">
        <w:t xml:space="preserve"> </w:t>
      </w:r>
      <w:r w:rsidR="00E2596B">
        <w:t xml:space="preserve">on the premises of </w:t>
      </w:r>
      <w:r w:rsidR="00FB6043">
        <w:t xml:space="preserve">various </w:t>
      </w:r>
      <w:r w:rsidR="00E02A7F">
        <w:t>S</w:t>
      </w:r>
      <w:r w:rsidR="00FB6043">
        <w:t xml:space="preserve">tate and commercial enterprises and collect membership fees from them, issued </w:t>
      </w:r>
      <w:r w:rsidR="00E02A7F">
        <w:t>reports</w:t>
      </w:r>
      <w:r w:rsidR="00FB6043">
        <w:t xml:space="preserve"> on </w:t>
      </w:r>
      <w:r w:rsidR="00E02A7F">
        <w:t>these enterprises</w:t>
      </w:r>
      <w:r w:rsidR="000D7A2F">
        <w:t>’</w:t>
      </w:r>
      <w:r w:rsidR="00E02A7F">
        <w:t xml:space="preserve"> </w:t>
      </w:r>
      <w:r w:rsidR="00FB6043">
        <w:t>compliance with environmental standards, a</w:t>
      </w:r>
      <w:r w:rsidR="00E2596B">
        <w:t>nd engaged in</w:t>
      </w:r>
      <w:r w:rsidR="00FB6043">
        <w:t xml:space="preserve"> other actions interfering with the activities of commercial entities. The court found that, by engaging in such actions, </w:t>
      </w:r>
      <w:r w:rsidR="00E02A7F">
        <w:t>the Association</w:t>
      </w:r>
      <w:r w:rsidR="0059752E">
        <w:t xml:space="preserve"> had</w:t>
      </w:r>
      <w:r w:rsidR="00FB6043">
        <w:t xml:space="preserve"> violate</w:t>
      </w:r>
      <w:r w:rsidR="007B7208">
        <w:t>d</w:t>
      </w:r>
      <w:r w:rsidR="00FB6043">
        <w:t xml:space="preserve"> </w:t>
      </w:r>
      <w:r w:rsidR="0059752E">
        <w:t xml:space="preserve">the </w:t>
      </w:r>
      <w:r w:rsidR="00FB6043">
        <w:t xml:space="preserve">rights of other persons and </w:t>
      </w:r>
      <w:r w:rsidR="007B7208">
        <w:t xml:space="preserve">attempted to </w:t>
      </w:r>
      <w:r w:rsidR="00FB6043">
        <w:t xml:space="preserve">misappropriate </w:t>
      </w:r>
      <w:r w:rsidR="0059752E">
        <w:t xml:space="preserve">powers </w:t>
      </w:r>
      <w:r w:rsidR="00FB6043">
        <w:t xml:space="preserve">of a </w:t>
      </w:r>
      <w:r w:rsidR="0059752E">
        <w:t>S</w:t>
      </w:r>
      <w:r w:rsidR="00FB6043">
        <w:t xml:space="preserve">tate </w:t>
      </w:r>
      <w:r w:rsidR="007B7208">
        <w:t xml:space="preserve">regulating </w:t>
      </w:r>
      <w:r w:rsidR="00FB6043">
        <w:t>authority.</w:t>
      </w:r>
    </w:p>
    <w:p w:rsidR="00636FD2" w:rsidP="00E02A7F" w:rsidRDefault="00E02A7F">
      <w:pPr>
        <w:pStyle w:val="JuPara"/>
      </w:pPr>
      <w:r>
        <w:fldChar w:fldCharType="begin"/>
      </w:r>
      <w:r>
        <w:instrText xml:space="preserve"> SEQ level0 \*arabic </w:instrText>
      </w:r>
      <w:r>
        <w:fldChar w:fldCharType="separate"/>
      </w:r>
      <w:r w:rsidR="00DA3181">
        <w:rPr>
          <w:noProof/>
        </w:rPr>
        <w:t>25</w:t>
      </w:r>
      <w:r>
        <w:fldChar w:fldCharType="end"/>
      </w:r>
      <w:r>
        <w:t xml:space="preserve">.  The court </w:t>
      </w:r>
      <w:r w:rsidR="007B7208">
        <w:t xml:space="preserve">further noted that, in accordance with the NGO Act, </w:t>
      </w:r>
      <w:r w:rsidR="0059752E">
        <w:t xml:space="preserve">the </w:t>
      </w:r>
      <w:r w:rsidR="007B7208">
        <w:t>issuance of three warnings by the Ministry of Justice constituted a basis for an association</w:t>
      </w:r>
      <w:r w:rsidR="000D7A2F">
        <w:t>’</w:t>
      </w:r>
      <w:r w:rsidR="007B7208">
        <w:t xml:space="preserve">s dissolution if the latter </w:t>
      </w:r>
      <w:r w:rsidR="0059752E">
        <w:t xml:space="preserve">did </w:t>
      </w:r>
      <w:r w:rsidR="007B7208">
        <w:t xml:space="preserve">not </w:t>
      </w:r>
      <w:r>
        <w:t xml:space="preserve">take </w:t>
      </w:r>
      <w:r w:rsidR="007B7208">
        <w:t>any</w:t>
      </w:r>
      <w:r>
        <w:t xml:space="preserve"> measures to remedy the shortcomings </w:t>
      </w:r>
      <w:r w:rsidR="007B7208">
        <w:t xml:space="preserve">in its activities. The court therefore ordered that the </w:t>
      </w:r>
      <w:smartTag w:uri="urn:schemas-microsoft-com:office:smarttags" w:element="PersonName">
        <w:r w:rsidR="007B7208">
          <w:t>Association</w:t>
        </w:r>
      </w:smartTag>
      <w:r w:rsidR="007B7208">
        <w:t xml:space="preserve"> be dissolved.</w:t>
      </w:r>
    </w:p>
    <w:p w:rsidR="00636FD2" w:rsidP="00FB6043" w:rsidRDefault="00267FF1">
      <w:pPr>
        <w:pStyle w:val="JuPara"/>
      </w:pPr>
      <w:r>
        <w:fldChar w:fldCharType="begin"/>
      </w:r>
      <w:r>
        <w:instrText xml:space="preserve"> SEQ level0 \*arabic </w:instrText>
      </w:r>
      <w:r>
        <w:fldChar w:fldCharType="separate"/>
      </w:r>
      <w:r w:rsidR="00DA3181">
        <w:rPr>
          <w:noProof/>
        </w:rPr>
        <w:t>26</w:t>
      </w:r>
      <w:r>
        <w:fldChar w:fldCharType="end"/>
      </w:r>
      <w:r>
        <w:t>.  </w:t>
      </w:r>
      <w:r w:rsidR="00E02A7F">
        <w:t xml:space="preserve">The </w:t>
      </w:r>
      <w:smartTag w:uri="urn:schemas-microsoft-com:office:smarttags" w:element="PersonName">
        <w:r w:rsidR="00E02A7F">
          <w:t>Association</w:t>
        </w:r>
      </w:smartTag>
      <w:r w:rsidR="00FB6043">
        <w:t xml:space="preserve"> appealed, claiming that the provisions of the NGO</w:t>
      </w:r>
      <w:r w:rsidR="00DA3181">
        <w:t> </w:t>
      </w:r>
      <w:r w:rsidR="00E02A7F">
        <w:t>Act</w:t>
      </w:r>
      <w:r w:rsidR="00FB6043">
        <w:t xml:space="preserve"> were vague and imprecise, giving the Ministry a wide discretion to interfere with public associations</w:t>
      </w:r>
      <w:r w:rsidR="000D7A2F">
        <w:t>’</w:t>
      </w:r>
      <w:r w:rsidR="00FB6043">
        <w:t xml:space="preserve"> activities and to issue warnings even </w:t>
      </w:r>
      <w:r w:rsidR="0059752E">
        <w:t xml:space="preserve">for </w:t>
      </w:r>
      <w:r w:rsidR="00FB6043">
        <w:t xml:space="preserve">minor irregularities in their activities. </w:t>
      </w:r>
      <w:r w:rsidR="00E02A7F">
        <w:t xml:space="preserve">The </w:t>
      </w:r>
      <w:smartTag w:uri="urn:schemas-microsoft-com:office:smarttags" w:element="PersonName">
        <w:r w:rsidR="00E02A7F">
          <w:t>Association</w:t>
        </w:r>
      </w:smartTag>
      <w:r w:rsidR="00FB6043">
        <w:t xml:space="preserve"> also argued that the </w:t>
      </w:r>
      <w:proofErr w:type="spellStart"/>
      <w:r w:rsidR="007B7208">
        <w:t>Yasamal</w:t>
      </w:r>
      <w:proofErr w:type="spellEnd"/>
      <w:r w:rsidR="007B7208">
        <w:t xml:space="preserve"> District Court</w:t>
      </w:r>
      <w:r w:rsidR="000D7A2F">
        <w:t>’</w:t>
      </w:r>
      <w:r w:rsidR="00E02A7F">
        <w:t>s</w:t>
      </w:r>
      <w:r w:rsidR="00FB6043">
        <w:t xml:space="preserve"> factual findings concerning its activities had been incorrect and unsu</w:t>
      </w:r>
      <w:r w:rsidR="007B7208">
        <w:t>pported by any evidence</w:t>
      </w:r>
      <w:r w:rsidR="00FB6043">
        <w:t>.</w:t>
      </w:r>
    </w:p>
    <w:p w:rsidR="00FB6043" w:rsidP="00FB6043" w:rsidRDefault="0014124C">
      <w:pPr>
        <w:pStyle w:val="JuPara"/>
      </w:pPr>
      <w:r>
        <w:fldChar w:fldCharType="begin"/>
      </w:r>
      <w:r>
        <w:instrText xml:space="preserve"> SEQ level0 \*arabic </w:instrText>
      </w:r>
      <w:r>
        <w:fldChar w:fldCharType="separate"/>
      </w:r>
      <w:r w:rsidR="00DA3181">
        <w:rPr>
          <w:noProof/>
        </w:rPr>
        <w:t>27</w:t>
      </w:r>
      <w:r>
        <w:fldChar w:fldCharType="end"/>
      </w:r>
      <w:r>
        <w:t>.  </w:t>
      </w:r>
      <w:r w:rsidR="00FB6043">
        <w:t xml:space="preserve">On 4 July 2003 the Court of Appeal dismissed </w:t>
      </w:r>
      <w:r w:rsidR="00267FF1">
        <w:t xml:space="preserve">the appeal and upheld the </w:t>
      </w:r>
      <w:proofErr w:type="spellStart"/>
      <w:r>
        <w:t>Yasamal</w:t>
      </w:r>
      <w:proofErr w:type="spellEnd"/>
      <w:r>
        <w:t xml:space="preserve"> District Court</w:t>
      </w:r>
      <w:r w:rsidR="000D7A2F">
        <w:t>’</w:t>
      </w:r>
      <w:r>
        <w:t>s</w:t>
      </w:r>
      <w:r w:rsidR="00FB6043">
        <w:t xml:space="preserve"> judgment.</w:t>
      </w:r>
    </w:p>
    <w:p w:rsidR="00636FD2" w:rsidRDefault="00267FF1">
      <w:pPr>
        <w:pStyle w:val="JuPara"/>
      </w:pPr>
      <w:r>
        <w:fldChar w:fldCharType="begin"/>
      </w:r>
      <w:r>
        <w:instrText xml:space="preserve"> SEQ level0 \*arabic </w:instrText>
      </w:r>
      <w:r>
        <w:fldChar w:fldCharType="separate"/>
      </w:r>
      <w:r w:rsidR="00DA3181">
        <w:rPr>
          <w:noProof/>
        </w:rPr>
        <w:t>28</w:t>
      </w:r>
      <w:r>
        <w:fldChar w:fldCharType="end"/>
      </w:r>
      <w:r>
        <w:t>.  </w:t>
      </w:r>
      <w:r w:rsidR="00967D82">
        <w:t xml:space="preserve">By a final decision of </w:t>
      </w:r>
      <w:r w:rsidR="00FB6043">
        <w:t>29 October 200</w:t>
      </w:r>
      <w:r w:rsidR="00967D82">
        <w:t>3,</w:t>
      </w:r>
      <w:r w:rsidR="00FB6043">
        <w:t xml:space="preserve"> the Supreme Court upheld the lower courts</w:t>
      </w:r>
      <w:r w:rsidR="000D7A2F">
        <w:t>’</w:t>
      </w:r>
      <w:r w:rsidR="00FB6043">
        <w:t xml:space="preserve"> judgments.</w:t>
      </w:r>
    </w:p>
    <w:p w:rsidRPr="00431462" w:rsidR="00260DD7" w:rsidRDefault="00E02A7F">
      <w:pPr>
        <w:pStyle w:val="JuPara"/>
      </w:pPr>
      <w:r>
        <w:fldChar w:fldCharType="begin"/>
      </w:r>
      <w:r>
        <w:instrText xml:space="preserve"> SEQ level0 \*arabic </w:instrText>
      </w:r>
      <w:r>
        <w:fldChar w:fldCharType="separate"/>
      </w:r>
      <w:r w:rsidR="00DA3181">
        <w:rPr>
          <w:noProof/>
        </w:rPr>
        <w:t>29</w:t>
      </w:r>
      <w:r>
        <w:fldChar w:fldCharType="end"/>
      </w:r>
      <w:r>
        <w:t>.  </w:t>
      </w:r>
      <w:r w:rsidR="00967D82">
        <w:t>T</w:t>
      </w:r>
      <w:r>
        <w:t>he Association</w:t>
      </w:r>
      <w:r w:rsidR="000D7A2F">
        <w:t>’</w:t>
      </w:r>
      <w:r>
        <w:t xml:space="preserve">s </w:t>
      </w:r>
      <w:r w:rsidR="00DA3181">
        <w:t>S</w:t>
      </w:r>
      <w:r>
        <w:t xml:space="preserve">tate registration certificate was revoked and the </w:t>
      </w:r>
      <w:smartTag w:uri="urn:schemas-microsoft-com:office:smarttags" w:element="PersonName">
        <w:r>
          <w:t>Association</w:t>
        </w:r>
      </w:smartTag>
      <w:r w:rsidR="00FB6043">
        <w:t xml:space="preserve"> was dissolved.</w:t>
      </w:r>
    </w:p>
    <w:p w:rsidRPr="00431462" w:rsidR="00260DD7" w:rsidP="00AF60D4" w:rsidRDefault="0015760D">
      <w:pPr>
        <w:pStyle w:val="JuHIRoman"/>
        <w:outlineLvl w:val="0"/>
      </w:pPr>
      <w:r>
        <w:t>II.  RELEVANT DOMESTIC LAW</w:t>
      </w:r>
    </w:p>
    <w:p w:rsidR="0015760D" w:rsidP="00AF60D4" w:rsidRDefault="0015760D">
      <w:pPr>
        <w:pStyle w:val="JuHA"/>
        <w:outlineLvl w:val="0"/>
      </w:pPr>
      <w:r>
        <w:t>A.  Civil Code of 2000</w:t>
      </w:r>
    </w:p>
    <w:p w:rsidR="00260DD7" w:rsidRDefault="00431462">
      <w:pPr>
        <w:pStyle w:val="JuPara"/>
      </w:pPr>
      <w:r w:rsidRPr="00431462">
        <w:fldChar w:fldCharType="begin"/>
      </w:r>
      <w:r w:rsidRPr="00431462">
        <w:instrText xml:space="preserve"> SEQ level0 \*arabic </w:instrText>
      </w:r>
      <w:r w:rsidRPr="00431462">
        <w:fldChar w:fldCharType="separate"/>
      </w:r>
      <w:r w:rsidR="00DA3181">
        <w:rPr>
          <w:noProof/>
        </w:rPr>
        <w:t>30</w:t>
      </w:r>
      <w:r w:rsidRPr="00431462">
        <w:fldChar w:fldCharType="end"/>
      </w:r>
      <w:r w:rsidRPr="00431462" w:rsidR="00260DD7">
        <w:t>.  </w:t>
      </w:r>
      <w:r w:rsidR="0015760D">
        <w:t>Article 59 of the Civil Code provides:</w:t>
      </w:r>
    </w:p>
    <w:p w:rsidRPr="001D2A88" w:rsidR="001D2A88" w:rsidP="00AF60D4" w:rsidRDefault="001D2A88">
      <w:pPr>
        <w:pStyle w:val="JuHArticle"/>
        <w:outlineLvl w:val="0"/>
      </w:pPr>
      <w:r w:rsidRPr="001D2A88">
        <w:t>Article 59</w:t>
      </w:r>
      <w:r w:rsidR="00861427">
        <w:t xml:space="preserve"> – </w:t>
      </w:r>
      <w:r w:rsidRPr="001D2A88">
        <w:t>Dissolution of a legal entity</w:t>
      </w:r>
    </w:p>
    <w:p w:rsidR="0015760D" w:rsidP="0015760D" w:rsidRDefault="0015760D">
      <w:pPr>
        <w:pStyle w:val="JuQuot"/>
      </w:pPr>
      <w:r>
        <w:t xml:space="preserve">“59.2.  A legal entity may be dissolved: </w:t>
      </w:r>
      <w:r w:rsidR="00636FD2">
        <w:t>...</w:t>
      </w:r>
    </w:p>
    <w:p w:rsidR="00636FD2" w:rsidP="0015760D" w:rsidRDefault="0015760D">
      <w:pPr>
        <w:pStyle w:val="JuQuot"/>
      </w:pPr>
      <w:r>
        <w:t>59.2.3.  </w:t>
      </w:r>
      <w:r w:rsidR="00EE6EF9">
        <w:t>B</w:t>
      </w:r>
      <w:r>
        <w:t>y a court order, if the legal entity engages in activities without the required permit (licen</w:t>
      </w:r>
      <w:r w:rsidR="00DA3181">
        <w:t>c</w:t>
      </w:r>
      <w:r>
        <w:t xml:space="preserve">e) or in activities prohibited by law, or if it otherwise commits repeated or grave breaches of law, or if a public association or foundation systematically engages in activities that are contrary to </w:t>
      </w:r>
      <w:r w:rsidRPr="00424656">
        <w:t>the aims set out in its by-laws</w:t>
      </w:r>
      <w:r>
        <w:t>, as well as in other cases provided by law.</w:t>
      </w:r>
    </w:p>
    <w:p w:rsidR="0015760D" w:rsidP="0015760D" w:rsidRDefault="0015760D">
      <w:pPr>
        <w:pStyle w:val="JuQuot"/>
      </w:pPr>
      <w:r>
        <w:t>59.3.  A request to dissolve the legal entity under t</w:t>
      </w:r>
      <w:r w:rsidR="00636FD2">
        <w:t>he grounds specified in Article </w:t>
      </w:r>
      <w:r>
        <w:t xml:space="preserve">59.2 of this Code may be lodged by the relevant </w:t>
      </w:r>
      <w:r w:rsidR="0059752E">
        <w:t>S</w:t>
      </w:r>
      <w:r>
        <w:t xml:space="preserve">tate authority or local self-administration authority, to which the right to lodge such a request is granted by law. </w:t>
      </w:r>
      <w:r w:rsidR="00636FD2">
        <w:t>...</w:t>
      </w:r>
      <w:r>
        <w:t>”</w:t>
      </w:r>
    </w:p>
    <w:p w:rsidR="0015760D" w:rsidP="00AF60D4" w:rsidRDefault="0015760D">
      <w:pPr>
        <w:pStyle w:val="JuHA"/>
        <w:outlineLvl w:val="0"/>
      </w:pPr>
      <w:r>
        <w:t>B.  </w:t>
      </w:r>
      <w:r w:rsidR="00D51F5F">
        <w:t>The</w:t>
      </w:r>
      <w:r w:rsidR="00DA3181">
        <w:t xml:space="preserve"> </w:t>
      </w:r>
      <w:r>
        <w:t>NGO Act</w:t>
      </w:r>
    </w:p>
    <w:p w:rsidR="0015760D" w:rsidRDefault="0015760D">
      <w:pPr>
        <w:pStyle w:val="JuPara"/>
      </w:pPr>
      <w:r>
        <w:fldChar w:fldCharType="begin"/>
      </w:r>
      <w:r>
        <w:instrText xml:space="preserve"> SEQ level0 \*arabic </w:instrText>
      </w:r>
      <w:r>
        <w:fldChar w:fldCharType="separate"/>
      </w:r>
      <w:r w:rsidR="00DA3181">
        <w:rPr>
          <w:noProof/>
        </w:rPr>
        <w:t>31</w:t>
      </w:r>
      <w:r>
        <w:fldChar w:fldCharType="end"/>
      </w:r>
      <w:r>
        <w:t>.  </w:t>
      </w:r>
      <w:r w:rsidR="0013091A">
        <w:t>Section</w:t>
      </w:r>
      <w:r w:rsidR="0059752E">
        <w:t xml:space="preserve"> </w:t>
      </w:r>
      <w:r w:rsidR="001D2A88">
        <w:t xml:space="preserve">1 </w:t>
      </w:r>
      <w:r w:rsidR="00DD3877">
        <w:t xml:space="preserve">of the NGO Act </w:t>
      </w:r>
      <w:r w:rsidR="001D2A88">
        <w:t>provides</w:t>
      </w:r>
      <w:r>
        <w:t>:</w:t>
      </w:r>
    </w:p>
    <w:p w:rsidR="002052AF" w:rsidP="00AF60D4" w:rsidRDefault="0013091A">
      <w:pPr>
        <w:pStyle w:val="JuHArticle"/>
        <w:outlineLvl w:val="0"/>
      </w:pPr>
      <w:r>
        <w:t>Section</w:t>
      </w:r>
      <w:r w:rsidR="0059752E">
        <w:t xml:space="preserve"> </w:t>
      </w:r>
      <w:r w:rsidR="002052AF">
        <w:t>1</w:t>
      </w:r>
      <w:r w:rsidR="00861427">
        <w:t xml:space="preserve"> – </w:t>
      </w:r>
      <w:r w:rsidR="002052AF">
        <w:t>Objectives of this Law</w:t>
      </w:r>
    </w:p>
    <w:p w:rsidR="00636FD2" w:rsidP="002052AF" w:rsidRDefault="002052AF">
      <w:pPr>
        <w:pStyle w:val="JuQuot"/>
      </w:pPr>
      <w:r>
        <w:t>“1.1.  This Law regulates the relations concerning the establishment and functioning of public associations and foundations.</w:t>
      </w:r>
    </w:p>
    <w:p w:rsidR="00636FD2" w:rsidP="002052AF" w:rsidRDefault="002052AF">
      <w:pPr>
        <w:pStyle w:val="JuQuot"/>
      </w:pPr>
      <w:r>
        <w:t xml:space="preserve">1.2.  The definition of </w:t>
      </w:r>
      <w:r w:rsidR="000D7A2F">
        <w:t>‘</w:t>
      </w:r>
      <w:r>
        <w:t>non-governmental organisation</w:t>
      </w:r>
      <w:r w:rsidR="000D7A2F">
        <w:t>’</w:t>
      </w:r>
      <w:r>
        <w:t xml:space="preserve"> in this Law includes public associations and foundations.</w:t>
      </w:r>
    </w:p>
    <w:p w:rsidR="00636FD2" w:rsidP="002052AF" w:rsidRDefault="002052AF">
      <w:pPr>
        <w:pStyle w:val="JuQuot"/>
      </w:pPr>
      <w:r>
        <w:t>1.3.  This Law determines the rules for</w:t>
      </w:r>
      <w:r w:rsidR="0059752E">
        <w:t xml:space="preserve"> the</w:t>
      </w:r>
      <w:r>
        <w:t xml:space="preserve"> establishment, activity, reorganisation and dissolution of non-governmental organisations, as well as their functioning, management, and relations with government bodies.</w:t>
      </w:r>
    </w:p>
    <w:p w:rsidR="0015760D" w:rsidP="002052AF" w:rsidRDefault="002052AF">
      <w:pPr>
        <w:pStyle w:val="JuQuot"/>
      </w:pPr>
      <w:r>
        <w:t>1.4.  This Law does not apply to political parties, trade unions, religious organisations, local self-administration authorities and non-governmental organisations which are regulated by other laws.”</w:t>
      </w:r>
    </w:p>
    <w:p w:rsidR="00636FD2" w:rsidRDefault="001D2A88">
      <w:pPr>
        <w:pStyle w:val="JuPara"/>
      </w:pPr>
      <w:r>
        <w:fldChar w:fldCharType="begin"/>
      </w:r>
      <w:r>
        <w:instrText xml:space="preserve"> SEQ level0 \*arabic </w:instrText>
      </w:r>
      <w:r>
        <w:fldChar w:fldCharType="separate"/>
      </w:r>
      <w:r w:rsidR="00DA3181">
        <w:rPr>
          <w:noProof/>
        </w:rPr>
        <w:t>32</w:t>
      </w:r>
      <w:r>
        <w:fldChar w:fldCharType="end"/>
      </w:r>
      <w:r>
        <w:t>.  </w:t>
      </w:r>
      <w:r w:rsidR="0059752E">
        <w:t xml:space="preserve">Under </w:t>
      </w:r>
      <w:r w:rsidR="0013091A">
        <w:t>section</w:t>
      </w:r>
      <w:r>
        <w:t xml:space="preserve"> 2, a public association is defined as </w:t>
      </w:r>
      <w:r w:rsidR="00D51F5F">
        <w:t xml:space="preserve">an NGO </w:t>
      </w:r>
      <w:r>
        <w:t>established on the initiative of several individuals and</w:t>
      </w:r>
      <w:r w:rsidR="00D51F5F">
        <w:t>/or</w:t>
      </w:r>
      <w:r>
        <w:t xml:space="preserve"> legal entities associated on the basis of common interests in pursuing the objectives set out in the association</w:t>
      </w:r>
      <w:r w:rsidR="000D7A2F">
        <w:t>’</w:t>
      </w:r>
      <w:r>
        <w:t>s by-laws, which does not engage in profit-making as a primary aim of its activity and which does not distribute any profit between its members.</w:t>
      </w:r>
    </w:p>
    <w:p w:rsidR="00636FD2" w:rsidRDefault="00160D26">
      <w:pPr>
        <w:pStyle w:val="JuPara"/>
      </w:pPr>
      <w:r>
        <w:fldChar w:fldCharType="begin"/>
      </w:r>
      <w:r>
        <w:instrText xml:space="preserve"> SEQ level0 \*arabic </w:instrText>
      </w:r>
      <w:r>
        <w:fldChar w:fldCharType="separate"/>
      </w:r>
      <w:r w:rsidR="00DA3181">
        <w:rPr>
          <w:noProof/>
        </w:rPr>
        <w:t>33</w:t>
      </w:r>
      <w:r>
        <w:fldChar w:fldCharType="end"/>
      </w:r>
      <w:r>
        <w:t>.  Chapter IV (</w:t>
      </w:r>
      <w:r w:rsidR="0013091A">
        <w:t>sections</w:t>
      </w:r>
      <w:r w:rsidR="0059752E">
        <w:t xml:space="preserve"> </w:t>
      </w:r>
      <w:r>
        <w:t xml:space="preserve">22-24) regulates issues related to the activities and property of </w:t>
      </w:r>
      <w:r w:rsidR="00D51F5F">
        <w:t>NGOs</w:t>
      </w:r>
      <w:r>
        <w:t xml:space="preserve">. In particular, </w:t>
      </w:r>
      <w:r w:rsidR="0059752E">
        <w:t xml:space="preserve">under </w:t>
      </w:r>
      <w:r w:rsidR="0013091A">
        <w:t>section</w:t>
      </w:r>
      <w:r w:rsidR="008943CB">
        <w:t xml:space="preserve"> </w:t>
      </w:r>
      <w:r>
        <w:t>22</w:t>
      </w:r>
      <w:r w:rsidR="002C0CA4">
        <w:t>.</w:t>
      </w:r>
      <w:r>
        <w:t xml:space="preserve">1, </w:t>
      </w:r>
      <w:r w:rsidR="00D51F5F">
        <w:t>an NGO</w:t>
      </w:r>
      <w:r>
        <w:t xml:space="preserve"> may engage in any type of activity which is not prohibited by the laws of the Republic of Azerbaijan and which is not contrary to the aims of the organisation as set out in its charter.</w:t>
      </w:r>
    </w:p>
    <w:p w:rsidR="00636FD2" w:rsidRDefault="00160D26">
      <w:pPr>
        <w:pStyle w:val="JuPara"/>
        <w:rPr>
          <w:lang w:val="az-Latn-AZ"/>
        </w:rPr>
      </w:pPr>
      <w:r>
        <w:rPr>
          <w:lang w:val="az-Latn-AZ"/>
        </w:rPr>
        <w:fldChar w:fldCharType="begin"/>
      </w:r>
      <w:r>
        <w:rPr>
          <w:lang w:val="az-Latn-AZ"/>
        </w:rPr>
        <w:instrText xml:space="preserve"> SEQ level0 \*arabic </w:instrText>
      </w:r>
      <w:r>
        <w:rPr>
          <w:lang w:val="az-Latn-AZ"/>
        </w:rPr>
        <w:fldChar w:fldCharType="separate"/>
      </w:r>
      <w:r w:rsidR="00DA3181">
        <w:rPr>
          <w:noProof/>
          <w:lang w:val="az-Latn-AZ"/>
        </w:rPr>
        <w:t>34</w:t>
      </w:r>
      <w:r>
        <w:rPr>
          <w:lang w:val="az-Latn-AZ"/>
        </w:rPr>
        <w:fldChar w:fldCharType="end"/>
      </w:r>
      <w:r>
        <w:rPr>
          <w:lang w:val="az-Latn-AZ"/>
        </w:rPr>
        <w:t>.  Chapter V (</w:t>
      </w:r>
      <w:r w:rsidR="0013091A">
        <w:rPr>
          <w:lang w:val="az-Latn-AZ"/>
        </w:rPr>
        <w:t>sections</w:t>
      </w:r>
      <w:r w:rsidR="0059752E">
        <w:rPr>
          <w:lang w:val="az-Latn-AZ"/>
        </w:rPr>
        <w:t xml:space="preserve"> </w:t>
      </w:r>
      <w:r>
        <w:rPr>
          <w:lang w:val="az-Latn-AZ"/>
        </w:rPr>
        <w:t xml:space="preserve">25-27) contains rules on the management of </w:t>
      </w:r>
      <w:r w:rsidR="00D51F5F">
        <w:rPr>
          <w:lang w:val="az-Latn-AZ"/>
        </w:rPr>
        <w:t>NGOs</w:t>
      </w:r>
      <w:r>
        <w:rPr>
          <w:lang w:val="az-Latn-AZ"/>
        </w:rPr>
        <w:t xml:space="preserve">. </w:t>
      </w:r>
      <w:r w:rsidR="0013091A">
        <w:rPr>
          <w:lang w:val="az-Latn-AZ"/>
        </w:rPr>
        <w:t>Section</w:t>
      </w:r>
      <w:r w:rsidR="00B55F4C">
        <w:rPr>
          <w:lang w:val="az-Latn-AZ"/>
        </w:rPr>
        <w:t xml:space="preserve"> 25</w:t>
      </w:r>
      <w:r w:rsidR="002C0CA4">
        <w:rPr>
          <w:lang w:val="az-Latn-AZ"/>
        </w:rPr>
        <w:t>.</w:t>
      </w:r>
      <w:r w:rsidR="00B55F4C">
        <w:rPr>
          <w:lang w:val="az-Latn-AZ"/>
        </w:rPr>
        <w:t>1</w:t>
      </w:r>
      <w:r w:rsidR="0059752E">
        <w:rPr>
          <w:lang w:val="az-Latn-AZ"/>
        </w:rPr>
        <w:t xml:space="preserve"> provides that</w:t>
      </w:r>
      <w:r>
        <w:rPr>
          <w:lang w:val="az-Latn-AZ"/>
        </w:rPr>
        <w:t xml:space="preserve"> the internal structure of a public association,</w:t>
      </w:r>
      <w:r w:rsidR="0059752E">
        <w:rPr>
          <w:lang w:val="az-Latn-AZ"/>
        </w:rPr>
        <w:t xml:space="preserve"> the</w:t>
      </w:r>
      <w:r>
        <w:rPr>
          <w:lang w:val="az-Latn-AZ"/>
        </w:rPr>
        <w:t xml:space="preserve"> </w:t>
      </w:r>
      <w:r w:rsidR="0045706C">
        <w:rPr>
          <w:lang w:val="az-Latn-AZ"/>
        </w:rPr>
        <w:t xml:space="preserve">powers </w:t>
      </w:r>
      <w:r>
        <w:rPr>
          <w:lang w:val="az-Latn-AZ"/>
        </w:rPr>
        <w:t>of its governing bodies, their formation procedure and term of office</w:t>
      </w:r>
      <w:r w:rsidR="0059752E">
        <w:rPr>
          <w:lang w:val="az-Latn-AZ"/>
        </w:rPr>
        <w:t xml:space="preserve"> and the</w:t>
      </w:r>
      <w:r>
        <w:rPr>
          <w:lang w:val="az-Latn-AZ"/>
        </w:rPr>
        <w:t xml:space="preserve"> rules on decision-making and representing the association</w:t>
      </w:r>
      <w:r w:rsidR="00B55F4C">
        <w:rPr>
          <w:lang w:val="az-Latn-AZ"/>
        </w:rPr>
        <w:t xml:space="preserve"> shall be regulated by the public association</w:t>
      </w:r>
      <w:r w:rsidR="000D7A2F">
        <w:rPr>
          <w:lang w:val="az-Latn-AZ"/>
        </w:rPr>
        <w:t>’</w:t>
      </w:r>
      <w:r w:rsidR="00B55F4C">
        <w:rPr>
          <w:lang w:val="az-Latn-AZ"/>
        </w:rPr>
        <w:t xml:space="preserve">s charter, subject to the conditions set out in the NGO Act and other relevant legal </w:t>
      </w:r>
      <w:r w:rsidR="0045706C">
        <w:rPr>
          <w:lang w:val="az-Latn-AZ"/>
        </w:rPr>
        <w:t>provisions</w:t>
      </w:r>
      <w:r w:rsidR="00B55F4C">
        <w:rPr>
          <w:lang w:val="az-Latn-AZ"/>
        </w:rPr>
        <w:t>. In particular, the supreme governing body of a public association is the general assembly of members</w:t>
      </w:r>
      <w:r w:rsidR="0059752E">
        <w:rPr>
          <w:lang w:val="az-Latn-AZ"/>
        </w:rPr>
        <w:t>,</w:t>
      </w:r>
      <w:r w:rsidR="00B55F4C">
        <w:rPr>
          <w:lang w:val="az-Latn-AZ"/>
        </w:rPr>
        <w:t xml:space="preserve"> to be convened not less than once a year, upon the initiative </w:t>
      </w:r>
      <w:r w:rsidR="00827281">
        <w:rPr>
          <w:lang w:val="az-Latn-AZ"/>
        </w:rPr>
        <w:t xml:space="preserve">of </w:t>
      </w:r>
      <w:r w:rsidR="00B55F4C">
        <w:rPr>
          <w:lang w:val="az-Latn-AZ"/>
        </w:rPr>
        <w:t>the associations</w:t>
      </w:r>
      <w:r w:rsidR="000D7A2F">
        <w:rPr>
          <w:lang w:val="az-Latn-AZ"/>
        </w:rPr>
        <w:t>’</w:t>
      </w:r>
      <w:r w:rsidR="00B55F4C">
        <w:rPr>
          <w:lang w:val="az-Latn-AZ"/>
        </w:rPr>
        <w:t>s executive body, one of its founders or one third of its members (</w:t>
      </w:r>
      <w:r w:rsidR="0013091A">
        <w:rPr>
          <w:lang w:val="az-Latn-AZ"/>
        </w:rPr>
        <w:t>sections</w:t>
      </w:r>
      <w:r w:rsidR="00827281">
        <w:rPr>
          <w:lang w:val="az-Latn-AZ"/>
        </w:rPr>
        <w:t xml:space="preserve"> </w:t>
      </w:r>
      <w:r w:rsidR="00B55F4C">
        <w:rPr>
          <w:lang w:val="az-Latn-AZ"/>
        </w:rPr>
        <w:t>25</w:t>
      </w:r>
      <w:r w:rsidR="002C0CA4">
        <w:rPr>
          <w:lang w:val="az-Latn-AZ"/>
        </w:rPr>
        <w:t>.</w:t>
      </w:r>
      <w:r w:rsidR="00B55F4C">
        <w:rPr>
          <w:lang w:val="az-Latn-AZ"/>
        </w:rPr>
        <w:t>2-25</w:t>
      </w:r>
      <w:r w:rsidR="002C0CA4">
        <w:rPr>
          <w:lang w:val="az-Latn-AZ"/>
        </w:rPr>
        <w:t>.</w:t>
      </w:r>
      <w:r w:rsidR="00B55F4C">
        <w:rPr>
          <w:lang w:val="az-Latn-AZ"/>
        </w:rPr>
        <w:t>3)</w:t>
      </w:r>
      <w:r w:rsidR="00EE260A">
        <w:rPr>
          <w:lang w:val="az-Latn-AZ"/>
        </w:rPr>
        <w:t xml:space="preserve">. The general assembly decides upon, </w:t>
      </w:r>
      <w:r w:rsidR="00EE260A">
        <w:rPr>
          <w:i/>
          <w:lang w:val="az-Latn-AZ"/>
        </w:rPr>
        <w:t>inter alia</w:t>
      </w:r>
      <w:r w:rsidR="00EE260A">
        <w:rPr>
          <w:lang w:val="az-Latn-AZ"/>
        </w:rPr>
        <w:t>, the following issues: (1)</w:t>
      </w:r>
      <w:r w:rsidR="00EE31EF">
        <w:rPr>
          <w:lang w:val="az-Latn-AZ"/>
        </w:rPr>
        <w:t> </w:t>
      </w:r>
      <w:r w:rsidR="00EE260A">
        <w:rPr>
          <w:lang w:val="az-Latn-AZ"/>
        </w:rPr>
        <w:t>adoption</w:t>
      </w:r>
      <w:r w:rsidR="00827281">
        <w:rPr>
          <w:lang w:val="az-Latn-AZ"/>
        </w:rPr>
        <w:t xml:space="preserve"> of</w:t>
      </w:r>
      <w:r w:rsidR="00EE260A">
        <w:rPr>
          <w:lang w:val="az-Latn-AZ"/>
        </w:rPr>
        <w:t xml:space="preserve"> and amendments to the association</w:t>
      </w:r>
      <w:r w:rsidR="000D7A2F">
        <w:rPr>
          <w:lang w:val="az-Latn-AZ"/>
        </w:rPr>
        <w:t>’</w:t>
      </w:r>
      <w:r w:rsidR="00EE260A">
        <w:rPr>
          <w:lang w:val="az-Latn-AZ"/>
        </w:rPr>
        <w:t>s charter; (2) use of the association</w:t>
      </w:r>
      <w:r w:rsidR="000D7A2F">
        <w:rPr>
          <w:lang w:val="az-Latn-AZ"/>
        </w:rPr>
        <w:t>’</w:t>
      </w:r>
      <w:r w:rsidR="00EE260A">
        <w:rPr>
          <w:lang w:val="az-Latn-AZ"/>
        </w:rPr>
        <w:t>s property; (3) election of the association</w:t>
      </w:r>
      <w:r w:rsidR="000D7A2F">
        <w:rPr>
          <w:lang w:val="az-Latn-AZ"/>
        </w:rPr>
        <w:t>’</w:t>
      </w:r>
      <w:r w:rsidR="00EE260A">
        <w:rPr>
          <w:lang w:val="az-Latn-AZ"/>
        </w:rPr>
        <w:t xml:space="preserve">s other governing bodies and early termination of their office; </w:t>
      </w:r>
      <w:r w:rsidR="00C57ACB">
        <w:rPr>
          <w:lang w:val="az-Latn-AZ"/>
        </w:rPr>
        <w:t xml:space="preserve">and </w:t>
      </w:r>
      <w:r w:rsidR="00EE260A">
        <w:rPr>
          <w:lang w:val="az-Latn-AZ"/>
        </w:rPr>
        <w:t>(4) approval of t</w:t>
      </w:r>
      <w:r w:rsidR="00636FD2">
        <w:rPr>
          <w:lang w:val="az-Latn-AZ"/>
        </w:rPr>
        <w:t xml:space="preserve">he annual report, </w:t>
      </w:r>
      <w:r w:rsidR="00893CEC">
        <w:rPr>
          <w:lang w:val="az-Latn-AZ"/>
        </w:rPr>
        <w:t>among other publications</w:t>
      </w:r>
      <w:r w:rsidR="00636FD2">
        <w:rPr>
          <w:lang w:val="az-Latn-AZ"/>
        </w:rPr>
        <w:t xml:space="preserve"> (</w:t>
      </w:r>
      <w:r w:rsidR="0013091A">
        <w:rPr>
          <w:lang w:val="az-Latn-AZ"/>
        </w:rPr>
        <w:t>section</w:t>
      </w:r>
      <w:r w:rsidR="00EE31EF">
        <w:rPr>
          <w:lang w:val="az-Latn-AZ"/>
        </w:rPr>
        <w:t xml:space="preserve"> </w:t>
      </w:r>
      <w:r w:rsidR="00EE260A">
        <w:rPr>
          <w:lang w:val="az-Latn-AZ"/>
        </w:rPr>
        <w:t>25</w:t>
      </w:r>
      <w:r w:rsidR="002C0CA4">
        <w:rPr>
          <w:lang w:val="az-Latn-AZ"/>
        </w:rPr>
        <w:t>.</w:t>
      </w:r>
      <w:r w:rsidR="00EE260A">
        <w:rPr>
          <w:lang w:val="az-Latn-AZ"/>
        </w:rPr>
        <w:t xml:space="preserve">5). The founders and members of the public association must be informed </w:t>
      </w:r>
      <w:r w:rsidR="00827281">
        <w:rPr>
          <w:lang w:val="az-Latn-AZ"/>
        </w:rPr>
        <w:t xml:space="preserve">of </w:t>
      </w:r>
      <w:r w:rsidR="00EE260A">
        <w:rPr>
          <w:lang w:val="az-Latn-AZ"/>
        </w:rPr>
        <w:t>the date and place of the general assembly at least two weeks in advance. Amendments to the association</w:t>
      </w:r>
      <w:r w:rsidR="000D7A2F">
        <w:rPr>
          <w:lang w:val="az-Latn-AZ"/>
        </w:rPr>
        <w:t>’</w:t>
      </w:r>
      <w:r w:rsidR="00EE260A">
        <w:rPr>
          <w:lang w:val="az-Latn-AZ"/>
        </w:rPr>
        <w:t>s charter may be made only if the quorum of more than half of the association members is present. Decisions are adopted by a majority of vote</w:t>
      </w:r>
      <w:r w:rsidR="00424656">
        <w:rPr>
          <w:lang w:val="az-Latn-AZ"/>
        </w:rPr>
        <w:t>s</w:t>
      </w:r>
      <w:r w:rsidR="00EE260A">
        <w:rPr>
          <w:lang w:val="az-Latn-AZ"/>
        </w:rPr>
        <w:t xml:space="preserve"> of the participating members. Each member has one vote (</w:t>
      </w:r>
      <w:r w:rsidR="0013091A">
        <w:rPr>
          <w:lang w:val="az-Latn-AZ"/>
        </w:rPr>
        <w:t>section</w:t>
      </w:r>
      <w:r w:rsidR="00893CEC">
        <w:rPr>
          <w:lang w:val="az-Latn-AZ"/>
        </w:rPr>
        <w:t> </w:t>
      </w:r>
      <w:r w:rsidR="00EE260A">
        <w:rPr>
          <w:lang w:val="az-Latn-AZ"/>
        </w:rPr>
        <w:t>25</w:t>
      </w:r>
      <w:r w:rsidR="002C0CA4">
        <w:rPr>
          <w:lang w:val="az-Latn-AZ"/>
        </w:rPr>
        <w:t>.</w:t>
      </w:r>
      <w:r w:rsidR="00EE260A">
        <w:rPr>
          <w:lang w:val="az-Latn-AZ"/>
        </w:rPr>
        <w:t>6). It is required to keep written minutes of the general assembly, which shall be signed by the assembly</w:t>
      </w:r>
      <w:r w:rsidR="000D7A2F">
        <w:rPr>
          <w:lang w:val="az-Latn-AZ"/>
        </w:rPr>
        <w:t>’</w:t>
      </w:r>
      <w:r w:rsidR="00EE260A">
        <w:rPr>
          <w:lang w:val="az-Latn-AZ"/>
        </w:rPr>
        <w:t>s president and secretary and, if necessary, dist</w:t>
      </w:r>
      <w:r w:rsidR="00636FD2">
        <w:rPr>
          <w:lang w:val="az-Latn-AZ"/>
        </w:rPr>
        <w:t>ributed to all members (</w:t>
      </w:r>
      <w:r w:rsidR="0013091A">
        <w:rPr>
          <w:lang w:val="az-Latn-AZ"/>
        </w:rPr>
        <w:t>section</w:t>
      </w:r>
      <w:r w:rsidR="00861427">
        <w:rPr>
          <w:lang w:val="az-Latn-AZ"/>
        </w:rPr>
        <w:t xml:space="preserve"> </w:t>
      </w:r>
      <w:r w:rsidR="00EE260A">
        <w:rPr>
          <w:lang w:val="az-Latn-AZ"/>
        </w:rPr>
        <w:t>25</w:t>
      </w:r>
      <w:r w:rsidR="002C0CA4">
        <w:rPr>
          <w:lang w:val="az-Latn-AZ"/>
        </w:rPr>
        <w:t>.</w:t>
      </w:r>
      <w:r w:rsidR="00EE260A">
        <w:rPr>
          <w:lang w:val="az-Latn-AZ"/>
        </w:rPr>
        <w:t>7).</w:t>
      </w:r>
    </w:p>
    <w:p w:rsidR="00160D26" w:rsidRDefault="006B6736">
      <w:pPr>
        <w:pStyle w:val="JuPara"/>
        <w:rPr>
          <w:lang w:val="az-Latn-AZ"/>
        </w:rPr>
      </w:pPr>
      <w:r>
        <w:rPr>
          <w:lang w:val="az-Latn-AZ"/>
        </w:rPr>
        <w:fldChar w:fldCharType="begin"/>
      </w:r>
      <w:r>
        <w:rPr>
          <w:lang w:val="az-Latn-AZ"/>
        </w:rPr>
        <w:instrText xml:space="preserve"> SEQ level0 \*arabic </w:instrText>
      </w:r>
      <w:r>
        <w:rPr>
          <w:lang w:val="az-Latn-AZ"/>
        </w:rPr>
        <w:fldChar w:fldCharType="separate"/>
      </w:r>
      <w:r w:rsidR="00DA3181">
        <w:rPr>
          <w:noProof/>
          <w:lang w:val="az-Latn-AZ"/>
        </w:rPr>
        <w:t>35</w:t>
      </w:r>
      <w:r>
        <w:rPr>
          <w:lang w:val="az-Latn-AZ"/>
        </w:rPr>
        <w:fldChar w:fldCharType="end"/>
      </w:r>
      <w:r>
        <w:rPr>
          <w:lang w:val="az-Latn-AZ"/>
        </w:rPr>
        <w:t>.  </w:t>
      </w:r>
      <w:r w:rsidR="0013091A">
        <w:rPr>
          <w:lang w:val="az-Latn-AZ"/>
        </w:rPr>
        <w:t>Section</w:t>
      </w:r>
      <w:r w:rsidR="00827281">
        <w:rPr>
          <w:lang w:val="az-Latn-AZ"/>
        </w:rPr>
        <w:t xml:space="preserve"> </w:t>
      </w:r>
      <w:r w:rsidR="00987307">
        <w:rPr>
          <w:lang w:val="az-Latn-AZ"/>
        </w:rPr>
        <w:t>31 provides:</w:t>
      </w:r>
    </w:p>
    <w:p w:rsidR="002052AF" w:rsidP="00AF60D4" w:rsidRDefault="0013091A">
      <w:pPr>
        <w:pStyle w:val="JuHArticle"/>
        <w:outlineLvl w:val="0"/>
      </w:pPr>
      <w:r>
        <w:rPr>
          <w:lang w:val="az-Latn-AZ"/>
        </w:rPr>
        <w:t>Section</w:t>
      </w:r>
      <w:r w:rsidR="00827281">
        <w:t xml:space="preserve"> </w:t>
      </w:r>
      <w:r w:rsidR="002052AF">
        <w:t>31</w:t>
      </w:r>
      <w:r w:rsidR="00861427">
        <w:t xml:space="preserve"> – </w:t>
      </w:r>
      <w:r w:rsidR="002052AF">
        <w:t>Liability of a non-governmental organisation</w:t>
      </w:r>
    </w:p>
    <w:p w:rsidR="002052AF" w:rsidP="002052AF" w:rsidRDefault="002052AF">
      <w:pPr>
        <w:pStyle w:val="JuQuot"/>
      </w:pPr>
      <w:r>
        <w:t>“31</w:t>
      </w:r>
      <w:r w:rsidR="002C0CA4">
        <w:t>.</w:t>
      </w:r>
      <w:r>
        <w:t>1.  A non-governmental organisation</w:t>
      </w:r>
      <w:r w:rsidR="00827281">
        <w:t xml:space="preserve"> that</w:t>
      </w:r>
      <w:r>
        <w:t xml:space="preserve"> breach</w:t>
      </w:r>
      <w:r w:rsidR="00827281">
        <w:t>es</w:t>
      </w:r>
      <w:r>
        <w:t xml:space="preserve"> the requirements of this Law shall be liable in accordance with the laws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Azerbaijan</w:t>
          </w:r>
        </w:smartTag>
      </w:smartTag>
      <w:r>
        <w:t>.</w:t>
      </w:r>
    </w:p>
    <w:p w:rsidR="002052AF" w:rsidP="002052AF" w:rsidRDefault="002052AF">
      <w:pPr>
        <w:pStyle w:val="JuQuot"/>
      </w:pPr>
      <w:r>
        <w:t>31</w:t>
      </w:r>
      <w:r w:rsidR="002C0CA4">
        <w:t>.</w:t>
      </w:r>
      <w:r>
        <w:t>2.  If a non-governmental organisation commits actions incompatible with the objectives of this Law, the relevant executive authority [the Ministry of Justice] may issue a written warning to the organisation and give an instruction to remedy such breaches.</w:t>
      </w:r>
    </w:p>
    <w:p w:rsidR="002052AF" w:rsidP="002052AF" w:rsidRDefault="002052AF">
      <w:pPr>
        <w:pStyle w:val="JuQuot"/>
      </w:pPr>
      <w:r w:rsidRPr="005E29EC">
        <w:t>31</w:t>
      </w:r>
      <w:r w:rsidR="002C0CA4">
        <w:t>.</w:t>
      </w:r>
      <w:r w:rsidRPr="005E29EC">
        <w:t>3.</w:t>
      </w:r>
      <w:r>
        <w:t>  A non-governmental organisation may judicially challenge such warning or instruction.</w:t>
      </w:r>
    </w:p>
    <w:p w:rsidRPr="002052AF" w:rsidR="00987307" w:rsidP="002052AF" w:rsidRDefault="002052AF">
      <w:pPr>
        <w:pStyle w:val="JuQuot"/>
      </w:pPr>
      <w:r w:rsidRPr="008957E4">
        <w:t>31</w:t>
      </w:r>
      <w:r w:rsidR="002C0CA4">
        <w:t>.</w:t>
      </w:r>
      <w:r w:rsidRPr="008957E4">
        <w:t xml:space="preserve">4.  If a non-governmental organisation receives, within one year, more than two written warnings or instructions to remedy the breaches of law, such organisation may be </w:t>
      </w:r>
      <w:r>
        <w:t>dissolved</w:t>
      </w:r>
      <w:r w:rsidRPr="008957E4">
        <w:t xml:space="preserve"> pursuant to a court order.”</w:t>
      </w:r>
    </w:p>
    <w:p w:rsidR="0004282E" w:rsidP="00AF60D4" w:rsidRDefault="00987307">
      <w:pPr>
        <w:pStyle w:val="JuHA"/>
        <w:outlineLvl w:val="0"/>
      </w:pPr>
      <w:r w:rsidRPr="005D1354">
        <w:t xml:space="preserve">C.  Other legal </w:t>
      </w:r>
      <w:r w:rsidR="0045706C">
        <w:t>provisions</w:t>
      </w:r>
    </w:p>
    <w:p w:rsidR="0004282E" w:rsidP="006779CA" w:rsidRDefault="006779CA">
      <w:pPr>
        <w:pStyle w:val="JuPara"/>
      </w:pPr>
      <w:r>
        <w:fldChar w:fldCharType="begin"/>
      </w:r>
      <w:r>
        <w:instrText xml:space="preserve"> SEQ level0 \*arabic </w:instrText>
      </w:r>
      <w:r>
        <w:fldChar w:fldCharType="separate"/>
      </w:r>
      <w:r w:rsidR="00DA3181">
        <w:rPr>
          <w:noProof/>
        </w:rPr>
        <w:t>36</w:t>
      </w:r>
      <w:r>
        <w:fldChar w:fldCharType="end"/>
      </w:r>
      <w:r>
        <w:t>.  </w:t>
      </w:r>
      <w:r w:rsidR="0013091A">
        <w:t>Section</w:t>
      </w:r>
      <w:r w:rsidR="00827281">
        <w:t xml:space="preserve"> </w:t>
      </w:r>
      <w:r>
        <w:t xml:space="preserve">4 of the Law on </w:t>
      </w:r>
      <w:r w:rsidR="00D51F5F">
        <w:t>e</w:t>
      </w:r>
      <w:r>
        <w:t xml:space="preserve">nvironmental </w:t>
      </w:r>
      <w:r w:rsidR="00D51F5F">
        <w:t>p</w:t>
      </w:r>
      <w:r>
        <w:t xml:space="preserve">rotection of 8 June 1999 provides, </w:t>
      </w:r>
      <w:r>
        <w:rPr>
          <w:i/>
        </w:rPr>
        <w:t>inter alia</w:t>
      </w:r>
      <w:r>
        <w:t>, that</w:t>
      </w:r>
      <w:r w:rsidR="00827281">
        <w:t xml:space="preserve"> the</w:t>
      </w:r>
      <w:r>
        <w:t xml:space="preserve"> carrying out of environmental monitoring and audits is within the competence of the relevant State authorities. </w:t>
      </w:r>
      <w:r w:rsidR="0013091A">
        <w:t>Sections</w:t>
      </w:r>
      <w:r w:rsidR="00827281">
        <w:t xml:space="preserve"> </w:t>
      </w:r>
      <w:r>
        <w:t xml:space="preserve">7 and 73 of the </w:t>
      </w:r>
      <w:r w:rsidR="00D51F5F">
        <w:t>Law on e</w:t>
      </w:r>
      <w:r>
        <w:t xml:space="preserve">nvironmental </w:t>
      </w:r>
      <w:r w:rsidR="00D51F5F">
        <w:t>p</w:t>
      </w:r>
      <w:r>
        <w:t>rotection define</w:t>
      </w:r>
      <w:r w:rsidR="00827281">
        <w:t xml:space="preserve"> the</w:t>
      </w:r>
      <w:r>
        <w:t xml:space="preserve"> rights and obligations of NGO</w:t>
      </w:r>
      <w:r w:rsidR="00827281">
        <w:t>s</w:t>
      </w:r>
      <w:r>
        <w:t xml:space="preserve"> in the field of environmental protection. The essence of the NGOs</w:t>
      </w:r>
      <w:r w:rsidR="000D7A2F">
        <w:t>’</w:t>
      </w:r>
      <w:r>
        <w:t xml:space="preserve"> rights, within the meaning of these provisions, is </w:t>
      </w:r>
      <w:r w:rsidR="00827281">
        <w:t xml:space="preserve">the </w:t>
      </w:r>
      <w:r>
        <w:t>civic defence of environmental rights, encouraging public debate on</w:t>
      </w:r>
      <w:r w:rsidRPr="00827281" w:rsidR="00827281">
        <w:t xml:space="preserve"> </w:t>
      </w:r>
      <w:r w:rsidR="00827281">
        <w:t>environmental</w:t>
      </w:r>
      <w:r>
        <w:t xml:space="preserve"> issues and alerting the relevant State regulatory authorities </w:t>
      </w:r>
      <w:r w:rsidR="00827281">
        <w:t xml:space="preserve">to </w:t>
      </w:r>
      <w:r>
        <w:t xml:space="preserve">any environmental hazard </w:t>
      </w:r>
      <w:r w:rsidR="00827281">
        <w:t xml:space="preserve">or </w:t>
      </w:r>
      <w:r>
        <w:t>breach of</w:t>
      </w:r>
      <w:r w:rsidR="00827281">
        <w:t xml:space="preserve"> the</w:t>
      </w:r>
      <w:r>
        <w:t xml:space="preserve"> applicable environmental standards. The range of NGOs</w:t>
      </w:r>
      <w:r w:rsidR="000D7A2F">
        <w:t>’</w:t>
      </w:r>
      <w:r>
        <w:t xml:space="preserve"> rights in this field does not include </w:t>
      </w:r>
      <w:r w:rsidR="00F545F7">
        <w:t xml:space="preserve">a right to conduct formal environmental inspections or </w:t>
      </w:r>
      <w:r>
        <w:t>enforce relevant environmental norms or standards.</w:t>
      </w:r>
    </w:p>
    <w:p w:rsidR="00F545F7" w:rsidP="00F545F7" w:rsidRDefault="006779CA">
      <w:pPr>
        <w:pStyle w:val="JuPara"/>
      </w:pPr>
      <w:r>
        <w:fldChar w:fldCharType="begin"/>
      </w:r>
      <w:r>
        <w:instrText xml:space="preserve"> SEQ level0 \*arabic </w:instrText>
      </w:r>
      <w:r>
        <w:fldChar w:fldCharType="separate"/>
      </w:r>
      <w:r w:rsidR="00DA3181">
        <w:rPr>
          <w:noProof/>
        </w:rPr>
        <w:t>37</w:t>
      </w:r>
      <w:r>
        <w:fldChar w:fldCharType="end"/>
      </w:r>
      <w:r>
        <w:t>.  </w:t>
      </w:r>
      <w:r w:rsidR="00F545F7">
        <w:t xml:space="preserve">Likewise, </w:t>
      </w:r>
      <w:r w:rsidR="0013091A">
        <w:t>section</w:t>
      </w:r>
      <w:r w:rsidR="00827281">
        <w:t xml:space="preserve"> </w:t>
      </w:r>
      <w:r w:rsidR="00F545F7">
        <w:t xml:space="preserve">7 of the Law on </w:t>
      </w:r>
      <w:r w:rsidR="00D51F5F">
        <w:t>e</w:t>
      </w:r>
      <w:r w:rsidR="00F545F7">
        <w:t xml:space="preserve">cological </w:t>
      </w:r>
      <w:r w:rsidR="00D51F5F">
        <w:t>s</w:t>
      </w:r>
      <w:r w:rsidR="00F545F7">
        <w:t xml:space="preserve">afety </w:t>
      </w:r>
      <w:r w:rsidR="005D1354">
        <w:t xml:space="preserve">of 8 June 1999 </w:t>
      </w:r>
      <w:r w:rsidR="00F545F7">
        <w:t>vests</w:t>
      </w:r>
      <w:r w:rsidR="00827281">
        <w:t xml:space="preserve"> rights in</w:t>
      </w:r>
      <w:r w:rsidR="00F545F7">
        <w:t xml:space="preserve"> NGOs, </w:t>
      </w:r>
      <w:r w:rsidR="00F545F7">
        <w:rPr>
          <w:i/>
        </w:rPr>
        <w:t>inter alia</w:t>
      </w:r>
      <w:r w:rsidR="00F545F7">
        <w:t xml:space="preserve">, to make proposals on ecological safety to the relevant State authorities and alert the latter </w:t>
      </w:r>
      <w:r w:rsidR="00827281">
        <w:t>to</w:t>
      </w:r>
      <w:r w:rsidR="00F545F7">
        <w:t xml:space="preserve"> breaches of environmental laws. NGOs are not vested with a right to enforce environmental laws.</w:t>
      </w:r>
    </w:p>
    <w:p w:rsidR="0004282E" w:rsidP="006779CA" w:rsidRDefault="00F545F7">
      <w:pPr>
        <w:pStyle w:val="JuPara"/>
      </w:pPr>
      <w:r>
        <w:fldChar w:fldCharType="begin"/>
      </w:r>
      <w:r>
        <w:instrText xml:space="preserve"> SEQ level0 \*arabic </w:instrText>
      </w:r>
      <w:r>
        <w:fldChar w:fldCharType="separate"/>
      </w:r>
      <w:r w:rsidR="00DA3181">
        <w:rPr>
          <w:noProof/>
        </w:rPr>
        <w:t>38</w:t>
      </w:r>
      <w:r>
        <w:fldChar w:fldCharType="end"/>
      </w:r>
      <w:r>
        <w:t>.  </w:t>
      </w:r>
      <w:r w:rsidR="0013091A">
        <w:t>Section</w:t>
      </w:r>
      <w:r w:rsidR="00D62BBE">
        <w:t xml:space="preserve"> </w:t>
      </w:r>
      <w:r w:rsidR="005D1354">
        <w:t>5</w:t>
      </w:r>
      <w:r w:rsidR="002C0CA4">
        <w:t>.</w:t>
      </w:r>
      <w:r w:rsidR="005D1354">
        <w:t xml:space="preserve">2 of the Law on </w:t>
      </w:r>
      <w:r w:rsidR="00D51F5F">
        <w:t>e</w:t>
      </w:r>
      <w:r w:rsidR="005D1354">
        <w:t xml:space="preserve">ntrepreneurial </w:t>
      </w:r>
      <w:r w:rsidR="00D51F5F">
        <w:t>a</w:t>
      </w:r>
      <w:r w:rsidR="0013091A">
        <w:t>ctivity of 15 </w:t>
      </w:r>
      <w:r w:rsidR="005D1354">
        <w:t>December 1992 prohibits political parties and NGOs from interfering with entrepreneurial activities.</w:t>
      </w:r>
    </w:p>
    <w:p w:rsidR="000270F6" w:rsidP="00AF60D4" w:rsidRDefault="000270F6">
      <w:pPr>
        <w:pStyle w:val="JuHIRoman"/>
        <w:outlineLvl w:val="0"/>
      </w:pPr>
      <w:r>
        <w:t xml:space="preserve">III.  RELEVANT DOCUMENTS OF THE COUNCIL OF </w:t>
      </w:r>
      <w:smartTag w:uri="urn:schemas-microsoft-com:office:smarttags" w:element="place">
        <w:r>
          <w:t>EUROPE</w:t>
        </w:r>
      </w:smartTag>
    </w:p>
    <w:p w:rsidR="000270F6" w:rsidP="000270F6" w:rsidRDefault="0084614D">
      <w:pPr>
        <w:pStyle w:val="JuPara"/>
      </w:pPr>
      <w:r>
        <w:fldChar w:fldCharType="begin"/>
      </w:r>
      <w:r>
        <w:instrText xml:space="preserve"> SEQ level0 \*arabic </w:instrText>
      </w:r>
      <w:r>
        <w:fldChar w:fldCharType="separate"/>
      </w:r>
      <w:r w:rsidR="00DA3181">
        <w:rPr>
          <w:noProof/>
        </w:rPr>
        <w:t>39</w:t>
      </w:r>
      <w:r>
        <w:fldChar w:fldCharType="end"/>
      </w:r>
      <w:r>
        <w:t xml:space="preserve">.  The following are extracts from </w:t>
      </w:r>
      <w:r w:rsidRPr="005D1354">
        <w:t>Recommendation CM/Rec(2007)14</w:t>
      </w:r>
      <w:r>
        <w:t xml:space="preserve"> of the Committee of Ministers to member </w:t>
      </w:r>
      <w:r w:rsidR="00D62BBE">
        <w:t>S</w:t>
      </w:r>
      <w:r>
        <w:t>tates on the legal status of non</w:t>
      </w:r>
      <w:r w:rsidR="00006133">
        <w:noBreakHyphen/>
      </w:r>
      <w:r>
        <w:t xml:space="preserve">governmental organisations in </w:t>
      </w:r>
      <w:smartTag w:uri="urn:schemas-microsoft-com:office:smarttags" w:element="place">
        <w:r>
          <w:t>Europe</w:t>
        </w:r>
      </w:smartTag>
      <w:r>
        <w:t>:</w:t>
      </w:r>
    </w:p>
    <w:p w:rsidR="00861427" w:rsidP="005C22B3" w:rsidRDefault="00134E84">
      <w:pPr>
        <w:pStyle w:val="JuQuot"/>
      </w:pPr>
      <w:r>
        <w:t>“</w:t>
      </w:r>
      <w:r w:rsidR="00636FD2">
        <w:t>...</w:t>
      </w:r>
    </w:p>
    <w:p w:rsidR="000D7A2F" w:rsidP="005C22B3" w:rsidRDefault="00134E84">
      <w:pPr>
        <w:pStyle w:val="JuQuot"/>
      </w:pPr>
      <w:r>
        <w:t>44.  The legal personality of NGOs can only be terminated pursuant to the voluntary act of their members – or in the case of non-membership-based NGOs, its governing body – or in the event of bankruptcy, prolonged inactivity or serious misconduct.</w:t>
      </w:r>
    </w:p>
    <w:p w:rsidR="0084614D" w:rsidP="005C22B3" w:rsidRDefault="00636FD2">
      <w:pPr>
        <w:pStyle w:val="JuQuot"/>
      </w:pPr>
      <w:r>
        <w:t>...</w:t>
      </w:r>
    </w:p>
    <w:p w:rsidR="00636FD2" w:rsidP="005C22B3" w:rsidRDefault="00134E84">
      <w:pPr>
        <w:pStyle w:val="JuQuot"/>
      </w:pPr>
      <w:r>
        <w:t>46.  The persons responsible for the management of membership-based NGOs should be elected or designated by the highest governing body or by an organ to which it has delegated this task. The management of non-membership-based NGOs should be appointed in accordance with their statutes.</w:t>
      </w:r>
    </w:p>
    <w:p w:rsidR="00636FD2" w:rsidP="005C22B3" w:rsidRDefault="00134E84">
      <w:pPr>
        <w:pStyle w:val="JuQuot"/>
      </w:pPr>
      <w:r>
        <w:t>47.  NGOs should ensure that their management and decision-making bodies are in accordance with their statutes but they are otherwise free to determine the arrangements for pursuing their objectives. In particular, NGOs should not need any authorisation from a public authority in order to change their internal structure or rules.</w:t>
      </w:r>
    </w:p>
    <w:p w:rsidR="00134E84" w:rsidP="005C22B3" w:rsidRDefault="00134E84">
      <w:pPr>
        <w:pStyle w:val="JuQuot"/>
      </w:pPr>
      <w:r>
        <w:t xml:space="preserve">48.  The appointment, election or replacement of officers, and </w:t>
      </w:r>
      <w:r w:rsidR="00636FD2">
        <w:t>...</w:t>
      </w:r>
      <w:r>
        <w:t xml:space="preserve"> the admission or exclusion of members should be a matter for the NGOs concerned. </w:t>
      </w:r>
      <w:r w:rsidR="00636FD2">
        <w:t>...</w:t>
      </w:r>
    </w:p>
    <w:p w:rsidR="00EC2892" w:rsidP="005C22B3" w:rsidRDefault="00EC2892">
      <w:pPr>
        <w:pStyle w:val="JuQuot"/>
      </w:pPr>
      <w:r>
        <w:t>...</w:t>
      </w:r>
    </w:p>
    <w:p w:rsidR="00636FD2" w:rsidP="005C22B3" w:rsidRDefault="005C22B3">
      <w:pPr>
        <w:pStyle w:val="JuQuot"/>
      </w:pPr>
      <w:r>
        <w:t>67.  The activities of NGOs should be presumed lawful in the absence of contrary evidence.</w:t>
      </w:r>
    </w:p>
    <w:p w:rsidR="000D7A2F" w:rsidP="005C22B3" w:rsidRDefault="005C22B3">
      <w:pPr>
        <w:pStyle w:val="JuQuot"/>
      </w:pPr>
      <w:r>
        <w:t>68.  NGOs can be required to submit their books, records and activities to inspection by a supervising agency where there has been a failure to comply with reporting requirements or where there are reasonable grounds to suspect that serious breaches of the law have occurred or are imminent.</w:t>
      </w:r>
    </w:p>
    <w:p w:rsidR="005C22B3" w:rsidP="005C22B3" w:rsidRDefault="00636FD2">
      <w:pPr>
        <w:pStyle w:val="JuQuot"/>
      </w:pPr>
      <w:r>
        <w:t>...</w:t>
      </w:r>
    </w:p>
    <w:p w:rsidR="000D7A2F" w:rsidP="005C22B3" w:rsidRDefault="005C22B3">
      <w:pPr>
        <w:pStyle w:val="JuQuot"/>
      </w:pPr>
      <w:r>
        <w:t>70.  No external intervention in the running of NGOs should take place unless a serious breach of the legal requirements applicable to NGOs has been established or is reasonably believed to be imminent.</w:t>
      </w:r>
    </w:p>
    <w:p w:rsidR="005C22B3" w:rsidP="005C22B3" w:rsidRDefault="00636FD2">
      <w:pPr>
        <w:pStyle w:val="JuQuot"/>
      </w:pPr>
      <w:r>
        <w:t>...</w:t>
      </w:r>
    </w:p>
    <w:p w:rsidR="000D7A2F" w:rsidP="005C22B3" w:rsidRDefault="005C22B3">
      <w:pPr>
        <w:pStyle w:val="JuQuot"/>
      </w:pPr>
      <w:r>
        <w:t>72.  In most instances, the appropriate sanction against NGOs for breach of the legal requirements applicable to them (including those concerning the acquisition of legal personality) should merely be the requirement to rectify their affairs and/or the imposition of an administrative, civil or criminal penalty on them and/or any individuals directly responsible. Penalties should be based on the law in force and observe the principle of proportionality.</w:t>
      </w:r>
    </w:p>
    <w:p w:rsidR="005C22B3" w:rsidP="005C22B3" w:rsidRDefault="00636FD2">
      <w:pPr>
        <w:pStyle w:val="JuQuot"/>
      </w:pPr>
      <w:r>
        <w:t>...</w:t>
      </w:r>
    </w:p>
    <w:p w:rsidRPr="000270F6" w:rsidR="005C22B3" w:rsidP="005C22B3" w:rsidRDefault="005C22B3">
      <w:pPr>
        <w:pStyle w:val="JuQuot"/>
      </w:pPr>
      <w:r>
        <w:t xml:space="preserve">74.  The termination of an NGO </w:t>
      </w:r>
      <w:r w:rsidR="00636FD2">
        <w:t>...</w:t>
      </w:r>
      <w:r>
        <w:t xml:space="preserve"> should only be ordered by a court where there is compelling evidence that the grounds specified in paragraph 44 </w:t>
      </w:r>
      <w:r w:rsidR="00636FD2">
        <w:t>...</w:t>
      </w:r>
      <w:r>
        <w:t xml:space="preserve"> above have been met. Such an order should be subject to prompt appeal.”</w:t>
      </w:r>
    </w:p>
    <w:p w:rsidRPr="002052AF" w:rsidR="002052AF" w:rsidP="00AF60D4" w:rsidRDefault="002052AF">
      <w:pPr>
        <w:pStyle w:val="JuHIRoman"/>
        <w:outlineLvl w:val="0"/>
      </w:pPr>
      <w:r w:rsidRPr="002052AF">
        <w:t>I</w:t>
      </w:r>
      <w:r w:rsidR="000270F6">
        <w:t>V</w:t>
      </w:r>
      <w:r w:rsidRPr="002052AF">
        <w:t>.  COMPARATIVE LAW</w:t>
      </w:r>
    </w:p>
    <w:p w:rsidR="006C3DE0" w:rsidRDefault="000270F6">
      <w:pPr>
        <w:pStyle w:val="JuPara"/>
        <w:rPr>
          <w:lang w:val="az-Latn-AZ"/>
        </w:rPr>
      </w:pPr>
      <w:r>
        <w:rPr>
          <w:lang w:val="az-Latn-AZ"/>
        </w:rPr>
        <w:fldChar w:fldCharType="begin"/>
      </w:r>
      <w:r>
        <w:rPr>
          <w:lang w:val="az-Latn-AZ"/>
        </w:rPr>
        <w:instrText xml:space="preserve"> SEQ level0 \*arabic </w:instrText>
      </w:r>
      <w:r>
        <w:rPr>
          <w:lang w:val="az-Latn-AZ"/>
        </w:rPr>
        <w:fldChar w:fldCharType="separate"/>
      </w:r>
      <w:r w:rsidR="00DA3181">
        <w:rPr>
          <w:noProof/>
          <w:lang w:val="az-Latn-AZ"/>
        </w:rPr>
        <w:t>40</w:t>
      </w:r>
      <w:r>
        <w:rPr>
          <w:lang w:val="az-Latn-AZ"/>
        </w:rPr>
        <w:fldChar w:fldCharType="end"/>
      </w:r>
      <w:r>
        <w:rPr>
          <w:lang w:val="az-Latn-AZ"/>
        </w:rPr>
        <w:t xml:space="preserve">.  A comparative study of </w:t>
      </w:r>
      <w:r w:rsidR="00424656">
        <w:rPr>
          <w:lang w:val="az-Latn-AZ"/>
        </w:rPr>
        <w:t xml:space="preserve">the </w:t>
      </w:r>
      <w:r>
        <w:rPr>
          <w:lang w:val="az-Latn-AZ"/>
        </w:rPr>
        <w:t>relevant leg</w:t>
      </w:r>
      <w:r w:rsidR="00636FD2">
        <w:rPr>
          <w:lang w:val="az-Latn-AZ"/>
        </w:rPr>
        <w:t>islation of 25 out of 47 m</w:t>
      </w:r>
      <w:r>
        <w:rPr>
          <w:lang w:val="az-Latn-AZ"/>
        </w:rPr>
        <w:t xml:space="preserve">ember States of the Council of Europe shows that </w:t>
      </w:r>
      <w:r w:rsidR="00656C49">
        <w:rPr>
          <w:lang w:val="az-Latn-AZ"/>
        </w:rPr>
        <w:t>a</w:t>
      </w:r>
      <w:r w:rsidR="005D1354">
        <w:rPr>
          <w:lang w:val="az-Latn-AZ"/>
        </w:rPr>
        <w:t>n</w:t>
      </w:r>
      <w:r w:rsidR="00656C49">
        <w:rPr>
          <w:lang w:val="az-Latn-AZ"/>
        </w:rPr>
        <w:t xml:space="preserve"> NGO</w:t>
      </w:r>
      <w:r>
        <w:rPr>
          <w:lang w:val="az-Latn-AZ"/>
        </w:rPr>
        <w:t xml:space="preserve"> can </w:t>
      </w:r>
      <w:r w:rsidR="0084614D">
        <w:rPr>
          <w:lang w:val="az-Latn-AZ"/>
        </w:rPr>
        <w:t xml:space="preserve">be membership-based or non-membership-based and can </w:t>
      </w:r>
      <w:r>
        <w:rPr>
          <w:lang w:val="az-Latn-AZ"/>
        </w:rPr>
        <w:t xml:space="preserve">take a variety of legal forms applicable in the domestic legal order, such as an association, foundation, trust, charity or even company. </w:t>
      </w:r>
      <w:r w:rsidRPr="0084591B" w:rsidR="006C3DE0">
        <w:rPr>
          <w:szCs w:val="24"/>
        </w:rPr>
        <w:t>A key factor in determining the level of scrutiny and control that an NGO will be subjected to is whether the body concerned is legally incorporated and enjoys legal personality. Normally</w:t>
      </w:r>
      <w:r w:rsidR="00424656">
        <w:rPr>
          <w:szCs w:val="24"/>
        </w:rPr>
        <w:t>,</w:t>
      </w:r>
      <w:r w:rsidRPr="0084591B" w:rsidR="006C3DE0">
        <w:rPr>
          <w:szCs w:val="24"/>
        </w:rPr>
        <w:t xml:space="preserve"> unincorporated associations enjoy a much wider scope of self</w:t>
      </w:r>
      <w:r w:rsidR="002271D3">
        <w:rPr>
          <w:szCs w:val="24"/>
        </w:rPr>
        <w:noBreakHyphen/>
      </w:r>
      <w:r w:rsidRPr="0084591B" w:rsidR="006C3DE0">
        <w:rPr>
          <w:szCs w:val="24"/>
        </w:rPr>
        <w:t xml:space="preserve">management and are not interfered with unless they conduct activities which are illegal or prejudicial to public order. Legally incorporated NGOs, on the other hand, are often subject to more </w:t>
      </w:r>
      <w:r w:rsidR="00D62BBE">
        <w:rPr>
          <w:szCs w:val="24"/>
        </w:rPr>
        <w:t xml:space="preserve">narrowly </w:t>
      </w:r>
      <w:r w:rsidRPr="0084591B" w:rsidR="006C3DE0">
        <w:rPr>
          <w:szCs w:val="24"/>
        </w:rPr>
        <w:t>delimited rules and may be dissolved or face other sanctions in the event of non-compliance.</w:t>
      </w:r>
    </w:p>
    <w:p w:rsidR="00636FD2" w:rsidP="006C3DE0" w:rsidRDefault="000270F6">
      <w:pPr>
        <w:pStyle w:val="JuPara"/>
      </w:pPr>
      <w:r>
        <w:rPr>
          <w:lang w:val="az-Latn-AZ"/>
        </w:rPr>
        <w:fldChar w:fldCharType="begin"/>
      </w:r>
      <w:r>
        <w:rPr>
          <w:lang w:val="az-Latn-AZ"/>
        </w:rPr>
        <w:instrText xml:space="preserve"> SEQ level0 \*arabic </w:instrText>
      </w:r>
      <w:r>
        <w:rPr>
          <w:lang w:val="az-Latn-AZ"/>
        </w:rPr>
        <w:fldChar w:fldCharType="separate"/>
      </w:r>
      <w:r w:rsidR="00DA3181">
        <w:rPr>
          <w:noProof/>
          <w:lang w:val="az-Latn-AZ"/>
        </w:rPr>
        <w:t>41</w:t>
      </w:r>
      <w:r>
        <w:rPr>
          <w:lang w:val="az-Latn-AZ"/>
        </w:rPr>
        <w:fldChar w:fldCharType="end"/>
      </w:r>
      <w:r>
        <w:rPr>
          <w:lang w:val="az-Latn-AZ"/>
        </w:rPr>
        <w:t xml:space="preserve">.  It appears that in a number of States </w:t>
      </w:r>
      <w:r w:rsidR="006C3DE0">
        <w:rPr>
          <w:lang w:val="az-Latn-AZ"/>
        </w:rPr>
        <w:t xml:space="preserve">an NGO can, in certain circumstances, be dissolved </w:t>
      </w:r>
      <w:r w:rsidR="00597E0C">
        <w:rPr>
          <w:lang w:val="az-Latn-AZ"/>
        </w:rPr>
        <w:t xml:space="preserve">either, specifically, </w:t>
      </w:r>
      <w:r w:rsidR="006C3DE0">
        <w:rPr>
          <w:lang w:val="az-Latn-AZ"/>
        </w:rPr>
        <w:t xml:space="preserve">for failure to conduct its internal management in accordance with the </w:t>
      </w:r>
      <w:r w:rsidR="00597E0C">
        <w:rPr>
          <w:lang w:val="az-Latn-AZ"/>
        </w:rPr>
        <w:t xml:space="preserve">requirements of domestic law or, more generally, for failure to comply with </w:t>
      </w:r>
      <w:r w:rsidR="006C3DE0">
        <w:rPr>
          <w:lang w:val="az-Latn-AZ"/>
        </w:rPr>
        <w:t xml:space="preserve">its own charter. </w:t>
      </w:r>
      <w:r w:rsidR="006C3DE0">
        <w:t xml:space="preserve">Countries within this category include: (i) </w:t>
      </w:r>
      <w:r w:rsidRPr="006C3DE0" w:rsidR="006C3DE0">
        <w:t>Austria</w:t>
      </w:r>
      <w:r w:rsidR="006C3DE0">
        <w:t xml:space="preserve">, where an association can be dissolved by a decision of a competent public authority if, </w:t>
      </w:r>
      <w:r w:rsidRPr="009C5E88" w:rsidR="006C3DE0">
        <w:rPr>
          <w:i/>
        </w:rPr>
        <w:t>inter alia</w:t>
      </w:r>
      <w:r w:rsidR="006C3DE0">
        <w:t xml:space="preserve">, it exceeds its field of activity or if it no longer fulfils its own statutory rules; (ii) the </w:t>
      </w:r>
      <w:r w:rsidRPr="006C3DE0" w:rsidR="006C3DE0">
        <w:t>Czech Republic</w:t>
      </w:r>
      <w:r w:rsidR="006C3DE0">
        <w:t>, where foundations, endowment funds and public benefit corporations can be dissolved by a court for failure to comply with their charter or the domestic law (however, associations</w:t>
      </w:r>
      <w:r w:rsidR="00DF3829">
        <w:t xml:space="preserve"> can</w:t>
      </w:r>
      <w:r w:rsidR="006C3DE0">
        <w:t>not be dissolved</w:t>
      </w:r>
      <w:r w:rsidR="00597E0C">
        <w:t xml:space="preserve"> for failure to conduct their internal management</w:t>
      </w:r>
      <w:r w:rsidR="006C3DE0">
        <w:t xml:space="preserve">); </w:t>
      </w:r>
      <w:r w:rsidRPr="00597E0C" w:rsidR="006C3DE0">
        <w:t xml:space="preserve">(iii) Finland, where a court may on the basis of an action brought by the </w:t>
      </w:r>
      <w:r w:rsidR="001358AF">
        <w:t>relevant public authority</w:t>
      </w:r>
      <w:r w:rsidRPr="00597E0C" w:rsidR="006C3DE0">
        <w:t xml:space="preserve"> or an association member </w:t>
      </w:r>
      <w:r w:rsidR="00DF3829">
        <w:t>dissolve</w:t>
      </w:r>
      <w:r w:rsidRPr="00597E0C" w:rsidR="00DF3829">
        <w:t xml:space="preserve"> </w:t>
      </w:r>
      <w:r w:rsidRPr="00597E0C" w:rsidR="006C3DE0">
        <w:t>an association if it acts substantially against the law or substantially against the purpose defined for it in its rules;</w:t>
      </w:r>
      <w:r w:rsidR="006C3DE0">
        <w:t xml:space="preserve"> (iv) </w:t>
      </w:r>
      <w:r w:rsidRPr="006C3DE0" w:rsidR="006C3DE0">
        <w:t>Hungary</w:t>
      </w:r>
      <w:r w:rsidR="006C3DE0">
        <w:t xml:space="preserve">, where the courts may declare the </w:t>
      </w:r>
      <w:r w:rsidR="00DF3829">
        <w:t xml:space="preserve">dissolution </w:t>
      </w:r>
      <w:r w:rsidR="006C3DE0">
        <w:t xml:space="preserve">of a civil society organisation if it has failed to operate for at least one year, or the number of its members is permanently below the number determined by </w:t>
      </w:r>
      <w:r w:rsidR="001358AF">
        <w:t>law</w:t>
      </w:r>
      <w:r w:rsidR="006C3DE0">
        <w:t xml:space="preserve">; (v) </w:t>
      </w:r>
      <w:r w:rsidRPr="00597E0C" w:rsidR="006C3DE0">
        <w:t>Italy</w:t>
      </w:r>
      <w:r w:rsidRPr="0040025D" w:rsidR="006C3DE0">
        <w:t xml:space="preserve">, </w:t>
      </w:r>
      <w:r w:rsidR="006C3DE0">
        <w:t>where</w:t>
      </w:r>
      <w:r w:rsidR="00DF3829">
        <w:t xml:space="preserve"> the</w:t>
      </w:r>
      <w:r w:rsidR="006C3DE0">
        <w:t xml:space="preserve"> competent governmental authorities may </w:t>
      </w:r>
      <w:r w:rsidR="00DF3829">
        <w:t xml:space="preserve">dissolve </w:t>
      </w:r>
      <w:r w:rsidR="006C3DE0">
        <w:t xml:space="preserve">foundations in the event that they are not conducted in a lawful manner and in conformity with their by-laws; (vi) </w:t>
      </w:r>
      <w:r w:rsidRPr="00597E0C" w:rsidR="006C3DE0">
        <w:t>Luxembourg</w:t>
      </w:r>
      <w:r w:rsidR="00597E0C">
        <w:t>,</w:t>
      </w:r>
      <w:r w:rsidR="006C3DE0">
        <w:t xml:space="preserve"> where associations may be dissolved for failure to comply with the objectives which they have assumed, or </w:t>
      </w:r>
      <w:r w:rsidR="00DF3829">
        <w:t xml:space="preserve">if </w:t>
      </w:r>
      <w:r w:rsidR="006C3DE0">
        <w:t xml:space="preserve">they have gravely contravened their constitutive statute or the law; and foundations can be dissolved if they are no longer able to pursue the object for which they were created; (vii) </w:t>
      </w:r>
      <w:r w:rsidRPr="00597E0C" w:rsidR="006C3DE0">
        <w:t>Malta</w:t>
      </w:r>
      <w:r w:rsidR="006C3DE0">
        <w:t xml:space="preserve">, where a voluntary organisation may be </w:t>
      </w:r>
      <w:r w:rsidR="00597E0C">
        <w:t>struck</w:t>
      </w:r>
      <w:r w:rsidR="006C3DE0">
        <w:t xml:space="preserve"> off the </w:t>
      </w:r>
      <w:r w:rsidR="00597E0C">
        <w:t>r</w:t>
      </w:r>
      <w:r w:rsidR="006C3DE0">
        <w:t xml:space="preserve">egister of </w:t>
      </w:r>
      <w:r w:rsidR="00597E0C">
        <w:t>v</w:t>
      </w:r>
      <w:r w:rsidR="006C3DE0">
        <w:t xml:space="preserve">oluntary </w:t>
      </w:r>
      <w:r w:rsidR="00597E0C">
        <w:t>o</w:t>
      </w:r>
      <w:r w:rsidR="006C3DE0">
        <w:t xml:space="preserve">rganisations and/or </w:t>
      </w:r>
      <w:r w:rsidR="00597E0C">
        <w:t xml:space="preserve">issued with </w:t>
      </w:r>
      <w:r w:rsidR="006C3DE0">
        <w:t>a suspension order potentially permanently suspending all or part of its activities</w:t>
      </w:r>
      <w:r w:rsidR="00597E0C">
        <w:t xml:space="preserve">, if </w:t>
      </w:r>
      <w:r w:rsidR="006C3DE0">
        <w:t>the organisation in question is not complying with the provisions of its statute</w:t>
      </w:r>
      <w:r w:rsidR="00597E0C">
        <w:t xml:space="preserve"> or</w:t>
      </w:r>
      <w:r w:rsidR="006C3DE0">
        <w:t xml:space="preserve"> the relevant domestic law; (viii) the </w:t>
      </w:r>
      <w:r w:rsidRPr="00597E0C" w:rsidR="006C3DE0">
        <w:t>Netherlands</w:t>
      </w:r>
      <w:r w:rsidR="006C3DE0">
        <w:t xml:space="preserve">, where a regional court can dissolve an association or foundation, </w:t>
      </w:r>
      <w:r w:rsidRPr="00CC4993" w:rsidR="006C3DE0">
        <w:rPr>
          <w:i/>
        </w:rPr>
        <w:t>inter alia</w:t>
      </w:r>
      <w:r w:rsidR="006C3DE0">
        <w:t xml:space="preserve">, if its statutes do not fulfil the requirements of the law or if it acts </w:t>
      </w:r>
      <w:r w:rsidR="00DF3829">
        <w:t xml:space="preserve">substantially </w:t>
      </w:r>
      <w:r w:rsidR="006C3DE0">
        <w:t xml:space="preserve">contrary to its own </w:t>
      </w:r>
      <w:r w:rsidR="00DF3829">
        <w:t>A</w:t>
      </w:r>
      <w:r w:rsidR="006C3DE0">
        <w:t xml:space="preserve">rticles; (ix) </w:t>
      </w:r>
      <w:r w:rsidRPr="00597E0C" w:rsidR="006C3DE0">
        <w:t>Poland</w:t>
      </w:r>
      <w:r w:rsidR="006C3DE0">
        <w:t>, where the courts can, in situations where associations are found to be acting contrary to the law or infringing the provisions of their own charter, order their dissolution; (x)</w:t>
      </w:r>
      <w:r w:rsidR="00861427">
        <w:t> </w:t>
      </w:r>
      <w:r w:rsidRPr="00597E0C" w:rsidR="006C3DE0">
        <w:t>Romania</w:t>
      </w:r>
      <w:r w:rsidR="006C3DE0">
        <w:t>, where the relevant law provides that an association</w:t>
      </w:r>
      <w:r w:rsidR="000D7A2F">
        <w:t>’</w:t>
      </w:r>
      <w:r w:rsidR="006C3DE0">
        <w:t xml:space="preserve">s failure to convene its general assembly or board of directors for more than one year results in its </w:t>
      </w:r>
      <w:r w:rsidRPr="00CC4993" w:rsidR="006C3DE0">
        <w:rPr>
          <w:i/>
        </w:rPr>
        <w:t>de jure</w:t>
      </w:r>
      <w:r w:rsidR="006C3DE0">
        <w:t xml:space="preserve"> dissolution; (xi) </w:t>
      </w:r>
      <w:r w:rsidRPr="00597E0C" w:rsidR="006C3DE0">
        <w:t>Russia</w:t>
      </w:r>
      <w:r w:rsidRPr="00CC4993" w:rsidR="006C3DE0">
        <w:t>, where</w:t>
      </w:r>
      <w:r w:rsidR="006C3DE0">
        <w:rPr>
          <w:b/>
        </w:rPr>
        <w:t xml:space="preserve"> </w:t>
      </w:r>
      <w:r w:rsidRPr="006D58D6" w:rsidR="006C3DE0">
        <w:t>an associati</w:t>
      </w:r>
      <w:r w:rsidR="006C3DE0">
        <w:t xml:space="preserve">on may be dissolved if it repeatedly and seriously violates the requirements of the applicable domestic law; (xii) </w:t>
      </w:r>
      <w:r w:rsidRPr="008A7398" w:rsidR="006C3DE0">
        <w:t>Slovakia</w:t>
      </w:r>
      <w:r w:rsidR="006C3DE0">
        <w:t>, where courts can decide to dissolve non-profit organisations, foundations, non-investment funds and associations for contraventions of the applicable domestic law as regards their internal management</w:t>
      </w:r>
      <w:r w:rsidR="008A7398">
        <w:t>;</w:t>
      </w:r>
      <w:r w:rsidR="006C3DE0">
        <w:t xml:space="preserve"> and (xiii) </w:t>
      </w:r>
      <w:r w:rsidRPr="008A7398" w:rsidR="006C3DE0">
        <w:t>Turkey</w:t>
      </w:r>
      <w:r w:rsidRPr="006D58D6" w:rsidR="006C3DE0">
        <w:t>, where the Civil Code provides that associations can be dissolved</w:t>
      </w:r>
      <w:r w:rsidR="006C3DE0">
        <w:rPr>
          <w:b/>
        </w:rPr>
        <w:t xml:space="preserve"> </w:t>
      </w:r>
      <w:r w:rsidRPr="006D58D6" w:rsidR="006C3DE0">
        <w:t>for</w:t>
      </w:r>
      <w:r w:rsidR="006C3DE0">
        <w:t>,</w:t>
      </w:r>
      <w:r w:rsidRPr="006D58D6" w:rsidR="006C3DE0">
        <w:t xml:space="preserve"> </w:t>
      </w:r>
      <w:r w:rsidRPr="006D58D6" w:rsidR="006C3DE0">
        <w:rPr>
          <w:i/>
        </w:rPr>
        <w:t>inter</w:t>
      </w:r>
      <w:r w:rsidR="006C3DE0">
        <w:rPr>
          <w:i/>
        </w:rPr>
        <w:t xml:space="preserve"> alia</w:t>
      </w:r>
      <w:r w:rsidR="006C3DE0">
        <w:t>, failure to compose the internal bodies required by law, hold their first general assembly meetings within the time</w:t>
      </w:r>
      <w:r w:rsidR="00DF3829">
        <w:t>-</w:t>
      </w:r>
      <w:r w:rsidR="006C3DE0">
        <w:t>limits prescribed by law or to hold subsequent general assembly meetings regularly.</w:t>
      </w:r>
    </w:p>
    <w:p w:rsidR="00636FD2" w:rsidP="006C3DE0" w:rsidRDefault="006665FA">
      <w:pPr>
        <w:pStyle w:val="JuPara"/>
      </w:pPr>
      <w:r>
        <w:fldChar w:fldCharType="begin"/>
      </w:r>
      <w:r>
        <w:instrText xml:space="preserve"> SEQ level0 \*arabic </w:instrText>
      </w:r>
      <w:r>
        <w:fldChar w:fldCharType="separate"/>
      </w:r>
      <w:r w:rsidR="00DA3181">
        <w:rPr>
          <w:noProof/>
        </w:rPr>
        <w:t>42</w:t>
      </w:r>
      <w:r>
        <w:fldChar w:fldCharType="end"/>
      </w:r>
      <w:r>
        <w:t xml:space="preserve">.  In a number of </w:t>
      </w:r>
      <w:r w:rsidR="00F12CF0">
        <w:t xml:space="preserve">other </w:t>
      </w:r>
      <w:r w:rsidR="00DF3829">
        <w:t>m</w:t>
      </w:r>
      <w:r w:rsidR="00F12CF0">
        <w:t>ember States</w:t>
      </w:r>
      <w:r>
        <w:t xml:space="preserve"> </w:t>
      </w:r>
      <w:r w:rsidR="00F12CF0">
        <w:t>an NGO may not be subject to involuntary dissolution for failure to conduct its internal management in accordance with the requirements of the domestic law or its charter</w:t>
      </w:r>
      <w:r>
        <w:t xml:space="preserve"> </w:t>
      </w:r>
      <w:r w:rsidR="00F12CF0">
        <w:t xml:space="preserve">(although </w:t>
      </w:r>
      <w:r>
        <w:t xml:space="preserve">the authorities may dissolve </w:t>
      </w:r>
      <w:r w:rsidR="00F12CF0">
        <w:t xml:space="preserve">an NGO, </w:t>
      </w:r>
      <w:r w:rsidR="00F12CF0">
        <w:rPr>
          <w:i/>
        </w:rPr>
        <w:t>inter alia</w:t>
      </w:r>
      <w:r w:rsidR="00F12CF0">
        <w:t>,</w:t>
      </w:r>
      <w:r w:rsidR="00F12CF0">
        <w:rPr>
          <w:i/>
        </w:rPr>
        <w:t xml:space="preserve"> </w:t>
      </w:r>
      <w:r w:rsidR="00F12CF0">
        <w:t xml:space="preserve">if it engages in illegal activities or if its goals and acts violate the public order). Countries within this category include </w:t>
      </w:r>
      <w:smartTag w:uri="urn:schemas-microsoft-com:office:smarttags" w:element="country-region">
        <w:r w:rsidR="00F12CF0">
          <w:t>Bulgaria</w:t>
        </w:r>
      </w:smartTag>
      <w:r w:rsidR="00F12CF0">
        <w:t xml:space="preserve">, the </w:t>
      </w:r>
      <w:smartTag w:uri="urn:schemas-microsoft-com:office:smarttags" w:element="country-region">
        <w:r w:rsidR="00F12CF0">
          <w:t>United Kingdom</w:t>
        </w:r>
      </w:smartTag>
      <w:r w:rsidR="00F12CF0">
        <w:t xml:space="preserve"> (</w:t>
      </w:r>
      <w:smartTag w:uri="urn:schemas-microsoft-com:office:smarttags" w:element="country-region">
        <w:r w:rsidR="00F12CF0">
          <w:t>England</w:t>
        </w:r>
      </w:smartTag>
      <w:r w:rsidR="00F12CF0">
        <w:t xml:space="preserve"> and </w:t>
      </w:r>
      <w:smartTag w:uri="urn:schemas-microsoft-com:office:smarttags" w:element="country-region">
        <w:r w:rsidR="00F12CF0">
          <w:t>Wales</w:t>
        </w:r>
      </w:smartTag>
      <w:r w:rsidR="00F12CF0">
        <w:t xml:space="preserve">), </w:t>
      </w:r>
      <w:smartTag w:uri="urn:schemas-microsoft-com:office:smarttags" w:element="country-region">
        <w:r w:rsidR="00F12CF0">
          <w:t>Estonia</w:t>
        </w:r>
      </w:smartTag>
      <w:r w:rsidR="00F12CF0">
        <w:t xml:space="preserve">, </w:t>
      </w:r>
      <w:smartTag w:uri="urn:schemas-microsoft-com:office:smarttags" w:element="country-region">
        <w:r w:rsidR="00F12CF0">
          <w:t>France</w:t>
        </w:r>
      </w:smartTag>
      <w:r w:rsidR="00F12CF0">
        <w:t xml:space="preserve">, </w:t>
      </w:r>
      <w:smartTag w:uri="urn:schemas-microsoft-com:office:smarttags" w:element="country-region">
        <w:r w:rsidR="00F12CF0">
          <w:t>Germany</w:t>
        </w:r>
      </w:smartTag>
      <w:r w:rsidR="00F12CF0">
        <w:t xml:space="preserve">, </w:t>
      </w:r>
      <w:smartTag w:uri="urn:schemas-microsoft-com:office:smarttags" w:element="country-region">
        <w:r w:rsidR="00F12CF0">
          <w:t>Ireland</w:t>
        </w:r>
      </w:smartTag>
      <w:r w:rsidR="00F12CF0">
        <w:t xml:space="preserve">, </w:t>
      </w:r>
      <w:smartTag w:uri="urn:schemas-microsoft-com:office:smarttags" w:element="country-region">
        <w:r w:rsidR="00F12CF0">
          <w:t>Latvia</w:t>
        </w:r>
      </w:smartTag>
      <w:r w:rsidR="00F12CF0">
        <w:t xml:space="preserve">, </w:t>
      </w:r>
      <w:smartTag w:uri="urn:schemas-microsoft-com:office:smarttags" w:element="country-region">
        <w:r w:rsidR="00656C49">
          <w:t>Portugal</w:t>
        </w:r>
      </w:smartTag>
      <w:r w:rsidR="00656C49">
        <w:t xml:space="preserve">, </w:t>
      </w:r>
      <w:smartTag w:uri="urn:schemas-microsoft-com:office:smarttags" w:element="country-region">
        <w:r w:rsidR="00656C49">
          <w:t>Slovenia</w:t>
        </w:r>
      </w:smartTag>
      <w:r w:rsidR="00656C49">
        <w:t xml:space="preserve">, </w:t>
      </w:r>
      <w:smartTag w:uri="urn:schemas-microsoft-com:office:smarttags" w:element="country-region">
        <w:r w:rsidR="00656C49">
          <w:t>Spain</w:t>
        </w:r>
      </w:smartTag>
      <w:r w:rsidR="00656C49">
        <w:t xml:space="preserve">, </w:t>
      </w:r>
      <w:smartTag w:uri="urn:schemas-microsoft-com:office:smarttags" w:element="country-region">
        <w:r w:rsidR="00656C49">
          <w:t>Sweden</w:t>
        </w:r>
      </w:smartTag>
      <w:r w:rsidR="00656C49">
        <w:t xml:space="preserve"> and </w:t>
      </w:r>
      <w:smartTag w:uri="urn:schemas-microsoft-com:office:smarttags" w:element="place">
        <w:smartTag w:uri="urn:schemas-microsoft-com:office:smarttags" w:element="country-region">
          <w:r w:rsidR="00656C49">
            <w:t>Ukraine</w:t>
          </w:r>
        </w:smartTag>
      </w:smartTag>
      <w:r w:rsidR="00656C49">
        <w:t>.</w:t>
      </w:r>
    </w:p>
    <w:p w:rsidRPr="00160D26" w:rsidR="000270F6" w:rsidP="006C3DE0" w:rsidRDefault="006C3DE0">
      <w:pPr>
        <w:pStyle w:val="JuPara"/>
        <w:rPr>
          <w:lang w:val="az-Latn-AZ"/>
        </w:rPr>
      </w:pPr>
      <w:r>
        <w:fldChar w:fldCharType="begin"/>
      </w:r>
      <w:r>
        <w:instrText xml:space="preserve"> SEQ level0 \*arabic </w:instrText>
      </w:r>
      <w:r>
        <w:fldChar w:fldCharType="separate"/>
      </w:r>
      <w:r w:rsidR="00DA3181">
        <w:rPr>
          <w:noProof/>
        </w:rPr>
        <w:t>43</w:t>
      </w:r>
      <w:r>
        <w:fldChar w:fldCharType="end"/>
      </w:r>
      <w:r>
        <w:t>.  </w:t>
      </w:r>
      <w:r w:rsidR="00CC5845">
        <w:t>As for</w:t>
      </w:r>
      <w:r w:rsidR="0084614D">
        <w:t xml:space="preserve"> the range of alternative</w:t>
      </w:r>
      <w:r w:rsidR="00CC5845">
        <w:t xml:space="preserve"> sanctions</w:t>
      </w:r>
      <w:r w:rsidR="0084614D">
        <w:t xml:space="preserve"> (apart from involuntary dissolution) that may be imposed on NGOs for various types of contraventions</w:t>
      </w:r>
      <w:r w:rsidR="00CC5845">
        <w:t xml:space="preserve">, </w:t>
      </w:r>
      <w:r w:rsidR="0084614D">
        <w:t>such sanctions include</w:t>
      </w:r>
      <w:r>
        <w:t xml:space="preserve">: (i) </w:t>
      </w:r>
      <w:r w:rsidRPr="00656C49">
        <w:t>fines</w:t>
      </w:r>
      <w:r>
        <w:t xml:space="preserve"> </w:t>
      </w:r>
      <w:r w:rsidR="00CC5845">
        <w:t>(</w:t>
      </w:r>
      <w:r>
        <w:t>Austria, Malta, Russia, Slovakia,</w:t>
      </w:r>
      <w:r w:rsidRPr="00C23EE7">
        <w:t xml:space="preserve"> </w:t>
      </w:r>
      <w:r>
        <w:t>Slovenia, Turkey and Ukraine</w:t>
      </w:r>
      <w:r w:rsidR="00CC5845">
        <w:t>)</w:t>
      </w:r>
      <w:r>
        <w:t xml:space="preserve">; (ii) </w:t>
      </w:r>
      <w:r w:rsidRPr="00656C49">
        <w:t>suspension of activities</w:t>
      </w:r>
      <w:r>
        <w:t xml:space="preserve"> </w:t>
      </w:r>
      <w:r w:rsidR="00CC5845">
        <w:t>(</w:t>
      </w:r>
      <w:r>
        <w:t>Finland, Hungary, Malta, Russia, Slovakia, Turkey and Ukraine</w:t>
      </w:r>
      <w:r w:rsidR="00CC5845">
        <w:t>)</w:t>
      </w:r>
      <w:r>
        <w:t xml:space="preserve">; (iii) the </w:t>
      </w:r>
      <w:r w:rsidRPr="00656C49">
        <w:t>invalidity of a decision</w:t>
      </w:r>
      <w:r>
        <w:t xml:space="preserve"> taken in contravention of the organisation</w:t>
      </w:r>
      <w:r w:rsidR="000D7A2F">
        <w:t>’</w:t>
      </w:r>
      <w:r>
        <w:t xml:space="preserve">s internal charter or applicable domestic law </w:t>
      </w:r>
      <w:r w:rsidR="00CC5845">
        <w:t>(</w:t>
      </w:r>
      <w:r>
        <w:t>Estonia, Hungary, Italy, Latvia and</w:t>
      </w:r>
      <w:r w:rsidRPr="00C23EE7">
        <w:t xml:space="preserve"> </w:t>
      </w:r>
      <w:r>
        <w:t>Poland</w:t>
      </w:r>
      <w:r w:rsidR="00CC5845">
        <w:t>)</w:t>
      </w:r>
      <w:r>
        <w:t xml:space="preserve">; (iv) the </w:t>
      </w:r>
      <w:r w:rsidRPr="00CC5845">
        <w:t>dismissal of administrators</w:t>
      </w:r>
      <w:r>
        <w:t xml:space="preserve"> </w:t>
      </w:r>
      <w:r w:rsidR="00CC5845">
        <w:t>(</w:t>
      </w:r>
      <w:r>
        <w:t>Italy and</w:t>
      </w:r>
      <w:r w:rsidR="00D72288">
        <w:t>, in respect of foundations,</w:t>
      </w:r>
      <w:r>
        <w:t xml:space="preserve"> Luxembourg</w:t>
      </w:r>
      <w:r w:rsidR="00CC5845">
        <w:t>)</w:t>
      </w:r>
      <w:r>
        <w:t xml:space="preserve">; </w:t>
      </w:r>
      <w:r w:rsidR="00CC5845">
        <w:t xml:space="preserve">and </w:t>
      </w:r>
      <w:r>
        <w:t xml:space="preserve">(v) being </w:t>
      </w:r>
      <w:r w:rsidRPr="00CC5845">
        <w:t>struck off a special register and withdrawal of associated privileges</w:t>
      </w:r>
      <w:r>
        <w:t xml:space="preserve"> such as tax benefits </w:t>
      </w:r>
      <w:r w:rsidR="00CC5845">
        <w:t>(</w:t>
      </w:r>
      <w:r>
        <w:t>Bulgaria, England and Wales (loss of charit</w:t>
      </w:r>
      <w:r w:rsidR="0084614D">
        <w:t>able status), Ireland, Portugal and</w:t>
      </w:r>
      <w:r>
        <w:t xml:space="preserve"> Spain</w:t>
      </w:r>
      <w:r w:rsidR="00CC5845">
        <w:t>)</w:t>
      </w:r>
      <w:r>
        <w:t>.</w:t>
      </w:r>
    </w:p>
    <w:p w:rsidRPr="00431462" w:rsidR="00260DD7" w:rsidP="00AF60D4" w:rsidRDefault="00260DD7">
      <w:pPr>
        <w:pStyle w:val="JuHHead"/>
        <w:outlineLvl w:val="0"/>
      </w:pPr>
      <w:r w:rsidRPr="00431462">
        <w:t>THE LAW</w:t>
      </w:r>
    </w:p>
    <w:p w:rsidRPr="00431462" w:rsidR="00431462" w:rsidP="00AF60D4" w:rsidRDefault="00431462">
      <w:pPr>
        <w:pStyle w:val="JuHIRoman"/>
        <w:outlineLvl w:val="0"/>
      </w:pPr>
      <w:r w:rsidRPr="00431462">
        <w:t xml:space="preserve">I.  ALLEGED VIOLATION OF ARTICLE </w:t>
      </w:r>
      <w:r w:rsidR="00267FF1">
        <w:t>11</w:t>
      </w:r>
      <w:r w:rsidRPr="00431462">
        <w:t xml:space="preserve"> OF THE CONVENTION</w:t>
      </w:r>
    </w:p>
    <w:p w:rsidR="00BE3CF2" w:rsidRDefault="00431462">
      <w:pPr>
        <w:pStyle w:val="JuPara"/>
      </w:pPr>
      <w:r w:rsidRPr="00431462">
        <w:fldChar w:fldCharType="begin"/>
      </w:r>
      <w:r w:rsidRPr="00431462">
        <w:instrText xml:space="preserve"> SEQ level0 \*arabic </w:instrText>
      </w:r>
      <w:r w:rsidRPr="00431462">
        <w:fldChar w:fldCharType="separate"/>
      </w:r>
      <w:r w:rsidR="00DA3181">
        <w:rPr>
          <w:noProof/>
        </w:rPr>
        <w:t>44</w:t>
      </w:r>
      <w:r w:rsidRPr="00431462">
        <w:fldChar w:fldCharType="end"/>
      </w:r>
      <w:r w:rsidRPr="00431462">
        <w:t>.  </w:t>
      </w:r>
      <w:r w:rsidR="00267FF1">
        <w:t xml:space="preserve">The applicants complained that the forced dissolution of </w:t>
      </w:r>
      <w:r w:rsidR="00CD4ED1">
        <w:t xml:space="preserve">the </w:t>
      </w:r>
      <w:smartTag w:uri="urn:schemas-microsoft-com:office:smarttags" w:element="PersonName">
        <w:r w:rsidR="00CD4ED1">
          <w:t>Association</w:t>
        </w:r>
      </w:smartTag>
      <w:r w:rsidR="00267FF1">
        <w:t xml:space="preserve"> had violated their right to freed</w:t>
      </w:r>
      <w:r w:rsidR="00636FD2">
        <w:t>om of association under Article </w:t>
      </w:r>
      <w:r w:rsidR="00BE3CF2">
        <w:t>11 of the Convention, which provides as follows:</w:t>
      </w:r>
    </w:p>
    <w:p w:rsidR="00BE3CF2" w:rsidRDefault="00BE3CF2">
      <w:pPr>
        <w:pStyle w:val="JuQuot"/>
      </w:pPr>
      <w:r>
        <w:rPr>
          <w:sz w:val="24"/>
        </w:rPr>
        <w:t>“</w:t>
      </w:r>
      <w:r>
        <w:t>1.  Everyone has the right to freedom of peaceful assembly and to freedom of association with others, including the right to form and to join trade unions for the protection of his interests.</w:t>
      </w:r>
    </w:p>
    <w:p w:rsidR="00636FD2" w:rsidP="00BE3CF2" w:rsidRDefault="00BE3CF2">
      <w:pPr>
        <w:pStyle w:val="JuQuot"/>
      </w:pPr>
      <w:r>
        <w:t>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p w:rsidR="00D624C2" w:rsidP="00AF60D4" w:rsidRDefault="00431462">
      <w:pPr>
        <w:pStyle w:val="JuHA"/>
        <w:outlineLvl w:val="0"/>
      </w:pPr>
      <w:r w:rsidRPr="00431462">
        <w:t>A.  </w:t>
      </w:r>
      <w:r w:rsidR="00D624C2">
        <w:t>The parties</w:t>
      </w:r>
      <w:r w:rsidR="000D7A2F">
        <w:t>’</w:t>
      </w:r>
      <w:r w:rsidR="00D624C2">
        <w:t xml:space="preserve"> submissions</w:t>
      </w:r>
    </w:p>
    <w:p w:rsidR="00D624C2" w:rsidP="00D624C2" w:rsidRDefault="00D624C2">
      <w:pPr>
        <w:pStyle w:val="JuPara"/>
      </w:pPr>
      <w:r w:rsidRPr="00431462">
        <w:fldChar w:fldCharType="begin"/>
      </w:r>
      <w:r w:rsidRPr="00431462">
        <w:instrText xml:space="preserve"> SEQ level0 \*arabic </w:instrText>
      </w:r>
      <w:r w:rsidRPr="00431462">
        <w:fldChar w:fldCharType="separate"/>
      </w:r>
      <w:r w:rsidR="00DA3181">
        <w:rPr>
          <w:noProof/>
        </w:rPr>
        <w:t>45</w:t>
      </w:r>
      <w:r w:rsidRPr="00431462">
        <w:fldChar w:fldCharType="end"/>
      </w:r>
      <w:r w:rsidRPr="00431462">
        <w:t>.  </w:t>
      </w:r>
      <w:r>
        <w:t>The Government maintained that the interference with the applicants</w:t>
      </w:r>
      <w:r w:rsidR="000D7A2F">
        <w:t>’</w:t>
      </w:r>
      <w:r>
        <w:t xml:space="preserve"> freedom of association was prescribed by the domestic law, which was both accessible and foreseeable. The Association</w:t>
      </w:r>
      <w:r w:rsidR="000D7A2F">
        <w:t>’</w:t>
      </w:r>
      <w:r>
        <w:t>s acts and omissions, which had led the Ministry</w:t>
      </w:r>
      <w:r w:rsidR="00893CEC">
        <w:t xml:space="preserve"> of Justice</w:t>
      </w:r>
      <w:r>
        <w:t xml:space="preserve"> to issue its warnings, were clearly in breach of the legal requirements applicable to non-commercial legal entities, including public associations. The possibility of an association</w:t>
      </w:r>
      <w:r w:rsidR="000D7A2F">
        <w:t>’</w:t>
      </w:r>
      <w:r>
        <w:t>s dissolution, as a consequence of such breaches, was also prescribed in the domestic law and was foreseeable.</w:t>
      </w:r>
      <w:r w:rsidRPr="00D624C2">
        <w:t xml:space="preserve"> </w:t>
      </w:r>
      <w:r>
        <w:t>In this connection, the Government noted that, in the event of an association</w:t>
      </w:r>
      <w:r w:rsidR="000D7A2F">
        <w:t>’</w:t>
      </w:r>
      <w:r>
        <w:t>s continu</w:t>
      </w:r>
      <w:r w:rsidR="00DF3829">
        <w:t>ing</w:t>
      </w:r>
      <w:r>
        <w:t xml:space="preserve"> failure to bring its activities in</w:t>
      </w:r>
      <w:r w:rsidR="00DF3829">
        <w:t>to</w:t>
      </w:r>
      <w:r>
        <w:t xml:space="preserve"> compliance with the domestic law following at least three warnings by the Ministry of Justice issued within one calendar year, forced dissolution was the only sanction available under the domestic law applicable at the relevant time</w:t>
      </w:r>
      <w:r w:rsidR="0014124C">
        <w:t>.</w:t>
      </w:r>
    </w:p>
    <w:p w:rsidR="00D624C2" w:rsidP="00D624C2" w:rsidRDefault="00D624C2">
      <w:pPr>
        <w:pStyle w:val="JuPara"/>
      </w:pPr>
      <w:r>
        <w:fldChar w:fldCharType="begin"/>
      </w:r>
      <w:r>
        <w:instrText xml:space="preserve"> SEQ level0 \*arabic </w:instrText>
      </w:r>
      <w:r>
        <w:fldChar w:fldCharType="separate"/>
      </w:r>
      <w:r w:rsidR="00DA3181">
        <w:rPr>
          <w:noProof/>
        </w:rPr>
        <w:t>46</w:t>
      </w:r>
      <w:r>
        <w:fldChar w:fldCharType="end"/>
      </w:r>
      <w:r>
        <w:t xml:space="preserve">.  The Government submitted that </w:t>
      </w:r>
      <w:r w:rsidR="002A681B">
        <w:t xml:space="preserve">the </w:t>
      </w:r>
      <w:r>
        <w:t>interference pursued the legitimate aim of “protection of the rights and freedoms of others”, such as the rights of the Association</w:t>
      </w:r>
      <w:r w:rsidR="000D7A2F">
        <w:t>’</w:t>
      </w:r>
      <w:r>
        <w:t xml:space="preserve">s own members who had been deprived of their right to participate in the </w:t>
      </w:r>
      <w:r w:rsidR="00E340C0">
        <w:t>A</w:t>
      </w:r>
      <w:r>
        <w:t>ssociation</w:t>
      </w:r>
      <w:r w:rsidR="000D7A2F">
        <w:t>’</w:t>
      </w:r>
      <w:r>
        <w:t>s management, as well as third persons affected by the Association</w:t>
      </w:r>
      <w:r w:rsidR="000D7A2F">
        <w:t>’</w:t>
      </w:r>
      <w:r>
        <w:t>s unlawful activities.</w:t>
      </w:r>
    </w:p>
    <w:p w:rsidR="00636FD2" w:rsidP="00D624C2" w:rsidRDefault="00D624C2">
      <w:pPr>
        <w:pStyle w:val="JuPara"/>
      </w:pPr>
      <w:r>
        <w:fldChar w:fldCharType="begin"/>
      </w:r>
      <w:r>
        <w:instrText xml:space="preserve"> SEQ level0 \*arabic </w:instrText>
      </w:r>
      <w:r>
        <w:fldChar w:fldCharType="separate"/>
      </w:r>
      <w:r w:rsidR="00DA3181">
        <w:rPr>
          <w:noProof/>
        </w:rPr>
        <w:t>47</w:t>
      </w:r>
      <w:r>
        <w:fldChar w:fldCharType="end"/>
      </w:r>
      <w:r>
        <w:t xml:space="preserve">.  Lastly, the Government maintained that the interference </w:t>
      </w:r>
      <w:r w:rsidR="00DF3829">
        <w:t xml:space="preserve">had been </w:t>
      </w:r>
      <w:r>
        <w:t>necessary in a democratic society. The Association</w:t>
      </w:r>
      <w:r w:rsidR="000D7A2F">
        <w:t>’</w:t>
      </w:r>
      <w:r>
        <w:t xml:space="preserve">s activities </w:t>
      </w:r>
      <w:r w:rsidR="00DF3829">
        <w:t xml:space="preserve">had been </w:t>
      </w:r>
      <w:r>
        <w:t xml:space="preserve">in breach of the domestic law for an extended period of time (at least since the time of issuance of the first warning in 1997) and, within that period, despite repeated warnings, it </w:t>
      </w:r>
      <w:r w:rsidR="00DF3829">
        <w:t xml:space="preserve">had </w:t>
      </w:r>
      <w:r>
        <w:t>not take</w:t>
      </w:r>
      <w:r w:rsidR="00DF3829">
        <w:t>n</w:t>
      </w:r>
      <w:r>
        <w:t xml:space="preserve"> any steps to remedy the situation. In such circumstances, there </w:t>
      </w:r>
      <w:r w:rsidR="00DF3829">
        <w:t xml:space="preserve">had been </w:t>
      </w:r>
      <w:r>
        <w:t>a “pressing social need” justifying the interference with the applicants</w:t>
      </w:r>
      <w:r w:rsidR="000D7A2F">
        <w:t>’</w:t>
      </w:r>
      <w:r>
        <w:t xml:space="preserve"> rights.</w:t>
      </w:r>
    </w:p>
    <w:p w:rsidR="00D624C2" w:rsidP="00D624C2" w:rsidRDefault="00D624C2">
      <w:pPr>
        <w:pStyle w:val="JuPara"/>
      </w:pPr>
      <w:r>
        <w:fldChar w:fldCharType="begin"/>
      </w:r>
      <w:r>
        <w:instrText xml:space="preserve"> SEQ level0 \*arabic </w:instrText>
      </w:r>
      <w:r>
        <w:fldChar w:fldCharType="separate"/>
      </w:r>
      <w:r w:rsidR="00DA3181">
        <w:rPr>
          <w:noProof/>
        </w:rPr>
        <w:t>48</w:t>
      </w:r>
      <w:r>
        <w:fldChar w:fldCharType="end"/>
      </w:r>
      <w:r>
        <w:t xml:space="preserve">.  The applicants argued that the interference was not prescribed by law, because the </w:t>
      </w:r>
      <w:r w:rsidR="00EC2892">
        <w:t>Law on non</w:t>
      </w:r>
      <w:r w:rsidR="00EC2892">
        <w:noBreakHyphen/>
        <w:t>governmental organisations (</w:t>
      </w:r>
      <w:r w:rsidR="00E27072">
        <w:t>p</w:t>
      </w:r>
      <w:r w:rsidR="00EC2892">
        <w:t xml:space="preserve">ublic </w:t>
      </w:r>
      <w:r w:rsidR="00E27072">
        <w:t>a</w:t>
      </w:r>
      <w:r w:rsidR="00EC2892">
        <w:t xml:space="preserve">ssociations and </w:t>
      </w:r>
      <w:r w:rsidR="00E27072">
        <w:t>f</w:t>
      </w:r>
      <w:r w:rsidR="00EC2892">
        <w:t xml:space="preserve">oundations) (“the </w:t>
      </w:r>
      <w:r>
        <w:t>NGO Act</w:t>
      </w:r>
      <w:r w:rsidR="00EC2892">
        <w:t>”)</w:t>
      </w:r>
      <w:r>
        <w:t xml:space="preserve">, being vague and imprecise, gave the Ministry of Justice an unlimited discretion to issue warnings to public associations without specifying clearly the scope of such discretion. This situation allowed the Ministry to request dissolution of an association for anything that it deemed </w:t>
      </w:r>
      <w:r w:rsidR="00DF3829">
        <w:t xml:space="preserve">to be </w:t>
      </w:r>
      <w:r>
        <w:t xml:space="preserve">a breach of the requirements of the NGO Act, even if it was relatively minor. Therefore, the NGO Act was not formulated with sufficient precision, which made it impossible to foresee, to a reasonable degree, the specific actions (or omissions) that could entail the forced dissolution of the </w:t>
      </w:r>
      <w:smartTag w:uri="urn:schemas-microsoft-com:office:smarttags" w:element="PersonName">
        <w:r>
          <w:t>Association</w:t>
        </w:r>
      </w:smartTag>
      <w:r>
        <w:t>.</w:t>
      </w:r>
    </w:p>
    <w:p w:rsidR="00636FD2" w:rsidP="00D624C2" w:rsidRDefault="00D624C2">
      <w:pPr>
        <w:pStyle w:val="JuPara"/>
      </w:pPr>
      <w:r>
        <w:fldChar w:fldCharType="begin"/>
      </w:r>
      <w:r>
        <w:instrText xml:space="preserve"> SEQ level0 \*arabic </w:instrText>
      </w:r>
      <w:r>
        <w:fldChar w:fldCharType="separate"/>
      </w:r>
      <w:r w:rsidR="00DA3181">
        <w:rPr>
          <w:noProof/>
        </w:rPr>
        <w:t>49</w:t>
      </w:r>
      <w:r>
        <w:fldChar w:fldCharType="end"/>
      </w:r>
      <w:r>
        <w:t>.  The applicants maintained that the Ministry</w:t>
      </w:r>
      <w:r w:rsidR="000D7A2F">
        <w:t>’</w:t>
      </w:r>
      <w:r>
        <w:t>s remarks concerning the alleged breaches of the legal requirements concerning the Association</w:t>
      </w:r>
      <w:r w:rsidR="000D7A2F">
        <w:t>’</w:t>
      </w:r>
      <w:r>
        <w:t>s management were unsubstantiated. In particular, the Association</w:t>
      </w:r>
      <w:r w:rsidR="000D7A2F">
        <w:t>’</w:t>
      </w:r>
      <w:r>
        <w:t xml:space="preserve">s general assembly </w:t>
      </w:r>
      <w:r w:rsidR="00AB19EC">
        <w:t xml:space="preserve">had been </w:t>
      </w:r>
      <w:r>
        <w:t xml:space="preserve">convened on 26 August 2002. It </w:t>
      </w:r>
      <w:r w:rsidR="00AB19EC">
        <w:t xml:space="preserve">had been </w:t>
      </w:r>
      <w:r>
        <w:t>carried out in accordance with the requirements of the Association</w:t>
      </w:r>
      <w:r w:rsidR="000D7A2F">
        <w:t>’</w:t>
      </w:r>
      <w:r>
        <w:t xml:space="preserve">s </w:t>
      </w:r>
      <w:r w:rsidR="00AB19EC">
        <w:t>C</w:t>
      </w:r>
      <w:r>
        <w:t xml:space="preserve">harter and the domestic law. All </w:t>
      </w:r>
      <w:r w:rsidR="00AB19EC">
        <w:t xml:space="preserve">the members of the </w:t>
      </w:r>
      <w:smartTag w:uri="urn:schemas-microsoft-com:office:smarttags" w:element="PersonName">
        <w:r>
          <w:t>Association</w:t>
        </w:r>
      </w:smartTag>
      <w:r>
        <w:t xml:space="preserve"> had been duly informed about the general assembly in advance; thus, their right to participate in the Association</w:t>
      </w:r>
      <w:r w:rsidR="000D7A2F">
        <w:t>’</w:t>
      </w:r>
      <w:r>
        <w:t xml:space="preserve">s management </w:t>
      </w:r>
      <w:r w:rsidR="00AB19EC">
        <w:t xml:space="preserve">had been </w:t>
      </w:r>
      <w:r>
        <w:t>respected. As for the Ministry</w:t>
      </w:r>
      <w:r w:rsidR="000D7A2F">
        <w:t>’</w:t>
      </w:r>
      <w:r>
        <w:t>s remark that the Association</w:t>
      </w:r>
      <w:r w:rsidR="000D7A2F">
        <w:t>’</w:t>
      </w:r>
      <w:r>
        <w:t xml:space="preserve">s local </w:t>
      </w:r>
      <w:r w:rsidR="002A681B">
        <w:t>branches</w:t>
      </w:r>
      <w:r>
        <w:t xml:space="preserve"> had not been equally represented, the applicants noted that </w:t>
      </w:r>
      <w:r w:rsidR="00AB19EC">
        <w:t xml:space="preserve">this </w:t>
      </w:r>
      <w:r>
        <w:t>was baseless and</w:t>
      </w:r>
      <w:r w:rsidR="00AB19EC">
        <w:t xml:space="preserve"> nonsensical</w:t>
      </w:r>
      <w:r>
        <w:t xml:space="preserve"> as the number of members in each </w:t>
      </w:r>
      <w:r w:rsidR="002A681B">
        <w:t>branch</w:t>
      </w:r>
      <w:r>
        <w:t xml:space="preserve"> was not equal and therefore it was impossible to </w:t>
      </w:r>
      <w:r w:rsidR="00AB19EC">
        <w:t xml:space="preserve">ensure </w:t>
      </w:r>
      <w:r>
        <w:t>equal representation.</w:t>
      </w:r>
    </w:p>
    <w:p w:rsidR="00636FD2" w:rsidP="00D624C2" w:rsidRDefault="00D624C2">
      <w:pPr>
        <w:pStyle w:val="JuPara"/>
      </w:pPr>
      <w:r w:rsidRPr="00F36D84">
        <w:fldChar w:fldCharType="begin"/>
      </w:r>
      <w:r w:rsidRPr="00F36D84">
        <w:instrText xml:space="preserve"> SEQ level0 \*arabic </w:instrText>
      </w:r>
      <w:r w:rsidRPr="00F36D84">
        <w:fldChar w:fldCharType="separate"/>
      </w:r>
      <w:r w:rsidR="00DA3181">
        <w:rPr>
          <w:noProof/>
        </w:rPr>
        <w:t>50</w:t>
      </w:r>
      <w:r w:rsidRPr="00F36D84">
        <w:fldChar w:fldCharType="end"/>
      </w:r>
      <w:r w:rsidRPr="00F36D84">
        <w:t xml:space="preserve">.  The applicants further argued that the remaining accusations against the </w:t>
      </w:r>
      <w:smartTag w:uri="urn:schemas-microsoft-com:office:smarttags" w:element="PersonName">
        <w:r w:rsidRPr="00F36D84">
          <w:t>Association</w:t>
        </w:r>
      </w:smartTag>
      <w:r w:rsidRPr="00F36D84">
        <w:t>, namely that it had engaged in unlawful acts contrary to its main objects of activity, were completely unsubstantiated and lacked any evidence. Neither the Ministry of Justice nor the domestic courts had ever even named which enterprises</w:t>
      </w:r>
      <w:r w:rsidR="000D7A2F">
        <w:t>’</w:t>
      </w:r>
      <w:r w:rsidRPr="00F36D84">
        <w:t xml:space="preserve"> or persons</w:t>
      </w:r>
      <w:r w:rsidR="000D7A2F">
        <w:t>’</w:t>
      </w:r>
      <w:r w:rsidRPr="00F36D84">
        <w:t xml:space="preserve"> rights had been infringed by the Association</w:t>
      </w:r>
      <w:r w:rsidR="000D7A2F">
        <w:t>’</w:t>
      </w:r>
      <w:r w:rsidRPr="00F36D84">
        <w:t xml:space="preserve">s allegedly unlawful activities. There had been no complaint lodged by any third persons claiming that the </w:t>
      </w:r>
      <w:smartTag w:uri="urn:schemas-microsoft-com:office:smarttags" w:element="PersonName">
        <w:r w:rsidRPr="00F36D84">
          <w:t>Association</w:t>
        </w:r>
      </w:smartTag>
      <w:r w:rsidRPr="00F36D84">
        <w:t xml:space="preserve"> had attempted to </w:t>
      </w:r>
      <w:r w:rsidRPr="00F36D84" w:rsidR="0000563C">
        <w:t xml:space="preserve">illegally </w:t>
      </w:r>
      <w:r w:rsidRPr="00F36D84">
        <w:t>collect money from them “</w:t>
      </w:r>
      <w:r w:rsidR="00910816">
        <w:t>in</w:t>
      </w:r>
      <w:r w:rsidRPr="00F36D84" w:rsidR="00910816">
        <w:t xml:space="preserve"> </w:t>
      </w:r>
      <w:r w:rsidRPr="00F36D84">
        <w:t xml:space="preserve">the guise of membership fees” or conducted unlawful environmental “inspections” </w:t>
      </w:r>
      <w:r w:rsidR="00910816">
        <w:t>of</w:t>
      </w:r>
      <w:r w:rsidRPr="00F36D84" w:rsidR="00910816">
        <w:t xml:space="preserve"> </w:t>
      </w:r>
      <w:r w:rsidRPr="00F36D84">
        <w:t xml:space="preserve">their enterprises. It had not been shown which specific persons affiliated </w:t>
      </w:r>
      <w:r w:rsidR="00910816">
        <w:t>to</w:t>
      </w:r>
      <w:r w:rsidRPr="00F36D84" w:rsidR="00910816">
        <w:t xml:space="preserve"> </w:t>
      </w:r>
      <w:r w:rsidRPr="00F36D84">
        <w:t xml:space="preserve">the </w:t>
      </w:r>
      <w:smartTag w:uri="urn:schemas-microsoft-com:office:smarttags" w:element="PersonName">
        <w:r w:rsidRPr="00F36D84">
          <w:t>Association</w:t>
        </w:r>
      </w:smartTag>
      <w:r w:rsidRPr="00F36D84">
        <w:t xml:space="preserve"> had engaged in these activities. Moreover, while such unlawful activities entailed criminal liability under the domestic law, not a single </w:t>
      </w:r>
      <w:smartTag w:uri="urn:schemas-microsoft-com:office:smarttags" w:element="PersonName">
        <w:r w:rsidRPr="00F36D84">
          <w:t>Association</w:t>
        </w:r>
      </w:smartTag>
      <w:r w:rsidRPr="00F36D84">
        <w:t xml:space="preserve"> member or any other person affiliated </w:t>
      </w:r>
      <w:r w:rsidR="00910816">
        <w:t>to</w:t>
      </w:r>
      <w:r w:rsidRPr="00F36D84" w:rsidR="00910816">
        <w:t xml:space="preserve"> </w:t>
      </w:r>
      <w:r w:rsidRPr="00F36D84">
        <w:t>it had ever been charged with a criminal offence in connection with these allegations.</w:t>
      </w:r>
    </w:p>
    <w:p w:rsidR="00636FD2" w:rsidP="00D624C2" w:rsidRDefault="00D624C2">
      <w:pPr>
        <w:pStyle w:val="JuPara"/>
      </w:pPr>
      <w:r>
        <w:fldChar w:fldCharType="begin"/>
      </w:r>
      <w:r>
        <w:instrText xml:space="preserve"> SEQ level0 \*arabic </w:instrText>
      </w:r>
      <w:r>
        <w:fldChar w:fldCharType="separate"/>
      </w:r>
      <w:r w:rsidR="00DA3181">
        <w:rPr>
          <w:noProof/>
        </w:rPr>
        <w:t>51</w:t>
      </w:r>
      <w:r>
        <w:fldChar w:fldCharType="end"/>
      </w:r>
      <w:r>
        <w:t xml:space="preserve">.  For the above reasons, the applicants concluded that the order </w:t>
      </w:r>
      <w:r w:rsidR="00910816">
        <w:t xml:space="preserve">for </w:t>
      </w:r>
      <w:r>
        <w:t>the Association</w:t>
      </w:r>
      <w:r w:rsidR="000D7A2F">
        <w:t>’</w:t>
      </w:r>
      <w:r>
        <w:t>s dissolution had been arbitrary as there had been no compelling</w:t>
      </w:r>
      <w:r w:rsidRPr="00FD403C">
        <w:t xml:space="preserve"> </w:t>
      </w:r>
      <w:r>
        <w:t xml:space="preserve">grounds for such interference with their freedom of association. Even if the </w:t>
      </w:r>
      <w:smartTag w:uri="urn:schemas-microsoft-com:office:smarttags" w:element="PersonName">
        <w:r>
          <w:t>Association</w:t>
        </w:r>
      </w:smartTag>
      <w:r>
        <w:t xml:space="preserve"> had committed some breaches of</w:t>
      </w:r>
      <w:r w:rsidR="00910816">
        <w:t xml:space="preserve"> the</w:t>
      </w:r>
      <w:r>
        <w:t xml:space="preserve"> rules concerning internal management of public associations, the interference in the present case </w:t>
      </w:r>
      <w:r w:rsidR="00910816">
        <w:t xml:space="preserve">had been </w:t>
      </w:r>
      <w:r>
        <w:t>disproportionate to the aims pursued and, therefore, not necessary in a democratic society.</w:t>
      </w:r>
    </w:p>
    <w:p w:rsidR="00D624C2" w:rsidP="00AF60D4" w:rsidRDefault="00D624C2">
      <w:pPr>
        <w:pStyle w:val="JuHA"/>
        <w:outlineLvl w:val="0"/>
      </w:pPr>
      <w:r>
        <w:t>B.  The Court</w:t>
      </w:r>
      <w:r w:rsidR="000D7A2F">
        <w:t>’</w:t>
      </w:r>
      <w:r>
        <w:t>s assessment</w:t>
      </w:r>
    </w:p>
    <w:p w:rsidR="006B6736" w:rsidP="00D624C2" w:rsidRDefault="006B6736">
      <w:pPr>
        <w:pStyle w:val="JuH1"/>
      </w:pPr>
      <w:r>
        <w:t>1.  General principles in the Court</w:t>
      </w:r>
      <w:r w:rsidR="000D7A2F">
        <w:t>’</w:t>
      </w:r>
      <w:r>
        <w:t>s case-law on freedom of association</w:t>
      </w:r>
    </w:p>
    <w:p w:rsidR="006B6736" w:rsidP="006B6736" w:rsidRDefault="006B6736">
      <w:pPr>
        <w:pStyle w:val="JuPara"/>
        <w:rPr>
          <w:lang w:eastAsia="en-US"/>
        </w:rPr>
      </w:pPr>
      <w:r>
        <w:fldChar w:fldCharType="begin"/>
      </w:r>
      <w:r>
        <w:instrText xml:space="preserve"> SEQ level0 \*arabic </w:instrText>
      </w:r>
      <w:r>
        <w:fldChar w:fldCharType="separate"/>
      </w:r>
      <w:r w:rsidR="00DA3181">
        <w:rPr>
          <w:noProof/>
        </w:rPr>
        <w:t>52</w:t>
      </w:r>
      <w:r>
        <w:fldChar w:fldCharType="end"/>
      </w:r>
      <w:r>
        <w:t xml:space="preserve">.  The right to form an association is an inherent part of the right set forth in Article </w:t>
      </w:r>
      <w:bookmarkStart w:name="HIT31" w:id="2"/>
      <w:bookmarkEnd w:id="2"/>
      <w:r w:rsidRPr="008C65EB">
        <w:t>11</w:t>
      </w:r>
      <w:r w:rsidR="00EC2892">
        <w:t xml:space="preserve"> of the Convention</w:t>
      </w:r>
      <w:r>
        <w:t xml:space="preserve">. That citizens should be able to form a legal entity in order to act collectively in a field of mutual interest is one of the most important aspects of the right to </w:t>
      </w:r>
      <w:bookmarkStart w:name="HIT32" w:id="3"/>
      <w:bookmarkEnd w:id="3"/>
      <w:r w:rsidRPr="008C65EB">
        <w:t>freedom</w:t>
      </w:r>
      <w:r>
        <w:t xml:space="preserve"> of </w:t>
      </w:r>
      <w:bookmarkStart w:name="HIT33" w:id="4"/>
      <w:bookmarkEnd w:id="4"/>
      <w:r w:rsidRPr="008C65EB">
        <w:t>association</w:t>
      </w:r>
      <w:r>
        <w:t>, without which that right would be deprived of any meaning. The way in which national legislation enshrines this freedom and its practical application by the authorities reveal the state of democracy in the country concerned. Certainly States have a right to satisfy themselves that an association</w:t>
      </w:r>
      <w:r w:rsidR="000D7A2F">
        <w:t>’</w:t>
      </w:r>
      <w:r>
        <w:t xml:space="preserve">s aim and activities are in conformity with the rules laid down in legislation, but they must do so in a manner compatible with their obligations under the Convention and subject to review by the Convention institutions (see </w:t>
      </w:r>
      <w:r w:rsidRPr="008C65EB" w:rsidR="008C65EB">
        <w:rPr>
          <w:i/>
          <w:lang w:eastAsia="en-US"/>
        </w:rPr>
        <w:t>Sidiropoulos and Others v. Greece</w:t>
      </w:r>
      <w:r w:rsidRPr="008C65EB" w:rsidR="008C65EB">
        <w:rPr>
          <w:lang w:eastAsia="en-US"/>
        </w:rPr>
        <w:t xml:space="preserve">, 10 July 1998, § </w:t>
      </w:r>
      <w:r w:rsidR="008C65EB">
        <w:rPr>
          <w:lang w:eastAsia="en-US"/>
        </w:rPr>
        <w:t>40</w:t>
      </w:r>
      <w:r w:rsidRPr="008C65EB" w:rsidR="008C65EB">
        <w:rPr>
          <w:lang w:eastAsia="en-US"/>
        </w:rPr>
        <w:t xml:space="preserve">, </w:t>
      </w:r>
      <w:r w:rsidRPr="008C65EB" w:rsidR="008C65EB">
        <w:rPr>
          <w:i/>
          <w:lang w:eastAsia="en-US"/>
        </w:rPr>
        <w:t>Reports of Judgments and Decisions</w:t>
      </w:r>
      <w:r w:rsidRPr="008C65EB" w:rsidR="008C65EB">
        <w:rPr>
          <w:lang w:eastAsia="en-US"/>
        </w:rPr>
        <w:t xml:space="preserve"> 1998</w:t>
      </w:r>
      <w:r w:rsidRPr="008C65EB" w:rsidR="008C65EB">
        <w:rPr>
          <w:lang w:eastAsia="en-US"/>
        </w:rPr>
        <w:noBreakHyphen/>
        <w:t>IV</w:t>
      </w:r>
      <w:r w:rsidR="008C65EB">
        <w:rPr>
          <w:lang w:eastAsia="en-US"/>
        </w:rPr>
        <w:t>)</w:t>
      </w:r>
      <w:r>
        <w:t>.</w:t>
      </w:r>
    </w:p>
    <w:p w:rsidR="00636FD2" w:rsidP="006B6736" w:rsidRDefault="006B6736">
      <w:pPr>
        <w:pStyle w:val="JuPara"/>
        <w:rPr>
          <w:lang w:eastAsia="en-US"/>
        </w:rPr>
      </w:pPr>
      <w:r>
        <w:fldChar w:fldCharType="begin"/>
      </w:r>
      <w:r>
        <w:instrText xml:space="preserve"> SEQ level0 \*arabic </w:instrText>
      </w:r>
      <w:r>
        <w:fldChar w:fldCharType="separate"/>
      </w:r>
      <w:r w:rsidR="00DA3181">
        <w:rPr>
          <w:noProof/>
        </w:rPr>
        <w:t>53</w:t>
      </w:r>
      <w:r>
        <w:fldChar w:fldCharType="end"/>
      </w:r>
      <w:r>
        <w:t xml:space="preserve">.  While in the context of Article </w:t>
      </w:r>
      <w:bookmarkStart w:name="HIT23" w:id="5"/>
      <w:bookmarkEnd w:id="5"/>
      <w:r w:rsidRPr="008C65EB">
        <w:t>11</w:t>
      </w:r>
      <w:r>
        <w:t xml:space="preserve"> the Court has often referred to the essential role played by political parties in ensuring pluralism and democracy, associations formed for other purposes are also important to the proper functioning of democracy. For pluralism is also built on the genuine recognition of, and respect for, diversity and the dynamics of cultural traditions, ethnic and cultural identities, religious beliefs, artistic, literary and socio-economic ideas and concepts. The harmonious interaction of persons and groups with varied identities is essential for achieving social cohesion. It is only natural that, where a civil society functions in a healthy manner, the participation of citizens in the democratic process is to a large extent achieved through belonging to associations in which they may integrate with each other and pursue common objectives collectively (see </w:t>
      </w:r>
      <w:r w:rsidRPr="008C65EB" w:rsidR="008C65EB">
        <w:rPr>
          <w:i/>
          <w:lang w:eastAsia="en-US"/>
        </w:rPr>
        <w:t xml:space="preserve">Gorzelik and Others v. Poland </w:t>
      </w:r>
      <w:r w:rsidRPr="008C65EB" w:rsidR="008C65EB">
        <w:rPr>
          <w:lang w:eastAsia="en-US"/>
        </w:rPr>
        <w:t xml:space="preserve">[GC], no. 44158/98, § </w:t>
      </w:r>
      <w:r w:rsidR="008C65EB">
        <w:rPr>
          <w:lang w:eastAsia="en-US"/>
        </w:rPr>
        <w:t>92</w:t>
      </w:r>
      <w:r w:rsidRPr="008C65EB" w:rsidR="008C65EB">
        <w:rPr>
          <w:lang w:eastAsia="en-US"/>
        </w:rPr>
        <w:t xml:space="preserve">, </w:t>
      </w:r>
      <w:r w:rsidR="00893CEC">
        <w:rPr>
          <w:lang w:eastAsia="en-US"/>
        </w:rPr>
        <w:t xml:space="preserve">ECHR </w:t>
      </w:r>
      <w:r w:rsidRPr="008C65EB" w:rsidR="008C65EB">
        <w:rPr>
          <w:lang w:eastAsia="en-US"/>
        </w:rPr>
        <w:t>2004</w:t>
      </w:r>
      <w:r w:rsidR="00893CEC">
        <w:rPr>
          <w:lang w:eastAsia="en-US"/>
        </w:rPr>
        <w:t>-I</w:t>
      </w:r>
      <w:r w:rsidR="008C65EB">
        <w:rPr>
          <w:lang w:eastAsia="en-US"/>
        </w:rPr>
        <w:t>;</w:t>
      </w:r>
      <w:r>
        <w:t xml:space="preserve"> </w:t>
      </w:r>
      <w:r w:rsidRPr="008C65EB" w:rsidR="008C65EB">
        <w:rPr>
          <w:i/>
          <w:lang w:eastAsia="en-US"/>
        </w:rPr>
        <w:t>Moscow Branch of the Salvation Army v. Russia</w:t>
      </w:r>
      <w:r w:rsidRPr="008C65EB" w:rsidR="008C65EB">
        <w:rPr>
          <w:lang w:eastAsia="en-US"/>
        </w:rPr>
        <w:t xml:space="preserve">, no. 72881/01, § </w:t>
      </w:r>
      <w:r w:rsidR="008C65EB">
        <w:rPr>
          <w:lang w:eastAsia="en-US"/>
        </w:rPr>
        <w:t>61</w:t>
      </w:r>
      <w:r w:rsidRPr="008C65EB" w:rsidR="008C65EB">
        <w:rPr>
          <w:lang w:eastAsia="en-US"/>
        </w:rPr>
        <w:t>,</w:t>
      </w:r>
      <w:r w:rsidRPr="008C65EB" w:rsidR="008C65EB">
        <w:rPr>
          <w:szCs w:val="24"/>
          <w:lang w:eastAsia="en-US"/>
        </w:rPr>
        <w:t xml:space="preserve"> ECHR 2006</w:t>
      </w:r>
      <w:r w:rsidRPr="008C65EB" w:rsidR="008C65EB">
        <w:rPr>
          <w:szCs w:val="24"/>
          <w:lang w:eastAsia="en-US"/>
        </w:rPr>
        <w:noBreakHyphen/>
      </w:r>
      <w:r w:rsidR="00861427">
        <w:rPr>
          <w:szCs w:val="24"/>
          <w:lang w:eastAsia="en-US"/>
        </w:rPr>
        <w:t>XI</w:t>
      </w:r>
      <w:r w:rsidR="008C65EB">
        <w:rPr>
          <w:szCs w:val="24"/>
          <w:lang w:eastAsia="en-US"/>
        </w:rPr>
        <w:t xml:space="preserve">; and </w:t>
      </w:r>
      <w:r w:rsidRPr="008C65EB" w:rsidR="008C65EB">
        <w:rPr>
          <w:i/>
          <w:lang w:eastAsia="en-US"/>
        </w:rPr>
        <w:t xml:space="preserve">Zhechev v. </w:t>
      </w:r>
      <w:smartTag w:uri="urn:schemas-microsoft-com:office:smarttags" w:element="place">
        <w:smartTag w:uri="urn:schemas-microsoft-com:office:smarttags" w:element="country-region">
          <w:r w:rsidR="008C65EB" w:rsidRPr="008C65EB">
            <w:rPr>
              <w:i/>
              <w:lang w:eastAsia="en-US"/>
            </w:rPr>
            <w:t>Bulgaria</w:t>
          </w:r>
        </w:smartTag>
      </w:smartTag>
      <w:r w:rsidRPr="008C65EB" w:rsidR="008C65EB">
        <w:rPr>
          <w:lang w:eastAsia="en-US"/>
        </w:rPr>
        <w:t xml:space="preserve">, no. 57045/00, § </w:t>
      </w:r>
      <w:r w:rsidR="008C65EB">
        <w:rPr>
          <w:lang w:eastAsia="en-US"/>
        </w:rPr>
        <w:t>35</w:t>
      </w:r>
      <w:r w:rsidRPr="008C65EB" w:rsidR="008C65EB">
        <w:rPr>
          <w:lang w:eastAsia="en-US"/>
        </w:rPr>
        <w:t>, 21 June 2007</w:t>
      </w:r>
      <w:r w:rsidR="008C65EB">
        <w:rPr>
          <w:lang w:eastAsia="en-US"/>
        </w:rPr>
        <w:t>).</w:t>
      </w:r>
    </w:p>
    <w:p w:rsidRPr="00431462" w:rsidR="00431462" w:rsidP="00AF60D4" w:rsidRDefault="006B6736">
      <w:pPr>
        <w:pStyle w:val="JuH1"/>
        <w:outlineLvl w:val="0"/>
      </w:pPr>
      <w:r>
        <w:t>2</w:t>
      </w:r>
      <w:r w:rsidR="00D624C2">
        <w:t>.  </w:t>
      </w:r>
      <w:r w:rsidR="0046592E">
        <w:t>Whether there was interference</w:t>
      </w:r>
    </w:p>
    <w:p w:rsidR="00636FD2" w:rsidRDefault="0046592E">
      <w:pPr>
        <w:pStyle w:val="JuPara"/>
      </w:pPr>
      <w:r>
        <w:fldChar w:fldCharType="begin"/>
      </w:r>
      <w:r>
        <w:instrText xml:space="preserve"> SEQ level0 \*arabic </w:instrText>
      </w:r>
      <w:r>
        <w:fldChar w:fldCharType="separate"/>
      </w:r>
      <w:r w:rsidR="00DA3181">
        <w:rPr>
          <w:noProof/>
        </w:rPr>
        <w:t>54</w:t>
      </w:r>
      <w:r>
        <w:fldChar w:fldCharType="end"/>
      </w:r>
      <w:r>
        <w:t>.  It was undisputed by the parties that the Association</w:t>
      </w:r>
      <w:r w:rsidR="000D7A2F">
        <w:t>’</w:t>
      </w:r>
      <w:r>
        <w:t>s dissolution amounted to an interference with the applicants</w:t>
      </w:r>
      <w:r w:rsidR="000D7A2F">
        <w:t>’</w:t>
      </w:r>
      <w:r>
        <w:t xml:space="preserve"> exercise of their right to </w:t>
      </w:r>
      <w:bookmarkStart w:name="HIT39" w:id="6"/>
      <w:bookmarkEnd w:id="6"/>
      <w:r w:rsidRPr="000C7852">
        <w:t>freedom</w:t>
      </w:r>
      <w:r>
        <w:t xml:space="preserve"> of </w:t>
      </w:r>
      <w:bookmarkStart w:name="HIT40" w:id="7"/>
      <w:bookmarkEnd w:id="7"/>
      <w:r w:rsidRPr="000C7852">
        <w:t>association</w:t>
      </w:r>
      <w:r>
        <w:t>. The Court shares the same view.</w:t>
      </w:r>
    </w:p>
    <w:p w:rsidRPr="00431462" w:rsidR="0046592E" w:rsidP="00AF60D4" w:rsidRDefault="006B6736">
      <w:pPr>
        <w:pStyle w:val="JuH1"/>
        <w:outlineLvl w:val="0"/>
      </w:pPr>
      <w:r>
        <w:t>3</w:t>
      </w:r>
      <w:r w:rsidR="0046592E">
        <w:t>.  Whether the interference was justified</w:t>
      </w:r>
    </w:p>
    <w:p w:rsidR="00100638" w:rsidP="00100638" w:rsidRDefault="00100638">
      <w:pPr>
        <w:pStyle w:val="JuPara"/>
      </w:pPr>
      <w:r w:rsidRPr="00431462">
        <w:fldChar w:fldCharType="begin"/>
      </w:r>
      <w:r w:rsidRPr="00431462">
        <w:instrText xml:space="preserve"> SEQ level0 \*arabic </w:instrText>
      </w:r>
      <w:r w:rsidRPr="00431462">
        <w:fldChar w:fldCharType="separate"/>
      </w:r>
      <w:r w:rsidR="00DA3181">
        <w:rPr>
          <w:noProof/>
        </w:rPr>
        <w:t>55</w:t>
      </w:r>
      <w:r w:rsidRPr="00431462">
        <w:fldChar w:fldCharType="end"/>
      </w:r>
      <w:r w:rsidRPr="00431462">
        <w:t>.  </w:t>
      </w:r>
      <w:r>
        <w:t xml:space="preserve">Such an interference will constitute a breach of Article </w:t>
      </w:r>
      <w:bookmarkStart w:name="HIT50" w:id="8"/>
      <w:bookmarkEnd w:id="8"/>
      <w:r w:rsidRPr="000C7852">
        <w:t>11</w:t>
      </w:r>
      <w:r>
        <w:t xml:space="preserve"> unless it was “prescribed by law”, pursued one or more legitimate aims under paragraph 2 and was “necessary in a democratic society” for the achievement of those aims.</w:t>
      </w:r>
    </w:p>
    <w:p w:rsidRPr="00431462" w:rsidR="00100638" w:rsidP="00AF60D4" w:rsidRDefault="00100638">
      <w:pPr>
        <w:pStyle w:val="JuHa0"/>
        <w:outlineLvl w:val="0"/>
      </w:pPr>
      <w:r>
        <w:t>(a)</w:t>
      </w:r>
      <w:r w:rsidRPr="00431462">
        <w:t>  </w:t>
      </w:r>
      <w:r>
        <w:t>“Prescribed by law”</w:t>
      </w:r>
    </w:p>
    <w:p w:rsidR="005D74D9" w:rsidP="00100638" w:rsidRDefault="00100638">
      <w:pPr>
        <w:pStyle w:val="JuPara"/>
        <w:rPr>
          <w:lang w:eastAsia="en-US"/>
        </w:rPr>
      </w:pPr>
      <w:r>
        <w:fldChar w:fldCharType="begin"/>
      </w:r>
      <w:r>
        <w:instrText xml:space="preserve"> SEQ level0 \*arabic </w:instrText>
      </w:r>
      <w:r>
        <w:fldChar w:fldCharType="separate"/>
      </w:r>
      <w:r w:rsidR="00DA3181">
        <w:rPr>
          <w:noProof/>
        </w:rPr>
        <w:t>56</w:t>
      </w:r>
      <w:r>
        <w:fldChar w:fldCharType="end"/>
      </w:r>
      <w:r>
        <w:t xml:space="preserve">.  The expressions “prescribed by law” and “in accordance with the law” in Articles 8 to </w:t>
      </w:r>
      <w:r w:rsidRPr="0032647F">
        <w:t>11</w:t>
      </w:r>
      <w:r>
        <w:t xml:space="preserve"> of the Convention not only require that the impugned measure should have some basis in domestic law, but also refer to the quality of the law in question. The law should be accessible to the persons concerned and formulated with sufficient precision to enable them – if need be, with appropriate advice – to foresee, to a degree that is reasonable in the circumstances, the consequences which a given action may entail (see</w:t>
      </w:r>
      <w:r w:rsidR="000C2B55">
        <w:t>, among many other authorities</w:t>
      </w:r>
      <w:r w:rsidR="00B305A9">
        <w:t>,</w:t>
      </w:r>
      <w:r w:rsidR="000C2B55">
        <w:t xml:space="preserve"> </w:t>
      </w:r>
      <w:r w:rsidRPr="000C2B55" w:rsidR="000C2B55">
        <w:rPr>
          <w:i/>
          <w:lang w:eastAsia="en-US"/>
        </w:rPr>
        <w:t xml:space="preserve">Maestri v. </w:t>
      </w:r>
      <w:smartTag w:uri="urn:schemas-microsoft-com:office:smarttags" w:element="place">
        <w:smartTag w:uri="urn:schemas-microsoft-com:office:smarttags" w:element="country-region">
          <w:r w:rsidR="000C2B55" w:rsidRPr="000C2B55">
            <w:rPr>
              <w:i/>
              <w:lang w:eastAsia="en-US"/>
            </w:rPr>
            <w:t>Italy</w:t>
          </w:r>
        </w:smartTag>
      </w:smartTag>
      <w:r w:rsidRPr="000C2B55" w:rsidR="000C2B55">
        <w:rPr>
          <w:lang w:eastAsia="en-US"/>
        </w:rPr>
        <w:t xml:space="preserve"> [GC], no.</w:t>
      </w:r>
      <w:r w:rsidR="006F0B3B">
        <w:rPr>
          <w:lang w:eastAsia="en-US"/>
        </w:rPr>
        <w:t> </w:t>
      </w:r>
      <w:r w:rsidRPr="000C2B55" w:rsidR="000C2B55">
        <w:rPr>
          <w:lang w:eastAsia="en-US"/>
        </w:rPr>
        <w:t xml:space="preserve">39748/98, § </w:t>
      </w:r>
      <w:r w:rsidR="000C2B55">
        <w:rPr>
          <w:lang w:eastAsia="en-US"/>
        </w:rPr>
        <w:t>30</w:t>
      </w:r>
      <w:r w:rsidRPr="000C2B55" w:rsidR="000C2B55">
        <w:rPr>
          <w:lang w:eastAsia="en-US"/>
        </w:rPr>
        <w:t>, ECHR 2004</w:t>
      </w:r>
      <w:r w:rsidRPr="000C2B55" w:rsidR="000C2B55">
        <w:rPr>
          <w:lang w:eastAsia="en-US"/>
        </w:rPr>
        <w:noBreakHyphen/>
        <w:t>I</w:t>
      </w:r>
      <w:r>
        <w:rPr>
          <w:lang w:eastAsia="en-US"/>
        </w:rPr>
        <w:t>).</w:t>
      </w:r>
    </w:p>
    <w:p w:rsidR="00B4028F" w:rsidRDefault="00100638">
      <w:pPr>
        <w:pStyle w:val="JuPara"/>
        <w:rPr>
          <w:lang w:eastAsia="en-US"/>
        </w:rPr>
      </w:pPr>
      <w:r>
        <w:fldChar w:fldCharType="begin"/>
      </w:r>
      <w:r>
        <w:instrText xml:space="preserve"> SEQ level0 \*arabic </w:instrText>
      </w:r>
      <w:r>
        <w:fldChar w:fldCharType="separate"/>
      </w:r>
      <w:r w:rsidR="00DA3181">
        <w:rPr>
          <w:noProof/>
        </w:rPr>
        <w:t>57</w:t>
      </w:r>
      <w:r>
        <w:fldChar w:fldCharType="end"/>
      </w:r>
      <w:r>
        <w:t>.  </w:t>
      </w:r>
      <w:r w:rsidR="00B4028F">
        <w:t xml:space="preserve">For domestic law to meet these requirements, it must afford a measure of legal protection against arbitrary interferences by public authorities with the rights guaranteed by the Convention. In matters affecting fundamental rights it would be contrary to the rule of law, one of the basic principles of a democratic society enshrined in the Convention, for a legal discretion granted to the executive to be expressed in terms of an </w:t>
      </w:r>
      <w:bookmarkStart w:name="HIT1" w:id="9"/>
      <w:bookmarkEnd w:id="9"/>
      <w:r w:rsidRPr="00100638" w:rsidR="00B4028F">
        <w:t>unfettered</w:t>
      </w:r>
      <w:r w:rsidR="00B4028F">
        <w:t xml:space="preserve"> </w:t>
      </w:r>
      <w:bookmarkStart w:name="HIT2" w:id="10"/>
      <w:bookmarkEnd w:id="10"/>
      <w:r w:rsidRPr="00100638" w:rsidR="00B4028F">
        <w:t>power</w:t>
      </w:r>
      <w:r w:rsidR="00B4028F">
        <w:t xml:space="preserve">. Consequently, the law must indicate with sufficient clarity the scope of any such discretion and the manner of its </w:t>
      </w:r>
      <w:r w:rsidRPr="000C2B55" w:rsidR="00B4028F">
        <w:t>exercise (see</w:t>
      </w:r>
      <w:r w:rsidRPr="000C2B55" w:rsidR="000C2B55">
        <w:t xml:space="preserve">, among many other authorities, </w:t>
      </w:r>
      <w:r w:rsidRPr="000C2B55" w:rsidR="000C2B55">
        <w:rPr>
          <w:i/>
          <w:lang w:eastAsia="en-US"/>
        </w:rPr>
        <w:t xml:space="preserve">Hasan and Chaush v. Bulgaria </w:t>
      </w:r>
      <w:r w:rsidRPr="000C2B55" w:rsidR="000C2B55">
        <w:rPr>
          <w:lang w:eastAsia="en-US"/>
        </w:rPr>
        <w:t>[GC], no.</w:t>
      </w:r>
      <w:r w:rsidR="00DA488A">
        <w:rPr>
          <w:lang w:eastAsia="en-US"/>
        </w:rPr>
        <w:t> </w:t>
      </w:r>
      <w:r w:rsidRPr="000C2B55" w:rsidR="000C2B55">
        <w:rPr>
          <w:lang w:eastAsia="en-US"/>
        </w:rPr>
        <w:t>30985/96, § 84, ECHR 2000</w:t>
      </w:r>
      <w:r w:rsidRPr="000C2B55" w:rsidR="000C2B55">
        <w:rPr>
          <w:lang w:eastAsia="en-US"/>
        </w:rPr>
        <w:noBreakHyphen/>
        <w:t>XI</w:t>
      </w:r>
      <w:r w:rsidRPr="000C2B55" w:rsidR="000C2B55">
        <w:t>)</w:t>
      </w:r>
      <w:r w:rsidRPr="000C2B55" w:rsidR="00B4028F">
        <w:t>.</w:t>
      </w:r>
    </w:p>
    <w:p w:rsidR="0046592E" w:rsidRDefault="00B4028F">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DA3181">
        <w:rPr>
          <w:noProof/>
          <w:lang w:eastAsia="en-US"/>
        </w:rPr>
        <w:t>58</w:t>
      </w:r>
      <w:r>
        <w:rPr>
          <w:lang w:eastAsia="en-US"/>
        </w:rPr>
        <w:fldChar w:fldCharType="end"/>
      </w:r>
      <w:r>
        <w:rPr>
          <w:lang w:eastAsia="en-US"/>
        </w:rPr>
        <w:t>.  I</w:t>
      </w:r>
      <w:r>
        <w:t>t is</w:t>
      </w:r>
      <w:r w:rsidR="009D546B">
        <w:t>,</w:t>
      </w:r>
      <w:r>
        <w:t xml:space="preserve"> however</w:t>
      </w:r>
      <w:r w:rsidR="009D546B">
        <w:t>,</w:t>
      </w:r>
      <w:r>
        <w:t xml:space="preserve"> not possible to attain absolute rigidity in the framing of laws, and many of them are inevitably couched in terms which, to a greater or lesser extent, are vague. The level of precision required of domestic legislation depends to a considerable degree on the content of the instrument in question and the field it is designed to cover </w:t>
      </w:r>
      <w:r w:rsidRPr="000C2B55">
        <w:t xml:space="preserve">(see </w:t>
      </w:r>
      <w:r w:rsidRPr="000C2B55" w:rsidR="000C2B55">
        <w:rPr>
          <w:i/>
          <w:lang w:eastAsia="en-US"/>
        </w:rPr>
        <w:t>Hashman and Harrup v.</w:t>
      </w:r>
      <w:r w:rsidR="00861427">
        <w:rPr>
          <w:i/>
          <w:lang w:eastAsia="en-US"/>
        </w:rPr>
        <w:t xml:space="preserve"> </w:t>
      </w:r>
      <w:r w:rsidRPr="000C2B55" w:rsidR="000C2B55">
        <w:rPr>
          <w:i/>
          <w:lang w:eastAsia="en-US"/>
        </w:rPr>
        <w:t>the United Kingdom</w:t>
      </w:r>
      <w:r w:rsidRPr="000C2B55" w:rsidR="000C2B55">
        <w:rPr>
          <w:lang w:eastAsia="en-US"/>
        </w:rPr>
        <w:t xml:space="preserve"> [GC], no. 25594/94, § </w:t>
      </w:r>
      <w:r w:rsidR="000C2B55">
        <w:rPr>
          <w:lang w:eastAsia="en-US"/>
        </w:rPr>
        <w:t>31</w:t>
      </w:r>
      <w:r w:rsidRPr="000C2B55" w:rsidR="000C2B55">
        <w:rPr>
          <w:lang w:eastAsia="en-US"/>
        </w:rPr>
        <w:t>, ECHR 1999</w:t>
      </w:r>
      <w:r w:rsidRPr="000C2B55" w:rsidR="000C2B55">
        <w:rPr>
          <w:lang w:eastAsia="en-US"/>
        </w:rPr>
        <w:noBreakHyphen/>
        <w:t>VIII</w:t>
      </w:r>
      <w:r w:rsidR="000C2B55">
        <w:rPr>
          <w:lang w:eastAsia="en-US"/>
        </w:rPr>
        <w:t>)</w:t>
      </w:r>
      <w:r w:rsidRPr="000C2B55">
        <w:t>.</w:t>
      </w:r>
    </w:p>
    <w:p w:rsidR="005D74D9" w:rsidP="005D74D9" w:rsidRDefault="002A1BE7">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DA3181">
        <w:rPr>
          <w:noProof/>
          <w:lang w:eastAsia="en-US"/>
        </w:rPr>
        <w:t>59</w:t>
      </w:r>
      <w:r>
        <w:rPr>
          <w:lang w:eastAsia="en-US"/>
        </w:rPr>
        <w:fldChar w:fldCharType="end"/>
      </w:r>
      <w:r w:rsidR="005D74D9">
        <w:rPr>
          <w:lang w:eastAsia="en-US"/>
        </w:rPr>
        <w:t>. It was undisputed by the applicants that there was a basis in the domestic law for the sanction imposed (</w:t>
      </w:r>
      <w:r w:rsidR="0013091A">
        <w:rPr>
          <w:lang w:eastAsia="en-US"/>
        </w:rPr>
        <w:t>section</w:t>
      </w:r>
      <w:r w:rsidR="00910816">
        <w:rPr>
          <w:lang w:eastAsia="en-US"/>
        </w:rPr>
        <w:t xml:space="preserve"> </w:t>
      </w:r>
      <w:r w:rsidR="005D74D9">
        <w:rPr>
          <w:lang w:eastAsia="en-US"/>
        </w:rPr>
        <w:t>31</w:t>
      </w:r>
      <w:r w:rsidR="00F30DDB">
        <w:rPr>
          <w:lang w:eastAsia="en-US"/>
        </w:rPr>
        <w:t xml:space="preserve"> </w:t>
      </w:r>
      <w:r w:rsidR="005D74D9">
        <w:rPr>
          <w:lang w:eastAsia="en-US"/>
        </w:rPr>
        <w:t xml:space="preserve">of the NGO Act) and that the law in question was accessible. The applicants, however, argued that </w:t>
      </w:r>
      <w:r w:rsidR="000C2B55">
        <w:rPr>
          <w:lang w:eastAsia="en-US"/>
        </w:rPr>
        <w:t>it did not comply with the “quali</w:t>
      </w:r>
      <w:r w:rsidR="00910816">
        <w:rPr>
          <w:lang w:eastAsia="en-US"/>
        </w:rPr>
        <w:t>t</w:t>
      </w:r>
      <w:r w:rsidR="000C2B55">
        <w:rPr>
          <w:lang w:eastAsia="en-US"/>
        </w:rPr>
        <w:t xml:space="preserve">y of law” requirement </w:t>
      </w:r>
      <w:r w:rsidR="007E3585">
        <w:rPr>
          <w:lang w:eastAsia="en-US"/>
        </w:rPr>
        <w:t>as</w:t>
      </w:r>
      <w:r w:rsidR="000C2B55">
        <w:rPr>
          <w:lang w:eastAsia="en-US"/>
        </w:rPr>
        <w:t xml:space="preserve"> it</w:t>
      </w:r>
      <w:r w:rsidR="005D74D9">
        <w:rPr>
          <w:lang w:eastAsia="en-US"/>
        </w:rPr>
        <w:t xml:space="preserve"> was so vague that it was not foreseeable as to its effects.</w:t>
      </w:r>
    </w:p>
    <w:p w:rsidR="00636FD2" w:rsidRDefault="00AA0A4F">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DA3181">
        <w:rPr>
          <w:noProof/>
          <w:lang w:eastAsia="en-US"/>
        </w:rPr>
        <w:t>60</w:t>
      </w:r>
      <w:r>
        <w:rPr>
          <w:lang w:eastAsia="en-US"/>
        </w:rPr>
        <w:fldChar w:fldCharType="end"/>
      </w:r>
      <w:r>
        <w:rPr>
          <w:lang w:eastAsia="en-US"/>
        </w:rPr>
        <w:t>.  </w:t>
      </w:r>
      <w:r w:rsidR="0013091A">
        <w:rPr>
          <w:lang w:eastAsia="en-US"/>
        </w:rPr>
        <w:t>Section</w:t>
      </w:r>
      <w:r w:rsidR="00FE4E4F">
        <w:rPr>
          <w:lang w:eastAsia="en-US"/>
        </w:rPr>
        <w:t xml:space="preserve"> </w:t>
      </w:r>
      <w:r>
        <w:rPr>
          <w:lang w:eastAsia="en-US"/>
        </w:rPr>
        <w:t>31</w:t>
      </w:r>
      <w:r w:rsidR="0073296A">
        <w:rPr>
          <w:lang w:eastAsia="en-US"/>
        </w:rPr>
        <w:t>.</w:t>
      </w:r>
      <w:r>
        <w:rPr>
          <w:lang w:eastAsia="en-US"/>
        </w:rPr>
        <w:t xml:space="preserve">4 of the NGO Act provided for a possibility of dissolution of an association by a court order in the event the association received, within the same calendar year, more than two written warnings by the regulating authority (the Ministry of Justice). </w:t>
      </w:r>
      <w:r w:rsidR="00690D1F">
        <w:rPr>
          <w:lang w:eastAsia="en-US"/>
        </w:rPr>
        <w:t xml:space="preserve">The Court, therefore, accepts that the sanction imposed on the </w:t>
      </w:r>
      <w:smartTag w:uri="urn:schemas-microsoft-com:office:smarttags" w:element="PersonName">
        <w:r w:rsidR="00690D1F">
          <w:rPr>
            <w:lang w:eastAsia="en-US"/>
          </w:rPr>
          <w:t>Association</w:t>
        </w:r>
      </w:smartTag>
      <w:r w:rsidR="00690D1F">
        <w:rPr>
          <w:lang w:eastAsia="en-US"/>
        </w:rPr>
        <w:t xml:space="preserve"> had a clear basis in the domestic law and that this law was accessible.</w:t>
      </w:r>
    </w:p>
    <w:p w:rsidR="006604C7" w:rsidRDefault="00B4028F">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DA3181">
        <w:rPr>
          <w:noProof/>
          <w:lang w:eastAsia="en-US"/>
        </w:rPr>
        <w:t>61</w:t>
      </w:r>
      <w:r>
        <w:rPr>
          <w:lang w:eastAsia="en-US"/>
        </w:rPr>
        <w:fldChar w:fldCharType="end"/>
      </w:r>
      <w:r>
        <w:rPr>
          <w:lang w:eastAsia="en-US"/>
        </w:rPr>
        <w:t>.  </w:t>
      </w:r>
      <w:r w:rsidR="00690D1F">
        <w:rPr>
          <w:lang w:eastAsia="en-US"/>
        </w:rPr>
        <w:t xml:space="preserve">However, </w:t>
      </w:r>
      <w:r w:rsidR="000C2B55">
        <w:rPr>
          <w:lang w:eastAsia="en-US"/>
        </w:rPr>
        <w:t>as</w:t>
      </w:r>
      <w:r w:rsidR="00690D1F">
        <w:rPr>
          <w:lang w:eastAsia="en-US"/>
        </w:rPr>
        <w:t xml:space="preserve"> to the</w:t>
      </w:r>
      <w:r w:rsidR="000C2B55">
        <w:rPr>
          <w:lang w:eastAsia="en-US"/>
        </w:rPr>
        <w:t xml:space="preserve"> issue of </w:t>
      </w:r>
      <w:r w:rsidR="00690D1F">
        <w:rPr>
          <w:lang w:eastAsia="en-US"/>
        </w:rPr>
        <w:t>foreseeability, the Court notes that the provisions of the NGO Act were far from being precise as to what could be a basis for warnings by the Ministry of Justice that could ultimately lead to an association</w:t>
      </w:r>
      <w:r w:rsidR="000D7A2F">
        <w:rPr>
          <w:lang w:eastAsia="en-US"/>
        </w:rPr>
        <w:t>’</w:t>
      </w:r>
      <w:r w:rsidR="00690D1F">
        <w:rPr>
          <w:lang w:eastAsia="en-US"/>
        </w:rPr>
        <w:t xml:space="preserve">s dissolution. </w:t>
      </w:r>
      <w:r w:rsidR="0013091A">
        <w:rPr>
          <w:lang w:eastAsia="en-US"/>
        </w:rPr>
        <w:t>Section</w:t>
      </w:r>
      <w:r w:rsidR="00FE4E4F">
        <w:rPr>
          <w:lang w:eastAsia="en-US"/>
        </w:rPr>
        <w:t xml:space="preserve"> </w:t>
      </w:r>
      <w:r w:rsidR="0032647F">
        <w:rPr>
          <w:lang w:eastAsia="en-US"/>
        </w:rPr>
        <w:t>31</w:t>
      </w:r>
      <w:r w:rsidR="0073296A">
        <w:rPr>
          <w:lang w:eastAsia="en-US"/>
        </w:rPr>
        <w:t>.</w:t>
      </w:r>
      <w:r w:rsidR="003450A2">
        <w:rPr>
          <w:lang w:eastAsia="en-US"/>
        </w:rPr>
        <w:t>2</w:t>
      </w:r>
      <w:r w:rsidR="0032647F">
        <w:rPr>
          <w:lang w:eastAsia="en-US"/>
        </w:rPr>
        <w:t xml:space="preserve"> of the NGO Act </w:t>
      </w:r>
      <w:r w:rsidR="00B12B8B">
        <w:rPr>
          <w:lang w:eastAsia="en-US"/>
        </w:rPr>
        <w:t xml:space="preserve">empowered the Ministry of Justice to warn </w:t>
      </w:r>
      <w:r w:rsidR="0087357A">
        <w:rPr>
          <w:lang w:eastAsia="en-US"/>
        </w:rPr>
        <w:t>NGOs</w:t>
      </w:r>
      <w:r w:rsidR="00B12B8B">
        <w:rPr>
          <w:lang w:eastAsia="en-US"/>
        </w:rPr>
        <w:t>, including public associations, i</w:t>
      </w:r>
      <w:r w:rsidR="00FE4E4F">
        <w:rPr>
          <w:lang w:eastAsia="en-US"/>
        </w:rPr>
        <w:t>f</w:t>
      </w:r>
      <w:r w:rsidR="00B12B8B">
        <w:rPr>
          <w:lang w:eastAsia="en-US"/>
        </w:rPr>
        <w:t xml:space="preserve"> their activities were deemed</w:t>
      </w:r>
      <w:r w:rsidR="00FE4E4F">
        <w:rPr>
          <w:lang w:eastAsia="en-US"/>
        </w:rPr>
        <w:t xml:space="preserve"> to be</w:t>
      </w:r>
      <w:r w:rsidR="00B12B8B">
        <w:rPr>
          <w:lang w:eastAsia="en-US"/>
        </w:rPr>
        <w:t xml:space="preserve"> “incompatible with the objectives” of the NGO</w:t>
      </w:r>
      <w:r w:rsidR="0013091A">
        <w:rPr>
          <w:lang w:eastAsia="en-US"/>
        </w:rPr>
        <w:t xml:space="preserve"> </w:t>
      </w:r>
      <w:r w:rsidR="00B12B8B">
        <w:rPr>
          <w:lang w:eastAsia="en-US"/>
        </w:rPr>
        <w:t xml:space="preserve">Act. </w:t>
      </w:r>
      <w:r w:rsidR="00FE4E4F">
        <w:rPr>
          <w:lang w:eastAsia="en-US"/>
        </w:rPr>
        <w:t xml:space="preserve">Under </w:t>
      </w:r>
      <w:r w:rsidR="0013091A">
        <w:rPr>
          <w:lang w:eastAsia="en-US"/>
        </w:rPr>
        <w:t>section</w:t>
      </w:r>
      <w:r w:rsidR="00B12B8B">
        <w:rPr>
          <w:lang w:eastAsia="en-US"/>
        </w:rPr>
        <w:t xml:space="preserve"> 1 of the NGO Act, its </w:t>
      </w:r>
      <w:r w:rsidR="00D45847">
        <w:rPr>
          <w:lang w:eastAsia="en-US"/>
        </w:rPr>
        <w:t>“</w:t>
      </w:r>
      <w:r w:rsidR="00B12B8B">
        <w:rPr>
          <w:lang w:eastAsia="en-US"/>
        </w:rPr>
        <w:t>objectives</w:t>
      </w:r>
      <w:r w:rsidR="00D45847">
        <w:rPr>
          <w:lang w:eastAsia="en-US"/>
        </w:rPr>
        <w:t>”</w:t>
      </w:r>
      <w:r w:rsidR="00B12B8B">
        <w:rPr>
          <w:lang w:eastAsia="en-US"/>
        </w:rPr>
        <w:t xml:space="preserve"> included, </w:t>
      </w:r>
      <w:r w:rsidR="00B12B8B">
        <w:rPr>
          <w:i/>
          <w:lang w:eastAsia="en-US"/>
        </w:rPr>
        <w:t>inter alia</w:t>
      </w:r>
      <w:r w:rsidR="00B12B8B">
        <w:rPr>
          <w:lang w:eastAsia="en-US"/>
        </w:rPr>
        <w:t xml:space="preserve">, the general regulation of the principles and rules for the establishment, management and </w:t>
      </w:r>
      <w:r>
        <w:rPr>
          <w:lang w:eastAsia="en-US"/>
        </w:rPr>
        <w:t>scope of activities</w:t>
      </w:r>
      <w:r w:rsidR="00B12B8B">
        <w:rPr>
          <w:lang w:eastAsia="en-US"/>
        </w:rPr>
        <w:t xml:space="preserve"> of </w:t>
      </w:r>
      <w:r w:rsidR="00E36406">
        <w:rPr>
          <w:lang w:eastAsia="en-US"/>
        </w:rPr>
        <w:t>public associations</w:t>
      </w:r>
      <w:r w:rsidR="00B12B8B">
        <w:rPr>
          <w:lang w:eastAsia="en-US"/>
        </w:rPr>
        <w:t>.</w:t>
      </w:r>
      <w:r w:rsidR="004E7AAB">
        <w:rPr>
          <w:lang w:eastAsia="en-US"/>
        </w:rPr>
        <w:t xml:space="preserve"> This definition, in essence, appeared to encompass </w:t>
      </w:r>
      <w:r w:rsidR="008D602F">
        <w:rPr>
          <w:lang w:eastAsia="en-US"/>
        </w:rPr>
        <w:t>an unlimited range of issues related to</w:t>
      </w:r>
      <w:r w:rsidR="004E7AAB">
        <w:rPr>
          <w:lang w:eastAsia="en-US"/>
        </w:rPr>
        <w:t xml:space="preserve"> an association</w:t>
      </w:r>
      <w:r w:rsidR="000D7A2F">
        <w:rPr>
          <w:lang w:eastAsia="en-US"/>
        </w:rPr>
        <w:t>’</w:t>
      </w:r>
      <w:r w:rsidR="004E7AAB">
        <w:rPr>
          <w:lang w:eastAsia="en-US"/>
        </w:rPr>
        <w:t>s existence and activity.</w:t>
      </w:r>
    </w:p>
    <w:p w:rsidR="00636FD2" w:rsidRDefault="006604C7">
      <w:pPr>
        <w:pStyle w:val="JuPara"/>
      </w:pPr>
      <w:r>
        <w:rPr>
          <w:lang w:eastAsia="en-US"/>
        </w:rPr>
        <w:fldChar w:fldCharType="begin"/>
      </w:r>
      <w:r>
        <w:rPr>
          <w:lang w:eastAsia="en-US"/>
        </w:rPr>
        <w:instrText xml:space="preserve"> SEQ level0 \*arabic </w:instrText>
      </w:r>
      <w:r>
        <w:rPr>
          <w:lang w:eastAsia="en-US"/>
        </w:rPr>
        <w:fldChar w:fldCharType="separate"/>
      </w:r>
      <w:r w:rsidR="00DA3181">
        <w:rPr>
          <w:noProof/>
          <w:lang w:eastAsia="en-US"/>
        </w:rPr>
        <w:t>62</w:t>
      </w:r>
      <w:r>
        <w:rPr>
          <w:lang w:eastAsia="en-US"/>
        </w:rPr>
        <w:fldChar w:fldCharType="end"/>
      </w:r>
      <w:r w:rsidR="00D45847">
        <w:rPr>
          <w:lang w:eastAsia="en-US"/>
        </w:rPr>
        <w:t>. </w:t>
      </w:r>
      <w:r w:rsidR="00861427">
        <w:rPr>
          <w:lang w:eastAsia="en-US"/>
        </w:rPr>
        <w:t> </w:t>
      </w:r>
      <w:r w:rsidR="00B4028F">
        <w:t>The Court agrees with the applicants that the above provisions are worded in rather general terms and may give r</w:t>
      </w:r>
      <w:r w:rsidR="0094591B">
        <w:t>ise to extensive interpretation</w:t>
      </w:r>
      <w:r w:rsidR="00451A9E">
        <w:t>.</w:t>
      </w:r>
      <w:r w:rsidR="0094591B">
        <w:t xml:space="preserve"> </w:t>
      </w:r>
      <w:r w:rsidR="004E7AAB">
        <w:t>The Government have not submitted any examples of domestic judicial cases which would provide a specific interpretation of these provisions. In such circumstances, t</w:t>
      </w:r>
      <w:r w:rsidR="00451A9E">
        <w:t>he NGO Act</w:t>
      </w:r>
      <w:r w:rsidR="0094591B">
        <w:t xml:space="preserve"> </w:t>
      </w:r>
      <w:r w:rsidR="00451A9E">
        <w:t>appears to have afforded</w:t>
      </w:r>
      <w:r w:rsidR="0094591B">
        <w:t xml:space="preserve"> the Ministry of Justice </w:t>
      </w:r>
      <w:r w:rsidR="00FE4E4F">
        <w:t xml:space="preserve">a </w:t>
      </w:r>
      <w:r w:rsidR="0094591B">
        <w:t>rather wide discretion to intervene in any matter related to an association</w:t>
      </w:r>
      <w:r w:rsidR="000D7A2F">
        <w:t>’</w:t>
      </w:r>
      <w:r w:rsidR="0094591B">
        <w:t>s existence. This situation could render it difficult for associations to foresee which specific actions on their part could be qualified by the Ministry as “incompatible with the objectives” of the NGO Act</w:t>
      </w:r>
      <w:r w:rsidR="004E7AAB">
        <w:t>.</w:t>
      </w:r>
    </w:p>
    <w:p w:rsidR="00636FD2" w:rsidRDefault="008D602F">
      <w:pPr>
        <w:pStyle w:val="JuPara"/>
      </w:pPr>
      <w:r>
        <w:fldChar w:fldCharType="begin"/>
      </w:r>
      <w:r>
        <w:instrText xml:space="preserve"> SEQ level0 \*arabic </w:instrText>
      </w:r>
      <w:r>
        <w:fldChar w:fldCharType="separate"/>
      </w:r>
      <w:r w:rsidR="00DA3181">
        <w:rPr>
          <w:noProof/>
        </w:rPr>
        <w:t>63</w:t>
      </w:r>
      <w:r>
        <w:fldChar w:fldCharType="end"/>
      </w:r>
      <w:r>
        <w:t xml:space="preserve">.  The situation was exacerbated by the fact </w:t>
      </w:r>
      <w:r w:rsidR="007E3585">
        <w:t xml:space="preserve">that involuntary dissolution was </w:t>
      </w:r>
      <w:r w:rsidR="0094591B">
        <w:t>the only sanction av</w:t>
      </w:r>
      <w:r>
        <w:t xml:space="preserve">ailable under the domestic law </w:t>
      </w:r>
      <w:r w:rsidR="007E3585">
        <w:t>against associations engaging in</w:t>
      </w:r>
      <w:r>
        <w:t xml:space="preserve"> activities “incompatible with the objectives” of the NGO Act</w:t>
      </w:r>
      <w:r w:rsidR="0094591B">
        <w:t xml:space="preserve">. </w:t>
      </w:r>
      <w:r>
        <w:t>In the Court</w:t>
      </w:r>
      <w:r w:rsidR="000D7A2F">
        <w:t>’</w:t>
      </w:r>
      <w:r>
        <w:t xml:space="preserve">s view, this is the most drastic sanction possible in respect of an association and, </w:t>
      </w:r>
      <w:r w:rsidR="007E3585">
        <w:t>as such</w:t>
      </w:r>
      <w:r>
        <w:t>, should be applied only in exceptional circumstances</w:t>
      </w:r>
      <w:r w:rsidR="007E3585">
        <w:t xml:space="preserve"> of very serious misconduct</w:t>
      </w:r>
      <w:r>
        <w:t xml:space="preserve">. </w:t>
      </w:r>
      <w:r w:rsidR="007E3585">
        <w:t>Therefore</w:t>
      </w:r>
      <w:r>
        <w:t xml:space="preserve">, the domestic law should </w:t>
      </w:r>
      <w:r w:rsidR="007E3585">
        <w:t>delimit</w:t>
      </w:r>
      <w:r w:rsidR="004D5906">
        <w:t xml:space="preserve"> more precise</w:t>
      </w:r>
      <w:r w:rsidR="007E3585">
        <w:t>ly</w:t>
      </w:r>
      <w:r w:rsidR="004D5906">
        <w:t xml:space="preserve"> </w:t>
      </w:r>
      <w:r w:rsidR="007E3585">
        <w:t>the</w:t>
      </w:r>
      <w:r w:rsidR="004D5906">
        <w:t xml:space="preserve"> circumstances in which this sanction could be applied.</w:t>
      </w:r>
    </w:p>
    <w:p w:rsidR="00636FD2" w:rsidRDefault="004D5906">
      <w:pPr>
        <w:pStyle w:val="JuPara"/>
        <w:rPr>
          <w:rStyle w:val="strong--char"/>
        </w:rPr>
      </w:pPr>
      <w:r>
        <w:fldChar w:fldCharType="begin"/>
      </w:r>
      <w:r>
        <w:instrText xml:space="preserve"> SEQ level0 \*arabic </w:instrText>
      </w:r>
      <w:r>
        <w:fldChar w:fldCharType="separate"/>
      </w:r>
      <w:r w:rsidR="00DA3181">
        <w:rPr>
          <w:noProof/>
        </w:rPr>
        <w:t>64</w:t>
      </w:r>
      <w:r>
        <w:fldChar w:fldCharType="end"/>
      </w:r>
      <w:r>
        <w:t>.  The Court also note</w:t>
      </w:r>
      <w:r w:rsidR="00FE4E4F">
        <w:t>s</w:t>
      </w:r>
      <w:r>
        <w:t xml:space="preserve"> that t</w:t>
      </w:r>
      <w:r w:rsidR="00B4028F">
        <w:t xml:space="preserve">he </w:t>
      </w:r>
      <w:r w:rsidR="0094591B">
        <w:t xml:space="preserve">NGO Act </w:t>
      </w:r>
      <w:r w:rsidR="00B4028F">
        <w:t xml:space="preserve">contained no </w:t>
      </w:r>
      <w:r w:rsidR="00B4028F">
        <w:rPr>
          <w:rStyle w:val="strong--char"/>
        </w:rPr>
        <w:t xml:space="preserve">detailed rules governing the scope </w:t>
      </w:r>
      <w:r>
        <w:rPr>
          <w:rStyle w:val="strong--char"/>
        </w:rPr>
        <w:t xml:space="preserve">and extent </w:t>
      </w:r>
      <w:r w:rsidR="00B4028F">
        <w:rPr>
          <w:rStyle w:val="strong--char"/>
        </w:rPr>
        <w:t>of the Ministry of Justice</w:t>
      </w:r>
      <w:r w:rsidR="000D7A2F">
        <w:rPr>
          <w:rStyle w:val="strong--char"/>
        </w:rPr>
        <w:t>’</w:t>
      </w:r>
      <w:r w:rsidR="00B4028F">
        <w:rPr>
          <w:rStyle w:val="strong--char"/>
        </w:rPr>
        <w:t xml:space="preserve">s power to intervene </w:t>
      </w:r>
      <w:r w:rsidR="00FE4E4F">
        <w:rPr>
          <w:rStyle w:val="strong--char"/>
        </w:rPr>
        <w:t xml:space="preserve">in </w:t>
      </w:r>
      <w:r w:rsidR="00B4028F">
        <w:rPr>
          <w:rStyle w:val="strong--char"/>
        </w:rPr>
        <w:t xml:space="preserve">the internal management and activities of associations, </w:t>
      </w:r>
      <w:r w:rsidR="00FE4E4F">
        <w:rPr>
          <w:rStyle w:val="strong--char"/>
        </w:rPr>
        <w:t>or</w:t>
      </w:r>
      <w:r w:rsidR="00B4028F">
        <w:rPr>
          <w:rStyle w:val="strong--char"/>
        </w:rPr>
        <w:t xml:space="preserve"> minimum safeguards concerning, </w:t>
      </w:r>
      <w:r w:rsidR="00B4028F">
        <w:rPr>
          <w:rStyle w:val="strong--char"/>
          <w:i/>
          <w:iCs/>
        </w:rPr>
        <w:t>inter alia</w:t>
      </w:r>
      <w:r w:rsidR="00B4028F">
        <w:rPr>
          <w:rStyle w:val="strong--char"/>
        </w:rPr>
        <w:t xml:space="preserve">, the procedure </w:t>
      </w:r>
      <w:r w:rsidR="00FE4E4F">
        <w:rPr>
          <w:rStyle w:val="strong--char"/>
        </w:rPr>
        <w:t xml:space="preserve">for </w:t>
      </w:r>
      <w:r w:rsidR="00B4028F">
        <w:rPr>
          <w:rStyle w:val="strong--char"/>
        </w:rPr>
        <w:t xml:space="preserve">conducting inspections by the Ministry </w:t>
      </w:r>
      <w:r w:rsidR="00FE4E4F">
        <w:rPr>
          <w:rStyle w:val="strong--char"/>
        </w:rPr>
        <w:t>or the period</w:t>
      </w:r>
      <w:r w:rsidR="00B4028F">
        <w:rPr>
          <w:rStyle w:val="strong--char"/>
        </w:rPr>
        <w:t xml:space="preserve"> of time </w:t>
      </w:r>
      <w:r w:rsidR="00FE4E4F">
        <w:rPr>
          <w:rStyle w:val="strong--char"/>
        </w:rPr>
        <w:t xml:space="preserve">granted </w:t>
      </w:r>
      <w:r w:rsidR="00B4028F">
        <w:rPr>
          <w:rStyle w:val="strong--char"/>
        </w:rPr>
        <w:t xml:space="preserve">to public associations to </w:t>
      </w:r>
      <w:r w:rsidR="00AD404D">
        <w:rPr>
          <w:rStyle w:val="strong--char"/>
        </w:rPr>
        <w:t>eliminate</w:t>
      </w:r>
      <w:r w:rsidR="00B4028F">
        <w:rPr>
          <w:rStyle w:val="strong--char"/>
        </w:rPr>
        <w:t xml:space="preserve"> any shortcomings detected</w:t>
      </w:r>
      <w:r>
        <w:rPr>
          <w:rStyle w:val="strong--char"/>
        </w:rPr>
        <w:t xml:space="preserve"> (see also paragraph </w:t>
      </w:r>
      <w:r w:rsidRPr="00A00353" w:rsidR="00B305A9">
        <w:rPr>
          <w:rStyle w:val="strong--char"/>
        </w:rPr>
        <w:t>7</w:t>
      </w:r>
      <w:r w:rsidR="000C3470">
        <w:rPr>
          <w:rStyle w:val="strong--char"/>
        </w:rPr>
        <w:t>7</w:t>
      </w:r>
      <w:r w:rsidR="00B305A9">
        <w:rPr>
          <w:rStyle w:val="strong--char"/>
        </w:rPr>
        <w:t xml:space="preserve"> </w:t>
      </w:r>
      <w:r>
        <w:rPr>
          <w:rStyle w:val="strong--char"/>
        </w:rPr>
        <w:t>below)</w:t>
      </w:r>
      <w:r w:rsidR="0094591B">
        <w:rPr>
          <w:rStyle w:val="strong--char"/>
        </w:rPr>
        <w:t>, thus providing sufficient guarantees against the risk of abuse and arbitrariness</w:t>
      </w:r>
      <w:r w:rsidR="00B4028F">
        <w:rPr>
          <w:rStyle w:val="strong--char"/>
        </w:rPr>
        <w:t>.</w:t>
      </w:r>
    </w:p>
    <w:p w:rsidR="00B4028F" w:rsidRDefault="004E7AAB">
      <w:pPr>
        <w:pStyle w:val="JuPara"/>
      </w:pPr>
      <w:r>
        <w:rPr>
          <w:rStyle w:val="strong--char"/>
        </w:rPr>
        <w:fldChar w:fldCharType="begin"/>
      </w:r>
      <w:r>
        <w:rPr>
          <w:rStyle w:val="strong--char"/>
        </w:rPr>
        <w:instrText xml:space="preserve"> SEQ level0 \*arabic </w:instrText>
      </w:r>
      <w:r>
        <w:rPr>
          <w:rStyle w:val="strong--char"/>
        </w:rPr>
        <w:fldChar w:fldCharType="separate"/>
      </w:r>
      <w:r w:rsidR="00DA3181">
        <w:rPr>
          <w:rStyle w:val="strong--char"/>
          <w:noProof/>
        </w:rPr>
        <w:t>65</w:t>
      </w:r>
      <w:r>
        <w:rPr>
          <w:rStyle w:val="strong--char"/>
        </w:rPr>
        <w:fldChar w:fldCharType="end"/>
      </w:r>
      <w:r>
        <w:rPr>
          <w:rStyle w:val="strong--char"/>
        </w:rPr>
        <w:t xml:space="preserve">.  The above considerations, in themselves, </w:t>
      </w:r>
      <w:r w:rsidR="00F30DDB">
        <w:rPr>
          <w:rStyle w:val="strong--char"/>
        </w:rPr>
        <w:t>give a strong indication</w:t>
      </w:r>
      <w:r>
        <w:rPr>
          <w:rStyle w:val="strong--char"/>
        </w:rPr>
        <w:t xml:space="preserve"> that the provisions of the NGO Act did not meet the “quality of law” requirement, which would </w:t>
      </w:r>
      <w:r w:rsidR="00F30DDB">
        <w:rPr>
          <w:rStyle w:val="strong--char"/>
        </w:rPr>
        <w:t>be sufficient for</w:t>
      </w:r>
      <w:r>
        <w:rPr>
          <w:rStyle w:val="strong--char"/>
        </w:rPr>
        <w:t xml:space="preserve"> a finding of</w:t>
      </w:r>
      <w:r w:rsidR="00A37CE1">
        <w:rPr>
          <w:rStyle w:val="strong--char"/>
        </w:rPr>
        <w:t xml:space="preserve"> a violation of Article </w:t>
      </w:r>
      <w:r>
        <w:rPr>
          <w:rStyle w:val="strong--char"/>
        </w:rPr>
        <w:t>11 on the basis that the interfere</w:t>
      </w:r>
      <w:r w:rsidR="00AF60D4">
        <w:rPr>
          <w:rStyle w:val="strong--char"/>
        </w:rPr>
        <w:t xml:space="preserve">nce was not prescribed by law. </w:t>
      </w:r>
      <w:r w:rsidR="0094591B">
        <w:t xml:space="preserve">The Court notes, however, that these questions are in this case closely related to the broader issue of whether the interference was necessary in a democratic society. </w:t>
      </w:r>
      <w:r w:rsidR="004D5906">
        <w:t xml:space="preserve">The Court considers that, in the circumstances of the present case, respect for human rights requires it to examine the latter issue as well. </w:t>
      </w:r>
      <w:r w:rsidR="0094591B">
        <w:t xml:space="preserve">In view </w:t>
      </w:r>
      <w:r w:rsidR="004D5906">
        <w:t xml:space="preserve">of this, as well as in view </w:t>
      </w:r>
      <w:r w:rsidR="0094591B">
        <w:t xml:space="preserve">of its analysis in paragraphs </w:t>
      </w:r>
      <w:r w:rsidRPr="00A00353" w:rsidR="00363605">
        <w:t>70</w:t>
      </w:r>
      <w:r w:rsidR="000C46C1">
        <w:t xml:space="preserve"> to </w:t>
      </w:r>
      <w:r w:rsidRPr="00A00353" w:rsidR="00DE6A89">
        <w:t>9</w:t>
      </w:r>
      <w:r w:rsidR="00DE6A89">
        <w:t xml:space="preserve">1 </w:t>
      </w:r>
      <w:r w:rsidR="0094591B">
        <w:t xml:space="preserve">below, the Court does not find it necessary to decide whether the wording of </w:t>
      </w:r>
      <w:r w:rsidR="006B6736">
        <w:t>the NGO Act</w:t>
      </w:r>
      <w:r w:rsidR="000D7A2F">
        <w:t>’</w:t>
      </w:r>
      <w:r w:rsidR="006B6736">
        <w:t>s relevant provisions</w:t>
      </w:r>
      <w:r w:rsidR="004D5906">
        <w:t xml:space="preserve"> m</w:t>
      </w:r>
      <w:r w:rsidR="0094591B">
        <w:t>et t</w:t>
      </w:r>
      <w:r w:rsidR="004D5906">
        <w:t>he “quality of law” requirement</w:t>
      </w:r>
      <w:r w:rsidR="0094591B">
        <w:t xml:space="preserve"> within the meaning of Article </w:t>
      </w:r>
      <w:r w:rsidR="006B6736">
        <w:t>11</w:t>
      </w:r>
      <w:r w:rsidR="0094591B">
        <w:t xml:space="preserve"> § 2 of the Convention.</w:t>
      </w:r>
    </w:p>
    <w:p w:rsidR="0046592E" w:rsidP="00AF60D4" w:rsidRDefault="00D624C2">
      <w:pPr>
        <w:pStyle w:val="JuHa0"/>
        <w:outlineLvl w:val="0"/>
      </w:pPr>
      <w:r>
        <w:t>(b)</w:t>
      </w:r>
      <w:r w:rsidRPr="00431462" w:rsidR="0046592E">
        <w:t>  </w:t>
      </w:r>
      <w:r w:rsidR="0046592E">
        <w:t>Legitimate aim</w:t>
      </w:r>
    </w:p>
    <w:p w:rsidR="0046592E" w:rsidP="0046592E" w:rsidRDefault="006B6736">
      <w:pPr>
        <w:pStyle w:val="JuPara"/>
      </w:pPr>
      <w:r>
        <w:fldChar w:fldCharType="begin"/>
      </w:r>
      <w:r>
        <w:instrText xml:space="preserve"> SEQ level0 \*arabic </w:instrText>
      </w:r>
      <w:r>
        <w:fldChar w:fldCharType="separate"/>
      </w:r>
      <w:r w:rsidR="00DA3181">
        <w:rPr>
          <w:noProof/>
        </w:rPr>
        <w:t>66</w:t>
      </w:r>
      <w:r>
        <w:fldChar w:fldCharType="end"/>
      </w:r>
      <w:r>
        <w:t>.  </w:t>
      </w:r>
      <w:r w:rsidR="00097386">
        <w:t>For the purposes of further analysis, t</w:t>
      </w:r>
      <w:r w:rsidR="0046592E">
        <w:t xml:space="preserve">he Court </w:t>
      </w:r>
      <w:r>
        <w:t>is prepared to accept the Government</w:t>
      </w:r>
      <w:r w:rsidR="000D7A2F">
        <w:t>’</w:t>
      </w:r>
      <w:r>
        <w:t xml:space="preserve">s </w:t>
      </w:r>
      <w:r w:rsidR="00A86250">
        <w:t>view</w:t>
      </w:r>
      <w:r>
        <w:t xml:space="preserve"> that the interference had the aim of “protecting the rights and freedoms of others”.</w:t>
      </w:r>
    </w:p>
    <w:p w:rsidRPr="0046592E" w:rsidR="0046592E" w:rsidP="00AF60D4" w:rsidRDefault="00D624C2">
      <w:pPr>
        <w:pStyle w:val="JuHa0"/>
        <w:outlineLvl w:val="0"/>
      </w:pPr>
      <w:r>
        <w:t>(c)  </w:t>
      </w:r>
      <w:r w:rsidR="0046592E">
        <w:t>“Necessary in a democratic society”</w:t>
      </w:r>
    </w:p>
    <w:p w:rsidR="00E8070E" w:rsidP="00D624C2" w:rsidRDefault="00D624C2">
      <w:pPr>
        <w:pStyle w:val="JuHi"/>
      </w:pPr>
      <w:r>
        <w:t>(i)  General principles</w:t>
      </w:r>
    </w:p>
    <w:p w:rsidR="0018665D" w:rsidP="0018665D" w:rsidRDefault="007852BC">
      <w:pPr>
        <w:pStyle w:val="JuPara"/>
      </w:pPr>
      <w:r w:rsidRPr="007852BC">
        <w:fldChar w:fldCharType="begin"/>
      </w:r>
      <w:r w:rsidRPr="007852BC">
        <w:instrText xml:space="preserve"> SEQ level0 \*arabic </w:instrText>
      </w:r>
      <w:r w:rsidRPr="007852BC">
        <w:fldChar w:fldCharType="separate"/>
      </w:r>
      <w:r w:rsidR="00DA3181">
        <w:rPr>
          <w:noProof/>
        </w:rPr>
        <w:t>67</w:t>
      </w:r>
      <w:r w:rsidRPr="007852BC">
        <w:fldChar w:fldCharType="end"/>
      </w:r>
      <w:r w:rsidRPr="007852BC">
        <w:t>.  </w:t>
      </w:r>
      <w:r w:rsidRPr="007852BC" w:rsidR="0018665D">
        <w:t xml:space="preserve">The Court reiterates </w:t>
      </w:r>
      <w:r w:rsidRPr="007852BC">
        <w:t>t</w:t>
      </w:r>
      <w:r>
        <w:t>hat t</w:t>
      </w:r>
      <w:r w:rsidR="0018665D">
        <w:t xml:space="preserve">he exceptions to </w:t>
      </w:r>
      <w:bookmarkStart w:name="HIT61" w:id="11"/>
      <w:bookmarkEnd w:id="11"/>
      <w:r w:rsidRPr="007852BC" w:rsidR="0018665D">
        <w:t>freedom</w:t>
      </w:r>
      <w:r w:rsidR="0018665D">
        <w:t xml:space="preserve"> of </w:t>
      </w:r>
      <w:bookmarkStart w:name="HIT62" w:id="12"/>
      <w:bookmarkEnd w:id="12"/>
      <w:r w:rsidRPr="007852BC" w:rsidR="0018665D">
        <w:t>association</w:t>
      </w:r>
      <w:r w:rsidR="0018665D">
        <w:t xml:space="preserve"> are to be construed strictly and only convincing and compelling reasons can justify restrictions on that freedom. </w:t>
      </w:r>
      <w:r w:rsidRPr="003429C7" w:rsidR="006D7A68">
        <w:t>Any interference must correspond to a “pressing social need”; thus, the notion “necessary” does not have the flexibility of such expressions as “useful” or “desirable”.</w:t>
      </w:r>
      <w:r w:rsidR="006D7A68">
        <w:t xml:space="preserve"> </w:t>
      </w:r>
      <w:r w:rsidR="0018665D">
        <w:t>In determining whether a necessity within the meaning of</w:t>
      </w:r>
      <w:r w:rsidR="0087357A">
        <w:t xml:space="preserve"> Article</w:t>
      </w:r>
      <w:r w:rsidR="0018665D">
        <w:t xml:space="preserve"> </w:t>
      </w:r>
      <w:r>
        <w:t>11 §</w:t>
      </w:r>
      <w:r w:rsidR="0018665D">
        <w:t xml:space="preserve"> </w:t>
      </w:r>
      <w:r>
        <w:t xml:space="preserve">2 </w:t>
      </w:r>
      <w:r w:rsidR="0018665D">
        <w:t xml:space="preserve">exists, the States have only a limited margin of appreciation, which goes hand in hand with rigorous European supervision embracing both the law and the decisions applying it, including those given by independent courts </w:t>
      </w:r>
      <w:r w:rsidRPr="009217AC" w:rsidR="0018665D">
        <w:t>(see</w:t>
      </w:r>
      <w:r w:rsidR="003429C7">
        <w:t>, among other authorities,</w:t>
      </w:r>
      <w:r w:rsidRPr="009217AC" w:rsidR="0018665D">
        <w:t xml:space="preserve"> </w:t>
      </w:r>
      <w:r w:rsidRPr="009217AC" w:rsidR="0018665D">
        <w:rPr>
          <w:rStyle w:val="ju-005fpara--char"/>
          <w:i/>
          <w:iCs/>
        </w:rPr>
        <w:t>Gorzelik</w:t>
      </w:r>
      <w:r w:rsidR="005B3F89">
        <w:rPr>
          <w:rStyle w:val="ju-005fpara--char"/>
          <w:i/>
          <w:iCs/>
        </w:rPr>
        <w:t xml:space="preserve"> and Others</w:t>
      </w:r>
      <w:r w:rsidR="00861427">
        <w:t xml:space="preserve">, cited above, § </w:t>
      </w:r>
      <w:r w:rsidR="003429C7">
        <w:t>95, and</w:t>
      </w:r>
      <w:r w:rsidRPr="009217AC" w:rsidR="0018665D">
        <w:t xml:space="preserve"> </w:t>
      </w:r>
      <w:r w:rsidRPr="003429C7" w:rsidR="0018665D">
        <w:rPr>
          <w:rStyle w:val="ju-005fpara--char"/>
          <w:i/>
          <w:iCs/>
        </w:rPr>
        <w:t>Sidiropoulos</w:t>
      </w:r>
      <w:r w:rsidR="00EC2892">
        <w:rPr>
          <w:rStyle w:val="ju-005fpara--char"/>
          <w:i/>
          <w:iCs/>
        </w:rPr>
        <w:t xml:space="preserve"> and Others</w:t>
      </w:r>
      <w:r w:rsidR="00861427">
        <w:t xml:space="preserve">, cited above, § </w:t>
      </w:r>
      <w:r w:rsidRPr="003429C7" w:rsidR="0018665D">
        <w:t>40).</w:t>
      </w:r>
    </w:p>
    <w:p w:rsidR="0018665D" w:rsidP="0018665D" w:rsidRDefault="007852BC">
      <w:pPr>
        <w:pStyle w:val="JuPara"/>
        <w:rPr>
          <w:lang w:eastAsia="en-US"/>
        </w:rPr>
      </w:pPr>
      <w:r>
        <w:fldChar w:fldCharType="begin"/>
      </w:r>
      <w:r>
        <w:instrText xml:space="preserve"> SEQ level0 \*arabic </w:instrText>
      </w:r>
      <w:r>
        <w:fldChar w:fldCharType="separate"/>
      </w:r>
      <w:r w:rsidR="00DA3181">
        <w:rPr>
          <w:noProof/>
        </w:rPr>
        <w:t>68</w:t>
      </w:r>
      <w:r>
        <w:fldChar w:fldCharType="end"/>
      </w:r>
      <w:r>
        <w:t>.  </w:t>
      </w:r>
      <w:r w:rsidR="0018665D">
        <w:t xml:space="preserve">When the Court carries out its scrutiny, its task is not to substitute its own view for that of the relevant national authorities but rather to review the decisions they delivered in the exercise of their discretion. This does not mean that it has to confine itself to ascertaining whether the respondent State exercised its discretion reasonably, carefully and in good faith; it must look at the interference complained of in the light of the case as a whole and determine whether it was “proportionate to the legitimate aim pursued” and whether the reasons adduced by the national authorities to justify it are “relevant and sufficient”. In so doing, the Court has to satisfy itself that the national authorities applied standards which were in conformity with the principles embodied in the Convention and, moreover, that they based their decisions on an acceptable assessment of the relevant facts </w:t>
      </w:r>
      <w:r w:rsidRPr="003429C7" w:rsidR="0018665D">
        <w:t>(</w:t>
      </w:r>
      <w:r w:rsidR="003429C7">
        <w:t>ibid.;</w:t>
      </w:r>
      <w:r w:rsidR="0045706C">
        <w:t xml:space="preserve"> </w:t>
      </w:r>
      <w:r w:rsidRPr="003429C7" w:rsidR="0045706C">
        <w:t>see</w:t>
      </w:r>
      <w:r w:rsidR="0045706C">
        <w:t xml:space="preserve"> also</w:t>
      </w:r>
      <w:r w:rsidR="003429C7">
        <w:t xml:space="preserve"> </w:t>
      </w:r>
      <w:r w:rsidRPr="003429C7" w:rsidR="003429C7">
        <w:rPr>
          <w:i/>
          <w:lang w:eastAsia="en-US"/>
        </w:rPr>
        <w:t>United Communist Party of Turkey and Others v. Turkey</w:t>
      </w:r>
      <w:r w:rsidRPr="003429C7" w:rsidR="003429C7">
        <w:rPr>
          <w:lang w:eastAsia="en-US"/>
        </w:rPr>
        <w:t xml:space="preserve">, 30 January 1998, § </w:t>
      </w:r>
      <w:r w:rsidR="003429C7">
        <w:rPr>
          <w:lang w:eastAsia="en-US"/>
        </w:rPr>
        <w:t>47</w:t>
      </w:r>
      <w:r w:rsidRPr="003429C7" w:rsidR="003429C7">
        <w:rPr>
          <w:lang w:eastAsia="en-US"/>
        </w:rPr>
        <w:t xml:space="preserve">, </w:t>
      </w:r>
      <w:r w:rsidRPr="003429C7" w:rsidR="003429C7">
        <w:rPr>
          <w:i/>
          <w:lang w:eastAsia="en-US"/>
        </w:rPr>
        <w:t>Reports</w:t>
      </w:r>
      <w:r w:rsidRPr="003429C7" w:rsidR="003429C7">
        <w:rPr>
          <w:lang w:eastAsia="en-US"/>
        </w:rPr>
        <w:t xml:space="preserve"> 1998</w:t>
      </w:r>
      <w:r w:rsidRPr="003429C7" w:rsidR="003429C7">
        <w:rPr>
          <w:lang w:eastAsia="en-US"/>
        </w:rPr>
        <w:noBreakHyphen/>
        <w:t>I</w:t>
      </w:r>
      <w:r w:rsidR="0045706C">
        <w:rPr>
          <w:lang w:eastAsia="en-US"/>
        </w:rPr>
        <w:t xml:space="preserve">, </w:t>
      </w:r>
      <w:r w:rsidR="003429C7">
        <w:rPr>
          <w:lang w:eastAsia="en-US"/>
        </w:rPr>
        <w:t xml:space="preserve">and </w:t>
      </w:r>
      <w:r w:rsidRPr="003429C7" w:rsidR="003429C7">
        <w:rPr>
          <w:i/>
          <w:lang w:eastAsia="en-US"/>
        </w:rPr>
        <w:t>The United Macedonian Organisation Ilinden and Others v. Bulgaria</w:t>
      </w:r>
      <w:r w:rsidRPr="003429C7" w:rsidR="003429C7">
        <w:rPr>
          <w:lang w:eastAsia="en-US"/>
        </w:rPr>
        <w:t xml:space="preserve">, no. 59491/00, § </w:t>
      </w:r>
      <w:r w:rsidR="003429C7">
        <w:rPr>
          <w:lang w:eastAsia="en-US"/>
        </w:rPr>
        <w:t>62</w:t>
      </w:r>
      <w:r w:rsidRPr="003429C7" w:rsidR="003429C7">
        <w:rPr>
          <w:lang w:eastAsia="en-US"/>
        </w:rPr>
        <w:t>, 19 January 2006</w:t>
      </w:r>
      <w:r w:rsidR="003429C7">
        <w:rPr>
          <w:lang w:eastAsia="en-US"/>
        </w:rPr>
        <w:t>).</w:t>
      </w:r>
    </w:p>
    <w:p w:rsidR="0018665D" w:rsidP="00AF60D4" w:rsidRDefault="00D624C2">
      <w:pPr>
        <w:pStyle w:val="JuHi"/>
        <w:outlineLvl w:val="0"/>
      </w:pPr>
      <w:r>
        <w:t xml:space="preserve">(ii)  Application of these principles </w:t>
      </w:r>
      <w:r w:rsidR="00081296">
        <w:t>to</w:t>
      </w:r>
      <w:r>
        <w:t xml:space="preserve"> the present case</w:t>
      </w:r>
    </w:p>
    <w:p w:rsidR="00D624C2" w:rsidRDefault="006C1942">
      <w:pPr>
        <w:pStyle w:val="JuPara"/>
      </w:pPr>
      <w:r>
        <w:fldChar w:fldCharType="begin"/>
      </w:r>
      <w:r>
        <w:instrText xml:space="preserve"> SEQ level0 \*arabic </w:instrText>
      </w:r>
      <w:r>
        <w:fldChar w:fldCharType="separate"/>
      </w:r>
      <w:r w:rsidR="00DA3181">
        <w:rPr>
          <w:noProof/>
        </w:rPr>
        <w:t>69</w:t>
      </w:r>
      <w:r>
        <w:fldChar w:fldCharType="end"/>
      </w:r>
      <w:r>
        <w:t xml:space="preserve">.  The Court notes that the domestic authorities, and the Government in their pleadings, relied on two groups of arguments </w:t>
      </w:r>
      <w:r w:rsidR="003429C7">
        <w:t xml:space="preserve">as grounds </w:t>
      </w:r>
      <w:r>
        <w:t xml:space="preserve">justifying the interference (see paragraphs </w:t>
      </w:r>
      <w:r w:rsidRPr="00A00353" w:rsidR="00363605">
        <w:t>23-24</w:t>
      </w:r>
      <w:r>
        <w:t xml:space="preserve"> above). That being so, the Court will examine these </w:t>
      </w:r>
      <w:r w:rsidR="003429C7">
        <w:t>grounds</w:t>
      </w:r>
      <w:r>
        <w:t xml:space="preserve"> in turn.</w:t>
      </w:r>
    </w:p>
    <w:p w:rsidR="00D624C2" w:rsidP="00AF60D4" w:rsidRDefault="00D624C2">
      <w:pPr>
        <w:pStyle w:val="JuHalpha"/>
        <w:outlineLvl w:val="0"/>
      </w:pPr>
      <w:r>
        <w:t>(α)  Breach of the legal requirements on internal management</w:t>
      </w:r>
    </w:p>
    <w:p w:rsidR="00636FD2" w:rsidRDefault="00631E4B">
      <w:pPr>
        <w:pStyle w:val="JuPara"/>
      </w:pPr>
      <w:r>
        <w:fldChar w:fldCharType="begin"/>
      </w:r>
      <w:r>
        <w:instrText xml:space="preserve"> SEQ level0 \*arabic </w:instrText>
      </w:r>
      <w:r>
        <w:fldChar w:fldCharType="separate"/>
      </w:r>
      <w:r w:rsidR="00DA3181">
        <w:rPr>
          <w:noProof/>
        </w:rPr>
        <w:t>70</w:t>
      </w:r>
      <w:r>
        <w:fldChar w:fldCharType="end"/>
      </w:r>
      <w:r>
        <w:t>.  </w:t>
      </w:r>
      <w:r w:rsidR="00CB373F">
        <w:t>Under this ground for the Association</w:t>
      </w:r>
      <w:r w:rsidR="000D7A2F">
        <w:t>’</w:t>
      </w:r>
      <w:r w:rsidR="00CB373F">
        <w:t>s dissolution, the Ministry of Justice and domestic courts found</w:t>
      </w:r>
      <w:r w:rsidR="003429C7">
        <w:t xml:space="preserve">, </w:t>
      </w:r>
      <w:r w:rsidR="003429C7">
        <w:rPr>
          <w:i/>
        </w:rPr>
        <w:t>inter alia</w:t>
      </w:r>
      <w:r w:rsidR="003429C7">
        <w:t>,</w:t>
      </w:r>
      <w:r w:rsidR="00CB373F">
        <w:t xml:space="preserve"> that the </w:t>
      </w:r>
      <w:smartTag w:uri="urn:schemas-microsoft-com:office:smarttags" w:element="PersonName">
        <w:r w:rsidR="00CB373F">
          <w:t>Association</w:t>
        </w:r>
      </w:smartTag>
      <w:r w:rsidR="00CB373F">
        <w:t xml:space="preserve"> had failed to convene a general assembly of members for around seven years, that the equal representation of members had not been ensured at the general assembly</w:t>
      </w:r>
      <w:r w:rsidRPr="00FE4E4F" w:rsidR="00FE4E4F">
        <w:t xml:space="preserve"> </w:t>
      </w:r>
      <w:r w:rsidR="00FE4E4F">
        <w:t>eventually</w:t>
      </w:r>
      <w:r w:rsidR="00CB373F">
        <w:t xml:space="preserve"> </w:t>
      </w:r>
      <w:r w:rsidR="00FE4E4F">
        <w:t xml:space="preserve">convened </w:t>
      </w:r>
      <w:r w:rsidR="00CB373F">
        <w:t>o</w:t>
      </w:r>
      <w:r w:rsidR="00FE4E4F">
        <w:t>n</w:t>
      </w:r>
      <w:r w:rsidR="00CB373F">
        <w:t xml:space="preserve"> 26 August 2002, and that the </w:t>
      </w:r>
      <w:smartTag w:uri="urn:schemas-microsoft-com:office:smarttags" w:element="PersonName">
        <w:r w:rsidR="00CB373F">
          <w:t>Association</w:t>
        </w:r>
      </w:smartTag>
      <w:r w:rsidR="00CB373F">
        <w:t xml:space="preserve"> had not kept proper membership records.</w:t>
      </w:r>
    </w:p>
    <w:p w:rsidR="00636FD2" w:rsidRDefault="00CB373F">
      <w:pPr>
        <w:pStyle w:val="JuPara"/>
      </w:pPr>
      <w:r>
        <w:fldChar w:fldCharType="begin"/>
      </w:r>
      <w:r>
        <w:instrText xml:space="preserve"> SEQ level0 \*arabic </w:instrText>
      </w:r>
      <w:r>
        <w:fldChar w:fldCharType="separate"/>
      </w:r>
      <w:r w:rsidR="00DA3181">
        <w:rPr>
          <w:noProof/>
        </w:rPr>
        <w:t>71</w:t>
      </w:r>
      <w:r>
        <w:fldChar w:fldCharType="end"/>
      </w:r>
      <w:r>
        <w:t>.  With regard to one of these findings, i</w:t>
      </w:r>
      <w:r w:rsidR="00631E4B">
        <w:t xml:space="preserve">t is undisputed in the present case that the </w:t>
      </w:r>
      <w:smartTag w:uri="urn:schemas-microsoft-com:office:smarttags" w:element="PersonName">
        <w:r w:rsidR="00631E4B">
          <w:t>Association</w:t>
        </w:r>
      </w:smartTag>
      <w:r w:rsidR="00631E4B">
        <w:t xml:space="preserve"> had not convened a general assembly of its members for around seven years, from August </w:t>
      </w:r>
      <w:r w:rsidR="00123C63">
        <w:t xml:space="preserve">1995 </w:t>
      </w:r>
      <w:r w:rsidR="00631E4B">
        <w:t xml:space="preserve">to August 2002. It therefore breached the requirements of its own </w:t>
      </w:r>
      <w:r w:rsidR="00967E22">
        <w:t>C</w:t>
      </w:r>
      <w:r w:rsidR="00631E4B">
        <w:t xml:space="preserve">harter, which required the general assembly to be convened at least once every five years, and the domestic law, which required </w:t>
      </w:r>
      <w:r w:rsidR="005F491B">
        <w:t xml:space="preserve">it </w:t>
      </w:r>
      <w:r w:rsidR="00631E4B">
        <w:t xml:space="preserve">to be convened at least once every year. </w:t>
      </w:r>
      <w:r>
        <w:t>As for the other findings, the situation is far less clear and the Court will have regard to them below.</w:t>
      </w:r>
    </w:p>
    <w:p w:rsidR="00636FD2" w:rsidRDefault="00CB373F">
      <w:pPr>
        <w:pStyle w:val="JuPara"/>
      </w:pPr>
      <w:r>
        <w:fldChar w:fldCharType="begin"/>
      </w:r>
      <w:r>
        <w:instrText xml:space="preserve"> SEQ level0 \*arabic </w:instrText>
      </w:r>
      <w:r>
        <w:fldChar w:fldCharType="separate"/>
      </w:r>
      <w:r w:rsidR="00DA3181">
        <w:rPr>
          <w:noProof/>
        </w:rPr>
        <w:t>72</w:t>
      </w:r>
      <w:r>
        <w:fldChar w:fldCharType="end"/>
      </w:r>
      <w:r>
        <w:t>.  In general, the Court accepts that, in certain cases, the States</w:t>
      </w:r>
      <w:r w:rsidR="000D7A2F">
        <w:t>’</w:t>
      </w:r>
      <w:r>
        <w:t xml:space="preserve"> margin of appreciation may include a right to interfere – subject to the condition of proportionality – with freedom of association in the event of non</w:t>
      </w:r>
      <w:r w:rsidR="00B669D3">
        <w:noBreakHyphen/>
      </w:r>
      <w:r>
        <w:t xml:space="preserve">compliance by an association with reasonable legal formalities applying to its establishment, functioning or internal organisational structure (see, </w:t>
      </w:r>
      <w:r>
        <w:rPr>
          <w:i/>
        </w:rPr>
        <w:t>mutatis mutandis</w:t>
      </w:r>
      <w:r>
        <w:t xml:space="preserve">, </w:t>
      </w:r>
      <w:r>
        <w:rPr>
          <w:i/>
        </w:rPr>
        <w:t>Ertan and Others v. Turkey</w:t>
      </w:r>
      <w:r>
        <w:t xml:space="preserve"> (dec.), no. 57898/00,</w:t>
      </w:r>
      <w:r w:rsidR="00B21C91">
        <w:t xml:space="preserve"> 21</w:t>
      </w:r>
      <w:r w:rsidR="008F0AF4">
        <w:t> </w:t>
      </w:r>
      <w:r w:rsidR="00B21C91">
        <w:t xml:space="preserve">March 2006). </w:t>
      </w:r>
      <w:r w:rsidR="005F491B">
        <w:t xml:space="preserve">In this respect, the Court notes that, in </w:t>
      </w:r>
      <w:r w:rsidR="00100638">
        <w:t xml:space="preserve">so far as the </w:t>
      </w:r>
      <w:r w:rsidR="000A104B">
        <w:t>domestic corporate law</w:t>
      </w:r>
      <w:r w:rsidR="00100638">
        <w:t xml:space="preserve"> is concerned</w:t>
      </w:r>
      <w:r w:rsidR="005F491B">
        <w:t xml:space="preserve">, </w:t>
      </w:r>
      <w:r w:rsidR="00D0439A">
        <w:t>private persons</w:t>
      </w:r>
      <w:r w:rsidR="000D7A2F">
        <w:t>’</w:t>
      </w:r>
      <w:r w:rsidR="00D0439A">
        <w:t xml:space="preserve"> </w:t>
      </w:r>
      <w:r w:rsidR="00100638">
        <w:t>freedom of association does not preclude the</w:t>
      </w:r>
      <w:r w:rsidR="005F491B">
        <w:t xml:space="preserve"> States </w:t>
      </w:r>
      <w:r w:rsidR="00100638">
        <w:t>from</w:t>
      </w:r>
      <w:r w:rsidR="005F491B">
        <w:t xml:space="preserve"> lay</w:t>
      </w:r>
      <w:r w:rsidR="00100638">
        <w:t>ing</w:t>
      </w:r>
      <w:r w:rsidR="005F491B">
        <w:t xml:space="preserve"> down in their legislation rules and requirements on corporate governance</w:t>
      </w:r>
      <w:r w:rsidR="00B21C91">
        <w:t xml:space="preserve"> and management</w:t>
      </w:r>
      <w:r w:rsidR="005F491B">
        <w:t xml:space="preserve"> and </w:t>
      </w:r>
      <w:r w:rsidR="00B21C91">
        <w:t xml:space="preserve">from </w:t>
      </w:r>
      <w:r w:rsidR="005F491B">
        <w:t>satisfy</w:t>
      </w:r>
      <w:r w:rsidR="00100638">
        <w:t>ing</w:t>
      </w:r>
      <w:r w:rsidR="005F491B">
        <w:t xml:space="preserve"> themselves that these rules and requirements are observed by the incorporated entities</w:t>
      </w:r>
      <w:r w:rsidR="00D0439A">
        <w:t xml:space="preserve">. In fact, </w:t>
      </w:r>
      <w:r w:rsidR="00D07448">
        <w:t xml:space="preserve">the </w:t>
      </w:r>
      <w:r w:rsidR="00D0439A">
        <w:t xml:space="preserve">domestic laws of many </w:t>
      </w:r>
      <w:r w:rsidR="00D07448">
        <w:t>m</w:t>
      </w:r>
      <w:r w:rsidR="00D0439A">
        <w:t xml:space="preserve">ember States of the Council of Europe provide for such rules and requirements, </w:t>
      </w:r>
      <w:r w:rsidRPr="0000563C" w:rsidR="00D0439A">
        <w:t xml:space="preserve">with varying </w:t>
      </w:r>
      <w:r w:rsidR="00D07448">
        <w:t>degrees</w:t>
      </w:r>
      <w:r w:rsidRPr="0000563C" w:rsidR="00D07448">
        <w:t xml:space="preserve"> </w:t>
      </w:r>
      <w:r w:rsidRPr="0000563C" w:rsidR="00D0439A">
        <w:t>of regulation</w:t>
      </w:r>
      <w:r w:rsidR="00D0439A">
        <w:t xml:space="preserve"> (see paragraphs</w:t>
      </w:r>
      <w:r w:rsidR="00DA72FE">
        <w:t> </w:t>
      </w:r>
      <w:r w:rsidRPr="00A00353" w:rsidR="00363605">
        <w:t>40-43</w:t>
      </w:r>
      <w:r w:rsidR="00D0439A">
        <w:t xml:space="preserve"> above)</w:t>
      </w:r>
      <w:r w:rsidR="005F491B">
        <w:t xml:space="preserve">. The Court does not see a problem </w:t>
      </w:r>
      <w:r w:rsidR="005F491B">
        <w:rPr>
          <w:i/>
        </w:rPr>
        <w:t>per se</w:t>
      </w:r>
      <w:r w:rsidR="005F491B">
        <w:t xml:space="preserve"> </w:t>
      </w:r>
      <w:r w:rsidR="000A104B">
        <w:t xml:space="preserve">in </w:t>
      </w:r>
      <w:r w:rsidR="005F491B">
        <w:t>that Azerb</w:t>
      </w:r>
      <w:r w:rsidR="006D7A68">
        <w:t>aijani law</w:t>
      </w:r>
      <w:r w:rsidR="005F491B">
        <w:t xml:space="preserve"> provided for certain formal requirements </w:t>
      </w:r>
      <w:r w:rsidR="000A104B">
        <w:t>concerning</w:t>
      </w:r>
      <w:r w:rsidR="005F491B">
        <w:t xml:space="preserve"> corporate legal </w:t>
      </w:r>
      <w:r w:rsidR="003A7731">
        <w:t>forms</w:t>
      </w:r>
      <w:r w:rsidR="00B21C91">
        <w:t xml:space="preserve"> (together with associated internal management structures)</w:t>
      </w:r>
      <w:r w:rsidR="005F491B">
        <w:t xml:space="preserve"> </w:t>
      </w:r>
      <w:r w:rsidR="000A104B">
        <w:t>which</w:t>
      </w:r>
      <w:r w:rsidR="005F491B">
        <w:t xml:space="preserve"> associations had to </w:t>
      </w:r>
      <w:r w:rsidR="00D07448">
        <w:t xml:space="preserve">satisfy </w:t>
      </w:r>
      <w:r w:rsidR="005F491B">
        <w:t xml:space="preserve">in order to be eligible for </w:t>
      </w:r>
      <w:r w:rsidR="00DA3181">
        <w:t>S</w:t>
      </w:r>
      <w:r w:rsidR="005F491B">
        <w:t>tate registratio</w:t>
      </w:r>
      <w:r w:rsidR="006D7A68">
        <w:t>n as a non-profit-making legal entity.</w:t>
      </w:r>
    </w:p>
    <w:p w:rsidR="00636FD2" w:rsidRDefault="00100638">
      <w:pPr>
        <w:pStyle w:val="JuPara"/>
      </w:pPr>
      <w:r>
        <w:fldChar w:fldCharType="begin"/>
      </w:r>
      <w:r>
        <w:instrText xml:space="preserve"> SEQ level0 \*arabic </w:instrText>
      </w:r>
      <w:r>
        <w:fldChar w:fldCharType="separate"/>
      </w:r>
      <w:r w:rsidR="00DA3181">
        <w:rPr>
          <w:noProof/>
        </w:rPr>
        <w:t>73</w:t>
      </w:r>
      <w:r>
        <w:fldChar w:fldCharType="end"/>
      </w:r>
      <w:r>
        <w:t>.  </w:t>
      </w:r>
      <w:r w:rsidR="00B21C91">
        <w:t>Therefore, a</w:t>
      </w:r>
      <w:r w:rsidR="003A7731">
        <w:t>s to the formal requirement that public associations</w:t>
      </w:r>
      <w:r w:rsidR="00D0439A">
        <w:t xml:space="preserve"> have certain governing bodies and, more specifically,</w:t>
      </w:r>
      <w:r w:rsidR="003A7731">
        <w:t xml:space="preserve"> periodically convene a general assembly of members, the Court does not consider </w:t>
      </w:r>
      <w:r w:rsidR="00D07448">
        <w:t xml:space="preserve">this </w:t>
      </w:r>
      <w:r w:rsidR="00B7072A">
        <w:t>to constitute, in itself, an undue interference with freedom of association</w:t>
      </w:r>
      <w:r w:rsidR="003A7731">
        <w:t xml:space="preserve">. This requirement serves to ensure, </w:t>
      </w:r>
      <w:r w:rsidR="003A7731">
        <w:rPr>
          <w:i/>
        </w:rPr>
        <w:t>inter alia</w:t>
      </w:r>
      <w:r w:rsidR="003A7731">
        <w:t xml:space="preserve">, </w:t>
      </w:r>
      <w:r w:rsidR="00D07448">
        <w:t>the</w:t>
      </w:r>
      <w:r w:rsidR="003A7731">
        <w:t xml:space="preserve"> right of association members to directly participate in the management and activities of the association</w:t>
      </w:r>
      <w:r w:rsidR="0058087E">
        <w:t xml:space="preserve">. Moreover, </w:t>
      </w:r>
      <w:r w:rsidR="001F190F">
        <w:t xml:space="preserve">the Court considers that </w:t>
      </w:r>
      <w:r w:rsidR="0058087E">
        <w:t>this requirement, together with other rules concerning the rights of members and internal control and management mechanisms,</w:t>
      </w:r>
      <w:r w:rsidR="003A7731">
        <w:t xml:space="preserve"> </w:t>
      </w:r>
      <w:r w:rsidR="001F190F">
        <w:t xml:space="preserve">are normally designed </w:t>
      </w:r>
      <w:r w:rsidR="0058087E">
        <w:t>to</w:t>
      </w:r>
      <w:r w:rsidR="003A7731">
        <w:t xml:space="preserve"> prevent any possible abuse of </w:t>
      </w:r>
      <w:r w:rsidR="0058087E">
        <w:t xml:space="preserve">the </w:t>
      </w:r>
      <w:r w:rsidR="00300F9A">
        <w:t>legal</w:t>
      </w:r>
      <w:r w:rsidR="0058087E">
        <w:t xml:space="preserve"> status </w:t>
      </w:r>
      <w:r w:rsidR="00D0439A">
        <w:t xml:space="preserve">and associated economic privileges </w:t>
      </w:r>
      <w:r w:rsidR="0058087E">
        <w:t xml:space="preserve">enjoyed by </w:t>
      </w:r>
      <w:r w:rsidR="00300F9A">
        <w:t>non-commercial entities</w:t>
      </w:r>
      <w:r w:rsidR="001F190F">
        <w:t>.</w:t>
      </w:r>
    </w:p>
    <w:p w:rsidR="0004282E" w:rsidRDefault="00DE6A89">
      <w:pPr>
        <w:pStyle w:val="JuPara"/>
      </w:pPr>
      <w:r>
        <w:fldChar w:fldCharType="begin"/>
      </w:r>
      <w:r>
        <w:instrText xml:space="preserve"> SEQ level0 \*arabic </w:instrText>
      </w:r>
      <w:r>
        <w:fldChar w:fldCharType="separate"/>
      </w:r>
      <w:r w:rsidR="00DA3181">
        <w:rPr>
          <w:noProof/>
        </w:rPr>
        <w:t>74</w:t>
      </w:r>
      <w:r>
        <w:fldChar w:fldCharType="end"/>
      </w:r>
      <w:r>
        <w:t>.  </w:t>
      </w:r>
      <w:r w:rsidR="005C513C">
        <w:t>Turning to the specific circumstances of the present case, the Court considers it necessary to assess whether the domestic authorities</w:t>
      </w:r>
      <w:r w:rsidR="000D7A2F">
        <w:t>’</w:t>
      </w:r>
      <w:r w:rsidR="005C513C">
        <w:t xml:space="preserve"> findings concerning the alleged breaches of the legal requirements on internal management were well-founded and, as such, sufficient to justify the sanction imposed. </w:t>
      </w:r>
      <w:r w:rsidR="004F417A">
        <w:t>H</w:t>
      </w:r>
      <w:r w:rsidR="00C2094B">
        <w:t xml:space="preserve">aving </w:t>
      </w:r>
      <w:r w:rsidR="005C513C">
        <w:t>made that assessment</w:t>
      </w:r>
      <w:r w:rsidR="00300F9A">
        <w:t>, the Court is not convinced</w:t>
      </w:r>
      <w:r w:rsidR="004D0CE1">
        <w:t>, for the following reasons,</w:t>
      </w:r>
      <w:r w:rsidR="00300F9A">
        <w:t xml:space="preserve"> that there existed compelling reasons justifying the interference in question </w:t>
      </w:r>
      <w:r w:rsidR="005C513C">
        <w:t xml:space="preserve">and </w:t>
      </w:r>
      <w:r w:rsidR="00300F9A">
        <w:t>that this interference was proportionate to the legitimate aim pursued.</w:t>
      </w:r>
    </w:p>
    <w:p w:rsidR="0004282E" w:rsidRDefault="00B91E8F">
      <w:pPr>
        <w:pStyle w:val="JuPara"/>
      </w:pPr>
      <w:r>
        <w:fldChar w:fldCharType="begin"/>
      </w:r>
      <w:r>
        <w:instrText xml:space="preserve"> SEQ level0 \*arabic </w:instrText>
      </w:r>
      <w:r>
        <w:fldChar w:fldCharType="separate"/>
      </w:r>
      <w:r w:rsidR="00DA3181">
        <w:rPr>
          <w:noProof/>
        </w:rPr>
        <w:t>75</w:t>
      </w:r>
      <w:r>
        <w:fldChar w:fldCharType="end"/>
      </w:r>
      <w:r>
        <w:t>.  </w:t>
      </w:r>
      <w:r w:rsidR="005C513C">
        <w:t xml:space="preserve">At the outset, the Court stresses that, indeed, </w:t>
      </w:r>
      <w:r>
        <w:t>the Association</w:t>
      </w:r>
      <w:r w:rsidR="000D7A2F">
        <w:t>’</w:t>
      </w:r>
      <w:r w:rsidR="005C513C">
        <w:t>s</w:t>
      </w:r>
      <w:r>
        <w:t xml:space="preserve"> </w:t>
      </w:r>
      <w:r w:rsidR="005C513C">
        <w:t>failure to</w:t>
      </w:r>
      <w:r>
        <w:t xml:space="preserve"> convene a general assembly of its members for around seven years</w:t>
      </w:r>
      <w:r w:rsidR="005C513C">
        <w:t xml:space="preserve"> constituted a</w:t>
      </w:r>
      <w:r w:rsidR="00CA3B0B">
        <w:t xml:space="preserve"> </w:t>
      </w:r>
      <w:r w:rsidRPr="00AC4083" w:rsidR="00CA3B0B">
        <w:t xml:space="preserve">wanton disregard </w:t>
      </w:r>
      <w:r w:rsidR="005C513C">
        <w:t xml:space="preserve">of </w:t>
      </w:r>
      <w:r w:rsidRPr="00AC4083" w:rsidR="00CA3B0B">
        <w:t>the requirements</w:t>
      </w:r>
      <w:r w:rsidR="005C513C">
        <w:t xml:space="preserve"> not only of the domestic law, but also of its own Charter</w:t>
      </w:r>
      <w:r w:rsidRPr="00AC4083" w:rsidR="00CA3B0B">
        <w:t>.</w:t>
      </w:r>
      <w:r w:rsidR="00CA3B0B">
        <w:t xml:space="preserve"> </w:t>
      </w:r>
      <w:r w:rsidR="005C513C">
        <w:t>M</w:t>
      </w:r>
      <w:r w:rsidR="00535B70">
        <w:t xml:space="preserve">oreover, by the time of its dissolution, the Association </w:t>
      </w:r>
      <w:r w:rsidR="00955714">
        <w:t xml:space="preserve">had </w:t>
      </w:r>
      <w:r w:rsidR="00535B70">
        <w:t xml:space="preserve">failed to </w:t>
      </w:r>
      <w:r w:rsidR="0010787A">
        <w:t xml:space="preserve">even </w:t>
      </w:r>
      <w:r w:rsidR="00535B70">
        <w:t>bring its Charter into conformity with the basic legal requiremen</w:t>
      </w:r>
      <w:r w:rsidR="009A35C3">
        <w:t>ts applicable under the NGO Act</w:t>
      </w:r>
      <w:r w:rsidR="00535B70">
        <w:t xml:space="preserve"> which</w:t>
      </w:r>
      <w:r w:rsidR="009A35C3">
        <w:t>, by then,</w:t>
      </w:r>
      <w:r w:rsidR="00535B70">
        <w:t xml:space="preserve"> had been in force for around two years. Having committed these breaches, the Association clearly put itself in a situation where it risked sanctions. Accordingly, in the light of the considerations in paragraphs 72</w:t>
      </w:r>
      <w:r w:rsidR="000C46C1">
        <w:t xml:space="preserve"> to </w:t>
      </w:r>
      <w:r w:rsidR="00535B70">
        <w:t xml:space="preserve">74 above, the Court </w:t>
      </w:r>
      <w:r w:rsidR="00955714">
        <w:t>cannot find that it was</w:t>
      </w:r>
      <w:r w:rsidR="00535B70">
        <w:t xml:space="preserve"> </w:t>
      </w:r>
      <w:r w:rsidR="0010787A">
        <w:t>in</w:t>
      </w:r>
      <w:r w:rsidR="00535B70">
        <w:t>appropriate for the domestic authorities to react to these breaches and to ensure that the basic formal requirements of the domestic law on corporate management be observed.</w:t>
      </w:r>
    </w:p>
    <w:p w:rsidR="006502D0" w:rsidRDefault="0010787A">
      <w:pPr>
        <w:pStyle w:val="JuPara"/>
      </w:pPr>
      <w:r>
        <w:fldChar w:fldCharType="begin"/>
      </w:r>
      <w:r>
        <w:instrText xml:space="preserve"> SEQ level0 \*arabic </w:instrText>
      </w:r>
      <w:r>
        <w:fldChar w:fldCharType="separate"/>
      </w:r>
      <w:r w:rsidR="00DA3181">
        <w:rPr>
          <w:noProof/>
        </w:rPr>
        <w:t>76</w:t>
      </w:r>
      <w:r>
        <w:fldChar w:fldCharType="end"/>
      </w:r>
      <w:r>
        <w:t>.  Nevertheless, in assessing whether the authorities</w:t>
      </w:r>
      <w:r w:rsidR="000D7A2F">
        <w:t>’</w:t>
      </w:r>
      <w:r>
        <w:t xml:space="preserve"> subsequent decision to apply the sanction of involuntary dissolution was justified and proportionate,</w:t>
      </w:r>
      <w:r w:rsidR="00B91E8F">
        <w:t xml:space="preserve"> </w:t>
      </w:r>
      <w:r>
        <w:t xml:space="preserve">it cannot be overlooked that </w:t>
      </w:r>
      <w:r w:rsidR="00CA3B0B">
        <w:t xml:space="preserve">the </w:t>
      </w:r>
      <w:smartTag w:uri="urn:schemas-microsoft-com:office:smarttags" w:element="PersonName">
        <w:r w:rsidR="00CA3B0B">
          <w:t>Association</w:t>
        </w:r>
      </w:smartTag>
      <w:r w:rsidR="00B91E8F">
        <w:t xml:space="preserve"> actually attempted to rectify </w:t>
      </w:r>
      <w:r w:rsidR="00CA3B0B">
        <w:t>the problem</w:t>
      </w:r>
      <w:r w:rsidR="00B91E8F">
        <w:t xml:space="preserve"> by convening a general assembly on 26</w:t>
      </w:r>
      <w:r w:rsidR="00EC77F8">
        <w:t> </w:t>
      </w:r>
      <w:r w:rsidR="00B91E8F">
        <w:t xml:space="preserve">August 2002, </w:t>
      </w:r>
      <w:r w:rsidR="00944060">
        <w:t xml:space="preserve">even </w:t>
      </w:r>
      <w:r w:rsidR="00B91E8F">
        <w:t>prior to the Ministry of Justice</w:t>
      </w:r>
      <w:r w:rsidR="000D7A2F">
        <w:t>’</w:t>
      </w:r>
      <w:r w:rsidR="00B91E8F">
        <w:t>s first warning of 10</w:t>
      </w:r>
      <w:r w:rsidR="00EC77F8">
        <w:t> </w:t>
      </w:r>
      <w:r w:rsidR="00B91E8F">
        <w:t xml:space="preserve">September 2002. </w:t>
      </w:r>
      <w:r w:rsidR="00B33A78">
        <w:t>Due account should have been taken of t</w:t>
      </w:r>
      <w:r w:rsidR="009A243D">
        <w:t xml:space="preserve">his </w:t>
      </w:r>
      <w:r w:rsidR="00B33A78">
        <w:t xml:space="preserve">intention </w:t>
      </w:r>
      <w:r w:rsidR="009A243D">
        <w:t>when deciding upon the necessity of the interference</w:t>
      </w:r>
      <w:r w:rsidR="00900BEC">
        <w:t xml:space="preserve"> with the Association</w:t>
      </w:r>
      <w:r w:rsidR="000D7A2F">
        <w:t>’</w:t>
      </w:r>
      <w:r w:rsidR="00900BEC">
        <w:t>s rights in the present case</w:t>
      </w:r>
      <w:r w:rsidR="00944060">
        <w:t>. T</w:t>
      </w:r>
      <w:r>
        <w:t xml:space="preserve">he Association should have been given a genuine chance to </w:t>
      </w:r>
      <w:r w:rsidR="00944060">
        <w:t xml:space="preserve">put matters right before </w:t>
      </w:r>
      <w:r w:rsidR="009A35C3">
        <w:t>being dissolved</w:t>
      </w:r>
      <w:r w:rsidR="00944060">
        <w:t>.</w:t>
      </w:r>
    </w:p>
    <w:p w:rsidR="00636FD2" w:rsidRDefault="00E35E71">
      <w:pPr>
        <w:pStyle w:val="JuPara"/>
      </w:pPr>
      <w:r>
        <w:fldChar w:fldCharType="begin"/>
      </w:r>
      <w:r>
        <w:instrText xml:space="preserve"> SEQ level0 \*arabic </w:instrText>
      </w:r>
      <w:r>
        <w:fldChar w:fldCharType="separate"/>
      </w:r>
      <w:r w:rsidR="00DA3181">
        <w:rPr>
          <w:noProof/>
        </w:rPr>
        <w:t>77</w:t>
      </w:r>
      <w:r>
        <w:fldChar w:fldCharType="end"/>
      </w:r>
      <w:r>
        <w:t>.  </w:t>
      </w:r>
      <w:r w:rsidR="00944060">
        <w:t xml:space="preserve">While </w:t>
      </w:r>
      <w:r w:rsidR="009A35C3">
        <w:t>the Court has</w:t>
      </w:r>
      <w:r w:rsidR="00944060">
        <w:t xml:space="preserve"> accepted that</w:t>
      </w:r>
      <w:r w:rsidR="009A35C3">
        <w:t>,</w:t>
      </w:r>
      <w:r w:rsidR="00944060">
        <w:t xml:space="preserve"> initially</w:t>
      </w:r>
      <w:r w:rsidR="009A35C3">
        <w:t>,</w:t>
      </w:r>
      <w:r w:rsidR="00944060">
        <w:t xml:space="preserve"> the authorities correctly reacted to t</w:t>
      </w:r>
      <w:r w:rsidR="0010787A">
        <w:t xml:space="preserve">he breach of the requirement </w:t>
      </w:r>
      <w:r w:rsidR="00944060">
        <w:t>to</w:t>
      </w:r>
      <w:r w:rsidR="0010787A">
        <w:t xml:space="preserve"> conven</w:t>
      </w:r>
      <w:r w:rsidR="00944060">
        <w:t>e a</w:t>
      </w:r>
      <w:r w:rsidR="0010787A">
        <w:t xml:space="preserve"> general assembly</w:t>
      </w:r>
      <w:r w:rsidR="00944060">
        <w:t xml:space="preserve"> once a year, </w:t>
      </w:r>
      <w:r w:rsidR="009A35C3">
        <w:t xml:space="preserve">it observes that, </w:t>
      </w:r>
      <w:r w:rsidR="00944060">
        <w:t>subsequently</w:t>
      </w:r>
      <w:r w:rsidR="009A35C3">
        <w:t>,</w:t>
      </w:r>
      <w:r w:rsidR="00944060">
        <w:t xml:space="preserve"> the focus of the accusations against the Association shifted to other “breaches”</w:t>
      </w:r>
      <w:r w:rsidR="0010787A">
        <w:t>. In particular</w:t>
      </w:r>
      <w:r>
        <w:t xml:space="preserve">, </w:t>
      </w:r>
      <w:r w:rsidR="0010787A">
        <w:t xml:space="preserve">having been informed about the general assembly of 26 August 2002, </w:t>
      </w:r>
      <w:r>
        <w:t xml:space="preserve">the Ministry </w:t>
      </w:r>
      <w:r w:rsidR="00C92E44">
        <w:t xml:space="preserve">was not satisfied with </w:t>
      </w:r>
      <w:r w:rsidR="0010787A">
        <w:t xml:space="preserve">its </w:t>
      </w:r>
      <w:r w:rsidR="00C92E44">
        <w:t xml:space="preserve">“lawfulness” and </w:t>
      </w:r>
      <w:r>
        <w:t xml:space="preserve">followed up its initial warning with another two warnings </w:t>
      </w:r>
      <w:r w:rsidR="00C92E44">
        <w:t xml:space="preserve">issued </w:t>
      </w:r>
      <w:r>
        <w:t xml:space="preserve">in a relatively short </w:t>
      </w:r>
      <w:proofErr w:type="spellStart"/>
      <w:r>
        <w:t>timespan</w:t>
      </w:r>
      <w:proofErr w:type="spellEnd"/>
      <w:r>
        <w:t xml:space="preserve">, </w:t>
      </w:r>
      <w:r w:rsidR="00D07448">
        <w:t xml:space="preserve">on </w:t>
      </w:r>
      <w:r>
        <w:t xml:space="preserve">each </w:t>
      </w:r>
      <w:r w:rsidR="00D07448">
        <w:t xml:space="preserve">occasion </w:t>
      </w:r>
      <w:r>
        <w:t xml:space="preserve">allowing the </w:t>
      </w:r>
      <w:smartTag w:uri="urn:schemas-microsoft-com:office:smarttags" w:element="PersonName">
        <w:r>
          <w:t>Association</w:t>
        </w:r>
      </w:smartTag>
      <w:r>
        <w:t xml:space="preserve"> a ten-day period</w:t>
      </w:r>
      <w:r w:rsidR="00D07448">
        <w:t xml:space="preserve"> in which</w:t>
      </w:r>
      <w:r>
        <w:t xml:space="preserve"> to </w:t>
      </w:r>
      <w:r w:rsidR="00C92E44">
        <w:t xml:space="preserve">take measures to </w:t>
      </w:r>
      <w:r w:rsidR="00AF60D4">
        <w:t>eliminate</w:t>
      </w:r>
      <w:r>
        <w:t xml:space="preserve"> the </w:t>
      </w:r>
      <w:r w:rsidR="00B33A78">
        <w:t xml:space="preserve">alleged </w:t>
      </w:r>
      <w:r w:rsidR="00C92E44">
        <w:t>breaches of law</w:t>
      </w:r>
      <w:r>
        <w:t xml:space="preserve">. </w:t>
      </w:r>
      <w:r w:rsidR="00BE7FB1">
        <w:t>The Court notes, firstly, that these ten-day periods appear to have been set arbitrarily</w:t>
      </w:r>
      <w:r w:rsidR="00D07448">
        <w:t>. T</w:t>
      </w:r>
      <w:r w:rsidR="00BE7FB1">
        <w:t xml:space="preserve">his problem stems from the fact that the NGO Act allowed the Ministry unlimited discretion in this respect (see paragraph </w:t>
      </w:r>
      <w:r w:rsidRPr="00A00353" w:rsidR="00363605">
        <w:t>64</w:t>
      </w:r>
      <w:r w:rsidR="00BE7FB1">
        <w:t xml:space="preserve"> above). Secondly, t</w:t>
      </w:r>
      <w:r w:rsidR="00C92E44">
        <w:t xml:space="preserve">here was no explanation </w:t>
      </w:r>
      <w:r w:rsidR="00EF17BE">
        <w:t xml:space="preserve">in the warning letters </w:t>
      </w:r>
      <w:r w:rsidR="00C92E44">
        <w:t xml:space="preserve">as to what specific measures </w:t>
      </w:r>
      <w:r w:rsidR="00C86BD0">
        <w:t xml:space="preserve">taken </w:t>
      </w:r>
      <w:r w:rsidR="00C92E44">
        <w:t xml:space="preserve">by the </w:t>
      </w:r>
      <w:smartTag w:uri="urn:schemas-microsoft-com:office:smarttags" w:element="PersonName">
        <w:r w:rsidR="00C92E44">
          <w:t>Association</w:t>
        </w:r>
      </w:smartTag>
      <w:r w:rsidR="00C92E44">
        <w:t xml:space="preserve"> would be deemed </w:t>
      </w:r>
      <w:r w:rsidR="00BE7FB1">
        <w:t xml:space="preserve">as acceptable </w:t>
      </w:r>
      <w:r w:rsidR="00C92E44">
        <w:t>by the Ministry.</w:t>
      </w:r>
      <w:r w:rsidR="009A35C3">
        <w:t xml:space="preserve"> Having </w:t>
      </w:r>
      <w:r w:rsidR="00B33A78">
        <w:t>regard to the nature of the Ministry</w:t>
      </w:r>
      <w:r w:rsidR="000D7A2F">
        <w:t>’</w:t>
      </w:r>
      <w:r w:rsidR="00B33A78">
        <w:t xml:space="preserve">s remarks, </w:t>
      </w:r>
      <w:r w:rsidR="00C92E44">
        <w:t xml:space="preserve">the </w:t>
      </w:r>
      <w:smartTag w:uri="urn:schemas-microsoft-com:office:smarttags" w:element="PersonName">
        <w:r w:rsidR="00C92E44">
          <w:t>Association</w:t>
        </w:r>
      </w:smartTag>
      <w:r w:rsidR="00C92E44">
        <w:t xml:space="preserve"> was </w:t>
      </w:r>
      <w:r w:rsidR="00B33A78">
        <w:t xml:space="preserve">most likely </w:t>
      </w:r>
      <w:r w:rsidR="00C92E44">
        <w:t xml:space="preserve">expected to convene a new general assembly. However, </w:t>
      </w:r>
      <w:r w:rsidR="00C86BD0">
        <w:t>under the domestic law, the process of convening a general assembly required at least two</w:t>
      </w:r>
      <w:r w:rsidR="0087357A">
        <w:t> </w:t>
      </w:r>
      <w:r w:rsidR="00C86BD0">
        <w:t xml:space="preserve">weeks (see paragraph </w:t>
      </w:r>
      <w:r w:rsidRPr="00A00353" w:rsidR="00363605">
        <w:t>34</w:t>
      </w:r>
      <w:r w:rsidR="00C86BD0">
        <w:t xml:space="preserve"> above). In such circumstances, it is difficult to see how the </w:t>
      </w:r>
      <w:smartTag w:uri="urn:schemas-microsoft-com:office:smarttags" w:element="PersonName">
        <w:r w:rsidR="00C86BD0">
          <w:t>Association</w:t>
        </w:r>
      </w:smartTag>
      <w:r w:rsidR="00C86BD0">
        <w:t xml:space="preserve"> could be e</w:t>
      </w:r>
      <w:r w:rsidR="00AF60D4">
        <w:t>xpected to eliminate the “breaches of law”</w:t>
      </w:r>
      <w:r w:rsidR="00BE7FB1">
        <w:t xml:space="preserve"> within </w:t>
      </w:r>
      <w:r w:rsidR="00D07448">
        <w:t>the</w:t>
      </w:r>
      <w:r w:rsidR="00BE7FB1">
        <w:t xml:space="preserve"> ten-day period set by the Ministry</w:t>
      </w:r>
      <w:r w:rsidR="00C86BD0">
        <w:t xml:space="preserve">. </w:t>
      </w:r>
      <w:r w:rsidRPr="007711E5" w:rsidR="00C86BD0">
        <w:t xml:space="preserve">This raises a legitimate concern as </w:t>
      </w:r>
      <w:r w:rsidRPr="007711E5" w:rsidR="00BE7FB1">
        <w:t xml:space="preserve">to </w:t>
      </w:r>
      <w:r w:rsidRPr="007711E5" w:rsidR="00C86BD0">
        <w:t>whether</w:t>
      </w:r>
      <w:r w:rsidRPr="007711E5" w:rsidR="00B33A78">
        <w:t xml:space="preserve"> the </w:t>
      </w:r>
      <w:smartTag w:uri="urn:schemas-microsoft-com:office:smarttags" w:element="PersonName">
        <w:r w:rsidR="00B33A78" w:rsidRPr="007711E5">
          <w:t>Association</w:t>
        </w:r>
      </w:smartTag>
      <w:r w:rsidRPr="007711E5" w:rsidR="00B33A78">
        <w:t xml:space="preserve"> </w:t>
      </w:r>
      <w:r w:rsidR="00D07448">
        <w:t>was</w:t>
      </w:r>
      <w:r w:rsidRPr="007711E5" w:rsidR="00B33A78">
        <w:t xml:space="preserve"> given a genuine chance to rectify its affairs before </w:t>
      </w:r>
      <w:r w:rsidR="007711E5">
        <w:t>it had to face the sanction of dissolution</w:t>
      </w:r>
      <w:r w:rsidRPr="007711E5" w:rsidR="007711E5">
        <w:t>.</w:t>
      </w:r>
    </w:p>
    <w:p w:rsidR="00636FD2" w:rsidRDefault="00BE7FB1">
      <w:pPr>
        <w:pStyle w:val="JuPara"/>
      </w:pPr>
      <w:r>
        <w:fldChar w:fldCharType="begin"/>
      </w:r>
      <w:r>
        <w:instrText xml:space="preserve"> SEQ level0 \*arabic </w:instrText>
      </w:r>
      <w:r>
        <w:fldChar w:fldCharType="separate"/>
      </w:r>
      <w:r w:rsidR="00DA3181">
        <w:rPr>
          <w:noProof/>
        </w:rPr>
        <w:t>78</w:t>
      </w:r>
      <w:r>
        <w:fldChar w:fldCharType="end"/>
      </w:r>
      <w:r>
        <w:t>.  As to the substance of the second and third warnings, it was noted</w:t>
      </w:r>
      <w:r w:rsidR="00EE06E8">
        <w:t>, in generalised terms,</w:t>
      </w:r>
      <w:r>
        <w:t xml:space="preserve"> that not all members of the </w:t>
      </w:r>
      <w:smartTag w:uri="urn:schemas-microsoft-com:office:smarttags" w:element="PersonName">
        <w:r>
          <w:t>Association</w:t>
        </w:r>
      </w:smartTag>
      <w:r>
        <w:t xml:space="preserve"> had been properly informed </w:t>
      </w:r>
      <w:r w:rsidR="00C362C2">
        <w:t xml:space="preserve">of </w:t>
      </w:r>
      <w:r>
        <w:t xml:space="preserve">the general assembly </w:t>
      </w:r>
      <w:r w:rsidR="004550EB">
        <w:t xml:space="preserve">of 26 August 2002, </w:t>
      </w:r>
      <w:r>
        <w:t>that the Association</w:t>
      </w:r>
      <w:r w:rsidR="000D7A2F">
        <w:t>’</w:t>
      </w:r>
      <w:r>
        <w:t xml:space="preserve">s local </w:t>
      </w:r>
      <w:r w:rsidR="007711E5">
        <w:t>branches</w:t>
      </w:r>
      <w:r>
        <w:t xml:space="preserve"> had not been equally represented at the assembly</w:t>
      </w:r>
      <w:r w:rsidR="004550EB">
        <w:t>, and that</w:t>
      </w:r>
      <w:r>
        <w:t xml:space="preserve"> the current membership records had not been properly </w:t>
      </w:r>
      <w:r w:rsidR="004550EB">
        <w:t>maintained</w:t>
      </w:r>
      <w:r>
        <w:t>.</w:t>
      </w:r>
      <w:r w:rsidR="004550EB">
        <w:t xml:space="preserve"> </w:t>
      </w:r>
      <w:r w:rsidRPr="007711E5" w:rsidR="00AF60D4">
        <w:t>T</w:t>
      </w:r>
      <w:r w:rsidRPr="007711E5" w:rsidR="007D16A1">
        <w:t xml:space="preserve">he Court sees little justification for the Ministry of Justice to </w:t>
      </w:r>
      <w:r w:rsidR="008D0AEB">
        <w:t>interfere</w:t>
      </w:r>
      <w:r w:rsidRPr="007711E5" w:rsidR="008D0AEB">
        <w:t xml:space="preserve"> </w:t>
      </w:r>
      <w:r w:rsidRPr="007711E5" w:rsidR="00AF60D4">
        <w:t xml:space="preserve">with the internal workings of the </w:t>
      </w:r>
      <w:smartTag w:uri="urn:schemas-microsoft-com:office:smarttags" w:element="PersonName">
        <w:r w:rsidR="00AF60D4" w:rsidRPr="007711E5">
          <w:t>Association</w:t>
        </w:r>
      </w:smartTag>
      <w:r w:rsidRPr="007711E5" w:rsidR="00AF60D4">
        <w:t xml:space="preserve"> </w:t>
      </w:r>
      <w:r w:rsidRPr="007711E5" w:rsidR="007D16A1">
        <w:t>to such an extent</w:t>
      </w:r>
      <w:r w:rsidRPr="007711E5" w:rsidR="00AF60D4">
        <w:t xml:space="preserve">, especially in the absence of any complaints by </w:t>
      </w:r>
      <w:smartTag w:uri="urn:schemas-microsoft-com:office:smarttags" w:element="PersonName">
        <w:r w:rsidR="00AF60D4" w:rsidRPr="007711E5">
          <w:t>Association</w:t>
        </w:r>
      </w:smartTag>
      <w:r w:rsidRPr="007711E5" w:rsidR="00AF60D4">
        <w:t xml:space="preserve"> members concerning these matters</w:t>
      </w:r>
      <w:r w:rsidRPr="007711E5" w:rsidR="007D16A1">
        <w:t>.</w:t>
      </w:r>
      <w:r w:rsidR="007D16A1">
        <w:t xml:space="preserve"> For example, i</w:t>
      </w:r>
      <w:r w:rsidR="004550EB">
        <w:t xml:space="preserve">n so far as the question of representation of local </w:t>
      </w:r>
      <w:r w:rsidR="007711E5">
        <w:t>branches</w:t>
      </w:r>
      <w:r w:rsidR="004550EB">
        <w:t xml:space="preserve"> is concerned, the domestic law did not appear to directly regulate this matter</w:t>
      </w:r>
      <w:r w:rsidRPr="00EE06E8" w:rsidR="00EE06E8">
        <w:t>.</w:t>
      </w:r>
      <w:r w:rsidR="00EE06E8">
        <w:t xml:space="preserve"> T</w:t>
      </w:r>
      <w:r w:rsidR="004550EB">
        <w:t xml:space="preserve">he Court considers that it should be up to </w:t>
      </w:r>
      <w:r w:rsidR="00EE06E8">
        <w:t>an</w:t>
      </w:r>
      <w:r w:rsidR="004550EB">
        <w:t xml:space="preserve"> association itself to determine the manner in which its </w:t>
      </w:r>
      <w:r w:rsidR="007711E5">
        <w:t>branches</w:t>
      </w:r>
      <w:r w:rsidR="004550EB">
        <w:t xml:space="preserve"> </w:t>
      </w:r>
      <w:r w:rsidR="007D16A1">
        <w:t xml:space="preserve">or individual members </w:t>
      </w:r>
      <w:r w:rsidR="00EE06E8">
        <w:t>are</w:t>
      </w:r>
      <w:r w:rsidR="004550EB">
        <w:t xml:space="preserve"> represented in i</w:t>
      </w:r>
      <w:r w:rsidR="007711E5">
        <w:t xml:space="preserve">ts central governing bodies. </w:t>
      </w:r>
      <w:r w:rsidR="000630CA">
        <w:t>Likewise, i</w:t>
      </w:r>
      <w:r w:rsidR="007711E5">
        <w:t xml:space="preserve">t should be primarily </w:t>
      </w:r>
      <w:r w:rsidR="000630CA">
        <w:t xml:space="preserve">up to </w:t>
      </w:r>
      <w:r w:rsidR="007711E5">
        <w:t>the association</w:t>
      </w:r>
      <w:r w:rsidR="000630CA">
        <w:t xml:space="preserve"> itself</w:t>
      </w:r>
      <w:r w:rsidR="007711E5">
        <w:t xml:space="preserve"> and its members, and not the public authorities, to ensure that formalities of this type are observed in the manner specified in the association</w:t>
      </w:r>
      <w:r w:rsidR="000D7A2F">
        <w:t>’</w:t>
      </w:r>
      <w:r w:rsidR="007711E5">
        <w:t>s charter. The Court considers that, while t</w:t>
      </w:r>
      <w:r w:rsidR="004550EB">
        <w:t xml:space="preserve">he State </w:t>
      </w:r>
      <w:r w:rsidR="007711E5">
        <w:t xml:space="preserve">may </w:t>
      </w:r>
      <w:r w:rsidR="000630CA">
        <w:t>introduce</w:t>
      </w:r>
      <w:r w:rsidR="007711E5">
        <w:t xml:space="preserve"> certain minimum requirements as to the role and structure of associations</w:t>
      </w:r>
      <w:r w:rsidR="000D7A2F">
        <w:t>’</w:t>
      </w:r>
      <w:r w:rsidR="007711E5">
        <w:t xml:space="preserve"> governing bodies (see paragraph</w:t>
      </w:r>
      <w:r w:rsidR="008F0AF4">
        <w:t> </w:t>
      </w:r>
      <w:r w:rsidRPr="00A00353" w:rsidR="00363605">
        <w:t>73</w:t>
      </w:r>
      <w:r w:rsidR="007711E5">
        <w:t xml:space="preserve"> above), the </w:t>
      </w:r>
      <w:r w:rsidR="004550EB">
        <w:t xml:space="preserve">authorities </w:t>
      </w:r>
      <w:r w:rsidR="00EE06E8">
        <w:t xml:space="preserve">should not </w:t>
      </w:r>
      <w:r w:rsidR="004550EB">
        <w:t xml:space="preserve">intervene in the internal organisational </w:t>
      </w:r>
      <w:r w:rsidR="000630CA">
        <w:t>functioning</w:t>
      </w:r>
      <w:r w:rsidR="004550EB">
        <w:t xml:space="preserve"> of associations to such</w:t>
      </w:r>
      <w:r w:rsidR="008D0AEB">
        <w:t xml:space="preserve"> a</w:t>
      </w:r>
      <w:r w:rsidR="004550EB">
        <w:t xml:space="preserve"> far-reaching extent</w:t>
      </w:r>
      <w:r w:rsidR="000630CA">
        <w:t xml:space="preserve"> as to ensure observance by an association of every single formality provided by its own charter</w:t>
      </w:r>
      <w:r w:rsidR="004550EB">
        <w:t>.</w:t>
      </w:r>
    </w:p>
    <w:p w:rsidR="00636FD2" w:rsidRDefault="003407B6">
      <w:pPr>
        <w:pStyle w:val="JuPara"/>
      </w:pPr>
      <w:r>
        <w:fldChar w:fldCharType="begin"/>
      </w:r>
      <w:r>
        <w:instrText xml:space="preserve"> SEQ level0 \*arabic </w:instrText>
      </w:r>
      <w:r>
        <w:fldChar w:fldCharType="separate"/>
      </w:r>
      <w:r w:rsidR="00DA3181">
        <w:rPr>
          <w:noProof/>
        </w:rPr>
        <w:t>79</w:t>
      </w:r>
      <w:r>
        <w:fldChar w:fldCharType="end"/>
      </w:r>
      <w:r>
        <w:t>.  </w:t>
      </w:r>
      <w:r w:rsidR="006F57BF">
        <w:t xml:space="preserve">The Court further observes that, while the Ministry of Justice was vested with authority to initiate an action for the dissolution of the </w:t>
      </w:r>
      <w:smartTag w:uri="urn:schemas-microsoft-com:office:smarttags" w:element="PersonName">
        <w:r w:rsidR="006F57BF">
          <w:t>Association</w:t>
        </w:r>
      </w:smartTag>
      <w:r w:rsidR="006F57BF">
        <w:t xml:space="preserve">, it was for the domestic courts to decide whether it was justified to apply this sanction. They were therefore required to provide relevant and sufficient reasons for their decision (see paragraph </w:t>
      </w:r>
      <w:r w:rsidRPr="00A00353" w:rsidR="00363605">
        <w:t>68</w:t>
      </w:r>
      <w:r w:rsidR="006F57BF">
        <w:t xml:space="preserve"> above). In the present case, that requirement </w:t>
      </w:r>
      <w:r w:rsidR="009B6BA7">
        <w:t xml:space="preserve">first and foremost </w:t>
      </w:r>
      <w:r w:rsidR="006F57BF">
        <w:t>obliged the domestic courts to</w:t>
      </w:r>
      <w:r w:rsidR="009B6BA7">
        <w:t xml:space="preserve"> </w:t>
      </w:r>
      <w:r w:rsidR="006F57BF">
        <w:t xml:space="preserve">verify whether the allegations </w:t>
      </w:r>
      <w:r w:rsidR="008D0AEB">
        <w:t xml:space="preserve">made </w:t>
      </w:r>
      <w:r w:rsidR="006F57BF">
        <w:t xml:space="preserve">against the </w:t>
      </w:r>
      <w:smartTag w:uri="urn:schemas-microsoft-com:office:smarttags" w:element="PersonName">
        <w:r w:rsidR="006F57BF">
          <w:t>Association</w:t>
        </w:r>
      </w:smartTag>
      <w:r w:rsidR="006F57BF">
        <w:t xml:space="preserve"> by the Ministry of Justice were well-founded. This</w:t>
      </w:r>
      <w:r w:rsidR="002D5BAE">
        <w:t>,</w:t>
      </w:r>
      <w:r w:rsidR="006F57BF">
        <w:t xml:space="preserve"> however</w:t>
      </w:r>
      <w:r w:rsidR="002D5BAE">
        <w:t>,</w:t>
      </w:r>
      <w:r w:rsidR="006F57BF">
        <w:t xml:space="preserve"> has not been done in the present case. It appears that the only evidence assessed by the courts were the </w:t>
      </w:r>
      <w:r w:rsidR="009B6BA7">
        <w:t>submissions</w:t>
      </w:r>
      <w:r w:rsidR="006F57BF">
        <w:t xml:space="preserve"> of the parties, correspondence between the </w:t>
      </w:r>
      <w:smartTag w:uri="urn:schemas-microsoft-com:office:smarttags" w:element="PersonName">
        <w:r w:rsidR="006F57BF">
          <w:t>Association</w:t>
        </w:r>
      </w:smartTag>
      <w:r w:rsidR="006F57BF">
        <w:t xml:space="preserve"> and the Ministry of Justice, and the reports of the Ministry of Justice officials concerning the results of their inspection of the Association</w:t>
      </w:r>
      <w:r w:rsidR="000D7A2F">
        <w:t>’</w:t>
      </w:r>
      <w:r w:rsidR="006F57BF">
        <w:t xml:space="preserve">s activities. Having heard the parties, the courts </w:t>
      </w:r>
      <w:r w:rsidR="009B6BA7">
        <w:t>relied on</w:t>
      </w:r>
      <w:r w:rsidR="006F57BF">
        <w:t xml:space="preserve"> the </w:t>
      </w:r>
      <w:r w:rsidR="009B6BA7">
        <w:t>findings</w:t>
      </w:r>
      <w:r w:rsidR="006F57BF">
        <w:t xml:space="preserve"> of the </w:t>
      </w:r>
      <w:r w:rsidR="009B6BA7">
        <w:t xml:space="preserve">officials of the </w:t>
      </w:r>
      <w:r w:rsidR="006F57BF">
        <w:t xml:space="preserve">Ministry of Justice and </w:t>
      </w:r>
      <w:r w:rsidR="009B6BA7">
        <w:t xml:space="preserve">accepted them at their face value as constituting true facts, without </w:t>
      </w:r>
      <w:r w:rsidR="008D0AEB">
        <w:t xml:space="preserve">an </w:t>
      </w:r>
      <w:r w:rsidR="009B6BA7">
        <w:t>independent judicial inquiry.</w:t>
      </w:r>
      <w:r w:rsidR="0004282E">
        <w:t xml:space="preserve"> </w:t>
      </w:r>
      <w:r w:rsidR="009B6BA7">
        <w:t>Specifically, t</w:t>
      </w:r>
      <w:r w:rsidR="006F57BF">
        <w:t xml:space="preserve">here is no indication in the domestic judgments that the courts had ever attempted to </w:t>
      </w:r>
      <w:r w:rsidR="009B6BA7">
        <w:t>evaluate the merit of the Ministry</w:t>
      </w:r>
      <w:r w:rsidR="000D7A2F">
        <w:t>’</w:t>
      </w:r>
      <w:r w:rsidR="009B6BA7">
        <w:t xml:space="preserve">s </w:t>
      </w:r>
      <w:r w:rsidR="00EE06E8">
        <w:t>factual findings</w:t>
      </w:r>
      <w:r w:rsidR="009B6BA7">
        <w:t xml:space="preserve"> by </w:t>
      </w:r>
      <w:r w:rsidR="006F57BF">
        <w:t xml:space="preserve">independently </w:t>
      </w:r>
      <w:r w:rsidR="009B6BA7">
        <w:t xml:space="preserve">examining such evidence as the </w:t>
      </w:r>
      <w:r w:rsidR="00077E23">
        <w:t>minutes</w:t>
      </w:r>
      <w:r w:rsidR="009B6BA7">
        <w:t xml:space="preserve"> of the general assembly of 26</w:t>
      </w:r>
      <w:r w:rsidR="00AB2A4C">
        <w:t> </w:t>
      </w:r>
      <w:r w:rsidR="009B6BA7">
        <w:t>August 2002, the Association</w:t>
      </w:r>
      <w:r w:rsidR="000D7A2F">
        <w:t>’</w:t>
      </w:r>
      <w:r w:rsidR="009B6BA7">
        <w:t>s membership records, documents relating to the organisational structure of the Association</w:t>
      </w:r>
      <w:r w:rsidR="000D7A2F">
        <w:t>’</w:t>
      </w:r>
      <w:r w:rsidR="009B6BA7">
        <w:t xml:space="preserve">s </w:t>
      </w:r>
      <w:r w:rsidR="00566020">
        <w:t>branches</w:t>
      </w:r>
      <w:r w:rsidR="009B6BA7">
        <w:t xml:space="preserve">, </w:t>
      </w:r>
      <w:r w:rsidR="00014D50">
        <w:t>and so on</w:t>
      </w:r>
      <w:r w:rsidR="009B6BA7">
        <w:t>.</w:t>
      </w:r>
    </w:p>
    <w:p w:rsidR="00636FD2" w:rsidRDefault="006558EE">
      <w:pPr>
        <w:pStyle w:val="JuPara"/>
      </w:pPr>
      <w:r>
        <w:fldChar w:fldCharType="begin"/>
      </w:r>
      <w:r>
        <w:instrText xml:space="preserve"> SEQ level0 \*arabic </w:instrText>
      </w:r>
      <w:r>
        <w:fldChar w:fldCharType="separate"/>
      </w:r>
      <w:r w:rsidR="00DA3181">
        <w:rPr>
          <w:noProof/>
        </w:rPr>
        <w:t>80</w:t>
      </w:r>
      <w:r>
        <w:fldChar w:fldCharType="end"/>
      </w:r>
      <w:r>
        <w:t xml:space="preserve">.  Having regard to the above, the Court </w:t>
      </w:r>
      <w:r w:rsidR="008B393F">
        <w:t>considers</w:t>
      </w:r>
      <w:r>
        <w:t xml:space="preserve"> that, while it is undisputed that for around seven years the </w:t>
      </w:r>
      <w:smartTag w:uri="urn:schemas-microsoft-com:office:smarttags" w:element="PersonName">
        <w:r>
          <w:t>Association</w:t>
        </w:r>
      </w:smartTag>
      <w:r>
        <w:t xml:space="preserve"> was in breach of the legal requirement to regularly convene a general assembly of members, the authorities did not give due weight to its attempt to rectify the problem by convening </w:t>
      </w:r>
      <w:r w:rsidR="00077E23">
        <w:t xml:space="preserve">a </w:t>
      </w:r>
      <w:r>
        <w:t xml:space="preserve">general assembly on 26 August 2002. As to the other alleged breaches committed by the </w:t>
      </w:r>
      <w:smartTag w:uri="urn:schemas-microsoft-com:office:smarttags" w:element="PersonName">
        <w:r>
          <w:t>Association</w:t>
        </w:r>
      </w:smartTag>
      <w:r>
        <w:t xml:space="preserve"> (“unlawfulness” of the general assembly of 26 August 2002, deficiencies in membership records, </w:t>
      </w:r>
      <w:r w:rsidR="00014D50">
        <w:t>among other things</w:t>
      </w:r>
      <w:r>
        <w:t>), neither the domestic authorities, nor the Government in their observations before the</w:t>
      </w:r>
      <w:r w:rsidR="00ED6EFE">
        <w:t xml:space="preserve"> Court, have been able to prove</w:t>
      </w:r>
      <w:r>
        <w:t xml:space="preserve"> </w:t>
      </w:r>
      <w:r w:rsidR="00B7072A">
        <w:t>with</w:t>
      </w:r>
      <w:r>
        <w:t xml:space="preserve"> any </w:t>
      </w:r>
      <w:r w:rsidR="00B7072A">
        <w:t>sound</w:t>
      </w:r>
      <w:r>
        <w:t xml:space="preserve"> evidence that these breaches </w:t>
      </w:r>
      <w:r w:rsidR="00077E23">
        <w:t xml:space="preserve">did </w:t>
      </w:r>
      <w:r>
        <w:t>indeed take place</w:t>
      </w:r>
      <w:r w:rsidR="000630CA">
        <w:t xml:space="preserve"> and, if so, whether they constituted a compelling reason for the interference in question</w:t>
      </w:r>
      <w:r>
        <w:t>.</w:t>
      </w:r>
    </w:p>
    <w:p w:rsidR="00636FD2" w:rsidRDefault="00ED6EFE">
      <w:pPr>
        <w:pStyle w:val="JuPara"/>
      </w:pPr>
      <w:r>
        <w:fldChar w:fldCharType="begin"/>
      </w:r>
      <w:r>
        <w:instrText xml:space="preserve"> SEQ level0 \*arabic </w:instrText>
      </w:r>
      <w:r>
        <w:fldChar w:fldCharType="separate"/>
      </w:r>
      <w:r w:rsidR="00DA3181">
        <w:rPr>
          <w:noProof/>
        </w:rPr>
        <w:t>81</w:t>
      </w:r>
      <w:r>
        <w:fldChar w:fldCharType="end"/>
      </w:r>
      <w:r>
        <w:t xml:space="preserve">.  It therefore follows that, in respect of </w:t>
      </w:r>
      <w:r w:rsidR="009C15D6">
        <w:t>this</w:t>
      </w:r>
      <w:r>
        <w:t xml:space="preserve"> ground for the interference (breaches by the </w:t>
      </w:r>
      <w:smartTag w:uri="urn:schemas-microsoft-com:office:smarttags" w:element="PersonName">
        <w:r>
          <w:t>Association</w:t>
        </w:r>
      </w:smartTag>
      <w:r>
        <w:t xml:space="preserve"> of the domestic legal requirements on internal management), the reasons adduced by the national authorities to justify </w:t>
      </w:r>
      <w:r w:rsidR="009C15D6">
        <w:t>it</w:t>
      </w:r>
      <w:r>
        <w:t xml:space="preserve"> were not relevant and sufficient. </w:t>
      </w:r>
      <w:r w:rsidR="00C00807">
        <w:t xml:space="preserve">In such circumstances, the Court considers that </w:t>
      </w:r>
      <w:r w:rsidR="009C15D6">
        <w:t>the respondent State failed to demonstrate</w:t>
      </w:r>
      <w:r w:rsidR="00C00807">
        <w:t xml:space="preserve"> that the</w:t>
      </w:r>
      <w:r w:rsidR="009C15D6">
        <w:t xml:space="preserve"> interference met </w:t>
      </w:r>
      <w:r w:rsidR="00C00807">
        <w:t>a pressing social need.</w:t>
      </w:r>
    </w:p>
    <w:p w:rsidR="00636FD2" w:rsidRDefault="00973455">
      <w:pPr>
        <w:pStyle w:val="JuPara"/>
      </w:pPr>
      <w:r>
        <w:fldChar w:fldCharType="begin"/>
      </w:r>
      <w:r>
        <w:instrText xml:space="preserve"> SEQ level0 \*arabic </w:instrText>
      </w:r>
      <w:r>
        <w:fldChar w:fldCharType="separate"/>
      </w:r>
      <w:r w:rsidR="00DA3181">
        <w:rPr>
          <w:noProof/>
        </w:rPr>
        <w:t>82</w:t>
      </w:r>
      <w:r>
        <w:fldChar w:fldCharType="end"/>
      </w:r>
      <w:r>
        <w:t>.  </w:t>
      </w:r>
      <w:r w:rsidR="000630CA">
        <w:t xml:space="preserve">Moreover, </w:t>
      </w:r>
      <w:r>
        <w:t>the interference did not</w:t>
      </w:r>
      <w:r w:rsidR="00077E23">
        <w:t>,</w:t>
      </w:r>
      <w:r w:rsidRPr="00077E23" w:rsidR="00077E23">
        <w:t xml:space="preserve"> </w:t>
      </w:r>
      <w:r w:rsidR="00077E23">
        <w:t>in any event,</w:t>
      </w:r>
      <w:r>
        <w:t xml:space="preserve"> comply with the “proportionality” requirement. </w:t>
      </w:r>
      <w:r w:rsidR="00C00807">
        <w:t xml:space="preserve">In this connection </w:t>
      </w:r>
      <w:r w:rsidR="008D2659">
        <w:t xml:space="preserve">the Court considers </w:t>
      </w:r>
      <w:r w:rsidR="00C00807">
        <w:t xml:space="preserve">that the nature and severity of the sanction imposed are factors to be taken into account when assessing the proportionality of the interference (see, </w:t>
      </w:r>
      <w:r w:rsidR="00C00807">
        <w:rPr>
          <w:rStyle w:val="ju-005fpara--char"/>
          <w:i/>
          <w:iCs/>
        </w:rPr>
        <w:t>mutatis mutandis</w:t>
      </w:r>
      <w:r w:rsidR="00C00807">
        <w:t xml:space="preserve">, </w:t>
      </w:r>
      <w:r w:rsidRPr="00D729A6" w:rsidR="00D729A6">
        <w:rPr>
          <w:i/>
          <w:lang w:eastAsia="en-US"/>
        </w:rPr>
        <w:t>Mahmudov and Agazade</w:t>
      </w:r>
      <w:r w:rsidRPr="00D729A6" w:rsidR="00D729A6">
        <w:rPr>
          <w:lang w:eastAsia="en-US"/>
        </w:rPr>
        <w:t xml:space="preserve"> </w:t>
      </w:r>
      <w:r w:rsidRPr="00D729A6" w:rsidR="00D729A6">
        <w:rPr>
          <w:i/>
          <w:lang w:val="pt-BR" w:eastAsia="en-US"/>
        </w:rPr>
        <w:t xml:space="preserve">v. </w:t>
      </w:r>
      <w:smartTag w:uri="urn:schemas-microsoft-com:office:smarttags" w:element="place">
        <w:smartTag w:uri="urn:schemas-microsoft-com:office:smarttags" w:element="country-region">
          <w:r w:rsidR="00D729A6" w:rsidRPr="00D729A6">
            <w:rPr>
              <w:i/>
              <w:lang w:val="pt-BR" w:eastAsia="en-US"/>
            </w:rPr>
            <w:t>Azerbaijan</w:t>
          </w:r>
        </w:smartTag>
      </w:smartTag>
      <w:r w:rsidRPr="00D729A6" w:rsidR="00D729A6">
        <w:rPr>
          <w:lang w:val="pt-BR" w:eastAsia="en-US"/>
        </w:rPr>
        <w:t xml:space="preserve">, no. 35877/04, </w:t>
      </w:r>
      <w:r w:rsidRPr="00D729A6" w:rsidR="00D729A6">
        <w:rPr>
          <w:lang w:eastAsia="en-US"/>
        </w:rPr>
        <w:t xml:space="preserve">§ </w:t>
      </w:r>
      <w:r w:rsidR="00D729A6">
        <w:rPr>
          <w:lang w:eastAsia="en-US"/>
        </w:rPr>
        <w:t>48</w:t>
      </w:r>
      <w:r w:rsidRPr="00D729A6" w:rsidR="00D729A6">
        <w:rPr>
          <w:lang w:eastAsia="en-US"/>
        </w:rPr>
        <w:t>, 18</w:t>
      </w:r>
      <w:r w:rsidR="00C83544">
        <w:rPr>
          <w:lang w:eastAsia="en-US"/>
        </w:rPr>
        <w:t> </w:t>
      </w:r>
      <w:r w:rsidRPr="00D729A6" w:rsidR="00D729A6">
        <w:rPr>
          <w:lang w:eastAsia="en-US"/>
        </w:rPr>
        <w:t>December 2008</w:t>
      </w:r>
      <w:r w:rsidR="00C00807">
        <w:t>).</w:t>
      </w:r>
      <w:r w:rsidR="008D2659">
        <w:t xml:space="preserve"> In the present case, </w:t>
      </w:r>
      <w:r w:rsidR="009C15D6">
        <w:t xml:space="preserve">forced </w:t>
      </w:r>
      <w:r w:rsidR="008D2659">
        <w:t xml:space="preserve">dissolution was the only sanction available under the domestic law in respect of public associations found to have breached the requirements of the NGO Act and, accordingly, this sanction could be applied indiscriminately without regard to the gravity of the breach in question. </w:t>
      </w:r>
      <w:r w:rsidR="00D729A6">
        <w:t xml:space="preserve">The Court considers that a mere failure to respect certain legal requirements on internal management of </w:t>
      </w:r>
      <w:r w:rsidR="00014D50">
        <w:t>NGOs</w:t>
      </w:r>
      <w:r w:rsidR="00D729A6">
        <w:t xml:space="preserve"> c</w:t>
      </w:r>
      <w:r w:rsidR="002E6DEA">
        <w:t>annot be considered such</w:t>
      </w:r>
      <w:r w:rsidR="00D729A6">
        <w:t xml:space="preserve"> serious misconduct </w:t>
      </w:r>
      <w:r w:rsidR="002E6DEA">
        <w:t xml:space="preserve">as to </w:t>
      </w:r>
      <w:r w:rsidR="00D729A6">
        <w:t>warrant outright dissolution. Therefore, e</w:t>
      </w:r>
      <w:r w:rsidR="00BB4386">
        <w:t>ven if the Court were to assume that there were</w:t>
      </w:r>
      <w:r w:rsidR="008D2659">
        <w:t xml:space="preserve"> compelling reasons for the interference, </w:t>
      </w:r>
      <w:r w:rsidR="00942E56">
        <w:t xml:space="preserve">it considers that </w:t>
      </w:r>
      <w:r w:rsidR="008D2659">
        <w:t xml:space="preserve">the immediate and permanent dissolution of the </w:t>
      </w:r>
      <w:smartTag w:uri="urn:schemas-microsoft-com:office:smarttags" w:element="PersonName">
        <w:r w:rsidR="008D2659">
          <w:t>Association</w:t>
        </w:r>
      </w:smartTag>
      <w:r w:rsidR="008D2659">
        <w:t xml:space="preserve"> constituted a drastic measure </w:t>
      </w:r>
      <w:r w:rsidR="00BB4386">
        <w:t xml:space="preserve">disproportionate to the legitimate aim pursued. </w:t>
      </w:r>
      <w:r w:rsidR="00E447C6">
        <w:t xml:space="preserve">Greater flexibility in choosing a more proportionate sanction could be achieved </w:t>
      </w:r>
      <w:r w:rsidRPr="000630CA" w:rsidR="00BB4386">
        <w:t xml:space="preserve">by introducing into the domestic law less radical </w:t>
      </w:r>
      <w:r w:rsidRPr="000630CA" w:rsidR="00E447C6">
        <w:t xml:space="preserve">alternative </w:t>
      </w:r>
      <w:r w:rsidRPr="000630CA" w:rsidR="00BB4386">
        <w:t>sanctions</w:t>
      </w:r>
      <w:r w:rsidR="00077E23">
        <w:t>,</w:t>
      </w:r>
      <w:r w:rsidRPr="000630CA" w:rsidR="00BB4386">
        <w:t xml:space="preserve"> such as a fine or </w:t>
      </w:r>
      <w:r w:rsidRPr="000630CA" w:rsidR="00E447C6">
        <w:t>withdrawal of tax benefits</w:t>
      </w:r>
      <w:r w:rsidRPr="000630CA" w:rsidR="00BB4386">
        <w:t xml:space="preserve"> (see paragraph </w:t>
      </w:r>
      <w:r w:rsidRPr="00A00353" w:rsidR="00363605">
        <w:t>43</w:t>
      </w:r>
      <w:r w:rsidRPr="000630CA" w:rsidR="00BB4386">
        <w:t xml:space="preserve"> </w:t>
      </w:r>
      <w:r w:rsidR="000630CA">
        <w:t xml:space="preserve">above </w:t>
      </w:r>
      <w:r w:rsidRPr="000630CA" w:rsidR="00BB4386">
        <w:t xml:space="preserve">for </w:t>
      </w:r>
      <w:r w:rsidRPr="000630CA" w:rsidR="00942E56">
        <w:t xml:space="preserve">examples of </w:t>
      </w:r>
      <w:r w:rsidRPr="000630CA" w:rsidR="00E447C6">
        <w:t xml:space="preserve">alternative </w:t>
      </w:r>
      <w:r w:rsidRPr="000630CA" w:rsidR="00942E56">
        <w:t xml:space="preserve">sanctions available in other </w:t>
      </w:r>
      <w:r w:rsidR="00077E23">
        <w:t>m</w:t>
      </w:r>
      <w:r w:rsidRPr="000630CA" w:rsidR="00942E56">
        <w:t>ember States of the Council of Europe).</w:t>
      </w:r>
    </w:p>
    <w:p w:rsidR="00636FD2" w:rsidRDefault="00942E56">
      <w:pPr>
        <w:pStyle w:val="JuPara"/>
      </w:pPr>
      <w:r>
        <w:fldChar w:fldCharType="begin"/>
      </w:r>
      <w:r>
        <w:instrText xml:space="preserve"> SEQ level0 \*arabic </w:instrText>
      </w:r>
      <w:r>
        <w:fldChar w:fldCharType="separate"/>
      </w:r>
      <w:r w:rsidR="00DA3181">
        <w:rPr>
          <w:noProof/>
        </w:rPr>
        <w:t>83</w:t>
      </w:r>
      <w:r>
        <w:fldChar w:fldCharType="end"/>
      </w:r>
      <w:r>
        <w:t xml:space="preserve">.  In sum, the Court finds that the order to dissolve the </w:t>
      </w:r>
      <w:smartTag w:uri="urn:schemas-microsoft-com:office:smarttags" w:element="PersonName">
        <w:r>
          <w:t>Association</w:t>
        </w:r>
      </w:smartTag>
      <w:r>
        <w:t xml:space="preserve"> on the ground of the alleged breaches of the domestic legal requirements on internal management of </w:t>
      </w:r>
      <w:r w:rsidR="00014D50">
        <w:t>NGOs</w:t>
      </w:r>
      <w:r>
        <w:t xml:space="preserve"> was not </w:t>
      </w:r>
      <w:r w:rsidR="009C15D6">
        <w:t>justified by</w:t>
      </w:r>
      <w:r>
        <w:t xml:space="preserve"> compelling reasons and was disproportionate to the legitimate aim pursued.</w:t>
      </w:r>
    </w:p>
    <w:p w:rsidR="00D624C2" w:rsidP="00AF60D4" w:rsidRDefault="00D624C2">
      <w:pPr>
        <w:pStyle w:val="JuHalpha"/>
        <w:outlineLvl w:val="0"/>
      </w:pPr>
      <w:r>
        <w:t>(β)  </w:t>
      </w:r>
      <w:r w:rsidR="00AA0A4F">
        <w:t>Engagement in “activities prohibited by law”</w:t>
      </w:r>
    </w:p>
    <w:p w:rsidR="00636FD2" w:rsidRDefault="009C15D6">
      <w:pPr>
        <w:pStyle w:val="JuPara"/>
      </w:pPr>
      <w:r>
        <w:fldChar w:fldCharType="begin"/>
      </w:r>
      <w:r>
        <w:instrText xml:space="preserve"> SEQ level0 \*arabic </w:instrText>
      </w:r>
      <w:r>
        <w:fldChar w:fldCharType="separate"/>
      </w:r>
      <w:r w:rsidR="00DA3181">
        <w:rPr>
          <w:noProof/>
        </w:rPr>
        <w:t>84</w:t>
      </w:r>
      <w:r>
        <w:fldChar w:fldCharType="end"/>
      </w:r>
      <w:r>
        <w:t>.  Under this ground for the Association</w:t>
      </w:r>
      <w:r w:rsidR="000D7A2F">
        <w:t>’</w:t>
      </w:r>
      <w:r>
        <w:t xml:space="preserve">s dissolution, the Ministry of Justice and </w:t>
      </w:r>
      <w:r w:rsidR="00077E23">
        <w:t xml:space="preserve">the </w:t>
      </w:r>
      <w:r>
        <w:t>domestic courts found that the Association</w:t>
      </w:r>
      <w:r w:rsidR="00BB66FC">
        <w:t xml:space="preserve"> had</w:t>
      </w:r>
      <w:r>
        <w:t xml:space="preserve"> engaged in activities in which non-commercial organisations were prohibited to engage by law. </w:t>
      </w:r>
      <w:r w:rsidR="00097386">
        <w:t xml:space="preserve">In particular, the </w:t>
      </w:r>
      <w:smartTag w:uri="urn:schemas-microsoft-com:office:smarttags" w:element="PersonName">
        <w:r w:rsidR="00097386">
          <w:t>Association</w:t>
        </w:r>
      </w:smartTag>
      <w:r w:rsidR="00097386">
        <w:t xml:space="preserve"> was accused of having attempted to collect money from State organs and commercial organisations </w:t>
      </w:r>
      <w:r w:rsidR="00BB66FC">
        <w:t xml:space="preserve">in </w:t>
      </w:r>
      <w:r w:rsidR="00097386">
        <w:t xml:space="preserve">the guise of membership fees, conducted unlawful inspections at various organisations, and engaged in </w:t>
      </w:r>
      <w:r w:rsidR="00E93813">
        <w:t>“</w:t>
      </w:r>
      <w:r w:rsidR="00097386">
        <w:t xml:space="preserve">other illegal acts interfering with the rights of entrepreneurs” (see paragraphs </w:t>
      </w:r>
      <w:r w:rsidRPr="00E964C6" w:rsidR="00363605">
        <w:t>18</w:t>
      </w:r>
      <w:r w:rsidRPr="00E964C6" w:rsidR="00097386">
        <w:t xml:space="preserve"> and </w:t>
      </w:r>
      <w:r w:rsidRPr="00E964C6" w:rsidR="00363605">
        <w:t>24</w:t>
      </w:r>
      <w:r w:rsidR="00097386">
        <w:t xml:space="preserve"> above).</w:t>
      </w:r>
    </w:p>
    <w:p w:rsidR="00636FD2" w:rsidRDefault="00060FE2">
      <w:pPr>
        <w:pStyle w:val="JuPara"/>
      </w:pPr>
      <w:r>
        <w:fldChar w:fldCharType="begin"/>
      </w:r>
      <w:r>
        <w:instrText xml:space="preserve"> SEQ level0 \*arabic </w:instrText>
      </w:r>
      <w:r>
        <w:fldChar w:fldCharType="separate"/>
      </w:r>
      <w:r w:rsidR="00DA3181">
        <w:rPr>
          <w:noProof/>
        </w:rPr>
        <w:t>85</w:t>
      </w:r>
      <w:r>
        <w:fldChar w:fldCharType="end"/>
      </w:r>
      <w:r>
        <w:t>.  The Court observes at the outset that, while it appears that at least some of the above allegations, if proven, would entail criminal responsibility of the Association</w:t>
      </w:r>
      <w:r w:rsidR="000D7A2F">
        <w:t>’</w:t>
      </w:r>
      <w:r>
        <w:t>s managers or members implicated in the alleged unlawful actions, no criminal proceedings have ever been instituted in connection with these allegations.</w:t>
      </w:r>
      <w:r w:rsidR="00566CEE">
        <w:t xml:space="preserve"> </w:t>
      </w:r>
      <w:r w:rsidR="00240913">
        <w:t>This fact</w:t>
      </w:r>
      <w:r w:rsidRPr="00BB66FC" w:rsidR="00BB66FC">
        <w:t xml:space="preserve"> </w:t>
      </w:r>
      <w:r w:rsidR="00BB66FC">
        <w:t>is</w:t>
      </w:r>
      <w:r w:rsidR="00240913">
        <w:t>, in itself, indicative of lack of sound evidence supporting the authorities</w:t>
      </w:r>
      <w:r w:rsidR="000D7A2F">
        <w:t>’</w:t>
      </w:r>
      <w:r w:rsidR="00240913">
        <w:t xml:space="preserve"> findings.</w:t>
      </w:r>
    </w:p>
    <w:p w:rsidR="00636FD2" w:rsidRDefault="00097386">
      <w:pPr>
        <w:pStyle w:val="JuPara"/>
      </w:pPr>
      <w:r>
        <w:fldChar w:fldCharType="begin"/>
      </w:r>
      <w:r>
        <w:instrText xml:space="preserve"> SEQ level0 \*arabic </w:instrText>
      </w:r>
      <w:r>
        <w:fldChar w:fldCharType="separate"/>
      </w:r>
      <w:r w:rsidR="00DA3181">
        <w:rPr>
          <w:noProof/>
        </w:rPr>
        <w:t>86</w:t>
      </w:r>
      <w:r>
        <w:fldChar w:fldCharType="end"/>
      </w:r>
      <w:r>
        <w:t xml:space="preserve">.  The Court </w:t>
      </w:r>
      <w:r w:rsidR="00060FE2">
        <w:t xml:space="preserve">further </w:t>
      </w:r>
      <w:r>
        <w:t>notes that neither the third warning of the Ministry of Justice</w:t>
      </w:r>
      <w:r w:rsidR="00BB66FC">
        <w:t>,</w:t>
      </w:r>
      <w:r>
        <w:t xml:space="preserve"> in which the above allegations were made, nor the Ministry</w:t>
      </w:r>
      <w:r w:rsidR="000D7A2F">
        <w:t>’</w:t>
      </w:r>
      <w:r>
        <w:t xml:space="preserve">s submissions to the domestic courts in connection with its request to dissolve the Association contained any </w:t>
      </w:r>
      <w:r w:rsidR="004C26F9">
        <w:t xml:space="preserve">specific </w:t>
      </w:r>
      <w:r>
        <w:t xml:space="preserve">evidence proving these allegations. Moreover, the allegations </w:t>
      </w:r>
      <w:r w:rsidR="009B3983">
        <w:t xml:space="preserve">themselves </w:t>
      </w:r>
      <w:r>
        <w:t xml:space="preserve">were extremely vague, briefly worded and offered little insight </w:t>
      </w:r>
      <w:r w:rsidR="00BB66FC">
        <w:t>in</w:t>
      </w:r>
      <w:r>
        <w:t xml:space="preserve">to the details of the alleged </w:t>
      </w:r>
      <w:r w:rsidR="00003ABF">
        <w:t>illegal</w:t>
      </w:r>
      <w:r>
        <w:t xml:space="preserve"> activities.</w:t>
      </w:r>
    </w:p>
    <w:p w:rsidR="0004282E" w:rsidRDefault="009B3983">
      <w:pPr>
        <w:pStyle w:val="JuPara"/>
      </w:pPr>
      <w:r>
        <w:fldChar w:fldCharType="begin"/>
      </w:r>
      <w:r>
        <w:instrText xml:space="preserve"> SEQ level0 \*arabic </w:instrText>
      </w:r>
      <w:r>
        <w:fldChar w:fldCharType="separate"/>
      </w:r>
      <w:r w:rsidR="00DA3181">
        <w:rPr>
          <w:noProof/>
        </w:rPr>
        <w:t>87</w:t>
      </w:r>
      <w:r>
        <w:fldChar w:fldCharType="end"/>
      </w:r>
      <w:r>
        <w:t>.  </w:t>
      </w:r>
      <w:r w:rsidR="00060FE2">
        <w:t>T</w:t>
      </w:r>
      <w:r>
        <w:t>he domestic courts accepted the</w:t>
      </w:r>
      <w:r w:rsidR="00C73EAB">
        <w:t xml:space="preserve"> above</w:t>
      </w:r>
      <w:r>
        <w:t xml:space="preserve"> allegations as </w:t>
      </w:r>
      <w:r w:rsidR="00003ABF">
        <w:t>true</w:t>
      </w:r>
      <w:r>
        <w:t xml:space="preserve">, without any independent judicial inquiry and without </w:t>
      </w:r>
      <w:r w:rsidR="004A3FAF">
        <w:t>examining</w:t>
      </w:r>
      <w:r>
        <w:t xml:space="preserve"> a</w:t>
      </w:r>
      <w:r w:rsidR="004A3FAF">
        <w:t>ny</w:t>
      </w:r>
      <w:r>
        <w:t xml:space="preserve"> </w:t>
      </w:r>
      <w:r w:rsidR="004C26F9">
        <w:t xml:space="preserve">direct </w:t>
      </w:r>
      <w:r>
        <w:t xml:space="preserve">evidence of the misconduct alleged. </w:t>
      </w:r>
      <w:r w:rsidRPr="00AA08EB" w:rsidR="004C26F9">
        <w:t xml:space="preserve">The </w:t>
      </w:r>
      <w:r w:rsidR="00003ABF">
        <w:t>Yasamal District Court</w:t>
      </w:r>
      <w:r w:rsidRPr="00AA08EB" w:rsidR="004C26F9">
        <w:t xml:space="preserve"> had regard </w:t>
      </w:r>
      <w:r w:rsidRPr="00AA08EB" w:rsidR="00003ABF">
        <w:t xml:space="preserve">only </w:t>
      </w:r>
      <w:r w:rsidRPr="00AA08EB" w:rsidR="004C26F9">
        <w:t xml:space="preserve">to </w:t>
      </w:r>
      <w:r w:rsidRPr="00AA08EB" w:rsidR="00566CEE">
        <w:t>the content of the Ministry</w:t>
      </w:r>
      <w:r w:rsidR="000D7A2F">
        <w:t>’</w:t>
      </w:r>
      <w:r w:rsidRPr="00AA08EB" w:rsidR="00566CEE">
        <w:t>s third warning letter, heard</w:t>
      </w:r>
      <w:r w:rsidR="00BB66FC">
        <w:t xml:space="preserve"> evidence from</w:t>
      </w:r>
      <w:r w:rsidRPr="00AA08EB" w:rsidR="00566CEE">
        <w:t xml:space="preserve"> the </w:t>
      </w:r>
      <w:r w:rsidR="006A6094">
        <w:t>h</w:t>
      </w:r>
      <w:r w:rsidRPr="00AA08EB" w:rsidR="00566CEE">
        <w:t>ead of the Ministry</w:t>
      </w:r>
      <w:r w:rsidR="000D7A2F">
        <w:t>’</w:t>
      </w:r>
      <w:r w:rsidRPr="00AA08EB" w:rsidR="00566CEE">
        <w:t xml:space="preserve">s Department of State Registration of Legal Entities (who merely reiterated the content of the third warning letter), and examined an internal inspection report of </w:t>
      </w:r>
      <w:r w:rsidRPr="00AA08EB" w:rsidR="00AA08EB">
        <w:t>a</w:t>
      </w:r>
      <w:r w:rsidRPr="00AA08EB" w:rsidR="00566CEE">
        <w:t xml:space="preserve"> Ministry of Justice official, which mentioned, in very brief terms, that the Association</w:t>
      </w:r>
      <w:r w:rsidR="000D7A2F">
        <w:t>’</w:t>
      </w:r>
      <w:r w:rsidRPr="00AA08EB" w:rsidR="00566CEE">
        <w:t xml:space="preserve">s </w:t>
      </w:r>
      <w:r w:rsidR="00003ABF">
        <w:t>branch</w:t>
      </w:r>
      <w:r w:rsidRPr="00AA08EB" w:rsidR="00566CEE">
        <w:t xml:space="preserve"> in the Tovuz </w:t>
      </w:r>
      <w:r w:rsidR="006A6094">
        <w:t>r</w:t>
      </w:r>
      <w:r w:rsidRPr="00AA08EB" w:rsidR="00566CEE">
        <w:t xml:space="preserve">egion engaged in some illegal activities (see paragraph </w:t>
      </w:r>
      <w:r w:rsidRPr="00E964C6" w:rsidR="00363605">
        <w:t>22</w:t>
      </w:r>
      <w:r w:rsidRPr="00E964C6" w:rsidR="00566CEE">
        <w:t xml:space="preserve"> </w:t>
      </w:r>
      <w:r w:rsidRPr="00E964C6" w:rsidR="00566CEE">
        <w:rPr>
          <w:i/>
        </w:rPr>
        <w:t>in fine</w:t>
      </w:r>
      <w:r w:rsidRPr="00AA08EB" w:rsidR="00566CEE">
        <w:t xml:space="preserve"> above).</w:t>
      </w:r>
    </w:p>
    <w:p w:rsidR="00636FD2" w:rsidRDefault="004C26F9">
      <w:pPr>
        <w:pStyle w:val="JuPara"/>
      </w:pPr>
      <w:r>
        <w:fldChar w:fldCharType="begin"/>
      </w:r>
      <w:r>
        <w:instrText xml:space="preserve"> SEQ level0 \*arabic </w:instrText>
      </w:r>
      <w:r>
        <w:fldChar w:fldCharType="separate"/>
      </w:r>
      <w:r w:rsidR="00DA3181">
        <w:rPr>
          <w:noProof/>
        </w:rPr>
        <w:t>88</w:t>
      </w:r>
      <w:r>
        <w:fldChar w:fldCharType="end"/>
      </w:r>
      <w:r>
        <w:t xml:space="preserve">.  However, </w:t>
      </w:r>
      <w:r w:rsidRPr="00AA08EB">
        <w:t xml:space="preserve">neither the </w:t>
      </w:r>
      <w:r w:rsidRPr="00AA08EB" w:rsidR="00566CEE">
        <w:t>submissions of the</w:t>
      </w:r>
      <w:r w:rsidRPr="00AA08EB">
        <w:t xml:space="preserve"> Ministry of Justice officials nor the </w:t>
      </w:r>
      <w:proofErr w:type="spellStart"/>
      <w:r w:rsidRPr="00AA08EB" w:rsidR="00566CEE">
        <w:t>Yasamal</w:t>
      </w:r>
      <w:proofErr w:type="spellEnd"/>
      <w:r w:rsidRPr="00AA08EB" w:rsidR="00566CEE">
        <w:t xml:space="preserve"> District Court</w:t>
      </w:r>
      <w:r w:rsidR="000D7A2F">
        <w:t>’</w:t>
      </w:r>
      <w:r w:rsidRPr="00AA08EB" w:rsidR="00566CEE">
        <w:t>s judgment</w:t>
      </w:r>
      <w:r w:rsidRPr="00AA08EB">
        <w:t xml:space="preserve"> itself </w:t>
      </w:r>
      <w:r w:rsidRPr="00AA08EB" w:rsidR="009B3983">
        <w:t>ever</w:t>
      </w:r>
      <w:r w:rsidR="009B3983">
        <w:t xml:space="preserve"> mentioned who </w:t>
      </w:r>
      <w:r w:rsidR="00566CEE">
        <w:t>specifically</w:t>
      </w:r>
      <w:r w:rsidR="009B3983">
        <w:t xml:space="preserve"> (</w:t>
      </w:r>
      <w:r w:rsidR="00BB66FC">
        <w:t>that is,</w:t>
      </w:r>
      <w:r w:rsidR="009B3983">
        <w:t xml:space="preserve"> which person affiliated </w:t>
      </w:r>
      <w:r w:rsidR="00BB66FC">
        <w:t xml:space="preserve">to </w:t>
      </w:r>
      <w:r w:rsidR="009B3983">
        <w:t xml:space="preserve">the </w:t>
      </w:r>
      <w:smartTag w:uri="urn:schemas-microsoft-com:office:smarttags" w:element="PersonName">
        <w:r w:rsidR="009B3983">
          <w:t>Association</w:t>
        </w:r>
      </w:smartTag>
      <w:r w:rsidR="009B3983">
        <w:t>)</w:t>
      </w:r>
      <w:r w:rsidR="00BB66FC">
        <w:t xml:space="preserve"> had</w:t>
      </w:r>
      <w:r w:rsidR="009B3983">
        <w:t xml:space="preserve"> attempted to unlawfully collect money</w:t>
      </w:r>
      <w:r w:rsidR="00E93813">
        <w:t xml:space="preserve"> </w:t>
      </w:r>
      <w:r w:rsidR="00BB66FC">
        <w:t xml:space="preserve">in </w:t>
      </w:r>
      <w:r w:rsidR="00E93813">
        <w:t>the guise of membership fees. It was never mentioned</w:t>
      </w:r>
      <w:r w:rsidR="009B3983">
        <w:t xml:space="preserve"> </w:t>
      </w:r>
      <w:r w:rsidR="00E93813">
        <w:t xml:space="preserve">when exactly these attempts were made, </w:t>
      </w:r>
      <w:r w:rsidR="009B3983">
        <w:t>and</w:t>
      </w:r>
      <w:r w:rsidR="003D2797">
        <w:t xml:space="preserve"> from</w:t>
      </w:r>
      <w:r w:rsidR="009B3983">
        <w:t xml:space="preserve"> which specific State organ or commercial organisation</w:t>
      </w:r>
      <w:r w:rsidR="00E93813">
        <w:t xml:space="preserve"> the money was unlawfully collected</w:t>
      </w:r>
      <w:r w:rsidR="009B3983">
        <w:t xml:space="preserve">. No </w:t>
      </w:r>
      <w:r w:rsidR="003D2797">
        <w:t xml:space="preserve">direct </w:t>
      </w:r>
      <w:r w:rsidR="009B3983">
        <w:t xml:space="preserve">victims or other witnesses of this misconduct were </w:t>
      </w:r>
      <w:r w:rsidR="00BB66FC">
        <w:t xml:space="preserve">examined </w:t>
      </w:r>
      <w:r w:rsidR="00E93813">
        <w:t>in court</w:t>
      </w:r>
      <w:r w:rsidR="009B3983">
        <w:t xml:space="preserve">, no written complaints were examined, and no other direct evidence was produced. Likewise, no evidence was produced or examined as to when exactly, by which </w:t>
      </w:r>
      <w:r w:rsidR="00003ABF">
        <w:t>directly responsible individuals</w:t>
      </w:r>
      <w:r w:rsidR="009B3983">
        <w:t>, and in which specific organisations the alleged “unlawful inspections” ha</w:t>
      </w:r>
      <w:r w:rsidR="00E93813">
        <w:t>d</w:t>
      </w:r>
      <w:r w:rsidR="009B3983">
        <w:t xml:space="preserve"> been carried out. </w:t>
      </w:r>
      <w:r w:rsidR="00E93813">
        <w:t xml:space="preserve">Lastly, </w:t>
      </w:r>
      <w:r w:rsidR="00BB66FC">
        <w:t xml:space="preserve">there </w:t>
      </w:r>
      <w:r w:rsidR="00E93813">
        <w:t>was no</w:t>
      </w:r>
      <w:r w:rsidR="00BB66FC">
        <w:t xml:space="preserve"> explanation</w:t>
      </w:r>
      <w:r w:rsidR="00731C48">
        <w:t xml:space="preserve"> at all</w:t>
      </w:r>
      <w:r w:rsidR="00BB66FC">
        <w:t xml:space="preserve"> as to what was</w:t>
      </w:r>
      <w:r w:rsidR="00E93813">
        <w:t xml:space="preserve"> </w:t>
      </w:r>
      <w:r w:rsidR="003D5213">
        <w:t>specifically meant by</w:t>
      </w:r>
      <w:r w:rsidR="00E93813">
        <w:t xml:space="preserve"> “other illegal acts interfering with the rights of entrepreneurs”.</w:t>
      </w:r>
    </w:p>
    <w:p w:rsidR="009B3983" w:rsidRDefault="003D2797">
      <w:pPr>
        <w:pStyle w:val="JuPara"/>
      </w:pPr>
      <w:r>
        <w:fldChar w:fldCharType="begin"/>
      </w:r>
      <w:r>
        <w:instrText xml:space="preserve"> SEQ level0 \*arabic </w:instrText>
      </w:r>
      <w:r>
        <w:fldChar w:fldCharType="separate"/>
      </w:r>
      <w:r w:rsidR="00DA3181">
        <w:rPr>
          <w:noProof/>
        </w:rPr>
        <w:t>89</w:t>
      </w:r>
      <w:r>
        <w:fldChar w:fldCharType="end"/>
      </w:r>
      <w:r>
        <w:t>.  </w:t>
      </w:r>
      <w:r w:rsidR="00731C48">
        <w:t>P</w:t>
      </w:r>
      <w:r>
        <w:t>ut</w:t>
      </w:r>
      <w:r w:rsidR="00731C48">
        <w:t xml:space="preserve"> simply</w:t>
      </w:r>
      <w:r>
        <w:t>,</w:t>
      </w:r>
      <w:r w:rsidR="004A3FAF">
        <w:t xml:space="preserve"> the </w:t>
      </w:r>
      <w:r>
        <w:t xml:space="preserve">fact of the </w:t>
      </w:r>
      <w:r w:rsidR="004A3FAF">
        <w:t>Association</w:t>
      </w:r>
      <w:r w:rsidR="000D7A2F">
        <w:t>’</w:t>
      </w:r>
      <w:r w:rsidR="004A3FAF">
        <w:t xml:space="preserve">s alleged engagement </w:t>
      </w:r>
      <w:r>
        <w:t>“</w:t>
      </w:r>
      <w:r w:rsidR="004A3FAF">
        <w:t>in activities prohibited by law</w:t>
      </w:r>
      <w:r>
        <w:t>” was</w:t>
      </w:r>
      <w:r w:rsidR="004A3FAF">
        <w:t xml:space="preserve"> unproven</w:t>
      </w:r>
      <w:r>
        <w:t>. In such circumstances, the domestic courts</w:t>
      </w:r>
      <w:r w:rsidR="000D7A2F">
        <w:t>’</w:t>
      </w:r>
      <w:r>
        <w:t xml:space="preserve"> decision to dissolve the </w:t>
      </w:r>
      <w:smartTag w:uri="urn:schemas-microsoft-com:office:smarttags" w:element="PersonName">
        <w:r>
          <w:t>Association</w:t>
        </w:r>
      </w:smartTag>
      <w:r>
        <w:t xml:space="preserve"> on this ground</w:t>
      </w:r>
      <w:r w:rsidRPr="008D7F8D" w:rsidR="008D7F8D">
        <w:t xml:space="preserve"> </w:t>
      </w:r>
      <w:r w:rsidR="008D7F8D">
        <w:t>is</w:t>
      </w:r>
      <w:r>
        <w:t>, in the Court</w:t>
      </w:r>
      <w:r w:rsidR="000D7A2F">
        <w:t>’</w:t>
      </w:r>
      <w:r>
        <w:t>s view, nothing short of arbitrary.</w:t>
      </w:r>
    </w:p>
    <w:p w:rsidR="00636FD2" w:rsidRDefault="00060FE2">
      <w:pPr>
        <w:pStyle w:val="JuPara"/>
      </w:pPr>
      <w:r>
        <w:fldChar w:fldCharType="begin"/>
      </w:r>
      <w:r>
        <w:instrText xml:space="preserve"> SEQ level0 \*arabic </w:instrText>
      </w:r>
      <w:r>
        <w:fldChar w:fldCharType="separate"/>
      </w:r>
      <w:r w:rsidR="00DA3181">
        <w:rPr>
          <w:noProof/>
        </w:rPr>
        <w:t>90</w:t>
      </w:r>
      <w:r>
        <w:fldChar w:fldCharType="end"/>
      </w:r>
      <w:r>
        <w:t>.  The Government have likewise failed to submit any explanation as to the specific details of the Association</w:t>
      </w:r>
      <w:r w:rsidR="000D7A2F">
        <w:t>’</w:t>
      </w:r>
      <w:r>
        <w:t>s allegedly unlawful activities or any evidence of such unlawful activities.</w:t>
      </w:r>
    </w:p>
    <w:p w:rsidR="00636FD2" w:rsidRDefault="00060FE2">
      <w:pPr>
        <w:pStyle w:val="JuPara"/>
      </w:pPr>
      <w:r>
        <w:fldChar w:fldCharType="begin"/>
      </w:r>
      <w:r>
        <w:instrText xml:space="preserve"> SEQ level0 \*arabic </w:instrText>
      </w:r>
      <w:r>
        <w:fldChar w:fldCharType="separate"/>
      </w:r>
      <w:r w:rsidR="00DA3181">
        <w:rPr>
          <w:noProof/>
        </w:rPr>
        <w:t>91</w:t>
      </w:r>
      <w:r>
        <w:fldChar w:fldCharType="end"/>
      </w:r>
      <w:r>
        <w:t xml:space="preserve">.  In sum, the Court considers that no justification has been provided by the domestic authorities </w:t>
      </w:r>
      <w:r w:rsidR="00731C48">
        <w:t xml:space="preserve">or </w:t>
      </w:r>
      <w:r>
        <w:t xml:space="preserve">the Government for the </w:t>
      </w:r>
      <w:r w:rsidR="008C64C7">
        <w:t>Association</w:t>
      </w:r>
      <w:r w:rsidR="000D7A2F">
        <w:t>’</w:t>
      </w:r>
      <w:r w:rsidR="008C64C7">
        <w:t>s dissolution on this</w:t>
      </w:r>
      <w:r>
        <w:t xml:space="preserve"> ground.</w:t>
      </w:r>
    </w:p>
    <w:p w:rsidR="00AA0A4F" w:rsidP="00AF60D4" w:rsidRDefault="00AA0A4F">
      <w:pPr>
        <w:pStyle w:val="JuHalpha"/>
        <w:outlineLvl w:val="0"/>
      </w:pPr>
      <w:r>
        <w:t>(γ)  Conclusion</w:t>
      </w:r>
    </w:p>
    <w:p w:rsidR="00636FD2" w:rsidRDefault="0072705A">
      <w:pPr>
        <w:pStyle w:val="JuPara"/>
      </w:pPr>
      <w:r>
        <w:fldChar w:fldCharType="begin"/>
      </w:r>
      <w:r>
        <w:instrText xml:space="preserve"> SEQ level0 \*arabic </w:instrText>
      </w:r>
      <w:r>
        <w:fldChar w:fldCharType="separate"/>
      </w:r>
      <w:r w:rsidR="00DA3181">
        <w:rPr>
          <w:noProof/>
        </w:rPr>
        <w:t>92</w:t>
      </w:r>
      <w:r>
        <w:fldChar w:fldCharType="end"/>
      </w:r>
      <w:r>
        <w:t>.  Having regard to the above analysis, the Court concludes that the interference was not “necessary in a democratic society”. There has accordingly been a violation of Article 11 of the Convention.</w:t>
      </w:r>
    </w:p>
    <w:p w:rsidRPr="00431462" w:rsidR="00431462" w:rsidP="00AF60D4" w:rsidRDefault="00F30DDB">
      <w:pPr>
        <w:pStyle w:val="JuHIRoman"/>
        <w:outlineLvl w:val="0"/>
      </w:pPr>
      <w:r>
        <w:t>II</w:t>
      </w:r>
      <w:r w:rsidRPr="00431462" w:rsidR="00431462">
        <w:t xml:space="preserve">.  ALLEGED VIOLATION OF ARTICLE </w:t>
      </w:r>
      <w:r>
        <w:t>6</w:t>
      </w:r>
      <w:r w:rsidR="00003ABF">
        <w:t xml:space="preserve"> § 1</w:t>
      </w:r>
      <w:r w:rsidRPr="00431462" w:rsidR="00431462">
        <w:t xml:space="preserve"> OF THE CONVENTION</w:t>
      </w:r>
    </w:p>
    <w:p w:rsidR="00636FD2" w:rsidRDefault="00431462">
      <w:pPr>
        <w:pStyle w:val="JuPara"/>
      </w:pPr>
      <w:r w:rsidRPr="00431462">
        <w:fldChar w:fldCharType="begin"/>
      </w:r>
      <w:r w:rsidRPr="00431462">
        <w:instrText xml:space="preserve"> SEQ level0 \*arabic </w:instrText>
      </w:r>
      <w:r w:rsidRPr="00431462">
        <w:fldChar w:fldCharType="separate"/>
      </w:r>
      <w:r w:rsidR="00DA3181">
        <w:rPr>
          <w:noProof/>
        </w:rPr>
        <w:t>93</w:t>
      </w:r>
      <w:r w:rsidRPr="00431462">
        <w:fldChar w:fldCharType="end"/>
      </w:r>
      <w:r w:rsidRPr="00431462">
        <w:t>.  </w:t>
      </w:r>
      <w:r w:rsidR="00003ABF">
        <w:t>The applicants complained that the domestic courts</w:t>
      </w:r>
      <w:r w:rsidR="000D7A2F">
        <w:t>’</w:t>
      </w:r>
      <w:r w:rsidR="00003ABF">
        <w:t xml:space="preserve"> findings were unsupported by sufficient evidence. Article 6 § 1 provides:</w:t>
      </w:r>
    </w:p>
    <w:p w:rsidR="00003ABF" w:rsidP="00003ABF" w:rsidRDefault="00003ABF">
      <w:pPr>
        <w:pStyle w:val="JuQuot"/>
      </w:pPr>
      <w:r>
        <w:t>“In the determination of his civil rights and obligations ... everyone is entitled to a fair ... hearing ... by [a] ... tribunal ...”</w:t>
      </w:r>
    </w:p>
    <w:p w:rsidR="0004282E" w:rsidRDefault="00003ABF">
      <w:pPr>
        <w:pStyle w:val="JuPara"/>
        <w:rPr>
          <w:lang w:eastAsia="en-US"/>
        </w:rPr>
      </w:pPr>
      <w:r>
        <w:fldChar w:fldCharType="begin"/>
      </w:r>
      <w:r>
        <w:instrText xml:space="preserve"> SEQ level0 \*arabic </w:instrText>
      </w:r>
      <w:r>
        <w:fldChar w:fldCharType="separate"/>
      </w:r>
      <w:r w:rsidR="00DA3181">
        <w:rPr>
          <w:noProof/>
        </w:rPr>
        <w:t>94</w:t>
      </w:r>
      <w:r>
        <w:fldChar w:fldCharType="end"/>
      </w:r>
      <w:r>
        <w:t>.  </w:t>
      </w:r>
      <w:r w:rsidR="0000563C">
        <w:t>Having regard to</w:t>
      </w:r>
      <w:r w:rsidR="005F4C41">
        <w:t xml:space="preserve"> </w:t>
      </w:r>
      <w:r w:rsidR="0000563C">
        <w:t xml:space="preserve">the analysis </w:t>
      </w:r>
      <w:r w:rsidR="005F4C41">
        <w:t xml:space="preserve">in respect of a violation of Article 11 above, the Court considers that it is not necessary to examine separately </w:t>
      </w:r>
      <w:r w:rsidR="0000563C">
        <w:t>essentially the same or similar arguments</w:t>
      </w:r>
      <w:r w:rsidR="005F4C41">
        <w:t xml:space="preserve"> </w:t>
      </w:r>
      <w:r w:rsidR="0000563C">
        <w:t>under</w:t>
      </w:r>
      <w:r w:rsidR="005F4C41">
        <w:t xml:space="preserve"> Article 6 § 1 of the Convention (compare </w:t>
      </w:r>
      <w:r w:rsidRPr="0000563C" w:rsidR="0000563C">
        <w:rPr>
          <w:i/>
          <w:lang w:eastAsia="en-US"/>
        </w:rPr>
        <w:t>Linkov v. the Czech Republic</w:t>
      </w:r>
      <w:r w:rsidRPr="0000563C" w:rsidR="0000563C">
        <w:rPr>
          <w:lang w:eastAsia="en-US"/>
        </w:rPr>
        <w:t xml:space="preserve">, no. 10504/03, § </w:t>
      </w:r>
      <w:r w:rsidR="0000563C">
        <w:rPr>
          <w:lang w:eastAsia="en-US"/>
        </w:rPr>
        <w:t>50</w:t>
      </w:r>
      <w:r w:rsidRPr="0000563C" w:rsidR="0000563C">
        <w:rPr>
          <w:lang w:eastAsia="en-US"/>
        </w:rPr>
        <w:t>, 7</w:t>
      </w:r>
      <w:r w:rsidR="0009429E">
        <w:rPr>
          <w:lang w:eastAsia="en-US"/>
        </w:rPr>
        <w:t> </w:t>
      </w:r>
      <w:r w:rsidRPr="0000563C" w:rsidR="0000563C">
        <w:rPr>
          <w:lang w:eastAsia="en-US"/>
        </w:rPr>
        <w:t>December 2006</w:t>
      </w:r>
      <w:r w:rsidR="00B028DE">
        <w:rPr>
          <w:lang w:eastAsia="en-US"/>
        </w:rPr>
        <w:t>, and</w:t>
      </w:r>
      <w:r w:rsidR="0000563C">
        <w:rPr>
          <w:lang w:eastAsia="en-US"/>
        </w:rPr>
        <w:t xml:space="preserve"> </w:t>
      </w:r>
      <w:r w:rsidRPr="00B028DE" w:rsidR="00B028DE">
        <w:rPr>
          <w:i/>
          <w:lang w:eastAsia="en-US"/>
        </w:rPr>
        <w:t>Tunceli Kültür ve Dayanışma Derneği v. Turkey</w:t>
      </w:r>
      <w:r w:rsidRPr="00B028DE" w:rsidR="00B028DE">
        <w:rPr>
          <w:lang w:eastAsia="en-US"/>
        </w:rPr>
        <w:t>, no.</w:t>
      </w:r>
      <w:r w:rsidR="0009429E">
        <w:rPr>
          <w:lang w:eastAsia="en-US"/>
        </w:rPr>
        <w:t> </w:t>
      </w:r>
      <w:r w:rsidRPr="00B028DE" w:rsidR="00B028DE">
        <w:rPr>
          <w:lang w:eastAsia="en-US"/>
        </w:rPr>
        <w:t xml:space="preserve">61353/00, § </w:t>
      </w:r>
      <w:r w:rsidR="00B028DE">
        <w:rPr>
          <w:lang w:eastAsia="en-US"/>
        </w:rPr>
        <w:t>37</w:t>
      </w:r>
      <w:r w:rsidRPr="00B028DE" w:rsidR="00B028DE">
        <w:rPr>
          <w:lang w:eastAsia="en-US"/>
        </w:rPr>
        <w:t>, 10 October 2006</w:t>
      </w:r>
      <w:r w:rsidR="00B028DE">
        <w:rPr>
          <w:lang w:eastAsia="en-US"/>
        </w:rPr>
        <w:t>).</w:t>
      </w:r>
    </w:p>
    <w:p w:rsidRPr="00431462" w:rsidR="00431462" w:rsidRDefault="00B028DE">
      <w:pPr>
        <w:pStyle w:val="JuHIRoman"/>
      </w:pPr>
      <w:r>
        <w:t>III</w:t>
      </w:r>
      <w:r w:rsidRPr="00431462" w:rsidR="00431462">
        <w:t>.  APPLICATION OF ARTICLE 41 OF THE CONVENTION</w:t>
      </w:r>
    </w:p>
    <w:p w:rsidRPr="00431462" w:rsidR="00431462" w:rsidRDefault="00431462">
      <w:pPr>
        <w:pStyle w:val="JuPara"/>
        <w:keepNext/>
        <w:keepLines/>
      </w:pPr>
      <w:r w:rsidRPr="00431462">
        <w:fldChar w:fldCharType="begin"/>
      </w:r>
      <w:r w:rsidRPr="00431462">
        <w:instrText xml:space="preserve"> SEQ level0 \*arabic </w:instrText>
      </w:r>
      <w:r w:rsidRPr="00431462">
        <w:fldChar w:fldCharType="separate"/>
      </w:r>
      <w:r w:rsidR="00DA3181">
        <w:rPr>
          <w:noProof/>
        </w:rPr>
        <w:t>95</w:t>
      </w:r>
      <w:r w:rsidRPr="00431462">
        <w:fldChar w:fldCharType="end"/>
      </w:r>
      <w:r w:rsidRPr="00431462">
        <w:t>.  Article 41 of the Convention provides:</w:t>
      </w:r>
    </w:p>
    <w:p w:rsidRPr="00431462" w:rsidR="00431462" w:rsidRDefault="00431462">
      <w:pPr>
        <w:pStyle w:val="JuQuot"/>
        <w:keepNext/>
        <w:keepLines/>
      </w:pPr>
      <w:r w:rsidRPr="00431462">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431462" w:rsidR="00431462" w:rsidP="00AF60D4" w:rsidRDefault="00431462">
      <w:pPr>
        <w:pStyle w:val="JuHA"/>
        <w:outlineLvl w:val="0"/>
      </w:pPr>
      <w:r w:rsidRPr="00431462">
        <w:t>A.  Damage</w:t>
      </w:r>
    </w:p>
    <w:p w:rsidR="00765E1E" w:rsidP="00765E1E" w:rsidRDefault="00765E1E">
      <w:pPr>
        <w:pStyle w:val="JuH1"/>
      </w:pPr>
      <w:r>
        <w:t>1.  Pecuniary damage</w:t>
      </w:r>
    </w:p>
    <w:p w:rsidR="0004282E" w:rsidRDefault="00431462">
      <w:pPr>
        <w:pStyle w:val="JuPara"/>
      </w:pPr>
      <w:r w:rsidRPr="00431462">
        <w:fldChar w:fldCharType="begin"/>
      </w:r>
      <w:r w:rsidRPr="00431462">
        <w:instrText xml:space="preserve"> SEQ level0 \*arabic </w:instrText>
      </w:r>
      <w:r w:rsidRPr="00431462">
        <w:fldChar w:fldCharType="separate"/>
      </w:r>
      <w:r w:rsidR="00DA3181">
        <w:rPr>
          <w:noProof/>
        </w:rPr>
        <w:t>96</w:t>
      </w:r>
      <w:r w:rsidRPr="00431462">
        <w:fldChar w:fldCharType="end"/>
      </w:r>
      <w:r w:rsidRPr="00431462">
        <w:t>.  </w:t>
      </w:r>
      <w:r w:rsidR="00B028DE">
        <w:t>The applicants claimed 100,000 euros (EUR) in respect of pecuniary damage, arguing that as a result of the Association</w:t>
      </w:r>
      <w:r w:rsidR="000D7A2F">
        <w:t>’</w:t>
      </w:r>
      <w:r w:rsidR="00B028DE">
        <w:t>s dissolution it had been unable to receive grants and donations for several years.</w:t>
      </w:r>
    </w:p>
    <w:p w:rsidR="0004282E" w:rsidRDefault="00B028DE">
      <w:pPr>
        <w:pStyle w:val="JuPara"/>
      </w:pPr>
      <w:r>
        <w:fldChar w:fldCharType="begin"/>
      </w:r>
      <w:r>
        <w:instrText xml:space="preserve"> SEQ level0 \*arabic </w:instrText>
      </w:r>
      <w:r>
        <w:fldChar w:fldCharType="separate"/>
      </w:r>
      <w:r w:rsidR="00DA3181">
        <w:rPr>
          <w:noProof/>
        </w:rPr>
        <w:t>97</w:t>
      </w:r>
      <w:r>
        <w:fldChar w:fldCharType="end"/>
      </w:r>
      <w:r>
        <w:t xml:space="preserve">.  The Government observed that the applicants </w:t>
      </w:r>
      <w:r w:rsidR="00011EAD">
        <w:t xml:space="preserve">had </w:t>
      </w:r>
      <w:r>
        <w:t>not submit</w:t>
      </w:r>
      <w:r w:rsidR="00011EAD">
        <w:t>ted</w:t>
      </w:r>
      <w:r>
        <w:t xml:space="preserve"> any documentary justification for this claim.</w:t>
      </w:r>
    </w:p>
    <w:p w:rsidR="0004282E" w:rsidRDefault="00B028DE">
      <w:pPr>
        <w:pStyle w:val="JuPara"/>
      </w:pPr>
      <w:r>
        <w:fldChar w:fldCharType="begin"/>
      </w:r>
      <w:r>
        <w:instrText xml:space="preserve"> SEQ level0 \*arabic </w:instrText>
      </w:r>
      <w:r>
        <w:fldChar w:fldCharType="separate"/>
      </w:r>
      <w:r w:rsidR="00DA3181">
        <w:rPr>
          <w:noProof/>
        </w:rPr>
        <w:t>98</w:t>
      </w:r>
      <w:r>
        <w:fldChar w:fldCharType="end"/>
      </w:r>
      <w:r>
        <w:t>.  The Court</w:t>
      </w:r>
      <w:r w:rsidR="00765E1E">
        <w:t xml:space="preserve"> </w:t>
      </w:r>
      <w:r w:rsidR="00C92EAE">
        <w:t>notes that the amount claimed is hypothetical and constitutes nothing more than the applicants</w:t>
      </w:r>
      <w:r w:rsidR="000D7A2F">
        <w:t>’</w:t>
      </w:r>
      <w:r w:rsidR="00C92EAE">
        <w:t xml:space="preserve"> estimation unsupported by any evidence or convincing arguments. In such circumstances, the Court cannot speculate as to the amount of any contributions the Association might have received had it not been dissolved. The Court therefore rejects the claim in respect of pecuniary damage.</w:t>
      </w:r>
    </w:p>
    <w:p w:rsidR="00765E1E" w:rsidP="00765E1E" w:rsidRDefault="00765E1E">
      <w:pPr>
        <w:pStyle w:val="JuH1"/>
      </w:pPr>
      <w:r>
        <w:t>2.  Non-pecuniary damage</w:t>
      </w:r>
    </w:p>
    <w:p w:rsidR="0004282E" w:rsidRDefault="00765E1E">
      <w:pPr>
        <w:pStyle w:val="JuPara"/>
      </w:pPr>
      <w:r>
        <w:fldChar w:fldCharType="begin"/>
      </w:r>
      <w:r>
        <w:instrText xml:space="preserve"> SEQ level0 \*arabic </w:instrText>
      </w:r>
      <w:r>
        <w:fldChar w:fldCharType="separate"/>
      </w:r>
      <w:r w:rsidR="00DA3181">
        <w:rPr>
          <w:noProof/>
        </w:rPr>
        <w:t>99</w:t>
      </w:r>
      <w:r>
        <w:fldChar w:fldCharType="end"/>
      </w:r>
      <w:r>
        <w:t xml:space="preserve">.  The applicants claimed EUR 20,000 </w:t>
      </w:r>
      <w:r w:rsidR="00011EAD">
        <w:t>in</w:t>
      </w:r>
      <w:r>
        <w:t xml:space="preserve"> compensation for non</w:t>
      </w:r>
      <w:r w:rsidR="00DD04D5">
        <w:noBreakHyphen/>
      </w:r>
      <w:r>
        <w:t>pecuniary damage caused by the dissolution of the Association.</w:t>
      </w:r>
    </w:p>
    <w:p w:rsidR="0004282E" w:rsidRDefault="00765E1E">
      <w:pPr>
        <w:pStyle w:val="JuPara"/>
      </w:pPr>
      <w:r>
        <w:fldChar w:fldCharType="begin"/>
      </w:r>
      <w:r>
        <w:instrText xml:space="preserve"> SEQ level0 \*arabic </w:instrText>
      </w:r>
      <w:r>
        <w:fldChar w:fldCharType="separate"/>
      </w:r>
      <w:r w:rsidR="00DA3181">
        <w:rPr>
          <w:noProof/>
        </w:rPr>
        <w:t>100</w:t>
      </w:r>
      <w:r>
        <w:fldChar w:fldCharType="end"/>
      </w:r>
      <w:r>
        <w:t>.  The Government considered that this amount was unjustified and argued that the finding of a violation would constitute sufficient reparation in respect of any non-pecuniary damage suffered.</w:t>
      </w:r>
    </w:p>
    <w:p w:rsidRPr="00431462" w:rsidR="00765E1E" w:rsidRDefault="00765E1E">
      <w:pPr>
        <w:pStyle w:val="JuPara"/>
      </w:pPr>
      <w:r>
        <w:fldChar w:fldCharType="begin"/>
      </w:r>
      <w:r>
        <w:instrText xml:space="preserve"> SEQ level0 \*arabic </w:instrText>
      </w:r>
      <w:r>
        <w:fldChar w:fldCharType="separate"/>
      </w:r>
      <w:r w:rsidR="00DA3181">
        <w:rPr>
          <w:noProof/>
        </w:rPr>
        <w:t>101</w:t>
      </w:r>
      <w:r>
        <w:fldChar w:fldCharType="end"/>
      </w:r>
      <w:r>
        <w:t>.  </w:t>
      </w:r>
      <w:r w:rsidR="00C92EAE">
        <w:t>The Court considers that the Association</w:t>
      </w:r>
      <w:r w:rsidR="000D7A2F">
        <w:t>’</w:t>
      </w:r>
      <w:r w:rsidR="00C92EAE">
        <w:t xml:space="preserve">s founders and members must have suffered non-pecuniary damage as a </w:t>
      </w:r>
      <w:r w:rsidR="0085734A">
        <w:t>consequence</w:t>
      </w:r>
      <w:r w:rsidR="00C92EAE">
        <w:t xml:space="preserve"> of the Association</w:t>
      </w:r>
      <w:r w:rsidR="000D7A2F">
        <w:t>’</w:t>
      </w:r>
      <w:r w:rsidR="00C92EAE">
        <w:t>s dissolution</w:t>
      </w:r>
      <w:r w:rsidR="0085734A">
        <w:t xml:space="preserve">, which cannot be compensated solely by the finding of </w:t>
      </w:r>
      <w:r w:rsidR="00C92EAE">
        <w:t xml:space="preserve">a violation. Ruling on an equitable basis, the Court awards </w:t>
      </w:r>
      <w:r w:rsidR="005E5FEA">
        <w:t xml:space="preserve">the Association the sum of EUR </w:t>
      </w:r>
      <w:r w:rsidR="009560E3">
        <w:t>8,000</w:t>
      </w:r>
      <w:r w:rsidR="005E5FEA">
        <w:t xml:space="preserve"> in respect of non-pecuniary damage</w:t>
      </w:r>
      <w:r w:rsidR="00C92EAE">
        <w:t>, plus any tax that may be chargeable.</w:t>
      </w:r>
      <w:r w:rsidR="005E5FEA">
        <w:t xml:space="preserve"> This sum is to be paid to Mr</w:t>
      </w:r>
      <w:r w:rsidR="00861427">
        <w:t xml:space="preserve"> </w:t>
      </w:r>
      <w:r w:rsidR="005E5FEA">
        <w:t>Sabir Israfilov, who will be responsible for making it available to the Association.</w:t>
      </w:r>
    </w:p>
    <w:p w:rsidRPr="00431462" w:rsidR="00431462" w:rsidP="00AF60D4" w:rsidRDefault="00431462">
      <w:pPr>
        <w:pStyle w:val="JuHA"/>
        <w:outlineLvl w:val="0"/>
      </w:pPr>
      <w:r w:rsidRPr="00431462">
        <w:t>B.  Costs and expenses</w:t>
      </w:r>
    </w:p>
    <w:p w:rsidR="0004282E" w:rsidRDefault="00431462">
      <w:pPr>
        <w:pStyle w:val="JuPara"/>
      </w:pPr>
      <w:r w:rsidRPr="00431462">
        <w:fldChar w:fldCharType="begin"/>
      </w:r>
      <w:r w:rsidRPr="00431462">
        <w:instrText xml:space="preserve"> SEQ level0 \*arabic </w:instrText>
      </w:r>
      <w:r w:rsidRPr="00431462">
        <w:fldChar w:fldCharType="separate"/>
      </w:r>
      <w:r w:rsidR="00DA3181">
        <w:rPr>
          <w:noProof/>
        </w:rPr>
        <w:t>102</w:t>
      </w:r>
      <w:r w:rsidRPr="00431462">
        <w:fldChar w:fldCharType="end"/>
      </w:r>
      <w:r w:rsidRPr="00431462">
        <w:t>.  </w:t>
      </w:r>
      <w:r w:rsidR="000A314C">
        <w:t xml:space="preserve">The applicants claimed </w:t>
      </w:r>
      <w:r w:rsidR="004D5923">
        <w:t>EUR 2</w:t>
      </w:r>
      <w:r w:rsidR="007B2203">
        <w:t>,</w:t>
      </w:r>
      <w:r w:rsidR="004D5923">
        <w:t xml:space="preserve">050 for legal fees incurred in the domestic proceedings, </w:t>
      </w:r>
      <w:r w:rsidR="000A314C">
        <w:t xml:space="preserve">EUR 2,315 for legal fees incurred in the proceedings before the Court and EUR 750 for translation costs. In support of these claims, </w:t>
      </w:r>
      <w:r w:rsidR="004D5923">
        <w:t xml:space="preserve">they submitted two contracts </w:t>
      </w:r>
      <w:r w:rsidR="00011EAD">
        <w:t xml:space="preserve">for </w:t>
      </w:r>
      <w:r w:rsidR="004D5923">
        <w:t>legal services provided by Mr</w:t>
      </w:r>
      <w:r w:rsidR="00E45B88">
        <w:t> </w:t>
      </w:r>
      <w:r w:rsidR="004D5923">
        <w:t>I</w:t>
      </w:r>
      <w:r w:rsidR="00551FBC">
        <w:t>ntigam</w:t>
      </w:r>
      <w:r w:rsidR="004D5923">
        <w:t xml:space="preserve"> Aliyev, and a contract </w:t>
      </w:r>
      <w:r w:rsidR="00011EAD">
        <w:t xml:space="preserve">for </w:t>
      </w:r>
      <w:r w:rsidR="004D5923">
        <w:t xml:space="preserve">translation services. All of the contracts stipulated that the amounts due were to be paid </w:t>
      </w:r>
      <w:r w:rsidR="00283D2B">
        <w:t xml:space="preserve">in the event </w:t>
      </w:r>
      <w:r w:rsidR="00011EAD">
        <w:t xml:space="preserve">that </w:t>
      </w:r>
      <w:r w:rsidR="00283D2B">
        <w:t xml:space="preserve">the Court </w:t>
      </w:r>
      <w:r w:rsidR="00011EAD">
        <w:t xml:space="preserve">found </w:t>
      </w:r>
      <w:r w:rsidR="00283D2B">
        <w:t>a violation of the applicants</w:t>
      </w:r>
      <w:r w:rsidR="000D7A2F">
        <w:t>’</w:t>
      </w:r>
      <w:r w:rsidR="00283D2B">
        <w:t xml:space="preserve"> rights</w:t>
      </w:r>
      <w:r w:rsidR="004D5923">
        <w:t>.</w:t>
      </w:r>
    </w:p>
    <w:p w:rsidR="0004282E" w:rsidRDefault="004D5923">
      <w:pPr>
        <w:pStyle w:val="JuPara"/>
      </w:pPr>
      <w:r>
        <w:fldChar w:fldCharType="begin"/>
      </w:r>
      <w:r>
        <w:instrText xml:space="preserve"> SEQ level0 \*arabic </w:instrText>
      </w:r>
      <w:r>
        <w:fldChar w:fldCharType="separate"/>
      </w:r>
      <w:r w:rsidR="00DA3181">
        <w:rPr>
          <w:noProof/>
        </w:rPr>
        <w:t>103</w:t>
      </w:r>
      <w:r>
        <w:fldChar w:fldCharType="end"/>
      </w:r>
      <w:r>
        <w:t>.  The Government argued that the claims were unsubstantiated because the amounts claimed had not been paid by the applicant</w:t>
      </w:r>
      <w:r w:rsidR="00C01BC0">
        <w:t>s</w:t>
      </w:r>
      <w:r>
        <w:t xml:space="preserve"> and therefore were not actually incurred.</w:t>
      </w:r>
    </w:p>
    <w:p w:rsidR="0004282E" w:rsidRDefault="004D5923">
      <w:pPr>
        <w:pStyle w:val="JuPara"/>
      </w:pPr>
      <w:r>
        <w:fldChar w:fldCharType="begin"/>
      </w:r>
      <w:r>
        <w:instrText xml:space="preserve"> SEQ level0 \*arabic </w:instrText>
      </w:r>
      <w:r>
        <w:fldChar w:fldCharType="separate"/>
      </w:r>
      <w:r w:rsidR="00DA3181">
        <w:rPr>
          <w:noProof/>
        </w:rPr>
        <w:t>104</w:t>
      </w:r>
      <w:r>
        <w:fldChar w:fldCharType="end"/>
      </w:r>
      <w:r>
        <w:t>.  </w:t>
      </w:r>
      <w:r w:rsidR="00E94BE2">
        <w:t>According to the Court</w:t>
      </w:r>
      <w:r w:rsidR="000D7A2F">
        <w:t>’</w:t>
      </w:r>
      <w:r w:rsidR="00E94BE2">
        <w:t xml:space="preserve">s established case-law, costs and expenses </w:t>
      </w:r>
      <w:r w:rsidR="00011EAD">
        <w:t xml:space="preserve">will </w:t>
      </w:r>
      <w:r w:rsidR="00E94BE2">
        <w:t>not be awarded under Article 41 unless it is established that they were actually and necessarily incurred and were also reasonable as to quantum (see</w:t>
      </w:r>
      <w:r w:rsidRPr="00E94BE2" w:rsidR="00E94BE2">
        <w:rPr>
          <w:lang w:eastAsia="en-US"/>
        </w:rPr>
        <w:t xml:space="preserve"> </w:t>
      </w:r>
      <w:r w:rsidR="00014D50">
        <w:rPr>
          <w:lang w:eastAsia="en-US"/>
        </w:rPr>
        <w:t xml:space="preserve">The </w:t>
      </w:r>
      <w:r w:rsidRPr="00E94BE2" w:rsidR="00E94BE2">
        <w:rPr>
          <w:lang w:eastAsia="en-US"/>
        </w:rPr>
        <w:t>Sunday Times</w:t>
      </w:r>
      <w:r w:rsidRPr="00E94BE2" w:rsidR="00E94BE2">
        <w:rPr>
          <w:i/>
          <w:lang w:eastAsia="en-US"/>
        </w:rPr>
        <w:t xml:space="preserve"> v. the United Kingdom (no. 1)</w:t>
      </w:r>
      <w:r w:rsidRPr="00E94BE2" w:rsidR="00E94BE2">
        <w:rPr>
          <w:lang w:eastAsia="en-US"/>
        </w:rPr>
        <w:t xml:space="preserve"> (Article 50), 6</w:t>
      </w:r>
      <w:r w:rsidR="00014D50">
        <w:rPr>
          <w:lang w:eastAsia="en-US"/>
        </w:rPr>
        <w:t> </w:t>
      </w:r>
      <w:r w:rsidRPr="00E94BE2" w:rsidR="00E94BE2">
        <w:rPr>
          <w:lang w:eastAsia="en-US"/>
        </w:rPr>
        <w:t xml:space="preserve">November 1980, § </w:t>
      </w:r>
      <w:r w:rsidR="00E94BE2">
        <w:rPr>
          <w:lang w:eastAsia="en-US"/>
        </w:rPr>
        <w:t>23</w:t>
      </w:r>
      <w:r w:rsidRPr="00E94BE2" w:rsidR="00E94BE2">
        <w:rPr>
          <w:lang w:eastAsia="en-US"/>
        </w:rPr>
        <w:t>, Series A no. 38</w:t>
      </w:r>
      <w:r w:rsidR="00E94BE2">
        <w:rPr>
          <w:lang w:eastAsia="en-US"/>
        </w:rPr>
        <w:t>).</w:t>
      </w:r>
    </w:p>
    <w:p w:rsidR="0004282E" w:rsidRDefault="00E94BE2">
      <w:pPr>
        <w:pStyle w:val="JuPara"/>
      </w:pPr>
      <w:r>
        <w:fldChar w:fldCharType="begin"/>
      </w:r>
      <w:r>
        <w:instrText xml:space="preserve"> SEQ level0 \*arabic </w:instrText>
      </w:r>
      <w:r>
        <w:fldChar w:fldCharType="separate"/>
      </w:r>
      <w:r w:rsidR="00DA3181">
        <w:rPr>
          <w:noProof/>
        </w:rPr>
        <w:t>105</w:t>
      </w:r>
      <w:r>
        <w:fldChar w:fldCharType="end"/>
      </w:r>
      <w:r>
        <w:t>.  </w:t>
      </w:r>
      <w:r w:rsidR="004D5923">
        <w:t>The Cou</w:t>
      </w:r>
      <w:r>
        <w:t>rt notes that, in support of the part of the</w:t>
      </w:r>
      <w:r w:rsidR="004D5923">
        <w:t xml:space="preserve"> claim </w:t>
      </w:r>
      <w:r>
        <w:t>corresponding to</w:t>
      </w:r>
      <w:r w:rsidR="004D5923">
        <w:t xml:space="preserve"> legal fees incurred in the domestic proceedings, the applicant</w:t>
      </w:r>
      <w:r>
        <w:t>s</w:t>
      </w:r>
      <w:r w:rsidR="004D5923">
        <w:t xml:space="preserve"> submi</w:t>
      </w:r>
      <w:r>
        <w:t xml:space="preserve">tted a contract purporting to show that Mr Aliyev either provided legal </w:t>
      </w:r>
      <w:r w:rsidR="00E73A08">
        <w:t>advice</w:t>
      </w:r>
      <w:r>
        <w:t xml:space="preserve"> or represented the Association in the domestic proceedings. However, having regard to the materials in the case file (including</w:t>
      </w:r>
      <w:r w:rsidR="00011EAD">
        <w:t xml:space="preserve"> the</w:t>
      </w:r>
      <w:r>
        <w:t xml:space="preserve"> domestic courts</w:t>
      </w:r>
      <w:r w:rsidR="000D7A2F">
        <w:t>’</w:t>
      </w:r>
      <w:r>
        <w:t xml:space="preserve"> decisions and the Association</w:t>
      </w:r>
      <w:r w:rsidR="000D7A2F">
        <w:t>’</w:t>
      </w:r>
      <w:r>
        <w:t>s appeal</w:t>
      </w:r>
      <w:r w:rsidR="00E73A08">
        <w:t>s</w:t>
      </w:r>
      <w:r>
        <w:t xml:space="preserve">), the Court observes that in the courts of general jurisdiction the Association was represented neither by Mr Aliyev, nor by any other lawyer. Therefore, there is no basis to accept this part of the claim. Mr Aliyev represented the Association only in </w:t>
      </w:r>
      <w:r w:rsidR="00E73A08">
        <w:t xml:space="preserve">its </w:t>
      </w:r>
      <w:r w:rsidR="00724C9E">
        <w:t>subsequent</w:t>
      </w:r>
      <w:r>
        <w:t xml:space="preserve"> unsuccessful attempt to have the case reviewed by the </w:t>
      </w:r>
      <w:smartTag w:uri="urn:schemas-microsoft-com:office:smarttags" w:element="Street">
        <w:smartTag w:uri="urn:schemas-microsoft-com:office:smarttags" w:element="address">
          <w:r>
            <w:t>Constitutional Court</w:t>
          </w:r>
        </w:smartTag>
      </w:smartTag>
      <w:r>
        <w:t xml:space="preserve">. However, taking into account that the latter was not a remedy </w:t>
      </w:r>
      <w:r w:rsidR="00E73A08">
        <w:t xml:space="preserve">which the applicants were required to exhaust </w:t>
      </w:r>
      <w:r>
        <w:t>(see</w:t>
      </w:r>
      <w:r w:rsidR="00E73A08">
        <w:t xml:space="preserve">, for example, </w:t>
      </w:r>
      <w:r w:rsidRPr="00E73A08" w:rsidR="00E73A08">
        <w:rPr>
          <w:i/>
          <w:lang w:eastAsia="en-US"/>
        </w:rPr>
        <w:t>Ismayilov v. Azerbaijan</w:t>
      </w:r>
      <w:r w:rsidRPr="00E73A08" w:rsidR="00E73A08">
        <w:rPr>
          <w:lang w:eastAsia="en-US"/>
        </w:rPr>
        <w:t>, no. 4439/04, §</w:t>
      </w:r>
      <w:r w:rsidR="00E73A08">
        <w:rPr>
          <w:lang w:eastAsia="en-US"/>
        </w:rPr>
        <w:t>§</w:t>
      </w:r>
      <w:r w:rsidRPr="00E73A08" w:rsidR="00E73A08">
        <w:rPr>
          <w:lang w:eastAsia="en-US"/>
        </w:rPr>
        <w:t xml:space="preserve"> </w:t>
      </w:r>
      <w:r w:rsidR="00E73A08">
        <w:rPr>
          <w:lang w:eastAsia="en-US"/>
        </w:rPr>
        <w:t>39-40</w:t>
      </w:r>
      <w:r w:rsidRPr="00E73A08" w:rsidR="00E73A08">
        <w:rPr>
          <w:lang w:eastAsia="en-US"/>
        </w:rPr>
        <w:t>, 17 January 2008</w:t>
      </w:r>
      <w:r>
        <w:t>), the Court considers that the expenses related to lodging the constitutio</w:t>
      </w:r>
      <w:r w:rsidR="00E73A08">
        <w:t>nal complaint were not “necessarily incurred”</w:t>
      </w:r>
      <w:r>
        <w:t>. For the</w:t>
      </w:r>
      <w:r w:rsidR="00E73A08">
        <w:t>se</w:t>
      </w:r>
      <w:r>
        <w:t xml:space="preserve"> reasons, the Court rejects the applicants</w:t>
      </w:r>
      <w:r w:rsidR="000D7A2F">
        <w:t>’</w:t>
      </w:r>
      <w:r>
        <w:t xml:space="preserve"> claim in the part relating to legal fees incurred in the domestic proceedings.</w:t>
      </w:r>
    </w:p>
    <w:p w:rsidR="0004282E" w:rsidRDefault="00E94BE2">
      <w:pPr>
        <w:pStyle w:val="JuPara"/>
      </w:pPr>
      <w:r>
        <w:fldChar w:fldCharType="begin"/>
      </w:r>
      <w:r>
        <w:instrText xml:space="preserve"> SEQ level0 \*arabic </w:instrText>
      </w:r>
      <w:r>
        <w:fldChar w:fldCharType="separate"/>
      </w:r>
      <w:r w:rsidR="00DA3181">
        <w:rPr>
          <w:noProof/>
        </w:rPr>
        <w:t>106</w:t>
      </w:r>
      <w:r>
        <w:fldChar w:fldCharType="end"/>
      </w:r>
      <w:r>
        <w:t>.  </w:t>
      </w:r>
      <w:r w:rsidR="00A81497">
        <w:t xml:space="preserve">As to the legal fees incurred in the </w:t>
      </w:r>
      <w:r w:rsidR="00E73A08">
        <w:t xml:space="preserve">Convention </w:t>
      </w:r>
      <w:r w:rsidR="00A81497">
        <w:t xml:space="preserve">proceedings, </w:t>
      </w:r>
      <w:r w:rsidR="00551FBC">
        <w:t>the Court notes that, in the contract for legal services signed with Mr Aliyev, the work to be done by the lawyer was broken down into separate stages and the total amount of fees was broken down accordingly for each stage. Among others, the contract stipulated specific amounts to be paid for the lawyer</w:t>
      </w:r>
      <w:r w:rsidR="000D7A2F">
        <w:t>’</w:t>
      </w:r>
      <w:r w:rsidR="00551FBC">
        <w:t xml:space="preserve">s work in connection with “submissions on friendly settlement”, “assistance in friendly settlement negotiations” and “participation in oral hearings”. As there have been no </w:t>
      </w:r>
      <w:r w:rsidR="00E73A08">
        <w:t xml:space="preserve">formal </w:t>
      </w:r>
      <w:r w:rsidR="00551FBC">
        <w:t xml:space="preserve">friendly settlement </w:t>
      </w:r>
      <w:r w:rsidR="00E73A08">
        <w:t>proposals</w:t>
      </w:r>
      <w:r w:rsidR="00551FBC">
        <w:t xml:space="preserve"> or oral hearings in the present case, the part of the </w:t>
      </w:r>
      <w:r w:rsidR="001A3DDA">
        <w:t>total amount</w:t>
      </w:r>
      <w:r w:rsidR="00551FBC">
        <w:t xml:space="preserve"> covering this portion of the</w:t>
      </w:r>
      <w:r w:rsidR="001A3DDA">
        <w:t xml:space="preserve"> claimed</w:t>
      </w:r>
      <w:r w:rsidR="00551FBC">
        <w:t xml:space="preserve"> legal fees must be rejected. As for the remainder of the claim, the Court notes that</w:t>
      </w:r>
      <w:r w:rsidR="001A3DDA">
        <w:t>, although the applicant</w:t>
      </w:r>
      <w:r w:rsidR="00C01BC0">
        <w:t>s</w:t>
      </w:r>
      <w:r w:rsidR="001A3DDA">
        <w:t xml:space="preserve"> ha</w:t>
      </w:r>
      <w:r w:rsidR="00C01BC0">
        <w:t>ve</w:t>
      </w:r>
      <w:r w:rsidR="001A3DDA">
        <w:t xml:space="preserve"> not yet actually paid the legal fees, </w:t>
      </w:r>
      <w:r w:rsidR="00C01BC0">
        <w:t>they are</w:t>
      </w:r>
      <w:r w:rsidR="001A3DDA">
        <w:t xml:space="preserve"> bound to pay them pursuant to a contractual obligation to Mr Aliyev. Accordingly, in so far as Mr Aliyev is entitled to seek payment of his fees under the contract, the </w:t>
      </w:r>
      <w:r w:rsidR="007B2203">
        <w:t>legal fees</w:t>
      </w:r>
      <w:r w:rsidR="001A3DDA">
        <w:t xml:space="preserve"> </w:t>
      </w:r>
      <w:r w:rsidR="007B2203">
        <w:t>were</w:t>
      </w:r>
      <w:r w:rsidR="001A3DDA">
        <w:t xml:space="preserve"> “actually incurred”.</w:t>
      </w:r>
    </w:p>
    <w:p w:rsidR="0004282E" w:rsidRDefault="001A3DDA">
      <w:pPr>
        <w:pStyle w:val="JuPara"/>
      </w:pPr>
      <w:r>
        <w:fldChar w:fldCharType="begin"/>
      </w:r>
      <w:r>
        <w:instrText xml:space="preserve"> SEQ level0 \*arabic </w:instrText>
      </w:r>
      <w:r>
        <w:fldChar w:fldCharType="separate"/>
      </w:r>
      <w:r w:rsidR="00DA3181">
        <w:rPr>
          <w:noProof/>
        </w:rPr>
        <w:t>107</w:t>
      </w:r>
      <w:r>
        <w:fldChar w:fldCharType="end"/>
      </w:r>
      <w:r>
        <w:t>.  Likewise, the applicant</w:t>
      </w:r>
      <w:r w:rsidR="00C01BC0">
        <w:t>s</w:t>
      </w:r>
      <w:r>
        <w:t xml:space="preserve"> </w:t>
      </w:r>
      <w:r w:rsidR="00C01BC0">
        <w:t xml:space="preserve">are </w:t>
      </w:r>
      <w:r>
        <w:t xml:space="preserve">under a contractual obligation to pay for the translation expenses. </w:t>
      </w:r>
      <w:r w:rsidR="007B2203">
        <w:t>However, taking into account the total amount of documents actually translated in the present case, the Court considers that the claim in respect of the translation expenses is excessive and therefore only a partial award can be made under this head.</w:t>
      </w:r>
    </w:p>
    <w:p w:rsidR="0004282E" w:rsidRDefault="007B2203">
      <w:pPr>
        <w:pStyle w:val="JuPara"/>
      </w:pPr>
      <w:r>
        <w:fldChar w:fldCharType="begin"/>
      </w:r>
      <w:r>
        <w:instrText xml:space="preserve"> SEQ level0 \*arabic </w:instrText>
      </w:r>
      <w:r>
        <w:fldChar w:fldCharType="separate"/>
      </w:r>
      <w:r w:rsidR="00DA3181">
        <w:rPr>
          <w:noProof/>
        </w:rPr>
        <w:t>108</w:t>
      </w:r>
      <w:r>
        <w:fldChar w:fldCharType="end"/>
      </w:r>
      <w:r>
        <w:t xml:space="preserve">.  Having regard to the above reasons, the Court awards </w:t>
      </w:r>
      <w:r w:rsidR="00F36D84">
        <w:t xml:space="preserve">the applicants </w:t>
      </w:r>
      <w:r>
        <w:t xml:space="preserve">a global sum of EUR </w:t>
      </w:r>
      <w:r w:rsidR="007940A0">
        <w:t>2,000</w:t>
      </w:r>
      <w:r>
        <w:t xml:space="preserve"> in respect of costs and expenses</w:t>
      </w:r>
      <w:r w:rsidR="00F36D84">
        <w:t>, less the sum of EUR 850 received in legal aid from the Council of Europe</w:t>
      </w:r>
      <w:r w:rsidR="007940A0">
        <w:t>, plus any tax that may be chargeable to the applicants on that sum.</w:t>
      </w:r>
    </w:p>
    <w:p w:rsidRPr="00431462" w:rsidR="00431462" w:rsidP="00AF60D4" w:rsidRDefault="00431462">
      <w:pPr>
        <w:pStyle w:val="JuHA"/>
        <w:outlineLvl w:val="0"/>
      </w:pPr>
      <w:r w:rsidRPr="00431462">
        <w:t>C.  Default interest</w:t>
      </w:r>
    </w:p>
    <w:p w:rsidRPr="00431462" w:rsidR="00260DD7" w:rsidRDefault="00431462">
      <w:pPr>
        <w:pStyle w:val="JuPara"/>
      </w:pPr>
      <w:r w:rsidRPr="00431462">
        <w:fldChar w:fldCharType="begin"/>
      </w:r>
      <w:r w:rsidRPr="00431462">
        <w:instrText xml:space="preserve"> SEQ level0 \*arabic </w:instrText>
      </w:r>
      <w:r w:rsidRPr="00431462">
        <w:fldChar w:fldCharType="separate"/>
      </w:r>
      <w:r w:rsidR="00DA3181">
        <w:rPr>
          <w:noProof/>
        </w:rPr>
        <w:t>109</w:t>
      </w:r>
      <w:r w:rsidRPr="00431462">
        <w:fldChar w:fldCharType="end"/>
      </w:r>
      <w:r w:rsidRPr="00431462">
        <w:t xml:space="preserve">.  The Court considers it appropriate that the default interest </w:t>
      </w:r>
      <w:r w:rsidR="00861427">
        <w:t xml:space="preserve">rate </w:t>
      </w:r>
      <w:r w:rsidRPr="00431462">
        <w:t>should be based on the marginal lending rate of the European Central Bank, to which should be added three percentage points.</w:t>
      </w:r>
    </w:p>
    <w:p w:rsidRPr="00431462" w:rsidR="00260DD7" w:rsidP="00AF60D4" w:rsidRDefault="00260DD7">
      <w:pPr>
        <w:pStyle w:val="JuHHead"/>
        <w:outlineLvl w:val="0"/>
      </w:pPr>
      <w:r w:rsidRPr="00431462">
        <w:t>FOR THESE REASONS, THE COURT UNANIMOUSLY</w:t>
      </w:r>
    </w:p>
    <w:p w:rsidR="00431462" w:rsidRDefault="00431462">
      <w:pPr>
        <w:pStyle w:val="JuList"/>
      </w:pPr>
      <w:r w:rsidRPr="00431462">
        <w:t>1.  </w:t>
      </w:r>
      <w:r w:rsidRPr="00431462">
        <w:rPr>
          <w:i/>
        </w:rPr>
        <w:t>Holds</w:t>
      </w:r>
      <w:r w:rsidRPr="00431462">
        <w:t xml:space="preserve"> that there has been a violation of Article </w:t>
      </w:r>
      <w:r w:rsidR="00D24934">
        <w:t>11</w:t>
      </w:r>
      <w:r w:rsidRPr="00431462">
        <w:t xml:space="preserve"> of the Convention;</w:t>
      </w:r>
    </w:p>
    <w:p w:rsidR="00D24934" w:rsidRDefault="00D24934">
      <w:pPr>
        <w:pStyle w:val="JuList"/>
      </w:pPr>
    </w:p>
    <w:p w:rsidRPr="00431462" w:rsidR="00D24934" w:rsidRDefault="00D24934">
      <w:pPr>
        <w:pStyle w:val="JuList"/>
      </w:pPr>
      <w:r w:rsidRPr="00F36D84">
        <w:t>2.  </w:t>
      </w:r>
      <w:r w:rsidRPr="00F36D84">
        <w:rPr>
          <w:i/>
        </w:rPr>
        <w:t>Holds</w:t>
      </w:r>
      <w:r w:rsidRPr="00F36D84">
        <w:t xml:space="preserve"> </w:t>
      </w:r>
      <w:r w:rsidRPr="00F36D84" w:rsidR="00F36D84">
        <w:t>that there is no need to examine</w:t>
      </w:r>
      <w:r w:rsidR="00F36D84">
        <w:t xml:space="preserve"> separately the complaint under Article 6 § 1 of the Convention;</w:t>
      </w:r>
    </w:p>
    <w:p w:rsidRPr="00431462" w:rsidR="00431462" w:rsidRDefault="00431462">
      <w:pPr>
        <w:pStyle w:val="JuList"/>
      </w:pPr>
    </w:p>
    <w:p w:rsidR="0004282E" w:rsidP="00BC2080" w:rsidRDefault="00D24934">
      <w:pPr>
        <w:pStyle w:val="JuList"/>
        <w:keepNext/>
        <w:keepLines/>
      </w:pPr>
      <w:r>
        <w:t>3</w:t>
      </w:r>
      <w:r w:rsidRPr="00431462" w:rsidR="00431462">
        <w:t>.  </w:t>
      </w:r>
      <w:r w:rsidRPr="00431462" w:rsidR="00431462">
        <w:rPr>
          <w:i/>
        </w:rPr>
        <w:t>Holds</w:t>
      </w:r>
    </w:p>
    <w:p w:rsidR="00F36D84" w:rsidP="00BC2080" w:rsidRDefault="00431462">
      <w:pPr>
        <w:pStyle w:val="JuLista"/>
        <w:keepNext/>
        <w:keepLines/>
      </w:pPr>
      <w:r w:rsidRPr="00431462">
        <w:t>(a)  </w:t>
      </w:r>
      <w:r w:rsidR="00F36D84">
        <w:t>that the respondent State is to pay the applicant</w:t>
      </w:r>
      <w:r w:rsidR="009560E3">
        <w:t>s</w:t>
      </w:r>
      <w:r w:rsidR="00F36D84">
        <w:t xml:space="preserve">, within three months from the date on which the judgment becomes final in accordance with Article 44 § 2 of the Convention, the following amounts, to be converted into </w:t>
      </w:r>
      <w:r w:rsidR="00014D50">
        <w:t>n</w:t>
      </w:r>
      <w:r w:rsidR="00F36D84">
        <w:t>ew Azerbaijani manats at the rate applicable at the date of settlement:</w:t>
      </w:r>
    </w:p>
    <w:p w:rsidR="00F36D84" w:rsidP="00EC2892" w:rsidRDefault="00F36D84">
      <w:pPr>
        <w:pStyle w:val="JuListi"/>
      </w:pPr>
      <w:r>
        <w:t>(i)  </w:t>
      </w:r>
      <w:r w:rsidRPr="00431462" w:rsidR="00431462">
        <w:t xml:space="preserve">EUR </w:t>
      </w:r>
      <w:r w:rsidR="009560E3">
        <w:t>8,000</w:t>
      </w:r>
      <w:r w:rsidRPr="00431462" w:rsidR="00431462">
        <w:t xml:space="preserve"> (</w:t>
      </w:r>
      <w:r w:rsidR="009560E3">
        <w:t>eight</w:t>
      </w:r>
      <w:r w:rsidR="00D24934">
        <w:t xml:space="preserve"> thousand</w:t>
      </w:r>
      <w:r w:rsidRPr="00431462" w:rsidR="00431462">
        <w:t xml:space="preserve"> euros)</w:t>
      </w:r>
      <w:r w:rsidR="00D24934">
        <w:t>, plus any tax that m</w:t>
      </w:r>
      <w:r>
        <w:t>ay</w:t>
      </w:r>
      <w:r w:rsidR="00D24934">
        <w:t xml:space="preserve"> be chargeable</w:t>
      </w:r>
      <w:r>
        <w:t>,</w:t>
      </w:r>
      <w:r w:rsidRPr="00F36D84">
        <w:t xml:space="preserve"> </w:t>
      </w:r>
      <w:r>
        <w:t>in respect of non-pecuniary damage;</w:t>
      </w:r>
    </w:p>
    <w:p w:rsidR="0004282E" w:rsidP="00EC2892" w:rsidRDefault="00F36D84">
      <w:pPr>
        <w:pStyle w:val="JuListi"/>
      </w:pPr>
      <w:r>
        <w:t>(ii)  </w:t>
      </w:r>
      <w:r w:rsidR="00D24934">
        <w:t>EUR 2,000 (two thousand euros)</w:t>
      </w:r>
      <w:r>
        <w:t>,</w:t>
      </w:r>
      <w:r w:rsidR="00D24934">
        <w:t xml:space="preserve"> </w:t>
      </w:r>
      <w:r>
        <w:t>less EUR 850 (eight hundred and fifty euros) granted by way of legal aid, plus any tax that may be chargeable to the applicant</w:t>
      </w:r>
      <w:r w:rsidR="00731231">
        <w:t>s</w:t>
      </w:r>
      <w:r>
        <w:t>, in respect of costs and expenses;</w:t>
      </w:r>
    </w:p>
    <w:p w:rsidRPr="00431462" w:rsidR="00431462" w:rsidP="00BC2080" w:rsidRDefault="00431462">
      <w:pPr>
        <w:pStyle w:val="JuLista"/>
        <w:keepNext/>
        <w:keepLines/>
      </w:pPr>
      <w:r w:rsidRPr="00431462">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431462" w:rsidR="00431462" w:rsidP="00BC2080" w:rsidRDefault="00431462">
      <w:pPr>
        <w:pStyle w:val="JuList"/>
        <w:keepNext/>
        <w:keepLines/>
      </w:pPr>
    </w:p>
    <w:p w:rsidRPr="00431462" w:rsidR="00260DD7" w:rsidP="00BC2080" w:rsidRDefault="00D24934">
      <w:pPr>
        <w:pStyle w:val="JuList"/>
        <w:keepNext/>
        <w:keepLines/>
      </w:pPr>
      <w:r>
        <w:t>4</w:t>
      </w:r>
      <w:r w:rsidRPr="00431462" w:rsidR="00431462">
        <w:t>.  </w:t>
      </w:r>
      <w:r w:rsidRPr="00431462" w:rsidR="00431462">
        <w:rPr>
          <w:i/>
        </w:rPr>
        <w:t>Dismisses</w:t>
      </w:r>
      <w:r w:rsidRPr="00431462" w:rsidR="00431462">
        <w:t xml:space="preserve"> the remainder of the applicants</w:t>
      </w:r>
      <w:r w:rsidR="000D7A2F">
        <w:t>’</w:t>
      </w:r>
      <w:r w:rsidRPr="00431462" w:rsidR="00431462">
        <w:t xml:space="preserve"> claim for just satisfaction.</w:t>
      </w:r>
    </w:p>
    <w:p w:rsidRPr="00431462" w:rsidR="00260DD7" w:rsidP="00BC2080" w:rsidRDefault="00260DD7">
      <w:pPr>
        <w:pStyle w:val="JuParaLast"/>
        <w:keepNext/>
        <w:keepLines/>
      </w:pPr>
      <w:r w:rsidRPr="00431462">
        <w:t>Done in English, and notified in writing on</w:t>
      </w:r>
      <w:r w:rsidR="00DD2D24">
        <w:t xml:space="preserve"> 8 October 2009</w:t>
      </w:r>
      <w:r w:rsidRPr="00431462">
        <w:t>, pursuant to Rule 77 §§ 2 and 3 of the Rules of Court.</w:t>
      </w:r>
    </w:p>
    <w:p w:rsidRPr="00431462" w:rsidR="00FA0C4E" w:rsidP="00BC2080" w:rsidRDefault="002D2466">
      <w:pPr>
        <w:pStyle w:val="JuSigned"/>
        <w:keepNext/>
        <w:keepLines/>
      </w:pPr>
      <w:r w:rsidRPr="00DC75DE">
        <w:t xml:space="preserve">André </w:t>
      </w:r>
      <w:proofErr w:type="spellStart"/>
      <w:r w:rsidRPr="00DC75DE">
        <w:t>Wampach</w:t>
      </w:r>
      <w:proofErr w:type="spellEnd"/>
      <w:r w:rsidRPr="00431462" w:rsidR="00FA0C4E">
        <w:tab/>
      </w:r>
      <w:r w:rsidR="000D7A2F">
        <w:t xml:space="preserve">    </w:t>
      </w:r>
      <w:r w:rsidRPr="00DC75DE">
        <w:t xml:space="preserve">Nina </w:t>
      </w:r>
      <w:proofErr w:type="spellStart"/>
      <w:r w:rsidRPr="00DC75DE">
        <w:t>Vajić</w:t>
      </w:r>
      <w:proofErr w:type="spellEnd"/>
      <w:r w:rsidRPr="00431462" w:rsidR="00FA0C4E">
        <w:br/>
      </w:r>
      <w:r w:rsidR="0007715D">
        <w:t xml:space="preserve">Deputy </w:t>
      </w:r>
      <w:r w:rsidRPr="00431462" w:rsidR="00431462">
        <w:t>Registrar</w:t>
      </w:r>
      <w:r w:rsidRPr="00431462" w:rsidR="00FA0C4E">
        <w:tab/>
      </w:r>
      <w:r w:rsidR="000D7A2F">
        <w:t xml:space="preserve">    </w:t>
      </w:r>
      <w:r w:rsidRPr="00431462" w:rsidR="00FA0C4E">
        <w:t>President</w:t>
      </w:r>
    </w:p>
    <w:sectPr w:rsidRPr="00431462" w:rsidR="00FA0C4E" w:rsidSect="004B1FC3">
      <w:headerReference w:type="even" r:id="rId9"/>
      <w:headerReference w:type="default" r:id="rId10"/>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2D" w:rsidRDefault="00444C2D">
      <w:r>
        <w:separator/>
      </w:r>
    </w:p>
    <w:p w:rsidR="00444C2D" w:rsidRDefault="00444C2D"/>
  </w:endnote>
  <w:endnote w:type="continuationSeparator" w:id="0">
    <w:p w:rsidR="00444C2D" w:rsidRDefault="00444C2D">
      <w:r>
        <w:continuationSeparator/>
      </w:r>
    </w:p>
    <w:p w:rsidR="00444C2D" w:rsidRDefault="00444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2D" w:rsidRDefault="00444C2D">
      <w:r>
        <w:separator/>
      </w:r>
    </w:p>
    <w:p w:rsidR="00444C2D" w:rsidRDefault="00444C2D"/>
  </w:footnote>
  <w:footnote w:type="continuationSeparator" w:id="0">
    <w:p w:rsidR="00444C2D" w:rsidRDefault="00444C2D">
      <w:r>
        <w:continuationSeparator/>
      </w:r>
    </w:p>
    <w:p w:rsidR="00444C2D" w:rsidRDefault="00444C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E9" w:rsidRPr="00C00F0F" w:rsidRDefault="00D02EE9">
    <w:pPr>
      <w:pStyle w:val="Header"/>
      <w:jc w:val="center"/>
      <w:rPr>
        <w:sz w:val="4"/>
        <w:szCs w:val="4"/>
      </w:rPr>
    </w:pPr>
    <w:r w:rsidRPr="000624BA">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50DocHeaderBigBlack"/>
        </v:shape>
      </w:pict>
    </w:r>
  </w:p>
  <w:p w:rsidR="00D02EE9" w:rsidRDefault="00D02EE9" w:rsidP="004B1FC3">
    <w:pPr>
      <w:pStyle w:val="Ju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E9" w:rsidRDefault="00D02EE9">
    <w:pPr>
      <w:pStyle w:val="JuHeader"/>
    </w:pPr>
    <w:r>
      <w:rPr>
        <w:rStyle w:val="PageNumber"/>
      </w:rPr>
      <w:fldChar w:fldCharType="begin"/>
    </w:r>
    <w:r>
      <w:rPr>
        <w:rStyle w:val="PageNumber"/>
      </w:rPr>
      <w:instrText xml:space="preserve"> PAGE </w:instrText>
    </w:r>
    <w:r>
      <w:rPr>
        <w:rStyle w:val="PageNumber"/>
      </w:rPr>
      <w:fldChar w:fldCharType="separate"/>
    </w:r>
    <w:r w:rsidR="000D7A2F">
      <w:rPr>
        <w:rStyle w:val="PageNumber"/>
        <w:noProof/>
      </w:rPr>
      <w:t>26</w:t>
    </w:r>
    <w:r>
      <w:rPr>
        <w:rStyle w:val="PageNumber"/>
      </w:rPr>
      <w:fldChar w:fldCharType="end"/>
    </w:r>
    <w:r>
      <w:tab/>
      <w:t xml:space="preserve">TEBIETI MÜHAFIZE CEMIYYETI AND ISRAFILOV v. AZERBAIJAN </w:t>
    </w:r>
    <w:r>
      <w:rPr>
        <w:noProof/>
      </w:rPr>
      <w:t>JUDGMENT</w:t>
    </w:r>
    <w:r w:rsidR="00EC2892">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E9" w:rsidRDefault="00D02EE9">
    <w:pPr>
      <w:pStyle w:val="JuHeader"/>
    </w:pPr>
    <w:r>
      <w:tab/>
      <w:t xml:space="preserve">TEBIETI MÜHAFIZE CEMIYYETI AND ISRAFILOV v. </w:t>
    </w:r>
    <w:smartTag w:uri="urn:schemas-microsoft-com:office:smarttags" w:element="place">
      <w:smartTag w:uri="urn:schemas-microsoft-com:office:smarttags" w:element="country-region">
        <w:r>
          <w:t>AZERBAIJAN</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0D7A2F">
      <w:rPr>
        <w:rStyle w:val="PageNumber"/>
        <w:noProof/>
      </w:rPr>
      <w:t>25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462"/>
    <w:rsid w:val="00003ABF"/>
    <w:rsid w:val="0000563C"/>
    <w:rsid w:val="00006133"/>
    <w:rsid w:val="00010832"/>
    <w:rsid w:val="00011EAD"/>
    <w:rsid w:val="00014D50"/>
    <w:rsid w:val="000175BA"/>
    <w:rsid w:val="00021DB5"/>
    <w:rsid w:val="000244AB"/>
    <w:rsid w:val="000270F6"/>
    <w:rsid w:val="000407A1"/>
    <w:rsid w:val="0004282E"/>
    <w:rsid w:val="00046E9F"/>
    <w:rsid w:val="00050549"/>
    <w:rsid w:val="0005328B"/>
    <w:rsid w:val="00060FE2"/>
    <w:rsid w:val="00062260"/>
    <w:rsid w:val="000630CA"/>
    <w:rsid w:val="0007715D"/>
    <w:rsid w:val="00077E23"/>
    <w:rsid w:val="000809D6"/>
    <w:rsid w:val="00081296"/>
    <w:rsid w:val="0009429E"/>
    <w:rsid w:val="00096A82"/>
    <w:rsid w:val="00097386"/>
    <w:rsid w:val="000A104B"/>
    <w:rsid w:val="000A314C"/>
    <w:rsid w:val="000A3385"/>
    <w:rsid w:val="000A49D0"/>
    <w:rsid w:val="000C2B55"/>
    <w:rsid w:val="000C3470"/>
    <w:rsid w:val="000C46C1"/>
    <w:rsid w:val="000C7852"/>
    <w:rsid w:val="000D7A2F"/>
    <w:rsid w:val="000E0876"/>
    <w:rsid w:val="000E08CC"/>
    <w:rsid w:val="000E469C"/>
    <w:rsid w:val="000F1596"/>
    <w:rsid w:val="000F38A8"/>
    <w:rsid w:val="000F6DB0"/>
    <w:rsid w:val="000F76AC"/>
    <w:rsid w:val="00100638"/>
    <w:rsid w:val="00100A31"/>
    <w:rsid w:val="0010532D"/>
    <w:rsid w:val="0010787A"/>
    <w:rsid w:val="00107CA7"/>
    <w:rsid w:val="00114EFB"/>
    <w:rsid w:val="00117EB1"/>
    <w:rsid w:val="00123C63"/>
    <w:rsid w:val="00125162"/>
    <w:rsid w:val="001270BB"/>
    <w:rsid w:val="0013091A"/>
    <w:rsid w:val="00134E84"/>
    <w:rsid w:val="001358AF"/>
    <w:rsid w:val="0014124C"/>
    <w:rsid w:val="001512C8"/>
    <w:rsid w:val="00153D41"/>
    <w:rsid w:val="0015760D"/>
    <w:rsid w:val="00160D26"/>
    <w:rsid w:val="0018665D"/>
    <w:rsid w:val="001969BC"/>
    <w:rsid w:val="001A3DDA"/>
    <w:rsid w:val="001A4F64"/>
    <w:rsid w:val="001C0A29"/>
    <w:rsid w:val="001D1795"/>
    <w:rsid w:val="001D2A88"/>
    <w:rsid w:val="001D5D61"/>
    <w:rsid w:val="001E123E"/>
    <w:rsid w:val="001E3ED0"/>
    <w:rsid w:val="001F190F"/>
    <w:rsid w:val="00201EB8"/>
    <w:rsid w:val="002052AF"/>
    <w:rsid w:val="00207A53"/>
    <w:rsid w:val="00220E13"/>
    <w:rsid w:val="002271D3"/>
    <w:rsid w:val="00230260"/>
    <w:rsid w:val="00235419"/>
    <w:rsid w:val="00240913"/>
    <w:rsid w:val="002464E7"/>
    <w:rsid w:val="0025413D"/>
    <w:rsid w:val="00260DD7"/>
    <w:rsid w:val="00267FF1"/>
    <w:rsid w:val="00283D2B"/>
    <w:rsid w:val="00284A1E"/>
    <w:rsid w:val="00284B31"/>
    <w:rsid w:val="00285872"/>
    <w:rsid w:val="002A1BE7"/>
    <w:rsid w:val="002A681B"/>
    <w:rsid w:val="002C0CA4"/>
    <w:rsid w:val="002D0345"/>
    <w:rsid w:val="002D1C7C"/>
    <w:rsid w:val="002D2466"/>
    <w:rsid w:val="002D5BAE"/>
    <w:rsid w:val="002D7718"/>
    <w:rsid w:val="002E536E"/>
    <w:rsid w:val="002E6DEA"/>
    <w:rsid w:val="00300F9A"/>
    <w:rsid w:val="0031096E"/>
    <w:rsid w:val="00323792"/>
    <w:rsid w:val="0032647F"/>
    <w:rsid w:val="00332977"/>
    <w:rsid w:val="00333475"/>
    <w:rsid w:val="00334411"/>
    <w:rsid w:val="003407B6"/>
    <w:rsid w:val="003429C7"/>
    <w:rsid w:val="003450A2"/>
    <w:rsid w:val="00360040"/>
    <w:rsid w:val="00363605"/>
    <w:rsid w:val="00363BBC"/>
    <w:rsid w:val="00387FE4"/>
    <w:rsid w:val="00397002"/>
    <w:rsid w:val="003A7731"/>
    <w:rsid w:val="003B06C6"/>
    <w:rsid w:val="003C1273"/>
    <w:rsid w:val="003C2577"/>
    <w:rsid w:val="003C36E9"/>
    <w:rsid w:val="003D2797"/>
    <w:rsid w:val="003D4783"/>
    <w:rsid w:val="003D5213"/>
    <w:rsid w:val="003D6D9C"/>
    <w:rsid w:val="0042087D"/>
    <w:rsid w:val="00420F76"/>
    <w:rsid w:val="00424656"/>
    <w:rsid w:val="00431462"/>
    <w:rsid w:val="00433A39"/>
    <w:rsid w:val="00433BBE"/>
    <w:rsid w:val="00444C2D"/>
    <w:rsid w:val="00444FA3"/>
    <w:rsid w:val="00451A9E"/>
    <w:rsid w:val="004550EB"/>
    <w:rsid w:val="0045706C"/>
    <w:rsid w:val="004607E9"/>
    <w:rsid w:val="00462D28"/>
    <w:rsid w:val="00464FC3"/>
    <w:rsid w:val="0046592E"/>
    <w:rsid w:val="004757AE"/>
    <w:rsid w:val="00490E02"/>
    <w:rsid w:val="004A3FAF"/>
    <w:rsid w:val="004A453E"/>
    <w:rsid w:val="004A7FF8"/>
    <w:rsid w:val="004B1463"/>
    <w:rsid w:val="004B1FC3"/>
    <w:rsid w:val="004C26F9"/>
    <w:rsid w:val="004C3427"/>
    <w:rsid w:val="004C3969"/>
    <w:rsid w:val="004C78CC"/>
    <w:rsid w:val="004D0CE1"/>
    <w:rsid w:val="004D1F28"/>
    <w:rsid w:val="004D5906"/>
    <w:rsid w:val="004D5923"/>
    <w:rsid w:val="004E0948"/>
    <w:rsid w:val="004E7AAB"/>
    <w:rsid w:val="004F0800"/>
    <w:rsid w:val="004F417A"/>
    <w:rsid w:val="00530291"/>
    <w:rsid w:val="00531C09"/>
    <w:rsid w:val="00535B70"/>
    <w:rsid w:val="005455C3"/>
    <w:rsid w:val="00551FBC"/>
    <w:rsid w:val="00555E40"/>
    <w:rsid w:val="00556CD6"/>
    <w:rsid w:val="005620B9"/>
    <w:rsid w:val="00566020"/>
    <w:rsid w:val="00566CEE"/>
    <w:rsid w:val="00573FD7"/>
    <w:rsid w:val="00577930"/>
    <w:rsid w:val="0058087E"/>
    <w:rsid w:val="005874FE"/>
    <w:rsid w:val="00595231"/>
    <w:rsid w:val="0059752E"/>
    <w:rsid w:val="00597E0C"/>
    <w:rsid w:val="005A5D92"/>
    <w:rsid w:val="005B3F89"/>
    <w:rsid w:val="005B6FFA"/>
    <w:rsid w:val="005C22B3"/>
    <w:rsid w:val="005C513C"/>
    <w:rsid w:val="005C5972"/>
    <w:rsid w:val="005D02A7"/>
    <w:rsid w:val="005D1354"/>
    <w:rsid w:val="005D6C12"/>
    <w:rsid w:val="005D74D9"/>
    <w:rsid w:val="005E1655"/>
    <w:rsid w:val="005E5FEA"/>
    <w:rsid w:val="005F060C"/>
    <w:rsid w:val="005F2DB6"/>
    <w:rsid w:val="005F491B"/>
    <w:rsid w:val="005F4C41"/>
    <w:rsid w:val="005F6536"/>
    <w:rsid w:val="005F6BD4"/>
    <w:rsid w:val="00604AD9"/>
    <w:rsid w:val="00606760"/>
    <w:rsid w:val="006068D9"/>
    <w:rsid w:val="006173C6"/>
    <w:rsid w:val="006237AC"/>
    <w:rsid w:val="00631E4B"/>
    <w:rsid w:val="00636FD2"/>
    <w:rsid w:val="006502D0"/>
    <w:rsid w:val="006558EE"/>
    <w:rsid w:val="00656C49"/>
    <w:rsid w:val="006604C7"/>
    <w:rsid w:val="00665AF2"/>
    <w:rsid w:val="006665FA"/>
    <w:rsid w:val="006779CA"/>
    <w:rsid w:val="00685928"/>
    <w:rsid w:val="00690D1F"/>
    <w:rsid w:val="00696253"/>
    <w:rsid w:val="006A21D3"/>
    <w:rsid w:val="006A6094"/>
    <w:rsid w:val="006B6736"/>
    <w:rsid w:val="006C1942"/>
    <w:rsid w:val="006C3DE0"/>
    <w:rsid w:val="006D7A68"/>
    <w:rsid w:val="006E06C1"/>
    <w:rsid w:val="006E3C4A"/>
    <w:rsid w:val="006F0B3B"/>
    <w:rsid w:val="006F1816"/>
    <w:rsid w:val="006F22DF"/>
    <w:rsid w:val="006F57BF"/>
    <w:rsid w:val="006F6BE8"/>
    <w:rsid w:val="00711F61"/>
    <w:rsid w:val="007178D7"/>
    <w:rsid w:val="00724C9E"/>
    <w:rsid w:val="0072705A"/>
    <w:rsid w:val="0073122B"/>
    <w:rsid w:val="00731231"/>
    <w:rsid w:val="00731C48"/>
    <w:rsid w:val="0073296A"/>
    <w:rsid w:val="00740E44"/>
    <w:rsid w:val="00745A7F"/>
    <w:rsid w:val="007566BB"/>
    <w:rsid w:val="00765E1E"/>
    <w:rsid w:val="007665BE"/>
    <w:rsid w:val="007711E5"/>
    <w:rsid w:val="007852BC"/>
    <w:rsid w:val="007940A0"/>
    <w:rsid w:val="007A0E57"/>
    <w:rsid w:val="007B2203"/>
    <w:rsid w:val="007B7208"/>
    <w:rsid w:val="007C3ECF"/>
    <w:rsid w:val="007C57CF"/>
    <w:rsid w:val="007D16A1"/>
    <w:rsid w:val="007D2831"/>
    <w:rsid w:val="007E3585"/>
    <w:rsid w:val="007E6A82"/>
    <w:rsid w:val="008219BE"/>
    <w:rsid w:val="00827281"/>
    <w:rsid w:val="00833443"/>
    <w:rsid w:val="0084389B"/>
    <w:rsid w:val="0084594C"/>
    <w:rsid w:val="0084614D"/>
    <w:rsid w:val="0085734A"/>
    <w:rsid w:val="00857982"/>
    <w:rsid w:val="00861152"/>
    <w:rsid w:val="00861427"/>
    <w:rsid w:val="008649E7"/>
    <w:rsid w:val="008727C2"/>
    <w:rsid w:val="0087357A"/>
    <w:rsid w:val="008920C5"/>
    <w:rsid w:val="008938F5"/>
    <w:rsid w:val="00893CEC"/>
    <w:rsid w:val="00893DBF"/>
    <w:rsid w:val="008943CB"/>
    <w:rsid w:val="008A7398"/>
    <w:rsid w:val="008B393F"/>
    <w:rsid w:val="008B525C"/>
    <w:rsid w:val="008C64C7"/>
    <w:rsid w:val="008C65EB"/>
    <w:rsid w:val="008D0440"/>
    <w:rsid w:val="008D0AEB"/>
    <w:rsid w:val="008D2659"/>
    <w:rsid w:val="008D2BAC"/>
    <w:rsid w:val="008D602F"/>
    <w:rsid w:val="008D7F8D"/>
    <w:rsid w:val="008F0AF4"/>
    <w:rsid w:val="008F25AA"/>
    <w:rsid w:val="00900BEC"/>
    <w:rsid w:val="00900E2A"/>
    <w:rsid w:val="00910816"/>
    <w:rsid w:val="00910967"/>
    <w:rsid w:val="009217AC"/>
    <w:rsid w:val="00926A67"/>
    <w:rsid w:val="00942E56"/>
    <w:rsid w:val="00944060"/>
    <w:rsid w:val="0094591B"/>
    <w:rsid w:val="00945F5C"/>
    <w:rsid w:val="00955714"/>
    <w:rsid w:val="009560E3"/>
    <w:rsid w:val="00967D82"/>
    <w:rsid w:val="00967E22"/>
    <w:rsid w:val="0097140D"/>
    <w:rsid w:val="00973455"/>
    <w:rsid w:val="009739EA"/>
    <w:rsid w:val="00977F0E"/>
    <w:rsid w:val="0098079A"/>
    <w:rsid w:val="00981416"/>
    <w:rsid w:val="00987307"/>
    <w:rsid w:val="00990D8A"/>
    <w:rsid w:val="00993FEF"/>
    <w:rsid w:val="009A243D"/>
    <w:rsid w:val="009A35C3"/>
    <w:rsid w:val="009B12CE"/>
    <w:rsid w:val="009B3983"/>
    <w:rsid w:val="009B4547"/>
    <w:rsid w:val="009B6BA7"/>
    <w:rsid w:val="009C15D6"/>
    <w:rsid w:val="009C681F"/>
    <w:rsid w:val="009D546B"/>
    <w:rsid w:val="009E542F"/>
    <w:rsid w:val="009E5EAD"/>
    <w:rsid w:val="009E6492"/>
    <w:rsid w:val="009F0395"/>
    <w:rsid w:val="009F2C5C"/>
    <w:rsid w:val="009F6D49"/>
    <w:rsid w:val="00A00353"/>
    <w:rsid w:val="00A10D67"/>
    <w:rsid w:val="00A37CE1"/>
    <w:rsid w:val="00A57226"/>
    <w:rsid w:val="00A57513"/>
    <w:rsid w:val="00A61564"/>
    <w:rsid w:val="00A73A05"/>
    <w:rsid w:val="00A810B7"/>
    <w:rsid w:val="00A81497"/>
    <w:rsid w:val="00A81F4B"/>
    <w:rsid w:val="00A84F9F"/>
    <w:rsid w:val="00A86250"/>
    <w:rsid w:val="00A96093"/>
    <w:rsid w:val="00A96861"/>
    <w:rsid w:val="00AA08EB"/>
    <w:rsid w:val="00AA0A4F"/>
    <w:rsid w:val="00AA12BD"/>
    <w:rsid w:val="00AA414C"/>
    <w:rsid w:val="00AB19EC"/>
    <w:rsid w:val="00AB2A4C"/>
    <w:rsid w:val="00AC1849"/>
    <w:rsid w:val="00AC4083"/>
    <w:rsid w:val="00AC5860"/>
    <w:rsid w:val="00AD404D"/>
    <w:rsid w:val="00AE49D7"/>
    <w:rsid w:val="00AE6368"/>
    <w:rsid w:val="00AE68FD"/>
    <w:rsid w:val="00AF60D4"/>
    <w:rsid w:val="00B00A95"/>
    <w:rsid w:val="00B01E90"/>
    <w:rsid w:val="00B028DE"/>
    <w:rsid w:val="00B042B3"/>
    <w:rsid w:val="00B04736"/>
    <w:rsid w:val="00B05EBD"/>
    <w:rsid w:val="00B12B8B"/>
    <w:rsid w:val="00B13A14"/>
    <w:rsid w:val="00B15C47"/>
    <w:rsid w:val="00B21C91"/>
    <w:rsid w:val="00B22ECE"/>
    <w:rsid w:val="00B305A9"/>
    <w:rsid w:val="00B32CA8"/>
    <w:rsid w:val="00B33A78"/>
    <w:rsid w:val="00B3510D"/>
    <w:rsid w:val="00B4028F"/>
    <w:rsid w:val="00B47052"/>
    <w:rsid w:val="00B55F4C"/>
    <w:rsid w:val="00B56146"/>
    <w:rsid w:val="00B669D3"/>
    <w:rsid w:val="00B7072A"/>
    <w:rsid w:val="00B74DD8"/>
    <w:rsid w:val="00B76E84"/>
    <w:rsid w:val="00B91E8F"/>
    <w:rsid w:val="00BB4386"/>
    <w:rsid w:val="00BB4C30"/>
    <w:rsid w:val="00BB66FC"/>
    <w:rsid w:val="00BC127E"/>
    <w:rsid w:val="00BC2080"/>
    <w:rsid w:val="00BC7FD7"/>
    <w:rsid w:val="00BD261D"/>
    <w:rsid w:val="00BD60DC"/>
    <w:rsid w:val="00BE08A3"/>
    <w:rsid w:val="00BE35CD"/>
    <w:rsid w:val="00BE3CCD"/>
    <w:rsid w:val="00BE3CF2"/>
    <w:rsid w:val="00BE7FB1"/>
    <w:rsid w:val="00BF08D6"/>
    <w:rsid w:val="00BF7A31"/>
    <w:rsid w:val="00C00807"/>
    <w:rsid w:val="00C01BC0"/>
    <w:rsid w:val="00C11FD8"/>
    <w:rsid w:val="00C13FDD"/>
    <w:rsid w:val="00C2094B"/>
    <w:rsid w:val="00C31149"/>
    <w:rsid w:val="00C362C2"/>
    <w:rsid w:val="00C406F3"/>
    <w:rsid w:val="00C46B9E"/>
    <w:rsid w:val="00C57ACB"/>
    <w:rsid w:val="00C652F8"/>
    <w:rsid w:val="00C73EAB"/>
    <w:rsid w:val="00C7799F"/>
    <w:rsid w:val="00C8153E"/>
    <w:rsid w:val="00C83544"/>
    <w:rsid w:val="00C86BD0"/>
    <w:rsid w:val="00C87809"/>
    <w:rsid w:val="00C92E44"/>
    <w:rsid w:val="00C92EAE"/>
    <w:rsid w:val="00C97EBF"/>
    <w:rsid w:val="00CA3B0B"/>
    <w:rsid w:val="00CA5BEB"/>
    <w:rsid w:val="00CB2289"/>
    <w:rsid w:val="00CB373F"/>
    <w:rsid w:val="00CC5845"/>
    <w:rsid w:val="00CD4ED1"/>
    <w:rsid w:val="00CF4903"/>
    <w:rsid w:val="00D02EE9"/>
    <w:rsid w:val="00D0439A"/>
    <w:rsid w:val="00D07448"/>
    <w:rsid w:val="00D20E5F"/>
    <w:rsid w:val="00D24934"/>
    <w:rsid w:val="00D3379F"/>
    <w:rsid w:val="00D40EAE"/>
    <w:rsid w:val="00D45847"/>
    <w:rsid w:val="00D45BA6"/>
    <w:rsid w:val="00D45C59"/>
    <w:rsid w:val="00D46BF1"/>
    <w:rsid w:val="00D51F5F"/>
    <w:rsid w:val="00D624C2"/>
    <w:rsid w:val="00D6276D"/>
    <w:rsid w:val="00D62BBE"/>
    <w:rsid w:val="00D72288"/>
    <w:rsid w:val="00D729A6"/>
    <w:rsid w:val="00D87F1C"/>
    <w:rsid w:val="00D9161B"/>
    <w:rsid w:val="00DA3181"/>
    <w:rsid w:val="00DA488A"/>
    <w:rsid w:val="00DA72FE"/>
    <w:rsid w:val="00DB603B"/>
    <w:rsid w:val="00DC17B0"/>
    <w:rsid w:val="00DC48F0"/>
    <w:rsid w:val="00DD04D5"/>
    <w:rsid w:val="00DD2D24"/>
    <w:rsid w:val="00DD3877"/>
    <w:rsid w:val="00DE6A89"/>
    <w:rsid w:val="00DE6E4A"/>
    <w:rsid w:val="00DF0E6A"/>
    <w:rsid w:val="00DF3829"/>
    <w:rsid w:val="00DF5199"/>
    <w:rsid w:val="00E02A7F"/>
    <w:rsid w:val="00E11894"/>
    <w:rsid w:val="00E11AA3"/>
    <w:rsid w:val="00E2596B"/>
    <w:rsid w:val="00E27072"/>
    <w:rsid w:val="00E27901"/>
    <w:rsid w:val="00E340C0"/>
    <w:rsid w:val="00E3452C"/>
    <w:rsid w:val="00E35E71"/>
    <w:rsid w:val="00E36406"/>
    <w:rsid w:val="00E41575"/>
    <w:rsid w:val="00E42337"/>
    <w:rsid w:val="00E447C6"/>
    <w:rsid w:val="00E45B88"/>
    <w:rsid w:val="00E469E6"/>
    <w:rsid w:val="00E537D9"/>
    <w:rsid w:val="00E55B3B"/>
    <w:rsid w:val="00E6339C"/>
    <w:rsid w:val="00E65B38"/>
    <w:rsid w:val="00E73A08"/>
    <w:rsid w:val="00E8070E"/>
    <w:rsid w:val="00E86759"/>
    <w:rsid w:val="00E93813"/>
    <w:rsid w:val="00E94BE2"/>
    <w:rsid w:val="00E964C6"/>
    <w:rsid w:val="00EA40E1"/>
    <w:rsid w:val="00EC2892"/>
    <w:rsid w:val="00EC77F8"/>
    <w:rsid w:val="00ED0DB3"/>
    <w:rsid w:val="00ED6EFE"/>
    <w:rsid w:val="00EE04AC"/>
    <w:rsid w:val="00EE06E8"/>
    <w:rsid w:val="00EE260A"/>
    <w:rsid w:val="00EE31EF"/>
    <w:rsid w:val="00EE6EF9"/>
    <w:rsid w:val="00EF17BE"/>
    <w:rsid w:val="00EF479B"/>
    <w:rsid w:val="00F0140C"/>
    <w:rsid w:val="00F10FFC"/>
    <w:rsid w:val="00F12CF0"/>
    <w:rsid w:val="00F24C6E"/>
    <w:rsid w:val="00F30DDB"/>
    <w:rsid w:val="00F35031"/>
    <w:rsid w:val="00F36D84"/>
    <w:rsid w:val="00F42508"/>
    <w:rsid w:val="00F43C03"/>
    <w:rsid w:val="00F5139E"/>
    <w:rsid w:val="00F545F7"/>
    <w:rsid w:val="00F57FF1"/>
    <w:rsid w:val="00FA0C4E"/>
    <w:rsid w:val="00FA4E19"/>
    <w:rsid w:val="00FB6043"/>
    <w:rsid w:val="00FB784E"/>
    <w:rsid w:val="00FC5FC9"/>
    <w:rsid w:val="00FD403C"/>
    <w:rsid w:val="00FE06E9"/>
    <w:rsid w:val="00FE4E4F"/>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1D"/>
    <w:pPr>
      <w:suppressAutoHyphens/>
    </w:pPr>
    <w:rPr>
      <w:sz w:val="24"/>
      <w:lang w:val="en-GB" w:eastAsia="fr-FR"/>
    </w:rPr>
  </w:style>
  <w:style w:type="paragraph" w:styleId="Heading1">
    <w:name w:val="heading 1"/>
    <w:basedOn w:val="Normal"/>
    <w:next w:val="Normal"/>
    <w:qFormat/>
    <w:rsid w:val="00BD261D"/>
    <w:pPr>
      <w:keepNext/>
      <w:spacing w:before="360" w:after="240"/>
      <w:jc w:val="center"/>
      <w:outlineLvl w:val="0"/>
    </w:pPr>
    <w:rPr>
      <w:b/>
      <w:sz w:val="28"/>
    </w:rPr>
  </w:style>
  <w:style w:type="paragraph" w:styleId="Heading2">
    <w:name w:val="heading 2"/>
    <w:basedOn w:val="Normal"/>
    <w:next w:val="Normal"/>
    <w:qFormat/>
    <w:rsid w:val="00BD261D"/>
    <w:pPr>
      <w:keepNext/>
      <w:spacing w:before="240" w:after="120"/>
      <w:ind w:left="284" w:hanging="284"/>
      <w:outlineLvl w:val="1"/>
    </w:pPr>
    <w:rPr>
      <w:b/>
    </w:rPr>
  </w:style>
  <w:style w:type="paragraph" w:styleId="Heading3">
    <w:name w:val="heading 3"/>
    <w:basedOn w:val="Normal"/>
    <w:next w:val="Normal"/>
    <w:qFormat/>
    <w:rsid w:val="00BD261D"/>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BD261D"/>
  </w:style>
  <w:style w:type="table" w:default="1" w:styleId="TableNormal">
    <w:name w:val="Normal Table"/>
    <w:semiHidden/>
    <w:rsid w:val="00BD261D"/>
    <w:tblPr>
      <w:tblInd w:w="0" w:type="dxa"/>
      <w:tblCellMar>
        <w:top w:w="0" w:type="dxa"/>
        <w:left w:w="108" w:type="dxa"/>
        <w:bottom w:w="0" w:type="dxa"/>
        <w:right w:w="108" w:type="dxa"/>
      </w:tblCellMar>
    </w:tblPr>
  </w:style>
  <w:style w:type="numbering" w:default="1" w:styleId="NoList">
    <w:name w:val="No List"/>
    <w:semiHidden/>
    <w:rsid w:val="00BD261D"/>
  </w:style>
  <w:style w:type="paragraph" w:customStyle="1" w:styleId="OpiHHead">
    <w:name w:val="Opi_H_Head"/>
    <w:basedOn w:val="JuHHead"/>
    <w:next w:val="OpiPara"/>
    <w:rsid w:val="00BD261D"/>
    <w:pPr>
      <w:spacing w:before="0"/>
      <w:jc w:val="center"/>
    </w:pPr>
  </w:style>
  <w:style w:type="paragraph" w:customStyle="1" w:styleId="JuHHead">
    <w:name w:val="Ju_H_Head"/>
    <w:basedOn w:val="Normal"/>
    <w:next w:val="JuPara"/>
    <w:rsid w:val="00BD261D"/>
    <w:pPr>
      <w:keepNext/>
      <w:keepLines/>
      <w:spacing w:before="720" w:after="240"/>
      <w:jc w:val="both"/>
    </w:pPr>
    <w:rPr>
      <w:sz w:val="28"/>
    </w:rPr>
  </w:style>
  <w:style w:type="paragraph" w:customStyle="1" w:styleId="JuPara">
    <w:name w:val="Ju_Para"/>
    <w:aliases w:val="Left,First line:  0 cm"/>
    <w:basedOn w:val="Normal"/>
    <w:link w:val="JuParaChar"/>
    <w:rsid w:val="00BD261D"/>
    <w:pPr>
      <w:ind w:firstLine="284"/>
      <w:jc w:val="both"/>
    </w:pPr>
  </w:style>
  <w:style w:type="paragraph" w:customStyle="1" w:styleId="OpiPara">
    <w:name w:val="Opi_Para"/>
    <w:basedOn w:val="JuPara"/>
    <w:rsid w:val="00BD261D"/>
  </w:style>
  <w:style w:type="paragraph" w:customStyle="1" w:styleId="JuHIRoman">
    <w:name w:val="Ju_H_I_Roman"/>
    <w:basedOn w:val="JuHHead"/>
    <w:next w:val="JuPara"/>
    <w:rsid w:val="00BD261D"/>
    <w:pPr>
      <w:tabs>
        <w:tab w:val="left" w:pos="357"/>
      </w:tabs>
      <w:spacing w:before="360"/>
      <w:ind w:left="357" w:hanging="357"/>
    </w:pPr>
    <w:rPr>
      <w:sz w:val="24"/>
    </w:rPr>
  </w:style>
  <w:style w:type="paragraph" w:customStyle="1" w:styleId="OpiTranslation">
    <w:name w:val="Opi_Translation"/>
    <w:basedOn w:val="OpiHHead"/>
    <w:next w:val="OpiPara"/>
    <w:rsid w:val="00BD261D"/>
    <w:rPr>
      <w:sz w:val="24"/>
    </w:rPr>
  </w:style>
  <w:style w:type="paragraph" w:styleId="Footer">
    <w:name w:val="footer"/>
    <w:basedOn w:val="Normal"/>
    <w:rsid w:val="00BD261D"/>
    <w:pPr>
      <w:tabs>
        <w:tab w:val="center" w:pos="3686"/>
        <w:tab w:val="right" w:pos="7371"/>
      </w:tabs>
    </w:pPr>
    <w:rPr>
      <w:sz w:val="18"/>
    </w:rPr>
  </w:style>
  <w:style w:type="paragraph" w:customStyle="1" w:styleId="JuJudges">
    <w:name w:val="Ju_Judges"/>
    <w:basedOn w:val="Normal"/>
    <w:link w:val="JuJudgesChar"/>
    <w:rsid w:val="00BD261D"/>
    <w:pPr>
      <w:tabs>
        <w:tab w:val="left" w:pos="567"/>
        <w:tab w:val="left" w:pos="1134"/>
      </w:tabs>
    </w:pPr>
  </w:style>
  <w:style w:type="character" w:customStyle="1" w:styleId="JuParaChar">
    <w:name w:val="Ju_Para Char"/>
    <w:link w:val="JuPara"/>
    <w:rsid w:val="00577930"/>
    <w:rPr>
      <w:sz w:val="24"/>
      <w:lang w:val="en-GB" w:eastAsia="fr-FR" w:bidi="ar-SA"/>
    </w:rPr>
  </w:style>
  <w:style w:type="paragraph" w:customStyle="1" w:styleId="JuHA">
    <w:name w:val="Ju_H_A"/>
    <w:basedOn w:val="JuHIRoman"/>
    <w:next w:val="JuPara"/>
    <w:rsid w:val="00BD261D"/>
    <w:pPr>
      <w:tabs>
        <w:tab w:val="clear" w:pos="357"/>
        <w:tab w:val="left" w:pos="584"/>
      </w:tabs>
      <w:ind w:left="584" w:hanging="352"/>
    </w:pPr>
    <w:rPr>
      <w:b/>
    </w:rPr>
  </w:style>
  <w:style w:type="paragraph" w:customStyle="1" w:styleId="JuQuot">
    <w:name w:val="Ju_Quot"/>
    <w:basedOn w:val="JuPara"/>
    <w:rsid w:val="00BD261D"/>
    <w:pPr>
      <w:spacing w:before="120" w:after="120"/>
      <w:ind w:left="425" w:firstLine="142"/>
    </w:pPr>
    <w:rPr>
      <w:sz w:val="20"/>
    </w:rPr>
  </w:style>
  <w:style w:type="paragraph" w:customStyle="1" w:styleId="JuSigned">
    <w:name w:val="Ju_Signed"/>
    <w:basedOn w:val="Normal"/>
    <w:next w:val="JuParaLast"/>
    <w:link w:val="JuSignedChar"/>
    <w:rsid w:val="00100A31"/>
    <w:pPr>
      <w:tabs>
        <w:tab w:val="center" w:pos="1219"/>
        <w:tab w:val="center" w:pos="6379"/>
      </w:tabs>
      <w:spacing w:before="720"/>
    </w:pPr>
  </w:style>
  <w:style w:type="paragraph" w:customStyle="1" w:styleId="JuParaLast">
    <w:name w:val="Ju_Para_Last"/>
    <w:basedOn w:val="JuPara"/>
    <w:next w:val="JuPara"/>
    <w:rsid w:val="00BD261D"/>
    <w:pPr>
      <w:spacing w:before="240"/>
    </w:pPr>
  </w:style>
  <w:style w:type="paragraph" w:customStyle="1" w:styleId="JuCase">
    <w:name w:val="Ju_Case"/>
    <w:basedOn w:val="JuPara"/>
    <w:next w:val="JuPara"/>
    <w:link w:val="JuCaseChar"/>
    <w:rsid w:val="00BD261D"/>
    <w:rPr>
      <w:b/>
    </w:rPr>
  </w:style>
  <w:style w:type="paragraph" w:customStyle="1" w:styleId="JuList">
    <w:name w:val="Ju_List"/>
    <w:basedOn w:val="JuPara"/>
    <w:rsid w:val="00BD261D"/>
    <w:pPr>
      <w:ind w:left="340" w:hanging="340"/>
    </w:pPr>
  </w:style>
  <w:style w:type="paragraph" w:customStyle="1" w:styleId="JuHArticle">
    <w:name w:val="Ju_H_Article"/>
    <w:basedOn w:val="JuHa0"/>
    <w:next w:val="JuQuot"/>
    <w:rsid w:val="00BD261D"/>
    <w:pPr>
      <w:ind w:left="0" w:firstLine="0"/>
      <w:jc w:val="center"/>
    </w:pPr>
  </w:style>
  <w:style w:type="paragraph" w:customStyle="1" w:styleId="JuHa0">
    <w:name w:val="Ju_H_a"/>
    <w:basedOn w:val="JuH1"/>
    <w:next w:val="JuPara"/>
    <w:rsid w:val="00BD261D"/>
    <w:pPr>
      <w:tabs>
        <w:tab w:val="clear" w:pos="731"/>
        <w:tab w:val="left" w:pos="975"/>
      </w:tabs>
      <w:ind w:left="975" w:hanging="340"/>
    </w:pPr>
    <w:rPr>
      <w:b/>
      <w:i w:val="0"/>
      <w:sz w:val="20"/>
    </w:rPr>
  </w:style>
  <w:style w:type="paragraph" w:customStyle="1" w:styleId="JuH1">
    <w:name w:val="Ju_H_1."/>
    <w:basedOn w:val="JuHA"/>
    <w:next w:val="JuPara"/>
    <w:rsid w:val="00BD261D"/>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E469E6"/>
    <w:rPr>
      <w:b/>
      <w:bCs/>
    </w:rPr>
  </w:style>
  <w:style w:type="paragraph" w:styleId="CommentText">
    <w:name w:val="annotation text"/>
    <w:basedOn w:val="Normal"/>
    <w:semiHidden/>
    <w:rPr>
      <w:sz w:val="20"/>
    </w:rPr>
  </w:style>
  <w:style w:type="paragraph" w:customStyle="1" w:styleId="JuCourt">
    <w:name w:val="Ju_Court"/>
    <w:basedOn w:val="JuJudges"/>
    <w:rsid w:val="00BD261D"/>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BD261D"/>
    <w:pPr>
      <w:jc w:val="both"/>
    </w:pPr>
    <w:rPr>
      <w:sz w:val="20"/>
    </w:rPr>
  </w:style>
  <w:style w:type="character" w:styleId="FootnoteReference">
    <w:name w:val="footnote reference"/>
    <w:semiHidden/>
    <w:rsid w:val="00BD261D"/>
    <w:rPr>
      <w:vertAlign w:val="superscript"/>
    </w:rPr>
  </w:style>
  <w:style w:type="paragraph" w:customStyle="1" w:styleId="JuHi">
    <w:name w:val="Ju_H_i"/>
    <w:basedOn w:val="JuHa0"/>
    <w:next w:val="JuPara"/>
    <w:rsid w:val="00BD261D"/>
    <w:pPr>
      <w:tabs>
        <w:tab w:val="clear" w:pos="975"/>
        <w:tab w:val="left" w:pos="1191"/>
      </w:tabs>
      <w:ind w:left="1190" w:hanging="357"/>
    </w:pPr>
    <w:rPr>
      <w:b w:val="0"/>
      <w:i/>
    </w:rPr>
  </w:style>
  <w:style w:type="paragraph" w:styleId="Header">
    <w:name w:val="header"/>
    <w:basedOn w:val="Normal"/>
    <w:rsid w:val="00BD261D"/>
    <w:pPr>
      <w:tabs>
        <w:tab w:val="center" w:pos="3686"/>
        <w:tab w:val="right" w:pos="7371"/>
      </w:tabs>
    </w:pPr>
    <w:rPr>
      <w:sz w:val="18"/>
    </w:rPr>
  </w:style>
  <w:style w:type="character" w:styleId="PageNumber">
    <w:name w:val="page number"/>
    <w:rsid w:val="00BD261D"/>
    <w:rPr>
      <w:sz w:val="18"/>
    </w:rPr>
  </w:style>
  <w:style w:type="paragraph" w:customStyle="1" w:styleId="JuH">
    <w:name w:val="Ju_H_–"/>
    <w:basedOn w:val="JuHalpha"/>
    <w:next w:val="JuPara"/>
    <w:rsid w:val="00BD261D"/>
    <w:pPr>
      <w:tabs>
        <w:tab w:val="clear" w:pos="1372"/>
      </w:tabs>
      <w:ind w:left="1236" w:firstLine="0"/>
    </w:pPr>
    <w:rPr>
      <w:i/>
    </w:rPr>
  </w:style>
  <w:style w:type="paragraph" w:customStyle="1" w:styleId="JuHalpha">
    <w:name w:val="Ju_H_alpha"/>
    <w:basedOn w:val="JuHi"/>
    <w:next w:val="JuPara"/>
    <w:rsid w:val="00BD261D"/>
    <w:pPr>
      <w:tabs>
        <w:tab w:val="clear" w:pos="1191"/>
        <w:tab w:val="left" w:pos="1372"/>
      </w:tabs>
      <w:ind w:left="1373" w:hanging="335"/>
    </w:pPr>
    <w:rPr>
      <w:i w:val="0"/>
    </w:rPr>
  </w:style>
  <w:style w:type="paragraph" w:customStyle="1" w:styleId="JuLista">
    <w:name w:val="Ju_List_a"/>
    <w:basedOn w:val="JuList"/>
    <w:rsid w:val="00BD261D"/>
    <w:pPr>
      <w:ind w:left="346" w:firstLine="0"/>
    </w:pPr>
  </w:style>
  <w:style w:type="paragraph" w:customStyle="1" w:styleId="JuListi">
    <w:name w:val="Ju_List_i"/>
    <w:basedOn w:val="JuLista"/>
    <w:rsid w:val="00BD261D"/>
    <w:pPr>
      <w:ind w:left="794"/>
    </w:pPr>
  </w:style>
  <w:style w:type="character" w:styleId="CommentReference">
    <w:name w:val="annotation reference"/>
    <w:semiHidden/>
    <w:rPr>
      <w:sz w:val="16"/>
    </w:rPr>
  </w:style>
  <w:style w:type="paragraph" w:customStyle="1" w:styleId="JuInitialled">
    <w:name w:val="Ju_Initialled"/>
    <w:basedOn w:val="JuSigned"/>
    <w:rsid w:val="00BD261D"/>
    <w:pPr>
      <w:jc w:val="right"/>
    </w:pPr>
  </w:style>
  <w:style w:type="paragraph" w:customStyle="1" w:styleId="JuHeader">
    <w:name w:val="Ju_Header"/>
    <w:basedOn w:val="Header"/>
    <w:rsid w:val="00BD261D"/>
  </w:style>
  <w:style w:type="paragraph" w:customStyle="1" w:styleId="DecHTitle">
    <w:name w:val="Dec_H_Title"/>
    <w:basedOn w:val="Normal"/>
    <w:rsid w:val="00BD261D"/>
    <w:pPr>
      <w:spacing w:after="240"/>
      <w:jc w:val="center"/>
    </w:pPr>
    <w:rPr>
      <w:sz w:val="28"/>
    </w:rPr>
  </w:style>
  <w:style w:type="paragraph" w:customStyle="1" w:styleId="DecHCase">
    <w:name w:val="Dec_H_Case"/>
    <w:basedOn w:val="DecHTitle"/>
    <w:next w:val="JuPara"/>
    <w:rsid w:val="00BD261D"/>
    <w:rPr>
      <w:sz w:val="24"/>
    </w:rPr>
  </w:style>
  <w:style w:type="paragraph" w:customStyle="1" w:styleId="DecList">
    <w:name w:val="Dec_List"/>
    <w:basedOn w:val="Normal"/>
    <w:rsid w:val="00BD261D"/>
    <w:pPr>
      <w:spacing w:before="240"/>
      <w:ind w:left="284"/>
      <w:jc w:val="both"/>
    </w:pPr>
  </w:style>
  <w:style w:type="paragraph" w:customStyle="1" w:styleId="JuParaSub">
    <w:name w:val="Ju_Para_Sub"/>
    <w:basedOn w:val="JuPara"/>
    <w:rsid w:val="00BD261D"/>
    <w:pPr>
      <w:ind w:left="284"/>
    </w:pPr>
    <w:rPr>
      <w:szCs w:val="24"/>
    </w:rPr>
  </w:style>
  <w:style w:type="paragraph" w:customStyle="1" w:styleId="JuQuotSub">
    <w:name w:val="Ju_Quot_Sub"/>
    <w:basedOn w:val="JuQuot"/>
    <w:rsid w:val="00BD261D"/>
    <w:pPr>
      <w:ind w:left="567"/>
    </w:pPr>
  </w:style>
  <w:style w:type="paragraph" w:styleId="BalloonText">
    <w:name w:val="Balloon Text"/>
    <w:basedOn w:val="Normal"/>
    <w:semiHidden/>
    <w:rsid w:val="009B4547"/>
    <w:rPr>
      <w:rFonts w:ascii="Tahoma" w:hAnsi="Tahoma" w:cs="Tahoma"/>
      <w:sz w:val="16"/>
      <w:szCs w:val="16"/>
    </w:rPr>
  </w:style>
  <w:style w:type="paragraph" w:customStyle="1" w:styleId="PJuPara">
    <w:name w:val="P_Ju_Para"/>
    <w:basedOn w:val="Normal"/>
    <w:rsid w:val="00BD261D"/>
    <w:pPr>
      <w:ind w:firstLine="284"/>
      <w:jc w:val="both"/>
    </w:pPr>
  </w:style>
  <w:style w:type="paragraph" w:customStyle="1" w:styleId="PJuQuot">
    <w:name w:val="P_Ju_Quot"/>
    <w:basedOn w:val="Normal"/>
    <w:rsid w:val="00BD261D"/>
    <w:pPr>
      <w:spacing w:before="120" w:after="120"/>
      <w:ind w:left="403" w:firstLine="176"/>
      <w:jc w:val="both"/>
    </w:pPr>
    <w:rPr>
      <w:sz w:val="20"/>
    </w:rPr>
  </w:style>
  <w:style w:type="paragraph" w:customStyle="1" w:styleId="OpiHA">
    <w:name w:val="Opi_H_A"/>
    <w:basedOn w:val="JuHIRoman"/>
    <w:next w:val="OpiPara"/>
    <w:rsid w:val="00BD261D"/>
    <w:pPr>
      <w:tabs>
        <w:tab w:val="clear" w:pos="357"/>
      </w:tabs>
    </w:pPr>
    <w:rPr>
      <w:b/>
    </w:rPr>
  </w:style>
  <w:style w:type="paragraph" w:customStyle="1" w:styleId="OpiH1">
    <w:name w:val="Opi_H_1."/>
    <w:basedOn w:val="OpiHA"/>
    <w:next w:val="OpiPara"/>
    <w:rsid w:val="00BD261D"/>
    <w:pPr>
      <w:spacing w:before="240" w:after="120"/>
      <w:ind w:left="635"/>
    </w:pPr>
    <w:rPr>
      <w:b w:val="0"/>
      <w:i/>
    </w:rPr>
  </w:style>
  <w:style w:type="paragraph" w:customStyle="1" w:styleId="OpiHa0">
    <w:name w:val="Opi_H_a"/>
    <w:basedOn w:val="OpiH1"/>
    <w:next w:val="OpiPara"/>
    <w:rsid w:val="00BD261D"/>
    <w:pPr>
      <w:ind w:left="834"/>
    </w:pPr>
    <w:rPr>
      <w:b/>
      <w:i w:val="0"/>
      <w:sz w:val="20"/>
    </w:rPr>
  </w:style>
  <w:style w:type="paragraph" w:customStyle="1" w:styleId="OpiHi">
    <w:name w:val="Opi_H_i"/>
    <w:basedOn w:val="OpiHa0"/>
    <w:next w:val="OpiPara"/>
    <w:rsid w:val="00BD261D"/>
    <w:pPr>
      <w:ind w:left="1038"/>
    </w:pPr>
    <w:rPr>
      <w:b w:val="0"/>
      <w:i/>
    </w:rPr>
  </w:style>
  <w:style w:type="paragraph" w:customStyle="1" w:styleId="PListArticleSubject">
    <w:name w:val="P_List_ArticleSubject"/>
    <w:basedOn w:val="Normal"/>
    <w:rsid w:val="00BD261D"/>
    <w:pPr>
      <w:tabs>
        <w:tab w:val="left" w:pos="2977"/>
      </w:tabs>
      <w:ind w:left="2977" w:hanging="2977"/>
    </w:pPr>
  </w:style>
  <w:style w:type="paragraph" w:customStyle="1" w:styleId="OpiQuot">
    <w:name w:val="Opi_Quot"/>
    <w:basedOn w:val="JuQuot"/>
    <w:rsid w:val="00BD261D"/>
  </w:style>
  <w:style w:type="paragraph" w:customStyle="1" w:styleId="SuCoverTitle1">
    <w:name w:val="Su_Cover_Title1"/>
    <w:basedOn w:val="Normal"/>
    <w:next w:val="SuCoverTitle2"/>
    <w:rsid w:val="00BD261D"/>
    <w:pPr>
      <w:spacing w:before="2500"/>
      <w:jc w:val="center"/>
    </w:pPr>
    <w:rPr>
      <w:sz w:val="22"/>
    </w:rPr>
  </w:style>
  <w:style w:type="paragraph" w:customStyle="1" w:styleId="SuCoverTitle2">
    <w:name w:val="Su_Cover_Title2"/>
    <w:basedOn w:val="SuCoverTitle1"/>
    <w:next w:val="Normal"/>
    <w:rsid w:val="00BD261D"/>
    <w:pPr>
      <w:spacing w:before="240"/>
    </w:pPr>
    <w:rPr>
      <w:sz w:val="18"/>
    </w:rPr>
  </w:style>
  <w:style w:type="paragraph" w:customStyle="1" w:styleId="SuPara">
    <w:name w:val="Su_Para"/>
    <w:basedOn w:val="SuKeywords"/>
    <w:rsid w:val="00BD261D"/>
    <w:pPr>
      <w:spacing w:before="0" w:after="0"/>
    </w:pPr>
    <w:rPr>
      <w:i w:val="0"/>
    </w:rPr>
  </w:style>
  <w:style w:type="paragraph" w:customStyle="1" w:styleId="SuKeywords">
    <w:name w:val="Su_Keywords"/>
    <w:basedOn w:val="SuHHead"/>
    <w:rsid w:val="00BD261D"/>
    <w:pPr>
      <w:spacing w:before="120"/>
    </w:pPr>
    <w:rPr>
      <w:b w:val="0"/>
      <w:i/>
    </w:rPr>
  </w:style>
  <w:style w:type="paragraph" w:customStyle="1" w:styleId="SuHHead">
    <w:name w:val="Su_H_Head"/>
    <w:basedOn w:val="SuSubject"/>
    <w:rsid w:val="00BD261D"/>
    <w:pPr>
      <w:spacing w:after="120"/>
    </w:pPr>
  </w:style>
  <w:style w:type="paragraph" w:customStyle="1" w:styleId="SuSubject">
    <w:name w:val="Su_Subject"/>
    <w:basedOn w:val="SuSummary"/>
    <w:rsid w:val="00BD261D"/>
    <w:pPr>
      <w:spacing w:before="360"/>
      <w:jc w:val="both"/>
    </w:pPr>
    <w:rPr>
      <w:b/>
      <w:sz w:val="22"/>
    </w:rPr>
  </w:style>
  <w:style w:type="paragraph" w:customStyle="1" w:styleId="SuSummary">
    <w:name w:val="Su_Summary"/>
    <w:basedOn w:val="Normal"/>
    <w:next w:val="SuSubject"/>
    <w:rsid w:val="00BD261D"/>
    <w:pPr>
      <w:spacing w:after="240"/>
      <w:jc w:val="center"/>
    </w:pPr>
  </w:style>
  <w:style w:type="paragraph" w:customStyle="1" w:styleId="PListCaseNo">
    <w:name w:val="P_List_CaseNo"/>
    <w:basedOn w:val="Normal"/>
    <w:rsid w:val="00BD261D"/>
    <w:pPr>
      <w:tabs>
        <w:tab w:val="left" w:pos="1276"/>
      </w:tabs>
      <w:spacing w:line="288" w:lineRule="auto"/>
      <w:ind w:left="1276" w:hanging="1276"/>
    </w:pPr>
  </w:style>
  <w:style w:type="paragraph" w:customStyle="1" w:styleId="PListCases">
    <w:name w:val="P_List_Cases"/>
    <w:basedOn w:val="Normal"/>
    <w:rsid w:val="00BD261D"/>
    <w:pPr>
      <w:spacing w:line="288" w:lineRule="auto"/>
    </w:pPr>
  </w:style>
  <w:style w:type="paragraph" w:customStyle="1" w:styleId="PTextIntro">
    <w:name w:val="P_Text_Intro"/>
    <w:basedOn w:val="Normal"/>
    <w:rsid w:val="00BD261D"/>
    <w:pPr>
      <w:jc w:val="both"/>
    </w:pPr>
    <w:rPr>
      <w:i/>
      <w:sz w:val="20"/>
    </w:rPr>
  </w:style>
  <w:style w:type="paragraph" w:customStyle="1" w:styleId="PTitleCover">
    <w:name w:val="P_Title_Cover"/>
    <w:basedOn w:val="Normal"/>
    <w:rsid w:val="00BD261D"/>
    <w:pPr>
      <w:spacing w:before="2500"/>
      <w:jc w:val="center"/>
    </w:pPr>
    <w:rPr>
      <w:b/>
      <w:smallCaps/>
      <w:sz w:val="30"/>
    </w:rPr>
  </w:style>
  <w:style w:type="paragraph" w:customStyle="1" w:styleId="PTitle1Alpha">
    <w:name w:val="P_Title1_Alpha"/>
    <w:basedOn w:val="Normal"/>
    <w:next w:val="Normal"/>
    <w:rsid w:val="00BD261D"/>
    <w:pPr>
      <w:spacing w:after="120"/>
      <w:jc w:val="center"/>
    </w:pPr>
    <w:rPr>
      <w:b/>
      <w:smallCaps/>
      <w:sz w:val="30"/>
    </w:rPr>
  </w:style>
  <w:style w:type="paragraph" w:customStyle="1" w:styleId="PTitle1IndexArticle">
    <w:name w:val="P_Title1_IndexArticle"/>
    <w:basedOn w:val="Normal"/>
    <w:rsid w:val="00BD261D"/>
    <w:pPr>
      <w:spacing w:after="120"/>
      <w:jc w:val="center"/>
    </w:pPr>
    <w:rPr>
      <w:b/>
      <w:smallCaps/>
      <w:sz w:val="30"/>
    </w:rPr>
  </w:style>
  <w:style w:type="paragraph" w:customStyle="1" w:styleId="PTitle1IndexKey">
    <w:name w:val="P_Title1_IndexKey"/>
    <w:basedOn w:val="Normal"/>
    <w:rsid w:val="00BD261D"/>
    <w:pPr>
      <w:spacing w:after="600"/>
      <w:jc w:val="center"/>
    </w:pPr>
    <w:rPr>
      <w:b/>
      <w:smallCaps/>
      <w:sz w:val="30"/>
    </w:rPr>
  </w:style>
  <w:style w:type="paragraph" w:customStyle="1" w:styleId="PTitle1Num">
    <w:name w:val="P_Title1_Num"/>
    <w:basedOn w:val="Normal"/>
    <w:next w:val="PListCaseNo"/>
    <w:rsid w:val="00BD261D"/>
    <w:pPr>
      <w:spacing w:after="720"/>
      <w:jc w:val="center"/>
    </w:pPr>
    <w:rPr>
      <w:b/>
      <w:smallCaps/>
      <w:sz w:val="30"/>
    </w:rPr>
  </w:style>
  <w:style w:type="paragraph" w:customStyle="1" w:styleId="PTitle2Country">
    <w:name w:val="P_Title2_Country"/>
    <w:basedOn w:val="Normal"/>
    <w:next w:val="PListCases"/>
    <w:rsid w:val="00BD261D"/>
    <w:pPr>
      <w:keepNext/>
      <w:keepLines/>
      <w:spacing w:before="600" w:after="360"/>
    </w:pPr>
    <w:rPr>
      <w:b/>
    </w:rPr>
  </w:style>
  <w:style w:type="paragraph" w:customStyle="1" w:styleId="PTitle2Letters">
    <w:name w:val="P_Title2_Letters"/>
    <w:basedOn w:val="Normal"/>
    <w:next w:val="PListCases"/>
    <w:rsid w:val="00BD261D"/>
    <w:pPr>
      <w:keepNext/>
      <w:keepLines/>
      <w:spacing w:before="600" w:after="360"/>
    </w:pPr>
    <w:rPr>
      <w:b/>
      <w:sz w:val="28"/>
    </w:rPr>
  </w:style>
  <w:style w:type="paragraph" w:customStyle="1" w:styleId="PTitle2Part">
    <w:name w:val="P_Title2_Part"/>
    <w:basedOn w:val="Normal"/>
    <w:rsid w:val="00BD261D"/>
    <w:pPr>
      <w:keepNext/>
      <w:keepLines/>
      <w:spacing w:before="600" w:after="240"/>
      <w:jc w:val="center"/>
    </w:pPr>
    <w:rPr>
      <w:b/>
      <w:caps/>
    </w:rPr>
  </w:style>
  <w:style w:type="paragraph" w:customStyle="1" w:styleId="PTitle3Article">
    <w:name w:val="P_Title3_Article"/>
    <w:basedOn w:val="Normal"/>
    <w:rsid w:val="00BD261D"/>
    <w:pPr>
      <w:keepNext/>
      <w:keepLines/>
      <w:spacing w:before="360" w:after="120"/>
      <w:jc w:val="center"/>
    </w:pPr>
    <w:rPr>
      <w:b/>
      <w:smallCaps/>
      <w:sz w:val="22"/>
    </w:rPr>
  </w:style>
  <w:style w:type="paragraph" w:customStyle="1" w:styleId="PTitle4ArticleSub">
    <w:name w:val="P_Title4_Article_Sub"/>
    <w:basedOn w:val="PTitle3Article"/>
    <w:rsid w:val="00BD261D"/>
    <w:pPr>
      <w:spacing w:before="240"/>
    </w:pPr>
    <w:rPr>
      <w:smallCaps w:val="0"/>
      <w:sz w:val="20"/>
    </w:rPr>
  </w:style>
  <w:style w:type="paragraph" w:customStyle="1" w:styleId="PTitle5Subject">
    <w:name w:val="P_Title5_Subject"/>
    <w:basedOn w:val="Normal"/>
    <w:rsid w:val="00BD261D"/>
    <w:pPr>
      <w:keepNext/>
      <w:keepLines/>
      <w:spacing w:before="240" w:after="120"/>
      <w:jc w:val="both"/>
    </w:pPr>
    <w:rPr>
      <w:b/>
      <w:i/>
    </w:rPr>
  </w:style>
  <w:style w:type="paragraph" w:customStyle="1" w:styleId="PTitle6SubjectSub">
    <w:name w:val="P_Title6_Subject_Sub"/>
    <w:basedOn w:val="Normal"/>
    <w:rsid w:val="00BD261D"/>
    <w:pPr>
      <w:keepNext/>
      <w:keepLines/>
      <w:spacing w:before="240" w:after="120"/>
      <w:ind w:left="284"/>
      <w:jc w:val="both"/>
    </w:pPr>
    <w:rPr>
      <w:b/>
      <w:sz w:val="20"/>
    </w:rPr>
  </w:style>
  <w:style w:type="paragraph" w:customStyle="1" w:styleId="PTitle7CaseName">
    <w:name w:val="P_Title7_CaseName"/>
    <w:basedOn w:val="Normal"/>
    <w:rsid w:val="00BD261D"/>
    <w:pPr>
      <w:keepLines/>
      <w:spacing w:after="240"/>
      <w:jc w:val="right"/>
    </w:pPr>
    <w:rPr>
      <w:sz w:val="22"/>
    </w:rPr>
  </w:style>
  <w:style w:type="paragraph" w:customStyle="1" w:styleId="OpiParaSub">
    <w:name w:val="Opi_Para_Sub"/>
    <w:basedOn w:val="JuParaSub"/>
    <w:rsid w:val="00BD261D"/>
  </w:style>
  <w:style w:type="paragraph" w:customStyle="1" w:styleId="OpiQuotSub">
    <w:name w:val="Opi_Quot_Sub"/>
    <w:basedOn w:val="JuQuotSub"/>
    <w:rsid w:val="00BD261D"/>
  </w:style>
  <w:style w:type="character" w:customStyle="1" w:styleId="JuSignedChar">
    <w:name w:val="Ju_Signed Char"/>
    <w:link w:val="JuSigned"/>
    <w:rsid w:val="00FA0C4E"/>
    <w:rPr>
      <w:sz w:val="24"/>
      <w:lang w:val="en-GB" w:eastAsia="fr-FR" w:bidi="ar-SA"/>
    </w:rPr>
  </w:style>
  <w:style w:type="character" w:customStyle="1" w:styleId="JuJudgesChar">
    <w:name w:val="Ju_Judges Char"/>
    <w:link w:val="JuJudges"/>
    <w:locked/>
    <w:rsid w:val="00A81F4B"/>
    <w:rPr>
      <w:sz w:val="24"/>
      <w:lang w:val="en-GB" w:eastAsia="fr-FR" w:bidi="ar-SA"/>
    </w:rPr>
  </w:style>
  <w:style w:type="character" w:customStyle="1" w:styleId="JuCaseChar">
    <w:name w:val="Ju_Case Char"/>
    <w:link w:val="JuCase"/>
    <w:rsid w:val="00577930"/>
    <w:rPr>
      <w:b/>
      <w:sz w:val="24"/>
      <w:lang w:val="en-GB" w:eastAsia="fr-FR" w:bidi="ar-SA"/>
    </w:rPr>
  </w:style>
  <w:style w:type="character" w:styleId="Hyperlink">
    <w:name w:val="Hyperlink"/>
    <w:rsid w:val="00431462"/>
    <w:rPr>
      <w:color w:val="0000FF"/>
      <w:u w:val="single"/>
    </w:rPr>
  </w:style>
  <w:style w:type="character" w:customStyle="1" w:styleId="JuParaCar">
    <w:name w:val="Ju_Para Car"/>
    <w:rsid w:val="00FB6043"/>
    <w:rPr>
      <w:sz w:val="24"/>
      <w:lang w:val="en-GB" w:eastAsia="fr-FR" w:bidi="ar-SA"/>
    </w:rPr>
  </w:style>
  <w:style w:type="character" w:customStyle="1" w:styleId="ju-005fpara-0020char--char">
    <w:name w:val="ju-005fpara-0020char--char"/>
    <w:basedOn w:val="DefaultParagraphFont"/>
    <w:rsid w:val="000C7852"/>
  </w:style>
  <w:style w:type="character" w:customStyle="1" w:styleId="ju-005fpara--char">
    <w:name w:val="ju-005fpara--char"/>
    <w:basedOn w:val="DefaultParagraphFont"/>
    <w:rsid w:val="00595231"/>
  </w:style>
  <w:style w:type="paragraph" w:customStyle="1" w:styleId="ju-005fpara">
    <w:name w:val="ju-005fpara"/>
    <w:basedOn w:val="Normal"/>
    <w:rsid w:val="0018665D"/>
    <w:pPr>
      <w:suppressAutoHyphens w:val="0"/>
      <w:spacing w:before="100" w:beforeAutospacing="1" w:after="100" w:afterAutospacing="1"/>
    </w:pPr>
    <w:rPr>
      <w:szCs w:val="24"/>
      <w:lang w:eastAsia="en-GB"/>
    </w:rPr>
  </w:style>
  <w:style w:type="character" w:customStyle="1" w:styleId="MecelleChar">
    <w:name w:val="Mecelle Char"/>
    <w:link w:val="Mecelle"/>
    <w:locked/>
    <w:rsid w:val="00EE260A"/>
    <w:rPr>
      <w:rFonts w:ascii="Palatino Linotype" w:hAnsi="Palatino Linotype" w:cs="Tahoma"/>
      <w:sz w:val="22"/>
      <w:szCs w:val="22"/>
      <w:lang w:val="en-GB" w:eastAsia="en-GB" w:bidi="ar-SA"/>
    </w:rPr>
  </w:style>
  <w:style w:type="paragraph" w:customStyle="1" w:styleId="Mecelle">
    <w:name w:val="Mecelle"/>
    <w:basedOn w:val="NormalWeb"/>
    <w:link w:val="MecelleChar"/>
    <w:rsid w:val="00EE260A"/>
    <w:pPr>
      <w:tabs>
        <w:tab w:val="left" w:pos="397"/>
      </w:tabs>
      <w:suppressAutoHyphens w:val="0"/>
      <w:ind w:firstLine="360"/>
      <w:jc w:val="both"/>
    </w:pPr>
    <w:rPr>
      <w:rFonts w:ascii="Palatino Linotype" w:hAnsi="Palatino Linotype" w:cs="Tahoma"/>
      <w:sz w:val="22"/>
      <w:szCs w:val="22"/>
      <w:lang w:eastAsia="en-GB"/>
    </w:rPr>
  </w:style>
  <w:style w:type="paragraph" w:styleId="NormalWeb">
    <w:name w:val="Normal (Web)"/>
    <w:basedOn w:val="Normal"/>
    <w:rsid w:val="00EE260A"/>
    <w:rPr>
      <w:szCs w:val="24"/>
    </w:rPr>
  </w:style>
  <w:style w:type="character" w:customStyle="1" w:styleId="strong--char">
    <w:name w:val="strong--char"/>
    <w:basedOn w:val="DefaultParagraphFont"/>
    <w:rsid w:val="00B4028F"/>
  </w:style>
  <w:style w:type="paragraph" w:customStyle="1" w:styleId="dec-005fh-005fcase">
    <w:name w:val="dec-005fh-005fcase"/>
    <w:basedOn w:val="Normal"/>
    <w:rsid w:val="009E6492"/>
    <w:pPr>
      <w:suppressAutoHyphens w:val="0"/>
      <w:spacing w:before="100" w:beforeAutospacing="1" w:after="100" w:afterAutospacing="1"/>
    </w:pPr>
    <w:rPr>
      <w:szCs w:val="24"/>
      <w:lang w:eastAsia="en-GB"/>
    </w:rPr>
  </w:style>
  <w:style w:type="paragraph" w:styleId="DocumentMap">
    <w:name w:val="Document Map"/>
    <w:basedOn w:val="Normal"/>
    <w:semiHidden/>
    <w:rsid w:val="00AF60D4"/>
    <w:pPr>
      <w:shd w:val="clear" w:color="auto" w:fill="000080"/>
    </w:pPr>
    <w:rPr>
      <w:rFonts w:ascii="Tahoma" w:hAnsi="Tahoma" w:cs="Tahoma"/>
      <w:sz w:val="20"/>
    </w:rPr>
  </w:style>
  <w:style w:type="paragraph" w:customStyle="1" w:styleId="ju-005flist-005fa">
    <w:name w:val="ju-005flist-005fa"/>
    <w:basedOn w:val="Normal"/>
    <w:rsid w:val="00F36D84"/>
    <w:pPr>
      <w:suppressAutoHyphens w:val="0"/>
      <w:spacing w:before="100" w:beforeAutospacing="1" w:after="100" w:afterAutospacing="1"/>
    </w:pPr>
    <w:rPr>
      <w:szCs w:val="24"/>
      <w:lang w:eastAsia="en-GB"/>
    </w:rPr>
  </w:style>
  <w:style w:type="paragraph" w:customStyle="1" w:styleId="ju-005flist-005fi">
    <w:name w:val="ju-005flist-005fi"/>
    <w:basedOn w:val="Normal"/>
    <w:rsid w:val="00F36D84"/>
    <w:pPr>
      <w:suppressAutoHyphens w:val="0"/>
      <w:spacing w:before="100" w:beforeAutospacing="1" w:after="100" w:afterAutospacing="1"/>
    </w:pPr>
    <w:rPr>
      <w:szCs w:val="24"/>
      <w:lang w:eastAsia="en-GB"/>
    </w:rPr>
  </w:style>
  <w:style w:type="paragraph" w:styleId="Revision">
    <w:name w:val="Revision"/>
    <w:hidden/>
    <w:uiPriority w:val="99"/>
    <w:semiHidden/>
    <w:rsid w:val="00AE6368"/>
    <w:rPr>
      <w:sz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320">
      <w:bodyDiv w:val="1"/>
      <w:marLeft w:val="0"/>
      <w:marRight w:val="0"/>
      <w:marTop w:val="0"/>
      <w:marBottom w:val="0"/>
      <w:divBdr>
        <w:top w:val="none" w:sz="0" w:space="0" w:color="auto"/>
        <w:left w:val="none" w:sz="0" w:space="0" w:color="auto"/>
        <w:bottom w:val="none" w:sz="0" w:space="0" w:color="auto"/>
        <w:right w:val="none" w:sz="0" w:space="0" w:color="auto"/>
      </w:divBdr>
    </w:div>
    <w:div w:id="640691671">
      <w:bodyDiv w:val="1"/>
      <w:marLeft w:val="0"/>
      <w:marRight w:val="0"/>
      <w:marTop w:val="0"/>
      <w:marBottom w:val="0"/>
      <w:divBdr>
        <w:top w:val="none" w:sz="0" w:space="0" w:color="auto"/>
        <w:left w:val="none" w:sz="0" w:space="0" w:color="auto"/>
        <w:bottom w:val="none" w:sz="0" w:space="0" w:color="auto"/>
        <w:right w:val="none" w:sz="0" w:space="0" w:color="auto"/>
      </w:divBdr>
    </w:div>
    <w:div w:id="963920891">
      <w:bodyDiv w:val="1"/>
      <w:marLeft w:val="0"/>
      <w:marRight w:val="0"/>
      <w:marTop w:val="0"/>
      <w:marBottom w:val="0"/>
      <w:divBdr>
        <w:top w:val="none" w:sz="0" w:space="0" w:color="auto"/>
        <w:left w:val="none" w:sz="0" w:space="0" w:color="auto"/>
        <w:bottom w:val="none" w:sz="0" w:space="0" w:color="auto"/>
        <w:right w:val="none" w:sz="0" w:space="0" w:color="auto"/>
      </w:divBdr>
    </w:div>
    <w:div w:id="1079326733">
      <w:bodyDiv w:val="1"/>
      <w:marLeft w:val="0"/>
      <w:marRight w:val="0"/>
      <w:marTop w:val="0"/>
      <w:marBottom w:val="0"/>
      <w:divBdr>
        <w:top w:val="none" w:sz="0" w:space="0" w:color="auto"/>
        <w:left w:val="none" w:sz="0" w:space="0" w:color="auto"/>
        <w:bottom w:val="none" w:sz="0" w:space="0" w:color="auto"/>
        <w:right w:val="none" w:sz="0" w:space="0" w:color="auto"/>
      </w:divBdr>
    </w:div>
    <w:div w:id="11526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A6097-C36E-4A18-A9FA-5B3D4E6CC0F3}"/>
</file>

<file path=customXml/itemProps2.xml><?xml version="1.0" encoding="utf-8"?>
<ds:datastoreItem xmlns:ds="http://schemas.openxmlformats.org/officeDocument/2006/customXml" ds:itemID="{8B9232A2-BC5E-4B8F-ACCC-B79446E585E6}"/>
</file>

<file path=customXml/itemProps3.xml><?xml version="1.0" encoding="utf-8"?>
<ds:datastoreItem xmlns:ds="http://schemas.openxmlformats.org/officeDocument/2006/customXml" ds:itemID="{0087B326-4651-4F5C-99F3-59B6E0605940}"/>
</file>

<file path=customXml/itemProps4.xml><?xml version="1.0" encoding="utf-8"?>
<ds:datastoreItem xmlns:ds="http://schemas.openxmlformats.org/officeDocument/2006/customXml" ds:itemID="{3A751829-9E00-4738-BC55-56B1500B010B}"/>
</file>

<file path=docProps/app.xml><?xml version="1.0" encoding="utf-8"?>
<Properties xmlns="http://schemas.openxmlformats.org/officeDocument/2006/extended-properties" xmlns:vt="http://schemas.openxmlformats.org/officeDocument/2006/docPropsVTypes">
  <Template>Normal.dotm</Template>
  <TotalTime>0</TotalTime>
  <Pages>1</Pages>
  <Words>10614</Words>
  <Characters>60500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70973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cp:lastModifiedBy/>
  <cp:revision>1</cp:revision>
  <cp:lastPrinted>2009-09-24T11:38:00Z</cp:lastPrinted>
  <dcterms:created xsi:type="dcterms:W3CDTF">2020-02-03T07:16:00Z</dcterms:created>
  <dcterms:modified xsi:type="dcterms:W3CDTF">2020-02-03T07:16:00Z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