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6A" w:rsidRDefault="0006396A">
      <w:pPr>
        <w:jc w:val="center"/>
      </w:pPr>
    </w:p>
    <w:p w:rsidRPr="0006396A" w:rsidR="00CD49A7" w:rsidRDefault="00CD49A7">
      <w:pPr>
        <w:jc w:val="center"/>
      </w:pPr>
    </w:p>
    <w:p w:rsidRPr="0006396A" w:rsidR="00CD49A7" w:rsidRDefault="0006396A">
      <w:pPr>
        <w:jc w:val="center"/>
      </w:pPr>
      <w:r w:rsidRPr="0006396A">
        <w:t>FIRST SECTION</w:t>
      </w:r>
    </w:p>
    <w:p w:rsidR="0006396A" w:rsidRDefault="0006396A">
      <w:pPr>
        <w:jc w:val="center"/>
      </w:pPr>
    </w:p>
    <w:p w:rsidRPr="0006396A" w:rsidR="00CD49A7" w:rsidRDefault="00CD49A7">
      <w:pPr>
        <w:jc w:val="center"/>
      </w:pPr>
    </w:p>
    <w:p w:rsidRPr="0006396A" w:rsidR="00CD49A7" w:rsidRDefault="00CD49A7">
      <w:pPr>
        <w:jc w:val="center"/>
        <w:rPr>
          <w:b/>
        </w:rPr>
      </w:pPr>
      <w:r w:rsidRPr="0006396A">
        <w:rPr>
          <w:b/>
        </w:rPr>
        <w:t xml:space="preserve">CASE OF </w:t>
      </w:r>
      <w:r w:rsidRPr="0006396A" w:rsidR="0006396A">
        <w:rPr>
          <w:b/>
        </w:rPr>
        <w:t xml:space="preserve">VEREINIGUNG BILDENDER KÜNSTLER v. </w:t>
      </w:r>
      <w:smartTag w:uri="urn:schemas-microsoft-com:office:smarttags" w:element="place">
        <w:smartTag w:uri="urn:schemas-microsoft-com:office:smarttags" w:element="country-region">
          <w:r w:rsidR="0006396A" w:rsidRPr="0006396A">
            <w:rPr>
              <w:b/>
            </w:rPr>
            <w:t>AUSTRIA</w:t>
          </w:r>
        </w:smartTag>
      </w:smartTag>
    </w:p>
    <w:p w:rsidR="00CD49A7" w:rsidRDefault="00CD49A7">
      <w:pPr>
        <w:jc w:val="center"/>
      </w:pPr>
    </w:p>
    <w:p w:rsidRPr="0006396A" w:rsidR="00F72065" w:rsidRDefault="00F72065">
      <w:pPr>
        <w:jc w:val="center"/>
      </w:pPr>
    </w:p>
    <w:p w:rsidRPr="0006396A" w:rsidR="00CD49A7" w:rsidRDefault="00CD49A7">
      <w:pPr>
        <w:jc w:val="center"/>
        <w:rPr>
          <w:i/>
        </w:rPr>
      </w:pPr>
      <w:r w:rsidRPr="0006396A">
        <w:rPr>
          <w:i/>
        </w:rPr>
        <w:t>(</w:t>
      </w:r>
      <w:r w:rsidRPr="0006396A" w:rsidR="0006396A">
        <w:rPr>
          <w:i/>
        </w:rPr>
        <w:t>Application no. 68354/01</w:t>
      </w:r>
      <w:r w:rsidRPr="0006396A">
        <w:rPr>
          <w:i/>
        </w:rPr>
        <w:t>)</w:t>
      </w:r>
    </w:p>
    <w:p w:rsidR="0006396A" w:rsidP="004268A1" w:rsidRDefault="0006396A">
      <w:pPr>
        <w:pStyle w:val="JuPara"/>
      </w:pPr>
    </w:p>
    <w:p w:rsidR="0006396A" w:rsidP="004268A1" w:rsidRDefault="0006396A">
      <w:pPr>
        <w:pStyle w:val="JuPara"/>
      </w:pPr>
    </w:p>
    <w:p w:rsidR="0006396A" w:rsidP="004268A1" w:rsidRDefault="0006396A">
      <w:pPr>
        <w:jc w:val="center"/>
      </w:pPr>
      <w:r>
        <w:t>JUDGMENT</w:t>
      </w:r>
    </w:p>
    <w:p w:rsidR="0006396A" w:rsidP="004268A1" w:rsidRDefault="0006396A">
      <w:pPr>
        <w:pStyle w:val="JuPara"/>
      </w:pPr>
    </w:p>
    <w:p w:rsidR="004268A1" w:rsidP="004268A1" w:rsidRDefault="004268A1">
      <w:pPr>
        <w:pStyle w:val="JuPara"/>
      </w:pPr>
    </w:p>
    <w:p w:rsidR="0006396A" w:rsidP="004268A1" w:rsidRDefault="0006396A">
      <w:pPr>
        <w:jc w:val="center"/>
      </w:pPr>
      <w:smartTag w:uri="urn:schemas-microsoft-com:office:smarttags" w:element="City">
        <w:smartTag w:uri="urn:schemas-microsoft-com:office:smarttags" w:element="place">
          <w:r>
            <w:t>STRASBOURG</w:t>
          </w:r>
        </w:smartTag>
      </w:smartTag>
    </w:p>
    <w:p w:rsidR="00A66C24" w:rsidP="004268A1" w:rsidRDefault="00A66C24">
      <w:pPr>
        <w:pStyle w:val="JuPara"/>
        <w:jc w:val="center"/>
      </w:pPr>
    </w:p>
    <w:p w:rsidR="00F72065" w:rsidP="004268A1" w:rsidRDefault="00F72065">
      <w:pPr>
        <w:pStyle w:val="JuPara"/>
        <w:jc w:val="center"/>
      </w:pPr>
    </w:p>
    <w:p w:rsidR="0006396A" w:rsidP="00A66C24" w:rsidRDefault="00F333B9">
      <w:pPr>
        <w:pStyle w:val="JuPara"/>
        <w:ind w:firstLine="0"/>
        <w:jc w:val="center"/>
      </w:pPr>
      <w:r>
        <w:t>25 January 2007</w:t>
      </w:r>
    </w:p>
    <w:p w:rsidR="0006396A" w:rsidP="004268A1" w:rsidRDefault="0006396A">
      <w:pPr>
        <w:pStyle w:val="JuPara"/>
      </w:pPr>
    </w:p>
    <w:p w:rsidR="00F72065" w:rsidP="00F72065" w:rsidRDefault="00F72065">
      <w:pPr>
        <w:jc w:val="center"/>
        <w:rPr>
          <w:color w:val="FF0000"/>
        </w:rPr>
      </w:pPr>
    </w:p>
    <w:p w:rsidR="00F72065" w:rsidP="00F72065" w:rsidRDefault="00F72065">
      <w:pPr>
        <w:jc w:val="center"/>
        <w:rPr>
          <w:color w:val="FF0000"/>
        </w:rPr>
      </w:pPr>
    </w:p>
    <w:p w:rsidR="00F72065" w:rsidP="00F72065" w:rsidRDefault="00F72065">
      <w:pPr>
        <w:jc w:val="center"/>
        <w:rPr>
          <w:b/>
          <w:color w:val="FF0000"/>
          <w:sz w:val="36"/>
          <w:u w:val="single"/>
        </w:rPr>
      </w:pPr>
      <w:r>
        <w:rPr>
          <w:b/>
          <w:color w:val="FF0000"/>
          <w:sz w:val="36"/>
          <w:u w:val="single"/>
        </w:rPr>
        <w:t>FINAL</w:t>
      </w:r>
    </w:p>
    <w:p w:rsidR="00F72065" w:rsidP="00F72065" w:rsidRDefault="00F72065">
      <w:pPr>
        <w:jc w:val="center"/>
        <w:rPr>
          <w:color w:val="FF0000"/>
        </w:rPr>
      </w:pPr>
    </w:p>
    <w:p w:rsidR="00F72065" w:rsidP="00F72065" w:rsidRDefault="00F72065">
      <w:pPr>
        <w:jc w:val="center"/>
        <w:rPr>
          <w:color w:val="FF0000"/>
        </w:rPr>
      </w:pPr>
    </w:p>
    <w:p w:rsidR="00F72065" w:rsidP="00F72065" w:rsidRDefault="00F72065">
      <w:pPr>
        <w:jc w:val="center"/>
        <w:rPr>
          <w:i/>
          <w:color w:val="FF0000"/>
          <w:sz w:val="36"/>
        </w:rPr>
      </w:pPr>
      <w:r>
        <w:rPr>
          <w:i/>
          <w:color w:val="FF0000"/>
          <w:sz w:val="36"/>
        </w:rPr>
        <w:t>25/04/2007</w:t>
      </w:r>
    </w:p>
    <w:p w:rsidR="00F72065" w:rsidP="00F72065" w:rsidRDefault="00F72065">
      <w:pPr>
        <w:jc w:val="center"/>
        <w:rPr>
          <w:color w:val="FF0000"/>
        </w:rPr>
      </w:pPr>
      <w:bookmarkStart w:name="OLE_LINK1" w:id="0"/>
      <w:bookmarkStart w:name="OLE_LINK2" w:id="1"/>
      <w:bookmarkEnd w:id="0"/>
      <w:bookmarkEnd w:id="1"/>
    </w:p>
    <w:p w:rsidR="004268A1" w:rsidP="004268A1" w:rsidRDefault="004268A1">
      <w:pPr>
        <w:pStyle w:val="JuPara"/>
      </w:pPr>
    </w:p>
    <w:p w:rsidRPr="0006396A" w:rsidR="0006396A" w:rsidP="004268A1" w:rsidRDefault="0006396A">
      <w:pPr>
        <w:pStyle w:val="JuPara"/>
        <w:sectPr w:rsidRPr="0006396A" w:rsidR="0006396A" w:rsidSect="0006396A">
          <w:headerReference w:type="default" r:id="rId7"/>
          <w:footnotePr>
            <w:numRestart w:val="eachPage"/>
          </w:footnotePr>
          <w:pgSz w:w="11906" w:h="16838" w:code="9"/>
          <w:pgMar w:top="2274" w:right="2274" w:bottom="2274" w:left="2274" w:header="1701" w:footer="720" w:gutter="0"/>
          <w:pgNumType w:start="1"/>
          <w:cols w:space="720"/>
          <w:docGrid w:linePitch="78"/>
        </w:sectPr>
      </w:pPr>
      <w:r>
        <w:rPr>
          <w:i/>
        </w:rPr>
        <w:t>This judgment will become final in the circumstances set out in Article 44 § 2 of the Convention. It may be subject to editorial revision.</w:t>
      </w:r>
    </w:p>
    <w:p w:rsidR="00DA3CF6" w:rsidP="0006396A" w:rsidRDefault="00DA3CF6">
      <w:pPr>
        <w:pStyle w:val="JuCase"/>
      </w:pPr>
      <w:r>
        <w:t xml:space="preserve">In the case of Vereinigung Bildender Künstler v. </w:t>
      </w:r>
      <w:smartTag w:uri="urn:schemas-microsoft-com:office:smarttags" w:element="place">
        <w:smartTag w:uri="urn:schemas-microsoft-com:office:smarttags" w:element="country-region">
          <w:r>
            <w:t>Austria</w:t>
          </w:r>
        </w:smartTag>
      </w:smartTag>
      <w:r>
        <w:t>,</w:t>
      </w:r>
    </w:p>
    <w:p w:rsidRPr="00DA3CF6" w:rsidR="0006396A" w:rsidP="0006396A" w:rsidRDefault="0006396A">
      <w:pPr>
        <w:pStyle w:val="JuCase"/>
        <w:rPr>
          <w:b w:val="0"/>
        </w:rPr>
      </w:pPr>
      <w:r w:rsidRPr="00DA3CF6">
        <w:rPr>
          <w:b w:val="0"/>
        </w:rPr>
        <w:t>The European Court of Human Rights (First Section), sitting as a Chamber composed of:</w:t>
      </w:r>
    </w:p>
    <w:p w:rsidRPr="00981CED" w:rsidR="0006396A" w:rsidP="0006396A" w:rsidRDefault="00172E00">
      <w:pPr>
        <w:pStyle w:val="JuJudges"/>
      </w:pPr>
      <w:r>
        <w:tab/>
      </w:r>
      <w:r w:rsidRPr="00D855C3">
        <w:t>Mr</w:t>
      </w:r>
      <w:r w:rsidRPr="00D855C3">
        <w:tab/>
      </w:r>
      <w:r w:rsidRPr="00D855C3">
        <w:rPr>
          <w:rStyle w:val="JuNames"/>
        </w:rPr>
        <w:t>C.L.</w:t>
      </w:r>
      <w:r w:rsidRPr="00D855C3">
        <w:t xml:space="preserve"> </w:t>
      </w:r>
      <w:r w:rsidRPr="00D855C3">
        <w:rPr>
          <w:rStyle w:val="JuNames"/>
        </w:rPr>
        <w:t>Rozakis</w:t>
      </w:r>
      <w:r w:rsidRPr="00D855C3">
        <w:t xml:space="preserve">, </w:t>
      </w:r>
      <w:r w:rsidRPr="00D855C3">
        <w:rPr>
          <w:i/>
        </w:rPr>
        <w:t>President</w:t>
      </w:r>
      <w:r w:rsidRPr="00D855C3">
        <w:t>,</w:t>
      </w:r>
      <w:r w:rsidRPr="00D855C3">
        <w:br/>
      </w:r>
      <w:r w:rsidRPr="00D855C3">
        <w:tab/>
        <w:t>Mr</w:t>
      </w:r>
      <w:r w:rsidRPr="00D855C3">
        <w:tab/>
      </w:r>
      <w:r w:rsidRPr="00D855C3">
        <w:rPr>
          <w:rStyle w:val="JuNames"/>
        </w:rPr>
        <w:t>L.</w:t>
      </w:r>
      <w:r w:rsidRPr="00D855C3">
        <w:t xml:space="preserve"> </w:t>
      </w:r>
      <w:r w:rsidRPr="00D855C3">
        <w:rPr>
          <w:rStyle w:val="JuNames"/>
        </w:rPr>
        <w:t>Loucaides</w:t>
      </w:r>
      <w:r w:rsidRPr="00D855C3">
        <w:t>,</w:t>
      </w:r>
      <w:r w:rsidRPr="00D855C3">
        <w:br/>
      </w:r>
      <w:r w:rsidRPr="00D855C3">
        <w:tab/>
        <w:t>Mrs</w:t>
      </w:r>
      <w:r w:rsidRPr="00D855C3">
        <w:tab/>
      </w:r>
      <w:r w:rsidRPr="00D855C3">
        <w:rPr>
          <w:rStyle w:val="JuNames"/>
        </w:rPr>
        <w:t>F.</w:t>
      </w:r>
      <w:r w:rsidRPr="00D855C3">
        <w:t xml:space="preserve"> </w:t>
      </w:r>
      <w:r w:rsidRPr="00D855C3">
        <w:rPr>
          <w:rStyle w:val="JuNames"/>
        </w:rPr>
        <w:t>Tulkens</w:t>
      </w:r>
      <w:r w:rsidRPr="00D855C3">
        <w:t>,</w:t>
      </w:r>
      <w:r w:rsidRPr="00D855C3">
        <w:br/>
      </w:r>
      <w:r w:rsidRPr="00D855C3">
        <w:tab/>
        <w:t>Mrs</w:t>
      </w:r>
      <w:r w:rsidRPr="00D855C3">
        <w:tab/>
      </w:r>
      <w:r w:rsidRPr="00D855C3">
        <w:rPr>
          <w:rStyle w:val="JuNames"/>
        </w:rPr>
        <w:t>E.</w:t>
      </w:r>
      <w:r w:rsidRPr="00D855C3">
        <w:t xml:space="preserve"> </w:t>
      </w:r>
      <w:r w:rsidRPr="00D855C3">
        <w:rPr>
          <w:rStyle w:val="JuNames"/>
        </w:rPr>
        <w:t>Steiner</w:t>
      </w:r>
      <w:r w:rsidRPr="00D855C3">
        <w:t>,</w:t>
      </w:r>
      <w:r w:rsidRPr="00D855C3">
        <w:br/>
      </w:r>
      <w:r w:rsidRPr="00D855C3">
        <w:tab/>
        <w:t>Mr</w:t>
      </w:r>
      <w:r w:rsidRPr="00D855C3">
        <w:tab/>
      </w:r>
      <w:r w:rsidRPr="00D855C3">
        <w:rPr>
          <w:rStyle w:val="JuNames"/>
        </w:rPr>
        <w:t>K.</w:t>
      </w:r>
      <w:r w:rsidRPr="00D855C3">
        <w:t xml:space="preserve"> </w:t>
      </w:r>
      <w:r w:rsidRPr="00D855C3">
        <w:rPr>
          <w:rStyle w:val="JuNames"/>
        </w:rPr>
        <w:t>Hajiyev</w:t>
      </w:r>
      <w:r w:rsidRPr="00D855C3">
        <w:t>,</w:t>
      </w:r>
      <w:r w:rsidRPr="00D855C3">
        <w:br/>
      </w:r>
      <w:r w:rsidRPr="00D855C3">
        <w:tab/>
        <w:t>Mr</w:t>
      </w:r>
      <w:r w:rsidRPr="00D855C3">
        <w:tab/>
      </w:r>
      <w:r w:rsidRPr="00D855C3">
        <w:rPr>
          <w:rStyle w:val="JuNames"/>
        </w:rPr>
        <w:t>D.</w:t>
      </w:r>
      <w:r w:rsidRPr="00D855C3">
        <w:t xml:space="preserve"> </w:t>
      </w:r>
      <w:r w:rsidRPr="00D855C3">
        <w:rPr>
          <w:rStyle w:val="JuNames"/>
        </w:rPr>
        <w:t>Spielmann</w:t>
      </w:r>
      <w:r w:rsidRPr="00D855C3">
        <w:rPr>
          <w:rStyle w:val="JuNames"/>
          <w:smallCaps w:val="0"/>
        </w:rPr>
        <w:t>,</w:t>
      </w:r>
      <w:r w:rsidRPr="00D855C3">
        <w:rPr>
          <w:rStyle w:val="JuNames"/>
        </w:rPr>
        <w:br/>
      </w:r>
      <w:r w:rsidRPr="00D855C3">
        <w:tab/>
        <w:t>Mr</w:t>
      </w:r>
      <w:r w:rsidRPr="00D855C3">
        <w:tab/>
      </w:r>
      <w:r w:rsidRPr="00D855C3">
        <w:rPr>
          <w:rStyle w:val="JuNames"/>
        </w:rPr>
        <w:t>S.E.</w:t>
      </w:r>
      <w:r w:rsidRPr="00D855C3">
        <w:t xml:space="preserve"> </w:t>
      </w:r>
      <w:r w:rsidRPr="00D855C3">
        <w:rPr>
          <w:rStyle w:val="JuNames"/>
        </w:rPr>
        <w:t>Jebens,</w:t>
      </w:r>
      <w:r w:rsidRPr="00D855C3">
        <w:t xml:space="preserve"> </w:t>
      </w:r>
      <w:r w:rsidRPr="00D855C3">
        <w:rPr>
          <w:i/>
        </w:rPr>
        <w:t>judges</w:t>
      </w:r>
      <w:r w:rsidRPr="00D855C3">
        <w:t>,</w:t>
      </w:r>
      <w:r w:rsidRPr="00981CED" w:rsidR="0006396A">
        <w:br/>
        <w:t xml:space="preserve">and Mr </w:t>
      </w:r>
      <w:r w:rsidRPr="00981CED" w:rsidR="0006396A">
        <w:rPr>
          <w:rStyle w:val="JuNames"/>
        </w:rPr>
        <w:t>S.</w:t>
      </w:r>
      <w:r w:rsidRPr="00981CED" w:rsidR="0006396A">
        <w:t xml:space="preserve"> </w:t>
      </w:r>
      <w:r w:rsidRPr="00981CED" w:rsidR="0006396A">
        <w:rPr>
          <w:rStyle w:val="JuNames"/>
        </w:rPr>
        <w:t>Nielsen</w:t>
      </w:r>
      <w:r w:rsidRPr="00981CED" w:rsidR="0006396A">
        <w:t xml:space="preserve">, </w:t>
      </w:r>
      <w:r w:rsidRPr="00981CED" w:rsidR="0006396A">
        <w:rPr>
          <w:i/>
        </w:rPr>
        <w:t>Section Registrar</w:t>
      </w:r>
      <w:r w:rsidRPr="00981CED" w:rsidR="0006396A">
        <w:t>,</w:t>
      </w:r>
    </w:p>
    <w:p w:rsidR="00AE12A4" w:rsidP="004268A1" w:rsidRDefault="0006396A">
      <w:pPr>
        <w:pStyle w:val="JuPara"/>
      </w:pPr>
      <w:r w:rsidRPr="00981CED">
        <w:t xml:space="preserve">Having deliberated in private on </w:t>
      </w:r>
      <w:r w:rsidR="00172E00">
        <w:t>19 October 2006,</w:t>
      </w:r>
    </w:p>
    <w:p w:rsidRPr="00981CED" w:rsidR="0006396A" w:rsidP="004268A1" w:rsidRDefault="0006396A">
      <w:pPr>
        <w:pStyle w:val="JuPara"/>
      </w:pPr>
      <w:r w:rsidRPr="00981CED">
        <w:t>Delivers the following ju</w:t>
      </w:r>
      <w:r>
        <w:t>dgment, which was adopted on that</w:t>
      </w:r>
      <w:r w:rsidRPr="00981CED">
        <w:t xml:space="preserve"> date:</w:t>
      </w:r>
    </w:p>
    <w:p w:rsidRPr="00981CED" w:rsidR="0006396A" w:rsidP="0006396A" w:rsidRDefault="0006396A">
      <w:pPr>
        <w:pStyle w:val="JuHHead"/>
      </w:pPr>
      <w:r w:rsidRPr="00981CED">
        <w:t>PROCEDURE</w:t>
      </w:r>
    </w:p>
    <w:p w:rsidR="00AE12A4" w:rsidP="004268A1" w:rsidRDefault="0006396A">
      <w:pPr>
        <w:pStyle w:val="JuPara"/>
      </w:pPr>
      <w:r w:rsidRPr="00981CED">
        <w:fldChar w:fldCharType="begin"/>
      </w:r>
      <w:r w:rsidRPr="00981CED">
        <w:instrText xml:space="preserve"> SEQ level0 \*arabic </w:instrText>
      </w:r>
      <w:r w:rsidRPr="00981CED">
        <w:fldChar w:fldCharType="separate"/>
      </w:r>
      <w:r w:rsidR="00BE5DA2">
        <w:rPr>
          <w:noProof/>
        </w:rPr>
        <w:t>1</w:t>
      </w:r>
      <w:r w:rsidRPr="00981CED">
        <w:fldChar w:fldCharType="end"/>
      </w:r>
      <w:r w:rsidRPr="00981CED">
        <w:t xml:space="preserve">.  The case originated in an application (no. 68354/01) against the </w:t>
      </w:r>
      <w:smartTag w:uri="urn:schemas-microsoft-com:office:smarttags" w:element="place">
        <w:smartTag w:uri="urn:schemas-microsoft-com:office:smarttags" w:element="PlaceType">
          <w:r w:rsidRPr="00981CED">
            <w:t>Republic</w:t>
          </w:r>
        </w:smartTag>
        <w:r w:rsidRPr="00981CED">
          <w:t xml:space="preserve"> of </w:t>
        </w:r>
        <w:smartTag w:uri="urn:schemas-microsoft-com:office:smarttags" w:element="PlaceName">
          <w:r w:rsidRPr="00981CED">
            <w:t>Austria</w:t>
          </w:r>
        </w:smartTag>
      </w:smartTag>
      <w:r w:rsidRPr="00981CED">
        <w:t xml:space="preserve"> lodged with the Court under Article 34 of the Convention for the Protection of Human Rights and Fundamental Freedoms (</w:t>
      </w:r>
      <w:r>
        <w:t>“</w:t>
      </w:r>
      <w:r w:rsidRPr="00981CED">
        <w:t>the Convention</w:t>
      </w:r>
      <w:r>
        <w:t>”</w:t>
      </w:r>
      <w:r w:rsidRPr="00981CED">
        <w:t xml:space="preserve">) by </w:t>
      </w:r>
      <w:r>
        <w:t>an</w:t>
      </w:r>
      <w:r w:rsidRPr="00981CED">
        <w:t xml:space="preserve"> </w:t>
      </w:r>
      <w:r>
        <w:t>association, Vereinigung</w:t>
      </w:r>
      <w:bookmarkStart w:name="_GoBack" w:id="2"/>
      <w:bookmarkEnd w:id="2"/>
      <w:r>
        <w:t xml:space="preserve"> Bildender Kü</w:t>
      </w:r>
      <w:r w:rsidRPr="00981CED">
        <w:t>nstler (</w:t>
      </w:r>
      <w:r>
        <w:t>“</w:t>
      </w:r>
      <w:r w:rsidRPr="00981CED">
        <w:t>the applicant</w:t>
      </w:r>
      <w:r>
        <w:t xml:space="preserve"> association”</w:t>
      </w:r>
      <w:r w:rsidRPr="00981CED">
        <w:t xml:space="preserve">), on </w:t>
      </w:r>
      <w:smartTag w:uri="urn:schemas-microsoft-com:office:smarttags" w:element="date">
        <w:smartTagPr>
          <w:attr w:name="Month" w:val="3"/>
          <w:attr w:name="Day" w:val="12"/>
          <w:attr w:name="Year" w:val="2001"/>
        </w:smartTagPr>
        <w:r w:rsidRPr="00981CED">
          <w:t>12 March 2001</w:t>
        </w:r>
      </w:smartTag>
      <w:r w:rsidRPr="00981CED">
        <w:t>.</w:t>
      </w:r>
    </w:p>
    <w:p w:rsidRPr="00981CED" w:rsidR="0006396A" w:rsidP="004268A1" w:rsidRDefault="0006396A">
      <w:pPr>
        <w:pStyle w:val="JuPara"/>
      </w:pPr>
      <w:r w:rsidRPr="00981CED">
        <w:fldChar w:fldCharType="begin"/>
      </w:r>
      <w:r w:rsidRPr="00981CED">
        <w:instrText xml:space="preserve"> SEQ level0 \*arabic </w:instrText>
      </w:r>
      <w:r w:rsidRPr="00981CED">
        <w:fldChar w:fldCharType="separate"/>
      </w:r>
      <w:r w:rsidR="00BE5DA2">
        <w:rPr>
          <w:noProof/>
        </w:rPr>
        <w:t>2</w:t>
      </w:r>
      <w:r w:rsidRPr="00981CED">
        <w:fldChar w:fldCharType="end"/>
      </w:r>
      <w:r w:rsidRPr="00981CED">
        <w:t xml:space="preserve">.  The applicant </w:t>
      </w:r>
      <w:r>
        <w:t xml:space="preserve">association </w:t>
      </w:r>
      <w:r w:rsidRPr="00981CED">
        <w:t xml:space="preserve">was represented by </w:t>
      </w:r>
      <w:proofErr w:type="spellStart"/>
      <w:r>
        <w:t>Schö</w:t>
      </w:r>
      <w:r w:rsidRPr="00981CED">
        <w:t>nherr</w:t>
      </w:r>
      <w:proofErr w:type="spellEnd"/>
      <w:r>
        <w:t xml:space="preserve"> OEG</w:t>
      </w:r>
      <w:r w:rsidRPr="00981CED">
        <w:t>, a law</w:t>
      </w:r>
      <w:r>
        <w:t xml:space="preserve"> firm practising in </w:t>
      </w:r>
      <w:smartTag w:uri="urn:schemas-microsoft-com:office:smarttags" w:element="place">
        <w:smartTag w:uri="urn:schemas-microsoft-com:office:smarttags" w:element="City">
          <w:r>
            <w:t>Vienna</w:t>
          </w:r>
        </w:smartTag>
      </w:smartTag>
      <w:r w:rsidRPr="00981CED">
        <w:t>. The Austrian Government (</w:t>
      </w:r>
      <w:r>
        <w:t>“</w:t>
      </w:r>
      <w:r w:rsidRPr="00981CED">
        <w:t>the Government</w:t>
      </w:r>
      <w:r>
        <w:t>”</w:t>
      </w:r>
      <w:r w:rsidRPr="00981CED">
        <w:t xml:space="preserve">) were represented by their Agent, </w:t>
      </w:r>
      <w:r>
        <w:t xml:space="preserve">Ambassador F. </w:t>
      </w:r>
      <w:proofErr w:type="spellStart"/>
      <w:r>
        <w:t>Trauttmansdorff</w:t>
      </w:r>
      <w:proofErr w:type="spellEnd"/>
      <w:r w:rsidRPr="00981CED">
        <w:t xml:space="preserve">, </w:t>
      </w:r>
      <w:r>
        <w:t>Head of the International Law Department at the Federal Ministry for Foreign Affairs</w:t>
      </w:r>
      <w:r w:rsidRPr="00981CED">
        <w:t>.</w:t>
      </w:r>
    </w:p>
    <w:p w:rsidRPr="00981CED" w:rsidR="0006396A" w:rsidP="004268A1" w:rsidRDefault="0006396A">
      <w:pPr>
        <w:pStyle w:val="JuPara"/>
      </w:pPr>
      <w:r w:rsidRPr="00981CED">
        <w:fldChar w:fldCharType="begin"/>
      </w:r>
      <w:r w:rsidRPr="00981CED">
        <w:instrText xml:space="preserve"> SEQ level0 \*arabic </w:instrText>
      </w:r>
      <w:r w:rsidRPr="00981CED">
        <w:fldChar w:fldCharType="separate"/>
      </w:r>
      <w:r w:rsidR="00BE5DA2">
        <w:rPr>
          <w:noProof/>
        </w:rPr>
        <w:t>3</w:t>
      </w:r>
      <w:r w:rsidRPr="00981CED">
        <w:fldChar w:fldCharType="end"/>
      </w:r>
      <w:r w:rsidRPr="00981CED">
        <w:t xml:space="preserve">.  The applicant </w:t>
      </w:r>
      <w:r>
        <w:t xml:space="preserve">association </w:t>
      </w:r>
      <w:r w:rsidRPr="00981CED">
        <w:t xml:space="preserve">alleged </w:t>
      </w:r>
      <w:r>
        <w:t>that the Austrian courts</w:t>
      </w:r>
      <w:r w:rsidR="00AE12A4">
        <w:t>'</w:t>
      </w:r>
      <w:r>
        <w:t xml:space="preserve"> decisions forbidding it to continue exhibiting a painting by Otto </w:t>
      </w:r>
      <w:proofErr w:type="spellStart"/>
      <w:r>
        <w:t>Mühl</w:t>
      </w:r>
      <w:proofErr w:type="spellEnd"/>
      <w:r>
        <w:t xml:space="preserve"> had violated its right to freedom of expression under Article 10 of the Convention</w:t>
      </w:r>
      <w:r w:rsidRPr="00981CED">
        <w:t>.</w:t>
      </w:r>
    </w:p>
    <w:p w:rsidR="00AE12A4" w:rsidP="004268A1" w:rsidRDefault="0006396A">
      <w:pPr>
        <w:pStyle w:val="JuPara"/>
      </w:pPr>
      <w:r w:rsidRPr="00981CED">
        <w:fldChar w:fldCharType="begin"/>
      </w:r>
      <w:r w:rsidRPr="00981CED">
        <w:instrText xml:space="preserve"> SEQ level0 \*arabic </w:instrText>
      </w:r>
      <w:r w:rsidRPr="00981CED">
        <w:fldChar w:fldCharType="separate"/>
      </w:r>
      <w:r w:rsidR="00BE5DA2">
        <w:rPr>
          <w:noProof/>
        </w:rPr>
        <w:t>4</w:t>
      </w:r>
      <w:r w:rsidRPr="00981CED">
        <w:fldChar w:fldCharType="end"/>
      </w:r>
      <w:r w:rsidRPr="00981CED">
        <w:t>.  The application was allocated to the First Section of the Court (Rule 52 § 1 of the Rules of Court). Within that Section, the Chamber that would consider the case (Article 27 § 1 of the Convention) was constituted as provided in Rule 26 § 1.</w:t>
      </w:r>
    </w:p>
    <w:p w:rsidRPr="00981CED" w:rsidR="0006396A" w:rsidP="004268A1" w:rsidRDefault="0006396A">
      <w:pPr>
        <w:pStyle w:val="JuPara"/>
      </w:pPr>
      <w:r>
        <w:fldChar w:fldCharType="begin"/>
      </w:r>
      <w:r>
        <w:instrText xml:space="preserve"> SEQ level0 \*arabic </w:instrText>
      </w:r>
      <w:r>
        <w:fldChar w:fldCharType="separate"/>
      </w:r>
      <w:r w:rsidR="00BE5DA2">
        <w:rPr>
          <w:noProof/>
        </w:rPr>
        <w:t>5</w:t>
      </w:r>
      <w:r>
        <w:fldChar w:fldCharType="end"/>
      </w:r>
      <w:r>
        <w:t>.  </w:t>
      </w:r>
      <w:r w:rsidRPr="00981CED">
        <w:t>By a decision of 30 June 2005 the Court declared the application admissible.</w:t>
      </w:r>
    </w:p>
    <w:p w:rsidR="0006396A" w:rsidP="004268A1" w:rsidRDefault="0006396A">
      <w:pPr>
        <w:pStyle w:val="JuPara"/>
      </w:pPr>
      <w:r w:rsidRPr="00981CED">
        <w:fldChar w:fldCharType="begin"/>
      </w:r>
      <w:r w:rsidRPr="00981CED">
        <w:instrText xml:space="preserve"> SEQ level0 \*arabic </w:instrText>
      </w:r>
      <w:r w:rsidRPr="00981CED">
        <w:fldChar w:fldCharType="separate"/>
      </w:r>
      <w:r w:rsidR="00BE5DA2">
        <w:rPr>
          <w:noProof/>
        </w:rPr>
        <w:t>6</w:t>
      </w:r>
      <w:r w:rsidRPr="00981CED">
        <w:fldChar w:fldCharType="end"/>
      </w:r>
      <w:r>
        <w:t>.  Neither t</w:t>
      </w:r>
      <w:r w:rsidRPr="00981CED">
        <w:t>he applicant</w:t>
      </w:r>
      <w:r>
        <w:t xml:space="preserve"> association nor the </w:t>
      </w:r>
      <w:r w:rsidRPr="00981CED">
        <w:t>Government</w:t>
      </w:r>
      <w:r>
        <w:t xml:space="preserve"> </w:t>
      </w:r>
      <w:r w:rsidRPr="00981CED">
        <w:t>filed further written observations (Rule 59 § 1).</w:t>
      </w:r>
    </w:p>
    <w:p w:rsidRPr="00981CED" w:rsidR="0006396A" w:rsidP="0006396A" w:rsidRDefault="0006396A">
      <w:pPr>
        <w:pStyle w:val="JuHHead"/>
      </w:pPr>
      <w:r w:rsidRPr="00981CED">
        <w:t>THE FACTS</w:t>
      </w:r>
    </w:p>
    <w:p w:rsidRPr="00981CED" w:rsidR="0006396A" w:rsidP="0006396A" w:rsidRDefault="0006396A">
      <w:pPr>
        <w:pStyle w:val="JuHIRoman"/>
      </w:pPr>
      <w:r w:rsidRPr="00981CED">
        <w:t>I.  THE CIRCUMSTANCES OF THE CASE</w:t>
      </w:r>
    </w:p>
    <w:p w:rsidR="0006396A" w:rsidP="004268A1" w:rsidRDefault="0006396A">
      <w:pPr>
        <w:pStyle w:val="JuPara"/>
      </w:pPr>
      <w:r w:rsidRPr="00981CED">
        <w:fldChar w:fldCharType="begin"/>
      </w:r>
      <w:r w:rsidRPr="00981CED">
        <w:instrText xml:space="preserve"> SEQ level0 \*arabic </w:instrText>
      </w:r>
      <w:r w:rsidRPr="00981CED">
        <w:fldChar w:fldCharType="separate"/>
      </w:r>
      <w:r w:rsidR="00BE5DA2">
        <w:rPr>
          <w:noProof/>
        </w:rPr>
        <w:t>7</w:t>
      </w:r>
      <w:r w:rsidRPr="00981CED">
        <w:fldChar w:fldCharType="end"/>
      </w:r>
      <w:r w:rsidRPr="00981CED">
        <w:t>.  </w:t>
      </w:r>
      <w:r>
        <w:t xml:space="preserve">Vereinigung Bildender Künstler Wiener Secession is an association of artists with its seat in the Secession building in </w:t>
      </w:r>
      <w:smartTag w:uri="urn:schemas-microsoft-com:office:smarttags" w:element="place">
        <w:smartTag w:uri="urn:schemas-microsoft-com:office:smarttags" w:element="City">
          <w:r>
            <w:t>Vienna</w:t>
          </w:r>
        </w:smartTag>
      </w:smartTag>
      <w:r>
        <w:t>. The Secession, an independent gallery, is devoted entirely to exhibitions of contemporary art. One of the basic objectives of the association is to present current developments in Austrian and international art, and to cultivate an openness to experimentation.</w:t>
      </w:r>
    </w:p>
    <w:p w:rsidR="0006396A" w:rsidP="004268A1" w:rsidRDefault="0006396A">
      <w:pPr>
        <w:pStyle w:val="JuPara"/>
      </w:pPr>
      <w:r>
        <w:fldChar w:fldCharType="begin"/>
      </w:r>
      <w:r>
        <w:instrText xml:space="preserve"> SEQ level0 \*arabic </w:instrText>
      </w:r>
      <w:r>
        <w:fldChar w:fldCharType="separate"/>
      </w:r>
      <w:r w:rsidR="00BE5DA2">
        <w:rPr>
          <w:noProof/>
        </w:rPr>
        <w:t>8</w:t>
      </w:r>
      <w:r>
        <w:fldChar w:fldCharType="end"/>
      </w:r>
      <w:r>
        <w:t>.  Between 3 April and 21 June 1998 the applicant association held an exhibition on its premises. The exhibition, entitled “The century of artistic freedom” (“</w:t>
      </w:r>
      <w:r>
        <w:rPr>
          <w:i/>
        </w:rPr>
        <w:t xml:space="preserve">Das </w:t>
      </w:r>
      <w:proofErr w:type="spellStart"/>
      <w:r>
        <w:rPr>
          <w:i/>
        </w:rPr>
        <w:t>Jahrhundert</w:t>
      </w:r>
      <w:proofErr w:type="spellEnd"/>
      <w:r>
        <w:rPr>
          <w:i/>
        </w:rPr>
        <w:t xml:space="preserve"> </w:t>
      </w:r>
      <w:proofErr w:type="spellStart"/>
      <w:r>
        <w:rPr>
          <w:i/>
        </w:rPr>
        <w:t>künstlerischer</w:t>
      </w:r>
      <w:proofErr w:type="spellEnd"/>
      <w:r>
        <w:rPr>
          <w:i/>
        </w:rPr>
        <w:t xml:space="preserve"> </w:t>
      </w:r>
      <w:proofErr w:type="spellStart"/>
      <w:r>
        <w:rPr>
          <w:i/>
        </w:rPr>
        <w:t>Freiheit</w:t>
      </w:r>
      <w:proofErr w:type="spellEnd"/>
      <w:r>
        <w:t>”), was intended as part of the celebrations of the association</w:t>
      </w:r>
      <w:r w:rsidR="00AE12A4">
        <w:t>'</w:t>
      </w:r>
      <w:r>
        <w:t xml:space="preserve">s 100th anniversary. Among the works to be shown was a painting entitled “Apocalypse”, which had been produced for the occasion by the Austrian painter Otto </w:t>
      </w:r>
      <w:proofErr w:type="spellStart"/>
      <w:r>
        <w:t>Mühl</w:t>
      </w:r>
      <w:proofErr w:type="spellEnd"/>
      <w:r>
        <w:t>. The painting, measuring 450 cm by 360 cm, showed a collage of various public figures, such as Mother Teresa, the Austrian cardinal Hermann </w:t>
      </w:r>
      <w:proofErr w:type="spellStart"/>
      <w:r>
        <w:t>Groer</w:t>
      </w:r>
      <w:proofErr w:type="spellEnd"/>
      <w:r>
        <w:t xml:space="preserve"> and the former head of the Austrian Freedom Party (FPÖ) Mr </w:t>
      </w:r>
      <w:proofErr w:type="spellStart"/>
      <w:r>
        <w:t>Jörg</w:t>
      </w:r>
      <w:proofErr w:type="spellEnd"/>
      <w:r>
        <w:t> </w:t>
      </w:r>
      <w:proofErr w:type="spellStart"/>
      <w:r>
        <w:t>Haider</w:t>
      </w:r>
      <w:proofErr w:type="spellEnd"/>
      <w:r>
        <w:t xml:space="preserve">, in sexual positions. While the naked bodies of these figures were painted, the heads and faces were depicted using blown-up photos taken from newspapers. The eyes of some of the persons portrayed were hidden under black bars. Among these persons was Mr </w:t>
      </w:r>
      <w:proofErr w:type="spellStart"/>
      <w:r>
        <w:t>Meischberger</w:t>
      </w:r>
      <w:proofErr w:type="spellEnd"/>
      <w:r>
        <w:t>, a former general secretary of the FPÖ until 1995, who at the time of the events was a member of the National Assembly (</w:t>
      </w:r>
      <w:proofErr w:type="spellStart"/>
      <w:r>
        <w:rPr>
          <w:i/>
        </w:rPr>
        <w:t>Nationalratsabgeordneter</w:t>
      </w:r>
      <w:proofErr w:type="spellEnd"/>
      <w:r>
        <w:t>)</w:t>
      </w:r>
      <w:r w:rsidR="001C0407">
        <w:t>, a mandate he held until April </w:t>
      </w:r>
      <w:r>
        <w:t xml:space="preserve">1999. Mr </w:t>
      </w:r>
      <w:proofErr w:type="spellStart"/>
      <w:r>
        <w:t>Meischberger</w:t>
      </w:r>
      <w:proofErr w:type="spellEnd"/>
      <w:r>
        <w:t xml:space="preserve"> was shown gripp</w:t>
      </w:r>
      <w:r w:rsidR="001C0407">
        <w:t>ing the ejaculating penis of Mr </w:t>
      </w:r>
      <w:proofErr w:type="spellStart"/>
      <w:r>
        <w:t>Haider</w:t>
      </w:r>
      <w:proofErr w:type="spellEnd"/>
      <w:r>
        <w:t xml:space="preserve"> while at the same time being touched by two other FPÖ politi</w:t>
      </w:r>
      <w:r w:rsidR="001C0407">
        <w:t>cians and ejaculating on Mother </w:t>
      </w:r>
      <w:r>
        <w:t>Teresa.</w:t>
      </w:r>
    </w:p>
    <w:p w:rsidR="0006396A" w:rsidP="004268A1" w:rsidRDefault="0006396A">
      <w:pPr>
        <w:pStyle w:val="JuPara"/>
      </w:pPr>
      <w:r>
        <w:fldChar w:fldCharType="begin"/>
      </w:r>
      <w:r>
        <w:instrText xml:space="preserve"> SEQ level0 \*arabic </w:instrText>
      </w:r>
      <w:r>
        <w:fldChar w:fldCharType="separate"/>
      </w:r>
      <w:r w:rsidR="00BE5DA2">
        <w:rPr>
          <w:noProof/>
        </w:rPr>
        <w:t>9</w:t>
      </w:r>
      <w:r>
        <w:fldChar w:fldCharType="end"/>
      </w:r>
      <w:r>
        <w:t>.  The exhibition, for which admission was charged, was open to the public.</w:t>
      </w:r>
    </w:p>
    <w:p w:rsidR="0006396A" w:rsidP="004268A1" w:rsidRDefault="0006396A">
      <w:pPr>
        <w:pStyle w:val="JuPara"/>
      </w:pPr>
      <w:r>
        <w:fldChar w:fldCharType="begin"/>
      </w:r>
      <w:r>
        <w:instrText xml:space="preserve"> SEQ level0 \*arabic </w:instrText>
      </w:r>
      <w:r>
        <w:fldChar w:fldCharType="separate"/>
      </w:r>
      <w:r w:rsidR="00BE5DA2">
        <w:rPr>
          <w:noProof/>
        </w:rPr>
        <w:t>10</w:t>
      </w:r>
      <w:r>
        <w:fldChar w:fldCharType="end"/>
      </w:r>
      <w:r>
        <w:t xml:space="preserve">.   On 11 June 1998, while the exhibition was in progress, the Austrian newspaper </w:t>
      </w:r>
      <w:proofErr w:type="spellStart"/>
      <w:r w:rsidRPr="00503856">
        <w:rPr>
          <w:i/>
        </w:rPr>
        <w:t>Täglich</w:t>
      </w:r>
      <w:proofErr w:type="spellEnd"/>
      <w:r w:rsidRPr="00503856">
        <w:rPr>
          <w:i/>
        </w:rPr>
        <w:t xml:space="preserve"> </w:t>
      </w:r>
      <w:proofErr w:type="spellStart"/>
      <w:r w:rsidRPr="00503856">
        <w:rPr>
          <w:i/>
        </w:rPr>
        <w:t>Alles</w:t>
      </w:r>
      <w:proofErr w:type="spellEnd"/>
      <w:r w:rsidRPr="00503856">
        <w:rPr>
          <w:i/>
        </w:rPr>
        <w:t xml:space="preserve"> </w:t>
      </w:r>
      <w:r>
        <w:t>bristled at the above painting</w:t>
      </w:r>
      <w:r w:rsidR="00AE12A4">
        <w:t>'</w:t>
      </w:r>
      <w:r>
        <w:t xml:space="preserve">s </w:t>
      </w:r>
      <w:proofErr w:type="spellStart"/>
      <w:r>
        <w:t>portayal</w:t>
      </w:r>
      <w:proofErr w:type="spellEnd"/>
      <w:r>
        <w:t xml:space="preserve"> of “group sexual situations with Bishop </w:t>
      </w:r>
      <w:proofErr w:type="spellStart"/>
      <w:r>
        <w:t>Groer</w:t>
      </w:r>
      <w:proofErr w:type="spellEnd"/>
      <w:r>
        <w:t xml:space="preserve"> and Mother Teresa”.</w:t>
      </w:r>
    </w:p>
    <w:p w:rsidR="0006396A" w:rsidP="004268A1" w:rsidRDefault="0006396A">
      <w:pPr>
        <w:pStyle w:val="JuPara"/>
      </w:pPr>
      <w:r>
        <w:fldChar w:fldCharType="begin"/>
      </w:r>
      <w:r>
        <w:instrText xml:space="preserve"> SEQ level0 \*arabic </w:instrText>
      </w:r>
      <w:r>
        <w:fldChar w:fldCharType="separate"/>
      </w:r>
      <w:r w:rsidR="00BE5DA2">
        <w:rPr>
          <w:noProof/>
        </w:rPr>
        <w:t>11</w:t>
      </w:r>
      <w:r>
        <w:fldChar w:fldCharType="end"/>
      </w:r>
      <w:r>
        <w:t>.  On 12 June 1998 the painting was damaged by a visitor, who covered with red paint the part which showed, among others,</w:t>
      </w:r>
      <w:r>
        <w:rPr>
          <w:i/>
        </w:rPr>
        <w:t xml:space="preserve"> </w:t>
      </w:r>
      <w:r>
        <w:t>Mr </w:t>
      </w:r>
      <w:proofErr w:type="spellStart"/>
      <w:r>
        <w:t>Meischberger</w:t>
      </w:r>
      <w:proofErr w:type="spellEnd"/>
      <w:r>
        <w:t xml:space="preserve">. As a consequence of this incident the entire painted body of Mr </w:t>
      </w:r>
      <w:proofErr w:type="spellStart"/>
      <w:r>
        <w:t>Meischberger</w:t>
      </w:r>
      <w:proofErr w:type="spellEnd"/>
      <w:r>
        <w:t xml:space="preserve"> and part of his face were covered with red paint.</w:t>
      </w:r>
    </w:p>
    <w:p w:rsidR="0006396A" w:rsidP="004268A1" w:rsidRDefault="0006396A">
      <w:pPr>
        <w:pStyle w:val="JuPara"/>
      </w:pPr>
      <w:r>
        <w:fldChar w:fldCharType="begin"/>
      </w:r>
      <w:r>
        <w:instrText xml:space="preserve"> SEQ level0 \*arabic </w:instrText>
      </w:r>
      <w:r>
        <w:fldChar w:fldCharType="separate"/>
      </w:r>
      <w:r w:rsidR="00BE5DA2">
        <w:rPr>
          <w:noProof/>
        </w:rPr>
        <w:t>12</w:t>
      </w:r>
      <w:r>
        <w:fldChar w:fldCharType="end"/>
      </w:r>
      <w:r>
        <w:t>.  Several Austrian newspapers reported on this event and also published pictures of the painting.</w:t>
      </w:r>
    </w:p>
    <w:p w:rsidR="0006396A" w:rsidP="004268A1" w:rsidRDefault="0006396A">
      <w:pPr>
        <w:pStyle w:val="JuPara"/>
      </w:pPr>
      <w:r>
        <w:fldChar w:fldCharType="begin"/>
      </w:r>
      <w:r>
        <w:instrText xml:space="preserve"> SEQ level0 \*arabic </w:instrText>
      </w:r>
      <w:r>
        <w:fldChar w:fldCharType="separate"/>
      </w:r>
      <w:r w:rsidR="00BE5DA2">
        <w:rPr>
          <w:noProof/>
        </w:rPr>
        <w:t>13</w:t>
      </w:r>
      <w:r>
        <w:fldChar w:fldCharType="end"/>
      </w:r>
      <w:r>
        <w:t xml:space="preserve">.  On 22 June 1998 Mr </w:t>
      </w:r>
      <w:proofErr w:type="spellStart"/>
      <w:r>
        <w:t>Meischberger</w:t>
      </w:r>
      <w:proofErr w:type="spellEnd"/>
      <w:r>
        <w:t xml:space="preserve"> brought proceedings under section 78 of the Copyright Act (</w:t>
      </w:r>
      <w:proofErr w:type="spellStart"/>
      <w:r>
        <w:rPr>
          <w:i/>
        </w:rPr>
        <w:t>Urheberrechtsgesetz</w:t>
      </w:r>
      <w:proofErr w:type="spellEnd"/>
      <w:r>
        <w:t>) against the applicant association, seeking an injunction prohibiting it from exhibiting and publishing the painting. He further requested compensation in the amount of 20,000 Austrian schillings (ATS – 1,453.46 euros (EUR)). He argued that the painting, showing him in sexual positions with several persons, debased him and his political activities and made statements as to his allegedly loose sexual life (</w:t>
      </w:r>
      <w:proofErr w:type="spellStart"/>
      <w:r>
        <w:rPr>
          <w:i/>
        </w:rPr>
        <w:t>lotterhaftes</w:t>
      </w:r>
      <w:proofErr w:type="spellEnd"/>
      <w:r>
        <w:rPr>
          <w:i/>
        </w:rPr>
        <w:t xml:space="preserve"> </w:t>
      </w:r>
      <w:proofErr w:type="spellStart"/>
      <w:r>
        <w:rPr>
          <w:i/>
        </w:rPr>
        <w:t>Intimleben</w:t>
      </w:r>
      <w:proofErr w:type="spellEnd"/>
      <w:r>
        <w:t>). The black eye-bars did not prevent him from being recognised, because he was shown together with two other FPÖ politicians. He remained recognisable even after the incid</w:t>
      </w:r>
      <w:r w:rsidR="001C0407">
        <w:t>ent of 12 June </w:t>
      </w:r>
      <w:r>
        <w:t xml:space="preserve">1998, which had further increased the publicity given to the painting. Furthermore, there was a danger of recurrence as after the present exhibition the painting was due to be shown at another exhibition in </w:t>
      </w:r>
      <w:smartTag w:uri="urn:schemas-microsoft-com:office:smarttags" w:element="place">
        <w:smartTag w:uri="urn:schemas-microsoft-com:office:smarttags" w:element="City">
          <w:r>
            <w:t>Prague</w:t>
          </w:r>
        </w:smartTag>
      </w:smartTag>
      <w:r>
        <w:t>.</w:t>
      </w:r>
    </w:p>
    <w:p w:rsidR="0006396A" w:rsidP="004268A1" w:rsidRDefault="0006396A">
      <w:pPr>
        <w:pStyle w:val="JuPara"/>
      </w:pPr>
      <w:r>
        <w:fldChar w:fldCharType="begin"/>
      </w:r>
      <w:r>
        <w:instrText xml:space="preserve"> SEQ level0 \*arabic </w:instrText>
      </w:r>
      <w:r>
        <w:fldChar w:fldCharType="separate"/>
      </w:r>
      <w:r w:rsidR="00BE5DA2">
        <w:rPr>
          <w:noProof/>
        </w:rPr>
        <w:t>14</w:t>
      </w:r>
      <w:r>
        <w:fldChar w:fldCharType="end"/>
      </w:r>
      <w:r>
        <w:t xml:space="preserve">.  On 6 August 1999 the </w:t>
      </w:r>
      <w:smartTag w:uri="urn:schemas-microsoft-com:office:smarttags" w:element="Street">
        <w:smartTag w:uri="urn:schemas-microsoft-com:office:smarttags" w:element="address">
          <w:r>
            <w:t>Vienna Commercial Court</w:t>
          </w:r>
        </w:smartTag>
      </w:smartTag>
      <w:r>
        <w:t xml:space="preserve"> (</w:t>
      </w:r>
      <w:proofErr w:type="spellStart"/>
      <w:r>
        <w:rPr>
          <w:i/>
        </w:rPr>
        <w:t>Handelsgericht</w:t>
      </w:r>
      <w:proofErr w:type="spellEnd"/>
      <w:r>
        <w:t xml:space="preserve">) dismissed Mr </w:t>
      </w:r>
      <w:proofErr w:type="spellStart"/>
      <w:r>
        <w:t>Meischberger</w:t>
      </w:r>
      <w:r w:rsidR="00AE12A4">
        <w:t>'</w:t>
      </w:r>
      <w:r>
        <w:t>s</w:t>
      </w:r>
      <w:proofErr w:type="spellEnd"/>
      <w:r>
        <w:t xml:space="preserve"> action. It noted that it had initially been intended to show the exhibition in </w:t>
      </w:r>
      <w:smartTag w:uri="urn:schemas-microsoft-com:office:smarttags" w:element="City">
        <w:r>
          <w:t>Prague</w:t>
        </w:r>
      </w:smartTag>
      <w:r>
        <w:t xml:space="preserve">, </w:t>
      </w:r>
      <w:smartTag w:uri="urn:schemas-microsoft-com:office:smarttags" w:element="City">
        <w:r>
          <w:t>Bucharest</w:t>
        </w:r>
      </w:smartTag>
      <w:r>
        <w:t xml:space="preserve"> and </w:t>
      </w:r>
      <w:smartTag w:uri="urn:schemas-microsoft-com:office:smarttags" w:element="place">
        <w:smartTag w:uri="urn:schemas-microsoft-com:office:smarttags" w:element="country-region">
          <w:r>
            <w:t>Luxembourg</w:t>
          </w:r>
        </w:smartTag>
      </w:smartTag>
      <w:r>
        <w:t xml:space="preserve"> as well; now the intention was to close down the exhibition. The court further found that it could be ruled out that the painting had adversely affected the claimant or divulged information about his private life, as the painting, which resembled a comic strip (“</w:t>
      </w:r>
      <w:proofErr w:type="spellStart"/>
      <w:r>
        <w:rPr>
          <w:i/>
        </w:rPr>
        <w:t>comixartig</w:t>
      </w:r>
      <w:proofErr w:type="spellEnd"/>
      <w:r>
        <w:t>”), obviously did not represent reality. However, a painting showing the claimant in such an intimate position could, regardless of its relation to reality, still have a degrading and personally debasing effect. In the present case, however, the right of the applicant association to freedom of artistic expression outweighed Mr </w:t>
      </w:r>
      <w:proofErr w:type="spellStart"/>
      <w:r>
        <w:t>Meischberger</w:t>
      </w:r>
      <w:r w:rsidR="00AE12A4">
        <w:t>'</w:t>
      </w:r>
      <w:r>
        <w:t>s</w:t>
      </w:r>
      <w:proofErr w:type="spellEnd"/>
      <w:r>
        <w:t xml:space="preserve"> personal interests. When balancing the latter</w:t>
      </w:r>
      <w:r w:rsidR="00AE12A4">
        <w:t>'</w:t>
      </w:r>
      <w:r>
        <w:t>s interests against the interests of the applicant association, the court had regard in particular to the fact that the exhibition was dedicated to the association</w:t>
      </w:r>
      <w:r w:rsidR="00AE12A4">
        <w:t>'</w:t>
      </w:r>
      <w:r>
        <w:t xml:space="preserve">s artistic spectrum over the last hundred years, which included the work of the Austrian painter Otto </w:t>
      </w:r>
      <w:proofErr w:type="spellStart"/>
      <w:r>
        <w:t>Mühl</w:t>
      </w:r>
      <w:proofErr w:type="spellEnd"/>
      <w:r>
        <w:t>. It further noted that the painting showed numerous other persons, among them friends and benefactors of the painter, and also representatives of the FPÖ party, which had always strongly criticised Mr </w:t>
      </w:r>
      <w:proofErr w:type="spellStart"/>
      <w:r>
        <w:t>Mühl</w:t>
      </w:r>
      <w:r w:rsidR="00AE12A4">
        <w:t>'</w:t>
      </w:r>
      <w:r>
        <w:t>s</w:t>
      </w:r>
      <w:proofErr w:type="spellEnd"/>
      <w:r>
        <w:t xml:space="preserve"> work.</w:t>
      </w:r>
    </w:p>
    <w:p w:rsidR="0006396A" w:rsidP="004268A1" w:rsidRDefault="0006396A">
      <w:pPr>
        <w:pStyle w:val="JuPara"/>
      </w:pPr>
      <w:r>
        <w:fldChar w:fldCharType="begin"/>
      </w:r>
      <w:r>
        <w:instrText xml:space="preserve"> SEQ level0 \*arabic </w:instrText>
      </w:r>
      <w:r>
        <w:fldChar w:fldCharType="separate"/>
      </w:r>
      <w:r w:rsidR="00BE5DA2">
        <w:rPr>
          <w:noProof/>
        </w:rPr>
        <w:t>15</w:t>
      </w:r>
      <w:r>
        <w:fldChar w:fldCharType="end"/>
      </w:r>
      <w:r>
        <w:t>.  The painting in question could therefore be seen as a kind of counter-attack (</w:t>
      </w:r>
      <w:proofErr w:type="spellStart"/>
      <w:r>
        <w:rPr>
          <w:i/>
        </w:rPr>
        <w:t>Gegenschlag</w:t>
      </w:r>
      <w:proofErr w:type="spellEnd"/>
      <w:r>
        <w:t xml:space="preserve">). In any event, Mr </w:t>
      </w:r>
      <w:proofErr w:type="spellStart"/>
      <w:r>
        <w:t>Meischberger</w:t>
      </w:r>
      <w:r w:rsidR="00AE12A4">
        <w:t>'</w:t>
      </w:r>
      <w:r>
        <w:t>s</w:t>
      </w:r>
      <w:proofErr w:type="spellEnd"/>
      <w:r>
        <w:t xml:space="preserve"> picture constituted only a rather small part of the painting and was therefore not striking. The court further added that there appeared to be no danger of recurrence (</w:t>
      </w:r>
      <w:proofErr w:type="spellStart"/>
      <w:r>
        <w:rPr>
          <w:i/>
        </w:rPr>
        <w:t>Wiederholungsgefahr</w:t>
      </w:r>
      <w:proofErr w:type="spellEnd"/>
      <w:r>
        <w:t xml:space="preserve">) as the painting had been partly covered by red paint and Mr </w:t>
      </w:r>
      <w:proofErr w:type="spellStart"/>
      <w:r>
        <w:t>Meischberger</w:t>
      </w:r>
      <w:proofErr w:type="spellEnd"/>
      <w:r>
        <w:t xml:space="preserve"> was therefore no longer recognisable on it.</w:t>
      </w:r>
    </w:p>
    <w:p w:rsidR="0006396A" w:rsidP="004268A1" w:rsidRDefault="0006396A">
      <w:pPr>
        <w:pStyle w:val="JuPara"/>
      </w:pPr>
      <w:r>
        <w:fldChar w:fldCharType="begin"/>
      </w:r>
      <w:r>
        <w:instrText xml:space="preserve"> SEQ level0 \*arabic </w:instrText>
      </w:r>
      <w:r>
        <w:fldChar w:fldCharType="separate"/>
      </w:r>
      <w:r w:rsidR="00BE5DA2">
        <w:rPr>
          <w:noProof/>
        </w:rPr>
        <w:t>16</w:t>
      </w:r>
      <w:r>
        <w:fldChar w:fldCharType="end"/>
      </w:r>
      <w:r>
        <w:t>.  On 24 February 2000 the Vienna Court of Appeal (</w:t>
      </w:r>
      <w:proofErr w:type="spellStart"/>
      <w:r>
        <w:rPr>
          <w:i/>
        </w:rPr>
        <w:t>Oberlandesgericht</w:t>
      </w:r>
      <w:proofErr w:type="spellEnd"/>
      <w:r>
        <w:t xml:space="preserve">), after having held an oral hearing, granted an appeal on points of law and fact by Mr </w:t>
      </w:r>
      <w:proofErr w:type="spellStart"/>
      <w:r>
        <w:t>Meischberger</w:t>
      </w:r>
      <w:proofErr w:type="spellEnd"/>
      <w:r>
        <w:t xml:space="preserve">, issued an injunction against the applicant association prohibiting it from continuing to display the painting at exhibitions, and ordered it </w:t>
      </w:r>
      <w:r w:rsidR="001C0407">
        <w:t>to pay the costs incurred by Mr </w:t>
      </w:r>
      <w:proofErr w:type="spellStart"/>
      <w:r>
        <w:t>Meischberger</w:t>
      </w:r>
      <w:proofErr w:type="spellEnd"/>
      <w:r>
        <w:t xml:space="preserve"> in the proceedings and ATS 20,000 (EUR 1,453.46), plus 4% interest with effect from 8 July 1998, in compensati</w:t>
      </w:r>
      <w:r w:rsidR="001C0407">
        <w:t>on. It further allowed Mr </w:t>
      </w:r>
      <w:proofErr w:type="spellStart"/>
      <w:r>
        <w:t>Meischberger</w:t>
      </w:r>
      <w:proofErr w:type="spellEnd"/>
      <w:r>
        <w:t xml:space="preserve"> to publish extracts of its judgment in two Austrian newspapers. It noted that Mr </w:t>
      </w:r>
      <w:proofErr w:type="spellStart"/>
      <w:r>
        <w:t>Meischberger</w:t>
      </w:r>
      <w:r w:rsidR="00AE12A4">
        <w:t>'</w:t>
      </w:r>
      <w:r>
        <w:t>s</w:t>
      </w:r>
      <w:proofErr w:type="spellEnd"/>
      <w:r>
        <w:t xml:space="preserve"> picture was only partly covered by red paint, so that part of his face, the shape of his head and his hairstyle were still recognisable. The limits of artistic freedom were exceeded when the image of a person was substantially deformed by wholly imaginary elements without it being evident that the picture aimed at satire or any other form of exaggeration. The painting in the present case was not intended to be a parable or even an exaggerated criticism conveying a basic message, such as, for example, the statement that Mr </w:t>
      </w:r>
      <w:proofErr w:type="spellStart"/>
      <w:r>
        <w:t>Meischberger</w:t>
      </w:r>
      <w:proofErr w:type="spellEnd"/>
      <w:r>
        <w:t xml:space="preserve"> had disregarded sexual decency and morals. It therefore did not fall within the scope of Article 10 of the Convention, but in fact</w:t>
      </w:r>
      <w:r w:rsidR="001C0407">
        <w:t xml:space="preserve"> constituted a debasement of Mr </w:t>
      </w:r>
      <w:proofErr w:type="spellStart"/>
      <w:r>
        <w:t>Meischberger</w:t>
      </w:r>
      <w:r w:rsidR="00AE12A4">
        <w:t>'</w:t>
      </w:r>
      <w:r>
        <w:t>s</w:t>
      </w:r>
      <w:proofErr w:type="spellEnd"/>
      <w:r>
        <w:t xml:space="preserve"> public standing (</w:t>
      </w:r>
      <w:proofErr w:type="spellStart"/>
      <w:r>
        <w:rPr>
          <w:i/>
        </w:rPr>
        <w:t>Entwürdigung</w:t>
      </w:r>
      <w:proofErr w:type="spellEnd"/>
      <w:r>
        <w:rPr>
          <w:i/>
        </w:rPr>
        <w:t xml:space="preserve"> </w:t>
      </w:r>
      <w:proofErr w:type="spellStart"/>
      <w:r>
        <w:rPr>
          <w:i/>
        </w:rPr>
        <w:t>öffentlichen</w:t>
      </w:r>
      <w:proofErr w:type="spellEnd"/>
      <w:r>
        <w:rPr>
          <w:i/>
        </w:rPr>
        <w:t xml:space="preserve"> </w:t>
      </w:r>
      <w:proofErr w:type="spellStart"/>
      <w:r>
        <w:rPr>
          <w:i/>
        </w:rPr>
        <w:t>Ansehens</w:t>
      </w:r>
      <w:proofErr w:type="spellEnd"/>
      <w:r>
        <w:t>). The applicant association could not justify the exhibition of the painting under the artistic freedom protected by Article 17a of the Basic Law (</w:t>
      </w:r>
      <w:proofErr w:type="spellStart"/>
      <w:r w:rsidRPr="006650E5">
        <w:rPr>
          <w:i/>
        </w:rPr>
        <w:t>Staatsgrundsgesetz</w:t>
      </w:r>
      <w:proofErr w:type="spellEnd"/>
      <w:r>
        <w:t>). There was, furthermore, nothing to indicate that the applicant association would abstain from exhibiting the painting in the future, so that there was a danger of recurrence.</w:t>
      </w:r>
    </w:p>
    <w:p w:rsidR="0006396A" w:rsidP="004268A1" w:rsidRDefault="0006396A">
      <w:pPr>
        <w:pStyle w:val="JuPara"/>
      </w:pPr>
      <w:r>
        <w:fldChar w:fldCharType="begin"/>
      </w:r>
      <w:r>
        <w:instrText xml:space="preserve"> SEQ level0 \*arabic </w:instrText>
      </w:r>
      <w:r>
        <w:fldChar w:fldCharType="separate"/>
      </w:r>
      <w:r w:rsidR="00BE5DA2">
        <w:rPr>
          <w:noProof/>
        </w:rPr>
        <w:t>17</w:t>
      </w:r>
      <w:r>
        <w:fldChar w:fldCharType="end"/>
      </w:r>
      <w:r>
        <w:t>.  On 18 July 2000 the Supreme Court (</w:t>
      </w:r>
      <w:proofErr w:type="spellStart"/>
      <w:r>
        <w:rPr>
          <w:i/>
        </w:rPr>
        <w:t>Oberster</w:t>
      </w:r>
      <w:proofErr w:type="spellEnd"/>
      <w:r>
        <w:rPr>
          <w:i/>
        </w:rPr>
        <w:t xml:space="preserve"> </w:t>
      </w:r>
      <w:proofErr w:type="spellStart"/>
      <w:r>
        <w:rPr>
          <w:i/>
        </w:rPr>
        <w:t>Gerichtshof</w:t>
      </w:r>
      <w:proofErr w:type="spellEnd"/>
      <w:r>
        <w:t>) rejected an appeal by the applicant association as it did not concern a legal question of considerable interest. It noted that the Court of Appeal had not questioned the fact that the painting fell within the scope of protection provided by Article 17a of the Basic Law but, weighing the guarantee of artistic freedom enshrined in that provision against Mr </w:t>
      </w:r>
      <w:proofErr w:type="spellStart"/>
      <w:r>
        <w:t>Meischberger</w:t>
      </w:r>
      <w:r w:rsidR="00AE12A4">
        <w:t>'</w:t>
      </w:r>
      <w:r>
        <w:t>s</w:t>
      </w:r>
      <w:proofErr w:type="spellEnd"/>
      <w:r>
        <w:t xml:space="preserve"> personal rights as protected by section 78 of the Copyright Act, had considered that the latter prevailed over the former because a picture of Mr </w:t>
      </w:r>
      <w:proofErr w:type="spellStart"/>
      <w:r>
        <w:t>Meischberger</w:t>
      </w:r>
      <w:proofErr w:type="spellEnd"/>
      <w:r>
        <w:t xml:space="preserve"> had been used in a degrading and insulting manner</w:t>
      </w:r>
      <w:r w:rsidR="001C0407">
        <w:t xml:space="preserve">. As to the question whether Mr </w:t>
      </w:r>
      <w:proofErr w:type="spellStart"/>
      <w:r>
        <w:t>Meischberger</w:t>
      </w:r>
      <w:proofErr w:type="spellEnd"/>
      <w:r>
        <w:t xml:space="preserve"> could still be recognised despite the painting being covered with red paint, the Court of Appeal had not contradicted the documents contained in the court file and there was therefore no need for a rectification. It ordered the applicant association to pay the costs of the proceedings.</w:t>
      </w:r>
    </w:p>
    <w:p w:rsidR="0006396A" w:rsidP="004268A1" w:rsidRDefault="0006396A">
      <w:pPr>
        <w:pStyle w:val="JuPara"/>
      </w:pPr>
      <w:r>
        <w:fldChar w:fldCharType="begin"/>
      </w:r>
      <w:r>
        <w:instrText xml:space="preserve"> SEQ level0 \*arabic </w:instrText>
      </w:r>
      <w:r>
        <w:fldChar w:fldCharType="separate"/>
      </w:r>
      <w:r w:rsidR="00BE5DA2">
        <w:rPr>
          <w:noProof/>
        </w:rPr>
        <w:t>18</w:t>
      </w:r>
      <w:r>
        <w:fldChar w:fldCharType="end"/>
      </w:r>
      <w:r>
        <w:t>.  That decision was served on the applicant association</w:t>
      </w:r>
      <w:r w:rsidR="00AE12A4">
        <w:t>'</w:t>
      </w:r>
      <w:r>
        <w:t>s counsel on 13 September 2000.</w:t>
      </w:r>
    </w:p>
    <w:p w:rsidR="00AE12A4" w:rsidP="0006396A" w:rsidRDefault="0006396A">
      <w:pPr>
        <w:pStyle w:val="JuHIRoman"/>
      </w:pPr>
      <w:r w:rsidRPr="00981CED">
        <w:t>II.  RELEVANT DOMESTIC LAW</w:t>
      </w:r>
    </w:p>
    <w:p w:rsidR="0006396A" w:rsidP="0006396A" w:rsidRDefault="0006396A">
      <w:pPr>
        <w:pStyle w:val="JuPara"/>
      </w:pPr>
      <w:r>
        <w:rPr>
          <w:rStyle w:val="PJuParaChar"/>
        </w:rPr>
        <w:fldChar w:fldCharType="begin"/>
      </w:r>
      <w:r>
        <w:rPr>
          <w:rStyle w:val="PJuParaChar"/>
        </w:rPr>
        <w:instrText xml:space="preserve"> SEQ level0 \*arabic </w:instrText>
      </w:r>
      <w:r>
        <w:rPr>
          <w:rStyle w:val="PJuParaChar"/>
        </w:rPr>
        <w:fldChar w:fldCharType="separate"/>
      </w:r>
      <w:r w:rsidR="00BE5DA2">
        <w:rPr>
          <w:rStyle w:val="PJuParaChar"/>
          <w:noProof/>
        </w:rPr>
        <w:t>19</w:t>
      </w:r>
      <w:r>
        <w:rPr>
          <w:rStyle w:val="PJuParaChar"/>
        </w:rPr>
        <w:fldChar w:fldCharType="end"/>
      </w:r>
      <w:r>
        <w:rPr>
          <w:rStyle w:val="PJuParaChar"/>
        </w:rPr>
        <w:t>.  </w:t>
      </w:r>
      <w:r w:rsidRPr="00CC3A55">
        <w:rPr>
          <w:rStyle w:val="PJuParaChar"/>
        </w:rPr>
        <w:t>Section 78</w:t>
      </w:r>
      <w:r>
        <w:t xml:space="preserve"> of the Copyright Act, in so far as relevant, reads as follows:</w:t>
      </w:r>
    </w:p>
    <w:p w:rsidR="0006396A" w:rsidP="0006396A" w:rsidRDefault="0006396A">
      <w:pPr>
        <w:pStyle w:val="JuQuot"/>
      </w:pPr>
      <w:r>
        <w:t>“(1) Images of persons shall neither be exhibited publicly, nor in any way made accessible to the public, where injury would be caused to the legitimate interests of the portrayed persons or, in the event that they have died without having authorised or ordered publication, those of a close relative.”</w:t>
      </w:r>
    </w:p>
    <w:p w:rsidR="0006396A" w:rsidP="0006396A" w:rsidRDefault="0006396A">
      <w:pPr>
        <w:pStyle w:val="JuPara"/>
      </w:pPr>
      <w:r>
        <w:fldChar w:fldCharType="begin"/>
      </w:r>
      <w:r>
        <w:instrText xml:space="preserve"> SEQ level0 \*arabic </w:instrText>
      </w:r>
      <w:r>
        <w:fldChar w:fldCharType="separate"/>
      </w:r>
      <w:r w:rsidR="00BE5DA2">
        <w:rPr>
          <w:noProof/>
        </w:rPr>
        <w:t>20</w:t>
      </w:r>
      <w:r>
        <w:fldChar w:fldCharType="end"/>
      </w:r>
      <w:r>
        <w:t>.  Artistic freedom is guaranteed by Article 17a of the Basic Law (</w:t>
      </w:r>
      <w:proofErr w:type="spellStart"/>
      <w:r>
        <w:rPr>
          <w:i/>
        </w:rPr>
        <w:t>Staatsgrundgesetz</w:t>
      </w:r>
      <w:proofErr w:type="spellEnd"/>
      <w:r>
        <w:t>), which provides</w:t>
      </w:r>
      <w:r>
        <w:rPr>
          <w:sz w:val="20"/>
        </w:rPr>
        <w:t>:</w:t>
      </w:r>
    </w:p>
    <w:p w:rsidR="0006396A" w:rsidP="0006396A" w:rsidRDefault="0006396A">
      <w:pPr>
        <w:pStyle w:val="JuQuot"/>
      </w:pPr>
      <w:r>
        <w:t>“There shall be freedom of artistic creation and of the publication and teaching of art.”</w:t>
      </w:r>
    </w:p>
    <w:p w:rsidRPr="00981CED" w:rsidR="0006396A" w:rsidP="0006396A" w:rsidRDefault="0006396A">
      <w:pPr>
        <w:pStyle w:val="JuHHead"/>
      </w:pPr>
      <w:r w:rsidRPr="00981CED">
        <w:t>THE LAW</w:t>
      </w:r>
    </w:p>
    <w:p w:rsidR="0006396A" w:rsidP="0006396A" w:rsidRDefault="00AE12A4">
      <w:pPr>
        <w:pStyle w:val="JuHIRoman"/>
      </w:pPr>
      <w:r>
        <w:t>I.  </w:t>
      </w:r>
      <w:r w:rsidRPr="00981CED" w:rsidR="0006396A">
        <w:t xml:space="preserve">ALLEGED VIOLATION OF ARTICLE </w:t>
      </w:r>
      <w:r w:rsidR="0006396A">
        <w:t>10</w:t>
      </w:r>
      <w:r w:rsidRPr="00981CED" w:rsidR="0006396A">
        <w:t xml:space="preserve"> OF THE CONVENTION</w:t>
      </w:r>
    </w:p>
    <w:p w:rsidR="0006396A" w:rsidP="0006396A" w:rsidRDefault="0006396A">
      <w:pPr>
        <w:pStyle w:val="JuPara"/>
      </w:pPr>
      <w:r>
        <w:fldChar w:fldCharType="begin"/>
      </w:r>
      <w:r>
        <w:instrText xml:space="preserve"> SEQ level0 \*arabic </w:instrText>
      </w:r>
      <w:r>
        <w:fldChar w:fldCharType="separate"/>
      </w:r>
      <w:r w:rsidR="00BE5DA2">
        <w:rPr>
          <w:noProof/>
        </w:rPr>
        <w:t>21</w:t>
      </w:r>
      <w:r>
        <w:fldChar w:fldCharType="end"/>
      </w:r>
      <w:r>
        <w:t>.  </w:t>
      </w:r>
      <w:r w:rsidRPr="00C25AFF">
        <w:t xml:space="preserve">The applicant association complained under Article 10 of the Convention </w:t>
      </w:r>
      <w:r>
        <w:t>that the Austrian courts</w:t>
      </w:r>
      <w:r w:rsidR="00AE12A4">
        <w:t>'</w:t>
      </w:r>
      <w:r>
        <w:t xml:space="preserve"> decision forbidding it to exhibit any further the painting at issue had violated its right to freedom of expression.</w:t>
      </w:r>
    </w:p>
    <w:p w:rsidR="0006396A" w:rsidP="0006396A" w:rsidRDefault="001C0407">
      <w:pPr>
        <w:pStyle w:val="JuPara"/>
      </w:pPr>
      <w:r>
        <w:t>Article </w:t>
      </w:r>
      <w:r w:rsidRPr="00C25AFF" w:rsidR="0006396A">
        <w:t>10</w:t>
      </w:r>
      <w:r w:rsidR="0006396A">
        <w:t>, as far as relevant,</w:t>
      </w:r>
      <w:r w:rsidRPr="00C25AFF" w:rsidR="0006396A">
        <w:t xml:space="preserve"> reads as follows:</w:t>
      </w:r>
    </w:p>
    <w:p w:rsidR="0006396A" w:rsidP="0006396A" w:rsidRDefault="0006396A">
      <w:pPr>
        <w:pStyle w:val="JuQuot"/>
      </w:pPr>
      <w:r>
        <w:t>“</w:t>
      </w:r>
      <w:r w:rsidRPr="00C25AFF">
        <w:t xml:space="preserve">1.  Everyone has the right to freedom of expression. This right shall include freedom to hold opinions and to receive and impart information and ideas without interference by public authority and regardless of frontiers. </w:t>
      </w:r>
      <w:r>
        <w:t>....</w:t>
      </w:r>
    </w:p>
    <w:p w:rsidR="0006396A" w:rsidP="0006396A" w:rsidRDefault="0006396A">
      <w:pPr>
        <w:pStyle w:val="JuQuot"/>
      </w:pPr>
      <w: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06396A" w:rsidP="0006396A" w:rsidRDefault="00AE12A4">
      <w:pPr>
        <w:pStyle w:val="JuHA"/>
      </w:pPr>
      <w:r>
        <w:t>A.  </w:t>
      </w:r>
      <w:r w:rsidR="0006396A">
        <w:t>The parties</w:t>
      </w:r>
      <w:r>
        <w:t>'</w:t>
      </w:r>
      <w:r w:rsidR="0006396A">
        <w:t xml:space="preserve"> submissions</w:t>
      </w:r>
    </w:p>
    <w:p w:rsidR="0006396A" w:rsidP="0006396A" w:rsidRDefault="0006396A">
      <w:pPr>
        <w:pStyle w:val="JuPara"/>
      </w:pPr>
      <w:r>
        <w:fldChar w:fldCharType="begin"/>
      </w:r>
      <w:r>
        <w:instrText xml:space="preserve"> SEQ level0 \*arabic </w:instrText>
      </w:r>
      <w:r>
        <w:fldChar w:fldCharType="separate"/>
      </w:r>
      <w:r w:rsidR="00BE5DA2">
        <w:rPr>
          <w:noProof/>
        </w:rPr>
        <w:t>22</w:t>
      </w:r>
      <w:r>
        <w:fldChar w:fldCharType="end"/>
      </w:r>
      <w:r>
        <w:t>.  The Government argued that the Austrian courts</w:t>
      </w:r>
      <w:r w:rsidR="00AE12A4">
        <w:t>'</w:t>
      </w:r>
      <w:r>
        <w:t xml:space="preserve"> injunction did not constitute an interference with the applicant association</w:t>
      </w:r>
      <w:r w:rsidR="00AE12A4">
        <w:t>'</w:t>
      </w:r>
      <w:r>
        <w:t>s rights within the meaning of Article 10 of the Convention. They submitted in that regard that Article 10 did not protect artistic freedom as such but only provided protection to artists who intended to contribute through their work to a public discussion of political or cultural matters. The present reproduction of public figures in “group sexual situations” could, however, hardly be regarded as a statement of opinion contributing to a cultural or political debate.</w:t>
      </w:r>
    </w:p>
    <w:p w:rsidR="0006396A" w:rsidP="0006396A" w:rsidRDefault="0006396A">
      <w:pPr>
        <w:pStyle w:val="JuPara"/>
      </w:pPr>
      <w:r>
        <w:fldChar w:fldCharType="begin"/>
      </w:r>
      <w:r>
        <w:instrText xml:space="preserve"> SEQ level0 \*arabic </w:instrText>
      </w:r>
      <w:r>
        <w:fldChar w:fldCharType="separate"/>
      </w:r>
      <w:r w:rsidR="00BE5DA2">
        <w:rPr>
          <w:noProof/>
        </w:rPr>
        <w:t>23</w:t>
      </w:r>
      <w:r>
        <w:fldChar w:fldCharType="end"/>
      </w:r>
      <w:r>
        <w:t>.  In the alternative, the Government argued that the interference at issue had been lawful and had served the legitimate aim of protecting morals and the reputation and rights of others. As regards the proportionality of the interference, they argued that since its inauguration, the exhibition at which the painting had been shown had been at the centre of media attention, precisely because of the painting itself. The interest of the media had become even more intense after the painting had been partly damaged, so that after the event in question the part of the painting affected</w:t>
      </w:r>
      <w:r w:rsidR="001C0407">
        <w:t xml:space="preserve"> and the fact that it showed Mr </w:t>
      </w:r>
      <w:proofErr w:type="spellStart"/>
      <w:r>
        <w:t>Meischberger</w:t>
      </w:r>
      <w:proofErr w:type="spellEnd"/>
      <w:r>
        <w:t xml:space="preserve"> was known not only to visitors of the exhibition but to the general public. The painting had been displayed in nearly all Austrian newspapers and on television. Accordingly,</w:t>
      </w:r>
      <w:r w:rsidR="001C0407">
        <w:t xml:space="preserve"> at least from that date on, Mr </w:t>
      </w:r>
      <w:proofErr w:type="spellStart"/>
      <w:r>
        <w:t>Meischberger</w:t>
      </w:r>
      <w:r w:rsidR="00AE12A4">
        <w:t>'</w:t>
      </w:r>
      <w:r>
        <w:t>s</w:t>
      </w:r>
      <w:proofErr w:type="spellEnd"/>
      <w:r>
        <w:t xml:space="preserve"> personal interests had prevailed over the interests of the applicant association in exhibiting the painting. It was </w:t>
      </w:r>
      <w:r w:rsidR="001C0407">
        <w:t xml:space="preserve">also irrelevant whether Mr </w:t>
      </w:r>
      <w:proofErr w:type="spellStart"/>
      <w:r>
        <w:t>Meischberger</w:t>
      </w:r>
      <w:proofErr w:type="spellEnd"/>
      <w:r>
        <w:t xml:space="preserve"> was a subject of public interest at the time of the events as the painting could by no means be regarded as part of a public discussion of genera</w:t>
      </w:r>
      <w:r w:rsidR="001C0407">
        <w:t>l interest or as relating to Mr </w:t>
      </w:r>
      <w:proofErr w:type="spellStart"/>
      <w:r>
        <w:t>Meischberger</w:t>
      </w:r>
      <w:proofErr w:type="spellEnd"/>
      <w:r>
        <w:t xml:space="preserve"> in his public capacity. Nor could Mr </w:t>
      </w:r>
      <w:proofErr w:type="spellStart"/>
      <w:r>
        <w:t>Meischberger</w:t>
      </w:r>
      <w:proofErr w:type="spellEnd"/>
      <w:r>
        <w:t xml:space="preserve"> be expected to comment in public on the painting since the activities depicted in it could certainly offend the sense of sexual propriety of persons of ordinary sensitivity. The Government lastly pointed out that at the time of the interference the exhibition at issue had already been closed down and that throughout the duration of the exhibition the painting had actually been on display. The applicant association had not intended to exhibit the painting abroad. Furthermore, the prohibition on exhibiting the painting any further concerned only the applicant association as the exhibitor and not the owner of the painting, namely the artist and his manager. Having regard to all these elements, the Government argued that the interference at issue was proportionate within the meaning of paragraph 2 of Article 10 of the Convention.</w:t>
      </w:r>
    </w:p>
    <w:p w:rsidR="0006396A" w:rsidP="0006396A" w:rsidRDefault="0006396A">
      <w:pPr>
        <w:pStyle w:val="JuPara"/>
      </w:pPr>
      <w:r>
        <w:fldChar w:fldCharType="begin"/>
      </w:r>
      <w:r>
        <w:instrText xml:space="preserve"> SEQ level0 \*arabic </w:instrText>
      </w:r>
      <w:r>
        <w:fldChar w:fldCharType="separate"/>
      </w:r>
      <w:r w:rsidR="00BE5DA2">
        <w:rPr>
          <w:noProof/>
        </w:rPr>
        <w:t>24</w:t>
      </w:r>
      <w:r>
        <w:fldChar w:fldCharType="end"/>
      </w:r>
      <w:r>
        <w:t>.  The applicant association argued that the public exhibition of a painting contributed to a debate between the artist, the exhibitor and the public and was therefore protected under Article 10 of the Convention. It accepted that the impugned interference was prescribed by law, but maintained that the interference had been neither necessary nor proportionate. It submitted that the Government</w:t>
      </w:r>
      <w:r w:rsidR="00AE12A4">
        <w:t>'</w:t>
      </w:r>
      <w:r>
        <w:t xml:space="preserve">s submissions as regards the protection of morals were irrelevant as in the present case the domestic courts had based their decisions merely on Mr </w:t>
      </w:r>
      <w:proofErr w:type="spellStart"/>
      <w:r>
        <w:t>Meischberger</w:t>
      </w:r>
      <w:r w:rsidR="00AE12A4">
        <w:t>'</w:t>
      </w:r>
      <w:r>
        <w:t>s</w:t>
      </w:r>
      <w:proofErr w:type="spellEnd"/>
      <w:r>
        <w:t xml:space="preserve"> prevailing personal interests as protected under section 78 of the Copyright Act. Mr </w:t>
      </w:r>
      <w:proofErr w:type="spellStart"/>
      <w:r>
        <w:t>Meischberger</w:t>
      </w:r>
      <w:proofErr w:type="spellEnd"/>
      <w:r>
        <w:t xml:space="preserve"> could not, however, claim any personal interest worth protecting as the painting obviously did not state or suggest that the way in which he was portrayed corresponded to his actual behaviour. The painting presented the artist</w:t>
      </w:r>
      <w:r w:rsidR="00AE12A4">
        <w:t>'</w:t>
      </w:r>
      <w:r>
        <w:t>s personal history in an allegorical way and depicted, among several other well-known persons, the painter himself and some of his friends and benefactors. All these persons were depicted engaging in sexual acts, reflecting the painter</w:t>
      </w:r>
      <w:r w:rsidR="00AE12A4">
        <w:t>'</w:t>
      </w:r>
      <w:r>
        <w:t xml:space="preserve">s conception of the interrelation </w:t>
      </w:r>
      <w:r w:rsidR="001C0407">
        <w:t xml:space="preserve">between power and sexuality. Mr </w:t>
      </w:r>
      <w:proofErr w:type="spellStart"/>
      <w:r>
        <w:t>Meischberger</w:t>
      </w:r>
      <w:proofErr w:type="spellEnd"/>
      <w:r>
        <w:t xml:space="preserve"> had been one of the figures who had characterised the history of the FPÖ party in the past few years, and he had been portrayed with the other three members as an allegory of that party, which had always strongly criticised the painter</w:t>
      </w:r>
      <w:r w:rsidR="00AE12A4">
        <w:t>'</w:t>
      </w:r>
      <w:r>
        <w:t>s work. Furthermore, Mr </w:t>
      </w:r>
      <w:proofErr w:type="spellStart"/>
      <w:r>
        <w:t>Meischberger</w:t>
      </w:r>
      <w:proofErr w:type="spellEnd"/>
      <w:r>
        <w:t xml:space="preserve"> and, in any event, the actions he considered libellous were not recognisable after the painting had been partly damaged. In the applicant association</w:t>
      </w:r>
      <w:r w:rsidR="00AE12A4">
        <w:t>'</w:t>
      </w:r>
      <w:r>
        <w:t>s view, the fact that he had instituted proceedings only after the painting had been partly damaged demonstrated that rather than protecting his personal interests he was aiming to discredit the painter</w:t>
      </w:r>
      <w:r w:rsidR="00AE12A4">
        <w:t>'</w:t>
      </w:r>
      <w:r>
        <w:t>s work.</w:t>
      </w:r>
    </w:p>
    <w:p w:rsidR="0006396A" w:rsidP="0006396A" w:rsidRDefault="0006396A">
      <w:pPr>
        <w:pStyle w:val="JuPara"/>
      </w:pPr>
      <w:r>
        <w:fldChar w:fldCharType="begin"/>
      </w:r>
      <w:r>
        <w:instrText xml:space="preserve"> SEQ level0 \*arabic </w:instrText>
      </w:r>
      <w:r>
        <w:fldChar w:fldCharType="separate"/>
      </w:r>
      <w:r w:rsidR="00BE5DA2">
        <w:rPr>
          <w:noProof/>
        </w:rPr>
        <w:t>25</w:t>
      </w:r>
      <w:r>
        <w:fldChar w:fldCharType="end"/>
      </w:r>
      <w:r>
        <w:t>.  The applicant association lastly pointed out that the Austrian courts</w:t>
      </w:r>
      <w:r w:rsidR="00AE12A4">
        <w:t>'</w:t>
      </w:r>
      <w:r>
        <w:t xml:space="preserve"> decisions that the painting violated Mr </w:t>
      </w:r>
      <w:proofErr w:type="spellStart"/>
      <w:r>
        <w:t>Meischberger</w:t>
      </w:r>
      <w:r w:rsidR="00AE12A4">
        <w:t>'</w:t>
      </w:r>
      <w:r>
        <w:t>s</w:t>
      </w:r>
      <w:proofErr w:type="spellEnd"/>
      <w:r>
        <w:t xml:space="preserve"> rights as protected under section 78 of the Copyright Act, and the injunction prohibiting any further exhibition of the painting, concerned not only the applicant association but also the painter himself and any other third person wishing to exhibit the painting and were equivalent to the deletion of the painting from the collective memory. As an ex</w:t>
      </w:r>
      <w:r w:rsidR="001C0407">
        <w:t>ample they referred to the 2004 </w:t>
      </w:r>
      <w:r>
        <w:t xml:space="preserve">exhibition concerning the work of Otto </w:t>
      </w:r>
      <w:proofErr w:type="spellStart"/>
      <w:r>
        <w:t>Mühl</w:t>
      </w:r>
      <w:proofErr w:type="spellEnd"/>
      <w:r>
        <w:t xml:space="preserve"> at the Vienna Museum for Applied Arts (</w:t>
      </w:r>
      <w:r w:rsidRPr="009E77B9">
        <w:rPr>
          <w:i/>
        </w:rPr>
        <w:t xml:space="preserve">Museum für </w:t>
      </w:r>
      <w:proofErr w:type="spellStart"/>
      <w:r w:rsidRPr="009E77B9">
        <w:rPr>
          <w:i/>
        </w:rPr>
        <w:t>Angewandte</w:t>
      </w:r>
      <w:proofErr w:type="spellEnd"/>
      <w:r w:rsidRPr="009E77B9">
        <w:rPr>
          <w:i/>
        </w:rPr>
        <w:t xml:space="preserve"> </w:t>
      </w:r>
      <w:proofErr w:type="spellStart"/>
      <w:r w:rsidRPr="009E77B9">
        <w:rPr>
          <w:i/>
        </w:rPr>
        <w:t>Kunst</w:t>
      </w:r>
      <w:proofErr w:type="spellEnd"/>
      <w:r>
        <w:t>), where the painting had not been shown.</w:t>
      </w:r>
    </w:p>
    <w:p w:rsidR="0006396A" w:rsidP="0006396A" w:rsidRDefault="00AE12A4">
      <w:pPr>
        <w:pStyle w:val="JuHA"/>
      </w:pPr>
      <w:r>
        <w:t>B.  </w:t>
      </w:r>
      <w:r w:rsidR="0006396A">
        <w:t>The Court</w:t>
      </w:r>
      <w:r>
        <w:t>'</w:t>
      </w:r>
      <w:r w:rsidR="0006396A">
        <w:t>s assessment</w:t>
      </w:r>
    </w:p>
    <w:p w:rsidRPr="00C03374" w:rsidR="0006396A" w:rsidP="0006396A" w:rsidRDefault="0006396A">
      <w:pPr>
        <w:pStyle w:val="JuPara"/>
        <w:rPr>
          <w:rFonts w:eastAsia="Arial Unicode MS"/>
        </w:rPr>
      </w:pPr>
      <w:r>
        <w:fldChar w:fldCharType="begin"/>
      </w:r>
      <w:r w:rsidRPr="00C03374">
        <w:instrText xml:space="preserve"> SEQ level0 \*arabic </w:instrText>
      </w:r>
      <w:r>
        <w:fldChar w:fldCharType="separate"/>
      </w:r>
      <w:r w:rsidR="00BE5DA2">
        <w:rPr>
          <w:noProof/>
        </w:rPr>
        <w:t>26</w:t>
      </w:r>
      <w:r>
        <w:fldChar w:fldCharType="end"/>
      </w:r>
      <w:r w:rsidRPr="00C03374">
        <w:t xml:space="preserve">. The Court </w:t>
      </w:r>
      <w:r>
        <w:t>reiterates</w:t>
      </w:r>
      <w:r w:rsidRPr="00C03374">
        <w:t xml:space="preserve"> that freedom of expression, as secured in paragraph 1 of Article 10, constitutes one of the essential foundations of a democratic society, indeed one of the basic conditions for its progress and for the self-fulfilment of the individual. Subject to paragraph 2, it is applicable not only to </w:t>
      </w:r>
      <w:r>
        <w:t>“</w:t>
      </w:r>
      <w:r w:rsidRPr="00C03374">
        <w:t>information</w:t>
      </w:r>
      <w:r>
        <w:t>”</w:t>
      </w:r>
      <w:r w:rsidRPr="00C03374">
        <w:t xml:space="preserve"> or </w:t>
      </w:r>
      <w:r>
        <w:t>“</w:t>
      </w:r>
      <w:r w:rsidRPr="00C03374">
        <w:t>ideas</w:t>
      </w:r>
      <w:r>
        <w:t>”</w:t>
      </w:r>
      <w:r w:rsidRPr="00C03374">
        <w:t xml:space="preserve"> that are favourably received or regarded as inoffensive or as a matter of indifference, but also to those that offend, shock or disturb the State or any section of the population. Such are the demands of that pluralism, tolerance and broadmindedness without which there is no </w:t>
      </w:r>
      <w:r>
        <w:t>“</w:t>
      </w:r>
      <w:r w:rsidRPr="00C03374">
        <w:t>democratic society</w:t>
      </w:r>
      <w:r>
        <w:t>”</w:t>
      </w:r>
      <w:r w:rsidRPr="00C03374">
        <w:t>. Those who create, perform, distribute or exhibit works of art contribute to the exchange of ideas and opinions which is essential for a democratic society. Hence the obligation on the State not to encroach unduly on their freedom of expression.</w:t>
      </w:r>
      <w:r>
        <w:t xml:space="preserve"> </w:t>
      </w:r>
      <w:r w:rsidRPr="00C03374">
        <w:t>Artists and those who promote their work are certainly not immune from the possibility of limitations as provide</w:t>
      </w:r>
      <w:r w:rsidR="001C0407">
        <w:t>d for in paragraph 2 of Article </w:t>
      </w:r>
      <w:r w:rsidRPr="00C03374">
        <w:t xml:space="preserve">10. Whoever exercises his freedom of expression undertakes, in accordance with the express terms of that paragraph, </w:t>
      </w:r>
      <w:r>
        <w:t>“</w:t>
      </w:r>
      <w:r w:rsidRPr="00C03374">
        <w:t>duties and responsibilities</w:t>
      </w:r>
      <w:r>
        <w:t>”</w:t>
      </w:r>
      <w:r w:rsidRPr="00C03374">
        <w:t>; their scope will depend on his situat</w:t>
      </w:r>
      <w:r>
        <w:t xml:space="preserve">ion and the means he uses (see </w:t>
      </w:r>
      <w:proofErr w:type="spellStart"/>
      <w:r w:rsidRPr="00D942B4">
        <w:rPr>
          <w:rFonts w:eastAsia="Arial Unicode MS"/>
          <w:i/>
        </w:rPr>
        <w:t>Müller</w:t>
      </w:r>
      <w:proofErr w:type="spellEnd"/>
      <w:r w:rsidRPr="00D942B4">
        <w:rPr>
          <w:rFonts w:eastAsia="Arial Unicode MS"/>
          <w:i/>
        </w:rPr>
        <w:t xml:space="preserve"> and Others</w:t>
      </w:r>
      <w:r w:rsidRPr="008D4D03">
        <w:rPr>
          <w:rFonts w:eastAsia="Arial Unicode MS"/>
          <w:i/>
        </w:rPr>
        <w:t xml:space="preserve"> v. </w:t>
      </w:r>
      <w:r w:rsidRPr="00D942B4">
        <w:rPr>
          <w:rFonts w:eastAsia="Arial Unicode MS"/>
          <w:i/>
        </w:rPr>
        <w:t>Switzerland</w:t>
      </w:r>
      <w:r>
        <w:rPr>
          <w:rFonts w:eastAsia="Arial Unicode MS"/>
        </w:rPr>
        <w:t>, judgment of 24 May 19</w:t>
      </w:r>
      <w:r w:rsidR="001C0407">
        <w:rPr>
          <w:rFonts w:eastAsia="Arial Unicode MS"/>
        </w:rPr>
        <w:t>88, Series A no. 133, p. 22, §§ </w:t>
      </w:r>
      <w:r>
        <w:rPr>
          <w:rFonts w:eastAsia="Arial Unicode MS"/>
        </w:rPr>
        <w:t>33-34, with further references).</w:t>
      </w:r>
    </w:p>
    <w:p w:rsidR="00AE12A4" w:rsidP="004268A1" w:rsidRDefault="0006396A">
      <w:pPr>
        <w:pStyle w:val="JuPara"/>
      </w:pPr>
      <w:r>
        <w:fldChar w:fldCharType="begin"/>
      </w:r>
      <w:r>
        <w:instrText xml:space="preserve"> SEQ level0 \*arabic </w:instrText>
      </w:r>
      <w:r>
        <w:fldChar w:fldCharType="separate"/>
      </w:r>
      <w:r w:rsidR="00BE5DA2">
        <w:rPr>
          <w:noProof/>
        </w:rPr>
        <w:t>27</w:t>
      </w:r>
      <w:r>
        <w:fldChar w:fldCharType="end"/>
      </w:r>
      <w:r>
        <w:t xml:space="preserve">.  In the present case, the Austrian courts forbade the applicant association to exhibit any further the painting “Apocalypse” by Otto </w:t>
      </w:r>
      <w:proofErr w:type="spellStart"/>
      <w:r>
        <w:t>Mühl</w:t>
      </w:r>
      <w:proofErr w:type="spellEnd"/>
      <w:r>
        <w:t>. Such decisions interfered with the applicant association</w:t>
      </w:r>
      <w:r w:rsidR="00AE12A4">
        <w:t>'</w:t>
      </w:r>
      <w:r>
        <w:t xml:space="preserve">s right to freedom of expression (see, </w:t>
      </w:r>
      <w:r w:rsidRPr="00C03374">
        <w:rPr>
          <w:i/>
        </w:rPr>
        <w:t>mutatis mutandis</w:t>
      </w:r>
      <w:r>
        <w:t xml:space="preserve">, </w:t>
      </w:r>
      <w:r w:rsidRPr="006170F2">
        <w:rPr>
          <w:i/>
        </w:rPr>
        <w:t>Müller and Others</w:t>
      </w:r>
      <w:r w:rsidR="004268A1">
        <w:t>, cited above, p.</w:t>
      </w:r>
      <w:r w:rsidR="001C0407">
        <w:t> </w:t>
      </w:r>
      <w:r w:rsidR="004268A1">
        <w:t>19, § </w:t>
      </w:r>
      <w:r>
        <w:t>27).</w:t>
      </w:r>
    </w:p>
    <w:p w:rsidRPr="006021DE" w:rsidR="0006396A" w:rsidP="0006396A" w:rsidRDefault="0006396A">
      <w:pPr>
        <w:pStyle w:val="JuPara"/>
      </w:pPr>
      <w:r>
        <w:fldChar w:fldCharType="begin"/>
      </w:r>
      <w:r>
        <w:instrText xml:space="preserve"> SEQ level0 \*arabic </w:instrText>
      </w:r>
      <w:r>
        <w:fldChar w:fldCharType="separate"/>
      </w:r>
      <w:r w:rsidR="00BE5DA2">
        <w:rPr>
          <w:noProof/>
        </w:rPr>
        <w:t>28</w:t>
      </w:r>
      <w:r>
        <w:fldChar w:fldCharType="end"/>
      </w:r>
      <w:r>
        <w:t>.  The Court further finds, and this was not disputed before it, that the interference was “prescribed by law,” the impugned courts</w:t>
      </w:r>
      <w:r w:rsidR="00AE12A4">
        <w:t>'</w:t>
      </w:r>
      <w:r>
        <w:t xml:space="preserve"> decisions having been based on section 78 of the Copyright Act.</w:t>
      </w:r>
    </w:p>
    <w:p w:rsidR="0006396A" w:rsidP="0006396A" w:rsidRDefault="0006396A">
      <w:pPr>
        <w:pStyle w:val="JuPara"/>
      </w:pPr>
      <w:r>
        <w:fldChar w:fldCharType="begin"/>
      </w:r>
      <w:r>
        <w:instrText xml:space="preserve"> SEQ level0 \*arabic </w:instrText>
      </w:r>
      <w:r>
        <w:fldChar w:fldCharType="separate"/>
      </w:r>
      <w:r w:rsidR="00BE5DA2">
        <w:rPr>
          <w:noProof/>
        </w:rPr>
        <w:t>29</w:t>
      </w:r>
      <w:r>
        <w:fldChar w:fldCharType="end"/>
      </w:r>
      <w:r>
        <w:t>.  As to the question of the legitimate aim pursued, the Court observes that section 78 of the Austrian Copyright Act provides a remedy against publication of a person</w:t>
      </w:r>
      <w:r w:rsidR="00AE12A4">
        <w:t>'</w:t>
      </w:r>
      <w:r>
        <w:t>s picture where this would violate the legitimate interests of the person concerned or, in the event that he or she has died, those of close relatives. Referring to that legislation, the domestic courts prohibited the applicant association from exhibiting the painting at issue any further as they found that it</w:t>
      </w:r>
      <w:r w:rsidR="001C0407">
        <w:t xml:space="preserve"> constituted a debasement of Mr </w:t>
      </w:r>
      <w:proofErr w:type="spellStart"/>
      <w:r>
        <w:t>Meischberger</w:t>
      </w:r>
      <w:r w:rsidR="00AE12A4">
        <w:t>'</w:t>
      </w:r>
      <w:r>
        <w:t>s</w:t>
      </w:r>
      <w:proofErr w:type="spellEnd"/>
      <w:r>
        <w:t xml:space="preserve"> public standing. The Court therefore accepts that the impugned measure pursued the legitimate aim of “protect</w:t>
      </w:r>
      <w:r w:rsidR="001C0407">
        <w:t>ion of the rights of others”.</w:t>
      </w:r>
    </w:p>
    <w:p w:rsidR="0006396A" w:rsidP="0006396A" w:rsidRDefault="0006396A">
      <w:pPr>
        <w:pStyle w:val="JuPara"/>
      </w:pPr>
      <w:r>
        <w:fldChar w:fldCharType="begin"/>
      </w:r>
      <w:r>
        <w:instrText xml:space="preserve"> SEQ level0 \*arabic </w:instrText>
      </w:r>
      <w:r>
        <w:fldChar w:fldCharType="separate"/>
      </w:r>
      <w:r w:rsidR="00BE5DA2">
        <w:rPr>
          <w:noProof/>
        </w:rPr>
        <w:t>30</w:t>
      </w:r>
      <w:r>
        <w:fldChar w:fldCharType="end"/>
      </w:r>
      <w:r>
        <w:t>.  The Government further contended that the aim of the interference complained of was to protect public morals.</w:t>
      </w:r>
    </w:p>
    <w:p w:rsidR="00AE12A4" w:rsidP="0006396A" w:rsidRDefault="0006396A">
      <w:pPr>
        <w:pStyle w:val="JuPara"/>
      </w:pPr>
      <w:r>
        <w:fldChar w:fldCharType="begin"/>
      </w:r>
      <w:r>
        <w:instrText xml:space="preserve"> SEQ level0 \*arabic </w:instrText>
      </w:r>
      <w:r>
        <w:fldChar w:fldCharType="separate"/>
      </w:r>
      <w:r w:rsidR="00BE5DA2">
        <w:rPr>
          <w:noProof/>
        </w:rPr>
        <w:t>31</w:t>
      </w:r>
      <w:r>
        <w:fldChar w:fldCharType="end"/>
      </w:r>
      <w:r>
        <w:t>.  The Court notes, however, that neither the wording of the above legislation, nor the terms in which the relevant court decisions were phrased, refer to the latter aim. Therefore, the Court cannot accept that the Austrian authorities, when prohibiting the exhibition of the painting at issue, pursued any other obje</w:t>
      </w:r>
      <w:r w:rsidR="001C0407">
        <w:t>ctive than the protection of Mr </w:t>
      </w:r>
      <w:proofErr w:type="spellStart"/>
      <w:r>
        <w:t>Meischberger</w:t>
      </w:r>
      <w:r w:rsidR="00AE12A4">
        <w:t>'</w:t>
      </w:r>
      <w:r>
        <w:t>s</w:t>
      </w:r>
      <w:proofErr w:type="spellEnd"/>
      <w:r>
        <w:t xml:space="preserve"> individual rights. Accordingly, the Government</w:t>
      </w:r>
      <w:r w:rsidR="00AE12A4">
        <w:t>'</w:t>
      </w:r>
      <w:r>
        <w:t>s argument that the interference also pursued the legitimate aim of protecting public morals fails.</w:t>
      </w:r>
    </w:p>
    <w:p w:rsidR="00AE12A4" w:rsidP="0006396A" w:rsidRDefault="0006396A">
      <w:pPr>
        <w:pStyle w:val="JuPara"/>
      </w:pPr>
      <w:r>
        <w:fldChar w:fldCharType="begin"/>
      </w:r>
      <w:r>
        <w:instrText xml:space="preserve"> SEQ level0 \*arabic </w:instrText>
      </w:r>
      <w:r>
        <w:fldChar w:fldCharType="separate"/>
      </w:r>
      <w:r w:rsidR="00BE5DA2">
        <w:rPr>
          <w:noProof/>
        </w:rPr>
        <w:t>32</w:t>
      </w:r>
      <w:r>
        <w:fldChar w:fldCharType="end"/>
      </w:r>
      <w:r>
        <w:t xml:space="preserve">.  As regards the necessity of the interference, the Court notes at the outset that the painting, in its original state, depicted Mr </w:t>
      </w:r>
      <w:proofErr w:type="spellStart"/>
      <w:r>
        <w:t>Meischberger</w:t>
      </w:r>
      <w:proofErr w:type="spellEnd"/>
      <w:r>
        <w:t xml:space="preserve"> in a somewhat outrageous manner, namely naked and involved in sexual activities. Mr </w:t>
      </w:r>
      <w:proofErr w:type="spellStart"/>
      <w:r>
        <w:t>Meischberger</w:t>
      </w:r>
      <w:proofErr w:type="spellEnd"/>
      <w:r>
        <w:t xml:space="preserve">, a former general secretary of the Austrian Freedom Party and a member of parliament at the time of the events, was portrayed in interaction with three other prominent members of his party, amongst them Mr </w:t>
      </w:r>
      <w:proofErr w:type="spellStart"/>
      <w:r>
        <w:t>Jörg</w:t>
      </w:r>
      <w:proofErr w:type="spellEnd"/>
      <w:r>
        <w:t xml:space="preserve"> </w:t>
      </w:r>
      <w:proofErr w:type="spellStart"/>
      <w:r>
        <w:t>Haider</w:t>
      </w:r>
      <w:proofErr w:type="spellEnd"/>
      <w:r>
        <w:t>, who at that time was the party</w:t>
      </w:r>
      <w:r w:rsidR="00AE12A4">
        <w:t>'</w:t>
      </w:r>
      <w:r>
        <w:t>s leader and has in the meantime founded another party.</w:t>
      </w:r>
    </w:p>
    <w:p w:rsidR="00AE12A4" w:rsidP="0006396A" w:rsidRDefault="0006396A">
      <w:pPr>
        <w:pStyle w:val="JuPara"/>
      </w:pPr>
      <w:r>
        <w:fldChar w:fldCharType="begin"/>
      </w:r>
      <w:r>
        <w:instrText xml:space="preserve"> SEQ level0 \*arabic </w:instrText>
      </w:r>
      <w:r>
        <w:fldChar w:fldCharType="separate"/>
      </w:r>
      <w:r w:rsidR="00BE5DA2">
        <w:rPr>
          <w:noProof/>
        </w:rPr>
        <w:t>33</w:t>
      </w:r>
      <w:r>
        <w:fldChar w:fldCharType="end"/>
      </w:r>
      <w:r>
        <w:t xml:space="preserve">.  However, it must be emphasised that the painting used only photos of the heads of the persons concerned, their eyes being hidden under black bars and their bodies being painted in an unrealistic and exaggerated manner. It was common ground in the understanding of the domestic courts at all levels that the painting obviously did not aim to reflect or even to suggest reality; the Government, in their submissions, have not alleged otherwise. </w:t>
      </w:r>
      <w:r w:rsidRPr="00B15050">
        <w:t>The Court finds that such portrayal amounted to a caricature of the persons concerned using satirical elements. It notes that satire is a form of artistic expression and social commentary and, by its inherent features of exaggeration and distortion of reality, naturally aims to provoke and agitate. Accordingly, any interference with an artist</w:t>
      </w:r>
      <w:r w:rsidR="00AE12A4">
        <w:t>'</w:t>
      </w:r>
      <w:r w:rsidRPr="00B15050">
        <w:t>s right to such expression must be examined with particular care.</w:t>
      </w:r>
    </w:p>
    <w:p w:rsidR="00AE12A4" w:rsidP="0006396A" w:rsidRDefault="0006396A">
      <w:pPr>
        <w:pStyle w:val="JuPara"/>
      </w:pPr>
      <w:r w:rsidRPr="00B15050">
        <w:fldChar w:fldCharType="begin"/>
      </w:r>
      <w:r w:rsidRPr="00B15050">
        <w:instrText xml:space="preserve"> SEQ level0 \*arabic </w:instrText>
      </w:r>
      <w:r w:rsidRPr="00B15050">
        <w:fldChar w:fldCharType="separate"/>
      </w:r>
      <w:r w:rsidR="00BE5DA2">
        <w:rPr>
          <w:noProof/>
        </w:rPr>
        <w:t>34</w:t>
      </w:r>
      <w:r w:rsidRPr="00B15050">
        <w:fldChar w:fldCharType="end"/>
      </w:r>
      <w:r w:rsidRPr="00B15050">
        <w:t>.  In the present case, the Court considers that the painting could hardly be understood</w:t>
      </w:r>
      <w:r>
        <w:t xml:space="preserve"> to address details of Mr </w:t>
      </w:r>
      <w:proofErr w:type="spellStart"/>
      <w:r>
        <w:t>Meischberger</w:t>
      </w:r>
      <w:r w:rsidR="00AE12A4">
        <w:t>'</w:t>
      </w:r>
      <w:r>
        <w:t>s</w:t>
      </w:r>
      <w:proofErr w:type="spellEnd"/>
      <w:r>
        <w:t xml:space="preserve"> private life, but rather related to Mr </w:t>
      </w:r>
      <w:proofErr w:type="spellStart"/>
      <w:r>
        <w:t>Meischberger</w:t>
      </w:r>
      <w:r w:rsidR="00AE12A4">
        <w:t>'</w:t>
      </w:r>
      <w:r>
        <w:t>s</w:t>
      </w:r>
      <w:proofErr w:type="spellEnd"/>
      <w:r>
        <w:t xml:space="preserve"> public standing</w:t>
      </w:r>
      <w:r w:rsidR="00AE12A4">
        <w:t xml:space="preserve"> </w:t>
      </w:r>
      <w:r>
        <w:t xml:space="preserve">as a politician from the FPÖ. The Court notes that in this capacity Mr </w:t>
      </w:r>
      <w:proofErr w:type="spellStart"/>
      <w:r>
        <w:t>Meischberger</w:t>
      </w:r>
      <w:proofErr w:type="spellEnd"/>
      <w:r>
        <w:t xml:space="preserve"> has to display a wider tolerance </w:t>
      </w:r>
      <w:r>
        <w:rPr>
          <w:spacing w:val="-2"/>
        </w:rPr>
        <w:t xml:space="preserve">in respect of criticism (see </w:t>
      </w:r>
      <w:r w:rsidRPr="0034023E">
        <w:rPr>
          <w:i/>
          <w:spacing w:val="-2"/>
        </w:rPr>
        <w:t>Lingens v. Austria</w:t>
      </w:r>
      <w:r>
        <w:rPr>
          <w:spacing w:val="-2"/>
        </w:rPr>
        <w:t>, judgment of 8 July 1986, Series A no. 103, p. 26, § 42).</w:t>
      </w:r>
      <w:r>
        <w:t xml:space="preserve"> The Court does not find unreasonable the view taken by the court of first instance that the scene in which Mr </w:t>
      </w:r>
      <w:proofErr w:type="spellStart"/>
      <w:r>
        <w:t>Meischberger</w:t>
      </w:r>
      <w:proofErr w:type="spellEnd"/>
      <w:r>
        <w:t xml:space="preserve"> was portrayed could be understood to constitute some sort of counter-attack against the Austrian Freedom Party, whose members had strongly criticised the painter</w:t>
      </w:r>
      <w:r w:rsidR="00AE12A4">
        <w:t>'</w:t>
      </w:r>
      <w:r>
        <w:t>s work.</w:t>
      </w:r>
    </w:p>
    <w:p w:rsidR="0006396A" w:rsidP="0006396A" w:rsidRDefault="0006396A">
      <w:pPr>
        <w:pStyle w:val="JuPara"/>
      </w:pPr>
      <w:r>
        <w:rPr>
          <w:spacing w:val="-2"/>
        </w:rPr>
        <w:fldChar w:fldCharType="begin"/>
      </w:r>
      <w:r>
        <w:rPr>
          <w:spacing w:val="-2"/>
        </w:rPr>
        <w:instrText xml:space="preserve"> SEQ level0 \*arabic </w:instrText>
      </w:r>
      <w:r>
        <w:rPr>
          <w:spacing w:val="-2"/>
        </w:rPr>
        <w:fldChar w:fldCharType="separate"/>
      </w:r>
      <w:r w:rsidR="00BE5DA2">
        <w:rPr>
          <w:noProof/>
          <w:spacing w:val="-2"/>
        </w:rPr>
        <w:t>35</w:t>
      </w:r>
      <w:r>
        <w:rPr>
          <w:spacing w:val="-2"/>
        </w:rPr>
        <w:fldChar w:fldCharType="end"/>
      </w:r>
      <w:r>
        <w:rPr>
          <w:spacing w:val="-2"/>
        </w:rPr>
        <w:t>.  </w:t>
      </w:r>
      <w:r w:rsidRPr="00B15050">
        <w:t>Furthermore</w:t>
      </w:r>
      <w:r>
        <w:t>, the Cou</w:t>
      </w:r>
      <w:r w:rsidR="001C0407">
        <w:t>rt would stress that besides Mr </w:t>
      </w:r>
      <w:proofErr w:type="spellStart"/>
      <w:r>
        <w:t>Meischberger</w:t>
      </w:r>
      <w:proofErr w:type="spellEnd"/>
      <w:r>
        <w:t xml:space="preserve">, the painting showed a series of 33 persons, some of whom were very well known to the Austrian public, who were all presented in the way described above. Besides </w:t>
      </w:r>
      <w:proofErr w:type="spellStart"/>
      <w:r>
        <w:t>Jörg</w:t>
      </w:r>
      <w:proofErr w:type="spellEnd"/>
      <w:r>
        <w:t xml:space="preserve"> </w:t>
      </w:r>
      <w:proofErr w:type="spellStart"/>
      <w:r>
        <w:t>Haider</w:t>
      </w:r>
      <w:proofErr w:type="spellEnd"/>
      <w:r>
        <w:t xml:space="preserve"> and the painter himself, Mother Teresa and the Austrian cardinal Hermann </w:t>
      </w:r>
      <w:proofErr w:type="spellStart"/>
      <w:r>
        <w:t>Groer</w:t>
      </w:r>
      <w:proofErr w:type="spellEnd"/>
      <w:r>
        <w:t xml:space="preserve"> were pictured ne</w:t>
      </w:r>
      <w:r w:rsidR="001C0407">
        <w:t>xt to Mr </w:t>
      </w:r>
      <w:proofErr w:type="spellStart"/>
      <w:r>
        <w:t>Meischberger</w:t>
      </w:r>
      <w:proofErr w:type="spellEnd"/>
      <w:r>
        <w:t xml:space="preserve">. The painting further showed the Austrian bishop Kurt </w:t>
      </w:r>
      <w:proofErr w:type="spellStart"/>
      <w:r>
        <w:t>Krenn</w:t>
      </w:r>
      <w:proofErr w:type="spellEnd"/>
      <w:r>
        <w:t xml:space="preserve">, the Austrian author Peter </w:t>
      </w:r>
      <w:proofErr w:type="spellStart"/>
      <w:r>
        <w:t>Turrini</w:t>
      </w:r>
      <w:proofErr w:type="spellEnd"/>
      <w:r>
        <w:t xml:space="preserve"> and the director o</w:t>
      </w:r>
      <w:r w:rsidR="00891038">
        <w:t xml:space="preserve">f the Vienna </w:t>
      </w:r>
      <w:proofErr w:type="spellStart"/>
      <w:r w:rsidR="00891038">
        <w:t>Burgtheater</w:t>
      </w:r>
      <w:proofErr w:type="spellEnd"/>
      <w:r w:rsidR="00891038">
        <w:t>, Claus </w:t>
      </w:r>
      <w:proofErr w:type="spellStart"/>
      <w:r>
        <w:t>Peymann</w:t>
      </w:r>
      <w:proofErr w:type="spellEnd"/>
      <w:r>
        <w:t xml:space="preserve">. Mr </w:t>
      </w:r>
      <w:proofErr w:type="spellStart"/>
      <w:r>
        <w:t>Meischberger</w:t>
      </w:r>
      <w:proofErr w:type="spellEnd"/>
      <w:r>
        <w:t>, who at the time of the events was an ordinary member of parliament, was</w:t>
      </w:r>
      <w:r w:rsidRPr="00DC6FCB">
        <w:t xml:space="preserve"> </w:t>
      </w:r>
      <w:r>
        <w:t>certainly one of the less well known amongst all the people appearing on the painting and nowadays, having retired from politics, is hardly remembered by the public at all.</w:t>
      </w:r>
    </w:p>
    <w:p w:rsidR="00AE12A4" w:rsidP="0006396A" w:rsidRDefault="0006396A">
      <w:pPr>
        <w:pStyle w:val="JuPara"/>
      </w:pPr>
      <w:r>
        <w:fldChar w:fldCharType="begin"/>
      </w:r>
      <w:r>
        <w:instrText xml:space="preserve"> SEQ level0 \*arabic </w:instrText>
      </w:r>
      <w:r>
        <w:fldChar w:fldCharType="separate"/>
      </w:r>
      <w:r w:rsidR="00BE5DA2">
        <w:rPr>
          <w:noProof/>
        </w:rPr>
        <w:t>36</w:t>
      </w:r>
      <w:r>
        <w:fldChar w:fldCharType="end"/>
      </w:r>
      <w:r>
        <w:t xml:space="preserve">.  The Court </w:t>
      </w:r>
      <w:r w:rsidRPr="00B15050">
        <w:t>also</w:t>
      </w:r>
      <w:r w:rsidR="00891038">
        <w:t xml:space="preserve"> observes that, even before Mr </w:t>
      </w:r>
      <w:proofErr w:type="spellStart"/>
      <w:r>
        <w:t>Meischberger</w:t>
      </w:r>
      <w:proofErr w:type="spellEnd"/>
      <w:r>
        <w:t xml:space="preserve"> instituted proceedings, the part of the painting showing him had been damaged so that notably the offensive painting of his body was completely covered by red paint. The Court considers that, at the very latest from this incident onwards, Mr </w:t>
      </w:r>
      <w:proofErr w:type="spellStart"/>
      <w:r>
        <w:t>Meischberger</w:t>
      </w:r>
      <w:r w:rsidR="00AE12A4">
        <w:t>'</w:t>
      </w:r>
      <w:r>
        <w:t>s</w:t>
      </w:r>
      <w:proofErr w:type="spellEnd"/>
      <w:r>
        <w:t xml:space="preserve"> portrayal – even assuming that he was still recognisable, a question that elicited contradictory answers from the different Austrian courts – was certainly diminished, if not totally eclipsed, by the portrayal of all the other, mostly more prominent, persons who were still completely visible on the painting.</w:t>
      </w:r>
    </w:p>
    <w:p w:rsidR="00AE12A4" w:rsidP="0006396A" w:rsidRDefault="0006396A">
      <w:pPr>
        <w:pStyle w:val="JuPara"/>
      </w:pPr>
      <w:r>
        <w:fldChar w:fldCharType="begin"/>
      </w:r>
      <w:r>
        <w:instrText xml:space="preserve"> SEQ level0 \*arabic </w:instrText>
      </w:r>
      <w:r>
        <w:fldChar w:fldCharType="separate"/>
      </w:r>
      <w:r w:rsidR="00BE5DA2">
        <w:rPr>
          <w:noProof/>
        </w:rPr>
        <w:t>37</w:t>
      </w:r>
      <w:r>
        <w:fldChar w:fldCharType="end"/>
      </w:r>
      <w:r>
        <w:t>.  The Court lastly notes that the Austrian courts</w:t>
      </w:r>
      <w:r w:rsidR="00AE12A4">
        <w:t>'</w:t>
      </w:r>
      <w:r>
        <w:t xml:space="preserve"> injunction was not limited either in time or in space. It therefore left the applicant association, which directs one of the best-known Austrian galleries specialising in contemporary art, with no possibility of exhibiting the painting irrespective of whether Mr </w:t>
      </w:r>
      <w:proofErr w:type="spellStart"/>
      <w:r>
        <w:t>Meischberger</w:t>
      </w:r>
      <w:proofErr w:type="spellEnd"/>
      <w:r>
        <w:t xml:space="preserve"> was known, or was still known, at the place and time of a potential exhibition in the future.</w:t>
      </w:r>
    </w:p>
    <w:p w:rsidR="00AE12A4" w:rsidP="0006396A" w:rsidRDefault="0006396A">
      <w:pPr>
        <w:pStyle w:val="JuPara"/>
      </w:pPr>
      <w:r>
        <w:fldChar w:fldCharType="begin"/>
      </w:r>
      <w:r>
        <w:instrText xml:space="preserve"> SEQ level0 \*arabic </w:instrText>
      </w:r>
      <w:r>
        <w:fldChar w:fldCharType="separate"/>
      </w:r>
      <w:r w:rsidR="00BE5DA2">
        <w:rPr>
          <w:noProof/>
        </w:rPr>
        <w:t>38</w:t>
      </w:r>
      <w:r>
        <w:fldChar w:fldCharType="end"/>
      </w:r>
      <w:r>
        <w:t xml:space="preserve">.  In sum, having balanced Mr </w:t>
      </w:r>
      <w:proofErr w:type="spellStart"/>
      <w:r>
        <w:t>Meischberger</w:t>
      </w:r>
      <w:r w:rsidR="00AE12A4">
        <w:t>'</w:t>
      </w:r>
      <w:r>
        <w:t>s</w:t>
      </w:r>
      <w:proofErr w:type="spellEnd"/>
      <w:r>
        <w:t xml:space="preserve"> personal interests and taking account of </w:t>
      </w:r>
      <w:r w:rsidRPr="00B15050">
        <w:t>the artistic and satirical nature of his portrayal, as well as</w:t>
      </w:r>
      <w:r>
        <w:t xml:space="preserve"> the impact of the measure at issue on the applicant association, the Court finds that the Austrian courts</w:t>
      </w:r>
      <w:r w:rsidR="00AE12A4">
        <w:t>'</w:t>
      </w:r>
      <w:r>
        <w:t xml:space="preserve"> injunction was disproportionate to the aim it pursued and therefore not necessary in a democratic society within the meaning of Article 10 § 2 of the Convention.</w:t>
      </w:r>
    </w:p>
    <w:p w:rsidR="00AE12A4" w:rsidP="0006396A" w:rsidRDefault="0006396A">
      <w:pPr>
        <w:pStyle w:val="JuPara"/>
      </w:pPr>
      <w:r>
        <w:fldChar w:fldCharType="begin"/>
      </w:r>
      <w:r>
        <w:instrText xml:space="preserve"> SEQ level0 \*arabic </w:instrText>
      </w:r>
      <w:r>
        <w:fldChar w:fldCharType="separate"/>
      </w:r>
      <w:r w:rsidR="00BE5DA2">
        <w:rPr>
          <w:noProof/>
        </w:rPr>
        <w:t>39</w:t>
      </w:r>
      <w:r>
        <w:fldChar w:fldCharType="end"/>
      </w:r>
      <w:r>
        <w:t>.  Accordingly, there has been a violation of Article 10 of the Convention.</w:t>
      </w:r>
    </w:p>
    <w:p w:rsidRPr="00981CED" w:rsidR="0006396A" w:rsidP="0006396A" w:rsidRDefault="0006396A">
      <w:pPr>
        <w:pStyle w:val="JuHIRoman"/>
      </w:pPr>
      <w:r>
        <w:t>II</w:t>
      </w:r>
      <w:r w:rsidRPr="00981CED">
        <w:t>.  APPLICATION OF ARTICLE 41 OF THE CONVENTION</w:t>
      </w:r>
    </w:p>
    <w:p w:rsidRPr="00981CED" w:rsidR="0006396A" w:rsidP="0006396A" w:rsidRDefault="0006396A">
      <w:pPr>
        <w:pStyle w:val="JuParaChar"/>
        <w:keepNext/>
        <w:keepLines/>
      </w:pPr>
      <w:r>
        <w:fldChar w:fldCharType="begin"/>
      </w:r>
      <w:r>
        <w:instrText xml:space="preserve"> SEQ level0 \*arabic </w:instrText>
      </w:r>
      <w:r>
        <w:fldChar w:fldCharType="separate"/>
      </w:r>
      <w:r w:rsidR="00BE5DA2">
        <w:rPr>
          <w:noProof/>
        </w:rPr>
        <w:t>40</w:t>
      </w:r>
      <w:r>
        <w:fldChar w:fldCharType="end"/>
      </w:r>
      <w:r>
        <w:t>.  </w:t>
      </w:r>
      <w:r w:rsidRPr="00981CED">
        <w:t>Article 41 of the Convention provides:</w:t>
      </w:r>
    </w:p>
    <w:p w:rsidRPr="00981CED" w:rsidR="0006396A" w:rsidP="0006396A" w:rsidRDefault="0006396A">
      <w:pPr>
        <w:pStyle w:val="JuQuot"/>
        <w:keepNext/>
        <w:keepLines/>
      </w:pPr>
      <w:r>
        <w:t>“</w:t>
      </w:r>
      <w:r w:rsidRPr="00981CED">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r>
        <w:t>”</w:t>
      </w:r>
    </w:p>
    <w:p w:rsidRPr="00981CED" w:rsidR="0006396A" w:rsidP="0006396A" w:rsidRDefault="0006396A">
      <w:pPr>
        <w:pStyle w:val="JuHA"/>
      </w:pPr>
      <w:r w:rsidRPr="00981CED">
        <w:t>A.  Damage</w:t>
      </w:r>
    </w:p>
    <w:p w:rsidR="0006396A" w:rsidP="004268A1" w:rsidRDefault="0006396A">
      <w:pPr>
        <w:pStyle w:val="JuPara"/>
      </w:pPr>
      <w:r w:rsidRPr="00981CED">
        <w:fldChar w:fldCharType="begin"/>
      </w:r>
      <w:r w:rsidRPr="00981CED">
        <w:instrText xml:space="preserve"> SEQ level0 \*arabic </w:instrText>
      </w:r>
      <w:r w:rsidRPr="00981CED">
        <w:fldChar w:fldCharType="separate"/>
      </w:r>
      <w:r w:rsidR="00BE5DA2">
        <w:rPr>
          <w:noProof/>
        </w:rPr>
        <w:t>41</w:t>
      </w:r>
      <w:r w:rsidRPr="00981CED">
        <w:fldChar w:fldCharType="end"/>
      </w:r>
      <w:r w:rsidRPr="00981CED">
        <w:t>. </w:t>
      </w:r>
      <w:r>
        <w:t> In respect of pecuniary damage, the ap</w:t>
      </w:r>
      <w:r w:rsidR="001C0407">
        <w:t>plicant association claimed ATS </w:t>
      </w:r>
      <w:r>
        <w:t xml:space="preserve">21,778 for the compensation and ATS 144,499.20 for the costs it had been ordered to pay Mr </w:t>
      </w:r>
      <w:proofErr w:type="spellStart"/>
      <w:r>
        <w:t>Meischberger</w:t>
      </w:r>
      <w:proofErr w:type="spellEnd"/>
      <w:r>
        <w:t xml:space="preserve"> in the domestic proceedings. Both sums were inclusive of VAT. It further claimed ATS 24,570, including VAT, in respect of the costs of the publication of extracts of the judgment. It finally claimed reimbursement of a lump sum of EUR 2,200 for supplementary administrative expenses during the domestic proceedings.</w:t>
      </w:r>
    </w:p>
    <w:p w:rsidR="00AE12A4" w:rsidP="004268A1" w:rsidRDefault="0006396A">
      <w:pPr>
        <w:pStyle w:val="JuPara"/>
      </w:pPr>
      <w:r>
        <w:fldChar w:fldCharType="begin"/>
      </w:r>
      <w:r>
        <w:instrText xml:space="preserve"> SEQ level0 \*arabic </w:instrText>
      </w:r>
      <w:r>
        <w:fldChar w:fldCharType="separate"/>
      </w:r>
      <w:r w:rsidR="00BE5DA2">
        <w:rPr>
          <w:noProof/>
        </w:rPr>
        <w:t>42</w:t>
      </w:r>
      <w:r>
        <w:fldChar w:fldCharType="end"/>
      </w:r>
      <w:r>
        <w:t>.  In respect of non-pecuniary damage, the a</w:t>
      </w:r>
      <w:r w:rsidR="001C0407">
        <w:t>pplicant association sought EUR </w:t>
      </w:r>
      <w:r>
        <w:t>70,000.</w:t>
      </w:r>
    </w:p>
    <w:p w:rsidR="0006396A" w:rsidP="004268A1" w:rsidRDefault="0006396A">
      <w:pPr>
        <w:pStyle w:val="JuPara"/>
      </w:pPr>
      <w:r>
        <w:fldChar w:fldCharType="begin"/>
      </w:r>
      <w:r>
        <w:instrText xml:space="preserve"> SEQ level0 \*arabic </w:instrText>
      </w:r>
      <w:r>
        <w:fldChar w:fldCharType="separate"/>
      </w:r>
      <w:r w:rsidR="00BE5DA2">
        <w:rPr>
          <w:noProof/>
        </w:rPr>
        <w:t>43</w:t>
      </w:r>
      <w:r>
        <w:fldChar w:fldCharType="end"/>
      </w:r>
      <w:r>
        <w:t>.  </w:t>
      </w:r>
      <w:r w:rsidRPr="00E2774A">
        <w:t>The Government claimed that</w:t>
      </w:r>
      <w:r>
        <w:t>, in the absence of a detailed breakdown, the lump sum claimed for supplementary administrative expenses was incomprehensible and</w:t>
      </w:r>
      <w:r w:rsidRPr="00E2774A">
        <w:t xml:space="preserve"> </w:t>
      </w:r>
      <w:r>
        <w:t>that there was thus no causal link between this sum and the violation found. T</w:t>
      </w:r>
      <w:r w:rsidRPr="00E2774A">
        <w:t>he claim for non-pecuniary damage was excessive and, in any event, the finding of a violation would offer sufficient redress.</w:t>
      </w:r>
    </w:p>
    <w:p w:rsidRPr="00981CED" w:rsidR="0006396A" w:rsidP="004268A1" w:rsidRDefault="0006396A">
      <w:pPr>
        <w:pStyle w:val="JuPara"/>
      </w:pPr>
      <w:r>
        <w:fldChar w:fldCharType="begin"/>
      </w:r>
      <w:r>
        <w:instrText xml:space="preserve"> SEQ level0 \*arabic </w:instrText>
      </w:r>
      <w:r>
        <w:fldChar w:fldCharType="separate"/>
      </w:r>
      <w:r w:rsidR="00BE5DA2">
        <w:rPr>
          <w:noProof/>
        </w:rPr>
        <w:t>44</w:t>
      </w:r>
      <w:r>
        <w:fldChar w:fldCharType="end"/>
      </w:r>
      <w:r>
        <w:t>.  As regards pecuniary damage, the Court finds that there is a direct link between the applicant association</w:t>
      </w:r>
      <w:r w:rsidR="00AE12A4">
        <w:t>'</w:t>
      </w:r>
      <w:r>
        <w:t xml:space="preserve">s claims concerning the costs it was ordered to pay to Mr </w:t>
      </w:r>
      <w:proofErr w:type="spellStart"/>
      <w:r>
        <w:t>Meischberger</w:t>
      </w:r>
      <w:proofErr w:type="spellEnd"/>
      <w:r w:rsidRPr="009B6414">
        <w:t xml:space="preserve"> </w:t>
      </w:r>
      <w:r>
        <w:t xml:space="preserve">in the domestic proceedings, the costs of publication of the judgment and the violation of </w:t>
      </w:r>
      <w:bookmarkStart w:name="HIT29" w:id="3"/>
      <w:bookmarkEnd w:id="3"/>
      <w:r w:rsidRPr="0091786B">
        <w:rPr>
          <w:rFonts w:ascii="Times New (W1)" w:hAnsi="Times New (W1)"/>
          <w:bCs/>
          <w:szCs w:val="24"/>
        </w:rPr>
        <w:t>Article</w:t>
      </w:r>
      <w:r w:rsidRPr="0091786B">
        <w:rPr>
          <w:rFonts w:ascii="Times New (W1)" w:hAnsi="Times New (W1)"/>
          <w:szCs w:val="24"/>
        </w:rPr>
        <w:t xml:space="preserve"> </w:t>
      </w:r>
      <w:bookmarkStart w:name="HIT30" w:id="4"/>
      <w:bookmarkEnd w:id="4"/>
      <w:r w:rsidRPr="0091786B">
        <w:rPr>
          <w:rFonts w:ascii="Times New (W1)" w:hAnsi="Times New (W1)"/>
          <w:bCs/>
          <w:szCs w:val="24"/>
        </w:rPr>
        <w:t>10</w:t>
      </w:r>
      <w:r>
        <w:t xml:space="preserve"> found in the instant case. The Court therefore awards the full amount claimed under this head, namely EUR</w:t>
      </w:r>
      <w:r w:rsidRPr="00CD02B4">
        <w:t xml:space="preserve"> 12</w:t>
      </w:r>
      <w:r>
        <w:t>,</w:t>
      </w:r>
      <w:r w:rsidRPr="00CD02B4">
        <w:t>286.74</w:t>
      </w:r>
      <w:r>
        <w:t>, inclusive of VAT. However, the applicant association</w:t>
      </w:r>
      <w:r w:rsidR="00AE12A4">
        <w:t>'</w:t>
      </w:r>
      <w:r>
        <w:t>s complaint, and, therefore, the proceedings before the Court, concerned only the injunction forbidding it to continue exhibiting the painting. Accordingly, the Court cannot find any causal link between the applicant association</w:t>
      </w:r>
      <w:r w:rsidR="00AE12A4">
        <w:t>'</w:t>
      </w:r>
      <w:r>
        <w:t xml:space="preserve">s claim in respect of the compensation it was ordered to pay and the violation found. The Court will deal with the claim for reimbursement of supplementary administrative costs incurred during the domestic proceedings under the head of costs and expenses. </w:t>
      </w:r>
      <w:r w:rsidRPr="00E2774A">
        <w:t xml:space="preserve">As regards the claim for non-pecuniary damage, the Court finds that </w:t>
      </w:r>
      <w:r>
        <w:t xml:space="preserve">in the circumstances of the present case </w:t>
      </w:r>
      <w:r w:rsidRPr="00E2774A">
        <w:t>the finding of a violation constitutes in itself sufficient just satisfaction.</w:t>
      </w:r>
    </w:p>
    <w:p w:rsidRPr="00981CED" w:rsidR="0006396A" w:rsidP="0006396A" w:rsidRDefault="0006396A">
      <w:pPr>
        <w:pStyle w:val="JuHA"/>
      </w:pPr>
      <w:r w:rsidRPr="00981CED">
        <w:t>B.  Costs and expenses</w:t>
      </w:r>
    </w:p>
    <w:p w:rsidR="0006396A" w:rsidP="004268A1" w:rsidRDefault="0006396A">
      <w:pPr>
        <w:pStyle w:val="JuPara"/>
      </w:pPr>
      <w:r w:rsidRPr="00981CED">
        <w:fldChar w:fldCharType="begin"/>
      </w:r>
      <w:r w:rsidRPr="00981CED">
        <w:instrText xml:space="preserve"> SEQ level0 \*arabic </w:instrText>
      </w:r>
      <w:r w:rsidRPr="00981CED">
        <w:fldChar w:fldCharType="separate"/>
      </w:r>
      <w:r w:rsidR="00BE5DA2">
        <w:rPr>
          <w:noProof/>
        </w:rPr>
        <w:t>45</w:t>
      </w:r>
      <w:r w:rsidRPr="00981CED">
        <w:fldChar w:fldCharType="end"/>
      </w:r>
      <w:r w:rsidRPr="00981CED">
        <w:t>.  </w:t>
      </w:r>
      <w:r>
        <w:t xml:space="preserve">The applicant association claimed reimbursement of its costs in the domestic proceedings in the </w:t>
      </w:r>
      <w:r w:rsidR="001C0407">
        <w:t>amount of EUR 12,950.16 and EUR </w:t>
      </w:r>
      <w:r>
        <w:t>8,984.04 in respect of the proceedings before the Court. Both amounts included VAT and were calculated on the basis of statutory domestic rates.</w:t>
      </w:r>
    </w:p>
    <w:p w:rsidR="0006396A" w:rsidP="004268A1" w:rsidRDefault="0006396A">
      <w:pPr>
        <w:pStyle w:val="JuPara"/>
      </w:pPr>
      <w:r>
        <w:fldChar w:fldCharType="begin"/>
      </w:r>
      <w:r>
        <w:instrText xml:space="preserve"> SEQ level0 \*arabic </w:instrText>
      </w:r>
      <w:r>
        <w:fldChar w:fldCharType="separate"/>
      </w:r>
      <w:r w:rsidR="00BE5DA2">
        <w:rPr>
          <w:noProof/>
        </w:rPr>
        <w:t>46</w:t>
      </w:r>
      <w:r>
        <w:fldChar w:fldCharType="end"/>
      </w:r>
      <w:r>
        <w:t>.  The Government argued that these claims were excessive and pointed out that the Court was not bound by domestic scales and practices. Furthermore, the subject of the proceedings before the Court was to a considerable degree identical with that of the proceedings before the national authorities and less preparation had therefore been required.</w:t>
      </w:r>
    </w:p>
    <w:p w:rsidRPr="00861BB1" w:rsidR="0006396A" w:rsidP="0006396A" w:rsidRDefault="0006396A">
      <w:pPr>
        <w:pStyle w:val="JuPara"/>
      </w:pPr>
      <w:r>
        <w:fldChar w:fldCharType="begin"/>
      </w:r>
      <w:r>
        <w:instrText xml:space="preserve"> SEQ level0 \*arabic </w:instrText>
      </w:r>
      <w:r>
        <w:fldChar w:fldCharType="separate"/>
      </w:r>
      <w:r w:rsidR="00BE5DA2">
        <w:rPr>
          <w:noProof/>
        </w:rPr>
        <w:t>47</w:t>
      </w:r>
      <w:r>
        <w:fldChar w:fldCharType="end"/>
      </w:r>
      <w:r>
        <w:t>.  </w:t>
      </w:r>
      <w:r w:rsidRPr="00861BB1">
        <w:t xml:space="preserve">The Court considers in respect of the domestic proceedings that the court costs </w:t>
      </w:r>
      <w:r>
        <w:t>for the applicant association</w:t>
      </w:r>
      <w:r w:rsidR="00AE12A4">
        <w:t>'</w:t>
      </w:r>
      <w:r>
        <w:t>s legal representation</w:t>
      </w:r>
      <w:r w:rsidRPr="00861BB1">
        <w:t xml:space="preserve"> were actually incurred. </w:t>
      </w:r>
      <w:r>
        <w:t>Accordingly</w:t>
      </w:r>
      <w:r w:rsidRPr="00861BB1">
        <w:t xml:space="preserve">, </w:t>
      </w:r>
      <w:r>
        <w:t xml:space="preserve">it awards </w:t>
      </w:r>
      <w:r w:rsidRPr="00861BB1">
        <w:t xml:space="preserve">the </w:t>
      </w:r>
      <w:r>
        <w:t xml:space="preserve">full </w:t>
      </w:r>
      <w:r w:rsidRPr="00861BB1">
        <w:t>amount of EUR</w:t>
      </w:r>
      <w:r w:rsidR="001C0407">
        <w:t> </w:t>
      </w:r>
      <w:r>
        <w:t xml:space="preserve">12,950.16, </w:t>
      </w:r>
      <w:r w:rsidRPr="00861BB1">
        <w:t>including VAT</w:t>
      </w:r>
      <w:r>
        <w:t>,</w:t>
      </w:r>
      <w:r w:rsidRPr="00861BB1">
        <w:t xml:space="preserve"> for </w:t>
      </w:r>
      <w:r>
        <w:t>the applicant association</w:t>
      </w:r>
      <w:r w:rsidR="00AE12A4">
        <w:t>'</w:t>
      </w:r>
      <w:r>
        <w:t xml:space="preserve">s </w:t>
      </w:r>
      <w:r w:rsidRPr="00861BB1">
        <w:t>domestic costs and expenses.</w:t>
      </w:r>
      <w:r>
        <w:t xml:space="preserve"> As to the lump sum claimed for supplementary admini</w:t>
      </w:r>
      <w:r w:rsidR="00F333B9">
        <w:t>strative costs (see paragraph 44</w:t>
      </w:r>
      <w:r>
        <w:t xml:space="preserve"> above), the Court notes that the applicant association did not submit supporting documents as required by Rule 60 of the Rules of Court. It therefore dismisses the claim as being unsubstantiated.</w:t>
      </w:r>
    </w:p>
    <w:p w:rsidR="00AE12A4" w:rsidP="0006396A" w:rsidRDefault="0006396A">
      <w:pPr>
        <w:pStyle w:val="JuPara"/>
      </w:pPr>
      <w:r>
        <w:fldChar w:fldCharType="begin"/>
      </w:r>
      <w:r>
        <w:instrText xml:space="preserve"> SEQ level0 \*arabic </w:instrText>
      </w:r>
      <w:r>
        <w:fldChar w:fldCharType="separate"/>
      </w:r>
      <w:r w:rsidR="00BE5DA2">
        <w:rPr>
          <w:noProof/>
        </w:rPr>
        <w:t>48</w:t>
      </w:r>
      <w:r>
        <w:fldChar w:fldCharType="end"/>
      </w:r>
      <w:r>
        <w:t>.  With regard to the applicant association</w:t>
      </w:r>
      <w:r w:rsidR="00AE12A4">
        <w:t>'</w:t>
      </w:r>
      <w:r>
        <w:t xml:space="preserve">s costs in the Convention proceedings, the Court reiterates that it does not consider itself bound by domestic scales and practices, although it may derive some assistance from them (see, among many other authorities, </w:t>
      </w:r>
      <w:r>
        <w:rPr>
          <w:rStyle w:val="ju-005fpara--char"/>
          <w:i/>
          <w:iCs/>
        </w:rPr>
        <w:t>Tolstoy Miloslavsky v. the United Kingdom</w:t>
      </w:r>
      <w:r>
        <w:t xml:space="preserve">, judgment of 13 July 1995, Series A no. 316, p. 83, § 77, and </w:t>
      </w:r>
      <w:r w:rsidR="001C0407">
        <w:rPr>
          <w:rStyle w:val="ju-005fpara--char"/>
          <w:i/>
          <w:iCs/>
        </w:rPr>
        <w:t>Baskaya </w:t>
      </w:r>
      <w:r>
        <w:rPr>
          <w:rStyle w:val="ju-005fpara--char"/>
          <w:i/>
          <w:iCs/>
        </w:rPr>
        <w:t>and Okçuoglu v. Turkey</w:t>
      </w:r>
      <w:r>
        <w:t>, nos. 23536/94 and 24408/94, § 98, ECHR 1999-IV). Deciding on an equitable basis and having regard to similar cases, the Court awards the applicant association EUR 3,000, including VAT, under this head.</w:t>
      </w:r>
      <w:r w:rsidRPr="00861BB1">
        <w:t xml:space="preserve"> I</w:t>
      </w:r>
      <w:r>
        <w:t>t therefore awards</w:t>
      </w:r>
      <w:r w:rsidRPr="00861BB1">
        <w:t xml:space="preserve"> a total of </w:t>
      </w:r>
      <w:r>
        <w:t>EUR 15,950.16 under the head of costs and expenses.</w:t>
      </w:r>
    </w:p>
    <w:p w:rsidRPr="00981CED" w:rsidR="0006396A" w:rsidP="0006396A" w:rsidRDefault="0006396A">
      <w:pPr>
        <w:pStyle w:val="JuHA"/>
      </w:pPr>
      <w:r w:rsidRPr="00981CED">
        <w:t>C.  Default interest</w:t>
      </w:r>
    </w:p>
    <w:p w:rsidRPr="00981CED" w:rsidR="0006396A" w:rsidP="004268A1" w:rsidRDefault="0006396A">
      <w:pPr>
        <w:pStyle w:val="JuPara"/>
      </w:pPr>
      <w:r w:rsidRPr="00981CED">
        <w:fldChar w:fldCharType="begin"/>
      </w:r>
      <w:r w:rsidRPr="00981CED">
        <w:instrText xml:space="preserve"> SEQ level0 \*arabic </w:instrText>
      </w:r>
      <w:r w:rsidRPr="00981CED">
        <w:fldChar w:fldCharType="separate"/>
      </w:r>
      <w:r w:rsidR="00BE5DA2">
        <w:rPr>
          <w:noProof/>
        </w:rPr>
        <w:t>49</w:t>
      </w:r>
      <w:r w:rsidRPr="00981CED">
        <w:fldChar w:fldCharType="end"/>
      </w:r>
      <w:r w:rsidRPr="00981CED">
        <w:t>.  The Court considers it appropriate that the default interest should be based on the marginal lending rate of the European Central Bank, to which should be added three percentage points.</w:t>
      </w:r>
    </w:p>
    <w:p w:rsidR="00AE12A4" w:rsidP="0006396A" w:rsidRDefault="0006396A">
      <w:pPr>
        <w:pStyle w:val="JuHHead"/>
      </w:pPr>
      <w:r w:rsidRPr="00981CED">
        <w:t xml:space="preserve">FOR THESE </w:t>
      </w:r>
      <w:r w:rsidR="00172E00">
        <w:t>REASONS, THE COURT</w:t>
      </w:r>
    </w:p>
    <w:p w:rsidRPr="00981CED" w:rsidR="0006396A" w:rsidP="0006396A" w:rsidRDefault="0006396A">
      <w:pPr>
        <w:pStyle w:val="JuList"/>
      </w:pPr>
      <w:r>
        <w:t>1</w:t>
      </w:r>
      <w:r w:rsidRPr="00981CED">
        <w:t>.  </w:t>
      </w:r>
      <w:r w:rsidRPr="00981CED">
        <w:rPr>
          <w:i/>
        </w:rPr>
        <w:t>Holds</w:t>
      </w:r>
      <w:r w:rsidRPr="00981CED">
        <w:t xml:space="preserve"> by </w:t>
      </w:r>
      <w:r w:rsidR="00172E00">
        <w:t>four</w:t>
      </w:r>
      <w:r w:rsidRPr="00981CED">
        <w:t xml:space="preserve"> votes to </w:t>
      </w:r>
      <w:r w:rsidR="00172E00">
        <w:t>three</w:t>
      </w:r>
      <w:r>
        <w:t xml:space="preserve"> that there has been a</w:t>
      </w:r>
      <w:r w:rsidRPr="00981CED">
        <w:t xml:space="preserve"> violation of Article </w:t>
      </w:r>
      <w:r>
        <w:t>10</w:t>
      </w:r>
      <w:r w:rsidRPr="00981CED">
        <w:t xml:space="preserve"> of the Convention;</w:t>
      </w:r>
    </w:p>
    <w:p w:rsidRPr="00981CED" w:rsidR="0006396A" w:rsidP="0006396A" w:rsidRDefault="0006396A">
      <w:pPr>
        <w:pStyle w:val="JuList"/>
      </w:pPr>
    </w:p>
    <w:p w:rsidRPr="00981CED" w:rsidR="0006396A" w:rsidP="0006396A" w:rsidRDefault="0006396A">
      <w:pPr>
        <w:pStyle w:val="JuList"/>
      </w:pPr>
      <w:r>
        <w:t>2</w:t>
      </w:r>
      <w:r w:rsidRPr="00981CED">
        <w:t>.  </w:t>
      </w:r>
      <w:r w:rsidRPr="00981CED">
        <w:rPr>
          <w:i/>
        </w:rPr>
        <w:t>Holds</w:t>
      </w:r>
      <w:r w:rsidR="00172E00">
        <w:t xml:space="preserve"> </w:t>
      </w:r>
      <w:r w:rsidRPr="00981CED">
        <w:t xml:space="preserve">by </w:t>
      </w:r>
      <w:r w:rsidR="00172E00">
        <w:t>four</w:t>
      </w:r>
      <w:r w:rsidRPr="00981CED">
        <w:t xml:space="preserve"> votes to </w:t>
      </w:r>
      <w:r w:rsidR="00172E00">
        <w:t>three</w:t>
      </w:r>
      <w:r w:rsidRPr="00981CED">
        <w:t xml:space="preserve"> that the finding of a violation constitutes in itself sufficient just satisfaction for the non-pecuniary damage sustained by the applicant</w:t>
      </w:r>
      <w:r>
        <w:t xml:space="preserve"> association</w:t>
      </w:r>
      <w:r w:rsidRPr="00981CED">
        <w:t>;</w:t>
      </w:r>
    </w:p>
    <w:p w:rsidRPr="00981CED" w:rsidR="0006396A" w:rsidP="0006396A" w:rsidRDefault="0006396A">
      <w:pPr>
        <w:pStyle w:val="JuList"/>
      </w:pPr>
    </w:p>
    <w:p w:rsidRPr="00981CED" w:rsidR="0006396A" w:rsidP="0006396A" w:rsidRDefault="0006396A">
      <w:pPr>
        <w:pStyle w:val="JuList"/>
      </w:pPr>
      <w:r>
        <w:t>3</w:t>
      </w:r>
      <w:r w:rsidRPr="00981CED">
        <w:t>.  </w:t>
      </w:r>
      <w:r w:rsidRPr="00981CED">
        <w:rPr>
          <w:i/>
        </w:rPr>
        <w:t>Holds</w:t>
      </w:r>
      <w:r w:rsidR="00172E00">
        <w:t xml:space="preserve"> </w:t>
      </w:r>
      <w:r w:rsidRPr="00981CED">
        <w:t xml:space="preserve">by </w:t>
      </w:r>
      <w:r w:rsidR="00172E00">
        <w:t>four</w:t>
      </w:r>
      <w:r w:rsidRPr="00981CED">
        <w:t xml:space="preserve"> votes to </w:t>
      </w:r>
      <w:r w:rsidR="00172E00">
        <w:t>three</w:t>
      </w:r>
    </w:p>
    <w:p w:rsidRPr="00981CED" w:rsidR="0006396A" w:rsidP="00EC3F37" w:rsidRDefault="0006396A">
      <w:pPr>
        <w:pStyle w:val="JuLista"/>
      </w:pPr>
      <w:r w:rsidRPr="00981CED">
        <w:t>(a)  that the respondent State is to pay the applicant</w:t>
      </w:r>
      <w:r>
        <w:t xml:space="preserve"> association</w:t>
      </w:r>
      <w:r w:rsidRPr="00981CED">
        <w:t>, within three months</w:t>
      </w:r>
      <w:r>
        <w:t xml:space="preserve"> </w:t>
      </w:r>
      <w:r w:rsidRPr="00981CED">
        <w:t>from the date on which the judgment becomes final in accordance with Article 44 § 2 of the Convention, the following amounts:</w:t>
      </w:r>
    </w:p>
    <w:p w:rsidRPr="00981CED" w:rsidR="0006396A" w:rsidP="0006396A" w:rsidRDefault="0006396A">
      <w:pPr>
        <w:pStyle w:val="JuListi"/>
      </w:pPr>
      <w:r>
        <w:t>(</w:t>
      </w:r>
      <w:proofErr w:type="spellStart"/>
      <w:r>
        <w:t>i</w:t>
      </w:r>
      <w:proofErr w:type="spellEnd"/>
      <w:r>
        <w:t xml:space="preserve">)  EUR </w:t>
      </w:r>
      <w:r w:rsidRPr="00CD02B4">
        <w:t>12</w:t>
      </w:r>
      <w:r>
        <w:t>,</w:t>
      </w:r>
      <w:r w:rsidRPr="00CD02B4">
        <w:t>286.74</w:t>
      </w:r>
      <w:r>
        <w:t xml:space="preserve"> (twelve thousand two hundred and eighty-six </w:t>
      </w:r>
      <w:r w:rsidRPr="00981CED">
        <w:t>euros</w:t>
      </w:r>
      <w:r>
        <w:t xml:space="preserve"> and seventy-four cents</w:t>
      </w:r>
      <w:r w:rsidRPr="00981CED">
        <w:t>)</w:t>
      </w:r>
      <w:r>
        <w:t>,</w:t>
      </w:r>
      <w:r w:rsidRPr="00981CED">
        <w:t xml:space="preserve"> </w:t>
      </w:r>
      <w:r>
        <w:t xml:space="preserve">inclusive of VAT, </w:t>
      </w:r>
      <w:r w:rsidRPr="00981CED">
        <w:t>in respect of pecuniary damage;</w:t>
      </w:r>
    </w:p>
    <w:p w:rsidRPr="00981CED" w:rsidR="0006396A" w:rsidP="0006396A" w:rsidRDefault="0006396A">
      <w:pPr>
        <w:pStyle w:val="JuListi"/>
      </w:pPr>
      <w:r>
        <w:t xml:space="preserve">(ii)  EUR 15,950.16 (fifteen thousand nine hundred and fifty </w:t>
      </w:r>
      <w:r w:rsidRPr="00981CED">
        <w:t>euros</w:t>
      </w:r>
      <w:r>
        <w:t xml:space="preserve"> and sixteen cents</w:t>
      </w:r>
      <w:r w:rsidRPr="00981CED">
        <w:t>)</w:t>
      </w:r>
      <w:r>
        <w:t>,</w:t>
      </w:r>
      <w:r w:rsidRPr="00981CED">
        <w:t xml:space="preserve"> </w:t>
      </w:r>
      <w:r>
        <w:t xml:space="preserve">inclusive of VAT, </w:t>
      </w:r>
      <w:r w:rsidRPr="00981CED">
        <w:t>in respect of costs and expenses;</w:t>
      </w:r>
    </w:p>
    <w:p w:rsidRPr="00981CED" w:rsidR="0006396A" w:rsidP="0006396A" w:rsidRDefault="0006396A">
      <w:pPr>
        <w:pStyle w:val="JuLista"/>
      </w:pPr>
      <w:r w:rsidRPr="00981CED">
        <w:t>(b)  that from the expiry of the above-mentioned three months until settlement simple interest shall</w:t>
      </w:r>
      <w:r>
        <w:t xml:space="preserve"> be payable on the above amounts</w:t>
      </w:r>
      <w:r w:rsidRPr="00981CED">
        <w:t xml:space="preserve"> at a rate equal to the marginal lending rate of the European Central Bank during the default period plus three percentage points;</w:t>
      </w:r>
    </w:p>
    <w:p w:rsidRPr="00981CED" w:rsidR="0006396A" w:rsidP="0006396A" w:rsidRDefault="0006396A">
      <w:pPr>
        <w:pStyle w:val="JuList"/>
      </w:pPr>
    </w:p>
    <w:p w:rsidRPr="00981CED" w:rsidR="0006396A" w:rsidP="0006396A" w:rsidRDefault="0006396A">
      <w:pPr>
        <w:pStyle w:val="JuList"/>
      </w:pPr>
      <w:r>
        <w:t>4</w:t>
      </w:r>
      <w:r w:rsidRPr="00981CED">
        <w:t>.  </w:t>
      </w:r>
      <w:r w:rsidRPr="00981CED">
        <w:rPr>
          <w:i/>
        </w:rPr>
        <w:t>Dismisses</w:t>
      </w:r>
      <w:r w:rsidR="00172E00">
        <w:t xml:space="preserve"> by four votes to three</w:t>
      </w:r>
      <w:r w:rsidRPr="00981CED">
        <w:t xml:space="preserve"> the remainder of the applicant</w:t>
      </w:r>
      <w:r>
        <w:t xml:space="preserve"> association</w:t>
      </w:r>
      <w:r w:rsidR="00AE12A4">
        <w:t>'</w:t>
      </w:r>
      <w:r w:rsidRPr="00981CED">
        <w:t>s claim for just satisfaction.</w:t>
      </w:r>
    </w:p>
    <w:p w:rsidRPr="00981CED" w:rsidR="0006396A" w:rsidP="0006396A" w:rsidRDefault="0006396A">
      <w:pPr>
        <w:pStyle w:val="JuParaLast"/>
      </w:pPr>
      <w:r w:rsidRPr="00981CED">
        <w:t xml:space="preserve">Done in English, and notified in writing on </w:t>
      </w:r>
      <w:r w:rsidR="00F333B9">
        <w:t>25 January 2007</w:t>
      </w:r>
      <w:r w:rsidRPr="00981CED">
        <w:t>, pursuant to Rule 77 §§</w:t>
      </w:r>
      <w:r>
        <w:t xml:space="preserve"> 2 and 3 of the Rules of Court.</w:t>
      </w:r>
    </w:p>
    <w:p w:rsidRPr="00981CED" w:rsidR="0006396A" w:rsidP="0006396A" w:rsidRDefault="0006396A">
      <w:pPr>
        <w:pStyle w:val="JuSigned"/>
        <w:keepNext/>
        <w:keepLines/>
      </w:pPr>
      <w:r w:rsidRPr="00981CED">
        <w:tab/>
      </w:r>
      <w:proofErr w:type="spellStart"/>
      <w:r w:rsidRPr="00981CED">
        <w:t>Søren</w:t>
      </w:r>
      <w:proofErr w:type="spellEnd"/>
      <w:r w:rsidRPr="00981CED">
        <w:t xml:space="preserve"> </w:t>
      </w:r>
      <w:r w:rsidRPr="00981CED">
        <w:rPr>
          <w:rStyle w:val="JuNames"/>
        </w:rPr>
        <w:t>Nielsen</w:t>
      </w:r>
      <w:r w:rsidRPr="00981CED">
        <w:rPr>
          <w:rStyle w:val="JuNames"/>
        </w:rPr>
        <w:tab/>
      </w:r>
      <w:r w:rsidRPr="00981CED">
        <w:t xml:space="preserve">Christos </w:t>
      </w:r>
      <w:r w:rsidRPr="00981CED">
        <w:rPr>
          <w:rStyle w:val="JuNames"/>
        </w:rPr>
        <w:t>Rozakis</w:t>
      </w:r>
      <w:r w:rsidRPr="00981CED">
        <w:br/>
      </w:r>
      <w:r w:rsidRPr="00981CED">
        <w:tab/>
        <w:t>Registrar</w:t>
      </w:r>
      <w:r w:rsidRPr="00981CED">
        <w:tab/>
        <w:t>President</w:t>
      </w:r>
    </w:p>
    <w:p w:rsidRPr="00981CED" w:rsidR="0006396A" w:rsidP="0006396A" w:rsidRDefault="0006396A">
      <w:pPr>
        <w:pStyle w:val="JuParaLast"/>
      </w:pPr>
      <w:r w:rsidRPr="00981CED">
        <w:t xml:space="preserve">In accordance with Article 45 § 2 of the Convention and Rule 74 </w:t>
      </w:r>
      <w:r>
        <w:t xml:space="preserve">§ 2 of the Rules of Court, the </w:t>
      </w:r>
      <w:r w:rsidR="00172E00">
        <w:t xml:space="preserve">following </w:t>
      </w:r>
      <w:r w:rsidRPr="00981CED">
        <w:t>dissenting</w:t>
      </w:r>
      <w:r w:rsidR="00172E00">
        <w:t xml:space="preserve"> opinion</w:t>
      </w:r>
      <w:r w:rsidRPr="00981CED">
        <w:t>s are</w:t>
      </w:r>
      <w:r w:rsidR="00172E00">
        <w:t xml:space="preserve"> annexed to this judgment:</w:t>
      </w:r>
    </w:p>
    <w:p w:rsidRPr="00981CED" w:rsidR="0006396A" w:rsidP="004268A1" w:rsidRDefault="0006396A">
      <w:pPr>
        <w:pStyle w:val="JuPara"/>
      </w:pPr>
      <w:r w:rsidRPr="00981CED">
        <w:t>(a)  </w:t>
      </w:r>
      <w:r w:rsidR="00172E00">
        <w:t>Dissenting</w:t>
      </w:r>
      <w:r w:rsidRPr="00981CED">
        <w:t xml:space="preserve"> opinion of Mr </w:t>
      </w:r>
      <w:r w:rsidR="00172E00">
        <w:t>Loucaides</w:t>
      </w:r>
      <w:r w:rsidRPr="00981CED">
        <w:t>;</w:t>
      </w:r>
    </w:p>
    <w:p w:rsidRPr="00981CED" w:rsidR="0006396A" w:rsidP="004268A1" w:rsidRDefault="0006396A">
      <w:pPr>
        <w:pStyle w:val="JuPara"/>
      </w:pPr>
      <w:r w:rsidRPr="00981CED">
        <w:t>(b)  </w:t>
      </w:r>
      <w:r w:rsidR="00172E00">
        <w:t>Joint dissenting</w:t>
      </w:r>
      <w:r w:rsidRPr="00981CED">
        <w:t xml:space="preserve"> opinion of Mr </w:t>
      </w:r>
      <w:r w:rsidR="00172E00">
        <w:t>Spielmann and Mr Jebens.</w:t>
      </w:r>
    </w:p>
    <w:p w:rsidR="00CD49A7" w:rsidRDefault="0006396A">
      <w:pPr>
        <w:pStyle w:val="JuInitialled"/>
      </w:pPr>
      <w:r w:rsidRPr="00981CED">
        <w:t>C.L.</w:t>
      </w:r>
      <w:r>
        <w:t>R</w:t>
      </w:r>
      <w:r w:rsidRPr="00981CED">
        <w:t>.</w:t>
      </w:r>
      <w:r w:rsidRPr="00981CED">
        <w:br/>
        <w:t>S.</w:t>
      </w:r>
      <w:r>
        <w:t>N</w:t>
      </w:r>
      <w:r w:rsidRPr="00981CED">
        <w:t>.</w:t>
      </w:r>
    </w:p>
    <w:p w:rsidR="00EC3F37" w:rsidP="00EC3F37" w:rsidRDefault="00EC3F37"/>
    <w:p w:rsidR="0006396A" w:rsidP="0006396A" w:rsidRDefault="0006396A">
      <w:pPr>
        <w:sectPr w:rsidR="0006396A" w:rsidSect="0006396A">
          <w:headerReference w:type="even" r:id="rId8"/>
          <w:headerReference w:type="default" r:id="rId9"/>
          <w:footnotePr>
            <w:numRestart w:val="eachPage"/>
          </w:footnotePr>
          <w:pgSz w:w="11906" w:h="16838" w:code="9"/>
          <w:pgMar w:top="2274" w:right="2274" w:bottom="2274" w:left="2274" w:header="1701" w:footer="720" w:gutter="0"/>
          <w:pgNumType w:start="1"/>
          <w:cols w:space="720"/>
          <w:docGrid w:linePitch="78"/>
        </w:sectPr>
      </w:pPr>
    </w:p>
    <w:p w:rsidRPr="007E1127" w:rsidR="0006396A" w:rsidP="0006396A" w:rsidRDefault="0006396A">
      <w:pPr>
        <w:pStyle w:val="OpiHHead"/>
        <w:rPr>
          <w:rFonts w:ascii="Times New (W1)" w:hAnsi="Times New (W1)"/>
          <w:caps/>
        </w:rPr>
      </w:pPr>
      <w:r w:rsidRPr="007E1127">
        <w:rPr>
          <w:rFonts w:ascii="Times New (W1)" w:hAnsi="Times New (W1)"/>
          <w:caps/>
        </w:rPr>
        <w:t>Dissenting opinion of judge Loucaides</w:t>
      </w:r>
    </w:p>
    <w:p w:rsidR="0006396A" w:rsidP="0006396A" w:rsidRDefault="0006396A">
      <w:pPr>
        <w:pStyle w:val="OpiPara"/>
      </w:pPr>
      <w:r>
        <w:t>I disagree with the opinion of the majority that there has been a violation of Article 10 of the Convention in this case.</w:t>
      </w:r>
    </w:p>
    <w:p w:rsidR="0006396A" w:rsidP="0006396A" w:rsidRDefault="0006396A">
      <w:pPr>
        <w:pStyle w:val="OpiPara"/>
      </w:pPr>
      <w:r>
        <w:t>The majority found that the images portrayed in the “painting” in question were “artistic and satirical in nature”. This assessment had a decisive effect on the judgment.</w:t>
      </w:r>
      <w:r w:rsidRPr="006019DC">
        <w:t xml:space="preserve"> </w:t>
      </w:r>
      <w:r>
        <w:t xml:space="preserve">The majority saw the “painting” as a form of criticism by the artist of Mr </w:t>
      </w:r>
      <w:proofErr w:type="spellStart"/>
      <w:r>
        <w:t>Meischberger</w:t>
      </w:r>
      <w:proofErr w:type="spellEnd"/>
      <w:r>
        <w:t>, a politician and one of the persons depicted in it. It was he who brought the proceedings which led to the impugned measure.</w:t>
      </w:r>
    </w:p>
    <w:p w:rsidR="0006396A" w:rsidP="0006396A" w:rsidRDefault="0006396A">
      <w:pPr>
        <w:pStyle w:val="OpiPara"/>
      </w:pPr>
      <w:r>
        <w:t>The nature, meaning and effect of any image or images in a painting cannot be judged on the basis of what the painter purported to convey. What counts is the effect of the visible image on the observer. Furthermore, the fact that an image has been produced by an artist does not always make the end result “artistic”. Likewise, an image will not become “satirical” if the observer does not comprehend or detect any message in the form of a meaningful attack or criticism relating to a particular problem or a person</w:t>
      </w:r>
      <w:r w:rsidR="00AE12A4">
        <w:t>'</w:t>
      </w:r>
      <w:r>
        <w:t>s conduct.</w:t>
      </w:r>
    </w:p>
    <w:p w:rsidR="0006396A" w:rsidP="0006396A" w:rsidRDefault="0006396A">
      <w:pPr>
        <w:pStyle w:val="OpiPara"/>
      </w:pPr>
      <w:r>
        <w:t xml:space="preserve">In my view, the picture in question cannot, by any stretch of the imagination, be called satirical or artistic. It showed a number of unrelated personalities (some political, some religious) in a vulgar and grotesque presentation and context of senseless, disgusting images of erect and ejaculating penises and of naked figures adopting repulsive sexual poses, some even involving violence, with coloured and disproportionately large genitals or breasts. The figures included religious personalities such as </w:t>
      </w:r>
      <w:r w:rsidRPr="00076D65">
        <w:t>the</w:t>
      </w:r>
      <w:r>
        <w:t xml:space="preserve"> Austrian Cardinal Hermann </w:t>
      </w:r>
      <w:proofErr w:type="spellStart"/>
      <w:r>
        <w:t>Groer</w:t>
      </w:r>
      <w:proofErr w:type="spellEnd"/>
      <w:r w:rsidRPr="00076D65">
        <w:t xml:space="preserve"> </w:t>
      </w:r>
      <w:r>
        <w:t xml:space="preserve">and Mother Teresa, the latter portrayed with protruding bare breasts praying between two men - one of whom was the Cardinal - with erect penises ejaculating on her! Mr </w:t>
      </w:r>
      <w:proofErr w:type="spellStart"/>
      <w:r>
        <w:t>Meischberger</w:t>
      </w:r>
      <w:proofErr w:type="spellEnd"/>
      <w:r>
        <w:t xml:space="preserve"> was shown gripping the ejaculating penis of Mr </w:t>
      </w:r>
      <w:proofErr w:type="spellStart"/>
      <w:r>
        <w:t>Haider</w:t>
      </w:r>
      <w:proofErr w:type="spellEnd"/>
      <w:r>
        <w:t xml:space="preserve"> while at the same time being touched by two other FPÖ politi</w:t>
      </w:r>
      <w:r w:rsidR="001C0407">
        <w:t>cians and ejaculating on Mother </w:t>
      </w:r>
      <w:r>
        <w:t>Teresa!</w:t>
      </w:r>
    </w:p>
    <w:p w:rsidR="00AE12A4" w:rsidP="00BE5DA2" w:rsidRDefault="0006396A">
      <w:pPr>
        <w:pStyle w:val="OpiPara"/>
      </w:pPr>
      <w:r>
        <w:t>The reader will of course need to look at the “painting” in question in order to be able to form a view of its nature and effect. It is my firm belief that the images depicted in this product of what is, to say the least, a strange imagination, convey no message; the “painting” is just a senseless, disgusting combination of lewd images whose only effect is to debase, insult and ridicule each and every person portrayed. Personally, I was unable to find any criticism or satire in this “painting”. Why were Mot</w:t>
      </w:r>
      <w:r w:rsidR="001C0407">
        <w:t>her Teresa and Cardinal Hermann </w:t>
      </w:r>
      <w:proofErr w:type="spellStart"/>
      <w:r>
        <w:t>Groer</w:t>
      </w:r>
      <w:proofErr w:type="spellEnd"/>
      <w:r>
        <w:t xml:space="preserve"> ridiculed? Why were the personalities depicted naked with erect and ejaculating penises? To find that situation comparable with satire or artistic expression is beyond my comprehension.</w:t>
      </w:r>
      <w:r w:rsidRPr="00DA0E1C">
        <w:t xml:space="preserve"> </w:t>
      </w:r>
      <w:r>
        <w:t xml:space="preserve">And when we speak about art I do not think that we can include each and every act of artistic expression regardless </w:t>
      </w:r>
      <w:r w:rsidR="00BE5DA2">
        <w:t>of its nature and effect. In the same way that we exclude insults from freedom of speech, so we must exclude from the legitimate expression of artists insulting pictures that undermine the reputation or dignity of others, especially if they are devoid of any meaningful message and contain nothing more than senseless, repugnant and disgusting images, as in the present case.</w:t>
      </w:r>
    </w:p>
    <w:p w:rsidR="0006396A" w:rsidP="0006396A" w:rsidRDefault="0006396A">
      <w:pPr>
        <w:pStyle w:val="OpiPara"/>
      </w:pPr>
      <w:r>
        <w:t>As was rightly observed in the judgment (paragraph 26) “</w:t>
      </w:r>
      <w:r w:rsidR="00AE12A4">
        <w:t>...</w:t>
      </w:r>
      <w:r w:rsidRPr="00C03374">
        <w:t xml:space="preserve">Artists and those who promote their work are certainly not immune from the possibility of limitations as provided for in paragraph 2 of Article 10. Whoever exercises his freedom of expression undertakes, in accordance with the express terms of that paragraph, </w:t>
      </w:r>
      <w:r w:rsidR="00AE12A4">
        <w:t>'</w:t>
      </w:r>
      <w:r w:rsidRPr="00C03374">
        <w:t>duties and responsibilities</w:t>
      </w:r>
      <w:r w:rsidR="00AE12A4">
        <w:t>'</w:t>
      </w:r>
      <w:r w:rsidRPr="00C03374">
        <w:t>; their scope will depend on his situat</w:t>
      </w:r>
      <w:r>
        <w:t>ion and the means he uses</w:t>
      </w:r>
      <w:r w:rsidR="00AE12A4">
        <w:t>...</w:t>
      </w:r>
      <w:r>
        <w:t>”</w:t>
      </w:r>
    </w:p>
    <w:p w:rsidR="0006396A" w:rsidP="0006396A" w:rsidRDefault="0006396A">
      <w:pPr>
        <w:pStyle w:val="OpiPara"/>
      </w:pPr>
      <w:r>
        <w:t>Nobody can rely on the fact that he is an artist or that a work is a painting in order to escape liability for insulting others. Like the domestic courts, I find that the “painting” in question undermined t</w:t>
      </w:r>
      <w:r w:rsidR="001C0407">
        <w:t>he reputation and dignity of Mr </w:t>
      </w:r>
      <w:proofErr w:type="spellStart"/>
      <w:r>
        <w:t>Meischberger</w:t>
      </w:r>
      <w:proofErr w:type="spellEnd"/>
      <w:r>
        <w:t xml:space="preserve"> in a manner for which there can be no legitimate justification and therefore the national authorities were entitled to consider that the impugned measure was necessary in a democratic society for the protection of the reputation or rights of others.</w:t>
      </w:r>
    </w:p>
    <w:p w:rsidR="0006396A" w:rsidP="0006396A" w:rsidRDefault="0006396A">
      <w:pPr>
        <w:pStyle w:val="OpiPara"/>
      </w:pPr>
      <w:r>
        <w:t>It might be useful to add that the large-sized painting in question was exhibited in an art gallery open to the general public so that even children could find themselves viewing it. It in fact provoked some public indignation and even a violent reaction when a visitor intentionally damaged parts of it. I acknowledge that</w:t>
      </w:r>
      <w:r w:rsidR="001C0407">
        <w:t>, as a result of the damage, Mr </w:t>
      </w:r>
      <w:proofErr w:type="spellStart"/>
      <w:r>
        <w:t>Meischberger</w:t>
      </w:r>
      <w:r w:rsidR="00AE12A4">
        <w:t>'</w:t>
      </w:r>
      <w:r>
        <w:t>s</w:t>
      </w:r>
      <w:proofErr w:type="spellEnd"/>
      <w:r>
        <w:t xml:space="preserve"> body was no longer visible. However, I can adhere to the view taken by the Austrian courts that the undamaged portrayal of a part of Mr </w:t>
      </w:r>
      <w:proofErr w:type="spellStart"/>
      <w:r>
        <w:t>Meischberger</w:t>
      </w:r>
      <w:r w:rsidR="00AE12A4">
        <w:t>'</w:t>
      </w:r>
      <w:r>
        <w:t>s</w:t>
      </w:r>
      <w:proofErr w:type="spellEnd"/>
      <w:r>
        <w:t xml:space="preserve"> head made identification still possible.</w:t>
      </w:r>
    </w:p>
    <w:p w:rsidR="0006396A" w:rsidP="0006396A" w:rsidRDefault="0006396A"/>
    <w:p w:rsidR="0006396A" w:rsidP="0006396A" w:rsidRDefault="0006396A">
      <w:pPr>
        <w:sectPr w:rsidR="0006396A" w:rsidSect="00EC3F37">
          <w:headerReference w:type="even" r:id="rId10"/>
          <w:footnotePr>
            <w:numRestart w:val="eachPage"/>
          </w:footnotePr>
          <w:pgSz w:w="11906" w:h="16838" w:code="9"/>
          <w:pgMar w:top="2274" w:right="2274" w:bottom="2274" w:left="2274" w:header="1701" w:footer="720" w:gutter="0"/>
          <w:cols w:space="720"/>
          <w:docGrid w:linePitch="78"/>
        </w:sectPr>
      </w:pPr>
    </w:p>
    <w:p w:rsidRPr="00A26F5E" w:rsidR="0006396A" w:rsidP="0006396A" w:rsidRDefault="0006396A">
      <w:pPr>
        <w:pStyle w:val="OpiHHead"/>
      </w:pPr>
      <w:r w:rsidRPr="00A26F5E">
        <w:t>JOINT DISSENTING OPINION OF JUDGES SPIELMANN AND JEBENS</w:t>
      </w:r>
    </w:p>
    <w:p w:rsidRPr="00A26F5E" w:rsidR="0006396A" w:rsidP="0006396A" w:rsidRDefault="0006396A">
      <w:pPr>
        <w:pStyle w:val="OpiTranslation"/>
        <w:rPr>
          <w:i/>
        </w:rPr>
      </w:pPr>
      <w:r w:rsidRPr="00A26F5E">
        <w:rPr>
          <w:i/>
        </w:rPr>
        <w:t>(Translation)</w:t>
      </w:r>
    </w:p>
    <w:p w:rsidRPr="00A26F5E" w:rsidR="0006396A" w:rsidP="0006396A" w:rsidRDefault="0006396A">
      <w:pPr>
        <w:pStyle w:val="OpiPara"/>
      </w:pPr>
      <w:r>
        <w:t xml:space="preserve">We voted against finding a </w:t>
      </w:r>
      <w:r w:rsidRPr="00A26F5E">
        <w:t xml:space="preserve">violation </w:t>
      </w:r>
      <w:r>
        <w:t>of Article</w:t>
      </w:r>
      <w:r w:rsidRPr="00A26F5E">
        <w:t xml:space="preserve"> 10 of the Convention. </w:t>
      </w:r>
      <w:r>
        <w:t xml:space="preserve">We are anxious to clarify the reasons for our </w:t>
      </w:r>
      <w:r w:rsidRPr="00A26F5E">
        <w:t>vote</w:t>
      </w:r>
      <w:r>
        <w:t xml:space="preserve"> in the following lines</w:t>
      </w:r>
      <w:r w:rsidRPr="00A26F5E">
        <w:t>.</w:t>
      </w:r>
    </w:p>
    <w:p w:rsidR="00AE12A4" w:rsidP="0006396A" w:rsidRDefault="0006396A">
      <w:pPr>
        <w:pStyle w:val="OpiPara"/>
      </w:pPr>
      <w:r>
        <w:t>1.  </w:t>
      </w:r>
      <w:r w:rsidRPr="00A26F5E">
        <w:t xml:space="preserve">The Court </w:t>
      </w:r>
      <w:r>
        <w:t>accepted that the prohibition on exhibiting the painting “</w:t>
      </w:r>
      <w:r w:rsidRPr="00A26F5E">
        <w:t>Apocalypse</w:t>
      </w:r>
      <w:r>
        <w:t>” was prescribed by law and pursued the legitimate aim of the “protection of the rights of others”</w:t>
      </w:r>
      <w:r w:rsidRPr="00A26F5E">
        <w:t xml:space="preserve">. </w:t>
      </w:r>
      <w:r>
        <w:t>However, the majority of the judges found that the interference was disproportionate to the aim pursued and therefore not necessary in a democratic societ</w:t>
      </w:r>
      <w:r w:rsidR="001C0407">
        <w:t>y within the meaning of Article </w:t>
      </w:r>
      <w:r>
        <w:t>10 § 2 of the Convention. Accordingly, the majority found a breach of Article</w:t>
      </w:r>
      <w:r w:rsidRPr="00A26F5E">
        <w:t xml:space="preserve"> 10 of the Convention.</w:t>
      </w:r>
    </w:p>
    <w:p w:rsidRPr="00A26F5E" w:rsidR="0006396A" w:rsidP="0006396A" w:rsidRDefault="0006396A">
      <w:pPr>
        <w:pStyle w:val="OpiPara"/>
      </w:pPr>
      <w:r>
        <w:t>2.  We do not subscribe to this approach</w:t>
      </w:r>
      <w:r w:rsidRPr="00A26F5E">
        <w:t>.</w:t>
      </w:r>
    </w:p>
    <w:p w:rsidR="00AE12A4" w:rsidP="0006396A" w:rsidRDefault="0006396A">
      <w:pPr>
        <w:pStyle w:val="OpiPara"/>
      </w:pPr>
      <w:r>
        <w:t>3.  </w:t>
      </w:r>
      <w:r w:rsidRPr="00A26F5E">
        <w:t>I</w:t>
      </w:r>
      <w:r>
        <w:t>t should be recalled that the painting was a m</w:t>
      </w:r>
      <w:r w:rsidRPr="00A26F5E">
        <w:t>ontage combin</w:t>
      </w:r>
      <w:r>
        <w:t>ing painted elements and photographs of people, the overall effect being an unrealistic and exaggerated depiction of public figures in sexually explicit positions</w:t>
      </w:r>
      <w:r w:rsidRPr="00A26F5E">
        <w:t xml:space="preserve">. </w:t>
      </w:r>
      <w:r>
        <w:t>The painting was not intended to portray reality</w:t>
      </w:r>
      <w:r w:rsidRPr="00A26F5E">
        <w:t>.</w:t>
      </w:r>
      <w:r>
        <w:t xml:space="preserve"> On the contrary, it is permissible to consider that it sought to convey a message by means of caricature and satire, which, according to the Court, is “</w:t>
      </w:r>
      <w:r w:rsidRPr="00636F83">
        <w:t>a form of artistic expression and social commentary and, by its inherent features of exaggeration and distortion of reality, naturally aims to provoke and agitate</w:t>
      </w:r>
      <w:r>
        <w:t xml:space="preserve">” (see paragraph </w:t>
      </w:r>
      <w:r w:rsidRPr="00A26F5E">
        <w:t>33</w:t>
      </w:r>
      <w:r>
        <w:t xml:space="preserve"> of the judgment</w:t>
      </w:r>
      <w:r w:rsidRPr="00A26F5E">
        <w:t>).</w:t>
      </w:r>
    </w:p>
    <w:p w:rsidRPr="00A26F5E" w:rsidR="0006396A" w:rsidP="0006396A" w:rsidRDefault="0006396A">
      <w:pPr>
        <w:pStyle w:val="OpiPara"/>
      </w:pPr>
      <w:r>
        <w:t>4.  To justify its finding of a</w:t>
      </w:r>
      <w:r w:rsidRPr="00A26F5E">
        <w:t xml:space="preserve"> violation </w:t>
      </w:r>
      <w:r>
        <w:t>of Article</w:t>
      </w:r>
      <w:r w:rsidRPr="00A26F5E">
        <w:t xml:space="preserve"> 10, the Court </w:t>
      </w:r>
      <w:r>
        <w:t xml:space="preserve">relied on </w:t>
      </w:r>
      <w:r w:rsidR="001C0407">
        <w:t>Mr </w:t>
      </w:r>
      <w:proofErr w:type="spellStart"/>
      <w:r w:rsidRPr="00A26F5E">
        <w:t>Meischberger</w:t>
      </w:r>
      <w:r w:rsidR="00AE12A4">
        <w:t>'</w:t>
      </w:r>
      <w:r>
        <w:t>s</w:t>
      </w:r>
      <w:proofErr w:type="spellEnd"/>
      <w:r>
        <w:t xml:space="preserve"> standing as a politician </w:t>
      </w:r>
      <w:r w:rsidRPr="00A26F5E">
        <w:t xml:space="preserve">and </w:t>
      </w:r>
      <w:r>
        <w:t>the fact that the message conveyed could be construed as a</w:t>
      </w:r>
      <w:r w:rsidRPr="00636F83">
        <w:t xml:space="preserve"> sort of counter-attack against the Austrian Freedom Party, whose members had </w:t>
      </w:r>
      <w:r>
        <w:t>previously</w:t>
      </w:r>
      <w:r w:rsidRPr="00636F83">
        <w:t xml:space="preserve"> criticised the </w:t>
      </w:r>
      <w:r>
        <w:t>artist</w:t>
      </w:r>
      <w:r w:rsidR="00AE12A4">
        <w:t>'</w:t>
      </w:r>
      <w:r>
        <w:t>s</w:t>
      </w:r>
      <w:r w:rsidRPr="00636F83">
        <w:t xml:space="preserve"> work </w:t>
      </w:r>
      <w:r>
        <w:t xml:space="preserve">(paragraph </w:t>
      </w:r>
      <w:r w:rsidRPr="00A26F5E">
        <w:t xml:space="preserve">34). The Court </w:t>
      </w:r>
      <w:r>
        <w:t>added that</w:t>
      </w:r>
      <w:r w:rsidRPr="00A26F5E">
        <w:t xml:space="preserve"> 33 </w:t>
      </w:r>
      <w:r>
        <w:t xml:space="preserve">people were depicted on the same painting and that </w:t>
      </w:r>
      <w:r w:rsidRPr="00A26F5E">
        <w:t xml:space="preserve">Mr </w:t>
      </w:r>
      <w:proofErr w:type="spellStart"/>
      <w:r w:rsidRPr="00A26F5E">
        <w:t>Meischberger</w:t>
      </w:r>
      <w:proofErr w:type="spellEnd"/>
      <w:r w:rsidRPr="00A26F5E">
        <w:t xml:space="preserve"> </w:t>
      </w:r>
      <w:r>
        <w:t>was certainly one of the less well known of them (paragraph</w:t>
      </w:r>
      <w:r w:rsidRPr="00A26F5E">
        <w:t xml:space="preserve"> 35), </w:t>
      </w:r>
      <w:r>
        <w:t xml:space="preserve">that the painting had subsequently been damaged, having been covered in red paint (paragraph </w:t>
      </w:r>
      <w:r w:rsidRPr="00A26F5E">
        <w:t xml:space="preserve">36), </w:t>
      </w:r>
      <w:r>
        <w:t xml:space="preserve">and that the </w:t>
      </w:r>
      <w:r w:rsidRPr="00636F83">
        <w:t xml:space="preserve">injunction </w:t>
      </w:r>
      <w:r>
        <w:t>in issue had</w:t>
      </w:r>
      <w:r w:rsidRPr="00636F83">
        <w:t xml:space="preserve"> not </w:t>
      </w:r>
      <w:r>
        <w:t>been</w:t>
      </w:r>
      <w:r w:rsidRPr="00636F83">
        <w:t xml:space="preserve"> limited in time or in space </w:t>
      </w:r>
      <w:r>
        <w:t>(paragraph</w:t>
      </w:r>
      <w:r w:rsidRPr="00A26F5E">
        <w:t xml:space="preserve"> 37). </w:t>
      </w:r>
      <w:r>
        <w:t>H</w:t>
      </w:r>
      <w:r w:rsidRPr="00C55E2E">
        <w:t xml:space="preserve">aving </w:t>
      </w:r>
      <w:r>
        <w:t>weighed up</w:t>
      </w:r>
      <w:r w:rsidRPr="00C55E2E">
        <w:t xml:space="preserve"> Mr </w:t>
      </w:r>
      <w:proofErr w:type="spellStart"/>
      <w:r w:rsidRPr="00C55E2E">
        <w:t>Meischberger</w:t>
      </w:r>
      <w:r w:rsidR="00AE12A4">
        <w:t>'</w:t>
      </w:r>
      <w:r w:rsidRPr="00C55E2E">
        <w:t>s</w:t>
      </w:r>
      <w:proofErr w:type="spellEnd"/>
      <w:r w:rsidRPr="00C55E2E">
        <w:t xml:space="preserve"> personal interests and tak</w:t>
      </w:r>
      <w:r>
        <w:t>en</w:t>
      </w:r>
      <w:r w:rsidRPr="00C55E2E">
        <w:t xml:space="preserve"> account of the artistic and sa</w:t>
      </w:r>
      <w:r>
        <w:t>tirical nature of his portrayal</w:t>
      </w:r>
      <w:r w:rsidRPr="00C55E2E">
        <w:t xml:space="preserve"> </w:t>
      </w:r>
      <w:r>
        <w:t>and</w:t>
      </w:r>
      <w:r w:rsidRPr="00C55E2E">
        <w:t xml:space="preserve"> the impact of the </w:t>
      </w:r>
      <w:r>
        <w:t>injunction</w:t>
      </w:r>
      <w:r w:rsidRPr="00C55E2E">
        <w:t xml:space="preserve"> on the applicant association, the Court </w:t>
      </w:r>
      <w:r>
        <w:t>concluded that the</w:t>
      </w:r>
      <w:r w:rsidRPr="00C55E2E">
        <w:t xml:space="preserve"> injunction </w:t>
      </w:r>
      <w:r>
        <w:t>was</w:t>
      </w:r>
      <w:r w:rsidRPr="00C55E2E">
        <w:t xml:space="preserve"> disproportionate</w:t>
      </w:r>
      <w:r>
        <w:t xml:space="preserve"> (paragraph</w:t>
      </w:r>
      <w:r w:rsidRPr="00A26F5E">
        <w:t xml:space="preserve"> 38).</w:t>
      </w:r>
    </w:p>
    <w:p w:rsidR="0006396A" w:rsidP="0006396A" w:rsidRDefault="0006396A">
      <w:pPr>
        <w:pStyle w:val="OpiPara"/>
      </w:pPr>
      <w:r w:rsidRPr="00A26F5E">
        <w:t>5.</w:t>
      </w:r>
      <w:r>
        <w:t>  We do not agree with this conclusion. Our reason is that where the “protection of the rights of others” is at stake, artistic freedom cannot be unlimited.</w:t>
      </w:r>
    </w:p>
    <w:p w:rsidR="00EC3F37" w:rsidP="0006396A" w:rsidRDefault="0006396A">
      <w:pPr>
        <w:pStyle w:val="OpiPara"/>
        <w:sectPr w:rsidR="00EC3F37" w:rsidSect="00EC3F37">
          <w:headerReference w:type="even" r:id="rId11"/>
          <w:headerReference w:type="default" r:id="rId12"/>
          <w:footnotePr>
            <w:numRestart w:val="eachPage"/>
          </w:footnotePr>
          <w:pgSz w:w="11906" w:h="16838" w:code="9"/>
          <w:pgMar w:top="2274" w:right="2274" w:bottom="2274" w:left="2274" w:header="1701" w:footer="720" w:gutter="0"/>
          <w:cols w:space="720"/>
          <w:docGrid w:linePitch="78"/>
        </w:sectPr>
      </w:pPr>
      <w:r>
        <w:t xml:space="preserve">6.  Admittedly, </w:t>
      </w:r>
      <w:r w:rsidRPr="00A26F5E">
        <w:t>the Court</w:t>
      </w:r>
      <w:r w:rsidR="00AE12A4">
        <w:t>'</w:t>
      </w:r>
      <w:r w:rsidRPr="00A26F5E">
        <w:t xml:space="preserve">s case-law </w:t>
      </w:r>
      <w:r>
        <w:t xml:space="preserve">consistently reiterates, and rightly so, that freedom of expression “is applicable not only to ... </w:t>
      </w:r>
      <w:r w:rsidR="00AE12A4">
        <w:t>'</w:t>
      </w:r>
      <w:r w:rsidRPr="00FB20B8">
        <w:t>ideas</w:t>
      </w:r>
      <w:r w:rsidR="00AE12A4">
        <w:t>'</w:t>
      </w:r>
      <w:r w:rsidRPr="00FB20B8">
        <w:t xml:space="preserve"> that are favourably received or regarded as inoffensive or as a matter of indifference, but also to those that offend, shock or disturb the State or any </w:t>
      </w:r>
    </w:p>
    <w:p w:rsidR="00AE12A4" w:rsidP="00EC3F37" w:rsidRDefault="0006396A">
      <w:pPr>
        <w:pStyle w:val="OpiPara"/>
        <w:ind w:firstLine="0"/>
      </w:pPr>
      <w:r w:rsidRPr="00FB20B8">
        <w:t xml:space="preserve">sector of the population. Such are the demands of that pluralism, tolerance and broadmindedness without which there is no </w:t>
      </w:r>
      <w:r w:rsidR="00AE12A4">
        <w:t>'</w:t>
      </w:r>
      <w:r w:rsidRPr="00FB20B8">
        <w:t>democratic society</w:t>
      </w:r>
      <w:r w:rsidR="00AE12A4">
        <w:t>'</w:t>
      </w:r>
      <w:r w:rsidRPr="00FB20B8">
        <w:t>.</w:t>
      </w:r>
      <w:r>
        <w:t>”</w:t>
      </w:r>
      <w:r w:rsidRPr="00A26F5E">
        <w:rPr>
          <w:rStyle w:val="FootnoteReference"/>
        </w:rPr>
        <w:footnoteReference w:id="1"/>
      </w:r>
      <w:r w:rsidRPr="00A26F5E">
        <w:t xml:space="preserve"> </w:t>
      </w:r>
      <w:r>
        <w:t>We also take the view that the State</w:t>
      </w:r>
      <w:r w:rsidR="00AE12A4">
        <w:t>'</w:t>
      </w:r>
      <w:r>
        <w:t>s margin of appreciation should be particularly limited, or indeed practically non-existent, where its interference affects artistic freedom.</w:t>
      </w:r>
      <w:r w:rsidRPr="00A26F5E">
        <w:rPr>
          <w:rStyle w:val="FootnoteReference"/>
        </w:rPr>
        <w:footnoteReference w:id="2"/>
      </w:r>
    </w:p>
    <w:p w:rsidR="0006396A" w:rsidP="00EC3F37" w:rsidRDefault="00AE12A4">
      <w:pPr>
        <w:pStyle w:val="OpiPara"/>
        <w:ind w:firstLine="0"/>
      </w:pPr>
      <w:r>
        <w:t xml:space="preserve">  </w:t>
      </w:r>
      <w:r w:rsidR="007B4867">
        <w:t xml:space="preserve"> </w:t>
      </w:r>
      <w:r w:rsidR="0006396A">
        <w:t>7.  However, in the present case</w:t>
      </w:r>
      <w:r w:rsidRPr="00A26F5E" w:rsidR="0006396A">
        <w:t xml:space="preserve"> </w:t>
      </w:r>
      <w:r w:rsidR="0006396A">
        <w:t>the painting in question, even if it is an expression of what is known nowadays as “committed” art (</w:t>
      </w:r>
      <w:r w:rsidRPr="00F556CD" w:rsidR="0006396A">
        <w:rPr>
          <w:i/>
        </w:rPr>
        <w:t xml:space="preserve">art </w:t>
      </w:r>
      <w:proofErr w:type="spellStart"/>
      <w:r w:rsidRPr="00F556CD" w:rsidR="0006396A">
        <w:rPr>
          <w:i/>
        </w:rPr>
        <w:t>engag</w:t>
      </w:r>
      <w:r w:rsidR="0006396A">
        <w:rPr>
          <w:i/>
        </w:rPr>
        <w:t>é</w:t>
      </w:r>
      <w:proofErr w:type="spellEnd"/>
      <w:r w:rsidR="0006396A">
        <w:t>),</w:t>
      </w:r>
      <w:r w:rsidRPr="00A26F5E" w:rsidR="0006396A">
        <w:rPr>
          <w:rStyle w:val="FootnoteReference"/>
        </w:rPr>
        <w:footnoteReference w:id="3"/>
      </w:r>
      <w:r w:rsidRPr="00A26F5E" w:rsidR="0006396A">
        <w:t xml:space="preserve"> </w:t>
      </w:r>
      <w:r w:rsidR="0006396A">
        <w:t>does not deserve the unlimited protection of Article</w:t>
      </w:r>
      <w:r w:rsidRPr="00A26F5E" w:rsidR="0006396A">
        <w:t xml:space="preserve"> 10 of the Convention</w:t>
      </w:r>
      <w:r w:rsidR="0006396A">
        <w:t>, precisely because it interferes excessively with the rights of others.</w:t>
      </w:r>
      <w:r w:rsidRPr="00A26F5E" w:rsidR="0006396A">
        <w:t xml:space="preserve"> </w:t>
      </w:r>
      <w:r w:rsidR="0006396A">
        <w:t>In other words</w:t>
      </w:r>
      <w:r w:rsidRPr="00A26F5E" w:rsidR="0006396A">
        <w:t xml:space="preserve">: </w:t>
      </w:r>
      <w:r w:rsidR="0006396A">
        <w:t>“There are</w:t>
      </w:r>
      <w:r w:rsidRPr="00A26F5E" w:rsidR="0006396A">
        <w:t xml:space="preserve"> </w:t>
      </w:r>
      <w:r w:rsidR="0006396A">
        <w:t>...</w:t>
      </w:r>
      <w:r w:rsidRPr="00A26F5E" w:rsidR="0006396A">
        <w:t xml:space="preserve"> limits </w:t>
      </w:r>
      <w:r w:rsidR="0006396A">
        <w:t>to excess</w:t>
      </w:r>
      <w:r w:rsidRPr="00A26F5E" w:rsidR="0006396A">
        <w:t>: on</w:t>
      </w:r>
      <w:r w:rsidR="0006396A">
        <w:t>e</w:t>
      </w:r>
      <w:r w:rsidRPr="00A26F5E" w:rsidR="0006396A">
        <w:t xml:space="preserve"> </w:t>
      </w:r>
      <w:r w:rsidR="0006396A">
        <w:t>cannot be</w:t>
      </w:r>
      <w:r w:rsidRPr="00A26F5E" w:rsidR="0006396A">
        <w:t xml:space="preserve"> excessive</w:t>
      </w:r>
      <w:r w:rsidR="0006396A">
        <w:t>ly excessive</w:t>
      </w:r>
      <w:r w:rsidRPr="00A26F5E" w:rsidR="0006396A">
        <w:t>.</w:t>
      </w:r>
      <w:r w:rsidR="0006396A">
        <w:t>”</w:t>
      </w:r>
      <w:r w:rsidRPr="00A26F5E" w:rsidR="0006396A">
        <w:rPr>
          <w:rStyle w:val="FootnoteReference"/>
        </w:rPr>
        <w:footnoteReference w:id="4"/>
      </w:r>
    </w:p>
    <w:p w:rsidRPr="00A26F5E" w:rsidR="0006396A" w:rsidP="0006396A" w:rsidRDefault="0006396A">
      <w:pPr>
        <w:pStyle w:val="OpiPara"/>
      </w:pPr>
      <w:r>
        <w:t>8.  The excessive nature of the portrayal results precisely from its attack on the “</w:t>
      </w:r>
      <w:r w:rsidRPr="00A26F5E">
        <w:t>dignit</w:t>
      </w:r>
      <w:r>
        <w:t>y of others”</w:t>
      </w:r>
      <w:r w:rsidRPr="00A26F5E">
        <w:t xml:space="preserve">, </w:t>
      </w:r>
      <w:r>
        <w:t>which in our view is covered by the protection of the “rights of others”. On this point, we subscribe to the dissenting opinion of our collea</w:t>
      </w:r>
      <w:r w:rsidRPr="00A26F5E">
        <w:t xml:space="preserve">gue </w:t>
      </w:r>
      <w:r>
        <w:t>Judge</w:t>
      </w:r>
      <w:r w:rsidRPr="00A26F5E">
        <w:t xml:space="preserve"> Loucaides. </w:t>
      </w:r>
      <w:r>
        <w:t>We would emphasise that the concept of dignity prevails throughout the European Convention on Human Rights, even if it is not expressly mentioned in the text of the Convention.</w:t>
      </w:r>
      <w:r w:rsidRPr="00A26F5E">
        <w:rPr>
          <w:rStyle w:val="FootnoteReference"/>
        </w:rPr>
        <w:footnoteReference w:id="5"/>
      </w:r>
      <w:r w:rsidRPr="0006396A">
        <w:t xml:space="preserve"> </w:t>
      </w:r>
      <w:r>
        <w:t>However, the Court has made it clear in its case-law that “[t]he very essence of the Convention is respect for human dignity and human freedom.”</w:t>
      </w:r>
      <w:r>
        <w:rPr>
          <w:rStyle w:val="FootnoteReference"/>
        </w:rPr>
        <w:footnoteReference w:id="6"/>
      </w:r>
      <w:r>
        <w:t xml:space="preserve"> And as a learned author has put it: “The foundation of human rights cannot be anything other than the </w:t>
      </w:r>
      <w:r w:rsidR="00AE12A4">
        <w:t>'</w:t>
      </w:r>
      <w:r>
        <w:t>equal dignity</w:t>
      </w:r>
      <w:r w:rsidR="00AE12A4">
        <w:t>'</w:t>
      </w:r>
      <w:r>
        <w:t xml:space="preserve"> of all human beings. D</w:t>
      </w:r>
      <w:r w:rsidRPr="00A26F5E">
        <w:t>ignit</w:t>
      </w:r>
      <w:r>
        <w:t>y</w:t>
      </w:r>
      <w:r w:rsidRPr="00A26F5E">
        <w:t xml:space="preserve"> and universalit</w:t>
      </w:r>
      <w:r>
        <w:t>y</w:t>
      </w:r>
      <w:r w:rsidRPr="00A26F5E">
        <w:t xml:space="preserve"> </w:t>
      </w:r>
      <w:r>
        <w:t xml:space="preserve">are therefore </w:t>
      </w:r>
      <w:proofErr w:type="spellStart"/>
      <w:r>
        <w:t>indissociable</w:t>
      </w:r>
      <w:proofErr w:type="spellEnd"/>
      <w:r>
        <w:t>.”</w:t>
      </w:r>
      <w:r w:rsidRPr="00D16EB7">
        <w:rPr>
          <w:rStyle w:val="FootnoteReference"/>
        </w:rPr>
        <w:t xml:space="preserve"> </w:t>
      </w:r>
      <w:r w:rsidRPr="00A26F5E">
        <w:rPr>
          <w:rStyle w:val="FootnoteReference"/>
        </w:rPr>
        <w:footnoteReference w:id="7"/>
      </w:r>
    </w:p>
    <w:p w:rsidRPr="00A26F5E" w:rsidR="0006396A" w:rsidP="0006396A" w:rsidRDefault="0006396A">
      <w:pPr>
        <w:pStyle w:val="OpiPara"/>
      </w:pPr>
      <w:r>
        <w:t>9.  In our opinion, it was not the abstract or indeterminate concept of human dignity – a concept which can in itself be dangerous since it may be used as justification for hastily placing</w:t>
      </w:r>
      <w:r w:rsidRPr="00A26F5E">
        <w:t xml:space="preserve"> </w:t>
      </w:r>
      <w:r>
        <w:t xml:space="preserve">unacceptable </w:t>
      </w:r>
      <w:r w:rsidRPr="00A26F5E">
        <w:t xml:space="preserve">limitations </w:t>
      </w:r>
      <w:r>
        <w:t>on fundamental rights</w:t>
      </w:r>
      <w:r w:rsidRPr="00A26F5E">
        <w:rPr>
          <w:rStyle w:val="FootnoteReference"/>
        </w:rPr>
        <w:footnoteReference w:id="8"/>
      </w:r>
      <w:r>
        <w:t xml:space="preserve"> – but the concrete</w:t>
      </w:r>
      <w:r w:rsidRPr="00A26F5E">
        <w:t xml:space="preserve"> concept </w:t>
      </w:r>
      <w:r>
        <w:t>of “fundamental personal dignity of others”</w:t>
      </w:r>
      <w:r w:rsidRPr="00A26F5E">
        <w:rPr>
          <w:rStyle w:val="FootnoteReference"/>
        </w:rPr>
        <w:footnoteReference w:id="9"/>
      </w:r>
      <w:r w:rsidRPr="00A26F5E">
        <w:t xml:space="preserve"> </w:t>
      </w:r>
      <w:r>
        <w:t xml:space="preserve">which was central to the debate in the present case, seeing that a </w:t>
      </w:r>
      <w:r w:rsidRPr="00A26F5E">
        <w:t>photo</w:t>
      </w:r>
      <w:r>
        <w:t>graph</w:t>
      </w:r>
      <w:r w:rsidRPr="00A26F5E">
        <w:t xml:space="preserve"> </w:t>
      </w:r>
      <w:r>
        <w:t>of</w:t>
      </w:r>
      <w:r w:rsidRPr="00A26F5E">
        <w:t xml:space="preserve"> Mr </w:t>
      </w:r>
      <w:proofErr w:type="spellStart"/>
      <w:r w:rsidRPr="00A26F5E">
        <w:t>Meischberger</w:t>
      </w:r>
      <w:proofErr w:type="spellEnd"/>
      <w:r w:rsidRPr="00A26F5E">
        <w:t xml:space="preserve"> </w:t>
      </w:r>
      <w:r>
        <w:t>was used in a pictorial montage which he felt to be profoundly humiliating and degrading.</w:t>
      </w:r>
    </w:p>
    <w:p w:rsidR="00AE12A4" w:rsidP="0006396A" w:rsidRDefault="0006396A">
      <w:pPr>
        <w:pStyle w:val="OpiPara"/>
      </w:pPr>
      <w:r>
        <w:t xml:space="preserve">10.  It should be noted in this connection that in an order of </w:t>
      </w:r>
      <w:r w:rsidRPr="00A26F5E">
        <w:t>3 June 1987</w:t>
      </w:r>
      <w:r>
        <w:t>,</w:t>
      </w:r>
      <w:r w:rsidRPr="00A26F5E">
        <w:rPr>
          <w:rStyle w:val="FootnoteReference"/>
        </w:rPr>
        <w:footnoteReference w:id="10"/>
      </w:r>
      <w:r>
        <w:t xml:space="preserve"> in a case about cartoons, the German Federal </w:t>
      </w:r>
      <w:r w:rsidRPr="00A26F5E">
        <w:t xml:space="preserve">Constitutional Court </w:t>
      </w:r>
      <w:r>
        <w:t xml:space="preserve">relied on the concept of human dignity as expressly enshrined in the Basic Law </w:t>
      </w:r>
      <w:r w:rsidRPr="00A26F5E">
        <w:t>(</w:t>
      </w:r>
      <w:r>
        <w:t>A</w:t>
      </w:r>
      <w:r w:rsidRPr="00A26F5E">
        <w:t>rticle 1</w:t>
      </w:r>
      <w:r>
        <w:t xml:space="preserve"> (1)</w:t>
      </w:r>
      <w:r w:rsidRPr="00A26F5E">
        <w:t>)</w:t>
      </w:r>
      <w:r>
        <w:t>,</w:t>
      </w:r>
      <w:r w:rsidRPr="00A26F5E">
        <w:rPr>
          <w:rStyle w:val="FootnoteReference"/>
        </w:rPr>
        <w:footnoteReference w:id="11"/>
      </w:r>
      <w:r w:rsidRPr="00A26F5E">
        <w:t xml:space="preserve"> </w:t>
      </w:r>
      <w:r>
        <w:t xml:space="preserve">in dismissing a complaint by a publisher. The cartoon portrayed a well-known politician as a pig </w:t>
      </w:r>
      <w:r w:rsidRPr="00A26F5E">
        <w:t>copul</w:t>
      </w:r>
      <w:r>
        <w:t>ating with another pig dressed in judicial robes. The court did not accept the publisher</w:t>
      </w:r>
      <w:r w:rsidR="00AE12A4">
        <w:t>'</w:t>
      </w:r>
      <w:r>
        <w:t>s argument relating to artistic freedom as protected by Article</w:t>
      </w:r>
      <w:r w:rsidRPr="00A26F5E">
        <w:t xml:space="preserve"> 5 </w:t>
      </w:r>
      <w:r>
        <w:t>(3) of the Basic Law.</w:t>
      </w:r>
      <w:r w:rsidRPr="00A26F5E">
        <w:rPr>
          <w:rStyle w:val="FootnoteReference"/>
        </w:rPr>
        <w:footnoteReference w:id="12"/>
      </w:r>
      <w:r w:rsidRPr="00A26F5E">
        <w:t xml:space="preserve"> </w:t>
      </w:r>
      <w:r>
        <w:t>It is important to note that the c</w:t>
      </w:r>
      <w:r w:rsidRPr="00A26F5E">
        <w:t xml:space="preserve">ourt </w:t>
      </w:r>
      <w:r>
        <w:t>accepted that the cartoons could be described as a work of art; it was not appropriate to perform a quality control (</w:t>
      </w:r>
      <w:proofErr w:type="spellStart"/>
      <w:r w:rsidRPr="00A26F5E">
        <w:rPr>
          <w:i/>
        </w:rPr>
        <w:t>Niveaukontrolle</w:t>
      </w:r>
      <w:proofErr w:type="spellEnd"/>
      <w:r>
        <w:t>) and thus to differentiate between “superior” and “inferior” or “good” and “bad” art.</w:t>
      </w:r>
      <w:r w:rsidRPr="00A26F5E">
        <w:rPr>
          <w:rStyle w:val="FootnoteReference"/>
        </w:rPr>
        <w:footnoteReference w:id="13"/>
      </w:r>
      <w:r w:rsidRPr="00A26F5E">
        <w:t xml:space="preserve"> </w:t>
      </w:r>
      <w:r>
        <w:t>However, it dismissed the complaint, finding that the cartoons were intended to deprive the politician concerned of his dignity by portraying him as engaging in bestial sexual conduct</w:t>
      </w:r>
      <w:r w:rsidRPr="00A26F5E">
        <w:t xml:space="preserve">. </w:t>
      </w:r>
      <w:r>
        <w:t>Where there was a conflict with human dignity, artistic freedom</w:t>
      </w:r>
      <w:r w:rsidRPr="00A26F5E">
        <w:t xml:space="preserve"> (</w:t>
      </w:r>
      <w:proofErr w:type="spellStart"/>
      <w:r w:rsidRPr="00A26F5E">
        <w:rPr>
          <w:i/>
        </w:rPr>
        <w:t>Kunstfreiheit</w:t>
      </w:r>
      <w:proofErr w:type="spellEnd"/>
      <w:r w:rsidRPr="00A26F5E">
        <w:t xml:space="preserve">) </w:t>
      </w:r>
      <w:r>
        <w:t>must always be subordinate to personality rights</w:t>
      </w:r>
      <w:r w:rsidRPr="00A26F5E">
        <w:t>.</w:t>
      </w:r>
      <w:r>
        <w:rPr>
          <w:rStyle w:val="FootnoteReference"/>
        </w:rPr>
        <w:footnoteReference w:id="14"/>
      </w:r>
    </w:p>
    <w:p w:rsidRPr="00A26F5E" w:rsidR="0006396A" w:rsidP="0006396A" w:rsidRDefault="0006396A">
      <w:pPr>
        <w:pStyle w:val="OpiPara"/>
      </w:pPr>
      <w:r w:rsidRPr="00A26F5E">
        <w:t>11.</w:t>
      </w:r>
      <w:r>
        <w:t>  One</w:t>
      </w:r>
      <w:r w:rsidRPr="00A26F5E">
        <w:t xml:space="preserve"> commentat</w:t>
      </w:r>
      <w:r>
        <w:t>o</w:t>
      </w:r>
      <w:r w:rsidRPr="00A26F5E">
        <w:t xml:space="preserve">r, Eric </w:t>
      </w:r>
      <w:proofErr w:type="spellStart"/>
      <w:r w:rsidRPr="00A26F5E">
        <w:t>Barendt</w:t>
      </w:r>
      <w:proofErr w:type="spellEnd"/>
      <w:r w:rsidRPr="00A26F5E">
        <w:t xml:space="preserve">, </w:t>
      </w:r>
      <w:r>
        <w:t>rightly approved this decision, stating</w:t>
      </w:r>
      <w:r w:rsidRPr="00A26F5E">
        <w:t>:</w:t>
      </w:r>
    </w:p>
    <w:p w:rsidRPr="00A26F5E" w:rsidR="0006396A" w:rsidP="0006396A" w:rsidRDefault="0006396A">
      <w:pPr>
        <w:pStyle w:val="OpiQuot"/>
      </w:pPr>
      <w:r w:rsidRPr="00A26F5E">
        <w:t>“Political satire should not be protected when it amounts</w:t>
      </w:r>
      <w:r>
        <w:t xml:space="preserve"> </w:t>
      </w:r>
      <w:r w:rsidRPr="00A26F5E">
        <w:t>only to insulting speech directed against an individual. If, say, a magazine feature attributes words to a celebrity, or uses a computerized image to portray her naked, it should make no difference that the feature was intended as a parody of an interview she had given. It should be regarded as a verbal assault on the individual</w:t>
      </w:r>
      <w:r w:rsidR="00AE12A4">
        <w:t>'</w:t>
      </w:r>
      <w:r w:rsidRPr="00A26F5E">
        <w:t>s right to dignity, rather than a contribution to political or artistic debate protected under the free speech (or freedom of the arts) clauses of the Constitution.”</w:t>
      </w:r>
      <w:r w:rsidRPr="00A26F5E">
        <w:rPr>
          <w:rStyle w:val="FootnoteReference"/>
        </w:rPr>
        <w:footnoteReference w:id="15"/>
      </w:r>
    </w:p>
    <w:p w:rsidRPr="00A26F5E" w:rsidR="0006396A" w:rsidP="0006396A" w:rsidRDefault="0006396A">
      <w:pPr>
        <w:pStyle w:val="OpiPara"/>
      </w:pPr>
      <w:r w:rsidRPr="00A26F5E">
        <w:t>12.</w:t>
      </w:r>
      <w:r>
        <w:t>  In a word, a person</w:t>
      </w:r>
      <w:r w:rsidR="00AE12A4">
        <w:t>'</w:t>
      </w:r>
      <w:r>
        <w:t>s human dignity must be respected, regardless of whether the person is a well-known figure or not</w:t>
      </w:r>
      <w:r w:rsidRPr="00A26F5E">
        <w:t>.</w:t>
      </w:r>
    </w:p>
    <w:p w:rsidRPr="00A26F5E" w:rsidR="0006396A" w:rsidP="0006396A" w:rsidRDefault="0006396A">
      <w:pPr>
        <w:pStyle w:val="OpiPara"/>
      </w:pPr>
      <w:r>
        <w:t>13.  Returning to the case before us, we therefore consider that the reasons that led the Court to find a violation</w:t>
      </w:r>
      <w:r w:rsidRPr="00A26F5E">
        <w:t xml:space="preserve"> (</w:t>
      </w:r>
      <w:r>
        <w:t>see paragraph 4</w:t>
      </w:r>
      <w:r w:rsidRPr="00A26F5E">
        <w:t xml:space="preserve"> above) </w:t>
      </w:r>
      <w:r>
        <w:t>are not relevant. Such considerations must be subordinate to respect for human dignity</w:t>
      </w:r>
      <w:r w:rsidRPr="00A26F5E">
        <w:t>.</w:t>
      </w:r>
    </w:p>
    <w:p w:rsidRPr="00A26F5E" w:rsidR="0006396A" w:rsidP="0006396A" w:rsidRDefault="0006396A">
      <w:pPr>
        <w:pStyle w:val="OpiPara"/>
        <w:rPr>
          <w:lang w:eastAsia="en-US"/>
        </w:rPr>
      </w:pPr>
      <w:r>
        <w:t xml:space="preserve">14.  We would also like to add that the very fact that </w:t>
      </w:r>
      <w:r w:rsidRPr="00A26F5E">
        <w:t>Mr</w:t>
      </w:r>
      <w:r w:rsidR="00A36035">
        <w:t> </w:t>
      </w:r>
      <w:proofErr w:type="spellStart"/>
      <w:r w:rsidRPr="00A26F5E">
        <w:t>Meischberger</w:t>
      </w:r>
      <w:r w:rsidR="00AE12A4">
        <w:t>'</w:t>
      </w:r>
      <w:r>
        <w:t>s</w:t>
      </w:r>
      <w:proofErr w:type="spellEnd"/>
      <w:r>
        <w:t xml:space="preserve"> photograph was included as part of the painting without his consent is in itself problematic in terms of the</w:t>
      </w:r>
      <w:r w:rsidRPr="00A26F5E">
        <w:t xml:space="preserve"> Convention. </w:t>
      </w:r>
      <w:r>
        <w:t>The right to one</w:t>
      </w:r>
      <w:r w:rsidR="00AE12A4">
        <w:t>'</w:t>
      </w:r>
      <w:r>
        <w:t>s own image is in our view covered by Article</w:t>
      </w:r>
      <w:r w:rsidRPr="00A26F5E">
        <w:t xml:space="preserve"> 8 of the Convention</w:t>
      </w:r>
      <w:r>
        <w:t>, which protects the right to private life.</w:t>
      </w:r>
      <w:r w:rsidRPr="00A26F5E">
        <w:rPr>
          <w:rStyle w:val="FootnoteReference"/>
        </w:rPr>
        <w:footnoteReference w:id="16"/>
      </w:r>
      <w:r w:rsidRPr="00A26F5E">
        <w:t xml:space="preserve"> </w:t>
      </w:r>
      <w:r>
        <w:t>Article</w:t>
      </w:r>
      <w:r w:rsidRPr="00A26F5E">
        <w:t xml:space="preserve"> 8 prot</w:t>
      </w:r>
      <w:r>
        <w:t>ects the right to an identity</w:t>
      </w:r>
      <w:r w:rsidRPr="00A26F5E">
        <w:rPr>
          <w:rStyle w:val="FootnoteReference"/>
        </w:rPr>
        <w:footnoteReference w:id="17"/>
      </w:r>
      <w:r w:rsidRPr="00A26F5E">
        <w:t xml:space="preserve"> and </w:t>
      </w:r>
      <w:r>
        <w:t>the right to</w:t>
      </w:r>
      <w:r w:rsidRPr="000017BA">
        <w:t xml:space="preserve"> personal development, </w:t>
      </w:r>
      <w:r>
        <w:t>particularly in relation to</w:t>
      </w:r>
      <w:r w:rsidRPr="000017BA">
        <w:t xml:space="preserve"> the notion of personal autonomy</w:t>
      </w:r>
      <w:r>
        <w:t>,</w:t>
      </w:r>
      <w:r w:rsidRPr="000017BA">
        <w:t xml:space="preserve"> an important principle underlying the interpretation of </w:t>
      </w:r>
      <w:r>
        <w:t>the</w:t>
      </w:r>
      <w:r w:rsidRPr="000017BA">
        <w:t xml:space="preserve"> guarantees </w:t>
      </w:r>
      <w:r>
        <w:t>of that provisi</w:t>
      </w:r>
      <w:r w:rsidRPr="00A26F5E">
        <w:t>on</w:t>
      </w:r>
      <w:r>
        <w:t>.</w:t>
      </w:r>
      <w:r w:rsidRPr="00A26F5E">
        <w:rPr>
          <w:rStyle w:val="FootnoteReference"/>
        </w:rPr>
        <w:footnoteReference w:id="18"/>
      </w:r>
      <w:r w:rsidRPr="00A26F5E">
        <w:t xml:space="preserve"> </w:t>
      </w:r>
      <w:r>
        <w:t>Since control of</w:t>
      </w:r>
      <w:r w:rsidRPr="00A26F5E">
        <w:t xml:space="preserve"> </w:t>
      </w:r>
      <w:r>
        <w:t>one</w:t>
      </w:r>
      <w:r w:rsidR="00AE12A4">
        <w:t>'</w:t>
      </w:r>
      <w:r>
        <w:t>s own image is one of the essential components of personal development</w:t>
      </w:r>
      <w:r w:rsidRPr="00A26F5E">
        <w:t xml:space="preserve">, </w:t>
      </w:r>
      <w:r>
        <w:t>Article</w:t>
      </w:r>
      <w:r w:rsidRPr="00A26F5E">
        <w:t xml:space="preserve"> 8 </w:t>
      </w:r>
      <w:r>
        <w:t>may therefore be applicable simply on the ground that the person has not had the prior opportunity to challenge the reproduction of his or her image</w:t>
      </w:r>
      <w:r w:rsidRPr="00A26F5E">
        <w:t xml:space="preserve">. </w:t>
      </w:r>
      <w:r>
        <w:t xml:space="preserve">In the present case, the question of a </w:t>
      </w:r>
      <w:r w:rsidRPr="00A26F5E">
        <w:t xml:space="preserve">violation </w:t>
      </w:r>
      <w:r>
        <w:t>of the right to one</w:t>
      </w:r>
      <w:r w:rsidR="00AE12A4">
        <w:t>'</w:t>
      </w:r>
      <w:r>
        <w:t xml:space="preserve">s own </w:t>
      </w:r>
      <w:r w:rsidRPr="00A26F5E">
        <w:t xml:space="preserve">image </w:t>
      </w:r>
      <w:r>
        <w:t xml:space="preserve">is all the more serious in that the photograph of </w:t>
      </w:r>
      <w:r w:rsidRPr="00A26F5E">
        <w:t xml:space="preserve">Mr </w:t>
      </w:r>
      <w:proofErr w:type="spellStart"/>
      <w:r w:rsidRPr="00A26F5E">
        <w:t>Meischberger</w:t>
      </w:r>
      <w:proofErr w:type="spellEnd"/>
      <w:r w:rsidRPr="00A26F5E">
        <w:t xml:space="preserve"> </w:t>
      </w:r>
      <w:r>
        <w:t>was used</w:t>
      </w:r>
      <w:r w:rsidRPr="00A26F5E">
        <w:t xml:space="preserve">, </w:t>
      </w:r>
      <w:r>
        <w:t xml:space="preserve">or rather misused, as part of a depiction of </w:t>
      </w:r>
      <w:r w:rsidRPr="00A26F5E">
        <w:t xml:space="preserve">situations </w:t>
      </w:r>
      <w:r>
        <w:t>which were particularly shocking in their conception and have, moreover, been eloquently described by our</w:t>
      </w:r>
      <w:r w:rsidRPr="00A26F5E">
        <w:t xml:space="preserve"> colleague </w:t>
      </w:r>
      <w:r>
        <w:t>Judge</w:t>
      </w:r>
      <w:r w:rsidRPr="00A26F5E">
        <w:t xml:space="preserve"> Loucaides </w:t>
      </w:r>
      <w:r>
        <w:t>in his dissenting</w:t>
      </w:r>
      <w:r w:rsidRPr="00A26F5E">
        <w:t xml:space="preserve"> opinion.</w:t>
      </w:r>
    </w:p>
    <w:p w:rsidRPr="00A26F5E" w:rsidR="0006396A" w:rsidP="0006396A" w:rsidRDefault="0006396A">
      <w:pPr>
        <w:pStyle w:val="OpiPara"/>
      </w:pPr>
      <w:r w:rsidRPr="00A26F5E">
        <w:t>15.</w:t>
      </w:r>
      <w:r>
        <w:t>  Lastly</w:t>
      </w:r>
      <w:r w:rsidRPr="00A26F5E">
        <w:t xml:space="preserve">, </w:t>
      </w:r>
      <w:r>
        <w:t>we voted against the second point of the operative provisions in which the Court held that the finding of a violation constituted in itself sufficient just satisfaction for the non-pecuniary damage sustained</w:t>
      </w:r>
      <w:r w:rsidRPr="00A26F5E">
        <w:t xml:space="preserve">. </w:t>
      </w:r>
      <w:r>
        <w:t>The wording of p</w:t>
      </w:r>
      <w:r w:rsidRPr="00A26F5E">
        <w:t xml:space="preserve">oint 2 </w:t>
      </w:r>
      <w:r>
        <w:t>of the operative provisions of the judgment should have left us indifferent</w:t>
      </w:r>
      <w:r w:rsidRPr="00A26F5E">
        <w:t xml:space="preserve">. </w:t>
      </w:r>
      <w:r>
        <w:t>But since we voted against finding a violation of Article </w:t>
      </w:r>
      <w:r w:rsidRPr="00A26F5E">
        <w:t xml:space="preserve">10 of the Convention, </w:t>
      </w:r>
      <w:r>
        <w:t>we also decided to vote against that point of the operative provisions.</w:t>
      </w:r>
    </w:p>
    <w:p w:rsidRPr="00A26F5E" w:rsidR="0006396A" w:rsidP="0006396A" w:rsidRDefault="0006396A">
      <w:pPr>
        <w:pStyle w:val="OpiPara"/>
      </w:pPr>
    </w:p>
    <w:p w:rsidRPr="00A26F5E" w:rsidR="0006396A" w:rsidP="0006396A" w:rsidRDefault="0006396A">
      <w:pPr>
        <w:pStyle w:val="OpiPara"/>
      </w:pPr>
    </w:p>
    <w:sectPr w:rsidRPr="00A26F5E" w:rsidR="0006396A" w:rsidSect="00EC3F37">
      <w:headerReference w:type="even" r:id="rId13"/>
      <w:headerReference w:type="default" r:id="rId14"/>
      <w:pgSz w:w="11906" w:h="16838" w:code="9"/>
      <w:pgMar w:top="2274" w:right="2274" w:bottom="2274" w:left="2274" w:header="1701"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FF" w:rsidRDefault="001239FF">
      <w:r>
        <w:separator/>
      </w:r>
    </w:p>
  </w:endnote>
  <w:endnote w:type="continuationSeparator" w:id="0">
    <w:p w:rsidR="001239FF" w:rsidRDefault="0012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FF" w:rsidRDefault="001239FF">
      <w:r>
        <w:separator/>
      </w:r>
    </w:p>
  </w:footnote>
  <w:footnote w:type="continuationSeparator" w:id="0">
    <w:p w:rsidR="001239FF" w:rsidRDefault="001239FF">
      <w:r>
        <w:continuationSeparator/>
      </w:r>
    </w:p>
  </w:footnote>
  <w:footnote w:id="1">
    <w:p w:rsidR="001239FF" w:rsidRPr="003F7A24" w:rsidRDefault="001239FF" w:rsidP="0006396A">
      <w:pPr>
        <w:pStyle w:val="FootnoteText"/>
        <w:rPr>
          <w:lang w:eastAsia="en-US"/>
        </w:rPr>
      </w:pPr>
      <w:r w:rsidRPr="003F7A24">
        <w:rPr>
          <w:lang w:eastAsia="en-US"/>
        </w:rPr>
        <w:t>1.  </w:t>
      </w:r>
      <w:r w:rsidRPr="003F7A24">
        <w:rPr>
          <w:i/>
          <w:lang w:eastAsia="en-US"/>
        </w:rPr>
        <w:t>Handyside v. the United Kingdom</w:t>
      </w:r>
      <w:r w:rsidRPr="003F7A24">
        <w:rPr>
          <w:lang w:eastAsia="en-US"/>
        </w:rPr>
        <w:t>, judgment of 7 December 1976, Series A no. 24, p. 23, § 49.</w:t>
      </w:r>
    </w:p>
  </w:footnote>
  <w:footnote w:id="2">
    <w:p w:rsidR="001239FF" w:rsidRPr="003F7A24" w:rsidRDefault="001239FF" w:rsidP="0006396A">
      <w:pPr>
        <w:pStyle w:val="FootnoteText"/>
        <w:rPr>
          <w:lang w:eastAsia="en-US"/>
        </w:rPr>
      </w:pPr>
      <w:r w:rsidRPr="003F7A24">
        <w:rPr>
          <w:lang w:eastAsia="en-US"/>
        </w:rPr>
        <w:t>2.</w:t>
      </w:r>
      <w:r w:rsidRPr="003F7A24">
        <w:t>  This solution has (unfortunately) not been adopted to date by the Court. See</w:t>
      </w:r>
      <w:bookmarkStart w:id="5" w:name="File5"/>
      <w:r w:rsidRPr="003F7A24">
        <w:t xml:space="preserve"> </w:t>
      </w:r>
      <w:r w:rsidRPr="003F7A24">
        <w:rPr>
          <w:i/>
          <w:lang w:eastAsia="en-US"/>
        </w:rPr>
        <w:t>Müller and Others v. Switzerland</w:t>
      </w:r>
      <w:r w:rsidRPr="003F7A24">
        <w:rPr>
          <w:lang w:eastAsia="en-US"/>
        </w:rPr>
        <w:t>, judgment of 24 May 1988, Series A no. 133</w:t>
      </w:r>
      <w:r>
        <w:rPr>
          <w:lang w:eastAsia="en-US"/>
        </w:rPr>
        <w:t>, concerning the applicants’ conviction and sentence to a fine (“conviction”) for publishing obscene material following an exhibition of pictures, and the confiscation of the pictures</w:t>
      </w:r>
      <w:r w:rsidRPr="003F7A24">
        <w:rPr>
          <w:lang w:eastAsia="en-US"/>
        </w:rPr>
        <w:t xml:space="preserve">; </w:t>
      </w:r>
      <w:r w:rsidRPr="003F7A24">
        <w:rPr>
          <w:i/>
          <w:lang w:eastAsia="en-US"/>
        </w:rPr>
        <w:t>Otto</w:t>
      </w:r>
      <w:bookmarkEnd w:id="5"/>
      <w:r w:rsidRPr="003F7A24">
        <w:rPr>
          <w:i/>
          <w:lang w:eastAsia="en-US"/>
        </w:rPr>
        <w:t>-Preminger-Institut v. Austria</w:t>
      </w:r>
      <w:r w:rsidRPr="003F7A24">
        <w:rPr>
          <w:lang w:eastAsia="en-US"/>
        </w:rPr>
        <w:t>, judgment of 20 September 1994, Series A no. 295</w:t>
      </w:r>
      <w:r w:rsidRPr="003F7A24">
        <w:rPr>
          <w:lang w:eastAsia="en-US"/>
        </w:rPr>
        <w:noBreakHyphen/>
        <w:t>A, concern</w:t>
      </w:r>
      <w:r>
        <w:rPr>
          <w:lang w:eastAsia="en-US"/>
        </w:rPr>
        <w:t>ing the seizure</w:t>
      </w:r>
      <w:r w:rsidRPr="003F7A24">
        <w:rPr>
          <w:lang w:eastAsia="en-US"/>
        </w:rPr>
        <w:t xml:space="preserve"> and </w:t>
      </w:r>
      <w:r>
        <w:rPr>
          <w:lang w:eastAsia="en-US"/>
        </w:rPr>
        <w:t>forfeiture of a</w:t>
      </w:r>
      <w:r w:rsidRPr="003F7A24">
        <w:rPr>
          <w:lang w:eastAsia="en-US"/>
        </w:rPr>
        <w:t xml:space="preserve"> film </w:t>
      </w:r>
      <w:r>
        <w:rPr>
          <w:lang w:eastAsia="en-US"/>
        </w:rPr>
        <w:t>deemed to be blasphemous</w:t>
      </w:r>
      <w:r w:rsidRPr="003F7A24">
        <w:rPr>
          <w:lang w:eastAsia="en-US"/>
        </w:rPr>
        <w:t xml:space="preserve">; </w:t>
      </w:r>
      <w:r>
        <w:rPr>
          <w:lang w:eastAsia="en-US"/>
        </w:rPr>
        <w:t xml:space="preserve">and </w:t>
      </w:r>
      <w:proofErr w:type="spellStart"/>
      <w:r w:rsidRPr="003F7A24">
        <w:rPr>
          <w:i/>
          <w:lang w:eastAsia="en-US"/>
        </w:rPr>
        <w:t>Wingrove</w:t>
      </w:r>
      <w:proofErr w:type="spellEnd"/>
      <w:r w:rsidRPr="003F7A24">
        <w:rPr>
          <w:i/>
          <w:lang w:eastAsia="en-US"/>
        </w:rPr>
        <w:t xml:space="preserve"> v. the United Kingdom</w:t>
      </w:r>
      <w:r w:rsidRPr="003F7A24">
        <w:rPr>
          <w:lang w:eastAsia="en-US"/>
        </w:rPr>
        <w:t xml:space="preserve">, judgment of 25 November 1996, </w:t>
      </w:r>
      <w:r w:rsidRPr="003F7A24">
        <w:rPr>
          <w:i/>
          <w:lang w:eastAsia="en-US"/>
        </w:rPr>
        <w:t>Reports of Judgments and Decisions</w:t>
      </w:r>
      <w:r w:rsidRPr="003F7A24">
        <w:rPr>
          <w:lang w:eastAsia="en-US"/>
        </w:rPr>
        <w:t xml:space="preserve"> 1996</w:t>
      </w:r>
      <w:r w:rsidRPr="003F7A24">
        <w:rPr>
          <w:lang w:eastAsia="en-US"/>
        </w:rPr>
        <w:noBreakHyphen/>
        <w:t>V, concern</w:t>
      </w:r>
      <w:r>
        <w:rPr>
          <w:lang w:eastAsia="en-US"/>
        </w:rPr>
        <w:t>ing the refusal of a certificate for</w:t>
      </w:r>
      <w:r w:rsidRPr="003F7A24">
        <w:rPr>
          <w:lang w:eastAsia="en-US"/>
        </w:rPr>
        <w:t xml:space="preserve"> distribution </w:t>
      </w:r>
      <w:r>
        <w:rPr>
          <w:lang w:eastAsia="en-US"/>
        </w:rPr>
        <w:t>of a video deemed to be blasphemous</w:t>
      </w:r>
      <w:r w:rsidRPr="003F7A24">
        <w:rPr>
          <w:lang w:eastAsia="en-US"/>
        </w:rPr>
        <w:t xml:space="preserve">. </w:t>
      </w:r>
      <w:r>
        <w:rPr>
          <w:lang w:eastAsia="en-US"/>
        </w:rPr>
        <w:t xml:space="preserve">We might note in passing that in </w:t>
      </w:r>
      <w:r w:rsidRPr="003F7A24">
        <w:rPr>
          <w:i/>
        </w:rPr>
        <w:t xml:space="preserve">Müller </w:t>
      </w:r>
      <w:r>
        <w:rPr>
          <w:i/>
        </w:rPr>
        <w:t xml:space="preserve">and Others </w:t>
      </w:r>
      <w:r w:rsidRPr="003F7A24">
        <w:rPr>
          <w:i/>
        </w:rPr>
        <w:t>v. Switzerland</w:t>
      </w:r>
      <w:r w:rsidRPr="003F7A24">
        <w:t xml:space="preserve"> the Court </w:t>
      </w:r>
      <w:r>
        <w:t>found that there had been</w:t>
      </w:r>
      <w:r w:rsidRPr="003F7A24">
        <w:t xml:space="preserve"> no</w:t>
      </w:r>
      <w:r>
        <w:t xml:space="preserve"> </w:t>
      </w:r>
      <w:r w:rsidRPr="003F7A24">
        <w:t xml:space="preserve">violation of Article 10, </w:t>
      </w:r>
      <w:r>
        <w:t>a</w:t>
      </w:r>
      <w:r w:rsidRPr="003F7A24">
        <w:t xml:space="preserve"> solution </w:t>
      </w:r>
      <w:r>
        <w:t xml:space="preserve">which </w:t>
      </w:r>
      <w:r w:rsidRPr="00AC30A0">
        <w:t>we do not find persuasive, seeing that the paintings in issue in that case did not infringe the rights of others but were simply deemed to be obscene. As to the applicant’s conviction, the Court added, however, that “[m]</w:t>
      </w:r>
      <w:proofErr w:type="spellStart"/>
      <w:r w:rsidRPr="00AC30A0">
        <w:t>oreover</w:t>
      </w:r>
      <w:proofErr w:type="spellEnd"/>
      <w:r w:rsidRPr="00AC30A0">
        <w:t>, as the Commission pointed out, there is a natural link between protection of morals and protection of the rights of others” (pp. 20-21, § 30). Concerning the confiscation of the paintings, the Court referred to the “protect[ion of] public morals by preventing any repetition of the offence with which the applicants were charged” (pp. 23-24, § 39).</w:t>
      </w:r>
    </w:p>
  </w:footnote>
  <w:footnote w:id="3">
    <w:p w:rsidR="001239FF" w:rsidRPr="003F7A24" w:rsidRDefault="001239FF" w:rsidP="0006396A">
      <w:pPr>
        <w:pStyle w:val="FootnoteText"/>
      </w:pPr>
      <w:r w:rsidRPr="00A05F42">
        <w:rPr>
          <w:lang w:eastAsia="en-US"/>
        </w:rPr>
        <w:t>3.</w:t>
      </w:r>
      <w:r w:rsidRPr="003F7A24">
        <w:t>  </w:t>
      </w:r>
      <w:r>
        <w:t xml:space="preserve">See the </w:t>
      </w:r>
      <w:smartTag w:uri="urn:schemas-microsoft-com:office:smarttags" w:element="Street">
        <w:smartTag w:uri="urn:schemas-microsoft-com:office:smarttags" w:element="address">
          <w:r>
            <w:t>German Federal C</w:t>
          </w:r>
          <w:r w:rsidRPr="003F7A24">
            <w:t xml:space="preserve">onstitutional </w:t>
          </w:r>
          <w:r>
            <w:t>Court</w:t>
          </w:r>
        </w:smartTag>
      </w:smartTag>
      <w:r>
        <w:t xml:space="preserve">’s decision of </w:t>
      </w:r>
      <w:r w:rsidRPr="003F7A24">
        <w:t>3 June 1987 (</w:t>
      </w:r>
      <w:proofErr w:type="spellStart"/>
      <w:r w:rsidRPr="003F7A24">
        <w:t>BVerfGE</w:t>
      </w:r>
      <w:proofErr w:type="spellEnd"/>
      <w:r w:rsidRPr="003F7A24">
        <w:t xml:space="preserve"> 75</w:t>
      </w:r>
      <w:r>
        <w:t>, 369</w:t>
      </w:r>
      <w:r w:rsidRPr="003F7A24">
        <w:t xml:space="preserve">; </w:t>
      </w:r>
      <w:proofErr w:type="spellStart"/>
      <w:r>
        <w:rPr>
          <w:i/>
        </w:rPr>
        <w:t>EuGRZ</w:t>
      </w:r>
      <w:proofErr w:type="spellEnd"/>
      <w:r>
        <w:t>, 1988, 270), discussed below</w:t>
      </w:r>
      <w:r w:rsidRPr="003F7A24">
        <w:t>:</w:t>
      </w:r>
    </w:p>
    <w:p w:rsidR="001239FF" w:rsidRPr="00AC30A0" w:rsidRDefault="001239FF" w:rsidP="0006396A">
      <w:pPr>
        <w:pStyle w:val="FootnoteText"/>
        <w:tabs>
          <w:tab w:val="left" w:pos="5160"/>
        </w:tabs>
        <w:rPr>
          <w:lang w:val="de-DE"/>
        </w:rPr>
      </w:pPr>
      <w:r w:rsidRPr="00CC4704">
        <w:rPr>
          <w:lang w:val="de-DE"/>
        </w:rPr>
        <w:t>“Die umstrittenen Karikaturen sind das geformte Ergebnis einer freien schöpferischen Gestaltung, in welcher der Beschwerdeführer seine Eindrücke, Erfahrungen und Erlebnisse zu unmittelbarer Anschauung bringt. Sie genügen damit den Anforderungen, die das Bundesverfassungsgericht als wesentlich für eine künstlerische Betätigung ansieht (BVerfGE 67, 213 [226] = EuGRZ 1984, 474 [</w:t>
      </w:r>
      <w:r>
        <w:rPr>
          <w:lang w:val="de-DE"/>
        </w:rPr>
        <w:t>4</w:t>
      </w:r>
      <w:r w:rsidRPr="00CC4704">
        <w:rPr>
          <w:lang w:val="de-DE"/>
        </w:rPr>
        <w:t>77] unter Berufung auf BVerfGE 30, 173 [189]). Daß mit ihnen gleichzeitig eine bestimmte Meinung zum Ausdruck gebracht wird, nimmt ihnen nicht die Eigenschaft als Kunstwerk. Kunst und Meinungsäußerung schließen sich nicht aus; eine Meinung kann – wie es bei der sogenannten engagierten Kunst üblich ist – durchaus in der Form künstlerischer Betätigung kundgegeben werd</w:t>
      </w:r>
      <w:r>
        <w:rPr>
          <w:lang w:val="de-DE"/>
        </w:rPr>
        <w:t>en (Scholz, a.a.</w:t>
      </w:r>
      <w:r w:rsidRPr="00CC4704">
        <w:rPr>
          <w:lang w:val="de-DE"/>
        </w:rPr>
        <w:t xml:space="preserve">O., Rdnr. 13). Maßgebliches </w:t>
      </w:r>
      <w:r w:rsidRPr="00AC30A0">
        <w:rPr>
          <w:lang w:val="de-DE"/>
        </w:rPr>
        <w:t>Grundrecht bleibt in diesem Fall Art. 5 Abs. 3 Satz 1 GG, weil es sich um die spezielle Norm handelt (BVerfGE 30, 173 [200]).”</w:t>
      </w:r>
    </w:p>
    <w:p w:rsidR="001239FF" w:rsidRPr="00AC30A0" w:rsidRDefault="001239FF" w:rsidP="0006396A">
      <w:pPr>
        <w:pStyle w:val="FootnoteText"/>
        <w:tabs>
          <w:tab w:val="left" w:pos="5160"/>
        </w:tabs>
      </w:pPr>
      <w:r w:rsidRPr="00AC30A0">
        <w:t>It should be noted that in German Constitutional Law, freedom of the arts (</w:t>
      </w:r>
      <w:proofErr w:type="spellStart"/>
      <w:r w:rsidRPr="00AC30A0">
        <w:rPr>
          <w:i/>
        </w:rPr>
        <w:t>Kunstfreiheit</w:t>
      </w:r>
      <w:proofErr w:type="spellEnd"/>
      <w:r w:rsidRPr="00AC30A0">
        <w:t xml:space="preserve">) is </w:t>
      </w:r>
      <w:r w:rsidRPr="00AC30A0">
        <w:rPr>
          <w:i/>
        </w:rPr>
        <w:t>specifically</w:t>
      </w:r>
      <w:r w:rsidRPr="00AC30A0">
        <w:t xml:space="preserve"> protected by Article 5 (3) of the Basic Law. “The exercise of this freedom is not limited, as is freedom of expression, by the provisions of general laws or the right to reputation, but it must be considered in conjunction with other constitutional rights, notably the right to the free development of personality and human dignity.” E. </w:t>
      </w:r>
      <w:proofErr w:type="spellStart"/>
      <w:r w:rsidRPr="00AC30A0">
        <w:t>Barendt</w:t>
      </w:r>
      <w:proofErr w:type="spellEnd"/>
      <w:r w:rsidRPr="00AC30A0">
        <w:t xml:space="preserve">, </w:t>
      </w:r>
      <w:r w:rsidRPr="00AC30A0">
        <w:rPr>
          <w:i/>
        </w:rPr>
        <w:t>Freedom of Speech</w:t>
      </w:r>
      <w:r w:rsidRPr="00AC30A0">
        <w:t xml:space="preserve">, 2nd ed., </w:t>
      </w:r>
      <w:smartTag w:uri="urn:schemas-microsoft-com:office:smarttags" w:element="City">
        <w:smartTag w:uri="urn:schemas-microsoft-com:office:smarttags" w:element="place">
          <w:r w:rsidRPr="00AC30A0">
            <w:t>Oxford</w:t>
          </w:r>
        </w:smartTag>
      </w:smartTag>
      <w:r w:rsidRPr="00AC30A0">
        <w:t xml:space="preserve">, Oxford University Press, 2005, p. 229, citing the order of the German Constitutional Court of 17 July 1984 in the </w:t>
      </w:r>
      <w:r>
        <w:t>“street-theatre” case, [</w:t>
      </w:r>
      <w:proofErr w:type="spellStart"/>
      <w:r>
        <w:t>BVerfGE</w:t>
      </w:r>
      <w:proofErr w:type="spellEnd"/>
      <w:r>
        <w:t> </w:t>
      </w:r>
      <w:r w:rsidRPr="00AC30A0">
        <w:t xml:space="preserve">67, 213; </w:t>
      </w:r>
      <w:proofErr w:type="spellStart"/>
      <w:r w:rsidRPr="00AC30A0">
        <w:rPr>
          <w:i/>
        </w:rPr>
        <w:t>EuGRZ</w:t>
      </w:r>
      <w:proofErr w:type="spellEnd"/>
      <w:r w:rsidRPr="00AC30A0">
        <w:t>, 1984, 474] in which the court held that a moving street theatre, in which Franz-Josef Strauss, then a candidate for the Chancellorship, was portrayed in the same float as prominent Nazis, should be protected under freedom of the arts in the absence of evidence that there was a very serious injury to personality rights.</w:t>
      </w:r>
    </w:p>
  </w:footnote>
  <w:footnote w:id="4">
    <w:p w:rsidR="001239FF" w:rsidRPr="00030845" w:rsidRDefault="001239FF" w:rsidP="0006396A">
      <w:pPr>
        <w:pStyle w:val="FootnoteText"/>
        <w:rPr>
          <w:lang w:val="fr-FR"/>
        </w:rPr>
      </w:pPr>
      <w:r w:rsidRPr="003B4540">
        <w:rPr>
          <w:lang w:eastAsia="en-US"/>
        </w:rPr>
        <w:t>4.</w:t>
      </w:r>
      <w:r w:rsidRPr="00030845">
        <w:rPr>
          <w:lang w:val="fr-FR"/>
        </w:rPr>
        <w:t xml:space="preserve">  P. Martens, </w:t>
      </w:r>
      <w:r w:rsidRPr="00030845">
        <w:rPr>
          <w:i/>
          <w:lang w:val="fr-FR"/>
        </w:rPr>
        <w:t>Théories du droit et pensée juridique contemporaine</w:t>
      </w:r>
      <w:r w:rsidRPr="00030845">
        <w:rPr>
          <w:lang w:val="fr-FR"/>
        </w:rPr>
        <w:t xml:space="preserve">, Brussels, </w:t>
      </w:r>
      <w:proofErr w:type="spellStart"/>
      <w:r w:rsidRPr="00030845">
        <w:rPr>
          <w:lang w:val="fr-FR"/>
        </w:rPr>
        <w:t>Larcier</w:t>
      </w:r>
      <w:proofErr w:type="spellEnd"/>
      <w:r w:rsidRPr="00030845">
        <w:rPr>
          <w:lang w:val="fr-FR"/>
        </w:rPr>
        <w:t>, 2003, p. 151: “Il y a (…) des limites à l’excès : on ne peut pas être excessivement excessif.”</w:t>
      </w:r>
    </w:p>
  </w:footnote>
  <w:footnote w:id="5">
    <w:p w:rsidR="001239FF" w:rsidRPr="00030845" w:rsidRDefault="001239FF" w:rsidP="0006396A">
      <w:pPr>
        <w:pStyle w:val="FootnoteText"/>
        <w:rPr>
          <w:lang w:val="fr-FR"/>
        </w:rPr>
      </w:pPr>
      <w:r w:rsidRPr="003F7A24">
        <w:rPr>
          <w:lang w:eastAsia="en-US"/>
        </w:rPr>
        <w:t>5.</w:t>
      </w:r>
      <w:r w:rsidRPr="003F7A24">
        <w:t>  </w:t>
      </w:r>
      <w:r>
        <w:t>The Preamble to</w:t>
      </w:r>
      <w:r w:rsidRPr="003F7A24">
        <w:t xml:space="preserve"> the Convention </w:t>
      </w:r>
      <w:r>
        <w:t xml:space="preserve">refers to the </w:t>
      </w:r>
      <w:r w:rsidRPr="00140DC1">
        <w:t xml:space="preserve">Universal Declaration of Human Rights </w:t>
      </w:r>
      <w:r w:rsidRPr="003F7A24">
        <w:t>(10 December 1948)</w:t>
      </w:r>
      <w:r>
        <w:t>, which contains references to dignity in the first recital of its Preamble and in A</w:t>
      </w:r>
      <w:r w:rsidRPr="003F7A24">
        <w:t xml:space="preserve">rticles 1, 22 and 23. </w:t>
      </w:r>
      <w:r>
        <w:t>The</w:t>
      </w:r>
      <w:r w:rsidRPr="003F7A24">
        <w:t xml:space="preserve"> concept </w:t>
      </w:r>
      <w:r>
        <w:t>is also referred to in the Charter of the United Nations (1945) (Pre</w:t>
      </w:r>
      <w:r w:rsidRPr="003F7A24">
        <w:t>amble)</w:t>
      </w:r>
      <w:r>
        <w:t xml:space="preserve"> </w:t>
      </w:r>
      <w:r w:rsidRPr="003F7A24">
        <w:t xml:space="preserve">and </w:t>
      </w:r>
      <w:r>
        <w:t>the United Nations Covenants (1966)</w:t>
      </w:r>
      <w:r w:rsidRPr="003F7A24">
        <w:t xml:space="preserve"> (</w:t>
      </w:r>
      <w:r>
        <w:t>P</w:t>
      </w:r>
      <w:r w:rsidRPr="003F7A24">
        <w:t>r</w:t>
      </w:r>
      <w:r>
        <w:t>eamb</w:t>
      </w:r>
      <w:r w:rsidRPr="003F7A24">
        <w:t xml:space="preserve">les </w:t>
      </w:r>
      <w:r>
        <w:t>to both Covenants</w:t>
      </w:r>
      <w:r w:rsidRPr="003F7A24">
        <w:t xml:space="preserve">; </w:t>
      </w:r>
      <w:r>
        <w:t>A</w:t>
      </w:r>
      <w:r w:rsidRPr="003F7A24">
        <w:t xml:space="preserve">rticle 10 </w:t>
      </w:r>
      <w:r>
        <w:t xml:space="preserve">of the </w:t>
      </w:r>
      <w:r w:rsidRPr="00610809">
        <w:t>International Covenant on Civil and Political Rights</w:t>
      </w:r>
      <w:r w:rsidRPr="003F7A24">
        <w:t xml:space="preserve">; </w:t>
      </w:r>
      <w:r>
        <w:t>Article </w:t>
      </w:r>
      <w:r w:rsidRPr="003F7A24">
        <w:t xml:space="preserve">13 </w:t>
      </w:r>
      <w:r>
        <w:t xml:space="preserve">of the </w:t>
      </w:r>
      <w:r w:rsidRPr="00610809">
        <w:t>International Covenant on Economic, Social and Cultural Rights</w:t>
      </w:r>
      <w:r w:rsidRPr="003F7A24">
        <w:t>).</w:t>
      </w:r>
      <w:r>
        <w:t xml:space="preserve"> This </w:t>
      </w:r>
      <w:r w:rsidRPr="003F7A24">
        <w:t>list</w:t>
      </w:r>
      <w:r>
        <w:t xml:space="preserve"> of international </w:t>
      </w:r>
      <w:r w:rsidRPr="003F7A24">
        <w:t xml:space="preserve">instruments </w:t>
      </w:r>
      <w:r>
        <w:t>is not</w:t>
      </w:r>
      <w:r w:rsidRPr="003F7A24">
        <w:t xml:space="preserve"> exhaustive. </w:t>
      </w:r>
      <w:r>
        <w:t xml:space="preserve">Several national </w:t>
      </w:r>
      <w:r w:rsidRPr="003F7A24">
        <w:t xml:space="preserve">constitutions </w:t>
      </w:r>
      <w:r>
        <w:t xml:space="preserve">contain an </w:t>
      </w:r>
      <w:r w:rsidRPr="003F7A24">
        <w:t>explicit</w:t>
      </w:r>
      <w:r>
        <w:t xml:space="preserve"> reference to the</w:t>
      </w:r>
      <w:r w:rsidRPr="003F7A24">
        <w:t xml:space="preserve"> concept </w:t>
      </w:r>
      <w:r>
        <w:t>of</w:t>
      </w:r>
      <w:r w:rsidRPr="003F7A24">
        <w:t xml:space="preserve"> dignit</w:t>
      </w:r>
      <w:r>
        <w:t>y</w:t>
      </w:r>
      <w:r w:rsidRPr="003F7A24">
        <w:t xml:space="preserve">. </w:t>
      </w:r>
      <w:r>
        <w:t>For example,</w:t>
      </w:r>
      <w:r w:rsidRPr="003F7A24">
        <w:t xml:space="preserve"> Article 1 </w:t>
      </w:r>
      <w:r>
        <w:t>(</w:t>
      </w:r>
      <w:r w:rsidRPr="003F7A24">
        <w:t>1</w:t>
      </w:r>
      <w:r>
        <w:t>) of the German Basic Law provides:</w:t>
      </w:r>
      <w:r w:rsidRPr="003F7A24">
        <w:t xml:space="preserve"> </w:t>
      </w:r>
      <w:r>
        <w:t>“</w:t>
      </w:r>
      <w:r w:rsidRPr="00AC4EB2">
        <w:t xml:space="preserve">Human dignity is inviolable. </w:t>
      </w:r>
      <w:r>
        <w:t>A</w:t>
      </w:r>
      <w:r w:rsidRPr="00AC4EB2">
        <w:t xml:space="preserve">ll </w:t>
      </w:r>
      <w:r>
        <w:t>public authorities have a duty to respect and protect it</w:t>
      </w:r>
      <w:r w:rsidRPr="003F7A24">
        <w:t>.</w:t>
      </w:r>
      <w:r>
        <w:t xml:space="preserve">” </w:t>
      </w:r>
      <w:r w:rsidRPr="00030845">
        <w:rPr>
          <w:lang w:val="de-DE"/>
        </w:rPr>
        <w:t xml:space="preserve">(“Die Würde des Menschen ist unantastbar. Sie zu achten und zu schützen ist Verpflichtung aller staatlichen Gewalt.”) </w:t>
      </w:r>
      <w:r>
        <w:t>Lastly, mention may also be made of the Charter of Fundamental Rights of the European Union, Article 1 of which provides: “</w:t>
      </w:r>
      <w:r w:rsidRPr="0052609C">
        <w:t>Human dignity is inviolable. It must be respected and protected.</w:t>
      </w:r>
      <w:r>
        <w:t>” For a</w:t>
      </w:r>
      <w:r w:rsidRPr="003F7A24">
        <w:t xml:space="preserve"> commenta</w:t>
      </w:r>
      <w:r>
        <w:t>ry on this provis</w:t>
      </w:r>
      <w:r w:rsidRPr="003F7A24">
        <w:t xml:space="preserve">ion </w:t>
      </w:r>
      <w:r>
        <w:t>in the light of international case-l</w:t>
      </w:r>
      <w:r w:rsidRPr="003F7A24">
        <w:t>aw</w:t>
      </w:r>
      <w:r>
        <w:t>, see the commentary on the European Union</w:t>
      </w:r>
      <w:r w:rsidRPr="003F7A24">
        <w:t xml:space="preserve"> </w:t>
      </w:r>
      <w:r>
        <w:t xml:space="preserve">Charter by the </w:t>
      </w:r>
      <w:r w:rsidRPr="00301653">
        <w:t>EU Network of Independent Experts on Fundamental Rights (CFR-CDF)</w:t>
      </w:r>
      <w:r w:rsidRPr="003F7A24">
        <w:t>, June 2006</w:t>
      </w:r>
      <w:r>
        <w:t>, and L. Burgorgue-Larsen, A. </w:t>
      </w:r>
      <w:proofErr w:type="spellStart"/>
      <w:r w:rsidRPr="003F7A24">
        <w:t>Levade</w:t>
      </w:r>
      <w:proofErr w:type="spellEnd"/>
      <w:r w:rsidRPr="003F7A24">
        <w:t xml:space="preserve"> and F. </w:t>
      </w:r>
      <w:proofErr w:type="spellStart"/>
      <w:r w:rsidRPr="003F7A24">
        <w:t>Picod</w:t>
      </w:r>
      <w:proofErr w:type="spellEnd"/>
      <w:r w:rsidRPr="003F7A24">
        <w:t xml:space="preserve">, </w:t>
      </w:r>
      <w:proofErr w:type="spellStart"/>
      <w:r w:rsidRPr="003F7A24">
        <w:rPr>
          <w:i/>
        </w:rPr>
        <w:t>Traité</w:t>
      </w:r>
      <w:proofErr w:type="spellEnd"/>
      <w:r w:rsidRPr="003F7A24">
        <w:rPr>
          <w:i/>
        </w:rPr>
        <w:t xml:space="preserve"> </w:t>
      </w:r>
      <w:proofErr w:type="spellStart"/>
      <w:r w:rsidRPr="003F7A24">
        <w:rPr>
          <w:i/>
        </w:rPr>
        <w:t>établissant</w:t>
      </w:r>
      <w:proofErr w:type="spellEnd"/>
      <w:r w:rsidRPr="003F7A24">
        <w:rPr>
          <w:i/>
        </w:rPr>
        <w:t xml:space="preserve"> </w:t>
      </w:r>
      <w:proofErr w:type="spellStart"/>
      <w:r w:rsidRPr="003F7A24">
        <w:rPr>
          <w:i/>
        </w:rPr>
        <w:t>une</w:t>
      </w:r>
      <w:proofErr w:type="spellEnd"/>
      <w:r w:rsidRPr="003F7A24">
        <w:rPr>
          <w:i/>
        </w:rPr>
        <w:t xml:space="preserve"> Constitution pour </w:t>
      </w:r>
      <w:proofErr w:type="spellStart"/>
      <w:r w:rsidRPr="003F7A24">
        <w:rPr>
          <w:i/>
        </w:rPr>
        <w:t>l’Europe</w:t>
      </w:r>
      <w:proofErr w:type="spellEnd"/>
      <w:r w:rsidRPr="003F7A24">
        <w:rPr>
          <w:i/>
        </w:rPr>
        <w:t xml:space="preserve">. </w:t>
      </w:r>
      <w:r w:rsidRPr="00030845">
        <w:rPr>
          <w:i/>
          <w:lang w:val="fr-FR"/>
        </w:rPr>
        <w:t>Commentaire article par article. Partie II : La Charte des droits fondamentaux de l’Union</w:t>
      </w:r>
      <w:r w:rsidRPr="00030845">
        <w:rPr>
          <w:lang w:val="fr-FR"/>
        </w:rPr>
        <w:t xml:space="preserve">, Brussels, </w:t>
      </w:r>
      <w:proofErr w:type="spellStart"/>
      <w:r w:rsidRPr="00030845">
        <w:rPr>
          <w:lang w:val="fr-FR"/>
        </w:rPr>
        <w:t>Bruylant</w:t>
      </w:r>
      <w:proofErr w:type="spellEnd"/>
      <w:r w:rsidRPr="00030845">
        <w:rPr>
          <w:lang w:val="fr-FR"/>
        </w:rPr>
        <w:t xml:space="preserve">, 2005, Vol. 2, pp. 36 et </w:t>
      </w:r>
      <w:proofErr w:type="spellStart"/>
      <w:r w:rsidRPr="00030845">
        <w:rPr>
          <w:lang w:val="fr-FR"/>
        </w:rPr>
        <w:t>seq</w:t>
      </w:r>
      <w:proofErr w:type="spellEnd"/>
      <w:r w:rsidRPr="00030845">
        <w:rPr>
          <w:lang w:val="fr-FR"/>
        </w:rPr>
        <w:t>.</w:t>
      </w:r>
    </w:p>
    <w:p w:rsidR="001239FF" w:rsidRPr="00C855BD" w:rsidRDefault="001239FF" w:rsidP="0006396A">
      <w:pPr>
        <w:pStyle w:val="FootnoteText"/>
      </w:pPr>
      <w:r w:rsidRPr="00F556CD">
        <w:t xml:space="preserve">The European Court of Justice has mentioned human dignity several times. See the </w:t>
      </w:r>
      <w:r w:rsidRPr="00A44388">
        <w:t xml:space="preserve">commentary on the European Union Charter by the EU Network of Independent Experts on Fundamental Rights (CFR-CDF), June 2006, </w:t>
      </w:r>
      <w:r w:rsidRPr="00A44388">
        <w:rPr>
          <w:i/>
        </w:rPr>
        <w:t>op. cit.</w:t>
      </w:r>
      <w:r w:rsidRPr="00A44388">
        <w:t>, pp. 24 et seq.</w:t>
      </w:r>
      <w:r>
        <w:t>,</w:t>
      </w:r>
      <w:r w:rsidRPr="00A44388">
        <w:t xml:space="preserve"> and in particular the judgment of 14 October 2004, Case C-36/02, </w:t>
      </w:r>
      <w:r w:rsidRPr="00A44388">
        <w:rPr>
          <w:i/>
        </w:rPr>
        <w:t xml:space="preserve">Omega </w:t>
      </w:r>
      <w:proofErr w:type="spellStart"/>
      <w:r w:rsidRPr="00A44388">
        <w:rPr>
          <w:i/>
        </w:rPr>
        <w:t>Spielhallen</w:t>
      </w:r>
      <w:proofErr w:type="spellEnd"/>
      <w:r w:rsidRPr="00A44388">
        <w:rPr>
          <w:i/>
        </w:rPr>
        <w:t xml:space="preserve">- und </w:t>
      </w:r>
      <w:proofErr w:type="spellStart"/>
      <w:r w:rsidRPr="00A44388">
        <w:rPr>
          <w:i/>
        </w:rPr>
        <w:t>Automatenaufstellungs</w:t>
      </w:r>
      <w:proofErr w:type="spellEnd"/>
      <w:r w:rsidRPr="00A44388">
        <w:rPr>
          <w:i/>
        </w:rPr>
        <w:t xml:space="preserve">-GmbH v. </w:t>
      </w:r>
      <w:proofErr w:type="spellStart"/>
      <w:r w:rsidRPr="00A44388">
        <w:rPr>
          <w:i/>
        </w:rPr>
        <w:t>Oberbürgermeisterin</w:t>
      </w:r>
      <w:proofErr w:type="spellEnd"/>
      <w:r w:rsidRPr="00A44388">
        <w:rPr>
          <w:i/>
        </w:rPr>
        <w:t xml:space="preserve"> der </w:t>
      </w:r>
      <w:proofErr w:type="spellStart"/>
      <w:r w:rsidRPr="00A44388">
        <w:rPr>
          <w:i/>
        </w:rPr>
        <w:t>Bundestadt</w:t>
      </w:r>
      <w:proofErr w:type="spellEnd"/>
      <w:r w:rsidRPr="00A44388">
        <w:rPr>
          <w:i/>
        </w:rPr>
        <w:t xml:space="preserve"> Bonn</w:t>
      </w:r>
      <w:r>
        <w:t xml:space="preserve">, [2004] ECR I-9609, § </w:t>
      </w:r>
      <w:r w:rsidRPr="00A44388">
        <w:t>34: “the Community legal order undeniably strives to ensure respect for human dignit</w:t>
      </w:r>
      <w:r>
        <w:t>y as a general principle of law</w:t>
      </w:r>
      <w:r w:rsidRPr="00A44388">
        <w:t>.</w:t>
      </w:r>
      <w:r>
        <w:t>”</w:t>
      </w:r>
      <w:r w:rsidRPr="00A44388">
        <w:t xml:space="preserve"> The ECJ referred to the opinion of Advocate-General, Mrs. Christine </w:t>
      </w:r>
      <w:proofErr w:type="spellStart"/>
      <w:r w:rsidRPr="00A44388">
        <w:t>St</w:t>
      </w:r>
      <w:r>
        <w:t>ix-Hackl</w:t>
      </w:r>
      <w:proofErr w:type="spellEnd"/>
      <w:r>
        <w:t xml:space="preserve"> of 18 March 2004 (§§ 82-</w:t>
      </w:r>
      <w:r w:rsidRPr="00A44388">
        <w:t>91).</w:t>
      </w:r>
    </w:p>
  </w:footnote>
  <w:footnote w:id="6">
    <w:p w:rsidR="001239FF" w:rsidRPr="00030845" w:rsidRDefault="001239FF" w:rsidP="0006396A">
      <w:pPr>
        <w:pStyle w:val="FootnoteText"/>
        <w:rPr>
          <w:lang w:val="fr-FR" w:eastAsia="en-US"/>
        </w:rPr>
      </w:pPr>
      <w:r w:rsidRPr="003B4540">
        <w:rPr>
          <w:lang w:eastAsia="en-US"/>
        </w:rPr>
        <w:footnoteRef/>
      </w:r>
      <w:r w:rsidRPr="002F51FE">
        <w:rPr>
          <w:lang w:eastAsia="en-US"/>
        </w:rPr>
        <w:t>. </w:t>
      </w:r>
      <w:r w:rsidRPr="002F51FE">
        <w:t> </w:t>
      </w:r>
      <w:r w:rsidRPr="002F51FE">
        <w:rPr>
          <w:i/>
          <w:lang w:eastAsia="en-US"/>
        </w:rPr>
        <w:t xml:space="preserve">Pretty v. the </w:t>
      </w:r>
      <w:smartTag w:uri="urn:schemas-microsoft-com:office:smarttags" w:element="country-region">
        <w:r w:rsidRPr="002F51FE">
          <w:rPr>
            <w:i/>
            <w:lang w:eastAsia="en-US"/>
          </w:rPr>
          <w:t>United Kingdom</w:t>
        </w:r>
      </w:smartTag>
      <w:r w:rsidRPr="002F51FE">
        <w:rPr>
          <w:lang w:eastAsia="en-US"/>
        </w:rPr>
        <w:t>, no. 2346/02, § 65, ECHR 2002</w:t>
      </w:r>
      <w:r w:rsidRPr="002F51FE">
        <w:rPr>
          <w:lang w:eastAsia="en-US"/>
        </w:rPr>
        <w:noBreakHyphen/>
        <w:t>III</w:t>
      </w:r>
      <w:r>
        <w:rPr>
          <w:lang w:eastAsia="en-US"/>
        </w:rPr>
        <w:t>,</w:t>
      </w:r>
      <w:r w:rsidRPr="002F51FE">
        <w:rPr>
          <w:lang w:eastAsia="en-US"/>
        </w:rPr>
        <w:t xml:space="preserve"> and </w:t>
      </w:r>
      <w:r w:rsidRPr="002F51FE">
        <w:rPr>
          <w:i/>
          <w:lang w:eastAsia="en-US"/>
        </w:rPr>
        <w:t xml:space="preserve">Christine Goodwin v. the </w:t>
      </w:r>
      <w:smartTag w:uri="urn:schemas-microsoft-com:office:smarttags" w:element="place">
        <w:smartTag w:uri="urn:schemas-microsoft-com:office:smarttags" w:element="country-region">
          <w:r w:rsidRPr="002F51FE">
            <w:rPr>
              <w:i/>
              <w:lang w:eastAsia="en-US"/>
            </w:rPr>
            <w:t>United Kingdom</w:t>
          </w:r>
        </w:smartTag>
      </w:smartTag>
      <w:r w:rsidRPr="002F51FE">
        <w:rPr>
          <w:lang w:eastAsia="en-US"/>
        </w:rPr>
        <w:t xml:space="preserve"> [GC], no. 28957/95, § 90, ECHR 2002</w:t>
      </w:r>
      <w:r w:rsidRPr="002F51FE">
        <w:rPr>
          <w:lang w:eastAsia="en-US"/>
        </w:rPr>
        <w:noBreakHyphen/>
        <w:t xml:space="preserve">VI. </w:t>
      </w:r>
      <w:proofErr w:type="spellStart"/>
      <w:r w:rsidRPr="00030845">
        <w:rPr>
          <w:lang w:val="fr-FR" w:eastAsia="en-US"/>
        </w:rPr>
        <w:t>See</w:t>
      </w:r>
      <w:proofErr w:type="spellEnd"/>
      <w:r w:rsidRPr="00030845">
        <w:rPr>
          <w:lang w:val="fr-FR" w:eastAsia="en-US"/>
        </w:rPr>
        <w:t xml:space="preserve"> </w:t>
      </w:r>
      <w:proofErr w:type="spellStart"/>
      <w:r w:rsidRPr="00030845">
        <w:rPr>
          <w:lang w:val="fr-FR" w:eastAsia="en-US"/>
        </w:rPr>
        <w:t>also</w:t>
      </w:r>
      <w:proofErr w:type="spellEnd"/>
      <w:r w:rsidRPr="00030845">
        <w:rPr>
          <w:lang w:val="fr-FR" w:eastAsia="en-US"/>
        </w:rPr>
        <w:t xml:space="preserve"> </w:t>
      </w:r>
      <w:proofErr w:type="spellStart"/>
      <w:r w:rsidRPr="00030845">
        <w:rPr>
          <w:i/>
          <w:lang w:val="fr-FR" w:eastAsia="en-US"/>
        </w:rPr>
        <w:t>Valašinas</w:t>
      </w:r>
      <w:proofErr w:type="spellEnd"/>
      <w:r w:rsidRPr="00030845">
        <w:rPr>
          <w:i/>
          <w:lang w:val="fr-FR" w:eastAsia="en-US"/>
        </w:rPr>
        <w:t xml:space="preserve"> v. </w:t>
      </w:r>
      <w:proofErr w:type="spellStart"/>
      <w:r w:rsidRPr="00030845">
        <w:rPr>
          <w:i/>
          <w:lang w:val="fr-FR" w:eastAsia="en-US"/>
        </w:rPr>
        <w:t>Lithuania</w:t>
      </w:r>
      <w:proofErr w:type="spellEnd"/>
      <w:r w:rsidRPr="00030845">
        <w:rPr>
          <w:lang w:val="fr-FR" w:eastAsia="en-US"/>
        </w:rPr>
        <w:t xml:space="preserve">, no. </w:t>
      </w:r>
      <w:bookmarkStart w:id="6" w:name="File0"/>
      <w:r w:rsidRPr="00030845">
        <w:rPr>
          <w:lang w:val="fr-FR" w:eastAsia="en-US"/>
        </w:rPr>
        <w:t>44558/98</w:t>
      </w:r>
      <w:bookmarkEnd w:id="6"/>
      <w:r w:rsidRPr="00030845">
        <w:rPr>
          <w:lang w:val="fr-FR" w:eastAsia="en-US"/>
        </w:rPr>
        <w:t>, § 102, ECHR 2001</w:t>
      </w:r>
      <w:r w:rsidRPr="00030845">
        <w:rPr>
          <w:lang w:val="fr-FR" w:eastAsia="en-US"/>
        </w:rPr>
        <w:noBreakHyphen/>
        <w:t>VIII.</w:t>
      </w:r>
    </w:p>
  </w:footnote>
  <w:footnote w:id="7">
    <w:p w:rsidR="001239FF" w:rsidRPr="00030845" w:rsidRDefault="001239FF" w:rsidP="0006396A">
      <w:pPr>
        <w:pStyle w:val="FootnoteText"/>
        <w:rPr>
          <w:lang w:val="fr-FR"/>
        </w:rPr>
      </w:pPr>
      <w:r w:rsidRPr="003B4540">
        <w:rPr>
          <w:lang w:eastAsia="en-US"/>
        </w:rPr>
        <w:footnoteRef/>
      </w:r>
      <w:r w:rsidRPr="003B4540">
        <w:rPr>
          <w:lang w:eastAsia="en-US"/>
        </w:rPr>
        <w:t>. </w:t>
      </w:r>
      <w:r w:rsidRPr="00030845">
        <w:rPr>
          <w:lang w:val="fr-FR"/>
        </w:rPr>
        <w:t xml:space="preserve"> E. Decaux, “Dignité et universalité”, in S. Marcus </w:t>
      </w:r>
      <w:proofErr w:type="spellStart"/>
      <w:r w:rsidRPr="00030845">
        <w:rPr>
          <w:lang w:val="fr-FR"/>
        </w:rPr>
        <w:t>Helmons</w:t>
      </w:r>
      <w:proofErr w:type="spellEnd"/>
      <w:r w:rsidRPr="00030845">
        <w:rPr>
          <w:lang w:val="fr-FR"/>
        </w:rPr>
        <w:t xml:space="preserve"> (</w:t>
      </w:r>
      <w:proofErr w:type="spellStart"/>
      <w:r w:rsidRPr="00030845">
        <w:rPr>
          <w:lang w:val="fr-FR"/>
        </w:rPr>
        <w:t>ed</w:t>
      </w:r>
      <w:proofErr w:type="spellEnd"/>
      <w:r w:rsidRPr="00030845">
        <w:rPr>
          <w:lang w:val="fr-FR"/>
        </w:rPr>
        <w:t xml:space="preserve">.), </w:t>
      </w:r>
      <w:r w:rsidRPr="00030845">
        <w:rPr>
          <w:i/>
          <w:lang w:val="fr-FR"/>
        </w:rPr>
        <w:t>Dignité humaine et hiérarchie des valeurs. Les limites irréductibles</w:t>
      </w:r>
      <w:r w:rsidRPr="00030845">
        <w:rPr>
          <w:lang w:val="fr-FR"/>
        </w:rPr>
        <w:t xml:space="preserve">, Brussels, </w:t>
      </w:r>
      <w:proofErr w:type="spellStart"/>
      <w:r w:rsidRPr="00030845">
        <w:rPr>
          <w:lang w:val="fr-FR"/>
        </w:rPr>
        <w:t>Academia</w:t>
      </w:r>
      <w:proofErr w:type="spellEnd"/>
      <w:r w:rsidRPr="00030845">
        <w:rPr>
          <w:lang w:val="fr-FR"/>
        </w:rPr>
        <w:t>-</w:t>
      </w:r>
      <w:proofErr w:type="spellStart"/>
      <w:r w:rsidRPr="00030845">
        <w:rPr>
          <w:lang w:val="fr-FR"/>
        </w:rPr>
        <w:t>Bruylant</w:t>
      </w:r>
      <w:proofErr w:type="spellEnd"/>
      <w:r w:rsidRPr="00030845">
        <w:rPr>
          <w:lang w:val="fr-FR"/>
        </w:rPr>
        <w:t xml:space="preserve">, </w:t>
      </w:r>
      <w:proofErr w:type="spellStart"/>
      <w:r w:rsidRPr="00030845">
        <w:rPr>
          <w:lang w:val="fr-FR"/>
        </w:rPr>
        <w:t>Bruylant</w:t>
      </w:r>
      <w:proofErr w:type="spellEnd"/>
      <w:r w:rsidRPr="00030845">
        <w:rPr>
          <w:lang w:val="fr-FR"/>
        </w:rPr>
        <w:t>, 1999, p. 164 : “Le fondement des droits de l’homme ne peut être que « l’égale dignité » de tous les hommes. Dès lors, dignité et universalité sont indissociables.”</w:t>
      </w:r>
    </w:p>
  </w:footnote>
  <w:footnote w:id="8">
    <w:p w:rsidR="001239FF" w:rsidRPr="00030845" w:rsidRDefault="001239FF" w:rsidP="0006396A">
      <w:pPr>
        <w:pStyle w:val="FootnoteText"/>
        <w:rPr>
          <w:lang w:val="fr-FR"/>
        </w:rPr>
      </w:pPr>
      <w:r w:rsidRPr="003B4540">
        <w:rPr>
          <w:lang w:eastAsia="en-US"/>
        </w:rPr>
        <w:footnoteRef/>
      </w:r>
      <w:r w:rsidRPr="003B4540">
        <w:rPr>
          <w:lang w:eastAsia="en-US"/>
        </w:rPr>
        <w:t>. </w:t>
      </w:r>
      <w:r w:rsidRPr="00030845">
        <w:rPr>
          <w:lang w:val="fr-FR"/>
        </w:rPr>
        <w:t> </w:t>
      </w:r>
      <w:proofErr w:type="spellStart"/>
      <w:r w:rsidRPr="00030845">
        <w:rPr>
          <w:lang w:val="fr-FR"/>
        </w:rPr>
        <w:t>See</w:t>
      </w:r>
      <w:proofErr w:type="spellEnd"/>
      <w:r w:rsidRPr="00030845">
        <w:rPr>
          <w:lang w:val="fr-FR"/>
        </w:rPr>
        <w:t xml:space="preserve"> D. </w:t>
      </w:r>
      <w:proofErr w:type="spellStart"/>
      <w:r w:rsidRPr="00030845">
        <w:rPr>
          <w:lang w:val="fr-FR"/>
        </w:rPr>
        <w:t>Feldman</w:t>
      </w:r>
      <w:proofErr w:type="spellEnd"/>
      <w:r w:rsidRPr="00030845">
        <w:rPr>
          <w:lang w:val="fr-FR"/>
        </w:rPr>
        <w:t xml:space="preserve">, “Human </w:t>
      </w:r>
      <w:proofErr w:type="spellStart"/>
      <w:r w:rsidRPr="00030845">
        <w:rPr>
          <w:lang w:val="fr-FR"/>
        </w:rPr>
        <w:t>Dignity</w:t>
      </w:r>
      <w:proofErr w:type="spellEnd"/>
      <w:r w:rsidRPr="00030845">
        <w:rPr>
          <w:lang w:val="fr-FR"/>
        </w:rPr>
        <w:t xml:space="preserve"> as a </w:t>
      </w:r>
      <w:proofErr w:type="spellStart"/>
      <w:r w:rsidRPr="00030845">
        <w:rPr>
          <w:lang w:val="fr-FR"/>
        </w:rPr>
        <w:t>legal</w:t>
      </w:r>
      <w:proofErr w:type="spellEnd"/>
      <w:r w:rsidRPr="00030845">
        <w:rPr>
          <w:lang w:val="fr-FR"/>
        </w:rPr>
        <w:t xml:space="preserve"> value. </w:t>
      </w:r>
      <w:r w:rsidRPr="003F7A24">
        <w:t>Part I</w:t>
      </w:r>
      <w:r>
        <w:t>”</w:t>
      </w:r>
      <w:r w:rsidRPr="003F7A24">
        <w:t xml:space="preserve">, </w:t>
      </w:r>
      <w:r w:rsidRPr="003F7A24">
        <w:rPr>
          <w:i/>
        </w:rPr>
        <w:t>Public Law</w:t>
      </w:r>
      <w:r w:rsidRPr="003F7A24">
        <w:t xml:space="preserve">, 1999, </w:t>
      </w:r>
      <w:r>
        <w:t xml:space="preserve">pp. </w:t>
      </w:r>
      <w:r w:rsidRPr="003F7A24">
        <w:t xml:space="preserve">682-702, at </w:t>
      </w:r>
      <w:r>
        <w:t xml:space="preserve">p. </w:t>
      </w:r>
      <w:r w:rsidRPr="003F7A24">
        <w:t xml:space="preserve">697: </w:t>
      </w:r>
      <w:r>
        <w:t>“</w:t>
      </w:r>
      <w:r w:rsidRPr="003F7A24">
        <w:t xml:space="preserve">The notion of dignity can easily become a screen behind which paternalism or </w:t>
      </w:r>
      <w:proofErr w:type="spellStart"/>
      <w:r w:rsidRPr="003F7A24">
        <w:t>moralism</w:t>
      </w:r>
      <w:proofErr w:type="spellEnd"/>
      <w:r w:rsidRPr="003F7A24">
        <w:t xml:space="preserve"> are elevated above freedom in legal decision-making.</w:t>
      </w:r>
      <w:r>
        <w:t>”</w:t>
      </w:r>
      <w:r w:rsidRPr="003F7A24">
        <w:t xml:space="preserve"> </w:t>
      </w:r>
      <w:r w:rsidRPr="00030845">
        <w:rPr>
          <w:lang w:val="fr-FR"/>
        </w:rPr>
        <w:t xml:space="preserve">As </w:t>
      </w:r>
      <w:proofErr w:type="spellStart"/>
      <w:r w:rsidRPr="00030845">
        <w:rPr>
          <w:lang w:val="fr-FR"/>
        </w:rPr>
        <w:t>another</w:t>
      </w:r>
      <w:proofErr w:type="spellEnd"/>
      <w:r w:rsidRPr="00030845">
        <w:rPr>
          <w:lang w:val="fr-FR"/>
        </w:rPr>
        <w:t xml:space="preserve"> </w:t>
      </w:r>
      <w:proofErr w:type="spellStart"/>
      <w:r w:rsidRPr="00030845">
        <w:rPr>
          <w:lang w:val="fr-FR"/>
        </w:rPr>
        <w:t>author</w:t>
      </w:r>
      <w:proofErr w:type="spellEnd"/>
      <w:r w:rsidRPr="00030845">
        <w:rPr>
          <w:lang w:val="fr-FR"/>
        </w:rPr>
        <w:t xml:space="preserve"> has </w:t>
      </w:r>
      <w:proofErr w:type="spellStart"/>
      <w:r w:rsidRPr="00030845">
        <w:rPr>
          <w:lang w:val="fr-FR"/>
        </w:rPr>
        <w:t>pointed</w:t>
      </w:r>
      <w:proofErr w:type="spellEnd"/>
      <w:r w:rsidRPr="00030845">
        <w:rPr>
          <w:lang w:val="fr-FR"/>
        </w:rPr>
        <w:t xml:space="preserve"> out, “[l]a notion de dignité, indéfinie, est à l’évidence manipulable à l’extrême. Grande peut-être alors la tentation d’un ordre moral évoquée par G. </w:t>
      </w:r>
      <w:proofErr w:type="spellStart"/>
      <w:r w:rsidRPr="00030845">
        <w:rPr>
          <w:lang w:val="fr-FR"/>
        </w:rPr>
        <w:t>Lebreton</w:t>
      </w:r>
      <w:proofErr w:type="spellEnd"/>
      <w:r w:rsidRPr="00030845">
        <w:rPr>
          <w:lang w:val="fr-FR"/>
        </w:rPr>
        <w:t xml:space="preserve"> (</w:t>
      </w:r>
      <w:r w:rsidRPr="00030845">
        <w:rPr>
          <w:i/>
          <w:lang w:val="fr-FR"/>
        </w:rPr>
        <w:t>Chr. D</w:t>
      </w:r>
      <w:r w:rsidRPr="00030845">
        <w:rPr>
          <w:lang w:val="fr-FR"/>
        </w:rPr>
        <w:t xml:space="preserve">. [1996, J., 177]). La confusion établie entre moralité publique et dignité s’y prête particulièrement à l’heure où le politiquement correct traverse l’Atlantique”, J.-P. Théron, “Dignité et libertés. Propos sur une jurisprudence contestable”, in </w:t>
      </w:r>
      <w:r w:rsidRPr="00030845">
        <w:rPr>
          <w:i/>
          <w:lang w:val="fr-FR"/>
        </w:rPr>
        <w:t xml:space="preserve">Pouvoir et liberté. </w:t>
      </w:r>
      <w:proofErr w:type="spellStart"/>
      <w:r w:rsidRPr="00030845">
        <w:rPr>
          <w:i/>
          <w:lang w:val="fr-FR"/>
        </w:rPr>
        <w:t>Etudes</w:t>
      </w:r>
      <w:proofErr w:type="spellEnd"/>
      <w:r w:rsidRPr="00030845">
        <w:rPr>
          <w:i/>
          <w:lang w:val="fr-FR"/>
        </w:rPr>
        <w:t xml:space="preserve"> offertes à Jacques </w:t>
      </w:r>
      <w:proofErr w:type="spellStart"/>
      <w:r w:rsidRPr="00030845">
        <w:rPr>
          <w:i/>
          <w:lang w:val="fr-FR"/>
        </w:rPr>
        <w:t>Mourgeon</w:t>
      </w:r>
      <w:proofErr w:type="spellEnd"/>
      <w:r w:rsidRPr="00030845">
        <w:rPr>
          <w:lang w:val="fr-FR"/>
        </w:rPr>
        <w:t xml:space="preserve">, Brussels, </w:t>
      </w:r>
      <w:proofErr w:type="spellStart"/>
      <w:r w:rsidRPr="00030845">
        <w:rPr>
          <w:lang w:val="fr-FR"/>
        </w:rPr>
        <w:t>Bruylant</w:t>
      </w:r>
      <w:proofErr w:type="spellEnd"/>
      <w:r w:rsidRPr="00030845">
        <w:rPr>
          <w:lang w:val="fr-FR"/>
        </w:rPr>
        <w:t xml:space="preserve">, 1998, p. 305, </w:t>
      </w:r>
      <w:proofErr w:type="spellStart"/>
      <w:r w:rsidRPr="00030845">
        <w:rPr>
          <w:lang w:val="fr-FR"/>
        </w:rPr>
        <w:t>concerning</w:t>
      </w:r>
      <w:proofErr w:type="spellEnd"/>
      <w:r w:rsidRPr="00030845">
        <w:rPr>
          <w:lang w:val="fr-FR"/>
        </w:rPr>
        <w:t xml:space="preserve"> </w:t>
      </w:r>
      <w:proofErr w:type="spellStart"/>
      <w:r w:rsidRPr="00030845">
        <w:rPr>
          <w:lang w:val="fr-FR"/>
        </w:rPr>
        <w:t>two</w:t>
      </w:r>
      <w:proofErr w:type="spellEnd"/>
      <w:r w:rsidRPr="00030845">
        <w:rPr>
          <w:lang w:val="fr-FR"/>
        </w:rPr>
        <w:t xml:space="preserve"> </w:t>
      </w:r>
      <w:proofErr w:type="spellStart"/>
      <w:r w:rsidRPr="00030845">
        <w:rPr>
          <w:lang w:val="fr-FR"/>
        </w:rPr>
        <w:t>decisions</w:t>
      </w:r>
      <w:proofErr w:type="spellEnd"/>
      <w:r w:rsidRPr="00030845">
        <w:rPr>
          <w:lang w:val="fr-FR"/>
        </w:rPr>
        <w:t xml:space="preserve"> of 27 </w:t>
      </w:r>
      <w:proofErr w:type="spellStart"/>
      <w:r w:rsidRPr="00030845">
        <w:rPr>
          <w:lang w:val="fr-FR"/>
        </w:rPr>
        <w:t>October</w:t>
      </w:r>
      <w:proofErr w:type="spellEnd"/>
      <w:r w:rsidRPr="00030845">
        <w:rPr>
          <w:lang w:val="fr-FR"/>
        </w:rPr>
        <w:t xml:space="preserve"> 1995 by the French </w:t>
      </w:r>
      <w:r w:rsidRPr="00030845">
        <w:rPr>
          <w:i/>
          <w:lang w:val="fr-FR"/>
        </w:rPr>
        <w:t>Conseil d’Etat</w:t>
      </w:r>
      <w:r w:rsidRPr="00030845">
        <w:rPr>
          <w:lang w:val="fr-FR"/>
        </w:rPr>
        <w:t xml:space="preserve">, </w:t>
      </w:r>
      <w:proofErr w:type="spellStart"/>
      <w:r w:rsidRPr="00030845">
        <w:rPr>
          <w:lang w:val="fr-FR"/>
        </w:rPr>
        <w:t>sitting</w:t>
      </w:r>
      <w:proofErr w:type="spellEnd"/>
      <w:r w:rsidRPr="00030845">
        <w:rPr>
          <w:lang w:val="fr-FR"/>
        </w:rPr>
        <w:t xml:space="preserve"> as a full court, </w:t>
      </w:r>
      <w:r w:rsidRPr="00030845">
        <w:rPr>
          <w:i/>
          <w:lang w:val="fr-FR"/>
        </w:rPr>
        <w:t xml:space="preserve">Commune de Morsang-sur-Orge </w:t>
      </w:r>
      <w:r w:rsidRPr="00030845">
        <w:rPr>
          <w:lang w:val="fr-FR"/>
        </w:rPr>
        <w:t>and</w:t>
      </w:r>
      <w:r w:rsidRPr="00030845">
        <w:rPr>
          <w:i/>
          <w:lang w:val="fr-FR"/>
        </w:rPr>
        <w:t xml:space="preserve"> Ville d’Aix-en-Provence</w:t>
      </w:r>
      <w:r w:rsidRPr="00030845">
        <w:rPr>
          <w:lang w:val="fr-FR"/>
        </w:rPr>
        <w:t xml:space="preserve">, </w:t>
      </w:r>
      <w:r w:rsidRPr="00030845">
        <w:rPr>
          <w:i/>
          <w:lang w:val="fr-FR"/>
        </w:rPr>
        <w:t>AJDA</w:t>
      </w:r>
      <w:r w:rsidRPr="00030845">
        <w:rPr>
          <w:lang w:val="fr-FR"/>
        </w:rPr>
        <w:t xml:space="preserve">, 1995, 942, </w:t>
      </w:r>
      <w:r w:rsidRPr="00030845">
        <w:rPr>
          <w:i/>
          <w:lang w:val="fr-FR"/>
        </w:rPr>
        <w:t>RFDA</w:t>
      </w:r>
      <w:r w:rsidRPr="00030845">
        <w:rPr>
          <w:lang w:val="fr-FR"/>
        </w:rPr>
        <w:t xml:space="preserve">, 1995, 1204, </w:t>
      </w:r>
      <w:proofErr w:type="spellStart"/>
      <w:r w:rsidRPr="00030845">
        <w:rPr>
          <w:lang w:val="fr-FR"/>
        </w:rPr>
        <w:t>submissions</w:t>
      </w:r>
      <w:proofErr w:type="spellEnd"/>
      <w:r w:rsidRPr="00030845">
        <w:rPr>
          <w:lang w:val="fr-FR"/>
        </w:rPr>
        <w:t xml:space="preserve"> by Mr </w:t>
      </w:r>
      <w:proofErr w:type="spellStart"/>
      <w:r w:rsidRPr="00030845">
        <w:rPr>
          <w:lang w:val="fr-FR"/>
        </w:rPr>
        <w:t>Frydman</w:t>
      </w:r>
      <w:proofErr w:type="spellEnd"/>
      <w:r w:rsidRPr="00030845">
        <w:rPr>
          <w:lang w:val="fr-FR"/>
        </w:rPr>
        <w:t xml:space="preserve">, and </w:t>
      </w:r>
      <w:proofErr w:type="spellStart"/>
      <w:r w:rsidRPr="00030845">
        <w:rPr>
          <w:i/>
          <w:lang w:val="fr-FR"/>
        </w:rPr>
        <w:t>Rev</w:t>
      </w:r>
      <w:proofErr w:type="spellEnd"/>
      <w:r w:rsidRPr="00030845">
        <w:rPr>
          <w:i/>
          <w:lang w:val="fr-FR"/>
        </w:rPr>
        <w:t xml:space="preserve">. trim. </w:t>
      </w:r>
      <w:proofErr w:type="spellStart"/>
      <w:r w:rsidRPr="00030845">
        <w:rPr>
          <w:i/>
          <w:lang w:val="fr-FR"/>
        </w:rPr>
        <w:t>dr</w:t>
      </w:r>
      <w:proofErr w:type="spellEnd"/>
      <w:r w:rsidRPr="00030845">
        <w:rPr>
          <w:i/>
          <w:lang w:val="fr-FR"/>
        </w:rPr>
        <w:t>. h</w:t>
      </w:r>
      <w:r w:rsidRPr="00030845">
        <w:rPr>
          <w:lang w:val="fr-FR"/>
        </w:rPr>
        <w:t xml:space="preserve">., 1996, 657, </w:t>
      </w:r>
      <w:proofErr w:type="spellStart"/>
      <w:r w:rsidRPr="00030845">
        <w:rPr>
          <w:lang w:val="fr-FR"/>
        </w:rPr>
        <w:t>submissions</w:t>
      </w:r>
      <w:proofErr w:type="spellEnd"/>
      <w:r w:rsidRPr="00030845">
        <w:rPr>
          <w:lang w:val="fr-FR"/>
        </w:rPr>
        <w:t xml:space="preserve"> by Mr </w:t>
      </w:r>
      <w:proofErr w:type="spellStart"/>
      <w:r w:rsidRPr="00030845">
        <w:rPr>
          <w:lang w:val="fr-FR"/>
        </w:rPr>
        <w:t>Frydman</w:t>
      </w:r>
      <w:proofErr w:type="spellEnd"/>
      <w:r w:rsidRPr="00030845">
        <w:rPr>
          <w:lang w:val="fr-FR"/>
        </w:rPr>
        <w:t xml:space="preserve">, note by Nathalie </w:t>
      </w:r>
      <w:proofErr w:type="spellStart"/>
      <w:r w:rsidRPr="00030845">
        <w:rPr>
          <w:lang w:val="fr-FR"/>
        </w:rPr>
        <w:t>Deffains</w:t>
      </w:r>
      <w:proofErr w:type="spellEnd"/>
      <w:r w:rsidRPr="00030845">
        <w:rPr>
          <w:lang w:val="fr-FR"/>
        </w:rPr>
        <w:t xml:space="preserve">. </w:t>
      </w:r>
      <w:proofErr w:type="spellStart"/>
      <w:r w:rsidRPr="00030845">
        <w:rPr>
          <w:lang w:val="fr-FR"/>
        </w:rPr>
        <w:t>See</w:t>
      </w:r>
      <w:proofErr w:type="spellEnd"/>
      <w:r w:rsidRPr="00030845">
        <w:rPr>
          <w:lang w:val="fr-FR"/>
        </w:rPr>
        <w:t xml:space="preserve"> </w:t>
      </w:r>
      <w:proofErr w:type="spellStart"/>
      <w:r w:rsidRPr="00030845">
        <w:rPr>
          <w:lang w:val="fr-FR"/>
        </w:rPr>
        <w:t>also</w:t>
      </w:r>
      <w:proofErr w:type="spellEnd"/>
      <w:r w:rsidRPr="00030845">
        <w:rPr>
          <w:lang w:val="fr-FR"/>
        </w:rPr>
        <w:t xml:space="preserve"> P. Martens, “Encore la dignité humaine: Réflexions d’un juge sur la promotion par les juges d’une norme suspecte”, in </w:t>
      </w:r>
      <w:r w:rsidRPr="00030845">
        <w:rPr>
          <w:i/>
          <w:lang w:val="fr-FR"/>
        </w:rPr>
        <w:t xml:space="preserve">Les droits de l’homme au seuil du troisième millénaire. Mélanges en hommage à Pierre Lambert, </w:t>
      </w:r>
      <w:r w:rsidRPr="00030845">
        <w:rPr>
          <w:lang w:val="fr-FR"/>
        </w:rPr>
        <w:t xml:space="preserve">Brussels, </w:t>
      </w:r>
      <w:proofErr w:type="spellStart"/>
      <w:r w:rsidRPr="00030845">
        <w:rPr>
          <w:lang w:val="fr-FR"/>
        </w:rPr>
        <w:t>Bruylant</w:t>
      </w:r>
      <w:proofErr w:type="spellEnd"/>
      <w:r w:rsidRPr="00030845">
        <w:rPr>
          <w:lang w:val="fr-FR"/>
        </w:rPr>
        <w:t xml:space="preserve">, 2000, pp. 561 et </w:t>
      </w:r>
      <w:proofErr w:type="spellStart"/>
      <w:r w:rsidRPr="00030845">
        <w:rPr>
          <w:lang w:val="fr-FR"/>
        </w:rPr>
        <w:t>seq</w:t>
      </w:r>
      <w:proofErr w:type="spellEnd"/>
      <w:r w:rsidRPr="00030845">
        <w:rPr>
          <w:lang w:val="fr-FR"/>
        </w:rPr>
        <w:t xml:space="preserve">. On the </w:t>
      </w:r>
      <w:proofErr w:type="spellStart"/>
      <w:r w:rsidRPr="00030845">
        <w:rPr>
          <w:lang w:val="fr-FR"/>
        </w:rPr>
        <w:t>role</w:t>
      </w:r>
      <w:proofErr w:type="spellEnd"/>
      <w:r w:rsidRPr="00030845">
        <w:rPr>
          <w:lang w:val="fr-FR"/>
        </w:rPr>
        <w:t xml:space="preserve"> </w:t>
      </w:r>
      <w:proofErr w:type="spellStart"/>
      <w:r w:rsidRPr="00030845">
        <w:rPr>
          <w:lang w:val="fr-FR"/>
        </w:rPr>
        <w:t>played</w:t>
      </w:r>
      <w:proofErr w:type="spellEnd"/>
      <w:r w:rsidRPr="00030845">
        <w:rPr>
          <w:lang w:val="fr-FR"/>
        </w:rPr>
        <w:t xml:space="preserve"> by morals in the </w:t>
      </w:r>
      <w:proofErr w:type="spellStart"/>
      <w:r w:rsidRPr="00030845">
        <w:rPr>
          <w:lang w:val="fr-FR"/>
        </w:rPr>
        <w:t>debate</w:t>
      </w:r>
      <w:proofErr w:type="spellEnd"/>
      <w:r w:rsidRPr="00030845">
        <w:rPr>
          <w:lang w:val="fr-FR"/>
        </w:rPr>
        <w:t xml:space="preserve"> on </w:t>
      </w:r>
      <w:proofErr w:type="spellStart"/>
      <w:r w:rsidRPr="00030845">
        <w:rPr>
          <w:lang w:val="fr-FR"/>
        </w:rPr>
        <w:t>dignity</w:t>
      </w:r>
      <w:proofErr w:type="spellEnd"/>
      <w:r w:rsidRPr="00030845">
        <w:rPr>
          <w:lang w:val="fr-FR"/>
        </w:rPr>
        <w:t xml:space="preserve">, </w:t>
      </w:r>
      <w:proofErr w:type="spellStart"/>
      <w:r w:rsidRPr="00030845">
        <w:rPr>
          <w:lang w:val="fr-FR"/>
        </w:rPr>
        <w:t>see</w:t>
      </w:r>
      <w:proofErr w:type="spellEnd"/>
      <w:r w:rsidRPr="00030845">
        <w:rPr>
          <w:lang w:val="fr-FR"/>
        </w:rPr>
        <w:t xml:space="preserve"> J. Fierens, “La dignité humaine comme concept juridique”, </w:t>
      </w:r>
      <w:r w:rsidRPr="00030845">
        <w:rPr>
          <w:i/>
          <w:lang w:val="fr-FR"/>
        </w:rPr>
        <w:t>Journal des Tribunaux</w:t>
      </w:r>
      <w:r w:rsidRPr="00030845">
        <w:rPr>
          <w:lang w:val="fr-FR"/>
        </w:rPr>
        <w:t xml:space="preserve">, 2002, pp. 577 et </w:t>
      </w:r>
      <w:proofErr w:type="spellStart"/>
      <w:r w:rsidRPr="00030845">
        <w:rPr>
          <w:lang w:val="fr-FR"/>
        </w:rPr>
        <w:t>seq</w:t>
      </w:r>
      <w:proofErr w:type="spellEnd"/>
      <w:r w:rsidRPr="00030845">
        <w:rPr>
          <w:lang w:val="fr-FR"/>
        </w:rPr>
        <w:t xml:space="preserve">., in </w:t>
      </w:r>
      <w:proofErr w:type="spellStart"/>
      <w:r w:rsidRPr="00030845">
        <w:rPr>
          <w:lang w:val="fr-FR"/>
        </w:rPr>
        <w:t>particular</w:t>
      </w:r>
      <w:proofErr w:type="spellEnd"/>
      <w:r w:rsidRPr="00030845">
        <w:rPr>
          <w:lang w:val="fr-FR"/>
        </w:rPr>
        <w:t xml:space="preserve"> p. 581. </w:t>
      </w:r>
      <w:proofErr w:type="spellStart"/>
      <w:r w:rsidRPr="00030845">
        <w:rPr>
          <w:lang w:val="fr-FR"/>
        </w:rPr>
        <w:t>See</w:t>
      </w:r>
      <w:proofErr w:type="spellEnd"/>
      <w:r w:rsidRPr="00030845">
        <w:rPr>
          <w:lang w:val="fr-FR"/>
        </w:rPr>
        <w:t xml:space="preserve"> </w:t>
      </w:r>
      <w:proofErr w:type="spellStart"/>
      <w:r w:rsidRPr="00030845">
        <w:rPr>
          <w:lang w:val="fr-FR"/>
        </w:rPr>
        <w:t>also</w:t>
      </w:r>
      <w:proofErr w:type="spellEnd"/>
      <w:r w:rsidRPr="00030845">
        <w:rPr>
          <w:lang w:val="fr-FR"/>
        </w:rPr>
        <w:t xml:space="preserve">, </w:t>
      </w:r>
      <w:proofErr w:type="spellStart"/>
      <w:r w:rsidRPr="00030845">
        <w:rPr>
          <w:lang w:val="fr-FR"/>
        </w:rPr>
        <w:t>from</w:t>
      </w:r>
      <w:proofErr w:type="spellEnd"/>
      <w:r w:rsidRPr="00030845">
        <w:rPr>
          <w:lang w:val="fr-FR"/>
        </w:rPr>
        <w:t xml:space="preserve"> the perspective of the “</w:t>
      </w:r>
      <w:proofErr w:type="spellStart"/>
      <w:r w:rsidRPr="00030845">
        <w:rPr>
          <w:lang w:val="fr-FR"/>
        </w:rPr>
        <w:t>paradigm</w:t>
      </w:r>
      <w:proofErr w:type="spellEnd"/>
      <w:r w:rsidRPr="00030845">
        <w:rPr>
          <w:lang w:val="fr-FR"/>
        </w:rPr>
        <w:t xml:space="preserve"> of </w:t>
      </w:r>
      <w:proofErr w:type="spellStart"/>
      <w:r w:rsidRPr="00030845">
        <w:rPr>
          <w:lang w:val="fr-FR"/>
        </w:rPr>
        <w:t>humanity</w:t>
      </w:r>
      <w:proofErr w:type="spellEnd"/>
      <w:r w:rsidRPr="00030845">
        <w:rPr>
          <w:lang w:val="fr-FR"/>
        </w:rPr>
        <w:t xml:space="preserve">”, B. </w:t>
      </w:r>
      <w:proofErr w:type="spellStart"/>
      <w:r w:rsidRPr="00030845">
        <w:rPr>
          <w:lang w:val="fr-FR"/>
        </w:rPr>
        <w:t>Edelman</w:t>
      </w:r>
      <w:proofErr w:type="spellEnd"/>
      <w:r w:rsidRPr="00030845">
        <w:rPr>
          <w:lang w:val="fr-FR"/>
        </w:rPr>
        <w:t xml:space="preserve">, “La dignité de la personne humaine, un concept nouveau”, </w:t>
      </w:r>
      <w:r w:rsidRPr="00030845">
        <w:rPr>
          <w:i/>
          <w:lang w:val="fr-FR"/>
        </w:rPr>
        <w:t>D.</w:t>
      </w:r>
      <w:r w:rsidRPr="00030845">
        <w:rPr>
          <w:lang w:val="fr-FR"/>
        </w:rPr>
        <w:t xml:space="preserve">, 1997, </w:t>
      </w:r>
      <w:proofErr w:type="spellStart"/>
      <w:r w:rsidRPr="00030845">
        <w:rPr>
          <w:lang w:val="fr-FR"/>
        </w:rPr>
        <w:t>chron</w:t>
      </w:r>
      <w:proofErr w:type="spellEnd"/>
      <w:r w:rsidRPr="00030845">
        <w:rPr>
          <w:lang w:val="fr-FR"/>
        </w:rPr>
        <w:t xml:space="preserve">. p. 185, and </w:t>
      </w:r>
      <w:proofErr w:type="spellStart"/>
      <w:r w:rsidRPr="00030845">
        <w:rPr>
          <w:lang w:val="fr-FR"/>
        </w:rPr>
        <w:t>reprinted</w:t>
      </w:r>
      <w:proofErr w:type="spellEnd"/>
      <w:r w:rsidRPr="00030845">
        <w:rPr>
          <w:lang w:val="fr-FR"/>
        </w:rPr>
        <w:t xml:space="preserve"> in the book by the </w:t>
      </w:r>
      <w:proofErr w:type="spellStart"/>
      <w:r w:rsidRPr="00030845">
        <w:rPr>
          <w:lang w:val="fr-FR"/>
        </w:rPr>
        <w:t>same</w:t>
      </w:r>
      <w:proofErr w:type="spellEnd"/>
      <w:r w:rsidRPr="00030845">
        <w:rPr>
          <w:lang w:val="fr-FR"/>
        </w:rPr>
        <w:t xml:space="preserve"> </w:t>
      </w:r>
      <w:proofErr w:type="spellStart"/>
      <w:r w:rsidRPr="00030845">
        <w:rPr>
          <w:lang w:val="fr-FR"/>
        </w:rPr>
        <w:t>author</w:t>
      </w:r>
      <w:proofErr w:type="spellEnd"/>
      <w:r w:rsidRPr="00030845">
        <w:rPr>
          <w:lang w:val="fr-FR"/>
        </w:rPr>
        <w:t xml:space="preserve"> </w:t>
      </w:r>
      <w:r w:rsidRPr="00030845">
        <w:rPr>
          <w:i/>
          <w:lang w:val="fr-FR"/>
        </w:rPr>
        <w:t>La personne en danger</w:t>
      </w:r>
      <w:r w:rsidRPr="00030845">
        <w:rPr>
          <w:lang w:val="fr-FR"/>
        </w:rPr>
        <w:t xml:space="preserve">, Paris, PUF, 1999, pp. 505 et </w:t>
      </w:r>
      <w:proofErr w:type="spellStart"/>
      <w:r w:rsidRPr="00030845">
        <w:rPr>
          <w:lang w:val="fr-FR"/>
        </w:rPr>
        <w:t>seq</w:t>
      </w:r>
      <w:proofErr w:type="spellEnd"/>
      <w:r w:rsidRPr="00030845">
        <w:rPr>
          <w:lang w:val="fr-FR"/>
        </w:rPr>
        <w:t>.</w:t>
      </w:r>
    </w:p>
  </w:footnote>
  <w:footnote w:id="9">
    <w:p w:rsidR="001239FF" w:rsidRPr="00030845" w:rsidRDefault="001239FF" w:rsidP="0006396A">
      <w:pPr>
        <w:pStyle w:val="FootnoteText"/>
        <w:rPr>
          <w:lang w:val="fr-FR"/>
        </w:rPr>
      </w:pPr>
      <w:r w:rsidRPr="003B4540">
        <w:rPr>
          <w:lang w:eastAsia="en-US"/>
        </w:rPr>
        <w:footnoteRef/>
      </w:r>
      <w:r w:rsidRPr="003B4540">
        <w:rPr>
          <w:lang w:eastAsia="en-US"/>
        </w:rPr>
        <w:t>.  </w:t>
      </w:r>
      <w:r w:rsidRPr="00030845">
        <w:rPr>
          <w:lang w:val="fr-FR"/>
        </w:rPr>
        <w:t xml:space="preserve">On the distinction </w:t>
      </w:r>
      <w:proofErr w:type="spellStart"/>
      <w:r w:rsidRPr="00030845">
        <w:rPr>
          <w:lang w:val="fr-FR"/>
        </w:rPr>
        <w:t>between</w:t>
      </w:r>
      <w:proofErr w:type="spellEnd"/>
      <w:r w:rsidRPr="00030845">
        <w:rPr>
          <w:lang w:val="fr-FR"/>
        </w:rPr>
        <w:t xml:space="preserve"> protection of the </w:t>
      </w:r>
      <w:proofErr w:type="spellStart"/>
      <w:r w:rsidRPr="00030845">
        <w:rPr>
          <w:lang w:val="fr-FR"/>
        </w:rPr>
        <w:t>dignity</w:t>
      </w:r>
      <w:proofErr w:type="spellEnd"/>
      <w:r w:rsidRPr="00030845">
        <w:rPr>
          <w:lang w:val="fr-FR"/>
        </w:rPr>
        <w:t xml:space="preserve"> of </w:t>
      </w:r>
      <w:proofErr w:type="spellStart"/>
      <w:r w:rsidRPr="00030845">
        <w:rPr>
          <w:lang w:val="fr-FR"/>
        </w:rPr>
        <w:t>others</w:t>
      </w:r>
      <w:proofErr w:type="spellEnd"/>
      <w:r w:rsidRPr="00030845">
        <w:rPr>
          <w:lang w:val="fr-FR"/>
        </w:rPr>
        <w:t xml:space="preserve"> and protection of </w:t>
      </w:r>
      <w:proofErr w:type="spellStart"/>
      <w:r w:rsidRPr="00030845">
        <w:rPr>
          <w:lang w:val="fr-FR"/>
        </w:rPr>
        <w:t>one’s</w:t>
      </w:r>
      <w:proofErr w:type="spellEnd"/>
      <w:r w:rsidRPr="00030845">
        <w:rPr>
          <w:lang w:val="fr-FR"/>
        </w:rPr>
        <w:t xml:space="preserve"> </w:t>
      </w:r>
      <w:proofErr w:type="spellStart"/>
      <w:r w:rsidRPr="00030845">
        <w:rPr>
          <w:lang w:val="fr-FR"/>
        </w:rPr>
        <w:t>own</w:t>
      </w:r>
      <w:proofErr w:type="spellEnd"/>
      <w:r w:rsidRPr="00030845">
        <w:rPr>
          <w:lang w:val="fr-FR"/>
        </w:rPr>
        <w:t xml:space="preserve"> </w:t>
      </w:r>
      <w:proofErr w:type="spellStart"/>
      <w:r w:rsidRPr="00030845">
        <w:rPr>
          <w:lang w:val="fr-FR"/>
        </w:rPr>
        <w:t>fundamental</w:t>
      </w:r>
      <w:proofErr w:type="spellEnd"/>
      <w:r w:rsidRPr="00030845">
        <w:rPr>
          <w:lang w:val="fr-FR"/>
        </w:rPr>
        <w:t xml:space="preserve"> </w:t>
      </w:r>
      <w:proofErr w:type="spellStart"/>
      <w:r w:rsidRPr="00030845">
        <w:rPr>
          <w:lang w:val="fr-FR"/>
        </w:rPr>
        <w:t>dignity</w:t>
      </w:r>
      <w:proofErr w:type="spellEnd"/>
      <w:r w:rsidRPr="00030845">
        <w:rPr>
          <w:lang w:val="fr-FR"/>
        </w:rPr>
        <w:t xml:space="preserve">, </w:t>
      </w:r>
      <w:proofErr w:type="spellStart"/>
      <w:r w:rsidRPr="00030845">
        <w:rPr>
          <w:lang w:val="fr-FR"/>
        </w:rPr>
        <w:t>see</w:t>
      </w:r>
      <w:proofErr w:type="spellEnd"/>
      <w:r w:rsidRPr="00030845">
        <w:rPr>
          <w:lang w:val="fr-FR"/>
        </w:rPr>
        <w:t xml:space="preserve"> B. Maurer, </w:t>
      </w:r>
      <w:r w:rsidRPr="00030845">
        <w:rPr>
          <w:i/>
          <w:lang w:val="fr-FR"/>
        </w:rPr>
        <w:t>Le principe de respect de la dignité humaine et la Convention européenne des droits de l’homme</w:t>
      </w:r>
      <w:r w:rsidRPr="00030845">
        <w:rPr>
          <w:lang w:val="fr-FR"/>
        </w:rPr>
        <w:t xml:space="preserve">, Paris, La documentation française, 1999, in </w:t>
      </w:r>
      <w:proofErr w:type="spellStart"/>
      <w:r w:rsidRPr="00030845">
        <w:rPr>
          <w:lang w:val="fr-FR"/>
        </w:rPr>
        <w:t>particular</w:t>
      </w:r>
      <w:proofErr w:type="spellEnd"/>
      <w:r w:rsidRPr="00030845">
        <w:rPr>
          <w:lang w:val="fr-FR"/>
        </w:rPr>
        <w:t xml:space="preserve"> pp. 450 et </w:t>
      </w:r>
      <w:proofErr w:type="spellStart"/>
      <w:r w:rsidRPr="00030845">
        <w:rPr>
          <w:lang w:val="fr-FR"/>
        </w:rPr>
        <w:t>seq</w:t>
      </w:r>
      <w:proofErr w:type="spellEnd"/>
      <w:r w:rsidRPr="00030845">
        <w:rPr>
          <w:lang w:val="fr-FR"/>
        </w:rPr>
        <w:t xml:space="preserve">. and pp. 464 et </w:t>
      </w:r>
      <w:proofErr w:type="spellStart"/>
      <w:r w:rsidRPr="00030845">
        <w:rPr>
          <w:lang w:val="fr-FR"/>
        </w:rPr>
        <w:t>seq</w:t>
      </w:r>
      <w:proofErr w:type="spellEnd"/>
      <w:r w:rsidRPr="00030845">
        <w:rPr>
          <w:lang w:val="fr-FR"/>
        </w:rPr>
        <w:t>.</w:t>
      </w:r>
    </w:p>
  </w:footnote>
  <w:footnote w:id="10">
    <w:p w:rsidR="001239FF" w:rsidRPr="00030845" w:rsidRDefault="001239FF" w:rsidP="0006396A">
      <w:pPr>
        <w:pStyle w:val="FootnoteText"/>
        <w:rPr>
          <w:i/>
          <w:lang w:val="de-DE"/>
        </w:rPr>
      </w:pPr>
      <w:r w:rsidRPr="003B4540">
        <w:rPr>
          <w:lang w:eastAsia="en-US"/>
        </w:rPr>
        <w:footnoteRef/>
      </w:r>
      <w:r w:rsidRPr="003B4540">
        <w:rPr>
          <w:lang w:eastAsia="en-US"/>
        </w:rPr>
        <w:t>. </w:t>
      </w:r>
      <w:r w:rsidRPr="00030845">
        <w:rPr>
          <w:lang w:val="de-DE"/>
        </w:rPr>
        <w:t> </w:t>
      </w:r>
      <w:r w:rsidRPr="00030845">
        <w:rPr>
          <w:lang w:val="de-DE"/>
        </w:rPr>
        <w:t xml:space="preserve">BVerfGE 75, 369; </w:t>
      </w:r>
      <w:r w:rsidRPr="00030845">
        <w:rPr>
          <w:i/>
          <w:lang w:val="de-DE"/>
        </w:rPr>
        <w:t>EuGRZ</w:t>
      </w:r>
      <w:r w:rsidRPr="00030845">
        <w:rPr>
          <w:lang w:val="de-DE"/>
        </w:rPr>
        <w:t xml:space="preserve">, 1988, 270. See also the article by G. Nolte, “Falwell vs. Strauß: Die rechtlichen Grenzen politischer Satire in den USA und der Bundesrepublik”, </w:t>
      </w:r>
      <w:r w:rsidRPr="00030845">
        <w:rPr>
          <w:i/>
          <w:lang w:val="de-DE"/>
        </w:rPr>
        <w:t>EuGRZ</w:t>
      </w:r>
      <w:r w:rsidRPr="00030845">
        <w:rPr>
          <w:lang w:val="de-DE"/>
        </w:rPr>
        <w:t>, 1988, pp. 253-59.</w:t>
      </w:r>
    </w:p>
  </w:footnote>
  <w:footnote w:id="11">
    <w:p w:rsidR="001239FF" w:rsidRPr="00AC30A0" w:rsidRDefault="001239FF" w:rsidP="0006396A">
      <w:pPr>
        <w:pStyle w:val="FootnoteText"/>
      </w:pPr>
      <w:r w:rsidRPr="003B4540">
        <w:rPr>
          <w:lang w:eastAsia="en-US"/>
        </w:rPr>
        <w:footnoteRef/>
      </w:r>
      <w:r w:rsidRPr="00AC30A0">
        <w:rPr>
          <w:lang w:eastAsia="en-US"/>
        </w:rPr>
        <w:t>. </w:t>
      </w:r>
      <w:r w:rsidRPr="00AC30A0">
        <w:t> See footnote 5 above.</w:t>
      </w:r>
    </w:p>
  </w:footnote>
  <w:footnote w:id="12">
    <w:p w:rsidR="001239FF" w:rsidRPr="00AC30A0" w:rsidRDefault="001239FF" w:rsidP="0006396A">
      <w:pPr>
        <w:pStyle w:val="FootnoteText"/>
      </w:pPr>
      <w:r w:rsidRPr="003B4540">
        <w:rPr>
          <w:lang w:eastAsia="en-US"/>
        </w:rPr>
        <w:footnoteRef/>
      </w:r>
      <w:r w:rsidRPr="00AC30A0">
        <w:rPr>
          <w:lang w:eastAsia="en-US"/>
        </w:rPr>
        <w:t>. </w:t>
      </w:r>
      <w:r w:rsidRPr="00AC30A0">
        <w:t> Article 5 (3) of the German Basic Law provides: “Art and science, research and teaching are free. ...”</w:t>
      </w:r>
    </w:p>
    <w:p w:rsidR="001239FF" w:rsidRPr="00AC30A0" w:rsidRDefault="001239FF" w:rsidP="0006396A">
      <w:pPr>
        <w:pStyle w:val="FootnoteText"/>
      </w:pPr>
      <w:r w:rsidRPr="00AC30A0">
        <w:t>As already noted (see footnote 3 above), freedom of the arts (</w:t>
      </w:r>
      <w:proofErr w:type="spellStart"/>
      <w:r w:rsidRPr="00AC30A0">
        <w:rPr>
          <w:i/>
        </w:rPr>
        <w:t>Kunstfreiheit</w:t>
      </w:r>
      <w:proofErr w:type="spellEnd"/>
      <w:r w:rsidRPr="00AC30A0">
        <w:t xml:space="preserve">) is </w:t>
      </w:r>
      <w:r w:rsidRPr="00AC30A0">
        <w:rPr>
          <w:i/>
        </w:rPr>
        <w:t>specifically</w:t>
      </w:r>
      <w:r w:rsidRPr="00AC30A0">
        <w:t xml:space="preserve"> protected by Article 5 (3) of the Basic Law and the exercise of this freedom is not limited as freedom of expression is. It must be considered in conjunction with other constitutional rights, such as the right to human dignity. See E. </w:t>
      </w:r>
      <w:proofErr w:type="spellStart"/>
      <w:r w:rsidRPr="00AC30A0">
        <w:t>Barendt</w:t>
      </w:r>
      <w:proofErr w:type="spellEnd"/>
      <w:r w:rsidRPr="00AC30A0">
        <w:t xml:space="preserve">, </w:t>
      </w:r>
      <w:r w:rsidRPr="00AC30A0">
        <w:rPr>
          <w:i/>
        </w:rPr>
        <w:t>Freedom of Speech</w:t>
      </w:r>
      <w:r w:rsidRPr="00AC30A0">
        <w:t xml:space="preserve">, 2nd ed., </w:t>
      </w:r>
      <w:smartTag w:uri="urn:schemas-microsoft-com:office:smarttags" w:element="City">
        <w:r w:rsidRPr="00AC30A0">
          <w:t>Oxford</w:t>
        </w:r>
      </w:smartTag>
      <w:r w:rsidRPr="00AC30A0">
        <w:t xml:space="preserve">, </w:t>
      </w:r>
      <w:smartTag w:uri="urn:schemas-microsoft-com:office:smarttags" w:element="place">
        <w:smartTag w:uri="urn:schemas-microsoft-com:office:smarttags" w:element="PlaceName">
          <w:r w:rsidRPr="00AC30A0">
            <w:t>Oxford</w:t>
          </w:r>
        </w:smartTag>
        <w:r w:rsidRPr="00AC30A0">
          <w:t xml:space="preserve"> </w:t>
        </w:r>
        <w:smartTag w:uri="urn:schemas-microsoft-com:office:smarttags" w:element="PlaceType">
          <w:r w:rsidRPr="00AC30A0">
            <w:t>University</w:t>
          </w:r>
        </w:smartTag>
      </w:smartTag>
      <w:r w:rsidRPr="00AC30A0">
        <w:t xml:space="preserve"> Press, 2005, p. 229.</w:t>
      </w:r>
    </w:p>
  </w:footnote>
  <w:footnote w:id="13">
    <w:p w:rsidR="001239FF" w:rsidRPr="00030845" w:rsidRDefault="001239FF" w:rsidP="0006396A">
      <w:pPr>
        <w:pStyle w:val="FootnoteText"/>
        <w:rPr>
          <w:lang w:val="de-DE"/>
        </w:rPr>
      </w:pPr>
      <w:r w:rsidRPr="003B4540">
        <w:rPr>
          <w:lang w:eastAsia="en-US"/>
        </w:rPr>
        <w:footnoteRef/>
      </w:r>
      <w:r w:rsidRPr="003B4540">
        <w:rPr>
          <w:lang w:eastAsia="en-US"/>
        </w:rPr>
        <w:t>.  </w:t>
      </w:r>
      <w:r w:rsidRPr="00030845">
        <w:rPr>
          <w:lang w:val="de-DE"/>
        </w:rPr>
        <w:t>“</w:t>
      </w:r>
      <w:r w:rsidRPr="00AC30A0">
        <w:rPr>
          <w:lang w:val="de-DE"/>
        </w:rPr>
        <w:t xml:space="preserve">Die Grundanforderungen künstlicher Tätigkeit festzulegen, ist daher durch Art. 5 Abs. 3 Satz 1 GG nicht verboten sondern verfassungsrechtlich gefordert. Erlaubt und notwendig ist allerdings nur die Unterscheidung zwischen Kunst und Nichtkunst; eine Niveaukontrolle, also eine Differenzierung zwischen ‘höherer’ und ‘niederer’, ‘guter’ und ‘schlechter’ (und deshalb nicht oder weniger schutzwürdiger) Kunst, liefe demgegenüber auf eine verfassungsrechtlich unstatthafte Inhaltskontrolle hinaus (Scholz in: </w:t>
      </w:r>
      <w:r w:rsidRPr="00AC30A0">
        <w:rPr>
          <w:lang w:val="de-DE"/>
        </w:rPr>
        <w:t>Maunz/Dürig, GG, Art. 5 Abs. 3 Rdnr. 39)</w:t>
      </w:r>
      <w:r w:rsidRPr="00030845">
        <w:rPr>
          <w:lang w:val="de-DE"/>
        </w:rPr>
        <w:t xml:space="preserve">.” </w:t>
      </w:r>
    </w:p>
  </w:footnote>
  <w:footnote w:id="14">
    <w:p w:rsidR="001239FF" w:rsidRPr="00AC30A0" w:rsidRDefault="001239FF" w:rsidP="0006396A">
      <w:pPr>
        <w:pStyle w:val="FootnoteText"/>
      </w:pPr>
      <w:r w:rsidRPr="003B4540">
        <w:rPr>
          <w:lang w:eastAsia="en-US"/>
        </w:rPr>
        <w:footnoteRef/>
      </w:r>
      <w:r>
        <w:rPr>
          <w:lang w:eastAsia="en-US"/>
        </w:rPr>
        <w:t>.  </w:t>
      </w:r>
      <w:r w:rsidRPr="00AC30A0">
        <w:t xml:space="preserve">E. </w:t>
      </w:r>
      <w:proofErr w:type="spellStart"/>
      <w:r w:rsidRPr="00AC30A0">
        <w:t>Barendt</w:t>
      </w:r>
      <w:proofErr w:type="spellEnd"/>
      <w:r w:rsidRPr="00AC30A0">
        <w:t xml:space="preserve">, </w:t>
      </w:r>
      <w:r w:rsidRPr="00AC30A0">
        <w:rPr>
          <w:i/>
        </w:rPr>
        <w:t>Freedom of Speech</w:t>
      </w:r>
      <w:r w:rsidRPr="00AC30A0">
        <w:t xml:space="preserve">, 2nd ed., </w:t>
      </w:r>
      <w:smartTag w:uri="urn:schemas-microsoft-com:office:smarttags" w:element="City">
        <w:r w:rsidRPr="00AC30A0">
          <w:t>Oxford</w:t>
        </w:r>
      </w:smartTag>
      <w:r w:rsidRPr="00AC30A0">
        <w:t xml:space="preserve">, </w:t>
      </w:r>
      <w:smartTag w:uri="urn:schemas-microsoft-com:office:smarttags" w:element="place">
        <w:smartTag w:uri="urn:schemas-microsoft-com:office:smarttags" w:element="PlaceName">
          <w:r w:rsidRPr="00AC30A0">
            <w:t>Oxford</w:t>
          </w:r>
        </w:smartTag>
        <w:r w:rsidRPr="00AC30A0">
          <w:t xml:space="preserve"> </w:t>
        </w:r>
        <w:smartTag w:uri="urn:schemas-microsoft-com:office:smarttags" w:element="PlaceType">
          <w:r w:rsidRPr="00AC30A0">
            <w:t>University</w:t>
          </w:r>
        </w:smartTag>
      </w:smartTag>
      <w:r w:rsidRPr="00AC30A0">
        <w:t xml:space="preserve"> Press, 2005, p. 230.</w:t>
      </w:r>
    </w:p>
  </w:footnote>
  <w:footnote w:id="15">
    <w:p w:rsidR="001239FF" w:rsidRPr="003F7A24" w:rsidRDefault="001239FF" w:rsidP="0006396A">
      <w:pPr>
        <w:pStyle w:val="FootnoteText"/>
      </w:pPr>
      <w:r w:rsidRPr="003B4540">
        <w:rPr>
          <w:lang w:eastAsia="en-US"/>
        </w:rPr>
        <w:footnoteRef/>
      </w:r>
      <w:r w:rsidRPr="00AC30A0">
        <w:rPr>
          <w:lang w:eastAsia="en-US"/>
        </w:rPr>
        <w:t>.  </w:t>
      </w:r>
      <w:r w:rsidRPr="00AC30A0">
        <w:rPr>
          <w:i/>
        </w:rPr>
        <w:t>Op. cit.</w:t>
      </w:r>
      <w:r w:rsidRPr="00AC30A0">
        <w:t>, p. 230.</w:t>
      </w:r>
      <w:r w:rsidRPr="003F7A24">
        <w:t xml:space="preserve"> The author adds in a footnote the following: “For an Italian case on the point, </w:t>
      </w:r>
      <w:r>
        <w:t>see the decision of the Corte di</w:t>
      </w:r>
      <w:r w:rsidRPr="003F7A24">
        <w:t xml:space="preserve"> </w:t>
      </w:r>
      <w:proofErr w:type="spellStart"/>
      <w:r w:rsidRPr="003F7A24">
        <w:t>Cassazione</w:t>
      </w:r>
      <w:proofErr w:type="spellEnd"/>
      <w:r w:rsidRPr="003F7A24">
        <w:t>, Penal Section, of 20 Oct. 1998, reported in (1999)</w:t>
      </w:r>
      <w:r w:rsidRPr="00B0662D">
        <w:rPr>
          <w:i/>
        </w:rPr>
        <w:t xml:space="preserve"> </w:t>
      </w:r>
      <w:r w:rsidRPr="003F1950">
        <w:t xml:space="preserve">Il </w:t>
      </w:r>
      <w:proofErr w:type="spellStart"/>
      <w:r w:rsidRPr="003F1950">
        <w:t>Diritto</w:t>
      </w:r>
      <w:proofErr w:type="spellEnd"/>
      <w:r w:rsidRPr="003F1950">
        <w:t xml:space="preserve"> </w:t>
      </w:r>
      <w:proofErr w:type="spellStart"/>
      <w:r w:rsidRPr="003F1950">
        <w:t>dell’Informazione</w:t>
      </w:r>
      <w:proofErr w:type="spellEnd"/>
      <w:r w:rsidRPr="003F1950">
        <w:t xml:space="preserve"> e </w:t>
      </w:r>
      <w:proofErr w:type="spellStart"/>
      <w:r w:rsidRPr="003F1950">
        <w:t>dell’Informatica</w:t>
      </w:r>
      <w:proofErr w:type="spellEnd"/>
      <w:r w:rsidRPr="003F7A24">
        <w:t xml:space="preserve"> 369, rejecting appeal of author of a newspaper article which included a cartoon implying that a woman senator fellated Berlusconi. Satire is not protected if does not respect personality rights.</w:t>
      </w:r>
      <w:r>
        <w:t>”</w:t>
      </w:r>
    </w:p>
  </w:footnote>
  <w:footnote w:id="16">
    <w:p w:rsidR="001239FF" w:rsidRPr="003F7A24" w:rsidRDefault="001239FF" w:rsidP="0006396A">
      <w:pPr>
        <w:pStyle w:val="FootnoteText"/>
        <w:rPr>
          <w:lang w:eastAsia="en-US"/>
        </w:rPr>
      </w:pPr>
      <w:r w:rsidRPr="003B4540">
        <w:rPr>
          <w:lang w:eastAsia="en-US"/>
        </w:rPr>
        <w:footnoteRef/>
      </w:r>
      <w:r w:rsidRPr="003F7A24">
        <w:rPr>
          <w:lang w:eastAsia="en-US"/>
        </w:rPr>
        <w:t>.  </w:t>
      </w:r>
      <w:r>
        <w:rPr>
          <w:lang w:eastAsia="en-US"/>
        </w:rPr>
        <w:t xml:space="preserve">See </w:t>
      </w:r>
      <w:r w:rsidRPr="003F7A24">
        <w:rPr>
          <w:i/>
          <w:lang w:eastAsia="en-US"/>
        </w:rPr>
        <w:t xml:space="preserve">Von Hannover v. </w:t>
      </w:r>
      <w:smartTag w:uri="urn:schemas-microsoft-com:office:smarttags" w:element="country-region">
        <w:r w:rsidRPr="003F7A24">
          <w:rPr>
            <w:i/>
            <w:lang w:eastAsia="en-US"/>
          </w:rPr>
          <w:t>Germany</w:t>
        </w:r>
      </w:smartTag>
      <w:r w:rsidRPr="003F7A24">
        <w:rPr>
          <w:lang w:eastAsia="en-US"/>
        </w:rPr>
        <w:t>, no. 59320/00, § 50, ECHR 2004</w:t>
      </w:r>
      <w:r w:rsidRPr="003F7A24">
        <w:rPr>
          <w:lang w:eastAsia="en-US"/>
        </w:rPr>
        <w:noBreakHyphen/>
        <w:t>VI</w:t>
      </w:r>
      <w:r>
        <w:rPr>
          <w:lang w:eastAsia="en-US"/>
        </w:rPr>
        <w:t>, and</w:t>
      </w:r>
      <w:r w:rsidRPr="003F7A24">
        <w:rPr>
          <w:lang w:eastAsia="en-US"/>
        </w:rPr>
        <w:t xml:space="preserve"> </w:t>
      </w:r>
      <w:r>
        <w:rPr>
          <w:i/>
          <w:lang w:eastAsia="en-US"/>
        </w:rPr>
        <w:t>Sciacca v. </w:t>
      </w:r>
      <w:smartTag w:uri="urn:schemas-microsoft-com:office:smarttags" w:element="place">
        <w:smartTag w:uri="urn:schemas-microsoft-com:office:smarttags" w:element="country-region">
          <w:r w:rsidRPr="003F7A24">
            <w:rPr>
              <w:i/>
              <w:lang w:eastAsia="en-US"/>
            </w:rPr>
            <w:t>Italy</w:t>
          </w:r>
        </w:smartTag>
      </w:smartTag>
      <w:r w:rsidRPr="003F7A24">
        <w:rPr>
          <w:lang w:eastAsia="en-US"/>
        </w:rPr>
        <w:t>, no. 50774/99, § 28, ECHR 2005</w:t>
      </w:r>
      <w:r w:rsidRPr="003F7A24">
        <w:rPr>
          <w:lang w:eastAsia="en-US"/>
        </w:rPr>
        <w:noBreakHyphen/>
        <w:t>I.</w:t>
      </w:r>
    </w:p>
  </w:footnote>
  <w:footnote w:id="17">
    <w:p w:rsidR="001239FF" w:rsidRPr="003F7A24" w:rsidRDefault="001239FF" w:rsidP="0006396A">
      <w:pPr>
        <w:pStyle w:val="FootnoteText"/>
        <w:rPr>
          <w:lang w:eastAsia="en-US"/>
        </w:rPr>
      </w:pPr>
      <w:r w:rsidRPr="003B4540">
        <w:rPr>
          <w:lang w:eastAsia="en-US"/>
        </w:rPr>
        <w:footnoteRef/>
      </w:r>
      <w:r w:rsidRPr="003F7A24">
        <w:rPr>
          <w:lang w:eastAsia="en-US"/>
        </w:rPr>
        <w:t>.  </w:t>
      </w:r>
      <w:r>
        <w:rPr>
          <w:lang w:eastAsia="en-US"/>
        </w:rPr>
        <w:t xml:space="preserve">See </w:t>
      </w:r>
      <w:proofErr w:type="spellStart"/>
      <w:r w:rsidRPr="003F7A24">
        <w:rPr>
          <w:i/>
          <w:lang w:eastAsia="en-US"/>
        </w:rPr>
        <w:t>Wisse</w:t>
      </w:r>
      <w:proofErr w:type="spellEnd"/>
      <w:r w:rsidRPr="003F7A24">
        <w:rPr>
          <w:i/>
          <w:lang w:eastAsia="en-US"/>
        </w:rPr>
        <w:t xml:space="preserve"> v. </w:t>
      </w:r>
      <w:smartTag w:uri="urn:schemas-microsoft-com:office:smarttags" w:element="place">
        <w:smartTag w:uri="urn:schemas-microsoft-com:office:smarttags" w:element="country-region">
          <w:r w:rsidRPr="003F7A24">
            <w:rPr>
              <w:i/>
              <w:lang w:eastAsia="en-US"/>
            </w:rPr>
            <w:t>France</w:t>
          </w:r>
        </w:smartTag>
      </w:smartTag>
      <w:r w:rsidRPr="003F7A24">
        <w:rPr>
          <w:lang w:eastAsia="en-US"/>
        </w:rPr>
        <w:t>, no. 71611/01, § 24, 20 December 2005.</w:t>
      </w:r>
    </w:p>
  </w:footnote>
  <w:footnote w:id="18">
    <w:p w:rsidR="001239FF" w:rsidRPr="003F7A24" w:rsidRDefault="001239FF" w:rsidP="0006396A">
      <w:pPr>
        <w:pStyle w:val="FootnoteText"/>
      </w:pPr>
      <w:r w:rsidRPr="003B4540">
        <w:rPr>
          <w:lang w:eastAsia="en-US"/>
        </w:rPr>
        <w:footnoteRef/>
      </w:r>
      <w:r w:rsidRPr="003F7A24">
        <w:rPr>
          <w:lang w:eastAsia="en-US"/>
        </w:rPr>
        <w:t>.  </w:t>
      </w:r>
      <w:r>
        <w:t xml:space="preserve">See </w:t>
      </w:r>
      <w:r w:rsidRPr="003F7A24">
        <w:rPr>
          <w:i/>
          <w:lang w:eastAsia="en-US"/>
        </w:rPr>
        <w:t xml:space="preserve">Pretty v. the </w:t>
      </w:r>
      <w:smartTag w:uri="urn:schemas-microsoft-com:office:smarttags" w:element="place">
        <w:smartTag w:uri="urn:schemas-microsoft-com:office:smarttags" w:element="country-region">
          <w:r w:rsidRPr="003F7A24">
            <w:rPr>
              <w:i/>
              <w:lang w:eastAsia="en-US"/>
            </w:rPr>
            <w:t>United Kingdom</w:t>
          </w:r>
        </w:smartTag>
      </w:smartTag>
      <w:r w:rsidRPr="003F7A24">
        <w:rPr>
          <w:lang w:eastAsia="en-US"/>
        </w:rPr>
        <w:t>, no. 2346/02, §</w:t>
      </w:r>
      <w:r>
        <w:rPr>
          <w:lang w:eastAsia="en-US"/>
        </w:rPr>
        <w:t xml:space="preserve"> </w:t>
      </w:r>
      <w:r w:rsidRPr="003F7A24">
        <w:rPr>
          <w:lang w:eastAsia="en-US"/>
        </w:rPr>
        <w:t>61, ECHR 2002</w:t>
      </w:r>
      <w:r w:rsidRPr="003F7A24">
        <w:rPr>
          <w:lang w:eastAsia="en-US"/>
        </w:rPr>
        <w:noBreakHyphen/>
        <w:t>III</w:t>
      </w:r>
      <w:r w:rsidRPr="003F7A2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FF" w:rsidRDefault="001239F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1239FF" w:rsidRPr="0006396A" w:rsidRDefault="001239FF" w:rsidP="0006396A">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FF" w:rsidRDefault="001239FF">
    <w:pPr>
      <w:pStyle w:val="JuHeader"/>
    </w:pPr>
    <w:r>
      <w:rPr>
        <w:rStyle w:val="PageNumber"/>
      </w:rPr>
      <w:fldChar w:fldCharType="begin"/>
    </w:r>
    <w:r>
      <w:rPr>
        <w:rStyle w:val="PageNumber"/>
      </w:rPr>
      <w:instrText xml:space="preserve"> PAGE </w:instrText>
    </w:r>
    <w:r>
      <w:rPr>
        <w:rStyle w:val="PageNumber"/>
      </w:rPr>
      <w:fldChar w:fldCharType="separate"/>
    </w:r>
    <w:r w:rsidR="00F72065">
      <w:rPr>
        <w:rStyle w:val="PageNumber"/>
        <w:noProof/>
      </w:rPr>
      <w:t>12</w:t>
    </w:r>
    <w:r>
      <w:rPr>
        <w:rStyle w:val="PageNumber"/>
      </w:rPr>
      <w:fldChar w:fldCharType="end"/>
    </w:r>
    <w:r>
      <w:tab/>
      <w:t xml:space="preserve">VEREINIGUNG BILDENDER KÜNSTLER v. </w:t>
    </w:r>
    <w:smartTag w:uri="urn:schemas-microsoft-com:office:smarttags" w:element="place">
      <w:smartTag w:uri="urn:schemas-microsoft-com:office:smarttags" w:element="country-region">
        <w:r>
          <w:t>AUSTRIA</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FF" w:rsidRDefault="001239FF">
    <w:pPr>
      <w:pStyle w:val="JuHeader"/>
      <w:rPr>
        <w:rStyle w:val="PageNumber"/>
      </w:rPr>
    </w:pPr>
    <w:r>
      <w:tab/>
      <w:t xml:space="preserve">VEREINIGUNG BILDENDER KÜNSTLER v. </w:t>
    </w:r>
    <w:smartTag w:uri="urn:schemas-microsoft-com:office:smarttags" w:element="place">
      <w:smartTag w:uri="urn:schemas-microsoft-com:office:smarttags" w:element="country-region">
        <w:r>
          <w:t>AUSTRIA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F72065">
      <w:rPr>
        <w:rStyle w:val="PageNumber"/>
        <w:noProof/>
      </w:rPr>
      <w:t>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FF" w:rsidRDefault="001239FF">
    <w:pPr>
      <w:pStyle w:val="JuHeader"/>
    </w:pPr>
    <w:r>
      <w:rPr>
        <w:rStyle w:val="PageNumber"/>
      </w:rPr>
      <w:fldChar w:fldCharType="begin"/>
    </w:r>
    <w:r>
      <w:rPr>
        <w:rStyle w:val="PageNumber"/>
      </w:rPr>
      <w:instrText xml:space="preserve"> PAGE </w:instrText>
    </w:r>
    <w:r>
      <w:rPr>
        <w:rStyle w:val="PageNumber"/>
      </w:rPr>
      <w:fldChar w:fldCharType="separate"/>
    </w:r>
    <w:r w:rsidR="00F72065">
      <w:rPr>
        <w:rStyle w:val="PageNumber"/>
        <w:noProof/>
      </w:rPr>
      <w:t>14</w:t>
    </w:r>
    <w:r>
      <w:rPr>
        <w:rStyle w:val="PageNumber"/>
      </w:rPr>
      <w:fldChar w:fldCharType="end"/>
    </w:r>
    <w:r>
      <w:tab/>
      <w:t xml:space="preserve">VEREINIGUNG BILDENDER KÜNSTLER v. </w:t>
    </w:r>
    <w:smartTag w:uri="urn:schemas-microsoft-com:office:smarttags" w:element="country-region">
      <w:smartTag w:uri="urn:schemas-microsoft-com:office:smarttags" w:element="place">
        <w:r>
          <w:t>AUSTRIA</w:t>
        </w:r>
      </w:smartTag>
    </w:smartTag>
    <w:r>
      <w:t xml:space="preserve"> JUDGMENT –</w:t>
    </w:r>
  </w:p>
  <w:p w:rsidR="001239FF" w:rsidRDefault="001239FF">
    <w:pPr>
      <w:pStyle w:val="JuHeader"/>
    </w:pPr>
    <w:r>
      <w:rPr>
        <w:rFonts w:ascii="Times New (W1)" w:hAnsi="Times New (W1)"/>
        <w:caps/>
      </w:rPr>
      <w:tab/>
    </w:r>
    <w:r w:rsidRPr="007E1127">
      <w:rPr>
        <w:rFonts w:ascii="Times New (W1)" w:hAnsi="Times New (W1)"/>
        <w:caps/>
      </w:rPr>
      <w:t>Dissenting opinion of judge Loucaides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FF" w:rsidRDefault="001239FF">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tab/>
      <w:t xml:space="preserve">VEREINIGUNG BILDENDER KÜNSTLER v. </w:t>
    </w:r>
    <w:smartTag w:uri="urn:schemas-microsoft-com:office:smarttags" w:element="place">
      <w:smartTag w:uri="urn:schemas-microsoft-com:office:smarttags" w:element="country-region">
        <w:r>
          <w:t>AUSTRIA</w:t>
        </w:r>
      </w:smartTag>
    </w:smartTag>
    <w:r>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FF" w:rsidRDefault="001239FF">
    <w:pPr>
      <w:pStyle w:val="JuHeader"/>
      <w:rPr>
        <w:rStyle w:val="PageNumber"/>
      </w:rPr>
    </w:pPr>
    <w:r>
      <w:tab/>
      <w:t xml:space="preserve">VEREINIGUNG BILDENDER KÜNSTLER v. </w:t>
    </w:r>
    <w:smartTag w:uri="urn:schemas-microsoft-com:office:smarttags" w:element="place">
      <w:smartTag w:uri="urn:schemas-microsoft-com:office:smarttags" w:element="country-region">
        <w:r>
          <w:t>AUSTRIA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F72065">
      <w:rPr>
        <w:rStyle w:val="PageNumber"/>
        <w:noProof/>
      </w:rPr>
      <w:t>15</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FF" w:rsidRDefault="001239FF">
    <w:pPr>
      <w:pStyle w:val="JuHeader"/>
    </w:pPr>
    <w:r>
      <w:rPr>
        <w:rStyle w:val="PageNumber"/>
      </w:rPr>
      <w:fldChar w:fldCharType="begin"/>
    </w:r>
    <w:r>
      <w:rPr>
        <w:rStyle w:val="PageNumber"/>
      </w:rPr>
      <w:instrText xml:space="preserve"> PAGE </w:instrText>
    </w:r>
    <w:r>
      <w:rPr>
        <w:rStyle w:val="PageNumber"/>
      </w:rPr>
      <w:fldChar w:fldCharType="separate"/>
    </w:r>
    <w:r w:rsidR="00F72065">
      <w:rPr>
        <w:rStyle w:val="PageNumber"/>
        <w:noProof/>
      </w:rPr>
      <w:t>20</w:t>
    </w:r>
    <w:r>
      <w:rPr>
        <w:rStyle w:val="PageNumber"/>
      </w:rPr>
      <w:fldChar w:fldCharType="end"/>
    </w:r>
    <w:r>
      <w:tab/>
      <w:t xml:space="preserve">VEREINIGUNG BILDENDER KÜNSTLER v. </w:t>
    </w:r>
    <w:smartTag w:uri="urn:schemas-microsoft-com:office:smarttags" w:element="place">
      <w:smartTag w:uri="urn:schemas-microsoft-com:office:smarttags" w:element="country-region">
        <w:r>
          <w:t>AUSTRIA</w:t>
        </w:r>
      </w:smartTag>
    </w:smartTag>
    <w:r>
      <w:t xml:space="preserve"> JUDGMENT – </w:t>
    </w:r>
  </w:p>
  <w:p w:rsidR="001239FF" w:rsidRDefault="001239FF">
    <w:pPr>
      <w:pStyle w:val="JuHeader"/>
    </w:pPr>
    <w:r>
      <w:tab/>
    </w:r>
    <w:r w:rsidRPr="00A26F5E">
      <w:t>JOINT DISSENTING OPINION OF JUDGES SPIELMANN AND JEBENS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FF" w:rsidRDefault="001239FF">
    <w:pPr>
      <w:pStyle w:val="JuHeader"/>
      <w:rPr>
        <w:rStyle w:val="PageNumber"/>
      </w:rPr>
    </w:pPr>
    <w:r>
      <w:tab/>
      <w:t xml:space="preserve">VEREINIGUNG BILDENDER KÜNSTLER v. </w:t>
    </w:r>
    <w:smartTag w:uri="urn:schemas-microsoft-com:office:smarttags" w:element="country-region">
      <w:smartTag w:uri="urn:schemas-microsoft-com:office:smarttags" w:element="place">
        <w:r>
          <w:t>AUSTRIA</w:t>
        </w:r>
      </w:smartTag>
    </w:smartTag>
    <w:r>
      <w:t xml:space="preserve"> JUDGMENT – </w:t>
    </w:r>
    <w:r>
      <w:tab/>
    </w:r>
    <w:r>
      <w:rPr>
        <w:rStyle w:val="PageNumber"/>
      </w:rPr>
      <w:fldChar w:fldCharType="begin"/>
    </w:r>
    <w:r>
      <w:rPr>
        <w:rStyle w:val="PageNumber"/>
      </w:rPr>
      <w:instrText xml:space="preserve"> PAGE </w:instrText>
    </w:r>
    <w:r>
      <w:rPr>
        <w:rStyle w:val="PageNumber"/>
      </w:rPr>
      <w:fldChar w:fldCharType="separate"/>
    </w:r>
    <w:r w:rsidR="00F72065">
      <w:rPr>
        <w:rStyle w:val="PageNumber"/>
        <w:noProof/>
      </w:rPr>
      <w:t>19</w:t>
    </w:r>
    <w:r>
      <w:rPr>
        <w:rStyle w:val="PageNumber"/>
      </w:rPr>
      <w:fldChar w:fldCharType="end"/>
    </w:r>
  </w:p>
  <w:p w:rsidR="001239FF" w:rsidRDefault="001239FF">
    <w:pPr>
      <w:pStyle w:val="JuHeader"/>
      <w:rPr>
        <w:rStyle w:val="PageNumber"/>
      </w:rPr>
    </w:pPr>
    <w:r>
      <w:tab/>
    </w:r>
    <w:r w:rsidRPr="00A26F5E">
      <w:t>JOINT DISSENTING OPINION OF JUDGES SPIELMANN AND JEBENS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96A"/>
    <w:rsid w:val="000012DA"/>
    <w:rsid w:val="0000381A"/>
    <w:rsid w:val="0006396A"/>
    <w:rsid w:val="00085109"/>
    <w:rsid w:val="000C5228"/>
    <w:rsid w:val="000F5861"/>
    <w:rsid w:val="001239FF"/>
    <w:rsid w:val="00124DE8"/>
    <w:rsid w:val="00136071"/>
    <w:rsid w:val="00157C7F"/>
    <w:rsid w:val="00172E00"/>
    <w:rsid w:val="00193F56"/>
    <w:rsid w:val="001C0407"/>
    <w:rsid w:val="001E44AA"/>
    <w:rsid w:val="002200DD"/>
    <w:rsid w:val="00250556"/>
    <w:rsid w:val="00267BF8"/>
    <w:rsid w:val="002701E5"/>
    <w:rsid w:val="00283F8B"/>
    <w:rsid w:val="002C1DE0"/>
    <w:rsid w:val="002C605E"/>
    <w:rsid w:val="002D5258"/>
    <w:rsid w:val="00310A22"/>
    <w:rsid w:val="0032554A"/>
    <w:rsid w:val="00327DED"/>
    <w:rsid w:val="00352356"/>
    <w:rsid w:val="003536AC"/>
    <w:rsid w:val="0039117A"/>
    <w:rsid w:val="003B4540"/>
    <w:rsid w:val="003E5B66"/>
    <w:rsid w:val="004268A1"/>
    <w:rsid w:val="00460CE2"/>
    <w:rsid w:val="004821FC"/>
    <w:rsid w:val="004B54D0"/>
    <w:rsid w:val="004D4F4E"/>
    <w:rsid w:val="004F1FB8"/>
    <w:rsid w:val="00553DBB"/>
    <w:rsid w:val="005803E1"/>
    <w:rsid w:val="00580A33"/>
    <w:rsid w:val="00587536"/>
    <w:rsid w:val="005877BE"/>
    <w:rsid w:val="00590D71"/>
    <w:rsid w:val="005C65CB"/>
    <w:rsid w:val="0060220C"/>
    <w:rsid w:val="00682202"/>
    <w:rsid w:val="00697C99"/>
    <w:rsid w:val="006B4FE9"/>
    <w:rsid w:val="006E5350"/>
    <w:rsid w:val="00716079"/>
    <w:rsid w:val="0072703B"/>
    <w:rsid w:val="007402F6"/>
    <w:rsid w:val="00762538"/>
    <w:rsid w:val="007663F7"/>
    <w:rsid w:val="00775D70"/>
    <w:rsid w:val="007815D2"/>
    <w:rsid w:val="0079559F"/>
    <w:rsid w:val="007B4867"/>
    <w:rsid w:val="007D2983"/>
    <w:rsid w:val="007D3D2D"/>
    <w:rsid w:val="007E10F3"/>
    <w:rsid w:val="007E77F4"/>
    <w:rsid w:val="008029CD"/>
    <w:rsid w:val="00804042"/>
    <w:rsid w:val="00823BFA"/>
    <w:rsid w:val="008379CA"/>
    <w:rsid w:val="00870608"/>
    <w:rsid w:val="00891038"/>
    <w:rsid w:val="008D5528"/>
    <w:rsid w:val="008E36F2"/>
    <w:rsid w:val="009607CB"/>
    <w:rsid w:val="00974FC3"/>
    <w:rsid w:val="00986C30"/>
    <w:rsid w:val="009A0233"/>
    <w:rsid w:val="009A600A"/>
    <w:rsid w:val="009B298D"/>
    <w:rsid w:val="009F4C41"/>
    <w:rsid w:val="00A16917"/>
    <w:rsid w:val="00A27D16"/>
    <w:rsid w:val="00A36035"/>
    <w:rsid w:val="00A53A1D"/>
    <w:rsid w:val="00A5569F"/>
    <w:rsid w:val="00A66C24"/>
    <w:rsid w:val="00A76F5E"/>
    <w:rsid w:val="00A85CDA"/>
    <w:rsid w:val="00A869CB"/>
    <w:rsid w:val="00AB193C"/>
    <w:rsid w:val="00AD33E3"/>
    <w:rsid w:val="00AE12A4"/>
    <w:rsid w:val="00AF139E"/>
    <w:rsid w:val="00AF28D1"/>
    <w:rsid w:val="00B17EC7"/>
    <w:rsid w:val="00B71C55"/>
    <w:rsid w:val="00B97214"/>
    <w:rsid w:val="00BA015D"/>
    <w:rsid w:val="00BA30DB"/>
    <w:rsid w:val="00BE5DA2"/>
    <w:rsid w:val="00C10EDE"/>
    <w:rsid w:val="00C51932"/>
    <w:rsid w:val="00C66EF2"/>
    <w:rsid w:val="00C96A0A"/>
    <w:rsid w:val="00CD49A7"/>
    <w:rsid w:val="00CD789B"/>
    <w:rsid w:val="00CE293A"/>
    <w:rsid w:val="00D02611"/>
    <w:rsid w:val="00D35E1B"/>
    <w:rsid w:val="00D50E6B"/>
    <w:rsid w:val="00D71FB9"/>
    <w:rsid w:val="00D751F4"/>
    <w:rsid w:val="00D90F55"/>
    <w:rsid w:val="00DA17D5"/>
    <w:rsid w:val="00DA3CF6"/>
    <w:rsid w:val="00DC20FF"/>
    <w:rsid w:val="00DE2A62"/>
    <w:rsid w:val="00DE5D14"/>
    <w:rsid w:val="00E21EFE"/>
    <w:rsid w:val="00E9311D"/>
    <w:rsid w:val="00E95550"/>
    <w:rsid w:val="00EA482B"/>
    <w:rsid w:val="00EC3F37"/>
    <w:rsid w:val="00F333B9"/>
    <w:rsid w:val="00F42695"/>
    <w:rsid w:val="00F43833"/>
    <w:rsid w:val="00F47D0F"/>
    <w:rsid w:val="00F72065"/>
    <w:rsid w:val="00F843B7"/>
    <w:rsid w:val="00F87F77"/>
    <w:rsid w:val="00F92A55"/>
    <w:rsid w:val="00FA439A"/>
    <w:rsid w:val="00FB4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link w:val="JuQuotChar"/>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link w:val="PJuParaChar"/>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styleId="Hyperlink">
    <w:name w:val="Hyperlink"/>
    <w:basedOn w:val="DefaultParagraphFont"/>
    <w:rsid w:val="0006396A"/>
    <w:rPr>
      <w:color w:val="0000FF"/>
      <w:u w:val="single"/>
    </w:rPr>
  </w:style>
  <w:style w:type="paragraph" w:customStyle="1" w:styleId="JuParaChar">
    <w:name w:val="Ju_Para Char"/>
    <w:basedOn w:val="Normal"/>
    <w:link w:val="JuParaCharChar"/>
    <w:rsid w:val="0006396A"/>
    <w:pPr>
      <w:ind w:firstLine="284"/>
      <w:jc w:val="both"/>
    </w:pPr>
  </w:style>
  <w:style w:type="character" w:customStyle="1" w:styleId="JuParaCharChar">
    <w:name w:val="Ju_Para Char Char"/>
    <w:basedOn w:val="DefaultParagraphFont"/>
    <w:link w:val="JuParaChar"/>
    <w:rsid w:val="0006396A"/>
    <w:rPr>
      <w:sz w:val="24"/>
      <w:lang w:val="en-GB" w:eastAsia="fr-FR" w:bidi="ar-SA"/>
    </w:rPr>
  </w:style>
  <w:style w:type="character" w:customStyle="1" w:styleId="PJuParaChar">
    <w:name w:val="P_Ju_Para Char"/>
    <w:basedOn w:val="DefaultParagraphFont"/>
    <w:link w:val="PJuPara"/>
    <w:rsid w:val="0006396A"/>
    <w:rPr>
      <w:sz w:val="24"/>
      <w:lang w:val="en-GB" w:eastAsia="fr-FR" w:bidi="ar-SA"/>
    </w:rPr>
  </w:style>
  <w:style w:type="character" w:customStyle="1" w:styleId="JuQuotChar">
    <w:name w:val="Ju_Quot Char"/>
    <w:basedOn w:val="JuParaChar"/>
    <w:link w:val="JuQuot"/>
    <w:rsid w:val="0006396A"/>
    <w:rPr>
      <w:lang w:val="en-GB" w:eastAsia="fr-FR" w:bidi="ar-SA"/>
    </w:rPr>
  </w:style>
  <w:style w:type="character" w:customStyle="1" w:styleId="ju-005fpara--char">
    <w:name w:val="ju-005fpara--char"/>
    <w:basedOn w:val="DefaultParagraphFont"/>
    <w:rsid w:val="0006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BE448-B19F-4D1C-B345-CBD50BB1217E}"/>
</file>

<file path=customXml/itemProps2.xml><?xml version="1.0" encoding="utf-8"?>
<ds:datastoreItem xmlns:ds="http://schemas.openxmlformats.org/officeDocument/2006/customXml" ds:itemID="{D4C1EEC9-A869-4135-BCE8-E4A433249563}"/>
</file>

<file path=customXml/itemProps3.xml><?xml version="1.0" encoding="utf-8"?>
<ds:datastoreItem xmlns:ds="http://schemas.openxmlformats.org/officeDocument/2006/customXml" ds:itemID="{64DA0A78-C949-490E-9C30-F6BD09D5038C}"/>
</file>

<file path=docProps/app.xml><?xml version="1.0" encoding="utf-8"?>
<Properties xmlns="http://schemas.openxmlformats.org/officeDocument/2006/extended-properties" xmlns:vt="http://schemas.openxmlformats.org/officeDocument/2006/docPropsVTypes">
  <Template>Normal.dotm</Template>
  <TotalTime>5</TotalTime>
  <Pages>1</Pages>
  <Words>6723</Words>
  <Characters>38326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cp:revision>
  <cp:lastPrinted>2007-01-23T13:29:00Z</cp:lastPrinted>
  <dcterms:created xsi:type="dcterms:W3CDTF">2015-05-26T11:07:00Z</dcterms:created>
  <dcterms:modified xsi:type="dcterms:W3CDTF">2015-05-26T11:07:00Z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