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A0DB7" w:rsidR="00BD7CBC" w:rsidP="00252EB8" w:rsidRDefault="00BD7CBC">
      <w:pPr>
        <w:jc w:val="center"/>
      </w:pPr>
      <w:bookmarkStart w:name="_GoBack" w:id="0"/>
      <w:bookmarkEnd w:id="0"/>
    </w:p>
    <w:p w:rsidRPr="001A0DB7" w:rsidR="00CD49A7" w:rsidP="00252EB8" w:rsidRDefault="00CD49A7">
      <w:pPr>
        <w:jc w:val="center"/>
      </w:pPr>
    </w:p>
    <w:p w:rsidRPr="00DE7FCC" w:rsidR="00CD49A7" w:rsidP="00252EB8" w:rsidRDefault="00B35738">
      <w:pPr>
        <w:jc w:val="center"/>
        <w:outlineLvl w:val="0"/>
      </w:pPr>
      <w:r w:rsidRPr="00DE7FCC">
        <w:t>FIRST SECTION</w:t>
      </w:r>
    </w:p>
    <w:p w:rsidR="00BD7CBC" w:rsidP="00252EB8" w:rsidRDefault="00BD7CBC">
      <w:pPr>
        <w:jc w:val="center"/>
      </w:pPr>
    </w:p>
    <w:p w:rsidRPr="00DE7FCC" w:rsidR="00CD49A7" w:rsidP="00252EB8" w:rsidRDefault="00CD49A7">
      <w:pPr>
        <w:jc w:val="center"/>
      </w:pPr>
    </w:p>
    <w:p w:rsidRPr="00DE7FCC" w:rsidR="00CD49A7" w:rsidP="00252EB8" w:rsidRDefault="00CD49A7">
      <w:pPr>
        <w:jc w:val="center"/>
        <w:outlineLvl w:val="0"/>
        <w:rPr>
          <w:b/>
        </w:rPr>
      </w:pPr>
      <w:r w:rsidRPr="00DE7FCC">
        <w:rPr>
          <w:b/>
        </w:rPr>
        <w:t xml:space="preserve">CASE OF </w:t>
      </w:r>
      <w:r w:rsidRPr="00DE7FCC" w:rsidR="00B35738">
        <w:rPr>
          <w:b/>
        </w:rPr>
        <w:t xml:space="preserve">FADEYEVA v. </w:t>
      </w:r>
      <w:smartTag w:uri="urn:schemas-microsoft-com:office:smarttags" w:element="country-region">
        <w:smartTag w:uri="urn:schemas-microsoft-com:office:smarttags" w:element="place">
          <w:r w:rsidR="00B35738" w:rsidRPr="00DE7FCC">
            <w:rPr>
              <w:b/>
            </w:rPr>
            <w:t>RUSSIA</w:t>
          </w:r>
        </w:smartTag>
      </w:smartTag>
    </w:p>
    <w:p w:rsidR="00CD49A7" w:rsidP="00252EB8" w:rsidRDefault="00CD49A7">
      <w:pPr>
        <w:jc w:val="center"/>
      </w:pPr>
    </w:p>
    <w:p w:rsidRPr="00DE7FCC" w:rsidR="00D572E6" w:rsidP="00252EB8" w:rsidRDefault="00D572E6">
      <w:pPr>
        <w:jc w:val="center"/>
      </w:pPr>
    </w:p>
    <w:p w:rsidRPr="00DE7FCC" w:rsidR="00CD49A7" w:rsidP="00252EB8" w:rsidRDefault="00CD49A7">
      <w:pPr>
        <w:jc w:val="center"/>
        <w:rPr>
          <w:i/>
        </w:rPr>
      </w:pPr>
      <w:r w:rsidRPr="00DE7FCC">
        <w:rPr>
          <w:i/>
        </w:rPr>
        <w:t>(</w:t>
      </w:r>
      <w:r w:rsidRPr="00DE7FCC" w:rsidR="00B35738">
        <w:rPr>
          <w:i/>
        </w:rPr>
        <w:t>Application no. 55723/00</w:t>
      </w:r>
      <w:r w:rsidRPr="00DE7FCC">
        <w:rPr>
          <w:i/>
        </w:rPr>
        <w:t>)</w:t>
      </w:r>
    </w:p>
    <w:p w:rsidR="00BD7CBC" w:rsidP="00F71765" w:rsidRDefault="00BD7CBC">
      <w:pPr>
        <w:jc w:val="center"/>
      </w:pPr>
    </w:p>
    <w:p w:rsidR="00BD7CBC" w:rsidP="00F71765" w:rsidRDefault="00BD7CBC">
      <w:pPr>
        <w:jc w:val="center"/>
      </w:pPr>
    </w:p>
    <w:p w:rsidR="00BD7CBC" w:rsidP="00F71765" w:rsidRDefault="00BD7CBC">
      <w:pPr>
        <w:jc w:val="center"/>
      </w:pPr>
      <w:r>
        <w:t>JUDGMENT</w:t>
      </w:r>
    </w:p>
    <w:p w:rsidR="00BD7CBC" w:rsidP="00F71765" w:rsidRDefault="00BD7CBC">
      <w:pPr>
        <w:jc w:val="center"/>
      </w:pPr>
    </w:p>
    <w:p w:rsidR="00D572E6" w:rsidP="00F71765" w:rsidRDefault="00D572E6">
      <w:pPr>
        <w:jc w:val="center"/>
      </w:pPr>
    </w:p>
    <w:p w:rsidR="00BD7CBC" w:rsidP="00F71765" w:rsidRDefault="00BD7CBC">
      <w:pPr>
        <w:jc w:val="center"/>
      </w:pPr>
      <w:smartTag w:uri="urn:schemas-microsoft-com:office:smarttags" w:element="City">
        <w:smartTag w:uri="urn:schemas-microsoft-com:office:smarttags" w:element="place">
          <w:r>
            <w:t>STRASBOURG</w:t>
          </w:r>
        </w:smartTag>
      </w:smartTag>
    </w:p>
    <w:p w:rsidR="00BD7CBC" w:rsidP="00F71765" w:rsidRDefault="00BD7CBC">
      <w:pPr>
        <w:jc w:val="center"/>
      </w:pPr>
    </w:p>
    <w:p w:rsidR="00D572E6" w:rsidP="00F71765" w:rsidRDefault="00D572E6">
      <w:pPr>
        <w:jc w:val="center"/>
      </w:pPr>
    </w:p>
    <w:p w:rsidR="00BD7CBC" w:rsidP="00F71765" w:rsidRDefault="00373DD7">
      <w:pPr>
        <w:jc w:val="center"/>
      </w:pPr>
      <w:smartTag w:uri="urn:schemas-microsoft-com:office:smarttags" w:element="date">
        <w:smartTagPr>
          <w:attr w:name="Month" w:val="6"/>
          <w:attr w:name="Day" w:val="9"/>
          <w:attr w:name="Year" w:val="2005"/>
        </w:smartTagPr>
        <w:r>
          <w:t>9 June 2005</w:t>
        </w:r>
      </w:smartTag>
    </w:p>
    <w:p w:rsidR="00BD7CBC" w:rsidP="00F71765" w:rsidRDefault="00BD7CBC">
      <w:pPr>
        <w:jc w:val="center"/>
      </w:pPr>
    </w:p>
    <w:p w:rsidR="00D572E6" w:rsidP="00D572E6" w:rsidRDefault="00D572E6">
      <w:pPr>
        <w:jc w:val="center"/>
        <w:rPr>
          <w:color w:val="FF0000"/>
        </w:rPr>
      </w:pPr>
    </w:p>
    <w:p w:rsidR="00D572E6" w:rsidP="00D572E6" w:rsidRDefault="00D572E6">
      <w:pPr>
        <w:jc w:val="center"/>
        <w:rPr>
          <w:color w:val="FF0000"/>
        </w:rPr>
      </w:pPr>
    </w:p>
    <w:p w:rsidR="00D572E6" w:rsidP="00D572E6" w:rsidRDefault="00D572E6">
      <w:pPr>
        <w:jc w:val="center"/>
        <w:rPr>
          <w:b/>
          <w:color w:val="FF0000"/>
          <w:sz w:val="36"/>
          <w:u w:val="single"/>
        </w:rPr>
      </w:pPr>
      <w:r>
        <w:rPr>
          <w:b/>
          <w:color w:val="FF0000"/>
          <w:sz w:val="36"/>
          <w:u w:val="single"/>
        </w:rPr>
        <w:t>FINAL</w:t>
      </w:r>
    </w:p>
    <w:p w:rsidR="00D572E6" w:rsidP="00D572E6" w:rsidRDefault="00D572E6">
      <w:pPr>
        <w:jc w:val="center"/>
        <w:rPr>
          <w:color w:val="FF0000"/>
        </w:rPr>
      </w:pPr>
    </w:p>
    <w:p w:rsidR="00D572E6" w:rsidP="00D572E6" w:rsidRDefault="00D572E6">
      <w:pPr>
        <w:jc w:val="center"/>
        <w:rPr>
          <w:color w:val="FF0000"/>
        </w:rPr>
      </w:pPr>
    </w:p>
    <w:p w:rsidR="00D572E6" w:rsidP="00D572E6" w:rsidRDefault="00D572E6">
      <w:pPr>
        <w:jc w:val="center"/>
        <w:rPr>
          <w:i/>
          <w:color w:val="FF0000"/>
          <w:sz w:val="36"/>
        </w:rPr>
      </w:pPr>
      <w:smartTag w:uri="urn:schemas-microsoft-com:office:smarttags" w:element="date">
        <w:smartTagPr>
          <w:attr w:name="Month" w:val="11"/>
          <w:attr w:name="Day" w:val="30"/>
          <w:attr w:name="Year" w:val="2005"/>
        </w:smartTagPr>
        <w:r>
          <w:rPr>
            <w:i/>
            <w:color w:val="FF0000"/>
            <w:sz w:val="36"/>
          </w:rPr>
          <w:t>30/11/2005</w:t>
        </w:r>
      </w:smartTag>
    </w:p>
    <w:p w:rsidR="00D572E6" w:rsidP="00D572E6" w:rsidRDefault="00D572E6">
      <w:pPr>
        <w:jc w:val="center"/>
        <w:rPr>
          <w:color w:val="FF0000"/>
        </w:rPr>
      </w:pPr>
    </w:p>
    <w:p w:rsidR="00D572E6" w:rsidP="00D572E6" w:rsidRDefault="00D572E6">
      <w:pPr>
        <w:jc w:val="center"/>
        <w:rPr>
          <w:color w:val="FF0000"/>
        </w:rPr>
      </w:pPr>
    </w:p>
    <w:p w:rsidR="00BD7CBC" w:rsidP="00252EB8" w:rsidRDefault="00BD7CBC">
      <w:pPr>
        <w:pStyle w:val="JuCase"/>
        <w:outlineLvl w:val="0"/>
        <w:sectPr w:rsidR="00BD7CBC" w:rsidSect="00522139">
          <w:headerReference w:type="default" r:id="rId7"/>
          <w:footerReference w:type="even" r:id="rId8"/>
          <w:footnotePr>
            <w:numRestart w:val="eachPage"/>
          </w:footnotePr>
          <w:pgSz w:w="11906" w:h="16838" w:code="9"/>
          <w:pgMar w:top="2274" w:right="2274" w:bottom="2274" w:left="2274" w:header="1701" w:footer="709" w:gutter="0"/>
          <w:pgNumType w:start="1"/>
          <w:cols w:space="720"/>
          <w:docGrid w:linePitch="78"/>
        </w:sectPr>
      </w:pPr>
    </w:p>
    <w:p w:rsidRPr="00DE7FCC" w:rsidR="00CD49A7" w:rsidP="00252EB8" w:rsidRDefault="00CD49A7">
      <w:pPr>
        <w:pStyle w:val="JuCase"/>
        <w:outlineLvl w:val="0"/>
      </w:pPr>
      <w:r w:rsidRPr="00DE7FCC">
        <w:t xml:space="preserve">In the case of </w:t>
      </w:r>
      <w:r w:rsidRPr="00DE7FCC" w:rsidR="00B35738">
        <w:t xml:space="preserve">Fadeyeva v. </w:t>
      </w:r>
      <w:smartTag w:uri="urn:schemas-microsoft-com:office:smarttags" w:element="country-region">
        <w:smartTag w:uri="urn:schemas-microsoft-com:office:smarttags" w:element="place">
          <w:r w:rsidR="00B35738" w:rsidRPr="00DE7FCC">
            <w:t>Russia</w:t>
          </w:r>
        </w:smartTag>
      </w:smartTag>
      <w:r w:rsidRPr="00C536FC">
        <w:t>,</w:t>
      </w:r>
    </w:p>
    <w:p w:rsidRPr="00DE7FCC" w:rsidR="00CD49A7" w:rsidP="00252EB8" w:rsidRDefault="00CD49A7">
      <w:pPr>
        <w:pStyle w:val="JuParaCharCharCharCharCharChar"/>
      </w:pPr>
      <w:r w:rsidRPr="00DE7FCC">
        <w:t>The European Court of Human Rights</w:t>
      </w:r>
      <w:r w:rsidRPr="00DE7FCC" w:rsidR="00B35738">
        <w:t xml:space="preserve"> (First Section)</w:t>
      </w:r>
      <w:r w:rsidRPr="00DE7FCC">
        <w:t xml:space="preserve">, sitting as a </w:t>
      </w:r>
      <w:r w:rsidRPr="00DE7FCC" w:rsidR="00B35738">
        <w:t>Chamber</w:t>
      </w:r>
      <w:r w:rsidRPr="00DE7FCC">
        <w:t xml:space="preserve"> composed of:</w:t>
      </w:r>
    </w:p>
    <w:p w:rsidRPr="00DE7FCC" w:rsidR="00CD49A7" w:rsidP="00252EB8" w:rsidRDefault="00CD49A7">
      <w:pPr>
        <w:pStyle w:val="JuJudges"/>
      </w:pPr>
      <w:r w:rsidRPr="00DE7FCC">
        <w:tab/>
      </w:r>
      <w:r w:rsidRPr="00DE7FCC" w:rsidR="00B35738">
        <w:t>Mr</w:t>
      </w:r>
      <w:r w:rsidRPr="00DE7FCC">
        <w:tab/>
      </w:r>
      <w:r w:rsidRPr="00DE7FCC" w:rsidR="00B35738">
        <w:rPr>
          <w:rStyle w:val="JuNames"/>
        </w:rPr>
        <w:t>C.L.</w:t>
      </w:r>
      <w:r w:rsidRPr="00DE7FCC">
        <w:t xml:space="preserve"> </w:t>
      </w:r>
      <w:r w:rsidRPr="00DE7FCC" w:rsidR="00B35738">
        <w:rPr>
          <w:rStyle w:val="JuNames"/>
        </w:rPr>
        <w:t>Rozakis</w:t>
      </w:r>
      <w:r w:rsidRPr="00DE7FCC">
        <w:t xml:space="preserve">, </w:t>
      </w:r>
      <w:r w:rsidRPr="00DE7FCC" w:rsidR="00B35738">
        <w:rPr>
          <w:i/>
        </w:rPr>
        <w:t>President</w:t>
      </w:r>
      <w:r w:rsidRPr="00DE7FCC">
        <w:t>,</w:t>
      </w:r>
      <w:r w:rsidRPr="00DE7FCC">
        <w:br/>
      </w:r>
      <w:r w:rsidRPr="00DE7FCC">
        <w:tab/>
      </w:r>
      <w:r w:rsidRPr="00DE7FCC" w:rsidR="00B35738">
        <w:t>Mr</w:t>
      </w:r>
      <w:r w:rsidRPr="00DE7FCC">
        <w:tab/>
      </w:r>
      <w:r w:rsidRPr="00DE7FCC" w:rsidR="00B35738">
        <w:rPr>
          <w:rStyle w:val="JuNames"/>
        </w:rPr>
        <w:t>P.</w:t>
      </w:r>
      <w:r w:rsidRPr="00DE7FCC">
        <w:t xml:space="preserve"> </w:t>
      </w:r>
      <w:r w:rsidRPr="00DE7FCC" w:rsidR="00B35738">
        <w:rPr>
          <w:rStyle w:val="JuNames"/>
        </w:rPr>
        <w:t>Lorenzen</w:t>
      </w:r>
      <w:r w:rsidRPr="00DE7FCC">
        <w:t>,</w:t>
      </w:r>
      <w:r w:rsidRPr="00DE7FCC">
        <w:br/>
      </w:r>
      <w:r w:rsidRPr="00DE7FCC">
        <w:tab/>
      </w:r>
      <w:r w:rsidRPr="00DE7FCC" w:rsidR="00B35738">
        <w:t>Mrs</w:t>
      </w:r>
      <w:r w:rsidRPr="00DE7FCC">
        <w:tab/>
      </w:r>
      <w:r w:rsidRPr="00DE7FCC" w:rsidR="00B35738">
        <w:rPr>
          <w:rStyle w:val="JuNames"/>
        </w:rPr>
        <w:t>F.</w:t>
      </w:r>
      <w:r w:rsidRPr="00DE7FCC">
        <w:t xml:space="preserve"> </w:t>
      </w:r>
      <w:r w:rsidRPr="00DE7FCC" w:rsidR="00B35738">
        <w:rPr>
          <w:rStyle w:val="JuNames"/>
        </w:rPr>
        <w:t>Tulkens</w:t>
      </w:r>
      <w:r w:rsidRPr="00DE7FCC">
        <w:t>,</w:t>
      </w:r>
      <w:r w:rsidRPr="00DE7FCC">
        <w:br/>
      </w:r>
      <w:r w:rsidRPr="00DE7FCC">
        <w:tab/>
      </w:r>
      <w:r w:rsidRPr="00DE7FCC" w:rsidR="00B35738">
        <w:t>Mrs</w:t>
      </w:r>
      <w:r w:rsidRPr="00DE7FCC">
        <w:tab/>
      </w:r>
      <w:r w:rsidRPr="00DE7FCC" w:rsidR="00B35738">
        <w:rPr>
          <w:rStyle w:val="JuNames"/>
        </w:rPr>
        <w:t>N.</w:t>
      </w:r>
      <w:r w:rsidRPr="00DE7FCC">
        <w:t xml:space="preserve"> </w:t>
      </w:r>
      <w:r w:rsidRPr="00DE7FCC" w:rsidR="00B35738">
        <w:rPr>
          <w:rStyle w:val="JuNames"/>
        </w:rPr>
        <w:t>Vajić</w:t>
      </w:r>
      <w:r w:rsidRPr="00DE7FCC">
        <w:t>,</w:t>
      </w:r>
      <w:r w:rsidRPr="00DE7FCC">
        <w:br/>
      </w:r>
      <w:r w:rsidRPr="00DE7FCC">
        <w:tab/>
      </w:r>
      <w:r w:rsidRPr="00DE7FCC" w:rsidR="00B35738">
        <w:t>Mrs</w:t>
      </w:r>
      <w:r w:rsidRPr="00DE7FCC">
        <w:tab/>
      </w:r>
      <w:smartTag w:uri="urn:schemas-microsoft-com:office:smarttags" w:element="place">
        <w:r w:rsidR="00B35738" w:rsidRPr="00DE7FCC">
          <w:rPr>
            <w:rStyle w:val="JuNames"/>
          </w:rPr>
          <w:t>S.</w:t>
        </w:r>
        <w:r w:rsidRPr="00DE7FCC">
          <w:t xml:space="preserve"> </w:t>
        </w:r>
        <w:r w:rsidR="00B35738" w:rsidRPr="00DE7FCC">
          <w:rPr>
            <w:rStyle w:val="JuNames"/>
          </w:rPr>
          <w:t>Botoucharova</w:t>
        </w:r>
      </w:smartTag>
      <w:r w:rsidRPr="00DE7FCC">
        <w:t>,</w:t>
      </w:r>
      <w:r w:rsidRPr="00DE7FCC">
        <w:br/>
      </w:r>
      <w:r w:rsidRPr="00DE7FCC">
        <w:tab/>
      </w:r>
      <w:r w:rsidRPr="00DE7FCC" w:rsidR="00B35738">
        <w:t>Mr</w:t>
      </w:r>
      <w:r w:rsidRPr="00DE7FCC">
        <w:tab/>
      </w:r>
      <w:r w:rsidRPr="00DE7FCC" w:rsidR="00B35738">
        <w:rPr>
          <w:rStyle w:val="JuNames"/>
        </w:rPr>
        <w:t>A.</w:t>
      </w:r>
      <w:r w:rsidRPr="00DE7FCC">
        <w:t xml:space="preserve"> </w:t>
      </w:r>
      <w:r w:rsidRPr="00DE7FCC" w:rsidR="00B35738">
        <w:rPr>
          <w:rStyle w:val="JuNames"/>
        </w:rPr>
        <w:t>Kovler</w:t>
      </w:r>
      <w:r w:rsidRPr="002A47A5">
        <w:rPr>
          <w:rStyle w:val="JuNames"/>
        </w:rPr>
        <w:t>,</w:t>
      </w:r>
      <w:r w:rsidRPr="00DE7FCC">
        <w:rPr>
          <w:rStyle w:val="JuNames"/>
        </w:rPr>
        <w:br/>
      </w:r>
      <w:r w:rsidRPr="00DE7FCC">
        <w:tab/>
      </w:r>
      <w:r w:rsidRPr="00DE7FCC" w:rsidR="00B35738">
        <w:t>Mr</w:t>
      </w:r>
      <w:r w:rsidRPr="00DE7FCC">
        <w:tab/>
      </w:r>
      <w:r w:rsidRPr="00DE7FCC" w:rsidR="00B35738">
        <w:rPr>
          <w:rStyle w:val="JuNames"/>
        </w:rPr>
        <w:t>V.</w:t>
      </w:r>
      <w:r w:rsidRPr="00DE7FCC">
        <w:t xml:space="preserve"> </w:t>
      </w:r>
      <w:r w:rsidRPr="00DE7FCC" w:rsidR="00B35738">
        <w:rPr>
          <w:rStyle w:val="JuNames"/>
        </w:rPr>
        <w:t>Zagrebelsky</w:t>
      </w:r>
      <w:r w:rsidRPr="00DE7FCC">
        <w:rPr>
          <w:rStyle w:val="JuNames"/>
        </w:rPr>
        <w:t>,</w:t>
      </w:r>
      <w:r w:rsidRPr="00DE7FCC" w:rsidR="00B35738">
        <w:t xml:space="preserve"> </w:t>
      </w:r>
      <w:r w:rsidRPr="00DE7FCC" w:rsidR="00B35738">
        <w:rPr>
          <w:i/>
        </w:rPr>
        <w:t>judges</w:t>
      </w:r>
      <w:r w:rsidRPr="00DE7FCC" w:rsidR="00B35738">
        <w:t>,</w:t>
      </w:r>
      <w:r w:rsidRPr="00DE7FCC">
        <w:br/>
        <w:t xml:space="preserve">and </w:t>
      </w:r>
      <w:r w:rsidRPr="00DE7FCC" w:rsidR="00B35738">
        <w:t>Mr</w:t>
      </w:r>
      <w:r w:rsidRPr="00DE7FCC">
        <w:t xml:space="preserve"> </w:t>
      </w:r>
      <w:r w:rsidRPr="00DE7FCC" w:rsidR="00B35738">
        <w:rPr>
          <w:rStyle w:val="JuNames"/>
        </w:rPr>
        <w:t>S.</w:t>
      </w:r>
      <w:r w:rsidRPr="00DE7FCC">
        <w:t xml:space="preserve"> </w:t>
      </w:r>
      <w:r w:rsidRPr="00DE7FCC" w:rsidR="00B35738">
        <w:rPr>
          <w:rStyle w:val="JuNames"/>
        </w:rPr>
        <w:t>Nielsen</w:t>
      </w:r>
      <w:r w:rsidRPr="00DE7FCC">
        <w:t xml:space="preserve">, </w:t>
      </w:r>
      <w:r w:rsidRPr="00DE7FCC" w:rsidR="00B35738">
        <w:rPr>
          <w:i/>
        </w:rPr>
        <w:t>Section Registrar</w:t>
      </w:r>
      <w:r w:rsidRPr="00DE7FCC">
        <w:t>,</w:t>
      </w:r>
    </w:p>
    <w:p w:rsidRPr="00DE7FCC" w:rsidR="00CD49A7" w:rsidP="00252EB8" w:rsidRDefault="00CD49A7">
      <w:pPr>
        <w:pStyle w:val="JuParaCharCharCharCharCharChar"/>
      </w:pPr>
      <w:r w:rsidRPr="00DE7FCC">
        <w:t xml:space="preserve">Having deliberated in private on </w:t>
      </w:r>
      <w:smartTag w:uri="urn:schemas-microsoft-com:office:smarttags" w:element="date">
        <w:smartTagPr>
          <w:attr w:name="Month" w:val="7"/>
          <w:attr w:name="Day" w:val="1"/>
          <w:attr w:name="Year" w:val="2004"/>
        </w:smartTagPr>
        <w:r w:rsidR="00B35738" w:rsidRPr="00DE7FCC">
          <w:t>1 July 2004</w:t>
        </w:r>
      </w:smartTag>
      <w:r w:rsidR="002F22AF">
        <w:t xml:space="preserve"> and </w:t>
      </w:r>
      <w:smartTag w:uri="urn:schemas-microsoft-com:office:smarttags" w:element="date">
        <w:smartTagPr>
          <w:attr w:name="Month" w:val="5"/>
          <w:attr w:name="Day" w:val="19"/>
          <w:attr w:name="Year" w:val="2005"/>
        </w:smartTagPr>
        <w:r w:rsidR="00156391">
          <w:t>19 May 2005</w:t>
        </w:r>
      </w:smartTag>
      <w:r w:rsidRPr="00DE7FCC" w:rsidR="00156391">
        <w:t>,</w:t>
      </w:r>
    </w:p>
    <w:p w:rsidRPr="00DE7FCC" w:rsidR="00CD49A7" w:rsidP="00252EB8" w:rsidRDefault="002F22AF">
      <w:pPr>
        <w:pStyle w:val="JuParaCharCharCharCharCharChar"/>
      </w:pPr>
      <w:r>
        <w:t xml:space="preserve">Delivers the following </w:t>
      </w:r>
      <w:r w:rsidRPr="00DE7FCC" w:rsidR="00CD49A7">
        <w:t>jud</w:t>
      </w:r>
      <w:r>
        <w:t>gment, which was adopted on the last-</w:t>
      </w:r>
      <w:r w:rsidRPr="00DE7FCC" w:rsidR="00CD49A7">
        <w:t>mentioned date:</w:t>
      </w:r>
    </w:p>
    <w:p w:rsidRPr="00DE7FCC" w:rsidR="00CD49A7" w:rsidP="00252EB8" w:rsidRDefault="00CD49A7">
      <w:pPr>
        <w:pStyle w:val="JuHHead"/>
      </w:pPr>
      <w:r w:rsidRPr="00DE7FCC">
        <w:t>PROCEDURE</w:t>
      </w:r>
    </w:p>
    <w:p w:rsidR="00772DF2" w:rsidP="00252EB8" w:rsidRDefault="00824E91">
      <w:pPr>
        <w:pStyle w:val="JuParaCharCharCharCharCharChar"/>
      </w:pPr>
      <w:r>
        <w:fldChar w:fldCharType="begin"/>
      </w:r>
      <w:r>
        <w:instrText xml:space="preserve"> SEQ level0 \*arabic </w:instrText>
      </w:r>
      <w:r>
        <w:fldChar w:fldCharType="separate"/>
      </w:r>
      <w:r w:rsidR="008C3401">
        <w:rPr>
          <w:noProof/>
        </w:rPr>
        <w:t>1</w:t>
      </w:r>
      <w:r>
        <w:fldChar w:fldCharType="end"/>
      </w:r>
      <w:r>
        <w:t>.  </w:t>
      </w:r>
      <w:r w:rsidRPr="00DE7FCC" w:rsidR="00CD49A7">
        <w:t xml:space="preserve">The case originated in </w:t>
      </w:r>
      <w:r w:rsidRPr="00DE7FCC" w:rsidR="00B35738">
        <w:t>an application (no. 55723/00)</w:t>
      </w:r>
      <w:r w:rsidRPr="00DE7FCC" w:rsidR="00CD49A7">
        <w:t xml:space="preserve"> against </w:t>
      </w:r>
      <w:r w:rsidRPr="00DE7FCC" w:rsidR="00B35738">
        <w:t xml:space="preserve">the </w:t>
      </w:r>
      <w:smartTag w:uri="urn:schemas-microsoft-com:office:smarttags" w:element="country-region">
        <w:smartTag w:uri="urn:schemas-microsoft-com:office:smarttags" w:element="place">
          <w:r w:rsidR="00B35738" w:rsidRPr="00DE7FCC">
            <w:t>Russian Federation</w:t>
          </w:r>
        </w:smartTag>
      </w:smartTag>
      <w:r w:rsidRPr="00DE7FCC" w:rsidR="00CD49A7">
        <w:t xml:space="preserve"> lodged with the </w:t>
      </w:r>
      <w:r w:rsidRPr="00DE7FCC" w:rsidR="00B35738">
        <w:t>Court under Article 34</w:t>
      </w:r>
      <w:r w:rsidRPr="00DE7FCC" w:rsidR="00CD49A7">
        <w:t xml:space="preserve"> of the Convention for the Protection of Human Rights and Fundamental Freedoms (“the Convention”) by </w:t>
      </w:r>
      <w:r w:rsidRPr="00DE7FCC" w:rsidR="00B35738">
        <w:t xml:space="preserve">a Russian national, </w:t>
      </w:r>
      <w:r w:rsidR="009108C8">
        <w:t xml:space="preserve">Ms </w:t>
      </w:r>
      <w:r w:rsidRPr="00DE7FCC" w:rsidR="00B35738">
        <w:t xml:space="preserve">Nadezhda Mikhaylovna Fadeyeva (“the applicant”), on </w:t>
      </w:r>
      <w:smartTag w:uri="urn:schemas-microsoft-com:office:smarttags" w:element="date">
        <w:smartTagPr>
          <w:attr w:name="Month" w:val="12"/>
          <w:attr w:name="Day" w:val="11"/>
          <w:attr w:name="Year" w:val="1999"/>
        </w:smartTagPr>
        <w:r w:rsidR="00B35738" w:rsidRPr="00DE7FCC">
          <w:t>11 December 1999</w:t>
        </w:r>
      </w:smartTag>
      <w:r w:rsidRPr="00DE7FCC" w:rsidR="00CD49A7">
        <w:t>.</w:t>
      </w:r>
    </w:p>
    <w:p w:rsidRPr="00DE7FCC" w:rsidR="00CD49A7" w:rsidP="00252EB8" w:rsidRDefault="00B35738">
      <w:pPr>
        <w:pStyle w:val="JuParaCharCharCharCharCharChar"/>
        <w:rPr>
          <w:noProof/>
        </w:rPr>
      </w:pPr>
      <w:r w:rsidRPr="00DE7FCC">
        <w:fldChar w:fldCharType="begin"/>
      </w:r>
      <w:r w:rsidRPr="00DE7FCC">
        <w:instrText xml:space="preserve"> SEQ level0 \*arabic </w:instrText>
      </w:r>
      <w:r w:rsidRPr="00DE7FCC">
        <w:fldChar w:fldCharType="separate"/>
      </w:r>
      <w:r w:rsidR="008C3401">
        <w:rPr>
          <w:noProof/>
        </w:rPr>
        <w:t>2</w:t>
      </w:r>
      <w:r w:rsidRPr="00DE7FCC">
        <w:fldChar w:fldCharType="end"/>
      </w:r>
      <w:r w:rsidRPr="00DE7FCC" w:rsidR="00CD49A7">
        <w:t>.  </w:t>
      </w:r>
      <w:r w:rsidRPr="00DE7FCC">
        <w:t>The applicant</w:t>
      </w:r>
      <w:r w:rsidR="00156391">
        <w:t xml:space="preserve">, </w:t>
      </w:r>
      <w:r w:rsidRPr="00156391" w:rsidR="00156391">
        <w:t>who was granted legal aid in the proceedings before the Court</w:t>
      </w:r>
      <w:r w:rsidR="00156391">
        <w:t>,</w:t>
      </w:r>
      <w:r w:rsidRPr="00DE7FCC">
        <w:t xml:space="preserve"> was </w:t>
      </w:r>
      <w:r w:rsidR="00156391">
        <w:t>i</w:t>
      </w:r>
      <w:r w:rsidR="002F22AF">
        <w:t>nitially represented by Mr Y.</w:t>
      </w:r>
      <w:r w:rsidR="00156391">
        <w:t xml:space="preserve"> Vanzha, and subsequently </w:t>
      </w:r>
      <w:r w:rsidRPr="00DE7FCC">
        <w:t>by Mr</w:t>
      </w:r>
      <w:r w:rsidR="00B67AD4">
        <w:t xml:space="preserve"> </w:t>
      </w:r>
      <w:r w:rsidRPr="00DE7FCC">
        <w:t>K</w:t>
      </w:r>
      <w:r w:rsidR="002F22AF">
        <w:t>.</w:t>
      </w:r>
      <w:r w:rsidRPr="00DE7FCC">
        <w:t xml:space="preserve"> Koroteyev</w:t>
      </w:r>
      <w:r w:rsidR="00A533A9">
        <w:t xml:space="preserve"> and </w:t>
      </w:r>
      <w:r w:rsidRPr="00DE7FCC">
        <w:t>Ms D</w:t>
      </w:r>
      <w:r w:rsidR="002F22AF">
        <w:t>.</w:t>
      </w:r>
      <w:r w:rsidRPr="00DE7FCC">
        <w:t xml:space="preserve"> Vedernikova,</w:t>
      </w:r>
      <w:r w:rsidRPr="00DE7FCC">
        <w:rPr>
          <w:noProof/>
        </w:rPr>
        <w:t xml:space="preserve"> lawyers </w:t>
      </w:r>
      <w:r w:rsidRPr="00DE7FCC" w:rsidR="008605F5">
        <w:rPr>
          <w:noProof/>
        </w:rPr>
        <w:t>with the Russian NGO “Memorial”</w:t>
      </w:r>
      <w:r w:rsidR="00C536FC">
        <w:rPr>
          <w:noProof/>
        </w:rPr>
        <w:t>,</w:t>
      </w:r>
      <w:r w:rsidR="00A533A9">
        <w:rPr>
          <w:noProof/>
        </w:rPr>
        <w:t xml:space="preserve"> and </w:t>
      </w:r>
      <w:r w:rsidRPr="00DE7FCC">
        <w:rPr>
          <w:noProof/>
        </w:rPr>
        <w:t>Mr B</w:t>
      </w:r>
      <w:r w:rsidR="002F22AF">
        <w:rPr>
          <w:noProof/>
        </w:rPr>
        <w:t>.</w:t>
      </w:r>
      <w:r w:rsidRPr="00DE7FCC">
        <w:rPr>
          <w:noProof/>
        </w:rPr>
        <w:t xml:space="preserve"> Bowring and Mr P</w:t>
      </w:r>
      <w:r w:rsidR="002F22AF">
        <w:rPr>
          <w:noProof/>
        </w:rPr>
        <w:t>.</w:t>
      </w:r>
      <w:r w:rsidRPr="00DE7FCC">
        <w:rPr>
          <w:noProof/>
        </w:rPr>
        <w:t xml:space="preserve"> Leach, solicitors in </w:t>
      </w:r>
      <w:smartTag w:uri="urn:schemas-microsoft-com:office:smarttags" w:element="country-region">
        <w:smartTag w:uri="urn:schemas-microsoft-com:office:smarttags" w:element="place">
          <w:r w:rsidRPr="00DE7FCC">
            <w:rPr>
              <w:noProof/>
            </w:rPr>
            <w:t>England</w:t>
          </w:r>
        </w:smartTag>
      </w:smartTag>
      <w:r w:rsidRPr="00DE7FCC">
        <w:rPr>
          <w:noProof/>
        </w:rPr>
        <w:t xml:space="preserve"> and </w:t>
      </w:r>
      <w:smartTag w:uri="urn:schemas-microsoft-com:office:smarttags" w:element="country-region">
        <w:smartTag w:uri="urn:schemas-microsoft-com:office:smarttags" w:element="place">
          <w:r w:rsidRPr="00DE7FCC">
            <w:rPr>
              <w:noProof/>
            </w:rPr>
            <w:t>Wales</w:t>
          </w:r>
        </w:smartTag>
      </w:smartTag>
      <w:r w:rsidRPr="00DE7FCC">
        <w:rPr>
          <w:noProof/>
        </w:rPr>
        <w:t xml:space="preserve">. The Russian Government </w:t>
      </w:r>
      <w:r w:rsidRPr="00DE7FCC">
        <w:t xml:space="preserve">(“the Government”) were represented by </w:t>
      </w:r>
      <w:r w:rsidR="002F22AF">
        <w:rPr>
          <w:noProof/>
        </w:rPr>
        <w:t>Mr P.</w:t>
      </w:r>
      <w:r w:rsidRPr="00DE7FCC">
        <w:rPr>
          <w:noProof/>
        </w:rPr>
        <w:t xml:space="preserve"> Laptev, Representative of the </w:t>
      </w:r>
      <w:smartTag w:uri="urn:schemas-microsoft-com:office:smarttags" w:element="country-region">
        <w:smartTag w:uri="urn:schemas-microsoft-com:office:smarttags" w:element="place">
          <w:r w:rsidRPr="00DE7FCC">
            <w:rPr>
              <w:noProof/>
            </w:rPr>
            <w:t>Russian Federation</w:t>
          </w:r>
        </w:smartTag>
      </w:smartTag>
      <w:r w:rsidRPr="00DE7FCC">
        <w:rPr>
          <w:noProof/>
        </w:rPr>
        <w:t xml:space="preserve"> at the European Court of Human Rights.</w:t>
      </w:r>
    </w:p>
    <w:p w:rsidRPr="00DE7FCC" w:rsidR="00CD49A7" w:rsidP="00252EB8" w:rsidRDefault="00B35738">
      <w:pPr>
        <w:pStyle w:val="JuParaCharCharCharCharCharChar"/>
      </w:pPr>
      <w:r w:rsidRPr="00DE7FCC">
        <w:fldChar w:fldCharType="begin"/>
      </w:r>
      <w:r w:rsidRPr="00DE7FCC">
        <w:instrText xml:space="preserve"> SEQ level0 \*arabic </w:instrText>
      </w:r>
      <w:r w:rsidRPr="00DE7FCC">
        <w:fldChar w:fldCharType="separate"/>
      </w:r>
      <w:r w:rsidR="008C3401">
        <w:rPr>
          <w:noProof/>
        </w:rPr>
        <w:t>3</w:t>
      </w:r>
      <w:r w:rsidRPr="00DE7FCC">
        <w:fldChar w:fldCharType="end"/>
      </w:r>
      <w:r w:rsidRPr="00DE7FCC" w:rsidR="00CD49A7">
        <w:t>. </w:t>
      </w:r>
      <w:r w:rsidR="006B39D9">
        <w:t> </w:t>
      </w:r>
      <w:r w:rsidRPr="00DE7FCC" w:rsidR="00CD49A7">
        <w:t xml:space="preserve">The </w:t>
      </w:r>
      <w:r w:rsidRPr="00DE7FCC">
        <w:t>applicant</w:t>
      </w:r>
      <w:r w:rsidRPr="00DE7FCC" w:rsidR="008605F5">
        <w:t xml:space="preserve"> alleged, in particular, that the operation of a </w:t>
      </w:r>
      <w:r w:rsidR="002F22AF">
        <w:t>steel plant</w:t>
      </w:r>
      <w:r w:rsidRPr="00DE7FCC" w:rsidR="008605F5">
        <w:t xml:space="preserve"> in close proximity to her home endanger</w:t>
      </w:r>
      <w:r w:rsidR="00F32888">
        <w:t>ed</w:t>
      </w:r>
      <w:r w:rsidRPr="00DE7FCC" w:rsidR="008605F5">
        <w:t xml:space="preserve"> her health and well-being</w:t>
      </w:r>
      <w:r w:rsidRPr="00DE7FCC" w:rsidR="0049778C">
        <w:t xml:space="preserve">. She </w:t>
      </w:r>
      <w:r w:rsidR="00F32888">
        <w:t xml:space="preserve">relied on </w:t>
      </w:r>
      <w:r w:rsidRPr="00DE7FCC" w:rsidR="008605F5">
        <w:t>Article 8 of the Convention</w:t>
      </w:r>
      <w:r w:rsidRPr="00DE7FCC" w:rsidR="00CD49A7">
        <w:t>.</w:t>
      </w:r>
    </w:p>
    <w:p w:rsidR="00772DF2" w:rsidP="00252EB8" w:rsidRDefault="00B35738">
      <w:pPr>
        <w:pStyle w:val="JuParaCharCharCharCharCharChar"/>
      </w:pPr>
      <w:r w:rsidRPr="00DE7FCC">
        <w:fldChar w:fldCharType="begin"/>
      </w:r>
      <w:r w:rsidRPr="00DE7FCC">
        <w:instrText xml:space="preserve"> SEQ level0 \*arabic </w:instrText>
      </w:r>
      <w:r w:rsidRPr="00DE7FCC">
        <w:fldChar w:fldCharType="separate"/>
      </w:r>
      <w:r w:rsidR="008C3401">
        <w:rPr>
          <w:noProof/>
        </w:rPr>
        <w:t>4</w:t>
      </w:r>
      <w:r w:rsidRPr="00DE7FCC">
        <w:fldChar w:fldCharType="end"/>
      </w:r>
      <w:r w:rsidRPr="00DE7FCC" w:rsidR="00CD49A7">
        <w:t xml:space="preserve">.  The </w:t>
      </w:r>
      <w:r w:rsidRPr="00DE7FCC">
        <w:t>application was</w:t>
      </w:r>
      <w:r w:rsidRPr="00DE7FCC" w:rsidR="00CD49A7">
        <w:t xml:space="preserve"> allocated to the </w:t>
      </w:r>
      <w:r w:rsidRPr="00DE7FCC" w:rsidR="00D12501">
        <w:t>Second</w:t>
      </w:r>
      <w:r w:rsidRPr="00DE7FCC">
        <w:t xml:space="preserve"> Section</w:t>
      </w:r>
      <w:r w:rsidR="00A93D13">
        <w:t xml:space="preserve"> of the Court (Rule </w:t>
      </w:r>
      <w:r w:rsidRPr="00DE7FCC" w:rsidR="00CD49A7">
        <w:t>52 §</w:t>
      </w:r>
      <w:r w:rsidR="00B67AD4">
        <w:t xml:space="preserve"> </w:t>
      </w:r>
      <w:r w:rsidRPr="00DE7FCC" w:rsidR="00CD49A7">
        <w:t xml:space="preserve">1 of the Rules of Court). </w:t>
      </w:r>
      <w:r w:rsidRPr="00DE7FCC">
        <w:t>Within that Section, the Chamber that would consider the case (Article 27 § 1 of the Convention) was constituted as provided in Rule 26 § 1.</w:t>
      </w:r>
    </w:p>
    <w:p w:rsidRPr="00DE7FCC" w:rsidR="002369FE" w:rsidP="00252EB8" w:rsidRDefault="007E16C4">
      <w:pPr>
        <w:pStyle w:val="JuParaCharCharCharCharCharChar"/>
      </w:pPr>
      <w:r w:rsidRPr="00DE7FCC">
        <w:fldChar w:fldCharType="begin"/>
      </w:r>
      <w:r w:rsidRPr="00DE7FCC">
        <w:instrText xml:space="preserve"> SEQ level0 \*arabic </w:instrText>
      </w:r>
      <w:r w:rsidRPr="00DE7FCC">
        <w:fldChar w:fldCharType="separate"/>
      </w:r>
      <w:r w:rsidR="008C3401">
        <w:rPr>
          <w:noProof/>
        </w:rPr>
        <w:t>5</w:t>
      </w:r>
      <w:r w:rsidRPr="00DE7FCC">
        <w:fldChar w:fldCharType="end"/>
      </w:r>
      <w:r w:rsidRPr="00DE7FCC">
        <w:t>.  </w:t>
      </w:r>
      <w:r w:rsidRPr="00DE7FCC" w:rsidR="00D12501">
        <w:t xml:space="preserve">On </w:t>
      </w:r>
      <w:smartTag w:uri="urn:schemas-microsoft-com:office:smarttags" w:element="date">
        <w:smartTagPr>
          <w:attr w:name="Month" w:val="11"/>
          <w:attr w:name="Day" w:val="1"/>
          <w:attr w:name="Year" w:val="2001"/>
        </w:smartTagPr>
        <w:r w:rsidR="00D12501" w:rsidRPr="00DE7FCC">
          <w:t>1 November 2001</w:t>
        </w:r>
      </w:smartTag>
      <w:r w:rsidRPr="00DE7FCC" w:rsidR="00D12501">
        <w:t xml:space="preserve"> the Court changed the composition of its Sections (Rule 25 § 1). Th</w:t>
      </w:r>
      <w:r w:rsidR="00344771">
        <w:t>is</w:t>
      </w:r>
      <w:r w:rsidRPr="00DE7FCC" w:rsidR="00D12501">
        <w:t xml:space="preserve"> case was assigned to the newly composed First Section (Rule 52 § 1).</w:t>
      </w:r>
    </w:p>
    <w:p w:rsidRPr="00DE7FCC" w:rsidR="00CD49A7" w:rsidP="00252EB8" w:rsidRDefault="00824E91">
      <w:pPr>
        <w:pStyle w:val="JuParaCharCharCharCharCharChar"/>
      </w:pPr>
      <w:r>
        <w:fldChar w:fldCharType="begin"/>
      </w:r>
      <w:r>
        <w:instrText xml:space="preserve"> SEQ level0 \*arabic </w:instrText>
      </w:r>
      <w:r>
        <w:fldChar w:fldCharType="separate"/>
      </w:r>
      <w:r w:rsidR="008C3401">
        <w:rPr>
          <w:noProof/>
        </w:rPr>
        <w:t>6</w:t>
      </w:r>
      <w:r>
        <w:fldChar w:fldCharType="end"/>
      </w:r>
      <w:r>
        <w:t>.  </w:t>
      </w:r>
      <w:r w:rsidRPr="00DE7FCC" w:rsidR="00B35738">
        <w:t xml:space="preserve">By a decision of </w:t>
      </w:r>
      <w:smartTag w:uri="urn:schemas-microsoft-com:office:smarttags" w:element="date">
        <w:smartTagPr>
          <w:attr w:name="Month" w:val="10"/>
          <w:attr w:name="Day" w:val="16"/>
          <w:attr w:name="Year" w:val="2003"/>
        </w:smartTagPr>
        <w:r w:rsidR="00B35738" w:rsidRPr="00DE7FCC">
          <w:t>16 October 2003</w:t>
        </w:r>
      </w:smartTag>
      <w:r w:rsidR="002F22AF">
        <w:t>, the Chamber</w:t>
      </w:r>
      <w:r w:rsidRPr="00DE7FCC" w:rsidR="00B35738">
        <w:t xml:space="preserve"> declared th</w:t>
      </w:r>
      <w:r w:rsidRPr="00DE7FCC" w:rsidR="00D12501">
        <w:t xml:space="preserve">e application partly admissible and decided to obtain additional information </w:t>
      </w:r>
      <w:r w:rsidRPr="00DE7FCC" w:rsidR="00E935CC">
        <w:t xml:space="preserve">and observations </w:t>
      </w:r>
      <w:r w:rsidRPr="00DE7FCC" w:rsidR="00D12501">
        <w:t>from t</w:t>
      </w:r>
      <w:r w:rsidRPr="00DE7FCC" w:rsidR="00E935CC">
        <w:t>he parties and hold a hearing</w:t>
      </w:r>
      <w:r w:rsidRPr="00DE7FCC" w:rsidR="00D12501">
        <w:t xml:space="preserve"> on the merits of the case.</w:t>
      </w:r>
    </w:p>
    <w:p w:rsidRPr="00DE7FCC" w:rsidR="00B67AD4" w:rsidP="00252EB8" w:rsidRDefault="00B35738">
      <w:pPr>
        <w:pStyle w:val="JuParaCharCharCharCharCharChar"/>
      </w:pPr>
      <w:r w:rsidRPr="00DE7FCC">
        <w:fldChar w:fldCharType="begin"/>
      </w:r>
      <w:r w:rsidRPr="00DE7FCC">
        <w:instrText xml:space="preserve"> SEQ level0 \*arabic </w:instrText>
      </w:r>
      <w:r w:rsidRPr="00DE7FCC">
        <w:fldChar w:fldCharType="separate"/>
      </w:r>
      <w:r w:rsidR="008C3401">
        <w:rPr>
          <w:noProof/>
        </w:rPr>
        <w:t>7</w:t>
      </w:r>
      <w:r w:rsidRPr="00DE7FCC">
        <w:fldChar w:fldCharType="end"/>
      </w:r>
      <w:r w:rsidRPr="00DE7FCC" w:rsidR="00CD49A7">
        <w:t xml:space="preserve">.  The </w:t>
      </w:r>
      <w:r w:rsidRPr="00DE7FCC">
        <w:t>applicant</w:t>
      </w:r>
      <w:r w:rsidRPr="00DE7FCC" w:rsidR="00CD49A7">
        <w:t xml:space="preserve"> and the Government each filed </w:t>
      </w:r>
      <w:r w:rsidRPr="00DE7FCC">
        <w:t>observations on the merits (Rule 59 § 1).</w:t>
      </w:r>
      <w:r w:rsidR="00B67AD4">
        <w:t xml:space="preserve"> </w:t>
      </w:r>
      <w:r w:rsidR="00344771">
        <w:t>The</w:t>
      </w:r>
      <w:r w:rsidRPr="00DE7FCC" w:rsidR="00CD49A7">
        <w:t xml:space="preserve"> hearing took place in public in the </w:t>
      </w:r>
      <w:smartTag w:uri="urn:schemas-microsoft-com:office:smarttags" w:element="place">
        <w:smartTag w:uri="urn:schemas-microsoft-com:office:smarttags" w:element="PlaceName">
          <w:r w:rsidR="00CD49A7" w:rsidRPr="00DE7FCC">
            <w:t>Human</w:t>
          </w:r>
        </w:smartTag>
        <w:r w:rsidR="00CD49A7" w:rsidRPr="00DE7FCC">
          <w:t xml:space="preserve"> </w:t>
        </w:r>
        <w:smartTag w:uri="urn:schemas-microsoft-com:office:smarttags" w:element="PlaceName">
          <w:r w:rsidR="00CD49A7" w:rsidRPr="00DE7FCC">
            <w:t>Rights</w:t>
          </w:r>
        </w:smartTag>
        <w:r w:rsidR="00CD49A7" w:rsidRPr="00DE7FCC">
          <w:t xml:space="preserve"> </w:t>
        </w:r>
        <w:smartTag w:uri="urn:schemas-microsoft-com:office:smarttags" w:element="PlaceType">
          <w:r w:rsidR="00CD49A7" w:rsidRPr="00DE7FCC">
            <w:t>Building</w:t>
          </w:r>
        </w:smartTag>
      </w:smartTag>
      <w:r w:rsidRPr="00DE7FCC" w:rsidR="00CD49A7">
        <w:t xml:space="preserve">, </w:t>
      </w:r>
      <w:smartTag w:uri="urn:schemas-microsoft-com:office:smarttags" w:element="City">
        <w:smartTag w:uri="urn:schemas-microsoft-com:office:smarttags" w:element="place">
          <w:r w:rsidR="00CD49A7" w:rsidRPr="00DE7FCC">
            <w:t>Strasbourg</w:t>
          </w:r>
        </w:smartTag>
      </w:smartTag>
      <w:r w:rsidRPr="00DE7FCC" w:rsidR="00CD49A7">
        <w:t xml:space="preserve">, on </w:t>
      </w:r>
      <w:smartTag w:uri="urn:schemas-microsoft-com:office:smarttags" w:element="date">
        <w:smartTagPr>
          <w:attr w:name="Month" w:val="7"/>
          <w:attr w:name="Day" w:val="1"/>
          <w:attr w:name="Year" w:val="2004"/>
        </w:smartTagPr>
        <w:r w:rsidR="00D12501" w:rsidRPr="00DE7FCC">
          <w:t>1 July 2004</w:t>
        </w:r>
      </w:smartTag>
      <w:r w:rsidRPr="00DE7FCC" w:rsidR="00CD49A7">
        <w:t xml:space="preserve"> (Rule 59 § 3).</w:t>
      </w:r>
    </w:p>
    <w:p w:rsidR="00B67AD4" w:rsidP="00B67AD4" w:rsidRDefault="00B67AD4">
      <w:pPr>
        <w:pStyle w:val="JuPara"/>
      </w:pPr>
    </w:p>
    <w:p w:rsidRPr="00DE7FCC" w:rsidR="00CD49A7" w:rsidP="00B67AD4" w:rsidRDefault="00CD49A7">
      <w:pPr>
        <w:pStyle w:val="JuPara"/>
      </w:pPr>
      <w:r w:rsidRPr="00DE7FCC">
        <w:t>There appeared before the Court:</w:t>
      </w:r>
    </w:p>
    <w:p w:rsidRPr="00DE7FCC" w:rsidR="00CD49A7" w:rsidP="00B67AD4" w:rsidRDefault="00CD49A7">
      <w:pPr>
        <w:pStyle w:val="JuCourt"/>
      </w:pPr>
      <w:r w:rsidRPr="00DE7FCC">
        <w:t>(a)  </w:t>
      </w:r>
      <w:r w:rsidRPr="00DE7FCC">
        <w:rPr>
          <w:i/>
        </w:rPr>
        <w:t>for the Government</w:t>
      </w:r>
      <w:r w:rsidRPr="00DE7FCC">
        <w:br/>
        <w:t>Mr</w:t>
      </w:r>
      <w:r w:rsidRPr="00DE7FCC">
        <w:tab/>
      </w:r>
      <w:r w:rsidRPr="00DE7FCC" w:rsidR="00E935CC">
        <w:rPr>
          <w:rStyle w:val="JuNames"/>
        </w:rPr>
        <w:t>P. Laptev</w:t>
      </w:r>
      <w:r w:rsidRPr="00DE7FCC">
        <w:t xml:space="preserve">, </w:t>
      </w:r>
      <w:r w:rsidRPr="002F22AF" w:rsidR="00E935CC">
        <w:t>Representative of the Russian Federation at the European Court of Human Rights</w:t>
      </w:r>
      <w:r w:rsidRPr="002F22AF">
        <w:t>,</w:t>
      </w:r>
      <w:r w:rsidRPr="002F22AF">
        <w:br/>
      </w:r>
      <w:r w:rsidRPr="00DE7FCC">
        <w:t>M</w:t>
      </w:r>
      <w:r w:rsidRPr="00DE7FCC" w:rsidR="00E935CC">
        <w:t>r</w:t>
      </w:r>
      <w:r w:rsidRPr="00DE7FCC">
        <w:tab/>
      </w:r>
      <w:r w:rsidRPr="00DE7FCC" w:rsidR="00E935CC">
        <w:rPr>
          <w:rStyle w:val="JuNames"/>
        </w:rPr>
        <w:t>Y. Berestnev</w:t>
      </w:r>
      <w:r w:rsidRPr="00DE7FCC" w:rsidR="00E935CC">
        <w:t>,</w:t>
      </w:r>
      <w:r w:rsidRPr="00DE7FCC">
        <w:tab/>
      </w:r>
      <w:r w:rsidRPr="00DE7FCC">
        <w:rPr>
          <w:i/>
        </w:rPr>
        <w:t>Counsel</w:t>
      </w:r>
      <w:r w:rsidRPr="00DE7FCC">
        <w:t>,</w:t>
      </w:r>
      <w:r w:rsidRPr="00DE7FCC">
        <w:br/>
        <w:t>M</w:t>
      </w:r>
      <w:r w:rsidRPr="00DE7FCC" w:rsidR="00E935CC">
        <w:t>s</w:t>
      </w:r>
      <w:r w:rsidRPr="00DE7FCC">
        <w:tab/>
      </w:r>
      <w:r w:rsidRPr="00DE7FCC" w:rsidR="00E935CC">
        <w:rPr>
          <w:rStyle w:val="JuNames"/>
        </w:rPr>
        <w:t>T. Gournyak</w:t>
      </w:r>
      <w:r w:rsidRPr="00DE7FCC">
        <w:t>,</w:t>
      </w:r>
      <w:r w:rsidR="00B67AD4">
        <w:br/>
      </w:r>
      <w:r w:rsidRPr="00DE7FCC" w:rsidR="00E935CC">
        <w:t>Mr</w:t>
      </w:r>
      <w:r w:rsidR="00B67AD4">
        <w:tab/>
      </w:r>
      <w:r w:rsidRPr="00DE7FCC" w:rsidR="00E935CC">
        <w:rPr>
          <w:rStyle w:val="JuNames"/>
        </w:rPr>
        <w:t>M. Stavrovskiy,</w:t>
      </w:r>
      <w:r w:rsidRPr="00DE7FCC">
        <w:rPr>
          <w:rStyle w:val="JuNames"/>
        </w:rPr>
        <w:br/>
      </w:r>
      <w:r w:rsidRPr="00DE7FCC">
        <w:t>M</w:t>
      </w:r>
      <w:r w:rsidRPr="00DE7FCC" w:rsidR="00E935CC">
        <w:t>r</w:t>
      </w:r>
      <w:r w:rsidRPr="00DE7FCC">
        <w:tab/>
      </w:r>
      <w:r w:rsidRPr="00DE7FCC" w:rsidR="00E935CC">
        <w:rPr>
          <w:rStyle w:val="JuNames"/>
        </w:rPr>
        <w:t>M. Vinogradov</w:t>
      </w:r>
      <w:r w:rsidRPr="00DE7FCC">
        <w:t>,</w:t>
      </w:r>
      <w:r w:rsidRPr="00DE7FCC">
        <w:tab/>
      </w:r>
      <w:r w:rsidRPr="00DE7FCC">
        <w:rPr>
          <w:i/>
        </w:rPr>
        <w:t>Advisers</w:t>
      </w:r>
      <w:r w:rsidRPr="00B67AD4" w:rsidR="00B67AD4">
        <w:t>;</w:t>
      </w:r>
    </w:p>
    <w:p w:rsidRPr="00DE7FCC" w:rsidR="00CD49A7" w:rsidP="00B67AD4" w:rsidRDefault="00CD49A7">
      <w:pPr>
        <w:pStyle w:val="JuCourt"/>
      </w:pPr>
      <w:r w:rsidRPr="00DE7FCC">
        <w:t>(b)  </w:t>
      </w:r>
      <w:r w:rsidRPr="00DE7FCC">
        <w:rPr>
          <w:i/>
        </w:rPr>
        <w:t xml:space="preserve">for the </w:t>
      </w:r>
      <w:r w:rsidRPr="00DE7FCC" w:rsidR="00B35738">
        <w:rPr>
          <w:i/>
        </w:rPr>
        <w:t>applicant</w:t>
      </w:r>
      <w:r w:rsidRPr="00DE7FCC" w:rsidR="004200DD">
        <w:br/>
        <w:t>Mr</w:t>
      </w:r>
      <w:r w:rsidRPr="00DE7FCC">
        <w:tab/>
      </w:r>
      <w:r w:rsidRPr="00DE7FCC" w:rsidR="004200DD">
        <w:rPr>
          <w:rStyle w:val="JuNames"/>
        </w:rPr>
        <w:t>K. Koroteyev</w:t>
      </w:r>
      <w:r w:rsidR="00B67AD4">
        <w:t>,</w:t>
      </w:r>
      <w:r w:rsidRPr="00DE7FCC" w:rsidR="004200DD">
        <w:br/>
      </w:r>
      <w:r w:rsidRPr="00DE7FCC">
        <w:t>M</w:t>
      </w:r>
      <w:r w:rsidRPr="00DE7FCC" w:rsidR="004200DD">
        <w:t>s</w:t>
      </w:r>
      <w:r w:rsidRPr="00DE7FCC">
        <w:tab/>
      </w:r>
      <w:r w:rsidRPr="00DE7FCC" w:rsidR="004200DD">
        <w:rPr>
          <w:rStyle w:val="JuNames"/>
        </w:rPr>
        <w:t>D. Vedernikova</w:t>
      </w:r>
      <w:r w:rsidRPr="00DE7FCC">
        <w:t xml:space="preserve">, </w:t>
      </w:r>
      <w:r w:rsidRPr="00DE7FCC">
        <w:br/>
        <w:t>M</w:t>
      </w:r>
      <w:r w:rsidR="00F32888">
        <w:t>r</w:t>
      </w:r>
      <w:r w:rsidRPr="00DE7FCC">
        <w:tab/>
      </w:r>
      <w:r w:rsidRPr="00DE7FCC" w:rsidR="004200DD">
        <w:rPr>
          <w:rStyle w:val="JuNames"/>
        </w:rPr>
        <w:t>B. Bowring</w:t>
      </w:r>
      <w:r w:rsidRPr="00DE7FCC">
        <w:t>,</w:t>
      </w:r>
      <w:r w:rsidR="00B67AD4">
        <w:br/>
      </w:r>
      <w:r w:rsidRPr="00DE7FCC" w:rsidR="004200DD">
        <w:t>M</w:t>
      </w:r>
      <w:r w:rsidR="00F32888">
        <w:t>r</w:t>
      </w:r>
      <w:r w:rsidR="00B67AD4">
        <w:tab/>
      </w:r>
      <w:r w:rsidRPr="00DE7FCC" w:rsidR="004200DD">
        <w:rPr>
          <w:rStyle w:val="JuNames"/>
        </w:rPr>
        <w:t>P. Leach</w:t>
      </w:r>
      <w:r w:rsidR="002F22AF">
        <w:rPr>
          <w:rStyle w:val="JuNames"/>
        </w:rPr>
        <w:t>,</w:t>
      </w:r>
      <w:r w:rsidRPr="00DE7FCC" w:rsidR="004200DD">
        <w:tab/>
      </w:r>
      <w:r w:rsidRPr="00DE7FCC" w:rsidR="004200DD">
        <w:rPr>
          <w:i/>
        </w:rPr>
        <w:t>Counsel</w:t>
      </w:r>
      <w:r w:rsidRPr="00DE7FCC">
        <w:t>.</w:t>
      </w:r>
    </w:p>
    <w:p w:rsidR="00B67AD4" w:rsidP="00B67AD4" w:rsidRDefault="00B67AD4">
      <w:pPr>
        <w:pStyle w:val="JuPara"/>
      </w:pPr>
    </w:p>
    <w:p w:rsidR="00CD49A7" w:rsidP="00B67AD4" w:rsidRDefault="00B67AD4">
      <w:pPr>
        <w:pStyle w:val="JuPara"/>
      </w:pPr>
      <w:r>
        <w:fldChar w:fldCharType="begin"/>
      </w:r>
      <w:r>
        <w:instrText xml:space="preserve"> SEQ level0 \*arabic </w:instrText>
      </w:r>
      <w:r>
        <w:fldChar w:fldCharType="separate"/>
      </w:r>
      <w:r w:rsidR="008C3401">
        <w:rPr>
          <w:noProof/>
        </w:rPr>
        <w:t>8</w:t>
      </w:r>
      <w:r>
        <w:fldChar w:fldCharType="end"/>
      </w:r>
      <w:r>
        <w:t>.  </w:t>
      </w:r>
      <w:r w:rsidRPr="00DE7FCC" w:rsidR="00CD49A7">
        <w:t>The Court heard addresses by Mr</w:t>
      </w:r>
      <w:r w:rsidRPr="00DE7FCC" w:rsidR="004200DD">
        <w:t xml:space="preserve"> Laptev, Mr Bowring, Mr Leach and Mr</w:t>
      </w:r>
      <w:r w:rsidR="00F66313">
        <w:t> </w:t>
      </w:r>
      <w:r w:rsidRPr="00DE7FCC" w:rsidR="004200DD">
        <w:t>Koroteyev.</w:t>
      </w:r>
    </w:p>
    <w:p w:rsidRPr="00DE7FCC" w:rsidR="00BD689C" w:rsidP="00252EB8" w:rsidRDefault="00BD689C">
      <w:pPr>
        <w:pStyle w:val="JuParaCharCharCharCharCharChar"/>
      </w:pPr>
      <w:r>
        <w:fldChar w:fldCharType="begin"/>
      </w:r>
      <w:r>
        <w:instrText xml:space="preserve"> SEQ level0 \*arabic </w:instrText>
      </w:r>
      <w:r>
        <w:fldChar w:fldCharType="separate"/>
      </w:r>
      <w:r w:rsidR="008C3401">
        <w:rPr>
          <w:noProof/>
        </w:rPr>
        <w:t>9</w:t>
      </w:r>
      <w:r>
        <w:fldChar w:fldCharType="end"/>
      </w:r>
      <w:r>
        <w:t xml:space="preserve">.  On </w:t>
      </w:r>
      <w:smartTag w:uri="urn:schemas-microsoft-com:office:smarttags" w:element="date">
        <w:smartTagPr>
          <w:attr w:name="Month" w:val="11"/>
          <w:attr w:name="Day" w:val="1"/>
          <w:attr w:name="Year" w:val="2004"/>
        </w:smartTagPr>
        <w:r>
          <w:t>1 November 2004</w:t>
        </w:r>
      </w:smartTag>
      <w:r>
        <w:t xml:space="preserve"> the Court </w:t>
      </w:r>
      <w:r w:rsidRPr="00BD689C">
        <w:rPr>
          <w:bCs/>
        </w:rPr>
        <w:t>changed</w:t>
      </w:r>
      <w:r w:rsidRPr="00BD689C">
        <w:t xml:space="preserve"> the </w:t>
      </w:r>
      <w:r w:rsidRPr="00BD689C">
        <w:rPr>
          <w:bCs/>
        </w:rPr>
        <w:t>composition</w:t>
      </w:r>
      <w:r>
        <w:t xml:space="preserve"> of its Sections (Rule 25 § 1)</w:t>
      </w:r>
      <w:r w:rsidR="002F22AF">
        <w:t>, but this case remained with the Chamber constituted within the former First Section</w:t>
      </w:r>
      <w:r>
        <w:t>.</w:t>
      </w:r>
    </w:p>
    <w:p w:rsidRPr="00DE7FCC" w:rsidR="00CD49A7" w:rsidP="00252EB8" w:rsidRDefault="00CD49A7">
      <w:pPr>
        <w:pStyle w:val="JuHHead"/>
      </w:pPr>
      <w:r w:rsidRPr="00DE7FCC">
        <w:t>THE FACTS</w:t>
      </w:r>
    </w:p>
    <w:p w:rsidRPr="00DE7FCC" w:rsidR="00CD49A7" w:rsidP="00252EB8" w:rsidRDefault="00CD49A7">
      <w:pPr>
        <w:pStyle w:val="JuHIRoman"/>
        <w:outlineLvl w:val="0"/>
      </w:pPr>
      <w:r w:rsidRPr="00DE7FCC">
        <w:t>I.  THE CIRCUMSTANCES OF THE CASE</w:t>
      </w:r>
    </w:p>
    <w:p w:rsidR="00BF4FA2" w:rsidP="00252EB8" w:rsidRDefault="00B85D1E">
      <w:pPr>
        <w:pStyle w:val="JuHA"/>
      </w:pPr>
      <w:r w:rsidRPr="00DE7FCC">
        <w:t>A.  </w:t>
      </w:r>
      <w:r w:rsidRPr="00DE7FCC" w:rsidR="007D35B2">
        <w:t>B</w:t>
      </w:r>
      <w:r w:rsidRPr="00DE7FCC" w:rsidR="00DC699B">
        <w:t>ackground</w:t>
      </w:r>
    </w:p>
    <w:p w:rsidR="002C02F4" w:rsidP="002C02F4" w:rsidRDefault="00BF4FA2">
      <w:pPr>
        <w:pStyle w:val="JuParaCharCharCharCharCharChar"/>
      </w:pPr>
      <w:r w:rsidRPr="00DE7FCC">
        <w:rPr>
          <w:rStyle w:val="JuParaCharCharCharCharCharCharChar"/>
        </w:rPr>
        <w:fldChar w:fldCharType="begin"/>
      </w:r>
      <w:r w:rsidRPr="00DE7FCC">
        <w:rPr>
          <w:rStyle w:val="JuParaCharCharCharCharCharCharChar"/>
        </w:rPr>
        <w:instrText xml:space="preserve"> SEQ level0 \*arabic </w:instrText>
      </w:r>
      <w:r w:rsidRPr="00DE7FCC">
        <w:rPr>
          <w:rStyle w:val="JuParaCharCharCharCharCharCharChar"/>
        </w:rPr>
        <w:fldChar w:fldCharType="separate"/>
      </w:r>
      <w:r w:rsidR="008C3401">
        <w:rPr>
          <w:rStyle w:val="JuParaCharCharCharCharCharCharChar"/>
          <w:noProof/>
        </w:rPr>
        <w:t>10</w:t>
      </w:r>
      <w:r w:rsidRPr="00DE7FCC">
        <w:rPr>
          <w:rStyle w:val="JuParaCharCharCharCharCharCharChar"/>
        </w:rPr>
        <w:fldChar w:fldCharType="end"/>
      </w:r>
      <w:r w:rsidRPr="00DE7FCC">
        <w:rPr>
          <w:rStyle w:val="JuParaCharCharCharCharCharCharChar"/>
        </w:rPr>
        <w:t xml:space="preserve">.  The applicant was born in 1949 and lives in the town of </w:t>
      </w:r>
      <w:smartTag w:uri="urn:schemas-microsoft-com:office:smarttags" w:element="City">
        <w:smartTag w:uri="urn:schemas-microsoft-com:office:smarttags" w:element="place">
          <w:r w:rsidRPr="00DE7FCC">
            <w:rPr>
              <w:rStyle w:val="JuParaCharCharCharCharCharCharChar"/>
            </w:rPr>
            <w:t>Cherepovets</w:t>
          </w:r>
        </w:smartTag>
      </w:smartTag>
      <w:r w:rsidRPr="00DE7FCC">
        <w:t>, an important steel</w:t>
      </w:r>
      <w:r w:rsidR="002F22AF">
        <w:t xml:space="preserve">-producing </w:t>
      </w:r>
      <w:r w:rsidR="001B7203">
        <w:t>centre</w:t>
      </w:r>
      <w:r w:rsidR="002F22AF">
        <w:t xml:space="preserve"> approx</w:t>
      </w:r>
      <w:r w:rsidR="00600586">
        <w:t>i</w:t>
      </w:r>
      <w:r w:rsidR="002F22AF">
        <w:t>mately 300 </w:t>
      </w:r>
      <w:r w:rsidRPr="00DE7FCC">
        <w:t>k</w:t>
      </w:r>
      <w:r w:rsidR="00C536FC">
        <w:t>ilo</w:t>
      </w:r>
      <w:r w:rsidRPr="00DE7FCC">
        <w:t>m</w:t>
      </w:r>
      <w:r w:rsidR="00C536FC">
        <w:t>etres</w:t>
      </w:r>
      <w:r w:rsidRPr="00DE7FCC">
        <w:t xml:space="preserve"> north-east of </w:t>
      </w:r>
      <w:smartTag w:uri="urn:schemas-microsoft-com:office:smarttags" w:element="City">
        <w:smartTag w:uri="urn:schemas-microsoft-com:office:smarttags" w:element="place">
          <w:r w:rsidRPr="00DE7FCC">
            <w:t>Moscow</w:t>
          </w:r>
        </w:smartTag>
      </w:smartTag>
      <w:r w:rsidRPr="00DE7FCC">
        <w:t xml:space="preserve">. </w:t>
      </w:r>
      <w:r w:rsidRPr="00DE7FCC" w:rsidR="002C02F4">
        <w:t>In 1982 he</w:t>
      </w:r>
      <w:r w:rsidR="002C02F4">
        <w:t>r</w:t>
      </w:r>
      <w:r w:rsidRPr="002C02F4" w:rsidR="002C02F4">
        <w:t xml:space="preserve"> </w:t>
      </w:r>
      <w:r w:rsidR="002C02F4">
        <w:t xml:space="preserve">family </w:t>
      </w:r>
      <w:r w:rsidRPr="00DE7FCC" w:rsidR="002C02F4">
        <w:t xml:space="preserve">moved to </w:t>
      </w:r>
      <w:r w:rsidR="002C02F4">
        <w:t>a</w:t>
      </w:r>
      <w:r w:rsidRPr="00DE7FCC" w:rsidR="002C02F4">
        <w:t xml:space="preserve"> flat situated at </w:t>
      </w:r>
      <w:smartTag w:uri="urn:schemas-microsoft-com:office:smarttags" w:element="Street">
        <w:smartTag w:uri="urn:schemas-microsoft-com:office:smarttags" w:element="address">
          <w:r w:rsidR="002C02F4" w:rsidRPr="00DE7FCC">
            <w:t>1</w:t>
          </w:r>
          <w:r w:rsidR="00C536FC">
            <w:t xml:space="preserve"> </w:t>
          </w:r>
          <w:r w:rsidR="002C02F4" w:rsidRPr="00DE7FCC">
            <w:t>Zhukov Street</w:t>
          </w:r>
        </w:smartTag>
      </w:smartTag>
      <w:r w:rsidR="002F22AF">
        <w:t>, approximately</w:t>
      </w:r>
      <w:r w:rsidRPr="00DE7FCC" w:rsidR="002C02F4">
        <w:t xml:space="preserve"> 450 met</w:t>
      </w:r>
      <w:r w:rsidR="002C02F4">
        <w:t xml:space="preserve">res </w:t>
      </w:r>
      <w:r w:rsidRPr="00DE7FCC" w:rsidR="002C02F4">
        <w:t xml:space="preserve">from the </w:t>
      </w:r>
      <w:r w:rsidR="001B7203">
        <w:t>site</w:t>
      </w:r>
      <w:r w:rsidRPr="00DE7FCC" w:rsidR="002C02F4">
        <w:t xml:space="preserve"> of the Severstal </w:t>
      </w:r>
      <w:r w:rsidR="002F22AF">
        <w:t>steel plant</w:t>
      </w:r>
      <w:r w:rsidRPr="002C02F4" w:rsidR="002C02F4">
        <w:t xml:space="preserve"> </w:t>
      </w:r>
      <w:r w:rsidRPr="00DE7FCC" w:rsidR="002C02F4">
        <w:t>(“the plant”)</w:t>
      </w:r>
      <w:r w:rsidR="002C02F4">
        <w:t>.</w:t>
      </w:r>
      <w:r w:rsidRPr="00DE7FCC" w:rsidR="002C02F4">
        <w:t xml:space="preserve"> This flat was provided by the </w:t>
      </w:r>
      <w:r w:rsidR="002C02F4">
        <w:t xml:space="preserve">plant </w:t>
      </w:r>
      <w:r w:rsidRPr="00DE7FCC" w:rsidR="002C02F4">
        <w:t>to the applicant</w:t>
      </w:r>
      <w:r w:rsidR="009952BE">
        <w:t>'</w:t>
      </w:r>
      <w:r w:rsidRPr="00DE7FCC" w:rsidR="002C02F4">
        <w:t>s husband, Mr</w:t>
      </w:r>
      <w:r w:rsidR="006B39D9">
        <w:t xml:space="preserve"> </w:t>
      </w:r>
      <w:r w:rsidRPr="00DE7FCC" w:rsidR="002C02F4">
        <w:t xml:space="preserve">Nikolay Fadeyev, </w:t>
      </w:r>
      <w:r w:rsidR="002C02F4">
        <w:t xml:space="preserve">under a </w:t>
      </w:r>
      <w:r w:rsidRPr="00DE7FCC" w:rsidR="002C02F4">
        <w:t xml:space="preserve">tenancy </w:t>
      </w:r>
      <w:r w:rsidR="002C02F4">
        <w:t>agreement.</w:t>
      </w:r>
    </w:p>
    <w:p w:rsidRPr="00DE7FCC" w:rsidR="006036E9" w:rsidP="00F71765" w:rsidRDefault="002C02F4">
      <w:pPr>
        <w:pStyle w:val="JuPara"/>
      </w:pPr>
      <w:r>
        <w:fldChar w:fldCharType="begin"/>
      </w:r>
      <w:r>
        <w:instrText xml:space="preserve"> SEQ level0 \*arabic </w:instrText>
      </w:r>
      <w:r>
        <w:fldChar w:fldCharType="separate"/>
      </w:r>
      <w:r w:rsidR="008C3401">
        <w:rPr>
          <w:noProof/>
        </w:rPr>
        <w:t>11</w:t>
      </w:r>
      <w:r>
        <w:fldChar w:fldCharType="end"/>
      </w:r>
      <w:r>
        <w:t>.  </w:t>
      </w:r>
      <w:r w:rsidRPr="00DE7FCC" w:rsidR="001911CC">
        <w:t>Th</w:t>
      </w:r>
      <w:r w:rsidRPr="00DE7FCC" w:rsidR="00B2309C">
        <w:t xml:space="preserve">e </w:t>
      </w:r>
      <w:r w:rsidRPr="00DE7FCC" w:rsidR="001911CC">
        <w:t xml:space="preserve">plant was built </w:t>
      </w:r>
      <w:r w:rsidR="002F22AF">
        <w:t>during the Soviet era</w:t>
      </w:r>
      <w:r w:rsidRPr="00DE7FCC" w:rsidR="001911CC">
        <w:t xml:space="preserve"> and </w:t>
      </w:r>
      <w:r w:rsidR="002F22AF">
        <w:t xml:space="preserve">was </w:t>
      </w:r>
      <w:r w:rsidRPr="00DE7FCC" w:rsidR="001911CC">
        <w:t>owned by the</w:t>
      </w:r>
      <w:r w:rsidRPr="00DE7FCC" w:rsidR="006036E9">
        <w:t xml:space="preserve"> Ministry of Black Metallurgy of the Russian Soviet Federative Socialist Republic (RSFSR)</w:t>
      </w:r>
      <w:r w:rsidRPr="00DE7FCC" w:rsidR="001911CC">
        <w:t>.</w:t>
      </w:r>
      <w:r w:rsidRPr="00DE7FCC" w:rsidR="006235B4">
        <w:t xml:space="preserve"> </w:t>
      </w:r>
      <w:r>
        <w:t>The plant was</w:t>
      </w:r>
      <w:r w:rsidR="002F22AF">
        <w:t>,</w:t>
      </w:r>
      <w:r>
        <w:t xml:space="preserve"> and remains</w:t>
      </w:r>
      <w:r w:rsidR="002F22AF">
        <w:t>,</w:t>
      </w:r>
      <w:r>
        <w:t xml:space="preserve"> </w:t>
      </w:r>
      <w:r w:rsidRPr="00DE7FCC">
        <w:t xml:space="preserve">the largest iron smelter in </w:t>
      </w:r>
      <w:smartTag w:uri="urn:schemas-microsoft-com:office:smarttags" w:element="country-region">
        <w:smartTag w:uri="urn:schemas-microsoft-com:office:smarttags" w:element="place">
          <w:r w:rsidRPr="00DE7FCC">
            <w:t>Russia</w:t>
          </w:r>
        </w:smartTag>
      </w:smartTag>
      <w:r w:rsidRPr="00DE7FCC">
        <w:t xml:space="preserve"> and the main employer </w:t>
      </w:r>
      <w:r w:rsidR="00C819A7">
        <w:t>for</w:t>
      </w:r>
      <w:r w:rsidRPr="00DE7FCC">
        <w:t xml:space="preserve"> approximately 60,000 people</w:t>
      </w:r>
      <w:r w:rsidRPr="002C02F4">
        <w:t>.</w:t>
      </w:r>
      <w:r w:rsidR="00772DF2">
        <w:t xml:space="preserve"> </w:t>
      </w:r>
      <w:r w:rsidRPr="00DE7FCC" w:rsidR="00852398">
        <w:t xml:space="preserve">In order to delimit </w:t>
      </w:r>
      <w:r w:rsidR="00F32888">
        <w:t>th</w:t>
      </w:r>
      <w:r w:rsidR="00707549">
        <w:t xml:space="preserve">e areas in which </w:t>
      </w:r>
      <w:r w:rsidR="002F22AF">
        <w:t xml:space="preserve">the </w:t>
      </w:r>
      <w:r w:rsidRPr="00DE7FCC" w:rsidR="00852398">
        <w:t xml:space="preserve">pollution caused by steel production </w:t>
      </w:r>
      <w:r w:rsidR="00C819A7">
        <w:t>might</w:t>
      </w:r>
      <w:r w:rsidR="001C2814">
        <w:t xml:space="preserve"> </w:t>
      </w:r>
      <w:r w:rsidRPr="00DE7FCC" w:rsidR="00852398">
        <w:t xml:space="preserve">be excessive, the authorities established a buffer </w:t>
      </w:r>
      <w:r w:rsidRPr="00DE7FCC" w:rsidR="00B2309C">
        <w:t xml:space="preserve">zone </w:t>
      </w:r>
      <w:r w:rsidRPr="00DE7FCC" w:rsidR="00852398">
        <w:t xml:space="preserve">around </w:t>
      </w:r>
      <w:r w:rsidR="001C2814">
        <w:t xml:space="preserve">the Severstal </w:t>
      </w:r>
      <w:r w:rsidRPr="00DE7FCC" w:rsidR="00B2309C">
        <w:t xml:space="preserve">premises </w:t>
      </w:r>
      <w:r w:rsidR="00B67AD4">
        <w:t>–</w:t>
      </w:r>
      <w:r w:rsidR="00BD689C">
        <w:t xml:space="preserve"> </w:t>
      </w:r>
      <w:r w:rsidRPr="00DE7FCC" w:rsidR="00B2309C">
        <w:t>“the sanitary security zone</w:t>
      </w:r>
      <w:r w:rsidRPr="00DE7FCC" w:rsidR="00852398">
        <w:t>”</w:t>
      </w:r>
      <w:r w:rsidRPr="00DE7FCC" w:rsidR="008D0752">
        <w:t>.</w:t>
      </w:r>
      <w:r w:rsidR="00B67AD4">
        <w:t xml:space="preserve"> </w:t>
      </w:r>
      <w:r w:rsidRPr="00DE7FCC" w:rsidR="008D0752">
        <w:t>This</w:t>
      </w:r>
      <w:r w:rsidRPr="00DE7FCC" w:rsidR="00852398">
        <w:t xml:space="preserve"> zone was first delimited in 1965</w:t>
      </w:r>
      <w:r w:rsidRPr="00DE7FCC" w:rsidR="000C008C">
        <w:t>. It</w:t>
      </w:r>
      <w:r w:rsidRPr="00DE7FCC" w:rsidR="008D0752">
        <w:t xml:space="preserve"> covered </w:t>
      </w:r>
      <w:r w:rsidRPr="00DE7FCC" w:rsidR="000C008C">
        <w:t xml:space="preserve">a </w:t>
      </w:r>
      <w:r w:rsidRPr="00DE7FCC" w:rsidR="008D0752">
        <w:t>5,000</w:t>
      </w:r>
      <w:r w:rsidR="00C819A7">
        <w:t>-</w:t>
      </w:r>
      <w:r w:rsidRPr="00DE7FCC" w:rsidR="008D0752">
        <w:t xml:space="preserve">metre-wide area around the </w:t>
      </w:r>
      <w:r w:rsidR="00C819A7">
        <w:t>site</w:t>
      </w:r>
      <w:r w:rsidRPr="00DE7FCC" w:rsidR="00FD4FC5">
        <w:t xml:space="preserve"> </w:t>
      </w:r>
      <w:r w:rsidRPr="00DE7FCC" w:rsidR="008D0752">
        <w:t>of the plant.</w:t>
      </w:r>
      <w:r w:rsidRPr="00DE7FCC" w:rsidR="006235B4">
        <w:t xml:space="preserve"> </w:t>
      </w:r>
      <w:r w:rsidRPr="00DE7FCC" w:rsidR="00CB5513">
        <w:t>Although this zone was</w:t>
      </w:r>
      <w:r w:rsidR="00F32888">
        <w:t>,</w:t>
      </w:r>
      <w:r w:rsidRPr="00DE7FCC" w:rsidR="00CB5513">
        <w:t xml:space="preserve"> </w:t>
      </w:r>
      <w:r w:rsidRPr="00DE7FCC" w:rsidR="00F32888">
        <w:t>in theory</w:t>
      </w:r>
      <w:r w:rsidR="00F32888">
        <w:t>,</w:t>
      </w:r>
      <w:r w:rsidRPr="00DE7FCC" w:rsidR="00F32888">
        <w:t xml:space="preserve"> </w:t>
      </w:r>
      <w:r w:rsidRPr="00DE7FCC" w:rsidR="00CB5513">
        <w:t>supposed to separat</w:t>
      </w:r>
      <w:r w:rsidRPr="00DE7FCC" w:rsidR="006235B4">
        <w:t>e</w:t>
      </w:r>
      <w:r w:rsidRPr="00DE7FCC" w:rsidR="00CB5513">
        <w:t xml:space="preserve"> the plant from the </w:t>
      </w:r>
      <w:r w:rsidR="00BA5D4D">
        <w:t>town</w:t>
      </w:r>
      <w:r w:rsidR="009952BE">
        <w:t>'</w:t>
      </w:r>
      <w:r w:rsidR="00F32888">
        <w:t xml:space="preserve">s </w:t>
      </w:r>
      <w:r w:rsidRPr="00DE7FCC" w:rsidR="00CB5513">
        <w:t>residential areas, in practice thousands of people (including the applicant</w:t>
      </w:r>
      <w:r w:rsidR="009952BE">
        <w:t>'</w:t>
      </w:r>
      <w:r w:rsidRPr="00DE7FCC" w:rsidR="00CB5513">
        <w:t xml:space="preserve">s family) lived there. The </w:t>
      </w:r>
      <w:r w:rsidR="00C536FC">
        <w:t>block</w:t>
      </w:r>
      <w:r w:rsidR="00C819A7">
        <w:t>s</w:t>
      </w:r>
      <w:r w:rsidR="00C536FC">
        <w:t xml:space="preserve"> of flats</w:t>
      </w:r>
      <w:r w:rsidRPr="00DE7FCC" w:rsidR="00CB5513">
        <w:t xml:space="preserve"> in the zone belonged to the plant and were designated mainly for its workers, who occupied the flats as life-long tenants (see “Relevant </w:t>
      </w:r>
      <w:r w:rsidR="002F22AF">
        <w:t>d</w:t>
      </w:r>
      <w:r w:rsidR="00AE241A">
        <w:t>o</w:t>
      </w:r>
      <w:r w:rsidRPr="00DE7FCC" w:rsidR="00CB5513">
        <w:t xml:space="preserve">mestic </w:t>
      </w:r>
      <w:r w:rsidR="002F22AF">
        <w:t>l</w:t>
      </w:r>
      <w:r w:rsidRPr="00DE7FCC" w:rsidR="00CB5513">
        <w:t>aw</w:t>
      </w:r>
      <w:r w:rsidR="002F22AF">
        <w:t xml:space="preserve"> and p</w:t>
      </w:r>
      <w:r w:rsidR="00AE241A">
        <w:t>ractice</w:t>
      </w:r>
      <w:r w:rsidRPr="00DE7FCC" w:rsidR="00CB5513">
        <w:t>” below</w:t>
      </w:r>
      <w:r w:rsidRPr="00E67C85" w:rsidR="00CB5513">
        <w:rPr>
          <w:szCs w:val="24"/>
        </w:rPr>
        <w:t>).</w:t>
      </w:r>
      <w:r w:rsidRPr="00E67C85" w:rsidR="006036E9">
        <w:rPr>
          <w:szCs w:val="24"/>
        </w:rPr>
        <w:t xml:space="preserve"> </w:t>
      </w:r>
      <w:r w:rsidRPr="00E67C85" w:rsidR="00F32888">
        <w:rPr>
          <w:szCs w:val="24"/>
        </w:rPr>
        <w:t>A</w:t>
      </w:r>
      <w:r w:rsidR="00F32888">
        <w:t xml:space="preserve"> </w:t>
      </w:r>
      <w:r w:rsidR="002F22AF">
        <w:rPr>
          <w:szCs w:val="24"/>
        </w:rPr>
        <w:t>d</w:t>
      </w:r>
      <w:r w:rsidRPr="00DE7FCC" w:rsidR="006036E9">
        <w:rPr>
          <w:szCs w:val="24"/>
        </w:rPr>
        <w:t>ecree</w:t>
      </w:r>
      <w:r w:rsidRPr="00DE7FCC" w:rsidR="006036E9">
        <w:t xml:space="preserve"> of the Council of Ministers of the RSFSR</w:t>
      </w:r>
      <w:r w:rsidR="00F32888">
        <w:t>,</w:t>
      </w:r>
      <w:r w:rsidRPr="00DE7FCC" w:rsidR="006036E9">
        <w:t xml:space="preserve"> </w:t>
      </w:r>
      <w:r w:rsidR="00F32888">
        <w:t>dated</w:t>
      </w:r>
      <w:r w:rsidR="00707549">
        <w:t xml:space="preserve"> </w:t>
      </w:r>
      <w:smartTag w:uri="urn:schemas-microsoft-com:office:smarttags" w:element="date">
        <w:smartTagPr>
          <w:attr w:name="Month" w:val="9"/>
          <w:attr w:name="Day" w:val="10"/>
          <w:attr w:name="Year" w:val="1974"/>
        </w:smartTagPr>
        <w:r w:rsidR="00A93D13">
          <w:t xml:space="preserve">10 </w:t>
        </w:r>
        <w:r w:rsidR="006036E9" w:rsidRPr="00DE7FCC">
          <w:t>September 1974</w:t>
        </w:r>
      </w:smartTag>
      <w:r w:rsidR="00F32888">
        <w:t>,</w:t>
      </w:r>
      <w:r w:rsidRPr="00DE7FCC" w:rsidR="006036E9">
        <w:t xml:space="preserve"> </w:t>
      </w:r>
      <w:r w:rsidR="00941696">
        <w:t>imposed on</w:t>
      </w:r>
      <w:r w:rsidRPr="00DE7FCC" w:rsidR="006036E9">
        <w:t xml:space="preserve"> the Ministry of Black Metallurgy </w:t>
      </w:r>
      <w:r w:rsidR="00941696">
        <w:t xml:space="preserve">the obligation </w:t>
      </w:r>
      <w:r w:rsidRPr="00DE7FCC" w:rsidR="006036E9">
        <w:t>to resettle</w:t>
      </w:r>
      <w:r w:rsidRPr="00DE7FCC" w:rsidR="004A70D1">
        <w:t xml:space="preserve"> the inhabitants of the </w:t>
      </w:r>
      <w:r w:rsidRPr="00DE7FCC" w:rsidR="006036E9">
        <w:t>sanitary security zone</w:t>
      </w:r>
      <w:r w:rsidR="00707549">
        <w:t xml:space="preserve"> who </w:t>
      </w:r>
      <w:r w:rsidRPr="00DE7FCC" w:rsidR="004A70D1">
        <w:t>liv</w:t>
      </w:r>
      <w:r w:rsidR="00707549">
        <w:t xml:space="preserve">ed </w:t>
      </w:r>
      <w:r w:rsidRPr="00DE7FCC" w:rsidR="004A70D1">
        <w:t xml:space="preserve">in </w:t>
      </w:r>
      <w:r w:rsidRPr="00DE7FCC" w:rsidR="00CD5C92">
        <w:t>d</w:t>
      </w:r>
      <w:r w:rsidRPr="00DE7FCC" w:rsidR="004A70D1">
        <w:t xml:space="preserve">istricts </w:t>
      </w:r>
      <w:r w:rsidRPr="00DE7FCC" w:rsidR="00CD5C92">
        <w:t>no</w:t>
      </w:r>
      <w:r w:rsidR="00F32888">
        <w:t>s</w:t>
      </w:r>
      <w:r w:rsidRPr="00DE7FCC" w:rsidR="00CD5C92">
        <w:t xml:space="preserve">. </w:t>
      </w:r>
      <w:r w:rsidRPr="00DE7FCC" w:rsidR="004A70D1">
        <w:t>213 and 214</w:t>
      </w:r>
      <w:r w:rsidRPr="00DE7FCC" w:rsidR="00CD5C92">
        <w:t xml:space="preserve"> </w:t>
      </w:r>
      <w:r w:rsidRPr="00DE7FCC" w:rsidR="00552557">
        <w:t>by 1977</w:t>
      </w:r>
      <w:r w:rsidRPr="00DE7FCC" w:rsidR="004A70D1">
        <w:t xml:space="preserve">. </w:t>
      </w:r>
      <w:r w:rsidR="00552557">
        <w:t>Howe</w:t>
      </w:r>
      <w:r w:rsidR="007616AE">
        <w:t xml:space="preserve">ver, </w:t>
      </w:r>
      <w:r w:rsidR="00F32888">
        <w:t xml:space="preserve">this </w:t>
      </w:r>
      <w:r w:rsidR="007616AE">
        <w:t>has not been done.</w:t>
      </w:r>
    </w:p>
    <w:p w:rsidRPr="00DE7FCC" w:rsidR="004A1783" w:rsidP="00F71765" w:rsidRDefault="00FD4FC5">
      <w:pPr>
        <w:pStyle w:val="JuPara"/>
      </w:pPr>
      <w:r w:rsidRPr="00DE7FCC">
        <w:fldChar w:fldCharType="begin"/>
      </w:r>
      <w:r w:rsidRPr="00DE7FCC">
        <w:instrText xml:space="preserve"> SEQ level0 \*arabic </w:instrText>
      </w:r>
      <w:r w:rsidRPr="00DE7FCC">
        <w:fldChar w:fldCharType="separate"/>
      </w:r>
      <w:r w:rsidR="008C3401">
        <w:rPr>
          <w:noProof/>
        </w:rPr>
        <w:t>12</w:t>
      </w:r>
      <w:r w:rsidRPr="00DE7FCC">
        <w:fldChar w:fldCharType="end"/>
      </w:r>
      <w:r w:rsidRPr="00DE7FCC">
        <w:t>.  </w:t>
      </w:r>
      <w:r w:rsidR="002F22AF">
        <w:t>In 1990 the g</w:t>
      </w:r>
      <w:r w:rsidRPr="00DE7FCC" w:rsidR="00B2309C">
        <w:t xml:space="preserve">overnment </w:t>
      </w:r>
      <w:r w:rsidRPr="00DE7FCC" w:rsidR="00774CA9">
        <w:t xml:space="preserve">of </w:t>
      </w:r>
      <w:r w:rsidR="001C2814">
        <w:t xml:space="preserve">the </w:t>
      </w:r>
      <w:r w:rsidRPr="00DE7FCC" w:rsidR="00774CA9">
        <w:t xml:space="preserve">RSFSR </w:t>
      </w:r>
      <w:r w:rsidRPr="00DE7FCC" w:rsidR="00B2309C">
        <w:t>adopted a program</w:t>
      </w:r>
      <w:r w:rsidR="00F32888">
        <w:t>me</w:t>
      </w:r>
      <w:r w:rsidRPr="00DE7FCC" w:rsidR="00B2309C">
        <w:t xml:space="preserve"> “On </w:t>
      </w:r>
      <w:r w:rsidR="002F22AF">
        <w:t>i</w:t>
      </w:r>
      <w:r w:rsidR="00DE6DED">
        <w:t xml:space="preserve">mproving </w:t>
      </w:r>
      <w:r w:rsidR="009F4754">
        <w:t xml:space="preserve">the </w:t>
      </w:r>
      <w:r w:rsidR="002F22AF">
        <w:t>e</w:t>
      </w:r>
      <w:r w:rsidRPr="00DE7FCC" w:rsidR="00B2309C">
        <w:t xml:space="preserve">nvironmental </w:t>
      </w:r>
      <w:r w:rsidR="002F22AF">
        <w:t>s</w:t>
      </w:r>
      <w:r w:rsidRPr="00DE7FCC" w:rsidR="00B2309C">
        <w:t xml:space="preserve">ituation in </w:t>
      </w:r>
      <w:smartTag w:uri="urn:schemas-microsoft-com:office:smarttags" w:element="City">
        <w:smartTag w:uri="urn:schemas-microsoft-com:office:smarttags" w:element="place">
          <w:r w:rsidR="00B2309C" w:rsidRPr="00DE7FCC">
            <w:t>Cherepovets</w:t>
          </w:r>
        </w:smartTag>
      </w:smartTag>
      <w:r w:rsidRPr="00DE7FCC" w:rsidR="00B2309C">
        <w:t>”</w:t>
      </w:r>
      <w:r w:rsidR="007616AE">
        <w:t>. T</w:t>
      </w:r>
      <w:r w:rsidRPr="00DE7FCC" w:rsidR="007616AE">
        <w:t xml:space="preserve">he </w:t>
      </w:r>
      <w:r w:rsidR="007616AE">
        <w:t>program</w:t>
      </w:r>
      <w:r w:rsidR="009F4754">
        <w:t>me</w:t>
      </w:r>
      <w:r w:rsidRPr="00DE7FCC" w:rsidR="007616AE">
        <w:t xml:space="preserve"> stated that “the concentration of toxic substances in the </w:t>
      </w:r>
      <w:r w:rsidR="00BA5D4D">
        <w:t>town</w:t>
      </w:r>
      <w:r w:rsidR="009952BE">
        <w:t>'</w:t>
      </w:r>
      <w:r w:rsidR="009F4754">
        <w:t xml:space="preserve">s </w:t>
      </w:r>
      <w:r w:rsidRPr="00DE7FCC" w:rsidR="007616AE">
        <w:t>air exceed</w:t>
      </w:r>
      <w:r w:rsidR="002F22AF">
        <w:t>[ed]</w:t>
      </w:r>
      <w:r w:rsidRPr="00DE7FCC" w:rsidR="007616AE">
        <w:t xml:space="preserve"> the acceptable norms</w:t>
      </w:r>
      <w:r w:rsidRPr="009F4754" w:rsidR="009F4754">
        <w:t xml:space="preserve"> </w:t>
      </w:r>
      <w:r w:rsidRPr="00DE7FCC" w:rsidR="009F4754">
        <w:t>many times</w:t>
      </w:r>
      <w:r w:rsidRPr="00DE7FCC" w:rsidR="007616AE">
        <w:t>” and that the morbidity</w:t>
      </w:r>
      <w:r w:rsidR="00E67C85">
        <w:t xml:space="preserve"> rate</w:t>
      </w:r>
      <w:r w:rsidRPr="00DE7FCC" w:rsidR="007616AE">
        <w:t xml:space="preserve"> of </w:t>
      </w:r>
      <w:smartTag w:uri="urn:schemas-microsoft-com:office:smarttags" w:element="City">
        <w:smartTag w:uri="urn:schemas-microsoft-com:office:smarttags" w:element="place">
          <w:r w:rsidR="007616AE">
            <w:t>Cherepovets</w:t>
          </w:r>
        </w:smartTag>
      </w:smartTag>
      <w:r w:rsidR="007616AE">
        <w:t xml:space="preserve"> </w:t>
      </w:r>
      <w:r w:rsidRPr="00DE7FCC" w:rsidR="007616AE">
        <w:t xml:space="preserve">residents </w:t>
      </w:r>
      <w:r w:rsidR="00707549">
        <w:t>was</w:t>
      </w:r>
      <w:r w:rsidRPr="00DE7FCC" w:rsidR="007616AE">
        <w:t xml:space="preserve"> higher than </w:t>
      </w:r>
      <w:r w:rsidR="00C536FC">
        <w:t xml:space="preserve">the </w:t>
      </w:r>
      <w:r w:rsidRPr="00DE7FCC" w:rsidR="007616AE">
        <w:t>average.</w:t>
      </w:r>
      <w:r w:rsidR="007616AE">
        <w:t xml:space="preserve"> It was noted </w:t>
      </w:r>
      <w:r w:rsidRPr="00DE7FCC" w:rsidR="00CB5513">
        <w:t xml:space="preserve">that many people still lived </w:t>
      </w:r>
      <w:r w:rsidR="009F4754">
        <w:t>with</w:t>
      </w:r>
      <w:r w:rsidRPr="00DE7FCC" w:rsidR="00CB5513">
        <w:t xml:space="preserve">in the </w:t>
      </w:r>
      <w:r w:rsidR="002F22AF">
        <w:t>steel plant</w:t>
      </w:r>
      <w:r w:rsidR="009952BE">
        <w:t>'</w:t>
      </w:r>
      <w:r w:rsidR="009F4754">
        <w:t>s</w:t>
      </w:r>
      <w:r w:rsidRPr="00DE7FCC" w:rsidR="009F4754">
        <w:t xml:space="preserve"> </w:t>
      </w:r>
      <w:r w:rsidRPr="00DE7FCC" w:rsidR="00CB5513">
        <w:t xml:space="preserve">sanitary security zone. </w:t>
      </w:r>
      <w:r w:rsidR="009F4754">
        <w:t>Under</w:t>
      </w:r>
      <w:r w:rsidRPr="00DE7FCC" w:rsidR="00867E02">
        <w:t xml:space="preserve"> the </w:t>
      </w:r>
      <w:r w:rsidRPr="00DE7FCC" w:rsidR="00F80CC3">
        <w:t>program</w:t>
      </w:r>
      <w:r w:rsidR="009F4754">
        <w:t>me</w:t>
      </w:r>
      <w:r w:rsidRPr="00DE7FCC" w:rsidR="00DD24E1">
        <w:t>,</w:t>
      </w:r>
      <w:r w:rsidRPr="00DE7FCC" w:rsidR="00B2309C">
        <w:t xml:space="preserve"> the </w:t>
      </w:r>
      <w:r w:rsidR="002F22AF">
        <w:t>steel plant</w:t>
      </w:r>
      <w:r w:rsidRPr="00DE7FCC" w:rsidR="00B2309C">
        <w:t xml:space="preserve"> was </w:t>
      </w:r>
      <w:r w:rsidR="009F4754">
        <w:t xml:space="preserve">required </w:t>
      </w:r>
      <w:r w:rsidRPr="00DE7FCC" w:rsidR="00B2309C">
        <w:t xml:space="preserve">to reduce </w:t>
      </w:r>
      <w:r w:rsidRPr="00DE7FCC" w:rsidR="00F80CC3">
        <w:t xml:space="preserve">its </w:t>
      </w:r>
      <w:r w:rsidRPr="00DE7FCC" w:rsidR="00B2309C">
        <w:t>toxic emissions to safe level</w:t>
      </w:r>
      <w:r w:rsidR="009F4754">
        <w:t>s</w:t>
      </w:r>
      <w:r w:rsidRPr="00DE7FCC" w:rsidR="00B2309C">
        <w:t xml:space="preserve"> by 1998</w:t>
      </w:r>
      <w:r w:rsidRPr="00DE7FCC" w:rsidR="00497177">
        <w:t>. The program</w:t>
      </w:r>
      <w:r w:rsidR="00707549">
        <w:t>me</w:t>
      </w:r>
      <w:r w:rsidRPr="00DE7FCC" w:rsidR="00497177">
        <w:t xml:space="preserve"> </w:t>
      </w:r>
      <w:r w:rsidR="009F4754">
        <w:t xml:space="preserve">listed </w:t>
      </w:r>
      <w:r w:rsidR="00C536FC">
        <w:t xml:space="preserve">a number of </w:t>
      </w:r>
      <w:r w:rsidRPr="00DE7FCC" w:rsidR="00497177">
        <w:t xml:space="preserve">specific technological measures to attain this goal. The </w:t>
      </w:r>
      <w:r w:rsidR="002F22AF">
        <w:t>steel plant</w:t>
      </w:r>
      <w:r w:rsidRPr="00DE7FCC" w:rsidR="00497177">
        <w:t xml:space="preserve"> was also ordered</w:t>
      </w:r>
      <w:r w:rsidRPr="00DE7FCC" w:rsidR="00B2309C">
        <w:t xml:space="preserve"> to </w:t>
      </w:r>
      <w:r w:rsidRPr="00DE7FCC" w:rsidR="00497177">
        <w:t>finance the construction of 2</w:t>
      </w:r>
      <w:r w:rsidRPr="00DE7FCC" w:rsidR="00B2309C">
        <w:t>0,000 square met</w:t>
      </w:r>
      <w:r w:rsidR="009F4754">
        <w:t xml:space="preserve">res </w:t>
      </w:r>
      <w:r w:rsidRPr="00DE7FCC" w:rsidR="00497177">
        <w:t xml:space="preserve">of residential property every year </w:t>
      </w:r>
      <w:r w:rsidRPr="00DE7FCC" w:rsidR="00B2309C">
        <w:t xml:space="preserve">for </w:t>
      </w:r>
      <w:r w:rsidRPr="00DE7FCC" w:rsidR="00497177">
        <w:t>the resettlement of people living</w:t>
      </w:r>
      <w:r w:rsidR="00707549">
        <w:t xml:space="preserve"> with</w:t>
      </w:r>
      <w:r w:rsidRPr="00DE7FCC" w:rsidR="00497177">
        <w:t xml:space="preserve">in </w:t>
      </w:r>
      <w:r w:rsidRPr="00DE7FCC" w:rsidR="00B2309C">
        <w:t>its sanitary security zone</w:t>
      </w:r>
      <w:r w:rsidRPr="00DE7FCC" w:rsidR="00CB5513">
        <w:t>.</w:t>
      </w:r>
    </w:p>
    <w:p w:rsidRPr="00DE7FCC" w:rsidR="00FD4FC5" w:rsidP="00F71765" w:rsidRDefault="00FD4FC5">
      <w:pPr>
        <w:pStyle w:val="JuPara"/>
      </w:pPr>
      <w:r w:rsidRPr="00DE7FCC">
        <w:fldChar w:fldCharType="begin"/>
      </w:r>
      <w:r w:rsidRPr="00DE7FCC">
        <w:instrText xml:space="preserve"> SEQ level0 \*arabic </w:instrText>
      </w:r>
      <w:r w:rsidRPr="00DE7FCC">
        <w:fldChar w:fldCharType="separate"/>
      </w:r>
      <w:r w:rsidR="008C3401">
        <w:rPr>
          <w:noProof/>
        </w:rPr>
        <w:t>13</w:t>
      </w:r>
      <w:r w:rsidRPr="00DE7FCC">
        <w:fldChar w:fldCharType="end"/>
      </w:r>
      <w:r w:rsidRPr="00DE7FCC">
        <w:t xml:space="preserve">.  By </w:t>
      </w:r>
      <w:r w:rsidR="00C536FC">
        <w:t>M</w:t>
      </w:r>
      <w:r w:rsidRPr="00DE7FCC">
        <w:t xml:space="preserve">unicipal </w:t>
      </w:r>
      <w:r w:rsidR="002F22AF">
        <w:t>D</w:t>
      </w:r>
      <w:r w:rsidR="00C72AD1">
        <w:t>ecree</w:t>
      </w:r>
      <w:r w:rsidRPr="00DE7FCC" w:rsidR="00C72AD1">
        <w:t xml:space="preserve"> </w:t>
      </w:r>
      <w:r w:rsidR="00BD689C">
        <w:t>n</w:t>
      </w:r>
      <w:r w:rsidRPr="00DE7FCC" w:rsidR="00E31F0E">
        <w:t xml:space="preserve">o. 30 </w:t>
      </w:r>
      <w:r w:rsidRPr="00DE7FCC">
        <w:t xml:space="preserve">of </w:t>
      </w:r>
      <w:smartTag w:uri="urn:schemas-microsoft-com:office:smarttags" w:element="date">
        <w:smartTagPr>
          <w:attr w:name="Month" w:val="11"/>
          <w:attr w:name="Day" w:val="18"/>
          <w:attr w:name="Year" w:val="1992"/>
        </w:smartTagPr>
        <w:r w:rsidRPr="00DE7FCC">
          <w:t>18 November 1992</w:t>
        </w:r>
      </w:smartTag>
      <w:r w:rsidR="002F22AF">
        <w:t>,</w:t>
      </w:r>
      <w:r w:rsidRPr="00DE7FCC">
        <w:t xml:space="preserve"> the </w:t>
      </w:r>
      <w:r w:rsidR="00E67C85">
        <w:t xml:space="preserve">boundaries of the </w:t>
      </w:r>
      <w:r w:rsidRPr="00DE7FCC">
        <w:t>sanitary security zone around the plant w</w:t>
      </w:r>
      <w:r w:rsidR="00E67C85">
        <w:t>ere redefined</w:t>
      </w:r>
      <w:r w:rsidRPr="00DE7FCC">
        <w:t>. The width of th</w:t>
      </w:r>
      <w:r w:rsidR="009F4754">
        <w:t xml:space="preserve">e </w:t>
      </w:r>
      <w:r w:rsidRPr="00DE7FCC">
        <w:t>zone was reduced to 1,000 metres.</w:t>
      </w:r>
    </w:p>
    <w:p w:rsidRPr="00DE7FCC" w:rsidR="00DD24E1" w:rsidP="00F71765" w:rsidRDefault="002B20A7">
      <w:pPr>
        <w:pStyle w:val="JuPara"/>
      </w:pPr>
      <w:r w:rsidRPr="00DE7FCC">
        <w:fldChar w:fldCharType="begin"/>
      </w:r>
      <w:r w:rsidRPr="00DE7FCC">
        <w:instrText xml:space="preserve"> SEQ level0 \*arabic </w:instrText>
      </w:r>
      <w:r w:rsidRPr="00DE7FCC">
        <w:fldChar w:fldCharType="separate"/>
      </w:r>
      <w:r w:rsidR="008C3401">
        <w:rPr>
          <w:noProof/>
        </w:rPr>
        <w:t>14</w:t>
      </w:r>
      <w:r w:rsidRPr="00DE7FCC">
        <w:fldChar w:fldCharType="end"/>
      </w:r>
      <w:r w:rsidRPr="00DE7FCC">
        <w:t>.  </w:t>
      </w:r>
      <w:r w:rsidRPr="00DE7FCC" w:rsidR="001911CC">
        <w:t>In 1993 t</w:t>
      </w:r>
      <w:r w:rsidRPr="00DE7FCC" w:rsidR="00497177">
        <w:t xml:space="preserve">he </w:t>
      </w:r>
      <w:r w:rsidR="002F22AF">
        <w:t>steel plant was privatis</w:t>
      </w:r>
      <w:r w:rsidRPr="00DE7FCC" w:rsidR="001911CC">
        <w:t xml:space="preserve">ed and </w:t>
      </w:r>
      <w:r w:rsidRPr="00DE7FCC" w:rsidR="00F80CC3">
        <w:t>acquired by</w:t>
      </w:r>
      <w:r w:rsidR="002F22AF">
        <w:t xml:space="preserve"> Severstal </w:t>
      </w:r>
      <w:r w:rsidRPr="00DE7FCC" w:rsidR="001911CC">
        <w:t>PLC.</w:t>
      </w:r>
      <w:r w:rsidRPr="00DE7FCC" w:rsidR="00497177">
        <w:t xml:space="preserve"> In the course of </w:t>
      </w:r>
      <w:r w:rsidR="00C819A7">
        <w:t xml:space="preserve">the </w:t>
      </w:r>
      <w:r w:rsidRPr="00DE7FCC" w:rsidR="00497177">
        <w:t>privati</w:t>
      </w:r>
      <w:r w:rsidR="009F4754">
        <w:t>s</w:t>
      </w:r>
      <w:r w:rsidRPr="00DE7FCC" w:rsidR="00497177">
        <w:t xml:space="preserve">ation </w:t>
      </w:r>
      <w:r w:rsidRPr="00DE7FCC" w:rsidR="00F80CC3">
        <w:t>the</w:t>
      </w:r>
      <w:r w:rsidRPr="00DE7FCC" w:rsidR="00CB5513">
        <w:t xml:space="preserve"> </w:t>
      </w:r>
      <w:r w:rsidR="002F22AF">
        <w:t>blocks of flats</w:t>
      </w:r>
      <w:r w:rsidRPr="00DE7FCC" w:rsidR="00F80CC3">
        <w:t xml:space="preserve"> </w:t>
      </w:r>
      <w:r w:rsidRPr="00DE7FCC" w:rsidR="00CD5C92">
        <w:t>owned by</w:t>
      </w:r>
      <w:r w:rsidRPr="00DE7FCC" w:rsidR="00F80CC3">
        <w:t xml:space="preserve"> the </w:t>
      </w:r>
      <w:r w:rsidR="002F22AF">
        <w:t>steel plant</w:t>
      </w:r>
      <w:r w:rsidRPr="00DE7FCC" w:rsidR="00F80CC3">
        <w:t xml:space="preserve"> </w:t>
      </w:r>
      <w:r w:rsidR="002F22AF">
        <w:t>that were</w:t>
      </w:r>
      <w:r w:rsidRPr="00DE7FCC" w:rsidR="00F80CC3">
        <w:t xml:space="preserve"> situated </w:t>
      </w:r>
      <w:r w:rsidR="009F4754">
        <w:t>with</w:t>
      </w:r>
      <w:r w:rsidRPr="00DE7FCC" w:rsidR="00F80CC3">
        <w:t>in the zone were transferred to the municipality.</w:t>
      </w:r>
    </w:p>
    <w:p w:rsidRPr="00DE7FCC" w:rsidR="006235B4" w:rsidP="00F71765" w:rsidRDefault="006235B4">
      <w:pPr>
        <w:pStyle w:val="JuPara"/>
      </w:pPr>
      <w:r w:rsidRPr="00DE7FCC">
        <w:fldChar w:fldCharType="begin"/>
      </w:r>
      <w:r w:rsidRPr="00DE7FCC">
        <w:instrText xml:space="preserve"> SEQ level0 \*arabic </w:instrText>
      </w:r>
      <w:r w:rsidRPr="00DE7FCC">
        <w:fldChar w:fldCharType="separate"/>
      </w:r>
      <w:r w:rsidR="008C3401">
        <w:rPr>
          <w:noProof/>
        </w:rPr>
        <w:t>15</w:t>
      </w:r>
      <w:r w:rsidRPr="00DE7FCC">
        <w:fldChar w:fldCharType="end"/>
      </w:r>
      <w:r w:rsidRPr="00DE7FCC">
        <w:t>.  </w:t>
      </w:r>
      <w:r w:rsidR="002F22AF">
        <w:t>On 3 October 1996 the g</w:t>
      </w:r>
      <w:r w:rsidRPr="00DE7FCC" w:rsidR="00DC699B">
        <w:t xml:space="preserve">overnment of the Russian Federation adopted Decree </w:t>
      </w:r>
      <w:r w:rsidR="00450108">
        <w:t>n</w:t>
      </w:r>
      <w:r w:rsidR="002F22AF">
        <w:t>o. 1161 o</w:t>
      </w:r>
      <w:r w:rsidRPr="00DE7FCC" w:rsidR="00DC699B">
        <w:t xml:space="preserve">n </w:t>
      </w:r>
      <w:r w:rsidR="009F4754">
        <w:t xml:space="preserve">the </w:t>
      </w:r>
      <w:r w:rsidR="002F22AF">
        <w:t>special federal p</w:t>
      </w:r>
      <w:r w:rsidRPr="00DE7FCC" w:rsidR="00DC699B">
        <w:t>rogram</w:t>
      </w:r>
      <w:r w:rsidR="009F4754">
        <w:t>me</w:t>
      </w:r>
      <w:r w:rsidRPr="00DE7FCC" w:rsidR="00DC699B">
        <w:t xml:space="preserve"> </w:t>
      </w:r>
      <w:r w:rsidR="002F22AF">
        <w:t>“</w:t>
      </w:r>
      <w:r w:rsidRPr="00DE7FCC" w:rsidR="00DC699B">
        <w:t xml:space="preserve">Improvement of </w:t>
      </w:r>
      <w:r w:rsidR="009F4754">
        <w:t xml:space="preserve">the </w:t>
      </w:r>
      <w:r w:rsidR="002F22AF">
        <w:t>environmental situation and public h</w:t>
      </w:r>
      <w:r w:rsidRPr="00DE7FCC" w:rsidR="00DC699B">
        <w:t>ealth in Cherepovets</w:t>
      </w:r>
      <w:r w:rsidR="002F22AF">
        <w:t>”</w:t>
      </w:r>
      <w:r w:rsidRPr="00DE7FCC" w:rsidR="00DC699B">
        <w:t xml:space="preserve"> </w:t>
      </w:r>
      <w:r w:rsidR="00C819A7">
        <w:t xml:space="preserve">for the period </w:t>
      </w:r>
      <w:r w:rsidRPr="00DE7FCC" w:rsidR="00DC699B">
        <w:t>f</w:t>
      </w:r>
      <w:r w:rsidR="002F22AF">
        <w:t xml:space="preserve">rom 1997 to </w:t>
      </w:r>
      <w:r w:rsidRPr="00DE7FCC" w:rsidR="00DC699B">
        <w:t>2010”</w:t>
      </w:r>
      <w:r w:rsidRPr="00DE7FCC" w:rsidR="00E31F0E">
        <w:t xml:space="preserve"> (in 2002 this program</w:t>
      </w:r>
      <w:r w:rsidR="009F4754">
        <w:t>me</w:t>
      </w:r>
      <w:r w:rsidRPr="00DE7FCC" w:rsidR="00E31F0E">
        <w:t xml:space="preserve"> was replaced by the </w:t>
      </w:r>
      <w:r w:rsidR="002F22AF">
        <w:t>special federal p</w:t>
      </w:r>
      <w:r w:rsidRPr="00DE7FCC" w:rsidR="00E31F0E">
        <w:t>rogram</w:t>
      </w:r>
      <w:r w:rsidR="009F4754">
        <w:t>me</w:t>
      </w:r>
      <w:r w:rsidRPr="00DE7FCC" w:rsidR="00E31F0E">
        <w:t xml:space="preserve"> “</w:t>
      </w:r>
      <w:r w:rsidR="009F4754">
        <w:t>Russia</w:t>
      </w:r>
      <w:r w:rsidR="009952BE">
        <w:t>'</w:t>
      </w:r>
      <w:r w:rsidR="009F4754">
        <w:t xml:space="preserve">s </w:t>
      </w:r>
      <w:r w:rsidR="002F22AF">
        <w:t>ecology and natural r</w:t>
      </w:r>
      <w:r w:rsidRPr="00DE7FCC" w:rsidR="00E31F0E">
        <w:t xml:space="preserve">esources”). </w:t>
      </w:r>
      <w:r w:rsidR="009F4754">
        <w:t>I</w:t>
      </w:r>
      <w:r w:rsidRPr="00DE7FCC" w:rsidR="00DC699B">
        <w:t>mplementation of th</w:t>
      </w:r>
      <w:r w:rsidRPr="00DE7FCC" w:rsidR="00E31F0E">
        <w:t>e</w:t>
      </w:r>
      <w:r w:rsidR="009F4754">
        <w:t xml:space="preserve"> 1996</w:t>
      </w:r>
      <w:r w:rsidRPr="00DE7FCC" w:rsidR="00DC699B">
        <w:t xml:space="preserve"> program</w:t>
      </w:r>
      <w:r w:rsidR="009F4754">
        <w:t>me</w:t>
      </w:r>
      <w:r w:rsidRPr="00DE7FCC" w:rsidR="00DC699B">
        <w:t xml:space="preserve"> was funded by the World Bank. </w:t>
      </w:r>
      <w:r w:rsidRPr="00DE7FCC">
        <w:t>The second paragraph of this program</w:t>
      </w:r>
      <w:r w:rsidR="009F4754">
        <w:t>me</w:t>
      </w:r>
      <w:r w:rsidR="002F22AF">
        <w:t xml:space="preserve"> stated</w:t>
      </w:r>
      <w:r w:rsidRPr="00DE7FCC">
        <w:t>:</w:t>
      </w:r>
    </w:p>
    <w:p w:rsidRPr="00DE7FCC" w:rsidR="006235B4" w:rsidP="002A47A5" w:rsidRDefault="006235B4">
      <w:pPr>
        <w:pStyle w:val="JuQuot"/>
      </w:pPr>
      <w:r w:rsidRPr="00DE7FCC">
        <w:t xml:space="preserve">“The concentration of certain polluting substances in the </w:t>
      </w:r>
      <w:r w:rsidR="00BA5D4D">
        <w:t>town</w:t>
      </w:r>
      <w:r w:rsidR="009952BE">
        <w:t>'</w:t>
      </w:r>
      <w:r w:rsidR="0099389F">
        <w:t xml:space="preserve">s </w:t>
      </w:r>
      <w:r w:rsidRPr="00DE7FCC">
        <w:t xml:space="preserve">residential areas is </w:t>
      </w:r>
      <w:r w:rsidR="002F22AF">
        <w:t>twenty to fifty</w:t>
      </w:r>
      <w:r w:rsidRPr="00DE7FCC">
        <w:t xml:space="preserve"> times higher than the maximum permissible limits</w:t>
      </w:r>
      <w:r w:rsidR="0099389F">
        <w:t xml:space="preserve"> (MPLs)</w:t>
      </w:r>
      <w:r w:rsidRPr="002F22AF" w:rsidR="000A7935">
        <w:rPr>
          <w:rFonts w:ascii="Times New (W1)" w:hAnsi="Times New (W1)"/>
          <w:vertAlign w:val="superscript"/>
        </w:rPr>
        <w:t>[</w:t>
      </w:r>
      <w:r w:rsidRPr="002F22AF" w:rsidR="000A7935">
        <w:rPr>
          <w:rStyle w:val="FootnoteReference"/>
          <w:rFonts w:ascii="Times New (W1)" w:hAnsi="Times New (W1)"/>
        </w:rPr>
        <w:footnoteReference w:id="1"/>
      </w:r>
      <w:r w:rsidRPr="002F22AF" w:rsidR="000A7935">
        <w:rPr>
          <w:rFonts w:ascii="Times New (W1)" w:hAnsi="Times New (W1)"/>
          <w:vertAlign w:val="superscript"/>
        </w:rPr>
        <w:t>]</w:t>
      </w:r>
      <w:r w:rsidR="002F22AF">
        <w:t xml:space="preserve"> </w:t>
      </w:r>
      <w:r w:rsidR="00772DF2">
        <w:t>...</w:t>
      </w:r>
      <w:r w:rsidRPr="00DE7FCC">
        <w:t xml:space="preserve">The biggest </w:t>
      </w:r>
      <w:r w:rsidR="009952BE">
        <w:t>'</w:t>
      </w:r>
      <w:r w:rsidRPr="00DE7FCC">
        <w:t>contributor</w:t>
      </w:r>
      <w:r w:rsidR="009952BE">
        <w:t>'</w:t>
      </w:r>
      <w:r w:rsidRPr="00DE7FCC">
        <w:t xml:space="preserve"> to </w:t>
      </w:r>
      <w:r w:rsidR="0099389F">
        <w:t xml:space="preserve">atmospheric </w:t>
      </w:r>
      <w:r w:rsidRPr="00DE7FCC">
        <w:t>pollution is Severstal PLC, which is responsible for 96</w:t>
      </w:r>
      <w:r w:rsidR="002F22AF">
        <w:t>%</w:t>
      </w:r>
      <w:r w:rsidRPr="00DE7FCC">
        <w:t xml:space="preserve"> of all emissions. The highest level of air pollution is registered in the residential districts immediately adjacent to </w:t>
      </w:r>
      <w:r w:rsidRPr="00DE7FCC" w:rsidR="0099389F">
        <w:t>Severstal</w:t>
      </w:r>
      <w:r w:rsidR="009952BE">
        <w:t>'</w:t>
      </w:r>
      <w:r w:rsidR="0099389F">
        <w:t xml:space="preserve">s </w:t>
      </w:r>
      <w:r w:rsidRPr="00DE7FCC">
        <w:t xml:space="preserve">industrial </w:t>
      </w:r>
      <w:r w:rsidR="00C819A7">
        <w:t>site</w:t>
      </w:r>
      <w:r w:rsidRPr="00DE7FCC">
        <w:t>. The principal cause of the emission of toxic substances in</w:t>
      </w:r>
      <w:r w:rsidR="00AE64FF">
        <w:t>to</w:t>
      </w:r>
      <w:r w:rsidRPr="00DE7FCC">
        <w:t xml:space="preserve"> the atmosphere is the operation of archaic and ecologically dangerous technologies and equipment </w:t>
      </w:r>
      <w:r w:rsidR="00AE64FF">
        <w:t xml:space="preserve">in </w:t>
      </w:r>
      <w:r w:rsidRPr="00DE7FCC">
        <w:t xml:space="preserve">metallurgic and other industries, as well as </w:t>
      </w:r>
      <w:r w:rsidR="00707549">
        <w:t xml:space="preserve">the </w:t>
      </w:r>
      <w:r w:rsidRPr="00DE7FCC">
        <w:t xml:space="preserve">low efficiency of gas-cleaning systems. The situation is aggravated by </w:t>
      </w:r>
      <w:r w:rsidR="00AE64FF">
        <w:t xml:space="preserve">an </w:t>
      </w:r>
      <w:r w:rsidRPr="00DE7FCC">
        <w:t>almost complete overlap of industrial and residential areas of the city</w:t>
      </w:r>
      <w:r w:rsidR="00AE64FF">
        <w:t>,</w:t>
      </w:r>
      <w:r w:rsidRPr="00DE7FCC">
        <w:t xml:space="preserve"> </w:t>
      </w:r>
      <w:r w:rsidRPr="00DE7FCC" w:rsidR="00FD4FC5">
        <w:t>in</w:t>
      </w:r>
      <w:r w:rsidRPr="00DE7FCC">
        <w:t xml:space="preserve"> </w:t>
      </w:r>
      <w:r w:rsidR="00AE64FF">
        <w:t xml:space="preserve">the </w:t>
      </w:r>
      <w:r w:rsidRPr="00DE7FCC">
        <w:t xml:space="preserve">absence of </w:t>
      </w:r>
      <w:r w:rsidR="00707549">
        <w:t xml:space="preserve">their </w:t>
      </w:r>
      <w:r w:rsidRPr="00DE7FCC">
        <w:t>separation by sanitary security zones.”</w:t>
      </w:r>
    </w:p>
    <w:p w:rsidRPr="00DE7FCC" w:rsidR="00E31F0E" w:rsidP="00F71765" w:rsidRDefault="002F22AF">
      <w:pPr>
        <w:pStyle w:val="JuPara"/>
      </w:pPr>
      <w:r>
        <w:t>The d</w:t>
      </w:r>
      <w:r w:rsidRPr="00DE7FCC" w:rsidR="00E21B98">
        <w:t xml:space="preserve">ecree further stated that “the environmental situation in the city </w:t>
      </w:r>
      <w:r w:rsidR="00707549">
        <w:t>ha</w:t>
      </w:r>
      <w:r w:rsidR="00C536FC">
        <w:t>[d]</w:t>
      </w:r>
      <w:r w:rsidR="00707549">
        <w:t xml:space="preserve"> </w:t>
      </w:r>
      <w:r w:rsidRPr="00DE7FCC" w:rsidR="00E21B98">
        <w:t xml:space="preserve">resulted in </w:t>
      </w:r>
      <w:r w:rsidR="00707549">
        <w:t xml:space="preserve">a </w:t>
      </w:r>
      <w:r w:rsidRPr="00DE7FCC" w:rsidR="00E21B98">
        <w:t xml:space="preserve">continuing deterioration </w:t>
      </w:r>
      <w:r w:rsidR="00707549">
        <w:t xml:space="preserve">in </w:t>
      </w:r>
      <w:r w:rsidRPr="00DE7FCC" w:rsidR="00E21B98">
        <w:t>publ</w:t>
      </w:r>
      <w:r w:rsidRPr="00DE7FCC" w:rsidR="00FD4FC5">
        <w:t xml:space="preserve">ic health”. </w:t>
      </w:r>
      <w:r w:rsidR="00DE6DED">
        <w:t>I</w:t>
      </w:r>
      <w:r w:rsidRPr="00DE7FCC" w:rsidR="00FD4FC5">
        <w:t>n particular,</w:t>
      </w:r>
      <w:r w:rsidRPr="00DE7FCC" w:rsidR="00E21B98">
        <w:t xml:space="preserve"> </w:t>
      </w:r>
      <w:r w:rsidR="00DE6DED">
        <w:t>it</w:t>
      </w:r>
      <w:r w:rsidRPr="00DE7FCC" w:rsidR="00DE6DED">
        <w:t xml:space="preserve"> </w:t>
      </w:r>
      <w:r w:rsidR="00DE6DED">
        <w:t xml:space="preserve">stated </w:t>
      </w:r>
      <w:r w:rsidRPr="00DE7FCC" w:rsidR="00E21B98">
        <w:t xml:space="preserve">that </w:t>
      </w:r>
      <w:r w:rsidR="00C536FC">
        <w:t>over</w:t>
      </w:r>
      <w:r w:rsidR="00AE64FF">
        <w:t xml:space="preserve"> the period </w:t>
      </w:r>
      <w:r>
        <w:t>from 1991 to</w:t>
      </w:r>
      <w:r w:rsidR="00C536FC">
        <w:t xml:space="preserve"> </w:t>
      </w:r>
      <w:r w:rsidRPr="00DE7FCC" w:rsidR="00E21B98">
        <w:t xml:space="preserve">1995 the number of children with respiratory </w:t>
      </w:r>
      <w:r w:rsidRPr="00DE7FCC" w:rsidR="00AE64FF">
        <w:t>d</w:t>
      </w:r>
      <w:r w:rsidR="00AE64FF">
        <w:t xml:space="preserve">iseases </w:t>
      </w:r>
      <w:r w:rsidRPr="00DE7FCC" w:rsidR="00FD4FC5">
        <w:t xml:space="preserve">increased </w:t>
      </w:r>
      <w:r w:rsidRPr="00DE7FCC" w:rsidR="00E21B98">
        <w:t xml:space="preserve">from 345 to 945 cases per thousand, </w:t>
      </w:r>
      <w:r w:rsidR="00AE64FF">
        <w:t xml:space="preserve">those </w:t>
      </w:r>
      <w:r w:rsidRPr="00DE7FCC" w:rsidR="00FD4FC5">
        <w:t>with blood and haematogenic d</w:t>
      </w:r>
      <w:r w:rsidR="00552557">
        <w:t>is</w:t>
      </w:r>
      <w:r w:rsidRPr="00DE7FCC" w:rsidR="00FD4FC5">
        <w:t>eases from 3</w:t>
      </w:r>
      <w:r w:rsidR="00552557">
        <w:t>.</w:t>
      </w:r>
      <w:r w:rsidRPr="00DE7FCC" w:rsidR="00FD4FC5">
        <w:t>4 to 11 cases</w:t>
      </w:r>
      <w:r w:rsidR="00450108">
        <w:t xml:space="preserve"> per thousand</w:t>
      </w:r>
      <w:r w:rsidRPr="00DE7FCC" w:rsidR="00FD4FC5">
        <w:t xml:space="preserve">, </w:t>
      </w:r>
      <w:r w:rsidR="00AE64FF">
        <w:t xml:space="preserve">and those </w:t>
      </w:r>
      <w:r w:rsidRPr="00DE7FCC" w:rsidR="00FD4FC5">
        <w:t>with skin d</w:t>
      </w:r>
      <w:r w:rsidR="00AE64FF">
        <w:t>iseases</w:t>
      </w:r>
      <w:r w:rsidRPr="00DE7FCC" w:rsidR="00FD4FC5">
        <w:t xml:space="preserve"> from 33</w:t>
      </w:r>
      <w:r w:rsidR="00552557">
        <w:t>.3 to 101.</w:t>
      </w:r>
      <w:r w:rsidRPr="00DE7FCC" w:rsidR="00FD4FC5">
        <w:t>1 cases</w:t>
      </w:r>
      <w:r w:rsidR="00552557">
        <w:t xml:space="preserve"> per thousand</w:t>
      </w:r>
      <w:r>
        <w:t>. The d</w:t>
      </w:r>
      <w:r w:rsidRPr="00DE7FCC" w:rsidR="00FD4FC5">
        <w:t xml:space="preserve">ecree also noted that the high level of atmospheric pollution accounted for the </w:t>
      </w:r>
      <w:r w:rsidR="00AE64FF">
        <w:t xml:space="preserve">increase in </w:t>
      </w:r>
      <w:r w:rsidRPr="00DE7FCC" w:rsidR="00FD4FC5">
        <w:t>respiratory and blood d</w:t>
      </w:r>
      <w:r w:rsidR="00AE64FF">
        <w:t xml:space="preserve">iseases </w:t>
      </w:r>
      <w:r w:rsidRPr="00DE7FCC" w:rsidR="00FD4FC5">
        <w:t xml:space="preserve">among </w:t>
      </w:r>
      <w:r w:rsidR="00AE64FF">
        <w:t>the city</w:t>
      </w:r>
      <w:r w:rsidR="009952BE">
        <w:t>'</w:t>
      </w:r>
      <w:r w:rsidR="00AE64FF">
        <w:t xml:space="preserve">s </w:t>
      </w:r>
      <w:r w:rsidRPr="00DE7FCC" w:rsidR="00FD4FC5">
        <w:t xml:space="preserve">adult population and the increased </w:t>
      </w:r>
      <w:r w:rsidR="00707549">
        <w:t>number of deaths from cancer</w:t>
      </w:r>
      <w:r w:rsidRPr="00DE7FCC" w:rsidR="00FD4FC5">
        <w:t>.</w:t>
      </w:r>
    </w:p>
    <w:p w:rsidRPr="00DE7FCC" w:rsidR="00E31F0E" w:rsidP="002A47A5" w:rsidRDefault="00E31F0E">
      <w:pPr>
        <w:pStyle w:val="JuPara"/>
      </w:pPr>
      <w:r w:rsidRPr="00DE7FCC">
        <w:fldChar w:fldCharType="begin"/>
      </w:r>
      <w:r w:rsidRPr="00DE7FCC">
        <w:instrText xml:space="preserve"> SEQ level0 \*arabic </w:instrText>
      </w:r>
      <w:r w:rsidRPr="00DE7FCC">
        <w:fldChar w:fldCharType="separate"/>
      </w:r>
      <w:r w:rsidR="008C3401">
        <w:rPr>
          <w:noProof/>
        </w:rPr>
        <w:t>16</w:t>
      </w:r>
      <w:r w:rsidRPr="00DE7FCC">
        <w:fldChar w:fldCharType="end"/>
      </w:r>
      <w:r w:rsidRPr="00DE7FCC">
        <w:t>.  </w:t>
      </w:r>
      <w:r w:rsidRPr="00DE7FCC" w:rsidR="00DC699B">
        <w:t xml:space="preserve">Most of the measures proposed </w:t>
      </w:r>
      <w:r w:rsidR="00AE64FF">
        <w:t xml:space="preserve">in </w:t>
      </w:r>
      <w:r w:rsidRPr="00DE7FCC" w:rsidR="00DC699B">
        <w:t>the program</w:t>
      </w:r>
      <w:r w:rsidR="00AE64FF">
        <w:t>me</w:t>
      </w:r>
      <w:r w:rsidRPr="00DE7FCC" w:rsidR="00DC699B">
        <w:t xml:space="preserve"> concerned the functioning of the Severstal </w:t>
      </w:r>
      <w:r w:rsidR="002F22AF">
        <w:t>steel plant</w:t>
      </w:r>
      <w:r w:rsidRPr="00DE7FCC" w:rsidR="00DC699B">
        <w:t>.</w:t>
      </w:r>
      <w:r w:rsidRPr="00DE7FCC" w:rsidR="007B1742">
        <w:t xml:space="preserve"> </w:t>
      </w:r>
      <w:r w:rsidRPr="00DE7FCC" w:rsidR="005361F6">
        <w:t>T</w:t>
      </w:r>
      <w:r w:rsidR="002F22AF">
        <w:t>he d</w:t>
      </w:r>
      <w:r w:rsidRPr="00DE7FCC" w:rsidR="007B1742">
        <w:t xml:space="preserve">ecree </w:t>
      </w:r>
      <w:r w:rsidRPr="00DE7FCC" w:rsidR="005361F6">
        <w:t xml:space="preserve">also enumerated a number of </w:t>
      </w:r>
      <w:r w:rsidRPr="00DE7FCC" w:rsidR="007B1742">
        <w:t xml:space="preserve">measures concerning </w:t>
      </w:r>
      <w:r w:rsidRPr="00DE7FCC" w:rsidR="005361F6">
        <w:t xml:space="preserve">the </w:t>
      </w:r>
      <w:r w:rsidRPr="00DE7FCC" w:rsidR="007B1742">
        <w:t xml:space="preserve">city </w:t>
      </w:r>
      <w:r w:rsidRPr="00DE7FCC" w:rsidR="005361F6">
        <w:t>as a whole: these included the resettlement of 18,</w:t>
      </w:r>
      <w:r w:rsidRPr="00DE7FCC" w:rsidR="007B1742">
        <w:t>9</w:t>
      </w:r>
      <w:r w:rsidRPr="00DE7FCC" w:rsidR="005361F6">
        <w:t>00</w:t>
      </w:r>
      <w:r w:rsidRPr="00DE7FCC" w:rsidR="007B1742">
        <w:t xml:space="preserve"> people from </w:t>
      </w:r>
      <w:r w:rsidRPr="00DE7FCC" w:rsidR="00AE64FF">
        <w:t>Severstal</w:t>
      </w:r>
      <w:r w:rsidR="009952BE">
        <w:t>'</w:t>
      </w:r>
      <w:r w:rsidR="00707549">
        <w:t>s</w:t>
      </w:r>
      <w:r w:rsidRPr="00DE7FCC" w:rsidR="00AE64FF">
        <w:t xml:space="preserve"> </w:t>
      </w:r>
      <w:r w:rsidRPr="00DE7FCC" w:rsidR="007B1742">
        <w:t>sanitary security zone.</w:t>
      </w:r>
      <w:r w:rsidRPr="00DE7FCC" w:rsidR="007B7031">
        <w:t xml:space="preserve"> </w:t>
      </w:r>
      <w:r w:rsidR="00AE64FF">
        <w:t xml:space="preserve">It </w:t>
      </w:r>
      <w:r w:rsidR="002F22AF">
        <w:t>transpire</w:t>
      </w:r>
      <w:r w:rsidR="00C536FC">
        <w:t>s</w:t>
      </w:r>
      <w:r w:rsidRPr="00DE7FCC" w:rsidR="007B7031">
        <w:t xml:space="preserve"> from the </w:t>
      </w:r>
      <w:r w:rsidRPr="00DE7FCC">
        <w:t>p</w:t>
      </w:r>
      <w:r w:rsidRPr="00DE7FCC" w:rsidR="007B7031">
        <w:t>rogram</w:t>
      </w:r>
      <w:r w:rsidR="00AE64FF">
        <w:t xml:space="preserve">me that </w:t>
      </w:r>
      <w:r w:rsidRPr="00DE7FCC" w:rsidR="007B7031">
        <w:t xml:space="preserve">the State was supposed to be the main </w:t>
      </w:r>
      <w:r w:rsidR="002F22AF">
        <w:t xml:space="preserve">source of </w:t>
      </w:r>
      <w:r w:rsidRPr="00DE7FCC" w:rsidR="007B7031">
        <w:t>fu</w:t>
      </w:r>
      <w:r w:rsidR="002F22AF">
        <w:t>nding</w:t>
      </w:r>
      <w:r w:rsidRPr="00DE7FCC" w:rsidR="007B7031">
        <w:t xml:space="preserve"> for </w:t>
      </w:r>
      <w:r w:rsidR="00C536FC">
        <w:t>such</w:t>
      </w:r>
      <w:r w:rsidR="00AE64FF">
        <w:t xml:space="preserve"> </w:t>
      </w:r>
      <w:r w:rsidRPr="00DE7FCC" w:rsidR="007B7031">
        <w:t>resettlement.</w:t>
      </w:r>
      <w:r w:rsidR="00053511">
        <w:t xml:space="preserve"> </w:t>
      </w:r>
      <w:r w:rsidRPr="00DE7FCC">
        <w:t>However, i</w:t>
      </w:r>
      <w:r w:rsidRPr="00DE7FCC">
        <w:rPr>
          <w:rStyle w:val="JuParaCharChar"/>
        </w:rPr>
        <w:t xml:space="preserve">t </w:t>
      </w:r>
      <w:r w:rsidR="00450108">
        <w:rPr>
          <w:rStyle w:val="JuParaCharChar"/>
        </w:rPr>
        <w:t xml:space="preserve">seems </w:t>
      </w:r>
      <w:r w:rsidRPr="00DE7FCC">
        <w:rPr>
          <w:rStyle w:val="JuParaCharChar"/>
        </w:rPr>
        <w:t xml:space="preserve">that in </w:t>
      </w:r>
      <w:r w:rsidR="00450108">
        <w:rPr>
          <w:rStyle w:val="JuParaCharChar"/>
        </w:rPr>
        <w:t xml:space="preserve">subsequent </w:t>
      </w:r>
      <w:r w:rsidRPr="00DE7FCC">
        <w:rPr>
          <w:rStyle w:val="JuParaCharChar"/>
        </w:rPr>
        <w:t xml:space="preserve">years Severstal PLC continued to pay for the resettlement of the </w:t>
      </w:r>
      <w:r w:rsidR="00AE64FF">
        <w:rPr>
          <w:rStyle w:val="JuParaCharChar"/>
        </w:rPr>
        <w:t>zone</w:t>
      </w:r>
      <w:r w:rsidR="009952BE">
        <w:rPr>
          <w:rStyle w:val="JuParaCharChar"/>
        </w:rPr>
        <w:t>'</w:t>
      </w:r>
      <w:r w:rsidR="00AE64FF">
        <w:rPr>
          <w:rStyle w:val="JuParaCharChar"/>
        </w:rPr>
        <w:t xml:space="preserve">s </w:t>
      </w:r>
      <w:r w:rsidRPr="00DE7FCC">
        <w:rPr>
          <w:rStyle w:val="JuParaCharChar"/>
        </w:rPr>
        <w:t xml:space="preserve">inhabitants, at least as regards districts nos. 213 and 214. Thus, </w:t>
      </w:r>
      <w:r w:rsidR="00AE64FF">
        <w:rPr>
          <w:rStyle w:val="JuParaCharChar"/>
        </w:rPr>
        <w:t>according to</w:t>
      </w:r>
      <w:r w:rsidRPr="00DE7FCC">
        <w:rPr>
          <w:rStyle w:val="JuParaCharChar"/>
        </w:rPr>
        <w:t xml:space="preserve"> Decree </w:t>
      </w:r>
      <w:r w:rsidR="00E67C85">
        <w:rPr>
          <w:rStyle w:val="JuParaCharChar"/>
        </w:rPr>
        <w:t>n</w:t>
      </w:r>
      <w:r w:rsidR="00AE64FF">
        <w:rPr>
          <w:rStyle w:val="JuParaCharChar"/>
        </w:rPr>
        <w:t xml:space="preserve">o. 1260 by </w:t>
      </w:r>
      <w:r w:rsidR="002F22AF">
        <w:rPr>
          <w:rStyle w:val="JuParaCharChar"/>
        </w:rPr>
        <w:t>the m</w:t>
      </w:r>
      <w:r w:rsidRPr="00DE7FCC">
        <w:rPr>
          <w:rStyle w:val="JuParaCharChar"/>
        </w:rPr>
        <w:t>ayor of Cherepovets</w:t>
      </w:r>
      <w:r w:rsidR="00AE64FF">
        <w:rPr>
          <w:rStyle w:val="JuParaCharChar"/>
        </w:rPr>
        <w:t xml:space="preserve"> dated</w:t>
      </w:r>
      <w:r w:rsidRPr="00DE7FCC">
        <w:rPr>
          <w:rStyle w:val="JuParaCharChar"/>
        </w:rPr>
        <w:t xml:space="preserve"> </w:t>
      </w:r>
      <w:smartTag w:uri="urn:schemas-microsoft-com:office:smarttags" w:element="date">
        <w:smartTagPr>
          <w:attr w:name="Month" w:val="4"/>
          <w:attr w:name="Day" w:val="4"/>
          <w:attr w:name="Year" w:val="2004"/>
        </w:smartTagPr>
        <w:r w:rsidRPr="00DE7FCC">
          <w:rPr>
            <w:rStyle w:val="JuParaCharChar"/>
          </w:rPr>
          <w:t>4 April 2004</w:t>
        </w:r>
      </w:smartTag>
      <w:r w:rsidRPr="00DE7FCC">
        <w:rPr>
          <w:rStyle w:val="JuParaCharChar"/>
        </w:rPr>
        <w:t xml:space="preserve">, in 2004 the residents of the </w:t>
      </w:r>
      <w:r w:rsidR="00C536FC">
        <w:rPr>
          <w:rStyle w:val="JuParaCharChar"/>
        </w:rPr>
        <w:t>blocks of flats</w:t>
      </w:r>
      <w:r w:rsidRPr="00DE7FCC">
        <w:rPr>
          <w:rStyle w:val="JuParaCharChar"/>
        </w:rPr>
        <w:t xml:space="preserve"> situated </w:t>
      </w:r>
      <w:r w:rsidR="00AE64FF">
        <w:rPr>
          <w:rStyle w:val="JuParaCharChar"/>
        </w:rPr>
        <w:t xml:space="preserve">on </w:t>
      </w:r>
      <w:smartTag w:uri="urn:schemas-microsoft-com:office:smarttags" w:element="Street">
        <w:smartTag w:uri="urn:schemas-microsoft-com:office:smarttags" w:element="address">
          <w:r w:rsidRPr="00DE7FCC">
            <w:rPr>
              <w:rStyle w:val="JuParaCharChar"/>
            </w:rPr>
            <w:t>Gagarin Street</w:t>
          </w:r>
        </w:smartTag>
      </w:smartTag>
      <w:r w:rsidRPr="00DE7FCC">
        <w:rPr>
          <w:rStyle w:val="JuParaCharChar"/>
        </w:rPr>
        <w:t xml:space="preserve"> were resettled </w:t>
      </w:r>
      <w:r w:rsidR="00C536FC">
        <w:rPr>
          <w:rStyle w:val="JuParaCharChar"/>
        </w:rPr>
        <w:t>in</w:t>
      </w:r>
      <w:r w:rsidRPr="00DE7FCC">
        <w:rPr>
          <w:rStyle w:val="JuParaCharChar"/>
        </w:rPr>
        <w:t xml:space="preserve"> another district of the</w:t>
      </w:r>
      <w:r w:rsidR="00707549">
        <w:rPr>
          <w:rStyle w:val="JuParaCharChar"/>
        </w:rPr>
        <w:t xml:space="preserve"> city</w:t>
      </w:r>
      <w:r w:rsidRPr="00DE7FCC">
        <w:rPr>
          <w:rStyle w:val="JuParaCharChar"/>
        </w:rPr>
        <w:t>. A</w:t>
      </w:r>
      <w:r w:rsidR="00AE64FF">
        <w:rPr>
          <w:rStyle w:val="JuParaCharChar"/>
        </w:rPr>
        <w:t xml:space="preserve">ccording to </w:t>
      </w:r>
      <w:r w:rsidR="00707549">
        <w:rPr>
          <w:rStyle w:val="JuParaCharChar"/>
        </w:rPr>
        <w:t>a</w:t>
      </w:r>
      <w:r w:rsidRPr="00DE7FCC">
        <w:rPr>
          <w:rStyle w:val="JuParaCharChar"/>
        </w:rPr>
        <w:t xml:space="preserve"> letter </w:t>
      </w:r>
      <w:r w:rsidRPr="00DE7FCC" w:rsidR="00FF7041">
        <w:rPr>
          <w:rStyle w:val="JuParaCharChar"/>
        </w:rPr>
        <w:t xml:space="preserve">of </w:t>
      </w:r>
      <w:smartTag w:uri="urn:schemas-microsoft-com:office:smarttags" w:element="date">
        <w:smartTagPr>
          <w:attr w:name="Month" w:val="6"/>
          <w:attr w:name="Day" w:val="3"/>
          <w:attr w:name="Year" w:val="2004"/>
        </w:smartTagPr>
        <w:r w:rsidR="00FF7041" w:rsidRPr="00DE7FCC">
          <w:rPr>
            <w:rStyle w:val="JuParaCharChar"/>
          </w:rPr>
          <w:t>3 June 2004</w:t>
        </w:r>
      </w:smartTag>
      <w:r w:rsidR="00FF7041">
        <w:rPr>
          <w:rStyle w:val="JuParaCharChar"/>
        </w:rPr>
        <w:t xml:space="preserve"> </w:t>
      </w:r>
      <w:r w:rsidR="00AE64FF">
        <w:rPr>
          <w:rStyle w:val="JuParaCharChar"/>
        </w:rPr>
        <w:t xml:space="preserve">from </w:t>
      </w:r>
      <w:r w:rsidR="002F22AF">
        <w:rPr>
          <w:rStyle w:val="JuParaCharChar"/>
        </w:rPr>
        <w:t>the m</w:t>
      </w:r>
      <w:r w:rsidRPr="00DE7FCC">
        <w:rPr>
          <w:rStyle w:val="JuParaCharChar"/>
        </w:rPr>
        <w:t xml:space="preserve">ayor of </w:t>
      </w:r>
      <w:smartTag w:uri="urn:schemas-microsoft-com:office:smarttags" w:element="City">
        <w:smartTag w:uri="urn:schemas-microsoft-com:office:smarttags" w:element="place">
          <w:r w:rsidRPr="00DE7FCC">
            <w:rPr>
              <w:rStyle w:val="JuParaCharChar"/>
            </w:rPr>
            <w:t>Cherepovets</w:t>
          </w:r>
        </w:smartTag>
      </w:smartTag>
      <w:r w:rsidRPr="00DE7FCC">
        <w:rPr>
          <w:rStyle w:val="JuParaCharChar"/>
        </w:rPr>
        <w:t xml:space="preserve">, Severstal funded approximately </w:t>
      </w:r>
      <w:r w:rsidR="002F22AF">
        <w:rPr>
          <w:rStyle w:val="JuParaCharChar"/>
        </w:rPr>
        <w:t>one-</w:t>
      </w:r>
      <w:r w:rsidR="00AE64FF">
        <w:rPr>
          <w:rStyle w:val="JuParaCharChar"/>
        </w:rPr>
        <w:t xml:space="preserve">third </w:t>
      </w:r>
      <w:r w:rsidRPr="00DE7FCC">
        <w:rPr>
          <w:rStyle w:val="JuParaCharChar"/>
        </w:rPr>
        <w:t>of the cost of resettlement.</w:t>
      </w:r>
    </w:p>
    <w:p w:rsidR="005236AB" w:rsidP="00F71765" w:rsidRDefault="00E31F0E">
      <w:pPr>
        <w:pStyle w:val="JuPara"/>
      </w:pPr>
      <w:r w:rsidRPr="00DE7FCC">
        <w:fldChar w:fldCharType="begin"/>
      </w:r>
      <w:r w:rsidRPr="00DE7FCC">
        <w:instrText xml:space="preserve"> SEQ level0 \*arabic </w:instrText>
      </w:r>
      <w:r w:rsidRPr="00DE7FCC">
        <w:fldChar w:fldCharType="separate"/>
      </w:r>
      <w:r w:rsidR="008C3401">
        <w:rPr>
          <w:noProof/>
        </w:rPr>
        <w:t>17</w:t>
      </w:r>
      <w:r w:rsidRPr="00DE7FCC">
        <w:fldChar w:fldCharType="end"/>
      </w:r>
      <w:r w:rsidRPr="00DE7FCC">
        <w:t>.</w:t>
      </w:r>
      <w:r w:rsidR="00AE64FF">
        <w:t> </w:t>
      </w:r>
      <w:r w:rsidRPr="00DE7FCC">
        <w:t> </w:t>
      </w:r>
      <w:r w:rsidRPr="00DE7FCC" w:rsidR="005236AB">
        <w:t xml:space="preserve">On </w:t>
      </w:r>
      <w:smartTag w:uri="urn:schemas-microsoft-com:office:smarttags" w:element="date">
        <w:smartTagPr>
          <w:attr w:name="Month" w:val="8"/>
          <w:attr w:name="Day" w:val="9"/>
          <w:attr w:name="Year" w:val="2000"/>
        </w:smartTagPr>
        <w:r w:rsidR="005236AB" w:rsidRPr="00DE7FCC">
          <w:t>9 August 2000</w:t>
        </w:r>
      </w:smartTag>
      <w:r w:rsidR="002F22AF">
        <w:t xml:space="preserve"> the chief sanitary i</w:t>
      </w:r>
      <w:r w:rsidRPr="00DE7FCC" w:rsidR="005236AB">
        <w:t xml:space="preserve">nspector </w:t>
      </w:r>
      <w:r w:rsidR="00AE64FF">
        <w:t xml:space="preserve">for </w:t>
      </w:r>
      <w:smartTag w:uri="urn:schemas-microsoft-com:office:smarttags" w:element="City">
        <w:smartTag w:uri="urn:schemas-microsoft-com:office:smarttags" w:element="place">
          <w:r w:rsidR="005236AB" w:rsidRPr="00DE7FCC">
            <w:t>Cherepovets</w:t>
          </w:r>
        </w:smartTag>
      </w:smartTag>
      <w:r w:rsidRPr="00DE7FCC" w:rsidR="005236AB">
        <w:t xml:space="preserve"> </w:t>
      </w:r>
      <w:r w:rsidR="00C819A7">
        <w:t>decided</w:t>
      </w:r>
      <w:r w:rsidRPr="00DE7FCC" w:rsidR="005236AB">
        <w:t xml:space="preserve"> that the width of the sanitar</w:t>
      </w:r>
      <w:r w:rsidR="00053511">
        <w:t>y security zone should be 1,000 </w:t>
      </w:r>
      <w:r w:rsidRPr="00DE7FCC" w:rsidR="005236AB">
        <w:t>met</w:t>
      </w:r>
      <w:r w:rsidR="00AE64FF">
        <w:t xml:space="preserve">res </w:t>
      </w:r>
      <w:r w:rsidRPr="00DE7FCC" w:rsidR="005236AB">
        <w:t>from the main sources of industrial pollution</w:t>
      </w:r>
      <w:r w:rsidR="00AE64FF">
        <w:t xml:space="preserve">. However, no specific boundaries were identified for the zone. </w:t>
      </w:r>
      <w:r w:rsidRPr="00DE7FCC" w:rsidR="005236AB">
        <w:rPr>
          <w:noProof/>
        </w:rPr>
        <w:t xml:space="preserve">In 2002 the municipality challenged </w:t>
      </w:r>
      <w:r w:rsidR="005236AB">
        <w:rPr>
          <w:noProof/>
        </w:rPr>
        <w:t>its own</w:t>
      </w:r>
      <w:r w:rsidRPr="00DE7FCC" w:rsidR="005236AB">
        <w:rPr>
          <w:noProof/>
        </w:rPr>
        <w:t xml:space="preserve"> </w:t>
      </w:r>
      <w:r w:rsidR="002F22AF">
        <w:rPr>
          <w:noProof/>
        </w:rPr>
        <w:t>D</w:t>
      </w:r>
      <w:r w:rsidR="00C72AD1">
        <w:rPr>
          <w:noProof/>
        </w:rPr>
        <w:t>ecree</w:t>
      </w:r>
      <w:r w:rsidR="00C874D8">
        <w:rPr>
          <w:noProof/>
        </w:rPr>
        <w:t xml:space="preserve"> </w:t>
      </w:r>
      <w:r w:rsidR="00BD689C">
        <w:rPr>
          <w:noProof/>
        </w:rPr>
        <w:t>n</w:t>
      </w:r>
      <w:r w:rsidRPr="00DE7FCC" w:rsidR="005236AB">
        <w:rPr>
          <w:noProof/>
        </w:rPr>
        <w:t>o.</w:t>
      </w:r>
      <w:r w:rsidR="00C874D8">
        <w:rPr>
          <w:noProof/>
        </w:rPr>
        <w:t xml:space="preserve"> </w:t>
      </w:r>
      <w:r w:rsidRPr="00DE7FCC" w:rsidR="005236AB">
        <w:rPr>
          <w:noProof/>
        </w:rPr>
        <w:t>30 of 1992</w:t>
      </w:r>
      <w:r w:rsidR="00AE64FF">
        <w:rPr>
          <w:noProof/>
        </w:rPr>
        <w:t>, which had established the zone</w:t>
      </w:r>
      <w:r w:rsidR="009952BE">
        <w:rPr>
          <w:noProof/>
        </w:rPr>
        <w:t>'</w:t>
      </w:r>
      <w:r w:rsidR="00AE64FF">
        <w:rPr>
          <w:noProof/>
        </w:rPr>
        <w:t xml:space="preserve">s </w:t>
      </w:r>
      <w:r w:rsidR="002F22AF">
        <w:rPr>
          <w:noProof/>
        </w:rPr>
        <w:t xml:space="preserve">boundaries (see paragraph </w:t>
      </w:r>
      <w:r w:rsidR="004326EE">
        <w:rPr>
          <w:noProof/>
        </w:rPr>
        <w:t>13</w:t>
      </w:r>
      <w:r w:rsidR="002F22AF">
        <w:rPr>
          <w:noProof/>
        </w:rPr>
        <w:t xml:space="preserve"> above</w:t>
      </w:r>
      <w:r w:rsidRPr="00DE7FCC" w:rsidR="005236AB">
        <w:rPr>
          <w:noProof/>
        </w:rPr>
        <w:t xml:space="preserve">). On </w:t>
      </w:r>
      <w:smartTag w:uri="urn:schemas-microsoft-com:office:smarttags" w:element="date">
        <w:smartTagPr>
          <w:attr w:name="Month" w:val="6"/>
          <w:attr w:name="Day" w:val="13"/>
          <w:attr w:name="Year" w:val="2002"/>
        </w:smartTagPr>
        <w:r w:rsidR="005236AB" w:rsidRPr="00DE7FCC">
          <w:rPr>
            <w:noProof/>
          </w:rPr>
          <w:t>13</w:t>
        </w:r>
        <w:r w:rsidR="00053511">
          <w:rPr>
            <w:noProof/>
          </w:rPr>
          <w:t xml:space="preserve"> </w:t>
        </w:r>
        <w:r w:rsidR="005236AB" w:rsidRPr="00DE7FCC">
          <w:rPr>
            <w:noProof/>
          </w:rPr>
          <w:t>June 2002</w:t>
        </w:r>
      </w:smartTag>
      <w:r w:rsidRPr="00DE7FCC" w:rsidR="005236AB">
        <w:rPr>
          <w:noProof/>
        </w:rPr>
        <w:t xml:space="preserve"> the Cherepovets </w:t>
      </w:r>
      <w:r w:rsidR="002F22AF">
        <w:rPr>
          <w:noProof/>
        </w:rPr>
        <w:t>City</w:t>
      </w:r>
      <w:r w:rsidRPr="00DE7FCC" w:rsidR="005236AB">
        <w:rPr>
          <w:noProof/>
        </w:rPr>
        <w:t xml:space="preserve"> Court declared </w:t>
      </w:r>
      <w:r w:rsidR="002F22AF">
        <w:rPr>
          <w:noProof/>
        </w:rPr>
        <w:t>D</w:t>
      </w:r>
      <w:r w:rsidR="00C72AD1">
        <w:rPr>
          <w:noProof/>
        </w:rPr>
        <w:t>ecree</w:t>
      </w:r>
      <w:r w:rsidRPr="00DE7FCC" w:rsidR="00C72AD1">
        <w:rPr>
          <w:noProof/>
        </w:rPr>
        <w:t xml:space="preserve"> </w:t>
      </w:r>
      <w:r w:rsidR="00AE241A">
        <w:rPr>
          <w:noProof/>
        </w:rPr>
        <w:t>n</w:t>
      </w:r>
      <w:r w:rsidRPr="00DE7FCC" w:rsidR="005236AB">
        <w:rPr>
          <w:noProof/>
        </w:rPr>
        <w:t>o.</w:t>
      </w:r>
      <w:r w:rsidR="00053511">
        <w:rPr>
          <w:noProof/>
        </w:rPr>
        <w:t xml:space="preserve"> </w:t>
      </w:r>
      <w:r w:rsidRPr="00DE7FCC" w:rsidR="005236AB">
        <w:rPr>
          <w:noProof/>
        </w:rPr>
        <w:t xml:space="preserve">30 invalid </w:t>
      </w:r>
      <w:r w:rsidR="00AE64FF">
        <w:rPr>
          <w:noProof/>
        </w:rPr>
        <w:t xml:space="preserve">on the ground that it was </w:t>
      </w:r>
      <w:r w:rsidRPr="00DE7FCC" w:rsidR="005236AB">
        <w:rPr>
          <w:i/>
          <w:noProof/>
        </w:rPr>
        <w:t>ultra vires</w:t>
      </w:r>
      <w:r w:rsidRPr="00DE7FCC" w:rsidR="005236AB">
        <w:rPr>
          <w:noProof/>
        </w:rPr>
        <w:t>.</w:t>
      </w:r>
      <w:r w:rsidR="00053511">
        <w:rPr>
          <w:noProof/>
        </w:rPr>
        <w:t xml:space="preserve"> </w:t>
      </w:r>
      <w:r w:rsidR="002C02F4">
        <w:rPr>
          <w:noProof/>
        </w:rPr>
        <w:t>The</w:t>
      </w:r>
      <w:r w:rsidR="002F22AF">
        <w:rPr>
          <w:noProof/>
        </w:rPr>
        <w:t xml:space="preserve"> City</w:t>
      </w:r>
      <w:r w:rsidR="002C02F4">
        <w:rPr>
          <w:noProof/>
        </w:rPr>
        <w:t xml:space="preserve"> Court ruled that at the relevant time the m</w:t>
      </w:r>
      <w:r w:rsidR="00494669">
        <w:rPr>
          <w:noProof/>
        </w:rPr>
        <w:t>u</w:t>
      </w:r>
      <w:r w:rsidR="002C02F4">
        <w:rPr>
          <w:noProof/>
        </w:rPr>
        <w:t xml:space="preserve">nicipality had </w:t>
      </w:r>
      <w:r w:rsidR="00FF7041">
        <w:rPr>
          <w:noProof/>
        </w:rPr>
        <w:t xml:space="preserve">not had jurisdiction </w:t>
      </w:r>
      <w:r w:rsidR="002C02F4">
        <w:rPr>
          <w:noProof/>
        </w:rPr>
        <w:t xml:space="preserve">to define the width of the zone. </w:t>
      </w:r>
      <w:r w:rsidR="00AE64FF">
        <w:rPr>
          <w:noProof/>
        </w:rPr>
        <w:t>T</w:t>
      </w:r>
      <w:r w:rsidRPr="00DE7FCC" w:rsidR="005236AB">
        <w:rPr>
          <w:noProof/>
        </w:rPr>
        <w:t xml:space="preserve">he boundaries of the sanitary security zone around the Severstal facilities </w:t>
      </w:r>
      <w:r w:rsidR="00AE64FF">
        <w:rPr>
          <w:noProof/>
        </w:rPr>
        <w:t xml:space="preserve">currently </w:t>
      </w:r>
      <w:r w:rsidRPr="00DE7FCC" w:rsidR="005236AB">
        <w:rPr>
          <w:noProof/>
        </w:rPr>
        <w:t>remain undefined.</w:t>
      </w:r>
    </w:p>
    <w:p w:rsidR="002C02F4" w:rsidP="00252EB8" w:rsidRDefault="005236AB">
      <w:pPr>
        <w:pStyle w:val="JuParaChar"/>
      </w:pPr>
      <w:r>
        <w:fldChar w:fldCharType="begin"/>
      </w:r>
      <w:r>
        <w:instrText xml:space="preserve"> SEQ level0 \*arabic </w:instrText>
      </w:r>
      <w:r>
        <w:fldChar w:fldCharType="separate"/>
      </w:r>
      <w:r w:rsidR="008C3401">
        <w:rPr>
          <w:noProof/>
        </w:rPr>
        <w:t>18</w:t>
      </w:r>
      <w:r>
        <w:fldChar w:fldCharType="end"/>
      </w:r>
      <w:r>
        <w:t xml:space="preserve">.  In 2001 implementation of the </w:t>
      </w:r>
      <w:r w:rsidR="00AE64FF">
        <w:t xml:space="preserve">1996 </w:t>
      </w:r>
      <w:r w:rsidR="002F22AF">
        <w:t>government p</w:t>
      </w:r>
      <w:r>
        <w:t>rogram</w:t>
      </w:r>
      <w:r w:rsidR="00AE64FF">
        <w:t xml:space="preserve">me </w:t>
      </w:r>
      <w:r>
        <w:t xml:space="preserve">was discontinued and the measures proposed </w:t>
      </w:r>
      <w:r w:rsidR="00AE64FF">
        <w:t xml:space="preserve">in </w:t>
      </w:r>
      <w:r>
        <w:t>it were included in</w:t>
      </w:r>
      <w:r w:rsidR="00AE64FF">
        <w:t xml:space="preserve"> </w:t>
      </w:r>
      <w:r>
        <w:t>the correspond</w:t>
      </w:r>
      <w:r w:rsidR="00AE64FF">
        <w:t xml:space="preserve">ing </w:t>
      </w:r>
      <w:r>
        <w:t>section of the sub</w:t>
      </w:r>
      <w:r w:rsidR="00AE64FF">
        <w:t>-</w:t>
      </w:r>
      <w:r>
        <w:t>program</w:t>
      </w:r>
      <w:r w:rsidR="00AE64FF">
        <w:t>me</w:t>
      </w:r>
      <w:r>
        <w:t xml:space="preserve"> “Regulation of </w:t>
      </w:r>
      <w:r w:rsidR="002F22AF">
        <w:t>e</w:t>
      </w:r>
      <w:r w:rsidR="00AE64FF">
        <w:t xml:space="preserve">nvironmental </w:t>
      </w:r>
      <w:r w:rsidR="002F22AF">
        <w:t>q</w:t>
      </w:r>
      <w:r>
        <w:t xml:space="preserve">uality” </w:t>
      </w:r>
      <w:r w:rsidR="00AE64FF">
        <w:t xml:space="preserve">in </w:t>
      </w:r>
      <w:r>
        <w:t>th</w:t>
      </w:r>
      <w:r w:rsidR="002F22AF">
        <w:t>e special federal p</w:t>
      </w:r>
      <w:r>
        <w:t>rogram</w:t>
      </w:r>
      <w:r w:rsidR="00AE64FF">
        <w:t>me</w:t>
      </w:r>
      <w:r w:rsidR="00DE6DED">
        <w:t xml:space="preserve"> </w:t>
      </w:r>
      <w:r>
        <w:t>“</w:t>
      </w:r>
      <w:r w:rsidR="00AE64FF">
        <w:t>Russia</w:t>
      </w:r>
      <w:r w:rsidR="009952BE">
        <w:t>'</w:t>
      </w:r>
      <w:r w:rsidR="00AE64FF">
        <w:t xml:space="preserve">s </w:t>
      </w:r>
      <w:r w:rsidR="002F22AF">
        <w:t>ecology and natural r</w:t>
      </w:r>
      <w:r>
        <w:t>esources (2002</w:t>
      </w:r>
      <w:r w:rsidR="00C536FC">
        <w:t>-</w:t>
      </w:r>
      <w:r>
        <w:t>2010)”.</w:t>
      </w:r>
    </w:p>
    <w:p w:rsidR="00AE3699" w:rsidP="00252EB8" w:rsidRDefault="002C02F4">
      <w:pPr>
        <w:pStyle w:val="JuParaChar"/>
      </w:pPr>
      <w:r>
        <w:fldChar w:fldCharType="begin"/>
      </w:r>
      <w:r>
        <w:instrText xml:space="preserve"> SEQ level0 \*arabic </w:instrText>
      </w:r>
      <w:r>
        <w:fldChar w:fldCharType="separate"/>
      </w:r>
      <w:r w:rsidR="008C3401">
        <w:rPr>
          <w:noProof/>
        </w:rPr>
        <w:t>19</w:t>
      </w:r>
      <w:r>
        <w:fldChar w:fldCharType="end"/>
      </w:r>
      <w:r>
        <w:t>.  According to a</w:t>
      </w:r>
      <w:r w:rsidRPr="00DE7FCC">
        <w:t xml:space="preserve"> letter </w:t>
      </w:r>
      <w:r>
        <w:t xml:space="preserve">from </w:t>
      </w:r>
      <w:r w:rsidR="0090522F">
        <w:t>the m</w:t>
      </w:r>
      <w:r w:rsidRPr="00DE7FCC">
        <w:t xml:space="preserve">ayor of </w:t>
      </w:r>
      <w:smartTag w:uri="urn:schemas-microsoft-com:office:smarttags" w:element="City">
        <w:smartTag w:uri="urn:schemas-microsoft-com:office:smarttags" w:element="place">
          <w:r w:rsidRPr="00DE7FCC">
            <w:t>Cherepovets</w:t>
          </w:r>
        </w:smartTag>
      </w:smartTag>
      <w:r w:rsidRPr="00DE7FCC">
        <w:t xml:space="preserve"> </w:t>
      </w:r>
      <w:r>
        <w:t xml:space="preserve">dated </w:t>
      </w:r>
      <w:smartTag w:uri="urn:schemas-microsoft-com:office:smarttags" w:element="date">
        <w:smartTagPr>
          <w:attr w:name="Month" w:val="6"/>
          <w:attr w:name="Day" w:val="3"/>
          <w:attr w:name="Year" w:val="2004"/>
        </w:smartTagPr>
        <w:r w:rsidRPr="00DE7FCC">
          <w:t>3 June 2004</w:t>
        </w:r>
      </w:smartTag>
      <w:r w:rsidRPr="00DE7FCC">
        <w:t>, in 1999 the plant was responsible for more than 95</w:t>
      </w:r>
      <w:r w:rsidR="002F22AF">
        <w:t>%</w:t>
      </w:r>
      <w:r w:rsidRPr="00DE7FCC">
        <w:t xml:space="preserve"> of industrial emissions into the </w:t>
      </w:r>
      <w:r>
        <w:t>town</w:t>
      </w:r>
      <w:r w:rsidR="009952BE">
        <w:t>'</w:t>
      </w:r>
      <w:r>
        <w:t xml:space="preserve">s </w:t>
      </w:r>
      <w:r w:rsidRPr="00DE7FCC">
        <w:t xml:space="preserve">air. According to the State Report on the Environment for 1999, the Severstal plant in </w:t>
      </w:r>
      <w:smartTag w:uri="urn:schemas-microsoft-com:office:smarttags" w:element="City">
        <w:smartTag w:uri="urn:schemas-microsoft-com:office:smarttags" w:element="place">
          <w:r w:rsidRPr="00DE7FCC">
            <w:t>Cherepovets</w:t>
          </w:r>
        </w:smartTag>
      </w:smartTag>
      <w:r w:rsidRPr="00DE7FCC">
        <w:t xml:space="preserve"> was the </w:t>
      </w:r>
      <w:r>
        <w:t xml:space="preserve">largest contributor to air </w:t>
      </w:r>
      <w:r w:rsidRPr="00DE7FCC">
        <w:t>pollut</w:t>
      </w:r>
      <w:r>
        <w:t>ion of all</w:t>
      </w:r>
      <w:r w:rsidRPr="00DE7FCC">
        <w:t xml:space="preserve"> metallurgical plants in </w:t>
      </w:r>
      <w:smartTag w:uri="urn:schemas-microsoft-com:office:smarttags" w:element="country-region">
        <w:smartTag w:uri="urn:schemas-microsoft-com:office:smarttags" w:element="place">
          <w:r w:rsidRPr="00DE7FCC">
            <w:t>Russia</w:t>
          </w:r>
        </w:smartTag>
      </w:smartTag>
      <w:r w:rsidRPr="00DE7FCC">
        <w:t>.</w:t>
      </w:r>
    </w:p>
    <w:p w:rsidRPr="00DE7FCC" w:rsidR="00532D57" w:rsidP="00252EB8" w:rsidRDefault="00053511">
      <w:pPr>
        <w:pStyle w:val="JuHA"/>
        <w:outlineLvl w:val="0"/>
      </w:pPr>
      <w:r>
        <w:t>B.  </w:t>
      </w:r>
      <w:r w:rsidRPr="00DE7FCC" w:rsidR="00532D57">
        <w:t>The applicant</w:t>
      </w:r>
      <w:r w:rsidR="009952BE">
        <w:t>'</w:t>
      </w:r>
      <w:r w:rsidRPr="00DE7FCC" w:rsidR="00532D57">
        <w:t>s attempt to be resettled outside the zone</w:t>
      </w:r>
    </w:p>
    <w:p w:rsidR="00146818" w:rsidP="00252EB8" w:rsidRDefault="00146818">
      <w:pPr>
        <w:pStyle w:val="JuH1"/>
      </w:pPr>
      <w:r>
        <w:t>1.</w:t>
      </w:r>
      <w:r w:rsidR="00053511">
        <w:t>  </w:t>
      </w:r>
      <w:r>
        <w:t>First set of court proceedings</w:t>
      </w:r>
    </w:p>
    <w:p w:rsidRPr="00DE7FCC" w:rsidR="00532D57" w:rsidP="00252EB8" w:rsidRDefault="002C02F4">
      <w:pPr>
        <w:pStyle w:val="JuParaCharCharCharCharCharChar"/>
      </w:pPr>
      <w:r>
        <w:fldChar w:fldCharType="begin"/>
      </w:r>
      <w:r>
        <w:instrText xml:space="preserve"> SEQ level0 \*arabic </w:instrText>
      </w:r>
      <w:r>
        <w:fldChar w:fldCharType="separate"/>
      </w:r>
      <w:r w:rsidR="008C3401">
        <w:rPr>
          <w:noProof/>
        </w:rPr>
        <w:t>20</w:t>
      </w:r>
      <w:r>
        <w:fldChar w:fldCharType="end"/>
      </w:r>
      <w:r>
        <w:t>.  </w:t>
      </w:r>
      <w:r w:rsidRPr="00DE7FCC" w:rsidR="00532D57">
        <w:t>In 1995 the applicant</w:t>
      </w:r>
      <w:r w:rsidR="00D96E8B">
        <w:t>,</w:t>
      </w:r>
      <w:r w:rsidRPr="00DE7FCC" w:rsidR="00532D57">
        <w:t xml:space="preserve"> with her family and </w:t>
      </w:r>
      <w:r w:rsidR="00D96E8B">
        <w:t>various</w:t>
      </w:r>
      <w:r w:rsidRPr="00DE7FCC" w:rsidR="00D96E8B">
        <w:t xml:space="preserve"> </w:t>
      </w:r>
      <w:r w:rsidRPr="00DE7FCC" w:rsidR="00532D57">
        <w:t xml:space="preserve">other residents of the block </w:t>
      </w:r>
      <w:r w:rsidR="00C536FC">
        <w:t xml:space="preserve">of flats </w:t>
      </w:r>
      <w:r w:rsidRPr="00DE7FCC" w:rsidR="00532D57">
        <w:t>where she lived</w:t>
      </w:r>
      <w:r w:rsidR="00D96E8B">
        <w:t>,</w:t>
      </w:r>
      <w:r w:rsidRPr="00DE7FCC" w:rsidR="00532D57">
        <w:t xml:space="preserve"> brought a court action seeking resettlement outside the zone. The applicant </w:t>
      </w:r>
      <w:r w:rsidR="001B1C78">
        <w:t>claimed</w:t>
      </w:r>
      <w:r w:rsidRPr="00DE7FCC" w:rsidR="00532D57">
        <w:t xml:space="preserve"> that the concentration of toxic elements and</w:t>
      </w:r>
      <w:r w:rsidR="00D96E8B">
        <w:t xml:space="preserve"> the</w:t>
      </w:r>
      <w:r w:rsidRPr="00DE7FCC" w:rsidR="00532D57">
        <w:t xml:space="preserve"> noise level</w:t>
      </w:r>
      <w:r w:rsidR="00D96E8B">
        <w:t>s</w:t>
      </w:r>
      <w:r w:rsidRPr="00DE7FCC" w:rsidR="00532D57">
        <w:t xml:space="preserve"> in the sanitary security zone exceed</w:t>
      </w:r>
      <w:r w:rsidR="00D96E8B">
        <w:t>ed</w:t>
      </w:r>
      <w:r w:rsidRPr="00DE7FCC" w:rsidR="00532D57">
        <w:t xml:space="preserve"> </w:t>
      </w:r>
      <w:r w:rsidR="00D96E8B">
        <w:t xml:space="preserve">the </w:t>
      </w:r>
      <w:r w:rsidRPr="00DE7FCC" w:rsidR="00532D57">
        <w:t>maximum permissible limits</w:t>
      </w:r>
      <w:r w:rsidR="001B1C78">
        <w:t xml:space="preserve"> established by Russian legislation</w:t>
      </w:r>
      <w:r w:rsidRPr="00DE7FCC" w:rsidR="00532D57">
        <w:t xml:space="preserve">. The applicant alleged that the environmental situation in the zone was </w:t>
      </w:r>
      <w:r w:rsidR="00C819A7">
        <w:t>hazardous</w:t>
      </w:r>
      <w:r w:rsidRPr="00DE7FCC" w:rsidR="00532D57">
        <w:t xml:space="preserve"> for humans, and that living there </w:t>
      </w:r>
      <w:r w:rsidR="00D96E8B">
        <w:t xml:space="preserve">was potentially </w:t>
      </w:r>
      <w:r w:rsidRPr="00DE7FCC" w:rsidR="00532D57">
        <w:t xml:space="preserve">dangerous </w:t>
      </w:r>
      <w:r w:rsidR="00D96E8B">
        <w:t xml:space="preserve">to </w:t>
      </w:r>
      <w:r w:rsidRPr="00DE7FCC" w:rsidR="00532D57">
        <w:t xml:space="preserve">health and life. In support </w:t>
      </w:r>
      <w:r w:rsidR="00D96E8B">
        <w:t xml:space="preserve">of </w:t>
      </w:r>
      <w:r w:rsidRPr="00DE7FCC" w:rsidR="00532D57">
        <w:t>her claims she relied mainly on the city planning regu</w:t>
      </w:r>
      <w:r w:rsidR="002F22AF">
        <w:t>lations of 1989 (see “Relevant domestic law and p</w:t>
      </w:r>
      <w:r w:rsidRPr="00DE7FCC" w:rsidR="00532D57">
        <w:t>ractice” below). According to the applicant, the</w:t>
      </w:r>
      <w:r w:rsidR="00054CE8">
        <w:t>se</w:t>
      </w:r>
      <w:r w:rsidRPr="00DE7FCC" w:rsidR="00532D57">
        <w:t xml:space="preserve"> regulations imposed </w:t>
      </w:r>
      <w:r w:rsidRPr="00DE7FCC" w:rsidR="00054CE8">
        <w:t xml:space="preserve">an obligation </w:t>
      </w:r>
      <w:r w:rsidRPr="00DE7FCC" w:rsidR="00532D57">
        <w:t xml:space="preserve">on the </w:t>
      </w:r>
      <w:r w:rsidR="00054CE8">
        <w:t>plant</w:t>
      </w:r>
      <w:r w:rsidR="009952BE">
        <w:t>'</w:t>
      </w:r>
      <w:r w:rsidR="00054CE8">
        <w:t xml:space="preserve">s </w:t>
      </w:r>
      <w:r w:rsidRPr="00DE7FCC" w:rsidR="00532D57">
        <w:t xml:space="preserve">owners to </w:t>
      </w:r>
      <w:r w:rsidR="00FF7041">
        <w:t xml:space="preserve">implement </w:t>
      </w:r>
      <w:r w:rsidRPr="00DE7FCC" w:rsidR="00532D57">
        <w:t xml:space="preserve">various ecological measures in the zone, including the resettlement of residents </w:t>
      </w:r>
      <w:r w:rsidR="00C536FC">
        <w:t>in</w:t>
      </w:r>
      <w:r w:rsidR="00054CE8">
        <w:t xml:space="preserve"> </w:t>
      </w:r>
      <w:r w:rsidRPr="00DE7FCC" w:rsidR="00532D57">
        <w:t xml:space="preserve">an ecologically safe area. The applicant claimed that Severstal had failed to </w:t>
      </w:r>
      <w:r w:rsidR="00707549">
        <w:t>fulfil</w:t>
      </w:r>
      <w:r w:rsidRPr="00DE7FCC" w:rsidR="00707549">
        <w:t xml:space="preserve"> </w:t>
      </w:r>
      <w:r w:rsidRPr="00DE7FCC" w:rsidR="00532D57">
        <w:t>this obligation.</w:t>
      </w:r>
    </w:p>
    <w:p w:rsidRPr="00DE7FCC" w:rsidR="00532D57" w:rsidP="00252EB8" w:rsidRDefault="00532D57">
      <w:pPr>
        <w:pStyle w:val="JuParaCharCharCharCharCharChar"/>
      </w:pPr>
      <w:r w:rsidRPr="00DE7FCC">
        <w:fldChar w:fldCharType="begin"/>
      </w:r>
      <w:r w:rsidRPr="00DE7FCC">
        <w:instrText xml:space="preserve"> SEQ level0 \*arabic </w:instrText>
      </w:r>
      <w:r w:rsidRPr="00DE7FCC">
        <w:fldChar w:fldCharType="separate"/>
      </w:r>
      <w:r w:rsidR="008C3401">
        <w:rPr>
          <w:noProof/>
        </w:rPr>
        <w:t>21</w:t>
      </w:r>
      <w:r w:rsidRPr="00DE7FCC">
        <w:fldChar w:fldCharType="end"/>
      </w:r>
      <w:r w:rsidRPr="00DE7FCC">
        <w:t xml:space="preserve">.  On </w:t>
      </w:r>
      <w:smartTag w:uri="urn:schemas-microsoft-com:office:smarttags" w:element="date">
        <w:smartTagPr>
          <w:attr w:name="Month" w:val="4"/>
          <w:attr w:name="Day" w:val="17"/>
          <w:attr w:name="Year" w:val="1996"/>
        </w:smartTagPr>
        <w:r w:rsidRPr="00DE7FCC">
          <w:t>17 April 1996</w:t>
        </w:r>
      </w:smartTag>
      <w:r w:rsidRPr="00DE7FCC">
        <w:t xml:space="preserve"> the Cherepovets </w:t>
      </w:r>
      <w:r w:rsidR="002F22AF">
        <w:t>City</w:t>
      </w:r>
      <w:r w:rsidRPr="00DE7FCC">
        <w:t xml:space="preserve"> Court examined the </w:t>
      </w:r>
      <w:r w:rsidR="00E67C85">
        <w:t>applicant</w:t>
      </w:r>
      <w:r w:rsidR="009952BE">
        <w:t>'</w:t>
      </w:r>
      <w:r w:rsidR="00E67C85">
        <w:t xml:space="preserve">s </w:t>
      </w:r>
      <w:r w:rsidRPr="00E67C85">
        <w:t>action</w:t>
      </w:r>
      <w:r w:rsidRPr="00DE7FCC">
        <w:t>. The court recogni</w:t>
      </w:r>
      <w:r w:rsidR="00C536FC">
        <w:t>s</w:t>
      </w:r>
      <w:r w:rsidRPr="00DE7FCC">
        <w:t xml:space="preserve">ed that the </w:t>
      </w:r>
      <w:r w:rsidR="00054CE8">
        <w:t xml:space="preserve">building at </w:t>
      </w:r>
      <w:smartTag w:uri="urn:schemas-microsoft-com:office:smarttags" w:element="Street">
        <w:smartTag w:uri="urn:schemas-microsoft-com:office:smarttags" w:element="address">
          <w:r w:rsidRPr="00DE7FCC">
            <w:rPr>
              <w:color w:val="000000"/>
            </w:rPr>
            <w:t>1 Zhukov Street</w:t>
          </w:r>
        </w:smartTag>
      </w:smartTag>
      <w:r w:rsidRPr="00DE7FCC">
        <w:rPr>
          <w:color w:val="000000"/>
        </w:rPr>
        <w:t xml:space="preserve">, where </w:t>
      </w:r>
      <w:r w:rsidR="00C819A7">
        <w:rPr>
          <w:color w:val="000000"/>
        </w:rPr>
        <w:t>she</w:t>
      </w:r>
      <w:r w:rsidRPr="00DE7FCC">
        <w:rPr>
          <w:color w:val="000000"/>
        </w:rPr>
        <w:t xml:space="preserve"> lived, was located within </w:t>
      </w:r>
      <w:r w:rsidR="00054CE8">
        <w:rPr>
          <w:color w:val="000000"/>
        </w:rPr>
        <w:t>Severstal</w:t>
      </w:r>
      <w:r w:rsidR="009952BE">
        <w:rPr>
          <w:color w:val="000000"/>
        </w:rPr>
        <w:t>'</w:t>
      </w:r>
      <w:r w:rsidR="00707549">
        <w:rPr>
          <w:color w:val="000000"/>
        </w:rPr>
        <w:t>s</w:t>
      </w:r>
      <w:r w:rsidRPr="00DE7FCC">
        <w:rPr>
          <w:color w:val="000000"/>
        </w:rPr>
        <w:t xml:space="preserve"> sanitary security zone. </w:t>
      </w:r>
      <w:r w:rsidRPr="00DE7FCC">
        <w:t>The court noted that</w:t>
      </w:r>
      <w:r w:rsidR="00054CE8">
        <w:t>,</w:t>
      </w:r>
      <w:r w:rsidRPr="00DE7FCC">
        <w:t xml:space="preserve"> </w:t>
      </w:r>
      <w:r w:rsidR="00054CE8">
        <w:t xml:space="preserve">prior to </w:t>
      </w:r>
      <w:r w:rsidRPr="00DE7FCC">
        <w:t>1993</w:t>
      </w:r>
      <w:r w:rsidR="00054CE8">
        <w:t>,</w:t>
      </w:r>
      <w:r w:rsidRPr="00DE7FCC">
        <w:t xml:space="preserve"> the applicant</w:t>
      </w:r>
      <w:r w:rsidR="009952BE">
        <w:t>'</w:t>
      </w:r>
      <w:r w:rsidRPr="00DE7FCC">
        <w:t>s flat had been owned by the Ministry of Black Metallurgy, which had also owned the plant. Following privatisation of the plant in 1993</w:t>
      </w:r>
      <w:r w:rsidR="00C819A7">
        <w:t>,</w:t>
      </w:r>
      <w:r w:rsidRPr="00DE7FCC">
        <w:t xml:space="preserve"> it </w:t>
      </w:r>
      <w:r w:rsidR="00054CE8">
        <w:t xml:space="preserve">had </w:t>
      </w:r>
      <w:r w:rsidRPr="00DE7FCC">
        <w:t>bec</w:t>
      </w:r>
      <w:r w:rsidR="00707549">
        <w:t>o</w:t>
      </w:r>
      <w:r w:rsidR="002F22AF">
        <w:t xml:space="preserve">me a privately </w:t>
      </w:r>
      <w:r w:rsidRPr="00DE7FCC">
        <w:t>owned entity</w:t>
      </w:r>
      <w:r w:rsidR="00054CE8">
        <w:t xml:space="preserve"> and </w:t>
      </w:r>
      <w:r w:rsidRPr="00DE7FCC">
        <w:t>the applicant</w:t>
      </w:r>
      <w:r w:rsidR="009952BE">
        <w:t>'</w:t>
      </w:r>
      <w:r w:rsidRPr="00DE7FCC">
        <w:t>s flat had become the property of the local authorities.</w:t>
      </w:r>
      <w:r w:rsidR="00197061">
        <w:t xml:space="preserve"> R</w:t>
      </w:r>
      <w:r w:rsidRPr="00DE7FCC">
        <w:t>efer</w:t>
      </w:r>
      <w:r w:rsidR="00197061">
        <w:t xml:space="preserve">ring </w:t>
      </w:r>
      <w:r w:rsidRPr="00DE7FCC">
        <w:t xml:space="preserve">to </w:t>
      </w:r>
      <w:r w:rsidR="002F22AF">
        <w:t>the m</w:t>
      </w:r>
      <w:r w:rsidRPr="00DE7FCC">
        <w:t xml:space="preserve">inisterial </w:t>
      </w:r>
      <w:r w:rsidR="002F22AF">
        <w:t>d</w:t>
      </w:r>
      <w:r w:rsidRPr="00DE7FCC">
        <w:t xml:space="preserve">ecree of 1974, </w:t>
      </w:r>
      <w:r w:rsidR="00197061">
        <w:t>t</w:t>
      </w:r>
      <w:r w:rsidRPr="00DE7FCC" w:rsidR="00197061">
        <w:t xml:space="preserve">he court found </w:t>
      </w:r>
      <w:r w:rsidRPr="00DE7FCC">
        <w:t xml:space="preserve">that the authorities </w:t>
      </w:r>
      <w:r w:rsidR="00707549">
        <w:t xml:space="preserve">ought to have </w:t>
      </w:r>
      <w:r w:rsidRPr="00DE7FCC">
        <w:t>resettle</w:t>
      </w:r>
      <w:r w:rsidR="00707549">
        <w:t>d</w:t>
      </w:r>
      <w:r w:rsidRPr="00DE7FCC">
        <w:t xml:space="preserve"> all </w:t>
      </w:r>
      <w:r w:rsidR="00197061">
        <w:t>of the zone</w:t>
      </w:r>
      <w:r w:rsidR="009952BE">
        <w:t>'</w:t>
      </w:r>
      <w:r w:rsidR="00197061">
        <w:t xml:space="preserve">s </w:t>
      </w:r>
      <w:r w:rsidRPr="00DE7FCC">
        <w:t>residents but that they had failed to do so. In view of th</w:t>
      </w:r>
      <w:r w:rsidR="00197061">
        <w:t>os</w:t>
      </w:r>
      <w:r w:rsidRPr="00DE7FCC">
        <w:t>e findings, the court accepted the applicant</w:t>
      </w:r>
      <w:r w:rsidR="009952BE">
        <w:t>'</w:t>
      </w:r>
      <w:r w:rsidRPr="00DE7FCC">
        <w:t>s claim</w:t>
      </w:r>
      <w:r w:rsidRPr="00197061" w:rsidR="00197061">
        <w:t xml:space="preserve"> </w:t>
      </w:r>
      <w:r w:rsidRPr="00DE7FCC" w:rsidR="00197061">
        <w:t>in principle</w:t>
      </w:r>
      <w:r w:rsidRPr="00DE7FCC">
        <w:t xml:space="preserve">, stating that she had the right in domestic law to be resettled. However, no specific order to resettle the applicant was </w:t>
      </w:r>
      <w:r w:rsidR="00197061">
        <w:t xml:space="preserve">given </w:t>
      </w:r>
      <w:r w:rsidRPr="00DE7FCC">
        <w:t xml:space="preserve">by the court in the operative part of </w:t>
      </w:r>
      <w:r w:rsidR="00197061">
        <w:t xml:space="preserve">its </w:t>
      </w:r>
      <w:r w:rsidRPr="00DE7FCC">
        <w:t>judgment. Instead, the court stated that the local authorities must p</w:t>
      </w:r>
      <w:r w:rsidR="00197061">
        <w:t xml:space="preserve">lace </w:t>
      </w:r>
      <w:r w:rsidRPr="00DE7FCC">
        <w:t xml:space="preserve">her on a “priority waiting list” to obtain new </w:t>
      </w:r>
      <w:r w:rsidR="00197061">
        <w:t xml:space="preserve">local authority </w:t>
      </w:r>
      <w:r w:rsidRPr="00DE7FCC">
        <w:t xml:space="preserve">housing (see </w:t>
      </w:r>
      <w:r w:rsidR="00AE241A">
        <w:t>“</w:t>
      </w:r>
      <w:r w:rsidRPr="00DE7FCC">
        <w:t xml:space="preserve">Relevant </w:t>
      </w:r>
      <w:r w:rsidR="002F22AF">
        <w:t>d</w:t>
      </w:r>
      <w:r w:rsidRPr="00DE7FCC">
        <w:t xml:space="preserve">omestic </w:t>
      </w:r>
      <w:r w:rsidR="002F22AF">
        <w:t>l</w:t>
      </w:r>
      <w:r w:rsidRPr="00DE7FCC">
        <w:t xml:space="preserve">aw and </w:t>
      </w:r>
      <w:r w:rsidR="002F22AF">
        <w:t>p</w:t>
      </w:r>
      <w:r w:rsidRPr="00DE7FCC">
        <w:t>ractice</w:t>
      </w:r>
      <w:r w:rsidR="00AE241A">
        <w:t>”</w:t>
      </w:r>
      <w:r w:rsidRPr="00DE7FCC">
        <w:t xml:space="preserve"> below). The court also stated that the applicant</w:t>
      </w:r>
      <w:r w:rsidR="009952BE">
        <w:t>'</w:t>
      </w:r>
      <w:r w:rsidRPr="00DE7FCC">
        <w:t>s resettlement was conditiona</w:t>
      </w:r>
      <w:r>
        <w:t>l on the availability of funds.</w:t>
      </w:r>
    </w:p>
    <w:p w:rsidRPr="00DE7FCC" w:rsidR="00532D57" w:rsidP="00252EB8" w:rsidRDefault="00532D57">
      <w:pPr>
        <w:pStyle w:val="JuParaCharCharCharCharCharChar"/>
      </w:pPr>
      <w:r w:rsidRPr="00DE7FCC">
        <w:fldChar w:fldCharType="begin"/>
      </w:r>
      <w:r w:rsidRPr="00DE7FCC">
        <w:instrText xml:space="preserve"> SEQ level0 \*arabic </w:instrText>
      </w:r>
      <w:r w:rsidRPr="00DE7FCC">
        <w:fldChar w:fldCharType="separate"/>
      </w:r>
      <w:r w:rsidR="008C3401">
        <w:rPr>
          <w:noProof/>
        </w:rPr>
        <w:t>22</w:t>
      </w:r>
      <w:r w:rsidRPr="00DE7FCC">
        <w:fldChar w:fldCharType="end"/>
      </w:r>
      <w:r w:rsidRPr="00DE7FCC">
        <w:t>.  The applicant appealed, claiming that the obligation to resettle was on the plant</w:t>
      </w:r>
      <w:r w:rsidR="00197061">
        <w:t xml:space="preserve"> rather than on </w:t>
      </w:r>
      <w:r w:rsidRPr="00DE7FCC">
        <w:t xml:space="preserve">the municipality. She also maintained that the court </w:t>
      </w:r>
      <w:r w:rsidR="00197061">
        <w:t xml:space="preserve">had </w:t>
      </w:r>
      <w:r w:rsidRPr="00DE7FCC">
        <w:t xml:space="preserve">distorted the object of her claim: whereas she had been seeking immediate resettlement, the court </w:t>
      </w:r>
      <w:r w:rsidR="00C360A4">
        <w:t xml:space="preserve">had </w:t>
      </w:r>
      <w:r w:rsidRPr="00DE7FCC">
        <w:t xml:space="preserve">ordered </w:t>
      </w:r>
      <w:r w:rsidR="00966666">
        <w:t xml:space="preserve">that she be </w:t>
      </w:r>
      <w:r w:rsidR="00C360A4">
        <w:t>place</w:t>
      </w:r>
      <w:r w:rsidR="00966666">
        <w:t xml:space="preserve">d </w:t>
      </w:r>
      <w:r w:rsidR="00C360A4">
        <w:t xml:space="preserve">on </w:t>
      </w:r>
      <w:r w:rsidRPr="00DE7FCC">
        <w:t xml:space="preserve">a waiting list. </w:t>
      </w:r>
      <w:r w:rsidR="00C360A4">
        <w:t>I</w:t>
      </w:r>
      <w:r w:rsidRPr="00DE7FCC" w:rsidR="00C360A4">
        <w:t>n the applicant</w:t>
      </w:r>
      <w:r w:rsidR="009952BE">
        <w:t>'</w:t>
      </w:r>
      <w:r w:rsidRPr="00DE7FCC" w:rsidR="00C360A4">
        <w:t>s view</w:t>
      </w:r>
      <w:r w:rsidR="00C360A4">
        <w:t>, t</w:t>
      </w:r>
      <w:r w:rsidRPr="00DE7FCC">
        <w:t>his decision was un</w:t>
      </w:r>
      <w:r w:rsidR="00C536FC">
        <w:t>workable</w:t>
      </w:r>
      <w:r w:rsidRPr="00DE7FCC">
        <w:t xml:space="preserve"> because its enforcement depended on too many conditions (</w:t>
      </w:r>
      <w:r w:rsidR="00C360A4">
        <w:t xml:space="preserve">the </w:t>
      </w:r>
      <w:r w:rsidRPr="00DE7FCC">
        <w:t xml:space="preserve">existence of a resettlement order, </w:t>
      </w:r>
      <w:r w:rsidR="00C360A4">
        <w:t xml:space="preserve">the </w:t>
      </w:r>
      <w:r w:rsidRPr="00DE7FCC">
        <w:t xml:space="preserve">number of people on the waiting list, </w:t>
      </w:r>
      <w:r w:rsidR="00C360A4">
        <w:t xml:space="preserve">the </w:t>
      </w:r>
      <w:r w:rsidRPr="00DE7FCC">
        <w:t>availability of funds for resettlement</w:t>
      </w:r>
      <w:r w:rsidR="00C536FC">
        <w:t>,</w:t>
      </w:r>
      <w:r w:rsidRPr="00DE7FCC">
        <w:t xml:space="preserve"> etc</w:t>
      </w:r>
      <w:r w:rsidR="002F22AF">
        <w:t>.</w:t>
      </w:r>
      <w:r w:rsidRPr="00DE7FCC">
        <w:t>).</w:t>
      </w:r>
    </w:p>
    <w:p w:rsidRPr="00DE7FCC" w:rsidR="00532D57" w:rsidP="00252EB8" w:rsidRDefault="00532D57">
      <w:pPr>
        <w:pStyle w:val="JuParaCharCharCharCharCharChar"/>
      </w:pPr>
      <w:r w:rsidRPr="00DE7FCC">
        <w:fldChar w:fldCharType="begin"/>
      </w:r>
      <w:r w:rsidRPr="00DE7FCC">
        <w:instrText xml:space="preserve"> SEQ level0 \*arabic </w:instrText>
      </w:r>
      <w:r w:rsidRPr="00DE7FCC">
        <w:fldChar w:fldCharType="separate"/>
      </w:r>
      <w:r w:rsidR="008C3401">
        <w:rPr>
          <w:noProof/>
        </w:rPr>
        <w:t>23</w:t>
      </w:r>
      <w:r w:rsidRPr="00DE7FCC">
        <w:fldChar w:fldCharType="end"/>
      </w:r>
      <w:r w:rsidR="006B39D9">
        <w:t>.  </w:t>
      </w:r>
      <w:r w:rsidRPr="00DE7FCC">
        <w:t xml:space="preserve">On </w:t>
      </w:r>
      <w:smartTag w:uri="urn:schemas-microsoft-com:office:smarttags" w:element="date">
        <w:smartTagPr>
          <w:attr w:name="Month" w:val="8"/>
          <w:attr w:name="Day" w:val="7"/>
          <w:attr w:name="Year" w:val="1996"/>
        </w:smartTagPr>
        <w:r w:rsidRPr="00DE7FCC">
          <w:t>7 August 1996</w:t>
        </w:r>
      </w:smartTag>
      <w:r w:rsidRPr="00DE7FCC">
        <w:t xml:space="preserve"> the </w:t>
      </w:r>
      <w:smartTag w:uri="urn:schemas-microsoft-com:office:smarttags" w:element="Street">
        <w:smartTag w:uri="urn:schemas-microsoft-com:office:smarttags" w:element="address">
          <w:r w:rsidRPr="00DE7FCC">
            <w:t>Vologda Regional Court</w:t>
          </w:r>
        </w:smartTag>
      </w:smartTag>
      <w:r w:rsidRPr="00DE7FCC">
        <w:t xml:space="preserve"> upheld </w:t>
      </w:r>
      <w:r w:rsidRPr="00DE7FCC" w:rsidR="00C360A4">
        <w:t xml:space="preserve">in principle </w:t>
      </w:r>
      <w:r w:rsidRPr="00DE7FCC">
        <w:t xml:space="preserve">the decision of </w:t>
      </w:r>
      <w:smartTag w:uri="urn:schemas-microsoft-com:office:smarttags" w:element="date">
        <w:smartTagPr>
          <w:attr w:name="Month" w:val="4"/>
          <w:attr w:name="Day" w:val="17"/>
          <w:attr w:name="Year" w:val="1996"/>
        </w:smartTagPr>
        <w:r w:rsidRPr="00DE7FCC">
          <w:t>17 April 1996</w:t>
        </w:r>
      </w:smartTag>
      <w:r w:rsidR="00C360A4">
        <w:t>,</w:t>
      </w:r>
      <w:r w:rsidRPr="00DE7FCC">
        <w:t xml:space="preserve"> </w:t>
      </w:r>
      <w:r w:rsidR="00707549">
        <w:t xml:space="preserve">and confirmed </w:t>
      </w:r>
      <w:r w:rsidRPr="00DE7FCC">
        <w:t>that the applicant</w:t>
      </w:r>
      <w:r w:rsidR="009952BE">
        <w:t>'</w:t>
      </w:r>
      <w:r w:rsidRPr="00DE7FCC">
        <w:t>s ho</w:t>
      </w:r>
      <w:r w:rsidR="00C536FC">
        <w:t>me</w:t>
      </w:r>
      <w:r w:rsidRPr="00DE7FCC">
        <w:t xml:space="preserve"> </w:t>
      </w:r>
      <w:r w:rsidR="00707549">
        <w:t xml:space="preserve">was </w:t>
      </w:r>
      <w:r w:rsidRPr="00DE7FCC">
        <w:t xml:space="preserve">located within the </w:t>
      </w:r>
      <w:r w:rsidRPr="00DE7FCC" w:rsidR="00C360A4">
        <w:t xml:space="preserve">Severstal </w:t>
      </w:r>
      <w:r w:rsidR="002F22AF">
        <w:t>steel plant</w:t>
      </w:r>
      <w:r w:rsidR="009952BE">
        <w:t>'</w:t>
      </w:r>
      <w:r w:rsidR="00C360A4">
        <w:t>s</w:t>
      </w:r>
      <w:r w:rsidRPr="00DE7FCC" w:rsidR="00C360A4">
        <w:t xml:space="preserve"> </w:t>
      </w:r>
      <w:r w:rsidRPr="00DE7FCC">
        <w:t xml:space="preserve">sanitary security zone. The appeal court further found that the </w:t>
      </w:r>
      <w:r w:rsidRPr="00DE7FCC" w:rsidR="00C360A4">
        <w:t>applicant</w:t>
      </w:r>
      <w:r w:rsidR="009952BE">
        <w:t>'</w:t>
      </w:r>
      <w:r w:rsidR="00C360A4">
        <w:t>s</w:t>
      </w:r>
      <w:r w:rsidRPr="00DE7FCC" w:rsidR="00C360A4">
        <w:t xml:space="preserve"> </w:t>
      </w:r>
      <w:r w:rsidRPr="00DE7FCC">
        <w:t xml:space="preserve">resettlement in an ecologically safe area </w:t>
      </w:r>
      <w:r w:rsidR="00C360A4">
        <w:t xml:space="preserve">was to </w:t>
      </w:r>
      <w:r w:rsidRPr="00DE7FCC">
        <w:t xml:space="preserve">be carried out by the municipality. </w:t>
      </w:r>
      <w:r w:rsidR="00C360A4">
        <w:t>Finally, t</w:t>
      </w:r>
      <w:r w:rsidRPr="00DE7FCC">
        <w:t xml:space="preserve">he appeal court excluded from the operative part of the judgment the reference to the availability of funds as a </w:t>
      </w:r>
      <w:r w:rsidR="00C360A4">
        <w:t>pre</w:t>
      </w:r>
      <w:r w:rsidRPr="00DE7FCC">
        <w:t>condition for the applicant</w:t>
      </w:r>
      <w:r w:rsidR="009952BE">
        <w:t>'</w:t>
      </w:r>
      <w:r w:rsidRPr="00DE7FCC">
        <w:t>s resettlement.</w:t>
      </w:r>
    </w:p>
    <w:p w:rsidRPr="00DE7FCC" w:rsidR="00532D57" w:rsidP="00252EB8" w:rsidRDefault="00532D57">
      <w:pPr>
        <w:pStyle w:val="JuParaCharCharCharCharCharChar"/>
      </w:pPr>
      <w:r w:rsidRPr="00DE7FCC">
        <w:fldChar w:fldCharType="begin"/>
      </w:r>
      <w:r w:rsidRPr="00DE7FCC">
        <w:instrText xml:space="preserve"> SEQ level0 \*arabic </w:instrText>
      </w:r>
      <w:r w:rsidRPr="00DE7FCC">
        <w:fldChar w:fldCharType="separate"/>
      </w:r>
      <w:r w:rsidR="008C3401">
        <w:rPr>
          <w:noProof/>
        </w:rPr>
        <w:t>24</w:t>
      </w:r>
      <w:r w:rsidRPr="00DE7FCC">
        <w:fldChar w:fldCharType="end"/>
      </w:r>
      <w:r w:rsidRPr="00DE7FCC">
        <w:t>.  The first</w:t>
      </w:r>
      <w:r w:rsidR="00C360A4">
        <w:t>-</w:t>
      </w:r>
      <w:r w:rsidRPr="00DE7FCC">
        <w:t>instance court issued an execution warrant and transmitted it to a bailiff. However, the decision remained unexecuted</w:t>
      </w:r>
      <w:r w:rsidRPr="00C360A4" w:rsidR="00C360A4">
        <w:t xml:space="preserve"> </w:t>
      </w:r>
      <w:r w:rsidRPr="00DE7FCC" w:rsidR="00C360A4">
        <w:t>for a certain period of time</w:t>
      </w:r>
      <w:r w:rsidRPr="00DE7FCC">
        <w:t xml:space="preserve">. In </w:t>
      </w:r>
      <w:r w:rsidR="00C360A4">
        <w:t xml:space="preserve">a </w:t>
      </w:r>
      <w:r w:rsidRPr="00DE7FCC">
        <w:t xml:space="preserve">letter of </w:t>
      </w:r>
      <w:smartTag w:uri="urn:schemas-microsoft-com:office:smarttags" w:element="date">
        <w:smartTagPr>
          <w:attr w:name="Month" w:val="12"/>
          <w:attr w:name="Day" w:val="11"/>
          <w:attr w:name="Year" w:val="1996"/>
        </w:smartTagPr>
        <w:r w:rsidRPr="00DE7FCC">
          <w:t>11 December 1996</w:t>
        </w:r>
      </w:smartTag>
      <w:r w:rsidR="002F22AF">
        <w:t>, the deputy m</w:t>
      </w:r>
      <w:r w:rsidRPr="00DE7FCC">
        <w:t xml:space="preserve">ayor of </w:t>
      </w:r>
      <w:smartTag w:uri="urn:schemas-microsoft-com:office:smarttags" w:element="City">
        <w:smartTag w:uri="urn:schemas-microsoft-com:office:smarttags" w:element="place">
          <w:r w:rsidRPr="00DE7FCC">
            <w:t>Cherepovets</w:t>
          </w:r>
        </w:smartTag>
      </w:smartTag>
      <w:r w:rsidRPr="00DE7FCC">
        <w:t xml:space="preserve"> explained that enforcement of the judgment was </w:t>
      </w:r>
      <w:r w:rsidR="00C360A4">
        <w:t xml:space="preserve">blocked, since there were no </w:t>
      </w:r>
      <w:r w:rsidRPr="00DE7FCC">
        <w:t xml:space="preserve">regulations establishing the </w:t>
      </w:r>
      <w:r w:rsidR="00C360A4">
        <w:t xml:space="preserve">procedure for the </w:t>
      </w:r>
      <w:r w:rsidRPr="00DE7FCC">
        <w:t>resettlement of residents outside the zone.</w:t>
      </w:r>
    </w:p>
    <w:p w:rsidR="00146818" w:rsidP="00252EB8" w:rsidRDefault="00532D57">
      <w:pPr>
        <w:pStyle w:val="JuParaCharCharCharCharCharChar"/>
      </w:pPr>
      <w:r w:rsidRPr="00DE7FCC">
        <w:fldChar w:fldCharType="begin"/>
      </w:r>
      <w:r w:rsidRPr="00DE7FCC">
        <w:instrText xml:space="preserve"> SEQ level0 \*arabic </w:instrText>
      </w:r>
      <w:r w:rsidRPr="00DE7FCC">
        <w:fldChar w:fldCharType="separate"/>
      </w:r>
      <w:r w:rsidR="008C3401">
        <w:rPr>
          <w:noProof/>
        </w:rPr>
        <w:t>25</w:t>
      </w:r>
      <w:r w:rsidRPr="00DE7FCC">
        <w:fldChar w:fldCharType="end"/>
      </w:r>
      <w:r w:rsidRPr="00DE7FCC">
        <w:t xml:space="preserve">.  On </w:t>
      </w:r>
      <w:smartTag w:uri="urn:schemas-microsoft-com:office:smarttags" w:element="date">
        <w:smartTagPr>
          <w:attr w:name="Month" w:val="2"/>
          <w:attr w:name="Day" w:val="10"/>
          <w:attr w:name="Year" w:val="1997"/>
        </w:smartTagPr>
        <w:r w:rsidRPr="00DE7FCC">
          <w:t>10 February 1997</w:t>
        </w:r>
      </w:smartTag>
      <w:r w:rsidRPr="00DE7FCC">
        <w:t xml:space="preserve"> the bailiff discontinued the enforcement proceedings on the ground that there </w:t>
      </w:r>
      <w:r w:rsidR="00C360A4">
        <w:t xml:space="preserve">was </w:t>
      </w:r>
      <w:r w:rsidRPr="00DE7FCC">
        <w:t xml:space="preserve">no “priority waiting list” </w:t>
      </w:r>
      <w:r w:rsidR="00C360A4">
        <w:t xml:space="preserve">for </w:t>
      </w:r>
      <w:r w:rsidRPr="00DE7FCC" w:rsidR="00C360A4">
        <w:t xml:space="preserve">new housing </w:t>
      </w:r>
      <w:r w:rsidRPr="00DE7FCC">
        <w:t>for residents of the sanitary security zone.</w:t>
      </w:r>
    </w:p>
    <w:p w:rsidRPr="00DE7FCC" w:rsidR="00146818" w:rsidP="00252EB8" w:rsidRDefault="00BD04AB">
      <w:pPr>
        <w:pStyle w:val="JuH1"/>
      </w:pPr>
      <w:r>
        <w:t>2.  </w:t>
      </w:r>
      <w:r w:rsidR="00146818">
        <w:t>Second set of court proceedings</w:t>
      </w:r>
    </w:p>
    <w:p w:rsidR="00772DF2" w:rsidP="00252EB8" w:rsidRDefault="00532D57">
      <w:pPr>
        <w:pStyle w:val="JuParaCharCharCharCharCharChar"/>
      </w:pPr>
      <w:r w:rsidRPr="00DE7FCC">
        <w:fldChar w:fldCharType="begin"/>
      </w:r>
      <w:r w:rsidRPr="00DE7FCC">
        <w:instrText xml:space="preserve"> SEQ level0 \*arabic </w:instrText>
      </w:r>
      <w:r w:rsidRPr="00DE7FCC">
        <w:fldChar w:fldCharType="separate"/>
      </w:r>
      <w:r w:rsidR="008C3401">
        <w:rPr>
          <w:noProof/>
        </w:rPr>
        <w:t>26</w:t>
      </w:r>
      <w:r w:rsidRPr="00DE7FCC">
        <w:fldChar w:fldCharType="end"/>
      </w:r>
      <w:r w:rsidRPr="00DE7FCC">
        <w:t xml:space="preserve">.  In 1999 the applicant brought a fresh action against the municipality, seeking immediate execution of the judgment of </w:t>
      </w:r>
      <w:smartTag w:uri="urn:schemas-microsoft-com:office:smarttags" w:element="date">
        <w:smartTagPr>
          <w:attr w:name="Month" w:val="4"/>
          <w:attr w:name="Day" w:val="17"/>
          <w:attr w:name="Year" w:val="1996"/>
        </w:smartTagPr>
        <w:r w:rsidRPr="00DE7FCC">
          <w:t>17 April 1996</w:t>
        </w:r>
      </w:smartTag>
      <w:r w:rsidRPr="00DE7FCC">
        <w:t>. The applicant claimed</w:t>
      </w:r>
      <w:r w:rsidR="00C360A4">
        <w:t>,</w:t>
      </w:r>
      <w:r w:rsidRPr="00DE7FCC">
        <w:t xml:space="preserve"> </w:t>
      </w:r>
      <w:r w:rsidRPr="00DE7FCC">
        <w:rPr>
          <w:i/>
        </w:rPr>
        <w:t>inter alia</w:t>
      </w:r>
      <w:r w:rsidRPr="002F22AF" w:rsidR="00C360A4">
        <w:t>,</w:t>
      </w:r>
      <w:r w:rsidRPr="00DE7FCC">
        <w:t xml:space="preserve"> that systematic toxic emissions and noise from </w:t>
      </w:r>
      <w:r w:rsidRPr="00DE7FCC" w:rsidR="00C360A4">
        <w:t>Severstal PLC</w:t>
      </w:r>
      <w:r w:rsidR="009952BE">
        <w:t>'</w:t>
      </w:r>
      <w:r w:rsidR="00C360A4">
        <w:t xml:space="preserve">s </w:t>
      </w:r>
      <w:r w:rsidRPr="00DE7FCC">
        <w:t>facilities violate</w:t>
      </w:r>
      <w:r w:rsidR="00C360A4">
        <w:t>d</w:t>
      </w:r>
      <w:r w:rsidRPr="00DE7FCC">
        <w:t xml:space="preserve"> her basic right to respect for her private life and home, </w:t>
      </w:r>
      <w:r w:rsidR="00E67C85">
        <w:t xml:space="preserve">as </w:t>
      </w:r>
      <w:r w:rsidRPr="00DE7FCC">
        <w:t>guaranteed by the Russian Constitutio</w:t>
      </w:r>
      <w:r w:rsidR="002F22AF">
        <w:t>n and the European Convention on</w:t>
      </w:r>
      <w:r w:rsidRPr="00DE7FCC">
        <w:t xml:space="preserve"> Human Rights. She asked to be provided with a flat in an ecologically safe area or with the means to </w:t>
      </w:r>
      <w:r w:rsidR="00C360A4">
        <w:t xml:space="preserve">purchase </w:t>
      </w:r>
      <w:r w:rsidRPr="00DE7FCC">
        <w:t>a new flat.</w:t>
      </w:r>
    </w:p>
    <w:p w:rsidRPr="00DE7FCC" w:rsidR="00532D57" w:rsidP="00252EB8" w:rsidRDefault="00532D57">
      <w:pPr>
        <w:pStyle w:val="JuParaCharCharCharCharCharChar"/>
      </w:pPr>
      <w:r w:rsidRPr="00DE7FCC">
        <w:fldChar w:fldCharType="begin"/>
      </w:r>
      <w:r w:rsidRPr="00DE7FCC">
        <w:instrText xml:space="preserve"> SEQ level0 \*arabic </w:instrText>
      </w:r>
      <w:r w:rsidRPr="00DE7FCC">
        <w:fldChar w:fldCharType="separate"/>
      </w:r>
      <w:r w:rsidR="008C3401">
        <w:rPr>
          <w:noProof/>
        </w:rPr>
        <w:t>27</w:t>
      </w:r>
      <w:r w:rsidRPr="00DE7FCC">
        <w:fldChar w:fldCharType="end"/>
      </w:r>
      <w:r w:rsidR="00A93D13">
        <w:t xml:space="preserve">.  On </w:t>
      </w:r>
      <w:smartTag w:uri="urn:schemas-microsoft-com:office:smarttags" w:element="date">
        <w:smartTagPr>
          <w:attr w:name="Month" w:val="8"/>
          <w:attr w:name="Day" w:val="27"/>
          <w:attr w:name="Year" w:val="1999"/>
        </w:smartTagPr>
        <w:r w:rsidR="00A93D13">
          <w:t xml:space="preserve">27 </w:t>
        </w:r>
        <w:r w:rsidRPr="00DE7FCC">
          <w:t>August 1999</w:t>
        </w:r>
      </w:smartTag>
      <w:r w:rsidRPr="00DE7FCC">
        <w:t xml:space="preserve"> the municipality p</w:t>
      </w:r>
      <w:r w:rsidR="00C360A4">
        <w:t xml:space="preserve">laced </w:t>
      </w:r>
      <w:r w:rsidRPr="00DE7FCC">
        <w:t>the applicant on the general waiting list for new housing</w:t>
      </w:r>
      <w:r w:rsidR="00C360A4">
        <w:t xml:space="preserve">. She was </w:t>
      </w:r>
      <w:r w:rsidRPr="00DE7FCC">
        <w:t>n</w:t>
      </w:r>
      <w:r w:rsidR="00C819A7">
        <w:t>o.</w:t>
      </w:r>
      <w:r w:rsidR="00E67C85">
        <w:t xml:space="preserve"> </w:t>
      </w:r>
      <w:r w:rsidRPr="00DE7FCC">
        <w:t>6</w:t>
      </w:r>
      <w:r w:rsidR="00C819A7">
        <w:t>,</w:t>
      </w:r>
      <w:r w:rsidRPr="00DE7FCC">
        <w:t xml:space="preserve">820 </w:t>
      </w:r>
      <w:r w:rsidR="00C360A4">
        <w:t xml:space="preserve">on that list </w:t>
      </w:r>
      <w:r w:rsidRPr="00DE7FCC">
        <w:t>(see</w:t>
      </w:r>
      <w:r w:rsidR="00E96554">
        <w:t xml:space="preserve"> </w:t>
      </w:r>
      <w:r w:rsidR="00CB007B">
        <w:t>“</w:t>
      </w:r>
      <w:r w:rsidRPr="00DE7FCC">
        <w:t xml:space="preserve">Relevant </w:t>
      </w:r>
      <w:r w:rsidR="00A44D10">
        <w:t>d</w:t>
      </w:r>
      <w:r w:rsidRPr="00DE7FCC">
        <w:t xml:space="preserve">omestic </w:t>
      </w:r>
      <w:r w:rsidR="00A44D10">
        <w:t>l</w:t>
      </w:r>
      <w:r w:rsidRPr="00DE7FCC">
        <w:t xml:space="preserve">aw and </w:t>
      </w:r>
      <w:r w:rsidR="00A44D10">
        <w:t>p</w:t>
      </w:r>
      <w:r w:rsidRPr="00DE7FCC">
        <w:t>ractice</w:t>
      </w:r>
      <w:r w:rsidR="00AE241A">
        <w:t>”</w:t>
      </w:r>
      <w:r w:rsidRPr="00DE7FCC">
        <w:t xml:space="preserve"> below).</w:t>
      </w:r>
    </w:p>
    <w:p w:rsidRPr="00DE7FCC" w:rsidR="00532D57" w:rsidP="00252EB8" w:rsidRDefault="00532D57">
      <w:pPr>
        <w:pStyle w:val="JuParaCharCharCharCharCharChar"/>
      </w:pPr>
      <w:r w:rsidRPr="00DE7FCC">
        <w:fldChar w:fldCharType="begin"/>
      </w:r>
      <w:r w:rsidRPr="00DE7FCC">
        <w:instrText xml:space="preserve"> SEQ level0 \*arabic </w:instrText>
      </w:r>
      <w:r w:rsidRPr="00DE7FCC">
        <w:fldChar w:fldCharType="separate"/>
      </w:r>
      <w:r w:rsidR="008C3401">
        <w:rPr>
          <w:noProof/>
        </w:rPr>
        <w:t>28</w:t>
      </w:r>
      <w:r w:rsidRPr="00DE7FCC">
        <w:fldChar w:fldCharType="end"/>
      </w:r>
      <w:r w:rsidRPr="00DE7FCC">
        <w:t xml:space="preserve">.  On </w:t>
      </w:r>
      <w:smartTag w:uri="urn:schemas-microsoft-com:office:smarttags" w:element="date">
        <w:smartTagPr>
          <w:attr w:name="Month" w:val="8"/>
          <w:attr w:name="Day" w:val="31"/>
          <w:attr w:name="Year" w:val="1999"/>
        </w:smartTagPr>
        <w:r w:rsidRPr="00DE7FCC">
          <w:t>31 Aug</w:t>
        </w:r>
        <w:r w:rsidR="002F22AF">
          <w:t>ust 1999</w:t>
        </w:r>
      </w:smartTag>
      <w:r w:rsidR="002F22AF">
        <w:t xml:space="preserve"> the Cherepovets City</w:t>
      </w:r>
      <w:r w:rsidRPr="00DE7FCC">
        <w:t xml:space="preserve"> Court dismissed the applicant</w:t>
      </w:r>
      <w:r w:rsidR="009952BE">
        <w:t>'</w:t>
      </w:r>
      <w:r w:rsidRPr="00DE7FCC">
        <w:t xml:space="preserve">s action. </w:t>
      </w:r>
      <w:r w:rsidR="00C536FC">
        <w:t>It</w:t>
      </w:r>
      <w:r w:rsidRPr="00DE7FCC">
        <w:t xml:space="preserve"> noted that there was no </w:t>
      </w:r>
      <w:r w:rsidR="00C84BCA">
        <w:t>“</w:t>
      </w:r>
      <w:r w:rsidRPr="00DE7FCC">
        <w:t>priority waiting list</w:t>
      </w:r>
      <w:r w:rsidR="00C84BCA">
        <w:t>”</w:t>
      </w:r>
      <w:r w:rsidRPr="00DE7FCC">
        <w:t xml:space="preserve"> for </w:t>
      </w:r>
      <w:r w:rsidR="00707549">
        <w:t xml:space="preserve">the </w:t>
      </w:r>
      <w:r w:rsidRPr="00DE7FCC">
        <w:t>resettlement of residents of sanitary security zones, and no council housing had been allocated for th</w:t>
      </w:r>
      <w:r w:rsidR="00C360A4">
        <w:t>at</w:t>
      </w:r>
      <w:r w:rsidRPr="00DE7FCC">
        <w:t xml:space="preserve"> purpose. </w:t>
      </w:r>
      <w:r w:rsidR="00C536FC">
        <w:t>It</w:t>
      </w:r>
      <w:r w:rsidRPr="00DE7FCC">
        <w:t xml:space="preserve"> concluded that the applicant had been duly p</w:t>
      </w:r>
      <w:r w:rsidR="00C360A4">
        <w:t xml:space="preserve">laced </w:t>
      </w:r>
      <w:r w:rsidRPr="00DE7FCC">
        <w:t xml:space="preserve">on the general waiting list. The court held that the judgment of </w:t>
      </w:r>
      <w:smartTag w:uri="urn:schemas-microsoft-com:office:smarttags" w:element="date">
        <w:smartTagPr>
          <w:attr w:name="Month" w:val="4"/>
          <w:attr w:name="Day" w:val="17"/>
          <w:attr w:name="Year" w:val="1996"/>
        </w:smartTagPr>
        <w:r w:rsidRPr="00DE7FCC">
          <w:t>17 April 1996</w:t>
        </w:r>
      </w:smartTag>
      <w:r w:rsidRPr="00DE7FCC">
        <w:t xml:space="preserve"> </w:t>
      </w:r>
      <w:r w:rsidR="00C360A4">
        <w:t xml:space="preserve">had been </w:t>
      </w:r>
      <w:r w:rsidRPr="00DE7FCC">
        <w:t xml:space="preserve">executed and </w:t>
      </w:r>
      <w:r w:rsidR="00C360A4">
        <w:t xml:space="preserve">that </w:t>
      </w:r>
      <w:r w:rsidRPr="00DE7FCC">
        <w:t>there was no need to take any further measures. Th</w:t>
      </w:r>
      <w:r w:rsidR="00C360A4">
        <w:t xml:space="preserve">at </w:t>
      </w:r>
      <w:r w:rsidRPr="00DE7FCC">
        <w:t xml:space="preserve">judgment was upheld by the </w:t>
      </w:r>
      <w:smartTag w:uri="urn:schemas-microsoft-com:office:smarttags" w:element="Street">
        <w:smartTag w:uri="urn:schemas-microsoft-com:office:smarttags" w:element="address">
          <w:r w:rsidRPr="00DE7FCC">
            <w:t>Vologda Regional Court</w:t>
          </w:r>
        </w:smartTag>
      </w:smartTag>
      <w:r w:rsidR="00A93D13">
        <w:t xml:space="preserve"> on </w:t>
      </w:r>
      <w:smartTag w:uri="urn:schemas-microsoft-com:office:smarttags" w:element="date">
        <w:smartTagPr>
          <w:attr w:name="Month" w:val="11"/>
          <w:attr w:name="Day" w:val="17"/>
          <w:attr w:name="Year" w:val="1999"/>
        </w:smartTagPr>
        <w:r w:rsidR="00A93D13">
          <w:t xml:space="preserve">17 </w:t>
        </w:r>
        <w:r w:rsidRPr="00DE7FCC">
          <w:t>November 1999</w:t>
        </w:r>
      </w:smartTag>
      <w:r w:rsidRPr="00DE7FCC">
        <w:t>.</w:t>
      </w:r>
    </w:p>
    <w:p w:rsidR="001B1C78" w:rsidP="00252EB8" w:rsidRDefault="00532D57">
      <w:pPr>
        <w:pStyle w:val="JuHA"/>
        <w:outlineLvl w:val="0"/>
      </w:pPr>
      <w:r>
        <w:t>C.</w:t>
      </w:r>
      <w:r w:rsidR="00BD04AB">
        <w:t>  </w:t>
      </w:r>
      <w:r w:rsidR="00AE3699">
        <w:t xml:space="preserve">Pollution levels </w:t>
      </w:r>
      <w:r w:rsidR="00782937">
        <w:t>at</w:t>
      </w:r>
      <w:r w:rsidR="00AE3699">
        <w:t xml:space="preserve"> the applicant</w:t>
      </w:r>
      <w:r w:rsidR="009952BE">
        <w:t>'</w:t>
      </w:r>
      <w:r w:rsidR="00AE3699">
        <w:t>s place of residence</w:t>
      </w:r>
    </w:p>
    <w:p w:rsidR="00772DF2" w:rsidP="00252EB8" w:rsidRDefault="00A97DD5">
      <w:pPr>
        <w:pStyle w:val="JuParaChar"/>
      </w:pPr>
      <w:r>
        <w:fldChar w:fldCharType="begin"/>
      </w:r>
      <w:r>
        <w:instrText xml:space="preserve"> SEQ level0 \*arabic </w:instrText>
      </w:r>
      <w:r>
        <w:fldChar w:fldCharType="separate"/>
      </w:r>
      <w:r w:rsidR="008C3401">
        <w:rPr>
          <w:noProof/>
        </w:rPr>
        <w:t>29</w:t>
      </w:r>
      <w:r>
        <w:fldChar w:fldCharType="end"/>
      </w:r>
      <w:r>
        <w:t xml:space="preserve">.  The </w:t>
      </w:r>
      <w:r w:rsidRPr="00DE7FCC">
        <w:t xml:space="preserve">State authorities conduct regular inspections of </w:t>
      </w:r>
      <w:r w:rsidR="00C360A4">
        <w:t xml:space="preserve">air </w:t>
      </w:r>
      <w:r w:rsidRPr="00DE7FCC">
        <w:t xml:space="preserve">quality in the city. </w:t>
      </w:r>
      <w:r w:rsidR="00C360A4">
        <w:t>P</w:t>
      </w:r>
      <w:r w:rsidRPr="00DE7FCC">
        <w:t xml:space="preserve">ollution </w:t>
      </w:r>
      <w:r>
        <w:t>i</w:t>
      </w:r>
      <w:r w:rsidRPr="00DE7FCC">
        <w:t>s monitored by four stationary posts of the State Agency for Hydrometeorology</w:t>
      </w:r>
      <w:r>
        <w:t>, including</w:t>
      </w:r>
      <w:r w:rsidRPr="00DE7FCC">
        <w:t xml:space="preserve"> </w:t>
      </w:r>
      <w:r>
        <w:t>o</w:t>
      </w:r>
      <w:r w:rsidRPr="00DE7FCC">
        <w:t xml:space="preserve">ne </w:t>
      </w:r>
      <w:r w:rsidRPr="00DE7FCC" w:rsidR="00C360A4">
        <w:t>(post no. 1)</w:t>
      </w:r>
      <w:r w:rsidR="00C360A4">
        <w:t xml:space="preserve"> </w:t>
      </w:r>
      <w:r w:rsidRPr="00DE7FCC">
        <w:t xml:space="preserve">situated at </w:t>
      </w:r>
      <w:smartTag w:uri="urn:schemas-microsoft-com:office:smarttags" w:element="Street">
        <w:smartTag w:uri="urn:schemas-microsoft-com:office:smarttags" w:element="address">
          <w:r w:rsidRPr="00DE7FCC">
            <w:t>4</w:t>
          </w:r>
          <w:r w:rsidR="00BD04AB">
            <w:t xml:space="preserve"> </w:t>
          </w:r>
          <w:r w:rsidRPr="00DE7FCC">
            <w:t>Zhukov Street</w:t>
          </w:r>
        </w:smartTag>
      </w:smartTag>
      <w:r w:rsidRPr="00DE7FCC">
        <w:t>, 300 met</w:t>
      </w:r>
      <w:r w:rsidR="00C360A4">
        <w:t xml:space="preserve">res </w:t>
      </w:r>
      <w:r w:rsidRPr="00DE7FCC">
        <w:t>from the applicant</w:t>
      </w:r>
      <w:r w:rsidR="009952BE">
        <w:t>'</w:t>
      </w:r>
      <w:r w:rsidRPr="00DE7FCC">
        <w:t>s ho</w:t>
      </w:r>
      <w:r w:rsidR="00C536FC">
        <w:t>me</w:t>
      </w:r>
      <w:r w:rsidRPr="00DE7FCC">
        <w:t xml:space="preserve">. </w:t>
      </w:r>
      <w:r w:rsidR="00966666">
        <w:t>The e</w:t>
      </w:r>
      <w:r w:rsidR="00306330">
        <w:t xml:space="preserve">mission </w:t>
      </w:r>
      <w:r w:rsidR="00966666">
        <w:t xml:space="preserve">levels </w:t>
      </w:r>
      <w:r w:rsidR="00306330">
        <w:t xml:space="preserve">of thirteen hazardous substances are monitored by the authorities (nitrogen dioxide, ammonia, carbon oxide, dust, hydrogen sulphide, carbon </w:t>
      </w:r>
      <w:r w:rsidR="00C52193">
        <w:t>d</w:t>
      </w:r>
      <w:r w:rsidR="002F22AF">
        <w:t>isulphide, phenol, formaldehyde,</w:t>
      </w:r>
      <w:r w:rsidR="00306330">
        <w:t xml:space="preserve"> sulphur dioxide, nitri</w:t>
      </w:r>
      <w:r w:rsidR="002F22AF">
        <w:t>c oxide, manganese, benzopyrene and</w:t>
      </w:r>
      <w:r w:rsidR="00306330">
        <w:t xml:space="preserve"> lead). Four stationary posts of the State Agency for Hydrometeorology monitor emission</w:t>
      </w:r>
      <w:r w:rsidR="00966666">
        <w:t>s</w:t>
      </w:r>
      <w:r w:rsidR="00306330">
        <w:t xml:space="preserve"> of only </w:t>
      </w:r>
      <w:r w:rsidR="00966666">
        <w:t xml:space="preserve">the </w:t>
      </w:r>
      <w:r w:rsidR="00306330">
        <w:t>first eight of the above substances; additionally, post no. 1 monitors emission</w:t>
      </w:r>
      <w:r w:rsidR="00966666">
        <w:t>s</w:t>
      </w:r>
      <w:r w:rsidR="00306330">
        <w:t xml:space="preserve"> of sulphur dioxide, </w:t>
      </w:r>
      <w:r w:rsidR="002F22AF">
        <w:t>nitric oxide, lead, benzopyrene and manganese, and</w:t>
      </w:r>
      <w:r w:rsidR="00306330">
        <w:t xml:space="preserve"> post no. 2 monitors emission</w:t>
      </w:r>
      <w:r w:rsidR="002F22AF">
        <w:t>s</w:t>
      </w:r>
      <w:r w:rsidR="00306330">
        <w:t xml:space="preserve"> of benzopyrene, manganese and sulphur dioxide. </w:t>
      </w:r>
      <w:r w:rsidRPr="00DE7FCC">
        <w:t>In addition, the State Age</w:t>
      </w:r>
      <w:r>
        <w:t xml:space="preserve">ncy </w:t>
      </w:r>
      <w:r w:rsidR="00C360A4">
        <w:t xml:space="preserve">for </w:t>
      </w:r>
      <w:r>
        <w:t>Sanitary Control conducts</w:t>
      </w:r>
      <w:r w:rsidRPr="00DE7FCC">
        <w:t xml:space="preserve"> regular </w:t>
      </w:r>
      <w:r w:rsidR="00C360A4">
        <w:t xml:space="preserve">air </w:t>
      </w:r>
      <w:r w:rsidRPr="00DE7FCC">
        <w:t>tests at distance</w:t>
      </w:r>
      <w:r w:rsidR="00C360A4">
        <w:t>s</w:t>
      </w:r>
      <w:r w:rsidRPr="00DE7FCC">
        <w:t xml:space="preserve"> of one, two, five, seven, and nineteen kilometres from the </w:t>
      </w:r>
      <w:r w:rsidR="002F22AF">
        <w:t>steel plant</w:t>
      </w:r>
      <w:r w:rsidRPr="00DE7FCC">
        <w:t>.</w:t>
      </w:r>
      <w:r>
        <w:t xml:space="preserve"> Finally, Severstal</w:t>
      </w:r>
      <w:r w:rsidR="00BD04AB">
        <w:t xml:space="preserve"> </w:t>
      </w:r>
      <w:r w:rsidR="00AE241A">
        <w:t xml:space="preserve">PLC </w:t>
      </w:r>
      <w:r>
        <w:t>has its own monitoring system</w:t>
      </w:r>
      <w:r w:rsidR="00966666">
        <w:t>,</w:t>
      </w:r>
      <w:r>
        <w:t xml:space="preserve"> which evaluates emissions from every separate industrial facility </w:t>
      </w:r>
      <w:r w:rsidR="00C360A4">
        <w:t xml:space="preserve">at </w:t>
      </w:r>
      <w:r>
        <w:t>the plant.</w:t>
      </w:r>
    </w:p>
    <w:p w:rsidRPr="00A97DD5" w:rsidR="00A97DD5" w:rsidP="00252EB8" w:rsidRDefault="00A97DD5">
      <w:pPr>
        <w:pStyle w:val="JuParaChar"/>
      </w:pPr>
      <w:r>
        <w:fldChar w:fldCharType="begin"/>
      </w:r>
      <w:r>
        <w:instrText xml:space="preserve"> SEQ level0 \*arabic </w:instrText>
      </w:r>
      <w:r>
        <w:fldChar w:fldCharType="separate"/>
      </w:r>
      <w:r w:rsidR="008C3401">
        <w:rPr>
          <w:noProof/>
        </w:rPr>
        <w:t>30</w:t>
      </w:r>
      <w:r>
        <w:fldChar w:fldCharType="end"/>
      </w:r>
      <w:r>
        <w:t xml:space="preserve">.  It appears that the </w:t>
      </w:r>
      <w:r w:rsidR="00C536FC">
        <w:t>basic</w:t>
      </w:r>
      <w:r>
        <w:t xml:space="preserve"> data on air pollution, </w:t>
      </w:r>
      <w:r w:rsidR="00707549">
        <w:t xml:space="preserve">whether </w:t>
      </w:r>
      <w:r w:rsidR="00C360A4">
        <w:t xml:space="preserve">collected by </w:t>
      </w:r>
      <w:r>
        <w:t xml:space="preserve">the </w:t>
      </w:r>
      <w:r w:rsidR="00A12612">
        <w:t xml:space="preserve">State </w:t>
      </w:r>
      <w:r>
        <w:t xml:space="preserve">monitoring posts </w:t>
      </w:r>
      <w:r w:rsidR="00A12612">
        <w:t xml:space="preserve">or </w:t>
      </w:r>
      <w:r>
        <w:t xml:space="preserve">Severstal, </w:t>
      </w:r>
      <w:r w:rsidR="00146818">
        <w:t>are</w:t>
      </w:r>
      <w:r>
        <w:t xml:space="preserve"> not publicly available. </w:t>
      </w:r>
      <w:r w:rsidR="00146818">
        <w:t xml:space="preserve">Both parties </w:t>
      </w:r>
      <w:r w:rsidR="00A12612">
        <w:t xml:space="preserve">produced </w:t>
      </w:r>
      <w:r w:rsidR="00782937">
        <w:t xml:space="preserve">a number of official </w:t>
      </w:r>
      <w:r w:rsidR="00146818">
        <w:t xml:space="preserve">documents containing </w:t>
      </w:r>
      <w:r>
        <w:t xml:space="preserve">generalised information </w:t>
      </w:r>
      <w:r w:rsidR="00A12612">
        <w:t xml:space="preserve">on industrial </w:t>
      </w:r>
      <w:r>
        <w:t>pollution in the town</w:t>
      </w:r>
      <w:r w:rsidR="00A12612">
        <w:t xml:space="preserve">. </w:t>
      </w:r>
      <w:r w:rsidR="002F22AF">
        <w:t>The relevant parts of t</w:t>
      </w:r>
      <w:r w:rsidR="00A12612">
        <w:t>he</w:t>
      </w:r>
      <w:r w:rsidR="00146818">
        <w:t>se</w:t>
      </w:r>
      <w:r w:rsidR="00A12612">
        <w:t xml:space="preserve"> document</w:t>
      </w:r>
      <w:r w:rsidR="00146818">
        <w:t>s</w:t>
      </w:r>
      <w:r w:rsidR="002F22AF">
        <w:t xml:space="preserve"> </w:t>
      </w:r>
      <w:r w:rsidR="00A12612">
        <w:t xml:space="preserve">are </w:t>
      </w:r>
      <w:r>
        <w:t>summari</w:t>
      </w:r>
      <w:r w:rsidR="00C953AA">
        <w:t>s</w:t>
      </w:r>
      <w:r w:rsidR="00A12612">
        <w:t>ed in the following paragraphs</w:t>
      </w:r>
      <w:r w:rsidR="00824E91">
        <w:t xml:space="preserve"> and in th</w:t>
      </w:r>
      <w:r w:rsidR="002F22AF">
        <w:t>e a</w:t>
      </w:r>
      <w:r w:rsidR="00966666">
        <w:t xml:space="preserve">ppendix </w:t>
      </w:r>
      <w:r w:rsidR="00824E91">
        <w:t xml:space="preserve">to </w:t>
      </w:r>
      <w:r w:rsidR="002F22AF">
        <w:t>this</w:t>
      </w:r>
      <w:r w:rsidR="00824E91">
        <w:t xml:space="preserve"> judgment</w:t>
      </w:r>
      <w:r w:rsidR="00A12612">
        <w:t>.</w:t>
      </w:r>
    </w:p>
    <w:p w:rsidR="00772DF2" w:rsidP="00252EB8" w:rsidRDefault="002B319B">
      <w:pPr>
        <w:pStyle w:val="JuH1"/>
      </w:pPr>
      <w:r>
        <w:t>1.</w:t>
      </w:r>
      <w:r w:rsidR="00BD04AB">
        <w:t>  </w:t>
      </w:r>
      <w:r>
        <w:t xml:space="preserve">Information </w:t>
      </w:r>
      <w:r w:rsidR="00824E91">
        <w:t xml:space="preserve">referred to </w:t>
      </w:r>
      <w:r>
        <w:t>by the applicant</w:t>
      </w:r>
    </w:p>
    <w:p w:rsidR="001B1C78" w:rsidP="00252EB8" w:rsidRDefault="00CD5C92">
      <w:pPr>
        <w:pStyle w:val="JuParaCharCharCharCharCharChar"/>
      </w:pPr>
      <w:r w:rsidRPr="00DE7FCC">
        <w:fldChar w:fldCharType="begin"/>
      </w:r>
      <w:r w:rsidRPr="00DE7FCC">
        <w:instrText xml:space="preserve"> SEQ level0 \*arabic </w:instrText>
      </w:r>
      <w:r w:rsidRPr="00DE7FCC">
        <w:fldChar w:fldCharType="separate"/>
      </w:r>
      <w:r w:rsidR="008C3401">
        <w:rPr>
          <w:noProof/>
        </w:rPr>
        <w:t>31</w:t>
      </w:r>
      <w:r w:rsidRPr="00DE7FCC">
        <w:fldChar w:fldCharType="end"/>
      </w:r>
      <w:r w:rsidRPr="00DE7FCC">
        <w:t>. </w:t>
      </w:r>
      <w:r w:rsidR="00A93D13">
        <w:t> </w:t>
      </w:r>
      <w:r w:rsidRPr="00DE7FCC" w:rsidR="00BC5A55">
        <w:t xml:space="preserve">The applicant claimed that </w:t>
      </w:r>
      <w:r w:rsidR="00C360A4">
        <w:t xml:space="preserve">the </w:t>
      </w:r>
      <w:r w:rsidRPr="00DE7FCC" w:rsidR="00BC5A55">
        <w:t xml:space="preserve">concentration of certain toxic substances in the air near her home constantly exceeded </w:t>
      </w:r>
      <w:r w:rsidR="00BC5A55">
        <w:t xml:space="preserve">and continues to exceed </w:t>
      </w:r>
      <w:r w:rsidR="00EC42B0">
        <w:t xml:space="preserve">the </w:t>
      </w:r>
      <w:r w:rsidRPr="00DE7FCC" w:rsidR="00BC5A55">
        <w:t xml:space="preserve">safe levels established by Russian legislation. Thus, in </w:t>
      </w:r>
      <w:r w:rsidR="00DB202C">
        <w:t xml:space="preserve">the period </w:t>
      </w:r>
      <w:r w:rsidR="00C536FC">
        <w:t xml:space="preserve">from </w:t>
      </w:r>
      <w:r w:rsidRPr="00DE7FCC" w:rsidR="00BC5A55">
        <w:t>1990</w:t>
      </w:r>
      <w:r w:rsidR="00C536FC">
        <w:t xml:space="preserve"> to </w:t>
      </w:r>
      <w:r w:rsidR="00E67C85">
        <w:t>1</w:t>
      </w:r>
      <w:r w:rsidRPr="00DE7FCC" w:rsidR="00BC5A55">
        <w:t xml:space="preserve">999 </w:t>
      </w:r>
      <w:r w:rsidR="00EC42B0">
        <w:t xml:space="preserve">the </w:t>
      </w:r>
      <w:r w:rsidRPr="00DE7FCC" w:rsidR="00BC5A55">
        <w:t xml:space="preserve">average annual concentration of dust in the air in the </w:t>
      </w:r>
      <w:r w:rsidR="00EC42B0">
        <w:t>Severstal plant</w:t>
      </w:r>
      <w:r w:rsidR="009952BE">
        <w:t>'</w:t>
      </w:r>
      <w:r w:rsidR="00EC42B0">
        <w:t xml:space="preserve">s </w:t>
      </w:r>
      <w:r w:rsidR="00AE3699">
        <w:t xml:space="preserve">sanitary security </w:t>
      </w:r>
      <w:r w:rsidRPr="00DE7FCC" w:rsidR="00BC5A55">
        <w:t xml:space="preserve">zone </w:t>
      </w:r>
      <w:r w:rsidR="00E67C85">
        <w:t xml:space="preserve">was </w:t>
      </w:r>
      <w:r w:rsidRPr="00DE7FCC" w:rsidR="00E67C85">
        <w:t>1.6 to 1.9 times</w:t>
      </w:r>
      <w:r w:rsidDel="00EC42B0" w:rsidR="00E67C85">
        <w:t xml:space="preserve"> </w:t>
      </w:r>
      <w:r w:rsidR="00E67C85">
        <w:t>higher than the MPL</w:t>
      </w:r>
      <w:r w:rsidRPr="00DE7FCC" w:rsidR="00BC5A55">
        <w:t xml:space="preserve">, the concentration of carbon </w:t>
      </w:r>
      <w:r w:rsidR="00C52193">
        <w:t>d</w:t>
      </w:r>
      <w:r w:rsidRPr="00DE7FCC" w:rsidR="00BC5A55">
        <w:t xml:space="preserve">isulphide </w:t>
      </w:r>
      <w:r w:rsidR="00E67C85">
        <w:t xml:space="preserve">was </w:t>
      </w:r>
      <w:r w:rsidRPr="00DE7FCC" w:rsidR="00BC5A55">
        <w:t>1.4 to 4 times</w:t>
      </w:r>
      <w:r w:rsidR="00EC42B0">
        <w:t xml:space="preserve"> </w:t>
      </w:r>
      <w:r w:rsidR="00E67C85">
        <w:t xml:space="preserve">higher </w:t>
      </w:r>
      <w:r w:rsidR="00EC42B0">
        <w:t xml:space="preserve">and </w:t>
      </w:r>
      <w:r w:rsidRPr="00DE7FCC" w:rsidR="00BC5A55">
        <w:t>the concentration of formaldehyde</w:t>
      </w:r>
      <w:r w:rsidR="00EC42B0">
        <w:t xml:space="preserve"> </w:t>
      </w:r>
      <w:r w:rsidR="00E67C85">
        <w:t xml:space="preserve">was </w:t>
      </w:r>
      <w:r w:rsidRPr="00DE7FCC" w:rsidR="00BC5A55">
        <w:t>2 to 4.7 times</w:t>
      </w:r>
      <w:r w:rsidRPr="002B319B" w:rsidR="002B319B">
        <w:t xml:space="preserve"> </w:t>
      </w:r>
      <w:r w:rsidR="00E67C85">
        <w:t xml:space="preserve">higher </w:t>
      </w:r>
      <w:r w:rsidR="002B319B">
        <w:t xml:space="preserve">(data reported by the </w:t>
      </w:r>
      <w:r w:rsidR="002F22AF">
        <w:t xml:space="preserve">Cherepovets </w:t>
      </w:r>
      <w:r w:rsidR="00C819A7">
        <w:t>C</w:t>
      </w:r>
      <w:r w:rsidRPr="00DE7FCC" w:rsidR="002B319B">
        <w:t xml:space="preserve">entre </w:t>
      </w:r>
      <w:r w:rsidR="00EC42B0">
        <w:t xml:space="preserve">for </w:t>
      </w:r>
      <w:r w:rsidR="00C819A7">
        <w:t>S</w:t>
      </w:r>
      <w:r w:rsidR="002F22AF">
        <w:t xml:space="preserve">anitary </w:t>
      </w:r>
      <w:r w:rsidR="00C819A7">
        <w:t>C</w:t>
      </w:r>
      <w:r w:rsidRPr="00DE7FCC" w:rsidR="002B319B">
        <w:t>ontrol</w:t>
      </w:r>
      <w:r w:rsidR="002B319B">
        <w:t>)</w:t>
      </w:r>
      <w:r w:rsidRPr="00DE7FCC" w:rsidR="00BC5A55">
        <w:t xml:space="preserve">. </w:t>
      </w:r>
      <w:r w:rsidR="002B319B">
        <w:t>T</w:t>
      </w:r>
      <w:r w:rsidRPr="00DE7FCC" w:rsidR="00BC5A55">
        <w:t xml:space="preserve">he </w:t>
      </w:r>
      <w:r w:rsidRPr="00DE7FCC" w:rsidR="00EC42B0">
        <w:t xml:space="preserve">Cherepovets </w:t>
      </w:r>
      <w:r w:rsidRPr="00DE7FCC" w:rsidR="00BC5A55">
        <w:t xml:space="preserve">State Agency for Hydrometeorology reported that the level of atmospheric pollution </w:t>
      </w:r>
      <w:r w:rsidRPr="00DE7FCC" w:rsidR="00EC42B0">
        <w:t xml:space="preserve">within the zone </w:t>
      </w:r>
      <w:r w:rsidRPr="00DE7FCC" w:rsidR="00BC5A55">
        <w:t xml:space="preserve">during </w:t>
      </w:r>
      <w:r w:rsidR="00EC42B0">
        <w:t xml:space="preserve">the period </w:t>
      </w:r>
      <w:r w:rsidR="00C819A7">
        <w:t xml:space="preserve">from </w:t>
      </w:r>
      <w:r w:rsidRPr="00DE7FCC" w:rsidR="00BC5A55">
        <w:t>1997</w:t>
      </w:r>
      <w:r w:rsidR="00C819A7">
        <w:t xml:space="preserve"> to </w:t>
      </w:r>
      <w:r w:rsidRPr="00DE7FCC" w:rsidR="00BC5A55">
        <w:t>2001 was rated as “high” or “very high”. The State Agency for Hydrometeorology confirmed that an excessive concentration of other hazardous substances, such as hydrogen sulphide and ammonia, was also registered</w:t>
      </w:r>
      <w:r w:rsidR="002B319B">
        <w:t xml:space="preserve"> during this period</w:t>
      </w:r>
      <w:r w:rsidRPr="00DE7FCC" w:rsidR="00BC5A55">
        <w:t>.</w:t>
      </w:r>
    </w:p>
    <w:p w:rsidR="00772DF2" w:rsidP="00252EB8" w:rsidRDefault="001B1C78">
      <w:pPr>
        <w:pStyle w:val="JuParaCharCharCharCharCharChar"/>
      </w:pPr>
      <w:r>
        <w:fldChar w:fldCharType="begin"/>
      </w:r>
      <w:r>
        <w:instrText xml:space="preserve"> SEQ level0 \*arabic </w:instrText>
      </w:r>
      <w:r>
        <w:fldChar w:fldCharType="separate"/>
      </w:r>
      <w:r w:rsidR="008C3401">
        <w:rPr>
          <w:noProof/>
        </w:rPr>
        <w:t>32</w:t>
      </w:r>
      <w:r>
        <w:fldChar w:fldCharType="end"/>
      </w:r>
      <w:r>
        <w:t>.  </w:t>
      </w:r>
      <w:r w:rsidR="002B319B">
        <w:t xml:space="preserve">As regards the year 2002, the applicant </w:t>
      </w:r>
      <w:r w:rsidR="00EC42B0">
        <w:t xml:space="preserve">submitted a </w:t>
      </w:r>
      <w:r w:rsidR="002F22AF">
        <w:t xml:space="preserve">report prepared by the </w:t>
      </w:r>
      <w:r w:rsidR="00C536FC">
        <w:t>N</w:t>
      </w:r>
      <w:r w:rsidR="002F22AF">
        <w:t xml:space="preserve">orthern </w:t>
      </w:r>
      <w:r w:rsidR="00C536FC">
        <w:t>R</w:t>
      </w:r>
      <w:r w:rsidR="002F22AF">
        <w:t xml:space="preserve">egional </w:t>
      </w:r>
      <w:r w:rsidR="00C536FC">
        <w:t>O</w:t>
      </w:r>
      <w:r w:rsidR="002B319B">
        <w:t xml:space="preserve">ffice of the </w:t>
      </w:r>
      <w:r w:rsidRPr="00DE7FCC" w:rsidR="002B319B">
        <w:t>State Agency for Hydrometeorology</w:t>
      </w:r>
      <w:r w:rsidR="002B319B">
        <w:t xml:space="preserve"> </w:t>
      </w:r>
      <w:r w:rsidRPr="00DE7FCC" w:rsidR="002B319B">
        <w:t>and Environmental Monitoring</w:t>
      </w:r>
      <w:r w:rsidR="002B319B">
        <w:t>. This report stated</w:t>
      </w:r>
      <w:r w:rsidR="00620DE0">
        <w:t xml:space="preserve">, </w:t>
      </w:r>
      <w:r w:rsidRPr="00A97DD5" w:rsidR="00620DE0">
        <w:rPr>
          <w:i/>
        </w:rPr>
        <w:t>inter alia</w:t>
      </w:r>
      <w:r w:rsidR="00620DE0">
        <w:t>, that in 2002 the annual average concentration of dust near the applicant</w:t>
      </w:r>
      <w:r w:rsidR="009952BE">
        <w:t>'</w:t>
      </w:r>
      <w:r w:rsidR="00620DE0">
        <w:t>s ho</w:t>
      </w:r>
      <w:r w:rsidR="00C536FC">
        <w:t>me</w:t>
      </w:r>
      <w:r w:rsidR="00620DE0">
        <w:t xml:space="preserve"> </w:t>
      </w:r>
      <w:r w:rsidR="00E67C85">
        <w:t xml:space="preserve">was 1.9 times higher than the </w:t>
      </w:r>
      <w:r w:rsidR="00620DE0">
        <w:t xml:space="preserve">MPL, </w:t>
      </w:r>
      <w:r w:rsidR="00EC42B0">
        <w:t xml:space="preserve">and that </w:t>
      </w:r>
      <w:r w:rsidR="00620DE0">
        <w:t xml:space="preserve">the </w:t>
      </w:r>
      <w:r w:rsidR="00707549">
        <w:t xml:space="preserve">short-term </w:t>
      </w:r>
      <w:r w:rsidR="00620DE0">
        <w:t xml:space="preserve">peak concentration of dust </w:t>
      </w:r>
      <w:r w:rsidR="00E67C85">
        <w:t xml:space="preserve">was twice as high as </w:t>
      </w:r>
      <w:r w:rsidR="00620DE0">
        <w:t xml:space="preserve">the MPL. In July </w:t>
      </w:r>
      <w:r w:rsidR="00EC42B0">
        <w:t xml:space="preserve">an </w:t>
      </w:r>
      <w:r w:rsidR="00620DE0">
        <w:t>over-concentration of carbon oxide was registered near the applicant</w:t>
      </w:r>
      <w:r w:rsidR="009952BE">
        <w:t>'</w:t>
      </w:r>
      <w:r w:rsidR="00620DE0">
        <w:t>s ho</w:t>
      </w:r>
      <w:r w:rsidR="00C536FC">
        <w:t>me</w:t>
      </w:r>
      <w:r w:rsidR="00620DE0">
        <w:t xml:space="preserve">: the </w:t>
      </w:r>
      <w:r w:rsidR="00707549">
        <w:t xml:space="preserve">short-term </w:t>
      </w:r>
      <w:r w:rsidR="00620DE0">
        <w:t xml:space="preserve">peak concentration of this element </w:t>
      </w:r>
      <w:r w:rsidR="00E67C85">
        <w:t xml:space="preserve">was </w:t>
      </w:r>
      <w:r w:rsidR="0023135B">
        <w:t>7</w:t>
      </w:r>
      <w:r w:rsidR="00E67C85">
        <w:t xml:space="preserve"> times higher than the </w:t>
      </w:r>
      <w:r w:rsidR="00620DE0">
        <w:t xml:space="preserve">MPL. </w:t>
      </w:r>
      <w:r w:rsidR="00A97DD5">
        <w:t xml:space="preserve">The agency also reported that the average annual concentration of formaldehyde in the town </w:t>
      </w:r>
      <w:r w:rsidR="00E67C85">
        <w:t xml:space="preserve">was </w:t>
      </w:r>
      <w:r w:rsidR="0023135B">
        <w:t>3</w:t>
      </w:r>
      <w:r w:rsidR="00E67C85">
        <w:t xml:space="preserve"> times higher than </w:t>
      </w:r>
      <w:r w:rsidR="00EC42B0">
        <w:t xml:space="preserve">the </w:t>
      </w:r>
      <w:r w:rsidR="00A97DD5">
        <w:t xml:space="preserve">MPL. The average </w:t>
      </w:r>
      <w:r w:rsidR="00C52193">
        <w:t>annual concentration of carbon d</w:t>
      </w:r>
      <w:r w:rsidR="00A97DD5">
        <w:t>isulphide near the applicant</w:t>
      </w:r>
      <w:r w:rsidR="009952BE">
        <w:t>'</w:t>
      </w:r>
      <w:r w:rsidR="00A97DD5">
        <w:t>s ho</w:t>
      </w:r>
      <w:r w:rsidR="00C536FC">
        <w:t>me</w:t>
      </w:r>
      <w:r w:rsidR="00A97DD5">
        <w:t xml:space="preserve"> </w:t>
      </w:r>
      <w:r w:rsidR="00E67C85">
        <w:t xml:space="preserve">was 2.9 times higher than the </w:t>
      </w:r>
      <w:r w:rsidR="00A97DD5">
        <w:t xml:space="preserve">MPL. The </w:t>
      </w:r>
      <w:r w:rsidR="00E67C85">
        <w:t xml:space="preserve">short-term </w:t>
      </w:r>
      <w:r w:rsidR="00A97DD5">
        <w:t xml:space="preserve">peak concentration of phenols was 4 times higher than the MPL, </w:t>
      </w:r>
      <w:r w:rsidR="00EC42B0">
        <w:t xml:space="preserve">and that </w:t>
      </w:r>
      <w:r w:rsidR="00A97DD5">
        <w:t xml:space="preserve">of hydrogen sulphide </w:t>
      </w:r>
      <w:r w:rsidR="00EC42B0">
        <w:t xml:space="preserve">was </w:t>
      </w:r>
      <w:r w:rsidR="00A97DD5">
        <w:t>4</w:t>
      </w:r>
      <w:r w:rsidR="00146818">
        <w:t>.</w:t>
      </w:r>
      <w:r w:rsidR="00A97DD5">
        <w:t>5 times higher.</w:t>
      </w:r>
    </w:p>
    <w:p w:rsidR="00BC5A55" w:rsidP="00252EB8" w:rsidRDefault="002B319B">
      <w:pPr>
        <w:pStyle w:val="JuParaCharCharCharCharCharChar"/>
      </w:pPr>
      <w:r>
        <w:fldChar w:fldCharType="begin"/>
      </w:r>
      <w:r>
        <w:instrText xml:space="preserve"> SEQ level0 \*arabic </w:instrText>
      </w:r>
      <w:r>
        <w:fldChar w:fldCharType="separate"/>
      </w:r>
      <w:r w:rsidR="008C3401">
        <w:rPr>
          <w:noProof/>
        </w:rPr>
        <w:t>33</w:t>
      </w:r>
      <w:r>
        <w:fldChar w:fldCharType="end"/>
      </w:r>
      <w:r>
        <w:t>.  </w:t>
      </w:r>
      <w:r w:rsidR="001B1C78">
        <w:t xml:space="preserve">The applicant </w:t>
      </w:r>
      <w:r w:rsidR="00EC42B0">
        <w:t xml:space="preserve">also submitted </w:t>
      </w:r>
      <w:r w:rsidRPr="00DE7FCC" w:rsidR="001B1C78">
        <w:t>information p</w:t>
      </w:r>
      <w:r w:rsidR="002F22AF">
        <w:t xml:space="preserve">ublished on the website of the </w:t>
      </w:r>
      <w:r w:rsidR="00C536FC">
        <w:t>N</w:t>
      </w:r>
      <w:r w:rsidR="002F22AF">
        <w:t xml:space="preserve">orthern </w:t>
      </w:r>
      <w:r w:rsidR="00C536FC">
        <w:t>D</w:t>
      </w:r>
      <w:r w:rsidRPr="00DE7FCC" w:rsidR="001B1C78">
        <w:t xml:space="preserve">epartment of the State Agency for Hydrometeorology. This source reported that in April 2004 the concentration of formaldehyde in </w:t>
      </w:r>
      <w:smartTag w:uri="urn:schemas-microsoft-com:office:smarttags" w:element="City">
        <w:smartTag w:uri="urn:schemas-microsoft-com:office:smarttags" w:element="place">
          <w:r w:rsidR="001B1C78" w:rsidRPr="00DE7FCC">
            <w:t>Cherepovets</w:t>
          </w:r>
        </w:smartTag>
      </w:smartTag>
      <w:r w:rsidRPr="00DE7FCC" w:rsidR="001B1C78">
        <w:t xml:space="preserve"> </w:t>
      </w:r>
      <w:r w:rsidR="00DB202C">
        <w:t xml:space="preserve">exceeded </w:t>
      </w:r>
      <w:r w:rsidR="00EC42B0">
        <w:t xml:space="preserve">the </w:t>
      </w:r>
      <w:r w:rsidRPr="00DE7FCC" w:rsidR="001B1C78">
        <w:t>norms. In March</w:t>
      </w:r>
      <w:r w:rsidR="00A93D13">
        <w:t xml:space="preserve"> </w:t>
      </w:r>
      <w:r w:rsidRPr="00DE7FCC" w:rsidR="001B1C78">
        <w:t xml:space="preserve">2004 the monthly average concentration of formaldehyde </w:t>
      </w:r>
      <w:r w:rsidR="001B1C78">
        <w:t xml:space="preserve">was </w:t>
      </w:r>
      <w:r w:rsidR="00782937">
        <w:t xml:space="preserve">5 </w:t>
      </w:r>
      <w:r w:rsidR="001B1C78">
        <w:t xml:space="preserve">times </w:t>
      </w:r>
      <w:r w:rsidR="00EC42B0">
        <w:t xml:space="preserve">higher </w:t>
      </w:r>
      <w:r w:rsidR="001B1C78">
        <w:t xml:space="preserve">than </w:t>
      </w:r>
      <w:r w:rsidRPr="00DE7FCC" w:rsidR="001B1C78">
        <w:t>the MPL.</w:t>
      </w:r>
    </w:p>
    <w:p w:rsidR="002B319B" w:rsidP="00252EB8" w:rsidRDefault="002B319B">
      <w:pPr>
        <w:pStyle w:val="JuParaCharCharCharCharCharChar"/>
      </w:pPr>
      <w:r>
        <w:fldChar w:fldCharType="begin"/>
      </w:r>
      <w:r>
        <w:instrText xml:space="preserve"> SEQ level0 \*arabic </w:instrText>
      </w:r>
      <w:r>
        <w:fldChar w:fldCharType="separate"/>
      </w:r>
      <w:r w:rsidR="008C3401">
        <w:rPr>
          <w:noProof/>
        </w:rPr>
        <w:t>34</w:t>
      </w:r>
      <w:r>
        <w:fldChar w:fldCharType="end"/>
      </w:r>
      <w:r>
        <w:t xml:space="preserve">.  The applicant further produced a </w:t>
      </w:r>
      <w:r w:rsidR="00782937">
        <w:t xml:space="preserve">study paper </w:t>
      </w:r>
      <w:r>
        <w:t>entitled “</w:t>
      </w:r>
      <w:r w:rsidR="00C536FC">
        <w:t>E</w:t>
      </w:r>
      <w:r>
        <w:t xml:space="preserve">conomic </w:t>
      </w:r>
      <w:r w:rsidR="00C536FC">
        <w:t>e</w:t>
      </w:r>
      <w:r>
        <w:t xml:space="preserve">ffectiveness of </w:t>
      </w:r>
      <w:r w:rsidR="00C536FC">
        <w:t>p</w:t>
      </w:r>
      <w:r>
        <w:t xml:space="preserve">ublic </w:t>
      </w:r>
      <w:r w:rsidR="00C536FC">
        <w:t>h</w:t>
      </w:r>
      <w:r>
        <w:t xml:space="preserve">ealth </w:t>
      </w:r>
      <w:r w:rsidR="00C536FC">
        <w:t>m</w:t>
      </w:r>
      <w:r w:rsidR="00782937">
        <w:t>easures at Severstal P</w:t>
      </w:r>
      <w:r w:rsidR="00EC42B0">
        <w:t>LC</w:t>
      </w:r>
      <w:r w:rsidR="00782937">
        <w:t xml:space="preserve">”, </w:t>
      </w:r>
      <w:r w:rsidR="00707549">
        <w:t>drawn up</w:t>
      </w:r>
      <w:r w:rsidR="00782937">
        <w:t xml:space="preserve"> by the</w:t>
      </w:r>
      <w:r w:rsidRPr="00782937" w:rsidR="00782937">
        <w:t xml:space="preserve"> </w:t>
      </w:r>
      <w:r w:rsidR="00782937">
        <w:t xml:space="preserve">Centre for </w:t>
      </w:r>
      <w:r w:rsidR="00DE6DED">
        <w:t xml:space="preserve">the </w:t>
      </w:r>
      <w:r w:rsidR="00782937">
        <w:t>Preparation and Implementation of International Projects on Technical Assistance, a public body established in 1993 under the supervision of the then State Committee for Environmental Protection.</w:t>
      </w:r>
      <w:r>
        <w:t xml:space="preserve"> Th</w:t>
      </w:r>
      <w:r w:rsidR="00782937">
        <w:t>e</w:t>
      </w:r>
      <w:r>
        <w:t xml:space="preserve"> study was commissioned by the </w:t>
      </w:r>
      <w:smartTag w:uri="urn:schemas-microsoft-com:office:smarttags" w:element="City">
        <w:smartTag w:uri="urn:schemas-microsoft-com:office:smarttags" w:element="place">
          <w:r>
            <w:t>Cherepovets</w:t>
          </w:r>
        </w:smartTag>
      </w:smartTag>
      <w:r>
        <w:t xml:space="preserve"> </w:t>
      </w:r>
      <w:r w:rsidR="00EC42B0">
        <w:t xml:space="preserve">municipality </w:t>
      </w:r>
      <w:r>
        <w:t xml:space="preserve">in order to obtain </w:t>
      </w:r>
      <w:r w:rsidR="00EC42B0">
        <w:t xml:space="preserve">an </w:t>
      </w:r>
      <w:r>
        <w:t xml:space="preserve">analysis of </w:t>
      </w:r>
      <w:r w:rsidR="00EC42B0">
        <w:t xml:space="preserve">the cost-effectiveness of </w:t>
      </w:r>
      <w:r>
        <w:t xml:space="preserve">various measures suggested </w:t>
      </w:r>
      <w:r w:rsidR="00EC42B0">
        <w:t xml:space="preserve">in </w:t>
      </w:r>
      <w:r>
        <w:t xml:space="preserve">the </w:t>
      </w:r>
      <w:r w:rsidR="00EC42B0">
        <w:t xml:space="preserve">1996 </w:t>
      </w:r>
      <w:r w:rsidR="002F22AF">
        <w:t>federal p</w:t>
      </w:r>
      <w:r>
        <w:t>rogram</w:t>
      </w:r>
      <w:r w:rsidR="00EC42B0">
        <w:t>me</w:t>
      </w:r>
      <w:r>
        <w:t xml:space="preserve">. The expert team had access </w:t>
      </w:r>
      <w:r w:rsidR="002F22AF">
        <w:t>to data on fifty-eight</w:t>
      </w:r>
      <w:r>
        <w:t xml:space="preserve"> polluting elements contained in industrial emissions </w:t>
      </w:r>
      <w:r w:rsidR="00EC42B0">
        <w:t xml:space="preserve">from </w:t>
      </w:r>
      <w:r>
        <w:t xml:space="preserve">the Severstal plant. The experts singled out </w:t>
      </w:r>
      <w:r w:rsidR="00EC42B0">
        <w:t xml:space="preserve">the </w:t>
      </w:r>
      <w:r>
        <w:t xml:space="preserve">thirteen most toxic elements and, using </w:t>
      </w:r>
      <w:r w:rsidR="00EC42B0">
        <w:t xml:space="preserve">a </w:t>
      </w:r>
      <w:r>
        <w:t xml:space="preserve">special dispersion dissemination model, established how these elements affected </w:t>
      </w:r>
      <w:r w:rsidRPr="00E67C85">
        <w:t>the morbidity rate</w:t>
      </w:r>
      <w:r>
        <w:t xml:space="preserve"> in the city. The experts </w:t>
      </w:r>
      <w:r w:rsidR="00EC42B0">
        <w:t xml:space="preserve">then </w:t>
      </w:r>
      <w:r>
        <w:t xml:space="preserve">calculated how the implementation of one or another measure </w:t>
      </w:r>
      <w:r w:rsidR="00EC42B0">
        <w:t xml:space="preserve">from </w:t>
      </w:r>
      <w:r w:rsidR="002F22AF">
        <w:t>the f</w:t>
      </w:r>
      <w:r>
        <w:t xml:space="preserve">ederal </w:t>
      </w:r>
      <w:r w:rsidR="002F22AF">
        <w:t>p</w:t>
      </w:r>
      <w:r>
        <w:t>rogram</w:t>
      </w:r>
      <w:r w:rsidR="00EC42B0">
        <w:t>me</w:t>
      </w:r>
      <w:r>
        <w:t xml:space="preserve"> would reduce the concentration of these pollutants, and, consequently, </w:t>
      </w:r>
      <w:r w:rsidR="002F22AF">
        <w:t>to what extent the</w:t>
      </w:r>
      <w:r w:rsidRPr="00E67C85">
        <w:t xml:space="preserve"> morbidity rate</w:t>
      </w:r>
      <w:r>
        <w:t xml:space="preserve"> would decrease.</w:t>
      </w:r>
    </w:p>
    <w:p w:rsidR="001B1C78" w:rsidP="002A47A5" w:rsidRDefault="00BC5A55">
      <w:pPr>
        <w:pStyle w:val="JuPara"/>
      </w:pPr>
      <w:r>
        <w:fldChar w:fldCharType="begin"/>
      </w:r>
      <w:r>
        <w:instrText xml:space="preserve"> SEQ level0 \*arabic </w:instrText>
      </w:r>
      <w:r>
        <w:fldChar w:fldCharType="separate"/>
      </w:r>
      <w:r w:rsidR="008C3401">
        <w:rPr>
          <w:noProof/>
        </w:rPr>
        <w:t>35</w:t>
      </w:r>
      <w:r>
        <w:fldChar w:fldCharType="end"/>
      </w:r>
      <w:r>
        <w:t>.  </w:t>
      </w:r>
      <w:r w:rsidRPr="001B1C78">
        <w:t xml:space="preserve">In </w:t>
      </w:r>
      <w:r w:rsidRPr="001B1C78" w:rsidR="00532D57">
        <w:t xml:space="preserve">April </w:t>
      </w:r>
      <w:r w:rsidRPr="001B1C78">
        <w:t xml:space="preserve">2004 </w:t>
      </w:r>
      <w:r w:rsidRPr="001B1C78" w:rsidR="00532D57">
        <w:t xml:space="preserve">the applicant informed the Court that </w:t>
      </w:r>
      <w:r w:rsidR="00AE3699">
        <w:t xml:space="preserve">further information on atmospheric pollution </w:t>
      </w:r>
      <w:r w:rsidRPr="001B1C78" w:rsidR="00532D57">
        <w:t xml:space="preserve">could be </w:t>
      </w:r>
      <w:r w:rsidR="001B1C78">
        <w:t xml:space="preserve">requested </w:t>
      </w:r>
      <w:r w:rsidRPr="001B1C78" w:rsidR="001B1C78">
        <w:t xml:space="preserve">from the </w:t>
      </w:r>
      <w:r w:rsidR="008552AD">
        <w:t xml:space="preserve">respondent </w:t>
      </w:r>
      <w:r w:rsidRPr="001B1C78" w:rsidR="001B1C78">
        <w:t>Government.</w:t>
      </w:r>
      <w:r w:rsidR="001B1C78">
        <w:t xml:space="preserve"> In particular, the applicant sought to obtain: </w:t>
      </w:r>
      <w:r w:rsidRPr="001B1C78" w:rsidR="001B1C78">
        <w:t xml:space="preserve">(a) baseline emissions data for the Severstal plant, including data on </w:t>
      </w:r>
      <w:r w:rsidR="00726CA4">
        <w:t xml:space="preserve">the </w:t>
      </w:r>
      <w:r w:rsidRPr="001B1C78" w:rsidR="001B1C78">
        <w:t>physical parameters of the stacks and the volume of chemicals emitted annually by each process at the Severstal facility; (b) dispersion modelling data for estimating the</w:t>
      </w:r>
      <w:r w:rsidR="002F22AF">
        <w:t xml:space="preserve"> ambient air concentration of thirteen</w:t>
      </w:r>
      <w:r w:rsidRPr="001B1C78" w:rsidR="001B1C78">
        <w:t xml:space="preserve"> toxic pollutants at each of the </w:t>
      </w:r>
      <w:r w:rsidRPr="00EC7F3B" w:rsidR="001B1C78">
        <w:rPr>
          <w:i/>
        </w:rPr>
        <w:t>x</w:t>
      </w:r>
      <w:r w:rsidR="00EC7F3B">
        <w:t xml:space="preserve"> and</w:t>
      </w:r>
      <w:r w:rsidRPr="001B1C78" w:rsidR="001B1C78">
        <w:t xml:space="preserve"> </w:t>
      </w:r>
      <w:r w:rsidRPr="00EC7F3B" w:rsidR="001B1C78">
        <w:rPr>
          <w:i/>
        </w:rPr>
        <w:t>y</w:t>
      </w:r>
      <w:r w:rsidRPr="001B1C78" w:rsidR="001B1C78">
        <w:t xml:space="preserve"> coordinate locations on the </w:t>
      </w:r>
      <w:r w:rsidRPr="001B1C78" w:rsidR="00726CA4">
        <w:t xml:space="preserve">Cherepovets </w:t>
      </w:r>
      <w:r w:rsidRPr="001B1C78" w:rsidR="001B1C78">
        <w:t>city grid</w:t>
      </w:r>
      <w:r w:rsidR="00726CA4">
        <w:t xml:space="preserve">, </w:t>
      </w:r>
      <w:r w:rsidRPr="001B1C78" w:rsidR="001B1C78">
        <w:t xml:space="preserve">based on the above emissions data. </w:t>
      </w:r>
      <w:r w:rsidR="001B1C78">
        <w:t>The applicant indicated that this informat</w:t>
      </w:r>
      <w:r w:rsidR="002F22AF">
        <w:t xml:space="preserve">ion might be obtained from the </w:t>
      </w:r>
      <w:r w:rsidR="00C536FC">
        <w:t>C</w:t>
      </w:r>
      <w:r w:rsidR="001B1C78">
        <w:t xml:space="preserve">entre for </w:t>
      </w:r>
      <w:r w:rsidR="00DE6DED">
        <w:t xml:space="preserve">the </w:t>
      </w:r>
      <w:r w:rsidR="00C536FC">
        <w:t>P</w:t>
      </w:r>
      <w:r w:rsidR="002F22AF">
        <w:t xml:space="preserve">reparation and </w:t>
      </w:r>
      <w:r w:rsidR="00C536FC">
        <w:t>I</w:t>
      </w:r>
      <w:r w:rsidR="002F22AF">
        <w:t xml:space="preserve">mplementation of </w:t>
      </w:r>
      <w:r w:rsidR="00C536FC">
        <w:t>I</w:t>
      </w:r>
      <w:r w:rsidR="002F22AF">
        <w:t xml:space="preserve">nternational </w:t>
      </w:r>
      <w:r w:rsidR="00C536FC">
        <w:t>P</w:t>
      </w:r>
      <w:r w:rsidR="002F22AF">
        <w:t xml:space="preserve">rojects on </w:t>
      </w:r>
      <w:r w:rsidR="00C536FC">
        <w:t>T</w:t>
      </w:r>
      <w:r w:rsidR="002F22AF">
        <w:t xml:space="preserve">echnical </w:t>
      </w:r>
      <w:r w:rsidR="00C536FC">
        <w:t>A</w:t>
      </w:r>
      <w:r w:rsidR="001B1C78">
        <w:t>ssistance</w:t>
      </w:r>
      <w:r w:rsidR="00782937">
        <w:t xml:space="preserve"> (see </w:t>
      </w:r>
      <w:r w:rsidR="002F22AF">
        <w:t xml:space="preserve">paragraph </w:t>
      </w:r>
      <w:r w:rsidR="004326EE">
        <w:t>34</w:t>
      </w:r>
      <w:r w:rsidR="002F22AF">
        <w:t xml:space="preserve"> above</w:t>
      </w:r>
      <w:r w:rsidR="00782937">
        <w:t>)</w:t>
      </w:r>
      <w:r w:rsidR="001B1C78">
        <w:t xml:space="preserve">. The applicant also </w:t>
      </w:r>
      <w:r w:rsidR="00C536FC">
        <w:t>sought</w:t>
      </w:r>
      <w:r w:rsidR="00726CA4">
        <w:t xml:space="preserve"> </w:t>
      </w:r>
      <w:r w:rsidRPr="001B1C78" w:rsidR="001B1C78">
        <w:t xml:space="preserve">data on the ambient air quality </w:t>
      </w:r>
      <w:r w:rsidR="001B1C78">
        <w:t xml:space="preserve">in </w:t>
      </w:r>
      <w:smartTag w:uri="urn:schemas-microsoft-com:office:smarttags" w:element="City">
        <w:smartTag w:uri="urn:schemas-microsoft-com:office:smarttags" w:element="place">
          <w:r w:rsidR="001B1C78">
            <w:t>Cherepovets</w:t>
          </w:r>
        </w:smartTag>
      </w:smartTag>
      <w:r w:rsidR="00726CA4">
        <w:t>,</w:t>
      </w:r>
      <w:r w:rsidR="001B1C78">
        <w:t xml:space="preserve"> </w:t>
      </w:r>
      <w:r w:rsidRPr="001B1C78" w:rsidR="001B1C78">
        <w:t xml:space="preserve">obtained </w:t>
      </w:r>
      <w:r w:rsidR="002F22AF">
        <w:t xml:space="preserve">between </w:t>
      </w:r>
      <w:r w:rsidRPr="001B1C78" w:rsidR="001B1C78">
        <w:t>1998</w:t>
      </w:r>
      <w:r w:rsidR="002F22AF">
        <w:t xml:space="preserve"> and </w:t>
      </w:r>
      <w:r w:rsidRPr="001B1C78" w:rsidR="001B1C78">
        <w:t xml:space="preserve">1999 </w:t>
      </w:r>
      <w:r w:rsidR="00726CA4">
        <w:t xml:space="preserve">as part of </w:t>
      </w:r>
      <w:r w:rsidR="002F22AF">
        <w:t xml:space="preserve">the </w:t>
      </w:r>
      <w:r w:rsidR="00C536FC">
        <w:t>P</w:t>
      </w:r>
      <w:r w:rsidR="002F22AF">
        <w:t xml:space="preserve">roject on </w:t>
      </w:r>
      <w:r w:rsidR="00C536FC">
        <w:t>E</w:t>
      </w:r>
      <w:r w:rsidR="002F22AF">
        <w:t xml:space="preserve">nvironmental </w:t>
      </w:r>
      <w:r w:rsidR="00C536FC">
        <w:t>M</w:t>
      </w:r>
      <w:r w:rsidRPr="001B1C78" w:rsidR="001B1C78">
        <w:t xml:space="preserve">anagement </w:t>
      </w:r>
      <w:r w:rsidR="001B1C78">
        <w:t xml:space="preserve">in the </w:t>
      </w:r>
      <w:smartTag w:uri="urn:schemas-microsoft-com:office:smarttags" w:element="country-region">
        <w:smartTag w:uri="urn:schemas-microsoft-com:office:smarttags" w:element="place">
          <w:r w:rsidR="001B1C78">
            <w:t>Russian Federation</w:t>
          </w:r>
        </w:smartTag>
      </w:smartTag>
      <w:r w:rsidR="001B1C78">
        <w:t xml:space="preserve">, </w:t>
      </w:r>
      <w:r w:rsidRPr="001B1C78" w:rsidR="001B1C78">
        <w:t>implemented with fina</w:t>
      </w:r>
      <w:r w:rsidR="001B1C78">
        <w:t xml:space="preserve">ncial support </w:t>
      </w:r>
      <w:r w:rsidR="00726CA4">
        <w:t xml:space="preserve">from </w:t>
      </w:r>
      <w:r w:rsidR="001B1C78">
        <w:t>the World Bank.</w:t>
      </w:r>
      <w:r w:rsidRPr="00146818" w:rsidR="00146818">
        <w:t xml:space="preserve"> </w:t>
      </w:r>
      <w:r w:rsidR="00146818">
        <w:t>In May 2004 t</w:t>
      </w:r>
      <w:r w:rsidRPr="001B1C78" w:rsidR="00146818">
        <w:t xml:space="preserve">he Court invited the </w:t>
      </w:r>
      <w:r w:rsidR="008552AD">
        <w:t xml:space="preserve">respondent </w:t>
      </w:r>
      <w:r w:rsidRPr="001B1C78" w:rsidR="00146818">
        <w:t xml:space="preserve">Government to </w:t>
      </w:r>
      <w:r w:rsidR="00726CA4">
        <w:t xml:space="preserve">submit the </w:t>
      </w:r>
      <w:r w:rsidRPr="001B1C78" w:rsidR="00146818">
        <w:t xml:space="preserve">information </w:t>
      </w:r>
      <w:r w:rsidR="00146818">
        <w:t xml:space="preserve">sought </w:t>
      </w:r>
      <w:r w:rsidRPr="001B1C78" w:rsidR="00146818">
        <w:t>by the applicant</w:t>
      </w:r>
      <w:r w:rsidR="00146818">
        <w:t>.</w:t>
      </w:r>
    </w:p>
    <w:p w:rsidR="00146818" w:rsidP="00252EB8" w:rsidRDefault="00BD04AB">
      <w:pPr>
        <w:pStyle w:val="JuH1"/>
      </w:pPr>
      <w:r>
        <w:t>2.  </w:t>
      </w:r>
      <w:r w:rsidR="00146818">
        <w:t xml:space="preserve">Information </w:t>
      </w:r>
      <w:r w:rsidR="00824E91">
        <w:t>referred to</w:t>
      </w:r>
      <w:r w:rsidR="00146818">
        <w:t xml:space="preserve"> by the </w:t>
      </w:r>
      <w:r w:rsidR="008552AD">
        <w:t xml:space="preserve">respondent </w:t>
      </w:r>
      <w:r w:rsidR="00146818">
        <w:t>Government</w:t>
      </w:r>
    </w:p>
    <w:p w:rsidR="00772DF2" w:rsidP="00306330" w:rsidRDefault="00BC5A55">
      <w:pPr>
        <w:pStyle w:val="JuPara"/>
      </w:pPr>
      <w:r>
        <w:fldChar w:fldCharType="begin"/>
      </w:r>
      <w:r>
        <w:instrText xml:space="preserve"> SEQ level0 \*arabic </w:instrText>
      </w:r>
      <w:r>
        <w:fldChar w:fldCharType="separate"/>
      </w:r>
      <w:r w:rsidR="008C3401">
        <w:rPr>
          <w:noProof/>
        </w:rPr>
        <w:t>36</w:t>
      </w:r>
      <w:r>
        <w:fldChar w:fldCharType="end"/>
      </w:r>
      <w:r>
        <w:t xml:space="preserve">.  In </w:t>
      </w:r>
      <w:r w:rsidR="001B1C78">
        <w:t xml:space="preserve">June 2004 </w:t>
      </w:r>
      <w:r>
        <w:t xml:space="preserve">the Government </w:t>
      </w:r>
      <w:r w:rsidR="00C536FC">
        <w:t>submitted</w:t>
      </w:r>
      <w:r>
        <w:t xml:space="preserve"> a report entitled </w:t>
      </w:r>
      <w:r w:rsidR="002F22AF">
        <w:t>“T</w:t>
      </w:r>
      <w:r w:rsidR="00726CA4">
        <w:t xml:space="preserve">he </w:t>
      </w:r>
      <w:r w:rsidR="002F22AF">
        <w:t>environmental s</w:t>
      </w:r>
      <w:r w:rsidRPr="004A092D">
        <w:t xml:space="preserve">ituation in </w:t>
      </w:r>
      <w:smartTag w:uri="urn:schemas-microsoft-com:office:smarttags" w:element="City">
        <w:smartTag w:uri="urn:schemas-microsoft-com:office:smarttags" w:element="place">
          <w:r w:rsidRPr="004A092D">
            <w:t>Cherepovets</w:t>
          </w:r>
        </w:smartTag>
      </w:smartTag>
      <w:r w:rsidRPr="004A092D">
        <w:t xml:space="preserve"> and </w:t>
      </w:r>
      <w:r>
        <w:t>it</w:t>
      </w:r>
      <w:r w:rsidR="002F22AF">
        <w:t>s correlation with the a</w:t>
      </w:r>
      <w:r>
        <w:t>c</w:t>
      </w:r>
      <w:r w:rsidRPr="004A092D">
        <w:t xml:space="preserve">tivity of </w:t>
      </w:r>
      <w:r w:rsidR="00231B86">
        <w:t>[</w:t>
      </w:r>
      <w:r w:rsidRPr="004A092D">
        <w:t xml:space="preserve">Severstal </w:t>
      </w:r>
      <w:r w:rsidR="00231B86">
        <w:t xml:space="preserve">PLC] </w:t>
      </w:r>
      <w:r w:rsidR="002F22AF">
        <w:t>during</w:t>
      </w:r>
      <w:r w:rsidRPr="004A092D">
        <w:t xml:space="preserve"> the period </w:t>
      </w:r>
      <w:r w:rsidR="00E67C85">
        <w:t>until</w:t>
      </w:r>
      <w:r w:rsidRPr="004A092D" w:rsidR="00E67C85">
        <w:t xml:space="preserve"> </w:t>
      </w:r>
      <w:r w:rsidRPr="004A092D">
        <w:t>2004</w:t>
      </w:r>
      <w:r>
        <w:t>”</w:t>
      </w:r>
      <w:r w:rsidR="001B1C78">
        <w:t xml:space="preserve">, </w:t>
      </w:r>
      <w:r w:rsidR="00532D57">
        <w:t xml:space="preserve">prepared by the </w:t>
      </w:r>
      <w:smartTag w:uri="urn:schemas-microsoft-com:office:smarttags" w:element="City">
        <w:smartTag w:uri="urn:schemas-microsoft-com:office:smarttags" w:element="place">
          <w:r w:rsidR="00532D57">
            <w:t>Cherepovets</w:t>
          </w:r>
        </w:smartTag>
      </w:smartTag>
      <w:r w:rsidR="00532D57">
        <w:t xml:space="preserve"> municipality</w:t>
      </w:r>
      <w:r w:rsidR="001B1C78">
        <w:t>.</w:t>
      </w:r>
    </w:p>
    <w:p w:rsidR="00306330" w:rsidP="00306330" w:rsidRDefault="00231B86">
      <w:pPr>
        <w:pStyle w:val="JuPara"/>
      </w:pPr>
      <w:r>
        <w:fldChar w:fldCharType="begin"/>
      </w:r>
      <w:r>
        <w:instrText xml:space="preserve"> SEQ level0 \*arabic </w:instrText>
      </w:r>
      <w:r>
        <w:fldChar w:fldCharType="separate"/>
      </w:r>
      <w:r w:rsidR="008C3401">
        <w:rPr>
          <w:noProof/>
        </w:rPr>
        <w:t>37</w:t>
      </w:r>
      <w:r>
        <w:fldChar w:fldCharType="end"/>
      </w:r>
      <w:r>
        <w:t>.  </w:t>
      </w:r>
      <w:r w:rsidR="00306330">
        <w:t xml:space="preserve">According to the report, </w:t>
      </w:r>
      <w:r w:rsidR="00DB202C">
        <w:t xml:space="preserve">the </w:t>
      </w:r>
      <w:r w:rsidR="00306330">
        <w:t xml:space="preserve">environmental situation in </w:t>
      </w:r>
      <w:smartTag w:uri="urn:schemas-microsoft-com:office:smarttags" w:element="City">
        <w:smartTag w:uri="urn:schemas-microsoft-com:office:smarttags" w:element="place">
          <w:r w:rsidR="00306330">
            <w:t>Cherepovets</w:t>
          </w:r>
        </w:smartTag>
      </w:smartTag>
      <w:r w:rsidR="00306330">
        <w:t xml:space="preserve"> </w:t>
      </w:r>
      <w:r w:rsidR="00DB202C">
        <w:t>h</w:t>
      </w:r>
      <w:r w:rsidR="00306330">
        <w:t xml:space="preserve">as improved in recent years: </w:t>
      </w:r>
      <w:r w:rsidR="00BB5585">
        <w:t xml:space="preserve">thus, </w:t>
      </w:r>
      <w:r w:rsidR="00306330">
        <w:t>gross emission</w:t>
      </w:r>
      <w:r>
        <w:t>s</w:t>
      </w:r>
      <w:r w:rsidR="00306330">
        <w:t xml:space="preserve"> of pollutants in the town w</w:t>
      </w:r>
      <w:r>
        <w:t>ere</w:t>
      </w:r>
      <w:r w:rsidR="00306330">
        <w:t xml:space="preserve"> reduced from 370.5 thousand ton</w:t>
      </w:r>
      <w:r w:rsidR="00C536FC">
        <w:t>ne</w:t>
      </w:r>
      <w:r w:rsidR="00306330">
        <w:t xml:space="preserve">s in 1999 to 346.7 </w:t>
      </w:r>
      <w:r>
        <w:t xml:space="preserve">thousand </w:t>
      </w:r>
      <w:r w:rsidR="00306330">
        <w:t>ton</w:t>
      </w:r>
      <w:r w:rsidR="00C536FC">
        <w:t>ne</w:t>
      </w:r>
      <w:r w:rsidR="00306330">
        <w:t>s in 2003</w:t>
      </w:r>
      <w:r w:rsidRPr="00DE7FCC" w:rsidDel="00B20282" w:rsidR="00306330">
        <w:t xml:space="preserve"> </w:t>
      </w:r>
      <w:r w:rsidR="00306330">
        <w:t>(</w:t>
      </w:r>
      <w:r>
        <w:t xml:space="preserve">by </w:t>
      </w:r>
      <w:r w:rsidR="00306330">
        <w:t>6.4</w:t>
      </w:r>
      <w:r w:rsidR="002F22AF">
        <w:t>%</w:t>
      </w:r>
      <w:r w:rsidR="00306330">
        <w:t>)</w:t>
      </w:r>
      <w:r w:rsidR="003F3FA3">
        <w:t xml:space="preserve">. Overall emissions from </w:t>
      </w:r>
      <w:r w:rsidR="00AE241A">
        <w:t xml:space="preserve">the </w:t>
      </w:r>
      <w:r w:rsidR="00306330">
        <w:t xml:space="preserve">Severstal </w:t>
      </w:r>
      <w:r>
        <w:t xml:space="preserve">PLC </w:t>
      </w:r>
      <w:r w:rsidR="00250ED5">
        <w:t xml:space="preserve">facilities </w:t>
      </w:r>
      <w:r>
        <w:t xml:space="preserve">were </w:t>
      </w:r>
      <w:r w:rsidR="003F3FA3">
        <w:t xml:space="preserve">reduced during this period </w:t>
      </w:r>
      <w:r w:rsidR="00306330">
        <w:t>fr</w:t>
      </w:r>
      <w:r>
        <w:t>om 355.3 to 333.2 thousand ton</w:t>
      </w:r>
      <w:r w:rsidR="00C536FC">
        <w:t>ne</w:t>
      </w:r>
      <w:r>
        <w:t>s</w:t>
      </w:r>
      <w:r w:rsidR="00306330">
        <w:t xml:space="preserve"> (</w:t>
      </w:r>
      <w:r w:rsidR="002F22AF">
        <w:t>namely</w:t>
      </w:r>
      <w:r w:rsidR="00250ED5">
        <w:t xml:space="preserve"> </w:t>
      </w:r>
      <w:r>
        <w:t>by </w:t>
      </w:r>
      <w:r w:rsidR="00306330">
        <w:t>5.7</w:t>
      </w:r>
      <w:r w:rsidR="002F22AF">
        <w:t>%</w:t>
      </w:r>
      <w:r w:rsidR="00AE241A">
        <w:t>)</w:t>
      </w:r>
      <w:r w:rsidR="00250ED5">
        <w:t xml:space="preserve">, and the proportion </w:t>
      </w:r>
      <w:r w:rsidR="003F3FA3">
        <w:t>of unsatisfactory test</w:t>
      </w:r>
      <w:r w:rsidR="00BB5585">
        <w:t>ing</w:t>
      </w:r>
      <w:r w:rsidR="003F3FA3">
        <w:t xml:space="preserve"> of atmospheric air at stationary posts </w:t>
      </w:r>
      <w:r w:rsidR="00250ED5">
        <w:t xml:space="preserve">fell </w:t>
      </w:r>
      <w:r w:rsidR="003F3FA3">
        <w:t>fro</w:t>
      </w:r>
      <w:r>
        <w:t>m 32.7</w:t>
      </w:r>
      <w:r w:rsidR="002F22AF">
        <w:t xml:space="preserve">% </w:t>
      </w:r>
      <w:r>
        <w:t>to 26</w:t>
      </w:r>
      <w:r w:rsidR="002F22AF">
        <w:t>%</w:t>
      </w:r>
      <w:r w:rsidR="003F3FA3">
        <w:t xml:space="preserve"> in 2003.</w:t>
      </w:r>
    </w:p>
    <w:p w:rsidR="00306330" w:rsidP="00306330" w:rsidRDefault="00306330">
      <w:pPr>
        <w:pStyle w:val="JuPara"/>
      </w:pPr>
      <w:r>
        <w:fldChar w:fldCharType="begin"/>
      </w:r>
      <w:r>
        <w:instrText xml:space="preserve"> SEQ level0 \*arabic </w:instrText>
      </w:r>
      <w:r>
        <w:fldChar w:fldCharType="separate"/>
      </w:r>
      <w:r w:rsidR="008C3401">
        <w:rPr>
          <w:noProof/>
        </w:rPr>
        <w:t>38</w:t>
      </w:r>
      <w:r>
        <w:fldChar w:fldCharType="end"/>
      </w:r>
      <w:r>
        <w:t>.  The report further stated that</w:t>
      </w:r>
      <w:r w:rsidR="00250ED5">
        <w:t>,</w:t>
      </w:r>
      <w:r>
        <w:t xml:space="preserve"> according to data received from </w:t>
      </w:r>
      <w:r w:rsidR="003F3FA3">
        <w:t xml:space="preserve">four </w:t>
      </w:r>
      <w:r>
        <w:t>stationary posts</w:t>
      </w:r>
      <w:r w:rsidR="00AE241A">
        <w:t xml:space="preserve"> of the State Agency for Hydrometeorology</w:t>
      </w:r>
      <w:r>
        <w:t xml:space="preserve">, </w:t>
      </w:r>
      <w:r w:rsidR="00AE241A">
        <w:t>a</w:t>
      </w:r>
      <w:r w:rsidR="003F3FA3">
        <w:t xml:space="preserve"> </w:t>
      </w:r>
      <w:r>
        <w:t xml:space="preserve">substantial decrease </w:t>
      </w:r>
      <w:r w:rsidR="00250ED5">
        <w:t xml:space="preserve">in the </w:t>
      </w:r>
      <w:r>
        <w:t xml:space="preserve">concentration of </w:t>
      </w:r>
      <w:r w:rsidR="0040297C">
        <w:t xml:space="preserve">certain </w:t>
      </w:r>
      <w:r>
        <w:t>hazardous substances was recorded</w:t>
      </w:r>
      <w:r w:rsidRPr="00250ED5" w:rsidR="00250ED5">
        <w:t xml:space="preserve"> </w:t>
      </w:r>
      <w:r w:rsidR="00250ED5">
        <w:t xml:space="preserve">in </w:t>
      </w:r>
      <w:r w:rsidR="00C536FC">
        <w:t xml:space="preserve">the period from </w:t>
      </w:r>
      <w:r w:rsidR="00250ED5">
        <w:t>1999</w:t>
      </w:r>
      <w:r w:rsidR="00C536FC">
        <w:t xml:space="preserve"> to </w:t>
      </w:r>
      <w:r w:rsidR="00250ED5">
        <w:t>2003</w:t>
      </w:r>
      <w:r>
        <w:t>:</w:t>
      </w:r>
    </w:p>
    <w:p w:rsidRPr="002A47A5" w:rsidR="00306330" w:rsidP="002A47A5" w:rsidRDefault="00BD04AB">
      <w:pPr>
        <w:pStyle w:val="JuPara"/>
      </w:pPr>
      <w:r w:rsidRPr="002A47A5">
        <w:t>(i)  </w:t>
      </w:r>
      <w:r w:rsidRPr="002A47A5" w:rsidR="00306330">
        <w:t>dust</w:t>
      </w:r>
      <w:r w:rsidR="00C536FC">
        <w:t xml:space="preserve">: </w:t>
      </w:r>
      <w:r w:rsidRPr="002A47A5" w:rsidR="00306330">
        <w:t xml:space="preserve">from 0.2 </w:t>
      </w:r>
      <w:r w:rsidRPr="002A47A5" w:rsidR="00250ED5">
        <w:t xml:space="preserve">mg/m³ </w:t>
      </w:r>
      <w:r w:rsidRPr="002A47A5" w:rsidR="00306330">
        <w:t>(1.28 MPL) to 0.11 mg</w:t>
      </w:r>
      <w:r w:rsidRPr="002A47A5" w:rsidR="00231B86">
        <w:t>/m</w:t>
      </w:r>
      <w:r w:rsidRPr="002A47A5" w:rsidR="00250ED5">
        <w:t>³</w:t>
      </w:r>
      <w:r w:rsidRPr="002A47A5" w:rsidR="00231B86">
        <w:t xml:space="preserve"> </w:t>
      </w:r>
      <w:r w:rsidRPr="002A47A5" w:rsidR="00AE241A">
        <w:t>(0.</w:t>
      </w:r>
      <w:r w:rsidRPr="002A47A5" w:rsidR="00306330">
        <w:t>66 MPL);</w:t>
      </w:r>
    </w:p>
    <w:p w:rsidRPr="002A47A5" w:rsidR="00306330" w:rsidP="002A47A5" w:rsidRDefault="00BD04AB">
      <w:pPr>
        <w:pStyle w:val="JuPara"/>
      </w:pPr>
      <w:r w:rsidRPr="002A47A5">
        <w:t>(ii)  </w:t>
      </w:r>
      <w:r w:rsidRPr="002A47A5" w:rsidR="00306330">
        <w:t>hydrogen sulphide</w:t>
      </w:r>
      <w:r w:rsidR="00C536FC">
        <w:t>:</w:t>
      </w:r>
      <w:r w:rsidRPr="002A47A5" w:rsidR="003F3FA3">
        <w:t xml:space="preserve"> </w:t>
      </w:r>
      <w:r w:rsidRPr="002A47A5" w:rsidR="00AE241A">
        <w:t>from 0.016</w:t>
      </w:r>
      <w:r w:rsidRPr="002A47A5" w:rsidR="00250ED5">
        <w:t xml:space="preserve"> mg/m³</w:t>
      </w:r>
      <w:r w:rsidRPr="002A47A5" w:rsidR="00772DF2">
        <w:t xml:space="preserve"> </w:t>
      </w:r>
      <w:r w:rsidRPr="002A47A5" w:rsidR="00AE241A">
        <w:t>(3.</w:t>
      </w:r>
      <w:r w:rsidRPr="002A47A5" w:rsidR="00306330">
        <w:t xml:space="preserve">2 </w:t>
      </w:r>
      <w:r w:rsidR="002F22AF">
        <w:t>MPL) to 0.006</w:t>
      </w:r>
      <w:r w:rsidR="00C819A7">
        <w:t xml:space="preserve"> </w:t>
      </w:r>
      <w:r w:rsidRPr="002A47A5" w:rsidR="00250ED5">
        <w:t xml:space="preserve">mg/m³ </w:t>
      </w:r>
      <w:r w:rsidRPr="002A47A5" w:rsidR="00306330">
        <w:t>(1.2 MPL);</w:t>
      </w:r>
    </w:p>
    <w:p w:rsidRPr="002A47A5" w:rsidR="00306330" w:rsidP="002A47A5" w:rsidRDefault="00BD04AB">
      <w:pPr>
        <w:pStyle w:val="JuPara"/>
      </w:pPr>
      <w:r w:rsidRPr="002A47A5">
        <w:t>(iii)  </w:t>
      </w:r>
      <w:r w:rsidRPr="002A47A5" w:rsidR="00306330">
        <w:t>phenols</w:t>
      </w:r>
      <w:r w:rsidR="00C536FC">
        <w:t>:</w:t>
      </w:r>
      <w:r w:rsidRPr="002A47A5" w:rsidR="003F3FA3">
        <w:t xml:space="preserve"> </w:t>
      </w:r>
      <w:r w:rsidRPr="002A47A5" w:rsidR="00306330">
        <w:t>from 0</w:t>
      </w:r>
      <w:r w:rsidRPr="002A47A5" w:rsidR="00AE241A">
        <w:t>.</w:t>
      </w:r>
      <w:r w:rsidRPr="002A47A5" w:rsidR="00306330">
        <w:t xml:space="preserve">018 </w:t>
      </w:r>
      <w:r w:rsidRPr="002A47A5" w:rsidR="00250ED5">
        <w:t xml:space="preserve">mg/m³ </w:t>
      </w:r>
      <w:r w:rsidRPr="002A47A5" w:rsidR="00306330">
        <w:t xml:space="preserve">(0.6 MPL) to 0.014 </w:t>
      </w:r>
      <w:r w:rsidRPr="002A47A5" w:rsidR="00250ED5">
        <w:t xml:space="preserve">mg/m³ </w:t>
      </w:r>
      <w:r w:rsidRPr="002A47A5" w:rsidR="00306330">
        <w:t>(0.47</w:t>
      </w:r>
      <w:r w:rsidR="002F22AF">
        <w:t xml:space="preserve"> </w:t>
      </w:r>
      <w:r w:rsidRPr="002A47A5" w:rsidR="00306330">
        <w:t>MPL).</w:t>
      </w:r>
    </w:p>
    <w:p w:rsidR="00772DF2" w:rsidP="00231B86" w:rsidRDefault="003F3FA3">
      <w:pPr>
        <w:pStyle w:val="JuParaCharCharCharCharCharChar"/>
      </w:pPr>
      <w:r>
        <w:fldChar w:fldCharType="begin"/>
      </w:r>
      <w:r>
        <w:instrText xml:space="preserve"> SEQ level0 \*arabic </w:instrText>
      </w:r>
      <w:r>
        <w:fldChar w:fldCharType="separate"/>
      </w:r>
      <w:r w:rsidR="008C3401">
        <w:rPr>
          <w:noProof/>
        </w:rPr>
        <w:t>39</w:t>
      </w:r>
      <w:r>
        <w:fldChar w:fldCharType="end"/>
      </w:r>
      <w:r>
        <w:t>.  </w:t>
      </w:r>
      <w:r w:rsidR="0040297C">
        <w:t>A</w:t>
      </w:r>
      <w:r w:rsidR="00231B86">
        <w:t xml:space="preserve">ccording to </w:t>
      </w:r>
      <w:r w:rsidR="00AE241A">
        <w:t>the</w:t>
      </w:r>
      <w:r w:rsidR="00231B86">
        <w:t xml:space="preserve"> report, pollution in the vicinity of the applicant</w:t>
      </w:r>
      <w:r w:rsidR="009952BE">
        <w:t>'</w:t>
      </w:r>
      <w:r w:rsidR="00231B86">
        <w:t>s ho</w:t>
      </w:r>
      <w:r w:rsidR="00C536FC">
        <w:t>me</w:t>
      </w:r>
      <w:r w:rsidR="00231B86">
        <w:t xml:space="preserve"> was not necessarily higher than in other districts of the town. Thus, </w:t>
      </w:r>
      <w:r w:rsidR="00572596">
        <w:t xml:space="preserve">the </w:t>
      </w:r>
      <w:r w:rsidR="00231B86">
        <w:t xml:space="preserve">concentration of nitrogen </w:t>
      </w:r>
      <w:r w:rsidR="00A93D13">
        <w:t xml:space="preserve">dioxide at post no. 1 was 0.025 </w:t>
      </w:r>
      <w:r w:rsidR="00572596">
        <w:t>mg/m³</w:t>
      </w:r>
      <w:r w:rsidR="00231B86">
        <w:t xml:space="preserve"> </w:t>
      </w:r>
      <w:r w:rsidR="00572596">
        <w:t>in 2003</w:t>
      </w:r>
      <w:r w:rsidR="002F22AF">
        <w:t xml:space="preserve">, whereas it was </w:t>
      </w:r>
      <w:r w:rsidR="00572596">
        <w:t xml:space="preserve">0.034 mg/m³ </w:t>
      </w:r>
      <w:r w:rsidR="00231B86">
        <w:t>at post no. 2</w:t>
      </w:r>
      <w:r w:rsidR="00572596">
        <w:t xml:space="preserve">, 0.025 mg/m³ </w:t>
      </w:r>
      <w:r w:rsidR="00231B86">
        <w:t>at post no. 3</w:t>
      </w:r>
      <w:r w:rsidR="00572596">
        <w:t xml:space="preserve"> and 0.029 mg/m³ </w:t>
      </w:r>
      <w:r w:rsidR="00231B86">
        <w:t>at post no. 4</w:t>
      </w:r>
      <w:r w:rsidR="00572596">
        <w:t>. The</w:t>
      </w:r>
      <w:r w:rsidR="00231B86">
        <w:t xml:space="preserve"> average daily concentration </w:t>
      </w:r>
      <w:r w:rsidR="00572596">
        <w:t xml:space="preserve">of ammonia </w:t>
      </w:r>
      <w:r w:rsidR="00231B86">
        <w:t>registered at post no. 1 was</w:t>
      </w:r>
      <w:r w:rsidR="00AE241A">
        <w:t xml:space="preserve"> 0.</w:t>
      </w:r>
      <w:r w:rsidR="00231B86">
        <w:t xml:space="preserve">016 </w:t>
      </w:r>
      <w:r w:rsidR="00572596">
        <w:t>mg/m³</w:t>
      </w:r>
      <w:r w:rsidR="00231B86">
        <w:t xml:space="preserve">, </w:t>
      </w:r>
      <w:r w:rsidR="002F22AF">
        <w:t xml:space="preserve">0.017 mg/m³ </w:t>
      </w:r>
      <w:r w:rsidR="00231B86">
        <w:t>at post no. 2</w:t>
      </w:r>
      <w:r w:rsidR="002F22AF">
        <w:t xml:space="preserve">, 0.005 mg/m³ </w:t>
      </w:r>
      <w:r w:rsidR="00231B86">
        <w:t xml:space="preserve">at post no. 3 </w:t>
      </w:r>
      <w:r w:rsidR="002F22AF">
        <w:t xml:space="preserve">and 0.0082 mg/m³ </w:t>
      </w:r>
      <w:r w:rsidR="00231B86">
        <w:t>at post no</w:t>
      </w:r>
      <w:r w:rsidR="002F22AF">
        <w:t>. 4</w:t>
      </w:r>
      <w:r w:rsidR="00231B86">
        <w:t xml:space="preserve">. </w:t>
      </w:r>
      <w:r w:rsidR="00572596">
        <w:t xml:space="preserve">The </w:t>
      </w:r>
      <w:r w:rsidR="00231B86">
        <w:t>phenol</w:t>
      </w:r>
      <w:r w:rsidR="00572596">
        <w:t xml:space="preserve"> </w:t>
      </w:r>
      <w:r w:rsidR="00231B86">
        <w:t>level registered at post no. 1 was 0.014 mg/m</w:t>
      </w:r>
      <w:r w:rsidR="00450108">
        <w:t>³</w:t>
      </w:r>
      <w:r w:rsidR="00231B86">
        <w:t xml:space="preserve">, </w:t>
      </w:r>
      <w:r w:rsidR="002F22AF">
        <w:t>0.015</w:t>
      </w:r>
      <w:r w:rsidRPr="00572596" w:rsidR="002F22AF">
        <w:t xml:space="preserve"> </w:t>
      </w:r>
      <w:r w:rsidR="002F22AF">
        <w:t xml:space="preserve">mg/m³ </w:t>
      </w:r>
      <w:r w:rsidR="00231B86">
        <w:t>at post no. 2</w:t>
      </w:r>
      <w:r w:rsidR="002F22AF">
        <w:t xml:space="preserve"> and 0.0012 mg/m³ at post no. 4. </w:t>
      </w:r>
      <w:r w:rsidR="00231B86">
        <w:t xml:space="preserve">Finally, </w:t>
      </w:r>
      <w:r w:rsidR="00572596">
        <w:t xml:space="preserve">the concentration of </w:t>
      </w:r>
      <w:r w:rsidR="00231B86">
        <w:t>formaldehyde at post no. 1 was 0</w:t>
      </w:r>
      <w:r w:rsidR="00AE241A">
        <w:t>.</w:t>
      </w:r>
      <w:r w:rsidR="00231B86">
        <w:t xml:space="preserve">019 </w:t>
      </w:r>
      <w:r w:rsidR="00572596">
        <w:t>mg/m³</w:t>
      </w:r>
      <w:r w:rsidR="00231B86">
        <w:t xml:space="preserve">, whereas </w:t>
      </w:r>
      <w:r w:rsidR="00450108">
        <w:t xml:space="preserve">it was 0.012 mg/m³ </w:t>
      </w:r>
      <w:r w:rsidR="00231B86">
        <w:t xml:space="preserve">at </w:t>
      </w:r>
      <w:r w:rsidR="00572596">
        <w:t>p</w:t>
      </w:r>
      <w:r w:rsidR="00231B86">
        <w:t>ost no. 2</w:t>
      </w:r>
      <w:r w:rsidR="00450108">
        <w:t>,</w:t>
      </w:r>
      <w:r w:rsidR="00231B86">
        <w:t xml:space="preserve"> </w:t>
      </w:r>
      <w:r w:rsidR="00450108">
        <w:t xml:space="preserve">0.018 mg/m³ </w:t>
      </w:r>
      <w:r w:rsidR="00231B86">
        <w:t>at post no</w:t>
      </w:r>
      <w:r w:rsidR="00572596">
        <w:t>.</w:t>
      </w:r>
      <w:r w:rsidR="00231B86">
        <w:t xml:space="preserve"> 3 and </w:t>
      </w:r>
      <w:r w:rsidR="00450108">
        <w:t xml:space="preserve">0.02 mg/m³ </w:t>
      </w:r>
      <w:r w:rsidR="00231B86">
        <w:t>at post no. 4</w:t>
      </w:r>
      <w:r w:rsidR="00450108">
        <w:t>.</w:t>
      </w:r>
    </w:p>
    <w:p w:rsidR="00231B86" w:rsidP="00231B86" w:rsidRDefault="00BB5585">
      <w:pPr>
        <w:pStyle w:val="JuParaCharCharCharCharCharChar"/>
      </w:pPr>
      <w:r>
        <w:fldChar w:fldCharType="begin"/>
      </w:r>
      <w:r>
        <w:instrText xml:space="preserve"> SEQ level0 \*arabic </w:instrText>
      </w:r>
      <w:r>
        <w:fldChar w:fldCharType="separate"/>
      </w:r>
      <w:r w:rsidR="008C3401">
        <w:rPr>
          <w:noProof/>
        </w:rPr>
        <w:t>40</w:t>
      </w:r>
      <w:r>
        <w:fldChar w:fldCharType="end"/>
      </w:r>
      <w:r>
        <w:t>.  </w:t>
      </w:r>
      <w:r w:rsidR="00F25EDC">
        <w:t xml:space="preserve">The report stated that </w:t>
      </w:r>
      <w:r w:rsidR="00572596">
        <w:t xml:space="preserve">the </w:t>
      </w:r>
      <w:r w:rsidR="00F25EDC">
        <w:t>a</w:t>
      </w:r>
      <w:r w:rsidR="00231B86">
        <w:t>verage annual concentrations of nitric oxide, lead, manganese, nitrogen dioxide, ammonia, hydrogen sulphide, phenol, carbon oxide and carbon disul</w:t>
      </w:r>
      <w:r w:rsidR="00CB007B">
        <w:t>ph</w:t>
      </w:r>
      <w:r w:rsidR="00231B86">
        <w:t xml:space="preserve">ide did not exceed </w:t>
      </w:r>
      <w:r w:rsidR="00572596">
        <w:t xml:space="preserve">the </w:t>
      </w:r>
      <w:r w:rsidR="00231B86">
        <w:t>MPL</w:t>
      </w:r>
      <w:r w:rsidR="002F22AF">
        <w:t>s</w:t>
      </w:r>
      <w:r w:rsidR="00231B86">
        <w:t xml:space="preserve">. Excessive annual concentrations were recorded only with respect to dust, formaldehyde </w:t>
      </w:r>
      <w:r w:rsidR="0040297C">
        <w:t xml:space="preserve">and </w:t>
      </w:r>
      <w:r w:rsidR="00231B86">
        <w:t xml:space="preserve">benzopyrene. </w:t>
      </w:r>
      <w:r w:rsidR="00C536FC">
        <w:t>Over</w:t>
      </w:r>
      <w:r w:rsidR="002F22AF">
        <w:t xml:space="preserve"> the </w:t>
      </w:r>
      <w:r w:rsidR="00C819A7">
        <w:t>period</w:t>
      </w:r>
      <w:r w:rsidR="00231B86">
        <w:t xml:space="preserve"> </w:t>
      </w:r>
      <w:r w:rsidR="00C536FC">
        <w:t xml:space="preserve">from </w:t>
      </w:r>
      <w:r w:rsidR="00572596">
        <w:t>1</w:t>
      </w:r>
      <w:r w:rsidR="00231B86">
        <w:t>999</w:t>
      </w:r>
      <w:r w:rsidR="002F22AF">
        <w:t xml:space="preserve"> to </w:t>
      </w:r>
      <w:r w:rsidR="00231B86">
        <w:t>2003</w:t>
      </w:r>
      <w:r w:rsidR="002F22AF">
        <w:t>,</w:t>
      </w:r>
      <w:r w:rsidR="00231B86">
        <w:t xml:space="preserve"> </w:t>
      </w:r>
      <w:r w:rsidR="00572596">
        <w:t xml:space="preserve">a </w:t>
      </w:r>
      <w:r w:rsidR="0040297C">
        <w:t xml:space="preserve">certain </w:t>
      </w:r>
      <w:r w:rsidR="00231B86">
        <w:t xml:space="preserve">improvement </w:t>
      </w:r>
      <w:r w:rsidR="00572596">
        <w:t xml:space="preserve">in </w:t>
      </w:r>
      <w:r w:rsidR="00231B86">
        <w:t xml:space="preserve">the quality of air was registered under the </w:t>
      </w:r>
      <w:r w:rsidR="002F22AF">
        <w:t>steel plant</w:t>
      </w:r>
      <w:r w:rsidR="009952BE">
        <w:t>'</w:t>
      </w:r>
      <w:r w:rsidR="00572596">
        <w:t xml:space="preserve">s </w:t>
      </w:r>
      <w:r w:rsidR="00231B86">
        <w:t>“pollution plume” in the residential area of the town</w:t>
      </w:r>
      <w:r w:rsidR="0040297C">
        <w:t xml:space="preserve">. Thus, the </w:t>
      </w:r>
      <w:r w:rsidR="00572596">
        <w:t xml:space="preserve">proportion </w:t>
      </w:r>
      <w:r w:rsidR="00231B86">
        <w:t>of unsatisfactory tests was 13.2</w:t>
      </w:r>
      <w:r w:rsidR="002F22AF">
        <w:t xml:space="preserve">% </w:t>
      </w:r>
      <w:r w:rsidR="00572596">
        <w:t xml:space="preserve">in 1999, whereas </w:t>
      </w:r>
      <w:r w:rsidR="00231B86">
        <w:t xml:space="preserve">in 2003 it </w:t>
      </w:r>
      <w:r w:rsidR="00572596">
        <w:t xml:space="preserve">had fallen </w:t>
      </w:r>
      <w:r w:rsidR="00231B86">
        <w:t>to 12.7</w:t>
      </w:r>
      <w:r w:rsidR="002F22AF">
        <w:t>%</w:t>
      </w:r>
      <w:r w:rsidR="00572596">
        <w:t>.</w:t>
      </w:r>
      <w:r w:rsidR="00231B86">
        <w:t xml:space="preserve"> The report emphasised that </w:t>
      </w:r>
      <w:r w:rsidR="0040297C">
        <w:t xml:space="preserve">the </w:t>
      </w:r>
      <w:r w:rsidR="00572596">
        <w:t xml:space="preserve">proportion </w:t>
      </w:r>
      <w:r w:rsidR="00231B86">
        <w:t xml:space="preserve">of unsatisfactory </w:t>
      </w:r>
      <w:r w:rsidR="00572596">
        <w:t xml:space="preserve">air </w:t>
      </w:r>
      <w:r w:rsidR="00231B86">
        <w:t xml:space="preserve">tests was decreasing: </w:t>
      </w:r>
      <w:r w:rsidR="00F25EDC">
        <w:t>from 18.4</w:t>
      </w:r>
      <w:r w:rsidR="002F22AF">
        <w:t>%</w:t>
      </w:r>
      <w:r w:rsidR="00AE241A">
        <w:t xml:space="preserve"> </w:t>
      </w:r>
      <w:r w:rsidR="00F25EDC">
        <w:t>to 14.2</w:t>
      </w:r>
      <w:r w:rsidR="002F22AF">
        <w:t>%</w:t>
      </w:r>
      <w:r w:rsidR="00AE241A">
        <w:t xml:space="preserve">, </w:t>
      </w:r>
      <w:r w:rsidR="00F25EDC">
        <w:t xml:space="preserve">as measured </w:t>
      </w:r>
      <w:r w:rsidR="00231B86">
        <w:t xml:space="preserve">at </w:t>
      </w:r>
      <w:r w:rsidR="00450108">
        <w:t>a</w:t>
      </w:r>
      <w:r w:rsidR="002F22AF">
        <w:t xml:space="preserve"> distance of 1</w:t>
      </w:r>
      <w:r w:rsidR="00C536FC">
        <w:t>,</w:t>
      </w:r>
      <w:r w:rsidR="00196F27">
        <w:t xml:space="preserve">000 </w:t>
      </w:r>
      <w:r w:rsidR="00231B86">
        <w:t>m</w:t>
      </w:r>
      <w:r w:rsidR="002F22AF">
        <w:t>etres</w:t>
      </w:r>
      <w:r w:rsidR="00231B86">
        <w:t xml:space="preserve"> from the plant; </w:t>
      </w:r>
      <w:r w:rsidR="00450108">
        <w:t xml:space="preserve">and </w:t>
      </w:r>
      <w:r w:rsidR="00F25EDC">
        <w:t>from 14</w:t>
      </w:r>
      <w:r w:rsidR="00450108">
        <w:t>.</w:t>
      </w:r>
      <w:r w:rsidR="00F25EDC">
        <w:t>05</w:t>
      </w:r>
      <w:r w:rsidR="002F22AF">
        <w:t>%</w:t>
      </w:r>
      <w:r w:rsidR="00F25EDC">
        <w:t xml:space="preserve"> to 12.8</w:t>
      </w:r>
      <w:r w:rsidR="002F22AF">
        <w:t>%</w:t>
      </w:r>
      <w:r w:rsidR="00F25EDC">
        <w:t xml:space="preserve"> </w:t>
      </w:r>
      <w:r w:rsidR="00450108">
        <w:t>at a distance of</w:t>
      </w:r>
      <w:r w:rsidR="00231B86">
        <w:t xml:space="preserve"> 3</w:t>
      </w:r>
      <w:r w:rsidR="00C536FC">
        <w:t>,</w:t>
      </w:r>
      <w:r w:rsidR="00231B86">
        <w:t>000</w:t>
      </w:r>
      <w:r w:rsidR="00196F27">
        <w:t xml:space="preserve"> </w:t>
      </w:r>
      <w:r w:rsidR="00231B86">
        <w:t>m</w:t>
      </w:r>
      <w:r w:rsidR="002F22AF">
        <w:t>etres</w:t>
      </w:r>
      <w:r w:rsidR="00231B86">
        <w:t xml:space="preserve">. </w:t>
      </w:r>
      <w:r w:rsidR="0040297C">
        <w:t>The</w:t>
      </w:r>
      <w:r w:rsidR="00450108">
        <w:t xml:space="preserve"> trend </w:t>
      </w:r>
      <w:r w:rsidR="0040297C">
        <w:t xml:space="preserve">was also positive in respect of certain </w:t>
      </w:r>
      <w:r w:rsidR="00231B86">
        <w:t xml:space="preserve">specific </w:t>
      </w:r>
      <w:r w:rsidR="00C819A7">
        <w:t>substances</w:t>
      </w:r>
      <w:r w:rsidR="00231B86">
        <w:t xml:space="preserve">: </w:t>
      </w:r>
      <w:r w:rsidR="0040297C">
        <w:t>within</w:t>
      </w:r>
      <w:r w:rsidR="00231B86">
        <w:t xml:space="preserve"> 1</w:t>
      </w:r>
      <w:r w:rsidR="00C536FC">
        <w:t>,</w:t>
      </w:r>
      <w:r w:rsidR="00231B86">
        <w:t>000 m</w:t>
      </w:r>
      <w:r w:rsidR="002F22AF">
        <w:t>etres</w:t>
      </w:r>
      <w:r w:rsidR="00231B86">
        <w:t xml:space="preserve"> the </w:t>
      </w:r>
      <w:r w:rsidR="00450108">
        <w:t xml:space="preserve">proportion </w:t>
      </w:r>
      <w:r w:rsidR="00231B86">
        <w:t xml:space="preserve">of unsatisfactory tests </w:t>
      </w:r>
      <w:r w:rsidR="00450108">
        <w:t xml:space="preserve">for </w:t>
      </w:r>
      <w:r w:rsidR="00231B86">
        <w:t xml:space="preserve">nitrogen dioxide </w:t>
      </w:r>
      <w:r w:rsidR="00F25EDC">
        <w:t xml:space="preserve">decreased </w:t>
      </w:r>
      <w:r w:rsidR="00231B86">
        <w:t>from 50</w:t>
      </w:r>
      <w:r w:rsidR="002F22AF">
        <w:t>%</w:t>
      </w:r>
      <w:r w:rsidR="00AE241A">
        <w:t xml:space="preserve"> in 199</w:t>
      </w:r>
      <w:r w:rsidR="002F22AF">
        <w:t>9 to 47%</w:t>
      </w:r>
      <w:r w:rsidR="00AE241A">
        <w:t xml:space="preserve"> </w:t>
      </w:r>
      <w:r w:rsidR="00231B86">
        <w:t xml:space="preserve">in 2003; </w:t>
      </w:r>
      <w:r w:rsidR="00450108">
        <w:t>for</w:t>
      </w:r>
      <w:r w:rsidR="00231B86">
        <w:t xml:space="preserve"> hydrogen sulphide </w:t>
      </w:r>
      <w:r w:rsidR="002F22AF">
        <w:t>they fell from</w:t>
      </w:r>
      <w:r w:rsidR="00231B86">
        <w:t xml:space="preserve"> 75</w:t>
      </w:r>
      <w:r w:rsidR="002F22AF">
        <w:t>%</w:t>
      </w:r>
      <w:r w:rsidR="00231B86">
        <w:t xml:space="preserve"> in 1999 to 20</w:t>
      </w:r>
      <w:r w:rsidR="002F22AF">
        <w:t>%</w:t>
      </w:r>
      <w:r w:rsidR="00231B86">
        <w:t xml:space="preserve"> in 2003</w:t>
      </w:r>
      <w:r w:rsidR="00196F27">
        <w:t>;</w:t>
      </w:r>
      <w:r w:rsidR="00231B86">
        <w:t xml:space="preserve"> </w:t>
      </w:r>
      <w:r w:rsidR="00450108">
        <w:t xml:space="preserve">and for </w:t>
      </w:r>
      <w:r w:rsidR="00231B86">
        <w:t xml:space="preserve">phenol </w:t>
      </w:r>
      <w:r w:rsidR="002F22AF">
        <w:t>they decreased</w:t>
      </w:r>
      <w:r w:rsidR="00F25EDC">
        <w:t xml:space="preserve"> </w:t>
      </w:r>
      <w:r w:rsidR="00231B86">
        <w:t>from 52</w:t>
      </w:r>
      <w:r w:rsidR="002F22AF">
        <w:t>%</w:t>
      </w:r>
      <w:r w:rsidR="00231B86">
        <w:t xml:space="preserve"> in 1999 to 38</w:t>
      </w:r>
      <w:r w:rsidR="002F22AF">
        <w:t>%</w:t>
      </w:r>
      <w:r w:rsidR="00231B86">
        <w:t xml:space="preserve"> in 2003.</w:t>
      </w:r>
    </w:p>
    <w:p w:rsidRPr="00532D57" w:rsidR="00231B86" w:rsidP="00231B86" w:rsidRDefault="00BB5585">
      <w:pPr>
        <w:pStyle w:val="JuParaChar"/>
      </w:pPr>
      <w:r>
        <w:fldChar w:fldCharType="begin"/>
      </w:r>
      <w:r>
        <w:instrText xml:space="preserve"> SEQ level0 \*arabic </w:instrText>
      </w:r>
      <w:r>
        <w:fldChar w:fldCharType="separate"/>
      </w:r>
      <w:r w:rsidR="008C3401">
        <w:rPr>
          <w:noProof/>
        </w:rPr>
        <w:t>41</w:t>
      </w:r>
      <w:r>
        <w:fldChar w:fldCharType="end"/>
      </w:r>
      <w:r>
        <w:t>.  </w:t>
      </w:r>
      <w:r w:rsidR="00231B86">
        <w:t>The report contained generalised data on average pollution levels for</w:t>
      </w:r>
      <w:r w:rsidR="002F22AF">
        <w:t xml:space="preserve"> the years 1999 to </w:t>
      </w:r>
      <w:r w:rsidR="00231B86">
        <w:t xml:space="preserve">2003, collected from four stationary posts of the </w:t>
      </w:r>
      <w:r w:rsidRPr="00DE7FCC" w:rsidR="00231B86">
        <w:t>State Agency for Hydrometeorology</w:t>
      </w:r>
      <w:r w:rsidR="00231B86">
        <w:t>. T</w:t>
      </w:r>
      <w:r w:rsidRPr="00DE7FCC" w:rsidR="00231B86">
        <w:t xml:space="preserve">he Government </w:t>
      </w:r>
      <w:r w:rsidR="00231B86">
        <w:t xml:space="preserve">also </w:t>
      </w:r>
      <w:r w:rsidRPr="00DE7FCC" w:rsidR="00231B86">
        <w:t>pr</w:t>
      </w:r>
      <w:r w:rsidR="00231B86">
        <w:t>oduced</w:t>
      </w:r>
      <w:r w:rsidRPr="00DE7FCC" w:rsidR="00231B86">
        <w:t xml:space="preserve"> data collected from monitoring</w:t>
      </w:r>
      <w:r w:rsidR="00231B86">
        <w:t xml:space="preserve"> post no. 1, reflecting</w:t>
      </w:r>
      <w:r w:rsidRPr="00DE7FCC" w:rsidR="00231B86">
        <w:t xml:space="preserve"> </w:t>
      </w:r>
      <w:r w:rsidR="00231B86">
        <w:t xml:space="preserve">a reduction in the </w:t>
      </w:r>
      <w:r w:rsidRPr="00DE7FCC" w:rsidR="00231B86">
        <w:t>average annual</w:t>
      </w:r>
      <w:r w:rsidR="00231B86">
        <w:t xml:space="preserve"> and maximum </w:t>
      </w:r>
      <w:r w:rsidRPr="00DE7FCC" w:rsidR="00231B86">
        <w:t>pollution l</w:t>
      </w:r>
      <w:r w:rsidR="00231B86">
        <w:t>evels compared to the situation which existed ten to twenty years ago</w:t>
      </w:r>
      <w:r w:rsidR="0040297C">
        <w:t>.</w:t>
      </w:r>
      <w:r w:rsidR="00231B86">
        <w:t xml:space="preserve"> </w:t>
      </w:r>
      <w:r w:rsidR="0040297C">
        <w:t>T</w:t>
      </w:r>
      <w:r w:rsidR="00F25EDC">
        <w:t>he most</w:t>
      </w:r>
      <w:r w:rsidR="00C536FC">
        <w:t xml:space="preserve"> important</w:t>
      </w:r>
      <w:r w:rsidR="00F25EDC">
        <w:t xml:space="preserve"> data </w:t>
      </w:r>
      <w:r w:rsidR="0040297C">
        <w:t xml:space="preserve">contained in these reports </w:t>
      </w:r>
      <w:r w:rsidR="00C536FC">
        <w:t>are</w:t>
      </w:r>
      <w:r w:rsidR="00231B86">
        <w:t xml:space="preserve"> </w:t>
      </w:r>
      <w:r w:rsidR="00F25EDC">
        <w:t xml:space="preserve">summarised in the </w:t>
      </w:r>
      <w:r w:rsidR="003A0579">
        <w:t>a</w:t>
      </w:r>
      <w:r w:rsidRPr="00E67C85" w:rsidR="00231B86">
        <w:t>ppendix</w:t>
      </w:r>
      <w:r w:rsidR="00F25EDC">
        <w:t xml:space="preserve"> to </w:t>
      </w:r>
      <w:r w:rsidR="002F22AF">
        <w:t>this</w:t>
      </w:r>
      <w:r w:rsidR="00F25EDC">
        <w:t xml:space="preserve"> judgment</w:t>
      </w:r>
      <w:r w:rsidR="00231B86">
        <w:t>.</w:t>
      </w:r>
    </w:p>
    <w:p w:rsidR="00772DF2" w:rsidP="00252EB8" w:rsidRDefault="00BB5585">
      <w:pPr>
        <w:pStyle w:val="JuParaCharCharCharCharCharChar"/>
      </w:pPr>
      <w:r>
        <w:fldChar w:fldCharType="begin"/>
      </w:r>
      <w:r>
        <w:instrText xml:space="preserve"> SEQ level0 \*arabic </w:instrText>
      </w:r>
      <w:r>
        <w:fldChar w:fldCharType="separate"/>
      </w:r>
      <w:r w:rsidR="008C3401">
        <w:rPr>
          <w:noProof/>
        </w:rPr>
        <w:t>42</w:t>
      </w:r>
      <w:r>
        <w:fldChar w:fldCharType="end"/>
      </w:r>
      <w:r>
        <w:t>.  </w:t>
      </w:r>
      <w:r w:rsidR="00231B86">
        <w:t xml:space="preserve">The Government also produced extracts from </w:t>
      </w:r>
      <w:r w:rsidR="007A122B">
        <w:t>a</w:t>
      </w:r>
      <w:r w:rsidR="002F22AF">
        <w:t xml:space="preserve"> report by the c</w:t>
      </w:r>
      <w:r w:rsidR="00231B86">
        <w:t xml:space="preserve">hief </w:t>
      </w:r>
      <w:r w:rsidR="002F22AF">
        <w:t>sanitary i</w:t>
      </w:r>
      <w:r w:rsidR="00231B86">
        <w:t xml:space="preserve">nspector </w:t>
      </w:r>
      <w:r w:rsidRPr="00E67C85" w:rsidR="00231B86">
        <w:t xml:space="preserve">for the </w:t>
      </w:r>
      <w:smartTag w:uri="urn:schemas-microsoft-com:office:smarttags" w:element="City">
        <w:smartTag w:uri="urn:schemas-microsoft-com:office:smarttags" w:element="place">
          <w:r w:rsidR="00231B86" w:rsidRPr="00E67C85">
            <w:t>Vologda</w:t>
          </w:r>
        </w:smartTag>
      </w:smartTag>
      <w:r w:rsidR="002F22AF">
        <w:t xml:space="preserve"> r</w:t>
      </w:r>
      <w:r w:rsidR="00231B86">
        <w:t xml:space="preserve">egion, </w:t>
      </w:r>
      <w:r w:rsidR="007A122B">
        <w:t xml:space="preserve">which was </w:t>
      </w:r>
      <w:r w:rsidR="00231B86">
        <w:t xml:space="preserve">prepared in June 2004 for the purpose of defining new boundaries for the sanitary security zone. According to the report, Severstal was still responsible </w:t>
      </w:r>
      <w:r w:rsidR="007A122B">
        <w:t xml:space="preserve">in 2004 </w:t>
      </w:r>
      <w:r w:rsidR="00231B86">
        <w:t>for 94</w:t>
      </w:r>
      <w:r w:rsidR="00C536FC">
        <w:t xml:space="preserve"> to </w:t>
      </w:r>
      <w:r w:rsidR="0040297C">
        <w:t>97</w:t>
      </w:r>
      <w:r w:rsidR="002F22AF">
        <w:t>%</w:t>
      </w:r>
      <w:r w:rsidR="0040297C">
        <w:t xml:space="preserve"> </w:t>
      </w:r>
      <w:r w:rsidR="00231B86">
        <w:t xml:space="preserve">of overall air pollution in the city. The report stated that the emissions from Severstal contained </w:t>
      </w:r>
      <w:r w:rsidR="002F22AF">
        <w:t>eighty</w:t>
      </w:r>
      <w:r w:rsidR="00231B86">
        <w:t xml:space="preserve"> different pollutant substances. </w:t>
      </w:r>
      <w:r w:rsidR="007A122B">
        <w:t>D</w:t>
      </w:r>
      <w:r w:rsidR="00231B86">
        <w:t>espite a significant reduction in pollution in recent years, the maximum concentration</w:t>
      </w:r>
      <w:r w:rsidR="007A122B">
        <w:t>s</w:t>
      </w:r>
      <w:r w:rsidR="00231B86">
        <w:t xml:space="preserve"> of “five priority pollutants” (dust containing </w:t>
      </w:r>
      <w:r w:rsidR="00AE241A">
        <w:t>more</w:t>
      </w:r>
      <w:r w:rsidR="0040297C">
        <w:t xml:space="preserve"> than </w:t>
      </w:r>
      <w:r w:rsidR="00231B86">
        <w:t>20</w:t>
      </w:r>
      <w:r w:rsidR="002F22AF">
        <w:t>%</w:t>
      </w:r>
      <w:r w:rsidR="0040297C">
        <w:t xml:space="preserve"> of silicon dioxide</w:t>
      </w:r>
      <w:r w:rsidR="00231B86">
        <w:t>, ferroalloy dust, nitrogen dioxide, naphthalene and hydrogen sulphide) still exceed</w:t>
      </w:r>
      <w:r w:rsidR="00196F27">
        <w:t>ed</w:t>
      </w:r>
      <w:r w:rsidR="00231B86">
        <w:t xml:space="preserve"> safety standards at distances of one to five kilometres from the plant. The report further indicated that “more than 150,000 people live</w:t>
      </w:r>
      <w:r w:rsidR="00C536FC">
        <w:t>[d]</w:t>
      </w:r>
      <w:r w:rsidR="00231B86">
        <w:t xml:space="preserve"> in a zone where the acceptable level of risk </w:t>
      </w:r>
      <w:r w:rsidR="00C536FC">
        <w:t>[was]</w:t>
      </w:r>
      <w:r w:rsidR="00231B86">
        <w:t xml:space="preserve"> exceeded”. </w:t>
      </w:r>
      <w:r w:rsidR="00C536FC">
        <w:t>It</w:t>
      </w:r>
      <w:r w:rsidR="00231B86">
        <w:t xml:space="preserve"> proposed a number of measures which should reduce the concentration of naphthalene and ferroalloys to safe levels</w:t>
      </w:r>
      <w:r w:rsidRPr="007616AE" w:rsidR="00231B86">
        <w:t xml:space="preserve"> </w:t>
      </w:r>
      <w:r w:rsidR="00231B86">
        <w:t>by 2010</w:t>
      </w:r>
      <w:r w:rsidR="007A122B">
        <w:t>, and stated that</w:t>
      </w:r>
      <w:r w:rsidR="00231B86">
        <w:t xml:space="preserve"> the concentration of all toxic substances originating from the Severstal facilities in the bottom layer of the atmosphere should be below the maximum permissible limits by 2015</w:t>
      </w:r>
      <w:r w:rsidRPr="00E67C85" w:rsidR="00231B86">
        <w:t>.</w:t>
      </w:r>
    </w:p>
    <w:p w:rsidR="00BF4FA2" w:rsidP="002C02F4" w:rsidRDefault="00BB5585">
      <w:pPr>
        <w:pStyle w:val="JuParaCharCharCharCharCharChar"/>
      </w:pPr>
      <w:r>
        <w:fldChar w:fldCharType="begin"/>
      </w:r>
      <w:r>
        <w:instrText xml:space="preserve"> SEQ level0 \*arabic </w:instrText>
      </w:r>
      <w:r>
        <w:fldChar w:fldCharType="separate"/>
      </w:r>
      <w:r w:rsidR="008C3401">
        <w:rPr>
          <w:noProof/>
        </w:rPr>
        <w:t>43</w:t>
      </w:r>
      <w:r>
        <w:fldChar w:fldCharType="end"/>
      </w:r>
      <w:r>
        <w:t>.  </w:t>
      </w:r>
      <w:r w:rsidR="00C953AA">
        <w:t>Finally</w:t>
      </w:r>
      <w:r w:rsidR="007A122B">
        <w:t>,</w:t>
      </w:r>
      <w:r w:rsidR="00231B86">
        <w:t xml:space="preserve"> the Government </w:t>
      </w:r>
      <w:r w:rsidR="00C953AA">
        <w:t xml:space="preserve">submitted </w:t>
      </w:r>
      <w:r w:rsidR="00231B86">
        <w:t>that</w:t>
      </w:r>
      <w:r w:rsidR="007A122B">
        <w:t xml:space="preserve">, should </w:t>
      </w:r>
      <w:r w:rsidRPr="00532D57" w:rsidR="00231B86">
        <w:t xml:space="preserve">the Court </w:t>
      </w:r>
      <w:r w:rsidR="00231B86">
        <w:t>n</w:t>
      </w:r>
      <w:r w:rsidRPr="00532D57" w:rsidR="00231B86">
        <w:t xml:space="preserve">eed </w:t>
      </w:r>
      <w:r w:rsidR="00231B86">
        <w:t xml:space="preserve">the </w:t>
      </w:r>
      <w:r w:rsidRPr="00532D57" w:rsidR="00231B86">
        <w:t>document</w:t>
      </w:r>
      <w:r w:rsidR="00231B86">
        <w:t>s</w:t>
      </w:r>
      <w:r w:rsidRPr="00532D57" w:rsidR="00231B86">
        <w:t xml:space="preserve"> </w:t>
      </w:r>
      <w:r w:rsidR="00231B86">
        <w:t>sought by the applicant and referred to by her representatives as a source of primary information on air pollution, “</w:t>
      </w:r>
      <w:r w:rsidRPr="001B1C78" w:rsidR="00231B86">
        <w:t xml:space="preserve">the authorities of the </w:t>
      </w:r>
      <w:smartTag w:uri="urn:schemas-microsoft-com:office:smarttags" w:element="country-region">
        <w:smartTag w:uri="urn:schemas-microsoft-com:office:smarttags" w:element="place">
          <w:r w:rsidR="00231B86" w:rsidRPr="001B1C78">
            <w:t>Russian Federation</w:t>
          </w:r>
        </w:smartTag>
      </w:smartTag>
      <w:r w:rsidRPr="001B1C78" w:rsidR="00231B86">
        <w:t xml:space="preserve"> propose </w:t>
      </w:r>
      <w:r w:rsidR="00231B86">
        <w:t xml:space="preserve">that </w:t>
      </w:r>
      <w:r w:rsidRPr="001B1C78" w:rsidR="00231B86">
        <w:t xml:space="preserve">this document </w:t>
      </w:r>
      <w:r w:rsidR="00231B86">
        <w:t xml:space="preserve">be requested </w:t>
      </w:r>
      <w:r w:rsidRPr="001B1C78" w:rsidR="00231B86">
        <w:t>from Mr</w:t>
      </w:r>
      <w:r w:rsidR="00231B86">
        <w:t> </w:t>
      </w:r>
      <w:r w:rsidRPr="001B1C78" w:rsidR="00231B86">
        <w:t>Korote</w:t>
      </w:r>
      <w:r w:rsidR="00231B86">
        <w:t>y</w:t>
      </w:r>
      <w:r w:rsidRPr="001B1C78" w:rsidR="00231B86">
        <w:t>ev</w:t>
      </w:r>
      <w:r w:rsidR="00231B86">
        <w:t xml:space="preserve"> [one of the applicant</w:t>
      </w:r>
      <w:r w:rsidR="009952BE">
        <w:t>'</w:t>
      </w:r>
      <w:r w:rsidR="00231B86">
        <w:t>s representatives]”</w:t>
      </w:r>
      <w:r w:rsidRPr="001B1C78" w:rsidR="00231B86">
        <w:t>.</w:t>
      </w:r>
    </w:p>
    <w:p w:rsidRPr="00DE7FCC" w:rsidR="00794DE5" w:rsidP="00252EB8" w:rsidRDefault="00733CE0">
      <w:pPr>
        <w:pStyle w:val="JuHA"/>
        <w:outlineLvl w:val="0"/>
      </w:pPr>
      <w:r>
        <w:t>D</w:t>
      </w:r>
      <w:r w:rsidRPr="00DE7FCC" w:rsidR="00794DE5">
        <w:t>.</w:t>
      </w:r>
      <w:r w:rsidR="00BD04AB">
        <w:t>  </w:t>
      </w:r>
      <w:r w:rsidRPr="00DE7FCC" w:rsidR="007D35B2">
        <w:t>Effect</w:t>
      </w:r>
      <w:r w:rsidRPr="00DE7FCC" w:rsidR="00867E02">
        <w:t>s</w:t>
      </w:r>
      <w:r w:rsidRPr="00DE7FCC" w:rsidR="00794DE5">
        <w:t xml:space="preserve"> of pollution on the applicant</w:t>
      </w:r>
    </w:p>
    <w:p w:rsidRPr="00DE7FCC" w:rsidR="00631373" w:rsidP="00252EB8" w:rsidRDefault="00BB5585">
      <w:pPr>
        <w:pStyle w:val="JuParaCharCharCharCharCharChar"/>
      </w:pPr>
      <w:r>
        <w:rPr>
          <w:szCs w:val="24"/>
        </w:rPr>
        <w:fldChar w:fldCharType="begin"/>
      </w:r>
      <w:r>
        <w:rPr>
          <w:szCs w:val="24"/>
        </w:rPr>
        <w:instrText xml:space="preserve"> SEQ level0 \*arabic </w:instrText>
      </w:r>
      <w:r>
        <w:rPr>
          <w:szCs w:val="24"/>
        </w:rPr>
        <w:fldChar w:fldCharType="separate"/>
      </w:r>
      <w:r w:rsidR="008C3401">
        <w:rPr>
          <w:noProof/>
          <w:szCs w:val="24"/>
        </w:rPr>
        <w:t>44</w:t>
      </w:r>
      <w:r>
        <w:rPr>
          <w:szCs w:val="24"/>
        </w:rPr>
        <w:fldChar w:fldCharType="end"/>
      </w:r>
      <w:r>
        <w:rPr>
          <w:szCs w:val="24"/>
        </w:rPr>
        <w:t>.  </w:t>
      </w:r>
      <w:r w:rsidR="00631373">
        <w:rPr>
          <w:szCs w:val="24"/>
        </w:rPr>
        <w:t>S</w:t>
      </w:r>
      <w:r w:rsidRPr="00DE7FCC" w:rsidR="00631373">
        <w:t xml:space="preserve">ince 1982 Ms Fadeyeva has been supervised by the clinic </w:t>
      </w:r>
      <w:r w:rsidR="00A43E5C">
        <w:t xml:space="preserve">at </w:t>
      </w:r>
      <w:r w:rsidRPr="00DE7FCC" w:rsidR="00A43E5C">
        <w:t xml:space="preserve">Cherepovets </w:t>
      </w:r>
      <w:smartTag w:uri="urn:schemas-microsoft-com:office:smarttags" w:element="PlaceType">
        <w:r w:rsidR="00631373" w:rsidRPr="00DE7FCC">
          <w:t>Hospital</w:t>
        </w:r>
      </w:smartTag>
      <w:r w:rsidRPr="00DE7FCC" w:rsidR="00631373">
        <w:t xml:space="preserve"> </w:t>
      </w:r>
      <w:r w:rsidR="00AE241A">
        <w:t>n</w:t>
      </w:r>
      <w:r w:rsidRPr="00DE7FCC" w:rsidR="00631373">
        <w:t>o. 2</w:t>
      </w:r>
      <w:r w:rsidR="00631373">
        <w:t>.</w:t>
      </w:r>
      <w:r w:rsidRPr="00DE7FCC" w:rsidR="00631373">
        <w:t xml:space="preserve"> </w:t>
      </w:r>
      <w:r w:rsidR="00631373">
        <w:t>A</w:t>
      </w:r>
      <w:r w:rsidRPr="00DE7FCC" w:rsidR="00631373">
        <w:t xml:space="preserve">ccording to the Government, </w:t>
      </w:r>
      <w:r w:rsidR="00631373">
        <w:t>the applicant</w:t>
      </w:r>
      <w:r w:rsidR="009952BE">
        <w:t>'</w:t>
      </w:r>
      <w:r w:rsidR="00631373">
        <w:t>s</w:t>
      </w:r>
      <w:r w:rsidRPr="00DE7FCC" w:rsidR="00631373">
        <w:t xml:space="preserve"> medical history in this clinic does not link the deterioration </w:t>
      </w:r>
      <w:r w:rsidR="00A43E5C">
        <w:t xml:space="preserve">in </w:t>
      </w:r>
      <w:r w:rsidR="00631373">
        <w:t xml:space="preserve">her </w:t>
      </w:r>
      <w:r w:rsidRPr="00DE7FCC" w:rsidR="00631373">
        <w:t xml:space="preserve">health to </w:t>
      </w:r>
      <w:r w:rsidR="00196F27">
        <w:t>adverse</w:t>
      </w:r>
      <w:r w:rsidRPr="00DE7FCC" w:rsidR="00631373">
        <w:t xml:space="preserve"> </w:t>
      </w:r>
      <w:r w:rsidR="00631373">
        <w:t xml:space="preserve">environmental </w:t>
      </w:r>
      <w:r w:rsidRPr="00DE7FCC" w:rsidR="00631373">
        <w:t xml:space="preserve">conditions </w:t>
      </w:r>
      <w:r w:rsidR="00196F27">
        <w:t>at</w:t>
      </w:r>
      <w:r w:rsidRPr="00DE7FCC" w:rsidR="00631373">
        <w:t xml:space="preserve"> her place of residence.</w:t>
      </w:r>
    </w:p>
    <w:p w:rsidRPr="00DE7FCC" w:rsidR="00794DE5" w:rsidP="00F71765" w:rsidRDefault="00BB5585">
      <w:pPr>
        <w:pStyle w:val="JuPara"/>
      </w:pPr>
      <w:r>
        <w:fldChar w:fldCharType="begin"/>
      </w:r>
      <w:r>
        <w:instrText xml:space="preserve"> SEQ level0 \*arabic </w:instrText>
      </w:r>
      <w:r>
        <w:fldChar w:fldCharType="separate"/>
      </w:r>
      <w:r w:rsidR="008C3401">
        <w:rPr>
          <w:noProof/>
        </w:rPr>
        <w:t>45</w:t>
      </w:r>
      <w:r>
        <w:fldChar w:fldCharType="end"/>
      </w:r>
      <w:r>
        <w:t>.  </w:t>
      </w:r>
      <w:r w:rsidRPr="00631373" w:rsidR="00631373">
        <w:t xml:space="preserve">In 2001 </w:t>
      </w:r>
      <w:r w:rsidR="00631373">
        <w:t xml:space="preserve">a medical team </w:t>
      </w:r>
      <w:r w:rsidR="00A43E5C">
        <w:t xml:space="preserve">from </w:t>
      </w:r>
      <w:r w:rsidR="00631373">
        <w:t xml:space="preserve">the clinic </w:t>
      </w:r>
      <w:r w:rsidRPr="00631373" w:rsidR="00631373">
        <w:t>carri</w:t>
      </w:r>
      <w:r w:rsidR="00631373">
        <w:t>ed</w:t>
      </w:r>
      <w:r w:rsidRPr="00631373" w:rsidR="00631373">
        <w:t xml:space="preserve"> out regular medical </w:t>
      </w:r>
      <w:r w:rsidR="00A43E5C">
        <w:t xml:space="preserve">check-ups </w:t>
      </w:r>
      <w:r w:rsidRPr="00631373" w:rsidR="00631373">
        <w:t>o</w:t>
      </w:r>
      <w:r w:rsidR="00A43E5C">
        <w:t>n</w:t>
      </w:r>
      <w:r w:rsidRPr="00631373" w:rsidR="00631373">
        <w:t xml:space="preserve"> the staff </w:t>
      </w:r>
      <w:r w:rsidR="0060177C">
        <w:t xml:space="preserve">at </w:t>
      </w:r>
      <w:r w:rsidRPr="00631373" w:rsidR="00631373">
        <w:t>the applicant</w:t>
      </w:r>
      <w:r w:rsidR="009952BE">
        <w:t>'</w:t>
      </w:r>
      <w:r w:rsidRPr="00631373" w:rsidR="00631373">
        <w:t>s place of work</w:t>
      </w:r>
      <w:r w:rsidR="00631373">
        <w:t>.</w:t>
      </w:r>
      <w:r w:rsidRPr="00631373" w:rsidR="00631373">
        <w:t xml:space="preserve"> </w:t>
      </w:r>
      <w:r w:rsidR="00631373">
        <w:t>As a result of th</w:t>
      </w:r>
      <w:r w:rsidR="00A43E5C">
        <w:t>ese</w:t>
      </w:r>
      <w:r w:rsidR="00631373">
        <w:t xml:space="preserve"> examination</w:t>
      </w:r>
      <w:r w:rsidR="00A43E5C">
        <w:t>s,</w:t>
      </w:r>
      <w:r w:rsidR="00631373">
        <w:t xml:space="preserve"> t</w:t>
      </w:r>
      <w:r w:rsidRPr="00631373" w:rsidR="00631373">
        <w:t>he doctors detected indications of a</w:t>
      </w:r>
      <w:r w:rsidR="007A122B">
        <w:t>n</w:t>
      </w:r>
      <w:r w:rsidRPr="00631373" w:rsidR="00631373">
        <w:t xml:space="preserve"> </w:t>
      </w:r>
      <w:r w:rsidR="00E67C85">
        <w:t>occupational</w:t>
      </w:r>
      <w:r w:rsidR="00A43E5C">
        <w:t xml:space="preserve"> illness in </w:t>
      </w:r>
      <w:r w:rsidRPr="00631373" w:rsidR="00631373">
        <w:t>five workers, including the applicant. In 2002 the diagnosis was confirmed</w:t>
      </w:r>
      <w:r w:rsidR="00631373">
        <w:t>:</w:t>
      </w:r>
      <w:r w:rsidRPr="00631373" w:rsidR="00631373">
        <w:t xml:space="preserve"> </w:t>
      </w:r>
      <w:r w:rsidR="007A122B">
        <w:t>a</w:t>
      </w:r>
      <w:r w:rsidRPr="00DE7FCC" w:rsidR="00631373">
        <w:t xml:space="preserve"> medical report drawn up by the Hospital of </w:t>
      </w:r>
      <w:r w:rsidR="00707549">
        <w:t xml:space="preserve">the </w:t>
      </w:r>
      <w:r w:rsidRPr="00DE7FCC" w:rsidR="00631373">
        <w:t>North-West Scientific Centre for Hygiene and Public Health in S</w:t>
      </w:r>
      <w:r w:rsidR="00DE6DED">
        <w:t xml:space="preserve">t </w:t>
      </w:r>
      <w:r w:rsidRPr="00DE7FCC" w:rsidR="00631373">
        <w:t>Petersburg on 30</w:t>
      </w:r>
      <w:r w:rsidR="00A93D13">
        <w:t xml:space="preserve"> </w:t>
      </w:r>
      <w:r w:rsidRPr="00DE7FCC" w:rsidR="00631373">
        <w:t xml:space="preserve">May 2002 stated that she suffered from various illnesses of the nervous system, namely </w:t>
      </w:r>
      <w:r w:rsidR="00E67C85">
        <w:t>occupational</w:t>
      </w:r>
      <w:r w:rsidR="00A43E5C">
        <w:t xml:space="preserve"> </w:t>
      </w:r>
      <w:r w:rsidRPr="00DE7FCC" w:rsidR="00631373">
        <w:t xml:space="preserve">progressive/motor-sensory neuropathy of the upper extremities with paralysis of both middle nerves at the level of </w:t>
      </w:r>
      <w:r w:rsidR="00A43E5C">
        <w:t xml:space="preserve">the </w:t>
      </w:r>
      <w:r w:rsidRPr="00DE7FCC" w:rsidR="00631373">
        <w:t>wrist channel (</w:t>
      </w:r>
      <w:r w:rsidR="00A43E5C">
        <w:t xml:space="preserve">primary </w:t>
      </w:r>
      <w:r w:rsidRPr="00DE7FCC" w:rsidR="00631373">
        <w:t xml:space="preserve">diagnosis), osteochondrosis </w:t>
      </w:r>
      <w:r w:rsidRPr="00155056" w:rsidR="00155056">
        <w:t>of the spinal vertebrae</w:t>
      </w:r>
      <w:r w:rsidRPr="00DE7FCC" w:rsidR="00631373">
        <w:t xml:space="preserve">, deforming arthrosis of the knee joints, </w:t>
      </w:r>
      <w:r w:rsidRPr="00155056" w:rsidR="00155056">
        <w:t>moderate myelin sheath degeneration</w:t>
      </w:r>
      <w:r w:rsidRPr="00155056" w:rsidR="00631373">
        <w:t>, chronic</w:t>
      </w:r>
      <w:r w:rsidRPr="00DE7FCC" w:rsidR="00631373">
        <w:t xml:space="preserve"> g</w:t>
      </w:r>
      <w:r w:rsidR="00530F1D">
        <w:t>astroduodenitis, hypermetropia first</w:t>
      </w:r>
      <w:r w:rsidR="00E67C85">
        <w:t xml:space="preserve"> </w:t>
      </w:r>
      <w:r w:rsidRPr="00DE7FCC" w:rsidR="00631373">
        <w:t>grade (eyes)</w:t>
      </w:r>
      <w:r w:rsidR="00707549">
        <w:t xml:space="preserve"> and </w:t>
      </w:r>
      <w:r w:rsidRPr="00DE7FCC" w:rsidR="00631373">
        <w:t xml:space="preserve">presbyopia (associated diagnoses). Whilst the causes of these illnesses </w:t>
      </w:r>
      <w:r w:rsidR="00631373">
        <w:t>wer</w:t>
      </w:r>
      <w:r w:rsidRPr="00DE7FCC" w:rsidR="00631373">
        <w:t xml:space="preserve">e not expressly </w:t>
      </w:r>
      <w:r w:rsidR="00A43E5C">
        <w:t xml:space="preserve">indicated </w:t>
      </w:r>
      <w:r w:rsidRPr="00DE7FCC" w:rsidR="00631373">
        <w:t>in the report, the doctors stated that they would be exacerbated by “working in condition</w:t>
      </w:r>
      <w:r w:rsidR="007A122B">
        <w:t>s of vibration, toxic pollution</w:t>
      </w:r>
      <w:r w:rsidRPr="00DE7FCC" w:rsidR="00631373">
        <w:t xml:space="preserve"> </w:t>
      </w:r>
      <w:r w:rsidR="00BF4FA2">
        <w:t xml:space="preserve">and </w:t>
      </w:r>
      <w:r w:rsidR="00A43E5C">
        <w:t xml:space="preserve">an </w:t>
      </w:r>
      <w:r w:rsidRPr="00DE7FCC" w:rsidR="00631373">
        <w:t>unfavourable climate”</w:t>
      </w:r>
      <w:r w:rsidR="00BF4FA2">
        <w:t>.</w:t>
      </w:r>
    </w:p>
    <w:p w:rsidRPr="00DE7FCC" w:rsidR="00EF0CED" w:rsidP="00F71765" w:rsidRDefault="00BB5585">
      <w:pPr>
        <w:pStyle w:val="JuPara"/>
      </w:pPr>
      <w:r>
        <w:fldChar w:fldCharType="begin"/>
      </w:r>
      <w:r>
        <w:instrText xml:space="preserve"> SEQ level0 \*arabic </w:instrText>
      </w:r>
      <w:r>
        <w:fldChar w:fldCharType="separate"/>
      </w:r>
      <w:r w:rsidR="008C3401">
        <w:rPr>
          <w:noProof/>
        </w:rPr>
        <w:t>46</w:t>
      </w:r>
      <w:r>
        <w:fldChar w:fldCharType="end"/>
      </w:r>
      <w:r>
        <w:t>.  </w:t>
      </w:r>
      <w:r w:rsidR="00631373">
        <w:t>In 2004 t</w:t>
      </w:r>
      <w:r w:rsidRPr="00DE7FCC" w:rsidR="006252C5">
        <w:t>he applicant</w:t>
      </w:r>
      <w:r w:rsidRPr="00DE7FCC" w:rsidR="00F4721A">
        <w:t xml:space="preserve"> </w:t>
      </w:r>
      <w:r w:rsidR="00A43E5C">
        <w:t xml:space="preserve">submitted </w:t>
      </w:r>
      <w:r w:rsidRPr="00DE7FCC" w:rsidR="00EF0CED">
        <w:t xml:space="preserve">a </w:t>
      </w:r>
      <w:r w:rsidRPr="00DE7FCC" w:rsidR="006252C5">
        <w:t>report</w:t>
      </w:r>
      <w:r w:rsidR="00530F1D">
        <w:t xml:space="preserve"> entitled “Human health risk assessment of pollutant levels in the vicinity of the Severstal f</w:t>
      </w:r>
      <w:r w:rsidRPr="00DE7FCC" w:rsidR="00EF0CED">
        <w:t xml:space="preserve">acility in </w:t>
      </w:r>
      <w:smartTag w:uri="urn:schemas-microsoft-com:office:smarttags" w:element="City">
        <w:smartTag w:uri="urn:schemas-microsoft-com:office:smarttags" w:element="place">
          <w:r w:rsidR="00EF0CED" w:rsidRPr="00DE7FCC">
            <w:t>Cherepovets</w:t>
          </w:r>
        </w:smartTag>
      </w:smartTag>
      <w:r w:rsidRPr="00DE7FCC" w:rsidR="00EF0CED">
        <w:t>”. This report</w:t>
      </w:r>
      <w:r w:rsidRPr="00DE7FCC" w:rsidR="00F4721A">
        <w:t>,</w:t>
      </w:r>
      <w:r w:rsidRPr="00DE7FCC" w:rsidR="00EF0CED">
        <w:t xml:space="preserve"> commissioned on behalf of the applicant</w:t>
      </w:r>
      <w:r w:rsidRPr="00DE7FCC" w:rsidR="00F4721A">
        <w:t>, was</w:t>
      </w:r>
      <w:r w:rsidRPr="00DE7FCC" w:rsidR="00EF0CED">
        <w:t xml:space="preserve"> </w:t>
      </w:r>
      <w:r w:rsidRPr="00DE7FCC" w:rsidR="006252C5">
        <w:t>prepared by Dr Mark Chernaik</w:t>
      </w:r>
      <w:r w:rsidR="007D7CD4">
        <w:rPr>
          <w:rStyle w:val="FootnoteReference"/>
        </w:rPr>
        <w:footnoteReference w:id="2"/>
      </w:r>
      <w:r w:rsidRPr="00DE7FCC" w:rsidR="00EF0CED">
        <w:t>. Dr</w:t>
      </w:r>
      <w:r w:rsidR="00A93D13">
        <w:t xml:space="preserve"> </w:t>
      </w:r>
      <w:r w:rsidRPr="00DE7FCC" w:rsidR="00EF0CED">
        <w:t>Che</w:t>
      </w:r>
      <w:r w:rsidR="00AB1858">
        <w:t xml:space="preserve">rnaik </w:t>
      </w:r>
      <w:r w:rsidR="00A43E5C">
        <w:t xml:space="preserve">concluded </w:t>
      </w:r>
      <w:r w:rsidRPr="00DE7FCC" w:rsidR="00EF0CED">
        <w:t xml:space="preserve">that he would expect the population residing within the zone </w:t>
      </w:r>
      <w:r w:rsidR="00A43E5C">
        <w:t xml:space="preserve">to </w:t>
      </w:r>
      <w:r w:rsidRPr="00DE7FCC" w:rsidR="00EF0CED">
        <w:t xml:space="preserve">suffer from </w:t>
      </w:r>
      <w:r w:rsidR="00707549">
        <w:t xml:space="preserve">above-average </w:t>
      </w:r>
      <w:r w:rsidRPr="00DE7FCC" w:rsidR="00EF0CED">
        <w:t>incidences of odour annoyance, respiratory infections, irritation of the nose, cough</w:t>
      </w:r>
      <w:r w:rsidR="00A43E5C">
        <w:t>s</w:t>
      </w:r>
      <w:r w:rsidRPr="00DE7FCC" w:rsidR="00EF0CED">
        <w:t xml:space="preserve"> and headaches, thyroid abnormalities, cancer of the nose and respiratory tract, chronic irritation of the eyes, nose and throat, and adverse </w:t>
      </w:r>
      <w:r w:rsidR="00A43E5C">
        <w:t xml:space="preserve">impacts on </w:t>
      </w:r>
      <w:r w:rsidRPr="00DE7FCC" w:rsidR="00EF0CED">
        <w:t>neurobehavioral, neurological, cardiovascular and reproducti</w:t>
      </w:r>
      <w:r w:rsidR="00AB1858">
        <w:t xml:space="preserve">ve </w:t>
      </w:r>
      <w:r w:rsidR="00A43E5C">
        <w:t>functions</w:t>
      </w:r>
      <w:r w:rsidR="00AB1858">
        <w:t>. The report concluded</w:t>
      </w:r>
      <w:r w:rsidRPr="00DE7FCC" w:rsidR="00EF0CED">
        <w:t xml:space="preserve"> as follows:</w:t>
      </w:r>
    </w:p>
    <w:p w:rsidRPr="00DE7FCC" w:rsidR="00E00A68" w:rsidP="002A47A5" w:rsidRDefault="00EF0CED">
      <w:pPr>
        <w:pStyle w:val="JuQuot"/>
      </w:pPr>
      <w:r w:rsidRPr="00DE7FCC">
        <w:t xml:space="preserve">“The toxic pollutants found in excessive levels within the </w:t>
      </w:r>
      <w:r w:rsidR="00530F1D">
        <w:t>sanitary security z</w:t>
      </w:r>
      <w:r w:rsidRPr="00DE7FCC">
        <w:t xml:space="preserve">one </w:t>
      </w:r>
      <w:r w:rsidR="00A43E5C">
        <w:t xml:space="preserve">in </w:t>
      </w:r>
      <w:r w:rsidRPr="00DE7FCC">
        <w:t>Cherepovets are all gaseous pollutants specifically produced by iron and steel manufacturing plants (</w:t>
      </w:r>
      <w:r w:rsidR="00A43E5C">
        <w:t xml:space="preserve">in particular, </w:t>
      </w:r>
      <w:r w:rsidRPr="00DE7FCC">
        <w:t>by process units involved in metallurgical coke production)</w:t>
      </w:r>
      <w:r w:rsidR="007A122B">
        <w:t>,</w:t>
      </w:r>
      <w:r w:rsidRPr="00DE7FCC">
        <w:t xml:space="preserve"> but not usually by other industrial facilities.</w:t>
      </w:r>
    </w:p>
    <w:p w:rsidR="00EF0CED" w:rsidP="002A47A5" w:rsidRDefault="00EF0CED">
      <w:pPr>
        <w:pStyle w:val="JuQuot"/>
      </w:pPr>
      <w:r w:rsidRPr="00DE7FCC">
        <w:t xml:space="preserve">It is therefore reasonable to conclude that inadequately controlled emissions from the Severstal facility are a primary cause of </w:t>
      </w:r>
      <w:r w:rsidR="00707549">
        <w:t xml:space="preserve">the </w:t>
      </w:r>
      <w:r w:rsidRPr="00DE7FCC">
        <w:t>excess incidences of the above</w:t>
      </w:r>
      <w:r w:rsidR="007A122B">
        <w:t xml:space="preserve">-mentioned </w:t>
      </w:r>
      <w:r w:rsidRPr="00DE7FCC">
        <w:t xml:space="preserve">adverse health </w:t>
      </w:r>
      <w:r w:rsidR="00707549">
        <w:t>conditions</w:t>
      </w:r>
      <w:r w:rsidR="007A122B">
        <w:t xml:space="preserve"> </w:t>
      </w:r>
      <w:r w:rsidRPr="00DE7FCC">
        <w:t xml:space="preserve">of persons residing within the </w:t>
      </w:r>
      <w:r w:rsidR="00530F1D">
        <w:t>sanitary security z</w:t>
      </w:r>
      <w:r w:rsidRPr="00DE7FCC">
        <w:t xml:space="preserve">one </w:t>
      </w:r>
      <w:r w:rsidR="00A43E5C">
        <w:t xml:space="preserve">in </w:t>
      </w:r>
      <w:smartTag w:uri="urn:schemas-microsoft-com:office:smarttags" w:element="City">
        <w:smartTag w:uri="urn:schemas-microsoft-com:office:smarttags" w:element="place">
          <w:r w:rsidRPr="00DE7FCC">
            <w:t>Cherepovets</w:t>
          </w:r>
        </w:smartTag>
      </w:smartTag>
      <w:r w:rsidRPr="00DE7FCC">
        <w:t>.”</w:t>
      </w:r>
    </w:p>
    <w:p w:rsidR="002B319B" w:rsidP="00252EB8" w:rsidRDefault="00BB5585">
      <w:pPr>
        <w:pStyle w:val="JuParaCharCharCharCharCharChar"/>
      </w:pPr>
      <w:r>
        <w:fldChar w:fldCharType="begin"/>
      </w:r>
      <w:r>
        <w:instrText xml:space="preserve"> SEQ level0 \*arabic </w:instrText>
      </w:r>
      <w:r>
        <w:fldChar w:fldCharType="separate"/>
      </w:r>
      <w:r w:rsidR="008C3401">
        <w:rPr>
          <w:noProof/>
        </w:rPr>
        <w:t>47</w:t>
      </w:r>
      <w:r>
        <w:fldChar w:fldCharType="end"/>
      </w:r>
      <w:r>
        <w:t>.  </w:t>
      </w:r>
      <w:r w:rsidR="00BA25D4">
        <w:t xml:space="preserve">The applicant </w:t>
      </w:r>
      <w:r w:rsidR="00D61A1B">
        <w:t xml:space="preserve">also </w:t>
      </w:r>
      <w:r w:rsidR="00A43E5C">
        <w:t xml:space="preserve">submitted </w:t>
      </w:r>
      <w:r w:rsidR="00BA25D4">
        <w:t xml:space="preserve">an information note </w:t>
      </w:r>
      <w:r w:rsidR="00A43E5C">
        <w:t xml:space="preserve">from </w:t>
      </w:r>
      <w:r w:rsidR="00530F1D">
        <w:t>the environmental d</w:t>
      </w:r>
      <w:r w:rsidR="00BA25D4">
        <w:t xml:space="preserve">epartment of </w:t>
      </w:r>
      <w:r w:rsidR="00A43E5C">
        <w:t xml:space="preserve">the </w:t>
      </w:r>
      <w:smartTag w:uri="urn:schemas-microsoft-com:office:smarttags" w:element="City">
        <w:smartTag w:uri="urn:schemas-microsoft-com:office:smarttags" w:element="place">
          <w:r w:rsidR="00BA25D4">
            <w:t>Cherepovets</w:t>
          </w:r>
        </w:smartTag>
      </w:smartTag>
      <w:r w:rsidR="00BA25D4">
        <w:t xml:space="preserve"> municipality, which contained recommendations to </w:t>
      </w:r>
      <w:smartTag w:uri="urn:schemas-microsoft-com:office:smarttags" w:element="City">
        <w:smartTag w:uri="urn:schemas-microsoft-com:office:smarttags" w:element="place">
          <w:r w:rsidR="00A43E5C">
            <w:t>Cherepovets</w:t>
          </w:r>
        </w:smartTag>
      </w:smartTag>
      <w:r w:rsidR="00A43E5C">
        <w:t xml:space="preserve"> </w:t>
      </w:r>
      <w:r w:rsidR="00BA25D4">
        <w:t xml:space="preserve">residents on how to act in circumstances of “unfavourable weather conditions”, namely when the wind </w:t>
      </w:r>
      <w:r w:rsidR="00A43E5C">
        <w:t>carrie</w:t>
      </w:r>
      <w:r w:rsidR="00C536FC">
        <w:t>d</w:t>
      </w:r>
      <w:r w:rsidR="00A43E5C">
        <w:t xml:space="preserve"> </w:t>
      </w:r>
      <w:r w:rsidR="00BA25D4">
        <w:t>emissions from the Severstal plant to</w:t>
      </w:r>
      <w:r w:rsidR="00A43E5C">
        <w:t>ward</w:t>
      </w:r>
      <w:r w:rsidR="00C536FC">
        <w:t>s</w:t>
      </w:r>
      <w:r w:rsidR="00BA25D4">
        <w:t xml:space="preserve"> the </w:t>
      </w:r>
      <w:r w:rsidR="00E67C85">
        <w:t>city</w:t>
      </w:r>
      <w:r w:rsidR="00BA25D4">
        <w:t>. The note recommend</w:t>
      </w:r>
      <w:r w:rsidR="00C536FC">
        <w:t>ed</w:t>
      </w:r>
      <w:r w:rsidR="00BA25D4">
        <w:t xml:space="preserve"> th</w:t>
      </w:r>
      <w:r w:rsidR="00A43E5C">
        <w:t xml:space="preserve">at </w:t>
      </w:r>
      <w:r w:rsidR="00BA25D4">
        <w:t xml:space="preserve">people </w:t>
      </w:r>
      <w:r w:rsidR="00C536FC">
        <w:t>should stay at</w:t>
      </w:r>
      <w:r w:rsidR="00BA25D4">
        <w:t xml:space="preserve"> home and restrict </w:t>
      </w:r>
      <w:r w:rsidR="00C536FC">
        <w:t xml:space="preserve">their </w:t>
      </w:r>
      <w:r w:rsidR="00BA25D4">
        <w:t>physical activity</w:t>
      </w:r>
      <w:r w:rsidR="00707549">
        <w:t xml:space="preserve">. It also </w:t>
      </w:r>
      <w:r w:rsidR="00A43E5C">
        <w:t>contain</w:t>
      </w:r>
      <w:r w:rsidR="00C536FC">
        <w:t>ed</w:t>
      </w:r>
      <w:r w:rsidR="00A43E5C">
        <w:t xml:space="preserve"> dietary </w:t>
      </w:r>
      <w:r w:rsidR="00BA25D4">
        <w:t>suggest</w:t>
      </w:r>
      <w:r w:rsidR="00A43E5C">
        <w:t>ions</w:t>
      </w:r>
      <w:r w:rsidR="00BA25D4">
        <w:t xml:space="preserve">. The </w:t>
      </w:r>
      <w:r w:rsidR="00C536FC">
        <w:t xml:space="preserve">primary reason for these </w:t>
      </w:r>
      <w:r w:rsidR="00530F1D">
        <w:t xml:space="preserve">restrictive recommendations </w:t>
      </w:r>
      <w:r w:rsidR="00C536FC">
        <w:t xml:space="preserve">was </w:t>
      </w:r>
      <w:r w:rsidR="00BA25D4">
        <w:t>emissions from the Severstal plant. The applicant also refer</w:t>
      </w:r>
      <w:r w:rsidR="00D61A1B">
        <w:t>red</w:t>
      </w:r>
      <w:r w:rsidR="00BA25D4">
        <w:t xml:space="preserve"> to </w:t>
      </w:r>
      <w:r w:rsidR="00A43E5C">
        <w:t>a</w:t>
      </w:r>
      <w:r w:rsidR="00707549">
        <w:t xml:space="preserve"> </w:t>
      </w:r>
      <w:r w:rsidR="00A93D13">
        <w:t xml:space="preserve">letter dated 20 September </w:t>
      </w:r>
      <w:r w:rsidR="00BA25D4">
        <w:t xml:space="preserve">2001 from the Cherepovets Centre for </w:t>
      </w:r>
      <w:r w:rsidR="00BF4FA2">
        <w:t>S</w:t>
      </w:r>
      <w:r w:rsidR="00BA25D4">
        <w:t xml:space="preserve">anitary </w:t>
      </w:r>
      <w:r w:rsidR="00BF4FA2">
        <w:t>C</w:t>
      </w:r>
      <w:r w:rsidR="00D61A1B">
        <w:t>ontrol</w:t>
      </w:r>
      <w:r w:rsidR="00A43E5C">
        <w:t>,</w:t>
      </w:r>
      <w:r w:rsidR="00BA25D4">
        <w:t xml:space="preserve"> stat</w:t>
      </w:r>
      <w:r w:rsidR="00A43E5C">
        <w:t xml:space="preserve">ing </w:t>
      </w:r>
      <w:r w:rsidR="00BA25D4">
        <w:t xml:space="preserve">that </w:t>
      </w:r>
      <w:r w:rsidR="00A43E5C">
        <w:t>when</w:t>
      </w:r>
      <w:r w:rsidR="00BA25D4">
        <w:t xml:space="preserve"> such “unfavourable weather conditions”</w:t>
      </w:r>
      <w:r w:rsidR="00A43E5C">
        <w:t xml:space="preserve"> occur</w:t>
      </w:r>
      <w:r w:rsidR="00C536FC">
        <w:t>red</w:t>
      </w:r>
      <w:r w:rsidR="00BA25D4">
        <w:t>, admissions of children to local health clinics increase</w:t>
      </w:r>
      <w:r w:rsidR="00C536FC">
        <w:t>d</w:t>
      </w:r>
      <w:r w:rsidR="00BA25D4">
        <w:t xml:space="preserve"> by 1.3.</w:t>
      </w:r>
    </w:p>
    <w:p w:rsidRPr="00DE7FCC" w:rsidR="00CD49A7" w:rsidP="00252EB8" w:rsidRDefault="00CD49A7">
      <w:pPr>
        <w:pStyle w:val="JuHIRoman"/>
        <w:outlineLvl w:val="0"/>
      </w:pPr>
      <w:r w:rsidRPr="00DE7FCC">
        <w:t>II.</w:t>
      </w:r>
      <w:r w:rsidRPr="00DE7FCC" w:rsidR="00AB1858">
        <w:t> </w:t>
      </w:r>
      <w:r w:rsidR="00BD04AB">
        <w:t> </w:t>
      </w:r>
      <w:r w:rsidRPr="00DE7FCC" w:rsidR="00AB1858">
        <w:t>RELEVANT</w:t>
      </w:r>
      <w:r w:rsidRPr="00DE7FCC">
        <w:t xml:space="preserve"> DOMESTIC LAW AND PRACTICE</w:t>
      </w:r>
    </w:p>
    <w:p w:rsidRPr="00DE7FCC" w:rsidR="001746CE" w:rsidP="00252EB8" w:rsidRDefault="00F71765">
      <w:pPr>
        <w:pStyle w:val="JuHA"/>
        <w:outlineLvl w:val="0"/>
      </w:pPr>
      <w:r>
        <w:t>A</w:t>
      </w:r>
      <w:r w:rsidRPr="00DE7FCC" w:rsidR="001746CE">
        <w:t>.  Environmental standards</w:t>
      </w:r>
    </w:p>
    <w:p w:rsidR="002C02F4" w:rsidP="00252EB8" w:rsidRDefault="00BB5585">
      <w:pPr>
        <w:pStyle w:val="JuParaCharCharCharCharCharChar"/>
      </w:pPr>
      <w:r>
        <w:fldChar w:fldCharType="begin"/>
      </w:r>
      <w:r>
        <w:instrText xml:space="preserve"> SEQ level0 \*arabic </w:instrText>
      </w:r>
      <w:r>
        <w:fldChar w:fldCharType="separate"/>
      </w:r>
      <w:r w:rsidR="008C3401">
        <w:rPr>
          <w:noProof/>
        </w:rPr>
        <w:t>48</w:t>
      </w:r>
      <w:r>
        <w:fldChar w:fldCharType="end"/>
      </w:r>
      <w:r>
        <w:t>.  </w:t>
      </w:r>
      <w:r w:rsidR="002C02F4">
        <w:t xml:space="preserve">Article 42 of the Constitution of the </w:t>
      </w:r>
      <w:smartTag w:uri="urn:schemas-microsoft-com:office:smarttags" w:element="country-region">
        <w:smartTag w:uri="urn:schemas-microsoft-com:office:smarttags" w:element="place">
          <w:r w:rsidR="002C02F4">
            <w:t>Russian Federation</w:t>
          </w:r>
        </w:smartTag>
      </w:smartTag>
      <w:r w:rsidR="002C02F4">
        <w:t xml:space="preserve"> reads as follows:</w:t>
      </w:r>
    </w:p>
    <w:p w:rsidR="002C02F4" w:rsidP="002A47A5" w:rsidRDefault="002C02F4">
      <w:pPr>
        <w:pStyle w:val="JuQuot"/>
      </w:pPr>
      <w:r>
        <w:t xml:space="preserve">“Everyone has the right to </w:t>
      </w:r>
      <w:r w:rsidR="007A122B">
        <w:t xml:space="preserve">a </w:t>
      </w:r>
      <w:r>
        <w:t xml:space="preserve">favourable environment, to reliable information about its state, and to compensation </w:t>
      </w:r>
      <w:r w:rsidR="003C3EFD">
        <w:t xml:space="preserve">for </w:t>
      </w:r>
      <w:r>
        <w:t>damage caused to his health or property by ecological offences</w:t>
      </w:r>
      <w:r w:rsidR="00530F1D">
        <w:t>.</w:t>
      </w:r>
      <w:r>
        <w:t>”</w:t>
      </w:r>
    </w:p>
    <w:p w:rsidRPr="00DE7FCC" w:rsidR="001746CE" w:rsidP="00252EB8" w:rsidRDefault="00BB5585">
      <w:pPr>
        <w:pStyle w:val="JuParaCharCharCharCharCharChar"/>
      </w:pPr>
      <w:r>
        <w:fldChar w:fldCharType="begin"/>
      </w:r>
      <w:r>
        <w:instrText xml:space="preserve"> SEQ level0 \*arabic </w:instrText>
      </w:r>
      <w:r>
        <w:fldChar w:fldCharType="separate"/>
      </w:r>
      <w:r w:rsidR="008C3401">
        <w:rPr>
          <w:noProof/>
        </w:rPr>
        <w:t>49</w:t>
      </w:r>
      <w:r>
        <w:fldChar w:fldCharType="end"/>
      </w:r>
      <w:r>
        <w:t>.  </w:t>
      </w:r>
      <w:r w:rsidRPr="00DE7FCC" w:rsidR="001746CE">
        <w:t>Pu</w:t>
      </w:r>
      <w:r w:rsidR="00A93D13">
        <w:t xml:space="preserve">rsuant to the Federal Law of 30 </w:t>
      </w:r>
      <w:r w:rsidRPr="00DE7FCC" w:rsidR="001746CE">
        <w:t xml:space="preserve">March 1999 on </w:t>
      </w:r>
      <w:r w:rsidR="00530F1D">
        <w:t>s</w:t>
      </w:r>
      <w:r w:rsidRPr="00DE7FCC" w:rsidR="001746CE">
        <w:t xml:space="preserve">anitary </w:t>
      </w:r>
      <w:r w:rsidR="00530F1D">
        <w:t>s</w:t>
      </w:r>
      <w:r w:rsidRPr="00DE7FCC" w:rsidR="001746CE">
        <w:t>afety</w:t>
      </w:r>
      <w:r w:rsidR="002C02F4">
        <w:t xml:space="preserve"> (</w:t>
      </w:r>
      <w:r w:rsidRPr="002C02F4" w:rsidR="002C02F4">
        <w:rPr>
          <w:i/>
          <w:lang w:val="ru-RU"/>
        </w:rPr>
        <w:t>О</w:t>
      </w:r>
      <w:r w:rsidRPr="002C02F4" w:rsidR="002C02F4">
        <w:rPr>
          <w:i/>
        </w:rPr>
        <w:t xml:space="preserve"> </w:t>
      </w:r>
      <w:r w:rsidRPr="002C02F4" w:rsidR="002C02F4">
        <w:rPr>
          <w:i/>
          <w:lang w:val="ru-RU"/>
        </w:rPr>
        <w:t>санитарно</w:t>
      </w:r>
      <w:r w:rsidRPr="002C02F4" w:rsidR="002C02F4">
        <w:rPr>
          <w:i/>
        </w:rPr>
        <w:t>-</w:t>
      </w:r>
      <w:r w:rsidRPr="002C02F4" w:rsidR="002C02F4">
        <w:rPr>
          <w:i/>
          <w:lang w:val="ru-RU"/>
        </w:rPr>
        <w:t>эпидемологическом</w:t>
      </w:r>
      <w:r w:rsidRPr="002C02F4" w:rsidR="002C02F4">
        <w:rPr>
          <w:i/>
        </w:rPr>
        <w:t xml:space="preserve"> </w:t>
      </w:r>
      <w:r w:rsidRPr="002C02F4" w:rsidR="002C02F4">
        <w:rPr>
          <w:i/>
          <w:lang w:val="ru-RU"/>
        </w:rPr>
        <w:t>благополучии</w:t>
      </w:r>
      <w:r w:rsidRPr="002C02F4" w:rsidR="002C02F4">
        <w:rPr>
          <w:i/>
        </w:rPr>
        <w:t xml:space="preserve"> </w:t>
      </w:r>
      <w:r w:rsidRPr="002C02F4" w:rsidR="002C02F4">
        <w:rPr>
          <w:i/>
          <w:lang w:val="ru-RU"/>
        </w:rPr>
        <w:t>населения</w:t>
      </w:r>
      <w:r w:rsidRPr="002C02F4" w:rsidR="002C02F4">
        <w:t>)</w:t>
      </w:r>
      <w:r w:rsidRPr="00DE7FCC" w:rsidR="001746CE">
        <w:t xml:space="preserve">, the </w:t>
      </w:r>
      <w:r w:rsidR="00C536FC">
        <w:t>F</w:t>
      </w:r>
      <w:r w:rsidR="00530F1D">
        <w:t>ederal Sanitary S</w:t>
      </w:r>
      <w:r w:rsidRPr="00DE7FCC" w:rsidR="001746CE">
        <w:t xml:space="preserve">ervice establishes State standards </w:t>
      </w:r>
      <w:r w:rsidR="001D3237">
        <w:t>for</w:t>
      </w:r>
      <w:r w:rsidRPr="00DE7FCC" w:rsidR="001746CE">
        <w:t xml:space="preserve"> protectin</w:t>
      </w:r>
      <w:r w:rsidR="001D3237">
        <w:t>g</w:t>
      </w:r>
      <w:r w:rsidRPr="00DE7FCC" w:rsidR="001746CE">
        <w:t xml:space="preserve"> public health from </w:t>
      </w:r>
      <w:r w:rsidRPr="00707549" w:rsidR="001746CE">
        <w:t>environmental nuisances</w:t>
      </w:r>
      <w:r w:rsidRPr="00DE7FCC" w:rsidR="001746CE">
        <w:t xml:space="preserve">. </w:t>
      </w:r>
      <w:r w:rsidR="00707549">
        <w:t>I</w:t>
      </w:r>
      <w:r w:rsidRPr="00DE7FCC" w:rsidR="001746CE">
        <w:t xml:space="preserve">n particular, </w:t>
      </w:r>
      <w:r w:rsidR="00707549">
        <w:t>t</w:t>
      </w:r>
      <w:r w:rsidRPr="00DE7FCC" w:rsidR="00707549">
        <w:t>hese standards are applied</w:t>
      </w:r>
      <w:r w:rsidR="00707549">
        <w:t xml:space="preserve"> in </w:t>
      </w:r>
      <w:r w:rsidRPr="00DE7FCC" w:rsidR="001746CE">
        <w:t>assess</w:t>
      </w:r>
      <w:r w:rsidR="00707549">
        <w:t>ing</w:t>
      </w:r>
      <w:r w:rsidRPr="00DE7FCC" w:rsidR="001746CE">
        <w:t xml:space="preserve"> </w:t>
      </w:r>
      <w:r w:rsidR="001D3237">
        <w:t xml:space="preserve">air </w:t>
      </w:r>
      <w:r w:rsidRPr="00DE7FCC" w:rsidR="001746CE">
        <w:t xml:space="preserve">quality in cities: atmospheric pollution is assessed in comparison to the maximum permissible limits (MPLs), </w:t>
      </w:r>
      <w:r w:rsidR="008666EB">
        <w:t xml:space="preserve">the measure </w:t>
      </w:r>
      <w:r w:rsidRPr="00DE7FCC" w:rsidR="001746CE">
        <w:t xml:space="preserve">which defines </w:t>
      </w:r>
      <w:r w:rsidR="001D3237">
        <w:t xml:space="preserve">the </w:t>
      </w:r>
      <w:r w:rsidRPr="00DE7FCC" w:rsidR="001746CE">
        <w:t xml:space="preserve">concentration of various toxic substances in the air. </w:t>
      </w:r>
      <w:r w:rsidR="001D3237">
        <w:t xml:space="preserve">It follows from </w:t>
      </w:r>
      <w:r w:rsidR="00E67C85">
        <w:t xml:space="preserve">Regulation </w:t>
      </w:r>
      <w:r w:rsidRPr="00DE7FCC" w:rsidR="001746CE">
        <w:t xml:space="preserve">2.1 of the </w:t>
      </w:r>
      <w:r w:rsidR="001D3237">
        <w:t>S</w:t>
      </w:r>
      <w:r w:rsidRPr="00DE7FCC" w:rsidR="001746CE">
        <w:t xml:space="preserve">anitary </w:t>
      </w:r>
      <w:r w:rsidR="001D3237">
        <w:t>R</w:t>
      </w:r>
      <w:r w:rsidRPr="00DE7FCC" w:rsidR="00AB0217">
        <w:t xml:space="preserve">egulations </w:t>
      </w:r>
      <w:r w:rsidRPr="00DE7FCC" w:rsidR="001746CE">
        <w:t xml:space="preserve">of </w:t>
      </w:r>
      <w:smartTag w:uri="urn:schemas-microsoft-com:office:smarttags" w:element="date">
        <w:smartTagPr>
          <w:attr w:name="Month" w:val="5"/>
          <w:attr w:name="Day" w:val="17"/>
          <w:attr w:name="Year" w:val="2001"/>
        </w:smartTagPr>
        <w:r w:rsidR="001746CE" w:rsidRPr="00DE7FCC">
          <w:t>17 May 2001</w:t>
        </w:r>
      </w:smartTag>
      <w:r w:rsidRPr="00DE7FCC" w:rsidR="001746CE">
        <w:t xml:space="preserve"> and </w:t>
      </w:r>
      <w:r w:rsidR="001D3237">
        <w:t xml:space="preserve">section </w:t>
      </w:r>
      <w:r w:rsidRPr="00DE7FCC" w:rsidR="001746CE">
        <w:t xml:space="preserve">1 of the </w:t>
      </w:r>
      <w:r w:rsidR="001D3237">
        <w:t xml:space="preserve">Atmospheric Protection Act </w:t>
      </w:r>
      <w:r w:rsidRPr="00DE7FCC" w:rsidR="00C536FC">
        <w:t>1999</w:t>
      </w:r>
      <w:r w:rsidR="00707549">
        <w:t xml:space="preserve"> that</w:t>
      </w:r>
      <w:r w:rsidR="00C536FC">
        <w:t>,</w:t>
      </w:r>
      <w:r w:rsidRPr="00DE7FCC" w:rsidR="001746CE">
        <w:t xml:space="preserve"> if the MPLs are not exceeded</w:t>
      </w:r>
      <w:r w:rsidR="00530F1D">
        <w:t>,</w:t>
      </w:r>
      <w:r w:rsidRPr="00DE7FCC" w:rsidR="001746CE">
        <w:t xml:space="preserve"> </w:t>
      </w:r>
      <w:r w:rsidR="001D3237">
        <w:t xml:space="preserve">the </w:t>
      </w:r>
      <w:r w:rsidRPr="00DE7FCC" w:rsidR="001746CE">
        <w:t xml:space="preserve">air is safe for </w:t>
      </w:r>
      <w:r w:rsidR="001D3237">
        <w:t xml:space="preserve">the </w:t>
      </w:r>
      <w:r w:rsidRPr="00DE7FCC" w:rsidR="001746CE">
        <w:t xml:space="preserve">health and well-being of the population living in </w:t>
      </w:r>
      <w:r w:rsidR="001D3237">
        <w:t xml:space="preserve">the </w:t>
      </w:r>
      <w:r w:rsidRPr="00DE7FCC" w:rsidR="001746CE">
        <w:t>re</w:t>
      </w:r>
      <w:r w:rsidR="003C3EFD">
        <w:t xml:space="preserve">levant </w:t>
      </w:r>
      <w:r w:rsidRPr="00DE7FCC" w:rsidR="001746CE">
        <w:t xml:space="preserve">area. </w:t>
      </w:r>
      <w:r w:rsidR="00E67C85">
        <w:t xml:space="preserve">Regulation </w:t>
      </w:r>
      <w:r w:rsidRPr="00DE7FCC" w:rsidR="001746CE">
        <w:t xml:space="preserve">2.2 of the </w:t>
      </w:r>
      <w:r w:rsidR="001D3237">
        <w:t>S</w:t>
      </w:r>
      <w:r w:rsidRPr="00DE7FCC" w:rsidR="001746CE">
        <w:t>anitary</w:t>
      </w:r>
      <w:r w:rsidRPr="00DE7FCC" w:rsidR="00AB0217">
        <w:t xml:space="preserve"> </w:t>
      </w:r>
      <w:r w:rsidR="001D3237">
        <w:t>R</w:t>
      </w:r>
      <w:r w:rsidRPr="00DE7FCC" w:rsidR="00AB0217">
        <w:t>egulations</w:t>
      </w:r>
      <w:r w:rsidR="00C536FC">
        <w:t xml:space="preserve"> provides that</w:t>
      </w:r>
      <w:r w:rsidRPr="00DE7FCC" w:rsidR="001746CE">
        <w:t xml:space="preserve">, </w:t>
      </w:r>
      <w:r w:rsidR="00C536FC">
        <w:t>for all categories of toxic elements, concentrations should not</w:t>
      </w:r>
      <w:r w:rsidR="00A93D13">
        <w:t xml:space="preserve"> exceed 1 </w:t>
      </w:r>
      <w:r w:rsidRPr="00DE7FCC" w:rsidR="001746CE">
        <w:t>MPL</w:t>
      </w:r>
      <w:r w:rsidR="00C536FC">
        <w:t xml:space="preserve"> in residential </w:t>
      </w:r>
      <w:r w:rsidR="00196F27">
        <w:t>areas</w:t>
      </w:r>
      <w:r w:rsidRPr="00DE7FCC" w:rsidR="001746CE">
        <w:t xml:space="preserve"> </w:t>
      </w:r>
      <w:r w:rsidR="001D3237">
        <w:t xml:space="preserve">and </w:t>
      </w:r>
      <w:r w:rsidRPr="00DE7FCC" w:rsidR="001D3237">
        <w:t xml:space="preserve">0.8 MPL </w:t>
      </w:r>
      <w:r w:rsidRPr="00DE7FCC" w:rsidR="001746CE">
        <w:t>in recreational zones.</w:t>
      </w:r>
    </w:p>
    <w:p w:rsidRPr="00DE7FCC" w:rsidR="001746CE" w:rsidP="00252EB8" w:rsidRDefault="00BB5585">
      <w:pPr>
        <w:pStyle w:val="JuParaCharCharCharCharCharChar"/>
      </w:pPr>
      <w:r>
        <w:fldChar w:fldCharType="begin"/>
      </w:r>
      <w:r>
        <w:instrText xml:space="preserve"> SEQ level0 \*arabic </w:instrText>
      </w:r>
      <w:r>
        <w:fldChar w:fldCharType="separate"/>
      </w:r>
      <w:r w:rsidR="008C3401">
        <w:rPr>
          <w:noProof/>
        </w:rPr>
        <w:t>50</w:t>
      </w:r>
      <w:r>
        <w:fldChar w:fldCharType="end"/>
      </w:r>
      <w:r>
        <w:t>.  </w:t>
      </w:r>
      <w:r w:rsidR="00C536FC">
        <w:t>Pursuant to</w:t>
      </w:r>
      <w:r w:rsidRPr="00DE7FCC" w:rsidR="001746CE">
        <w:t xml:space="preserve"> the </w:t>
      </w:r>
      <w:r w:rsidR="00E67C85">
        <w:t>Atmospheric Protection Act</w:t>
      </w:r>
      <w:r w:rsidRPr="00CD363D" w:rsidR="00CD363D">
        <w:t xml:space="preserve"> </w:t>
      </w:r>
      <w:r w:rsidRPr="00DE7FCC" w:rsidR="00CD363D">
        <w:t>of 4 May</w:t>
      </w:r>
      <w:r w:rsidR="00CD363D">
        <w:t xml:space="preserve"> 1999 </w:t>
      </w:r>
      <w:r w:rsidRPr="004012AB" w:rsidR="00CD363D">
        <w:t>(</w:t>
      </w:r>
      <w:r w:rsidRPr="004012AB" w:rsidR="00CD363D">
        <w:rPr>
          <w:i/>
          <w:lang w:val="ru-RU"/>
        </w:rPr>
        <w:t>Об</w:t>
      </w:r>
      <w:r w:rsidRPr="004012AB" w:rsidR="00CD363D">
        <w:rPr>
          <w:i/>
        </w:rPr>
        <w:t xml:space="preserve"> </w:t>
      </w:r>
      <w:r w:rsidRPr="004012AB" w:rsidR="00CD363D">
        <w:rPr>
          <w:i/>
          <w:lang w:val="ru-RU"/>
        </w:rPr>
        <w:t>охране</w:t>
      </w:r>
      <w:r w:rsidRPr="004012AB" w:rsidR="00CD363D">
        <w:rPr>
          <w:i/>
        </w:rPr>
        <w:t xml:space="preserve"> </w:t>
      </w:r>
      <w:r w:rsidRPr="004012AB" w:rsidR="00CD363D">
        <w:rPr>
          <w:i/>
          <w:lang w:val="ru-RU"/>
        </w:rPr>
        <w:t>атмосферного</w:t>
      </w:r>
      <w:r w:rsidRPr="004012AB" w:rsidR="00CD363D">
        <w:rPr>
          <w:i/>
        </w:rPr>
        <w:t xml:space="preserve"> </w:t>
      </w:r>
      <w:r w:rsidRPr="004012AB" w:rsidR="00CD363D">
        <w:rPr>
          <w:i/>
          <w:lang w:val="ru-RU"/>
        </w:rPr>
        <w:t>воздуха</w:t>
      </w:r>
      <w:r w:rsidRPr="004012AB" w:rsidR="00CD363D">
        <w:t>)</w:t>
      </w:r>
      <w:r w:rsidR="00E67C85">
        <w:t>,</w:t>
      </w:r>
      <w:r w:rsidRPr="00DE7FCC" w:rsidR="001746CE">
        <w:t xml:space="preserve"> the </w:t>
      </w:r>
      <w:r w:rsidR="00C536FC">
        <w:t>F</w:t>
      </w:r>
      <w:r w:rsidRPr="00DE7FCC" w:rsidR="001746CE">
        <w:t xml:space="preserve">ederal </w:t>
      </w:r>
      <w:r w:rsidR="00C536FC">
        <w:t>E</w:t>
      </w:r>
      <w:r w:rsidRPr="00DE7FCC" w:rsidR="001746CE">
        <w:t xml:space="preserve">nvironmental </w:t>
      </w:r>
      <w:r w:rsidR="00C536FC">
        <w:t>A</w:t>
      </w:r>
      <w:r w:rsidRPr="00DE7FCC" w:rsidR="001746CE">
        <w:t xml:space="preserve">gency establishes environmental standards for various types of polluting sources (cars, farms, industrial </w:t>
      </w:r>
      <w:r w:rsidR="00C536FC">
        <w:t xml:space="preserve">plants, </w:t>
      </w:r>
      <w:r w:rsidRPr="00DE7FCC" w:rsidR="001746CE">
        <w:t>etc</w:t>
      </w:r>
      <w:r w:rsidR="00530F1D">
        <w:t>.</w:t>
      </w:r>
      <w:r w:rsidRPr="00DE7FCC" w:rsidR="001746CE">
        <w:t xml:space="preserve">). These general standards are applied </w:t>
      </w:r>
      <w:r w:rsidRPr="00DE7FCC" w:rsidR="001D3237">
        <w:t xml:space="preserve">to specific </w:t>
      </w:r>
      <w:r w:rsidR="00C536FC">
        <w:t>undertakings</w:t>
      </w:r>
      <w:r w:rsidRPr="00DE7FCC" w:rsidR="001D3237">
        <w:t xml:space="preserve"> </w:t>
      </w:r>
      <w:r w:rsidRPr="00DE7FCC" w:rsidR="001746CE">
        <w:t xml:space="preserve">by </w:t>
      </w:r>
      <w:r w:rsidR="001D3237">
        <w:t xml:space="preserve">the </w:t>
      </w:r>
      <w:r w:rsidRPr="00DE7FCC" w:rsidR="001746CE">
        <w:t>regional environmental agencies. In pri</w:t>
      </w:r>
      <w:r w:rsidR="009F5DE0">
        <w:t xml:space="preserve">nciple, an industrial </w:t>
      </w:r>
      <w:r w:rsidR="00C536FC">
        <w:t>plant</w:t>
      </w:r>
      <w:r w:rsidR="009952BE">
        <w:t>'</w:t>
      </w:r>
      <w:r w:rsidR="001D3237">
        <w:t xml:space="preserve">s </w:t>
      </w:r>
      <w:r w:rsidRPr="00DE7FCC" w:rsidR="001D3237">
        <w:t xml:space="preserve">operation </w:t>
      </w:r>
      <w:r w:rsidRPr="00DE7FCC" w:rsidR="001746CE">
        <w:t xml:space="preserve">should not </w:t>
      </w:r>
      <w:r w:rsidR="001D3237">
        <w:t xml:space="preserve">result in </w:t>
      </w:r>
      <w:r w:rsidRPr="00DE7FCC" w:rsidR="001746CE">
        <w:t xml:space="preserve">pollution </w:t>
      </w:r>
      <w:r w:rsidR="001D3237">
        <w:t xml:space="preserve">which </w:t>
      </w:r>
      <w:r w:rsidRPr="00DE7FCC" w:rsidR="001746CE">
        <w:t>exceed</w:t>
      </w:r>
      <w:r w:rsidR="001D3237">
        <w:t xml:space="preserve">s </w:t>
      </w:r>
      <w:r w:rsidRPr="00DE7FCC" w:rsidR="001746CE">
        <w:t>the MPLs (</w:t>
      </w:r>
      <w:r w:rsidR="001D3237">
        <w:t xml:space="preserve">section </w:t>
      </w:r>
      <w:r w:rsidRPr="00DE7FCC" w:rsidR="001746CE">
        <w:t>16 of th</w:t>
      </w:r>
      <w:r w:rsidR="001D3237">
        <w:t>e Act</w:t>
      </w:r>
      <w:r w:rsidRPr="00DE7FCC" w:rsidR="001746CE">
        <w:t xml:space="preserve">). However, for the sake of </w:t>
      </w:r>
      <w:r w:rsidR="001D3237">
        <w:t>a region</w:t>
      </w:r>
      <w:r w:rsidR="009952BE">
        <w:t>'</w:t>
      </w:r>
      <w:r w:rsidR="001D3237">
        <w:t xml:space="preserve">s </w:t>
      </w:r>
      <w:r w:rsidRPr="00DE7FCC" w:rsidR="001746CE">
        <w:t xml:space="preserve">economic development, </w:t>
      </w:r>
      <w:r w:rsidR="001D3237">
        <w:t>a</w:t>
      </w:r>
      <w:r w:rsidRPr="00DE7FCC" w:rsidR="001D3237">
        <w:t xml:space="preserve"> </w:t>
      </w:r>
      <w:r w:rsidRPr="00DE7FCC" w:rsidR="001746CE">
        <w:t>regional environmental agency may issue a temporary permi</w:t>
      </w:r>
      <w:r w:rsidR="001D3237">
        <w:t xml:space="preserve">t authorising </w:t>
      </w:r>
      <w:r w:rsidRPr="00DE7FCC" w:rsidR="001746CE">
        <w:t xml:space="preserve">an </w:t>
      </w:r>
      <w:r w:rsidR="00C536FC">
        <w:t>undertaking</w:t>
      </w:r>
      <w:r w:rsidRPr="00DE7FCC" w:rsidR="001746CE">
        <w:t xml:space="preserve"> to exceed these </w:t>
      </w:r>
      <w:r w:rsidR="00707549">
        <w:t xml:space="preserve">norms </w:t>
      </w:r>
      <w:r w:rsidRPr="00DE7FCC" w:rsidR="001746CE">
        <w:t>(</w:t>
      </w:r>
      <w:r w:rsidR="001D3237">
        <w:t xml:space="preserve">sections </w:t>
      </w:r>
      <w:r w:rsidRPr="00DE7FCC" w:rsidR="001746CE">
        <w:t xml:space="preserve">1 and 12 of the </w:t>
      </w:r>
      <w:r w:rsidR="001D3237">
        <w:t>Act</w:t>
      </w:r>
      <w:r w:rsidRPr="00DE7FCC" w:rsidR="001746CE">
        <w:t>). The permi</w:t>
      </w:r>
      <w:r w:rsidR="001D3237">
        <w:t xml:space="preserve">t </w:t>
      </w:r>
      <w:r w:rsidRPr="00DE7FCC" w:rsidR="001746CE">
        <w:t xml:space="preserve">should contain a schedule </w:t>
      </w:r>
      <w:r w:rsidR="001D3237">
        <w:t xml:space="preserve">for the </w:t>
      </w:r>
      <w:r w:rsidRPr="00DE7FCC" w:rsidR="001746CE">
        <w:t>phased reduction of toxic emissions to safe level</w:t>
      </w:r>
      <w:r w:rsidR="001D3237">
        <w:t>s</w:t>
      </w:r>
      <w:r w:rsidRPr="00DE7FCC" w:rsidR="001746CE">
        <w:t>.</w:t>
      </w:r>
    </w:p>
    <w:p w:rsidRPr="00DE7FCC" w:rsidR="001746CE" w:rsidP="00252EB8" w:rsidRDefault="00F71765">
      <w:pPr>
        <w:pStyle w:val="JuHA"/>
        <w:outlineLvl w:val="0"/>
      </w:pPr>
      <w:r>
        <w:t>B</w:t>
      </w:r>
      <w:r w:rsidR="00F8213D">
        <w:t>.  </w:t>
      </w:r>
      <w:r w:rsidR="00530F1D">
        <w:t>Sanitary security z</w:t>
      </w:r>
      <w:r w:rsidRPr="00DE7FCC" w:rsidR="001746CE">
        <w:t>ones</w:t>
      </w:r>
    </w:p>
    <w:p w:rsidR="00772DF2" w:rsidP="00252EB8" w:rsidRDefault="00BF4FA2">
      <w:pPr>
        <w:pStyle w:val="JuH1"/>
      </w:pPr>
      <w:r>
        <w:t>1.</w:t>
      </w:r>
      <w:r w:rsidR="00707549">
        <w:t>  </w:t>
      </w:r>
      <w:r>
        <w:t>Legislation</w:t>
      </w:r>
    </w:p>
    <w:p w:rsidRPr="00DE7FCC" w:rsidR="004F359D" w:rsidP="00252EB8" w:rsidRDefault="00BB5585">
      <w:pPr>
        <w:pStyle w:val="JuParaCharCharCharCharCharChar"/>
      </w:pPr>
      <w:r>
        <w:fldChar w:fldCharType="begin"/>
      </w:r>
      <w:r>
        <w:instrText xml:space="preserve"> SEQ level0 \*arabic </w:instrText>
      </w:r>
      <w:r>
        <w:fldChar w:fldCharType="separate"/>
      </w:r>
      <w:r w:rsidR="008C3401">
        <w:rPr>
          <w:noProof/>
        </w:rPr>
        <w:t>51</w:t>
      </w:r>
      <w:r>
        <w:fldChar w:fldCharType="end"/>
      </w:r>
      <w:r>
        <w:t>.  </w:t>
      </w:r>
      <w:r w:rsidRPr="00DE7FCC" w:rsidR="00AB0217">
        <w:t xml:space="preserve">Every polluting </w:t>
      </w:r>
      <w:r w:rsidR="00C536FC">
        <w:t>undertaking</w:t>
      </w:r>
      <w:r w:rsidRPr="00DE7FCC" w:rsidR="001746CE">
        <w:t xml:space="preserve"> </w:t>
      </w:r>
      <w:r w:rsidR="00C860F8">
        <w:t xml:space="preserve">must </w:t>
      </w:r>
      <w:r w:rsidRPr="00DE7FCC" w:rsidR="001746CE">
        <w:t xml:space="preserve">create a “sanitary security zone” </w:t>
      </w:r>
      <w:r w:rsidRPr="00DE7FCC" w:rsidR="00C860F8">
        <w:t xml:space="preserve">around its </w:t>
      </w:r>
      <w:r w:rsidR="00196F27">
        <w:t>premises</w:t>
      </w:r>
      <w:r w:rsidRPr="00DE7FCC" w:rsidR="00C860F8">
        <w:t xml:space="preserve"> </w:t>
      </w:r>
      <w:r w:rsidRPr="00DE7FCC" w:rsidR="001746CE">
        <w:t xml:space="preserve">– a buffer area separating sources of pollution from the residential areas of </w:t>
      </w:r>
      <w:r w:rsidR="00C860F8">
        <w:t xml:space="preserve">a </w:t>
      </w:r>
      <w:r w:rsidRPr="00DE7FCC" w:rsidR="001746CE">
        <w:t>city</w:t>
      </w:r>
      <w:r w:rsidR="00A93D13">
        <w:t xml:space="preserve"> </w:t>
      </w:r>
      <w:r w:rsidRPr="00DE7FCC" w:rsidR="00AB0217">
        <w:t>(</w:t>
      </w:r>
      <w:r w:rsidR="00E67C85">
        <w:t xml:space="preserve">Regulations </w:t>
      </w:r>
      <w:r w:rsidRPr="00DE7FCC" w:rsidR="00AB0217">
        <w:t>3.5 and</w:t>
      </w:r>
      <w:r w:rsidRPr="00DE7FCC" w:rsidR="00D10DCE">
        <w:t xml:space="preserve"> 3.6 of the </w:t>
      </w:r>
      <w:r w:rsidR="00C860F8">
        <w:t xml:space="preserve">1996 </w:t>
      </w:r>
      <w:r w:rsidR="00E67C85">
        <w:t>S</w:t>
      </w:r>
      <w:r w:rsidRPr="00DE7FCC" w:rsidR="00D10DCE">
        <w:t xml:space="preserve">anitary </w:t>
      </w:r>
      <w:r w:rsidR="00E67C85">
        <w:t>R</w:t>
      </w:r>
      <w:r w:rsidRPr="00DE7FCC" w:rsidR="00D10DCE">
        <w:t>egulations,</w:t>
      </w:r>
      <w:r w:rsidRPr="004012AB" w:rsidR="004012AB">
        <w:t xml:space="preserve"> </w:t>
      </w:r>
      <w:r w:rsidRPr="00DE7FCC" w:rsidR="00D10DCE">
        <w:t xml:space="preserve">enacted by Decree </w:t>
      </w:r>
      <w:r w:rsidR="003C3EFD">
        <w:t>n</w:t>
      </w:r>
      <w:r w:rsidR="00C860F8">
        <w:t xml:space="preserve">o. 41 </w:t>
      </w:r>
      <w:r w:rsidRPr="00DE7FCC" w:rsidR="00D10DCE">
        <w:t xml:space="preserve">of the </w:t>
      </w:r>
      <w:r w:rsidR="00C536FC">
        <w:t>Federal</w:t>
      </w:r>
      <w:r w:rsidRPr="00DE7FCC" w:rsidR="00D10DCE">
        <w:t xml:space="preserve"> Sanitary Service of 31</w:t>
      </w:r>
      <w:r w:rsidR="00AE241A">
        <w:t> </w:t>
      </w:r>
      <w:r w:rsidRPr="00DE7FCC" w:rsidR="00D10DCE">
        <w:t>October 1996</w:t>
      </w:r>
      <w:r w:rsidRPr="00DE7FCC" w:rsidR="00B9082E">
        <w:t xml:space="preserve">; similar provisions </w:t>
      </w:r>
      <w:r w:rsidRPr="00DE7FCC" w:rsidR="006252C5">
        <w:t>were contained</w:t>
      </w:r>
      <w:r w:rsidRPr="00DE7FCC" w:rsidR="00B9082E">
        <w:t xml:space="preserve"> in the 2000, 2001 and 2003</w:t>
      </w:r>
      <w:r w:rsidR="00C536FC">
        <w:t xml:space="preserve"> Sanitary Regulations</w:t>
      </w:r>
      <w:r w:rsidRPr="00DE7FCC" w:rsidR="009C1AE3">
        <w:t>,</w:t>
      </w:r>
      <w:r w:rsidRPr="00DE7FCC" w:rsidR="00B9082E">
        <w:t xml:space="preserve"> which replaced th</w:t>
      </w:r>
      <w:r w:rsidR="00C536FC">
        <w:t>ose of</w:t>
      </w:r>
      <w:r w:rsidRPr="00DE7FCC" w:rsidR="00B9082E">
        <w:t xml:space="preserve"> </w:t>
      </w:r>
      <w:r w:rsidR="00C860F8">
        <w:t>1996</w:t>
      </w:r>
      <w:r w:rsidRPr="00DE7FCC" w:rsidR="00D10DCE">
        <w:t>)</w:t>
      </w:r>
      <w:r w:rsidRPr="00DE7FCC" w:rsidR="001746CE">
        <w:t xml:space="preserve">. </w:t>
      </w:r>
      <w:r w:rsidRPr="00DE7FCC" w:rsidR="00810F2A">
        <w:t xml:space="preserve">The levels of pollution in this </w:t>
      </w:r>
      <w:r w:rsidRPr="00DE7FCC" w:rsidR="009C1AE3">
        <w:t xml:space="preserve">buffer </w:t>
      </w:r>
      <w:r w:rsidRPr="00DE7FCC" w:rsidR="00810F2A">
        <w:t>area may exceed the MPLs.</w:t>
      </w:r>
    </w:p>
    <w:p w:rsidR="00772DF2" w:rsidP="00252EB8" w:rsidRDefault="00BB5585">
      <w:pPr>
        <w:pStyle w:val="JuParaCharCharCharCharCharChar"/>
      </w:pPr>
      <w:r>
        <w:fldChar w:fldCharType="begin"/>
      </w:r>
      <w:r>
        <w:instrText xml:space="preserve"> SEQ level0 \*arabic </w:instrText>
      </w:r>
      <w:r>
        <w:fldChar w:fldCharType="separate"/>
      </w:r>
      <w:r w:rsidR="008C3401">
        <w:rPr>
          <w:noProof/>
        </w:rPr>
        <w:t>52</w:t>
      </w:r>
      <w:r>
        <w:fldChar w:fldCharType="end"/>
      </w:r>
      <w:r>
        <w:t>.  </w:t>
      </w:r>
      <w:r w:rsidRPr="00DE7FCC" w:rsidR="004F359D">
        <w:t xml:space="preserve">The </w:t>
      </w:r>
      <w:r w:rsidR="00E67C85">
        <w:t>minimum</w:t>
      </w:r>
      <w:r w:rsidRPr="00DE7FCC" w:rsidR="00E67C85">
        <w:t xml:space="preserve"> </w:t>
      </w:r>
      <w:r w:rsidRPr="00DE7FCC" w:rsidR="004F359D">
        <w:t xml:space="preserve">width of </w:t>
      </w:r>
      <w:r w:rsidRPr="00DE7FCC" w:rsidR="00D10DCE">
        <w:t xml:space="preserve">the </w:t>
      </w:r>
      <w:r w:rsidRPr="00DE7FCC" w:rsidR="004F359D">
        <w:t>zone is defined by the</w:t>
      </w:r>
      <w:r w:rsidR="00530F1D">
        <w:t xml:space="preserve"> </w:t>
      </w:r>
      <w:r w:rsidR="00196F27">
        <w:t>s</w:t>
      </w:r>
      <w:r w:rsidR="00530F1D">
        <w:t xml:space="preserve">anitary </w:t>
      </w:r>
      <w:r w:rsidR="00196F27">
        <w:t>r</w:t>
      </w:r>
      <w:r w:rsidRPr="00DE7FCC" w:rsidR="00D10DCE">
        <w:t xml:space="preserve">egulations for different categories of </w:t>
      </w:r>
      <w:r w:rsidR="00C536FC">
        <w:t>undertaking</w:t>
      </w:r>
      <w:r w:rsidRPr="00DE7FCC" w:rsidR="004F359D">
        <w:t xml:space="preserve">. </w:t>
      </w:r>
      <w:r w:rsidR="00530F1D">
        <w:t>Under the terms of</w:t>
      </w:r>
      <w:r w:rsidRPr="00DE7FCC" w:rsidR="004F359D">
        <w:t xml:space="preserve"> </w:t>
      </w:r>
      <w:r w:rsidRPr="00DE7FCC" w:rsidR="00D10DCE">
        <w:t xml:space="preserve">the </w:t>
      </w:r>
      <w:r w:rsidR="00C860F8">
        <w:t xml:space="preserve">1996 </w:t>
      </w:r>
      <w:r w:rsidR="00C536FC">
        <w:t>Sanitary R</w:t>
      </w:r>
      <w:r w:rsidRPr="00DE7FCC" w:rsidR="004F359D">
        <w:t>egulations, the sanitary security zone a</w:t>
      </w:r>
      <w:r w:rsidRPr="00DE7FCC" w:rsidR="009C1AE3">
        <w:t>round a</w:t>
      </w:r>
      <w:r w:rsidRPr="00DE7FCC" w:rsidR="004F359D">
        <w:t xml:space="preserve"> </w:t>
      </w:r>
      <w:r w:rsidR="002F22AF">
        <w:t>steel plant</w:t>
      </w:r>
      <w:r w:rsidRPr="00DE7FCC" w:rsidR="004F359D">
        <w:t xml:space="preserve"> the size of Severstal </w:t>
      </w:r>
      <w:r w:rsidR="00C536FC">
        <w:t>should</w:t>
      </w:r>
      <w:r w:rsidR="00C860F8">
        <w:t xml:space="preserve"> be </w:t>
      </w:r>
      <w:r w:rsidRPr="00DE7FCC" w:rsidR="004F359D">
        <w:t>2,000 met</w:t>
      </w:r>
      <w:r w:rsidR="00C860F8">
        <w:t>res</w:t>
      </w:r>
      <w:r w:rsidRPr="00DE7FCC" w:rsidR="004F359D">
        <w:t xml:space="preserve">. </w:t>
      </w:r>
      <w:r w:rsidR="00C536FC">
        <w:t>Under</w:t>
      </w:r>
      <w:r w:rsidR="00530F1D">
        <w:t xml:space="preserve"> the S</w:t>
      </w:r>
      <w:r w:rsidRPr="00DE7FCC" w:rsidR="00D10DCE">
        <w:t>a</w:t>
      </w:r>
      <w:r w:rsidR="00530F1D">
        <w:t>nitary R</w:t>
      </w:r>
      <w:r w:rsidRPr="00DE7FCC" w:rsidR="00D10DCE">
        <w:t>egulations</w:t>
      </w:r>
      <w:r w:rsidRPr="00DE7FCC" w:rsidR="009C1AE3">
        <w:t xml:space="preserve"> of</w:t>
      </w:r>
      <w:r w:rsidRPr="00DE7FCC" w:rsidR="004302BD">
        <w:t xml:space="preserve"> </w:t>
      </w:r>
      <w:smartTag w:uri="urn:schemas-microsoft-com:office:smarttags" w:element="date">
        <w:smartTagPr>
          <w:attr w:name="Month" w:val="10"/>
          <w:attr w:name="Day" w:val="1"/>
          <w:attr w:name="Year" w:val="2000"/>
        </w:smartTagPr>
        <w:r w:rsidR="004302BD" w:rsidRPr="00DE7FCC">
          <w:t>1</w:t>
        </w:r>
        <w:r w:rsidR="00A93D13">
          <w:t xml:space="preserve"> </w:t>
        </w:r>
        <w:r w:rsidR="004302BD" w:rsidRPr="00DE7FCC">
          <w:t>October 2000</w:t>
        </w:r>
      </w:smartTag>
      <w:r w:rsidRPr="00DE7FCC" w:rsidR="00D10DCE">
        <w:t>,</w:t>
      </w:r>
      <w:r w:rsidRPr="00DE7FCC" w:rsidR="004302BD">
        <w:t xml:space="preserve"> </w:t>
      </w:r>
      <w:r w:rsidRPr="00DE7FCC" w:rsidR="00C71DDB">
        <w:t xml:space="preserve">the </w:t>
      </w:r>
      <w:r w:rsidRPr="00DE7FCC" w:rsidR="00D10DCE">
        <w:t xml:space="preserve">width of the </w:t>
      </w:r>
      <w:r w:rsidRPr="00DE7FCC" w:rsidR="00C71DDB">
        <w:t xml:space="preserve">sanitary security zone for </w:t>
      </w:r>
      <w:r w:rsidRPr="00DE7FCC" w:rsidR="00D10DCE">
        <w:t xml:space="preserve">a metallurgical </w:t>
      </w:r>
      <w:r w:rsidR="00C536FC">
        <w:t xml:space="preserve">undertaking </w:t>
      </w:r>
      <w:r w:rsidRPr="00DE7FCC" w:rsidR="00D10DCE">
        <w:t xml:space="preserve">of this size </w:t>
      </w:r>
      <w:r w:rsidR="00C536FC">
        <w:t>should</w:t>
      </w:r>
      <w:r w:rsidR="00C860F8">
        <w:t xml:space="preserve"> be </w:t>
      </w:r>
      <w:r w:rsidRPr="00DE7FCC" w:rsidR="004302BD">
        <w:t>at least 1,000 met</w:t>
      </w:r>
      <w:r w:rsidR="00C860F8">
        <w:t>res</w:t>
      </w:r>
      <w:r w:rsidRPr="00DE7FCC" w:rsidR="004302BD">
        <w:t xml:space="preserve">. </w:t>
      </w:r>
      <w:r w:rsidRPr="00DE7FCC" w:rsidR="00D10DCE">
        <w:t>In certain cases t</w:t>
      </w:r>
      <w:r w:rsidRPr="00DE7FCC" w:rsidR="0056082E">
        <w:t xml:space="preserve">he </w:t>
      </w:r>
      <w:r w:rsidR="00C536FC">
        <w:t>Federal</w:t>
      </w:r>
      <w:r w:rsidRPr="00DE7FCC" w:rsidR="00D10DCE">
        <w:t xml:space="preserve"> </w:t>
      </w:r>
      <w:r w:rsidRPr="00DE7FCC" w:rsidR="0056082E">
        <w:t>Sanitary Service</w:t>
      </w:r>
      <w:r w:rsidRPr="00DE7FCC" w:rsidR="00D10DCE">
        <w:t xml:space="preserve"> may enlarge the zone (for example, where the concentration of toxic substances in the air beyond the zone exceeds the MPLs). </w:t>
      </w:r>
      <w:r w:rsidR="00C860F8">
        <w:t xml:space="preserve">Subsequent </w:t>
      </w:r>
      <w:r w:rsidR="00196F27">
        <w:t>s</w:t>
      </w:r>
      <w:r w:rsidRPr="00DE7FCC" w:rsidR="00B9082E">
        <w:t xml:space="preserve">anitary </w:t>
      </w:r>
      <w:r w:rsidR="00196F27">
        <w:t>r</w:t>
      </w:r>
      <w:r w:rsidRPr="00DE7FCC" w:rsidR="00B9082E">
        <w:t xml:space="preserve">egulations (enacted on </w:t>
      </w:r>
      <w:smartTag w:uri="urn:schemas-microsoft-com:office:smarttags" w:element="date">
        <w:smartTagPr>
          <w:attr w:name="Month" w:val="5"/>
          <w:attr w:name="Day" w:val="17"/>
          <w:attr w:name="Year" w:val="2001"/>
        </w:smartTagPr>
        <w:r w:rsidR="00B9082E" w:rsidRPr="00DE7FCC">
          <w:t>17</w:t>
        </w:r>
        <w:r w:rsidR="00C536FC">
          <w:t> </w:t>
        </w:r>
        <w:r w:rsidR="00B9082E" w:rsidRPr="00DE7FCC">
          <w:t>May 2001</w:t>
        </w:r>
      </w:smartTag>
      <w:r w:rsidRPr="00DE7FCC" w:rsidR="00B9082E">
        <w:t xml:space="preserve"> and </w:t>
      </w:r>
      <w:smartTag w:uri="urn:schemas-microsoft-com:office:smarttags" w:element="date">
        <w:smartTagPr>
          <w:attr w:name="Month" w:val="4"/>
          <w:attr w:name="Day" w:val="10"/>
          <w:attr w:name="Year" w:val="2003"/>
        </w:smartTagPr>
        <w:r w:rsidR="00B9082E" w:rsidRPr="00DE7FCC">
          <w:t>10</w:t>
        </w:r>
        <w:r w:rsidR="00A93D13">
          <w:t xml:space="preserve"> </w:t>
        </w:r>
        <w:r w:rsidR="00B9082E" w:rsidRPr="00DE7FCC">
          <w:t>April 2003</w:t>
        </w:r>
      </w:smartTag>
      <w:r w:rsidRPr="00DE7FCC" w:rsidR="00B9082E">
        <w:t>) confirmed these</w:t>
      </w:r>
      <w:r w:rsidRPr="00DE7FCC" w:rsidR="006252C5">
        <w:t xml:space="preserve"> requirements.</w:t>
      </w:r>
    </w:p>
    <w:p w:rsidR="00772DF2" w:rsidP="00252EB8" w:rsidRDefault="00BB5585">
      <w:pPr>
        <w:pStyle w:val="JuParaCharCharCharCharCharChar"/>
      </w:pPr>
      <w:r>
        <w:fldChar w:fldCharType="begin"/>
      </w:r>
      <w:r>
        <w:instrText xml:space="preserve"> SEQ level0 \*arabic </w:instrText>
      </w:r>
      <w:r>
        <w:fldChar w:fldCharType="separate"/>
      </w:r>
      <w:r w:rsidR="008C3401">
        <w:rPr>
          <w:noProof/>
        </w:rPr>
        <w:t>53</w:t>
      </w:r>
      <w:r>
        <w:fldChar w:fldCharType="end"/>
      </w:r>
      <w:r>
        <w:t>.  </w:t>
      </w:r>
      <w:r w:rsidRPr="00E67C85" w:rsidR="00E67C85">
        <w:t xml:space="preserve">Regulation </w:t>
      </w:r>
      <w:r w:rsidRPr="00E67C85" w:rsidR="001746CE">
        <w:t>3</w:t>
      </w:r>
      <w:r w:rsidR="00DE6DED">
        <w:t>.</w:t>
      </w:r>
      <w:r w:rsidRPr="00E67C85" w:rsidR="001746CE">
        <w:t>6</w:t>
      </w:r>
      <w:r w:rsidRPr="00DE7FCC" w:rsidR="001746CE">
        <w:t xml:space="preserve"> of the </w:t>
      </w:r>
      <w:r w:rsidR="00C860F8">
        <w:t xml:space="preserve">1989 </w:t>
      </w:r>
      <w:r w:rsidR="00530F1D">
        <w:t>City Planning R</w:t>
      </w:r>
      <w:r w:rsidRPr="00DE7FCC" w:rsidR="001746CE">
        <w:t>egulations</w:t>
      </w:r>
      <w:r w:rsidR="0003403C">
        <w:t xml:space="preserve"> provides that </w:t>
      </w:r>
      <w:r w:rsidR="00C860F8">
        <w:t xml:space="preserve">an </w:t>
      </w:r>
      <w:r w:rsidR="00C536FC">
        <w:t>undertaking</w:t>
      </w:r>
      <w:r w:rsidRPr="00DE7FCC" w:rsidR="001746CE">
        <w:t xml:space="preserve"> must take all necessary measures in order to </w:t>
      </w:r>
      <w:r w:rsidR="00344771">
        <w:t>set up</w:t>
      </w:r>
      <w:r w:rsidRPr="00DE7FCC" w:rsidR="001746CE">
        <w:t xml:space="preserve"> (</w:t>
      </w:r>
      <w:r w:rsidRPr="00DE7FCC" w:rsidR="001746CE">
        <w:rPr>
          <w:i/>
        </w:rPr>
        <w:t>обустроить</w:t>
      </w:r>
      <w:r w:rsidRPr="00DE7FCC" w:rsidR="001746CE">
        <w:t xml:space="preserve">) its sanitary security zone in accordance with </w:t>
      </w:r>
      <w:r w:rsidR="00C860F8">
        <w:t xml:space="preserve">the </w:t>
      </w:r>
      <w:r w:rsidRPr="00DE7FCC" w:rsidR="001746CE">
        <w:t>law, with a view to limiting pollution.</w:t>
      </w:r>
    </w:p>
    <w:p w:rsidR="006252C5" w:rsidP="00252EB8" w:rsidRDefault="00BB5585">
      <w:pPr>
        <w:pStyle w:val="JuParaCharCharCharCharCharChar"/>
      </w:pPr>
      <w:r>
        <w:fldChar w:fldCharType="begin"/>
      </w:r>
      <w:r>
        <w:instrText xml:space="preserve"> SEQ level0 \*arabic </w:instrText>
      </w:r>
      <w:r>
        <w:fldChar w:fldCharType="separate"/>
      </w:r>
      <w:r w:rsidR="008C3401">
        <w:rPr>
          <w:noProof/>
        </w:rPr>
        <w:t>54</w:t>
      </w:r>
      <w:r>
        <w:fldChar w:fldCharType="end"/>
      </w:r>
      <w:r>
        <w:t>.  </w:t>
      </w:r>
      <w:r w:rsidR="00E67C85">
        <w:t xml:space="preserve">Regulation </w:t>
      </w:r>
      <w:r w:rsidRPr="00E67C85" w:rsidR="004F359D">
        <w:t>3</w:t>
      </w:r>
      <w:r w:rsidR="00DE6DED">
        <w:t>.</w:t>
      </w:r>
      <w:r w:rsidRPr="00E67C85" w:rsidR="004F359D">
        <w:t>8</w:t>
      </w:r>
      <w:r w:rsidRPr="00DE7FCC" w:rsidR="004F359D">
        <w:t xml:space="preserve"> of the </w:t>
      </w:r>
      <w:r w:rsidR="00C860F8">
        <w:t xml:space="preserve">1989 </w:t>
      </w:r>
      <w:r w:rsidR="00530F1D">
        <w:t>City P</w:t>
      </w:r>
      <w:r w:rsidRPr="00DE7FCC" w:rsidR="009C1AE3">
        <w:t xml:space="preserve">lanning </w:t>
      </w:r>
      <w:r w:rsidR="00530F1D">
        <w:t>R</w:t>
      </w:r>
      <w:r w:rsidRPr="00DE7FCC" w:rsidR="004F359D">
        <w:t>egulations</w:t>
      </w:r>
      <w:r w:rsidR="0003403C">
        <w:t xml:space="preserve"> provides that </w:t>
      </w:r>
      <w:r w:rsidRPr="00DE7FCC" w:rsidR="004F359D">
        <w:t>no housing should be situated within the sanitary security zone. This provision was later incorporated in</w:t>
      </w:r>
      <w:r w:rsidR="00C860F8">
        <w:t>to</w:t>
      </w:r>
      <w:r w:rsidRPr="00DE7FCC" w:rsidR="004F359D">
        <w:t xml:space="preserve"> the </w:t>
      </w:r>
      <w:r w:rsidR="00155056">
        <w:t xml:space="preserve">Town </w:t>
      </w:r>
      <w:r w:rsidRPr="00DE7FCC" w:rsidR="004F359D">
        <w:t xml:space="preserve">Planning Code </w:t>
      </w:r>
      <w:r w:rsidRPr="00C536FC" w:rsidR="004012AB">
        <w:t>(</w:t>
      </w:r>
      <w:r w:rsidRPr="004012AB" w:rsidR="004012AB">
        <w:rPr>
          <w:i/>
          <w:lang w:val="ru-RU"/>
        </w:rPr>
        <w:t>Градостроительный</w:t>
      </w:r>
      <w:r w:rsidRPr="004012AB" w:rsidR="004012AB">
        <w:rPr>
          <w:i/>
        </w:rPr>
        <w:t xml:space="preserve"> </w:t>
      </w:r>
      <w:r w:rsidRPr="004012AB" w:rsidR="004012AB">
        <w:rPr>
          <w:i/>
          <w:lang w:val="ru-RU"/>
        </w:rPr>
        <w:t>Кодекс</w:t>
      </w:r>
      <w:r w:rsidRPr="00C536FC" w:rsidR="004012AB">
        <w:t>)</w:t>
      </w:r>
      <w:r w:rsidRPr="004012AB" w:rsidR="004012AB">
        <w:t xml:space="preserve"> </w:t>
      </w:r>
      <w:r w:rsidR="00A93D13">
        <w:t xml:space="preserve">of 1998 (Article </w:t>
      </w:r>
      <w:r w:rsidRPr="00DE7FCC" w:rsidR="004F359D">
        <w:t xml:space="preserve">43) and </w:t>
      </w:r>
      <w:r w:rsidR="00C860F8">
        <w:t xml:space="preserve">the </w:t>
      </w:r>
      <w:r w:rsidR="00C536FC">
        <w:t>S</w:t>
      </w:r>
      <w:r w:rsidRPr="00DE7FCC" w:rsidR="004F359D">
        <w:t xml:space="preserve">anitary </w:t>
      </w:r>
      <w:r w:rsidR="00C536FC">
        <w:t>R</w:t>
      </w:r>
      <w:r w:rsidRPr="00DE7FCC" w:rsidR="004F359D">
        <w:t xml:space="preserve">egulations of </w:t>
      </w:r>
      <w:smartTag w:uri="urn:schemas-microsoft-com:office:smarttags" w:element="date">
        <w:smartTagPr>
          <w:attr w:name="Month" w:val="5"/>
          <w:attr w:name="Day" w:val="17"/>
          <w:attr w:name="Year" w:val="2001"/>
        </w:smartTagPr>
        <w:r w:rsidR="004F359D" w:rsidRPr="00DE7FCC">
          <w:t>17 May 2001</w:t>
        </w:r>
      </w:smartTag>
      <w:r w:rsidRPr="00DE7FCC" w:rsidR="004F359D">
        <w:t xml:space="preserve"> and </w:t>
      </w:r>
      <w:smartTag w:uri="urn:schemas-microsoft-com:office:smarttags" w:element="date">
        <w:smartTagPr>
          <w:attr w:name="Month" w:val="4"/>
          <w:attr w:name="Day" w:val="10"/>
          <w:attr w:name="Year" w:val="2003"/>
        </w:smartTagPr>
        <w:r w:rsidR="004F359D" w:rsidRPr="00DE7FCC">
          <w:t>10 April 2003</w:t>
        </w:r>
      </w:smartTag>
      <w:r w:rsidRPr="00DE7FCC" w:rsidR="004F359D">
        <w:t xml:space="preserve">. </w:t>
      </w:r>
      <w:r w:rsidR="00C860F8">
        <w:t xml:space="preserve">According to </w:t>
      </w:r>
      <w:r w:rsidR="00E67C85">
        <w:t xml:space="preserve">Regulation </w:t>
      </w:r>
      <w:r w:rsidRPr="00DE7FCC" w:rsidR="001746CE">
        <w:t xml:space="preserve">3.3.3 of the </w:t>
      </w:r>
      <w:r w:rsidR="00C860F8">
        <w:t xml:space="preserve">2001 </w:t>
      </w:r>
      <w:r w:rsidR="00C536FC">
        <w:t>S</w:t>
      </w:r>
      <w:r w:rsidRPr="00DE7FCC" w:rsidR="001746CE">
        <w:t xml:space="preserve">anitary </w:t>
      </w:r>
      <w:r w:rsidR="00C536FC">
        <w:t>R</w:t>
      </w:r>
      <w:r w:rsidRPr="00DE7FCC" w:rsidR="006252C5">
        <w:t>egulations</w:t>
      </w:r>
      <w:r w:rsidRPr="00DE7FCC" w:rsidR="001746CE">
        <w:t xml:space="preserve">, </w:t>
      </w:r>
      <w:r w:rsidR="00C860F8">
        <w:t>a</w:t>
      </w:r>
      <w:r w:rsidRPr="00DE7FCC" w:rsidR="00C860F8">
        <w:t xml:space="preserve"> </w:t>
      </w:r>
      <w:r w:rsidRPr="00DE7FCC" w:rsidR="001746CE">
        <w:t xml:space="preserve">project </w:t>
      </w:r>
      <w:r w:rsidR="00C860F8">
        <w:t>to</w:t>
      </w:r>
      <w:r w:rsidRPr="00DE7FCC" w:rsidR="001746CE">
        <w:t xml:space="preserve"> </w:t>
      </w:r>
      <w:r w:rsidR="009D5543">
        <w:t>create a</w:t>
      </w:r>
      <w:r w:rsidRPr="00DE7FCC" w:rsidR="001746CE">
        <w:t xml:space="preserve"> zone may include, as a high-priority objective, resettlement of the </w:t>
      </w:r>
      <w:r w:rsidR="00C860F8">
        <w:t>zone</w:t>
      </w:r>
      <w:r w:rsidR="009952BE">
        <w:t>'</w:t>
      </w:r>
      <w:r w:rsidR="00C860F8">
        <w:t xml:space="preserve">s </w:t>
      </w:r>
      <w:r w:rsidRPr="00DE7FCC" w:rsidR="001746CE">
        <w:t>residen</w:t>
      </w:r>
      <w:r w:rsidRPr="00DE7FCC" w:rsidR="006252C5">
        <w:t xml:space="preserve">ts. However, </w:t>
      </w:r>
      <w:r w:rsidRPr="00DE7FCC" w:rsidR="0056082E">
        <w:t>there is no direct requirement to resettle the residents of the sanitary security zone around a</w:t>
      </w:r>
      <w:r w:rsidR="000768B0">
        <w:t xml:space="preserve">n </w:t>
      </w:r>
      <w:r w:rsidR="00C536FC">
        <w:t>undertaking</w:t>
      </w:r>
      <w:r w:rsidR="00530F1D">
        <w:t xml:space="preserve"> that is</w:t>
      </w:r>
      <w:r w:rsidR="00C860F8">
        <w:t xml:space="preserve"> already </w:t>
      </w:r>
      <w:r w:rsidR="00530F1D">
        <w:t>operating</w:t>
      </w:r>
      <w:r w:rsidR="000768B0">
        <w:t>.</w:t>
      </w:r>
    </w:p>
    <w:p w:rsidR="00772DF2" w:rsidP="00252EB8" w:rsidRDefault="00BB5585">
      <w:pPr>
        <w:pStyle w:val="JuParaCharCharCharCharCharChar"/>
      </w:pPr>
      <w:r>
        <w:fldChar w:fldCharType="begin"/>
      </w:r>
      <w:r>
        <w:instrText xml:space="preserve"> SEQ level0 \*arabic </w:instrText>
      </w:r>
      <w:r>
        <w:fldChar w:fldCharType="separate"/>
      </w:r>
      <w:r w:rsidR="008C3401">
        <w:rPr>
          <w:noProof/>
        </w:rPr>
        <w:t>55</w:t>
      </w:r>
      <w:r>
        <w:fldChar w:fldCharType="end"/>
      </w:r>
      <w:r>
        <w:t>.  </w:t>
      </w:r>
      <w:r w:rsidR="000768B0">
        <w:t xml:space="preserve">Article 10 § 5 of the </w:t>
      </w:r>
      <w:r w:rsidR="00155056">
        <w:t xml:space="preserve">Town </w:t>
      </w:r>
      <w:r w:rsidR="000768B0">
        <w:t>Planning Code of 1998 provides as follows:</w:t>
      </w:r>
    </w:p>
    <w:p w:rsidR="000768B0" w:rsidP="002A47A5" w:rsidRDefault="000768B0">
      <w:pPr>
        <w:pStyle w:val="JuQuot"/>
      </w:pPr>
      <w:r>
        <w:t xml:space="preserve">“In cases where State or public interests require </w:t>
      </w:r>
      <w:r w:rsidR="00C860F8">
        <w:t xml:space="preserve">that </w:t>
      </w:r>
      <w:r w:rsidR="00076ED8">
        <w:t>economic</w:t>
      </w:r>
      <w:r>
        <w:t xml:space="preserve"> or other activities </w:t>
      </w:r>
      <w:r w:rsidR="00C860F8">
        <w:t xml:space="preserve">be conducted </w:t>
      </w:r>
      <w:r w:rsidR="00196F27">
        <w:t>i</w:t>
      </w:r>
      <w:r>
        <w:t xml:space="preserve">n environmentally unfavourable </w:t>
      </w:r>
      <w:r w:rsidR="00196F27">
        <w:t>areas</w:t>
      </w:r>
      <w:r>
        <w:t xml:space="preserve">, </w:t>
      </w:r>
      <w:r w:rsidR="00C860F8">
        <w:t xml:space="preserve">the temporary residence </w:t>
      </w:r>
      <w:r>
        <w:t xml:space="preserve">of the population </w:t>
      </w:r>
      <w:r w:rsidR="00196F27">
        <w:t>i</w:t>
      </w:r>
      <w:r>
        <w:t xml:space="preserve">n these </w:t>
      </w:r>
      <w:r w:rsidR="00196F27">
        <w:t>areas</w:t>
      </w:r>
      <w:r>
        <w:t xml:space="preserve"> is permitted, </w:t>
      </w:r>
      <w:r w:rsidR="00C860F8">
        <w:t>subject to the application of a</w:t>
      </w:r>
      <w:r w:rsidR="00772DF2">
        <w:t xml:space="preserve"> </w:t>
      </w:r>
      <w:r>
        <w:t xml:space="preserve">special </w:t>
      </w:r>
      <w:r w:rsidR="00155056">
        <w:t xml:space="preserve">town </w:t>
      </w:r>
      <w:r>
        <w:t xml:space="preserve">planning </w:t>
      </w:r>
      <w:r w:rsidR="007B7FEB">
        <w:t>regime</w:t>
      </w:r>
      <w:r>
        <w:t xml:space="preserve"> </w:t>
      </w:r>
      <w:r w:rsidR="00772DF2">
        <w:t>...</w:t>
      </w:r>
      <w:r>
        <w:t>”</w:t>
      </w:r>
    </w:p>
    <w:p w:rsidR="00772DF2" w:rsidP="00252EB8" w:rsidRDefault="00BF4FA2">
      <w:pPr>
        <w:pStyle w:val="JuH1"/>
      </w:pPr>
      <w:r>
        <w:t>2.</w:t>
      </w:r>
      <w:r w:rsidR="00F8213D">
        <w:t>  </w:t>
      </w:r>
      <w:r>
        <w:t>Practice</w:t>
      </w:r>
    </w:p>
    <w:p w:rsidR="00E00A68" w:rsidP="00E00A68" w:rsidRDefault="00BB5585">
      <w:pPr>
        <w:pStyle w:val="JuParaCharCharCharCharCharChar"/>
      </w:pPr>
      <w:r>
        <w:fldChar w:fldCharType="begin"/>
      </w:r>
      <w:r>
        <w:instrText xml:space="preserve"> SEQ level0 \*arabic </w:instrText>
      </w:r>
      <w:r>
        <w:fldChar w:fldCharType="separate"/>
      </w:r>
      <w:r w:rsidR="008C3401">
        <w:rPr>
          <w:noProof/>
        </w:rPr>
        <w:t>56</w:t>
      </w:r>
      <w:r>
        <w:fldChar w:fldCharType="end"/>
      </w:r>
      <w:r>
        <w:t>.  </w:t>
      </w:r>
      <w:r w:rsidR="007A122B">
        <w:t xml:space="preserve">It </w:t>
      </w:r>
      <w:r w:rsidRPr="00DE7FCC" w:rsidR="00E00A68">
        <w:t xml:space="preserve">follows from </w:t>
      </w:r>
      <w:r w:rsidR="007A122B">
        <w:t>a</w:t>
      </w:r>
      <w:r w:rsidRPr="00DE7FCC" w:rsidR="00E00A68">
        <w:t xml:space="preserve"> judgment of the </w:t>
      </w:r>
      <w:smartTag w:uri="urn:schemas-microsoft-com:office:smarttags" w:element="Street">
        <w:smartTag w:uri="urn:schemas-microsoft-com:office:smarttags" w:element="address">
          <w:r w:rsidR="00E00A68" w:rsidRPr="00DE7FCC">
            <w:t>North-Caucasus Circuit Federal Commercial Court</w:t>
          </w:r>
        </w:smartTag>
      </w:smartTag>
      <w:r w:rsidRPr="00DE7FCC" w:rsidR="00E00A68">
        <w:t xml:space="preserve"> (decision </w:t>
      </w:r>
      <w:r w:rsidR="00C536FC">
        <w:t>n</w:t>
      </w:r>
      <w:r w:rsidR="00A93D13">
        <w:t xml:space="preserve">o. </w:t>
      </w:r>
      <w:r w:rsidRPr="00DE7FCC" w:rsidR="00E00A68">
        <w:t>Ф08-1540/2003</w:t>
      </w:r>
      <w:r w:rsidRPr="00C536FC" w:rsidR="00C536FC">
        <w:t xml:space="preserve"> </w:t>
      </w:r>
      <w:r w:rsidRPr="00DE7FCC" w:rsidR="00C536FC">
        <w:t xml:space="preserve">of </w:t>
      </w:r>
      <w:smartTag w:uri="urn:schemas-microsoft-com:office:smarttags" w:element="date">
        <w:smartTagPr>
          <w:attr w:name="Month" w:val="6"/>
          <w:attr w:name="Day" w:val="3"/>
          <w:attr w:name="Year" w:val="2003"/>
        </w:smartTagPr>
        <w:r w:rsidR="00C536FC" w:rsidRPr="00DE7FCC">
          <w:t>3</w:t>
        </w:r>
        <w:r w:rsidR="00C536FC">
          <w:t xml:space="preserve"> </w:t>
        </w:r>
        <w:r w:rsidR="00C536FC" w:rsidRPr="00DE7FCC">
          <w:t>June 2003</w:t>
        </w:r>
      </w:smartTag>
      <w:r w:rsidRPr="00DE7FCC" w:rsidR="00E00A68">
        <w:t>)</w:t>
      </w:r>
      <w:r w:rsidR="007A122B">
        <w:t xml:space="preserve"> that </w:t>
      </w:r>
      <w:r w:rsidRPr="00DE7FCC" w:rsidR="00E00A68">
        <w:t xml:space="preserve">the authorities may </w:t>
      </w:r>
      <w:r w:rsidR="00530F1D">
        <w:t>force a</w:t>
      </w:r>
      <w:r w:rsidR="00C536FC">
        <w:t>n</w:t>
      </w:r>
      <w:r w:rsidR="00530F1D">
        <w:t xml:space="preserve"> </w:t>
      </w:r>
      <w:r w:rsidR="00C536FC">
        <w:t>undertaking</w:t>
      </w:r>
      <w:r w:rsidR="00530F1D">
        <w:t xml:space="preserve"> </w:t>
      </w:r>
      <w:r w:rsidRPr="00DE7FCC" w:rsidR="00E00A68">
        <w:t xml:space="preserve">which </w:t>
      </w:r>
      <w:r w:rsidR="00E00A68">
        <w:t xml:space="preserve">has </w:t>
      </w:r>
      <w:r w:rsidRPr="00DE7FCC" w:rsidR="00E00A68">
        <w:t xml:space="preserve">failed to create a sanitary security zone around its premises in accordance with </w:t>
      </w:r>
      <w:r w:rsidR="00E00A68">
        <w:t xml:space="preserve">the </w:t>
      </w:r>
      <w:r w:rsidRPr="00DE7FCC" w:rsidR="00E00A68">
        <w:t>law</w:t>
      </w:r>
      <w:r w:rsidR="00530F1D">
        <w:t xml:space="preserve"> to cease operating</w:t>
      </w:r>
      <w:r w:rsidR="00530F1D">
        <w:rPr>
          <w:rStyle w:val="FootnoteReference"/>
        </w:rPr>
        <w:footnoteReference w:id="3"/>
      </w:r>
      <w:r w:rsidRPr="00DE7FCC" w:rsidR="00E00A68">
        <w:t>.</w:t>
      </w:r>
    </w:p>
    <w:p w:rsidRPr="00DE7FCC" w:rsidR="00774CA9" w:rsidP="00252EB8" w:rsidRDefault="00BB5585">
      <w:pPr>
        <w:pStyle w:val="JuParaCharCharCharCharCharChar"/>
      </w:pPr>
      <w:r>
        <w:fldChar w:fldCharType="begin"/>
      </w:r>
      <w:r>
        <w:instrText xml:space="preserve"> SEQ level0 \*arabic </w:instrText>
      </w:r>
      <w:r>
        <w:fldChar w:fldCharType="separate"/>
      </w:r>
      <w:r w:rsidR="008C3401">
        <w:rPr>
          <w:noProof/>
        </w:rPr>
        <w:t>57</w:t>
      </w:r>
      <w:r>
        <w:fldChar w:fldCharType="end"/>
      </w:r>
      <w:r>
        <w:t>.  </w:t>
      </w:r>
      <w:r w:rsidRPr="00DE7FCC" w:rsidR="00774CA9">
        <w:t xml:space="preserve">The applicant produced an extract from the decision of the Supreme Court of the </w:t>
      </w:r>
      <w:smartTag w:uri="urn:schemas-microsoft-com:office:smarttags" w:element="country-region">
        <w:smartTag w:uri="urn:schemas-microsoft-com:office:smarttags" w:element="place">
          <w:r w:rsidR="00774CA9" w:rsidRPr="00DE7FCC">
            <w:t>Russian Federation</w:t>
          </w:r>
        </w:smartTag>
      </w:smartTag>
      <w:r w:rsidR="00530F1D">
        <w:t xml:space="preserve"> in </w:t>
      </w:r>
      <w:r w:rsidRPr="00E67C85" w:rsidR="00B9240E">
        <w:rPr>
          <w:i/>
        </w:rPr>
        <w:t>Ivas</w:t>
      </w:r>
      <w:r w:rsidR="00B849AD">
        <w:rPr>
          <w:i/>
        </w:rPr>
        <w:t>h</w:t>
      </w:r>
      <w:r w:rsidR="00A70877">
        <w:rPr>
          <w:i/>
        </w:rPr>
        <w:t>ch</w:t>
      </w:r>
      <w:r w:rsidRPr="00E67C85" w:rsidR="00B9240E">
        <w:rPr>
          <w:i/>
        </w:rPr>
        <w:t>enko v. the Krasnoyarsk Railways</w:t>
      </w:r>
      <w:r w:rsidRPr="00DE7FCC" w:rsidR="00774CA9">
        <w:t xml:space="preserve"> </w:t>
      </w:r>
      <w:r w:rsidRPr="00DE7FCC" w:rsidR="00B9240E">
        <w:t>(</w:t>
      </w:r>
      <w:r w:rsidRPr="00DE7FCC" w:rsidR="00774CA9">
        <w:t>published in</w:t>
      </w:r>
      <w:r w:rsidRPr="00DE7FCC" w:rsidR="0056082E">
        <w:t xml:space="preserve"> </w:t>
      </w:r>
      <w:r w:rsidRPr="00DE7FCC" w:rsidR="00774CA9">
        <w:t>“Overview of the case-law of the Supreme Court”</w:t>
      </w:r>
      <w:r w:rsidRPr="004012AB" w:rsidR="004012AB">
        <w:t xml:space="preserve">, </w:t>
      </w:r>
      <w:r w:rsidRPr="004012AB" w:rsidR="004012AB">
        <w:rPr>
          <w:i/>
          <w:lang w:val="ru-RU"/>
        </w:rPr>
        <w:t>Бюллетень</w:t>
      </w:r>
      <w:r w:rsidRPr="004012AB" w:rsidR="004012AB">
        <w:rPr>
          <w:i/>
        </w:rPr>
        <w:t xml:space="preserve"> </w:t>
      </w:r>
      <w:r w:rsidRPr="004012AB" w:rsidR="004012AB">
        <w:rPr>
          <w:i/>
          <w:lang w:val="ru-RU"/>
        </w:rPr>
        <w:t>Верховного</w:t>
      </w:r>
      <w:r w:rsidRPr="004012AB" w:rsidR="004012AB">
        <w:rPr>
          <w:i/>
        </w:rPr>
        <w:t xml:space="preserve"> </w:t>
      </w:r>
      <w:r w:rsidRPr="004012AB" w:rsidR="004012AB">
        <w:rPr>
          <w:i/>
          <w:lang w:val="ru-RU"/>
        </w:rPr>
        <w:t>Суда</w:t>
      </w:r>
      <w:r w:rsidRPr="004012AB" w:rsidR="004012AB">
        <w:rPr>
          <w:i/>
        </w:rPr>
        <w:t xml:space="preserve"> </w:t>
      </w:r>
      <w:r w:rsidRPr="004012AB" w:rsidR="004012AB">
        <w:rPr>
          <w:i/>
          <w:lang w:val="ru-RU"/>
        </w:rPr>
        <w:t>РФ</w:t>
      </w:r>
      <w:r w:rsidRPr="004012AB" w:rsidR="004012AB">
        <w:rPr>
          <w:i/>
        </w:rPr>
        <w:t>, №</w:t>
      </w:r>
      <w:r w:rsidR="00C30687">
        <w:rPr>
          <w:i/>
        </w:rPr>
        <w:t xml:space="preserve"> </w:t>
      </w:r>
      <w:r w:rsidRPr="004012AB" w:rsidR="004012AB">
        <w:rPr>
          <w:i/>
        </w:rPr>
        <w:t>9</w:t>
      </w:r>
      <w:r w:rsidRPr="004012AB" w:rsidR="004012AB">
        <w:t>,</w:t>
      </w:r>
      <w:r w:rsidRPr="00DE7FCC" w:rsidR="00774CA9">
        <w:t xml:space="preserve"> </w:t>
      </w:r>
      <w:r w:rsidRPr="00DE7FCC" w:rsidR="0056082E">
        <w:t>o</w:t>
      </w:r>
      <w:r w:rsidR="007A122B">
        <w:t>f</w:t>
      </w:r>
      <w:r w:rsidR="00A93D13">
        <w:t xml:space="preserve"> </w:t>
      </w:r>
      <w:smartTag w:uri="urn:schemas-microsoft-com:office:smarttags" w:element="date">
        <w:smartTagPr>
          <w:attr w:name="Month" w:val="7"/>
          <w:attr w:name="Day" w:val="15"/>
          <w:attr w:name="Year" w:val="1998"/>
        </w:smartTagPr>
        <w:r w:rsidR="00A93D13">
          <w:t xml:space="preserve">15 </w:t>
        </w:r>
        <w:r w:rsidR="0056082E" w:rsidRPr="00DE7FCC">
          <w:t>July 1998</w:t>
        </w:r>
      </w:smartTag>
      <w:r w:rsidRPr="00DE7FCC" w:rsidR="00774CA9">
        <w:t>, § 2</w:t>
      </w:r>
      <w:r w:rsidRPr="004012AB" w:rsidR="004012AB">
        <w:t>2</w:t>
      </w:r>
      <w:r w:rsidRPr="00DE7FCC" w:rsidR="00B9240E">
        <w:t>)</w:t>
      </w:r>
      <w:r w:rsidRPr="00DE7FCC" w:rsidR="00774CA9">
        <w:t xml:space="preserve">. </w:t>
      </w:r>
      <w:r w:rsidRPr="00DE7FCC" w:rsidR="009C1AE3">
        <w:t>In th</w:t>
      </w:r>
      <w:r w:rsidR="00C860F8">
        <w:t xml:space="preserve">at </w:t>
      </w:r>
      <w:r w:rsidRPr="00DE7FCC" w:rsidR="009C1AE3">
        <w:t>case t</w:t>
      </w:r>
      <w:r w:rsidRPr="00DE7FCC" w:rsidR="00774CA9">
        <w:t xml:space="preserve">he </w:t>
      </w:r>
      <w:r w:rsidRPr="00DE7FCC" w:rsidR="00B9240E">
        <w:t xml:space="preserve">plaintiff </w:t>
      </w:r>
      <w:r w:rsidR="00C860F8">
        <w:t xml:space="preserve">had </w:t>
      </w:r>
      <w:r w:rsidRPr="00DE7FCC" w:rsidR="00774CA9">
        <w:t xml:space="preserve">claimed immediate resettlement from a </w:t>
      </w:r>
      <w:r w:rsidRPr="00DE7FCC" w:rsidR="00B9240E">
        <w:t>decrepit</w:t>
      </w:r>
      <w:r w:rsidRPr="00DE7FCC" w:rsidR="00774CA9">
        <w:t xml:space="preserve"> house. The lower court </w:t>
      </w:r>
      <w:r w:rsidR="00C860F8">
        <w:t xml:space="preserve">had </w:t>
      </w:r>
      <w:r w:rsidRPr="00DE7FCC" w:rsidR="00774CA9">
        <w:t xml:space="preserve">rejected the </w:t>
      </w:r>
      <w:r w:rsidRPr="00DE7FCC" w:rsidR="00B9240E">
        <w:t>plaintiff</w:t>
      </w:r>
      <w:r w:rsidR="009952BE">
        <w:t>'</w:t>
      </w:r>
      <w:r w:rsidRPr="00DE7FCC" w:rsidR="00B9240E">
        <w:t>s action</w:t>
      </w:r>
      <w:r w:rsidR="00C860F8">
        <w:t>,</w:t>
      </w:r>
      <w:r w:rsidRPr="00DE7FCC" w:rsidR="00774CA9">
        <w:t xml:space="preserve"> indicating that </w:t>
      </w:r>
      <w:r w:rsidR="00C860F8">
        <w:t xml:space="preserve">she could </w:t>
      </w:r>
      <w:r w:rsidRPr="00DE7FCC" w:rsidR="00774CA9">
        <w:t xml:space="preserve">claim </w:t>
      </w:r>
      <w:r w:rsidRPr="00DE7FCC" w:rsidR="00B9240E">
        <w:t>resettlement following the order of priority</w:t>
      </w:r>
      <w:r w:rsidR="00C860F8">
        <w:t xml:space="preserve"> </w:t>
      </w:r>
      <w:r w:rsidR="00E00A68">
        <w:t>(</w:t>
      </w:r>
      <w:r w:rsidR="00530F1D">
        <w:t>in other words,</w:t>
      </w:r>
      <w:r w:rsidR="00E00A68">
        <w:t xml:space="preserve"> </w:t>
      </w:r>
      <w:r w:rsidR="00196F27">
        <w:t xml:space="preserve">she </w:t>
      </w:r>
      <w:r w:rsidR="00AE241A">
        <w:t xml:space="preserve">should be put </w:t>
      </w:r>
      <w:r w:rsidR="00C860F8">
        <w:t>on the waiting list</w:t>
      </w:r>
      <w:r w:rsidR="00E00A68">
        <w:t>)</w:t>
      </w:r>
      <w:r w:rsidRPr="00DE7FCC" w:rsidR="00B9240E">
        <w:t>. The Supreme Court quashed this judgment, stating as follows:</w:t>
      </w:r>
    </w:p>
    <w:p w:rsidRPr="00DE7FCC" w:rsidR="00B9240E" w:rsidP="00F8213D" w:rsidRDefault="00B9240E">
      <w:pPr>
        <w:pStyle w:val="JuQuot"/>
      </w:pPr>
      <w:r w:rsidRPr="00DE7FCC">
        <w:t>“</w:t>
      </w:r>
      <w:r w:rsidR="00530F1D">
        <w:t>T</w:t>
      </w:r>
      <w:r w:rsidRPr="00DE7FCC">
        <w:t>he [plaintiff</w:t>
      </w:r>
      <w:r w:rsidR="009952BE">
        <w:t>'</w:t>
      </w:r>
      <w:r w:rsidRPr="00DE7FCC">
        <w:t>s]</w:t>
      </w:r>
      <w:r w:rsidR="00530F1D">
        <w:t xml:space="preserve"> ho</w:t>
      </w:r>
      <w:r w:rsidR="00C536FC">
        <w:t>me</w:t>
      </w:r>
      <w:r w:rsidR="00530F1D">
        <w:t xml:space="preserve"> is not only dilapidated </w:t>
      </w:r>
      <w:r w:rsidR="00772DF2">
        <w:t>...</w:t>
      </w:r>
      <w:r w:rsidRPr="00DE7FCC">
        <w:t xml:space="preserve">, but </w:t>
      </w:r>
      <w:r w:rsidR="00396D16">
        <w:t xml:space="preserve">is </w:t>
      </w:r>
      <w:r w:rsidR="00530F1D">
        <w:t>also situated within 30 </w:t>
      </w:r>
      <w:r w:rsidRPr="00DE7FCC">
        <w:t>met</w:t>
      </w:r>
      <w:r w:rsidR="00396D16">
        <w:t xml:space="preserve">res of </w:t>
      </w:r>
      <w:r w:rsidRPr="00DE7FCC">
        <w:t>a railway</w:t>
      </w:r>
      <w:r w:rsidR="00396D16">
        <w:t>,</w:t>
      </w:r>
      <w:r w:rsidRPr="00DE7FCC">
        <w:t xml:space="preserve"> </w:t>
      </w:r>
      <w:r w:rsidRPr="00DE7FCC" w:rsidR="009C1AE3">
        <w:t>with</w:t>
      </w:r>
      <w:r w:rsidRPr="00DE7FCC">
        <w:t xml:space="preserve">in </w:t>
      </w:r>
      <w:r w:rsidR="00396D16">
        <w:t>the latter</w:t>
      </w:r>
      <w:r w:rsidR="009952BE">
        <w:t>'</w:t>
      </w:r>
      <w:r w:rsidR="00396D16">
        <w:t xml:space="preserve">s </w:t>
      </w:r>
      <w:r w:rsidRPr="00DE7FCC">
        <w:t xml:space="preserve">sanitary security zone, </w:t>
      </w:r>
      <w:r w:rsidR="00396D16">
        <w:t xml:space="preserve">which </w:t>
      </w:r>
      <w:r w:rsidRPr="00DE7FCC">
        <w:t xml:space="preserve">is </w:t>
      </w:r>
      <w:r w:rsidRPr="00DE7FCC" w:rsidR="009C1AE3">
        <w:t>contrary to</w:t>
      </w:r>
      <w:r w:rsidRPr="00DE7FCC">
        <w:t xml:space="preserve"> the sanitary regulations (this zone is 100 met</w:t>
      </w:r>
      <w:r w:rsidR="00396D16">
        <w:t xml:space="preserve">res </w:t>
      </w:r>
      <w:r w:rsidRPr="00DE7FCC">
        <w:t xml:space="preserve">wide, and </w:t>
      </w:r>
      <w:r w:rsidRPr="00DE7FCC" w:rsidR="009C1AE3">
        <w:t>no residential premises</w:t>
      </w:r>
      <w:r w:rsidRPr="00396D16" w:rsidR="00396D16">
        <w:t xml:space="preserve"> </w:t>
      </w:r>
      <w:r w:rsidR="00396D16">
        <w:t xml:space="preserve">should be located </w:t>
      </w:r>
      <w:r w:rsidRPr="00DE7FCC" w:rsidR="00396D16">
        <w:t>within it</w:t>
      </w:r>
      <w:r w:rsidRPr="00DE7FCC">
        <w:t>)</w:t>
      </w:r>
      <w:r w:rsidR="00530F1D">
        <w:t>.</w:t>
      </w:r>
      <w:r w:rsidRPr="00DE7FCC">
        <w:t>”</w:t>
      </w:r>
    </w:p>
    <w:p w:rsidRPr="00DE7FCC" w:rsidR="0056082E" w:rsidP="00252EB8" w:rsidRDefault="00B9240E">
      <w:pPr>
        <w:pStyle w:val="JuParaCharCharCharCharCharChar"/>
      </w:pPr>
      <w:r w:rsidRPr="00DE7FCC">
        <w:t xml:space="preserve">The Supreme Court </w:t>
      </w:r>
      <w:r w:rsidRPr="00DE7FCC" w:rsidR="006E26B0">
        <w:t>remitted the case to the first</w:t>
      </w:r>
      <w:r w:rsidR="00396D16">
        <w:t>-</w:t>
      </w:r>
      <w:r w:rsidRPr="00DE7FCC" w:rsidR="006E26B0">
        <w:t xml:space="preserve">instance </w:t>
      </w:r>
      <w:r w:rsidRPr="00DE7FCC" w:rsidR="009C1AE3">
        <w:t>court</w:t>
      </w:r>
      <w:r w:rsidR="00396D16">
        <w:t>,</w:t>
      </w:r>
      <w:r w:rsidRPr="00DE7FCC" w:rsidR="009C1AE3">
        <w:t xml:space="preserve"> </w:t>
      </w:r>
      <w:r w:rsidRPr="00DE7FCC" w:rsidR="006E26B0">
        <w:t>ordering</w:t>
      </w:r>
      <w:r w:rsidRPr="00DE7FCC">
        <w:t xml:space="preserve"> </w:t>
      </w:r>
      <w:r w:rsidR="00396D16">
        <w:t xml:space="preserve">it </w:t>
      </w:r>
      <w:r w:rsidRPr="00DE7FCC">
        <w:t>to de</w:t>
      </w:r>
      <w:r w:rsidR="00344771">
        <w:t>signate</w:t>
      </w:r>
      <w:r w:rsidRPr="00DE7FCC">
        <w:t xml:space="preserve"> specific housing which should be provided to the </w:t>
      </w:r>
      <w:r w:rsidR="00344771">
        <w:t>plaintiff</w:t>
      </w:r>
      <w:r w:rsidR="00396D16">
        <w:t xml:space="preserve"> </w:t>
      </w:r>
      <w:r w:rsidR="00DE6DED">
        <w:t xml:space="preserve">as a </w:t>
      </w:r>
      <w:r w:rsidR="00396D16">
        <w:t>replace</w:t>
      </w:r>
      <w:r w:rsidR="00DE6DED">
        <w:t xml:space="preserve">ment for </w:t>
      </w:r>
      <w:r w:rsidR="00396D16">
        <w:t xml:space="preserve">her previous </w:t>
      </w:r>
      <w:r w:rsidRPr="00DE7FCC" w:rsidR="006E26B0">
        <w:t>dwelling.</w:t>
      </w:r>
    </w:p>
    <w:p w:rsidRPr="00DE7FCC" w:rsidR="009C1AE3" w:rsidP="00252EB8" w:rsidRDefault="00BB5585">
      <w:pPr>
        <w:pStyle w:val="JuParaCharCharCharCharCharChar"/>
      </w:pPr>
      <w:r>
        <w:fldChar w:fldCharType="begin"/>
      </w:r>
      <w:r>
        <w:instrText xml:space="preserve"> SEQ level0 \*arabic </w:instrText>
      </w:r>
      <w:r>
        <w:fldChar w:fldCharType="separate"/>
      </w:r>
      <w:r w:rsidR="008C3401">
        <w:rPr>
          <w:noProof/>
        </w:rPr>
        <w:t>58</w:t>
      </w:r>
      <w:r>
        <w:fldChar w:fldCharType="end"/>
      </w:r>
      <w:r>
        <w:t>.  </w:t>
      </w:r>
      <w:r w:rsidRPr="00DE7FCC" w:rsidR="009C1AE3">
        <w:t>In another case</w:t>
      </w:r>
      <w:r w:rsidR="00396D16">
        <w:t>,</w:t>
      </w:r>
      <w:r w:rsidRPr="00DE7FCC" w:rsidR="009C1AE3">
        <w:t xml:space="preserve"> concerning the resettlement of </w:t>
      </w:r>
      <w:r w:rsidRPr="00DE7FCC" w:rsidR="00396D16">
        <w:t>Ms Ledyayeva</w:t>
      </w:r>
      <w:r w:rsidR="00396D16">
        <w:t>,</w:t>
      </w:r>
      <w:r w:rsidRPr="00DE7FCC" w:rsidR="00396D16">
        <w:t xml:space="preserve"> </w:t>
      </w:r>
      <w:r w:rsidRPr="00DE7FCC" w:rsidR="009C1AE3">
        <w:t xml:space="preserve">another resident of the sanitary security </w:t>
      </w:r>
      <w:r w:rsidRPr="00DE7FCC" w:rsidR="006252C5">
        <w:t xml:space="preserve">zone </w:t>
      </w:r>
      <w:r w:rsidRPr="00DE7FCC" w:rsidR="009C1AE3">
        <w:t xml:space="preserve">around the Severstal facilities, the Presidium of the </w:t>
      </w:r>
      <w:smartTag w:uri="urn:schemas-microsoft-com:office:smarttags" w:element="Street">
        <w:smartTag w:uri="urn:schemas-microsoft-com:office:smarttags" w:element="address">
          <w:r w:rsidR="009C1AE3" w:rsidRPr="00DE7FCC">
            <w:t>Vologda Regional Court</w:t>
          </w:r>
        </w:smartTag>
      </w:smartTag>
      <w:r w:rsidR="004012AB">
        <w:t>, in its decision</w:t>
      </w:r>
      <w:r w:rsidR="00A93D13">
        <w:t xml:space="preserve"> of </w:t>
      </w:r>
      <w:smartTag w:uri="urn:schemas-microsoft-com:office:smarttags" w:element="date">
        <w:smartTagPr>
          <w:attr w:name="Month" w:val="2"/>
          <w:attr w:name="Day" w:val="11"/>
          <w:attr w:name="Year" w:val="2002"/>
        </w:smartTagPr>
        <w:r w:rsidR="00A93D13">
          <w:t xml:space="preserve">11 </w:t>
        </w:r>
        <w:r w:rsidR="004012AB" w:rsidRPr="00DE7FCC">
          <w:t>February 2002</w:t>
        </w:r>
      </w:smartTag>
      <w:r w:rsidR="004012AB">
        <w:t xml:space="preserve">, </w:t>
      </w:r>
      <w:r w:rsidRPr="00DE7FCC" w:rsidR="009C1AE3">
        <w:t>stated</w:t>
      </w:r>
      <w:r w:rsidR="00C860F8">
        <w:t>,</w:t>
      </w:r>
      <w:r w:rsidRPr="00DE7FCC" w:rsidR="009C1AE3">
        <w:t xml:space="preserve"> </w:t>
      </w:r>
      <w:r w:rsidRPr="00DE7FCC" w:rsidR="009C1AE3">
        <w:rPr>
          <w:i/>
        </w:rPr>
        <w:t>inter alia</w:t>
      </w:r>
      <w:r w:rsidRPr="00DE7FCC" w:rsidR="009C1AE3">
        <w:t>:</w:t>
      </w:r>
    </w:p>
    <w:p w:rsidRPr="00DE7FCC" w:rsidR="006252C5" w:rsidP="002A47A5" w:rsidRDefault="006252C5">
      <w:pPr>
        <w:pStyle w:val="JuQuot"/>
      </w:pPr>
      <w:r w:rsidRPr="00DE7FCC">
        <w:t>“The lower court did not assess whether the measures taken in order to resettle the residents of the sanitary security zone are adequate in comparison to the degree of threat that the plaintiff encounters. As a result, the court did not establish whether providing [</w:t>
      </w:r>
      <w:r w:rsidRPr="00DE7FCC" w:rsidR="009C1AE3">
        <w:t>Ms</w:t>
      </w:r>
      <w:r w:rsidRPr="00DE7FCC">
        <w:t xml:space="preserve"> Ledya</w:t>
      </w:r>
      <w:r w:rsidRPr="00DE7FCC" w:rsidR="009C1AE3">
        <w:t>y</w:t>
      </w:r>
      <w:r w:rsidRPr="00DE7FCC">
        <w:t xml:space="preserve">eva] with new housing under the provisions of the housing legislation by </w:t>
      </w:r>
      <w:r w:rsidR="00396D16">
        <w:t xml:space="preserve">placing </w:t>
      </w:r>
      <w:r w:rsidRPr="00DE7FCC">
        <w:t xml:space="preserve">her on the waiting list can be regarded as giving her a real chance to live in an environment </w:t>
      </w:r>
      <w:r w:rsidR="00396D16">
        <w:t xml:space="preserve">that is </w:t>
      </w:r>
      <w:r w:rsidRPr="00DE7FCC">
        <w:t>favourable for her life and health</w:t>
      </w:r>
      <w:r w:rsidR="00EB3D26">
        <w:t>.</w:t>
      </w:r>
      <w:r w:rsidRPr="00DE7FCC">
        <w:t>”</w:t>
      </w:r>
    </w:p>
    <w:p w:rsidR="00772DF2" w:rsidP="00E00A68" w:rsidRDefault="006252C5">
      <w:pPr>
        <w:pStyle w:val="JuParaCharCharCharCharCharChar"/>
      </w:pPr>
      <w:r w:rsidRPr="00DE7FCC">
        <w:t xml:space="preserve">The court also expressed doubts as to whether the State should be </w:t>
      </w:r>
      <w:r w:rsidRPr="00DE7FCC" w:rsidR="009C1AE3">
        <w:t xml:space="preserve">held responsible for the </w:t>
      </w:r>
      <w:r w:rsidRPr="00DE7FCC">
        <w:t>resettle</w:t>
      </w:r>
      <w:r w:rsidRPr="00DE7FCC" w:rsidR="009C1AE3">
        <w:t>ment of the</w:t>
      </w:r>
      <w:r w:rsidRPr="00DE7FCC">
        <w:t xml:space="preserve"> </w:t>
      </w:r>
      <w:r w:rsidR="00396D16">
        <w:t>zone</w:t>
      </w:r>
      <w:r w:rsidR="009952BE">
        <w:t>'</w:t>
      </w:r>
      <w:r w:rsidR="00396D16">
        <w:t xml:space="preserve">s </w:t>
      </w:r>
      <w:r w:rsidRPr="00DE7FCC">
        <w:t>residents.</w:t>
      </w:r>
    </w:p>
    <w:p w:rsidRPr="00DE7FCC" w:rsidR="001746CE" w:rsidP="00252EB8" w:rsidRDefault="00F71765">
      <w:pPr>
        <w:pStyle w:val="JuHA"/>
        <w:outlineLvl w:val="0"/>
      </w:pPr>
      <w:r>
        <w:t>C</w:t>
      </w:r>
      <w:r w:rsidRPr="00DE7FCC" w:rsidR="0056082E">
        <w:t>.</w:t>
      </w:r>
      <w:r w:rsidR="00396D16">
        <w:t> </w:t>
      </w:r>
      <w:r w:rsidR="00F8213D">
        <w:t> </w:t>
      </w:r>
      <w:r w:rsidRPr="00DE7FCC" w:rsidR="001746CE">
        <w:t>Background to the Russian housing provisions</w:t>
      </w:r>
    </w:p>
    <w:p w:rsidR="00772DF2" w:rsidP="00252EB8" w:rsidRDefault="00BB5585">
      <w:pPr>
        <w:pStyle w:val="JuParaCharCharCharCharCharChar"/>
      </w:pPr>
      <w:r>
        <w:fldChar w:fldCharType="begin"/>
      </w:r>
      <w:r>
        <w:instrText xml:space="preserve"> SEQ level0 \*arabic </w:instrText>
      </w:r>
      <w:r>
        <w:fldChar w:fldCharType="separate"/>
      </w:r>
      <w:r w:rsidR="008C3401">
        <w:rPr>
          <w:noProof/>
        </w:rPr>
        <w:t>59</w:t>
      </w:r>
      <w:r>
        <w:fldChar w:fldCharType="end"/>
      </w:r>
      <w:r>
        <w:t>.  </w:t>
      </w:r>
      <w:r w:rsidRPr="00DE7FCC" w:rsidR="001746CE">
        <w:t xml:space="preserve">During the Soviet </w:t>
      </w:r>
      <w:r w:rsidR="000F4C31">
        <w:t>era</w:t>
      </w:r>
      <w:r w:rsidR="00396D16">
        <w:t xml:space="preserve">, the </w:t>
      </w:r>
      <w:r w:rsidRPr="00DE7FCC" w:rsidR="001746CE">
        <w:t>major</w:t>
      </w:r>
      <w:r w:rsidR="00396D16">
        <w:t xml:space="preserve">ity of </w:t>
      </w:r>
      <w:r w:rsidRPr="00DE7FCC" w:rsidR="001746CE">
        <w:t xml:space="preserve">housing </w:t>
      </w:r>
      <w:r w:rsidR="00396D16">
        <w:t xml:space="preserve">in </w:t>
      </w:r>
      <w:smartTag w:uri="urn:schemas-microsoft-com:office:smarttags" w:element="country-region">
        <w:smartTag w:uri="urn:schemas-microsoft-com:office:smarttags" w:element="place">
          <w:r w:rsidR="00396D16">
            <w:t>Russia</w:t>
          </w:r>
        </w:smartTag>
      </w:smartTag>
      <w:r w:rsidR="00396D16">
        <w:t xml:space="preserve"> </w:t>
      </w:r>
      <w:r w:rsidRPr="00DE7FCC" w:rsidR="001746CE">
        <w:t xml:space="preserve">belonged to various public bodies or State-owned </w:t>
      </w:r>
      <w:r w:rsidR="000F4C31">
        <w:t>compani</w:t>
      </w:r>
      <w:r w:rsidRPr="00DE7FCC" w:rsidR="001746CE">
        <w:t>es. The population liv</w:t>
      </w:r>
      <w:r w:rsidR="00396D16">
        <w:t>ed in th</w:t>
      </w:r>
      <w:r w:rsidR="00344771">
        <w:t>e</w:t>
      </w:r>
      <w:r w:rsidR="00396D16">
        <w:t xml:space="preserve">se </w:t>
      </w:r>
      <w:r w:rsidR="00344771">
        <w:t>dwellings</w:t>
      </w:r>
      <w:r w:rsidRPr="00DE7FCC" w:rsidR="001746CE">
        <w:t xml:space="preserve"> as life-long tenants. </w:t>
      </w:r>
      <w:r w:rsidR="004012AB">
        <w:t>I</w:t>
      </w:r>
      <w:r w:rsidRPr="00DE7FCC" w:rsidR="001746CE">
        <w:t xml:space="preserve">n </w:t>
      </w:r>
      <w:r w:rsidR="007A122B">
        <w:t xml:space="preserve">the </w:t>
      </w:r>
      <w:r w:rsidRPr="00DE7FCC" w:rsidR="001746CE">
        <w:t>199</w:t>
      </w:r>
      <w:r w:rsidR="004012AB">
        <w:t>0s</w:t>
      </w:r>
      <w:r w:rsidRPr="00DE7FCC" w:rsidR="001746CE">
        <w:t xml:space="preserve"> extensive privatisation programmes were carried out. </w:t>
      </w:r>
      <w:r w:rsidR="00396D16">
        <w:t>I</w:t>
      </w:r>
      <w:r w:rsidRPr="00DE7FCC" w:rsidR="00396D16">
        <w:t>n certain cases</w:t>
      </w:r>
      <w:r w:rsidR="00396D16">
        <w:t xml:space="preserve">, </w:t>
      </w:r>
      <w:r w:rsidRPr="00DE7FCC" w:rsidR="001746CE">
        <w:t xml:space="preserve">property that had not been privatised was transferred to </w:t>
      </w:r>
      <w:r w:rsidRPr="00DE7FCC" w:rsidR="00396D16">
        <w:t>local authorit</w:t>
      </w:r>
      <w:r w:rsidR="00196F27">
        <w:t>ies</w:t>
      </w:r>
      <w:r w:rsidRPr="00DE7FCC" w:rsidR="001746CE">
        <w:t>.</w:t>
      </w:r>
    </w:p>
    <w:p w:rsidRPr="00DE7FCC" w:rsidR="001746CE" w:rsidP="00252EB8" w:rsidRDefault="00BB5585">
      <w:pPr>
        <w:pStyle w:val="JuParaCharCharCharCharCharChar"/>
      </w:pPr>
      <w:r>
        <w:fldChar w:fldCharType="begin"/>
      </w:r>
      <w:r>
        <w:instrText xml:space="preserve"> SEQ level0 \*arabic </w:instrText>
      </w:r>
      <w:r>
        <w:fldChar w:fldCharType="separate"/>
      </w:r>
      <w:r w:rsidR="008C3401">
        <w:rPr>
          <w:noProof/>
        </w:rPr>
        <w:t>60</w:t>
      </w:r>
      <w:r>
        <w:fldChar w:fldCharType="end"/>
      </w:r>
      <w:r>
        <w:t>.  </w:t>
      </w:r>
      <w:r w:rsidR="00A945D8">
        <w:t xml:space="preserve">To date, a certain part </w:t>
      </w:r>
      <w:r w:rsidRPr="00DE7FCC" w:rsidR="001746CE">
        <w:t xml:space="preserve">of the Russian population continues to live </w:t>
      </w:r>
      <w:r w:rsidRPr="00DE7FCC" w:rsidR="007A122B">
        <w:t>as tenants</w:t>
      </w:r>
      <w:r w:rsidR="007A122B">
        <w:t xml:space="preserve"> </w:t>
      </w:r>
      <w:r w:rsidRPr="00DE7FCC" w:rsidR="001746CE">
        <w:t>in local council h</w:t>
      </w:r>
      <w:r w:rsidR="00196F27">
        <w:t>ouses</w:t>
      </w:r>
      <w:r w:rsidRPr="00DE7FCC" w:rsidR="001746CE">
        <w:t xml:space="preserve"> </w:t>
      </w:r>
      <w:r w:rsidR="002F710D">
        <w:t xml:space="preserve">on account of the related </w:t>
      </w:r>
      <w:r w:rsidRPr="00DE7FCC" w:rsidR="001746CE">
        <w:t>advantages. In particular, council ho</w:t>
      </w:r>
      <w:r w:rsidR="00707549">
        <w:t xml:space="preserve">use </w:t>
      </w:r>
      <w:r w:rsidRPr="00DE7FCC" w:rsidR="00707549">
        <w:t xml:space="preserve">tenants </w:t>
      </w:r>
      <w:r w:rsidR="007A122B">
        <w:t xml:space="preserve">are not required </w:t>
      </w:r>
      <w:r w:rsidRPr="00DE7FCC" w:rsidR="001746CE">
        <w:t>to pay</w:t>
      </w:r>
      <w:r w:rsidR="002F710D">
        <w:t xml:space="preserve"> property</w:t>
      </w:r>
      <w:r w:rsidRPr="00DE7FCC" w:rsidR="001746CE">
        <w:t xml:space="preserve"> taxes, </w:t>
      </w:r>
      <w:r w:rsidR="000F4C31">
        <w:t>the amount of rent they pay</w:t>
      </w:r>
      <w:r w:rsidRPr="00DE7FCC" w:rsidR="001746CE">
        <w:t xml:space="preserve"> is substantially </w:t>
      </w:r>
      <w:r w:rsidR="002F710D">
        <w:t xml:space="preserve">lower </w:t>
      </w:r>
      <w:r w:rsidRPr="00DE7FCC" w:rsidR="001746CE">
        <w:t xml:space="preserve">than the market rate and </w:t>
      </w:r>
      <w:r w:rsidR="007A122B">
        <w:t xml:space="preserve">they </w:t>
      </w:r>
      <w:r w:rsidRPr="00DE7FCC" w:rsidR="001746CE">
        <w:t xml:space="preserve">have full rights to use and control the property. </w:t>
      </w:r>
      <w:r w:rsidR="002F710D">
        <w:t>C</w:t>
      </w:r>
      <w:r w:rsidRPr="00DE7FCC" w:rsidR="001746CE">
        <w:t xml:space="preserve">ertain persons </w:t>
      </w:r>
      <w:r w:rsidR="002F710D">
        <w:t xml:space="preserve">are entitled </w:t>
      </w:r>
      <w:r w:rsidRPr="00DE7FCC" w:rsidR="001746CE">
        <w:t>to claim new housing from the local authorities</w:t>
      </w:r>
      <w:r w:rsidR="007A122B">
        <w:t>,</w:t>
      </w:r>
      <w:r w:rsidRPr="00DE7FCC" w:rsidR="001746CE">
        <w:t xml:space="preserve"> provided that they satisfy the</w:t>
      </w:r>
      <w:r w:rsidRPr="00DE7FCC" w:rsidR="00477941">
        <w:t xml:space="preserve"> conditions established by law.</w:t>
      </w:r>
    </w:p>
    <w:p w:rsidR="00772DF2" w:rsidP="00252EB8" w:rsidRDefault="00BB5585">
      <w:pPr>
        <w:pStyle w:val="JuParaCharCharCharCharCharChar"/>
      </w:pPr>
      <w:r>
        <w:fldChar w:fldCharType="begin"/>
      </w:r>
      <w:r>
        <w:instrText xml:space="preserve"> SEQ level0 \*arabic </w:instrText>
      </w:r>
      <w:r>
        <w:fldChar w:fldCharType="separate"/>
      </w:r>
      <w:r w:rsidR="008C3401">
        <w:rPr>
          <w:noProof/>
        </w:rPr>
        <w:t>61</w:t>
      </w:r>
      <w:r>
        <w:fldChar w:fldCharType="end"/>
      </w:r>
      <w:r>
        <w:t>.  </w:t>
      </w:r>
      <w:r w:rsidRPr="00DE7FCC" w:rsidR="001746CE">
        <w:t xml:space="preserve">From </w:t>
      </w:r>
      <w:r w:rsidR="002F710D">
        <w:t>a</w:t>
      </w:r>
      <w:r w:rsidRPr="00DE7FCC" w:rsidR="002F710D">
        <w:t xml:space="preserve"> </w:t>
      </w:r>
      <w:r w:rsidRPr="00DE7FCC" w:rsidR="001746CE">
        <w:t xml:space="preserve">historical standpoint, the right to claim new housing was </w:t>
      </w:r>
      <w:r w:rsidR="005504C5">
        <w:t xml:space="preserve">one of </w:t>
      </w:r>
      <w:r w:rsidRPr="00DE7FCC" w:rsidR="001746CE">
        <w:t xml:space="preserve">the </w:t>
      </w:r>
      <w:r w:rsidR="005504C5">
        <w:t xml:space="preserve">basic </w:t>
      </w:r>
      <w:r w:rsidRPr="00DE7FCC" w:rsidR="001746CE">
        <w:t xml:space="preserve">socio-economic rights enshrined in Soviet legislation. </w:t>
      </w:r>
      <w:r w:rsidR="00C536FC">
        <w:t>Under</w:t>
      </w:r>
      <w:r w:rsidRPr="00DE7FCC" w:rsidR="001746CE">
        <w:t xml:space="preserve"> the Housing Code of </w:t>
      </w:r>
      <w:r w:rsidR="00B31BA0">
        <w:t xml:space="preserve">the RSFSR of </w:t>
      </w:r>
      <w:smartTag w:uri="urn:schemas-microsoft-com:office:smarttags" w:element="date">
        <w:smartTagPr>
          <w:attr w:name="Month" w:val="6"/>
          <w:attr w:name="Day" w:val="24"/>
          <w:attr w:name="Year" w:val="1983"/>
        </w:smartTagPr>
        <w:r w:rsidR="00B31BA0">
          <w:t xml:space="preserve">24 June </w:t>
        </w:r>
        <w:r w:rsidR="001746CE" w:rsidRPr="00DE7FCC">
          <w:t>1983</w:t>
        </w:r>
      </w:smartTag>
      <w:r w:rsidRPr="00DE7FCC" w:rsidR="001746CE">
        <w:t xml:space="preserve">, which </w:t>
      </w:r>
      <w:r w:rsidR="00E00A68">
        <w:t>was</w:t>
      </w:r>
      <w:r w:rsidRPr="00DE7FCC" w:rsidR="001746CE">
        <w:t xml:space="preserve"> still valid in </w:t>
      </w:r>
      <w:smartTag w:uri="urn:schemas-microsoft-com:office:smarttags" w:element="country-region">
        <w:smartTag w:uri="urn:schemas-microsoft-com:office:smarttags" w:element="place">
          <w:r w:rsidR="001746CE" w:rsidRPr="00DE7FCC">
            <w:t>Russia</w:t>
          </w:r>
        </w:smartTag>
      </w:smartTag>
      <w:r w:rsidR="00E00A68">
        <w:t xml:space="preserve"> at the time of the relevant events</w:t>
      </w:r>
      <w:r w:rsidRPr="00DE7FCC" w:rsidR="001746CE">
        <w:t>, every tenant whose living conditions d</w:t>
      </w:r>
      <w:r w:rsidR="007A122B">
        <w:t>id</w:t>
      </w:r>
      <w:r w:rsidRPr="00DE7FCC" w:rsidR="001746CE">
        <w:t xml:space="preserve"> not correspond to the required standards </w:t>
      </w:r>
      <w:r w:rsidR="007A122B">
        <w:t>wa</w:t>
      </w:r>
      <w:r w:rsidRPr="00DE7FCC" w:rsidR="001746CE">
        <w:t>s eligible to be p</w:t>
      </w:r>
      <w:r w:rsidR="005504C5">
        <w:t xml:space="preserve">laced on a local authority </w:t>
      </w:r>
      <w:r w:rsidRPr="00DE7FCC" w:rsidR="001746CE">
        <w:t xml:space="preserve">waiting list in order to obtain new council housing. The waiting list establishes the priority order in which housing is attributed </w:t>
      </w:r>
      <w:r w:rsidR="005504C5">
        <w:t xml:space="preserve">once </w:t>
      </w:r>
      <w:r w:rsidRPr="00DE7FCC" w:rsidR="001746CE">
        <w:t>it is available.</w:t>
      </w:r>
    </w:p>
    <w:p w:rsidRPr="00DE7FCC" w:rsidR="001746CE" w:rsidP="00252EB8" w:rsidRDefault="00BB5585">
      <w:pPr>
        <w:pStyle w:val="JuParaCharCharCharCharCharChar"/>
      </w:pPr>
      <w:r>
        <w:fldChar w:fldCharType="begin"/>
      </w:r>
      <w:r>
        <w:instrText xml:space="preserve"> SEQ level0 \*arabic </w:instrText>
      </w:r>
      <w:r>
        <w:fldChar w:fldCharType="separate"/>
      </w:r>
      <w:r w:rsidR="008C3401">
        <w:rPr>
          <w:noProof/>
        </w:rPr>
        <w:t>62</w:t>
      </w:r>
      <w:r>
        <w:fldChar w:fldCharType="end"/>
      </w:r>
      <w:r>
        <w:t>.  </w:t>
      </w:r>
      <w:r w:rsidRPr="00DE7FCC" w:rsidR="001746CE">
        <w:t xml:space="preserve">However, being on </w:t>
      </w:r>
      <w:r w:rsidR="007A122B">
        <w:t>a</w:t>
      </w:r>
      <w:r w:rsidRPr="00DE7FCC" w:rsidR="001746CE">
        <w:t xml:space="preserve"> waiting list does not entitle the person concerned to claim any specific conditions or </w:t>
      </w:r>
      <w:r w:rsidR="005504C5">
        <w:t>time</w:t>
      </w:r>
      <w:r w:rsidR="000F4C31">
        <w:t>-frame</w:t>
      </w:r>
      <w:r w:rsidR="005504C5">
        <w:t xml:space="preserve"> </w:t>
      </w:r>
      <w:r w:rsidRPr="00DE7FCC" w:rsidR="005504C5">
        <w:t xml:space="preserve">from the State </w:t>
      </w:r>
      <w:r w:rsidR="005504C5">
        <w:t xml:space="preserve">for </w:t>
      </w:r>
      <w:r w:rsidRPr="00DE7FCC" w:rsidR="001746CE">
        <w:t>obtaining new housing. Certain categories of persons, such as judges, policemen or handicapped persons are entitled to be p</w:t>
      </w:r>
      <w:r w:rsidR="005504C5">
        <w:t xml:space="preserve">laced </w:t>
      </w:r>
      <w:r w:rsidRPr="00DE7FCC" w:rsidR="001746CE">
        <w:t xml:space="preserve">on a special “priority waiting list”. However, it appears that Russian legislation </w:t>
      </w:r>
      <w:r w:rsidR="00C84BCA">
        <w:t xml:space="preserve">does not </w:t>
      </w:r>
      <w:r w:rsidRPr="00DE7FCC" w:rsidR="001746CE">
        <w:t xml:space="preserve">guarantee </w:t>
      </w:r>
      <w:r w:rsidR="00C84BCA">
        <w:t>a</w:t>
      </w:r>
      <w:r w:rsidRPr="00DE7FCC" w:rsidR="001746CE">
        <w:t xml:space="preserve"> right to be p</w:t>
      </w:r>
      <w:r w:rsidR="00707549">
        <w:t xml:space="preserve">laced </w:t>
      </w:r>
      <w:r w:rsidRPr="00DE7FCC" w:rsidR="001746CE">
        <w:t>on th</w:t>
      </w:r>
      <w:r w:rsidR="00C84BCA">
        <w:t>is</w:t>
      </w:r>
      <w:r w:rsidRPr="00DE7FCC" w:rsidR="001746CE">
        <w:t xml:space="preserve"> </w:t>
      </w:r>
      <w:r w:rsidR="00C84BCA">
        <w:t>special</w:t>
      </w:r>
      <w:r w:rsidRPr="00DE7FCC" w:rsidR="001746CE">
        <w:t xml:space="preserve"> list solely on the ground o</w:t>
      </w:r>
      <w:r w:rsidRPr="00DE7FCC" w:rsidR="00477941">
        <w:t>f serious ecological threats.</w:t>
      </w:r>
    </w:p>
    <w:p w:rsidRPr="00DE7FCC" w:rsidR="001746CE" w:rsidP="00A945D8" w:rsidRDefault="00BB5585">
      <w:pPr>
        <w:pStyle w:val="JuParaCharCharCharCharCharChar"/>
      </w:pPr>
      <w:r>
        <w:fldChar w:fldCharType="begin"/>
      </w:r>
      <w:r>
        <w:instrText xml:space="preserve"> SEQ level0 \*arabic </w:instrText>
      </w:r>
      <w:r>
        <w:fldChar w:fldCharType="separate"/>
      </w:r>
      <w:r w:rsidR="008C3401">
        <w:rPr>
          <w:noProof/>
        </w:rPr>
        <w:t>63</w:t>
      </w:r>
      <w:r>
        <w:fldChar w:fldCharType="end"/>
      </w:r>
      <w:r>
        <w:t>.  </w:t>
      </w:r>
      <w:r w:rsidRPr="00DE7FCC" w:rsidR="001746CE">
        <w:t>Since Soviet time</w:t>
      </w:r>
      <w:r w:rsidR="005504C5">
        <w:t>s</w:t>
      </w:r>
      <w:r w:rsidRPr="00DE7FCC" w:rsidR="001746CE">
        <w:t xml:space="preserve">, </w:t>
      </w:r>
      <w:r w:rsidR="004012AB">
        <w:t>hundred</w:t>
      </w:r>
      <w:r w:rsidR="007A122B">
        <w:t>s of</w:t>
      </w:r>
      <w:r w:rsidR="004012AB">
        <w:t xml:space="preserve"> thousands of </w:t>
      </w:r>
      <w:r w:rsidR="005504C5">
        <w:t>Russian</w:t>
      </w:r>
      <w:r w:rsidR="004012AB">
        <w:t>s</w:t>
      </w:r>
      <w:r w:rsidR="005504C5">
        <w:t xml:space="preserve"> </w:t>
      </w:r>
      <w:r w:rsidRPr="00DE7FCC" w:rsidR="001746CE">
        <w:t>ha</w:t>
      </w:r>
      <w:r w:rsidR="004012AB">
        <w:t>ve</w:t>
      </w:r>
      <w:r w:rsidRPr="00DE7FCC" w:rsidR="001746CE">
        <w:t xml:space="preserve"> been p</w:t>
      </w:r>
      <w:r w:rsidR="005504C5">
        <w:t xml:space="preserve">laced </w:t>
      </w:r>
      <w:r w:rsidRPr="00DE7FCC" w:rsidR="001746CE">
        <w:t xml:space="preserve">on waiting lists, </w:t>
      </w:r>
      <w:r w:rsidR="005504C5">
        <w:t xml:space="preserve">which </w:t>
      </w:r>
      <w:r w:rsidRPr="00DE7FCC" w:rsidR="001746CE">
        <w:t>becom</w:t>
      </w:r>
      <w:r w:rsidR="005504C5">
        <w:t xml:space="preserve">e </w:t>
      </w:r>
      <w:r w:rsidRPr="00DE7FCC" w:rsidR="001746CE">
        <w:t xml:space="preserve">longer each year </w:t>
      </w:r>
      <w:r w:rsidR="005504C5">
        <w:t>on account of a</w:t>
      </w:r>
      <w:r w:rsidRPr="00DE7FCC" w:rsidR="005504C5">
        <w:t xml:space="preserve"> </w:t>
      </w:r>
      <w:r w:rsidRPr="00DE7FCC" w:rsidR="001746CE">
        <w:t>lack of resources to build new council ho</w:t>
      </w:r>
      <w:r w:rsidR="00707549">
        <w:t>using</w:t>
      </w:r>
      <w:r w:rsidRPr="00DE7FCC" w:rsidR="001746CE">
        <w:t xml:space="preserve">. At present, the fact of being on </w:t>
      </w:r>
      <w:r w:rsidR="005504C5">
        <w:t>a</w:t>
      </w:r>
      <w:r w:rsidRPr="00DE7FCC" w:rsidR="005504C5">
        <w:t xml:space="preserve"> </w:t>
      </w:r>
      <w:r w:rsidRPr="00DE7FCC" w:rsidR="001746CE">
        <w:t>waiting list represents a</w:t>
      </w:r>
      <w:r w:rsidR="005504C5">
        <w:t>n</w:t>
      </w:r>
      <w:r w:rsidRPr="00DE7FCC" w:rsidR="001746CE">
        <w:t xml:space="preserve"> acceptance by the State of its intention to provide new housing </w:t>
      </w:r>
      <w:r w:rsidR="005504C5">
        <w:t>when resources become available.</w:t>
      </w:r>
      <w:r w:rsidRPr="00DE7FCC" w:rsidR="001746CE">
        <w:t xml:space="preserve"> The applicant submits, for example, that </w:t>
      </w:r>
      <w:r w:rsidRPr="00DE7FCC" w:rsidR="005504C5">
        <w:t xml:space="preserve">the person who is first </w:t>
      </w:r>
      <w:r w:rsidR="00707549">
        <w:t>o</w:t>
      </w:r>
      <w:r w:rsidRPr="00DE7FCC" w:rsidR="001746CE">
        <w:t>n the waiting list in her municipality</w:t>
      </w:r>
      <w:r w:rsidRPr="005504C5" w:rsidR="005504C5">
        <w:t xml:space="preserve"> </w:t>
      </w:r>
      <w:r w:rsidRPr="00DE7FCC" w:rsidR="005504C5">
        <w:t>has been waiting for new council housing</w:t>
      </w:r>
      <w:r w:rsidRPr="005504C5" w:rsidR="005504C5">
        <w:t xml:space="preserve"> </w:t>
      </w:r>
      <w:r w:rsidRPr="00DE7FCC" w:rsidR="005504C5">
        <w:t>since 1968</w:t>
      </w:r>
      <w:r w:rsidR="005504C5">
        <w:t xml:space="preserve">. She herself </w:t>
      </w:r>
      <w:r w:rsidR="00707549">
        <w:t xml:space="preserve">became </w:t>
      </w:r>
      <w:r w:rsidR="00196F27">
        <w:t>no.</w:t>
      </w:r>
      <w:r w:rsidR="00E67C85">
        <w:t xml:space="preserve"> </w:t>
      </w:r>
      <w:r w:rsidRPr="00DE7FCC" w:rsidR="001746CE">
        <w:t>6</w:t>
      </w:r>
      <w:r w:rsidR="00196F27">
        <w:t>,</w:t>
      </w:r>
      <w:r w:rsidRPr="00DE7FCC" w:rsidR="001746CE">
        <w:t xml:space="preserve">820 </w:t>
      </w:r>
      <w:r w:rsidR="005504C5">
        <w:t xml:space="preserve">on that list </w:t>
      </w:r>
      <w:r w:rsidRPr="00DE7FCC" w:rsidR="001746CE">
        <w:t>in 1999</w:t>
      </w:r>
      <w:r w:rsidR="005504C5">
        <w:t>.</w:t>
      </w:r>
    </w:p>
    <w:p w:rsidRPr="00DE7FCC" w:rsidR="00CD49A7" w:rsidP="00252EB8" w:rsidRDefault="00CD49A7">
      <w:pPr>
        <w:pStyle w:val="JuHHead"/>
      </w:pPr>
      <w:r w:rsidRPr="00DE7FCC">
        <w:t>THE LAW</w:t>
      </w:r>
    </w:p>
    <w:p w:rsidRPr="00DE7FCC" w:rsidR="00CD49A7" w:rsidP="00252EB8" w:rsidRDefault="00CD49A7">
      <w:pPr>
        <w:pStyle w:val="JuHIRoman"/>
        <w:outlineLvl w:val="0"/>
      </w:pPr>
      <w:r w:rsidRPr="00DE7FCC">
        <w:t>I.  </w:t>
      </w:r>
      <w:r w:rsidRPr="00DE7FCC" w:rsidR="005B04B1">
        <w:t>ALLEGED VIOLATION</w:t>
      </w:r>
      <w:r w:rsidR="0066049F">
        <w:t xml:space="preserve"> OF ARTICLE 8 OF THE CONVENTION</w:t>
      </w:r>
    </w:p>
    <w:p w:rsidRPr="00DE7FCC" w:rsidR="0071355B" w:rsidP="00252EB8" w:rsidRDefault="00BB5585">
      <w:pPr>
        <w:pStyle w:val="JuParaCharCharCharCharCharChar"/>
      </w:pPr>
      <w:r>
        <w:fldChar w:fldCharType="begin"/>
      </w:r>
      <w:r>
        <w:instrText xml:space="preserve"> SEQ level0 \*arabic </w:instrText>
      </w:r>
      <w:r>
        <w:fldChar w:fldCharType="separate"/>
      </w:r>
      <w:r w:rsidR="008C3401">
        <w:rPr>
          <w:noProof/>
        </w:rPr>
        <w:t>64</w:t>
      </w:r>
      <w:r>
        <w:fldChar w:fldCharType="end"/>
      </w:r>
      <w:r>
        <w:t>.  </w:t>
      </w:r>
      <w:r w:rsidRPr="00DE7FCC" w:rsidR="0071355B">
        <w:t xml:space="preserve">The applicant alleged </w:t>
      </w:r>
      <w:r w:rsidR="007A122B">
        <w:t xml:space="preserve">that there had been </w:t>
      </w:r>
      <w:r w:rsidRPr="00DE7FCC" w:rsidR="0071355B">
        <w:t xml:space="preserve">a violation of Article 8 of the Convention </w:t>
      </w:r>
      <w:r w:rsidR="00645AC1">
        <w:t xml:space="preserve">on account of </w:t>
      </w:r>
      <w:r w:rsidRPr="00DE7FCC" w:rsidR="00EE27CC">
        <w:t>the State</w:t>
      </w:r>
      <w:r w:rsidR="009952BE">
        <w:t>'</w:t>
      </w:r>
      <w:r w:rsidRPr="00DE7FCC" w:rsidR="00EE27CC">
        <w:t>s failure to protect her private life and home f</w:t>
      </w:r>
      <w:r w:rsidR="00645AC1">
        <w:t>r</w:t>
      </w:r>
      <w:r w:rsidRPr="00DE7FCC" w:rsidR="00EE27CC">
        <w:t xml:space="preserve">om severe environmental nuisance arising from </w:t>
      </w:r>
      <w:r w:rsidR="00645AC1">
        <w:t xml:space="preserve">the </w:t>
      </w:r>
      <w:r w:rsidRPr="00DE7FCC" w:rsidR="00EE27CC">
        <w:t xml:space="preserve">industrial activities of the Severstal </w:t>
      </w:r>
      <w:r w:rsidR="002F22AF">
        <w:t>steel plant</w:t>
      </w:r>
      <w:r w:rsidRPr="00DE7FCC" w:rsidR="00EE27CC">
        <w:t>.</w:t>
      </w:r>
    </w:p>
    <w:p w:rsidRPr="00DE7FCC" w:rsidR="00DE7FCC" w:rsidP="00252EB8" w:rsidRDefault="00BB5585">
      <w:pPr>
        <w:pStyle w:val="JuParaCharCharCharCharCharChar"/>
      </w:pPr>
      <w:r>
        <w:fldChar w:fldCharType="begin"/>
      </w:r>
      <w:r>
        <w:instrText xml:space="preserve"> SEQ level0 \*arabic </w:instrText>
      </w:r>
      <w:r>
        <w:fldChar w:fldCharType="separate"/>
      </w:r>
      <w:r w:rsidR="008C3401">
        <w:rPr>
          <w:noProof/>
        </w:rPr>
        <w:t>65</w:t>
      </w:r>
      <w:r>
        <w:fldChar w:fldCharType="end"/>
      </w:r>
      <w:r>
        <w:t>.  </w:t>
      </w:r>
      <w:r w:rsidRPr="00DE7FCC" w:rsidR="00DE7FCC">
        <w:t>Article 8 of the Convention</w:t>
      </w:r>
      <w:r w:rsidR="00C536FC">
        <w:t xml:space="preserve"> </w:t>
      </w:r>
      <w:r w:rsidRPr="00DE7FCC" w:rsidR="00DE7FCC">
        <w:t>reads as follows:</w:t>
      </w:r>
    </w:p>
    <w:p w:rsidRPr="00F8213D" w:rsidR="00DE7FCC" w:rsidP="00F8213D" w:rsidRDefault="00DE7FCC">
      <w:pPr>
        <w:pStyle w:val="JuQuot"/>
      </w:pPr>
      <w:r w:rsidRPr="00F8213D">
        <w:t>“1.</w:t>
      </w:r>
      <w:r w:rsidRPr="00F8213D" w:rsidR="007A122B">
        <w:t>  </w:t>
      </w:r>
      <w:r w:rsidRPr="00F8213D" w:rsidR="0066049F">
        <w:t>Everyone</w:t>
      </w:r>
      <w:r w:rsidRPr="00F8213D">
        <w:t xml:space="preserve"> has the right to respect for his private and family life, his </w:t>
      </w:r>
      <w:r w:rsidRPr="00F8213D" w:rsidR="0066049F">
        <w:t>home,</w:t>
      </w:r>
      <w:r w:rsidRPr="00F8213D">
        <w:t xml:space="preserve"> and his correspondence.</w:t>
      </w:r>
    </w:p>
    <w:p w:rsidRPr="00F8213D" w:rsidR="00772DF2" w:rsidP="00F8213D" w:rsidRDefault="00DE7FCC">
      <w:pPr>
        <w:pStyle w:val="JuQuot"/>
      </w:pPr>
      <w:r w:rsidRPr="00F8213D">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00D83F73" w:rsidP="00BD7969" w:rsidRDefault="00D83F73">
      <w:pPr>
        <w:pStyle w:val="JuHA"/>
        <w:outlineLvl w:val="0"/>
      </w:pPr>
      <w:r w:rsidRPr="00DE7FCC">
        <w:t>A.  </w:t>
      </w:r>
      <w:r>
        <w:t>Applicability of Article 8 in the present case</w:t>
      </w:r>
    </w:p>
    <w:p w:rsidR="006038CB" w:rsidP="00BD7969" w:rsidRDefault="006038CB">
      <w:pPr>
        <w:pStyle w:val="JuH1"/>
      </w:pPr>
      <w:r>
        <w:t>1.</w:t>
      </w:r>
      <w:r w:rsidR="00F8213D">
        <w:t>  </w:t>
      </w:r>
      <w:r>
        <w:t>Nature and extent of the alleged interference with the applicant</w:t>
      </w:r>
      <w:r w:rsidR="009952BE">
        <w:t>'</w:t>
      </w:r>
      <w:r>
        <w:t>s rights</w:t>
      </w:r>
    </w:p>
    <w:p w:rsidR="00772DF2" w:rsidP="00BD7969" w:rsidRDefault="00BB5585">
      <w:pPr>
        <w:pStyle w:val="JuParaChar"/>
        <w:keepNext/>
        <w:keepLines/>
      </w:pPr>
      <w:r>
        <w:fldChar w:fldCharType="begin"/>
      </w:r>
      <w:r>
        <w:instrText xml:space="preserve"> SEQ level0 \*arabic </w:instrText>
      </w:r>
      <w:r>
        <w:fldChar w:fldCharType="separate"/>
      </w:r>
      <w:r w:rsidR="008C3401">
        <w:rPr>
          <w:noProof/>
        </w:rPr>
        <w:t>66</w:t>
      </w:r>
      <w:r>
        <w:fldChar w:fldCharType="end"/>
      </w:r>
      <w:r>
        <w:t>.  </w:t>
      </w:r>
      <w:r w:rsidR="006038CB">
        <w:t>Both parties agreed that the applicant</w:t>
      </w:r>
      <w:r w:rsidR="009952BE">
        <w:t>'</w:t>
      </w:r>
      <w:r w:rsidR="006038CB">
        <w:t xml:space="preserve">s place of residence was affected by industrial pollution. Neither was it disputed that the main cause of pollution was the Severstal </w:t>
      </w:r>
      <w:r w:rsidR="002F22AF">
        <w:t>steel plant</w:t>
      </w:r>
      <w:r w:rsidR="006038CB">
        <w:t>, operating near the applicant</w:t>
      </w:r>
      <w:r w:rsidR="009952BE">
        <w:t>'</w:t>
      </w:r>
      <w:r w:rsidR="006038CB">
        <w:t>s home.</w:t>
      </w:r>
    </w:p>
    <w:p w:rsidR="00772DF2" w:rsidP="006038CB" w:rsidRDefault="00BB5585">
      <w:pPr>
        <w:pStyle w:val="JuParaChar"/>
      </w:pPr>
      <w:r>
        <w:fldChar w:fldCharType="begin"/>
      </w:r>
      <w:r>
        <w:instrText xml:space="preserve"> SEQ level0 \*arabic </w:instrText>
      </w:r>
      <w:r>
        <w:fldChar w:fldCharType="separate"/>
      </w:r>
      <w:r w:rsidR="008C3401">
        <w:rPr>
          <w:noProof/>
        </w:rPr>
        <w:t>67</w:t>
      </w:r>
      <w:r>
        <w:fldChar w:fldCharType="end"/>
      </w:r>
      <w:r>
        <w:t>.  </w:t>
      </w:r>
      <w:r w:rsidR="006038CB">
        <w:t xml:space="preserve">The Court observes, however, that the degree of disturbance caused by Severstal and </w:t>
      </w:r>
      <w:r w:rsidR="007A122B">
        <w:t xml:space="preserve">the </w:t>
      </w:r>
      <w:r w:rsidR="006038CB">
        <w:t>effects of pollution on the applicant are disputed by the parties.</w:t>
      </w:r>
      <w:r w:rsidRPr="001E341D" w:rsidR="006038CB">
        <w:t xml:space="preserve"> </w:t>
      </w:r>
      <w:r w:rsidR="004012AB">
        <w:t>Whereas the applicant insists that the pollution seriously affected her private life and health, t</w:t>
      </w:r>
      <w:r w:rsidRPr="0025797C" w:rsidR="006038CB">
        <w:t xml:space="preserve">he </w:t>
      </w:r>
      <w:r w:rsidR="0034551C">
        <w:t xml:space="preserve">respondent </w:t>
      </w:r>
      <w:r w:rsidRPr="0025797C" w:rsidR="006038CB">
        <w:t>Govern</w:t>
      </w:r>
      <w:r w:rsidR="006038CB">
        <w:t>m</w:t>
      </w:r>
      <w:r w:rsidRPr="0025797C" w:rsidR="006038CB">
        <w:t>ent asser</w:t>
      </w:r>
      <w:r w:rsidR="003B5098">
        <w:t>t</w:t>
      </w:r>
      <w:r w:rsidR="006038CB">
        <w:t xml:space="preserve"> </w:t>
      </w:r>
      <w:r w:rsidRPr="0025797C" w:rsidR="006038CB">
        <w:t xml:space="preserve">that the </w:t>
      </w:r>
      <w:r w:rsidR="006038CB">
        <w:t>harm</w:t>
      </w:r>
      <w:r w:rsidRPr="0025797C" w:rsidR="006038CB">
        <w:t xml:space="preserve"> suffered by the applicant </w:t>
      </w:r>
      <w:r w:rsidR="007A122B">
        <w:t>as a result o</w:t>
      </w:r>
      <w:r w:rsidRPr="0025797C" w:rsidR="006038CB">
        <w:t xml:space="preserve">f </w:t>
      </w:r>
      <w:r w:rsidR="006038CB">
        <w:t>h</w:t>
      </w:r>
      <w:r w:rsidRPr="0025797C" w:rsidR="006038CB">
        <w:t>er home</w:t>
      </w:r>
      <w:r w:rsidR="009952BE">
        <w:t>'</w:t>
      </w:r>
      <w:r w:rsidR="007A122B">
        <w:t>s location</w:t>
      </w:r>
      <w:r w:rsidRPr="0025797C" w:rsidR="006038CB">
        <w:t xml:space="preserve"> within the sanitary security zone </w:t>
      </w:r>
      <w:r w:rsidR="006038CB">
        <w:t>was</w:t>
      </w:r>
      <w:r w:rsidRPr="0025797C" w:rsidR="006038CB">
        <w:t xml:space="preserve"> not such as to </w:t>
      </w:r>
      <w:r w:rsidR="006038CB">
        <w:t>r</w:t>
      </w:r>
      <w:r w:rsidRPr="0025797C" w:rsidR="006038CB">
        <w:t>aise an issue under Article 8 of the Convention.</w:t>
      </w:r>
      <w:r w:rsidR="00A93D13">
        <w:t xml:space="preserve"> </w:t>
      </w:r>
      <w:r w:rsidR="006038CB">
        <w:t>In view of the Government</w:t>
      </w:r>
      <w:r w:rsidR="009952BE">
        <w:t>'</w:t>
      </w:r>
      <w:r w:rsidR="006038CB">
        <w:t>s contention</w:t>
      </w:r>
      <w:r w:rsidR="000F4C31">
        <w:t>,</w:t>
      </w:r>
      <w:r w:rsidR="006038CB">
        <w:t xml:space="preserve"> the Court has first to establish whether the situation complained of by the applicant </w:t>
      </w:r>
      <w:r w:rsidRPr="00E67C85" w:rsidR="006038CB">
        <w:t>falls to be examined</w:t>
      </w:r>
      <w:r w:rsidR="006038CB">
        <w:t xml:space="preserve"> under Article 8 of the Convention.</w:t>
      </w:r>
    </w:p>
    <w:p w:rsidR="006038CB" w:rsidP="006038CB" w:rsidRDefault="00F8213D">
      <w:pPr>
        <w:pStyle w:val="JuHa0"/>
      </w:pPr>
      <w:r>
        <w:t>(a)  </w:t>
      </w:r>
      <w:r w:rsidR="006038CB">
        <w:t>General principles</w:t>
      </w:r>
    </w:p>
    <w:p w:rsidR="006038CB" w:rsidP="006038CB" w:rsidRDefault="00BB5585">
      <w:pPr>
        <w:pStyle w:val="JuParaChar"/>
      </w:pPr>
      <w:r>
        <w:fldChar w:fldCharType="begin"/>
      </w:r>
      <w:r>
        <w:instrText xml:space="preserve"> SEQ level0 \*arabic </w:instrText>
      </w:r>
      <w:r>
        <w:fldChar w:fldCharType="separate"/>
      </w:r>
      <w:r w:rsidR="008C3401">
        <w:rPr>
          <w:noProof/>
        </w:rPr>
        <w:t>68</w:t>
      </w:r>
      <w:r>
        <w:fldChar w:fldCharType="end"/>
      </w:r>
      <w:r>
        <w:t>.  </w:t>
      </w:r>
      <w:r w:rsidR="006038CB">
        <w:t xml:space="preserve">Article 8 has been </w:t>
      </w:r>
      <w:r w:rsidR="000F4C31">
        <w:t>relied on</w:t>
      </w:r>
      <w:r w:rsidR="006038CB">
        <w:t xml:space="preserve"> in various cases involving environmental concern</w:t>
      </w:r>
      <w:r w:rsidR="006F18D4">
        <w:t>,</w:t>
      </w:r>
      <w:r w:rsidR="006038CB">
        <w:t xml:space="preserve"> </w:t>
      </w:r>
      <w:r w:rsidR="006F18D4">
        <w:t>y</w:t>
      </w:r>
      <w:r w:rsidR="006038CB">
        <w:t xml:space="preserve">et </w:t>
      </w:r>
      <w:r w:rsidR="006F18D4">
        <w:t xml:space="preserve">it </w:t>
      </w:r>
      <w:r w:rsidR="006038CB">
        <w:t>is not violated every time that environmental deterioration occurs</w:t>
      </w:r>
      <w:r w:rsidR="00726BE2">
        <w:t>:</w:t>
      </w:r>
      <w:r w:rsidR="006038CB">
        <w:t xml:space="preserve"> no right to nature preservation is as such </w:t>
      </w:r>
      <w:r w:rsidRPr="00DE6DED" w:rsidR="006038CB">
        <w:t xml:space="preserve">included among </w:t>
      </w:r>
      <w:r w:rsidRPr="0003403C" w:rsidR="006038CB">
        <w:t>the</w:t>
      </w:r>
      <w:r w:rsidRPr="00DE6DED" w:rsidR="006038CB">
        <w:t xml:space="preserve"> rights and freedoms guaranteed by the Convention </w:t>
      </w:r>
      <w:r w:rsidRPr="00726BE2" w:rsidR="006038CB">
        <w:t>(</w:t>
      </w:r>
      <w:r w:rsidRPr="00DE6DED" w:rsidR="006038CB">
        <w:t xml:space="preserve">see </w:t>
      </w:r>
      <w:r w:rsidRPr="0025797C" w:rsidR="006038CB">
        <w:rPr>
          <w:i/>
        </w:rPr>
        <w:t>Kyrtatos v. Greece</w:t>
      </w:r>
      <w:r w:rsidR="006038CB">
        <w:t>, no.</w:t>
      </w:r>
      <w:r w:rsidR="00726BE2">
        <w:t> </w:t>
      </w:r>
      <w:r w:rsidR="006038CB">
        <w:t xml:space="preserve">41666/98, </w:t>
      </w:r>
      <w:r w:rsidR="000F4C31">
        <w:t xml:space="preserve">§ 52, </w:t>
      </w:r>
      <w:r w:rsidR="006038CB">
        <w:t>ECHR 2</w:t>
      </w:r>
      <w:r w:rsidR="009A3089">
        <w:t>003-</w:t>
      </w:r>
      <w:r w:rsidR="006038CB">
        <w:t>VI). Th</w:t>
      </w:r>
      <w:r w:rsidR="007A122B">
        <w:t xml:space="preserve">us, in order </w:t>
      </w:r>
      <w:r w:rsidR="006038CB">
        <w:t>to raise an issue under Article 8 the interference must directly affect the applicant</w:t>
      </w:r>
      <w:r w:rsidR="009952BE">
        <w:t>'</w:t>
      </w:r>
      <w:r w:rsidR="006038CB">
        <w:t>s home, family or private life.</w:t>
      </w:r>
    </w:p>
    <w:p w:rsidR="006038CB" w:rsidP="006038CB" w:rsidRDefault="00BB5585">
      <w:pPr>
        <w:pStyle w:val="JuParaChar"/>
      </w:pPr>
      <w:r>
        <w:fldChar w:fldCharType="begin"/>
      </w:r>
      <w:r>
        <w:instrText xml:space="preserve"> SEQ level0 \*arabic </w:instrText>
      </w:r>
      <w:r>
        <w:fldChar w:fldCharType="separate"/>
      </w:r>
      <w:r w:rsidR="008C3401">
        <w:rPr>
          <w:noProof/>
        </w:rPr>
        <w:t>69</w:t>
      </w:r>
      <w:r>
        <w:fldChar w:fldCharType="end"/>
      </w:r>
      <w:r>
        <w:t>.  </w:t>
      </w:r>
      <w:r w:rsidR="006038CB">
        <w:t>The Court further points out that t</w:t>
      </w:r>
      <w:r w:rsidRPr="008B5BCE" w:rsidR="006038CB">
        <w:t>he</w:t>
      </w:r>
      <w:r w:rsidR="006038CB">
        <w:t xml:space="preserve"> adverse </w:t>
      </w:r>
      <w:r w:rsidRPr="008B5BCE" w:rsidR="006038CB">
        <w:t>effects</w:t>
      </w:r>
      <w:r w:rsidR="006038CB">
        <w:t xml:space="preserve"> </w:t>
      </w:r>
      <w:r w:rsidRPr="008B5BCE" w:rsidR="006038CB">
        <w:t>of</w:t>
      </w:r>
      <w:r w:rsidR="006038CB">
        <w:t xml:space="preserve"> </w:t>
      </w:r>
      <w:r w:rsidRPr="008B5BCE" w:rsidR="006038CB">
        <w:t>environmental</w:t>
      </w:r>
      <w:r w:rsidR="006038CB">
        <w:t xml:space="preserve"> pollution </w:t>
      </w:r>
      <w:r w:rsidRPr="008B5BCE" w:rsidR="006038CB">
        <w:t>must</w:t>
      </w:r>
      <w:r w:rsidR="006038CB">
        <w:t xml:space="preserve"> </w:t>
      </w:r>
      <w:r w:rsidRPr="008B5BCE" w:rsidR="006038CB">
        <w:t>attain</w:t>
      </w:r>
      <w:r w:rsidR="006038CB">
        <w:t xml:space="preserve"> a </w:t>
      </w:r>
      <w:r w:rsidRPr="008B5BCE" w:rsidR="006038CB">
        <w:t>certain</w:t>
      </w:r>
      <w:r w:rsidR="006038CB">
        <w:t xml:space="preserve"> minimum level </w:t>
      </w:r>
      <w:r w:rsidRPr="008B5BCE" w:rsidR="006038CB">
        <w:t>if</w:t>
      </w:r>
      <w:r w:rsidR="006038CB">
        <w:t xml:space="preserve"> </w:t>
      </w:r>
      <w:r w:rsidRPr="008B5BCE" w:rsidR="006038CB">
        <w:t>they</w:t>
      </w:r>
      <w:r w:rsidR="006038CB">
        <w:t xml:space="preserve"> are </w:t>
      </w:r>
      <w:r w:rsidRPr="008B5BCE" w:rsidR="006038CB">
        <w:t>to</w:t>
      </w:r>
      <w:r w:rsidR="006038CB">
        <w:t xml:space="preserve"> </w:t>
      </w:r>
      <w:r w:rsidRPr="008B5BCE" w:rsidR="006038CB">
        <w:t>fall</w:t>
      </w:r>
      <w:r w:rsidR="006038CB">
        <w:t xml:space="preserve"> </w:t>
      </w:r>
      <w:r w:rsidRPr="008B5BCE" w:rsidR="006038CB">
        <w:t>within</w:t>
      </w:r>
      <w:r w:rsidR="006038CB">
        <w:t xml:space="preserve"> </w:t>
      </w:r>
      <w:r w:rsidRPr="008B5BCE" w:rsidR="006038CB">
        <w:t>the</w:t>
      </w:r>
      <w:r w:rsidR="006038CB">
        <w:t xml:space="preserve"> </w:t>
      </w:r>
      <w:r w:rsidRPr="008B5BCE" w:rsidR="006038CB">
        <w:t>scope</w:t>
      </w:r>
      <w:r w:rsidR="006038CB">
        <w:t xml:space="preserve"> </w:t>
      </w:r>
      <w:r w:rsidRPr="008B5BCE" w:rsidR="006038CB">
        <w:t>of</w:t>
      </w:r>
      <w:r w:rsidR="006038CB">
        <w:t xml:space="preserve"> </w:t>
      </w:r>
      <w:r w:rsidRPr="008B5BCE" w:rsidR="006038CB">
        <w:t>Article</w:t>
      </w:r>
      <w:r w:rsidR="006038CB">
        <w:t xml:space="preserve"> </w:t>
      </w:r>
      <w:r w:rsidRPr="008B5BCE" w:rsidR="006038CB">
        <w:t>8</w:t>
      </w:r>
      <w:r w:rsidR="006038CB">
        <w:t xml:space="preserve"> (see</w:t>
      </w:r>
      <w:r w:rsidR="00156391">
        <w:t xml:space="preserve"> </w:t>
      </w:r>
      <w:r w:rsidRPr="00DE6DED" w:rsidR="00156391">
        <w:rPr>
          <w:i/>
        </w:rPr>
        <w:t>López Ostra</w:t>
      </w:r>
      <w:r w:rsidR="00156391">
        <w:rPr>
          <w:i/>
        </w:rPr>
        <w:t xml:space="preserve"> v. Spain</w:t>
      </w:r>
      <w:r w:rsidR="00156391">
        <w:t>, judgment of 9 December 199</w:t>
      </w:r>
      <w:r w:rsidR="00A93D13">
        <w:t xml:space="preserve">4, Series A no. 303-C, p. 54, § </w:t>
      </w:r>
      <w:r w:rsidR="00156391">
        <w:t xml:space="preserve">51; see also, </w:t>
      </w:r>
      <w:r w:rsidRPr="00156391" w:rsidR="00156391">
        <w:rPr>
          <w:i/>
        </w:rPr>
        <w:t>muta</w:t>
      </w:r>
      <w:r w:rsidR="00E96554">
        <w:rPr>
          <w:i/>
        </w:rPr>
        <w:t>t</w:t>
      </w:r>
      <w:r w:rsidRPr="00156391" w:rsidR="00156391">
        <w:rPr>
          <w:i/>
        </w:rPr>
        <w:t>is mutandis</w:t>
      </w:r>
      <w:r w:rsidR="00156391">
        <w:t>,</w:t>
      </w:r>
      <w:r w:rsidR="006038CB">
        <w:t xml:space="preserve"> </w:t>
      </w:r>
      <w:r w:rsidR="00A93D13">
        <w:rPr>
          <w:i/>
        </w:rPr>
        <w:t xml:space="preserve">Hatton and Others v. </w:t>
      </w:r>
      <w:r w:rsidRPr="00156391" w:rsidR="00156391">
        <w:rPr>
          <w:i/>
        </w:rPr>
        <w:t xml:space="preserve">the United Kingdom </w:t>
      </w:r>
      <w:r w:rsidRPr="00156391" w:rsidR="00156391">
        <w:t>[GC],</w:t>
      </w:r>
      <w:r w:rsidRPr="00156391" w:rsidR="00156391">
        <w:rPr>
          <w:i/>
        </w:rPr>
        <w:t xml:space="preserve"> </w:t>
      </w:r>
      <w:r w:rsidR="00A93D13">
        <w:t xml:space="preserve">no. </w:t>
      </w:r>
      <w:r w:rsidRPr="00156391" w:rsidR="00156391">
        <w:t>3</w:t>
      </w:r>
      <w:r w:rsidR="009A3089">
        <w:t>6022/97,</w:t>
      </w:r>
      <w:r w:rsidRPr="000F4C31" w:rsidR="000F4C31">
        <w:t xml:space="preserve"> </w:t>
      </w:r>
      <w:r w:rsidR="000F4C31">
        <w:t>§ 118,</w:t>
      </w:r>
      <w:r w:rsidR="009A3089">
        <w:t xml:space="preserve"> ECHR 2003-</w:t>
      </w:r>
      <w:r w:rsidRPr="00156391" w:rsidR="00156391">
        <w:t>VIII</w:t>
      </w:r>
      <w:r w:rsidR="006038CB">
        <w:t>)</w:t>
      </w:r>
      <w:r w:rsidRPr="008B5BCE" w:rsidR="006038CB">
        <w:t>.</w:t>
      </w:r>
      <w:r w:rsidR="006038CB">
        <w:t xml:space="preserve"> </w:t>
      </w:r>
      <w:r w:rsidRPr="008B5BCE" w:rsidR="006038CB">
        <w:t>The</w:t>
      </w:r>
      <w:r w:rsidR="006038CB">
        <w:t xml:space="preserve"> </w:t>
      </w:r>
      <w:r w:rsidRPr="008B5BCE" w:rsidR="006038CB">
        <w:t>assessment</w:t>
      </w:r>
      <w:r w:rsidR="006038CB">
        <w:t xml:space="preserve"> </w:t>
      </w:r>
      <w:r w:rsidRPr="008B5BCE" w:rsidR="006038CB">
        <w:t>of that minimum is relative and depends on all the circumstances of the case, such as the intensity and duration of the</w:t>
      </w:r>
      <w:r w:rsidR="006038CB">
        <w:t xml:space="preserve"> </w:t>
      </w:r>
      <w:r w:rsidRPr="008B5BCE" w:rsidR="006038CB">
        <w:t xml:space="preserve">nuisance, </w:t>
      </w:r>
      <w:r w:rsidR="000F4C31">
        <w:t xml:space="preserve">and </w:t>
      </w:r>
      <w:r w:rsidRPr="008B5BCE" w:rsidR="006038CB">
        <w:t>its physical or mental effects</w:t>
      </w:r>
      <w:r w:rsidR="006038CB">
        <w:t>. The general</w:t>
      </w:r>
      <w:r w:rsidR="000F4C31">
        <w:t xml:space="preserve"> context of the environment </w:t>
      </w:r>
      <w:r w:rsidR="006038CB">
        <w:t xml:space="preserve">should also </w:t>
      </w:r>
      <w:r w:rsidR="000F4C31">
        <w:t xml:space="preserve">be </w:t>
      </w:r>
      <w:r w:rsidR="006038CB">
        <w:t>taken into account.</w:t>
      </w:r>
      <w:r w:rsidRPr="008B5BCE" w:rsidR="006038CB">
        <w:t xml:space="preserve"> There would be no arguable claim under Art</w:t>
      </w:r>
      <w:r w:rsidR="006038CB">
        <w:t xml:space="preserve">icle </w:t>
      </w:r>
      <w:r w:rsidRPr="008B5BCE" w:rsidR="006038CB">
        <w:t>8</w:t>
      </w:r>
      <w:r w:rsidR="006038CB">
        <w:t xml:space="preserve"> </w:t>
      </w:r>
      <w:r w:rsidRPr="008B5BCE" w:rsidR="006038CB">
        <w:t xml:space="preserve">if the </w:t>
      </w:r>
      <w:r w:rsidR="006038CB">
        <w:t>detriment</w:t>
      </w:r>
      <w:r w:rsidRPr="008B5BCE" w:rsidR="006038CB">
        <w:t xml:space="preserve"> complained of</w:t>
      </w:r>
      <w:r w:rsidR="006038CB">
        <w:t xml:space="preserve"> was </w:t>
      </w:r>
      <w:r w:rsidRPr="008B5BCE" w:rsidR="006038CB">
        <w:t xml:space="preserve">negligible in comparison to the </w:t>
      </w:r>
      <w:r w:rsidR="006038CB">
        <w:t xml:space="preserve">environmental </w:t>
      </w:r>
      <w:r w:rsidR="00A93D13">
        <w:t xml:space="preserve">hazards inherent to </w:t>
      </w:r>
      <w:r w:rsidRPr="008B5BCE" w:rsidR="006038CB">
        <w:t xml:space="preserve">life in </w:t>
      </w:r>
      <w:r w:rsidR="006038CB">
        <w:t xml:space="preserve">every modern </w:t>
      </w:r>
      <w:r w:rsidRPr="008B5BCE" w:rsidR="006038CB">
        <w:t>cit</w:t>
      </w:r>
      <w:r w:rsidR="006038CB">
        <w:t>y</w:t>
      </w:r>
      <w:r w:rsidRPr="008B5BCE" w:rsidR="006038CB">
        <w:t>.</w:t>
      </w:r>
    </w:p>
    <w:p w:rsidR="006038CB" w:rsidP="006038CB" w:rsidRDefault="00BB5585">
      <w:pPr>
        <w:pStyle w:val="JuParaChar"/>
      </w:pPr>
      <w:r>
        <w:fldChar w:fldCharType="begin"/>
      </w:r>
      <w:r>
        <w:instrText xml:space="preserve"> SEQ level0 \*arabic </w:instrText>
      </w:r>
      <w:r>
        <w:fldChar w:fldCharType="separate"/>
      </w:r>
      <w:r w:rsidR="008C3401">
        <w:rPr>
          <w:noProof/>
        </w:rPr>
        <w:t>70</w:t>
      </w:r>
      <w:r>
        <w:fldChar w:fldCharType="end"/>
      </w:r>
      <w:r>
        <w:t>.  </w:t>
      </w:r>
      <w:r w:rsidR="006038CB">
        <w:t xml:space="preserve">Thus, in order to fall </w:t>
      </w:r>
      <w:r w:rsidR="00C536FC">
        <w:t>within the scope of</w:t>
      </w:r>
      <w:r w:rsidR="006038CB">
        <w:t xml:space="preserve"> Article 8, complaints relating to environmental nuisances have to show, first</w:t>
      </w:r>
      <w:r w:rsidR="000F4C31">
        <w:t>ly</w:t>
      </w:r>
      <w:r w:rsidR="006038CB">
        <w:t>, that there was an actual interference with the applicant</w:t>
      </w:r>
      <w:r w:rsidR="009952BE">
        <w:t>'</w:t>
      </w:r>
      <w:r w:rsidR="006038CB">
        <w:t>s private sphere, and, second</w:t>
      </w:r>
      <w:r w:rsidR="000F4C31">
        <w:t>ly</w:t>
      </w:r>
      <w:r w:rsidR="006038CB">
        <w:t xml:space="preserve">, </w:t>
      </w:r>
      <w:r w:rsidR="00C52193">
        <w:t>that a</w:t>
      </w:r>
      <w:r w:rsidR="00156391">
        <w:t xml:space="preserve"> level of severity was attained</w:t>
      </w:r>
      <w:r w:rsidR="006038CB">
        <w:t>.</w:t>
      </w:r>
    </w:p>
    <w:p w:rsidR="006038CB" w:rsidP="00E96554" w:rsidRDefault="00F8213D">
      <w:pPr>
        <w:pStyle w:val="JuHa0"/>
      </w:pPr>
      <w:r>
        <w:t>(b)  </w:t>
      </w:r>
      <w:r w:rsidR="006038CB">
        <w:t>The applicant</w:t>
      </w:r>
      <w:r w:rsidR="009952BE">
        <w:t>'</w:t>
      </w:r>
      <w:r w:rsidR="006038CB">
        <w:t xml:space="preserve">s </w:t>
      </w:r>
      <w:r w:rsidR="00C536FC">
        <w:t>submissions</w:t>
      </w:r>
    </w:p>
    <w:p w:rsidR="006038CB" w:rsidP="00E96554" w:rsidRDefault="00BB5585">
      <w:pPr>
        <w:pStyle w:val="JuParaCharCharCharCharCharChar"/>
        <w:keepNext/>
        <w:keepLines/>
        <w:rPr>
          <w:szCs w:val="24"/>
        </w:rPr>
      </w:pPr>
      <w:r>
        <w:rPr>
          <w:szCs w:val="24"/>
        </w:rPr>
        <w:fldChar w:fldCharType="begin"/>
      </w:r>
      <w:r>
        <w:rPr>
          <w:szCs w:val="24"/>
        </w:rPr>
        <w:instrText xml:space="preserve"> SEQ level0 \*arabic </w:instrText>
      </w:r>
      <w:r>
        <w:rPr>
          <w:szCs w:val="24"/>
        </w:rPr>
        <w:fldChar w:fldCharType="separate"/>
      </w:r>
      <w:r w:rsidR="008C3401">
        <w:rPr>
          <w:noProof/>
          <w:szCs w:val="24"/>
        </w:rPr>
        <w:t>71</w:t>
      </w:r>
      <w:r>
        <w:rPr>
          <w:szCs w:val="24"/>
        </w:rPr>
        <w:fldChar w:fldCharType="end"/>
      </w:r>
      <w:r>
        <w:rPr>
          <w:szCs w:val="24"/>
        </w:rPr>
        <w:t>.  </w:t>
      </w:r>
      <w:r w:rsidRPr="00DE7FCC" w:rsidR="006038CB">
        <w:rPr>
          <w:szCs w:val="24"/>
        </w:rPr>
        <w:t>The applicant claim</w:t>
      </w:r>
      <w:r w:rsidR="006038CB">
        <w:rPr>
          <w:szCs w:val="24"/>
        </w:rPr>
        <w:t>ed</w:t>
      </w:r>
      <w:r w:rsidRPr="00DE7FCC" w:rsidR="006038CB">
        <w:rPr>
          <w:szCs w:val="24"/>
        </w:rPr>
        <w:t xml:space="preserve"> that </w:t>
      </w:r>
      <w:r w:rsidRPr="00D61A1B" w:rsidR="006038CB">
        <w:rPr>
          <w:szCs w:val="24"/>
        </w:rPr>
        <w:t>the extent of enviro</w:t>
      </w:r>
      <w:r w:rsidR="006038CB">
        <w:rPr>
          <w:szCs w:val="24"/>
        </w:rPr>
        <w:t>n</w:t>
      </w:r>
      <w:r w:rsidRPr="00D61A1B" w:rsidR="006038CB">
        <w:rPr>
          <w:szCs w:val="24"/>
        </w:rPr>
        <w:t xml:space="preserve">mental pollution </w:t>
      </w:r>
      <w:r w:rsidR="006038CB">
        <w:rPr>
          <w:szCs w:val="24"/>
        </w:rPr>
        <w:t xml:space="preserve">at her place of residence </w:t>
      </w:r>
      <w:r w:rsidRPr="00D61A1B" w:rsidR="006038CB">
        <w:rPr>
          <w:szCs w:val="24"/>
        </w:rPr>
        <w:t xml:space="preserve">was and remains seriously detrimental to </w:t>
      </w:r>
      <w:r w:rsidR="006038CB">
        <w:rPr>
          <w:szCs w:val="24"/>
        </w:rPr>
        <w:t>her health and well-being and to that of her family.</w:t>
      </w:r>
    </w:p>
    <w:p w:rsidR="006038CB" w:rsidP="006038CB" w:rsidRDefault="00BB5585">
      <w:pPr>
        <w:pStyle w:val="JuParaCharCharCharCharCharChar"/>
      </w:pPr>
      <w:r>
        <w:rPr>
          <w:szCs w:val="24"/>
        </w:rPr>
        <w:fldChar w:fldCharType="begin"/>
      </w:r>
      <w:r>
        <w:rPr>
          <w:szCs w:val="24"/>
        </w:rPr>
        <w:instrText xml:space="preserve"> SEQ level0 \*arabic </w:instrText>
      </w:r>
      <w:r>
        <w:rPr>
          <w:szCs w:val="24"/>
        </w:rPr>
        <w:fldChar w:fldCharType="separate"/>
      </w:r>
      <w:r w:rsidR="008C3401">
        <w:rPr>
          <w:noProof/>
          <w:szCs w:val="24"/>
        </w:rPr>
        <w:t>72</w:t>
      </w:r>
      <w:r>
        <w:rPr>
          <w:szCs w:val="24"/>
        </w:rPr>
        <w:fldChar w:fldCharType="end"/>
      </w:r>
      <w:r>
        <w:rPr>
          <w:szCs w:val="24"/>
        </w:rPr>
        <w:t>.  </w:t>
      </w:r>
      <w:r w:rsidR="006038CB">
        <w:rPr>
          <w:szCs w:val="24"/>
        </w:rPr>
        <w:t>She</w:t>
      </w:r>
      <w:r w:rsidRPr="00DE7FCC" w:rsidR="006038CB">
        <w:rPr>
          <w:szCs w:val="24"/>
        </w:rPr>
        <w:t xml:space="preserve"> refer</w:t>
      </w:r>
      <w:r w:rsidR="006038CB">
        <w:rPr>
          <w:szCs w:val="24"/>
        </w:rPr>
        <w:t xml:space="preserve">red </w:t>
      </w:r>
      <w:r w:rsidRPr="00DE7FCC" w:rsidR="006038CB">
        <w:rPr>
          <w:szCs w:val="24"/>
        </w:rPr>
        <w:t>to</w:t>
      </w:r>
      <w:r w:rsidR="006038CB">
        <w:rPr>
          <w:szCs w:val="24"/>
        </w:rPr>
        <w:t xml:space="preserve"> a number of documents which, in her view, </w:t>
      </w:r>
      <w:r w:rsidR="006038CB">
        <w:t xml:space="preserve">indicated the adverse effects of the Severstal </w:t>
      </w:r>
      <w:r w:rsidR="002F22AF">
        <w:t>steel plant</w:t>
      </w:r>
      <w:r w:rsidR="009952BE">
        <w:t>'</w:t>
      </w:r>
      <w:r w:rsidR="006038CB">
        <w:t xml:space="preserve">s industrial activities on the population of </w:t>
      </w:r>
      <w:smartTag w:uri="urn:schemas-microsoft-com:office:smarttags" w:element="City">
        <w:smartTag w:uri="urn:schemas-microsoft-com:office:smarttags" w:element="place">
          <w:r w:rsidR="006038CB">
            <w:t>Cherepovets</w:t>
          </w:r>
        </w:smartTag>
      </w:smartTag>
      <w:r w:rsidR="006038CB">
        <w:t>. In particular, she refer</w:t>
      </w:r>
      <w:r w:rsidR="000F4C31">
        <w:t xml:space="preserve">red to the expert opinion by Dr </w:t>
      </w:r>
      <w:r w:rsidR="006038CB">
        <w:t xml:space="preserve">Chernaik (see </w:t>
      </w:r>
      <w:r w:rsidR="000F4C31">
        <w:t xml:space="preserve">paragraph </w:t>
      </w:r>
      <w:r w:rsidR="004326EE">
        <w:t>46</w:t>
      </w:r>
      <w:r w:rsidR="000F4C31">
        <w:t xml:space="preserve"> above</w:t>
      </w:r>
      <w:r w:rsidRPr="003C3EFD" w:rsidR="006038CB">
        <w:t>),</w:t>
      </w:r>
      <w:r w:rsidR="006038CB">
        <w:t xml:space="preserve"> the report of the </w:t>
      </w:r>
      <w:r w:rsidR="00AF02BA">
        <w:t>North</w:t>
      </w:r>
      <w:r w:rsidR="0034551C">
        <w:t>-</w:t>
      </w:r>
      <w:r w:rsidR="00AF02BA">
        <w:t>West</w:t>
      </w:r>
      <w:r w:rsidR="006038CB">
        <w:t xml:space="preserve"> </w:t>
      </w:r>
      <w:r w:rsidR="00AF7878">
        <w:t xml:space="preserve">Scientific </w:t>
      </w:r>
      <w:r w:rsidR="00C21246">
        <w:t>C</w:t>
      </w:r>
      <w:r w:rsidR="006038CB">
        <w:rPr>
          <w:szCs w:val="24"/>
        </w:rPr>
        <w:t>entre f</w:t>
      </w:r>
      <w:r w:rsidR="00C21246">
        <w:rPr>
          <w:szCs w:val="24"/>
        </w:rPr>
        <w:t>or Hygiene and Public H</w:t>
      </w:r>
      <w:r w:rsidR="000F4C31">
        <w:rPr>
          <w:szCs w:val="24"/>
        </w:rPr>
        <w:t xml:space="preserve">ealth (see paragraph </w:t>
      </w:r>
      <w:r w:rsidR="004326EE">
        <w:rPr>
          <w:szCs w:val="24"/>
        </w:rPr>
        <w:t>45</w:t>
      </w:r>
      <w:r w:rsidR="006038CB">
        <w:rPr>
          <w:szCs w:val="24"/>
        </w:rPr>
        <w:t xml:space="preserve">), the </w:t>
      </w:r>
      <w:r w:rsidR="000F4C31">
        <w:t>information note from the environmental d</w:t>
      </w:r>
      <w:r w:rsidR="006038CB">
        <w:t>epartment of the Cherepovets municipality and t</w:t>
      </w:r>
      <w:r w:rsidR="000F4C31">
        <w:t>he letter from the Cherepovets</w:t>
      </w:r>
      <w:r w:rsidR="00C21246">
        <w:t xml:space="preserve"> Centre for Sanitary C</w:t>
      </w:r>
      <w:r w:rsidR="000F4C31">
        <w:t xml:space="preserve">ontrol (see paragraph </w:t>
      </w:r>
      <w:r w:rsidR="004326EE">
        <w:t>47</w:t>
      </w:r>
      <w:r w:rsidR="006038CB">
        <w:t>).</w:t>
      </w:r>
    </w:p>
    <w:p w:rsidR="006038CB" w:rsidP="006038CB" w:rsidRDefault="00BB5585">
      <w:pPr>
        <w:pStyle w:val="JuParaChar"/>
      </w:pPr>
      <w:r>
        <w:fldChar w:fldCharType="begin"/>
      </w:r>
      <w:r>
        <w:instrText xml:space="preserve"> SEQ level0 \*arabic </w:instrText>
      </w:r>
      <w:r>
        <w:fldChar w:fldCharType="separate"/>
      </w:r>
      <w:r w:rsidR="008C3401">
        <w:rPr>
          <w:noProof/>
        </w:rPr>
        <w:t>73</w:t>
      </w:r>
      <w:r>
        <w:fldChar w:fldCharType="end"/>
      </w:r>
      <w:r>
        <w:t>.  </w:t>
      </w:r>
      <w:r w:rsidR="006038CB">
        <w:t xml:space="preserve">The applicant pointed out that in 2004 the Court had requested that the Government submit certain </w:t>
      </w:r>
      <w:r w:rsidR="00C536FC">
        <w:t>basic</w:t>
      </w:r>
      <w:r w:rsidR="006038CB">
        <w:t xml:space="preserve"> information </w:t>
      </w:r>
      <w:r w:rsidR="00C536FC">
        <w:t>regarding</w:t>
      </w:r>
      <w:r w:rsidR="006038CB">
        <w:t xml:space="preserve"> air pollution in </w:t>
      </w:r>
      <w:smartTag w:uri="urn:schemas-microsoft-com:office:smarttags" w:element="City">
        <w:smartTag w:uri="urn:schemas-microsoft-com:office:smarttags" w:element="place">
          <w:r w:rsidR="006038CB">
            <w:t>Cherepovets</w:t>
          </w:r>
        </w:smartTag>
      </w:smartTag>
      <w:r w:rsidRPr="00D61A1B" w:rsidR="006038CB">
        <w:t>.</w:t>
      </w:r>
      <w:r w:rsidR="006038CB">
        <w:t xml:space="preserve"> The applicant insisted that the Government had access to th</w:t>
      </w:r>
      <w:r w:rsidR="00C536FC">
        <w:t>ese</w:t>
      </w:r>
      <w:r w:rsidR="006038CB">
        <w:t xml:space="preserve"> data but failed to submit </w:t>
      </w:r>
      <w:r w:rsidR="00C536FC">
        <w:t>them</w:t>
      </w:r>
      <w:r w:rsidR="006038CB">
        <w:t xml:space="preserve"> to the Court. T</w:t>
      </w:r>
      <w:r w:rsidRPr="00DE7FCC" w:rsidR="006038CB">
        <w:t>he</w:t>
      </w:r>
      <w:r w:rsidR="006038CB">
        <w:t xml:space="preserve"> report prepared by the Government contained only </w:t>
      </w:r>
      <w:r w:rsidRPr="00DE7FCC" w:rsidR="006038CB">
        <w:t>long-term averages of pollutant levels</w:t>
      </w:r>
      <w:r w:rsidR="006038CB">
        <w:t>,</w:t>
      </w:r>
      <w:r w:rsidRPr="00DE7FCC" w:rsidR="006038CB">
        <w:t xml:space="preserve"> </w:t>
      </w:r>
      <w:r w:rsidR="006038CB">
        <w:t xml:space="preserve">which were insufficient </w:t>
      </w:r>
      <w:r w:rsidRPr="00DE7FCC" w:rsidR="006038CB">
        <w:t xml:space="preserve">to understand how pollutants </w:t>
      </w:r>
      <w:r w:rsidR="007A122B">
        <w:t>we</w:t>
      </w:r>
      <w:r w:rsidRPr="00DE7FCC" w:rsidR="006038CB">
        <w:t xml:space="preserve">re </w:t>
      </w:r>
      <w:r w:rsidR="006038CB">
        <w:t xml:space="preserve">influencing </w:t>
      </w:r>
      <w:r w:rsidRPr="00DE7FCC" w:rsidR="006038CB">
        <w:t xml:space="preserve">human health in </w:t>
      </w:r>
      <w:smartTag w:uri="urn:schemas-microsoft-com:office:smarttags" w:element="City">
        <w:smartTag w:uri="urn:schemas-microsoft-com:office:smarttags" w:element="place">
          <w:r w:rsidR="006038CB" w:rsidRPr="00DE7FCC">
            <w:t>Cherepovets</w:t>
          </w:r>
        </w:smartTag>
      </w:smartTag>
      <w:r w:rsidRPr="00DE7FCC" w:rsidR="006038CB">
        <w:t>.</w:t>
      </w:r>
      <w:r w:rsidR="006038CB">
        <w:t xml:space="preserve"> In the applicant</w:t>
      </w:r>
      <w:r w:rsidR="009952BE">
        <w:t>'</w:t>
      </w:r>
      <w:r w:rsidR="006038CB">
        <w:t>s view,</w:t>
      </w:r>
      <w:r w:rsidRPr="00DE7FCC" w:rsidR="006038CB">
        <w:t xml:space="preserve"> </w:t>
      </w:r>
      <w:r w:rsidR="007A122B">
        <w:t xml:space="preserve">the </w:t>
      </w:r>
      <w:r w:rsidR="006038CB">
        <w:t>l</w:t>
      </w:r>
      <w:r w:rsidRPr="00DE7FCC" w:rsidR="006038CB">
        <w:t>ong-term averages</w:t>
      </w:r>
      <w:r w:rsidR="00741697">
        <w:t>,</w:t>
      </w:r>
      <w:r w:rsidRPr="00DE7FCC" w:rsidR="006038CB">
        <w:t xml:space="preserve"> </w:t>
      </w:r>
      <w:r w:rsidR="00741697">
        <w:t xml:space="preserve">although themselves far above safe levels, </w:t>
      </w:r>
      <w:r w:rsidRPr="00DE7FCC" w:rsidR="006038CB">
        <w:t>mask</w:t>
      </w:r>
      <w:r w:rsidR="007A122B">
        <w:t>ed</w:t>
      </w:r>
      <w:r w:rsidRPr="00DE7FCC" w:rsidR="006038CB">
        <w:t xml:space="preserve"> episod</w:t>
      </w:r>
      <w:r w:rsidR="00741697">
        <w:t xml:space="preserve">es of extremely </w:t>
      </w:r>
      <w:r w:rsidR="00C536FC">
        <w:t>high</w:t>
      </w:r>
      <w:r w:rsidR="00741697">
        <w:t xml:space="preserve"> pollution </w:t>
      </w:r>
      <w:r w:rsidR="007A122B">
        <w:t>during</w:t>
      </w:r>
      <w:r w:rsidR="00741697">
        <w:t xml:space="preserve"> peak periods. </w:t>
      </w:r>
      <w:r w:rsidR="006038CB">
        <w:t>The applicant proposed that the Court draw adverse inferences from the Government</w:t>
      </w:r>
      <w:r w:rsidR="009952BE">
        <w:t>'</w:t>
      </w:r>
      <w:r w:rsidR="006038CB">
        <w:t xml:space="preserve">s failure to produce the </w:t>
      </w:r>
      <w:r w:rsidR="00C536FC">
        <w:t xml:space="preserve">requested </w:t>
      </w:r>
      <w:r w:rsidR="006038CB">
        <w:t>documents.</w:t>
      </w:r>
    </w:p>
    <w:p w:rsidR="006038CB" w:rsidP="006038CB" w:rsidRDefault="006038CB">
      <w:pPr>
        <w:pStyle w:val="JuHa0"/>
      </w:pPr>
      <w:r>
        <w:t>(c)</w:t>
      </w:r>
      <w:r w:rsidR="00F8213D">
        <w:t>  </w:t>
      </w:r>
      <w:r>
        <w:t>The Government</w:t>
      </w:r>
      <w:r w:rsidR="009952BE">
        <w:t>'</w:t>
      </w:r>
      <w:r>
        <w:t xml:space="preserve">s </w:t>
      </w:r>
      <w:r w:rsidR="00C536FC">
        <w:t>submissions</w:t>
      </w:r>
    </w:p>
    <w:p w:rsidR="00772DF2" w:rsidP="006038CB" w:rsidRDefault="00BB5585">
      <w:pPr>
        <w:pStyle w:val="JuParaCharCharCharCharCharChar"/>
      </w:pPr>
      <w:r>
        <w:fldChar w:fldCharType="begin"/>
      </w:r>
      <w:r>
        <w:instrText xml:space="preserve"> SEQ level0 \*arabic </w:instrText>
      </w:r>
      <w:r>
        <w:fldChar w:fldCharType="separate"/>
      </w:r>
      <w:r w:rsidR="008C3401">
        <w:rPr>
          <w:noProof/>
        </w:rPr>
        <w:t>74</w:t>
      </w:r>
      <w:r>
        <w:fldChar w:fldCharType="end"/>
      </w:r>
      <w:r>
        <w:t>.  </w:t>
      </w:r>
      <w:r w:rsidRPr="00775290" w:rsidR="006038CB">
        <w:t>The Government generally accep</w:t>
      </w:r>
      <w:r w:rsidR="006038CB">
        <w:t>ted</w:t>
      </w:r>
      <w:r w:rsidRPr="00775290" w:rsidR="006038CB">
        <w:t xml:space="preserve"> that the concentration of polluting substances in the air ne</w:t>
      </w:r>
      <w:r w:rsidR="006038CB">
        <w:t>ar the applicant</w:t>
      </w:r>
      <w:r w:rsidR="009952BE">
        <w:t>'</w:t>
      </w:r>
      <w:r w:rsidR="006038CB">
        <w:t>s ho</w:t>
      </w:r>
      <w:r w:rsidR="00C536FC">
        <w:t>me</w:t>
      </w:r>
      <w:r w:rsidR="006038CB">
        <w:t xml:space="preserve"> exceeded</w:t>
      </w:r>
      <w:r w:rsidRPr="00775290" w:rsidR="006038CB">
        <w:t xml:space="preserve"> the environmental </w:t>
      </w:r>
      <w:r w:rsidR="006038CB">
        <w:t>norm</w:t>
      </w:r>
      <w:r w:rsidRPr="00775290" w:rsidR="006038CB">
        <w:t>s.</w:t>
      </w:r>
      <w:r w:rsidR="006038CB">
        <w:t xml:space="preserve"> </w:t>
      </w:r>
      <w:r w:rsidRPr="00775290" w:rsidR="006038CB">
        <w:t>At the same time</w:t>
      </w:r>
      <w:r w:rsidR="006038CB">
        <w:t>,</w:t>
      </w:r>
      <w:r w:rsidRPr="00775290" w:rsidR="006038CB">
        <w:t xml:space="preserve"> there </w:t>
      </w:r>
      <w:r w:rsidR="006038CB">
        <w:t xml:space="preserve">was </w:t>
      </w:r>
      <w:r w:rsidRPr="00775290" w:rsidR="006038CB">
        <w:t>no evidence that the applicant</w:t>
      </w:r>
      <w:r w:rsidR="009952BE">
        <w:t>'</w:t>
      </w:r>
      <w:r w:rsidRPr="00775290" w:rsidR="006038CB">
        <w:t xml:space="preserve">s private life or health </w:t>
      </w:r>
      <w:r w:rsidR="006038CB">
        <w:t xml:space="preserve">had </w:t>
      </w:r>
      <w:r w:rsidRPr="00775290" w:rsidR="006038CB">
        <w:t xml:space="preserve">somehow </w:t>
      </w:r>
      <w:r w:rsidR="006038CB">
        <w:t xml:space="preserve">been </w:t>
      </w:r>
      <w:r w:rsidR="00C536FC">
        <w:t>adversely affected</w:t>
      </w:r>
      <w:r w:rsidR="006038CB">
        <w:t xml:space="preserve"> </w:t>
      </w:r>
      <w:r w:rsidRPr="00775290" w:rsidR="006038CB">
        <w:t>by the operation of the steel plant in the vicinity of her home. They argue</w:t>
      </w:r>
      <w:r w:rsidR="006038CB">
        <w:t>d</w:t>
      </w:r>
      <w:r w:rsidR="00C21246">
        <w:t xml:space="preserve"> that </w:t>
      </w:r>
      <w:r w:rsidR="00196F27">
        <w:t>“</w:t>
      </w:r>
      <w:r w:rsidR="00C21246">
        <w:t>the fact that</w:t>
      </w:r>
      <w:r w:rsidR="00A93D13">
        <w:t xml:space="preserve"> </w:t>
      </w:r>
      <w:r w:rsidR="00196F27">
        <w:t>Ms Fadeyeva</w:t>
      </w:r>
      <w:r w:rsidRPr="00775290" w:rsidR="006038CB">
        <w:t xml:space="preserve"> liv</w:t>
      </w:r>
      <w:r w:rsidR="00C536FC">
        <w:t>ed</w:t>
      </w:r>
      <w:r w:rsidRPr="00775290" w:rsidR="006038CB">
        <w:t xml:space="preserve"> </w:t>
      </w:r>
      <w:r w:rsidR="00C536FC">
        <w:t>within</w:t>
      </w:r>
      <w:r w:rsidRPr="00775290" w:rsidR="006038CB">
        <w:t xml:space="preserve"> the </w:t>
      </w:r>
      <w:r w:rsidR="00196F27">
        <w:t>[</w:t>
      </w:r>
      <w:r w:rsidRPr="00775290" w:rsidR="006038CB">
        <w:t>Severstal</w:t>
      </w:r>
      <w:r w:rsidR="00196F27">
        <w:t xml:space="preserve"> PLC]</w:t>
      </w:r>
      <w:r w:rsidRPr="00775290" w:rsidR="006038CB">
        <w:t xml:space="preserve"> sanitary security zone </w:t>
      </w:r>
      <w:r w:rsidR="00C536FC">
        <w:t xml:space="preserve">did not </w:t>
      </w:r>
      <w:r w:rsidRPr="00775290" w:rsidR="006038CB">
        <w:t xml:space="preserve">indicate </w:t>
      </w:r>
      <w:r w:rsidR="00C536FC">
        <w:t>any actual</w:t>
      </w:r>
      <w:r w:rsidRPr="00775290" w:rsidR="006038CB">
        <w:t xml:space="preserve"> damage, but only the possibility of </w:t>
      </w:r>
      <w:r w:rsidR="006038CB">
        <w:t xml:space="preserve">such </w:t>
      </w:r>
      <w:r w:rsidRPr="00775290" w:rsidR="006038CB">
        <w:t>damage be</w:t>
      </w:r>
      <w:r w:rsidR="006038CB">
        <w:t>ing</w:t>
      </w:r>
      <w:r w:rsidRPr="00775290" w:rsidR="006038CB">
        <w:t xml:space="preserve"> caused</w:t>
      </w:r>
      <w:r w:rsidR="00B17154">
        <w:t>”</w:t>
      </w:r>
      <w:r w:rsidRPr="00775290" w:rsidR="006038CB">
        <w:t>.</w:t>
      </w:r>
    </w:p>
    <w:p w:rsidR="006038CB" w:rsidP="006038CB" w:rsidRDefault="00BB5585">
      <w:pPr>
        <w:pStyle w:val="JuParaCharCharCharCharCharChar"/>
      </w:pPr>
      <w:r>
        <w:fldChar w:fldCharType="begin"/>
      </w:r>
      <w:r>
        <w:instrText xml:space="preserve"> SEQ level0 \*arabic </w:instrText>
      </w:r>
      <w:r>
        <w:fldChar w:fldCharType="separate"/>
      </w:r>
      <w:r w:rsidR="008C3401">
        <w:rPr>
          <w:noProof/>
        </w:rPr>
        <w:t>75</w:t>
      </w:r>
      <w:r>
        <w:fldChar w:fldCharType="end"/>
      </w:r>
      <w:r>
        <w:t>.  </w:t>
      </w:r>
      <w:r w:rsidRPr="00DE7FCC" w:rsidR="006038CB">
        <w:t xml:space="preserve">The Government </w:t>
      </w:r>
      <w:r w:rsidR="00C536FC">
        <w:t>pointed out</w:t>
      </w:r>
      <w:r w:rsidRPr="00DE7FCC" w:rsidR="006038CB">
        <w:t xml:space="preserve"> that the domestic courts </w:t>
      </w:r>
      <w:r w:rsidR="006038CB">
        <w:t xml:space="preserve">had </w:t>
      </w:r>
      <w:r w:rsidRPr="00DE7FCC" w:rsidR="006038CB">
        <w:t>never examined the influence of industrial pollution on the applicant</w:t>
      </w:r>
      <w:r w:rsidR="009952BE">
        <w:t>'</w:t>
      </w:r>
      <w:r w:rsidRPr="00DE7FCC" w:rsidR="006038CB">
        <w:t xml:space="preserve">s health or </w:t>
      </w:r>
      <w:r w:rsidR="006038CB">
        <w:t>assessed the damage caused by it. The</w:t>
      </w:r>
      <w:r w:rsidR="00C536FC">
        <w:t>y</w:t>
      </w:r>
      <w:r w:rsidR="006038CB">
        <w:t xml:space="preserve"> claimed that </w:t>
      </w:r>
      <w:r w:rsidRPr="00DE7FCC" w:rsidR="006038CB">
        <w:t xml:space="preserve">the applicant </w:t>
      </w:r>
      <w:r w:rsidR="006038CB">
        <w:t xml:space="preserve">had not </w:t>
      </w:r>
      <w:r w:rsidRPr="00DE7FCC" w:rsidR="006038CB">
        <w:t>raise</w:t>
      </w:r>
      <w:r w:rsidR="006038CB">
        <w:t>d</w:t>
      </w:r>
      <w:r w:rsidRPr="00DE7FCC" w:rsidR="006038CB">
        <w:t xml:space="preserve"> these issu</w:t>
      </w:r>
      <w:r w:rsidR="006038CB">
        <w:t>es in the domestic proceedings.</w:t>
      </w:r>
    </w:p>
    <w:p w:rsidRPr="00D075AA" w:rsidR="006038CB" w:rsidP="006038CB" w:rsidRDefault="00BB5585">
      <w:pPr>
        <w:pStyle w:val="JuParaCharCharCharCharCharChar"/>
      </w:pPr>
      <w:r>
        <w:fldChar w:fldCharType="begin"/>
      </w:r>
      <w:r>
        <w:instrText xml:space="preserve"> SEQ level0 \*arabic </w:instrText>
      </w:r>
      <w:r>
        <w:fldChar w:fldCharType="separate"/>
      </w:r>
      <w:r w:rsidR="008C3401">
        <w:rPr>
          <w:noProof/>
        </w:rPr>
        <w:t>76</w:t>
      </w:r>
      <w:r>
        <w:fldChar w:fldCharType="end"/>
      </w:r>
      <w:r>
        <w:t>.  </w:t>
      </w:r>
      <w:r w:rsidR="006038CB">
        <w:t>The Government further indicated that the applicant had failed to use the means prescribed by Russian legislation for assessing environmental hazards. In particular, the applicant could have commissioned a “sanitary epidemiologic</w:t>
      </w:r>
      <w:r w:rsidR="00C536FC">
        <w:t>al</w:t>
      </w:r>
      <w:r w:rsidR="006038CB">
        <w:t xml:space="preserve"> report” on the environmental</w:t>
      </w:r>
      <w:r w:rsidR="00C21246">
        <w:t xml:space="preserve"> situation, as provided by the d</w:t>
      </w:r>
      <w:r w:rsidR="006038CB">
        <w:t xml:space="preserve">ecree of the Ministry of Public Health </w:t>
      </w:r>
      <w:r w:rsidR="00A93D13">
        <w:t xml:space="preserve">of </w:t>
      </w:r>
      <w:smartTag w:uri="urn:schemas-microsoft-com:office:smarttags" w:element="date">
        <w:smartTagPr>
          <w:attr w:name="Month" w:val="8"/>
          <w:attr w:name="Day" w:val="15"/>
          <w:attr w:name="Year" w:val="2001"/>
        </w:smartTagPr>
        <w:r w:rsidR="00A93D13">
          <w:t xml:space="preserve">15 </w:t>
        </w:r>
        <w:r w:rsidR="006038CB">
          <w:t>August 2001</w:t>
        </w:r>
      </w:smartTag>
      <w:r w:rsidR="006038CB">
        <w:t>.</w:t>
      </w:r>
      <w:r w:rsidRPr="00D075AA" w:rsidR="006038CB">
        <w:t xml:space="preserve"> </w:t>
      </w:r>
      <w:r w:rsidR="006038CB">
        <w:t>Moreover, t</w:t>
      </w:r>
      <w:r w:rsidRPr="00D075AA" w:rsidR="006038CB">
        <w:t>he Government insist</w:t>
      </w:r>
      <w:r w:rsidR="007A122B">
        <w:t>ed</w:t>
      </w:r>
      <w:r w:rsidRPr="00D075AA" w:rsidR="006038CB">
        <w:t xml:space="preserve"> that</w:t>
      </w:r>
      <w:r w:rsidR="00C536FC">
        <w:t>,</w:t>
      </w:r>
      <w:r w:rsidRPr="00D075AA" w:rsidR="006038CB">
        <w:t xml:space="preserve"> “when assessing the level of risk to the health of inhabitants, one should follow the officially registered data on emission</w:t>
      </w:r>
      <w:r w:rsidR="006038CB">
        <w:t>s</w:t>
      </w:r>
      <w:r w:rsidRPr="00D075AA" w:rsidR="006038CB">
        <w:t xml:space="preserve"> into the atmosphere, which </w:t>
      </w:r>
      <w:r w:rsidR="00C536FC">
        <w:t>are</w:t>
      </w:r>
      <w:r w:rsidRPr="00D075AA" w:rsidR="006038CB">
        <w:t xml:space="preserve"> analy</w:t>
      </w:r>
      <w:r w:rsidR="006038CB">
        <w:t>s</w:t>
      </w:r>
      <w:r w:rsidRPr="00D075AA" w:rsidR="006038CB">
        <w:t>ed and summari</w:t>
      </w:r>
      <w:r w:rsidR="006038CB">
        <w:t>s</w:t>
      </w:r>
      <w:r w:rsidRPr="00D075AA" w:rsidR="006038CB">
        <w:t xml:space="preserve">ed on the </w:t>
      </w:r>
      <w:r w:rsidR="006038CB">
        <w:t xml:space="preserve">basis </w:t>
      </w:r>
      <w:r w:rsidRPr="00D075AA" w:rsidR="006038CB">
        <w:t>of applicable methods in accordance with the legislation of the Russian Federation</w:t>
      </w:r>
      <w:r w:rsidR="00C21246">
        <w:t>”</w:t>
      </w:r>
      <w:r w:rsidR="00C536FC">
        <w:t>.</w:t>
      </w:r>
    </w:p>
    <w:p w:rsidRPr="00DE7FCC" w:rsidR="006038CB" w:rsidP="006038CB" w:rsidRDefault="00BB5585">
      <w:pPr>
        <w:pStyle w:val="JuParaCharCharCharCharCharChar"/>
      </w:pPr>
      <w:r>
        <w:fldChar w:fldCharType="begin"/>
      </w:r>
      <w:r>
        <w:instrText xml:space="preserve"> SEQ level0 \*arabic </w:instrText>
      </w:r>
      <w:r>
        <w:fldChar w:fldCharType="separate"/>
      </w:r>
      <w:r w:rsidR="008C3401">
        <w:rPr>
          <w:noProof/>
        </w:rPr>
        <w:t>77</w:t>
      </w:r>
      <w:r>
        <w:fldChar w:fldCharType="end"/>
      </w:r>
      <w:r>
        <w:t>.  </w:t>
      </w:r>
      <w:r w:rsidR="006038CB">
        <w:t xml:space="preserve">As regards </w:t>
      </w:r>
      <w:r w:rsidRPr="00631373" w:rsidR="006038CB">
        <w:rPr>
          <w:szCs w:val="24"/>
        </w:rPr>
        <w:t xml:space="preserve">the disease diagnosed by the North-West </w:t>
      </w:r>
      <w:r w:rsidR="00AF7878">
        <w:rPr>
          <w:szCs w:val="24"/>
        </w:rPr>
        <w:t xml:space="preserve">Scientific </w:t>
      </w:r>
      <w:r w:rsidRPr="00631373" w:rsidR="006038CB">
        <w:rPr>
          <w:szCs w:val="24"/>
        </w:rPr>
        <w:t xml:space="preserve">Centre for Hygiene and Public Health (see </w:t>
      </w:r>
      <w:r w:rsidR="00C21246">
        <w:rPr>
          <w:szCs w:val="24"/>
        </w:rPr>
        <w:t>paragraph</w:t>
      </w:r>
      <w:r w:rsidR="00A93D13">
        <w:rPr>
          <w:szCs w:val="24"/>
        </w:rPr>
        <w:t xml:space="preserve"> </w:t>
      </w:r>
      <w:r w:rsidR="004326EE">
        <w:rPr>
          <w:szCs w:val="24"/>
        </w:rPr>
        <w:t>45</w:t>
      </w:r>
      <w:r w:rsidR="00C21246">
        <w:rPr>
          <w:szCs w:val="24"/>
        </w:rPr>
        <w:t xml:space="preserve"> above</w:t>
      </w:r>
      <w:r w:rsidRPr="003C3EFD" w:rsidR="006038CB">
        <w:rPr>
          <w:szCs w:val="24"/>
        </w:rPr>
        <w:t>),</w:t>
      </w:r>
      <w:r w:rsidR="006038CB">
        <w:rPr>
          <w:szCs w:val="24"/>
        </w:rPr>
        <w:t xml:space="preserve"> the Government argued that it</w:t>
      </w:r>
      <w:r w:rsidRPr="00631373" w:rsidR="006038CB">
        <w:rPr>
          <w:szCs w:val="24"/>
        </w:rPr>
        <w:t xml:space="preserve"> was </w:t>
      </w:r>
      <w:r w:rsidR="006038CB">
        <w:rPr>
          <w:szCs w:val="24"/>
        </w:rPr>
        <w:t>occupational</w:t>
      </w:r>
      <w:r w:rsidR="004012AB">
        <w:rPr>
          <w:szCs w:val="24"/>
        </w:rPr>
        <w:t xml:space="preserve"> (</w:t>
      </w:r>
      <w:r w:rsidRPr="004012AB" w:rsidR="004012AB">
        <w:rPr>
          <w:i/>
          <w:szCs w:val="24"/>
          <w:lang w:val="ru-RU"/>
        </w:rPr>
        <w:t>профессиональное</w:t>
      </w:r>
      <w:r w:rsidRPr="004012AB" w:rsidR="004012AB">
        <w:rPr>
          <w:i/>
          <w:szCs w:val="24"/>
        </w:rPr>
        <w:t xml:space="preserve"> </w:t>
      </w:r>
      <w:r w:rsidRPr="004012AB" w:rsidR="004012AB">
        <w:rPr>
          <w:i/>
          <w:szCs w:val="24"/>
          <w:lang w:val="ru-RU"/>
        </w:rPr>
        <w:t>заболевание</w:t>
      </w:r>
      <w:r w:rsidRPr="004012AB" w:rsidR="004012AB">
        <w:rPr>
          <w:szCs w:val="24"/>
        </w:rPr>
        <w:t>)</w:t>
      </w:r>
      <w:r w:rsidRPr="00631373" w:rsidR="006038CB">
        <w:rPr>
          <w:szCs w:val="24"/>
        </w:rPr>
        <w:t>.</w:t>
      </w:r>
      <w:r w:rsidR="006038CB">
        <w:rPr>
          <w:szCs w:val="24"/>
        </w:rPr>
        <w:t xml:space="preserve"> According to the Government, the applicant was working in a hazardous industry; h</w:t>
      </w:r>
      <w:r w:rsidRPr="00631373" w:rsidR="006038CB">
        <w:rPr>
          <w:szCs w:val="24"/>
        </w:rPr>
        <w:t xml:space="preserve">er duties consisted of covering tubing and other industrial equipment with thermo-insulating materials. Such work required </w:t>
      </w:r>
      <w:r w:rsidR="006038CB">
        <w:rPr>
          <w:szCs w:val="24"/>
        </w:rPr>
        <w:t xml:space="preserve">considerable </w:t>
      </w:r>
      <w:r w:rsidRPr="00631373" w:rsidR="006038CB">
        <w:rPr>
          <w:szCs w:val="24"/>
        </w:rPr>
        <w:t>physical strength and was often carried out outdoors or in unheated premises.</w:t>
      </w:r>
      <w:r w:rsidR="006038CB">
        <w:rPr>
          <w:szCs w:val="24"/>
        </w:rPr>
        <w:t xml:space="preserve"> Therefore, this disease was </w:t>
      </w:r>
      <w:r w:rsidRPr="00631373" w:rsidR="006038CB">
        <w:rPr>
          <w:szCs w:val="24"/>
        </w:rPr>
        <w:t>not attribut</w:t>
      </w:r>
      <w:r w:rsidR="006038CB">
        <w:rPr>
          <w:szCs w:val="24"/>
        </w:rPr>
        <w:t xml:space="preserve">able </w:t>
      </w:r>
      <w:r w:rsidRPr="00631373" w:rsidR="006038CB">
        <w:rPr>
          <w:szCs w:val="24"/>
        </w:rPr>
        <w:t xml:space="preserve">to </w:t>
      </w:r>
      <w:r w:rsidR="006038CB">
        <w:rPr>
          <w:szCs w:val="24"/>
        </w:rPr>
        <w:t>the applicant</w:t>
      </w:r>
      <w:r w:rsidR="009952BE">
        <w:rPr>
          <w:szCs w:val="24"/>
        </w:rPr>
        <w:t>'</w:t>
      </w:r>
      <w:r w:rsidR="006038CB">
        <w:rPr>
          <w:szCs w:val="24"/>
        </w:rPr>
        <w:t xml:space="preserve">s </w:t>
      </w:r>
      <w:r w:rsidRPr="00631373" w:rsidR="006038CB">
        <w:rPr>
          <w:szCs w:val="24"/>
        </w:rPr>
        <w:t>place of residence</w:t>
      </w:r>
      <w:r w:rsidR="006038CB">
        <w:rPr>
          <w:szCs w:val="24"/>
        </w:rPr>
        <w:t xml:space="preserve">, but </w:t>
      </w:r>
      <w:r w:rsidR="00C536FC">
        <w:rPr>
          <w:szCs w:val="24"/>
        </w:rPr>
        <w:t>rather</w:t>
      </w:r>
      <w:r w:rsidR="006038CB">
        <w:rPr>
          <w:szCs w:val="24"/>
        </w:rPr>
        <w:t xml:space="preserve"> to her </w:t>
      </w:r>
      <w:r w:rsidR="00F3789E">
        <w:rPr>
          <w:szCs w:val="24"/>
        </w:rPr>
        <w:t>difficult</w:t>
      </w:r>
      <w:r w:rsidR="006038CB">
        <w:rPr>
          <w:szCs w:val="24"/>
        </w:rPr>
        <w:t xml:space="preserve"> working conditions. </w:t>
      </w:r>
      <w:r w:rsidR="006038CB">
        <w:t>In the Government</w:t>
      </w:r>
      <w:r w:rsidR="009952BE">
        <w:t>'</w:t>
      </w:r>
      <w:r w:rsidR="006038CB">
        <w:t>s view, t</w:t>
      </w:r>
      <w:r w:rsidRPr="00DE7FCC" w:rsidR="006038CB">
        <w:t xml:space="preserve">he </w:t>
      </w:r>
      <w:r w:rsidR="007A122B">
        <w:t>applicant</w:t>
      </w:r>
      <w:r w:rsidR="009952BE">
        <w:t>'</w:t>
      </w:r>
      <w:r w:rsidR="007A122B">
        <w:t xml:space="preserve">s </w:t>
      </w:r>
      <w:r w:rsidRPr="00DE7FCC" w:rsidR="006038CB">
        <w:t xml:space="preserve">concomitant diagnoses </w:t>
      </w:r>
      <w:r w:rsidR="006038CB">
        <w:t>were</w:t>
      </w:r>
      <w:r w:rsidRPr="00DE7FCC" w:rsidR="006038CB">
        <w:t xml:space="preserve"> widespread and </w:t>
      </w:r>
      <w:r w:rsidR="006038CB">
        <w:t>were</w:t>
      </w:r>
      <w:r w:rsidRPr="00DE7FCC" w:rsidR="006038CB">
        <w:t xml:space="preserve"> not </w:t>
      </w:r>
      <w:r w:rsidR="006038CB">
        <w:t xml:space="preserve">uncommon </w:t>
      </w:r>
      <w:r w:rsidRPr="00DE7FCC" w:rsidR="006038CB">
        <w:t xml:space="preserve">among persons of her age, regardless </w:t>
      </w:r>
      <w:r w:rsidR="006038CB">
        <w:t xml:space="preserve">of </w:t>
      </w:r>
      <w:r w:rsidRPr="00DE7FCC" w:rsidR="006038CB">
        <w:t>their place of residence.</w:t>
      </w:r>
    </w:p>
    <w:p w:rsidR="006038CB" w:rsidP="006038CB" w:rsidRDefault="00BB5585">
      <w:pPr>
        <w:pStyle w:val="JuParaCharCharCharCharCharChar"/>
      </w:pPr>
      <w:r>
        <w:fldChar w:fldCharType="begin"/>
      </w:r>
      <w:r>
        <w:instrText xml:space="preserve"> SEQ level0 \*arabic </w:instrText>
      </w:r>
      <w:r>
        <w:fldChar w:fldCharType="separate"/>
      </w:r>
      <w:r w:rsidR="008C3401">
        <w:rPr>
          <w:noProof/>
        </w:rPr>
        <w:t>78</w:t>
      </w:r>
      <w:r>
        <w:fldChar w:fldCharType="end"/>
      </w:r>
      <w:r>
        <w:t>.  </w:t>
      </w:r>
      <w:r w:rsidR="006038CB">
        <w:t xml:space="preserve">The Government did not </w:t>
      </w:r>
      <w:r w:rsidR="00754695">
        <w:t>disagree</w:t>
      </w:r>
      <w:r w:rsidR="006038CB">
        <w:t xml:space="preserve"> with the initial positions contained in </w:t>
      </w:r>
      <w:r w:rsidRPr="00DE7FCC" w:rsidR="006038CB">
        <w:t>Dr</w:t>
      </w:r>
      <w:r w:rsidR="00C21246">
        <w:t xml:space="preserve"> </w:t>
      </w:r>
      <w:r w:rsidRPr="00DE7FCC" w:rsidR="006038CB">
        <w:t>Che</w:t>
      </w:r>
      <w:r w:rsidR="006038CB">
        <w:t>rn</w:t>
      </w:r>
      <w:r w:rsidRPr="00DE7FCC" w:rsidR="006038CB">
        <w:t>aik</w:t>
      </w:r>
      <w:r w:rsidR="009952BE">
        <w:t>'</w:t>
      </w:r>
      <w:r w:rsidR="006038CB">
        <w:t>s report</w:t>
      </w:r>
      <w:r w:rsidR="00C536FC">
        <w:t>,</w:t>
      </w:r>
      <w:r w:rsidR="006038CB">
        <w:t xml:space="preserve"> but contested it</w:t>
      </w:r>
      <w:r w:rsidR="00C21246">
        <w:t>s findings (see paragraph</w:t>
      </w:r>
      <w:r w:rsidR="003C3EFD">
        <w:t xml:space="preserve"> </w:t>
      </w:r>
      <w:r w:rsidR="004326EE">
        <w:t>46</w:t>
      </w:r>
      <w:r w:rsidR="00C21246">
        <w:t xml:space="preserve"> above</w:t>
      </w:r>
      <w:r w:rsidR="006038CB">
        <w:t>). The</w:t>
      </w:r>
      <w:r w:rsidR="00C536FC">
        <w:t>y</w:t>
      </w:r>
      <w:r w:rsidR="006038CB">
        <w:t xml:space="preserve"> claimed </w:t>
      </w:r>
      <w:r w:rsidRPr="00DE7FCC" w:rsidR="006038CB">
        <w:t xml:space="preserve">that </w:t>
      </w:r>
      <w:r w:rsidR="006038CB">
        <w:t>“</w:t>
      </w:r>
      <w:r w:rsidR="00C21246">
        <w:t xml:space="preserve">Dr </w:t>
      </w:r>
      <w:r w:rsidRPr="00DE7FCC" w:rsidR="006038CB">
        <w:t>Cher</w:t>
      </w:r>
      <w:r w:rsidR="006038CB">
        <w:t>n</w:t>
      </w:r>
      <w:r w:rsidRPr="00DE7FCC" w:rsidR="006038CB">
        <w:t>aik</w:t>
      </w:r>
      <w:r w:rsidR="009952BE">
        <w:t>'</w:t>
      </w:r>
      <w:r w:rsidR="006038CB">
        <w:t xml:space="preserve">s </w:t>
      </w:r>
      <w:r w:rsidRPr="00DE7FCC" w:rsidR="006038CB">
        <w:t>conclusions concerning the increased susceptibi</w:t>
      </w:r>
      <w:r w:rsidR="006038CB">
        <w:t>lity</w:t>
      </w:r>
      <w:r w:rsidRPr="00DE7FCC" w:rsidR="006038CB">
        <w:t xml:space="preserve"> of inhabitants of </w:t>
      </w:r>
      <w:r w:rsidR="006038CB">
        <w:t>the</w:t>
      </w:r>
      <w:r w:rsidRPr="00DE7FCC" w:rsidR="006038CB">
        <w:t xml:space="preserve"> </w:t>
      </w:r>
      <w:r w:rsidR="00C536FC">
        <w:t>[Severstal PLC]</w:t>
      </w:r>
      <w:r w:rsidRPr="00DE7FCC" w:rsidR="006038CB">
        <w:t xml:space="preserve"> sanitary se</w:t>
      </w:r>
      <w:r w:rsidR="006038CB">
        <w:t>c</w:t>
      </w:r>
      <w:r w:rsidRPr="00DE7FCC" w:rsidR="006038CB">
        <w:t xml:space="preserve">urity zone to certain diseases are abstract </w:t>
      </w:r>
      <w:r w:rsidR="006038CB">
        <w:t xml:space="preserve">in </w:t>
      </w:r>
      <w:r w:rsidRPr="00DE7FCC" w:rsidR="006038CB">
        <w:t>nature, have no substantiation and thus cannot be taken into account</w:t>
      </w:r>
      <w:r w:rsidR="006038CB">
        <w:t>”</w:t>
      </w:r>
      <w:r w:rsidRPr="00DE7FCC" w:rsidR="006038CB">
        <w:t>.</w:t>
      </w:r>
    </w:p>
    <w:p w:rsidR="006038CB" w:rsidP="006038CB" w:rsidRDefault="006038CB">
      <w:pPr>
        <w:pStyle w:val="JuHa0"/>
      </w:pPr>
      <w:r>
        <w:t>(d)</w:t>
      </w:r>
      <w:r w:rsidR="00F8213D">
        <w:t>  </w:t>
      </w:r>
      <w:r>
        <w:t>The Court</w:t>
      </w:r>
      <w:r w:rsidR="009952BE">
        <w:t>'</w:t>
      </w:r>
      <w:r>
        <w:t>s assessment</w:t>
      </w:r>
    </w:p>
    <w:p w:rsidR="00741697" w:rsidP="006038CB" w:rsidRDefault="00BB5585">
      <w:pPr>
        <w:pStyle w:val="JuParaChar"/>
      </w:pPr>
      <w:r>
        <w:fldChar w:fldCharType="begin"/>
      </w:r>
      <w:r>
        <w:instrText xml:space="preserve"> SEQ level0 \*arabic </w:instrText>
      </w:r>
      <w:r>
        <w:fldChar w:fldCharType="separate"/>
      </w:r>
      <w:r w:rsidR="008C3401">
        <w:rPr>
          <w:noProof/>
        </w:rPr>
        <w:t>79</w:t>
      </w:r>
      <w:r>
        <w:fldChar w:fldCharType="end"/>
      </w:r>
      <w:r>
        <w:t>.  </w:t>
      </w:r>
      <w:r w:rsidR="00C21246">
        <w:t>The Court reiterates</w:t>
      </w:r>
      <w:r w:rsidRPr="00D70027" w:rsidR="006038CB">
        <w:t xml:space="preserve"> </w:t>
      </w:r>
      <w:r w:rsidR="006038CB">
        <w:t xml:space="preserve">at the outset </w:t>
      </w:r>
      <w:r w:rsidRPr="00D70027" w:rsidR="006038CB">
        <w:t>that</w:t>
      </w:r>
      <w:r w:rsidR="006038CB">
        <w:t>,</w:t>
      </w:r>
      <w:r w:rsidRPr="00D70027" w:rsidR="006038CB">
        <w:t xml:space="preserve"> in assessing evidence, the general principle has been to apply the standard of proof “</w:t>
      </w:r>
      <w:r w:rsidRPr="00D70027" w:rsidR="006038CB">
        <w:rPr>
          <w:bCs/>
        </w:rPr>
        <w:t>beyond</w:t>
      </w:r>
      <w:r w:rsidRPr="00D70027" w:rsidR="006038CB">
        <w:t xml:space="preserve"> </w:t>
      </w:r>
      <w:r w:rsidRPr="00D70027" w:rsidR="006038CB">
        <w:rPr>
          <w:bCs/>
        </w:rPr>
        <w:t>reasonable</w:t>
      </w:r>
      <w:r w:rsidRPr="00D70027" w:rsidR="006038CB">
        <w:t xml:space="preserve"> </w:t>
      </w:r>
      <w:r w:rsidRPr="00D70027" w:rsidR="006038CB">
        <w:rPr>
          <w:bCs/>
        </w:rPr>
        <w:t>doubt</w:t>
      </w:r>
      <w:r w:rsidRPr="00D70027" w:rsidR="006038CB">
        <w:t>”.</w:t>
      </w:r>
      <w:r w:rsidR="006038CB">
        <w:t xml:space="preserve"> </w:t>
      </w:r>
      <w:r w:rsidRPr="00D70027" w:rsidR="006038CB">
        <w:t xml:space="preserve">Such proof may follow </w:t>
      </w:r>
      <w:r w:rsidR="00BA2B8B">
        <w:t>from the co</w:t>
      </w:r>
      <w:r w:rsidRPr="00D70027" w:rsidR="006038CB">
        <w:t>existence of sufficiently strong, clear and concordant inferences or of similar unrebutted presumptions of fact.</w:t>
      </w:r>
      <w:r w:rsidR="00BA2B8B">
        <w:t xml:space="preserve"> It should </w:t>
      </w:r>
      <w:r w:rsidR="006038CB">
        <w:t xml:space="preserve">also </w:t>
      </w:r>
      <w:r w:rsidR="00BA2B8B">
        <w:t xml:space="preserve">be </w:t>
      </w:r>
      <w:r w:rsidR="006038CB">
        <w:t>noted that it has been the Court</w:t>
      </w:r>
      <w:r w:rsidR="009952BE">
        <w:t>'</w:t>
      </w:r>
      <w:r w:rsidR="006038CB">
        <w:t>s practice to allow flexibility in this respect, taking into consideration the nature of the substantive right at stake and any ev</w:t>
      </w:r>
      <w:r w:rsidR="00741697">
        <w:t>identiary difficulties involved. In certain instances</w:t>
      </w:r>
      <w:r w:rsidR="00BA2B8B">
        <w:t>, only</w:t>
      </w:r>
      <w:r w:rsidR="00741697">
        <w:t xml:space="preserve"> the respondent Government have access to information capable of corroborating or refuting the applicant</w:t>
      </w:r>
      <w:r w:rsidR="009952BE">
        <w:t>'</w:t>
      </w:r>
      <w:r w:rsidR="00BA2B8B">
        <w:t>s</w:t>
      </w:r>
      <w:r w:rsidR="00741697">
        <w:t xml:space="preserve"> allegations; consequently, a rigorous application of the principle </w:t>
      </w:r>
      <w:r w:rsidR="00741697">
        <w:rPr>
          <w:i/>
          <w:iCs/>
        </w:rPr>
        <w:t>affirmanti</w:t>
      </w:r>
      <w:r w:rsidR="00BD0CDD">
        <w:rPr>
          <w:i/>
          <w:iCs/>
        </w:rPr>
        <w:t>, non neganti,</w:t>
      </w:r>
      <w:r w:rsidR="00741697">
        <w:rPr>
          <w:i/>
          <w:iCs/>
        </w:rPr>
        <w:t xml:space="preserve"> incumbit </w:t>
      </w:r>
      <w:r w:rsidRPr="00741697" w:rsidR="00741697">
        <w:rPr>
          <w:i/>
          <w:iCs/>
        </w:rPr>
        <w:t>probatio</w:t>
      </w:r>
      <w:r w:rsidRPr="00741697" w:rsidR="00741697">
        <w:rPr>
          <w:iCs/>
        </w:rPr>
        <w:t xml:space="preserve"> </w:t>
      </w:r>
      <w:r w:rsidR="00741697">
        <w:rPr>
          <w:iCs/>
        </w:rPr>
        <w:t>is impossible</w:t>
      </w:r>
      <w:r w:rsidRPr="00741697" w:rsidR="00741697">
        <w:rPr>
          <w:iCs/>
        </w:rPr>
        <w:t xml:space="preserve"> (see</w:t>
      </w:r>
      <w:r w:rsidR="00741697">
        <w:t xml:space="preserve"> </w:t>
      </w:r>
      <w:r w:rsidR="00741697">
        <w:rPr>
          <w:i/>
          <w:iCs/>
        </w:rPr>
        <w:t>Aktaş v. Turkey</w:t>
      </w:r>
      <w:r w:rsidR="00741697">
        <w:t>,</w:t>
      </w:r>
      <w:r w:rsidR="00741697">
        <w:rPr>
          <w:i/>
          <w:iCs/>
        </w:rPr>
        <w:t xml:space="preserve"> </w:t>
      </w:r>
      <w:r w:rsidR="00F8213D">
        <w:t>no. </w:t>
      </w:r>
      <w:r w:rsidR="00741697">
        <w:t>24351/9</w:t>
      </w:r>
      <w:r w:rsidR="00BA2B8B">
        <w:t>4, § 272, ECHR 2003-V</w:t>
      </w:r>
      <w:r w:rsidR="00741697">
        <w:t>).</w:t>
      </w:r>
    </w:p>
    <w:p w:rsidR="006038CB" w:rsidP="006038CB" w:rsidRDefault="00BB5585">
      <w:pPr>
        <w:pStyle w:val="JuParaChar"/>
      </w:pPr>
      <w:r>
        <w:fldChar w:fldCharType="begin"/>
      </w:r>
      <w:r>
        <w:instrText xml:space="preserve"> SEQ level0 \*arabic </w:instrText>
      </w:r>
      <w:r>
        <w:fldChar w:fldCharType="separate"/>
      </w:r>
      <w:r w:rsidR="008C3401">
        <w:rPr>
          <w:noProof/>
        </w:rPr>
        <w:t>80</w:t>
      </w:r>
      <w:r>
        <w:fldChar w:fldCharType="end"/>
      </w:r>
      <w:r>
        <w:t>.  </w:t>
      </w:r>
      <w:r w:rsidR="006038CB">
        <w:t>Turning to the particular circumstances of the case, the Court observes that, in the applicant</w:t>
      </w:r>
      <w:r w:rsidR="009952BE">
        <w:t>'</w:t>
      </w:r>
      <w:r w:rsidR="006038CB">
        <w:t xml:space="preserve">s submission, her health has deteriorated as a result of living near the </w:t>
      </w:r>
      <w:r w:rsidR="002F22AF">
        <w:t>steel plant</w:t>
      </w:r>
      <w:r w:rsidR="006038CB">
        <w:t>.</w:t>
      </w:r>
      <w:r w:rsidRPr="00D70027" w:rsidR="006038CB">
        <w:t xml:space="preserve"> </w:t>
      </w:r>
      <w:r w:rsidR="006038CB">
        <w:t xml:space="preserve">The only medical document produced by the applicant in support of this claim is a report drawn </w:t>
      </w:r>
      <w:r w:rsidR="00754695">
        <w:t xml:space="preserve">up </w:t>
      </w:r>
      <w:r w:rsidR="006038CB">
        <w:t>by a clinic in St</w:t>
      </w:r>
      <w:r w:rsidR="00F3789E">
        <w:t> </w:t>
      </w:r>
      <w:r w:rsidR="006038CB">
        <w:t>Petersburg</w:t>
      </w:r>
      <w:r w:rsidR="00BA2B8B">
        <w:t xml:space="preserve"> (see paragraph</w:t>
      </w:r>
      <w:r w:rsidR="006038CB">
        <w:t xml:space="preserve"> </w:t>
      </w:r>
      <w:r w:rsidR="004326EE">
        <w:t>45</w:t>
      </w:r>
      <w:r w:rsidR="00BA2B8B">
        <w:t xml:space="preserve"> above</w:t>
      </w:r>
      <w:r w:rsidR="006038CB">
        <w:t xml:space="preserve">). The Court </w:t>
      </w:r>
      <w:r w:rsidR="00BD0CDD">
        <w:t xml:space="preserve">finds </w:t>
      </w:r>
      <w:r w:rsidR="006038CB">
        <w:t>that this report did not establish any ca</w:t>
      </w:r>
      <w:r w:rsidR="003B5098">
        <w:t>u</w:t>
      </w:r>
      <w:r w:rsidR="006038CB">
        <w:t>sal link between environmental pollution and the applicant</w:t>
      </w:r>
      <w:r w:rsidR="009952BE">
        <w:t>'</w:t>
      </w:r>
      <w:r w:rsidR="006038CB">
        <w:t xml:space="preserve">s </w:t>
      </w:r>
      <w:r w:rsidR="00C536FC">
        <w:t>illnesses</w:t>
      </w:r>
      <w:r w:rsidR="006038CB">
        <w:t>. The applicant presented no other medical evidence which would clearly connect her state of health to high pollution levels at her place of residence.</w:t>
      </w:r>
    </w:p>
    <w:p w:rsidR="00772DF2" w:rsidP="006038CB" w:rsidRDefault="00BB5585">
      <w:pPr>
        <w:pStyle w:val="JuParaCharCharCharCharCharChar"/>
      </w:pPr>
      <w:r>
        <w:fldChar w:fldCharType="begin"/>
      </w:r>
      <w:r>
        <w:instrText xml:space="preserve"> SEQ level0 \*arabic </w:instrText>
      </w:r>
      <w:r>
        <w:fldChar w:fldCharType="separate"/>
      </w:r>
      <w:r w:rsidR="008C3401">
        <w:rPr>
          <w:noProof/>
        </w:rPr>
        <w:t>81</w:t>
      </w:r>
      <w:r>
        <w:fldChar w:fldCharType="end"/>
      </w:r>
      <w:r>
        <w:t>.  </w:t>
      </w:r>
      <w:r w:rsidR="006038CB">
        <w:t xml:space="preserve">The applicant also submitted a number of official documents confirming that, since 1995 (the date of her first recourse to the courts), environmental pollution at her place of residence has constantly exceeded </w:t>
      </w:r>
      <w:r w:rsidR="00BA2B8B">
        <w:t>safe levels (see paragraph</w:t>
      </w:r>
      <w:r w:rsidR="00C536FC">
        <w:t>s</w:t>
      </w:r>
      <w:r w:rsidR="00A93D13">
        <w:t xml:space="preserve"> </w:t>
      </w:r>
      <w:r w:rsidR="004326EE">
        <w:t>31</w:t>
      </w:r>
      <w:r w:rsidR="006038CB">
        <w:t xml:space="preserve"> et seq.</w:t>
      </w:r>
      <w:r w:rsidR="008A4433">
        <w:t xml:space="preserve"> above</w:t>
      </w:r>
      <w:r w:rsidR="006038CB">
        <w:t xml:space="preserve">). </w:t>
      </w:r>
      <w:r w:rsidR="00C536FC">
        <w:t>According to</w:t>
      </w:r>
      <w:r w:rsidR="006038CB">
        <w:t xml:space="preserve"> the applicant, these documents proved that any person exposed to such pollution levels inevitably suffered serious damage to his or her health and well-being.</w:t>
      </w:r>
    </w:p>
    <w:p w:rsidR="006038CB" w:rsidP="006038CB" w:rsidRDefault="00BB5585">
      <w:pPr>
        <w:pStyle w:val="JuParaCharCharCharCharCharChar"/>
      </w:pPr>
      <w:r>
        <w:fldChar w:fldCharType="begin"/>
      </w:r>
      <w:r>
        <w:instrText xml:space="preserve"> SEQ level0 \*arabic </w:instrText>
      </w:r>
      <w:r>
        <w:fldChar w:fldCharType="separate"/>
      </w:r>
      <w:r w:rsidR="008C3401">
        <w:rPr>
          <w:noProof/>
        </w:rPr>
        <w:t>82</w:t>
      </w:r>
      <w:r>
        <w:fldChar w:fldCharType="end"/>
      </w:r>
      <w:r>
        <w:t>.  </w:t>
      </w:r>
      <w:r w:rsidR="006038CB">
        <w:t xml:space="preserve">With regard to this allegation, the Court bears in mind, firstly, that the Convention </w:t>
      </w:r>
      <w:r w:rsidR="00BA2B8B">
        <w:t>came</w:t>
      </w:r>
      <w:r w:rsidR="006038CB">
        <w:t xml:space="preserve"> into force with respect to </w:t>
      </w:r>
      <w:smartTag w:uri="urn:schemas-microsoft-com:office:smarttags" w:element="country-region">
        <w:smartTag w:uri="urn:schemas-microsoft-com:office:smarttags" w:element="place">
          <w:r w:rsidR="006038CB">
            <w:t>Russia</w:t>
          </w:r>
        </w:smartTag>
      </w:smartTag>
      <w:r w:rsidR="006038CB">
        <w:t xml:space="preserve"> on </w:t>
      </w:r>
      <w:smartTag w:uri="urn:schemas-microsoft-com:office:smarttags" w:element="date">
        <w:smartTagPr>
          <w:attr w:name="Month" w:val="5"/>
          <w:attr w:name="Day" w:val="5"/>
          <w:attr w:name="Year" w:val="1998"/>
        </w:smartTagPr>
        <w:r w:rsidR="006038CB">
          <w:t>5 May 1998</w:t>
        </w:r>
      </w:smartTag>
      <w:r w:rsidR="006038CB">
        <w:t>. Therefore, only the period after this date can be taken into consideration in assessing the nature and extent of the alleged interference with the applicant</w:t>
      </w:r>
      <w:r w:rsidR="009952BE">
        <w:t>'</w:t>
      </w:r>
      <w:r w:rsidR="006038CB">
        <w:t>s private sphere.</w:t>
      </w:r>
    </w:p>
    <w:p w:rsidR="006038CB" w:rsidP="006038CB" w:rsidRDefault="00BB5585">
      <w:pPr>
        <w:pStyle w:val="JuParaCharCharCharCharCharChar"/>
      </w:pPr>
      <w:r>
        <w:fldChar w:fldCharType="begin"/>
      </w:r>
      <w:r>
        <w:instrText xml:space="preserve"> SEQ level0 \*arabic </w:instrText>
      </w:r>
      <w:r>
        <w:fldChar w:fldCharType="separate"/>
      </w:r>
      <w:r w:rsidR="008C3401">
        <w:rPr>
          <w:noProof/>
        </w:rPr>
        <w:t>83</w:t>
      </w:r>
      <w:r>
        <w:fldChar w:fldCharType="end"/>
      </w:r>
      <w:r>
        <w:t>.  </w:t>
      </w:r>
      <w:r w:rsidR="006038CB">
        <w:t xml:space="preserve">According to the materials submitted to the Court, since 1998 the pollution levels with respect to a number of rated parameters have exceeded </w:t>
      </w:r>
      <w:r w:rsidR="00A93D13">
        <w:t xml:space="preserve">the domestic norms. </w:t>
      </w:r>
      <w:r w:rsidR="006038CB">
        <w:t xml:space="preserve">Thus, the data produced by the Government confirm that </w:t>
      </w:r>
      <w:r w:rsidR="00C536FC">
        <w:t>during the period from</w:t>
      </w:r>
      <w:r w:rsidR="006038CB">
        <w:t xml:space="preserve"> 1999</w:t>
      </w:r>
      <w:r w:rsidR="00C536FC">
        <w:t xml:space="preserve"> to </w:t>
      </w:r>
      <w:r w:rsidR="006038CB">
        <w:t xml:space="preserve">2003 the </w:t>
      </w:r>
      <w:r w:rsidRPr="00DE7FCC" w:rsidR="006038CB">
        <w:t xml:space="preserve">concentration of dust, carbon </w:t>
      </w:r>
      <w:r w:rsidR="00156391">
        <w:t>d</w:t>
      </w:r>
      <w:r w:rsidRPr="00DE7FCC" w:rsidR="006038CB">
        <w:t xml:space="preserve">isulphide and formaldehyde in the air </w:t>
      </w:r>
      <w:r w:rsidR="006038CB">
        <w:t>near the applicant</w:t>
      </w:r>
      <w:r w:rsidR="009952BE">
        <w:t>'</w:t>
      </w:r>
      <w:r w:rsidR="006038CB">
        <w:t>s ho</w:t>
      </w:r>
      <w:r w:rsidR="00C536FC">
        <w:t>me</w:t>
      </w:r>
      <w:r w:rsidR="006038CB">
        <w:t xml:space="preserve"> </w:t>
      </w:r>
      <w:r w:rsidRPr="00DE7FCC" w:rsidR="006038CB">
        <w:t>constantly exceeded the</w:t>
      </w:r>
      <w:r w:rsidR="006038CB">
        <w:t xml:space="preserve"> MPLs (see </w:t>
      </w:r>
      <w:r w:rsidR="007A122B">
        <w:t xml:space="preserve">the </w:t>
      </w:r>
      <w:r w:rsidR="003A0579">
        <w:t>a</w:t>
      </w:r>
      <w:r w:rsidR="006038CB">
        <w:t>ppend</w:t>
      </w:r>
      <w:r w:rsidR="00BD689C">
        <w:t xml:space="preserve">ix </w:t>
      </w:r>
      <w:r w:rsidR="006038CB">
        <w:t>to this judgment)</w:t>
      </w:r>
      <w:r w:rsidRPr="00DE7FCC" w:rsidR="006038CB">
        <w:t xml:space="preserve">. </w:t>
      </w:r>
      <w:r w:rsidR="006038CB">
        <w:t>I</w:t>
      </w:r>
      <w:r w:rsidRPr="00DE7FCC" w:rsidR="006038CB">
        <w:t xml:space="preserve">n 1999 the concentration of dust </w:t>
      </w:r>
      <w:r w:rsidR="006038CB">
        <w:t xml:space="preserve">was 1.76 times higher than the </w:t>
      </w:r>
      <w:r w:rsidRPr="00DE7FCC" w:rsidR="006038CB">
        <w:t xml:space="preserve">MPL, </w:t>
      </w:r>
      <w:r w:rsidR="006038CB">
        <w:t xml:space="preserve">and </w:t>
      </w:r>
      <w:r w:rsidRPr="00DE7FCC" w:rsidR="006038CB">
        <w:t xml:space="preserve">in 2003 </w:t>
      </w:r>
      <w:r w:rsidR="006038CB">
        <w:t xml:space="preserve">it was </w:t>
      </w:r>
      <w:r w:rsidRPr="00DE7FCC" w:rsidR="006038CB">
        <w:t>1.13 times</w:t>
      </w:r>
      <w:r w:rsidR="006038CB">
        <w:t xml:space="preserve"> higher</w:t>
      </w:r>
      <w:r w:rsidRPr="00DE7FCC" w:rsidR="006038CB">
        <w:t xml:space="preserve">. In 1999 the concentration of carbon </w:t>
      </w:r>
      <w:r w:rsidR="006038CB">
        <w:t>d</w:t>
      </w:r>
      <w:r w:rsidRPr="00DE7FCC" w:rsidR="006038CB">
        <w:t xml:space="preserve">isulphide </w:t>
      </w:r>
      <w:r w:rsidR="006038CB">
        <w:t xml:space="preserve">was 3.74 times higher than </w:t>
      </w:r>
      <w:r w:rsidRPr="00DE7FCC" w:rsidR="006038CB">
        <w:t xml:space="preserve">the MPL; in 2003 the concentration of this substance </w:t>
      </w:r>
      <w:r w:rsidR="006038CB">
        <w:t>had fallen</w:t>
      </w:r>
      <w:r w:rsidRPr="00DE7FCC" w:rsidR="006038CB">
        <w:t xml:space="preserve"> but </w:t>
      </w:r>
      <w:r w:rsidR="00BA2B8B">
        <w:t xml:space="preserve">was </w:t>
      </w:r>
      <w:r w:rsidRPr="00DE7FCC" w:rsidR="006038CB">
        <w:t>still</w:t>
      </w:r>
      <w:r w:rsidR="00BA2B8B">
        <w:t xml:space="preserve"> </w:t>
      </w:r>
      <w:r w:rsidRPr="00DE7FCC" w:rsidR="00ED0AAA">
        <w:t xml:space="preserve">1.12 times </w:t>
      </w:r>
      <w:r w:rsidR="00ED0AAA">
        <w:t>higher tha</w:t>
      </w:r>
      <w:r w:rsidR="00F3789E">
        <w:t>n</w:t>
      </w:r>
      <w:r w:rsidR="00ED0AAA">
        <w:t xml:space="preserve"> the </w:t>
      </w:r>
      <w:r w:rsidRPr="00DE7FCC" w:rsidR="006038CB">
        <w:t>MPL. The concentration of formaldehyde was 4.53 times higher than the MPL. In 2003 it was 6.3 times higher than the MPL.</w:t>
      </w:r>
      <w:r w:rsidR="006038CB">
        <w:t xml:space="preserve"> </w:t>
      </w:r>
      <w:r w:rsidRPr="00DE7FCC" w:rsidR="006038CB">
        <w:t xml:space="preserve">Moreover, </w:t>
      </w:r>
      <w:r w:rsidR="006038CB">
        <w:t xml:space="preserve">an </w:t>
      </w:r>
      <w:r w:rsidRPr="00DE7FCC" w:rsidR="006038CB">
        <w:t xml:space="preserve">over-concentration of </w:t>
      </w:r>
      <w:r w:rsidR="006038CB">
        <w:t xml:space="preserve">various </w:t>
      </w:r>
      <w:r w:rsidRPr="00DE7FCC" w:rsidR="006038CB">
        <w:t>other substances, such as manganese, benzopyrene</w:t>
      </w:r>
      <w:r w:rsidR="006038CB">
        <w:t xml:space="preserve"> </w:t>
      </w:r>
      <w:r w:rsidRPr="00DE7FCC" w:rsidR="006038CB">
        <w:t>and sulphur dioxide</w:t>
      </w:r>
      <w:r w:rsidR="006038CB">
        <w:t>,</w:t>
      </w:r>
      <w:r w:rsidRPr="00DE7FCC" w:rsidR="006038CB">
        <w:t xml:space="preserve"> was recorded </w:t>
      </w:r>
      <w:r w:rsidR="006038CB">
        <w:t xml:space="preserve">during </w:t>
      </w:r>
      <w:r w:rsidR="00BA2B8B">
        <w:t>this period (see paragraph</w:t>
      </w:r>
      <w:r w:rsidR="00C536FC">
        <w:t>s</w:t>
      </w:r>
      <w:r w:rsidR="00BD689C">
        <w:t xml:space="preserve"> </w:t>
      </w:r>
      <w:r w:rsidR="004326EE">
        <w:t>38</w:t>
      </w:r>
      <w:r w:rsidR="00BD689C">
        <w:t xml:space="preserve"> </w:t>
      </w:r>
      <w:r w:rsidR="00741697">
        <w:t>et seq.</w:t>
      </w:r>
      <w:r w:rsidR="008A4433">
        <w:t xml:space="preserve"> above</w:t>
      </w:r>
      <w:r w:rsidR="00BD689C">
        <w:t>).</w:t>
      </w:r>
    </w:p>
    <w:p w:rsidR="006038CB" w:rsidP="006038CB" w:rsidRDefault="00BB5585">
      <w:pPr>
        <w:pStyle w:val="JuParaCharCharCharCharCharChar"/>
      </w:pPr>
      <w:r>
        <w:fldChar w:fldCharType="begin"/>
      </w:r>
      <w:r>
        <w:instrText xml:space="preserve"> SEQ level0 \*arabic </w:instrText>
      </w:r>
      <w:r>
        <w:fldChar w:fldCharType="separate"/>
      </w:r>
      <w:r w:rsidR="008C3401">
        <w:rPr>
          <w:noProof/>
        </w:rPr>
        <w:t>84</w:t>
      </w:r>
      <w:r>
        <w:fldChar w:fldCharType="end"/>
      </w:r>
      <w:r>
        <w:t>.  </w:t>
      </w:r>
      <w:r w:rsidR="00C536FC">
        <w:t>T</w:t>
      </w:r>
      <w:r w:rsidR="00261D8E">
        <w:t xml:space="preserve">he Court observes </w:t>
      </w:r>
      <w:r w:rsidR="00C536FC">
        <w:t xml:space="preserve">further </w:t>
      </w:r>
      <w:r w:rsidR="006038CB">
        <w:t>that the figures produced by the Government reflect only annual averages and do not disclose daily or maximum pollution levels. According to the Government</w:t>
      </w:r>
      <w:r w:rsidR="009952BE">
        <w:t>'</w:t>
      </w:r>
      <w:r w:rsidR="006038CB">
        <w:t>s own submissions, the maximum concentrations of pollutants registered near the applicant</w:t>
      </w:r>
      <w:r w:rsidR="009952BE">
        <w:t>'</w:t>
      </w:r>
      <w:r w:rsidR="006038CB">
        <w:t>s ho</w:t>
      </w:r>
      <w:r w:rsidR="00C536FC">
        <w:t>me</w:t>
      </w:r>
      <w:r w:rsidR="006038CB">
        <w:t xml:space="preserve"> were often ten times higher than the average annual </w:t>
      </w:r>
      <w:r w:rsidR="00F3789E">
        <w:t>concentrations</w:t>
      </w:r>
      <w:r w:rsidR="006038CB">
        <w:t xml:space="preserve"> (which were already above safe levels). The Court also notes that </w:t>
      </w:r>
      <w:r w:rsidRPr="00DE7FCC" w:rsidR="006038CB">
        <w:t xml:space="preserve">the Government </w:t>
      </w:r>
      <w:r w:rsidR="006038CB">
        <w:t xml:space="preserve">have not explained why they failed to produce the documents and reports sought by </w:t>
      </w:r>
      <w:r w:rsidRPr="00DE7FCC" w:rsidR="006038CB">
        <w:t>the Court</w:t>
      </w:r>
      <w:r w:rsidR="00261D8E">
        <w:t xml:space="preserve"> (see paragraph</w:t>
      </w:r>
      <w:r w:rsidR="006038CB">
        <w:t xml:space="preserve"> </w:t>
      </w:r>
      <w:r w:rsidR="004326EE">
        <w:t>43</w:t>
      </w:r>
      <w:r w:rsidR="00261D8E">
        <w:t xml:space="preserve"> above</w:t>
      </w:r>
      <w:r w:rsidR="006038CB">
        <w:t xml:space="preserve">), </w:t>
      </w:r>
      <w:r w:rsidR="00C536FC">
        <w:t>al</w:t>
      </w:r>
      <w:r w:rsidR="00261D8E">
        <w:t>t</w:t>
      </w:r>
      <w:r w:rsidR="006038CB">
        <w:t>hough these documents were certainly available to the national authorities. Therefore, the Court concludes that the environmental situation could</w:t>
      </w:r>
      <w:r w:rsidR="00261D8E">
        <w:t>, at certain times,</w:t>
      </w:r>
      <w:r w:rsidR="006038CB">
        <w:t xml:space="preserve"> have been even worse than it appears from the available data.</w:t>
      </w:r>
    </w:p>
    <w:p w:rsidR="00741697" w:rsidP="006038CB" w:rsidRDefault="00BB5585">
      <w:pPr>
        <w:pStyle w:val="JuParaCharCharCharCharCharChar"/>
      </w:pPr>
      <w:r>
        <w:fldChar w:fldCharType="begin"/>
      </w:r>
      <w:r>
        <w:instrText xml:space="preserve"> SEQ level0 \*arabic </w:instrText>
      </w:r>
      <w:r>
        <w:fldChar w:fldCharType="separate"/>
      </w:r>
      <w:r w:rsidR="008C3401">
        <w:rPr>
          <w:noProof/>
        </w:rPr>
        <w:t>85</w:t>
      </w:r>
      <w:r>
        <w:fldChar w:fldCharType="end"/>
      </w:r>
      <w:r>
        <w:t>.  </w:t>
      </w:r>
      <w:r w:rsidR="006038CB">
        <w:t xml:space="preserve">The Court notes further that on many occasions the State recognised that the environmental situation in </w:t>
      </w:r>
      <w:smartTag w:uri="urn:schemas-microsoft-com:office:smarttags" w:element="City">
        <w:smartTag w:uri="urn:schemas-microsoft-com:office:smarttags" w:element="place">
          <w:r w:rsidR="006038CB">
            <w:t>Cherepovets</w:t>
          </w:r>
        </w:smartTag>
      </w:smartTag>
      <w:r w:rsidR="006038CB">
        <w:t xml:space="preserve"> caused an increase in the morbidity rate for the city</w:t>
      </w:r>
      <w:r w:rsidR="009952BE">
        <w:t>'</w:t>
      </w:r>
      <w:r w:rsidR="00261D8E">
        <w:t>s residents (see paragraphs</w:t>
      </w:r>
      <w:r w:rsidR="006038CB">
        <w:t xml:space="preserve"> </w:t>
      </w:r>
      <w:r w:rsidR="00261D8E">
        <w:t>12, 15, 34 and</w:t>
      </w:r>
      <w:r w:rsidR="004326EE">
        <w:t xml:space="preserve"> 47</w:t>
      </w:r>
      <w:r w:rsidR="00C536FC">
        <w:t xml:space="preserve"> above</w:t>
      </w:r>
      <w:r w:rsidR="006038CB">
        <w:t>). The reports and official documents produced by the applicant, and, in particular, the r</w:t>
      </w:r>
      <w:r w:rsidR="00261D8E">
        <w:t>eport by Dr Mark Chernaik (see paragraph</w:t>
      </w:r>
      <w:r w:rsidR="006038CB">
        <w:t xml:space="preserve"> </w:t>
      </w:r>
      <w:r w:rsidR="004326EE">
        <w:t>46</w:t>
      </w:r>
      <w:r w:rsidR="003B5098">
        <w:t>)</w:t>
      </w:r>
      <w:r w:rsidR="006038CB">
        <w:t xml:space="preserve">, described the adverse effects of pollution on all residents of </w:t>
      </w:r>
      <w:smartTag w:uri="urn:schemas-microsoft-com:office:smarttags" w:element="City">
        <w:smartTag w:uri="urn:schemas-microsoft-com:office:smarttags" w:element="place">
          <w:r w:rsidR="006038CB">
            <w:t>Cherepovets</w:t>
          </w:r>
        </w:smartTag>
      </w:smartTag>
      <w:r w:rsidR="006038CB">
        <w:t>, especially those who live</w:t>
      </w:r>
      <w:r w:rsidR="00C536FC">
        <w:t>d</w:t>
      </w:r>
      <w:r w:rsidR="006038CB">
        <w:t xml:space="preserve"> near the plant. Thus, according to the data provided by both parties, during the entire period under consideration the concentration of formaldehyde in the air near the applicant</w:t>
      </w:r>
      <w:r w:rsidR="009952BE">
        <w:t>'</w:t>
      </w:r>
      <w:r w:rsidR="006038CB">
        <w:t>s ho</w:t>
      </w:r>
      <w:r w:rsidR="00C536FC">
        <w:t>me</w:t>
      </w:r>
      <w:r w:rsidR="006038CB">
        <w:t xml:space="preserve"> was </w:t>
      </w:r>
      <w:r w:rsidR="00741697">
        <w:t>three</w:t>
      </w:r>
      <w:r w:rsidR="006038CB">
        <w:t xml:space="preserve"> to six times </w:t>
      </w:r>
      <w:r w:rsidR="00A93D13">
        <w:t xml:space="preserve">higher than the safe levels. Dr </w:t>
      </w:r>
      <w:r w:rsidR="006038CB">
        <w:t>Chernaik described the adverse effe</w:t>
      </w:r>
      <w:r w:rsidR="0034443D">
        <w:t>cts of formaldehyde as follows:</w:t>
      </w:r>
    </w:p>
    <w:p w:rsidR="00772DF2" w:rsidP="00F8213D" w:rsidRDefault="006038CB">
      <w:pPr>
        <w:pStyle w:val="JuQuot"/>
      </w:pPr>
      <w:r>
        <w:t>“C</w:t>
      </w:r>
      <w:r w:rsidRPr="00AD3BB6">
        <w:t>onsidering th</w:t>
      </w:r>
      <w:r w:rsidR="00261D8E">
        <w:t>e</w:t>
      </w:r>
      <w:r>
        <w:t xml:space="preserve"> </w:t>
      </w:r>
      <w:r w:rsidRPr="00AD3BB6">
        <w:t xml:space="preserve">ongoing exposure to formaldehyde within </w:t>
      </w:r>
      <w:r>
        <w:t xml:space="preserve">the </w:t>
      </w:r>
      <w:r w:rsidRPr="00AD3BB6">
        <w:t>Cherepovets</w:t>
      </w:r>
      <w:r w:rsidRPr="00AD3BB6" w:rsidDel="00BE34E0">
        <w:t xml:space="preserve"> </w:t>
      </w:r>
      <w:r>
        <w:t>s</w:t>
      </w:r>
      <w:r w:rsidRPr="00AD3BB6">
        <w:t xml:space="preserve">anitary </w:t>
      </w:r>
      <w:r>
        <w:t>s</w:t>
      </w:r>
      <w:r w:rsidRPr="00AD3BB6">
        <w:t xml:space="preserve">ecurity </w:t>
      </w:r>
      <w:r>
        <w:t>z</w:t>
      </w:r>
      <w:r w:rsidRPr="00AD3BB6">
        <w:t>one, I wou</w:t>
      </w:r>
      <w:r>
        <w:t>l</w:t>
      </w:r>
      <w:r w:rsidRPr="00AD3BB6">
        <w:t xml:space="preserve">d expect the population residing within </w:t>
      </w:r>
      <w:r>
        <w:t>the</w:t>
      </w:r>
      <w:r w:rsidRPr="00AD3BB6">
        <w:t xml:space="preserve"> zone </w:t>
      </w:r>
      <w:r>
        <w:t xml:space="preserve">to </w:t>
      </w:r>
      <w:r w:rsidRPr="00AD3BB6">
        <w:t xml:space="preserve">suffer from </w:t>
      </w:r>
      <w:r>
        <w:t xml:space="preserve">above-average </w:t>
      </w:r>
      <w:r w:rsidRPr="00AD3BB6">
        <w:t>incidences of cancer of</w:t>
      </w:r>
      <w:r>
        <w:t xml:space="preserve"> </w:t>
      </w:r>
      <w:r w:rsidRPr="00AD3BB6">
        <w:t>the nasal passages, headaches, and chronic irritation of</w:t>
      </w:r>
      <w:r>
        <w:t xml:space="preserve"> </w:t>
      </w:r>
      <w:r w:rsidRPr="00AD3BB6">
        <w:t xml:space="preserve">the eyes, nose, and throat </w:t>
      </w:r>
      <w:r>
        <w:t>c</w:t>
      </w:r>
      <w:r w:rsidRPr="00AD3BB6">
        <w:t xml:space="preserve">ompared to populations residing in areas </w:t>
      </w:r>
      <w:r>
        <w:t>n</w:t>
      </w:r>
      <w:r w:rsidRPr="00AD3BB6">
        <w:t>ot po</w:t>
      </w:r>
      <w:r>
        <w:t>lluted</w:t>
      </w:r>
      <w:r w:rsidRPr="00AD3BB6">
        <w:t xml:space="preserve"> by excessive levels of formaldehyde</w:t>
      </w:r>
      <w:r w:rsidR="00261D8E">
        <w:t>.</w:t>
      </w:r>
      <w:r>
        <w:t>”</w:t>
      </w:r>
    </w:p>
    <w:p w:rsidR="00772DF2" w:rsidP="006038CB" w:rsidRDefault="006038CB">
      <w:pPr>
        <w:pStyle w:val="JuParaCharCharCharCharCharChar"/>
      </w:pPr>
      <w:r>
        <w:t>As regards carbon disul</w:t>
      </w:r>
      <w:r w:rsidR="00CB007B">
        <w:t>ph</w:t>
      </w:r>
      <w:r>
        <w:t>ide, the concentration of which exceeded the MPL by 1.</w:t>
      </w:r>
      <w:r w:rsidR="00741697">
        <w:t>1</w:t>
      </w:r>
      <w:r>
        <w:t xml:space="preserve"> to </w:t>
      </w:r>
      <w:r w:rsidR="0034443D">
        <w:t>3.</w:t>
      </w:r>
      <w:r w:rsidR="00741697">
        <w:t>75</w:t>
      </w:r>
      <w:r>
        <w:t xml:space="preserve"> times during this entire period</w:t>
      </w:r>
      <w:r w:rsidR="00741697">
        <w:t xml:space="preserve"> (except for 2002)</w:t>
      </w:r>
      <w:r>
        <w:t>, Dr</w:t>
      </w:r>
      <w:r w:rsidR="00A945D8">
        <w:t> </w:t>
      </w:r>
      <w:r>
        <w:t>Chernaik stated:</w:t>
      </w:r>
    </w:p>
    <w:p w:rsidR="00741697" w:rsidP="00F8213D" w:rsidRDefault="006038CB">
      <w:pPr>
        <w:pStyle w:val="JuQuot"/>
      </w:pPr>
      <w:r>
        <w:t>“</w:t>
      </w:r>
      <w:r w:rsidRPr="00AD3BB6">
        <w:t>Considering th</w:t>
      </w:r>
      <w:r w:rsidR="00261D8E">
        <w:t>e</w:t>
      </w:r>
      <w:r>
        <w:t xml:space="preserve"> </w:t>
      </w:r>
      <w:r w:rsidRPr="00AD3BB6">
        <w:t xml:space="preserve">ongoing exposure to </w:t>
      </w:r>
      <w:r w:rsidR="00261D8E">
        <w:t>carbon disulphide</w:t>
      </w:r>
      <w:r w:rsidRPr="00AD3BB6">
        <w:t xml:space="preserve"> within the Cherepovets </w:t>
      </w:r>
      <w:r>
        <w:t>s</w:t>
      </w:r>
      <w:r w:rsidRPr="00AD3BB6">
        <w:t xml:space="preserve">anitary </w:t>
      </w:r>
      <w:r>
        <w:t>s</w:t>
      </w:r>
      <w:r w:rsidRPr="00AD3BB6">
        <w:t xml:space="preserve">ecurity </w:t>
      </w:r>
      <w:r>
        <w:t>z</w:t>
      </w:r>
      <w:r w:rsidRPr="00AD3BB6">
        <w:t xml:space="preserve">one, I would expect the population residing within the zone </w:t>
      </w:r>
      <w:r>
        <w:t xml:space="preserve">to </w:t>
      </w:r>
      <w:r w:rsidRPr="00AD3BB6">
        <w:t xml:space="preserve">suffer from </w:t>
      </w:r>
      <w:r>
        <w:t xml:space="preserve">above-average </w:t>
      </w:r>
      <w:r w:rsidRPr="00AD3BB6">
        <w:t xml:space="preserve">incidences of adverse </w:t>
      </w:r>
      <w:r>
        <w:t>n</w:t>
      </w:r>
      <w:r w:rsidRPr="00AD3BB6">
        <w:t xml:space="preserve">eurobehavioral, neurological, cardiovascular, and reproductive </w:t>
      </w:r>
      <w:r>
        <w:t xml:space="preserve">functions </w:t>
      </w:r>
      <w:r w:rsidRPr="00AD3BB6">
        <w:t>compared to populations residi</w:t>
      </w:r>
      <w:r>
        <w:t>n</w:t>
      </w:r>
      <w:r w:rsidRPr="00AD3BB6">
        <w:t xml:space="preserve">g in areas </w:t>
      </w:r>
      <w:r>
        <w:t>not</w:t>
      </w:r>
      <w:r w:rsidRPr="00AD3BB6">
        <w:t xml:space="preserve"> polluted by excessive levels of</w:t>
      </w:r>
      <w:r>
        <w:t xml:space="preserve"> </w:t>
      </w:r>
      <w:r w:rsidR="00261D8E">
        <w:t>carbon disulphide.</w:t>
      </w:r>
      <w:r>
        <w:t>”</w:t>
      </w:r>
    </w:p>
    <w:p w:rsidR="006038CB" w:rsidP="006038CB" w:rsidRDefault="00BB5585">
      <w:pPr>
        <w:pStyle w:val="JuParaCharCharCharCharCharChar"/>
      </w:pPr>
      <w:r>
        <w:fldChar w:fldCharType="begin"/>
      </w:r>
      <w:r>
        <w:instrText xml:space="preserve"> SEQ level0 \*arabic </w:instrText>
      </w:r>
      <w:r>
        <w:fldChar w:fldCharType="separate"/>
      </w:r>
      <w:r w:rsidR="008C3401">
        <w:rPr>
          <w:noProof/>
        </w:rPr>
        <w:t>86</w:t>
      </w:r>
      <w:r>
        <w:fldChar w:fldCharType="end"/>
      </w:r>
      <w:r>
        <w:t>.  </w:t>
      </w:r>
      <w:r w:rsidR="006038CB">
        <w:t>Finally, the Court pays special attention to the fact that the domestic courts in the present case recognised the applicant</w:t>
      </w:r>
      <w:r w:rsidR="009952BE">
        <w:t>'</w:t>
      </w:r>
      <w:r w:rsidR="006038CB">
        <w:t>s right to be resettled.</w:t>
      </w:r>
      <w:r w:rsidR="00772DF2">
        <w:t xml:space="preserve"> </w:t>
      </w:r>
      <w:r w:rsidR="00F3789E">
        <w:t>Admittedly</w:t>
      </w:r>
      <w:r w:rsidR="006038CB">
        <w:t>, the effects of pollution on the applicant</w:t>
      </w:r>
      <w:r w:rsidR="009952BE">
        <w:t>'</w:t>
      </w:r>
      <w:r w:rsidR="006038CB">
        <w:t xml:space="preserve">s private life were not at the heart of the domestic proceedings. </w:t>
      </w:r>
      <w:r w:rsidR="00BD0CDD">
        <w:t>However</w:t>
      </w:r>
      <w:r w:rsidR="00261D8E">
        <w:t>,</w:t>
      </w:r>
      <w:r w:rsidR="006038CB">
        <w:t xml:space="preserve"> </w:t>
      </w:r>
      <w:r w:rsidR="00BD0CDD">
        <w:t>a</w:t>
      </w:r>
      <w:r w:rsidR="006038CB">
        <w:t>s</w:t>
      </w:r>
      <w:r w:rsidR="00772DF2">
        <w:t xml:space="preserve"> </w:t>
      </w:r>
      <w:r w:rsidR="00BD0CDD">
        <w:t xml:space="preserve">follows from the </w:t>
      </w:r>
      <w:r w:rsidR="00156391">
        <w:t xml:space="preserve">Vologda Regional </w:t>
      </w:r>
      <w:r w:rsidR="00BD0CDD">
        <w:t>Court</w:t>
      </w:r>
      <w:r w:rsidR="009952BE">
        <w:t>'</w:t>
      </w:r>
      <w:r w:rsidR="00C536FC">
        <w:t>s</w:t>
      </w:r>
      <w:r w:rsidR="00261D8E">
        <w:t xml:space="preserve"> </w:t>
      </w:r>
      <w:r w:rsidR="00C536FC">
        <w:t>decision</w:t>
      </w:r>
      <w:r w:rsidR="00261D8E">
        <w:t xml:space="preserve"> in </w:t>
      </w:r>
      <w:r w:rsidRPr="00DE6DED" w:rsidR="00BD0CDD">
        <w:rPr>
          <w:i/>
        </w:rPr>
        <w:t>Ledyayeva</w:t>
      </w:r>
      <w:r w:rsidR="00261D8E">
        <w:t xml:space="preserve"> </w:t>
      </w:r>
      <w:r w:rsidR="00BD0CDD">
        <w:t>(</w:t>
      </w:r>
      <w:r w:rsidR="00261D8E">
        <w:t>see paragraph</w:t>
      </w:r>
      <w:r w:rsidR="00BD0CDD">
        <w:t xml:space="preserve"> </w:t>
      </w:r>
      <w:r w:rsidR="004326EE">
        <w:t>58</w:t>
      </w:r>
      <w:r w:rsidR="00261D8E">
        <w:t xml:space="preserve"> above</w:t>
      </w:r>
      <w:r w:rsidR="00BD0CDD">
        <w:t xml:space="preserve">), it was not </w:t>
      </w:r>
      <w:r w:rsidR="006038CB">
        <w:t>contested that the pollution caused by the Severstal facilities called for resettlement in a safer area</w:t>
      </w:r>
      <w:r w:rsidR="00BD0CDD">
        <w:t>.</w:t>
      </w:r>
      <w:r w:rsidR="006038CB">
        <w:t xml:space="preserve"> Moreover, domestic legislation itself defined the zone in which the applicant</w:t>
      </w:r>
      <w:r w:rsidR="009952BE">
        <w:t>'</w:t>
      </w:r>
      <w:r w:rsidR="006038CB">
        <w:t>s ho</w:t>
      </w:r>
      <w:r w:rsidR="00C536FC">
        <w:t>me</w:t>
      </w:r>
      <w:r w:rsidR="006038CB">
        <w:t xml:space="preserve"> was situated as unfit for habitation (see</w:t>
      </w:r>
      <w:r w:rsidR="00A93D13">
        <w:t xml:space="preserve"> </w:t>
      </w:r>
      <w:r w:rsidR="00261D8E">
        <w:t>paragraph</w:t>
      </w:r>
      <w:r w:rsidR="00A93D13">
        <w:t xml:space="preserve"> </w:t>
      </w:r>
      <w:r w:rsidR="004326EE">
        <w:t>51</w:t>
      </w:r>
      <w:r w:rsidR="006038CB">
        <w:t>). Therefore, it can be said that the existence of interference with the applicant</w:t>
      </w:r>
      <w:r w:rsidR="009952BE">
        <w:t>'</w:t>
      </w:r>
      <w:r w:rsidR="006038CB">
        <w:t>s private sphere was taken for granted at the domestic level.</w:t>
      </w:r>
    </w:p>
    <w:p w:rsidR="006038CB" w:rsidP="006038CB" w:rsidRDefault="00BB5585">
      <w:pPr>
        <w:pStyle w:val="JuParaCharCharCharCharCharChar"/>
      </w:pPr>
      <w:r>
        <w:fldChar w:fldCharType="begin"/>
      </w:r>
      <w:r>
        <w:instrText xml:space="preserve"> SEQ level0 \*arabic </w:instrText>
      </w:r>
      <w:r>
        <w:fldChar w:fldCharType="separate"/>
      </w:r>
      <w:r w:rsidR="008C3401">
        <w:rPr>
          <w:noProof/>
        </w:rPr>
        <w:t>87</w:t>
      </w:r>
      <w:r>
        <w:fldChar w:fldCharType="end"/>
      </w:r>
      <w:r>
        <w:t>.  </w:t>
      </w:r>
      <w:r w:rsidR="006038CB">
        <w:t>In summary, the Court observes that over a significant period of time the concentration of various toxic elements in the air near the applicant</w:t>
      </w:r>
      <w:r w:rsidR="009952BE">
        <w:t>'</w:t>
      </w:r>
      <w:r w:rsidR="006038CB">
        <w:t>s ho</w:t>
      </w:r>
      <w:r w:rsidR="00C536FC">
        <w:t>me</w:t>
      </w:r>
      <w:r w:rsidR="006038CB">
        <w:t xml:space="preserve"> seriously exceeded the MPLs. The Russian legislation defines MPLs as safe concentrations of tox</w:t>
      </w:r>
      <w:r w:rsidR="00261D8E">
        <w:t xml:space="preserve">ic elements (see paragraph </w:t>
      </w:r>
      <w:r w:rsidR="004326EE">
        <w:t>49</w:t>
      </w:r>
      <w:r w:rsidR="00261D8E">
        <w:t xml:space="preserve"> above</w:t>
      </w:r>
      <w:r w:rsidR="006038CB">
        <w:t xml:space="preserve">). Consequently, where the MPLs are exceeded, the pollution becomes potentially harmful to the health and well-being of those exposed to it. </w:t>
      </w:r>
      <w:r w:rsidR="003B5098">
        <w:t>T</w:t>
      </w:r>
      <w:r w:rsidR="006038CB">
        <w:t>his is a presumption, which may not be true in a particular case. The same may be noted about the reports produced by the applicant: it is conceivable that,</w:t>
      </w:r>
      <w:r w:rsidRPr="00B0143E" w:rsidR="006038CB">
        <w:t xml:space="preserve"> </w:t>
      </w:r>
      <w:r w:rsidR="006038CB">
        <w:t>despite the excessive pollution and its prove</w:t>
      </w:r>
      <w:r w:rsidR="00C536FC">
        <w:t>d</w:t>
      </w:r>
      <w:r w:rsidR="006038CB">
        <w:t xml:space="preserve"> negative effects on the population as a whole, the applicant did not suffer any sp</w:t>
      </w:r>
      <w:r w:rsidR="0034443D">
        <w:t>ecial and extraordinary damage.</w:t>
      </w:r>
    </w:p>
    <w:p w:rsidR="00772DF2" w:rsidP="006038CB" w:rsidRDefault="00BB5585">
      <w:pPr>
        <w:pStyle w:val="JuParaCharCharCharCharCharChar"/>
      </w:pPr>
      <w:r>
        <w:fldChar w:fldCharType="begin"/>
      </w:r>
      <w:r>
        <w:instrText xml:space="preserve"> SEQ level0 \*arabic </w:instrText>
      </w:r>
      <w:r>
        <w:fldChar w:fldCharType="separate"/>
      </w:r>
      <w:r w:rsidR="008C3401">
        <w:rPr>
          <w:noProof/>
        </w:rPr>
        <w:t>88</w:t>
      </w:r>
      <w:r>
        <w:fldChar w:fldCharType="end"/>
      </w:r>
      <w:r>
        <w:t>.  </w:t>
      </w:r>
      <w:r w:rsidR="006038CB">
        <w:t>In the instant case, however, the very strong combination of indirect evidence and presumptions makes it possible to conclude that the applicant</w:t>
      </w:r>
      <w:r w:rsidR="009952BE">
        <w:t>'</w:t>
      </w:r>
      <w:r w:rsidR="006038CB">
        <w:t xml:space="preserve">s health deteriorated as a result of her prolonged exposure to the industrial emissions from the Severstal </w:t>
      </w:r>
      <w:r w:rsidR="002F22AF">
        <w:t>steel plant</w:t>
      </w:r>
      <w:r w:rsidR="006038CB">
        <w:t xml:space="preserve">. Even assuming that the pollution did not cause any quantifiable harm to her health, it inevitably made the applicant more vulnerable to various </w:t>
      </w:r>
      <w:r w:rsidR="00C536FC">
        <w:t>illnesses</w:t>
      </w:r>
      <w:r w:rsidR="006038CB">
        <w:t xml:space="preserve">. </w:t>
      </w:r>
      <w:r w:rsidR="0034443D">
        <w:t>Moreover, there can be no doub</w:t>
      </w:r>
      <w:r w:rsidR="00261D8E">
        <w:t xml:space="preserve">t that it adversely affected her </w:t>
      </w:r>
      <w:r w:rsidR="0034443D">
        <w:t xml:space="preserve">quality of life at home. </w:t>
      </w:r>
      <w:r w:rsidR="006038CB">
        <w:t>Therefore</w:t>
      </w:r>
      <w:r w:rsidR="00156391">
        <w:t>,</w:t>
      </w:r>
      <w:r w:rsidR="006038CB">
        <w:t xml:space="preserve"> the Court accept</w:t>
      </w:r>
      <w:r w:rsidR="003B5098">
        <w:t>s</w:t>
      </w:r>
      <w:r w:rsidR="006038CB">
        <w:t xml:space="preserve"> that </w:t>
      </w:r>
      <w:r w:rsidRPr="00257EE6" w:rsidR="006038CB">
        <w:t>the</w:t>
      </w:r>
      <w:r w:rsidR="006038CB">
        <w:t xml:space="preserve"> actual detriment</w:t>
      </w:r>
      <w:r w:rsidRPr="00257EE6" w:rsidR="006038CB">
        <w:t xml:space="preserve"> </w:t>
      </w:r>
      <w:r w:rsidR="006038CB">
        <w:t>to the applicant</w:t>
      </w:r>
      <w:r w:rsidR="009952BE">
        <w:t>'</w:t>
      </w:r>
      <w:r w:rsidR="006038CB">
        <w:t xml:space="preserve">s health and well-being reached a level </w:t>
      </w:r>
      <w:r w:rsidRPr="00257EE6" w:rsidR="006038CB">
        <w:t xml:space="preserve">sufficient to bring </w:t>
      </w:r>
      <w:r w:rsidR="006038CB">
        <w:t xml:space="preserve">it </w:t>
      </w:r>
      <w:r w:rsidRPr="00257EE6" w:rsidR="006038CB">
        <w:t xml:space="preserve">within the scope of Article </w:t>
      </w:r>
      <w:r w:rsidR="006038CB">
        <w:t>8</w:t>
      </w:r>
      <w:r w:rsidRPr="00257EE6" w:rsidR="006038CB">
        <w:t xml:space="preserve"> of</w:t>
      </w:r>
      <w:r w:rsidR="00A93D13">
        <w:t xml:space="preserve"> the </w:t>
      </w:r>
      <w:r w:rsidRPr="00257EE6" w:rsidR="006038CB">
        <w:t>Convention.</w:t>
      </w:r>
    </w:p>
    <w:p w:rsidR="00D83F73" w:rsidP="00C536FC" w:rsidRDefault="006038CB">
      <w:pPr>
        <w:pStyle w:val="JuH1"/>
        <w:keepNext w:val="0"/>
        <w:keepLines w:val="0"/>
      </w:pPr>
      <w:r>
        <w:t>2</w:t>
      </w:r>
      <w:r w:rsidR="00D83F73">
        <w:t>.</w:t>
      </w:r>
      <w:r w:rsidR="00F8213D">
        <w:t>  </w:t>
      </w:r>
      <w:r w:rsidR="00D83F73">
        <w:t>Attribution of the alleged interference to the State</w:t>
      </w:r>
    </w:p>
    <w:p w:rsidR="00D83F73" w:rsidP="00C536FC" w:rsidRDefault="00BB5585">
      <w:pPr>
        <w:pStyle w:val="JuPara"/>
        <w:keepLines/>
        <w:rPr>
          <w:lang w:eastAsia="en-US"/>
        </w:rPr>
      </w:pPr>
      <w:r>
        <w:fldChar w:fldCharType="begin"/>
      </w:r>
      <w:r>
        <w:instrText xml:space="preserve"> SEQ level0 \*arabic </w:instrText>
      </w:r>
      <w:r>
        <w:fldChar w:fldCharType="separate"/>
      </w:r>
      <w:r w:rsidR="008C3401">
        <w:rPr>
          <w:noProof/>
        </w:rPr>
        <w:t>89</w:t>
      </w:r>
      <w:r>
        <w:fldChar w:fldCharType="end"/>
      </w:r>
      <w:r>
        <w:t>.  </w:t>
      </w:r>
      <w:r w:rsidRPr="00C94391" w:rsidR="00D83F73">
        <w:t>The Court notes that</w:t>
      </w:r>
      <w:r w:rsidR="00CB007B">
        <w:t xml:space="preserve">, at the material time, </w:t>
      </w:r>
      <w:r w:rsidR="00D83F73">
        <w:t xml:space="preserve">the Severstal </w:t>
      </w:r>
      <w:r w:rsidR="002F22AF">
        <w:t>steel plant</w:t>
      </w:r>
      <w:r w:rsidR="00D83F73">
        <w:t xml:space="preserve"> </w:t>
      </w:r>
      <w:r w:rsidR="00BD0CDD">
        <w:t>was</w:t>
      </w:r>
      <w:r w:rsidR="00D83F73">
        <w:t xml:space="preserve"> not owned, controlled</w:t>
      </w:r>
      <w:r w:rsidRPr="00C94391" w:rsidR="00D83F73">
        <w:t>, or operated by the</w:t>
      </w:r>
      <w:r w:rsidR="00D83F73">
        <w:t xml:space="preserve"> State</w:t>
      </w:r>
      <w:r w:rsidRPr="00C94391" w:rsidR="00D83F73">
        <w:t xml:space="preserve">. </w:t>
      </w:r>
      <w:r w:rsidR="00A14156">
        <w:t>Consequently, t</w:t>
      </w:r>
      <w:r w:rsidRPr="00C94391" w:rsidR="00D83F73">
        <w:t xml:space="preserve">he Court considers that the </w:t>
      </w:r>
      <w:smartTag w:uri="urn:schemas-microsoft-com:office:smarttags" w:element="country-region">
        <w:smartTag w:uri="urn:schemas-microsoft-com:office:smarttags" w:element="place">
          <w:r w:rsidR="00D83F73">
            <w:t>Russian Federation</w:t>
          </w:r>
        </w:smartTag>
      </w:smartTag>
      <w:r w:rsidRPr="00C94391" w:rsidR="00D83F73">
        <w:t xml:space="preserve"> cannot be said to have </w:t>
      </w:r>
      <w:r w:rsidR="00D83F73">
        <w:t xml:space="preserve">directly </w:t>
      </w:r>
      <w:r w:rsidRPr="00C94391" w:rsidR="00D83F73">
        <w:t>interfered with the appl</w:t>
      </w:r>
      <w:r w:rsidR="00D83F73">
        <w:t>icant</w:t>
      </w:r>
      <w:r w:rsidR="009952BE">
        <w:t>'</w:t>
      </w:r>
      <w:r w:rsidR="00D83F73">
        <w:t>s private life</w:t>
      </w:r>
      <w:r w:rsidR="00615A0A">
        <w:t xml:space="preserve"> or home</w:t>
      </w:r>
      <w:r w:rsidR="00D83F73">
        <w:t xml:space="preserve">. </w:t>
      </w:r>
      <w:r w:rsidR="00A14156">
        <w:t>A</w:t>
      </w:r>
      <w:r w:rsidR="00D83F73">
        <w:t xml:space="preserve">t the same time, </w:t>
      </w:r>
      <w:r w:rsidR="00A14156">
        <w:t xml:space="preserve">the Court points out </w:t>
      </w:r>
      <w:r w:rsidR="00D83F73">
        <w:t>that the State</w:t>
      </w:r>
      <w:r w:rsidR="009952BE">
        <w:t>'</w:t>
      </w:r>
      <w:r w:rsidR="00D83F73">
        <w:t xml:space="preserve">s responsibility in environmental cases may arise from a failure to regulate private industry </w:t>
      </w:r>
      <w:r w:rsidRPr="009D29C5" w:rsidR="00D83F73">
        <w:t>(</w:t>
      </w:r>
      <w:r w:rsidR="0003403C">
        <w:t xml:space="preserve">see </w:t>
      </w:r>
      <w:r w:rsidRPr="0003403C" w:rsidR="0003403C">
        <w:rPr>
          <w:i/>
          <w:lang w:eastAsia="en-US"/>
        </w:rPr>
        <w:t>Hatton and Others</w:t>
      </w:r>
      <w:r w:rsidRPr="00261D8E" w:rsidR="00261D8E">
        <w:rPr>
          <w:lang w:eastAsia="en-US"/>
        </w:rPr>
        <w:t>,</w:t>
      </w:r>
      <w:r w:rsidRPr="0003403C" w:rsidR="0003403C">
        <w:rPr>
          <w:i/>
          <w:lang w:eastAsia="en-US"/>
        </w:rPr>
        <w:t xml:space="preserve"> </w:t>
      </w:r>
      <w:r w:rsidR="00C52193">
        <w:rPr>
          <w:lang w:eastAsia="en-US"/>
        </w:rPr>
        <w:t>cited above</w:t>
      </w:r>
      <w:r w:rsidR="00D83F73">
        <w:t xml:space="preserve">). </w:t>
      </w:r>
      <w:r w:rsidR="00A14156">
        <w:t xml:space="preserve">Accordingly, </w:t>
      </w:r>
      <w:r w:rsidRPr="00665B68" w:rsidR="00D83F73">
        <w:t>the applicant</w:t>
      </w:r>
      <w:r w:rsidR="009952BE">
        <w:t>'</w:t>
      </w:r>
      <w:r w:rsidRPr="00665B68" w:rsidR="00D83F73">
        <w:t xml:space="preserve">s complaints </w:t>
      </w:r>
      <w:r w:rsidRPr="00E67C85" w:rsidR="00D83F73">
        <w:t>fall to be analysed</w:t>
      </w:r>
      <w:r w:rsidRPr="00665B68" w:rsidR="00D83F73">
        <w:t xml:space="preserve"> in terms of a positive duty on the State to take reasonable and appropriate measures to secure the applicant</w:t>
      </w:r>
      <w:r w:rsidR="009952BE">
        <w:t>'</w:t>
      </w:r>
      <w:r w:rsidRPr="00665B68" w:rsidR="00D83F73">
        <w:t xml:space="preserve">s rights under Article 8 § 1 of the Convention (see </w:t>
      </w:r>
      <w:r w:rsidRPr="00665B68" w:rsidR="00D83F73">
        <w:rPr>
          <w:i/>
        </w:rPr>
        <w:t>Powell and Rayner v. the United Kingdom</w:t>
      </w:r>
      <w:r w:rsidR="00DE6DED">
        <w:t>,</w:t>
      </w:r>
      <w:r w:rsidRPr="00665B68" w:rsidR="00D83F73">
        <w:t xml:space="preserve"> judgment of 21</w:t>
      </w:r>
      <w:r w:rsidR="00C536FC">
        <w:t> </w:t>
      </w:r>
      <w:r w:rsidRPr="00665B68" w:rsidR="00D83F73">
        <w:t>February 1990, Series A no.</w:t>
      </w:r>
      <w:r w:rsidR="00A93D13">
        <w:t xml:space="preserve"> </w:t>
      </w:r>
      <w:r w:rsidRPr="00665B68" w:rsidR="00D83F73">
        <w:t xml:space="preserve">172, </w:t>
      </w:r>
      <w:r w:rsidR="00261D8E">
        <w:t xml:space="preserve">p. 18, </w:t>
      </w:r>
      <w:r w:rsidRPr="00665B68" w:rsidR="00D83F73">
        <w:t xml:space="preserve">§ 41, and </w:t>
      </w:r>
      <w:r w:rsidRPr="00665B68" w:rsidR="00D83F73">
        <w:rPr>
          <w:i/>
        </w:rPr>
        <w:t xml:space="preserve">Guerra </w:t>
      </w:r>
      <w:r w:rsidR="00C058C2">
        <w:rPr>
          <w:i/>
        </w:rPr>
        <w:t xml:space="preserve">and Others </w:t>
      </w:r>
      <w:r w:rsidRPr="00665B68" w:rsidR="00D83F73">
        <w:rPr>
          <w:i/>
        </w:rPr>
        <w:t>v. Italy</w:t>
      </w:r>
      <w:r w:rsidR="00DE6DED">
        <w:t>,</w:t>
      </w:r>
      <w:r w:rsidR="00A93D13">
        <w:t xml:space="preserve"> judgment of 19 </w:t>
      </w:r>
      <w:r w:rsidRPr="00665B68" w:rsidR="00D83F73">
        <w:t xml:space="preserve">February 1998, </w:t>
      </w:r>
      <w:r w:rsidRPr="00665B68" w:rsidR="00D83F73">
        <w:rPr>
          <w:i/>
          <w:iCs/>
        </w:rPr>
        <w:t>Reports</w:t>
      </w:r>
      <w:r w:rsidR="00DE6DED">
        <w:rPr>
          <w:i/>
          <w:iCs/>
        </w:rPr>
        <w:t xml:space="preserve"> of Judgments and Decisions</w:t>
      </w:r>
      <w:r w:rsidRPr="00665B68" w:rsidR="00D83F73">
        <w:rPr>
          <w:i/>
          <w:iCs/>
        </w:rPr>
        <w:t xml:space="preserve"> </w:t>
      </w:r>
      <w:r w:rsidRPr="00665B68" w:rsidR="00D83F73">
        <w:t xml:space="preserve">1998-I, </w:t>
      </w:r>
      <w:r w:rsidR="00261D8E">
        <w:t xml:space="preserve">p. 227, </w:t>
      </w:r>
      <w:r w:rsidRPr="00665B68" w:rsidR="00D83F73">
        <w:t>§</w:t>
      </w:r>
      <w:r w:rsidR="00C536FC">
        <w:t xml:space="preserve"> </w:t>
      </w:r>
      <w:r w:rsidRPr="00665B68" w:rsidR="00D83F73">
        <w:t>58).</w:t>
      </w:r>
      <w:r w:rsidR="00D83F73">
        <w:t xml:space="preserve"> In these circumstances</w:t>
      </w:r>
      <w:r w:rsidR="00C536FC">
        <w:t>,</w:t>
      </w:r>
      <w:r w:rsidR="00D83F73">
        <w:t xml:space="preserve"> the Court</w:t>
      </w:r>
      <w:r w:rsidR="009952BE">
        <w:t>'</w:t>
      </w:r>
      <w:r w:rsidR="00D83F73">
        <w:t>s first task is to assess whether the State could reasonably be expected to act so as to prevent or put an end to the</w:t>
      </w:r>
      <w:r w:rsidR="00A7295D">
        <w:t xml:space="preserve"> alleged</w:t>
      </w:r>
      <w:r w:rsidR="00D83F73">
        <w:t xml:space="preserve"> infringement of the applicant</w:t>
      </w:r>
      <w:r w:rsidR="009952BE">
        <w:t>'</w:t>
      </w:r>
      <w:r w:rsidR="00D83F73">
        <w:t>s rights.</w:t>
      </w:r>
    </w:p>
    <w:p w:rsidR="00D83F73" w:rsidP="00252EB8" w:rsidRDefault="00BB5585">
      <w:pPr>
        <w:pStyle w:val="JuParaCharCharCharCharCharChar"/>
      </w:pPr>
      <w:r>
        <w:fldChar w:fldCharType="begin"/>
      </w:r>
      <w:r>
        <w:instrText xml:space="preserve"> SEQ level0 \*arabic </w:instrText>
      </w:r>
      <w:r>
        <w:fldChar w:fldCharType="separate"/>
      </w:r>
      <w:r w:rsidR="008C3401">
        <w:rPr>
          <w:noProof/>
        </w:rPr>
        <w:t>90</w:t>
      </w:r>
      <w:r>
        <w:fldChar w:fldCharType="end"/>
      </w:r>
      <w:r>
        <w:t>.  </w:t>
      </w:r>
      <w:r w:rsidR="00D83F73">
        <w:t xml:space="preserve">The Court observes in this respect that </w:t>
      </w:r>
      <w:r w:rsidR="00A14156">
        <w:t xml:space="preserve">the </w:t>
      </w:r>
      <w:r w:rsidR="00D83F73">
        <w:t xml:space="preserve">Severstal </w:t>
      </w:r>
      <w:r w:rsidR="002F22AF">
        <w:t>steel plant</w:t>
      </w:r>
      <w:r w:rsidR="00D83F73">
        <w:t xml:space="preserve"> was built by and initially belonged to the State.</w:t>
      </w:r>
      <w:r w:rsidRPr="00A37F8D" w:rsidR="00D83F73">
        <w:t xml:space="preserve"> </w:t>
      </w:r>
      <w:r w:rsidR="00D83F73">
        <w:t>The plant malfunctioned from the start, rel</w:t>
      </w:r>
      <w:r w:rsidR="00261D8E">
        <w:t xml:space="preserve">easing gas fumes and </w:t>
      </w:r>
      <w:r w:rsidR="00A14156">
        <w:t>odour</w:t>
      </w:r>
      <w:r w:rsidR="00261D8E">
        <w:t xml:space="preserve">s, </w:t>
      </w:r>
      <w:r w:rsidR="00D83F73">
        <w:t>contaminati</w:t>
      </w:r>
      <w:r w:rsidR="00261D8E">
        <w:t>ng the area,</w:t>
      </w:r>
      <w:r w:rsidR="00D83F73">
        <w:t xml:space="preserve"> and causing health problems and nuisance to many people in </w:t>
      </w:r>
      <w:smartTag w:uri="urn:schemas-microsoft-com:office:smarttags" w:element="City">
        <w:smartTag w:uri="urn:schemas-microsoft-com:office:smarttags" w:element="place">
          <w:r w:rsidR="00D83F73">
            <w:t>Cherepovets</w:t>
          </w:r>
        </w:smartTag>
      </w:smartTag>
      <w:r w:rsidR="0034443D">
        <w:t xml:space="preserve"> (see </w:t>
      </w:r>
      <w:r w:rsidR="00261D8E">
        <w:t xml:space="preserve">the </w:t>
      </w:r>
      <w:r w:rsidR="00FD696D">
        <w:t>appendix</w:t>
      </w:r>
      <w:r w:rsidR="00492A03">
        <w:t xml:space="preserve"> </w:t>
      </w:r>
      <w:r w:rsidR="00261D8E">
        <w:t xml:space="preserve">and paragraphs </w:t>
      </w:r>
      <w:r w:rsidR="004326EE">
        <w:t>11</w:t>
      </w:r>
      <w:r w:rsidRPr="00A945D8" w:rsidR="0034443D">
        <w:t xml:space="preserve"> </w:t>
      </w:r>
      <w:r w:rsidRPr="003C3EFD" w:rsidR="0034443D">
        <w:t xml:space="preserve">and </w:t>
      </w:r>
      <w:r w:rsidR="004326EE">
        <w:t>12</w:t>
      </w:r>
      <w:r w:rsidR="00261D8E">
        <w:t xml:space="preserve"> above</w:t>
      </w:r>
      <w:r w:rsidR="0034443D">
        <w:t>)</w:t>
      </w:r>
      <w:r w:rsidR="00D83F73">
        <w:t xml:space="preserve">. </w:t>
      </w:r>
      <w:r w:rsidR="00A14156">
        <w:t xml:space="preserve">Following </w:t>
      </w:r>
      <w:r w:rsidR="00492A03">
        <w:t>the plant</w:t>
      </w:r>
      <w:r w:rsidR="009952BE">
        <w:t>'</w:t>
      </w:r>
      <w:r w:rsidR="00492A03">
        <w:t xml:space="preserve">s </w:t>
      </w:r>
      <w:r w:rsidR="00D83F73">
        <w:t>privatisation in 1993, the State continued to exercise control over the plant</w:t>
      </w:r>
      <w:r w:rsidR="009952BE">
        <w:t>'</w:t>
      </w:r>
      <w:r w:rsidR="00D83F73">
        <w:t xml:space="preserve">s industrial activities </w:t>
      </w:r>
      <w:r w:rsidR="00261D8E">
        <w:t>by imposing certain</w:t>
      </w:r>
      <w:r w:rsidR="00A14156">
        <w:t xml:space="preserve"> </w:t>
      </w:r>
      <w:r w:rsidR="00D83F73">
        <w:t xml:space="preserve">operating conditions on the </w:t>
      </w:r>
      <w:r w:rsidR="00A14156">
        <w:t>plant</w:t>
      </w:r>
      <w:r w:rsidR="009952BE">
        <w:t>'</w:t>
      </w:r>
      <w:r w:rsidR="00A14156">
        <w:t xml:space="preserve">s </w:t>
      </w:r>
      <w:r w:rsidR="00D83F73">
        <w:t xml:space="preserve">owner and </w:t>
      </w:r>
      <w:r w:rsidR="00A14156">
        <w:t>supervisi</w:t>
      </w:r>
      <w:r w:rsidR="00261D8E">
        <w:t>ng</w:t>
      </w:r>
      <w:r w:rsidR="00A14156">
        <w:t xml:space="preserve"> </w:t>
      </w:r>
      <w:r w:rsidR="00D83F73">
        <w:t xml:space="preserve">their implementation. </w:t>
      </w:r>
      <w:r w:rsidR="00BD0CDD">
        <w:t xml:space="preserve">The plant was subjected to numerous inspections by the </w:t>
      </w:r>
      <w:r w:rsidR="00C536FC">
        <w:t>Federal E</w:t>
      </w:r>
      <w:r w:rsidR="00BD0CDD">
        <w:t xml:space="preserve">nvironmental </w:t>
      </w:r>
      <w:r w:rsidR="00C536FC">
        <w:t>A</w:t>
      </w:r>
      <w:r w:rsidR="00BD0CDD">
        <w:t>genc</w:t>
      </w:r>
      <w:r w:rsidR="00912728">
        <w:t>y</w:t>
      </w:r>
      <w:r w:rsidR="00BD0CDD">
        <w:t xml:space="preserve"> and administrative penalties were imposed</w:t>
      </w:r>
      <w:r w:rsidR="00912728">
        <w:t xml:space="preserve"> on the </w:t>
      </w:r>
      <w:r w:rsidR="00CB007B">
        <w:t>plant</w:t>
      </w:r>
      <w:r w:rsidR="009952BE">
        <w:t>'</w:t>
      </w:r>
      <w:r w:rsidR="00CB007B">
        <w:t xml:space="preserve">s </w:t>
      </w:r>
      <w:r w:rsidR="00912728">
        <w:t xml:space="preserve">owner and management (see </w:t>
      </w:r>
      <w:r w:rsidR="00FD696D">
        <w:t>paragraph</w:t>
      </w:r>
      <w:r w:rsidR="00A93D13">
        <w:t xml:space="preserve"> </w:t>
      </w:r>
      <w:r w:rsidR="004326EE">
        <w:t>114</w:t>
      </w:r>
      <w:r w:rsidR="00FD696D">
        <w:t xml:space="preserve"> below</w:t>
      </w:r>
      <w:r w:rsidR="00912728">
        <w:t>)</w:t>
      </w:r>
      <w:r w:rsidR="00BD0CDD">
        <w:t xml:space="preserve">. </w:t>
      </w:r>
      <w:r w:rsidR="00D83F73">
        <w:t xml:space="preserve">The environmental situation complained of was not </w:t>
      </w:r>
      <w:r w:rsidR="00A14156">
        <w:t xml:space="preserve">the </w:t>
      </w:r>
      <w:r w:rsidR="00D83F73">
        <w:t xml:space="preserve">result of a sudden and unexpected </w:t>
      </w:r>
      <w:r w:rsidR="00A14156">
        <w:t xml:space="preserve">turn </w:t>
      </w:r>
      <w:r w:rsidR="00D83F73">
        <w:t>of events, but</w:t>
      </w:r>
      <w:r w:rsidR="00C536FC">
        <w:t xml:space="preserve"> was</w:t>
      </w:r>
      <w:r w:rsidR="00D83F73">
        <w:t>, on the contrary, long-</w:t>
      </w:r>
      <w:r w:rsidR="00C536FC">
        <w:t>standing</w:t>
      </w:r>
      <w:r w:rsidR="00D83F73">
        <w:t xml:space="preserve"> and well</w:t>
      </w:r>
      <w:r w:rsidR="00C536FC">
        <w:t xml:space="preserve"> </w:t>
      </w:r>
      <w:r w:rsidR="00D83F73">
        <w:t>known</w:t>
      </w:r>
      <w:r w:rsidR="007F5E7B">
        <w:t xml:space="preserve"> (see </w:t>
      </w:r>
      <w:r w:rsidR="00FD696D">
        <w:t>paragraphs</w:t>
      </w:r>
      <w:r w:rsidR="00A93D13">
        <w:t xml:space="preserve"> </w:t>
      </w:r>
      <w:r w:rsidR="004326EE">
        <w:t>11, 12</w:t>
      </w:r>
      <w:r w:rsidRPr="003C3EFD" w:rsidR="007F5E7B">
        <w:t>,</w:t>
      </w:r>
      <w:r w:rsidR="007F5E7B">
        <w:t xml:space="preserve"> and </w:t>
      </w:r>
      <w:r w:rsidR="004326EE">
        <w:t>15</w:t>
      </w:r>
      <w:r w:rsidR="00FD696D">
        <w:t xml:space="preserve"> above</w:t>
      </w:r>
      <w:r w:rsidR="007F5E7B">
        <w:t>)</w:t>
      </w:r>
      <w:r w:rsidR="00D83F73">
        <w:t xml:space="preserve">. </w:t>
      </w:r>
      <w:r w:rsidR="00A14156">
        <w:t xml:space="preserve">As </w:t>
      </w:r>
      <w:r w:rsidR="00D83F73">
        <w:t xml:space="preserve">in </w:t>
      </w:r>
      <w:r w:rsidRPr="00DE6DED" w:rsidR="00D83F73">
        <w:rPr>
          <w:i/>
        </w:rPr>
        <w:t>L</w:t>
      </w:r>
      <w:r w:rsidR="00DE6DED">
        <w:rPr>
          <w:i/>
        </w:rPr>
        <w:t>ó</w:t>
      </w:r>
      <w:r w:rsidRPr="00DE6DED" w:rsidR="00D83F73">
        <w:rPr>
          <w:i/>
        </w:rPr>
        <w:t>pez</w:t>
      </w:r>
      <w:r w:rsidR="00A93D13">
        <w:rPr>
          <w:i/>
        </w:rPr>
        <w:t xml:space="preserve"> </w:t>
      </w:r>
      <w:r w:rsidRPr="00DE6DED" w:rsidR="00D83F73">
        <w:rPr>
          <w:i/>
        </w:rPr>
        <w:t>Ostra</w:t>
      </w:r>
      <w:r w:rsidRPr="00DE6DED" w:rsidR="00D83F73">
        <w:t xml:space="preserve"> (</w:t>
      </w:r>
      <w:r w:rsidR="00494669">
        <w:t>cited</w:t>
      </w:r>
      <w:r w:rsidR="00C52193">
        <w:t xml:space="preserve"> </w:t>
      </w:r>
      <w:r w:rsidR="00494669">
        <w:t>above</w:t>
      </w:r>
      <w:r w:rsidR="00D83F73">
        <w:t xml:space="preserve">, </w:t>
      </w:r>
      <w:r w:rsidR="00FD696D">
        <w:t xml:space="preserve">p. 55, </w:t>
      </w:r>
      <w:r w:rsidR="00D83F73">
        <w:t>§</w:t>
      </w:r>
      <w:r w:rsidR="00FD696D">
        <w:t>§</w:t>
      </w:r>
      <w:r w:rsidR="00A93D13">
        <w:t xml:space="preserve"> </w:t>
      </w:r>
      <w:r w:rsidR="00D83F73">
        <w:t>52-53), in the present case the municipal authorities were aware of the continuing environmental problems and applied certain sanctions in order to improve the situation.</w:t>
      </w:r>
    </w:p>
    <w:p w:rsidR="00D83F73" w:rsidP="00252EB8" w:rsidRDefault="00BB5585">
      <w:pPr>
        <w:pStyle w:val="JuParaCharCharCharCharCharChar"/>
      </w:pPr>
      <w:r>
        <w:fldChar w:fldCharType="begin"/>
      </w:r>
      <w:r>
        <w:instrText xml:space="preserve"> SEQ level0 \*arabic </w:instrText>
      </w:r>
      <w:r>
        <w:fldChar w:fldCharType="separate"/>
      </w:r>
      <w:r w:rsidR="008C3401">
        <w:rPr>
          <w:noProof/>
        </w:rPr>
        <w:t>91</w:t>
      </w:r>
      <w:r>
        <w:fldChar w:fldCharType="end"/>
      </w:r>
      <w:r>
        <w:t>.  </w:t>
      </w:r>
      <w:r w:rsidR="00D83F73">
        <w:t xml:space="preserve">The Court further </w:t>
      </w:r>
      <w:r w:rsidR="00FD696D">
        <w:t xml:space="preserve">observes </w:t>
      </w:r>
      <w:r w:rsidR="00D83F73">
        <w:t xml:space="preserve">that the Severstal </w:t>
      </w:r>
      <w:r w:rsidR="002F22AF">
        <w:t>steel plant</w:t>
      </w:r>
      <w:r w:rsidR="00D83F73">
        <w:t xml:space="preserve"> was and remains responsi</w:t>
      </w:r>
      <w:r w:rsidR="002F22AF">
        <w:t xml:space="preserve">ble for almost 95% </w:t>
      </w:r>
      <w:r w:rsidR="00D83F73">
        <w:t xml:space="preserve">of overall air pollution in the </w:t>
      </w:r>
      <w:r w:rsidR="00707549">
        <w:t xml:space="preserve">city </w:t>
      </w:r>
      <w:r w:rsidR="00D83F73">
        <w:t xml:space="preserve">(see </w:t>
      </w:r>
      <w:r w:rsidR="00FD696D">
        <w:t>paragraph</w:t>
      </w:r>
      <w:r w:rsidR="00615A0A">
        <w:t xml:space="preserve"> </w:t>
      </w:r>
      <w:r w:rsidR="004326EE">
        <w:t>42</w:t>
      </w:r>
      <w:r w:rsidR="00FD696D">
        <w:t xml:space="preserve"> above</w:t>
      </w:r>
      <w:r w:rsidR="00D83F73">
        <w:t xml:space="preserve">). </w:t>
      </w:r>
      <w:r w:rsidR="00A14156">
        <w:t xml:space="preserve">In contrast to </w:t>
      </w:r>
      <w:r w:rsidR="00D83F73">
        <w:t xml:space="preserve">many other cities, where pollution can be attributed to a large number of minor sources, </w:t>
      </w:r>
      <w:r w:rsidR="00A14156">
        <w:t xml:space="preserve">the </w:t>
      </w:r>
      <w:r w:rsidR="00D83F73">
        <w:t>main cause</w:t>
      </w:r>
      <w:r w:rsidR="00FD696D">
        <w:t xml:space="preserve"> of pollution</w:t>
      </w:r>
      <w:r w:rsidR="00D83F73">
        <w:t xml:space="preserve"> </w:t>
      </w:r>
      <w:r w:rsidR="00A14156">
        <w:t xml:space="preserve">in </w:t>
      </w:r>
      <w:smartTag w:uri="urn:schemas-microsoft-com:office:smarttags" w:element="City">
        <w:smartTag w:uri="urn:schemas-microsoft-com:office:smarttags" w:element="place">
          <w:r w:rsidR="00A14156">
            <w:t>Cherepovets</w:t>
          </w:r>
        </w:smartTag>
      </w:smartTag>
      <w:r w:rsidR="00A14156">
        <w:t xml:space="preserve"> </w:t>
      </w:r>
      <w:r w:rsidR="00D83F73">
        <w:t xml:space="preserve">was easily definable. The environmental nuisances complained of were very specific and fully attributable to the industrial activities of one particular </w:t>
      </w:r>
      <w:r w:rsidR="00C536FC">
        <w:t>undertaking</w:t>
      </w:r>
      <w:r w:rsidR="00D83F73">
        <w:t xml:space="preserve">. This is </w:t>
      </w:r>
      <w:r w:rsidR="00A14156">
        <w:t xml:space="preserve">particularly </w:t>
      </w:r>
      <w:r w:rsidR="00D83F73">
        <w:t>true with respect to the situation of those liv</w:t>
      </w:r>
      <w:r w:rsidR="00A14156">
        <w:t xml:space="preserve">ing </w:t>
      </w:r>
      <w:r w:rsidR="00D83F73">
        <w:t xml:space="preserve">in close </w:t>
      </w:r>
      <w:r w:rsidR="00A14156">
        <w:t xml:space="preserve">proximity </w:t>
      </w:r>
      <w:r w:rsidR="00D83F73">
        <w:t xml:space="preserve">to the Severstal </w:t>
      </w:r>
      <w:r w:rsidR="002F22AF">
        <w:t>steel plant</w:t>
      </w:r>
      <w:r w:rsidR="00D83F73">
        <w:t>.</w:t>
      </w:r>
    </w:p>
    <w:p w:rsidR="00D83F73" w:rsidP="00252EB8" w:rsidRDefault="00BB5585">
      <w:pPr>
        <w:pStyle w:val="JuParaChar"/>
      </w:pPr>
      <w:r>
        <w:fldChar w:fldCharType="begin"/>
      </w:r>
      <w:r>
        <w:instrText xml:space="preserve"> SEQ level0 \*arabic </w:instrText>
      </w:r>
      <w:r>
        <w:fldChar w:fldCharType="separate"/>
      </w:r>
      <w:r w:rsidR="008C3401">
        <w:rPr>
          <w:noProof/>
        </w:rPr>
        <w:t>92</w:t>
      </w:r>
      <w:r>
        <w:fldChar w:fldCharType="end"/>
      </w:r>
      <w:r>
        <w:t>.  </w:t>
      </w:r>
      <w:r w:rsidR="00D83F73">
        <w:t xml:space="preserve">The Court concludes that the authorities in the present case were certainly in a position to evaluate </w:t>
      </w:r>
      <w:r w:rsidR="00A14156">
        <w:t xml:space="preserve">the </w:t>
      </w:r>
      <w:r w:rsidR="00D83F73">
        <w:t>pollution hazards and to take adequate measures to prevent or reduce them. The combination of these factors shows a sufficient nexus between the pollutant emissions and the State</w:t>
      </w:r>
      <w:r w:rsidR="00A7295D">
        <w:t xml:space="preserve"> to </w:t>
      </w:r>
      <w:r w:rsidR="006038CB">
        <w:t>raise an issue of the State</w:t>
      </w:r>
      <w:r w:rsidR="009952BE">
        <w:t>'</w:t>
      </w:r>
      <w:r w:rsidR="006038CB">
        <w:t>s positive obligation under Article 8</w:t>
      </w:r>
      <w:r w:rsidR="00FD696D">
        <w:t xml:space="preserve"> of the Convention</w:t>
      </w:r>
      <w:r w:rsidR="00D83F73">
        <w:t>.</w:t>
      </w:r>
    </w:p>
    <w:p w:rsidR="00754695" w:rsidP="00754695" w:rsidRDefault="00BB5585">
      <w:pPr>
        <w:pStyle w:val="JuParaCharCharCharCharCharChar"/>
      </w:pPr>
      <w:r>
        <w:fldChar w:fldCharType="begin"/>
      </w:r>
      <w:r>
        <w:instrText xml:space="preserve"> SEQ level0 \*arabic </w:instrText>
      </w:r>
      <w:r>
        <w:fldChar w:fldCharType="separate"/>
      </w:r>
      <w:r w:rsidR="008C3401">
        <w:rPr>
          <w:noProof/>
        </w:rPr>
        <w:t>93</w:t>
      </w:r>
      <w:r>
        <w:fldChar w:fldCharType="end"/>
      </w:r>
      <w:r>
        <w:t>.  </w:t>
      </w:r>
      <w:r w:rsidR="00754695">
        <w:t xml:space="preserve">It remains to be </w:t>
      </w:r>
      <w:r w:rsidR="00CB007B">
        <w:t xml:space="preserve">determined </w:t>
      </w:r>
      <w:r w:rsidR="00754695">
        <w:t>whether the State, in securing the applicant</w:t>
      </w:r>
      <w:r w:rsidR="009952BE">
        <w:t>'</w:t>
      </w:r>
      <w:r w:rsidR="00754695">
        <w:t>s rights, has struck a fair balance between the competing interests of the applicant and the community as a whole,</w:t>
      </w:r>
      <w:r w:rsidR="00FD696D">
        <w:t xml:space="preserve"> as required by paragraph 2 of </w:t>
      </w:r>
      <w:r w:rsidR="00754695">
        <w:t xml:space="preserve">Article </w:t>
      </w:r>
      <w:r w:rsidR="00FD696D">
        <w:t>8</w:t>
      </w:r>
      <w:r w:rsidR="00754695">
        <w:t>.</w:t>
      </w:r>
    </w:p>
    <w:p w:rsidR="00CD49A7" w:rsidP="00252EB8" w:rsidRDefault="00CD49A7">
      <w:pPr>
        <w:pStyle w:val="JuHA"/>
        <w:outlineLvl w:val="0"/>
      </w:pPr>
      <w:r w:rsidRPr="00DE7FCC">
        <w:t>B.  </w:t>
      </w:r>
      <w:r w:rsidR="00A7295D">
        <w:t>Justification under Article 8 § 2</w:t>
      </w:r>
    </w:p>
    <w:p w:rsidR="00A7295D" w:rsidP="00252EB8" w:rsidRDefault="00F8213D">
      <w:pPr>
        <w:pStyle w:val="JuH1"/>
      </w:pPr>
      <w:r>
        <w:t>1.  </w:t>
      </w:r>
      <w:r w:rsidR="00A7295D">
        <w:t>General principles</w:t>
      </w:r>
    </w:p>
    <w:p w:rsidR="00455FC5" w:rsidP="00252EB8" w:rsidRDefault="00BB5585">
      <w:pPr>
        <w:pStyle w:val="JuParaCharCharCharCharCharChar"/>
      </w:pPr>
      <w:r>
        <w:fldChar w:fldCharType="begin"/>
      </w:r>
      <w:r>
        <w:instrText xml:space="preserve"> SEQ level0 \*arabic </w:instrText>
      </w:r>
      <w:r>
        <w:fldChar w:fldCharType="separate"/>
      </w:r>
      <w:r w:rsidR="008C3401">
        <w:rPr>
          <w:noProof/>
        </w:rPr>
        <w:t>94</w:t>
      </w:r>
      <w:r>
        <w:fldChar w:fldCharType="end"/>
      </w:r>
      <w:r>
        <w:t>.  </w:t>
      </w:r>
      <w:r w:rsidR="00A7295D">
        <w:t>T</w:t>
      </w:r>
      <w:r w:rsidR="00455FC5">
        <w:t xml:space="preserve">he Court reiterates that whatever analytical approach is adopted – the </w:t>
      </w:r>
      <w:r w:rsidR="003A2AE3">
        <w:t xml:space="preserve">breach of a </w:t>
      </w:r>
      <w:r w:rsidR="00455FC5">
        <w:t xml:space="preserve">positive duty or </w:t>
      </w:r>
      <w:r w:rsidR="003A2AE3">
        <w:t xml:space="preserve">direct </w:t>
      </w:r>
      <w:r w:rsidR="00455FC5">
        <w:t xml:space="preserve">interference </w:t>
      </w:r>
      <w:r w:rsidR="003A2AE3">
        <w:t xml:space="preserve">by the State </w:t>
      </w:r>
      <w:r w:rsidR="00455FC5">
        <w:t>– the applicable principles regard</w:t>
      </w:r>
      <w:r w:rsidR="00A93D13">
        <w:t xml:space="preserve">ing justification under Article </w:t>
      </w:r>
      <w:r w:rsidR="00455FC5">
        <w:t>8</w:t>
      </w:r>
      <w:r w:rsidR="00A93D13">
        <w:t xml:space="preserve"> </w:t>
      </w:r>
      <w:r w:rsidR="00455FC5">
        <w:t>§</w:t>
      </w:r>
      <w:r w:rsidR="00A93D13">
        <w:t xml:space="preserve"> </w:t>
      </w:r>
      <w:r w:rsidR="00455FC5">
        <w:t>2</w:t>
      </w:r>
      <w:r w:rsidR="00772DF2">
        <w:t xml:space="preserve"> as to </w:t>
      </w:r>
      <w:r w:rsidR="00156391">
        <w:t xml:space="preserve">the balance </w:t>
      </w:r>
      <w:r w:rsidR="00772DF2">
        <w:t xml:space="preserve">between the rights of an individual and the interests of the community as a whole are broadly similar </w:t>
      </w:r>
      <w:r w:rsidR="00455FC5">
        <w:t xml:space="preserve">(see </w:t>
      </w:r>
      <w:r w:rsidRPr="00427856" w:rsidR="00455FC5">
        <w:rPr>
          <w:i/>
        </w:rPr>
        <w:t>Keegan v. Ireland</w:t>
      </w:r>
      <w:r w:rsidR="00455FC5">
        <w:t xml:space="preserve">, </w:t>
      </w:r>
      <w:r w:rsidR="00293FED">
        <w:t>j</w:t>
      </w:r>
      <w:r w:rsidR="00455FC5">
        <w:t>udgment of 26</w:t>
      </w:r>
      <w:r w:rsidR="00A93D13">
        <w:t xml:space="preserve"> May 1994, Series A no. 290, p. </w:t>
      </w:r>
      <w:r w:rsidR="00455FC5">
        <w:t>19, § 49).</w:t>
      </w:r>
    </w:p>
    <w:p w:rsidR="00760C95" w:rsidP="00252EB8" w:rsidRDefault="00BB5585">
      <w:pPr>
        <w:pStyle w:val="JuPara"/>
      </w:pPr>
      <w:r>
        <w:fldChar w:fldCharType="begin"/>
      </w:r>
      <w:r>
        <w:instrText xml:space="preserve"> SEQ level0 \*arabic </w:instrText>
      </w:r>
      <w:r>
        <w:fldChar w:fldCharType="separate"/>
      </w:r>
      <w:r w:rsidR="008C3401">
        <w:rPr>
          <w:noProof/>
        </w:rPr>
        <w:t>95</w:t>
      </w:r>
      <w:r>
        <w:fldChar w:fldCharType="end"/>
      </w:r>
      <w:r>
        <w:t>.  </w:t>
      </w:r>
      <w:r w:rsidR="00754695">
        <w:t>D</w:t>
      </w:r>
      <w:r w:rsidR="00455FC5">
        <w:t xml:space="preserve">irect </w:t>
      </w:r>
      <w:r w:rsidRPr="00455FC5" w:rsidR="00455FC5">
        <w:t xml:space="preserve">interference </w:t>
      </w:r>
      <w:r w:rsidR="00455FC5">
        <w:t xml:space="preserve">by the State </w:t>
      </w:r>
      <w:r w:rsidRPr="00455FC5" w:rsidR="00455FC5">
        <w:t>with the exercise of Article 8</w:t>
      </w:r>
      <w:r w:rsidR="00455FC5">
        <w:t xml:space="preserve"> </w:t>
      </w:r>
      <w:r w:rsidRPr="00455FC5" w:rsidR="00455FC5">
        <w:t>right</w:t>
      </w:r>
      <w:r w:rsidR="003A2AE3">
        <w:t>s</w:t>
      </w:r>
      <w:r w:rsidRPr="00455FC5" w:rsidR="00455FC5">
        <w:t xml:space="preserve"> will not be compatible with paragraph 2 unless it is</w:t>
      </w:r>
      <w:r w:rsidR="00455FC5">
        <w:t xml:space="preserve"> </w:t>
      </w:r>
      <w:r w:rsidR="00293FED">
        <w:t xml:space="preserve">“in </w:t>
      </w:r>
      <w:r w:rsidRPr="00455FC5" w:rsidR="00455FC5">
        <w:rPr>
          <w:bCs/>
        </w:rPr>
        <w:t>accordance</w:t>
      </w:r>
      <w:r w:rsidRPr="00455FC5" w:rsidR="00455FC5">
        <w:t xml:space="preserve"> with the </w:t>
      </w:r>
      <w:r w:rsidR="00293FED">
        <w:t>law”</w:t>
      </w:r>
      <w:r w:rsidR="00455FC5">
        <w:t>.</w:t>
      </w:r>
      <w:r w:rsidR="00760C95">
        <w:t xml:space="preserve"> The breach of domestic l</w:t>
      </w:r>
      <w:r w:rsidR="003A2AE3">
        <w:t>aw</w:t>
      </w:r>
      <w:r w:rsidR="00760C95">
        <w:t xml:space="preserve"> in these cases would </w:t>
      </w:r>
      <w:r w:rsidR="00A5671F">
        <w:t xml:space="preserve">necessarily </w:t>
      </w:r>
      <w:r w:rsidR="00760C95">
        <w:t>lead to a finding of a violation of the Convention.</w:t>
      </w:r>
    </w:p>
    <w:p w:rsidR="00760C95" w:rsidP="00252EB8" w:rsidRDefault="00BB5585">
      <w:pPr>
        <w:pStyle w:val="JuPara"/>
      </w:pPr>
      <w:r>
        <w:fldChar w:fldCharType="begin"/>
      </w:r>
      <w:r>
        <w:instrText xml:space="preserve"> SEQ level0 \*arabic </w:instrText>
      </w:r>
      <w:r>
        <w:fldChar w:fldCharType="separate"/>
      </w:r>
      <w:r w:rsidR="008C3401">
        <w:rPr>
          <w:noProof/>
        </w:rPr>
        <w:t>96</w:t>
      </w:r>
      <w:r>
        <w:fldChar w:fldCharType="end"/>
      </w:r>
      <w:r>
        <w:t>.  </w:t>
      </w:r>
      <w:r w:rsidR="00760C95">
        <w:t>However</w:t>
      </w:r>
      <w:r w:rsidR="00C4589F">
        <w:t xml:space="preserve">, where the State is required to take positive measures, </w:t>
      </w:r>
      <w:r w:rsidRPr="001670C5" w:rsidR="00C4589F">
        <w:t xml:space="preserve">the choice of means </w:t>
      </w:r>
      <w:r w:rsidR="00C4589F">
        <w:t>is</w:t>
      </w:r>
      <w:r w:rsidRPr="001670C5" w:rsidR="00C4589F">
        <w:t xml:space="preserve"> in principle a matter</w:t>
      </w:r>
      <w:r w:rsidR="00C4589F">
        <w:t xml:space="preserve"> </w:t>
      </w:r>
      <w:r w:rsidRPr="001670C5" w:rsidR="00C4589F">
        <w:t xml:space="preserve">that falls within the </w:t>
      </w:r>
      <w:smartTag w:uri="urn:schemas-microsoft-com:office:smarttags" w:element="PlaceName">
        <w:r w:rsidR="00C4589F" w:rsidRPr="001670C5">
          <w:t>Contracting</w:t>
        </w:r>
      </w:smartTag>
      <w:r w:rsidRPr="001670C5" w:rsidR="00C4589F">
        <w:t xml:space="preserve"> </w:t>
      </w:r>
      <w:r w:rsidRPr="001670C5" w:rsidR="00293FED">
        <w:t>State</w:t>
      </w:r>
      <w:r w:rsidR="009952BE">
        <w:t>'</w:t>
      </w:r>
      <w:r w:rsidRPr="001670C5" w:rsidR="00293FED">
        <w:t xml:space="preserve">s </w:t>
      </w:r>
      <w:r w:rsidRPr="001670C5" w:rsidR="00C4589F">
        <w:t>margin of appreciation</w:t>
      </w:r>
      <w:r w:rsidR="00760C95">
        <w:t>. T</w:t>
      </w:r>
      <w:r w:rsidRPr="001670C5" w:rsidR="00760C95">
        <w:t xml:space="preserve">here are different </w:t>
      </w:r>
      <w:r w:rsidR="003A2AE3">
        <w:t>avenues to</w:t>
      </w:r>
      <w:r w:rsidRPr="001670C5" w:rsidR="00760C95">
        <w:t xml:space="preserve"> ensur</w:t>
      </w:r>
      <w:r w:rsidR="003A2AE3">
        <w:t>e</w:t>
      </w:r>
      <w:r w:rsidRPr="001670C5" w:rsidR="00760C95">
        <w:t xml:space="preserve"> </w:t>
      </w:r>
      <w:r w:rsidR="00293FED">
        <w:t xml:space="preserve">“respect </w:t>
      </w:r>
      <w:r w:rsidRPr="001670C5" w:rsidR="00760C95">
        <w:t>for</w:t>
      </w:r>
      <w:r w:rsidR="00760C95">
        <w:t xml:space="preserve"> </w:t>
      </w:r>
      <w:r w:rsidRPr="001670C5" w:rsidR="00760C95">
        <w:t xml:space="preserve">private </w:t>
      </w:r>
      <w:r w:rsidR="00293FED">
        <w:t>life”</w:t>
      </w:r>
      <w:r w:rsidRPr="001670C5" w:rsidR="00760C95">
        <w:t xml:space="preserve">, </w:t>
      </w:r>
      <w:r w:rsidR="00760C95">
        <w:t xml:space="preserve">and even if the State has failed to apply one particular measure provided by domestic law, it </w:t>
      </w:r>
      <w:r w:rsidR="00707549">
        <w:t xml:space="preserve">may </w:t>
      </w:r>
      <w:r w:rsidR="00760C95">
        <w:t xml:space="preserve">still </w:t>
      </w:r>
      <w:r w:rsidR="00CE3C7D">
        <w:t xml:space="preserve">fulfil its positive </w:t>
      </w:r>
      <w:r w:rsidR="0034443D">
        <w:t xml:space="preserve">duty </w:t>
      </w:r>
      <w:r w:rsidR="00760C95">
        <w:t>by other means</w:t>
      </w:r>
      <w:r w:rsidR="00A93D13">
        <w:t xml:space="preserve">. </w:t>
      </w:r>
      <w:r w:rsidR="00760C95">
        <w:t xml:space="preserve">Therefore, in those cases the criterion “in accordance with the law” of the justification test cannot be applied in </w:t>
      </w:r>
      <w:r w:rsidR="00293FED">
        <w:t xml:space="preserve">the </w:t>
      </w:r>
      <w:r w:rsidR="00760C95">
        <w:t>same way as in cases of direct interference by the State.</w:t>
      </w:r>
    </w:p>
    <w:p w:rsidR="00772DF2" w:rsidP="00252EB8" w:rsidRDefault="00BB5585">
      <w:pPr>
        <w:pStyle w:val="JuPara"/>
      </w:pPr>
      <w:r>
        <w:fldChar w:fldCharType="begin"/>
      </w:r>
      <w:r>
        <w:instrText xml:space="preserve"> SEQ level0 \*arabic </w:instrText>
      </w:r>
      <w:r>
        <w:fldChar w:fldCharType="separate"/>
      </w:r>
      <w:r w:rsidR="008C3401">
        <w:rPr>
          <w:noProof/>
        </w:rPr>
        <w:t>97</w:t>
      </w:r>
      <w:r>
        <w:fldChar w:fldCharType="end"/>
      </w:r>
      <w:r>
        <w:t>.  </w:t>
      </w:r>
      <w:r w:rsidR="00760C95">
        <w:t>The Court notes</w:t>
      </w:r>
      <w:r w:rsidR="0034443D">
        <w:t>, at the same time,</w:t>
      </w:r>
      <w:r w:rsidR="00760C95">
        <w:t xml:space="preserve"> that </w:t>
      </w:r>
      <w:r w:rsidR="00427856">
        <w:t xml:space="preserve">in all previous cases in which environmental questions gave rise to violations of the Convention, the violation was predicated on a failure by the national authorities to comply with some aspect of the domestic </w:t>
      </w:r>
      <w:r w:rsidR="00D7561C">
        <w:t xml:space="preserve">legal </w:t>
      </w:r>
      <w:r w:rsidR="00427856">
        <w:t xml:space="preserve">regime. Thus, in </w:t>
      </w:r>
      <w:r w:rsidRPr="00DE6DED" w:rsidR="00427856">
        <w:rPr>
          <w:i/>
        </w:rPr>
        <w:t>López</w:t>
      </w:r>
      <w:r w:rsidR="00427856">
        <w:rPr>
          <w:i/>
        </w:rPr>
        <w:t xml:space="preserve"> Ostra</w:t>
      </w:r>
      <w:r w:rsidR="00427856">
        <w:t xml:space="preserve"> the waste-treatment plant </w:t>
      </w:r>
      <w:r w:rsidR="00C536FC">
        <w:t>in</w:t>
      </w:r>
      <w:r w:rsidR="00427856">
        <w:t xml:space="preserve"> issue was illegal in that it operated without the necessary licence, and it was eventually closed down (</w:t>
      </w:r>
      <w:r w:rsidR="00427856">
        <w:rPr>
          <w:i/>
        </w:rPr>
        <w:t>López Ostra</w:t>
      </w:r>
      <w:r w:rsidR="0034443D">
        <w:t>, cited above,</w:t>
      </w:r>
      <w:r w:rsidR="00255E6C">
        <w:t xml:space="preserve"> pp. 46-47, </w:t>
      </w:r>
      <w:r w:rsidR="00427856">
        <w:t>§§</w:t>
      </w:r>
      <w:r w:rsidR="00A93D13">
        <w:t xml:space="preserve"> </w:t>
      </w:r>
      <w:r w:rsidR="00427856">
        <w:t xml:space="preserve">16-22). In </w:t>
      </w:r>
      <w:r w:rsidRPr="00DE6DED" w:rsidR="00427856">
        <w:rPr>
          <w:i/>
        </w:rPr>
        <w:t>Guerra</w:t>
      </w:r>
      <w:r w:rsidR="00427856">
        <w:t xml:space="preserve"> </w:t>
      </w:r>
      <w:r w:rsidR="00C536FC">
        <w:rPr>
          <w:i/>
        </w:rPr>
        <w:t xml:space="preserve">and Others </w:t>
      </w:r>
      <w:r w:rsidR="00427856">
        <w:t>too, the violation was founded on an irregular position at the domestic level, as the applicants had been unable to obtain information that the State was under a statutory obligation to provide (</w:t>
      </w:r>
      <w:r w:rsidRPr="000C6330" w:rsidR="003A2AE3">
        <w:rPr>
          <w:i/>
        </w:rPr>
        <w:t>Guerra and Other</w:t>
      </w:r>
      <w:r w:rsidR="00255E6C">
        <w:rPr>
          <w:i/>
        </w:rPr>
        <w:t>s</w:t>
      </w:r>
      <w:r w:rsidRPr="000C6330" w:rsidR="003A2AE3">
        <w:t xml:space="preserve">, </w:t>
      </w:r>
      <w:r w:rsidR="00DE6DED">
        <w:t>cited above,</w:t>
      </w:r>
      <w:r w:rsidR="00A93D13">
        <w:t xml:space="preserve"> p. </w:t>
      </w:r>
      <w:r w:rsidR="003A2AE3">
        <w:t>219</w:t>
      </w:r>
      <w:r w:rsidRPr="000C6330" w:rsidR="003A2AE3">
        <w:t>, §</w:t>
      </w:r>
      <w:r w:rsidRPr="000C6330" w:rsidR="00255E6C">
        <w:t>§</w:t>
      </w:r>
      <w:r w:rsidR="00A93D13">
        <w:t xml:space="preserve"> </w:t>
      </w:r>
      <w:r w:rsidR="003A2AE3">
        <w:t>25-27)</w:t>
      </w:r>
      <w:r w:rsidR="00427856">
        <w:t>.</w:t>
      </w:r>
      <w:r w:rsidR="00D83F73">
        <w:t xml:space="preserve"> In </w:t>
      </w:r>
      <w:r w:rsidRPr="00DE6DED" w:rsidR="00D83F73">
        <w:rPr>
          <w:i/>
        </w:rPr>
        <w:t>S</w:t>
      </w:r>
      <w:r w:rsidRPr="00DE6DED" w:rsidR="00DE6DED">
        <w:rPr>
          <w:i/>
        </w:rPr>
        <w:t>.</w:t>
      </w:r>
      <w:r w:rsidRPr="00DE6DED" w:rsidR="00D83F73">
        <w:rPr>
          <w:i/>
        </w:rPr>
        <w:t xml:space="preserve"> v. France</w:t>
      </w:r>
      <w:r w:rsidR="00E67C85">
        <w:rPr>
          <w:i/>
        </w:rPr>
        <w:t xml:space="preserve"> </w:t>
      </w:r>
      <w:r w:rsidR="00E67C85">
        <w:t>(</w:t>
      </w:r>
      <w:r w:rsidR="00A93D13">
        <w:t>no.</w:t>
      </w:r>
      <w:r w:rsidR="00F3789E">
        <w:t xml:space="preserve"> </w:t>
      </w:r>
      <w:r w:rsidR="00A8026D">
        <w:t xml:space="preserve">13728/88, Commission decision of </w:t>
      </w:r>
      <w:r w:rsidR="00E67C85">
        <w:t>17 May 1990,</w:t>
      </w:r>
      <w:r w:rsidR="00A8026D">
        <w:t xml:space="preserve"> </w:t>
      </w:r>
      <w:r w:rsidR="00E67C85">
        <w:t>D</w:t>
      </w:r>
      <w:r w:rsidR="00A8026D">
        <w:t xml:space="preserve">ecisions and </w:t>
      </w:r>
      <w:r w:rsidR="00C52193">
        <w:t>Reports</w:t>
      </w:r>
      <w:r w:rsidR="00A8026D">
        <w:t xml:space="preserve"> </w:t>
      </w:r>
      <w:r w:rsidR="00A93D13">
        <w:t xml:space="preserve">65, p. </w:t>
      </w:r>
      <w:r w:rsidR="00E67C85">
        <w:t>263)</w:t>
      </w:r>
      <w:r w:rsidR="00293FED">
        <w:t>,</w:t>
      </w:r>
      <w:r w:rsidR="00D83F73">
        <w:t xml:space="preserve"> the internal legality </w:t>
      </w:r>
      <w:r w:rsidR="00772DF2">
        <w:t>w</w:t>
      </w:r>
      <w:r w:rsidR="00D83F73">
        <w:t xml:space="preserve">as </w:t>
      </w:r>
      <w:r w:rsidR="0034443D">
        <w:t xml:space="preserve">also </w:t>
      </w:r>
      <w:r w:rsidR="00D83F73">
        <w:t>taken into consideration.</w:t>
      </w:r>
    </w:p>
    <w:p w:rsidR="00754695" w:rsidP="00754695" w:rsidRDefault="00BB5585">
      <w:pPr>
        <w:pStyle w:val="JuPara"/>
      </w:pPr>
      <w:r>
        <w:fldChar w:fldCharType="begin"/>
      </w:r>
      <w:r>
        <w:instrText xml:space="preserve"> SEQ level0 \*arabic </w:instrText>
      </w:r>
      <w:r>
        <w:fldChar w:fldCharType="separate"/>
      </w:r>
      <w:r w:rsidR="008C3401">
        <w:rPr>
          <w:noProof/>
        </w:rPr>
        <w:t>98</w:t>
      </w:r>
      <w:r>
        <w:fldChar w:fldCharType="end"/>
      </w:r>
      <w:r>
        <w:t>.  </w:t>
      </w:r>
      <w:r w:rsidR="00A5671F">
        <w:t xml:space="preserve">Thus, </w:t>
      </w:r>
      <w:r w:rsidR="00760C95">
        <w:t xml:space="preserve">in cases where </w:t>
      </w:r>
      <w:r w:rsidR="00293FED">
        <w:t xml:space="preserve">an </w:t>
      </w:r>
      <w:r w:rsidR="00760C95">
        <w:t>applicant complains about the State</w:t>
      </w:r>
      <w:r w:rsidR="009952BE">
        <w:t>'</w:t>
      </w:r>
      <w:r w:rsidR="00760C95">
        <w:t xml:space="preserve">s failure to protect his </w:t>
      </w:r>
      <w:r w:rsidR="00293FED">
        <w:t xml:space="preserve">or her </w:t>
      </w:r>
      <w:r w:rsidR="00A5671F">
        <w:t xml:space="preserve">Convention </w:t>
      </w:r>
      <w:r w:rsidR="00760C95">
        <w:t xml:space="preserve">rights, </w:t>
      </w:r>
      <w:r w:rsidR="00A5671F">
        <w:t>domestic legality should be approached not as a separate and conclusive test, but rather as one of many aspects which should be taken into account in assessing whether the State has struck a “fair balance” in accordance with Article</w:t>
      </w:r>
      <w:r w:rsidR="00A93D13">
        <w:t xml:space="preserve"> </w:t>
      </w:r>
      <w:r w:rsidR="00A5671F">
        <w:t>8</w:t>
      </w:r>
      <w:r w:rsidR="00A93D13">
        <w:t xml:space="preserve"> </w:t>
      </w:r>
      <w:r w:rsidR="00A5671F">
        <w:t>§</w:t>
      </w:r>
      <w:r w:rsidR="00A93D13">
        <w:t xml:space="preserve"> </w:t>
      </w:r>
      <w:r w:rsidR="00A5671F">
        <w:t>2.</w:t>
      </w:r>
    </w:p>
    <w:p w:rsidR="00754695" w:rsidP="00772DF2" w:rsidRDefault="00754695">
      <w:pPr>
        <w:pStyle w:val="JuH1"/>
      </w:pPr>
      <w:r>
        <w:t>2.</w:t>
      </w:r>
      <w:r w:rsidR="00F8213D">
        <w:t>  </w:t>
      </w:r>
      <w:r w:rsidR="00255E6C">
        <w:t>Legitimate aim</w:t>
      </w:r>
    </w:p>
    <w:p w:rsidR="00772DF2" w:rsidP="00772DF2" w:rsidRDefault="00BB5585">
      <w:pPr>
        <w:pStyle w:val="JuParaCharCharCharCharCharChar"/>
        <w:keepNext/>
        <w:keepLines/>
      </w:pPr>
      <w:r>
        <w:fldChar w:fldCharType="begin"/>
      </w:r>
      <w:r>
        <w:instrText xml:space="preserve"> SEQ level0 \*arabic </w:instrText>
      </w:r>
      <w:r>
        <w:fldChar w:fldCharType="separate"/>
      </w:r>
      <w:r w:rsidR="008C3401">
        <w:rPr>
          <w:noProof/>
        </w:rPr>
        <w:t>99</w:t>
      </w:r>
      <w:r>
        <w:fldChar w:fldCharType="end"/>
      </w:r>
      <w:r>
        <w:t>.  </w:t>
      </w:r>
      <w:r w:rsidR="00754695">
        <w:t>W</w:t>
      </w:r>
      <w:r w:rsidR="00492A03">
        <w:t>h</w:t>
      </w:r>
      <w:r w:rsidR="00754695">
        <w:t xml:space="preserve">ere the State is required to take positive measures in order to strike a fair balance between the interests of </w:t>
      </w:r>
      <w:r w:rsidR="00F3789E">
        <w:t>an individual</w:t>
      </w:r>
      <w:r w:rsidR="00754695">
        <w:t xml:space="preserve"> and the community as a whole, </w:t>
      </w:r>
      <w:r w:rsidR="00255E6C">
        <w:t xml:space="preserve">the aims mentioned in </w:t>
      </w:r>
      <w:r w:rsidR="00C536FC">
        <w:t>the second paragraph</w:t>
      </w:r>
      <w:r w:rsidR="00255E6C">
        <w:t xml:space="preserve"> of Article 8 may be of </w:t>
      </w:r>
      <w:r w:rsidR="00C536FC">
        <w:t xml:space="preserve">a </w:t>
      </w:r>
      <w:r w:rsidRPr="007810BB" w:rsidR="007F5E7B">
        <w:t>certain relevance,</w:t>
      </w:r>
      <w:r w:rsidR="007F5E7B">
        <w:t xml:space="preserve"> </w:t>
      </w:r>
      <w:r w:rsidRPr="007810BB" w:rsidR="007F5E7B">
        <w:t xml:space="preserve">although this provision refers only to </w:t>
      </w:r>
      <w:r w:rsidR="007F5E7B">
        <w:t>“</w:t>
      </w:r>
      <w:r w:rsidRPr="007810BB" w:rsidR="007F5E7B">
        <w:t>interferences</w:t>
      </w:r>
      <w:r w:rsidR="007F5E7B">
        <w:t>”</w:t>
      </w:r>
      <w:r w:rsidRPr="007810BB" w:rsidR="007F5E7B">
        <w:t xml:space="preserve"> with</w:t>
      </w:r>
      <w:r w:rsidR="007F5E7B">
        <w:t xml:space="preserve"> </w:t>
      </w:r>
      <w:r w:rsidRPr="007810BB" w:rsidR="007F5E7B">
        <w:t xml:space="preserve">the right protected by </w:t>
      </w:r>
      <w:r w:rsidR="00C536FC">
        <w:t xml:space="preserve">the first </w:t>
      </w:r>
      <w:r w:rsidRPr="007810BB" w:rsidR="007F5E7B">
        <w:t>paragraph</w:t>
      </w:r>
      <w:r w:rsidR="00255E6C">
        <w:t xml:space="preserve"> </w:t>
      </w:r>
      <w:r w:rsidR="009A3089">
        <w:t>–</w:t>
      </w:r>
      <w:r w:rsidRPr="007810BB" w:rsidR="007F5E7B">
        <w:t xml:space="preserve"> in other words</w:t>
      </w:r>
      <w:r w:rsidR="00492A03">
        <w:t>, it</w:t>
      </w:r>
      <w:r w:rsidRPr="007810BB" w:rsidR="007F5E7B">
        <w:t xml:space="preserve"> is</w:t>
      </w:r>
      <w:r w:rsidR="007F5E7B">
        <w:t xml:space="preserve"> </w:t>
      </w:r>
      <w:r w:rsidRPr="007810BB" w:rsidR="007F5E7B">
        <w:t>concerned with the negative obligations flowing therefrom (see</w:t>
      </w:r>
      <w:r w:rsidR="007F5E7B">
        <w:t xml:space="preserve"> </w:t>
      </w:r>
      <w:r w:rsidRPr="00754695" w:rsidR="007F5E7B">
        <w:rPr>
          <w:i/>
        </w:rPr>
        <w:t>Rees</w:t>
      </w:r>
      <w:r w:rsidRPr="00754695" w:rsidR="00754695">
        <w:rPr>
          <w:i/>
        </w:rPr>
        <w:t xml:space="preserve"> v. the United Kingdom</w:t>
      </w:r>
      <w:r w:rsidR="00255E6C">
        <w:t>,</w:t>
      </w:r>
      <w:r w:rsidR="00772DF2">
        <w:t xml:space="preserve"> </w:t>
      </w:r>
      <w:r w:rsidRPr="007810BB" w:rsidR="007F5E7B">
        <w:t>judgment o</w:t>
      </w:r>
      <w:r w:rsidR="00A93D13">
        <w:t xml:space="preserve">f 17 October 1986, Series A no. </w:t>
      </w:r>
      <w:r w:rsidRPr="007810BB" w:rsidR="007F5E7B">
        <w:t>106, p. 15,</w:t>
      </w:r>
      <w:r w:rsidR="007F5E7B">
        <w:t xml:space="preserve"> §</w:t>
      </w:r>
      <w:r w:rsidR="00C536FC">
        <w:t xml:space="preserve"> </w:t>
      </w:r>
      <w:r w:rsidRPr="007F5E7B" w:rsidR="007F5E7B">
        <w:t>37).</w:t>
      </w:r>
    </w:p>
    <w:p w:rsidR="00772DF2" w:rsidP="00252EB8" w:rsidRDefault="00BB5585">
      <w:pPr>
        <w:pStyle w:val="JuPara"/>
      </w:pPr>
      <w:r>
        <w:fldChar w:fldCharType="begin"/>
      </w:r>
      <w:r>
        <w:instrText xml:space="preserve"> SEQ level0 \*arabic </w:instrText>
      </w:r>
      <w:r>
        <w:fldChar w:fldCharType="separate"/>
      </w:r>
      <w:r w:rsidR="008C3401">
        <w:rPr>
          <w:noProof/>
        </w:rPr>
        <w:t>100</w:t>
      </w:r>
      <w:r>
        <w:fldChar w:fldCharType="end"/>
      </w:r>
      <w:r>
        <w:t>.  </w:t>
      </w:r>
      <w:r w:rsidRPr="00CF07AD" w:rsidR="00CF07AD">
        <w:t xml:space="preserve">The Court observes that the essential justification offered by the Government for the </w:t>
      </w:r>
      <w:r w:rsidR="00CF07AD">
        <w:t xml:space="preserve">refusal to resettle the applicant </w:t>
      </w:r>
      <w:r w:rsidR="00991420">
        <w:t>was</w:t>
      </w:r>
      <w:r w:rsidRPr="00CF07AD" w:rsidR="00CF07AD">
        <w:t xml:space="preserve"> the</w:t>
      </w:r>
      <w:r w:rsidR="00CF07AD">
        <w:t xml:space="preserve"> protection of the interests of </w:t>
      </w:r>
      <w:r w:rsidR="00EB5F7A">
        <w:t xml:space="preserve">other residents of </w:t>
      </w:r>
      <w:smartTag w:uri="urn:schemas-microsoft-com:office:smarttags" w:element="City">
        <w:smartTag w:uri="urn:schemas-microsoft-com:office:smarttags" w:element="place">
          <w:r w:rsidR="00EB5F7A">
            <w:t>Cherepovets</w:t>
          </w:r>
        </w:smartTag>
      </w:smartTag>
      <w:r w:rsidR="001C6E01">
        <w:t xml:space="preserve"> </w:t>
      </w:r>
      <w:r w:rsidR="00707549">
        <w:t xml:space="preserve">who were </w:t>
      </w:r>
      <w:r w:rsidR="001C6E01">
        <w:t>entitled to free housing under the domestic legislation</w:t>
      </w:r>
      <w:r w:rsidRPr="00CF07AD" w:rsidR="00CF07AD">
        <w:t xml:space="preserve">. </w:t>
      </w:r>
      <w:r w:rsidR="00EB5F7A">
        <w:t>In the Government</w:t>
      </w:r>
      <w:r w:rsidR="009952BE">
        <w:t>'</w:t>
      </w:r>
      <w:r w:rsidR="00EB5F7A">
        <w:t>s submiss</w:t>
      </w:r>
      <w:r w:rsidR="003A2AE3">
        <w:t>ions, since the municipality had</w:t>
      </w:r>
      <w:r w:rsidR="00EB5F7A">
        <w:t xml:space="preserve"> only limited resources to build new housing for social purposes, the applicant</w:t>
      </w:r>
      <w:r w:rsidR="009952BE">
        <w:t>'</w:t>
      </w:r>
      <w:r w:rsidR="00EB5F7A">
        <w:t xml:space="preserve">s immediate resettlement would inevitably breach the rights of </w:t>
      </w:r>
      <w:r w:rsidR="00084137">
        <w:t>other</w:t>
      </w:r>
      <w:r w:rsidR="00293FED">
        <w:t>s</w:t>
      </w:r>
      <w:r w:rsidR="001C6E01">
        <w:t xml:space="preserve"> on the waiting list.</w:t>
      </w:r>
    </w:p>
    <w:p w:rsidR="000E0BB0" w:rsidP="00754695" w:rsidRDefault="00BB5585">
      <w:pPr>
        <w:pStyle w:val="JuPara"/>
      </w:pPr>
      <w:r>
        <w:fldChar w:fldCharType="begin"/>
      </w:r>
      <w:r>
        <w:instrText xml:space="preserve"> SEQ level0 \*arabic </w:instrText>
      </w:r>
      <w:r>
        <w:fldChar w:fldCharType="separate"/>
      </w:r>
      <w:r w:rsidR="008C3401">
        <w:rPr>
          <w:noProof/>
        </w:rPr>
        <w:t>101</w:t>
      </w:r>
      <w:r>
        <w:fldChar w:fldCharType="end"/>
      </w:r>
      <w:r>
        <w:t>.  </w:t>
      </w:r>
      <w:r w:rsidR="00754695">
        <w:t>Further, the Government refer</w:t>
      </w:r>
      <w:r w:rsidR="0034443D">
        <w:t>red</w:t>
      </w:r>
      <w:r w:rsidR="00754695">
        <w:t xml:space="preserve">, at least in substance, to the economic well-being of the country (see </w:t>
      </w:r>
      <w:r w:rsidR="00255E6C">
        <w:t xml:space="preserve">paragraph </w:t>
      </w:r>
      <w:r w:rsidR="004326EE">
        <w:t>111</w:t>
      </w:r>
      <w:r w:rsidR="00255E6C">
        <w:t xml:space="preserve"> below</w:t>
      </w:r>
      <w:r w:rsidR="00754695">
        <w:t xml:space="preserve">). Like the Government, </w:t>
      </w:r>
      <w:r w:rsidRPr="00754695" w:rsidR="00754695">
        <w:t>the Court considers that the</w:t>
      </w:r>
      <w:r w:rsidR="00754695">
        <w:t xml:space="preserve"> continuing operation of the </w:t>
      </w:r>
      <w:r w:rsidR="002F22AF">
        <w:t>steel plant</w:t>
      </w:r>
      <w:r w:rsidR="00754695">
        <w:t xml:space="preserve"> in question </w:t>
      </w:r>
      <w:r w:rsidRPr="00754695" w:rsidR="00754695">
        <w:t>contributed to the</w:t>
      </w:r>
      <w:r w:rsidR="00754695">
        <w:t xml:space="preserve"> economic </w:t>
      </w:r>
      <w:r w:rsidRPr="00754695" w:rsidR="00754695">
        <w:t xml:space="preserve">system </w:t>
      </w:r>
      <w:r w:rsidR="00754695">
        <w:t xml:space="preserve">of the </w:t>
      </w:r>
      <w:smartTag w:uri="urn:schemas-microsoft-com:office:smarttags" w:element="City">
        <w:smartTag w:uri="urn:schemas-microsoft-com:office:smarttags" w:element="place">
          <w:r w:rsidR="00754695">
            <w:t>Vologda</w:t>
          </w:r>
        </w:smartTag>
      </w:smartTag>
      <w:r w:rsidR="00754695">
        <w:t xml:space="preserve"> region </w:t>
      </w:r>
      <w:r w:rsidRPr="00754695" w:rsidR="00754695">
        <w:t>and, to that extent,</w:t>
      </w:r>
      <w:r w:rsidR="00754695">
        <w:t xml:space="preserve"> </w:t>
      </w:r>
      <w:r w:rsidR="00BB073D">
        <w:t xml:space="preserve">served a legitimate aim </w:t>
      </w:r>
      <w:r w:rsidR="0034443D">
        <w:t>with</w:t>
      </w:r>
      <w:r w:rsidR="000B0583">
        <w:t>in the meaning of paragraph</w:t>
      </w:r>
      <w:r w:rsidR="00BB073D">
        <w:t xml:space="preserve"> 2 of Article 8 of the Convention.</w:t>
      </w:r>
      <w:r w:rsidR="008E2E1B">
        <w:t xml:space="preserve"> It </w:t>
      </w:r>
      <w:r w:rsidR="00CB007B">
        <w:t xml:space="preserve">remains to be </w:t>
      </w:r>
      <w:r w:rsidR="008E2E1B">
        <w:t>de</w:t>
      </w:r>
      <w:r w:rsidR="00CB007B">
        <w:t xml:space="preserve">termined </w:t>
      </w:r>
      <w:r w:rsidR="008E2E1B">
        <w:t>whether</w:t>
      </w:r>
      <w:r w:rsidR="00CB007B">
        <w:t>,</w:t>
      </w:r>
      <w:r w:rsidR="008E2E1B">
        <w:t xml:space="preserve"> </w:t>
      </w:r>
      <w:r w:rsidR="00CB007B">
        <w:t xml:space="preserve">in pursuing this aim, </w:t>
      </w:r>
      <w:r w:rsidR="008E2E1B">
        <w:t>the authorities have stru</w:t>
      </w:r>
      <w:r w:rsidR="00CB007B">
        <w:t>c</w:t>
      </w:r>
      <w:r w:rsidR="008E2E1B">
        <w:t>k a fair balance between the interests of the applicant and those of the community as a whole.</w:t>
      </w:r>
    </w:p>
    <w:p w:rsidR="00C51A5D" w:rsidP="00252EB8" w:rsidRDefault="00A7295D">
      <w:pPr>
        <w:pStyle w:val="JuH1"/>
      </w:pPr>
      <w:r>
        <w:t>3.</w:t>
      </w:r>
      <w:r w:rsidR="00F8213D">
        <w:t>  </w:t>
      </w:r>
      <w:r w:rsidR="00991420">
        <w:t xml:space="preserve">“Necessary in </w:t>
      </w:r>
      <w:r w:rsidR="00293FED">
        <w:t xml:space="preserve">a </w:t>
      </w:r>
      <w:r w:rsidR="00991420">
        <w:t>democratic society”</w:t>
      </w:r>
    </w:p>
    <w:p w:rsidR="00373025" w:rsidP="00252EB8" w:rsidRDefault="00A7295D">
      <w:pPr>
        <w:pStyle w:val="JuHa0"/>
      </w:pPr>
      <w:r>
        <w:t>(a)</w:t>
      </w:r>
      <w:r w:rsidR="00F8213D">
        <w:t>  </w:t>
      </w:r>
      <w:r w:rsidR="00C51A5D">
        <w:t>G</w:t>
      </w:r>
      <w:r w:rsidR="00991420">
        <w:t>eneral principles</w:t>
      </w:r>
    </w:p>
    <w:p w:rsidR="00991420" w:rsidP="00252EB8" w:rsidRDefault="00BB5585">
      <w:pPr>
        <w:pStyle w:val="JuParaChar"/>
      </w:pPr>
      <w:r>
        <w:fldChar w:fldCharType="begin"/>
      </w:r>
      <w:r>
        <w:instrText xml:space="preserve"> SEQ level0 \*arabic </w:instrText>
      </w:r>
      <w:r>
        <w:fldChar w:fldCharType="separate"/>
      </w:r>
      <w:r w:rsidR="008C3401">
        <w:rPr>
          <w:noProof/>
        </w:rPr>
        <w:t>102</w:t>
      </w:r>
      <w:r>
        <w:fldChar w:fldCharType="end"/>
      </w:r>
      <w:r>
        <w:t>.  </w:t>
      </w:r>
      <w:r w:rsidR="00991420">
        <w:t>The Court re</w:t>
      </w:r>
      <w:r w:rsidR="00C536FC">
        <w:t>iterates</w:t>
      </w:r>
      <w:r w:rsidR="00991420">
        <w:t xml:space="preserve"> that</w:t>
      </w:r>
      <w:r w:rsidR="00C536FC">
        <w:t>,</w:t>
      </w:r>
      <w:r w:rsidR="00991420">
        <w:t xml:space="preserve"> in </w:t>
      </w:r>
      <w:r w:rsidR="00E27810">
        <w:t xml:space="preserve">deciding what is necessary for achieving one of the aims mentioned in Article 8 § 2 of the Convention, </w:t>
      </w:r>
      <w:r w:rsidR="00991420">
        <w:t xml:space="preserve">a margin of appreciation must be left to the national authorities, who are in principle better placed than an international court to evaluate local needs and conditions. </w:t>
      </w:r>
      <w:r w:rsidR="0021113A">
        <w:t>W</w:t>
      </w:r>
      <w:r w:rsidR="00991420">
        <w:t xml:space="preserve">hile it is for the national authorities to make the initial assessment of necessity, the final evaluation as to whether the justification given by the State is relevant and sufficient remains subject to review by the Court (see, among other authorities, </w:t>
      </w:r>
      <w:r w:rsidR="00991420">
        <w:rPr>
          <w:i/>
          <w:iCs/>
        </w:rPr>
        <w:t>Lustig-Prean and Beckett v. the United Kingdom</w:t>
      </w:r>
      <w:r w:rsidR="00991420">
        <w:t xml:space="preserve">, </w:t>
      </w:r>
      <w:r w:rsidR="00E67C85">
        <w:t>n</w:t>
      </w:r>
      <w:r w:rsidR="00991420">
        <w:t xml:space="preserve">os. 31417/96 and 32377/96, </w:t>
      </w:r>
      <w:r w:rsidR="00A93D13">
        <w:t xml:space="preserve">§§ 80-81, 27 </w:t>
      </w:r>
      <w:r w:rsidR="000B0583">
        <w:t>September 1999</w:t>
      </w:r>
      <w:r w:rsidR="00991420">
        <w:t>).</w:t>
      </w:r>
    </w:p>
    <w:p w:rsidR="00F55B13" w:rsidP="00252EB8" w:rsidRDefault="00BB5585">
      <w:pPr>
        <w:pStyle w:val="JuParaCharCharCharCharCharChar"/>
      </w:pPr>
      <w:r>
        <w:fldChar w:fldCharType="begin"/>
      </w:r>
      <w:r>
        <w:instrText xml:space="preserve"> SEQ level0 \*arabic </w:instrText>
      </w:r>
      <w:r>
        <w:fldChar w:fldCharType="separate"/>
      </w:r>
      <w:r w:rsidR="008C3401">
        <w:rPr>
          <w:noProof/>
        </w:rPr>
        <w:t>103</w:t>
      </w:r>
      <w:r>
        <w:fldChar w:fldCharType="end"/>
      </w:r>
      <w:r>
        <w:t>.  </w:t>
      </w:r>
      <w:r w:rsidR="00F55B13">
        <w:t xml:space="preserve">In recent decades </w:t>
      </w:r>
      <w:r w:rsidR="0053627A">
        <w:t xml:space="preserve">environmental </w:t>
      </w:r>
      <w:r w:rsidR="00F55B13">
        <w:t xml:space="preserve">pollution </w:t>
      </w:r>
      <w:r w:rsidR="00293FED">
        <w:t xml:space="preserve">has </w:t>
      </w:r>
      <w:r w:rsidR="00F55B13">
        <w:t>bec</w:t>
      </w:r>
      <w:r w:rsidR="00293FED">
        <w:t>o</w:t>
      </w:r>
      <w:r w:rsidR="00F55B13">
        <w:t xml:space="preserve">me a matter of </w:t>
      </w:r>
      <w:r w:rsidR="0021113A">
        <w:t>growing</w:t>
      </w:r>
      <w:r w:rsidR="0053627A">
        <w:t xml:space="preserve"> </w:t>
      </w:r>
      <w:r w:rsidR="00F55B13">
        <w:t>public concern</w:t>
      </w:r>
      <w:r w:rsidR="0053627A">
        <w:t>. As a consequence,</w:t>
      </w:r>
      <w:r w:rsidR="00F55B13">
        <w:t xml:space="preserve"> States </w:t>
      </w:r>
      <w:r w:rsidR="00EA419F">
        <w:t xml:space="preserve">have </w:t>
      </w:r>
      <w:r w:rsidR="00F55B13">
        <w:t>adopted various measures in o</w:t>
      </w:r>
      <w:r w:rsidR="0053627A">
        <w:t xml:space="preserve">rder to reduce </w:t>
      </w:r>
      <w:r w:rsidR="00EA419F">
        <w:t xml:space="preserve">the adverse </w:t>
      </w:r>
      <w:r w:rsidR="0053627A">
        <w:t>effects of industrial activities</w:t>
      </w:r>
      <w:r w:rsidR="00F55B13">
        <w:t xml:space="preserve">. When assessing these measures from the standpoint of Article 1 of Protocol </w:t>
      </w:r>
      <w:r w:rsidR="00EA419F">
        <w:t>N</w:t>
      </w:r>
      <w:r w:rsidR="00F55B13">
        <w:t>o. 1, the Court</w:t>
      </w:r>
      <w:r w:rsidR="00EA419F">
        <w:t xml:space="preserve"> has</w:t>
      </w:r>
      <w:r w:rsidR="00F55B13">
        <w:t xml:space="preserve">, as a </w:t>
      </w:r>
      <w:r w:rsidR="00EA419F">
        <w:t xml:space="preserve">rule, </w:t>
      </w:r>
      <w:r w:rsidR="003A2AE3">
        <w:t xml:space="preserve">accepted that the States have </w:t>
      </w:r>
      <w:r w:rsidR="00492A03">
        <w:t>a wide margin of appreciation in</w:t>
      </w:r>
      <w:r w:rsidR="003A2AE3">
        <w:t xml:space="preserve"> </w:t>
      </w:r>
      <w:r w:rsidR="00492A03">
        <w:t>the</w:t>
      </w:r>
      <w:r w:rsidR="003A2AE3">
        <w:t xml:space="preserve"> sphere</w:t>
      </w:r>
      <w:r w:rsidR="00754695">
        <w:t xml:space="preserve"> of environmental protection</w:t>
      </w:r>
      <w:r w:rsidR="00F55B13">
        <w:t>. Thus, i</w:t>
      </w:r>
      <w:r w:rsidR="00991420">
        <w:t>n</w:t>
      </w:r>
      <w:r w:rsidR="00A93D13">
        <w:t xml:space="preserve"> </w:t>
      </w:r>
      <w:r w:rsidR="00991420">
        <w:t xml:space="preserve">1991 in </w:t>
      </w:r>
      <w:r w:rsidRPr="00330C05" w:rsidR="00991420">
        <w:rPr>
          <w:i/>
        </w:rPr>
        <w:t>Fredin v. Sweden</w:t>
      </w:r>
      <w:r w:rsidR="00991420">
        <w:t xml:space="preserve"> </w:t>
      </w:r>
      <w:r w:rsidR="00C058C2">
        <w:rPr>
          <w:i/>
        </w:rPr>
        <w:t xml:space="preserve">(no. 1) </w:t>
      </w:r>
      <w:r w:rsidR="00DE6DED">
        <w:t>(judgment of</w:t>
      </w:r>
      <w:r w:rsidR="00A93D13">
        <w:t xml:space="preserve"> 18 February 1991, Series A no. </w:t>
      </w:r>
      <w:r w:rsidR="00DE6DED">
        <w:t xml:space="preserve">192, </w:t>
      </w:r>
      <w:r w:rsidR="00C058C2">
        <w:t xml:space="preserve">p. 16, § </w:t>
      </w:r>
      <w:r w:rsidR="00DE6DED">
        <w:t xml:space="preserve">48) </w:t>
      </w:r>
      <w:r w:rsidR="00991420">
        <w:t>the Court recognised that “in today</w:t>
      </w:r>
      <w:r w:rsidR="009952BE">
        <w:t>'</w:t>
      </w:r>
      <w:r w:rsidR="00991420">
        <w:t xml:space="preserve">s society the protection of </w:t>
      </w:r>
      <w:r w:rsidR="00707549">
        <w:t xml:space="preserve">the </w:t>
      </w:r>
      <w:r w:rsidR="00991420">
        <w:t xml:space="preserve">environment is an increasingly important consideration”, and held that the interference with a private property right (revoking </w:t>
      </w:r>
      <w:r w:rsidR="00EA419F">
        <w:t>the applicant</w:t>
      </w:r>
      <w:r w:rsidR="009952BE">
        <w:t>'</w:t>
      </w:r>
      <w:r w:rsidR="00EA419F">
        <w:t xml:space="preserve">s licence to extract gravel from his property on the ground of </w:t>
      </w:r>
      <w:r w:rsidR="00991420">
        <w:t xml:space="preserve">nature conservation) was not inappropriate or disproportionate in the context of Article 1 of Protocol </w:t>
      </w:r>
      <w:r w:rsidR="00EA419F">
        <w:t>N</w:t>
      </w:r>
      <w:r w:rsidR="00991420">
        <w:t>o. 1. Later that year</w:t>
      </w:r>
      <w:r w:rsidR="00707549">
        <w:t>,</w:t>
      </w:r>
      <w:r w:rsidR="00991420">
        <w:t xml:space="preserve"> in </w:t>
      </w:r>
      <w:r w:rsidRPr="00991420" w:rsidR="00991420">
        <w:rPr>
          <w:i/>
        </w:rPr>
        <w:t>Pine Valley Development</w:t>
      </w:r>
      <w:r w:rsidR="00C058C2">
        <w:rPr>
          <w:i/>
        </w:rPr>
        <w:t>s</w:t>
      </w:r>
      <w:r w:rsidRPr="00991420" w:rsidR="00991420">
        <w:rPr>
          <w:i/>
        </w:rPr>
        <w:t xml:space="preserve"> Ltd and Others v. Ireland</w:t>
      </w:r>
      <w:r w:rsidR="00210D32">
        <w:rPr>
          <w:i/>
        </w:rPr>
        <w:t xml:space="preserve"> </w:t>
      </w:r>
      <w:r w:rsidR="00210D32">
        <w:t xml:space="preserve">(judgment of </w:t>
      </w:r>
      <w:smartTag w:uri="urn:schemas-microsoft-com:office:smarttags" w:element="date">
        <w:smartTagPr>
          <w:attr w:name="Month" w:val="11"/>
          <w:attr w:name="Day" w:val="29"/>
          <w:attr w:name="Year" w:val="1991"/>
        </w:smartTagPr>
        <w:r w:rsidR="00210D32">
          <w:t>29 November 1991</w:t>
        </w:r>
      </w:smartTag>
      <w:r w:rsidR="00210D32">
        <w:t>, Series A no.</w:t>
      </w:r>
      <w:r w:rsidR="00C058C2">
        <w:t> </w:t>
      </w:r>
      <w:r w:rsidR="00210D32">
        <w:t>222)</w:t>
      </w:r>
      <w:r w:rsidR="00DE6DED">
        <w:t xml:space="preserve">, </w:t>
      </w:r>
      <w:r w:rsidR="00991420">
        <w:t>th</w:t>
      </w:r>
      <w:r w:rsidR="0053627A">
        <w:t xml:space="preserve">e Court confirmed </w:t>
      </w:r>
      <w:r w:rsidR="00344771">
        <w:t>this</w:t>
      </w:r>
      <w:r w:rsidR="0053627A">
        <w:t xml:space="preserve"> approach.</w:t>
      </w:r>
    </w:p>
    <w:p w:rsidR="001A1CA0" w:rsidP="00252EB8" w:rsidRDefault="00BB5585">
      <w:pPr>
        <w:pStyle w:val="JuParaCharCharCharCharCharChar"/>
      </w:pPr>
      <w:r>
        <w:fldChar w:fldCharType="begin"/>
      </w:r>
      <w:r>
        <w:instrText xml:space="preserve"> SEQ level0 \*arabic </w:instrText>
      </w:r>
      <w:r>
        <w:fldChar w:fldCharType="separate"/>
      </w:r>
      <w:r w:rsidR="008C3401">
        <w:rPr>
          <w:noProof/>
        </w:rPr>
        <w:t>104</w:t>
      </w:r>
      <w:r>
        <w:fldChar w:fldCharType="end"/>
      </w:r>
      <w:r>
        <w:t>.  </w:t>
      </w:r>
      <w:r w:rsidR="0053627A">
        <w:t xml:space="preserve">In </w:t>
      </w:r>
      <w:r w:rsidR="009D1049">
        <w:t>a</w:t>
      </w:r>
      <w:r w:rsidR="00A900F5">
        <w:t>nother</w:t>
      </w:r>
      <w:r w:rsidR="009D1049">
        <w:t xml:space="preserve"> group </w:t>
      </w:r>
      <w:r w:rsidR="003A2AE3">
        <w:t xml:space="preserve">of </w:t>
      </w:r>
      <w:r w:rsidR="0053627A">
        <w:t>cases where the State</w:t>
      </w:r>
      <w:r w:rsidR="009952BE">
        <w:t>'</w:t>
      </w:r>
      <w:r w:rsidR="0053627A">
        <w:t>s</w:t>
      </w:r>
      <w:r w:rsidR="00C51A5D">
        <w:t xml:space="preserve"> </w:t>
      </w:r>
      <w:r w:rsidR="0053627A">
        <w:t>failure to</w:t>
      </w:r>
      <w:r w:rsidR="009D1049">
        <w:t xml:space="preserve"> act was </w:t>
      </w:r>
      <w:r w:rsidR="00C536FC">
        <w:t>in</w:t>
      </w:r>
      <w:r w:rsidR="009D1049">
        <w:t xml:space="preserve"> issue</w:t>
      </w:r>
      <w:r w:rsidR="0053627A">
        <w:t xml:space="preserve">, the Court </w:t>
      </w:r>
      <w:r w:rsidR="00EA419F">
        <w:t xml:space="preserve">has </w:t>
      </w:r>
      <w:r w:rsidR="009D1049">
        <w:t xml:space="preserve">also </w:t>
      </w:r>
      <w:r w:rsidR="0053627A">
        <w:t xml:space="preserve">preferred to refrain from revising </w:t>
      </w:r>
      <w:r w:rsidR="00EA419F">
        <w:t xml:space="preserve">domestic </w:t>
      </w:r>
      <w:r w:rsidR="009D1049">
        <w:t>environmental policies</w:t>
      </w:r>
      <w:r w:rsidR="0053627A">
        <w:t>. I</w:t>
      </w:r>
      <w:r w:rsidR="00991420">
        <w:t>n a recent Grand Chamber judgment</w:t>
      </w:r>
      <w:r w:rsidR="000B0583">
        <w:t>,</w:t>
      </w:r>
      <w:r w:rsidR="00991420">
        <w:t xml:space="preserve"> the Court </w:t>
      </w:r>
      <w:r w:rsidR="001A1CA0">
        <w:t>held that</w:t>
      </w:r>
      <w:r w:rsidR="00991420">
        <w:t xml:space="preserve"> “it would not be appropriate for the Court to adopt a special approach in this respect by reference to a special status of environmental human rights</w:t>
      </w:r>
      <w:r w:rsidR="001A1CA0">
        <w:t xml:space="preserve">” </w:t>
      </w:r>
      <w:r w:rsidR="00991420">
        <w:t>(</w:t>
      </w:r>
      <w:r w:rsidR="000B0583">
        <w:t xml:space="preserve">see </w:t>
      </w:r>
      <w:r w:rsidRPr="00210D32" w:rsidR="00991420">
        <w:rPr>
          <w:i/>
        </w:rPr>
        <w:t>Hatton</w:t>
      </w:r>
      <w:r w:rsidR="000B0583">
        <w:t xml:space="preserve"> </w:t>
      </w:r>
      <w:r w:rsidRPr="000B0583" w:rsidR="000B0583">
        <w:rPr>
          <w:i/>
        </w:rPr>
        <w:t>and Others</w:t>
      </w:r>
      <w:r w:rsidR="00754695">
        <w:t>,</w:t>
      </w:r>
      <w:r w:rsidRPr="00210D32" w:rsidR="00991420">
        <w:t xml:space="preserve"> </w:t>
      </w:r>
      <w:r w:rsidRPr="00210D32" w:rsidR="00210D32">
        <w:t xml:space="preserve">cited above, </w:t>
      </w:r>
      <w:r w:rsidR="00A93D13">
        <w:t xml:space="preserve">§ </w:t>
      </w:r>
      <w:r w:rsidRPr="00210D32" w:rsidR="00991420">
        <w:t>122</w:t>
      </w:r>
      <w:r w:rsidR="00991420">
        <w:t xml:space="preserve">). </w:t>
      </w:r>
      <w:r w:rsidR="001A1CA0">
        <w:t xml:space="preserve">In an earlier case the Court held that “it is certainly not </w:t>
      </w:r>
      <w:r w:rsidRPr="00210D32" w:rsidR="00EA419F">
        <w:t xml:space="preserve">for </w:t>
      </w:r>
      <w:r w:rsidR="00772DF2">
        <w:t>...</w:t>
      </w:r>
      <w:r w:rsidR="001A1CA0">
        <w:t xml:space="preserve"> </w:t>
      </w:r>
      <w:r w:rsidRPr="00210D32" w:rsidR="00210D32">
        <w:t>the</w:t>
      </w:r>
      <w:r w:rsidR="00210D32">
        <w:t xml:space="preserve"> </w:t>
      </w:r>
      <w:r w:rsidR="001A1CA0">
        <w:t>Court to substitute for the national authorities any other assessment of what might be best policy in this difficult technical and social sphere. This is an area where the Contracting Parties are to be recognised as enjoying a wide margin of appreciation” (</w:t>
      </w:r>
      <w:r w:rsidR="000B0583">
        <w:t xml:space="preserve">see </w:t>
      </w:r>
      <w:r w:rsidRPr="0053627A" w:rsidR="001A1CA0">
        <w:rPr>
          <w:i/>
        </w:rPr>
        <w:t>Powell and Rayner</w:t>
      </w:r>
      <w:r w:rsidR="001A1CA0">
        <w:t xml:space="preserve">, </w:t>
      </w:r>
      <w:r w:rsidR="00DE6DED">
        <w:t xml:space="preserve">cited above, </w:t>
      </w:r>
      <w:r w:rsidR="001A1CA0">
        <w:t xml:space="preserve">p. </w:t>
      </w:r>
      <w:r w:rsidR="00FB24F3">
        <w:t>1</w:t>
      </w:r>
      <w:r w:rsidR="001A1CA0">
        <w:t>9</w:t>
      </w:r>
      <w:r w:rsidR="00003634">
        <w:t>,</w:t>
      </w:r>
      <w:r w:rsidR="001A1CA0">
        <w:t xml:space="preserve"> §</w:t>
      </w:r>
      <w:r w:rsidR="00F8213D">
        <w:t xml:space="preserve"> </w:t>
      </w:r>
      <w:r w:rsidR="001A1CA0">
        <w:t>44).</w:t>
      </w:r>
    </w:p>
    <w:p w:rsidRPr="00AC5A48" w:rsidR="00772DF2" w:rsidP="00252EB8" w:rsidRDefault="00BB5585">
      <w:pPr>
        <w:pStyle w:val="JuPara"/>
        <w:rPr>
          <w:szCs w:val="24"/>
          <w:lang w:eastAsia="en-US"/>
        </w:rPr>
      </w:pPr>
      <w:r>
        <w:rPr>
          <w:rStyle w:val="JuParaChar1"/>
        </w:rPr>
        <w:fldChar w:fldCharType="begin"/>
      </w:r>
      <w:r>
        <w:rPr>
          <w:rStyle w:val="JuParaChar1"/>
        </w:rPr>
        <w:instrText xml:space="preserve"> SEQ level0 \*arabic </w:instrText>
      </w:r>
      <w:r>
        <w:rPr>
          <w:rStyle w:val="JuParaChar1"/>
        </w:rPr>
        <w:fldChar w:fldCharType="separate"/>
      </w:r>
      <w:r w:rsidR="008C3401">
        <w:rPr>
          <w:rStyle w:val="JuParaChar1"/>
          <w:noProof/>
        </w:rPr>
        <w:t>105</w:t>
      </w:r>
      <w:r>
        <w:rPr>
          <w:rStyle w:val="JuParaChar1"/>
        </w:rPr>
        <w:fldChar w:fldCharType="end"/>
      </w:r>
      <w:r>
        <w:rPr>
          <w:rStyle w:val="JuParaChar1"/>
        </w:rPr>
        <w:t>.  </w:t>
      </w:r>
      <w:r w:rsidRPr="0021113A" w:rsidR="0021113A">
        <w:rPr>
          <w:rStyle w:val="JuParaChar1"/>
        </w:rPr>
        <w:t>It remains open to the Court to conclude that there has been a manifest error of appreciation by the national authorities</w:t>
      </w:r>
      <w:r w:rsidR="0021113A">
        <w:rPr>
          <w:rStyle w:val="JuParaChar1"/>
        </w:rPr>
        <w:t xml:space="preserve"> in striking</w:t>
      </w:r>
      <w:r w:rsidR="00EA419F">
        <w:rPr>
          <w:rStyle w:val="JuParaChar1"/>
        </w:rPr>
        <w:t xml:space="preserve"> a</w:t>
      </w:r>
      <w:r w:rsidR="0021113A">
        <w:rPr>
          <w:rStyle w:val="JuParaChar1"/>
        </w:rPr>
        <w:t xml:space="preserve"> fair balance between the competing interests of </w:t>
      </w:r>
      <w:r w:rsidR="00C51A5D">
        <w:rPr>
          <w:rStyle w:val="JuParaChar1"/>
        </w:rPr>
        <w:t xml:space="preserve">different </w:t>
      </w:r>
      <w:r w:rsidR="0021113A">
        <w:rPr>
          <w:rStyle w:val="JuParaChar1"/>
        </w:rPr>
        <w:t>private actors in this sphere</w:t>
      </w:r>
      <w:r w:rsidRPr="0021113A" w:rsidR="0021113A">
        <w:rPr>
          <w:rStyle w:val="JuParaChar1"/>
        </w:rPr>
        <w:t>. However, the complexity of the issues involved with regard to environmental protection renders the Court</w:t>
      </w:r>
      <w:r w:rsidR="009952BE">
        <w:rPr>
          <w:rStyle w:val="JuParaChar1"/>
        </w:rPr>
        <w:t>'</w:t>
      </w:r>
      <w:r w:rsidRPr="0021113A" w:rsidR="0021113A">
        <w:rPr>
          <w:rStyle w:val="JuParaChar1"/>
        </w:rPr>
        <w:t xml:space="preserve">s role </w:t>
      </w:r>
      <w:r w:rsidR="00707549">
        <w:rPr>
          <w:rStyle w:val="JuParaChar1"/>
        </w:rPr>
        <w:t>primarily</w:t>
      </w:r>
      <w:r w:rsidRPr="0021113A" w:rsidR="00707549">
        <w:rPr>
          <w:rStyle w:val="JuParaChar1"/>
        </w:rPr>
        <w:t xml:space="preserve"> </w:t>
      </w:r>
      <w:r w:rsidRPr="0021113A" w:rsidR="0021113A">
        <w:rPr>
          <w:rStyle w:val="JuParaChar1"/>
        </w:rPr>
        <w:t xml:space="preserve">a </w:t>
      </w:r>
      <w:r w:rsidR="00353FD7">
        <w:rPr>
          <w:rStyle w:val="JuParaChar1"/>
        </w:rPr>
        <w:t>subsidiary</w:t>
      </w:r>
      <w:r w:rsidRPr="0021113A" w:rsidR="0021113A">
        <w:rPr>
          <w:rStyle w:val="JuParaChar1"/>
        </w:rPr>
        <w:t xml:space="preserve"> one.</w:t>
      </w:r>
      <w:r w:rsidR="009D1049">
        <w:rPr>
          <w:rStyle w:val="JuParaChar1"/>
        </w:rPr>
        <w:t xml:space="preserve"> </w:t>
      </w:r>
      <w:r w:rsidR="00C51A5D">
        <w:rPr>
          <w:rStyle w:val="JuParaChar1"/>
        </w:rPr>
        <w:t xml:space="preserve">The Court </w:t>
      </w:r>
      <w:r w:rsidR="00EA419F">
        <w:rPr>
          <w:rStyle w:val="JuParaChar1"/>
        </w:rPr>
        <w:t xml:space="preserve">must </w:t>
      </w:r>
      <w:r w:rsidR="00C51A5D">
        <w:rPr>
          <w:rStyle w:val="JuParaChar1"/>
        </w:rPr>
        <w:t xml:space="preserve">first examine </w:t>
      </w:r>
      <w:r w:rsidRPr="0021113A" w:rsidR="0021113A">
        <w:rPr>
          <w:rStyle w:val="JuParaChar1"/>
        </w:rPr>
        <w:t xml:space="preserve">whether the decision-making process was fair and such as to afford due respect to the interests safeguarded to the individual by Article 8 (see </w:t>
      </w:r>
      <w:r w:rsidR="00A93D13">
        <w:rPr>
          <w:rStyle w:val="JuParaChar1"/>
          <w:i/>
        </w:rPr>
        <w:t xml:space="preserve">Buckley v. </w:t>
      </w:r>
      <w:r w:rsidRPr="009D1049" w:rsidR="0021113A">
        <w:rPr>
          <w:rStyle w:val="JuParaChar1"/>
          <w:i/>
        </w:rPr>
        <w:t>the United Kingdom</w:t>
      </w:r>
      <w:r w:rsidRPr="0021113A" w:rsidR="0021113A">
        <w:rPr>
          <w:rStyle w:val="JuParaChar1"/>
        </w:rPr>
        <w:t xml:space="preserve">, judgment of 25 September 1996, </w:t>
      </w:r>
      <w:r w:rsidRPr="000B0583" w:rsidR="0021113A">
        <w:rPr>
          <w:rStyle w:val="JuParaChar1"/>
          <w:i/>
        </w:rPr>
        <w:t>Reports</w:t>
      </w:r>
      <w:r w:rsidR="000B0583">
        <w:rPr>
          <w:rStyle w:val="JuParaChar1"/>
          <w:i/>
        </w:rPr>
        <w:t xml:space="preserve"> </w:t>
      </w:r>
      <w:r w:rsidR="009A3089">
        <w:t>1996-</w:t>
      </w:r>
      <w:r w:rsidR="009D1049">
        <w:t>IV, p</w:t>
      </w:r>
      <w:r w:rsidR="00EE4845">
        <w:t>p</w:t>
      </w:r>
      <w:r w:rsidR="00A93D13">
        <w:t xml:space="preserve">. </w:t>
      </w:r>
      <w:r w:rsidR="009D1049">
        <w:t>1292-</w:t>
      </w:r>
      <w:r w:rsidR="009A3089">
        <w:t>9</w:t>
      </w:r>
      <w:r w:rsidR="009D1049">
        <w:t xml:space="preserve">3, </w:t>
      </w:r>
      <w:r w:rsidR="00EE4845">
        <w:t>§</w:t>
      </w:r>
      <w:r w:rsidR="00A93D13">
        <w:t xml:space="preserve">§ </w:t>
      </w:r>
      <w:r w:rsidR="009D1049">
        <w:t>76-77)</w:t>
      </w:r>
      <w:r w:rsidR="003A2AE3">
        <w:t xml:space="preserve">, and only in exceptional circumstances </w:t>
      </w:r>
      <w:r w:rsidR="00EA419F">
        <w:t xml:space="preserve">may it </w:t>
      </w:r>
      <w:r w:rsidR="003A2AE3">
        <w:t>go beyond this line and revise the material conclusions of the domestic authorities</w:t>
      </w:r>
      <w:r w:rsidR="0077415A">
        <w:t xml:space="preserve"> (see</w:t>
      </w:r>
      <w:r w:rsidRPr="00AC5A48" w:rsidR="00AC5A48">
        <w:rPr>
          <w:i/>
          <w:szCs w:val="24"/>
          <w:lang w:eastAsia="en-US"/>
        </w:rPr>
        <w:t xml:space="preserve"> Taşkın and Others v. </w:t>
      </w:r>
      <w:smartTag w:uri="urn:schemas-microsoft-com:office:smarttags" w:element="country-region">
        <w:smartTag w:uri="urn:schemas-microsoft-com:office:smarttags" w:element="place">
          <w:r w:rsidR="00AC5A48" w:rsidRPr="00AC5A48">
            <w:rPr>
              <w:i/>
              <w:szCs w:val="24"/>
              <w:lang w:eastAsia="en-US"/>
            </w:rPr>
            <w:t>Turkey</w:t>
          </w:r>
        </w:smartTag>
      </w:smartTag>
      <w:r w:rsidRPr="00AC5A48" w:rsidR="00AC5A48">
        <w:rPr>
          <w:szCs w:val="24"/>
          <w:lang w:eastAsia="en-US"/>
        </w:rPr>
        <w:t xml:space="preserve">, no. 46117/99, § </w:t>
      </w:r>
      <w:r w:rsidR="00AC5A48">
        <w:rPr>
          <w:szCs w:val="24"/>
          <w:lang w:eastAsia="en-US"/>
        </w:rPr>
        <w:t>117</w:t>
      </w:r>
      <w:r w:rsidRPr="00AC5A48" w:rsidR="00AC5A48">
        <w:rPr>
          <w:szCs w:val="24"/>
          <w:lang w:eastAsia="en-US"/>
        </w:rPr>
        <w:t xml:space="preserve">, </w:t>
      </w:r>
      <w:r w:rsidR="00FB24F3">
        <w:rPr>
          <w:szCs w:val="24"/>
          <w:lang w:eastAsia="en-US"/>
        </w:rPr>
        <w:t>ECHR 2004-X</w:t>
      </w:r>
      <w:r w:rsidR="00AC5A48">
        <w:rPr>
          <w:szCs w:val="24"/>
          <w:lang w:eastAsia="en-US"/>
        </w:rPr>
        <w:t>).</w:t>
      </w:r>
    </w:p>
    <w:p w:rsidR="00A7295D" w:rsidP="00252EB8" w:rsidRDefault="00A7295D">
      <w:pPr>
        <w:pStyle w:val="JuHa0"/>
      </w:pPr>
      <w:r>
        <w:t>(b)</w:t>
      </w:r>
      <w:r w:rsidR="00F8213D">
        <w:t>  </w:t>
      </w:r>
      <w:r w:rsidR="00EA419F">
        <w:t>The a</w:t>
      </w:r>
      <w:r w:rsidR="00C51A5D">
        <w:t>pplican</w:t>
      </w:r>
      <w:r w:rsidR="00B1230B">
        <w:t>t</w:t>
      </w:r>
      <w:r w:rsidR="009952BE">
        <w:t>'</w:t>
      </w:r>
      <w:r w:rsidR="00B1230B">
        <w:t xml:space="preserve">s </w:t>
      </w:r>
      <w:r w:rsidR="00C536FC">
        <w:t>submissions</w:t>
      </w:r>
    </w:p>
    <w:p w:rsidR="00772DF2" w:rsidP="00252EB8" w:rsidRDefault="00BB5585">
      <w:pPr>
        <w:pStyle w:val="JuParaCharCharCharCharCharChar"/>
      </w:pPr>
      <w:r>
        <w:fldChar w:fldCharType="begin"/>
      </w:r>
      <w:r>
        <w:instrText xml:space="preserve"> SEQ level0 \*arabic </w:instrText>
      </w:r>
      <w:r>
        <w:fldChar w:fldCharType="separate"/>
      </w:r>
      <w:r w:rsidR="008C3401">
        <w:rPr>
          <w:noProof/>
        </w:rPr>
        <w:t>106</w:t>
      </w:r>
      <w:r>
        <w:fldChar w:fldCharType="end"/>
      </w:r>
      <w:r>
        <w:t>.  </w:t>
      </w:r>
      <w:r w:rsidR="00A7295D">
        <w:t xml:space="preserve">The applicant first submitted that Russian legislation required her resettlement outside </w:t>
      </w:r>
      <w:r w:rsidR="00EA419F">
        <w:t>Severstal</w:t>
      </w:r>
      <w:r w:rsidR="009952BE">
        <w:t>'</w:t>
      </w:r>
      <w:r w:rsidR="00707549">
        <w:t>s</w:t>
      </w:r>
      <w:r w:rsidR="00EA419F">
        <w:t xml:space="preserve"> </w:t>
      </w:r>
      <w:r w:rsidR="00A7295D">
        <w:t xml:space="preserve">sanitary security zone. In her view, the </w:t>
      </w:r>
      <w:r w:rsidR="00DE6DED">
        <w:t xml:space="preserve">1974 </w:t>
      </w:r>
      <w:r w:rsidR="000B0583">
        <w:t>d</w:t>
      </w:r>
      <w:r w:rsidR="00A7295D">
        <w:t>ecree (</w:t>
      </w:r>
      <w:r w:rsidRPr="003C3EFD" w:rsidR="00A7295D">
        <w:t xml:space="preserve">see </w:t>
      </w:r>
      <w:r w:rsidR="000B0583">
        <w:t xml:space="preserve">paragraph </w:t>
      </w:r>
      <w:r w:rsidR="00B626A9">
        <w:t>1</w:t>
      </w:r>
      <w:r w:rsidR="004326EE">
        <w:t>1</w:t>
      </w:r>
      <w:r w:rsidR="000B0583">
        <w:t xml:space="preserve"> above</w:t>
      </w:r>
      <w:r w:rsidRPr="003C3EFD" w:rsidR="00A7295D">
        <w:t>)</w:t>
      </w:r>
      <w:r w:rsidR="00A7295D">
        <w:t xml:space="preserve"> imposed an obligation </w:t>
      </w:r>
      <w:r w:rsidR="00EA419F">
        <w:t xml:space="preserve">on the State to </w:t>
      </w:r>
      <w:r w:rsidR="00A7295D">
        <w:t>resettle</w:t>
      </w:r>
      <w:r w:rsidR="00EA419F">
        <w:t xml:space="preserve"> her </w:t>
      </w:r>
      <w:r w:rsidR="00A7295D">
        <w:t xml:space="preserve">outside the sanitary security zone. Further, resettlement of the residents of the sanitary security zone was required by the </w:t>
      </w:r>
      <w:r w:rsidR="000B0583">
        <w:t>1996 f</w:t>
      </w:r>
      <w:r w:rsidR="00A7295D">
        <w:t xml:space="preserve">ederal </w:t>
      </w:r>
      <w:r w:rsidR="000B0583">
        <w:t>p</w:t>
      </w:r>
      <w:r w:rsidR="00A7295D">
        <w:t xml:space="preserve">rogramme (see </w:t>
      </w:r>
      <w:r w:rsidR="000B0583">
        <w:t>paragraph</w:t>
      </w:r>
      <w:r w:rsidR="00A93D13">
        <w:t xml:space="preserve"> </w:t>
      </w:r>
      <w:r w:rsidR="004326EE">
        <w:t>15</w:t>
      </w:r>
      <w:r w:rsidR="000B0583">
        <w:t xml:space="preserve"> above</w:t>
      </w:r>
      <w:r w:rsidR="00A7295D">
        <w:t xml:space="preserve">). The legislation, as interpreted by the Supreme Court in </w:t>
      </w:r>
      <w:r w:rsidRPr="00447670" w:rsidR="00A7295D">
        <w:rPr>
          <w:i/>
        </w:rPr>
        <w:t>Ivash</w:t>
      </w:r>
      <w:r w:rsidR="00A70877">
        <w:rPr>
          <w:i/>
        </w:rPr>
        <w:t>ch</w:t>
      </w:r>
      <w:r w:rsidRPr="00447670" w:rsidR="00A7295D">
        <w:rPr>
          <w:i/>
        </w:rPr>
        <w:t xml:space="preserve">enko </w:t>
      </w:r>
      <w:r w:rsidR="000B0583">
        <w:t xml:space="preserve">(see paragraph </w:t>
      </w:r>
      <w:r w:rsidR="004326EE">
        <w:t>57</w:t>
      </w:r>
      <w:r w:rsidR="000B0583">
        <w:t xml:space="preserve"> above</w:t>
      </w:r>
      <w:r w:rsidR="00A7295D">
        <w:t>), provide</w:t>
      </w:r>
      <w:r w:rsidR="00C536FC">
        <w:t>d</w:t>
      </w:r>
      <w:r w:rsidR="00A7295D">
        <w:t xml:space="preserve"> for </w:t>
      </w:r>
      <w:r w:rsidR="00447670">
        <w:t>the applicant</w:t>
      </w:r>
      <w:r w:rsidR="009952BE">
        <w:t>'</w:t>
      </w:r>
      <w:r w:rsidR="00447670">
        <w:t xml:space="preserve">s </w:t>
      </w:r>
      <w:r w:rsidR="00A7295D">
        <w:t xml:space="preserve">immediate resettlement, not </w:t>
      </w:r>
      <w:r w:rsidR="00707549">
        <w:t xml:space="preserve">for her </w:t>
      </w:r>
      <w:r w:rsidR="00A7295D">
        <w:t>p</w:t>
      </w:r>
      <w:r w:rsidR="00447670">
        <w:t>lac</w:t>
      </w:r>
      <w:r w:rsidR="00707549">
        <w:t xml:space="preserve">ement </w:t>
      </w:r>
      <w:r w:rsidR="00A7295D">
        <w:t xml:space="preserve">on </w:t>
      </w:r>
      <w:r w:rsidR="00344771">
        <w:t>a</w:t>
      </w:r>
      <w:r w:rsidR="00A7295D">
        <w:t xml:space="preserve"> waiting list. The </w:t>
      </w:r>
      <w:r w:rsidR="00447670">
        <w:t xml:space="preserve">single criterion </w:t>
      </w:r>
      <w:r w:rsidR="00A7295D">
        <w:t>for resettlement ha</w:t>
      </w:r>
      <w:r w:rsidR="00C536FC">
        <w:t>d</w:t>
      </w:r>
      <w:r w:rsidR="00A7295D">
        <w:t xml:space="preserve"> always been residence within the sanitary security zone. However, the authorities </w:t>
      </w:r>
      <w:r w:rsidR="00C536FC">
        <w:t xml:space="preserve">had </w:t>
      </w:r>
      <w:r w:rsidR="00A7295D">
        <w:t xml:space="preserve">failed to comply with </w:t>
      </w:r>
      <w:r w:rsidR="00447670">
        <w:t xml:space="preserve">the </w:t>
      </w:r>
      <w:r w:rsidR="00A7295D">
        <w:t>legal obligation to rehouse the applicant and this obligation ha</w:t>
      </w:r>
      <w:r w:rsidR="00C536FC">
        <w:t>d</w:t>
      </w:r>
      <w:r w:rsidR="00A7295D">
        <w:t xml:space="preserve"> not been enforced by the courts.</w:t>
      </w:r>
    </w:p>
    <w:p w:rsidR="00A7295D" w:rsidP="00252EB8" w:rsidRDefault="00BB5585">
      <w:pPr>
        <w:pStyle w:val="JuParaCharCharCharCharCharChar"/>
      </w:pPr>
      <w:r>
        <w:fldChar w:fldCharType="begin"/>
      </w:r>
      <w:r>
        <w:instrText xml:space="preserve"> SEQ level0 \*arabic </w:instrText>
      </w:r>
      <w:r>
        <w:fldChar w:fldCharType="separate"/>
      </w:r>
      <w:r w:rsidR="008C3401">
        <w:rPr>
          <w:noProof/>
        </w:rPr>
        <w:t>107</w:t>
      </w:r>
      <w:r>
        <w:fldChar w:fldCharType="end"/>
      </w:r>
      <w:r>
        <w:t>.  </w:t>
      </w:r>
      <w:r w:rsidR="00447670">
        <w:t>I</w:t>
      </w:r>
      <w:r w:rsidR="00A7295D">
        <w:t>n their submissions</w:t>
      </w:r>
      <w:r w:rsidR="00447670">
        <w:t>,</w:t>
      </w:r>
      <w:r w:rsidR="00A7295D">
        <w:t xml:space="preserve"> </w:t>
      </w:r>
      <w:r w:rsidR="00707549">
        <w:t>t</w:t>
      </w:r>
      <w:r w:rsidR="00447670">
        <w:t xml:space="preserve">he Government </w:t>
      </w:r>
      <w:r w:rsidR="000B0583">
        <w:t xml:space="preserve">referred </w:t>
      </w:r>
      <w:r w:rsidR="00A93D13">
        <w:t xml:space="preserve">to Article </w:t>
      </w:r>
      <w:r w:rsidR="000B0583">
        <w:t xml:space="preserve">10 § </w:t>
      </w:r>
      <w:r w:rsidR="00A7295D">
        <w:t xml:space="preserve">5 of the </w:t>
      </w:r>
      <w:r w:rsidRPr="00E67C85" w:rsidR="00A7295D">
        <w:t>Town</w:t>
      </w:r>
      <w:r w:rsidR="00A7295D">
        <w:t xml:space="preserve"> Planning Code to justify the applicant</w:t>
      </w:r>
      <w:r w:rsidR="009952BE">
        <w:t>'</w:t>
      </w:r>
      <w:r w:rsidR="00A7295D">
        <w:t>s continu</w:t>
      </w:r>
      <w:r w:rsidR="00447670">
        <w:t xml:space="preserve">ed residence </w:t>
      </w:r>
      <w:r w:rsidR="00A7295D">
        <w:t>within the sanitary security zone</w:t>
      </w:r>
      <w:r w:rsidR="000B0583">
        <w:t xml:space="preserve"> (see paragraph </w:t>
      </w:r>
      <w:r w:rsidR="00C52193">
        <w:t>55</w:t>
      </w:r>
      <w:r w:rsidR="000B0583">
        <w:t xml:space="preserve"> above</w:t>
      </w:r>
      <w:r w:rsidR="00EB2C02">
        <w:t>)</w:t>
      </w:r>
      <w:r w:rsidR="00A7295D">
        <w:t>. However, in the applicant</w:t>
      </w:r>
      <w:r w:rsidR="009952BE">
        <w:t>'</w:t>
      </w:r>
      <w:r w:rsidR="00A7295D">
        <w:t>s view, this provision only applie</w:t>
      </w:r>
      <w:r w:rsidR="00C536FC">
        <w:t>d</w:t>
      </w:r>
      <w:r w:rsidR="00A7295D">
        <w:t xml:space="preserve"> to temporary housing, and not to </w:t>
      </w:r>
      <w:r w:rsidR="00C536FC">
        <w:t>densely populated</w:t>
      </w:r>
      <w:r w:rsidR="00A7295D">
        <w:t xml:space="preserve"> residential areas and </w:t>
      </w:r>
      <w:r w:rsidR="00C536FC">
        <w:t>buildings</w:t>
      </w:r>
      <w:r w:rsidR="00A7295D">
        <w:t>, in one of which the applica</w:t>
      </w:r>
      <w:r w:rsidR="00A93D13">
        <w:t>nt live</w:t>
      </w:r>
      <w:r w:rsidR="00C536FC">
        <w:t>d</w:t>
      </w:r>
      <w:r w:rsidR="00A93D13">
        <w:t xml:space="preserve">. Consequently, Article 10 § </w:t>
      </w:r>
      <w:r w:rsidR="00A7295D">
        <w:t xml:space="preserve">5 of the </w:t>
      </w:r>
      <w:r w:rsidR="00447670">
        <w:t>Town P</w:t>
      </w:r>
      <w:r w:rsidR="00A7295D">
        <w:t xml:space="preserve">lanning </w:t>
      </w:r>
      <w:r w:rsidR="00447670">
        <w:t>C</w:t>
      </w:r>
      <w:r w:rsidR="00A7295D">
        <w:t xml:space="preserve">ode, referred to by the Government, </w:t>
      </w:r>
      <w:r w:rsidR="00C536FC">
        <w:t>was</w:t>
      </w:r>
      <w:r w:rsidR="00A7295D">
        <w:t xml:space="preserve"> </w:t>
      </w:r>
      <w:r w:rsidR="00F3789E">
        <w:t xml:space="preserve">not </w:t>
      </w:r>
      <w:r w:rsidR="00A7295D">
        <w:t>applicable to the applicant</w:t>
      </w:r>
      <w:r w:rsidR="009952BE">
        <w:t>'</w:t>
      </w:r>
      <w:r w:rsidR="00A7295D">
        <w:t>s situation.</w:t>
      </w:r>
    </w:p>
    <w:p w:rsidR="00A7295D" w:rsidP="00252EB8" w:rsidRDefault="00BB5585">
      <w:pPr>
        <w:pStyle w:val="JuParaCharCharCharCharCharChar"/>
      </w:pPr>
      <w:r>
        <w:fldChar w:fldCharType="begin"/>
      </w:r>
      <w:r>
        <w:instrText xml:space="preserve"> SEQ level0 \*arabic </w:instrText>
      </w:r>
      <w:r>
        <w:fldChar w:fldCharType="separate"/>
      </w:r>
      <w:r w:rsidR="008C3401">
        <w:rPr>
          <w:noProof/>
        </w:rPr>
        <w:t>108</w:t>
      </w:r>
      <w:r>
        <w:fldChar w:fldCharType="end"/>
      </w:r>
      <w:r>
        <w:t>.  </w:t>
      </w:r>
      <w:r w:rsidR="00A7295D">
        <w:t>The applicant further alleged that the authorities had failed to take adequate measures to secure her rights under Article 8 of the Convention. First</w:t>
      </w:r>
      <w:r w:rsidR="000B0583">
        <w:t>ly</w:t>
      </w:r>
      <w:r w:rsidR="00A7295D">
        <w:t>, the</w:t>
      </w:r>
      <w:r w:rsidRPr="00733CE0" w:rsidR="00A7295D">
        <w:t xml:space="preserve"> Government ha</w:t>
      </w:r>
      <w:r w:rsidR="00C536FC">
        <w:t>d</w:t>
      </w:r>
      <w:r w:rsidRPr="00733CE0" w:rsidR="00A7295D">
        <w:t xml:space="preserve"> not sought to</w:t>
      </w:r>
      <w:r w:rsidR="00A7295D">
        <w:t xml:space="preserve"> </w:t>
      </w:r>
      <w:r w:rsidRPr="00733CE0" w:rsidR="00A7295D">
        <w:t xml:space="preserve">justify the interference with </w:t>
      </w:r>
      <w:r w:rsidR="00447670">
        <w:t>her</w:t>
      </w:r>
      <w:r w:rsidRPr="00733CE0" w:rsidR="00A7295D">
        <w:t xml:space="preserve"> Art</w:t>
      </w:r>
      <w:r w:rsidR="00A7295D">
        <w:t>icle</w:t>
      </w:r>
      <w:r w:rsidRPr="00733CE0" w:rsidR="00A7295D">
        <w:t xml:space="preserve"> 8 rights with </w:t>
      </w:r>
      <w:r w:rsidR="00A7295D">
        <w:t>any valid reason. Second</w:t>
      </w:r>
      <w:r w:rsidR="000B0583">
        <w:t>ly</w:t>
      </w:r>
      <w:r w:rsidR="00A7295D">
        <w:t xml:space="preserve">, they </w:t>
      </w:r>
      <w:r w:rsidR="00C536FC">
        <w:t xml:space="preserve">had </w:t>
      </w:r>
      <w:r w:rsidR="00A7295D">
        <w:t>failed to implement effective measures in order to prevent or minimise environmental pollution.</w:t>
      </w:r>
      <w:r w:rsidRPr="008E3FD9" w:rsidR="00A7295D">
        <w:t xml:space="preserve"> </w:t>
      </w:r>
      <w:r w:rsidR="00A7295D">
        <w:t>In spite of compelling evidence of unacceptable levels of pollution from the Severstal plant, in breach of the domestic limits, the Government ha</w:t>
      </w:r>
      <w:r w:rsidR="00C536FC">
        <w:t>d</w:t>
      </w:r>
      <w:r w:rsidR="00A7295D">
        <w:t xml:space="preserve"> merely asserted that “no question </w:t>
      </w:r>
      <w:r w:rsidR="00447670">
        <w:t xml:space="preserve">arose </w:t>
      </w:r>
      <w:r w:rsidR="00A7295D">
        <w:t xml:space="preserve">of limitation, suspension, or discontinuation of its activity in connection with </w:t>
      </w:r>
      <w:r w:rsidR="00707549">
        <w:t xml:space="preserve">environmental </w:t>
      </w:r>
      <w:r w:rsidR="00A7295D">
        <w:t>pollution”.</w:t>
      </w:r>
    </w:p>
    <w:p w:rsidR="00A7295D" w:rsidP="00252EB8" w:rsidRDefault="00B1230B">
      <w:pPr>
        <w:pStyle w:val="JuHa0"/>
      </w:pPr>
      <w:r>
        <w:t>(</w:t>
      </w:r>
      <w:r w:rsidR="006445E5">
        <w:t>c</w:t>
      </w:r>
      <w:r>
        <w:t>)</w:t>
      </w:r>
      <w:r w:rsidR="00F8213D">
        <w:t>  </w:t>
      </w:r>
      <w:r w:rsidR="00447670">
        <w:t xml:space="preserve">The </w:t>
      </w:r>
      <w:r w:rsidR="00A7295D">
        <w:t>Government</w:t>
      </w:r>
      <w:r w:rsidR="009952BE">
        <w:t>'</w:t>
      </w:r>
      <w:r w:rsidR="00A7295D">
        <w:t xml:space="preserve">s </w:t>
      </w:r>
      <w:r w:rsidR="00C536FC">
        <w:t>submissions</w:t>
      </w:r>
    </w:p>
    <w:p w:rsidR="00A7295D" w:rsidP="00F71765" w:rsidRDefault="00BB5585">
      <w:pPr>
        <w:pStyle w:val="JuPara"/>
      </w:pPr>
      <w:r>
        <w:fldChar w:fldCharType="begin"/>
      </w:r>
      <w:r>
        <w:instrText xml:space="preserve"> SEQ level0 \*arabic </w:instrText>
      </w:r>
      <w:r>
        <w:fldChar w:fldCharType="separate"/>
      </w:r>
      <w:r w:rsidR="008C3401">
        <w:rPr>
          <w:noProof/>
        </w:rPr>
        <w:t>109</w:t>
      </w:r>
      <w:r>
        <w:fldChar w:fldCharType="end"/>
      </w:r>
      <w:r>
        <w:t>.  </w:t>
      </w:r>
      <w:r w:rsidRPr="00DE7FCC" w:rsidR="00A7295D">
        <w:t>The Government contended that the applicant</w:t>
      </w:r>
      <w:r w:rsidR="009952BE">
        <w:t>'</w:t>
      </w:r>
      <w:r w:rsidRPr="00DE7FCC" w:rsidR="00A7295D">
        <w:t xml:space="preserve">s complaint was ill-founded and that no violation of Article 8 of the Convention </w:t>
      </w:r>
      <w:r w:rsidR="00A7295D">
        <w:t>had occurred in this case</w:t>
      </w:r>
      <w:r w:rsidRPr="00DE7FCC" w:rsidR="00A7295D">
        <w:t>. The Government</w:t>
      </w:r>
      <w:r w:rsidR="009952BE">
        <w:t>'</w:t>
      </w:r>
      <w:r w:rsidRPr="00DE7FCC" w:rsidR="00A7295D">
        <w:t>s arguments may be summari</w:t>
      </w:r>
      <w:r w:rsidR="00447670">
        <w:t>s</w:t>
      </w:r>
      <w:r w:rsidRPr="00DE7FCC" w:rsidR="00A7295D">
        <w:t>ed as follows.</w:t>
      </w:r>
    </w:p>
    <w:p w:rsidR="00772DF2" w:rsidP="00F71765" w:rsidRDefault="00BB5585">
      <w:pPr>
        <w:pStyle w:val="JuPara"/>
      </w:pPr>
      <w:r>
        <w:fldChar w:fldCharType="begin"/>
      </w:r>
      <w:r>
        <w:instrText xml:space="preserve"> SEQ level0 \*arabic </w:instrText>
      </w:r>
      <w:r>
        <w:fldChar w:fldCharType="separate"/>
      </w:r>
      <w:r w:rsidR="008C3401">
        <w:rPr>
          <w:noProof/>
        </w:rPr>
        <w:t>110</w:t>
      </w:r>
      <w:r>
        <w:fldChar w:fldCharType="end"/>
      </w:r>
      <w:r>
        <w:t>.  </w:t>
      </w:r>
      <w:r w:rsidR="00A7295D">
        <w:t xml:space="preserve">In their initial observations </w:t>
      </w:r>
      <w:r w:rsidR="00D87C4F">
        <w:t>to the Court</w:t>
      </w:r>
      <w:r w:rsidR="000B0583">
        <w:t>,</w:t>
      </w:r>
      <w:r w:rsidR="00D87C4F">
        <w:t xml:space="preserve"> </w:t>
      </w:r>
      <w:r w:rsidR="00A7295D">
        <w:t xml:space="preserve">the Government </w:t>
      </w:r>
      <w:r w:rsidR="00D87C4F">
        <w:t>accepted the fact that the applicant</w:t>
      </w:r>
      <w:r w:rsidR="009952BE">
        <w:t>'</w:t>
      </w:r>
      <w:r w:rsidR="00D87C4F">
        <w:t>s ho</w:t>
      </w:r>
      <w:r w:rsidR="00C536FC">
        <w:t>me was</w:t>
      </w:r>
      <w:r w:rsidR="00D87C4F">
        <w:t xml:space="preserve"> located within </w:t>
      </w:r>
      <w:r w:rsidR="00447670">
        <w:t>Severstal</w:t>
      </w:r>
      <w:r w:rsidR="009952BE">
        <w:t>'</w:t>
      </w:r>
      <w:r w:rsidR="00707549">
        <w:t>s</w:t>
      </w:r>
      <w:r w:rsidR="00447670">
        <w:t xml:space="preserve"> </w:t>
      </w:r>
      <w:r w:rsidR="00D87C4F">
        <w:t xml:space="preserve">sanitary security zone but </w:t>
      </w:r>
      <w:r w:rsidR="00A7295D">
        <w:t xml:space="preserve">argued that </w:t>
      </w:r>
      <w:r w:rsidR="00447670">
        <w:t xml:space="preserve">the </w:t>
      </w:r>
      <w:r w:rsidR="00A7295D">
        <w:t>domestic courts</w:t>
      </w:r>
      <w:r w:rsidR="009952BE">
        <w:t>'</w:t>
      </w:r>
      <w:r w:rsidR="00A7295D">
        <w:t xml:space="preserve"> decisions </w:t>
      </w:r>
      <w:r w:rsidR="000B0583">
        <w:t>dismissing</w:t>
      </w:r>
      <w:r w:rsidR="00A7295D">
        <w:t xml:space="preserve"> the applicant</w:t>
      </w:r>
      <w:r w:rsidR="009952BE">
        <w:t>'</w:t>
      </w:r>
      <w:r w:rsidR="00A7295D">
        <w:t>s claim for immediate resettlement had been lawful. The applicable Russian legislation provide</w:t>
      </w:r>
      <w:r w:rsidR="00C536FC">
        <w:t>d</w:t>
      </w:r>
      <w:r w:rsidR="00A7295D">
        <w:t xml:space="preserve"> only for p</w:t>
      </w:r>
      <w:r w:rsidR="00447670">
        <w:t xml:space="preserve">lacing </w:t>
      </w:r>
      <w:r w:rsidR="00A7295D">
        <w:t>the applicant on the general waiting list</w:t>
      </w:r>
      <w:r w:rsidR="00D87C4F">
        <w:t xml:space="preserve"> for future resettlement, which </w:t>
      </w:r>
      <w:r w:rsidR="00C536FC">
        <w:t>was</w:t>
      </w:r>
      <w:r w:rsidR="00D87C4F">
        <w:t xml:space="preserve"> </w:t>
      </w:r>
      <w:r w:rsidR="00447670">
        <w:t xml:space="preserve">the </w:t>
      </w:r>
      <w:r w:rsidR="00D87C4F">
        <w:t>duty of the municipal authorities.</w:t>
      </w:r>
      <w:r w:rsidR="0065140C">
        <w:t xml:space="preserve"> The Government further argued that providing the applicant with a flat</w:t>
      </w:r>
      <w:r w:rsidR="00447670">
        <w:t xml:space="preserve"> </w:t>
      </w:r>
      <w:r w:rsidR="00E67C85">
        <w:t>ir</w:t>
      </w:r>
      <w:r w:rsidR="00447670">
        <w:t>re</w:t>
      </w:r>
      <w:r w:rsidR="00E67C85">
        <w:t xml:space="preserve">spective </w:t>
      </w:r>
      <w:r w:rsidR="00447670">
        <w:t xml:space="preserve">of her position on the waiting list </w:t>
      </w:r>
      <w:r w:rsidR="0065140C">
        <w:t>would breach the rights of other people entitled to free housing under the domestic legislation.</w:t>
      </w:r>
    </w:p>
    <w:p w:rsidR="00754695" w:rsidP="00754695" w:rsidRDefault="00BB5585">
      <w:pPr>
        <w:pStyle w:val="JuParaChar"/>
      </w:pPr>
      <w:r>
        <w:fldChar w:fldCharType="begin"/>
      </w:r>
      <w:r>
        <w:instrText xml:space="preserve"> SEQ level0 \*arabic </w:instrText>
      </w:r>
      <w:r>
        <w:fldChar w:fldCharType="separate"/>
      </w:r>
      <w:r w:rsidR="008C3401">
        <w:rPr>
          <w:noProof/>
        </w:rPr>
        <w:t>111</w:t>
      </w:r>
      <w:r>
        <w:fldChar w:fldCharType="end"/>
      </w:r>
      <w:r>
        <w:t>.  </w:t>
      </w:r>
      <w:r w:rsidR="00D87C4F">
        <w:t xml:space="preserve">In their </w:t>
      </w:r>
      <w:r w:rsidR="0065140C">
        <w:t xml:space="preserve">post-admissibility </w:t>
      </w:r>
      <w:r w:rsidR="00D87C4F">
        <w:t>observations and at the oral hearing</w:t>
      </w:r>
      <w:r w:rsidR="000B0583">
        <w:t>,</w:t>
      </w:r>
      <w:r w:rsidR="00D87C4F">
        <w:t xml:space="preserve"> t</w:t>
      </w:r>
      <w:r w:rsidRPr="00742625" w:rsidR="00A7295D">
        <w:t xml:space="preserve">he Government </w:t>
      </w:r>
      <w:r w:rsidR="00D87C4F">
        <w:t xml:space="preserve">contended </w:t>
      </w:r>
      <w:r w:rsidRPr="00742625" w:rsidR="00A7295D">
        <w:t>that</w:t>
      </w:r>
      <w:r w:rsidR="00D87C4F">
        <w:t xml:space="preserve"> the domestic courts</w:t>
      </w:r>
      <w:r w:rsidR="009952BE">
        <w:t>'</w:t>
      </w:r>
      <w:r w:rsidR="00D87C4F">
        <w:t xml:space="preserve"> decisions w</w:t>
      </w:r>
      <w:r w:rsidR="0065140C">
        <w:t>ere</w:t>
      </w:r>
      <w:r w:rsidR="00D87C4F">
        <w:t xml:space="preserve"> erroneous because the applicant</w:t>
      </w:r>
      <w:r w:rsidR="009952BE">
        <w:t>'</w:t>
      </w:r>
      <w:r w:rsidR="00D87C4F">
        <w:t>s ho</w:t>
      </w:r>
      <w:r w:rsidR="00C536FC">
        <w:t>me</w:t>
      </w:r>
      <w:r w:rsidR="00D87C4F">
        <w:t xml:space="preserve"> </w:t>
      </w:r>
      <w:r w:rsidR="0065140C">
        <w:t>was</w:t>
      </w:r>
      <w:r w:rsidR="00D87C4F">
        <w:t xml:space="preserve"> not situated </w:t>
      </w:r>
      <w:r w:rsidR="00447670">
        <w:t>with</w:t>
      </w:r>
      <w:r w:rsidR="00D87C4F">
        <w:t xml:space="preserve">in the sanitary security zone. The Government also indicated </w:t>
      </w:r>
      <w:r w:rsidR="00447670">
        <w:t xml:space="preserve">that, </w:t>
      </w:r>
      <w:r w:rsidRPr="00742625" w:rsidR="00A7295D">
        <w:t>under domestic law</w:t>
      </w:r>
      <w:r w:rsidR="00447670">
        <w:t>,</w:t>
      </w:r>
      <w:r w:rsidRPr="00742625" w:rsidR="00A7295D">
        <w:t xml:space="preserve"> “</w:t>
      </w:r>
      <w:r w:rsidR="00F3789E">
        <w:t xml:space="preserve">Ms </w:t>
      </w:r>
      <w:r w:rsidR="00A93D13">
        <w:t>N.</w:t>
      </w:r>
      <w:r w:rsidRPr="00742625" w:rsidR="00447670">
        <w:t>M.</w:t>
      </w:r>
      <w:r w:rsidR="00C536FC">
        <w:t xml:space="preserve"> </w:t>
      </w:r>
      <w:r w:rsidRPr="00742625" w:rsidR="00447670">
        <w:t>Fadeyeva</w:t>
      </w:r>
      <w:r w:rsidR="009952BE">
        <w:t>'</w:t>
      </w:r>
      <w:r w:rsidR="00447670">
        <w:t xml:space="preserve">s </w:t>
      </w:r>
      <w:r w:rsidRPr="00742625" w:rsidR="00A7295D">
        <w:t xml:space="preserve">temporary </w:t>
      </w:r>
      <w:r w:rsidR="00447670">
        <w:t xml:space="preserve">residence </w:t>
      </w:r>
      <w:r w:rsidR="00C536FC">
        <w:t>with</w:t>
      </w:r>
      <w:r w:rsidR="00447670">
        <w:t>i</w:t>
      </w:r>
      <w:r w:rsidRPr="00742625" w:rsidR="00A7295D">
        <w:t xml:space="preserve">n the sanitary security zone </w:t>
      </w:r>
      <w:r w:rsidR="00C536FC">
        <w:t>[was]</w:t>
      </w:r>
      <w:r w:rsidRPr="00742625" w:rsidR="00A7295D">
        <w:t xml:space="preserve"> permissible” in</w:t>
      </w:r>
      <w:r w:rsidR="000B0583">
        <w:t xml:space="preserve"> </w:t>
      </w:r>
      <w:r w:rsidRPr="00742625" w:rsidR="00A7295D">
        <w:t>so</w:t>
      </w:r>
      <w:r w:rsidR="000B0583">
        <w:t xml:space="preserve"> </w:t>
      </w:r>
      <w:r w:rsidRPr="00742625" w:rsidR="00A7295D">
        <w:t xml:space="preserve">far as “the </w:t>
      </w:r>
      <w:r w:rsidR="00C52193">
        <w:t>S</w:t>
      </w:r>
      <w:r w:rsidRPr="00742625" w:rsidR="00A7295D">
        <w:t>tate or public interests require</w:t>
      </w:r>
      <w:r w:rsidR="00C536FC">
        <w:t>[d]</w:t>
      </w:r>
      <w:r w:rsidRPr="00742625" w:rsidR="00A7295D">
        <w:t xml:space="preserve"> the performance of economic or other activity </w:t>
      </w:r>
      <w:r w:rsidR="00F3789E">
        <w:t>i</w:t>
      </w:r>
      <w:r w:rsidRPr="00742625" w:rsidR="00A7295D">
        <w:t xml:space="preserve">n such </w:t>
      </w:r>
      <w:r w:rsidR="00F3789E">
        <w:t>areas</w:t>
      </w:r>
      <w:r w:rsidRPr="00742625" w:rsidR="00A7295D">
        <w:t>”.</w:t>
      </w:r>
      <w:r w:rsidR="00A7295D">
        <w:t xml:space="preserve"> The</w:t>
      </w:r>
      <w:r w:rsidR="00C536FC">
        <w:t>y</w:t>
      </w:r>
      <w:r w:rsidR="00A7295D">
        <w:t xml:space="preserve"> refer</w:t>
      </w:r>
      <w:r w:rsidR="00447670">
        <w:t>red</w:t>
      </w:r>
      <w:r w:rsidR="00A7295D">
        <w:t xml:space="preserve"> in particular to Article 10 of the </w:t>
      </w:r>
      <w:r w:rsidR="00447670">
        <w:t xml:space="preserve">Town </w:t>
      </w:r>
      <w:r w:rsidR="00A7295D">
        <w:t xml:space="preserve">Planning Code (see </w:t>
      </w:r>
      <w:r w:rsidR="000B0583">
        <w:t>paragraph</w:t>
      </w:r>
      <w:r w:rsidR="00A93D13">
        <w:t xml:space="preserve"> </w:t>
      </w:r>
      <w:r w:rsidR="004326EE">
        <w:t>55</w:t>
      </w:r>
      <w:r w:rsidR="000B0583">
        <w:t xml:space="preserve"> above</w:t>
      </w:r>
      <w:r w:rsidR="00A7295D">
        <w:t xml:space="preserve">). </w:t>
      </w:r>
      <w:r w:rsidR="00754695">
        <w:t xml:space="preserve">The Government </w:t>
      </w:r>
      <w:r w:rsidR="00C536FC">
        <w:t>stated</w:t>
      </w:r>
      <w:r w:rsidR="00754695">
        <w:t xml:space="preserve"> that “u</w:t>
      </w:r>
      <w:r w:rsidRPr="00754695" w:rsidR="00754695">
        <w:t>nder Article 10 § 5 of the Town P</w:t>
      </w:r>
      <w:r w:rsidR="00754695">
        <w:t>lann</w:t>
      </w:r>
      <w:r w:rsidRPr="00754695" w:rsidR="00754695">
        <w:t xml:space="preserve">ing </w:t>
      </w:r>
      <w:r w:rsidR="000B0583">
        <w:t xml:space="preserve">Code </w:t>
      </w:r>
      <w:r w:rsidRPr="00754695" w:rsidR="00754695">
        <w:t xml:space="preserve">of the Russian Federation, temporary </w:t>
      </w:r>
      <w:r w:rsidR="00492A03">
        <w:t xml:space="preserve">residence </w:t>
      </w:r>
      <w:r w:rsidR="00C536FC">
        <w:t xml:space="preserve">[was] </w:t>
      </w:r>
      <w:r w:rsidRPr="00754695" w:rsidR="00754695">
        <w:t xml:space="preserve">permitted </w:t>
      </w:r>
      <w:r w:rsidR="00F3789E">
        <w:t>i</w:t>
      </w:r>
      <w:r w:rsidRPr="00754695" w:rsidR="00754695">
        <w:t xml:space="preserve">n environmentally unfavourable </w:t>
      </w:r>
      <w:r w:rsidR="00F3789E">
        <w:t>areas</w:t>
      </w:r>
      <w:r w:rsidRPr="00754695" w:rsidR="00754695">
        <w:t xml:space="preserve"> in cases whe</w:t>
      </w:r>
      <w:r w:rsidR="00492A03">
        <w:t xml:space="preserve">re </w:t>
      </w:r>
      <w:r w:rsidR="000B0583">
        <w:t>S</w:t>
      </w:r>
      <w:r w:rsidRPr="00754695" w:rsidR="00754695">
        <w:t>tate or public interests require</w:t>
      </w:r>
      <w:r w:rsidR="00C536FC">
        <w:t>[d]</w:t>
      </w:r>
      <w:r w:rsidRPr="00754695" w:rsidR="00754695">
        <w:t xml:space="preserve"> the performance of economic or other activity </w:t>
      </w:r>
      <w:r w:rsidR="00F3789E">
        <w:t>i</w:t>
      </w:r>
      <w:r w:rsidRPr="00754695" w:rsidR="00754695">
        <w:t xml:space="preserve">n such </w:t>
      </w:r>
      <w:r w:rsidR="00F3789E">
        <w:t>areas</w:t>
      </w:r>
      <w:r w:rsidR="00754695">
        <w:t>”</w:t>
      </w:r>
      <w:r w:rsidRPr="00754695" w:rsidR="00754695">
        <w:t>.</w:t>
      </w:r>
    </w:p>
    <w:p w:rsidR="0065140C" w:rsidP="00F71765" w:rsidRDefault="00BB5585">
      <w:pPr>
        <w:pStyle w:val="JuPara"/>
      </w:pPr>
      <w:r>
        <w:fldChar w:fldCharType="begin"/>
      </w:r>
      <w:r>
        <w:instrText xml:space="preserve"> SEQ level0 \*arabic </w:instrText>
      </w:r>
      <w:r>
        <w:fldChar w:fldCharType="separate"/>
      </w:r>
      <w:r w:rsidR="008C3401">
        <w:rPr>
          <w:noProof/>
        </w:rPr>
        <w:t>112</w:t>
      </w:r>
      <w:r>
        <w:fldChar w:fldCharType="end"/>
      </w:r>
      <w:r>
        <w:t>.  </w:t>
      </w:r>
      <w:r w:rsidR="0065140C">
        <w:t xml:space="preserve">The Government also alleged that the applicant </w:t>
      </w:r>
      <w:r w:rsidR="00C536FC">
        <w:t xml:space="preserve">had </w:t>
      </w:r>
      <w:r w:rsidR="0065140C">
        <w:t xml:space="preserve">moved to the flat at </w:t>
      </w:r>
      <w:smartTag w:uri="urn:schemas-microsoft-com:office:smarttags" w:element="Street">
        <w:smartTag w:uri="urn:schemas-microsoft-com:office:smarttags" w:element="address">
          <w:r w:rsidR="0065140C">
            <w:t>1 Zhukov Street</w:t>
          </w:r>
        </w:smartTag>
      </w:smartTag>
      <w:r w:rsidR="0065140C">
        <w:t xml:space="preserve"> of her ow</w:t>
      </w:r>
      <w:r w:rsidR="00525D77">
        <w:t xml:space="preserve">n </w:t>
      </w:r>
      <w:r w:rsidR="00C536FC">
        <w:t xml:space="preserve">free </w:t>
      </w:r>
      <w:r w:rsidR="00525D77">
        <w:t>will and that nothing prevented</w:t>
      </w:r>
      <w:r w:rsidR="0065140C">
        <w:t xml:space="preserve"> her from leaving it. </w:t>
      </w:r>
      <w:r w:rsidR="00525D77">
        <w:t xml:space="preserve">Moreover, </w:t>
      </w:r>
      <w:r w:rsidR="00C536FC">
        <w:t>she</w:t>
      </w:r>
      <w:r w:rsidR="00525D77">
        <w:t xml:space="preserve"> </w:t>
      </w:r>
      <w:r w:rsidR="000665CD">
        <w:t xml:space="preserve">could always privatise </w:t>
      </w:r>
      <w:r w:rsidR="00525D77">
        <w:t>the flat and then sell it in order to purchase housing in another district of the city.</w:t>
      </w:r>
    </w:p>
    <w:p w:rsidR="00772DF2" w:rsidP="00F71765" w:rsidRDefault="00BB5585">
      <w:pPr>
        <w:pStyle w:val="JuPara"/>
      </w:pPr>
      <w:r>
        <w:fldChar w:fldCharType="begin"/>
      </w:r>
      <w:r>
        <w:instrText xml:space="preserve"> SEQ level0 \*arabic </w:instrText>
      </w:r>
      <w:r>
        <w:fldChar w:fldCharType="separate"/>
      </w:r>
      <w:r w:rsidR="008C3401">
        <w:rPr>
          <w:noProof/>
        </w:rPr>
        <w:t>113</w:t>
      </w:r>
      <w:r>
        <w:fldChar w:fldCharType="end"/>
      </w:r>
      <w:r>
        <w:t>.  </w:t>
      </w:r>
      <w:r w:rsidR="005236AB">
        <w:t>Th</w:t>
      </w:r>
      <w:r w:rsidR="000B0583">
        <w:t>e Government asserted that the S</w:t>
      </w:r>
      <w:r w:rsidR="005236AB">
        <w:t>tate authorities conducted regular monitoring of air quality in the city and</w:t>
      </w:r>
      <w:r w:rsidR="00447670">
        <w:t xml:space="preserve"> had</w:t>
      </w:r>
      <w:r w:rsidR="005236AB">
        <w:t xml:space="preserve">, moreover, undertaken a number </w:t>
      </w:r>
      <w:r w:rsidR="000665CD">
        <w:t xml:space="preserve">of </w:t>
      </w:r>
      <w:r w:rsidR="005236AB">
        <w:t>scientific studies in order to assess the i</w:t>
      </w:r>
      <w:r w:rsidR="00447670">
        <w:t xml:space="preserve">mpact </w:t>
      </w:r>
      <w:r w:rsidR="005236AB">
        <w:t xml:space="preserve">of pollution on the inhabitants of </w:t>
      </w:r>
      <w:smartTag w:uri="urn:schemas-microsoft-com:office:smarttags" w:element="City">
        <w:smartTag w:uri="urn:schemas-microsoft-com:office:smarttags" w:element="place">
          <w:r w:rsidR="005236AB">
            <w:t>Cherepovets</w:t>
          </w:r>
        </w:smartTag>
      </w:smartTag>
      <w:r w:rsidR="005236AB">
        <w:t>.</w:t>
      </w:r>
    </w:p>
    <w:p w:rsidR="00B44EEB" w:rsidP="00F71765" w:rsidRDefault="00BB5585">
      <w:pPr>
        <w:pStyle w:val="JuPara"/>
      </w:pPr>
      <w:r>
        <w:fldChar w:fldCharType="begin"/>
      </w:r>
      <w:r>
        <w:instrText xml:space="preserve"> SEQ level0 \*arabic </w:instrText>
      </w:r>
      <w:r>
        <w:fldChar w:fldCharType="separate"/>
      </w:r>
      <w:r w:rsidR="008C3401">
        <w:rPr>
          <w:noProof/>
        </w:rPr>
        <w:t>114</w:t>
      </w:r>
      <w:r>
        <w:fldChar w:fldCharType="end"/>
      </w:r>
      <w:r>
        <w:t>.  </w:t>
      </w:r>
      <w:r w:rsidR="00B44EEB">
        <w:t>The Government further submitted that the</w:t>
      </w:r>
      <w:r w:rsidR="00600586">
        <w:t xml:space="preserve"> </w:t>
      </w:r>
      <w:r w:rsidR="000B0583">
        <w:t>S</w:t>
      </w:r>
      <w:r w:rsidR="00B44EEB">
        <w:t xml:space="preserve">tate </w:t>
      </w:r>
      <w:r w:rsidR="000665CD">
        <w:t xml:space="preserve">authorities had imposed various administrative sanctions on </w:t>
      </w:r>
      <w:r w:rsidR="00B44EEB">
        <w:t xml:space="preserve">Severstal PLC in order to </w:t>
      </w:r>
      <w:r w:rsidR="000665CD">
        <w:t xml:space="preserve">ensure that </w:t>
      </w:r>
      <w:r w:rsidR="00B44EEB">
        <w:t xml:space="preserve">its activities </w:t>
      </w:r>
      <w:r w:rsidR="000665CD">
        <w:t xml:space="preserve">complied </w:t>
      </w:r>
      <w:r w:rsidR="00B44EEB">
        <w:t xml:space="preserve">with the domestic </w:t>
      </w:r>
      <w:r w:rsidR="00707549">
        <w:t>norms</w:t>
      </w:r>
      <w:r w:rsidR="00B44EEB">
        <w:t xml:space="preserve">. In particular, </w:t>
      </w:r>
      <w:r w:rsidR="00C536FC">
        <w:t>between</w:t>
      </w:r>
      <w:r w:rsidR="00B44EEB">
        <w:t xml:space="preserve"> 1995</w:t>
      </w:r>
      <w:r w:rsidR="00C536FC">
        <w:t xml:space="preserve"> and </w:t>
      </w:r>
      <w:r w:rsidR="00B44EEB">
        <w:t>2000 the State Committee for the Protection o</w:t>
      </w:r>
      <w:r w:rsidR="000B0583">
        <w:t xml:space="preserve">f the Environment </w:t>
      </w:r>
      <w:r w:rsidR="00C536FC">
        <w:t xml:space="preserve">had </w:t>
      </w:r>
      <w:r w:rsidR="000B0583">
        <w:t xml:space="preserve">carried out </w:t>
      </w:r>
      <w:r w:rsidR="00CE1068">
        <w:t>89</w:t>
      </w:r>
      <w:r w:rsidR="00B44EEB">
        <w:t xml:space="preserve"> checks of Severstal PLC</w:t>
      </w:r>
      <w:r w:rsidR="000665CD">
        <w:t xml:space="preserve">, bringing </w:t>
      </w:r>
      <w:r w:rsidR="00707549">
        <w:t xml:space="preserve">to light </w:t>
      </w:r>
      <w:r w:rsidR="00B44EEB">
        <w:t xml:space="preserve">more than 300 violations. </w:t>
      </w:r>
      <w:r w:rsidR="000665CD">
        <w:t xml:space="preserve">During </w:t>
      </w:r>
      <w:r w:rsidR="00B44EEB">
        <w:t xml:space="preserve">this period the managers of the </w:t>
      </w:r>
      <w:r w:rsidR="002F22AF">
        <w:t>steel plant</w:t>
      </w:r>
      <w:r w:rsidR="00B44EEB">
        <w:t xml:space="preserve"> </w:t>
      </w:r>
      <w:r w:rsidR="00C536FC">
        <w:t>had been</w:t>
      </w:r>
      <w:r w:rsidR="00B44EEB">
        <w:t xml:space="preserve"> </w:t>
      </w:r>
      <w:r w:rsidR="008D4812">
        <w:t xml:space="preserve">charged with administrative offences </w:t>
      </w:r>
      <w:r w:rsidR="005236AB">
        <w:t>in the sphere o</w:t>
      </w:r>
      <w:r w:rsidR="00B44EEB">
        <w:t xml:space="preserve">f </w:t>
      </w:r>
      <w:r w:rsidR="008D4812">
        <w:t xml:space="preserve">environmental </w:t>
      </w:r>
      <w:r w:rsidR="00B44EEB">
        <w:t>protection</w:t>
      </w:r>
      <w:r w:rsidRPr="00707549" w:rsidR="00707549">
        <w:t xml:space="preserve"> </w:t>
      </w:r>
      <w:r w:rsidR="000B0583">
        <w:t xml:space="preserve">on </w:t>
      </w:r>
      <w:r w:rsidR="00CE1068">
        <w:t>45</w:t>
      </w:r>
      <w:r w:rsidR="00707549">
        <w:t xml:space="preserve"> occasions</w:t>
      </w:r>
      <w:r w:rsidR="00B44EEB">
        <w:t xml:space="preserve">. </w:t>
      </w:r>
      <w:r w:rsidR="00C536FC">
        <w:t xml:space="preserve">Between </w:t>
      </w:r>
      <w:r w:rsidR="00B44EEB">
        <w:t>2001</w:t>
      </w:r>
      <w:r w:rsidR="000B0583">
        <w:t xml:space="preserve"> </w:t>
      </w:r>
      <w:r w:rsidR="00C536FC">
        <w:t>and</w:t>
      </w:r>
      <w:r w:rsidR="000B0583">
        <w:t xml:space="preserve"> 2</w:t>
      </w:r>
      <w:r w:rsidR="00B44EEB">
        <w:t xml:space="preserve">003 the Ministry of Natural Resources of the Russian Federation </w:t>
      </w:r>
      <w:r w:rsidR="00C536FC">
        <w:t xml:space="preserve">had </w:t>
      </w:r>
      <w:r w:rsidR="00B44EEB">
        <w:t xml:space="preserve">carried out </w:t>
      </w:r>
      <w:r w:rsidR="00CE1068">
        <w:t>4</w:t>
      </w:r>
      <w:r w:rsidR="008D4812">
        <w:t xml:space="preserve"> </w:t>
      </w:r>
      <w:r w:rsidR="00B44EEB">
        <w:t>complex checks of the plant</w:t>
      </w:r>
      <w:r w:rsidR="00492A03">
        <w:t>,</w:t>
      </w:r>
      <w:r w:rsidR="000B0583">
        <w:t xml:space="preserve"> in the course of which </w:t>
      </w:r>
      <w:r w:rsidR="00CE1068">
        <w:t>44</w:t>
      </w:r>
      <w:r w:rsidR="00B44EEB">
        <w:t xml:space="preserve"> violations of the environmental l</w:t>
      </w:r>
      <w:r w:rsidR="00492A03">
        <w:t xml:space="preserve">egislation </w:t>
      </w:r>
      <w:r w:rsidR="00C536FC">
        <w:t>had been brought</w:t>
      </w:r>
      <w:r w:rsidR="008D4812">
        <w:t xml:space="preserve"> to light</w:t>
      </w:r>
      <w:r w:rsidR="00B44EEB">
        <w:t xml:space="preserve">. </w:t>
      </w:r>
      <w:r w:rsidR="008D4812">
        <w:t xml:space="preserve">To date, the </w:t>
      </w:r>
      <w:r w:rsidRPr="00E67C85" w:rsidR="00B44EEB">
        <w:t>major</w:t>
      </w:r>
      <w:r w:rsidRPr="00E67C85" w:rsidR="008D4812">
        <w:t xml:space="preserve">ity </w:t>
      </w:r>
      <w:r w:rsidRPr="00E67C85" w:rsidR="00B44EEB">
        <w:t>o</w:t>
      </w:r>
      <w:r w:rsidR="00B44EEB">
        <w:t>f the violations indicated by the statu</w:t>
      </w:r>
      <w:r w:rsidR="008D4812">
        <w:t xml:space="preserve">tory </w:t>
      </w:r>
      <w:r w:rsidR="00707549">
        <w:t>a</w:t>
      </w:r>
      <w:r w:rsidR="00B44EEB">
        <w:t>uthorities ha</w:t>
      </w:r>
      <w:r w:rsidR="00C536FC">
        <w:t>d</w:t>
      </w:r>
      <w:r w:rsidR="008D4812">
        <w:t xml:space="preserve"> </w:t>
      </w:r>
      <w:r w:rsidR="00B44EEB">
        <w:t>been eliminated.</w:t>
      </w:r>
    </w:p>
    <w:p w:rsidR="00A7295D" w:rsidP="00F71765" w:rsidRDefault="00BB5585">
      <w:pPr>
        <w:pStyle w:val="JuPara"/>
      </w:pPr>
      <w:r>
        <w:fldChar w:fldCharType="begin"/>
      </w:r>
      <w:r>
        <w:instrText xml:space="preserve"> SEQ level0 \*arabic </w:instrText>
      </w:r>
      <w:r>
        <w:fldChar w:fldCharType="separate"/>
      </w:r>
      <w:r w:rsidR="008C3401">
        <w:rPr>
          <w:noProof/>
        </w:rPr>
        <w:t>115</w:t>
      </w:r>
      <w:r>
        <w:fldChar w:fldCharType="end"/>
      </w:r>
      <w:r>
        <w:t>.  </w:t>
      </w:r>
      <w:r w:rsidR="008D4812">
        <w:t>Finally, t</w:t>
      </w:r>
      <w:r w:rsidR="00A7295D">
        <w:t xml:space="preserve">he Government </w:t>
      </w:r>
      <w:r w:rsidR="0065140C">
        <w:t>argued that in recent years the implementation of a number of federal and municipal program</w:t>
      </w:r>
      <w:r w:rsidR="000B0583">
        <w:t>mes had</w:t>
      </w:r>
      <w:r w:rsidR="00707549">
        <w:t xml:space="preserve"> </w:t>
      </w:r>
      <w:r w:rsidR="008D4812">
        <w:t xml:space="preserve">resulted in a reduction of </w:t>
      </w:r>
      <w:r w:rsidR="0065140C">
        <w:t xml:space="preserve">pollution in </w:t>
      </w:r>
      <w:smartTag w:uri="urn:schemas-microsoft-com:office:smarttags" w:element="City">
        <w:smartTag w:uri="urn:schemas-microsoft-com:office:smarttags" w:element="place">
          <w:r w:rsidR="0065140C">
            <w:t>Cherepovets</w:t>
          </w:r>
        </w:smartTag>
      </w:smartTag>
      <w:r w:rsidR="0065140C">
        <w:t>. The</w:t>
      </w:r>
      <w:r w:rsidR="00C536FC">
        <w:t>y</w:t>
      </w:r>
      <w:r w:rsidR="0065140C">
        <w:t xml:space="preserve"> stressed that the environmental monitoring carried out by State agencies </w:t>
      </w:r>
      <w:r w:rsidR="000B0583">
        <w:t>had</w:t>
      </w:r>
      <w:r w:rsidR="008D4812">
        <w:t xml:space="preserve"> revealed an </w:t>
      </w:r>
      <w:r w:rsidR="0065140C">
        <w:t xml:space="preserve">improvement </w:t>
      </w:r>
      <w:r w:rsidR="008D4812">
        <w:t xml:space="preserve">in </w:t>
      </w:r>
      <w:r w:rsidR="0065140C">
        <w:t xml:space="preserve">the </w:t>
      </w:r>
      <w:r w:rsidR="005236AB">
        <w:t xml:space="preserve">overall </w:t>
      </w:r>
      <w:r w:rsidR="00C44569">
        <w:t xml:space="preserve">environmental situation </w:t>
      </w:r>
      <w:r w:rsidR="008D4812">
        <w:t xml:space="preserve">throughout </w:t>
      </w:r>
      <w:r w:rsidR="00C44569">
        <w:t xml:space="preserve">the </w:t>
      </w:r>
      <w:r w:rsidR="00707549">
        <w:t>city,</w:t>
      </w:r>
      <w:r w:rsidR="00C44569">
        <w:t xml:space="preserve"> and that the pollution levels near the applicant</w:t>
      </w:r>
      <w:r w:rsidR="009952BE">
        <w:t>'</w:t>
      </w:r>
      <w:r w:rsidR="000B0583">
        <w:t>s ho</w:t>
      </w:r>
      <w:r w:rsidR="00C536FC">
        <w:t>me</w:t>
      </w:r>
      <w:r w:rsidR="000B0583">
        <w:t xml:space="preserve"> did</w:t>
      </w:r>
      <w:r w:rsidR="00C44569">
        <w:t xml:space="preserve"> not differ significantly from the average levels</w:t>
      </w:r>
      <w:r w:rsidR="008D4812">
        <w:t xml:space="preserve"> across the city</w:t>
      </w:r>
      <w:r w:rsidR="00C44569">
        <w:t>.</w:t>
      </w:r>
      <w:r w:rsidR="00B44EEB">
        <w:t xml:space="preserve"> The Government also enumerate</w:t>
      </w:r>
      <w:r w:rsidR="005236AB">
        <w:t>d</w:t>
      </w:r>
      <w:r w:rsidR="00B44EEB">
        <w:t xml:space="preserve"> various techn</w:t>
      </w:r>
      <w:r w:rsidR="005236AB">
        <w:t>ological</w:t>
      </w:r>
      <w:r w:rsidR="00B44EEB">
        <w:t xml:space="preserve"> modifications undertaken by the </w:t>
      </w:r>
      <w:r w:rsidR="002F22AF">
        <w:t>steel plant</w:t>
      </w:r>
      <w:r w:rsidR="005236AB">
        <w:t xml:space="preserve"> in order to reduce emissions and asserted that several new improvements </w:t>
      </w:r>
      <w:r w:rsidR="000B0583">
        <w:t>we</w:t>
      </w:r>
      <w:r w:rsidR="008D4812">
        <w:t xml:space="preserve">re due to be </w:t>
      </w:r>
      <w:r w:rsidR="005236AB">
        <w:t>made in the near future.</w:t>
      </w:r>
    </w:p>
    <w:p w:rsidR="00A7295D" w:rsidP="00252EB8" w:rsidRDefault="00B1230B">
      <w:pPr>
        <w:pStyle w:val="JuHa0"/>
      </w:pPr>
      <w:r>
        <w:t>(</w:t>
      </w:r>
      <w:r w:rsidR="006445E5">
        <w:t>d</w:t>
      </w:r>
      <w:r>
        <w:t>)</w:t>
      </w:r>
      <w:r w:rsidR="00F8213D">
        <w:t>  </w:t>
      </w:r>
      <w:r w:rsidR="008D4812">
        <w:t xml:space="preserve">The </w:t>
      </w:r>
      <w:r w:rsidR="00A7295D">
        <w:t>Court</w:t>
      </w:r>
      <w:r w:rsidR="009952BE">
        <w:t>'</w:t>
      </w:r>
      <w:r w:rsidR="00A7295D">
        <w:t>s assessment</w:t>
      </w:r>
    </w:p>
    <w:p w:rsidR="00B1230B" w:rsidP="00252EB8" w:rsidRDefault="00F8213D">
      <w:pPr>
        <w:pStyle w:val="JuHi"/>
      </w:pPr>
      <w:r>
        <w:t>(i)  </w:t>
      </w:r>
      <w:r w:rsidR="00DE6DED">
        <w:t>The a</w:t>
      </w:r>
      <w:r w:rsidR="006B367D">
        <w:t>lleged failure to resettle the applicant</w:t>
      </w:r>
    </w:p>
    <w:p w:rsidRPr="00F71765" w:rsidR="00D11356" w:rsidP="00252EB8" w:rsidRDefault="00BB5585">
      <w:pPr>
        <w:pStyle w:val="JuParaChar"/>
        <w:rPr>
          <w:rStyle w:val="JuParaChar1"/>
        </w:rPr>
      </w:pPr>
      <w:r>
        <w:fldChar w:fldCharType="begin"/>
      </w:r>
      <w:r>
        <w:instrText xml:space="preserve"> SEQ level0 \*arabic </w:instrText>
      </w:r>
      <w:r>
        <w:fldChar w:fldCharType="separate"/>
      </w:r>
      <w:r w:rsidR="008C3401">
        <w:rPr>
          <w:noProof/>
        </w:rPr>
        <w:t>116</w:t>
      </w:r>
      <w:r>
        <w:fldChar w:fldCharType="end"/>
      </w:r>
      <w:r>
        <w:t>.  </w:t>
      </w:r>
      <w:r w:rsidR="00D234B3">
        <w:t>T</w:t>
      </w:r>
      <w:r w:rsidR="00BB6593">
        <w:t xml:space="preserve">he </w:t>
      </w:r>
      <w:r w:rsidRPr="00F71765" w:rsidR="00BB6593">
        <w:rPr>
          <w:rStyle w:val="JuParaChar1"/>
        </w:rPr>
        <w:t xml:space="preserve">Court </w:t>
      </w:r>
      <w:r w:rsidRPr="00F71765" w:rsidR="00105991">
        <w:rPr>
          <w:rStyle w:val="JuParaChar1"/>
        </w:rPr>
        <w:t xml:space="preserve">notes </w:t>
      </w:r>
      <w:r w:rsidRPr="00F71765" w:rsidR="00D234B3">
        <w:rPr>
          <w:rStyle w:val="JuParaChar1"/>
        </w:rPr>
        <w:t>a</w:t>
      </w:r>
      <w:r w:rsidR="00D234B3">
        <w:t xml:space="preserve">t the outset </w:t>
      </w:r>
      <w:r w:rsidRPr="00F71765" w:rsidR="00BB6593">
        <w:rPr>
          <w:rStyle w:val="JuParaChar1"/>
        </w:rPr>
        <w:t xml:space="preserve">that the environmental consequences of the Severstal </w:t>
      </w:r>
      <w:r w:rsidR="002F22AF">
        <w:rPr>
          <w:rStyle w:val="JuParaChar1"/>
        </w:rPr>
        <w:t>steel plant</w:t>
      </w:r>
      <w:r w:rsidR="009952BE">
        <w:rPr>
          <w:rStyle w:val="JuParaChar1"/>
        </w:rPr>
        <w:t>'</w:t>
      </w:r>
      <w:r w:rsidRPr="00F71765" w:rsidR="00707549">
        <w:rPr>
          <w:rStyle w:val="JuParaChar1"/>
        </w:rPr>
        <w:t>s operation</w:t>
      </w:r>
      <w:r w:rsidRPr="00F71765" w:rsidR="00BB6593">
        <w:rPr>
          <w:rStyle w:val="JuParaChar1"/>
        </w:rPr>
        <w:t xml:space="preserve"> </w:t>
      </w:r>
      <w:r w:rsidR="00C536FC">
        <w:rPr>
          <w:rStyle w:val="JuParaChar1"/>
        </w:rPr>
        <w:t>are not compatible</w:t>
      </w:r>
      <w:r w:rsidRPr="00F71765" w:rsidR="00BB6593">
        <w:rPr>
          <w:rStyle w:val="JuParaChar1"/>
        </w:rPr>
        <w:t xml:space="preserve"> with the environmental and health standards established in the relevant Russian legislation. In order to</w:t>
      </w:r>
      <w:r w:rsidR="000B0583">
        <w:rPr>
          <w:rStyle w:val="JuParaChar1"/>
        </w:rPr>
        <w:t xml:space="preserve"> ensure that a large </w:t>
      </w:r>
      <w:r w:rsidR="00C536FC">
        <w:rPr>
          <w:rStyle w:val="JuParaChar1"/>
        </w:rPr>
        <w:t>undertaking</w:t>
      </w:r>
      <w:r w:rsidRPr="00F71765" w:rsidR="00105991">
        <w:rPr>
          <w:rStyle w:val="JuParaChar1"/>
        </w:rPr>
        <w:t xml:space="preserve"> of this type</w:t>
      </w:r>
      <w:r w:rsidR="000B0583">
        <w:rPr>
          <w:rStyle w:val="JuParaChar1"/>
        </w:rPr>
        <w:t xml:space="preserve"> remains in operation</w:t>
      </w:r>
      <w:r w:rsidRPr="00F71765" w:rsidR="00537913">
        <w:rPr>
          <w:rStyle w:val="JuParaChar1"/>
        </w:rPr>
        <w:t>,</w:t>
      </w:r>
      <w:r w:rsidRPr="00F71765" w:rsidR="00BB6593">
        <w:rPr>
          <w:rStyle w:val="JuParaChar1"/>
        </w:rPr>
        <w:t xml:space="preserve"> Russian legislation</w:t>
      </w:r>
      <w:r w:rsidRPr="00F71765" w:rsidR="00537913">
        <w:rPr>
          <w:rStyle w:val="JuParaChar1"/>
        </w:rPr>
        <w:t>,</w:t>
      </w:r>
      <w:r w:rsidRPr="00F71765" w:rsidR="00BB6593">
        <w:rPr>
          <w:rStyle w:val="JuParaChar1"/>
        </w:rPr>
        <w:t xml:space="preserve"> </w:t>
      </w:r>
      <w:r w:rsidRPr="00F71765" w:rsidR="00537913">
        <w:rPr>
          <w:rStyle w:val="JuParaChar1"/>
        </w:rPr>
        <w:t xml:space="preserve">as a compromise solution, </w:t>
      </w:r>
      <w:r w:rsidRPr="00F71765" w:rsidR="00105991">
        <w:rPr>
          <w:rStyle w:val="JuParaChar1"/>
        </w:rPr>
        <w:t xml:space="preserve">has </w:t>
      </w:r>
      <w:r w:rsidRPr="00F71765" w:rsidR="00BB6593">
        <w:rPr>
          <w:rStyle w:val="JuParaChar1"/>
        </w:rPr>
        <w:t xml:space="preserve">provided for </w:t>
      </w:r>
      <w:r w:rsidRPr="00F71765" w:rsidR="00105991">
        <w:rPr>
          <w:rStyle w:val="JuParaChar1"/>
        </w:rPr>
        <w:t xml:space="preserve">the </w:t>
      </w:r>
      <w:r w:rsidRPr="00F71765" w:rsidR="00BB6593">
        <w:rPr>
          <w:rStyle w:val="JuParaChar1"/>
        </w:rPr>
        <w:t xml:space="preserve">creation of a </w:t>
      </w:r>
      <w:r w:rsidRPr="00F71765" w:rsidR="002962A5">
        <w:rPr>
          <w:rStyle w:val="JuParaChar1"/>
        </w:rPr>
        <w:t>buffer</w:t>
      </w:r>
      <w:r w:rsidRPr="00F71765" w:rsidR="00BB6593">
        <w:rPr>
          <w:rStyle w:val="JuParaChar1"/>
        </w:rPr>
        <w:t xml:space="preserve"> zone around </w:t>
      </w:r>
      <w:r w:rsidRPr="00F71765" w:rsidR="00AC543D">
        <w:rPr>
          <w:rStyle w:val="JuParaChar1"/>
        </w:rPr>
        <w:t xml:space="preserve">the </w:t>
      </w:r>
      <w:r w:rsidR="00C536FC">
        <w:rPr>
          <w:rStyle w:val="JuParaChar1"/>
        </w:rPr>
        <w:t>undertaking</w:t>
      </w:r>
      <w:r w:rsidR="009952BE">
        <w:rPr>
          <w:rStyle w:val="JuParaChar1"/>
        </w:rPr>
        <w:t>'</w:t>
      </w:r>
      <w:r w:rsidRPr="00F71765" w:rsidR="00AC543D">
        <w:rPr>
          <w:rStyle w:val="JuParaChar1"/>
        </w:rPr>
        <w:t xml:space="preserve">s </w:t>
      </w:r>
      <w:r w:rsidRPr="00F71765" w:rsidR="00BB6593">
        <w:rPr>
          <w:rStyle w:val="JuParaChar1"/>
        </w:rPr>
        <w:t xml:space="preserve">premises </w:t>
      </w:r>
      <w:r w:rsidRPr="00F71765" w:rsidR="00105991">
        <w:rPr>
          <w:rStyle w:val="JuParaChar1"/>
        </w:rPr>
        <w:t xml:space="preserve">in which </w:t>
      </w:r>
      <w:r w:rsidRPr="00F71765" w:rsidR="00BB6593">
        <w:rPr>
          <w:rStyle w:val="JuParaChar1"/>
        </w:rPr>
        <w:t xml:space="preserve">pollution </w:t>
      </w:r>
      <w:r w:rsidRPr="00F71765" w:rsidR="00492A03">
        <w:rPr>
          <w:rStyle w:val="JuParaChar1"/>
        </w:rPr>
        <w:t xml:space="preserve">may </w:t>
      </w:r>
      <w:r w:rsidRPr="00F71765" w:rsidR="00BB6593">
        <w:rPr>
          <w:rStyle w:val="JuParaChar1"/>
        </w:rPr>
        <w:t xml:space="preserve">officially exceed safe levels. Therefore, the existence of </w:t>
      </w:r>
      <w:r w:rsidRPr="00F71765" w:rsidR="00105991">
        <w:rPr>
          <w:rStyle w:val="JuParaChar1"/>
        </w:rPr>
        <w:t xml:space="preserve">such a </w:t>
      </w:r>
      <w:r w:rsidRPr="00F71765" w:rsidR="00BB6593">
        <w:rPr>
          <w:rStyle w:val="JuParaChar1"/>
        </w:rPr>
        <w:t>zone is a conditio</w:t>
      </w:r>
      <w:r w:rsidRPr="00F71765" w:rsidR="00AC543D">
        <w:rPr>
          <w:rStyle w:val="JuParaChar1"/>
        </w:rPr>
        <w:t>n</w:t>
      </w:r>
      <w:r w:rsidRPr="00F71765" w:rsidR="00BB6593">
        <w:rPr>
          <w:i/>
          <w:iCs/>
        </w:rPr>
        <w:t xml:space="preserve"> sine qua non</w:t>
      </w:r>
      <w:r w:rsidRPr="00F71765" w:rsidR="00BB6593">
        <w:rPr>
          <w:rStyle w:val="JuParaChar1"/>
        </w:rPr>
        <w:t xml:space="preserve"> for </w:t>
      </w:r>
      <w:r w:rsidR="00C536FC">
        <w:rPr>
          <w:rStyle w:val="JuParaChar1"/>
        </w:rPr>
        <w:t xml:space="preserve">the operation of </w:t>
      </w:r>
      <w:r w:rsidR="000B0583">
        <w:rPr>
          <w:rStyle w:val="JuParaChar1"/>
        </w:rPr>
        <w:t xml:space="preserve">an environmentally hazardous </w:t>
      </w:r>
      <w:r w:rsidR="00C536FC">
        <w:rPr>
          <w:rStyle w:val="JuParaChar1"/>
        </w:rPr>
        <w:t>undertaking</w:t>
      </w:r>
      <w:r w:rsidRPr="00F71765" w:rsidR="002962A5">
        <w:rPr>
          <w:rStyle w:val="JuParaChar1"/>
        </w:rPr>
        <w:t xml:space="preserve"> </w:t>
      </w:r>
      <w:r w:rsidRPr="00F71765" w:rsidR="00BB6593">
        <w:rPr>
          <w:rStyle w:val="JuParaChar1"/>
        </w:rPr>
        <w:t xml:space="preserve">– otherwise it </w:t>
      </w:r>
      <w:r w:rsidRPr="00F71765" w:rsidR="00105991">
        <w:rPr>
          <w:rStyle w:val="JuParaChar1"/>
        </w:rPr>
        <w:t xml:space="preserve">must </w:t>
      </w:r>
      <w:r w:rsidRPr="00F71765" w:rsidR="00BB6593">
        <w:rPr>
          <w:rStyle w:val="JuParaChar1"/>
        </w:rPr>
        <w:t xml:space="preserve">be closed </w:t>
      </w:r>
      <w:r w:rsidR="00C536FC">
        <w:rPr>
          <w:rStyle w:val="JuParaChar1"/>
        </w:rPr>
        <w:t xml:space="preserve">down </w:t>
      </w:r>
      <w:r w:rsidRPr="00F71765" w:rsidR="00BB6593">
        <w:rPr>
          <w:rStyle w:val="JuParaChar1"/>
        </w:rPr>
        <w:t>or significantly restructured.</w:t>
      </w:r>
    </w:p>
    <w:p w:rsidRPr="00F71765" w:rsidR="00537913" w:rsidP="00252EB8" w:rsidRDefault="00BB5585">
      <w:pPr>
        <w:pStyle w:val="JuParaChar"/>
        <w:rPr>
          <w:rStyle w:val="JuParaChar1"/>
        </w:rPr>
      </w:pPr>
      <w:r>
        <w:fldChar w:fldCharType="begin"/>
      </w:r>
      <w:r>
        <w:instrText xml:space="preserve"> SEQ level0 \*arabic </w:instrText>
      </w:r>
      <w:r>
        <w:fldChar w:fldCharType="separate"/>
      </w:r>
      <w:r w:rsidR="008C3401">
        <w:rPr>
          <w:noProof/>
        </w:rPr>
        <w:t>117</w:t>
      </w:r>
      <w:r>
        <w:fldChar w:fldCharType="end"/>
      </w:r>
      <w:r>
        <w:t>.  </w:t>
      </w:r>
      <w:r w:rsidR="002962A5">
        <w:t>T</w:t>
      </w:r>
      <w:r w:rsidRPr="00F71765" w:rsidR="002962A5">
        <w:rPr>
          <w:rStyle w:val="JuParaChar1"/>
        </w:rPr>
        <w:t xml:space="preserve">he main purpose of the sanitary security zone is to separate residential areas </w:t>
      </w:r>
      <w:r w:rsidRPr="00F71765" w:rsidR="00105991">
        <w:rPr>
          <w:rStyle w:val="JuParaChar1"/>
        </w:rPr>
        <w:t xml:space="preserve">from </w:t>
      </w:r>
      <w:r w:rsidRPr="00F71765" w:rsidR="002962A5">
        <w:rPr>
          <w:rStyle w:val="JuParaChar1"/>
        </w:rPr>
        <w:t>the sources of pollution and thus to minimi</w:t>
      </w:r>
      <w:r w:rsidRPr="00F71765" w:rsidR="00105991">
        <w:rPr>
          <w:rStyle w:val="JuParaChar1"/>
        </w:rPr>
        <w:t>se</w:t>
      </w:r>
      <w:r w:rsidRPr="00F71765" w:rsidR="002962A5">
        <w:rPr>
          <w:rStyle w:val="JuParaChar1"/>
        </w:rPr>
        <w:t xml:space="preserve"> the negative effects thereof</w:t>
      </w:r>
      <w:r w:rsidRPr="00F71765" w:rsidR="00537913">
        <w:rPr>
          <w:rStyle w:val="JuParaChar1"/>
        </w:rPr>
        <w:t xml:space="preserve"> on the neighbouring population</w:t>
      </w:r>
      <w:r w:rsidRPr="00F71765" w:rsidR="002962A5">
        <w:rPr>
          <w:rStyle w:val="JuParaChar1"/>
        </w:rPr>
        <w:t xml:space="preserve">. </w:t>
      </w:r>
      <w:r w:rsidR="002962A5">
        <w:t>T</w:t>
      </w:r>
      <w:r w:rsidRPr="00F71765" w:rsidR="002962A5">
        <w:rPr>
          <w:rStyle w:val="JuParaChar1"/>
        </w:rPr>
        <w:t>he Government ha</w:t>
      </w:r>
      <w:r w:rsidRPr="00F71765" w:rsidR="00105991">
        <w:rPr>
          <w:rStyle w:val="JuParaChar1"/>
        </w:rPr>
        <w:t>ve</w:t>
      </w:r>
      <w:r w:rsidRPr="00F71765" w:rsidR="002962A5">
        <w:rPr>
          <w:rStyle w:val="JuParaChar1"/>
        </w:rPr>
        <w:t xml:space="preserve"> shown that</w:t>
      </w:r>
      <w:r w:rsidRPr="00F71765" w:rsidR="00105991">
        <w:rPr>
          <w:rStyle w:val="JuParaChar1"/>
        </w:rPr>
        <w:t>,</w:t>
      </w:r>
      <w:r w:rsidRPr="00F71765" w:rsidR="002962A5">
        <w:rPr>
          <w:rStyle w:val="JuParaChar1"/>
        </w:rPr>
        <w:t xml:space="preserve"> in the course of the </w:t>
      </w:r>
      <w:r w:rsidRPr="00F71765" w:rsidR="00105991">
        <w:rPr>
          <w:rStyle w:val="JuParaChar1"/>
        </w:rPr>
        <w:t xml:space="preserve">past </w:t>
      </w:r>
      <w:r w:rsidRPr="00F71765" w:rsidR="002962A5">
        <w:rPr>
          <w:rStyle w:val="JuParaChar1"/>
        </w:rPr>
        <w:t>twenty years</w:t>
      </w:r>
      <w:r w:rsidRPr="00F71765" w:rsidR="00105991">
        <w:rPr>
          <w:rStyle w:val="JuParaChar1"/>
        </w:rPr>
        <w:t>,</w:t>
      </w:r>
      <w:r w:rsidRPr="00F71765" w:rsidR="002962A5">
        <w:rPr>
          <w:rStyle w:val="JuParaChar1"/>
        </w:rPr>
        <w:t xml:space="preserve"> overall emissions from the Severstal </w:t>
      </w:r>
      <w:r w:rsidR="002F22AF">
        <w:rPr>
          <w:rStyle w:val="JuParaChar1"/>
        </w:rPr>
        <w:t>steel plant</w:t>
      </w:r>
      <w:r w:rsidRPr="00F71765" w:rsidR="002962A5">
        <w:rPr>
          <w:rStyle w:val="JuParaChar1"/>
        </w:rPr>
        <w:t xml:space="preserve"> have been significantly reduced, and</w:t>
      </w:r>
      <w:r w:rsidRPr="00F71765" w:rsidR="00105991">
        <w:rPr>
          <w:rStyle w:val="JuParaChar1"/>
        </w:rPr>
        <w:t xml:space="preserve"> </w:t>
      </w:r>
      <w:r w:rsidRPr="00F71765" w:rsidR="002962A5">
        <w:rPr>
          <w:rStyle w:val="JuParaChar1"/>
        </w:rPr>
        <w:t>this trend can only be welcomed</w:t>
      </w:r>
      <w:r w:rsidR="000B0583">
        <w:rPr>
          <w:rStyle w:val="JuParaChar1"/>
        </w:rPr>
        <w:t xml:space="preserve"> (see paragraph</w:t>
      </w:r>
      <w:r w:rsidR="00C536FC">
        <w:rPr>
          <w:rStyle w:val="JuParaChar1"/>
        </w:rPr>
        <w:t>s</w:t>
      </w:r>
      <w:r w:rsidRPr="00F71765" w:rsidR="006445E5">
        <w:rPr>
          <w:rStyle w:val="JuParaChar1"/>
        </w:rPr>
        <w:t xml:space="preserve"> </w:t>
      </w:r>
      <w:r w:rsidR="004326EE">
        <w:rPr>
          <w:color w:val="000000"/>
        </w:rPr>
        <w:t>37</w:t>
      </w:r>
      <w:r w:rsidRPr="00F71765" w:rsidR="0034443D">
        <w:rPr>
          <w:rStyle w:val="JuParaChar1"/>
        </w:rPr>
        <w:t xml:space="preserve"> et seq.</w:t>
      </w:r>
      <w:r w:rsidR="000B0583">
        <w:rPr>
          <w:rStyle w:val="JuParaChar1"/>
        </w:rPr>
        <w:t xml:space="preserve"> above</w:t>
      </w:r>
      <w:r w:rsidRPr="00F71765" w:rsidR="006445E5">
        <w:rPr>
          <w:rStyle w:val="JuParaChar1"/>
        </w:rPr>
        <w:t>)</w:t>
      </w:r>
      <w:r w:rsidRPr="00F71765" w:rsidR="002962A5">
        <w:rPr>
          <w:rStyle w:val="JuParaChar1"/>
        </w:rPr>
        <w:t xml:space="preserve">. However, within the </w:t>
      </w:r>
      <w:r w:rsidRPr="00F71765" w:rsidR="00105991">
        <w:rPr>
          <w:rStyle w:val="JuParaChar1"/>
        </w:rPr>
        <w:t xml:space="preserve">entire </w:t>
      </w:r>
      <w:r w:rsidRPr="00F71765" w:rsidR="002962A5">
        <w:rPr>
          <w:rStyle w:val="JuParaChar1"/>
        </w:rPr>
        <w:t>period under consideration (since 1998)</w:t>
      </w:r>
      <w:r w:rsidRPr="00F71765" w:rsidR="00AC543D">
        <w:rPr>
          <w:rStyle w:val="JuParaChar1"/>
        </w:rPr>
        <w:t>,</w:t>
      </w:r>
      <w:r w:rsidRPr="00F71765" w:rsidR="002962A5">
        <w:rPr>
          <w:rStyle w:val="JuParaChar1"/>
        </w:rPr>
        <w:t xml:space="preserve"> pollution levels with respect to a number of dangerous substances </w:t>
      </w:r>
      <w:r w:rsidRPr="00F71765" w:rsidR="00105991">
        <w:rPr>
          <w:rStyle w:val="JuParaChar1"/>
        </w:rPr>
        <w:t xml:space="preserve">have continued to </w:t>
      </w:r>
      <w:r w:rsidRPr="00F71765" w:rsidR="002962A5">
        <w:rPr>
          <w:rStyle w:val="JuParaChar1"/>
        </w:rPr>
        <w:t>exceed</w:t>
      </w:r>
      <w:r w:rsidRPr="00F71765" w:rsidR="00105991">
        <w:rPr>
          <w:rStyle w:val="JuParaChar1"/>
        </w:rPr>
        <w:t xml:space="preserve"> </w:t>
      </w:r>
      <w:r w:rsidRPr="00F71765" w:rsidR="002962A5">
        <w:rPr>
          <w:rStyle w:val="JuParaChar1"/>
        </w:rPr>
        <w:t xml:space="preserve">the safe levels. </w:t>
      </w:r>
      <w:r w:rsidRPr="00F71765" w:rsidR="00105991">
        <w:rPr>
          <w:rStyle w:val="JuParaChar1"/>
        </w:rPr>
        <w:t xml:space="preserve">Consequently, </w:t>
      </w:r>
      <w:r w:rsidR="000B0583">
        <w:rPr>
          <w:rStyle w:val="JuParaChar1"/>
        </w:rPr>
        <w:t>it would only be possible for</w:t>
      </w:r>
      <w:r w:rsidRPr="00F71765" w:rsidR="002962A5">
        <w:rPr>
          <w:rStyle w:val="JuParaChar1"/>
        </w:rPr>
        <w:t xml:space="preserve"> the Severstal plant</w:t>
      </w:r>
      <w:r w:rsidR="000B0583">
        <w:rPr>
          <w:rStyle w:val="JuParaChar1"/>
        </w:rPr>
        <w:t xml:space="preserve"> to operate</w:t>
      </w:r>
      <w:r w:rsidRPr="00F71765" w:rsidR="002962A5">
        <w:rPr>
          <w:rStyle w:val="JuParaChar1"/>
        </w:rPr>
        <w:t xml:space="preserve"> in conformity with the domestic environmental standards if this zone</w:t>
      </w:r>
      <w:r w:rsidRPr="00F71765" w:rsidR="00537913">
        <w:rPr>
          <w:rStyle w:val="JuParaChar1"/>
        </w:rPr>
        <w:t xml:space="preserve">, separating the </w:t>
      </w:r>
      <w:r w:rsidR="00C536FC">
        <w:rPr>
          <w:rStyle w:val="JuParaChar1"/>
        </w:rPr>
        <w:t>undertaking</w:t>
      </w:r>
      <w:r w:rsidRPr="00F71765" w:rsidR="00537913">
        <w:rPr>
          <w:rStyle w:val="JuParaChar1"/>
        </w:rPr>
        <w:t xml:space="preserve"> from the residential areas</w:t>
      </w:r>
      <w:r w:rsidRPr="00F71765" w:rsidR="00A7295D">
        <w:rPr>
          <w:rStyle w:val="JuParaChar1"/>
        </w:rPr>
        <w:t xml:space="preserve"> of the </w:t>
      </w:r>
      <w:r w:rsidRPr="00F71765" w:rsidR="00BA5D4D">
        <w:rPr>
          <w:rStyle w:val="JuParaChar1"/>
        </w:rPr>
        <w:t>town</w:t>
      </w:r>
      <w:r w:rsidRPr="00F71765" w:rsidR="00537913">
        <w:rPr>
          <w:rStyle w:val="JuParaChar1"/>
        </w:rPr>
        <w:t>,</w:t>
      </w:r>
      <w:r w:rsidRPr="00F71765" w:rsidR="00A7295D">
        <w:rPr>
          <w:rStyle w:val="JuParaChar1"/>
        </w:rPr>
        <w:t xml:space="preserve"> continued to exist</w:t>
      </w:r>
      <w:r w:rsidRPr="00F71765" w:rsidR="006445E5">
        <w:rPr>
          <w:rStyle w:val="JuParaChar1"/>
        </w:rPr>
        <w:t xml:space="preserve"> and served its purpose</w:t>
      </w:r>
      <w:r w:rsidRPr="00F71765" w:rsidR="00A7295D">
        <w:rPr>
          <w:rStyle w:val="JuParaChar1"/>
        </w:rPr>
        <w:t>.</w:t>
      </w:r>
    </w:p>
    <w:p w:rsidRPr="00F71765" w:rsidR="00537913" w:rsidP="00252EB8" w:rsidRDefault="00BB5585">
      <w:pPr>
        <w:pStyle w:val="JuParaChar"/>
        <w:rPr>
          <w:rStyle w:val="JuParaChar1"/>
        </w:rPr>
      </w:pPr>
      <w:r>
        <w:rPr>
          <w:color w:val="000000"/>
        </w:rPr>
        <w:fldChar w:fldCharType="begin"/>
      </w:r>
      <w:r>
        <w:rPr>
          <w:color w:val="000000"/>
        </w:rPr>
        <w:instrText xml:space="preserve"> SEQ level0 \*arabic </w:instrText>
      </w:r>
      <w:r>
        <w:rPr>
          <w:color w:val="000000"/>
        </w:rPr>
        <w:fldChar w:fldCharType="separate"/>
      </w:r>
      <w:r w:rsidR="008C3401">
        <w:rPr>
          <w:noProof/>
          <w:color w:val="000000"/>
        </w:rPr>
        <w:t>118</w:t>
      </w:r>
      <w:r>
        <w:rPr>
          <w:color w:val="000000"/>
        </w:rPr>
        <w:fldChar w:fldCharType="end"/>
      </w:r>
      <w:r w:rsidRPr="00F71765">
        <w:rPr>
          <w:rStyle w:val="JuParaChar1"/>
        </w:rPr>
        <w:t>.  </w:t>
      </w:r>
      <w:r w:rsidRPr="00F71765" w:rsidR="00537913">
        <w:rPr>
          <w:rStyle w:val="JuParaChar1"/>
        </w:rPr>
        <w:t>The parties argue as to the actual size of th</w:t>
      </w:r>
      <w:r w:rsidRPr="00F71765" w:rsidR="00AC543D">
        <w:rPr>
          <w:rStyle w:val="JuParaChar1"/>
        </w:rPr>
        <w:t>e</w:t>
      </w:r>
      <w:r w:rsidRPr="00F71765" w:rsidR="00537913">
        <w:rPr>
          <w:rStyle w:val="JuParaChar1"/>
        </w:rPr>
        <w:t xml:space="preserve"> zone</w:t>
      </w:r>
      <w:r w:rsidRPr="00F71765" w:rsidR="00BF1660">
        <w:rPr>
          <w:rStyle w:val="JuParaChar1"/>
        </w:rPr>
        <w:t>.</w:t>
      </w:r>
      <w:r w:rsidRPr="00F71765" w:rsidR="00537913">
        <w:rPr>
          <w:rStyle w:val="JuParaChar1"/>
        </w:rPr>
        <w:t xml:space="preserve"> </w:t>
      </w:r>
      <w:r w:rsidRPr="00F71765" w:rsidR="00BF1660">
        <w:rPr>
          <w:rStyle w:val="JuParaChar1"/>
        </w:rPr>
        <w:t>I</w:t>
      </w:r>
      <w:r w:rsidRPr="00F71765" w:rsidR="00D87C4F">
        <w:rPr>
          <w:rStyle w:val="JuParaChar1"/>
        </w:rPr>
        <w:t xml:space="preserve">n their later post-admissibility observations and oral submissions to </w:t>
      </w:r>
      <w:r w:rsidR="00537913">
        <w:t>the Court</w:t>
      </w:r>
      <w:r w:rsidR="000B0583">
        <w:t>,</w:t>
      </w:r>
      <w:r w:rsidR="00537913">
        <w:t xml:space="preserve"> the Government denied that the applicant lived within its bo</w:t>
      </w:r>
      <w:r w:rsidR="00AC543D">
        <w:t>undaries</w:t>
      </w:r>
      <w:r w:rsidR="00537913">
        <w:t>. However, in their initial observations the Government</w:t>
      </w:r>
      <w:r w:rsidR="00D87C4F">
        <w:t xml:space="preserve"> </w:t>
      </w:r>
      <w:r w:rsidR="00C536FC">
        <w:t>openly</w:t>
      </w:r>
      <w:r w:rsidR="00D87C4F">
        <w:t xml:space="preserve"> stated that the applicant</w:t>
      </w:r>
      <w:r w:rsidR="009952BE">
        <w:t>'</w:t>
      </w:r>
      <w:r w:rsidR="00D87C4F">
        <w:t>s ho</w:t>
      </w:r>
      <w:r w:rsidR="00C536FC">
        <w:t>me</w:t>
      </w:r>
      <w:r w:rsidR="00D87C4F">
        <w:t xml:space="preserve"> was located within the zone</w:t>
      </w:r>
      <w:r w:rsidR="00537913">
        <w:t xml:space="preserve">. </w:t>
      </w:r>
      <w:r w:rsidR="00A7295D">
        <w:t xml:space="preserve">The fact that the </w:t>
      </w:r>
      <w:r w:rsidR="00105991">
        <w:t xml:space="preserve">Severstal </w:t>
      </w:r>
      <w:r w:rsidR="002F22AF">
        <w:t>steel plant</w:t>
      </w:r>
      <w:r w:rsidR="009952BE">
        <w:t>'</w:t>
      </w:r>
      <w:r w:rsidR="00105991">
        <w:t xml:space="preserve">s </w:t>
      </w:r>
      <w:r w:rsidR="00A7295D">
        <w:t xml:space="preserve">sanitary security zone </w:t>
      </w:r>
      <w:r w:rsidR="00105991">
        <w:t>include</w:t>
      </w:r>
      <w:r w:rsidR="00C536FC">
        <w:t>d</w:t>
      </w:r>
      <w:r w:rsidR="00105991">
        <w:t xml:space="preserve"> </w:t>
      </w:r>
      <w:r w:rsidR="00A7295D">
        <w:t xml:space="preserve">residential areas of the </w:t>
      </w:r>
      <w:r w:rsidR="00BA5D4D">
        <w:t xml:space="preserve">town </w:t>
      </w:r>
      <w:r w:rsidR="00A7295D">
        <w:t xml:space="preserve">was confirmed </w:t>
      </w:r>
      <w:r w:rsidR="00105991">
        <w:t xml:space="preserve">in </w:t>
      </w:r>
      <w:r w:rsidR="000B0583">
        <w:t xml:space="preserve">the </w:t>
      </w:r>
      <w:r w:rsidR="00F3789E">
        <w:t>federal</w:t>
      </w:r>
      <w:r w:rsidR="00A7295D">
        <w:t xml:space="preserve"> </w:t>
      </w:r>
      <w:r w:rsidR="000B0583">
        <w:t>p</w:t>
      </w:r>
      <w:r w:rsidR="00A7295D">
        <w:t>rogram</w:t>
      </w:r>
      <w:r w:rsidR="00105991">
        <w:t>me</w:t>
      </w:r>
      <w:r w:rsidR="00A7295D">
        <w:t xml:space="preserve"> of 1996 (see </w:t>
      </w:r>
      <w:r w:rsidR="000B0583">
        <w:t xml:space="preserve">paragraph </w:t>
      </w:r>
      <w:r w:rsidR="004326EE">
        <w:t>15</w:t>
      </w:r>
      <w:r w:rsidR="000B0583">
        <w:t xml:space="preserve"> above</w:t>
      </w:r>
      <w:r w:rsidR="00A7295D">
        <w:t>).</w:t>
      </w:r>
      <w:r w:rsidR="00537913">
        <w:t xml:space="preserve"> </w:t>
      </w:r>
      <w:r w:rsidR="00A7295D">
        <w:t>A</w:t>
      </w:r>
      <w:r w:rsidR="00537913">
        <w:t xml:space="preserve">s </w:t>
      </w:r>
      <w:r w:rsidR="00A7295D">
        <w:t>regards</w:t>
      </w:r>
      <w:r w:rsidR="00105991">
        <w:t xml:space="preserve"> </w:t>
      </w:r>
      <w:r w:rsidR="00A7295D">
        <w:t>the applicant</w:t>
      </w:r>
      <w:r w:rsidR="009952BE">
        <w:t>'</w:t>
      </w:r>
      <w:r w:rsidR="00A7295D">
        <w:t>s ho</w:t>
      </w:r>
      <w:r w:rsidR="00C536FC">
        <w:t>me</w:t>
      </w:r>
      <w:r w:rsidR="00105991">
        <w:t xml:space="preserve"> in particular</w:t>
      </w:r>
      <w:r w:rsidR="00537913">
        <w:t xml:space="preserve">, the fact that </w:t>
      </w:r>
      <w:r w:rsidR="00A7295D">
        <w:t xml:space="preserve">it </w:t>
      </w:r>
      <w:r w:rsidR="00537913">
        <w:t xml:space="preserve">was </w:t>
      </w:r>
      <w:r w:rsidR="00A7295D">
        <w:t xml:space="preserve">located </w:t>
      </w:r>
      <w:r w:rsidR="00537913">
        <w:t xml:space="preserve">within the </w:t>
      </w:r>
      <w:r w:rsidR="002F22AF">
        <w:t>steel plant</w:t>
      </w:r>
      <w:r w:rsidR="009952BE">
        <w:t>'</w:t>
      </w:r>
      <w:r w:rsidR="00105991">
        <w:t xml:space="preserve">s </w:t>
      </w:r>
      <w:r w:rsidR="00537913">
        <w:t xml:space="preserve">sanitary security zone was not disputed in the domestic proceedings and </w:t>
      </w:r>
      <w:r w:rsidR="00C536FC">
        <w:t>was</w:t>
      </w:r>
      <w:r w:rsidR="00537913">
        <w:t xml:space="preserve"> confirmed by the domestic authorities</w:t>
      </w:r>
      <w:r w:rsidRPr="009943D8" w:rsidR="00537913">
        <w:t xml:space="preserve"> </w:t>
      </w:r>
      <w:r w:rsidR="00537913">
        <w:t>on many occasions.</w:t>
      </w:r>
      <w:r w:rsidR="00A7295D">
        <w:t xml:space="preserve"> </w:t>
      </w:r>
      <w:r w:rsidR="00537913">
        <w:t xml:space="preserve">The status of the zone </w:t>
      </w:r>
      <w:r w:rsidR="00105991">
        <w:t xml:space="preserve">was </w:t>
      </w:r>
      <w:r w:rsidR="00537913">
        <w:t xml:space="preserve">challenged only after the application had been communicated to the </w:t>
      </w:r>
      <w:r w:rsidR="00CE1068">
        <w:t xml:space="preserve">respondent </w:t>
      </w:r>
      <w:r w:rsidR="00537913">
        <w:t xml:space="preserve">Government. Therefore, the Court assumes that </w:t>
      </w:r>
      <w:r w:rsidR="00AC543D">
        <w:t xml:space="preserve">during </w:t>
      </w:r>
      <w:r w:rsidR="00537913">
        <w:t xml:space="preserve">the period under consideration the applicant lived </w:t>
      </w:r>
      <w:r w:rsidR="00105991">
        <w:t>within Severstal</w:t>
      </w:r>
      <w:r w:rsidR="009952BE">
        <w:t>'</w:t>
      </w:r>
      <w:r w:rsidR="00AC543D">
        <w:t>s</w:t>
      </w:r>
      <w:r w:rsidR="00105991">
        <w:t xml:space="preserve"> </w:t>
      </w:r>
      <w:r w:rsidR="00537913">
        <w:t>sanitary security zone.</w:t>
      </w:r>
    </w:p>
    <w:p w:rsidRPr="00F71765" w:rsidR="00537913" w:rsidP="00252EB8" w:rsidRDefault="00BB5585">
      <w:pPr>
        <w:pStyle w:val="JuParaChar"/>
        <w:rPr>
          <w:rStyle w:val="JuParaChar1"/>
        </w:rPr>
      </w:pPr>
      <w:r>
        <w:rPr>
          <w:color w:val="000000"/>
        </w:rPr>
        <w:fldChar w:fldCharType="begin"/>
      </w:r>
      <w:r>
        <w:rPr>
          <w:color w:val="000000"/>
        </w:rPr>
        <w:instrText xml:space="preserve"> SEQ level0 \*arabic </w:instrText>
      </w:r>
      <w:r>
        <w:rPr>
          <w:color w:val="000000"/>
        </w:rPr>
        <w:fldChar w:fldCharType="separate"/>
      </w:r>
      <w:r w:rsidR="008C3401">
        <w:rPr>
          <w:noProof/>
          <w:color w:val="000000"/>
        </w:rPr>
        <w:t>119</w:t>
      </w:r>
      <w:r>
        <w:rPr>
          <w:color w:val="000000"/>
        </w:rPr>
        <w:fldChar w:fldCharType="end"/>
      </w:r>
      <w:r w:rsidRPr="00F71765">
        <w:rPr>
          <w:rStyle w:val="JuParaChar1"/>
        </w:rPr>
        <w:t>.  </w:t>
      </w:r>
      <w:r w:rsidRPr="00F71765" w:rsidR="00537913">
        <w:rPr>
          <w:rStyle w:val="JuParaChar1"/>
        </w:rPr>
        <w:t xml:space="preserve">The Government further submitted that </w:t>
      </w:r>
      <w:r w:rsidRPr="00F71765" w:rsidR="00105991">
        <w:rPr>
          <w:rStyle w:val="JuParaChar1"/>
        </w:rPr>
        <w:t xml:space="preserve">the pollution levels attributable to the metallurgic industry </w:t>
      </w:r>
      <w:r w:rsidR="00C536FC">
        <w:rPr>
          <w:rStyle w:val="JuParaChar1"/>
        </w:rPr>
        <w:t>were</w:t>
      </w:r>
      <w:r w:rsidRPr="00F71765" w:rsidR="00105991">
        <w:rPr>
          <w:rStyle w:val="JuParaChar1"/>
        </w:rPr>
        <w:t xml:space="preserve"> the same if not higher </w:t>
      </w:r>
      <w:r w:rsidRPr="00F71765" w:rsidR="00537913">
        <w:rPr>
          <w:rStyle w:val="JuParaChar1"/>
        </w:rPr>
        <w:t xml:space="preserve">in other districts of </w:t>
      </w:r>
      <w:smartTag w:uri="urn:schemas-microsoft-com:office:smarttags" w:element="City">
        <w:smartTag w:uri="urn:schemas-microsoft-com:office:smarttags" w:element="place">
          <w:r w:rsidR="00537913" w:rsidRPr="00F71765">
            <w:rPr>
              <w:rStyle w:val="JuParaChar1"/>
            </w:rPr>
            <w:t>Cherepovets</w:t>
          </w:r>
        </w:smartTag>
      </w:smartTag>
      <w:r w:rsidRPr="00F71765" w:rsidR="00537913">
        <w:rPr>
          <w:rStyle w:val="JuParaChar1"/>
        </w:rPr>
        <w:t xml:space="preserve"> than those registered near the applicant</w:t>
      </w:r>
      <w:r w:rsidR="009952BE">
        <w:rPr>
          <w:rStyle w:val="JuParaChar1"/>
        </w:rPr>
        <w:t>'</w:t>
      </w:r>
      <w:r w:rsidRPr="00F71765" w:rsidR="00537913">
        <w:rPr>
          <w:rStyle w:val="JuParaChar1"/>
        </w:rPr>
        <w:t>s home</w:t>
      </w:r>
      <w:r w:rsidR="000B0583">
        <w:rPr>
          <w:rStyle w:val="JuParaChar1"/>
        </w:rPr>
        <w:t xml:space="preserve"> (see paragraph</w:t>
      </w:r>
      <w:r w:rsidRPr="00F71765" w:rsidR="006445E5">
        <w:rPr>
          <w:rStyle w:val="JuParaChar1"/>
        </w:rPr>
        <w:t xml:space="preserve"> </w:t>
      </w:r>
      <w:r w:rsidR="004326EE">
        <w:rPr>
          <w:color w:val="000000"/>
        </w:rPr>
        <w:t>39</w:t>
      </w:r>
      <w:r w:rsidR="000B0583">
        <w:rPr>
          <w:color w:val="000000"/>
        </w:rPr>
        <w:t xml:space="preserve"> above</w:t>
      </w:r>
      <w:r w:rsidRPr="00F71765" w:rsidR="006445E5">
        <w:rPr>
          <w:rStyle w:val="JuParaChar1"/>
        </w:rPr>
        <w:t>)</w:t>
      </w:r>
      <w:r w:rsidRPr="00F71765" w:rsidR="00537913">
        <w:rPr>
          <w:rStyle w:val="JuParaChar1"/>
        </w:rPr>
        <w:t xml:space="preserve">. However, this </w:t>
      </w:r>
      <w:r w:rsidRPr="00F71765" w:rsidR="00105991">
        <w:rPr>
          <w:rStyle w:val="JuParaChar1"/>
        </w:rPr>
        <w:t xml:space="preserve">proves </w:t>
      </w:r>
      <w:r w:rsidRPr="00F71765" w:rsidR="00537913">
        <w:rPr>
          <w:rStyle w:val="JuParaChar1"/>
        </w:rPr>
        <w:t xml:space="preserve">only that the Severstal </w:t>
      </w:r>
      <w:r w:rsidR="002F22AF">
        <w:rPr>
          <w:rStyle w:val="JuParaChar1"/>
        </w:rPr>
        <w:t>steel plant</w:t>
      </w:r>
      <w:r w:rsidRPr="00F71765" w:rsidR="00537913">
        <w:rPr>
          <w:rStyle w:val="JuParaChar1"/>
        </w:rPr>
        <w:t xml:space="preserve"> </w:t>
      </w:r>
      <w:r w:rsidRPr="00F71765" w:rsidR="00105991">
        <w:rPr>
          <w:rStyle w:val="JuParaChar1"/>
        </w:rPr>
        <w:t xml:space="preserve">has failed to </w:t>
      </w:r>
      <w:r w:rsidRPr="00F71765" w:rsidR="00537913">
        <w:rPr>
          <w:rStyle w:val="JuParaChar1"/>
        </w:rPr>
        <w:t xml:space="preserve">comply with domestic environmental </w:t>
      </w:r>
      <w:r w:rsidRPr="00F71765" w:rsidR="00AC543D">
        <w:rPr>
          <w:rStyle w:val="JuParaChar1"/>
        </w:rPr>
        <w:t xml:space="preserve">norms </w:t>
      </w:r>
      <w:r w:rsidRPr="00F71765" w:rsidR="00537913">
        <w:rPr>
          <w:rStyle w:val="JuParaChar1"/>
        </w:rPr>
        <w:t xml:space="preserve">and </w:t>
      </w:r>
      <w:r w:rsidRPr="00F71765" w:rsidR="00105991">
        <w:rPr>
          <w:rStyle w:val="JuParaChar1"/>
        </w:rPr>
        <w:t xml:space="preserve">suggests that </w:t>
      </w:r>
      <w:r w:rsidRPr="00F71765" w:rsidR="00537913">
        <w:rPr>
          <w:rStyle w:val="JuParaChar1"/>
        </w:rPr>
        <w:t xml:space="preserve">a </w:t>
      </w:r>
      <w:r w:rsidRPr="00F71765" w:rsidR="00105991">
        <w:rPr>
          <w:rStyle w:val="JuParaChar1"/>
        </w:rPr>
        <w:t xml:space="preserve">wider </w:t>
      </w:r>
      <w:r w:rsidRPr="00F71765" w:rsidR="00537913">
        <w:rPr>
          <w:rStyle w:val="JuParaChar1"/>
        </w:rPr>
        <w:t xml:space="preserve">sanitary security zone should </w:t>
      </w:r>
      <w:r w:rsidRPr="00F71765" w:rsidR="00105991">
        <w:rPr>
          <w:rStyle w:val="JuParaChar1"/>
        </w:rPr>
        <w:t xml:space="preserve">perhaps </w:t>
      </w:r>
      <w:r w:rsidRPr="00F71765" w:rsidR="00537913">
        <w:rPr>
          <w:rStyle w:val="JuParaChar1"/>
        </w:rPr>
        <w:t>have been</w:t>
      </w:r>
      <w:r w:rsidRPr="00F71765" w:rsidR="00B01305">
        <w:rPr>
          <w:rStyle w:val="JuParaChar1"/>
        </w:rPr>
        <w:t xml:space="preserve"> required</w:t>
      </w:r>
      <w:r w:rsidRPr="00F71765" w:rsidR="00537913">
        <w:rPr>
          <w:rStyle w:val="JuParaChar1"/>
        </w:rPr>
        <w:t>. In any event, this argument does not affect the Court</w:t>
      </w:r>
      <w:r w:rsidR="009952BE">
        <w:rPr>
          <w:rStyle w:val="JuParaChar1"/>
        </w:rPr>
        <w:t>'</w:t>
      </w:r>
      <w:r w:rsidRPr="00F71765" w:rsidR="00537913">
        <w:rPr>
          <w:rStyle w:val="JuParaChar1"/>
        </w:rPr>
        <w:t xml:space="preserve">s conclusion that the applicant lived in a special zone where the </w:t>
      </w:r>
      <w:r w:rsidRPr="00F71765" w:rsidR="00B01305">
        <w:rPr>
          <w:rStyle w:val="JuParaChar1"/>
        </w:rPr>
        <w:t xml:space="preserve">industrial </w:t>
      </w:r>
      <w:r w:rsidRPr="00F71765" w:rsidR="00537913">
        <w:rPr>
          <w:rStyle w:val="JuParaChar1"/>
        </w:rPr>
        <w:t>pollution exceeded safe levels and where any housing was in principle prohibited</w:t>
      </w:r>
      <w:r w:rsidRPr="00F71765" w:rsidR="00B01305">
        <w:rPr>
          <w:rStyle w:val="JuParaChar1"/>
        </w:rPr>
        <w:t xml:space="preserve"> by the domestic l</w:t>
      </w:r>
      <w:r w:rsidRPr="00F71765" w:rsidR="00105991">
        <w:rPr>
          <w:rStyle w:val="JuParaChar1"/>
        </w:rPr>
        <w:t>egislation</w:t>
      </w:r>
      <w:r w:rsidRPr="00F71765" w:rsidR="00537913">
        <w:rPr>
          <w:rStyle w:val="JuParaChar1"/>
        </w:rPr>
        <w:t>.</w:t>
      </w:r>
    </w:p>
    <w:p w:rsidRPr="00F71765" w:rsidR="00537913" w:rsidP="00252EB8" w:rsidRDefault="00BB5585">
      <w:pPr>
        <w:pStyle w:val="JuParaChar"/>
        <w:rPr>
          <w:rStyle w:val="JuParaChar1"/>
        </w:rPr>
      </w:pPr>
      <w:r>
        <w:rPr>
          <w:color w:val="000000"/>
        </w:rPr>
        <w:fldChar w:fldCharType="begin"/>
      </w:r>
      <w:r>
        <w:rPr>
          <w:color w:val="000000"/>
        </w:rPr>
        <w:instrText xml:space="preserve"> SEQ level0 \*arabic </w:instrText>
      </w:r>
      <w:r>
        <w:rPr>
          <w:color w:val="000000"/>
        </w:rPr>
        <w:fldChar w:fldCharType="separate"/>
      </w:r>
      <w:r w:rsidR="008C3401">
        <w:rPr>
          <w:noProof/>
          <w:color w:val="000000"/>
        </w:rPr>
        <w:t>120</w:t>
      </w:r>
      <w:r>
        <w:rPr>
          <w:color w:val="000000"/>
        </w:rPr>
        <w:fldChar w:fldCharType="end"/>
      </w:r>
      <w:r w:rsidRPr="00F71765">
        <w:rPr>
          <w:rStyle w:val="JuParaChar1"/>
        </w:rPr>
        <w:t>.  </w:t>
      </w:r>
      <w:r w:rsidRPr="00F71765" w:rsidR="00537913">
        <w:rPr>
          <w:rStyle w:val="JuParaChar1"/>
        </w:rPr>
        <w:t>It is material that</w:t>
      </w:r>
      <w:r w:rsidR="00537913">
        <w:t xml:space="preserve"> the applicant moved to this </w:t>
      </w:r>
      <w:r w:rsidR="00105991">
        <w:t xml:space="preserve">location </w:t>
      </w:r>
      <w:r w:rsidR="00537913">
        <w:t xml:space="preserve">in 1982 knowing that the environmental situation in the area </w:t>
      </w:r>
      <w:r w:rsidR="00105991">
        <w:t>was</w:t>
      </w:r>
      <w:r w:rsidR="00537913">
        <w:t xml:space="preserve"> very unfavourable. </w:t>
      </w:r>
      <w:r w:rsidR="00AC543D">
        <w:t>However</w:t>
      </w:r>
      <w:r w:rsidR="00537913">
        <w:t>, given the shortage of housing at th</w:t>
      </w:r>
      <w:r w:rsidR="00105991">
        <w:t xml:space="preserve">at </w:t>
      </w:r>
      <w:r w:rsidR="00537913">
        <w:t xml:space="preserve">time and the fact that almost all residential buildings in industrial towns belonged to the State, it is very probable that the applicant had no choice </w:t>
      </w:r>
      <w:r w:rsidR="00105991">
        <w:t xml:space="preserve">other than </w:t>
      </w:r>
      <w:r w:rsidR="00537913">
        <w:t xml:space="preserve">to accept the flat </w:t>
      </w:r>
      <w:r w:rsidR="00AC543D">
        <w:t>offered t</w:t>
      </w:r>
      <w:r w:rsidR="00537913">
        <w:t xml:space="preserve">o </w:t>
      </w:r>
      <w:r w:rsidR="000B0583">
        <w:t>her family (see paragraph</w:t>
      </w:r>
      <w:r w:rsidR="00C536FC">
        <w:t>s</w:t>
      </w:r>
      <w:r w:rsidR="000B0583">
        <w:t xml:space="preserve"> </w:t>
      </w:r>
      <w:r w:rsidR="004326EE">
        <w:t>59</w:t>
      </w:r>
      <w:r w:rsidR="0034443D">
        <w:t xml:space="preserve"> et seq.</w:t>
      </w:r>
      <w:r w:rsidR="000B0583">
        <w:t xml:space="preserve"> above</w:t>
      </w:r>
      <w:r w:rsidR="00537913">
        <w:t xml:space="preserve">). Moreover, </w:t>
      </w:r>
      <w:r w:rsidR="00BF1660">
        <w:t>due to the relative scarcity of</w:t>
      </w:r>
      <w:r w:rsidR="00537913">
        <w:t xml:space="preserve"> environmental information</w:t>
      </w:r>
      <w:r w:rsidR="00BF1660">
        <w:t xml:space="preserve"> at th</w:t>
      </w:r>
      <w:r w:rsidR="00C536FC">
        <w:t>at</w:t>
      </w:r>
      <w:r w:rsidR="00BF1660">
        <w:t xml:space="preserve"> time</w:t>
      </w:r>
      <w:r w:rsidR="000B0583">
        <w:t>,</w:t>
      </w:r>
      <w:r w:rsidR="00BF1660">
        <w:t xml:space="preserve"> </w:t>
      </w:r>
      <w:r w:rsidR="00537913">
        <w:t xml:space="preserve">the applicant </w:t>
      </w:r>
      <w:r w:rsidR="00105991">
        <w:t xml:space="preserve">may </w:t>
      </w:r>
      <w:r w:rsidR="00537913">
        <w:t>have underestimated the seriousness of the pollution problem in her neighbourhood. It is also important that the applicant obtained th</w:t>
      </w:r>
      <w:r w:rsidR="00105991">
        <w:t xml:space="preserve">e </w:t>
      </w:r>
      <w:r w:rsidR="00537913">
        <w:t>flat lawfully from the State</w:t>
      </w:r>
      <w:r w:rsidR="00105991">
        <w:t xml:space="preserve">, </w:t>
      </w:r>
      <w:r w:rsidR="00537913">
        <w:t xml:space="preserve">which could not </w:t>
      </w:r>
      <w:r w:rsidR="00105991">
        <w:t xml:space="preserve">have been unaware </w:t>
      </w:r>
      <w:r w:rsidR="00537913">
        <w:t>that the flat was situated within the</w:t>
      </w:r>
      <w:r w:rsidR="00105991">
        <w:t xml:space="preserve"> </w:t>
      </w:r>
      <w:r w:rsidR="002F22AF">
        <w:t>steel plant</w:t>
      </w:r>
      <w:r w:rsidR="009952BE">
        <w:t>'</w:t>
      </w:r>
      <w:r w:rsidR="00105991">
        <w:t xml:space="preserve">s </w:t>
      </w:r>
      <w:r w:rsidR="00537913">
        <w:t xml:space="preserve">sanitary security zone and that the ecological situation was very </w:t>
      </w:r>
      <w:r w:rsidR="00AC543D">
        <w:t>poor</w:t>
      </w:r>
      <w:r w:rsidR="00537913">
        <w:t xml:space="preserve">. Therefore, it cannot be </w:t>
      </w:r>
      <w:r w:rsidR="00AC543D">
        <w:t xml:space="preserve">claimed </w:t>
      </w:r>
      <w:r w:rsidR="00537913">
        <w:t>that the applicant herself created the situation complained of</w:t>
      </w:r>
      <w:r w:rsidR="006445E5">
        <w:t xml:space="preserve"> or was somehow responsible for it.</w:t>
      </w:r>
    </w:p>
    <w:p w:rsidR="00B01305" w:rsidP="00252EB8" w:rsidRDefault="00BB5585">
      <w:pPr>
        <w:pStyle w:val="JuParaChar"/>
      </w:pPr>
      <w:r>
        <w:fldChar w:fldCharType="begin"/>
      </w:r>
      <w:r>
        <w:instrText xml:space="preserve"> SEQ level0 \*arabic </w:instrText>
      </w:r>
      <w:r>
        <w:fldChar w:fldCharType="separate"/>
      </w:r>
      <w:r w:rsidR="008C3401">
        <w:rPr>
          <w:noProof/>
        </w:rPr>
        <w:t>121</w:t>
      </w:r>
      <w:r>
        <w:fldChar w:fldCharType="end"/>
      </w:r>
      <w:r>
        <w:t>.  </w:t>
      </w:r>
      <w:r w:rsidR="00537913">
        <w:t xml:space="preserve">It is also relevant that it became possible </w:t>
      </w:r>
      <w:r w:rsidR="00105991">
        <w:t xml:space="preserve">in the 1990s </w:t>
      </w:r>
      <w:r w:rsidR="00537913">
        <w:t>to rent or buy residential property with</w:t>
      </w:r>
      <w:r w:rsidR="00105991">
        <w:t xml:space="preserve">out </w:t>
      </w:r>
      <w:r w:rsidR="00537913">
        <w:t>restrictions, and the applicant has not been prevented from moving away from the dangerous area.</w:t>
      </w:r>
      <w:r w:rsidR="00D87C4F">
        <w:t xml:space="preserve"> In this respect</w:t>
      </w:r>
      <w:r w:rsidR="00537913">
        <w:t xml:space="preserve"> </w:t>
      </w:r>
      <w:r w:rsidR="00D87C4F">
        <w:t>the Court observes that t</w:t>
      </w:r>
      <w:r w:rsidR="00537913">
        <w:t xml:space="preserve">he applicant was renting the flat at </w:t>
      </w:r>
      <w:smartTag w:uri="urn:schemas-microsoft-com:office:smarttags" w:element="Street">
        <w:smartTag w:uri="urn:schemas-microsoft-com:office:smarttags" w:element="address">
          <w:r w:rsidR="00537913">
            <w:t>1 Zhukov Street</w:t>
          </w:r>
        </w:smartTag>
      </w:smartTag>
      <w:r w:rsidR="00537913">
        <w:t xml:space="preserve"> </w:t>
      </w:r>
      <w:r w:rsidR="00105991">
        <w:t xml:space="preserve">from the local council </w:t>
      </w:r>
      <w:r w:rsidR="00537913">
        <w:t>as a life-long tenant. The conditions of her rent were much more favourable than th</w:t>
      </w:r>
      <w:r w:rsidR="00B01305">
        <w:t>ose</w:t>
      </w:r>
      <w:r w:rsidR="00537913">
        <w:t xml:space="preserve"> she would find </w:t>
      </w:r>
      <w:r w:rsidR="00105991">
        <w:t xml:space="preserve">on </w:t>
      </w:r>
      <w:r w:rsidR="00B01305">
        <w:t xml:space="preserve">the </w:t>
      </w:r>
      <w:r w:rsidR="00537913">
        <w:t xml:space="preserve">free market. </w:t>
      </w:r>
      <w:r w:rsidR="00105991">
        <w:t xml:space="preserve">Relocation </w:t>
      </w:r>
      <w:r w:rsidR="00537913">
        <w:t xml:space="preserve">to another </w:t>
      </w:r>
      <w:r w:rsidR="00105991">
        <w:t xml:space="preserve">home </w:t>
      </w:r>
      <w:r w:rsidR="00537913">
        <w:t xml:space="preserve">would imply </w:t>
      </w:r>
      <w:r w:rsidR="00105991">
        <w:t xml:space="preserve">considerable </w:t>
      </w:r>
      <w:r w:rsidR="000B0583">
        <w:t xml:space="preserve">financial </w:t>
      </w:r>
      <w:r w:rsidR="00105991">
        <w:t xml:space="preserve">outlay </w:t>
      </w:r>
      <w:r w:rsidR="00537913">
        <w:t>which</w:t>
      </w:r>
      <w:r w:rsidR="00105991">
        <w:t>,</w:t>
      </w:r>
      <w:r w:rsidR="00537913">
        <w:t xml:space="preserve"> in her situation</w:t>
      </w:r>
      <w:r w:rsidR="00105991">
        <w:t>,</w:t>
      </w:r>
      <w:r w:rsidR="00537913">
        <w:t xml:space="preserve"> would be almost </w:t>
      </w:r>
      <w:r w:rsidR="0003403C">
        <w:t>unfeasible</w:t>
      </w:r>
      <w:r w:rsidR="003B5098">
        <w:t>, her</w:t>
      </w:r>
      <w:r w:rsidR="0003403C">
        <w:t xml:space="preserve"> </w:t>
      </w:r>
      <w:r w:rsidR="003B5098">
        <w:t>only</w:t>
      </w:r>
      <w:r w:rsidR="00537913">
        <w:t xml:space="preserve"> income </w:t>
      </w:r>
      <w:r w:rsidR="003B5098">
        <w:t>being</w:t>
      </w:r>
      <w:r w:rsidR="00537913">
        <w:t xml:space="preserve"> a State pension</w:t>
      </w:r>
      <w:r w:rsidR="006445E5">
        <w:t xml:space="preserve"> plus payments related to her </w:t>
      </w:r>
      <w:r w:rsidR="00C536FC">
        <w:t>occupation</w:t>
      </w:r>
      <w:r w:rsidR="006445E5">
        <w:t>al disease</w:t>
      </w:r>
      <w:r w:rsidR="00537913">
        <w:t>.</w:t>
      </w:r>
      <w:r w:rsidR="00D87C4F">
        <w:t xml:space="preserve"> </w:t>
      </w:r>
      <w:r w:rsidR="004D20B8">
        <w:t xml:space="preserve">The same </w:t>
      </w:r>
      <w:r w:rsidR="00105991">
        <w:t xml:space="preserve">may </w:t>
      </w:r>
      <w:r w:rsidR="004D20B8">
        <w:t xml:space="preserve">be </w:t>
      </w:r>
      <w:r w:rsidR="00105991">
        <w:t xml:space="preserve">noted </w:t>
      </w:r>
      <w:r w:rsidR="000B0583">
        <w:t>regarding</w:t>
      </w:r>
      <w:r w:rsidR="004D20B8">
        <w:t xml:space="preserve"> the possibility </w:t>
      </w:r>
      <w:r w:rsidR="00105991">
        <w:t xml:space="preserve">of </w:t>
      </w:r>
      <w:r w:rsidR="004D20B8">
        <w:t>buy</w:t>
      </w:r>
      <w:r w:rsidR="00105991">
        <w:t>ing</w:t>
      </w:r>
      <w:r w:rsidR="004D20B8">
        <w:t xml:space="preserve"> another flat,</w:t>
      </w:r>
      <w:r w:rsidR="000B0583">
        <w:t xml:space="preserve"> </w:t>
      </w:r>
      <w:r w:rsidR="00C536FC">
        <w:t>mentioned</w:t>
      </w:r>
      <w:r w:rsidR="000B0583">
        <w:t xml:space="preserve"> </w:t>
      </w:r>
      <w:r w:rsidR="004D20B8">
        <w:t xml:space="preserve">by the </w:t>
      </w:r>
      <w:r w:rsidR="00CE1068">
        <w:t xml:space="preserve">respondent </w:t>
      </w:r>
      <w:r w:rsidR="004D20B8">
        <w:t xml:space="preserve">Government. Although </w:t>
      </w:r>
      <w:r w:rsidR="00105991">
        <w:t xml:space="preserve">it is theoretically possible for </w:t>
      </w:r>
      <w:r w:rsidR="004D20B8">
        <w:t xml:space="preserve">the applicant to change </w:t>
      </w:r>
      <w:r w:rsidR="00105991">
        <w:t xml:space="preserve">her </w:t>
      </w:r>
      <w:r w:rsidR="004D20B8">
        <w:t xml:space="preserve">personal situation, </w:t>
      </w:r>
      <w:r w:rsidR="000B0583">
        <w:t xml:space="preserve">in practice </w:t>
      </w:r>
      <w:r w:rsidR="00105991">
        <w:t xml:space="preserve">this would appear </w:t>
      </w:r>
      <w:r w:rsidR="004D20B8">
        <w:t xml:space="preserve">to be very </w:t>
      </w:r>
      <w:r w:rsidR="00AC5A48">
        <w:t>difficult</w:t>
      </w:r>
      <w:r w:rsidR="004D20B8">
        <w:t xml:space="preserve">. </w:t>
      </w:r>
      <w:r w:rsidR="00105991">
        <w:t xml:space="preserve">Accordingly, </w:t>
      </w:r>
      <w:r w:rsidR="00D87C4F">
        <w:t>th</w:t>
      </w:r>
      <w:r w:rsidR="004D20B8">
        <w:t>is point</w:t>
      </w:r>
      <w:r w:rsidR="00D87C4F">
        <w:t xml:space="preserve"> does not deprive the applicant of the status required </w:t>
      </w:r>
      <w:r w:rsidR="007C5194">
        <w:t xml:space="preserve">in order </w:t>
      </w:r>
      <w:r w:rsidR="00D87C4F">
        <w:t>to claim to be a victim of a violation of the Conventio</w:t>
      </w:r>
      <w:r w:rsidR="00A93D13">
        <w:t xml:space="preserve">n within the meaning of Article </w:t>
      </w:r>
      <w:r w:rsidR="00D87C4F">
        <w:t>34, although it</w:t>
      </w:r>
      <w:r w:rsidR="00105991">
        <w:t xml:space="preserve"> may</w:t>
      </w:r>
      <w:r w:rsidR="004D20B8">
        <w:t xml:space="preserve">, to a certain extent, </w:t>
      </w:r>
      <w:r w:rsidR="00D87C4F">
        <w:t>affect the scope of the Government</w:t>
      </w:r>
      <w:r w:rsidR="009952BE">
        <w:t>'</w:t>
      </w:r>
      <w:r w:rsidR="00D87C4F">
        <w:t>s positive obligation</w:t>
      </w:r>
      <w:r w:rsidR="004D20B8">
        <w:t>s</w:t>
      </w:r>
      <w:r w:rsidR="00D87C4F">
        <w:t xml:space="preserve"> in the pre</w:t>
      </w:r>
      <w:r w:rsidR="004D20B8">
        <w:t>sent case.</w:t>
      </w:r>
    </w:p>
    <w:p w:rsidR="00772DF2" w:rsidP="00252EB8" w:rsidRDefault="00BB5585">
      <w:pPr>
        <w:pStyle w:val="JuParaChar"/>
      </w:pPr>
      <w:r>
        <w:rPr>
          <w:color w:val="000000"/>
        </w:rPr>
        <w:fldChar w:fldCharType="begin"/>
      </w:r>
      <w:r>
        <w:rPr>
          <w:color w:val="000000"/>
        </w:rPr>
        <w:instrText xml:space="preserve"> SEQ level0 \*arabic </w:instrText>
      </w:r>
      <w:r>
        <w:rPr>
          <w:color w:val="000000"/>
        </w:rPr>
        <w:fldChar w:fldCharType="separate"/>
      </w:r>
      <w:r w:rsidR="008C3401">
        <w:rPr>
          <w:noProof/>
          <w:color w:val="000000"/>
        </w:rPr>
        <w:t>122</w:t>
      </w:r>
      <w:r>
        <w:rPr>
          <w:color w:val="000000"/>
        </w:rPr>
        <w:fldChar w:fldCharType="end"/>
      </w:r>
      <w:r w:rsidRPr="00F71765">
        <w:rPr>
          <w:rStyle w:val="JuParaChar1"/>
        </w:rPr>
        <w:t>.  </w:t>
      </w:r>
      <w:r w:rsidRPr="00F71765" w:rsidR="00537913">
        <w:rPr>
          <w:rStyle w:val="JuParaChar1"/>
        </w:rPr>
        <w:t xml:space="preserve">The Court </w:t>
      </w:r>
      <w:r w:rsidR="007C5194">
        <w:rPr>
          <w:rStyle w:val="JuParaChar1"/>
        </w:rPr>
        <w:t>observes</w:t>
      </w:r>
      <w:r w:rsidRPr="00F71765" w:rsidR="00B01305">
        <w:rPr>
          <w:rStyle w:val="JuParaChar1"/>
        </w:rPr>
        <w:t xml:space="preserve"> that</w:t>
      </w:r>
      <w:r w:rsidRPr="00F71765" w:rsidR="00537913">
        <w:rPr>
          <w:rStyle w:val="JuParaChar1"/>
        </w:rPr>
        <w:t xml:space="preserve"> </w:t>
      </w:r>
      <w:r w:rsidRPr="00F71765" w:rsidR="00B01305">
        <w:rPr>
          <w:rStyle w:val="JuParaChar1"/>
        </w:rPr>
        <w:t xml:space="preserve">Russian </w:t>
      </w:r>
      <w:r w:rsidRPr="00F71765" w:rsidR="00537913">
        <w:rPr>
          <w:rStyle w:val="JuParaChar1"/>
        </w:rPr>
        <w:t xml:space="preserve">legislation directly prohibits </w:t>
      </w:r>
      <w:r w:rsidR="007C5194">
        <w:rPr>
          <w:rStyle w:val="JuParaChar1"/>
        </w:rPr>
        <w:t xml:space="preserve">the </w:t>
      </w:r>
      <w:r w:rsidRPr="00F71765" w:rsidR="00537913">
        <w:rPr>
          <w:rStyle w:val="JuParaChar1"/>
        </w:rPr>
        <w:t>building of any residential property wi</w:t>
      </w:r>
      <w:r w:rsidRPr="00F71765" w:rsidR="00B01305">
        <w:rPr>
          <w:rStyle w:val="JuParaChar1"/>
        </w:rPr>
        <w:t>thin a sanitary security zone</w:t>
      </w:r>
      <w:r w:rsidRPr="00F71765" w:rsidR="00537913">
        <w:rPr>
          <w:rStyle w:val="JuParaChar1"/>
        </w:rPr>
        <w:t>. However, the law do</w:t>
      </w:r>
      <w:r w:rsidRPr="00F71765" w:rsidR="00105991">
        <w:rPr>
          <w:rStyle w:val="JuParaChar1"/>
        </w:rPr>
        <w:t>es</w:t>
      </w:r>
      <w:r w:rsidRPr="00F71765" w:rsidR="00537913">
        <w:rPr>
          <w:rStyle w:val="JuParaChar1"/>
        </w:rPr>
        <w:t xml:space="preserve"> not clearly indicate what should be done with those </w:t>
      </w:r>
      <w:r w:rsidRPr="00F71765" w:rsidR="00105991">
        <w:rPr>
          <w:rStyle w:val="JuParaChar1"/>
        </w:rPr>
        <w:t xml:space="preserve">persons </w:t>
      </w:r>
      <w:r w:rsidRPr="00F71765" w:rsidR="00537913">
        <w:rPr>
          <w:rStyle w:val="JuParaChar1"/>
        </w:rPr>
        <w:t xml:space="preserve">who already live </w:t>
      </w:r>
      <w:r w:rsidRPr="00F71765" w:rsidR="00105991">
        <w:rPr>
          <w:rStyle w:val="JuParaChar1"/>
        </w:rPr>
        <w:t>within such a zone</w:t>
      </w:r>
      <w:r w:rsidRPr="00F71765" w:rsidR="00537913">
        <w:rPr>
          <w:rStyle w:val="JuParaChar1"/>
        </w:rPr>
        <w:t>.</w:t>
      </w:r>
      <w:r w:rsidRPr="002962A5" w:rsidR="00537913">
        <w:t xml:space="preserve"> </w:t>
      </w:r>
      <w:r w:rsidR="00537913">
        <w:t>The applicant insisted that the Russian legislation require</w:t>
      </w:r>
      <w:r w:rsidR="00105991">
        <w:t>d</w:t>
      </w:r>
      <w:r w:rsidR="00537913">
        <w:t xml:space="preserve"> immediate resettlement of the residents of such zones and that resettlement should be c</w:t>
      </w:r>
      <w:r w:rsidR="00105991">
        <w:t xml:space="preserve">arried out </w:t>
      </w:r>
      <w:r w:rsidR="00537913">
        <w:t xml:space="preserve">at the expense of the polluting </w:t>
      </w:r>
      <w:r w:rsidR="00C536FC">
        <w:t>undertaking</w:t>
      </w:r>
      <w:r w:rsidR="00537913">
        <w:t xml:space="preserve">. However, the national courts interpreted the law differently. </w:t>
      </w:r>
      <w:r w:rsidR="0003403C">
        <w:t>T</w:t>
      </w:r>
      <w:r w:rsidR="002F22AF">
        <w:t>he Cherepovets City</w:t>
      </w:r>
      <w:r w:rsidR="00537913">
        <w:t xml:space="preserve"> Court</w:t>
      </w:r>
      <w:r w:rsidR="009952BE">
        <w:t>'</w:t>
      </w:r>
      <w:r w:rsidR="00537913">
        <w:t>s decisions of 1996 and 1999</w:t>
      </w:r>
      <w:r w:rsidR="0003403C">
        <w:t xml:space="preserve"> established that </w:t>
      </w:r>
      <w:r w:rsidR="00537913">
        <w:t xml:space="preserve">the polluting </w:t>
      </w:r>
      <w:r w:rsidR="00C536FC">
        <w:t>undertaking</w:t>
      </w:r>
      <w:r w:rsidR="00537913">
        <w:t xml:space="preserve"> is not responsible for resettlement; the legislation provides only for p</w:t>
      </w:r>
      <w:r w:rsidR="00767A06">
        <w:t xml:space="preserve">lacing </w:t>
      </w:r>
      <w:r w:rsidR="00537913">
        <w:t xml:space="preserve">the residents of the zone on the general waiting list. The same court </w:t>
      </w:r>
      <w:r w:rsidR="007C5194">
        <w:t>dismissed</w:t>
      </w:r>
      <w:r w:rsidR="00537913">
        <w:t xml:space="preserve"> the applicant</w:t>
      </w:r>
      <w:r w:rsidR="009952BE">
        <w:t>'</w:t>
      </w:r>
      <w:r w:rsidR="00537913">
        <w:t xml:space="preserve">s claim for </w:t>
      </w:r>
      <w:r w:rsidR="00767A06">
        <w:t xml:space="preserve">reimbursement </w:t>
      </w:r>
      <w:r w:rsidR="00537913">
        <w:t>of the</w:t>
      </w:r>
      <w:r w:rsidR="00767A06">
        <w:t xml:space="preserve"> cost of </w:t>
      </w:r>
      <w:r w:rsidR="00537913">
        <w:t xml:space="preserve">resettlement. In </w:t>
      </w:r>
      <w:r w:rsidR="00767A06">
        <w:t xml:space="preserve">the </w:t>
      </w:r>
      <w:r w:rsidR="00537913">
        <w:t xml:space="preserve">absence of any direct requirement of immediate resettlement, the Court does not find this reading of the law </w:t>
      </w:r>
      <w:r w:rsidR="000368EE">
        <w:t xml:space="preserve">absolutely </w:t>
      </w:r>
      <w:r w:rsidR="00537913">
        <w:t xml:space="preserve">unreasonable. </w:t>
      </w:r>
      <w:r w:rsidR="006445E5">
        <w:t>Against the above background</w:t>
      </w:r>
      <w:r w:rsidR="007C5194">
        <w:t>,</w:t>
      </w:r>
      <w:r w:rsidR="006445E5">
        <w:t xml:space="preserve"> t</w:t>
      </w:r>
      <w:r w:rsidR="00537913">
        <w:t>he Court is ready to accept that the only solution proposed by the national law in this situation was to p</w:t>
      </w:r>
      <w:r w:rsidR="00767A06">
        <w:t xml:space="preserve">lace </w:t>
      </w:r>
      <w:r w:rsidR="00537913">
        <w:t xml:space="preserve">the applicant on </w:t>
      </w:r>
      <w:r w:rsidR="00767A06">
        <w:t xml:space="preserve">a </w:t>
      </w:r>
      <w:r w:rsidR="00537913">
        <w:t>waiting list</w:t>
      </w:r>
      <w:r w:rsidR="00B01305">
        <w:t>.</w:t>
      </w:r>
      <w:r w:rsidRPr="00810747" w:rsidR="00810747">
        <w:t xml:space="preserve"> </w:t>
      </w:r>
      <w:r w:rsidR="00810747">
        <w:t>Th</w:t>
      </w:r>
      <w:r w:rsidR="00767A06">
        <w:t xml:space="preserve">us, </w:t>
      </w:r>
      <w:r w:rsidR="00810747">
        <w:t xml:space="preserve">the Russian legislation as applied by the domestic courts and national authorities makes no difference between those </w:t>
      </w:r>
      <w:r w:rsidR="00767A06">
        <w:t xml:space="preserve">persons </w:t>
      </w:r>
      <w:r w:rsidR="00810747">
        <w:t>who are entitled to new housing</w:t>
      </w:r>
      <w:r w:rsidR="00767A06">
        <w:t xml:space="preserve">, free of charge, on a welfare basis </w:t>
      </w:r>
      <w:r w:rsidR="00810747">
        <w:t>(war veterans, large families</w:t>
      </w:r>
      <w:r w:rsidR="00C536FC">
        <w:t>,</w:t>
      </w:r>
      <w:r w:rsidR="00810747">
        <w:t xml:space="preserve"> etc.) and those whose everyday life is seriously dis</w:t>
      </w:r>
      <w:r w:rsidR="00767A06">
        <w:t xml:space="preserve">rupted </w:t>
      </w:r>
      <w:r w:rsidR="00810747">
        <w:t xml:space="preserve">by toxic fumes </w:t>
      </w:r>
      <w:r w:rsidR="00767A06">
        <w:t xml:space="preserve">from a </w:t>
      </w:r>
      <w:r w:rsidR="00810747">
        <w:t xml:space="preserve">neighbouring </w:t>
      </w:r>
      <w:r w:rsidR="00C536FC">
        <w:t>plant</w:t>
      </w:r>
      <w:r w:rsidR="00810747">
        <w:t>.</w:t>
      </w:r>
    </w:p>
    <w:p w:rsidR="00B1230B" w:rsidP="00252EB8" w:rsidRDefault="00BB5585">
      <w:pPr>
        <w:pStyle w:val="JuParaChar"/>
      </w:pPr>
      <w:r>
        <w:rPr>
          <w:color w:val="000000"/>
        </w:rPr>
        <w:fldChar w:fldCharType="begin"/>
      </w:r>
      <w:r>
        <w:rPr>
          <w:color w:val="000000"/>
        </w:rPr>
        <w:instrText xml:space="preserve"> SEQ level0 \*arabic </w:instrText>
      </w:r>
      <w:r>
        <w:rPr>
          <w:color w:val="000000"/>
        </w:rPr>
        <w:fldChar w:fldCharType="separate"/>
      </w:r>
      <w:r w:rsidR="008C3401">
        <w:rPr>
          <w:noProof/>
          <w:color w:val="000000"/>
        </w:rPr>
        <w:t>123</w:t>
      </w:r>
      <w:r>
        <w:rPr>
          <w:color w:val="000000"/>
        </w:rPr>
        <w:fldChar w:fldCharType="end"/>
      </w:r>
      <w:r w:rsidRPr="00F71765">
        <w:rPr>
          <w:rStyle w:val="JuParaChar1"/>
        </w:rPr>
        <w:t>.  </w:t>
      </w:r>
      <w:r w:rsidRPr="00F71765" w:rsidR="00537913">
        <w:rPr>
          <w:rStyle w:val="JuParaChar1"/>
        </w:rPr>
        <w:t>The Court further notes that</w:t>
      </w:r>
      <w:r w:rsidRPr="00F71765" w:rsidR="00767A06">
        <w:rPr>
          <w:rStyle w:val="JuParaChar1"/>
        </w:rPr>
        <w:t>,</w:t>
      </w:r>
      <w:r w:rsidR="00537913">
        <w:t xml:space="preserve"> since 1999, when the applicant </w:t>
      </w:r>
      <w:r w:rsidR="00767A06">
        <w:t xml:space="preserve">was placed </w:t>
      </w:r>
      <w:r w:rsidR="00537913">
        <w:t>on the waiting list, her situation has not changed. Moreover, as the applicant rightly pointed out, there is no hope that this measure w</w:t>
      </w:r>
      <w:r w:rsidR="00767A06">
        <w:t xml:space="preserve">ill </w:t>
      </w:r>
      <w:r w:rsidR="00537913">
        <w:t xml:space="preserve">result in her resettlement </w:t>
      </w:r>
      <w:r w:rsidR="00B01305">
        <w:t xml:space="preserve">from the zone </w:t>
      </w:r>
      <w:r w:rsidR="00537913">
        <w:t>in the foreseeable future.</w:t>
      </w:r>
      <w:r w:rsidR="00810747">
        <w:t xml:space="preserve"> The resettlement of certain families from the zone by Severstal </w:t>
      </w:r>
      <w:r w:rsidR="006445E5">
        <w:t xml:space="preserve">PLC </w:t>
      </w:r>
      <w:r w:rsidR="00810747">
        <w:t>is a matter of the plant</w:t>
      </w:r>
      <w:r w:rsidR="009952BE">
        <w:t>'</w:t>
      </w:r>
      <w:r w:rsidR="00810747">
        <w:t xml:space="preserve">s </w:t>
      </w:r>
      <w:r w:rsidR="00767A06">
        <w:t>good faith</w:t>
      </w:r>
      <w:r w:rsidR="00810747">
        <w:t xml:space="preserve">, and cannot be relied upon. </w:t>
      </w:r>
      <w:r w:rsidR="00537913">
        <w:t>The</w:t>
      </w:r>
      <w:r w:rsidR="00810747">
        <w:t xml:space="preserve">refore, the measure applied by the domestic courts </w:t>
      </w:r>
      <w:r w:rsidR="00E67C85">
        <w:t xml:space="preserve">makes no difference to </w:t>
      </w:r>
      <w:r w:rsidR="00767A06">
        <w:t xml:space="preserve">the applicant: </w:t>
      </w:r>
      <w:r w:rsidR="00810747">
        <w:t xml:space="preserve">it does not give </w:t>
      </w:r>
      <w:r w:rsidR="00767A06">
        <w:t xml:space="preserve">her any </w:t>
      </w:r>
      <w:r w:rsidR="00810747">
        <w:t xml:space="preserve">realistic hope </w:t>
      </w:r>
      <w:r w:rsidR="00767A06">
        <w:t xml:space="preserve">of </w:t>
      </w:r>
      <w:r w:rsidR="00810747">
        <w:t>be</w:t>
      </w:r>
      <w:r w:rsidR="00767A06">
        <w:t xml:space="preserve">ing </w:t>
      </w:r>
      <w:r w:rsidR="00810747">
        <w:t>removed from the source of pollution.</w:t>
      </w:r>
    </w:p>
    <w:p w:rsidR="00B1230B" w:rsidP="00252EB8" w:rsidRDefault="00F8213D">
      <w:pPr>
        <w:pStyle w:val="JuHi"/>
      </w:pPr>
      <w:r>
        <w:t>(</w:t>
      </w:r>
      <w:r w:rsidR="006B367D">
        <w:t>ii</w:t>
      </w:r>
      <w:r>
        <w:t>)  </w:t>
      </w:r>
      <w:r w:rsidR="006B367D">
        <w:t xml:space="preserve"> </w:t>
      </w:r>
      <w:r w:rsidR="00767A06">
        <w:t>The a</w:t>
      </w:r>
      <w:r w:rsidR="006B367D">
        <w:t>lleged failure to regulate private industry</w:t>
      </w:r>
    </w:p>
    <w:p w:rsidRPr="00B71411" w:rsidR="00B71411" w:rsidP="00252EB8" w:rsidRDefault="00BB5585">
      <w:pPr>
        <w:pStyle w:val="JuParaCharCharCharCharCharChar"/>
      </w:pPr>
      <w:r>
        <w:rPr>
          <w:color w:val="000000"/>
        </w:rPr>
        <w:fldChar w:fldCharType="begin"/>
      </w:r>
      <w:r>
        <w:rPr>
          <w:color w:val="000000"/>
        </w:rPr>
        <w:instrText xml:space="preserve"> SEQ level0 \*arabic </w:instrText>
      </w:r>
      <w:r>
        <w:rPr>
          <w:color w:val="000000"/>
        </w:rPr>
        <w:fldChar w:fldCharType="separate"/>
      </w:r>
      <w:r w:rsidR="008C3401">
        <w:rPr>
          <w:noProof/>
          <w:color w:val="000000"/>
        </w:rPr>
        <w:t>124</w:t>
      </w:r>
      <w:r>
        <w:rPr>
          <w:color w:val="000000"/>
        </w:rPr>
        <w:fldChar w:fldCharType="end"/>
      </w:r>
      <w:r>
        <w:rPr>
          <w:color w:val="000000"/>
        </w:rPr>
        <w:t>.  </w:t>
      </w:r>
      <w:r w:rsidR="00767A06">
        <w:rPr>
          <w:color w:val="000000"/>
        </w:rPr>
        <w:t>R</w:t>
      </w:r>
      <w:r w:rsidRPr="00B71411" w:rsidR="0065140C">
        <w:t xml:space="preserve">ecourse to the </w:t>
      </w:r>
      <w:r w:rsidR="0065140C">
        <w:t>measures</w:t>
      </w:r>
      <w:r w:rsidR="006B367D">
        <w:t xml:space="preserve"> sought by the applicant before the domestic courts</w:t>
      </w:r>
      <w:r w:rsidR="0065140C">
        <w:t xml:space="preserve"> (</w:t>
      </w:r>
      <w:r w:rsidR="00BF1660">
        <w:t xml:space="preserve">urgent </w:t>
      </w:r>
      <w:r w:rsidR="0065140C">
        <w:t xml:space="preserve">resettlement or </w:t>
      </w:r>
      <w:r w:rsidR="00E67C85">
        <w:t xml:space="preserve">reimbursement </w:t>
      </w:r>
      <w:r w:rsidR="0065140C">
        <w:t xml:space="preserve">of the resettlement costs) </w:t>
      </w:r>
      <w:r w:rsidRPr="00B71411" w:rsidR="0065140C">
        <w:t xml:space="preserve">is not necessarily the only </w:t>
      </w:r>
      <w:r w:rsidR="00767A06">
        <w:t xml:space="preserve">remedy </w:t>
      </w:r>
      <w:r w:rsidR="0065140C">
        <w:t xml:space="preserve">to the situation complained of. </w:t>
      </w:r>
      <w:r w:rsidR="00821665">
        <w:t xml:space="preserve">The Court </w:t>
      </w:r>
      <w:r w:rsidR="00767A06">
        <w:t xml:space="preserve">points out </w:t>
      </w:r>
      <w:r w:rsidR="00B71411">
        <w:t xml:space="preserve">that </w:t>
      </w:r>
      <w:r w:rsidR="00D21F56">
        <w:t>“</w:t>
      </w:r>
      <w:r w:rsidRPr="00B71411" w:rsidR="00B71411">
        <w:t xml:space="preserve">the choice of the means calculated to secure compliance with Article 8 in the sphere of the relations of individuals between themselves is in principle a matter that falls within the Contracting </w:t>
      </w:r>
      <w:r w:rsidRPr="00B71411" w:rsidR="00767A06">
        <w:t>States</w:t>
      </w:r>
      <w:r w:rsidR="009952BE">
        <w:t>'</w:t>
      </w:r>
      <w:r w:rsidRPr="00B71411" w:rsidR="00767A06">
        <w:t xml:space="preserve"> </w:t>
      </w:r>
      <w:r w:rsidRPr="00B71411" w:rsidR="00B71411">
        <w:t xml:space="preserve">margin of appreciation. In this connection, there are different ways of ensuring </w:t>
      </w:r>
      <w:r w:rsidR="009952BE">
        <w:t>'</w:t>
      </w:r>
      <w:r w:rsidRPr="00B71411" w:rsidR="00B71411">
        <w:t>respect for private life</w:t>
      </w:r>
      <w:r w:rsidR="009952BE">
        <w:t>'</w:t>
      </w:r>
      <w:r w:rsidRPr="00B71411" w:rsidR="00B71411">
        <w:t xml:space="preserve">, and the nature of the </w:t>
      </w:r>
      <w:r w:rsidRPr="00B71411" w:rsidR="00216BFB">
        <w:t xml:space="preserve">States </w:t>
      </w:r>
      <w:r w:rsidRPr="00B71411" w:rsidR="00B71411">
        <w:t xml:space="preserve">obligation will depend on the particular aspect of private life that is at issue” </w:t>
      </w:r>
      <w:r w:rsidR="00B71411">
        <w:t>(</w:t>
      </w:r>
      <w:r w:rsidR="007C5194">
        <w:t xml:space="preserve">see </w:t>
      </w:r>
      <w:r w:rsidR="007C5194">
        <w:rPr>
          <w:i/>
        </w:rPr>
        <w:t>X and Y</w:t>
      </w:r>
      <w:r w:rsidRPr="00D21F56" w:rsidR="00B71411">
        <w:rPr>
          <w:i/>
        </w:rPr>
        <w:t xml:space="preserve"> v. the Netherlands</w:t>
      </w:r>
      <w:r w:rsidRPr="00B71411" w:rsidR="00B71411">
        <w:t xml:space="preserve">, </w:t>
      </w:r>
      <w:r w:rsidR="00AC543D">
        <w:t>j</w:t>
      </w:r>
      <w:r w:rsidRPr="00B71411" w:rsidR="00B71411">
        <w:t>udgment of 26</w:t>
      </w:r>
      <w:r w:rsidR="00A93D13">
        <w:t xml:space="preserve"> </w:t>
      </w:r>
      <w:r w:rsidR="007C5194">
        <w:t xml:space="preserve">March 1985, </w:t>
      </w:r>
      <w:r w:rsidRPr="00B71411" w:rsidR="00B71411">
        <w:t xml:space="preserve">Series </w:t>
      </w:r>
      <w:r w:rsidR="00D21F56">
        <w:t>A</w:t>
      </w:r>
      <w:r w:rsidRPr="00B71411" w:rsidR="00B71411">
        <w:t xml:space="preserve"> n</w:t>
      </w:r>
      <w:r w:rsidR="007C5194">
        <w:t>o</w:t>
      </w:r>
      <w:r w:rsidR="00A93D13">
        <w:t xml:space="preserve">. </w:t>
      </w:r>
      <w:r w:rsidR="00D21F56">
        <w:t xml:space="preserve">91, </w:t>
      </w:r>
      <w:r w:rsidR="007C5194">
        <w:t xml:space="preserve">p. 12, </w:t>
      </w:r>
      <w:r w:rsidR="00D21F56">
        <w:t>§ 24)</w:t>
      </w:r>
      <w:r w:rsidR="0065140C">
        <w:t>. I</w:t>
      </w:r>
      <w:r w:rsidR="0065140C">
        <w:rPr>
          <w:color w:val="000000"/>
        </w:rPr>
        <w:t xml:space="preserve">n the present case the State had at its disposal a number of other tools capable of </w:t>
      </w:r>
      <w:r w:rsidR="0065140C">
        <w:t xml:space="preserve">preventing or minimising pollution, and the Court may examine whether, in adopting measures of </w:t>
      </w:r>
      <w:r w:rsidR="00216BFB">
        <w:t xml:space="preserve">a </w:t>
      </w:r>
      <w:r w:rsidR="0065140C">
        <w:t>general character, the State complied with its positive duties under the Convention.</w:t>
      </w:r>
    </w:p>
    <w:p w:rsidR="0065140C" w:rsidP="00F71765" w:rsidRDefault="00BB5585">
      <w:pPr>
        <w:pStyle w:val="JuPara"/>
      </w:pPr>
      <w:r>
        <w:fldChar w:fldCharType="begin"/>
      </w:r>
      <w:r>
        <w:instrText xml:space="preserve"> SEQ level0 \*arabic </w:instrText>
      </w:r>
      <w:r>
        <w:fldChar w:fldCharType="separate"/>
      </w:r>
      <w:r w:rsidR="008C3401">
        <w:rPr>
          <w:noProof/>
        </w:rPr>
        <w:t>125</w:t>
      </w:r>
      <w:r>
        <w:fldChar w:fldCharType="end"/>
      </w:r>
      <w:r>
        <w:t>.  </w:t>
      </w:r>
      <w:r w:rsidR="0065140C">
        <w:t>In this respect the Court notes that</w:t>
      </w:r>
      <w:r w:rsidR="00511225">
        <w:t xml:space="preserve">, </w:t>
      </w:r>
      <w:r w:rsidR="00446B5B">
        <w:t xml:space="preserve">according to </w:t>
      </w:r>
      <w:r w:rsidR="00511225">
        <w:t>the Government</w:t>
      </w:r>
      <w:r w:rsidR="009952BE">
        <w:t>'</w:t>
      </w:r>
      <w:r w:rsidR="00511225">
        <w:t>s submissions,</w:t>
      </w:r>
      <w:r w:rsidR="0065140C">
        <w:t xml:space="preserve"> the environmental pollution caused by the </w:t>
      </w:r>
      <w:r w:rsidR="002F22AF">
        <w:t>steel plant</w:t>
      </w:r>
      <w:r w:rsidR="0065140C">
        <w:t xml:space="preserve"> has been significantly reduced </w:t>
      </w:r>
      <w:r w:rsidR="00446B5B">
        <w:t xml:space="preserve">over </w:t>
      </w:r>
      <w:r w:rsidR="0065140C">
        <w:t xml:space="preserve">the past twenty years. </w:t>
      </w:r>
      <w:r w:rsidR="00511225">
        <w:t>S</w:t>
      </w:r>
      <w:r w:rsidRPr="00DE7FCC" w:rsidR="0065140C">
        <w:t xml:space="preserve">ince </w:t>
      </w:r>
      <w:r w:rsidR="004F76A7">
        <w:t xml:space="preserve">the </w:t>
      </w:r>
      <w:r w:rsidRPr="00DE7FCC" w:rsidR="0065140C">
        <w:t>1970</w:t>
      </w:r>
      <w:r w:rsidR="004F76A7">
        <w:t>s</w:t>
      </w:r>
      <w:r w:rsidR="00AC543D">
        <w:t>,</w:t>
      </w:r>
      <w:r w:rsidR="004F76A7">
        <w:t xml:space="preserve"> air </w:t>
      </w:r>
      <w:r w:rsidRPr="00DE7FCC" w:rsidR="0065140C">
        <w:t xml:space="preserve">quality </w:t>
      </w:r>
      <w:r w:rsidR="0065140C">
        <w:t xml:space="preserve">in the </w:t>
      </w:r>
      <w:r w:rsidR="00BA5D4D">
        <w:t>town</w:t>
      </w:r>
      <w:r w:rsidR="004F76A7">
        <w:t xml:space="preserve"> </w:t>
      </w:r>
      <w:r w:rsidR="0065140C">
        <w:t>ha</w:t>
      </w:r>
      <w:r w:rsidR="00AC543D">
        <w:t>s</w:t>
      </w:r>
      <w:r w:rsidR="0065140C">
        <w:t xml:space="preserve"> changed</w:t>
      </w:r>
      <w:r w:rsidRPr="00DE7FCC" w:rsidR="0065140C">
        <w:t xml:space="preserve"> </w:t>
      </w:r>
      <w:r w:rsidR="004F76A7">
        <w:t xml:space="preserve">for </w:t>
      </w:r>
      <w:r w:rsidRPr="00DE7FCC" w:rsidR="0065140C">
        <w:t>the better</w:t>
      </w:r>
      <w:r w:rsidR="0065140C">
        <w:t xml:space="preserve">. Thus, </w:t>
      </w:r>
      <w:r w:rsidRPr="00DE7FCC" w:rsidR="0065140C">
        <w:t>when the applicant</w:t>
      </w:r>
      <w:r w:rsidR="009952BE">
        <w:t>'</w:t>
      </w:r>
      <w:r w:rsidR="0065140C">
        <w:t>s family</w:t>
      </w:r>
      <w:r w:rsidR="007C5194">
        <w:t xml:space="preserve"> moved into the flat in</w:t>
      </w:r>
      <w:r w:rsidRPr="00DE7FCC" w:rsidR="0065140C">
        <w:t xml:space="preserve"> issue</w:t>
      </w:r>
      <w:r w:rsidRPr="00446B5B" w:rsidR="00446B5B">
        <w:t xml:space="preserve"> </w:t>
      </w:r>
      <w:r w:rsidR="00446B5B">
        <w:t>i</w:t>
      </w:r>
      <w:r w:rsidRPr="00DE7FCC" w:rsidR="00446B5B">
        <w:t>n 1982</w:t>
      </w:r>
      <w:r w:rsidRPr="00DE7FCC" w:rsidR="0065140C">
        <w:t xml:space="preserve">, the overall atmospheric pollution in </w:t>
      </w:r>
      <w:smartTag w:uri="urn:schemas-microsoft-com:office:smarttags" w:element="City">
        <w:smartTag w:uri="urn:schemas-microsoft-com:office:smarttags" w:element="place">
          <w:r w:rsidR="0065140C" w:rsidRPr="00DE7FCC">
            <w:t>Cherepovets</w:t>
          </w:r>
        </w:smartTag>
      </w:smartTag>
      <w:r w:rsidRPr="00DE7FCC" w:rsidR="0065140C">
        <w:t xml:space="preserve"> was more</w:t>
      </w:r>
      <w:r w:rsidR="0065140C">
        <w:t xml:space="preserve"> than twice as high as in 2003. </w:t>
      </w:r>
      <w:r w:rsidR="00511225">
        <w:t>S</w:t>
      </w:r>
      <w:r w:rsidRPr="00DE7FCC" w:rsidR="0065140C">
        <w:t xml:space="preserve">ince 1980 toxic emissions </w:t>
      </w:r>
      <w:r w:rsidR="00B85A1B">
        <w:t xml:space="preserve">from </w:t>
      </w:r>
      <w:r w:rsidRPr="00DE7FCC" w:rsidR="0065140C">
        <w:t xml:space="preserve">the Severstal </w:t>
      </w:r>
      <w:r w:rsidR="002F22AF">
        <w:t>steel plant</w:t>
      </w:r>
      <w:r w:rsidRPr="00DE7FCC" w:rsidR="0065140C">
        <w:t xml:space="preserve"> into the </w:t>
      </w:r>
      <w:r w:rsidR="00BA5D4D">
        <w:t>town</w:t>
      </w:r>
      <w:r w:rsidR="009952BE">
        <w:t>'</w:t>
      </w:r>
      <w:r w:rsidR="00446B5B">
        <w:t>s</w:t>
      </w:r>
      <w:r w:rsidRPr="00DE7FCC" w:rsidR="00446B5B">
        <w:t xml:space="preserve"> </w:t>
      </w:r>
      <w:r w:rsidRPr="00DE7FCC" w:rsidR="0065140C">
        <w:t>air ha</w:t>
      </w:r>
      <w:r w:rsidR="00446B5B">
        <w:t xml:space="preserve">ve </w:t>
      </w:r>
      <w:r w:rsidRPr="00DE7FCC" w:rsidR="0065140C">
        <w:t>been reduced from 787.7 to 333.2 thousand ton</w:t>
      </w:r>
      <w:r w:rsidR="00C536FC">
        <w:t>ne</w:t>
      </w:r>
      <w:r w:rsidRPr="00DE7FCC" w:rsidR="0065140C">
        <w:t>s.</w:t>
      </w:r>
      <w:r w:rsidR="0065140C">
        <w:t xml:space="preserve"> </w:t>
      </w:r>
      <w:r w:rsidR="00446B5B">
        <w:t xml:space="preserve">Following </w:t>
      </w:r>
      <w:r w:rsidR="0065140C">
        <w:t xml:space="preserve">the enactment </w:t>
      </w:r>
      <w:r w:rsidRPr="00DE7FCC" w:rsidR="0065140C">
        <w:t xml:space="preserve">of the </w:t>
      </w:r>
      <w:r w:rsidR="00446B5B">
        <w:t xml:space="preserve">1996 </w:t>
      </w:r>
      <w:r w:rsidR="007C5194">
        <w:t>federal p</w:t>
      </w:r>
      <w:r w:rsidRPr="00DE7FCC" w:rsidR="0065140C">
        <w:t>rogram</w:t>
      </w:r>
      <w:r w:rsidR="00446B5B">
        <w:t>me</w:t>
      </w:r>
      <w:r w:rsidRPr="00DE7FCC" w:rsidR="0065140C">
        <w:t xml:space="preserve"> (see </w:t>
      </w:r>
      <w:r w:rsidR="007C5194">
        <w:t xml:space="preserve">paragraph </w:t>
      </w:r>
      <w:r w:rsidR="004326EE">
        <w:t>15</w:t>
      </w:r>
      <w:r w:rsidR="007C5194">
        <w:t xml:space="preserve"> above</w:t>
      </w:r>
      <w:r w:rsidRPr="00DE7FCC" w:rsidR="0065140C">
        <w:t xml:space="preserve">), the </w:t>
      </w:r>
      <w:r w:rsidR="00446B5B">
        <w:t xml:space="preserve">annual </w:t>
      </w:r>
      <w:r w:rsidRPr="00DE7FCC" w:rsidR="0065140C">
        <w:t xml:space="preserve">overall emissions of air polluting substances attributable to the Severstal </w:t>
      </w:r>
      <w:r w:rsidR="0065140C">
        <w:t>facilities have been reduced by 5.</w:t>
      </w:r>
      <w:r w:rsidR="002F22AF">
        <w:t>7%</w:t>
      </w:r>
      <w:r w:rsidRPr="00DE7FCC" w:rsidR="0065140C">
        <w:t xml:space="preserve">. </w:t>
      </w:r>
      <w:r w:rsidRPr="00DE7FCC" w:rsidR="006445E5">
        <w:t xml:space="preserve">The </w:t>
      </w:r>
      <w:r w:rsidR="006445E5">
        <w:t>report submitted by the Government indicated that b</w:t>
      </w:r>
      <w:r w:rsidR="0065140C">
        <w:t xml:space="preserve">y </w:t>
      </w:r>
      <w:r w:rsidRPr="00DE7FCC" w:rsidR="0065140C">
        <w:t xml:space="preserve">2003 the average concentration of </w:t>
      </w:r>
      <w:r w:rsidR="006445E5">
        <w:t>certain toxic elements in the air of the town</w:t>
      </w:r>
      <w:r w:rsidRPr="00DE7FCC" w:rsidR="0065140C">
        <w:t xml:space="preserve"> </w:t>
      </w:r>
      <w:r w:rsidR="00B85A1B">
        <w:t xml:space="preserve">had been </w:t>
      </w:r>
      <w:r w:rsidR="006445E5">
        <w:t xml:space="preserve">significantly </w:t>
      </w:r>
      <w:r w:rsidRPr="00DE7FCC" w:rsidR="0065140C">
        <w:t xml:space="preserve">reduced </w:t>
      </w:r>
      <w:r w:rsidR="007C5194">
        <w:t>(see paragraph</w:t>
      </w:r>
      <w:r w:rsidR="00F3789E">
        <w:t>s</w:t>
      </w:r>
      <w:r w:rsidR="006445E5">
        <w:t xml:space="preserve"> </w:t>
      </w:r>
      <w:r w:rsidR="004326EE">
        <w:t>37</w:t>
      </w:r>
      <w:r w:rsidR="0034443D">
        <w:t xml:space="preserve"> et seq.</w:t>
      </w:r>
      <w:r w:rsidR="007C5194">
        <w:t xml:space="preserve"> above</w:t>
      </w:r>
      <w:r w:rsidR="006445E5">
        <w:t xml:space="preserve">); </w:t>
      </w:r>
      <w:r w:rsidRPr="00DE7FCC" w:rsidR="0065140C">
        <w:t xml:space="preserve">the </w:t>
      </w:r>
      <w:r w:rsidR="00B85A1B">
        <w:t xml:space="preserve">proportion </w:t>
      </w:r>
      <w:r w:rsidRPr="00DE7FCC" w:rsidR="0065140C">
        <w:t xml:space="preserve">of “unsatisfactory tests” of the air around the Severstal plant </w:t>
      </w:r>
      <w:r w:rsidR="0065140C">
        <w:t xml:space="preserve">had </w:t>
      </w:r>
      <w:r w:rsidR="00446B5B">
        <w:t>fallen</w:t>
      </w:r>
      <w:r w:rsidRPr="00DE7FCC" w:rsidR="0065140C">
        <w:t xml:space="preserve"> in the past five years.</w:t>
      </w:r>
    </w:p>
    <w:p w:rsidR="00772DF2" w:rsidP="00F71765" w:rsidRDefault="00BB5585">
      <w:pPr>
        <w:pStyle w:val="JuPara"/>
      </w:pPr>
      <w:r>
        <w:fldChar w:fldCharType="begin"/>
      </w:r>
      <w:r>
        <w:instrText xml:space="preserve"> SEQ level0 \*arabic </w:instrText>
      </w:r>
      <w:r>
        <w:fldChar w:fldCharType="separate"/>
      </w:r>
      <w:r w:rsidR="008C3401">
        <w:rPr>
          <w:noProof/>
        </w:rPr>
        <w:t>126</w:t>
      </w:r>
      <w:r>
        <w:fldChar w:fldCharType="end"/>
      </w:r>
      <w:r>
        <w:t>.  </w:t>
      </w:r>
      <w:r w:rsidR="00511225">
        <w:t>At the same time</w:t>
      </w:r>
      <w:r w:rsidR="00446B5B">
        <w:t>,</w:t>
      </w:r>
      <w:r w:rsidR="00511225">
        <w:t xml:space="preserve"> the Court observes that the implementation of the </w:t>
      </w:r>
      <w:r w:rsidR="00B85A1B">
        <w:t xml:space="preserve">1990 and 1996 </w:t>
      </w:r>
      <w:r w:rsidR="007C5194">
        <w:t>f</w:t>
      </w:r>
      <w:r w:rsidR="00511225">
        <w:t xml:space="preserve">ederal </w:t>
      </w:r>
      <w:r w:rsidR="007C5194">
        <w:t>p</w:t>
      </w:r>
      <w:r w:rsidR="00511225">
        <w:t>rogram</w:t>
      </w:r>
      <w:r w:rsidR="00446B5B">
        <w:t>me</w:t>
      </w:r>
      <w:r w:rsidR="00511225">
        <w:t>s did n</w:t>
      </w:r>
      <w:r w:rsidR="006B367D">
        <w:t xml:space="preserve">ot achieve the expected results: </w:t>
      </w:r>
      <w:r w:rsidR="00B1230B">
        <w:t xml:space="preserve">in 2003 </w:t>
      </w:r>
      <w:r w:rsidR="00511225">
        <w:t>the concentration of a number of toxic substances in the air near the plant still exceed</w:t>
      </w:r>
      <w:r w:rsidR="00B1230B">
        <w:t>ed</w:t>
      </w:r>
      <w:r w:rsidR="00511225">
        <w:t xml:space="preserve"> safe levels. </w:t>
      </w:r>
      <w:r w:rsidR="00800873">
        <w:t>W</w:t>
      </w:r>
      <w:r w:rsidR="00DE6DED">
        <w:t>hereas</w:t>
      </w:r>
      <w:r w:rsidR="00446B5B">
        <w:t>,</w:t>
      </w:r>
      <w:r w:rsidR="00800873">
        <w:t xml:space="preserve"> according to the </w:t>
      </w:r>
      <w:r w:rsidR="007C5194">
        <w:t>1990 p</w:t>
      </w:r>
      <w:r w:rsidR="00446B5B">
        <w:t>rogramme,</w:t>
      </w:r>
      <w:r w:rsidRPr="00800873" w:rsidR="00800873">
        <w:t xml:space="preserve"> </w:t>
      </w:r>
      <w:r w:rsidR="00800873">
        <w:t xml:space="preserve">the </w:t>
      </w:r>
      <w:r w:rsidR="002F22AF">
        <w:t>steel plant</w:t>
      </w:r>
      <w:r w:rsidRPr="00DE7FCC" w:rsidR="00800873">
        <w:t xml:space="preserve"> was obliged to reduce its toxic emissions to </w:t>
      </w:r>
      <w:r w:rsidR="00446B5B">
        <w:t xml:space="preserve">a </w:t>
      </w:r>
      <w:r w:rsidRPr="00DE7FCC" w:rsidR="00800873">
        <w:t>safe level by 1998</w:t>
      </w:r>
      <w:r w:rsidR="007C5194">
        <w:t>, in 2004 the c</w:t>
      </w:r>
      <w:r w:rsidR="00800873">
        <w:t>h</w:t>
      </w:r>
      <w:r w:rsidR="007C5194">
        <w:t>ief sanitary i</w:t>
      </w:r>
      <w:r w:rsidR="00800873">
        <w:t xml:space="preserve">nspector admitted that </w:t>
      </w:r>
      <w:r w:rsidR="00446B5B">
        <w:t xml:space="preserve">this </w:t>
      </w:r>
      <w:r w:rsidR="00800873">
        <w:t>ha</w:t>
      </w:r>
      <w:r w:rsidR="00AC543D">
        <w:t>d</w:t>
      </w:r>
      <w:r w:rsidR="00800873">
        <w:t xml:space="preserve"> not been done and </w:t>
      </w:r>
      <w:r w:rsidR="00446B5B">
        <w:t xml:space="preserve">that </w:t>
      </w:r>
      <w:r w:rsidR="00800873">
        <w:t xml:space="preserve">the new deadline for bringing the </w:t>
      </w:r>
      <w:r w:rsidR="00446B5B">
        <w:t>plant</w:t>
      </w:r>
      <w:r w:rsidR="009952BE">
        <w:t>'</w:t>
      </w:r>
      <w:r w:rsidR="00446B5B">
        <w:t xml:space="preserve">s </w:t>
      </w:r>
      <w:r w:rsidR="00800873">
        <w:t xml:space="preserve">emissions below dangerous levels </w:t>
      </w:r>
      <w:r w:rsidR="00C536FC">
        <w:t>was</w:t>
      </w:r>
      <w:r w:rsidR="00800873">
        <w:t xml:space="preserve"> </w:t>
      </w:r>
      <w:r w:rsidR="00EF75B2">
        <w:t xml:space="preserve">henceforth </w:t>
      </w:r>
      <w:r w:rsidR="00800873">
        <w:t>2015.</w:t>
      </w:r>
    </w:p>
    <w:p w:rsidR="00B1230B" w:rsidP="00F71765" w:rsidRDefault="00BB5585">
      <w:pPr>
        <w:pStyle w:val="JuPara"/>
      </w:pPr>
      <w:r>
        <w:fldChar w:fldCharType="begin"/>
      </w:r>
      <w:r>
        <w:instrText xml:space="preserve"> SEQ level0 \*arabic </w:instrText>
      </w:r>
      <w:r>
        <w:fldChar w:fldCharType="separate"/>
      </w:r>
      <w:r w:rsidR="008C3401">
        <w:rPr>
          <w:noProof/>
        </w:rPr>
        <w:t>127</w:t>
      </w:r>
      <w:r>
        <w:fldChar w:fldCharType="end"/>
      </w:r>
      <w:r>
        <w:t>.  </w:t>
      </w:r>
      <w:r w:rsidR="00511225">
        <w:t xml:space="preserve">Undoubtedly, significant progress </w:t>
      </w:r>
      <w:r w:rsidR="00446B5B">
        <w:t xml:space="preserve">has been made </w:t>
      </w:r>
      <w:r w:rsidR="00511225">
        <w:t xml:space="preserve">in reducing emissions </w:t>
      </w:r>
      <w:r w:rsidR="00446B5B">
        <w:t xml:space="preserve">over the past </w:t>
      </w:r>
      <w:r w:rsidR="004202E7">
        <w:t>ten</w:t>
      </w:r>
      <w:r w:rsidR="00446B5B">
        <w:t xml:space="preserve"> to </w:t>
      </w:r>
      <w:r w:rsidR="004202E7">
        <w:t>twenty years</w:t>
      </w:r>
      <w:r w:rsidR="00511225">
        <w:t xml:space="preserve">. However, if only the period </w:t>
      </w:r>
      <w:r w:rsidR="00EF75B2">
        <w:t xml:space="preserve">within </w:t>
      </w:r>
      <w:r w:rsidR="00511225">
        <w:t>the Court</w:t>
      </w:r>
      <w:r w:rsidR="009952BE">
        <w:t>'</w:t>
      </w:r>
      <w:r w:rsidR="00511225">
        <w:t xml:space="preserve">s competence </w:t>
      </w:r>
      <w:r w:rsidRPr="00511225" w:rsidR="00511225">
        <w:rPr>
          <w:i/>
        </w:rPr>
        <w:t>ratione temporis</w:t>
      </w:r>
      <w:r w:rsidR="00511225">
        <w:t xml:space="preserve"> is taken</w:t>
      </w:r>
      <w:r w:rsidR="00B1230B">
        <w:t xml:space="preserve"> into account</w:t>
      </w:r>
      <w:r w:rsidR="00511225">
        <w:t xml:space="preserve">, the overall improvement of the environmental situation </w:t>
      </w:r>
      <w:r w:rsidR="00446B5B">
        <w:t xml:space="preserve">would appear </w:t>
      </w:r>
      <w:r w:rsidR="00B1230B">
        <w:t>to be</w:t>
      </w:r>
      <w:r w:rsidR="00511225">
        <w:t xml:space="preserve"> very slow. Moreover, as the Government</w:t>
      </w:r>
      <w:r w:rsidR="009952BE">
        <w:t>'</w:t>
      </w:r>
      <w:r w:rsidR="00511225">
        <w:t xml:space="preserve">s report shows, </w:t>
      </w:r>
      <w:r w:rsidR="004202E7">
        <w:t xml:space="preserve">the dynamics </w:t>
      </w:r>
      <w:r w:rsidR="00511225">
        <w:t xml:space="preserve">with respect to </w:t>
      </w:r>
      <w:r w:rsidR="00B1230B">
        <w:t xml:space="preserve">a number of toxic </w:t>
      </w:r>
      <w:r w:rsidR="004202E7">
        <w:t xml:space="preserve">substances </w:t>
      </w:r>
      <w:r w:rsidR="00EF62E4">
        <w:t>are</w:t>
      </w:r>
      <w:r w:rsidR="004202E7">
        <w:t xml:space="preserve"> not constant </w:t>
      </w:r>
      <w:r w:rsidR="00511225">
        <w:t>and</w:t>
      </w:r>
      <w:r w:rsidR="004202E7">
        <w:t xml:space="preserve"> </w:t>
      </w:r>
      <w:r w:rsidR="00B1230B">
        <w:t xml:space="preserve">in certain years pollution levels </w:t>
      </w:r>
      <w:r w:rsidR="00AC543D">
        <w:t>increased r</w:t>
      </w:r>
      <w:r w:rsidR="00446B5B">
        <w:t xml:space="preserve">ather than </w:t>
      </w:r>
      <w:r w:rsidR="00E67C85">
        <w:t>decreased</w:t>
      </w:r>
      <w:r w:rsidR="0077415A">
        <w:t xml:space="preserve"> (see</w:t>
      </w:r>
      <w:r w:rsidR="00B85A1B">
        <w:t xml:space="preserve"> the</w:t>
      </w:r>
      <w:r w:rsidR="007C5194">
        <w:t xml:space="preserve"> a</w:t>
      </w:r>
      <w:r w:rsidR="00B85A1B">
        <w:t>ppendix</w:t>
      </w:r>
      <w:r w:rsidR="007C5194">
        <w:t xml:space="preserve"> to this judgment</w:t>
      </w:r>
      <w:r w:rsidR="0077415A">
        <w:t>)</w:t>
      </w:r>
      <w:r w:rsidR="00EF62E4">
        <w:t>.</w:t>
      </w:r>
    </w:p>
    <w:p w:rsidR="0065140C" w:rsidP="00252EB8" w:rsidRDefault="00BB5585">
      <w:pPr>
        <w:pStyle w:val="JuParaCharCharCharCharCharChar"/>
      </w:pPr>
      <w:r>
        <w:fldChar w:fldCharType="begin"/>
      </w:r>
      <w:r>
        <w:instrText xml:space="preserve"> SEQ level0 \*arabic </w:instrText>
      </w:r>
      <w:r>
        <w:fldChar w:fldCharType="separate"/>
      </w:r>
      <w:r w:rsidR="008C3401">
        <w:rPr>
          <w:noProof/>
        </w:rPr>
        <w:t>128</w:t>
      </w:r>
      <w:r>
        <w:fldChar w:fldCharType="end"/>
      </w:r>
      <w:r>
        <w:t>.  </w:t>
      </w:r>
      <w:r w:rsidR="00DE6DED">
        <w:t xml:space="preserve">It might be argued </w:t>
      </w:r>
      <w:r w:rsidR="00B1230B">
        <w:t>that</w:t>
      </w:r>
      <w:r w:rsidR="00446B5B">
        <w:t>,</w:t>
      </w:r>
      <w:r w:rsidR="00B1230B">
        <w:t xml:space="preserve"> given the complexity and scale of the environmental problem around the Severstal </w:t>
      </w:r>
      <w:r w:rsidR="002F22AF">
        <w:t>steel plant</w:t>
      </w:r>
      <w:r w:rsidR="00B1230B">
        <w:t xml:space="preserve">, </w:t>
      </w:r>
      <w:r w:rsidR="00F3789E">
        <w:t>it</w:t>
      </w:r>
      <w:r w:rsidR="00B85A1B">
        <w:t xml:space="preserve"> </w:t>
      </w:r>
      <w:r w:rsidR="00B1230B">
        <w:t>cannot be resolved in a short period of time.</w:t>
      </w:r>
      <w:r w:rsidR="00EF75B2">
        <w:t xml:space="preserve"> Indeed, it</w:t>
      </w:r>
      <w:r w:rsidR="00446B5B">
        <w:t xml:space="preserve"> is </w:t>
      </w:r>
      <w:r w:rsidR="00EF75B2">
        <w:t>not the Court</w:t>
      </w:r>
      <w:r w:rsidR="009952BE">
        <w:t>'</w:t>
      </w:r>
      <w:r w:rsidR="00EF75B2">
        <w:t>s task to d</w:t>
      </w:r>
      <w:r w:rsidR="00754695">
        <w:t>etermine</w:t>
      </w:r>
      <w:r w:rsidR="00EF75B2">
        <w:t xml:space="preserve"> what exactly </w:t>
      </w:r>
      <w:r w:rsidR="00446B5B">
        <w:t xml:space="preserve">should have </w:t>
      </w:r>
      <w:r w:rsidR="00EF75B2">
        <w:t>b</w:t>
      </w:r>
      <w:r w:rsidR="00446B5B">
        <w:t>e</w:t>
      </w:r>
      <w:r w:rsidR="00EF75B2">
        <w:t>e</w:t>
      </w:r>
      <w:r w:rsidR="00446B5B">
        <w:t>n</w:t>
      </w:r>
      <w:r w:rsidR="00EF75B2">
        <w:t xml:space="preserve"> done in the present situation to reduce pollution</w:t>
      </w:r>
      <w:r w:rsidR="0077415A">
        <w:t xml:space="preserve"> in a more efficient way</w:t>
      </w:r>
      <w:r w:rsidR="00EF75B2">
        <w:t xml:space="preserve">. </w:t>
      </w:r>
      <w:r w:rsidR="00446B5B">
        <w:t xml:space="preserve">However, </w:t>
      </w:r>
      <w:r w:rsidR="00EF75B2">
        <w:t xml:space="preserve">it </w:t>
      </w:r>
      <w:r w:rsidR="00446B5B">
        <w:t xml:space="preserve">is </w:t>
      </w:r>
      <w:r w:rsidR="00EF75B2">
        <w:t xml:space="preserve">certainly </w:t>
      </w:r>
      <w:r w:rsidR="00F3789E">
        <w:t>with</w:t>
      </w:r>
      <w:r w:rsidR="00EF75B2">
        <w:t>in the Court</w:t>
      </w:r>
      <w:r w:rsidR="009952BE">
        <w:t>'</w:t>
      </w:r>
      <w:r w:rsidR="00EF75B2">
        <w:t xml:space="preserve">s jurisdiction to assess whether the Government approached the problem with due diligence and gave consideration to all </w:t>
      </w:r>
      <w:r w:rsidR="00AC543D">
        <w:t xml:space="preserve">the </w:t>
      </w:r>
      <w:r w:rsidR="006B367D">
        <w:t xml:space="preserve">competing interests. </w:t>
      </w:r>
      <w:r w:rsidR="00754695">
        <w:t>In this respect the Court reiterates</w:t>
      </w:r>
      <w:r w:rsidR="006B367D">
        <w:t xml:space="preserve"> </w:t>
      </w:r>
      <w:r w:rsidR="00754695">
        <w:t xml:space="preserve">that </w:t>
      </w:r>
      <w:r w:rsidR="006B367D">
        <w:t xml:space="preserve">the onus </w:t>
      </w:r>
      <w:r w:rsidR="00754695">
        <w:t>is</w:t>
      </w:r>
      <w:r w:rsidR="006B367D">
        <w:t xml:space="preserve"> on the State to justify, using detailed and rigorous data, a situation </w:t>
      </w:r>
      <w:r w:rsidR="00446B5B">
        <w:t xml:space="preserve">in which </w:t>
      </w:r>
      <w:r w:rsidR="006B367D">
        <w:t>certain individuals bear</w:t>
      </w:r>
      <w:r w:rsidR="00446B5B">
        <w:t xml:space="preserve"> </w:t>
      </w:r>
      <w:r w:rsidR="006B367D">
        <w:t xml:space="preserve">a heavy burden on behalf of the rest of the community. Looking at </w:t>
      </w:r>
      <w:r w:rsidR="00EF75B2">
        <w:t xml:space="preserve">the </w:t>
      </w:r>
      <w:r w:rsidR="006B367D">
        <w:t xml:space="preserve">present </w:t>
      </w:r>
      <w:r w:rsidR="00EF75B2">
        <w:t>case from this p</w:t>
      </w:r>
      <w:r w:rsidR="00AC543D">
        <w:t>erspective</w:t>
      </w:r>
      <w:r w:rsidR="00EF75B2">
        <w:t>,</w:t>
      </w:r>
      <w:r w:rsidR="006B367D">
        <w:t xml:space="preserve"> the Court notes the following</w:t>
      </w:r>
      <w:r w:rsidR="00DE6DED">
        <w:t xml:space="preserve"> points</w:t>
      </w:r>
      <w:r w:rsidR="006B367D">
        <w:t>.</w:t>
      </w:r>
    </w:p>
    <w:p w:rsidR="00EF62E4" w:rsidP="00252EB8" w:rsidRDefault="00BB5585">
      <w:pPr>
        <w:pStyle w:val="JuParaCharCharCharCharCharChar"/>
      </w:pPr>
      <w:r>
        <w:fldChar w:fldCharType="begin"/>
      </w:r>
      <w:r>
        <w:instrText xml:space="preserve"> SEQ level0 \*arabic </w:instrText>
      </w:r>
      <w:r>
        <w:fldChar w:fldCharType="separate"/>
      </w:r>
      <w:r w:rsidR="008C3401">
        <w:rPr>
          <w:noProof/>
        </w:rPr>
        <w:t>129</w:t>
      </w:r>
      <w:r>
        <w:fldChar w:fldCharType="end"/>
      </w:r>
      <w:r>
        <w:t>.  </w:t>
      </w:r>
      <w:r w:rsidR="00EF62E4">
        <w:t xml:space="preserve">The Government referred to a number of studies carried out in order to assess the environmental situation around the </w:t>
      </w:r>
      <w:smartTag w:uri="urn:schemas-microsoft-com:office:smarttags" w:element="City">
        <w:smartTag w:uri="urn:schemas-microsoft-com:office:smarttags" w:element="place">
          <w:r w:rsidR="00EF62E4">
            <w:t>Cherepovets</w:t>
          </w:r>
        </w:smartTag>
      </w:smartTag>
      <w:r w:rsidR="00EF62E4">
        <w:t xml:space="preserve"> </w:t>
      </w:r>
      <w:r w:rsidR="002F22AF">
        <w:t>steel plant</w:t>
      </w:r>
      <w:r w:rsidR="00EF62E4">
        <w:t>. However, the Government ha</w:t>
      </w:r>
      <w:r w:rsidR="00DE6DED">
        <w:t>ve</w:t>
      </w:r>
      <w:r w:rsidR="00EF62E4">
        <w:t xml:space="preserve"> failed to produce these documents or </w:t>
      </w:r>
      <w:r w:rsidR="00446B5B">
        <w:t xml:space="preserve">to </w:t>
      </w:r>
      <w:r w:rsidR="00EF62E4">
        <w:t xml:space="preserve">explain </w:t>
      </w:r>
      <w:r w:rsidR="00843D28">
        <w:t xml:space="preserve">how </w:t>
      </w:r>
      <w:r w:rsidR="00EF62E4">
        <w:t xml:space="preserve">they influenced </w:t>
      </w:r>
      <w:r w:rsidR="00843D28">
        <w:t xml:space="preserve">policy in respect </w:t>
      </w:r>
      <w:r w:rsidR="00344771">
        <w:t>of</w:t>
      </w:r>
      <w:r w:rsidR="00843D28">
        <w:t xml:space="preserve"> the plant, particular</w:t>
      </w:r>
      <w:r w:rsidR="00446B5B">
        <w:t xml:space="preserve">ly </w:t>
      </w:r>
      <w:r w:rsidR="00843D28">
        <w:t xml:space="preserve">the conditions </w:t>
      </w:r>
      <w:r w:rsidR="00446B5B">
        <w:t xml:space="preserve">attached to </w:t>
      </w:r>
      <w:r w:rsidR="00843D28">
        <w:t>the plant</w:t>
      </w:r>
      <w:r w:rsidR="009952BE">
        <w:t>'</w:t>
      </w:r>
      <w:r w:rsidR="00843D28">
        <w:t xml:space="preserve">s operating </w:t>
      </w:r>
      <w:r w:rsidR="00446B5B">
        <w:t>permit</w:t>
      </w:r>
      <w:r w:rsidR="00843D28">
        <w:t>.</w:t>
      </w:r>
      <w:r w:rsidR="006B367D">
        <w:t xml:space="preserve"> The Court also notes that</w:t>
      </w:r>
      <w:r w:rsidR="00EF62E4">
        <w:t xml:space="preserve"> the Government did not provide</w:t>
      </w:r>
      <w:r w:rsidR="00800873">
        <w:t xml:space="preserve"> </w:t>
      </w:r>
      <w:r w:rsidR="00843D28">
        <w:t xml:space="preserve">a copy of </w:t>
      </w:r>
      <w:r w:rsidR="00EF75B2">
        <w:t>the plant</w:t>
      </w:r>
      <w:r w:rsidR="009952BE">
        <w:t>'</w:t>
      </w:r>
      <w:r w:rsidR="00EF75B2">
        <w:t xml:space="preserve">s </w:t>
      </w:r>
      <w:r w:rsidR="006B367D">
        <w:t xml:space="preserve">operating </w:t>
      </w:r>
      <w:r w:rsidR="00446B5B">
        <w:t xml:space="preserve">permit </w:t>
      </w:r>
      <w:r w:rsidR="00EF62E4">
        <w:t xml:space="preserve">and did not </w:t>
      </w:r>
      <w:r w:rsidR="00843D28">
        <w:t xml:space="preserve">specify </w:t>
      </w:r>
      <w:r w:rsidR="006B367D">
        <w:t xml:space="preserve">how </w:t>
      </w:r>
      <w:r w:rsidR="00EF62E4">
        <w:t xml:space="preserve">the interests of the population residing around the </w:t>
      </w:r>
      <w:r w:rsidR="002F22AF">
        <w:t>steel plant</w:t>
      </w:r>
      <w:r w:rsidR="00EF62E4">
        <w:t xml:space="preserve"> were taken into account </w:t>
      </w:r>
      <w:r w:rsidR="00DE6DED">
        <w:t xml:space="preserve">when </w:t>
      </w:r>
      <w:r w:rsidR="00EF62E4">
        <w:t xml:space="preserve">the conditions </w:t>
      </w:r>
      <w:r w:rsidR="00E67C85">
        <w:t>attached to the permit</w:t>
      </w:r>
      <w:r w:rsidR="00DE6DED">
        <w:t xml:space="preserve"> were established</w:t>
      </w:r>
      <w:r w:rsidR="00EF62E4">
        <w:t>.</w:t>
      </w:r>
    </w:p>
    <w:p w:rsidR="00EF62E4" w:rsidP="00252EB8" w:rsidRDefault="00BB5585">
      <w:pPr>
        <w:pStyle w:val="JuParaCharCharCharCharCharChar"/>
      </w:pPr>
      <w:r>
        <w:fldChar w:fldCharType="begin"/>
      </w:r>
      <w:r>
        <w:instrText xml:space="preserve"> SEQ level0 \*arabic </w:instrText>
      </w:r>
      <w:r>
        <w:fldChar w:fldCharType="separate"/>
      </w:r>
      <w:r w:rsidR="008C3401">
        <w:rPr>
          <w:noProof/>
        </w:rPr>
        <w:t>130</w:t>
      </w:r>
      <w:r>
        <w:fldChar w:fldCharType="end"/>
      </w:r>
      <w:r>
        <w:t>.  </w:t>
      </w:r>
      <w:r w:rsidR="00EF62E4">
        <w:t xml:space="preserve">The Government </w:t>
      </w:r>
      <w:r w:rsidR="00754695">
        <w:t xml:space="preserve">submitted </w:t>
      </w:r>
      <w:r w:rsidR="00EF62E4">
        <w:t>that</w:t>
      </w:r>
      <w:r w:rsidR="007C5194">
        <w:t>,</w:t>
      </w:r>
      <w:r w:rsidR="00EF62E4">
        <w:t xml:space="preserve"> </w:t>
      </w:r>
      <w:r w:rsidR="00446B5B">
        <w:t xml:space="preserve">during </w:t>
      </w:r>
      <w:r w:rsidR="00EF62E4">
        <w:t>the period under consideration</w:t>
      </w:r>
      <w:r w:rsidR="007C5194">
        <w:t>,</w:t>
      </w:r>
      <w:r w:rsidR="00EF62E4">
        <w:t xml:space="preserve"> Severstal PLC was subjected to </w:t>
      </w:r>
      <w:r w:rsidR="00800873">
        <w:t xml:space="preserve">various checks and </w:t>
      </w:r>
      <w:r w:rsidR="00EF62E4">
        <w:t>administrative penalties</w:t>
      </w:r>
      <w:r w:rsidR="00843D28">
        <w:t xml:space="preserve"> for different breaches of environmental law</w:t>
      </w:r>
      <w:r w:rsidR="00EF62E4">
        <w:t>. However,</w:t>
      </w:r>
      <w:r w:rsidR="00EF75B2">
        <w:t xml:space="preserve"> </w:t>
      </w:r>
      <w:r w:rsidR="00843D28">
        <w:t xml:space="preserve">the Government </w:t>
      </w:r>
      <w:r w:rsidR="006B367D">
        <w:t xml:space="preserve">did not </w:t>
      </w:r>
      <w:r w:rsidR="00843D28">
        <w:t xml:space="preserve">specify </w:t>
      </w:r>
      <w:r w:rsidR="00EF75B2">
        <w:t>wh</w:t>
      </w:r>
      <w:r w:rsidR="006B367D">
        <w:t>ich</w:t>
      </w:r>
      <w:r w:rsidR="00843D28">
        <w:t xml:space="preserve"> sanctions </w:t>
      </w:r>
      <w:r w:rsidR="006B367D">
        <w:t xml:space="preserve">had been </w:t>
      </w:r>
      <w:r w:rsidR="00843D28">
        <w:t xml:space="preserve">applied and </w:t>
      </w:r>
      <w:r w:rsidR="00446B5B">
        <w:t xml:space="preserve">the type of </w:t>
      </w:r>
      <w:r w:rsidR="00843D28">
        <w:t>breaches</w:t>
      </w:r>
      <w:r w:rsidR="00446B5B">
        <w:t xml:space="preserve"> concerned</w:t>
      </w:r>
      <w:r w:rsidR="00843D28">
        <w:t xml:space="preserve">. </w:t>
      </w:r>
      <w:r w:rsidR="00BE7057">
        <w:t>Consequently, i</w:t>
      </w:r>
      <w:r w:rsidR="00843D28">
        <w:t xml:space="preserve">t is impossible to </w:t>
      </w:r>
      <w:r w:rsidR="00754695">
        <w:t>a</w:t>
      </w:r>
      <w:r w:rsidR="00B85A1B">
        <w:t xml:space="preserve">ssess </w:t>
      </w:r>
      <w:r w:rsidR="00EF75B2">
        <w:t>to what extent the</w:t>
      </w:r>
      <w:r w:rsidR="00843D28">
        <w:t>se sanctions</w:t>
      </w:r>
      <w:r w:rsidR="00EF75B2">
        <w:t xml:space="preserve"> could really induce Severstal to take </w:t>
      </w:r>
      <w:r w:rsidR="00446B5B">
        <w:t xml:space="preserve">the </w:t>
      </w:r>
      <w:r w:rsidR="00EF75B2">
        <w:t xml:space="preserve">necessary measures </w:t>
      </w:r>
      <w:r w:rsidR="00AC543D">
        <w:t>for</w:t>
      </w:r>
      <w:r w:rsidR="00EF75B2">
        <w:t xml:space="preserve"> environmental protection.</w:t>
      </w:r>
    </w:p>
    <w:p w:rsidR="00BE7057" w:rsidP="00252EB8" w:rsidRDefault="00BB5585">
      <w:pPr>
        <w:pStyle w:val="JuParaCharCharCharCharCharChar"/>
      </w:pPr>
      <w:r>
        <w:fldChar w:fldCharType="begin"/>
      </w:r>
      <w:r>
        <w:instrText xml:space="preserve"> SEQ level0 \*arabic </w:instrText>
      </w:r>
      <w:r>
        <w:fldChar w:fldCharType="separate"/>
      </w:r>
      <w:r w:rsidR="008C3401">
        <w:rPr>
          <w:noProof/>
        </w:rPr>
        <w:t>131</w:t>
      </w:r>
      <w:r>
        <w:fldChar w:fldCharType="end"/>
      </w:r>
      <w:r>
        <w:t>.  </w:t>
      </w:r>
      <w:r w:rsidR="006B367D">
        <w:t>The Court con</w:t>
      </w:r>
      <w:r w:rsidR="00E66B8D">
        <w:t>siders</w:t>
      </w:r>
      <w:r w:rsidR="006B367D">
        <w:t xml:space="preserve"> </w:t>
      </w:r>
      <w:r w:rsidR="00E66B8D">
        <w:t>that it is not possible to make a sensible analysis of the Government</w:t>
      </w:r>
      <w:r w:rsidR="009952BE">
        <w:t>'</w:t>
      </w:r>
      <w:r w:rsidR="00E66B8D">
        <w:t xml:space="preserve">s policy </w:t>
      </w:r>
      <w:r w:rsidRPr="00C536FC" w:rsidR="00E66B8D">
        <w:rPr>
          <w:i/>
        </w:rPr>
        <w:t>vis-à-vis</w:t>
      </w:r>
      <w:r w:rsidR="00E66B8D">
        <w:t xml:space="preserve"> Severstal because the</w:t>
      </w:r>
      <w:r w:rsidR="00C536FC">
        <w:t>y</w:t>
      </w:r>
      <w:r w:rsidR="00E66B8D">
        <w:t xml:space="preserve"> ha</w:t>
      </w:r>
      <w:r w:rsidR="00446B5B">
        <w:t>ve</w:t>
      </w:r>
      <w:r w:rsidR="00E66B8D">
        <w:t xml:space="preserve"> failed to show </w:t>
      </w:r>
      <w:r w:rsidR="00BF1660">
        <w:t xml:space="preserve">clearly </w:t>
      </w:r>
      <w:r w:rsidR="00E66B8D">
        <w:t xml:space="preserve">what this policy consisted of. </w:t>
      </w:r>
      <w:r w:rsidR="00BE7057">
        <w:t>In these circumstances</w:t>
      </w:r>
      <w:r w:rsidR="00C536FC">
        <w:t>,</w:t>
      </w:r>
      <w:r w:rsidR="00BE7057">
        <w:t xml:space="preserve"> the Court has to draw an adverse inference</w:t>
      </w:r>
      <w:r w:rsidR="00754695">
        <w:t>.</w:t>
      </w:r>
      <w:r w:rsidR="00BE7057">
        <w:t xml:space="preserve"> </w:t>
      </w:r>
      <w:r w:rsidR="00754695">
        <w:t>I</w:t>
      </w:r>
      <w:r w:rsidR="00BE7057">
        <w:t xml:space="preserve">n </w:t>
      </w:r>
      <w:r w:rsidR="00754695">
        <w:t xml:space="preserve">view of the materials before it, </w:t>
      </w:r>
      <w:r w:rsidR="003B5098">
        <w:t>the Court can</w:t>
      </w:r>
      <w:r w:rsidR="00754695">
        <w:t xml:space="preserve">not conclude that, in </w:t>
      </w:r>
      <w:r w:rsidR="00BE7057">
        <w:t xml:space="preserve">regulating the </w:t>
      </w:r>
      <w:r w:rsidR="002F22AF">
        <w:t>steel plant</w:t>
      </w:r>
      <w:r w:rsidR="009952BE">
        <w:t>'</w:t>
      </w:r>
      <w:r w:rsidR="00446B5B">
        <w:t xml:space="preserve">s </w:t>
      </w:r>
      <w:r w:rsidR="0020587C">
        <w:t>industrial activities</w:t>
      </w:r>
      <w:r w:rsidR="00BE7057">
        <w:t xml:space="preserve">, </w:t>
      </w:r>
      <w:r w:rsidR="00810747">
        <w:t xml:space="preserve">the authorities </w:t>
      </w:r>
      <w:r w:rsidR="006B367D">
        <w:t>g</w:t>
      </w:r>
      <w:r w:rsidR="00754695">
        <w:t>a</w:t>
      </w:r>
      <w:r w:rsidR="006B367D">
        <w:t xml:space="preserve">ve due weight to the </w:t>
      </w:r>
      <w:r w:rsidR="00BE7057">
        <w:t xml:space="preserve">interests </w:t>
      </w:r>
      <w:r w:rsidR="006B367D">
        <w:t xml:space="preserve">of the community living in </w:t>
      </w:r>
      <w:r w:rsidR="00BE7057">
        <w:t xml:space="preserve">close </w:t>
      </w:r>
      <w:r w:rsidR="00446B5B">
        <w:t xml:space="preserve">proximity </w:t>
      </w:r>
      <w:r w:rsidR="00BE7057">
        <w:t>to its premises.</w:t>
      </w:r>
    </w:p>
    <w:p w:rsidR="00772DF2" w:rsidP="00252EB8" w:rsidRDefault="00BB5585">
      <w:pPr>
        <w:pStyle w:val="JuParaCharCharCharCharCharChar"/>
      </w:pPr>
      <w:r>
        <w:fldChar w:fldCharType="begin"/>
      </w:r>
      <w:r>
        <w:instrText xml:space="preserve"> SEQ level0 \*arabic </w:instrText>
      </w:r>
      <w:r>
        <w:fldChar w:fldCharType="separate"/>
      </w:r>
      <w:r w:rsidR="008C3401">
        <w:rPr>
          <w:noProof/>
        </w:rPr>
        <w:t>132</w:t>
      </w:r>
      <w:r>
        <w:fldChar w:fldCharType="end"/>
      </w:r>
      <w:r>
        <w:t>.  </w:t>
      </w:r>
      <w:r w:rsidR="005A32D5">
        <w:t xml:space="preserve">In </w:t>
      </w:r>
      <w:r w:rsidR="00BE7057">
        <w:t>sum</w:t>
      </w:r>
      <w:r w:rsidRPr="00BE7057" w:rsidR="00BE7057">
        <w:t>,</w:t>
      </w:r>
      <w:r w:rsidR="00BE7057">
        <w:t xml:space="preserve"> the Court</w:t>
      </w:r>
      <w:r w:rsidR="0020587C">
        <w:t xml:space="preserve"> finds the following.</w:t>
      </w:r>
      <w:r w:rsidR="00BE7057">
        <w:t xml:space="preserve"> </w:t>
      </w:r>
      <w:r w:rsidR="005A32D5">
        <w:t>T</w:t>
      </w:r>
      <w:r w:rsidR="00810747">
        <w:t xml:space="preserve">he State </w:t>
      </w:r>
      <w:r w:rsidR="00446B5B">
        <w:t xml:space="preserve">authorised </w:t>
      </w:r>
      <w:r w:rsidR="00810747">
        <w:t>the operation of a pollut</w:t>
      </w:r>
      <w:r w:rsidR="00446B5B">
        <w:t xml:space="preserve">ing </w:t>
      </w:r>
      <w:r w:rsidR="00C536FC">
        <w:t>plant</w:t>
      </w:r>
      <w:r w:rsidR="00810747">
        <w:t xml:space="preserve"> in the middle of a </w:t>
      </w:r>
      <w:r w:rsidR="00BB073D">
        <w:t xml:space="preserve">densely populated </w:t>
      </w:r>
      <w:r w:rsidR="00BA5D4D">
        <w:t>town</w:t>
      </w:r>
      <w:r w:rsidR="00810747">
        <w:t xml:space="preserve">. Since the toxic emissions </w:t>
      </w:r>
      <w:r w:rsidR="00446B5B">
        <w:t xml:space="preserve">from </w:t>
      </w:r>
      <w:r w:rsidR="00810747">
        <w:t xml:space="preserve">this </w:t>
      </w:r>
      <w:r w:rsidR="00C536FC">
        <w:t>plant</w:t>
      </w:r>
      <w:r w:rsidR="00810747">
        <w:t xml:space="preserve"> exceeded </w:t>
      </w:r>
      <w:r w:rsidR="00446B5B">
        <w:t xml:space="preserve">the </w:t>
      </w:r>
      <w:r w:rsidR="00810747">
        <w:t xml:space="preserve">safe limits established by the domestic legislation and </w:t>
      </w:r>
      <w:r w:rsidR="00BD7969">
        <w:t>might</w:t>
      </w:r>
      <w:r w:rsidR="00B85A1B">
        <w:t xml:space="preserve"> </w:t>
      </w:r>
      <w:r w:rsidR="00810747">
        <w:t>endanger the health of those living nearby, the State established</w:t>
      </w:r>
      <w:r w:rsidR="008666EB">
        <w:t xml:space="preserve"> through legislation </w:t>
      </w:r>
      <w:r w:rsidR="00810747">
        <w:t xml:space="preserve">that a certain </w:t>
      </w:r>
      <w:r w:rsidR="00F3789E">
        <w:t>area</w:t>
      </w:r>
      <w:r w:rsidR="00810747">
        <w:t xml:space="preserve"> around the plant should be free of any dwelling</w:t>
      </w:r>
      <w:r w:rsidR="005A32D5">
        <w:t>. However,</w:t>
      </w:r>
      <w:r w:rsidR="00810747">
        <w:t xml:space="preserve"> </w:t>
      </w:r>
      <w:r w:rsidR="005A32D5">
        <w:t xml:space="preserve">these legislative </w:t>
      </w:r>
      <w:r w:rsidR="003B5098">
        <w:t xml:space="preserve">measures </w:t>
      </w:r>
      <w:r w:rsidR="00BF1660">
        <w:t>were not implemented in practice</w:t>
      </w:r>
      <w:r w:rsidR="005A32D5">
        <w:t>.</w:t>
      </w:r>
    </w:p>
    <w:p w:rsidR="0077415A" w:rsidP="00615A0A" w:rsidRDefault="00BB5585">
      <w:pPr>
        <w:pStyle w:val="JuParaCharCharCharCharCharChar"/>
      </w:pPr>
      <w:r>
        <w:fldChar w:fldCharType="begin"/>
      </w:r>
      <w:r>
        <w:instrText xml:space="preserve"> SEQ level0 \*arabic </w:instrText>
      </w:r>
      <w:r>
        <w:fldChar w:fldCharType="separate"/>
      </w:r>
      <w:r w:rsidR="008C3401">
        <w:rPr>
          <w:noProof/>
        </w:rPr>
        <w:t>133</w:t>
      </w:r>
      <w:r>
        <w:fldChar w:fldCharType="end"/>
      </w:r>
      <w:r>
        <w:t>.  </w:t>
      </w:r>
      <w:r w:rsidR="0020587C">
        <w:t xml:space="preserve">It would be going </w:t>
      </w:r>
      <w:r w:rsidR="005B0115">
        <w:t>too</w:t>
      </w:r>
      <w:r w:rsidR="007C5194">
        <w:t xml:space="preserve"> far to assert</w:t>
      </w:r>
      <w:r w:rsidR="0020587C">
        <w:t xml:space="preserve"> that</w:t>
      </w:r>
      <w:r w:rsidR="00810747">
        <w:t xml:space="preserve"> </w:t>
      </w:r>
      <w:r w:rsidR="0020587C">
        <w:t xml:space="preserve">the </w:t>
      </w:r>
      <w:r w:rsidR="00810747">
        <w:t>State</w:t>
      </w:r>
      <w:r w:rsidR="0020587C">
        <w:t xml:space="preserve"> </w:t>
      </w:r>
      <w:r w:rsidR="00810747">
        <w:t xml:space="preserve">or the polluting </w:t>
      </w:r>
      <w:r w:rsidR="00C536FC">
        <w:t>undertaking</w:t>
      </w:r>
      <w:r w:rsidR="00810747">
        <w:t xml:space="preserve"> </w:t>
      </w:r>
      <w:r w:rsidR="0020587C">
        <w:t>w</w:t>
      </w:r>
      <w:r w:rsidR="005A32D5">
        <w:t>ere</w:t>
      </w:r>
      <w:r w:rsidR="00E67C85">
        <w:t xml:space="preserve"> </w:t>
      </w:r>
      <w:r w:rsidR="0020587C">
        <w:t>under an obligation to provide the applicant with free housing</w:t>
      </w:r>
      <w:r w:rsidR="005A32D5">
        <w:t xml:space="preserve"> and, in any event, it</w:t>
      </w:r>
      <w:r w:rsidR="00B85A1B">
        <w:t xml:space="preserve"> is </w:t>
      </w:r>
      <w:r w:rsidR="005A32D5">
        <w:t>not the Court</w:t>
      </w:r>
      <w:r w:rsidR="009952BE">
        <w:t>'</w:t>
      </w:r>
      <w:r w:rsidR="005A32D5">
        <w:t xml:space="preserve">s role to dictate precise measures which should be adopted by the States in order to comply with their positive duties under Article 8 of the Convention. In the present case, however, </w:t>
      </w:r>
      <w:r w:rsidR="00B85A1B">
        <w:t>although</w:t>
      </w:r>
      <w:r w:rsidR="005A32D5">
        <w:t xml:space="preserve"> the situation around the plant called for a special treatment of those living within the zone, the State did not offer the applicant any effective solution to help her move </w:t>
      </w:r>
      <w:r w:rsidR="00F3789E">
        <w:t xml:space="preserve">away </w:t>
      </w:r>
      <w:r w:rsidR="005A32D5">
        <w:t xml:space="preserve">from </w:t>
      </w:r>
      <w:r w:rsidR="00A93D13">
        <w:t xml:space="preserve">the dangerous area. </w:t>
      </w:r>
      <w:r w:rsidR="00810747">
        <w:t>Furthermore</w:t>
      </w:r>
      <w:r w:rsidR="005B0115">
        <w:t xml:space="preserve">, although the polluting </w:t>
      </w:r>
      <w:r w:rsidR="00C536FC">
        <w:t>plant</w:t>
      </w:r>
      <w:r w:rsidR="007C5194">
        <w:t xml:space="preserve"> in</w:t>
      </w:r>
      <w:r w:rsidR="005B0115">
        <w:t xml:space="preserve"> issue operate</w:t>
      </w:r>
      <w:r w:rsidR="00810747">
        <w:t>d</w:t>
      </w:r>
      <w:r w:rsidR="005B0115">
        <w:t xml:space="preserve"> in breach of domestic environmental standards,</w:t>
      </w:r>
      <w:r w:rsidR="00810747">
        <w:t xml:space="preserve"> there is no </w:t>
      </w:r>
      <w:r w:rsidR="008C3401">
        <w:t>indication</w:t>
      </w:r>
      <w:r w:rsidR="00810747">
        <w:t xml:space="preserve"> that the State designed or applied effective measures</w:t>
      </w:r>
      <w:r w:rsidR="007C5194">
        <w:t xml:space="preserve"> </w:t>
      </w:r>
      <w:r w:rsidR="00C536FC">
        <w:t>which</w:t>
      </w:r>
      <w:r w:rsidR="000E0BB0">
        <w:t xml:space="preserve"> would</w:t>
      </w:r>
      <w:r w:rsidR="00810747">
        <w:t xml:space="preserve"> tak</w:t>
      </w:r>
      <w:r w:rsidR="000E0BB0">
        <w:t>e</w:t>
      </w:r>
      <w:r w:rsidR="00810747">
        <w:t xml:space="preserve"> into account the interests of the local population</w:t>
      </w:r>
      <w:r w:rsidR="00446B5B">
        <w:t>,</w:t>
      </w:r>
      <w:r w:rsidR="00810747">
        <w:t xml:space="preserve"> affected by the pollution</w:t>
      </w:r>
      <w:r w:rsidR="00446B5B">
        <w:t>,</w:t>
      </w:r>
      <w:r w:rsidR="00810747">
        <w:t xml:space="preserve"> and </w:t>
      </w:r>
      <w:r w:rsidR="00446B5B">
        <w:t xml:space="preserve">which </w:t>
      </w:r>
      <w:r w:rsidR="000E0BB0">
        <w:t xml:space="preserve">would be </w:t>
      </w:r>
      <w:r w:rsidR="00810747">
        <w:t xml:space="preserve">capable of </w:t>
      </w:r>
      <w:r w:rsidR="00446B5B">
        <w:t xml:space="preserve">reducing </w:t>
      </w:r>
      <w:r w:rsidR="000E0BB0">
        <w:t xml:space="preserve">the industrial pollution </w:t>
      </w:r>
      <w:r w:rsidR="00810747">
        <w:t>to acceptable levels.</w:t>
      </w:r>
    </w:p>
    <w:p w:rsidR="00BE7057" w:rsidP="00BD7969" w:rsidRDefault="00BB5585">
      <w:pPr>
        <w:pStyle w:val="JuParaCharCharCharCharCharChar"/>
      </w:pPr>
      <w:r>
        <w:fldChar w:fldCharType="begin"/>
      </w:r>
      <w:r>
        <w:instrText xml:space="preserve"> SEQ level0 \*arabic </w:instrText>
      </w:r>
      <w:r>
        <w:fldChar w:fldCharType="separate"/>
      </w:r>
      <w:r w:rsidR="008C3401">
        <w:rPr>
          <w:noProof/>
        </w:rPr>
        <w:t>134</w:t>
      </w:r>
      <w:r>
        <w:fldChar w:fldCharType="end"/>
      </w:r>
      <w:r>
        <w:t>.  </w:t>
      </w:r>
      <w:r w:rsidR="00810747">
        <w:t xml:space="preserve">The Court concludes that, </w:t>
      </w:r>
      <w:r w:rsidRPr="00BE7057" w:rsidR="00BE7057">
        <w:t xml:space="preserve">despite the </w:t>
      </w:r>
      <w:r w:rsidR="00BE7057">
        <w:t xml:space="preserve">wide </w:t>
      </w:r>
      <w:r w:rsidRPr="00BE7057" w:rsidR="00BE7057">
        <w:t>margin of appreciation left to the respondent State</w:t>
      </w:r>
      <w:r w:rsidR="00BE7057">
        <w:t>, it has failed to strike a fair balance between</w:t>
      </w:r>
      <w:r w:rsidR="00446B5B">
        <w:t xml:space="preserve"> the</w:t>
      </w:r>
      <w:r w:rsidR="00BE7057">
        <w:t xml:space="preserve"> interests of the community</w:t>
      </w:r>
      <w:r w:rsidR="00BB073D">
        <w:t xml:space="preserve"> </w:t>
      </w:r>
      <w:r w:rsidRPr="00BE7057" w:rsidR="00BE7057">
        <w:t>and the applicant</w:t>
      </w:r>
      <w:r w:rsidR="009952BE">
        <w:t>'</w:t>
      </w:r>
      <w:r w:rsidR="000E0BB0">
        <w:t>s</w:t>
      </w:r>
      <w:r w:rsidRPr="00BE7057" w:rsidR="00BE7057">
        <w:t xml:space="preserve"> effective enjoyment of her right to respect for her home and her private li</w:t>
      </w:r>
      <w:r w:rsidR="00BE7057">
        <w:t>f</w:t>
      </w:r>
      <w:r w:rsidR="00A93D13">
        <w:t xml:space="preserve">e. </w:t>
      </w:r>
      <w:r w:rsidRPr="00BE7057" w:rsidR="00BE7057">
        <w:t>There has accordingly</w:t>
      </w:r>
      <w:r w:rsidR="000E0BB0">
        <w:t xml:space="preserve"> been a violation of Article 8</w:t>
      </w:r>
      <w:r w:rsidR="007C5194">
        <w:t xml:space="preserve"> of the Convention</w:t>
      </w:r>
      <w:r w:rsidR="000E0BB0">
        <w:t>.</w:t>
      </w:r>
    </w:p>
    <w:p w:rsidRPr="00DE7FCC" w:rsidR="00CD49A7" w:rsidP="00252EB8" w:rsidRDefault="00754695">
      <w:pPr>
        <w:pStyle w:val="JuHIRoman"/>
      </w:pPr>
      <w:r>
        <w:t>II</w:t>
      </w:r>
      <w:r w:rsidRPr="00DE7FCC">
        <w:t>.  </w:t>
      </w:r>
      <w:r w:rsidRPr="00DE7FCC" w:rsidR="00CD49A7">
        <w:t>APPLICATION OF ARTICLE 41 OF THE CONVENTION</w:t>
      </w:r>
    </w:p>
    <w:p w:rsidRPr="00DE7FCC" w:rsidR="00CD49A7" w:rsidP="00252EB8" w:rsidRDefault="00BB5585">
      <w:pPr>
        <w:pStyle w:val="JuParaCharCharCharCharCharChar"/>
        <w:keepNext/>
        <w:keepLines/>
      </w:pPr>
      <w:r>
        <w:fldChar w:fldCharType="begin"/>
      </w:r>
      <w:r>
        <w:instrText xml:space="preserve"> SEQ level0 \*arabic </w:instrText>
      </w:r>
      <w:r>
        <w:fldChar w:fldCharType="separate"/>
      </w:r>
      <w:r w:rsidR="008C3401">
        <w:rPr>
          <w:noProof/>
        </w:rPr>
        <w:t>135</w:t>
      </w:r>
      <w:r>
        <w:fldChar w:fldCharType="end"/>
      </w:r>
      <w:r>
        <w:t>.  </w:t>
      </w:r>
      <w:r w:rsidRPr="00DE7FCC" w:rsidR="00CD49A7">
        <w:t>Article 41 of the Convention provides:</w:t>
      </w:r>
    </w:p>
    <w:p w:rsidRPr="00DE7FCC" w:rsidR="00CD49A7" w:rsidP="00252EB8" w:rsidRDefault="00CD49A7">
      <w:pPr>
        <w:pStyle w:val="JuQuot"/>
        <w:keepNext/>
        <w:keepLines/>
      </w:pPr>
      <w:r w:rsidRPr="00DE7FCC">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00CD49A7" w:rsidP="00252EB8" w:rsidRDefault="00CD49A7">
      <w:pPr>
        <w:pStyle w:val="JuHA"/>
        <w:outlineLvl w:val="0"/>
      </w:pPr>
      <w:r w:rsidRPr="00DE7FCC">
        <w:t>A.  Damage</w:t>
      </w:r>
    </w:p>
    <w:p w:rsidRPr="00754695" w:rsidR="00754695" w:rsidP="00754695" w:rsidRDefault="00F8213D">
      <w:pPr>
        <w:pStyle w:val="JuH1"/>
      </w:pPr>
      <w:r>
        <w:t>1.  </w:t>
      </w:r>
      <w:r w:rsidR="00754695">
        <w:t>Non-pecuniary damage</w:t>
      </w:r>
    </w:p>
    <w:p w:rsidR="00754695" w:rsidP="00754695" w:rsidRDefault="00BB5585">
      <w:pPr>
        <w:pStyle w:val="JuParaCharCharCharCharCharChar"/>
      </w:pPr>
      <w:r>
        <w:fldChar w:fldCharType="begin"/>
      </w:r>
      <w:r>
        <w:instrText xml:space="preserve"> SEQ level0 \*arabic </w:instrText>
      </w:r>
      <w:r>
        <w:fldChar w:fldCharType="separate"/>
      </w:r>
      <w:r w:rsidR="008C3401">
        <w:rPr>
          <w:noProof/>
        </w:rPr>
        <w:t>136</w:t>
      </w:r>
      <w:r>
        <w:fldChar w:fldCharType="end"/>
      </w:r>
      <w:r>
        <w:t>.  </w:t>
      </w:r>
      <w:r w:rsidR="00754695">
        <w:t>The applicant claimed</w:t>
      </w:r>
      <w:r w:rsidR="00494669">
        <w:t xml:space="preserve"> </w:t>
      </w:r>
      <w:r w:rsidR="00754695">
        <w:t>10,000</w:t>
      </w:r>
      <w:r w:rsidR="00494669">
        <w:t xml:space="preserve"> </w:t>
      </w:r>
      <w:r w:rsidR="00A93D13">
        <w:t>euros (EUR) in com</w:t>
      </w:r>
      <w:r w:rsidR="00494669">
        <w:t>pens</w:t>
      </w:r>
      <w:r w:rsidR="004E4926">
        <w:t>at</w:t>
      </w:r>
      <w:r w:rsidR="00494669">
        <w:t>ion</w:t>
      </w:r>
      <w:r w:rsidR="00754695">
        <w:t xml:space="preserve"> for the non-pecuniary damage she had suffered. This figure, in the applicant</w:t>
      </w:r>
      <w:r w:rsidR="009952BE">
        <w:t>'</w:t>
      </w:r>
      <w:r w:rsidR="00754695">
        <w:t xml:space="preserve">s view, </w:t>
      </w:r>
      <w:r w:rsidR="00CB007B">
        <w:t>wa</w:t>
      </w:r>
      <w:r w:rsidR="00754695">
        <w:t>s justified by the excessive environmental pollution within the sanitary security zone, which ha</w:t>
      </w:r>
      <w:r w:rsidR="00CB007B">
        <w:t>d</w:t>
      </w:r>
      <w:r w:rsidR="00754695">
        <w:t xml:space="preserve"> adversely affected </w:t>
      </w:r>
      <w:r w:rsidR="00C536FC">
        <w:t>her</w:t>
      </w:r>
      <w:r w:rsidR="00754695">
        <w:t xml:space="preserve"> health and </w:t>
      </w:r>
      <w:r w:rsidR="00C536FC">
        <w:t xml:space="preserve">her </w:t>
      </w:r>
      <w:r w:rsidR="00754695">
        <w:t xml:space="preserve">enjoyment of her </w:t>
      </w:r>
      <w:r w:rsidR="00917C19">
        <w:t>home</w:t>
      </w:r>
      <w:r w:rsidR="00754695">
        <w:t xml:space="preserve"> and </w:t>
      </w:r>
      <w:r w:rsidR="00BF1660">
        <w:t>private</w:t>
      </w:r>
      <w:r w:rsidR="00754695">
        <w:t xml:space="preserve"> life. Such conditions ha</w:t>
      </w:r>
      <w:r w:rsidR="00CB007B">
        <w:t>d</w:t>
      </w:r>
      <w:r w:rsidR="00754695">
        <w:t xml:space="preserve"> also caused distress and frustration </w:t>
      </w:r>
      <w:r w:rsidR="00CB007B">
        <w:t xml:space="preserve">on account of </w:t>
      </w:r>
      <w:r w:rsidR="00923CB0">
        <w:t xml:space="preserve">the fact that she </w:t>
      </w:r>
      <w:r w:rsidR="00754695">
        <w:t xml:space="preserve">and her family </w:t>
      </w:r>
      <w:r w:rsidR="00923CB0">
        <w:t xml:space="preserve">had </w:t>
      </w:r>
      <w:r w:rsidR="00754695">
        <w:t>ha</w:t>
      </w:r>
      <w:r w:rsidR="00923CB0">
        <w:t xml:space="preserve">d </w:t>
      </w:r>
      <w:r w:rsidR="00754695">
        <w:t>to l</w:t>
      </w:r>
      <w:r w:rsidR="007C5194">
        <w:t>ive in the zone for more than twenty</w:t>
      </w:r>
      <w:r w:rsidR="00754695">
        <w:t xml:space="preserve"> years.</w:t>
      </w:r>
    </w:p>
    <w:p w:rsidR="00772DF2" w:rsidP="00754695" w:rsidRDefault="00BB5585">
      <w:pPr>
        <w:pStyle w:val="JuPara"/>
      </w:pPr>
      <w:r>
        <w:fldChar w:fldCharType="begin"/>
      </w:r>
      <w:r>
        <w:instrText xml:space="preserve"> SEQ level0 \*arabic </w:instrText>
      </w:r>
      <w:r>
        <w:fldChar w:fldCharType="separate"/>
      </w:r>
      <w:r w:rsidR="008C3401">
        <w:rPr>
          <w:noProof/>
        </w:rPr>
        <w:t>137</w:t>
      </w:r>
      <w:r>
        <w:fldChar w:fldCharType="end"/>
      </w:r>
      <w:r>
        <w:t>.  </w:t>
      </w:r>
      <w:r w:rsidRPr="00754695" w:rsidR="00754695">
        <w:t>The Government considered that these claims were exaggerated</w:t>
      </w:r>
      <w:r w:rsidR="00754695">
        <w:t xml:space="preserve"> and that the finding of a violation would be adequate just satisfaction. Alternatively, the Government submit</w:t>
      </w:r>
      <w:r w:rsidR="00CB007B">
        <w:t>ted</w:t>
      </w:r>
      <w:r w:rsidR="00754695">
        <w:t xml:space="preserve"> that “only a symbolic amount would be equitable with regard to non-pecuniary damage”.</w:t>
      </w:r>
    </w:p>
    <w:p w:rsidRPr="00AF2BB3" w:rsidR="00754695" w:rsidP="00754695" w:rsidRDefault="00BB5585">
      <w:pPr>
        <w:pStyle w:val="JuPara"/>
      </w:pPr>
      <w:r>
        <w:fldChar w:fldCharType="begin"/>
      </w:r>
      <w:r>
        <w:instrText xml:space="preserve"> SEQ level0 \*arabic </w:instrText>
      </w:r>
      <w:r>
        <w:fldChar w:fldCharType="separate"/>
      </w:r>
      <w:r w:rsidR="008C3401">
        <w:rPr>
          <w:noProof/>
        </w:rPr>
        <w:t>138</w:t>
      </w:r>
      <w:r>
        <w:fldChar w:fldCharType="end"/>
      </w:r>
      <w:r>
        <w:t>.  </w:t>
      </w:r>
      <w:r w:rsidR="00754695">
        <w:t>T</w:t>
      </w:r>
      <w:r w:rsidRPr="00AF2BB3" w:rsidR="00754695">
        <w:t xml:space="preserve">he Court is </w:t>
      </w:r>
      <w:r w:rsidR="00CB007B">
        <w:t xml:space="preserve">prepared </w:t>
      </w:r>
      <w:r w:rsidRPr="00AF2BB3" w:rsidR="00754695">
        <w:t xml:space="preserve">to accept that the </w:t>
      </w:r>
      <w:r w:rsidR="00754695">
        <w:t>applicant</w:t>
      </w:r>
      <w:r w:rsidR="009952BE">
        <w:t>'</w:t>
      </w:r>
      <w:r w:rsidR="00754695">
        <w:t xml:space="preserve">s </w:t>
      </w:r>
      <w:r w:rsidRPr="00AF2BB3" w:rsidR="00754695">
        <w:t xml:space="preserve">prolonged </w:t>
      </w:r>
      <w:r w:rsidR="00754695">
        <w:t xml:space="preserve">exposure to industrial pollution </w:t>
      </w:r>
      <w:r w:rsidRPr="00AF2BB3" w:rsidR="00754695">
        <w:t xml:space="preserve">caused </w:t>
      </w:r>
      <w:r w:rsidR="00754695">
        <w:t>her m</w:t>
      </w:r>
      <w:r w:rsidR="00CB007B">
        <w:t xml:space="preserve">uch </w:t>
      </w:r>
      <w:r w:rsidR="00754695">
        <w:t xml:space="preserve">inconvenience, </w:t>
      </w:r>
      <w:r w:rsidRPr="00AF2BB3" w:rsidR="00754695">
        <w:t>mental distress</w:t>
      </w:r>
      <w:r w:rsidR="00754695">
        <w:t xml:space="preserve"> and even </w:t>
      </w:r>
      <w:r w:rsidR="00CB007B">
        <w:t xml:space="preserve">a degree of </w:t>
      </w:r>
      <w:r w:rsidR="00754695">
        <w:t>physical suffering</w:t>
      </w:r>
      <w:r w:rsidR="0081395E">
        <w:t xml:space="preserve"> – this is clear </w:t>
      </w:r>
      <w:r w:rsidR="008C3401">
        <w:t>from</w:t>
      </w:r>
      <w:r w:rsidR="0081395E">
        <w:t xml:space="preserve"> the grounds on which the Court found a violation of Article 8</w:t>
      </w:r>
      <w:r w:rsidR="00754695">
        <w:t>. At the same time</w:t>
      </w:r>
      <w:r w:rsidR="00C536FC">
        <w:t>,</w:t>
      </w:r>
      <w:r w:rsidR="00754695">
        <w:t xml:space="preserve"> the Court </w:t>
      </w:r>
      <w:r w:rsidR="00C536FC">
        <w:t>notes</w:t>
      </w:r>
      <w:r w:rsidR="007C5194">
        <w:t xml:space="preserve"> that the Convention came</w:t>
      </w:r>
      <w:r w:rsidR="00754695">
        <w:t xml:space="preserve"> into force in respect of </w:t>
      </w:r>
      <w:smartTag w:uri="urn:schemas-microsoft-com:office:smarttags" w:element="country-region">
        <w:smartTag w:uri="urn:schemas-microsoft-com:office:smarttags" w:element="place">
          <w:r w:rsidR="00754695">
            <w:t>Russia</w:t>
          </w:r>
        </w:smartTag>
      </w:smartTag>
      <w:r w:rsidR="00754695">
        <w:t xml:space="preserve"> on </w:t>
      </w:r>
      <w:smartTag w:uri="urn:schemas-microsoft-com:office:smarttags" w:element="date">
        <w:smartTagPr>
          <w:attr w:name="Month" w:val="5"/>
          <w:attr w:name="Day" w:val="5"/>
          <w:attr w:name="Year" w:val="1998"/>
        </w:smartTagPr>
        <w:r w:rsidR="00754695">
          <w:t>5 May 1998</w:t>
        </w:r>
      </w:smartTag>
      <w:r w:rsidR="00754695">
        <w:t xml:space="preserve">; therefore, the Court has no competence </w:t>
      </w:r>
      <w:r w:rsidRPr="00754695" w:rsidR="00754695">
        <w:rPr>
          <w:i/>
        </w:rPr>
        <w:t>ratione temporis</w:t>
      </w:r>
      <w:r w:rsidR="00754695">
        <w:t xml:space="preserve"> to make an award for the period prior to th</w:t>
      </w:r>
      <w:r w:rsidR="00C536FC">
        <w:t>at</w:t>
      </w:r>
      <w:r w:rsidR="00754695">
        <w:t xml:space="preserve"> date. In sum, t</w:t>
      </w:r>
      <w:r w:rsidRPr="00AF2BB3" w:rsidR="00754695">
        <w:t>aking into account various relevant factors</w:t>
      </w:r>
      <w:r w:rsidR="00754695">
        <w:t xml:space="preserve">, such as </w:t>
      </w:r>
      <w:r w:rsidR="00C536FC">
        <w:t xml:space="preserve">the </w:t>
      </w:r>
      <w:r w:rsidR="00754695">
        <w:t>age</w:t>
      </w:r>
      <w:r w:rsidR="00C536FC">
        <w:t xml:space="preserve"> and</w:t>
      </w:r>
      <w:r w:rsidR="00923CB0">
        <w:t xml:space="preserve"> </w:t>
      </w:r>
      <w:r w:rsidR="00754695">
        <w:t xml:space="preserve">state of health </w:t>
      </w:r>
      <w:r w:rsidR="00C536FC">
        <w:t xml:space="preserve">of the applicant </w:t>
      </w:r>
      <w:r w:rsidR="00754695">
        <w:t xml:space="preserve">and </w:t>
      </w:r>
      <w:r w:rsidR="00923CB0">
        <w:t xml:space="preserve">the </w:t>
      </w:r>
      <w:r w:rsidR="00754695">
        <w:t xml:space="preserve">duration of the situation complained of, </w:t>
      </w:r>
      <w:r w:rsidRPr="00AF2BB3" w:rsidR="00754695">
        <w:t>and making an assessment on an equitable basis in accordance with</w:t>
      </w:r>
      <w:r w:rsidR="00754695">
        <w:t xml:space="preserve"> Article 41</w:t>
      </w:r>
      <w:r w:rsidRPr="00AF2BB3" w:rsidR="00754695">
        <w:t xml:space="preserve">, </w:t>
      </w:r>
      <w:r w:rsidR="00754695">
        <w:t>the Court</w:t>
      </w:r>
      <w:r w:rsidRPr="00AF2BB3" w:rsidR="00754695">
        <w:t xml:space="preserve"> awards </w:t>
      </w:r>
      <w:r w:rsidR="00A93D13">
        <w:t xml:space="preserve">the applicant EUR </w:t>
      </w:r>
      <w:r w:rsidR="00754695">
        <w:t>6,000 under this head</w:t>
      </w:r>
      <w:r w:rsidR="00494669">
        <w:t>, plus any tax that may be chargeable on this amount</w:t>
      </w:r>
      <w:r w:rsidR="00754695">
        <w:t>.</w:t>
      </w:r>
    </w:p>
    <w:p w:rsidR="00754695" w:rsidP="00754695" w:rsidRDefault="00F8213D">
      <w:pPr>
        <w:pStyle w:val="JuH1"/>
      </w:pPr>
      <w:r>
        <w:t>2.  </w:t>
      </w:r>
      <w:r w:rsidR="00754695">
        <w:t>Pecuniary damage</w:t>
      </w:r>
    </w:p>
    <w:p w:rsidR="00754695" w:rsidP="00754695" w:rsidRDefault="00BB5585">
      <w:pPr>
        <w:pStyle w:val="JuParaCharCharCharCharCharChar"/>
      </w:pPr>
      <w:r>
        <w:fldChar w:fldCharType="begin"/>
      </w:r>
      <w:r>
        <w:instrText xml:space="preserve"> SEQ level0 \*arabic </w:instrText>
      </w:r>
      <w:r>
        <w:fldChar w:fldCharType="separate"/>
      </w:r>
      <w:r w:rsidR="008C3401">
        <w:rPr>
          <w:noProof/>
        </w:rPr>
        <w:t>139</w:t>
      </w:r>
      <w:r>
        <w:fldChar w:fldCharType="end"/>
      </w:r>
      <w:r>
        <w:t>.  </w:t>
      </w:r>
      <w:r w:rsidR="00754695">
        <w:t>Under the head of pecuniary damage</w:t>
      </w:r>
      <w:r w:rsidR="007C5194">
        <w:t>,</w:t>
      </w:r>
      <w:r w:rsidR="00754695">
        <w:t xml:space="preserve"> the applicant claim</w:t>
      </w:r>
      <w:r w:rsidR="00CB007B">
        <w:t>ed</w:t>
      </w:r>
      <w:r w:rsidR="00754695">
        <w:t xml:space="preserve"> that the Government should be </w:t>
      </w:r>
      <w:r w:rsidR="00C536FC">
        <w:t>required</w:t>
      </w:r>
      <w:r w:rsidR="00754695">
        <w:t xml:space="preserve"> to offer her new housing</w:t>
      </w:r>
      <w:r w:rsidR="00923CB0">
        <w:t>,</w:t>
      </w:r>
      <w:r w:rsidR="00754695">
        <w:t xml:space="preserve"> comparable to her current flat, outside the </w:t>
      </w:r>
      <w:smartTag w:uri="urn:schemas-microsoft-com:office:smarttags" w:element="City">
        <w:smartTag w:uri="urn:schemas-microsoft-com:office:smarttags" w:element="place">
          <w:r w:rsidR="00923CB0">
            <w:t>Cherepovets</w:t>
          </w:r>
        </w:smartTag>
      </w:smartTag>
      <w:r w:rsidR="00923CB0">
        <w:t xml:space="preserve"> </w:t>
      </w:r>
      <w:r w:rsidR="00754695">
        <w:t xml:space="preserve">sanitary security zone. </w:t>
      </w:r>
      <w:r w:rsidR="00C536FC">
        <w:t xml:space="preserve">She </w:t>
      </w:r>
      <w:r w:rsidR="00754695">
        <w:t>submit</w:t>
      </w:r>
      <w:r w:rsidR="00CB007B">
        <w:t>ted</w:t>
      </w:r>
      <w:r w:rsidR="00754695">
        <w:t xml:space="preserve"> that</w:t>
      </w:r>
      <w:r w:rsidR="00CB007B">
        <w:t>,</w:t>
      </w:r>
      <w:r w:rsidR="00754695">
        <w:t xml:space="preserve"> in the light of the principles established in similar cases, and the </w:t>
      </w:r>
      <w:r w:rsidR="00923CB0">
        <w:t>State</w:t>
      </w:r>
      <w:r w:rsidR="009952BE">
        <w:t>'</w:t>
      </w:r>
      <w:r w:rsidR="00923CB0">
        <w:t xml:space="preserve">s </w:t>
      </w:r>
      <w:r w:rsidR="00754695">
        <w:t xml:space="preserve">failure in this case to comply with Russian domestic law requiring </w:t>
      </w:r>
      <w:r w:rsidR="00923CB0">
        <w:t>her</w:t>
      </w:r>
      <w:r w:rsidR="00754695">
        <w:t xml:space="preserve"> rehousing, the State should be ordered to provide her with housing outside the sanitary security zone. Alternatively, the applicant claim</w:t>
      </w:r>
      <w:r w:rsidR="00CB007B">
        <w:t>ed</w:t>
      </w:r>
      <w:r w:rsidR="00754695">
        <w:t xml:space="preserve"> an award of damages of EUR 30,000, </w:t>
      </w:r>
      <w:r w:rsidR="00923CB0">
        <w:t xml:space="preserve">which </w:t>
      </w:r>
      <w:r w:rsidR="00CB007B">
        <w:t>wa</w:t>
      </w:r>
      <w:r w:rsidR="00923CB0">
        <w:t xml:space="preserve">s </w:t>
      </w:r>
      <w:r w:rsidR="00754695">
        <w:t>the value of a flat comparable to the applicant</w:t>
      </w:r>
      <w:r w:rsidR="009952BE">
        <w:t>'</w:t>
      </w:r>
      <w:r w:rsidR="00754695">
        <w:t xml:space="preserve">s but located outside the </w:t>
      </w:r>
      <w:smartTag w:uri="urn:schemas-microsoft-com:office:smarttags" w:element="City">
        <w:smartTag w:uri="urn:schemas-microsoft-com:office:smarttags" w:element="place">
          <w:r w:rsidR="00CB007B">
            <w:t>Cherepovets</w:t>
          </w:r>
        </w:smartTag>
      </w:smartTag>
      <w:r w:rsidR="00CB007B">
        <w:t xml:space="preserve"> </w:t>
      </w:r>
      <w:r w:rsidR="00754695">
        <w:t>sanitary security zone.</w:t>
      </w:r>
    </w:p>
    <w:p w:rsidR="00754695" w:rsidP="00754695" w:rsidRDefault="00BB5585">
      <w:pPr>
        <w:pStyle w:val="JuParaCharCharCharCharCharChar"/>
      </w:pPr>
      <w:r>
        <w:fldChar w:fldCharType="begin"/>
      </w:r>
      <w:r>
        <w:instrText xml:space="preserve"> SEQ level0 \*arabic </w:instrText>
      </w:r>
      <w:r>
        <w:fldChar w:fldCharType="separate"/>
      </w:r>
      <w:r w:rsidR="008C3401">
        <w:rPr>
          <w:noProof/>
        </w:rPr>
        <w:t>140</w:t>
      </w:r>
      <w:r>
        <w:fldChar w:fldCharType="end"/>
      </w:r>
      <w:r>
        <w:t>.  </w:t>
      </w:r>
      <w:r w:rsidR="00754695">
        <w:t>The Government argue</w:t>
      </w:r>
      <w:r w:rsidR="00CB007B">
        <w:t>d</w:t>
      </w:r>
      <w:r w:rsidR="00754695">
        <w:t xml:space="preserve"> that this claim should be rejected.</w:t>
      </w:r>
    </w:p>
    <w:p w:rsidR="00754695" w:rsidP="00754695" w:rsidRDefault="00BB5585">
      <w:pPr>
        <w:pStyle w:val="JuParaCharCharCharCharCharChar"/>
      </w:pPr>
      <w:r>
        <w:fldChar w:fldCharType="begin"/>
      </w:r>
      <w:r>
        <w:instrText xml:space="preserve"> SEQ level0 \*arabic </w:instrText>
      </w:r>
      <w:r>
        <w:fldChar w:fldCharType="separate"/>
      </w:r>
      <w:r w:rsidR="008C3401">
        <w:rPr>
          <w:noProof/>
        </w:rPr>
        <w:t>141</w:t>
      </w:r>
      <w:r>
        <w:fldChar w:fldCharType="end"/>
      </w:r>
      <w:r>
        <w:t>.  </w:t>
      </w:r>
      <w:r w:rsidR="00754695">
        <w:t xml:space="preserve">With regard to this claim the Court notes, first of all, that the violation complained of by the applicant </w:t>
      </w:r>
      <w:r w:rsidR="003B5098">
        <w:t>i</w:t>
      </w:r>
      <w:r w:rsidR="00754695">
        <w:t>s of a continuing nature. Within the period under consideration the applicant</w:t>
      </w:r>
      <w:r w:rsidRPr="00754695" w:rsidR="00754695">
        <w:t xml:space="preserve"> </w:t>
      </w:r>
      <w:r w:rsidR="00754695">
        <w:t xml:space="preserve">lived in her flat as a tenant and has never been deprived of this title. Although during this time her private life was adversely affected by industrial emissions, nothing indicates that she </w:t>
      </w:r>
      <w:r w:rsidR="008855B7">
        <w:t xml:space="preserve">has </w:t>
      </w:r>
      <w:r w:rsidR="00754695">
        <w:t xml:space="preserve">incurred any expenses in this </w:t>
      </w:r>
      <w:r w:rsidR="00C536FC">
        <w:t>connection</w:t>
      </w:r>
      <w:r w:rsidR="00754695">
        <w:t xml:space="preserve">. </w:t>
      </w:r>
      <w:r w:rsidR="005F15BA">
        <w:t>Therefore, i</w:t>
      </w:r>
      <w:r w:rsidR="00754695">
        <w:t xml:space="preserve">n respect of the period </w:t>
      </w:r>
      <w:r w:rsidR="005F15BA">
        <w:t xml:space="preserve">prior to the adoption of the present judgment the applicant </w:t>
      </w:r>
      <w:r w:rsidR="00754695">
        <w:t xml:space="preserve">failed to </w:t>
      </w:r>
      <w:r w:rsidR="005F15BA">
        <w:t>substantiate any material loss.</w:t>
      </w:r>
    </w:p>
    <w:p w:rsidR="00754695" w:rsidP="00754695" w:rsidRDefault="00BB5585">
      <w:pPr>
        <w:pStyle w:val="JuParaCharCharCharCharCharChar"/>
      </w:pPr>
      <w:r>
        <w:fldChar w:fldCharType="begin"/>
      </w:r>
      <w:r>
        <w:instrText xml:space="preserve"> SEQ level0 \*arabic </w:instrText>
      </w:r>
      <w:r>
        <w:fldChar w:fldCharType="separate"/>
      </w:r>
      <w:r w:rsidR="008C3401">
        <w:rPr>
          <w:noProof/>
        </w:rPr>
        <w:t>142</w:t>
      </w:r>
      <w:r>
        <w:fldChar w:fldCharType="end"/>
      </w:r>
      <w:r>
        <w:t>.  </w:t>
      </w:r>
      <w:r w:rsidR="005F15BA">
        <w:t>As regards future measures to be adopted by the Government in order to comply with the Court</w:t>
      </w:r>
      <w:r w:rsidR="009952BE">
        <w:t>'</w:t>
      </w:r>
      <w:r w:rsidR="005F15BA">
        <w:t>s finding of a violation of Article 8 of the Convention in the present case, the resettlement of the applicant in an ecologically safe area</w:t>
      </w:r>
      <w:r w:rsidR="008855B7">
        <w:t xml:space="preserve"> would be</w:t>
      </w:r>
      <w:r w:rsidR="005F15BA">
        <w:t xml:space="preserve"> only one </w:t>
      </w:r>
      <w:r w:rsidR="008855B7">
        <w:t xml:space="preserve">of many </w:t>
      </w:r>
      <w:r w:rsidR="005F15BA">
        <w:t>possible solution</w:t>
      </w:r>
      <w:r w:rsidR="008855B7">
        <w:t>s</w:t>
      </w:r>
      <w:r w:rsidR="005F15BA">
        <w:t>.</w:t>
      </w:r>
      <w:r w:rsidR="008855B7">
        <w:t xml:space="preserve"> </w:t>
      </w:r>
      <w:r w:rsidR="00917C19">
        <w:t>In any event, according to Article 41 of the Convention,</w:t>
      </w:r>
      <w:r w:rsidR="00DC54D2">
        <w:t xml:space="preserve"> by finding </w:t>
      </w:r>
      <w:r w:rsidR="00426713">
        <w:t>a violation of Article 8 in the present case</w:t>
      </w:r>
      <w:r w:rsidR="00917C19">
        <w:t>,</w:t>
      </w:r>
      <w:r w:rsidR="00426713">
        <w:t xml:space="preserve"> </w:t>
      </w:r>
      <w:r w:rsidR="00923CB0">
        <w:t xml:space="preserve">the Court has </w:t>
      </w:r>
      <w:r w:rsidR="00DC54D2">
        <w:t>established the Government</w:t>
      </w:r>
      <w:r w:rsidR="009952BE">
        <w:t>'</w:t>
      </w:r>
      <w:r w:rsidR="00DC54D2">
        <w:t xml:space="preserve">s obligation to </w:t>
      </w:r>
      <w:r w:rsidR="00917C19">
        <w:t xml:space="preserve">take appropriate measures to </w:t>
      </w:r>
      <w:r w:rsidR="00DC54D2">
        <w:t>remed</w:t>
      </w:r>
      <w:r w:rsidR="00917C19">
        <w:t xml:space="preserve">y </w:t>
      </w:r>
      <w:r w:rsidR="00DC54D2">
        <w:t>the applicant</w:t>
      </w:r>
      <w:r w:rsidR="009952BE">
        <w:t>'</w:t>
      </w:r>
      <w:r w:rsidR="00DC54D2">
        <w:t xml:space="preserve">s </w:t>
      </w:r>
      <w:r w:rsidR="00426713">
        <w:t xml:space="preserve">individual </w:t>
      </w:r>
      <w:r w:rsidR="00DC54D2">
        <w:t>situation.</w:t>
      </w:r>
    </w:p>
    <w:p w:rsidRPr="00DE7FCC" w:rsidR="00CD49A7" w:rsidP="00252EB8" w:rsidRDefault="00CD49A7">
      <w:pPr>
        <w:pStyle w:val="JuHA"/>
        <w:outlineLvl w:val="0"/>
      </w:pPr>
      <w:r w:rsidRPr="00DE7FCC">
        <w:t>B.  Costs and expenses</w:t>
      </w:r>
    </w:p>
    <w:p w:rsidR="00426713" w:rsidP="00426713" w:rsidRDefault="00BB5585">
      <w:pPr>
        <w:pStyle w:val="JuParaCharCharCharCharCharChar"/>
      </w:pPr>
      <w:r>
        <w:fldChar w:fldCharType="begin"/>
      </w:r>
      <w:r>
        <w:instrText xml:space="preserve"> SEQ level0 \*arabic </w:instrText>
      </w:r>
      <w:r>
        <w:fldChar w:fldCharType="separate"/>
      </w:r>
      <w:r w:rsidR="008C3401">
        <w:rPr>
          <w:noProof/>
        </w:rPr>
        <w:t>143</w:t>
      </w:r>
      <w:r>
        <w:fldChar w:fldCharType="end"/>
      </w:r>
      <w:r>
        <w:t>.  </w:t>
      </w:r>
      <w:r w:rsidR="008855B7">
        <w:t xml:space="preserve">Finally, </w:t>
      </w:r>
      <w:r w:rsidR="00426713">
        <w:t>under the head of costs and expenses the applicant claim</w:t>
      </w:r>
      <w:r w:rsidR="00CB007B">
        <w:t>ed</w:t>
      </w:r>
      <w:r w:rsidR="00426713">
        <w:t xml:space="preserve"> the following:</w:t>
      </w:r>
    </w:p>
    <w:p w:rsidR="00426713" w:rsidP="00426713" w:rsidRDefault="00426713">
      <w:pPr>
        <w:pStyle w:val="JuParaCharCharCharCharCharChar"/>
      </w:pPr>
      <w:r>
        <w:t>(i)</w:t>
      </w:r>
      <w:r w:rsidR="00F8213D">
        <w:t>  </w:t>
      </w:r>
      <w:r>
        <w:t xml:space="preserve">EUR 2,000 in respect of her representation </w:t>
      </w:r>
      <w:r w:rsidR="00467511">
        <w:t xml:space="preserve">by Mr </w:t>
      </w:r>
      <w:r w:rsidR="00816192">
        <w:t>Yur</w:t>
      </w:r>
      <w:r w:rsidR="00ED0334">
        <w:t>i</w:t>
      </w:r>
      <w:r w:rsidR="00816192">
        <w:t xml:space="preserve">y </w:t>
      </w:r>
      <w:r w:rsidR="00467511">
        <w:t xml:space="preserve">Vanzha </w:t>
      </w:r>
      <w:r>
        <w:t xml:space="preserve">before </w:t>
      </w:r>
      <w:r w:rsidR="007C5194">
        <w:t xml:space="preserve">the </w:t>
      </w:r>
      <w:r>
        <w:t xml:space="preserve">domestic authorities and before the Court </w:t>
      </w:r>
      <w:r w:rsidR="00467511">
        <w:t>at the initial stage of the proceedings</w:t>
      </w:r>
      <w:r w:rsidR="007C5194">
        <w:t>, for forty</w:t>
      </w:r>
      <w:r>
        <w:t xml:space="preserve"> hours, at the rate of EUR 50 per hour;</w:t>
      </w:r>
    </w:p>
    <w:p w:rsidR="00426713" w:rsidP="00426713" w:rsidRDefault="00F8213D">
      <w:pPr>
        <w:pStyle w:val="JuParaCharCharCharCharCharChar"/>
      </w:pPr>
      <w:r>
        <w:t>(ii)  </w:t>
      </w:r>
      <w:r w:rsidR="00426713">
        <w:t xml:space="preserve">EUR 3,000 in respect of her representation before the Court by </w:t>
      </w:r>
      <w:r w:rsidR="00C52193">
        <w:br/>
      </w:r>
      <w:r w:rsidR="00426713">
        <w:t>Mr</w:t>
      </w:r>
      <w:r w:rsidR="007C5194">
        <w:t xml:space="preserve"> </w:t>
      </w:r>
      <w:r w:rsidR="00816192">
        <w:t xml:space="preserve">Kirill </w:t>
      </w:r>
      <w:r w:rsidR="007C5194">
        <w:t>Koroteyev, for sixty</w:t>
      </w:r>
      <w:r w:rsidR="00426713">
        <w:t xml:space="preserve"> hours, at the rate of EUR 50 per hour;</w:t>
      </w:r>
    </w:p>
    <w:p w:rsidR="00426713" w:rsidP="00426713" w:rsidRDefault="00F8213D">
      <w:pPr>
        <w:pStyle w:val="JuParaCharCharCharCharCharChar"/>
      </w:pPr>
      <w:r>
        <w:t>(iii)  </w:t>
      </w:r>
      <w:r w:rsidR="00426713">
        <w:t>2,940</w:t>
      </w:r>
      <w:r w:rsidR="007C5194">
        <w:t xml:space="preserve"> pounds sterling (GBP)</w:t>
      </w:r>
      <w:r w:rsidR="00426713">
        <w:t xml:space="preserve"> in respect of costs and expenses incurred by the applicant</w:t>
      </w:r>
      <w:r w:rsidR="009952BE">
        <w:t>'</w:t>
      </w:r>
      <w:r w:rsidR="00426713">
        <w:t xml:space="preserve">s representatives in </w:t>
      </w:r>
      <w:smartTag w:uri="urn:schemas-microsoft-com:office:smarttags" w:element="City">
        <w:smartTag w:uri="urn:schemas-microsoft-com:office:smarttags" w:element="place">
          <w:r w:rsidR="00426713">
            <w:t>London</w:t>
          </w:r>
        </w:smartTag>
      </w:smartTag>
      <w:r w:rsidR="00467511">
        <w:t xml:space="preserve"> (Mr </w:t>
      </w:r>
      <w:r w:rsidR="00816192">
        <w:t xml:space="preserve">Philip </w:t>
      </w:r>
      <w:r w:rsidR="007C5194">
        <w:t>Leach and Mr </w:t>
      </w:r>
      <w:r w:rsidR="00816192">
        <w:t xml:space="preserve">Bill </w:t>
      </w:r>
      <w:r w:rsidR="00467511">
        <w:t>Bowring)</w:t>
      </w:r>
      <w:r w:rsidR="00426713">
        <w:t>;</w:t>
      </w:r>
    </w:p>
    <w:p w:rsidR="00CD49A7" w:rsidP="00426713" w:rsidRDefault="00F8213D">
      <w:pPr>
        <w:pStyle w:val="JuParaCharCharCharCharCharChar"/>
      </w:pPr>
      <w:r>
        <w:t>(iv)  </w:t>
      </w:r>
      <w:r w:rsidR="00426713">
        <w:t xml:space="preserve">GBP 600 for advice </w:t>
      </w:r>
      <w:r w:rsidR="00923CB0">
        <w:t xml:space="preserve">from </w:t>
      </w:r>
      <w:r w:rsidR="00426713">
        <w:t xml:space="preserve">Ms </w:t>
      </w:r>
      <w:r w:rsidR="00816192">
        <w:t xml:space="preserve">Miriam </w:t>
      </w:r>
      <w:r w:rsidR="00426713">
        <w:t>Carrion Benitez.</w:t>
      </w:r>
    </w:p>
    <w:p w:rsidR="00426713" w:rsidP="00426713" w:rsidRDefault="00BB5585">
      <w:pPr>
        <w:pStyle w:val="JuParaCharCharCharCharCharChar"/>
      </w:pPr>
      <w:r>
        <w:fldChar w:fldCharType="begin"/>
      </w:r>
      <w:r>
        <w:instrText xml:space="preserve"> SEQ level0 \*arabic </w:instrText>
      </w:r>
      <w:r>
        <w:fldChar w:fldCharType="separate"/>
      </w:r>
      <w:r w:rsidR="008C3401">
        <w:rPr>
          <w:noProof/>
        </w:rPr>
        <w:t>144</w:t>
      </w:r>
      <w:r>
        <w:fldChar w:fldCharType="end"/>
      </w:r>
      <w:r>
        <w:t>.  </w:t>
      </w:r>
      <w:r w:rsidR="00426713">
        <w:t>In h</w:t>
      </w:r>
      <w:r w:rsidR="003B5098">
        <w:t>er</w:t>
      </w:r>
      <w:r w:rsidR="00426713">
        <w:t xml:space="preserve"> additional submissions on this topic</w:t>
      </w:r>
      <w:r w:rsidR="008D2D89">
        <w:t>,</w:t>
      </w:r>
      <w:r w:rsidR="00426713">
        <w:t xml:space="preserve"> the applicant claimed the following amounts</w:t>
      </w:r>
      <w:r w:rsidR="008D2D89">
        <w:t xml:space="preserve"> related to the participation of </w:t>
      </w:r>
      <w:r w:rsidR="00CB007B">
        <w:t xml:space="preserve">her </w:t>
      </w:r>
      <w:r w:rsidR="008D2D89">
        <w:t xml:space="preserve">representatives at the hearing of </w:t>
      </w:r>
      <w:smartTag w:uri="urn:schemas-microsoft-com:office:smarttags" w:element="date">
        <w:smartTagPr>
          <w:attr w:name="Month" w:val="7"/>
          <w:attr w:name="Day" w:val="1"/>
          <w:attr w:name="Year" w:val="2004"/>
        </w:smartTagPr>
        <w:r w:rsidR="008D2D89">
          <w:t>1 July 2004</w:t>
        </w:r>
      </w:smartTag>
      <w:r w:rsidR="00426713">
        <w:t>:</w:t>
      </w:r>
    </w:p>
    <w:p w:rsidR="00426713" w:rsidP="00426713" w:rsidRDefault="00F8213D">
      <w:pPr>
        <w:pStyle w:val="JuParaCharCharCharCharCharChar"/>
      </w:pPr>
      <w:r>
        <w:t>(i)  </w:t>
      </w:r>
      <w:r w:rsidR="00426713">
        <w:t>GBP 1</w:t>
      </w:r>
      <w:r w:rsidR="002A1740">
        <w:t>,</w:t>
      </w:r>
      <w:r w:rsidR="00426713">
        <w:t xml:space="preserve">200 (GBP 800 as fees </w:t>
      </w:r>
      <w:r w:rsidR="00923CB0">
        <w:t xml:space="preserve">for </w:t>
      </w:r>
      <w:r w:rsidR="00426713">
        <w:t xml:space="preserve">Mr </w:t>
      </w:r>
      <w:r w:rsidR="00816192">
        <w:t xml:space="preserve">Philip </w:t>
      </w:r>
      <w:r w:rsidR="00426713">
        <w:t>Leach</w:t>
      </w:r>
      <w:r w:rsidR="00A93D13">
        <w:t>, at the rate of GBP</w:t>
      </w:r>
      <w:r w:rsidR="00AF2E0C">
        <w:t> </w:t>
      </w:r>
      <w:r w:rsidR="00996AA8">
        <w:t>100 per hour,</w:t>
      </w:r>
      <w:r w:rsidR="00426713">
        <w:t xml:space="preserve"> </w:t>
      </w:r>
      <w:r w:rsidR="002A1740">
        <w:t xml:space="preserve">plus </w:t>
      </w:r>
      <w:r w:rsidR="00426713">
        <w:t>GBP 400 for his travel time</w:t>
      </w:r>
      <w:r w:rsidR="00996AA8">
        <w:t xml:space="preserve">, at the rate </w:t>
      </w:r>
      <w:r w:rsidR="00CB007B">
        <w:t xml:space="preserve">of </w:t>
      </w:r>
      <w:r w:rsidR="00996AA8">
        <w:t>GBP 50 per hour</w:t>
      </w:r>
      <w:r w:rsidR="00426713">
        <w:t>);</w:t>
      </w:r>
    </w:p>
    <w:p w:rsidR="00426713" w:rsidP="00426713" w:rsidRDefault="00F8213D">
      <w:pPr>
        <w:pStyle w:val="JuParaCharCharCharCharCharChar"/>
      </w:pPr>
      <w:r>
        <w:t>(ii)  </w:t>
      </w:r>
      <w:r w:rsidR="00426713">
        <w:t>GBP 1,400 (</w:t>
      </w:r>
      <w:r w:rsidR="00CB007B">
        <w:t xml:space="preserve">GBP </w:t>
      </w:r>
      <w:r w:rsidR="00426713">
        <w:t xml:space="preserve">1,000 as fees </w:t>
      </w:r>
      <w:r w:rsidR="00923CB0">
        <w:t xml:space="preserve">for </w:t>
      </w:r>
      <w:r w:rsidR="00426713">
        <w:t xml:space="preserve">Mr </w:t>
      </w:r>
      <w:r w:rsidR="00816192">
        <w:t xml:space="preserve">Bill </w:t>
      </w:r>
      <w:r w:rsidR="00426713">
        <w:t>Bowring</w:t>
      </w:r>
      <w:r w:rsidR="00996AA8">
        <w:t>, at the rate of GBP 100 per hour,</w:t>
      </w:r>
      <w:r w:rsidR="00426713">
        <w:t xml:space="preserve"> </w:t>
      </w:r>
      <w:r w:rsidR="002A1740">
        <w:t xml:space="preserve">plus </w:t>
      </w:r>
      <w:r w:rsidR="00426713">
        <w:t>GBP 400 for his travel time</w:t>
      </w:r>
      <w:r w:rsidR="00996AA8">
        <w:t>, at the rate</w:t>
      </w:r>
      <w:r w:rsidR="00CB007B">
        <w:t xml:space="preserve"> of</w:t>
      </w:r>
      <w:r w:rsidR="00A93D13">
        <w:t xml:space="preserve"> GBP </w:t>
      </w:r>
      <w:r w:rsidR="00996AA8">
        <w:t>50 per hour</w:t>
      </w:r>
      <w:r w:rsidR="00426713">
        <w:t>);</w:t>
      </w:r>
    </w:p>
    <w:p w:rsidR="00426713" w:rsidP="00426713" w:rsidRDefault="00F8213D">
      <w:pPr>
        <w:pStyle w:val="JuParaCharCharCharCharCharChar"/>
      </w:pPr>
      <w:r>
        <w:t>(iii)  </w:t>
      </w:r>
      <w:r w:rsidR="00426713">
        <w:t xml:space="preserve">EUR 1,000 (EUR 500 as fees </w:t>
      </w:r>
      <w:r w:rsidR="00923CB0">
        <w:t xml:space="preserve">for </w:t>
      </w:r>
      <w:r w:rsidR="00426713">
        <w:t>Mr</w:t>
      </w:r>
      <w:r w:rsidR="00816192">
        <w:t xml:space="preserve"> Kirill </w:t>
      </w:r>
      <w:r w:rsidR="00426713">
        <w:t>Koroteyev</w:t>
      </w:r>
      <w:r w:rsidR="00A93D13">
        <w:t xml:space="preserve">, at the rate </w:t>
      </w:r>
      <w:r w:rsidR="008C3401">
        <w:t xml:space="preserve">of </w:t>
      </w:r>
      <w:r w:rsidR="00A93D13">
        <w:t xml:space="preserve">EUR </w:t>
      </w:r>
      <w:r w:rsidR="00996AA8">
        <w:t>50 per hour,</w:t>
      </w:r>
      <w:r w:rsidR="00426713">
        <w:t xml:space="preserve"> </w:t>
      </w:r>
      <w:r w:rsidR="002A1740">
        <w:t>plus</w:t>
      </w:r>
      <w:r w:rsidR="00426713">
        <w:t xml:space="preserve"> EUR 500 for his travel time</w:t>
      </w:r>
      <w:r w:rsidR="00996AA8">
        <w:t xml:space="preserve">, at the rate </w:t>
      </w:r>
      <w:r w:rsidR="00CB007B">
        <w:t xml:space="preserve">of EUR </w:t>
      </w:r>
      <w:r w:rsidR="00996AA8">
        <w:t>25 per hour</w:t>
      </w:r>
      <w:r w:rsidR="00426713">
        <w:t>);</w:t>
      </w:r>
    </w:p>
    <w:p w:rsidR="00426713" w:rsidP="00426713" w:rsidRDefault="00C52193">
      <w:pPr>
        <w:pStyle w:val="JuParaCharCharCharCharCharChar"/>
      </w:pPr>
      <w:r>
        <w:t>(iv</w:t>
      </w:r>
      <w:r w:rsidR="00F8213D">
        <w:t>)  </w:t>
      </w:r>
      <w:r w:rsidR="00426713">
        <w:t xml:space="preserve">EUR 700 (EUR 200 as fees for Ms </w:t>
      </w:r>
      <w:r w:rsidR="00816192">
        <w:t xml:space="preserve">Dina </w:t>
      </w:r>
      <w:r w:rsidR="00426713">
        <w:t>Vedernikova</w:t>
      </w:r>
      <w:r w:rsidR="00996AA8">
        <w:t>, at the rate</w:t>
      </w:r>
      <w:r w:rsidR="00CB007B">
        <w:t xml:space="preserve"> of</w:t>
      </w:r>
      <w:r w:rsidR="00A93D13">
        <w:t xml:space="preserve"> EUR </w:t>
      </w:r>
      <w:r w:rsidR="00996AA8">
        <w:t>50</w:t>
      </w:r>
      <w:r w:rsidR="002A1740">
        <w:t xml:space="preserve"> </w:t>
      </w:r>
      <w:r w:rsidR="00996AA8">
        <w:t xml:space="preserve">per hour, </w:t>
      </w:r>
      <w:r w:rsidR="002A1740">
        <w:t>plus</w:t>
      </w:r>
      <w:r w:rsidR="00426713">
        <w:t xml:space="preserve"> EUR 500 for her travel time</w:t>
      </w:r>
      <w:r w:rsidR="00996AA8">
        <w:t xml:space="preserve">, at the rate </w:t>
      </w:r>
      <w:r w:rsidR="00CB007B">
        <w:t xml:space="preserve">of </w:t>
      </w:r>
      <w:r w:rsidR="00A93D13">
        <w:t xml:space="preserve">EUR </w:t>
      </w:r>
      <w:r w:rsidR="00996AA8">
        <w:t>25 per hour</w:t>
      </w:r>
      <w:r w:rsidR="00426713">
        <w:t>).</w:t>
      </w:r>
    </w:p>
    <w:p w:rsidR="00426713" w:rsidP="00426713" w:rsidRDefault="00BB5585">
      <w:pPr>
        <w:pStyle w:val="JuParaCharCharCharCharCharChar"/>
      </w:pPr>
      <w:r>
        <w:fldChar w:fldCharType="begin"/>
      </w:r>
      <w:r>
        <w:instrText xml:space="preserve"> SEQ level0 \*arabic </w:instrText>
      </w:r>
      <w:r>
        <w:fldChar w:fldCharType="separate"/>
      </w:r>
      <w:r w:rsidR="008C3401">
        <w:rPr>
          <w:noProof/>
        </w:rPr>
        <w:t>145</w:t>
      </w:r>
      <w:r>
        <w:fldChar w:fldCharType="end"/>
      </w:r>
      <w:r>
        <w:t>.  </w:t>
      </w:r>
      <w:r w:rsidR="00426713">
        <w:t>In reply</w:t>
      </w:r>
      <w:r w:rsidR="007C5194">
        <w:t>,</w:t>
      </w:r>
      <w:r w:rsidR="00426713">
        <w:t xml:space="preserve"> the Government argue</w:t>
      </w:r>
      <w:r w:rsidR="00CB007B">
        <w:t>d</w:t>
      </w:r>
      <w:r w:rsidR="00426713">
        <w:t xml:space="preserve"> that the applicant</w:t>
      </w:r>
      <w:r w:rsidR="009952BE">
        <w:t>'</w:t>
      </w:r>
      <w:r w:rsidR="00426713">
        <w:t xml:space="preserve">s claims in this part </w:t>
      </w:r>
      <w:r w:rsidR="00CB007B">
        <w:t>were</w:t>
      </w:r>
      <w:r w:rsidR="00426713">
        <w:t xml:space="preserve"> unsubstantiated. They submit</w:t>
      </w:r>
      <w:r w:rsidR="00CB007B">
        <w:t>ted</w:t>
      </w:r>
      <w:r w:rsidR="00426713">
        <w:t xml:space="preserve"> that “no contracts with [the applicant</w:t>
      </w:r>
      <w:r w:rsidR="009952BE">
        <w:t>'</w:t>
      </w:r>
      <w:r w:rsidR="00426713">
        <w:t xml:space="preserve">s representatives] or payment receipts </w:t>
      </w:r>
      <w:r w:rsidR="00CB007B">
        <w:t>have been</w:t>
      </w:r>
      <w:r w:rsidR="00426713">
        <w:t xml:space="preserve"> presented by the</w:t>
      </w:r>
      <w:r w:rsidR="004A30BA">
        <w:t xml:space="preserve"> </w:t>
      </w:r>
      <w:r w:rsidR="00426713">
        <w:t xml:space="preserve">applicant to </w:t>
      </w:r>
      <w:r w:rsidR="004A30BA">
        <w:t>confirm</w:t>
      </w:r>
      <w:r w:rsidR="00426713">
        <w:t xml:space="preserve"> that the costs are real”</w:t>
      </w:r>
      <w:r w:rsidR="00C536FC">
        <w:t>.</w:t>
      </w:r>
      <w:r w:rsidR="00426713">
        <w:t xml:space="preserve"> They also challenge</w:t>
      </w:r>
      <w:r w:rsidR="00CB007B">
        <w:t>d</w:t>
      </w:r>
      <w:r w:rsidR="00426713">
        <w:t xml:space="preserve"> certain </w:t>
      </w:r>
      <w:r w:rsidR="004A30BA">
        <w:t xml:space="preserve">details of </w:t>
      </w:r>
      <w:r w:rsidR="00426713">
        <w:t>the lawyers</w:t>
      </w:r>
      <w:r w:rsidR="009952BE">
        <w:t>'</w:t>
      </w:r>
      <w:r w:rsidR="00426713">
        <w:t xml:space="preserve"> bill</w:t>
      </w:r>
      <w:r w:rsidR="004A30BA">
        <w:t>s</w:t>
      </w:r>
      <w:r w:rsidR="00426713">
        <w:t xml:space="preserve">, in particular the time allegedly spent by Mr Koroteyev </w:t>
      </w:r>
      <w:r w:rsidR="004A30BA">
        <w:t>i</w:t>
      </w:r>
      <w:r w:rsidR="00426713">
        <w:t xml:space="preserve">n a telephone interview with the applicant, and the necessity of </w:t>
      </w:r>
      <w:r w:rsidR="00A93D13">
        <w:t xml:space="preserve">Ms </w:t>
      </w:r>
      <w:r w:rsidR="004A30BA">
        <w:t>Vedernikova</w:t>
      </w:r>
      <w:r w:rsidR="009952BE">
        <w:t>'</w:t>
      </w:r>
      <w:r w:rsidR="004A30BA">
        <w:t xml:space="preserve">s </w:t>
      </w:r>
      <w:r w:rsidR="00426713">
        <w:t xml:space="preserve">appearance before the </w:t>
      </w:r>
      <w:r w:rsidR="00C536FC">
        <w:t xml:space="preserve">European </w:t>
      </w:r>
      <w:r w:rsidR="00426713">
        <w:t>Court.</w:t>
      </w:r>
    </w:p>
    <w:p w:rsidR="00467511" w:rsidP="00467511" w:rsidRDefault="00BB5585">
      <w:pPr>
        <w:pStyle w:val="JuPara"/>
        <w:rPr>
          <w:lang w:eastAsia="en-US"/>
        </w:rPr>
      </w:pPr>
      <w:r>
        <w:fldChar w:fldCharType="begin"/>
      </w:r>
      <w:r>
        <w:instrText xml:space="preserve"> SEQ level0 \*arabic </w:instrText>
      </w:r>
      <w:r>
        <w:fldChar w:fldCharType="separate"/>
      </w:r>
      <w:r w:rsidR="008C3401">
        <w:rPr>
          <w:noProof/>
        </w:rPr>
        <w:t>146</w:t>
      </w:r>
      <w:r>
        <w:fldChar w:fldCharType="end"/>
      </w:r>
      <w:r>
        <w:t>.  </w:t>
      </w:r>
      <w:r w:rsidR="003B5098">
        <w:t>T</w:t>
      </w:r>
      <w:r w:rsidR="009453FF">
        <w:t>he Court has to establish, first</w:t>
      </w:r>
      <w:r w:rsidR="007C5194">
        <w:t>ly</w:t>
      </w:r>
      <w:r w:rsidR="009453FF">
        <w:t>, whether the costs and expenses indicated by the applicant were actually incurred and, second</w:t>
      </w:r>
      <w:r w:rsidR="007C5194">
        <w:t>ly</w:t>
      </w:r>
      <w:r w:rsidR="009453FF">
        <w:t>, whether they were necessary</w:t>
      </w:r>
      <w:r w:rsidR="00467511">
        <w:t xml:space="preserve"> (see </w:t>
      </w:r>
      <w:r w:rsidRPr="00467511" w:rsidR="00467511">
        <w:rPr>
          <w:i/>
          <w:lang w:eastAsia="en-US"/>
        </w:rPr>
        <w:t>McCann and Others v.</w:t>
      </w:r>
      <w:r w:rsidR="00A93D13">
        <w:rPr>
          <w:i/>
          <w:lang w:eastAsia="en-US"/>
        </w:rPr>
        <w:t xml:space="preserve"> </w:t>
      </w:r>
      <w:r w:rsidRPr="00467511" w:rsidR="00467511">
        <w:rPr>
          <w:i/>
          <w:lang w:eastAsia="en-US"/>
        </w:rPr>
        <w:t>the United Kingdom</w:t>
      </w:r>
      <w:r w:rsidR="00A93D13">
        <w:rPr>
          <w:lang w:eastAsia="en-US"/>
        </w:rPr>
        <w:t xml:space="preserve">, judgment of 27 September 1995, Series A no. </w:t>
      </w:r>
      <w:r w:rsidRPr="00467511" w:rsidR="00467511">
        <w:rPr>
          <w:lang w:eastAsia="en-US"/>
        </w:rPr>
        <w:t xml:space="preserve">324, </w:t>
      </w:r>
      <w:r w:rsidR="007C5194">
        <w:rPr>
          <w:lang w:eastAsia="en-US"/>
        </w:rPr>
        <w:t xml:space="preserve">p. 85, </w:t>
      </w:r>
      <w:r w:rsidR="00A93D13">
        <w:t xml:space="preserve">§ </w:t>
      </w:r>
      <w:r w:rsidR="00467511">
        <w:t>220)</w:t>
      </w:r>
      <w:r w:rsidR="009453FF">
        <w:t>.</w:t>
      </w:r>
    </w:p>
    <w:p w:rsidR="00467511" w:rsidP="0081395E" w:rsidRDefault="00BB5585">
      <w:pPr>
        <w:pStyle w:val="JuParaCharCharCharCharCharChar"/>
      </w:pPr>
      <w:r>
        <w:fldChar w:fldCharType="begin"/>
      </w:r>
      <w:r>
        <w:instrText xml:space="preserve"> SEQ level0 \*arabic </w:instrText>
      </w:r>
      <w:r>
        <w:fldChar w:fldCharType="separate"/>
      </w:r>
      <w:r w:rsidR="008C3401">
        <w:rPr>
          <w:noProof/>
        </w:rPr>
        <w:t>147</w:t>
      </w:r>
      <w:r>
        <w:fldChar w:fldCharType="end"/>
      </w:r>
      <w:r>
        <w:t>.  </w:t>
      </w:r>
      <w:r w:rsidR="0081395E">
        <w:t>As to the first question</w:t>
      </w:r>
      <w:r w:rsidR="007C5194">
        <w:t>,</w:t>
      </w:r>
      <w:r w:rsidR="0081395E">
        <w:t xml:space="preserve"> the Court notes that the applicant did not present any written agreement between her and her</w:t>
      </w:r>
      <w:r w:rsidR="00467511">
        <w:t xml:space="preserve"> lawyers</w:t>
      </w:r>
      <w:r w:rsidRPr="0081395E" w:rsidR="0081395E">
        <w:t>.</w:t>
      </w:r>
      <w:r w:rsidR="0081395E">
        <w:t xml:space="preserve"> However, </w:t>
      </w:r>
      <w:r w:rsidR="004A30BA">
        <w:t xml:space="preserve">this </w:t>
      </w:r>
      <w:r w:rsidR="0081395E">
        <w:t>does not mean that such an agreement does not exist. Russian l</w:t>
      </w:r>
      <w:r w:rsidR="004A30BA">
        <w:t xml:space="preserve">egislation </w:t>
      </w:r>
      <w:r w:rsidR="0081395E">
        <w:t>p</w:t>
      </w:r>
      <w:r w:rsidR="00467511">
        <w:t xml:space="preserve">rovides that a contract on consulting services may be concluded in an oral form (Article 153 read in conjunction with Article 779 of the Civil Code of the Russian Federation), and nothing indicates that this was not the case in respect of the applicant and her representatives. In any event, the Government </w:t>
      </w:r>
      <w:r w:rsidR="00C536FC">
        <w:t>have</w:t>
      </w:r>
      <w:r w:rsidR="00467511">
        <w:t xml:space="preserve"> not present</w:t>
      </w:r>
      <w:r w:rsidR="00C536FC">
        <w:t>ed</w:t>
      </w:r>
      <w:r w:rsidR="00467511">
        <w:t xml:space="preserve"> any argument to the contrary. Therefore, the lawyers</w:t>
      </w:r>
      <w:r w:rsidR="009952BE">
        <w:t>'</w:t>
      </w:r>
      <w:r w:rsidR="00467511">
        <w:t xml:space="preserve"> fees are recoverable under domestic law, and, from the standpoint of the Convention, real. The fact that the applicant was not required to cover these fees in advance does not affect this conclusion.</w:t>
      </w:r>
    </w:p>
    <w:p w:rsidR="00467511" w:rsidP="0081395E" w:rsidRDefault="00BB5585">
      <w:pPr>
        <w:pStyle w:val="JuParaCharCharCharCharCharChar"/>
      </w:pPr>
      <w:r>
        <w:fldChar w:fldCharType="begin"/>
      </w:r>
      <w:r>
        <w:instrText xml:space="preserve"> SEQ level0 \*arabic </w:instrText>
      </w:r>
      <w:r>
        <w:fldChar w:fldCharType="separate"/>
      </w:r>
      <w:r w:rsidR="008C3401">
        <w:rPr>
          <w:noProof/>
        </w:rPr>
        <w:t>148</w:t>
      </w:r>
      <w:r>
        <w:fldChar w:fldCharType="end"/>
      </w:r>
      <w:r>
        <w:t>.  </w:t>
      </w:r>
      <w:r w:rsidR="00467511">
        <w:t>Further, it has to be established whether the applicant</w:t>
      </w:r>
      <w:r w:rsidR="009952BE">
        <w:t>'</w:t>
      </w:r>
      <w:r w:rsidR="00467511">
        <w:t>s lawyers</w:t>
      </w:r>
      <w:r w:rsidR="009952BE">
        <w:t>'</w:t>
      </w:r>
      <w:r w:rsidR="00467511">
        <w:t xml:space="preserve"> expenses were necessary. As regards </w:t>
      </w:r>
      <w:r w:rsidR="00CB007B">
        <w:t xml:space="preserve">the </w:t>
      </w:r>
      <w:r w:rsidR="00467511">
        <w:t xml:space="preserve">costs claimed by Mr </w:t>
      </w:r>
      <w:r w:rsidR="00816192">
        <w:t>Yur</w:t>
      </w:r>
      <w:r w:rsidR="00ED0334">
        <w:t>i</w:t>
      </w:r>
      <w:r w:rsidR="00816192">
        <w:t xml:space="preserve">y </w:t>
      </w:r>
      <w:r w:rsidR="00467511">
        <w:t>Vanzha, a reduction should be applied on account of the fact that some of the applicant</w:t>
      </w:r>
      <w:r w:rsidR="009952BE">
        <w:t>'</w:t>
      </w:r>
      <w:r w:rsidR="00467511">
        <w:t xml:space="preserve">s complaints were declared inadmissible. </w:t>
      </w:r>
      <w:r w:rsidRPr="009453FF" w:rsidR="00467511">
        <w:t xml:space="preserve">Making an assessment on a reasonable basis, the Court awards </w:t>
      </w:r>
      <w:r w:rsidR="00467511">
        <w:t>EUR</w:t>
      </w:r>
      <w:r w:rsidR="00A93D13">
        <w:t xml:space="preserve"> </w:t>
      </w:r>
      <w:r w:rsidR="00467511">
        <w:t>1,</w:t>
      </w:r>
      <w:r w:rsidR="00667C90">
        <w:t>5</w:t>
      </w:r>
      <w:r w:rsidR="00467511">
        <w:t>00</w:t>
      </w:r>
      <w:r w:rsidR="002A1740">
        <w:t xml:space="preserve"> for the costs incurred</w:t>
      </w:r>
      <w:r w:rsidR="00683B6D">
        <w:t xml:space="preserve"> under this head</w:t>
      </w:r>
      <w:r w:rsidR="00467511">
        <w:t>.</w:t>
      </w:r>
    </w:p>
    <w:p w:rsidR="009453FF" w:rsidP="0081395E" w:rsidRDefault="00BB5585">
      <w:pPr>
        <w:pStyle w:val="JuParaCharCharCharCharCharChar"/>
      </w:pPr>
      <w:r>
        <w:fldChar w:fldCharType="begin"/>
      </w:r>
      <w:r>
        <w:instrText xml:space="preserve"> SEQ level0 \*arabic </w:instrText>
      </w:r>
      <w:r>
        <w:fldChar w:fldCharType="separate"/>
      </w:r>
      <w:r w:rsidR="008C3401">
        <w:rPr>
          <w:noProof/>
        </w:rPr>
        <w:t>149</w:t>
      </w:r>
      <w:r>
        <w:fldChar w:fldCharType="end"/>
      </w:r>
      <w:r>
        <w:t>.  </w:t>
      </w:r>
      <w:r w:rsidR="00467511">
        <w:t xml:space="preserve">With regard to </w:t>
      </w:r>
      <w:r w:rsidR="004A30BA">
        <w:t xml:space="preserve">the </w:t>
      </w:r>
      <w:r w:rsidR="00467511">
        <w:t xml:space="preserve">costs and expenses incurred by the applicant after her application was declared admissible, referred to in </w:t>
      </w:r>
      <w:r w:rsidR="007C5194">
        <w:t>paragraph</w:t>
      </w:r>
      <w:r w:rsidR="00467511">
        <w:t xml:space="preserve"> </w:t>
      </w:r>
      <w:r w:rsidR="004A30BA">
        <w:t>14</w:t>
      </w:r>
      <w:r w:rsidR="00C52193">
        <w:t>3</w:t>
      </w:r>
      <w:r w:rsidR="00C536FC">
        <w:t xml:space="preserve"> above</w:t>
      </w:r>
      <w:r w:rsidR="00683B6D">
        <w:t>, items</w:t>
      </w:r>
      <w:r w:rsidR="00467511">
        <w:t xml:space="preserve"> (ii)</w:t>
      </w:r>
      <w:r w:rsidR="00683B6D">
        <w:t xml:space="preserve"> to </w:t>
      </w:r>
      <w:r w:rsidR="00467511">
        <w:t xml:space="preserve">(iv), the Court notes that </w:t>
      </w:r>
      <w:r w:rsidR="004A30BA">
        <w:t xml:space="preserve">a </w:t>
      </w:r>
      <w:r w:rsidR="00467511">
        <w:t xml:space="preserve">large amount of legal and technical work was required from both parties in preparation of this case. Consequently, the Court </w:t>
      </w:r>
      <w:r w:rsidR="00683B6D">
        <w:t xml:space="preserve">regards </w:t>
      </w:r>
      <w:r w:rsidR="00467511">
        <w:t>the</w:t>
      </w:r>
      <w:r w:rsidR="00683B6D">
        <w:t>se</w:t>
      </w:r>
      <w:r w:rsidR="00467511">
        <w:t xml:space="preserve"> as</w:t>
      </w:r>
      <w:r w:rsidR="00683B6D">
        <w:t xml:space="preserve"> necessarily incurred</w:t>
      </w:r>
      <w:r w:rsidR="00467511">
        <w:t xml:space="preserve"> and awards the whole sum requ</w:t>
      </w:r>
      <w:r w:rsidR="00C536FC">
        <w:t>ested</w:t>
      </w:r>
      <w:r w:rsidR="00467511">
        <w:t xml:space="preserve"> under this head, </w:t>
      </w:r>
      <w:r w:rsidR="007C5194">
        <w:t>namely</w:t>
      </w:r>
      <w:r w:rsidR="004A30BA">
        <w:t xml:space="preserve"> </w:t>
      </w:r>
      <w:r w:rsidR="00A93D13">
        <w:t xml:space="preserve">EUR </w:t>
      </w:r>
      <w:r w:rsidR="00467511">
        <w:t xml:space="preserve">3,000 </w:t>
      </w:r>
      <w:r w:rsidR="004A30BA">
        <w:t xml:space="preserve">in respect of </w:t>
      </w:r>
      <w:r w:rsidR="00467511">
        <w:t>Mr Koroteyev</w:t>
      </w:r>
      <w:r w:rsidR="009952BE">
        <w:t>'</w:t>
      </w:r>
      <w:r w:rsidR="00683B6D">
        <w:t>s fees and expenses</w:t>
      </w:r>
      <w:r w:rsidR="00467511">
        <w:t xml:space="preserve"> and GBP 3,540 </w:t>
      </w:r>
      <w:r w:rsidR="004A30BA">
        <w:t xml:space="preserve">in respect of </w:t>
      </w:r>
      <w:r w:rsidR="00683B6D">
        <w:t xml:space="preserve">fees and expenses </w:t>
      </w:r>
      <w:r w:rsidR="004A30BA">
        <w:t xml:space="preserve">for </w:t>
      </w:r>
      <w:r w:rsidR="00467511">
        <w:t>the applicant</w:t>
      </w:r>
      <w:r w:rsidR="009952BE">
        <w:t>'</w:t>
      </w:r>
      <w:r w:rsidR="00467511">
        <w:t>s British lawyers</w:t>
      </w:r>
      <w:r w:rsidR="002A1740">
        <w:t xml:space="preserve"> and advisers.</w:t>
      </w:r>
    </w:p>
    <w:p w:rsidR="004E4926" w:rsidP="004E4926" w:rsidRDefault="00BB5585">
      <w:pPr>
        <w:pStyle w:val="JuParaCharCharCharCharCharChar"/>
      </w:pPr>
      <w:r>
        <w:fldChar w:fldCharType="begin"/>
      </w:r>
      <w:r>
        <w:instrText xml:space="preserve"> SEQ level0 \*arabic </w:instrText>
      </w:r>
      <w:r>
        <w:fldChar w:fldCharType="separate"/>
      </w:r>
      <w:r w:rsidR="008C3401">
        <w:rPr>
          <w:noProof/>
        </w:rPr>
        <w:t>150</w:t>
      </w:r>
      <w:r>
        <w:fldChar w:fldCharType="end"/>
      </w:r>
      <w:r>
        <w:t>.  </w:t>
      </w:r>
      <w:r w:rsidR="00467511">
        <w:t xml:space="preserve">Finally, as regards </w:t>
      </w:r>
      <w:r w:rsidR="004A30BA">
        <w:t xml:space="preserve">the </w:t>
      </w:r>
      <w:r w:rsidR="00467511">
        <w:t xml:space="preserve">costs related to the hearing of </w:t>
      </w:r>
      <w:smartTag w:uri="urn:schemas-microsoft-com:office:smarttags" w:element="date">
        <w:smartTagPr>
          <w:attr w:name="Month" w:val="7"/>
          <w:attr w:name="Day" w:val="1"/>
          <w:attr w:name="Year" w:val="2004"/>
        </w:smartTagPr>
        <w:r w:rsidR="00467511">
          <w:t>1 July 2004</w:t>
        </w:r>
      </w:smartTag>
      <w:r w:rsidR="00467511">
        <w:t xml:space="preserve">, the Court notes that the presence of </w:t>
      </w:r>
      <w:r w:rsidR="005A32D5">
        <w:t xml:space="preserve">all </w:t>
      </w:r>
      <w:r w:rsidR="00467511">
        <w:t xml:space="preserve">four </w:t>
      </w:r>
      <w:r w:rsidR="004A30BA">
        <w:t xml:space="preserve">of the </w:t>
      </w:r>
      <w:r w:rsidR="00467511">
        <w:t>applicant</w:t>
      </w:r>
      <w:r w:rsidR="009952BE">
        <w:t>'</w:t>
      </w:r>
      <w:r w:rsidR="00467511">
        <w:t xml:space="preserve">s representatives was not absolutely necessary. </w:t>
      </w:r>
      <w:r w:rsidR="002A1740">
        <w:t xml:space="preserve">Making </w:t>
      </w:r>
      <w:r w:rsidRPr="002A1740" w:rsidR="002A1740">
        <w:t xml:space="preserve">a </w:t>
      </w:r>
      <w:r w:rsidR="00E65141">
        <w:t xml:space="preserve">reasonable </w:t>
      </w:r>
      <w:r w:rsidRPr="002A1740" w:rsidR="002A1740">
        <w:t xml:space="preserve">assessment, </w:t>
      </w:r>
      <w:r w:rsidR="002A1740">
        <w:t xml:space="preserve">the Court </w:t>
      </w:r>
      <w:r w:rsidRPr="002A1740" w:rsidR="002A1740">
        <w:t xml:space="preserve">awards </w:t>
      </w:r>
      <w:r w:rsidR="00A93D13">
        <w:t xml:space="preserve">EUR </w:t>
      </w:r>
      <w:r w:rsidR="00EB2C02">
        <w:t>2</w:t>
      </w:r>
      <w:r w:rsidRPr="002A1740" w:rsidR="002A1740">
        <w:t>,</w:t>
      </w:r>
      <w:r w:rsidR="00EF2DEA">
        <w:t>0</w:t>
      </w:r>
      <w:r w:rsidRPr="002A1740" w:rsidR="002A1740">
        <w:t>00</w:t>
      </w:r>
      <w:r w:rsidR="00E65141">
        <w:t xml:space="preserve"> </w:t>
      </w:r>
      <w:r w:rsidR="00EF2DEA">
        <w:t xml:space="preserve">and GBP 2,000 </w:t>
      </w:r>
      <w:r w:rsidR="004A30BA">
        <w:t xml:space="preserve">under this head </w:t>
      </w:r>
      <w:r w:rsidR="00EF2DEA">
        <w:t xml:space="preserve">respectively </w:t>
      </w:r>
      <w:r w:rsidR="00E65141">
        <w:t xml:space="preserve">for </w:t>
      </w:r>
      <w:r w:rsidR="004A30BA">
        <w:t xml:space="preserve">the </w:t>
      </w:r>
      <w:r w:rsidR="00E65141">
        <w:t>Russian and British lawyers</w:t>
      </w:r>
      <w:r w:rsidR="009952BE">
        <w:t>'</w:t>
      </w:r>
      <w:r w:rsidR="00E65141">
        <w:t xml:space="preserve"> fees and expenses</w:t>
      </w:r>
      <w:r w:rsidR="00683B6D">
        <w:t>.</w:t>
      </w:r>
    </w:p>
    <w:p w:rsidR="004F3797" w:rsidP="004E4926" w:rsidRDefault="004E4926">
      <w:pPr>
        <w:pStyle w:val="JuParaCharCharCharCharCharChar"/>
      </w:pPr>
      <w:r>
        <w:fldChar w:fldCharType="begin"/>
      </w:r>
      <w:r>
        <w:instrText xml:space="preserve"> SEQ level0 \*arabic </w:instrText>
      </w:r>
      <w:r>
        <w:fldChar w:fldCharType="separate"/>
      </w:r>
      <w:r w:rsidR="008C3401">
        <w:rPr>
          <w:noProof/>
        </w:rPr>
        <w:t>151</w:t>
      </w:r>
      <w:r>
        <w:fldChar w:fldCharType="end"/>
      </w:r>
      <w:r>
        <w:t>.  </w:t>
      </w:r>
      <w:r w:rsidR="00CB007B">
        <w:t xml:space="preserve">Any tax that may be chargeable should be added to </w:t>
      </w:r>
      <w:r w:rsidR="004F3797">
        <w:t>the above amount</w:t>
      </w:r>
      <w:r w:rsidR="00F82163">
        <w:t>s</w:t>
      </w:r>
      <w:r w:rsidR="004F3797">
        <w:t>.</w:t>
      </w:r>
    </w:p>
    <w:p w:rsidRPr="00DE7FCC" w:rsidR="00CD49A7" w:rsidP="00252EB8" w:rsidRDefault="00CD49A7">
      <w:pPr>
        <w:pStyle w:val="JuHA"/>
        <w:outlineLvl w:val="0"/>
      </w:pPr>
      <w:r w:rsidRPr="00DE7FCC">
        <w:t>C.  Default interest</w:t>
      </w:r>
    </w:p>
    <w:p w:rsidRPr="00DE7FCC" w:rsidR="00CD49A7" w:rsidP="00252EB8" w:rsidRDefault="004E4926">
      <w:pPr>
        <w:pStyle w:val="JuParaCharCharCharCharCharChar"/>
      </w:pPr>
      <w:r>
        <w:fldChar w:fldCharType="begin"/>
      </w:r>
      <w:r>
        <w:instrText xml:space="preserve"> SEQ level0 \*arabic </w:instrText>
      </w:r>
      <w:r>
        <w:fldChar w:fldCharType="separate"/>
      </w:r>
      <w:r w:rsidR="008C3401">
        <w:rPr>
          <w:noProof/>
        </w:rPr>
        <w:t>152</w:t>
      </w:r>
      <w:r>
        <w:fldChar w:fldCharType="end"/>
      </w:r>
      <w:r>
        <w:t>.  </w:t>
      </w:r>
      <w:r w:rsidRPr="00DE7FCC" w:rsidR="00CD49A7">
        <w:t>The Court considers it appropriate that the default interest should be based on the marginal lending rate of the European Central Bank, to which should be added three percentage points.</w:t>
      </w:r>
    </w:p>
    <w:p w:rsidR="00BF578E" w:rsidP="00C536FC" w:rsidRDefault="00CD49A7">
      <w:pPr>
        <w:pStyle w:val="JuHHead"/>
        <w:keepNext w:val="0"/>
      </w:pPr>
      <w:r w:rsidRPr="00DE7FCC">
        <w:t>FOR THESE REASONS, THE COURT</w:t>
      </w:r>
      <w:r w:rsidR="002E404B">
        <w:t>, UNANIMOUSLY</w:t>
      </w:r>
    </w:p>
    <w:p w:rsidRPr="00DE7FCC" w:rsidR="00917C19" w:rsidP="00C536FC" w:rsidRDefault="0092495D">
      <w:pPr>
        <w:pStyle w:val="JuList"/>
      </w:pPr>
      <w:r>
        <w:t>1</w:t>
      </w:r>
      <w:r w:rsidRPr="00DE7FCC" w:rsidR="00CD49A7">
        <w:t>.  </w:t>
      </w:r>
      <w:r w:rsidRPr="00DE7FCC" w:rsidR="00CD49A7">
        <w:rPr>
          <w:i/>
        </w:rPr>
        <w:t>Holds</w:t>
      </w:r>
      <w:r w:rsidR="00BD7969">
        <w:t xml:space="preserve"> </w:t>
      </w:r>
      <w:r w:rsidRPr="00DE7FCC" w:rsidR="00CD49A7">
        <w:t xml:space="preserve">that there </w:t>
      </w:r>
      <w:r w:rsidR="00A93D13">
        <w:t xml:space="preserve">has been a violation of Article </w:t>
      </w:r>
      <w:r>
        <w:t>8</w:t>
      </w:r>
      <w:r w:rsidRPr="00DE7FCC" w:rsidR="00CD49A7">
        <w:t xml:space="preserve"> of the Convention;</w:t>
      </w:r>
    </w:p>
    <w:p w:rsidRPr="00DE7FCC" w:rsidR="00C536FC" w:rsidP="00C536FC" w:rsidRDefault="00C536FC">
      <w:pPr>
        <w:pStyle w:val="JuList"/>
      </w:pPr>
    </w:p>
    <w:p w:rsidRPr="00DE7FCC" w:rsidR="00CD49A7" w:rsidP="00C536FC" w:rsidRDefault="00896397">
      <w:pPr>
        <w:pStyle w:val="JuList"/>
      </w:pPr>
      <w:r>
        <w:t>2</w:t>
      </w:r>
      <w:r w:rsidRPr="00DE7FCC" w:rsidR="00CD49A7">
        <w:t>.  </w:t>
      </w:r>
      <w:r w:rsidRPr="00DE7FCC" w:rsidR="00CD49A7">
        <w:rPr>
          <w:i/>
        </w:rPr>
        <w:t>Holds</w:t>
      </w:r>
    </w:p>
    <w:p w:rsidRPr="00DE7FCC" w:rsidR="00CD49A7" w:rsidP="00C536FC" w:rsidRDefault="00CD49A7">
      <w:pPr>
        <w:pStyle w:val="JuLista"/>
      </w:pPr>
      <w:r w:rsidRPr="00DE7FCC">
        <w:t xml:space="preserve">(a)  that the respondent State is to pay the </w:t>
      </w:r>
      <w:r w:rsidRPr="00DE7FCC" w:rsidR="00B35738">
        <w:t>applicant</w:t>
      </w:r>
      <w:r w:rsidRPr="00DE7FCC">
        <w:t>, within three months</w:t>
      </w:r>
      <w:r w:rsidRPr="00DE7FCC" w:rsidR="00B35738">
        <w:t xml:space="preserve"> from the date on which the judgment becomes final </w:t>
      </w:r>
      <w:r w:rsidR="00522139">
        <w:t>in accordance with</w:t>
      </w:r>
      <w:r w:rsidR="00A93D13">
        <w:t xml:space="preserve"> Article 44 § </w:t>
      </w:r>
      <w:r w:rsidRPr="00DE7FCC" w:rsidR="00B35738">
        <w:t>2 of the Convention</w:t>
      </w:r>
      <w:r w:rsidRPr="00DE7FCC">
        <w:t xml:space="preserve">, EUR </w:t>
      </w:r>
      <w:r w:rsidR="00575624">
        <w:t>6,000</w:t>
      </w:r>
      <w:r w:rsidRPr="00DE7FCC">
        <w:t xml:space="preserve"> (</w:t>
      </w:r>
      <w:r w:rsidR="00575624">
        <w:t>six thousand</w:t>
      </w:r>
      <w:r w:rsidRPr="00DE7FCC">
        <w:t xml:space="preserve"> euros) in respect of non-pecuniary damage,</w:t>
      </w:r>
      <w:r w:rsidR="00575624">
        <w:t xml:space="preserve"> </w:t>
      </w:r>
      <w:r w:rsidRPr="00592D79" w:rsidR="00575624">
        <w:t xml:space="preserve">to be converted into </w:t>
      </w:r>
      <w:r w:rsidR="005A32D5">
        <w:t xml:space="preserve">Russian </w:t>
      </w:r>
      <w:r w:rsidR="00CB007B">
        <w:t>r</w:t>
      </w:r>
      <w:r w:rsidR="005A32D5">
        <w:t xml:space="preserve">oubles </w:t>
      </w:r>
      <w:r w:rsidRPr="00592D79" w:rsidR="00575624">
        <w:t>at the rate applicable at the date of settlement</w:t>
      </w:r>
      <w:r w:rsidRPr="00DE7FCC">
        <w:t>, plus any tax that may be chargeable</w:t>
      </w:r>
      <w:r w:rsidR="00896397">
        <w:t xml:space="preserve"> on that amount</w:t>
      </w:r>
      <w:r w:rsidRPr="00DE7FCC">
        <w:t>;</w:t>
      </w:r>
    </w:p>
    <w:p w:rsidRPr="00DE7FCC" w:rsidR="00CD49A7" w:rsidP="00C536FC" w:rsidRDefault="00CD49A7">
      <w:pPr>
        <w:pStyle w:val="JuLista"/>
      </w:pPr>
      <w:r w:rsidRPr="00DE7FCC">
        <w:t>(</w:t>
      </w:r>
      <w:r w:rsidR="00E50058">
        <w:t>b</w:t>
      </w:r>
      <w:r w:rsidRPr="00DE7FCC">
        <w:t xml:space="preserve">)  that the respondent State is to pay the </w:t>
      </w:r>
      <w:r w:rsidRPr="00DE7FCC" w:rsidR="00B35738">
        <w:t>applicant</w:t>
      </w:r>
      <w:r w:rsidRPr="00DE7FCC">
        <w:t>, within three months</w:t>
      </w:r>
      <w:r w:rsidRPr="00DE7FCC" w:rsidR="00B35738">
        <w:t xml:space="preserve"> from the date on which the judgment bec</w:t>
      </w:r>
      <w:r w:rsidR="00A93D13">
        <w:t xml:space="preserve">omes final according to Article 44 § </w:t>
      </w:r>
      <w:r w:rsidRPr="00DE7FCC" w:rsidR="00B35738">
        <w:t>2 of the Convention</w:t>
      </w:r>
      <w:r w:rsidRPr="00DE7FCC">
        <w:t>, the following amounts:</w:t>
      </w:r>
    </w:p>
    <w:p w:rsidRPr="00DE7FCC" w:rsidR="00CD49A7" w:rsidP="00252EB8" w:rsidRDefault="00CD49A7">
      <w:pPr>
        <w:pStyle w:val="JuListi"/>
      </w:pPr>
      <w:r w:rsidRPr="00DE7FCC">
        <w:t xml:space="preserve">(i)  EUR </w:t>
      </w:r>
      <w:r w:rsidR="00EF2DEA">
        <w:t>6,500</w:t>
      </w:r>
      <w:r w:rsidRPr="00DE7FCC">
        <w:t xml:space="preserve"> (</w:t>
      </w:r>
      <w:r w:rsidR="00EF2DEA">
        <w:t xml:space="preserve">six </w:t>
      </w:r>
      <w:r w:rsidR="00734F29">
        <w:t xml:space="preserve">thousand </w:t>
      </w:r>
      <w:r w:rsidR="00EF2DEA">
        <w:t xml:space="preserve">five hundred </w:t>
      </w:r>
      <w:r w:rsidRPr="00DE7FCC">
        <w:t xml:space="preserve">euros) in respect </w:t>
      </w:r>
      <w:r w:rsidR="00575624">
        <w:t>of costs and expenses</w:t>
      </w:r>
      <w:r w:rsidR="00734F29">
        <w:t xml:space="preserve"> incurred by her Russian lawyers</w:t>
      </w:r>
      <w:r w:rsidR="008666EB">
        <w:t xml:space="preserve"> and their fees</w:t>
      </w:r>
      <w:r w:rsidR="00734F29">
        <w:t xml:space="preserve">, to be converted into </w:t>
      </w:r>
      <w:r w:rsidR="005A32D5">
        <w:t xml:space="preserve">Russian </w:t>
      </w:r>
      <w:r w:rsidR="00CB007B">
        <w:t>r</w:t>
      </w:r>
      <w:r w:rsidR="005A32D5">
        <w:t xml:space="preserve">oubles </w:t>
      </w:r>
      <w:r w:rsidR="00734F29">
        <w:t>at the rate applicable at the date of settlement</w:t>
      </w:r>
      <w:r w:rsidR="00C536FC">
        <w:t>,</w:t>
      </w:r>
      <w:r w:rsidRPr="00F71765" w:rsidR="00156391">
        <w:t xml:space="preserve"> </w:t>
      </w:r>
      <w:r w:rsidR="00A93D13">
        <w:t xml:space="preserve">less EUR </w:t>
      </w:r>
      <w:r w:rsidRPr="00156391" w:rsidR="00156391">
        <w:t>1</w:t>
      </w:r>
      <w:r w:rsidR="00156391">
        <w:t>,</w:t>
      </w:r>
      <w:r w:rsidRPr="00156391" w:rsidR="00156391">
        <w:t xml:space="preserve">732 (one thousand seven hundred </w:t>
      </w:r>
      <w:r w:rsidR="00A93D13">
        <w:t>and</w:t>
      </w:r>
      <w:r w:rsidR="009952BE">
        <w:t xml:space="preserve">  </w:t>
      </w:r>
      <w:r w:rsidR="00AF72F1">
        <w:t xml:space="preserve"> </w:t>
      </w:r>
      <w:r w:rsidRPr="00156391" w:rsidR="00156391">
        <w:t>thirty</w:t>
      </w:r>
      <w:r w:rsidR="00AF72F1">
        <w:t>-</w:t>
      </w:r>
      <w:r w:rsidRPr="00156391" w:rsidR="00156391">
        <w:t>two</w:t>
      </w:r>
      <w:r w:rsidR="00156391">
        <w:t xml:space="preserve"> euros</w:t>
      </w:r>
      <w:r w:rsidR="00A93D13">
        <w:t xml:space="preserve">), already paid </w:t>
      </w:r>
      <w:r w:rsidRPr="00156391" w:rsidR="00156391">
        <w:t>to Mr Koroteyev in legal aid</w:t>
      </w:r>
      <w:r w:rsidRPr="00DE7FCC">
        <w:t>;</w:t>
      </w:r>
    </w:p>
    <w:p w:rsidRPr="00DE7FCC" w:rsidR="00CD49A7" w:rsidP="00252EB8" w:rsidRDefault="00CD49A7">
      <w:pPr>
        <w:pStyle w:val="JuListi"/>
      </w:pPr>
      <w:r w:rsidRPr="00DE7FCC">
        <w:t>(ii)  </w:t>
      </w:r>
      <w:r w:rsidR="00734F29">
        <w:t>GBP</w:t>
      </w:r>
      <w:r w:rsidR="00E65141">
        <w:t xml:space="preserve"> </w:t>
      </w:r>
      <w:r w:rsidR="00EF2DEA">
        <w:t>5</w:t>
      </w:r>
      <w:r w:rsidR="00E65141">
        <w:t>,540</w:t>
      </w:r>
      <w:r w:rsidRPr="00DE7FCC" w:rsidR="00E65141">
        <w:t xml:space="preserve"> </w:t>
      </w:r>
      <w:r w:rsidRPr="00DE7FCC">
        <w:t>(</w:t>
      </w:r>
      <w:r w:rsidR="00EF2DEA">
        <w:t xml:space="preserve">five </w:t>
      </w:r>
      <w:r w:rsidR="00E65141">
        <w:t xml:space="preserve">thousand five hundred </w:t>
      </w:r>
      <w:r w:rsidR="004A30BA">
        <w:t xml:space="preserve">and </w:t>
      </w:r>
      <w:r w:rsidR="00E65141">
        <w:t>forty pounds</w:t>
      </w:r>
      <w:r w:rsidR="008C3401">
        <w:t xml:space="preserve"> sterling</w:t>
      </w:r>
      <w:r w:rsidRPr="00DE7FCC">
        <w:t xml:space="preserve">) in respect </w:t>
      </w:r>
      <w:r w:rsidR="00E65141">
        <w:t>of costs and expenses incurred by her British lawyers and advisers</w:t>
      </w:r>
      <w:r w:rsidR="008666EB">
        <w:t xml:space="preserve"> and their fees</w:t>
      </w:r>
      <w:r w:rsidRPr="00DE7FCC">
        <w:t>;</w:t>
      </w:r>
    </w:p>
    <w:p w:rsidRPr="00DE7FCC" w:rsidR="00CD49A7" w:rsidP="00252EB8" w:rsidRDefault="00CD49A7">
      <w:pPr>
        <w:pStyle w:val="JuListi"/>
      </w:pPr>
      <w:r w:rsidRPr="00DE7FCC">
        <w:t>(i</w:t>
      </w:r>
      <w:r w:rsidR="00E65141">
        <w:t>ii</w:t>
      </w:r>
      <w:r w:rsidRPr="00DE7FCC">
        <w:t>)  any tax that may be chargeable on the above amounts;</w:t>
      </w:r>
    </w:p>
    <w:p w:rsidRPr="00DE7FCC" w:rsidR="00CD49A7" w:rsidP="00252EB8" w:rsidRDefault="00E50058">
      <w:pPr>
        <w:pStyle w:val="JuLista"/>
      </w:pPr>
      <w:r>
        <w:t>(c)</w:t>
      </w:r>
      <w:r w:rsidRPr="00DE7FCC" w:rsidR="00CD49A7">
        <w:t>  that from the expiry of the above-mentioned three months until settlement simple interest shall be payable on the above amounts at a rate equal to the marginal lending rate of the European Central Bank during the default peri</w:t>
      </w:r>
      <w:r w:rsidR="006038D9">
        <w:t>od plus three percentage points</w:t>
      </w:r>
      <w:r w:rsidR="00ED0334">
        <w:t>;</w:t>
      </w:r>
    </w:p>
    <w:p w:rsidRPr="00DE7FCC" w:rsidR="00CD49A7" w:rsidP="00252EB8" w:rsidRDefault="00CD49A7">
      <w:pPr>
        <w:pStyle w:val="JuList"/>
      </w:pPr>
    </w:p>
    <w:p w:rsidRPr="00DE7FCC" w:rsidR="00CD49A7" w:rsidP="00252EB8" w:rsidRDefault="00E50058">
      <w:pPr>
        <w:pStyle w:val="JuList"/>
      </w:pPr>
      <w:r>
        <w:t>3</w:t>
      </w:r>
      <w:r w:rsidRPr="00DE7FCC" w:rsidR="00CD49A7">
        <w:t>.  </w:t>
      </w:r>
      <w:r w:rsidRPr="00DE7FCC" w:rsidR="00CD49A7">
        <w:rPr>
          <w:i/>
        </w:rPr>
        <w:t>Dismisses</w:t>
      </w:r>
      <w:r w:rsidR="00BD7969">
        <w:t xml:space="preserve"> </w:t>
      </w:r>
      <w:r w:rsidRPr="00DE7FCC" w:rsidR="00CD49A7">
        <w:t xml:space="preserve">the remainder of the </w:t>
      </w:r>
      <w:r w:rsidRPr="00DE7FCC" w:rsidR="00B35738">
        <w:t>applicant</w:t>
      </w:r>
      <w:r w:rsidR="009952BE">
        <w:t>'</w:t>
      </w:r>
      <w:r w:rsidRPr="00DE7FCC" w:rsidR="00B35738">
        <w:t>s</w:t>
      </w:r>
      <w:r w:rsidRPr="00DE7FCC" w:rsidR="00CD49A7">
        <w:t xml:space="preserve"> claim for just satisfaction.</w:t>
      </w:r>
    </w:p>
    <w:p w:rsidRPr="00DE7FCC" w:rsidR="00CD49A7" w:rsidP="00373DD7" w:rsidRDefault="00CD49A7">
      <w:pPr>
        <w:pStyle w:val="JuParaLast"/>
        <w:keepNext/>
        <w:keepLines/>
      </w:pPr>
      <w:r w:rsidRPr="00DE7FCC">
        <w:t>Done in English, and notified in writing on</w:t>
      </w:r>
      <w:r w:rsidR="00BD7969">
        <w:t xml:space="preserve"> </w:t>
      </w:r>
      <w:smartTag w:uri="urn:schemas-microsoft-com:office:smarttags" w:element="date">
        <w:smartTagPr>
          <w:attr w:name="Month" w:val="6"/>
          <w:attr w:name="Day" w:val="9"/>
          <w:attr w:name="Year" w:val="2005"/>
        </w:smartTagPr>
        <w:r w:rsidR="00BD7969">
          <w:t>9 June 2005</w:t>
        </w:r>
      </w:smartTag>
      <w:r w:rsidR="00522139">
        <w:t>, pursuant to Rule </w:t>
      </w:r>
      <w:r w:rsidRPr="00DE7FCC">
        <w:t>77 §§ 2 and 3 of the Rules of Court.</w:t>
      </w:r>
    </w:p>
    <w:p w:rsidRPr="00DE7FCC" w:rsidR="00CD49A7" w:rsidP="00373DD7" w:rsidRDefault="00CD49A7">
      <w:pPr>
        <w:pStyle w:val="JuSigned"/>
        <w:keepNext/>
        <w:keepLines/>
      </w:pPr>
      <w:r w:rsidRPr="00DE7FCC">
        <w:tab/>
      </w:r>
      <w:r w:rsidRPr="00DE7FCC" w:rsidR="00B35738">
        <w:t xml:space="preserve">Søren </w:t>
      </w:r>
      <w:r w:rsidRPr="00DE7FCC" w:rsidR="00B35738">
        <w:rPr>
          <w:rStyle w:val="JuNames"/>
        </w:rPr>
        <w:t>Nielsen</w:t>
      </w:r>
      <w:r w:rsidRPr="00DE7FCC" w:rsidR="00B35738">
        <w:tab/>
        <w:t xml:space="preserve">Christos </w:t>
      </w:r>
      <w:r w:rsidRPr="00DE7FCC" w:rsidR="00B35738">
        <w:rPr>
          <w:rStyle w:val="JuNames"/>
        </w:rPr>
        <w:t>Rozakis</w:t>
      </w:r>
      <w:r w:rsidRPr="00DE7FCC" w:rsidR="00B35738">
        <w:br/>
      </w:r>
      <w:r w:rsidRPr="00DE7FCC" w:rsidR="00B35738">
        <w:tab/>
        <w:t>Registrar</w:t>
      </w:r>
      <w:r w:rsidRPr="00DE7FCC" w:rsidR="00B35738">
        <w:tab/>
        <w:t>President</w:t>
      </w:r>
    </w:p>
    <w:p w:rsidR="00CD49A7" w:rsidP="00373DD7" w:rsidRDefault="00CD49A7">
      <w:pPr>
        <w:pStyle w:val="JuParaLast"/>
        <w:keepNext/>
        <w:keepLines/>
      </w:pPr>
      <w:r w:rsidRPr="00DE7FCC">
        <w:t xml:space="preserve">In accordance with Article 45 § 2 of the Convention and Rule 74 § 2 of the Rules of Court, the concurring opinion of Mr </w:t>
      </w:r>
      <w:r w:rsidR="00BD7969">
        <w:t>Kovler</w:t>
      </w:r>
      <w:r w:rsidRPr="00DE7FCC">
        <w:t xml:space="preserve"> is annexed to this judgment.</w:t>
      </w:r>
    </w:p>
    <w:p w:rsidR="00522139" w:rsidP="00522139" w:rsidRDefault="00522139">
      <w:pPr>
        <w:pStyle w:val="JuInitialled"/>
        <w:rPr>
          <w:rStyle w:val="JuNames"/>
        </w:rPr>
      </w:pPr>
      <w:r w:rsidRPr="00DE7FCC">
        <w:t>C</w:t>
      </w:r>
      <w:r>
        <w:t>.L.R.</w:t>
      </w:r>
      <w:r>
        <w:br/>
      </w:r>
      <w:r w:rsidRPr="00DE7FCC">
        <w:t>S</w:t>
      </w:r>
      <w:r>
        <w:t>.</w:t>
      </w:r>
      <w:r w:rsidRPr="00DE7FCC">
        <w:rPr>
          <w:rStyle w:val="JuNames"/>
        </w:rPr>
        <w:t>N</w:t>
      </w:r>
      <w:r>
        <w:rPr>
          <w:rStyle w:val="JuNames"/>
        </w:rPr>
        <w:t>.</w:t>
      </w:r>
    </w:p>
    <w:p w:rsidRPr="00522139" w:rsidR="00A2535E" w:rsidP="00A2535E" w:rsidRDefault="00A2535E"/>
    <w:p w:rsidR="00A2535E" w:rsidP="00522139" w:rsidRDefault="00A2535E">
      <w:pPr>
        <w:pStyle w:val="JuParaCharCharCharCharCharChar"/>
        <w:keepNext/>
        <w:keepLines/>
        <w:jc w:val="center"/>
        <w:sectPr w:rsidR="00A2535E" w:rsidSect="00522139">
          <w:headerReference w:type="even" r:id="rId9"/>
          <w:headerReference w:type="default" r:id="rId10"/>
          <w:footerReference w:type="even" r:id="rId11"/>
          <w:footnotePr>
            <w:numRestart w:val="eachPage"/>
          </w:footnotePr>
          <w:pgSz w:w="11906" w:h="16838" w:code="9"/>
          <w:pgMar w:top="2274" w:right="2274" w:bottom="2274" w:left="2274" w:header="1701" w:footer="709" w:gutter="0"/>
          <w:pgNumType w:start="1"/>
          <w:cols w:space="720"/>
          <w:docGrid w:linePitch="78"/>
        </w:sectPr>
      </w:pPr>
    </w:p>
    <w:p w:rsidR="002E404B" w:rsidP="002E404B" w:rsidRDefault="002E404B">
      <w:pPr>
        <w:pStyle w:val="OpiHHead"/>
      </w:pPr>
      <w:r>
        <w:t>CONCURRING OPINION OF JUDGE KOVLER</w:t>
      </w:r>
    </w:p>
    <w:p w:rsidR="002E404B" w:rsidP="002E404B" w:rsidRDefault="002E404B">
      <w:pPr>
        <w:pStyle w:val="OpiPara"/>
      </w:pPr>
      <w:r w:rsidRPr="00434893">
        <w:t>I share the Chamber</w:t>
      </w:r>
      <w:r w:rsidR="009952BE">
        <w:t>'</w:t>
      </w:r>
      <w:r w:rsidRPr="00434893">
        <w:t>s unanimous opinion that the Russian authorities failed in the present case to fulfil their positive obli</w:t>
      </w:r>
      <w:r>
        <w:t>gation to protect the applicant</w:t>
      </w:r>
      <w:r w:rsidR="009952BE">
        <w:t>'</w:t>
      </w:r>
      <w:r w:rsidRPr="00434893">
        <w:t xml:space="preserve">s rights under Article 8 of the Convention. At the same time, I </w:t>
      </w:r>
      <w:r>
        <w:t>would</w:t>
      </w:r>
      <w:r w:rsidRPr="00434893">
        <w:t xml:space="preserve"> like to explain my approach to the specific interest protected in th</w:t>
      </w:r>
      <w:r>
        <w:t xml:space="preserve">e present </w:t>
      </w:r>
      <w:r w:rsidRPr="00434893">
        <w:t>case.</w:t>
      </w:r>
    </w:p>
    <w:p w:rsidR="002E404B" w:rsidP="002E404B" w:rsidRDefault="002E404B">
      <w:pPr>
        <w:pStyle w:val="OpiPara"/>
      </w:pPr>
      <w:r w:rsidRPr="00434893">
        <w:t xml:space="preserve">In the leading case </w:t>
      </w:r>
      <w:r w:rsidR="00F042ED">
        <w:t xml:space="preserve">of </w:t>
      </w:r>
      <w:r w:rsidRPr="00434893">
        <w:rPr>
          <w:i/>
          <w:iCs/>
        </w:rPr>
        <w:t>L</w:t>
      </w:r>
      <w:r w:rsidR="00953307">
        <w:rPr>
          <w:i/>
          <w:iCs/>
        </w:rPr>
        <w:t>ó</w:t>
      </w:r>
      <w:r w:rsidRPr="00434893">
        <w:rPr>
          <w:i/>
          <w:iCs/>
        </w:rPr>
        <w:t>pez Ostra v. Spain</w:t>
      </w:r>
      <w:r w:rsidR="00F042ED">
        <w:rPr>
          <w:iCs/>
        </w:rPr>
        <w:t xml:space="preserve"> (judgment of 9 December 1994, Series A no. 303-C)</w:t>
      </w:r>
      <w:r w:rsidRPr="00434893">
        <w:t>, referred to in the judgment, the Court found that the State had not succeed</w:t>
      </w:r>
      <w:r>
        <w:t>ed</w:t>
      </w:r>
      <w:r w:rsidRPr="00434893">
        <w:t xml:space="preserve"> in striking a fair balance bet</w:t>
      </w:r>
      <w:r>
        <w:t>ween the interest of the town</w:t>
      </w:r>
      <w:r w:rsidR="009952BE">
        <w:t>'</w:t>
      </w:r>
      <w:r w:rsidRPr="00434893">
        <w:t>s economic well-being and the applicant</w:t>
      </w:r>
      <w:r w:rsidR="009952BE">
        <w:t>'</w:t>
      </w:r>
      <w:r w:rsidRPr="00434893">
        <w:t xml:space="preserve">s effective enjoyment of her right to respect for her home and her </w:t>
      </w:r>
      <w:r w:rsidR="00AF72F1">
        <w:t xml:space="preserve">private and family life. In </w:t>
      </w:r>
      <w:r w:rsidR="00F042ED">
        <w:t xml:space="preserve">its Grand Chamber judgment in </w:t>
      </w:r>
      <w:r w:rsidRPr="00434893">
        <w:rPr>
          <w:i/>
          <w:iCs/>
        </w:rPr>
        <w:t>Hatton</w:t>
      </w:r>
      <w:r w:rsidR="00C536FC">
        <w:rPr>
          <w:i/>
          <w:iCs/>
        </w:rPr>
        <w:t xml:space="preserve"> and Others v. the United Kingdom</w:t>
      </w:r>
      <w:r w:rsidR="00F042ED">
        <w:rPr>
          <w:iCs/>
        </w:rPr>
        <w:t xml:space="preserve"> ([GC], no. 36022/97, ECHR 2003-VIII)</w:t>
      </w:r>
      <w:r w:rsidRPr="00434893">
        <w:t xml:space="preserve">, also cited, the Court adopted the same line of reasoning (although the Grand Chamber did not </w:t>
      </w:r>
      <w:r>
        <w:t>ultimately</w:t>
      </w:r>
      <w:r w:rsidRPr="00434893">
        <w:t xml:space="preserve"> find a violation of Article 8). In a recent case </w:t>
      </w:r>
      <w:r>
        <w:t xml:space="preserve">concerning </w:t>
      </w:r>
      <w:r w:rsidRPr="00434893">
        <w:t>noise pollution (</w:t>
      </w:r>
      <w:smartTag w:uri="urn:schemas-microsoft-com:office:smarttags" w:element="City">
        <w:smartTag w:uri="urn:schemas-microsoft-com:office:smarttags" w:element="place">
          <w:r w:rsidRPr="00434893">
            <w:rPr>
              <w:i/>
              <w:iCs/>
            </w:rPr>
            <w:t>Moreno</w:t>
          </w:r>
        </w:smartTag>
      </w:smartTag>
      <w:r w:rsidRPr="00434893">
        <w:rPr>
          <w:i/>
          <w:iCs/>
        </w:rPr>
        <w:t xml:space="preserve"> Gómez v. </w:t>
      </w:r>
      <w:smartTag w:uri="urn:schemas-microsoft-com:office:smarttags" w:element="country-region">
        <w:smartTag w:uri="urn:schemas-microsoft-com:office:smarttags" w:element="place">
          <w:r w:rsidRPr="00434893">
            <w:rPr>
              <w:i/>
              <w:iCs/>
            </w:rPr>
            <w:t>Spain</w:t>
          </w:r>
        </w:smartTag>
      </w:smartTag>
      <w:r w:rsidRPr="00434893">
        <w:t>,</w:t>
      </w:r>
      <w:r w:rsidRPr="002A47A5">
        <w:rPr>
          <w:iCs/>
        </w:rPr>
        <w:t xml:space="preserve"> </w:t>
      </w:r>
      <w:r w:rsidRPr="00434893">
        <w:t xml:space="preserve">no. 4143/02, </w:t>
      </w:r>
      <w:r w:rsidR="00C536FC">
        <w:t>ECHR 2004-X</w:t>
      </w:r>
      <w:r w:rsidRPr="00434893">
        <w:t>), th</w:t>
      </w:r>
      <w:r>
        <w:t xml:space="preserve">e </w:t>
      </w:r>
      <w:r w:rsidRPr="00434893">
        <w:t xml:space="preserve">problem was again regarded as having </w:t>
      </w:r>
      <w:r>
        <w:t xml:space="preserve">an </w:t>
      </w:r>
      <w:r w:rsidRPr="00434893">
        <w:t>effect both on the applicant</w:t>
      </w:r>
      <w:r w:rsidR="009952BE">
        <w:t>'</w:t>
      </w:r>
      <w:r w:rsidRPr="00434893">
        <w:t xml:space="preserve">s private life and </w:t>
      </w:r>
      <w:r>
        <w:t xml:space="preserve">on her </w:t>
      </w:r>
      <w:r w:rsidRPr="00434893">
        <w:t>home.</w:t>
      </w:r>
    </w:p>
    <w:p w:rsidRPr="00434893" w:rsidR="002E404B" w:rsidP="002E404B" w:rsidRDefault="002E404B">
      <w:pPr>
        <w:pStyle w:val="OpiPara"/>
      </w:pPr>
      <w:r w:rsidRPr="002A47A5">
        <w:t xml:space="preserve">On the other hand, in </w:t>
      </w:r>
      <w:r w:rsidRPr="00307093">
        <w:rPr>
          <w:i/>
        </w:rPr>
        <w:t>Guerra and Others v. Italy</w:t>
      </w:r>
      <w:r w:rsidR="00AF72F1">
        <w:t xml:space="preserve"> (judgment of 19 </w:t>
      </w:r>
      <w:r w:rsidRPr="002A47A5">
        <w:t xml:space="preserve">February 1998, </w:t>
      </w:r>
      <w:r w:rsidRPr="00AF72F1">
        <w:rPr>
          <w:i/>
        </w:rPr>
        <w:t xml:space="preserve">Reports </w:t>
      </w:r>
      <w:r w:rsidRPr="00AF72F1" w:rsidR="00AF72F1">
        <w:rPr>
          <w:i/>
        </w:rPr>
        <w:t>of Judgments and Decisions</w:t>
      </w:r>
      <w:r w:rsidR="00AF72F1">
        <w:t xml:space="preserve"> </w:t>
      </w:r>
      <w:r w:rsidRPr="002A47A5">
        <w:t xml:space="preserve">1998-I), where access to information on industrial hazards was </w:t>
      </w:r>
      <w:r w:rsidR="008C3401">
        <w:t>in</w:t>
      </w:r>
      <w:r w:rsidRPr="002A47A5">
        <w:t xml:space="preserve"> issue, the Court found a violation only of the applicants</w:t>
      </w:r>
      <w:r w:rsidR="009952BE">
        <w:t>'</w:t>
      </w:r>
      <w:r w:rsidRPr="002A47A5">
        <w:t xml:space="preserve"> right to private and family life, without mentioning their “homes”. I would be inclined to agree with the latter approach and to consider that “environmental rights” (in so far as they are protected by Article 8) relate more to the sphere of “private life” than to the “home”. In my view, the notion of “home” was included in the text of this provision with the clear intention of defining a specific area of protection that differs from “private and family life”. In support of this interpretation, I would quote from a dissentin</w:t>
      </w:r>
      <w:r w:rsidR="00AF72F1">
        <w:t xml:space="preserve">g opinion by Judge Greve </w:t>
      </w:r>
      <w:r w:rsidR="00903717">
        <w:t>annexed to the Chamber judgment in</w:t>
      </w:r>
      <w:r w:rsidR="00AF72F1">
        <w:t xml:space="preserve"> </w:t>
      </w:r>
      <w:r w:rsidRPr="002A47A5">
        <w:rPr>
          <w:i/>
          <w:iCs/>
        </w:rPr>
        <w:t>Hatton</w:t>
      </w:r>
      <w:r w:rsidR="00C536FC">
        <w:rPr>
          <w:i/>
          <w:iCs/>
        </w:rPr>
        <w:t xml:space="preserve"> and Others</w:t>
      </w:r>
      <w:r w:rsidR="00577B1A">
        <w:rPr>
          <w:i/>
          <w:iCs/>
        </w:rPr>
        <w:t xml:space="preserve"> v. the United Kingdom</w:t>
      </w:r>
      <w:r w:rsidR="00577B1A">
        <w:rPr>
          <w:iCs/>
        </w:rPr>
        <w:t xml:space="preserve"> (no. 36022/97, 2 October 2001)</w:t>
      </w:r>
      <w:r w:rsidRPr="002A47A5">
        <w:t xml:space="preserve">, in which she stated that “environmental rights are </w:t>
      </w:r>
      <w:r w:rsidR="00577B1A">
        <w:t>...</w:t>
      </w:r>
      <w:r w:rsidRPr="002A47A5">
        <w:t xml:space="preserve"> of a different character from the core right not to have one</w:t>
      </w:r>
      <w:r w:rsidR="009952BE">
        <w:t>'</w:t>
      </w:r>
      <w:r w:rsidRPr="002A47A5">
        <w:t>s home raided without a warrant”. Therefore, without casting doubt on the Court</w:t>
      </w:r>
      <w:r w:rsidR="009952BE">
        <w:t>'</w:t>
      </w:r>
      <w:r w:rsidRPr="002A47A5">
        <w:t>s finding of a violation of Article 8, I would prefer to describe the violation as an unjustified interference with the applicant</w:t>
      </w:r>
      <w:r w:rsidR="009952BE">
        <w:t>'</w:t>
      </w:r>
      <w:r w:rsidRPr="002A47A5">
        <w:t>s private life.</w:t>
      </w:r>
    </w:p>
    <w:p w:rsidR="00577B1A" w:rsidP="002E404B" w:rsidRDefault="002E404B">
      <w:pPr>
        <w:pStyle w:val="OpiPara"/>
        <w:sectPr w:rsidR="00577B1A" w:rsidSect="00522139">
          <w:headerReference w:type="even" r:id="rId12"/>
          <w:headerReference w:type="default" r:id="rId13"/>
          <w:footerReference w:type="even" r:id="rId14"/>
          <w:footerReference w:type="default" r:id="rId15"/>
          <w:footnotePr>
            <w:numRestart w:val="eachPage"/>
          </w:footnotePr>
          <w:pgSz w:w="11906" w:h="16838" w:code="9"/>
          <w:pgMar w:top="2274" w:right="2274" w:bottom="2274" w:left="2274" w:header="1701" w:footer="709" w:gutter="0"/>
          <w:cols w:space="708"/>
          <w:docGrid w:linePitch="360"/>
        </w:sectPr>
      </w:pPr>
      <w:r w:rsidRPr="002A47A5">
        <w:t>Consequently, the State</w:t>
      </w:r>
      <w:r w:rsidR="009952BE">
        <w:t>'</w:t>
      </w:r>
      <w:r w:rsidRPr="002A47A5">
        <w:t>s omission in the present case lies not only in the authorities</w:t>
      </w:r>
      <w:r w:rsidR="009952BE">
        <w:t>'</w:t>
      </w:r>
      <w:r w:rsidRPr="002A47A5">
        <w:t xml:space="preserve"> failure to resettle the applicant to a safer area. The State has a margin of appreciation in devising measures to strike the proper balance between respect for Article 8 rights and the interests of the community as a whole. In the present case, therefore, the resettlement of those living near the plant may be regarded as only one of many possible solutions, and, in my view, not the best one: had the authorities been stricter and more consistent in applying domestic environmental regulations, the problem</w:t>
      </w:r>
    </w:p>
    <w:p w:rsidRPr="002A47A5" w:rsidR="002E404B" w:rsidP="00577B1A" w:rsidRDefault="002E404B">
      <w:pPr>
        <w:pStyle w:val="OpiPara"/>
        <w:ind w:firstLine="0"/>
      </w:pPr>
      <w:r w:rsidRPr="002A47A5">
        <w:t>would have been resolved without any need to resettle the population and with a positive impact on the environmental situation in general.</w:t>
      </w:r>
    </w:p>
    <w:p w:rsidR="00AF72F1" w:rsidP="00AF72F1" w:rsidRDefault="002E404B">
      <w:pPr>
        <w:pStyle w:val="JuParaCharCharCharCharCharChar"/>
        <w:keepNext/>
        <w:keepLines/>
        <w:jc w:val="center"/>
        <w:rPr>
          <w:b/>
        </w:rPr>
      </w:pPr>
      <w:r>
        <w:rPr>
          <w:b/>
        </w:rPr>
        <w:br w:type="page"/>
      </w:r>
      <w:r w:rsidRPr="00522139" w:rsidR="00231B86">
        <w:rPr>
          <w:b/>
        </w:rPr>
        <w:t>Appendix</w:t>
      </w:r>
    </w:p>
    <w:p w:rsidR="00C536FC" w:rsidP="00AF72F1" w:rsidRDefault="00C536FC">
      <w:pPr>
        <w:pStyle w:val="JuParaCharCharCharCharCharChar"/>
        <w:keepNext/>
        <w:keepLines/>
        <w:jc w:val="center"/>
        <w:rPr>
          <w:b/>
        </w:rPr>
      </w:pPr>
    </w:p>
    <w:p w:rsidRPr="00522139" w:rsidR="00231B86" w:rsidP="00AF72F1" w:rsidRDefault="00AF72F1">
      <w:pPr>
        <w:pStyle w:val="JuParaCharCharCharCharCharChar"/>
        <w:keepNext/>
        <w:keepLines/>
        <w:jc w:val="center"/>
        <w:rPr>
          <w:b/>
        </w:rPr>
      </w:pPr>
      <w:r>
        <w:rPr>
          <w:b/>
        </w:rPr>
        <w:t>E</w:t>
      </w:r>
      <w:r w:rsidRPr="00522139" w:rsidR="00BF4568">
        <w:rPr>
          <w:b/>
        </w:rPr>
        <w:t xml:space="preserve">xtracts from the </w:t>
      </w:r>
      <w:r w:rsidRPr="00522139" w:rsidR="00FF317B">
        <w:rPr>
          <w:b/>
        </w:rPr>
        <w:t>Government</w:t>
      </w:r>
      <w:r w:rsidR="009952BE">
        <w:rPr>
          <w:b/>
        </w:rPr>
        <w:t>'</w:t>
      </w:r>
      <w:r w:rsidRPr="00522139" w:rsidR="00FF317B">
        <w:rPr>
          <w:b/>
        </w:rPr>
        <w:t xml:space="preserve">s </w:t>
      </w:r>
      <w:r w:rsidRPr="00522139" w:rsidR="00BF4568">
        <w:rPr>
          <w:b/>
        </w:rPr>
        <w:t>r</w:t>
      </w:r>
      <w:r w:rsidRPr="00522139" w:rsidR="00B20282">
        <w:rPr>
          <w:b/>
        </w:rPr>
        <w:t>eport o</w:t>
      </w:r>
      <w:r w:rsidRPr="00522139" w:rsidR="00BF4568">
        <w:rPr>
          <w:b/>
        </w:rPr>
        <w:t>n</w:t>
      </w:r>
      <w:r w:rsidRPr="00522139" w:rsidR="00B20282">
        <w:rPr>
          <w:b/>
        </w:rPr>
        <w:t xml:space="preserve"> </w:t>
      </w:r>
      <w:r w:rsidRPr="00522139" w:rsidR="004A30BA">
        <w:rPr>
          <w:b/>
        </w:rPr>
        <w:t xml:space="preserve">the </w:t>
      </w:r>
      <w:r w:rsidRPr="00522139" w:rsidR="00B20282">
        <w:rPr>
          <w:b/>
        </w:rPr>
        <w:t>e</w:t>
      </w:r>
      <w:r w:rsidRPr="00522139" w:rsidR="00FF317B">
        <w:rPr>
          <w:b/>
        </w:rPr>
        <w:t xml:space="preserve">nvironmental </w:t>
      </w:r>
      <w:r w:rsidRPr="00522139" w:rsidR="00B20282">
        <w:rPr>
          <w:b/>
        </w:rPr>
        <w:t>situation in Cherepovets</w:t>
      </w:r>
      <w:r w:rsidRPr="00B33B9E">
        <w:rPr>
          <w:rStyle w:val="FootnoteReference"/>
        </w:rPr>
        <w:footnoteReference w:id="4"/>
      </w:r>
    </w:p>
    <w:p w:rsidR="00C536FC" w:rsidP="00AF72F1" w:rsidRDefault="00C536FC">
      <w:pPr>
        <w:pStyle w:val="JuH1"/>
        <w:tabs>
          <w:tab w:val="clear" w:pos="357"/>
          <w:tab w:val="clear" w:pos="584"/>
          <w:tab w:val="clear" w:pos="731"/>
          <w:tab w:val="left" w:pos="-855"/>
          <w:tab w:val="left" w:pos="3306"/>
          <w:tab w:val="left" w:pos="7125"/>
        </w:tabs>
        <w:ind w:hanging="1587"/>
        <w:jc w:val="left"/>
      </w:pPr>
    </w:p>
    <w:p w:rsidR="00BE3423" w:rsidP="00AF72F1" w:rsidRDefault="00522139">
      <w:pPr>
        <w:pStyle w:val="JuH1"/>
        <w:tabs>
          <w:tab w:val="clear" w:pos="357"/>
          <w:tab w:val="clear" w:pos="584"/>
          <w:tab w:val="clear" w:pos="731"/>
          <w:tab w:val="left" w:pos="-855"/>
          <w:tab w:val="left" w:pos="3306"/>
          <w:tab w:val="left" w:pos="7125"/>
        </w:tabs>
        <w:ind w:hanging="1587"/>
        <w:jc w:val="left"/>
      </w:pPr>
      <w:r>
        <w:t>A.  </w:t>
      </w:r>
      <w:r w:rsidR="00231B86">
        <w:t xml:space="preserve">Dynamics of air pollution in </w:t>
      </w:r>
      <w:r w:rsidR="00AF72F1">
        <w:t xml:space="preserve">the years </w:t>
      </w:r>
      <w:r w:rsidR="00231B86">
        <w:t>199</w:t>
      </w:r>
      <w:r w:rsidR="00F857E4">
        <w:t>9</w:t>
      </w:r>
      <w:r w:rsidR="00AF72F1">
        <w:t xml:space="preserve"> to </w:t>
      </w:r>
      <w:r w:rsidR="00231B86">
        <w:t>2003</w:t>
      </w:r>
      <w:r w:rsidR="00F857E4">
        <w:t xml:space="preserve"> (compar</w:t>
      </w:r>
      <w:r w:rsidR="004A30BA">
        <w:t xml:space="preserve">ed </w:t>
      </w:r>
      <w:r w:rsidR="00F857E4">
        <w:t>to MPLs)</w:t>
      </w:r>
    </w:p>
    <w:tbl>
      <w:tblPr>
        <w:tblStyle w:val="TableGrid"/>
        <w:tblW w:w="8943" w:type="dxa"/>
        <w:tblInd w:w="-741" w:type="dxa"/>
        <w:tblLook w:val="01E0" w:firstRow="1" w:lastRow="1" w:firstColumn="1" w:lastColumn="1" w:noHBand="0" w:noVBand="0"/>
      </w:tblPr>
      <w:tblGrid>
        <w:gridCol w:w="2217"/>
        <w:gridCol w:w="1913"/>
        <w:gridCol w:w="937"/>
        <w:gridCol w:w="969"/>
        <w:gridCol w:w="969"/>
        <w:gridCol w:w="969"/>
        <w:gridCol w:w="969"/>
        <w:tblGridChange w:id="1">
          <w:tblGrid>
            <w:gridCol w:w="2217"/>
            <w:gridCol w:w="1913"/>
            <w:gridCol w:w="937"/>
            <w:gridCol w:w="969"/>
            <w:gridCol w:w="969"/>
            <w:gridCol w:w="969"/>
            <w:gridCol w:w="969"/>
          </w:tblGrid>
        </w:tblGridChange>
      </w:tblGrid>
      <w:tr w:rsidRPr="00522139" w:rsidR="00AF72F1">
        <w:tc>
          <w:tcPr>
            <w:tcW w:w="2217" w:type="dxa"/>
            <w:vAlign w:val="center"/>
          </w:tcPr>
          <w:p w:rsidRPr="00522139" w:rsidR="00FF317B" w:rsidP="00C52193" w:rsidRDefault="00FF317B">
            <w:pPr>
              <w:pStyle w:val="JuInitialled"/>
              <w:spacing w:before="0"/>
              <w:jc w:val="center"/>
              <w:rPr>
                <w:b/>
                <w:sz w:val="20"/>
              </w:rPr>
            </w:pPr>
            <w:r w:rsidRPr="00522139">
              <w:rPr>
                <w:b/>
                <w:sz w:val="20"/>
              </w:rPr>
              <w:t>Toxic</w:t>
            </w:r>
            <w:r w:rsidR="00A2535E">
              <w:rPr>
                <w:b/>
                <w:sz w:val="20"/>
              </w:rPr>
              <w:t xml:space="preserve"> </w:t>
            </w:r>
            <w:r w:rsidR="00AF72F1">
              <w:rPr>
                <w:b/>
                <w:sz w:val="20"/>
              </w:rPr>
              <w:t>e</w:t>
            </w:r>
            <w:r w:rsidRPr="00522139">
              <w:rPr>
                <w:b/>
                <w:sz w:val="20"/>
              </w:rPr>
              <w:t>lement</w:t>
            </w:r>
          </w:p>
        </w:tc>
        <w:tc>
          <w:tcPr>
            <w:tcW w:w="1913" w:type="dxa"/>
            <w:vAlign w:val="center"/>
          </w:tcPr>
          <w:p w:rsidRPr="00522139" w:rsidR="00FF317B" w:rsidP="00C52193" w:rsidRDefault="00FF317B">
            <w:pPr>
              <w:pStyle w:val="JuInitialled"/>
              <w:spacing w:before="0"/>
              <w:jc w:val="center"/>
              <w:rPr>
                <w:b/>
                <w:sz w:val="20"/>
              </w:rPr>
            </w:pPr>
            <w:r w:rsidRPr="00522139">
              <w:rPr>
                <w:b/>
                <w:sz w:val="20"/>
              </w:rPr>
              <w:t>Average daily</w:t>
            </w:r>
            <w:r w:rsidR="00BD04AB">
              <w:rPr>
                <w:b/>
                <w:sz w:val="20"/>
              </w:rPr>
              <w:t xml:space="preserve"> </w:t>
            </w:r>
            <w:r w:rsidRPr="00522139">
              <w:rPr>
                <w:b/>
                <w:sz w:val="20"/>
              </w:rPr>
              <w:t>MPL</w:t>
            </w:r>
            <w:r w:rsidRPr="00522139" w:rsidR="00ED51EF">
              <w:rPr>
                <w:b/>
                <w:sz w:val="20"/>
              </w:rPr>
              <w:t>, mg/m³</w:t>
            </w:r>
          </w:p>
        </w:tc>
        <w:tc>
          <w:tcPr>
            <w:tcW w:w="937" w:type="dxa"/>
            <w:vAlign w:val="center"/>
          </w:tcPr>
          <w:p w:rsidRPr="00522139" w:rsidR="00FF317B" w:rsidP="00C52193" w:rsidRDefault="00FF317B">
            <w:pPr>
              <w:pStyle w:val="JuInitialled"/>
              <w:spacing w:before="0"/>
              <w:jc w:val="center"/>
              <w:rPr>
                <w:b/>
                <w:sz w:val="20"/>
              </w:rPr>
            </w:pPr>
            <w:r w:rsidRPr="00522139">
              <w:rPr>
                <w:b/>
                <w:sz w:val="20"/>
              </w:rPr>
              <w:t>1999</w:t>
            </w:r>
          </w:p>
        </w:tc>
        <w:tc>
          <w:tcPr>
            <w:tcW w:w="969" w:type="dxa"/>
            <w:vAlign w:val="center"/>
          </w:tcPr>
          <w:p w:rsidRPr="00522139" w:rsidR="00FF317B" w:rsidP="00C52193" w:rsidRDefault="00FF317B">
            <w:pPr>
              <w:pStyle w:val="JuInitialled"/>
              <w:spacing w:before="0"/>
              <w:jc w:val="center"/>
              <w:rPr>
                <w:b/>
                <w:sz w:val="20"/>
              </w:rPr>
            </w:pPr>
            <w:r w:rsidRPr="00522139">
              <w:rPr>
                <w:b/>
                <w:sz w:val="20"/>
              </w:rPr>
              <w:t>2000</w:t>
            </w:r>
          </w:p>
        </w:tc>
        <w:tc>
          <w:tcPr>
            <w:tcW w:w="969" w:type="dxa"/>
            <w:vAlign w:val="center"/>
          </w:tcPr>
          <w:p w:rsidRPr="00522139" w:rsidR="00FF317B" w:rsidP="00C52193" w:rsidRDefault="00FF317B">
            <w:pPr>
              <w:pStyle w:val="JuInitialled"/>
              <w:spacing w:before="0"/>
              <w:jc w:val="center"/>
              <w:rPr>
                <w:b/>
                <w:sz w:val="20"/>
              </w:rPr>
            </w:pPr>
            <w:r w:rsidRPr="00522139">
              <w:rPr>
                <w:b/>
                <w:sz w:val="20"/>
              </w:rPr>
              <w:t>2001</w:t>
            </w:r>
          </w:p>
        </w:tc>
        <w:tc>
          <w:tcPr>
            <w:tcW w:w="969" w:type="dxa"/>
            <w:vAlign w:val="center"/>
          </w:tcPr>
          <w:p w:rsidRPr="00522139" w:rsidR="00FF317B" w:rsidP="00C52193" w:rsidRDefault="00FF317B">
            <w:pPr>
              <w:pStyle w:val="JuInitialled"/>
              <w:spacing w:before="0"/>
              <w:jc w:val="center"/>
              <w:rPr>
                <w:b/>
                <w:sz w:val="20"/>
              </w:rPr>
            </w:pPr>
            <w:r w:rsidRPr="00522139">
              <w:rPr>
                <w:b/>
                <w:sz w:val="20"/>
              </w:rPr>
              <w:t>2002</w:t>
            </w:r>
          </w:p>
        </w:tc>
        <w:tc>
          <w:tcPr>
            <w:tcW w:w="969" w:type="dxa"/>
            <w:vAlign w:val="center"/>
          </w:tcPr>
          <w:p w:rsidRPr="00522139" w:rsidR="00FF317B" w:rsidP="00AF72F1" w:rsidRDefault="00FF317B">
            <w:pPr>
              <w:pStyle w:val="JuInitialled"/>
              <w:spacing w:before="0"/>
              <w:ind w:left="-10" w:firstLine="10"/>
              <w:jc w:val="center"/>
              <w:rPr>
                <w:b/>
                <w:sz w:val="20"/>
              </w:rPr>
            </w:pPr>
            <w:r w:rsidRPr="00522139">
              <w:rPr>
                <w:b/>
                <w:sz w:val="20"/>
              </w:rPr>
              <w:t>2003</w:t>
            </w:r>
          </w:p>
        </w:tc>
      </w:tr>
      <w:tr w:rsidRPr="00522139" w:rsidR="00AF72F1">
        <w:tc>
          <w:tcPr>
            <w:tcW w:w="2217" w:type="dxa"/>
          </w:tcPr>
          <w:p w:rsidRPr="00522139" w:rsidR="00FF317B" w:rsidP="00AF72F1" w:rsidRDefault="00FF317B">
            <w:pPr>
              <w:pStyle w:val="JuInitialled"/>
              <w:spacing w:before="0"/>
              <w:jc w:val="left"/>
              <w:rPr>
                <w:sz w:val="20"/>
              </w:rPr>
            </w:pPr>
            <w:r w:rsidRPr="00522139">
              <w:rPr>
                <w:sz w:val="20"/>
              </w:rPr>
              <w:t>Nitrogen dioxide</w:t>
            </w:r>
          </w:p>
        </w:tc>
        <w:tc>
          <w:tcPr>
            <w:tcW w:w="1913" w:type="dxa"/>
          </w:tcPr>
          <w:p w:rsidRPr="00522139" w:rsidR="00FF317B" w:rsidP="00AF72F1" w:rsidRDefault="00FF317B">
            <w:pPr>
              <w:pStyle w:val="JuInitialled"/>
              <w:spacing w:before="0"/>
              <w:rPr>
                <w:sz w:val="20"/>
              </w:rPr>
            </w:pPr>
            <w:r w:rsidRPr="00522139">
              <w:rPr>
                <w:sz w:val="20"/>
              </w:rPr>
              <w:t>0.04</w:t>
            </w:r>
          </w:p>
        </w:tc>
        <w:tc>
          <w:tcPr>
            <w:tcW w:w="937" w:type="dxa"/>
          </w:tcPr>
          <w:p w:rsidRPr="00522139" w:rsidR="00FF317B" w:rsidP="00AF72F1" w:rsidRDefault="00FF317B">
            <w:pPr>
              <w:pStyle w:val="JuInitialled"/>
              <w:spacing w:before="0"/>
              <w:rPr>
                <w:sz w:val="20"/>
              </w:rPr>
            </w:pPr>
            <w:r w:rsidRPr="00522139">
              <w:rPr>
                <w:sz w:val="20"/>
              </w:rPr>
              <w:t>0.027</w:t>
            </w:r>
          </w:p>
        </w:tc>
        <w:tc>
          <w:tcPr>
            <w:tcW w:w="969" w:type="dxa"/>
          </w:tcPr>
          <w:p w:rsidRPr="00522139" w:rsidR="00FF317B" w:rsidP="00AF72F1" w:rsidRDefault="00FF317B">
            <w:pPr>
              <w:pStyle w:val="JuInitialled"/>
              <w:spacing w:before="0"/>
              <w:rPr>
                <w:sz w:val="20"/>
              </w:rPr>
            </w:pPr>
            <w:r w:rsidRPr="00522139">
              <w:rPr>
                <w:sz w:val="20"/>
              </w:rPr>
              <w:t>0.022</w:t>
            </w:r>
          </w:p>
        </w:tc>
        <w:tc>
          <w:tcPr>
            <w:tcW w:w="969" w:type="dxa"/>
          </w:tcPr>
          <w:p w:rsidRPr="00522139" w:rsidR="00FF317B" w:rsidP="00AF72F1" w:rsidRDefault="00FF317B">
            <w:pPr>
              <w:pStyle w:val="JuInitialled"/>
              <w:spacing w:before="0"/>
              <w:rPr>
                <w:sz w:val="20"/>
              </w:rPr>
            </w:pPr>
            <w:r w:rsidRPr="00522139">
              <w:rPr>
                <w:sz w:val="20"/>
              </w:rPr>
              <w:t>0.018</w:t>
            </w:r>
          </w:p>
        </w:tc>
        <w:tc>
          <w:tcPr>
            <w:tcW w:w="969" w:type="dxa"/>
          </w:tcPr>
          <w:p w:rsidRPr="00522139" w:rsidR="00FF317B" w:rsidP="00AF72F1" w:rsidRDefault="00FF317B">
            <w:pPr>
              <w:pStyle w:val="JuInitialled"/>
              <w:spacing w:before="0"/>
              <w:rPr>
                <w:sz w:val="20"/>
              </w:rPr>
            </w:pPr>
            <w:r w:rsidRPr="00522139">
              <w:rPr>
                <w:sz w:val="20"/>
              </w:rPr>
              <w:t>0.016</w:t>
            </w:r>
          </w:p>
        </w:tc>
        <w:tc>
          <w:tcPr>
            <w:tcW w:w="969" w:type="dxa"/>
          </w:tcPr>
          <w:p w:rsidRPr="00522139" w:rsidR="00FF317B" w:rsidP="00AF72F1" w:rsidRDefault="00FF317B">
            <w:pPr>
              <w:pStyle w:val="JuInitialled"/>
              <w:spacing w:before="0"/>
              <w:rPr>
                <w:sz w:val="20"/>
              </w:rPr>
            </w:pPr>
            <w:r w:rsidRPr="00522139">
              <w:rPr>
                <w:sz w:val="20"/>
              </w:rPr>
              <w:t>0.025</w:t>
            </w:r>
          </w:p>
        </w:tc>
      </w:tr>
      <w:tr w:rsidRPr="00522139" w:rsidR="00AF72F1">
        <w:tc>
          <w:tcPr>
            <w:tcW w:w="2217" w:type="dxa"/>
          </w:tcPr>
          <w:p w:rsidRPr="00522139" w:rsidR="00FF317B" w:rsidP="00AF72F1" w:rsidRDefault="00FF317B">
            <w:pPr>
              <w:pStyle w:val="JuInitialled"/>
              <w:spacing w:before="0"/>
              <w:jc w:val="left"/>
              <w:rPr>
                <w:sz w:val="20"/>
              </w:rPr>
            </w:pPr>
            <w:r w:rsidRPr="00522139">
              <w:rPr>
                <w:sz w:val="20"/>
              </w:rPr>
              <w:t>Nitric oxide</w:t>
            </w:r>
          </w:p>
        </w:tc>
        <w:tc>
          <w:tcPr>
            <w:tcW w:w="1913" w:type="dxa"/>
          </w:tcPr>
          <w:p w:rsidRPr="00522139" w:rsidR="00FF317B" w:rsidP="00AF72F1" w:rsidRDefault="00FF317B">
            <w:pPr>
              <w:pStyle w:val="JuInitialled"/>
              <w:spacing w:before="0"/>
              <w:ind w:left="177" w:hanging="177"/>
              <w:rPr>
                <w:sz w:val="20"/>
              </w:rPr>
            </w:pPr>
            <w:r w:rsidRPr="00522139">
              <w:rPr>
                <w:sz w:val="20"/>
              </w:rPr>
              <w:t>0.06</w:t>
            </w:r>
          </w:p>
        </w:tc>
        <w:tc>
          <w:tcPr>
            <w:tcW w:w="937" w:type="dxa"/>
          </w:tcPr>
          <w:p w:rsidRPr="00522139" w:rsidR="00FF317B" w:rsidP="00AF72F1" w:rsidRDefault="00FF317B">
            <w:pPr>
              <w:pStyle w:val="JuInitialled"/>
              <w:spacing w:before="0"/>
              <w:rPr>
                <w:sz w:val="20"/>
              </w:rPr>
            </w:pPr>
            <w:r w:rsidRPr="00522139">
              <w:rPr>
                <w:sz w:val="20"/>
              </w:rPr>
              <w:t>0.021</w:t>
            </w:r>
          </w:p>
        </w:tc>
        <w:tc>
          <w:tcPr>
            <w:tcW w:w="969" w:type="dxa"/>
          </w:tcPr>
          <w:p w:rsidRPr="00522139" w:rsidR="00FF317B" w:rsidP="00AF72F1" w:rsidRDefault="00FF317B">
            <w:pPr>
              <w:pStyle w:val="JuInitialled"/>
              <w:spacing w:before="0"/>
              <w:rPr>
                <w:sz w:val="20"/>
              </w:rPr>
            </w:pPr>
            <w:r w:rsidRPr="00522139">
              <w:rPr>
                <w:sz w:val="20"/>
              </w:rPr>
              <w:t>0.015</w:t>
            </w:r>
          </w:p>
        </w:tc>
        <w:tc>
          <w:tcPr>
            <w:tcW w:w="969" w:type="dxa"/>
          </w:tcPr>
          <w:p w:rsidRPr="00522139" w:rsidR="00FF317B" w:rsidP="00AF72F1" w:rsidRDefault="00FF317B">
            <w:pPr>
              <w:pStyle w:val="JuInitialled"/>
              <w:spacing w:before="0"/>
              <w:rPr>
                <w:sz w:val="20"/>
              </w:rPr>
            </w:pPr>
            <w:r w:rsidRPr="00522139">
              <w:rPr>
                <w:sz w:val="20"/>
              </w:rPr>
              <w:t>0.011</w:t>
            </w:r>
          </w:p>
        </w:tc>
        <w:tc>
          <w:tcPr>
            <w:tcW w:w="969" w:type="dxa"/>
          </w:tcPr>
          <w:p w:rsidRPr="00522139" w:rsidR="00FF317B" w:rsidP="00AF72F1" w:rsidRDefault="00FF317B">
            <w:pPr>
              <w:pStyle w:val="JuInitialled"/>
              <w:spacing w:before="0"/>
              <w:rPr>
                <w:sz w:val="20"/>
              </w:rPr>
            </w:pPr>
            <w:r w:rsidRPr="00522139">
              <w:rPr>
                <w:sz w:val="20"/>
              </w:rPr>
              <w:t>0.01</w:t>
            </w:r>
          </w:p>
        </w:tc>
        <w:tc>
          <w:tcPr>
            <w:tcW w:w="969" w:type="dxa"/>
          </w:tcPr>
          <w:p w:rsidRPr="00522139" w:rsidR="00FF317B" w:rsidP="00AF72F1" w:rsidRDefault="00FF317B">
            <w:pPr>
              <w:pStyle w:val="JuInitialled"/>
              <w:spacing w:before="0"/>
              <w:rPr>
                <w:sz w:val="20"/>
              </w:rPr>
            </w:pPr>
            <w:r w:rsidRPr="00522139">
              <w:rPr>
                <w:sz w:val="20"/>
              </w:rPr>
              <w:t>0.024</w:t>
            </w:r>
          </w:p>
        </w:tc>
      </w:tr>
      <w:tr w:rsidRPr="00522139" w:rsidR="00AF72F1">
        <w:tc>
          <w:tcPr>
            <w:tcW w:w="2217" w:type="dxa"/>
          </w:tcPr>
          <w:p w:rsidRPr="00522139" w:rsidR="00FF317B" w:rsidP="00AF72F1" w:rsidRDefault="00FF317B">
            <w:pPr>
              <w:pStyle w:val="JuInitialled"/>
              <w:spacing w:before="0"/>
              <w:jc w:val="left"/>
              <w:rPr>
                <w:sz w:val="20"/>
              </w:rPr>
            </w:pPr>
            <w:r w:rsidRPr="00522139">
              <w:rPr>
                <w:sz w:val="20"/>
              </w:rPr>
              <w:t>Ammonia</w:t>
            </w:r>
          </w:p>
        </w:tc>
        <w:tc>
          <w:tcPr>
            <w:tcW w:w="1913" w:type="dxa"/>
          </w:tcPr>
          <w:p w:rsidRPr="00522139" w:rsidR="00FF317B" w:rsidP="00AF72F1" w:rsidRDefault="00FF317B">
            <w:pPr>
              <w:pStyle w:val="JuInitialled"/>
              <w:spacing w:before="0"/>
              <w:ind w:left="177" w:hanging="177"/>
              <w:rPr>
                <w:sz w:val="20"/>
              </w:rPr>
            </w:pPr>
            <w:r w:rsidRPr="00522139">
              <w:rPr>
                <w:sz w:val="20"/>
              </w:rPr>
              <w:t>0.04</w:t>
            </w:r>
          </w:p>
        </w:tc>
        <w:tc>
          <w:tcPr>
            <w:tcW w:w="937" w:type="dxa"/>
          </w:tcPr>
          <w:p w:rsidRPr="00522139" w:rsidR="00FF317B" w:rsidP="00AF72F1" w:rsidRDefault="00FF317B">
            <w:pPr>
              <w:pStyle w:val="JuInitialled"/>
              <w:spacing w:before="0"/>
              <w:rPr>
                <w:sz w:val="20"/>
              </w:rPr>
            </w:pPr>
            <w:r w:rsidRPr="00522139">
              <w:rPr>
                <w:sz w:val="20"/>
              </w:rPr>
              <w:t>0.0125</w:t>
            </w:r>
          </w:p>
        </w:tc>
        <w:tc>
          <w:tcPr>
            <w:tcW w:w="969" w:type="dxa"/>
          </w:tcPr>
          <w:p w:rsidRPr="00522139" w:rsidR="00FF317B" w:rsidP="00AF72F1" w:rsidRDefault="00FF317B">
            <w:pPr>
              <w:pStyle w:val="JuInitialled"/>
              <w:spacing w:before="0"/>
              <w:rPr>
                <w:sz w:val="20"/>
              </w:rPr>
            </w:pPr>
            <w:r w:rsidRPr="00522139">
              <w:rPr>
                <w:sz w:val="20"/>
              </w:rPr>
              <w:t>0.011</w:t>
            </w:r>
          </w:p>
        </w:tc>
        <w:tc>
          <w:tcPr>
            <w:tcW w:w="969" w:type="dxa"/>
          </w:tcPr>
          <w:p w:rsidRPr="00522139" w:rsidR="00FF317B" w:rsidP="00AF72F1" w:rsidRDefault="00FF317B">
            <w:pPr>
              <w:pStyle w:val="JuInitialled"/>
              <w:spacing w:before="0"/>
              <w:rPr>
                <w:sz w:val="20"/>
              </w:rPr>
            </w:pPr>
            <w:r w:rsidRPr="00522139">
              <w:rPr>
                <w:sz w:val="20"/>
              </w:rPr>
              <w:t>0.011</w:t>
            </w:r>
          </w:p>
        </w:tc>
        <w:tc>
          <w:tcPr>
            <w:tcW w:w="969" w:type="dxa"/>
          </w:tcPr>
          <w:p w:rsidRPr="00522139" w:rsidR="00FF317B" w:rsidP="00AF72F1" w:rsidRDefault="00FF317B">
            <w:pPr>
              <w:pStyle w:val="JuInitialled"/>
              <w:spacing w:before="0"/>
              <w:rPr>
                <w:sz w:val="20"/>
              </w:rPr>
            </w:pPr>
            <w:r w:rsidRPr="00522139">
              <w:rPr>
                <w:sz w:val="20"/>
              </w:rPr>
              <w:t>0.005</w:t>
            </w:r>
          </w:p>
        </w:tc>
        <w:tc>
          <w:tcPr>
            <w:tcW w:w="969" w:type="dxa"/>
          </w:tcPr>
          <w:p w:rsidRPr="00522139" w:rsidR="00FF317B" w:rsidP="00AF72F1" w:rsidRDefault="00FF317B">
            <w:pPr>
              <w:pStyle w:val="JuInitialled"/>
              <w:spacing w:before="0"/>
              <w:rPr>
                <w:sz w:val="20"/>
              </w:rPr>
            </w:pPr>
            <w:r w:rsidRPr="00522139">
              <w:rPr>
                <w:sz w:val="20"/>
              </w:rPr>
              <w:t>0.016</w:t>
            </w:r>
          </w:p>
        </w:tc>
      </w:tr>
      <w:tr w:rsidRPr="00522139" w:rsidR="00AF72F1">
        <w:tc>
          <w:tcPr>
            <w:tcW w:w="2217" w:type="dxa"/>
          </w:tcPr>
          <w:p w:rsidRPr="00522139" w:rsidR="00FF317B" w:rsidP="00AF72F1" w:rsidRDefault="00FF317B">
            <w:pPr>
              <w:pStyle w:val="JuInitialled"/>
              <w:spacing w:before="0"/>
              <w:jc w:val="left"/>
              <w:rPr>
                <w:sz w:val="20"/>
              </w:rPr>
            </w:pPr>
            <w:r w:rsidRPr="00522139">
              <w:rPr>
                <w:sz w:val="20"/>
              </w:rPr>
              <w:t>Manganese</w:t>
            </w:r>
          </w:p>
        </w:tc>
        <w:tc>
          <w:tcPr>
            <w:tcW w:w="1913" w:type="dxa"/>
          </w:tcPr>
          <w:p w:rsidRPr="00522139" w:rsidR="00FF317B" w:rsidP="00AF72F1" w:rsidRDefault="00FF317B">
            <w:pPr>
              <w:pStyle w:val="JuInitialled"/>
              <w:spacing w:before="0"/>
              <w:rPr>
                <w:sz w:val="20"/>
              </w:rPr>
            </w:pPr>
            <w:r w:rsidRPr="00522139">
              <w:rPr>
                <w:sz w:val="20"/>
              </w:rPr>
              <w:t>0.001</w:t>
            </w:r>
          </w:p>
        </w:tc>
        <w:tc>
          <w:tcPr>
            <w:tcW w:w="937" w:type="dxa"/>
          </w:tcPr>
          <w:p w:rsidRPr="00522139" w:rsidR="00FF317B" w:rsidP="00AF72F1" w:rsidRDefault="00FF317B">
            <w:pPr>
              <w:pStyle w:val="JuInitialled"/>
              <w:spacing w:before="0"/>
              <w:rPr>
                <w:sz w:val="20"/>
              </w:rPr>
            </w:pPr>
            <w:r w:rsidRPr="00522139">
              <w:rPr>
                <w:sz w:val="20"/>
              </w:rPr>
              <w:t>0.0006</w:t>
            </w:r>
          </w:p>
        </w:tc>
        <w:tc>
          <w:tcPr>
            <w:tcW w:w="969" w:type="dxa"/>
          </w:tcPr>
          <w:p w:rsidRPr="00522139" w:rsidR="00FF317B" w:rsidP="00AF72F1" w:rsidRDefault="00FF317B">
            <w:pPr>
              <w:pStyle w:val="JuInitialled"/>
              <w:spacing w:before="0"/>
              <w:rPr>
                <w:sz w:val="20"/>
              </w:rPr>
            </w:pPr>
            <w:r w:rsidRPr="00522139">
              <w:rPr>
                <w:sz w:val="20"/>
              </w:rPr>
              <w:t>0.002</w:t>
            </w:r>
          </w:p>
        </w:tc>
        <w:tc>
          <w:tcPr>
            <w:tcW w:w="969" w:type="dxa"/>
          </w:tcPr>
          <w:p w:rsidRPr="00522139" w:rsidR="00FF317B" w:rsidP="00AF72F1" w:rsidRDefault="00FF317B">
            <w:pPr>
              <w:pStyle w:val="JuInitialled"/>
              <w:spacing w:before="0"/>
              <w:rPr>
                <w:sz w:val="20"/>
              </w:rPr>
            </w:pPr>
            <w:r w:rsidRPr="00522139">
              <w:rPr>
                <w:sz w:val="20"/>
              </w:rPr>
              <w:t>0.0007</w:t>
            </w:r>
          </w:p>
        </w:tc>
        <w:tc>
          <w:tcPr>
            <w:tcW w:w="969" w:type="dxa"/>
          </w:tcPr>
          <w:p w:rsidRPr="00522139" w:rsidR="00FF317B" w:rsidP="00AF72F1" w:rsidRDefault="00FF317B">
            <w:pPr>
              <w:pStyle w:val="JuInitialled"/>
              <w:spacing w:before="0"/>
              <w:rPr>
                <w:sz w:val="20"/>
              </w:rPr>
            </w:pPr>
            <w:r w:rsidRPr="00522139">
              <w:rPr>
                <w:sz w:val="20"/>
              </w:rPr>
              <w:t>0.0004</w:t>
            </w:r>
          </w:p>
        </w:tc>
        <w:tc>
          <w:tcPr>
            <w:tcW w:w="969" w:type="dxa"/>
          </w:tcPr>
          <w:p w:rsidRPr="00522139" w:rsidR="00FF317B" w:rsidP="00AF72F1" w:rsidRDefault="00FF317B">
            <w:pPr>
              <w:pStyle w:val="JuInitialled"/>
              <w:spacing w:before="0"/>
              <w:rPr>
                <w:sz w:val="20"/>
              </w:rPr>
            </w:pPr>
            <w:r w:rsidRPr="00522139">
              <w:rPr>
                <w:sz w:val="20"/>
              </w:rPr>
              <w:t>0.0008</w:t>
            </w:r>
          </w:p>
        </w:tc>
      </w:tr>
      <w:tr w:rsidRPr="00522139" w:rsidR="00AF72F1">
        <w:tc>
          <w:tcPr>
            <w:tcW w:w="2217" w:type="dxa"/>
          </w:tcPr>
          <w:p w:rsidRPr="00522139" w:rsidR="00FF317B" w:rsidP="00AF72F1" w:rsidRDefault="00FF317B">
            <w:pPr>
              <w:pStyle w:val="JuInitialled"/>
              <w:spacing w:before="0"/>
              <w:jc w:val="left"/>
              <w:rPr>
                <w:sz w:val="20"/>
              </w:rPr>
            </w:pPr>
            <w:r w:rsidRPr="00522139">
              <w:rPr>
                <w:sz w:val="20"/>
              </w:rPr>
              <w:t>Carbon oxide</w:t>
            </w:r>
          </w:p>
        </w:tc>
        <w:tc>
          <w:tcPr>
            <w:tcW w:w="1913" w:type="dxa"/>
          </w:tcPr>
          <w:p w:rsidRPr="00522139" w:rsidR="00FF317B" w:rsidP="00AF72F1" w:rsidRDefault="00FF317B">
            <w:pPr>
              <w:pStyle w:val="JuInitialled"/>
              <w:spacing w:before="0"/>
              <w:rPr>
                <w:sz w:val="20"/>
              </w:rPr>
            </w:pPr>
            <w:r w:rsidRPr="00522139">
              <w:rPr>
                <w:sz w:val="20"/>
              </w:rPr>
              <w:t>3.0</w:t>
            </w:r>
          </w:p>
        </w:tc>
        <w:tc>
          <w:tcPr>
            <w:tcW w:w="937" w:type="dxa"/>
          </w:tcPr>
          <w:p w:rsidRPr="00522139" w:rsidR="00FF317B" w:rsidP="00AF72F1" w:rsidRDefault="00FF317B">
            <w:pPr>
              <w:pStyle w:val="JuInitialled"/>
              <w:spacing w:before="0"/>
              <w:rPr>
                <w:sz w:val="20"/>
              </w:rPr>
            </w:pPr>
            <w:r w:rsidRPr="00522139">
              <w:rPr>
                <w:sz w:val="20"/>
              </w:rPr>
              <w:t>1.884</w:t>
            </w:r>
          </w:p>
        </w:tc>
        <w:tc>
          <w:tcPr>
            <w:tcW w:w="969" w:type="dxa"/>
          </w:tcPr>
          <w:p w:rsidRPr="00522139" w:rsidR="00FF317B" w:rsidP="00AF72F1" w:rsidRDefault="00FF317B">
            <w:pPr>
              <w:pStyle w:val="JuInitialled"/>
              <w:spacing w:before="0"/>
              <w:rPr>
                <w:sz w:val="20"/>
              </w:rPr>
            </w:pPr>
            <w:r w:rsidRPr="00522139">
              <w:rPr>
                <w:sz w:val="20"/>
              </w:rPr>
              <w:t>1.3</w:t>
            </w:r>
          </w:p>
        </w:tc>
        <w:tc>
          <w:tcPr>
            <w:tcW w:w="969" w:type="dxa"/>
          </w:tcPr>
          <w:p w:rsidRPr="00522139" w:rsidR="00FF317B" w:rsidP="00AF72F1" w:rsidRDefault="00FF317B">
            <w:pPr>
              <w:pStyle w:val="JuInitialled"/>
              <w:spacing w:before="0"/>
              <w:rPr>
                <w:sz w:val="20"/>
              </w:rPr>
            </w:pPr>
            <w:r w:rsidRPr="00522139">
              <w:rPr>
                <w:sz w:val="20"/>
              </w:rPr>
              <w:t>1.5</w:t>
            </w:r>
          </w:p>
        </w:tc>
        <w:tc>
          <w:tcPr>
            <w:tcW w:w="969" w:type="dxa"/>
          </w:tcPr>
          <w:p w:rsidRPr="00522139" w:rsidR="00FF317B" w:rsidP="00AF72F1" w:rsidRDefault="00FF317B">
            <w:pPr>
              <w:pStyle w:val="JuInitialled"/>
              <w:spacing w:before="0"/>
              <w:rPr>
                <w:sz w:val="20"/>
              </w:rPr>
            </w:pPr>
            <w:r w:rsidRPr="00522139">
              <w:rPr>
                <w:sz w:val="20"/>
              </w:rPr>
              <w:t>1.28</w:t>
            </w:r>
          </w:p>
        </w:tc>
        <w:tc>
          <w:tcPr>
            <w:tcW w:w="969" w:type="dxa"/>
          </w:tcPr>
          <w:p w:rsidRPr="00522139" w:rsidR="00FF317B" w:rsidP="00AF72F1" w:rsidRDefault="00FF317B">
            <w:pPr>
              <w:pStyle w:val="JuInitialled"/>
              <w:spacing w:before="0"/>
              <w:rPr>
                <w:sz w:val="20"/>
              </w:rPr>
            </w:pPr>
            <w:r w:rsidRPr="00522139">
              <w:rPr>
                <w:sz w:val="20"/>
              </w:rPr>
              <w:t>1.76</w:t>
            </w:r>
          </w:p>
        </w:tc>
      </w:tr>
      <w:tr w:rsidRPr="00522139" w:rsidR="00AF72F1">
        <w:tc>
          <w:tcPr>
            <w:tcW w:w="2217" w:type="dxa"/>
          </w:tcPr>
          <w:p w:rsidRPr="00522139" w:rsidR="00FF317B" w:rsidP="00AF72F1" w:rsidRDefault="00FF317B">
            <w:pPr>
              <w:pStyle w:val="JuInitialled"/>
              <w:spacing w:before="0"/>
              <w:jc w:val="left"/>
              <w:rPr>
                <w:sz w:val="20"/>
              </w:rPr>
            </w:pPr>
            <w:r w:rsidRPr="00522139">
              <w:rPr>
                <w:sz w:val="20"/>
              </w:rPr>
              <w:t>Dust</w:t>
            </w:r>
          </w:p>
        </w:tc>
        <w:tc>
          <w:tcPr>
            <w:tcW w:w="1913" w:type="dxa"/>
          </w:tcPr>
          <w:p w:rsidRPr="00522139" w:rsidR="00FF317B" w:rsidP="00AF72F1" w:rsidRDefault="00FF317B">
            <w:pPr>
              <w:pStyle w:val="JuInitialled"/>
              <w:spacing w:before="0"/>
              <w:rPr>
                <w:sz w:val="20"/>
              </w:rPr>
            </w:pPr>
            <w:r w:rsidRPr="00522139">
              <w:rPr>
                <w:sz w:val="20"/>
              </w:rPr>
              <w:t>0.15</w:t>
            </w:r>
          </w:p>
        </w:tc>
        <w:tc>
          <w:tcPr>
            <w:tcW w:w="937" w:type="dxa"/>
          </w:tcPr>
          <w:p w:rsidRPr="00522139" w:rsidR="00FF317B" w:rsidP="00AF72F1" w:rsidRDefault="00231B86">
            <w:pPr>
              <w:pStyle w:val="JuInitialled"/>
              <w:spacing w:before="0"/>
              <w:rPr>
                <w:sz w:val="20"/>
              </w:rPr>
            </w:pPr>
            <w:r w:rsidRPr="00522139">
              <w:rPr>
                <w:sz w:val="20"/>
              </w:rPr>
              <w:t>0.264</w:t>
            </w:r>
          </w:p>
        </w:tc>
        <w:tc>
          <w:tcPr>
            <w:tcW w:w="969" w:type="dxa"/>
          </w:tcPr>
          <w:p w:rsidRPr="00522139" w:rsidR="00FF317B" w:rsidP="00AF72F1" w:rsidRDefault="00231B86">
            <w:pPr>
              <w:pStyle w:val="JuInitialled"/>
              <w:spacing w:before="0"/>
              <w:rPr>
                <w:sz w:val="20"/>
              </w:rPr>
            </w:pPr>
            <w:r w:rsidRPr="00522139">
              <w:rPr>
                <w:sz w:val="20"/>
              </w:rPr>
              <w:t>0.25</w:t>
            </w:r>
          </w:p>
        </w:tc>
        <w:tc>
          <w:tcPr>
            <w:tcW w:w="969" w:type="dxa"/>
          </w:tcPr>
          <w:p w:rsidRPr="00522139" w:rsidR="00FF317B" w:rsidP="00AF72F1" w:rsidRDefault="00231B86">
            <w:pPr>
              <w:pStyle w:val="JuInitialled"/>
              <w:spacing w:before="0"/>
              <w:rPr>
                <w:sz w:val="20"/>
              </w:rPr>
            </w:pPr>
            <w:r w:rsidRPr="00522139">
              <w:rPr>
                <w:sz w:val="20"/>
              </w:rPr>
              <w:t>0.24</w:t>
            </w:r>
          </w:p>
        </w:tc>
        <w:tc>
          <w:tcPr>
            <w:tcW w:w="969" w:type="dxa"/>
          </w:tcPr>
          <w:p w:rsidRPr="00522139" w:rsidR="00FF317B" w:rsidP="00AF72F1" w:rsidRDefault="00231B86">
            <w:pPr>
              <w:pStyle w:val="JuInitialled"/>
              <w:spacing w:before="0"/>
              <w:rPr>
                <w:sz w:val="20"/>
              </w:rPr>
            </w:pPr>
            <w:r w:rsidRPr="00522139">
              <w:rPr>
                <w:sz w:val="20"/>
              </w:rPr>
              <w:t>0.2</w:t>
            </w:r>
          </w:p>
        </w:tc>
        <w:tc>
          <w:tcPr>
            <w:tcW w:w="969" w:type="dxa"/>
          </w:tcPr>
          <w:p w:rsidRPr="00522139" w:rsidR="00FF317B" w:rsidP="00AF72F1" w:rsidRDefault="00231B86">
            <w:pPr>
              <w:pStyle w:val="JuInitialled"/>
              <w:spacing w:before="0"/>
              <w:rPr>
                <w:sz w:val="20"/>
              </w:rPr>
            </w:pPr>
            <w:r w:rsidRPr="00522139">
              <w:rPr>
                <w:sz w:val="20"/>
              </w:rPr>
              <w:t>0.17</w:t>
            </w:r>
          </w:p>
        </w:tc>
      </w:tr>
      <w:tr w:rsidRPr="00522139" w:rsidR="00AF72F1">
        <w:tc>
          <w:tcPr>
            <w:tcW w:w="2217" w:type="dxa"/>
          </w:tcPr>
          <w:p w:rsidRPr="00522139" w:rsidR="00FF317B" w:rsidP="00AF72F1" w:rsidRDefault="00FF317B">
            <w:pPr>
              <w:pStyle w:val="JuInitialled"/>
              <w:spacing w:before="0"/>
              <w:jc w:val="left"/>
              <w:rPr>
                <w:sz w:val="20"/>
              </w:rPr>
            </w:pPr>
            <w:r w:rsidRPr="00522139">
              <w:rPr>
                <w:sz w:val="20"/>
              </w:rPr>
              <w:t>Hydrogen sulphide</w:t>
            </w:r>
          </w:p>
        </w:tc>
        <w:tc>
          <w:tcPr>
            <w:tcW w:w="1913" w:type="dxa"/>
          </w:tcPr>
          <w:p w:rsidRPr="00522139" w:rsidR="00FF317B" w:rsidP="00AF72F1" w:rsidRDefault="00FF317B">
            <w:pPr>
              <w:pStyle w:val="JuInitialled"/>
              <w:spacing w:before="0"/>
              <w:rPr>
                <w:sz w:val="20"/>
              </w:rPr>
            </w:pPr>
            <w:r w:rsidRPr="00522139">
              <w:rPr>
                <w:sz w:val="20"/>
              </w:rPr>
              <w:t>0.008</w:t>
            </w:r>
          </w:p>
        </w:tc>
        <w:tc>
          <w:tcPr>
            <w:tcW w:w="937" w:type="dxa"/>
          </w:tcPr>
          <w:p w:rsidRPr="00522139" w:rsidR="00FF317B" w:rsidP="00AF72F1" w:rsidRDefault="00231B86">
            <w:pPr>
              <w:pStyle w:val="JuInitialled"/>
              <w:spacing w:before="0"/>
              <w:rPr>
                <w:sz w:val="20"/>
              </w:rPr>
            </w:pPr>
            <w:r w:rsidRPr="00522139">
              <w:rPr>
                <w:sz w:val="20"/>
              </w:rPr>
              <w:t>0.0002</w:t>
            </w:r>
          </w:p>
        </w:tc>
        <w:tc>
          <w:tcPr>
            <w:tcW w:w="969" w:type="dxa"/>
          </w:tcPr>
          <w:p w:rsidRPr="00522139" w:rsidR="00FF317B" w:rsidP="00AF72F1" w:rsidRDefault="00231B86">
            <w:pPr>
              <w:pStyle w:val="JuInitialled"/>
              <w:spacing w:before="0"/>
              <w:rPr>
                <w:sz w:val="20"/>
              </w:rPr>
            </w:pPr>
            <w:r w:rsidRPr="00522139">
              <w:rPr>
                <w:sz w:val="20"/>
              </w:rPr>
              <w:t>0.0007</w:t>
            </w:r>
          </w:p>
        </w:tc>
        <w:tc>
          <w:tcPr>
            <w:tcW w:w="969" w:type="dxa"/>
          </w:tcPr>
          <w:p w:rsidRPr="00522139" w:rsidR="00FF317B" w:rsidP="00AF72F1" w:rsidRDefault="00231B86">
            <w:pPr>
              <w:pStyle w:val="JuInitialled"/>
              <w:spacing w:before="0"/>
              <w:rPr>
                <w:sz w:val="20"/>
              </w:rPr>
            </w:pPr>
            <w:r w:rsidRPr="00522139">
              <w:rPr>
                <w:sz w:val="20"/>
              </w:rPr>
              <w:t>0.0004</w:t>
            </w:r>
          </w:p>
        </w:tc>
        <w:tc>
          <w:tcPr>
            <w:tcW w:w="969" w:type="dxa"/>
          </w:tcPr>
          <w:p w:rsidRPr="00522139" w:rsidR="00FF317B" w:rsidP="00AF72F1" w:rsidRDefault="00231B86">
            <w:pPr>
              <w:pStyle w:val="JuInitialled"/>
              <w:spacing w:before="0"/>
              <w:rPr>
                <w:sz w:val="20"/>
              </w:rPr>
            </w:pPr>
            <w:r w:rsidRPr="00522139">
              <w:rPr>
                <w:sz w:val="20"/>
              </w:rPr>
              <w:t>0.0006</w:t>
            </w:r>
          </w:p>
        </w:tc>
        <w:tc>
          <w:tcPr>
            <w:tcW w:w="969" w:type="dxa"/>
          </w:tcPr>
          <w:p w:rsidRPr="00522139" w:rsidR="00FF317B" w:rsidP="00AF72F1" w:rsidRDefault="00231B86">
            <w:pPr>
              <w:pStyle w:val="JuInitialled"/>
              <w:spacing w:before="0"/>
              <w:rPr>
                <w:sz w:val="20"/>
              </w:rPr>
            </w:pPr>
            <w:r w:rsidRPr="00522139">
              <w:rPr>
                <w:sz w:val="20"/>
              </w:rPr>
              <w:t>0.0006</w:t>
            </w:r>
          </w:p>
        </w:tc>
      </w:tr>
      <w:tr w:rsidRPr="00522139" w:rsidR="00AF72F1">
        <w:tc>
          <w:tcPr>
            <w:tcW w:w="2217" w:type="dxa"/>
          </w:tcPr>
          <w:p w:rsidRPr="00522139" w:rsidR="00FF317B" w:rsidP="00AF72F1" w:rsidRDefault="00FF317B">
            <w:pPr>
              <w:pStyle w:val="JuInitialled"/>
              <w:spacing w:before="0"/>
              <w:jc w:val="left"/>
              <w:rPr>
                <w:sz w:val="20"/>
              </w:rPr>
            </w:pPr>
            <w:r w:rsidRPr="00522139">
              <w:rPr>
                <w:sz w:val="20"/>
              </w:rPr>
              <w:t>Carbon disulphide</w:t>
            </w:r>
          </w:p>
        </w:tc>
        <w:tc>
          <w:tcPr>
            <w:tcW w:w="1913" w:type="dxa"/>
          </w:tcPr>
          <w:p w:rsidRPr="00522139" w:rsidR="00FF317B" w:rsidP="00AF72F1" w:rsidRDefault="00FF317B">
            <w:pPr>
              <w:pStyle w:val="JuInitialled"/>
              <w:spacing w:before="0"/>
              <w:rPr>
                <w:sz w:val="20"/>
              </w:rPr>
            </w:pPr>
            <w:r w:rsidRPr="00522139">
              <w:rPr>
                <w:sz w:val="20"/>
              </w:rPr>
              <w:t>0.005</w:t>
            </w:r>
          </w:p>
        </w:tc>
        <w:tc>
          <w:tcPr>
            <w:tcW w:w="937" w:type="dxa"/>
          </w:tcPr>
          <w:p w:rsidRPr="00522139" w:rsidR="00FF317B" w:rsidP="00AF72F1" w:rsidRDefault="00231B86">
            <w:pPr>
              <w:pStyle w:val="JuInitialled"/>
              <w:spacing w:before="0"/>
              <w:rPr>
                <w:sz w:val="20"/>
              </w:rPr>
            </w:pPr>
            <w:r w:rsidRPr="00522139">
              <w:rPr>
                <w:sz w:val="20"/>
              </w:rPr>
              <w:t>0.0187</w:t>
            </w:r>
          </w:p>
        </w:tc>
        <w:tc>
          <w:tcPr>
            <w:tcW w:w="969" w:type="dxa"/>
          </w:tcPr>
          <w:p w:rsidRPr="00522139" w:rsidR="00FF317B" w:rsidP="00AF72F1" w:rsidRDefault="00231B86">
            <w:pPr>
              <w:pStyle w:val="JuInitialled"/>
              <w:spacing w:before="0"/>
              <w:rPr>
                <w:sz w:val="20"/>
              </w:rPr>
            </w:pPr>
            <w:r w:rsidRPr="00522139">
              <w:rPr>
                <w:sz w:val="20"/>
              </w:rPr>
              <w:t>0.015</w:t>
            </w:r>
          </w:p>
        </w:tc>
        <w:tc>
          <w:tcPr>
            <w:tcW w:w="969" w:type="dxa"/>
          </w:tcPr>
          <w:p w:rsidRPr="00522139" w:rsidR="00FF317B" w:rsidP="00AF72F1" w:rsidRDefault="00231B86">
            <w:pPr>
              <w:pStyle w:val="JuInitialled"/>
              <w:spacing w:before="0"/>
              <w:rPr>
                <w:sz w:val="20"/>
              </w:rPr>
            </w:pPr>
            <w:r w:rsidRPr="00522139">
              <w:rPr>
                <w:sz w:val="20"/>
              </w:rPr>
              <w:t>0.011</w:t>
            </w:r>
          </w:p>
        </w:tc>
        <w:tc>
          <w:tcPr>
            <w:tcW w:w="969" w:type="dxa"/>
          </w:tcPr>
          <w:p w:rsidRPr="00522139" w:rsidR="00FF317B" w:rsidP="00AF72F1" w:rsidRDefault="00231B86">
            <w:pPr>
              <w:pStyle w:val="JuInitialled"/>
              <w:spacing w:before="0"/>
              <w:rPr>
                <w:sz w:val="20"/>
              </w:rPr>
            </w:pPr>
            <w:r w:rsidRPr="00522139">
              <w:rPr>
                <w:sz w:val="20"/>
              </w:rPr>
              <w:t>0.004</w:t>
            </w:r>
          </w:p>
        </w:tc>
        <w:tc>
          <w:tcPr>
            <w:tcW w:w="969" w:type="dxa"/>
          </w:tcPr>
          <w:p w:rsidRPr="00522139" w:rsidR="00FF317B" w:rsidP="00AF72F1" w:rsidRDefault="00231B86">
            <w:pPr>
              <w:pStyle w:val="JuInitialled"/>
              <w:spacing w:before="0"/>
              <w:rPr>
                <w:sz w:val="20"/>
              </w:rPr>
            </w:pPr>
            <w:r w:rsidRPr="00522139">
              <w:rPr>
                <w:sz w:val="20"/>
              </w:rPr>
              <w:t>0.0056</w:t>
            </w:r>
          </w:p>
        </w:tc>
      </w:tr>
      <w:tr w:rsidRPr="00522139" w:rsidR="00AF72F1">
        <w:tc>
          <w:tcPr>
            <w:tcW w:w="2217" w:type="dxa"/>
          </w:tcPr>
          <w:p w:rsidRPr="00522139" w:rsidR="00FF317B" w:rsidP="00AF72F1" w:rsidRDefault="00FF317B">
            <w:pPr>
              <w:pStyle w:val="JuInitialled"/>
              <w:spacing w:before="0"/>
              <w:jc w:val="left"/>
              <w:rPr>
                <w:sz w:val="20"/>
              </w:rPr>
            </w:pPr>
            <w:r w:rsidRPr="00522139">
              <w:rPr>
                <w:sz w:val="20"/>
              </w:rPr>
              <w:t>Phenols</w:t>
            </w:r>
          </w:p>
        </w:tc>
        <w:tc>
          <w:tcPr>
            <w:tcW w:w="1913" w:type="dxa"/>
          </w:tcPr>
          <w:p w:rsidRPr="00522139" w:rsidR="00FF317B" w:rsidP="00AF72F1" w:rsidRDefault="00FF317B">
            <w:pPr>
              <w:pStyle w:val="JuInitialled"/>
              <w:spacing w:before="0"/>
              <w:rPr>
                <w:sz w:val="20"/>
              </w:rPr>
            </w:pPr>
            <w:r w:rsidRPr="00522139">
              <w:rPr>
                <w:sz w:val="20"/>
              </w:rPr>
              <w:t>0.003</w:t>
            </w:r>
          </w:p>
        </w:tc>
        <w:tc>
          <w:tcPr>
            <w:tcW w:w="937" w:type="dxa"/>
          </w:tcPr>
          <w:p w:rsidRPr="00522139" w:rsidR="00FF317B" w:rsidP="00AF72F1" w:rsidRDefault="00231B86">
            <w:pPr>
              <w:pStyle w:val="JuInitialled"/>
              <w:spacing w:before="0"/>
              <w:rPr>
                <w:sz w:val="20"/>
              </w:rPr>
            </w:pPr>
            <w:r w:rsidRPr="00522139">
              <w:rPr>
                <w:sz w:val="20"/>
              </w:rPr>
              <w:t>0.002</w:t>
            </w:r>
          </w:p>
        </w:tc>
        <w:tc>
          <w:tcPr>
            <w:tcW w:w="969" w:type="dxa"/>
          </w:tcPr>
          <w:p w:rsidRPr="00522139" w:rsidR="00FF317B" w:rsidP="00AF72F1" w:rsidRDefault="00231B86">
            <w:pPr>
              <w:pStyle w:val="JuInitialled"/>
              <w:spacing w:before="0"/>
              <w:rPr>
                <w:sz w:val="20"/>
              </w:rPr>
            </w:pPr>
            <w:r w:rsidRPr="00522139">
              <w:rPr>
                <w:sz w:val="20"/>
              </w:rPr>
              <w:t>0.0014</w:t>
            </w:r>
          </w:p>
        </w:tc>
        <w:tc>
          <w:tcPr>
            <w:tcW w:w="969" w:type="dxa"/>
          </w:tcPr>
          <w:p w:rsidRPr="00522139" w:rsidR="00FF317B" w:rsidP="00AF72F1" w:rsidRDefault="00231B86">
            <w:pPr>
              <w:pStyle w:val="JuInitialled"/>
              <w:spacing w:before="0"/>
              <w:rPr>
                <w:sz w:val="20"/>
              </w:rPr>
            </w:pPr>
            <w:r w:rsidRPr="00522139">
              <w:rPr>
                <w:sz w:val="20"/>
              </w:rPr>
              <w:t>0.0012</w:t>
            </w:r>
          </w:p>
        </w:tc>
        <w:tc>
          <w:tcPr>
            <w:tcW w:w="969" w:type="dxa"/>
          </w:tcPr>
          <w:p w:rsidRPr="00522139" w:rsidR="00FF317B" w:rsidP="00AF72F1" w:rsidRDefault="00231B86">
            <w:pPr>
              <w:pStyle w:val="JuInitialled"/>
              <w:spacing w:before="0"/>
              <w:rPr>
                <w:sz w:val="20"/>
              </w:rPr>
            </w:pPr>
            <w:r w:rsidRPr="00522139">
              <w:rPr>
                <w:sz w:val="20"/>
              </w:rPr>
              <w:t>0.0009</w:t>
            </w:r>
          </w:p>
        </w:tc>
        <w:tc>
          <w:tcPr>
            <w:tcW w:w="969" w:type="dxa"/>
          </w:tcPr>
          <w:p w:rsidRPr="00522139" w:rsidR="00FF317B" w:rsidP="00AF72F1" w:rsidRDefault="00231B86">
            <w:pPr>
              <w:pStyle w:val="JuInitialled"/>
              <w:spacing w:before="0"/>
              <w:rPr>
                <w:sz w:val="20"/>
              </w:rPr>
            </w:pPr>
            <w:r w:rsidRPr="00522139">
              <w:rPr>
                <w:sz w:val="20"/>
              </w:rPr>
              <w:t>0.0014</w:t>
            </w:r>
          </w:p>
        </w:tc>
      </w:tr>
      <w:tr w:rsidRPr="00522139" w:rsidR="00AF72F1">
        <w:tc>
          <w:tcPr>
            <w:tcW w:w="2217" w:type="dxa"/>
          </w:tcPr>
          <w:p w:rsidRPr="00522139" w:rsidR="00FF317B" w:rsidP="00AF72F1" w:rsidRDefault="00FF317B">
            <w:pPr>
              <w:pStyle w:val="JuInitialled"/>
              <w:spacing w:before="0"/>
              <w:jc w:val="left"/>
              <w:rPr>
                <w:sz w:val="20"/>
              </w:rPr>
            </w:pPr>
            <w:r w:rsidRPr="00522139">
              <w:rPr>
                <w:sz w:val="20"/>
              </w:rPr>
              <w:t>Formaldehyde</w:t>
            </w:r>
          </w:p>
        </w:tc>
        <w:tc>
          <w:tcPr>
            <w:tcW w:w="1913" w:type="dxa"/>
          </w:tcPr>
          <w:p w:rsidRPr="00522139" w:rsidR="00FF317B" w:rsidP="00AF72F1" w:rsidRDefault="00FF317B">
            <w:pPr>
              <w:pStyle w:val="JuInitialled"/>
              <w:spacing w:before="0"/>
              <w:rPr>
                <w:sz w:val="20"/>
              </w:rPr>
            </w:pPr>
            <w:r w:rsidRPr="00522139">
              <w:rPr>
                <w:sz w:val="20"/>
              </w:rPr>
              <w:t>0.003</w:t>
            </w:r>
          </w:p>
        </w:tc>
        <w:tc>
          <w:tcPr>
            <w:tcW w:w="937" w:type="dxa"/>
          </w:tcPr>
          <w:p w:rsidRPr="00522139" w:rsidR="00FF317B" w:rsidP="00AF72F1" w:rsidRDefault="00231B86">
            <w:pPr>
              <w:pStyle w:val="JuInitialled"/>
              <w:spacing w:before="0"/>
              <w:rPr>
                <w:sz w:val="20"/>
              </w:rPr>
            </w:pPr>
            <w:r w:rsidRPr="00522139">
              <w:rPr>
                <w:sz w:val="20"/>
              </w:rPr>
              <w:t>0.0136</w:t>
            </w:r>
          </w:p>
        </w:tc>
        <w:tc>
          <w:tcPr>
            <w:tcW w:w="969" w:type="dxa"/>
          </w:tcPr>
          <w:p w:rsidRPr="00522139" w:rsidR="00FF317B" w:rsidP="00AF72F1" w:rsidRDefault="00231B86">
            <w:pPr>
              <w:pStyle w:val="JuInitialled"/>
              <w:spacing w:before="0"/>
              <w:rPr>
                <w:sz w:val="20"/>
              </w:rPr>
            </w:pPr>
            <w:r w:rsidRPr="00522139">
              <w:rPr>
                <w:sz w:val="20"/>
              </w:rPr>
              <w:t>0.02</w:t>
            </w:r>
          </w:p>
        </w:tc>
        <w:tc>
          <w:tcPr>
            <w:tcW w:w="969" w:type="dxa"/>
          </w:tcPr>
          <w:p w:rsidRPr="00522139" w:rsidR="00FF317B" w:rsidP="00AF72F1" w:rsidRDefault="00231B86">
            <w:pPr>
              <w:pStyle w:val="JuInitialled"/>
              <w:spacing w:before="0"/>
              <w:rPr>
                <w:sz w:val="20"/>
              </w:rPr>
            </w:pPr>
            <w:r w:rsidRPr="00522139">
              <w:rPr>
                <w:sz w:val="20"/>
              </w:rPr>
              <w:t>0.013</w:t>
            </w:r>
          </w:p>
        </w:tc>
        <w:tc>
          <w:tcPr>
            <w:tcW w:w="969" w:type="dxa"/>
          </w:tcPr>
          <w:p w:rsidRPr="00522139" w:rsidR="00FF317B" w:rsidP="00AF72F1" w:rsidRDefault="00231B86">
            <w:pPr>
              <w:pStyle w:val="JuInitialled"/>
              <w:spacing w:before="0"/>
              <w:rPr>
                <w:sz w:val="20"/>
              </w:rPr>
            </w:pPr>
            <w:r w:rsidRPr="00522139">
              <w:rPr>
                <w:sz w:val="20"/>
              </w:rPr>
              <w:t>0.0099</w:t>
            </w:r>
          </w:p>
        </w:tc>
        <w:tc>
          <w:tcPr>
            <w:tcW w:w="969" w:type="dxa"/>
          </w:tcPr>
          <w:p w:rsidRPr="00522139" w:rsidR="00FF317B" w:rsidP="00AF72F1" w:rsidRDefault="00231B86">
            <w:pPr>
              <w:pStyle w:val="JuInitialled"/>
              <w:spacing w:before="0"/>
              <w:rPr>
                <w:sz w:val="20"/>
              </w:rPr>
            </w:pPr>
            <w:r w:rsidRPr="00522139">
              <w:rPr>
                <w:sz w:val="20"/>
              </w:rPr>
              <w:t>0.019</w:t>
            </w:r>
          </w:p>
        </w:tc>
      </w:tr>
      <w:tr w:rsidRPr="00522139" w:rsidR="00AF72F1">
        <w:trPr>
          <w:trHeight w:val="70"/>
        </w:trPr>
        <w:tc>
          <w:tcPr>
            <w:tcW w:w="2217" w:type="dxa"/>
          </w:tcPr>
          <w:p w:rsidRPr="00522139" w:rsidR="00FF317B" w:rsidP="00AF72F1" w:rsidRDefault="00FF317B">
            <w:pPr>
              <w:pStyle w:val="JuInitialled"/>
              <w:spacing w:before="0"/>
              <w:jc w:val="left"/>
              <w:rPr>
                <w:sz w:val="20"/>
              </w:rPr>
            </w:pPr>
            <w:smartTag w:uri="urn:schemas-microsoft-com:office:smarttags" w:element="City">
              <w:smartTag w:uri="urn:schemas-microsoft-com:office:smarttags" w:element="place">
                <w:r w:rsidRPr="00522139">
                  <w:rPr>
                    <w:sz w:val="20"/>
                  </w:rPr>
                  <w:t>Sulphur</w:t>
                </w:r>
              </w:smartTag>
            </w:smartTag>
            <w:r w:rsidRPr="00522139">
              <w:rPr>
                <w:sz w:val="20"/>
              </w:rPr>
              <w:t xml:space="preserve"> dioxide</w:t>
            </w:r>
          </w:p>
        </w:tc>
        <w:tc>
          <w:tcPr>
            <w:tcW w:w="1913" w:type="dxa"/>
          </w:tcPr>
          <w:p w:rsidRPr="00522139" w:rsidR="00FF317B" w:rsidP="00AF72F1" w:rsidRDefault="00FF317B">
            <w:pPr>
              <w:pStyle w:val="JuInitialled"/>
              <w:spacing w:before="0"/>
              <w:rPr>
                <w:sz w:val="20"/>
              </w:rPr>
            </w:pPr>
            <w:r w:rsidRPr="00522139">
              <w:rPr>
                <w:sz w:val="20"/>
              </w:rPr>
              <w:t>0.05</w:t>
            </w:r>
          </w:p>
        </w:tc>
        <w:tc>
          <w:tcPr>
            <w:tcW w:w="937" w:type="dxa"/>
          </w:tcPr>
          <w:p w:rsidRPr="00522139" w:rsidR="00FF317B" w:rsidP="00AF72F1" w:rsidRDefault="00231B86">
            <w:pPr>
              <w:pStyle w:val="JuInitialled"/>
              <w:spacing w:before="0"/>
              <w:rPr>
                <w:sz w:val="20"/>
              </w:rPr>
            </w:pPr>
            <w:r w:rsidRPr="00522139">
              <w:rPr>
                <w:sz w:val="20"/>
              </w:rPr>
              <w:t>0.0049</w:t>
            </w:r>
          </w:p>
        </w:tc>
        <w:tc>
          <w:tcPr>
            <w:tcW w:w="969" w:type="dxa"/>
          </w:tcPr>
          <w:p w:rsidRPr="00522139" w:rsidR="00FF317B" w:rsidP="00AF72F1" w:rsidRDefault="00231B86">
            <w:pPr>
              <w:pStyle w:val="JuInitialled"/>
              <w:spacing w:before="0"/>
              <w:rPr>
                <w:sz w:val="20"/>
              </w:rPr>
            </w:pPr>
            <w:r w:rsidRPr="00522139">
              <w:rPr>
                <w:sz w:val="20"/>
              </w:rPr>
              <w:t>0.0056</w:t>
            </w:r>
          </w:p>
        </w:tc>
        <w:tc>
          <w:tcPr>
            <w:tcW w:w="969" w:type="dxa"/>
          </w:tcPr>
          <w:p w:rsidRPr="00522139" w:rsidR="00FF317B" w:rsidP="00AF72F1" w:rsidRDefault="00231B86">
            <w:pPr>
              <w:pStyle w:val="JuInitialled"/>
              <w:spacing w:before="0"/>
              <w:rPr>
                <w:sz w:val="20"/>
              </w:rPr>
            </w:pPr>
            <w:r w:rsidRPr="00522139">
              <w:rPr>
                <w:sz w:val="20"/>
              </w:rPr>
              <w:t>0.0021</w:t>
            </w:r>
          </w:p>
        </w:tc>
        <w:tc>
          <w:tcPr>
            <w:tcW w:w="969" w:type="dxa"/>
          </w:tcPr>
          <w:p w:rsidRPr="00522139" w:rsidR="00FF317B" w:rsidP="00AF72F1" w:rsidRDefault="00231B86">
            <w:pPr>
              <w:pStyle w:val="JuInitialled"/>
              <w:spacing w:before="0"/>
              <w:rPr>
                <w:sz w:val="20"/>
              </w:rPr>
            </w:pPr>
            <w:r w:rsidRPr="00522139">
              <w:rPr>
                <w:sz w:val="20"/>
              </w:rPr>
              <w:t>0.0024</w:t>
            </w:r>
          </w:p>
        </w:tc>
        <w:tc>
          <w:tcPr>
            <w:tcW w:w="969" w:type="dxa"/>
          </w:tcPr>
          <w:p w:rsidRPr="00522139" w:rsidR="00FF317B" w:rsidP="00AF72F1" w:rsidRDefault="00231B86">
            <w:pPr>
              <w:pStyle w:val="JuInitialled"/>
              <w:spacing w:before="0"/>
              <w:rPr>
                <w:sz w:val="20"/>
              </w:rPr>
            </w:pPr>
            <w:r w:rsidRPr="00522139">
              <w:rPr>
                <w:sz w:val="20"/>
              </w:rPr>
              <w:t>0.0037</w:t>
            </w:r>
          </w:p>
        </w:tc>
      </w:tr>
    </w:tbl>
    <w:p w:rsidR="00C536FC" w:rsidP="0075736E" w:rsidRDefault="00C536FC">
      <w:pPr>
        <w:pStyle w:val="JuH1"/>
        <w:tabs>
          <w:tab w:val="clear" w:pos="584"/>
          <w:tab w:val="left" w:pos="-798"/>
        </w:tabs>
        <w:ind w:right="-337" w:hanging="1587"/>
        <w:jc w:val="left"/>
      </w:pPr>
    </w:p>
    <w:p w:rsidR="001B7E17" w:rsidP="0075736E" w:rsidRDefault="006445E5">
      <w:pPr>
        <w:pStyle w:val="JuH1"/>
        <w:tabs>
          <w:tab w:val="clear" w:pos="584"/>
          <w:tab w:val="left" w:pos="-798"/>
        </w:tabs>
        <w:ind w:right="-337" w:hanging="1587"/>
        <w:jc w:val="left"/>
      </w:pPr>
      <w:r>
        <w:t>B</w:t>
      </w:r>
      <w:r w:rsidR="001B7E17">
        <w:t>.</w:t>
      </w:r>
      <w:r w:rsidR="00522139">
        <w:t>  </w:t>
      </w:r>
      <w:r w:rsidR="00F857E4">
        <w:t>A</w:t>
      </w:r>
      <w:r w:rsidR="001B7E17">
        <w:t xml:space="preserve">verage and maximal concentrations of </w:t>
      </w:r>
      <w:r w:rsidR="0075736E">
        <w:t xml:space="preserve">toxic elements over the past 20 to </w:t>
      </w:r>
      <w:r w:rsidR="001B7E17">
        <w:t>30 years</w:t>
      </w:r>
    </w:p>
    <w:tbl>
      <w:tblPr>
        <w:tblStyle w:val="TableGrid"/>
        <w:tblW w:w="8886" w:type="dxa"/>
        <w:jc w:val="center"/>
        <w:tblLayout w:type="fixed"/>
        <w:tblLook w:val="01E0" w:firstRow="1" w:lastRow="1" w:firstColumn="1" w:lastColumn="1" w:noHBand="0" w:noVBand="0"/>
      </w:tblPr>
      <w:tblGrid>
        <w:gridCol w:w="1761"/>
        <w:gridCol w:w="741"/>
        <w:gridCol w:w="684"/>
        <w:gridCol w:w="741"/>
        <w:gridCol w:w="684"/>
        <w:gridCol w:w="741"/>
        <w:gridCol w:w="684"/>
        <w:gridCol w:w="741"/>
        <w:gridCol w:w="684"/>
        <w:gridCol w:w="741"/>
        <w:gridCol w:w="684"/>
      </w:tblGrid>
      <w:tr w:rsidRPr="00522139" w:rsidR="00A2535E">
        <w:trPr>
          <w:trHeight w:val="304"/>
          <w:jc w:val="center"/>
        </w:trPr>
        <w:tc>
          <w:tcPr>
            <w:tcW w:w="1761" w:type="dxa"/>
            <w:vMerge w:val="restart"/>
            <w:vAlign w:val="center"/>
          </w:tcPr>
          <w:p w:rsidRPr="00A2535E" w:rsidR="00A2535E" w:rsidP="00C52193" w:rsidRDefault="00A2535E">
            <w:pPr>
              <w:pStyle w:val="JuInitialled"/>
              <w:spacing w:before="0"/>
              <w:jc w:val="center"/>
              <w:rPr>
                <w:b/>
                <w:sz w:val="20"/>
              </w:rPr>
            </w:pPr>
            <w:r w:rsidRPr="00A2535E">
              <w:rPr>
                <w:b/>
                <w:sz w:val="20"/>
              </w:rPr>
              <w:t>Substance monitored</w:t>
            </w:r>
          </w:p>
        </w:tc>
        <w:tc>
          <w:tcPr>
            <w:tcW w:w="1425" w:type="dxa"/>
            <w:gridSpan w:val="2"/>
            <w:vAlign w:val="center"/>
          </w:tcPr>
          <w:p w:rsidRPr="00A2535E" w:rsidR="00A2535E" w:rsidP="00C52193" w:rsidRDefault="00A2535E">
            <w:pPr>
              <w:pStyle w:val="JuInitialled"/>
              <w:spacing w:before="0"/>
              <w:jc w:val="center"/>
              <w:rPr>
                <w:b/>
                <w:sz w:val="20"/>
              </w:rPr>
            </w:pPr>
            <w:r w:rsidRPr="00A2535E">
              <w:rPr>
                <w:b/>
                <w:sz w:val="20"/>
              </w:rPr>
              <w:t>1974</w:t>
            </w:r>
          </w:p>
        </w:tc>
        <w:tc>
          <w:tcPr>
            <w:tcW w:w="1425" w:type="dxa"/>
            <w:gridSpan w:val="2"/>
            <w:vAlign w:val="center"/>
          </w:tcPr>
          <w:p w:rsidRPr="00A2535E" w:rsidR="00A2535E" w:rsidP="00C52193" w:rsidRDefault="00A2535E">
            <w:pPr>
              <w:pStyle w:val="JuInitialled"/>
              <w:spacing w:before="0"/>
              <w:jc w:val="center"/>
              <w:rPr>
                <w:b/>
                <w:sz w:val="20"/>
              </w:rPr>
            </w:pPr>
            <w:r w:rsidRPr="00A2535E">
              <w:rPr>
                <w:b/>
                <w:sz w:val="20"/>
              </w:rPr>
              <w:t>1983</w:t>
            </w:r>
          </w:p>
        </w:tc>
        <w:tc>
          <w:tcPr>
            <w:tcW w:w="1425" w:type="dxa"/>
            <w:gridSpan w:val="2"/>
            <w:vAlign w:val="center"/>
          </w:tcPr>
          <w:p w:rsidRPr="00A2535E" w:rsidR="00A2535E" w:rsidP="00C52193" w:rsidRDefault="00A2535E">
            <w:pPr>
              <w:pStyle w:val="JuInitialled"/>
              <w:spacing w:before="0"/>
              <w:jc w:val="center"/>
              <w:rPr>
                <w:b/>
                <w:sz w:val="20"/>
              </w:rPr>
            </w:pPr>
            <w:r w:rsidRPr="00A2535E">
              <w:rPr>
                <w:b/>
                <w:sz w:val="20"/>
              </w:rPr>
              <w:t>1989</w:t>
            </w:r>
          </w:p>
        </w:tc>
        <w:tc>
          <w:tcPr>
            <w:tcW w:w="1425" w:type="dxa"/>
            <w:gridSpan w:val="2"/>
            <w:vAlign w:val="center"/>
          </w:tcPr>
          <w:p w:rsidRPr="00A2535E" w:rsidR="00A2535E" w:rsidP="00C52193" w:rsidRDefault="00A2535E">
            <w:pPr>
              <w:pStyle w:val="JuInitialled"/>
              <w:spacing w:before="0"/>
              <w:jc w:val="center"/>
              <w:rPr>
                <w:b/>
                <w:sz w:val="20"/>
              </w:rPr>
            </w:pPr>
            <w:r w:rsidRPr="00A2535E">
              <w:rPr>
                <w:b/>
                <w:sz w:val="20"/>
              </w:rPr>
              <w:t>1996</w:t>
            </w:r>
          </w:p>
        </w:tc>
        <w:tc>
          <w:tcPr>
            <w:tcW w:w="1425" w:type="dxa"/>
            <w:gridSpan w:val="2"/>
            <w:vAlign w:val="center"/>
          </w:tcPr>
          <w:p w:rsidRPr="00A2535E" w:rsidR="00A2535E" w:rsidP="00C52193" w:rsidRDefault="00A2535E">
            <w:pPr>
              <w:pStyle w:val="JuInitialled"/>
              <w:spacing w:before="0"/>
              <w:jc w:val="center"/>
              <w:rPr>
                <w:b/>
                <w:sz w:val="20"/>
              </w:rPr>
            </w:pPr>
            <w:r w:rsidRPr="00A2535E">
              <w:rPr>
                <w:b/>
                <w:sz w:val="20"/>
              </w:rPr>
              <w:t>2003</w:t>
            </w:r>
          </w:p>
        </w:tc>
      </w:tr>
      <w:tr w:rsidRPr="00522139" w:rsidR="00BD04AB">
        <w:trPr>
          <w:trHeight w:val="313"/>
          <w:jc w:val="center"/>
        </w:trPr>
        <w:tc>
          <w:tcPr>
            <w:tcW w:w="1761" w:type="dxa"/>
            <w:vMerge/>
            <w:vAlign w:val="center"/>
          </w:tcPr>
          <w:p w:rsidRPr="00A2535E" w:rsidR="001B7E17" w:rsidP="00C52193" w:rsidRDefault="001B7E17">
            <w:pPr>
              <w:pStyle w:val="JuInitialled"/>
              <w:spacing w:before="0"/>
              <w:jc w:val="both"/>
              <w:rPr>
                <w:sz w:val="20"/>
              </w:rPr>
            </w:pPr>
          </w:p>
        </w:tc>
        <w:tc>
          <w:tcPr>
            <w:tcW w:w="741" w:type="dxa"/>
            <w:shd w:val="clear" w:color="auto" w:fill="auto"/>
            <w:vAlign w:val="center"/>
          </w:tcPr>
          <w:p w:rsidRPr="00A2535E" w:rsidR="001B7E17" w:rsidP="00C52193" w:rsidRDefault="001B7E17">
            <w:pPr>
              <w:pStyle w:val="JuInitialled"/>
              <w:spacing w:before="0"/>
              <w:jc w:val="center"/>
              <w:rPr>
                <w:b/>
                <w:sz w:val="20"/>
              </w:rPr>
            </w:pPr>
            <w:r w:rsidRPr="00A2535E">
              <w:rPr>
                <w:b/>
                <w:sz w:val="20"/>
              </w:rPr>
              <w:t>Aver</w:t>
            </w:r>
            <w:r w:rsidRPr="00A2535E" w:rsidR="00A2535E">
              <w:rPr>
                <w:b/>
                <w:sz w:val="20"/>
              </w:rPr>
              <w:t>.</w:t>
            </w:r>
          </w:p>
        </w:tc>
        <w:tc>
          <w:tcPr>
            <w:tcW w:w="684" w:type="dxa"/>
            <w:shd w:val="clear" w:color="auto" w:fill="auto"/>
            <w:vAlign w:val="center"/>
          </w:tcPr>
          <w:p w:rsidRPr="00A2535E" w:rsidR="001B7E17" w:rsidP="00C52193" w:rsidRDefault="001B7E17">
            <w:pPr>
              <w:pStyle w:val="JuInitialled"/>
              <w:spacing w:before="0"/>
              <w:jc w:val="center"/>
              <w:rPr>
                <w:b/>
                <w:sz w:val="20"/>
              </w:rPr>
            </w:pPr>
            <w:r w:rsidRPr="00A2535E">
              <w:rPr>
                <w:b/>
                <w:sz w:val="20"/>
              </w:rPr>
              <w:t>Max.</w:t>
            </w:r>
          </w:p>
        </w:tc>
        <w:tc>
          <w:tcPr>
            <w:tcW w:w="741" w:type="dxa"/>
            <w:shd w:val="clear" w:color="auto" w:fill="auto"/>
            <w:vAlign w:val="center"/>
          </w:tcPr>
          <w:p w:rsidRPr="00A2535E" w:rsidR="001B7E17" w:rsidP="00C52193" w:rsidRDefault="001B7E17">
            <w:pPr>
              <w:pStyle w:val="JuInitialled"/>
              <w:spacing w:before="0"/>
              <w:jc w:val="center"/>
              <w:rPr>
                <w:b/>
                <w:sz w:val="20"/>
              </w:rPr>
            </w:pPr>
            <w:r w:rsidRPr="00A2535E">
              <w:rPr>
                <w:b/>
                <w:sz w:val="20"/>
              </w:rPr>
              <w:t>Aver.</w:t>
            </w:r>
          </w:p>
        </w:tc>
        <w:tc>
          <w:tcPr>
            <w:tcW w:w="684" w:type="dxa"/>
            <w:shd w:val="clear" w:color="auto" w:fill="auto"/>
            <w:vAlign w:val="center"/>
          </w:tcPr>
          <w:p w:rsidRPr="00A2535E" w:rsidR="001B7E17" w:rsidP="00C52193" w:rsidRDefault="001B7E17">
            <w:pPr>
              <w:pStyle w:val="JuInitialled"/>
              <w:spacing w:before="0"/>
              <w:jc w:val="center"/>
              <w:rPr>
                <w:b/>
                <w:sz w:val="20"/>
              </w:rPr>
            </w:pPr>
            <w:r w:rsidRPr="00A2535E">
              <w:rPr>
                <w:b/>
                <w:sz w:val="20"/>
              </w:rPr>
              <w:t>Max.</w:t>
            </w:r>
          </w:p>
        </w:tc>
        <w:tc>
          <w:tcPr>
            <w:tcW w:w="741" w:type="dxa"/>
            <w:shd w:val="clear" w:color="auto" w:fill="auto"/>
            <w:vAlign w:val="center"/>
          </w:tcPr>
          <w:p w:rsidRPr="00A2535E" w:rsidR="001B7E17" w:rsidP="00C52193" w:rsidRDefault="001B7E17">
            <w:pPr>
              <w:pStyle w:val="JuInitialled"/>
              <w:spacing w:before="0"/>
              <w:jc w:val="center"/>
              <w:rPr>
                <w:b/>
                <w:sz w:val="20"/>
              </w:rPr>
            </w:pPr>
            <w:r w:rsidRPr="00A2535E">
              <w:rPr>
                <w:b/>
                <w:sz w:val="20"/>
              </w:rPr>
              <w:t>Aver.</w:t>
            </w:r>
          </w:p>
        </w:tc>
        <w:tc>
          <w:tcPr>
            <w:tcW w:w="684" w:type="dxa"/>
            <w:shd w:val="clear" w:color="auto" w:fill="auto"/>
            <w:vAlign w:val="center"/>
          </w:tcPr>
          <w:p w:rsidRPr="00A2535E" w:rsidR="001B7E17" w:rsidP="00C52193" w:rsidRDefault="001B7E17">
            <w:pPr>
              <w:pStyle w:val="JuInitialled"/>
              <w:spacing w:before="0"/>
              <w:jc w:val="center"/>
              <w:rPr>
                <w:b/>
                <w:sz w:val="20"/>
              </w:rPr>
            </w:pPr>
            <w:r w:rsidRPr="00A2535E">
              <w:rPr>
                <w:b/>
                <w:sz w:val="20"/>
              </w:rPr>
              <w:t>Max.</w:t>
            </w:r>
          </w:p>
        </w:tc>
        <w:tc>
          <w:tcPr>
            <w:tcW w:w="741" w:type="dxa"/>
            <w:shd w:val="clear" w:color="auto" w:fill="auto"/>
            <w:vAlign w:val="center"/>
          </w:tcPr>
          <w:p w:rsidRPr="00A2535E" w:rsidR="001B7E17" w:rsidP="00C52193" w:rsidRDefault="001B7E17">
            <w:pPr>
              <w:pStyle w:val="JuInitialled"/>
              <w:spacing w:before="0"/>
              <w:jc w:val="center"/>
              <w:rPr>
                <w:b/>
                <w:sz w:val="20"/>
              </w:rPr>
            </w:pPr>
            <w:r w:rsidRPr="00A2535E">
              <w:rPr>
                <w:b/>
                <w:sz w:val="20"/>
              </w:rPr>
              <w:t>Aver.</w:t>
            </w:r>
          </w:p>
        </w:tc>
        <w:tc>
          <w:tcPr>
            <w:tcW w:w="684" w:type="dxa"/>
            <w:shd w:val="clear" w:color="auto" w:fill="auto"/>
            <w:vAlign w:val="center"/>
          </w:tcPr>
          <w:p w:rsidRPr="00A2535E" w:rsidR="001B7E17" w:rsidP="00C52193" w:rsidRDefault="001B7E17">
            <w:pPr>
              <w:pStyle w:val="JuInitialled"/>
              <w:spacing w:before="0"/>
              <w:jc w:val="center"/>
              <w:rPr>
                <w:b/>
                <w:sz w:val="20"/>
              </w:rPr>
            </w:pPr>
            <w:r w:rsidRPr="00A2535E">
              <w:rPr>
                <w:b/>
                <w:sz w:val="20"/>
              </w:rPr>
              <w:t>Max.</w:t>
            </w:r>
          </w:p>
        </w:tc>
        <w:tc>
          <w:tcPr>
            <w:tcW w:w="741" w:type="dxa"/>
            <w:shd w:val="clear" w:color="auto" w:fill="auto"/>
            <w:vAlign w:val="center"/>
          </w:tcPr>
          <w:p w:rsidRPr="00A2535E" w:rsidR="001B7E17" w:rsidP="00C52193" w:rsidRDefault="001B7E17">
            <w:pPr>
              <w:pStyle w:val="JuInitialled"/>
              <w:spacing w:before="0"/>
              <w:jc w:val="center"/>
              <w:rPr>
                <w:b/>
                <w:sz w:val="20"/>
              </w:rPr>
            </w:pPr>
            <w:r w:rsidRPr="00A2535E">
              <w:rPr>
                <w:b/>
                <w:sz w:val="20"/>
              </w:rPr>
              <w:t>Aver.</w:t>
            </w:r>
          </w:p>
        </w:tc>
        <w:tc>
          <w:tcPr>
            <w:tcW w:w="684" w:type="dxa"/>
            <w:shd w:val="clear" w:color="auto" w:fill="auto"/>
            <w:vAlign w:val="center"/>
          </w:tcPr>
          <w:p w:rsidRPr="00A2535E" w:rsidR="001B7E17" w:rsidP="00C52193" w:rsidRDefault="001B7E17">
            <w:pPr>
              <w:pStyle w:val="JuInitialled"/>
              <w:spacing w:before="0"/>
              <w:jc w:val="center"/>
              <w:rPr>
                <w:b/>
                <w:sz w:val="20"/>
              </w:rPr>
            </w:pPr>
            <w:r w:rsidRPr="00A2535E">
              <w:rPr>
                <w:b/>
                <w:sz w:val="20"/>
              </w:rPr>
              <w:t>Max.</w:t>
            </w:r>
          </w:p>
        </w:tc>
      </w:tr>
      <w:tr w:rsidRPr="00522139" w:rsidR="00BD04AB">
        <w:trPr>
          <w:jc w:val="center"/>
        </w:trPr>
        <w:tc>
          <w:tcPr>
            <w:tcW w:w="1761" w:type="dxa"/>
          </w:tcPr>
          <w:p w:rsidRPr="00A2535E" w:rsidR="001B7E17" w:rsidP="0075736E" w:rsidRDefault="001B7E17">
            <w:pPr>
              <w:pStyle w:val="JuInitialled"/>
              <w:spacing w:before="0"/>
              <w:jc w:val="both"/>
              <w:rPr>
                <w:sz w:val="20"/>
              </w:rPr>
            </w:pPr>
            <w:r w:rsidRPr="00A2535E">
              <w:rPr>
                <w:sz w:val="20"/>
              </w:rPr>
              <w:t>Dust</w:t>
            </w:r>
          </w:p>
        </w:tc>
        <w:tc>
          <w:tcPr>
            <w:tcW w:w="741" w:type="dxa"/>
            <w:shd w:val="clear" w:color="auto" w:fill="auto"/>
          </w:tcPr>
          <w:p w:rsidRPr="00A2535E" w:rsidR="001B7E17" w:rsidP="0075736E" w:rsidRDefault="0075736E">
            <w:pPr>
              <w:pStyle w:val="JuInitialled"/>
              <w:spacing w:before="0"/>
              <w:rPr>
                <w:sz w:val="20"/>
              </w:rPr>
            </w:pPr>
            <w:r>
              <w:rPr>
                <w:sz w:val="20"/>
              </w:rPr>
              <w:t>–</w:t>
            </w:r>
          </w:p>
        </w:tc>
        <w:tc>
          <w:tcPr>
            <w:tcW w:w="684" w:type="dxa"/>
            <w:shd w:val="clear" w:color="auto" w:fill="auto"/>
          </w:tcPr>
          <w:p w:rsidRPr="00A2535E" w:rsidR="001B7E17" w:rsidP="0075736E" w:rsidRDefault="0075736E">
            <w:pPr>
              <w:pStyle w:val="JuInitialled"/>
              <w:spacing w:before="0"/>
              <w:rPr>
                <w:sz w:val="20"/>
              </w:rPr>
            </w:pPr>
            <w:r>
              <w:rPr>
                <w:sz w:val="20"/>
              </w:rPr>
              <w:t>–</w:t>
            </w:r>
          </w:p>
        </w:tc>
        <w:tc>
          <w:tcPr>
            <w:tcW w:w="741" w:type="dxa"/>
            <w:shd w:val="clear" w:color="auto" w:fill="auto"/>
          </w:tcPr>
          <w:p w:rsidRPr="00A2535E" w:rsidR="001B7E17" w:rsidP="0075736E" w:rsidRDefault="001B7E17">
            <w:pPr>
              <w:pStyle w:val="JuInitialled"/>
              <w:spacing w:before="0"/>
              <w:rPr>
                <w:sz w:val="20"/>
              </w:rPr>
            </w:pPr>
            <w:r w:rsidRPr="00A2535E">
              <w:rPr>
                <w:sz w:val="20"/>
              </w:rPr>
              <w:t>0.3</w:t>
            </w:r>
          </w:p>
        </w:tc>
        <w:tc>
          <w:tcPr>
            <w:tcW w:w="684" w:type="dxa"/>
            <w:shd w:val="clear" w:color="auto" w:fill="auto"/>
          </w:tcPr>
          <w:p w:rsidRPr="00A2535E" w:rsidR="001B7E17" w:rsidP="0075736E" w:rsidRDefault="001B7E17">
            <w:pPr>
              <w:pStyle w:val="JuInitialled"/>
              <w:spacing w:before="0"/>
              <w:rPr>
                <w:sz w:val="20"/>
              </w:rPr>
            </w:pPr>
            <w:r w:rsidRPr="00A2535E">
              <w:rPr>
                <w:sz w:val="20"/>
              </w:rPr>
              <w:t>4.0</w:t>
            </w:r>
          </w:p>
        </w:tc>
        <w:tc>
          <w:tcPr>
            <w:tcW w:w="741" w:type="dxa"/>
            <w:shd w:val="clear" w:color="auto" w:fill="auto"/>
          </w:tcPr>
          <w:p w:rsidRPr="00A2535E" w:rsidR="001B7E17" w:rsidP="0075736E" w:rsidRDefault="001B7E17">
            <w:pPr>
              <w:pStyle w:val="JuInitialled"/>
              <w:spacing w:before="0"/>
              <w:rPr>
                <w:sz w:val="20"/>
              </w:rPr>
            </w:pPr>
            <w:r w:rsidRPr="00A2535E">
              <w:rPr>
                <w:sz w:val="20"/>
              </w:rPr>
              <w:t>0.3</w:t>
            </w:r>
          </w:p>
        </w:tc>
        <w:tc>
          <w:tcPr>
            <w:tcW w:w="684" w:type="dxa"/>
            <w:shd w:val="clear" w:color="auto" w:fill="auto"/>
          </w:tcPr>
          <w:p w:rsidRPr="00A2535E" w:rsidR="001B7E17" w:rsidP="0075736E" w:rsidRDefault="001B7E17">
            <w:pPr>
              <w:pStyle w:val="JuInitialled"/>
              <w:spacing w:before="0"/>
              <w:rPr>
                <w:sz w:val="20"/>
              </w:rPr>
            </w:pPr>
            <w:r w:rsidRPr="00A2535E">
              <w:rPr>
                <w:sz w:val="20"/>
              </w:rPr>
              <w:t>2.1</w:t>
            </w:r>
          </w:p>
        </w:tc>
        <w:tc>
          <w:tcPr>
            <w:tcW w:w="741" w:type="dxa"/>
            <w:shd w:val="clear" w:color="auto" w:fill="auto"/>
          </w:tcPr>
          <w:p w:rsidRPr="00A2535E" w:rsidR="001B7E17" w:rsidP="0075736E" w:rsidRDefault="001B7E17">
            <w:pPr>
              <w:pStyle w:val="JuInitialled"/>
              <w:spacing w:before="0"/>
              <w:rPr>
                <w:sz w:val="20"/>
              </w:rPr>
            </w:pPr>
            <w:r w:rsidRPr="00A2535E">
              <w:rPr>
                <w:sz w:val="20"/>
              </w:rPr>
              <w:t>0.1</w:t>
            </w:r>
          </w:p>
        </w:tc>
        <w:tc>
          <w:tcPr>
            <w:tcW w:w="684" w:type="dxa"/>
            <w:shd w:val="clear" w:color="auto" w:fill="auto"/>
          </w:tcPr>
          <w:p w:rsidRPr="00A2535E" w:rsidR="001B7E17" w:rsidP="0075736E" w:rsidRDefault="001B7E17">
            <w:pPr>
              <w:pStyle w:val="JuInitialled"/>
              <w:spacing w:before="0"/>
              <w:rPr>
                <w:sz w:val="20"/>
              </w:rPr>
            </w:pPr>
            <w:r w:rsidRPr="00A2535E">
              <w:rPr>
                <w:sz w:val="20"/>
              </w:rPr>
              <w:t>1.2</w:t>
            </w:r>
          </w:p>
        </w:tc>
        <w:tc>
          <w:tcPr>
            <w:tcW w:w="741" w:type="dxa"/>
            <w:shd w:val="clear" w:color="auto" w:fill="auto"/>
          </w:tcPr>
          <w:p w:rsidRPr="00A2535E" w:rsidR="001B7E17" w:rsidP="0075736E" w:rsidRDefault="001B7E17">
            <w:pPr>
              <w:pStyle w:val="JuInitialled"/>
              <w:spacing w:before="0"/>
              <w:rPr>
                <w:sz w:val="20"/>
              </w:rPr>
            </w:pPr>
            <w:r w:rsidRPr="00A2535E">
              <w:rPr>
                <w:sz w:val="20"/>
              </w:rPr>
              <w:t>0.2</w:t>
            </w:r>
          </w:p>
        </w:tc>
        <w:tc>
          <w:tcPr>
            <w:tcW w:w="684" w:type="dxa"/>
            <w:shd w:val="clear" w:color="auto" w:fill="auto"/>
          </w:tcPr>
          <w:p w:rsidRPr="00A2535E" w:rsidR="001B7E17" w:rsidP="0075736E" w:rsidRDefault="001B7E17">
            <w:pPr>
              <w:pStyle w:val="JuInitialled"/>
              <w:spacing w:before="0"/>
              <w:rPr>
                <w:sz w:val="20"/>
              </w:rPr>
            </w:pPr>
            <w:r w:rsidRPr="00A2535E">
              <w:rPr>
                <w:sz w:val="20"/>
              </w:rPr>
              <w:t>0.8</w:t>
            </w:r>
          </w:p>
        </w:tc>
      </w:tr>
      <w:tr w:rsidRPr="00522139" w:rsidR="00BD04AB">
        <w:trPr>
          <w:jc w:val="center"/>
        </w:trPr>
        <w:tc>
          <w:tcPr>
            <w:tcW w:w="1761" w:type="dxa"/>
          </w:tcPr>
          <w:p w:rsidRPr="00A2535E" w:rsidR="001B7E17" w:rsidP="0075736E" w:rsidRDefault="001B7E17">
            <w:pPr>
              <w:pStyle w:val="JuInitialled"/>
              <w:spacing w:before="0"/>
              <w:jc w:val="both"/>
              <w:rPr>
                <w:sz w:val="20"/>
              </w:rPr>
            </w:pPr>
            <w:r w:rsidRPr="00A2535E">
              <w:rPr>
                <w:sz w:val="20"/>
              </w:rPr>
              <w:t>Sulphurous anhydride</w:t>
            </w:r>
          </w:p>
        </w:tc>
        <w:tc>
          <w:tcPr>
            <w:tcW w:w="741" w:type="dxa"/>
            <w:shd w:val="clear" w:color="auto" w:fill="auto"/>
          </w:tcPr>
          <w:p w:rsidRPr="00A2535E" w:rsidR="001B7E17" w:rsidP="0075736E" w:rsidRDefault="001B7E17">
            <w:pPr>
              <w:pStyle w:val="JuInitialled"/>
              <w:spacing w:before="0"/>
              <w:rPr>
                <w:sz w:val="20"/>
              </w:rPr>
            </w:pPr>
            <w:r w:rsidRPr="00A2535E">
              <w:rPr>
                <w:sz w:val="20"/>
              </w:rPr>
              <w:t>0.08</w:t>
            </w:r>
          </w:p>
        </w:tc>
        <w:tc>
          <w:tcPr>
            <w:tcW w:w="684" w:type="dxa"/>
            <w:shd w:val="clear" w:color="auto" w:fill="auto"/>
          </w:tcPr>
          <w:p w:rsidRPr="00A2535E" w:rsidR="001B7E17" w:rsidP="0075736E" w:rsidRDefault="001B7E17">
            <w:pPr>
              <w:pStyle w:val="JuInitialled"/>
              <w:spacing w:before="0"/>
              <w:rPr>
                <w:sz w:val="20"/>
              </w:rPr>
            </w:pPr>
            <w:r w:rsidRPr="00A2535E">
              <w:rPr>
                <w:sz w:val="20"/>
              </w:rPr>
              <w:t>0.86</w:t>
            </w:r>
          </w:p>
        </w:tc>
        <w:tc>
          <w:tcPr>
            <w:tcW w:w="741" w:type="dxa"/>
            <w:shd w:val="clear" w:color="auto" w:fill="auto"/>
          </w:tcPr>
          <w:p w:rsidRPr="00A2535E" w:rsidR="001B7E17" w:rsidP="0075736E" w:rsidRDefault="001B7E17">
            <w:pPr>
              <w:pStyle w:val="JuInitialled"/>
              <w:spacing w:before="0"/>
              <w:rPr>
                <w:sz w:val="20"/>
              </w:rPr>
            </w:pPr>
            <w:r w:rsidRPr="00A2535E">
              <w:rPr>
                <w:sz w:val="20"/>
              </w:rPr>
              <w:t>0.04</w:t>
            </w:r>
          </w:p>
        </w:tc>
        <w:tc>
          <w:tcPr>
            <w:tcW w:w="684" w:type="dxa"/>
            <w:shd w:val="clear" w:color="auto" w:fill="auto"/>
          </w:tcPr>
          <w:p w:rsidRPr="00A2535E" w:rsidR="001B7E17" w:rsidP="0075736E" w:rsidRDefault="001B7E17">
            <w:pPr>
              <w:pStyle w:val="JuInitialled"/>
              <w:spacing w:before="0"/>
              <w:rPr>
                <w:sz w:val="20"/>
              </w:rPr>
            </w:pPr>
            <w:r w:rsidRPr="00A2535E">
              <w:rPr>
                <w:sz w:val="20"/>
              </w:rPr>
              <w:t>0.79</w:t>
            </w:r>
          </w:p>
        </w:tc>
        <w:tc>
          <w:tcPr>
            <w:tcW w:w="741" w:type="dxa"/>
            <w:shd w:val="clear" w:color="auto" w:fill="auto"/>
          </w:tcPr>
          <w:p w:rsidRPr="00A2535E" w:rsidR="001B7E17" w:rsidP="0075736E" w:rsidRDefault="001B7E17">
            <w:pPr>
              <w:pStyle w:val="JuInitialled"/>
              <w:spacing w:before="0"/>
              <w:rPr>
                <w:sz w:val="20"/>
              </w:rPr>
            </w:pPr>
            <w:r w:rsidRPr="00A2535E">
              <w:rPr>
                <w:sz w:val="20"/>
              </w:rPr>
              <w:t>0.03</w:t>
            </w:r>
          </w:p>
        </w:tc>
        <w:tc>
          <w:tcPr>
            <w:tcW w:w="684" w:type="dxa"/>
            <w:shd w:val="clear" w:color="auto" w:fill="auto"/>
          </w:tcPr>
          <w:p w:rsidRPr="00A2535E" w:rsidR="001B7E17" w:rsidP="0075736E" w:rsidRDefault="001B7E17">
            <w:pPr>
              <w:pStyle w:val="JuInitialled"/>
              <w:spacing w:before="0"/>
              <w:rPr>
                <w:sz w:val="20"/>
              </w:rPr>
            </w:pPr>
            <w:r w:rsidRPr="00A2535E">
              <w:rPr>
                <w:sz w:val="20"/>
              </w:rPr>
              <w:t>1.17</w:t>
            </w:r>
          </w:p>
        </w:tc>
        <w:tc>
          <w:tcPr>
            <w:tcW w:w="741" w:type="dxa"/>
            <w:shd w:val="clear" w:color="auto" w:fill="auto"/>
          </w:tcPr>
          <w:p w:rsidRPr="00A2535E" w:rsidR="001B7E17" w:rsidP="0075736E" w:rsidRDefault="001B7E17">
            <w:pPr>
              <w:pStyle w:val="JuInitialled"/>
              <w:spacing w:before="0"/>
              <w:rPr>
                <w:sz w:val="20"/>
              </w:rPr>
            </w:pPr>
            <w:r w:rsidRPr="00A2535E">
              <w:rPr>
                <w:sz w:val="20"/>
              </w:rPr>
              <w:t>0.004</w:t>
            </w:r>
          </w:p>
        </w:tc>
        <w:tc>
          <w:tcPr>
            <w:tcW w:w="684" w:type="dxa"/>
            <w:shd w:val="clear" w:color="auto" w:fill="auto"/>
          </w:tcPr>
          <w:p w:rsidRPr="00A2535E" w:rsidR="001B7E17" w:rsidP="0075736E" w:rsidRDefault="001B7E17">
            <w:pPr>
              <w:pStyle w:val="JuInitialled"/>
              <w:spacing w:before="0"/>
              <w:rPr>
                <w:sz w:val="20"/>
              </w:rPr>
            </w:pPr>
            <w:r w:rsidRPr="00A2535E">
              <w:rPr>
                <w:sz w:val="20"/>
              </w:rPr>
              <w:t>0.16</w:t>
            </w:r>
          </w:p>
        </w:tc>
        <w:tc>
          <w:tcPr>
            <w:tcW w:w="741" w:type="dxa"/>
            <w:shd w:val="clear" w:color="auto" w:fill="auto"/>
          </w:tcPr>
          <w:p w:rsidRPr="00A2535E" w:rsidR="001B7E17" w:rsidP="0075736E" w:rsidRDefault="001B7E17">
            <w:pPr>
              <w:pStyle w:val="JuInitialled"/>
              <w:spacing w:before="0"/>
              <w:rPr>
                <w:sz w:val="20"/>
              </w:rPr>
            </w:pPr>
            <w:r w:rsidRPr="00A2535E">
              <w:rPr>
                <w:sz w:val="20"/>
              </w:rPr>
              <w:t>0.004</w:t>
            </w:r>
          </w:p>
        </w:tc>
        <w:tc>
          <w:tcPr>
            <w:tcW w:w="684" w:type="dxa"/>
            <w:shd w:val="clear" w:color="auto" w:fill="auto"/>
          </w:tcPr>
          <w:p w:rsidRPr="00A2535E" w:rsidR="001B7E17" w:rsidP="0075736E" w:rsidRDefault="001B7E17">
            <w:pPr>
              <w:pStyle w:val="JuInitialled"/>
              <w:spacing w:before="0"/>
              <w:rPr>
                <w:sz w:val="20"/>
              </w:rPr>
            </w:pPr>
            <w:r w:rsidRPr="00A2535E">
              <w:rPr>
                <w:sz w:val="20"/>
              </w:rPr>
              <w:t>0.114</w:t>
            </w:r>
          </w:p>
        </w:tc>
      </w:tr>
      <w:tr w:rsidRPr="00522139" w:rsidR="00BD04AB">
        <w:trPr>
          <w:jc w:val="center"/>
        </w:trPr>
        <w:tc>
          <w:tcPr>
            <w:tcW w:w="1761" w:type="dxa"/>
          </w:tcPr>
          <w:p w:rsidRPr="00A2535E" w:rsidR="001B7E17" w:rsidP="0075736E" w:rsidRDefault="001B7E17">
            <w:pPr>
              <w:pStyle w:val="JuInitialled"/>
              <w:spacing w:before="0"/>
              <w:jc w:val="both"/>
              <w:rPr>
                <w:sz w:val="20"/>
              </w:rPr>
            </w:pPr>
            <w:r w:rsidRPr="00A2535E">
              <w:rPr>
                <w:sz w:val="20"/>
              </w:rPr>
              <w:t>Carbon oxide</w:t>
            </w:r>
          </w:p>
        </w:tc>
        <w:tc>
          <w:tcPr>
            <w:tcW w:w="741" w:type="dxa"/>
            <w:shd w:val="clear" w:color="auto" w:fill="auto"/>
          </w:tcPr>
          <w:p w:rsidRPr="00A2535E" w:rsidR="001B7E17" w:rsidP="0075736E" w:rsidRDefault="001B7E17">
            <w:pPr>
              <w:pStyle w:val="JuInitialled"/>
              <w:spacing w:before="0"/>
              <w:rPr>
                <w:sz w:val="20"/>
              </w:rPr>
            </w:pPr>
            <w:r w:rsidRPr="00A2535E">
              <w:rPr>
                <w:sz w:val="20"/>
              </w:rPr>
              <w:t>7</w:t>
            </w:r>
          </w:p>
        </w:tc>
        <w:tc>
          <w:tcPr>
            <w:tcW w:w="684" w:type="dxa"/>
            <w:shd w:val="clear" w:color="auto" w:fill="auto"/>
          </w:tcPr>
          <w:p w:rsidRPr="00A2535E" w:rsidR="001B7E17" w:rsidP="0075736E" w:rsidRDefault="001B7E17">
            <w:pPr>
              <w:pStyle w:val="JuInitialled"/>
              <w:spacing w:before="0"/>
              <w:rPr>
                <w:sz w:val="20"/>
              </w:rPr>
            </w:pPr>
            <w:r w:rsidRPr="00A2535E">
              <w:rPr>
                <w:sz w:val="20"/>
              </w:rPr>
              <w:t>20</w:t>
            </w:r>
          </w:p>
        </w:tc>
        <w:tc>
          <w:tcPr>
            <w:tcW w:w="741" w:type="dxa"/>
            <w:shd w:val="clear" w:color="auto" w:fill="auto"/>
          </w:tcPr>
          <w:p w:rsidRPr="00A2535E" w:rsidR="001B7E17" w:rsidP="0075736E" w:rsidRDefault="001B7E17">
            <w:pPr>
              <w:pStyle w:val="JuInitialled"/>
              <w:spacing w:before="0"/>
              <w:rPr>
                <w:sz w:val="20"/>
              </w:rPr>
            </w:pPr>
            <w:r w:rsidRPr="00A2535E">
              <w:rPr>
                <w:sz w:val="20"/>
              </w:rPr>
              <w:t>1</w:t>
            </w:r>
          </w:p>
        </w:tc>
        <w:tc>
          <w:tcPr>
            <w:tcW w:w="684" w:type="dxa"/>
            <w:shd w:val="clear" w:color="auto" w:fill="auto"/>
          </w:tcPr>
          <w:p w:rsidRPr="00A2535E" w:rsidR="001B7E17" w:rsidP="0075736E" w:rsidRDefault="001B7E17">
            <w:pPr>
              <w:pStyle w:val="JuInitialled"/>
              <w:spacing w:before="0"/>
              <w:rPr>
                <w:sz w:val="20"/>
              </w:rPr>
            </w:pPr>
            <w:r w:rsidRPr="00A2535E">
              <w:rPr>
                <w:sz w:val="20"/>
              </w:rPr>
              <w:t>7</w:t>
            </w:r>
          </w:p>
        </w:tc>
        <w:tc>
          <w:tcPr>
            <w:tcW w:w="741" w:type="dxa"/>
            <w:shd w:val="clear" w:color="auto" w:fill="auto"/>
          </w:tcPr>
          <w:p w:rsidRPr="00A2535E" w:rsidR="001B7E17" w:rsidP="0075736E" w:rsidRDefault="001B7E17">
            <w:pPr>
              <w:pStyle w:val="JuInitialled"/>
              <w:spacing w:before="0"/>
              <w:rPr>
                <w:sz w:val="20"/>
              </w:rPr>
            </w:pPr>
            <w:r w:rsidRPr="00A2535E">
              <w:rPr>
                <w:sz w:val="20"/>
              </w:rPr>
              <w:t>1</w:t>
            </w:r>
          </w:p>
        </w:tc>
        <w:tc>
          <w:tcPr>
            <w:tcW w:w="684" w:type="dxa"/>
            <w:shd w:val="clear" w:color="auto" w:fill="auto"/>
          </w:tcPr>
          <w:p w:rsidRPr="00A2535E" w:rsidR="001B7E17" w:rsidP="0075736E" w:rsidRDefault="001B7E17">
            <w:pPr>
              <w:pStyle w:val="JuInitialled"/>
              <w:spacing w:before="0"/>
              <w:rPr>
                <w:sz w:val="20"/>
              </w:rPr>
            </w:pPr>
            <w:r w:rsidRPr="00A2535E">
              <w:rPr>
                <w:sz w:val="20"/>
              </w:rPr>
              <w:t>16</w:t>
            </w:r>
          </w:p>
        </w:tc>
        <w:tc>
          <w:tcPr>
            <w:tcW w:w="741" w:type="dxa"/>
            <w:shd w:val="clear" w:color="auto" w:fill="auto"/>
          </w:tcPr>
          <w:p w:rsidRPr="00A2535E" w:rsidR="001B7E17" w:rsidP="0075736E" w:rsidRDefault="001B7E17">
            <w:pPr>
              <w:pStyle w:val="JuInitialled"/>
              <w:spacing w:before="0"/>
              <w:rPr>
                <w:sz w:val="20"/>
              </w:rPr>
            </w:pPr>
            <w:r w:rsidRPr="00A2535E">
              <w:rPr>
                <w:sz w:val="20"/>
              </w:rPr>
              <w:t>1</w:t>
            </w:r>
          </w:p>
        </w:tc>
        <w:tc>
          <w:tcPr>
            <w:tcW w:w="684" w:type="dxa"/>
            <w:shd w:val="clear" w:color="auto" w:fill="auto"/>
          </w:tcPr>
          <w:p w:rsidRPr="00A2535E" w:rsidR="001B7E17" w:rsidP="0075736E" w:rsidRDefault="001B7E17">
            <w:pPr>
              <w:pStyle w:val="JuInitialled"/>
              <w:spacing w:before="0"/>
              <w:rPr>
                <w:sz w:val="20"/>
              </w:rPr>
            </w:pPr>
            <w:r w:rsidRPr="00A2535E">
              <w:rPr>
                <w:sz w:val="20"/>
              </w:rPr>
              <w:t>7</w:t>
            </w:r>
          </w:p>
        </w:tc>
        <w:tc>
          <w:tcPr>
            <w:tcW w:w="741" w:type="dxa"/>
            <w:shd w:val="clear" w:color="auto" w:fill="auto"/>
          </w:tcPr>
          <w:p w:rsidRPr="00A2535E" w:rsidR="001B7E17" w:rsidP="0075736E" w:rsidRDefault="001B7E17">
            <w:pPr>
              <w:pStyle w:val="JuInitialled"/>
              <w:spacing w:before="0"/>
              <w:rPr>
                <w:sz w:val="20"/>
              </w:rPr>
            </w:pPr>
            <w:r w:rsidRPr="00A2535E">
              <w:rPr>
                <w:sz w:val="20"/>
              </w:rPr>
              <w:t>1</w:t>
            </w:r>
          </w:p>
        </w:tc>
        <w:tc>
          <w:tcPr>
            <w:tcW w:w="684" w:type="dxa"/>
            <w:shd w:val="clear" w:color="auto" w:fill="auto"/>
          </w:tcPr>
          <w:p w:rsidRPr="00A2535E" w:rsidR="001B7E17" w:rsidP="0075736E" w:rsidRDefault="001B7E17">
            <w:pPr>
              <w:pStyle w:val="JuInitialled"/>
              <w:spacing w:before="0"/>
              <w:rPr>
                <w:sz w:val="20"/>
              </w:rPr>
            </w:pPr>
            <w:r w:rsidRPr="00A2535E">
              <w:rPr>
                <w:sz w:val="20"/>
              </w:rPr>
              <w:t>18</w:t>
            </w:r>
          </w:p>
        </w:tc>
      </w:tr>
      <w:tr w:rsidRPr="00522139" w:rsidR="00BD04AB">
        <w:trPr>
          <w:jc w:val="center"/>
        </w:trPr>
        <w:tc>
          <w:tcPr>
            <w:tcW w:w="1761" w:type="dxa"/>
          </w:tcPr>
          <w:p w:rsidRPr="00A2535E" w:rsidR="001B7E17" w:rsidP="0075736E" w:rsidRDefault="004A30BA">
            <w:pPr>
              <w:pStyle w:val="JuInitialled"/>
              <w:spacing w:before="0"/>
              <w:jc w:val="both"/>
              <w:rPr>
                <w:sz w:val="20"/>
              </w:rPr>
            </w:pPr>
            <w:r w:rsidRPr="00A2535E">
              <w:rPr>
                <w:sz w:val="20"/>
              </w:rPr>
              <w:t xml:space="preserve">Nitrogen </w:t>
            </w:r>
            <w:r w:rsidRPr="00A2535E" w:rsidR="001B7E17">
              <w:rPr>
                <w:sz w:val="20"/>
              </w:rPr>
              <w:t>dioxide</w:t>
            </w:r>
          </w:p>
        </w:tc>
        <w:tc>
          <w:tcPr>
            <w:tcW w:w="741" w:type="dxa"/>
            <w:shd w:val="clear" w:color="auto" w:fill="auto"/>
          </w:tcPr>
          <w:p w:rsidRPr="00A2535E" w:rsidR="001B7E17" w:rsidP="0075736E" w:rsidRDefault="001B7E17">
            <w:pPr>
              <w:pStyle w:val="JuInitialled"/>
              <w:spacing w:before="0"/>
              <w:rPr>
                <w:sz w:val="20"/>
              </w:rPr>
            </w:pPr>
            <w:r w:rsidRPr="00A2535E">
              <w:rPr>
                <w:sz w:val="20"/>
              </w:rPr>
              <w:t>0.07</w:t>
            </w:r>
          </w:p>
        </w:tc>
        <w:tc>
          <w:tcPr>
            <w:tcW w:w="684" w:type="dxa"/>
            <w:shd w:val="clear" w:color="auto" w:fill="auto"/>
          </w:tcPr>
          <w:p w:rsidRPr="00A2535E" w:rsidR="001B7E17" w:rsidP="0075736E" w:rsidRDefault="001B7E17">
            <w:pPr>
              <w:pStyle w:val="JuInitialled"/>
              <w:spacing w:before="0"/>
              <w:rPr>
                <w:sz w:val="20"/>
              </w:rPr>
            </w:pPr>
            <w:r w:rsidRPr="00A2535E">
              <w:rPr>
                <w:sz w:val="20"/>
              </w:rPr>
              <w:t>0.65</w:t>
            </w:r>
          </w:p>
        </w:tc>
        <w:tc>
          <w:tcPr>
            <w:tcW w:w="741" w:type="dxa"/>
            <w:shd w:val="clear" w:color="auto" w:fill="auto"/>
          </w:tcPr>
          <w:p w:rsidRPr="00A2535E" w:rsidR="001B7E17" w:rsidP="0075736E" w:rsidRDefault="001B7E17">
            <w:pPr>
              <w:pStyle w:val="JuInitialled"/>
              <w:spacing w:before="0"/>
              <w:rPr>
                <w:sz w:val="20"/>
              </w:rPr>
            </w:pPr>
            <w:r w:rsidRPr="00A2535E">
              <w:rPr>
                <w:sz w:val="20"/>
              </w:rPr>
              <w:t>0.04</w:t>
            </w:r>
          </w:p>
        </w:tc>
        <w:tc>
          <w:tcPr>
            <w:tcW w:w="684" w:type="dxa"/>
            <w:shd w:val="clear" w:color="auto" w:fill="auto"/>
          </w:tcPr>
          <w:p w:rsidRPr="00A2535E" w:rsidR="001B7E17" w:rsidP="0075736E" w:rsidRDefault="001B7E17">
            <w:pPr>
              <w:pStyle w:val="JuInitialled"/>
              <w:spacing w:before="0"/>
              <w:rPr>
                <w:sz w:val="20"/>
              </w:rPr>
            </w:pPr>
            <w:r w:rsidRPr="00A2535E">
              <w:rPr>
                <w:sz w:val="20"/>
              </w:rPr>
              <w:t>0.31</w:t>
            </w:r>
          </w:p>
        </w:tc>
        <w:tc>
          <w:tcPr>
            <w:tcW w:w="741" w:type="dxa"/>
            <w:shd w:val="clear" w:color="auto" w:fill="auto"/>
          </w:tcPr>
          <w:p w:rsidRPr="00A2535E" w:rsidR="001B7E17" w:rsidP="0075736E" w:rsidRDefault="001B7E17">
            <w:pPr>
              <w:pStyle w:val="JuInitialled"/>
              <w:spacing w:before="0"/>
              <w:rPr>
                <w:sz w:val="20"/>
              </w:rPr>
            </w:pPr>
            <w:r w:rsidRPr="00A2535E">
              <w:rPr>
                <w:sz w:val="20"/>
              </w:rPr>
              <w:t>0.04</w:t>
            </w:r>
          </w:p>
        </w:tc>
        <w:tc>
          <w:tcPr>
            <w:tcW w:w="684" w:type="dxa"/>
            <w:shd w:val="clear" w:color="auto" w:fill="auto"/>
          </w:tcPr>
          <w:p w:rsidRPr="00A2535E" w:rsidR="001B7E17" w:rsidP="0075736E" w:rsidRDefault="001B7E17">
            <w:pPr>
              <w:pStyle w:val="JuInitialled"/>
              <w:spacing w:before="0"/>
              <w:rPr>
                <w:sz w:val="20"/>
              </w:rPr>
            </w:pPr>
            <w:r w:rsidRPr="00A2535E">
              <w:rPr>
                <w:sz w:val="20"/>
              </w:rPr>
              <w:t>0.23</w:t>
            </w:r>
          </w:p>
        </w:tc>
        <w:tc>
          <w:tcPr>
            <w:tcW w:w="741" w:type="dxa"/>
            <w:shd w:val="clear" w:color="auto" w:fill="auto"/>
          </w:tcPr>
          <w:p w:rsidRPr="00A2535E" w:rsidR="001B7E17" w:rsidP="0075736E" w:rsidRDefault="001B7E17">
            <w:pPr>
              <w:pStyle w:val="JuInitialled"/>
              <w:spacing w:before="0"/>
              <w:rPr>
                <w:sz w:val="20"/>
              </w:rPr>
            </w:pPr>
            <w:r w:rsidRPr="00A2535E">
              <w:rPr>
                <w:sz w:val="20"/>
              </w:rPr>
              <w:t>0.02</w:t>
            </w:r>
          </w:p>
        </w:tc>
        <w:tc>
          <w:tcPr>
            <w:tcW w:w="684" w:type="dxa"/>
            <w:shd w:val="clear" w:color="auto" w:fill="auto"/>
          </w:tcPr>
          <w:p w:rsidRPr="00A2535E" w:rsidR="001B7E17" w:rsidP="0075736E" w:rsidRDefault="001B7E17">
            <w:pPr>
              <w:pStyle w:val="JuInitialled"/>
              <w:spacing w:before="0"/>
              <w:rPr>
                <w:sz w:val="20"/>
              </w:rPr>
            </w:pPr>
            <w:r w:rsidRPr="00A2535E">
              <w:rPr>
                <w:sz w:val="20"/>
              </w:rPr>
              <w:t>0.16</w:t>
            </w:r>
          </w:p>
        </w:tc>
        <w:tc>
          <w:tcPr>
            <w:tcW w:w="741" w:type="dxa"/>
            <w:shd w:val="clear" w:color="auto" w:fill="auto"/>
          </w:tcPr>
          <w:p w:rsidRPr="00A2535E" w:rsidR="001B7E17" w:rsidP="0075736E" w:rsidRDefault="001B7E17">
            <w:pPr>
              <w:pStyle w:val="JuInitialled"/>
              <w:spacing w:before="0"/>
              <w:rPr>
                <w:sz w:val="20"/>
              </w:rPr>
            </w:pPr>
            <w:r w:rsidRPr="00A2535E">
              <w:rPr>
                <w:sz w:val="20"/>
              </w:rPr>
              <w:t>0.03</w:t>
            </w:r>
          </w:p>
        </w:tc>
        <w:tc>
          <w:tcPr>
            <w:tcW w:w="684" w:type="dxa"/>
            <w:shd w:val="clear" w:color="auto" w:fill="auto"/>
          </w:tcPr>
          <w:p w:rsidRPr="00A2535E" w:rsidR="001B7E17" w:rsidP="0075736E" w:rsidRDefault="001B7E17">
            <w:pPr>
              <w:pStyle w:val="JuInitialled"/>
              <w:spacing w:before="0"/>
              <w:rPr>
                <w:sz w:val="20"/>
              </w:rPr>
            </w:pPr>
            <w:r w:rsidRPr="00A2535E">
              <w:rPr>
                <w:sz w:val="20"/>
              </w:rPr>
              <w:t>0.45</w:t>
            </w:r>
          </w:p>
        </w:tc>
      </w:tr>
      <w:tr w:rsidRPr="00522139" w:rsidR="00BD04AB">
        <w:trPr>
          <w:jc w:val="center"/>
        </w:trPr>
        <w:tc>
          <w:tcPr>
            <w:tcW w:w="1761" w:type="dxa"/>
          </w:tcPr>
          <w:p w:rsidRPr="00A2535E" w:rsidR="001B7E17" w:rsidP="0075736E" w:rsidRDefault="004A30BA">
            <w:pPr>
              <w:pStyle w:val="JuInitialled"/>
              <w:spacing w:before="0"/>
              <w:jc w:val="both"/>
              <w:rPr>
                <w:sz w:val="20"/>
              </w:rPr>
            </w:pPr>
            <w:r w:rsidRPr="00A2535E">
              <w:rPr>
                <w:sz w:val="20"/>
              </w:rPr>
              <w:t xml:space="preserve">Nitrogen </w:t>
            </w:r>
            <w:r w:rsidRPr="00A2535E" w:rsidR="001B7E17">
              <w:rPr>
                <w:sz w:val="20"/>
              </w:rPr>
              <w:t>oxide</w:t>
            </w:r>
          </w:p>
        </w:tc>
        <w:tc>
          <w:tcPr>
            <w:tcW w:w="741" w:type="dxa"/>
            <w:shd w:val="clear" w:color="auto" w:fill="auto"/>
          </w:tcPr>
          <w:p w:rsidRPr="00A2535E" w:rsidR="001B7E17" w:rsidP="0075736E" w:rsidRDefault="0075736E">
            <w:pPr>
              <w:pStyle w:val="JuInitialled"/>
              <w:spacing w:before="0"/>
              <w:rPr>
                <w:sz w:val="20"/>
              </w:rPr>
            </w:pPr>
            <w:r>
              <w:rPr>
                <w:sz w:val="20"/>
              </w:rPr>
              <w:t>–</w:t>
            </w:r>
          </w:p>
        </w:tc>
        <w:tc>
          <w:tcPr>
            <w:tcW w:w="684" w:type="dxa"/>
            <w:shd w:val="clear" w:color="auto" w:fill="auto"/>
          </w:tcPr>
          <w:p w:rsidRPr="00A2535E" w:rsidR="001B7E17" w:rsidP="0075736E" w:rsidRDefault="0075736E">
            <w:pPr>
              <w:pStyle w:val="JuInitialled"/>
              <w:spacing w:before="0"/>
              <w:rPr>
                <w:sz w:val="20"/>
              </w:rPr>
            </w:pPr>
            <w:r>
              <w:rPr>
                <w:sz w:val="20"/>
              </w:rPr>
              <w:t>–</w:t>
            </w:r>
          </w:p>
        </w:tc>
        <w:tc>
          <w:tcPr>
            <w:tcW w:w="741" w:type="dxa"/>
            <w:shd w:val="clear" w:color="auto" w:fill="auto"/>
          </w:tcPr>
          <w:p w:rsidRPr="00A2535E" w:rsidR="001B7E17" w:rsidP="0075736E" w:rsidRDefault="001B7E17">
            <w:pPr>
              <w:pStyle w:val="JuInitialled"/>
              <w:spacing w:before="0"/>
              <w:rPr>
                <w:sz w:val="20"/>
              </w:rPr>
            </w:pPr>
            <w:r w:rsidRPr="00A2535E">
              <w:rPr>
                <w:sz w:val="20"/>
              </w:rPr>
              <w:t>0.07</w:t>
            </w:r>
          </w:p>
        </w:tc>
        <w:tc>
          <w:tcPr>
            <w:tcW w:w="684" w:type="dxa"/>
            <w:shd w:val="clear" w:color="auto" w:fill="auto"/>
          </w:tcPr>
          <w:p w:rsidRPr="00A2535E" w:rsidR="001B7E17" w:rsidP="0075736E" w:rsidRDefault="001B7E17">
            <w:pPr>
              <w:pStyle w:val="JuInitialled"/>
              <w:spacing w:before="0"/>
              <w:rPr>
                <w:sz w:val="20"/>
              </w:rPr>
            </w:pPr>
            <w:r w:rsidRPr="00A2535E">
              <w:rPr>
                <w:sz w:val="20"/>
              </w:rPr>
              <w:t>0.058</w:t>
            </w:r>
          </w:p>
        </w:tc>
        <w:tc>
          <w:tcPr>
            <w:tcW w:w="741" w:type="dxa"/>
            <w:shd w:val="clear" w:color="auto" w:fill="auto"/>
          </w:tcPr>
          <w:p w:rsidRPr="00A2535E" w:rsidR="001B7E17" w:rsidP="0075736E" w:rsidRDefault="00030B70">
            <w:pPr>
              <w:pStyle w:val="JuInitialled"/>
              <w:spacing w:before="0"/>
              <w:rPr>
                <w:sz w:val="20"/>
              </w:rPr>
            </w:pPr>
            <w:r w:rsidRPr="00A2535E">
              <w:rPr>
                <w:sz w:val="20"/>
              </w:rPr>
              <w:t>0.05</w:t>
            </w:r>
          </w:p>
        </w:tc>
        <w:tc>
          <w:tcPr>
            <w:tcW w:w="684" w:type="dxa"/>
            <w:shd w:val="clear" w:color="auto" w:fill="auto"/>
          </w:tcPr>
          <w:p w:rsidRPr="00A2535E" w:rsidR="001B7E17" w:rsidP="0075736E" w:rsidRDefault="00030B70">
            <w:pPr>
              <w:pStyle w:val="JuInitialled"/>
              <w:spacing w:before="0"/>
              <w:rPr>
                <w:sz w:val="20"/>
              </w:rPr>
            </w:pPr>
            <w:r w:rsidRPr="00A2535E">
              <w:rPr>
                <w:sz w:val="20"/>
              </w:rPr>
              <w:t>0.43</w:t>
            </w:r>
          </w:p>
        </w:tc>
        <w:tc>
          <w:tcPr>
            <w:tcW w:w="741" w:type="dxa"/>
            <w:shd w:val="clear" w:color="auto" w:fill="auto"/>
          </w:tcPr>
          <w:p w:rsidRPr="00A2535E" w:rsidR="001B7E17" w:rsidP="0075736E" w:rsidRDefault="00030B70">
            <w:pPr>
              <w:pStyle w:val="JuInitialled"/>
              <w:spacing w:before="0"/>
              <w:rPr>
                <w:sz w:val="20"/>
              </w:rPr>
            </w:pPr>
            <w:r w:rsidRPr="00A2535E">
              <w:rPr>
                <w:sz w:val="20"/>
              </w:rPr>
              <w:t>0.02</w:t>
            </w:r>
          </w:p>
        </w:tc>
        <w:tc>
          <w:tcPr>
            <w:tcW w:w="684" w:type="dxa"/>
            <w:shd w:val="clear" w:color="auto" w:fill="auto"/>
          </w:tcPr>
          <w:p w:rsidRPr="00A2535E" w:rsidR="001B7E17" w:rsidP="0075736E" w:rsidRDefault="00030B70">
            <w:pPr>
              <w:pStyle w:val="JuInitialled"/>
              <w:spacing w:before="0"/>
              <w:rPr>
                <w:sz w:val="20"/>
              </w:rPr>
            </w:pPr>
            <w:r w:rsidRPr="00A2535E">
              <w:rPr>
                <w:sz w:val="20"/>
              </w:rPr>
              <w:t>0.30</w:t>
            </w:r>
          </w:p>
        </w:tc>
        <w:tc>
          <w:tcPr>
            <w:tcW w:w="741" w:type="dxa"/>
            <w:shd w:val="clear" w:color="auto" w:fill="auto"/>
          </w:tcPr>
          <w:p w:rsidRPr="00A2535E" w:rsidR="001B7E17" w:rsidP="0075736E" w:rsidRDefault="00030B70">
            <w:pPr>
              <w:pStyle w:val="JuInitialled"/>
              <w:spacing w:before="0"/>
              <w:rPr>
                <w:sz w:val="20"/>
              </w:rPr>
            </w:pPr>
            <w:r w:rsidRPr="00A2535E">
              <w:rPr>
                <w:sz w:val="20"/>
              </w:rPr>
              <w:t>0.03</w:t>
            </w:r>
          </w:p>
        </w:tc>
        <w:tc>
          <w:tcPr>
            <w:tcW w:w="684" w:type="dxa"/>
            <w:shd w:val="clear" w:color="auto" w:fill="auto"/>
          </w:tcPr>
          <w:p w:rsidRPr="00A2535E" w:rsidR="001B7E17" w:rsidP="0075736E" w:rsidRDefault="00030B70">
            <w:pPr>
              <w:pStyle w:val="JuInitialled"/>
              <w:spacing w:before="0"/>
              <w:rPr>
                <w:sz w:val="20"/>
              </w:rPr>
            </w:pPr>
            <w:r w:rsidRPr="00A2535E">
              <w:rPr>
                <w:sz w:val="20"/>
              </w:rPr>
              <w:t>1.02</w:t>
            </w:r>
          </w:p>
        </w:tc>
      </w:tr>
      <w:tr w:rsidRPr="00522139" w:rsidR="0075736E">
        <w:trPr>
          <w:jc w:val="center"/>
        </w:trPr>
        <w:tc>
          <w:tcPr>
            <w:tcW w:w="1761" w:type="dxa"/>
          </w:tcPr>
          <w:p w:rsidRPr="00A2535E" w:rsidR="0075736E" w:rsidP="0075736E" w:rsidRDefault="0075736E">
            <w:pPr>
              <w:pStyle w:val="JuInitialled"/>
              <w:spacing w:before="0"/>
              <w:jc w:val="both"/>
              <w:rPr>
                <w:sz w:val="20"/>
              </w:rPr>
            </w:pPr>
            <w:r w:rsidRPr="00A2535E">
              <w:rPr>
                <w:sz w:val="20"/>
              </w:rPr>
              <w:t>Hydrogen sulphide</w:t>
            </w:r>
          </w:p>
        </w:tc>
        <w:tc>
          <w:tcPr>
            <w:tcW w:w="741" w:type="dxa"/>
            <w:shd w:val="clear" w:color="auto" w:fill="auto"/>
          </w:tcPr>
          <w:p w:rsidRPr="00A2535E" w:rsidR="0075736E" w:rsidP="0075736E" w:rsidRDefault="0075736E">
            <w:pPr>
              <w:pStyle w:val="JuInitialled"/>
              <w:spacing w:before="0"/>
              <w:rPr>
                <w:sz w:val="20"/>
              </w:rPr>
            </w:pPr>
            <w:r>
              <w:rPr>
                <w:sz w:val="20"/>
              </w:rPr>
              <w:t>–</w:t>
            </w:r>
          </w:p>
        </w:tc>
        <w:tc>
          <w:tcPr>
            <w:tcW w:w="684" w:type="dxa"/>
            <w:shd w:val="clear" w:color="auto" w:fill="auto"/>
          </w:tcPr>
          <w:p w:rsidR="0075736E" w:rsidP="0075736E" w:rsidRDefault="0075736E">
            <w:pPr>
              <w:jc w:val="right"/>
            </w:pPr>
            <w:r w:rsidRPr="00A67B66">
              <w:rPr>
                <w:sz w:val="20"/>
              </w:rPr>
              <w:t>–</w:t>
            </w:r>
          </w:p>
        </w:tc>
        <w:tc>
          <w:tcPr>
            <w:tcW w:w="741" w:type="dxa"/>
            <w:shd w:val="clear" w:color="auto" w:fill="auto"/>
          </w:tcPr>
          <w:p w:rsidRPr="00A2535E" w:rsidR="0075736E" w:rsidP="0075736E" w:rsidRDefault="0075736E">
            <w:pPr>
              <w:pStyle w:val="JuInitialled"/>
              <w:spacing w:before="0"/>
              <w:rPr>
                <w:sz w:val="20"/>
              </w:rPr>
            </w:pPr>
            <w:r w:rsidRPr="00A2535E">
              <w:rPr>
                <w:sz w:val="20"/>
              </w:rPr>
              <w:t>0.006</w:t>
            </w:r>
          </w:p>
        </w:tc>
        <w:tc>
          <w:tcPr>
            <w:tcW w:w="684" w:type="dxa"/>
            <w:shd w:val="clear" w:color="auto" w:fill="auto"/>
          </w:tcPr>
          <w:p w:rsidRPr="00A2535E" w:rsidR="0075736E" w:rsidP="0075736E" w:rsidRDefault="0075736E">
            <w:pPr>
              <w:pStyle w:val="JuInitialled"/>
              <w:spacing w:before="0"/>
              <w:rPr>
                <w:sz w:val="20"/>
              </w:rPr>
            </w:pPr>
            <w:r w:rsidRPr="00A2535E">
              <w:rPr>
                <w:sz w:val="20"/>
              </w:rPr>
              <w:t>0.058</w:t>
            </w:r>
          </w:p>
        </w:tc>
        <w:tc>
          <w:tcPr>
            <w:tcW w:w="741" w:type="dxa"/>
            <w:shd w:val="clear" w:color="auto" w:fill="auto"/>
          </w:tcPr>
          <w:p w:rsidRPr="00A2535E" w:rsidR="0075736E" w:rsidP="0075736E" w:rsidRDefault="0075736E">
            <w:pPr>
              <w:pStyle w:val="JuInitialled"/>
              <w:spacing w:before="0"/>
              <w:rPr>
                <w:sz w:val="20"/>
              </w:rPr>
            </w:pPr>
            <w:r w:rsidRPr="00A2535E">
              <w:rPr>
                <w:sz w:val="20"/>
              </w:rPr>
              <w:t>0.002</w:t>
            </w:r>
          </w:p>
        </w:tc>
        <w:tc>
          <w:tcPr>
            <w:tcW w:w="684" w:type="dxa"/>
            <w:shd w:val="clear" w:color="auto" w:fill="auto"/>
          </w:tcPr>
          <w:p w:rsidRPr="00A2535E" w:rsidR="0075736E" w:rsidP="0075736E" w:rsidRDefault="0075736E">
            <w:pPr>
              <w:pStyle w:val="JuInitialled"/>
              <w:spacing w:before="0"/>
              <w:rPr>
                <w:sz w:val="20"/>
              </w:rPr>
            </w:pPr>
            <w:r w:rsidRPr="00A2535E">
              <w:rPr>
                <w:sz w:val="20"/>
              </w:rPr>
              <w:t>0.029</w:t>
            </w:r>
          </w:p>
        </w:tc>
        <w:tc>
          <w:tcPr>
            <w:tcW w:w="741" w:type="dxa"/>
            <w:shd w:val="clear" w:color="auto" w:fill="auto"/>
          </w:tcPr>
          <w:p w:rsidRPr="00A2535E" w:rsidR="0075736E" w:rsidP="0075736E" w:rsidRDefault="0075736E">
            <w:pPr>
              <w:pStyle w:val="JuInitialled"/>
              <w:spacing w:before="0"/>
              <w:rPr>
                <w:sz w:val="20"/>
              </w:rPr>
            </w:pPr>
            <w:r w:rsidRPr="00A2535E">
              <w:rPr>
                <w:sz w:val="20"/>
              </w:rPr>
              <w:t>0.002</w:t>
            </w:r>
          </w:p>
        </w:tc>
        <w:tc>
          <w:tcPr>
            <w:tcW w:w="684" w:type="dxa"/>
            <w:shd w:val="clear" w:color="auto" w:fill="auto"/>
          </w:tcPr>
          <w:p w:rsidRPr="00A2535E" w:rsidR="0075736E" w:rsidP="0075736E" w:rsidRDefault="0075736E">
            <w:pPr>
              <w:pStyle w:val="JuInitialled"/>
              <w:spacing w:before="0"/>
              <w:rPr>
                <w:sz w:val="20"/>
              </w:rPr>
            </w:pPr>
            <w:r w:rsidRPr="00A2535E">
              <w:rPr>
                <w:sz w:val="20"/>
              </w:rPr>
              <w:t>0.023</w:t>
            </w:r>
          </w:p>
        </w:tc>
        <w:tc>
          <w:tcPr>
            <w:tcW w:w="741" w:type="dxa"/>
            <w:shd w:val="clear" w:color="auto" w:fill="auto"/>
          </w:tcPr>
          <w:p w:rsidRPr="00A2535E" w:rsidR="0075736E" w:rsidP="0075736E" w:rsidRDefault="0075736E">
            <w:pPr>
              <w:pStyle w:val="JuInitialled"/>
              <w:spacing w:before="0"/>
              <w:rPr>
                <w:sz w:val="20"/>
              </w:rPr>
            </w:pPr>
            <w:r w:rsidRPr="00A2535E">
              <w:rPr>
                <w:sz w:val="20"/>
              </w:rPr>
              <w:t>0.001</w:t>
            </w:r>
          </w:p>
        </w:tc>
        <w:tc>
          <w:tcPr>
            <w:tcW w:w="684" w:type="dxa"/>
            <w:shd w:val="clear" w:color="auto" w:fill="auto"/>
          </w:tcPr>
          <w:p w:rsidRPr="00A2535E" w:rsidR="0075736E" w:rsidP="0075736E" w:rsidRDefault="0075736E">
            <w:pPr>
              <w:pStyle w:val="JuInitialled"/>
              <w:spacing w:before="0"/>
              <w:rPr>
                <w:sz w:val="20"/>
              </w:rPr>
            </w:pPr>
            <w:r w:rsidRPr="00A2535E">
              <w:rPr>
                <w:sz w:val="20"/>
              </w:rPr>
              <w:t>0.013</w:t>
            </w:r>
          </w:p>
        </w:tc>
      </w:tr>
      <w:tr w:rsidRPr="00522139" w:rsidR="0075736E">
        <w:trPr>
          <w:jc w:val="center"/>
        </w:trPr>
        <w:tc>
          <w:tcPr>
            <w:tcW w:w="1761" w:type="dxa"/>
          </w:tcPr>
          <w:p w:rsidRPr="00A2535E" w:rsidR="0075736E" w:rsidP="0075736E" w:rsidRDefault="0075736E">
            <w:pPr>
              <w:pStyle w:val="JuInitialled"/>
              <w:spacing w:before="0"/>
              <w:jc w:val="both"/>
              <w:rPr>
                <w:sz w:val="20"/>
              </w:rPr>
            </w:pPr>
            <w:r w:rsidRPr="00A2535E">
              <w:rPr>
                <w:sz w:val="20"/>
              </w:rPr>
              <w:t>Carbon disulphide</w:t>
            </w:r>
          </w:p>
        </w:tc>
        <w:tc>
          <w:tcPr>
            <w:tcW w:w="741" w:type="dxa"/>
            <w:shd w:val="clear" w:color="auto" w:fill="auto"/>
          </w:tcPr>
          <w:p w:rsidR="0075736E" w:rsidP="0075736E" w:rsidRDefault="0075736E">
            <w:pPr>
              <w:jc w:val="right"/>
            </w:pPr>
            <w:r w:rsidRPr="0079361E">
              <w:rPr>
                <w:sz w:val="20"/>
              </w:rPr>
              <w:t>–</w:t>
            </w:r>
          </w:p>
        </w:tc>
        <w:tc>
          <w:tcPr>
            <w:tcW w:w="684" w:type="dxa"/>
            <w:shd w:val="clear" w:color="auto" w:fill="auto"/>
          </w:tcPr>
          <w:p w:rsidR="0075736E" w:rsidP="0075736E" w:rsidRDefault="0075736E">
            <w:pPr>
              <w:jc w:val="right"/>
            </w:pPr>
            <w:r w:rsidRPr="00A67B66">
              <w:rPr>
                <w:sz w:val="20"/>
              </w:rPr>
              <w:t>–</w:t>
            </w:r>
          </w:p>
        </w:tc>
        <w:tc>
          <w:tcPr>
            <w:tcW w:w="741" w:type="dxa"/>
            <w:shd w:val="clear" w:color="auto" w:fill="auto"/>
          </w:tcPr>
          <w:p w:rsidR="0075736E" w:rsidP="0075736E" w:rsidRDefault="0075736E">
            <w:pPr>
              <w:jc w:val="right"/>
            </w:pPr>
            <w:r w:rsidRPr="00850BF9">
              <w:rPr>
                <w:sz w:val="20"/>
              </w:rPr>
              <w:t>–</w:t>
            </w:r>
          </w:p>
        </w:tc>
        <w:tc>
          <w:tcPr>
            <w:tcW w:w="684" w:type="dxa"/>
            <w:shd w:val="clear" w:color="auto" w:fill="auto"/>
          </w:tcPr>
          <w:p w:rsidR="0075736E" w:rsidP="0075736E" w:rsidRDefault="0075736E">
            <w:pPr>
              <w:jc w:val="right"/>
            </w:pPr>
            <w:r w:rsidRPr="00850BF9">
              <w:rPr>
                <w:sz w:val="20"/>
              </w:rPr>
              <w:t>–</w:t>
            </w:r>
          </w:p>
        </w:tc>
        <w:tc>
          <w:tcPr>
            <w:tcW w:w="741" w:type="dxa"/>
            <w:shd w:val="clear" w:color="auto" w:fill="auto"/>
          </w:tcPr>
          <w:p w:rsidR="0075736E" w:rsidP="0075736E" w:rsidRDefault="0075736E">
            <w:pPr>
              <w:jc w:val="right"/>
            </w:pPr>
            <w:r w:rsidRPr="00850BF9">
              <w:rPr>
                <w:sz w:val="20"/>
              </w:rPr>
              <w:t>–</w:t>
            </w:r>
          </w:p>
        </w:tc>
        <w:tc>
          <w:tcPr>
            <w:tcW w:w="684" w:type="dxa"/>
            <w:shd w:val="clear" w:color="auto" w:fill="auto"/>
          </w:tcPr>
          <w:p w:rsidR="0075736E" w:rsidP="0075736E" w:rsidRDefault="0075736E">
            <w:pPr>
              <w:jc w:val="right"/>
            </w:pPr>
            <w:r w:rsidRPr="00850BF9">
              <w:rPr>
                <w:sz w:val="20"/>
              </w:rPr>
              <w:t>–</w:t>
            </w:r>
          </w:p>
        </w:tc>
        <w:tc>
          <w:tcPr>
            <w:tcW w:w="741" w:type="dxa"/>
            <w:shd w:val="clear" w:color="auto" w:fill="auto"/>
          </w:tcPr>
          <w:p w:rsidRPr="00A2535E" w:rsidR="0075736E" w:rsidP="0075736E" w:rsidRDefault="0075736E">
            <w:pPr>
              <w:pStyle w:val="JuInitialled"/>
              <w:spacing w:before="0"/>
              <w:rPr>
                <w:sz w:val="20"/>
              </w:rPr>
            </w:pPr>
            <w:r w:rsidRPr="00A2535E">
              <w:rPr>
                <w:sz w:val="20"/>
              </w:rPr>
              <w:t>0.011</w:t>
            </w:r>
          </w:p>
        </w:tc>
        <w:tc>
          <w:tcPr>
            <w:tcW w:w="684" w:type="dxa"/>
            <w:shd w:val="clear" w:color="auto" w:fill="auto"/>
          </w:tcPr>
          <w:p w:rsidRPr="00A2535E" w:rsidR="0075736E" w:rsidP="0075736E" w:rsidRDefault="0075736E">
            <w:pPr>
              <w:pStyle w:val="JuInitialled"/>
              <w:spacing w:before="0"/>
              <w:rPr>
                <w:sz w:val="20"/>
              </w:rPr>
            </w:pPr>
            <w:r w:rsidRPr="00A2535E">
              <w:rPr>
                <w:sz w:val="20"/>
              </w:rPr>
              <w:t>0.076</w:t>
            </w:r>
          </w:p>
        </w:tc>
        <w:tc>
          <w:tcPr>
            <w:tcW w:w="741" w:type="dxa"/>
            <w:shd w:val="clear" w:color="auto" w:fill="auto"/>
          </w:tcPr>
          <w:p w:rsidRPr="00A2535E" w:rsidR="0075736E" w:rsidP="0075736E" w:rsidRDefault="0075736E">
            <w:pPr>
              <w:pStyle w:val="JuInitialled"/>
              <w:spacing w:before="0"/>
              <w:rPr>
                <w:sz w:val="20"/>
              </w:rPr>
            </w:pPr>
            <w:r w:rsidRPr="00A2535E">
              <w:rPr>
                <w:sz w:val="20"/>
              </w:rPr>
              <w:t>0.006</w:t>
            </w:r>
          </w:p>
        </w:tc>
        <w:tc>
          <w:tcPr>
            <w:tcW w:w="684" w:type="dxa"/>
            <w:shd w:val="clear" w:color="auto" w:fill="auto"/>
          </w:tcPr>
          <w:p w:rsidRPr="00A2535E" w:rsidR="0075736E" w:rsidP="0075736E" w:rsidRDefault="0075736E">
            <w:pPr>
              <w:pStyle w:val="JuInitialled"/>
              <w:spacing w:before="0"/>
              <w:rPr>
                <w:sz w:val="20"/>
              </w:rPr>
            </w:pPr>
            <w:r w:rsidRPr="00A2535E">
              <w:rPr>
                <w:sz w:val="20"/>
              </w:rPr>
              <w:t>0.046</w:t>
            </w:r>
          </w:p>
        </w:tc>
      </w:tr>
      <w:tr w:rsidRPr="00522139" w:rsidR="0075736E">
        <w:trPr>
          <w:jc w:val="center"/>
        </w:trPr>
        <w:tc>
          <w:tcPr>
            <w:tcW w:w="1761" w:type="dxa"/>
          </w:tcPr>
          <w:p w:rsidRPr="00A2535E" w:rsidR="0075736E" w:rsidP="0075736E" w:rsidRDefault="0075736E">
            <w:pPr>
              <w:pStyle w:val="JuInitialled"/>
              <w:spacing w:before="0"/>
              <w:jc w:val="both"/>
              <w:rPr>
                <w:sz w:val="20"/>
              </w:rPr>
            </w:pPr>
            <w:r w:rsidRPr="00A2535E">
              <w:rPr>
                <w:sz w:val="20"/>
              </w:rPr>
              <w:t>Phenol</w:t>
            </w:r>
          </w:p>
        </w:tc>
        <w:tc>
          <w:tcPr>
            <w:tcW w:w="741" w:type="dxa"/>
            <w:shd w:val="clear" w:color="auto" w:fill="auto"/>
          </w:tcPr>
          <w:p w:rsidR="0075736E" w:rsidP="0075736E" w:rsidRDefault="0075736E">
            <w:pPr>
              <w:jc w:val="right"/>
            </w:pPr>
            <w:r w:rsidRPr="0079361E">
              <w:rPr>
                <w:sz w:val="20"/>
              </w:rPr>
              <w:t>–</w:t>
            </w:r>
          </w:p>
        </w:tc>
        <w:tc>
          <w:tcPr>
            <w:tcW w:w="684" w:type="dxa"/>
            <w:shd w:val="clear" w:color="auto" w:fill="auto"/>
          </w:tcPr>
          <w:p w:rsidR="0075736E" w:rsidP="0075736E" w:rsidRDefault="0075736E">
            <w:pPr>
              <w:jc w:val="right"/>
            </w:pPr>
            <w:r w:rsidRPr="00A67B66">
              <w:rPr>
                <w:sz w:val="20"/>
              </w:rPr>
              <w:t>–</w:t>
            </w:r>
          </w:p>
        </w:tc>
        <w:tc>
          <w:tcPr>
            <w:tcW w:w="741" w:type="dxa"/>
            <w:shd w:val="clear" w:color="auto" w:fill="auto"/>
          </w:tcPr>
          <w:p w:rsidR="0075736E" w:rsidP="0075736E" w:rsidRDefault="0075736E">
            <w:pPr>
              <w:jc w:val="right"/>
            </w:pPr>
            <w:r w:rsidRPr="00054721">
              <w:rPr>
                <w:sz w:val="20"/>
              </w:rPr>
              <w:t>–</w:t>
            </w:r>
          </w:p>
        </w:tc>
        <w:tc>
          <w:tcPr>
            <w:tcW w:w="684" w:type="dxa"/>
            <w:shd w:val="clear" w:color="auto" w:fill="auto"/>
          </w:tcPr>
          <w:p w:rsidR="0075736E" w:rsidP="0075736E" w:rsidRDefault="0075736E">
            <w:pPr>
              <w:jc w:val="right"/>
            </w:pPr>
            <w:r w:rsidRPr="00054721">
              <w:rPr>
                <w:sz w:val="20"/>
              </w:rPr>
              <w:t>–</w:t>
            </w:r>
          </w:p>
        </w:tc>
        <w:tc>
          <w:tcPr>
            <w:tcW w:w="741" w:type="dxa"/>
            <w:shd w:val="clear" w:color="auto" w:fill="auto"/>
          </w:tcPr>
          <w:p w:rsidRPr="00A2535E" w:rsidR="0075736E" w:rsidP="0075736E" w:rsidRDefault="0075736E">
            <w:pPr>
              <w:pStyle w:val="JuInitialled"/>
              <w:spacing w:before="0"/>
              <w:rPr>
                <w:sz w:val="20"/>
              </w:rPr>
            </w:pPr>
            <w:r w:rsidRPr="00A2535E">
              <w:rPr>
                <w:sz w:val="20"/>
              </w:rPr>
              <w:t>0.003</w:t>
            </w:r>
          </w:p>
        </w:tc>
        <w:tc>
          <w:tcPr>
            <w:tcW w:w="684" w:type="dxa"/>
            <w:shd w:val="clear" w:color="auto" w:fill="auto"/>
          </w:tcPr>
          <w:p w:rsidRPr="00A2535E" w:rsidR="0075736E" w:rsidP="0075736E" w:rsidRDefault="0075736E">
            <w:pPr>
              <w:pStyle w:val="JuInitialled"/>
              <w:spacing w:before="0"/>
              <w:rPr>
                <w:sz w:val="20"/>
              </w:rPr>
            </w:pPr>
            <w:r w:rsidRPr="00A2535E">
              <w:rPr>
                <w:sz w:val="20"/>
              </w:rPr>
              <w:t>0.018</w:t>
            </w:r>
          </w:p>
        </w:tc>
        <w:tc>
          <w:tcPr>
            <w:tcW w:w="741" w:type="dxa"/>
            <w:shd w:val="clear" w:color="auto" w:fill="auto"/>
          </w:tcPr>
          <w:p w:rsidRPr="00A2535E" w:rsidR="0075736E" w:rsidP="0075736E" w:rsidRDefault="0075736E">
            <w:pPr>
              <w:pStyle w:val="JuInitialled"/>
              <w:spacing w:before="0"/>
              <w:rPr>
                <w:sz w:val="20"/>
              </w:rPr>
            </w:pPr>
            <w:r w:rsidRPr="00A2535E">
              <w:rPr>
                <w:sz w:val="20"/>
              </w:rPr>
              <w:t>0.003</w:t>
            </w:r>
          </w:p>
        </w:tc>
        <w:tc>
          <w:tcPr>
            <w:tcW w:w="684" w:type="dxa"/>
            <w:shd w:val="clear" w:color="auto" w:fill="auto"/>
          </w:tcPr>
          <w:p w:rsidRPr="00A2535E" w:rsidR="0075736E" w:rsidP="0075736E" w:rsidRDefault="0075736E">
            <w:pPr>
              <w:pStyle w:val="JuInitialled"/>
              <w:spacing w:before="0"/>
              <w:rPr>
                <w:sz w:val="20"/>
              </w:rPr>
            </w:pPr>
            <w:r w:rsidRPr="00A2535E">
              <w:rPr>
                <w:sz w:val="20"/>
              </w:rPr>
              <w:t>0.04</w:t>
            </w:r>
          </w:p>
        </w:tc>
        <w:tc>
          <w:tcPr>
            <w:tcW w:w="741" w:type="dxa"/>
            <w:shd w:val="clear" w:color="auto" w:fill="auto"/>
          </w:tcPr>
          <w:p w:rsidRPr="00A2535E" w:rsidR="0075736E" w:rsidP="0075736E" w:rsidRDefault="0075736E">
            <w:pPr>
              <w:pStyle w:val="JuInitialled"/>
              <w:spacing w:before="0"/>
              <w:rPr>
                <w:sz w:val="20"/>
              </w:rPr>
            </w:pPr>
            <w:r w:rsidRPr="00A2535E">
              <w:rPr>
                <w:sz w:val="20"/>
              </w:rPr>
              <w:t>0.001</w:t>
            </w:r>
          </w:p>
        </w:tc>
        <w:tc>
          <w:tcPr>
            <w:tcW w:w="684" w:type="dxa"/>
            <w:shd w:val="clear" w:color="auto" w:fill="auto"/>
          </w:tcPr>
          <w:p w:rsidRPr="00A2535E" w:rsidR="0075736E" w:rsidP="0075736E" w:rsidRDefault="0075736E">
            <w:pPr>
              <w:pStyle w:val="JuInitialled"/>
              <w:spacing w:before="0"/>
              <w:rPr>
                <w:sz w:val="20"/>
              </w:rPr>
            </w:pPr>
            <w:r w:rsidRPr="00A2535E">
              <w:rPr>
                <w:sz w:val="20"/>
              </w:rPr>
              <w:t>0.021</w:t>
            </w:r>
          </w:p>
        </w:tc>
      </w:tr>
      <w:tr w:rsidRPr="00522139" w:rsidR="0075736E">
        <w:trPr>
          <w:jc w:val="center"/>
        </w:trPr>
        <w:tc>
          <w:tcPr>
            <w:tcW w:w="1761" w:type="dxa"/>
          </w:tcPr>
          <w:p w:rsidRPr="00A2535E" w:rsidR="0075736E" w:rsidP="0075736E" w:rsidRDefault="0075736E">
            <w:pPr>
              <w:pStyle w:val="JuInitialled"/>
              <w:spacing w:before="0"/>
              <w:jc w:val="both"/>
              <w:rPr>
                <w:sz w:val="20"/>
              </w:rPr>
            </w:pPr>
            <w:r w:rsidRPr="00A2535E">
              <w:rPr>
                <w:sz w:val="20"/>
              </w:rPr>
              <w:t>Ammonia</w:t>
            </w:r>
          </w:p>
        </w:tc>
        <w:tc>
          <w:tcPr>
            <w:tcW w:w="741" w:type="dxa"/>
            <w:shd w:val="clear" w:color="auto" w:fill="auto"/>
          </w:tcPr>
          <w:p w:rsidR="0075736E" w:rsidP="0075736E" w:rsidRDefault="0075736E">
            <w:pPr>
              <w:jc w:val="right"/>
            </w:pPr>
            <w:r w:rsidRPr="0079361E">
              <w:rPr>
                <w:sz w:val="20"/>
              </w:rPr>
              <w:t>–</w:t>
            </w:r>
          </w:p>
        </w:tc>
        <w:tc>
          <w:tcPr>
            <w:tcW w:w="684" w:type="dxa"/>
            <w:shd w:val="clear" w:color="auto" w:fill="auto"/>
          </w:tcPr>
          <w:p w:rsidR="0075736E" w:rsidP="0075736E" w:rsidRDefault="0075736E">
            <w:pPr>
              <w:jc w:val="right"/>
            </w:pPr>
            <w:r w:rsidRPr="00A67B66">
              <w:rPr>
                <w:sz w:val="20"/>
              </w:rPr>
              <w:t>–</w:t>
            </w:r>
          </w:p>
        </w:tc>
        <w:tc>
          <w:tcPr>
            <w:tcW w:w="741" w:type="dxa"/>
            <w:shd w:val="clear" w:color="auto" w:fill="auto"/>
          </w:tcPr>
          <w:p w:rsidRPr="00A2535E" w:rsidR="0075736E" w:rsidP="0075736E" w:rsidRDefault="0075736E">
            <w:pPr>
              <w:pStyle w:val="JuInitialled"/>
              <w:spacing w:before="0"/>
              <w:rPr>
                <w:sz w:val="20"/>
              </w:rPr>
            </w:pPr>
            <w:r w:rsidRPr="00A2535E">
              <w:rPr>
                <w:sz w:val="20"/>
              </w:rPr>
              <w:t>0.27</w:t>
            </w:r>
          </w:p>
        </w:tc>
        <w:tc>
          <w:tcPr>
            <w:tcW w:w="684" w:type="dxa"/>
            <w:shd w:val="clear" w:color="auto" w:fill="auto"/>
          </w:tcPr>
          <w:p w:rsidRPr="00A2535E" w:rsidR="0075736E" w:rsidP="0075736E" w:rsidRDefault="0075736E">
            <w:pPr>
              <w:pStyle w:val="JuInitialled"/>
              <w:spacing w:before="0"/>
              <w:rPr>
                <w:sz w:val="20"/>
              </w:rPr>
            </w:pPr>
            <w:r w:rsidRPr="00A2535E">
              <w:rPr>
                <w:sz w:val="20"/>
              </w:rPr>
              <w:t>5.82</w:t>
            </w:r>
          </w:p>
        </w:tc>
        <w:tc>
          <w:tcPr>
            <w:tcW w:w="741" w:type="dxa"/>
            <w:shd w:val="clear" w:color="auto" w:fill="auto"/>
          </w:tcPr>
          <w:p w:rsidRPr="00A2535E" w:rsidR="0075736E" w:rsidP="0075736E" w:rsidRDefault="0075736E">
            <w:pPr>
              <w:pStyle w:val="JuInitialled"/>
              <w:spacing w:before="0"/>
              <w:rPr>
                <w:sz w:val="20"/>
              </w:rPr>
            </w:pPr>
            <w:r w:rsidRPr="00A2535E">
              <w:rPr>
                <w:sz w:val="20"/>
              </w:rPr>
              <w:t>0.08</w:t>
            </w:r>
          </w:p>
        </w:tc>
        <w:tc>
          <w:tcPr>
            <w:tcW w:w="684" w:type="dxa"/>
            <w:shd w:val="clear" w:color="auto" w:fill="auto"/>
          </w:tcPr>
          <w:p w:rsidRPr="00A2535E" w:rsidR="0075736E" w:rsidP="0075736E" w:rsidRDefault="0075736E">
            <w:pPr>
              <w:pStyle w:val="JuInitialled"/>
              <w:spacing w:before="0"/>
              <w:rPr>
                <w:sz w:val="20"/>
              </w:rPr>
            </w:pPr>
            <w:r w:rsidRPr="00A2535E">
              <w:rPr>
                <w:sz w:val="20"/>
              </w:rPr>
              <w:t>1.37</w:t>
            </w:r>
          </w:p>
        </w:tc>
        <w:tc>
          <w:tcPr>
            <w:tcW w:w="741" w:type="dxa"/>
            <w:shd w:val="clear" w:color="auto" w:fill="auto"/>
          </w:tcPr>
          <w:p w:rsidRPr="00A2535E" w:rsidR="0075736E" w:rsidP="0075736E" w:rsidRDefault="0075736E">
            <w:pPr>
              <w:pStyle w:val="JuInitialled"/>
              <w:spacing w:before="0"/>
              <w:rPr>
                <w:sz w:val="20"/>
              </w:rPr>
            </w:pPr>
            <w:r w:rsidRPr="00A2535E">
              <w:rPr>
                <w:sz w:val="20"/>
              </w:rPr>
              <w:t>0.02</w:t>
            </w:r>
          </w:p>
        </w:tc>
        <w:tc>
          <w:tcPr>
            <w:tcW w:w="684" w:type="dxa"/>
            <w:shd w:val="clear" w:color="auto" w:fill="auto"/>
          </w:tcPr>
          <w:p w:rsidRPr="00A2535E" w:rsidR="0075736E" w:rsidP="0075736E" w:rsidRDefault="0075736E">
            <w:pPr>
              <w:pStyle w:val="JuInitialled"/>
              <w:spacing w:before="0"/>
              <w:rPr>
                <w:sz w:val="20"/>
              </w:rPr>
            </w:pPr>
            <w:r w:rsidRPr="00A2535E">
              <w:rPr>
                <w:sz w:val="20"/>
              </w:rPr>
              <w:t>0.23</w:t>
            </w:r>
          </w:p>
        </w:tc>
        <w:tc>
          <w:tcPr>
            <w:tcW w:w="741" w:type="dxa"/>
            <w:shd w:val="clear" w:color="auto" w:fill="auto"/>
          </w:tcPr>
          <w:p w:rsidRPr="00A2535E" w:rsidR="0075736E" w:rsidP="0075736E" w:rsidRDefault="0075736E">
            <w:pPr>
              <w:pStyle w:val="JuInitialled"/>
              <w:spacing w:before="0"/>
              <w:rPr>
                <w:sz w:val="20"/>
              </w:rPr>
            </w:pPr>
            <w:r w:rsidRPr="00A2535E">
              <w:rPr>
                <w:sz w:val="20"/>
              </w:rPr>
              <w:t>0.02</w:t>
            </w:r>
          </w:p>
        </w:tc>
        <w:tc>
          <w:tcPr>
            <w:tcW w:w="684" w:type="dxa"/>
            <w:shd w:val="clear" w:color="auto" w:fill="auto"/>
          </w:tcPr>
          <w:p w:rsidRPr="00A2535E" w:rsidR="0075736E" w:rsidP="0075736E" w:rsidRDefault="0075736E">
            <w:pPr>
              <w:pStyle w:val="JuInitialled"/>
              <w:spacing w:before="0"/>
              <w:rPr>
                <w:sz w:val="20"/>
              </w:rPr>
            </w:pPr>
            <w:r w:rsidRPr="00A2535E">
              <w:rPr>
                <w:sz w:val="20"/>
              </w:rPr>
              <w:t>0.21</w:t>
            </w:r>
          </w:p>
        </w:tc>
      </w:tr>
      <w:tr w:rsidRPr="00522139" w:rsidR="0075736E">
        <w:trPr>
          <w:jc w:val="center"/>
        </w:trPr>
        <w:tc>
          <w:tcPr>
            <w:tcW w:w="1761" w:type="dxa"/>
          </w:tcPr>
          <w:p w:rsidRPr="00A2535E" w:rsidR="0075736E" w:rsidP="0075736E" w:rsidRDefault="0075736E">
            <w:pPr>
              <w:pStyle w:val="JuInitialled"/>
              <w:spacing w:before="0"/>
              <w:jc w:val="both"/>
              <w:rPr>
                <w:sz w:val="20"/>
              </w:rPr>
            </w:pPr>
            <w:r w:rsidRPr="00A2535E">
              <w:rPr>
                <w:sz w:val="20"/>
              </w:rPr>
              <w:t>Formaldehyde</w:t>
            </w:r>
          </w:p>
        </w:tc>
        <w:tc>
          <w:tcPr>
            <w:tcW w:w="741" w:type="dxa"/>
            <w:shd w:val="clear" w:color="auto" w:fill="auto"/>
          </w:tcPr>
          <w:p w:rsidR="0075736E" w:rsidP="0075736E" w:rsidRDefault="0075736E">
            <w:pPr>
              <w:jc w:val="right"/>
            </w:pPr>
            <w:r w:rsidRPr="0079361E">
              <w:rPr>
                <w:sz w:val="20"/>
              </w:rPr>
              <w:t>–</w:t>
            </w:r>
          </w:p>
        </w:tc>
        <w:tc>
          <w:tcPr>
            <w:tcW w:w="684" w:type="dxa"/>
            <w:shd w:val="clear" w:color="auto" w:fill="auto"/>
          </w:tcPr>
          <w:p w:rsidR="0075736E" w:rsidP="0075736E" w:rsidRDefault="0075736E">
            <w:pPr>
              <w:jc w:val="right"/>
            </w:pPr>
            <w:r w:rsidRPr="00A67B66">
              <w:rPr>
                <w:sz w:val="20"/>
              </w:rPr>
              <w:t>–</w:t>
            </w:r>
          </w:p>
        </w:tc>
        <w:tc>
          <w:tcPr>
            <w:tcW w:w="741" w:type="dxa"/>
            <w:shd w:val="clear" w:color="auto" w:fill="auto"/>
          </w:tcPr>
          <w:p w:rsidR="0075736E" w:rsidP="0075736E" w:rsidRDefault="0075736E">
            <w:pPr>
              <w:jc w:val="right"/>
            </w:pPr>
            <w:r w:rsidRPr="00E80590">
              <w:rPr>
                <w:sz w:val="20"/>
              </w:rPr>
              <w:t>–</w:t>
            </w:r>
          </w:p>
        </w:tc>
        <w:tc>
          <w:tcPr>
            <w:tcW w:w="684" w:type="dxa"/>
            <w:shd w:val="clear" w:color="auto" w:fill="auto"/>
          </w:tcPr>
          <w:p w:rsidR="0075736E" w:rsidP="0075736E" w:rsidRDefault="0075736E">
            <w:pPr>
              <w:jc w:val="right"/>
            </w:pPr>
            <w:r w:rsidRPr="00E80590">
              <w:rPr>
                <w:sz w:val="20"/>
              </w:rPr>
              <w:t>–</w:t>
            </w:r>
          </w:p>
        </w:tc>
        <w:tc>
          <w:tcPr>
            <w:tcW w:w="741" w:type="dxa"/>
            <w:shd w:val="clear" w:color="auto" w:fill="auto"/>
          </w:tcPr>
          <w:p w:rsidR="0075736E" w:rsidP="0075736E" w:rsidRDefault="0075736E">
            <w:pPr>
              <w:jc w:val="right"/>
            </w:pPr>
            <w:r w:rsidRPr="00E80590">
              <w:rPr>
                <w:sz w:val="20"/>
              </w:rPr>
              <w:t>–</w:t>
            </w:r>
          </w:p>
        </w:tc>
        <w:tc>
          <w:tcPr>
            <w:tcW w:w="684" w:type="dxa"/>
            <w:shd w:val="clear" w:color="auto" w:fill="auto"/>
          </w:tcPr>
          <w:p w:rsidR="0075736E" w:rsidP="0075736E" w:rsidRDefault="0075736E">
            <w:pPr>
              <w:jc w:val="right"/>
            </w:pPr>
            <w:r w:rsidRPr="00E80590">
              <w:rPr>
                <w:sz w:val="20"/>
              </w:rPr>
              <w:t>–</w:t>
            </w:r>
          </w:p>
        </w:tc>
        <w:tc>
          <w:tcPr>
            <w:tcW w:w="741" w:type="dxa"/>
            <w:shd w:val="clear" w:color="auto" w:fill="auto"/>
          </w:tcPr>
          <w:p w:rsidRPr="00A2535E" w:rsidR="0075736E" w:rsidP="0075736E" w:rsidRDefault="0075736E">
            <w:pPr>
              <w:pStyle w:val="JuInitialled"/>
              <w:spacing w:before="0"/>
              <w:rPr>
                <w:sz w:val="20"/>
              </w:rPr>
            </w:pPr>
            <w:r w:rsidRPr="00A2535E">
              <w:rPr>
                <w:sz w:val="20"/>
              </w:rPr>
              <w:t>0.014</w:t>
            </w:r>
          </w:p>
        </w:tc>
        <w:tc>
          <w:tcPr>
            <w:tcW w:w="684" w:type="dxa"/>
            <w:shd w:val="clear" w:color="auto" w:fill="auto"/>
          </w:tcPr>
          <w:p w:rsidRPr="00A2535E" w:rsidR="0075736E" w:rsidP="0075736E" w:rsidRDefault="0075736E">
            <w:pPr>
              <w:pStyle w:val="JuInitialled"/>
              <w:spacing w:before="0"/>
              <w:rPr>
                <w:sz w:val="20"/>
              </w:rPr>
            </w:pPr>
            <w:r w:rsidRPr="00A2535E">
              <w:rPr>
                <w:sz w:val="20"/>
              </w:rPr>
              <w:t>0</w:t>
            </w:r>
            <w:r w:rsidR="00C536FC">
              <w:rPr>
                <w:sz w:val="20"/>
              </w:rPr>
              <w:t>.</w:t>
            </w:r>
            <w:r w:rsidRPr="00A2535E">
              <w:rPr>
                <w:sz w:val="20"/>
              </w:rPr>
              <w:t>129</w:t>
            </w:r>
          </w:p>
        </w:tc>
        <w:tc>
          <w:tcPr>
            <w:tcW w:w="741" w:type="dxa"/>
            <w:shd w:val="clear" w:color="auto" w:fill="auto"/>
          </w:tcPr>
          <w:p w:rsidRPr="00A2535E" w:rsidR="0075736E" w:rsidP="0075736E" w:rsidRDefault="0075736E">
            <w:pPr>
              <w:pStyle w:val="JuInitialled"/>
              <w:spacing w:before="0"/>
              <w:rPr>
                <w:sz w:val="20"/>
              </w:rPr>
            </w:pPr>
            <w:r w:rsidRPr="00A2535E">
              <w:rPr>
                <w:sz w:val="20"/>
              </w:rPr>
              <w:t>0.019</w:t>
            </w:r>
          </w:p>
        </w:tc>
        <w:tc>
          <w:tcPr>
            <w:tcW w:w="684" w:type="dxa"/>
            <w:shd w:val="clear" w:color="auto" w:fill="auto"/>
          </w:tcPr>
          <w:p w:rsidRPr="00A2535E" w:rsidR="0075736E" w:rsidP="0075736E" w:rsidRDefault="0075736E">
            <w:pPr>
              <w:pStyle w:val="JuInitialled"/>
              <w:spacing w:before="0"/>
              <w:rPr>
                <w:sz w:val="20"/>
              </w:rPr>
            </w:pPr>
            <w:r w:rsidRPr="00A2535E">
              <w:rPr>
                <w:sz w:val="20"/>
              </w:rPr>
              <w:t>0.073</w:t>
            </w:r>
          </w:p>
        </w:tc>
      </w:tr>
    </w:tbl>
    <w:p w:rsidRPr="002A47A5" w:rsidR="00AF51DB" w:rsidP="002E404B" w:rsidRDefault="00AF51DB">
      <w:pPr>
        <w:pStyle w:val="OpiHHead"/>
      </w:pPr>
    </w:p>
    <w:sectPr w:rsidRPr="002A47A5" w:rsidR="00AF51DB" w:rsidSect="00522139">
      <w:headerReference w:type="even" r:id="rId16"/>
      <w:footnotePr>
        <w:numRestart w:val="eachPage"/>
      </w:footnotePr>
      <w:pgSz w:w="11906" w:h="16838" w:code="9"/>
      <w:pgMar w:top="2274" w:right="2274" w:bottom="2274" w:left="227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96" w:rsidRDefault="00941696">
      <w:r>
        <w:separator/>
      </w:r>
    </w:p>
  </w:endnote>
  <w:endnote w:type="continuationSeparator" w:id="0">
    <w:p w:rsidR="00941696" w:rsidRDefault="00941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2F" w:rsidRPr="00B626A9" w:rsidRDefault="0090522F" w:rsidP="000B5C53">
    <w:pPr>
      <w:pStyle w:val="Footer"/>
      <w:ind w:right="360" w:firstLine="360"/>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2F" w:rsidRPr="00B626A9" w:rsidRDefault="0090522F" w:rsidP="000B5C53">
    <w:pPr>
      <w:pStyle w:val="Footer"/>
      <w:ind w:right="360" w:firstLine="360"/>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2F" w:rsidRPr="00B626A9" w:rsidRDefault="0090522F" w:rsidP="000B5C53">
    <w:pPr>
      <w:pStyle w:val="Footer"/>
      <w:ind w:right="360" w:firstLine="360"/>
      <w:jc w:val="center"/>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2F" w:rsidRDefault="009052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22F" w:rsidRDefault="0090522F">
      <w:r>
        <w:separator/>
      </w:r>
    </w:p>
  </w:footnote>
  <w:footnote w:type="continuationSeparator" w:id="0">
    <w:p w:rsidR="00941696" w:rsidRDefault="00941696">
      <w:r>
        <w:continuationSeparator/>
      </w:r>
    </w:p>
  </w:footnote>
  <w:footnote w:id="1">
    <w:p w:rsidR="000A7935" w:rsidRPr="002C02F4" w:rsidRDefault="000A7935" w:rsidP="000A7935">
      <w:pPr>
        <w:pStyle w:val="FootnoteText"/>
      </w:pPr>
      <w:r w:rsidRPr="002A47A5">
        <w:rPr>
          <w:rStyle w:val="FootnoteReference"/>
          <w:vertAlign w:val="baseline"/>
        </w:rPr>
        <w:footnoteRef/>
      </w:r>
      <w:r>
        <w:t>.  MPLs are the safe levels of various polluting substances, as established by Russian legislation</w:t>
      </w:r>
      <w:r w:rsidRPr="002C02F4">
        <w:t xml:space="preserve"> (</w:t>
      </w:r>
      <w:r w:rsidRPr="002C02F4">
        <w:rPr>
          <w:i/>
          <w:lang w:val="ru-RU"/>
        </w:rPr>
        <w:t>предельно</w:t>
      </w:r>
      <w:r w:rsidRPr="002C02F4">
        <w:rPr>
          <w:i/>
        </w:rPr>
        <w:t xml:space="preserve"> </w:t>
      </w:r>
      <w:r w:rsidRPr="002C02F4">
        <w:rPr>
          <w:i/>
          <w:lang w:val="ru-RU"/>
        </w:rPr>
        <w:t>допустимые</w:t>
      </w:r>
      <w:r w:rsidRPr="002C02F4">
        <w:rPr>
          <w:i/>
        </w:rPr>
        <w:t xml:space="preserve"> </w:t>
      </w:r>
      <w:r w:rsidRPr="002C02F4">
        <w:rPr>
          <w:i/>
          <w:lang w:val="ru-RU"/>
        </w:rPr>
        <w:t>концентрации</w:t>
      </w:r>
      <w:r>
        <w:rPr>
          <w:i/>
        </w:rPr>
        <w:t xml:space="preserve"> – </w:t>
      </w:r>
      <w:r w:rsidRPr="002C02F4">
        <w:rPr>
          <w:i/>
          <w:lang w:val="ru-RU"/>
        </w:rPr>
        <w:t>ПДК</w:t>
      </w:r>
      <w:r w:rsidRPr="002C02F4">
        <w:t>)</w:t>
      </w:r>
      <w:r>
        <w:t>.</w:t>
      </w:r>
    </w:p>
  </w:footnote>
  <w:footnote w:id="2">
    <w:p w:rsidR="0090522F" w:rsidRPr="007D7CD4" w:rsidRDefault="0090522F">
      <w:pPr>
        <w:pStyle w:val="FootnoteText"/>
      </w:pPr>
      <w:r w:rsidRPr="00BD04AB">
        <w:rPr>
          <w:rStyle w:val="FootnoteReference"/>
          <w:vertAlign w:val="baseline"/>
        </w:rPr>
        <w:footnoteRef/>
      </w:r>
      <w:r>
        <w:t xml:space="preserve">.  Dr Chernaik </w:t>
      </w:r>
      <w:r w:rsidR="00C536FC">
        <w:t>has</w:t>
      </w:r>
      <w:r w:rsidRPr="007D7CD4">
        <w:t xml:space="preserve"> a </w:t>
      </w:r>
      <w:r>
        <w:t>Ph.D</w:t>
      </w:r>
      <w:r w:rsidR="00F55EDD">
        <w:t>.</w:t>
      </w:r>
      <w:r>
        <w:t xml:space="preserve"> in bioc</w:t>
      </w:r>
      <w:r w:rsidRPr="007D7CD4">
        <w:t>hem</w:t>
      </w:r>
      <w:r>
        <w:t>i</w:t>
      </w:r>
      <w:r w:rsidRPr="007D7CD4">
        <w:t xml:space="preserve">stry from </w:t>
      </w:r>
      <w:r>
        <w:t xml:space="preserve">the </w:t>
      </w:r>
      <w:r w:rsidRPr="007D7CD4">
        <w:t xml:space="preserve">Johns Hopkins University School of Public Health, </w:t>
      </w:r>
      <w:smartTag w:uri="urn:schemas-microsoft-com:office:smarttags" w:element="place">
        <w:smartTag w:uri="urn:schemas-microsoft-com:office:smarttags" w:element="City">
          <w:r w:rsidRPr="007D7CD4">
            <w:t>Baltimore</w:t>
          </w:r>
        </w:smartTag>
        <w:r w:rsidRPr="007D7CD4">
          <w:t xml:space="preserve">, </w:t>
        </w:r>
        <w:smartTag w:uri="urn:schemas-microsoft-com:office:smarttags" w:element="State">
          <w:r w:rsidRPr="007D7CD4">
            <w:t>Maryland</w:t>
          </w:r>
        </w:smartTag>
        <w:r w:rsidRPr="007D7CD4">
          <w:t xml:space="preserve">, </w:t>
        </w:r>
        <w:smartTag w:uri="urn:schemas-microsoft-com:office:smarttags" w:element="country-region">
          <w:r w:rsidRPr="007D7CD4">
            <w:t>U</w:t>
          </w:r>
          <w:r>
            <w:t>nited States</w:t>
          </w:r>
        </w:smartTag>
      </w:smartTag>
      <w:r>
        <w:t>.</w:t>
      </w:r>
      <w:r w:rsidRPr="007D7CD4">
        <w:t xml:space="preserve"> </w:t>
      </w:r>
      <w:r>
        <w:t>His</w:t>
      </w:r>
      <w:r w:rsidRPr="007D7CD4">
        <w:t xml:space="preserve"> doctoral studies and research focused on environmental toxicology. Since 1992</w:t>
      </w:r>
      <w:r>
        <w:t xml:space="preserve"> Dr Chernaik</w:t>
      </w:r>
      <w:r w:rsidRPr="007D7CD4">
        <w:t xml:space="preserve"> ha</w:t>
      </w:r>
      <w:r>
        <w:t xml:space="preserve">s served as </w:t>
      </w:r>
      <w:r w:rsidR="00196F27">
        <w:t xml:space="preserve">a </w:t>
      </w:r>
      <w:r>
        <w:t>staff s</w:t>
      </w:r>
      <w:r w:rsidRPr="007D7CD4">
        <w:t>cientist for the U</w:t>
      </w:r>
      <w:r>
        <w:t xml:space="preserve">nited </w:t>
      </w:r>
      <w:r w:rsidRPr="007D7CD4">
        <w:t>S</w:t>
      </w:r>
      <w:r>
        <w:t>tates</w:t>
      </w:r>
      <w:r w:rsidRPr="007D7CD4">
        <w:t xml:space="preserve"> Office of</w:t>
      </w:r>
      <w:r>
        <w:t xml:space="preserve"> </w:t>
      </w:r>
      <w:r w:rsidRPr="007D7CD4">
        <w:t xml:space="preserve">the Environmental Law Alliance Worldwide. In </w:t>
      </w:r>
      <w:r>
        <w:t>this</w:t>
      </w:r>
      <w:r w:rsidRPr="007D7CD4">
        <w:t xml:space="preserve"> capacity, </w:t>
      </w:r>
      <w:r>
        <w:t>he</w:t>
      </w:r>
      <w:r w:rsidRPr="007D7CD4">
        <w:t xml:space="preserve"> provide</w:t>
      </w:r>
      <w:r>
        <w:t>s</w:t>
      </w:r>
      <w:r w:rsidRPr="007D7CD4">
        <w:t xml:space="preserve"> requested scientific information to </w:t>
      </w:r>
      <w:r>
        <w:t>lawyers</w:t>
      </w:r>
      <w:r w:rsidRPr="007D7CD4">
        <w:t xml:space="preserve"> i</w:t>
      </w:r>
      <w:r>
        <w:t>n more than sixty</w:t>
      </w:r>
      <w:r w:rsidRPr="007D7CD4">
        <w:t xml:space="preserve"> countries. </w:t>
      </w:r>
      <w:r>
        <w:t>He</w:t>
      </w:r>
      <w:r w:rsidRPr="007D7CD4">
        <w:t xml:space="preserve"> ha</w:t>
      </w:r>
      <w:r>
        <w:t>s</w:t>
      </w:r>
      <w:r w:rsidRPr="007D7CD4">
        <w:t xml:space="preserve"> </w:t>
      </w:r>
      <w:r>
        <w:t xml:space="preserve">frequently </w:t>
      </w:r>
      <w:r w:rsidRPr="007D7CD4">
        <w:t xml:space="preserve">advised </w:t>
      </w:r>
      <w:r>
        <w:t xml:space="preserve">lawyers on </w:t>
      </w:r>
      <w:r w:rsidRPr="007D7CD4">
        <w:t>the human health effects of</w:t>
      </w:r>
      <w:r>
        <w:t xml:space="preserve"> </w:t>
      </w:r>
      <w:r w:rsidRPr="007D7CD4">
        <w:t>exposure t</w:t>
      </w:r>
      <w:r>
        <w:t>o</w:t>
      </w:r>
      <w:r w:rsidRPr="007D7CD4">
        <w:t xml:space="preserve"> air pollutants, incl</w:t>
      </w:r>
      <w:r>
        <w:t>u</w:t>
      </w:r>
      <w:r w:rsidRPr="007D7CD4">
        <w:t>ding hydrogen sul</w:t>
      </w:r>
      <w:r>
        <w:t>ph</w:t>
      </w:r>
      <w:r w:rsidRPr="007D7CD4">
        <w:t>ide, hydrogen cyanide, naphthalene, formaldehyde, carbon dis</w:t>
      </w:r>
      <w:r>
        <w:t>ulphide and particulate matter.</w:t>
      </w:r>
    </w:p>
  </w:footnote>
  <w:footnote w:id="3">
    <w:p w:rsidR="0090522F" w:rsidRDefault="0090522F" w:rsidP="00530F1D">
      <w:pPr>
        <w:pStyle w:val="FootnoteText"/>
      </w:pPr>
      <w:r w:rsidRPr="00F8213D">
        <w:rPr>
          <w:rStyle w:val="FootnoteReference"/>
          <w:vertAlign w:val="baseline"/>
        </w:rPr>
        <w:footnoteRef/>
      </w:r>
      <w:r>
        <w:t xml:space="preserve">.  This decision concerned the closure by the authorities of a petrol station which had no sanitary security zone around its </w:t>
      </w:r>
      <w:r w:rsidR="00196F27">
        <w:t>premises</w:t>
      </w:r>
      <w:r>
        <w:t>.</w:t>
      </w:r>
    </w:p>
  </w:footnote>
  <w:footnote w:id="4">
    <w:p w:rsidR="0090522F" w:rsidRDefault="0090522F" w:rsidP="00B33B9E">
      <w:pPr>
        <w:pStyle w:val="FootnoteText"/>
        <w:ind w:left="-741"/>
      </w:pPr>
      <w:r>
        <w:rPr>
          <w:rStyle w:val="FootnoteReference"/>
          <w:vertAlign w:val="baseline"/>
        </w:rPr>
        <w:t>1</w:t>
      </w:r>
      <w:r>
        <w:t>.  The d</w:t>
      </w:r>
      <w:r w:rsidRPr="00F857E4">
        <w:t>ata pro</w:t>
      </w:r>
      <w:r>
        <w:t xml:space="preserve">vided </w:t>
      </w:r>
      <w:r w:rsidR="00C536FC">
        <w:t>here</w:t>
      </w:r>
      <w:r w:rsidRPr="00F857E4">
        <w:t xml:space="preserve"> reflect only the results received from stationary monitoring post no. 1 of the State Agency </w:t>
      </w:r>
      <w:r w:rsidR="00344771">
        <w:t>for</w:t>
      </w:r>
      <w:r w:rsidRPr="00F857E4">
        <w:t xml:space="preserve"> Hydrometeorology, the nearest to the applicant’s ho</w:t>
      </w:r>
      <w:r w:rsidR="00C536FC">
        <w:t>me</w:t>
      </w:r>
      <w:r w:rsidRPr="00F857E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2F" w:rsidRDefault="0090522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5pt;height:139.55pt" fillcolor="window">
          <v:imagedata r:id="rId1" o:title=""/>
        </v:shape>
      </w:pict>
    </w:r>
  </w:p>
  <w:p w:rsidR="0090522F" w:rsidRDefault="0090522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2F" w:rsidRPr="00053511" w:rsidRDefault="0090522F" w:rsidP="00053511">
    <w:pPr>
      <w:pStyle w:val="JuHeader"/>
    </w:pPr>
    <w:r w:rsidRPr="00053511">
      <w:rPr>
        <w:rStyle w:val="PageNumber"/>
      </w:rPr>
      <w:fldChar w:fldCharType="begin"/>
    </w:r>
    <w:r w:rsidRPr="00053511">
      <w:rPr>
        <w:rStyle w:val="PageNumber"/>
      </w:rPr>
      <w:instrText xml:space="preserve"> PAGE </w:instrText>
    </w:r>
    <w:r w:rsidRPr="00053511">
      <w:rPr>
        <w:rStyle w:val="PageNumber"/>
      </w:rPr>
      <w:fldChar w:fldCharType="separate"/>
    </w:r>
    <w:r w:rsidR="009952BE">
      <w:rPr>
        <w:rStyle w:val="PageNumber"/>
        <w:noProof/>
      </w:rPr>
      <w:t>36</w:t>
    </w:r>
    <w:r w:rsidRPr="00053511">
      <w:rPr>
        <w:rStyle w:val="PageNumber"/>
      </w:rPr>
      <w:fldChar w:fldCharType="end"/>
    </w:r>
    <w:r w:rsidRPr="00053511">
      <w:tab/>
      <w:t xml:space="preserve">FADEYEVA v. </w:t>
    </w:r>
    <w:smartTag w:uri="urn:schemas-microsoft-com:office:smarttags" w:element="country-region">
      <w:smartTag w:uri="urn:schemas-microsoft-com:office:smarttags" w:element="place">
        <w:r w:rsidRPr="00053511">
          <w:t>RUSSIA</w:t>
        </w:r>
      </w:smartTag>
    </w:smartTag>
    <w:r w:rsidRPr="00053511">
      <w:t xml:space="preserve"> JUDGMENT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2F" w:rsidRPr="00ED0340" w:rsidRDefault="0090522F" w:rsidP="00ED0340">
    <w:pPr>
      <w:pStyle w:val="JuHeader"/>
    </w:pPr>
    <w:r w:rsidRPr="00ED0340">
      <w:tab/>
      <w:t xml:space="preserve">FADEYEVA v. </w:t>
    </w:r>
    <w:smartTag w:uri="urn:schemas-microsoft-com:office:smarttags" w:element="country-region">
      <w:smartTag w:uri="urn:schemas-microsoft-com:office:smarttags" w:element="place">
        <w:r w:rsidRPr="00ED0340">
          <w:t>RUSSIA</w:t>
        </w:r>
      </w:smartTag>
    </w:smartTag>
    <w:r w:rsidRPr="00ED0340">
      <w:t xml:space="preserve"> JUDGMENT</w:t>
    </w:r>
    <w:r w:rsidRPr="00ED0340">
      <w:tab/>
    </w:r>
    <w:r w:rsidRPr="00ED0340">
      <w:rPr>
        <w:rStyle w:val="PageNumber"/>
      </w:rPr>
      <w:fldChar w:fldCharType="begin"/>
    </w:r>
    <w:r w:rsidRPr="00ED0340">
      <w:rPr>
        <w:rStyle w:val="PageNumber"/>
      </w:rPr>
      <w:instrText xml:space="preserve"> PAGE </w:instrText>
    </w:r>
    <w:r w:rsidRPr="00ED0340">
      <w:rPr>
        <w:rStyle w:val="PageNumber"/>
      </w:rPr>
      <w:fldChar w:fldCharType="separate"/>
    </w:r>
    <w:r w:rsidR="009952BE">
      <w:rPr>
        <w:rStyle w:val="PageNumber"/>
        <w:noProof/>
      </w:rPr>
      <w:t>35</w:t>
    </w:r>
    <w:r w:rsidRPr="00ED0340">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2F" w:rsidRPr="00053511" w:rsidRDefault="0090522F" w:rsidP="00053511">
    <w:pPr>
      <w:pStyle w:val="JuHeader"/>
    </w:pPr>
    <w:r w:rsidRPr="00053511">
      <w:rPr>
        <w:rStyle w:val="PageNumber"/>
      </w:rPr>
      <w:fldChar w:fldCharType="begin"/>
    </w:r>
    <w:r w:rsidRPr="00053511">
      <w:rPr>
        <w:rStyle w:val="PageNumber"/>
      </w:rPr>
      <w:instrText xml:space="preserve"> PAGE </w:instrText>
    </w:r>
    <w:r w:rsidRPr="00053511">
      <w:rPr>
        <w:rStyle w:val="PageNumber"/>
      </w:rPr>
      <w:fldChar w:fldCharType="separate"/>
    </w:r>
    <w:r w:rsidR="00577B1A">
      <w:rPr>
        <w:rStyle w:val="PageNumber"/>
        <w:noProof/>
      </w:rPr>
      <w:t>38</w:t>
    </w:r>
    <w:r w:rsidRPr="00053511">
      <w:rPr>
        <w:rStyle w:val="PageNumber"/>
      </w:rPr>
      <w:fldChar w:fldCharType="end"/>
    </w:r>
    <w:r w:rsidRPr="00053511">
      <w:tab/>
      <w:t xml:space="preserve">FADEYEVA v. </w:t>
    </w:r>
    <w:smartTag w:uri="urn:schemas-microsoft-com:office:smarttags" w:element="country-region">
      <w:smartTag w:uri="urn:schemas-microsoft-com:office:smarttags" w:element="place">
        <w:r w:rsidRPr="00053511">
          <w:t>RUSSIA</w:t>
        </w:r>
      </w:smartTag>
    </w:smartTag>
    <w:r w:rsidRPr="00053511">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22F" w:rsidRPr="00ED0340" w:rsidRDefault="0090522F" w:rsidP="00ED0340">
    <w:pPr>
      <w:pStyle w:val="JuHeader"/>
    </w:pPr>
    <w:r w:rsidRPr="00ED0340">
      <w:tab/>
      <w:t xml:space="preserve">FADEYEVA v. </w:t>
    </w:r>
    <w:smartTag w:uri="urn:schemas-microsoft-com:office:smarttags" w:element="country-region">
      <w:smartTag w:uri="urn:schemas-microsoft-com:office:smarttags" w:element="place">
        <w:r w:rsidRPr="00ED0340">
          <w:t>RUSSIA</w:t>
        </w:r>
      </w:smartTag>
    </w:smartTag>
    <w:r w:rsidRPr="00ED0340">
      <w:t xml:space="preserve"> JUDGMENT</w:t>
    </w:r>
    <w:r w:rsidRPr="00ED0340">
      <w:tab/>
    </w:r>
    <w:r w:rsidRPr="00ED0340">
      <w:rPr>
        <w:rStyle w:val="PageNumber"/>
      </w:rPr>
      <w:fldChar w:fldCharType="begin"/>
    </w:r>
    <w:r w:rsidRPr="00ED0340">
      <w:rPr>
        <w:rStyle w:val="PageNumber"/>
      </w:rPr>
      <w:instrText xml:space="preserve"> PAGE </w:instrText>
    </w:r>
    <w:r w:rsidRPr="00ED0340">
      <w:rPr>
        <w:rStyle w:val="PageNumber"/>
      </w:rPr>
      <w:fldChar w:fldCharType="separate"/>
    </w:r>
    <w:r w:rsidR="009952BE">
      <w:rPr>
        <w:rStyle w:val="PageNumber"/>
        <w:noProof/>
      </w:rPr>
      <w:t>39</w:t>
    </w:r>
    <w:r w:rsidRPr="00ED0340">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B1A" w:rsidRPr="00053511" w:rsidRDefault="00577B1A" w:rsidP="00053511">
    <w:pPr>
      <w:pStyle w:val="JuHeader"/>
    </w:pPr>
    <w:r w:rsidRPr="00053511">
      <w:rPr>
        <w:rStyle w:val="PageNumber"/>
      </w:rPr>
      <w:fldChar w:fldCharType="begin"/>
    </w:r>
    <w:r w:rsidRPr="00053511">
      <w:rPr>
        <w:rStyle w:val="PageNumber"/>
      </w:rPr>
      <w:instrText xml:space="preserve"> PAGE </w:instrText>
    </w:r>
    <w:r w:rsidRPr="00053511">
      <w:rPr>
        <w:rStyle w:val="PageNumber"/>
      </w:rPr>
      <w:fldChar w:fldCharType="separate"/>
    </w:r>
    <w:r w:rsidR="009952BE">
      <w:rPr>
        <w:rStyle w:val="PageNumber"/>
        <w:noProof/>
      </w:rPr>
      <w:t>38</w:t>
    </w:r>
    <w:r w:rsidRPr="00053511">
      <w:rPr>
        <w:rStyle w:val="PageNumber"/>
      </w:rPr>
      <w:fldChar w:fldCharType="end"/>
    </w:r>
    <w:r w:rsidRPr="00053511">
      <w:tab/>
      <w:t xml:space="preserve">FADEYEVA v. </w:t>
    </w:r>
    <w:smartTag w:uri="urn:schemas-microsoft-com:office:smarttags" w:element="country-region">
      <w:smartTag w:uri="urn:schemas-microsoft-com:office:smarttags" w:element="place">
        <w:r w:rsidRPr="00053511">
          <w:t>RUSSIA</w:t>
        </w:r>
      </w:smartTag>
    </w:smartTag>
    <w:r w:rsidRPr="00053511">
      <w:t xml:space="preserve"> JUDGMENT</w:t>
    </w:r>
    <w:r>
      <w:t xml:space="preserve"> – CONCURRING OPINION</w:t>
    </w:r>
    <w:r>
      <w:br/>
    </w:r>
    <w:r>
      <w:tab/>
      <w:t>OF JUDGE KOVLER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3F8B"/>
    <w:rsid w:val="000012DA"/>
    <w:rsid w:val="00001543"/>
    <w:rsid w:val="00003634"/>
    <w:rsid w:val="00007740"/>
    <w:rsid w:val="00017FDB"/>
    <w:rsid w:val="00027D04"/>
    <w:rsid w:val="00030B70"/>
    <w:rsid w:val="0003403C"/>
    <w:rsid w:val="000344DB"/>
    <w:rsid w:val="000368EE"/>
    <w:rsid w:val="00044F85"/>
    <w:rsid w:val="00053511"/>
    <w:rsid w:val="00054CE8"/>
    <w:rsid w:val="00066212"/>
    <w:rsid w:val="000665CD"/>
    <w:rsid w:val="000768B0"/>
    <w:rsid w:val="00076ED8"/>
    <w:rsid w:val="00084137"/>
    <w:rsid w:val="00095494"/>
    <w:rsid w:val="000A7935"/>
    <w:rsid w:val="000B0583"/>
    <w:rsid w:val="000B5C53"/>
    <w:rsid w:val="000C008C"/>
    <w:rsid w:val="000D2AC7"/>
    <w:rsid w:val="000E0BB0"/>
    <w:rsid w:val="000F4C31"/>
    <w:rsid w:val="0010283E"/>
    <w:rsid w:val="00105991"/>
    <w:rsid w:val="00105BB7"/>
    <w:rsid w:val="00121C7E"/>
    <w:rsid w:val="00123EC6"/>
    <w:rsid w:val="00124DE8"/>
    <w:rsid w:val="001334F5"/>
    <w:rsid w:val="00136071"/>
    <w:rsid w:val="00137D32"/>
    <w:rsid w:val="00141DC3"/>
    <w:rsid w:val="00144C18"/>
    <w:rsid w:val="00146818"/>
    <w:rsid w:val="00147C47"/>
    <w:rsid w:val="00153ABB"/>
    <w:rsid w:val="00155056"/>
    <w:rsid w:val="00156391"/>
    <w:rsid w:val="001620F9"/>
    <w:rsid w:val="001670C5"/>
    <w:rsid w:val="00170DFD"/>
    <w:rsid w:val="00173A00"/>
    <w:rsid w:val="001746CE"/>
    <w:rsid w:val="00184818"/>
    <w:rsid w:val="001911CC"/>
    <w:rsid w:val="00194C9A"/>
    <w:rsid w:val="00196F27"/>
    <w:rsid w:val="00197061"/>
    <w:rsid w:val="001A0B62"/>
    <w:rsid w:val="001A0DB7"/>
    <w:rsid w:val="001A1CA0"/>
    <w:rsid w:val="001B1C78"/>
    <w:rsid w:val="001B7203"/>
    <w:rsid w:val="001B7E17"/>
    <w:rsid w:val="001C2814"/>
    <w:rsid w:val="001C6E01"/>
    <w:rsid w:val="001D030E"/>
    <w:rsid w:val="001D3237"/>
    <w:rsid w:val="001D6387"/>
    <w:rsid w:val="001E341D"/>
    <w:rsid w:val="00201541"/>
    <w:rsid w:val="0020587C"/>
    <w:rsid w:val="00210D32"/>
    <w:rsid w:val="0021113A"/>
    <w:rsid w:val="00216BFB"/>
    <w:rsid w:val="00216C40"/>
    <w:rsid w:val="0023135B"/>
    <w:rsid w:val="00231B86"/>
    <w:rsid w:val="0023214E"/>
    <w:rsid w:val="002340FF"/>
    <w:rsid w:val="00234309"/>
    <w:rsid w:val="002369FE"/>
    <w:rsid w:val="0024415B"/>
    <w:rsid w:val="00250ED5"/>
    <w:rsid w:val="00252EB8"/>
    <w:rsid w:val="00255E6C"/>
    <w:rsid w:val="0025797C"/>
    <w:rsid w:val="00257EE6"/>
    <w:rsid w:val="00261D8E"/>
    <w:rsid w:val="00262DC5"/>
    <w:rsid w:val="00281DDC"/>
    <w:rsid w:val="00283F8B"/>
    <w:rsid w:val="002871E9"/>
    <w:rsid w:val="0028767F"/>
    <w:rsid w:val="00293FED"/>
    <w:rsid w:val="00294145"/>
    <w:rsid w:val="002962A5"/>
    <w:rsid w:val="00297E8F"/>
    <w:rsid w:val="002A0376"/>
    <w:rsid w:val="002A1740"/>
    <w:rsid w:val="002A40F1"/>
    <w:rsid w:val="002A47A5"/>
    <w:rsid w:val="002B02F2"/>
    <w:rsid w:val="002B18B2"/>
    <w:rsid w:val="002B20A7"/>
    <w:rsid w:val="002B319B"/>
    <w:rsid w:val="002B46F7"/>
    <w:rsid w:val="002C02F4"/>
    <w:rsid w:val="002C1DE0"/>
    <w:rsid w:val="002C20C1"/>
    <w:rsid w:val="002D5258"/>
    <w:rsid w:val="002E1991"/>
    <w:rsid w:val="002E404B"/>
    <w:rsid w:val="002E5764"/>
    <w:rsid w:val="002F22AF"/>
    <w:rsid w:val="002F2805"/>
    <w:rsid w:val="002F44D6"/>
    <w:rsid w:val="002F4AD9"/>
    <w:rsid w:val="002F710D"/>
    <w:rsid w:val="00306330"/>
    <w:rsid w:val="00311F86"/>
    <w:rsid w:val="00322D3D"/>
    <w:rsid w:val="0032302E"/>
    <w:rsid w:val="003252C0"/>
    <w:rsid w:val="0032554A"/>
    <w:rsid w:val="0033105D"/>
    <w:rsid w:val="00337F25"/>
    <w:rsid w:val="0034443D"/>
    <w:rsid w:val="00344771"/>
    <w:rsid w:val="00345366"/>
    <w:rsid w:val="0034551C"/>
    <w:rsid w:val="00345662"/>
    <w:rsid w:val="00353FD7"/>
    <w:rsid w:val="0035579B"/>
    <w:rsid w:val="00373025"/>
    <w:rsid w:val="00373DD7"/>
    <w:rsid w:val="003742AA"/>
    <w:rsid w:val="00376F2F"/>
    <w:rsid w:val="00385736"/>
    <w:rsid w:val="00385F08"/>
    <w:rsid w:val="00396D16"/>
    <w:rsid w:val="003A0579"/>
    <w:rsid w:val="003A2AE3"/>
    <w:rsid w:val="003A560F"/>
    <w:rsid w:val="003A6FA5"/>
    <w:rsid w:val="003B29E0"/>
    <w:rsid w:val="003B5098"/>
    <w:rsid w:val="003B6D86"/>
    <w:rsid w:val="003C3EFD"/>
    <w:rsid w:val="003C772B"/>
    <w:rsid w:val="003D24C5"/>
    <w:rsid w:val="003D6042"/>
    <w:rsid w:val="003E1A35"/>
    <w:rsid w:val="003E1EE2"/>
    <w:rsid w:val="003E6DDE"/>
    <w:rsid w:val="003E727E"/>
    <w:rsid w:val="003F3FA3"/>
    <w:rsid w:val="003F6804"/>
    <w:rsid w:val="004012AB"/>
    <w:rsid w:val="0040297C"/>
    <w:rsid w:val="004200DD"/>
    <w:rsid w:val="004202E7"/>
    <w:rsid w:val="00426713"/>
    <w:rsid w:val="00427856"/>
    <w:rsid w:val="004302BD"/>
    <w:rsid w:val="004326EE"/>
    <w:rsid w:val="00446AB2"/>
    <w:rsid w:val="00446B5B"/>
    <w:rsid w:val="00447670"/>
    <w:rsid w:val="00450108"/>
    <w:rsid w:val="0045576E"/>
    <w:rsid w:val="00455FC5"/>
    <w:rsid w:val="00456DD3"/>
    <w:rsid w:val="00457E74"/>
    <w:rsid w:val="0046675D"/>
    <w:rsid w:val="00467511"/>
    <w:rsid w:val="004755DC"/>
    <w:rsid w:val="00477941"/>
    <w:rsid w:val="0048102A"/>
    <w:rsid w:val="00486FA2"/>
    <w:rsid w:val="00487980"/>
    <w:rsid w:val="00490B4F"/>
    <w:rsid w:val="00491F20"/>
    <w:rsid w:val="00492A03"/>
    <w:rsid w:val="00494669"/>
    <w:rsid w:val="00495631"/>
    <w:rsid w:val="00496A75"/>
    <w:rsid w:val="00497177"/>
    <w:rsid w:val="0049778C"/>
    <w:rsid w:val="004A092D"/>
    <w:rsid w:val="004A1783"/>
    <w:rsid w:val="004A30BA"/>
    <w:rsid w:val="004A6B10"/>
    <w:rsid w:val="004A70D1"/>
    <w:rsid w:val="004D20B8"/>
    <w:rsid w:val="004D6B6B"/>
    <w:rsid w:val="004E4926"/>
    <w:rsid w:val="004E7C04"/>
    <w:rsid w:val="004F359D"/>
    <w:rsid w:val="004F3797"/>
    <w:rsid w:val="004F4A6B"/>
    <w:rsid w:val="004F76A7"/>
    <w:rsid w:val="0050084B"/>
    <w:rsid w:val="00511225"/>
    <w:rsid w:val="00511D63"/>
    <w:rsid w:val="00513F5A"/>
    <w:rsid w:val="00522139"/>
    <w:rsid w:val="005236AB"/>
    <w:rsid w:val="00525D77"/>
    <w:rsid w:val="00530F1D"/>
    <w:rsid w:val="00532D57"/>
    <w:rsid w:val="00534CEC"/>
    <w:rsid w:val="005361F6"/>
    <w:rsid w:val="0053627A"/>
    <w:rsid w:val="00536BB8"/>
    <w:rsid w:val="00537913"/>
    <w:rsid w:val="005504C5"/>
    <w:rsid w:val="00550CBD"/>
    <w:rsid w:val="00551F76"/>
    <w:rsid w:val="00552557"/>
    <w:rsid w:val="0056082E"/>
    <w:rsid w:val="00562985"/>
    <w:rsid w:val="00566892"/>
    <w:rsid w:val="00567F54"/>
    <w:rsid w:val="00572596"/>
    <w:rsid w:val="00575624"/>
    <w:rsid w:val="00575D18"/>
    <w:rsid w:val="00577B1A"/>
    <w:rsid w:val="0058619C"/>
    <w:rsid w:val="005869E4"/>
    <w:rsid w:val="00587536"/>
    <w:rsid w:val="005877BE"/>
    <w:rsid w:val="0059491C"/>
    <w:rsid w:val="005A32D5"/>
    <w:rsid w:val="005A5AD3"/>
    <w:rsid w:val="005B0115"/>
    <w:rsid w:val="005B04B1"/>
    <w:rsid w:val="005B1C9C"/>
    <w:rsid w:val="005C185C"/>
    <w:rsid w:val="005C5CD5"/>
    <w:rsid w:val="005D2495"/>
    <w:rsid w:val="005D4764"/>
    <w:rsid w:val="005D7FBB"/>
    <w:rsid w:val="005E2D2B"/>
    <w:rsid w:val="005E6073"/>
    <w:rsid w:val="005E7300"/>
    <w:rsid w:val="005F0B62"/>
    <w:rsid w:val="005F15BA"/>
    <w:rsid w:val="005F2E16"/>
    <w:rsid w:val="005F670D"/>
    <w:rsid w:val="005F6E49"/>
    <w:rsid w:val="005F7060"/>
    <w:rsid w:val="00600586"/>
    <w:rsid w:val="0060177C"/>
    <w:rsid w:val="006036E9"/>
    <w:rsid w:val="006038CB"/>
    <w:rsid w:val="006038D9"/>
    <w:rsid w:val="00605A46"/>
    <w:rsid w:val="006150BE"/>
    <w:rsid w:val="00615A0A"/>
    <w:rsid w:val="00620DE0"/>
    <w:rsid w:val="006235B4"/>
    <w:rsid w:val="00623DBC"/>
    <w:rsid w:val="00624B21"/>
    <w:rsid w:val="006252C5"/>
    <w:rsid w:val="00631373"/>
    <w:rsid w:val="00632BE0"/>
    <w:rsid w:val="006445E5"/>
    <w:rsid w:val="00645AC1"/>
    <w:rsid w:val="00647082"/>
    <w:rsid w:val="0065121C"/>
    <w:rsid w:val="0065140C"/>
    <w:rsid w:val="0066049F"/>
    <w:rsid w:val="006618D4"/>
    <w:rsid w:val="00663EE1"/>
    <w:rsid w:val="00665B68"/>
    <w:rsid w:val="00667694"/>
    <w:rsid w:val="00667C90"/>
    <w:rsid w:val="00671B33"/>
    <w:rsid w:val="006739AF"/>
    <w:rsid w:val="00683B6D"/>
    <w:rsid w:val="00684860"/>
    <w:rsid w:val="006929F4"/>
    <w:rsid w:val="006A207E"/>
    <w:rsid w:val="006B06EC"/>
    <w:rsid w:val="006B367D"/>
    <w:rsid w:val="006B39D9"/>
    <w:rsid w:val="006B47C1"/>
    <w:rsid w:val="006B7038"/>
    <w:rsid w:val="006B7FDD"/>
    <w:rsid w:val="006E26B0"/>
    <w:rsid w:val="006E5243"/>
    <w:rsid w:val="006F18D4"/>
    <w:rsid w:val="006F5AF7"/>
    <w:rsid w:val="00701255"/>
    <w:rsid w:val="0070179E"/>
    <w:rsid w:val="00705090"/>
    <w:rsid w:val="00707549"/>
    <w:rsid w:val="0071355B"/>
    <w:rsid w:val="00716079"/>
    <w:rsid w:val="00720F33"/>
    <w:rsid w:val="00726BE2"/>
    <w:rsid w:val="00726CA4"/>
    <w:rsid w:val="0072703B"/>
    <w:rsid w:val="00733CE0"/>
    <w:rsid w:val="00734F29"/>
    <w:rsid w:val="00741697"/>
    <w:rsid w:val="00742625"/>
    <w:rsid w:val="007451E8"/>
    <w:rsid w:val="00754695"/>
    <w:rsid w:val="0075736E"/>
    <w:rsid w:val="00760C95"/>
    <w:rsid w:val="007616AE"/>
    <w:rsid w:val="00767A06"/>
    <w:rsid w:val="00772DF2"/>
    <w:rsid w:val="00772F20"/>
    <w:rsid w:val="0077415A"/>
    <w:rsid w:val="00774CA9"/>
    <w:rsid w:val="00775290"/>
    <w:rsid w:val="00782937"/>
    <w:rsid w:val="00786380"/>
    <w:rsid w:val="007911ED"/>
    <w:rsid w:val="00794DE5"/>
    <w:rsid w:val="0079559F"/>
    <w:rsid w:val="00797B4F"/>
    <w:rsid w:val="007A122B"/>
    <w:rsid w:val="007B1742"/>
    <w:rsid w:val="007B7031"/>
    <w:rsid w:val="007B7FEB"/>
    <w:rsid w:val="007C5194"/>
    <w:rsid w:val="007D35B2"/>
    <w:rsid w:val="007D3D2D"/>
    <w:rsid w:val="007D7CD4"/>
    <w:rsid w:val="007E16C4"/>
    <w:rsid w:val="007E72B4"/>
    <w:rsid w:val="007F3E43"/>
    <w:rsid w:val="007F5E7B"/>
    <w:rsid w:val="00800873"/>
    <w:rsid w:val="00804480"/>
    <w:rsid w:val="00810747"/>
    <w:rsid w:val="00810F2A"/>
    <w:rsid w:val="0081395E"/>
    <w:rsid w:val="00815795"/>
    <w:rsid w:val="00815FBC"/>
    <w:rsid w:val="00816192"/>
    <w:rsid w:val="00821665"/>
    <w:rsid w:val="00824E91"/>
    <w:rsid w:val="00830111"/>
    <w:rsid w:val="00835D09"/>
    <w:rsid w:val="00843D28"/>
    <w:rsid w:val="00851ACB"/>
    <w:rsid w:val="00852398"/>
    <w:rsid w:val="008552AD"/>
    <w:rsid w:val="008604A8"/>
    <w:rsid w:val="008605F5"/>
    <w:rsid w:val="008666EB"/>
    <w:rsid w:val="00867E02"/>
    <w:rsid w:val="0087164B"/>
    <w:rsid w:val="00877192"/>
    <w:rsid w:val="00877701"/>
    <w:rsid w:val="00883830"/>
    <w:rsid w:val="008855B7"/>
    <w:rsid w:val="00896397"/>
    <w:rsid w:val="00897F4D"/>
    <w:rsid w:val="008A1777"/>
    <w:rsid w:val="008A3DB3"/>
    <w:rsid w:val="008A4433"/>
    <w:rsid w:val="008A600B"/>
    <w:rsid w:val="008A6155"/>
    <w:rsid w:val="008A744D"/>
    <w:rsid w:val="008A7C00"/>
    <w:rsid w:val="008A7F00"/>
    <w:rsid w:val="008B5BCE"/>
    <w:rsid w:val="008C10A0"/>
    <w:rsid w:val="008C3401"/>
    <w:rsid w:val="008D0752"/>
    <w:rsid w:val="008D2D89"/>
    <w:rsid w:val="008D4812"/>
    <w:rsid w:val="008D62CF"/>
    <w:rsid w:val="008D695D"/>
    <w:rsid w:val="008E2E1B"/>
    <w:rsid w:val="008E36F2"/>
    <w:rsid w:val="008E3FD9"/>
    <w:rsid w:val="008E62BB"/>
    <w:rsid w:val="008E75F2"/>
    <w:rsid w:val="008F44D4"/>
    <w:rsid w:val="00903717"/>
    <w:rsid w:val="0090522F"/>
    <w:rsid w:val="009108C8"/>
    <w:rsid w:val="00912728"/>
    <w:rsid w:val="009149DD"/>
    <w:rsid w:val="00914FFE"/>
    <w:rsid w:val="00917C19"/>
    <w:rsid w:val="009214CA"/>
    <w:rsid w:val="00923CB0"/>
    <w:rsid w:val="0092495D"/>
    <w:rsid w:val="00926F0A"/>
    <w:rsid w:val="00930178"/>
    <w:rsid w:val="0093487E"/>
    <w:rsid w:val="00941696"/>
    <w:rsid w:val="009453FF"/>
    <w:rsid w:val="00946F38"/>
    <w:rsid w:val="009474D9"/>
    <w:rsid w:val="0095068B"/>
    <w:rsid w:val="00951386"/>
    <w:rsid w:val="00953307"/>
    <w:rsid w:val="00953891"/>
    <w:rsid w:val="00954025"/>
    <w:rsid w:val="009651F1"/>
    <w:rsid w:val="00966666"/>
    <w:rsid w:val="0097404B"/>
    <w:rsid w:val="00976537"/>
    <w:rsid w:val="0098195A"/>
    <w:rsid w:val="00981A84"/>
    <w:rsid w:val="00991420"/>
    <w:rsid w:val="0099389F"/>
    <w:rsid w:val="009943D8"/>
    <w:rsid w:val="009952BE"/>
    <w:rsid w:val="00996AA8"/>
    <w:rsid w:val="00997D5E"/>
    <w:rsid w:val="009A0233"/>
    <w:rsid w:val="009A085B"/>
    <w:rsid w:val="009A3089"/>
    <w:rsid w:val="009A56C8"/>
    <w:rsid w:val="009C1AE3"/>
    <w:rsid w:val="009C6F87"/>
    <w:rsid w:val="009D1049"/>
    <w:rsid w:val="009D29C5"/>
    <w:rsid w:val="009D2D5C"/>
    <w:rsid w:val="009D51DC"/>
    <w:rsid w:val="009D5543"/>
    <w:rsid w:val="009D74DD"/>
    <w:rsid w:val="009E2BFF"/>
    <w:rsid w:val="009F0115"/>
    <w:rsid w:val="009F4190"/>
    <w:rsid w:val="009F4754"/>
    <w:rsid w:val="009F5DE0"/>
    <w:rsid w:val="00A0098C"/>
    <w:rsid w:val="00A05C51"/>
    <w:rsid w:val="00A12612"/>
    <w:rsid w:val="00A14156"/>
    <w:rsid w:val="00A16917"/>
    <w:rsid w:val="00A16FA0"/>
    <w:rsid w:val="00A2535E"/>
    <w:rsid w:val="00A33C0D"/>
    <w:rsid w:val="00A37F8D"/>
    <w:rsid w:val="00A43E5C"/>
    <w:rsid w:val="00A44D10"/>
    <w:rsid w:val="00A533A9"/>
    <w:rsid w:val="00A5671F"/>
    <w:rsid w:val="00A70877"/>
    <w:rsid w:val="00A7295D"/>
    <w:rsid w:val="00A75DBA"/>
    <w:rsid w:val="00A8026D"/>
    <w:rsid w:val="00A83558"/>
    <w:rsid w:val="00A900F5"/>
    <w:rsid w:val="00A93D13"/>
    <w:rsid w:val="00A945D8"/>
    <w:rsid w:val="00A9615A"/>
    <w:rsid w:val="00A96C4B"/>
    <w:rsid w:val="00A97DD5"/>
    <w:rsid w:val="00AB0217"/>
    <w:rsid w:val="00AB07B8"/>
    <w:rsid w:val="00AB1858"/>
    <w:rsid w:val="00AC543D"/>
    <w:rsid w:val="00AC5A48"/>
    <w:rsid w:val="00AD07CA"/>
    <w:rsid w:val="00AD3BB6"/>
    <w:rsid w:val="00AE241A"/>
    <w:rsid w:val="00AE3699"/>
    <w:rsid w:val="00AE64FF"/>
    <w:rsid w:val="00AE79D4"/>
    <w:rsid w:val="00AF02BA"/>
    <w:rsid w:val="00AF139E"/>
    <w:rsid w:val="00AF2E0C"/>
    <w:rsid w:val="00AF51DB"/>
    <w:rsid w:val="00AF72F1"/>
    <w:rsid w:val="00AF7878"/>
    <w:rsid w:val="00AF7F18"/>
    <w:rsid w:val="00B00612"/>
    <w:rsid w:val="00B00F8E"/>
    <w:rsid w:val="00B01305"/>
    <w:rsid w:val="00B0143E"/>
    <w:rsid w:val="00B01546"/>
    <w:rsid w:val="00B01D9B"/>
    <w:rsid w:val="00B1230B"/>
    <w:rsid w:val="00B167DC"/>
    <w:rsid w:val="00B16E42"/>
    <w:rsid w:val="00B17154"/>
    <w:rsid w:val="00B20282"/>
    <w:rsid w:val="00B2309C"/>
    <w:rsid w:val="00B31BA0"/>
    <w:rsid w:val="00B33B9E"/>
    <w:rsid w:val="00B34C36"/>
    <w:rsid w:val="00B35738"/>
    <w:rsid w:val="00B35F10"/>
    <w:rsid w:val="00B44EEB"/>
    <w:rsid w:val="00B47B4F"/>
    <w:rsid w:val="00B555F4"/>
    <w:rsid w:val="00B626A9"/>
    <w:rsid w:val="00B67AD4"/>
    <w:rsid w:val="00B71411"/>
    <w:rsid w:val="00B71C55"/>
    <w:rsid w:val="00B80B4C"/>
    <w:rsid w:val="00B849AD"/>
    <w:rsid w:val="00B851AE"/>
    <w:rsid w:val="00B85A1B"/>
    <w:rsid w:val="00B85D1E"/>
    <w:rsid w:val="00B9082E"/>
    <w:rsid w:val="00B9240E"/>
    <w:rsid w:val="00B97214"/>
    <w:rsid w:val="00B97B04"/>
    <w:rsid w:val="00BA25D4"/>
    <w:rsid w:val="00BA2B8B"/>
    <w:rsid w:val="00BA30DB"/>
    <w:rsid w:val="00BA5D4D"/>
    <w:rsid w:val="00BA73C5"/>
    <w:rsid w:val="00BB073D"/>
    <w:rsid w:val="00BB15DE"/>
    <w:rsid w:val="00BB5585"/>
    <w:rsid w:val="00BB6593"/>
    <w:rsid w:val="00BB6D18"/>
    <w:rsid w:val="00BC3D1F"/>
    <w:rsid w:val="00BC5A55"/>
    <w:rsid w:val="00BC7B5A"/>
    <w:rsid w:val="00BD04AB"/>
    <w:rsid w:val="00BD0CDD"/>
    <w:rsid w:val="00BD26F5"/>
    <w:rsid w:val="00BD2C5B"/>
    <w:rsid w:val="00BD689C"/>
    <w:rsid w:val="00BD7969"/>
    <w:rsid w:val="00BD7CBC"/>
    <w:rsid w:val="00BE3423"/>
    <w:rsid w:val="00BE34E0"/>
    <w:rsid w:val="00BE4D3C"/>
    <w:rsid w:val="00BE7057"/>
    <w:rsid w:val="00BF1660"/>
    <w:rsid w:val="00BF4568"/>
    <w:rsid w:val="00BF4FA2"/>
    <w:rsid w:val="00BF50A7"/>
    <w:rsid w:val="00BF578E"/>
    <w:rsid w:val="00BF66DD"/>
    <w:rsid w:val="00C058C2"/>
    <w:rsid w:val="00C17207"/>
    <w:rsid w:val="00C21246"/>
    <w:rsid w:val="00C30687"/>
    <w:rsid w:val="00C30EDA"/>
    <w:rsid w:val="00C343E1"/>
    <w:rsid w:val="00C360A4"/>
    <w:rsid w:val="00C44569"/>
    <w:rsid w:val="00C4589F"/>
    <w:rsid w:val="00C51A5D"/>
    <w:rsid w:val="00C52193"/>
    <w:rsid w:val="00C536FC"/>
    <w:rsid w:val="00C60736"/>
    <w:rsid w:val="00C614D9"/>
    <w:rsid w:val="00C70961"/>
    <w:rsid w:val="00C71DDB"/>
    <w:rsid w:val="00C72AD1"/>
    <w:rsid w:val="00C745A4"/>
    <w:rsid w:val="00C80BAE"/>
    <w:rsid w:val="00C817DF"/>
    <w:rsid w:val="00C819A7"/>
    <w:rsid w:val="00C84BCA"/>
    <w:rsid w:val="00C860F8"/>
    <w:rsid w:val="00C869D3"/>
    <w:rsid w:val="00C874D8"/>
    <w:rsid w:val="00C879B7"/>
    <w:rsid w:val="00C87D71"/>
    <w:rsid w:val="00C94391"/>
    <w:rsid w:val="00C953AA"/>
    <w:rsid w:val="00C95D81"/>
    <w:rsid w:val="00CB007B"/>
    <w:rsid w:val="00CB4732"/>
    <w:rsid w:val="00CB5513"/>
    <w:rsid w:val="00CC5955"/>
    <w:rsid w:val="00CC6997"/>
    <w:rsid w:val="00CD0823"/>
    <w:rsid w:val="00CD363D"/>
    <w:rsid w:val="00CD49A7"/>
    <w:rsid w:val="00CD5C92"/>
    <w:rsid w:val="00CE1068"/>
    <w:rsid w:val="00CE3C7D"/>
    <w:rsid w:val="00CF07AD"/>
    <w:rsid w:val="00CF3047"/>
    <w:rsid w:val="00CF49D3"/>
    <w:rsid w:val="00D0677C"/>
    <w:rsid w:val="00D075AA"/>
    <w:rsid w:val="00D10DCE"/>
    <w:rsid w:val="00D11356"/>
    <w:rsid w:val="00D12501"/>
    <w:rsid w:val="00D21F56"/>
    <w:rsid w:val="00D232D0"/>
    <w:rsid w:val="00D234B3"/>
    <w:rsid w:val="00D264D1"/>
    <w:rsid w:val="00D40E26"/>
    <w:rsid w:val="00D4348C"/>
    <w:rsid w:val="00D52A6A"/>
    <w:rsid w:val="00D572E6"/>
    <w:rsid w:val="00D61A1B"/>
    <w:rsid w:val="00D65171"/>
    <w:rsid w:val="00D70027"/>
    <w:rsid w:val="00D71DA1"/>
    <w:rsid w:val="00D73F7A"/>
    <w:rsid w:val="00D74692"/>
    <w:rsid w:val="00D7561C"/>
    <w:rsid w:val="00D75A62"/>
    <w:rsid w:val="00D83F73"/>
    <w:rsid w:val="00D87C4F"/>
    <w:rsid w:val="00D90F55"/>
    <w:rsid w:val="00D9420F"/>
    <w:rsid w:val="00D96E8B"/>
    <w:rsid w:val="00DA39B1"/>
    <w:rsid w:val="00DB202C"/>
    <w:rsid w:val="00DB48E2"/>
    <w:rsid w:val="00DC20FF"/>
    <w:rsid w:val="00DC54D2"/>
    <w:rsid w:val="00DC699B"/>
    <w:rsid w:val="00DD24E1"/>
    <w:rsid w:val="00DE6DED"/>
    <w:rsid w:val="00DE7FCC"/>
    <w:rsid w:val="00DF1009"/>
    <w:rsid w:val="00DF36AA"/>
    <w:rsid w:val="00E00A68"/>
    <w:rsid w:val="00E03123"/>
    <w:rsid w:val="00E05423"/>
    <w:rsid w:val="00E1458B"/>
    <w:rsid w:val="00E16E2D"/>
    <w:rsid w:val="00E17836"/>
    <w:rsid w:val="00E20359"/>
    <w:rsid w:val="00E21B98"/>
    <w:rsid w:val="00E27810"/>
    <w:rsid w:val="00E31F0E"/>
    <w:rsid w:val="00E3730E"/>
    <w:rsid w:val="00E45974"/>
    <w:rsid w:val="00E50058"/>
    <w:rsid w:val="00E53FCC"/>
    <w:rsid w:val="00E65141"/>
    <w:rsid w:val="00E66B8D"/>
    <w:rsid w:val="00E67C85"/>
    <w:rsid w:val="00E82B87"/>
    <w:rsid w:val="00E84B0D"/>
    <w:rsid w:val="00E857E9"/>
    <w:rsid w:val="00E935CC"/>
    <w:rsid w:val="00E94529"/>
    <w:rsid w:val="00E96554"/>
    <w:rsid w:val="00EA2D33"/>
    <w:rsid w:val="00EA4046"/>
    <w:rsid w:val="00EA419F"/>
    <w:rsid w:val="00EB2C02"/>
    <w:rsid w:val="00EB3D26"/>
    <w:rsid w:val="00EB5F7A"/>
    <w:rsid w:val="00EC42B0"/>
    <w:rsid w:val="00EC609C"/>
    <w:rsid w:val="00EC7F3B"/>
    <w:rsid w:val="00ED0334"/>
    <w:rsid w:val="00ED0340"/>
    <w:rsid w:val="00ED0AAA"/>
    <w:rsid w:val="00ED51EF"/>
    <w:rsid w:val="00ED53AC"/>
    <w:rsid w:val="00ED6C20"/>
    <w:rsid w:val="00EE27CC"/>
    <w:rsid w:val="00EE4845"/>
    <w:rsid w:val="00EF0CED"/>
    <w:rsid w:val="00EF2DEA"/>
    <w:rsid w:val="00EF478E"/>
    <w:rsid w:val="00EF496F"/>
    <w:rsid w:val="00EF62E4"/>
    <w:rsid w:val="00EF6F72"/>
    <w:rsid w:val="00EF75B2"/>
    <w:rsid w:val="00F042ED"/>
    <w:rsid w:val="00F066DC"/>
    <w:rsid w:val="00F10263"/>
    <w:rsid w:val="00F25EDC"/>
    <w:rsid w:val="00F267EB"/>
    <w:rsid w:val="00F32888"/>
    <w:rsid w:val="00F3789E"/>
    <w:rsid w:val="00F4721A"/>
    <w:rsid w:val="00F5484E"/>
    <w:rsid w:val="00F55B13"/>
    <w:rsid w:val="00F55EDD"/>
    <w:rsid w:val="00F603C1"/>
    <w:rsid w:val="00F62C16"/>
    <w:rsid w:val="00F66313"/>
    <w:rsid w:val="00F70768"/>
    <w:rsid w:val="00F71765"/>
    <w:rsid w:val="00F7555C"/>
    <w:rsid w:val="00F777D2"/>
    <w:rsid w:val="00F80CC3"/>
    <w:rsid w:val="00F8213D"/>
    <w:rsid w:val="00F82163"/>
    <w:rsid w:val="00F843B7"/>
    <w:rsid w:val="00F857E4"/>
    <w:rsid w:val="00F92A55"/>
    <w:rsid w:val="00F938E7"/>
    <w:rsid w:val="00FA439A"/>
    <w:rsid w:val="00FA5E85"/>
    <w:rsid w:val="00FB24F3"/>
    <w:rsid w:val="00FB70D8"/>
    <w:rsid w:val="00FC154A"/>
    <w:rsid w:val="00FD4FC5"/>
    <w:rsid w:val="00FD696D"/>
    <w:rsid w:val="00FE28C1"/>
    <w:rsid w:val="00FE5444"/>
    <w:rsid w:val="00FF317B"/>
    <w:rsid w:val="00FF6763"/>
    <w:rsid w:val="00FF70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lang w:val="en-GB" w:eastAsia="fr-FR"/>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uParaCharCharCharCharCharChar">
    <w:name w:val="Ju_Para Char Char Char Char Char Char"/>
    <w:basedOn w:val="Normal"/>
    <w:link w:val="JuParaCharCharCharCharCharCharChar"/>
    <w:pPr>
      <w:ind w:firstLine="284"/>
    </w:pPr>
  </w:style>
  <w:style w:type="paragraph" w:customStyle="1" w:styleId="JuHIRoman">
    <w:name w:val="Ju_H_I_Roman"/>
    <w:basedOn w:val="JuHHead"/>
    <w:next w:val="JuParaCharCharCharCharCharChar"/>
    <w:rsid w:val="00F8213D"/>
    <w:pPr>
      <w:tabs>
        <w:tab w:val="left" w:pos="357"/>
      </w:tabs>
      <w:spacing w:before="360"/>
      <w:ind w:left="357" w:hanging="357"/>
      <w:outlineLvl w:val="1"/>
    </w:pPr>
    <w:rPr>
      <w:sz w:val="24"/>
    </w:rPr>
  </w:style>
  <w:style w:type="paragraph" w:customStyle="1" w:styleId="JuHHead">
    <w:name w:val="Ju_H_Head"/>
    <w:basedOn w:val="Normal"/>
    <w:next w:val="JuParaCharCharCharCharCharChar"/>
    <w:rsid w:val="00F8213D"/>
    <w:pPr>
      <w:keepNext/>
      <w:keepLines/>
      <w:spacing w:before="720" w:after="240"/>
      <w:outlineLvl w:val="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en-GB"/>
    </w:rPr>
  </w:style>
  <w:style w:type="paragraph" w:customStyle="1" w:styleId="JuHA">
    <w:name w:val="Ju_H_A"/>
    <w:basedOn w:val="JuHIRoman"/>
    <w:next w:val="JuParaCharCharCharCharCharChar"/>
    <w:rsid w:val="00F8213D"/>
    <w:pPr>
      <w:tabs>
        <w:tab w:val="left" w:pos="584"/>
      </w:tabs>
      <w:ind w:left="584" w:hanging="352"/>
      <w:outlineLvl w:val="2"/>
    </w:pPr>
    <w:rPr>
      <w:b/>
    </w:rPr>
  </w:style>
  <w:style w:type="paragraph" w:customStyle="1" w:styleId="JuQuot">
    <w:name w:val="Ju_Quot"/>
    <w:basedOn w:val="JuParaCharCharCharCharCharChar"/>
    <w:pPr>
      <w:spacing w:before="120" w:after="120"/>
      <w:ind w:left="403" w:firstLine="176"/>
    </w:pPr>
    <w:rPr>
      <w:sz w:val="20"/>
    </w:rPr>
  </w:style>
  <w:style w:type="paragraph" w:customStyle="1" w:styleId="JuSigned">
    <w:name w:val="Ju_Signed"/>
    <w:basedOn w:val="Normal"/>
    <w:next w:val="JuParaLast"/>
    <w:pPr>
      <w:tabs>
        <w:tab w:val="center" w:pos="851"/>
        <w:tab w:val="center" w:pos="6521"/>
      </w:tabs>
      <w:spacing w:before="720"/>
      <w:jc w:val="left"/>
    </w:pPr>
  </w:style>
  <w:style w:type="paragraph" w:customStyle="1" w:styleId="JuParaLast">
    <w:name w:val="Ju_Para_Last"/>
    <w:basedOn w:val="JuParaCharCharCharCharCharChar"/>
    <w:next w:val="JuParaCharCharCharCharCharChar"/>
    <w:pPr>
      <w:spacing w:before="240"/>
      <w:ind w:firstLine="288"/>
    </w:pPr>
  </w:style>
  <w:style w:type="paragraph" w:customStyle="1" w:styleId="JuCase">
    <w:name w:val="Ju_Case"/>
    <w:basedOn w:val="JuParaCharCharCharCharCharChar"/>
    <w:next w:val="JuParaCharCharCharCharCharChar"/>
    <w:rPr>
      <w:b/>
    </w:rPr>
  </w:style>
  <w:style w:type="paragraph" w:customStyle="1" w:styleId="JuList">
    <w:name w:val="Ju_List"/>
    <w:basedOn w:val="JuParaCharCharCharCharCharChar"/>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CharCharCharCharCharChar"/>
    <w:rsid w:val="008E62BB"/>
    <w:pPr>
      <w:tabs>
        <w:tab w:val="clear" w:pos="584"/>
        <w:tab w:val="left" w:pos="975"/>
      </w:tabs>
      <w:spacing w:before="240" w:after="120"/>
      <w:ind w:left="975" w:hanging="340"/>
      <w:outlineLvl w:val="4"/>
    </w:pPr>
    <w:rPr>
      <w:sz w:val="20"/>
    </w:r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CharCharCharCharCharChar"/>
    <w:rsid w:val="008E62BB"/>
    <w:pPr>
      <w:tabs>
        <w:tab w:val="left" w:pos="731"/>
      </w:tabs>
      <w:spacing w:before="240" w:after="120"/>
      <w:ind w:left="732" w:hanging="301"/>
      <w:outlineLvl w:val="3"/>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CharCharCharCharCharChar"/>
    <w:pPr>
      <w:tabs>
        <w:tab w:val="clear" w:pos="975"/>
        <w:tab w:val="left" w:pos="1191"/>
      </w:tabs>
      <w:ind w:left="1190" w:hanging="357"/>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H">
    <w:name w:val="Ju_H_–"/>
    <w:basedOn w:val="JuHalpha"/>
    <w:next w:val="JuParaCharCharCharCharCharChar"/>
    <w:pPr>
      <w:ind w:left="1236" w:firstLine="0"/>
    </w:pPr>
    <w:rPr>
      <w:i/>
    </w:rPr>
  </w:style>
  <w:style w:type="paragraph" w:customStyle="1" w:styleId="JuHalpha">
    <w:name w:val="Ju_H_alpha"/>
    <w:basedOn w:val="JuHi"/>
    <w:next w:val="JuParaCharCharCharCharCharChar"/>
    <w:pPr>
      <w:tabs>
        <w:tab w:val="left" w:pos="1372"/>
      </w:tabs>
      <w:ind w:left="1373" w:hanging="335"/>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Head">
    <w:name w:val="Opi_H_Head"/>
    <w:basedOn w:val="JuHHead"/>
    <w:next w:val="OpiPara"/>
    <w:pPr>
      <w:spacing w:before="0"/>
      <w:jc w:val="center"/>
    </w:pPr>
  </w:style>
  <w:style w:type="paragraph" w:customStyle="1" w:styleId="OpiPara">
    <w:name w:val="Opi_Para"/>
    <w:basedOn w:val="JuParaCharCharCharCharCharChar"/>
  </w:style>
  <w:style w:type="paragraph" w:customStyle="1" w:styleId="OpiTranslation">
    <w:name w:val="Opi_Translation"/>
    <w:basedOn w:val="OpiHHead"/>
    <w:next w:val="OpiPara"/>
    <w:rPr>
      <w:sz w:val="24"/>
    </w:rPr>
  </w:style>
  <w:style w:type="paragraph" w:customStyle="1" w:styleId="JuInitialled">
    <w:name w:val="Ju_Initialled"/>
    <w:basedOn w:val="JuSigned"/>
    <w:pPr>
      <w:tabs>
        <w:tab w:val="clear" w:pos="851"/>
        <w:tab w:val="clear" w:pos="6521"/>
      </w:tabs>
      <w:jc w:val="right"/>
    </w:pPr>
  </w:style>
  <w:style w:type="paragraph" w:customStyle="1" w:styleId="JuHeader">
    <w:name w:val="Ju_Header"/>
    <w:basedOn w:val="Header"/>
    <w:pPr>
      <w:jc w:val="left"/>
    </w:pPr>
    <w:rPr>
      <w:sz w:val="18"/>
    </w:r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CharCharCharCharCharChar"/>
    <w:rPr>
      <w:sz w:val="24"/>
    </w:rPr>
  </w:style>
  <w:style w:type="paragraph" w:customStyle="1" w:styleId="DecList">
    <w:name w:val="Dec_List"/>
    <w:basedOn w:val="Normal"/>
    <w:pPr>
      <w:spacing w:before="240"/>
      <w:ind w:left="284"/>
    </w:pPr>
  </w:style>
  <w:style w:type="paragraph" w:customStyle="1" w:styleId="JuParaSub">
    <w:name w:val="Ju_Para_Sub"/>
    <w:basedOn w:val="JuParaCharCharCharCharCharChar"/>
    <w:pPr>
      <w:ind w:firstLine="567"/>
    </w:pPr>
  </w:style>
  <w:style w:type="paragraph" w:customStyle="1" w:styleId="JuQuotSub">
    <w:name w:val="Ju_Quot_Sub"/>
    <w:basedOn w:val="JuQuot"/>
    <w:pPr>
      <w:ind w:firstLine="459"/>
    </w:pPr>
  </w:style>
  <w:style w:type="paragraph" w:styleId="BalloonText">
    <w:name w:val="Balloon Text"/>
    <w:basedOn w:val="Normal"/>
    <w:semiHidden/>
    <w:rsid w:val="00283F8B"/>
    <w:rPr>
      <w:rFonts w:ascii="Tahoma" w:hAnsi="Tahoma" w:cs="Tahoma"/>
      <w:sz w:val="16"/>
      <w:szCs w:val="16"/>
    </w:rPr>
  </w:style>
  <w:style w:type="character" w:customStyle="1" w:styleId="JuParaCharCharCharCharCharCharChar">
    <w:name w:val="Ju_Para Char Char Char Char Char Char Char"/>
    <w:basedOn w:val="DefaultParagraphFont"/>
    <w:link w:val="JuParaCharCharCharCharCharChar"/>
    <w:rsid w:val="00946F38"/>
    <w:rPr>
      <w:sz w:val="24"/>
      <w:lang w:val="en-GB" w:eastAsia="fr-FR" w:bidi="ar-SA"/>
    </w:rPr>
  </w:style>
  <w:style w:type="table" w:styleId="TableGrid">
    <w:name w:val="Table Grid"/>
    <w:basedOn w:val="TableNormal"/>
    <w:rsid w:val="00262DC5"/>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uParaChar">
    <w:name w:val="Ju_Para Char"/>
    <w:basedOn w:val="Normal"/>
    <w:link w:val="JuParaCharChar"/>
    <w:rsid w:val="00E31F0E"/>
    <w:pPr>
      <w:ind w:firstLine="284"/>
    </w:pPr>
  </w:style>
  <w:style w:type="character" w:customStyle="1" w:styleId="JuParaCharChar">
    <w:name w:val="Ju_Para Char Char"/>
    <w:basedOn w:val="DefaultParagraphFont"/>
    <w:link w:val="JuParaChar"/>
    <w:rsid w:val="00E31F0E"/>
    <w:rPr>
      <w:sz w:val="24"/>
      <w:lang w:val="en-GB" w:eastAsia="fr-FR" w:bidi="ar-SA"/>
    </w:rPr>
  </w:style>
  <w:style w:type="paragraph" w:styleId="DocumentMap">
    <w:name w:val="Document Map"/>
    <w:basedOn w:val="Normal"/>
    <w:semiHidden/>
    <w:rsid w:val="00733CE0"/>
    <w:pPr>
      <w:shd w:val="clear" w:color="auto" w:fill="000080"/>
    </w:pPr>
    <w:rPr>
      <w:rFonts w:ascii="Tahoma" w:hAnsi="Tahoma" w:cs="Tahoma"/>
    </w:rPr>
  </w:style>
  <w:style w:type="paragraph" w:styleId="CommentSubject">
    <w:name w:val="annotation subject"/>
    <w:basedOn w:val="CommentText"/>
    <w:next w:val="CommentText"/>
    <w:semiHidden/>
    <w:rsid w:val="005D7FBB"/>
    <w:rPr>
      <w:b/>
      <w:bCs/>
    </w:rPr>
  </w:style>
  <w:style w:type="paragraph" w:customStyle="1" w:styleId="JuPara">
    <w:name w:val="Ju_Para"/>
    <w:basedOn w:val="Normal"/>
    <w:link w:val="JuParaChar1"/>
    <w:rsid w:val="00373025"/>
    <w:pPr>
      <w:ind w:firstLine="284"/>
    </w:pPr>
  </w:style>
  <w:style w:type="character" w:customStyle="1" w:styleId="JuParaChar1">
    <w:name w:val="Ju_Para Char1"/>
    <w:basedOn w:val="DefaultParagraphFont"/>
    <w:link w:val="JuPara"/>
    <w:rsid w:val="0021113A"/>
    <w:rPr>
      <w:sz w:val="24"/>
      <w:lang w:val="en-GB" w:eastAsia="fr-FR" w:bidi="ar-SA"/>
    </w:rPr>
  </w:style>
  <w:style w:type="paragraph" w:customStyle="1" w:styleId="JuParaCharCharCharChar">
    <w:name w:val="Ju_Para Char Char Char Char"/>
    <w:basedOn w:val="Normal"/>
    <w:rsid w:val="00A7295D"/>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186">
      <w:bodyDiv w:val="1"/>
      <w:marLeft w:val="0"/>
      <w:marRight w:val="0"/>
      <w:marTop w:val="0"/>
      <w:marBottom w:val="0"/>
      <w:divBdr>
        <w:top w:val="none" w:sz="0" w:space="0" w:color="auto"/>
        <w:left w:val="none" w:sz="0" w:space="0" w:color="auto"/>
        <w:bottom w:val="none" w:sz="0" w:space="0" w:color="auto"/>
        <w:right w:val="none" w:sz="0" w:space="0" w:color="auto"/>
      </w:divBdr>
    </w:div>
    <w:div w:id="94448877">
      <w:bodyDiv w:val="1"/>
      <w:marLeft w:val="0"/>
      <w:marRight w:val="0"/>
      <w:marTop w:val="0"/>
      <w:marBottom w:val="0"/>
      <w:divBdr>
        <w:top w:val="none" w:sz="0" w:space="0" w:color="auto"/>
        <w:left w:val="none" w:sz="0" w:space="0" w:color="auto"/>
        <w:bottom w:val="none" w:sz="0" w:space="0" w:color="auto"/>
        <w:right w:val="none" w:sz="0" w:space="0" w:color="auto"/>
      </w:divBdr>
    </w:div>
    <w:div w:id="135026254">
      <w:bodyDiv w:val="1"/>
      <w:marLeft w:val="0"/>
      <w:marRight w:val="0"/>
      <w:marTop w:val="0"/>
      <w:marBottom w:val="0"/>
      <w:divBdr>
        <w:top w:val="none" w:sz="0" w:space="0" w:color="auto"/>
        <w:left w:val="none" w:sz="0" w:space="0" w:color="auto"/>
        <w:bottom w:val="none" w:sz="0" w:space="0" w:color="auto"/>
        <w:right w:val="none" w:sz="0" w:space="0" w:color="auto"/>
      </w:divBdr>
    </w:div>
    <w:div w:id="180047481">
      <w:bodyDiv w:val="1"/>
      <w:marLeft w:val="0"/>
      <w:marRight w:val="0"/>
      <w:marTop w:val="0"/>
      <w:marBottom w:val="0"/>
      <w:divBdr>
        <w:top w:val="none" w:sz="0" w:space="0" w:color="auto"/>
        <w:left w:val="none" w:sz="0" w:space="0" w:color="auto"/>
        <w:bottom w:val="none" w:sz="0" w:space="0" w:color="auto"/>
        <w:right w:val="none" w:sz="0" w:space="0" w:color="auto"/>
      </w:divBdr>
    </w:div>
    <w:div w:id="238256073">
      <w:bodyDiv w:val="1"/>
      <w:marLeft w:val="0"/>
      <w:marRight w:val="0"/>
      <w:marTop w:val="0"/>
      <w:marBottom w:val="0"/>
      <w:divBdr>
        <w:top w:val="none" w:sz="0" w:space="0" w:color="auto"/>
        <w:left w:val="none" w:sz="0" w:space="0" w:color="auto"/>
        <w:bottom w:val="none" w:sz="0" w:space="0" w:color="auto"/>
        <w:right w:val="none" w:sz="0" w:space="0" w:color="auto"/>
      </w:divBdr>
    </w:div>
    <w:div w:id="303051964">
      <w:bodyDiv w:val="1"/>
      <w:marLeft w:val="0"/>
      <w:marRight w:val="0"/>
      <w:marTop w:val="0"/>
      <w:marBottom w:val="0"/>
      <w:divBdr>
        <w:top w:val="none" w:sz="0" w:space="0" w:color="auto"/>
        <w:left w:val="none" w:sz="0" w:space="0" w:color="auto"/>
        <w:bottom w:val="none" w:sz="0" w:space="0" w:color="auto"/>
        <w:right w:val="none" w:sz="0" w:space="0" w:color="auto"/>
      </w:divBdr>
    </w:div>
    <w:div w:id="377318511">
      <w:bodyDiv w:val="1"/>
      <w:marLeft w:val="0"/>
      <w:marRight w:val="0"/>
      <w:marTop w:val="0"/>
      <w:marBottom w:val="0"/>
      <w:divBdr>
        <w:top w:val="none" w:sz="0" w:space="0" w:color="auto"/>
        <w:left w:val="none" w:sz="0" w:space="0" w:color="auto"/>
        <w:bottom w:val="none" w:sz="0" w:space="0" w:color="auto"/>
        <w:right w:val="none" w:sz="0" w:space="0" w:color="auto"/>
      </w:divBdr>
    </w:div>
    <w:div w:id="391076502">
      <w:bodyDiv w:val="1"/>
      <w:marLeft w:val="0"/>
      <w:marRight w:val="0"/>
      <w:marTop w:val="0"/>
      <w:marBottom w:val="0"/>
      <w:divBdr>
        <w:top w:val="none" w:sz="0" w:space="0" w:color="auto"/>
        <w:left w:val="none" w:sz="0" w:space="0" w:color="auto"/>
        <w:bottom w:val="none" w:sz="0" w:space="0" w:color="auto"/>
        <w:right w:val="none" w:sz="0" w:space="0" w:color="auto"/>
      </w:divBdr>
    </w:div>
    <w:div w:id="506944635">
      <w:bodyDiv w:val="1"/>
      <w:marLeft w:val="0"/>
      <w:marRight w:val="0"/>
      <w:marTop w:val="0"/>
      <w:marBottom w:val="0"/>
      <w:divBdr>
        <w:top w:val="none" w:sz="0" w:space="0" w:color="auto"/>
        <w:left w:val="none" w:sz="0" w:space="0" w:color="auto"/>
        <w:bottom w:val="none" w:sz="0" w:space="0" w:color="auto"/>
        <w:right w:val="none" w:sz="0" w:space="0" w:color="auto"/>
      </w:divBdr>
    </w:div>
    <w:div w:id="531503641">
      <w:bodyDiv w:val="1"/>
      <w:marLeft w:val="0"/>
      <w:marRight w:val="0"/>
      <w:marTop w:val="0"/>
      <w:marBottom w:val="0"/>
      <w:divBdr>
        <w:top w:val="none" w:sz="0" w:space="0" w:color="auto"/>
        <w:left w:val="none" w:sz="0" w:space="0" w:color="auto"/>
        <w:bottom w:val="none" w:sz="0" w:space="0" w:color="auto"/>
        <w:right w:val="none" w:sz="0" w:space="0" w:color="auto"/>
      </w:divBdr>
    </w:div>
    <w:div w:id="552233943">
      <w:bodyDiv w:val="1"/>
      <w:marLeft w:val="0"/>
      <w:marRight w:val="0"/>
      <w:marTop w:val="0"/>
      <w:marBottom w:val="0"/>
      <w:divBdr>
        <w:top w:val="none" w:sz="0" w:space="0" w:color="auto"/>
        <w:left w:val="none" w:sz="0" w:space="0" w:color="auto"/>
        <w:bottom w:val="none" w:sz="0" w:space="0" w:color="auto"/>
        <w:right w:val="none" w:sz="0" w:space="0" w:color="auto"/>
      </w:divBdr>
    </w:div>
    <w:div w:id="576477505">
      <w:bodyDiv w:val="1"/>
      <w:marLeft w:val="0"/>
      <w:marRight w:val="0"/>
      <w:marTop w:val="0"/>
      <w:marBottom w:val="0"/>
      <w:divBdr>
        <w:top w:val="none" w:sz="0" w:space="0" w:color="auto"/>
        <w:left w:val="none" w:sz="0" w:space="0" w:color="auto"/>
        <w:bottom w:val="none" w:sz="0" w:space="0" w:color="auto"/>
        <w:right w:val="none" w:sz="0" w:space="0" w:color="auto"/>
      </w:divBdr>
    </w:div>
    <w:div w:id="586573482">
      <w:bodyDiv w:val="1"/>
      <w:marLeft w:val="0"/>
      <w:marRight w:val="0"/>
      <w:marTop w:val="0"/>
      <w:marBottom w:val="0"/>
      <w:divBdr>
        <w:top w:val="none" w:sz="0" w:space="0" w:color="auto"/>
        <w:left w:val="none" w:sz="0" w:space="0" w:color="auto"/>
        <w:bottom w:val="none" w:sz="0" w:space="0" w:color="auto"/>
        <w:right w:val="none" w:sz="0" w:space="0" w:color="auto"/>
      </w:divBdr>
    </w:div>
    <w:div w:id="668210985">
      <w:bodyDiv w:val="1"/>
      <w:marLeft w:val="0"/>
      <w:marRight w:val="0"/>
      <w:marTop w:val="0"/>
      <w:marBottom w:val="0"/>
      <w:divBdr>
        <w:top w:val="none" w:sz="0" w:space="0" w:color="auto"/>
        <w:left w:val="none" w:sz="0" w:space="0" w:color="auto"/>
        <w:bottom w:val="none" w:sz="0" w:space="0" w:color="auto"/>
        <w:right w:val="none" w:sz="0" w:space="0" w:color="auto"/>
      </w:divBdr>
      <w:divsChild>
        <w:div w:id="1743091468">
          <w:marLeft w:val="0"/>
          <w:marRight w:val="0"/>
          <w:marTop w:val="0"/>
          <w:marBottom w:val="0"/>
          <w:divBdr>
            <w:top w:val="none" w:sz="0" w:space="0" w:color="auto"/>
            <w:left w:val="none" w:sz="0" w:space="0" w:color="auto"/>
            <w:bottom w:val="none" w:sz="0" w:space="0" w:color="auto"/>
            <w:right w:val="none" w:sz="0" w:space="0" w:color="auto"/>
          </w:divBdr>
        </w:div>
      </w:divsChild>
    </w:div>
    <w:div w:id="721176650">
      <w:bodyDiv w:val="1"/>
      <w:marLeft w:val="0"/>
      <w:marRight w:val="0"/>
      <w:marTop w:val="0"/>
      <w:marBottom w:val="0"/>
      <w:divBdr>
        <w:top w:val="none" w:sz="0" w:space="0" w:color="auto"/>
        <w:left w:val="none" w:sz="0" w:space="0" w:color="auto"/>
        <w:bottom w:val="none" w:sz="0" w:space="0" w:color="auto"/>
        <w:right w:val="none" w:sz="0" w:space="0" w:color="auto"/>
      </w:divBdr>
    </w:div>
    <w:div w:id="736365609">
      <w:bodyDiv w:val="1"/>
      <w:marLeft w:val="0"/>
      <w:marRight w:val="0"/>
      <w:marTop w:val="0"/>
      <w:marBottom w:val="0"/>
      <w:divBdr>
        <w:top w:val="none" w:sz="0" w:space="0" w:color="auto"/>
        <w:left w:val="none" w:sz="0" w:space="0" w:color="auto"/>
        <w:bottom w:val="none" w:sz="0" w:space="0" w:color="auto"/>
        <w:right w:val="none" w:sz="0" w:space="0" w:color="auto"/>
      </w:divBdr>
    </w:div>
    <w:div w:id="773985470">
      <w:bodyDiv w:val="1"/>
      <w:marLeft w:val="0"/>
      <w:marRight w:val="0"/>
      <w:marTop w:val="0"/>
      <w:marBottom w:val="0"/>
      <w:divBdr>
        <w:top w:val="none" w:sz="0" w:space="0" w:color="auto"/>
        <w:left w:val="none" w:sz="0" w:space="0" w:color="auto"/>
        <w:bottom w:val="none" w:sz="0" w:space="0" w:color="auto"/>
        <w:right w:val="none" w:sz="0" w:space="0" w:color="auto"/>
      </w:divBdr>
    </w:div>
    <w:div w:id="925462624">
      <w:bodyDiv w:val="1"/>
      <w:marLeft w:val="0"/>
      <w:marRight w:val="0"/>
      <w:marTop w:val="0"/>
      <w:marBottom w:val="0"/>
      <w:divBdr>
        <w:top w:val="none" w:sz="0" w:space="0" w:color="auto"/>
        <w:left w:val="none" w:sz="0" w:space="0" w:color="auto"/>
        <w:bottom w:val="none" w:sz="0" w:space="0" w:color="auto"/>
        <w:right w:val="none" w:sz="0" w:space="0" w:color="auto"/>
      </w:divBdr>
    </w:div>
    <w:div w:id="959262879">
      <w:bodyDiv w:val="1"/>
      <w:marLeft w:val="0"/>
      <w:marRight w:val="0"/>
      <w:marTop w:val="0"/>
      <w:marBottom w:val="0"/>
      <w:divBdr>
        <w:top w:val="none" w:sz="0" w:space="0" w:color="auto"/>
        <w:left w:val="none" w:sz="0" w:space="0" w:color="auto"/>
        <w:bottom w:val="none" w:sz="0" w:space="0" w:color="auto"/>
        <w:right w:val="none" w:sz="0" w:space="0" w:color="auto"/>
      </w:divBdr>
    </w:div>
    <w:div w:id="998077366">
      <w:bodyDiv w:val="1"/>
      <w:marLeft w:val="0"/>
      <w:marRight w:val="0"/>
      <w:marTop w:val="0"/>
      <w:marBottom w:val="0"/>
      <w:divBdr>
        <w:top w:val="none" w:sz="0" w:space="0" w:color="auto"/>
        <w:left w:val="none" w:sz="0" w:space="0" w:color="auto"/>
        <w:bottom w:val="none" w:sz="0" w:space="0" w:color="auto"/>
        <w:right w:val="none" w:sz="0" w:space="0" w:color="auto"/>
      </w:divBdr>
    </w:div>
    <w:div w:id="1020355379">
      <w:bodyDiv w:val="1"/>
      <w:marLeft w:val="0"/>
      <w:marRight w:val="0"/>
      <w:marTop w:val="0"/>
      <w:marBottom w:val="0"/>
      <w:divBdr>
        <w:top w:val="none" w:sz="0" w:space="0" w:color="auto"/>
        <w:left w:val="none" w:sz="0" w:space="0" w:color="auto"/>
        <w:bottom w:val="none" w:sz="0" w:space="0" w:color="auto"/>
        <w:right w:val="none" w:sz="0" w:space="0" w:color="auto"/>
      </w:divBdr>
    </w:div>
    <w:div w:id="1073622072">
      <w:bodyDiv w:val="1"/>
      <w:marLeft w:val="0"/>
      <w:marRight w:val="0"/>
      <w:marTop w:val="0"/>
      <w:marBottom w:val="0"/>
      <w:divBdr>
        <w:top w:val="none" w:sz="0" w:space="0" w:color="auto"/>
        <w:left w:val="none" w:sz="0" w:space="0" w:color="auto"/>
        <w:bottom w:val="none" w:sz="0" w:space="0" w:color="auto"/>
        <w:right w:val="none" w:sz="0" w:space="0" w:color="auto"/>
      </w:divBdr>
    </w:div>
    <w:div w:id="1100375955">
      <w:bodyDiv w:val="1"/>
      <w:marLeft w:val="0"/>
      <w:marRight w:val="0"/>
      <w:marTop w:val="0"/>
      <w:marBottom w:val="0"/>
      <w:divBdr>
        <w:top w:val="none" w:sz="0" w:space="0" w:color="auto"/>
        <w:left w:val="none" w:sz="0" w:space="0" w:color="auto"/>
        <w:bottom w:val="none" w:sz="0" w:space="0" w:color="auto"/>
        <w:right w:val="none" w:sz="0" w:space="0" w:color="auto"/>
      </w:divBdr>
      <w:divsChild>
        <w:div w:id="1700819624">
          <w:marLeft w:val="0"/>
          <w:marRight w:val="0"/>
          <w:marTop w:val="0"/>
          <w:marBottom w:val="0"/>
          <w:divBdr>
            <w:top w:val="none" w:sz="0" w:space="0" w:color="auto"/>
            <w:left w:val="none" w:sz="0" w:space="0" w:color="auto"/>
            <w:bottom w:val="none" w:sz="0" w:space="0" w:color="auto"/>
            <w:right w:val="none" w:sz="0" w:space="0" w:color="auto"/>
          </w:divBdr>
        </w:div>
      </w:divsChild>
    </w:div>
    <w:div w:id="1157765898">
      <w:bodyDiv w:val="1"/>
      <w:marLeft w:val="0"/>
      <w:marRight w:val="0"/>
      <w:marTop w:val="0"/>
      <w:marBottom w:val="0"/>
      <w:divBdr>
        <w:top w:val="none" w:sz="0" w:space="0" w:color="auto"/>
        <w:left w:val="none" w:sz="0" w:space="0" w:color="auto"/>
        <w:bottom w:val="none" w:sz="0" w:space="0" w:color="auto"/>
        <w:right w:val="none" w:sz="0" w:space="0" w:color="auto"/>
      </w:divBdr>
    </w:div>
    <w:div w:id="1160536444">
      <w:bodyDiv w:val="1"/>
      <w:marLeft w:val="0"/>
      <w:marRight w:val="0"/>
      <w:marTop w:val="0"/>
      <w:marBottom w:val="0"/>
      <w:divBdr>
        <w:top w:val="none" w:sz="0" w:space="0" w:color="auto"/>
        <w:left w:val="none" w:sz="0" w:space="0" w:color="auto"/>
        <w:bottom w:val="none" w:sz="0" w:space="0" w:color="auto"/>
        <w:right w:val="none" w:sz="0" w:space="0" w:color="auto"/>
      </w:divBdr>
    </w:div>
    <w:div w:id="1177967386">
      <w:bodyDiv w:val="1"/>
      <w:marLeft w:val="0"/>
      <w:marRight w:val="0"/>
      <w:marTop w:val="0"/>
      <w:marBottom w:val="0"/>
      <w:divBdr>
        <w:top w:val="none" w:sz="0" w:space="0" w:color="auto"/>
        <w:left w:val="none" w:sz="0" w:space="0" w:color="auto"/>
        <w:bottom w:val="none" w:sz="0" w:space="0" w:color="auto"/>
        <w:right w:val="none" w:sz="0" w:space="0" w:color="auto"/>
      </w:divBdr>
    </w:div>
    <w:div w:id="1286472467">
      <w:bodyDiv w:val="1"/>
      <w:marLeft w:val="0"/>
      <w:marRight w:val="0"/>
      <w:marTop w:val="0"/>
      <w:marBottom w:val="0"/>
      <w:divBdr>
        <w:top w:val="none" w:sz="0" w:space="0" w:color="auto"/>
        <w:left w:val="none" w:sz="0" w:space="0" w:color="auto"/>
        <w:bottom w:val="none" w:sz="0" w:space="0" w:color="auto"/>
        <w:right w:val="none" w:sz="0" w:space="0" w:color="auto"/>
      </w:divBdr>
    </w:div>
    <w:div w:id="1398552412">
      <w:bodyDiv w:val="1"/>
      <w:marLeft w:val="0"/>
      <w:marRight w:val="0"/>
      <w:marTop w:val="0"/>
      <w:marBottom w:val="0"/>
      <w:divBdr>
        <w:top w:val="none" w:sz="0" w:space="0" w:color="auto"/>
        <w:left w:val="none" w:sz="0" w:space="0" w:color="auto"/>
        <w:bottom w:val="none" w:sz="0" w:space="0" w:color="auto"/>
        <w:right w:val="none" w:sz="0" w:space="0" w:color="auto"/>
      </w:divBdr>
    </w:div>
    <w:div w:id="1446194063">
      <w:bodyDiv w:val="1"/>
      <w:marLeft w:val="0"/>
      <w:marRight w:val="0"/>
      <w:marTop w:val="0"/>
      <w:marBottom w:val="0"/>
      <w:divBdr>
        <w:top w:val="none" w:sz="0" w:space="0" w:color="auto"/>
        <w:left w:val="none" w:sz="0" w:space="0" w:color="auto"/>
        <w:bottom w:val="none" w:sz="0" w:space="0" w:color="auto"/>
        <w:right w:val="none" w:sz="0" w:space="0" w:color="auto"/>
      </w:divBdr>
    </w:div>
    <w:div w:id="1455947957">
      <w:bodyDiv w:val="1"/>
      <w:marLeft w:val="0"/>
      <w:marRight w:val="0"/>
      <w:marTop w:val="0"/>
      <w:marBottom w:val="0"/>
      <w:divBdr>
        <w:top w:val="none" w:sz="0" w:space="0" w:color="auto"/>
        <w:left w:val="none" w:sz="0" w:space="0" w:color="auto"/>
        <w:bottom w:val="none" w:sz="0" w:space="0" w:color="auto"/>
        <w:right w:val="none" w:sz="0" w:space="0" w:color="auto"/>
      </w:divBdr>
    </w:div>
    <w:div w:id="1505902738">
      <w:bodyDiv w:val="1"/>
      <w:marLeft w:val="0"/>
      <w:marRight w:val="0"/>
      <w:marTop w:val="0"/>
      <w:marBottom w:val="0"/>
      <w:divBdr>
        <w:top w:val="none" w:sz="0" w:space="0" w:color="auto"/>
        <w:left w:val="none" w:sz="0" w:space="0" w:color="auto"/>
        <w:bottom w:val="none" w:sz="0" w:space="0" w:color="auto"/>
        <w:right w:val="none" w:sz="0" w:space="0" w:color="auto"/>
      </w:divBdr>
    </w:div>
    <w:div w:id="1524784928">
      <w:bodyDiv w:val="1"/>
      <w:marLeft w:val="0"/>
      <w:marRight w:val="0"/>
      <w:marTop w:val="0"/>
      <w:marBottom w:val="0"/>
      <w:divBdr>
        <w:top w:val="none" w:sz="0" w:space="0" w:color="auto"/>
        <w:left w:val="none" w:sz="0" w:space="0" w:color="auto"/>
        <w:bottom w:val="none" w:sz="0" w:space="0" w:color="auto"/>
        <w:right w:val="none" w:sz="0" w:space="0" w:color="auto"/>
      </w:divBdr>
    </w:div>
    <w:div w:id="1539123880">
      <w:bodyDiv w:val="1"/>
      <w:marLeft w:val="0"/>
      <w:marRight w:val="0"/>
      <w:marTop w:val="0"/>
      <w:marBottom w:val="0"/>
      <w:divBdr>
        <w:top w:val="none" w:sz="0" w:space="0" w:color="auto"/>
        <w:left w:val="none" w:sz="0" w:space="0" w:color="auto"/>
        <w:bottom w:val="none" w:sz="0" w:space="0" w:color="auto"/>
        <w:right w:val="none" w:sz="0" w:space="0" w:color="auto"/>
      </w:divBdr>
    </w:div>
    <w:div w:id="1680237510">
      <w:bodyDiv w:val="1"/>
      <w:marLeft w:val="0"/>
      <w:marRight w:val="0"/>
      <w:marTop w:val="0"/>
      <w:marBottom w:val="0"/>
      <w:divBdr>
        <w:top w:val="none" w:sz="0" w:space="0" w:color="auto"/>
        <w:left w:val="none" w:sz="0" w:space="0" w:color="auto"/>
        <w:bottom w:val="none" w:sz="0" w:space="0" w:color="auto"/>
        <w:right w:val="none" w:sz="0" w:space="0" w:color="auto"/>
      </w:divBdr>
    </w:div>
    <w:div w:id="1688561488">
      <w:bodyDiv w:val="1"/>
      <w:marLeft w:val="0"/>
      <w:marRight w:val="0"/>
      <w:marTop w:val="0"/>
      <w:marBottom w:val="0"/>
      <w:divBdr>
        <w:top w:val="none" w:sz="0" w:space="0" w:color="auto"/>
        <w:left w:val="none" w:sz="0" w:space="0" w:color="auto"/>
        <w:bottom w:val="none" w:sz="0" w:space="0" w:color="auto"/>
        <w:right w:val="none" w:sz="0" w:space="0" w:color="auto"/>
      </w:divBdr>
    </w:div>
    <w:div w:id="1719745488">
      <w:bodyDiv w:val="1"/>
      <w:marLeft w:val="0"/>
      <w:marRight w:val="0"/>
      <w:marTop w:val="0"/>
      <w:marBottom w:val="0"/>
      <w:divBdr>
        <w:top w:val="none" w:sz="0" w:space="0" w:color="auto"/>
        <w:left w:val="none" w:sz="0" w:space="0" w:color="auto"/>
        <w:bottom w:val="none" w:sz="0" w:space="0" w:color="auto"/>
        <w:right w:val="none" w:sz="0" w:space="0" w:color="auto"/>
      </w:divBdr>
    </w:div>
    <w:div w:id="1734036087">
      <w:bodyDiv w:val="1"/>
      <w:marLeft w:val="0"/>
      <w:marRight w:val="0"/>
      <w:marTop w:val="0"/>
      <w:marBottom w:val="0"/>
      <w:divBdr>
        <w:top w:val="none" w:sz="0" w:space="0" w:color="auto"/>
        <w:left w:val="none" w:sz="0" w:space="0" w:color="auto"/>
        <w:bottom w:val="none" w:sz="0" w:space="0" w:color="auto"/>
        <w:right w:val="none" w:sz="0" w:space="0" w:color="auto"/>
      </w:divBdr>
    </w:div>
    <w:div w:id="1786272916">
      <w:bodyDiv w:val="1"/>
      <w:marLeft w:val="0"/>
      <w:marRight w:val="0"/>
      <w:marTop w:val="0"/>
      <w:marBottom w:val="0"/>
      <w:divBdr>
        <w:top w:val="none" w:sz="0" w:space="0" w:color="auto"/>
        <w:left w:val="none" w:sz="0" w:space="0" w:color="auto"/>
        <w:bottom w:val="none" w:sz="0" w:space="0" w:color="auto"/>
        <w:right w:val="none" w:sz="0" w:space="0" w:color="auto"/>
      </w:divBdr>
    </w:div>
    <w:div w:id="1790706974">
      <w:bodyDiv w:val="1"/>
      <w:marLeft w:val="0"/>
      <w:marRight w:val="0"/>
      <w:marTop w:val="0"/>
      <w:marBottom w:val="0"/>
      <w:divBdr>
        <w:top w:val="none" w:sz="0" w:space="0" w:color="auto"/>
        <w:left w:val="none" w:sz="0" w:space="0" w:color="auto"/>
        <w:bottom w:val="none" w:sz="0" w:space="0" w:color="auto"/>
        <w:right w:val="none" w:sz="0" w:space="0" w:color="auto"/>
      </w:divBdr>
    </w:div>
    <w:div w:id="1846750962">
      <w:bodyDiv w:val="1"/>
      <w:marLeft w:val="0"/>
      <w:marRight w:val="0"/>
      <w:marTop w:val="0"/>
      <w:marBottom w:val="0"/>
      <w:divBdr>
        <w:top w:val="none" w:sz="0" w:space="0" w:color="auto"/>
        <w:left w:val="none" w:sz="0" w:space="0" w:color="auto"/>
        <w:bottom w:val="none" w:sz="0" w:space="0" w:color="auto"/>
        <w:right w:val="none" w:sz="0" w:space="0" w:color="auto"/>
      </w:divBdr>
    </w:div>
    <w:div w:id="1870877213">
      <w:bodyDiv w:val="1"/>
      <w:marLeft w:val="0"/>
      <w:marRight w:val="0"/>
      <w:marTop w:val="0"/>
      <w:marBottom w:val="0"/>
      <w:divBdr>
        <w:top w:val="none" w:sz="0" w:space="0" w:color="auto"/>
        <w:left w:val="none" w:sz="0" w:space="0" w:color="auto"/>
        <w:bottom w:val="none" w:sz="0" w:space="0" w:color="auto"/>
        <w:right w:val="none" w:sz="0" w:space="0" w:color="auto"/>
      </w:divBdr>
    </w:div>
    <w:div w:id="1918204041">
      <w:bodyDiv w:val="1"/>
      <w:marLeft w:val="0"/>
      <w:marRight w:val="0"/>
      <w:marTop w:val="0"/>
      <w:marBottom w:val="0"/>
      <w:divBdr>
        <w:top w:val="none" w:sz="0" w:space="0" w:color="auto"/>
        <w:left w:val="none" w:sz="0" w:space="0" w:color="auto"/>
        <w:bottom w:val="none" w:sz="0" w:space="0" w:color="auto"/>
        <w:right w:val="none" w:sz="0" w:space="0" w:color="auto"/>
      </w:divBdr>
    </w:div>
    <w:div w:id="2053385034">
      <w:bodyDiv w:val="1"/>
      <w:marLeft w:val="0"/>
      <w:marRight w:val="0"/>
      <w:marTop w:val="0"/>
      <w:marBottom w:val="0"/>
      <w:divBdr>
        <w:top w:val="none" w:sz="0" w:space="0" w:color="auto"/>
        <w:left w:val="none" w:sz="0" w:space="0" w:color="auto"/>
        <w:bottom w:val="none" w:sz="0" w:space="0" w:color="auto"/>
        <w:right w:val="none" w:sz="0" w:space="0" w:color="auto"/>
      </w:divBdr>
    </w:div>
    <w:div w:id="2077051558">
      <w:bodyDiv w:val="1"/>
      <w:marLeft w:val="0"/>
      <w:marRight w:val="0"/>
      <w:marTop w:val="0"/>
      <w:marBottom w:val="0"/>
      <w:divBdr>
        <w:top w:val="none" w:sz="0" w:space="0" w:color="auto"/>
        <w:left w:val="none" w:sz="0" w:space="0" w:color="auto"/>
        <w:bottom w:val="none" w:sz="0" w:space="0" w:color="auto"/>
        <w:right w:val="none" w:sz="0" w:space="0" w:color="auto"/>
      </w:divBdr>
      <w:divsChild>
        <w:div w:id="390233066">
          <w:marLeft w:val="0"/>
          <w:marRight w:val="0"/>
          <w:marTop w:val="0"/>
          <w:marBottom w:val="0"/>
          <w:divBdr>
            <w:top w:val="none" w:sz="0" w:space="0" w:color="auto"/>
            <w:left w:val="none" w:sz="0" w:space="0" w:color="auto"/>
            <w:bottom w:val="none" w:sz="0" w:space="0" w:color="auto"/>
            <w:right w:val="none" w:sz="0" w:space="0" w:color="auto"/>
          </w:divBdr>
        </w:div>
      </w:divsChild>
    </w:div>
    <w:div w:id="2084639206">
      <w:bodyDiv w:val="1"/>
      <w:marLeft w:val="0"/>
      <w:marRight w:val="0"/>
      <w:marTop w:val="0"/>
      <w:marBottom w:val="0"/>
      <w:divBdr>
        <w:top w:val="none" w:sz="0" w:space="0" w:color="auto"/>
        <w:left w:val="none" w:sz="0" w:space="0" w:color="auto"/>
        <w:bottom w:val="none" w:sz="0" w:space="0" w:color="auto"/>
        <w:right w:val="none" w:sz="0" w:space="0" w:color="auto"/>
      </w:divBdr>
    </w:div>
    <w:div w:id="2126537542">
      <w:bodyDiv w:val="1"/>
      <w:marLeft w:val="0"/>
      <w:marRight w:val="0"/>
      <w:marTop w:val="0"/>
      <w:marBottom w:val="0"/>
      <w:divBdr>
        <w:top w:val="none" w:sz="0" w:space="0" w:color="auto"/>
        <w:left w:val="none" w:sz="0" w:space="0" w:color="auto"/>
        <w:bottom w:val="none" w:sz="0" w:space="0" w:color="auto"/>
        <w:right w:val="none" w:sz="0" w:space="0" w:color="auto"/>
      </w:divBdr>
    </w:div>
    <w:div w:id="21419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52B8F-B3FA-4933-AF3B-5C138EC1769C}"/>
</file>

<file path=customXml/itemProps2.xml><?xml version="1.0" encoding="utf-8"?>
<ds:datastoreItem xmlns:ds="http://schemas.openxmlformats.org/officeDocument/2006/customXml" ds:itemID="{35C2E203-FA38-4D46-A59C-A77614E60F48}"/>
</file>

<file path=customXml/itemProps3.xml><?xml version="1.0" encoding="utf-8"?>
<ds:datastoreItem xmlns:ds="http://schemas.openxmlformats.org/officeDocument/2006/customXml" ds:itemID="{CB9ABCD9-68A2-4D81-B0C6-958A8B6779DC}"/>
</file>

<file path=docProps/app.xml><?xml version="1.0" encoding="utf-8"?>
<Properties xmlns="http://schemas.openxmlformats.org/officeDocument/2006/extended-properties" xmlns:vt="http://schemas.openxmlformats.org/officeDocument/2006/docPropsVTypes">
  <Template>Normal.dotm</Template>
  <TotalTime>4080</TotalTime>
  <Pages>1</Pages>
  <Words>15809</Words>
  <Characters>90117</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105715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
  <dc:creator/>
  <cp:keywords/>
  <dc:description/>
  <cp:lastModifiedBy/>
  <cp:revision>47</cp:revision>
  <cp:lastPrinted>2006-04-04T09:41:00Z</cp:lastPrinted>
  <dcterms:created xsi:type="dcterms:W3CDTF">2018-08-20T13:08:00Z</dcterms:created>
  <dcterms:modified xsi:type="dcterms:W3CDTF">2018-08-20T13:08:00Z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