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A2" w:rsidP="003821DA" w:rsidRDefault="007805A2">
      <w:pPr>
        <w:pStyle w:val="ECHRDecisionBody"/>
        <w:jc w:val="center"/>
      </w:pPr>
    </w:p>
    <w:p w:rsidRPr="003821DA" w:rsidR="00843A0E" w:rsidP="003821DA" w:rsidRDefault="00843A0E">
      <w:pPr>
        <w:pStyle w:val="ECHRDecisionBody"/>
        <w:jc w:val="center"/>
      </w:pPr>
    </w:p>
    <w:p w:rsidRPr="003821DA" w:rsidR="00014566" w:rsidP="003821DA" w:rsidRDefault="005F358C">
      <w:pPr>
        <w:jc w:val="center"/>
      </w:pPr>
      <w:r w:rsidRPr="003821DA">
        <w:t>THIRD SECTION</w:t>
      </w:r>
    </w:p>
    <w:p w:rsidRPr="003821DA" w:rsidR="007805A2" w:rsidP="003821DA" w:rsidRDefault="007805A2">
      <w:pPr>
        <w:jc w:val="center"/>
      </w:pPr>
    </w:p>
    <w:p w:rsidRPr="003821DA" w:rsidR="00522EA9" w:rsidP="003821DA" w:rsidRDefault="00522EA9">
      <w:pPr>
        <w:jc w:val="center"/>
      </w:pPr>
    </w:p>
    <w:p w:rsidRPr="003821DA" w:rsidR="00522EA9" w:rsidP="003821DA" w:rsidRDefault="00522EA9">
      <w:pPr>
        <w:jc w:val="center"/>
      </w:pPr>
    </w:p>
    <w:p w:rsidRPr="003821DA" w:rsidR="007805A2" w:rsidP="003821DA" w:rsidRDefault="007805A2">
      <w:pPr>
        <w:jc w:val="center"/>
      </w:pPr>
    </w:p>
    <w:p w:rsidRPr="003821DA" w:rsidR="007805A2" w:rsidP="003821DA" w:rsidRDefault="007805A2">
      <w:pPr>
        <w:jc w:val="center"/>
      </w:pPr>
    </w:p>
    <w:p w:rsidRPr="003821DA" w:rsidR="00014566" w:rsidP="003821DA" w:rsidRDefault="00014566">
      <w:pPr>
        <w:jc w:val="center"/>
        <w:rPr>
          <w:b/>
        </w:rPr>
      </w:pPr>
      <w:bookmarkStart w:name="To" w:id="0"/>
      <w:r w:rsidRPr="003821DA">
        <w:rPr>
          <w:b/>
        </w:rPr>
        <w:t xml:space="preserve">CASE OF </w:t>
      </w:r>
      <w:bookmarkEnd w:id="0"/>
      <w:r w:rsidRPr="003821DA" w:rsidR="005F358C">
        <w:rPr>
          <w:b/>
        </w:rPr>
        <w:t xml:space="preserve">GORLOV </w:t>
      </w:r>
      <w:r w:rsidRPr="003821DA" w:rsidR="001A4A8E">
        <w:rPr>
          <w:b/>
        </w:rPr>
        <w:t xml:space="preserve">AND </w:t>
      </w:r>
      <w:r w:rsidRPr="003821DA" w:rsidR="00EF7DB2">
        <w:rPr>
          <w:b/>
        </w:rPr>
        <w:t>OTHERS</w:t>
      </w:r>
      <w:r w:rsidRPr="003821DA" w:rsidR="001A4A8E">
        <w:rPr>
          <w:b/>
        </w:rPr>
        <w:t xml:space="preserve"> </w:t>
      </w:r>
      <w:r w:rsidRPr="003821DA" w:rsidR="005F358C">
        <w:rPr>
          <w:b/>
        </w:rPr>
        <w:t>v. RUSSIA</w:t>
      </w:r>
    </w:p>
    <w:p w:rsidRPr="003821DA" w:rsidR="00014566" w:rsidP="003821DA" w:rsidRDefault="00014566">
      <w:pPr>
        <w:jc w:val="center"/>
      </w:pPr>
    </w:p>
    <w:p w:rsidRPr="003821DA" w:rsidR="00014566" w:rsidP="003821DA" w:rsidRDefault="00014566">
      <w:pPr>
        <w:jc w:val="center"/>
      </w:pPr>
      <w:r w:rsidRPr="003821DA">
        <w:rPr>
          <w:i/>
        </w:rPr>
        <w:t>(</w:t>
      </w:r>
      <w:r w:rsidRPr="003821DA" w:rsidR="005F358C">
        <w:rPr>
          <w:i/>
        </w:rPr>
        <w:t>Applications nos. 27057/06</w:t>
      </w:r>
      <w:r w:rsidRPr="003821DA" w:rsidR="001B7703">
        <w:rPr>
          <w:i/>
        </w:rPr>
        <w:t xml:space="preserve"> and 2 others – see list appended)</w:t>
      </w:r>
    </w:p>
    <w:p w:rsidRPr="003821DA" w:rsidR="00014566" w:rsidP="003821DA" w:rsidRDefault="00014566">
      <w:pPr>
        <w:jc w:val="center"/>
      </w:pPr>
    </w:p>
    <w:p w:rsidRPr="003821DA" w:rsidR="00014566" w:rsidP="003821DA" w:rsidRDefault="00014566">
      <w:pPr>
        <w:jc w:val="center"/>
      </w:pPr>
    </w:p>
    <w:p w:rsidRPr="003821DA" w:rsidR="00522EA9" w:rsidP="003821DA" w:rsidRDefault="00522EA9">
      <w:pPr>
        <w:jc w:val="center"/>
      </w:pPr>
    </w:p>
    <w:p w:rsidRPr="003821DA" w:rsidR="00522EA9" w:rsidP="003821DA" w:rsidRDefault="00522EA9">
      <w:pPr>
        <w:jc w:val="center"/>
      </w:pPr>
    </w:p>
    <w:p w:rsidRPr="003821DA" w:rsidR="00522EA9" w:rsidP="003821DA" w:rsidRDefault="00522EA9">
      <w:pPr>
        <w:jc w:val="center"/>
      </w:pPr>
    </w:p>
    <w:p w:rsidRPr="003821DA" w:rsidR="00014566" w:rsidP="003821DA" w:rsidRDefault="00014566">
      <w:pPr>
        <w:jc w:val="center"/>
      </w:pPr>
    </w:p>
    <w:p w:rsidRPr="003821DA" w:rsidR="00014566" w:rsidP="003821DA" w:rsidRDefault="00014566">
      <w:pPr>
        <w:jc w:val="center"/>
      </w:pPr>
    </w:p>
    <w:p w:rsidRPr="003821DA" w:rsidR="00284349" w:rsidP="003821DA" w:rsidRDefault="007805A2">
      <w:pPr>
        <w:jc w:val="center"/>
        <w:rPr>
          <w:sz w:val="22"/>
        </w:rPr>
      </w:pPr>
      <w:r w:rsidRPr="003821DA">
        <w:rPr>
          <w:sz w:val="22"/>
        </w:rPr>
        <w:t>JUDGMENT</w:t>
      </w:r>
    </w:p>
    <w:p w:rsidRPr="003821DA" w:rsidR="00284349" w:rsidP="003821DA" w:rsidRDefault="00284349">
      <w:pPr>
        <w:jc w:val="center"/>
        <w:rPr>
          <w:sz w:val="22"/>
        </w:rPr>
      </w:pPr>
    </w:p>
    <w:p w:rsidRPr="003821DA" w:rsidR="00014566" w:rsidP="003821DA" w:rsidRDefault="00014566">
      <w:pPr>
        <w:jc w:val="center"/>
        <w:rPr>
          <w:szCs w:val="24"/>
        </w:rPr>
      </w:pPr>
    </w:p>
    <w:p w:rsidRPr="003821DA" w:rsidR="007805A2" w:rsidP="003821DA" w:rsidRDefault="007805A2">
      <w:pPr>
        <w:pStyle w:val="JuCase"/>
        <w:ind w:firstLine="0"/>
        <w:jc w:val="center"/>
        <w:rPr>
          <w:b w:val="0"/>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ECHRPara"/>
        <w:ind w:firstLine="0"/>
        <w:jc w:val="center"/>
        <w:rPr>
          <w:sz w:val="22"/>
        </w:rPr>
      </w:pPr>
    </w:p>
    <w:p w:rsidRPr="003821DA" w:rsidR="007805A2" w:rsidP="003821DA" w:rsidRDefault="007805A2">
      <w:pPr>
        <w:pStyle w:val="JuCase"/>
        <w:ind w:firstLine="0"/>
        <w:jc w:val="center"/>
        <w:rPr>
          <w:b w:val="0"/>
          <w:sz w:val="22"/>
        </w:rPr>
      </w:pPr>
    </w:p>
    <w:p w:rsidRPr="003821DA" w:rsidR="007805A2" w:rsidP="003821DA" w:rsidRDefault="007805A2">
      <w:pPr>
        <w:pStyle w:val="JuCase"/>
        <w:ind w:firstLine="0"/>
        <w:jc w:val="center"/>
        <w:rPr>
          <w:b w:val="0"/>
          <w:sz w:val="22"/>
        </w:rPr>
      </w:pPr>
      <w:r w:rsidRPr="003821DA">
        <w:rPr>
          <w:b w:val="0"/>
          <w:sz w:val="22"/>
        </w:rPr>
        <w:t>STRASBOURG</w:t>
      </w:r>
    </w:p>
    <w:p w:rsidRPr="003821DA" w:rsidR="007805A2" w:rsidP="003821DA" w:rsidRDefault="007805A2">
      <w:pPr>
        <w:pStyle w:val="JuCase"/>
        <w:ind w:firstLine="0"/>
        <w:jc w:val="center"/>
        <w:rPr>
          <w:b w:val="0"/>
          <w:sz w:val="22"/>
        </w:rPr>
      </w:pPr>
    </w:p>
    <w:p w:rsidRPr="003821DA" w:rsidR="007805A2" w:rsidP="003821DA" w:rsidRDefault="007805A2">
      <w:pPr>
        <w:pStyle w:val="JuCase"/>
        <w:ind w:firstLine="0"/>
        <w:jc w:val="center"/>
        <w:rPr>
          <w:b w:val="0"/>
          <w:sz w:val="22"/>
        </w:rPr>
      </w:pPr>
      <w:r w:rsidRPr="003821DA">
        <w:rPr>
          <w:b w:val="0"/>
          <w:sz w:val="22"/>
        </w:rPr>
        <w:t>2 July 2019</w:t>
      </w:r>
    </w:p>
    <w:p w:rsidR="007805A2" w:rsidP="003821DA" w:rsidRDefault="007805A2">
      <w:pPr>
        <w:pStyle w:val="JuCase"/>
        <w:ind w:firstLine="0"/>
        <w:jc w:val="center"/>
        <w:rPr>
          <w:b w:val="0"/>
          <w:sz w:val="22"/>
        </w:rPr>
      </w:pPr>
    </w:p>
    <w:p w:rsidRPr="004E1489" w:rsidR="004E1489" w:rsidP="004E1489" w:rsidRDefault="004E1489">
      <w:pPr>
        <w:pStyle w:val="ECHRPara"/>
      </w:pPr>
    </w:p>
    <w:p w:rsidR="004E1489" w:rsidP="004E1489" w:rsidRDefault="004E1489">
      <w:pPr>
        <w:pStyle w:val="jucase0"/>
        <w:ind w:firstLine="0"/>
        <w:jc w:val="center"/>
        <w:rPr>
          <w:color w:val="FF0000"/>
          <w:sz w:val="28"/>
          <w:szCs w:val="28"/>
          <w:u w:val="single"/>
        </w:rPr>
      </w:pPr>
      <w:r>
        <w:rPr>
          <w:color w:val="FF0000"/>
          <w:sz w:val="28"/>
          <w:szCs w:val="28"/>
          <w:u w:val="single"/>
        </w:rPr>
        <w:t>FINAL</w:t>
      </w:r>
    </w:p>
    <w:p w:rsidR="004E1489" w:rsidP="004E1489" w:rsidRDefault="004E1489">
      <w:pPr>
        <w:pStyle w:val="jucase0"/>
        <w:ind w:firstLine="0"/>
        <w:jc w:val="center"/>
        <w:rPr>
          <w:color w:val="FF0000"/>
          <w:sz w:val="28"/>
          <w:szCs w:val="28"/>
          <w:u w:val="single"/>
        </w:rPr>
      </w:pPr>
    </w:p>
    <w:p w:rsidR="004E1489" w:rsidP="004E1489" w:rsidRDefault="004E1489">
      <w:pPr>
        <w:pStyle w:val="jupara"/>
        <w:ind w:firstLine="0"/>
        <w:jc w:val="center"/>
        <w:rPr>
          <w:color w:val="FF0000"/>
          <w:sz w:val="28"/>
          <w:szCs w:val="28"/>
        </w:rPr>
      </w:pPr>
      <w:r>
        <w:rPr>
          <w:color w:val="FF0000"/>
          <w:sz w:val="28"/>
          <w:szCs w:val="28"/>
        </w:rPr>
        <w:t>04/11/2019</w:t>
      </w:r>
    </w:p>
    <w:p w:rsidR="004E1489" w:rsidP="004E1489" w:rsidRDefault="004E1489">
      <w:pPr>
        <w:pStyle w:val="jupara"/>
        <w:ind w:firstLine="0"/>
        <w:jc w:val="center"/>
      </w:pPr>
    </w:p>
    <w:p w:rsidRPr="004E1489" w:rsidR="007805A2" w:rsidP="004E1489" w:rsidRDefault="004E1489">
      <w:pPr>
        <w:pStyle w:val="JuCase"/>
        <w:ind w:firstLine="0"/>
        <w:jc w:val="center"/>
        <w:rPr>
          <w:b w:val="0"/>
          <w:i/>
          <w:sz w:val="22"/>
        </w:rPr>
      </w:pPr>
      <w:r w:rsidRPr="004E1489">
        <w:rPr>
          <w:b w:val="0"/>
          <w:i/>
          <w:iCs/>
          <w:sz w:val="22"/>
        </w:rPr>
        <w:t xml:space="preserve">This judgment has become final under Article 44 § </w:t>
      </w:r>
      <w:proofErr w:type="gramStart"/>
      <w:r w:rsidRPr="004E1489">
        <w:rPr>
          <w:b w:val="0"/>
          <w:i/>
          <w:iCs/>
          <w:sz w:val="22"/>
        </w:rPr>
        <w:t>2</w:t>
      </w:r>
      <w:proofErr w:type="gramEnd"/>
      <w:r w:rsidRPr="004E1489">
        <w:rPr>
          <w:b w:val="0"/>
          <w:i/>
          <w:iCs/>
          <w:sz w:val="22"/>
        </w:rPr>
        <w:t xml:space="preserve"> of the Convention. It may be subject to editorial revision.</w:t>
      </w:r>
    </w:p>
    <w:p w:rsidRPr="004E1489" w:rsidR="007805A2" w:rsidP="004E1489" w:rsidRDefault="007805A2">
      <w:pPr>
        <w:pStyle w:val="ECHRPara"/>
        <w:jc w:val="center"/>
        <w:sectPr w:rsidRPr="004E1489" w:rsidR="007805A2" w:rsidSect="00DF688F">
          <w:headerReference w:type="default" r:id="rId8"/>
          <w:headerReference w:type="first" r:id="rId9"/>
          <w:footerReference w:type="first" r:id="rId10"/>
          <w:footnotePr>
            <w:numRestart w:val="eachSect"/>
          </w:footnotePr>
          <w:pgSz w:w="11906" w:h="16838" w:code="9"/>
          <w:pgMar w:top="2274" w:right="2274" w:bottom="1985" w:left="2274" w:header="1701" w:footer="720" w:gutter="0"/>
          <w:pgNumType w:start="1"/>
          <w:cols w:space="720"/>
          <w:titlePg/>
          <w:docGrid w:linePitch="326"/>
        </w:sectPr>
      </w:pPr>
    </w:p>
    <w:p w:rsidRPr="003821DA" w:rsidR="00014566" w:rsidP="003821DA" w:rsidRDefault="00014566">
      <w:pPr>
        <w:pStyle w:val="JuCase"/>
        <w:rPr>
          <w:bCs/>
        </w:rPr>
      </w:pPr>
      <w:r w:rsidRPr="003821DA">
        <w:t xml:space="preserve">In the case of </w:t>
      </w:r>
      <w:proofErr w:type="spellStart"/>
      <w:r w:rsidRPr="003821DA" w:rsidR="005F358C">
        <w:t>Gorlov</w:t>
      </w:r>
      <w:proofErr w:type="spellEnd"/>
      <w:r w:rsidRPr="003821DA" w:rsidR="005F358C">
        <w:t xml:space="preserve"> </w:t>
      </w:r>
      <w:r w:rsidRPr="003821DA" w:rsidR="00CA0767">
        <w:t xml:space="preserve">and </w:t>
      </w:r>
      <w:r w:rsidRPr="003821DA" w:rsidR="00822DAD">
        <w:t>O</w:t>
      </w:r>
      <w:r w:rsidRPr="003821DA" w:rsidR="00386A5B">
        <w:t>thers</w:t>
      </w:r>
      <w:r w:rsidRPr="003821DA" w:rsidR="00CA0767">
        <w:t xml:space="preserve"> </w:t>
      </w:r>
      <w:bookmarkStart w:name="_GoBack" w:id="1"/>
      <w:bookmarkEnd w:id="1"/>
      <w:r w:rsidRPr="003821DA" w:rsidR="005F358C">
        <w:t>v. Russia</w:t>
      </w:r>
      <w:r w:rsidRPr="003821DA">
        <w:t>,</w:t>
      </w:r>
    </w:p>
    <w:p w:rsidRPr="003821DA" w:rsidR="00014566" w:rsidP="003821DA" w:rsidRDefault="00014566">
      <w:pPr>
        <w:pStyle w:val="ECHRPara"/>
      </w:pPr>
      <w:r w:rsidRPr="003821DA">
        <w:t>The European Court of Human Rights (</w:t>
      </w:r>
      <w:r w:rsidRPr="003821DA" w:rsidR="005F358C">
        <w:t>Third Section</w:t>
      </w:r>
      <w:r w:rsidRPr="003821DA">
        <w:t xml:space="preserve">), sitting as a </w:t>
      </w:r>
      <w:r w:rsidRPr="003821DA" w:rsidR="005F358C">
        <w:t>Chamber</w:t>
      </w:r>
      <w:r w:rsidRPr="003821DA">
        <w:t xml:space="preserve"> composed </w:t>
      </w:r>
      <w:proofErr w:type="gramStart"/>
      <w:r w:rsidRPr="003821DA">
        <w:t>of</w:t>
      </w:r>
      <w:proofErr w:type="gramEnd"/>
      <w:r w:rsidRPr="003821DA">
        <w:t>:</w:t>
      </w:r>
    </w:p>
    <w:p w:rsidRPr="003821DA" w:rsidR="00014566" w:rsidP="003821DA" w:rsidRDefault="007805A2">
      <w:pPr>
        <w:pStyle w:val="ECHRDecisionBody"/>
      </w:pPr>
      <w:r w:rsidRPr="003821DA">
        <w:tab/>
        <w:t>Vincent A. De Gaetano,</w:t>
      </w:r>
      <w:r w:rsidRPr="003821DA">
        <w:rPr>
          <w:i/>
        </w:rPr>
        <w:t xml:space="preserve"> President,</w:t>
      </w:r>
      <w:r w:rsidRPr="003821DA">
        <w:rPr>
          <w:i/>
        </w:rPr>
        <w:br/>
      </w:r>
      <w:r w:rsidRPr="003821DA">
        <w:tab/>
        <w:t>Helen Keller,</w:t>
      </w:r>
      <w:r w:rsidRPr="003821DA">
        <w:rPr>
          <w:i/>
        </w:rPr>
        <w:br/>
      </w:r>
      <w:r w:rsidRPr="003821DA">
        <w:tab/>
        <w:t xml:space="preserve">Dmitry </w:t>
      </w:r>
      <w:proofErr w:type="spellStart"/>
      <w:r w:rsidRPr="003821DA">
        <w:t>Dedov</w:t>
      </w:r>
      <w:proofErr w:type="spellEnd"/>
      <w:r w:rsidRPr="003821DA">
        <w:t>,</w:t>
      </w:r>
      <w:r w:rsidRPr="003821DA">
        <w:rPr>
          <w:i/>
        </w:rPr>
        <w:br/>
      </w:r>
      <w:r w:rsidRPr="003821DA">
        <w:tab/>
      </w:r>
      <w:proofErr w:type="spellStart"/>
      <w:r w:rsidRPr="003821DA">
        <w:t>Branko</w:t>
      </w:r>
      <w:proofErr w:type="spellEnd"/>
      <w:r w:rsidRPr="003821DA">
        <w:t xml:space="preserve"> </w:t>
      </w:r>
      <w:proofErr w:type="spellStart"/>
      <w:r w:rsidRPr="003821DA">
        <w:t>Lubarda</w:t>
      </w:r>
      <w:proofErr w:type="spellEnd"/>
      <w:r w:rsidRPr="003821DA">
        <w:t>,</w:t>
      </w:r>
      <w:r w:rsidRPr="003821DA">
        <w:rPr>
          <w:i/>
        </w:rPr>
        <w:br/>
      </w:r>
      <w:r w:rsidRPr="003821DA">
        <w:tab/>
        <w:t xml:space="preserve">Alena </w:t>
      </w:r>
      <w:proofErr w:type="spellStart"/>
      <w:r w:rsidRPr="003821DA">
        <w:t>Poláčková</w:t>
      </w:r>
      <w:proofErr w:type="spellEnd"/>
      <w:r w:rsidRPr="003821DA">
        <w:t>,</w:t>
      </w:r>
      <w:r w:rsidRPr="003821DA">
        <w:rPr>
          <w:i/>
        </w:rPr>
        <w:br/>
      </w:r>
      <w:r w:rsidRPr="003821DA">
        <w:tab/>
        <w:t xml:space="preserve">Gilberto </w:t>
      </w:r>
      <w:proofErr w:type="spellStart"/>
      <w:r w:rsidRPr="003821DA">
        <w:t>Felici</w:t>
      </w:r>
      <w:proofErr w:type="spellEnd"/>
      <w:r w:rsidRPr="003821DA">
        <w:t>,</w:t>
      </w:r>
      <w:r w:rsidRPr="003821DA">
        <w:rPr>
          <w:i/>
        </w:rPr>
        <w:br/>
      </w:r>
      <w:r w:rsidRPr="003821DA">
        <w:tab/>
        <w:t xml:space="preserve">Erik </w:t>
      </w:r>
      <w:proofErr w:type="spellStart"/>
      <w:r w:rsidRPr="003821DA">
        <w:t>Wennerström</w:t>
      </w:r>
      <w:proofErr w:type="spellEnd"/>
      <w:r w:rsidRPr="003821DA">
        <w:t>,</w:t>
      </w:r>
      <w:r w:rsidRPr="003821DA">
        <w:rPr>
          <w:i/>
        </w:rPr>
        <w:t xml:space="preserve"> judges,</w:t>
      </w:r>
      <w:r w:rsidRPr="003821DA" w:rsidR="00014566">
        <w:rPr>
          <w:szCs w:val="24"/>
        </w:rPr>
        <w:br/>
      </w:r>
      <w:r w:rsidRPr="003821DA" w:rsidR="00014566">
        <w:t xml:space="preserve">and </w:t>
      </w:r>
      <w:r w:rsidRPr="003821DA" w:rsidR="005F358C">
        <w:t>Stephen Phillips</w:t>
      </w:r>
      <w:r w:rsidRPr="003821DA" w:rsidR="00014566">
        <w:t xml:space="preserve">, </w:t>
      </w:r>
      <w:r w:rsidRPr="003821DA" w:rsidR="005F358C">
        <w:rPr>
          <w:i/>
        </w:rPr>
        <w:t xml:space="preserve">Section </w:t>
      </w:r>
      <w:r w:rsidRPr="003821DA" w:rsidR="005F358C">
        <w:rPr>
          <w:i/>
          <w:iCs/>
        </w:rPr>
        <w:t>Registrar</w:t>
      </w:r>
      <w:r w:rsidRPr="003821DA" w:rsidR="00014566">
        <w:rPr>
          <w:i/>
        </w:rPr>
        <w:t>,</w:t>
      </w:r>
    </w:p>
    <w:p w:rsidRPr="003821DA" w:rsidR="00014566" w:rsidP="003821DA" w:rsidRDefault="00014566">
      <w:pPr>
        <w:pStyle w:val="ECHRPara"/>
      </w:pPr>
      <w:r w:rsidRPr="003821DA">
        <w:t xml:space="preserve">Having deliberated in private on </w:t>
      </w:r>
      <w:r w:rsidRPr="003821DA" w:rsidR="007805A2">
        <w:t>4 June 2019</w:t>
      </w:r>
      <w:r w:rsidRPr="003821DA">
        <w:t>,</w:t>
      </w:r>
    </w:p>
    <w:p w:rsidRPr="003821DA" w:rsidR="00014566" w:rsidP="003821DA" w:rsidRDefault="00014566">
      <w:pPr>
        <w:pStyle w:val="ECHRPara"/>
      </w:pPr>
      <w:r w:rsidRPr="003821DA">
        <w:t xml:space="preserve">Delivers the following judgment, which </w:t>
      </w:r>
      <w:proofErr w:type="gramStart"/>
      <w:r w:rsidRPr="003821DA">
        <w:t>was adopted</w:t>
      </w:r>
      <w:proofErr w:type="gramEnd"/>
      <w:r w:rsidRPr="003821DA">
        <w:t xml:space="preserve"> on that date:</w:t>
      </w:r>
    </w:p>
    <w:p w:rsidRPr="003821DA" w:rsidR="00014566" w:rsidP="003821DA" w:rsidRDefault="00014566">
      <w:pPr>
        <w:pStyle w:val="ECHRTitle1"/>
      </w:pPr>
      <w:r w:rsidRPr="003821DA">
        <w:t>PROCEDURE</w:t>
      </w:r>
    </w:p>
    <w:bookmarkStart w:name="IntroDate" w:id="2"/>
    <w:p w:rsidRPr="003821DA" w:rsidR="005F358C"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w:t>
      </w:r>
      <w:r w:rsidRPr="003821DA">
        <w:fldChar w:fldCharType="end"/>
      </w:r>
      <w:bookmarkEnd w:id="2"/>
      <w:r w:rsidRPr="003821DA" w:rsidR="00014566">
        <w:t>.  </w:t>
      </w:r>
      <w:proofErr w:type="gramStart"/>
      <w:r w:rsidRPr="003821DA" w:rsidR="00014566">
        <w:t xml:space="preserve">The case originated in </w:t>
      </w:r>
      <w:r w:rsidRPr="003821DA" w:rsidR="00AE7771">
        <w:t>three</w:t>
      </w:r>
      <w:r w:rsidRPr="003821DA">
        <w:t xml:space="preserve"> applications (nos. 27057/06</w:t>
      </w:r>
      <w:r w:rsidRPr="003821DA" w:rsidR="00AE7771">
        <w:t>,</w:t>
      </w:r>
      <w:r w:rsidRPr="003821DA">
        <w:t xml:space="preserve"> </w:t>
      </w:r>
      <w:r w:rsidRPr="003821DA" w:rsidR="00CB2E2F">
        <w:t>56443/09</w:t>
      </w:r>
      <w:r w:rsidRPr="003821DA" w:rsidR="00AE7771">
        <w:t xml:space="preserve"> and 25147/14</w:t>
      </w:r>
      <w:r w:rsidRPr="003821DA">
        <w:t>)</w:t>
      </w:r>
      <w:r w:rsidRPr="003821DA" w:rsidR="00014566">
        <w:t xml:space="preserve"> against </w:t>
      </w:r>
      <w:r w:rsidRPr="003821DA">
        <w:t>the Russian Federation</w:t>
      </w:r>
      <w:r w:rsidRPr="003821DA" w:rsidR="00014566">
        <w:t xml:space="preserve"> lodged with the </w:t>
      </w:r>
      <w:r w:rsidRPr="003821DA">
        <w:t>Court under Article 34</w:t>
      </w:r>
      <w:r w:rsidRPr="003821DA" w:rsidR="00014566">
        <w:t xml:space="preserve"> of the Convention for the Protection of Human Rights and Fundamental Freedoms (“the Convention”) by </w:t>
      </w:r>
      <w:r w:rsidRPr="003821DA" w:rsidR="00CB2E2F">
        <w:t>t</w:t>
      </w:r>
      <w:r w:rsidRPr="003821DA" w:rsidR="00AE7771">
        <w:t>hree</w:t>
      </w:r>
      <w:r w:rsidRPr="003821DA">
        <w:t xml:space="preserve"> Russian nationals, Mr</w:t>
      </w:r>
      <w:r w:rsidRPr="003821DA" w:rsidR="000F741E">
        <w:t> </w:t>
      </w:r>
      <w:r w:rsidRPr="003821DA">
        <w:t xml:space="preserve">Igor </w:t>
      </w:r>
      <w:proofErr w:type="spellStart"/>
      <w:r w:rsidRPr="003821DA">
        <w:t>Yevgenyevich</w:t>
      </w:r>
      <w:proofErr w:type="spellEnd"/>
      <w:r w:rsidRPr="003821DA">
        <w:t xml:space="preserve"> </w:t>
      </w:r>
      <w:proofErr w:type="spellStart"/>
      <w:r w:rsidRPr="003821DA">
        <w:t>Gorlov</w:t>
      </w:r>
      <w:proofErr w:type="spellEnd"/>
      <w:r w:rsidRPr="003821DA" w:rsidR="00AE7771">
        <w:t xml:space="preserve"> (“the first applicant”),</w:t>
      </w:r>
      <w:r w:rsidRPr="003821DA">
        <w:t xml:space="preserve"> Mr </w:t>
      </w:r>
      <w:r w:rsidRPr="003821DA" w:rsidR="00B7570F">
        <w:t xml:space="preserve">Denis </w:t>
      </w:r>
      <w:proofErr w:type="spellStart"/>
      <w:r w:rsidRPr="003821DA" w:rsidR="00B7570F">
        <w:t>Viktorovich</w:t>
      </w:r>
      <w:proofErr w:type="spellEnd"/>
      <w:r w:rsidRPr="003821DA" w:rsidR="00B7570F">
        <w:t xml:space="preserve"> </w:t>
      </w:r>
      <w:proofErr w:type="spellStart"/>
      <w:r w:rsidRPr="003821DA" w:rsidR="00B7570F">
        <w:t>Vakhmistrov</w:t>
      </w:r>
      <w:proofErr w:type="spellEnd"/>
      <w:r w:rsidRPr="003821DA">
        <w:t xml:space="preserve"> (“the </w:t>
      </w:r>
      <w:r w:rsidRPr="003821DA" w:rsidR="00AE7771">
        <w:t xml:space="preserve">second </w:t>
      </w:r>
      <w:r w:rsidRPr="003821DA">
        <w:t>applicant”)</w:t>
      </w:r>
      <w:r w:rsidRPr="003821DA" w:rsidR="00AE7771">
        <w:t xml:space="preserve"> and Mr Viktor </w:t>
      </w:r>
      <w:proofErr w:type="spellStart"/>
      <w:r w:rsidRPr="003821DA" w:rsidR="00AE7771">
        <w:t>Valeryevich</w:t>
      </w:r>
      <w:proofErr w:type="spellEnd"/>
      <w:r w:rsidRPr="003821DA" w:rsidR="00AE7771">
        <w:t xml:space="preserve"> </w:t>
      </w:r>
      <w:proofErr w:type="spellStart"/>
      <w:r w:rsidRPr="003821DA" w:rsidR="00AE7771">
        <w:t>Sablin</w:t>
      </w:r>
      <w:proofErr w:type="spellEnd"/>
      <w:r w:rsidRPr="003821DA" w:rsidR="00AE7771">
        <w:t xml:space="preserve"> (“the third applicant”)</w:t>
      </w:r>
      <w:r w:rsidRPr="003821DA">
        <w:t>, on 10 May 2006</w:t>
      </w:r>
      <w:r w:rsidRPr="003821DA" w:rsidR="00AE7771">
        <w:t>,</w:t>
      </w:r>
      <w:r w:rsidRPr="003821DA">
        <w:t xml:space="preserve"> </w:t>
      </w:r>
      <w:r w:rsidRPr="003821DA" w:rsidR="00B7570F">
        <w:t>11 September 2009</w:t>
      </w:r>
      <w:r w:rsidRPr="003821DA" w:rsidR="00AE7771">
        <w:t xml:space="preserve"> and </w:t>
      </w:r>
      <w:r w:rsidRPr="003821DA" w:rsidR="005E38DF">
        <w:t>6 May 2014</w:t>
      </w:r>
      <w:r w:rsidRPr="003821DA">
        <w:t xml:space="preserve"> respectively</w:t>
      </w:r>
      <w:r w:rsidRPr="003821DA" w:rsidR="00014566">
        <w:t>.</w:t>
      </w:r>
      <w:proofErr w:type="gramEnd"/>
    </w:p>
    <w:p w:rsidRPr="003821DA" w:rsidR="00FA61C5"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2</w:t>
      </w:r>
      <w:r w:rsidRPr="003821DA">
        <w:fldChar w:fldCharType="end"/>
      </w:r>
      <w:r w:rsidRPr="003821DA" w:rsidR="00014566">
        <w:t>.  </w:t>
      </w:r>
      <w:r w:rsidRPr="003821DA" w:rsidR="00DE19DF">
        <w:t>The</w:t>
      </w:r>
      <w:r w:rsidRPr="003821DA" w:rsidR="00DA46FA">
        <w:t xml:space="preserve"> first applicant represented himself. The</w:t>
      </w:r>
      <w:r w:rsidRPr="003821DA" w:rsidR="00DE19DF">
        <w:t xml:space="preserve"> second applicant </w:t>
      </w:r>
      <w:proofErr w:type="gramStart"/>
      <w:r w:rsidRPr="003821DA" w:rsidR="00DE19DF">
        <w:t>was represented</w:t>
      </w:r>
      <w:proofErr w:type="gramEnd"/>
      <w:r w:rsidRPr="003821DA" w:rsidR="00DE19DF">
        <w:t xml:space="preserve"> by Ms O.</w:t>
      </w:r>
      <w:r w:rsidRPr="003821DA" w:rsidR="00A723BA">
        <w:t> </w:t>
      </w:r>
      <w:proofErr w:type="spellStart"/>
      <w:r w:rsidRPr="003821DA" w:rsidR="00DE19DF">
        <w:t>Preobrazhenskaya</w:t>
      </w:r>
      <w:proofErr w:type="spellEnd"/>
      <w:r w:rsidRPr="003821DA" w:rsidR="00DE19DF">
        <w:t xml:space="preserve">, a lawyer practising in Strasbourg. </w:t>
      </w:r>
      <w:r w:rsidRPr="003821DA" w:rsidR="00A723BA">
        <w:t xml:space="preserve">The third applicant, who </w:t>
      </w:r>
      <w:proofErr w:type="gramStart"/>
      <w:r w:rsidRPr="003821DA" w:rsidR="00A723BA">
        <w:t>had been granted</w:t>
      </w:r>
      <w:proofErr w:type="gramEnd"/>
      <w:r w:rsidRPr="003821DA" w:rsidR="00A723BA">
        <w:t xml:space="preserve"> legal aid, was represented by </w:t>
      </w:r>
      <w:r w:rsidRPr="003821DA" w:rsidR="000F741E">
        <w:t>Ms </w:t>
      </w:r>
      <w:r w:rsidRPr="003821DA" w:rsidR="00A723BA">
        <w:t>O. </w:t>
      </w:r>
      <w:proofErr w:type="spellStart"/>
      <w:r w:rsidRPr="003821DA" w:rsidR="00A723BA">
        <w:t>Druzhkova</w:t>
      </w:r>
      <w:proofErr w:type="spellEnd"/>
      <w:r w:rsidRPr="003821DA" w:rsidR="00A723BA">
        <w:t xml:space="preserve">, a lawyer practising in Moscow. </w:t>
      </w:r>
      <w:r w:rsidRPr="003821DA" w:rsidR="00FA61C5">
        <w:t>The Russian Government (“the Government”) were represented by Mr G. </w:t>
      </w:r>
      <w:proofErr w:type="spellStart"/>
      <w:r w:rsidRPr="003821DA" w:rsidR="00FA61C5">
        <w:t>Matyushkin</w:t>
      </w:r>
      <w:proofErr w:type="spellEnd"/>
      <w:r w:rsidRPr="003821DA" w:rsidR="00FA61C5">
        <w:t>, Representative of the Russian Federation at the European Court of Human</w:t>
      </w:r>
      <w:r w:rsidRPr="003821DA" w:rsidR="00A723BA">
        <w:t xml:space="preserve"> Rights, and then by Mr V. </w:t>
      </w:r>
      <w:proofErr w:type="spellStart"/>
      <w:r w:rsidRPr="003821DA" w:rsidR="00FA61C5">
        <w:t>Galperin</w:t>
      </w:r>
      <w:proofErr w:type="spellEnd"/>
      <w:r w:rsidRPr="003821DA" w:rsidR="00FA61C5">
        <w:t>, his successor in that office.</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3</w:t>
      </w:r>
      <w:r w:rsidRPr="003821DA">
        <w:fldChar w:fldCharType="end"/>
      </w:r>
      <w:r w:rsidRPr="003821DA" w:rsidR="00DA46FA">
        <w:t xml:space="preserve">.  The applicants </w:t>
      </w:r>
      <w:r w:rsidRPr="003821DA" w:rsidR="00CA14AE">
        <w:t>complained</w:t>
      </w:r>
      <w:r w:rsidRPr="003821DA">
        <w:t>, in particular,</w:t>
      </w:r>
      <w:r w:rsidRPr="003821DA" w:rsidR="00CC37EC">
        <w:t xml:space="preserve"> </w:t>
      </w:r>
      <w:r w:rsidRPr="003821DA" w:rsidR="00FC5144">
        <w:t xml:space="preserve">that </w:t>
      </w:r>
      <w:r w:rsidRPr="003821DA" w:rsidR="00CA14AE">
        <w:rPr>
          <w:rFonts w:ascii="Times New Roman" w:hAnsi="Times New Roman" w:eastAsia="Times New Roman" w:cs="Times New Roman"/>
          <w:szCs w:val="20"/>
          <w:lang w:eastAsia="fr-FR"/>
        </w:rPr>
        <w:t>constant surveillance of their cells</w:t>
      </w:r>
      <w:r w:rsidRPr="003821DA" w:rsidR="006526E8">
        <w:rPr>
          <w:rFonts w:ascii="Times New Roman" w:hAnsi="Times New Roman" w:eastAsia="Times New Roman" w:cs="Times New Roman"/>
          <w:szCs w:val="20"/>
          <w:lang w:eastAsia="fr-FR"/>
        </w:rPr>
        <w:t xml:space="preserve">, at times </w:t>
      </w:r>
      <w:r w:rsidRPr="003821DA" w:rsidR="00CA14AE">
        <w:rPr>
          <w:rFonts w:ascii="Times New Roman" w:hAnsi="Times New Roman" w:eastAsia="Times New Roman" w:cs="Times New Roman"/>
          <w:szCs w:val="20"/>
          <w:lang w:eastAsia="fr-FR"/>
        </w:rPr>
        <w:t xml:space="preserve">by </w:t>
      </w:r>
      <w:r w:rsidRPr="003821DA" w:rsidR="00A723BA">
        <w:rPr>
          <w:rFonts w:ascii="Times New Roman" w:hAnsi="Times New Roman" w:eastAsia="Times New Roman" w:cs="Times New Roman"/>
          <w:szCs w:val="20"/>
          <w:lang w:eastAsia="fr-FR"/>
        </w:rPr>
        <w:t>female guards</w:t>
      </w:r>
      <w:r w:rsidRPr="003821DA" w:rsidR="006526E8">
        <w:rPr>
          <w:rFonts w:ascii="Times New Roman" w:hAnsi="Times New Roman" w:eastAsia="Times New Roman" w:cs="Times New Roman"/>
          <w:szCs w:val="20"/>
          <w:lang w:eastAsia="fr-FR"/>
        </w:rPr>
        <w:t>,</w:t>
      </w:r>
      <w:r w:rsidRPr="003821DA" w:rsidR="00A723BA">
        <w:rPr>
          <w:rFonts w:ascii="Times New Roman" w:hAnsi="Times New Roman" w:eastAsia="Times New Roman" w:cs="Times New Roman"/>
          <w:szCs w:val="20"/>
          <w:lang w:eastAsia="fr-FR"/>
        </w:rPr>
        <w:t xml:space="preserve"> by closed-circuit television ca</w:t>
      </w:r>
      <w:r w:rsidRPr="003821DA" w:rsidR="00FC5144">
        <w:rPr>
          <w:rFonts w:ascii="Times New Roman" w:hAnsi="Times New Roman" w:eastAsia="Times New Roman" w:cs="Times New Roman"/>
          <w:szCs w:val="20"/>
          <w:lang w:eastAsia="fr-FR"/>
        </w:rPr>
        <w:t xml:space="preserve">meras </w:t>
      </w:r>
      <w:r w:rsidRPr="003821DA" w:rsidR="004C7B3A">
        <w:rPr>
          <w:rFonts w:ascii="Times New Roman" w:hAnsi="Times New Roman" w:eastAsia="Times New Roman" w:cs="Times New Roman"/>
          <w:szCs w:val="20"/>
          <w:lang w:eastAsia="fr-FR"/>
        </w:rPr>
        <w:t xml:space="preserve">had </w:t>
      </w:r>
      <w:r w:rsidRPr="003821DA" w:rsidR="00FC5144">
        <w:rPr>
          <w:rFonts w:ascii="Times New Roman" w:hAnsi="Times New Roman" w:eastAsia="Times New Roman" w:cs="Times New Roman"/>
          <w:szCs w:val="20"/>
          <w:lang w:eastAsia="fr-FR"/>
        </w:rPr>
        <w:t xml:space="preserve">violated their right to respect for their private life, </w:t>
      </w:r>
      <w:r w:rsidRPr="003821DA" w:rsidR="00383FFD">
        <w:rPr>
          <w:rFonts w:ascii="Times New Roman" w:hAnsi="Times New Roman" w:eastAsia="Times New Roman" w:cs="Times New Roman"/>
          <w:szCs w:val="20"/>
          <w:lang w:eastAsia="fr-FR"/>
        </w:rPr>
        <w:t>as</w:t>
      </w:r>
      <w:r w:rsidRPr="003821DA" w:rsidR="00511DBF">
        <w:rPr>
          <w:rFonts w:ascii="Times New Roman" w:hAnsi="Times New Roman" w:eastAsia="Times New Roman" w:cs="Times New Roman"/>
          <w:szCs w:val="20"/>
          <w:lang w:eastAsia="fr-FR"/>
        </w:rPr>
        <w:t xml:space="preserve"> guaranteed </w:t>
      </w:r>
      <w:r w:rsidRPr="003821DA" w:rsidR="00FC5144">
        <w:rPr>
          <w:rFonts w:ascii="Times New Roman" w:hAnsi="Times New Roman" w:eastAsia="Times New Roman" w:cs="Times New Roman"/>
          <w:szCs w:val="20"/>
          <w:lang w:eastAsia="fr-FR"/>
        </w:rPr>
        <w:t xml:space="preserve">by Article 8 of the Convention. </w:t>
      </w:r>
      <w:r w:rsidRPr="003821DA" w:rsidR="00CA14AE">
        <w:t xml:space="preserve">The second applicant also complained </w:t>
      </w:r>
      <w:r w:rsidRPr="003821DA" w:rsidR="00FC5144">
        <w:t xml:space="preserve">under Article 3 of the Convention </w:t>
      </w:r>
      <w:r w:rsidRPr="003821DA" w:rsidR="00CA14AE">
        <w:t xml:space="preserve">that he </w:t>
      </w:r>
      <w:r w:rsidRPr="003821DA" w:rsidR="004C7B3A">
        <w:t xml:space="preserve">had been </w:t>
      </w:r>
      <w:r w:rsidRPr="003821DA" w:rsidR="00CA14AE">
        <w:t>unable to take outdoor exercise during wintertime</w:t>
      </w:r>
      <w:r w:rsidRPr="003821DA" w:rsidR="004C7B3A">
        <w:t>,</w:t>
      </w:r>
      <w:r w:rsidRPr="003821DA" w:rsidR="00CA14AE">
        <w:t xml:space="preserve"> as the prison authorities</w:t>
      </w:r>
      <w:r w:rsidRPr="003821DA" w:rsidR="004C7B3A">
        <w:t xml:space="preserve"> had</w:t>
      </w:r>
      <w:r w:rsidRPr="003821DA" w:rsidR="00CA14AE">
        <w:t xml:space="preserve"> refused to provide him with </w:t>
      </w:r>
      <w:r w:rsidRPr="003821DA" w:rsidR="00D727FF">
        <w:t>appropriate</w:t>
      </w:r>
      <w:r w:rsidRPr="003821DA" w:rsidR="00CA14AE">
        <w:t xml:space="preserve"> winter footwear. </w:t>
      </w:r>
      <w:r w:rsidRPr="003821DA" w:rsidR="00FC39B5">
        <w:t xml:space="preserve">The second </w:t>
      </w:r>
      <w:r w:rsidRPr="003821DA" w:rsidR="00A723BA">
        <w:t xml:space="preserve">and third </w:t>
      </w:r>
      <w:r w:rsidRPr="003821DA" w:rsidR="00FC39B5">
        <w:t>applicant</w:t>
      </w:r>
      <w:r w:rsidRPr="003821DA" w:rsidR="00A723BA">
        <w:t>s</w:t>
      </w:r>
      <w:r w:rsidRPr="003821DA" w:rsidR="00FC39B5">
        <w:t xml:space="preserve"> also relied on Article 13 of the Convention, alleging </w:t>
      </w:r>
      <w:r w:rsidRPr="003821DA" w:rsidR="007E26E9">
        <w:t xml:space="preserve">a </w:t>
      </w:r>
      <w:r w:rsidRPr="003821DA" w:rsidR="00FC39B5">
        <w:t xml:space="preserve">lack of effective remedies in respect of any of </w:t>
      </w:r>
      <w:r w:rsidRPr="003821DA" w:rsidR="00847E09">
        <w:t>their c</w:t>
      </w:r>
      <w:r w:rsidRPr="003821DA" w:rsidR="00FC39B5">
        <w:t>omplaints.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4</w:t>
      </w:r>
      <w:r w:rsidRPr="003821DA">
        <w:fldChar w:fldCharType="end"/>
      </w:r>
      <w:r w:rsidRPr="003821DA" w:rsidR="00014566">
        <w:t>.  </w:t>
      </w:r>
      <w:r w:rsidRPr="003821DA">
        <w:t xml:space="preserve">On </w:t>
      </w:r>
      <w:r w:rsidRPr="003821DA" w:rsidR="00C60FD6">
        <w:t xml:space="preserve">18 January </w:t>
      </w:r>
      <w:proofErr w:type="gramStart"/>
      <w:r w:rsidRPr="003821DA" w:rsidR="00C60FD6">
        <w:t>2011</w:t>
      </w:r>
      <w:proofErr w:type="gramEnd"/>
      <w:r w:rsidRPr="003821DA">
        <w:t xml:space="preserve"> </w:t>
      </w:r>
      <w:r w:rsidRPr="003821DA" w:rsidR="00C60FD6">
        <w:t>the</w:t>
      </w:r>
      <w:r w:rsidRPr="003821DA" w:rsidR="007E26E9">
        <w:t xml:space="preserve"> Government were given notice of the</w:t>
      </w:r>
      <w:r w:rsidRPr="003821DA" w:rsidR="00C60FD6">
        <w:t xml:space="preserve"> complaint</w:t>
      </w:r>
      <w:r w:rsidRPr="003821DA" w:rsidR="007E26E9">
        <w:t xml:space="preserve"> </w:t>
      </w:r>
      <w:r w:rsidRPr="003821DA" w:rsidR="00C60FD6">
        <w:t>concerning constant video surveillance in application no.</w:t>
      </w:r>
      <w:r w:rsidRPr="003821DA" w:rsidR="000F741E">
        <w:rPr>
          <w:i/>
        </w:rPr>
        <w:t> </w:t>
      </w:r>
      <w:r w:rsidRPr="003821DA" w:rsidR="00C60FD6">
        <w:t>27057/06</w:t>
      </w:r>
      <w:r w:rsidRPr="003821DA" w:rsidR="007509D5">
        <w:t>.</w:t>
      </w:r>
      <w:r w:rsidRPr="003821DA" w:rsidR="00C60FD6">
        <w:t xml:space="preserve"> </w:t>
      </w:r>
      <w:r w:rsidRPr="003821DA" w:rsidR="00DE19DF">
        <w:t xml:space="preserve">On 3 May </w:t>
      </w:r>
      <w:proofErr w:type="gramStart"/>
      <w:r w:rsidRPr="003821DA" w:rsidR="00DE19DF">
        <w:t>2016</w:t>
      </w:r>
      <w:proofErr w:type="gramEnd"/>
      <w:r w:rsidRPr="003821DA" w:rsidR="00DE19DF">
        <w:t xml:space="preserve"> the</w:t>
      </w:r>
      <w:r w:rsidRPr="003821DA" w:rsidR="007E26E9">
        <w:t>y were given notice of the</w:t>
      </w:r>
      <w:r w:rsidRPr="003821DA" w:rsidR="00DE19DF">
        <w:t xml:space="preserve"> </w:t>
      </w:r>
      <w:r w:rsidRPr="003821DA" w:rsidR="00C60FD6">
        <w:t>complaint</w:t>
      </w:r>
      <w:r w:rsidRPr="003821DA" w:rsidR="00DE19DF">
        <w:t>s</w:t>
      </w:r>
      <w:r w:rsidRPr="003821DA" w:rsidR="00C60FD6">
        <w:t xml:space="preserve"> concerning constant video surveillance and the absence of appropriate footwear during wintertime</w:t>
      </w:r>
      <w:r w:rsidRPr="003821DA" w:rsidR="00DE19DF">
        <w:t xml:space="preserve"> in application no. 56443/09</w:t>
      </w:r>
      <w:r w:rsidRPr="003821DA" w:rsidR="00E3417F">
        <w:t>.</w:t>
      </w:r>
      <w:r w:rsidRPr="003821DA" w:rsidR="00DE19DF">
        <w:t xml:space="preserve"> </w:t>
      </w:r>
      <w:r w:rsidRPr="003821DA" w:rsidR="00E3417F">
        <w:t>T</w:t>
      </w:r>
      <w:r w:rsidRPr="003821DA" w:rsidR="00DE19DF">
        <w:t xml:space="preserve">he remainder of the application was declared inadmissible pursuant to Rule 54 § </w:t>
      </w:r>
      <w:proofErr w:type="gramStart"/>
      <w:r w:rsidRPr="003821DA" w:rsidR="00DE19DF">
        <w:t>3</w:t>
      </w:r>
      <w:proofErr w:type="gramEnd"/>
      <w:r w:rsidRPr="003821DA" w:rsidR="00DE19DF">
        <w:t xml:space="preserve"> of the Rules of Court.</w:t>
      </w:r>
      <w:r w:rsidRPr="003821DA" w:rsidR="00551639">
        <w:t xml:space="preserve"> On 30 August </w:t>
      </w:r>
      <w:proofErr w:type="gramStart"/>
      <w:r w:rsidRPr="003821DA" w:rsidR="00551639">
        <w:t>2016</w:t>
      </w:r>
      <w:proofErr w:type="gramEnd"/>
      <w:r w:rsidRPr="003821DA" w:rsidR="00551639">
        <w:t xml:space="preserve"> </w:t>
      </w:r>
      <w:r w:rsidRPr="003821DA" w:rsidR="007E26E9">
        <w:t xml:space="preserve">the Government were given notice of </w:t>
      </w:r>
      <w:r w:rsidRPr="003821DA" w:rsidR="00551639">
        <w:t>application no. 25147/14.</w:t>
      </w:r>
    </w:p>
    <w:p w:rsidRPr="003821DA" w:rsidR="00014566" w:rsidP="003821DA" w:rsidRDefault="00014566">
      <w:pPr>
        <w:pStyle w:val="ECHRTitle1"/>
      </w:pPr>
      <w:r w:rsidRPr="003821DA">
        <w:t>THE FACTS</w:t>
      </w:r>
    </w:p>
    <w:p w:rsidRPr="003821DA" w:rsidR="00014566" w:rsidP="003821DA" w:rsidRDefault="00014566">
      <w:pPr>
        <w:pStyle w:val="ECHRHeading1"/>
      </w:pPr>
      <w:r w:rsidRPr="003821DA">
        <w:t>I.  THE CIRCUMSTANCES OF THE CASE</w:t>
      </w:r>
    </w:p>
    <w:p w:rsidRPr="003821DA" w:rsidR="00164F64" w:rsidP="003821DA" w:rsidRDefault="00280F3F">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5</w:t>
      </w:r>
      <w:r w:rsidRPr="003821DA">
        <w:fldChar w:fldCharType="end"/>
      </w:r>
      <w:r w:rsidRPr="003821DA">
        <w:t>.  </w:t>
      </w:r>
      <w:r w:rsidRPr="003821DA" w:rsidR="00014566">
        <w:t>The</w:t>
      </w:r>
      <w:r w:rsidRPr="003821DA" w:rsidR="005F358C">
        <w:t xml:space="preserve"> </w:t>
      </w:r>
      <w:r w:rsidRPr="003821DA" w:rsidR="00313FEE">
        <w:t>applicant</w:t>
      </w:r>
      <w:r w:rsidRPr="003821DA" w:rsidR="00604D24">
        <w:t>s were</w:t>
      </w:r>
      <w:r w:rsidRPr="003821DA" w:rsidR="005F358C">
        <w:t xml:space="preserve"> born in 1965</w:t>
      </w:r>
      <w:r w:rsidRPr="003821DA" w:rsidR="00604D24">
        <w:t>,</w:t>
      </w:r>
      <w:r w:rsidRPr="003821DA" w:rsidR="005F358C">
        <w:t xml:space="preserve"> </w:t>
      </w:r>
      <w:r w:rsidRPr="003821DA" w:rsidR="00DE19DF">
        <w:t>1977</w:t>
      </w:r>
      <w:r w:rsidRPr="003821DA" w:rsidR="00313FEE">
        <w:t xml:space="preserve"> and </w:t>
      </w:r>
      <w:r w:rsidRPr="003821DA" w:rsidR="00604D24">
        <w:rPr>
          <w:rFonts w:ascii="Times New Roman" w:hAnsi="Times New Roman" w:eastAsia="Times New Roman" w:cs="Times New Roman"/>
          <w:szCs w:val="20"/>
          <w:lang w:eastAsia="fr-FR"/>
        </w:rPr>
        <w:t>1976 respectively.</w:t>
      </w:r>
    </w:p>
    <w:p w:rsidRPr="003821DA" w:rsidR="00014566" w:rsidP="003821DA" w:rsidRDefault="00382EC5">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6</w:t>
      </w:r>
      <w:r w:rsidRPr="003821DA">
        <w:fldChar w:fldCharType="end"/>
      </w:r>
      <w:r w:rsidRPr="003821DA">
        <w:t>.  The</w:t>
      </w:r>
      <w:r w:rsidRPr="003821DA" w:rsidR="00604D24">
        <w:t xml:space="preserve"> first two applicants</w:t>
      </w:r>
      <w:r w:rsidRPr="003821DA" w:rsidR="005F71BB">
        <w:rPr>
          <w:rFonts w:ascii="Times New Roman" w:hAnsi="Times New Roman" w:eastAsia="Times New Roman" w:cs="Times New Roman"/>
          <w:szCs w:val="20"/>
          <w:lang w:eastAsia="fr-FR"/>
        </w:rPr>
        <w:t xml:space="preserve"> are</w:t>
      </w:r>
      <w:r w:rsidRPr="003821DA">
        <w:rPr>
          <w:rFonts w:ascii="Times New Roman" w:hAnsi="Times New Roman" w:eastAsia="Times New Roman" w:cs="Times New Roman"/>
          <w:szCs w:val="20"/>
          <w:lang w:eastAsia="fr-FR"/>
        </w:rPr>
        <w:t xml:space="preserve"> currently serving sentence</w:t>
      </w:r>
      <w:r w:rsidRPr="003821DA" w:rsidR="00E3417F">
        <w:rPr>
          <w:rFonts w:ascii="Times New Roman" w:hAnsi="Times New Roman" w:eastAsia="Times New Roman" w:cs="Times New Roman"/>
          <w:szCs w:val="20"/>
          <w:lang w:eastAsia="fr-FR"/>
        </w:rPr>
        <w:t>s</w:t>
      </w:r>
      <w:r w:rsidRPr="003821DA">
        <w:rPr>
          <w:rFonts w:ascii="Times New Roman" w:hAnsi="Times New Roman" w:eastAsia="Times New Roman" w:cs="Times New Roman"/>
          <w:szCs w:val="20"/>
          <w:lang w:eastAsia="fr-FR"/>
        </w:rPr>
        <w:t xml:space="preserve"> in </w:t>
      </w:r>
      <w:r w:rsidRPr="003821DA" w:rsidR="005517F7">
        <w:rPr>
          <w:rFonts w:ascii="Times New Roman" w:hAnsi="Times New Roman" w:eastAsia="Times New Roman" w:cs="Times New Roman"/>
          <w:szCs w:val="20"/>
          <w:lang w:eastAsia="fr-FR"/>
        </w:rPr>
        <w:t>penal institutions in the</w:t>
      </w:r>
      <w:r w:rsidRPr="003821DA" w:rsidR="00E3417F">
        <w:rPr>
          <w:rFonts w:ascii="Times New Roman" w:hAnsi="Times New Roman" w:eastAsia="Times New Roman" w:cs="Times New Roman"/>
          <w:szCs w:val="20"/>
          <w:lang w:eastAsia="fr-FR"/>
        </w:rPr>
        <w:t xml:space="preserve"> Krasnoyarsk Region, namely </w:t>
      </w:r>
      <w:r w:rsidRPr="003821DA">
        <w:rPr>
          <w:rFonts w:ascii="Times New Roman" w:hAnsi="Times New Roman" w:eastAsia="Times New Roman" w:cs="Times New Roman"/>
          <w:szCs w:val="20"/>
          <w:lang w:eastAsia="fr-FR"/>
        </w:rPr>
        <w:t>UP-288/T</w:t>
      </w:r>
      <w:r w:rsidRPr="003821DA" w:rsidR="005517F7">
        <w:rPr>
          <w:rFonts w:ascii="Times New Roman" w:hAnsi="Times New Roman" w:eastAsia="Times New Roman" w:cs="Times New Roman"/>
          <w:szCs w:val="20"/>
          <w:lang w:eastAsia="fr-FR"/>
        </w:rPr>
        <w:t xml:space="preserve"> </w:t>
      </w:r>
      <w:r w:rsidRPr="003821DA" w:rsidR="00C618DE">
        <w:rPr>
          <w:rFonts w:ascii="Times New Roman" w:hAnsi="Times New Roman" w:eastAsia="Times New Roman" w:cs="Times New Roman"/>
          <w:szCs w:val="20"/>
          <w:lang w:eastAsia="fr-FR"/>
        </w:rPr>
        <w:t>(</w:t>
      </w:r>
      <w:r w:rsidRPr="003821DA" w:rsidR="005517F7">
        <w:rPr>
          <w:rFonts w:ascii="Times New Roman" w:hAnsi="Times New Roman" w:eastAsia="Times New Roman" w:cs="Times New Roman"/>
          <w:szCs w:val="20"/>
          <w:lang w:eastAsia="fr-FR"/>
        </w:rPr>
        <w:t>prison</w:t>
      </w:r>
      <w:r w:rsidRPr="003821DA" w:rsidR="00C618DE">
        <w:rPr>
          <w:rFonts w:ascii="Times New Roman" w:hAnsi="Times New Roman" w:eastAsia="Times New Roman" w:cs="Times New Roman"/>
          <w:szCs w:val="20"/>
          <w:lang w:eastAsia="fr-FR"/>
        </w:rPr>
        <w:t>)</w:t>
      </w:r>
      <w:r w:rsidRPr="003821DA">
        <w:rPr>
          <w:rFonts w:ascii="Times New Roman" w:hAnsi="Times New Roman" w:eastAsia="Times New Roman" w:cs="Times New Roman"/>
          <w:szCs w:val="20"/>
          <w:lang w:eastAsia="fr-FR"/>
        </w:rPr>
        <w:t xml:space="preserve"> in </w:t>
      </w:r>
      <w:proofErr w:type="spellStart"/>
      <w:r w:rsidRPr="003821DA">
        <w:rPr>
          <w:rFonts w:ascii="Times New Roman" w:hAnsi="Times New Roman" w:eastAsia="Times New Roman" w:cs="Times New Roman"/>
          <w:szCs w:val="20"/>
          <w:lang w:eastAsia="fr-FR"/>
        </w:rPr>
        <w:t>Minusinsk</w:t>
      </w:r>
      <w:proofErr w:type="spellEnd"/>
      <w:r w:rsidRPr="003821DA" w:rsidR="00604D24">
        <w:rPr>
          <w:rFonts w:ascii="Times New Roman" w:hAnsi="Times New Roman" w:eastAsia="Times New Roman" w:cs="Times New Roman"/>
          <w:szCs w:val="20"/>
          <w:lang w:eastAsia="fr-FR"/>
        </w:rPr>
        <w:t xml:space="preserve"> </w:t>
      </w:r>
      <w:r w:rsidRPr="003821DA" w:rsidR="00E3417F">
        <w:rPr>
          <w:rFonts w:ascii="Times New Roman" w:hAnsi="Times New Roman" w:eastAsia="Times New Roman" w:cs="Times New Roman"/>
          <w:szCs w:val="20"/>
          <w:lang w:eastAsia="fr-FR"/>
        </w:rPr>
        <w:t xml:space="preserve">and </w:t>
      </w:r>
      <w:r w:rsidRPr="003821DA" w:rsidR="00257262">
        <w:rPr>
          <w:rFonts w:ascii="Times New Roman" w:hAnsi="Times New Roman" w:eastAsia="Times New Roman" w:cs="Times New Roman"/>
          <w:szCs w:val="20"/>
          <w:lang w:eastAsia="fr-FR"/>
        </w:rPr>
        <w:t>OI</w:t>
      </w:r>
      <w:r w:rsidRPr="003821DA" w:rsidR="00313FEE">
        <w:rPr>
          <w:rFonts w:ascii="Times New Roman" w:hAnsi="Times New Roman" w:eastAsia="Times New Roman" w:cs="Times New Roman"/>
          <w:szCs w:val="20"/>
          <w:lang w:eastAsia="fr-FR"/>
        </w:rPr>
        <w:t>K-</w:t>
      </w:r>
      <w:r w:rsidRPr="003821DA" w:rsidR="00257262">
        <w:rPr>
          <w:rFonts w:ascii="Times New Roman" w:hAnsi="Times New Roman" w:eastAsia="Times New Roman" w:cs="Times New Roman"/>
          <w:szCs w:val="20"/>
          <w:lang w:eastAsia="fr-FR"/>
        </w:rPr>
        <w:t>36</w:t>
      </w:r>
      <w:r w:rsidRPr="003821DA" w:rsidR="005517F7">
        <w:rPr>
          <w:rFonts w:ascii="Times New Roman" w:hAnsi="Times New Roman" w:eastAsia="Times New Roman" w:cs="Times New Roman"/>
          <w:szCs w:val="20"/>
          <w:lang w:eastAsia="fr-FR"/>
        </w:rPr>
        <w:t xml:space="preserve"> </w:t>
      </w:r>
      <w:r w:rsidRPr="003821DA" w:rsidR="00C618DE">
        <w:rPr>
          <w:rFonts w:ascii="Times New Roman" w:hAnsi="Times New Roman" w:eastAsia="Times New Roman" w:cs="Times New Roman"/>
          <w:szCs w:val="20"/>
          <w:lang w:eastAsia="fr-FR"/>
        </w:rPr>
        <w:t>(</w:t>
      </w:r>
      <w:r w:rsidRPr="003821DA" w:rsidR="005517F7">
        <w:rPr>
          <w:rFonts w:ascii="Times New Roman" w:hAnsi="Times New Roman" w:eastAsia="Times New Roman" w:cs="Times New Roman"/>
          <w:szCs w:val="20"/>
          <w:lang w:eastAsia="fr-FR"/>
        </w:rPr>
        <w:t>correctional colony</w:t>
      </w:r>
      <w:r w:rsidRPr="003821DA" w:rsidR="00C618DE">
        <w:rPr>
          <w:rFonts w:ascii="Times New Roman" w:hAnsi="Times New Roman" w:eastAsia="Times New Roman" w:cs="Times New Roman"/>
          <w:szCs w:val="20"/>
          <w:lang w:eastAsia="fr-FR"/>
        </w:rPr>
        <w:t>)</w:t>
      </w:r>
      <w:r w:rsidRPr="003821DA" w:rsidR="00313FEE">
        <w:rPr>
          <w:rFonts w:ascii="Times New Roman" w:hAnsi="Times New Roman" w:eastAsia="Times New Roman" w:cs="Times New Roman"/>
          <w:szCs w:val="20"/>
          <w:lang w:eastAsia="fr-FR"/>
        </w:rPr>
        <w:t>.</w:t>
      </w:r>
      <w:r w:rsidRPr="003821DA" w:rsidR="00604D24">
        <w:rPr>
          <w:rFonts w:ascii="Times New Roman" w:hAnsi="Times New Roman" w:eastAsia="Times New Roman" w:cs="Times New Roman"/>
          <w:szCs w:val="20"/>
          <w:lang w:eastAsia="fr-FR"/>
        </w:rPr>
        <w:t xml:space="preserve"> The third applic</w:t>
      </w:r>
      <w:r w:rsidRPr="003821DA" w:rsidR="007D6997">
        <w:rPr>
          <w:rFonts w:ascii="Times New Roman" w:hAnsi="Times New Roman" w:eastAsia="Times New Roman" w:cs="Times New Roman"/>
          <w:szCs w:val="20"/>
          <w:lang w:eastAsia="fr-FR"/>
        </w:rPr>
        <w:t xml:space="preserve">ant lives in </w:t>
      </w:r>
      <w:proofErr w:type="spellStart"/>
      <w:r w:rsidRPr="003821DA" w:rsidR="007D6997">
        <w:rPr>
          <w:rFonts w:ascii="Times New Roman" w:hAnsi="Times New Roman" w:eastAsia="Times New Roman" w:cs="Times New Roman"/>
          <w:szCs w:val="20"/>
          <w:lang w:eastAsia="fr-FR"/>
        </w:rPr>
        <w:t>Shilka</w:t>
      </w:r>
      <w:proofErr w:type="spellEnd"/>
      <w:r w:rsidRPr="003821DA" w:rsidR="007D6997">
        <w:rPr>
          <w:rFonts w:ascii="Times New Roman" w:hAnsi="Times New Roman" w:eastAsia="Times New Roman" w:cs="Times New Roman"/>
          <w:szCs w:val="20"/>
          <w:lang w:eastAsia="fr-FR"/>
        </w:rPr>
        <w:t xml:space="preserve"> in</w:t>
      </w:r>
      <w:r w:rsidRPr="003821DA" w:rsidR="00604D24">
        <w:rPr>
          <w:rFonts w:ascii="Times New Roman" w:hAnsi="Times New Roman" w:eastAsia="Times New Roman" w:cs="Times New Roman"/>
          <w:szCs w:val="20"/>
          <w:lang w:eastAsia="fr-FR"/>
        </w:rPr>
        <w:t xml:space="preserve"> the </w:t>
      </w:r>
      <w:proofErr w:type="spellStart"/>
      <w:r w:rsidRPr="003821DA" w:rsidR="00604D24">
        <w:rPr>
          <w:rFonts w:ascii="Times New Roman" w:hAnsi="Times New Roman" w:eastAsia="Times New Roman" w:cs="Times New Roman"/>
          <w:szCs w:val="20"/>
          <w:lang w:eastAsia="fr-FR"/>
        </w:rPr>
        <w:t>Zabaykalskiy</w:t>
      </w:r>
      <w:proofErr w:type="spellEnd"/>
      <w:r w:rsidRPr="003821DA" w:rsidR="00604D24">
        <w:rPr>
          <w:rFonts w:ascii="Times New Roman" w:hAnsi="Times New Roman" w:eastAsia="Times New Roman" w:cs="Times New Roman"/>
          <w:szCs w:val="20"/>
          <w:lang w:eastAsia="fr-FR"/>
        </w:rPr>
        <w:t xml:space="preserve"> Region.</w:t>
      </w:r>
    </w:p>
    <w:p w:rsidRPr="003821DA" w:rsidR="008E6F6D" w:rsidP="003821DA" w:rsidRDefault="008E6F6D">
      <w:pPr>
        <w:pStyle w:val="ECHRHeading2"/>
        <w:rPr>
          <w:rFonts w:eastAsia="Times New Roman"/>
          <w:lang w:eastAsia="fr-FR"/>
        </w:rPr>
      </w:pPr>
      <w:r w:rsidRPr="003821DA">
        <w:rPr>
          <w:rFonts w:eastAsia="Times New Roman"/>
          <w:lang w:eastAsia="fr-FR"/>
        </w:rPr>
        <w:t>A.  </w:t>
      </w:r>
      <w:r w:rsidRPr="003821DA" w:rsidR="00A10210">
        <w:rPr>
          <w:rFonts w:eastAsia="Times New Roman"/>
          <w:lang w:eastAsia="fr-FR"/>
        </w:rPr>
        <w:t>The applicants</w:t>
      </w:r>
      <w:r w:rsidRPr="003821DA" w:rsidR="003821DA">
        <w:rPr>
          <w:rFonts w:eastAsia="Times New Roman"/>
          <w:lang w:eastAsia="fr-FR"/>
        </w:rPr>
        <w:t>’</w:t>
      </w:r>
      <w:r w:rsidRPr="003821DA" w:rsidR="00A10210">
        <w:rPr>
          <w:rFonts w:eastAsia="Times New Roman"/>
          <w:lang w:eastAsia="fr-FR"/>
        </w:rPr>
        <w:t xml:space="preserve"> criminal history</w:t>
      </w:r>
    </w:p>
    <w:p w:rsidRPr="003821DA" w:rsidR="00553DFF" w:rsidP="003821DA" w:rsidRDefault="00553DFF">
      <w:pPr>
        <w:pStyle w:val="ECHRHeading3"/>
        <w:rPr>
          <w:lang w:eastAsia="fr-FR"/>
        </w:rPr>
      </w:pPr>
      <w:r w:rsidRPr="003821DA">
        <w:rPr>
          <w:lang w:eastAsia="fr-FR"/>
        </w:rPr>
        <w:t>1.  The first applicant</w:t>
      </w:r>
    </w:p>
    <w:p w:rsidRPr="003821DA" w:rsidR="00A10210" w:rsidP="003821DA" w:rsidRDefault="005F358C">
      <w:pPr>
        <w:pStyle w:val="ECHRPara"/>
        <w:rPr>
          <w:rFonts w:ascii="Times New Roman" w:hAnsi="Times New Roman" w:eastAsia="Times New Roman" w:cs="Times New Roman"/>
          <w:szCs w:val="20"/>
          <w:lang w:eastAsia="fr-FR"/>
        </w:rPr>
      </w:pPr>
      <w:r w:rsidRPr="003821DA">
        <w:fldChar w:fldCharType="begin"/>
      </w:r>
      <w:r w:rsidRPr="003821DA">
        <w:instrText xml:space="preserve"> SEQ level0 \*arabic </w:instrText>
      </w:r>
      <w:r w:rsidRPr="003821DA">
        <w:fldChar w:fldCharType="separate"/>
      </w:r>
      <w:r w:rsidRPr="003821DA" w:rsidR="003821DA">
        <w:rPr>
          <w:noProof/>
        </w:rPr>
        <w:t>7</w:t>
      </w:r>
      <w:r w:rsidRPr="003821DA">
        <w:fldChar w:fldCharType="end"/>
      </w:r>
      <w:r w:rsidRPr="003821DA" w:rsidR="00014566">
        <w:t>.  </w:t>
      </w:r>
      <w:r w:rsidRPr="003821DA" w:rsidR="00A10210">
        <w:rPr>
          <w:rFonts w:ascii="Times New Roman" w:hAnsi="Times New Roman" w:eastAsia="Times New Roman" w:cs="Times New Roman"/>
          <w:szCs w:val="20"/>
          <w:lang w:eastAsia="fr-FR"/>
        </w:rPr>
        <w:t xml:space="preserve">By </w:t>
      </w:r>
      <w:r w:rsidRPr="003821DA" w:rsidR="00E34B2D">
        <w:rPr>
          <w:rFonts w:ascii="Times New Roman" w:hAnsi="Times New Roman" w:eastAsia="Times New Roman" w:cs="Times New Roman"/>
          <w:szCs w:val="20"/>
          <w:lang w:eastAsia="fr-FR"/>
        </w:rPr>
        <w:t xml:space="preserve">a </w:t>
      </w:r>
      <w:r w:rsidRPr="003821DA" w:rsidR="00D513F9">
        <w:rPr>
          <w:rFonts w:ascii="Times New Roman" w:hAnsi="Times New Roman" w:eastAsia="Times New Roman" w:cs="Times New Roman"/>
          <w:szCs w:val="20"/>
          <w:lang w:eastAsia="fr-FR"/>
        </w:rPr>
        <w:t>first-</w:t>
      </w:r>
      <w:r w:rsidRPr="003821DA" w:rsidR="00A10210">
        <w:rPr>
          <w:rFonts w:ascii="Times New Roman" w:hAnsi="Times New Roman" w:eastAsia="Times New Roman" w:cs="Times New Roman"/>
          <w:szCs w:val="20"/>
          <w:lang w:eastAsia="fr-FR"/>
        </w:rPr>
        <w:t xml:space="preserve">instance judgment of 21 May 2002 the Supreme Court of the Republic of </w:t>
      </w:r>
      <w:proofErr w:type="spellStart"/>
      <w:r w:rsidRPr="003821DA" w:rsidR="00A10210">
        <w:rPr>
          <w:rFonts w:ascii="Times New Roman" w:hAnsi="Times New Roman" w:eastAsia="Times New Roman" w:cs="Times New Roman"/>
          <w:szCs w:val="20"/>
          <w:lang w:eastAsia="fr-FR"/>
        </w:rPr>
        <w:t>Buryatiya</w:t>
      </w:r>
      <w:proofErr w:type="spellEnd"/>
      <w:r w:rsidRPr="003821DA" w:rsidR="00A10210">
        <w:rPr>
          <w:rFonts w:ascii="Times New Roman" w:hAnsi="Times New Roman" w:eastAsia="Times New Roman" w:cs="Times New Roman"/>
          <w:szCs w:val="20"/>
          <w:lang w:eastAsia="fr-FR"/>
        </w:rPr>
        <w:t xml:space="preserve"> convicted the</w:t>
      </w:r>
      <w:r w:rsidRPr="003821DA" w:rsidR="00553DFF">
        <w:rPr>
          <w:rFonts w:ascii="Times New Roman" w:hAnsi="Times New Roman" w:eastAsia="Times New Roman" w:cs="Times New Roman"/>
          <w:szCs w:val="20"/>
          <w:lang w:eastAsia="fr-FR"/>
        </w:rPr>
        <w:t xml:space="preserve"> first </w:t>
      </w:r>
      <w:r w:rsidRPr="003821DA" w:rsidR="00A10210">
        <w:rPr>
          <w:rFonts w:ascii="Times New Roman" w:hAnsi="Times New Roman" w:eastAsia="Times New Roman" w:cs="Times New Roman"/>
          <w:szCs w:val="20"/>
          <w:lang w:eastAsia="fr-FR"/>
        </w:rPr>
        <w:t xml:space="preserve">applicant of </w:t>
      </w:r>
      <w:r w:rsidRPr="003821DA" w:rsidR="005A6E85">
        <w:rPr>
          <w:rFonts w:ascii="Times New Roman" w:hAnsi="Times New Roman" w:eastAsia="Times New Roman" w:cs="Times New Roman"/>
          <w:szCs w:val="20"/>
          <w:lang w:eastAsia="fr-FR"/>
        </w:rPr>
        <w:t xml:space="preserve">several offences including </w:t>
      </w:r>
      <w:r w:rsidRPr="003821DA" w:rsidR="00A10210">
        <w:rPr>
          <w:rFonts w:ascii="Times New Roman" w:hAnsi="Times New Roman" w:eastAsia="Times New Roman" w:cs="Times New Roman"/>
          <w:szCs w:val="20"/>
          <w:lang w:eastAsia="fr-FR"/>
        </w:rPr>
        <w:t>robber</w:t>
      </w:r>
      <w:r w:rsidRPr="003821DA" w:rsidR="005A6E85">
        <w:rPr>
          <w:rFonts w:ascii="Times New Roman" w:hAnsi="Times New Roman" w:eastAsia="Times New Roman" w:cs="Times New Roman"/>
          <w:szCs w:val="20"/>
          <w:lang w:eastAsia="fr-FR"/>
        </w:rPr>
        <w:t>y</w:t>
      </w:r>
      <w:r w:rsidRPr="003821DA" w:rsidR="00A10210">
        <w:rPr>
          <w:rFonts w:ascii="Times New Roman" w:hAnsi="Times New Roman" w:eastAsia="Times New Roman" w:cs="Times New Roman"/>
          <w:szCs w:val="20"/>
          <w:lang w:eastAsia="fr-FR"/>
        </w:rPr>
        <w:t xml:space="preserve">, theft, forgery, destruction of property, banditry, </w:t>
      </w:r>
      <w:r w:rsidRPr="003821DA" w:rsidR="0015114F">
        <w:rPr>
          <w:rFonts w:ascii="Times New Roman" w:hAnsi="Times New Roman" w:eastAsia="Times New Roman" w:cs="Times New Roman"/>
          <w:szCs w:val="20"/>
          <w:lang w:eastAsia="fr-FR"/>
        </w:rPr>
        <w:t>possession and transportation of</w:t>
      </w:r>
      <w:r w:rsidRPr="003821DA" w:rsidR="00394AC5">
        <w:rPr>
          <w:rFonts w:ascii="Times New Roman" w:hAnsi="Times New Roman" w:eastAsia="Times New Roman" w:cs="Times New Roman"/>
          <w:szCs w:val="20"/>
          <w:lang w:eastAsia="fr-FR"/>
        </w:rPr>
        <w:t xml:space="preserve"> firearms </w:t>
      </w:r>
      <w:r w:rsidRPr="003821DA" w:rsidR="00A10210">
        <w:rPr>
          <w:rFonts w:ascii="Times New Roman" w:hAnsi="Times New Roman" w:eastAsia="Times New Roman" w:cs="Times New Roman"/>
          <w:szCs w:val="20"/>
          <w:lang w:eastAsia="fr-FR"/>
        </w:rPr>
        <w:t xml:space="preserve">and murder, </w:t>
      </w:r>
      <w:r w:rsidRPr="003821DA" w:rsidR="00417B22">
        <w:rPr>
          <w:rFonts w:ascii="Times New Roman" w:hAnsi="Times New Roman" w:eastAsia="Times New Roman" w:cs="Times New Roman"/>
          <w:szCs w:val="20"/>
          <w:lang w:eastAsia="fr-FR"/>
        </w:rPr>
        <w:t xml:space="preserve">sentencing </w:t>
      </w:r>
      <w:r w:rsidRPr="003821DA" w:rsidR="00A10210">
        <w:rPr>
          <w:rFonts w:ascii="Times New Roman" w:hAnsi="Times New Roman" w:eastAsia="Times New Roman" w:cs="Times New Roman"/>
          <w:szCs w:val="20"/>
          <w:lang w:eastAsia="fr-FR"/>
        </w:rPr>
        <w:t>him to life</w:t>
      </w:r>
      <w:r w:rsidRPr="003821DA" w:rsidR="006526E8">
        <w:rPr>
          <w:rFonts w:ascii="Times New Roman" w:hAnsi="Times New Roman" w:eastAsia="Times New Roman" w:cs="Times New Roman"/>
          <w:szCs w:val="20"/>
          <w:lang w:eastAsia="fr-FR"/>
        </w:rPr>
        <w:t xml:space="preserve"> imprisonment</w:t>
      </w:r>
      <w:r w:rsidRPr="003821DA" w:rsidR="00A10210">
        <w:rPr>
          <w:rFonts w:ascii="Times New Roman" w:hAnsi="Times New Roman" w:eastAsia="Times New Roman" w:cs="Times New Roman"/>
          <w:szCs w:val="20"/>
          <w:lang w:eastAsia="fr-FR"/>
        </w:rPr>
        <w:t>.</w:t>
      </w:r>
    </w:p>
    <w:bookmarkStart w:name="FirstApplicantEndOfCrimProceed" w:id="3"/>
    <w:p w:rsidRPr="003821DA" w:rsidR="00A10210" w:rsidP="003821DA" w:rsidRDefault="00553DF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8</w:t>
      </w:r>
      <w:r w:rsidRPr="003821DA">
        <w:rPr>
          <w:rFonts w:eastAsia="Times New Roman"/>
          <w:lang w:eastAsia="fr-FR"/>
        </w:rPr>
        <w:fldChar w:fldCharType="end"/>
      </w:r>
      <w:bookmarkEnd w:id="3"/>
      <w:r w:rsidRPr="003821DA">
        <w:rPr>
          <w:rFonts w:eastAsia="Times New Roman"/>
          <w:lang w:eastAsia="fr-FR"/>
        </w:rPr>
        <w:t>.  </w:t>
      </w:r>
      <w:r w:rsidRPr="003821DA" w:rsidR="00A10210">
        <w:rPr>
          <w:rFonts w:eastAsia="Times New Roman"/>
          <w:lang w:eastAsia="fr-FR"/>
        </w:rPr>
        <w:t xml:space="preserve">The </w:t>
      </w:r>
      <w:proofErr w:type="gramStart"/>
      <w:r w:rsidRPr="003821DA" w:rsidR="00A10210">
        <w:rPr>
          <w:rFonts w:eastAsia="Times New Roman"/>
          <w:lang w:eastAsia="fr-FR"/>
        </w:rPr>
        <w:t>judgment was upheld on appeal by the Supreme Court of Russia</w:t>
      </w:r>
      <w:proofErr w:type="gramEnd"/>
      <w:r w:rsidRPr="003821DA" w:rsidR="00A10210">
        <w:rPr>
          <w:rFonts w:eastAsia="Times New Roman"/>
          <w:lang w:eastAsia="fr-FR"/>
        </w:rPr>
        <w:t xml:space="preserve"> on 19 June 2003. The </w:t>
      </w:r>
      <w:r w:rsidRPr="003821DA">
        <w:rPr>
          <w:rFonts w:eastAsia="Times New Roman"/>
          <w:lang w:eastAsia="fr-FR"/>
        </w:rPr>
        <w:t xml:space="preserve">first </w:t>
      </w:r>
      <w:r w:rsidRPr="003821DA" w:rsidR="00A10210">
        <w:rPr>
          <w:rFonts w:eastAsia="Times New Roman"/>
          <w:lang w:eastAsia="fr-FR"/>
        </w:rPr>
        <w:t xml:space="preserve">applicant did not </w:t>
      </w:r>
      <w:r w:rsidRPr="003821DA" w:rsidR="00E3417F">
        <w:rPr>
          <w:rFonts w:eastAsia="Times New Roman"/>
          <w:lang w:eastAsia="fr-FR"/>
        </w:rPr>
        <w:t xml:space="preserve">allege in his appeal arguments that the </w:t>
      </w:r>
      <w:r w:rsidRPr="003821DA" w:rsidR="00A10210">
        <w:rPr>
          <w:rFonts w:eastAsia="Times New Roman"/>
          <w:lang w:eastAsia="fr-FR"/>
        </w:rPr>
        <w:t>composition of the first</w:t>
      </w:r>
      <w:r w:rsidRPr="003821DA">
        <w:rPr>
          <w:rFonts w:eastAsia="Times New Roman"/>
          <w:lang w:eastAsia="fr-FR"/>
        </w:rPr>
        <w:t>-</w:t>
      </w:r>
      <w:r w:rsidRPr="003821DA" w:rsidR="00A10210">
        <w:rPr>
          <w:rFonts w:eastAsia="Times New Roman"/>
          <w:lang w:eastAsia="fr-FR"/>
        </w:rPr>
        <w:t>instance court</w:t>
      </w:r>
      <w:r w:rsidRPr="003821DA" w:rsidR="00E3417F">
        <w:rPr>
          <w:rFonts w:eastAsia="Times New Roman"/>
          <w:lang w:eastAsia="fr-FR"/>
        </w:rPr>
        <w:t xml:space="preserve"> had been unlawful</w:t>
      </w:r>
      <w:r w:rsidRPr="003821DA" w:rsidR="00A10210">
        <w:rPr>
          <w:rFonts w:eastAsia="Times New Roman"/>
          <w:lang w:eastAsia="fr-FR"/>
        </w:rPr>
        <w:t>.</w:t>
      </w:r>
    </w:p>
    <w:p w:rsidRPr="003821DA" w:rsidR="00164F64" w:rsidP="003821DA" w:rsidRDefault="00553DF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9</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 xml:space="preserve">On 22 September </w:t>
      </w:r>
      <w:proofErr w:type="gramStart"/>
      <w:r w:rsidRPr="003821DA" w:rsidR="00A10210">
        <w:rPr>
          <w:rFonts w:eastAsia="Times New Roman"/>
          <w:lang w:eastAsia="fr-FR"/>
        </w:rPr>
        <w:t>2004</w:t>
      </w:r>
      <w:proofErr w:type="gramEnd"/>
      <w:r w:rsidRPr="003821DA" w:rsidR="00A10210">
        <w:rPr>
          <w:rFonts w:eastAsia="Times New Roman"/>
          <w:lang w:eastAsia="fr-FR"/>
        </w:rPr>
        <w:t xml:space="preserve"> the </w:t>
      </w:r>
      <w:proofErr w:type="spellStart"/>
      <w:r w:rsidRPr="003821DA" w:rsidR="00A10210">
        <w:rPr>
          <w:rFonts w:eastAsia="Times New Roman"/>
          <w:lang w:eastAsia="fr-FR"/>
        </w:rPr>
        <w:t>Enisey</w:t>
      </w:r>
      <w:r w:rsidRPr="003821DA" w:rsidR="005B7D74">
        <w:rPr>
          <w:rFonts w:eastAsia="Times New Roman"/>
          <w:lang w:eastAsia="fr-FR"/>
        </w:rPr>
        <w:t>skiy</w:t>
      </w:r>
      <w:proofErr w:type="spellEnd"/>
      <w:r w:rsidRPr="003821DA" w:rsidR="00A10210">
        <w:rPr>
          <w:rFonts w:eastAsia="Times New Roman"/>
          <w:lang w:eastAsia="fr-FR"/>
        </w:rPr>
        <w:t xml:space="preserve"> District Court of the Krasnoyarsk Region brought the </w:t>
      </w:r>
      <w:r w:rsidRPr="003821DA" w:rsidR="00A400EC">
        <w:rPr>
          <w:rFonts w:eastAsia="Times New Roman"/>
          <w:lang w:eastAsia="fr-FR"/>
        </w:rPr>
        <w:t xml:space="preserve">first </w:t>
      </w:r>
      <w:r w:rsidRPr="003821DA" w:rsidR="00A10210">
        <w:rPr>
          <w:rFonts w:eastAsia="Times New Roman"/>
          <w:lang w:eastAsia="fr-FR"/>
        </w:rPr>
        <w:t>applicant</w:t>
      </w:r>
      <w:r w:rsidRPr="003821DA" w:rsidR="003821DA">
        <w:rPr>
          <w:rFonts w:eastAsia="Times New Roman"/>
          <w:lang w:eastAsia="fr-FR"/>
        </w:rPr>
        <w:t>’</w:t>
      </w:r>
      <w:r w:rsidRPr="003821DA" w:rsidR="00A10210">
        <w:rPr>
          <w:rFonts w:eastAsia="Times New Roman"/>
          <w:lang w:eastAsia="fr-FR"/>
        </w:rPr>
        <w:t xml:space="preserve">s conviction in line with newly introduced amendments to the Russian Criminal Code, having made minor corrections </w:t>
      </w:r>
      <w:r w:rsidRPr="003821DA" w:rsidR="005517F7">
        <w:rPr>
          <w:rFonts w:eastAsia="Times New Roman"/>
          <w:lang w:eastAsia="fr-FR"/>
        </w:rPr>
        <w:t xml:space="preserve">to </w:t>
      </w:r>
      <w:r w:rsidRPr="003821DA" w:rsidR="00E34B2D">
        <w:rPr>
          <w:rFonts w:eastAsia="Times New Roman"/>
          <w:lang w:eastAsia="fr-FR"/>
        </w:rPr>
        <w:t>the</w:t>
      </w:r>
      <w:r w:rsidRPr="003821DA" w:rsidR="005517F7">
        <w:rPr>
          <w:rFonts w:eastAsia="Times New Roman"/>
          <w:lang w:eastAsia="fr-FR"/>
        </w:rPr>
        <w:t xml:space="preserve"> legal</w:t>
      </w:r>
      <w:r w:rsidRPr="003821DA" w:rsidR="00E34B2D">
        <w:rPr>
          <w:rFonts w:eastAsia="Times New Roman"/>
          <w:lang w:eastAsia="fr-FR"/>
        </w:rPr>
        <w:t xml:space="preserve"> </w:t>
      </w:r>
      <w:r w:rsidRPr="003821DA" w:rsidR="00A10210">
        <w:rPr>
          <w:rFonts w:eastAsia="Times New Roman"/>
          <w:lang w:eastAsia="fr-FR"/>
        </w:rPr>
        <w:t xml:space="preserve">characterisation of </w:t>
      </w:r>
      <w:r w:rsidRPr="003821DA" w:rsidR="00A400EC">
        <w:rPr>
          <w:rFonts w:eastAsia="Times New Roman"/>
          <w:lang w:eastAsia="fr-FR"/>
        </w:rPr>
        <w:t>his</w:t>
      </w:r>
      <w:r w:rsidRPr="003821DA" w:rsidR="00A10210">
        <w:rPr>
          <w:rFonts w:eastAsia="Times New Roman"/>
          <w:lang w:eastAsia="fr-FR"/>
        </w:rPr>
        <w:t xml:space="preserve"> acts</w:t>
      </w:r>
      <w:r w:rsidRPr="003821DA" w:rsidR="00E34B2D">
        <w:rPr>
          <w:rFonts w:eastAsia="Times New Roman"/>
          <w:lang w:eastAsia="fr-FR"/>
        </w:rPr>
        <w:t>.</w:t>
      </w:r>
      <w:r w:rsidRPr="003821DA" w:rsidR="00A10210">
        <w:rPr>
          <w:rFonts w:eastAsia="Times New Roman"/>
          <w:lang w:eastAsia="fr-FR"/>
        </w:rPr>
        <w:t xml:space="preserve"> </w:t>
      </w:r>
      <w:r w:rsidRPr="003821DA" w:rsidR="00E34B2D">
        <w:rPr>
          <w:rFonts w:eastAsia="Times New Roman"/>
          <w:lang w:eastAsia="fr-FR"/>
        </w:rPr>
        <w:t>H</w:t>
      </w:r>
      <w:r w:rsidRPr="003821DA" w:rsidR="00A10210">
        <w:rPr>
          <w:rFonts w:eastAsia="Times New Roman"/>
          <w:lang w:eastAsia="fr-FR"/>
        </w:rPr>
        <w:t xml:space="preserve">is sentence </w:t>
      </w:r>
      <w:proofErr w:type="gramStart"/>
      <w:r w:rsidRPr="003821DA" w:rsidR="00E34B2D">
        <w:rPr>
          <w:rFonts w:eastAsia="Times New Roman"/>
          <w:lang w:eastAsia="fr-FR"/>
        </w:rPr>
        <w:t>was left</w:t>
      </w:r>
      <w:proofErr w:type="gramEnd"/>
      <w:r w:rsidRPr="003821DA" w:rsidR="00E34B2D">
        <w:rPr>
          <w:rFonts w:eastAsia="Times New Roman"/>
          <w:lang w:eastAsia="fr-FR"/>
        </w:rPr>
        <w:t xml:space="preserve"> </w:t>
      </w:r>
      <w:r w:rsidRPr="003821DA" w:rsidR="00A10210">
        <w:rPr>
          <w:rFonts w:eastAsia="Times New Roman"/>
          <w:lang w:eastAsia="fr-FR"/>
        </w:rPr>
        <w:t>essentially unchanged.</w:t>
      </w:r>
    </w:p>
    <w:p w:rsidRPr="003821DA" w:rsidR="00A10210"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10</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Th</w:t>
      </w:r>
      <w:r w:rsidRPr="003821DA" w:rsidR="006156AC">
        <w:rPr>
          <w:rFonts w:eastAsia="Times New Roman"/>
          <w:lang w:eastAsia="fr-FR"/>
        </w:rPr>
        <w:t>at</w:t>
      </w:r>
      <w:r w:rsidRPr="003821DA" w:rsidR="00A10210">
        <w:rPr>
          <w:rFonts w:eastAsia="Times New Roman"/>
          <w:lang w:eastAsia="fr-FR"/>
        </w:rPr>
        <w:t xml:space="preserve"> decision </w:t>
      </w:r>
      <w:proofErr w:type="gramStart"/>
      <w:r w:rsidRPr="003821DA" w:rsidR="00A10210">
        <w:rPr>
          <w:rFonts w:eastAsia="Times New Roman"/>
          <w:lang w:eastAsia="fr-FR"/>
        </w:rPr>
        <w:t>was upheld</w:t>
      </w:r>
      <w:proofErr w:type="gramEnd"/>
      <w:r w:rsidRPr="003821DA" w:rsidR="00A10210">
        <w:rPr>
          <w:rFonts w:eastAsia="Times New Roman"/>
          <w:lang w:eastAsia="fr-FR"/>
        </w:rPr>
        <w:t xml:space="preserve"> </w:t>
      </w:r>
      <w:r w:rsidRPr="003821DA" w:rsidR="006156AC">
        <w:rPr>
          <w:rFonts w:eastAsia="Times New Roman"/>
          <w:lang w:eastAsia="fr-FR"/>
        </w:rPr>
        <w:t>following a</w:t>
      </w:r>
      <w:r w:rsidRPr="003821DA" w:rsidR="00A10210">
        <w:rPr>
          <w:rFonts w:eastAsia="Times New Roman"/>
          <w:lang w:eastAsia="fr-FR"/>
        </w:rPr>
        <w:t xml:space="preserve"> supervisory review by the Krasnoyarsk Regional Court on 30 May 2006.</w:t>
      </w:r>
    </w:p>
    <w:p w:rsidRPr="003821DA" w:rsidR="00A10210"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11</w:t>
      </w:r>
      <w:r w:rsidRPr="003821DA">
        <w:rPr>
          <w:rFonts w:eastAsia="Times New Roman"/>
          <w:lang w:eastAsia="fr-FR"/>
        </w:rPr>
        <w:fldChar w:fldCharType="end"/>
      </w:r>
      <w:r w:rsidRPr="003821DA">
        <w:rPr>
          <w:rFonts w:eastAsia="Times New Roman"/>
          <w:lang w:eastAsia="fr-FR"/>
        </w:rPr>
        <w:t>.  </w:t>
      </w:r>
      <w:r w:rsidRPr="003821DA" w:rsidR="00A10210">
        <w:rPr>
          <w:rFonts w:eastAsia="Times New Roman"/>
          <w:lang w:eastAsia="fr-FR"/>
        </w:rPr>
        <w:t xml:space="preserve">In </w:t>
      </w:r>
      <w:proofErr w:type="gramStart"/>
      <w:r w:rsidRPr="003821DA" w:rsidR="00A10210">
        <w:rPr>
          <w:rFonts w:eastAsia="Times New Roman"/>
          <w:lang w:eastAsia="fr-FR"/>
        </w:rPr>
        <w:t>2007</w:t>
      </w:r>
      <w:proofErr w:type="gramEnd"/>
      <w:r w:rsidRPr="003821DA" w:rsidR="00A10210">
        <w:rPr>
          <w:rFonts w:eastAsia="Times New Roman"/>
          <w:lang w:eastAsia="fr-FR"/>
        </w:rPr>
        <w:t xml:space="preserve"> the</w:t>
      </w:r>
      <w:r w:rsidRPr="003821DA">
        <w:rPr>
          <w:rFonts w:eastAsia="Times New Roman"/>
          <w:lang w:eastAsia="fr-FR"/>
        </w:rPr>
        <w:t xml:space="preserve"> first</w:t>
      </w:r>
      <w:r w:rsidRPr="003821DA" w:rsidR="00A10210">
        <w:rPr>
          <w:rFonts w:eastAsia="Times New Roman"/>
          <w:lang w:eastAsia="fr-FR"/>
        </w:rPr>
        <w:t xml:space="preserve"> applicant made some </w:t>
      </w:r>
      <w:r w:rsidRPr="003821DA" w:rsidR="00610860">
        <w:rPr>
          <w:rFonts w:eastAsia="Times New Roman"/>
          <w:lang w:eastAsia="fr-FR"/>
        </w:rPr>
        <w:t xml:space="preserve">enquiries </w:t>
      </w:r>
      <w:r w:rsidRPr="003821DA" w:rsidR="00A10210">
        <w:rPr>
          <w:rFonts w:eastAsia="Times New Roman"/>
          <w:lang w:eastAsia="fr-FR"/>
        </w:rPr>
        <w:t>to check the l</w:t>
      </w:r>
      <w:r w:rsidRPr="003821DA">
        <w:rPr>
          <w:rFonts w:eastAsia="Times New Roman"/>
          <w:lang w:eastAsia="fr-FR"/>
        </w:rPr>
        <w:t xml:space="preserve">awfulness of the </w:t>
      </w:r>
      <w:r w:rsidRPr="003821DA" w:rsidR="00610860">
        <w:rPr>
          <w:rFonts w:eastAsia="Times New Roman"/>
          <w:lang w:eastAsia="fr-FR"/>
        </w:rPr>
        <w:t xml:space="preserve">composition of the </w:t>
      </w:r>
      <w:r w:rsidRPr="003821DA">
        <w:rPr>
          <w:rFonts w:eastAsia="Times New Roman"/>
          <w:lang w:eastAsia="fr-FR"/>
        </w:rPr>
        <w:t xml:space="preserve">first-instance </w:t>
      </w:r>
      <w:r w:rsidRPr="003821DA" w:rsidR="00A10210">
        <w:rPr>
          <w:rFonts w:eastAsia="Times New Roman"/>
          <w:lang w:eastAsia="fr-FR"/>
        </w:rPr>
        <w:t>court in his case.</w:t>
      </w:r>
      <w:r w:rsidRPr="003821DA">
        <w:rPr>
          <w:rFonts w:eastAsia="Times New Roman"/>
          <w:lang w:eastAsia="fr-FR"/>
        </w:rPr>
        <w:t xml:space="preserve"> </w:t>
      </w:r>
      <w:r w:rsidRPr="003821DA" w:rsidR="00FB11F7">
        <w:rPr>
          <w:rFonts w:eastAsia="Times New Roman"/>
          <w:lang w:eastAsia="fr-FR"/>
        </w:rPr>
        <w:t xml:space="preserve">Eventually, he found out that two lay assessors who had sat in his case at the first level of jurisdiction had not had authority to take part in the proceedings. </w:t>
      </w:r>
      <w:r w:rsidRPr="003821DA" w:rsidR="00A10210">
        <w:rPr>
          <w:rFonts w:eastAsia="Times New Roman"/>
          <w:lang w:eastAsia="fr-FR"/>
        </w:rPr>
        <w:t>Thereafter</w:t>
      </w:r>
      <w:r w:rsidRPr="003821DA" w:rsidR="00A139CA">
        <w:rPr>
          <w:rFonts w:eastAsia="Times New Roman"/>
          <w:lang w:eastAsia="fr-FR"/>
        </w:rPr>
        <w:t xml:space="preserve">, in an attempt </w:t>
      </w:r>
      <w:r w:rsidRPr="003821DA" w:rsidR="0001704D">
        <w:rPr>
          <w:rFonts w:eastAsia="Times New Roman"/>
          <w:lang w:eastAsia="fr-FR"/>
        </w:rPr>
        <w:t>to contest the lawfulness of his conviction on the above-mentioned ground</w:t>
      </w:r>
      <w:r w:rsidRPr="003821DA" w:rsidR="00610860">
        <w:rPr>
          <w:rFonts w:eastAsia="Times New Roman"/>
          <w:lang w:eastAsia="fr-FR"/>
        </w:rPr>
        <w:t>s</w:t>
      </w:r>
      <w:r w:rsidRPr="003821DA" w:rsidR="00A139CA">
        <w:rPr>
          <w:rFonts w:eastAsia="Times New Roman"/>
          <w:lang w:eastAsia="fr-FR"/>
        </w:rPr>
        <w:t>, he</w:t>
      </w:r>
      <w:r w:rsidRPr="003821DA" w:rsidR="00A10210">
        <w:rPr>
          <w:rFonts w:eastAsia="Times New Roman"/>
          <w:lang w:eastAsia="fr-FR"/>
        </w:rPr>
        <w:t xml:space="preserve"> </w:t>
      </w:r>
      <w:r w:rsidRPr="003821DA" w:rsidR="00FB11F7">
        <w:rPr>
          <w:rFonts w:eastAsia="Times New Roman"/>
          <w:lang w:eastAsia="fr-FR"/>
        </w:rPr>
        <w:t>requested th</w:t>
      </w:r>
      <w:r w:rsidRPr="003821DA" w:rsidR="005517F7">
        <w:rPr>
          <w:rFonts w:eastAsia="Times New Roman"/>
          <w:lang w:eastAsia="fr-FR"/>
        </w:rPr>
        <w:t>at the</w:t>
      </w:r>
      <w:r w:rsidRPr="003821DA" w:rsidR="00FB11F7">
        <w:rPr>
          <w:rFonts w:eastAsia="Times New Roman"/>
          <w:lang w:eastAsia="fr-FR"/>
        </w:rPr>
        <w:t xml:space="preserve"> Prosecutor</w:t>
      </w:r>
      <w:r w:rsidRPr="003821DA" w:rsidR="003821DA">
        <w:rPr>
          <w:rFonts w:eastAsia="Times New Roman"/>
          <w:lang w:eastAsia="fr-FR"/>
        </w:rPr>
        <w:t>’</w:t>
      </w:r>
      <w:r w:rsidRPr="003821DA" w:rsidR="00FB11F7">
        <w:rPr>
          <w:rFonts w:eastAsia="Times New Roman"/>
          <w:lang w:eastAsia="fr-FR"/>
        </w:rPr>
        <w:t xml:space="preserve">s Office of the Republic of </w:t>
      </w:r>
      <w:proofErr w:type="spellStart"/>
      <w:r w:rsidRPr="003821DA" w:rsidR="00FB11F7">
        <w:rPr>
          <w:rFonts w:eastAsia="Times New Roman"/>
          <w:lang w:eastAsia="fr-FR"/>
        </w:rPr>
        <w:t>Buryatiya</w:t>
      </w:r>
      <w:proofErr w:type="spellEnd"/>
      <w:r w:rsidRPr="003821DA" w:rsidR="00FB11F7">
        <w:rPr>
          <w:rFonts w:eastAsia="Times New Roman"/>
          <w:lang w:eastAsia="fr-FR"/>
        </w:rPr>
        <w:t xml:space="preserve"> institute supervisory review </w:t>
      </w:r>
      <w:r w:rsidRPr="003821DA" w:rsidR="0001704D">
        <w:rPr>
          <w:rFonts w:eastAsia="Times New Roman"/>
          <w:lang w:eastAsia="fr-FR"/>
        </w:rPr>
        <w:t>proceedings with a view to setting aside the judgment of 21 May 2002.</w:t>
      </w:r>
      <w:r w:rsidRPr="003821DA" w:rsidR="006156AC">
        <w:rPr>
          <w:rFonts w:eastAsia="Times New Roman"/>
          <w:lang w:eastAsia="fr-FR"/>
        </w:rPr>
        <w:t xml:space="preserve"> His request</w:t>
      </w:r>
      <w:r w:rsidRPr="003821DA" w:rsidR="00BC133D">
        <w:rPr>
          <w:rFonts w:eastAsia="Times New Roman"/>
          <w:lang w:eastAsia="fr-FR"/>
        </w:rPr>
        <w:t>s were</w:t>
      </w:r>
      <w:r w:rsidRPr="003821DA" w:rsidR="006156AC">
        <w:rPr>
          <w:rFonts w:eastAsia="Times New Roman"/>
          <w:lang w:eastAsia="fr-FR"/>
        </w:rPr>
        <w:t xml:space="preserve"> unsuccessful.</w:t>
      </w:r>
    </w:p>
    <w:p w:rsidRPr="003821DA" w:rsidR="00A400EC" w:rsidP="003821DA" w:rsidRDefault="00A400EC">
      <w:pPr>
        <w:pStyle w:val="ECHRHeading3"/>
        <w:rPr>
          <w:rFonts w:eastAsia="Times New Roman"/>
          <w:lang w:eastAsia="fr-FR"/>
        </w:rPr>
      </w:pPr>
      <w:r w:rsidRPr="003821DA">
        <w:rPr>
          <w:rFonts w:eastAsia="Times New Roman"/>
          <w:lang w:eastAsia="fr-FR"/>
        </w:rPr>
        <w:t>2.  The second applicant</w:t>
      </w:r>
    </w:p>
    <w:p w:rsidRPr="003821DA" w:rsidR="00A400EC" w:rsidP="003821DA" w:rsidRDefault="00A400E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12</w:t>
      </w:r>
      <w:r w:rsidRPr="003821DA">
        <w:rPr>
          <w:rFonts w:eastAsia="Times New Roman"/>
          <w:lang w:eastAsia="fr-FR"/>
        </w:rPr>
        <w:fldChar w:fldCharType="end"/>
      </w:r>
      <w:r w:rsidRPr="003821DA">
        <w:rPr>
          <w:rFonts w:eastAsia="Times New Roman"/>
          <w:lang w:eastAsia="fr-FR"/>
        </w:rPr>
        <w:t>.  </w:t>
      </w:r>
      <w:r w:rsidRPr="003821DA" w:rsidR="005E2126">
        <w:rPr>
          <w:rFonts w:eastAsia="Times New Roman"/>
          <w:lang w:eastAsia="fr-FR"/>
        </w:rPr>
        <w:t xml:space="preserve">By a judgment of </w:t>
      </w:r>
      <w:r w:rsidRPr="003821DA" w:rsidR="00EB5F4A">
        <w:rPr>
          <w:rFonts w:eastAsia="Times New Roman"/>
          <w:lang w:eastAsia="fr-FR"/>
        </w:rPr>
        <w:t xml:space="preserve">5 December </w:t>
      </w:r>
      <w:proofErr w:type="gramStart"/>
      <w:r w:rsidRPr="003821DA" w:rsidR="00EB5F4A">
        <w:rPr>
          <w:rFonts w:eastAsia="Times New Roman"/>
          <w:lang w:eastAsia="fr-FR"/>
        </w:rPr>
        <w:t>2003</w:t>
      </w:r>
      <w:proofErr w:type="gramEnd"/>
      <w:r w:rsidRPr="003821DA" w:rsidR="00EB5F4A">
        <w:rPr>
          <w:rFonts w:eastAsia="Times New Roman"/>
          <w:lang w:eastAsia="fr-FR"/>
        </w:rPr>
        <w:t xml:space="preserve"> the </w:t>
      </w:r>
      <w:proofErr w:type="spellStart"/>
      <w:r w:rsidRPr="003821DA" w:rsidR="00EB5F4A">
        <w:rPr>
          <w:rFonts w:eastAsia="Times New Roman"/>
          <w:lang w:eastAsia="fr-FR"/>
        </w:rPr>
        <w:t>Leninskiy</w:t>
      </w:r>
      <w:proofErr w:type="spellEnd"/>
      <w:r w:rsidRPr="003821DA" w:rsidR="00EB5F4A">
        <w:rPr>
          <w:rFonts w:eastAsia="Times New Roman"/>
          <w:lang w:eastAsia="fr-FR"/>
        </w:rPr>
        <w:t xml:space="preserve"> District Court of Kra</w:t>
      </w:r>
      <w:r w:rsidRPr="003821DA" w:rsidR="00525CC2">
        <w:rPr>
          <w:rFonts w:eastAsia="Times New Roman"/>
          <w:lang w:eastAsia="fr-FR"/>
        </w:rPr>
        <w:t xml:space="preserve">snoyarsk convicted the second applicant of murder and destruction of property and sentenced him to </w:t>
      </w:r>
      <w:r w:rsidRPr="003821DA" w:rsidR="00A92116">
        <w:rPr>
          <w:rFonts w:eastAsia="Times New Roman"/>
          <w:lang w:eastAsia="fr-FR"/>
        </w:rPr>
        <w:t xml:space="preserve">fifteen </w:t>
      </w:r>
      <w:r w:rsidRPr="003821DA" w:rsidR="00525CC2">
        <w:rPr>
          <w:rFonts w:eastAsia="Times New Roman"/>
          <w:lang w:eastAsia="fr-FR"/>
        </w:rPr>
        <w:t>years</w:t>
      </w:r>
      <w:r w:rsidRPr="003821DA" w:rsidR="003821DA">
        <w:rPr>
          <w:rFonts w:eastAsia="Times New Roman"/>
          <w:lang w:eastAsia="fr-FR"/>
        </w:rPr>
        <w:t>’</w:t>
      </w:r>
      <w:r w:rsidRPr="003821DA" w:rsidR="00525CC2">
        <w:rPr>
          <w:rFonts w:eastAsia="Times New Roman"/>
          <w:lang w:eastAsia="fr-FR"/>
        </w:rPr>
        <w:t xml:space="preserve"> imprisonment</w:t>
      </w:r>
      <w:r w:rsidRPr="003821DA" w:rsidR="009E7879">
        <w:rPr>
          <w:rFonts w:eastAsia="Times New Roman"/>
          <w:lang w:eastAsia="fr-FR"/>
        </w:rPr>
        <w:t xml:space="preserve"> to be served in a correctional colony with a </w:t>
      </w:r>
      <w:r w:rsidRPr="003821DA" w:rsidR="0041474A">
        <w:rPr>
          <w:rFonts w:eastAsia="Times New Roman"/>
          <w:lang w:eastAsia="fr-FR"/>
        </w:rPr>
        <w:t>strict</w:t>
      </w:r>
      <w:r w:rsidRPr="003821DA" w:rsidR="009E7879">
        <w:rPr>
          <w:rFonts w:eastAsia="Times New Roman"/>
          <w:lang w:eastAsia="fr-FR"/>
        </w:rPr>
        <w:t xml:space="preserve"> regime</w:t>
      </w:r>
      <w:r w:rsidRPr="003821DA" w:rsidR="00525CC2">
        <w:rPr>
          <w:rFonts w:eastAsia="Times New Roman"/>
          <w:lang w:eastAsia="fr-FR"/>
        </w:rPr>
        <w:t>.</w:t>
      </w:r>
    </w:p>
    <w:p w:rsidRPr="003821DA" w:rsidR="009E7879" w:rsidP="003821DA" w:rsidRDefault="009E787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13</w:t>
      </w:r>
      <w:r w:rsidRPr="003821DA">
        <w:rPr>
          <w:rFonts w:eastAsia="Times New Roman"/>
          <w:lang w:eastAsia="fr-FR"/>
        </w:rPr>
        <w:fldChar w:fldCharType="end"/>
      </w:r>
      <w:r w:rsidRPr="003821DA">
        <w:rPr>
          <w:rFonts w:eastAsia="Times New Roman"/>
          <w:lang w:eastAsia="fr-FR"/>
        </w:rPr>
        <w:t xml:space="preserve">.  On 5 February </w:t>
      </w:r>
      <w:proofErr w:type="gramStart"/>
      <w:r w:rsidRPr="003821DA">
        <w:rPr>
          <w:rFonts w:eastAsia="Times New Roman"/>
          <w:lang w:eastAsia="fr-FR"/>
        </w:rPr>
        <w:t>2004</w:t>
      </w:r>
      <w:proofErr w:type="gramEnd"/>
      <w:r w:rsidRPr="003821DA">
        <w:rPr>
          <w:rFonts w:eastAsia="Times New Roman"/>
          <w:lang w:eastAsia="fr-FR"/>
        </w:rPr>
        <w:t xml:space="preserve"> the Krasnoyarsk Regional Court upheld the second applicant</w:t>
      </w:r>
      <w:r w:rsidRPr="003821DA" w:rsidR="003821DA">
        <w:rPr>
          <w:rFonts w:eastAsia="Times New Roman"/>
          <w:lang w:eastAsia="fr-FR"/>
        </w:rPr>
        <w:t>’</w:t>
      </w:r>
      <w:r w:rsidRPr="003821DA">
        <w:rPr>
          <w:rFonts w:eastAsia="Times New Roman"/>
          <w:lang w:eastAsia="fr-FR"/>
        </w:rPr>
        <w:t>s conviction on appeal.</w:t>
      </w:r>
    </w:p>
    <w:p w:rsidRPr="003821DA" w:rsidR="009E7879" w:rsidP="003821DA" w:rsidRDefault="009E787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14</w:t>
      </w:r>
      <w:r w:rsidRPr="003821DA">
        <w:rPr>
          <w:rFonts w:eastAsia="Times New Roman"/>
          <w:lang w:eastAsia="fr-FR"/>
        </w:rPr>
        <w:fldChar w:fldCharType="end"/>
      </w:r>
      <w:r w:rsidRPr="003821DA">
        <w:rPr>
          <w:rFonts w:eastAsia="Times New Roman"/>
          <w:lang w:eastAsia="fr-FR"/>
        </w:rPr>
        <w:t xml:space="preserve">.  On 6 April </w:t>
      </w:r>
      <w:proofErr w:type="gramStart"/>
      <w:r w:rsidRPr="003821DA">
        <w:rPr>
          <w:rFonts w:eastAsia="Times New Roman"/>
          <w:lang w:eastAsia="fr-FR"/>
        </w:rPr>
        <w:t>2007</w:t>
      </w:r>
      <w:proofErr w:type="gramEnd"/>
      <w:r w:rsidRPr="003821DA">
        <w:rPr>
          <w:rFonts w:eastAsia="Times New Roman"/>
          <w:lang w:eastAsia="fr-FR"/>
        </w:rPr>
        <w:t xml:space="preserve"> the </w:t>
      </w:r>
      <w:proofErr w:type="spellStart"/>
      <w:r w:rsidRPr="003821DA">
        <w:rPr>
          <w:rFonts w:eastAsia="Times New Roman"/>
          <w:lang w:eastAsia="fr-FR"/>
        </w:rPr>
        <w:t>Sovetskiy</w:t>
      </w:r>
      <w:proofErr w:type="spellEnd"/>
      <w:r w:rsidRPr="003821DA">
        <w:rPr>
          <w:rFonts w:eastAsia="Times New Roman"/>
          <w:lang w:eastAsia="fr-FR"/>
        </w:rPr>
        <w:t xml:space="preserve"> District Court of Kras</w:t>
      </w:r>
      <w:r w:rsidRPr="003821DA" w:rsidR="005517F7">
        <w:rPr>
          <w:rFonts w:eastAsia="Times New Roman"/>
          <w:lang w:eastAsia="fr-FR"/>
        </w:rPr>
        <w:t>n</w:t>
      </w:r>
      <w:r w:rsidRPr="003821DA">
        <w:rPr>
          <w:rFonts w:eastAsia="Times New Roman"/>
          <w:lang w:eastAsia="fr-FR"/>
        </w:rPr>
        <w:t>oyarsk changed the regime of the second applicant</w:t>
      </w:r>
      <w:r w:rsidRPr="003821DA" w:rsidR="003821DA">
        <w:rPr>
          <w:rFonts w:eastAsia="Times New Roman"/>
          <w:lang w:eastAsia="fr-FR"/>
        </w:rPr>
        <w:t>’</w:t>
      </w:r>
      <w:r w:rsidRPr="003821DA">
        <w:rPr>
          <w:rFonts w:eastAsia="Times New Roman"/>
          <w:lang w:eastAsia="fr-FR"/>
        </w:rPr>
        <w:t xml:space="preserve">s imprisonment and </w:t>
      </w:r>
      <w:r w:rsidRPr="003821DA" w:rsidR="00A53AD6">
        <w:rPr>
          <w:rFonts w:eastAsia="Times New Roman"/>
          <w:lang w:eastAsia="fr-FR"/>
        </w:rPr>
        <w:t xml:space="preserve">ordered that </w:t>
      </w:r>
      <w:r w:rsidRPr="003821DA">
        <w:rPr>
          <w:rFonts w:eastAsia="Times New Roman"/>
          <w:lang w:eastAsia="fr-FR"/>
        </w:rPr>
        <w:t xml:space="preserve">three </w:t>
      </w:r>
      <w:r w:rsidRPr="003821DA" w:rsidR="003B73AB">
        <w:rPr>
          <w:rFonts w:eastAsia="Times New Roman"/>
          <w:lang w:eastAsia="fr-FR"/>
        </w:rPr>
        <w:t>years</w:t>
      </w:r>
      <w:r w:rsidRPr="003821DA" w:rsidR="00A53AD6">
        <w:rPr>
          <w:rFonts w:eastAsia="Times New Roman"/>
          <w:lang w:eastAsia="fr-FR"/>
        </w:rPr>
        <w:t xml:space="preserve"> of </w:t>
      </w:r>
      <w:r w:rsidRPr="003821DA" w:rsidR="00FE1CBF">
        <w:rPr>
          <w:rFonts w:eastAsia="Times New Roman"/>
          <w:lang w:eastAsia="fr-FR"/>
        </w:rPr>
        <w:t>his</w:t>
      </w:r>
      <w:r w:rsidRPr="003821DA" w:rsidR="00A53AD6">
        <w:rPr>
          <w:rFonts w:eastAsia="Times New Roman"/>
          <w:lang w:eastAsia="fr-FR"/>
        </w:rPr>
        <w:t xml:space="preserve"> </w:t>
      </w:r>
      <w:r w:rsidRPr="003821DA" w:rsidR="00A92116">
        <w:rPr>
          <w:rFonts w:eastAsia="Times New Roman"/>
          <w:lang w:eastAsia="fr-FR"/>
        </w:rPr>
        <w:t>sentence</w:t>
      </w:r>
      <w:r w:rsidRPr="003821DA" w:rsidR="00A53AD6">
        <w:rPr>
          <w:rFonts w:eastAsia="Times New Roman"/>
          <w:lang w:eastAsia="fr-FR"/>
        </w:rPr>
        <w:t xml:space="preserve"> be served in prison</w:t>
      </w:r>
      <w:r w:rsidRPr="003821DA">
        <w:rPr>
          <w:rFonts w:eastAsia="Times New Roman"/>
          <w:lang w:eastAsia="fr-FR"/>
        </w:rPr>
        <w:t>.</w:t>
      </w:r>
    </w:p>
    <w:p w:rsidRPr="003821DA" w:rsidR="0051693C" w:rsidP="003821DA" w:rsidRDefault="0051693C">
      <w:pPr>
        <w:pStyle w:val="ECHRHeading3"/>
        <w:rPr>
          <w:rFonts w:eastAsia="Times New Roman"/>
          <w:lang w:eastAsia="fr-FR"/>
        </w:rPr>
      </w:pPr>
      <w:r w:rsidRPr="003821DA">
        <w:rPr>
          <w:rFonts w:eastAsia="Times New Roman"/>
          <w:lang w:eastAsia="fr-FR"/>
        </w:rPr>
        <w:t>3.  The third applicant</w:t>
      </w:r>
    </w:p>
    <w:p w:rsidRPr="003821DA" w:rsidR="00164F64" w:rsidP="003821DA" w:rsidRDefault="0051693C">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15</w:t>
      </w:r>
      <w:r w:rsidRPr="003821DA">
        <w:rPr>
          <w:rFonts w:eastAsia="Times New Roman"/>
          <w:lang w:eastAsia="fr-FR"/>
        </w:rPr>
        <w:fldChar w:fldCharType="end"/>
      </w:r>
      <w:r w:rsidRPr="003821DA">
        <w:rPr>
          <w:rFonts w:eastAsia="Times New Roman"/>
          <w:lang w:eastAsia="fr-FR"/>
        </w:rPr>
        <w:t>.  </w:t>
      </w:r>
      <w:r w:rsidRPr="003821DA" w:rsidR="00C23EBC">
        <w:rPr>
          <w:rFonts w:eastAsia="Times New Roman"/>
          <w:lang w:eastAsia="fr-FR"/>
        </w:rPr>
        <w:t xml:space="preserve">The details of </w:t>
      </w:r>
      <w:r w:rsidRPr="003821DA" w:rsidR="004469A9">
        <w:rPr>
          <w:rFonts w:eastAsia="Times New Roman"/>
          <w:lang w:eastAsia="fr-FR"/>
        </w:rPr>
        <w:t>the third applicant</w:t>
      </w:r>
      <w:r w:rsidRPr="003821DA" w:rsidR="003821DA">
        <w:rPr>
          <w:rFonts w:eastAsia="Times New Roman"/>
          <w:lang w:eastAsia="fr-FR"/>
        </w:rPr>
        <w:t>’</w:t>
      </w:r>
      <w:r w:rsidRPr="003821DA" w:rsidR="004469A9">
        <w:rPr>
          <w:rFonts w:eastAsia="Times New Roman"/>
          <w:lang w:eastAsia="fr-FR"/>
        </w:rPr>
        <w:t>s</w:t>
      </w:r>
      <w:r w:rsidRPr="003821DA" w:rsidR="00C23EBC">
        <w:rPr>
          <w:rFonts w:eastAsia="Times New Roman"/>
          <w:lang w:eastAsia="fr-FR"/>
        </w:rPr>
        <w:t xml:space="preserve"> criminal history</w:t>
      </w:r>
      <w:r w:rsidRPr="003821DA" w:rsidR="004469A9">
        <w:rPr>
          <w:rFonts w:eastAsia="Times New Roman"/>
          <w:lang w:eastAsia="fr-FR"/>
        </w:rPr>
        <w:t xml:space="preserve"> are unknown</w:t>
      </w:r>
      <w:r w:rsidRPr="003821DA" w:rsidR="00C23EBC">
        <w:rPr>
          <w:rFonts w:eastAsia="Times New Roman"/>
          <w:lang w:eastAsia="fr-FR"/>
        </w:rPr>
        <w:t>.</w:t>
      </w:r>
    </w:p>
    <w:p w:rsidRPr="003821DA" w:rsidR="00164F64" w:rsidP="003821DA" w:rsidRDefault="000D62C2">
      <w:pPr>
        <w:pStyle w:val="ECHRHeading2"/>
      </w:pPr>
      <w:r w:rsidRPr="003821DA">
        <w:t>B.  The applicants</w:t>
      </w:r>
      <w:r w:rsidRPr="003821DA" w:rsidR="003821DA">
        <w:t>’</w:t>
      </w:r>
      <w:r w:rsidRPr="003821DA">
        <w:t xml:space="preserve"> </w:t>
      </w:r>
      <w:r w:rsidRPr="003821DA" w:rsidR="00423892">
        <w:t>detention</w:t>
      </w:r>
    </w:p>
    <w:p w:rsidRPr="003821DA" w:rsidR="00EB5F4A" w:rsidP="003821DA" w:rsidRDefault="00EB5F4A">
      <w:pPr>
        <w:pStyle w:val="ECHRHeading3"/>
        <w:rPr>
          <w:rFonts w:eastAsia="Times New Roman"/>
          <w:lang w:eastAsia="fr-FR"/>
        </w:rPr>
      </w:pPr>
      <w:r w:rsidRPr="003821DA">
        <w:rPr>
          <w:rFonts w:eastAsia="Times New Roman"/>
          <w:lang w:eastAsia="fr-FR"/>
        </w:rPr>
        <w:t>1.  The first applicant</w:t>
      </w:r>
    </w:p>
    <w:bookmarkStart w:name="FirstApplicantPrison" w:id="4"/>
    <w:p w:rsidRPr="003821DA" w:rsidR="00EB5F4A"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16</w:t>
      </w:r>
      <w:r w:rsidRPr="003821DA">
        <w:rPr>
          <w:rFonts w:eastAsia="Times New Roman"/>
          <w:lang w:eastAsia="fr-FR"/>
        </w:rPr>
        <w:fldChar w:fldCharType="end"/>
      </w:r>
      <w:bookmarkEnd w:id="4"/>
      <w:r w:rsidRPr="003821DA">
        <w:rPr>
          <w:rFonts w:eastAsia="Times New Roman"/>
          <w:lang w:eastAsia="fr-FR"/>
        </w:rPr>
        <w:t xml:space="preserve">.  The first applicant </w:t>
      </w:r>
      <w:proofErr w:type="gramStart"/>
      <w:r w:rsidRPr="003821DA">
        <w:rPr>
          <w:rFonts w:eastAsia="Times New Roman"/>
          <w:lang w:eastAsia="fr-FR"/>
        </w:rPr>
        <w:t>was placed</w:t>
      </w:r>
      <w:proofErr w:type="gramEnd"/>
      <w:r w:rsidRPr="003821DA">
        <w:rPr>
          <w:rFonts w:eastAsia="Times New Roman"/>
          <w:lang w:eastAsia="fr-FR"/>
        </w:rPr>
        <w:t xml:space="preserve"> in</w:t>
      </w:r>
      <w:r w:rsidRPr="003821DA" w:rsidR="00F52949">
        <w:rPr>
          <w:rFonts w:eastAsia="Times New Roman"/>
          <w:lang w:eastAsia="fr-FR"/>
        </w:rPr>
        <w:t xml:space="preserve"> </w:t>
      </w:r>
      <w:r w:rsidRPr="003821DA">
        <w:rPr>
          <w:rFonts w:eastAsia="Times New Roman"/>
          <w:lang w:eastAsia="fr-FR"/>
        </w:rPr>
        <w:t>UP-288/T</w:t>
      </w:r>
      <w:r w:rsidRPr="003821DA" w:rsidR="009050E3">
        <w:rPr>
          <w:rFonts w:eastAsia="Times New Roman"/>
          <w:lang w:eastAsia="fr-FR"/>
        </w:rPr>
        <w:t xml:space="preserve"> </w:t>
      </w:r>
      <w:r w:rsidRPr="003821DA" w:rsidR="00F52949">
        <w:rPr>
          <w:rFonts w:eastAsia="Times New Roman"/>
          <w:lang w:eastAsia="fr-FR"/>
        </w:rPr>
        <w:t>prison</w:t>
      </w:r>
      <w:r w:rsidRPr="003821DA">
        <w:rPr>
          <w:rFonts w:eastAsia="Times New Roman"/>
          <w:lang w:eastAsia="fr-FR"/>
        </w:rPr>
        <w:t xml:space="preserve"> in </w:t>
      </w:r>
      <w:proofErr w:type="spellStart"/>
      <w:r w:rsidRPr="003821DA">
        <w:rPr>
          <w:rFonts w:eastAsia="Times New Roman"/>
          <w:lang w:eastAsia="fr-FR"/>
        </w:rPr>
        <w:t>Minusin</w:t>
      </w:r>
      <w:r w:rsidRPr="003821DA" w:rsidR="004C3E62">
        <w:rPr>
          <w:rFonts w:eastAsia="Times New Roman"/>
          <w:lang w:eastAsia="fr-FR"/>
        </w:rPr>
        <w:t>s</w:t>
      </w:r>
      <w:r w:rsidRPr="003821DA">
        <w:rPr>
          <w:rFonts w:eastAsia="Times New Roman"/>
          <w:lang w:eastAsia="fr-FR"/>
        </w:rPr>
        <w:t>k</w:t>
      </w:r>
      <w:proofErr w:type="spellEnd"/>
      <w:r w:rsidRPr="003821DA" w:rsidR="004C3E62">
        <w:rPr>
          <w:rFonts w:eastAsia="Times New Roman"/>
          <w:lang w:eastAsia="fr-FR"/>
        </w:rPr>
        <w:t>,</w:t>
      </w:r>
      <w:r w:rsidRPr="003821DA">
        <w:rPr>
          <w:rFonts w:eastAsia="Times New Roman"/>
          <w:lang w:eastAsia="fr-FR"/>
        </w:rPr>
        <w:t xml:space="preserve"> where </w:t>
      </w:r>
      <w:r w:rsidRPr="003821DA" w:rsidR="004C3E62">
        <w:rPr>
          <w:rFonts w:eastAsia="Times New Roman"/>
          <w:lang w:eastAsia="fr-FR"/>
        </w:rPr>
        <w:t xml:space="preserve">it </w:t>
      </w:r>
      <w:r w:rsidRPr="003821DA">
        <w:rPr>
          <w:rFonts w:eastAsia="Times New Roman"/>
          <w:lang w:eastAsia="fr-FR"/>
        </w:rPr>
        <w:t>appears he remains to date.</w:t>
      </w:r>
    </w:p>
    <w:p w:rsidRPr="003821DA" w:rsidR="0017729F"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17</w:t>
      </w:r>
      <w:r w:rsidRPr="003821DA">
        <w:rPr>
          <w:rFonts w:eastAsia="Times New Roman"/>
          <w:lang w:eastAsia="fr-FR"/>
        </w:rPr>
        <w:fldChar w:fldCharType="end"/>
      </w:r>
      <w:r w:rsidRPr="003821DA">
        <w:rPr>
          <w:rFonts w:eastAsia="Times New Roman"/>
          <w:lang w:eastAsia="fr-FR"/>
        </w:rPr>
        <w:t xml:space="preserve">.  The case file </w:t>
      </w:r>
      <w:r w:rsidRPr="003821DA" w:rsidR="00394AC5">
        <w:rPr>
          <w:rFonts w:eastAsia="Times New Roman"/>
          <w:lang w:eastAsia="fr-FR"/>
        </w:rPr>
        <w:t xml:space="preserve">shows </w:t>
      </w:r>
      <w:r w:rsidRPr="003821DA">
        <w:rPr>
          <w:rFonts w:eastAsia="Times New Roman"/>
          <w:lang w:eastAsia="fr-FR"/>
        </w:rPr>
        <w:t xml:space="preserve">that his cell is under </w:t>
      </w:r>
      <w:r w:rsidRPr="003821DA" w:rsidR="00FE1CBF">
        <w:rPr>
          <w:rFonts w:eastAsia="Times New Roman"/>
          <w:lang w:eastAsia="fr-FR"/>
        </w:rPr>
        <w:t xml:space="preserve">constant </w:t>
      </w:r>
      <w:r w:rsidRPr="003821DA">
        <w:rPr>
          <w:rFonts w:eastAsia="Times New Roman"/>
          <w:lang w:eastAsia="fr-FR"/>
        </w:rPr>
        <w:t xml:space="preserve">surveillance by prison guards </w:t>
      </w:r>
      <w:r w:rsidRPr="003821DA" w:rsidR="00465791">
        <w:rPr>
          <w:rFonts w:eastAsia="Times New Roman"/>
          <w:lang w:eastAsia="fr-FR"/>
        </w:rPr>
        <w:t xml:space="preserve">by </w:t>
      </w:r>
      <w:r w:rsidRPr="003821DA" w:rsidR="004C3E62">
        <w:rPr>
          <w:rFonts w:eastAsia="Times New Roman"/>
          <w:lang w:eastAsia="fr-FR"/>
        </w:rPr>
        <w:t xml:space="preserve">a </w:t>
      </w:r>
      <w:r w:rsidRPr="003821DA" w:rsidR="00465791">
        <w:rPr>
          <w:rFonts w:eastAsia="Times New Roman"/>
          <w:lang w:eastAsia="fr-FR"/>
        </w:rPr>
        <w:t>closed-circuit television</w:t>
      </w:r>
      <w:r w:rsidRPr="003821DA">
        <w:rPr>
          <w:rFonts w:eastAsia="Times New Roman"/>
          <w:lang w:eastAsia="fr-FR"/>
        </w:rPr>
        <w:t xml:space="preserve"> camera </w:t>
      </w:r>
      <w:r w:rsidRPr="003821DA" w:rsidR="00F064D7">
        <w:rPr>
          <w:rFonts w:eastAsia="Times New Roman"/>
          <w:lang w:eastAsia="fr-FR"/>
        </w:rPr>
        <w:t>(hereinafter “</w:t>
      </w:r>
      <w:r w:rsidRPr="003821DA" w:rsidR="005B7D74">
        <w:rPr>
          <w:rFonts w:eastAsia="Times New Roman"/>
          <w:lang w:eastAsia="fr-FR"/>
        </w:rPr>
        <w:t>CCTV</w:t>
      </w:r>
      <w:r w:rsidRPr="003821DA" w:rsidR="00F064D7">
        <w:rPr>
          <w:rFonts w:eastAsia="Times New Roman"/>
          <w:lang w:eastAsia="fr-FR"/>
        </w:rPr>
        <w:t xml:space="preserve"> camera”) </w:t>
      </w:r>
      <w:r w:rsidRPr="003821DA">
        <w:rPr>
          <w:rFonts w:eastAsia="Times New Roman"/>
          <w:lang w:eastAsia="fr-FR"/>
        </w:rPr>
        <w:t>installed inside. The</w:t>
      </w:r>
      <w:r w:rsidRPr="003821DA" w:rsidR="00104EAB">
        <w:rPr>
          <w:rFonts w:eastAsia="Times New Roman"/>
          <w:lang w:eastAsia="fr-FR"/>
        </w:rPr>
        <w:t xml:space="preserve"> first</w:t>
      </w:r>
      <w:r w:rsidRPr="003821DA">
        <w:rPr>
          <w:rFonts w:eastAsia="Times New Roman"/>
          <w:lang w:eastAsia="fr-FR"/>
        </w:rPr>
        <w:t xml:space="preserve"> applicant submitted a copy of a judgment in the case of </w:t>
      </w:r>
      <w:r w:rsidRPr="003821DA" w:rsidR="005A6E85">
        <w:rPr>
          <w:rFonts w:eastAsia="Times New Roman"/>
          <w:lang w:eastAsia="fr-FR"/>
        </w:rPr>
        <w:t>another in</w:t>
      </w:r>
      <w:r w:rsidRPr="003821DA">
        <w:rPr>
          <w:rFonts w:eastAsia="Times New Roman"/>
          <w:lang w:eastAsia="fr-FR"/>
        </w:rPr>
        <w:t>mate</w:t>
      </w:r>
      <w:r w:rsidRPr="003821DA" w:rsidR="004C3E62">
        <w:rPr>
          <w:rFonts w:eastAsia="Times New Roman"/>
          <w:lang w:eastAsia="fr-FR"/>
        </w:rPr>
        <w:t>,</w:t>
      </w:r>
      <w:r w:rsidRPr="003821DA">
        <w:rPr>
          <w:rFonts w:eastAsia="Times New Roman"/>
          <w:lang w:eastAsia="fr-FR"/>
        </w:rPr>
        <w:t xml:space="preserve"> which s</w:t>
      </w:r>
      <w:r w:rsidRPr="003821DA" w:rsidR="00EC7583">
        <w:rPr>
          <w:rFonts w:eastAsia="Times New Roman"/>
          <w:lang w:eastAsia="fr-FR"/>
        </w:rPr>
        <w:t>tated</w:t>
      </w:r>
      <w:r w:rsidRPr="003821DA">
        <w:rPr>
          <w:rFonts w:eastAsia="Times New Roman"/>
          <w:lang w:eastAsia="fr-FR"/>
        </w:rPr>
        <w:t xml:space="preserve"> that the prison guard who monitored the ce</w:t>
      </w:r>
      <w:r w:rsidRPr="003821DA" w:rsidR="0017729F">
        <w:rPr>
          <w:rFonts w:eastAsia="Times New Roman"/>
          <w:lang w:eastAsia="fr-FR"/>
        </w:rPr>
        <w:t>lls in that prison</w:t>
      </w:r>
      <w:r w:rsidRPr="003821DA" w:rsidR="005A6E85">
        <w:rPr>
          <w:rFonts w:eastAsia="Times New Roman"/>
          <w:lang w:eastAsia="fr-FR"/>
        </w:rPr>
        <w:t xml:space="preserve"> </w:t>
      </w:r>
      <w:r w:rsidRPr="003821DA" w:rsidR="0017729F">
        <w:rPr>
          <w:rFonts w:eastAsia="Times New Roman"/>
          <w:lang w:eastAsia="fr-FR"/>
        </w:rPr>
        <w:t>was a woman.</w:t>
      </w:r>
    </w:p>
    <w:bookmarkStart w:name="ScreenShotFirstApplicant" w:id="5"/>
    <w:p w:rsidRPr="003821DA" w:rsidR="00164F64" w:rsidP="003821DA" w:rsidRDefault="0017729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18</w:t>
      </w:r>
      <w:r w:rsidRPr="003821DA">
        <w:rPr>
          <w:rFonts w:eastAsia="Times New Roman"/>
          <w:lang w:eastAsia="fr-FR"/>
        </w:rPr>
        <w:fldChar w:fldCharType="end"/>
      </w:r>
      <w:bookmarkEnd w:id="5"/>
      <w:r w:rsidRPr="003821DA">
        <w:rPr>
          <w:rFonts w:eastAsia="Times New Roman"/>
          <w:lang w:eastAsia="fr-FR"/>
        </w:rPr>
        <w:t xml:space="preserve">.  He also submitted </w:t>
      </w:r>
      <w:r w:rsidRPr="003821DA" w:rsidR="00A7256F">
        <w:rPr>
          <w:rFonts w:eastAsia="Times New Roman"/>
          <w:lang w:eastAsia="fr-FR"/>
        </w:rPr>
        <w:t>screenshots</w:t>
      </w:r>
      <w:r w:rsidRPr="003821DA">
        <w:rPr>
          <w:rFonts w:eastAsia="Times New Roman"/>
          <w:lang w:eastAsia="fr-FR"/>
        </w:rPr>
        <w:t xml:space="preserve"> of </w:t>
      </w:r>
      <w:r w:rsidRPr="003821DA" w:rsidR="00A7256F">
        <w:rPr>
          <w:rFonts w:eastAsia="Times New Roman"/>
          <w:lang w:eastAsia="fr-FR"/>
        </w:rPr>
        <w:t xml:space="preserve">the CCTV camera installed in each of the </w:t>
      </w:r>
      <w:r w:rsidRPr="003821DA">
        <w:rPr>
          <w:rFonts w:eastAsia="Times New Roman"/>
          <w:lang w:eastAsia="fr-FR"/>
        </w:rPr>
        <w:t xml:space="preserve">two cells in which he </w:t>
      </w:r>
      <w:proofErr w:type="gramStart"/>
      <w:r w:rsidRPr="003821DA" w:rsidR="005A6E85">
        <w:rPr>
          <w:rFonts w:eastAsia="Times New Roman"/>
          <w:lang w:eastAsia="fr-FR"/>
        </w:rPr>
        <w:t xml:space="preserve">had been </w:t>
      </w:r>
      <w:r w:rsidRPr="003821DA">
        <w:rPr>
          <w:rFonts w:eastAsia="Times New Roman"/>
          <w:lang w:eastAsia="fr-FR"/>
        </w:rPr>
        <w:t>kept</w:t>
      </w:r>
      <w:proofErr w:type="gramEnd"/>
      <w:r w:rsidRPr="003821DA">
        <w:rPr>
          <w:rFonts w:eastAsia="Times New Roman"/>
          <w:lang w:eastAsia="fr-FR"/>
        </w:rPr>
        <w:t xml:space="preserve">. The </w:t>
      </w:r>
      <w:r w:rsidRPr="003821DA" w:rsidR="00A7256F">
        <w:rPr>
          <w:rFonts w:eastAsia="Times New Roman"/>
          <w:lang w:eastAsia="fr-FR"/>
        </w:rPr>
        <w:t>screenshots</w:t>
      </w:r>
      <w:r w:rsidRPr="003821DA" w:rsidR="00C618DE">
        <w:rPr>
          <w:rFonts w:eastAsia="Times New Roman"/>
          <w:lang w:eastAsia="fr-FR"/>
        </w:rPr>
        <w:t xml:space="preserve"> show</w:t>
      </w:r>
      <w:r w:rsidRPr="003821DA">
        <w:rPr>
          <w:rFonts w:eastAsia="Times New Roman"/>
          <w:lang w:eastAsia="fr-FR"/>
        </w:rPr>
        <w:t xml:space="preserve"> that in both cells the</w:t>
      </w:r>
      <w:r w:rsidRPr="003821DA" w:rsidR="005A6E85">
        <w:rPr>
          <w:rFonts w:eastAsia="Times New Roman"/>
          <w:lang w:eastAsia="fr-FR"/>
        </w:rPr>
        <w:t>re was a</w:t>
      </w:r>
      <w:r w:rsidRPr="003821DA">
        <w:rPr>
          <w:rFonts w:eastAsia="Times New Roman"/>
          <w:lang w:eastAsia="fr-FR"/>
        </w:rPr>
        <w:t xml:space="preserve"> CCTV camera installed above the door, at </w:t>
      </w:r>
      <w:r w:rsidRPr="003821DA" w:rsidR="004C3E62">
        <w:rPr>
          <w:rFonts w:eastAsia="Times New Roman"/>
          <w:lang w:eastAsia="fr-FR"/>
        </w:rPr>
        <w:t xml:space="preserve">ceiling </w:t>
      </w:r>
      <w:r w:rsidRPr="003821DA">
        <w:rPr>
          <w:rFonts w:eastAsia="Times New Roman"/>
          <w:lang w:eastAsia="fr-FR"/>
        </w:rPr>
        <w:t>level, in such a manner that the entire cell was clearly visible, including the bed. The toilet</w:t>
      </w:r>
      <w:r w:rsidRPr="003821DA" w:rsidR="00A7256F">
        <w:rPr>
          <w:rFonts w:eastAsia="Times New Roman"/>
          <w:lang w:eastAsia="fr-FR"/>
        </w:rPr>
        <w:t xml:space="preserve"> was</w:t>
      </w:r>
      <w:r w:rsidRPr="003821DA">
        <w:rPr>
          <w:rFonts w:eastAsia="Times New Roman"/>
          <w:lang w:eastAsia="fr-FR"/>
        </w:rPr>
        <w:t xml:space="preserve"> located </w:t>
      </w:r>
      <w:r w:rsidRPr="003821DA" w:rsidR="00C10277">
        <w:rPr>
          <w:rFonts w:eastAsia="Times New Roman"/>
          <w:lang w:eastAsia="fr-FR"/>
        </w:rPr>
        <w:t>directly</w:t>
      </w:r>
      <w:r w:rsidRPr="003821DA">
        <w:rPr>
          <w:rFonts w:eastAsia="Times New Roman"/>
          <w:lang w:eastAsia="fr-FR"/>
        </w:rPr>
        <w:t xml:space="preserve"> below the CCTV camera</w:t>
      </w:r>
      <w:r w:rsidRPr="003821DA" w:rsidR="00A7256F">
        <w:rPr>
          <w:rFonts w:eastAsia="Times New Roman"/>
          <w:lang w:eastAsia="fr-FR"/>
        </w:rPr>
        <w:t xml:space="preserve"> and</w:t>
      </w:r>
      <w:r w:rsidRPr="003821DA" w:rsidR="000B2E58">
        <w:rPr>
          <w:rFonts w:eastAsia="Times New Roman"/>
          <w:lang w:eastAsia="fr-FR"/>
        </w:rPr>
        <w:t xml:space="preserve"> </w:t>
      </w:r>
      <w:proofErr w:type="gramStart"/>
      <w:r w:rsidRPr="003821DA" w:rsidR="000B2E58">
        <w:rPr>
          <w:rFonts w:eastAsia="Times New Roman"/>
          <w:lang w:eastAsia="fr-FR"/>
        </w:rPr>
        <w:t>was</w:t>
      </w:r>
      <w:r w:rsidRPr="003821DA" w:rsidR="00FE1CBF">
        <w:rPr>
          <w:rFonts w:eastAsia="Times New Roman"/>
          <w:lang w:eastAsia="fr-FR"/>
        </w:rPr>
        <w:t xml:space="preserve"> </w:t>
      </w:r>
      <w:r w:rsidRPr="003821DA" w:rsidR="00A7256F">
        <w:rPr>
          <w:rFonts w:eastAsia="Times New Roman"/>
          <w:lang w:eastAsia="fr-FR"/>
        </w:rPr>
        <w:t>almost entirely hidden</w:t>
      </w:r>
      <w:proofErr w:type="gramEnd"/>
      <w:r w:rsidRPr="003821DA" w:rsidR="00A7256F">
        <w:rPr>
          <w:rFonts w:eastAsia="Times New Roman"/>
          <w:lang w:eastAsia="fr-FR"/>
        </w:rPr>
        <w:t xml:space="preserve"> from the camera</w:t>
      </w:r>
      <w:r w:rsidRPr="003821DA" w:rsidR="003821DA">
        <w:rPr>
          <w:rFonts w:eastAsia="Times New Roman"/>
          <w:lang w:eastAsia="fr-FR"/>
        </w:rPr>
        <w:t>’</w:t>
      </w:r>
      <w:r w:rsidRPr="003821DA" w:rsidR="00A7256F">
        <w:rPr>
          <w:rFonts w:eastAsia="Times New Roman"/>
          <w:lang w:eastAsia="fr-FR"/>
        </w:rPr>
        <w:t xml:space="preserve">s </w:t>
      </w:r>
      <w:r w:rsidRPr="003821DA" w:rsidR="000B2E58">
        <w:rPr>
          <w:rFonts w:eastAsia="Times New Roman"/>
          <w:lang w:eastAsia="fr-FR"/>
        </w:rPr>
        <w:t>view</w:t>
      </w:r>
      <w:r w:rsidRPr="003821DA" w:rsidR="00FE1CBF">
        <w:rPr>
          <w:rFonts w:eastAsia="Times New Roman"/>
          <w:lang w:eastAsia="fr-FR"/>
        </w:rPr>
        <w:t xml:space="preserve"> </w:t>
      </w:r>
      <w:r w:rsidRPr="003821DA" w:rsidR="00C10277">
        <w:rPr>
          <w:rFonts w:eastAsia="Times New Roman"/>
          <w:lang w:eastAsia="fr-FR"/>
        </w:rPr>
        <w:t>by</w:t>
      </w:r>
      <w:r w:rsidRPr="003821DA" w:rsidR="00A7256F">
        <w:rPr>
          <w:rFonts w:eastAsia="Times New Roman"/>
          <w:lang w:eastAsia="fr-FR"/>
        </w:rPr>
        <w:t xml:space="preserve"> a </w:t>
      </w:r>
      <w:r w:rsidRPr="003821DA" w:rsidR="00061BD0">
        <w:rPr>
          <w:rFonts w:eastAsia="Times New Roman"/>
          <w:lang w:eastAsia="fr-FR"/>
        </w:rPr>
        <w:t>shield</w:t>
      </w:r>
      <w:r w:rsidRPr="003821DA" w:rsidR="00A7256F">
        <w:rPr>
          <w:rFonts w:eastAsia="Times New Roman"/>
          <w:lang w:eastAsia="fr-FR"/>
        </w:rPr>
        <w:t>.</w:t>
      </w:r>
    </w:p>
    <w:p w:rsidRPr="003821DA" w:rsidR="00EB5F4A" w:rsidP="003821DA" w:rsidRDefault="00EB5F4A">
      <w:pPr>
        <w:pStyle w:val="ECHRHeading3"/>
        <w:rPr>
          <w:rFonts w:eastAsia="Times New Roman"/>
          <w:lang w:eastAsia="fr-FR"/>
        </w:rPr>
      </w:pPr>
      <w:r w:rsidRPr="003821DA">
        <w:rPr>
          <w:rFonts w:eastAsia="Times New Roman"/>
          <w:lang w:eastAsia="fr-FR"/>
        </w:rPr>
        <w:t>2.  The second applicant</w:t>
      </w:r>
    </w:p>
    <w:p w:rsidRPr="003821DA" w:rsidR="00104EAB" w:rsidP="003821DA" w:rsidRDefault="00EB5F4A">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19</w:t>
      </w:r>
      <w:r w:rsidRPr="003821DA">
        <w:rPr>
          <w:rFonts w:eastAsia="Times New Roman"/>
          <w:lang w:eastAsia="fr-FR"/>
        </w:rPr>
        <w:fldChar w:fldCharType="end"/>
      </w:r>
      <w:r w:rsidRPr="003821DA">
        <w:rPr>
          <w:rFonts w:eastAsia="Times New Roman"/>
          <w:lang w:eastAsia="fr-FR"/>
        </w:rPr>
        <w:t>.  </w:t>
      </w:r>
      <w:r w:rsidRPr="003821DA" w:rsidR="00104EAB">
        <w:rPr>
          <w:rFonts w:eastAsia="Times New Roman"/>
          <w:lang w:eastAsia="fr-FR"/>
        </w:rPr>
        <w:t xml:space="preserve">Between 22 May 2007 and </w:t>
      </w:r>
      <w:r w:rsidRPr="003821DA" w:rsidR="004B7C60">
        <w:rPr>
          <w:rFonts w:eastAsia="Times New Roman"/>
          <w:lang w:eastAsia="fr-FR"/>
        </w:rPr>
        <w:t xml:space="preserve">24 </w:t>
      </w:r>
      <w:r w:rsidRPr="003821DA" w:rsidR="00104EAB">
        <w:rPr>
          <w:rFonts w:eastAsia="Times New Roman"/>
          <w:lang w:eastAsia="fr-FR"/>
        </w:rPr>
        <w:t xml:space="preserve">May </w:t>
      </w:r>
      <w:proofErr w:type="gramStart"/>
      <w:r w:rsidRPr="003821DA" w:rsidR="00104EAB">
        <w:rPr>
          <w:rFonts w:eastAsia="Times New Roman"/>
          <w:lang w:eastAsia="fr-FR"/>
        </w:rPr>
        <w:t>2010</w:t>
      </w:r>
      <w:proofErr w:type="gramEnd"/>
      <w:r w:rsidRPr="003821DA" w:rsidR="00104EAB">
        <w:rPr>
          <w:rFonts w:eastAsia="Times New Roman"/>
          <w:lang w:eastAsia="fr-FR"/>
        </w:rPr>
        <w:t xml:space="preserve"> the second applicant </w:t>
      </w:r>
      <w:r w:rsidRPr="003821DA" w:rsidR="00EC7583">
        <w:rPr>
          <w:rFonts w:eastAsia="Times New Roman"/>
          <w:lang w:eastAsia="fr-FR"/>
        </w:rPr>
        <w:t xml:space="preserve">also </w:t>
      </w:r>
      <w:r w:rsidRPr="003821DA" w:rsidR="00104EAB">
        <w:rPr>
          <w:rFonts w:eastAsia="Times New Roman"/>
          <w:lang w:eastAsia="fr-FR"/>
        </w:rPr>
        <w:t xml:space="preserve">served </w:t>
      </w:r>
      <w:r w:rsidRPr="003821DA" w:rsidR="00EC7583">
        <w:rPr>
          <w:rFonts w:eastAsia="Times New Roman"/>
          <w:lang w:eastAsia="fr-FR"/>
        </w:rPr>
        <w:t>a sentence</w:t>
      </w:r>
      <w:r w:rsidRPr="003821DA" w:rsidR="00104EAB">
        <w:rPr>
          <w:rFonts w:eastAsia="Times New Roman"/>
          <w:lang w:eastAsia="fr-FR"/>
        </w:rPr>
        <w:t xml:space="preserve"> in UP-288/T </w:t>
      </w:r>
      <w:r w:rsidRPr="003821DA" w:rsidR="00EC7583">
        <w:rPr>
          <w:rFonts w:eastAsia="Times New Roman"/>
          <w:lang w:eastAsia="fr-FR"/>
        </w:rPr>
        <w:t>prison</w:t>
      </w:r>
      <w:r w:rsidRPr="003821DA" w:rsidR="00104EAB">
        <w:rPr>
          <w:rFonts w:eastAsia="Times New Roman"/>
          <w:lang w:eastAsia="fr-FR"/>
        </w:rPr>
        <w:t>. According to him, during his detention in that facility he was unable to take walk</w:t>
      </w:r>
      <w:r w:rsidRPr="003821DA" w:rsidR="005A6E85">
        <w:rPr>
          <w:rFonts w:eastAsia="Times New Roman"/>
          <w:lang w:eastAsia="fr-FR"/>
        </w:rPr>
        <w:t>s</w:t>
      </w:r>
      <w:r w:rsidRPr="003821DA" w:rsidR="00104EAB">
        <w:rPr>
          <w:rFonts w:eastAsia="Times New Roman"/>
          <w:lang w:eastAsia="fr-FR"/>
        </w:rPr>
        <w:t xml:space="preserve"> and undertake outdoor exercise in wintertime because he </w:t>
      </w:r>
      <w:proofErr w:type="gramStart"/>
      <w:r w:rsidRPr="003821DA" w:rsidR="00104EAB">
        <w:rPr>
          <w:rFonts w:eastAsia="Times New Roman"/>
          <w:lang w:eastAsia="fr-FR"/>
        </w:rPr>
        <w:t>was not provided</w:t>
      </w:r>
      <w:proofErr w:type="gramEnd"/>
      <w:r w:rsidRPr="003821DA" w:rsidR="00104EAB">
        <w:rPr>
          <w:rFonts w:eastAsia="Times New Roman"/>
          <w:lang w:eastAsia="fr-FR"/>
        </w:rPr>
        <w:t xml:space="preserve"> with winter boots</w:t>
      </w:r>
      <w:r w:rsidRPr="003821DA" w:rsidR="00F90364">
        <w:rPr>
          <w:rFonts w:eastAsia="Times New Roman"/>
          <w:lang w:eastAsia="fr-FR"/>
        </w:rPr>
        <w:t xml:space="preserve"> of</w:t>
      </w:r>
      <w:r w:rsidRPr="003821DA" w:rsidR="004C3E62">
        <w:rPr>
          <w:rFonts w:eastAsia="Times New Roman"/>
          <w:lang w:eastAsia="fr-FR"/>
        </w:rPr>
        <w:t xml:space="preserve"> a</w:t>
      </w:r>
      <w:r w:rsidRPr="003821DA" w:rsidR="00F90364">
        <w:rPr>
          <w:rFonts w:eastAsia="Times New Roman"/>
          <w:lang w:eastAsia="fr-FR"/>
        </w:rPr>
        <w:t xml:space="preserve"> suitable size</w:t>
      </w:r>
      <w:r w:rsidRPr="003821DA" w:rsidR="00104EAB">
        <w:rPr>
          <w:rFonts w:eastAsia="Times New Roman"/>
          <w:lang w:eastAsia="fr-FR"/>
        </w:rPr>
        <w:t>, despite numerous requests to that e</w:t>
      </w:r>
      <w:r w:rsidRPr="003821DA" w:rsidR="00532FE9">
        <w:rPr>
          <w:rFonts w:eastAsia="Times New Roman"/>
          <w:lang w:eastAsia="fr-FR"/>
        </w:rPr>
        <w:t>ffect</w:t>
      </w:r>
      <w:r w:rsidRPr="003821DA" w:rsidR="00104EAB">
        <w:rPr>
          <w:rFonts w:eastAsia="Times New Roman"/>
          <w:lang w:eastAsia="fr-FR"/>
        </w:rPr>
        <w:t>.</w:t>
      </w:r>
    </w:p>
    <w:bookmarkStart w:name="IK5SecondApplicant" w:id="6"/>
    <w:p w:rsidRPr="003821DA" w:rsidR="00423892" w:rsidP="003821DA" w:rsidRDefault="00104EAB">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20</w:t>
      </w:r>
      <w:r w:rsidRPr="003821DA">
        <w:rPr>
          <w:rFonts w:eastAsia="Times New Roman"/>
          <w:lang w:eastAsia="fr-FR"/>
        </w:rPr>
        <w:fldChar w:fldCharType="end"/>
      </w:r>
      <w:bookmarkEnd w:id="6"/>
      <w:r w:rsidRPr="003821DA">
        <w:rPr>
          <w:rFonts w:eastAsia="Times New Roman"/>
          <w:lang w:eastAsia="fr-FR"/>
        </w:rPr>
        <w:t>.  </w:t>
      </w:r>
      <w:r w:rsidRPr="003821DA" w:rsidR="00257262">
        <w:rPr>
          <w:rFonts w:eastAsia="Times New Roman"/>
          <w:lang w:eastAsia="fr-FR"/>
        </w:rPr>
        <w:t>On an unspecified</w:t>
      </w:r>
      <w:r w:rsidRPr="003821DA">
        <w:rPr>
          <w:rFonts w:eastAsia="Times New Roman"/>
          <w:lang w:eastAsia="fr-FR"/>
        </w:rPr>
        <w:t xml:space="preserve"> </w:t>
      </w:r>
      <w:proofErr w:type="gramStart"/>
      <w:r w:rsidRPr="003821DA">
        <w:rPr>
          <w:rFonts w:eastAsia="Times New Roman"/>
          <w:lang w:eastAsia="fr-FR"/>
        </w:rPr>
        <w:t>date</w:t>
      </w:r>
      <w:proofErr w:type="gramEnd"/>
      <w:r w:rsidRPr="003821DA">
        <w:rPr>
          <w:rFonts w:eastAsia="Times New Roman"/>
          <w:lang w:eastAsia="fr-FR"/>
        </w:rPr>
        <w:t xml:space="preserve"> the second applicant was transferred to </w:t>
      </w:r>
      <w:r w:rsidRPr="003821DA" w:rsidR="00F52949">
        <w:rPr>
          <w:rFonts w:eastAsia="Times New Roman"/>
          <w:lang w:eastAsia="fr-FR"/>
        </w:rPr>
        <w:t xml:space="preserve">IK-5 (strict-regime correctional colony) </w:t>
      </w:r>
      <w:r w:rsidRPr="003821DA">
        <w:rPr>
          <w:rFonts w:eastAsia="Times New Roman"/>
          <w:lang w:eastAsia="fr-FR"/>
        </w:rPr>
        <w:t xml:space="preserve">in Krasnoyarsk. According to him, his cell </w:t>
      </w:r>
      <w:r w:rsidRPr="003821DA" w:rsidR="00257262">
        <w:rPr>
          <w:rFonts w:eastAsia="Times New Roman"/>
          <w:lang w:eastAsia="fr-FR"/>
        </w:rPr>
        <w:t>was</w:t>
      </w:r>
      <w:r w:rsidRPr="003821DA">
        <w:rPr>
          <w:rFonts w:eastAsia="Times New Roman"/>
          <w:lang w:eastAsia="fr-FR"/>
        </w:rPr>
        <w:t xml:space="preserve"> under </w:t>
      </w:r>
      <w:r w:rsidRPr="003821DA" w:rsidR="00532FE9">
        <w:rPr>
          <w:rFonts w:eastAsia="Times New Roman"/>
          <w:lang w:eastAsia="fr-FR"/>
        </w:rPr>
        <w:t xml:space="preserve">constant </w:t>
      </w:r>
      <w:r w:rsidRPr="003821DA">
        <w:rPr>
          <w:rFonts w:eastAsia="Times New Roman"/>
          <w:lang w:eastAsia="fr-FR"/>
        </w:rPr>
        <w:t xml:space="preserve">surveillance by prison guards </w:t>
      </w:r>
      <w:r w:rsidRPr="003821DA" w:rsidR="00465791">
        <w:rPr>
          <w:rFonts w:eastAsia="Times New Roman"/>
          <w:lang w:eastAsia="fr-FR"/>
        </w:rPr>
        <w:t xml:space="preserve">by </w:t>
      </w:r>
      <w:r w:rsidRPr="003821DA">
        <w:rPr>
          <w:rFonts w:eastAsia="Times New Roman"/>
          <w:lang w:eastAsia="fr-FR"/>
        </w:rPr>
        <w:t xml:space="preserve">a </w:t>
      </w:r>
      <w:r w:rsidRPr="003821DA" w:rsidR="005B7D74">
        <w:rPr>
          <w:rFonts w:eastAsia="Times New Roman"/>
          <w:lang w:eastAsia="fr-FR"/>
        </w:rPr>
        <w:t>CCTV</w:t>
      </w:r>
      <w:r w:rsidRPr="003821DA">
        <w:rPr>
          <w:rFonts w:eastAsia="Times New Roman"/>
          <w:lang w:eastAsia="fr-FR"/>
        </w:rPr>
        <w:t xml:space="preserve"> camera installed inside the cell. </w:t>
      </w:r>
      <w:r w:rsidRPr="003821DA" w:rsidR="00027B30">
        <w:rPr>
          <w:rFonts w:eastAsia="Times New Roman"/>
          <w:lang w:eastAsia="fr-FR"/>
        </w:rPr>
        <w:t>The applicant submitted that</w:t>
      </w:r>
      <w:r w:rsidRPr="003821DA">
        <w:rPr>
          <w:rFonts w:eastAsia="Times New Roman"/>
          <w:lang w:eastAsia="fr-FR"/>
        </w:rPr>
        <w:t xml:space="preserve"> the prison guard who monitor</w:t>
      </w:r>
      <w:r w:rsidRPr="003821DA" w:rsidR="00257262">
        <w:rPr>
          <w:rFonts w:eastAsia="Times New Roman"/>
          <w:lang w:eastAsia="fr-FR"/>
        </w:rPr>
        <w:t>ed</w:t>
      </w:r>
      <w:r w:rsidRPr="003821DA">
        <w:rPr>
          <w:rFonts w:eastAsia="Times New Roman"/>
          <w:lang w:eastAsia="fr-FR"/>
        </w:rPr>
        <w:t xml:space="preserve"> his cell </w:t>
      </w:r>
      <w:r w:rsidRPr="003821DA" w:rsidR="00027B30">
        <w:rPr>
          <w:rFonts w:eastAsia="Times New Roman"/>
          <w:lang w:eastAsia="fr-FR"/>
        </w:rPr>
        <w:t xml:space="preserve">was </w:t>
      </w:r>
      <w:r w:rsidRPr="003821DA">
        <w:rPr>
          <w:rFonts w:eastAsia="Times New Roman"/>
          <w:lang w:eastAsia="fr-FR"/>
        </w:rPr>
        <w:t xml:space="preserve">a woman, as at times </w:t>
      </w:r>
      <w:r w:rsidRPr="003821DA" w:rsidR="00257262">
        <w:rPr>
          <w:rFonts w:eastAsia="Times New Roman"/>
          <w:lang w:eastAsia="fr-FR"/>
        </w:rPr>
        <w:t>he could</w:t>
      </w:r>
      <w:r w:rsidRPr="003821DA">
        <w:rPr>
          <w:rFonts w:eastAsia="Times New Roman"/>
          <w:lang w:eastAsia="fr-FR"/>
        </w:rPr>
        <w:t xml:space="preserve"> hear her giving him orders via loudspeaker.</w:t>
      </w:r>
    </w:p>
    <w:p w:rsidRPr="003821DA" w:rsidR="00D75753" w:rsidP="003821DA" w:rsidRDefault="00D75753">
      <w:pPr>
        <w:pStyle w:val="ECHRHeading3"/>
        <w:rPr>
          <w:rFonts w:eastAsia="Times New Roman"/>
          <w:lang w:eastAsia="fr-FR"/>
        </w:rPr>
      </w:pPr>
      <w:r w:rsidRPr="003821DA">
        <w:rPr>
          <w:rFonts w:eastAsia="Times New Roman"/>
          <w:lang w:eastAsia="fr-FR"/>
        </w:rPr>
        <w:t>3.  The third applicant</w:t>
      </w:r>
    </w:p>
    <w:bookmarkStart w:name="THirdApplicantSIZO" w:id="7"/>
    <w:p w:rsidRPr="003821DA" w:rsidR="00D75753" w:rsidP="003821DA" w:rsidRDefault="00D75753">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21</w:t>
      </w:r>
      <w:r w:rsidRPr="003821DA">
        <w:rPr>
          <w:rFonts w:eastAsia="Times New Roman"/>
          <w:lang w:eastAsia="fr-FR"/>
        </w:rPr>
        <w:fldChar w:fldCharType="end"/>
      </w:r>
      <w:bookmarkEnd w:id="7"/>
      <w:r w:rsidRPr="003821DA" w:rsidR="00C23EBC">
        <w:rPr>
          <w:rFonts w:eastAsia="Times New Roman"/>
          <w:lang w:eastAsia="fr-FR"/>
        </w:rPr>
        <w:t xml:space="preserve">.  Whilst serving </w:t>
      </w:r>
      <w:r w:rsidRPr="003821DA" w:rsidR="00D7496E">
        <w:rPr>
          <w:rFonts w:eastAsia="Times New Roman"/>
          <w:lang w:eastAsia="fr-FR"/>
        </w:rPr>
        <w:t xml:space="preserve">a </w:t>
      </w:r>
      <w:r w:rsidRPr="003821DA" w:rsidR="00027B30">
        <w:rPr>
          <w:rFonts w:eastAsia="Times New Roman"/>
          <w:lang w:eastAsia="fr-FR"/>
        </w:rPr>
        <w:t xml:space="preserve">prison </w:t>
      </w:r>
      <w:r w:rsidRPr="003821DA" w:rsidR="00C23EBC">
        <w:rPr>
          <w:rFonts w:eastAsia="Times New Roman"/>
          <w:lang w:eastAsia="fr-FR"/>
        </w:rPr>
        <w:t>sentence</w:t>
      </w:r>
      <w:r w:rsidRPr="003821DA" w:rsidR="00027B30">
        <w:rPr>
          <w:rFonts w:eastAsia="Times New Roman"/>
          <w:lang w:eastAsia="fr-FR"/>
        </w:rPr>
        <w:t xml:space="preserve"> </w:t>
      </w:r>
      <w:r w:rsidRPr="003821DA" w:rsidR="00C23EBC">
        <w:rPr>
          <w:rFonts w:eastAsia="Times New Roman"/>
          <w:lang w:eastAsia="fr-FR"/>
        </w:rPr>
        <w:t xml:space="preserve">in IK-2 </w:t>
      </w:r>
      <w:r w:rsidRPr="003821DA" w:rsidR="00F52949">
        <w:rPr>
          <w:rFonts w:eastAsia="Times New Roman"/>
          <w:lang w:eastAsia="fr-FR"/>
        </w:rPr>
        <w:t xml:space="preserve">(special-regime correctional colony) </w:t>
      </w:r>
      <w:r w:rsidRPr="003821DA" w:rsidR="00C23EBC">
        <w:rPr>
          <w:rFonts w:eastAsia="Times New Roman"/>
          <w:lang w:eastAsia="fr-FR"/>
        </w:rPr>
        <w:t xml:space="preserve">in the </w:t>
      </w:r>
      <w:proofErr w:type="spellStart"/>
      <w:r w:rsidRPr="003821DA" w:rsidR="00C23EBC">
        <w:rPr>
          <w:rFonts w:eastAsia="Times New Roman"/>
          <w:lang w:eastAsia="fr-FR"/>
        </w:rPr>
        <w:t>Zabaykalskiy</w:t>
      </w:r>
      <w:proofErr w:type="spellEnd"/>
      <w:r w:rsidRPr="003821DA" w:rsidR="00C23EBC">
        <w:rPr>
          <w:rFonts w:eastAsia="Times New Roman"/>
          <w:lang w:eastAsia="fr-FR"/>
        </w:rPr>
        <w:t xml:space="preserve"> Region, on 22 June 2013 the third applicant </w:t>
      </w:r>
      <w:proofErr w:type="gramStart"/>
      <w:r w:rsidRPr="003821DA" w:rsidR="00C23EBC">
        <w:rPr>
          <w:rFonts w:eastAsia="Times New Roman"/>
          <w:lang w:eastAsia="fr-FR"/>
        </w:rPr>
        <w:t>was transferred</w:t>
      </w:r>
      <w:proofErr w:type="gramEnd"/>
      <w:r w:rsidRPr="003821DA" w:rsidR="00C23EBC">
        <w:rPr>
          <w:rFonts w:eastAsia="Times New Roman"/>
          <w:lang w:eastAsia="fr-FR"/>
        </w:rPr>
        <w:t xml:space="preserve"> to </w:t>
      </w:r>
      <w:r w:rsidRPr="003821DA" w:rsidR="00D7496E">
        <w:rPr>
          <w:rFonts w:eastAsia="Times New Roman"/>
          <w:lang w:eastAsia="fr-FR"/>
        </w:rPr>
        <w:t>IZ-1 (</w:t>
      </w:r>
      <w:r w:rsidRPr="003821DA" w:rsidR="00F52949">
        <w:rPr>
          <w:rFonts w:eastAsia="Times New Roman"/>
          <w:lang w:eastAsia="fr-FR"/>
        </w:rPr>
        <w:t>pre-trial detention centre</w:t>
      </w:r>
      <w:r w:rsidRPr="003821DA" w:rsidR="00D7496E">
        <w:rPr>
          <w:rFonts w:eastAsia="Times New Roman"/>
          <w:lang w:eastAsia="fr-FR"/>
        </w:rPr>
        <w:t xml:space="preserve">) in the same region with a view to </w:t>
      </w:r>
      <w:r w:rsidRPr="003821DA" w:rsidR="00C618DE">
        <w:rPr>
          <w:rFonts w:eastAsia="Times New Roman"/>
          <w:lang w:eastAsia="fr-FR"/>
        </w:rPr>
        <w:t xml:space="preserve">ensuring </w:t>
      </w:r>
      <w:r w:rsidRPr="003821DA" w:rsidR="00D7496E">
        <w:rPr>
          <w:rFonts w:eastAsia="Times New Roman"/>
          <w:lang w:eastAsia="fr-FR"/>
        </w:rPr>
        <w:t xml:space="preserve">his participation in court proceedings unrelated to this case. The third applicant </w:t>
      </w:r>
      <w:proofErr w:type="gramStart"/>
      <w:r w:rsidRPr="003821DA" w:rsidR="00D7496E">
        <w:rPr>
          <w:rFonts w:eastAsia="Times New Roman"/>
          <w:lang w:eastAsia="fr-FR"/>
        </w:rPr>
        <w:t>was placed</w:t>
      </w:r>
      <w:proofErr w:type="gramEnd"/>
      <w:r w:rsidRPr="003821DA" w:rsidR="00D7496E">
        <w:rPr>
          <w:rFonts w:eastAsia="Times New Roman"/>
          <w:lang w:eastAsia="fr-FR"/>
        </w:rPr>
        <w:t xml:space="preserve"> in cell no.</w:t>
      </w:r>
      <w:r w:rsidRPr="003821DA" w:rsidR="0041474A">
        <w:rPr>
          <w:rFonts w:eastAsia="Times New Roman"/>
          <w:lang w:eastAsia="fr-FR"/>
        </w:rPr>
        <w:t xml:space="preserve"> 465</w:t>
      </w:r>
      <w:r w:rsidRPr="003821DA" w:rsidR="00027B30">
        <w:rPr>
          <w:rFonts w:eastAsia="Times New Roman"/>
          <w:lang w:eastAsia="fr-FR"/>
        </w:rPr>
        <w:t>,</w:t>
      </w:r>
      <w:r w:rsidRPr="003821DA" w:rsidR="0041474A">
        <w:rPr>
          <w:rFonts w:eastAsia="Times New Roman"/>
          <w:lang w:eastAsia="fr-FR"/>
        </w:rPr>
        <w:t xml:space="preserve"> where he remained until 22 </w:t>
      </w:r>
      <w:r w:rsidRPr="003821DA" w:rsidR="00D7496E">
        <w:rPr>
          <w:rFonts w:eastAsia="Times New Roman"/>
          <w:lang w:eastAsia="fr-FR"/>
        </w:rPr>
        <w:t>February 2014.</w:t>
      </w:r>
    </w:p>
    <w:bookmarkStart w:name="ScreenShotThirdApplicant" w:id="8"/>
    <w:p w:rsidRPr="003821DA" w:rsidR="00164F64" w:rsidP="003821DA" w:rsidRDefault="00D7496E">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22</w:t>
      </w:r>
      <w:r w:rsidRPr="003821DA">
        <w:rPr>
          <w:rFonts w:eastAsia="Times New Roman"/>
          <w:lang w:eastAsia="fr-FR"/>
        </w:rPr>
        <w:fldChar w:fldCharType="end"/>
      </w:r>
      <w:bookmarkEnd w:id="8"/>
      <w:r w:rsidRPr="003821DA">
        <w:rPr>
          <w:rFonts w:eastAsia="Times New Roman"/>
          <w:lang w:eastAsia="fr-FR"/>
        </w:rPr>
        <w:t>.  </w:t>
      </w:r>
      <w:r w:rsidRPr="003821DA" w:rsidR="00B627D8">
        <w:rPr>
          <w:rFonts w:eastAsia="Times New Roman"/>
          <w:lang w:eastAsia="fr-FR"/>
        </w:rPr>
        <w:t xml:space="preserve">According to him, the cell </w:t>
      </w:r>
      <w:proofErr w:type="gramStart"/>
      <w:r w:rsidRPr="003821DA" w:rsidR="00B627D8">
        <w:rPr>
          <w:rFonts w:eastAsia="Times New Roman"/>
          <w:lang w:eastAsia="fr-FR"/>
        </w:rPr>
        <w:t>was designed</w:t>
      </w:r>
      <w:proofErr w:type="gramEnd"/>
      <w:r w:rsidRPr="003821DA" w:rsidR="00B627D8">
        <w:rPr>
          <w:rFonts w:eastAsia="Times New Roman"/>
          <w:lang w:eastAsia="fr-FR"/>
        </w:rPr>
        <w:t xml:space="preserve"> for two inmates, but most of the time he </w:t>
      </w:r>
      <w:r w:rsidRPr="003821DA" w:rsidR="005A6E85">
        <w:rPr>
          <w:rFonts w:eastAsia="Times New Roman"/>
          <w:lang w:eastAsia="fr-FR"/>
        </w:rPr>
        <w:t xml:space="preserve">was </w:t>
      </w:r>
      <w:r w:rsidRPr="003821DA" w:rsidR="00B627D8">
        <w:rPr>
          <w:rFonts w:eastAsia="Times New Roman"/>
          <w:lang w:eastAsia="fr-FR"/>
        </w:rPr>
        <w:t xml:space="preserve">there alone. The cell was under permanent surveillance </w:t>
      </w:r>
      <w:r w:rsidRPr="003821DA" w:rsidR="00E27FB0">
        <w:rPr>
          <w:rFonts w:eastAsia="Times New Roman"/>
          <w:lang w:eastAsia="fr-FR"/>
        </w:rPr>
        <w:t xml:space="preserve">by </w:t>
      </w:r>
      <w:r w:rsidRPr="003821DA" w:rsidR="0040067B">
        <w:rPr>
          <w:rFonts w:eastAsia="Times New Roman"/>
          <w:lang w:eastAsia="fr-FR"/>
        </w:rPr>
        <w:t xml:space="preserve">a </w:t>
      </w:r>
      <w:r w:rsidRPr="003821DA" w:rsidR="001E4DFE">
        <w:rPr>
          <w:rFonts w:eastAsia="Times New Roman"/>
          <w:lang w:eastAsia="fr-FR"/>
        </w:rPr>
        <w:t>CCTV</w:t>
      </w:r>
      <w:r w:rsidRPr="003821DA" w:rsidR="00E27FB0">
        <w:rPr>
          <w:rFonts w:eastAsia="Times New Roman"/>
          <w:lang w:eastAsia="fr-FR"/>
        </w:rPr>
        <w:t xml:space="preserve"> camera </w:t>
      </w:r>
      <w:r w:rsidRPr="003821DA" w:rsidR="00465791">
        <w:rPr>
          <w:rFonts w:eastAsia="Times New Roman"/>
          <w:lang w:eastAsia="fr-FR"/>
        </w:rPr>
        <w:t xml:space="preserve">operated </w:t>
      </w:r>
      <w:r w:rsidRPr="003821DA" w:rsidR="00E27FB0">
        <w:rPr>
          <w:rFonts w:eastAsia="Times New Roman"/>
          <w:lang w:eastAsia="fr-FR"/>
        </w:rPr>
        <w:t xml:space="preserve">by </w:t>
      </w:r>
      <w:r w:rsidRPr="003821DA" w:rsidR="00465791">
        <w:rPr>
          <w:rFonts w:eastAsia="Times New Roman"/>
          <w:lang w:eastAsia="fr-FR"/>
        </w:rPr>
        <w:t>female guards</w:t>
      </w:r>
      <w:r w:rsidRPr="003821DA" w:rsidR="00E27FB0">
        <w:rPr>
          <w:rFonts w:eastAsia="Times New Roman"/>
          <w:lang w:eastAsia="fr-FR"/>
        </w:rPr>
        <w:t xml:space="preserve">. </w:t>
      </w:r>
      <w:r w:rsidRPr="003821DA" w:rsidR="002A7EE8">
        <w:rPr>
          <w:rFonts w:eastAsia="Times New Roman"/>
          <w:lang w:eastAsia="fr-FR"/>
        </w:rPr>
        <w:t xml:space="preserve">A </w:t>
      </w:r>
      <w:r w:rsidRPr="003821DA" w:rsidR="00A7256F">
        <w:rPr>
          <w:rFonts w:eastAsia="Times New Roman"/>
          <w:lang w:eastAsia="fr-FR"/>
        </w:rPr>
        <w:t>screenshot of the CCTV camera</w:t>
      </w:r>
      <w:r w:rsidRPr="003821DA" w:rsidR="002A7EE8">
        <w:rPr>
          <w:rFonts w:eastAsia="Times New Roman"/>
          <w:lang w:eastAsia="fr-FR"/>
        </w:rPr>
        <w:t xml:space="preserve"> submitted by the </w:t>
      </w:r>
      <w:r w:rsidRPr="003821DA" w:rsidR="002D7BF7">
        <w:rPr>
          <w:rFonts w:eastAsia="Times New Roman"/>
          <w:lang w:eastAsia="fr-FR"/>
        </w:rPr>
        <w:t xml:space="preserve">third </w:t>
      </w:r>
      <w:r w:rsidRPr="003821DA" w:rsidR="002A7EE8">
        <w:rPr>
          <w:rFonts w:eastAsia="Times New Roman"/>
          <w:lang w:eastAsia="fr-FR"/>
        </w:rPr>
        <w:t xml:space="preserve">applicant shows that </w:t>
      </w:r>
      <w:r w:rsidRPr="003821DA" w:rsidR="00A7256F">
        <w:rPr>
          <w:rFonts w:eastAsia="Times New Roman"/>
          <w:lang w:eastAsia="fr-FR"/>
        </w:rPr>
        <w:t>it</w:t>
      </w:r>
      <w:r w:rsidRPr="003821DA" w:rsidR="00653C78">
        <w:rPr>
          <w:rFonts w:eastAsia="Times New Roman"/>
          <w:lang w:eastAsia="fr-FR"/>
        </w:rPr>
        <w:t xml:space="preserve"> was installed </w:t>
      </w:r>
      <w:r w:rsidRPr="003821DA" w:rsidR="0017729F">
        <w:rPr>
          <w:rFonts w:eastAsia="Times New Roman"/>
          <w:lang w:eastAsia="fr-FR"/>
        </w:rPr>
        <w:t xml:space="preserve">above the entrance door, </w:t>
      </w:r>
      <w:r w:rsidRPr="003821DA" w:rsidR="00557E9F">
        <w:rPr>
          <w:rFonts w:eastAsia="Times New Roman"/>
          <w:lang w:eastAsia="fr-FR"/>
        </w:rPr>
        <w:t>at ceiling</w:t>
      </w:r>
      <w:r w:rsidRPr="003821DA" w:rsidR="00027B30">
        <w:rPr>
          <w:rFonts w:eastAsia="Times New Roman"/>
          <w:lang w:eastAsia="fr-FR"/>
        </w:rPr>
        <w:t xml:space="preserve"> level</w:t>
      </w:r>
      <w:r w:rsidRPr="003821DA" w:rsidR="0017729F">
        <w:rPr>
          <w:rFonts w:eastAsia="Times New Roman"/>
          <w:lang w:eastAsia="fr-FR"/>
        </w:rPr>
        <w:t>,</w:t>
      </w:r>
      <w:r w:rsidRPr="003821DA" w:rsidR="00557E9F">
        <w:rPr>
          <w:rFonts w:eastAsia="Times New Roman"/>
          <w:lang w:eastAsia="fr-FR"/>
        </w:rPr>
        <w:t xml:space="preserve"> </w:t>
      </w:r>
      <w:r w:rsidRPr="003821DA" w:rsidR="00653C78">
        <w:rPr>
          <w:rFonts w:eastAsia="Times New Roman"/>
          <w:lang w:eastAsia="fr-FR"/>
        </w:rPr>
        <w:t xml:space="preserve">in such a manner that the entire cell was clearly visible, including, at least in part, the </w:t>
      </w:r>
      <w:r w:rsidRPr="003821DA" w:rsidR="002A7EE8">
        <w:rPr>
          <w:rFonts w:eastAsia="Times New Roman"/>
          <w:lang w:eastAsia="fr-FR"/>
        </w:rPr>
        <w:t>bed</w:t>
      </w:r>
      <w:r w:rsidRPr="003821DA" w:rsidR="00BB5E98">
        <w:rPr>
          <w:rFonts w:eastAsia="Times New Roman"/>
          <w:lang w:eastAsia="fr-FR"/>
        </w:rPr>
        <w:t xml:space="preserve">. The </w:t>
      </w:r>
      <w:r w:rsidRPr="003821DA" w:rsidR="00A7256F">
        <w:rPr>
          <w:rFonts w:eastAsia="Times New Roman"/>
          <w:lang w:eastAsia="fr-FR"/>
        </w:rPr>
        <w:t>screenshot</w:t>
      </w:r>
      <w:r w:rsidRPr="003821DA" w:rsidR="00BB5E98">
        <w:rPr>
          <w:rFonts w:eastAsia="Times New Roman"/>
          <w:lang w:eastAsia="fr-FR"/>
        </w:rPr>
        <w:t xml:space="preserve"> also shows that the toilet </w:t>
      </w:r>
      <w:proofErr w:type="gramStart"/>
      <w:r w:rsidRPr="003821DA" w:rsidR="001E4DFE">
        <w:rPr>
          <w:rFonts w:eastAsia="Times New Roman"/>
          <w:lang w:eastAsia="fr-FR"/>
        </w:rPr>
        <w:t>was</w:t>
      </w:r>
      <w:r w:rsidRPr="003821DA" w:rsidR="00F064D7">
        <w:rPr>
          <w:rFonts w:eastAsia="Times New Roman"/>
          <w:lang w:eastAsia="fr-FR"/>
        </w:rPr>
        <w:t xml:space="preserve"> separated</w:t>
      </w:r>
      <w:proofErr w:type="gramEnd"/>
      <w:r w:rsidRPr="003821DA" w:rsidR="00F064D7">
        <w:rPr>
          <w:rFonts w:eastAsia="Times New Roman"/>
          <w:lang w:eastAsia="fr-FR"/>
        </w:rPr>
        <w:t xml:space="preserve"> by a partition </w:t>
      </w:r>
      <w:r w:rsidRPr="003821DA" w:rsidR="00027B30">
        <w:rPr>
          <w:rFonts w:eastAsia="Times New Roman"/>
          <w:lang w:eastAsia="fr-FR"/>
        </w:rPr>
        <w:t>at each</w:t>
      </w:r>
      <w:r w:rsidRPr="003821DA" w:rsidR="00F064D7">
        <w:rPr>
          <w:rFonts w:eastAsia="Times New Roman"/>
          <w:lang w:eastAsia="fr-FR"/>
        </w:rPr>
        <w:t xml:space="preserve"> side, but </w:t>
      </w:r>
      <w:r w:rsidRPr="003821DA" w:rsidR="004B3E2C">
        <w:rPr>
          <w:rFonts w:eastAsia="Times New Roman"/>
          <w:lang w:eastAsia="fr-FR"/>
        </w:rPr>
        <w:t xml:space="preserve">had no cover, with the result that the upper part of </w:t>
      </w:r>
      <w:r w:rsidRPr="003821DA" w:rsidR="00027B30">
        <w:rPr>
          <w:rFonts w:eastAsia="Times New Roman"/>
          <w:lang w:eastAsia="fr-FR"/>
        </w:rPr>
        <w:t>the cubicle</w:t>
      </w:r>
      <w:r w:rsidRPr="003821DA" w:rsidR="004B3E2C">
        <w:rPr>
          <w:rFonts w:eastAsia="Times New Roman"/>
          <w:lang w:eastAsia="fr-FR"/>
        </w:rPr>
        <w:t xml:space="preserve"> </w:t>
      </w:r>
      <w:r w:rsidRPr="003821DA" w:rsidR="00AF7884">
        <w:rPr>
          <w:rFonts w:eastAsia="Times New Roman"/>
          <w:lang w:eastAsia="fr-FR"/>
        </w:rPr>
        <w:t>was</w:t>
      </w:r>
      <w:r w:rsidRPr="003821DA" w:rsidR="004B3E2C">
        <w:rPr>
          <w:rFonts w:eastAsia="Times New Roman"/>
          <w:lang w:eastAsia="fr-FR"/>
        </w:rPr>
        <w:t xml:space="preserve"> visible</w:t>
      </w:r>
      <w:r w:rsidRPr="003821DA" w:rsidR="00F064D7">
        <w:rPr>
          <w:rFonts w:eastAsia="Times New Roman"/>
          <w:lang w:eastAsia="fr-FR"/>
        </w:rPr>
        <w:t>.</w:t>
      </w:r>
    </w:p>
    <w:p w:rsidRPr="003821DA" w:rsidR="00B627D8" w:rsidP="003821DA" w:rsidRDefault="00B627D8">
      <w:pPr>
        <w:pStyle w:val="ECHRHeading2"/>
        <w:rPr>
          <w:rFonts w:eastAsia="Times New Roman"/>
          <w:lang w:eastAsia="fr-FR"/>
        </w:rPr>
      </w:pPr>
      <w:r w:rsidRPr="003821DA">
        <w:rPr>
          <w:rFonts w:eastAsia="Times New Roman"/>
          <w:lang w:eastAsia="fr-FR"/>
        </w:rPr>
        <w:t>C.  Court proceedings brought by the</w:t>
      </w:r>
      <w:r w:rsidRPr="003821DA" w:rsidR="00F2455D">
        <w:rPr>
          <w:rFonts w:eastAsia="Times New Roman"/>
          <w:lang w:eastAsia="fr-FR"/>
        </w:rPr>
        <w:t xml:space="preserve"> </w:t>
      </w:r>
      <w:r w:rsidRPr="003821DA">
        <w:rPr>
          <w:rFonts w:eastAsia="Times New Roman"/>
          <w:lang w:eastAsia="fr-FR"/>
        </w:rPr>
        <w:t>third applicant</w:t>
      </w:r>
    </w:p>
    <w:p w:rsidRPr="003821DA" w:rsidR="00B627D8" w:rsidP="003821DA" w:rsidRDefault="00B627D8">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23</w:t>
      </w:r>
      <w:r w:rsidRPr="003821DA">
        <w:rPr>
          <w:rFonts w:eastAsia="Times New Roman"/>
          <w:lang w:eastAsia="fr-FR"/>
        </w:rPr>
        <w:fldChar w:fldCharType="end"/>
      </w:r>
      <w:r w:rsidRPr="003821DA">
        <w:rPr>
          <w:rFonts w:eastAsia="Times New Roman"/>
          <w:lang w:eastAsia="fr-FR"/>
        </w:rPr>
        <w:t>.  </w:t>
      </w:r>
      <w:r w:rsidRPr="003821DA" w:rsidR="004D2F58">
        <w:rPr>
          <w:rFonts w:eastAsia="Times New Roman"/>
          <w:lang w:eastAsia="fr-FR"/>
        </w:rPr>
        <w:t xml:space="preserve">On an unspecified date the third applicant </w:t>
      </w:r>
      <w:r w:rsidRPr="003821DA" w:rsidR="0040067B">
        <w:rPr>
          <w:rFonts w:eastAsia="Times New Roman"/>
          <w:lang w:eastAsia="fr-FR"/>
        </w:rPr>
        <w:t>lodged</w:t>
      </w:r>
      <w:r w:rsidRPr="003821DA" w:rsidR="004D2F58">
        <w:rPr>
          <w:rFonts w:eastAsia="Times New Roman"/>
          <w:lang w:eastAsia="fr-FR"/>
        </w:rPr>
        <w:t xml:space="preserve"> a complaint against the actions of the </w:t>
      </w:r>
      <w:r w:rsidRPr="003821DA" w:rsidR="00157A1E">
        <w:rPr>
          <w:rFonts w:eastAsia="Times New Roman"/>
          <w:lang w:eastAsia="fr-FR"/>
        </w:rPr>
        <w:t>administration</w:t>
      </w:r>
      <w:r w:rsidRPr="003821DA" w:rsidR="004D2F58">
        <w:rPr>
          <w:rFonts w:eastAsia="Times New Roman"/>
          <w:lang w:eastAsia="fr-FR"/>
        </w:rPr>
        <w:t xml:space="preserve"> of </w:t>
      </w:r>
      <w:r w:rsidRPr="003821DA" w:rsidR="00612239">
        <w:rPr>
          <w:rFonts w:eastAsia="Times New Roman"/>
          <w:lang w:eastAsia="fr-FR"/>
        </w:rPr>
        <w:t xml:space="preserve">pre-trial detention </w:t>
      </w:r>
      <w:r w:rsidRPr="003821DA" w:rsidR="004D2F58">
        <w:rPr>
          <w:rFonts w:eastAsia="Times New Roman"/>
          <w:lang w:eastAsia="fr-FR"/>
        </w:rPr>
        <w:t>centre IZ-1</w:t>
      </w:r>
      <w:r w:rsidRPr="003821DA" w:rsidR="00513167">
        <w:rPr>
          <w:rFonts w:eastAsia="Times New Roman"/>
          <w:lang w:eastAsia="fr-FR"/>
        </w:rPr>
        <w:t xml:space="preserve"> (“the </w:t>
      </w:r>
      <w:r w:rsidRPr="003821DA" w:rsidR="00612239">
        <w:rPr>
          <w:rFonts w:eastAsia="Times New Roman"/>
          <w:lang w:eastAsia="fr-FR"/>
        </w:rPr>
        <w:t>detention</w:t>
      </w:r>
      <w:r w:rsidRPr="003821DA" w:rsidR="00513167">
        <w:rPr>
          <w:rFonts w:eastAsia="Times New Roman"/>
          <w:lang w:eastAsia="fr-FR"/>
        </w:rPr>
        <w:t xml:space="preserve"> centre authorities”)</w:t>
      </w:r>
      <w:r w:rsidRPr="003821DA" w:rsidR="0040067B">
        <w:rPr>
          <w:rFonts w:eastAsia="Times New Roman"/>
          <w:lang w:eastAsia="fr-FR"/>
        </w:rPr>
        <w:t xml:space="preserve"> </w:t>
      </w:r>
      <w:r w:rsidRPr="003821DA" w:rsidR="000B2E58">
        <w:rPr>
          <w:rFonts w:eastAsia="Times New Roman"/>
          <w:lang w:eastAsia="fr-FR"/>
        </w:rPr>
        <w:t xml:space="preserve">with </w:t>
      </w:r>
      <w:r w:rsidRPr="003821DA" w:rsidR="0040067B">
        <w:rPr>
          <w:rFonts w:eastAsia="Times New Roman"/>
          <w:lang w:eastAsia="fr-FR"/>
        </w:rPr>
        <w:t xml:space="preserve">the </w:t>
      </w:r>
      <w:proofErr w:type="spellStart"/>
      <w:r w:rsidRPr="003821DA" w:rsidR="0040067B">
        <w:rPr>
          <w:rFonts w:eastAsia="Times New Roman"/>
          <w:lang w:eastAsia="fr-FR"/>
        </w:rPr>
        <w:t>Ingodinskiy</w:t>
      </w:r>
      <w:proofErr w:type="spellEnd"/>
      <w:r w:rsidRPr="003821DA" w:rsidR="0040067B">
        <w:rPr>
          <w:rFonts w:eastAsia="Times New Roman"/>
          <w:lang w:eastAsia="fr-FR"/>
        </w:rPr>
        <w:t xml:space="preserve"> District Court of Chita (“the District Court”)</w:t>
      </w:r>
      <w:r w:rsidRPr="003821DA" w:rsidR="004D2F58">
        <w:rPr>
          <w:rFonts w:eastAsia="Times New Roman"/>
          <w:lang w:eastAsia="fr-FR"/>
        </w:rPr>
        <w:t xml:space="preserve">. He argued that permanent video surveillance of his cell by female operators </w:t>
      </w:r>
      <w:r w:rsidRPr="003821DA" w:rsidR="0040067B">
        <w:rPr>
          <w:rFonts w:eastAsia="Times New Roman"/>
          <w:lang w:eastAsia="fr-FR"/>
        </w:rPr>
        <w:t xml:space="preserve">was humiliating </w:t>
      </w:r>
      <w:proofErr w:type="gramStart"/>
      <w:r w:rsidRPr="003821DA" w:rsidR="0040067B">
        <w:rPr>
          <w:rFonts w:eastAsia="Times New Roman"/>
          <w:lang w:eastAsia="fr-FR"/>
        </w:rPr>
        <w:t>as,</w:t>
      </w:r>
      <w:proofErr w:type="gramEnd"/>
      <w:r w:rsidRPr="003821DA" w:rsidR="0040067B">
        <w:rPr>
          <w:rFonts w:eastAsia="Times New Roman"/>
          <w:lang w:eastAsia="fr-FR"/>
        </w:rPr>
        <w:t xml:space="preserve"> in particular, he had to </w:t>
      </w:r>
      <w:r w:rsidRPr="003821DA" w:rsidR="00FB0135">
        <w:rPr>
          <w:rFonts w:eastAsia="Times New Roman"/>
          <w:lang w:eastAsia="fr-FR"/>
        </w:rPr>
        <w:t>undress</w:t>
      </w:r>
      <w:r w:rsidRPr="003821DA" w:rsidR="00B9663D">
        <w:rPr>
          <w:rFonts w:eastAsia="Times New Roman"/>
          <w:lang w:eastAsia="fr-FR"/>
        </w:rPr>
        <w:t xml:space="preserve"> </w:t>
      </w:r>
      <w:r w:rsidRPr="003821DA" w:rsidR="0040067B">
        <w:rPr>
          <w:rFonts w:eastAsia="Times New Roman"/>
          <w:lang w:eastAsia="fr-FR"/>
        </w:rPr>
        <w:t>i</w:t>
      </w:r>
      <w:r w:rsidRPr="003821DA" w:rsidR="00093C97">
        <w:rPr>
          <w:rFonts w:eastAsia="Times New Roman"/>
          <w:lang w:eastAsia="fr-FR"/>
        </w:rPr>
        <w:t xml:space="preserve">n plain view of </w:t>
      </w:r>
      <w:r w:rsidRPr="003821DA" w:rsidR="005A6E85">
        <w:rPr>
          <w:rFonts w:eastAsia="Times New Roman"/>
          <w:lang w:eastAsia="fr-FR"/>
        </w:rPr>
        <w:t>them,</w:t>
      </w:r>
      <w:r w:rsidRPr="003821DA" w:rsidR="00093C97">
        <w:rPr>
          <w:rFonts w:eastAsia="Times New Roman"/>
          <w:lang w:eastAsia="fr-FR"/>
        </w:rPr>
        <w:t xml:space="preserve"> </w:t>
      </w:r>
      <w:r w:rsidRPr="003821DA" w:rsidR="00C10277">
        <w:rPr>
          <w:rFonts w:eastAsia="Times New Roman"/>
          <w:lang w:eastAsia="fr-FR"/>
        </w:rPr>
        <w:t xml:space="preserve">which </w:t>
      </w:r>
      <w:r w:rsidRPr="003821DA" w:rsidR="004D2F58">
        <w:rPr>
          <w:rFonts w:eastAsia="Times New Roman"/>
          <w:lang w:eastAsia="fr-FR"/>
        </w:rPr>
        <w:t>breache</w:t>
      </w:r>
      <w:r w:rsidRPr="003821DA" w:rsidR="0040067B">
        <w:rPr>
          <w:rFonts w:eastAsia="Times New Roman"/>
          <w:lang w:eastAsia="fr-FR"/>
        </w:rPr>
        <w:t xml:space="preserve">d his rights. He </w:t>
      </w:r>
      <w:r w:rsidRPr="003821DA" w:rsidR="000B2E58">
        <w:rPr>
          <w:rFonts w:eastAsia="Times New Roman"/>
          <w:lang w:eastAsia="fr-FR"/>
        </w:rPr>
        <w:t xml:space="preserve">asked </w:t>
      </w:r>
      <w:r w:rsidRPr="003821DA" w:rsidR="0040067B">
        <w:rPr>
          <w:rFonts w:eastAsia="Times New Roman"/>
          <w:lang w:eastAsia="fr-FR"/>
        </w:rPr>
        <w:t xml:space="preserve">the court to oblige the </w:t>
      </w:r>
      <w:r w:rsidRPr="003821DA" w:rsidR="00612239">
        <w:rPr>
          <w:rFonts w:eastAsia="Times New Roman"/>
          <w:lang w:eastAsia="fr-FR"/>
        </w:rPr>
        <w:t>detention</w:t>
      </w:r>
      <w:r w:rsidRPr="003821DA" w:rsidR="00513167">
        <w:rPr>
          <w:rFonts w:eastAsia="Times New Roman"/>
          <w:lang w:eastAsia="fr-FR"/>
        </w:rPr>
        <w:t xml:space="preserve"> centre </w:t>
      </w:r>
      <w:r w:rsidRPr="003821DA" w:rsidR="0040067B">
        <w:rPr>
          <w:rFonts w:eastAsia="Times New Roman"/>
          <w:lang w:eastAsia="fr-FR"/>
        </w:rPr>
        <w:t xml:space="preserve">authorities to </w:t>
      </w:r>
      <w:proofErr w:type="gramStart"/>
      <w:r w:rsidRPr="003821DA" w:rsidR="0040067B">
        <w:rPr>
          <w:rFonts w:eastAsia="Times New Roman"/>
          <w:lang w:eastAsia="fr-FR"/>
        </w:rPr>
        <w:t>bring th</w:t>
      </w:r>
      <w:r w:rsidRPr="003821DA" w:rsidR="00C618DE">
        <w:rPr>
          <w:rFonts w:eastAsia="Times New Roman"/>
          <w:lang w:eastAsia="fr-FR"/>
        </w:rPr>
        <w:t>e</w:t>
      </w:r>
      <w:r w:rsidRPr="003821DA" w:rsidR="0040067B">
        <w:rPr>
          <w:rFonts w:eastAsia="Times New Roman"/>
          <w:lang w:eastAsia="fr-FR"/>
        </w:rPr>
        <w:t xml:space="preserve"> </w:t>
      </w:r>
      <w:r w:rsidRPr="003821DA" w:rsidR="00AF7884">
        <w:rPr>
          <w:rFonts w:eastAsia="Times New Roman"/>
          <w:lang w:eastAsia="fr-FR"/>
        </w:rPr>
        <w:t>violation</w:t>
      </w:r>
      <w:r w:rsidRPr="003821DA" w:rsidR="0040067B">
        <w:rPr>
          <w:rFonts w:eastAsia="Times New Roman"/>
          <w:lang w:eastAsia="fr-FR"/>
        </w:rPr>
        <w:t xml:space="preserve"> to an end</w:t>
      </w:r>
      <w:proofErr w:type="gramEnd"/>
      <w:r w:rsidRPr="003821DA" w:rsidR="0040067B">
        <w:rPr>
          <w:rFonts w:eastAsia="Times New Roman"/>
          <w:lang w:eastAsia="fr-FR"/>
        </w:rPr>
        <w:t>.</w:t>
      </w:r>
    </w:p>
    <w:p w:rsidRPr="003821DA" w:rsidR="00164F64" w:rsidP="003821DA" w:rsidRDefault="00513167">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24</w:t>
      </w:r>
      <w:r w:rsidRPr="003821DA">
        <w:rPr>
          <w:rFonts w:eastAsia="Times New Roman"/>
          <w:lang w:eastAsia="fr-FR"/>
        </w:rPr>
        <w:fldChar w:fldCharType="end"/>
      </w:r>
      <w:r w:rsidRPr="003821DA">
        <w:rPr>
          <w:rFonts w:eastAsia="Times New Roman"/>
          <w:lang w:eastAsia="fr-FR"/>
        </w:rPr>
        <w:t xml:space="preserve">.  At a </w:t>
      </w:r>
      <w:proofErr w:type="gramStart"/>
      <w:r w:rsidRPr="003821DA">
        <w:rPr>
          <w:rFonts w:eastAsia="Times New Roman"/>
          <w:lang w:eastAsia="fr-FR"/>
        </w:rPr>
        <w:t>hearing</w:t>
      </w:r>
      <w:proofErr w:type="gramEnd"/>
      <w:r w:rsidRPr="003821DA">
        <w:rPr>
          <w:rFonts w:eastAsia="Times New Roman"/>
          <w:lang w:eastAsia="fr-FR"/>
        </w:rPr>
        <w:t xml:space="preserve"> </w:t>
      </w:r>
      <w:r w:rsidRPr="003821DA" w:rsidR="00157A1E">
        <w:rPr>
          <w:rFonts w:eastAsia="Times New Roman"/>
          <w:lang w:eastAsia="fr-FR"/>
        </w:rPr>
        <w:t xml:space="preserve">a </w:t>
      </w:r>
      <w:r w:rsidRPr="003821DA">
        <w:rPr>
          <w:rFonts w:eastAsia="Times New Roman"/>
          <w:lang w:eastAsia="fr-FR"/>
        </w:rPr>
        <w:t>representative</w:t>
      </w:r>
      <w:r w:rsidRPr="003821DA" w:rsidR="00157A1E">
        <w:rPr>
          <w:rFonts w:eastAsia="Times New Roman"/>
          <w:lang w:eastAsia="fr-FR"/>
        </w:rPr>
        <w:t xml:space="preserve"> of the </w:t>
      </w:r>
      <w:r w:rsidRPr="003821DA" w:rsidR="00612239">
        <w:rPr>
          <w:rFonts w:eastAsia="Times New Roman"/>
          <w:lang w:eastAsia="fr-FR"/>
        </w:rPr>
        <w:t>detention</w:t>
      </w:r>
      <w:r w:rsidRPr="003821DA" w:rsidR="00157A1E">
        <w:rPr>
          <w:rFonts w:eastAsia="Times New Roman"/>
          <w:lang w:eastAsia="fr-FR"/>
        </w:rPr>
        <w:t xml:space="preserve"> centre</w:t>
      </w:r>
      <w:r w:rsidRPr="003821DA" w:rsidR="00AB2A83">
        <w:rPr>
          <w:rFonts w:eastAsia="Times New Roman"/>
          <w:lang w:eastAsia="fr-FR"/>
        </w:rPr>
        <w:t xml:space="preserve"> authorities</w:t>
      </w:r>
      <w:r w:rsidRPr="003821DA">
        <w:rPr>
          <w:rFonts w:eastAsia="Times New Roman"/>
          <w:lang w:eastAsia="fr-FR"/>
        </w:rPr>
        <w:t xml:space="preserve"> conceded that </w:t>
      </w:r>
      <w:r w:rsidRPr="003821DA" w:rsidR="000B2E58">
        <w:rPr>
          <w:rFonts w:eastAsia="Times New Roman"/>
          <w:lang w:eastAsia="fr-FR"/>
        </w:rPr>
        <w:t xml:space="preserve">the </w:t>
      </w:r>
      <w:r w:rsidRPr="003821DA" w:rsidR="00FB0135">
        <w:rPr>
          <w:rFonts w:eastAsia="Times New Roman"/>
          <w:lang w:eastAsia="fr-FR"/>
        </w:rPr>
        <w:t>duty officer</w:t>
      </w:r>
      <w:r w:rsidRPr="003821DA" w:rsidR="00093C97">
        <w:rPr>
          <w:rFonts w:eastAsia="Times New Roman"/>
          <w:lang w:eastAsia="fr-FR"/>
        </w:rPr>
        <w:t>s</w:t>
      </w:r>
      <w:r w:rsidRPr="003821DA" w:rsidR="00FB0135">
        <w:rPr>
          <w:rFonts w:eastAsia="Times New Roman"/>
          <w:lang w:eastAsia="fr-FR"/>
        </w:rPr>
        <w:t xml:space="preserve"> who </w:t>
      </w:r>
      <w:r w:rsidRPr="003821DA" w:rsidR="00AF7884">
        <w:rPr>
          <w:rFonts w:eastAsia="Times New Roman"/>
          <w:lang w:eastAsia="fr-FR"/>
        </w:rPr>
        <w:t>perform</w:t>
      </w:r>
      <w:r w:rsidRPr="003821DA" w:rsidR="000B2E58">
        <w:rPr>
          <w:rFonts w:eastAsia="Times New Roman"/>
          <w:lang w:eastAsia="fr-FR"/>
        </w:rPr>
        <w:t>ed</w:t>
      </w:r>
      <w:r w:rsidRPr="003821DA" w:rsidR="00FB0135">
        <w:rPr>
          <w:rFonts w:eastAsia="Times New Roman"/>
          <w:lang w:eastAsia="fr-FR"/>
        </w:rPr>
        <w:t xml:space="preserve"> video surveillance were women</w:t>
      </w:r>
      <w:r w:rsidRPr="003821DA" w:rsidR="00157A1E">
        <w:rPr>
          <w:rFonts w:eastAsia="Times New Roman"/>
          <w:lang w:eastAsia="fr-FR"/>
        </w:rPr>
        <w:t xml:space="preserve">, but argued that </w:t>
      </w:r>
      <w:r w:rsidRPr="003821DA" w:rsidR="000B2E58">
        <w:rPr>
          <w:rFonts w:eastAsia="Times New Roman"/>
          <w:lang w:eastAsia="fr-FR"/>
        </w:rPr>
        <w:t xml:space="preserve">they were </w:t>
      </w:r>
      <w:r w:rsidRPr="003821DA" w:rsidR="00157A1E">
        <w:rPr>
          <w:rFonts w:eastAsia="Times New Roman"/>
          <w:lang w:eastAsia="fr-FR"/>
        </w:rPr>
        <w:t xml:space="preserve">merely </w:t>
      </w:r>
      <w:r w:rsidRPr="003821DA" w:rsidR="000B2E58">
        <w:rPr>
          <w:rFonts w:eastAsia="Times New Roman"/>
          <w:lang w:eastAsia="fr-FR"/>
        </w:rPr>
        <w:t xml:space="preserve">performing </w:t>
      </w:r>
      <w:r w:rsidRPr="003821DA" w:rsidR="00157A1E">
        <w:rPr>
          <w:rFonts w:eastAsia="Times New Roman"/>
          <w:lang w:eastAsia="fr-FR"/>
        </w:rPr>
        <w:t>their professional duties</w:t>
      </w:r>
      <w:r w:rsidRPr="003821DA" w:rsidR="00C618DE">
        <w:rPr>
          <w:rFonts w:eastAsia="Times New Roman"/>
          <w:lang w:eastAsia="fr-FR"/>
        </w:rPr>
        <w:t>. T</w:t>
      </w:r>
      <w:r w:rsidRPr="003821DA" w:rsidR="00FB0135">
        <w:rPr>
          <w:rFonts w:eastAsia="Times New Roman"/>
          <w:lang w:eastAsia="fr-FR"/>
        </w:rPr>
        <w:t>he</w:t>
      </w:r>
      <w:r w:rsidRPr="003821DA" w:rsidR="00157A1E">
        <w:rPr>
          <w:rFonts w:eastAsia="Times New Roman"/>
          <w:lang w:eastAsia="fr-FR"/>
        </w:rPr>
        <w:t xml:space="preserve"> representative</w:t>
      </w:r>
      <w:r w:rsidRPr="003821DA" w:rsidR="00FB0135">
        <w:rPr>
          <w:rFonts w:eastAsia="Times New Roman"/>
          <w:lang w:eastAsia="fr-FR"/>
        </w:rPr>
        <w:t xml:space="preserve"> also pointed out that </w:t>
      </w:r>
      <w:r w:rsidRPr="003821DA" w:rsidR="00FB7B4A">
        <w:rPr>
          <w:rFonts w:eastAsia="Times New Roman"/>
          <w:lang w:eastAsia="fr-FR"/>
        </w:rPr>
        <w:t xml:space="preserve">all </w:t>
      </w:r>
      <w:r w:rsidRPr="003821DA" w:rsidR="00FB0135">
        <w:rPr>
          <w:rFonts w:eastAsia="Times New Roman"/>
          <w:lang w:eastAsia="fr-FR"/>
        </w:rPr>
        <w:t xml:space="preserve">the other cells in </w:t>
      </w:r>
      <w:r w:rsidRPr="003821DA" w:rsidR="000B2E58">
        <w:rPr>
          <w:rFonts w:eastAsia="Times New Roman"/>
          <w:lang w:eastAsia="fr-FR"/>
        </w:rPr>
        <w:t xml:space="preserve">the </w:t>
      </w:r>
      <w:r w:rsidRPr="003821DA" w:rsidR="000F741E">
        <w:rPr>
          <w:rFonts w:eastAsia="Times New Roman"/>
          <w:lang w:eastAsia="fr-FR"/>
        </w:rPr>
        <w:t>pre</w:t>
      </w:r>
      <w:r w:rsidRPr="003821DA" w:rsidR="000F741E">
        <w:rPr>
          <w:rFonts w:eastAsia="Times New Roman"/>
          <w:lang w:eastAsia="fr-FR"/>
        </w:rPr>
        <w:noBreakHyphen/>
      </w:r>
      <w:r w:rsidRPr="003821DA" w:rsidR="00612239">
        <w:rPr>
          <w:rFonts w:eastAsia="Times New Roman"/>
          <w:lang w:eastAsia="fr-FR"/>
        </w:rPr>
        <w:t>trial</w:t>
      </w:r>
      <w:r w:rsidRPr="003821DA" w:rsidR="00FB0135">
        <w:rPr>
          <w:rFonts w:eastAsia="Times New Roman"/>
          <w:lang w:eastAsia="fr-FR"/>
        </w:rPr>
        <w:t xml:space="preserve"> </w:t>
      </w:r>
      <w:r w:rsidRPr="003821DA" w:rsidR="00612239">
        <w:rPr>
          <w:rFonts w:eastAsia="Times New Roman"/>
          <w:lang w:eastAsia="fr-FR"/>
        </w:rPr>
        <w:t>detention</w:t>
      </w:r>
      <w:r w:rsidRPr="003821DA" w:rsidR="00FB0135">
        <w:rPr>
          <w:rFonts w:eastAsia="Times New Roman"/>
          <w:lang w:eastAsia="fr-FR"/>
        </w:rPr>
        <w:t xml:space="preserve"> centre were equipped with </w:t>
      </w:r>
      <w:r w:rsidRPr="003821DA" w:rsidR="00AB2A83">
        <w:rPr>
          <w:rFonts w:eastAsia="Times New Roman"/>
          <w:lang w:eastAsia="fr-FR"/>
        </w:rPr>
        <w:t>CCTV</w:t>
      </w:r>
      <w:r w:rsidRPr="003821DA" w:rsidR="00FB0135">
        <w:rPr>
          <w:rFonts w:eastAsia="Times New Roman"/>
          <w:lang w:eastAsia="fr-FR"/>
        </w:rPr>
        <w:t xml:space="preserve"> cameras</w:t>
      </w:r>
      <w:r w:rsidRPr="003821DA" w:rsidR="000B2E58">
        <w:rPr>
          <w:rFonts w:eastAsia="Times New Roman"/>
          <w:lang w:eastAsia="fr-FR"/>
        </w:rPr>
        <w:t>,</w:t>
      </w:r>
      <w:r w:rsidRPr="003821DA" w:rsidR="00FB0135">
        <w:rPr>
          <w:rFonts w:eastAsia="Times New Roman"/>
          <w:lang w:eastAsia="fr-FR"/>
        </w:rPr>
        <w:t xml:space="preserve"> which </w:t>
      </w:r>
      <w:proofErr w:type="gramStart"/>
      <w:r w:rsidRPr="003821DA" w:rsidR="00FB0135">
        <w:rPr>
          <w:rFonts w:eastAsia="Times New Roman"/>
          <w:lang w:eastAsia="fr-FR"/>
        </w:rPr>
        <w:t>had been installed</w:t>
      </w:r>
      <w:proofErr w:type="gramEnd"/>
      <w:r w:rsidRPr="003821DA" w:rsidR="00FB0135">
        <w:rPr>
          <w:rFonts w:eastAsia="Times New Roman"/>
          <w:lang w:eastAsia="fr-FR"/>
        </w:rPr>
        <w:t xml:space="preserve"> for security purposes. </w:t>
      </w:r>
      <w:r w:rsidRPr="003821DA" w:rsidR="00FB7B4A">
        <w:rPr>
          <w:rFonts w:eastAsia="Times New Roman"/>
          <w:lang w:eastAsia="fr-FR"/>
        </w:rPr>
        <w:t xml:space="preserve">The representative </w:t>
      </w:r>
      <w:r w:rsidRPr="003821DA" w:rsidR="00157A1E">
        <w:rPr>
          <w:rFonts w:eastAsia="Times New Roman"/>
          <w:lang w:eastAsia="fr-FR"/>
        </w:rPr>
        <w:t>further</w:t>
      </w:r>
      <w:r w:rsidRPr="003821DA" w:rsidR="00FB7B4A">
        <w:rPr>
          <w:rFonts w:eastAsia="Times New Roman"/>
          <w:lang w:eastAsia="fr-FR"/>
        </w:rPr>
        <w:t xml:space="preserve"> argued that the applicant</w:t>
      </w:r>
      <w:r w:rsidRPr="003821DA" w:rsidR="003821DA">
        <w:rPr>
          <w:rFonts w:eastAsia="Times New Roman"/>
          <w:lang w:eastAsia="fr-FR"/>
        </w:rPr>
        <w:t>’</w:t>
      </w:r>
      <w:r w:rsidRPr="003821DA" w:rsidR="00FB7B4A">
        <w:rPr>
          <w:rFonts w:eastAsia="Times New Roman"/>
          <w:lang w:eastAsia="fr-FR"/>
        </w:rPr>
        <w:t xml:space="preserve">s sleeping place and </w:t>
      </w:r>
      <w:r w:rsidRPr="003821DA" w:rsidR="00C618DE">
        <w:rPr>
          <w:rFonts w:eastAsia="Times New Roman"/>
          <w:lang w:eastAsia="fr-FR"/>
        </w:rPr>
        <w:t xml:space="preserve">cell </w:t>
      </w:r>
      <w:r w:rsidRPr="003821DA" w:rsidR="00FB7B4A">
        <w:rPr>
          <w:rFonts w:eastAsia="Times New Roman"/>
          <w:lang w:eastAsia="fr-FR"/>
        </w:rPr>
        <w:t xml:space="preserve">toilet were outside the </w:t>
      </w:r>
      <w:r w:rsidRPr="003821DA" w:rsidR="004A4AC7">
        <w:rPr>
          <w:rFonts w:eastAsia="Times New Roman"/>
          <w:lang w:eastAsia="fr-FR"/>
        </w:rPr>
        <w:t xml:space="preserve">CCTV </w:t>
      </w:r>
      <w:r w:rsidRPr="003821DA" w:rsidR="00FB7B4A">
        <w:rPr>
          <w:rFonts w:eastAsia="Times New Roman"/>
          <w:lang w:eastAsia="fr-FR"/>
        </w:rPr>
        <w:t>camera</w:t>
      </w:r>
      <w:r w:rsidRPr="003821DA" w:rsidR="003821DA">
        <w:rPr>
          <w:rFonts w:eastAsia="Times New Roman"/>
          <w:lang w:eastAsia="fr-FR"/>
        </w:rPr>
        <w:t>’</w:t>
      </w:r>
      <w:r w:rsidRPr="003821DA" w:rsidR="00FB7B4A">
        <w:rPr>
          <w:rFonts w:eastAsia="Times New Roman"/>
          <w:lang w:eastAsia="fr-FR"/>
        </w:rPr>
        <w:t xml:space="preserve">s </w:t>
      </w:r>
      <w:r w:rsidRPr="003821DA" w:rsidR="000B2E58">
        <w:rPr>
          <w:rFonts w:eastAsia="Times New Roman"/>
          <w:lang w:eastAsia="fr-FR"/>
        </w:rPr>
        <w:t>field of view</w:t>
      </w:r>
      <w:r w:rsidRPr="003821DA" w:rsidR="00FB7B4A">
        <w:rPr>
          <w:rFonts w:eastAsia="Times New Roman"/>
          <w:lang w:eastAsia="fr-FR"/>
        </w:rPr>
        <w:t>.</w:t>
      </w:r>
    </w:p>
    <w:p w:rsidRPr="003821DA" w:rsidR="0030251F" w:rsidP="003821DA" w:rsidRDefault="0040067B">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25</w:t>
      </w:r>
      <w:r w:rsidRPr="003821DA">
        <w:rPr>
          <w:rFonts w:eastAsia="Times New Roman"/>
          <w:lang w:eastAsia="fr-FR"/>
        </w:rPr>
        <w:fldChar w:fldCharType="end"/>
      </w:r>
      <w:r w:rsidRPr="003821DA">
        <w:rPr>
          <w:rFonts w:eastAsia="Times New Roman"/>
          <w:lang w:eastAsia="fr-FR"/>
        </w:rPr>
        <w:t xml:space="preserve">.  In a judgment of 5 July </w:t>
      </w:r>
      <w:proofErr w:type="gramStart"/>
      <w:r w:rsidRPr="003821DA">
        <w:rPr>
          <w:rFonts w:eastAsia="Times New Roman"/>
          <w:lang w:eastAsia="fr-FR"/>
        </w:rPr>
        <w:t>2013</w:t>
      </w:r>
      <w:proofErr w:type="gramEnd"/>
      <w:r w:rsidRPr="003821DA">
        <w:rPr>
          <w:rFonts w:eastAsia="Times New Roman"/>
          <w:lang w:eastAsia="fr-FR"/>
        </w:rPr>
        <w:t xml:space="preserve"> the District Court </w:t>
      </w:r>
      <w:r w:rsidRPr="003821DA" w:rsidR="000B2E58">
        <w:rPr>
          <w:rFonts w:eastAsia="Times New Roman"/>
          <w:lang w:eastAsia="fr-FR"/>
        </w:rPr>
        <w:t xml:space="preserve">dismissed </w:t>
      </w:r>
      <w:r w:rsidRPr="003821DA" w:rsidR="00B9663D">
        <w:rPr>
          <w:rFonts w:eastAsia="Times New Roman"/>
          <w:lang w:eastAsia="fr-FR"/>
        </w:rPr>
        <w:t>t</w:t>
      </w:r>
      <w:r w:rsidRPr="003821DA" w:rsidR="0030251F">
        <w:rPr>
          <w:rFonts w:eastAsia="Times New Roman"/>
          <w:lang w:eastAsia="fr-FR"/>
        </w:rPr>
        <w:t>he third applicant</w:t>
      </w:r>
      <w:r w:rsidRPr="003821DA" w:rsidR="003821DA">
        <w:rPr>
          <w:rFonts w:eastAsia="Times New Roman"/>
          <w:lang w:eastAsia="fr-FR"/>
        </w:rPr>
        <w:t>’</w:t>
      </w:r>
      <w:r w:rsidRPr="003821DA" w:rsidR="0030251F">
        <w:rPr>
          <w:rFonts w:eastAsia="Times New Roman"/>
          <w:lang w:eastAsia="fr-FR"/>
        </w:rPr>
        <w:t>s complaint.</w:t>
      </w:r>
    </w:p>
    <w:p w:rsidRPr="003821DA" w:rsidR="0030251F" w:rsidP="003821DA" w:rsidRDefault="0030251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26</w:t>
      </w:r>
      <w:r w:rsidRPr="003821DA">
        <w:rPr>
          <w:rFonts w:eastAsia="Times New Roman"/>
          <w:lang w:eastAsia="fr-FR"/>
        </w:rPr>
        <w:fldChar w:fldCharType="end"/>
      </w:r>
      <w:r w:rsidRPr="003821DA">
        <w:rPr>
          <w:rFonts w:eastAsia="Times New Roman"/>
          <w:lang w:eastAsia="fr-FR"/>
        </w:rPr>
        <w:t xml:space="preserve">.  It found it established that </w:t>
      </w:r>
      <w:r w:rsidRPr="003821DA" w:rsidR="008E6491">
        <w:rPr>
          <w:rFonts w:eastAsia="Times New Roman"/>
          <w:lang w:eastAsia="fr-FR"/>
        </w:rPr>
        <w:t>the third applicant</w:t>
      </w:r>
      <w:r w:rsidRPr="003821DA" w:rsidR="003821DA">
        <w:rPr>
          <w:rFonts w:eastAsia="Times New Roman"/>
          <w:lang w:eastAsia="fr-FR"/>
        </w:rPr>
        <w:t>’</w:t>
      </w:r>
      <w:r w:rsidRPr="003821DA" w:rsidR="008E6491">
        <w:rPr>
          <w:rFonts w:eastAsia="Times New Roman"/>
          <w:lang w:eastAsia="fr-FR"/>
        </w:rPr>
        <w:t>s cell</w:t>
      </w:r>
      <w:r w:rsidRPr="003821DA" w:rsidR="008A7498">
        <w:rPr>
          <w:rFonts w:eastAsia="Times New Roman"/>
          <w:lang w:eastAsia="fr-FR"/>
        </w:rPr>
        <w:t xml:space="preserve"> and</w:t>
      </w:r>
      <w:r w:rsidRPr="003821DA" w:rsidR="008E6491">
        <w:rPr>
          <w:rFonts w:eastAsia="Times New Roman"/>
          <w:lang w:eastAsia="fr-FR"/>
        </w:rPr>
        <w:t xml:space="preserve"> all the other cells in </w:t>
      </w:r>
      <w:r w:rsidRPr="003821DA" w:rsidR="00612239">
        <w:rPr>
          <w:rFonts w:eastAsia="Times New Roman"/>
          <w:lang w:eastAsia="fr-FR"/>
        </w:rPr>
        <w:t>pre-tri</w:t>
      </w:r>
      <w:r w:rsidRPr="003821DA" w:rsidR="008A7498">
        <w:rPr>
          <w:rFonts w:eastAsia="Times New Roman"/>
          <w:lang w:eastAsia="fr-FR"/>
        </w:rPr>
        <w:t>a</w:t>
      </w:r>
      <w:r w:rsidRPr="003821DA" w:rsidR="00612239">
        <w:rPr>
          <w:rFonts w:eastAsia="Times New Roman"/>
          <w:lang w:eastAsia="fr-FR"/>
        </w:rPr>
        <w:t>l detention</w:t>
      </w:r>
      <w:r w:rsidRPr="003821DA" w:rsidR="008E6491">
        <w:rPr>
          <w:rFonts w:eastAsia="Times New Roman"/>
          <w:lang w:eastAsia="fr-FR"/>
        </w:rPr>
        <w:t xml:space="preserve"> centre IZ-1 were equipped with CCTV cameras located under the ceiling for the purpose</w:t>
      </w:r>
      <w:r w:rsidRPr="003821DA" w:rsidR="00C618DE">
        <w:rPr>
          <w:rFonts w:eastAsia="Times New Roman"/>
          <w:lang w:eastAsia="fr-FR"/>
        </w:rPr>
        <w:t>s</w:t>
      </w:r>
      <w:r w:rsidRPr="003821DA" w:rsidR="008E6491">
        <w:rPr>
          <w:rFonts w:eastAsia="Times New Roman"/>
          <w:lang w:eastAsia="fr-FR"/>
        </w:rPr>
        <w:t xml:space="preserve"> of surveillance </w:t>
      </w:r>
      <w:r w:rsidRPr="003821DA" w:rsidR="008A7498">
        <w:rPr>
          <w:rFonts w:eastAsia="Times New Roman"/>
          <w:lang w:eastAsia="fr-FR"/>
        </w:rPr>
        <w:t xml:space="preserve">of </w:t>
      </w:r>
      <w:r w:rsidRPr="003821DA" w:rsidR="008E6491">
        <w:rPr>
          <w:rFonts w:eastAsia="Times New Roman"/>
          <w:lang w:eastAsia="fr-FR"/>
        </w:rPr>
        <w:t xml:space="preserve">detainees. It further </w:t>
      </w:r>
      <w:r w:rsidRPr="003821DA" w:rsidR="00E36FB8">
        <w:rPr>
          <w:rFonts w:eastAsia="Times New Roman"/>
          <w:lang w:eastAsia="fr-FR"/>
        </w:rPr>
        <w:t xml:space="preserve">accepted the argument of the </w:t>
      </w:r>
      <w:r w:rsidRPr="003821DA" w:rsidR="00612239">
        <w:rPr>
          <w:rFonts w:eastAsia="Times New Roman"/>
          <w:lang w:eastAsia="fr-FR"/>
        </w:rPr>
        <w:t>detention</w:t>
      </w:r>
      <w:r w:rsidRPr="003821DA" w:rsidR="00E36FB8">
        <w:rPr>
          <w:rFonts w:eastAsia="Times New Roman"/>
          <w:lang w:eastAsia="fr-FR"/>
        </w:rPr>
        <w:t xml:space="preserve"> centre </w:t>
      </w:r>
      <w:r w:rsidRPr="003821DA" w:rsidR="00AB2A83">
        <w:rPr>
          <w:rFonts w:eastAsia="Times New Roman"/>
          <w:lang w:eastAsia="fr-FR"/>
        </w:rPr>
        <w:t>authorities</w:t>
      </w:r>
      <w:r w:rsidRPr="003821DA" w:rsidR="00E36FB8">
        <w:rPr>
          <w:rFonts w:eastAsia="Times New Roman"/>
          <w:lang w:eastAsia="fr-FR"/>
        </w:rPr>
        <w:t xml:space="preserve"> that the toilet and sleeping place were outside the camera</w:t>
      </w:r>
      <w:r w:rsidRPr="003821DA" w:rsidR="003821DA">
        <w:rPr>
          <w:rFonts w:eastAsia="Times New Roman"/>
          <w:lang w:eastAsia="fr-FR"/>
        </w:rPr>
        <w:t>’</w:t>
      </w:r>
      <w:r w:rsidRPr="003821DA" w:rsidR="00E36FB8">
        <w:rPr>
          <w:rFonts w:eastAsia="Times New Roman"/>
          <w:lang w:eastAsia="fr-FR"/>
        </w:rPr>
        <w:t xml:space="preserve">s </w:t>
      </w:r>
      <w:r w:rsidRPr="003821DA" w:rsidR="008A7498">
        <w:rPr>
          <w:rFonts w:eastAsia="Times New Roman"/>
          <w:lang w:eastAsia="fr-FR"/>
        </w:rPr>
        <w:t>field of view</w:t>
      </w:r>
      <w:r w:rsidRPr="003821DA" w:rsidR="00E36FB8">
        <w:rPr>
          <w:rFonts w:eastAsia="Times New Roman"/>
          <w:lang w:eastAsia="fr-FR"/>
        </w:rPr>
        <w:t>.</w:t>
      </w:r>
    </w:p>
    <w:bookmarkStart w:name="Jud5Jul2013ExecOrder204And166" w:id="9"/>
    <w:p w:rsidRPr="003821DA" w:rsidR="00E516B9" w:rsidP="003821DA" w:rsidRDefault="0030251F">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27</w:t>
      </w:r>
      <w:r w:rsidRPr="003821DA">
        <w:rPr>
          <w:rFonts w:eastAsia="Times New Roman"/>
          <w:lang w:eastAsia="fr-FR"/>
        </w:rPr>
        <w:fldChar w:fldCharType="end"/>
      </w:r>
      <w:bookmarkEnd w:id="9"/>
      <w:r w:rsidRPr="003821DA">
        <w:rPr>
          <w:rFonts w:eastAsia="Times New Roman"/>
          <w:lang w:eastAsia="fr-FR"/>
        </w:rPr>
        <w:t>.  </w:t>
      </w:r>
      <w:r w:rsidRPr="003821DA" w:rsidR="00E36FB8">
        <w:rPr>
          <w:rFonts w:eastAsia="Times New Roman"/>
          <w:lang w:eastAsia="fr-FR"/>
        </w:rPr>
        <w:t>The court further</w:t>
      </w:r>
      <w:r w:rsidRPr="003821DA" w:rsidR="00FB7B4A">
        <w:rPr>
          <w:rFonts w:eastAsia="Times New Roman"/>
          <w:lang w:eastAsia="fr-FR"/>
        </w:rPr>
        <w:t xml:space="preserve"> </w:t>
      </w:r>
      <w:r w:rsidRPr="003821DA" w:rsidR="00422E04">
        <w:rPr>
          <w:rFonts w:eastAsia="Times New Roman"/>
          <w:lang w:eastAsia="fr-FR"/>
        </w:rPr>
        <w:t>observed that</w:t>
      </w:r>
      <w:r w:rsidRPr="003821DA" w:rsidR="00FB7B4A">
        <w:rPr>
          <w:rFonts w:eastAsia="Times New Roman"/>
          <w:lang w:eastAsia="fr-FR"/>
        </w:rPr>
        <w:t xml:space="preserve"> Article 83 of the Russian Code of Execution of Criminal Sentences (see paragraph </w:t>
      </w:r>
      <w:r w:rsidRPr="003821DA" w:rsidR="00591E52">
        <w:rPr>
          <w:rFonts w:eastAsia="Times New Roman"/>
          <w:lang w:eastAsia="fr-FR"/>
        </w:rPr>
        <w:fldChar w:fldCharType="begin"/>
      </w:r>
      <w:r w:rsidRPr="003821DA" w:rsidR="00591E52">
        <w:rPr>
          <w:rFonts w:eastAsia="Times New Roman"/>
          <w:lang w:eastAsia="fr-FR"/>
        </w:rPr>
        <w:instrText xml:space="preserve"> REF ExecutionCriminalSentencesCode \h  \* MERGEFORMAT </w:instrText>
      </w:r>
      <w:r w:rsidRPr="003821DA" w:rsidR="00591E52">
        <w:rPr>
          <w:rFonts w:eastAsia="Times New Roman"/>
          <w:lang w:eastAsia="fr-FR"/>
        </w:rPr>
      </w:r>
      <w:r w:rsidRPr="003821DA" w:rsidR="00591E52">
        <w:rPr>
          <w:rFonts w:eastAsia="Times New Roman"/>
          <w:lang w:eastAsia="fr-FR"/>
        </w:rPr>
        <w:fldChar w:fldCharType="separate"/>
      </w:r>
      <w:r w:rsidRPr="003821DA" w:rsidR="003821DA">
        <w:rPr>
          <w:noProof/>
        </w:rPr>
        <w:t>33</w:t>
      </w:r>
      <w:r w:rsidRPr="003821DA" w:rsidR="00591E52">
        <w:rPr>
          <w:rFonts w:eastAsia="Times New Roman"/>
          <w:lang w:eastAsia="fr-FR"/>
        </w:rPr>
        <w:fldChar w:fldCharType="end"/>
      </w:r>
      <w:r w:rsidRPr="003821DA" w:rsidR="00591E52">
        <w:rPr>
          <w:rFonts w:eastAsia="Times New Roman"/>
          <w:lang w:eastAsia="fr-FR"/>
        </w:rPr>
        <w:t xml:space="preserve"> </w:t>
      </w:r>
      <w:r w:rsidRPr="003821DA" w:rsidR="00E36FB8">
        <w:rPr>
          <w:rFonts w:eastAsia="Times New Roman"/>
          <w:lang w:eastAsia="fr-FR"/>
        </w:rPr>
        <w:t>below) and</w:t>
      </w:r>
      <w:r w:rsidRPr="003821DA" w:rsidR="00FB7B4A">
        <w:rPr>
          <w:rFonts w:eastAsia="Times New Roman"/>
          <w:lang w:eastAsia="fr-FR"/>
        </w:rPr>
        <w:t xml:space="preserve"> section 34(1) of the Pre-trial Detention Act (see paragraph </w:t>
      </w:r>
      <w:r w:rsidRPr="003821DA" w:rsidR="009573FF">
        <w:rPr>
          <w:rFonts w:eastAsia="Times New Roman"/>
          <w:lang w:eastAsia="fr-FR"/>
        </w:rPr>
        <w:fldChar w:fldCharType="begin"/>
      </w:r>
      <w:r w:rsidRPr="003821DA" w:rsidR="009573FF">
        <w:rPr>
          <w:rFonts w:eastAsia="Times New Roman"/>
          <w:lang w:eastAsia="fr-FR"/>
        </w:rPr>
        <w:instrText xml:space="preserve"> REF PreTrialDetentionAct \h  \* MERGEFORMAT </w:instrText>
      </w:r>
      <w:r w:rsidRPr="003821DA" w:rsidR="009573FF">
        <w:rPr>
          <w:rFonts w:eastAsia="Times New Roman"/>
          <w:lang w:eastAsia="fr-FR"/>
        </w:rPr>
      </w:r>
      <w:r w:rsidRPr="003821DA" w:rsidR="009573FF">
        <w:rPr>
          <w:rFonts w:eastAsia="Times New Roman"/>
          <w:lang w:eastAsia="fr-FR"/>
        </w:rPr>
        <w:fldChar w:fldCharType="separate"/>
      </w:r>
      <w:r w:rsidRPr="003821DA" w:rsidR="003821DA">
        <w:rPr>
          <w:noProof/>
          <w:lang w:bidi="en-US"/>
        </w:rPr>
        <w:t>34</w:t>
      </w:r>
      <w:r w:rsidRPr="003821DA" w:rsidR="009573FF">
        <w:rPr>
          <w:rFonts w:eastAsia="Times New Roman"/>
          <w:lang w:eastAsia="fr-FR"/>
        </w:rPr>
        <w:fldChar w:fldCharType="end"/>
      </w:r>
      <w:r w:rsidRPr="003821DA" w:rsidR="009573FF">
        <w:rPr>
          <w:rFonts w:eastAsia="Times New Roman"/>
          <w:lang w:eastAsia="fr-FR"/>
        </w:rPr>
        <w:t xml:space="preserve"> </w:t>
      </w:r>
      <w:r w:rsidRPr="003821DA" w:rsidR="00FB7B4A">
        <w:rPr>
          <w:rFonts w:eastAsia="Times New Roman"/>
          <w:lang w:eastAsia="fr-FR"/>
        </w:rPr>
        <w:t xml:space="preserve">below) </w:t>
      </w:r>
      <w:r w:rsidRPr="003821DA" w:rsidR="00E36FB8">
        <w:rPr>
          <w:rFonts w:eastAsia="Times New Roman"/>
          <w:lang w:eastAsia="fr-FR"/>
        </w:rPr>
        <w:t xml:space="preserve">enabled the use of audio and video equipment for </w:t>
      </w:r>
      <w:r w:rsidRPr="003821DA" w:rsidR="0011264E">
        <w:rPr>
          <w:rFonts w:eastAsia="Times New Roman"/>
          <w:lang w:eastAsia="fr-FR"/>
        </w:rPr>
        <w:t>surveillance</w:t>
      </w:r>
      <w:r w:rsidRPr="003821DA" w:rsidR="00E36FB8">
        <w:rPr>
          <w:rFonts w:eastAsia="Times New Roman"/>
          <w:lang w:eastAsia="fr-FR"/>
        </w:rPr>
        <w:t xml:space="preserve"> and control with a view to preventing escapes and other crimes</w:t>
      </w:r>
      <w:r w:rsidRPr="003821DA" w:rsidR="00B159ED">
        <w:rPr>
          <w:rFonts w:eastAsia="Times New Roman"/>
          <w:lang w:eastAsia="fr-FR"/>
        </w:rPr>
        <w:t xml:space="preserve"> or</w:t>
      </w:r>
      <w:r w:rsidRPr="003821DA" w:rsidR="00A139CA">
        <w:rPr>
          <w:rFonts w:eastAsia="Times New Roman"/>
          <w:lang w:eastAsia="fr-FR"/>
        </w:rPr>
        <w:t xml:space="preserve"> </w:t>
      </w:r>
      <w:r w:rsidRPr="003821DA" w:rsidR="00E36FB8">
        <w:rPr>
          <w:rFonts w:eastAsia="Times New Roman"/>
          <w:lang w:eastAsia="fr-FR"/>
        </w:rPr>
        <w:t>breach</w:t>
      </w:r>
      <w:r w:rsidRPr="003821DA" w:rsidR="00A139CA">
        <w:rPr>
          <w:rFonts w:eastAsia="Times New Roman"/>
          <w:lang w:eastAsia="fr-FR"/>
        </w:rPr>
        <w:t>es</w:t>
      </w:r>
      <w:r w:rsidRPr="003821DA" w:rsidR="00E36FB8">
        <w:rPr>
          <w:rFonts w:eastAsia="Times New Roman"/>
          <w:lang w:eastAsia="fr-FR"/>
        </w:rPr>
        <w:t xml:space="preserve"> of internal order. </w:t>
      </w:r>
      <w:proofErr w:type="gramStart"/>
      <w:r w:rsidRPr="003821DA" w:rsidR="00E36FB8">
        <w:rPr>
          <w:rFonts w:eastAsia="Times New Roman"/>
          <w:lang w:eastAsia="fr-FR"/>
        </w:rPr>
        <w:t>Moreover, th</w:t>
      </w:r>
      <w:r w:rsidRPr="003821DA" w:rsidR="00C618DE">
        <w:rPr>
          <w:rFonts w:eastAsia="Times New Roman"/>
          <w:lang w:eastAsia="fr-FR"/>
        </w:rPr>
        <w:t xml:space="preserve">ose </w:t>
      </w:r>
      <w:r w:rsidRPr="003821DA" w:rsidR="00E36FB8">
        <w:rPr>
          <w:rFonts w:eastAsia="Times New Roman"/>
          <w:lang w:eastAsia="fr-FR"/>
        </w:rPr>
        <w:t xml:space="preserve">legal </w:t>
      </w:r>
      <w:r w:rsidRPr="003821DA" w:rsidR="00EF6F22">
        <w:rPr>
          <w:rFonts w:eastAsia="Times New Roman"/>
          <w:lang w:eastAsia="fr-FR"/>
        </w:rPr>
        <w:t>instruments</w:t>
      </w:r>
      <w:r w:rsidRPr="003821DA" w:rsidR="00C618DE">
        <w:rPr>
          <w:rFonts w:eastAsia="Times New Roman"/>
          <w:lang w:eastAsia="fr-FR"/>
        </w:rPr>
        <w:t xml:space="preserve">, </w:t>
      </w:r>
      <w:r w:rsidRPr="003821DA" w:rsidR="00E36FB8">
        <w:rPr>
          <w:rFonts w:eastAsia="Times New Roman"/>
          <w:lang w:eastAsia="fr-FR"/>
        </w:rPr>
        <w:t xml:space="preserve">as well as the relevant </w:t>
      </w:r>
      <w:r w:rsidRPr="003821DA" w:rsidR="00E80758">
        <w:rPr>
          <w:rFonts w:eastAsia="Times New Roman"/>
          <w:lang w:eastAsia="fr-FR"/>
        </w:rPr>
        <w:t xml:space="preserve">regulations </w:t>
      </w:r>
      <w:r w:rsidRPr="003821DA" w:rsidR="00416568">
        <w:rPr>
          <w:rFonts w:eastAsia="Times New Roman"/>
          <w:lang w:eastAsia="fr-FR"/>
        </w:rPr>
        <w:t>of the Russian Ministry of Justice</w:t>
      </w:r>
      <w:r w:rsidRPr="003821DA" w:rsidR="00E80758">
        <w:rPr>
          <w:rFonts w:eastAsia="Times New Roman"/>
          <w:lang w:eastAsia="fr-FR"/>
        </w:rPr>
        <w:t xml:space="preserve">, including </w:t>
      </w:r>
      <w:r w:rsidRPr="003821DA" w:rsidR="00EC4FA6">
        <w:rPr>
          <w:rFonts w:eastAsia="Times New Roman"/>
          <w:lang w:eastAsia="fr-FR"/>
        </w:rPr>
        <w:t xml:space="preserve">executive order </w:t>
      </w:r>
      <w:r w:rsidRPr="003821DA" w:rsidR="00E80758">
        <w:rPr>
          <w:rFonts w:eastAsia="Times New Roman"/>
          <w:lang w:eastAsia="fr-FR"/>
        </w:rPr>
        <w:t>no. 204-</w:t>
      </w:r>
      <w:r w:rsidRPr="003821DA" w:rsidR="009573FF">
        <w:rPr>
          <w:rFonts w:eastAsia="Times New Roman"/>
          <w:lang w:eastAsia="fr-FR"/>
        </w:rPr>
        <w:t>dsp</w:t>
      </w:r>
      <w:r w:rsidRPr="003821DA" w:rsidR="00E80758">
        <w:rPr>
          <w:rFonts w:eastAsia="Times New Roman"/>
          <w:lang w:eastAsia="fr-FR"/>
        </w:rPr>
        <w:t xml:space="preserve"> of 3</w:t>
      </w:r>
      <w:r w:rsidRPr="003821DA" w:rsidR="000F741E">
        <w:rPr>
          <w:rFonts w:eastAsia="Times New Roman"/>
          <w:lang w:eastAsia="fr-FR"/>
        </w:rPr>
        <w:t> </w:t>
      </w:r>
      <w:r w:rsidRPr="003821DA" w:rsidR="00E80758">
        <w:rPr>
          <w:rFonts w:eastAsia="Times New Roman"/>
          <w:lang w:eastAsia="fr-FR"/>
        </w:rPr>
        <w:t>November 2005</w:t>
      </w:r>
      <w:r w:rsidRPr="003821DA" w:rsidR="009573FF">
        <w:rPr>
          <w:rFonts w:eastAsia="Times New Roman"/>
          <w:lang w:eastAsia="fr-FR"/>
        </w:rPr>
        <w:t>, as amended on 25 May 2011</w:t>
      </w:r>
      <w:r w:rsidRPr="003821DA" w:rsidR="00E80758">
        <w:rPr>
          <w:rFonts w:eastAsia="Times New Roman"/>
          <w:lang w:eastAsia="fr-FR"/>
        </w:rPr>
        <w:t xml:space="preserve"> (see paragraph</w:t>
      </w:r>
      <w:r w:rsidRPr="003821DA" w:rsidR="009573FF">
        <w:rPr>
          <w:rFonts w:eastAsia="Times New Roman"/>
          <w:lang w:eastAsia="fr-FR"/>
        </w:rPr>
        <w:t xml:space="preserve">s </w:t>
      </w:r>
      <w:r w:rsidRPr="003821DA" w:rsidR="009573FF">
        <w:rPr>
          <w:rFonts w:eastAsia="Times New Roman"/>
          <w:lang w:eastAsia="fr-FR"/>
        </w:rPr>
        <w:fldChar w:fldCharType="begin"/>
      </w:r>
      <w:r w:rsidRPr="003821DA" w:rsidR="009573FF">
        <w:rPr>
          <w:rFonts w:eastAsia="Times New Roman"/>
          <w:lang w:eastAsia="fr-FR"/>
        </w:rPr>
        <w:instrText xml:space="preserve"> REF ExecutiveOrder204dsp \h  \* MERGEFORMAT </w:instrText>
      </w:r>
      <w:r w:rsidRPr="003821DA" w:rsidR="009573FF">
        <w:rPr>
          <w:rFonts w:eastAsia="Times New Roman"/>
          <w:lang w:eastAsia="fr-FR"/>
        </w:rPr>
      </w:r>
      <w:r w:rsidRPr="003821DA" w:rsidR="009573FF">
        <w:rPr>
          <w:rFonts w:eastAsia="Times New Roman"/>
          <w:lang w:eastAsia="fr-FR"/>
        </w:rPr>
        <w:fldChar w:fldCharType="separate"/>
      </w:r>
      <w:r w:rsidRPr="003821DA" w:rsidR="003821DA">
        <w:rPr>
          <w:noProof/>
        </w:rPr>
        <w:t>35</w:t>
      </w:r>
      <w:r w:rsidRPr="003821DA" w:rsidR="009573FF">
        <w:rPr>
          <w:rFonts w:eastAsia="Times New Roman"/>
          <w:lang w:eastAsia="fr-FR"/>
        </w:rPr>
        <w:fldChar w:fldCharType="end"/>
      </w:r>
      <w:r w:rsidRPr="003821DA" w:rsidR="009573FF">
        <w:rPr>
          <w:rFonts w:eastAsia="Times New Roman"/>
          <w:lang w:eastAsia="fr-FR"/>
        </w:rPr>
        <w:t>-</w:t>
      </w:r>
      <w:r w:rsidRPr="003821DA" w:rsidR="00732146">
        <w:rPr>
          <w:rFonts w:eastAsia="Times New Roman"/>
          <w:lang w:eastAsia="fr-FR"/>
        </w:rPr>
        <w:fldChar w:fldCharType="begin"/>
      </w:r>
      <w:r w:rsidRPr="003821DA" w:rsidR="00732146">
        <w:rPr>
          <w:rFonts w:eastAsia="Times New Roman"/>
          <w:lang w:eastAsia="fr-FR"/>
        </w:rPr>
        <w:instrText xml:space="preserve"> REF ExecutiveOrder166dsp \h </w:instrText>
      </w:r>
      <w:r w:rsidRPr="003821DA" w:rsidR="00F10A05">
        <w:rPr>
          <w:rFonts w:eastAsia="Times New Roman"/>
          <w:lang w:eastAsia="fr-FR"/>
        </w:rPr>
        <w:instrText xml:space="preserve">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38</w:t>
      </w:r>
      <w:r w:rsidRPr="003821DA" w:rsidR="00732146">
        <w:rPr>
          <w:rFonts w:eastAsia="Times New Roman"/>
          <w:lang w:eastAsia="fr-FR"/>
        </w:rPr>
        <w:fldChar w:fldCharType="end"/>
      </w:r>
      <w:r w:rsidRPr="003821DA" w:rsidR="00E80758">
        <w:rPr>
          <w:rFonts w:eastAsia="Times New Roman"/>
          <w:lang w:eastAsia="fr-FR"/>
        </w:rPr>
        <w:t xml:space="preserve"> below)</w:t>
      </w:r>
      <w:r w:rsidRPr="003821DA" w:rsidR="009573FF">
        <w:rPr>
          <w:rFonts w:eastAsia="Times New Roman"/>
          <w:lang w:eastAsia="fr-FR"/>
        </w:rPr>
        <w:t>,</w:t>
      </w:r>
      <w:r w:rsidRPr="003821DA" w:rsidR="00E80758">
        <w:rPr>
          <w:rFonts w:eastAsia="Times New Roman"/>
          <w:lang w:eastAsia="fr-FR"/>
        </w:rPr>
        <w:t xml:space="preserve"> </w:t>
      </w:r>
      <w:r w:rsidRPr="003821DA" w:rsidR="00422E04">
        <w:rPr>
          <w:rFonts w:eastAsia="Times New Roman"/>
          <w:lang w:eastAsia="fr-FR"/>
        </w:rPr>
        <w:t>provided that only body search</w:t>
      </w:r>
      <w:r w:rsidRPr="003821DA" w:rsidR="00C618DE">
        <w:rPr>
          <w:rFonts w:eastAsia="Times New Roman"/>
          <w:lang w:eastAsia="fr-FR"/>
        </w:rPr>
        <w:t>es</w:t>
      </w:r>
      <w:r w:rsidRPr="003821DA" w:rsidR="00422E04">
        <w:rPr>
          <w:rFonts w:eastAsia="Times New Roman"/>
          <w:lang w:eastAsia="fr-FR"/>
        </w:rPr>
        <w:t xml:space="preserve"> and supervision of detainees during hygienic procedures should be performed by officers of the same sex, whereas surveillance </w:t>
      </w:r>
      <w:r w:rsidRPr="003821DA" w:rsidR="009534D8">
        <w:rPr>
          <w:rFonts w:eastAsia="Times New Roman"/>
          <w:lang w:eastAsia="fr-FR"/>
        </w:rPr>
        <w:t>of</w:t>
      </w:r>
      <w:r w:rsidRPr="003821DA" w:rsidR="00422E04">
        <w:rPr>
          <w:rFonts w:eastAsia="Times New Roman"/>
          <w:lang w:eastAsia="fr-FR"/>
        </w:rPr>
        <w:t xml:space="preserve"> cells by </w:t>
      </w:r>
      <w:r w:rsidRPr="003821DA" w:rsidR="00093C97">
        <w:rPr>
          <w:rFonts w:eastAsia="Times New Roman"/>
          <w:lang w:eastAsia="fr-FR"/>
        </w:rPr>
        <w:t xml:space="preserve">CCTV </w:t>
      </w:r>
      <w:r w:rsidRPr="003821DA" w:rsidR="00422E04">
        <w:rPr>
          <w:rFonts w:eastAsia="Times New Roman"/>
          <w:lang w:eastAsia="fr-FR"/>
        </w:rPr>
        <w:t xml:space="preserve">cameras by officers of the opposite sex </w:t>
      </w:r>
      <w:r w:rsidRPr="003821DA" w:rsidR="009534D8">
        <w:rPr>
          <w:rFonts w:eastAsia="Times New Roman"/>
          <w:lang w:eastAsia="fr-FR"/>
        </w:rPr>
        <w:t xml:space="preserve">was </w:t>
      </w:r>
      <w:r w:rsidRPr="003821DA" w:rsidR="00BF3576">
        <w:rPr>
          <w:rFonts w:eastAsia="Times New Roman"/>
          <w:lang w:eastAsia="fr-FR"/>
        </w:rPr>
        <w:t>not prohibited by the above-mentioned legal instruments</w:t>
      </w:r>
      <w:r w:rsidRPr="003821DA" w:rsidR="00422E04">
        <w:rPr>
          <w:rFonts w:eastAsia="Times New Roman"/>
          <w:lang w:eastAsia="fr-FR"/>
        </w:rPr>
        <w:t>.</w:t>
      </w:r>
      <w:proofErr w:type="gramEnd"/>
      <w:r w:rsidRPr="003821DA" w:rsidR="00422E04">
        <w:rPr>
          <w:rFonts w:eastAsia="Times New Roman"/>
          <w:lang w:eastAsia="fr-FR"/>
        </w:rPr>
        <w:t xml:space="preserve"> </w:t>
      </w:r>
      <w:r w:rsidRPr="003821DA" w:rsidR="00E516B9">
        <w:rPr>
          <w:rFonts w:eastAsia="Times New Roman"/>
          <w:lang w:eastAsia="fr-FR"/>
        </w:rPr>
        <w:t xml:space="preserve">Officers of </w:t>
      </w:r>
      <w:r w:rsidRPr="003821DA" w:rsidR="00612239">
        <w:rPr>
          <w:rFonts w:eastAsia="Times New Roman"/>
          <w:lang w:eastAsia="fr-FR"/>
        </w:rPr>
        <w:t xml:space="preserve">pre-trial detention </w:t>
      </w:r>
      <w:r w:rsidRPr="003821DA" w:rsidR="00E516B9">
        <w:rPr>
          <w:rFonts w:eastAsia="Times New Roman"/>
          <w:lang w:eastAsia="fr-FR"/>
        </w:rPr>
        <w:t xml:space="preserve">centre </w:t>
      </w:r>
      <w:r w:rsidRPr="003821DA" w:rsidR="00612239">
        <w:rPr>
          <w:rFonts w:eastAsia="Times New Roman"/>
          <w:lang w:eastAsia="fr-FR"/>
        </w:rPr>
        <w:t xml:space="preserve">IZ-1 </w:t>
      </w:r>
      <w:r w:rsidRPr="003821DA" w:rsidR="00E516B9">
        <w:rPr>
          <w:rFonts w:eastAsia="Times New Roman"/>
          <w:lang w:eastAsia="fr-FR"/>
        </w:rPr>
        <w:t xml:space="preserve">were civil servants </w:t>
      </w:r>
      <w:r w:rsidRPr="003821DA" w:rsidR="0050499A">
        <w:rPr>
          <w:rFonts w:eastAsia="Times New Roman"/>
          <w:lang w:eastAsia="fr-FR"/>
        </w:rPr>
        <w:t xml:space="preserve">who </w:t>
      </w:r>
      <w:r w:rsidRPr="003821DA" w:rsidR="00E516B9">
        <w:rPr>
          <w:rFonts w:eastAsia="Times New Roman"/>
          <w:lang w:eastAsia="fr-FR"/>
        </w:rPr>
        <w:t>performed the professional duties within their competence</w:t>
      </w:r>
      <w:r w:rsidRPr="003821DA" w:rsidR="0063088C">
        <w:rPr>
          <w:rFonts w:eastAsia="Times New Roman"/>
          <w:lang w:eastAsia="fr-FR"/>
        </w:rPr>
        <w:t xml:space="preserve">, as established, in particular, by section 21 of </w:t>
      </w:r>
      <w:r w:rsidRPr="003821DA" w:rsidR="00EC4FA6">
        <w:rPr>
          <w:rFonts w:eastAsia="Times New Roman"/>
          <w:lang w:eastAsia="fr-FR"/>
        </w:rPr>
        <w:t xml:space="preserve">executive order </w:t>
      </w:r>
      <w:r w:rsidRPr="003821DA" w:rsidR="0063088C">
        <w:rPr>
          <w:rFonts w:eastAsia="Times New Roman"/>
          <w:lang w:eastAsia="fr-FR"/>
        </w:rPr>
        <w:t xml:space="preserve">no. 204-dsp of 3 November 2005 (see paragraph </w:t>
      </w:r>
      <w:r w:rsidRPr="003821DA" w:rsidR="00002120">
        <w:rPr>
          <w:rFonts w:eastAsia="Times New Roman"/>
          <w:lang w:eastAsia="fr-FR"/>
        </w:rPr>
        <w:fldChar w:fldCharType="begin"/>
      </w:r>
      <w:r w:rsidRPr="003821DA" w:rsidR="00002120">
        <w:rPr>
          <w:rFonts w:eastAsia="Times New Roman"/>
          <w:lang w:eastAsia="fr-FR"/>
        </w:rPr>
        <w:instrText xml:space="preserve"> REF ExecutiveOrder204dspSec21 \h  \* MERGEFORMAT </w:instrText>
      </w:r>
      <w:r w:rsidRPr="003821DA" w:rsidR="00002120">
        <w:rPr>
          <w:rFonts w:eastAsia="Times New Roman"/>
          <w:lang w:eastAsia="fr-FR"/>
        </w:rPr>
      </w:r>
      <w:r w:rsidRPr="003821DA" w:rsidR="00002120">
        <w:rPr>
          <w:rFonts w:eastAsia="Times New Roman"/>
          <w:lang w:eastAsia="fr-FR"/>
        </w:rPr>
        <w:fldChar w:fldCharType="separate"/>
      </w:r>
      <w:r w:rsidRPr="003821DA" w:rsidR="003821DA">
        <w:rPr>
          <w:noProof/>
        </w:rPr>
        <w:t>36</w:t>
      </w:r>
      <w:r w:rsidRPr="003821DA" w:rsidR="00002120">
        <w:rPr>
          <w:rFonts w:eastAsia="Times New Roman"/>
          <w:lang w:eastAsia="fr-FR"/>
        </w:rPr>
        <w:fldChar w:fldCharType="end"/>
      </w:r>
      <w:r w:rsidRPr="003821DA" w:rsidR="00002120">
        <w:rPr>
          <w:rFonts w:eastAsia="Times New Roman"/>
          <w:lang w:eastAsia="fr-FR"/>
        </w:rPr>
        <w:t xml:space="preserve"> </w:t>
      </w:r>
      <w:r w:rsidRPr="003821DA" w:rsidR="0063088C">
        <w:rPr>
          <w:rFonts w:eastAsia="Times New Roman"/>
          <w:lang w:eastAsia="fr-FR"/>
        </w:rPr>
        <w:t>below)</w:t>
      </w:r>
      <w:r w:rsidRPr="003821DA" w:rsidR="00E516B9">
        <w:rPr>
          <w:rFonts w:eastAsia="Times New Roman"/>
          <w:lang w:eastAsia="fr-FR"/>
        </w:rPr>
        <w:t>.</w:t>
      </w:r>
      <w:r w:rsidRPr="003821DA" w:rsidR="00732146">
        <w:rPr>
          <w:rFonts w:eastAsia="Times New Roman"/>
          <w:lang w:eastAsia="fr-FR"/>
        </w:rPr>
        <w:t xml:space="preserve"> In th</w:t>
      </w:r>
      <w:r w:rsidRPr="003821DA" w:rsidR="0063088C">
        <w:rPr>
          <w:rFonts w:eastAsia="Times New Roman"/>
          <w:lang w:eastAsia="fr-FR"/>
        </w:rPr>
        <w:t>at connection</w:t>
      </w:r>
      <w:r w:rsidRPr="003821DA" w:rsidR="00732146">
        <w:rPr>
          <w:rFonts w:eastAsia="Times New Roman"/>
          <w:lang w:eastAsia="fr-FR"/>
        </w:rPr>
        <w:t xml:space="preserve">, the court noted that no evidence </w:t>
      </w:r>
      <w:proofErr w:type="gramStart"/>
      <w:r w:rsidRPr="003821DA" w:rsidR="00732146">
        <w:rPr>
          <w:rFonts w:eastAsia="Times New Roman"/>
          <w:lang w:eastAsia="fr-FR"/>
        </w:rPr>
        <w:t>had been submitted</w:t>
      </w:r>
      <w:proofErr w:type="gramEnd"/>
      <w:r w:rsidRPr="003821DA" w:rsidR="00732146">
        <w:rPr>
          <w:rFonts w:eastAsia="Times New Roman"/>
          <w:lang w:eastAsia="fr-FR"/>
        </w:rPr>
        <w:t xml:space="preserve"> to it to show that the officers of </w:t>
      </w:r>
      <w:r w:rsidRPr="003821DA" w:rsidR="006A722C">
        <w:rPr>
          <w:rFonts w:eastAsia="Times New Roman"/>
          <w:lang w:eastAsia="fr-FR"/>
        </w:rPr>
        <w:t>pre-trial detention</w:t>
      </w:r>
      <w:r w:rsidRPr="003821DA" w:rsidR="00732146">
        <w:rPr>
          <w:rFonts w:eastAsia="Times New Roman"/>
          <w:lang w:eastAsia="fr-FR"/>
        </w:rPr>
        <w:t xml:space="preserve"> centre IZ-1 had breached or acted </w:t>
      </w:r>
      <w:r w:rsidRPr="003821DA" w:rsidR="005304EA">
        <w:rPr>
          <w:rFonts w:eastAsia="Times New Roman"/>
          <w:lang w:eastAsia="fr-FR"/>
        </w:rPr>
        <w:t>outside the scope of</w:t>
      </w:r>
      <w:r w:rsidRPr="003821DA" w:rsidR="00500D77">
        <w:rPr>
          <w:rFonts w:eastAsia="Times New Roman"/>
          <w:lang w:eastAsia="fr-FR"/>
        </w:rPr>
        <w:t xml:space="preserve"> </w:t>
      </w:r>
      <w:r w:rsidRPr="003821DA" w:rsidR="00732146">
        <w:rPr>
          <w:rFonts w:eastAsia="Times New Roman"/>
          <w:lang w:eastAsia="fr-FR"/>
        </w:rPr>
        <w:t>their professional duties.</w:t>
      </w:r>
    </w:p>
    <w:bookmarkStart w:name="Jud5Jul2013PartOfMechanism" w:id="10"/>
    <w:p w:rsidRPr="003821DA" w:rsidR="00732146" w:rsidP="003821DA" w:rsidRDefault="00E516B9">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28</w:t>
      </w:r>
      <w:r w:rsidRPr="003821DA">
        <w:rPr>
          <w:rFonts w:eastAsia="Times New Roman"/>
          <w:lang w:eastAsia="fr-FR"/>
        </w:rPr>
        <w:fldChar w:fldCharType="end"/>
      </w:r>
      <w:bookmarkEnd w:id="10"/>
      <w:r w:rsidRPr="003821DA">
        <w:rPr>
          <w:rFonts w:eastAsia="Times New Roman"/>
          <w:lang w:eastAsia="fr-FR"/>
        </w:rPr>
        <w:t>.  </w:t>
      </w:r>
      <w:proofErr w:type="gramStart"/>
      <w:r w:rsidRPr="003821DA" w:rsidR="007733DF">
        <w:rPr>
          <w:rFonts w:eastAsia="Times New Roman"/>
          <w:lang w:eastAsia="fr-FR"/>
        </w:rPr>
        <w:t xml:space="preserve">The District Court also pointed out that decision </w:t>
      </w:r>
      <w:r w:rsidRPr="003821DA" w:rsidR="0063088C">
        <w:rPr>
          <w:rFonts w:eastAsia="Times New Roman"/>
          <w:lang w:eastAsia="fr-FR"/>
        </w:rPr>
        <w:t xml:space="preserve">no. 1393-O-O </w:t>
      </w:r>
      <w:r w:rsidRPr="003821DA" w:rsidR="007733DF">
        <w:rPr>
          <w:rFonts w:eastAsia="Times New Roman"/>
          <w:lang w:eastAsia="fr-FR"/>
        </w:rPr>
        <w:t xml:space="preserve">of the Constitutional Court of Russia </w:t>
      </w:r>
      <w:r w:rsidRPr="003821DA" w:rsidR="0063088C">
        <w:rPr>
          <w:rFonts w:eastAsia="Times New Roman"/>
          <w:lang w:eastAsia="fr-FR"/>
        </w:rPr>
        <w:t>dated</w:t>
      </w:r>
      <w:r w:rsidRPr="003821DA" w:rsidR="00EB47EE">
        <w:rPr>
          <w:rFonts w:eastAsia="Times New Roman"/>
          <w:lang w:eastAsia="fr-FR"/>
        </w:rPr>
        <w:t xml:space="preserve"> 19</w:t>
      </w:r>
      <w:r w:rsidRPr="003821DA" w:rsidR="00503034">
        <w:rPr>
          <w:rFonts w:eastAsia="Times New Roman"/>
          <w:lang w:eastAsia="fr-FR"/>
        </w:rPr>
        <w:t> </w:t>
      </w:r>
      <w:r w:rsidRPr="003821DA" w:rsidR="007733DF">
        <w:rPr>
          <w:rFonts w:eastAsia="Times New Roman"/>
          <w:lang w:eastAsia="fr-FR"/>
        </w:rPr>
        <w:t>October 2010 (see paragraph</w:t>
      </w:r>
      <w:r w:rsidRPr="003821DA" w:rsidR="00732146">
        <w:rPr>
          <w:rFonts w:eastAsia="Times New Roman"/>
          <w:lang w:eastAsia="fr-FR"/>
        </w:rPr>
        <w:t xml:space="preserve">s </w:t>
      </w:r>
      <w:r w:rsidRPr="003821DA" w:rsidR="00732146">
        <w:rPr>
          <w:rFonts w:eastAsia="Times New Roman"/>
          <w:lang w:eastAsia="fr-FR"/>
        </w:rPr>
        <w:fldChar w:fldCharType="begin"/>
      </w:r>
      <w:r w:rsidRPr="003821DA" w:rsidR="00732146">
        <w:rPr>
          <w:rFonts w:eastAsia="Times New Roman"/>
          <w:lang w:eastAsia="fr-FR"/>
        </w:rPr>
        <w:instrText xml:space="preserve"> REF COnstCourtDec19Oct2010Beg \h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42</w:t>
      </w:r>
      <w:r w:rsidRPr="003821DA" w:rsidR="00732146">
        <w:rPr>
          <w:rFonts w:eastAsia="Times New Roman"/>
          <w:lang w:eastAsia="fr-FR"/>
        </w:rPr>
        <w:fldChar w:fldCharType="end"/>
      </w:r>
      <w:r w:rsidRPr="003821DA" w:rsidR="00732146">
        <w:rPr>
          <w:rFonts w:eastAsia="Times New Roman"/>
          <w:lang w:eastAsia="fr-FR"/>
        </w:rPr>
        <w:t>-</w:t>
      </w:r>
      <w:r w:rsidRPr="003821DA" w:rsidR="00732146">
        <w:rPr>
          <w:rFonts w:eastAsia="Times New Roman"/>
          <w:lang w:eastAsia="fr-FR"/>
        </w:rPr>
        <w:fldChar w:fldCharType="begin"/>
      </w:r>
      <w:r w:rsidRPr="003821DA" w:rsidR="00732146">
        <w:rPr>
          <w:rFonts w:eastAsia="Times New Roman"/>
          <w:lang w:eastAsia="fr-FR"/>
        </w:rPr>
        <w:instrText xml:space="preserve"> REF COnstCourtDec19Oct2010End \h  \* MERGEFORMAT </w:instrText>
      </w:r>
      <w:r w:rsidRPr="003821DA" w:rsidR="00732146">
        <w:rPr>
          <w:rFonts w:eastAsia="Times New Roman"/>
          <w:lang w:eastAsia="fr-FR"/>
        </w:rPr>
      </w:r>
      <w:r w:rsidRPr="003821DA" w:rsidR="00732146">
        <w:rPr>
          <w:rFonts w:eastAsia="Times New Roman"/>
          <w:lang w:eastAsia="fr-FR"/>
        </w:rPr>
        <w:fldChar w:fldCharType="separate"/>
      </w:r>
      <w:r w:rsidRPr="003821DA" w:rsidR="003821DA">
        <w:rPr>
          <w:noProof/>
        </w:rPr>
        <w:t>43</w:t>
      </w:r>
      <w:r w:rsidRPr="003821DA" w:rsidR="00732146">
        <w:rPr>
          <w:rFonts w:eastAsia="Times New Roman"/>
          <w:lang w:eastAsia="fr-FR"/>
        </w:rPr>
        <w:fldChar w:fldCharType="end"/>
      </w:r>
      <w:r w:rsidRPr="003821DA" w:rsidR="007733DF">
        <w:rPr>
          <w:rFonts w:eastAsia="Times New Roman"/>
          <w:lang w:eastAsia="fr-FR"/>
        </w:rPr>
        <w:t xml:space="preserve"> below)</w:t>
      </w:r>
      <w:r w:rsidRPr="003821DA" w:rsidR="0050499A">
        <w:rPr>
          <w:rFonts w:eastAsia="Times New Roman"/>
          <w:lang w:eastAsia="fr-FR"/>
        </w:rPr>
        <w:t xml:space="preserve"> stated that</w:t>
      </w:r>
      <w:r w:rsidRPr="003821DA" w:rsidR="007733DF">
        <w:rPr>
          <w:rFonts w:eastAsia="Times New Roman"/>
          <w:lang w:eastAsia="fr-FR"/>
        </w:rPr>
        <w:t xml:space="preserve"> use by the authorities of various </w:t>
      </w:r>
      <w:r w:rsidRPr="003821DA" w:rsidR="006A722C">
        <w:rPr>
          <w:rFonts w:eastAsia="Times New Roman"/>
          <w:lang w:eastAsia="fr-FR"/>
        </w:rPr>
        <w:t xml:space="preserve">pre-trial detention </w:t>
      </w:r>
      <w:r w:rsidRPr="003821DA" w:rsidR="007733DF">
        <w:rPr>
          <w:rFonts w:eastAsia="Times New Roman"/>
          <w:lang w:eastAsia="fr-FR"/>
        </w:rPr>
        <w:t>centres</w:t>
      </w:r>
      <w:r w:rsidRPr="003821DA" w:rsidR="00EC6574">
        <w:rPr>
          <w:rFonts w:eastAsia="Times New Roman"/>
          <w:lang w:eastAsia="fr-FR"/>
        </w:rPr>
        <w:t xml:space="preserve"> and </w:t>
      </w:r>
      <w:r w:rsidRPr="003821DA" w:rsidR="009534D8">
        <w:rPr>
          <w:rFonts w:eastAsia="Times New Roman"/>
          <w:lang w:eastAsia="fr-FR"/>
        </w:rPr>
        <w:t>penal institutions</w:t>
      </w:r>
      <w:r w:rsidRPr="003821DA" w:rsidR="00EC6574">
        <w:rPr>
          <w:rFonts w:eastAsia="Times New Roman"/>
          <w:lang w:eastAsia="fr-FR"/>
        </w:rPr>
        <w:t xml:space="preserve"> </w:t>
      </w:r>
      <w:r w:rsidRPr="003821DA" w:rsidR="0047193A">
        <w:rPr>
          <w:rFonts w:eastAsia="Times New Roman"/>
          <w:lang w:eastAsia="fr-FR"/>
        </w:rPr>
        <w:t xml:space="preserve">of technical means of </w:t>
      </w:r>
      <w:r w:rsidRPr="003821DA" w:rsidR="00125A0D">
        <w:rPr>
          <w:rFonts w:eastAsia="Times New Roman"/>
          <w:lang w:eastAsia="fr-FR"/>
        </w:rPr>
        <w:t xml:space="preserve">surveillance </w:t>
      </w:r>
      <w:r w:rsidRPr="003821DA" w:rsidR="0047193A">
        <w:rPr>
          <w:rFonts w:eastAsia="Times New Roman"/>
          <w:lang w:eastAsia="fr-FR"/>
        </w:rPr>
        <w:t>and control was part of the mechanism that ensured detainees</w:t>
      </w:r>
      <w:r w:rsidRPr="003821DA" w:rsidR="003821DA">
        <w:rPr>
          <w:rFonts w:eastAsia="Times New Roman"/>
          <w:lang w:eastAsia="fr-FR"/>
        </w:rPr>
        <w:t>’</w:t>
      </w:r>
      <w:r w:rsidRPr="003821DA" w:rsidR="0047193A">
        <w:rPr>
          <w:rFonts w:eastAsia="Times New Roman"/>
          <w:lang w:eastAsia="fr-FR"/>
        </w:rPr>
        <w:t xml:space="preserve"> personal </w:t>
      </w:r>
      <w:r w:rsidRPr="003821DA" w:rsidR="009965F6">
        <w:rPr>
          <w:rFonts w:eastAsia="Times New Roman"/>
          <w:lang w:eastAsia="fr-FR"/>
        </w:rPr>
        <w:t xml:space="preserve">safety </w:t>
      </w:r>
      <w:r w:rsidRPr="003821DA" w:rsidR="0047193A">
        <w:rPr>
          <w:rFonts w:eastAsia="Times New Roman"/>
          <w:lang w:eastAsia="fr-FR"/>
        </w:rPr>
        <w:t>and respect for their rights</w:t>
      </w:r>
      <w:r w:rsidRPr="003821DA" w:rsidR="007A093F">
        <w:rPr>
          <w:rFonts w:eastAsia="Times New Roman"/>
          <w:lang w:eastAsia="fr-FR"/>
        </w:rPr>
        <w:t>,</w:t>
      </w:r>
      <w:r w:rsidRPr="003821DA" w:rsidR="0047193A">
        <w:rPr>
          <w:rFonts w:eastAsia="Times New Roman"/>
          <w:lang w:eastAsia="fr-FR"/>
        </w:rPr>
        <w:t xml:space="preserve"> as well as performance by them of their obligations</w:t>
      </w:r>
      <w:r w:rsidRPr="003821DA" w:rsidR="00125A0D">
        <w:rPr>
          <w:rFonts w:eastAsia="Times New Roman"/>
          <w:lang w:eastAsia="fr-FR"/>
        </w:rPr>
        <w:t>.</w:t>
      </w:r>
      <w:proofErr w:type="gramEnd"/>
      <w:r w:rsidRPr="003821DA" w:rsidR="00125A0D">
        <w:rPr>
          <w:rFonts w:eastAsia="Times New Roman"/>
          <w:lang w:eastAsia="fr-FR"/>
        </w:rPr>
        <w:t xml:space="preserve"> </w:t>
      </w:r>
      <w:r w:rsidRPr="003821DA" w:rsidR="00C41EFE">
        <w:rPr>
          <w:rFonts w:eastAsia="Times New Roman"/>
          <w:lang w:eastAsia="fr-FR"/>
        </w:rPr>
        <w:t>In the District Court</w:t>
      </w:r>
      <w:r w:rsidRPr="003821DA" w:rsidR="003821DA">
        <w:rPr>
          <w:rFonts w:eastAsia="Times New Roman"/>
          <w:lang w:eastAsia="fr-FR"/>
        </w:rPr>
        <w:t>’</w:t>
      </w:r>
      <w:r w:rsidRPr="003821DA" w:rsidR="00C41EFE">
        <w:rPr>
          <w:rFonts w:eastAsia="Times New Roman"/>
          <w:lang w:eastAsia="fr-FR"/>
        </w:rPr>
        <w:t>s view,</w:t>
      </w:r>
      <w:r w:rsidRPr="003821DA" w:rsidR="0047193A">
        <w:rPr>
          <w:rFonts w:eastAsia="Times New Roman"/>
          <w:lang w:eastAsia="fr-FR"/>
        </w:rPr>
        <w:t xml:space="preserve"> such use thus pursued constitutional aims and </w:t>
      </w:r>
      <w:proofErr w:type="gramStart"/>
      <w:r w:rsidRPr="003821DA" w:rsidR="0047193A">
        <w:rPr>
          <w:rFonts w:eastAsia="Times New Roman"/>
          <w:lang w:eastAsia="fr-FR"/>
        </w:rPr>
        <w:t>could not be regarded</w:t>
      </w:r>
      <w:proofErr w:type="gramEnd"/>
      <w:r w:rsidRPr="003821DA" w:rsidR="0047193A">
        <w:rPr>
          <w:rFonts w:eastAsia="Times New Roman"/>
          <w:lang w:eastAsia="fr-FR"/>
        </w:rPr>
        <w:t xml:space="preserve"> as a disproportionate restric</w:t>
      </w:r>
      <w:r w:rsidRPr="003821DA" w:rsidR="00732146">
        <w:rPr>
          <w:rFonts w:eastAsia="Times New Roman"/>
          <w:lang w:eastAsia="fr-FR"/>
        </w:rPr>
        <w:t>tion of the</w:t>
      </w:r>
      <w:r w:rsidRPr="003821DA" w:rsidR="0063088C">
        <w:rPr>
          <w:rFonts w:eastAsia="Times New Roman"/>
          <w:lang w:eastAsia="fr-FR"/>
        </w:rPr>
        <w:t xml:space="preserve"> third</w:t>
      </w:r>
      <w:r w:rsidRPr="003821DA" w:rsidR="00732146">
        <w:rPr>
          <w:rFonts w:eastAsia="Times New Roman"/>
          <w:lang w:eastAsia="fr-FR"/>
        </w:rPr>
        <w:t xml:space="preserve"> applicant</w:t>
      </w:r>
      <w:r w:rsidRPr="003821DA" w:rsidR="003821DA">
        <w:rPr>
          <w:rFonts w:eastAsia="Times New Roman"/>
          <w:lang w:eastAsia="fr-FR"/>
        </w:rPr>
        <w:t>’</w:t>
      </w:r>
      <w:r w:rsidRPr="003821DA" w:rsidR="00732146">
        <w:rPr>
          <w:rFonts w:eastAsia="Times New Roman"/>
          <w:lang w:eastAsia="fr-FR"/>
        </w:rPr>
        <w:t>s rights.</w:t>
      </w:r>
    </w:p>
    <w:p w:rsidRPr="003821DA" w:rsidR="0040067B" w:rsidP="003821DA" w:rsidRDefault="00732146">
      <w:pPr>
        <w:pStyle w:val="ECHRPara"/>
        <w:rPr>
          <w:rFonts w:eastAsia="Times New Roman"/>
          <w:lang w:eastAsia="fr-FR"/>
        </w:rPr>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29</w:t>
      </w:r>
      <w:r w:rsidRPr="003821DA">
        <w:rPr>
          <w:rFonts w:eastAsia="Times New Roman"/>
          <w:lang w:eastAsia="fr-FR"/>
        </w:rPr>
        <w:fldChar w:fldCharType="end"/>
      </w:r>
      <w:r w:rsidRPr="003821DA">
        <w:rPr>
          <w:rFonts w:eastAsia="Times New Roman"/>
          <w:lang w:eastAsia="fr-FR"/>
        </w:rPr>
        <w:t>.  </w:t>
      </w:r>
      <w:r w:rsidRPr="003821DA" w:rsidR="0047193A">
        <w:rPr>
          <w:rFonts w:eastAsia="Times New Roman"/>
          <w:lang w:eastAsia="fr-FR"/>
        </w:rPr>
        <w:t>Th</w:t>
      </w:r>
      <w:r w:rsidRPr="003821DA" w:rsidR="0063088C">
        <w:rPr>
          <w:rFonts w:eastAsia="Times New Roman"/>
          <w:lang w:eastAsia="fr-FR"/>
        </w:rPr>
        <w:t>e District Court concluded that</w:t>
      </w:r>
      <w:r w:rsidRPr="003821DA" w:rsidR="00B56CD4">
        <w:rPr>
          <w:rFonts w:eastAsia="Times New Roman"/>
          <w:lang w:eastAsia="fr-FR"/>
        </w:rPr>
        <w:t xml:space="preserve">, </w:t>
      </w:r>
      <w:r w:rsidRPr="003821DA" w:rsidR="009534D8">
        <w:rPr>
          <w:rFonts w:eastAsia="Times New Roman"/>
          <w:lang w:eastAsia="fr-FR"/>
        </w:rPr>
        <w:t>under</w:t>
      </w:r>
      <w:r w:rsidRPr="003821DA" w:rsidR="0063088C">
        <w:rPr>
          <w:rFonts w:eastAsia="Times New Roman"/>
          <w:lang w:eastAsia="fr-FR"/>
        </w:rPr>
        <w:t xml:space="preserve"> the applicable law</w:t>
      </w:r>
      <w:r w:rsidRPr="003821DA" w:rsidR="00B56CD4">
        <w:rPr>
          <w:rFonts w:eastAsia="Times New Roman"/>
          <w:lang w:eastAsia="fr-FR"/>
        </w:rPr>
        <w:t>,</w:t>
      </w:r>
      <w:r w:rsidRPr="003821DA" w:rsidR="0063088C">
        <w:rPr>
          <w:rFonts w:eastAsia="Times New Roman"/>
          <w:lang w:eastAsia="fr-FR"/>
        </w:rPr>
        <w:t xml:space="preserve"> as interpreted by the Constitutional Court of Russia, </w:t>
      </w:r>
      <w:r w:rsidRPr="003821DA" w:rsidR="00B56CD4">
        <w:rPr>
          <w:rFonts w:eastAsia="Times New Roman"/>
          <w:lang w:eastAsia="fr-FR"/>
        </w:rPr>
        <w:t xml:space="preserve">it was permissible for officers of the opposite sex to perform </w:t>
      </w:r>
      <w:r w:rsidRPr="003821DA" w:rsidR="006A722C">
        <w:rPr>
          <w:rFonts w:eastAsia="Times New Roman"/>
          <w:lang w:eastAsia="fr-FR"/>
        </w:rPr>
        <w:t>CCTV camera monitoring</w:t>
      </w:r>
      <w:r w:rsidRPr="003821DA" w:rsidR="00B56CD4">
        <w:rPr>
          <w:rFonts w:eastAsia="Times New Roman"/>
          <w:lang w:eastAsia="fr-FR"/>
        </w:rPr>
        <w:t xml:space="preserve"> </w:t>
      </w:r>
      <w:r w:rsidRPr="003821DA" w:rsidR="00D512A2">
        <w:rPr>
          <w:rFonts w:eastAsia="Times New Roman"/>
          <w:lang w:eastAsia="fr-FR"/>
        </w:rPr>
        <w:t xml:space="preserve">of </w:t>
      </w:r>
      <w:r w:rsidRPr="003821DA" w:rsidR="00B56CD4">
        <w:rPr>
          <w:rFonts w:eastAsia="Times New Roman"/>
          <w:lang w:eastAsia="fr-FR"/>
        </w:rPr>
        <w:t>detainees</w:t>
      </w:r>
      <w:r w:rsidRPr="003821DA" w:rsidR="009534D8">
        <w:rPr>
          <w:rFonts w:eastAsia="Times New Roman"/>
          <w:lang w:eastAsia="fr-FR"/>
        </w:rPr>
        <w:t xml:space="preserve">, </w:t>
      </w:r>
      <w:r w:rsidRPr="003821DA" w:rsidR="00B56CD4">
        <w:rPr>
          <w:rFonts w:eastAsia="Times New Roman"/>
          <w:lang w:eastAsia="fr-FR"/>
        </w:rPr>
        <w:t xml:space="preserve">thus </w:t>
      </w:r>
      <w:r w:rsidRPr="003821DA" w:rsidR="009534D8">
        <w:rPr>
          <w:rFonts w:eastAsia="Times New Roman"/>
          <w:lang w:eastAsia="fr-FR"/>
        </w:rPr>
        <w:t xml:space="preserve">the </w:t>
      </w:r>
      <w:r w:rsidRPr="003821DA" w:rsidR="00B56CD4">
        <w:rPr>
          <w:rFonts w:eastAsia="Times New Roman"/>
          <w:lang w:eastAsia="fr-FR"/>
        </w:rPr>
        <w:t xml:space="preserve">situation had not </w:t>
      </w:r>
      <w:r w:rsidRPr="003821DA" w:rsidR="006A722C">
        <w:rPr>
          <w:rFonts w:eastAsia="Times New Roman"/>
          <w:lang w:eastAsia="fr-FR"/>
        </w:rPr>
        <w:t>debased</w:t>
      </w:r>
      <w:r w:rsidRPr="003821DA" w:rsidR="00B56CD4">
        <w:rPr>
          <w:rFonts w:eastAsia="Times New Roman"/>
          <w:lang w:eastAsia="fr-FR"/>
        </w:rPr>
        <w:t xml:space="preserve"> the third applicant</w:t>
      </w:r>
      <w:r w:rsidRPr="003821DA" w:rsidR="003821DA">
        <w:rPr>
          <w:rFonts w:eastAsia="Times New Roman"/>
          <w:lang w:eastAsia="fr-FR"/>
        </w:rPr>
        <w:t>’</w:t>
      </w:r>
      <w:r w:rsidRPr="003821DA" w:rsidR="00B56CD4">
        <w:rPr>
          <w:rFonts w:eastAsia="Times New Roman"/>
          <w:lang w:eastAsia="fr-FR"/>
        </w:rPr>
        <w:t xml:space="preserve">s dignity, as </w:t>
      </w:r>
      <w:r w:rsidRPr="003821DA" w:rsidR="00A63D70">
        <w:rPr>
          <w:rFonts w:eastAsia="Times New Roman"/>
          <w:lang w:eastAsia="fr-FR"/>
        </w:rPr>
        <w:t xml:space="preserve">the </w:t>
      </w:r>
      <w:r w:rsidRPr="003821DA" w:rsidR="00B56CD4">
        <w:rPr>
          <w:rFonts w:eastAsia="Times New Roman"/>
          <w:lang w:eastAsia="fr-FR"/>
        </w:rPr>
        <w:t xml:space="preserve">female officers had </w:t>
      </w:r>
      <w:r w:rsidRPr="003821DA" w:rsidR="0047193A">
        <w:rPr>
          <w:rFonts w:eastAsia="Times New Roman"/>
          <w:lang w:eastAsia="fr-FR"/>
        </w:rPr>
        <w:t xml:space="preserve">acted </w:t>
      </w:r>
      <w:r w:rsidRPr="003821DA" w:rsidR="00D55522">
        <w:rPr>
          <w:rFonts w:eastAsia="Times New Roman"/>
          <w:lang w:eastAsia="fr-FR"/>
        </w:rPr>
        <w:t xml:space="preserve">within their </w:t>
      </w:r>
      <w:r w:rsidRPr="003821DA" w:rsidR="00093C97">
        <w:rPr>
          <w:rFonts w:eastAsia="Times New Roman"/>
          <w:lang w:eastAsia="fr-FR"/>
        </w:rPr>
        <w:t>competence</w:t>
      </w:r>
      <w:r w:rsidRPr="003821DA" w:rsidR="00D55522">
        <w:rPr>
          <w:rFonts w:eastAsia="Times New Roman"/>
          <w:lang w:eastAsia="fr-FR"/>
        </w:rPr>
        <w:t xml:space="preserve"> and in </w:t>
      </w:r>
      <w:r w:rsidRPr="003821DA" w:rsidR="00950053">
        <w:rPr>
          <w:rFonts w:eastAsia="Times New Roman"/>
          <w:lang w:eastAsia="fr-FR"/>
        </w:rPr>
        <w:t xml:space="preserve">the </w:t>
      </w:r>
      <w:r w:rsidRPr="003821DA" w:rsidR="00D55522">
        <w:rPr>
          <w:rFonts w:eastAsia="Times New Roman"/>
          <w:lang w:eastAsia="fr-FR"/>
        </w:rPr>
        <w:t>performan</w:t>
      </w:r>
      <w:r w:rsidRPr="003821DA" w:rsidR="009B1E22">
        <w:rPr>
          <w:rFonts w:eastAsia="Times New Roman"/>
          <w:lang w:eastAsia="fr-FR"/>
        </w:rPr>
        <w:t>ce of their professional duties</w:t>
      </w:r>
      <w:r w:rsidRPr="003821DA" w:rsidR="00D55522">
        <w:rPr>
          <w:rFonts w:eastAsia="Times New Roman"/>
          <w:lang w:eastAsia="fr-FR"/>
        </w:rPr>
        <w:t>.</w:t>
      </w:r>
    </w:p>
    <w:bookmarkStart w:name="AppellateDec11Sep2013" w:id="11"/>
    <w:p w:rsidRPr="003821DA" w:rsidR="00D55522" w:rsidP="003821DA" w:rsidRDefault="00D55522">
      <w:pPr>
        <w:pStyle w:val="ECHRPara"/>
      </w:pPr>
      <w:r w:rsidRPr="003821DA">
        <w:rPr>
          <w:rFonts w:eastAsia="Times New Roman"/>
          <w:lang w:eastAsia="fr-FR"/>
        </w:rPr>
        <w:fldChar w:fldCharType="begin"/>
      </w:r>
      <w:r w:rsidRPr="003821DA">
        <w:rPr>
          <w:rFonts w:eastAsia="Times New Roman"/>
          <w:lang w:eastAsia="fr-FR"/>
        </w:rPr>
        <w:instrText xml:space="preserve"> SEQ level0 \*arabic </w:instrText>
      </w:r>
      <w:r w:rsidRPr="003821DA">
        <w:rPr>
          <w:rFonts w:eastAsia="Times New Roman"/>
          <w:lang w:eastAsia="fr-FR"/>
        </w:rPr>
        <w:fldChar w:fldCharType="separate"/>
      </w:r>
      <w:r w:rsidRPr="003821DA" w:rsidR="003821DA">
        <w:rPr>
          <w:rFonts w:eastAsia="Times New Roman"/>
          <w:noProof/>
          <w:lang w:eastAsia="fr-FR"/>
        </w:rPr>
        <w:t>30</w:t>
      </w:r>
      <w:r w:rsidRPr="003821DA">
        <w:rPr>
          <w:rFonts w:eastAsia="Times New Roman"/>
          <w:lang w:eastAsia="fr-FR"/>
        </w:rPr>
        <w:fldChar w:fldCharType="end"/>
      </w:r>
      <w:bookmarkEnd w:id="11"/>
      <w:r w:rsidRPr="003821DA">
        <w:rPr>
          <w:rFonts w:eastAsia="Times New Roman"/>
          <w:lang w:eastAsia="fr-FR"/>
        </w:rPr>
        <w:t xml:space="preserve">.  On 11 September </w:t>
      </w:r>
      <w:proofErr w:type="gramStart"/>
      <w:r w:rsidRPr="003821DA">
        <w:rPr>
          <w:rFonts w:eastAsia="Times New Roman"/>
          <w:lang w:eastAsia="fr-FR"/>
        </w:rPr>
        <w:t>2013</w:t>
      </w:r>
      <w:proofErr w:type="gramEnd"/>
      <w:r w:rsidRPr="003821DA">
        <w:rPr>
          <w:rFonts w:eastAsia="Times New Roman"/>
          <w:lang w:eastAsia="fr-FR"/>
        </w:rPr>
        <w:t xml:space="preserve"> the </w:t>
      </w:r>
      <w:proofErr w:type="spellStart"/>
      <w:r w:rsidRPr="003821DA">
        <w:rPr>
          <w:rFonts w:eastAsia="Times New Roman"/>
          <w:lang w:eastAsia="fr-FR"/>
        </w:rPr>
        <w:t>Zabaykalskiy</w:t>
      </w:r>
      <w:proofErr w:type="spellEnd"/>
      <w:r w:rsidRPr="003821DA">
        <w:rPr>
          <w:rFonts w:eastAsia="Times New Roman"/>
          <w:lang w:eastAsia="fr-FR"/>
        </w:rPr>
        <w:t xml:space="preserve"> Regional Court upheld the fi</w:t>
      </w:r>
      <w:r w:rsidRPr="003821DA" w:rsidR="00125A0D">
        <w:rPr>
          <w:rFonts w:eastAsia="Times New Roman"/>
          <w:lang w:eastAsia="fr-FR"/>
        </w:rPr>
        <w:t>rst-instance judgment on appeal, endorsing its reasoning.</w:t>
      </w:r>
    </w:p>
    <w:p w:rsidRPr="003821DA" w:rsidR="00014566" w:rsidP="003821DA" w:rsidRDefault="00014566">
      <w:pPr>
        <w:pStyle w:val="ECHRHeading1"/>
      </w:pPr>
      <w:r w:rsidRPr="003821DA">
        <w:t>II.</w:t>
      </w:r>
      <w:proofErr w:type="gramStart"/>
      <w:r w:rsidRPr="003821DA">
        <w:t>  RELEVANT</w:t>
      </w:r>
      <w:proofErr w:type="gramEnd"/>
      <w:r w:rsidRPr="003821DA">
        <w:t xml:space="preserve"> DOMESTIC LAW AND PRACTICE</w:t>
      </w:r>
    </w:p>
    <w:p w:rsidRPr="003821DA" w:rsidR="0045045F" w:rsidP="003821DA" w:rsidRDefault="0045045F">
      <w:pPr>
        <w:pStyle w:val="ECHRHeading2"/>
      </w:pPr>
      <w:r w:rsidRPr="003821DA">
        <w:t>A.  Constitution of Russia</w:t>
      </w:r>
    </w:p>
    <w:bookmarkStart w:name="RusConst" w:id="12"/>
    <w:p w:rsidRPr="003821DA" w:rsidR="0074248D" w:rsidP="003821DA" w:rsidRDefault="0045045F">
      <w:pPr>
        <w:pStyle w:val="ECHRPara"/>
      </w:pPr>
      <w:r w:rsidRPr="003821DA">
        <w:fldChar w:fldCharType="begin"/>
      </w:r>
      <w:r w:rsidRPr="003821DA">
        <w:instrText xml:space="preserve"> SEQ level0 \*arabic </w:instrText>
      </w:r>
      <w:r w:rsidRPr="003821DA">
        <w:fldChar w:fldCharType="separate"/>
      </w:r>
      <w:r w:rsidRPr="003821DA" w:rsidR="003821DA">
        <w:rPr>
          <w:noProof/>
        </w:rPr>
        <w:t>31</w:t>
      </w:r>
      <w:r w:rsidRPr="003821DA">
        <w:fldChar w:fldCharType="end"/>
      </w:r>
      <w:bookmarkEnd w:id="12"/>
      <w:r w:rsidRPr="003821DA">
        <w:t>.  </w:t>
      </w:r>
      <w:r w:rsidRPr="003821DA" w:rsidR="0074248D">
        <w:t>The relevant constitutional provisions are the following:</w:t>
      </w:r>
    </w:p>
    <w:p w:rsidRPr="003821DA" w:rsidR="00045764" w:rsidP="003821DA" w:rsidRDefault="00045764">
      <w:pPr>
        <w:pStyle w:val="ECHRTitleCentre3"/>
      </w:pPr>
      <w:r w:rsidRPr="003821DA">
        <w:t>Article 21</w:t>
      </w:r>
    </w:p>
    <w:p w:rsidRPr="003821DA" w:rsidR="00045764" w:rsidP="003821DA" w:rsidRDefault="00045764">
      <w:pPr>
        <w:pStyle w:val="ECHRParaQuote"/>
        <w:rPr>
          <w:lang w:bidi="en-US"/>
        </w:rPr>
      </w:pPr>
      <w:r w:rsidRPr="003821DA">
        <w:rPr>
          <w:lang w:bidi="en-US"/>
        </w:rPr>
        <w:t>“1.</w:t>
      </w:r>
      <w:proofErr w:type="gramStart"/>
      <w:r w:rsidRPr="003821DA">
        <w:rPr>
          <w:lang w:bidi="en-US"/>
        </w:rPr>
        <w:t>  </w:t>
      </w:r>
      <w:r w:rsidRPr="003821DA" w:rsidR="00284AAF">
        <w:rPr>
          <w:lang w:bidi="en-US"/>
        </w:rPr>
        <w:t>Human</w:t>
      </w:r>
      <w:proofErr w:type="gramEnd"/>
      <w:r w:rsidRPr="003821DA" w:rsidR="00284AAF">
        <w:rPr>
          <w:lang w:bidi="en-US"/>
        </w:rPr>
        <w:t xml:space="preserve"> dignity shall be protected by the State. Nothing may serve as a basis for its derogation</w:t>
      </w:r>
      <w:r w:rsidRPr="003821DA" w:rsidR="00164F64">
        <w:rPr>
          <w:lang w:bidi="en-US"/>
        </w:rPr>
        <w:t>...</w:t>
      </w:r>
      <w:r w:rsidRPr="003821DA" w:rsidR="00284AAF">
        <w:rPr>
          <w:lang w:bidi="en-US"/>
        </w:rPr>
        <w:t>”</w:t>
      </w:r>
    </w:p>
    <w:p w:rsidRPr="003821DA" w:rsidR="0074248D" w:rsidP="003821DA" w:rsidRDefault="0074248D">
      <w:pPr>
        <w:pStyle w:val="ECHRTitleCentre3"/>
      </w:pPr>
      <w:r w:rsidRPr="003821DA">
        <w:t>Article 23</w:t>
      </w:r>
    </w:p>
    <w:p w:rsidRPr="003821DA" w:rsidR="0074248D" w:rsidP="003821DA" w:rsidRDefault="00ED075E">
      <w:pPr>
        <w:pStyle w:val="ECHRParaQuote"/>
      </w:pPr>
      <w:r w:rsidRPr="003821DA">
        <w:t>“1.</w:t>
      </w:r>
      <w:proofErr w:type="gramStart"/>
      <w:r w:rsidRPr="003821DA">
        <w:t>  </w:t>
      </w:r>
      <w:r w:rsidRPr="003821DA" w:rsidR="0074248D">
        <w:t>Everyone</w:t>
      </w:r>
      <w:proofErr w:type="gramEnd"/>
      <w:r w:rsidRPr="003821DA" w:rsidR="0074248D">
        <w:t xml:space="preserve"> has the right to inviolability of private life, personal and family confidentiality, the protection of his</w:t>
      </w:r>
      <w:r w:rsidRPr="003821DA" w:rsidR="00500D77">
        <w:t xml:space="preserve"> or </w:t>
      </w:r>
      <w:r w:rsidRPr="003821DA" w:rsidR="0074248D">
        <w:t>her honour and good name.</w:t>
      </w:r>
    </w:p>
    <w:p w:rsidRPr="003821DA" w:rsidR="0074248D" w:rsidP="003821DA" w:rsidRDefault="0074248D">
      <w:pPr>
        <w:pStyle w:val="ECHRParaQuote"/>
      </w:pPr>
      <w:r w:rsidRPr="003821DA">
        <w:t>2</w:t>
      </w:r>
      <w:r w:rsidRPr="003821DA" w:rsidR="00ED075E">
        <w:t>.  </w:t>
      </w:r>
      <w:r w:rsidRPr="003821DA">
        <w:t xml:space="preserve">Everyone has the right to </w:t>
      </w:r>
      <w:r w:rsidRPr="003821DA" w:rsidR="00950053">
        <w:t xml:space="preserve">privacy </w:t>
      </w:r>
      <w:r w:rsidRPr="003821DA">
        <w:t>of correspondence, telephone, mail, telegraph and other types of communication. Any limitation on this right is permitted only upon a court decision.”</w:t>
      </w:r>
    </w:p>
    <w:p w:rsidRPr="003821DA" w:rsidR="0074248D" w:rsidP="003821DA" w:rsidRDefault="0074248D">
      <w:pPr>
        <w:pStyle w:val="ECHRTitleCentre3"/>
      </w:pPr>
      <w:r w:rsidRPr="003821DA">
        <w:t>Article 55</w:t>
      </w:r>
    </w:p>
    <w:p w:rsidRPr="003821DA" w:rsidR="0074248D" w:rsidP="003821DA" w:rsidRDefault="00ED075E">
      <w:pPr>
        <w:pStyle w:val="ECHRParaQuote"/>
      </w:pPr>
      <w:r w:rsidRPr="003821DA">
        <w:t>“1.</w:t>
      </w:r>
      <w:proofErr w:type="gramStart"/>
      <w:r w:rsidRPr="003821DA">
        <w:t>  </w:t>
      </w:r>
      <w:r w:rsidRPr="003821DA" w:rsidR="0074248D">
        <w:t>The</w:t>
      </w:r>
      <w:proofErr w:type="gramEnd"/>
      <w:r w:rsidRPr="003821DA" w:rsidR="0074248D">
        <w:t xml:space="preserve"> enumeration in the Constitution of the basic rights and freedoms should not be interpreted as the denial or belittling of other widely recognised human and civil rights and freedoms.</w:t>
      </w:r>
    </w:p>
    <w:p w:rsidRPr="003821DA" w:rsidR="0074248D" w:rsidP="003821DA" w:rsidRDefault="0074248D">
      <w:pPr>
        <w:pStyle w:val="ECHRParaQuote"/>
      </w:pPr>
      <w:r w:rsidRPr="003821DA">
        <w:t>2</w:t>
      </w:r>
      <w:r w:rsidRPr="003821DA" w:rsidR="00ED075E">
        <w:t>.  </w:t>
      </w:r>
      <w:r w:rsidRPr="003821DA">
        <w:t xml:space="preserve">No laws denying or belittling human and civil rights and freedoms </w:t>
      </w:r>
      <w:proofErr w:type="gramStart"/>
      <w:r w:rsidRPr="003821DA">
        <w:t>may be enacted</w:t>
      </w:r>
      <w:proofErr w:type="gramEnd"/>
      <w:r w:rsidRPr="003821DA">
        <w:t xml:space="preserve"> in the Russian Federation.</w:t>
      </w:r>
    </w:p>
    <w:p w:rsidRPr="003821DA" w:rsidR="0074248D" w:rsidP="003821DA" w:rsidRDefault="0074248D">
      <w:pPr>
        <w:pStyle w:val="ECHRParaQuote"/>
      </w:pPr>
      <w:r w:rsidRPr="003821DA">
        <w:t>3</w:t>
      </w:r>
      <w:r w:rsidRPr="003821DA" w:rsidR="00ED075E">
        <w:t>.</w:t>
      </w:r>
      <w:proofErr w:type="gramStart"/>
      <w:r w:rsidRPr="003821DA" w:rsidR="00ED075E">
        <w:t>  </w:t>
      </w:r>
      <w:r w:rsidRPr="003821DA">
        <w:t>Human</w:t>
      </w:r>
      <w:proofErr w:type="gramEnd"/>
      <w:r w:rsidRPr="003821DA">
        <w:t xml:space="preserve"> and civil rights and freedoms may be limited by a federal law only to the extent necessary for the protection of the fundamental principles of the constitutional system, morality, health, the rights and lawful interests of other people, or for ensuring defence of the country and security of the State.”</w:t>
      </w:r>
    </w:p>
    <w:p w:rsidRPr="003821DA" w:rsidR="0074248D" w:rsidP="003821DA" w:rsidRDefault="0074248D">
      <w:pPr>
        <w:pStyle w:val="ECHRTitleCentre3"/>
      </w:pPr>
      <w:r w:rsidRPr="003821DA">
        <w:t>Article 71</w:t>
      </w:r>
    </w:p>
    <w:p w:rsidRPr="003821DA" w:rsidR="0074248D" w:rsidP="003821DA" w:rsidRDefault="0074248D">
      <w:pPr>
        <w:pStyle w:val="ECHRParaQuote"/>
      </w:pPr>
      <w:r w:rsidRPr="003821DA">
        <w:t>“The jurisdiction of the Russian Federation includes:</w:t>
      </w:r>
    </w:p>
    <w:p w:rsidRPr="003821DA" w:rsidR="0074248D" w:rsidP="003821DA" w:rsidRDefault="0074248D">
      <w:pPr>
        <w:pStyle w:val="ECHRParaQuote"/>
      </w:pPr>
      <w:r w:rsidRPr="003821DA">
        <w:t>...</w:t>
      </w:r>
    </w:p>
    <w:p w:rsidRPr="003821DA" w:rsidR="0074248D" w:rsidP="003821DA" w:rsidRDefault="0074248D">
      <w:pPr>
        <w:pStyle w:val="ECHRParaQuote"/>
      </w:pPr>
      <w:r w:rsidRPr="003821DA">
        <w:t>(o) the constitution of the judiciary, the prosecutor</w:t>
      </w:r>
      <w:r w:rsidRPr="003821DA" w:rsidR="003821DA">
        <w:t>’</w:t>
      </w:r>
      <w:r w:rsidRPr="003821DA">
        <w:t>s office, criminal law, criminal procedure, matters concerning the execution of criminal sentences, amnesty and pardon, civil law, civil procedure, the procedure of commercial courts, legal regulation of intellectual property; ...”</w:t>
      </w:r>
    </w:p>
    <w:p w:rsidRPr="003821DA" w:rsidR="002632DC" w:rsidP="003821DA" w:rsidRDefault="0045045F">
      <w:pPr>
        <w:pStyle w:val="ECHRHeading2"/>
      </w:pPr>
      <w:r w:rsidRPr="003821DA">
        <w:t>B.  </w:t>
      </w:r>
      <w:r w:rsidRPr="003821DA" w:rsidR="002632DC">
        <w:t>Legislative provisions</w:t>
      </w:r>
    </w:p>
    <w:p w:rsidRPr="003821DA" w:rsidR="006E196B" w:rsidP="003821DA" w:rsidRDefault="002632DC">
      <w:pPr>
        <w:pStyle w:val="ECHRHeading3"/>
      </w:pPr>
      <w:r w:rsidRPr="003821DA">
        <w:t>1.  </w:t>
      </w:r>
      <w:r w:rsidRPr="003821DA" w:rsidR="006E196B">
        <w:t>Criminal Code</w:t>
      </w:r>
    </w:p>
    <w:bookmarkStart w:name="TypesOfDetentionInRussia" w:id="13"/>
    <w:p w:rsidRPr="003821DA" w:rsidR="006E196B" w:rsidP="003821DA" w:rsidRDefault="006E196B">
      <w:pPr>
        <w:pStyle w:val="ECHRPara"/>
      </w:pPr>
      <w:r w:rsidRPr="003821DA">
        <w:fldChar w:fldCharType="begin"/>
      </w:r>
      <w:r w:rsidRPr="003821DA">
        <w:instrText xml:space="preserve"> SEQ level0 \*arabic </w:instrText>
      </w:r>
      <w:r w:rsidRPr="003821DA">
        <w:fldChar w:fldCharType="separate"/>
      </w:r>
      <w:r w:rsidRPr="003821DA" w:rsidR="003821DA">
        <w:rPr>
          <w:noProof/>
        </w:rPr>
        <w:t>32</w:t>
      </w:r>
      <w:r w:rsidRPr="003821DA">
        <w:fldChar w:fldCharType="end"/>
      </w:r>
      <w:bookmarkEnd w:id="13"/>
      <w:r w:rsidRPr="003821DA">
        <w:t>.  </w:t>
      </w:r>
      <w:r w:rsidRPr="003821DA" w:rsidR="00AA481D">
        <w:t>The</w:t>
      </w:r>
      <w:r w:rsidRPr="003821DA" w:rsidR="009534D8">
        <w:t xml:space="preserve"> relevant part of the</w:t>
      </w:r>
      <w:r w:rsidRPr="003821DA" w:rsidR="00AA481D">
        <w:t xml:space="preserve"> Russian Criminal Code of 13 June 1996</w:t>
      </w:r>
      <w:r w:rsidRPr="003821DA" w:rsidR="009534D8">
        <w:t xml:space="preserve"> </w:t>
      </w:r>
      <w:r w:rsidRPr="003821DA" w:rsidR="00AA481D">
        <w:t>provides:</w:t>
      </w:r>
    </w:p>
    <w:p w:rsidRPr="003821DA" w:rsidR="00C02381" w:rsidP="003821DA" w:rsidRDefault="00C02381">
      <w:pPr>
        <w:pStyle w:val="ECHRTitleCentre3"/>
      </w:pPr>
      <w:proofErr w:type="gramStart"/>
      <w:r w:rsidRPr="003821DA">
        <w:t>Article 58</w:t>
      </w:r>
      <w:r w:rsidRPr="003821DA" w:rsidR="00500D77">
        <w:t>.</w:t>
      </w:r>
      <w:proofErr w:type="gramEnd"/>
      <w:r w:rsidRPr="003821DA" w:rsidR="00500D77">
        <w:t xml:space="preserve"> </w:t>
      </w:r>
      <w:r w:rsidRPr="003821DA">
        <w:t xml:space="preserve">Choice of </w:t>
      </w:r>
      <w:r w:rsidRPr="003821DA" w:rsidR="00E34B2D">
        <w:t>penal institution</w:t>
      </w:r>
      <w:r w:rsidRPr="003821DA">
        <w:t>s for persons sentenced to imprisonment</w:t>
      </w:r>
    </w:p>
    <w:p w:rsidRPr="003821DA" w:rsidR="00C02381" w:rsidP="003821DA" w:rsidRDefault="00C02381">
      <w:pPr>
        <w:pStyle w:val="ECHRParaQuote"/>
      </w:pPr>
      <w:r w:rsidRPr="003821DA">
        <w:t xml:space="preserve">“1. </w:t>
      </w:r>
      <w:r w:rsidRPr="003821DA" w:rsidR="00CE33DB">
        <w:t>P</w:t>
      </w:r>
      <w:r w:rsidRPr="003821DA">
        <w:t>ersons sentenced to imprisonment shall serve their respective sentences, depending on the gravity of the crimes that they have committed, in:</w:t>
      </w:r>
    </w:p>
    <w:p w:rsidRPr="003821DA" w:rsidR="00C02381" w:rsidP="003821DA" w:rsidRDefault="00C02381">
      <w:pPr>
        <w:pStyle w:val="ECHRParaQuote"/>
      </w:pPr>
      <w:r w:rsidRPr="003821DA">
        <w:t xml:space="preserve">- </w:t>
      </w:r>
      <w:proofErr w:type="gramStart"/>
      <w:r w:rsidRPr="003821DA">
        <w:t>settlement</w:t>
      </w:r>
      <w:proofErr w:type="gramEnd"/>
      <w:r w:rsidRPr="003821DA">
        <w:t xml:space="preserve"> colonies (</w:t>
      </w:r>
      <w:proofErr w:type="spellStart"/>
      <w:r w:rsidRPr="003821DA">
        <w:rPr>
          <w:i/>
        </w:rPr>
        <w:t>колония-поселение</w:t>
      </w:r>
      <w:proofErr w:type="spellEnd"/>
      <w:r w:rsidRPr="003821DA">
        <w:t xml:space="preserve">), </w:t>
      </w:r>
      <w:r w:rsidRPr="003821DA" w:rsidR="004856A1">
        <w:t>if the</w:t>
      </w:r>
      <w:r w:rsidRPr="003821DA" w:rsidR="00950053">
        <w:t xml:space="preserve"> </w:t>
      </w:r>
      <w:r w:rsidRPr="003821DA">
        <w:t>crime was committed negligently or the crime was of minor or medium gravity and was committed by a person who has never previously served a sentence of imprisonment;</w:t>
      </w:r>
    </w:p>
    <w:p w:rsidRPr="003821DA" w:rsidR="00C02381" w:rsidP="003821DA" w:rsidRDefault="00C02381">
      <w:pPr>
        <w:pStyle w:val="ECHRParaQuote"/>
      </w:pPr>
      <w:r w:rsidRPr="003821DA">
        <w:t>- common-regime correctional colonies (</w:t>
      </w:r>
      <w:proofErr w:type="spellStart"/>
      <w:r w:rsidRPr="003821DA">
        <w:rPr>
          <w:i/>
        </w:rPr>
        <w:t>исправительная</w:t>
      </w:r>
      <w:proofErr w:type="spellEnd"/>
      <w:r w:rsidRPr="003821DA">
        <w:rPr>
          <w:i/>
        </w:rPr>
        <w:t xml:space="preserve"> </w:t>
      </w:r>
      <w:proofErr w:type="spellStart"/>
      <w:r w:rsidRPr="003821DA">
        <w:rPr>
          <w:i/>
        </w:rPr>
        <w:t>колония</w:t>
      </w:r>
      <w:proofErr w:type="spellEnd"/>
      <w:r w:rsidRPr="003821DA">
        <w:rPr>
          <w:i/>
        </w:rPr>
        <w:t xml:space="preserve"> </w:t>
      </w:r>
      <w:proofErr w:type="spellStart"/>
      <w:r w:rsidRPr="003821DA">
        <w:rPr>
          <w:i/>
        </w:rPr>
        <w:t>общего</w:t>
      </w:r>
      <w:proofErr w:type="spellEnd"/>
      <w:r w:rsidRPr="003821DA">
        <w:rPr>
          <w:i/>
        </w:rPr>
        <w:t xml:space="preserve"> </w:t>
      </w:r>
      <w:proofErr w:type="spellStart"/>
      <w:r w:rsidRPr="003821DA">
        <w:rPr>
          <w:i/>
        </w:rPr>
        <w:t>режима</w:t>
      </w:r>
      <w:proofErr w:type="spellEnd"/>
      <w:r w:rsidRPr="003821DA">
        <w:t>), in the case of a grave crime committed by a man who has never previously served a sentence of imprisonment, or in the case of a crime committed by a woman who has been sentenced to imprisonment for committing a grave or particularly grave crime, including any form of recidivism;</w:t>
      </w:r>
    </w:p>
    <w:p w:rsidRPr="003821DA" w:rsidR="00C02381" w:rsidP="003821DA" w:rsidRDefault="00C02381">
      <w:pPr>
        <w:pStyle w:val="ECHRParaQuote"/>
      </w:pPr>
      <w:r w:rsidRPr="003821DA">
        <w:t>- strict-regime correctional colonies (</w:t>
      </w:r>
      <w:proofErr w:type="spellStart"/>
      <w:r w:rsidRPr="003821DA">
        <w:rPr>
          <w:i/>
        </w:rPr>
        <w:t>исправительная</w:t>
      </w:r>
      <w:proofErr w:type="spellEnd"/>
      <w:r w:rsidRPr="003821DA">
        <w:rPr>
          <w:i/>
        </w:rPr>
        <w:t xml:space="preserve"> </w:t>
      </w:r>
      <w:proofErr w:type="spellStart"/>
      <w:r w:rsidRPr="003821DA">
        <w:rPr>
          <w:i/>
        </w:rPr>
        <w:t>колония</w:t>
      </w:r>
      <w:proofErr w:type="spellEnd"/>
      <w:r w:rsidRPr="003821DA">
        <w:rPr>
          <w:i/>
        </w:rPr>
        <w:t xml:space="preserve"> </w:t>
      </w:r>
      <w:proofErr w:type="spellStart"/>
      <w:r w:rsidRPr="003821DA">
        <w:rPr>
          <w:i/>
        </w:rPr>
        <w:t>строго</w:t>
      </w:r>
      <w:proofErr w:type="spellEnd"/>
      <w:r w:rsidRPr="003821DA">
        <w:rPr>
          <w:i/>
        </w:rPr>
        <w:t xml:space="preserve"> </w:t>
      </w:r>
      <w:proofErr w:type="spellStart"/>
      <w:r w:rsidRPr="003821DA">
        <w:rPr>
          <w:i/>
        </w:rPr>
        <w:t>режима</w:t>
      </w:r>
      <w:proofErr w:type="spellEnd"/>
      <w:r w:rsidRPr="003821DA">
        <w:t>), in the case of a crime committed by a man who has been sentenced to imprisonment for the commission of a particularly grave crime, who has never previously served a sentence of imprisonment, and in the case of recidivism or dangerous recidivism, if the convicted person ha</w:t>
      </w:r>
      <w:r w:rsidRPr="003821DA" w:rsidR="00950053">
        <w:t>s</w:t>
      </w:r>
      <w:r w:rsidRPr="003821DA">
        <w:t xml:space="preserve"> previously served a sentence of imprisonment;</w:t>
      </w:r>
    </w:p>
    <w:p w:rsidRPr="003821DA" w:rsidR="00C02381" w:rsidP="003821DA" w:rsidRDefault="00C02381">
      <w:pPr>
        <w:pStyle w:val="ECHRParaQuote"/>
      </w:pPr>
      <w:r w:rsidRPr="003821DA">
        <w:t xml:space="preserve">- </w:t>
      </w:r>
      <w:proofErr w:type="gramStart"/>
      <w:r w:rsidRPr="003821DA">
        <w:t>special-regime</w:t>
      </w:r>
      <w:proofErr w:type="gramEnd"/>
      <w:r w:rsidRPr="003821DA">
        <w:t xml:space="preserve"> correctional colonies (</w:t>
      </w:r>
      <w:proofErr w:type="spellStart"/>
      <w:r w:rsidRPr="003821DA">
        <w:rPr>
          <w:i/>
        </w:rPr>
        <w:t>исправительная</w:t>
      </w:r>
      <w:proofErr w:type="spellEnd"/>
      <w:r w:rsidRPr="003821DA">
        <w:rPr>
          <w:i/>
        </w:rPr>
        <w:t xml:space="preserve"> </w:t>
      </w:r>
      <w:proofErr w:type="spellStart"/>
      <w:r w:rsidRPr="003821DA">
        <w:rPr>
          <w:i/>
        </w:rPr>
        <w:t>колония</w:t>
      </w:r>
      <w:proofErr w:type="spellEnd"/>
      <w:r w:rsidRPr="003821DA">
        <w:rPr>
          <w:i/>
        </w:rPr>
        <w:t xml:space="preserve"> </w:t>
      </w:r>
      <w:proofErr w:type="spellStart"/>
      <w:r w:rsidRPr="003821DA">
        <w:rPr>
          <w:i/>
        </w:rPr>
        <w:t>особого</w:t>
      </w:r>
      <w:proofErr w:type="spellEnd"/>
      <w:r w:rsidRPr="003821DA">
        <w:rPr>
          <w:i/>
        </w:rPr>
        <w:t xml:space="preserve"> </w:t>
      </w:r>
      <w:proofErr w:type="spellStart"/>
      <w:r w:rsidRPr="003821DA">
        <w:rPr>
          <w:i/>
        </w:rPr>
        <w:t>режима</w:t>
      </w:r>
      <w:proofErr w:type="spellEnd"/>
      <w:r w:rsidRPr="003821DA">
        <w:t>), if a</w:t>
      </w:r>
      <w:r w:rsidRPr="003821DA" w:rsidR="00950053">
        <w:t xml:space="preserve"> </w:t>
      </w:r>
      <w:r w:rsidRPr="003821DA">
        <w:t xml:space="preserve">man </w:t>
      </w:r>
      <w:r w:rsidRPr="003821DA" w:rsidR="00950053">
        <w:t xml:space="preserve">has been </w:t>
      </w:r>
      <w:r w:rsidRPr="003821DA">
        <w:t xml:space="preserve">sentenced to a sentence of life imprisonment or if a man is a </w:t>
      </w:r>
      <w:r w:rsidRPr="003821DA" w:rsidR="00950053">
        <w:t>particularly</w:t>
      </w:r>
      <w:r w:rsidRPr="003821DA">
        <w:t xml:space="preserve"> dangerous recidivist,</w:t>
      </w:r>
    </w:p>
    <w:p w:rsidRPr="003821DA" w:rsidR="00C02381" w:rsidP="003821DA" w:rsidRDefault="00C02381">
      <w:pPr>
        <w:pStyle w:val="ECHRParaQuote"/>
      </w:pPr>
      <w:r w:rsidRPr="003821DA">
        <w:t>- prisons (</w:t>
      </w:r>
      <w:proofErr w:type="spellStart"/>
      <w:r w:rsidRPr="003821DA">
        <w:rPr>
          <w:i/>
        </w:rPr>
        <w:t>тюрьмы</w:t>
      </w:r>
      <w:proofErr w:type="spellEnd"/>
      <w:r w:rsidRPr="003821DA">
        <w:t>)</w:t>
      </w:r>
      <w:r w:rsidRPr="003821DA" w:rsidR="00950053">
        <w:t>,</w:t>
      </w:r>
      <w:r w:rsidRPr="003821DA">
        <w:t xml:space="preserve"> </w:t>
      </w:r>
      <w:r w:rsidRPr="003821DA" w:rsidR="008C46B2">
        <w:t xml:space="preserve">if </w:t>
      </w:r>
      <w:r w:rsidRPr="003821DA">
        <w:t>a man has been sentenced to a term of over five years</w:t>
      </w:r>
      <w:r w:rsidRPr="003821DA" w:rsidR="003821DA">
        <w:t>’</w:t>
      </w:r>
      <w:r w:rsidRPr="003821DA">
        <w:t xml:space="preserve"> imprisonment for the commission of </w:t>
      </w:r>
      <w:r w:rsidRPr="003821DA" w:rsidR="00950053">
        <w:t xml:space="preserve">a </w:t>
      </w:r>
      <w:r w:rsidRPr="003821DA">
        <w:t xml:space="preserve">particularly grave crime, or </w:t>
      </w:r>
      <w:r w:rsidRPr="003821DA" w:rsidR="008C46B2">
        <w:t xml:space="preserve">if a man </w:t>
      </w:r>
      <w:r w:rsidRPr="003821DA">
        <w:t>is a</w:t>
      </w:r>
      <w:r w:rsidRPr="003821DA" w:rsidR="00950053">
        <w:t xml:space="preserve"> particularly</w:t>
      </w:r>
      <w:r w:rsidRPr="003821DA">
        <w:t xml:space="preserve"> dangerous </w:t>
      </w:r>
      <w:proofErr w:type="gramStart"/>
      <w:r w:rsidRPr="003821DA">
        <w:t>recidivist,</w:t>
      </w:r>
      <w:r w:rsidRPr="003821DA" w:rsidR="007805A2">
        <w:t>...</w:t>
      </w:r>
      <w:r w:rsidRPr="003821DA" w:rsidR="00164F64">
        <w:t>.</w:t>
      </w:r>
      <w:r w:rsidRPr="003821DA">
        <w:t>”</w:t>
      </w:r>
      <w:proofErr w:type="gramEnd"/>
    </w:p>
    <w:p w:rsidRPr="003821DA" w:rsidR="00970D18" w:rsidP="003821DA" w:rsidRDefault="006E196B">
      <w:pPr>
        <w:pStyle w:val="ECHRHeading3"/>
      </w:pPr>
      <w:r w:rsidRPr="003821DA">
        <w:t>2.  </w:t>
      </w:r>
      <w:r w:rsidRPr="003821DA" w:rsidR="00763E52">
        <w:t>Code of Execution of Criminal Sentences</w:t>
      </w:r>
    </w:p>
    <w:bookmarkStart w:name="ExecutionCriminalSentencesCode" w:id="14"/>
    <w:p w:rsidRPr="003821DA" w:rsidR="00102525" w:rsidP="003821DA" w:rsidRDefault="0045045F">
      <w:pPr>
        <w:pStyle w:val="ECHRPara"/>
      </w:pPr>
      <w:r w:rsidRPr="003821DA">
        <w:fldChar w:fldCharType="begin"/>
      </w:r>
      <w:r w:rsidRPr="003821DA">
        <w:instrText xml:space="preserve"> SEQ level0 \*arabic </w:instrText>
      </w:r>
      <w:r w:rsidRPr="003821DA">
        <w:fldChar w:fldCharType="separate"/>
      </w:r>
      <w:r w:rsidRPr="003821DA" w:rsidR="003821DA">
        <w:rPr>
          <w:noProof/>
        </w:rPr>
        <w:t>33</w:t>
      </w:r>
      <w:r w:rsidRPr="003821DA">
        <w:fldChar w:fldCharType="end"/>
      </w:r>
      <w:bookmarkEnd w:id="14"/>
      <w:r w:rsidRPr="003821DA">
        <w:t>.  </w:t>
      </w:r>
      <w:r w:rsidRPr="003821DA" w:rsidR="004D32E6">
        <w:t xml:space="preserve">The </w:t>
      </w:r>
      <w:r w:rsidRPr="003821DA" w:rsidR="00A63D70">
        <w:t xml:space="preserve">relevant parts of the </w:t>
      </w:r>
      <w:r w:rsidRPr="003821DA" w:rsidR="000C68A0">
        <w:t xml:space="preserve">Russian Code of Execution of Criminal Sentences </w:t>
      </w:r>
      <w:r w:rsidRPr="003821DA" w:rsidR="00102525">
        <w:t>of 8 January 1997</w:t>
      </w:r>
      <w:r w:rsidRPr="003821DA" w:rsidR="00E969D8">
        <w:t xml:space="preserve"> (“the Code of Execution of Criminal Sentences”)</w:t>
      </w:r>
      <w:r w:rsidRPr="003821DA" w:rsidR="000C68A0">
        <w:t xml:space="preserve"> provide</w:t>
      </w:r>
      <w:r w:rsidRPr="003821DA" w:rsidR="00A63D70">
        <w:t xml:space="preserve"> </w:t>
      </w:r>
      <w:r w:rsidRPr="003821DA" w:rsidR="000C68A0">
        <w:t>as follows:</w:t>
      </w:r>
    </w:p>
    <w:p w:rsidRPr="003821DA" w:rsidR="0024297A" w:rsidP="003821DA" w:rsidRDefault="00F0337A">
      <w:pPr>
        <w:pStyle w:val="ECHRTitleCentre3"/>
      </w:pPr>
      <w:proofErr w:type="gramStart"/>
      <w:r w:rsidRPr="003821DA">
        <w:t xml:space="preserve">Article </w:t>
      </w:r>
      <w:r w:rsidRPr="003821DA" w:rsidR="0024297A">
        <w:t>82</w:t>
      </w:r>
      <w:r w:rsidRPr="003821DA" w:rsidR="00531B4A">
        <w:t>.</w:t>
      </w:r>
      <w:proofErr w:type="gramEnd"/>
      <w:r w:rsidRPr="003821DA" w:rsidR="00531B4A">
        <w:t xml:space="preserve"> R</w:t>
      </w:r>
      <w:r w:rsidRPr="003821DA" w:rsidR="00301994">
        <w:t xml:space="preserve">egime in </w:t>
      </w:r>
      <w:r w:rsidRPr="003821DA" w:rsidR="00E34B2D">
        <w:t>penal institution</w:t>
      </w:r>
      <w:r w:rsidRPr="003821DA" w:rsidR="00383A4B">
        <w:t>s</w:t>
      </w:r>
      <w:r w:rsidRPr="003821DA" w:rsidR="00301994">
        <w:t xml:space="preserve"> and its </w:t>
      </w:r>
      <w:r w:rsidRPr="003821DA" w:rsidR="00824B4D">
        <w:t>main</w:t>
      </w:r>
      <w:r w:rsidRPr="003821DA" w:rsidR="00301994">
        <w:t xml:space="preserve"> requirements</w:t>
      </w:r>
    </w:p>
    <w:p w:rsidRPr="003821DA" w:rsidR="00994D42" w:rsidP="003821DA" w:rsidRDefault="00994D42">
      <w:pPr>
        <w:pStyle w:val="ECHRParaQuote"/>
        <w:rPr>
          <w:lang w:bidi="en-US"/>
        </w:rPr>
      </w:pPr>
      <w:r w:rsidRPr="003821DA">
        <w:rPr>
          <w:lang w:bidi="en-US"/>
        </w:rPr>
        <w:t>“</w:t>
      </w:r>
      <w:r w:rsidRPr="003821DA" w:rsidR="009D344A">
        <w:rPr>
          <w:lang w:bidi="en-US"/>
        </w:rPr>
        <w:t>1.</w:t>
      </w:r>
      <w:proofErr w:type="gramStart"/>
      <w:r w:rsidRPr="003821DA" w:rsidR="009D344A">
        <w:rPr>
          <w:lang w:bidi="en-US"/>
        </w:rPr>
        <w:t>  </w:t>
      </w:r>
      <w:r w:rsidRPr="003821DA" w:rsidR="00F12DDF">
        <w:rPr>
          <w:lang w:bidi="en-US"/>
        </w:rPr>
        <w:t>The</w:t>
      </w:r>
      <w:proofErr w:type="gramEnd"/>
      <w:r w:rsidRPr="003821DA" w:rsidR="00F12DDF">
        <w:rPr>
          <w:lang w:bidi="en-US"/>
        </w:rPr>
        <w:t xml:space="preserve"> </w:t>
      </w:r>
      <w:r w:rsidRPr="003821DA" w:rsidR="00EC4FA6">
        <w:rPr>
          <w:lang w:bidi="en-US"/>
        </w:rPr>
        <w:t>r</w:t>
      </w:r>
      <w:r w:rsidRPr="003821DA" w:rsidR="00943E0A">
        <w:rPr>
          <w:lang w:bidi="en-US"/>
        </w:rPr>
        <w:t>egime</w:t>
      </w:r>
      <w:r w:rsidRPr="003821DA" w:rsidR="00383A4B">
        <w:rPr>
          <w:lang w:bidi="en-US"/>
        </w:rPr>
        <w:t xml:space="preserve"> in </w:t>
      </w:r>
      <w:r w:rsidRPr="003821DA" w:rsidR="00F12DDF">
        <w:rPr>
          <w:lang w:bidi="en-US"/>
        </w:rPr>
        <w:t>penal institutions</w:t>
      </w:r>
      <w:r w:rsidRPr="003821DA" w:rsidR="00415EDF">
        <w:rPr>
          <w:lang w:bidi="en-US"/>
        </w:rPr>
        <w:t xml:space="preserve"> is </w:t>
      </w:r>
      <w:r w:rsidRPr="003821DA" w:rsidR="00BF3375">
        <w:rPr>
          <w:lang w:bidi="en-US"/>
        </w:rPr>
        <w:t>the</w:t>
      </w:r>
      <w:r w:rsidRPr="003821DA" w:rsidR="00F12DDF">
        <w:rPr>
          <w:lang w:bidi="en-US"/>
        </w:rPr>
        <w:t xml:space="preserve"> system</w:t>
      </w:r>
      <w:r w:rsidRPr="003821DA" w:rsidR="00943E0A">
        <w:rPr>
          <w:lang w:bidi="en-US"/>
        </w:rPr>
        <w:t xml:space="preserve"> established by law and by regulations</w:t>
      </w:r>
      <w:r w:rsidRPr="003821DA" w:rsidR="00EC0D44">
        <w:rPr>
          <w:lang w:bidi="en-US"/>
        </w:rPr>
        <w:t xml:space="preserve"> compatible with the law</w:t>
      </w:r>
      <w:r w:rsidRPr="003821DA" w:rsidR="00943E0A">
        <w:rPr>
          <w:lang w:bidi="en-US"/>
        </w:rPr>
        <w:t xml:space="preserve"> </w:t>
      </w:r>
      <w:r w:rsidRPr="003821DA" w:rsidR="00EC0D44">
        <w:rPr>
          <w:lang w:bidi="en-US"/>
        </w:rPr>
        <w:t>which ensures</w:t>
      </w:r>
      <w:r w:rsidRPr="003821DA" w:rsidR="00E543FA">
        <w:rPr>
          <w:lang w:bidi="en-US"/>
        </w:rPr>
        <w:t xml:space="preserve"> the</w:t>
      </w:r>
      <w:r w:rsidRPr="003821DA" w:rsidR="00EC0D44">
        <w:rPr>
          <w:lang w:bidi="en-US"/>
        </w:rPr>
        <w:t xml:space="preserve"> guarding and isolation of convicts, </w:t>
      </w:r>
      <w:r w:rsidRPr="003821DA" w:rsidR="009A6B71">
        <w:rPr>
          <w:lang w:bidi="en-US"/>
        </w:rPr>
        <w:t xml:space="preserve">their </w:t>
      </w:r>
      <w:r w:rsidRPr="003821DA" w:rsidR="00EC0D44">
        <w:rPr>
          <w:lang w:bidi="en-US"/>
        </w:rPr>
        <w:t xml:space="preserve">constant </w:t>
      </w:r>
      <w:r w:rsidRPr="003821DA" w:rsidR="003E428C">
        <w:rPr>
          <w:lang w:bidi="en-US"/>
        </w:rPr>
        <w:t>surveillance</w:t>
      </w:r>
      <w:r w:rsidRPr="003821DA" w:rsidR="007067A0">
        <w:rPr>
          <w:lang w:bidi="en-US"/>
        </w:rPr>
        <w:t>, performance of their obligations</w:t>
      </w:r>
      <w:r w:rsidRPr="003821DA" w:rsidR="00E543FA">
        <w:rPr>
          <w:lang w:bidi="en-US"/>
        </w:rPr>
        <w:t xml:space="preserve">, </w:t>
      </w:r>
      <w:r w:rsidRPr="003821DA" w:rsidR="00FF4001">
        <w:rPr>
          <w:lang w:bidi="en-US"/>
        </w:rPr>
        <w:t xml:space="preserve">the exercise </w:t>
      </w:r>
      <w:r w:rsidRPr="003821DA" w:rsidR="007067A0">
        <w:rPr>
          <w:lang w:bidi="en-US"/>
        </w:rPr>
        <w:t xml:space="preserve">of their rights and lawful interests, </w:t>
      </w:r>
      <w:r w:rsidRPr="003821DA" w:rsidR="00E543FA">
        <w:rPr>
          <w:lang w:bidi="en-US"/>
        </w:rPr>
        <w:t xml:space="preserve">the </w:t>
      </w:r>
      <w:r w:rsidRPr="003821DA" w:rsidR="007067A0">
        <w:rPr>
          <w:lang w:bidi="en-US"/>
        </w:rPr>
        <w:t xml:space="preserve">personal safety of convicts and </w:t>
      </w:r>
      <w:r w:rsidRPr="003821DA" w:rsidR="00E543FA">
        <w:rPr>
          <w:lang w:bidi="en-US"/>
        </w:rPr>
        <w:t>staff</w:t>
      </w:r>
      <w:r w:rsidRPr="003821DA" w:rsidR="00164F64">
        <w:rPr>
          <w:lang w:bidi="en-US"/>
        </w:rPr>
        <w:t>...</w:t>
      </w:r>
    </w:p>
    <w:p w:rsidRPr="003821DA" w:rsidR="007067A0" w:rsidP="003821DA" w:rsidRDefault="007067A0">
      <w:pPr>
        <w:pStyle w:val="ECHRParaQuote"/>
        <w:rPr>
          <w:lang w:bidi="en-US"/>
        </w:rPr>
      </w:pPr>
      <w:r w:rsidRPr="003821DA">
        <w:rPr>
          <w:lang w:bidi="en-US"/>
        </w:rPr>
        <w:t>2.  </w:t>
      </w:r>
      <w:r w:rsidRPr="003821DA" w:rsidR="00F12DDF">
        <w:rPr>
          <w:lang w:bidi="en-US"/>
        </w:rPr>
        <w:t xml:space="preserve">The </w:t>
      </w:r>
      <w:r w:rsidRPr="003821DA" w:rsidR="00EC4FA6">
        <w:rPr>
          <w:lang w:bidi="en-US"/>
        </w:rPr>
        <w:t>r</w:t>
      </w:r>
      <w:r w:rsidRPr="003821DA">
        <w:rPr>
          <w:lang w:bidi="en-US"/>
        </w:rPr>
        <w:t xml:space="preserve">egime </w:t>
      </w:r>
      <w:r w:rsidRPr="003821DA" w:rsidR="00E543FA">
        <w:rPr>
          <w:lang w:bidi="en-US"/>
        </w:rPr>
        <w:t xml:space="preserve">creates </w:t>
      </w:r>
      <w:r w:rsidRPr="003821DA">
        <w:rPr>
          <w:lang w:bidi="en-US"/>
        </w:rPr>
        <w:t>conditions for the use of other means of correction of convicts.</w:t>
      </w:r>
    </w:p>
    <w:p w:rsidRPr="003821DA" w:rsidR="007067A0" w:rsidP="003821DA" w:rsidRDefault="007067A0">
      <w:pPr>
        <w:pStyle w:val="ECHRParaQuote"/>
        <w:rPr>
          <w:lang w:bidi="en-US"/>
        </w:rPr>
      </w:pPr>
      <w:r w:rsidRPr="003821DA">
        <w:rPr>
          <w:lang w:bidi="en-US"/>
        </w:rPr>
        <w:t>3.  </w:t>
      </w:r>
      <w:r w:rsidRPr="003821DA" w:rsidR="00417B22">
        <w:rPr>
          <w:lang w:bidi="en-US"/>
        </w:rPr>
        <w:t>The r</w:t>
      </w:r>
      <w:r w:rsidRPr="003821DA">
        <w:rPr>
          <w:lang w:bidi="en-US"/>
        </w:rPr>
        <w:t xml:space="preserve">ules of internal order </w:t>
      </w:r>
      <w:r w:rsidRPr="003821DA" w:rsidR="00F60D15">
        <w:rPr>
          <w:lang w:bidi="en-US"/>
        </w:rPr>
        <w:t>of</w:t>
      </w:r>
      <w:r w:rsidRPr="003821DA" w:rsidR="00417B22">
        <w:rPr>
          <w:lang w:bidi="en-US"/>
        </w:rPr>
        <w:t xml:space="preserve"> a</w:t>
      </w:r>
      <w:r w:rsidRPr="003821DA" w:rsidR="00F60D15">
        <w:rPr>
          <w:lang w:bidi="en-US"/>
        </w:rPr>
        <w:t xml:space="preserve"> </w:t>
      </w:r>
      <w:r w:rsidRPr="003821DA" w:rsidR="00417B22">
        <w:rPr>
          <w:lang w:bidi="en-US"/>
        </w:rPr>
        <w:t>penal institution</w:t>
      </w:r>
      <w:r w:rsidRPr="003821DA" w:rsidR="00F60D15">
        <w:rPr>
          <w:lang w:bidi="en-US"/>
        </w:rPr>
        <w:t>, as approved by [a competent federal executive agency] in cooperation with the Prosecutor General</w:t>
      </w:r>
      <w:r w:rsidRPr="003821DA" w:rsidR="003821DA">
        <w:rPr>
          <w:lang w:bidi="en-US"/>
        </w:rPr>
        <w:t>’</w:t>
      </w:r>
      <w:r w:rsidRPr="003821DA" w:rsidR="00F60D15">
        <w:rPr>
          <w:lang w:bidi="en-US"/>
        </w:rPr>
        <w:t xml:space="preserve">s Office of the Russian Federation, </w:t>
      </w:r>
      <w:r w:rsidRPr="003821DA">
        <w:rPr>
          <w:lang w:bidi="en-US"/>
        </w:rPr>
        <w:t xml:space="preserve">are in force in </w:t>
      </w:r>
      <w:r w:rsidRPr="003821DA" w:rsidR="00E34B2D">
        <w:rPr>
          <w:lang w:bidi="en-US"/>
        </w:rPr>
        <w:t>penal institution</w:t>
      </w:r>
      <w:r w:rsidRPr="003821DA" w:rsidR="00383A4B">
        <w:rPr>
          <w:lang w:bidi="en-US"/>
        </w:rPr>
        <w:t>s</w:t>
      </w:r>
      <w:r w:rsidRPr="003821DA">
        <w:rPr>
          <w:lang w:bidi="en-US"/>
        </w:rPr>
        <w:t>.</w:t>
      </w:r>
    </w:p>
    <w:p w:rsidRPr="003821DA" w:rsidR="00F60D15" w:rsidP="003821DA" w:rsidRDefault="00F60D15">
      <w:pPr>
        <w:pStyle w:val="ECHRParaQuote"/>
        <w:rPr>
          <w:lang w:bidi="en-US"/>
        </w:rPr>
      </w:pPr>
      <w:r w:rsidRPr="003821DA">
        <w:rPr>
          <w:lang w:bidi="en-US"/>
        </w:rPr>
        <w:t xml:space="preserve">4.  The authorities of a </w:t>
      </w:r>
      <w:r w:rsidRPr="003821DA" w:rsidR="00FF4001">
        <w:rPr>
          <w:lang w:bidi="en-US"/>
        </w:rPr>
        <w:t>penal institution</w:t>
      </w:r>
      <w:r w:rsidRPr="003821DA">
        <w:rPr>
          <w:lang w:bidi="en-US"/>
        </w:rPr>
        <w:t xml:space="preserve"> have an obligation to provide </w:t>
      </w:r>
      <w:r w:rsidRPr="003821DA" w:rsidR="00666FEA">
        <w:rPr>
          <w:lang w:bidi="en-US"/>
        </w:rPr>
        <w:t>convicts</w:t>
      </w:r>
      <w:r w:rsidRPr="003821DA">
        <w:rPr>
          <w:lang w:bidi="en-US"/>
        </w:rPr>
        <w:t xml:space="preserve"> with </w:t>
      </w:r>
      <w:r w:rsidRPr="003821DA" w:rsidR="00EB489F">
        <w:rPr>
          <w:lang w:bidi="en-US"/>
        </w:rPr>
        <w:t xml:space="preserve">standard </w:t>
      </w:r>
      <w:r w:rsidRPr="003821DA">
        <w:rPr>
          <w:lang w:bidi="en-US"/>
        </w:rPr>
        <w:t>cloth</w:t>
      </w:r>
      <w:r w:rsidRPr="003821DA" w:rsidR="00EB489F">
        <w:rPr>
          <w:lang w:bidi="en-US"/>
        </w:rPr>
        <w:t>ing</w:t>
      </w:r>
      <w:r w:rsidRPr="003821DA">
        <w:rPr>
          <w:lang w:bidi="en-US"/>
        </w:rPr>
        <w:t xml:space="preserve">. </w:t>
      </w:r>
      <w:proofErr w:type="gramStart"/>
      <w:r w:rsidRPr="003821DA" w:rsidR="00666FEA">
        <w:rPr>
          <w:lang w:bidi="en-US"/>
        </w:rPr>
        <w:t xml:space="preserve">The form of </w:t>
      </w:r>
      <w:r w:rsidRPr="003821DA" w:rsidR="00E543FA">
        <w:rPr>
          <w:lang w:bidi="en-US"/>
        </w:rPr>
        <w:t xml:space="preserve">clothing </w:t>
      </w:r>
      <w:r w:rsidRPr="003821DA" w:rsidR="00666FEA">
        <w:rPr>
          <w:lang w:bidi="en-US"/>
        </w:rPr>
        <w:t xml:space="preserve">shall be established by legal </w:t>
      </w:r>
      <w:r w:rsidRPr="003821DA" w:rsidR="00EF6F22">
        <w:rPr>
          <w:lang w:bidi="en-US"/>
        </w:rPr>
        <w:t>instruments</w:t>
      </w:r>
      <w:r w:rsidRPr="003821DA" w:rsidR="00FF4001">
        <w:rPr>
          <w:lang w:bidi="en-US"/>
        </w:rPr>
        <w:t xml:space="preserve"> </w:t>
      </w:r>
      <w:r w:rsidRPr="003821DA" w:rsidR="00666FEA">
        <w:rPr>
          <w:lang w:bidi="en-US"/>
        </w:rPr>
        <w:t>and regulations of the Russian Federation</w:t>
      </w:r>
      <w:proofErr w:type="gramEnd"/>
      <w:r w:rsidRPr="003821DA" w:rsidR="00666FEA">
        <w:rPr>
          <w:lang w:bidi="en-US"/>
        </w:rPr>
        <w:t>.</w:t>
      </w:r>
    </w:p>
    <w:p w:rsidRPr="003821DA" w:rsidR="00666FEA" w:rsidP="003821DA" w:rsidRDefault="00666FEA">
      <w:pPr>
        <w:pStyle w:val="ECHRParaQuote"/>
        <w:rPr>
          <w:lang w:bidi="en-US"/>
        </w:rPr>
      </w:pPr>
      <w:r w:rsidRPr="003821DA">
        <w:rPr>
          <w:lang w:bidi="en-US"/>
        </w:rPr>
        <w:t xml:space="preserve">5.  Convicts and the premises on which they live </w:t>
      </w:r>
      <w:proofErr w:type="gramStart"/>
      <w:r w:rsidRPr="003821DA">
        <w:rPr>
          <w:lang w:bidi="en-US"/>
        </w:rPr>
        <w:t>may be search</w:t>
      </w:r>
      <w:r w:rsidRPr="003821DA" w:rsidR="00E543FA">
        <w:rPr>
          <w:lang w:bidi="en-US"/>
        </w:rPr>
        <w:t>ed</w:t>
      </w:r>
      <w:proofErr w:type="gramEnd"/>
      <w:r w:rsidRPr="003821DA">
        <w:rPr>
          <w:lang w:bidi="en-US"/>
        </w:rPr>
        <w:t xml:space="preserve"> and their belongings subject to </w:t>
      </w:r>
      <w:r w:rsidRPr="003821DA" w:rsidR="00E543FA">
        <w:rPr>
          <w:lang w:bidi="en-US"/>
        </w:rPr>
        <w:t xml:space="preserve">an </w:t>
      </w:r>
      <w:r w:rsidRPr="003821DA">
        <w:rPr>
          <w:lang w:bidi="en-US"/>
        </w:rPr>
        <w:t xml:space="preserve">inspection. </w:t>
      </w:r>
      <w:proofErr w:type="gramStart"/>
      <w:r w:rsidRPr="003821DA" w:rsidR="00E543FA">
        <w:rPr>
          <w:lang w:bidi="en-US"/>
        </w:rPr>
        <w:t>B</w:t>
      </w:r>
      <w:r w:rsidRPr="003821DA" w:rsidR="009D1634">
        <w:rPr>
          <w:lang w:bidi="en-US"/>
        </w:rPr>
        <w:t>ody search</w:t>
      </w:r>
      <w:r w:rsidRPr="003821DA" w:rsidR="00E543FA">
        <w:rPr>
          <w:lang w:bidi="en-US"/>
        </w:rPr>
        <w:t>es</w:t>
      </w:r>
      <w:r w:rsidRPr="003821DA" w:rsidR="009D1634">
        <w:rPr>
          <w:lang w:bidi="en-US"/>
        </w:rPr>
        <w:t xml:space="preserve"> shall be performed by </w:t>
      </w:r>
      <w:r w:rsidRPr="003821DA" w:rsidR="00E543FA">
        <w:rPr>
          <w:lang w:bidi="en-US"/>
        </w:rPr>
        <w:t xml:space="preserve">staff </w:t>
      </w:r>
      <w:r w:rsidRPr="003821DA" w:rsidR="006C7123">
        <w:rPr>
          <w:lang w:bidi="en-US"/>
        </w:rPr>
        <w:t>of the same sex as convicts</w:t>
      </w:r>
      <w:proofErr w:type="gramEnd"/>
      <w:r w:rsidRPr="003821DA" w:rsidR="006C7123">
        <w:rPr>
          <w:lang w:bidi="en-US"/>
        </w:rPr>
        <w:t xml:space="preserve">. </w:t>
      </w:r>
      <w:r w:rsidRPr="003821DA" w:rsidR="00E543FA">
        <w:rPr>
          <w:lang w:bidi="en-US"/>
        </w:rPr>
        <w:t>Searches of residential premises in the presence of convicts are only permitted in cases of urgency</w:t>
      </w:r>
      <w:r w:rsidRPr="003821DA" w:rsidR="00164F64">
        <w:rPr>
          <w:lang w:bidi="en-US"/>
        </w:rPr>
        <w:t>...</w:t>
      </w:r>
      <w:r w:rsidRPr="003821DA" w:rsidR="00DC61CB">
        <w:rPr>
          <w:lang w:bidi="en-US"/>
        </w:rPr>
        <w:t>”</w:t>
      </w:r>
    </w:p>
    <w:p w:rsidRPr="003821DA" w:rsidR="00F0337A" w:rsidP="003821DA" w:rsidRDefault="0024297A">
      <w:pPr>
        <w:pStyle w:val="ECHRTitleCentre3"/>
      </w:pPr>
      <w:proofErr w:type="gramStart"/>
      <w:r w:rsidRPr="003821DA">
        <w:t xml:space="preserve">Article </w:t>
      </w:r>
      <w:r w:rsidRPr="003821DA" w:rsidR="00715D78">
        <w:t>83.</w:t>
      </w:r>
      <w:proofErr w:type="gramEnd"/>
      <w:r w:rsidRPr="003821DA" w:rsidR="00715D78">
        <w:t xml:space="preserve"> Technical means of </w:t>
      </w:r>
      <w:r w:rsidRPr="003821DA" w:rsidR="00715543">
        <w:t>surveillance</w:t>
      </w:r>
      <w:r w:rsidRPr="003821DA" w:rsidR="001B1164">
        <w:t xml:space="preserve"> and control</w:t>
      </w:r>
    </w:p>
    <w:p w:rsidRPr="003821DA" w:rsidR="00994D42" w:rsidP="003821DA" w:rsidRDefault="00994D42">
      <w:pPr>
        <w:pStyle w:val="ECHRParaQuote"/>
        <w:rPr>
          <w:lang w:bidi="en-US"/>
        </w:rPr>
      </w:pPr>
      <w:r w:rsidRPr="003821DA">
        <w:rPr>
          <w:lang w:bidi="en-US"/>
        </w:rPr>
        <w:t>“</w:t>
      </w:r>
      <w:r w:rsidRPr="003821DA" w:rsidR="009D344A">
        <w:rPr>
          <w:lang w:bidi="en-US"/>
        </w:rPr>
        <w:t>1.</w:t>
      </w:r>
      <w:proofErr w:type="gramStart"/>
      <w:r w:rsidRPr="003821DA" w:rsidR="009D344A">
        <w:rPr>
          <w:lang w:bidi="en-US"/>
        </w:rPr>
        <w:t>  </w:t>
      </w:r>
      <w:r w:rsidRPr="003821DA" w:rsidR="00393DF9">
        <w:rPr>
          <w:lang w:bidi="en-US"/>
        </w:rPr>
        <w:t>The</w:t>
      </w:r>
      <w:proofErr w:type="gramEnd"/>
      <w:r w:rsidRPr="003821DA" w:rsidR="00393DF9">
        <w:rPr>
          <w:lang w:bidi="en-US"/>
        </w:rPr>
        <w:t xml:space="preserve"> authorities of </w:t>
      </w:r>
      <w:r w:rsidRPr="003821DA" w:rsidR="00FF4001">
        <w:rPr>
          <w:lang w:bidi="en-US"/>
        </w:rPr>
        <w:t>penal institutions</w:t>
      </w:r>
      <w:r w:rsidRPr="003821DA" w:rsidR="00383A4B">
        <w:rPr>
          <w:lang w:bidi="en-US"/>
        </w:rPr>
        <w:t xml:space="preserve"> </w:t>
      </w:r>
      <w:r w:rsidRPr="003821DA" w:rsidR="0064517A">
        <w:rPr>
          <w:lang w:bidi="en-US"/>
        </w:rPr>
        <w:t xml:space="preserve">are entitled to use </w:t>
      </w:r>
      <w:proofErr w:type="spellStart"/>
      <w:r w:rsidRPr="003821DA" w:rsidR="0064517A">
        <w:rPr>
          <w:lang w:bidi="en-US"/>
        </w:rPr>
        <w:t>audiovisual</w:t>
      </w:r>
      <w:proofErr w:type="spellEnd"/>
      <w:r w:rsidRPr="003821DA" w:rsidR="0064517A">
        <w:rPr>
          <w:lang w:bidi="en-US"/>
        </w:rPr>
        <w:t xml:space="preserve">, electronic and other technical means of </w:t>
      </w:r>
      <w:r w:rsidRPr="003821DA" w:rsidR="00715543">
        <w:rPr>
          <w:lang w:bidi="en-US"/>
        </w:rPr>
        <w:t>surveillance</w:t>
      </w:r>
      <w:r w:rsidRPr="003821DA" w:rsidR="0064517A">
        <w:rPr>
          <w:lang w:bidi="en-US"/>
        </w:rPr>
        <w:t xml:space="preserve"> and control </w:t>
      </w:r>
      <w:r w:rsidRPr="003821DA" w:rsidR="00E543FA">
        <w:rPr>
          <w:lang w:bidi="en-US"/>
        </w:rPr>
        <w:t xml:space="preserve">to </w:t>
      </w:r>
      <w:r w:rsidRPr="003821DA" w:rsidR="00F83D87">
        <w:rPr>
          <w:lang w:bidi="en-US"/>
        </w:rPr>
        <w:t>prevent escapes and other crimes</w:t>
      </w:r>
      <w:r w:rsidRPr="003821DA" w:rsidR="00B159ED">
        <w:rPr>
          <w:lang w:bidi="en-US"/>
        </w:rPr>
        <w:t xml:space="preserve"> or</w:t>
      </w:r>
      <w:r w:rsidRPr="003821DA" w:rsidR="00F83D87">
        <w:rPr>
          <w:lang w:bidi="en-US"/>
        </w:rPr>
        <w:t xml:space="preserve"> </w:t>
      </w:r>
      <w:r w:rsidRPr="003821DA" w:rsidR="00FF204D">
        <w:rPr>
          <w:lang w:bidi="en-US"/>
        </w:rPr>
        <w:t xml:space="preserve">breaches of the established order of serving the sentence, </w:t>
      </w:r>
      <w:r w:rsidRPr="003821DA" w:rsidR="00F83D87">
        <w:rPr>
          <w:lang w:bidi="en-US"/>
        </w:rPr>
        <w:t xml:space="preserve">and </w:t>
      </w:r>
      <w:r w:rsidRPr="003821DA" w:rsidR="00E543FA">
        <w:rPr>
          <w:lang w:bidi="en-US"/>
        </w:rPr>
        <w:t>to</w:t>
      </w:r>
      <w:r w:rsidRPr="003821DA" w:rsidR="00F83D87">
        <w:rPr>
          <w:lang w:bidi="en-US"/>
        </w:rPr>
        <w:t xml:space="preserve"> obtain necessary information about convicts</w:t>
      </w:r>
      <w:r w:rsidRPr="003821DA" w:rsidR="003821DA">
        <w:rPr>
          <w:lang w:bidi="en-US"/>
        </w:rPr>
        <w:t>’</w:t>
      </w:r>
      <w:r w:rsidRPr="003821DA" w:rsidR="00F83D87">
        <w:rPr>
          <w:lang w:bidi="en-US"/>
        </w:rPr>
        <w:t xml:space="preserve"> conduct.</w:t>
      </w:r>
    </w:p>
    <w:p w:rsidRPr="003821DA" w:rsidR="00164F64" w:rsidP="003821DA" w:rsidRDefault="0064517A">
      <w:pPr>
        <w:pStyle w:val="ECHRParaQuote"/>
        <w:rPr>
          <w:lang w:bidi="en-US"/>
        </w:rPr>
      </w:pPr>
      <w:r w:rsidRPr="003821DA">
        <w:rPr>
          <w:lang w:bidi="en-US"/>
        </w:rPr>
        <w:t xml:space="preserve">2.  The authorities of </w:t>
      </w:r>
      <w:r w:rsidRPr="003821DA" w:rsidR="00FF4001">
        <w:rPr>
          <w:lang w:bidi="en-US"/>
        </w:rPr>
        <w:t>penal institutions</w:t>
      </w:r>
      <w:r w:rsidRPr="003821DA">
        <w:rPr>
          <w:lang w:bidi="en-US"/>
        </w:rPr>
        <w:t xml:space="preserve"> </w:t>
      </w:r>
      <w:r w:rsidRPr="003821DA" w:rsidR="00FF204D">
        <w:rPr>
          <w:lang w:bidi="en-US"/>
        </w:rPr>
        <w:t>have an obligation to inform</w:t>
      </w:r>
      <w:r w:rsidRPr="003821DA" w:rsidR="0090753C">
        <w:rPr>
          <w:lang w:bidi="en-US"/>
        </w:rPr>
        <w:t xml:space="preserve"> </w:t>
      </w:r>
      <w:r w:rsidRPr="003821DA" w:rsidR="00DA342E">
        <w:rPr>
          <w:lang w:bidi="en-US"/>
        </w:rPr>
        <w:t>convicts</w:t>
      </w:r>
      <w:r w:rsidRPr="003821DA" w:rsidR="0090753C">
        <w:rPr>
          <w:lang w:bidi="en-US"/>
        </w:rPr>
        <w:t xml:space="preserve">, </w:t>
      </w:r>
      <w:r w:rsidRPr="003821DA" w:rsidR="002809DC">
        <w:t>obtaining their signature as acknowledgment</w:t>
      </w:r>
      <w:r w:rsidRPr="003821DA" w:rsidR="0090753C">
        <w:rPr>
          <w:lang w:bidi="en-US"/>
        </w:rPr>
        <w:t xml:space="preserve">, </w:t>
      </w:r>
      <w:r w:rsidRPr="003821DA" w:rsidR="00FF204D">
        <w:rPr>
          <w:lang w:bidi="en-US"/>
        </w:rPr>
        <w:t xml:space="preserve">of the use of the above-mentioned means of </w:t>
      </w:r>
      <w:r w:rsidRPr="003821DA" w:rsidR="00715543">
        <w:rPr>
          <w:lang w:bidi="en-US"/>
        </w:rPr>
        <w:t>surveillance</w:t>
      </w:r>
      <w:r w:rsidRPr="003821DA" w:rsidR="00FF204D">
        <w:rPr>
          <w:lang w:bidi="en-US"/>
        </w:rPr>
        <w:t xml:space="preserve"> and control.</w:t>
      </w:r>
    </w:p>
    <w:p w:rsidRPr="003821DA" w:rsidR="00FF204D" w:rsidP="003821DA" w:rsidRDefault="00FF204D">
      <w:pPr>
        <w:pStyle w:val="ECHRParaQuote"/>
        <w:rPr>
          <w:lang w:bidi="en-US"/>
        </w:rPr>
      </w:pPr>
      <w:r w:rsidRPr="003821DA">
        <w:rPr>
          <w:lang w:bidi="en-US"/>
        </w:rPr>
        <w:t>3.</w:t>
      </w:r>
      <w:proofErr w:type="gramStart"/>
      <w:r w:rsidRPr="003821DA">
        <w:rPr>
          <w:lang w:bidi="en-US"/>
        </w:rPr>
        <w:t>  A</w:t>
      </w:r>
      <w:proofErr w:type="gramEnd"/>
      <w:r w:rsidRPr="003821DA">
        <w:rPr>
          <w:lang w:bidi="en-US"/>
        </w:rPr>
        <w:t xml:space="preserve"> list of technical means of s</w:t>
      </w:r>
      <w:r w:rsidRPr="003821DA" w:rsidR="00715543">
        <w:rPr>
          <w:lang w:bidi="en-US"/>
        </w:rPr>
        <w:t>urveillance</w:t>
      </w:r>
      <w:r w:rsidRPr="003821DA">
        <w:rPr>
          <w:lang w:bidi="en-US"/>
        </w:rPr>
        <w:t xml:space="preserve"> and control and </w:t>
      </w:r>
      <w:r w:rsidRPr="003821DA" w:rsidR="0090753C">
        <w:rPr>
          <w:lang w:bidi="en-US"/>
        </w:rPr>
        <w:t xml:space="preserve">the procedure for their use shall be established by </w:t>
      </w:r>
      <w:r w:rsidRPr="003821DA" w:rsidR="00415EDF">
        <w:rPr>
          <w:lang w:bidi="en-US"/>
        </w:rPr>
        <w:t xml:space="preserve">legal </w:t>
      </w:r>
      <w:r w:rsidRPr="003821DA" w:rsidR="0059740F">
        <w:rPr>
          <w:lang w:bidi="en-US"/>
        </w:rPr>
        <w:t xml:space="preserve">instruments </w:t>
      </w:r>
      <w:r w:rsidRPr="003821DA" w:rsidR="00415EDF">
        <w:rPr>
          <w:lang w:bidi="en-US"/>
        </w:rPr>
        <w:t>and regulations</w:t>
      </w:r>
      <w:r w:rsidRPr="003821DA" w:rsidR="00824B4D">
        <w:rPr>
          <w:lang w:bidi="en-US"/>
        </w:rPr>
        <w:t xml:space="preserve"> of the Russian Federation.”</w:t>
      </w:r>
    </w:p>
    <w:p w:rsidRPr="003821DA" w:rsidR="002632DC" w:rsidP="003821DA" w:rsidRDefault="006E196B">
      <w:pPr>
        <w:pStyle w:val="ECHRHeading3"/>
        <w:rPr>
          <w:lang w:bidi="en-US"/>
        </w:rPr>
      </w:pPr>
      <w:r w:rsidRPr="003821DA">
        <w:rPr>
          <w:lang w:bidi="en-US"/>
        </w:rPr>
        <w:t>3</w:t>
      </w:r>
      <w:r w:rsidRPr="003821DA" w:rsidR="002632DC">
        <w:rPr>
          <w:lang w:bidi="en-US"/>
        </w:rPr>
        <w:t>.  Pre-trial Detention Act</w:t>
      </w:r>
    </w:p>
    <w:bookmarkStart w:name="PreTrialDetentionAct" w:id="15"/>
    <w:p w:rsidRPr="003821DA" w:rsidR="0018649F" w:rsidP="003821DA" w:rsidRDefault="002632DC">
      <w:pPr>
        <w:pStyle w:val="ECHRPara"/>
        <w:rPr>
          <w:lang w:bidi="en-US"/>
        </w:rPr>
      </w:pPr>
      <w:r w:rsidRPr="003821DA">
        <w:rPr>
          <w:lang w:bidi="en-US"/>
        </w:rPr>
        <w:fldChar w:fldCharType="begin"/>
      </w:r>
      <w:r w:rsidRPr="003821DA">
        <w:rPr>
          <w:lang w:bidi="en-US"/>
        </w:rPr>
        <w:instrText xml:space="preserve"> SEQ level0 \*arabic </w:instrText>
      </w:r>
      <w:r w:rsidRPr="003821DA">
        <w:rPr>
          <w:lang w:bidi="en-US"/>
        </w:rPr>
        <w:fldChar w:fldCharType="separate"/>
      </w:r>
      <w:r w:rsidRPr="003821DA" w:rsidR="003821DA">
        <w:rPr>
          <w:noProof/>
          <w:lang w:bidi="en-US"/>
        </w:rPr>
        <w:t>34</w:t>
      </w:r>
      <w:r w:rsidRPr="003821DA">
        <w:rPr>
          <w:lang w:bidi="en-US"/>
        </w:rPr>
        <w:fldChar w:fldCharType="end"/>
      </w:r>
      <w:bookmarkEnd w:id="15"/>
      <w:r w:rsidRPr="003821DA">
        <w:rPr>
          <w:lang w:bidi="en-US"/>
        </w:rPr>
        <w:t>.  </w:t>
      </w:r>
      <w:r w:rsidRPr="003821DA" w:rsidR="007217F8">
        <w:rPr>
          <w:lang w:bidi="en-US"/>
        </w:rPr>
        <w:t xml:space="preserve">The relevant parts of </w:t>
      </w:r>
      <w:r w:rsidRPr="003821DA" w:rsidR="0018649F">
        <w:rPr>
          <w:lang w:bidi="en-US"/>
        </w:rPr>
        <w:t xml:space="preserve">Federal Law “On </w:t>
      </w:r>
      <w:r w:rsidRPr="003821DA" w:rsidR="00DA4B05">
        <w:rPr>
          <w:lang w:bidi="en-US"/>
        </w:rPr>
        <w:t xml:space="preserve">the </w:t>
      </w:r>
      <w:r w:rsidRPr="003821DA" w:rsidR="0018649F">
        <w:rPr>
          <w:lang w:bidi="en-US"/>
        </w:rPr>
        <w:t xml:space="preserve">Detention of Suspects and </w:t>
      </w:r>
      <w:r w:rsidRPr="003821DA" w:rsidR="00D301B2">
        <w:rPr>
          <w:lang w:bidi="en-US"/>
        </w:rPr>
        <w:t xml:space="preserve">Persons </w:t>
      </w:r>
      <w:r w:rsidRPr="003821DA" w:rsidR="0018649F">
        <w:rPr>
          <w:lang w:bidi="en-US"/>
        </w:rPr>
        <w:t>Accused of Criminal Offences” no. 103-FZ dated 15 July</w:t>
      </w:r>
      <w:r w:rsidRPr="003821DA" w:rsidR="0036352D">
        <w:rPr>
          <w:lang w:bidi="en-US"/>
        </w:rPr>
        <w:t xml:space="preserve"> 1995 (</w:t>
      </w:r>
      <w:proofErr w:type="spellStart"/>
      <w:r w:rsidRPr="003821DA" w:rsidR="0036352D">
        <w:rPr>
          <w:i/>
          <w:lang w:bidi="en-US"/>
        </w:rPr>
        <w:t>Федеральный</w:t>
      </w:r>
      <w:proofErr w:type="spellEnd"/>
      <w:r w:rsidRPr="003821DA" w:rsidR="0036352D">
        <w:rPr>
          <w:i/>
          <w:lang w:bidi="en-US"/>
        </w:rPr>
        <w:t xml:space="preserve"> </w:t>
      </w:r>
      <w:proofErr w:type="spellStart"/>
      <w:r w:rsidRPr="003821DA" w:rsidR="0036352D">
        <w:rPr>
          <w:i/>
          <w:lang w:bidi="en-US"/>
        </w:rPr>
        <w:t>закон</w:t>
      </w:r>
      <w:proofErr w:type="spellEnd"/>
      <w:r w:rsidRPr="003821DA" w:rsidR="0036352D">
        <w:rPr>
          <w:i/>
          <w:lang w:bidi="en-US"/>
        </w:rPr>
        <w:t xml:space="preserve"> </w:t>
      </w:r>
      <w:proofErr w:type="spellStart"/>
      <w:r w:rsidRPr="003821DA" w:rsidR="0036352D">
        <w:rPr>
          <w:i/>
          <w:lang w:bidi="en-US"/>
        </w:rPr>
        <w:t>от</w:t>
      </w:r>
      <w:proofErr w:type="spellEnd"/>
      <w:r w:rsidRPr="003821DA" w:rsidR="0036352D">
        <w:rPr>
          <w:i/>
          <w:lang w:bidi="en-US"/>
        </w:rPr>
        <w:t xml:space="preserve"> 15 </w:t>
      </w:r>
      <w:r w:rsidRPr="003821DA" w:rsidR="0036352D">
        <w:rPr>
          <w:i/>
          <w:lang w:val="ru-RU" w:bidi="en-US"/>
        </w:rPr>
        <w:t>июля</w:t>
      </w:r>
      <w:r w:rsidRPr="003821DA" w:rsidR="0036352D">
        <w:rPr>
          <w:i/>
          <w:lang w:bidi="en-US"/>
        </w:rPr>
        <w:t xml:space="preserve"> 1995 N 103-ФЗ «О </w:t>
      </w:r>
      <w:proofErr w:type="spellStart"/>
      <w:r w:rsidRPr="003821DA" w:rsidR="0036352D">
        <w:rPr>
          <w:i/>
          <w:lang w:bidi="en-US"/>
        </w:rPr>
        <w:t>содержании</w:t>
      </w:r>
      <w:proofErr w:type="spellEnd"/>
      <w:r w:rsidRPr="003821DA" w:rsidR="0036352D">
        <w:rPr>
          <w:i/>
          <w:lang w:bidi="en-US"/>
        </w:rPr>
        <w:t xml:space="preserve"> </w:t>
      </w:r>
      <w:proofErr w:type="spellStart"/>
      <w:r w:rsidRPr="003821DA" w:rsidR="0036352D">
        <w:rPr>
          <w:i/>
          <w:lang w:bidi="en-US"/>
        </w:rPr>
        <w:t>под</w:t>
      </w:r>
      <w:proofErr w:type="spellEnd"/>
      <w:r w:rsidRPr="003821DA" w:rsidR="0036352D">
        <w:rPr>
          <w:i/>
          <w:lang w:bidi="en-US"/>
        </w:rPr>
        <w:t xml:space="preserve"> </w:t>
      </w:r>
      <w:proofErr w:type="spellStart"/>
      <w:r w:rsidRPr="003821DA" w:rsidR="0036352D">
        <w:rPr>
          <w:i/>
          <w:lang w:bidi="en-US"/>
        </w:rPr>
        <w:t>стражей</w:t>
      </w:r>
      <w:proofErr w:type="spellEnd"/>
      <w:r w:rsidRPr="003821DA" w:rsidR="0036352D">
        <w:rPr>
          <w:i/>
          <w:lang w:bidi="en-US"/>
        </w:rPr>
        <w:t xml:space="preserve"> </w:t>
      </w:r>
      <w:proofErr w:type="spellStart"/>
      <w:r w:rsidRPr="003821DA" w:rsidR="0036352D">
        <w:rPr>
          <w:i/>
          <w:lang w:bidi="en-US"/>
        </w:rPr>
        <w:t>подозреваемых</w:t>
      </w:r>
      <w:proofErr w:type="spellEnd"/>
      <w:r w:rsidRPr="003821DA" w:rsidR="0036352D">
        <w:rPr>
          <w:i/>
          <w:lang w:bidi="en-US"/>
        </w:rPr>
        <w:t xml:space="preserve"> и </w:t>
      </w:r>
      <w:proofErr w:type="spellStart"/>
      <w:r w:rsidRPr="003821DA" w:rsidR="0036352D">
        <w:rPr>
          <w:i/>
          <w:lang w:bidi="en-US"/>
        </w:rPr>
        <w:t>обвиняемых</w:t>
      </w:r>
      <w:proofErr w:type="spellEnd"/>
      <w:r w:rsidRPr="003821DA" w:rsidR="0036352D">
        <w:rPr>
          <w:i/>
          <w:lang w:bidi="en-US"/>
        </w:rPr>
        <w:t xml:space="preserve"> в </w:t>
      </w:r>
      <w:proofErr w:type="spellStart"/>
      <w:r w:rsidRPr="003821DA" w:rsidR="0036352D">
        <w:rPr>
          <w:i/>
          <w:lang w:bidi="en-US"/>
        </w:rPr>
        <w:t>совершении</w:t>
      </w:r>
      <w:proofErr w:type="spellEnd"/>
      <w:r w:rsidRPr="003821DA" w:rsidR="0036352D">
        <w:rPr>
          <w:i/>
          <w:lang w:bidi="en-US"/>
        </w:rPr>
        <w:t xml:space="preserve"> </w:t>
      </w:r>
      <w:proofErr w:type="spellStart"/>
      <w:r w:rsidRPr="003821DA" w:rsidR="0036352D">
        <w:rPr>
          <w:i/>
          <w:lang w:bidi="en-US"/>
        </w:rPr>
        <w:t>преступлений</w:t>
      </w:r>
      <w:proofErr w:type="spellEnd"/>
      <w:r w:rsidRPr="003821DA" w:rsidR="0036352D">
        <w:rPr>
          <w:i/>
          <w:lang w:bidi="en-US"/>
        </w:rPr>
        <w:t>»,</w:t>
      </w:r>
      <w:r w:rsidRPr="003821DA" w:rsidR="0036352D">
        <w:rPr>
          <w:lang w:bidi="en-US"/>
        </w:rPr>
        <w:t xml:space="preserve"> “the Pre-trial Detention Act”) provide as follows:</w:t>
      </w:r>
    </w:p>
    <w:p w:rsidRPr="003821DA" w:rsidR="0036352D" w:rsidP="003821DA" w:rsidRDefault="0036352D">
      <w:pPr>
        <w:pStyle w:val="ECHRTitleCentre3"/>
      </w:pPr>
      <w:proofErr w:type="gramStart"/>
      <w:r w:rsidRPr="003821DA">
        <w:t>Section 6</w:t>
      </w:r>
      <w:r w:rsidRPr="003821DA" w:rsidR="00BF7778">
        <w:t>.</w:t>
      </w:r>
      <w:proofErr w:type="gramEnd"/>
      <w:r w:rsidRPr="003821DA" w:rsidR="00BF7778">
        <w:t xml:space="preserve"> Legal Status of Suspects and Accused</w:t>
      </w:r>
      <w:r w:rsidRPr="003821DA" w:rsidR="008D048B">
        <w:t xml:space="preserve"> Persons</w:t>
      </w:r>
    </w:p>
    <w:p w:rsidRPr="003821DA" w:rsidR="0036352D" w:rsidP="003821DA" w:rsidRDefault="0036352D">
      <w:pPr>
        <w:pStyle w:val="ECHRParaQuote"/>
        <w:rPr>
          <w:lang w:bidi="en-US"/>
        </w:rPr>
      </w:pPr>
      <w:r w:rsidRPr="003821DA">
        <w:rPr>
          <w:lang w:bidi="en-US"/>
        </w:rPr>
        <w:t xml:space="preserve">“Suspects and </w:t>
      </w:r>
      <w:r w:rsidRPr="003821DA" w:rsidR="009B463B">
        <w:rPr>
          <w:lang w:bidi="en-US"/>
        </w:rPr>
        <w:t xml:space="preserve">persons </w:t>
      </w:r>
      <w:r w:rsidRPr="003821DA">
        <w:rPr>
          <w:lang w:bidi="en-US"/>
        </w:rPr>
        <w:t xml:space="preserve">accused of criminal offences </w:t>
      </w:r>
      <w:r w:rsidRPr="003821DA" w:rsidR="00164F64">
        <w:rPr>
          <w:lang w:bidi="en-US"/>
        </w:rPr>
        <w:t>...</w:t>
      </w:r>
      <w:r w:rsidRPr="003821DA">
        <w:rPr>
          <w:lang w:bidi="en-US"/>
        </w:rPr>
        <w:t xml:space="preserve"> </w:t>
      </w:r>
      <w:r w:rsidRPr="003821DA" w:rsidR="0050051A">
        <w:rPr>
          <w:lang w:bidi="en-US"/>
        </w:rPr>
        <w:t xml:space="preserve">enjoy the </w:t>
      </w:r>
      <w:r w:rsidRPr="003821DA" w:rsidR="006F198E">
        <w:rPr>
          <w:lang w:bidi="en-US"/>
        </w:rPr>
        <w:t xml:space="preserve">rights and freedoms and bear </w:t>
      </w:r>
      <w:r w:rsidRPr="003821DA" w:rsidR="0050051A">
        <w:rPr>
          <w:lang w:bidi="en-US"/>
        </w:rPr>
        <w:t xml:space="preserve">the </w:t>
      </w:r>
      <w:r w:rsidRPr="003821DA" w:rsidR="006F198E">
        <w:rPr>
          <w:lang w:bidi="en-US"/>
        </w:rPr>
        <w:t>responsibilities established for the citizens of the Russian Federation, subject to</w:t>
      </w:r>
      <w:r w:rsidRPr="003821DA" w:rsidR="009B463B">
        <w:rPr>
          <w:lang w:bidi="en-US"/>
        </w:rPr>
        <w:t xml:space="preserve"> the</w:t>
      </w:r>
      <w:r w:rsidRPr="003821DA" w:rsidR="006F198E">
        <w:rPr>
          <w:lang w:bidi="en-US"/>
        </w:rPr>
        <w:t xml:space="preserve"> limitations </w:t>
      </w:r>
      <w:r w:rsidRPr="003821DA" w:rsidR="0050051A">
        <w:rPr>
          <w:lang w:bidi="en-US"/>
        </w:rPr>
        <w:t>provided for</w:t>
      </w:r>
      <w:r w:rsidRPr="003821DA" w:rsidR="006F198E">
        <w:rPr>
          <w:lang w:bidi="en-US"/>
        </w:rPr>
        <w:t xml:space="preserve"> by this law and other federal laws</w:t>
      </w:r>
      <w:r w:rsidRPr="003821DA" w:rsidR="00164F64">
        <w:rPr>
          <w:lang w:bidi="en-US"/>
        </w:rPr>
        <w:t>...</w:t>
      </w:r>
      <w:r w:rsidRPr="003821DA" w:rsidR="006F198E">
        <w:rPr>
          <w:lang w:bidi="en-US"/>
        </w:rPr>
        <w:t>”</w:t>
      </w:r>
    </w:p>
    <w:p w:rsidRPr="003821DA" w:rsidR="00164F64" w:rsidP="003821DA" w:rsidRDefault="002632DC">
      <w:pPr>
        <w:pStyle w:val="ECHRTitleCentre3"/>
      </w:pPr>
      <w:proofErr w:type="gramStart"/>
      <w:r w:rsidRPr="003821DA">
        <w:t>Section 34</w:t>
      </w:r>
      <w:r w:rsidRPr="003821DA" w:rsidR="00BF7778">
        <w:t>.</w:t>
      </w:r>
      <w:proofErr w:type="gramEnd"/>
      <w:r w:rsidRPr="003821DA" w:rsidR="0077033C">
        <w:t xml:space="preserve"> Guarding and </w:t>
      </w:r>
      <w:r w:rsidRPr="003821DA" w:rsidR="002F5DEA">
        <w:t>Supervision</w:t>
      </w:r>
      <w:r w:rsidRPr="003821DA" w:rsidR="0077033C">
        <w:t xml:space="preserve"> of Suspects and Accused</w:t>
      </w:r>
      <w:r w:rsidRPr="003821DA" w:rsidR="008D048B">
        <w:t xml:space="preserve"> Persons</w:t>
      </w:r>
    </w:p>
    <w:p w:rsidRPr="003821DA" w:rsidR="0077033C" w:rsidP="003821DA" w:rsidRDefault="006F198E">
      <w:pPr>
        <w:pStyle w:val="ECHRParaQuote"/>
        <w:rPr>
          <w:lang w:bidi="en-US"/>
        </w:rPr>
      </w:pPr>
      <w:r w:rsidRPr="003821DA">
        <w:rPr>
          <w:lang w:bidi="en-US"/>
        </w:rPr>
        <w:t>“</w:t>
      </w:r>
      <w:r w:rsidRPr="003821DA" w:rsidR="0077033C">
        <w:rPr>
          <w:lang w:bidi="en-US"/>
        </w:rPr>
        <w:t xml:space="preserve">Suspects and accused </w:t>
      </w:r>
      <w:r w:rsidRPr="003821DA" w:rsidR="009B463B">
        <w:rPr>
          <w:lang w:bidi="en-US"/>
        </w:rPr>
        <w:t xml:space="preserve">persons </w:t>
      </w:r>
      <w:r w:rsidRPr="003821DA" w:rsidR="008D048B">
        <w:rPr>
          <w:lang w:bidi="en-US"/>
        </w:rPr>
        <w:t xml:space="preserve">shall be </w:t>
      </w:r>
      <w:r w:rsidRPr="003821DA" w:rsidR="0077033C">
        <w:rPr>
          <w:lang w:bidi="en-US"/>
        </w:rPr>
        <w:t xml:space="preserve">kept in </w:t>
      </w:r>
      <w:r w:rsidRPr="003821DA" w:rsidR="00EF6AF9">
        <w:rPr>
          <w:lang w:bidi="en-US"/>
        </w:rPr>
        <w:t>remand</w:t>
      </w:r>
      <w:r w:rsidRPr="003821DA" w:rsidR="0077033C">
        <w:rPr>
          <w:lang w:bidi="en-US"/>
        </w:rPr>
        <w:t xml:space="preserve"> centr</w:t>
      </w:r>
      <w:r w:rsidRPr="003821DA" w:rsidR="00D77326">
        <w:rPr>
          <w:lang w:bidi="en-US"/>
        </w:rPr>
        <w:t>e</w:t>
      </w:r>
      <w:r w:rsidRPr="003821DA" w:rsidR="0077033C">
        <w:rPr>
          <w:lang w:bidi="en-US"/>
        </w:rPr>
        <w:t xml:space="preserve">s under guard and </w:t>
      </w:r>
      <w:r w:rsidRPr="003821DA" w:rsidR="003E428C">
        <w:rPr>
          <w:lang w:bidi="en-US"/>
        </w:rPr>
        <w:t xml:space="preserve">surveillance </w:t>
      </w:r>
      <w:r w:rsidRPr="003821DA" w:rsidR="0077033C">
        <w:rPr>
          <w:lang w:bidi="en-US"/>
        </w:rPr>
        <w:t>and</w:t>
      </w:r>
      <w:r w:rsidRPr="003821DA" w:rsidR="008D048B">
        <w:rPr>
          <w:lang w:bidi="en-US"/>
        </w:rPr>
        <w:t xml:space="preserve"> shall</w:t>
      </w:r>
      <w:r w:rsidRPr="003821DA" w:rsidR="0077033C">
        <w:rPr>
          <w:lang w:bidi="en-US"/>
        </w:rPr>
        <w:t xml:space="preserve"> move </w:t>
      </w:r>
      <w:r w:rsidRPr="003821DA" w:rsidR="00DA4B05">
        <w:rPr>
          <w:lang w:bidi="en-US"/>
        </w:rPr>
        <w:t>around</w:t>
      </w:r>
      <w:r w:rsidRPr="003821DA" w:rsidR="0077033C">
        <w:rPr>
          <w:lang w:bidi="en-US"/>
        </w:rPr>
        <w:t xml:space="preserve"> such </w:t>
      </w:r>
      <w:r w:rsidRPr="003821DA" w:rsidR="00D77326">
        <w:rPr>
          <w:lang w:bidi="en-US"/>
        </w:rPr>
        <w:t>centres</w:t>
      </w:r>
      <w:r w:rsidRPr="003821DA" w:rsidR="0077033C">
        <w:rPr>
          <w:lang w:bidi="en-US"/>
        </w:rPr>
        <w:t xml:space="preserve"> </w:t>
      </w:r>
      <w:r w:rsidRPr="003821DA" w:rsidR="00FB55EC">
        <w:rPr>
          <w:lang w:bidi="en-US"/>
        </w:rPr>
        <w:t>under</w:t>
      </w:r>
      <w:r w:rsidRPr="003821DA" w:rsidR="00DA4B05">
        <w:rPr>
          <w:lang w:bidi="en-US"/>
        </w:rPr>
        <w:t xml:space="preserve"> escort</w:t>
      </w:r>
      <w:r w:rsidRPr="003821DA" w:rsidR="00FB55EC">
        <w:rPr>
          <w:lang w:bidi="en-US"/>
        </w:rPr>
        <w:t xml:space="preserve"> or </w:t>
      </w:r>
      <w:r w:rsidRPr="003821DA" w:rsidR="00D77326">
        <w:rPr>
          <w:lang w:bidi="en-US"/>
        </w:rPr>
        <w:t xml:space="preserve">accompanied by </w:t>
      </w:r>
      <w:r w:rsidRPr="003821DA" w:rsidR="00DA4B05">
        <w:rPr>
          <w:lang w:bidi="en-US"/>
        </w:rPr>
        <w:t>[staff]</w:t>
      </w:r>
      <w:r w:rsidRPr="003821DA" w:rsidR="00D77326">
        <w:rPr>
          <w:lang w:bidi="en-US"/>
        </w:rPr>
        <w:t xml:space="preserve">. Audio and video equipment </w:t>
      </w:r>
      <w:proofErr w:type="gramStart"/>
      <w:r w:rsidRPr="003821DA" w:rsidR="00D77326">
        <w:rPr>
          <w:lang w:bidi="en-US"/>
        </w:rPr>
        <w:t>may be used</w:t>
      </w:r>
      <w:proofErr w:type="gramEnd"/>
      <w:r w:rsidRPr="003821DA" w:rsidR="00D77326">
        <w:rPr>
          <w:lang w:bidi="en-US"/>
        </w:rPr>
        <w:t xml:space="preserve"> for the purpose</w:t>
      </w:r>
      <w:r w:rsidRPr="003821DA" w:rsidR="0059740F">
        <w:rPr>
          <w:lang w:bidi="en-US"/>
        </w:rPr>
        <w:t>s</w:t>
      </w:r>
      <w:r w:rsidRPr="003821DA" w:rsidR="00D77326">
        <w:rPr>
          <w:lang w:bidi="en-US"/>
        </w:rPr>
        <w:t xml:space="preserve"> of </w:t>
      </w:r>
      <w:r w:rsidRPr="003821DA" w:rsidR="003E428C">
        <w:rPr>
          <w:lang w:bidi="en-US"/>
        </w:rPr>
        <w:t>surveillance</w:t>
      </w:r>
      <w:r w:rsidRPr="003821DA" w:rsidR="00D77326">
        <w:rPr>
          <w:lang w:bidi="en-US"/>
        </w:rPr>
        <w:t>.</w:t>
      </w:r>
    </w:p>
    <w:p w:rsidRPr="003821DA" w:rsidR="0077033C" w:rsidP="003821DA" w:rsidRDefault="00164F64">
      <w:pPr>
        <w:pStyle w:val="ECHRParaQuote"/>
        <w:rPr>
          <w:lang w:bidi="en-US"/>
        </w:rPr>
      </w:pPr>
      <w:r w:rsidRPr="003821DA">
        <w:rPr>
          <w:lang w:bidi="en-US"/>
        </w:rPr>
        <w:t>...</w:t>
      </w:r>
    </w:p>
    <w:p w:rsidRPr="003821DA" w:rsidR="0077033C" w:rsidP="003821DA" w:rsidRDefault="00543700">
      <w:pPr>
        <w:pStyle w:val="ECHRParaQuote"/>
        <w:rPr>
          <w:lang w:bidi="en-US"/>
        </w:rPr>
      </w:pPr>
      <w:r w:rsidRPr="003821DA">
        <w:rPr>
          <w:lang w:bidi="en-US"/>
        </w:rPr>
        <w:t>Surveillance</w:t>
      </w:r>
      <w:r w:rsidRPr="003821DA" w:rsidR="00D77326">
        <w:rPr>
          <w:lang w:bidi="en-US"/>
        </w:rPr>
        <w:t xml:space="preserve"> during hygienic procedures and body search</w:t>
      </w:r>
      <w:r w:rsidRPr="003821DA" w:rsidR="009B463B">
        <w:rPr>
          <w:lang w:bidi="en-US"/>
        </w:rPr>
        <w:t>es</w:t>
      </w:r>
      <w:r w:rsidRPr="003821DA" w:rsidR="00D77326">
        <w:rPr>
          <w:lang w:bidi="en-US"/>
        </w:rPr>
        <w:t xml:space="preserve"> of suspects and accused </w:t>
      </w:r>
      <w:r w:rsidRPr="003821DA" w:rsidR="009B463B">
        <w:rPr>
          <w:lang w:bidi="en-US"/>
        </w:rPr>
        <w:t xml:space="preserve">persons </w:t>
      </w:r>
      <w:r w:rsidRPr="003821DA" w:rsidR="00D77326">
        <w:rPr>
          <w:lang w:bidi="en-US"/>
        </w:rPr>
        <w:t xml:space="preserve">shall be performed by officers </w:t>
      </w:r>
      <w:r w:rsidRPr="003821DA" w:rsidR="00164F64">
        <w:rPr>
          <w:lang w:bidi="en-US"/>
        </w:rPr>
        <w:t>...</w:t>
      </w:r>
      <w:r w:rsidRPr="003821DA" w:rsidR="00D77326">
        <w:rPr>
          <w:lang w:bidi="en-US"/>
        </w:rPr>
        <w:t xml:space="preserve"> of the same sex as </w:t>
      </w:r>
      <w:r w:rsidRPr="003821DA" w:rsidR="009B463B">
        <w:rPr>
          <w:lang w:bidi="en-US"/>
        </w:rPr>
        <w:t xml:space="preserve">the </w:t>
      </w:r>
      <w:r w:rsidRPr="003821DA" w:rsidR="00D77326">
        <w:rPr>
          <w:lang w:bidi="en-US"/>
        </w:rPr>
        <w:t>suspects and accused</w:t>
      </w:r>
      <w:r w:rsidRPr="003821DA" w:rsidR="009B463B">
        <w:rPr>
          <w:lang w:bidi="en-US"/>
        </w:rPr>
        <w:t xml:space="preserve"> persons</w:t>
      </w:r>
      <w:r w:rsidRPr="003821DA" w:rsidR="00164F64">
        <w:rPr>
          <w:lang w:bidi="en-US"/>
        </w:rPr>
        <w:t>...</w:t>
      </w:r>
      <w:r w:rsidRPr="003821DA" w:rsidR="00D77326">
        <w:rPr>
          <w:lang w:bidi="en-US"/>
        </w:rPr>
        <w:t>”</w:t>
      </w:r>
    </w:p>
    <w:p w:rsidRPr="003821DA" w:rsidR="00970D18" w:rsidP="003821DA" w:rsidRDefault="00970D18">
      <w:pPr>
        <w:pStyle w:val="ECHRHeading2"/>
      </w:pPr>
      <w:r w:rsidRPr="003821DA">
        <w:t>C.  </w:t>
      </w:r>
      <w:r w:rsidRPr="003821DA" w:rsidR="00A43DFC">
        <w:t>Executive orders</w:t>
      </w:r>
    </w:p>
    <w:p w:rsidRPr="003821DA" w:rsidR="00A9496F" w:rsidP="003821DA" w:rsidRDefault="00A9496F">
      <w:pPr>
        <w:pStyle w:val="ECHRHeading3"/>
      </w:pPr>
      <w:r w:rsidRPr="003821DA">
        <w:t>1.  Ministry of Justice</w:t>
      </w:r>
    </w:p>
    <w:bookmarkStart w:name="ExecutiveOrder204dsp" w:id="16"/>
    <w:p w:rsidRPr="003821DA" w:rsidR="00C9562F" w:rsidP="003821DA" w:rsidRDefault="00970D18">
      <w:pPr>
        <w:pStyle w:val="ECHRPara"/>
      </w:pPr>
      <w:r w:rsidRPr="003821DA">
        <w:fldChar w:fldCharType="begin"/>
      </w:r>
      <w:r w:rsidRPr="003821DA">
        <w:instrText xml:space="preserve"> SEQ level0 \*arabic </w:instrText>
      </w:r>
      <w:r w:rsidRPr="003821DA">
        <w:fldChar w:fldCharType="separate"/>
      </w:r>
      <w:r w:rsidRPr="003821DA" w:rsidR="003821DA">
        <w:rPr>
          <w:noProof/>
        </w:rPr>
        <w:t>35</w:t>
      </w:r>
      <w:r w:rsidRPr="003821DA">
        <w:fldChar w:fldCharType="end"/>
      </w:r>
      <w:bookmarkEnd w:id="16"/>
      <w:r w:rsidRPr="003821DA" w:rsidR="0032401A">
        <w:t>.  </w:t>
      </w:r>
      <w:proofErr w:type="gramStart"/>
      <w:r w:rsidRPr="003821DA" w:rsidR="00E5749E">
        <w:t xml:space="preserve">By </w:t>
      </w:r>
      <w:r w:rsidRPr="003821DA" w:rsidR="00F875B3">
        <w:t>executive order</w:t>
      </w:r>
      <w:r w:rsidRPr="003821DA" w:rsidR="00643F16">
        <w:t xml:space="preserve"> no. 204-dsp</w:t>
      </w:r>
      <w:r w:rsidRPr="003821DA" w:rsidR="00146060">
        <w:t xml:space="preserve"> (“for internal use only”) </w:t>
      </w:r>
      <w:r w:rsidRPr="003821DA" w:rsidR="00E5749E">
        <w:t>dated</w:t>
      </w:r>
      <w:r w:rsidRPr="003821DA" w:rsidR="000F741E">
        <w:t xml:space="preserve"> 3 </w:t>
      </w:r>
      <w:r w:rsidRPr="003821DA" w:rsidR="00E5749E">
        <w:t xml:space="preserve">November 2005 </w:t>
      </w:r>
      <w:r w:rsidRPr="003821DA" w:rsidR="00146060">
        <w:t xml:space="preserve">the Russian Ministry of Justice </w:t>
      </w:r>
      <w:r w:rsidRPr="003821DA" w:rsidR="009F2A6B">
        <w:t xml:space="preserve">(“the Ministry of Justice”) </w:t>
      </w:r>
      <w:r w:rsidRPr="003821DA" w:rsidR="00E5749E">
        <w:t>approved</w:t>
      </w:r>
      <w:r w:rsidRPr="003821DA" w:rsidR="00BC7246">
        <w:t xml:space="preserve"> </w:t>
      </w:r>
      <w:r w:rsidRPr="003821DA" w:rsidR="00DA4B05">
        <w:t xml:space="preserve">an </w:t>
      </w:r>
      <w:r w:rsidRPr="003821DA" w:rsidR="000D32E4">
        <w:t>i</w:t>
      </w:r>
      <w:r w:rsidRPr="003821DA" w:rsidR="00BC7246">
        <w:t xml:space="preserve">nstruction </w:t>
      </w:r>
      <w:r w:rsidRPr="003821DA" w:rsidR="000B4167">
        <w:t>concerning</w:t>
      </w:r>
      <w:r w:rsidRPr="003821DA" w:rsidR="00DA4B05">
        <w:t xml:space="preserve"> the </w:t>
      </w:r>
      <w:r w:rsidRPr="003821DA" w:rsidR="00C6631D">
        <w:t xml:space="preserve">setting up </w:t>
      </w:r>
      <w:r w:rsidRPr="003821DA" w:rsidR="00DA4B05">
        <w:t xml:space="preserve">of </w:t>
      </w:r>
      <w:r w:rsidRPr="003821DA" w:rsidR="007217F8">
        <w:t xml:space="preserve">a </w:t>
      </w:r>
      <w:r w:rsidRPr="003821DA" w:rsidR="00C6631D">
        <w:t>service for</w:t>
      </w:r>
      <w:r w:rsidRPr="003821DA" w:rsidR="00DA4B05">
        <w:t xml:space="preserve"> guarding</w:t>
      </w:r>
      <w:r w:rsidRPr="003821DA" w:rsidR="00C6631D">
        <w:t xml:space="preserve"> suspects, accused and convicts detained in pre-trial detention centres and prisons of the </w:t>
      </w:r>
      <w:r w:rsidRPr="003821DA" w:rsidR="008920D4">
        <w:t xml:space="preserve">penal </w:t>
      </w:r>
      <w:r w:rsidRPr="003821DA" w:rsidR="00C6631D">
        <w:t>system</w:t>
      </w:r>
      <w:r w:rsidRPr="003821DA" w:rsidR="00E5749E">
        <w:t xml:space="preserve"> (</w:t>
      </w:r>
      <w:r w:rsidRPr="003821DA" w:rsidR="00E5749E">
        <w:rPr>
          <w:i/>
          <w:lang w:val="ru-RU"/>
        </w:rPr>
        <w:t>приказ</w:t>
      </w:r>
      <w:r w:rsidRPr="003821DA" w:rsidR="00E5749E">
        <w:rPr>
          <w:i/>
        </w:rPr>
        <w:t xml:space="preserve"> </w:t>
      </w:r>
      <w:r w:rsidRPr="003821DA" w:rsidR="00E5749E">
        <w:rPr>
          <w:i/>
          <w:lang w:val="ru-RU"/>
        </w:rPr>
        <w:t>Министерства</w:t>
      </w:r>
      <w:r w:rsidRPr="003821DA" w:rsidR="00E5749E">
        <w:rPr>
          <w:i/>
        </w:rPr>
        <w:t xml:space="preserve"> </w:t>
      </w:r>
      <w:r w:rsidRPr="003821DA" w:rsidR="00E5749E">
        <w:rPr>
          <w:i/>
          <w:lang w:val="ru-RU"/>
        </w:rPr>
        <w:t>Юстиции</w:t>
      </w:r>
      <w:r w:rsidRPr="003821DA" w:rsidR="00E5749E">
        <w:rPr>
          <w:i/>
        </w:rPr>
        <w:t xml:space="preserve"> </w:t>
      </w:r>
      <w:r w:rsidRPr="003821DA" w:rsidR="00E5749E">
        <w:rPr>
          <w:i/>
          <w:lang w:val="ru-RU"/>
        </w:rPr>
        <w:t>РФ</w:t>
      </w:r>
      <w:r w:rsidRPr="003821DA" w:rsidR="00E5749E">
        <w:rPr>
          <w:i/>
        </w:rPr>
        <w:t xml:space="preserve"> </w:t>
      </w:r>
      <w:r w:rsidRPr="003821DA" w:rsidR="00E5749E">
        <w:rPr>
          <w:i/>
          <w:lang w:val="ru-RU"/>
        </w:rPr>
        <w:t>от</w:t>
      </w:r>
      <w:r w:rsidRPr="003821DA" w:rsidR="000F741E">
        <w:rPr>
          <w:i/>
        </w:rPr>
        <w:t xml:space="preserve"> 3 </w:t>
      </w:r>
      <w:r w:rsidRPr="003821DA" w:rsidR="00E5749E">
        <w:rPr>
          <w:i/>
          <w:lang w:val="ru-RU"/>
        </w:rPr>
        <w:t>ноября</w:t>
      </w:r>
      <w:r w:rsidRPr="003821DA" w:rsidR="00E5749E">
        <w:rPr>
          <w:i/>
        </w:rPr>
        <w:t xml:space="preserve"> 2005 </w:t>
      </w:r>
      <w:r w:rsidRPr="003821DA" w:rsidR="00E5749E">
        <w:rPr>
          <w:i/>
          <w:lang w:val="ru-RU"/>
        </w:rPr>
        <w:t>г</w:t>
      </w:r>
      <w:r w:rsidRPr="003821DA" w:rsidR="00E5749E">
        <w:rPr>
          <w:i/>
        </w:rPr>
        <w:t>. «</w:t>
      </w:r>
      <w:r w:rsidRPr="003821DA" w:rsidR="00B55164">
        <w:rPr>
          <w:i/>
          <w:lang w:val="ru-RU"/>
        </w:rPr>
        <w:t>Об</w:t>
      </w:r>
      <w:r w:rsidRPr="003821DA" w:rsidR="00B55164">
        <w:rPr>
          <w:i/>
        </w:rPr>
        <w:t xml:space="preserve"> </w:t>
      </w:r>
      <w:r w:rsidRPr="003821DA" w:rsidR="00B55164">
        <w:rPr>
          <w:i/>
          <w:lang w:val="ru-RU"/>
        </w:rPr>
        <w:t>утверждении</w:t>
      </w:r>
      <w:r w:rsidRPr="003821DA" w:rsidR="00B55164">
        <w:rPr>
          <w:i/>
        </w:rPr>
        <w:t xml:space="preserve"> </w:t>
      </w:r>
      <w:r w:rsidRPr="003821DA" w:rsidR="00E5749E">
        <w:rPr>
          <w:i/>
          <w:lang w:val="ru-RU"/>
        </w:rPr>
        <w:t>Инструкция</w:t>
      </w:r>
      <w:r w:rsidRPr="003821DA" w:rsidR="00E5749E">
        <w:rPr>
          <w:i/>
        </w:rPr>
        <w:t xml:space="preserve"> </w:t>
      </w:r>
      <w:r w:rsidRPr="003821DA" w:rsidR="00E5749E">
        <w:rPr>
          <w:i/>
          <w:lang w:val="ru-RU"/>
        </w:rPr>
        <w:t>об</w:t>
      </w:r>
      <w:r w:rsidRPr="003821DA" w:rsidR="00E5749E">
        <w:rPr>
          <w:i/>
        </w:rPr>
        <w:t xml:space="preserve"> </w:t>
      </w:r>
      <w:r w:rsidRPr="003821DA" w:rsidR="00E5749E">
        <w:rPr>
          <w:i/>
          <w:lang w:val="ru-RU"/>
        </w:rPr>
        <w:t>организации</w:t>
      </w:r>
      <w:r w:rsidRPr="003821DA" w:rsidR="00E5749E">
        <w:rPr>
          <w:i/>
        </w:rPr>
        <w:t xml:space="preserve"> </w:t>
      </w:r>
      <w:r w:rsidRPr="003821DA" w:rsidR="00E5749E">
        <w:rPr>
          <w:i/>
          <w:lang w:val="ru-RU"/>
        </w:rPr>
        <w:t>службы</w:t>
      </w:r>
      <w:r w:rsidRPr="003821DA" w:rsidR="00E5749E">
        <w:rPr>
          <w:i/>
        </w:rPr>
        <w:t xml:space="preserve"> </w:t>
      </w:r>
      <w:r w:rsidRPr="003821DA" w:rsidR="00E5749E">
        <w:rPr>
          <w:i/>
          <w:lang w:val="ru-RU"/>
        </w:rPr>
        <w:t>по</w:t>
      </w:r>
      <w:r w:rsidRPr="003821DA" w:rsidR="00E5749E">
        <w:rPr>
          <w:i/>
        </w:rPr>
        <w:t xml:space="preserve"> </w:t>
      </w:r>
      <w:r w:rsidRPr="003821DA" w:rsidR="00E5749E">
        <w:rPr>
          <w:i/>
          <w:lang w:val="ru-RU"/>
        </w:rPr>
        <w:t>обеспечению</w:t>
      </w:r>
      <w:r w:rsidRPr="003821DA" w:rsidR="00E5749E">
        <w:rPr>
          <w:i/>
        </w:rPr>
        <w:t xml:space="preserve"> </w:t>
      </w:r>
      <w:r w:rsidRPr="003821DA" w:rsidR="00E5749E">
        <w:rPr>
          <w:i/>
          <w:lang w:val="ru-RU"/>
        </w:rPr>
        <w:t>надзора</w:t>
      </w:r>
      <w:r w:rsidRPr="003821DA" w:rsidR="00E5749E">
        <w:rPr>
          <w:i/>
        </w:rPr>
        <w:t xml:space="preserve"> </w:t>
      </w:r>
      <w:r w:rsidRPr="003821DA" w:rsidR="00E5749E">
        <w:rPr>
          <w:i/>
          <w:lang w:val="ru-RU"/>
        </w:rPr>
        <w:t>за</w:t>
      </w:r>
      <w:r w:rsidRPr="003821DA" w:rsidR="00E5749E">
        <w:rPr>
          <w:i/>
        </w:rPr>
        <w:t xml:space="preserve"> </w:t>
      </w:r>
      <w:r w:rsidRPr="003821DA" w:rsidR="00E5749E">
        <w:rPr>
          <w:i/>
          <w:lang w:val="ru-RU"/>
        </w:rPr>
        <w:t>подозреваемыми</w:t>
      </w:r>
      <w:r w:rsidRPr="003821DA" w:rsidR="00E5749E">
        <w:rPr>
          <w:i/>
        </w:rPr>
        <w:t xml:space="preserve">, </w:t>
      </w:r>
      <w:r w:rsidRPr="003821DA" w:rsidR="00E5749E">
        <w:rPr>
          <w:i/>
          <w:lang w:val="ru-RU"/>
        </w:rPr>
        <w:t>обвиняемыми</w:t>
      </w:r>
      <w:r w:rsidRPr="003821DA" w:rsidR="00E5749E">
        <w:rPr>
          <w:i/>
        </w:rPr>
        <w:t xml:space="preserve"> </w:t>
      </w:r>
      <w:r w:rsidRPr="003821DA" w:rsidR="00E5749E">
        <w:rPr>
          <w:i/>
          <w:lang w:val="ru-RU"/>
        </w:rPr>
        <w:t>и</w:t>
      </w:r>
      <w:r w:rsidRPr="003821DA" w:rsidR="00E5749E">
        <w:rPr>
          <w:i/>
        </w:rPr>
        <w:t xml:space="preserve"> </w:t>
      </w:r>
      <w:r w:rsidRPr="003821DA" w:rsidR="00E5749E">
        <w:rPr>
          <w:i/>
          <w:lang w:val="ru-RU"/>
        </w:rPr>
        <w:t>осужденными</w:t>
      </w:r>
      <w:r w:rsidRPr="003821DA" w:rsidR="00E5749E">
        <w:rPr>
          <w:i/>
        </w:rPr>
        <w:t xml:space="preserve">, </w:t>
      </w:r>
      <w:r w:rsidRPr="003821DA" w:rsidR="00E5749E">
        <w:rPr>
          <w:i/>
          <w:lang w:val="ru-RU"/>
        </w:rPr>
        <w:t>содержащимися</w:t>
      </w:r>
      <w:r w:rsidRPr="003821DA" w:rsidR="00E5749E">
        <w:rPr>
          <w:i/>
        </w:rPr>
        <w:t xml:space="preserve"> </w:t>
      </w:r>
      <w:r w:rsidRPr="003821DA" w:rsidR="00E5749E">
        <w:rPr>
          <w:i/>
          <w:lang w:val="ru-RU"/>
        </w:rPr>
        <w:t>в</w:t>
      </w:r>
      <w:r w:rsidRPr="003821DA" w:rsidR="00E5749E">
        <w:rPr>
          <w:i/>
        </w:rPr>
        <w:t xml:space="preserve"> </w:t>
      </w:r>
      <w:r w:rsidRPr="003821DA" w:rsidR="00B55164">
        <w:rPr>
          <w:i/>
          <w:lang w:val="ru-RU"/>
        </w:rPr>
        <w:t>следственных</w:t>
      </w:r>
      <w:r w:rsidRPr="003821DA" w:rsidR="00B55164">
        <w:rPr>
          <w:i/>
        </w:rPr>
        <w:t xml:space="preserve"> </w:t>
      </w:r>
      <w:r w:rsidRPr="003821DA" w:rsidR="00B55164">
        <w:rPr>
          <w:i/>
          <w:lang w:val="ru-RU"/>
        </w:rPr>
        <w:t>изоляторах</w:t>
      </w:r>
      <w:r w:rsidRPr="003821DA" w:rsidR="00B55164">
        <w:rPr>
          <w:i/>
        </w:rPr>
        <w:t xml:space="preserve"> </w:t>
      </w:r>
      <w:r w:rsidRPr="003821DA" w:rsidR="00B55164">
        <w:rPr>
          <w:i/>
          <w:lang w:val="ru-RU"/>
        </w:rPr>
        <w:t>и</w:t>
      </w:r>
      <w:r w:rsidRPr="003821DA" w:rsidR="00B55164">
        <w:rPr>
          <w:i/>
        </w:rPr>
        <w:t xml:space="preserve"> </w:t>
      </w:r>
      <w:r w:rsidRPr="003821DA" w:rsidR="00B55164">
        <w:rPr>
          <w:i/>
          <w:lang w:val="ru-RU"/>
        </w:rPr>
        <w:t>тюрьмах</w:t>
      </w:r>
      <w:r w:rsidRPr="003821DA" w:rsidR="00B55164">
        <w:rPr>
          <w:i/>
        </w:rPr>
        <w:t xml:space="preserve"> </w:t>
      </w:r>
      <w:r w:rsidRPr="003821DA" w:rsidR="00B55164">
        <w:rPr>
          <w:i/>
          <w:lang w:val="ru-RU"/>
        </w:rPr>
        <w:t>уголовно</w:t>
      </w:r>
      <w:r w:rsidRPr="003821DA" w:rsidR="00B55164">
        <w:rPr>
          <w:i/>
        </w:rPr>
        <w:t>-</w:t>
      </w:r>
      <w:r w:rsidRPr="003821DA" w:rsidR="00B55164">
        <w:rPr>
          <w:i/>
          <w:lang w:val="ru-RU"/>
        </w:rPr>
        <w:t>исполнительной</w:t>
      </w:r>
      <w:r w:rsidRPr="003821DA" w:rsidR="00B55164">
        <w:rPr>
          <w:i/>
        </w:rPr>
        <w:t xml:space="preserve"> </w:t>
      </w:r>
      <w:r w:rsidRPr="003821DA" w:rsidR="00B55164">
        <w:rPr>
          <w:i/>
          <w:lang w:val="ru-RU"/>
        </w:rPr>
        <w:t>системы</w:t>
      </w:r>
      <w:r w:rsidRPr="003821DA" w:rsidR="00B55164">
        <w:rPr>
          <w:i/>
        </w:rPr>
        <w:t>»</w:t>
      </w:r>
      <w:r w:rsidRPr="003821DA" w:rsidR="00E5749E">
        <w:t>)</w:t>
      </w:r>
      <w:r w:rsidRPr="003821DA" w:rsidR="00C6631D">
        <w:t>.</w:t>
      </w:r>
      <w:proofErr w:type="gramEnd"/>
    </w:p>
    <w:bookmarkStart w:name="ExecutiveOrder204dspSec21" w:id="17"/>
    <w:p w:rsidRPr="003821DA" w:rsidR="007A58C0" w:rsidP="003821DA" w:rsidRDefault="00C9562F">
      <w:pPr>
        <w:pStyle w:val="ECHRPara"/>
      </w:pPr>
      <w:r w:rsidRPr="003821DA">
        <w:fldChar w:fldCharType="begin"/>
      </w:r>
      <w:r w:rsidRPr="003821DA">
        <w:instrText xml:space="preserve"> SEQ level0 \*arabic </w:instrText>
      </w:r>
      <w:r w:rsidRPr="003821DA">
        <w:fldChar w:fldCharType="separate"/>
      </w:r>
      <w:r w:rsidRPr="003821DA" w:rsidR="003821DA">
        <w:rPr>
          <w:noProof/>
        </w:rPr>
        <w:t>36</w:t>
      </w:r>
      <w:r w:rsidRPr="003821DA">
        <w:fldChar w:fldCharType="end"/>
      </w:r>
      <w:bookmarkEnd w:id="17"/>
      <w:r w:rsidRPr="003821DA">
        <w:t>.  </w:t>
      </w:r>
      <w:r w:rsidRPr="003821DA" w:rsidR="007217F8">
        <w:t>The relevant part of s</w:t>
      </w:r>
      <w:r w:rsidRPr="003821DA">
        <w:t>ection 21 provided</w:t>
      </w:r>
      <w:r w:rsidRPr="003821DA" w:rsidR="007217F8">
        <w:t xml:space="preserve"> </w:t>
      </w:r>
      <w:r w:rsidRPr="003821DA" w:rsidR="005A0418">
        <w:t>that:</w:t>
      </w:r>
    </w:p>
    <w:p w:rsidRPr="003821DA" w:rsidR="00164F64" w:rsidP="003821DA" w:rsidRDefault="00C9562F">
      <w:pPr>
        <w:pStyle w:val="ECHRParaQuote"/>
      </w:pPr>
      <w:r w:rsidRPr="003821DA">
        <w:t>“</w:t>
      </w:r>
      <w:proofErr w:type="gramStart"/>
      <w:r w:rsidRPr="003821DA" w:rsidR="00DC6379">
        <w:t>an</w:t>
      </w:r>
      <w:proofErr w:type="gramEnd"/>
      <w:r w:rsidRPr="003821DA" w:rsidR="00DC6379">
        <w:t xml:space="preserve"> operator [of a CCTV camera] belongs to the </w:t>
      </w:r>
      <w:r w:rsidRPr="003821DA" w:rsidR="008920D4">
        <w:t>staff</w:t>
      </w:r>
      <w:r w:rsidRPr="003821DA" w:rsidR="00DC6379">
        <w:t xml:space="preserve"> of the duty shift, reports to the head of the duty shift</w:t>
      </w:r>
      <w:r w:rsidRPr="003821DA" w:rsidR="00164F64">
        <w:t>...</w:t>
      </w:r>
      <w:r w:rsidRPr="003821DA" w:rsidR="00DC6379">
        <w:t xml:space="preserve"> </w:t>
      </w:r>
      <w:r w:rsidRPr="003821DA" w:rsidR="008920D4">
        <w:t xml:space="preserve">The </w:t>
      </w:r>
      <w:r w:rsidRPr="003821DA" w:rsidR="00DC6379">
        <w:t xml:space="preserve">post of operator [of a CCTV camera] </w:t>
      </w:r>
      <w:proofErr w:type="gramStart"/>
      <w:r w:rsidRPr="003821DA" w:rsidR="00DC6379">
        <w:t>shall be assigned</w:t>
      </w:r>
      <w:proofErr w:type="gramEnd"/>
      <w:r w:rsidRPr="003821DA" w:rsidR="00DC6379">
        <w:t xml:space="preserve"> to qualified officers from junior management </w:t>
      </w:r>
      <w:r w:rsidRPr="003821DA" w:rsidR="00164F64">
        <w:t>...</w:t>
      </w:r>
      <w:r w:rsidRPr="003821DA" w:rsidR="00DC6379">
        <w:t xml:space="preserve"> capable, where necessary, of taking independent initial decisions in case of deterioration of</w:t>
      </w:r>
      <w:r w:rsidRPr="003821DA" w:rsidR="00BD0F9E">
        <w:t xml:space="preserve"> </w:t>
      </w:r>
      <w:r w:rsidRPr="003821DA" w:rsidR="00874CFD">
        <w:t xml:space="preserve">an </w:t>
      </w:r>
      <w:r w:rsidRPr="003821DA" w:rsidR="00BD0F9E">
        <w:t xml:space="preserve">operational </w:t>
      </w:r>
      <w:r w:rsidRPr="003821DA" w:rsidR="00DC6379">
        <w:t xml:space="preserve">situation. </w:t>
      </w:r>
      <w:proofErr w:type="gramStart"/>
      <w:r w:rsidRPr="003821DA" w:rsidR="00DC6379">
        <w:t>An operator has an obligation to monitor the situation in the remand centre by means of [a CCTV camera</w:t>
      </w:r>
      <w:r w:rsidRPr="003821DA" w:rsidR="0050051A">
        <w:t xml:space="preserve">], </w:t>
      </w:r>
      <w:r w:rsidRPr="003821DA" w:rsidR="00DC6379">
        <w:t>report to the head of the duty shif</w:t>
      </w:r>
      <w:r w:rsidRPr="003821DA" w:rsidR="00874CFD">
        <w:t>t</w:t>
      </w:r>
      <w:r w:rsidRPr="003821DA" w:rsidR="00DC6379">
        <w:t xml:space="preserve"> and the administration of the remand centre </w:t>
      </w:r>
      <w:r w:rsidRPr="003821DA" w:rsidR="00874CFD">
        <w:t>on all incidents and emergencies</w:t>
      </w:r>
      <w:r w:rsidRPr="003821DA" w:rsidR="0050051A">
        <w:t xml:space="preserve"> and,</w:t>
      </w:r>
      <w:r w:rsidRPr="003821DA" w:rsidR="00874CFD">
        <w:t xml:space="preserve"> on the instructions of the head of the duty shift, to call officers of the remand centre in case </w:t>
      </w:r>
      <w:r w:rsidRPr="003821DA" w:rsidR="00BD0F9E">
        <w:t xml:space="preserve">of </w:t>
      </w:r>
      <w:r w:rsidRPr="003821DA" w:rsidR="00874CFD">
        <w:t xml:space="preserve">deterioration of </w:t>
      </w:r>
      <w:r w:rsidRPr="003821DA" w:rsidR="0050051A">
        <w:t xml:space="preserve">an operational </w:t>
      </w:r>
      <w:r w:rsidRPr="003821DA" w:rsidR="00874CFD">
        <w:t>situation or emergency.”</w:t>
      </w:r>
      <w:proofErr w:type="gramEnd"/>
    </w:p>
    <w:bookmarkStart w:name="ExecutiveOrder204Sec42" w:id="18"/>
    <w:p w:rsidRPr="003821DA" w:rsidR="00C9562F" w:rsidP="003821DA" w:rsidRDefault="00C9562F">
      <w:pPr>
        <w:pStyle w:val="ECHRPara"/>
      </w:pPr>
      <w:r w:rsidRPr="003821DA">
        <w:fldChar w:fldCharType="begin"/>
      </w:r>
      <w:r w:rsidRPr="003821DA">
        <w:instrText xml:space="preserve"> SEQ level0 \*arabic </w:instrText>
      </w:r>
      <w:r w:rsidRPr="003821DA">
        <w:fldChar w:fldCharType="separate"/>
      </w:r>
      <w:r w:rsidRPr="003821DA" w:rsidR="003821DA">
        <w:rPr>
          <w:noProof/>
        </w:rPr>
        <w:t>37</w:t>
      </w:r>
      <w:r w:rsidRPr="003821DA">
        <w:fldChar w:fldCharType="end"/>
      </w:r>
      <w:bookmarkEnd w:id="18"/>
      <w:r w:rsidRPr="003821DA">
        <w:t>.  </w:t>
      </w:r>
      <w:r w:rsidRPr="003821DA" w:rsidR="007217F8">
        <w:t>The relevant part of s</w:t>
      </w:r>
      <w:r w:rsidRPr="003821DA">
        <w:t>ection 42</w:t>
      </w:r>
      <w:r w:rsidRPr="003821DA" w:rsidR="007217F8">
        <w:t>(</w:t>
      </w:r>
      <w:r w:rsidRPr="003821DA">
        <w:t>6</w:t>
      </w:r>
      <w:r w:rsidRPr="003821DA" w:rsidR="007217F8">
        <w:t>)</w:t>
      </w:r>
      <w:r w:rsidRPr="003821DA">
        <w:t xml:space="preserve"> </w:t>
      </w:r>
      <w:r w:rsidRPr="003821DA" w:rsidR="00874CFD">
        <w:t xml:space="preserve">of the same </w:t>
      </w:r>
      <w:r w:rsidRPr="003821DA" w:rsidR="00F30102">
        <w:t>executive order</w:t>
      </w:r>
      <w:r w:rsidRPr="003821DA" w:rsidR="00874CFD">
        <w:t xml:space="preserve"> </w:t>
      </w:r>
      <w:r w:rsidRPr="003821DA">
        <w:t>provided that:</w:t>
      </w:r>
    </w:p>
    <w:p w:rsidRPr="003821DA" w:rsidR="00C9562F" w:rsidP="003821DA" w:rsidRDefault="00C9562F">
      <w:pPr>
        <w:pStyle w:val="ECHRParaQuote"/>
      </w:pPr>
      <w:r w:rsidRPr="003821DA">
        <w:t>“</w:t>
      </w:r>
      <w:r w:rsidRPr="003821DA" w:rsidR="00164F64">
        <w:t>...</w:t>
      </w:r>
      <w:r w:rsidRPr="003821DA">
        <w:t xml:space="preserve">for the purposes of surveillance </w:t>
      </w:r>
      <w:r w:rsidRPr="003821DA" w:rsidR="00252897">
        <w:t>over</w:t>
      </w:r>
      <w:r w:rsidRPr="003821DA">
        <w:t xml:space="preserve"> the conduct of suspects, accused </w:t>
      </w:r>
      <w:r w:rsidRPr="003821DA" w:rsidR="0050051A">
        <w:t xml:space="preserve">[persons] </w:t>
      </w:r>
      <w:r w:rsidRPr="003821DA">
        <w:t xml:space="preserve">and convicts within restricted (except for cells) and service areas, [CCTV] cameras </w:t>
      </w:r>
      <w:r w:rsidRPr="003821DA" w:rsidR="00164F64">
        <w:t>...</w:t>
      </w:r>
      <w:r w:rsidRPr="003821DA">
        <w:t xml:space="preserve"> may be used</w:t>
      </w:r>
      <w:r w:rsidRPr="003821DA" w:rsidR="00164F64">
        <w:t>...</w:t>
      </w:r>
      <w:r w:rsidRPr="003821DA">
        <w:t>”</w:t>
      </w:r>
    </w:p>
    <w:bookmarkStart w:name="ExecutiveOrder166dsp" w:id="19"/>
    <w:p w:rsidRPr="003821DA" w:rsidR="00AA6478" w:rsidP="003821DA" w:rsidRDefault="00732146">
      <w:pPr>
        <w:pStyle w:val="ECHRPara"/>
      </w:pPr>
      <w:r w:rsidRPr="003821DA">
        <w:fldChar w:fldCharType="begin"/>
      </w:r>
      <w:r w:rsidRPr="003821DA">
        <w:instrText xml:space="preserve"> SEQ level0 \*arabic </w:instrText>
      </w:r>
      <w:r w:rsidRPr="003821DA">
        <w:fldChar w:fldCharType="separate"/>
      </w:r>
      <w:r w:rsidRPr="003821DA" w:rsidR="003821DA">
        <w:rPr>
          <w:noProof/>
        </w:rPr>
        <w:t>38</w:t>
      </w:r>
      <w:r w:rsidRPr="003821DA">
        <w:fldChar w:fldCharType="end"/>
      </w:r>
      <w:bookmarkEnd w:id="19"/>
      <w:r w:rsidRPr="003821DA">
        <w:t>.  </w:t>
      </w:r>
      <w:r w:rsidRPr="003821DA" w:rsidR="003804E2">
        <w:t>B</w:t>
      </w:r>
      <w:r w:rsidRPr="003821DA" w:rsidR="00F875B3">
        <w:t>y</w:t>
      </w:r>
      <w:r w:rsidRPr="003821DA" w:rsidR="009F2A6B">
        <w:t xml:space="preserve"> </w:t>
      </w:r>
      <w:r w:rsidRPr="003821DA" w:rsidR="003779CA">
        <w:t xml:space="preserve">executive order </w:t>
      </w:r>
      <w:r w:rsidRPr="003821DA" w:rsidR="009F2A6B">
        <w:t xml:space="preserve">no. </w:t>
      </w:r>
      <w:proofErr w:type="gramStart"/>
      <w:r w:rsidRPr="003821DA" w:rsidR="009F2A6B">
        <w:t>166-dsp (“for internal use only”)</w:t>
      </w:r>
      <w:r w:rsidRPr="003821DA" w:rsidR="003804E2">
        <w:t xml:space="preserve"> of 25 May 2011</w:t>
      </w:r>
      <w:proofErr w:type="gramEnd"/>
      <w:r w:rsidRPr="003821DA" w:rsidR="003804E2">
        <w:t xml:space="preserve"> </w:t>
      </w:r>
      <w:r w:rsidRPr="003821DA" w:rsidR="002C04D9">
        <w:t xml:space="preserve">the words “(except for cells)” </w:t>
      </w:r>
      <w:r w:rsidRPr="003821DA" w:rsidR="003804E2">
        <w:t xml:space="preserve">were excluded from the </w:t>
      </w:r>
      <w:r w:rsidRPr="003821DA" w:rsidR="002C04D9">
        <w:t>text</w:t>
      </w:r>
      <w:r w:rsidRPr="003821DA" w:rsidR="003804E2">
        <w:t xml:space="preserve"> of </w:t>
      </w:r>
      <w:r w:rsidRPr="003821DA" w:rsidR="008F6D39">
        <w:t>section 42(6)</w:t>
      </w:r>
      <w:r w:rsidRPr="003821DA" w:rsidR="00867381">
        <w:t>.</w:t>
      </w:r>
    </w:p>
    <w:bookmarkStart w:name="ExecutiveOrder279" w:id="20"/>
    <w:bookmarkStart w:name="ExecutiveOrder279Beg" w:id="21"/>
    <w:p w:rsidRPr="003821DA" w:rsidR="008F6D39" w:rsidP="003821DA" w:rsidRDefault="00643F16">
      <w:pPr>
        <w:pStyle w:val="ECHRPara"/>
      </w:pPr>
      <w:r w:rsidRPr="003821DA">
        <w:fldChar w:fldCharType="begin"/>
      </w:r>
      <w:r w:rsidRPr="003821DA">
        <w:instrText xml:space="preserve"> SEQ level0 \*arabic </w:instrText>
      </w:r>
      <w:r w:rsidRPr="003821DA">
        <w:fldChar w:fldCharType="separate"/>
      </w:r>
      <w:r w:rsidRPr="003821DA" w:rsidR="003821DA">
        <w:rPr>
          <w:noProof/>
        </w:rPr>
        <w:t>39</w:t>
      </w:r>
      <w:r w:rsidRPr="003821DA">
        <w:fldChar w:fldCharType="end"/>
      </w:r>
      <w:bookmarkEnd w:id="20"/>
      <w:bookmarkEnd w:id="21"/>
      <w:r w:rsidRPr="003821DA">
        <w:t>.  </w:t>
      </w:r>
      <w:r w:rsidRPr="003821DA" w:rsidR="00352144">
        <w:t xml:space="preserve">By </w:t>
      </w:r>
      <w:r w:rsidRPr="003821DA" w:rsidR="003779CA">
        <w:t>executive order</w:t>
      </w:r>
      <w:r w:rsidRPr="003821DA" w:rsidR="00D959E4">
        <w:t xml:space="preserve"> no. 279 </w:t>
      </w:r>
      <w:r w:rsidRPr="003821DA" w:rsidR="003779CA">
        <w:t>of</w:t>
      </w:r>
      <w:r w:rsidRPr="003821DA" w:rsidR="00D959E4">
        <w:t xml:space="preserve"> 4 September 2006</w:t>
      </w:r>
      <w:r w:rsidRPr="003821DA" w:rsidR="003779CA">
        <w:t>, as amended</w:t>
      </w:r>
      <w:r w:rsidRPr="003821DA" w:rsidR="000F741E">
        <w:t xml:space="preserve"> on 17 </w:t>
      </w:r>
      <w:r w:rsidRPr="003821DA" w:rsidR="003779CA">
        <w:t>June 2013,</w:t>
      </w:r>
      <w:r w:rsidRPr="003821DA" w:rsidR="00D959E4">
        <w:t xml:space="preserve"> </w:t>
      </w:r>
      <w:r w:rsidRPr="003821DA" w:rsidR="00352144">
        <w:t>the Mi</w:t>
      </w:r>
      <w:r w:rsidRPr="003821DA" w:rsidR="003779CA">
        <w:t xml:space="preserve">nistry of Justice approved </w:t>
      </w:r>
      <w:r w:rsidRPr="003821DA" w:rsidR="008920D4">
        <w:t xml:space="preserve">a </w:t>
      </w:r>
      <w:r w:rsidRPr="003821DA" w:rsidR="003779CA">
        <w:t>m</w:t>
      </w:r>
      <w:r w:rsidRPr="003821DA" w:rsidR="00352144">
        <w:t>anual</w:t>
      </w:r>
      <w:r w:rsidRPr="003821DA" w:rsidR="00D959E4">
        <w:t xml:space="preserve"> </w:t>
      </w:r>
      <w:r w:rsidRPr="003821DA" w:rsidR="000B4167">
        <w:t xml:space="preserve">concerning </w:t>
      </w:r>
      <w:r w:rsidRPr="003821DA" w:rsidR="008920D4">
        <w:t xml:space="preserve">the </w:t>
      </w:r>
      <w:r w:rsidRPr="003821DA" w:rsidR="00D959E4">
        <w:t>equip</w:t>
      </w:r>
      <w:r w:rsidRPr="003821DA" w:rsidR="00F21E4F">
        <w:t>ping</w:t>
      </w:r>
      <w:r w:rsidRPr="003821DA" w:rsidR="008920D4">
        <w:t xml:space="preserve"> of</w:t>
      </w:r>
      <w:r w:rsidRPr="003821DA" w:rsidR="00F21E4F">
        <w:t xml:space="preserve"> </w:t>
      </w:r>
      <w:r w:rsidRPr="003821DA" w:rsidR="00E34B2D">
        <w:t>penal institution</w:t>
      </w:r>
      <w:r w:rsidRPr="003821DA" w:rsidR="00D959E4">
        <w:t xml:space="preserve">s </w:t>
      </w:r>
      <w:r w:rsidRPr="003821DA" w:rsidR="00F21E4F">
        <w:t>with</w:t>
      </w:r>
      <w:r w:rsidRPr="003821DA" w:rsidR="00D959E4">
        <w:t xml:space="preserve"> engineering and technical means of </w:t>
      </w:r>
      <w:r w:rsidRPr="003821DA" w:rsidR="009B463B">
        <w:t>guarding</w:t>
      </w:r>
      <w:r w:rsidRPr="003821DA" w:rsidR="00D959E4">
        <w:t xml:space="preserve"> and </w:t>
      </w:r>
      <w:r w:rsidRPr="003821DA" w:rsidR="00CB69FC">
        <w:t>surveillance</w:t>
      </w:r>
      <w:r w:rsidRPr="003821DA" w:rsidR="00AD32F6">
        <w:t xml:space="preserve"> </w:t>
      </w:r>
      <w:r w:rsidRPr="003821DA" w:rsidR="00D959E4">
        <w:t>(</w:t>
      </w:r>
      <w:r w:rsidRPr="003821DA" w:rsidR="00D959E4">
        <w:rPr>
          <w:i/>
          <w:lang w:val="ru-RU"/>
        </w:rPr>
        <w:t>приказ</w:t>
      </w:r>
      <w:r w:rsidRPr="003821DA" w:rsidR="00D959E4">
        <w:rPr>
          <w:i/>
        </w:rPr>
        <w:t xml:space="preserve"> </w:t>
      </w:r>
      <w:r w:rsidRPr="003821DA" w:rsidR="00D959E4">
        <w:rPr>
          <w:i/>
          <w:lang w:val="ru-RU"/>
        </w:rPr>
        <w:t>Министерства</w:t>
      </w:r>
      <w:r w:rsidRPr="003821DA" w:rsidR="00D959E4">
        <w:rPr>
          <w:i/>
        </w:rPr>
        <w:t xml:space="preserve"> </w:t>
      </w:r>
      <w:r w:rsidRPr="003821DA" w:rsidR="00D959E4">
        <w:rPr>
          <w:i/>
          <w:lang w:val="ru-RU"/>
        </w:rPr>
        <w:t>юстиции</w:t>
      </w:r>
      <w:r w:rsidRPr="003821DA" w:rsidR="00D959E4">
        <w:rPr>
          <w:i/>
        </w:rPr>
        <w:t xml:space="preserve"> </w:t>
      </w:r>
      <w:r w:rsidRPr="003821DA" w:rsidR="00D959E4">
        <w:rPr>
          <w:i/>
          <w:lang w:val="ru-RU"/>
        </w:rPr>
        <w:t>РФ</w:t>
      </w:r>
      <w:r w:rsidRPr="003821DA" w:rsidR="00D959E4">
        <w:rPr>
          <w:i/>
        </w:rPr>
        <w:t xml:space="preserve"> </w:t>
      </w:r>
      <w:r w:rsidRPr="003821DA" w:rsidR="00D959E4">
        <w:rPr>
          <w:i/>
          <w:lang w:val="ru-RU"/>
        </w:rPr>
        <w:t>от</w:t>
      </w:r>
      <w:r w:rsidRPr="003821DA" w:rsidR="000F741E">
        <w:rPr>
          <w:i/>
        </w:rPr>
        <w:t xml:space="preserve"> </w:t>
      </w:r>
      <w:proofErr w:type="gramStart"/>
      <w:r w:rsidRPr="003821DA" w:rsidR="000F741E">
        <w:rPr>
          <w:i/>
        </w:rPr>
        <w:t>4 </w:t>
      </w:r>
      <w:r w:rsidRPr="003821DA" w:rsidR="00D959E4">
        <w:rPr>
          <w:i/>
          <w:lang w:val="ru-RU"/>
        </w:rPr>
        <w:t>сентября</w:t>
      </w:r>
      <w:proofErr w:type="gramEnd"/>
      <w:r w:rsidRPr="003821DA" w:rsidR="00D959E4">
        <w:rPr>
          <w:i/>
        </w:rPr>
        <w:t xml:space="preserve"> 2006 </w:t>
      </w:r>
      <w:r w:rsidRPr="003821DA" w:rsidR="00D959E4">
        <w:rPr>
          <w:i/>
          <w:lang w:val="ru-RU"/>
        </w:rPr>
        <w:t>г</w:t>
      </w:r>
      <w:r w:rsidRPr="003821DA" w:rsidR="00D959E4">
        <w:rPr>
          <w:i/>
        </w:rPr>
        <w:t xml:space="preserve"> №279 «</w:t>
      </w:r>
      <w:r w:rsidRPr="003821DA" w:rsidR="00D959E4">
        <w:rPr>
          <w:i/>
          <w:lang w:val="ru-RU"/>
        </w:rPr>
        <w:t>Об</w:t>
      </w:r>
      <w:r w:rsidRPr="003821DA" w:rsidR="00D959E4">
        <w:rPr>
          <w:i/>
        </w:rPr>
        <w:t xml:space="preserve"> </w:t>
      </w:r>
      <w:r w:rsidRPr="003821DA" w:rsidR="00D959E4">
        <w:rPr>
          <w:i/>
          <w:lang w:val="ru-RU"/>
        </w:rPr>
        <w:t>утверждении</w:t>
      </w:r>
      <w:r w:rsidRPr="003821DA" w:rsidR="00D959E4">
        <w:rPr>
          <w:i/>
        </w:rPr>
        <w:t xml:space="preserve"> </w:t>
      </w:r>
      <w:r w:rsidRPr="003821DA" w:rsidR="00B55164">
        <w:rPr>
          <w:i/>
          <w:lang w:val="ru-RU"/>
        </w:rPr>
        <w:t>Н</w:t>
      </w:r>
      <w:r w:rsidRPr="003821DA" w:rsidR="00D959E4">
        <w:rPr>
          <w:i/>
          <w:lang w:val="ru-RU"/>
        </w:rPr>
        <w:t>аставления</w:t>
      </w:r>
      <w:r w:rsidRPr="003821DA" w:rsidR="00D959E4">
        <w:rPr>
          <w:i/>
        </w:rPr>
        <w:t xml:space="preserve"> </w:t>
      </w:r>
      <w:r w:rsidRPr="003821DA" w:rsidR="00D959E4">
        <w:rPr>
          <w:i/>
          <w:lang w:val="ru-RU"/>
        </w:rPr>
        <w:t>по</w:t>
      </w:r>
      <w:r w:rsidRPr="003821DA" w:rsidR="00D959E4">
        <w:rPr>
          <w:i/>
        </w:rPr>
        <w:t xml:space="preserve"> </w:t>
      </w:r>
      <w:r w:rsidRPr="003821DA" w:rsidR="00D959E4">
        <w:rPr>
          <w:i/>
          <w:lang w:val="ru-RU"/>
        </w:rPr>
        <w:t>оборудованию</w:t>
      </w:r>
      <w:r w:rsidRPr="003821DA" w:rsidR="00D959E4">
        <w:rPr>
          <w:i/>
        </w:rPr>
        <w:t xml:space="preserve"> </w:t>
      </w:r>
      <w:proofErr w:type="spellStart"/>
      <w:r w:rsidRPr="003821DA" w:rsidR="00D959E4">
        <w:rPr>
          <w:i/>
          <w:lang w:val="ru-RU"/>
        </w:rPr>
        <w:t>инженерно</w:t>
      </w:r>
      <w:proofErr w:type="spellEnd"/>
      <w:r w:rsidRPr="003821DA" w:rsidR="00D959E4">
        <w:rPr>
          <w:i/>
        </w:rPr>
        <w:t>-</w:t>
      </w:r>
      <w:r w:rsidRPr="003821DA" w:rsidR="00D959E4">
        <w:rPr>
          <w:i/>
          <w:lang w:val="ru-RU"/>
        </w:rPr>
        <w:t>техническими</w:t>
      </w:r>
      <w:r w:rsidRPr="003821DA" w:rsidR="00D959E4">
        <w:rPr>
          <w:i/>
        </w:rPr>
        <w:t xml:space="preserve"> </w:t>
      </w:r>
      <w:r w:rsidRPr="003821DA" w:rsidR="00D959E4">
        <w:rPr>
          <w:i/>
          <w:lang w:val="ru-RU"/>
        </w:rPr>
        <w:t>средствами</w:t>
      </w:r>
      <w:r w:rsidRPr="003821DA" w:rsidR="00D959E4">
        <w:rPr>
          <w:i/>
        </w:rPr>
        <w:t xml:space="preserve"> </w:t>
      </w:r>
      <w:r w:rsidRPr="003821DA" w:rsidR="00D959E4">
        <w:rPr>
          <w:i/>
          <w:lang w:val="ru-RU"/>
        </w:rPr>
        <w:t>охраны</w:t>
      </w:r>
      <w:r w:rsidRPr="003821DA" w:rsidR="00D959E4">
        <w:rPr>
          <w:i/>
        </w:rPr>
        <w:t xml:space="preserve"> </w:t>
      </w:r>
      <w:r w:rsidRPr="003821DA" w:rsidR="00D959E4">
        <w:rPr>
          <w:i/>
          <w:lang w:val="ru-RU"/>
        </w:rPr>
        <w:t>и</w:t>
      </w:r>
      <w:r w:rsidRPr="003821DA" w:rsidR="00D959E4">
        <w:rPr>
          <w:i/>
        </w:rPr>
        <w:t xml:space="preserve"> </w:t>
      </w:r>
      <w:r w:rsidRPr="003821DA" w:rsidR="00D959E4">
        <w:rPr>
          <w:i/>
          <w:lang w:val="ru-RU"/>
        </w:rPr>
        <w:t>надзора</w:t>
      </w:r>
      <w:r w:rsidRPr="003821DA" w:rsidR="00D959E4">
        <w:rPr>
          <w:i/>
        </w:rPr>
        <w:t xml:space="preserve"> </w:t>
      </w:r>
      <w:r w:rsidRPr="003821DA" w:rsidR="00D959E4">
        <w:rPr>
          <w:i/>
          <w:lang w:val="ru-RU"/>
        </w:rPr>
        <w:t>объектов</w:t>
      </w:r>
      <w:r w:rsidRPr="003821DA" w:rsidR="00D959E4">
        <w:rPr>
          <w:i/>
        </w:rPr>
        <w:t xml:space="preserve"> </w:t>
      </w:r>
      <w:r w:rsidRPr="003821DA" w:rsidR="00D959E4">
        <w:rPr>
          <w:i/>
          <w:lang w:val="ru-RU"/>
        </w:rPr>
        <w:t>уголовно</w:t>
      </w:r>
      <w:r w:rsidRPr="003821DA" w:rsidR="00D959E4">
        <w:rPr>
          <w:i/>
        </w:rPr>
        <w:t>-</w:t>
      </w:r>
      <w:r w:rsidRPr="003821DA" w:rsidR="00D959E4">
        <w:rPr>
          <w:i/>
          <w:lang w:val="ru-RU"/>
        </w:rPr>
        <w:t>исполнительной</w:t>
      </w:r>
      <w:r w:rsidRPr="003821DA" w:rsidR="00D959E4">
        <w:rPr>
          <w:i/>
        </w:rPr>
        <w:t xml:space="preserve"> </w:t>
      </w:r>
      <w:r w:rsidRPr="003821DA" w:rsidR="00D959E4">
        <w:rPr>
          <w:i/>
          <w:lang w:val="ru-RU"/>
        </w:rPr>
        <w:t>системы</w:t>
      </w:r>
      <w:r w:rsidRPr="003821DA" w:rsidR="00D959E4">
        <w:rPr>
          <w:i/>
        </w:rPr>
        <w:t>»</w:t>
      </w:r>
      <w:r w:rsidRPr="003821DA" w:rsidR="00D959E4">
        <w:t>).</w:t>
      </w:r>
      <w:r w:rsidRPr="003821DA" w:rsidR="00F21E4F">
        <w:t xml:space="preserve"> Its provisions concerned, in particular, correctional colonies (</w:t>
      </w:r>
      <w:r w:rsidRPr="003821DA" w:rsidR="00F21E4F">
        <w:rPr>
          <w:i/>
          <w:lang w:val="ru-RU"/>
        </w:rPr>
        <w:t>исправительные</w:t>
      </w:r>
      <w:r w:rsidRPr="003821DA" w:rsidR="00F21E4F">
        <w:rPr>
          <w:i/>
        </w:rPr>
        <w:t xml:space="preserve"> </w:t>
      </w:r>
      <w:r w:rsidRPr="003821DA" w:rsidR="00F21E4F">
        <w:rPr>
          <w:i/>
          <w:lang w:val="ru-RU"/>
        </w:rPr>
        <w:t>колонии</w:t>
      </w:r>
      <w:r w:rsidRPr="003821DA" w:rsidR="00F21E4F">
        <w:t>)</w:t>
      </w:r>
      <w:proofErr w:type="gramStart"/>
      <w:r w:rsidRPr="003821DA" w:rsidR="00F21E4F">
        <w:t>,</w:t>
      </w:r>
      <w:proofErr w:type="gramEnd"/>
      <w:r w:rsidRPr="003821DA" w:rsidR="00F21E4F">
        <w:t xml:space="preserve"> </w:t>
      </w:r>
      <w:r w:rsidRPr="003821DA" w:rsidR="00AA606B">
        <w:t>pre-trial detention</w:t>
      </w:r>
      <w:r w:rsidRPr="003821DA" w:rsidR="00F21E4F">
        <w:t xml:space="preserve"> centres (</w:t>
      </w:r>
      <w:r w:rsidRPr="003821DA" w:rsidR="00F21E4F">
        <w:rPr>
          <w:i/>
          <w:lang w:val="ru-RU"/>
        </w:rPr>
        <w:t>следственные</w:t>
      </w:r>
      <w:r w:rsidRPr="003821DA" w:rsidR="00F21E4F">
        <w:rPr>
          <w:i/>
        </w:rPr>
        <w:t xml:space="preserve"> </w:t>
      </w:r>
      <w:r w:rsidRPr="003821DA" w:rsidR="00F21E4F">
        <w:rPr>
          <w:i/>
          <w:lang w:val="ru-RU"/>
        </w:rPr>
        <w:t>изоляторы</w:t>
      </w:r>
      <w:r w:rsidRPr="003821DA" w:rsidR="00F21E4F">
        <w:t>) and prisons (</w:t>
      </w:r>
      <w:r w:rsidRPr="003821DA" w:rsidR="00F21E4F">
        <w:rPr>
          <w:i/>
          <w:lang w:val="ru-RU"/>
        </w:rPr>
        <w:t>тюрьмы</w:t>
      </w:r>
      <w:r w:rsidRPr="003821DA" w:rsidR="00F21E4F">
        <w:t>).</w:t>
      </w:r>
    </w:p>
    <w:bookmarkStart w:name="ExecutiveOrder279End" w:id="22"/>
    <w:p w:rsidRPr="003821DA" w:rsidR="00970D18" w:rsidP="003821DA" w:rsidRDefault="00A139CA">
      <w:pPr>
        <w:pStyle w:val="ECHRPara"/>
      </w:pPr>
      <w:r w:rsidRPr="003821DA">
        <w:fldChar w:fldCharType="begin"/>
      </w:r>
      <w:r w:rsidRPr="003821DA">
        <w:instrText xml:space="preserve"> SEQ level0 \*arabic </w:instrText>
      </w:r>
      <w:r w:rsidRPr="003821DA">
        <w:fldChar w:fldCharType="separate"/>
      </w:r>
      <w:r w:rsidRPr="003821DA" w:rsidR="003821DA">
        <w:rPr>
          <w:noProof/>
        </w:rPr>
        <w:t>40</w:t>
      </w:r>
      <w:r w:rsidRPr="003821DA">
        <w:rPr>
          <w:noProof/>
        </w:rPr>
        <w:fldChar w:fldCharType="end"/>
      </w:r>
      <w:bookmarkEnd w:id="22"/>
      <w:r w:rsidRPr="003821DA" w:rsidR="008F6D39">
        <w:t>.  </w:t>
      </w:r>
      <w:r w:rsidRPr="003821DA" w:rsidR="002A6B7A">
        <w:t xml:space="preserve">The </w:t>
      </w:r>
      <w:r w:rsidRPr="003821DA" w:rsidR="009A6B71">
        <w:t>forty</w:t>
      </w:r>
      <w:r w:rsidRPr="003821DA" w:rsidR="002A6B7A">
        <w:t xml:space="preserve">-page document </w:t>
      </w:r>
      <w:r w:rsidRPr="003821DA" w:rsidR="00383FFD">
        <w:t xml:space="preserve">sets out </w:t>
      </w:r>
      <w:r w:rsidRPr="003821DA" w:rsidR="002A6B7A">
        <w:t xml:space="preserve">detailed </w:t>
      </w:r>
      <w:r w:rsidRPr="003821DA" w:rsidR="00CB69FC">
        <w:t xml:space="preserve">technical standards for </w:t>
      </w:r>
      <w:r w:rsidRPr="003821DA" w:rsidR="00582A3A">
        <w:t xml:space="preserve">equipping </w:t>
      </w:r>
      <w:r w:rsidRPr="003821DA" w:rsidR="00401A86">
        <w:t>the above</w:t>
      </w:r>
      <w:r w:rsidRPr="003821DA" w:rsidR="009B463B">
        <w:t xml:space="preserve"> types of</w:t>
      </w:r>
      <w:r w:rsidRPr="003821DA" w:rsidR="00401A86">
        <w:t xml:space="preserve"> </w:t>
      </w:r>
      <w:r w:rsidRPr="003821DA" w:rsidR="00E34B2D">
        <w:t>penal institution</w:t>
      </w:r>
      <w:r w:rsidRPr="003821DA" w:rsidR="00582A3A">
        <w:t xml:space="preserve">s with means of </w:t>
      </w:r>
      <w:r w:rsidRPr="003821DA" w:rsidR="00DB5378">
        <w:t xml:space="preserve">guarding, </w:t>
      </w:r>
      <w:r w:rsidRPr="003821DA" w:rsidR="00582A3A">
        <w:t>surv</w:t>
      </w:r>
      <w:r w:rsidRPr="003821DA" w:rsidR="00E1464D">
        <w:t xml:space="preserve">eillance and control, </w:t>
      </w:r>
      <w:r w:rsidRPr="003821DA" w:rsidR="007A093F">
        <w:t>for example</w:t>
      </w:r>
      <w:r w:rsidRPr="003821DA" w:rsidR="008F69E7">
        <w:t xml:space="preserve"> </w:t>
      </w:r>
      <w:r w:rsidRPr="003821DA" w:rsidR="008F69E7">
        <w:rPr>
          <w:lang w:val="en"/>
        </w:rPr>
        <w:t xml:space="preserve">fencing, walls, earthworks </w:t>
      </w:r>
      <w:r w:rsidRPr="003821DA" w:rsidR="007A093F">
        <w:rPr>
          <w:lang w:val="en"/>
        </w:rPr>
        <w:t xml:space="preserve">and </w:t>
      </w:r>
      <w:r w:rsidRPr="003821DA" w:rsidR="008F69E7">
        <w:rPr>
          <w:lang w:val="en"/>
        </w:rPr>
        <w:t>other barriers, secure and defensible main gates, security lighting, motion sensors</w:t>
      </w:r>
      <w:r w:rsidRPr="003821DA" w:rsidR="00E1464D">
        <w:t xml:space="preserve"> </w:t>
      </w:r>
      <w:r w:rsidRPr="003821DA" w:rsidR="008F69E7">
        <w:t xml:space="preserve">and </w:t>
      </w:r>
      <w:r w:rsidRPr="003821DA" w:rsidR="00503303">
        <w:t>CCTV</w:t>
      </w:r>
      <w:r w:rsidRPr="003821DA" w:rsidR="00E1464D">
        <w:t xml:space="preserve"> system</w:t>
      </w:r>
      <w:r w:rsidRPr="003821DA" w:rsidR="009B463B">
        <w:t>s</w:t>
      </w:r>
      <w:r w:rsidRPr="003821DA" w:rsidR="00E1464D">
        <w:t xml:space="preserve">. </w:t>
      </w:r>
      <w:r w:rsidRPr="003821DA" w:rsidR="008D5DBB">
        <w:t>As regards the latter</w:t>
      </w:r>
      <w:r w:rsidRPr="003821DA" w:rsidR="00500D77">
        <w:t>,</w:t>
      </w:r>
      <w:r w:rsidRPr="003821DA" w:rsidR="008F69E7">
        <w:t xml:space="preserve"> it provides</w:t>
      </w:r>
      <w:r w:rsidRPr="003821DA" w:rsidR="001A50BB">
        <w:t xml:space="preserve"> that </w:t>
      </w:r>
      <w:r w:rsidRPr="003821DA" w:rsidR="00252897">
        <w:t xml:space="preserve">CCTV </w:t>
      </w:r>
      <w:r w:rsidRPr="003821DA" w:rsidR="001A50BB">
        <w:t xml:space="preserve">cameras </w:t>
      </w:r>
      <w:proofErr w:type="gramStart"/>
      <w:r w:rsidRPr="003821DA" w:rsidR="001A50BB">
        <w:t>should be installed</w:t>
      </w:r>
      <w:proofErr w:type="gramEnd"/>
      <w:r w:rsidRPr="003821DA" w:rsidR="001A50BB">
        <w:t xml:space="preserve"> in all cells of the</w:t>
      </w:r>
      <w:r w:rsidRPr="003821DA" w:rsidR="000B4167">
        <w:t xml:space="preserve"> relevant</w:t>
      </w:r>
      <w:r w:rsidRPr="003821DA" w:rsidR="001A50BB">
        <w:t xml:space="preserve"> </w:t>
      </w:r>
      <w:r w:rsidRPr="003821DA" w:rsidR="009B463B">
        <w:t xml:space="preserve">institutions </w:t>
      </w:r>
      <w:r w:rsidRPr="003821DA" w:rsidR="001A50BB">
        <w:t xml:space="preserve">in such a manner </w:t>
      </w:r>
      <w:r w:rsidRPr="003821DA" w:rsidR="008D5DBB">
        <w:t xml:space="preserve">as </w:t>
      </w:r>
      <w:r w:rsidRPr="003821DA" w:rsidR="001A50BB">
        <w:t xml:space="preserve">would enable full </w:t>
      </w:r>
      <w:r w:rsidRPr="003821DA" w:rsidR="00C722B5">
        <w:t>view of a cell</w:t>
      </w:r>
      <w:r w:rsidRPr="003821DA" w:rsidR="00005C53">
        <w:t>, with no blind zones</w:t>
      </w:r>
      <w:r w:rsidRPr="003821DA" w:rsidR="00C722B5">
        <w:t xml:space="preserve">. It also </w:t>
      </w:r>
      <w:r w:rsidRPr="003821DA" w:rsidR="00B30237">
        <w:t>describes</w:t>
      </w:r>
      <w:r w:rsidRPr="003821DA" w:rsidR="00C722B5">
        <w:t xml:space="preserve"> </w:t>
      </w:r>
      <w:r w:rsidRPr="003821DA" w:rsidR="00171683">
        <w:t xml:space="preserve">technical requirements </w:t>
      </w:r>
      <w:r w:rsidRPr="003821DA" w:rsidR="00C722B5">
        <w:t>in respect of</w:t>
      </w:r>
      <w:r w:rsidRPr="003821DA" w:rsidR="00503303">
        <w:t xml:space="preserve"> CCTV system</w:t>
      </w:r>
      <w:r w:rsidRPr="003821DA" w:rsidR="00B30237">
        <w:t>s</w:t>
      </w:r>
      <w:r w:rsidRPr="003821DA" w:rsidR="00503303">
        <w:t>, including</w:t>
      </w:r>
      <w:r w:rsidRPr="003821DA" w:rsidR="00252897">
        <w:t xml:space="preserve"> those relating to</w:t>
      </w:r>
      <w:r w:rsidRPr="003821DA" w:rsidR="00503303">
        <w:t xml:space="preserve"> </w:t>
      </w:r>
      <w:r w:rsidRPr="003821DA" w:rsidR="00B30237">
        <w:t xml:space="preserve">their </w:t>
      </w:r>
      <w:r w:rsidRPr="003821DA" w:rsidR="00503303">
        <w:t xml:space="preserve">functioning in various conditions, resolution, sensitivity, image quality </w:t>
      </w:r>
      <w:r w:rsidRPr="003821DA" w:rsidR="008D5DBB">
        <w:t xml:space="preserve">and such </w:t>
      </w:r>
      <w:r w:rsidRPr="003821DA" w:rsidR="00503303">
        <w:t xml:space="preserve">like. </w:t>
      </w:r>
      <w:r w:rsidRPr="003821DA" w:rsidR="00DB5378">
        <w:t>It provides, in particular, that</w:t>
      </w:r>
      <w:r w:rsidRPr="003821DA" w:rsidR="000B4167">
        <w:t xml:space="preserve"> </w:t>
      </w:r>
      <w:r w:rsidRPr="003821DA" w:rsidR="004E72EC">
        <w:t xml:space="preserve">cameras should be capable of functioning and providing </w:t>
      </w:r>
      <w:proofErr w:type="gramStart"/>
      <w:r w:rsidRPr="003821DA" w:rsidR="004E72EC">
        <w:t>high resolution</w:t>
      </w:r>
      <w:proofErr w:type="gramEnd"/>
      <w:r w:rsidRPr="003821DA" w:rsidR="004E72EC">
        <w:t xml:space="preserve"> images of good quality </w:t>
      </w:r>
      <w:r w:rsidRPr="003821DA" w:rsidR="000B4167">
        <w:t xml:space="preserve">during </w:t>
      </w:r>
      <w:r w:rsidRPr="003821DA" w:rsidR="004E72EC">
        <w:t xml:space="preserve">daytime as well as </w:t>
      </w:r>
      <w:proofErr w:type="spellStart"/>
      <w:r w:rsidRPr="003821DA" w:rsidR="004E72EC">
        <w:t>nighttime</w:t>
      </w:r>
      <w:proofErr w:type="spellEnd"/>
      <w:r w:rsidRPr="003821DA" w:rsidR="000B4167">
        <w:t>,</w:t>
      </w:r>
      <w:r w:rsidRPr="003821DA" w:rsidR="004E72EC">
        <w:t xml:space="preserve"> and that CCTV system</w:t>
      </w:r>
      <w:r w:rsidRPr="003821DA" w:rsidR="000B4167">
        <w:t>s</w:t>
      </w:r>
      <w:r w:rsidRPr="003821DA" w:rsidR="004E72EC">
        <w:t xml:space="preserve"> should be capable of storing record</w:t>
      </w:r>
      <w:r w:rsidRPr="003821DA" w:rsidR="00F424A0">
        <w:t>ing</w:t>
      </w:r>
      <w:r w:rsidRPr="003821DA" w:rsidR="004E72EC">
        <w:t xml:space="preserve">s </w:t>
      </w:r>
      <w:r w:rsidRPr="003821DA" w:rsidR="00F424A0">
        <w:t>made by</w:t>
      </w:r>
      <w:r w:rsidRPr="003821DA" w:rsidR="004E72EC">
        <w:t xml:space="preserve"> the cameras for </w:t>
      </w:r>
      <w:r w:rsidRPr="003821DA" w:rsidR="000B4167">
        <w:t xml:space="preserve">thirty </w:t>
      </w:r>
      <w:r w:rsidRPr="003821DA" w:rsidR="004E72EC">
        <w:t>days.</w:t>
      </w:r>
    </w:p>
    <w:p w:rsidRPr="003821DA" w:rsidR="00A9496F" w:rsidP="003821DA" w:rsidRDefault="00A9496F">
      <w:pPr>
        <w:pStyle w:val="ECHRHeading3"/>
      </w:pPr>
      <w:r w:rsidRPr="003821DA">
        <w:t xml:space="preserve">2.  Federal Service </w:t>
      </w:r>
      <w:r w:rsidRPr="003821DA" w:rsidR="00DF073A">
        <w:t>for the</w:t>
      </w:r>
      <w:r w:rsidRPr="003821DA">
        <w:t xml:space="preserve"> Execution of Sentences</w:t>
      </w:r>
    </w:p>
    <w:bookmarkStart w:name="FSINOrders" w:id="23"/>
    <w:p w:rsidRPr="003821DA" w:rsidR="00A9496F" w:rsidP="003821DA" w:rsidRDefault="00A9496F">
      <w:pPr>
        <w:pStyle w:val="ECHRPara"/>
      </w:pPr>
      <w:r w:rsidRPr="003821DA">
        <w:fldChar w:fldCharType="begin"/>
      </w:r>
      <w:r w:rsidRPr="003821DA">
        <w:instrText xml:space="preserve"> SEQ level0 \*arabic </w:instrText>
      </w:r>
      <w:r w:rsidRPr="003821DA">
        <w:fldChar w:fldCharType="separate"/>
      </w:r>
      <w:r w:rsidRPr="003821DA" w:rsidR="003821DA">
        <w:rPr>
          <w:noProof/>
        </w:rPr>
        <w:t>41</w:t>
      </w:r>
      <w:r w:rsidRPr="003821DA">
        <w:fldChar w:fldCharType="end"/>
      </w:r>
      <w:bookmarkEnd w:id="23"/>
      <w:r w:rsidRPr="003821DA">
        <w:t>.  </w:t>
      </w:r>
      <w:r w:rsidRPr="003821DA" w:rsidR="00651212">
        <w:t xml:space="preserve">Executive orders nos. 759 and 533 of the Federal Service </w:t>
      </w:r>
      <w:r w:rsidRPr="003821DA" w:rsidR="00DF073A">
        <w:t>for the</w:t>
      </w:r>
      <w:r w:rsidRPr="003821DA" w:rsidR="00651212">
        <w:t xml:space="preserve"> Execution of Sentences dated 13 August 2005 and 25 August 2008 respectively </w:t>
      </w:r>
      <w:r w:rsidRPr="003821DA" w:rsidR="00BD0E8D">
        <w:t xml:space="preserve">approved technical specifications as regards technical means of control and surveillance in </w:t>
      </w:r>
      <w:r w:rsidRPr="003821DA" w:rsidR="00E34B2D">
        <w:t>penal institution</w:t>
      </w:r>
      <w:r w:rsidRPr="003821DA" w:rsidR="00BD0E8D">
        <w:t xml:space="preserve">s, including the number per </w:t>
      </w:r>
      <w:r w:rsidRPr="003821DA" w:rsidR="000C6715">
        <w:t>institution</w:t>
      </w:r>
      <w:r w:rsidRPr="003821DA" w:rsidR="00BD0E8D">
        <w:t xml:space="preserve">, the period of their operational life, and </w:t>
      </w:r>
      <w:r w:rsidRPr="003821DA" w:rsidR="00DF073A">
        <w:t xml:space="preserve">such </w:t>
      </w:r>
      <w:r w:rsidRPr="003821DA" w:rsidR="00BD0E8D">
        <w:t xml:space="preserve">like. </w:t>
      </w:r>
      <w:r w:rsidRPr="003821DA" w:rsidR="007A093F">
        <w:t>In particular, t</w:t>
      </w:r>
      <w:r w:rsidRPr="003821DA" w:rsidR="00B2181F">
        <w:t xml:space="preserve">he decrees </w:t>
      </w:r>
      <w:r w:rsidRPr="003821DA" w:rsidR="007A093F">
        <w:t>provided for the</w:t>
      </w:r>
      <w:r w:rsidRPr="003821DA" w:rsidR="00B2181F">
        <w:t xml:space="preserve"> installation of one CCTV</w:t>
      </w:r>
      <w:r w:rsidRPr="003821DA" w:rsidR="002B4A85">
        <w:t xml:space="preserve"> </w:t>
      </w:r>
      <w:r w:rsidRPr="003821DA" w:rsidR="00B2181F">
        <w:t>camera per cell.</w:t>
      </w:r>
    </w:p>
    <w:p w:rsidRPr="003821DA" w:rsidR="00970D18" w:rsidP="003821DA" w:rsidRDefault="00970D18">
      <w:pPr>
        <w:pStyle w:val="ECHRHeading2"/>
      </w:pPr>
      <w:r w:rsidRPr="003821DA">
        <w:t>D.  Court practice</w:t>
      </w:r>
    </w:p>
    <w:p w:rsidRPr="003821DA" w:rsidR="003F1C00" w:rsidP="003821DA" w:rsidRDefault="003F1C00">
      <w:pPr>
        <w:pStyle w:val="ECHRHeading3"/>
      </w:pPr>
      <w:r w:rsidRPr="003821DA">
        <w:t>1.  Constitutional Court of Russia</w:t>
      </w:r>
    </w:p>
    <w:bookmarkStart w:name="COnstCourtDec19Oct2010Beg" w:id="24"/>
    <w:p w:rsidRPr="003821DA" w:rsidR="003F1C00" w:rsidP="003821DA" w:rsidRDefault="003F1C00">
      <w:pPr>
        <w:pStyle w:val="ECHRPara"/>
      </w:pPr>
      <w:r w:rsidRPr="003821DA">
        <w:fldChar w:fldCharType="begin"/>
      </w:r>
      <w:r w:rsidRPr="003821DA">
        <w:instrText xml:space="preserve"> SEQ level0 \*arabic </w:instrText>
      </w:r>
      <w:r w:rsidRPr="003821DA">
        <w:fldChar w:fldCharType="separate"/>
      </w:r>
      <w:r w:rsidRPr="003821DA" w:rsidR="003821DA">
        <w:rPr>
          <w:noProof/>
        </w:rPr>
        <w:t>42</w:t>
      </w:r>
      <w:r w:rsidRPr="003821DA">
        <w:fldChar w:fldCharType="end"/>
      </w:r>
      <w:bookmarkEnd w:id="24"/>
      <w:r w:rsidRPr="003821DA">
        <w:t>.  </w:t>
      </w:r>
      <w:r w:rsidRPr="003821DA" w:rsidR="00B3568F">
        <w:t xml:space="preserve">In ruling no. 1393-O-O of 19 October 2010, the Constitutional Court of Russia (“the Constitutional Court”) </w:t>
      </w:r>
      <w:r w:rsidRPr="003821DA" w:rsidR="001F539D">
        <w:t>declined to accept for examination a complaint brought by Mr U.</w:t>
      </w:r>
      <w:r w:rsidRPr="003821DA" w:rsidR="003C4472">
        <w:t>, a convicted prisoner.</w:t>
      </w:r>
      <w:r w:rsidRPr="003821DA" w:rsidR="00997C86">
        <w:t xml:space="preserve"> </w:t>
      </w:r>
      <w:proofErr w:type="gramStart"/>
      <w:r w:rsidRPr="003821DA" w:rsidR="008D048B">
        <w:t>He had</w:t>
      </w:r>
      <w:r w:rsidRPr="003821DA" w:rsidR="00997C86">
        <w:t xml:space="preserve"> challenged </w:t>
      </w:r>
      <w:r w:rsidRPr="003821DA" w:rsidR="00616292">
        <w:t>Article 83</w:t>
      </w:r>
      <w:r w:rsidRPr="003821DA" w:rsidR="000C6715">
        <w:t xml:space="preserve"> </w:t>
      </w:r>
      <w:r w:rsidRPr="003821DA" w:rsidR="008D048B">
        <w:rPr>
          <w:rFonts w:cstheme="minorHAnsi"/>
        </w:rPr>
        <w:t>§</w:t>
      </w:r>
      <w:r w:rsidRPr="003821DA" w:rsidR="008D048B">
        <w:t xml:space="preserve"> </w:t>
      </w:r>
      <w:r w:rsidRPr="003821DA" w:rsidR="00616292">
        <w:t>1 of the Code of Execution of Criminal Sentences (see paragraph</w:t>
      </w:r>
      <w:r w:rsidRPr="003821DA" w:rsidR="004E357B">
        <w:t xml:space="preserve"> </w:t>
      </w:r>
      <w:r w:rsidRPr="003821DA" w:rsidR="004E357B">
        <w:fldChar w:fldCharType="begin"/>
      </w:r>
      <w:r w:rsidRPr="003821DA" w:rsidR="004E357B">
        <w:instrText xml:space="preserve"> REF ExecutionCriminalSentencesCode \h  \* MERGEFORMAT </w:instrText>
      </w:r>
      <w:r w:rsidRPr="003821DA" w:rsidR="004E357B">
        <w:fldChar w:fldCharType="separate"/>
      </w:r>
      <w:r w:rsidRPr="003821DA" w:rsidR="003821DA">
        <w:rPr>
          <w:noProof/>
        </w:rPr>
        <w:t>33</w:t>
      </w:r>
      <w:r w:rsidRPr="003821DA" w:rsidR="004E357B">
        <w:fldChar w:fldCharType="end"/>
      </w:r>
      <w:r w:rsidRPr="003821DA" w:rsidR="00616292">
        <w:t xml:space="preserve"> above) and section 34(1) of </w:t>
      </w:r>
      <w:r w:rsidRPr="003821DA" w:rsidR="009636A5">
        <w:t xml:space="preserve">the Pre-trial Detention Act (see paragraph </w:t>
      </w:r>
      <w:r w:rsidRPr="003821DA" w:rsidR="004E357B">
        <w:fldChar w:fldCharType="begin"/>
      </w:r>
      <w:r w:rsidRPr="003821DA" w:rsidR="004E357B">
        <w:instrText xml:space="preserve"> REF PreTrialDetentionAct \h  \* MERGEFORMAT </w:instrText>
      </w:r>
      <w:r w:rsidRPr="003821DA" w:rsidR="004E357B">
        <w:fldChar w:fldCharType="separate"/>
      </w:r>
      <w:r w:rsidRPr="003821DA" w:rsidR="003821DA">
        <w:rPr>
          <w:noProof/>
          <w:lang w:bidi="en-US"/>
        </w:rPr>
        <w:t>34</w:t>
      </w:r>
      <w:r w:rsidRPr="003821DA" w:rsidR="004E357B">
        <w:fldChar w:fldCharType="end"/>
      </w:r>
      <w:r w:rsidRPr="003821DA" w:rsidR="004E357B">
        <w:t xml:space="preserve"> </w:t>
      </w:r>
      <w:r w:rsidRPr="003821DA" w:rsidR="009636A5">
        <w:t>above), arguing that</w:t>
      </w:r>
      <w:r w:rsidRPr="003821DA" w:rsidR="008E5556">
        <w:t xml:space="preserve">, in so far as those provisions could be understood as vesting </w:t>
      </w:r>
      <w:r w:rsidRPr="003821DA" w:rsidR="003C4472">
        <w:t xml:space="preserve">an </w:t>
      </w:r>
      <w:r w:rsidRPr="003821DA" w:rsidR="00395F1B">
        <w:t xml:space="preserve">unlimited </w:t>
      </w:r>
      <w:r w:rsidRPr="003821DA" w:rsidR="008E5556">
        <w:t xml:space="preserve">power in the </w:t>
      </w:r>
      <w:r w:rsidRPr="003821DA" w:rsidR="00395F1B">
        <w:t xml:space="preserve">administrations of pre-trial detention centres and </w:t>
      </w:r>
      <w:r w:rsidRPr="003821DA" w:rsidR="00E34B2D">
        <w:t>penal institution</w:t>
      </w:r>
      <w:r w:rsidRPr="003821DA" w:rsidR="00395F1B">
        <w:t>s</w:t>
      </w:r>
      <w:r w:rsidRPr="003821DA" w:rsidR="008E5556">
        <w:t xml:space="preserve"> to subject detainees to permanent video surveillance, they were incompatible with Article 21 of the Constitution (see paragraph</w:t>
      </w:r>
      <w:r w:rsidRPr="003821DA" w:rsidR="004E357B">
        <w:t xml:space="preserve"> </w:t>
      </w:r>
      <w:r w:rsidRPr="003821DA" w:rsidR="004E357B">
        <w:fldChar w:fldCharType="begin"/>
      </w:r>
      <w:r w:rsidRPr="003821DA" w:rsidR="004E357B">
        <w:instrText xml:space="preserve"> REF RusConst \h  \* MERGEFORMAT </w:instrText>
      </w:r>
      <w:r w:rsidRPr="003821DA" w:rsidR="004E357B">
        <w:fldChar w:fldCharType="separate"/>
      </w:r>
      <w:r w:rsidRPr="003821DA" w:rsidR="003821DA">
        <w:rPr>
          <w:noProof/>
        </w:rPr>
        <w:t>31</w:t>
      </w:r>
      <w:r w:rsidRPr="003821DA" w:rsidR="004E357B">
        <w:fldChar w:fldCharType="end"/>
      </w:r>
      <w:r w:rsidRPr="003821DA" w:rsidR="008E5556">
        <w:t xml:space="preserve"> above).</w:t>
      </w:r>
      <w:proofErr w:type="gramEnd"/>
    </w:p>
    <w:bookmarkStart w:name="COnstCourtDec19Oct2010End" w:id="25"/>
    <w:p w:rsidRPr="003821DA" w:rsidR="008E5556" w:rsidP="003821DA" w:rsidRDefault="008E5556">
      <w:pPr>
        <w:pStyle w:val="ECHRPara"/>
      </w:pPr>
      <w:r w:rsidRPr="003821DA">
        <w:fldChar w:fldCharType="begin"/>
      </w:r>
      <w:r w:rsidRPr="003821DA">
        <w:instrText xml:space="preserve"> SEQ level0 \*arabic </w:instrText>
      </w:r>
      <w:r w:rsidRPr="003821DA">
        <w:fldChar w:fldCharType="separate"/>
      </w:r>
      <w:r w:rsidRPr="003821DA" w:rsidR="003821DA">
        <w:rPr>
          <w:noProof/>
        </w:rPr>
        <w:t>43</w:t>
      </w:r>
      <w:r w:rsidRPr="003821DA">
        <w:fldChar w:fldCharType="end"/>
      </w:r>
      <w:bookmarkEnd w:id="25"/>
      <w:r w:rsidRPr="003821DA">
        <w:t>.  The Constitutional Court held as follows:</w:t>
      </w:r>
    </w:p>
    <w:p w:rsidRPr="003821DA" w:rsidR="008E5556" w:rsidP="003821DA" w:rsidRDefault="008E5556">
      <w:pPr>
        <w:pStyle w:val="ECHRParaQuote"/>
      </w:pPr>
      <w:proofErr w:type="gramStart"/>
      <w:r w:rsidRPr="003821DA">
        <w:t>“</w:t>
      </w:r>
      <w:r w:rsidRPr="003821DA" w:rsidR="009F6A91">
        <w:t xml:space="preserve">The Constitutional Court </w:t>
      </w:r>
      <w:r w:rsidRPr="003821DA" w:rsidR="00164F64">
        <w:t>...</w:t>
      </w:r>
      <w:r w:rsidRPr="003821DA" w:rsidR="009F6A91">
        <w:t xml:space="preserve"> has pointed out on several occasions that impos</w:t>
      </w:r>
      <w:r w:rsidRPr="003821DA" w:rsidR="003C4472">
        <w:t>ition on an individual, who has</w:t>
      </w:r>
      <w:r w:rsidRPr="003821DA" w:rsidR="009F6A91">
        <w:t xml:space="preserve"> committed a crime, of punishment in</w:t>
      </w:r>
      <w:r w:rsidRPr="003821DA" w:rsidR="00A65E59">
        <w:t xml:space="preserve"> the</w:t>
      </w:r>
      <w:r w:rsidRPr="003821DA" w:rsidR="009F6A91">
        <w:t xml:space="preserve"> form of imprisonment</w:t>
      </w:r>
      <w:r w:rsidRPr="003821DA" w:rsidR="00A65E59">
        <w:t xml:space="preserve"> [has as its aim] the protection of the interests of the State, society and its members, [and] </w:t>
      </w:r>
      <w:r w:rsidRPr="003821DA" w:rsidR="009F6A91">
        <w:t>presupposes</w:t>
      </w:r>
      <w:r w:rsidRPr="003821DA" w:rsidR="00AD5F23">
        <w:t xml:space="preserve"> a</w:t>
      </w:r>
      <w:r w:rsidRPr="003821DA" w:rsidR="009F6A91">
        <w:t xml:space="preserve"> change </w:t>
      </w:r>
      <w:r w:rsidRPr="003821DA" w:rsidR="00AD5F23">
        <w:t>in</w:t>
      </w:r>
      <w:r w:rsidRPr="003821DA" w:rsidR="009F6A91">
        <w:t xml:space="preserve"> </w:t>
      </w:r>
      <w:r w:rsidRPr="003821DA" w:rsidR="00A65E59">
        <w:t>the routine of a</w:t>
      </w:r>
      <w:r w:rsidRPr="003821DA" w:rsidR="009F6A91">
        <w:t xml:space="preserve"> convict</w:t>
      </w:r>
      <w:r w:rsidRPr="003821DA" w:rsidR="003821DA">
        <w:t>’</w:t>
      </w:r>
      <w:r w:rsidRPr="003821DA" w:rsidR="009F6A91">
        <w:t xml:space="preserve">s </w:t>
      </w:r>
      <w:r w:rsidRPr="003821DA" w:rsidR="00A65E59">
        <w:t>way of life, of his relations</w:t>
      </w:r>
      <w:r w:rsidRPr="003821DA" w:rsidR="00AD5F23">
        <w:t>hips</w:t>
      </w:r>
      <w:r w:rsidRPr="003821DA" w:rsidR="00A65E59">
        <w:t xml:space="preserve"> with </w:t>
      </w:r>
      <w:r w:rsidRPr="003821DA" w:rsidR="00AD5F23">
        <w:t>those around him</w:t>
      </w:r>
      <w:r w:rsidRPr="003821DA" w:rsidR="00A65E59">
        <w:t xml:space="preserve">, and the exercise of certain moral and psychological pressure, whereby his rights and freedoms are affected and his personal status </w:t>
      </w:r>
      <w:r w:rsidRPr="003821DA" w:rsidR="00395F1B">
        <w:t xml:space="preserve">is </w:t>
      </w:r>
      <w:r w:rsidRPr="003821DA" w:rsidR="00A65E59">
        <w:t>change</w:t>
      </w:r>
      <w:r w:rsidRPr="003821DA" w:rsidR="00395F1B">
        <w:t>d</w:t>
      </w:r>
      <w:r w:rsidRPr="003821DA" w:rsidR="00A65E59">
        <w:t>.</w:t>
      </w:r>
      <w:proofErr w:type="gramEnd"/>
      <w:r w:rsidRPr="003821DA" w:rsidR="00A65E59">
        <w:t xml:space="preserve"> </w:t>
      </w:r>
      <w:proofErr w:type="gramStart"/>
      <w:r w:rsidRPr="003821DA" w:rsidR="00A65E59">
        <w:t xml:space="preserve">In any event, an individual committing a crime should </w:t>
      </w:r>
      <w:r w:rsidRPr="003821DA" w:rsidR="0051499A">
        <w:t>assume that, as a result, he may be deprived of his liberty and restric</w:t>
      </w:r>
      <w:r w:rsidRPr="003821DA" w:rsidR="003C4472">
        <w:t xml:space="preserve">ted in his rights and freedoms; in other words, </w:t>
      </w:r>
      <w:r w:rsidRPr="003821DA" w:rsidR="0051499A">
        <w:t xml:space="preserve">such </w:t>
      </w:r>
      <w:r w:rsidRPr="003821DA" w:rsidR="00A4425C">
        <w:t xml:space="preserve">an </w:t>
      </w:r>
      <w:r w:rsidRPr="003821DA" w:rsidR="0051499A">
        <w:t xml:space="preserve">individual knowingly </w:t>
      </w:r>
      <w:r w:rsidRPr="003821DA" w:rsidR="00465BB7">
        <w:t xml:space="preserve">exposes himself and his relatives to restrictions [of their rights], including the right to </w:t>
      </w:r>
      <w:r w:rsidRPr="003821DA" w:rsidR="005727A0">
        <w:t>maintain contact with family members, inviolability of private life,</w:t>
      </w:r>
      <w:r w:rsidRPr="003821DA" w:rsidR="005727A0">
        <w:rPr>
          <w:sz w:val="24"/>
        </w:rPr>
        <w:t xml:space="preserve"> </w:t>
      </w:r>
      <w:r w:rsidRPr="003821DA" w:rsidR="009965F6">
        <w:t xml:space="preserve">and </w:t>
      </w:r>
      <w:r w:rsidRPr="003821DA" w:rsidR="005727A0">
        <w:t>personal and family confidentiality.</w:t>
      </w:r>
      <w:proofErr w:type="gramEnd"/>
    </w:p>
    <w:p w:rsidRPr="003821DA" w:rsidR="00794EAD" w:rsidP="003821DA" w:rsidRDefault="005727A0">
      <w:pPr>
        <w:pStyle w:val="ECHRParaQuote"/>
        <w:rPr>
          <w:lang w:bidi="en-US"/>
        </w:rPr>
      </w:pPr>
      <w:r w:rsidRPr="003821DA">
        <w:t>By virtue of Article 83</w:t>
      </w:r>
      <w:r w:rsidRPr="003821DA" w:rsidR="00AD5F23">
        <w:t xml:space="preserve"> </w:t>
      </w:r>
      <w:r w:rsidRPr="003821DA" w:rsidR="00AD5F23">
        <w:rPr>
          <w:rFonts w:cstheme="minorHAnsi"/>
        </w:rPr>
        <w:t>§</w:t>
      </w:r>
      <w:r w:rsidRPr="003821DA" w:rsidR="00AD5F23">
        <w:t xml:space="preserve"> </w:t>
      </w:r>
      <w:r w:rsidRPr="003821DA">
        <w:t>1 of the Code of Execution of Criminal Sentences</w:t>
      </w:r>
      <w:r w:rsidRPr="003821DA" w:rsidR="00164F64">
        <w:t>...</w:t>
      </w:r>
      <w:r w:rsidRPr="003821DA">
        <w:t xml:space="preserve">, </w:t>
      </w:r>
      <w:r w:rsidRPr="003821DA" w:rsidR="00794EAD">
        <w:t xml:space="preserve">the </w:t>
      </w:r>
      <w:r w:rsidRPr="003821DA" w:rsidR="00395F1B">
        <w:t>administrations</w:t>
      </w:r>
      <w:r w:rsidRPr="003821DA" w:rsidR="00794EAD">
        <w:t xml:space="preserve"> of </w:t>
      </w:r>
      <w:r w:rsidRPr="003821DA" w:rsidR="00E34B2D">
        <w:t>penal institution</w:t>
      </w:r>
      <w:r w:rsidRPr="003821DA" w:rsidR="00794EAD">
        <w:t xml:space="preserve">s are entitled to use </w:t>
      </w:r>
      <w:proofErr w:type="spellStart"/>
      <w:r w:rsidRPr="003821DA" w:rsidR="00794EAD">
        <w:t>audiovisual</w:t>
      </w:r>
      <w:proofErr w:type="spellEnd"/>
      <w:r w:rsidRPr="003821DA" w:rsidR="00794EAD">
        <w:t xml:space="preserve">, electronic and other technical means of surveillance and control </w:t>
      </w:r>
      <w:r w:rsidRPr="003821DA" w:rsidR="006465F4">
        <w:t xml:space="preserve">to </w:t>
      </w:r>
      <w:r w:rsidRPr="003821DA" w:rsidR="00794EAD">
        <w:t>prevent escapes and other crimes</w:t>
      </w:r>
      <w:r w:rsidRPr="003821DA" w:rsidR="00B159ED">
        <w:t xml:space="preserve"> or </w:t>
      </w:r>
      <w:r w:rsidRPr="003821DA" w:rsidR="00794EAD">
        <w:t>breaches of the established order of serving the sentence, and for the purpose</w:t>
      </w:r>
      <w:r w:rsidRPr="003821DA" w:rsidR="006465F4">
        <w:t>s</w:t>
      </w:r>
      <w:r w:rsidRPr="003821DA" w:rsidR="00794EAD">
        <w:t xml:space="preserve"> of obtaining necessary information about convicts</w:t>
      </w:r>
      <w:r w:rsidRPr="003821DA" w:rsidR="003821DA">
        <w:t>’</w:t>
      </w:r>
      <w:r w:rsidRPr="003821DA" w:rsidR="00794EAD">
        <w:t xml:space="preserve"> conduct. Section 34 of the [Pre-trial Detention Act] in its first paragraph also establishes that a</w:t>
      </w:r>
      <w:r w:rsidRPr="003821DA" w:rsidR="00794EAD">
        <w:rPr>
          <w:lang w:bidi="en-US"/>
        </w:rPr>
        <w:t>udio and video equipment may be used for the purpose</w:t>
      </w:r>
      <w:r w:rsidRPr="003821DA" w:rsidR="009965F6">
        <w:rPr>
          <w:lang w:bidi="en-US"/>
        </w:rPr>
        <w:t>s</w:t>
      </w:r>
      <w:r w:rsidRPr="003821DA" w:rsidR="00794EAD">
        <w:rPr>
          <w:lang w:bidi="en-US"/>
        </w:rPr>
        <w:t xml:space="preserve"> of </w:t>
      </w:r>
      <w:r w:rsidRPr="003821DA" w:rsidR="00395F1B">
        <w:rPr>
          <w:lang w:bidi="en-US"/>
        </w:rPr>
        <w:t>surveillance o</w:t>
      </w:r>
      <w:r w:rsidRPr="003821DA" w:rsidR="00D301B2">
        <w:rPr>
          <w:lang w:bidi="en-US"/>
        </w:rPr>
        <w:t>f</w:t>
      </w:r>
      <w:r w:rsidRPr="003821DA" w:rsidR="00794EAD">
        <w:rPr>
          <w:lang w:bidi="en-US"/>
        </w:rPr>
        <w:t xml:space="preserve"> suspects and accused</w:t>
      </w:r>
      <w:r w:rsidRPr="003821DA" w:rsidR="00D301B2">
        <w:rPr>
          <w:lang w:bidi="en-US"/>
        </w:rPr>
        <w:t xml:space="preserve"> persons</w:t>
      </w:r>
      <w:r w:rsidRPr="003821DA" w:rsidR="00794EAD">
        <w:rPr>
          <w:lang w:bidi="en-US"/>
        </w:rPr>
        <w:t>.</w:t>
      </w:r>
    </w:p>
    <w:p w:rsidRPr="003821DA" w:rsidR="00D367C5" w:rsidP="003821DA" w:rsidRDefault="00EF6AF9">
      <w:pPr>
        <w:pStyle w:val="ECHRParaQuote"/>
      </w:pPr>
      <w:proofErr w:type="gramStart"/>
      <w:r w:rsidRPr="003821DA">
        <w:t xml:space="preserve">The right of the authorities of </w:t>
      </w:r>
      <w:r w:rsidRPr="003821DA" w:rsidR="00E34B2D">
        <w:t>penal institution</w:t>
      </w:r>
      <w:r w:rsidRPr="003821DA">
        <w:t>s and remand centres to use technical means of control</w:t>
      </w:r>
      <w:r w:rsidRPr="003821DA" w:rsidR="004C7599">
        <w:t xml:space="preserve"> </w:t>
      </w:r>
      <w:r w:rsidRPr="003821DA" w:rsidR="00BE39FA">
        <w:t xml:space="preserve">and supervision </w:t>
      </w:r>
      <w:r w:rsidRPr="003821DA" w:rsidR="004C7599">
        <w:t xml:space="preserve">constitutes part of the mechanism which ensures </w:t>
      </w:r>
      <w:r w:rsidRPr="003821DA" w:rsidR="00E46981">
        <w:t xml:space="preserve">the </w:t>
      </w:r>
      <w:r w:rsidRPr="003821DA" w:rsidR="004C7599">
        <w:t xml:space="preserve">personal </w:t>
      </w:r>
      <w:r w:rsidRPr="003821DA" w:rsidR="009965F6">
        <w:t xml:space="preserve">safety </w:t>
      </w:r>
      <w:r w:rsidRPr="003821DA" w:rsidR="00D367C5">
        <w:t>of suspects, accused</w:t>
      </w:r>
      <w:r w:rsidRPr="003821DA" w:rsidR="00E46981">
        <w:t xml:space="preserve"> persons</w:t>
      </w:r>
      <w:r w:rsidRPr="003821DA" w:rsidR="00D367C5">
        <w:t>, convicts and</w:t>
      </w:r>
      <w:r w:rsidRPr="003821DA" w:rsidR="009965F6">
        <w:t xml:space="preserve"> staff</w:t>
      </w:r>
      <w:r w:rsidRPr="003821DA" w:rsidR="00D367C5">
        <w:t xml:space="preserve"> of the relevant </w:t>
      </w:r>
      <w:r w:rsidRPr="003821DA" w:rsidR="009965F6">
        <w:t>institution</w:t>
      </w:r>
      <w:r w:rsidRPr="003821DA" w:rsidR="007A093F">
        <w:t xml:space="preserve">, </w:t>
      </w:r>
      <w:r w:rsidRPr="003821DA" w:rsidR="00D367C5">
        <w:t xml:space="preserve">[observance of] the regime of detention of suspects, accused </w:t>
      </w:r>
      <w:r w:rsidRPr="003821DA" w:rsidR="00E46981">
        <w:t xml:space="preserve">persons </w:t>
      </w:r>
      <w:r w:rsidRPr="003821DA" w:rsidR="00D367C5">
        <w:t>and convicts</w:t>
      </w:r>
      <w:r w:rsidRPr="003821DA" w:rsidR="007A093F">
        <w:t xml:space="preserve">, </w:t>
      </w:r>
      <w:r w:rsidRPr="003821DA" w:rsidR="00D367C5">
        <w:t>respect for their rights and performance by them of their obligations.</w:t>
      </w:r>
      <w:proofErr w:type="gramEnd"/>
      <w:r w:rsidRPr="003821DA" w:rsidR="00D367C5">
        <w:t xml:space="preserve"> Therefore, establishing the aforementioned right [to use technical means of </w:t>
      </w:r>
      <w:r w:rsidRPr="003821DA" w:rsidR="009554B3">
        <w:t xml:space="preserve">control and </w:t>
      </w:r>
      <w:r w:rsidRPr="003821DA" w:rsidR="00D367C5">
        <w:t>supervision] in the disputed legal provisions pursues constitutionally meaningful aims and cannot be regarded as imposing unjustified restrictions on [Mr U.</w:t>
      </w:r>
      <w:r w:rsidRPr="003821DA" w:rsidR="003821DA">
        <w:t>’</w:t>
      </w:r>
      <w:r w:rsidRPr="003821DA" w:rsidR="00D367C5">
        <w:t>s] rights</w:t>
      </w:r>
      <w:r w:rsidRPr="003821DA" w:rsidR="00E46981">
        <w:t>.</w:t>
      </w:r>
      <w:r w:rsidRPr="003821DA" w:rsidR="00D367C5">
        <w:t>”</w:t>
      </w:r>
    </w:p>
    <w:p w:rsidRPr="003821DA" w:rsidR="003F1C00" w:rsidP="003821DA" w:rsidRDefault="003F1C00">
      <w:pPr>
        <w:pStyle w:val="ECHRHeading3"/>
      </w:pPr>
      <w:r w:rsidRPr="003821DA">
        <w:t>2.  Supreme Court of Russia</w:t>
      </w:r>
    </w:p>
    <w:bookmarkStart w:name="SupCourt12March2014MrMrMComplaint" w:id="26"/>
    <w:p w:rsidRPr="003821DA" w:rsidR="00970D18" w:rsidP="003821DA" w:rsidRDefault="001E0B50">
      <w:pPr>
        <w:pStyle w:val="ECHRPara"/>
      </w:pPr>
      <w:r w:rsidRPr="003821DA">
        <w:fldChar w:fldCharType="begin"/>
      </w:r>
      <w:r w:rsidRPr="003821DA">
        <w:instrText xml:space="preserve"> SEQ level0 \*arabic </w:instrText>
      </w:r>
      <w:r w:rsidRPr="003821DA">
        <w:fldChar w:fldCharType="separate"/>
      </w:r>
      <w:r w:rsidRPr="003821DA" w:rsidR="003821DA">
        <w:rPr>
          <w:noProof/>
        </w:rPr>
        <w:t>44</w:t>
      </w:r>
      <w:r w:rsidRPr="003821DA">
        <w:fldChar w:fldCharType="end"/>
      </w:r>
      <w:bookmarkEnd w:id="26"/>
      <w:r w:rsidRPr="003821DA">
        <w:t>.  </w:t>
      </w:r>
      <w:r w:rsidRPr="003821DA" w:rsidR="00796733">
        <w:t xml:space="preserve">On </w:t>
      </w:r>
      <w:r w:rsidRPr="003821DA" w:rsidR="00501ED5">
        <w:t xml:space="preserve">12 March 2014 the Supreme Court of Russia </w:t>
      </w:r>
      <w:r w:rsidRPr="003821DA" w:rsidR="00506EBB">
        <w:t xml:space="preserve">(“the Supreme Court”) </w:t>
      </w:r>
      <w:r w:rsidRPr="003821DA" w:rsidR="00501ED5">
        <w:t xml:space="preserve">examined a complaint brought by Mr </w:t>
      </w:r>
      <w:r w:rsidRPr="003821DA" w:rsidR="00084094">
        <w:t>M</w:t>
      </w:r>
      <w:r w:rsidRPr="003821DA" w:rsidR="00501ED5">
        <w:t>.</w:t>
      </w:r>
      <w:r w:rsidRPr="003821DA" w:rsidR="003B4536">
        <w:t>,</w:t>
      </w:r>
      <w:r w:rsidRPr="003821DA" w:rsidR="00501ED5">
        <w:t xml:space="preserve"> a convicted prisoner</w:t>
      </w:r>
      <w:r w:rsidRPr="003821DA" w:rsidR="003B4536">
        <w:t xml:space="preserve">, who sought to have </w:t>
      </w:r>
      <w:r w:rsidRPr="003821DA" w:rsidR="00F30102">
        <w:t>executive order</w:t>
      </w:r>
      <w:r w:rsidRPr="003821DA" w:rsidR="004B5035">
        <w:t xml:space="preserve"> no. </w:t>
      </w:r>
      <w:r w:rsidRPr="003821DA" w:rsidR="001F7F34">
        <w:t xml:space="preserve">166-dsp </w:t>
      </w:r>
      <w:r w:rsidRPr="003821DA" w:rsidR="009E2600">
        <w:t>of the Ministry of Justice (see</w:t>
      </w:r>
      <w:r w:rsidRPr="003821DA" w:rsidR="00587AA6">
        <w:t xml:space="preserve"> paragraph</w:t>
      </w:r>
      <w:r w:rsidRPr="003821DA" w:rsidR="009E2600">
        <w:t xml:space="preserve"> </w:t>
      </w:r>
      <w:r w:rsidRPr="003821DA" w:rsidR="00C45696">
        <w:fldChar w:fldCharType="begin"/>
      </w:r>
      <w:r w:rsidRPr="003821DA" w:rsidR="00C45696">
        <w:instrText xml:space="preserve"> REF ExecutiveOrder166dsp \h  \* MERGEFORMAT </w:instrText>
      </w:r>
      <w:r w:rsidRPr="003821DA" w:rsidR="00C45696">
        <w:fldChar w:fldCharType="separate"/>
      </w:r>
      <w:r w:rsidRPr="003821DA" w:rsidR="003821DA">
        <w:rPr>
          <w:noProof/>
        </w:rPr>
        <w:t>38</w:t>
      </w:r>
      <w:r w:rsidRPr="003821DA" w:rsidR="00C45696">
        <w:fldChar w:fldCharType="end"/>
      </w:r>
      <w:r w:rsidRPr="003821DA" w:rsidR="00C45696">
        <w:t xml:space="preserve"> </w:t>
      </w:r>
      <w:r w:rsidRPr="003821DA" w:rsidR="009E2600">
        <w:t>above) invalidated.</w:t>
      </w:r>
      <w:r w:rsidRPr="003821DA" w:rsidR="003B4536">
        <w:t xml:space="preserve"> </w:t>
      </w:r>
      <w:proofErr w:type="gramStart"/>
      <w:r w:rsidRPr="003821DA" w:rsidR="003B4536">
        <w:t xml:space="preserve">Mr M. </w:t>
      </w:r>
      <w:r w:rsidRPr="003821DA" w:rsidR="00445D28">
        <w:t>argued</w:t>
      </w:r>
      <w:r w:rsidRPr="003821DA" w:rsidR="00501ED5">
        <w:t xml:space="preserve">, </w:t>
      </w:r>
      <w:r w:rsidRPr="003821DA" w:rsidR="003B4536">
        <w:t xml:space="preserve">in particular, </w:t>
      </w:r>
      <w:r w:rsidRPr="003821DA">
        <w:t xml:space="preserve">that </w:t>
      </w:r>
      <w:r w:rsidRPr="003821DA" w:rsidR="00445D28">
        <w:t xml:space="preserve">the </w:t>
      </w:r>
      <w:r w:rsidRPr="003821DA" w:rsidR="002B00A1">
        <w:t>executive order</w:t>
      </w:r>
      <w:r w:rsidRPr="003821DA" w:rsidR="00D57413">
        <w:t xml:space="preserve"> in question</w:t>
      </w:r>
      <w:r w:rsidRPr="003821DA" w:rsidR="002B00A1">
        <w:t xml:space="preserve"> </w:t>
      </w:r>
      <w:r w:rsidRPr="003821DA" w:rsidR="00445D28">
        <w:t xml:space="preserve">vested in the authorities of a </w:t>
      </w:r>
      <w:r w:rsidRPr="003821DA" w:rsidR="00E34B2D">
        <w:t>penal institution</w:t>
      </w:r>
      <w:r w:rsidRPr="003821DA" w:rsidR="00445D28">
        <w:t xml:space="preserve"> </w:t>
      </w:r>
      <w:r w:rsidRPr="003821DA" w:rsidR="00BE1C2A">
        <w:t xml:space="preserve">an </w:t>
      </w:r>
      <w:r w:rsidRPr="003821DA" w:rsidR="00445D28">
        <w:t xml:space="preserve">unconditional power to use the means of video surveillance </w:t>
      </w:r>
      <w:r w:rsidRPr="003821DA" w:rsidR="00BE1C2A">
        <w:t xml:space="preserve">in cells, which, in his view, stood in conflict with the Constitution of Russia and other relevant </w:t>
      </w:r>
      <w:r w:rsidRPr="003821DA" w:rsidR="004E5567">
        <w:t xml:space="preserve">domestic </w:t>
      </w:r>
      <w:r w:rsidRPr="003821DA" w:rsidR="00BE1C2A">
        <w:t xml:space="preserve">legal </w:t>
      </w:r>
      <w:r w:rsidRPr="003821DA" w:rsidR="00D57413">
        <w:t>instruments</w:t>
      </w:r>
      <w:r w:rsidRPr="003821DA" w:rsidR="00BE1C2A">
        <w:t xml:space="preserve">, norms of international law and breached </w:t>
      </w:r>
      <w:r w:rsidRPr="003821DA" w:rsidR="00D57413">
        <w:t xml:space="preserve">the </w:t>
      </w:r>
      <w:r w:rsidRPr="003821DA" w:rsidR="00BE1C2A">
        <w:t>right</w:t>
      </w:r>
      <w:r w:rsidRPr="003821DA" w:rsidR="00D57413">
        <w:t xml:space="preserve"> of detainees</w:t>
      </w:r>
      <w:r w:rsidRPr="003821DA" w:rsidR="00BE1C2A">
        <w:t xml:space="preserve"> to respect for their private life.</w:t>
      </w:r>
      <w:proofErr w:type="gramEnd"/>
      <w:r w:rsidRPr="003821DA" w:rsidR="00BE1C2A">
        <w:t xml:space="preserve"> In the proceedings be</w:t>
      </w:r>
      <w:r w:rsidRPr="003821DA" w:rsidR="003C4472">
        <w:t>fore the court, Mr </w:t>
      </w:r>
      <w:r w:rsidRPr="003821DA" w:rsidR="00BE1C2A">
        <w:t>M. subm</w:t>
      </w:r>
      <w:r w:rsidRPr="003821DA" w:rsidR="00340762">
        <w:t xml:space="preserve">itted that he would not exclude, as such, </w:t>
      </w:r>
      <w:r w:rsidRPr="003821DA" w:rsidR="004E5567">
        <w:t xml:space="preserve">the possibility of video surveillance in </w:t>
      </w:r>
      <w:r w:rsidRPr="003821DA" w:rsidR="00E34B2D">
        <w:t>penal institution</w:t>
      </w:r>
      <w:r w:rsidRPr="003821DA" w:rsidR="004E5567">
        <w:t xml:space="preserve">s, but </w:t>
      </w:r>
      <w:r w:rsidRPr="003821DA" w:rsidR="005D5112">
        <w:t xml:space="preserve">that </w:t>
      </w:r>
      <w:r w:rsidRPr="003821DA" w:rsidR="004E5567">
        <w:t xml:space="preserve">such surveillance </w:t>
      </w:r>
      <w:proofErr w:type="gramStart"/>
      <w:r w:rsidRPr="003821DA" w:rsidR="004E5567">
        <w:t xml:space="preserve">should not be </w:t>
      </w:r>
      <w:r w:rsidRPr="003821DA" w:rsidR="00084094">
        <w:t>performed</w:t>
      </w:r>
      <w:proofErr w:type="gramEnd"/>
      <w:r w:rsidRPr="003821DA" w:rsidR="00084094">
        <w:t xml:space="preserve"> unrestrictedly</w:t>
      </w:r>
      <w:r w:rsidRPr="003821DA" w:rsidR="004E5567">
        <w:t xml:space="preserve"> and should be subject to authorisation by a court or the </w:t>
      </w:r>
      <w:r w:rsidRPr="003821DA" w:rsidR="005D5112">
        <w:t xml:space="preserve">governor </w:t>
      </w:r>
      <w:r w:rsidRPr="003821DA" w:rsidR="004E5567">
        <w:t xml:space="preserve">of </w:t>
      </w:r>
      <w:r w:rsidRPr="003821DA" w:rsidR="005D5112">
        <w:t xml:space="preserve">the </w:t>
      </w:r>
      <w:r w:rsidRPr="003821DA" w:rsidR="00E34B2D">
        <w:t>penal institution</w:t>
      </w:r>
      <w:r w:rsidRPr="003821DA" w:rsidR="004E5567">
        <w:t>.</w:t>
      </w:r>
    </w:p>
    <w:p w:rsidRPr="003821DA" w:rsidR="004E5567" w:rsidP="003821DA" w:rsidRDefault="004E5567">
      <w:pPr>
        <w:pStyle w:val="ECHRPara"/>
      </w:pPr>
      <w:r w:rsidRPr="003821DA">
        <w:fldChar w:fldCharType="begin"/>
      </w:r>
      <w:r w:rsidRPr="003821DA">
        <w:instrText xml:space="preserve"> SEQ level0 \*arabic </w:instrText>
      </w:r>
      <w:r w:rsidRPr="003821DA">
        <w:fldChar w:fldCharType="separate"/>
      </w:r>
      <w:r w:rsidRPr="003821DA" w:rsidR="003821DA">
        <w:rPr>
          <w:noProof/>
        </w:rPr>
        <w:t>45</w:t>
      </w:r>
      <w:r w:rsidRPr="003821DA">
        <w:fldChar w:fldCharType="end"/>
      </w:r>
      <w:r w:rsidRPr="003821DA">
        <w:t xml:space="preserve">.  Representatives of the Russian Ministry of Justice argued that the </w:t>
      </w:r>
      <w:r w:rsidRPr="003821DA" w:rsidR="00F30102">
        <w:t>executive order</w:t>
      </w:r>
      <w:r w:rsidRPr="003821DA" w:rsidR="005D5112">
        <w:t xml:space="preserve"> in question</w:t>
      </w:r>
      <w:r w:rsidRPr="003821DA">
        <w:t xml:space="preserve"> </w:t>
      </w:r>
      <w:r w:rsidRPr="003821DA" w:rsidR="007C598C">
        <w:t xml:space="preserve">was in conformity with the relevant legislation, </w:t>
      </w:r>
      <w:proofErr w:type="gramStart"/>
      <w:r w:rsidRPr="003821DA" w:rsidR="007C598C">
        <w:t>had been issued</w:t>
      </w:r>
      <w:proofErr w:type="gramEnd"/>
      <w:r w:rsidRPr="003821DA" w:rsidR="007C598C">
        <w:t xml:space="preserve"> by that Ministry within its competence and did not breach convicts</w:t>
      </w:r>
      <w:r w:rsidRPr="003821DA" w:rsidR="003821DA">
        <w:t>’</w:t>
      </w:r>
      <w:r w:rsidRPr="003821DA" w:rsidR="007C598C">
        <w:t xml:space="preserve"> rights.</w:t>
      </w:r>
    </w:p>
    <w:bookmarkStart w:name="SupCourt12March2014QuoteSec42" w:id="27"/>
    <w:p w:rsidRPr="003821DA" w:rsidR="00164F64" w:rsidP="003821DA" w:rsidRDefault="007C598C">
      <w:pPr>
        <w:pStyle w:val="ECHRPara"/>
      </w:pPr>
      <w:r w:rsidRPr="003821DA">
        <w:fldChar w:fldCharType="begin"/>
      </w:r>
      <w:r w:rsidRPr="003821DA">
        <w:instrText xml:space="preserve"> SEQ level0 \*arabic </w:instrText>
      </w:r>
      <w:r w:rsidRPr="003821DA">
        <w:fldChar w:fldCharType="separate"/>
      </w:r>
      <w:r w:rsidRPr="003821DA" w:rsidR="003821DA">
        <w:rPr>
          <w:noProof/>
        </w:rPr>
        <w:t>46</w:t>
      </w:r>
      <w:r w:rsidRPr="003821DA">
        <w:fldChar w:fldCharType="end"/>
      </w:r>
      <w:bookmarkEnd w:id="27"/>
      <w:r w:rsidRPr="003821DA">
        <w:t xml:space="preserve">.  In its judgment, the Supreme Court </w:t>
      </w:r>
      <w:r w:rsidRPr="003821DA" w:rsidR="002B00A1">
        <w:t>quoted the provisions of section 42</w:t>
      </w:r>
      <w:r w:rsidRPr="003821DA" w:rsidR="0050051A">
        <w:t>(</w:t>
      </w:r>
      <w:r w:rsidRPr="003821DA" w:rsidR="002B00A1">
        <w:t>6</w:t>
      </w:r>
      <w:r w:rsidRPr="003821DA" w:rsidR="0050051A">
        <w:t>)</w:t>
      </w:r>
      <w:r w:rsidRPr="003821DA" w:rsidR="002B00A1">
        <w:t xml:space="preserve"> of executive order no. 204-dsp of 3 November 2005, as in force prior to their amendment by executive order no. 166-dsp of 25 May 2011 (see paragraph </w:t>
      </w:r>
      <w:r w:rsidRPr="003821DA" w:rsidR="002B00A1">
        <w:fldChar w:fldCharType="begin"/>
      </w:r>
      <w:r w:rsidRPr="003821DA" w:rsidR="002B00A1">
        <w:instrText xml:space="preserve"> REF ExecutiveOrder204Sec42 \h  \* MERGEFORMAT </w:instrText>
      </w:r>
      <w:r w:rsidRPr="003821DA" w:rsidR="002B00A1">
        <w:fldChar w:fldCharType="separate"/>
      </w:r>
      <w:r w:rsidRPr="003821DA" w:rsidR="003821DA">
        <w:rPr>
          <w:noProof/>
        </w:rPr>
        <w:t>37</w:t>
      </w:r>
      <w:r w:rsidRPr="003821DA" w:rsidR="002B00A1">
        <w:fldChar w:fldCharType="end"/>
      </w:r>
      <w:r w:rsidRPr="003821DA" w:rsidR="002B00A1">
        <w:t xml:space="preserve"> above</w:t>
      </w:r>
      <w:r w:rsidRPr="003821DA" w:rsidR="005530D3">
        <w:t xml:space="preserve">), </w:t>
      </w:r>
      <w:r w:rsidRPr="003821DA" w:rsidR="002B00A1">
        <w:t xml:space="preserve">and then as they stood after </w:t>
      </w:r>
      <w:r w:rsidRPr="003821DA" w:rsidR="00987DBE">
        <w:t xml:space="preserve">amendment (see paragraph </w:t>
      </w:r>
      <w:r w:rsidRPr="003821DA" w:rsidR="00987DBE">
        <w:fldChar w:fldCharType="begin"/>
      </w:r>
      <w:r w:rsidRPr="003821DA" w:rsidR="00987DBE">
        <w:instrText xml:space="preserve"> REF ExecutiveOrder166dsp \h </w:instrText>
      </w:r>
      <w:r w:rsidRPr="003821DA" w:rsidR="00987DBE">
        <w:fldChar w:fldCharType="separate"/>
      </w:r>
      <w:r w:rsidRPr="003821DA" w:rsidR="003821DA">
        <w:rPr>
          <w:noProof/>
        </w:rPr>
        <w:t>38</w:t>
      </w:r>
      <w:r w:rsidRPr="003821DA" w:rsidR="00987DBE">
        <w:fldChar w:fldCharType="end"/>
      </w:r>
      <w:r w:rsidRPr="003821DA" w:rsidR="00987DBE">
        <w:t xml:space="preserve"> above).</w:t>
      </w:r>
    </w:p>
    <w:p w:rsidRPr="003821DA" w:rsidR="00164F64" w:rsidP="003821DA" w:rsidRDefault="002B00A1">
      <w:pPr>
        <w:pStyle w:val="ECHRPara"/>
      </w:pPr>
      <w:r w:rsidRPr="003821DA">
        <w:fldChar w:fldCharType="begin"/>
      </w:r>
      <w:r w:rsidRPr="003821DA">
        <w:instrText xml:space="preserve"> SEQ level0 \*arabic </w:instrText>
      </w:r>
      <w:r w:rsidRPr="003821DA">
        <w:fldChar w:fldCharType="separate"/>
      </w:r>
      <w:r w:rsidRPr="003821DA" w:rsidR="003821DA">
        <w:rPr>
          <w:noProof/>
        </w:rPr>
        <w:t>47</w:t>
      </w:r>
      <w:r w:rsidRPr="003821DA">
        <w:fldChar w:fldCharType="end"/>
      </w:r>
      <w:r w:rsidRPr="003821DA">
        <w:t xml:space="preserve">.  It further </w:t>
      </w:r>
      <w:r w:rsidRPr="003821DA" w:rsidR="00EC758F">
        <w:t>stated</w:t>
      </w:r>
      <w:r w:rsidRPr="003821DA" w:rsidR="007C598C">
        <w:t xml:space="preserve"> </w:t>
      </w:r>
      <w:r w:rsidRPr="003821DA" w:rsidR="00107DBB">
        <w:t xml:space="preserve">that the </w:t>
      </w:r>
      <w:r w:rsidRPr="003821DA" w:rsidR="009F6A91">
        <w:t>imposition on an individual, who ha</w:t>
      </w:r>
      <w:r w:rsidRPr="003821DA" w:rsidR="00870B44">
        <w:t>d</w:t>
      </w:r>
      <w:r w:rsidRPr="003821DA" w:rsidR="009F6A91">
        <w:t xml:space="preserve"> committed a crime, of punishment in</w:t>
      </w:r>
      <w:r w:rsidRPr="003821DA" w:rsidR="00EC758F">
        <w:t xml:space="preserve"> the</w:t>
      </w:r>
      <w:r w:rsidRPr="003821DA" w:rsidR="009F6A91">
        <w:t xml:space="preserve"> form of imprisonment</w:t>
      </w:r>
      <w:r w:rsidRPr="003821DA" w:rsidR="00A65E59">
        <w:t xml:space="preserve"> </w:t>
      </w:r>
      <w:r w:rsidRPr="003821DA" w:rsidR="00EC758F">
        <w:t>changed that individual</w:t>
      </w:r>
      <w:r w:rsidRPr="003821DA" w:rsidR="003821DA">
        <w:t>’</w:t>
      </w:r>
      <w:r w:rsidRPr="003821DA" w:rsidR="00EC758F">
        <w:t xml:space="preserve">s personal status, restricted his rights, including the right to inviolability of private life, </w:t>
      </w:r>
      <w:r w:rsidRPr="003821DA" w:rsidR="006465F4">
        <w:t xml:space="preserve">and </w:t>
      </w:r>
      <w:r w:rsidRPr="003821DA" w:rsidR="00EC758F">
        <w:t>personal and family confidentiality.</w:t>
      </w:r>
    </w:p>
    <w:bookmarkStart w:name="SupCourt12Mer2014NoIndivDecision" w:id="28"/>
    <w:p w:rsidRPr="003821DA" w:rsidR="00F24E1A" w:rsidP="003821DA" w:rsidRDefault="00C65EDB">
      <w:pPr>
        <w:pStyle w:val="ECHRPara"/>
      </w:pPr>
      <w:r w:rsidRPr="003821DA">
        <w:fldChar w:fldCharType="begin"/>
      </w:r>
      <w:r w:rsidRPr="003821DA">
        <w:instrText xml:space="preserve"> SEQ level0 \*arabic </w:instrText>
      </w:r>
      <w:r w:rsidRPr="003821DA">
        <w:fldChar w:fldCharType="separate"/>
      </w:r>
      <w:r w:rsidRPr="003821DA" w:rsidR="003821DA">
        <w:rPr>
          <w:noProof/>
        </w:rPr>
        <w:t>48</w:t>
      </w:r>
      <w:r w:rsidRPr="003821DA">
        <w:fldChar w:fldCharType="end"/>
      </w:r>
      <w:bookmarkEnd w:id="28"/>
      <w:r w:rsidRPr="003821DA">
        <w:t>.  </w:t>
      </w:r>
      <w:r w:rsidRPr="003821DA" w:rsidR="00FB4E46">
        <w:t xml:space="preserve">It </w:t>
      </w:r>
      <w:r w:rsidRPr="003821DA" w:rsidR="002B00A1">
        <w:t>went on to observe</w:t>
      </w:r>
      <w:r w:rsidRPr="003821DA" w:rsidR="00FB4E46">
        <w:t xml:space="preserve"> </w:t>
      </w:r>
      <w:r w:rsidRPr="003821DA" w:rsidR="00F24E1A">
        <w:t>as follows:</w:t>
      </w:r>
    </w:p>
    <w:p w:rsidRPr="003821DA" w:rsidR="00164F64" w:rsidP="003821DA" w:rsidRDefault="00F24E1A">
      <w:pPr>
        <w:pStyle w:val="ECHRParaQuote"/>
      </w:pPr>
      <w:r w:rsidRPr="003821DA">
        <w:t xml:space="preserve">“Both </w:t>
      </w:r>
      <w:r w:rsidRPr="003821DA" w:rsidR="00C65EDB">
        <w:t xml:space="preserve">section 34 of the </w:t>
      </w:r>
      <w:r w:rsidRPr="003821DA">
        <w:t>[</w:t>
      </w:r>
      <w:r w:rsidRPr="003821DA" w:rsidR="00C65EDB">
        <w:t>Pre-trial Detention Act</w:t>
      </w:r>
      <w:r w:rsidRPr="003821DA">
        <w:t>]</w:t>
      </w:r>
      <w:r w:rsidRPr="003821DA" w:rsidR="00C65EDB">
        <w:t xml:space="preserve"> and Article 83</w:t>
      </w:r>
      <w:r w:rsidRPr="003821DA" w:rsidR="006465F4">
        <w:t xml:space="preserve"> </w:t>
      </w:r>
      <w:r w:rsidRPr="003821DA" w:rsidR="006465F4">
        <w:rPr>
          <w:rFonts w:cstheme="minorHAnsi"/>
        </w:rPr>
        <w:t>§</w:t>
      </w:r>
      <w:r w:rsidRPr="003821DA" w:rsidR="006465F4">
        <w:t xml:space="preserve"> </w:t>
      </w:r>
      <w:r w:rsidRPr="003821DA" w:rsidR="00C65EDB">
        <w:t>1 of the Code of Execution of Criminal Sentences</w:t>
      </w:r>
      <w:r w:rsidRPr="003821DA">
        <w:t xml:space="preserve"> vest</w:t>
      </w:r>
      <w:r w:rsidRPr="003821DA" w:rsidR="00C65EDB">
        <w:t xml:space="preserve"> in the </w:t>
      </w:r>
      <w:r w:rsidRPr="003821DA" w:rsidR="003C4472">
        <w:t>administration</w:t>
      </w:r>
      <w:r w:rsidRPr="003821DA" w:rsidR="00395F1B">
        <w:t xml:space="preserve"> </w:t>
      </w:r>
      <w:r w:rsidRPr="003821DA" w:rsidR="00C65EDB">
        <w:t xml:space="preserve">of a </w:t>
      </w:r>
      <w:r w:rsidRPr="003821DA" w:rsidR="00E34B2D">
        <w:t>penal institution</w:t>
      </w:r>
      <w:r w:rsidRPr="003821DA" w:rsidR="00C65EDB">
        <w:t xml:space="preserve"> the right </w:t>
      </w:r>
      <w:r w:rsidRPr="003821DA" w:rsidR="00084094">
        <w:t xml:space="preserve">to </w:t>
      </w:r>
      <w:r w:rsidRPr="003821DA" w:rsidR="000A2C87">
        <w:t>use</w:t>
      </w:r>
      <w:r w:rsidRPr="003821DA" w:rsidR="00C65EDB">
        <w:t xml:space="preserve"> </w:t>
      </w:r>
      <w:proofErr w:type="spellStart"/>
      <w:r w:rsidRPr="003821DA" w:rsidR="000A2C87">
        <w:t>audiovisual</w:t>
      </w:r>
      <w:proofErr w:type="spellEnd"/>
      <w:r w:rsidRPr="003821DA" w:rsidR="000A2C87">
        <w:t xml:space="preserve">, electronic and other technical means of </w:t>
      </w:r>
      <w:r w:rsidRPr="003821DA" w:rsidR="00395F1B">
        <w:t>surveillance</w:t>
      </w:r>
      <w:r w:rsidRPr="003821DA" w:rsidR="000A2C87">
        <w:t xml:space="preserve"> and control. </w:t>
      </w:r>
      <w:proofErr w:type="gramStart"/>
      <w:r w:rsidRPr="003821DA" w:rsidR="000A2C87">
        <w:t>The</w:t>
      </w:r>
      <w:r w:rsidRPr="003821DA">
        <w:t xml:space="preserve"> </w:t>
      </w:r>
      <w:r w:rsidRPr="003821DA" w:rsidR="000A2C87">
        <w:t xml:space="preserve">exercise of </w:t>
      </w:r>
      <w:r w:rsidRPr="003821DA" w:rsidR="00395F1B">
        <w:t>surveillance</w:t>
      </w:r>
      <w:r w:rsidRPr="003821DA" w:rsidR="000A2C87">
        <w:t xml:space="preserve"> and control with the use of technical means </w:t>
      </w:r>
      <w:r w:rsidRPr="003821DA" w:rsidR="006465F4">
        <w:t xml:space="preserve">to prevent </w:t>
      </w:r>
      <w:r w:rsidRPr="003821DA" w:rsidR="000A2C87">
        <w:t>escapes and other crimes</w:t>
      </w:r>
      <w:r w:rsidRPr="003821DA" w:rsidR="00B159ED">
        <w:t xml:space="preserve"> or</w:t>
      </w:r>
      <w:r w:rsidRPr="003821DA" w:rsidR="000A2C87">
        <w:t xml:space="preserve"> breaches of the established order of serving the sentence, and for the purpose</w:t>
      </w:r>
      <w:r w:rsidRPr="003821DA" w:rsidR="006465F4">
        <w:t>s</w:t>
      </w:r>
      <w:r w:rsidRPr="003821DA" w:rsidR="000A2C87">
        <w:t xml:space="preserve"> of obtaining necessary information about convicts</w:t>
      </w:r>
      <w:r w:rsidRPr="003821DA" w:rsidR="003821DA">
        <w:t>’</w:t>
      </w:r>
      <w:r w:rsidRPr="003821DA" w:rsidR="000A2C87">
        <w:t xml:space="preserve"> conduct </w:t>
      </w:r>
      <w:r w:rsidRPr="003821DA">
        <w:t>is</w:t>
      </w:r>
      <w:r w:rsidRPr="003821DA" w:rsidR="000A2C87">
        <w:t xml:space="preserve"> </w:t>
      </w:r>
      <w:r w:rsidRPr="003821DA">
        <w:t xml:space="preserve">thus </w:t>
      </w:r>
      <w:r w:rsidRPr="003821DA" w:rsidR="000A2C87">
        <w:t>established by law</w:t>
      </w:r>
      <w:proofErr w:type="gramEnd"/>
      <w:r w:rsidRPr="003821DA" w:rsidR="000A2C87">
        <w:t>.</w:t>
      </w:r>
    </w:p>
    <w:p w:rsidRPr="003821DA" w:rsidR="000A2C87" w:rsidP="003821DA" w:rsidRDefault="007D2F62">
      <w:pPr>
        <w:pStyle w:val="ECHRParaQuote"/>
      </w:pPr>
      <w:r w:rsidRPr="003821DA">
        <w:t xml:space="preserve">Accordingly, </w:t>
      </w:r>
      <w:r w:rsidRPr="003821DA" w:rsidR="00F24E1A">
        <w:t>[</w:t>
      </w:r>
      <w:r w:rsidRPr="003821DA">
        <w:t>Mr M.</w:t>
      </w:r>
      <w:r w:rsidRPr="003821DA" w:rsidR="003821DA">
        <w:t>’</w:t>
      </w:r>
      <w:r w:rsidRPr="003821DA">
        <w:t>s</w:t>
      </w:r>
      <w:r w:rsidRPr="003821DA" w:rsidR="00F24E1A">
        <w:t>]</w:t>
      </w:r>
      <w:r w:rsidRPr="003821DA">
        <w:t xml:space="preserve"> argument</w:t>
      </w:r>
      <w:r w:rsidRPr="003821DA" w:rsidR="00084094">
        <w:t>,</w:t>
      </w:r>
      <w:r w:rsidRPr="003821DA">
        <w:t xml:space="preserve"> that the </w:t>
      </w:r>
      <w:r w:rsidRPr="003821DA" w:rsidR="00F24E1A">
        <w:t>[</w:t>
      </w:r>
      <w:r w:rsidRPr="003821DA" w:rsidR="00F30102">
        <w:t>executive order</w:t>
      </w:r>
      <w:r w:rsidRPr="003821DA" w:rsidR="006465F4">
        <w:t xml:space="preserve"> in question</w:t>
      </w:r>
      <w:r w:rsidRPr="003821DA" w:rsidR="00F30102">
        <w:t>]</w:t>
      </w:r>
      <w:r w:rsidRPr="003821DA">
        <w:t xml:space="preserve"> vesting in the </w:t>
      </w:r>
      <w:r w:rsidRPr="003821DA" w:rsidR="00395F1B">
        <w:t>administration</w:t>
      </w:r>
      <w:r w:rsidRPr="003821DA">
        <w:t xml:space="preserve"> of</w:t>
      </w:r>
      <w:r w:rsidRPr="003821DA" w:rsidR="003C4472">
        <w:t xml:space="preserve"> a</w:t>
      </w:r>
      <w:r w:rsidRPr="003821DA">
        <w:t xml:space="preserve"> </w:t>
      </w:r>
      <w:r w:rsidRPr="003821DA" w:rsidR="00E34B2D">
        <w:t>penal institution</w:t>
      </w:r>
      <w:r w:rsidRPr="003821DA">
        <w:t xml:space="preserve"> the right to use means of video surveillance for </w:t>
      </w:r>
      <w:r w:rsidRPr="003821DA" w:rsidR="00F24E1A">
        <w:t xml:space="preserve">around-the-clock </w:t>
      </w:r>
      <w:r w:rsidRPr="003821DA" w:rsidR="00395F1B">
        <w:t>surveillance over</w:t>
      </w:r>
      <w:r w:rsidRPr="003821DA">
        <w:t xml:space="preserve"> convicts</w:t>
      </w:r>
      <w:r w:rsidRPr="003821DA" w:rsidR="003821DA">
        <w:t>’</w:t>
      </w:r>
      <w:r w:rsidRPr="003821DA" w:rsidR="00F24E1A">
        <w:t xml:space="preserve"> conduct is not in conformity with the [domestic] law</w:t>
      </w:r>
      <w:r w:rsidRPr="003821DA" w:rsidR="00084094">
        <w:t>,</w:t>
      </w:r>
      <w:r w:rsidRPr="003821DA" w:rsidR="00F24E1A">
        <w:t xml:space="preserve"> </w:t>
      </w:r>
      <w:r w:rsidRPr="003821DA" w:rsidR="006465F4">
        <w:t xml:space="preserve">is </w:t>
      </w:r>
      <w:r w:rsidRPr="003821DA">
        <w:t xml:space="preserve">unfounded. </w:t>
      </w:r>
      <w:proofErr w:type="gramStart"/>
      <w:r w:rsidRPr="003821DA" w:rsidR="00BE39FA">
        <w:t xml:space="preserve">The right of </w:t>
      </w:r>
      <w:r w:rsidRPr="003821DA" w:rsidR="00E64BAF">
        <w:t>administration</w:t>
      </w:r>
      <w:r w:rsidRPr="003821DA" w:rsidR="00395F1B">
        <w:t>s</w:t>
      </w:r>
      <w:r w:rsidRPr="003821DA" w:rsidR="00BE39FA">
        <w:t xml:space="preserve"> of </w:t>
      </w:r>
      <w:r w:rsidRPr="003821DA" w:rsidR="00E34B2D">
        <w:t>penal institution</w:t>
      </w:r>
      <w:r w:rsidRPr="003821DA" w:rsidR="00BE39FA">
        <w:t xml:space="preserve">s and </w:t>
      </w:r>
      <w:r w:rsidRPr="003821DA" w:rsidR="00395F1B">
        <w:t>pre-trial detention</w:t>
      </w:r>
      <w:r w:rsidRPr="003821DA" w:rsidR="00BE39FA">
        <w:t xml:space="preserve"> centres to use technical means of </w:t>
      </w:r>
      <w:r w:rsidRPr="003821DA" w:rsidR="00395F1B">
        <w:t xml:space="preserve">surveillance and </w:t>
      </w:r>
      <w:r w:rsidRPr="003821DA" w:rsidR="00BE39FA">
        <w:t xml:space="preserve">control constitutes part of the mechanism which ensures </w:t>
      </w:r>
      <w:r w:rsidRPr="003821DA" w:rsidR="009965F6">
        <w:t xml:space="preserve">the </w:t>
      </w:r>
      <w:r w:rsidRPr="003821DA" w:rsidR="00BE39FA">
        <w:t xml:space="preserve">personal </w:t>
      </w:r>
      <w:r w:rsidRPr="003821DA" w:rsidR="009965F6">
        <w:t xml:space="preserve">safety </w:t>
      </w:r>
      <w:r w:rsidRPr="003821DA" w:rsidR="00BE39FA">
        <w:t>of suspects, accused</w:t>
      </w:r>
      <w:r w:rsidRPr="003821DA" w:rsidR="006465F4">
        <w:t xml:space="preserve"> persons</w:t>
      </w:r>
      <w:r w:rsidRPr="003821DA" w:rsidR="00BE39FA">
        <w:t xml:space="preserve">, convicts and </w:t>
      </w:r>
      <w:r w:rsidRPr="003821DA" w:rsidR="009965F6">
        <w:t xml:space="preserve">staff </w:t>
      </w:r>
      <w:r w:rsidRPr="003821DA" w:rsidR="00BE39FA">
        <w:t>of the relevant</w:t>
      </w:r>
      <w:r w:rsidRPr="003821DA" w:rsidR="009965F6">
        <w:t xml:space="preserve"> institution</w:t>
      </w:r>
      <w:r w:rsidRPr="003821DA" w:rsidR="007A093F">
        <w:t xml:space="preserve">, </w:t>
      </w:r>
      <w:r w:rsidRPr="003821DA" w:rsidR="00BE39FA">
        <w:t>[observan</w:t>
      </w:r>
      <w:r w:rsidRPr="003821DA" w:rsidR="00395F1B">
        <w:t>ce of] the regime of detention by</w:t>
      </w:r>
      <w:r w:rsidRPr="003821DA" w:rsidR="00BE39FA">
        <w:t xml:space="preserve"> suspects, accused</w:t>
      </w:r>
      <w:r w:rsidRPr="003821DA" w:rsidR="006465F4">
        <w:t xml:space="preserve"> persons</w:t>
      </w:r>
      <w:r w:rsidRPr="003821DA" w:rsidR="00BE39FA">
        <w:t xml:space="preserve"> and convicts</w:t>
      </w:r>
      <w:r w:rsidRPr="003821DA" w:rsidR="007A093F">
        <w:t xml:space="preserve">, </w:t>
      </w:r>
      <w:r w:rsidRPr="003821DA" w:rsidR="00BE39FA">
        <w:t>respect for their rights and performance by them of their obligations</w:t>
      </w:r>
      <w:r w:rsidRPr="003821DA" w:rsidR="007A093F">
        <w:t xml:space="preserve">, </w:t>
      </w:r>
      <w:r w:rsidRPr="003821DA" w:rsidR="009554B3">
        <w:t xml:space="preserve">and is established in </w:t>
      </w:r>
      <w:r w:rsidRPr="003821DA" w:rsidR="006465F4">
        <w:t>s</w:t>
      </w:r>
      <w:r w:rsidRPr="003821DA" w:rsidR="009554B3">
        <w:t>ection 34 of the [Pre-trial Detention Act] and Article 83</w:t>
      </w:r>
      <w:r w:rsidRPr="003821DA" w:rsidR="006465F4">
        <w:t xml:space="preserve"> </w:t>
      </w:r>
      <w:r w:rsidRPr="003821DA" w:rsidR="006465F4">
        <w:rPr>
          <w:rFonts w:cstheme="minorHAnsi"/>
        </w:rPr>
        <w:t>§</w:t>
      </w:r>
      <w:r w:rsidRPr="003821DA" w:rsidR="006465F4">
        <w:t xml:space="preserve"> </w:t>
      </w:r>
      <w:r w:rsidRPr="003821DA" w:rsidR="009554B3">
        <w:t>1 of the Code of Execution of Criminal Sentences.</w:t>
      </w:r>
      <w:proofErr w:type="gramEnd"/>
    </w:p>
    <w:p w:rsidRPr="003821DA" w:rsidR="00CE1EA5" w:rsidP="003821DA" w:rsidRDefault="009554B3">
      <w:pPr>
        <w:pStyle w:val="ECHRParaQuote"/>
      </w:pPr>
      <w:r w:rsidRPr="003821DA">
        <w:t>[Mr M.</w:t>
      </w:r>
      <w:r w:rsidRPr="003821DA" w:rsidR="003821DA">
        <w:t>’</w:t>
      </w:r>
      <w:r w:rsidRPr="003821DA">
        <w:t>s] arguments</w:t>
      </w:r>
      <w:r w:rsidRPr="003821DA" w:rsidR="00D378B4">
        <w:t>,</w:t>
      </w:r>
      <w:r w:rsidRPr="003821DA">
        <w:t xml:space="preserve"> that </w:t>
      </w:r>
      <w:r w:rsidRPr="003821DA" w:rsidR="00D378B4">
        <w:t xml:space="preserve">[the </w:t>
      </w:r>
      <w:r w:rsidRPr="003821DA" w:rsidR="00F30102">
        <w:t>executive order</w:t>
      </w:r>
      <w:r w:rsidRPr="003821DA" w:rsidR="006444E7">
        <w:t xml:space="preserve"> in question</w:t>
      </w:r>
      <w:r w:rsidRPr="003821DA" w:rsidR="00D378B4">
        <w:t xml:space="preserve">] </w:t>
      </w:r>
      <w:r w:rsidRPr="003821DA" w:rsidR="00395F1B">
        <w:t xml:space="preserve">stands in </w:t>
      </w:r>
      <w:r w:rsidRPr="003821DA" w:rsidR="00D378B4">
        <w:t>conflict with the Constitution of the Russian Federation, as it allows the use of</w:t>
      </w:r>
      <w:r w:rsidRPr="003821DA" w:rsidR="003C4472">
        <w:t xml:space="preserve"> </w:t>
      </w:r>
      <w:r w:rsidRPr="003821DA" w:rsidR="00395F1B">
        <w:t>CCTV monitoring</w:t>
      </w:r>
      <w:r w:rsidRPr="003821DA" w:rsidR="00D378B4">
        <w:t xml:space="preserve"> in cells without a </w:t>
      </w:r>
      <w:r w:rsidRPr="003821DA" w:rsidR="006444E7">
        <w:t xml:space="preserve">reasoned </w:t>
      </w:r>
      <w:r w:rsidRPr="003821DA" w:rsidR="00D378B4">
        <w:t xml:space="preserve">court decision, or an order by the </w:t>
      </w:r>
      <w:r w:rsidRPr="003821DA" w:rsidR="006444E7">
        <w:t xml:space="preserve">[governor] </w:t>
      </w:r>
      <w:r w:rsidRPr="003821DA" w:rsidR="00D378B4">
        <w:t xml:space="preserve">of a </w:t>
      </w:r>
      <w:r w:rsidRPr="003821DA" w:rsidR="00E34B2D">
        <w:t>penal institution</w:t>
      </w:r>
      <w:r w:rsidRPr="003821DA" w:rsidR="00D378B4">
        <w:t>, have no basis in law. Article 83</w:t>
      </w:r>
      <w:r w:rsidRPr="003821DA" w:rsidR="006444E7">
        <w:t xml:space="preserve"> </w:t>
      </w:r>
      <w:r w:rsidRPr="003821DA" w:rsidR="006444E7">
        <w:rPr>
          <w:rFonts w:cstheme="minorHAnsi"/>
        </w:rPr>
        <w:t xml:space="preserve">§ </w:t>
      </w:r>
      <w:r w:rsidRPr="003821DA" w:rsidR="00D378B4">
        <w:t>2 of the Code of Execution of Criminal Sentences</w:t>
      </w:r>
      <w:r w:rsidRPr="003821DA" w:rsidR="00EA6B4D">
        <w:t xml:space="preserve"> requires </w:t>
      </w:r>
      <w:r w:rsidRPr="003821DA" w:rsidR="00395F1B">
        <w:t>administrations</w:t>
      </w:r>
      <w:r w:rsidRPr="003821DA" w:rsidR="00EA6B4D">
        <w:t xml:space="preserve"> of </w:t>
      </w:r>
      <w:r w:rsidRPr="003821DA" w:rsidR="00E34B2D">
        <w:t>penal institution</w:t>
      </w:r>
      <w:r w:rsidRPr="003821DA" w:rsidR="00EA6B4D">
        <w:t xml:space="preserve">s to inform convicts, </w:t>
      </w:r>
      <w:r w:rsidRPr="003821DA" w:rsidR="002809DC">
        <w:t>obtaining their signature as acknowledgment</w:t>
      </w:r>
      <w:r w:rsidRPr="003821DA" w:rsidR="00EA6B4D">
        <w:t xml:space="preserve">, of the use of the above-mentioned means of surveillance and control, </w:t>
      </w:r>
      <w:r w:rsidRPr="003821DA" w:rsidR="007A093F">
        <w:t xml:space="preserve">[but does not </w:t>
      </w:r>
      <w:r w:rsidRPr="003821DA" w:rsidR="0093064C">
        <w:t>call for</w:t>
      </w:r>
      <w:r w:rsidRPr="003821DA" w:rsidR="007A093F">
        <w:t>]</w:t>
      </w:r>
      <w:r w:rsidRPr="003821DA" w:rsidR="00EB5B22">
        <w:t xml:space="preserve"> the </w:t>
      </w:r>
      <w:r w:rsidRPr="003821DA" w:rsidR="00EA6B4D">
        <w:t xml:space="preserve">adoption of any </w:t>
      </w:r>
      <w:r w:rsidRPr="003821DA" w:rsidR="0088793C">
        <w:t>[individualised] decision</w:t>
      </w:r>
      <w:r w:rsidRPr="003821DA" w:rsidR="00EA6B4D">
        <w:t xml:space="preserve"> [authorising] the use of technical means of control and supervision.</w:t>
      </w:r>
    </w:p>
    <w:p w:rsidRPr="003821DA" w:rsidR="00164F64" w:rsidP="003821DA" w:rsidRDefault="00CE1EA5">
      <w:pPr>
        <w:pStyle w:val="ECHRParaQuote"/>
        <w:rPr>
          <w:bCs/>
        </w:rPr>
      </w:pPr>
      <w:r w:rsidRPr="003821DA">
        <w:rPr>
          <w:bCs/>
        </w:rPr>
        <w:t>Recommendation N Rec(2003)23 of the Committee of Ministers of the Council of Europe on the management by prison administrations of life sentence and other long-term prisoners</w:t>
      </w:r>
      <w:r w:rsidRPr="003821DA" w:rsidR="006444E7">
        <w:rPr>
          <w:bCs/>
        </w:rPr>
        <w:t xml:space="preserve"> </w:t>
      </w:r>
      <w:r w:rsidRPr="003821DA" w:rsidR="00164F64">
        <w:rPr>
          <w:bCs/>
        </w:rPr>
        <w:t>...</w:t>
      </w:r>
      <w:r w:rsidRPr="003821DA" w:rsidR="006444E7">
        <w:rPr>
          <w:bCs/>
        </w:rPr>
        <w:t xml:space="preserve"> </w:t>
      </w:r>
      <w:r w:rsidRPr="003821DA">
        <w:rPr>
          <w:bCs/>
        </w:rPr>
        <w:t xml:space="preserve">regards the use of technical means, including </w:t>
      </w:r>
      <w:r w:rsidRPr="003821DA" w:rsidR="00F30102">
        <w:rPr>
          <w:bCs/>
        </w:rPr>
        <w:t>CCTV</w:t>
      </w:r>
      <w:r w:rsidRPr="003821DA">
        <w:rPr>
          <w:bCs/>
        </w:rPr>
        <w:t xml:space="preserve"> cameras, as </w:t>
      </w:r>
      <w:r w:rsidRPr="003821DA" w:rsidR="006444E7">
        <w:rPr>
          <w:bCs/>
        </w:rPr>
        <w:t xml:space="preserve">an </w:t>
      </w:r>
      <w:r w:rsidRPr="003821DA">
        <w:rPr>
          <w:bCs/>
        </w:rPr>
        <w:t>additional security mechanism.</w:t>
      </w:r>
      <w:r w:rsidRPr="003821DA" w:rsidR="00905B53">
        <w:rPr>
          <w:bCs/>
        </w:rPr>
        <w:t>”</w:t>
      </w:r>
    </w:p>
    <w:bookmarkStart w:name="SuprCourtDec12Mar2014Dec204NoProcedure" w:id="29"/>
    <w:p w:rsidRPr="003821DA" w:rsidR="008A182F" w:rsidP="003821DA" w:rsidRDefault="00A634E7">
      <w:pPr>
        <w:pStyle w:val="ECHRPara"/>
      </w:pPr>
      <w:r w:rsidRPr="003821DA">
        <w:fldChar w:fldCharType="begin"/>
      </w:r>
      <w:r w:rsidRPr="003821DA">
        <w:instrText xml:space="preserve"> SEQ level0 \*arabic </w:instrText>
      </w:r>
      <w:r w:rsidRPr="003821DA">
        <w:fldChar w:fldCharType="separate"/>
      </w:r>
      <w:r w:rsidRPr="003821DA" w:rsidR="003821DA">
        <w:rPr>
          <w:noProof/>
        </w:rPr>
        <w:t>49</w:t>
      </w:r>
      <w:r w:rsidRPr="003821DA">
        <w:fldChar w:fldCharType="end"/>
      </w:r>
      <w:bookmarkEnd w:id="29"/>
      <w:r w:rsidRPr="003821DA">
        <w:t xml:space="preserve">.  The Supreme Court </w:t>
      </w:r>
      <w:r w:rsidRPr="003821DA" w:rsidR="008A182F">
        <w:t>went on to note that:</w:t>
      </w:r>
    </w:p>
    <w:p w:rsidRPr="003821DA" w:rsidR="008A182F" w:rsidP="003821DA" w:rsidRDefault="008A182F">
      <w:pPr>
        <w:pStyle w:val="ECHRParaQuote"/>
      </w:pPr>
      <w:r w:rsidRPr="003821DA">
        <w:t xml:space="preserve">“The disputed executive order does not establish a particular procedure for the use of CCTV cameras within the restricted area [of </w:t>
      </w:r>
      <w:r w:rsidRPr="003821DA" w:rsidR="00E34B2D">
        <w:t>penal institution</w:t>
      </w:r>
      <w:r w:rsidRPr="003821DA">
        <w:t>s] and, as such, cannot breach convicts</w:t>
      </w:r>
      <w:r w:rsidRPr="003821DA" w:rsidR="003821DA">
        <w:t>’</w:t>
      </w:r>
      <w:r w:rsidRPr="003821DA">
        <w:t xml:space="preserve"> rights.”</w:t>
      </w:r>
    </w:p>
    <w:p w:rsidRPr="003821DA" w:rsidR="00EA6B4D" w:rsidP="003821DA" w:rsidRDefault="008A182F">
      <w:pPr>
        <w:pStyle w:val="ECHRPara"/>
      </w:pPr>
      <w:r w:rsidRPr="003821DA">
        <w:fldChar w:fldCharType="begin"/>
      </w:r>
      <w:r w:rsidRPr="003821DA">
        <w:instrText xml:space="preserve"> SEQ level0 \*arabic </w:instrText>
      </w:r>
      <w:r w:rsidRPr="003821DA">
        <w:fldChar w:fldCharType="separate"/>
      </w:r>
      <w:r w:rsidRPr="003821DA" w:rsidR="003821DA">
        <w:rPr>
          <w:noProof/>
        </w:rPr>
        <w:t>50</w:t>
      </w:r>
      <w:r w:rsidRPr="003821DA">
        <w:fldChar w:fldCharType="end"/>
      </w:r>
      <w:r w:rsidRPr="003821DA">
        <w:t xml:space="preserve">.  It </w:t>
      </w:r>
      <w:r w:rsidRPr="003821DA" w:rsidR="00A634E7">
        <w:t xml:space="preserve">thus concluded that the </w:t>
      </w:r>
      <w:r w:rsidRPr="003821DA" w:rsidR="00784FEC">
        <w:t>executive order</w:t>
      </w:r>
      <w:r w:rsidRPr="003821DA" w:rsidR="00A634E7">
        <w:t xml:space="preserve"> </w:t>
      </w:r>
      <w:r w:rsidRPr="003821DA" w:rsidR="006444E7">
        <w:t xml:space="preserve">in question </w:t>
      </w:r>
      <w:r w:rsidRPr="003821DA" w:rsidR="00A634E7">
        <w:t xml:space="preserve">was not in conflict with the federal </w:t>
      </w:r>
      <w:r w:rsidRPr="003821DA" w:rsidR="0093064C">
        <w:t xml:space="preserve">legislation </w:t>
      </w:r>
      <w:r w:rsidRPr="003821DA" w:rsidR="00A634E7">
        <w:t>or any other legal instrument and dismissed Mr M.</w:t>
      </w:r>
      <w:r w:rsidRPr="003821DA" w:rsidR="003821DA">
        <w:t>’</w:t>
      </w:r>
      <w:r w:rsidRPr="003821DA" w:rsidR="00A634E7">
        <w:t>s complaint.</w:t>
      </w:r>
    </w:p>
    <w:p w:rsidRPr="003821DA" w:rsidR="00164F64" w:rsidP="003821DA" w:rsidRDefault="00A634E7">
      <w:pPr>
        <w:pStyle w:val="ECHRPara"/>
      </w:pPr>
      <w:r w:rsidRPr="003821DA">
        <w:fldChar w:fldCharType="begin"/>
      </w:r>
      <w:r w:rsidRPr="003821DA">
        <w:instrText xml:space="preserve"> SEQ level0 \*arabic </w:instrText>
      </w:r>
      <w:r w:rsidRPr="003821DA">
        <w:fldChar w:fldCharType="separate"/>
      </w:r>
      <w:r w:rsidRPr="003821DA" w:rsidR="003821DA">
        <w:rPr>
          <w:noProof/>
        </w:rPr>
        <w:t>51</w:t>
      </w:r>
      <w:r w:rsidRPr="003821DA">
        <w:fldChar w:fldCharType="end"/>
      </w:r>
      <w:r w:rsidRPr="003821DA">
        <w:t xml:space="preserve">.  On 19 June </w:t>
      </w:r>
      <w:proofErr w:type="gramStart"/>
      <w:r w:rsidRPr="003821DA">
        <w:t>2014</w:t>
      </w:r>
      <w:proofErr w:type="gramEnd"/>
      <w:r w:rsidRPr="003821DA">
        <w:t xml:space="preserve"> the Appellate Instance of the Supreme Court </w:t>
      </w:r>
      <w:r w:rsidRPr="003821DA" w:rsidR="00765163">
        <w:t xml:space="preserve">(“the Appellate Instance”) </w:t>
      </w:r>
      <w:r w:rsidRPr="003821DA">
        <w:t>upheld the decision of 12 March 2014 on appeal.</w:t>
      </w:r>
    </w:p>
    <w:bookmarkStart w:name="SupCourtAppellate9June2014Sec42" w:id="30"/>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52</w:t>
      </w:r>
      <w:r w:rsidRPr="003821DA">
        <w:fldChar w:fldCharType="end"/>
      </w:r>
      <w:bookmarkEnd w:id="30"/>
      <w:r w:rsidRPr="003821DA">
        <w:t>.  </w:t>
      </w:r>
      <w:r w:rsidRPr="003821DA" w:rsidR="00765163">
        <w:t xml:space="preserve">It </w:t>
      </w:r>
      <w:r w:rsidRPr="003821DA">
        <w:t>quoted the provisions of section 42</w:t>
      </w:r>
      <w:r w:rsidRPr="003821DA" w:rsidR="0050051A">
        <w:t>(</w:t>
      </w:r>
      <w:r w:rsidRPr="003821DA">
        <w:t>6</w:t>
      </w:r>
      <w:r w:rsidRPr="003821DA" w:rsidR="0050051A">
        <w:t>)</w:t>
      </w:r>
      <w:r w:rsidRPr="003821DA" w:rsidR="000F741E">
        <w:t xml:space="preserve"> of executive order no. 204</w:t>
      </w:r>
      <w:r w:rsidRPr="003821DA" w:rsidR="000F741E">
        <w:noBreakHyphen/>
      </w:r>
      <w:r w:rsidRPr="003821DA">
        <w:t xml:space="preserve">dsp of 3 November 2005, as in force prior to their amendment by executive order no. 166-dsp of 25 May 2011 (see paragraph </w:t>
      </w:r>
      <w:r w:rsidRPr="003821DA">
        <w:fldChar w:fldCharType="begin"/>
      </w:r>
      <w:r w:rsidRPr="003821DA">
        <w:instrText xml:space="preserve"> REF ExecutiveOrder204Sec42 \h  \* MERGEFORMAT </w:instrText>
      </w:r>
      <w:r w:rsidRPr="003821DA">
        <w:fldChar w:fldCharType="separate"/>
      </w:r>
      <w:r w:rsidRPr="003821DA" w:rsidR="003821DA">
        <w:t>37</w:t>
      </w:r>
      <w:r w:rsidRPr="003821DA">
        <w:fldChar w:fldCharType="end"/>
      </w:r>
      <w:r w:rsidRPr="003821DA">
        <w:t xml:space="preserve"> above</w:t>
      </w:r>
      <w:r w:rsidRPr="003821DA" w:rsidR="005530D3">
        <w:t xml:space="preserve">), </w:t>
      </w:r>
      <w:r w:rsidRPr="003821DA">
        <w:t xml:space="preserve">and then as they stood after amendment (see paragraph </w:t>
      </w:r>
      <w:r w:rsidRPr="003821DA">
        <w:fldChar w:fldCharType="begin"/>
      </w:r>
      <w:r w:rsidRPr="003821DA">
        <w:instrText xml:space="preserve"> REF ExecutiveOrder166dsp \h </w:instrText>
      </w:r>
      <w:r w:rsidRPr="003821DA">
        <w:fldChar w:fldCharType="separate"/>
      </w:r>
      <w:r w:rsidRPr="003821DA" w:rsidR="003821DA">
        <w:rPr>
          <w:noProof/>
        </w:rPr>
        <w:t>38</w:t>
      </w:r>
      <w:r w:rsidRPr="003821DA">
        <w:fldChar w:fldCharType="end"/>
      </w:r>
      <w:r w:rsidRPr="003821DA">
        <w:t xml:space="preserve"> above).</w:t>
      </w:r>
    </w:p>
    <w:bookmarkStart w:name="SupCourtAppelInstPartOfMech" w:id="31"/>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53</w:t>
      </w:r>
      <w:r w:rsidRPr="003821DA">
        <w:fldChar w:fldCharType="end"/>
      </w:r>
      <w:bookmarkEnd w:id="31"/>
      <w:r w:rsidRPr="003821DA">
        <w:t xml:space="preserve">.  It further </w:t>
      </w:r>
      <w:r w:rsidRPr="003821DA" w:rsidR="00765163">
        <w:t xml:space="preserve">endorsed the first-instance finding that the </w:t>
      </w:r>
      <w:r w:rsidRPr="003821DA" w:rsidR="00784FEC">
        <w:t>executive order</w:t>
      </w:r>
      <w:r w:rsidRPr="003821DA" w:rsidR="005530D3">
        <w:t xml:space="preserve"> in question</w:t>
      </w:r>
      <w:r w:rsidRPr="003821DA" w:rsidR="00765163">
        <w:t xml:space="preserve"> was not in conflict with the domestic legal provisions and did not breach Mr M</w:t>
      </w:r>
      <w:r w:rsidRPr="003821DA" w:rsidR="00C45696">
        <w:t>.</w:t>
      </w:r>
      <w:r w:rsidRPr="003821DA" w:rsidR="003821DA">
        <w:t>’</w:t>
      </w:r>
      <w:r w:rsidRPr="003821DA" w:rsidR="00765163">
        <w:t xml:space="preserve">s rights. </w:t>
      </w:r>
      <w:r w:rsidRPr="003821DA" w:rsidR="00FD207E">
        <w:t xml:space="preserve">In particular, the Appellate Instance noted, with reference to Article </w:t>
      </w:r>
      <w:r w:rsidRPr="003821DA" w:rsidR="00E22DA0">
        <w:t>82</w:t>
      </w:r>
      <w:r w:rsidRPr="003821DA" w:rsidR="005530D3">
        <w:t xml:space="preserve"> </w:t>
      </w:r>
      <w:r w:rsidRPr="003821DA" w:rsidR="005530D3">
        <w:rPr>
          <w:rFonts w:cstheme="minorHAnsi"/>
        </w:rPr>
        <w:t>§</w:t>
      </w:r>
      <w:r w:rsidRPr="003821DA" w:rsidR="005530D3">
        <w:t xml:space="preserve"> </w:t>
      </w:r>
      <w:proofErr w:type="gramStart"/>
      <w:r w:rsidRPr="003821DA" w:rsidR="00E22DA0">
        <w:t>1</w:t>
      </w:r>
      <w:proofErr w:type="gramEnd"/>
      <w:r w:rsidRPr="003821DA" w:rsidR="00E22DA0">
        <w:t xml:space="preserve"> of the Code of Execution of Criminal Sentences (see paragraph</w:t>
      </w:r>
      <w:r w:rsidRPr="003821DA" w:rsidR="00C45696">
        <w:t xml:space="preserve"> </w:t>
      </w:r>
      <w:r w:rsidRPr="003821DA" w:rsidR="00C45696">
        <w:fldChar w:fldCharType="begin"/>
      </w:r>
      <w:r w:rsidRPr="003821DA" w:rsidR="00C45696">
        <w:instrText xml:space="preserve"> REF ExecutionCriminalSentencesCode \h  \* MERGEFORMAT </w:instrText>
      </w:r>
      <w:r w:rsidRPr="003821DA" w:rsidR="00C45696">
        <w:fldChar w:fldCharType="separate"/>
      </w:r>
      <w:r w:rsidRPr="003821DA" w:rsidR="003821DA">
        <w:rPr>
          <w:noProof/>
        </w:rPr>
        <w:t>33</w:t>
      </w:r>
      <w:r w:rsidRPr="003821DA" w:rsidR="00C45696">
        <w:fldChar w:fldCharType="end"/>
      </w:r>
      <w:r w:rsidRPr="003821DA" w:rsidR="00E22DA0">
        <w:t xml:space="preserve"> above), that </w:t>
      </w:r>
      <w:r w:rsidRPr="003821DA" w:rsidR="00FF105D">
        <w:t xml:space="preserve">constant </w:t>
      </w:r>
      <w:r w:rsidRPr="003821DA" w:rsidR="00784FEC">
        <w:t>surveillance</w:t>
      </w:r>
      <w:r w:rsidRPr="003821DA" w:rsidR="00FF105D">
        <w:t xml:space="preserve"> </w:t>
      </w:r>
      <w:r w:rsidRPr="003821DA" w:rsidR="005530D3">
        <w:t xml:space="preserve">of </w:t>
      </w:r>
      <w:r w:rsidRPr="003821DA" w:rsidR="00FF105D">
        <w:t xml:space="preserve">convicts was a necessary element of their punishment in the form of imprisonment. </w:t>
      </w:r>
      <w:proofErr w:type="gramStart"/>
      <w:r w:rsidRPr="003821DA" w:rsidR="00FF105D">
        <w:t xml:space="preserve">It further considered that the first-instance court had rightly concluded that </w:t>
      </w:r>
      <w:r w:rsidRPr="003821DA" w:rsidR="00E64BAF">
        <w:t>“the right of the administration</w:t>
      </w:r>
      <w:r w:rsidRPr="003821DA" w:rsidR="00784FEC">
        <w:t>s</w:t>
      </w:r>
      <w:r w:rsidRPr="003821DA" w:rsidR="00E64BAF">
        <w:t xml:space="preserve"> of </w:t>
      </w:r>
      <w:r w:rsidRPr="003821DA" w:rsidR="00E34B2D">
        <w:t>penal institution</w:t>
      </w:r>
      <w:r w:rsidRPr="003821DA" w:rsidR="00E64BAF">
        <w:t xml:space="preserve">s and remand centres to use technical means of </w:t>
      </w:r>
      <w:r w:rsidRPr="003821DA" w:rsidR="00784FEC">
        <w:t xml:space="preserve">surveillance and </w:t>
      </w:r>
      <w:r w:rsidRPr="003821DA" w:rsidR="00E64BAF">
        <w:t xml:space="preserve">control </w:t>
      </w:r>
      <w:proofErr w:type="spellStart"/>
      <w:r w:rsidRPr="003821DA" w:rsidR="00784FEC">
        <w:t>c</w:t>
      </w:r>
      <w:r w:rsidRPr="003821DA" w:rsidR="00E64BAF">
        <w:t>onstitut</w:t>
      </w:r>
      <w:proofErr w:type="spellEnd"/>
      <w:r w:rsidRPr="003821DA" w:rsidR="00E64BAF">
        <w:t>[</w:t>
      </w:r>
      <w:proofErr w:type="spellStart"/>
      <w:r w:rsidRPr="003821DA" w:rsidR="00E64BAF">
        <w:t>ed</w:t>
      </w:r>
      <w:proofErr w:type="spellEnd"/>
      <w:r w:rsidRPr="003821DA" w:rsidR="00E64BAF">
        <w:t>]</w:t>
      </w:r>
      <w:r w:rsidRPr="003821DA" w:rsidR="00164F64">
        <w:t xml:space="preserve"> </w:t>
      </w:r>
      <w:r w:rsidRPr="003821DA" w:rsidR="00E64BAF">
        <w:t xml:space="preserve">part of the mechanism which </w:t>
      </w:r>
      <w:proofErr w:type="spellStart"/>
      <w:r w:rsidRPr="003821DA" w:rsidR="00E64BAF">
        <w:t>ensur</w:t>
      </w:r>
      <w:proofErr w:type="spellEnd"/>
      <w:r w:rsidRPr="003821DA" w:rsidR="00E64BAF">
        <w:t>[</w:t>
      </w:r>
      <w:proofErr w:type="spellStart"/>
      <w:r w:rsidRPr="003821DA" w:rsidR="00E64BAF">
        <w:t>ed</w:t>
      </w:r>
      <w:proofErr w:type="spellEnd"/>
      <w:r w:rsidRPr="003821DA" w:rsidR="00E64BAF">
        <w:t xml:space="preserve">] </w:t>
      </w:r>
      <w:r w:rsidRPr="003821DA" w:rsidR="009965F6">
        <w:t xml:space="preserve">the </w:t>
      </w:r>
      <w:r w:rsidRPr="003821DA" w:rsidR="00E64BAF">
        <w:t xml:space="preserve">personal </w:t>
      </w:r>
      <w:r w:rsidRPr="003821DA" w:rsidR="009965F6">
        <w:t xml:space="preserve">safety </w:t>
      </w:r>
      <w:r w:rsidRPr="003821DA" w:rsidR="00E64BAF">
        <w:t>of suspects, accused</w:t>
      </w:r>
      <w:r w:rsidRPr="003821DA" w:rsidR="009965F6">
        <w:t xml:space="preserve"> persons</w:t>
      </w:r>
      <w:r w:rsidRPr="003821DA" w:rsidR="00E64BAF">
        <w:t xml:space="preserve">, convicts and </w:t>
      </w:r>
      <w:r w:rsidRPr="003821DA" w:rsidR="009965F6">
        <w:t xml:space="preserve">staff </w:t>
      </w:r>
      <w:r w:rsidRPr="003821DA" w:rsidR="00E64BAF">
        <w:t xml:space="preserve">of the relevant </w:t>
      </w:r>
      <w:r w:rsidRPr="003821DA" w:rsidR="009965F6">
        <w:t>institution</w:t>
      </w:r>
      <w:r w:rsidRPr="003821DA" w:rsidR="007A093F">
        <w:t xml:space="preserve">, </w:t>
      </w:r>
      <w:r w:rsidRPr="003821DA" w:rsidR="00E64BAF">
        <w:t>[observance of] the regime of detention of suspects, accused</w:t>
      </w:r>
      <w:r w:rsidRPr="003821DA" w:rsidR="009965F6">
        <w:t xml:space="preserve"> persons</w:t>
      </w:r>
      <w:r w:rsidRPr="003821DA" w:rsidR="00E64BAF">
        <w:t xml:space="preserve"> and convicts</w:t>
      </w:r>
      <w:r w:rsidRPr="003821DA" w:rsidR="007A093F">
        <w:t xml:space="preserve">, </w:t>
      </w:r>
      <w:r w:rsidRPr="003821DA" w:rsidR="00E64BAF">
        <w:t>respect for their rights and performance by them of their obligations</w:t>
      </w:r>
      <w:r w:rsidRPr="003821DA" w:rsidR="007A093F">
        <w:t xml:space="preserve">, </w:t>
      </w:r>
      <w:r w:rsidRPr="003821DA" w:rsidR="00E64BAF">
        <w:t xml:space="preserve">and </w:t>
      </w:r>
      <w:r w:rsidRPr="003821DA" w:rsidR="005530D3">
        <w:t>[</w:t>
      </w:r>
      <w:r w:rsidRPr="003821DA" w:rsidR="00E64BAF">
        <w:t>was</w:t>
      </w:r>
      <w:r w:rsidRPr="003821DA" w:rsidR="005530D3">
        <w:t>]</w:t>
      </w:r>
      <w:r w:rsidRPr="003821DA" w:rsidR="00E64BAF">
        <w:t xml:space="preserve"> not in conflict with the federal legislation</w:t>
      </w:r>
      <w:r w:rsidRPr="003821DA" w:rsidR="009965F6">
        <w:t>.”</w:t>
      </w:r>
      <w:proofErr w:type="gramEnd"/>
    </w:p>
    <w:bookmarkStart w:name="SuprCourtAppellateDec204NoProcedure" w:id="32"/>
    <w:p w:rsidRPr="003821DA" w:rsidR="007C598C" w:rsidP="003821DA" w:rsidRDefault="00FD207E">
      <w:pPr>
        <w:pStyle w:val="ECHRPara"/>
        <w:rPr>
          <w:bCs/>
        </w:rPr>
      </w:pPr>
      <w:r w:rsidRPr="003821DA">
        <w:fldChar w:fldCharType="begin"/>
      </w:r>
      <w:r w:rsidRPr="003821DA">
        <w:instrText xml:space="preserve"> SEQ level0 \*arabic </w:instrText>
      </w:r>
      <w:r w:rsidRPr="003821DA">
        <w:fldChar w:fldCharType="separate"/>
      </w:r>
      <w:r w:rsidRPr="003821DA" w:rsidR="003821DA">
        <w:rPr>
          <w:noProof/>
        </w:rPr>
        <w:t>54</w:t>
      </w:r>
      <w:r w:rsidRPr="003821DA">
        <w:fldChar w:fldCharType="end"/>
      </w:r>
      <w:bookmarkEnd w:id="32"/>
      <w:r w:rsidRPr="003821DA">
        <w:t>.  </w:t>
      </w:r>
      <w:r w:rsidRPr="003821DA" w:rsidR="0094317D">
        <w:t xml:space="preserve">The Appellate Instance further observed that </w:t>
      </w:r>
      <w:r w:rsidRPr="003821DA" w:rsidR="00F2307C">
        <w:t xml:space="preserve">the </w:t>
      </w:r>
      <w:r w:rsidRPr="003821DA" w:rsidR="00784FEC">
        <w:t>executive order</w:t>
      </w:r>
      <w:r w:rsidRPr="003821DA" w:rsidR="001B0E12">
        <w:t xml:space="preserve"> in question</w:t>
      </w:r>
      <w:r w:rsidRPr="003821DA" w:rsidR="00784FEC">
        <w:t xml:space="preserve"> </w:t>
      </w:r>
      <w:r w:rsidRPr="003821DA" w:rsidR="00F2307C">
        <w:t xml:space="preserve">established </w:t>
      </w:r>
      <w:r w:rsidRPr="003821DA" w:rsidR="00111C4B">
        <w:t>general principles</w:t>
      </w:r>
      <w:r w:rsidRPr="003821DA" w:rsidR="0048490F">
        <w:t xml:space="preserve"> (</w:t>
      </w:r>
      <w:r w:rsidRPr="003821DA" w:rsidR="0048490F">
        <w:rPr>
          <w:i/>
          <w:lang w:val="ru-RU"/>
        </w:rPr>
        <w:t>общие</w:t>
      </w:r>
      <w:r w:rsidRPr="003821DA" w:rsidR="0048490F">
        <w:rPr>
          <w:i/>
        </w:rPr>
        <w:t xml:space="preserve"> </w:t>
      </w:r>
      <w:r w:rsidRPr="003821DA" w:rsidR="0048490F">
        <w:rPr>
          <w:i/>
          <w:lang w:val="ru-RU"/>
        </w:rPr>
        <w:t>положения</w:t>
      </w:r>
      <w:r w:rsidRPr="003821DA" w:rsidR="0048490F">
        <w:t>)</w:t>
      </w:r>
      <w:r w:rsidRPr="003821DA" w:rsidR="00F2307C">
        <w:t xml:space="preserve"> aimed at ensuring the observance of the regime in </w:t>
      </w:r>
      <w:r w:rsidRPr="003821DA" w:rsidR="00784FEC">
        <w:t>pre-trial detention</w:t>
      </w:r>
      <w:r w:rsidRPr="003821DA" w:rsidR="00F2307C">
        <w:t xml:space="preserve"> centres and prisons</w:t>
      </w:r>
      <w:r w:rsidRPr="003821DA" w:rsidR="0093064C">
        <w:t xml:space="preserve">, </w:t>
      </w:r>
      <w:r w:rsidRPr="003821DA" w:rsidR="00F2307C">
        <w:t>preventing escapes and other crimes</w:t>
      </w:r>
      <w:r w:rsidRPr="003821DA" w:rsidR="00B159ED">
        <w:t xml:space="preserve"> or </w:t>
      </w:r>
      <w:r w:rsidRPr="003821DA" w:rsidR="00F2307C">
        <w:t>breaches of the established order of pre-trial and post-conviction detention</w:t>
      </w:r>
      <w:r w:rsidRPr="003821DA" w:rsidR="0093064C">
        <w:t>,</w:t>
      </w:r>
      <w:r w:rsidRPr="003821DA" w:rsidR="00F2307C">
        <w:t xml:space="preserve"> </w:t>
      </w:r>
      <w:r w:rsidRPr="003821DA" w:rsidR="00F12DDF">
        <w:t xml:space="preserve">and </w:t>
      </w:r>
      <w:r w:rsidRPr="003821DA" w:rsidR="00F2307C">
        <w:t xml:space="preserve">obtaining necessary information about the conduct of suspects, accused </w:t>
      </w:r>
      <w:r w:rsidRPr="003821DA" w:rsidR="006465F4">
        <w:t xml:space="preserve">persons </w:t>
      </w:r>
      <w:r w:rsidRPr="003821DA" w:rsidR="00F2307C">
        <w:t xml:space="preserve">and convicts. </w:t>
      </w:r>
      <w:r w:rsidRPr="003821DA" w:rsidR="00112AEC">
        <w:t xml:space="preserve">As the first-instance court had rightly noted, </w:t>
      </w:r>
      <w:r w:rsidRPr="003821DA" w:rsidR="008163F0">
        <w:t>that executive order</w:t>
      </w:r>
      <w:r w:rsidRPr="003821DA" w:rsidR="00F2307C">
        <w:t xml:space="preserve"> did not </w:t>
      </w:r>
      <w:r w:rsidRPr="003821DA" w:rsidR="0048490F">
        <w:rPr>
          <w:bCs/>
        </w:rPr>
        <w:t>establish</w:t>
      </w:r>
      <w:r w:rsidRPr="003821DA" w:rsidR="00112AEC">
        <w:rPr>
          <w:bCs/>
        </w:rPr>
        <w:t xml:space="preserve"> a</w:t>
      </w:r>
      <w:r w:rsidRPr="003821DA" w:rsidR="00F2307C">
        <w:rPr>
          <w:bCs/>
        </w:rPr>
        <w:t xml:space="preserve"> </w:t>
      </w:r>
      <w:r w:rsidRPr="003821DA" w:rsidR="0048490F">
        <w:rPr>
          <w:bCs/>
        </w:rPr>
        <w:t>particular</w:t>
      </w:r>
      <w:r w:rsidRPr="003821DA" w:rsidR="00F2307C">
        <w:rPr>
          <w:bCs/>
        </w:rPr>
        <w:t xml:space="preserve"> procedure</w:t>
      </w:r>
      <w:r w:rsidRPr="003821DA" w:rsidR="00112AEC">
        <w:rPr>
          <w:bCs/>
        </w:rPr>
        <w:t xml:space="preserve"> for</w:t>
      </w:r>
      <w:r w:rsidRPr="003821DA" w:rsidR="00F2307C">
        <w:rPr>
          <w:bCs/>
        </w:rPr>
        <w:t xml:space="preserve"> the use of CCTV cameras within the restricted area of a remand centre or prison, including </w:t>
      </w:r>
      <w:r w:rsidRPr="003821DA" w:rsidR="002204DA">
        <w:rPr>
          <w:bCs/>
        </w:rPr>
        <w:t xml:space="preserve">round-the-clock surveillance by </w:t>
      </w:r>
      <w:r w:rsidRPr="003821DA" w:rsidR="00A4425C">
        <w:rPr>
          <w:bCs/>
        </w:rPr>
        <w:t>such</w:t>
      </w:r>
      <w:r w:rsidRPr="003821DA" w:rsidR="002204DA">
        <w:rPr>
          <w:bCs/>
        </w:rPr>
        <w:t xml:space="preserve"> cameras </w:t>
      </w:r>
      <w:r w:rsidRPr="003821DA" w:rsidR="009133F3">
        <w:rPr>
          <w:bCs/>
        </w:rPr>
        <w:t xml:space="preserve">of </w:t>
      </w:r>
      <w:r w:rsidRPr="003821DA" w:rsidR="002204DA">
        <w:rPr>
          <w:bCs/>
        </w:rPr>
        <w:t xml:space="preserve">detainees in their cells, and </w:t>
      </w:r>
      <w:proofErr w:type="gramStart"/>
      <w:r w:rsidRPr="003821DA" w:rsidR="002204DA">
        <w:rPr>
          <w:bCs/>
        </w:rPr>
        <w:t>could not thus be regarded</w:t>
      </w:r>
      <w:proofErr w:type="gramEnd"/>
      <w:r w:rsidRPr="003821DA" w:rsidR="002204DA">
        <w:rPr>
          <w:bCs/>
        </w:rPr>
        <w:t xml:space="preserve"> as </w:t>
      </w:r>
      <w:r w:rsidRPr="003821DA" w:rsidR="00F2307C">
        <w:rPr>
          <w:bCs/>
        </w:rPr>
        <w:t>breach</w:t>
      </w:r>
      <w:r w:rsidRPr="003821DA" w:rsidR="002204DA">
        <w:rPr>
          <w:bCs/>
        </w:rPr>
        <w:t xml:space="preserve">ing </w:t>
      </w:r>
      <w:r w:rsidRPr="003821DA" w:rsidR="00F2307C">
        <w:rPr>
          <w:bCs/>
        </w:rPr>
        <w:t>convicts</w:t>
      </w:r>
      <w:r w:rsidRPr="003821DA" w:rsidR="003821DA">
        <w:rPr>
          <w:bCs/>
        </w:rPr>
        <w:t>’</w:t>
      </w:r>
      <w:r w:rsidRPr="003821DA" w:rsidR="00F2307C">
        <w:rPr>
          <w:bCs/>
        </w:rPr>
        <w:t xml:space="preserve"> rights</w:t>
      </w:r>
      <w:r w:rsidRPr="003821DA" w:rsidR="002204DA">
        <w:rPr>
          <w:bCs/>
        </w:rPr>
        <w:t>.</w:t>
      </w:r>
    </w:p>
    <w:bookmarkStart w:name="SupCourtAppellate19June2014End" w:id="33"/>
    <w:p w:rsidRPr="003821DA" w:rsidR="002204DA" w:rsidP="003821DA" w:rsidRDefault="006A11BC">
      <w:pPr>
        <w:pStyle w:val="ECHRPara"/>
        <w:rPr>
          <w:bCs/>
        </w:rPr>
      </w:pPr>
      <w:r w:rsidRPr="003821DA">
        <w:rPr>
          <w:bCs/>
        </w:rPr>
        <w:fldChar w:fldCharType="begin"/>
      </w:r>
      <w:r w:rsidRPr="003821DA">
        <w:rPr>
          <w:bCs/>
        </w:rPr>
        <w:instrText xml:space="preserve"> SEQ level0 \*arabic </w:instrText>
      </w:r>
      <w:r w:rsidRPr="003821DA">
        <w:rPr>
          <w:bCs/>
        </w:rPr>
        <w:fldChar w:fldCharType="separate"/>
      </w:r>
      <w:r w:rsidRPr="003821DA" w:rsidR="003821DA">
        <w:rPr>
          <w:bCs/>
          <w:noProof/>
        </w:rPr>
        <w:t>55</w:t>
      </w:r>
      <w:r w:rsidRPr="003821DA">
        <w:rPr>
          <w:bCs/>
        </w:rPr>
        <w:fldChar w:fldCharType="end"/>
      </w:r>
      <w:bookmarkEnd w:id="33"/>
      <w:r w:rsidRPr="003821DA">
        <w:rPr>
          <w:bCs/>
        </w:rPr>
        <w:t>.  </w:t>
      </w:r>
      <w:r w:rsidRPr="003821DA" w:rsidR="0048490F">
        <w:rPr>
          <w:bCs/>
        </w:rPr>
        <w:t>The Appellate Instance went on to state that Mr M.</w:t>
      </w:r>
      <w:r w:rsidRPr="003821DA" w:rsidR="003821DA">
        <w:rPr>
          <w:bCs/>
        </w:rPr>
        <w:t>’</w:t>
      </w:r>
      <w:r w:rsidRPr="003821DA" w:rsidR="0048490F">
        <w:rPr>
          <w:bCs/>
        </w:rPr>
        <w:t xml:space="preserve">s arguments that the </w:t>
      </w:r>
      <w:r w:rsidRPr="003821DA" w:rsidR="00DC630F">
        <w:rPr>
          <w:bCs/>
        </w:rPr>
        <w:t>executive order</w:t>
      </w:r>
      <w:r w:rsidRPr="003821DA" w:rsidR="00A4425C">
        <w:rPr>
          <w:bCs/>
        </w:rPr>
        <w:t xml:space="preserve"> in question</w:t>
      </w:r>
      <w:r w:rsidRPr="003821DA" w:rsidR="0048490F">
        <w:rPr>
          <w:bCs/>
        </w:rPr>
        <w:t xml:space="preserve"> had breached </w:t>
      </w:r>
      <w:r w:rsidRPr="003821DA" w:rsidR="00DC630F">
        <w:rPr>
          <w:bCs/>
        </w:rPr>
        <w:t>his</w:t>
      </w:r>
      <w:r w:rsidRPr="003821DA" w:rsidR="009E7458">
        <w:rPr>
          <w:bCs/>
        </w:rPr>
        <w:t xml:space="preserve"> right to </w:t>
      </w:r>
      <w:r w:rsidRPr="003821DA" w:rsidR="00BC1493">
        <w:rPr>
          <w:bCs/>
        </w:rPr>
        <w:t xml:space="preserve">respect for </w:t>
      </w:r>
      <w:r w:rsidRPr="003821DA" w:rsidR="00DC630F">
        <w:rPr>
          <w:bCs/>
        </w:rPr>
        <w:t xml:space="preserve">his </w:t>
      </w:r>
      <w:r w:rsidRPr="003821DA" w:rsidR="00BC1493">
        <w:rPr>
          <w:bCs/>
        </w:rPr>
        <w:t>private life “[did not] refute the [first-instance] court</w:t>
      </w:r>
      <w:r w:rsidRPr="003821DA" w:rsidR="003821DA">
        <w:rPr>
          <w:bCs/>
        </w:rPr>
        <w:t>’</w:t>
      </w:r>
      <w:r w:rsidRPr="003821DA" w:rsidR="00BC1493">
        <w:rPr>
          <w:bCs/>
        </w:rPr>
        <w:t>s conclusions about its lawfulness</w:t>
      </w:r>
      <w:r w:rsidRPr="003821DA" w:rsidR="00A12DC8">
        <w:rPr>
          <w:bCs/>
        </w:rPr>
        <w:t>.</w:t>
      </w:r>
      <w:r w:rsidRPr="003821DA" w:rsidR="00BC1493">
        <w:rPr>
          <w:bCs/>
        </w:rPr>
        <w:t xml:space="preserve">” </w:t>
      </w:r>
      <w:proofErr w:type="gramStart"/>
      <w:r w:rsidRPr="003821DA" w:rsidR="00BC1493">
        <w:rPr>
          <w:bCs/>
        </w:rPr>
        <w:t xml:space="preserve">In this connection, it </w:t>
      </w:r>
      <w:r w:rsidRPr="003821DA" w:rsidR="00884645">
        <w:rPr>
          <w:bCs/>
        </w:rPr>
        <w:t>quoted</w:t>
      </w:r>
      <w:r w:rsidRPr="003821DA" w:rsidR="0094607C">
        <w:rPr>
          <w:bCs/>
        </w:rPr>
        <w:t xml:space="preserve"> several</w:t>
      </w:r>
      <w:r w:rsidRPr="003821DA" w:rsidR="00BC1493">
        <w:rPr>
          <w:bCs/>
        </w:rPr>
        <w:t xml:space="preserve"> rulings of the Constitutional Court of Russia</w:t>
      </w:r>
      <w:r w:rsidRPr="003821DA" w:rsidR="00884645">
        <w:rPr>
          <w:bCs/>
        </w:rPr>
        <w:t xml:space="preserve">, including </w:t>
      </w:r>
      <w:r w:rsidRPr="003821DA" w:rsidR="00BD0F9E">
        <w:rPr>
          <w:bCs/>
        </w:rPr>
        <w:t>its ruling</w:t>
      </w:r>
      <w:r w:rsidRPr="003821DA" w:rsidR="00884645">
        <w:rPr>
          <w:bCs/>
        </w:rPr>
        <w:t xml:space="preserve"> dated 19 October 2010 (see paragraphs </w:t>
      </w:r>
      <w:r w:rsidRPr="003821DA" w:rsidR="00884645">
        <w:rPr>
          <w:bCs/>
        </w:rPr>
        <w:fldChar w:fldCharType="begin"/>
      </w:r>
      <w:r w:rsidRPr="003821DA" w:rsidR="00884645">
        <w:rPr>
          <w:bCs/>
        </w:rPr>
        <w:instrText xml:space="preserve"> REF COnstCourtDec19Oct2010Beg \h </w:instrText>
      </w:r>
      <w:r w:rsidRPr="003821DA" w:rsidR="00884645">
        <w:rPr>
          <w:bCs/>
        </w:rPr>
      </w:r>
      <w:r w:rsidRPr="003821DA" w:rsidR="00884645">
        <w:rPr>
          <w:bCs/>
        </w:rPr>
        <w:fldChar w:fldCharType="separate"/>
      </w:r>
      <w:r w:rsidRPr="003821DA" w:rsidR="003821DA">
        <w:rPr>
          <w:noProof/>
        </w:rPr>
        <w:t>42</w:t>
      </w:r>
      <w:r w:rsidRPr="003821DA" w:rsidR="00884645">
        <w:rPr>
          <w:bCs/>
        </w:rPr>
        <w:fldChar w:fldCharType="end"/>
      </w:r>
      <w:r w:rsidRPr="003821DA" w:rsidR="00884645">
        <w:rPr>
          <w:bCs/>
        </w:rPr>
        <w:t>-</w:t>
      </w:r>
      <w:r w:rsidRPr="003821DA" w:rsidR="00884645">
        <w:rPr>
          <w:bCs/>
        </w:rPr>
        <w:fldChar w:fldCharType="begin"/>
      </w:r>
      <w:r w:rsidRPr="003821DA" w:rsidR="00884645">
        <w:rPr>
          <w:bCs/>
        </w:rPr>
        <w:instrText xml:space="preserve"> REF COnstCourtDec19Oct2010End \h </w:instrText>
      </w:r>
      <w:r w:rsidRPr="003821DA" w:rsidR="00884645">
        <w:rPr>
          <w:bCs/>
        </w:rPr>
      </w:r>
      <w:r w:rsidRPr="003821DA" w:rsidR="00884645">
        <w:rPr>
          <w:bCs/>
        </w:rPr>
        <w:fldChar w:fldCharType="separate"/>
      </w:r>
      <w:r w:rsidRPr="003821DA" w:rsidR="003821DA">
        <w:rPr>
          <w:noProof/>
        </w:rPr>
        <w:t>43</w:t>
      </w:r>
      <w:r w:rsidRPr="003821DA" w:rsidR="00884645">
        <w:rPr>
          <w:bCs/>
        </w:rPr>
        <w:fldChar w:fldCharType="end"/>
      </w:r>
      <w:r w:rsidRPr="003821DA" w:rsidR="00884645">
        <w:rPr>
          <w:bCs/>
        </w:rPr>
        <w:t>)</w:t>
      </w:r>
      <w:r w:rsidRPr="003821DA" w:rsidR="00BC1493">
        <w:rPr>
          <w:bCs/>
        </w:rPr>
        <w:t xml:space="preserve">, </w:t>
      </w:r>
      <w:r w:rsidRPr="003821DA" w:rsidR="00884645">
        <w:rPr>
          <w:bCs/>
        </w:rPr>
        <w:t xml:space="preserve">in so far as </w:t>
      </w:r>
      <w:r w:rsidRPr="003821DA" w:rsidR="0093064C">
        <w:rPr>
          <w:bCs/>
        </w:rPr>
        <w:t>they</w:t>
      </w:r>
      <w:r w:rsidRPr="003821DA" w:rsidR="00884645">
        <w:rPr>
          <w:bCs/>
        </w:rPr>
        <w:t xml:space="preserve"> stated</w:t>
      </w:r>
      <w:r w:rsidRPr="003821DA" w:rsidR="00BC1493">
        <w:rPr>
          <w:bCs/>
        </w:rPr>
        <w:t xml:space="preserve"> that </w:t>
      </w:r>
      <w:r w:rsidRPr="003821DA" w:rsidR="00E71ADA">
        <w:rPr>
          <w:bCs/>
        </w:rPr>
        <w:t xml:space="preserve">imposition on an individual, who </w:t>
      </w:r>
      <w:r w:rsidRPr="003821DA" w:rsidR="0094607C">
        <w:rPr>
          <w:bCs/>
        </w:rPr>
        <w:t>had</w:t>
      </w:r>
      <w:r w:rsidRPr="003821DA" w:rsidR="00E71ADA">
        <w:rPr>
          <w:bCs/>
        </w:rPr>
        <w:t xml:space="preserve"> committed a crime, of punishment in the form of imprisonment </w:t>
      </w:r>
      <w:r w:rsidRPr="003821DA" w:rsidR="0094607C">
        <w:rPr>
          <w:bCs/>
        </w:rPr>
        <w:t>presupposed</w:t>
      </w:r>
      <w:r w:rsidRPr="003821DA" w:rsidR="00E71ADA">
        <w:rPr>
          <w:bCs/>
        </w:rPr>
        <w:t xml:space="preserve"> </w:t>
      </w:r>
      <w:r w:rsidRPr="003821DA" w:rsidR="00A4425C">
        <w:rPr>
          <w:bCs/>
        </w:rPr>
        <w:t xml:space="preserve">a </w:t>
      </w:r>
      <w:r w:rsidRPr="003821DA" w:rsidR="00E71ADA">
        <w:rPr>
          <w:bCs/>
        </w:rPr>
        <w:t xml:space="preserve">change </w:t>
      </w:r>
      <w:r w:rsidRPr="003821DA" w:rsidR="00A4425C">
        <w:rPr>
          <w:bCs/>
        </w:rPr>
        <w:t xml:space="preserve">in </w:t>
      </w:r>
      <w:r w:rsidRPr="003821DA" w:rsidR="00E71ADA">
        <w:rPr>
          <w:bCs/>
        </w:rPr>
        <w:t>the routine of</w:t>
      </w:r>
      <w:r w:rsidRPr="003821DA" w:rsidR="00A4425C">
        <w:rPr>
          <w:bCs/>
        </w:rPr>
        <w:t xml:space="preserve"> a </w:t>
      </w:r>
      <w:r w:rsidRPr="003821DA" w:rsidR="00E71ADA">
        <w:rPr>
          <w:bCs/>
        </w:rPr>
        <w:t>convict</w:t>
      </w:r>
      <w:r w:rsidRPr="003821DA" w:rsidR="003821DA">
        <w:rPr>
          <w:bCs/>
        </w:rPr>
        <w:t>’</w:t>
      </w:r>
      <w:r w:rsidRPr="003821DA" w:rsidR="00E71ADA">
        <w:rPr>
          <w:bCs/>
        </w:rPr>
        <w:t xml:space="preserve">s </w:t>
      </w:r>
      <w:r w:rsidRPr="003821DA" w:rsidR="0093064C">
        <w:rPr>
          <w:bCs/>
        </w:rPr>
        <w:t xml:space="preserve">way of </w:t>
      </w:r>
      <w:r w:rsidRPr="003821DA" w:rsidR="00E71ADA">
        <w:rPr>
          <w:bCs/>
        </w:rPr>
        <w:t>life, of his relations</w:t>
      </w:r>
      <w:r w:rsidRPr="003821DA" w:rsidR="00A4425C">
        <w:rPr>
          <w:bCs/>
        </w:rPr>
        <w:t>hips</w:t>
      </w:r>
      <w:r w:rsidRPr="003821DA" w:rsidR="00E71ADA">
        <w:rPr>
          <w:bCs/>
        </w:rPr>
        <w:t xml:space="preserve"> with </w:t>
      </w:r>
      <w:r w:rsidRPr="003821DA" w:rsidR="00A4425C">
        <w:rPr>
          <w:bCs/>
        </w:rPr>
        <w:t>those around him</w:t>
      </w:r>
      <w:r w:rsidRPr="003821DA" w:rsidR="00E71ADA">
        <w:rPr>
          <w:bCs/>
        </w:rPr>
        <w:t xml:space="preserve">, and the exercise of certain moral and psychological pressure, whereby his rights and freedoms </w:t>
      </w:r>
      <w:r w:rsidRPr="003821DA" w:rsidR="0094607C">
        <w:rPr>
          <w:bCs/>
        </w:rPr>
        <w:t>were</w:t>
      </w:r>
      <w:r w:rsidRPr="003821DA" w:rsidR="00E71ADA">
        <w:rPr>
          <w:bCs/>
        </w:rPr>
        <w:t xml:space="preserve"> affected and his personal status </w:t>
      </w:r>
      <w:r w:rsidRPr="003821DA" w:rsidR="00DC630F">
        <w:rPr>
          <w:bCs/>
        </w:rPr>
        <w:t>was changed</w:t>
      </w:r>
      <w:r w:rsidRPr="003821DA" w:rsidR="00E71ADA">
        <w:rPr>
          <w:bCs/>
        </w:rPr>
        <w:t>.</w:t>
      </w:r>
      <w:proofErr w:type="gramEnd"/>
      <w:r w:rsidRPr="003821DA" w:rsidR="00E71ADA">
        <w:rPr>
          <w:bCs/>
        </w:rPr>
        <w:t xml:space="preserve"> </w:t>
      </w:r>
      <w:r w:rsidRPr="003821DA" w:rsidR="0094607C">
        <w:rPr>
          <w:bCs/>
        </w:rPr>
        <w:t>An</w:t>
      </w:r>
      <w:r w:rsidRPr="003821DA" w:rsidR="00E71ADA">
        <w:rPr>
          <w:bCs/>
        </w:rPr>
        <w:t xml:space="preserve"> individual committing a crime should assume that, as a result, he </w:t>
      </w:r>
      <w:proofErr w:type="gramStart"/>
      <w:r w:rsidRPr="003821DA" w:rsidR="00A4425C">
        <w:rPr>
          <w:bCs/>
        </w:rPr>
        <w:t xml:space="preserve">could </w:t>
      </w:r>
      <w:r w:rsidRPr="003821DA" w:rsidR="00E71ADA">
        <w:rPr>
          <w:bCs/>
        </w:rPr>
        <w:t>be deprived of his liberty and restricted in his rights and freedoms</w:t>
      </w:r>
      <w:proofErr w:type="gramEnd"/>
      <w:r w:rsidRPr="003821DA" w:rsidR="00E71ADA">
        <w:rPr>
          <w:bCs/>
        </w:rPr>
        <w:t>, that is</w:t>
      </w:r>
      <w:r w:rsidRPr="003821DA" w:rsidR="00A4425C">
        <w:rPr>
          <w:bCs/>
        </w:rPr>
        <w:t>,</w:t>
      </w:r>
      <w:r w:rsidRPr="003821DA" w:rsidR="00E71ADA">
        <w:rPr>
          <w:bCs/>
        </w:rPr>
        <w:t xml:space="preserve"> such</w:t>
      </w:r>
      <w:r w:rsidRPr="003821DA" w:rsidR="00A4425C">
        <w:rPr>
          <w:bCs/>
        </w:rPr>
        <w:t xml:space="preserve"> an</w:t>
      </w:r>
      <w:r w:rsidRPr="003821DA" w:rsidR="00E71ADA">
        <w:rPr>
          <w:bCs/>
        </w:rPr>
        <w:t xml:space="preserve"> individual knowingly </w:t>
      </w:r>
      <w:r w:rsidRPr="003821DA" w:rsidR="0094607C">
        <w:rPr>
          <w:bCs/>
        </w:rPr>
        <w:t>exposed</w:t>
      </w:r>
      <w:r w:rsidRPr="003821DA" w:rsidR="00E71ADA">
        <w:rPr>
          <w:bCs/>
        </w:rPr>
        <w:t xml:space="preserve"> </w:t>
      </w:r>
      <w:r w:rsidRPr="003821DA" w:rsidR="0094607C">
        <w:rPr>
          <w:bCs/>
        </w:rPr>
        <w:t>him</w:t>
      </w:r>
      <w:r w:rsidRPr="003821DA" w:rsidR="007828E5">
        <w:rPr>
          <w:bCs/>
        </w:rPr>
        <w:t>self</w:t>
      </w:r>
      <w:r w:rsidRPr="003821DA" w:rsidR="00E71ADA">
        <w:rPr>
          <w:bCs/>
        </w:rPr>
        <w:t xml:space="preserve"> and his relatives to restrictions of their rights, including the right to maintain contact with family members, inviolability of private life, </w:t>
      </w:r>
      <w:r w:rsidRPr="003821DA" w:rsidR="00A4425C">
        <w:rPr>
          <w:bCs/>
        </w:rPr>
        <w:t xml:space="preserve">and </w:t>
      </w:r>
      <w:r w:rsidRPr="003821DA" w:rsidR="00E71ADA">
        <w:rPr>
          <w:bCs/>
        </w:rPr>
        <w:t>personal and family confidentiality.</w:t>
      </w:r>
      <w:r w:rsidRPr="003821DA" w:rsidR="0094607C">
        <w:rPr>
          <w:bCs/>
        </w:rPr>
        <w:t xml:space="preserve"> </w:t>
      </w:r>
      <w:r w:rsidRPr="003821DA" w:rsidR="007828E5">
        <w:rPr>
          <w:bCs/>
        </w:rPr>
        <w:t xml:space="preserve">Therefore, </w:t>
      </w:r>
      <w:r w:rsidRPr="003821DA" w:rsidR="00A4425C">
        <w:rPr>
          <w:bCs/>
        </w:rPr>
        <w:t xml:space="preserve">a </w:t>
      </w:r>
      <w:r w:rsidRPr="003821DA" w:rsidR="007828E5">
        <w:rPr>
          <w:bCs/>
        </w:rPr>
        <w:t xml:space="preserve">restriction of the rights set forth in the Constitution of Russia, including the right to inviolability of private </w:t>
      </w:r>
      <w:r w:rsidRPr="003821DA" w:rsidR="00A4425C">
        <w:rPr>
          <w:bCs/>
        </w:rPr>
        <w:t>life</w:t>
      </w:r>
      <w:r w:rsidRPr="003821DA" w:rsidR="007828E5">
        <w:rPr>
          <w:bCs/>
        </w:rPr>
        <w:t xml:space="preserve">, was permissible and justified </w:t>
      </w:r>
      <w:r w:rsidRPr="003821DA" w:rsidR="0037607F">
        <w:rPr>
          <w:bCs/>
        </w:rPr>
        <w:t xml:space="preserve">for ensuring </w:t>
      </w:r>
      <w:r w:rsidRPr="003821DA" w:rsidR="00C47825">
        <w:rPr>
          <w:bCs/>
        </w:rPr>
        <w:t xml:space="preserve">the </w:t>
      </w:r>
      <w:r w:rsidRPr="003821DA" w:rsidR="0037607F">
        <w:rPr>
          <w:bCs/>
        </w:rPr>
        <w:t xml:space="preserve">personal </w:t>
      </w:r>
      <w:r w:rsidRPr="003821DA" w:rsidR="00C47825">
        <w:rPr>
          <w:bCs/>
        </w:rPr>
        <w:t xml:space="preserve">safety </w:t>
      </w:r>
      <w:r w:rsidRPr="003821DA" w:rsidR="0037607F">
        <w:rPr>
          <w:bCs/>
        </w:rPr>
        <w:t>of suspects, accused</w:t>
      </w:r>
      <w:r w:rsidRPr="003821DA" w:rsidR="00C47825">
        <w:rPr>
          <w:bCs/>
        </w:rPr>
        <w:t xml:space="preserve"> persons</w:t>
      </w:r>
      <w:r w:rsidRPr="003821DA" w:rsidR="0037607F">
        <w:rPr>
          <w:bCs/>
        </w:rPr>
        <w:t xml:space="preserve">, convicts and </w:t>
      </w:r>
      <w:r w:rsidRPr="003821DA" w:rsidR="00C47825">
        <w:rPr>
          <w:bCs/>
        </w:rPr>
        <w:t xml:space="preserve">staff </w:t>
      </w:r>
      <w:r w:rsidRPr="003821DA" w:rsidR="0037607F">
        <w:rPr>
          <w:bCs/>
        </w:rPr>
        <w:t xml:space="preserve">of the relevant </w:t>
      </w:r>
      <w:r w:rsidRPr="003821DA" w:rsidR="00C47825">
        <w:rPr>
          <w:bCs/>
        </w:rPr>
        <w:t>institution</w:t>
      </w:r>
      <w:r w:rsidRPr="003821DA" w:rsidR="0037607F">
        <w:rPr>
          <w:bCs/>
        </w:rPr>
        <w:t>.</w:t>
      </w:r>
    </w:p>
    <w:p w:rsidRPr="003821DA" w:rsidR="002B4D8D" w:rsidP="003821DA" w:rsidRDefault="002B4D8D">
      <w:pPr>
        <w:pStyle w:val="ECHRHeading1"/>
      </w:pPr>
      <w:r w:rsidRPr="003821DA">
        <w:t xml:space="preserve">III. COUNCIL OF EUROPE </w:t>
      </w:r>
      <w:r w:rsidRPr="003821DA" w:rsidR="00A91723">
        <w:t>INSTRU</w:t>
      </w:r>
      <w:r w:rsidRPr="003821DA">
        <w:t>MENT</w:t>
      </w:r>
    </w:p>
    <w:bookmarkStart w:name="Rec200323" w:id="34"/>
    <w:p w:rsidRPr="003821DA" w:rsidR="002B4D8D" w:rsidP="003821DA" w:rsidRDefault="002B4D8D">
      <w:pPr>
        <w:pStyle w:val="ECHRPara"/>
      </w:pPr>
      <w:r w:rsidRPr="003821DA">
        <w:fldChar w:fldCharType="begin"/>
      </w:r>
      <w:r w:rsidRPr="003821DA">
        <w:instrText xml:space="preserve"> SEQ level0 \*arabic </w:instrText>
      </w:r>
      <w:r w:rsidRPr="003821DA">
        <w:fldChar w:fldCharType="separate"/>
      </w:r>
      <w:r w:rsidRPr="003821DA" w:rsidR="003821DA">
        <w:rPr>
          <w:noProof/>
        </w:rPr>
        <w:t>56</w:t>
      </w:r>
      <w:r w:rsidRPr="003821DA">
        <w:fldChar w:fldCharType="end"/>
      </w:r>
      <w:bookmarkEnd w:id="34"/>
      <w:r w:rsidRPr="003821DA">
        <w:t>.  </w:t>
      </w:r>
      <w:r w:rsidRPr="003821DA" w:rsidR="00A91723">
        <w:t xml:space="preserve">On 9 October 2003 the Committee of Ministers of the Council of Europe adopted Recommendation </w:t>
      </w:r>
      <w:proofErr w:type="gramStart"/>
      <w:r w:rsidRPr="003821DA" w:rsidR="00A91723">
        <w:t>Rec(</w:t>
      </w:r>
      <w:proofErr w:type="gramEnd"/>
      <w:r w:rsidRPr="003821DA" w:rsidR="00A91723">
        <w:t>2003)23 on the management by prison administrations of life sentence and other long-term prisoners</w:t>
      </w:r>
      <w:r w:rsidRPr="003821DA" w:rsidR="00216E66">
        <w:t xml:space="preserve">. </w:t>
      </w:r>
      <w:r w:rsidRPr="003821DA" w:rsidR="00A4425C">
        <w:t>The</w:t>
      </w:r>
      <w:r w:rsidRPr="003821DA" w:rsidR="00216E66">
        <w:t xml:space="preserve"> relevant part reads as follows:</w:t>
      </w:r>
    </w:p>
    <w:p w:rsidRPr="003821DA" w:rsidR="00164F64" w:rsidP="003821DA" w:rsidRDefault="00D373CE">
      <w:pPr>
        <w:pStyle w:val="ECHRTitleCentre3"/>
      </w:pPr>
      <w:r w:rsidRPr="003821DA">
        <w:t>Security and safety in prison</w:t>
      </w:r>
    </w:p>
    <w:p w:rsidRPr="003821DA" w:rsidR="00164F64" w:rsidP="003821DA" w:rsidRDefault="00D373CE">
      <w:pPr>
        <w:pStyle w:val="ECHRParaQuote"/>
      </w:pPr>
      <w:proofErr w:type="gramStart"/>
      <w:r w:rsidRPr="003821DA">
        <w:t xml:space="preserve">“18. </w:t>
      </w:r>
      <w:r w:rsidRPr="003821DA">
        <w:rPr>
          <w:i/>
          <w:iCs/>
        </w:rPr>
        <w:t>a</w:t>
      </w:r>
      <w:r w:rsidRPr="003821DA">
        <w:t>.</w:t>
      </w:r>
      <w:proofErr w:type="gramEnd"/>
      <w:r w:rsidRPr="003821DA">
        <w:t xml:space="preserve"> The maintenance of control in prison should be based on the use of dynamic </w:t>
      </w:r>
      <w:proofErr w:type="gramStart"/>
      <w:r w:rsidRPr="003821DA">
        <w:t>security, that</w:t>
      </w:r>
      <w:proofErr w:type="gramEnd"/>
      <w:r w:rsidRPr="003821DA">
        <w:t xml:space="preserve"> is the development by staff of positive relationships with</w:t>
      </w:r>
      <w:r w:rsidRPr="003821DA">
        <w:rPr>
          <w:rFonts w:ascii="Arial" w:hAnsi="Arial" w:cs="Arial" w:eastAsiaTheme="minorHAnsi"/>
          <w:color w:val="000000"/>
          <w:sz w:val="23"/>
          <w:szCs w:val="23"/>
        </w:rPr>
        <w:t xml:space="preserve"> </w:t>
      </w:r>
      <w:r w:rsidRPr="003821DA">
        <w:t>prisoners based on firmness and fairness, in combination with an understanding of their personal situation and any risk posed by individual prisoners.</w:t>
      </w:r>
    </w:p>
    <w:p w:rsidRPr="003821DA" w:rsidR="00216E66" w:rsidP="003821DA" w:rsidRDefault="00D373CE">
      <w:pPr>
        <w:pStyle w:val="ECHRParaQuote"/>
      </w:pPr>
      <w:r w:rsidRPr="003821DA">
        <w:rPr>
          <w:i/>
          <w:iCs/>
        </w:rPr>
        <w:t>b</w:t>
      </w:r>
      <w:r w:rsidRPr="003821DA">
        <w:t>. Where technical devices, such as alarms and closed circuit television are used, these should always be an adjunct to dynamic security methods</w:t>
      </w:r>
      <w:r w:rsidRPr="003821DA" w:rsidR="00164F64">
        <w:t>...</w:t>
      </w:r>
      <w:r w:rsidRPr="003821DA">
        <w:t>”</w:t>
      </w:r>
    </w:p>
    <w:p w:rsidRPr="003821DA" w:rsidR="00014566" w:rsidP="003821DA" w:rsidRDefault="00014566">
      <w:pPr>
        <w:pStyle w:val="ECHRTitle1"/>
      </w:pPr>
      <w:r w:rsidRPr="003821DA">
        <w:t>THE LAW</w:t>
      </w:r>
    </w:p>
    <w:p w:rsidRPr="003821DA" w:rsidR="0082551D" w:rsidP="003821DA" w:rsidRDefault="00014566">
      <w:pPr>
        <w:pStyle w:val="ECHRHeading1"/>
      </w:pPr>
      <w:r w:rsidRPr="003821DA">
        <w:t>I.  </w:t>
      </w:r>
      <w:r w:rsidRPr="003821DA" w:rsidR="0082551D">
        <w:t>JOINDER OF THE APPLICATIONS</w:t>
      </w:r>
    </w:p>
    <w:p w:rsidRPr="003821DA" w:rsidR="0082551D" w:rsidP="003821DA" w:rsidRDefault="0082551D">
      <w:pPr>
        <w:pStyle w:val="ECHRPara"/>
      </w:pPr>
      <w:r w:rsidRPr="003821DA">
        <w:fldChar w:fldCharType="begin"/>
      </w:r>
      <w:r w:rsidRPr="003821DA">
        <w:instrText xml:space="preserve"> SEQ level0 \*arabic </w:instrText>
      </w:r>
      <w:r w:rsidRPr="003821DA">
        <w:fldChar w:fldCharType="separate"/>
      </w:r>
      <w:r w:rsidRPr="003821DA" w:rsidR="003821DA">
        <w:rPr>
          <w:noProof/>
        </w:rPr>
        <w:t>57</w:t>
      </w:r>
      <w:r w:rsidRPr="003821DA">
        <w:fldChar w:fldCharType="end"/>
      </w:r>
      <w:r w:rsidRPr="003821DA">
        <w:t>.  </w:t>
      </w:r>
      <w:r w:rsidRPr="003821DA" w:rsidR="00852AEF">
        <w:t xml:space="preserve">In accordance with Rule 42 § </w:t>
      </w:r>
      <w:proofErr w:type="gramStart"/>
      <w:r w:rsidRPr="003821DA" w:rsidR="00852AEF">
        <w:t>1</w:t>
      </w:r>
      <w:proofErr w:type="gramEnd"/>
      <w:r w:rsidRPr="003821DA" w:rsidR="00852AEF">
        <w:t xml:space="preserve"> of the Rules of Court, the Court decides to join the applications, given their factual and legal similarities.</w:t>
      </w:r>
    </w:p>
    <w:p w:rsidRPr="003821DA" w:rsidR="00014566" w:rsidP="003821DA" w:rsidRDefault="0082551D">
      <w:pPr>
        <w:pStyle w:val="ECHRHeading1"/>
      </w:pPr>
      <w:r w:rsidRPr="003821DA">
        <w:t>II.</w:t>
      </w:r>
      <w:proofErr w:type="gramStart"/>
      <w:r w:rsidRPr="003821DA">
        <w:t>  </w:t>
      </w:r>
      <w:r w:rsidRPr="003821DA" w:rsidR="00014566">
        <w:t>ALLEGED</w:t>
      </w:r>
      <w:proofErr w:type="gramEnd"/>
      <w:r w:rsidRPr="003821DA" w:rsidR="00014566">
        <w:t xml:space="preserve"> VIOLATION OF ARTICLE </w:t>
      </w:r>
      <w:r w:rsidRPr="003821DA" w:rsidR="00CB2E2F">
        <w:t>8</w:t>
      </w:r>
      <w:r w:rsidRPr="003821DA" w:rsidR="00014566">
        <w:t xml:space="preserve"> OF THE CONVENTION</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58</w:t>
      </w:r>
      <w:r w:rsidRPr="003821DA">
        <w:fldChar w:fldCharType="end"/>
      </w:r>
      <w:r w:rsidRPr="003821DA" w:rsidR="00014566">
        <w:t>.  The applicant</w:t>
      </w:r>
      <w:r w:rsidRPr="003821DA">
        <w:t>s</w:t>
      </w:r>
      <w:r w:rsidRPr="003821DA" w:rsidR="00014566">
        <w:t xml:space="preserve"> complained that </w:t>
      </w:r>
      <w:r w:rsidRPr="003821DA" w:rsidR="00AB36A5">
        <w:t>permanent</w:t>
      </w:r>
      <w:r w:rsidRPr="003821DA" w:rsidR="00B16209">
        <w:t xml:space="preserve"> </w:t>
      </w:r>
      <w:r w:rsidRPr="003821DA" w:rsidR="00FC5144">
        <w:t xml:space="preserve">CCTV camera </w:t>
      </w:r>
      <w:r w:rsidRPr="003821DA" w:rsidR="00B16209">
        <w:t>surveillance of their cells</w:t>
      </w:r>
      <w:r w:rsidRPr="003821DA" w:rsidR="006E6D04">
        <w:t xml:space="preserve">, carried out </w:t>
      </w:r>
      <w:r w:rsidRPr="003821DA" w:rsidR="00B627D8">
        <w:t>mostly</w:t>
      </w:r>
      <w:r w:rsidRPr="003821DA" w:rsidR="007A48A6">
        <w:t>,</w:t>
      </w:r>
      <w:r w:rsidRPr="003821DA" w:rsidR="00B627D8">
        <w:t xml:space="preserve"> if not exclusively</w:t>
      </w:r>
      <w:r w:rsidRPr="003821DA" w:rsidR="007A48A6">
        <w:t>,</w:t>
      </w:r>
      <w:r w:rsidRPr="003821DA" w:rsidR="006E6D04">
        <w:t xml:space="preserve"> by female guards</w:t>
      </w:r>
      <w:r w:rsidRPr="003821DA" w:rsidR="00541994">
        <w:t>,</w:t>
      </w:r>
      <w:r w:rsidRPr="003821DA" w:rsidR="00B16209">
        <w:t xml:space="preserve"> </w:t>
      </w:r>
      <w:r w:rsidRPr="003821DA" w:rsidR="00541994">
        <w:t xml:space="preserve">had </w:t>
      </w:r>
      <w:r w:rsidRPr="003821DA" w:rsidR="00B16209">
        <w:t>breached their right to respect for their private life</w:t>
      </w:r>
      <w:r w:rsidRPr="003821DA" w:rsidR="00014566">
        <w:t xml:space="preserve"> as </w:t>
      </w:r>
      <w:r w:rsidRPr="003821DA" w:rsidR="00D00E74">
        <w:t>guaranteed</w:t>
      </w:r>
      <w:r w:rsidRPr="003821DA" w:rsidR="00014566">
        <w:t xml:space="preserve"> </w:t>
      </w:r>
      <w:r w:rsidRPr="003821DA" w:rsidR="00500D77">
        <w:t xml:space="preserve">by </w:t>
      </w:r>
      <w:r w:rsidRPr="003821DA" w:rsidR="00014566">
        <w:t xml:space="preserve">Article </w:t>
      </w:r>
      <w:r w:rsidRPr="003821DA" w:rsidR="00B16209">
        <w:t>8</w:t>
      </w:r>
      <w:r w:rsidRPr="003821DA" w:rsidR="00014566">
        <w:t xml:space="preserve"> of the Convention, which reads as follows:</w:t>
      </w:r>
    </w:p>
    <w:p w:rsidRPr="003821DA" w:rsidR="00B16209" w:rsidP="003821DA" w:rsidRDefault="00B16209">
      <w:pPr>
        <w:pStyle w:val="ECHRParaQuote"/>
      </w:pPr>
      <w:r w:rsidRPr="003821DA">
        <w:t>“1.</w:t>
      </w:r>
      <w:proofErr w:type="gramStart"/>
      <w:r w:rsidRPr="003821DA">
        <w:t>  Everyone</w:t>
      </w:r>
      <w:proofErr w:type="gramEnd"/>
      <w:r w:rsidRPr="003821DA">
        <w:t xml:space="preserve"> has the right to respect for his private </w:t>
      </w:r>
      <w:r w:rsidRPr="003821DA" w:rsidR="00164F64">
        <w:t>...</w:t>
      </w:r>
      <w:r w:rsidRPr="003821DA">
        <w:t xml:space="preserve"> life </w:t>
      </w:r>
      <w:r w:rsidRPr="003821DA" w:rsidR="00164F64">
        <w:t>...</w:t>
      </w:r>
    </w:p>
    <w:p w:rsidRPr="003821DA" w:rsidR="00B16209" w:rsidP="003821DA" w:rsidRDefault="00B16209">
      <w:pPr>
        <w:pStyle w:val="ECHRParaQuote"/>
      </w:pPr>
      <w:proofErr w:type="gramStart"/>
      <w:r w:rsidRPr="003821DA">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roofErr w:type="gramEnd"/>
    </w:p>
    <w:p w:rsidRPr="003821DA" w:rsidR="00014566" w:rsidP="003821DA" w:rsidRDefault="00014566">
      <w:pPr>
        <w:pStyle w:val="ECHRHeading2"/>
      </w:pPr>
      <w:r w:rsidRPr="003821DA">
        <w:t>A.  </w:t>
      </w:r>
      <w:r w:rsidRPr="003821DA" w:rsidR="00621E6E">
        <w:t>Submissions by the parties</w:t>
      </w:r>
    </w:p>
    <w:p w:rsidRPr="003821DA" w:rsidR="00F40128" w:rsidP="003821DA" w:rsidRDefault="00F40128">
      <w:pPr>
        <w:pStyle w:val="ECHRHeading3"/>
      </w:pPr>
      <w:r w:rsidRPr="003821DA">
        <w:t>1.  The applicants</w:t>
      </w:r>
    </w:p>
    <w:p w:rsidRPr="003821DA" w:rsidR="00643ECA"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59</w:t>
      </w:r>
      <w:r w:rsidRPr="003821DA">
        <w:fldChar w:fldCharType="end"/>
      </w:r>
      <w:r w:rsidRPr="003821DA" w:rsidR="00014566">
        <w:t>.  </w:t>
      </w:r>
      <w:r w:rsidRPr="003821DA" w:rsidR="00D7135E">
        <w:t xml:space="preserve">The applicants </w:t>
      </w:r>
      <w:r w:rsidRPr="003821DA" w:rsidR="000D4ADE">
        <w:t xml:space="preserve">maintained that </w:t>
      </w:r>
      <w:r w:rsidRPr="003821DA" w:rsidR="00C11E75">
        <w:t xml:space="preserve">they </w:t>
      </w:r>
      <w:r w:rsidRPr="003821DA" w:rsidR="00B64621">
        <w:t xml:space="preserve">had </w:t>
      </w:r>
      <w:r w:rsidRPr="003821DA" w:rsidR="00C11E75">
        <w:t>remained under permanent CCTV</w:t>
      </w:r>
      <w:r w:rsidRPr="003821DA" w:rsidR="00005C53">
        <w:t xml:space="preserve"> </w:t>
      </w:r>
      <w:r w:rsidRPr="003821DA" w:rsidR="00C11E75">
        <w:t xml:space="preserve">camera monitoring when confined in their cells. </w:t>
      </w:r>
      <w:r w:rsidRPr="003821DA" w:rsidR="00643ECA">
        <w:t>They contested the Government</w:t>
      </w:r>
      <w:r w:rsidRPr="003821DA" w:rsidR="003821DA">
        <w:t>’</w:t>
      </w:r>
      <w:r w:rsidRPr="003821DA" w:rsidR="00643ECA">
        <w:t>s argument that the toilet facilities had offered privacy, being outside the CCTV cameras</w:t>
      </w:r>
      <w:r w:rsidRPr="003821DA" w:rsidR="003821DA">
        <w:t>’</w:t>
      </w:r>
      <w:r w:rsidRPr="003821DA" w:rsidR="00541994">
        <w:t xml:space="preserve"> field of view</w:t>
      </w:r>
      <w:r w:rsidRPr="003821DA" w:rsidR="00643ECA">
        <w:t xml:space="preserve"> (see paragraph</w:t>
      </w:r>
      <w:r w:rsidRPr="003821DA" w:rsidR="00061BD0">
        <w:t xml:space="preserve"> </w:t>
      </w:r>
      <w:r w:rsidRPr="003821DA" w:rsidR="00061BD0">
        <w:fldChar w:fldCharType="begin"/>
      </w:r>
      <w:r w:rsidRPr="003821DA" w:rsidR="00061BD0">
        <w:instrText xml:space="preserve"> REF GvtToilettesPrivacy \h  \* MERGEFORMAT </w:instrText>
      </w:r>
      <w:r w:rsidRPr="003821DA" w:rsidR="00061BD0">
        <w:fldChar w:fldCharType="separate"/>
      </w:r>
      <w:r w:rsidRPr="003821DA" w:rsidR="003821DA">
        <w:rPr>
          <w:noProof/>
        </w:rPr>
        <w:t>77</w:t>
      </w:r>
      <w:r w:rsidRPr="003821DA" w:rsidR="00061BD0">
        <w:fldChar w:fldCharType="end"/>
      </w:r>
      <w:r w:rsidRPr="003821DA" w:rsidR="00643ECA">
        <w:t xml:space="preserve"> below). </w:t>
      </w:r>
      <w:r w:rsidRPr="003821DA" w:rsidR="003328C9">
        <w:t>They argued that, in their</w:t>
      </w:r>
      <w:r w:rsidRPr="003821DA" w:rsidR="00541994">
        <w:t xml:space="preserve"> respective</w:t>
      </w:r>
      <w:r w:rsidRPr="003821DA" w:rsidR="003328C9">
        <w:t xml:space="preserve"> cells, the CCTV camera </w:t>
      </w:r>
      <w:proofErr w:type="gramStart"/>
      <w:r w:rsidRPr="003821DA" w:rsidR="00B64621">
        <w:t>had been</w:t>
      </w:r>
      <w:r w:rsidRPr="003821DA" w:rsidR="003328C9">
        <w:t xml:space="preserve"> placed</w:t>
      </w:r>
      <w:proofErr w:type="gramEnd"/>
      <w:r w:rsidRPr="003821DA" w:rsidR="003328C9">
        <w:t xml:space="preserve"> above the door under the ceiling, so that </w:t>
      </w:r>
      <w:r w:rsidRPr="003821DA" w:rsidR="00D27399">
        <w:t xml:space="preserve">the entire cell </w:t>
      </w:r>
      <w:r w:rsidRPr="003821DA" w:rsidR="00B64621">
        <w:t xml:space="preserve">had been </w:t>
      </w:r>
      <w:r w:rsidRPr="003821DA" w:rsidR="00D27399">
        <w:t xml:space="preserve">visible, </w:t>
      </w:r>
      <w:r w:rsidRPr="003821DA" w:rsidR="009643AC">
        <w:t>with</w:t>
      </w:r>
      <w:r w:rsidRPr="003821DA" w:rsidR="00D27399">
        <w:t xml:space="preserve"> no blind zones. </w:t>
      </w:r>
      <w:r w:rsidRPr="003821DA" w:rsidR="00971699">
        <w:t xml:space="preserve">As a result they </w:t>
      </w:r>
      <w:r w:rsidRPr="003821DA" w:rsidR="00B64621">
        <w:t xml:space="preserve">had </w:t>
      </w:r>
      <w:r w:rsidRPr="003821DA" w:rsidR="00971699">
        <w:t xml:space="preserve">remained exposed at all times, including when </w:t>
      </w:r>
      <w:r w:rsidRPr="003821DA" w:rsidR="00714897">
        <w:t xml:space="preserve">changing </w:t>
      </w:r>
      <w:r w:rsidRPr="003821DA" w:rsidR="00971699">
        <w:t xml:space="preserve">their underwear </w:t>
      </w:r>
      <w:r w:rsidRPr="003821DA" w:rsidR="00794ECF">
        <w:t>or reliev</w:t>
      </w:r>
      <w:r w:rsidRPr="003821DA" w:rsidR="00511DBF">
        <w:t>ing</w:t>
      </w:r>
      <w:r w:rsidRPr="003821DA" w:rsidR="00794ECF">
        <w:t xml:space="preserve"> themselves. </w:t>
      </w:r>
      <w:r w:rsidRPr="003821DA" w:rsidR="00643ECA">
        <w:t xml:space="preserve">The applicants stressed that it </w:t>
      </w:r>
      <w:proofErr w:type="gramStart"/>
      <w:r w:rsidRPr="003821DA" w:rsidR="00541994">
        <w:t xml:space="preserve">had been </w:t>
      </w:r>
      <w:r w:rsidRPr="003821DA" w:rsidR="00643ECA">
        <w:t>strictly prohibited</w:t>
      </w:r>
      <w:proofErr w:type="gramEnd"/>
      <w:r w:rsidRPr="003821DA" w:rsidR="00643ECA">
        <w:t xml:space="preserve"> to hinder surveillance by covering the CCTV</w:t>
      </w:r>
      <w:r w:rsidRPr="003821DA" w:rsidR="00541994">
        <w:t xml:space="preserve"> </w:t>
      </w:r>
      <w:r w:rsidRPr="003821DA" w:rsidR="00643ECA">
        <w:t>camera</w:t>
      </w:r>
      <w:r w:rsidRPr="003821DA" w:rsidR="00541994">
        <w:t>,</w:t>
      </w:r>
      <w:r w:rsidRPr="003821DA" w:rsidR="00643ECA">
        <w:t xml:space="preserve"> even for a short while, for instance, when changing underwear or using the toilet.</w:t>
      </w:r>
    </w:p>
    <w:p w:rsidRPr="003821DA" w:rsidR="002D7BF7" w:rsidP="003821DA" w:rsidRDefault="00643ECA">
      <w:pPr>
        <w:pStyle w:val="ECHRPara"/>
      </w:pPr>
      <w:r w:rsidRPr="003821DA">
        <w:fldChar w:fldCharType="begin"/>
      </w:r>
      <w:r w:rsidRPr="003821DA">
        <w:instrText xml:space="preserve"> SEQ level0 \*arabic </w:instrText>
      </w:r>
      <w:r w:rsidRPr="003821DA">
        <w:fldChar w:fldCharType="separate"/>
      </w:r>
      <w:r w:rsidRPr="003821DA" w:rsidR="003821DA">
        <w:rPr>
          <w:noProof/>
        </w:rPr>
        <w:t>60</w:t>
      </w:r>
      <w:r w:rsidRPr="003821DA">
        <w:fldChar w:fldCharType="end"/>
      </w:r>
      <w:r w:rsidRPr="003821DA">
        <w:t>.  </w:t>
      </w:r>
      <w:r w:rsidRPr="003821DA" w:rsidR="00800A89">
        <w:t>In particular, the first applicant argued, w</w:t>
      </w:r>
      <w:r w:rsidRPr="003821DA" w:rsidR="0050309C">
        <w:t>ith reference to the screenshots of his cells which he submitted to the Court</w:t>
      </w:r>
      <w:r w:rsidRPr="003821DA" w:rsidR="00C23052">
        <w:t xml:space="preserve"> (see paragraph </w:t>
      </w:r>
      <w:r w:rsidRPr="003821DA" w:rsidR="00061BD0">
        <w:fldChar w:fldCharType="begin"/>
      </w:r>
      <w:r w:rsidRPr="003821DA" w:rsidR="00061BD0">
        <w:instrText xml:space="preserve"> REF ScreenShotFirstApplicant \h  \* MERGEFORMAT </w:instrText>
      </w:r>
      <w:r w:rsidRPr="003821DA" w:rsidR="00061BD0">
        <w:fldChar w:fldCharType="separate"/>
      </w:r>
      <w:r w:rsidRPr="003821DA" w:rsidR="003821DA">
        <w:rPr>
          <w:rFonts w:ascii="Times New Roman" w:hAnsi="Times New Roman" w:eastAsia="Times New Roman" w:cs="Times New Roman"/>
          <w:noProof/>
          <w:szCs w:val="20"/>
          <w:lang w:eastAsia="fr-FR"/>
        </w:rPr>
        <w:t>18</w:t>
      </w:r>
      <w:r w:rsidRPr="003821DA" w:rsidR="00061BD0">
        <w:fldChar w:fldCharType="end"/>
      </w:r>
      <w:r w:rsidRPr="003821DA" w:rsidR="00061BD0">
        <w:t xml:space="preserve"> </w:t>
      </w:r>
      <w:r w:rsidRPr="003821DA" w:rsidR="00C23052">
        <w:t>above)</w:t>
      </w:r>
      <w:r w:rsidRPr="003821DA" w:rsidR="0050309C">
        <w:t>, that in each of the two cells</w:t>
      </w:r>
      <w:r w:rsidRPr="003821DA" w:rsidR="00511DBF">
        <w:t xml:space="preserve"> other</w:t>
      </w:r>
      <w:r w:rsidRPr="003821DA" w:rsidR="0050309C">
        <w:t xml:space="preserve"> </w:t>
      </w:r>
      <w:r w:rsidRPr="003821DA" w:rsidR="009709AB">
        <w:t xml:space="preserve">inmates </w:t>
      </w:r>
      <w:r w:rsidRPr="003821DA" w:rsidR="00B64621">
        <w:t xml:space="preserve">had </w:t>
      </w:r>
      <w:r w:rsidRPr="003821DA" w:rsidR="00DE63ED">
        <w:t xml:space="preserve">put up </w:t>
      </w:r>
      <w:r w:rsidRPr="003821DA" w:rsidR="00B64621">
        <w:t>cardboard</w:t>
      </w:r>
      <w:r w:rsidRPr="003821DA" w:rsidR="009709AB">
        <w:t xml:space="preserve"> in order to </w:t>
      </w:r>
      <w:r w:rsidRPr="003821DA" w:rsidR="00511DBF">
        <w:t xml:space="preserve">shield </w:t>
      </w:r>
      <w:r w:rsidRPr="003821DA" w:rsidR="009709AB">
        <w:t xml:space="preserve">the toilet from the </w:t>
      </w:r>
      <w:r w:rsidRPr="003821DA" w:rsidR="00B64621">
        <w:t>CCTV camera</w:t>
      </w:r>
      <w:r w:rsidRPr="003821DA" w:rsidR="003821DA">
        <w:t>’</w:t>
      </w:r>
      <w:r w:rsidRPr="003821DA" w:rsidR="00B64621">
        <w:t xml:space="preserve">s </w:t>
      </w:r>
      <w:r w:rsidRPr="003821DA" w:rsidR="00541994">
        <w:t>field of view</w:t>
      </w:r>
      <w:r w:rsidRPr="003821DA" w:rsidR="009709AB">
        <w:t xml:space="preserve">; otherwise, </w:t>
      </w:r>
      <w:r w:rsidRPr="003821DA" w:rsidR="00DE63ED">
        <w:t>it</w:t>
      </w:r>
      <w:r w:rsidRPr="003821DA" w:rsidR="009709AB">
        <w:t xml:space="preserve"> would have remained visible to the camera. He added that the inmates</w:t>
      </w:r>
      <w:r w:rsidRPr="003821DA" w:rsidR="00541994">
        <w:t xml:space="preserve"> concerned</w:t>
      </w:r>
      <w:r w:rsidRPr="003821DA" w:rsidR="009709AB">
        <w:t xml:space="preserve"> </w:t>
      </w:r>
      <w:proofErr w:type="gramStart"/>
      <w:r w:rsidRPr="003821DA" w:rsidR="009709AB">
        <w:t xml:space="preserve">had </w:t>
      </w:r>
      <w:r w:rsidRPr="003821DA" w:rsidR="0050309C">
        <w:t xml:space="preserve">eventually been </w:t>
      </w:r>
      <w:r w:rsidRPr="003821DA" w:rsidR="0082086B">
        <w:t>punished</w:t>
      </w:r>
      <w:proofErr w:type="gramEnd"/>
      <w:r w:rsidRPr="003821DA" w:rsidR="0050309C">
        <w:t xml:space="preserve"> by the administration of the </w:t>
      </w:r>
      <w:r w:rsidRPr="003821DA" w:rsidR="00DE63ED">
        <w:t xml:space="preserve">prison </w:t>
      </w:r>
      <w:r w:rsidRPr="003821DA" w:rsidR="0050309C">
        <w:t xml:space="preserve">for </w:t>
      </w:r>
      <w:r w:rsidRPr="003821DA" w:rsidR="00541994">
        <w:t>doing so</w:t>
      </w:r>
      <w:r w:rsidRPr="003821DA" w:rsidR="009709AB">
        <w:t>, and the shields had been removed</w:t>
      </w:r>
      <w:r w:rsidRPr="003821DA" w:rsidR="0050309C">
        <w:t xml:space="preserve">. </w:t>
      </w:r>
      <w:r w:rsidRPr="003821DA" w:rsidR="00541994">
        <w:t>He submitted that</w:t>
      </w:r>
      <w:r w:rsidRPr="003821DA" w:rsidR="0050309C">
        <w:t xml:space="preserve">, furthermore, the toilet </w:t>
      </w:r>
      <w:r w:rsidRPr="003821DA" w:rsidR="00541994">
        <w:t>cubicle</w:t>
      </w:r>
      <w:r w:rsidRPr="003821DA" w:rsidR="0050309C">
        <w:t xml:space="preserve"> </w:t>
      </w:r>
      <w:proofErr w:type="gramStart"/>
      <w:r w:rsidRPr="003821DA" w:rsidR="00B64621">
        <w:t>had been</w:t>
      </w:r>
      <w:r w:rsidRPr="003821DA" w:rsidR="0050309C">
        <w:t xml:space="preserve"> </w:t>
      </w:r>
      <w:r w:rsidRPr="003821DA" w:rsidR="00541994">
        <w:t>designed</w:t>
      </w:r>
      <w:proofErr w:type="gramEnd"/>
      <w:r w:rsidRPr="003821DA" w:rsidR="0050309C">
        <w:t xml:space="preserve"> in such a manner that, in order to relieve </w:t>
      </w:r>
      <w:r w:rsidRPr="003821DA" w:rsidR="00541994">
        <w:t>themselves</w:t>
      </w:r>
      <w:r w:rsidRPr="003821DA" w:rsidR="0050309C">
        <w:t>, detainee</w:t>
      </w:r>
      <w:r w:rsidRPr="003821DA" w:rsidR="00541994">
        <w:t>s</w:t>
      </w:r>
      <w:r w:rsidRPr="003821DA" w:rsidR="0050309C">
        <w:t xml:space="preserve"> </w:t>
      </w:r>
      <w:r w:rsidRPr="003821DA" w:rsidR="00B64621">
        <w:t xml:space="preserve">had </w:t>
      </w:r>
      <w:r w:rsidRPr="003821DA" w:rsidR="0050309C">
        <w:t>had to step up on</w:t>
      </w:r>
      <w:r w:rsidRPr="003821DA" w:rsidR="00541994">
        <w:t>to</w:t>
      </w:r>
      <w:r w:rsidRPr="003821DA" w:rsidR="0050309C">
        <w:t xml:space="preserve"> a brick base approximately 40 or 50 cm</w:t>
      </w:r>
      <w:r w:rsidRPr="003821DA" w:rsidR="00C07344">
        <w:t xml:space="preserve"> high</w:t>
      </w:r>
      <w:r w:rsidRPr="003821DA" w:rsidR="0050309C">
        <w:t xml:space="preserve">, with the result that </w:t>
      </w:r>
      <w:r w:rsidRPr="003821DA" w:rsidR="00541994">
        <w:t>t</w:t>
      </w:r>
      <w:r w:rsidRPr="003821DA" w:rsidR="0050309C">
        <w:t>he</w:t>
      </w:r>
      <w:r w:rsidRPr="003821DA" w:rsidR="00541994">
        <w:t>y</w:t>
      </w:r>
      <w:r w:rsidRPr="003821DA" w:rsidR="0050309C">
        <w:t xml:space="preserve"> had </w:t>
      </w:r>
      <w:r w:rsidRPr="003821DA" w:rsidR="00B64621">
        <w:t xml:space="preserve">had </w:t>
      </w:r>
      <w:r w:rsidRPr="003821DA" w:rsidR="0050309C">
        <w:t>to look straight into the CCTV camera.</w:t>
      </w:r>
    </w:p>
    <w:p w:rsidRPr="003821DA" w:rsidR="00164F64" w:rsidP="003821DA" w:rsidRDefault="002D7BF7">
      <w:pPr>
        <w:pStyle w:val="ECHRPara"/>
      </w:pPr>
      <w:r w:rsidRPr="003821DA">
        <w:fldChar w:fldCharType="begin"/>
      </w:r>
      <w:r w:rsidRPr="003821DA">
        <w:instrText xml:space="preserve"> SEQ level0 \*arabic </w:instrText>
      </w:r>
      <w:r w:rsidRPr="003821DA">
        <w:fldChar w:fldCharType="separate"/>
      </w:r>
      <w:r w:rsidRPr="003821DA" w:rsidR="003821DA">
        <w:rPr>
          <w:noProof/>
        </w:rPr>
        <w:t>61</w:t>
      </w:r>
      <w:r w:rsidRPr="003821DA">
        <w:fldChar w:fldCharType="end"/>
      </w:r>
      <w:r w:rsidRPr="003821DA">
        <w:t>.  </w:t>
      </w:r>
      <w:r w:rsidRPr="003821DA" w:rsidR="00DB2E4A">
        <w:t xml:space="preserve">The second applicant contended that the CCTV camera </w:t>
      </w:r>
      <w:proofErr w:type="gramStart"/>
      <w:r w:rsidRPr="003821DA" w:rsidR="00DB2E4A">
        <w:t>had been installed</w:t>
      </w:r>
      <w:proofErr w:type="gramEnd"/>
      <w:r w:rsidRPr="003821DA" w:rsidR="00DB2E4A">
        <w:t xml:space="preserve"> in such a manner that </w:t>
      </w:r>
      <w:r w:rsidRPr="003821DA" w:rsidR="00541994">
        <w:t>his entire</w:t>
      </w:r>
      <w:r w:rsidRPr="003821DA" w:rsidR="00DB2E4A">
        <w:t xml:space="preserve"> cell had been clearly visible, including </w:t>
      </w:r>
      <w:r w:rsidRPr="003821DA" w:rsidR="003025F7">
        <w:t>the</w:t>
      </w:r>
      <w:r w:rsidRPr="003821DA" w:rsidR="00DB2E4A">
        <w:t xml:space="preserve"> toi</w:t>
      </w:r>
      <w:r w:rsidRPr="003821DA" w:rsidR="003025F7">
        <w:t>l</w:t>
      </w:r>
      <w:r w:rsidRPr="003821DA" w:rsidR="0084553E">
        <w:t>et</w:t>
      </w:r>
      <w:r w:rsidRPr="003821DA" w:rsidR="00541994">
        <w:t>,</w:t>
      </w:r>
      <w:r w:rsidRPr="003821DA" w:rsidR="0084553E">
        <w:t xml:space="preserve"> </w:t>
      </w:r>
      <w:r w:rsidRPr="003821DA" w:rsidR="00541994">
        <w:t xml:space="preserve">which </w:t>
      </w:r>
      <w:r w:rsidRPr="003821DA" w:rsidR="00BD50B4">
        <w:t>had not been properly separated from the living area.</w:t>
      </w:r>
    </w:p>
    <w:p w:rsidRPr="003821DA" w:rsidR="00516D38" w:rsidP="003821DA" w:rsidRDefault="002D7BF7">
      <w:pPr>
        <w:pStyle w:val="ECHRPara"/>
      </w:pPr>
      <w:r w:rsidRPr="003821DA">
        <w:fldChar w:fldCharType="begin"/>
      </w:r>
      <w:r w:rsidRPr="003821DA">
        <w:instrText xml:space="preserve"> SEQ level0 \*arabic </w:instrText>
      </w:r>
      <w:r w:rsidRPr="003821DA">
        <w:fldChar w:fldCharType="separate"/>
      </w:r>
      <w:r w:rsidRPr="003821DA" w:rsidR="003821DA">
        <w:rPr>
          <w:noProof/>
        </w:rPr>
        <w:t>62</w:t>
      </w:r>
      <w:r w:rsidRPr="003821DA">
        <w:fldChar w:fldCharType="end"/>
      </w:r>
      <w:r w:rsidRPr="003821DA">
        <w:t>.  </w:t>
      </w:r>
      <w:r w:rsidRPr="003821DA" w:rsidR="00B63FD6">
        <w:t>T</w:t>
      </w:r>
      <w:r w:rsidRPr="003821DA" w:rsidR="005E4FF6">
        <w:t xml:space="preserve">he third applicant </w:t>
      </w:r>
      <w:r w:rsidRPr="003821DA" w:rsidR="00C23052">
        <w:t>referred to the screenshot submitted by him (see paragraph</w:t>
      </w:r>
      <w:r w:rsidRPr="003821DA" w:rsidR="00A5657F">
        <w:t xml:space="preserve"> </w:t>
      </w:r>
      <w:r w:rsidRPr="003821DA" w:rsidR="00A5657F">
        <w:fldChar w:fldCharType="begin"/>
      </w:r>
      <w:r w:rsidRPr="003821DA" w:rsidR="00A5657F">
        <w:instrText xml:space="preserve"> REF ScreenShotThirdApplicant \h  \* MERGEFORMAT </w:instrText>
      </w:r>
      <w:r w:rsidRPr="003821DA" w:rsidR="00A5657F">
        <w:fldChar w:fldCharType="separate"/>
      </w:r>
      <w:r w:rsidRPr="003821DA" w:rsidR="003821DA">
        <w:rPr>
          <w:rFonts w:ascii="Times New Roman" w:hAnsi="Times New Roman" w:eastAsia="Times New Roman" w:cs="Times New Roman"/>
          <w:noProof/>
          <w:szCs w:val="20"/>
          <w:lang w:eastAsia="fr-FR"/>
        </w:rPr>
        <w:t>22</w:t>
      </w:r>
      <w:r w:rsidRPr="003821DA" w:rsidR="00A5657F">
        <w:fldChar w:fldCharType="end"/>
      </w:r>
      <w:r w:rsidRPr="003821DA" w:rsidR="00C23052">
        <w:t xml:space="preserve"> above), stating that the toilet </w:t>
      </w:r>
      <w:r w:rsidRPr="003821DA" w:rsidR="00541994">
        <w:t xml:space="preserve">cubicle </w:t>
      </w:r>
      <w:r w:rsidRPr="003821DA" w:rsidR="00C23052">
        <w:t>had mea</w:t>
      </w:r>
      <w:r w:rsidRPr="003821DA">
        <w:t>sured 1 sq. </w:t>
      </w:r>
      <w:r w:rsidRPr="003821DA" w:rsidR="00C23052">
        <w:t>m and had been</w:t>
      </w:r>
      <w:r w:rsidRPr="003821DA">
        <w:t xml:space="preserve"> 1.8 </w:t>
      </w:r>
      <w:r w:rsidRPr="003821DA" w:rsidR="00C23052">
        <w:t>m high; it had offered privacy from other inmate</w:t>
      </w:r>
      <w:r w:rsidRPr="003821DA" w:rsidR="00DE63ED">
        <w:t>s</w:t>
      </w:r>
      <w:r w:rsidRPr="003821DA" w:rsidR="00C23052">
        <w:t xml:space="preserve"> but not from the CCTV camera, as </w:t>
      </w:r>
      <w:r w:rsidRPr="003821DA" w:rsidR="003E7F29">
        <w:t xml:space="preserve">at least one metre from the top of the cubicle </w:t>
      </w:r>
      <w:r w:rsidRPr="003821DA" w:rsidR="00C23052">
        <w:t>had remained exposed.</w:t>
      </w:r>
    </w:p>
    <w:bookmarkStart w:name="ApplicantsInformedVideoSurv" w:id="35"/>
    <w:p w:rsidRPr="003821DA" w:rsidR="00164F64" w:rsidP="003821DA" w:rsidRDefault="00C11E75">
      <w:pPr>
        <w:pStyle w:val="ECHRPara"/>
      </w:pPr>
      <w:r w:rsidRPr="003821DA">
        <w:fldChar w:fldCharType="begin"/>
      </w:r>
      <w:r w:rsidRPr="003821DA">
        <w:instrText xml:space="preserve"> SEQ level0 \*arabic </w:instrText>
      </w:r>
      <w:r w:rsidRPr="003821DA">
        <w:fldChar w:fldCharType="separate"/>
      </w:r>
      <w:r w:rsidRPr="003821DA" w:rsidR="003821DA">
        <w:rPr>
          <w:noProof/>
        </w:rPr>
        <w:t>63</w:t>
      </w:r>
      <w:r w:rsidRPr="003821DA">
        <w:fldChar w:fldCharType="end"/>
      </w:r>
      <w:bookmarkEnd w:id="35"/>
      <w:r w:rsidRPr="003821DA">
        <w:t xml:space="preserve">.  The applicants maintained that video surveillance of their cells at all times </w:t>
      </w:r>
      <w:r w:rsidRPr="003821DA" w:rsidR="00DE63ED">
        <w:t xml:space="preserve">had </w:t>
      </w:r>
      <w:r w:rsidRPr="003821DA">
        <w:t xml:space="preserve">constituted a severe interference with their right to respect for their private life. </w:t>
      </w:r>
      <w:r w:rsidRPr="003821DA" w:rsidR="00502965">
        <w:t xml:space="preserve">They </w:t>
      </w:r>
      <w:r w:rsidRPr="003821DA" w:rsidR="00467B7B">
        <w:t>acknowledged</w:t>
      </w:r>
      <w:r w:rsidRPr="003821DA" w:rsidR="0082086B">
        <w:t xml:space="preserve"> that they </w:t>
      </w:r>
      <w:proofErr w:type="gramStart"/>
      <w:r w:rsidRPr="003821DA" w:rsidR="00467B7B">
        <w:t>had been notified</w:t>
      </w:r>
      <w:proofErr w:type="gramEnd"/>
      <w:r w:rsidRPr="003821DA" w:rsidR="00467B7B">
        <w:t xml:space="preserve"> by the administration</w:t>
      </w:r>
      <w:r w:rsidRPr="003821DA" w:rsidR="00CA6B65">
        <w:t>s</w:t>
      </w:r>
      <w:r w:rsidRPr="003821DA" w:rsidR="00467B7B">
        <w:t xml:space="preserve"> of their </w:t>
      </w:r>
      <w:r w:rsidRPr="003821DA" w:rsidR="00E34B2D">
        <w:t>penal institution</w:t>
      </w:r>
      <w:r w:rsidRPr="003821DA" w:rsidR="00EC78E5">
        <w:t>s about such practice</w:t>
      </w:r>
      <w:r w:rsidRPr="003821DA" w:rsidR="0095701C">
        <w:t>. T</w:t>
      </w:r>
      <w:r w:rsidRPr="003821DA" w:rsidR="00467B7B">
        <w:t xml:space="preserve">he first applicant confirmed that he had signed a written document </w:t>
      </w:r>
      <w:r w:rsidRPr="003821DA" w:rsidR="0095701C">
        <w:t>to that effect</w:t>
      </w:r>
      <w:r w:rsidRPr="003821DA" w:rsidR="00DE63ED">
        <w:t xml:space="preserve">, but </w:t>
      </w:r>
      <w:r w:rsidRPr="003821DA" w:rsidR="0095701C">
        <w:t>argued that it had</w:t>
      </w:r>
      <w:r w:rsidRPr="003821DA" w:rsidR="00EC78E5">
        <w:t xml:space="preserve"> been a pure formality, as</w:t>
      </w:r>
      <w:r w:rsidRPr="003821DA" w:rsidR="00CA6B65">
        <w:t xml:space="preserve"> </w:t>
      </w:r>
      <w:r w:rsidRPr="003821DA" w:rsidR="00EC78E5">
        <w:t xml:space="preserve">CCTV </w:t>
      </w:r>
      <w:r w:rsidRPr="003821DA" w:rsidR="0095701C">
        <w:t xml:space="preserve">monitoring </w:t>
      </w:r>
      <w:proofErr w:type="gramStart"/>
      <w:r w:rsidRPr="003821DA" w:rsidR="0095701C">
        <w:t xml:space="preserve">was </w:t>
      </w:r>
      <w:r w:rsidRPr="003821DA" w:rsidR="00DE63ED">
        <w:t>used</w:t>
      </w:r>
      <w:proofErr w:type="gramEnd"/>
      <w:r w:rsidRPr="003821DA" w:rsidR="00DE63ED">
        <w:t xml:space="preserve"> </w:t>
      </w:r>
      <w:r w:rsidRPr="003821DA" w:rsidR="0095701C">
        <w:t>regardless of whether a detainee had signed such a document, or had refused to do so.</w:t>
      </w:r>
      <w:r w:rsidRPr="003821DA" w:rsidR="00E31EA7">
        <w:t xml:space="preserve"> The applicants </w:t>
      </w:r>
      <w:r w:rsidRPr="003821DA" w:rsidR="00261440">
        <w:t>also insisted</w:t>
      </w:r>
      <w:r w:rsidRPr="003821DA" w:rsidR="00E31EA7">
        <w:t xml:space="preserve"> that the </w:t>
      </w:r>
      <w:r w:rsidRPr="003821DA" w:rsidR="00502965">
        <w:t xml:space="preserve">fact that they had been aware of </w:t>
      </w:r>
      <w:r w:rsidRPr="003821DA" w:rsidR="004E6C22">
        <w:t xml:space="preserve">the </w:t>
      </w:r>
      <w:r w:rsidRPr="003821DA" w:rsidR="00E31EA7">
        <w:t xml:space="preserve">permanent video surveillance </w:t>
      </w:r>
      <w:r w:rsidRPr="003821DA" w:rsidR="003E7F29">
        <w:t>and</w:t>
      </w:r>
      <w:r w:rsidRPr="003821DA" w:rsidR="00502965">
        <w:t xml:space="preserve"> the fact that </w:t>
      </w:r>
      <w:r w:rsidRPr="003821DA">
        <w:t xml:space="preserve">it </w:t>
      </w:r>
      <w:r w:rsidRPr="003821DA" w:rsidR="00E31EA7">
        <w:t>had been</w:t>
      </w:r>
      <w:r w:rsidRPr="003821DA">
        <w:t xml:space="preserve"> carried out by female guards</w:t>
      </w:r>
      <w:r w:rsidRPr="003821DA" w:rsidR="004E6C22">
        <w:t xml:space="preserve"> had</w:t>
      </w:r>
      <w:r w:rsidRPr="003821DA">
        <w:t xml:space="preserve"> </w:t>
      </w:r>
      <w:r w:rsidRPr="003821DA" w:rsidR="00E31EA7">
        <w:t>exacerbated</w:t>
      </w:r>
      <w:r w:rsidRPr="003821DA">
        <w:t xml:space="preserve"> the humiliation and anxiety</w:t>
      </w:r>
      <w:r w:rsidRPr="003821DA" w:rsidR="00E31EA7">
        <w:t xml:space="preserve"> </w:t>
      </w:r>
      <w:r w:rsidRPr="003821DA">
        <w:t>they</w:t>
      </w:r>
      <w:r w:rsidRPr="003821DA" w:rsidR="00EC78E5">
        <w:t xml:space="preserve"> had</w:t>
      </w:r>
      <w:r w:rsidRPr="003821DA">
        <w:t xml:space="preserve"> suffered on account of such an intrusive measure.</w:t>
      </w:r>
    </w:p>
    <w:p w:rsidRPr="003821DA" w:rsidR="00754927" w:rsidP="003821DA" w:rsidRDefault="0034311E">
      <w:pPr>
        <w:pStyle w:val="ECHRPara"/>
      </w:pPr>
      <w:r w:rsidRPr="003821DA">
        <w:fldChar w:fldCharType="begin"/>
      </w:r>
      <w:r w:rsidRPr="003821DA">
        <w:instrText xml:space="preserve"> SEQ level0 \*arabic </w:instrText>
      </w:r>
      <w:r w:rsidRPr="003821DA">
        <w:fldChar w:fldCharType="separate"/>
      </w:r>
      <w:r w:rsidRPr="003821DA" w:rsidR="003821DA">
        <w:rPr>
          <w:noProof/>
        </w:rPr>
        <w:t>64</w:t>
      </w:r>
      <w:r w:rsidRPr="003821DA">
        <w:fldChar w:fldCharType="end"/>
      </w:r>
      <w:r w:rsidRPr="003821DA">
        <w:t>.  </w:t>
      </w:r>
      <w:r w:rsidRPr="003821DA" w:rsidR="00516D38">
        <w:t xml:space="preserve">The applicants </w:t>
      </w:r>
      <w:r w:rsidRPr="003821DA" w:rsidR="00261440">
        <w:t xml:space="preserve">further </w:t>
      </w:r>
      <w:r w:rsidRPr="003821DA" w:rsidR="00516D38">
        <w:t>accepted that</w:t>
      </w:r>
      <w:r w:rsidRPr="003821DA" w:rsidR="00EE13EA">
        <w:t xml:space="preserve"> CCTV</w:t>
      </w:r>
      <w:r w:rsidRPr="003821DA" w:rsidR="000F384F">
        <w:t xml:space="preserve"> </w:t>
      </w:r>
      <w:r w:rsidRPr="003821DA" w:rsidR="00EC78E5">
        <w:t xml:space="preserve">monitoring </w:t>
      </w:r>
      <w:r w:rsidRPr="003821DA" w:rsidR="00A077ED">
        <w:t xml:space="preserve">within </w:t>
      </w:r>
      <w:r w:rsidRPr="003821DA" w:rsidR="00212F5B">
        <w:t>certain areas</w:t>
      </w:r>
      <w:r w:rsidRPr="003821DA" w:rsidR="00A077ED">
        <w:t xml:space="preserve"> of a </w:t>
      </w:r>
      <w:r w:rsidRPr="003821DA" w:rsidR="00E34B2D">
        <w:t>penal institution</w:t>
      </w:r>
      <w:r w:rsidRPr="003821DA" w:rsidR="00A077ED">
        <w:t xml:space="preserve"> </w:t>
      </w:r>
      <w:proofErr w:type="gramStart"/>
      <w:r w:rsidRPr="003821DA" w:rsidR="00500D77">
        <w:t>might</w:t>
      </w:r>
      <w:r w:rsidRPr="003821DA" w:rsidR="00A077ED">
        <w:t>, in principle, be</w:t>
      </w:r>
      <w:proofErr w:type="gramEnd"/>
      <w:r w:rsidRPr="003821DA" w:rsidR="00A077ED">
        <w:t xml:space="preserve"> necessary for ensuring security and control and maintaining order</w:t>
      </w:r>
      <w:r w:rsidRPr="003821DA" w:rsidR="00212F5B">
        <w:t>; they disputed, however, that such an intrusive measure as permanent video surveillance of all cells – that is</w:t>
      </w:r>
      <w:r w:rsidRPr="003821DA" w:rsidR="00C47825">
        <w:t xml:space="preserve"> to say</w:t>
      </w:r>
      <w:r w:rsidRPr="003821DA" w:rsidR="00212F5B">
        <w:t xml:space="preserve"> living premises – was necessary to attain those aims.</w:t>
      </w:r>
    </w:p>
    <w:p w:rsidRPr="003821DA" w:rsidR="00A077ED" w:rsidP="003821DA" w:rsidRDefault="00754927">
      <w:pPr>
        <w:pStyle w:val="ECHRPara"/>
      </w:pPr>
      <w:r w:rsidRPr="003821DA">
        <w:fldChar w:fldCharType="begin"/>
      </w:r>
      <w:r w:rsidRPr="003821DA">
        <w:instrText xml:space="preserve"> SEQ level0 \*arabic </w:instrText>
      </w:r>
      <w:r w:rsidRPr="003821DA">
        <w:fldChar w:fldCharType="separate"/>
      </w:r>
      <w:r w:rsidRPr="003821DA" w:rsidR="003821DA">
        <w:rPr>
          <w:noProof/>
        </w:rPr>
        <w:t>65</w:t>
      </w:r>
      <w:r w:rsidRPr="003821DA">
        <w:fldChar w:fldCharType="end"/>
      </w:r>
      <w:r w:rsidRPr="003821DA">
        <w:t>.  </w:t>
      </w:r>
      <w:r w:rsidRPr="003821DA" w:rsidR="00212F5B">
        <w:t xml:space="preserve">The third applicant </w:t>
      </w:r>
      <w:r w:rsidRPr="003821DA" w:rsidR="00A7735B">
        <w:t>also</w:t>
      </w:r>
      <w:r w:rsidRPr="003821DA" w:rsidR="00212F5B">
        <w:t xml:space="preserve"> </w:t>
      </w:r>
      <w:r w:rsidRPr="003821DA" w:rsidR="00D25A5B">
        <w:t>disputed the Government</w:t>
      </w:r>
      <w:r w:rsidRPr="003821DA" w:rsidR="003821DA">
        <w:t>’</w:t>
      </w:r>
      <w:r w:rsidRPr="003821DA" w:rsidR="00D25A5B">
        <w:t xml:space="preserve">s argument that </w:t>
      </w:r>
      <w:r w:rsidRPr="003821DA" w:rsidR="00EC78E5">
        <w:t xml:space="preserve">video surveillance </w:t>
      </w:r>
      <w:r w:rsidRPr="003821DA">
        <w:t>was effective for preventing escapes (see paragraph</w:t>
      </w:r>
      <w:r w:rsidRPr="003821DA" w:rsidR="00CA6B65">
        <w:t xml:space="preserve"> </w:t>
      </w:r>
      <w:r w:rsidRPr="003821DA" w:rsidR="00CA6B65">
        <w:fldChar w:fldCharType="begin"/>
      </w:r>
      <w:r w:rsidRPr="003821DA" w:rsidR="00CA6B65">
        <w:instrText xml:space="preserve"> REF GvtPreventEscapes \h  \* MERGEFORMAT </w:instrText>
      </w:r>
      <w:r w:rsidRPr="003821DA" w:rsidR="00CA6B65">
        <w:fldChar w:fldCharType="separate"/>
      </w:r>
      <w:r w:rsidRPr="003821DA" w:rsidR="003821DA">
        <w:rPr>
          <w:noProof/>
        </w:rPr>
        <w:t>73</w:t>
      </w:r>
      <w:r w:rsidRPr="003821DA" w:rsidR="00CA6B65">
        <w:fldChar w:fldCharType="end"/>
      </w:r>
      <w:r w:rsidRPr="003821DA">
        <w:t xml:space="preserve"> below). </w:t>
      </w:r>
      <w:r w:rsidRPr="003821DA" w:rsidR="001A4F37">
        <w:t>He pointed out that the information submitted by the Government showed that between 2010 and 2013 the number of escapes had in fact increased. As regards the Government</w:t>
      </w:r>
      <w:r w:rsidRPr="003821DA" w:rsidR="003821DA">
        <w:t>’</w:t>
      </w:r>
      <w:r w:rsidRPr="003821DA" w:rsidR="001A4F37">
        <w:t>s argument that the CCTV monitoring of the applicants</w:t>
      </w:r>
      <w:r w:rsidRPr="003821DA" w:rsidR="003821DA">
        <w:t>’</w:t>
      </w:r>
      <w:r w:rsidRPr="003821DA" w:rsidR="001A4F37">
        <w:t xml:space="preserve"> cells </w:t>
      </w:r>
      <w:r w:rsidRPr="003821DA" w:rsidR="00F424A0">
        <w:t xml:space="preserve">had been </w:t>
      </w:r>
      <w:r w:rsidRPr="003821DA" w:rsidR="001A4F37">
        <w:t xml:space="preserve">necessary to ensure </w:t>
      </w:r>
      <w:r w:rsidRPr="003821DA" w:rsidR="003E683B">
        <w:t>their</w:t>
      </w:r>
      <w:r w:rsidRPr="003821DA" w:rsidR="001A4F37">
        <w:t xml:space="preserve"> perso</w:t>
      </w:r>
      <w:r w:rsidRPr="003821DA" w:rsidR="003E683B">
        <w:t xml:space="preserve">nal safety, the third applicant argued that the cases </w:t>
      </w:r>
      <w:r w:rsidRPr="003821DA" w:rsidR="00F424A0">
        <w:t>relied on</w:t>
      </w:r>
      <w:r w:rsidRPr="003821DA" w:rsidR="003E683B">
        <w:t xml:space="preserve"> by the</w:t>
      </w:r>
      <w:r w:rsidRPr="003821DA" w:rsidR="003E7F29">
        <w:t>m</w:t>
      </w:r>
      <w:r w:rsidRPr="003821DA" w:rsidR="003E683B">
        <w:t xml:space="preserve"> (see paragraph</w:t>
      </w:r>
      <w:r w:rsidRPr="003821DA" w:rsidR="00CA6B65">
        <w:t xml:space="preserve">s </w:t>
      </w:r>
      <w:r w:rsidRPr="003821DA" w:rsidR="00CA6B65">
        <w:fldChar w:fldCharType="begin"/>
      </w:r>
      <w:r w:rsidRPr="003821DA" w:rsidR="00CA6B65">
        <w:instrText xml:space="preserve"> REF GvtBuntov \h  \* MERGEFORMAT </w:instrText>
      </w:r>
      <w:r w:rsidRPr="003821DA" w:rsidR="00CA6B65">
        <w:fldChar w:fldCharType="separate"/>
      </w:r>
      <w:r w:rsidRPr="003821DA" w:rsidR="003821DA">
        <w:rPr>
          <w:noProof/>
        </w:rPr>
        <w:t>74</w:t>
      </w:r>
      <w:r w:rsidRPr="003821DA" w:rsidR="00CA6B65">
        <w:fldChar w:fldCharType="end"/>
      </w:r>
      <w:r w:rsidRPr="003821DA" w:rsidR="00CA6B65">
        <w:t>-</w:t>
      </w:r>
      <w:r w:rsidRPr="003821DA" w:rsidR="00CA6B65">
        <w:fldChar w:fldCharType="begin"/>
      </w:r>
      <w:r w:rsidRPr="003821DA" w:rsidR="00CA6B65">
        <w:instrText xml:space="preserve"> REF GvtTrubnikov \h  \* MERGEFORMAT </w:instrText>
      </w:r>
      <w:r w:rsidRPr="003821DA" w:rsidR="00CA6B65">
        <w:fldChar w:fldCharType="separate"/>
      </w:r>
      <w:r w:rsidRPr="003821DA" w:rsidR="003821DA">
        <w:rPr>
          <w:noProof/>
        </w:rPr>
        <w:t>75</w:t>
      </w:r>
      <w:r w:rsidRPr="003821DA" w:rsidR="00CA6B65">
        <w:fldChar w:fldCharType="end"/>
      </w:r>
      <w:r w:rsidRPr="003821DA" w:rsidR="003E683B">
        <w:t xml:space="preserve"> below) were irrelevant </w:t>
      </w:r>
      <w:r w:rsidRPr="003821DA" w:rsidR="003E7F29">
        <w:t xml:space="preserve">to </w:t>
      </w:r>
      <w:r w:rsidRPr="003821DA" w:rsidR="003E683B">
        <w:t xml:space="preserve">his situation, as he had never </w:t>
      </w:r>
      <w:r w:rsidRPr="003821DA" w:rsidR="00346C4D">
        <w:t>displayed</w:t>
      </w:r>
      <w:r w:rsidRPr="003821DA" w:rsidR="003E683B">
        <w:t xml:space="preserve"> any suicidal tendencies, and had never had any conflicts with any detainees. </w:t>
      </w:r>
      <w:proofErr w:type="gramStart"/>
      <w:r w:rsidRPr="003821DA" w:rsidR="00346C4D">
        <w:t xml:space="preserve">Moreover, the situation examined by the Court in the case of </w:t>
      </w:r>
      <w:proofErr w:type="spellStart"/>
      <w:r w:rsidRPr="003821DA" w:rsidR="00346C4D">
        <w:rPr>
          <w:i/>
        </w:rPr>
        <w:t>Buntov</w:t>
      </w:r>
      <w:proofErr w:type="spellEnd"/>
      <w:r w:rsidRPr="003821DA" w:rsidR="00346C4D">
        <w:rPr>
          <w:i/>
        </w:rPr>
        <w:t xml:space="preserve"> v. Russia</w:t>
      </w:r>
      <w:r w:rsidRPr="003821DA" w:rsidR="00346C4D">
        <w:t xml:space="preserve"> (no. 27026/10, 5 June 2012), where the applicant had refused to take walks in the prison courtyard </w:t>
      </w:r>
      <w:r w:rsidRPr="003821DA" w:rsidR="00F424A0">
        <w:t>for</w:t>
      </w:r>
      <w:r w:rsidRPr="003821DA" w:rsidR="00346C4D">
        <w:t xml:space="preserve"> fear of </w:t>
      </w:r>
      <w:r w:rsidRPr="003821DA" w:rsidR="00F424A0">
        <w:t xml:space="preserve">being </w:t>
      </w:r>
      <w:r w:rsidRPr="003821DA" w:rsidR="00346C4D">
        <w:t>attack</w:t>
      </w:r>
      <w:r w:rsidRPr="003821DA" w:rsidR="00F424A0">
        <w:t>ed</w:t>
      </w:r>
      <w:r w:rsidRPr="003821DA" w:rsidR="00346C4D">
        <w:t xml:space="preserve"> by other </w:t>
      </w:r>
      <w:r w:rsidRPr="003821DA" w:rsidR="00EC78E5">
        <w:t xml:space="preserve">detainees, showed that CCTV </w:t>
      </w:r>
      <w:r w:rsidRPr="003821DA" w:rsidR="00346C4D">
        <w:t xml:space="preserve">camera monitoring could be </w:t>
      </w:r>
      <w:r w:rsidRPr="003821DA" w:rsidR="00EC78E5">
        <w:t>useful</w:t>
      </w:r>
      <w:r w:rsidRPr="003821DA" w:rsidR="00346C4D">
        <w:t xml:space="preserve"> in places</w:t>
      </w:r>
      <w:r w:rsidRPr="003821DA" w:rsidR="00EC78E5">
        <w:t xml:space="preserve"> to which all detainees had access</w:t>
      </w:r>
      <w:r w:rsidRPr="003821DA" w:rsidR="00F424A0">
        <w:t>,</w:t>
      </w:r>
      <w:r w:rsidRPr="003821DA" w:rsidR="00346C4D">
        <w:t xml:space="preserve"> rather than in</w:t>
      </w:r>
      <w:r w:rsidRPr="003821DA" w:rsidR="00EC78E5">
        <w:t xml:space="preserve"> their</w:t>
      </w:r>
      <w:r w:rsidRPr="003821DA" w:rsidR="00346C4D">
        <w:t xml:space="preserve"> cells.</w:t>
      </w:r>
      <w:proofErr w:type="gramEnd"/>
      <w:r w:rsidRPr="003821DA" w:rsidR="00346C4D">
        <w:t xml:space="preserve"> </w:t>
      </w:r>
      <w:r w:rsidRPr="003821DA" w:rsidR="005124DE">
        <w:t xml:space="preserve">The third applicant therefore argued that the Government had </w:t>
      </w:r>
      <w:r w:rsidRPr="003821DA" w:rsidR="008170A1">
        <w:t>failed to demonstrate convincingly which legitimate aims had</w:t>
      </w:r>
      <w:r w:rsidRPr="003821DA" w:rsidR="0015214B">
        <w:t xml:space="preserve"> been</w:t>
      </w:r>
      <w:r w:rsidRPr="003821DA" w:rsidR="008170A1">
        <w:t xml:space="preserve"> pursued</w:t>
      </w:r>
      <w:r w:rsidRPr="003821DA" w:rsidR="00F2250B">
        <w:t xml:space="preserve"> by monitoring detainees in their cells at all times by CCTV</w:t>
      </w:r>
      <w:r w:rsidRPr="003821DA" w:rsidR="00EC78E5">
        <w:t xml:space="preserve"> </w:t>
      </w:r>
      <w:r w:rsidRPr="003821DA" w:rsidR="00F2250B">
        <w:t>cameras.</w:t>
      </w:r>
    </w:p>
    <w:p w:rsidRPr="003821DA" w:rsidR="00164F64" w:rsidP="003821DA" w:rsidRDefault="00F2250B">
      <w:pPr>
        <w:pStyle w:val="ECHRPara"/>
      </w:pPr>
      <w:r w:rsidRPr="003821DA">
        <w:fldChar w:fldCharType="begin"/>
      </w:r>
      <w:r w:rsidRPr="003821DA">
        <w:instrText xml:space="preserve"> SEQ level0 \*arabic </w:instrText>
      </w:r>
      <w:r w:rsidRPr="003821DA">
        <w:fldChar w:fldCharType="separate"/>
      </w:r>
      <w:r w:rsidRPr="003821DA" w:rsidR="003821DA">
        <w:rPr>
          <w:noProof/>
        </w:rPr>
        <w:t>66</w:t>
      </w:r>
      <w:r w:rsidRPr="003821DA">
        <w:fldChar w:fldCharType="end"/>
      </w:r>
      <w:r w:rsidRPr="003821DA">
        <w:t xml:space="preserve">.  The third applicant also pointed out that the </w:t>
      </w:r>
      <w:r w:rsidRPr="003821DA" w:rsidR="00EC78E5">
        <w:t>authorities of his pre-trial detention centre had</w:t>
      </w:r>
      <w:r w:rsidRPr="003821DA">
        <w:t xml:space="preserve"> never informed </w:t>
      </w:r>
      <w:r w:rsidRPr="003821DA" w:rsidR="00EC78E5">
        <w:t>him</w:t>
      </w:r>
      <w:r w:rsidRPr="003821DA">
        <w:t xml:space="preserve"> of </w:t>
      </w:r>
      <w:r w:rsidRPr="003821DA" w:rsidR="00F424A0">
        <w:t xml:space="preserve">the </w:t>
      </w:r>
      <w:r w:rsidRPr="003821DA" w:rsidR="00AD3783">
        <w:t xml:space="preserve">rules </w:t>
      </w:r>
      <w:r w:rsidRPr="003821DA" w:rsidR="00F424A0">
        <w:t xml:space="preserve">concerning the storage of </w:t>
      </w:r>
      <w:r w:rsidRPr="003821DA" w:rsidR="00AD3783">
        <w:t>CCTV</w:t>
      </w:r>
      <w:r w:rsidRPr="003821DA" w:rsidR="00EC78E5">
        <w:t xml:space="preserve"> </w:t>
      </w:r>
      <w:r w:rsidRPr="003821DA" w:rsidR="00AD3783">
        <w:t>camera</w:t>
      </w:r>
      <w:r w:rsidRPr="003821DA" w:rsidR="00F424A0">
        <w:t xml:space="preserve"> recording</w:t>
      </w:r>
      <w:r w:rsidRPr="003821DA" w:rsidR="00AD3783">
        <w:t xml:space="preserve">s, and, in particular, who had access to </w:t>
      </w:r>
      <w:r w:rsidRPr="003821DA" w:rsidR="004A0374">
        <w:t>them</w:t>
      </w:r>
      <w:r w:rsidRPr="003821DA" w:rsidR="00F424A0">
        <w:t>,</w:t>
      </w:r>
      <w:r w:rsidRPr="003821DA" w:rsidR="00AD3783">
        <w:t xml:space="preserve"> how long </w:t>
      </w:r>
      <w:r w:rsidRPr="003821DA" w:rsidR="00F424A0">
        <w:t xml:space="preserve">they </w:t>
      </w:r>
      <w:r w:rsidRPr="003821DA" w:rsidR="00EC78E5">
        <w:t xml:space="preserve">were to </w:t>
      </w:r>
      <w:proofErr w:type="gramStart"/>
      <w:r w:rsidRPr="003821DA" w:rsidR="00AD3783">
        <w:t>be kept</w:t>
      </w:r>
      <w:proofErr w:type="gramEnd"/>
      <w:r w:rsidRPr="003821DA" w:rsidR="00AD3783">
        <w:t xml:space="preserve"> and when</w:t>
      </w:r>
      <w:r w:rsidRPr="003821DA" w:rsidR="00EC78E5">
        <w:t xml:space="preserve">, and </w:t>
      </w:r>
      <w:r w:rsidRPr="003821DA" w:rsidR="003E7F29">
        <w:t>under</w:t>
      </w:r>
      <w:r w:rsidRPr="003821DA" w:rsidR="00EC78E5">
        <w:t xml:space="preserve"> which conditions,</w:t>
      </w:r>
      <w:r w:rsidRPr="003821DA" w:rsidR="00AD3783">
        <w:t xml:space="preserve"> they should be destroyed. </w:t>
      </w:r>
      <w:r w:rsidRPr="003821DA" w:rsidR="00747E9B">
        <w:t>He</w:t>
      </w:r>
      <w:r w:rsidRPr="003821DA" w:rsidR="00AD3783">
        <w:t xml:space="preserve"> argued that </w:t>
      </w:r>
      <w:r w:rsidRPr="003821DA" w:rsidR="004A0374">
        <w:t xml:space="preserve">the </w:t>
      </w:r>
      <w:r w:rsidRPr="003821DA" w:rsidR="00923A12">
        <w:t xml:space="preserve">anxiety and humiliation he </w:t>
      </w:r>
      <w:r w:rsidRPr="003821DA" w:rsidR="00EC78E5">
        <w:t xml:space="preserve">had </w:t>
      </w:r>
      <w:r w:rsidRPr="003821DA" w:rsidR="00923A12">
        <w:t xml:space="preserve">suffered </w:t>
      </w:r>
      <w:proofErr w:type="gramStart"/>
      <w:r w:rsidRPr="003821DA" w:rsidR="00923A12">
        <w:t>on account</w:t>
      </w:r>
      <w:proofErr w:type="gramEnd"/>
      <w:r w:rsidRPr="003821DA" w:rsidR="00923A12">
        <w:t xml:space="preserve"> of the permanent video surveillance of his everyday life </w:t>
      </w:r>
      <w:r w:rsidRPr="003821DA" w:rsidR="00EC78E5">
        <w:t>had been</w:t>
      </w:r>
      <w:r w:rsidRPr="003821DA" w:rsidR="00923A12">
        <w:t xml:space="preserve"> </w:t>
      </w:r>
      <w:r w:rsidRPr="003821DA" w:rsidR="008F5E7B">
        <w:t>intensified</w:t>
      </w:r>
      <w:r w:rsidRPr="003821DA" w:rsidR="00923A12">
        <w:t xml:space="preserve"> by the fact that </w:t>
      </w:r>
      <w:r w:rsidRPr="003821DA" w:rsidR="00747E9B">
        <w:t>the record</w:t>
      </w:r>
      <w:r w:rsidRPr="003821DA" w:rsidR="00F424A0">
        <w:t>ing</w:t>
      </w:r>
      <w:r w:rsidRPr="003821DA" w:rsidR="00747E9B">
        <w:t xml:space="preserve">s might </w:t>
      </w:r>
      <w:r w:rsidRPr="003821DA" w:rsidR="0046494C">
        <w:t>be disclosed</w:t>
      </w:r>
      <w:r w:rsidRPr="003821DA" w:rsidR="00747E9B">
        <w:t xml:space="preserve"> to</w:t>
      </w:r>
      <w:r w:rsidRPr="003821DA" w:rsidR="004A0374">
        <w:t xml:space="preserve"> the</w:t>
      </w:r>
      <w:r w:rsidRPr="003821DA" w:rsidR="00747E9B">
        <w:t xml:space="preserve"> general public.</w:t>
      </w:r>
    </w:p>
    <w:p w:rsidRPr="003821DA" w:rsidR="00621E6E" w:rsidP="003821DA" w:rsidRDefault="00F40128">
      <w:pPr>
        <w:pStyle w:val="ECHRHeading3"/>
      </w:pPr>
      <w:r w:rsidRPr="003821DA">
        <w:t>2.  The Government</w:t>
      </w:r>
    </w:p>
    <w:bookmarkStart w:name="GvtApplicantsUnderConstantVideoSurv" w:id="36"/>
    <w:p w:rsidRPr="003821DA" w:rsidR="00102B50" w:rsidP="003821DA" w:rsidRDefault="00621E6E">
      <w:pPr>
        <w:pStyle w:val="ECHRPara"/>
      </w:pPr>
      <w:r w:rsidRPr="003821DA">
        <w:fldChar w:fldCharType="begin"/>
      </w:r>
      <w:r w:rsidRPr="003821DA">
        <w:instrText xml:space="preserve"> SEQ level0 \*arabic </w:instrText>
      </w:r>
      <w:r w:rsidRPr="003821DA">
        <w:fldChar w:fldCharType="separate"/>
      </w:r>
      <w:r w:rsidRPr="003821DA" w:rsidR="003821DA">
        <w:rPr>
          <w:noProof/>
        </w:rPr>
        <w:t>67</w:t>
      </w:r>
      <w:r w:rsidRPr="003821DA">
        <w:fldChar w:fldCharType="end"/>
      </w:r>
      <w:bookmarkEnd w:id="36"/>
      <w:r w:rsidRPr="003821DA">
        <w:t>.  </w:t>
      </w:r>
      <w:proofErr w:type="gramStart"/>
      <w:r w:rsidRPr="003821DA">
        <w:t xml:space="preserve">The Government </w:t>
      </w:r>
      <w:r w:rsidRPr="003821DA" w:rsidR="00E831CF">
        <w:t>acknowledged that the applicants</w:t>
      </w:r>
      <w:r w:rsidRPr="003821DA" w:rsidR="003821DA">
        <w:t>’</w:t>
      </w:r>
      <w:r w:rsidRPr="003821DA" w:rsidR="005F59BB">
        <w:t xml:space="preserve"> respective cells </w:t>
      </w:r>
      <w:r w:rsidRPr="003821DA" w:rsidR="004C5EFF">
        <w:t xml:space="preserve">– in prison UP-288/T, in so far as the first applicant was concerned, in strict-regime correctional colony IK-5, in so far as the second applicant was concerned, and in pre-trial detention centre IK-2, in so far as the third applicant was concerned – </w:t>
      </w:r>
      <w:r w:rsidRPr="003821DA" w:rsidR="00E831CF">
        <w:t>had been</w:t>
      </w:r>
      <w:r w:rsidRPr="003821DA" w:rsidR="005F59BB">
        <w:t xml:space="preserve"> equipped with CCTV cameras</w:t>
      </w:r>
      <w:r w:rsidRPr="003821DA" w:rsidR="004A0374">
        <w:t>,</w:t>
      </w:r>
      <w:r w:rsidRPr="003821DA" w:rsidR="005F59BB">
        <w:t xml:space="preserve"> and that they</w:t>
      </w:r>
      <w:r w:rsidRPr="003821DA" w:rsidR="00E831CF">
        <w:t xml:space="preserve"> had</w:t>
      </w:r>
      <w:r w:rsidRPr="003821DA" w:rsidR="005F59BB">
        <w:t xml:space="preserve"> remained under permanent video surveillance when in their cells.</w:t>
      </w:r>
      <w:proofErr w:type="gramEnd"/>
      <w:r w:rsidRPr="003821DA" w:rsidR="005F59BB">
        <w:t xml:space="preserve"> </w:t>
      </w:r>
      <w:r w:rsidRPr="003821DA" w:rsidR="00102B50">
        <w:t xml:space="preserve">They pointed out that the administrations of </w:t>
      </w:r>
      <w:r w:rsidRPr="003821DA" w:rsidR="00E34B2D">
        <w:t>penal institution</w:t>
      </w:r>
      <w:r w:rsidRPr="003821DA" w:rsidR="00102B50">
        <w:t xml:space="preserve">s and pre-trial detention centres </w:t>
      </w:r>
      <w:r w:rsidRPr="003821DA" w:rsidR="00082AE1">
        <w:t xml:space="preserve">had </w:t>
      </w:r>
      <w:r w:rsidRPr="003821DA" w:rsidR="00B97ADC">
        <w:t>an obligation under</w:t>
      </w:r>
      <w:r w:rsidRPr="003821DA" w:rsidR="00102B50">
        <w:t xml:space="preserve"> domestic </w:t>
      </w:r>
      <w:r w:rsidRPr="003821DA" w:rsidR="00082AE1">
        <w:t>law</w:t>
      </w:r>
      <w:r w:rsidRPr="003821DA" w:rsidR="00102B50">
        <w:t xml:space="preserve"> and regulations to install CCTV cameras in each cell.</w:t>
      </w:r>
    </w:p>
    <w:bookmarkStart w:name="GvtStandardPractice" w:id="37"/>
    <w:p w:rsidRPr="003821DA" w:rsidR="00164F64" w:rsidP="003821DA" w:rsidRDefault="00102B50">
      <w:pPr>
        <w:pStyle w:val="ECHRPara"/>
      </w:pPr>
      <w:r w:rsidRPr="003821DA">
        <w:fldChar w:fldCharType="begin"/>
      </w:r>
      <w:r w:rsidRPr="003821DA">
        <w:instrText xml:space="preserve"> SEQ level0 \*arabic </w:instrText>
      </w:r>
      <w:r w:rsidRPr="003821DA">
        <w:fldChar w:fldCharType="separate"/>
      </w:r>
      <w:r w:rsidRPr="003821DA" w:rsidR="003821DA">
        <w:rPr>
          <w:noProof/>
        </w:rPr>
        <w:t>68</w:t>
      </w:r>
      <w:r w:rsidRPr="003821DA">
        <w:fldChar w:fldCharType="end"/>
      </w:r>
      <w:bookmarkEnd w:id="37"/>
      <w:r w:rsidRPr="003821DA">
        <w:t>.  </w:t>
      </w:r>
      <w:proofErr w:type="gramStart"/>
      <w:r w:rsidRPr="003821DA">
        <w:t xml:space="preserve">They </w:t>
      </w:r>
      <w:r w:rsidRPr="003821DA" w:rsidR="00B0512E">
        <w:t xml:space="preserve">further acknowledged that </w:t>
      </w:r>
      <w:r w:rsidRPr="003821DA" w:rsidR="005F59BB">
        <w:t>such practice</w:t>
      </w:r>
      <w:r w:rsidRPr="003821DA" w:rsidR="00E831CF">
        <w:t xml:space="preserve"> of the administrations of pre-trial detention centres and </w:t>
      </w:r>
      <w:r w:rsidRPr="003821DA" w:rsidR="00E34B2D">
        <w:t>penal institution</w:t>
      </w:r>
      <w:r w:rsidRPr="003821DA" w:rsidR="00E831CF">
        <w:t>s</w:t>
      </w:r>
      <w:r w:rsidRPr="003821DA" w:rsidR="005F59BB">
        <w:t xml:space="preserve"> </w:t>
      </w:r>
      <w:r w:rsidRPr="003821DA" w:rsidR="008E0938">
        <w:t xml:space="preserve">had </w:t>
      </w:r>
      <w:r w:rsidRPr="003821DA" w:rsidR="00E74A63">
        <w:t>led to</w:t>
      </w:r>
      <w:r w:rsidRPr="003821DA" w:rsidR="005F59BB">
        <w:t xml:space="preserve"> an interference with the applicants</w:t>
      </w:r>
      <w:r w:rsidRPr="003821DA" w:rsidR="003821DA">
        <w:t>’</w:t>
      </w:r>
      <w:r w:rsidRPr="003821DA" w:rsidR="005F59BB">
        <w:t xml:space="preserve"> right to respect for their private life </w:t>
      </w:r>
      <w:r w:rsidRPr="003821DA" w:rsidR="0093064C">
        <w:t xml:space="preserve">guaranteed </w:t>
      </w:r>
      <w:r w:rsidRPr="003821DA" w:rsidR="005F59BB">
        <w:t>by Article 8 of the Convention, but argued that</w:t>
      </w:r>
      <w:r w:rsidRPr="003821DA" w:rsidR="006324DC">
        <w:t xml:space="preserve">, being part of the mechanism which ensured </w:t>
      </w:r>
      <w:r w:rsidRPr="003821DA" w:rsidR="009965F6">
        <w:t xml:space="preserve">the </w:t>
      </w:r>
      <w:r w:rsidRPr="003821DA" w:rsidR="006324DC">
        <w:t xml:space="preserve">personal </w:t>
      </w:r>
      <w:r w:rsidRPr="003821DA" w:rsidR="009965F6">
        <w:t xml:space="preserve">safety </w:t>
      </w:r>
      <w:r w:rsidRPr="003821DA" w:rsidR="006324DC">
        <w:t>of suspects, accused</w:t>
      </w:r>
      <w:r w:rsidRPr="003821DA" w:rsidR="009965F6">
        <w:t xml:space="preserve"> persons</w:t>
      </w:r>
      <w:r w:rsidRPr="003821DA" w:rsidR="006324DC">
        <w:t xml:space="preserve"> and convicts</w:t>
      </w:r>
      <w:r w:rsidRPr="003821DA" w:rsidR="00082AE1">
        <w:t>,</w:t>
      </w:r>
      <w:r w:rsidRPr="003821DA" w:rsidR="006324DC">
        <w:t xml:space="preserve"> observance of the regime of their detention</w:t>
      </w:r>
      <w:r w:rsidRPr="003821DA" w:rsidR="00082AE1">
        <w:t>,</w:t>
      </w:r>
      <w:r w:rsidRPr="003821DA" w:rsidR="006324DC">
        <w:t xml:space="preserve"> respect for their rights, and performance by them of their obligations,</w:t>
      </w:r>
      <w:r w:rsidRPr="003821DA" w:rsidR="00812D9A">
        <w:t xml:space="preserve"> it</w:t>
      </w:r>
      <w:r w:rsidRPr="003821DA" w:rsidR="00082AE1">
        <w:t xml:space="preserve"> had been</w:t>
      </w:r>
      <w:r w:rsidRPr="003821DA" w:rsidR="00812D9A">
        <w:t xml:space="preserve"> justified under the second paragraph of that provision.</w:t>
      </w:r>
      <w:proofErr w:type="gramEnd"/>
    </w:p>
    <w:bookmarkStart w:name="GvtLegalBasisLaw" w:id="38"/>
    <w:p w:rsidRPr="003821DA" w:rsidR="00AC4F49" w:rsidP="003821DA" w:rsidRDefault="00812D9A">
      <w:pPr>
        <w:pStyle w:val="ECHRPara"/>
      </w:pPr>
      <w:r w:rsidRPr="003821DA">
        <w:fldChar w:fldCharType="begin"/>
      </w:r>
      <w:r w:rsidRPr="003821DA">
        <w:instrText xml:space="preserve"> SEQ level0 \*arabic </w:instrText>
      </w:r>
      <w:r w:rsidRPr="003821DA">
        <w:fldChar w:fldCharType="separate"/>
      </w:r>
      <w:r w:rsidRPr="003821DA" w:rsidR="003821DA">
        <w:rPr>
          <w:noProof/>
        </w:rPr>
        <w:t>69</w:t>
      </w:r>
      <w:r w:rsidRPr="003821DA">
        <w:fldChar w:fldCharType="end"/>
      </w:r>
      <w:bookmarkEnd w:id="38"/>
      <w:r w:rsidRPr="003821DA">
        <w:t>.  </w:t>
      </w:r>
      <w:r w:rsidRPr="003821DA" w:rsidR="00471D6C">
        <w:t xml:space="preserve">They argued that </w:t>
      </w:r>
      <w:r w:rsidRPr="003821DA" w:rsidR="00A64BFD">
        <w:t>the impugned measure</w:t>
      </w:r>
      <w:r w:rsidRPr="003821DA" w:rsidR="001B437E">
        <w:t xml:space="preserve"> was</w:t>
      </w:r>
      <w:r w:rsidRPr="003821DA" w:rsidR="00C90DDE">
        <w:t xml:space="preserve"> established by law, and </w:t>
      </w:r>
      <w:r w:rsidRPr="003821DA" w:rsidR="005D1EFF">
        <w:t xml:space="preserve">more specifically, in so far as it concerned detainees of </w:t>
      </w:r>
      <w:r w:rsidRPr="003821DA" w:rsidR="00E831CF">
        <w:t>pre-trial detention</w:t>
      </w:r>
      <w:r w:rsidRPr="003821DA" w:rsidR="005D1EFF">
        <w:t xml:space="preserve"> centres, by section 34 of the Pre-trial Detention Act (see paragraph</w:t>
      </w:r>
      <w:r w:rsidRPr="003821DA" w:rsidR="00E831CF">
        <w:t xml:space="preserve"> </w:t>
      </w:r>
      <w:r w:rsidRPr="003821DA" w:rsidR="00E831CF">
        <w:fldChar w:fldCharType="begin"/>
      </w:r>
      <w:r w:rsidRPr="003821DA" w:rsidR="00E831CF">
        <w:instrText xml:space="preserve"> REF PreTrialDetentionAct \h  \* MERGEFORMAT </w:instrText>
      </w:r>
      <w:r w:rsidRPr="003821DA" w:rsidR="00E831CF">
        <w:fldChar w:fldCharType="separate"/>
      </w:r>
      <w:r w:rsidRPr="003821DA" w:rsidR="003821DA">
        <w:rPr>
          <w:noProof/>
          <w:lang w:bidi="en-US"/>
        </w:rPr>
        <w:t>34</w:t>
      </w:r>
      <w:r w:rsidRPr="003821DA" w:rsidR="00E831CF">
        <w:fldChar w:fldCharType="end"/>
      </w:r>
      <w:r w:rsidRPr="003821DA" w:rsidR="005D1EFF">
        <w:t xml:space="preserve"> above), and, as regards post-conviction detainees, </w:t>
      </w:r>
      <w:r w:rsidRPr="003821DA" w:rsidR="00C90DDE">
        <w:t>by Article 83</w:t>
      </w:r>
      <w:r w:rsidRPr="003821DA" w:rsidR="00082AE1">
        <w:t xml:space="preserve"> </w:t>
      </w:r>
      <w:r w:rsidRPr="003821DA" w:rsidR="00082AE1">
        <w:rPr>
          <w:rFonts w:cstheme="minorHAnsi"/>
        </w:rPr>
        <w:t>§</w:t>
      </w:r>
      <w:r w:rsidRPr="003821DA" w:rsidR="00082AE1">
        <w:t xml:space="preserve"> </w:t>
      </w:r>
      <w:r w:rsidRPr="003821DA" w:rsidR="00C90DDE">
        <w:t xml:space="preserve">1 of </w:t>
      </w:r>
      <w:r w:rsidRPr="003821DA" w:rsidR="00102525">
        <w:t>the Code of Execution of Criminal Sentences</w:t>
      </w:r>
      <w:r w:rsidRPr="003821DA" w:rsidR="00C90DDE">
        <w:t xml:space="preserve"> (see paragraph </w:t>
      </w:r>
      <w:r w:rsidRPr="003821DA" w:rsidR="00E831CF">
        <w:fldChar w:fldCharType="begin"/>
      </w:r>
      <w:r w:rsidRPr="003821DA" w:rsidR="00E831CF">
        <w:instrText xml:space="preserve"> REF ExecutionCriminalSentencesCode \h  \* MERGEFORMAT </w:instrText>
      </w:r>
      <w:r w:rsidRPr="003821DA" w:rsidR="00E831CF">
        <w:fldChar w:fldCharType="separate"/>
      </w:r>
      <w:r w:rsidRPr="003821DA" w:rsidR="003821DA">
        <w:rPr>
          <w:noProof/>
        </w:rPr>
        <w:t>33</w:t>
      </w:r>
      <w:r w:rsidRPr="003821DA" w:rsidR="00E831CF">
        <w:fldChar w:fldCharType="end"/>
      </w:r>
      <w:r w:rsidRPr="003821DA" w:rsidR="00E831CF">
        <w:t xml:space="preserve"> </w:t>
      </w:r>
      <w:r w:rsidRPr="003821DA" w:rsidR="00C90DDE">
        <w:t>above)</w:t>
      </w:r>
      <w:r w:rsidRPr="003821DA" w:rsidR="005D1EFF">
        <w:t xml:space="preserve">. </w:t>
      </w:r>
      <w:r w:rsidRPr="003821DA" w:rsidR="00AC4F49">
        <w:t xml:space="preserve">These </w:t>
      </w:r>
      <w:r w:rsidRPr="003821DA" w:rsidR="00082AE1">
        <w:t xml:space="preserve">provisions </w:t>
      </w:r>
      <w:r w:rsidRPr="003821DA" w:rsidR="00AC4F49">
        <w:t xml:space="preserve">vested in the administrations of </w:t>
      </w:r>
      <w:r w:rsidRPr="003821DA" w:rsidR="00E34B2D">
        <w:t>penal institution</w:t>
      </w:r>
      <w:r w:rsidRPr="003821DA" w:rsidR="00082AE1">
        <w:t>s</w:t>
      </w:r>
      <w:r w:rsidRPr="003821DA" w:rsidR="00AC4F49">
        <w:t xml:space="preserve"> the right to use technical means of surveillance</w:t>
      </w:r>
      <w:r w:rsidRPr="003821DA" w:rsidR="0093064C">
        <w:t xml:space="preserve"> </w:t>
      </w:r>
      <w:r w:rsidRPr="003821DA" w:rsidR="00AC4F49">
        <w:t xml:space="preserve">with a view to ensuring </w:t>
      </w:r>
      <w:r w:rsidRPr="003821DA" w:rsidR="002809DC">
        <w:t xml:space="preserve">the safety </w:t>
      </w:r>
      <w:r w:rsidRPr="003821DA" w:rsidR="00AC4F49">
        <w:t xml:space="preserve">of detainees and </w:t>
      </w:r>
      <w:r w:rsidRPr="003821DA" w:rsidR="00C47825">
        <w:t>staff</w:t>
      </w:r>
      <w:r w:rsidRPr="003821DA" w:rsidR="0093064C">
        <w:t>,</w:t>
      </w:r>
      <w:r w:rsidRPr="003821DA" w:rsidR="00AC4F49">
        <w:t xml:space="preserve"> preventing escapes </w:t>
      </w:r>
      <w:r w:rsidRPr="003821DA" w:rsidR="00F12DDF">
        <w:t xml:space="preserve">and </w:t>
      </w:r>
      <w:r w:rsidRPr="003821DA" w:rsidR="00AC4F49">
        <w:t>other offences or breaches of the established order of serving the sentence</w:t>
      </w:r>
      <w:r w:rsidRPr="003821DA" w:rsidR="0093064C">
        <w:t xml:space="preserve">, </w:t>
      </w:r>
      <w:r w:rsidRPr="003821DA" w:rsidR="00AC4F49">
        <w:t>and obtaining necessary information about convicts</w:t>
      </w:r>
      <w:r w:rsidRPr="003821DA" w:rsidR="003821DA">
        <w:t>’</w:t>
      </w:r>
      <w:r w:rsidRPr="003821DA" w:rsidR="00AC4F49">
        <w:t xml:space="preserve"> conduct.</w:t>
      </w:r>
    </w:p>
    <w:p w:rsidRPr="003821DA" w:rsidR="005966E3" w:rsidP="003821DA" w:rsidRDefault="005966E3">
      <w:pPr>
        <w:pStyle w:val="ECHRPara"/>
      </w:pPr>
      <w:r w:rsidRPr="003821DA">
        <w:fldChar w:fldCharType="begin"/>
      </w:r>
      <w:r w:rsidRPr="003821DA">
        <w:instrText xml:space="preserve"> SEQ level0 \*arabic </w:instrText>
      </w:r>
      <w:r w:rsidRPr="003821DA">
        <w:fldChar w:fldCharType="separate"/>
      </w:r>
      <w:r w:rsidRPr="003821DA" w:rsidR="003821DA">
        <w:rPr>
          <w:noProof/>
        </w:rPr>
        <w:t>70</w:t>
      </w:r>
      <w:r w:rsidRPr="003821DA">
        <w:fldChar w:fldCharType="end"/>
      </w:r>
      <w:r w:rsidRPr="003821DA">
        <w:t>.  The Government submitted that, in compliance with the relevant requirement of Article 83</w:t>
      </w:r>
      <w:r w:rsidRPr="003821DA" w:rsidR="00082AE1">
        <w:t xml:space="preserve"> </w:t>
      </w:r>
      <w:r w:rsidRPr="003821DA" w:rsidR="00082AE1">
        <w:rPr>
          <w:rFonts w:cstheme="minorHAnsi"/>
        </w:rPr>
        <w:t>§</w:t>
      </w:r>
      <w:r w:rsidRPr="003821DA" w:rsidR="00082AE1">
        <w:t xml:space="preserve"> </w:t>
      </w:r>
      <w:r w:rsidRPr="003821DA">
        <w:t>2 of the Code of E</w:t>
      </w:r>
      <w:r w:rsidRPr="003821DA" w:rsidR="001C50A0">
        <w:t xml:space="preserve">xecution of Criminal Sentences, the administration of </w:t>
      </w:r>
      <w:r w:rsidRPr="003821DA" w:rsidR="00082AE1">
        <w:t>prison</w:t>
      </w:r>
      <w:r w:rsidRPr="003821DA" w:rsidR="001C50A0">
        <w:t xml:space="preserve"> UP-288/T had informed the first applicant on the day of his arrival </w:t>
      </w:r>
      <w:r w:rsidRPr="003821DA" w:rsidR="00C47825">
        <w:t>at</w:t>
      </w:r>
      <w:r w:rsidRPr="003821DA" w:rsidR="001C50A0">
        <w:t xml:space="preserve"> that </w:t>
      </w:r>
      <w:r w:rsidRPr="003821DA" w:rsidR="00C47825">
        <w:t xml:space="preserve">institution </w:t>
      </w:r>
      <w:r w:rsidRPr="003821DA" w:rsidR="001C50A0">
        <w:t xml:space="preserve">that “technical means of surveillance” would be </w:t>
      </w:r>
      <w:r w:rsidRPr="003821DA" w:rsidR="0032028A">
        <w:t>used</w:t>
      </w:r>
      <w:r w:rsidRPr="003821DA" w:rsidR="001C50A0">
        <w:t xml:space="preserve">; he had </w:t>
      </w:r>
      <w:r w:rsidRPr="003821DA" w:rsidR="0032028A">
        <w:t xml:space="preserve">also </w:t>
      </w:r>
      <w:r w:rsidRPr="003821DA" w:rsidR="001C50A0">
        <w:t xml:space="preserve">signed a document to that effect. The Government did not specify whether any such </w:t>
      </w:r>
      <w:r w:rsidRPr="003821DA" w:rsidR="00CD2B07">
        <w:t xml:space="preserve">information had been given to the second or third applicants, </w:t>
      </w:r>
      <w:r w:rsidRPr="003821DA" w:rsidR="0032028A">
        <w:t xml:space="preserve">or </w:t>
      </w:r>
      <w:r w:rsidRPr="003821DA" w:rsidR="00CD2B07">
        <w:t xml:space="preserve">whether </w:t>
      </w:r>
      <w:r w:rsidRPr="003821DA" w:rsidR="0032028A">
        <w:t xml:space="preserve">either </w:t>
      </w:r>
      <w:r w:rsidRPr="003821DA" w:rsidR="00CD2B07">
        <w:t>of them had signed a document to that effect.</w:t>
      </w:r>
    </w:p>
    <w:bookmarkStart w:name="GvtLegalBasisExeOrders" w:id="39"/>
    <w:p w:rsidRPr="003821DA" w:rsidR="00411CF7" w:rsidP="003821DA" w:rsidRDefault="00AC4F49">
      <w:pPr>
        <w:pStyle w:val="ECHRPara"/>
      </w:pPr>
      <w:r w:rsidRPr="003821DA">
        <w:fldChar w:fldCharType="begin"/>
      </w:r>
      <w:r w:rsidRPr="003821DA">
        <w:instrText xml:space="preserve"> SEQ level0 \*arabic </w:instrText>
      </w:r>
      <w:r w:rsidRPr="003821DA">
        <w:fldChar w:fldCharType="separate"/>
      </w:r>
      <w:r w:rsidRPr="003821DA" w:rsidR="003821DA">
        <w:rPr>
          <w:noProof/>
        </w:rPr>
        <w:t>71</w:t>
      </w:r>
      <w:r w:rsidRPr="003821DA">
        <w:fldChar w:fldCharType="end"/>
      </w:r>
      <w:bookmarkEnd w:id="39"/>
      <w:r w:rsidRPr="003821DA">
        <w:t>.  </w:t>
      </w:r>
      <w:r w:rsidRPr="003821DA" w:rsidR="001D36D2">
        <w:t>The</w:t>
      </w:r>
      <w:r w:rsidRPr="003821DA">
        <w:t xml:space="preserve"> Government </w:t>
      </w:r>
      <w:r w:rsidRPr="003821DA" w:rsidR="001C50A0">
        <w:t>further</w:t>
      </w:r>
      <w:r w:rsidRPr="003821DA">
        <w:t xml:space="preserve"> submitted</w:t>
      </w:r>
      <w:r w:rsidRPr="003821DA" w:rsidR="004B5E3F">
        <w:t xml:space="preserve"> that </w:t>
      </w:r>
      <w:r w:rsidRPr="003821DA" w:rsidR="00756677">
        <w:t>a list of technical means of supervision and control</w:t>
      </w:r>
      <w:r w:rsidRPr="003821DA" w:rsidR="0038065A">
        <w:t xml:space="preserve">, </w:t>
      </w:r>
      <w:r w:rsidRPr="003821DA" w:rsidR="00CD2B07">
        <w:t xml:space="preserve">the number per </w:t>
      </w:r>
      <w:r w:rsidRPr="003821DA" w:rsidR="00E34B2D">
        <w:t>penal institution</w:t>
      </w:r>
      <w:r w:rsidRPr="003821DA" w:rsidR="00CD2B07">
        <w:t xml:space="preserve"> and </w:t>
      </w:r>
      <w:r w:rsidRPr="003821DA" w:rsidR="00756677">
        <w:t xml:space="preserve">the </w:t>
      </w:r>
      <w:r w:rsidRPr="003821DA" w:rsidR="00411CF7">
        <w:t>manner of their use</w:t>
      </w:r>
      <w:r w:rsidRPr="003821DA" w:rsidR="00945525">
        <w:t xml:space="preserve"> were </w:t>
      </w:r>
      <w:r w:rsidRPr="003821DA" w:rsidR="00D9149D">
        <w:t xml:space="preserve">set out </w:t>
      </w:r>
      <w:r w:rsidRPr="003821DA" w:rsidR="00411CF7">
        <w:t xml:space="preserve">in executive orders nos. 759 and 533 of the Federal Service </w:t>
      </w:r>
      <w:r w:rsidRPr="003821DA" w:rsidR="00500D77">
        <w:t>for the</w:t>
      </w:r>
      <w:r w:rsidRPr="003821DA" w:rsidR="00411CF7">
        <w:t xml:space="preserve"> Execution of Sentences da</w:t>
      </w:r>
      <w:r w:rsidRPr="003821DA" w:rsidR="000F741E">
        <w:t>ted 13 August 2005 and 25 </w:t>
      </w:r>
      <w:r w:rsidRPr="003821DA" w:rsidR="00411CF7">
        <w:t xml:space="preserve">August 2008 </w:t>
      </w:r>
      <w:r w:rsidRPr="003821DA" w:rsidR="00E36B36">
        <w:t xml:space="preserve">respectively </w:t>
      </w:r>
      <w:r w:rsidRPr="003821DA" w:rsidR="00411CF7">
        <w:t xml:space="preserve">(see paragraph </w:t>
      </w:r>
      <w:r w:rsidRPr="003821DA" w:rsidR="00E36B36">
        <w:fldChar w:fldCharType="begin"/>
      </w:r>
      <w:r w:rsidRPr="003821DA" w:rsidR="00E36B36">
        <w:instrText xml:space="preserve"> REF FSINOrders \h </w:instrText>
      </w:r>
      <w:r w:rsidRPr="003821DA" w:rsidR="00C921CA">
        <w:instrText xml:space="preserve"> \* MERGEFORMAT </w:instrText>
      </w:r>
      <w:r w:rsidRPr="003821DA" w:rsidR="00E36B36">
        <w:fldChar w:fldCharType="separate"/>
      </w:r>
      <w:r w:rsidRPr="003821DA" w:rsidR="003821DA">
        <w:rPr>
          <w:noProof/>
        </w:rPr>
        <w:t>41</w:t>
      </w:r>
      <w:r w:rsidRPr="003821DA" w:rsidR="00E36B36">
        <w:fldChar w:fldCharType="end"/>
      </w:r>
      <w:r w:rsidRPr="003821DA" w:rsidR="00411CF7">
        <w:t xml:space="preserve"> above). The manner and standards of installation of technical means of surveillance and control in </w:t>
      </w:r>
      <w:r w:rsidRPr="003821DA" w:rsidR="00E34B2D">
        <w:t>penal institution</w:t>
      </w:r>
      <w:r w:rsidRPr="003821DA" w:rsidR="00411CF7">
        <w:t xml:space="preserve">s </w:t>
      </w:r>
      <w:proofErr w:type="gramStart"/>
      <w:r w:rsidRPr="003821DA" w:rsidR="00411CF7">
        <w:t>were defined</w:t>
      </w:r>
      <w:proofErr w:type="gramEnd"/>
      <w:r w:rsidRPr="003821DA" w:rsidR="00411CF7">
        <w:t xml:space="preserve"> in </w:t>
      </w:r>
      <w:r w:rsidRPr="003821DA" w:rsidR="00965013">
        <w:t>executive order</w:t>
      </w:r>
      <w:r w:rsidRPr="003821DA" w:rsidR="00B35465">
        <w:t xml:space="preserve"> no. 279 of the </w:t>
      </w:r>
      <w:r w:rsidRPr="003821DA" w:rsidR="00965013">
        <w:t>Ministry</w:t>
      </w:r>
      <w:r w:rsidRPr="003821DA" w:rsidR="00B35465">
        <w:t xml:space="preserve"> of Justice dated 4 September 2006 (see paragraph</w:t>
      </w:r>
      <w:r w:rsidRPr="003821DA" w:rsidR="0079155B">
        <w:t>s</w:t>
      </w:r>
      <w:r w:rsidRPr="003821DA" w:rsidR="00C921CA">
        <w:t xml:space="preserve"> </w:t>
      </w:r>
      <w:r w:rsidRPr="003821DA" w:rsidR="00C921CA">
        <w:fldChar w:fldCharType="begin"/>
      </w:r>
      <w:r w:rsidRPr="003821DA" w:rsidR="00C921CA">
        <w:instrText xml:space="preserve"> REF ExecutiveOrder279 \h  \* MERGEFORMAT </w:instrText>
      </w:r>
      <w:r w:rsidRPr="003821DA" w:rsidR="00C921CA">
        <w:fldChar w:fldCharType="separate"/>
      </w:r>
      <w:r w:rsidRPr="003821DA" w:rsidR="003821DA">
        <w:rPr>
          <w:noProof/>
        </w:rPr>
        <w:t>39</w:t>
      </w:r>
      <w:r w:rsidRPr="003821DA" w:rsidR="00C921CA">
        <w:fldChar w:fldCharType="end"/>
      </w:r>
      <w:r w:rsidRPr="003821DA" w:rsidR="0079155B">
        <w:t>-</w:t>
      </w:r>
      <w:r w:rsidRPr="003821DA" w:rsidR="0079155B">
        <w:fldChar w:fldCharType="begin"/>
      </w:r>
      <w:r w:rsidRPr="003821DA" w:rsidR="0079155B">
        <w:instrText xml:space="preserve"> REF ExecutiveOrder279End \h </w:instrText>
      </w:r>
      <w:r w:rsidRPr="003821DA" w:rsidR="0079155B">
        <w:fldChar w:fldCharType="separate"/>
      </w:r>
      <w:r w:rsidRPr="003821DA" w:rsidR="003821DA">
        <w:rPr>
          <w:noProof/>
        </w:rPr>
        <w:t>40</w:t>
      </w:r>
      <w:r w:rsidRPr="003821DA" w:rsidR="0079155B">
        <w:fldChar w:fldCharType="end"/>
      </w:r>
      <w:r w:rsidRPr="003821DA" w:rsidR="0079155B">
        <w:t xml:space="preserve"> </w:t>
      </w:r>
      <w:r w:rsidRPr="003821DA" w:rsidR="00B35465">
        <w:t>above)</w:t>
      </w:r>
      <w:r w:rsidRPr="003821DA" w:rsidR="00411CF7">
        <w:t>.</w:t>
      </w:r>
    </w:p>
    <w:p w:rsidRPr="003821DA" w:rsidR="001D36D2" w:rsidP="003821DA" w:rsidRDefault="00411CF7">
      <w:pPr>
        <w:pStyle w:val="ECHRPara"/>
      </w:pPr>
      <w:r w:rsidRPr="003821DA">
        <w:fldChar w:fldCharType="begin"/>
      </w:r>
      <w:r w:rsidRPr="003821DA">
        <w:instrText xml:space="preserve"> SEQ level0 \*arabic </w:instrText>
      </w:r>
      <w:r w:rsidRPr="003821DA">
        <w:fldChar w:fldCharType="separate"/>
      </w:r>
      <w:r w:rsidRPr="003821DA" w:rsidR="003821DA">
        <w:rPr>
          <w:noProof/>
        </w:rPr>
        <w:t>72</w:t>
      </w:r>
      <w:r w:rsidRPr="003821DA">
        <w:fldChar w:fldCharType="end"/>
      </w:r>
      <w:r w:rsidRPr="003821DA">
        <w:t>.  </w:t>
      </w:r>
      <w:r w:rsidRPr="003821DA" w:rsidR="00E016D9">
        <w:t xml:space="preserve">According to the Government, the provisions in question </w:t>
      </w:r>
      <w:r w:rsidRPr="003821DA" w:rsidR="00A07A90">
        <w:t xml:space="preserve">provided </w:t>
      </w:r>
      <w:r w:rsidRPr="003821DA" w:rsidR="006C1529">
        <w:t>that all areas (living</w:t>
      </w:r>
      <w:r w:rsidRPr="003821DA" w:rsidR="00A07A90">
        <w:t xml:space="preserve">, </w:t>
      </w:r>
      <w:r w:rsidRPr="003821DA" w:rsidR="00EE13EA">
        <w:t xml:space="preserve">common and </w:t>
      </w:r>
      <w:r w:rsidRPr="003821DA" w:rsidR="006C1529">
        <w:t xml:space="preserve">service </w:t>
      </w:r>
      <w:r w:rsidRPr="003821DA" w:rsidR="00A07A90">
        <w:t>areas</w:t>
      </w:r>
      <w:r w:rsidRPr="003821DA" w:rsidR="006C1529">
        <w:t xml:space="preserve">) within a </w:t>
      </w:r>
      <w:r w:rsidRPr="003821DA" w:rsidR="00E34B2D">
        <w:t>penal institution</w:t>
      </w:r>
      <w:r w:rsidRPr="003821DA" w:rsidR="006C1529">
        <w:t xml:space="preserve"> to which </w:t>
      </w:r>
      <w:r w:rsidRPr="003821DA" w:rsidR="00265F10">
        <w:t>detainees</w:t>
      </w:r>
      <w:r w:rsidRPr="003821DA" w:rsidR="006C1529">
        <w:t xml:space="preserve"> in pre-trial </w:t>
      </w:r>
      <w:r w:rsidRPr="003821DA" w:rsidR="00265F10">
        <w:t xml:space="preserve">or post-conviction </w:t>
      </w:r>
      <w:r w:rsidRPr="003821DA" w:rsidR="006C1529">
        <w:t xml:space="preserve">detention had access should be equipped with CCTV cameras. </w:t>
      </w:r>
      <w:r w:rsidRPr="003821DA" w:rsidR="00A07A90">
        <w:t>T</w:t>
      </w:r>
      <w:r w:rsidRPr="003821DA" w:rsidR="006C1529">
        <w:t xml:space="preserve">he administrations of </w:t>
      </w:r>
      <w:r w:rsidRPr="003821DA" w:rsidR="00E34B2D">
        <w:t>penal institution</w:t>
      </w:r>
      <w:r w:rsidRPr="003821DA" w:rsidR="006C1529">
        <w:t xml:space="preserve">s </w:t>
      </w:r>
      <w:r w:rsidRPr="003821DA" w:rsidR="00A07A90">
        <w:t xml:space="preserve">had an obligation </w:t>
      </w:r>
      <w:r w:rsidRPr="003821DA" w:rsidR="006C1529">
        <w:t xml:space="preserve">to install CCTV cameras </w:t>
      </w:r>
      <w:r w:rsidRPr="003821DA" w:rsidR="00A07A90">
        <w:t xml:space="preserve">on </w:t>
      </w:r>
      <w:r w:rsidRPr="003821DA" w:rsidR="006C1529">
        <w:t xml:space="preserve">premises where detainees </w:t>
      </w:r>
      <w:proofErr w:type="gramStart"/>
      <w:r w:rsidRPr="003821DA" w:rsidR="006C1529">
        <w:t>were being held</w:t>
      </w:r>
      <w:proofErr w:type="gramEnd"/>
      <w:r w:rsidRPr="003821DA" w:rsidR="006C1529">
        <w:t xml:space="preserve">. </w:t>
      </w:r>
      <w:r w:rsidRPr="003821DA" w:rsidR="00B56510">
        <w:t>A sufficient number of c</w:t>
      </w:r>
      <w:r w:rsidRPr="003821DA" w:rsidR="00D20B66">
        <w:t xml:space="preserve">ameras </w:t>
      </w:r>
      <w:r w:rsidRPr="003821DA" w:rsidR="00B56510">
        <w:t xml:space="preserve">had to </w:t>
      </w:r>
      <w:proofErr w:type="gramStart"/>
      <w:r w:rsidRPr="003821DA" w:rsidR="00D20B66">
        <w:t>be installed</w:t>
      </w:r>
      <w:proofErr w:type="gramEnd"/>
      <w:r w:rsidRPr="003821DA" w:rsidR="00B56510">
        <w:t xml:space="preserve">, </w:t>
      </w:r>
      <w:r w:rsidRPr="003821DA" w:rsidR="00EE13EA">
        <w:t xml:space="preserve">in such a </w:t>
      </w:r>
      <w:r w:rsidRPr="003821DA" w:rsidR="00D20B66">
        <w:t xml:space="preserve">way as to avoid any blind </w:t>
      </w:r>
      <w:r w:rsidRPr="003821DA">
        <w:t>zones</w:t>
      </w:r>
      <w:r w:rsidRPr="003821DA" w:rsidR="00D20B66">
        <w:t>. The Government</w:t>
      </w:r>
      <w:r w:rsidRPr="003821DA" w:rsidR="006C1529">
        <w:t xml:space="preserve"> also pointed out that all newly constructed </w:t>
      </w:r>
      <w:r w:rsidRPr="003821DA" w:rsidR="00E34B2D">
        <w:t>penal institution</w:t>
      </w:r>
      <w:r w:rsidRPr="003821DA" w:rsidR="006C1529">
        <w:t>s were to be equipped with CCTV cameras installed in accordance with the relevant construction documents</w:t>
      </w:r>
      <w:r w:rsidRPr="003821DA" w:rsidR="00A07A90">
        <w:t xml:space="preserve">, </w:t>
      </w:r>
      <w:r w:rsidRPr="003821DA" w:rsidR="006C1529">
        <w:t xml:space="preserve">whereas in existing </w:t>
      </w:r>
      <w:r w:rsidRPr="003821DA" w:rsidR="00E34B2D">
        <w:t>penal institution</w:t>
      </w:r>
      <w:r w:rsidRPr="003821DA" w:rsidR="006C1529">
        <w:t xml:space="preserve">s it was the administrations who determined </w:t>
      </w:r>
      <w:r w:rsidRPr="003821DA" w:rsidR="00B56510">
        <w:t xml:space="preserve">the location </w:t>
      </w:r>
      <w:r w:rsidRPr="003821DA" w:rsidR="006C1529">
        <w:t>of CCTV cameras outside and inside the premises.</w:t>
      </w:r>
    </w:p>
    <w:bookmarkStart w:name="GvtPreventEscapes" w:id="40"/>
    <w:p w:rsidRPr="003821DA" w:rsidR="00164F64" w:rsidP="003821DA" w:rsidRDefault="00D30D97">
      <w:pPr>
        <w:pStyle w:val="ECHRPara"/>
      </w:pPr>
      <w:r w:rsidRPr="003821DA">
        <w:fldChar w:fldCharType="begin"/>
      </w:r>
      <w:r w:rsidRPr="003821DA">
        <w:instrText xml:space="preserve"> SEQ level0 \*arabic </w:instrText>
      </w:r>
      <w:r w:rsidRPr="003821DA">
        <w:fldChar w:fldCharType="separate"/>
      </w:r>
      <w:r w:rsidRPr="003821DA" w:rsidR="003821DA">
        <w:rPr>
          <w:noProof/>
        </w:rPr>
        <w:t>73</w:t>
      </w:r>
      <w:r w:rsidRPr="003821DA">
        <w:fldChar w:fldCharType="end"/>
      </w:r>
      <w:bookmarkEnd w:id="40"/>
      <w:r w:rsidRPr="003821DA">
        <w:t>.  </w:t>
      </w:r>
      <w:r w:rsidRPr="003821DA" w:rsidR="00166F5B">
        <w:t xml:space="preserve">The Government </w:t>
      </w:r>
      <w:r w:rsidRPr="003821DA" w:rsidR="001C50A0">
        <w:t>went on to argue</w:t>
      </w:r>
      <w:r w:rsidRPr="003821DA" w:rsidR="00166F5B">
        <w:t xml:space="preserve"> that</w:t>
      </w:r>
      <w:r w:rsidRPr="003821DA" w:rsidR="007B1763">
        <w:t>, as the applicable legislation made it clear,</w:t>
      </w:r>
      <w:r w:rsidRPr="003821DA" w:rsidR="00166F5B">
        <w:t xml:space="preserve"> the impugned interference purs</w:t>
      </w:r>
      <w:r w:rsidRPr="003821DA" w:rsidR="007B1763">
        <w:t>ued a number of legitimate aims</w:t>
      </w:r>
      <w:r w:rsidRPr="003821DA" w:rsidR="009C3AE6">
        <w:t>. Firstly,</w:t>
      </w:r>
      <w:r w:rsidRPr="003821DA" w:rsidR="001C50A0">
        <w:t xml:space="preserve"> it aimed</w:t>
      </w:r>
      <w:r w:rsidRPr="003821DA" w:rsidR="006465F4">
        <w:t xml:space="preserve"> to</w:t>
      </w:r>
      <w:r w:rsidRPr="003821DA" w:rsidR="001C50A0">
        <w:t xml:space="preserve"> prevent</w:t>
      </w:r>
      <w:r w:rsidRPr="003821DA" w:rsidR="006465F4">
        <w:t xml:space="preserve"> </w:t>
      </w:r>
      <w:r w:rsidRPr="003821DA" w:rsidR="001C50A0">
        <w:t xml:space="preserve">escapes from </w:t>
      </w:r>
      <w:r w:rsidRPr="003821DA" w:rsidR="00E34B2D">
        <w:t>penal institution</w:t>
      </w:r>
      <w:r w:rsidRPr="003821DA" w:rsidR="001C50A0">
        <w:t xml:space="preserve">s and </w:t>
      </w:r>
      <w:r w:rsidRPr="003821DA" w:rsidR="000F741E">
        <w:t>pre</w:t>
      </w:r>
      <w:r w:rsidRPr="003821DA" w:rsidR="000F741E">
        <w:noBreakHyphen/>
      </w:r>
      <w:r w:rsidRPr="003821DA" w:rsidR="00411CF7">
        <w:t>trial detention</w:t>
      </w:r>
      <w:r w:rsidRPr="003821DA" w:rsidR="001C50A0">
        <w:t xml:space="preserve"> centres. </w:t>
      </w:r>
      <w:r w:rsidRPr="003821DA" w:rsidR="00677607">
        <w:t>In this connection, the</w:t>
      </w:r>
      <w:r w:rsidRPr="003821DA" w:rsidR="00A07A90">
        <w:t>y</w:t>
      </w:r>
      <w:r w:rsidRPr="003821DA" w:rsidR="00677607">
        <w:t xml:space="preserve"> relied on information provided by the Federal Service </w:t>
      </w:r>
      <w:r w:rsidRPr="003821DA" w:rsidR="00A07A90">
        <w:t xml:space="preserve">for the </w:t>
      </w:r>
      <w:r w:rsidRPr="003821DA" w:rsidR="00677607">
        <w:t>Exe</w:t>
      </w:r>
      <w:r w:rsidRPr="003821DA" w:rsidR="006F497B">
        <w:t xml:space="preserve">cution of Sentences </w:t>
      </w:r>
      <w:r w:rsidRPr="003821DA" w:rsidR="00A07A90">
        <w:t xml:space="preserve">stating </w:t>
      </w:r>
      <w:r w:rsidRPr="003821DA" w:rsidR="006F497B">
        <w:t xml:space="preserve">that, prior to </w:t>
      </w:r>
      <w:r w:rsidRPr="003821DA" w:rsidR="00A07A90">
        <w:t xml:space="preserve">the </w:t>
      </w:r>
      <w:r w:rsidRPr="003821DA" w:rsidR="006F497B">
        <w:t xml:space="preserve">installation of CCTV cameras in </w:t>
      </w:r>
      <w:r w:rsidRPr="003821DA" w:rsidR="00E34B2D">
        <w:t>penal institution</w:t>
      </w:r>
      <w:r w:rsidRPr="003821DA" w:rsidR="006F497B">
        <w:t xml:space="preserve">s </w:t>
      </w:r>
      <w:r w:rsidRPr="003821DA" w:rsidR="00411CF7">
        <w:t>in</w:t>
      </w:r>
      <w:r w:rsidRPr="003821DA" w:rsidR="006F497B">
        <w:t xml:space="preserve"> Russia in 2010, there had been ten escapes</w:t>
      </w:r>
      <w:r w:rsidRPr="003821DA" w:rsidR="00A07A90">
        <w:t>,</w:t>
      </w:r>
      <w:r w:rsidRPr="003821DA" w:rsidR="006F497B">
        <w:t xml:space="preserve"> seven </w:t>
      </w:r>
      <w:r w:rsidRPr="003821DA" w:rsidR="00A07A90">
        <w:t xml:space="preserve">of which had been </w:t>
      </w:r>
      <w:r w:rsidRPr="003821DA" w:rsidR="006F497B">
        <w:t xml:space="preserve">from </w:t>
      </w:r>
      <w:r w:rsidRPr="003821DA" w:rsidR="00411CF7">
        <w:t>pre-trial detention</w:t>
      </w:r>
      <w:r w:rsidRPr="003821DA" w:rsidR="006F497B">
        <w:t xml:space="preserve"> centres. In </w:t>
      </w:r>
      <w:proofErr w:type="gramStart"/>
      <w:r w:rsidRPr="003821DA" w:rsidR="006F497B">
        <w:t>2011</w:t>
      </w:r>
      <w:proofErr w:type="gramEnd"/>
      <w:r w:rsidRPr="003821DA" w:rsidR="006F497B">
        <w:t xml:space="preserve"> there had been seven escapes, and in 2013 there had been </w:t>
      </w:r>
      <w:r w:rsidRPr="003821DA" w:rsidR="00A07A90">
        <w:t xml:space="preserve">twenty-seven </w:t>
      </w:r>
      <w:r w:rsidRPr="003821DA" w:rsidR="006F497B">
        <w:t>escapes.</w:t>
      </w:r>
    </w:p>
    <w:bookmarkStart w:name="GvtBuntov" w:id="41"/>
    <w:p w:rsidRPr="003821DA" w:rsidR="00164F64" w:rsidP="003821DA" w:rsidRDefault="003E683B">
      <w:pPr>
        <w:pStyle w:val="ECHRPara"/>
      </w:pPr>
      <w:r w:rsidRPr="003821DA">
        <w:fldChar w:fldCharType="begin"/>
      </w:r>
      <w:r w:rsidRPr="003821DA">
        <w:instrText xml:space="preserve"> SEQ level0 \*arabic </w:instrText>
      </w:r>
      <w:r w:rsidRPr="003821DA">
        <w:fldChar w:fldCharType="separate"/>
      </w:r>
      <w:r w:rsidRPr="003821DA" w:rsidR="003821DA">
        <w:rPr>
          <w:noProof/>
        </w:rPr>
        <w:t>74</w:t>
      </w:r>
      <w:r w:rsidRPr="003821DA">
        <w:fldChar w:fldCharType="end"/>
      </w:r>
      <w:bookmarkEnd w:id="41"/>
      <w:r w:rsidRPr="003821DA">
        <w:t>.  </w:t>
      </w:r>
      <w:r w:rsidRPr="003821DA" w:rsidR="009C3AE6">
        <w:t xml:space="preserve">Secondly, video surveillance </w:t>
      </w:r>
      <w:r w:rsidRPr="003821DA" w:rsidR="00D512A2">
        <w:t xml:space="preserve">of </w:t>
      </w:r>
      <w:r w:rsidRPr="003821DA" w:rsidR="00411CF7">
        <w:t>individuals</w:t>
      </w:r>
      <w:r w:rsidRPr="003821DA" w:rsidR="000F741E">
        <w:t xml:space="preserve"> in pre-trial and post</w:t>
      </w:r>
      <w:r w:rsidRPr="003821DA" w:rsidR="000F741E">
        <w:noBreakHyphen/>
      </w:r>
      <w:r w:rsidRPr="003821DA" w:rsidR="009C3AE6">
        <w:t xml:space="preserve">conviction detention aimed at </w:t>
      </w:r>
      <w:r w:rsidRPr="003821DA" w:rsidR="009A5A98">
        <w:t>preventing crimes that</w:t>
      </w:r>
      <w:r w:rsidRPr="003821DA" w:rsidR="00A07A90">
        <w:t xml:space="preserve"> could</w:t>
      </w:r>
      <w:r w:rsidRPr="003821DA" w:rsidR="009A5A98">
        <w:t xml:space="preserve"> be committed by and </w:t>
      </w:r>
      <w:r w:rsidRPr="003821DA" w:rsidR="00A07A90">
        <w:t>against them</w:t>
      </w:r>
      <w:r w:rsidRPr="003821DA" w:rsidR="009A5A98">
        <w:t xml:space="preserve">. </w:t>
      </w:r>
      <w:r w:rsidRPr="003821DA" w:rsidR="003C7765">
        <w:t>In this connection</w:t>
      </w:r>
      <w:r w:rsidRPr="003821DA" w:rsidR="00A07A90">
        <w:t>,</w:t>
      </w:r>
      <w:r w:rsidRPr="003821DA" w:rsidR="003C7765">
        <w:t xml:space="preserve"> the Government referred to the case of </w:t>
      </w:r>
      <w:proofErr w:type="spellStart"/>
      <w:r w:rsidRPr="003821DA" w:rsidR="00616E0F">
        <w:rPr>
          <w:i/>
        </w:rPr>
        <w:t>Buntov</w:t>
      </w:r>
      <w:proofErr w:type="spellEnd"/>
      <w:r w:rsidRPr="003821DA" w:rsidR="00616E0F">
        <w:rPr>
          <w:i/>
        </w:rPr>
        <w:t xml:space="preserve">, </w:t>
      </w:r>
      <w:r w:rsidRPr="003821DA" w:rsidR="00616E0F">
        <w:t>cited above,</w:t>
      </w:r>
      <w:r w:rsidRPr="003821DA" w:rsidR="003C7765">
        <w:t xml:space="preserve"> in which the applicant had claimed that, for </w:t>
      </w:r>
      <w:r w:rsidRPr="003821DA" w:rsidR="004C702D">
        <w:t>several</w:t>
      </w:r>
      <w:r w:rsidRPr="003821DA" w:rsidR="003C7765">
        <w:t xml:space="preserve"> weeks, he could not take walk</w:t>
      </w:r>
      <w:r w:rsidRPr="003821DA" w:rsidR="00B56510">
        <w:t>s</w:t>
      </w:r>
      <w:r w:rsidRPr="003821DA" w:rsidR="003C7765">
        <w:t xml:space="preserve"> in </w:t>
      </w:r>
      <w:r w:rsidRPr="003821DA" w:rsidR="00B56510">
        <w:t xml:space="preserve">a </w:t>
      </w:r>
      <w:r w:rsidRPr="003821DA" w:rsidR="003C7765">
        <w:t xml:space="preserve">courtyard not equipped with </w:t>
      </w:r>
      <w:r w:rsidRPr="003821DA" w:rsidR="004C702D">
        <w:t xml:space="preserve">CCTV cameras, as he had feared </w:t>
      </w:r>
      <w:proofErr w:type="gramStart"/>
      <w:r w:rsidRPr="003821DA" w:rsidR="00A07A90">
        <w:t xml:space="preserve">being </w:t>
      </w:r>
      <w:r w:rsidRPr="003821DA" w:rsidR="004C702D">
        <w:t>attack</w:t>
      </w:r>
      <w:r w:rsidRPr="003821DA" w:rsidR="00A07A90">
        <w:t>ed</w:t>
      </w:r>
      <w:proofErr w:type="gramEnd"/>
      <w:r w:rsidRPr="003821DA" w:rsidR="004C702D">
        <w:t xml:space="preserve"> by other detainees.</w:t>
      </w:r>
    </w:p>
    <w:bookmarkStart w:name="GvtTrubnikov" w:id="42"/>
    <w:p w:rsidRPr="003821DA" w:rsidR="006C1529" w:rsidP="003821DA" w:rsidRDefault="003E683B">
      <w:pPr>
        <w:pStyle w:val="ECHRPara"/>
      </w:pPr>
      <w:r w:rsidRPr="003821DA">
        <w:fldChar w:fldCharType="begin"/>
      </w:r>
      <w:r w:rsidRPr="003821DA">
        <w:instrText xml:space="preserve"> SEQ level0 \*arabic </w:instrText>
      </w:r>
      <w:r w:rsidRPr="003821DA">
        <w:fldChar w:fldCharType="separate"/>
      </w:r>
      <w:r w:rsidRPr="003821DA" w:rsidR="003821DA">
        <w:rPr>
          <w:noProof/>
        </w:rPr>
        <w:t>75</w:t>
      </w:r>
      <w:r w:rsidRPr="003821DA">
        <w:fldChar w:fldCharType="end"/>
      </w:r>
      <w:bookmarkEnd w:id="42"/>
      <w:r w:rsidRPr="003821DA">
        <w:t>.  </w:t>
      </w:r>
      <w:r w:rsidRPr="003821DA" w:rsidR="004C702D">
        <w:t>The third aim of the interference complained of was</w:t>
      </w:r>
      <w:r w:rsidRPr="003821DA" w:rsidR="00A07A90">
        <w:t xml:space="preserve"> to</w:t>
      </w:r>
      <w:r w:rsidRPr="003821DA" w:rsidR="004C702D">
        <w:t xml:space="preserve"> </w:t>
      </w:r>
      <w:r w:rsidRPr="003821DA" w:rsidR="00411CF7">
        <w:t>monitor</w:t>
      </w:r>
      <w:r w:rsidRPr="003821DA" w:rsidR="004C702D">
        <w:t xml:space="preserve"> the conduct of detainees </w:t>
      </w:r>
      <w:r w:rsidRPr="003821DA" w:rsidR="00411CF7">
        <w:t>as individual</w:t>
      </w:r>
      <w:r w:rsidRPr="003821DA" w:rsidR="004C702D">
        <w:t xml:space="preserve">s under the </w:t>
      </w:r>
      <w:r w:rsidRPr="003821DA" w:rsidR="00EE13EA">
        <w:t>State</w:t>
      </w:r>
      <w:r w:rsidRPr="003821DA" w:rsidR="003821DA">
        <w:t>’</w:t>
      </w:r>
      <w:r w:rsidRPr="003821DA" w:rsidR="00EE13EA">
        <w:t xml:space="preserve">s </w:t>
      </w:r>
      <w:r w:rsidRPr="003821DA" w:rsidR="004C702D">
        <w:t xml:space="preserve">control. The Government referred to the case of </w:t>
      </w:r>
      <w:proofErr w:type="spellStart"/>
      <w:r w:rsidRPr="003821DA" w:rsidR="004C702D">
        <w:rPr>
          <w:i/>
        </w:rPr>
        <w:t>Trubnikov</w:t>
      </w:r>
      <w:proofErr w:type="spellEnd"/>
      <w:r w:rsidRPr="003821DA" w:rsidR="004C702D">
        <w:rPr>
          <w:i/>
        </w:rPr>
        <w:t xml:space="preserve"> v. Russia</w:t>
      </w:r>
      <w:r w:rsidRPr="003821DA" w:rsidR="00411CF7">
        <w:t xml:space="preserve"> (no. 49790/99, 5 </w:t>
      </w:r>
      <w:r w:rsidRPr="003821DA" w:rsidR="004C702D">
        <w:t xml:space="preserve">July 2005), where the applicant had committed suicide whilst in detention. They argued that video surveillance made it possible to </w:t>
      </w:r>
      <w:r w:rsidRPr="003821DA" w:rsidR="00411CF7">
        <w:t>monitor</w:t>
      </w:r>
      <w:r w:rsidRPr="003821DA" w:rsidR="004C702D">
        <w:t xml:space="preserve"> the conduct of a person under the State</w:t>
      </w:r>
      <w:r w:rsidRPr="003821DA" w:rsidR="003821DA">
        <w:t>’</w:t>
      </w:r>
      <w:r w:rsidRPr="003821DA" w:rsidR="004C702D">
        <w:t>s control, and to take necessary measure</w:t>
      </w:r>
      <w:r w:rsidRPr="003821DA" w:rsidR="00A07A90">
        <w:t>s</w:t>
      </w:r>
      <w:r w:rsidRPr="003821DA" w:rsidR="004C702D">
        <w:t xml:space="preserve"> in case of emergency in order to prevent negative consequences. In that connection, the</w:t>
      </w:r>
      <w:r w:rsidRPr="003821DA" w:rsidR="00A07A90">
        <w:t>y</w:t>
      </w:r>
      <w:r w:rsidRPr="003821DA" w:rsidR="004C702D">
        <w:t xml:space="preserve"> also relied on </w:t>
      </w:r>
      <w:r w:rsidRPr="003821DA" w:rsidR="005513E0">
        <w:t xml:space="preserve">Recommendation </w:t>
      </w:r>
      <w:proofErr w:type="gramStart"/>
      <w:r w:rsidRPr="003821DA" w:rsidR="005513E0">
        <w:t>Rec(</w:t>
      </w:r>
      <w:proofErr w:type="gramEnd"/>
      <w:r w:rsidRPr="003821DA" w:rsidR="005513E0">
        <w:t>2003)23 of the Committee of Ministers of the Council of Europe adopted on 9 October 2003 (see paragraph</w:t>
      </w:r>
      <w:r w:rsidRPr="003821DA" w:rsidR="0003169B">
        <w:t xml:space="preserve"> </w:t>
      </w:r>
      <w:r w:rsidRPr="003821DA" w:rsidR="0003169B">
        <w:fldChar w:fldCharType="begin"/>
      </w:r>
      <w:r w:rsidRPr="003821DA" w:rsidR="0003169B">
        <w:instrText xml:space="preserve"> REF Rec200323 \h  \* MERGEFORMAT </w:instrText>
      </w:r>
      <w:r w:rsidRPr="003821DA" w:rsidR="0003169B">
        <w:fldChar w:fldCharType="separate"/>
      </w:r>
      <w:r w:rsidRPr="003821DA" w:rsidR="003821DA">
        <w:rPr>
          <w:noProof/>
        </w:rPr>
        <w:t>56</w:t>
      </w:r>
      <w:r w:rsidRPr="003821DA" w:rsidR="0003169B">
        <w:fldChar w:fldCharType="end"/>
      </w:r>
      <w:r w:rsidRPr="003821DA" w:rsidR="005513E0">
        <w:t xml:space="preserve"> above), which listed CCTV cameras </w:t>
      </w:r>
      <w:r w:rsidRPr="003821DA" w:rsidR="00A07A90">
        <w:t xml:space="preserve">as </w:t>
      </w:r>
      <w:r w:rsidRPr="003821DA" w:rsidR="00B56510">
        <w:t>an</w:t>
      </w:r>
      <w:r w:rsidRPr="003821DA" w:rsidR="00A07A90">
        <w:t xml:space="preserve"> </w:t>
      </w:r>
      <w:r w:rsidRPr="003821DA" w:rsidR="005513E0">
        <w:t xml:space="preserve">additional </w:t>
      </w:r>
      <w:r w:rsidRPr="003821DA" w:rsidR="00B56510">
        <w:t xml:space="preserve">security </w:t>
      </w:r>
      <w:r w:rsidRPr="003821DA" w:rsidR="005513E0">
        <w:t>meas</w:t>
      </w:r>
      <w:r w:rsidRPr="003821DA" w:rsidR="00B71826">
        <w:t>ure.</w:t>
      </w:r>
    </w:p>
    <w:bookmarkStart w:name="GvtStandardPracticeFemales" w:id="43"/>
    <w:p w:rsidRPr="003821DA" w:rsidR="00164F64" w:rsidP="003821DA" w:rsidRDefault="004C702D">
      <w:pPr>
        <w:pStyle w:val="ECHRPara"/>
      </w:pPr>
      <w:r w:rsidRPr="003821DA">
        <w:fldChar w:fldCharType="begin"/>
      </w:r>
      <w:r w:rsidRPr="003821DA">
        <w:instrText xml:space="preserve"> SEQ level0 \*arabic </w:instrText>
      </w:r>
      <w:r w:rsidRPr="003821DA">
        <w:fldChar w:fldCharType="separate"/>
      </w:r>
      <w:r w:rsidRPr="003821DA" w:rsidR="003821DA">
        <w:rPr>
          <w:noProof/>
        </w:rPr>
        <w:t>76</w:t>
      </w:r>
      <w:r w:rsidRPr="003821DA">
        <w:fldChar w:fldCharType="end"/>
      </w:r>
      <w:bookmarkEnd w:id="43"/>
      <w:r w:rsidRPr="003821DA">
        <w:t>.  </w:t>
      </w:r>
      <w:r w:rsidRPr="003821DA" w:rsidR="00B71826">
        <w:t xml:space="preserve">The Government further acknowledged that, at times, </w:t>
      </w:r>
      <w:proofErr w:type="gramStart"/>
      <w:r w:rsidRPr="003821DA" w:rsidR="00B71826">
        <w:t>video surveillance of the applicants</w:t>
      </w:r>
      <w:r w:rsidRPr="003821DA" w:rsidR="003821DA">
        <w:t>’</w:t>
      </w:r>
      <w:r w:rsidRPr="003821DA" w:rsidR="00B71826">
        <w:t xml:space="preserve"> cells had been performed by female operators of CCTV cameras</w:t>
      </w:r>
      <w:proofErr w:type="gramEnd"/>
      <w:r w:rsidRPr="003821DA" w:rsidR="00B71826">
        <w:t>. They argued that this had been standard practice</w:t>
      </w:r>
      <w:r w:rsidRPr="003821DA" w:rsidR="002809DC">
        <w:t xml:space="preserve"> </w:t>
      </w:r>
      <w:r w:rsidRPr="003821DA" w:rsidR="00EB3C52">
        <w:t xml:space="preserve">compatible with the requirements of Article 8 of the Convention. </w:t>
      </w:r>
      <w:r w:rsidRPr="003821DA" w:rsidR="008B6143">
        <w:t>In this connection, t</w:t>
      </w:r>
      <w:r w:rsidRPr="003821DA" w:rsidR="00EB3C52">
        <w:t>hey pointed out that</w:t>
      </w:r>
      <w:r w:rsidRPr="003821DA" w:rsidR="00B8190C">
        <w:t>,</w:t>
      </w:r>
      <w:r w:rsidRPr="003821DA" w:rsidR="00184503">
        <w:t xml:space="preserve"> under</w:t>
      </w:r>
      <w:r w:rsidRPr="003821DA" w:rsidR="00A07A90">
        <w:t xml:space="preserve"> the</w:t>
      </w:r>
      <w:r w:rsidRPr="003821DA" w:rsidR="00184503">
        <w:t xml:space="preserve"> relevant regulations regarding</w:t>
      </w:r>
      <w:r w:rsidRPr="003821DA" w:rsidR="00A07A90">
        <w:t xml:space="preserve"> the</w:t>
      </w:r>
      <w:r w:rsidRPr="003821DA" w:rsidR="00184503">
        <w:t xml:space="preserve"> recruitment </w:t>
      </w:r>
      <w:r w:rsidRPr="003821DA" w:rsidR="008B6143">
        <w:t xml:space="preserve">of </w:t>
      </w:r>
      <w:r w:rsidRPr="003821DA" w:rsidR="00A07A90">
        <w:t xml:space="preserve">staff </w:t>
      </w:r>
      <w:r w:rsidRPr="003821DA" w:rsidR="008B6143">
        <w:t xml:space="preserve">of </w:t>
      </w:r>
      <w:r w:rsidRPr="003821DA" w:rsidR="00184503">
        <w:t xml:space="preserve">law-enforcement agencies, any Russian national, irrespective of, among other things, his or her </w:t>
      </w:r>
      <w:r w:rsidRPr="003821DA" w:rsidR="00A07A90">
        <w:t>gender</w:t>
      </w:r>
      <w:r w:rsidRPr="003821DA" w:rsidR="00184503">
        <w:t xml:space="preserve">, </w:t>
      </w:r>
      <w:proofErr w:type="gramStart"/>
      <w:r w:rsidRPr="003821DA" w:rsidR="00184503">
        <w:t>who</w:t>
      </w:r>
      <w:proofErr w:type="gramEnd"/>
      <w:r w:rsidRPr="003821DA" w:rsidR="00184503">
        <w:t xml:space="preserve"> met</w:t>
      </w:r>
      <w:r w:rsidRPr="003821DA" w:rsidR="00A07A90">
        <w:t xml:space="preserve"> </w:t>
      </w:r>
      <w:r w:rsidRPr="003821DA" w:rsidR="00184503">
        <w:t xml:space="preserve">specific requirements and was capable of performing the relevant professional duties, </w:t>
      </w:r>
      <w:r w:rsidRPr="003821DA" w:rsidR="003A7A3E">
        <w:t xml:space="preserve">could </w:t>
      </w:r>
      <w:r w:rsidRPr="003821DA" w:rsidR="00184503">
        <w:t xml:space="preserve">be employed </w:t>
      </w:r>
      <w:r w:rsidRPr="003821DA" w:rsidR="00EB3C52">
        <w:t>as an officer of such agencies.</w:t>
      </w:r>
    </w:p>
    <w:bookmarkStart w:name="GvtToilettesPrivacy" w:id="44"/>
    <w:p w:rsidRPr="003821DA" w:rsidR="00164F64" w:rsidP="003821DA" w:rsidRDefault="00EB3C52">
      <w:pPr>
        <w:pStyle w:val="ECHRPara"/>
      </w:pPr>
      <w:r w:rsidRPr="003821DA">
        <w:fldChar w:fldCharType="begin"/>
      </w:r>
      <w:r w:rsidRPr="003821DA">
        <w:instrText xml:space="preserve"> SEQ level0 \*arabic </w:instrText>
      </w:r>
      <w:r w:rsidRPr="003821DA">
        <w:fldChar w:fldCharType="separate"/>
      </w:r>
      <w:r w:rsidRPr="003821DA" w:rsidR="003821DA">
        <w:rPr>
          <w:noProof/>
        </w:rPr>
        <w:t>77</w:t>
      </w:r>
      <w:r w:rsidRPr="003821DA">
        <w:fldChar w:fldCharType="end"/>
      </w:r>
      <w:bookmarkEnd w:id="44"/>
      <w:r w:rsidRPr="003821DA">
        <w:t xml:space="preserve">.  They </w:t>
      </w:r>
      <w:r w:rsidRPr="003821DA" w:rsidR="00D20B66">
        <w:t>also</w:t>
      </w:r>
      <w:r w:rsidRPr="003821DA" w:rsidR="00D44BA9">
        <w:t xml:space="preserve"> generally </w:t>
      </w:r>
      <w:r w:rsidRPr="003821DA" w:rsidR="00D20B66">
        <w:t xml:space="preserve">argued that </w:t>
      </w:r>
      <w:r w:rsidRPr="003821DA" w:rsidR="00636FB1">
        <w:t>the sanitary facilities in the applicants</w:t>
      </w:r>
      <w:r w:rsidRPr="003821DA" w:rsidR="003821DA">
        <w:t>’</w:t>
      </w:r>
      <w:r w:rsidRPr="003821DA" w:rsidR="00636FB1">
        <w:t xml:space="preserve"> cells </w:t>
      </w:r>
      <w:proofErr w:type="gramStart"/>
      <w:r w:rsidRPr="003821DA" w:rsidR="00636FB1">
        <w:t>had been separated</w:t>
      </w:r>
      <w:proofErr w:type="gramEnd"/>
      <w:r w:rsidRPr="003821DA" w:rsidR="00636FB1">
        <w:t xml:space="preserve"> by partitions and</w:t>
      </w:r>
      <w:r w:rsidRPr="003821DA" w:rsidR="00500D77">
        <w:t xml:space="preserve"> had</w:t>
      </w:r>
      <w:r w:rsidRPr="003821DA" w:rsidR="00636FB1">
        <w:t xml:space="preserve"> offered privacy, </w:t>
      </w:r>
      <w:r w:rsidRPr="003821DA" w:rsidR="00500D77">
        <w:t xml:space="preserve">as they had been </w:t>
      </w:r>
      <w:r w:rsidRPr="003821DA" w:rsidR="00B56510">
        <w:t xml:space="preserve">shielded </w:t>
      </w:r>
      <w:r w:rsidRPr="003821DA" w:rsidR="00636FB1">
        <w:t xml:space="preserve">from the view of </w:t>
      </w:r>
      <w:r w:rsidRPr="003821DA" w:rsidR="00500D77">
        <w:t xml:space="preserve">the </w:t>
      </w:r>
      <w:r w:rsidRPr="003821DA" w:rsidR="00636FB1">
        <w:t xml:space="preserve">CCTV cameras. </w:t>
      </w:r>
      <w:r w:rsidRPr="003821DA" w:rsidR="00D44BA9">
        <w:t>They submitted that</w:t>
      </w:r>
      <w:r w:rsidRPr="003821DA" w:rsidR="00636FB1">
        <w:t xml:space="preserve"> the partitions in the first applicant</w:t>
      </w:r>
      <w:r w:rsidRPr="003821DA" w:rsidR="003821DA">
        <w:t>’</w:t>
      </w:r>
      <w:r w:rsidRPr="003821DA" w:rsidR="00636FB1">
        <w:t>s cells</w:t>
      </w:r>
      <w:r w:rsidRPr="003821DA" w:rsidR="00D44BA9">
        <w:t xml:space="preserve"> had been</w:t>
      </w:r>
      <w:r w:rsidRPr="003821DA" w:rsidR="00636FB1">
        <w:t xml:space="preserve"> 1.7 m high and had </w:t>
      </w:r>
      <w:r w:rsidRPr="003821DA" w:rsidR="00D44BA9">
        <w:t xml:space="preserve">had </w:t>
      </w:r>
      <w:r w:rsidRPr="003821DA" w:rsidR="00636FB1">
        <w:t>wooden doors</w:t>
      </w:r>
      <w:r w:rsidRPr="003821DA" w:rsidR="000F15B2">
        <w:t>,</w:t>
      </w:r>
      <w:r w:rsidRPr="003821DA" w:rsidR="00D44BA9">
        <w:t xml:space="preserve"> but</w:t>
      </w:r>
      <w:r w:rsidRPr="003821DA" w:rsidR="00636FB1">
        <w:t xml:space="preserve"> did not provide any</w:t>
      </w:r>
      <w:r w:rsidRPr="003821DA" w:rsidR="00D44BA9">
        <w:t xml:space="preserve"> additional </w:t>
      </w:r>
      <w:r w:rsidRPr="003821DA" w:rsidR="00636FB1">
        <w:t>details regarding the second and third applicants</w:t>
      </w:r>
      <w:r w:rsidRPr="003821DA" w:rsidR="003821DA">
        <w:t>’</w:t>
      </w:r>
      <w:r w:rsidRPr="003821DA" w:rsidR="00636FB1">
        <w:t xml:space="preserve"> cells.</w:t>
      </w:r>
    </w:p>
    <w:p w:rsidRPr="003821DA" w:rsidR="00184503" w:rsidP="003821DA" w:rsidRDefault="008B6143">
      <w:pPr>
        <w:pStyle w:val="ECHRPara"/>
      </w:pPr>
      <w:r w:rsidRPr="003821DA">
        <w:fldChar w:fldCharType="begin"/>
      </w:r>
      <w:r w:rsidRPr="003821DA">
        <w:instrText xml:space="preserve"> SEQ level0 \*arabic </w:instrText>
      </w:r>
      <w:r w:rsidRPr="003821DA">
        <w:fldChar w:fldCharType="separate"/>
      </w:r>
      <w:r w:rsidRPr="003821DA" w:rsidR="003821DA">
        <w:rPr>
          <w:noProof/>
        </w:rPr>
        <w:t>78</w:t>
      </w:r>
      <w:r w:rsidRPr="003821DA">
        <w:fldChar w:fldCharType="end"/>
      </w:r>
      <w:r w:rsidRPr="003821DA">
        <w:t>.  </w:t>
      </w:r>
      <w:r w:rsidRPr="003821DA" w:rsidR="00636FB1">
        <w:t>The Government also argued, in so far as the first applicant</w:t>
      </w:r>
      <w:r w:rsidRPr="003821DA" w:rsidR="003821DA">
        <w:t>’</w:t>
      </w:r>
      <w:r w:rsidRPr="003821DA" w:rsidR="00636FB1">
        <w:t xml:space="preserve">s detention in </w:t>
      </w:r>
      <w:r w:rsidRPr="003821DA" w:rsidR="00082AE1">
        <w:t xml:space="preserve">prison </w:t>
      </w:r>
      <w:r w:rsidRPr="003821DA" w:rsidR="00636FB1">
        <w:t>UP-288/T was concerned, that the record</w:t>
      </w:r>
      <w:r w:rsidRPr="003821DA" w:rsidR="00F424A0">
        <w:t>ing</w:t>
      </w:r>
      <w:r w:rsidRPr="003821DA" w:rsidR="00636FB1">
        <w:t>s made by</w:t>
      </w:r>
      <w:r w:rsidRPr="003821DA" w:rsidR="000F15B2">
        <w:t xml:space="preserve"> the</w:t>
      </w:r>
      <w:r w:rsidRPr="003821DA" w:rsidR="00636FB1">
        <w:t xml:space="preserve"> CCTV cameras had only been accessible to a restricted circle of officers of that </w:t>
      </w:r>
      <w:r w:rsidRPr="003821DA" w:rsidR="00C47825">
        <w:t xml:space="preserve">institution </w:t>
      </w:r>
      <w:r w:rsidRPr="003821DA" w:rsidR="00636FB1">
        <w:t xml:space="preserve">(irrespective of </w:t>
      </w:r>
      <w:r w:rsidRPr="003821DA" w:rsidR="000F15B2">
        <w:t>gender</w:t>
      </w:r>
      <w:r w:rsidRPr="003821DA" w:rsidR="00636FB1">
        <w:t xml:space="preserve">), and only </w:t>
      </w:r>
      <w:r w:rsidRPr="003821DA" w:rsidR="000F15B2">
        <w:t xml:space="preserve">during </w:t>
      </w:r>
      <w:r w:rsidRPr="003821DA" w:rsidR="00636FB1">
        <w:t>the performance of their professional duties. The record</w:t>
      </w:r>
      <w:r w:rsidRPr="003821DA" w:rsidR="00F424A0">
        <w:t>ing</w:t>
      </w:r>
      <w:r w:rsidRPr="003821DA" w:rsidR="00636FB1">
        <w:t xml:space="preserve">s </w:t>
      </w:r>
      <w:proofErr w:type="gramStart"/>
      <w:r w:rsidRPr="003821DA" w:rsidR="00636FB1">
        <w:t>had never been made available to the public or used for any public purposes</w:t>
      </w:r>
      <w:proofErr w:type="gramEnd"/>
      <w:r w:rsidRPr="003821DA" w:rsidR="00636FB1">
        <w:t>.</w:t>
      </w:r>
    </w:p>
    <w:bookmarkStart w:name="GvtVanDerGraaf" w:id="45"/>
    <w:p w:rsidRPr="003821DA" w:rsidR="003247DD" w:rsidP="003821DA" w:rsidRDefault="0059209F">
      <w:pPr>
        <w:pStyle w:val="ECHRPara"/>
      </w:pPr>
      <w:r w:rsidRPr="003821DA">
        <w:fldChar w:fldCharType="begin"/>
      </w:r>
      <w:r w:rsidRPr="003821DA">
        <w:instrText xml:space="preserve"> SEQ level0 \*arabic </w:instrText>
      </w:r>
      <w:r w:rsidRPr="003821DA">
        <w:fldChar w:fldCharType="separate"/>
      </w:r>
      <w:r w:rsidRPr="003821DA" w:rsidR="003821DA">
        <w:rPr>
          <w:noProof/>
        </w:rPr>
        <w:t>79</w:t>
      </w:r>
      <w:r w:rsidRPr="003821DA">
        <w:fldChar w:fldCharType="end"/>
      </w:r>
      <w:bookmarkEnd w:id="45"/>
      <w:r w:rsidRPr="003821DA">
        <w:t>.  </w:t>
      </w:r>
      <w:proofErr w:type="gramStart"/>
      <w:r w:rsidRPr="003821DA">
        <w:t xml:space="preserve">Lastly, </w:t>
      </w:r>
      <w:r w:rsidRPr="003821DA" w:rsidR="00A4744A">
        <w:t xml:space="preserve">the Government </w:t>
      </w:r>
      <w:r w:rsidRPr="003821DA" w:rsidR="00D01D22">
        <w:t xml:space="preserve">referred to the case of </w:t>
      </w:r>
      <w:r w:rsidRPr="003821DA" w:rsidR="000F741E">
        <w:rPr>
          <w:i/>
        </w:rPr>
        <w:t xml:space="preserve">Van der </w:t>
      </w:r>
      <w:proofErr w:type="spellStart"/>
      <w:r w:rsidRPr="003821DA" w:rsidR="000F741E">
        <w:rPr>
          <w:i/>
        </w:rPr>
        <w:t>Graaf</w:t>
      </w:r>
      <w:proofErr w:type="spellEnd"/>
      <w:r w:rsidRPr="003821DA" w:rsidR="000F741E">
        <w:rPr>
          <w:i/>
        </w:rPr>
        <w:t xml:space="preserve"> v. the </w:t>
      </w:r>
      <w:r w:rsidRPr="003821DA" w:rsidR="00D01D22">
        <w:rPr>
          <w:i/>
        </w:rPr>
        <w:t>Netherlands</w:t>
      </w:r>
      <w:r w:rsidRPr="003821DA" w:rsidR="00D01D22">
        <w:t xml:space="preserve"> ((</w:t>
      </w:r>
      <w:proofErr w:type="spellStart"/>
      <w:r w:rsidRPr="003821DA" w:rsidR="00D01D22">
        <w:t>dec.</w:t>
      </w:r>
      <w:proofErr w:type="spellEnd"/>
      <w:r w:rsidRPr="003821DA" w:rsidR="00D01D22">
        <w:t xml:space="preserve">), no. 8704/03, 1 June 2004) </w:t>
      </w:r>
      <w:r w:rsidRPr="003821DA" w:rsidR="008F1225">
        <w:t>in which the Court had accepted that permanent video surveillance o</w:t>
      </w:r>
      <w:r w:rsidRPr="003821DA" w:rsidR="000F15B2">
        <w:t>f</w:t>
      </w:r>
      <w:r w:rsidRPr="003821DA" w:rsidR="008F1225">
        <w:t xml:space="preserve"> the applicant in his cell for a period of approximately four months had constituted a serious interference with his right to respect for his private life, but had found that t</w:t>
      </w:r>
      <w:r w:rsidRPr="003821DA" w:rsidR="000F15B2">
        <w:t>he</w:t>
      </w:r>
      <w:r w:rsidRPr="003821DA" w:rsidR="008F1225">
        <w:t xml:space="preserve"> measure had been justified, as it had had </w:t>
      </w:r>
      <w:r w:rsidRPr="003821DA" w:rsidR="00BB1F1A">
        <w:t xml:space="preserve">a </w:t>
      </w:r>
      <w:r w:rsidRPr="003821DA" w:rsidR="008F1225">
        <w:t>basis in national law, had pursued the aims of preventing the applicant</w:t>
      </w:r>
      <w:r w:rsidRPr="003821DA" w:rsidR="00232FBC">
        <w:t xml:space="preserve"> from</w:t>
      </w:r>
      <w:r w:rsidRPr="003821DA" w:rsidR="008F1225">
        <w:t xml:space="preserve"> escap</w:t>
      </w:r>
      <w:r w:rsidRPr="003821DA" w:rsidR="000F15B2">
        <w:t>ing</w:t>
      </w:r>
      <w:r w:rsidRPr="003821DA" w:rsidR="008F1225">
        <w:t xml:space="preserve"> from detention or inflicting </w:t>
      </w:r>
      <w:r w:rsidRPr="003821DA" w:rsidR="00970A8F">
        <w:t>harm to</w:t>
      </w:r>
      <w:r w:rsidRPr="003821DA" w:rsidR="008F1225">
        <w:t xml:space="preserve"> his health, and had thus been necessary in </w:t>
      </w:r>
      <w:r w:rsidRPr="003821DA" w:rsidR="000F15B2">
        <w:t xml:space="preserve">a </w:t>
      </w:r>
      <w:r w:rsidRPr="003821DA" w:rsidR="008F1225">
        <w:t>democratic society in the interests of public safety and for the prevention of disorder or crime.</w:t>
      </w:r>
      <w:proofErr w:type="gramEnd"/>
    </w:p>
    <w:p w:rsidRPr="003821DA" w:rsidR="00014566" w:rsidP="003821DA" w:rsidRDefault="00014566">
      <w:pPr>
        <w:pStyle w:val="ECHRHeading2"/>
      </w:pPr>
      <w:r w:rsidRPr="003821DA">
        <w:t>B.  </w:t>
      </w:r>
      <w:r w:rsidRPr="003821DA" w:rsidR="00621E6E">
        <w:t>The Court</w:t>
      </w:r>
      <w:r w:rsidRPr="003821DA" w:rsidR="003821DA">
        <w:t>’</w:t>
      </w:r>
      <w:r w:rsidRPr="003821DA" w:rsidR="00621E6E">
        <w:t>s assessment</w:t>
      </w:r>
    </w:p>
    <w:p w:rsidRPr="003821DA" w:rsidR="00A95A03" w:rsidP="003821DA" w:rsidRDefault="00A95A03">
      <w:pPr>
        <w:pStyle w:val="ECHRHeading3"/>
      </w:pPr>
      <w:r w:rsidRPr="003821DA">
        <w:t>1.  </w:t>
      </w:r>
      <w:r w:rsidRPr="003821DA" w:rsidR="00621E6E">
        <w:t>Admissibility</w:t>
      </w:r>
    </w:p>
    <w:p w:rsidRPr="003821DA" w:rsidR="00164F64" w:rsidP="003821DA" w:rsidRDefault="00650873">
      <w:pPr>
        <w:pStyle w:val="ECHRPara"/>
      </w:pPr>
      <w:r w:rsidRPr="003821DA">
        <w:fldChar w:fldCharType="begin"/>
      </w:r>
      <w:r w:rsidRPr="003821DA">
        <w:instrText xml:space="preserve"> SEQ level0 \*arabic </w:instrText>
      </w:r>
      <w:r w:rsidRPr="003821DA">
        <w:fldChar w:fldCharType="separate"/>
      </w:r>
      <w:r w:rsidRPr="003821DA" w:rsidR="003821DA">
        <w:rPr>
          <w:noProof/>
        </w:rPr>
        <w:t>80</w:t>
      </w:r>
      <w:r w:rsidRPr="003821DA">
        <w:fldChar w:fldCharType="end"/>
      </w:r>
      <w:r w:rsidRPr="003821DA">
        <w:t>.  </w:t>
      </w:r>
      <w:r w:rsidRPr="003821DA" w:rsidR="00621E6E">
        <w:t xml:space="preserve">The Court notes that this complaint is not manifestly </w:t>
      </w:r>
      <w:proofErr w:type="gramStart"/>
      <w:r w:rsidRPr="003821DA" w:rsidR="00621E6E">
        <w:t>ill-founded</w:t>
      </w:r>
      <w:proofErr w:type="gramEnd"/>
      <w:r w:rsidRPr="003821DA" w:rsidR="00621E6E">
        <w:t xml:space="preserve"> within the meaning of Article 35 § 3 (a) of the Convention. It further notes that it is </w:t>
      </w:r>
      <w:proofErr w:type="gramStart"/>
      <w:r w:rsidRPr="003821DA" w:rsidR="00621E6E">
        <w:t>not inadmissible</w:t>
      </w:r>
      <w:proofErr w:type="gramEnd"/>
      <w:r w:rsidRPr="003821DA" w:rsidR="00621E6E">
        <w:t xml:space="preserve"> on any other grounds. It </w:t>
      </w:r>
      <w:proofErr w:type="gramStart"/>
      <w:r w:rsidRPr="003821DA" w:rsidR="00621E6E">
        <w:t>must therefore be declared</w:t>
      </w:r>
      <w:proofErr w:type="gramEnd"/>
      <w:r w:rsidRPr="003821DA" w:rsidR="00621E6E">
        <w:t xml:space="preserve"> admissible.</w:t>
      </w:r>
    </w:p>
    <w:p w:rsidRPr="003821DA" w:rsidR="00A95A03" w:rsidP="003821DA" w:rsidRDefault="00A95A03">
      <w:pPr>
        <w:pStyle w:val="ECHRHeading3"/>
      </w:pPr>
      <w:r w:rsidRPr="003821DA">
        <w:t>2.  </w:t>
      </w:r>
      <w:r w:rsidRPr="003821DA" w:rsidR="00621E6E">
        <w:t>Merits</w:t>
      </w:r>
    </w:p>
    <w:p w:rsidRPr="003821DA" w:rsidR="00FA4D39" w:rsidP="003821DA" w:rsidRDefault="00FA4D39">
      <w:pPr>
        <w:pStyle w:val="ECHRHeading4"/>
      </w:pPr>
      <w:r w:rsidRPr="003821DA">
        <w:t>(a)  General principles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81</w:t>
      </w:r>
      <w:r w:rsidRPr="003821DA">
        <w:fldChar w:fldCharType="end"/>
      </w:r>
      <w:r w:rsidRPr="003821DA" w:rsidR="00014566">
        <w:t>.  </w:t>
      </w:r>
      <w:proofErr w:type="gramStart"/>
      <w:r w:rsidRPr="003821DA" w:rsidR="00730EFF">
        <w:t>At the outset, t</w:t>
      </w:r>
      <w:r w:rsidRPr="003821DA" w:rsidR="00D264C9">
        <w:t>he Court reiterates</w:t>
      </w:r>
      <w:r w:rsidRPr="003821DA" w:rsidR="00CC6D76">
        <w:rPr>
          <w:snapToGrid w:val="0"/>
        </w:rPr>
        <w:t xml:space="preserve"> </w:t>
      </w:r>
      <w:r w:rsidRPr="003821DA" w:rsidR="00730EFF">
        <w:rPr>
          <w:snapToGrid w:val="0"/>
        </w:rPr>
        <w:t>its cons</w:t>
      </w:r>
      <w:r w:rsidRPr="003821DA" w:rsidR="00232FBC">
        <w:rPr>
          <w:snapToGrid w:val="0"/>
        </w:rPr>
        <w:t>isten</w:t>
      </w:r>
      <w:r w:rsidRPr="003821DA" w:rsidR="00730EFF">
        <w:rPr>
          <w:snapToGrid w:val="0"/>
        </w:rPr>
        <w:t>t case-law</w:t>
      </w:r>
      <w:r w:rsidRPr="003821DA" w:rsidR="00325DB5">
        <w:rPr>
          <w:snapToGrid w:val="0"/>
        </w:rPr>
        <w:t xml:space="preserve"> </w:t>
      </w:r>
      <w:r w:rsidRPr="003821DA" w:rsidR="00CC6D76">
        <w:rPr>
          <w:snapToGrid w:val="0"/>
        </w:rPr>
        <w:t>that</w:t>
      </w:r>
      <w:r w:rsidRPr="003821DA" w:rsidR="00730EFF">
        <w:rPr>
          <w:snapToGrid w:val="0"/>
        </w:rPr>
        <w:t xml:space="preserve"> prisoners in general continue to enjoy all the fundamental rights and freedoms guaranteed under the Convention save for the right to liberty, where lawfully imposed detention expressly falls within the scope of Article 5 of the Convention (see </w:t>
      </w:r>
      <w:proofErr w:type="spellStart"/>
      <w:r w:rsidRPr="003821DA" w:rsidR="00730EFF">
        <w:rPr>
          <w:i/>
        </w:rPr>
        <w:t>Hirst</w:t>
      </w:r>
      <w:proofErr w:type="spellEnd"/>
      <w:r w:rsidRPr="003821DA" w:rsidR="00730EFF">
        <w:rPr>
          <w:i/>
        </w:rPr>
        <w:t xml:space="preserve"> v. the United Kingdom (no. 2)</w:t>
      </w:r>
      <w:r w:rsidRPr="003821DA" w:rsidR="000F741E">
        <w:t xml:space="preserve"> [GC], no. </w:t>
      </w:r>
      <w:r w:rsidRPr="003821DA" w:rsidR="00730EFF">
        <w:t>74025/01, § 69, ECHR 2005</w:t>
      </w:r>
      <w:r w:rsidRPr="003821DA" w:rsidR="00730EFF">
        <w:noBreakHyphen/>
        <w:t>IX).</w:t>
      </w:r>
      <w:proofErr w:type="gramEnd"/>
      <w:r w:rsidRPr="003821DA" w:rsidR="00730EFF">
        <w:t xml:space="preserve"> </w:t>
      </w:r>
      <w:proofErr w:type="gramStart"/>
      <w:r w:rsidRPr="003821DA" w:rsidR="002007BA">
        <w:t>Whilst</w:t>
      </w:r>
      <w:r w:rsidRPr="003821DA" w:rsidR="005B6B9F">
        <w:t xml:space="preserve"> detention, like any other measure depriving a person of his or her liberty, entails </w:t>
      </w:r>
      <w:r w:rsidRPr="003821DA" w:rsidR="00730EFF">
        <w:rPr>
          <w:snapToGrid w:val="0"/>
        </w:rPr>
        <w:t xml:space="preserve">various limitations of his </w:t>
      </w:r>
      <w:r w:rsidRPr="003821DA" w:rsidR="0072634B">
        <w:rPr>
          <w:snapToGrid w:val="0"/>
        </w:rPr>
        <w:t xml:space="preserve">or her </w:t>
      </w:r>
      <w:r w:rsidRPr="003821DA" w:rsidR="00730EFF">
        <w:rPr>
          <w:snapToGrid w:val="0"/>
        </w:rPr>
        <w:t xml:space="preserve">rights and freedoms, </w:t>
      </w:r>
      <w:r w:rsidRPr="003821DA" w:rsidR="002007BA">
        <w:rPr>
          <w:snapToGrid w:val="0"/>
        </w:rPr>
        <w:t>that person</w:t>
      </w:r>
      <w:r w:rsidRPr="003821DA" w:rsidR="00730EFF">
        <w:rPr>
          <w:snapToGrid w:val="0"/>
        </w:rPr>
        <w:t xml:space="preserve"> </w:t>
      </w:r>
      <w:r w:rsidRPr="003821DA" w:rsidR="00FA7F3A">
        <w:rPr>
          <w:snapToGrid w:val="0"/>
        </w:rPr>
        <w:t>does not forfeit his or her Convention rights</w:t>
      </w:r>
      <w:r w:rsidRPr="003821DA" w:rsidR="0064187F">
        <w:rPr>
          <w:snapToGrid w:val="0"/>
        </w:rPr>
        <w:t xml:space="preserve"> merely because of his or her status as a detainee</w:t>
      </w:r>
      <w:r w:rsidRPr="003821DA" w:rsidR="0072634B">
        <w:rPr>
          <w:snapToGrid w:val="0"/>
        </w:rPr>
        <w:t xml:space="preserve">, including the rights </w:t>
      </w:r>
      <w:r w:rsidRPr="003821DA" w:rsidR="008819F5">
        <w:rPr>
          <w:snapToGrid w:val="0"/>
        </w:rPr>
        <w:t xml:space="preserve">guaranteed </w:t>
      </w:r>
      <w:r w:rsidRPr="003821DA" w:rsidR="0072634B">
        <w:rPr>
          <w:snapToGrid w:val="0"/>
        </w:rPr>
        <w:t>by Article 8 of the Convention</w:t>
      </w:r>
      <w:r w:rsidRPr="003821DA" w:rsidR="005B6B9F">
        <w:rPr>
          <w:snapToGrid w:val="0"/>
        </w:rPr>
        <w:t>, so that restrictions on those rights must be justified in each case</w:t>
      </w:r>
      <w:r w:rsidRPr="003821DA" w:rsidR="0072634B">
        <w:rPr>
          <w:snapToGrid w:val="0"/>
        </w:rPr>
        <w:t xml:space="preserve"> (see </w:t>
      </w:r>
      <w:proofErr w:type="spellStart"/>
      <w:r w:rsidRPr="003821DA" w:rsidR="0072634B">
        <w:rPr>
          <w:i/>
        </w:rPr>
        <w:t>Khoroshenko</w:t>
      </w:r>
      <w:proofErr w:type="spellEnd"/>
      <w:r w:rsidRPr="003821DA" w:rsidR="0072634B">
        <w:rPr>
          <w:i/>
        </w:rPr>
        <w:t xml:space="preserve"> v. Russia </w:t>
      </w:r>
      <w:r w:rsidRPr="003821DA" w:rsidR="0072634B">
        <w:t>[GC]</w:t>
      </w:r>
      <w:r w:rsidRPr="003821DA" w:rsidR="0072634B">
        <w:rPr>
          <w:snapToGrid w:val="0"/>
        </w:rPr>
        <w:t>, no.</w:t>
      </w:r>
      <w:r w:rsidRPr="003821DA" w:rsidR="0072634B">
        <w:t xml:space="preserve"> 41418/04, §§ 106 and 116-17, ECHR 2015, and the authorities cited therein).</w:t>
      </w:r>
      <w:proofErr w:type="gramEnd"/>
    </w:p>
    <w:p w:rsidRPr="003821DA" w:rsidR="00650873" w:rsidP="003821DA" w:rsidRDefault="00FA7F3A">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82</w:t>
      </w:r>
      <w:r w:rsidRPr="003821DA">
        <w:rPr>
          <w:snapToGrid w:val="0"/>
        </w:rPr>
        <w:fldChar w:fldCharType="end"/>
      </w:r>
      <w:r w:rsidRPr="003821DA">
        <w:rPr>
          <w:snapToGrid w:val="0"/>
        </w:rPr>
        <w:t>.  </w:t>
      </w:r>
      <w:proofErr w:type="gramStart"/>
      <w:r w:rsidRPr="003821DA" w:rsidR="00B401B6">
        <w:rPr>
          <w:snapToGrid w:val="0"/>
        </w:rPr>
        <w:t xml:space="preserve">In the context of </w:t>
      </w:r>
      <w:r w:rsidRPr="003821DA" w:rsidR="008727F7">
        <w:rPr>
          <w:snapToGrid w:val="0"/>
        </w:rPr>
        <w:t>a detainee</w:t>
      </w:r>
      <w:r w:rsidRPr="003821DA" w:rsidR="003821DA">
        <w:rPr>
          <w:snapToGrid w:val="0"/>
        </w:rPr>
        <w:t>’</w:t>
      </w:r>
      <w:r w:rsidRPr="003821DA" w:rsidR="008727F7">
        <w:rPr>
          <w:snapToGrid w:val="0"/>
        </w:rPr>
        <w:t>s right to respect for his or her private life</w:t>
      </w:r>
      <w:r w:rsidRPr="003821DA" w:rsidR="00B401B6">
        <w:rPr>
          <w:snapToGrid w:val="0"/>
        </w:rPr>
        <w:t>, t</w:t>
      </w:r>
      <w:r w:rsidRPr="003821DA">
        <w:rPr>
          <w:snapToGrid w:val="0"/>
        </w:rPr>
        <w:t xml:space="preserve">he Court has held that </w:t>
      </w:r>
      <w:r w:rsidRPr="003821DA" w:rsidR="0071452C">
        <w:rPr>
          <w:snapToGrid w:val="0"/>
        </w:rPr>
        <w:t>placing a person under permanent video surveillance whilst in detention – whi</w:t>
      </w:r>
      <w:r w:rsidRPr="003821DA" w:rsidR="00894B9F">
        <w:rPr>
          <w:snapToGrid w:val="0"/>
        </w:rPr>
        <w:t>ch</w:t>
      </w:r>
      <w:r w:rsidRPr="003821DA" w:rsidR="0071452C">
        <w:rPr>
          <w:snapToGrid w:val="0"/>
        </w:rPr>
        <w:t xml:space="preserve"> already entails a considerable limitation on a person</w:t>
      </w:r>
      <w:r w:rsidRPr="003821DA" w:rsidR="003821DA">
        <w:rPr>
          <w:snapToGrid w:val="0"/>
        </w:rPr>
        <w:t>’</w:t>
      </w:r>
      <w:r w:rsidRPr="003821DA" w:rsidR="0071452C">
        <w:rPr>
          <w:snapToGrid w:val="0"/>
        </w:rPr>
        <w:t xml:space="preserve">s privacy – has to be regarded as a serious </w:t>
      </w:r>
      <w:r w:rsidRPr="003821DA" w:rsidR="009855F9">
        <w:rPr>
          <w:snapToGrid w:val="0"/>
        </w:rPr>
        <w:t>interference</w:t>
      </w:r>
      <w:r w:rsidRPr="003821DA" w:rsidR="0071452C">
        <w:rPr>
          <w:snapToGrid w:val="0"/>
        </w:rPr>
        <w:t xml:space="preserve"> with the individual</w:t>
      </w:r>
      <w:r w:rsidRPr="003821DA" w:rsidR="003821DA">
        <w:rPr>
          <w:snapToGrid w:val="0"/>
        </w:rPr>
        <w:t>’</w:t>
      </w:r>
      <w:r w:rsidRPr="003821DA" w:rsidR="0071452C">
        <w:rPr>
          <w:snapToGrid w:val="0"/>
        </w:rPr>
        <w:t>s right to respect for his or her privacy,</w:t>
      </w:r>
      <w:r w:rsidRPr="003821DA" w:rsidR="00B069DE">
        <w:rPr>
          <w:snapToGrid w:val="0"/>
        </w:rPr>
        <w:t xml:space="preserve"> as an element of the notion of “private life”,</w:t>
      </w:r>
      <w:r w:rsidRPr="003821DA" w:rsidR="0071452C">
        <w:rPr>
          <w:snapToGrid w:val="0"/>
        </w:rPr>
        <w:t xml:space="preserve"> and thus brings </w:t>
      </w:r>
      <w:r w:rsidRPr="003821DA" w:rsidR="00D264C9">
        <w:rPr>
          <w:snapToGrid w:val="0"/>
        </w:rPr>
        <w:t>Article</w:t>
      </w:r>
      <w:r w:rsidRPr="003821DA" w:rsidR="0071452C">
        <w:rPr>
          <w:snapToGrid w:val="0"/>
        </w:rPr>
        <w:t xml:space="preserve"> 8 of t</w:t>
      </w:r>
      <w:r w:rsidRPr="003821DA" w:rsidR="005F1B93">
        <w:rPr>
          <w:snapToGrid w:val="0"/>
        </w:rPr>
        <w:t>h</w:t>
      </w:r>
      <w:r w:rsidRPr="003821DA" w:rsidR="0071452C">
        <w:rPr>
          <w:snapToGrid w:val="0"/>
        </w:rPr>
        <w:t>e Convention into play</w:t>
      </w:r>
      <w:r w:rsidRPr="003821DA" w:rsidR="00C457B5">
        <w:rPr>
          <w:snapToGrid w:val="0"/>
        </w:rPr>
        <w:t xml:space="preserve"> </w:t>
      </w:r>
      <w:r w:rsidRPr="003821DA" w:rsidR="0071452C">
        <w:rPr>
          <w:snapToGrid w:val="0"/>
        </w:rPr>
        <w:t xml:space="preserve">(see </w:t>
      </w:r>
      <w:r w:rsidRPr="003821DA" w:rsidR="0071452C">
        <w:rPr>
          <w:i/>
          <w:snapToGrid w:val="0"/>
        </w:rPr>
        <w:t xml:space="preserve">Van der </w:t>
      </w:r>
      <w:proofErr w:type="spellStart"/>
      <w:r w:rsidRPr="003821DA" w:rsidR="0071452C">
        <w:rPr>
          <w:i/>
          <w:snapToGrid w:val="0"/>
        </w:rPr>
        <w:t>Graaf</w:t>
      </w:r>
      <w:proofErr w:type="spellEnd"/>
      <w:r w:rsidRPr="003821DA" w:rsidR="00616E0F">
        <w:rPr>
          <w:i/>
          <w:snapToGrid w:val="0"/>
        </w:rPr>
        <w:t xml:space="preserve"> </w:t>
      </w:r>
      <w:r w:rsidRPr="003821DA" w:rsidR="00616E0F">
        <w:rPr>
          <w:snapToGrid w:val="0"/>
        </w:rPr>
        <w:t>(</w:t>
      </w:r>
      <w:proofErr w:type="spellStart"/>
      <w:r w:rsidRPr="003821DA" w:rsidR="00616E0F">
        <w:rPr>
          <w:snapToGrid w:val="0"/>
        </w:rPr>
        <w:t>dec</w:t>
      </w:r>
      <w:r w:rsidRPr="003821DA" w:rsidR="00E7415F">
        <w:rPr>
          <w:snapToGrid w:val="0"/>
        </w:rPr>
        <w:t>.</w:t>
      </w:r>
      <w:proofErr w:type="spellEnd"/>
      <w:r w:rsidRPr="003821DA" w:rsidR="00616E0F">
        <w:rPr>
          <w:snapToGrid w:val="0"/>
        </w:rPr>
        <w:t>)</w:t>
      </w:r>
      <w:r w:rsidRPr="003821DA" w:rsidR="00CE0035">
        <w:rPr>
          <w:snapToGrid w:val="0"/>
        </w:rPr>
        <w:t>,</w:t>
      </w:r>
      <w:r w:rsidRPr="003821DA" w:rsidR="00CE0035">
        <w:rPr>
          <w:i/>
          <w:snapToGrid w:val="0"/>
        </w:rPr>
        <w:t xml:space="preserve"> </w:t>
      </w:r>
      <w:r w:rsidRPr="003821DA" w:rsidR="00CE0035">
        <w:rPr>
          <w:snapToGrid w:val="0"/>
        </w:rPr>
        <w:t>cited above,</w:t>
      </w:r>
      <w:r w:rsidRPr="003821DA" w:rsidR="005F1B93">
        <w:rPr>
          <w:snapToGrid w:val="0"/>
        </w:rPr>
        <w:t xml:space="preserve"> and </w:t>
      </w:r>
      <w:proofErr w:type="spellStart"/>
      <w:r w:rsidRPr="003821DA" w:rsidR="005F1B93">
        <w:rPr>
          <w:i/>
        </w:rPr>
        <w:t>Vasilică</w:t>
      </w:r>
      <w:proofErr w:type="spellEnd"/>
      <w:r w:rsidRPr="003821DA" w:rsidR="005F1B93">
        <w:rPr>
          <w:i/>
        </w:rPr>
        <w:t xml:space="preserve"> </w:t>
      </w:r>
      <w:proofErr w:type="spellStart"/>
      <w:r w:rsidRPr="003821DA" w:rsidR="005F1B93">
        <w:rPr>
          <w:i/>
        </w:rPr>
        <w:t>Mocanu</w:t>
      </w:r>
      <w:proofErr w:type="spellEnd"/>
      <w:r w:rsidRPr="003821DA" w:rsidR="005F1B93">
        <w:rPr>
          <w:i/>
        </w:rPr>
        <w:t xml:space="preserve"> v. Romania</w:t>
      </w:r>
      <w:r w:rsidRPr="003821DA" w:rsidR="008727F7">
        <w:t>, no. </w:t>
      </w:r>
      <w:r w:rsidRPr="003821DA" w:rsidR="00A1476A">
        <w:t>43545/13, § </w:t>
      </w:r>
      <w:r w:rsidRPr="003821DA" w:rsidR="005F1B93">
        <w:t>36, 6 December 2016</w:t>
      </w:r>
      <w:r w:rsidRPr="003821DA" w:rsidR="005F1B93">
        <w:rPr>
          <w:snapToGrid w:val="0"/>
        </w:rPr>
        <w:t>).</w:t>
      </w:r>
      <w:proofErr w:type="gramEnd"/>
    </w:p>
    <w:p w:rsidRPr="003821DA" w:rsidR="00FA4D39" w:rsidP="003821DA" w:rsidRDefault="00FA4D39">
      <w:pPr>
        <w:pStyle w:val="ECHRHeading4"/>
        <w:rPr>
          <w:snapToGrid w:val="0"/>
        </w:rPr>
      </w:pPr>
      <w:r w:rsidRPr="003821DA">
        <w:rPr>
          <w:snapToGrid w:val="0"/>
        </w:rPr>
        <w:t>(b)  Application of the general principles in the present case</w:t>
      </w:r>
    </w:p>
    <w:p w:rsidRPr="003821DA" w:rsidR="00FA4D39" w:rsidP="003821DA" w:rsidRDefault="00FA4D39">
      <w:pPr>
        <w:pStyle w:val="ECHRHeading5"/>
      </w:pPr>
      <w:proofErr w:type="spellStart"/>
      <w:r w:rsidRPr="003821DA">
        <w:t>i</w:t>
      </w:r>
      <w:proofErr w:type="spellEnd"/>
      <w:r w:rsidRPr="003821DA">
        <w:t>.</w:t>
      </w:r>
      <w:proofErr w:type="gramStart"/>
      <w:r w:rsidRPr="003821DA">
        <w:t>  Existence</w:t>
      </w:r>
      <w:proofErr w:type="gramEnd"/>
      <w:r w:rsidRPr="003821DA">
        <w:t xml:space="preserve"> of interference</w:t>
      </w:r>
    </w:p>
    <w:p w:rsidRPr="003821DA" w:rsidR="00D850F4" w:rsidP="003821DA" w:rsidRDefault="000877BD">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83</w:t>
      </w:r>
      <w:r w:rsidRPr="003821DA">
        <w:rPr>
          <w:snapToGrid w:val="0"/>
        </w:rPr>
        <w:fldChar w:fldCharType="end"/>
      </w:r>
      <w:r w:rsidRPr="003821DA" w:rsidR="00FA4D39">
        <w:rPr>
          <w:snapToGrid w:val="0"/>
        </w:rPr>
        <w:t>.</w:t>
      </w:r>
      <w:r w:rsidRPr="003821DA">
        <w:rPr>
          <w:snapToGrid w:val="0"/>
        </w:rPr>
        <w:t>  </w:t>
      </w:r>
      <w:r w:rsidRPr="003821DA" w:rsidR="00065282">
        <w:rPr>
          <w:snapToGrid w:val="0"/>
        </w:rPr>
        <w:t xml:space="preserve">In the present case, </w:t>
      </w:r>
      <w:r w:rsidRPr="003821DA" w:rsidR="00D850F4">
        <w:rPr>
          <w:snapToGrid w:val="0"/>
        </w:rPr>
        <w:t xml:space="preserve">the Government acknowledged </w:t>
      </w:r>
      <w:r w:rsidRPr="003821DA" w:rsidR="00C457B5">
        <w:rPr>
          <w:snapToGrid w:val="0"/>
        </w:rPr>
        <w:t>that</w:t>
      </w:r>
      <w:r w:rsidRPr="003821DA" w:rsidR="004C5EFF">
        <w:rPr>
          <w:snapToGrid w:val="0"/>
        </w:rPr>
        <w:t xml:space="preserve"> in the relevant </w:t>
      </w:r>
      <w:r w:rsidRPr="003821DA" w:rsidR="00E34B2D">
        <w:rPr>
          <w:snapToGrid w:val="0"/>
        </w:rPr>
        <w:t>penal institution</w:t>
      </w:r>
      <w:r w:rsidRPr="003821DA" w:rsidR="004C5EFF">
        <w:rPr>
          <w:snapToGrid w:val="0"/>
        </w:rPr>
        <w:t>s (see paragraphs</w:t>
      </w:r>
      <w:r w:rsidRPr="003821DA" w:rsidR="00280F3F">
        <w:rPr>
          <w:snapToGrid w:val="0"/>
        </w:rPr>
        <w:t xml:space="preserve"> </w:t>
      </w:r>
      <w:r w:rsidRPr="003821DA" w:rsidR="00280F3F">
        <w:rPr>
          <w:snapToGrid w:val="0"/>
        </w:rPr>
        <w:fldChar w:fldCharType="begin"/>
      </w:r>
      <w:r w:rsidRPr="003821DA" w:rsidR="00280F3F">
        <w:rPr>
          <w:snapToGrid w:val="0"/>
        </w:rPr>
        <w:instrText xml:space="preserve"> REF FirstApplicantPrison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16</w:t>
      </w:r>
      <w:r w:rsidRPr="003821DA" w:rsidR="00280F3F">
        <w:rPr>
          <w:snapToGrid w:val="0"/>
        </w:rPr>
        <w:fldChar w:fldCharType="end"/>
      </w:r>
      <w:r w:rsidRPr="003821DA" w:rsidR="00280F3F">
        <w:rPr>
          <w:snapToGrid w:val="0"/>
        </w:rPr>
        <w:t xml:space="preserve">, </w:t>
      </w:r>
      <w:r w:rsidRPr="003821DA" w:rsidR="00280F3F">
        <w:rPr>
          <w:snapToGrid w:val="0"/>
        </w:rPr>
        <w:fldChar w:fldCharType="begin"/>
      </w:r>
      <w:r w:rsidRPr="003821DA" w:rsidR="00280F3F">
        <w:rPr>
          <w:snapToGrid w:val="0"/>
        </w:rPr>
        <w:instrText xml:space="preserve"> REF IK5SecondApplicant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20</w:t>
      </w:r>
      <w:r w:rsidRPr="003821DA" w:rsidR="00280F3F">
        <w:rPr>
          <w:snapToGrid w:val="0"/>
        </w:rPr>
        <w:fldChar w:fldCharType="end"/>
      </w:r>
      <w:r w:rsidRPr="003821DA" w:rsidR="00280F3F">
        <w:rPr>
          <w:snapToGrid w:val="0"/>
        </w:rPr>
        <w:t xml:space="preserve"> and </w:t>
      </w:r>
      <w:r w:rsidRPr="003821DA" w:rsidR="00280F3F">
        <w:rPr>
          <w:snapToGrid w:val="0"/>
        </w:rPr>
        <w:fldChar w:fldCharType="begin"/>
      </w:r>
      <w:r w:rsidRPr="003821DA" w:rsidR="00280F3F">
        <w:rPr>
          <w:snapToGrid w:val="0"/>
        </w:rPr>
        <w:instrText xml:space="preserve"> REF THirdApplicantSIZO \h  \* MERGEFORMAT </w:instrText>
      </w:r>
      <w:r w:rsidRPr="003821DA" w:rsidR="00280F3F">
        <w:rPr>
          <w:snapToGrid w:val="0"/>
        </w:rPr>
      </w:r>
      <w:r w:rsidRPr="003821DA" w:rsidR="00280F3F">
        <w:rPr>
          <w:snapToGrid w:val="0"/>
        </w:rPr>
        <w:fldChar w:fldCharType="separate"/>
      </w:r>
      <w:r w:rsidRPr="003821DA" w:rsidR="003821DA">
        <w:rPr>
          <w:rFonts w:ascii="Times New Roman" w:hAnsi="Times New Roman" w:eastAsia="Times New Roman" w:cs="Times New Roman"/>
          <w:noProof/>
          <w:szCs w:val="20"/>
          <w:lang w:eastAsia="fr-FR"/>
        </w:rPr>
        <w:t>21</w:t>
      </w:r>
      <w:r w:rsidRPr="003821DA" w:rsidR="00280F3F">
        <w:rPr>
          <w:snapToGrid w:val="0"/>
        </w:rPr>
        <w:fldChar w:fldCharType="end"/>
      </w:r>
      <w:r w:rsidRPr="003821DA" w:rsidR="004C5EFF">
        <w:rPr>
          <w:snapToGrid w:val="0"/>
        </w:rPr>
        <w:t xml:space="preserve"> above)</w:t>
      </w:r>
      <w:r w:rsidRPr="003821DA" w:rsidR="00C457B5">
        <w:rPr>
          <w:snapToGrid w:val="0"/>
        </w:rPr>
        <w:t xml:space="preserve"> the applicants </w:t>
      </w:r>
      <w:r w:rsidRPr="003821DA" w:rsidR="006A6855">
        <w:rPr>
          <w:snapToGrid w:val="0"/>
        </w:rPr>
        <w:t xml:space="preserve">had </w:t>
      </w:r>
      <w:r w:rsidRPr="003821DA" w:rsidR="00754C2E">
        <w:rPr>
          <w:snapToGrid w:val="0"/>
        </w:rPr>
        <w:t>remained</w:t>
      </w:r>
      <w:r w:rsidRPr="003821DA" w:rsidR="00C457B5">
        <w:rPr>
          <w:snapToGrid w:val="0"/>
        </w:rPr>
        <w:t xml:space="preserve"> under permanent video surveillance when confined </w:t>
      </w:r>
      <w:r w:rsidRPr="003821DA" w:rsidR="00754C2E">
        <w:rPr>
          <w:snapToGrid w:val="0"/>
        </w:rPr>
        <w:t xml:space="preserve">to </w:t>
      </w:r>
      <w:r w:rsidRPr="003821DA" w:rsidR="00C457B5">
        <w:rPr>
          <w:snapToGrid w:val="0"/>
        </w:rPr>
        <w:t>their cells</w:t>
      </w:r>
      <w:r w:rsidRPr="003821DA" w:rsidR="00CF0CE4">
        <w:rPr>
          <w:snapToGrid w:val="0"/>
        </w:rPr>
        <w:t xml:space="preserve"> (</w:t>
      </w:r>
      <w:r w:rsidRPr="003821DA" w:rsidR="001D11E7">
        <w:rPr>
          <w:snapToGrid w:val="0"/>
        </w:rPr>
        <w:t>see paragraph</w:t>
      </w:r>
      <w:r w:rsidRPr="003821DA" w:rsidR="00CF0CE4">
        <w:rPr>
          <w:snapToGrid w:val="0"/>
        </w:rPr>
        <w:t xml:space="preserve"> </w:t>
      </w:r>
      <w:r w:rsidRPr="003821DA" w:rsidR="001D11E7">
        <w:rPr>
          <w:snapToGrid w:val="0"/>
        </w:rPr>
        <w:fldChar w:fldCharType="begin"/>
      </w:r>
      <w:r w:rsidRPr="003821DA" w:rsidR="001D11E7">
        <w:rPr>
          <w:snapToGrid w:val="0"/>
        </w:rPr>
        <w:instrText xml:space="preserve"> REF GvtApplicantsUnderConstantVideoSurv \h  \* MERGEFORMAT </w:instrText>
      </w:r>
      <w:r w:rsidRPr="003821DA" w:rsidR="001D11E7">
        <w:rPr>
          <w:snapToGrid w:val="0"/>
        </w:rPr>
      </w:r>
      <w:r w:rsidRPr="003821DA" w:rsidR="001D11E7">
        <w:rPr>
          <w:snapToGrid w:val="0"/>
        </w:rPr>
        <w:fldChar w:fldCharType="separate"/>
      </w:r>
      <w:r w:rsidRPr="003821DA" w:rsidR="003821DA">
        <w:rPr>
          <w:noProof/>
        </w:rPr>
        <w:t>67</w:t>
      </w:r>
      <w:r w:rsidRPr="003821DA" w:rsidR="001D11E7">
        <w:rPr>
          <w:snapToGrid w:val="0"/>
        </w:rPr>
        <w:fldChar w:fldCharType="end"/>
      </w:r>
      <w:r w:rsidRPr="003821DA" w:rsidR="00754C2E">
        <w:rPr>
          <w:snapToGrid w:val="0"/>
        </w:rPr>
        <w:t xml:space="preserve"> </w:t>
      </w:r>
      <w:r w:rsidRPr="003821DA" w:rsidR="00CF0CE4">
        <w:rPr>
          <w:snapToGrid w:val="0"/>
        </w:rPr>
        <w:t>above)</w:t>
      </w:r>
      <w:r w:rsidRPr="003821DA" w:rsidR="00D850F4">
        <w:rPr>
          <w:snapToGrid w:val="0"/>
        </w:rPr>
        <w:t xml:space="preserve">. </w:t>
      </w:r>
      <w:r w:rsidRPr="003821DA" w:rsidR="002E1761">
        <w:rPr>
          <w:snapToGrid w:val="0"/>
        </w:rPr>
        <w:t xml:space="preserve">They </w:t>
      </w:r>
      <w:r w:rsidRPr="003821DA" w:rsidR="006A6855">
        <w:rPr>
          <w:snapToGrid w:val="0"/>
        </w:rPr>
        <w:t xml:space="preserve">also </w:t>
      </w:r>
      <w:r w:rsidRPr="003821DA" w:rsidR="002E1761">
        <w:rPr>
          <w:snapToGrid w:val="0"/>
        </w:rPr>
        <w:t xml:space="preserve">pointed out that the administrations of </w:t>
      </w:r>
      <w:r w:rsidRPr="003821DA" w:rsidR="00E34B2D">
        <w:rPr>
          <w:snapToGrid w:val="0"/>
        </w:rPr>
        <w:t>penal institution</w:t>
      </w:r>
      <w:r w:rsidRPr="003821DA" w:rsidR="002E1761">
        <w:rPr>
          <w:snapToGrid w:val="0"/>
        </w:rPr>
        <w:t xml:space="preserve">s and pre-trial detention centres </w:t>
      </w:r>
      <w:r w:rsidRPr="003821DA" w:rsidR="006A6855">
        <w:rPr>
          <w:snapToGrid w:val="0"/>
        </w:rPr>
        <w:t xml:space="preserve">had an obligation </w:t>
      </w:r>
      <w:r w:rsidRPr="003821DA" w:rsidR="002E1761">
        <w:rPr>
          <w:snapToGrid w:val="0"/>
        </w:rPr>
        <w:t>to install CCTV cameras in each cell, and that permanent CCTV monitoring of detainees in their cells was an integral part of the</w:t>
      </w:r>
      <w:r w:rsidRPr="003821DA" w:rsidR="00BC4BCF">
        <w:rPr>
          <w:snapToGrid w:val="0"/>
        </w:rPr>
        <w:t xml:space="preserve"> security</w:t>
      </w:r>
      <w:r w:rsidRPr="003821DA" w:rsidR="002E1761">
        <w:rPr>
          <w:snapToGrid w:val="0"/>
        </w:rPr>
        <w:t xml:space="preserve"> mechanism </w:t>
      </w:r>
      <w:r w:rsidRPr="003821DA" w:rsidR="00BC4BCF">
        <w:rPr>
          <w:snapToGrid w:val="0"/>
        </w:rPr>
        <w:t xml:space="preserve">in </w:t>
      </w:r>
      <w:r w:rsidRPr="003821DA" w:rsidR="00E34B2D">
        <w:rPr>
          <w:snapToGrid w:val="0"/>
        </w:rPr>
        <w:t>penal institution</w:t>
      </w:r>
      <w:r w:rsidRPr="003821DA" w:rsidR="002E1761">
        <w:rPr>
          <w:snapToGrid w:val="0"/>
        </w:rPr>
        <w:t>s</w:t>
      </w:r>
      <w:r w:rsidRPr="003821DA" w:rsidR="00BC4BCF">
        <w:rPr>
          <w:snapToGrid w:val="0"/>
        </w:rPr>
        <w:t xml:space="preserve"> and pre-trial detention centres (see paragraphs </w:t>
      </w:r>
      <w:r w:rsidRPr="003821DA" w:rsidR="00BC4BCF">
        <w:rPr>
          <w:snapToGrid w:val="0"/>
        </w:rPr>
        <w:fldChar w:fldCharType="begin"/>
      </w:r>
      <w:r w:rsidRPr="003821DA" w:rsidR="00BC4BCF">
        <w:rPr>
          <w:snapToGrid w:val="0"/>
        </w:rPr>
        <w:instrText xml:space="preserve"> REF GvtApplicantsUnderConstantVideoSurv \h </w:instrText>
      </w:r>
      <w:r w:rsidRPr="003821DA" w:rsidR="00BC4BCF">
        <w:rPr>
          <w:snapToGrid w:val="0"/>
        </w:rPr>
      </w:r>
      <w:r w:rsidRPr="003821DA" w:rsidR="00BC4BCF">
        <w:rPr>
          <w:snapToGrid w:val="0"/>
        </w:rPr>
        <w:fldChar w:fldCharType="separate"/>
      </w:r>
      <w:r w:rsidRPr="003821DA" w:rsidR="003821DA">
        <w:rPr>
          <w:noProof/>
        </w:rPr>
        <w:t>67</w:t>
      </w:r>
      <w:r w:rsidRPr="003821DA" w:rsidR="00BC4BCF">
        <w:rPr>
          <w:snapToGrid w:val="0"/>
        </w:rPr>
        <w:fldChar w:fldCharType="end"/>
      </w:r>
      <w:r w:rsidRPr="003821DA" w:rsidR="00BC4BCF">
        <w:rPr>
          <w:snapToGrid w:val="0"/>
        </w:rPr>
        <w:t>-</w:t>
      </w:r>
      <w:r w:rsidRPr="003821DA" w:rsidR="00BC4BCF">
        <w:rPr>
          <w:snapToGrid w:val="0"/>
        </w:rPr>
        <w:fldChar w:fldCharType="begin"/>
      </w:r>
      <w:r w:rsidRPr="003821DA" w:rsidR="00BC4BCF">
        <w:rPr>
          <w:snapToGrid w:val="0"/>
        </w:rPr>
        <w:instrText xml:space="preserve"> REF GvtStandardPractice \h </w:instrText>
      </w:r>
      <w:r w:rsidRPr="003821DA" w:rsidR="00BC4BCF">
        <w:rPr>
          <w:snapToGrid w:val="0"/>
        </w:rPr>
      </w:r>
      <w:r w:rsidRPr="003821DA" w:rsidR="00BC4BCF">
        <w:rPr>
          <w:snapToGrid w:val="0"/>
        </w:rPr>
        <w:fldChar w:fldCharType="separate"/>
      </w:r>
      <w:r w:rsidRPr="003821DA" w:rsidR="003821DA">
        <w:rPr>
          <w:noProof/>
        </w:rPr>
        <w:t>68</w:t>
      </w:r>
      <w:r w:rsidRPr="003821DA" w:rsidR="00BC4BCF">
        <w:rPr>
          <w:snapToGrid w:val="0"/>
        </w:rPr>
        <w:fldChar w:fldCharType="end"/>
      </w:r>
      <w:r w:rsidRPr="003821DA" w:rsidR="002E1761">
        <w:rPr>
          <w:snapToGrid w:val="0"/>
        </w:rPr>
        <w:t xml:space="preserve"> </w:t>
      </w:r>
      <w:r w:rsidRPr="003821DA" w:rsidR="00BC4BCF">
        <w:rPr>
          <w:snapToGrid w:val="0"/>
        </w:rPr>
        <w:t>above).</w:t>
      </w:r>
      <w:r w:rsidRPr="003821DA" w:rsidR="00F31F74">
        <w:rPr>
          <w:snapToGrid w:val="0"/>
        </w:rPr>
        <w:t xml:space="preserve"> </w:t>
      </w:r>
      <w:r w:rsidRPr="003821DA" w:rsidR="00BC3EBE">
        <w:rPr>
          <w:snapToGrid w:val="0"/>
        </w:rPr>
        <w:t>They also acknowledged</w:t>
      </w:r>
      <w:r w:rsidRPr="003821DA" w:rsidR="00162A0D">
        <w:rPr>
          <w:snapToGrid w:val="0"/>
        </w:rPr>
        <w:t xml:space="preserve"> that </w:t>
      </w:r>
      <w:proofErr w:type="gramStart"/>
      <w:r w:rsidRPr="003821DA" w:rsidR="00162A0D">
        <w:rPr>
          <w:snapToGrid w:val="0"/>
        </w:rPr>
        <w:t xml:space="preserve">CCTV camera monitoring was routinely carried out by female officers </w:t>
      </w:r>
      <w:r w:rsidRPr="003821DA" w:rsidR="00D850F4">
        <w:rPr>
          <w:snapToGrid w:val="0"/>
        </w:rPr>
        <w:t>(see paragraph</w:t>
      </w:r>
      <w:r w:rsidRPr="003821DA" w:rsidR="00BC3EBE">
        <w:rPr>
          <w:snapToGrid w:val="0"/>
        </w:rPr>
        <w:t xml:space="preserve"> </w:t>
      </w:r>
      <w:r w:rsidRPr="003821DA" w:rsidR="00BC3EBE">
        <w:rPr>
          <w:snapToGrid w:val="0"/>
        </w:rPr>
        <w:fldChar w:fldCharType="begin"/>
      </w:r>
      <w:r w:rsidRPr="003821DA" w:rsidR="00BC3EBE">
        <w:rPr>
          <w:snapToGrid w:val="0"/>
        </w:rPr>
        <w:instrText xml:space="preserve"> REF GvtStandardPracticeFemales \h </w:instrText>
      </w:r>
      <w:r w:rsidRPr="003821DA" w:rsidR="00F31F74">
        <w:rPr>
          <w:snapToGrid w:val="0"/>
        </w:rPr>
        <w:instrText xml:space="preserve"> \* MERGEFORMAT </w:instrText>
      </w:r>
      <w:r w:rsidRPr="003821DA" w:rsidR="00BC3EBE">
        <w:rPr>
          <w:snapToGrid w:val="0"/>
        </w:rPr>
      </w:r>
      <w:r w:rsidRPr="003821DA" w:rsidR="00BC3EBE">
        <w:rPr>
          <w:snapToGrid w:val="0"/>
        </w:rPr>
        <w:fldChar w:fldCharType="separate"/>
      </w:r>
      <w:r w:rsidRPr="003821DA" w:rsidR="003821DA">
        <w:rPr>
          <w:noProof/>
        </w:rPr>
        <w:t>76</w:t>
      </w:r>
      <w:r w:rsidRPr="003821DA" w:rsidR="00BC3EBE">
        <w:rPr>
          <w:snapToGrid w:val="0"/>
        </w:rPr>
        <w:fldChar w:fldCharType="end"/>
      </w:r>
      <w:r w:rsidRPr="003821DA" w:rsidR="00D850F4">
        <w:rPr>
          <w:snapToGrid w:val="0"/>
        </w:rPr>
        <w:t xml:space="preserve"> above)</w:t>
      </w:r>
      <w:proofErr w:type="gramEnd"/>
      <w:r w:rsidRPr="003821DA" w:rsidR="00D850F4">
        <w:rPr>
          <w:snapToGrid w:val="0"/>
        </w:rPr>
        <w:t>.</w:t>
      </w:r>
    </w:p>
    <w:p w:rsidRPr="003821DA" w:rsidR="000877BD" w:rsidP="003821DA" w:rsidRDefault="00D850F4">
      <w:pPr>
        <w:pStyle w:val="ECHRPara"/>
        <w:rPr>
          <w:snapToGrid w:val="0"/>
        </w:rPr>
      </w:pPr>
      <w:r w:rsidRPr="003821DA">
        <w:rPr>
          <w:snapToGrid w:val="0"/>
        </w:rPr>
        <w:fldChar w:fldCharType="begin"/>
      </w:r>
      <w:r w:rsidRPr="003821DA">
        <w:rPr>
          <w:snapToGrid w:val="0"/>
        </w:rPr>
        <w:instrText xml:space="preserve"> SEQ level0 \*arabic </w:instrText>
      </w:r>
      <w:r w:rsidRPr="003821DA">
        <w:rPr>
          <w:snapToGrid w:val="0"/>
        </w:rPr>
        <w:fldChar w:fldCharType="separate"/>
      </w:r>
      <w:r w:rsidRPr="003821DA" w:rsidR="003821DA">
        <w:rPr>
          <w:noProof/>
          <w:snapToGrid w:val="0"/>
        </w:rPr>
        <w:t>84</w:t>
      </w:r>
      <w:r w:rsidRPr="003821DA">
        <w:rPr>
          <w:snapToGrid w:val="0"/>
        </w:rPr>
        <w:fldChar w:fldCharType="end"/>
      </w:r>
      <w:r w:rsidRPr="003821DA">
        <w:rPr>
          <w:snapToGrid w:val="0"/>
        </w:rPr>
        <w:t xml:space="preserve">.  It was </w:t>
      </w:r>
      <w:r w:rsidRPr="003821DA" w:rsidR="00BC3EBE">
        <w:rPr>
          <w:snapToGrid w:val="0"/>
        </w:rPr>
        <w:t>furthermore</w:t>
      </w:r>
      <w:r w:rsidRPr="003821DA">
        <w:rPr>
          <w:snapToGrid w:val="0"/>
        </w:rPr>
        <w:t xml:space="preserve"> not in dispute between the parties </w:t>
      </w:r>
      <w:r w:rsidRPr="003821DA" w:rsidR="00C457B5">
        <w:rPr>
          <w:snapToGrid w:val="0"/>
        </w:rPr>
        <w:t>that t</w:t>
      </w:r>
      <w:r w:rsidRPr="003821DA" w:rsidR="00BC3EBE">
        <w:rPr>
          <w:snapToGrid w:val="0"/>
        </w:rPr>
        <w:t xml:space="preserve">he impugned </w:t>
      </w:r>
      <w:r w:rsidRPr="003821DA" w:rsidR="00C457B5">
        <w:rPr>
          <w:snapToGrid w:val="0"/>
        </w:rPr>
        <w:t>measure constituted an interference with the applicants</w:t>
      </w:r>
      <w:r w:rsidRPr="003821DA" w:rsidR="003821DA">
        <w:rPr>
          <w:snapToGrid w:val="0"/>
        </w:rPr>
        <w:t>’</w:t>
      </w:r>
      <w:r w:rsidRPr="003821DA" w:rsidR="00C457B5">
        <w:rPr>
          <w:snapToGrid w:val="0"/>
        </w:rPr>
        <w:t xml:space="preserve"> right to respect for their private life</w:t>
      </w:r>
      <w:r w:rsidRPr="003821DA" w:rsidR="00B069DE">
        <w:rPr>
          <w:snapToGrid w:val="0"/>
        </w:rPr>
        <w:t xml:space="preserve">, within the meaning of Article 8 § </w:t>
      </w:r>
      <w:proofErr w:type="gramStart"/>
      <w:r w:rsidRPr="003821DA" w:rsidR="00B069DE">
        <w:rPr>
          <w:snapToGrid w:val="0"/>
        </w:rPr>
        <w:t>1</w:t>
      </w:r>
      <w:proofErr w:type="gramEnd"/>
      <w:r w:rsidRPr="003821DA" w:rsidR="00B069DE">
        <w:rPr>
          <w:snapToGrid w:val="0"/>
        </w:rPr>
        <w:t xml:space="preserve"> of the Convention</w:t>
      </w:r>
      <w:r w:rsidRPr="003821DA" w:rsidR="00DC7BCB">
        <w:rPr>
          <w:snapToGrid w:val="0"/>
        </w:rPr>
        <w:t xml:space="preserve"> (see paragraph</w:t>
      </w:r>
      <w:r w:rsidRPr="003821DA" w:rsidR="00F31F74">
        <w:rPr>
          <w:snapToGrid w:val="0"/>
        </w:rPr>
        <w:t xml:space="preserve"> </w:t>
      </w:r>
      <w:r w:rsidRPr="003821DA" w:rsidR="00F31F74">
        <w:rPr>
          <w:snapToGrid w:val="0"/>
        </w:rPr>
        <w:fldChar w:fldCharType="begin"/>
      </w:r>
      <w:r w:rsidRPr="003821DA" w:rsidR="00F31F74">
        <w:rPr>
          <w:snapToGrid w:val="0"/>
        </w:rPr>
        <w:instrText xml:space="preserve"> REF GvtStandardPractice \h  \* MERGEFORMAT </w:instrText>
      </w:r>
      <w:r w:rsidRPr="003821DA" w:rsidR="00F31F74">
        <w:rPr>
          <w:snapToGrid w:val="0"/>
        </w:rPr>
      </w:r>
      <w:r w:rsidRPr="003821DA" w:rsidR="00F31F74">
        <w:rPr>
          <w:snapToGrid w:val="0"/>
        </w:rPr>
        <w:fldChar w:fldCharType="separate"/>
      </w:r>
      <w:r w:rsidRPr="003821DA" w:rsidR="003821DA">
        <w:rPr>
          <w:noProof/>
        </w:rPr>
        <w:t>68</w:t>
      </w:r>
      <w:r w:rsidRPr="003821DA" w:rsidR="00F31F74">
        <w:rPr>
          <w:snapToGrid w:val="0"/>
        </w:rPr>
        <w:fldChar w:fldCharType="end"/>
      </w:r>
      <w:r w:rsidRPr="003821DA" w:rsidR="00DC7BCB">
        <w:rPr>
          <w:snapToGrid w:val="0"/>
        </w:rPr>
        <w:t xml:space="preserve"> above)</w:t>
      </w:r>
      <w:r w:rsidRPr="003821DA" w:rsidR="00C457B5">
        <w:rPr>
          <w:snapToGrid w:val="0"/>
        </w:rPr>
        <w:t xml:space="preserve">. </w:t>
      </w:r>
      <w:r w:rsidRPr="003821DA" w:rsidR="00B069DE">
        <w:rPr>
          <w:snapToGrid w:val="0"/>
        </w:rPr>
        <w:t xml:space="preserve">Such interference will breach </w:t>
      </w:r>
      <w:r w:rsidRPr="003821DA" w:rsidR="00E23B41">
        <w:rPr>
          <w:snapToGrid w:val="0"/>
        </w:rPr>
        <w:t>Article</w:t>
      </w:r>
      <w:r w:rsidRPr="003821DA" w:rsidR="004A05F2">
        <w:rPr>
          <w:snapToGrid w:val="0"/>
        </w:rPr>
        <w:t> </w:t>
      </w:r>
      <w:r w:rsidRPr="003821DA" w:rsidR="00E23B41">
        <w:rPr>
          <w:snapToGrid w:val="0"/>
        </w:rPr>
        <w:t xml:space="preserve">8 </w:t>
      </w:r>
      <w:r w:rsidRPr="003821DA" w:rsidR="004A05F2">
        <w:rPr>
          <w:snapToGrid w:val="0"/>
        </w:rPr>
        <w:t xml:space="preserve">of the Convention </w:t>
      </w:r>
      <w:r w:rsidRPr="003821DA" w:rsidR="00B069DE">
        <w:rPr>
          <w:snapToGrid w:val="0"/>
        </w:rPr>
        <w:t xml:space="preserve">unless it was “in accordance with the law”, pursued one or more </w:t>
      </w:r>
      <w:r w:rsidRPr="003821DA" w:rsidR="00E23B41">
        <w:rPr>
          <w:snapToGrid w:val="0"/>
        </w:rPr>
        <w:t xml:space="preserve">of the </w:t>
      </w:r>
      <w:r w:rsidRPr="003821DA" w:rsidR="00B069DE">
        <w:rPr>
          <w:snapToGrid w:val="0"/>
        </w:rPr>
        <w:t xml:space="preserve">legitimate aims </w:t>
      </w:r>
      <w:r w:rsidRPr="003821DA" w:rsidR="00E23B41">
        <w:rPr>
          <w:snapToGrid w:val="0"/>
        </w:rPr>
        <w:t xml:space="preserve">set out in paragraph 2 of that provision, and was “necessary in a democratic society” to attain the aim or aims (see </w:t>
      </w:r>
      <w:r w:rsidRPr="003821DA" w:rsidR="00481AC9">
        <w:rPr>
          <w:i/>
          <w:snapToGrid w:val="0"/>
        </w:rPr>
        <w:t xml:space="preserve">Van der </w:t>
      </w:r>
      <w:proofErr w:type="spellStart"/>
      <w:r w:rsidRPr="003821DA" w:rsidR="00481AC9">
        <w:rPr>
          <w:i/>
          <w:snapToGrid w:val="0"/>
        </w:rPr>
        <w:t>Graaf</w:t>
      </w:r>
      <w:proofErr w:type="spellEnd"/>
      <w:r w:rsidRPr="003821DA" w:rsidR="00481AC9">
        <w:rPr>
          <w:i/>
          <w:snapToGrid w:val="0"/>
        </w:rPr>
        <w:t xml:space="preserve"> </w:t>
      </w:r>
      <w:r w:rsidRPr="003821DA" w:rsidR="00481AC9">
        <w:rPr>
          <w:snapToGrid w:val="0"/>
        </w:rPr>
        <w:t>(</w:t>
      </w:r>
      <w:proofErr w:type="spellStart"/>
      <w:r w:rsidRPr="003821DA" w:rsidR="00481AC9">
        <w:rPr>
          <w:snapToGrid w:val="0"/>
        </w:rPr>
        <w:t>dec.</w:t>
      </w:r>
      <w:proofErr w:type="spellEnd"/>
      <w:r w:rsidRPr="003821DA" w:rsidR="00481AC9">
        <w:rPr>
          <w:snapToGrid w:val="0"/>
        </w:rPr>
        <w:t>), cited above).</w:t>
      </w:r>
    </w:p>
    <w:p w:rsidRPr="003821DA" w:rsidR="00FA4D39" w:rsidP="003821DA" w:rsidRDefault="00FA4D39">
      <w:pPr>
        <w:pStyle w:val="ECHRHeading5"/>
      </w:pPr>
      <w:r w:rsidRPr="003821DA">
        <w:rPr>
          <w:snapToGrid w:val="0"/>
        </w:rPr>
        <w:t>ii.</w:t>
      </w:r>
      <w:proofErr w:type="gramStart"/>
      <w:r w:rsidRPr="003821DA">
        <w:rPr>
          <w:snapToGrid w:val="0"/>
        </w:rPr>
        <w:t>  Whether</w:t>
      </w:r>
      <w:proofErr w:type="gramEnd"/>
      <w:r w:rsidRPr="003821DA">
        <w:rPr>
          <w:snapToGrid w:val="0"/>
        </w:rPr>
        <w:t xml:space="preserve"> the interference was “in accordance with the law”</w:t>
      </w:r>
    </w:p>
    <w:p w:rsidRPr="003821DA" w:rsidR="00650873" w:rsidP="003821DA" w:rsidRDefault="00481AC9">
      <w:pPr>
        <w:pStyle w:val="ECHRPara"/>
        <w:rPr>
          <w:snapToGrid w:val="0"/>
        </w:rPr>
      </w:pPr>
      <w:r w:rsidRPr="003821DA">
        <w:fldChar w:fldCharType="begin"/>
      </w:r>
      <w:r w:rsidRPr="003821DA">
        <w:instrText xml:space="preserve"> SEQ level0 \*arabic </w:instrText>
      </w:r>
      <w:r w:rsidRPr="003821DA">
        <w:fldChar w:fldCharType="separate"/>
      </w:r>
      <w:r w:rsidRPr="003821DA" w:rsidR="003821DA">
        <w:rPr>
          <w:noProof/>
        </w:rPr>
        <w:t>85</w:t>
      </w:r>
      <w:r w:rsidRPr="003821DA">
        <w:fldChar w:fldCharType="end"/>
      </w:r>
      <w:r w:rsidRPr="003821DA">
        <w:t>.  </w:t>
      </w:r>
      <w:proofErr w:type="gramStart"/>
      <w:r w:rsidRPr="003821DA" w:rsidR="00BE158A">
        <w:t xml:space="preserve">The Court </w:t>
      </w:r>
      <w:r w:rsidRPr="003821DA" w:rsidR="005459D4">
        <w:t xml:space="preserve">further </w:t>
      </w:r>
      <w:r w:rsidRPr="003821DA" w:rsidR="00BE158A">
        <w:t>reiterates that the expression “in accordance with the law”, within the meaning of Article 8 § 2</w:t>
      </w:r>
      <w:r w:rsidRPr="003821DA" w:rsidR="00CC438B">
        <w:t xml:space="preserve"> of the Convention</w:t>
      </w:r>
      <w:r w:rsidRPr="003821DA" w:rsidR="005459D4">
        <w:t>,</w:t>
      </w:r>
      <w:r w:rsidRPr="003821DA" w:rsidR="00BE158A">
        <w:t xml:space="preserve"> requires </w:t>
      </w:r>
      <w:r w:rsidRPr="003821DA" w:rsidR="00014D42">
        <w:t xml:space="preserve">the impugned measure </w:t>
      </w:r>
      <w:r w:rsidRPr="003821DA" w:rsidR="00251061">
        <w:t xml:space="preserve">to </w:t>
      </w:r>
      <w:r w:rsidRPr="003821DA" w:rsidR="00014D42">
        <w:t>have some basis in domestic law and be compatible with the rule of law, which is expressly mentioned in the preamble to the Convention and inherent in the object and purpose of Article 8.</w:t>
      </w:r>
      <w:proofErr w:type="gramEnd"/>
      <w:r w:rsidRPr="003821DA" w:rsidR="00014D42">
        <w:t xml:space="preserve"> The law must thus be adequately accessible and foreseeable, that is, formulated with sufficient precision to enable the individual – if need be with appropriate advic</w:t>
      </w:r>
      <w:r w:rsidRPr="003821DA" w:rsidR="00523826">
        <w:t>e –</w:t>
      </w:r>
      <w:r w:rsidRPr="003821DA" w:rsidR="00014D42">
        <w:t xml:space="preserve"> to regulate his conduct. For domestic law to meet these requirements, it must afford adequate legal protection against arbitrariness and accordingly indicate with sufficient clarity the scope of discretion conferred on the competent authorities and the manner of its exercise </w:t>
      </w:r>
      <w:r w:rsidRPr="003821DA" w:rsidR="00BE158A">
        <w:t>(see</w:t>
      </w:r>
      <w:r w:rsidRPr="003821DA" w:rsidR="00014D42">
        <w:t>, among many other authorities,</w:t>
      </w:r>
      <w:r w:rsidRPr="003821DA" w:rsidR="004D1D15">
        <w:t xml:space="preserve"> </w:t>
      </w:r>
      <w:r w:rsidRPr="003821DA" w:rsidR="004D1D15">
        <w:rPr>
          <w:i/>
        </w:rPr>
        <w:t>M.M. v. the United Kingdom</w:t>
      </w:r>
      <w:r w:rsidRPr="003821DA" w:rsidR="004D1D15">
        <w:t>, no. 24029/07</w:t>
      </w:r>
      <w:r w:rsidRPr="003821DA" w:rsidR="004D1D15">
        <w:rPr>
          <w:snapToGrid w:val="0"/>
        </w:rPr>
        <w:t>, § 193, 13 November 2012</w:t>
      </w:r>
      <w:r w:rsidRPr="003821DA" w:rsidR="00014D42">
        <w:rPr>
          <w:snapToGrid w:val="0"/>
        </w:rPr>
        <w:t xml:space="preserve">). The Court must thus </w:t>
      </w:r>
      <w:r w:rsidRPr="003821DA" w:rsidR="00251061">
        <w:rPr>
          <w:snapToGrid w:val="0"/>
        </w:rPr>
        <w:t xml:space="preserve">also </w:t>
      </w:r>
      <w:r w:rsidRPr="003821DA" w:rsidR="00014D42">
        <w:rPr>
          <w:snapToGrid w:val="0"/>
        </w:rPr>
        <w:t xml:space="preserve">be satisfied that there exist adequate and effective guarantees against abuse. </w:t>
      </w:r>
      <w:proofErr w:type="gramStart"/>
      <w:r w:rsidRPr="003821DA" w:rsidR="00014D42">
        <w:rPr>
          <w:snapToGrid w:val="0"/>
        </w:rPr>
        <w:t>This assessment depends on all the circumstances of the case, such as the nature, scope and duration of the possible measures, the grounds required for ordering them, the authorities competent to permit, carry out and supervise them, and the kind of remedy provided by the national law</w:t>
      </w:r>
      <w:r w:rsidRPr="003821DA" w:rsidR="00014D42">
        <w:t xml:space="preserve"> (see</w:t>
      </w:r>
      <w:r w:rsidRPr="003821DA" w:rsidR="00BE158A">
        <w:t xml:space="preserve"> </w:t>
      </w:r>
      <w:proofErr w:type="spellStart"/>
      <w:r w:rsidRPr="003821DA" w:rsidR="00BE158A">
        <w:rPr>
          <w:i/>
          <w:iCs/>
        </w:rPr>
        <w:t>Benedik</w:t>
      </w:r>
      <w:proofErr w:type="spellEnd"/>
      <w:r w:rsidRPr="003821DA" w:rsidR="00BE158A">
        <w:rPr>
          <w:i/>
          <w:iCs/>
        </w:rPr>
        <w:t xml:space="preserve"> v. Slovenia</w:t>
      </w:r>
      <w:r w:rsidRPr="003821DA" w:rsidR="00BE158A">
        <w:rPr>
          <w:lang w:eastAsia="en-GB"/>
        </w:rPr>
        <w:t xml:space="preserve">, </w:t>
      </w:r>
      <w:r w:rsidRPr="003821DA" w:rsidR="004D1D15">
        <w:t>no. </w:t>
      </w:r>
      <w:r w:rsidRPr="003821DA" w:rsidR="00BE158A">
        <w:t>62357/14</w:t>
      </w:r>
      <w:r w:rsidRPr="003821DA" w:rsidR="00BE158A">
        <w:rPr>
          <w:lang w:eastAsia="en-GB"/>
        </w:rPr>
        <w:t xml:space="preserve">, </w:t>
      </w:r>
      <w:r w:rsidRPr="003821DA" w:rsidR="00BE158A">
        <w:rPr>
          <w:snapToGrid w:val="0"/>
        </w:rPr>
        <w:t>§</w:t>
      </w:r>
      <w:r w:rsidRPr="003821DA" w:rsidR="00014D42">
        <w:rPr>
          <w:snapToGrid w:val="0"/>
        </w:rPr>
        <w:t xml:space="preserve"> </w:t>
      </w:r>
      <w:r w:rsidRPr="003821DA" w:rsidR="00BB25DB">
        <w:rPr>
          <w:snapToGrid w:val="0"/>
        </w:rPr>
        <w:t>125</w:t>
      </w:r>
      <w:r w:rsidRPr="003821DA" w:rsidR="00BE158A">
        <w:rPr>
          <w:snapToGrid w:val="0"/>
        </w:rPr>
        <w:t>, 24 April 2018, and the authorities cited therein).</w:t>
      </w:r>
      <w:proofErr w:type="gramEnd"/>
    </w:p>
    <w:p w:rsidRPr="003821DA" w:rsidR="003F49F9" w:rsidP="003821DA" w:rsidRDefault="003F49F9">
      <w:pPr>
        <w:pStyle w:val="ECHRPara"/>
      </w:pPr>
      <w:r w:rsidRPr="003821DA">
        <w:rPr>
          <w:snapToGrid w:val="0"/>
        </w:rPr>
        <w:fldChar w:fldCharType="begin"/>
      </w:r>
      <w:r w:rsidRPr="003821DA">
        <w:rPr>
          <w:snapToGrid w:val="0"/>
        </w:rPr>
        <w:instrText xml:space="preserve"> SEQ level0 \*arabic </w:instrText>
      </w:r>
      <w:proofErr w:type="gramStart"/>
      <w:r w:rsidRPr="003821DA">
        <w:rPr>
          <w:snapToGrid w:val="0"/>
        </w:rPr>
        <w:fldChar w:fldCharType="separate"/>
      </w:r>
      <w:r w:rsidRPr="003821DA" w:rsidR="003821DA">
        <w:rPr>
          <w:noProof/>
          <w:snapToGrid w:val="0"/>
        </w:rPr>
        <w:t>86</w:t>
      </w:r>
      <w:r w:rsidRPr="003821DA">
        <w:rPr>
          <w:snapToGrid w:val="0"/>
        </w:rPr>
        <w:fldChar w:fldCharType="end"/>
      </w:r>
      <w:r w:rsidRPr="003821DA">
        <w:rPr>
          <w:snapToGrid w:val="0"/>
        </w:rPr>
        <w:t>.</w:t>
      </w:r>
      <w:proofErr w:type="gramEnd"/>
      <w:r w:rsidRPr="003821DA">
        <w:rPr>
          <w:snapToGrid w:val="0"/>
        </w:rPr>
        <w:t xml:space="preserve">  The Court also reiterates that it is primarily for the national authorities, notably the courts, to interpret and apply domestic law. However, </w:t>
      </w:r>
      <w:r w:rsidRPr="003821DA" w:rsidR="00251061">
        <w:rPr>
          <w:snapToGrid w:val="0"/>
        </w:rPr>
        <w:t>it</w:t>
      </w:r>
      <w:r w:rsidRPr="003821DA">
        <w:rPr>
          <w:snapToGrid w:val="0"/>
        </w:rPr>
        <w:t xml:space="preserve"> is required to verify whether the way in which the domestic law is interpreted and applied produces consequences that are consistent with the principles of the Convention as interpreted in the light of the Court</w:t>
      </w:r>
      <w:r w:rsidRPr="003821DA" w:rsidR="003821DA">
        <w:rPr>
          <w:snapToGrid w:val="0"/>
        </w:rPr>
        <w:t>’</w:t>
      </w:r>
      <w:r w:rsidRPr="003821DA">
        <w:rPr>
          <w:snapToGrid w:val="0"/>
        </w:rPr>
        <w:t xml:space="preserve">s case-law (see </w:t>
      </w:r>
      <w:proofErr w:type="spellStart"/>
      <w:r w:rsidRPr="003821DA">
        <w:rPr>
          <w:i/>
          <w:snapToGrid w:val="0"/>
        </w:rPr>
        <w:t>Cocchiarella</w:t>
      </w:r>
      <w:proofErr w:type="spellEnd"/>
      <w:r w:rsidRPr="003821DA">
        <w:rPr>
          <w:i/>
          <w:snapToGrid w:val="0"/>
        </w:rPr>
        <w:t xml:space="preserve"> v. Italy</w:t>
      </w:r>
      <w:r w:rsidRPr="003821DA">
        <w:rPr>
          <w:snapToGrid w:val="0"/>
        </w:rPr>
        <w:t xml:space="preserve"> [GC], no. 64886/01, §§ 81 and 82, ECHR 2006</w:t>
      </w:r>
      <w:r w:rsidRPr="003821DA">
        <w:rPr>
          <w:snapToGrid w:val="0"/>
        </w:rPr>
        <w:noBreakHyphen/>
        <w:t>V).</w:t>
      </w:r>
    </w:p>
    <w:p w:rsidRPr="003821DA" w:rsidR="00164F64" w:rsidP="003821DA" w:rsidRDefault="00315E58">
      <w:pPr>
        <w:pStyle w:val="ECHRPara"/>
      </w:pPr>
      <w:r w:rsidRPr="003821DA">
        <w:fldChar w:fldCharType="begin"/>
      </w:r>
      <w:r w:rsidRPr="003821DA">
        <w:instrText xml:space="preserve"> SEQ level0 \*arabic </w:instrText>
      </w:r>
      <w:r w:rsidRPr="003821DA">
        <w:fldChar w:fldCharType="separate"/>
      </w:r>
      <w:r w:rsidRPr="003821DA" w:rsidR="003821DA">
        <w:rPr>
          <w:noProof/>
        </w:rPr>
        <w:t>87</w:t>
      </w:r>
      <w:r w:rsidRPr="003821DA">
        <w:fldChar w:fldCharType="end"/>
      </w:r>
      <w:r w:rsidRPr="003821DA">
        <w:t>.  </w:t>
      </w:r>
      <w:proofErr w:type="gramStart"/>
      <w:r w:rsidRPr="003821DA">
        <w:t xml:space="preserve">In the instant case, the Government </w:t>
      </w:r>
      <w:r w:rsidRPr="003821DA" w:rsidR="00251061">
        <w:t xml:space="preserve">relied on </w:t>
      </w:r>
      <w:r w:rsidRPr="003821DA" w:rsidR="009C7434">
        <w:t xml:space="preserve">Article 83 of the </w:t>
      </w:r>
      <w:r w:rsidRPr="003821DA" w:rsidR="008C6000">
        <w:t>Code of Execution of Sentences</w:t>
      </w:r>
      <w:r w:rsidRPr="003821DA" w:rsidR="005D7C80">
        <w:t xml:space="preserve"> (see paragraph</w:t>
      </w:r>
      <w:r w:rsidRPr="003821DA" w:rsidR="002A5B94">
        <w:t xml:space="preserve"> </w:t>
      </w:r>
      <w:r w:rsidRPr="003821DA" w:rsidR="002A5B94">
        <w:fldChar w:fldCharType="begin"/>
      </w:r>
      <w:r w:rsidRPr="003821DA" w:rsidR="002A5B94">
        <w:instrText xml:space="preserve"> REF ExecutionCriminalSentencesCode \h  \* MERGEFORMAT </w:instrText>
      </w:r>
      <w:r w:rsidRPr="003821DA" w:rsidR="002A5B94">
        <w:fldChar w:fldCharType="separate"/>
      </w:r>
      <w:r w:rsidRPr="003821DA" w:rsidR="003821DA">
        <w:rPr>
          <w:noProof/>
        </w:rPr>
        <w:t>33</w:t>
      </w:r>
      <w:r w:rsidRPr="003821DA" w:rsidR="002A5B94">
        <w:fldChar w:fldCharType="end"/>
      </w:r>
      <w:r w:rsidRPr="003821DA" w:rsidR="005D7C80">
        <w:t xml:space="preserve"> above</w:t>
      </w:r>
      <w:r w:rsidRPr="003821DA" w:rsidR="00A1544A">
        <w:t>), section </w:t>
      </w:r>
      <w:r w:rsidRPr="003821DA" w:rsidR="000F741E">
        <w:t>34 of the Pre</w:t>
      </w:r>
      <w:r w:rsidRPr="003821DA" w:rsidR="000F741E">
        <w:noBreakHyphen/>
      </w:r>
      <w:r w:rsidRPr="003821DA" w:rsidR="005D7C80">
        <w:t xml:space="preserve">trial Detention Act </w:t>
      </w:r>
      <w:r w:rsidRPr="003821DA" w:rsidR="001A1B8B">
        <w:t>(see paragraph</w:t>
      </w:r>
      <w:r w:rsidRPr="003821DA" w:rsidR="002A5B94">
        <w:t xml:space="preserve"> </w:t>
      </w:r>
      <w:r w:rsidRPr="003821DA" w:rsidR="002A5B94">
        <w:fldChar w:fldCharType="begin"/>
      </w:r>
      <w:r w:rsidRPr="003821DA" w:rsidR="002A5B94">
        <w:instrText xml:space="preserve"> REF PreTrialDetentionAct \h  \* MERGEFORMAT </w:instrText>
      </w:r>
      <w:r w:rsidRPr="003821DA" w:rsidR="002A5B94">
        <w:fldChar w:fldCharType="separate"/>
      </w:r>
      <w:r w:rsidRPr="003821DA" w:rsidR="003821DA">
        <w:rPr>
          <w:noProof/>
          <w:lang w:bidi="en-US"/>
        </w:rPr>
        <w:t>34</w:t>
      </w:r>
      <w:r w:rsidRPr="003821DA" w:rsidR="002A5B94">
        <w:fldChar w:fldCharType="end"/>
      </w:r>
      <w:r w:rsidRPr="003821DA" w:rsidR="001A1B8B">
        <w:t xml:space="preserve"> above</w:t>
      </w:r>
      <w:r w:rsidRPr="003821DA" w:rsidR="006A61B0">
        <w:t>), e</w:t>
      </w:r>
      <w:r w:rsidRPr="003821DA" w:rsidR="001A1B8B">
        <w:t>xecutive order</w:t>
      </w:r>
      <w:r w:rsidRPr="003821DA" w:rsidR="003C1276">
        <w:t xml:space="preserve"> no. </w:t>
      </w:r>
      <w:r w:rsidRPr="003821DA" w:rsidR="006A61B0">
        <w:t>279 of 4 September 2006, as amended on 17 June 2013, of the Ministry of Justice</w:t>
      </w:r>
      <w:r w:rsidRPr="003821DA" w:rsidR="003C1276">
        <w:t xml:space="preserve"> (see paragraph</w:t>
      </w:r>
      <w:r w:rsidRPr="003821DA" w:rsidR="002A5B94">
        <w:t xml:space="preserve">s </w:t>
      </w:r>
      <w:r w:rsidRPr="003821DA" w:rsidR="002A5B94">
        <w:fldChar w:fldCharType="begin"/>
      </w:r>
      <w:r w:rsidRPr="003821DA" w:rsidR="002A5B94">
        <w:instrText xml:space="preserve"> REF ExecutiveOrder279Beg \h  \* MERGEFORMAT </w:instrText>
      </w:r>
      <w:r w:rsidRPr="003821DA" w:rsidR="002A5B94">
        <w:fldChar w:fldCharType="separate"/>
      </w:r>
      <w:r w:rsidRPr="003821DA" w:rsidR="003821DA">
        <w:rPr>
          <w:noProof/>
        </w:rPr>
        <w:t>39</w:t>
      </w:r>
      <w:r w:rsidRPr="003821DA" w:rsidR="002A5B94">
        <w:fldChar w:fldCharType="end"/>
      </w:r>
      <w:r w:rsidRPr="003821DA" w:rsidR="002A5B94">
        <w:t>-</w:t>
      </w:r>
      <w:r w:rsidRPr="003821DA" w:rsidR="002A5B94">
        <w:fldChar w:fldCharType="begin"/>
      </w:r>
      <w:r w:rsidRPr="003821DA" w:rsidR="002A5B94">
        <w:instrText xml:space="preserve"> REF ExecutiveOrder279End \h  \* MERGEFORMAT </w:instrText>
      </w:r>
      <w:r w:rsidRPr="003821DA" w:rsidR="002A5B94">
        <w:fldChar w:fldCharType="separate"/>
      </w:r>
      <w:r w:rsidRPr="003821DA" w:rsidR="003821DA">
        <w:rPr>
          <w:noProof/>
        </w:rPr>
        <w:t>40</w:t>
      </w:r>
      <w:r w:rsidRPr="003821DA" w:rsidR="002A5B94">
        <w:fldChar w:fldCharType="end"/>
      </w:r>
      <w:r w:rsidRPr="003821DA" w:rsidR="003C1276">
        <w:t xml:space="preserve"> above),</w:t>
      </w:r>
      <w:r w:rsidRPr="003821DA" w:rsidR="002A5B94">
        <w:t xml:space="preserve"> and executive orders nos. </w:t>
      </w:r>
      <w:r w:rsidRPr="003821DA" w:rsidR="001C4A76">
        <w:t>759 and 533</w:t>
      </w:r>
      <w:r w:rsidRPr="003821DA" w:rsidR="003C1276">
        <w:t xml:space="preserve"> of the Federal Service </w:t>
      </w:r>
      <w:r w:rsidRPr="003821DA" w:rsidR="008F385C">
        <w:t xml:space="preserve">for the </w:t>
      </w:r>
      <w:r w:rsidRPr="003821DA" w:rsidR="003C1276">
        <w:t>E</w:t>
      </w:r>
      <w:r w:rsidRPr="003821DA" w:rsidR="002A5B94">
        <w:t>xecution of Sentences, dated 13 </w:t>
      </w:r>
      <w:r w:rsidRPr="003821DA" w:rsidR="003C1276">
        <w:t>August 2005 and 25 August 2008 respectively (see paragraph</w:t>
      </w:r>
      <w:r w:rsidRPr="003821DA" w:rsidR="002A5B94">
        <w:t xml:space="preserve"> </w:t>
      </w:r>
      <w:r w:rsidRPr="003821DA" w:rsidR="002A5B94">
        <w:fldChar w:fldCharType="begin"/>
      </w:r>
      <w:r w:rsidRPr="003821DA" w:rsidR="002A5B94">
        <w:instrText xml:space="preserve"> REF FSINOrders \h  \* MERGEFORMAT </w:instrText>
      </w:r>
      <w:r w:rsidRPr="003821DA" w:rsidR="002A5B94">
        <w:fldChar w:fldCharType="separate"/>
      </w:r>
      <w:r w:rsidRPr="003821DA" w:rsidR="003821DA">
        <w:rPr>
          <w:noProof/>
        </w:rPr>
        <w:t>41</w:t>
      </w:r>
      <w:r w:rsidRPr="003821DA" w:rsidR="002A5B94">
        <w:fldChar w:fldCharType="end"/>
      </w:r>
      <w:r w:rsidRPr="003821DA" w:rsidR="003C1276">
        <w:t xml:space="preserve"> above), </w:t>
      </w:r>
      <w:r w:rsidRPr="003821DA" w:rsidR="001C4A76">
        <w:t>as the legal basis for the measure complained of</w:t>
      </w:r>
      <w:r w:rsidRPr="003821DA" w:rsidR="002A5B94">
        <w:t xml:space="preserve"> (see paragraphs </w:t>
      </w:r>
      <w:r w:rsidRPr="003821DA" w:rsidR="002A5B94">
        <w:fldChar w:fldCharType="begin"/>
      </w:r>
      <w:r w:rsidRPr="003821DA" w:rsidR="002A5B94">
        <w:instrText xml:space="preserve"> REF GvtLegalBasisLaw \h  \* MERGEFORMAT </w:instrText>
      </w:r>
      <w:r w:rsidRPr="003821DA" w:rsidR="002A5B94">
        <w:fldChar w:fldCharType="separate"/>
      </w:r>
      <w:r w:rsidRPr="003821DA" w:rsidR="003821DA">
        <w:rPr>
          <w:noProof/>
        </w:rPr>
        <w:t>69</w:t>
      </w:r>
      <w:r w:rsidRPr="003821DA" w:rsidR="002A5B94">
        <w:fldChar w:fldCharType="end"/>
      </w:r>
      <w:r w:rsidRPr="003821DA" w:rsidR="002A5B94">
        <w:t xml:space="preserve"> and </w:t>
      </w:r>
      <w:r w:rsidRPr="003821DA" w:rsidR="002A5B94">
        <w:fldChar w:fldCharType="begin"/>
      </w:r>
      <w:r w:rsidRPr="003821DA" w:rsidR="002A5B94">
        <w:instrText xml:space="preserve"> REF GvtLegalBasisExeOrders \h  \* MERGEFORMAT </w:instrText>
      </w:r>
      <w:r w:rsidRPr="003821DA" w:rsidR="002A5B94">
        <w:fldChar w:fldCharType="separate"/>
      </w:r>
      <w:r w:rsidRPr="003821DA" w:rsidR="003821DA">
        <w:rPr>
          <w:noProof/>
        </w:rPr>
        <w:t>71</w:t>
      </w:r>
      <w:r w:rsidRPr="003821DA" w:rsidR="002A5B94">
        <w:fldChar w:fldCharType="end"/>
      </w:r>
      <w:r w:rsidRPr="003821DA" w:rsidR="002A5B94">
        <w:t xml:space="preserve"> above)</w:t>
      </w:r>
      <w:r w:rsidRPr="003821DA" w:rsidR="001C4A76">
        <w:t>.</w:t>
      </w:r>
      <w:proofErr w:type="gramEnd"/>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88</w:t>
      </w:r>
      <w:r w:rsidRPr="003821DA">
        <w:fldChar w:fldCharType="end"/>
      </w:r>
      <w:r w:rsidRPr="003821DA" w:rsidR="00014566">
        <w:t xml:space="preserve">.  The Court </w:t>
      </w:r>
      <w:r w:rsidRPr="003821DA" w:rsidR="00C03694">
        <w:t xml:space="preserve">observes </w:t>
      </w:r>
      <w:r w:rsidRPr="003821DA" w:rsidR="00014566">
        <w:t xml:space="preserve">that </w:t>
      </w:r>
      <w:r w:rsidRPr="003821DA" w:rsidR="00123A44">
        <w:t xml:space="preserve">Article 83 of the Code of Execution of Sentences </w:t>
      </w:r>
      <w:r w:rsidRPr="003821DA" w:rsidR="00FB03DB">
        <w:t>vests in</w:t>
      </w:r>
      <w:r w:rsidRPr="003821DA" w:rsidR="00054436">
        <w:t xml:space="preserve"> administrations of </w:t>
      </w:r>
      <w:r w:rsidRPr="003821DA" w:rsidR="00E34B2D">
        <w:t>penal institution</w:t>
      </w:r>
      <w:r w:rsidRPr="003821DA" w:rsidR="00054436">
        <w:t>s</w:t>
      </w:r>
      <w:r w:rsidRPr="003821DA" w:rsidR="00315486">
        <w:t xml:space="preserve"> </w:t>
      </w:r>
      <w:r w:rsidRPr="003821DA" w:rsidR="00FB03DB">
        <w:t xml:space="preserve">the right </w:t>
      </w:r>
      <w:r w:rsidRPr="003821DA" w:rsidR="002F018E">
        <w:t xml:space="preserve">to use </w:t>
      </w:r>
      <w:proofErr w:type="spellStart"/>
      <w:r w:rsidRPr="003821DA" w:rsidR="002F018E">
        <w:t>audiovisual</w:t>
      </w:r>
      <w:proofErr w:type="spellEnd"/>
      <w:r w:rsidRPr="003821DA" w:rsidR="002F018E">
        <w:t xml:space="preserve">, electronic and other technical means </w:t>
      </w:r>
      <w:r w:rsidRPr="003821DA" w:rsidR="00EC5306">
        <w:t xml:space="preserve">of surveillance and control </w:t>
      </w:r>
      <w:r w:rsidRPr="003821DA" w:rsidR="00D512A2">
        <w:t xml:space="preserve">of </w:t>
      </w:r>
      <w:r w:rsidRPr="003821DA" w:rsidR="00EC5306">
        <w:t xml:space="preserve">detainees. Similarly, </w:t>
      </w:r>
      <w:r w:rsidRPr="003821DA" w:rsidR="000570A1">
        <w:t xml:space="preserve">section 34 of the Pre-trial Detention Act </w:t>
      </w:r>
      <w:r w:rsidRPr="003821DA" w:rsidR="00EC5306">
        <w:t>establishes that “audio and video equipment may be used for the purpose</w:t>
      </w:r>
      <w:r w:rsidRPr="003821DA" w:rsidR="006465F4">
        <w:t>s</w:t>
      </w:r>
      <w:r w:rsidRPr="003821DA" w:rsidR="00EC5306">
        <w:t xml:space="preserve"> of surveillance” </w:t>
      </w:r>
      <w:r w:rsidRPr="003821DA" w:rsidR="00D512A2">
        <w:t xml:space="preserve">of </w:t>
      </w:r>
      <w:r w:rsidRPr="003821DA" w:rsidR="00EC5306">
        <w:t>individuals in pre-trial detention.</w:t>
      </w:r>
      <w:r w:rsidRPr="003821DA" w:rsidR="004C55E8">
        <w:t xml:space="preserve"> </w:t>
      </w:r>
      <w:r w:rsidRPr="003821DA" w:rsidR="0038544F">
        <w:t xml:space="preserve">Whilst </w:t>
      </w:r>
      <w:r w:rsidRPr="003821DA" w:rsidR="00884020">
        <w:t>those</w:t>
      </w:r>
      <w:r w:rsidRPr="003821DA" w:rsidR="00232F0A">
        <w:t xml:space="preserve"> legal </w:t>
      </w:r>
      <w:r w:rsidRPr="003821DA" w:rsidR="00254291">
        <w:t xml:space="preserve">provisions </w:t>
      </w:r>
      <w:r w:rsidRPr="003821DA" w:rsidR="00232F0A">
        <w:t>set forth</w:t>
      </w:r>
      <w:r w:rsidRPr="003821DA" w:rsidR="00164F64">
        <w:t xml:space="preserve"> </w:t>
      </w:r>
      <w:r w:rsidRPr="003821DA" w:rsidR="0038544F">
        <w:t xml:space="preserve">a general rule enabling the administrations of </w:t>
      </w:r>
      <w:r w:rsidRPr="003821DA" w:rsidR="00E34B2D">
        <w:t>penal institution</w:t>
      </w:r>
      <w:r w:rsidRPr="003821DA" w:rsidR="0038544F">
        <w:t xml:space="preserve">s and pre-trial detention centres to </w:t>
      </w:r>
      <w:r w:rsidRPr="003821DA" w:rsidR="00B47D16">
        <w:t>have recourse to</w:t>
      </w:r>
      <w:r w:rsidRPr="003821DA" w:rsidR="0038544F">
        <w:t xml:space="preserve"> video surveillance, the</w:t>
      </w:r>
      <w:r w:rsidRPr="003821DA" w:rsidR="00B47D16">
        <w:t>y</w:t>
      </w:r>
      <w:r w:rsidRPr="003821DA" w:rsidR="0038544F">
        <w:t xml:space="preserve"> </w:t>
      </w:r>
      <w:r w:rsidRPr="003821DA" w:rsidR="00232F0A">
        <w:t xml:space="preserve">provide no further details </w:t>
      </w:r>
      <w:r w:rsidRPr="003821DA" w:rsidR="00A1544A">
        <w:t xml:space="preserve">in that respect. They do not specify, </w:t>
      </w:r>
      <w:r w:rsidRPr="003821DA" w:rsidR="00EB758A">
        <w:t>for example</w:t>
      </w:r>
      <w:r w:rsidRPr="003821DA" w:rsidR="00A1544A">
        <w:t xml:space="preserve">, </w:t>
      </w:r>
      <w:r w:rsidRPr="003821DA" w:rsidR="00B449A6">
        <w:t xml:space="preserve">whether </w:t>
      </w:r>
      <w:r w:rsidRPr="003821DA" w:rsidR="008E40D3">
        <w:t>both the common parts and residential areas</w:t>
      </w:r>
      <w:r w:rsidRPr="003821DA" w:rsidR="003924F6">
        <w:t xml:space="preserve"> should be </w:t>
      </w:r>
      <w:r w:rsidRPr="003821DA" w:rsidR="00C0557B">
        <w:t>subject to surveillance</w:t>
      </w:r>
      <w:r w:rsidRPr="003821DA" w:rsidR="008E40D3">
        <w:t xml:space="preserve">; at which time of the day it should be </w:t>
      </w:r>
      <w:r w:rsidRPr="003821DA" w:rsidR="001A3909">
        <w:t>operational</w:t>
      </w:r>
      <w:r w:rsidRPr="003821DA" w:rsidR="008E40D3">
        <w:t xml:space="preserve">; </w:t>
      </w:r>
      <w:r w:rsidRPr="003821DA" w:rsidR="001A3909">
        <w:t>its</w:t>
      </w:r>
      <w:r w:rsidRPr="003821DA" w:rsidR="00B47D16">
        <w:t xml:space="preserve"> </w:t>
      </w:r>
      <w:r w:rsidRPr="003821DA" w:rsidR="00232F0A">
        <w:t>conditions</w:t>
      </w:r>
      <w:r w:rsidRPr="003821DA" w:rsidR="001A3909">
        <w:t xml:space="preserve"> and length</w:t>
      </w:r>
      <w:r w:rsidRPr="003821DA" w:rsidR="003924F6">
        <w:t>;</w:t>
      </w:r>
      <w:r w:rsidRPr="003821DA" w:rsidR="00B47D16">
        <w:t xml:space="preserve"> </w:t>
      </w:r>
      <w:r w:rsidRPr="003821DA" w:rsidR="008E0938">
        <w:t xml:space="preserve">the </w:t>
      </w:r>
      <w:r w:rsidRPr="003821DA" w:rsidR="00B47D16">
        <w:t xml:space="preserve">applicable procedures, </w:t>
      </w:r>
      <w:r w:rsidRPr="003821DA" w:rsidR="008E0938">
        <w:t xml:space="preserve">and such </w:t>
      </w:r>
      <w:r w:rsidRPr="003821DA" w:rsidR="00B47D16">
        <w:t>like</w:t>
      </w:r>
      <w:r w:rsidRPr="003821DA" w:rsidR="00232F0A">
        <w:t>.</w:t>
      </w:r>
      <w:r w:rsidRPr="003821DA" w:rsidR="007E73A9">
        <w:t xml:space="preserve"> The only obligation imposed on the administrations of </w:t>
      </w:r>
      <w:r w:rsidRPr="003821DA" w:rsidR="00E34B2D">
        <w:t>penal institution</w:t>
      </w:r>
      <w:r w:rsidRPr="003821DA" w:rsidR="007E73A9">
        <w:t>s by Article 83</w:t>
      </w:r>
      <w:r w:rsidRPr="003821DA" w:rsidR="002D5AD6">
        <w:t> § </w:t>
      </w:r>
      <w:proofErr w:type="gramStart"/>
      <w:r w:rsidRPr="003821DA" w:rsidR="002D5AD6">
        <w:t>2</w:t>
      </w:r>
      <w:proofErr w:type="gramEnd"/>
      <w:r w:rsidRPr="003821DA" w:rsidR="007E73A9">
        <w:t xml:space="preserve"> of th</w:t>
      </w:r>
      <w:r w:rsidRPr="003821DA" w:rsidR="00C03694">
        <w:t>e Code of Execution of S</w:t>
      </w:r>
      <w:r w:rsidRPr="003821DA" w:rsidR="007E73A9">
        <w:t xml:space="preserve">entences is to inform convicts, </w:t>
      </w:r>
      <w:r w:rsidRPr="003821DA" w:rsidR="002809DC">
        <w:t>obtaining their signature as acknowledgment</w:t>
      </w:r>
      <w:r w:rsidRPr="003821DA" w:rsidR="007E73A9">
        <w:t xml:space="preserve">, of the use of the </w:t>
      </w:r>
      <w:r w:rsidRPr="003821DA" w:rsidR="00C03694">
        <w:t>above-mentioned means of control and surveillance.</w:t>
      </w:r>
    </w:p>
    <w:p w:rsidRPr="003821DA" w:rsidR="002C3512" w:rsidP="003821DA" w:rsidRDefault="00B82154">
      <w:pPr>
        <w:pStyle w:val="ECHRPara"/>
      </w:pPr>
      <w:r w:rsidRPr="003821DA">
        <w:fldChar w:fldCharType="begin"/>
      </w:r>
      <w:r w:rsidRPr="003821DA">
        <w:instrText xml:space="preserve"> SEQ level0 \*arabic </w:instrText>
      </w:r>
      <w:r w:rsidRPr="003821DA">
        <w:fldChar w:fldCharType="separate"/>
      </w:r>
      <w:r w:rsidRPr="003821DA" w:rsidR="003821DA">
        <w:rPr>
          <w:noProof/>
        </w:rPr>
        <w:t>89</w:t>
      </w:r>
      <w:r w:rsidRPr="003821DA">
        <w:fldChar w:fldCharType="end"/>
      </w:r>
      <w:r w:rsidRPr="003821DA">
        <w:t>.  </w:t>
      </w:r>
      <w:proofErr w:type="gramStart"/>
      <w:r w:rsidRPr="003821DA" w:rsidR="001A3909">
        <w:t>The Court accepts that</w:t>
      </w:r>
      <w:r w:rsidRPr="003821DA" w:rsidR="00A12DC8">
        <w:t xml:space="preserve"> it</w:t>
      </w:r>
      <w:r w:rsidRPr="003821DA" w:rsidR="001A3909">
        <w:t xml:space="preserve"> is</w:t>
      </w:r>
      <w:r w:rsidRPr="003821DA" w:rsidR="00C26ECF">
        <w:t xml:space="preserve"> difficult to </w:t>
      </w:r>
      <w:r w:rsidRPr="003821DA" w:rsidR="009F4177">
        <w:t>attain absolute certainty in the framing of laws, and that the need to avoid excessive rigidity and to keep pace with changing circumstances means that many laws are inevitably couched in terms which, to a greater or lesser extent, are vague</w:t>
      </w:r>
      <w:r w:rsidRPr="003821DA" w:rsidR="003D4EFC">
        <w:t xml:space="preserve"> (see </w:t>
      </w:r>
      <w:r w:rsidRPr="003821DA" w:rsidR="003D4EFC">
        <w:rPr>
          <w:i/>
        </w:rPr>
        <w:t>Silver and Others v. the United Kingdom</w:t>
      </w:r>
      <w:r w:rsidRPr="003821DA" w:rsidR="000F741E">
        <w:t>, 25 </w:t>
      </w:r>
      <w:r w:rsidRPr="003821DA" w:rsidR="003D4EFC">
        <w:t>March 1983, § 88, Series A no. 61)</w:t>
      </w:r>
      <w:r w:rsidRPr="003821DA" w:rsidR="009F4177">
        <w:t>.</w:t>
      </w:r>
      <w:proofErr w:type="gramEnd"/>
      <w:r w:rsidRPr="003821DA" w:rsidR="00EF6789">
        <w:t xml:space="preserve"> </w:t>
      </w:r>
      <w:proofErr w:type="gramStart"/>
      <w:r w:rsidRPr="003821DA" w:rsidR="00663A3A">
        <w:t>The criterion of foreseeability cannot be interpreted as requiring that all detailed conditions and procedures governing the interference be laid down in the substantive law itself</w:t>
      </w:r>
      <w:r w:rsidRPr="003821DA" w:rsidR="005530D3">
        <w:t xml:space="preserve">, </w:t>
      </w:r>
      <w:r w:rsidRPr="003821DA" w:rsidR="00663A3A">
        <w:t xml:space="preserve">and the requirements of </w:t>
      </w:r>
      <w:r w:rsidRPr="003821DA" w:rsidR="008C014D">
        <w:t>“lawfulness”</w:t>
      </w:r>
      <w:r w:rsidRPr="003821DA" w:rsidR="00663A3A">
        <w:t xml:space="preserve"> can be met if points which cannot be satisfactorily resolved </w:t>
      </w:r>
      <w:r w:rsidRPr="003821DA" w:rsidR="00275478">
        <w:t>on the basis of substantive law are set ou</w:t>
      </w:r>
      <w:r w:rsidRPr="003821DA" w:rsidR="002C3512">
        <w:t>t in enactments of lower rank tha</w:t>
      </w:r>
      <w:r w:rsidRPr="003821DA" w:rsidR="00153ED0">
        <w:t>n</w:t>
      </w:r>
      <w:r w:rsidRPr="003821DA" w:rsidR="002C3512">
        <w:t xml:space="preserve"> statutes (ibid.</w:t>
      </w:r>
      <w:r w:rsidRPr="003821DA" w:rsidR="007421E9">
        <w:t>,</w:t>
      </w:r>
      <w:r w:rsidRPr="003821DA" w:rsidR="002C3512">
        <w:t xml:space="preserve"> §§ 88-89 and 93-94; </w:t>
      </w:r>
      <w:r w:rsidRPr="003821DA" w:rsidR="002C3512">
        <w:rPr>
          <w:i/>
        </w:rPr>
        <w:t xml:space="preserve">Association </w:t>
      </w:r>
      <w:proofErr w:type="spellStart"/>
      <w:r w:rsidRPr="003821DA" w:rsidR="002C3512">
        <w:rPr>
          <w:i/>
        </w:rPr>
        <w:t>Ekin</w:t>
      </w:r>
      <w:proofErr w:type="spellEnd"/>
      <w:r w:rsidRPr="003821DA" w:rsidR="002C3512">
        <w:rPr>
          <w:i/>
        </w:rPr>
        <w:t xml:space="preserve"> v. France</w:t>
      </w:r>
      <w:r w:rsidRPr="003821DA" w:rsidR="00F10828">
        <w:t>, no. 39288/98, § 46, ECHR </w:t>
      </w:r>
      <w:r w:rsidRPr="003821DA" w:rsidR="002C3512">
        <w:t>2001-VIII</w:t>
      </w:r>
      <w:r w:rsidRPr="003821DA" w:rsidR="00317E4D">
        <w:t xml:space="preserve">; and </w:t>
      </w:r>
      <w:proofErr w:type="spellStart"/>
      <w:r w:rsidRPr="003821DA" w:rsidR="00317E4D">
        <w:rPr>
          <w:i/>
          <w:iCs/>
        </w:rPr>
        <w:t>Lebois</w:t>
      </w:r>
      <w:proofErr w:type="spellEnd"/>
      <w:r w:rsidRPr="003821DA" w:rsidR="00317E4D">
        <w:rPr>
          <w:i/>
          <w:iCs/>
        </w:rPr>
        <w:t xml:space="preserve"> v. Bulgaria</w:t>
      </w:r>
      <w:r w:rsidRPr="003821DA" w:rsidR="00317E4D">
        <w:t>, no. 67482/14, § 66, 19 October 2017</w:t>
      </w:r>
      <w:r w:rsidRPr="003821DA" w:rsidR="002C3512">
        <w:t>).</w:t>
      </w:r>
      <w:proofErr w:type="gramEnd"/>
      <w:r w:rsidRPr="003821DA" w:rsidR="00E77831">
        <w:t xml:space="preserve"> It is noteworthy in the present case that Article 83 § 3 of the Code of Execution of Sentences provides that a list of technical means of control and surveillance as well as the procedure for their use </w:t>
      </w:r>
      <w:r w:rsidRPr="003821DA" w:rsidR="00FF1304">
        <w:t>is to</w:t>
      </w:r>
      <w:r w:rsidRPr="003821DA" w:rsidR="00E77831">
        <w:t xml:space="preserve"> be established by other legal </w:t>
      </w:r>
      <w:r w:rsidRPr="003821DA" w:rsidR="007421E9">
        <w:t xml:space="preserve">instruments </w:t>
      </w:r>
      <w:r w:rsidRPr="003821DA" w:rsidR="00E77831">
        <w:t xml:space="preserve">and regulations (see paragraph </w:t>
      </w:r>
      <w:r w:rsidRPr="003821DA" w:rsidR="00E77831">
        <w:fldChar w:fldCharType="begin"/>
      </w:r>
      <w:r w:rsidRPr="003821DA" w:rsidR="00E77831">
        <w:instrText xml:space="preserve"> REF ExecutionCriminalSentencesCode \h </w:instrText>
      </w:r>
      <w:r w:rsidRPr="003821DA" w:rsidR="00E77831">
        <w:fldChar w:fldCharType="separate"/>
      </w:r>
      <w:r w:rsidRPr="003821DA" w:rsidR="003821DA">
        <w:rPr>
          <w:noProof/>
        </w:rPr>
        <w:t>33</w:t>
      </w:r>
      <w:r w:rsidRPr="003821DA" w:rsidR="00E77831">
        <w:fldChar w:fldCharType="end"/>
      </w:r>
      <w:r w:rsidRPr="003821DA" w:rsidR="00E77831">
        <w:t xml:space="preserve"> above).</w:t>
      </w:r>
    </w:p>
    <w:p w:rsidRPr="003821DA" w:rsidR="00152D72"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90</w:t>
      </w:r>
      <w:r w:rsidRPr="003821DA">
        <w:rPr>
          <w:noProof/>
        </w:rPr>
        <w:fldChar w:fldCharType="end"/>
      </w:r>
      <w:r w:rsidRPr="003821DA" w:rsidR="00DB7AE0">
        <w:t>. </w:t>
      </w:r>
      <w:r w:rsidRPr="003821DA" w:rsidR="000E46BF">
        <w:t> </w:t>
      </w:r>
      <w:proofErr w:type="gramStart"/>
      <w:r w:rsidRPr="003821DA" w:rsidR="00EB758A">
        <w:t xml:space="preserve">As to </w:t>
      </w:r>
      <w:r w:rsidRPr="003821DA" w:rsidR="00756293">
        <w:t>the Government</w:t>
      </w:r>
      <w:r w:rsidRPr="003821DA" w:rsidR="003821DA">
        <w:t>’</w:t>
      </w:r>
      <w:r w:rsidRPr="003821DA" w:rsidR="00EB758A">
        <w:t xml:space="preserve">s reliance </w:t>
      </w:r>
      <w:r w:rsidRPr="003821DA" w:rsidR="00756293">
        <w:t xml:space="preserve">on </w:t>
      </w:r>
      <w:r w:rsidRPr="003821DA" w:rsidR="00F10828">
        <w:t>executive order no. 279 of 4 </w:t>
      </w:r>
      <w:r w:rsidRPr="003821DA" w:rsidR="00BF348B">
        <w:t>September 2006, as amended on 17 June 2013, of the Ministry of Justice</w:t>
      </w:r>
      <w:r w:rsidRPr="003821DA" w:rsidR="00E77831">
        <w:t xml:space="preserve"> (see paragraphs </w:t>
      </w:r>
      <w:r w:rsidRPr="003821DA" w:rsidR="008F69E7">
        <w:fldChar w:fldCharType="begin"/>
      </w:r>
      <w:r w:rsidRPr="003821DA" w:rsidR="008F69E7">
        <w:instrText xml:space="preserve"> REF ExecutiveOrder279Beg \h </w:instrText>
      </w:r>
      <w:r w:rsidRPr="003821DA" w:rsidR="008F69E7">
        <w:fldChar w:fldCharType="separate"/>
      </w:r>
      <w:r w:rsidRPr="003821DA" w:rsidR="003821DA">
        <w:rPr>
          <w:noProof/>
        </w:rPr>
        <w:t>39</w:t>
      </w:r>
      <w:r w:rsidRPr="003821DA" w:rsidR="008F69E7">
        <w:fldChar w:fldCharType="end"/>
      </w:r>
      <w:r w:rsidRPr="003821DA" w:rsidR="008F69E7">
        <w:t>-</w:t>
      </w:r>
      <w:r w:rsidRPr="003821DA" w:rsidR="008F69E7">
        <w:fldChar w:fldCharType="begin"/>
      </w:r>
      <w:r w:rsidRPr="003821DA" w:rsidR="008F69E7">
        <w:instrText xml:space="preserve"> REF ExecutiveOrder279End \h </w:instrText>
      </w:r>
      <w:r w:rsidRPr="003821DA" w:rsidR="008F69E7">
        <w:fldChar w:fldCharType="separate"/>
      </w:r>
      <w:r w:rsidRPr="003821DA" w:rsidR="003821DA">
        <w:rPr>
          <w:noProof/>
        </w:rPr>
        <w:t>40</w:t>
      </w:r>
      <w:r w:rsidRPr="003821DA" w:rsidR="008F69E7">
        <w:fldChar w:fldCharType="end"/>
      </w:r>
      <w:r w:rsidRPr="003821DA" w:rsidR="00E77831">
        <w:t xml:space="preserve"> above)</w:t>
      </w:r>
      <w:r w:rsidRPr="003821DA" w:rsidR="00BF348B">
        <w:t xml:space="preserve">, and executive orders nos. 759 and 533 of the Federal Service </w:t>
      </w:r>
      <w:r w:rsidRPr="003821DA" w:rsidR="00500D77">
        <w:t xml:space="preserve">for the </w:t>
      </w:r>
      <w:r w:rsidRPr="003821DA" w:rsidR="00BF348B">
        <w:t xml:space="preserve">Execution of Sentences, dated 13 August 2005 and 25 August 2008 respectively (see paragraph </w:t>
      </w:r>
      <w:r w:rsidRPr="003821DA" w:rsidR="008F69E7">
        <w:fldChar w:fldCharType="begin"/>
      </w:r>
      <w:r w:rsidRPr="003821DA" w:rsidR="008F69E7">
        <w:instrText xml:space="preserve"> REF FSINOrders \h  \* MERGEFORMAT </w:instrText>
      </w:r>
      <w:r w:rsidRPr="003821DA" w:rsidR="008F69E7">
        <w:fldChar w:fldCharType="separate"/>
      </w:r>
      <w:r w:rsidRPr="003821DA" w:rsidR="003821DA">
        <w:rPr>
          <w:noProof/>
        </w:rPr>
        <w:t>41</w:t>
      </w:r>
      <w:r w:rsidRPr="003821DA" w:rsidR="008F69E7">
        <w:fldChar w:fldCharType="end"/>
      </w:r>
      <w:r w:rsidRPr="003821DA" w:rsidR="00BF348B">
        <w:t xml:space="preserve"> above), the Court notes t</w:t>
      </w:r>
      <w:r w:rsidRPr="003821DA" w:rsidR="006F76AD">
        <w:t xml:space="preserve">hat the instruments in question </w:t>
      </w:r>
      <w:r w:rsidRPr="003821DA" w:rsidR="000A2F4A">
        <w:t>provide purely</w:t>
      </w:r>
      <w:r w:rsidRPr="003821DA" w:rsidR="00357E1B">
        <w:t xml:space="preserve"> </w:t>
      </w:r>
      <w:r w:rsidRPr="003821DA" w:rsidR="005D717B">
        <w:t xml:space="preserve">technical </w:t>
      </w:r>
      <w:r w:rsidRPr="003821DA" w:rsidR="006D0036">
        <w:t>specifications</w:t>
      </w:r>
      <w:r w:rsidRPr="003821DA" w:rsidR="005D717B">
        <w:t xml:space="preserve"> for security and control systems in </w:t>
      </w:r>
      <w:r w:rsidRPr="003821DA" w:rsidR="00E34B2D">
        <w:t>penal institution</w:t>
      </w:r>
      <w:r w:rsidRPr="003821DA" w:rsidR="005D717B">
        <w:t>s and pre-trial detention centres</w:t>
      </w:r>
      <w:r w:rsidRPr="003821DA" w:rsidR="006F76AD">
        <w:t>.</w:t>
      </w:r>
      <w:proofErr w:type="gramEnd"/>
      <w:r w:rsidRPr="003821DA" w:rsidR="006F76AD">
        <w:t xml:space="preserve"> </w:t>
      </w:r>
      <w:r w:rsidRPr="003821DA" w:rsidR="006D0036">
        <w:t>They</w:t>
      </w:r>
      <w:r w:rsidRPr="003821DA" w:rsidR="00216E3D">
        <w:t xml:space="preserve"> set</w:t>
      </w:r>
      <w:r w:rsidRPr="003821DA" w:rsidR="00153ED0">
        <w:t xml:space="preserve"> out</w:t>
      </w:r>
      <w:r w:rsidRPr="003821DA" w:rsidR="00216E3D">
        <w:t xml:space="preserve"> a list of technical means f</w:t>
      </w:r>
      <w:r w:rsidRPr="003821DA" w:rsidR="008A3001">
        <w:t>or guard</w:t>
      </w:r>
      <w:r w:rsidRPr="003821DA" w:rsidR="00884020">
        <w:t>ing,</w:t>
      </w:r>
      <w:r w:rsidRPr="003821DA" w:rsidR="008A3001">
        <w:t xml:space="preserve"> surveillance and control</w:t>
      </w:r>
      <w:r w:rsidRPr="003821DA" w:rsidR="006D0036">
        <w:t xml:space="preserve">, CCTV </w:t>
      </w:r>
      <w:r w:rsidRPr="003821DA" w:rsidR="00523826">
        <w:t>system</w:t>
      </w:r>
      <w:r w:rsidRPr="003821DA" w:rsidR="00884020">
        <w:t>s</w:t>
      </w:r>
      <w:r w:rsidRPr="003821DA" w:rsidR="006D0036">
        <w:t xml:space="preserve"> being amongst </w:t>
      </w:r>
      <w:r w:rsidRPr="003821DA" w:rsidR="00884020">
        <w:t>them</w:t>
      </w:r>
      <w:r w:rsidRPr="003821DA" w:rsidR="006D0036">
        <w:t>,</w:t>
      </w:r>
      <w:r w:rsidRPr="003821DA" w:rsidR="008A3001">
        <w:t xml:space="preserve"> in such institutions, </w:t>
      </w:r>
      <w:r w:rsidRPr="003821DA" w:rsidR="006D0036">
        <w:t xml:space="preserve">and detailed technical and engineering </w:t>
      </w:r>
      <w:r w:rsidRPr="003821DA" w:rsidR="00EA6EFA">
        <w:t>standards</w:t>
      </w:r>
      <w:r w:rsidRPr="003821DA" w:rsidR="006D0036">
        <w:t xml:space="preserve"> </w:t>
      </w:r>
      <w:r w:rsidRPr="003821DA" w:rsidR="001F459B">
        <w:t>in respect of those means</w:t>
      </w:r>
      <w:r w:rsidRPr="003821DA" w:rsidR="006D0036">
        <w:t xml:space="preserve">. They </w:t>
      </w:r>
      <w:r w:rsidRPr="003821DA" w:rsidR="00884020">
        <w:t>provide</w:t>
      </w:r>
      <w:r w:rsidRPr="003821DA" w:rsidR="006D0036">
        <w:t xml:space="preserve">, in particular, that each cell in </w:t>
      </w:r>
      <w:r w:rsidRPr="003821DA" w:rsidR="00884020">
        <w:t xml:space="preserve">penal institutions </w:t>
      </w:r>
      <w:r w:rsidRPr="003821DA" w:rsidR="006D0036">
        <w:t xml:space="preserve">and pre-trial detention centres should be equipped with a CCTV camera, and </w:t>
      </w:r>
      <w:r w:rsidRPr="003821DA" w:rsidR="000A2F4A">
        <w:t>describe</w:t>
      </w:r>
      <w:r w:rsidRPr="003821DA" w:rsidR="00884020">
        <w:t xml:space="preserve"> the</w:t>
      </w:r>
      <w:r w:rsidRPr="003821DA" w:rsidR="00EA6EFA">
        <w:t xml:space="preserve"> technical requirements and </w:t>
      </w:r>
      <w:proofErr w:type="gramStart"/>
      <w:r w:rsidRPr="003821DA" w:rsidR="00EA6EFA">
        <w:t>characteristics</w:t>
      </w:r>
      <w:r w:rsidRPr="003821DA" w:rsidR="006D0036">
        <w:t xml:space="preserve"> which</w:t>
      </w:r>
      <w:proofErr w:type="gramEnd"/>
      <w:r w:rsidRPr="003821DA" w:rsidR="006D0036">
        <w:t xml:space="preserve"> every camera should satisfy</w:t>
      </w:r>
      <w:r w:rsidRPr="003821DA" w:rsidR="00523826">
        <w:t xml:space="preserve"> (see paragraph </w:t>
      </w:r>
      <w:r w:rsidRPr="003821DA" w:rsidR="00523826">
        <w:fldChar w:fldCharType="begin"/>
      </w:r>
      <w:r w:rsidRPr="003821DA" w:rsidR="00523826">
        <w:instrText xml:space="preserve"> REF ExecutiveOrder279End \h </w:instrText>
      </w:r>
      <w:r w:rsidRPr="003821DA" w:rsidR="00523826">
        <w:fldChar w:fldCharType="separate"/>
      </w:r>
      <w:r w:rsidRPr="003821DA" w:rsidR="003821DA">
        <w:rPr>
          <w:noProof/>
        </w:rPr>
        <w:t>40</w:t>
      </w:r>
      <w:r w:rsidRPr="003821DA" w:rsidR="00523826">
        <w:fldChar w:fldCharType="end"/>
      </w:r>
      <w:r w:rsidRPr="003821DA" w:rsidR="00523826">
        <w:t xml:space="preserve"> above)</w:t>
      </w:r>
      <w:r w:rsidRPr="003821DA" w:rsidR="006D0036">
        <w:t xml:space="preserve">. </w:t>
      </w:r>
      <w:r w:rsidRPr="003821DA" w:rsidR="00893BF3">
        <w:t xml:space="preserve">The documents in question, however, </w:t>
      </w:r>
      <w:r w:rsidRPr="003821DA" w:rsidR="006D0036">
        <w:t xml:space="preserve">do not </w:t>
      </w:r>
      <w:r w:rsidRPr="003821DA" w:rsidR="000A2F4A">
        <w:t>establish any</w:t>
      </w:r>
      <w:r w:rsidRPr="003821DA" w:rsidR="00CB6484">
        <w:t xml:space="preserve"> </w:t>
      </w:r>
      <w:r w:rsidRPr="003821DA" w:rsidR="00500D77">
        <w:t>methods</w:t>
      </w:r>
      <w:r w:rsidRPr="003821DA" w:rsidR="000A2F4A">
        <w:t>, conditions or procedures</w:t>
      </w:r>
      <w:r w:rsidRPr="003821DA" w:rsidR="00CB6484">
        <w:t xml:space="preserve"> for the</w:t>
      </w:r>
      <w:r w:rsidRPr="003821DA" w:rsidR="006D0036">
        <w:t xml:space="preserve"> use of CCTV cameras</w:t>
      </w:r>
      <w:r w:rsidRPr="003821DA" w:rsidR="00CB6484">
        <w:t xml:space="preserve">, and therefore </w:t>
      </w:r>
      <w:proofErr w:type="gramStart"/>
      <w:r w:rsidRPr="003821DA" w:rsidR="00CB6484">
        <w:t>cannot be regarded</w:t>
      </w:r>
      <w:proofErr w:type="gramEnd"/>
      <w:r w:rsidRPr="003821DA" w:rsidR="00CB6484">
        <w:t xml:space="preserve"> as </w:t>
      </w:r>
      <w:r w:rsidRPr="003821DA" w:rsidR="000A2F4A">
        <w:t xml:space="preserve">a </w:t>
      </w:r>
      <w:r w:rsidRPr="003821DA" w:rsidR="00CB6484">
        <w:t>legal basis for the measure complained of</w:t>
      </w:r>
      <w:r w:rsidRPr="003821DA" w:rsidR="000A2F4A">
        <w:t xml:space="preserve"> in the present case</w:t>
      </w:r>
      <w:r w:rsidRPr="003821DA" w:rsidR="00CB6484">
        <w:t>.</w:t>
      </w:r>
    </w:p>
    <w:p w:rsidRPr="003821DA" w:rsidR="004E5B40"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91</w:t>
      </w:r>
      <w:r w:rsidRPr="003821DA">
        <w:rPr>
          <w:noProof/>
        </w:rPr>
        <w:fldChar w:fldCharType="end"/>
      </w:r>
      <w:r w:rsidRPr="003821DA" w:rsidR="001F6A7E">
        <w:t>.  </w:t>
      </w:r>
      <w:r w:rsidRPr="003821DA" w:rsidR="00DB7AE0">
        <w:t>The Court</w:t>
      </w:r>
      <w:r w:rsidRPr="003821DA" w:rsidR="001F6A7E">
        <w:t xml:space="preserve"> further</w:t>
      </w:r>
      <w:r w:rsidRPr="003821DA" w:rsidR="00DB7AE0">
        <w:t xml:space="preserve"> notes that, in their relevant decisions the domestic courts also relied on executive order no. 204-dsp (“for internal use only”) of 3 November 2005, as amended by executive order no. 166-dsp (“for internal use only”) on 25 May 2011, of the Ministry of Justice (see paragraphs</w:t>
      </w:r>
      <w:r w:rsidRPr="003821DA" w:rsidR="009F070C">
        <w:t xml:space="preserve"> </w:t>
      </w:r>
      <w:r w:rsidRPr="003821DA" w:rsidR="009F070C">
        <w:fldChar w:fldCharType="begin"/>
      </w:r>
      <w:r w:rsidRPr="003821DA" w:rsidR="009F070C">
        <w:instrText xml:space="preserve"> REF Jud5Jul2013ExecOrder204And166 \h  \* MERGEFORMAT </w:instrText>
      </w:r>
      <w:r w:rsidRPr="003821DA" w:rsidR="009F070C">
        <w:fldChar w:fldCharType="separate"/>
      </w:r>
      <w:r w:rsidRPr="003821DA" w:rsidR="003821DA">
        <w:rPr>
          <w:rFonts w:ascii="Times New Roman" w:hAnsi="Times New Roman" w:eastAsia="Times New Roman" w:cs="Times New Roman"/>
          <w:noProof/>
          <w:szCs w:val="20"/>
          <w:lang w:eastAsia="fr-FR"/>
        </w:rPr>
        <w:t>27</w:t>
      </w:r>
      <w:r w:rsidRPr="003821DA" w:rsidR="009F070C">
        <w:fldChar w:fldCharType="end"/>
      </w:r>
      <w:r w:rsidRPr="003821DA" w:rsidR="009F070C">
        <w:t xml:space="preserve">, </w:t>
      </w:r>
      <w:r w:rsidRPr="003821DA" w:rsidR="009F070C">
        <w:fldChar w:fldCharType="begin"/>
      </w:r>
      <w:r w:rsidRPr="003821DA" w:rsidR="009F070C">
        <w:instrText xml:space="preserve"> REF AppellateDec11Sep2013 \h  \* MERGEFORMAT </w:instrText>
      </w:r>
      <w:r w:rsidRPr="003821DA" w:rsidR="009F070C">
        <w:fldChar w:fldCharType="separate"/>
      </w:r>
      <w:r w:rsidRPr="003821DA" w:rsidR="003821DA">
        <w:rPr>
          <w:rFonts w:ascii="Times New Roman" w:hAnsi="Times New Roman" w:eastAsia="Times New Roman" w:cs="Times New Roman"/>
          <w:noProof/>
          <w:szCs w:val="20"/>
          <w:lang w:eastAsia="fr-FR"/>
        </w:rPr>
        <w:t>30</w:t>
      </w:r>
      <w:r w:rsidRPr="003821DA" w:rsidR="009F070C">
        <w:fldChar w:fldCharType="end"/>
      </w:r>
      <w:r w:rsidRPr="003821DA" w:rsidR="009F070C">
        <w:t xml:space="preserve">, </w:t>
      </w:r>
      <w:r w:rsidRPr="003821DA" w:rsidR="009F070C">
        <w:fldChar w:fldCharType="begin"/>
      </w:r>
      <w:r w:rsidRPr="003821DA" w:rsidR="009F070C">
        <w:instrText xml:space="preserve"> REF ExecutiveOrder204dsp \h  \* MERGEFORMAT </w:instrText>
      </w:r>
      <w:r w:rsidRPr="003821DA" w:rsidR="009F070C">
        <w:fldChar w:fldCharType="separate"/>
      </w:r>
      <w:r w:rsidRPr="003821DA" w:rsidR="003821DA">
        <w:rPr>
          <w:noProof/>
        </w:rPr>
        <w:t>35</w:t>
      </w:r>
      <w:r w:rsidRPr="003821DA" w:rsidR="009F070C">
        <w:fldChar w:fldCharType="end"/>
      </w:r>
      <w:r w:rsidRPr="003821DA" w:rsidR="009F070C">
        <w:t>-</w:t>
      </w:r>
      <w:r w:rsidRPr="003821DA" w:rsidR="009F070C">
        <w:fldChar w:fldCharType="begin"/>
      </w:r>
      <w:r w:rsidRPr="003821DA" w:rsidR="009F070C">
        <w:instrText xml:space="preserve"> REF ExecutiveOrder166dsp \h  \* MERGEFORMAT </w:instrText>
      </w:r>
      <w:r w:rsidRPr="003821DA" w:rsidR="009F070C">
        <w:fldChar w:fldCharType="separate"/>
      </w:r>
      <w:r w:rsidRPr="003821DA" w:rsidR="003821DA">
        <w:rPr>
          <w:noProof/>
        </w:rPr>
        <w:t>38</w:t>
      </w:r>
      <w:r w:rsidRPr="003821DA" w:rsidR="009F070C">
        <w:fldChar w:fldCharType="end"/>
      </w:r>
      <w:r w:rsidRPr="003821DA" w:rsidR="009F070C">
        <w:t xml:space="preserve"> and </w:t>
      </w:r>
      <w:r w:rsidRPr="003821DA" w:rsidR="009F070C">
        <w:fldChar w:fldCharType="begin"/>
      </w:r>
      <w:r w:rsidRPr="003821DA" w:rsidR="009F070C">
        <w:instrText xml:space="preserve"> REF SupCourt12March2014MrMrMComplaint \h  \* MERGEFORMAT </w:instrText>
      </w:r>
      <w:r w:rsidRPr="003821DA" w:rsidR="009F070C">
        <w:fldChar w:fldCharType="separate"/>
      </w:r>
      <w:r w:rsidRPr="003821DA" w:rsidR="003821DA">
        <w:rPr>
          <w:noProof/>
        </w:rPr>
        <w:t>44</w:t>
      </w:r>
      <w:r w:rsidRPr="003821DA" w:rsidR="009F070C">
        <w:fldChar w:fldCharType="end"/>
      </w:r>
      <w:r w:rsidRPr="003821DA" w:rsidR="009F070C">
        <w:t>-</w:t>
      </w:r>
      <w:r w:rsidRPr="003821DA" w:rsidR="009F070C">
        <w:fldChar w:fldCharType="begin"/>
      </w:r>
      <w:r w:rsidRPr="003821DA" w:rsidR="009F070C">
        <w:instrText xml:space="preserve"> REF SupCourtAppellate19June2014End \h  \* MERGEFORMAT </w:instrText>
      </w:r>
      <w:r w:rsidRPr="003821DA" w:rsidR="009F070C">
        <w:fldChar w:fldCharType="separate"/>
      </w:r>
      <w:r w:rsidRPr="003821DA" w:rsidR="003821DA">
        <w:rPr>
          <w:bCs/>
          <w:noProof/>
        </w:rPr>
        <w:t>55</w:t>
      </w:r>
      <w:r w:rsidRPr="003821DA" w:rsidR="009F070C">
        <w:fldChar w:fldCharType="end"/>
      </w:r>
      <w:r w:rsidRPr="003821DA" w:rsidR="00DB7AE0">
        <w:t xml:space="preserve"> above). </w:t>
      </w:r>
      <w:proofErr w:type="gramStart"/>
      <w:r w:rsidRPr="003821DA" w:rsidR="00E52ECF">
        <w:t xml:space="preserve">It observes, firstly, </w:t>
      </w:r>
      <w:r w:rsidRPr="003821DA" w:rsidR="004E5B40">
        <w:t xml:space="preserve">that the </w:t>
      </w:r>
      <w:r w:rsidRPr="003821DA" w:rsidR="00F52949">
        <w:t xml:space="preserve">executive </w:t>
      </w:r>
      <w:r w:rsidRPr="003821DA" w:rsidR="004E5B40">
        <w:t>order in question only concern</w:t>
      </w:r>
      <w:r w:rsidRPr="003821DA" w:rsidR="00B63FD6">
        <w:t>s</w:t>
      </w:r>
      <w:r w:rsidRPr="003821DA" w:rsidR="004E5B40">
        <w:t xml:space="preserve"> pre-trial detention centres and prisons, and thus clearly cannot serve as a legal basis for the impugned measure, in so far as it is applied in </w:t>
      </w:r>
      <w:r w:rsidRPr="003821DA" w:rsidR="00E34B2D">
        <w:t>penal institution</w:t>
      </w:r>
      <w:r w:rsidRPr="003821DA" w:rsidR="004E5B40">
        <w:t>s</w:t>
      </w:r>
      <w:r w:rsidRPr="003821DA" w:rsidR="00F52949">
        <w:t xml:space="preserve"> of other types</w:t>
      </w:r>
      <w:r w:rsidRPr="003821DA" w:rsidR="004E5B40">
        <w:t xml:space="preserve"> (see paragraph </w:t>
      </w:r>
      <w:r w:rsidRPr="003821DA" w:rsidR="00F52949">
        <w:fldChar w:fldCharType="begin"/>
      </w:r>
      <w:r w:rsidRPr="003821DA" w:rsidR="00F52949">
        <w:instrText xml:space="preserve"> REF TypesOfDetentionInRussia \h  \* MERGEFORMAT </w:instrText>
      </w:r>
      <w:r w:rsidRPr="003821DA" w:rsidR="00F52949">
        <w:fldChar w:fldCharType="separate"/>
      </w:r>
      <w:r w:rsidRPr="003821DA" w:rsidR="003821DA">
        <w:rPr>
          <w:noProof/>
        </w:rPr>
        <w:t>32</w:t>
      </w:r>
      <w:r w:rsidRPr="003821DA" w:rsidR="00F52949">
        <w:fldChar w:fldCharType="end"/>
      </w:r>
      <w:r w:rsidRPr="003821DA" w:rsidR="00F52949">
        <w:t xml:space="preserve"> </w:t>
      </w:r>
      <w:r w:rsidRPr="003821DA" w:rsidR="004E5B40">
        <w:t xml:space="preserve">above), such as the one in which the second applicant </w:t>
      </w:r>
      <w:r w:rsidRPr="003821DA" w:rsidR="00DA4D37">
        <w:t>has been</w:t>
      </w:r>
      <w:r w:rsidRPr="003821DA" w:rsidR="004E5B40">
        <w:t xml:space="preserve"> detained (see </w:t>
      </w:r>
      <w:r w:rsidRPr="003821DA" w:rsidR="00F52949">
        <w:t xml:space="preserve">paragraph </w:t>
      </w:r>
      <w:r w:rsidRPr="003821DA" w:rsidR="00DA4D37">
        <w:fldChar w:fldCharType="begin"/>
      </w:r>
      <w:r w:rsidRPr="003821DA" w:rsidR="00DA4D37">
        <w:instrText xml:space="preserve"> REF IK5SecondApplicant \h  \* MERGEFORMAT </w:instrText>
      </w:r>
      <w:r w:rsidRPr="003821DA" w:rsidR="00DA4D37">
        <w:fldChar w:fldCharType="separate"/>
      </w:r>
      <w:r w:rsidRPr="003821DA" w:rsidR="003821DA">
        <w:rPr>
          <w:rFonts w:ascii="Times New Roman" w:hAnsi="Times New Roman" w:eastAsia="Times New Roman" w:cs="Times New Roman"/>
          <w:noProof/>
          <w:szCs w:val="20"/>
          <w:lang w:eastAsia="fr-FR"/>
        </w:rPr>
        <w:t>20</w:t>
      </w:r>
      <w:r w:rsidRPr="003821DA" w:rsidR="00DA4D37">
        <w:fldChar w:fldCharType="end"/>
      </w:r>
      <w:r w:rsidRPr="003821DA" w:rsidR="004E5B40">
        <w:t xml:space="preserve"> above).</w:t>
      </w:r>
      <w:proofErr w:type="gramEnd"/>
    </w:p>
    <w:p w:rsidRPr="003821DA" w:rsidR="00164F64" w:rsidP="003821DA" w:rsidRDefault="004E5B40">
      <w:pPr>
        <w:pStyle w:val="ECHRPara"/>
      </w:pPr>
      <w:r w:rsidRPr="003821DA">
        <w:fldChar w:fldCharType="begin"/>
      </w:r>
      <w:r w:rsidRPr="003821DA">
        <w:instrText xml:space="preserve"> SEQ level0 \*arabic </w:instrText>
      </w:r>
      <w:r w:rsidRPr="003821DA">
        <w:fldChar w:fldCharType="separate"/>
      </w:r>
      <w:r w:rsidRPr="003821DA" w:rsidR="003821DA">
        <w:rPr>
          <w:noProof/>
        </w:rPr>
        <w:t>92</w:t>
      </w:r>
      <w:r w:rsidRPr="003821DA">
        <w:fldChar w:fldCharType="end"/>
      </w:r>
      <w:r w:rsidRPr="003821DA">
        <w:t xml:space="preserve">.  Furthermore, </w:t>
      </w:r>
      <w:r w:rsidRPr="003821DA" w:rsidR="00B63FD6">
        <w:t>the document in question is</w:t>
      </w:r>
      <w:r w:rsidRPr="003821DA" w:rsidR="00E52ECF">
        <w:t xml:space="preserve"> classified as being “for internal use only”, with the result that </w:t>
      </w:r>
      <w:r w:rsidRPr="003821DA" w:rsidR="00B63FD6">
        <w:t>its</w:t>
      </w:r>
      <w:r w:rsidRPr="003821DA" w:rsidR="00E52ECF">
        <w:t xml:space="preserve"> contents </w:t>
      </w:r>
      <w:r w:rsidRPr="003821DA" w:rsidR="001753BC">
        <w:t>are</w:t>
      </w:r>
      <w:r w:rsidRPr="003821DA" w:rsidR="00E52ECF">
        <w:t xml:space="preserve"> not accessible to the </w:t>
      </w:r>
      <w:proofErr w:type="gramStart"/>
      <w:r w:rsidRPr="003821DA" w:rsidR="00E52ECF">
        <w:t>general public</w:t>
      </w:r>
      <w:proofErr w:type="gramEnd"/>
      <w:r w:rsidRPr="003821DA" w:rsidR="00567D12">
        <w:t xml:space="preserve">. </w:t>
      </w:r>
      <w:r w:rsidRPr="003821DA" w:rsidR="0094371F">
        <w:t>At the same time, the applicants acknowl</w:t>
      </w:r>
      <w:r w:rsidRPr="003821DA" w:rsidR="00145491">
        <w:t xml:space="preserve">edged that, upon their arrival </w:t>
      </w:r>
      <w:r w:rsidRPr="003821DA" w:rsidR="00884020">
        <w:t xml:space="preserve">at </w:t>
      </w:r>
      <w:r w:rsidRPr="003821DA" w:rsidR="00145491">
        <w:t xml:space="preserve">the relevant detention facilities, they </w:t>
      </w:r>
      <w:proofErr w:type="gramStart"/>
      <w:r w:rsidRPr="003821DA" w:rsidR="00145491">
        <w:t>had been made</w:t>
      </w:r>
      <w:proofErr w:type="gramEnd"/>
      <w:r w:rsidRPr="003821DA" w:rsidR="00145491">
        <w:t xml:space="preserve"> aware of the </w:t>
      </w:r>
      <w:r w:rsidRPr="003821DA" w:rsidR="00BC78D7">
        <w:t xml:space="preserve">fact that would be placed under permanent video surveillance </w:t>
      </w:r>
      <w:r w:rsidRPr="003821DA" w:rsidR="00145491">
        <w:t>(</w:t>
      </w:r>
      <w:r w:rsidRPr="003821DA" w:rsidR="001753BC">
        <w:t xml:space="preserve">see paragraph </w:t>
      </w:r>
      <w:r w:rsidRPr="003821DA" w:rsidR="001753BC">
        <w:fldChar w:fldCharType="begin"/>
      </w:r>
      <w:r w:rsidRPr="003821DA" w:rsidR="001753BC">
        <w:instrText xml:space="preserve"> REF ApplicantsInformedVideoSurv \h  \* MERGEFORMAT </w:instrText>
      </w:r>
      <w:r w:rsidRPr="003821DA" w:rsidR="001753BC">
        <w:fldChar w:fldCharType="separate"/>
      </w:r>
      <w:r w:rsidRPr="003821DA" w:rsidR="003821DA">
        <w:rPr>
          <w:noProof/>
        </w:rPr>
        <w:t>63</w:t>
      </w:r>
      <w:r w:rsidRPr="003821DA" w:rsidR="001753BC">
        <w:fldChar w:fldCharType="end"/>
      </w:r>
      <w:r w:rsidRPr="003821DA" w:rsidR="00145491">
        <w:t xml:space="preserve"> above).</w:t>
      </w:r>
      <w:r w:rsidRPr="003821DA" w:rsidR="002C3512">
        <w:t xml:space="preserve"> </w:t>
      </w:r>
      <w:r w:rsidRPr="003821DA" w:rsidR="00145491">
        <w:t xml:space="preserve">Against this background, the Court </w:t>
      </w:r>
      <w:r w:rsidRPr="003821DA" w:rsidR="008163F0">
        <w:t>finds it reasonable to assume</w:t>
      </w:r>
      <w:r w:rsidRPr="003821DA" w:rsidR="00145491">
        <w:t xml:space="preserve"> that </w:t>
      </w:r>
      <w:r w:rsidRPr="003821DA" w:rsidR="00D262C0">
        <w:t xml:space="preserve">the </w:t>
      </w:r>
      <w:r w:rsidRPr="003821DA" w:rsidR="00BC78D7">
        <w:t xml:space="preserve">contents of the </w:t>
      </w:r>
      <w:r w:rsidRPr="003821DA" w:rsidR="00D262C0">
        <w:t>document under examination</w:t>
      </w:r>
      <w:r w:rsidRPr="003821DA" w:rsidR="00BC78D7">
        <w:t xml:space="preserve">, at least </w:t>
      </w:r>
      <w:r w:rsidRPr="003821DA" w:rsidR="00D9149D">
        <w:t>the</w:t>
      </w:r>
      <w:r w:rsidRPr="003821DA" w:rsidR="00BC78D7">
        <w:t xml:space="preserve"> relevant part,</w:t>
      </w:r>
      <w:r w:rsidRPr="003821DA" w:rsidR="00D262C0">
        <w:t xml:space="preserve"> was </w:t>
      </w:r>
      <w:r w:rsidRPr="003821DA" w:rsidR="008163F0">
        <w:t xml:space="preserve">made </w:t>
      </w:r>
      <w:r w:rsidRPr="003821DA" w:rsidR="00D262C0">
        <w:t xml:space="preserve">sufficiently accessible to the applicants </w:t>
      </w:r>
      <w:r w:rsidRPr="003821DA" w:rsidR="002C3512">
        <w:t xml:space="preserve">(compare </w:t>
      </w:r>
      <w:proofErr w:type="spellStart"/>
      <w:r w:rsidRPr="003821DA" w:rsidR="002C3512">
        <w:rPr>
          <w:i/>
        </w:rPr>
        <w:t>Pasko</w:t>
      </w:r>
      <w:proofErr w:type="spellEnd"/>
      <w:r w:rsidRPr="003821DA" w:rsidR="002C3512">
        <w:rPr>
          <w:i/>
        </w:rPr>
        <w:t xml:space="preserve"> v. Russia</w:t>
      </w:r>
      <w:r w:rsidRPr="003821DA" w:rsidR="002C3512">
        <w:t>, no. 69519/01</w:t>
      </w:r>
      <w:r w:rsidRPr="003821DA" w:rsidR="002C3512">
        <w:rPr>
          <w:snapToGrid w:val="0"/>
        </w:rPr>
        <w:t>, §§ 81-83, 2</w:t>
      </w:r>
      <w:r w:rsidRPr="003821DA" w:rsidR="002C3512">
        <w:t>2</w:t>
      </w:r>
      <w:r w:rsidRPr="003821DA" w:rsidR="002C3512">
        <w:rPr>
          <w:snapToGrid w:val="0"/>
        </w:rPr>
        <w:t xml:space="preserve"> October 2009</w:t>
      </w:r>
      <w:r w:rsidRPr="003821DA" w:rsidR="00884020">
        <w:t xml:space="preserve">, </w:t>
      </w:r>
      <w:r w:rsidRPr="003821DA" w:rsidR="002C3512">
        <w:t xml:space="preserve">and contrast </w:t>
      </w:r>
      <w:proofErr w:type="spellStart"/>
      <w:r w:rsidRPr="003821DA" w:rsidR="00317E4D">
        <w:rPr>
          <w:i/>
          <w:iCs/>
        </w:rPr>
        <w:t>Lebois</w:t>
      </w:r>
      <w:proofErr w:type="spellEnd"/>
      <w:r w:rsidRPr="003821DA" w:rsidR="002C3512">
        <w:t xml:space="preserve">, </w:t>
      </w:r>
      <w:r w:rsidRPr="003821DA" w:rsidR="00317E4D">
        <w:t>cited above</w:t>
      </w:r>
      <w:r w:rsidRPr="003821DA" w:rsidR="002C3512">
        <w:t xml:space="preserve">, </w:t>
      </w:r>
      <w:r w:rsidRPr="003821DA" w:rsidR="00D262C0">
        <w:t>§ </w:t>
      </w:r>
      <w:r w:rsidRPr="003821DA" w:rsidR="002C3512">
        <w:t>67).</w:t>
      </w:r>
    </w:p>
    <w:p w:rsidRPr="003821DA" w:rsidR="00152D72" w:rsidP="003821DA" w:rsidRDefault="00D262C0">
      <w:pPr>
        <w:pStyle w:val="ECHRPara"/>
      </w:pPr>
      <w:r w:rsidRPr="003821DA">
        <w:fldChar w:fldCharType="begin"/>
      </w:r>
      <w:r w:rsidRPr="003821DA">
        <w:instrText xml:space="preserve"> SEQ level0 \*arabic </w:instrText>
      </w:r>
      <w:r w:rsidRPr="003821DA">
        <w:fldChar w:fldCharType="separate"/>
      </w:r>
      <w:r w:rsidRPr="003821DA" w:rsidR="003821DA">
        <w:rPr>
          <w:noProof/>
        </w:rPr>
        <w:t>93</w:t>
      </w:r>
      <w:r w:rsidRPr="003821DA">
        <w:fldChar w:fldCharType="end"/>
      </w:r>
      <w:r w:rsidRPr="003821DA" w:rsidR="00905DCA">
        <w:t>.  It further observes that</w:t>
      </w:r>
      <w:r w:rsidRPr="003821DA" w:rsidR="00AB5C33">
        <w:t xml:space="preserve">, </w:t>
      </w:r>
      <w:proofErr w:type="gramStart"/>
      <w:r w:rsidRPr="003821DA" w:rsidR="00AB5C33">
        <w:t>in so</w:t>
      </w:r>
      <w:proofErr w:type="gramEnd"/>
      <w:r w:rsidRPr="003821DA" w:rsidR="00AB5C33">
        <w:t xml:space="preserve"> far as the relevant part of the executive order</w:t>
      </w:r>
      <w:r w:rsidRPr="003821DA" w:rsidR="0025337B">
        <w:t>s</w:t>
      </w:r>
      <w:r w:rsidRPr="003821DA" w:rsidR="00AB5C33">
        <w:t xml:space="preserve"> under examination </w:t>
      </w:r>
      <w:r w:rsidRPr="003821DA" w:rsidR="008163F0">
        <w:t>is</w:t>
      </w:r>
      <w:r w:rsidRPr="003821DA" w:rsidR="00AB5C33">
        <w:t xml:space="preserve"> </w:t>
      </w:r>
      <w:r w:rsidRPr="003821DA" w:rsidR="00884020">
        <w:t xml:space="preserve">quoted </w:t>
      </w:r>
      <w:r w:rsidRPr="003821DA" w:rsidR="00AB5C33">
        <w:t>in the court decision</w:t>
      </w:r>
      <w:r w:rsidRPr="003821DA" w:rsidR="001753BC">
        <w:t>s</w:t>
      </w:r>
      <w:r w:rsidRPr="003821DA" w:rsidR="00AB5C33">
        <w:t xml:space="preserve"> (see paragraphs</w:t>
      </w:r>
      <w:r w:rsidRPr="003821DA" w:rsidR="008163F0">
        <w:t xml:space="preserve"> </w:t>
      </w:r>
      <w:r w:rsidRPr="003821DA" w:rsidR="008163F0">
        <w:fldChar w:fldCharType="begin"/>
      </w:r>
      <w:r w:rsidRPr="003821DA" w:rsidR="008163F0">
        <w:instrText xml:space="preserve"> REF SupCourt12March2014QuoteSec42 \h </w:instrText>
      </w:r>
      <w:r w:rsidRPr="003821DA" w:rsidR="008163F0">
        <w:fldChar w:fldCharType="separate"/>
      </w:r>
      <w:r w:rsidRPr="003821DA" w:rsidR="003821DA">
        <w:rPr>
          <w:noProof/>
        </w:rPr>
        <w:t>46</w:t>
      </w:r>
      <w:r w:rsidRPr="003821DA" w:rsidR="008163F0">
        <w:fldChar w:fldCharType="end"/>
      </w:r>
      <w:r w:rsidRPr="003821DA" w:rsidR="008163F0">
        <w:t xml:space="preserve"> and </w:t>
      </w:r>
      <w:r w:rsidRPr="003821DA" w:rsidR="008163F0">
        <w:fldChar w:fldCharType="begin"/>
      </w:r>
      <w:r w:rsidRPr="003821DA" w:rsidR="008163F0">
        <w:instrText xml:space="preserve"> REF SupCourtAppellate9June2014Sec42 \h </w:instrText>
      </w:r>
      <w:r w:rsidRPr="003821DA" w:rsidR="008163F0">
        <w:fldChar w:fldCharType="separate"/>
      </w:r>
      <w:r w:rsidRPr="003821DA" w:rsidR="003821DA">
        <w:rPr>
          <w:noProof/>
        </w:rPr>
        <w:t>52</w:t>
      </w:r>
      <w:r w:rsidRPr="003821DA" w:rsidR="008163F0">
        <w:fldChar w:fldCharType="end"/>
      </w:r>
      <w:r w:rsidRPr="003821DA" w:rsidR="00AB5C33">
        <w:t xml:space="preserve"> above), it only contains a general provision stating that “for the purposes of surveillance [CCTV] cameras may be used”</w:t>
      </w:r>
      <w:r w:rsidRPr="003821DA" w:rsidR="00260442">
        <w:t xml:space="preserve">. </w:t>
      </w:r>
      <w:r w:rsidRPr="003821DA" w:rsidR="0020032C">
        <w:t>In</w:t>
      </w:r>
      <w:r w:rsidRPr="003821DA" w:rsidR="00A4109B">
        <w:t xml:space="preserve"> essence,</w:t>
      </w:r>
      <w:r w:rsidRPr="003821DA" w:rsidR="0020032C">
        <w:t xml:space="preserve"> </w:t>
      </w:r>
      <w:r w:rsidRPr="003821DA" w:rsidR="003D7F69">
        <w:t>that provision</w:t>
      </w:r>
      <w:r w:rsidRPr="003821DA" w:rsidR="0020032C">
        <w:t xml:space="preserve"> </w:t>
      </w:r>
      <w:r w:rsidRPr="003821DA" w:rsidR="005F3185">
        <w:t>does no more than</w:t>
      </w:r>
      <w:r w:rsidRPr="003821DA" w:rsidR="00A4109B">
        <w:t xml:space="preserve"> </w:t>
      </w:r>
      <w:r w:rsidRPr="003821DA" w:rsidR="008163F0">
        <w:t>reproduce</w:t>
      </w:r>
      <w:r w:rsidRPr="003821DA" w:rsidR="00A4109B">
        <w:t xml:space="preserve"> the provisions of Article 83 of the Code of Execution of Sentences and section 34 of the Pre-trial Detention</w:t>
      </w:r>
      <w:r w:rsidRPr="003821DA" w:rsidR="00260442">
        <w:t xml:space="preserve"> Act, but does not elaborate</w:t>
      </w:r>
      <w:r w:rsidRPr="003821DA" w:rsidR="00884020">
        <w:t xml:space="preserve"> on</w:t>
      </w:r>
      <w:r w:rsidRPr="003821DA" w:rsidR="00260442">
        <w:t xml:space="preserve"> them. </w:t>
      </w:r>
      <w:r w:rsidRPr="003821DA" w:rsidR="005B5500">
        <w:t xml:space="preserve">It does not set </w:t>
      </w:r>
      <w:r w:rsidRPr="003821DA" w:rsidR="00D9149D">
        <w:t xml:space="preserve">out </w:t>
      </w:r>
      <w:r w:rsidRPr="003821DA" w:rsidR="005B5500">
        <w:t>any specific rules governing the conditions in which the impugned measure may be applied</w:t>
      </w:r>
      <w:r w:rsidRPr="003821DA" w:rsidR="00CE5EB8">
        <w:t xml:space="preserve"> and </w:t>
      </w:r>
      <w:r w:rsidRPr="003821DA" w:rsidR="00D9149D">
        <w:t>revoked,</w:t>
      </w:r>
      <w:r w:rsidRPr="003821DA" w:rsidR="005B5500">
        <w:t xml:space="preserve"> </w:t>
      </w:r>
      <w:r w:rsidRPr="003821DA" w:rsidR="005304EA">
        <w:t xml:space="preserve">the </w:t>
      </w:r>
      <w:r w:rsidRPr="003821DA" w:rsidR="005B5500">
        <w:t xml:space="preserve">duration </w:t>
      </w:r>
      <w:r w:rsidRPr="003821DA" w:rsidR="00CE5EB8">
        <w:t xml:space="preserve">or </w:t>
      </w:r>
      <w:r w:rsidRPr="003821DA" w:rsidR="005304EA">
        <w:t xml:space="preserve">the </w:t>
      </w:r>
      <w:r w:rsidRPr="003821DA" w:rsidR="005B5500">
        <w:t>procedures for review</w:t>
      </w:r>
      <w:r w:rsidRPr="003821DA" w:rsidR="00CE5EB8">
        <w:t xml:space="preserve">. </w:t>
      </w:r>
      <w:proofErr w:type="gramStart"/>
      <w:r w:rsidRPr="003821DA" w:rsidR="003D7F69">
        <w:t>It is also noteworthy in this connection that</w:t>
      </w:r>
      <w:r w:rsidRPr="003821DA" w:rsidR="00260442">
        <w:t xml:space="preserve"> the Supreme Court of Russia, at two levels of jurisdiction, stated that the </w:t>
      </w:r>
      <w:r w:rsidRPr="003821DA" w:rsidR="00DB63EA">
        <w:t xml:space="preserve">executive </w:t>
      </w:r>
      <w:r w:rsidRPr="003821DA" w:rsidR="00EC4FA6">
        <w:t xml:space="preserve">order </w:t>
      </w:r>
      <w:r w:rsidRPr="003821DA" w:rsidR="00DB63EA">
        <w:t>under examination</w:t>
      </w:r>
      <w:r w:rsidRPr="003821DA" w:rsidR="00CE5EB8">
        <w:t xml:space="preserve"> </w:t>
      </w:r>
      <w:r w:rsidRPr="003821DA" w:rsidR="00260442">
        <w:t xml:space="preserve">established general rules aimed at ensuring </w:t>
      </w:r>
      <w:r w:rsidRPr="003821DA" w:rsidR="0020032C">
        <w:t xml:space="preserve">the observance of the regime in pre-trial detention centres and </w:t>
      </w:r>
      <w:r w:rsidRPr="003821DA" w:rsidR="005304EA">
        <w:t>penal institutions</w:t>
      </w:r>
      <w:r w:rsidRPr="003821DA" w:rsidR="0020032C">
        <w:t>, but did not establish any particular procedure for the use of CCTV cameras (see paragraphs</w:t>
      </w:r>
      <w:r w:rsidRPr="003821DA" w:rsidR="00DB63EA">
        <w:t xml:space="preserve"> </w:t>
      </w:r>
      <w:r w:rsidRPr="003821DA" w:rsidR="00DB63EA">
        <w:fldChar w:fldCharType="begin"/>
      </w:r>
      <w:r w:rsidRPr="003821DA" w:rsidR="00DB63EA">
        <w:instrText xml:space="preserve"> REF SuprCourtDec12Mar2014Dec204NoProcedure \h  \* MERGEFORMAT </w:instrText>
      </w:r>
      <w:r w:rsidRPr="003821DA" w:rsidR="00DB63EA">
        <w:fldChar w:fldCharType="separate"/>
      </w:r>
      <w:r w:rsidRPr="003821DA" w:rsidR="003821DA">
        <w:rPr>
          <w:noProof/>
        </w:rPr>
        <w:t>49</w:t>
      </w:r>
      <w:r w:rsidRPr="003821DA" w:rsidR="00DB63EA">
        <w:fldChar w:fldCharType="end"/>
      </w:r>
      <w:r w:rsidRPr="003821DA" w:rsidR="00DB63EA">
        <w:t xml:space="preserve"> and </w:t>
      </w:r>
      <w:r w:rsidRPr="003821DA" w:rsidR="00DB63EA">
        <w:fldChar w:fldCharType="begin"/>
      </w:r>
      <w:r w:rsidRPr="003821DA" w:rsidR="00DB63EA">
        <w:instrText xml:space="preserve"> REF SuprCourtAppellateDec204NoProcedure \h  \* MERGEFORMAT </w:instrText>
      </w:r>
      <w:r w:rsidRPr="003821DA" w:rsidR="00DB63EA">
        <w:fldChar w:fldCharType="separate"/>
      </w:r>
      <w:r w:rsidRPr="003821DA" w:rsidR="003821DA">
        <w:rPr>
          <w:noProof/>
        </w:rPr>
        <w:t>54</w:t>
      </w:r>
      <w:r w:rsidRPr="003821DA" w:rsidR="00DB63EA">
        <w:fldChar w:fldCharType="end"/>
      </w:r>
      <w:r w:rsidRPr="003821DA" w:rsidR="0020032C">
        <w:t xml:space="preserve"> above).</w:t>
      </w:r>
      <w:proofErr w:type="gramEnd"/>
    </w:p>
    <w:p w:rsidRPr="003821DA" w:rsidR="002323BD" w:rsidP="003821DA" w:rsidRDefault="002323BD">
      <w:pPr>
        <w:pStyle w:val="ECHRPara"/>
      </w:pPr>
      <w:r w:rsidRPr="003821DA">
        <w:fldChar w:fldCharType="begin"/>
      </w:r>
      <w:r w:rsidRPr="003821DA">
        <w:instrText xml:space="preserve"> SEQ level0 \*arabic </w:instrText>
      </w:r>
      <w:r w:rsidRPr="003821DA">
        <w:fldChar w:fldCharType="separate"/>
      </w:r>
      <w:r w:rsidRPr="003821DA" w:rsidR="003821DA">
        <w:rPr>
          <w:noProof/>
        </w:rPr>
        <w:t>94</w:t>
      </w:r>
      <w:r w:rsidRPr="003821DA">
        <w:fldChar w:fldCharType="end"/>
      </w:r>
      <w:r w:rsidRPr="003821DA">
        <w:t>.  </w:t>
      </w:r>
      <w:r w:rsidRPr="003821DA" w:rsidR="00EB758A">
        <w:t>S</w:t>
      </w:r>
      <w:r w:rsidRPr="003821DA">
        <w:t>o far as post-conviction penal inst</w:t>
      </w:r>
      <w:r w:rsidRPr="003821DA" w:rsidR="00D107F0">
        <w:t>itutions are concerned, Article </w:t>
      </w:r>
      <w:r w:rsidRPr="003821DA">
        <w:t xml:space="preserve">83 § 1 of the Code of Execution of Sentences provides for the use of </w:t>
      </w:r>
      <w:proofErr w:type="spellStart"/>
      <w:r w:rsidRPr="003821DA">
        <w:t>audiovisual</w:t>
      </w:r>
      <w:proofErr w:type="spellEnd"/>
      <w:r w:rsidRPr="003821DA">
        <w:t>, electronic and other technical means of surveillance and control for the purposes of, among other things, “obtaining necessary information about convicts</w:t>
      </w:r>
      <w:r w:rsidRPr="003821DA" w:rsidR="003821DA">
        <w:t>’</w:t>
      </w:r>
      <w:r w:rsidRPr="003821DA">
        <w:t xml:space="preserve"> conduct” (see paragraph </w:t>
      </w:r>
      <w:r w:rsidRPr="003821DA">
        <w:fldChar w:fldCharType="begin"/>
      </w:r>
      <w:r w:rsidRPr="003821DA">
        <w:instrText xml:space="preserve"> REF ExecutionCriminalSentencesCode \h  \* MERGEFORMAT </w:instrText>
      </w:r>
      <w:r w:rsidRPr="003821DA">
        <w:fldChar w:fldCharType="separate"/>
      </w:r>
      <w:r w:rsidRPr="003821DA" w:rsidR="003821DA">
        <w:t>33</w:t>
      </w:r>
      <w:r w:rsidRPr="003821DA">
        <w:fldChar w:fldCharType="end"/>
      </w:r>
      <w:r w:rsidRPr="003821DA">
        <w:t xml:space="preserve"> above). </w:t>
      </w:r>
      <w:proofErr w:type="gramStart"/>
      <w:r w:rsidRPr="003821DA">
        <w:t xml:space="preserve">Neither this Article nor any other legal instruments available to the Court specify, however, whether the obtaining of such information is limited to monitoring by CCTV cameras, or whether that information is recorded and kept, and, if so, what the applicable safeguards and rules are governing the circumstances in which such data may be collected, the duration of their storage, the grounds for their use, and the circumstances in which they may be destroyed (compare </w:t>
      </w:r>
      <w:r w:rsidRPr="003821DA">
        <w:rPr>
          <w:i/>
        </w:rPr>
        <w:t>M.M.</w:t>
      </w:r>
      <w:r w:rsidRPr="003821DA" w:rsidR="00D107F0">
        <w:rPr>
          <w:i/>
        </w:rPr>
        <w:t xml:space="preserve"> v. the United Kingdom,</w:t>
      </w:r>
      <w:r w:rsidRPr="003821DA">
        <w:t xml:space="preserve"> cited above, §§ 199-206).</w:t>
      </w:r>
      <w:proofErr w:type="gramEnd"/>
      <w:r w:rsidRPr="003821DA">
        <w:t xml:space="preserve"> It is relevant that the technical specifications approved by the Ministry of Justice provide for the technical possibility of keeping the recordings from a CCTV system for a period of thirty days (see paragraph </w:t>
      </w:r>
      <w:r w:rsidRPr="003821DA">
        <w:fldChar w:fldCharType="begin"/>
      </w:r>
      <w:r w:rsidRPr="003821DA">
        <w:instrText xml:space="preserve"> REF ExecutiveOrder279End \h  \* MERGEFORMAT </w:instrText>
      </w:r>
      <w:r w:rsidRPr="003821DA">
        <w:fldChar w:fldCharType="separate"/>
      </w:r>
      <w:r w:rsidRPr="003821DA" w:rsidR="003821DA">
        <w:t>40</w:t>
      </w:r>
      <w:r w:rsidRPr="003821DA">
        <w:fldChar w:fldCharType="end"/>
      </w:r>
      <w:r w:rsidRPr="003821DA">
        <w:t xml:space="preserve"> above</w:t>
      </w:r>
      <w:r w:rsidRPr="003821DA" w:rsidR="001A3909">
        <w:t>). The Court recalls that t</w:t>
      </w:r>
      <w:r w:rsidRPr="003821DA">
        <w:t xml:space="preserve">he domestic law must also afford adequate guarantees that retained personal data are efficiently protected from misuse and abuse (see </w:t>
      </w:r>
      <w:r w:rsidRPr="003821DA" w:rsidR="00F10828">
        <w:rPr>
          <w:i/>
        </w:rPr>
        <w:t xml:space="preserve">S. and </w:t>
      </w:r>
      <w:proofErr w:type="spellStart"/>
      <w:r w:rsidRPr="003821DA" w:rsidR="00F10828">
        <w:rPr>
          <w:i/>
        </w:rPr>
        <w:t>Marper</w:t>
      </w:r>
      <w:proofErr w:type="spellEnd"/>
      <w:r w:rsidRPr="003821DA" w:rsidR="00F10828">
        <w:rPr>
          <w:i/>
        </w:rPr>
        <w:t xml:space="preserve"> v. the </w:t>
      </w:r>
      <w:r w:rsidRPr="003821DA">
        <w:rPr>
          <w:i/>
        </w:rPr>
        <w:t>United Kingdom</w:t>
      </w:r>
      <w:r w:rsidRPr="003821DA">
        <w:t xml:space="preserve"> [GC], nos. 30562/04 </w:t>
      </w:r>
      <w:r w:rsidRPr="003821DA" w:rsidR="00D107F0">
        <w:t>and 30566/04, § </w:t>
      </w:r>
      <w:r w:rsidRPr="003821DA">
        <w:t>103, ECHR 2008).</w:t>
      </w:r>
    </w:p>
    <w:p w:rsidRPr="003821DA" w:rsidR="00A56C02" w:rsidP="003821DA" w:rsidRDefault="00832368">
      <w:pPr>
        <w:pStyle w:val="ECHRPara"/>
      </w:pPr>
      <w:r w:rsidRPr="003821DA">
        <w:fldChar w:fldCharType="begin"/>
      </w:r>
      <w:r w:rsidRPr="003821DA">
        <w:instrText xml:space="preserve"> SEQ level0 \*arabic </w:instrText>
      </w:r>
      <w:r w:rsidRPr="003821DA">
        <w:fldChar w:fldCharType="separate"/>
      </w:r>
      <w:r w:rsidRPr="003821DA" w:rsidR="003821DA">
        <w:rPr>
          <w:noProof/>
        </w:rPr>
        <w:t>95</w:t>
      </w:r>
      <w:r w:rsidRPr="003821DA">
        <w:fldChar w:fldCharType="end"/>
      </w:r>
      <w:r w:rsidRPr="003821DA">
        <w:t>.  </w:t>
      </w:r>
      <w:proofErr w:type="gramStart"/>
      <w:r w:rsidRPr="003821DA" w:rsidR="001A3909">
        <w:t>As to the Government</w:t>
      </w:r>
      <w:r w:rsidRPr="003821DA" w:rsidR="003821DA">
        <w:t>’</w:t>
      </w:r>
      <w:r w:rsidRPr="003821DA" w:rsidR="001A3909">
        <w:t>s reference to</w:t>
      </w:r>
      <w:r w:rsidRPr="003821DA" w:rsidR="003C7956">
        <w:t xml:space="preserve"> the</w:t>
      </w:r>
      <w:r w:rsidRPr="003821DA" w:rsidR="001D3847">
        <w:t xml:space="preserve"> </w:t>
      </w:r>
      <w:r w:rsidRPr="003821DA" w:rsidR="006749A0">
        <w:t xml:space="preserve">inadmissibility decision in </w:t>
      </w:r>
      <w:r w:rsidRPr="003821DA" w:rsidR="001D3847">
        <w:t xml:space="preserve">the </w:t>
      </w:r>
      <w:r w:rsidRPr="003821DA" w:rsidR="00F003C9">
        <w:t xml:space="preserve">case of </w:t>
      </w:r>
      <w:r w:rsidRPr="003821DA" w:rsidR="00F003C9">
        <w:rPr>
          <w:i/>
        </w:rPr>
        <w:t xml:space="preserve">Van der </w:t>
      </w:r>
      <w:proofErr w:type="spellStart"/>
      <w:r w:rsidRPr="003821DA" w:rsidR="00F003C9">
        <w:rPr>
          <w:i/>
        </w:rPr>
        <w:t>Graaf</w:t>
      </w:r>
      <w:proofErr w:type="spellEnd"/>
      <w:r w:rsidRPr="003821DA" w:rsidR="00F003C9">
        <w:rPr>
          <w:i/>
        </w:rPr>
        <w:t xml:space="preserve"> </w:t>
      </w:r>
      <w:r w:rsidRPr="003821DA" w:rsidR="003013AA">
        <w:t xml:space="preserve">(see paragraph </w:t>
      </w:r>
      <w:r w:rsidRPr="003821DA" w:rsidR="00B052EB">
        <w:fldChar w:fldCharType="begin"/>
      </w:r>
      <w:r w:rsidRPr="003821DA" w:rsidR="00B052EB">
        <w:instrText xml:space="preserve"> REF GvtVanDerGraaf \h  \* MERGEFORMAT </w:instrText>
      </w:r>
      <w:r w:rsidRPr="003821DA" w:rsidR="00B052EB">
        <w:fldChar w:fldCharType="separate"/>
      </w:r>
      <w:r w:rsidRPr="003821DA" w:rsidR="003821DA">
        <w:rPr>
          <w:noProof/>
        </w:rPr>
        <w:t>79</w:t>
      </w:r>
      <w:r w:rsidRPr="003821DA" w:rsidR="00B052EB">
        <w:fldChar w:fldCharType="end"/>
      </w:r>
      <w:r w:rsidRPr="003821DA" w:rsidR="00B052EB">
        <w:t xml:space="preserve"> </w:t>
      </w:r>
      <w:r w:rsidRPr="003821DA" w:rsidR="003013AA">
        <w:t>above</w:t>
      </w:r>
      <w:r w:rsidRPr="003821DA" w:rsidR="00F003C9">
        <w:t>),</w:t>
      </w:r>
      <w:r w:rsidRPr="003821DA" w:rsidR="003013AA">
        <w:t xml:space="preserve"> </w:t>
      </w:r>
      <w:r w:rsidRPr="003821DA" w:rsidR="0088473B">
        <w:t>where the applicant</w:t>
      </w:r>
      <w:r w:rsidRPr="003821DA" w:rsidR="003821DA">
        <w:t>’</w:t>
      </w:r>
      <w:r w:rsidRPr="003821DA" w:rsidR="006749A0">
        <w:t>s placement</w:t>
      </w:r>
      <w:r w:rsidRPr="003821DA" w:rsidR="0088473B">
        <w:t xml:space="preserve"> under permanent video surveillance for a period o</w:t>
      </w:r>
      <w:r w:rsidRPr="003821DA" w:rsidR="006749A0">
        <w:t xml:space="preserve">f about four and a half months </w:t>
      </w:r>
      <w:r w:rsidRPr="003821DA" w:rsidR="0088473B">
        <w:t xml:space="preserve">had </w:t>
      </w:r>
      <w:r w:rsidRPr="003821DA" w:rsidR="006749A0">
        <w:t xml:space="preserve">been </w:t>
      </w:r>
      <w:r w:rsidRPr="003821DA" w:rsidR="0088473B">
        <w:t xml:space="preserve">found to be “necessary in a democratic society in the interests of public safety and for the prevention of disorder </w:t>
      </w:r>
      <w:r w:rsidRPr="003821DA" w:rsidR="00D9149D">
        <w:t xml:space="preserve">or </w:t>
      </w:r>
      <w:r w:rsidRPr="003821DA" w:rsidR="0088473B">
        <w:t xml:space="preserve">crime”, </w:t>
      </w:r>
      <w:r w:rsidRPr="003821DA" w:rsidR="006749A0">
        <w:t xml:space="preserve">the Court notes that </w:t>
      </w:r>
      <w:r w:rsidRPr="003821DA" w:rsidR="00911618">
        <w:t xml:space="preserve">this </w:t>
      </w:r>
      <w:r w:rsidRPr="003821DA" w:rsidR="00A16CE9">
        <w:t>case</w:t>
      </w:r>
      <w:r w:rsidRPr="003821DA" w:rsidR="00DB237C">
        <w:t xml:space="preserve"> </w:t>
      </w:r>
      <w:r w:rsidRPr="003821DA" w:rsidR="00911618">
        <w:t>is distinguishable from the present one.</w:t>
      </w:r>
      <w:proofErr w:type="gramEnd"/>
      <w:r w:rsidRPr="003821DA" w:rsidR="00911618">
        <w:t xml:space="preserve"> In th</w:t>
      </w:r>
      <w:r w:rsidRPr="003821DA" w:rsidR="001A3909">
        <w:t xml:space="preserve">at </w:t>
      </w:r>
      <w:r w:rsidRPr="003821DA" w:rsidR="00911618">
        <w:t xml:space="preserve">case, </w:t>
      </w:r>
      <w:r w:rsidRPr="003821DA" w:rsidR="00DB237C">
        <w:t xml:space="preserve">the contested measure </w:t>
      </w:r>
      <w:proofErr w:type="gramStart"/>
      <w:r w:rsidRPr="003821DA" w:rsidR="00A16CE9">
        <w:t xml:space="preserve">had </w:t>
      </w:r>
      <w:r w:rsidRPr="003821DA" w:rsidR="00DB237C">
        <w:t xml:space="preserve">been </w:t>
      </w:r>
      <w:r w:rsidRPr="003821DA" w:rsidR="00F476BE">
        <w:t>applied</w:t>
      </w:r>
      <w:proofErr w:type="gramEnd"/>
      <w:r w:rsidRPr="003821DA" w:rsidR="00F476BE">
        <w:t xml:space="preserve"> in respect of a detainee held under an individual detention regime, charged with </w:t>
      </w:r>
      <w:r w:rsidRPr="003821DA" w:rsidR="003C7956">
        <w:t xml:space="preserve">the </w:t>
      </w:r>
      <w:r w:rsidRPr="003821DA" w:rsidR="00F10828">
        <w:t>murder of a well</w:t>
      </w:r>
      <w:r w:rsidRPr="003821DA" w:rsidR="00F10828">
        <w:noBreakHyphen/>
      </w:r>
      <w:r w:rsidRPr="003821DA" w:rsidR="00F476BE">
        <w:t xml:space="preserve">known </w:t>
      </w:r>
      <w:r w:rsidRPr="003821DA" w:rsidR="00B052EB">
        <w:t>politician</w:t>
      </w:r>
      <w:r w:rsidRPr="003821DA" w:rsidR="000D3D87">
        <w:t xml:space="preserve">. </w:t>
      </w:r>
      <w:r w:rsidRPr="003821DA" w:rsidR="0052207C">
        <w:t>It</w:t>
      </w:r>
      <w:r w:rsidRPr="003821DA" w:rsidR="001A00A7">
        <w:t xml:space="preserve"> </w:t>
      </w:r>
      <w:proofErr w:type="gramStart"/>
      <w:r w:rsidRPr="003821DA" w:rsidR="001A00A7">
        <w:t xml:space="preserve">had </w:t>
      </w:r>
      <w:r w:rsidRPr="003821DA" w:rsidR="000D3D87">
        <w:t xml:space="preserve">been </w:t>
      </w:r>
      <w:r w:rsidRPr="003821DA" w:rsidR="00DB237C">
        <w:t>based</w:t>
      </w:r>
      <w:proofErr w:type="gramEnd"/>
      <w:r w:rsidRPr="003821DA" w:rsidR="00DB237C">
        <w:t xml:space="preserve"> on detailed domestic regulation</w:t>
      </w:r>
      <w:r w:rsidRPr="003821DA" w:rsidR="00911618">
        <w:t>s, which</w:t>
      </w:r>
      <w:r w:rsidRPr="003821DA" w:rsidR="00F476BE">
        <w:t xml:space="preserve">, </w:t>
      </w:r>
      <w:r w:rsidRPr="003821DA" w:rsidR="00DB237C">
        <w:t xml:space="preserve">in particular, </w:t>
      </w:r>
      <w:r w:rsidRPr="003821DA" w:rsidR="00F476BE">
        <w:t>had provided an exhaustive list of grounds for the application of such a measure</w:t>
      </w:r>
      <w:r w:rsidRPr="003821DA" w:rsidR="00B936A4">
        <w:t xml:space="preserve"> and established an applicable procedure. In accordance with those regulations, </w:t>
      </w:r>
      <w:r w:rsidRPr="003821DA" w:rsidR="00901F16">
        <w:t>the applicant</w:t>
      </w:r>
      <w:r w:rsidRPr="003821DA" w:rsidR="003821DA">
        <w:t>’</w:t>
      </w:r>
      <w:r w:rsidRPr="003821DA" w:rsidR="00901F16">
        <w:t xml:space="preserve">s placement under permanent video surveillance </w:t>
      </w:r>
      <w:proofErr w:type="gramStart"/>
      <w:r w:rsidRPr="003821DA" w:rsidR="00901F16">
        <w:t xml:space="preserve">had been </w:t>
      </w:r>
      <w:r w:rsidRPr="003821DA" w:rsidR="00A54E12">
        <w:t>ordered</w:t>
      </w:r>
      <w:proofErr w:type="gramEnd"/>
      <w:r w:rsidRPr="003821DA" w:rsidR="00A54E12">
        <w:t xml:space="preserve"> by individualised and </w:t>
      </w:r>
      <w:r w:rsidRPr="003821DA" w:rsidR="00E3032E">
        <w:t xml:space="preserve">reasoned </w:t>
      </w:r>
      <w:r w:rsidRPr="003821DA" w:rsidR="0027076D">
        <w:t xml:space="preserve">decisions </w:t>
      </w:r>
      <w:r w:rsidRPr="003821DA" w:rsidR="00A54E12">
        <w:t>of a competent official, corroborated with necessary medical documents attesting to the state of the applicant</w:t>
      </w:r>
      <w:r w:rsidRPr="003821DA" w:rsidR="003821DA">
        <w:t>’</w:t>
      </w:r>
      <w:r w:rsidRPr="003821DA" w:rsidR="00A54E12">
        <w:t>s mental health and assessing the presence of suicidal tendencies in his behaviour</w:t>
      </w:r>
      <w:r w:rsidRPr="003821DA" w:rsidR="0027076D">
        <w:t>. Furthermore, each decision ordering the applicant</w:t>
      </w:r>
      <w:r w:rsidRPr="003821DA" w:rsidR="003821DA">
        <w:t>’</w:t>
      </w:r>
      <w:r w:rsidRPr="003821DA" w:rsidR="0027076D">
        <w:t xml:space="preserve">s placement under permanent video surveillance had </w:t>
      </w:r>
      <w:r w:rsidRPr="003821DA" w:rsidR="00A54E12">
        <w:t xml:space="preserve">been </w:t>
      </w:r>
      <w:r w:rsidRPr="003821DA" w:rsidR="0027076D">
        <w:t xml:space="preserve">limited to two </w:t>
      </w:r>
      <w:r w:rsidRPr="003821DA" w:rsidR="00B92F72">
        <w:t>weeks at a time,</w:t>
      </w:r>
      <w:r w:rsidRPr="003821DA" w:rsidR="00A54E12">
        <w:t xml:space="preserve"> </w:t>
      </w:r>
      <w:r w:rsidRPr="003821DA" w:rsidR="000E2C8A">
        <w:t xml:space="preserve">with the result that there had been a </w:t>
      </w:r>
      <w:r w:rsidRPr="003821DA" w:rsidR="00B92F72">
        <w:t xml:space="preserve">regular </w:t>
      </w:r>
      <w:r w:rsidRPr="003821DA" w:rsidR="000E2C8A">
        <w:t xml:space="preserve">review </w:t>
      </w:r>
      <w:r w:rsidRPr="003821DA" w:rsidR="00B92F72">
        <w:t>of the measure</w:t>
      </w:r>
      <w:r w:rsidRPr="003821DA" w:rsidR="00644713">
        <w:t xml:space="preserve"> (see </w:t>
      </w:r>
      <w:r w:rsidRPr="003821DA" w:rsidR="00644713">
        <w:rPr>
          <w:i/>
        </w:rPr>
        <w:t xml:space="preserve">Van der </w:t>
      </w:r>
      <w:proofErr w:type="spellStart"/>
      <w:r w:rsidRPr="003821DA" w:rsidR="00644713">
        <w:rPr>
          <w:i/>
        </w:rPr>
        <w:t>Graaf</w:t>
      </w:r>
      <w:proofErr w:type="spellEnd"/>
      <w:r w:rsidRPr="003821DA" w:rsidR="00644713">
        <w:t xml:space="preserve"> (</w:t>
      </w:r>
      <w:proofErr w:type="spellStart"/>
      <w:r w:rsidRPr="003821DA" w:rsidR="00644713">
        <w:t>dec.</w:t>
      </w:r>
      <w:proofErr w:type="spellEnd"/>
      <w:r w:rsidRPr="003821DA" w:rsidR="00644713">
        <w:t>), cited above)</w:t>
      </w:r>
      <w:r w:rsidRPr="003821DA" w:rsidR="00B92F72">
        <w:t>.</w:t>
      </w:r>
    </w:p>
    <w:p w:rsidRPr="003821DA" w:rsidR="00A56C02" w:rsidP="003821DA" w:rsidRDefault="00566B51">
      <w:pPr>
        <w:pStyle w:val="ECHRPara"/>
      </w:pPr>
      <w:r w:rsidRPr="003821DA">
        <w:fldChar w:fldCharType="begin"/>
      </w:r>
      <w:r w:rsidRPr="003821DA">
        <w:instrText xml:space="preserve"> SEQ level0 \*arabic </w:instrText>
      </w:r>
      <w:r w:rsidRPr="003821DA">
        <w:fldChar w:fldCharType="separate"/>
      </w:r>
      <w:r w:rsidRPr="003821DA" w:rsidR="003821DA">
        <w:rPr>
          <w:noProof/>
        </w:rPr>
        <w:t>96</w:t>
      </w:r>
      <w:r w:rsidRPr="003821DA">
        <w:fldChar w:fldCharType="end"/>
      </w:r>
      <w:r w:rsidRPr="003821DA">
        <w:t>. </w:t>
      </w:r>
      <w:r w:rsidRPr="003821DA" w:rsidR="0052207C">
        <w:t> </w:t>
      </w:r>
      <w:proofErr w:type="gramStart"/>
      <w:r w:rsidRPr="003821DA" w:rsidR="001A3909">
        <w:t>I</w:t>
      </w:r>
      <w:r w:rsidRPr="003821DA" w:rsidR="00692123">
        <w:t>n the present case</w:t>
      </w:r>
      <w:r w:rsidRPr="003821DA" w:rsidR="001A3909">
        <w:t>, however,</w:t>
      </w:r>
      <w:r w:rsidRPr="003821DA" w:rsidR="00692123">
        <w:t xml:space="preserve"> the applicants</w:t>
      </w:r>
      <w:r w:rsidRPr="003821DA" w:rsidR="003821DA">
        <w:t>’</w:t>
      </w:r>
      <w:r w:rsidRPr="003821DA" w:rsidR="00692123">
        <w:t xml:space="preserve"> placement under permanent video surveillance </w:t>
      </w:r>
      <w:r w:rsidRPr="003821DA" w:rsidR="001A3909">
        <w:t>was not</w:t>
      </w:r>
      <w:r w:rsidRPr="003821DA" w:rsidR="00F45058">
        <w:t xml:space="preserve"> based on an individualised </w:t>
      </w:r>
      <w:r w:rsidRPr="003821DA" w:rsidR="00E3032E">
        <w:t xml:space="preserve">and reasoned </w:t>
      </w:r>
      <w:r w:rsidRPr="003821DA" w:rsidR="00F45058">
        <w:t xml:space="preserve">decision </w:t>
      </w:r>
      <w:r w:rsidRPr="003821DA" w:rsidR="00ED6812">
        <w:t xml:space="preserve">providing reasons which would have justified the measure in question in the light of the legitimate aims pursued; the contested </w:t>
      </w:r>
      <w:r w:rsidRPr="003821DA" w:rsidR="001A3909">
        <w:t>measure was not</w:t>
      </w:r>
      <w:r w:rsidRPr="003821DA" w:rsidR="00ED6812">
        <w:t xml:space="preserve"> limited in time, and the administrations of the </w:t>
      </w:r>
      <w:r w:rsidRPr="003821DA" w:rsidR="00E34B2D">
        <w:t>penal institution</w:t>
      </w:r>
      <w:r w:rsidRPr="003821DA" w:rsidR="000F741E">
        <w:t>s or pre</w:t>
      </w:r>
      <w:r w:rsidRPr="003821DA" w:rsidR="000F741E">
        <w:noBreakHyphen/>
      </w:r>
      <w:r w:rsidRPr="003821DA" w:rsidR="00ED6812">
        <w:t xml:space="preserve">trial detention centre </w:t>
      </w:r>
      <w:r w:rsidRPr="003821DA" w:rsidR="001A3909">
        <w:t>as the case may be were not under</w:t>
      </w:r>
      <w:r w:rsidRPr="003821DA" w:rsidR="00ED6812">
        <w:t xml:space="preserve"> an obligation to</w:t>
      </w:r>
      <w:r w:rsidRPr="003821DA" w:rsidR="001A3909">
        <w:t xml:space="preserve"> </w:t>
      </w:r>
      <w:r w:rsidRPr="003821DA" w:rsidR="00ED6812">
        <w:t xml:space="preserve">review </w:t>
      </w:r>
      <w:r w:rsidRPr="003821DA" w:rsidR="001A3909">
        <w:t xml:space="preserve">regularly (or at all) </w:t>
      </w:r>
      <w:r w:rsidRPr="003821DA" w:rsidR="00ED6812">
        <w:t>the well-</w:t>
      </w:r>
      <w:proofErr w:type="spellStart"/>
      <w:r w:rsidRPr="003821DA" w:rsidR="00ED6812">
        <w:t>foundedness</w:t>
      </w:r>
      <w:proofErr w:type="spellEnd"/>
      <w:r w:rsidRPr="003821DA" w:rsidR="00ED6812">
        <w:t xml:space="preserve"> of that measure.</w:t>
      </w:r>
      <w:proofErr w:type="gramEnd"/>
      <w:r w:rsidRPr="003821DA" w:rsidR="00ED6812">
        <w:t xml:space="preserve"> </w:t>
      </w:r>
      <w:proofErr w:type="gramStart"/>
      <w:r w:rsidRPr="003821DA" w:rsidR="00BA513D">
        <w:t xml:space="preserve">Indeed, </w:t>
      </w:r>
      <w:r w:rsidRPr="003821DA" w:rsidR="00ED6812">
        <w:t xml:space="preserve">there </w:t>
      </w:r>
      <w:r w:rsidRPr="003821DA" w:rsidR="00BA513D">
        <w:t xml:space="preserve">does not appear to </w:t>
      </w:r>
      <w:r w:rsidRPr="003821DA" w:rsidR="00ED6812">
        <w:t>exist any basis in</w:t>
      </w:r>
      <w:r w:rsidRPr="003821DA" w:rsidR="00A46529">
        <w:t xml:space="preserve"> </w:t>
      </w:r>
      <w:r w:rsidRPr="003821DA" w:rsidR="00ED6812">
        <w:t>national law for</w:t>
      </w:r>
      <w:r w:rsidRPr="003821DA" w:rsidR="00E3032E">
        <w:t xml:space="preserve"> the</w:t>
      </w:r>
      <w:r w:rsidRPr="003821DA" w:rsidR="00ED6812">
        <w:t xml:space="preserve"> adoption of such individualised decisions</w:t>
      </w:r>
      <w:r w:rsidRPr="003821DA" w:rsidR="00BA513D">
        <w:t xml:space="preserve">, </w:t>
      </w:r>
      <w:r w:rsidRPr="003821DA" w:rsidR="00832368">
        <w:t>the Supreme Court of Russia not</w:t>
      </w:r>
      <w:r w:rsidRPr="003821DA" w:rsidR="00BA513D">
        <w:t>ing</w:t>
      </w:r>
      <w:r w:rsidRPr="003821DA" w:rsidR="00832368">
        <w:t xml:space="preserve"> in its decision of 12 March 2014</w:t>
      </w:r>
      <w:r w:rsidRPr="003821DA" w:rsidR="00E3032E">
        <w:t xml:space="preserve"> that </w:t>
      </w:r>
      <w:r w:rsidRPr="003821DA" w:rsidR="00832368">
        <w:t xml:space="preserve">the existing legal framework “[did] not </w:t>
      </w:r>
      <w:r w:rsidRPr="003821DA" w:rsidR="00E3032E">
        <w:t xml:space="preserve">provide for </w:t>
      </w:r>
      <w:r w:rsidRPr="003821DA" w:rsidR="00EB5B22">
        <w:t xml:space="preserve">the </w:t>
      </w:r>
      <w:r w:rsidRPr="003821DA" w:rsidR="00832368">
        <w:t xml:space="preserve">adoption of any </w:t>
      </w:r>
      <w:r w:rsidRPr="003821DA" w:rsidR="002E3CD6">
        <w:t xml:space="preserve">[individualised] </w:t>
      </w:r>
      <w:r w:rsidRPr="003821DA" w:rsidR="00832368">
        <w:t>decision [authori</w:t>
      </w:r>
      <w:r w:rsidRPr="003821DA" w:rsidR="00E3032E">
        <w:t>s</w:t>
      </w:r>
      <w:r w:rsidRPr="003821DA" w:rsidR="00832368">
        <w:t xml:space="preserve">ing] the use of technical means of control and supervision” (see paragraph </w:t>
      </w:r>
      <w:r w:rsidRPr="003821DA" w:rsidR="00853C77">
        <w:fldChar w:fldCharType="begin"/>
      </w:r>
      <w:r w:rsidRPr="003821DA" w:rsidR="00853C77">
        <w:instrText xml:space="preserve"> REF SupCourt12Mer2014NoIndivDecision \h  \* MERGEFORMAT </w:instrText>
      </w:r>
      <w:r w:rsidRPr="003821DA" w:rsidR="00853C77">
        <w:fldChar w:fldCharType="separate"/>
      </w:r>
      <w:r w:rsidRPr="003821DA" w:rsidR="003821DA">
        <w:rPr>
          <w:noProof/>
        </w:rPr>
        <w:t>48</w:t>
      </w:r>
      <w:r w:rsidRPr="003821DA" w:rsidR="00853C77">
        <w:fldChar w:fldCharType="end"/>
      </w:r>
      <w:r w:rsidRPr="003821DA" w:rsidR="00853C77">
        <w:t xml:space="preserve"> </w:t>
      </w:r>
      <w:r w:rsidRPr="003821DA" w:rsidR="00832368">
        <w:t>above).</w:t>
      </w:r>
      <w:proofErr w:type="gramEnd"/>
    </w:p>
    <w:p w:rsidRPr="003821DA" w:rsidR="007805A2" w:rsidP="003821DA" w:rsidRDefault="002323BD">
      <w:pPr>
        <w:pStyle w:val="ECHRPara"/>
      </w:pPr>
      <w:r w:rsidRPr="003821DA">
        <w:fldChar w:fldCharType="begin"/>
      </w:r>
      <w:r w:rsidRPr="003821DA">
        <w:instrText xml:space="preserve"> SEQ level0 \*arabic </w:instrText>
      </w:r>
      <w:r w:rsidRPr="003821DA">
        <w:fldChar w:fldCharType="separate"/>
      </w:r>
      <w:r w:rsidRPr="003821DA" w:rsidR="003821DA">
        <w:rPr>
          <w:noProof/>
        </w:rPr>
        <w:t>97</w:t>
      </w:r>
      <w:r w:rsidRPr="003821DA">
        <w:fldChar w:fldCharType="end"/>
      </w:r>
      <w:r w:rsidRPr="003821DA">
        <w:t xml:space="preserve">.  In such circumstances, whilst the Court is prepared to accept that the contested measure had some basis in national law, it is not convinced that the existing legal framework is compatible with the “quality of law” requirement. Whilst vesting in the administrations of pre-trial detention centres and penal institutions the right to use video surveillance, it does not define with sufficient clarity the scope of those powers and the manner of their exercise </w:t>
      </w:r>
      <w:proofErr w:type="gramStart"/>
      <w:r w:rsidRPr="003821DA">
        <w:t>so as to</w:t>
      </w:r>
      <w:proofErr w:type="gramEnd"/>
      <w:r w:rsidRPr="003821DA">
        <w:t xml:space="preserve"> afford an individual adequate protection against arbitrariness. </w:t>
      </w:r>
      <w:proofErr w:type="gramStart"/>
      <w:r w:rsidRPr="003821DA">
        <w:t>In fact, as interpreted by the domestic courts, the national legal framework vests in the administrations of pre-trial detention centres and penal institutions an unrestricted power to place every individual in pre-trial or post-conviction detention under permanent</w:t>
      </w:r>
      <w:r w:rsidRPr="003821DA" w:rsidR="00442294">
        <w:t xml:space="preserve"> </w:t>
      </w:r>
      <w:r w:rsidRPr="003821DA" w:rsidR="00442294">
        <w:rPr>
          <w:b/>
        </w:rPr>
        <w:t xml:space="preserve">– </w:t>
      </w:r>
      <w:r w:rsidRPr="003821DA" w:rsidR="00442294">
        <w:t>that is day and night –</w:t>
      </w:r>
      <w:r w:rsidRPr="003821DA">
        <w:t xml:space="preserve"> video surveillance, unconditionally, in any area of the institution, including cells, for an indefinite period of time, with no periodic reviews.</w:t>
      </w:r>
      <w:proofErr w:type="gramEnd"/>
      <w:r w:rsidRPr="003821DA">
        <w:t xml:space="preserve"> As it stands, the national law offers virtually no safeguards against abuse by State officials.</w:t>
      </w:r>
    </w:p>
    <w:p w:rsidRPr="003821DA" w:rsidR="00590D0D"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98</w:t>
      </w:r>
      <w:r w:rsidRPr="003821DA">
        <w:rPr>
          <w:noProof/>
        </w:rPr>
        <w:fldChar w:fldCharType="end"/>
      </w:r>
      <w:r w:rsidRPr="003821DA" w:rsidR="001256E0">
        <w:t>.  </w:t>
      </w:r>
      <w:proofErr w:type="gramStart"/>
      <w:r w:rsidRPr="003821DA" w:rsidR="009069CE">
        <w:t xml:space="preserve">In </w:t>
      </w:r>
      <w:r w:rsidRPr="003821DA" w:rsidR="0077761D">
        <w:t>the light of the foregoing</w:t>
      </w:r>
      <w:r w:rsidRPr="003821DA" w:rsidR="00547F8A">
        <w:t xml:space="preserve"> considerations</w:t>
      </w:r>
      <w:r w:rsidRPr="003821DA" w:rsidR="009069CE">
        <w:t>, a</w:t>
      </w:r>
      <w:r w:rsidRPr="003821DA" w:rsidR="00F11295">
        <w:t xml:space="preserve">lthough the Court </w:t>
      </w:r>
      <w:r w:rsidRPr="003821DA" w:rsidR="0003469C">
        <w:t>is prepared to accept</w:t>
      </w:r>
      <w:r w:rsidRPr="003821DA" w:rsidR="00F11295">
        <w:t xml:space="preserve">, having regard to the ordinary and reasonable requirements of </w:t>
      </w:r>
      <w:r w:rsidRPr="003821DA" w:rsidR="001256E0">
        <w:t>detention</w:t>
      </w:r>
      <w:r w:rsidRPr="003821DA" w:rsidR="00F11295">
        <w:t xml:space="preserve">, that it may be necessary to monitor </w:t>
      </w:r>
      <w:r w:rsidRPr="003821DA" w:rsidR="001256E0">
        <w:t xml:space="preserve">certain </w:t>
      </w:r>
      <w:r w:rsidRPr="003821DA" w:rsidR="00E05F4B">
        <w:t xml:space="preserve">areas of pre-trial </w:t>
      </w:r>
      <w:r w:rsidRPr="003821DA" w:rsidR="00BA513D">
        <w:t>and</w:t>
      </w:r>
      <w:r w:rsidRPr="003821DA" w:rsidR="00E05F4B">
        <w:t xml:space="preserve"> penal institutions, or certain </w:t>
      </w:r>
      <w:r w:rsidRPr="003821DA" w:rsidR="00F11295">
        <w:t xml:space="preserve">detainees </w:t>
      </w:r>
      <w:r w:rsidRPr="003821DA" w:rsidR="001256E0">
        <w:t xml:space="preserve">on a permanent basis, including by </w:t>
      </w:r>
      <w:r w:rsidRPr="003821DA" w:rsidR="000543C5">
        <w:t>a</w:t>
      </w:r>
      <w:r w:rsidRPr="003821DA" w:rsidR="001256E0">
        <w:t xml:space="preserve"> CCTV system</w:t>
      </w:r>
      <w:r w:rsidRPr="003821DA" w:rsidR="00F11295">
        <w:t>, it</w:t>
      </w:r>
      <w:r w:rsidRPr="003821DA" w:rsidR="00A21B5F">
        <w:t xml:space="preserve"> </w:t>
      </w:r>
      <w:r w:rsidRPr="003821DA" w:rsidR="00F11295">
        <w:t>find</w:t>
      </w:r>
      <w:r w:rsidRPr="003821DA" w:rsidR="00A21B5F">
        <w:t>s</w:t>
      </w:r>
      <w:r w:rsidRPr="003821DA" w:rsidR="00F11295">
        <w:t xml:space="preserve"> that the </w:t>
      </w:r>
      <w:r w:rsidRPr="003821DA" w:rsidR="0003469C">
        <w:t xml:space="preserve">existing </w:t>
      </w:r>
      <w:r w:rsidRPr="003821DA" w:rsidR="001256E0">
        <w:t>legal framework</w:t>
      </w:r>
      <w:r w:rsidRPr="003821DA" w:rsidR="0003469C">
        <w:t xml:space="preserve"> in Russia</w:t>
      </w:r>
      <w:r w:rsidRPr="003821DA" w:rsidR="00F11295">
        <w:t xml:space="preserve"> can</w:t>
      </w:r>
      <w:r w:rsidRPr="003821DA" w:rsidR="00A21B5F">
        <w:t>not</w:t>
      </w:r>
      <w:r w:rsidRPr="003821DA" w:rsidR="00F11295">
        <w:t xml:space="preserve"> be regarded as being sufficiently clear</w:t>
      </w:r>
      <w:r w:rsidRPr="003821DA" w:rsidR="0003469C">
        <w:t>, precise</w:t>
      </w:r>
      <w:r w:rsidRPr="003821DA" w:rsidR="00F11295">
        <w:t xml:space="preserve"> and detailed to</w:t>
      </w:r>
      <w:r w:rsidRPr="003821DA" w:rsidR="000543C5">
        <w:t xml:space="preserve"> have</w:t>
      </w:r>
      <w:r w:rsidRPr="003821DA" w:rsidR="00F11295">
        <w:t xml:space="preserve"> afford</w:t>
      </w:r>
      <w:r w:rsidRPr="003821DA" w:rsidR="000543C5">
        <w:t>ed</w:t>
      </w:r>
      <w:r w:rsidRPr="003821DA" w:rsidR="00F11295">
        <w:t xml:space="preserve"> appropriate protection against arbitrary interference by the</w:t>
      </w:r>
      <w:r w:rsidRPr="003821DA" w:rsidR="001256E0">
        <w:t xml:space="preserve"> authorities with the applicant</w:t>
      </w:r>
      <w:r w:rsidRPr="003821DA" w:rsidR="00F11295">
        <w:t>s</w:t>
      </w:r>
      <w:r w:rsidRPr="003821DA" w:rsidR="003821DA">
        <w:t>’</w:t>
      </w:r>
      <w:r w:rsidRPr="003821DA" w:rsidR="00F11295">
        <w:t xml:space="preserve"> right to respect for </w:t>
      </w:r>
      <w:r w:rsidRPr="003821DA" w:rsidR="001256E0">
        <w:t>the</w:t>
      </w:r>
      <w:r w:rsidRPr="003821DA" w:rsidR="0077761D">
        <w:t>ir</w:t>
      </w:r>
      <w:r w:rsidRPr="003821DA" w:rsidR="00F11295">
        <w:t xml:space="preserve"> private life.</w:t>
      </w:r>
      <w:proofErr w:type="gramEnd"/>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99</w:t>
      </w:r>
      <w:r w:rsidRPr="003821DA">
        <w:fldChar w:fldCharType="end"/>
      </w:r>
      <w:r w:rsidRPr="003821DA" w:rsidR="00014566">
        <w:t>.  </w:t>
      </w:r>
      <w:r w:rsidRPr="003821DA" w:rsidR="00547F8A">
        <w:t>It</w:t>
      </w:r>
      <w:r w:rsidRPr="003821DA" w:rsidR="00014566">
        <w:t xml:space="preserve"> </w:t>
      </w:r>
      <w:r w:rsidRPr="003821DA" w:rsidR="0003469C">
        <w:t>therefore</w:t>
      </w:r>
      <w:r w:rsidRPr="003821DA" w:rsidR="00014566">
        <w:t xml:space="preserve"> </w:t>
      </w:r>
      <w:r w:rsidRPr="003821DA" w:rsidR="0003469C">
        <w:t xml:space="preserve">finds </w:t>
      </w:r>
      <w:r w:rsidRPr="003821DA" w:rsidR="00014566">
        <w:t>that</w:t>
      </w:r>
      <w:r w:rsidRPr="003821DA" w:rsidR="0003469C">
        <w:t xml:space="preserve"> the</w:t>
      </w:r>
      <w:r w:rsidRPr="003821DA" w:rsidR="00014566">
        <w:t xml:space="preserve"> </w:t>
      </w:r>
      <w:r w:rsidRPr="003821DA" w:rsidR="002602F4">
        <w:t>measure complained of was not “in accordance with the law” as required by Article 8 § </w:t>
      </w:r>
      <w:proofErr w:type="gramStart"/>
      <w:r w:rsidRPr="003821DA" w:rsidR="002602F4">
        <w:t>2</w:t>
      </w:r>
      <w:proofErr w:type="gramEnd"/>
      <w:r w:rsidRPr="003821DA" w:rsidR="002602F4">
        <w:t xml:space="preserve"> of the Convention. Accordingl</w:t>
      </w:r>
      <w:r w:rsidRPr="003821DA" w:rsidR="00FA0F58">
        <w:t xml:space="preserve">y, </w:t>
      </w:r>
      <w:r w:rsidRPr="003821DA" w:rsidR="00547F8A">
        <w:t>there is no</w:t>
      </w:r>
      <w:r w:rsidRPr="003821DA" w:rsidR="00FA0F58">
        <w:t xml:space="preserve"> need to examine </w:t>
      </w:r>
      <w:proofErr w:type="gramStart"/>
      <w:r w:rsidRPr="003821DA" w:rsidR="00FA0F58">
        <w:t xml:space="preserve">whether </w:t>
      </w:r>
      <w:r w:rsidRPr="003821DA" w:rsidR="00500D77">
        <w:t>it</w:t>
      </w:r>
      <w:r w:rsidRPr="003821DA" w:rsidR="00FA0F58">
        <w:t xml:space="preserve"> pursued any of the legitimate aims and was “necessary in a democratic society”, </w:t>
      </w:r>
      <w:r w:rsidRPr="003821DA" w:rsidR="00EA7E24">
        <w:t>being proportionate to those aims</w:t>
      </w:r>
      <w:proofErr w:type="gramEnd"/>
      <w:r w:rsidRPr="003821DA" w:rsidR="00EA7E24">
        <w:t xml:space="preserve">. In </w:t>
      </w:r>
      <w:r w:rsidRPr="003821DA" w:rsidR="00547F8A">
        <w:t>particular</w:t>
      </w:r>
      <w:r w:rsidRPr="003821DA" w:rsidR="00EA7E24">
        <w:t xml:space="preserve">, the Court will leave open </w:t>
      </w:r>
      <w:r w:rsidRPr="003821DA" w:rsidR="00480DF0">
        <w:t xml:space="preserve">the </w:t>
      </w:r>
      <w:r w:rsidRPr="003821DA" w:rsidR="00EA7E24">
        <w:t xml:space="preserve">question of whether the fact that the </w:t>
      </w:r>
      <w:r w:rsidRPr="003821DA" w:rsidR="0003469C">
        <w:t xml:space="preserve">permanent video </w:t>
      </w:r>
      <w:r w:rsidRPr="003821DA" w:rsidR="00EA7E24">
        <w:t xml:space="preserve">surveillance </w:t>
      </w:r>
      <w:r w:rsidRPr="003821DA" w:rsidR="00743AB6">
        <w:t xml:space="preserve">was carried out by female operators of CCTV cameras </w:t>
      </w:r>
      <w:r w:rsidRPr="003821DA" w:rsidR="00B92813">
        <w:t>was compatible with the requirements of Article 8 § 2 of the Convention, as</w:t>
      </w:r>
      <w:r w:rsidRPr="003821DA" w:rsidR="0003469C">
        <w:t>, in its view,</w:t>
      </w:r>
      <w:r w:rsidRPr="003821DA" w:rsidR="00B92813">
        <w:t xml:space="preserve"> this is an element of the proportionality of the alleged interference.</w:t>
      </w:r>
    </w:p>
    <w:p w:rsidRPr="003821DA" w:rsidR="00014566" w:rsidP="003821DA" w:rsidRDefault="002602F4">
      <w:pPr>
        <w:pStyle w:val="ECHRPara"/>
      </w:pPr>
      <w:r w:rsidRPr="003821DA">
        <w:fldChar w:fldCharType="begin"/>
      </w:r>
      <w:r w:rsidRPr="003821DA">
        <w:instrText xml:space="preserve"> SEQ level0 \*arabic </w:instrText>
      </w:r>
      <w:r w:rsidRPr="003821DA">
        <w:fldChar w:fldCharType="separate"/>
      </w:r>
      <w:r w:rsidRPr="003821DA" w:rsidR="003821DA">
        <w:rPr>
          <w:noProof/>
        </w:rPr>
        <w:t>100</w:t>
      </w:r>
      <w:r w:rsidRPr="003821DA">
        <w:fldChar w:fldCharType="end"/>
      </w:r>
      <w:r w:rsidRPr="003821DA">
        <w:t>.  </w:t>
      </w:r>
      <w:r w:rsidRPr="003821DA" w:rsidR="00014566">
        <w:t>The</w:t>
      </w:r>
      <w:r w:rsidRPr="003821DA">
        <w:t xml:space="preserve"> Court thus concludes that there has</w:t>
      </w:r>
      <w:r w:rsidRPr="003821DA" w:rsidR="00014566">
        <w:t xml:space="preserve"> been a violation of Article</w:t>
      </w:r>
      <w:r w:rsidRPr="003821DA" w:rsidR="00C16590">
        <w:t> </w:t>
      </w:r>
      <w:r w:rsidRPr="003821DA" w:rsidR="00440766">
        <w:t>8</w:t>
      </w:r>
      <w:r w:rsidRPr="003821DA" w:rsidR="00014566">
        <w:t xml:space="preserve"> of the Convention.</w:t>
      </w:r>
    </w:p>
    <w:p w:rsidRPr="003821DA" w:rsidR="00014566" w:rsidP="003821DA" w:rsidRDefault="008E15D5">
      <w:pPr>
        <w:pStyle w:val="ECHRHeading1"/>
      </w:pPr>
      <w:r w:rsidRPr="003821DA">
        <w:t>III</w:t>
      </w:r>
      <w:r w:rsidRPr="003821DA" w:rsidR="00014566">
        <w:t>.</w:t>
      </w:r>
      <w:proofErr w:type="gramStart"/>
      <w:r w:rsidRPr="003821DA" w:rsidR="00014566">
        <w:t>  ALLEGED</w:t>
      </w:r>
      <w:proofErr w:type="gramEnd"/>
      <w:r w:rsidRPr="003821DA" w:rsidR="00014566">
        <w:t xml:space="preserve"> VIOLATION OF ARTICLE </w:t>
      </w:r>
      <w:r w:rsidRPr="003821DA">
        <w:t>13</w:t>
      </w:r>
      <w:r w:rsidRPr="003821DA" w:rsidR="00014566">
        <w:t xml:space="preserve"> OF THE CONVENTION</w:t>
      </w:r>
    </w:p>
    <w:p w:rsidRPr="003821DA" w:rsidR="00A9401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101</w:t>
      </w:r>
      <w:r w:rsidRPr="003821DA">
        <w:fldChar w:fldCharType="end"/>
      </w:r>
      <w:r w:rsidRPr="003821DA" w:rsidR="00014566">
        <w:t xml:space="preserve">.  The </w:t>
      </w:r>
      <w:r w:rsidRPr="003821DA" w:rsidR="00E831EB">
        <w:t xml:space="preserve">second and third </w:t>
      </w:r>
      <w:r w:rsidRPr="003821DA" w:rsidR="00014566">
        <w:t>applicant</w:t>
      </w:r>
      <w:r w:rsidRPr="003821DA">
        <w:t>s</w:t>
      </w:r>
      <w:r w:rsidRPr="003821DA" w:rsidR="00412700">
        <w:t xml:space="preserve"> complained that</w:t>
      </w:r>
      <w:r w:rsidRPr="003821DA" w:rsidR="0005241C">
        <w:t>, in breach of Article 13 of the Convention</w:t>
      </w:r>
      <w:r w:rsidRPr="003821DA" w:rsidR="00A94014">
        <w:t>,</w:t>
      </w:r>
      <w:r w:rsidRPr="003821DA" w:rsidR="00412700">
        <w:t xml:space="preserve"> they had </w:t>
      </w:r>
      <w:r w:rsidRPr="003821DA" w:rsidR="0005241C">
        <w:t xml:space="preserve">had </w:t>
      </w:r>
      <w:r w:rsidRPr="003821DA" w:rsidR="00412700">
        <w:t xml:space="preserve">no effective remedies in connection with the breach of their right to respect </w:t>
      </w:r>
      <w:r w:rsidRPr="003821DA" w:rsidR="00480DF0">
        <w:t xml:space="preserve">for their </w:t>
      </w:r>
      <w:r w:rsidRPr="003821DA" w:rsidR="00412700">
        <w:t xml:space="preserve">private life, as </w:t>
      </w:r>
      <w:r w:rsidRPr="003821DA" w:rsidR="00511DBF">
        <w:t xml:space="preserve">guaranteed </w:t>
      </w:r>
      <w:r w:rsidRPr="003821DA" w:rsidR="00412700">
        <w:t xml:space="preserve">by Article 8 of the Convention, </w:t>
      </w:r>
      <w:r w:rsidRPr="003821DA" w:rsidR="003C7BF5">
        <w:t>on account of</w:t>
      </w:r>
      <w:r w:rsidRPr="003821DA" w:rsidR="00480DF0">
        <w:t xml:space="preserve"> the</w:t>
      </w:r>
      <w:r w:rsidRPr="003821DA" w:rsidR="003C7BF5">
        <w:t xml:space="preserve"> permanent video surveillance </w:t>
      </w:r>
      <w:r w:rsidRPr="003821DA" w:rsidR="0005241C">
        <w:t>of their cells</w:t>
      </w:r>
      <w:r w:rsidRPr="003821DA" w:rsidR="003C7BF5">
        <w:t>.</w:t>
      </w:r>
      <w:r w:rsidRPr="003821DA" w:rsidR="0005241C">
        <w:t xml:space="preserve"> </w:t>
      </w:r>
      <w:r w:rsidRPr="003821DA" w:rsidR="00A94014">
        <w:t>Article 13 of the Convention reads as follows:</w:t>
      </w:r>
    </w:p>
    <w:p w:rsidRPr="003821DA" w:rsidR="00A94014" w:rsidP="003821DA" w:rsidRDefault="00A94014">
      <w:pPr>
        <w:pStyle w:val="ECHRParaQuote"/>
      </w:pPr>
      <w:r w:rsidRPr="003821DA">
        <w:t>“Everyone whose rights and freedoms as set forth in [the] Convention are violated shall have an effective remedy before a national authority notwithstanding that the violation has been committed by persons acting in an official capacity.”</w:t>
      </w:r>
    </w:p>
    <w:p w:rsidRPr="003821DA" w:rsidR="00014566" w:rsidP="003821DA" w:rsidRDefault="00E930BF">
      <w:pPr>
        <w:pStyle w:val="ECHRHeading2"/>
      </w:pPr>
      <w:r w:rsidRPr="003821DA">
        <w:t>A.  Submissions by the parties</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102</w:t>
      </w:r>
      <w:r w:rsidRPr="003821DA">
        <w:fldChar w:fldCharType="end"/>
      </w:r>
      <w:r w:rsidRPr="003821DA" w:rsidR="00014566">
        <w:t xml:space="preserve">.  The Government </w:t>
      </w:r>
      <w:r w:rsidRPr="003821DA" w:rsidR="003C570E">
        <w:t xml:space="preserve">argued that the </w:t>
      </w:r>
      <w:r w:rsidRPr="003821DA" w:rsidR="009B211E">
        <w:t xml:space="preserve">second and third </w:t>
      </w:r>
      <w:r w:rsidRPr="003821DA" w:rsidR="003C570E">
        <w:t>applicants</w:t>
      </w:r>
      <w:r w:rsidRPr="003821DA" w:rsidR="005776E0">
        <w:t xml:space="preserve"> had had at their disposal effective remedies as they could challenge any actions of the administrations of their </w:t>
      </w:r>
      <w:r w:rsidRPr="003821DA" w:rsidR="00B159ED">
        <w:t>penal institutions</w:t>
      </w:r>
      <w:r w:rsidRPr="003821DA" w:rsidR="005776E0">
        <w:t xml:space="preserve"> or pre-trial detention centre in court, including </w:t>
      </w:r>
      <w:r w:rsidRPr="003821DA" w:rsidR="003C570E">
        <w:t>the lawfulness and well-</w:t>
      </w:r>
      <w:proofErr w:type="spellStart"/>
      <w:r w:rsidRPr="003821DA" w:rsidR="003C570E">
        <w:t>foundedness</w:t>
      </w:r>
      <w:proofErr w:type="spellEnd"/>
      <w:r w:rsidRPr="003821DA" w:rsidR="003C570E">
        <w:t xml:space="preserve"> of the permanent video surveillance</w:t>
      </w:r>
      <w:r w:rsidRPr="003821DA" w:rsidR="005776E0">
        <w:t xml:space="preserve"> of their cells</w:t>
      </w:r>
      <w:r w:rsidRPr="003821DA" w:rsidR="00014566">
        <w:t>.</w:t>
      </w:r>
      <w:r w:rsidRPr="003821DA" w:rsidR="003C570E">
        <w:t xml:space="preserve"> The</w:t>
      </w:r>
      <w:r w:rsidRPr="003821DA" w:rsidR="007E5CBB">
        <w:t xml:space="preserve"> Government</w:t>
      </w:r>
      <w:r w:rsidRPr="003821DA" w:rsidR="003C570E">
        <w:t xml:space="preserve"> provided no further details</w:t>
      </w:r>
      <w:r w:rsidRPr="003821DA" w:rsidR="00614401">
        <w:t>, and, despite</w:t>
      </w:r>
      <w:r w:rsidRPr="003821DA" w:rsidR="00480DF0">
        <w:t xml:space="preserve"> an explicit request by</w:t>
      </w:r>
      <w:r w:rsidRPr="003821DA" w:rsidR="00614401">
        <w:t xml:space="preserve"> the Court to that </w:t>
      </w:r>
      <w:r w:rsidRPr="003821DA" w:rsidR="00480DF0">
        <w:t>effect</w:t>
      </w:r>
      <w:r w:rsidRPr="003821DA" w:rsidR="00614401">
        <w:t xml:space="preserve">, </w:t>
      </w:r>
      <w:r w:rsidRPr="003821DA" w:rsidR="003C570E">
        <w:t xml:space="preserve">gave </w:t>
      </w:r>
      <w:r w:rsidRPr="003821DA" w:rsidR="00614401">
        <w:t>no</w:t>
      </w:r>
      <w:r w:rsidRPr="003821DA" w:rsidR="003C570E">
        <w:t xml:space="preserve"> examples of </w:t>
      </w:r>
      <w:r w:rsidRPr="003821DA" w:rsidR="009B211E">
        <w:t xml:space="preserve">relevant </w:t>
      </w:r>
      <w:r w:rsidRPr="003821DA" w:rsidR="003C570E">
        <w:t>judicial practice.</w:t>
      </w:r>
    </w:p>
    <w:p w:rsidRPr="003821DA" w:rsidR="00E930BF" w:rsidP="003821DA" w:rsidRDefault="00E930BF">
      <w:pPr>
        <w:pStyle w:val="ECHRPara"/>
      </w:pPr>
      <w:r w:rsidRPr="003821DA">
        <w:fldChar w:fldCharType="begin"/>
      </w:r>
      <w:r w:rsidRPr="003821DA">
        <w:instrText xml:space="preserve"> SEQ level0 \*arabic </w:instrText>
      </w:r>
      <w:r w:rsidRPr="003821DA">
        <w:fldChar w:fldCharType="separate"/>
      </w:r>
      <w:r w:rsidRPr="003821DA" w:rsidR="003821DA">
        <w:rPr>
          <w:noProof/>
        </w:rPr>
        <w:t>103</w:t>
      </w:r>
      <w:r w:rsidRPr="003821DA">
        <w:fldChar w:fldCharType="end"/>
      </w:r>
      <w:r w:rsidRPr="003821DA">
        <w:t>.  </w:t>
      </w:r>
      <w:r w:rsidRPr="003821DA" w:rsidR="009B211E">
        <w:t xml:space="preserve">The second and third applicants </w:t>
      </w:r>
      <w:r w:rsidRPr="003821DA" w:rsidR="00BF7C13">
        <w:t>argued</w:t>
      </w:r>
      <w:r w:rsidRPr="003821DA" w:rsidR="009B211E">
        <w:t xml:space="preserve"> that</w:t>
      </w:r>
      <w:r w:rsidRPr="003821DA" w:rsidR="00C51140">
        <w:t xml:space="preserve"> </w:t>
      </w:r>
      <w:r w:rsidRPr="003821DA" w:rsidR="00BF7C13">
        <w:t>the Gove</w:t>
      </w:r>
      <w:r w:rsidRPr="003821DA" w:rsidR="00FD513C">
        <w:t xml:space="preserve">rnment had failed to point out any of the effective remedies that had </w:t>
      </w:r>
      <w:r w:rsidRPr="003821DA" w:rsidR="00480DF0">
        <w:t xml:space="preserve">allegedly </w:t>
      </w:r>
      <w:r w:rsidRPr="003821DA" w:rsidR="00FD513C">
        <w:t>been available to the applicants,</w:t>
      </w:r>
      <w:r w:rsidRPr="003821DA" w:rsidR="00BF7C13">
        <w:t xml:space="preserve"> and to give examples of judicial </w:t>
      </w:r>
      <w:proofErr w:type="gramStart"/>
      <w:r w:rsidRPr="003821DA" w:rsidR="00BF7C13">
        <w:t xml:space="preserve">practice </w:t>
      </w:r>
      <w:r w:rsidRPr="003821DA" w:rsidR="009B211E">
        <w:t>which</w:t>
      </w:r>
      <w:proofErr w:type="gramEnd"/>
      <w:r w:rsidRPr="003821DA" w:rsidR="009B211E">
        <w:t xml:space="preserve"> would illustrate the practical effectiveness of such remedies</w:t>
      </w:r>
      <w:r w:rsidRPr="003821DA" w:rsidR="00BF7C13">
        <w:t xml:space="preserve"> in their situation. The third applicant furthermore argued that </w:t>
      </w:r>
      <w:r w:rsidRPr="003821DA" w:rsidR="00FD513C">
        <w:t xml:space="preserve">he </w:t>
      </w:r>
      <w:r w:rsidRPr="003821DA" w:rsidR="004103D1">
        <w:t>had in fact brought proceedings against the detention centre authorities in connection with the video surveillance, but to no ava</w:t>
      </w:r>
      <w:r w:rsidRPr="003821DA" w:rsidR="006D635A">
        <w:t>il.</w:t>
      </w:r>
    </w:p>
    <w:p w:rsidRPr="003821DA" w:rsidR="00E930BF" w:rsidP="003821DA" w:rsidRDefault="00E930BF">
      <w:pPr>
        <w:pStyle w:val="ECHRHeading2"/>
      </w:pPr>
      <w:r w:rsidRPr="003821DA">
        <w:t>B.  The Court</w:t>
      </w:r>
      <w:r w:rsidRPr="003821DA" w:rsidR="003821DA">
        <w:t>’</w:t>
      </w:r>
      <w:r w:rsidRPr="003821DA">
        <w:t>s assessment</w:t>
      </w:r>
    </w:p>
    <w:p w:rsidRPr="003821DA" w:rsidR="00D571BA" w:rsidP="003821DA" w:rsidRDefault="00D571BA">
      <w:pPr>
        <w:pStyle w:val="ECHRHeading3"/>
      </w:pPr>
      <w:r w:rsidRPr="003821DA">
        <w:t>1.  Admissibility</w:t>
      </w:r>
    </w:p>
    <w:p w:rsidRPr="003821DA" w:rsidR="00DB4619" w:rsidP="003821DA" w:rsidRDefault="00D571BA">
      <w:pPr>
        <w:pStyle w:val="ECHRPara"/>
      </w:pPr>
      <w:r w:rsidRPr="003821DA">
        <w:fldChar w:fldCharType="begin"/>
      </w:r>
      <w:r w:rsidRPr="003821DA">
        <w:instrText xml:space="preserve"> SEQ level0 \*arabic </w:instrText>
      </w:r>
      <w:r w:rsidRPr="003821DA">
        <w:fldChar w:fldCharType="separate"/>
      </w:r>
      <w:r w:rsidRPr="003821DA" w:rsidR="003821DA">
        <w:rPr>
          <w:noProof/>
        </w:rPr>
        <w:t>104</w:t>
      </w:r>
      <w:r w:rsidRPr="003821DA">
        <w:fldChar w:fldCharType="end"/>
      </w:r>
      <w:r w:rsidRPr="003821DA">
        <w:t>.  </w:t>
      </w:r>
      <w:r w:rsidRPr="003821DA" w:rsidR="00DB4619">
        <w:t xml:space="preserve">The Court reiterates that Article 13 of the Convention applies only where an individual has an “arguable claim” to be the victim of a violation of a Convention right (see </w:t>
      </w:r>
      <w:r w:rsidRPr="003821DA" w:rsidR="00DB4619">
        <w:rPr>
          <w:i/>
          <w:iCs/>
        </w:rPr>
        <w:t>Boyle and Rice v. the United Kingdom</w:t>
      </w:r>
      <w:r w:rsidRPr="003821DA" w:rsidR="00DB4619">
        <w:t xml:space="preserve">, 27 April 1988, § 52, Series </w:t>
      </w:r>
      <w:proofErr w:type="gramStart"/>
      <w:r w:rsidRPr="003821DA" w:rsidR="00DB4619">
        <w:t>A</w:t>
      </w:r>
      <w:proofErr w:type="gramEnd"/>
      <w:r w:rsidRPr="003821DA" w:rsidR="00DB4619">
        <w:t xml:space="preserve"> no. 131). </w:t>
      </w:r>
      <w:r w:rsidRPr="003821DA" w:rsidR="00B56731">
        <w:t xml:space="preserve">In view of its above finding concerning Article 8 of the Convention, </w:t>
      </w:r>
      <w:r w:rsidRPr="003821DA" w:rsidR="00DB4619">
        <w:t>it</w:t>
      </w:r>
      <w:r w:rsidRPr="003821DA" w:rsidR="00B56731">
        <w:t xml:space="preserve"> considers that the</w:t>
      </w:r>
      <w:r w:rsidRPr="003821DA" w:rsidR="00C54C03">
        <w:t xml:space="preserve"> second and third</w:t>
      </w:r>
      <w:r w:rsidRPr="003821DA" w:rsidR="00B56731">
        <w:t xml:space="preserve"> applicants have </w:t>
      </w:r>
      <w:r w:rsidRPr="003821DA" w:rsidR="00F40B23">
        <w:t xml:space="preserve">such a claim </w:t>
      </w:r>
      <w:r w:rsidRPr="003821DA" w:rsidR="00C51140">
        <w:t>for the purpose</w:t>
      </w:r>
      <w:r w:rsidRPr="003821DA" w:rsidR="006465F4">
        <w:t>s</w:t>
      </w:r>
      <w:r w:rsidRPr="003821DA" w:rsidR="00C51140">
        <w:t xml:space="preserve"> of </w:t>
      </w:r>
      <w:r w:rsidRPr="003821DA" w:rsidR="00B56731">
        <w:t xml:space="preserve">Article 13 </w:t>
      </w:r>
      <w:r w:rsidRPr="003821DA" w:rsidR="00C51140">
        <w:t>of the Convention</w:t>
      </w:r>
      <w:r w:rsidRPr="003821DA" w:rsidR="00B56731">
        <w:t>.</w:t>
      </w:r>
    </w:p>
    <w:p w:rsidRPr="003821DA" w:rsidR="00164F64"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105</w:t>
      </w:r>
      <w:r w:rsidRPr="003821DA">
        <w:rPr>
          <w:noProof/>
        </w:rPr>
        <w:fldChar w:fldCharType="end"/>
      </w:r>
      <w:r w:rsidRPr="003821DA" w:rsidR="00DB4619">
        <w:t>.  </w:t>
      </w:r>
      <w:r w:rsidRPr="003821DA" w:rsidR="00F40B23">
        <w:t>It</w:t>
      </w:r>
      <w:r w:rsidRPr="003821DA" w:rsidR="00DB4619">
        <w:t xml:space="preserve"> further finds that th</w:t>
      </w:r>
      <w:r w:rsidRPr="003821DA" w:rsidR="00D571BA">
        <w:t xml:space="preserve">is complaint is not manifestly </w:t>
      </w:r>
      <w:proofErr w:type="gramStart"/>
      <w:r w:rsidRPr="003821DA" w:rsidR="00D571BA">
        <w:t>ill-founded</w:t>
      </w:r>
      <w:proofErr w:type="gramEnd"/>
      <w:r w:rsidRPr="003821DA" w:rsidR="00D571BA">
        <w:t xml:space="preserve"> within the meaning of Article 35 § 3 (a) of the Convention. It is </w:t>
      </w:r>
      <w:r w:rsidRPr="003821DA" w:rsidR="00C51140">
        <w:t xml:space="preserve">furthermore </w:t>
      </w:r>
      <w:proofErr w:type="gramStart"/>
      <w:r w:rsidRPr="003821DA" w:rsidR="00D571BA">
        <w:t>not inadmissible</w:t>
      </w:r>
      <w:proofErr w:type="gramEnd"/>
      <w:r w:rsidRPr="003821DA" w:rsidR="00D571BA">
        <w:t xml:space="preserve"> on any other grounds. It </w:t>
      </w:r>
      <w:proofErr w:type="gramStart"/>
      <w:r w:rsidRPr="003821DA" w:rsidR="00D571BA">
        <w:t>must therefore be declared</w:t>
      </w:r>
      <w:proofErr w:type="gramEnd"/>
      <w:r w:rsidRPr="003821DA" w:rsidR="00D571BA">
        <w:t xml:space="preserve"> admissible.</w:t>
      </w:r>
    </w:p>
    <w:p w:rsidRPr="003821DA" w:rsidR="00D571BA" w:rsidP="003821DA" w:rsidRDefault="00D571BA">
      <w:pPr>
        <w:pStyle w:val="ECHRHeading3"/>
      </w:pPr>
      <w:r w:rsidRPr="003821DA">
        <w:t>2.  Merits</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106</w:t>
      </w:r>
      <w:r w:rsidRPr="003821DA">
        <w:fldChar w:fldCharType="end"/>
      </w:r>
      <w:r w:rsidRPr="003821DA" w:rsidR="00014566">
        <w:t>.  </w:t>
      </w:r>
      <w:r w:rsidRPr="003821DA" w:rsidR="0032061B">
        <w:t xml:space="preserve">The Court reiterates that Article 13 of the Convention guarantees the availability at national level of a remedy to enforce the substance of the Convention rights and freedoms in whatever form they may happen to </w:t>
      </w:r>
      <w:proofErr w:type="gramStart"/>
      <w:r w:rsidRPr="003821DA" w:rsidR="0032061B">
        <w:t>be secured</w:t>
      </w:r>
      <w:proofErr w:type="gramEnd"/>
      <w:r w:rsidRPr="003821DA" w:rsidR="0032061B">
        <w:t>. The scope of the Contracting States</w:t>
      </w:r>
      <w:r w:rsidRPr="003821DA" w:rsidR="003821DA">
        <w:t>’</w:t>
      </w:r>
      <w:r w:rsidRPr="003821DA" w:rsidR="0032061B">
        <w:t xml:space="preserve"> obligations under Article 13 varies depending on the nature of the applicant</w:t>
      </w:r>
      <w:r w:rsidRPr="003821DA" w:rsidR="003821DA">
        <w:t>’</w:t>
      </w:r>
      <w:r w:rsidRPr="003821DA" w:rsidR="0032061B">
        <w:t xml:space="preserve">s complaint. However, the remedy required by Article 13 must be “effective” in practice as well as in law. The “effectiveness” of a “remedy” within the meaning of Article 13 does not depend on the certainty of a favourable outcome for the applicant (see </w:t>
      </w:r>
      <w:r w:rsidRPr="003821DA" w:rsidR="0032061B">
        <w:rPr>
          <w:i/>
          <w:iCs/>
        </w:rPr>
        <w:t>Voynov v. Russia</w:t>
      </w:r>
      <w:r w:rsidRPr="003821DA" w:rsidR="0032061B">
        <w:rPr>
          <w:lang w:eastAsia="en-GB"/>
        </w:rPr>
        <w:t>, no.</w:t>
      </w:r>
      <w:r w:rsidRPr="003821DA" w:rsidR="0032061B">
        <w:rPr>
          <w:rStyle w:val="ECHRParaChar"/>
        </w:rPr>
        <w:t xml:space="preserve"> </w:t>
      </w:r>
      <w:r w:rsidRPr="003821DA" w:rsidR="0032061B">
        <w:t>39747/10</w:t>
      </w:r>
      <w:r w:rsidRPr="003821DA" w:rsidR="0032061B">
        <w:rPr>
          <w:lang w:eastAsia="en-GB"/>
        </w:rPr>
        <w:t xml:space="preserve">, </w:t>
      </w:r>
      <w:r w:rsidRPr="003821DA" w:rsidR="0032061B">
        <w:t>§ 38, 3 July 2018, and the authorities cited therein).</w:t>
      </w:r>
    </w:p>
    <w:p w:rsidRPr="003821DA" w:rsidR="00FB2A68" w:rsidP="003821DA" w:rsidRDefault="00FC24AF">
      <w:pPr>
        <w:pStyle w:val="ECHRPara"/>
      </w:pPr>
      <w:r w:rsidRPr="003821DA">
        <w:fldChar w:fldCharType="begin"/>
      </w:r>
      <w:r w:rsidRPr="003821DA">
        <w:instrText xml:space="preserve"> SEQ level0 \*arabic </w:instrText>
      </w:r>
      <w:r w:rsidRPr="003821DA">
        <w:fldChar w:fldCharType="separate"/>
      </w:r>
      <w:r w:rsidRPr="003821DA" w:rsidR="003821DA">
        <w:rPr>
          <w:noProof/>
        </w:rPr>
        <w:t>107</w:t>
      </w:r>
      <w:r w:rsidRPr="003821DA">
        <w:fldChar w:fldCharType="end"/>
      </w:r>
      <w:r w:rsidRPr="003821DA">
        <w:t>.  </w:t>
      </w:r>
      <w:proofErr w:type="gramStart"/>
      <w:r w:rsidRPr="003821DA" w:rsidR="00BC6D6C">
        <w:t xml:space="preserve">In the present case, whilst generally arguing that the second and third applicants had </w:t>
      </w:r>
      <w:r w:rsidRPr="003821DA" w:rsidR="00480DF0">
        <w:t xml:space="preserve">had </w:t>
      </w:r>
      <w:r w:rsidRPr="003821DA" w:rsidR="00BC6D6C">
        <w:t xml:space="preserve">at their disposal effective domestic remedies in respect of their complaint under Article 8 of the Convention, the Government did not </w:t>
      </w:r>
      <w:r w:rsidRPr="003821DA" w:rsidR="00416C23">
        <w:t xml:space="preserve">specify which meaningful avenues of redress </w:t>
      </w:r>
      <w:r w:rsidRPr="003821DA" w:rsidR="00480DF0">
        <w:t xml:space="preserve">had been </w:t>
      </w:r>
      <w:r w:rsidRPr="003821DA" w:rsidR="00416C23">
        <w:t>open to them, nor provide any examples of judicial practice capable of demonstrating the effectiveness of those avenues in practice.</w:t>
      </w:r>
      <w:proofErr w:type="gramEnd"/>
      <w:r w:rsidRPr="003821DA" w:rsidR="00416C23">
        <w:t xml:space="preserve"> </w:t>
      </w:r>
      <w:r w:rsidRPr="003821DA" w:rsidR="00FB2A68">
        <w:t xml:space="preserve">In particular, it </w:t>
      </w:r>
      <w:r w:rsidRPr="003821DA" w:rsidR="00F357DF">
        <w:t>was not</w:t>
      </w:r>
      <w:r w:rsidRPr="003821DA" w:rsidR="00FB2A68">
        <w:t xml:space="preserve"> shown that an individual in pre-trial or post-conviction detention placed under</w:t>
      </w:r>
      <w:r w:rsidRPr="003821DA" w:rsidR="00F357DF">
        <w:t xml:space="preserve"> permanent video surveillance might obtain</w:t>
      </w:r>
      <w:r w:rsidRPr="003821DA" w:rsidR="00FB2A68">
        <w:t xml:space="preserve"> a judicial review of the impugned measure </w:t>
      </w:r>
      <w:proofErr w:type="gramStart"/>
      <w:r w:rsidRPr="003821DA" w:rsidR="00FB2A68">
        <w:t>on account</w:t>
      </w:r>
      <w:proofErr w:type="gramEnd"/>
      <w:r w:rsidRPr="003821DA" w:rsidR="00FB2A68">
        <w:t xml:space="preserve"> of considerations relating to the right to respect for his</w:t>
      </w:r>
      <w:r w:rsidRPr="003821DA" w:rsidR="00480DF0">
        <w:t xml:space="preserve"> or her</w:t>
      </w:r>
      <w:r w:rsidRPr="003821DA" w:rsidR="00FB2A68">
        <w:t xml:space="preserve"> private life.</w:t>
      </w:r>
    </w:p>
    <w:p w:rsidRPr="003821DA" w:rsidR="00886DBE" w:rsidP="003821DA" w:rsidRDefault="00FB2A68">
      <w:pPr>
        <w:pStyle w:val="ECHRPara"/>
      </w:pPr>
      <w:r w:rsidRPr="003821DA">
        <w:fldChar w:fldCharType="begin"/>
      </w:r>
      <w:r w:rsidRPr="003821DA">
        <w:instrText xml:space="preserve"> SEQ level0 \*arabic </w:instrText>
      </w:r>
      <w:r w:rsidRPr="003821DA">
        <w:fldChar w:fldCharType="separate"/>
      </w:r>
      <w:r w:rsidRPr="003821DA" w:rsidR="003821DA">
        <w:rPr>
          <w:noProof/>
        </w:rPr>
        <w:t>108</w:t>
      </w:r>
      <w:r w:rsidRPr="003821DA">
        <w:fldChar w:fldCharType="end"/>
      </w:r>
      <w:r w:rsidRPr="003821DA">
        <w:t xml:space="preserve">.  The Court reiterates that, in accordance with </w:t>
      </w:r>
      <w:r w:rsidRPr="003821DA" w:rsidR="00924A48">
        <w:t xml:space="preserve">its established </w:t>
      </w:r>
      <w:proofErr w:type="gramStart"/>
      <w:r w:rsidRPr="003821DA" w:rsidR="00924A48">
        <w:t>case-</w:t>
      </w:r>
      <w:r w:rsidRPr="003821DA">
        <w:t>law</w:t>
      </w:r>
      <w:proofErr w:type="gramEnd"/>
      <w:r w:rsidRPr="003821DA">
        <w:t>, the effective remedy required by Article 13 of the Convention is one where the domestic authority examining the case has to consider the substance of the Convention complaint. In cases involving Article 8 of the Convention, this means that the authority has to carry out a balancing exercise and examine whether the interference with the applicants</w:t>
      </w:r>
      <w:r w:rsidRPr="003821DA" w:rsidR="003821DA">
        <w:t>’</w:t>
      </w:r>
      <w:r w:rsidRPr="003821DA">
        <w:t xml:space="preserve"> rights answered a pressing social need and was proportionate to the legitimate aims pursued</w:t>
      </w:r>
      <w:r w:rsidRPr="003821DA" w:rsidR="00480DF0">
        <w:t>;</w:t>
      </w:r>
      <w:r w:rsidRPr="003821DA">
        <w:t xml:space="preserve"> that is, whether it amounted to a justifiable limitation of their rights (see </w:t>
      </w:r>
      <w:r w:rsidRPr="003821DA">
        <w:rPr>
          <w:i/>
        </w:rPr>
        <w:t>Voynov</w:t>
      </w:r>
      <w:r w:rsidRPr="003821DA">
        <w:t xml:space="preserve">, cited above, § 42). </w:t>
      </w:r>
      <w:proofErr w:type="gramStart"/>
      <w:r w:rsidRPr="003821DA" w:rsidR="00D335C5">
        <w:t xml:space="preserve">As regards the impugned measure in the present case, the relevant court decisions reveal that </w:t>
      </w:r>
      <w:r w:rsidRPr="003821DA" w:rsidR="00433AB6">
        <w:t xml:space="preserve">the national courts, including those of the highest level – the Constitutional Court and Supreme Court of Russia – </w:t>
      </w:r>
      <w:r w:rsidRPr="003821DA" w:rsidR="0076127B">
        <w:t xml:space="preserve">generally </w:t>
      </w:r>
      <w:r w:rsidRPr="003821DA" w:rsidR="00433AB6">
        <w:t>considered</w:t>
      </w:r>
      <w:r w:rsidRPr="003821DA" w:rsidR="00D11AAB">
        <w:t xml:space="preserve"> permanent video surveillance </w:t>
      </w:r>
      <w:r w:rsidRPr="003821DA" w:rsidR="00507BCC">
        <w:t>to be a necessary element of convicts</w:t>
      </w:r>
      <w:r w:rsidRPr="003821DA" w:rsidR="003821DA">
        <w:t>’</w:t>
      </w:r>
      <w:r w:rsidRPr="003821DA" w:rsidR="00507BCC">
        <w:t xml:space="preserve"> punishment in the form of imprisonment as well as</w:t>
      </w:r>
      <w:r w:rsidRPr="003821DA" w:rsidR="00D11AAB">
        <w:t xml:space="preserve"> part of the mechanism which ensured</w:t>
      </w:r>
      <w:r w:rsidRPr="003821DA" w:rsidR="009965F6">
        <w:t xml:space="preserve"> the</w:t>
      </w:r>
      <w:r w:rsidRPr="003821DA" w:rsidR="00D11AAB">
        <w:t xml:space="preserve"> personal safety of detainees and </w:t>
      </w:r>
      <w:r w:rsidRPr="003821DA" w:rsidR="009965F6">
        <w:t xml:space="preserve">staff </w:t>
      </w:r>
      <w:r w:rsidRPr="003821DA" w:rsidR="00D11AAB">
        <w:t xml:space="preserve">of the relevant </w:t>
      </w:r>
      <w:r w:rsidRPr="003821DA" w:rsidR="00C47825">
        <w:t>institutions</w:t>
      </w:r>
      <w:r w:rsidRPr="003821DA" w:rsidR="00D11AAB">
        <w:t>, per</w:t>
      </w:r>
      <w:r w:rsidRPr="003821DA" w:rsidR="008A42C2">
        <w:t>formance by detainees of their duties and obligations and observance of the regime of detention</w:t>
      </w:r>
      <w:r w:rsidRPr="003821DA" w:rsidR="00507BCC">
        <w:t xml:space="preserve"> (see paragraphs </w:t>
      </w:r>
      <w:r w:rsidRPr="003821DA" w:rsidR="00507BCC">
        <w:fldChar w:fldCharType="begin"/>
      </w:r>
      <w:r w:rsidRPr="003821DA" w:rsidR="00507BCC">
        <w:instrText xml:space="preserve"> REF Jud5Jul2013PartOfMechanism \h  \* MERGEFORMAT </w:instrText>
      </w:r>
      <w:r w:rsidRPr="003821DA" w:rsidR="00507BCC">
        <w:fldChar w:fldCharType="separate"/>
      </w:r>
      <w:r w:rsidRPr="003821DA" w:rsidR="003821DA">
        <w:rPr>
          <w:rFonts w:ascii="Times New Roman" w:hAnsi="Times New Roman" w:eastAsia="Times New Roman" w:cs="Times New Roman"/>
          <w:noProof/>
          <w:szCs w:val="20"/>
          <w:lang w:eastAsia="fr-FR"/>
        </w:rPr>
        <w:t>28</w:t>
      </w:r>
      <w:r w:rsidRPr="003821DA" w:rsidR="00507BCC">
        <w:fldChar w:fldCharType="end"/>
      </w:r>
      <w:r w:rsidRPr="003821DA" w:rsidR="00507BCC">
        <w:t xml:space="preserve">, </w:t>
      </w:r>
      <w:r w:rsidRPr="003821DA" w:rsidR="00507BCC">
        <w:fldChar w:fldCharType="begin"/>
      </w:r>
      <w:r w:rsidRPr="003821DA" w:rsidR="00507BCC">
        <w:instrText xml:space="preserve"> REF COnstCourtDec19Oct2010End \h  \* MERGEFORMAT </w:instrText>
      </w:r>
      <w:r w:rsidRPr="003821DA" w:rsidR="00507BCC">
        <w:fldChar w:fldCharType="separate"/>
      </w:r>
      <w:r w:rsidRPr="003821DA" w:rsidR="003821DA">
        <w:rPr>
          <w:noProof/>
        </w:rPr>
        <w:t>43</w:t>
      </w:r>
      <w:r w:rsidRPr="003821DA" w:rsidR="00507BCC">
        <w:fldChar w:fldCharType="end"/>
      </w:r>
      <w:r w:rsidRPr="003821DA" w:rsidR="00507BCC">
        <w:t xml:space="preserve">, </w:t>
      </w:r>
      <w:r w:rsidRPr="003821DA" w:rsidR="00507BCC">
        <w:fldChar w:fldCharType="begin"/>
      </w:r>
      <w:r w:rsidRPr="003821DA" w:rsidR="00507BCC">
        <w:instrText xml:space="preserve"> REF SupCourt12Mer2014NoIndivDecision \h  \* MERGEFORMAT </w:instrText>
      </w:r>
      <w:r w:rsidRPr="003821DA" w:rsidR="00507BCC">
        <w:fldChar w:fldCharType="separate"/>
      </w:r>
      <w:r w:rsidRPr="003821DA" w:rsidR="003821DA">
        <w:rPr>
          <w:noProof/>
        </w:rPr>
        <w:t>48</w:t>
      </w:r>
      <w:r w:rsidRPr="003821DA" w:rsidR="00507BCC">
        <w:fldChar w:fldCharType="end"/>
      </w:r>
      <w:r w:rsidRPr="003821DA" w:rsidR="00507BCC">
        <w:t xml:space="preserve"> and </w:t>
      </w:r>
      <w:r w:rsidRPr="003821DA" w:rsidR="00507BCC">
        <w:fldChar w:fldCharType="begin"/>
      </w:r>
      <w:r w:rsidRPr="003821DA" w:rsidR="00507BCC">
        <w:instrText xml:space="preserve"> REF SupCourtAppelInstPartOfMech \h  \* MERGEFORMAT </w:instrText>
      </w:r>
      <w:r w:rsidRPr="003821DA" w:rsidR="00507BCC">
        <w:fldChar w:fldCharType="separate"/>
      </w:r>
      <w:r w:rsidRPr="003821DA" w:rsidR="003821DA">
        <w:rPr>
          <w:noProof/>
        </w:rPr>
        <w:t>53</w:t>
      </w:r>
      <w:r w:rsidRPr="003821DA" w:rsidR="00507BCC">
        <w:fldChar w:fldCharType="end"/>
      </w:r>
      <w:r w:rsidRPr="003821DA" w:rsidR="00507BCC">
        <w:t xml:space="preserve"> above).</w:t>
      </w:r>
      <w:proofErr w:type="gramEnd"/>
      <w:r w:rsidRPr="003821DA" w:rsidR="00507BCC">
        <w:t xml:space="preserve"> </w:t>
      </w:r>
      <w:r w:rsidRPr="003821DA" w:rsidR="006E525B">
        <w:t xml:space="preserve">It is thus clear that </w:t>
      </w:r>
      <w:r w:rsidRPr="003821DA" w:rsidR="00D335C5">
        <w:t>the domestic law, as interpreted by th</w:t>
      </w:r>
      <w:r w:rsidRPr="003821DA" w:rsidR="006E525B">
        <w:t>e courts, does</w:t>
      </w:r>
      <w:r w:rsidRPr="003821DA" w:rsidR="00D335C5">
        <w:t xml:space="preserve"> not </w:t>
      </w:r>
      <w:r w:rsidRPr="003821DA" w:rsidR="0076127B">
        <w:t xml:space="preserve">presuppose any balancing exercise </w:t>
      </w:r>
      <w:r w:rsidRPr="003821DA" w:rsidR="00480DF0">
        <w:t>or</w:t>
      </w:r>
      <w:r w:rsidRPr="003821DA" w:rsidR="0076127B">
        <w:t xml:space="preserve"> </w:t>
      </w:r>
      <w:r w:rsidRPr="003821DA" w:rsidR="00D335C5">
        <w:t>enable an individual to obtain a judicial review of the proportionality of his</w:t>
      </w:r>
      <w:r w:rsidRPr="003821DA" w:rsidR="00480DF0">
        <w:t xml:space="preserve"> or her</w:t>
      </w:r>
      <w:r w:rsidRPr="003821DA" w:rsidR="00D335C5">
        <w:t xml:space="preserve"> placement under permanent video surveillance to the </w:t>
      </w:r>
      <w:proofErr w:type="gramStart"/>
      <w:r w:rsidRPr="003821DA" w:rsidR="00D335C5">
        <w:t>vested interests</w:t>
      </w:r>
      <w:proofErr w:type="gramEnd"/>
      <w:r w:rsidRPr="003821DA" w:rsidR="00D335C5">
        <w:t xml:space="preserve"> in securing his</w:t>
      </w:r>
      <w:r w:rsidRPr="003821DA" w:rsidR="00480DF0">
        <w:t xml:space="preserve"> or her</w:t>
      </w:r>
      <w:r w:rsidRPr="003821DA" w:rsidR="00D335C5">
        <w:t xml:space="preserve"> privacy.</w:t>
      </w:r>
    </w:p>
    <w:p w:rsidRPr="003821DA" w:rsidR="00014566"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109</w:t>
      </w:r>
      <w:r w:rsidRPr="003821DA">
        <w:rPr>
          <w:noProof/>
        </w:rPr>
        <w:fldChar w:fldCharType="end"/>
      </w:r>
      <w:r w:rsidRPr="003821DA" w:rsidR="00D3218C">
        <w:t>.  </w:t>
      </w:r>
      <w:proofErr w:type="gramStart"/>
      <w:r w:rsidRPr="003821DA" w:rsidR="00D3218C">
        <w:t xml:space="preserve">The Court is mindful of the fact that it has previously found on a number of occasions that Article 13 cannot be interpreted as requiring a remedy against the state of domestic law, as otherwise the Court would be imposing on Contracting States a requirement to incorporate the Convention into domestic law (see </w:t>
      </w:r>
      <w:proofErr w:type="spellStart"/>
      <w:r w:rsidRPr="003821DA" w:rsidR="00D3218C">
        <w:rPr>
          <w:i/>
          <w:iCs/>
        </w:rPr>
        <w:t>Ostrovar</w:t>
      </w:r>
      <w:proofErr w:type="spellEnd"/>
      <w:r w:rsidRPr="003821DA" w:rsidR="00D3218C">
        <w:rPr>
          <w:i/>
          <w:iCs/>
        </w:rPr>
        <w:t xml:space="preserve"> v. Moldova</w:t>
      </w:r>
      <w:r w:rsidRPr="003821DA" w:rsidR="00485F2C">
        <w:t>, no. 35207/03, § 113, 13 </w:t>
      </w:r>
      <w:r w:rsidRPr="003821DA" w:rsidR="00D3218C">
        <w:t>September 2005;</w:t>
      </w:r>
      <w:r w:rsidRPr="003821DA" w:rsidR="00CF02F8">
        <w:t xml:space="preserve"> </w:t>
      </w:r>
      <w:r w:rsidRPr="003821DA" w:rsidR="00CF02F8">
        <w:rPr>
          <w:i/>
        </w:rPr>
        <w:t>Greens and M.T. v. the United Kingdom</w:t>
      </w:r>
      <w:r w:rsidRPr="003821DA" w:rsidR="00CF02F8">
        <w:t>, nos. 60041/08 and 60054/08, §§ 90-92, ECHR 2010 (extracts);</w:t>
      </w:r>
      <w:r w:rsidRPr="003821DA" w:rsidR="00D3218C">
        <w:t xml:space="preserve"> and </w:t>
      </w:r>
      <w:proofErr w:type="spellStart"/>
      <w:r w:rsidRPr="003821DA" w:rsidR="00D3218C">
        <w:rPr>
          <w:i/>
          <w:iCs/>
        </w:rPr>
        <w:t>Szabó</w:t>
      </w:r>
      <w:proofErr w:type="spellEnd"/>
      <w:r w:rsidRPr="003821DA" w:rsidR="00D3218C">
        <w:rPr>
          <w:i/>
          <w:iCs/>
        </w:rPr>
        <w:t xml:space="preserve"> and </w:t>
      </w:r>
      <w:proofErr w:type="spellStart"/>
      <w:r w:rsidRPr="003821DA" w:rsidR="00D3218C">
        <w:rPr>
          <w:i/>
          <w:iCs/>
        </w:rPr>
        <w:t>Vissy</w:t>
      </w:r>
      <w:proofErr w:type="spellEnd"/>
      <w:r w:rsidRPr="003821DA" w:rsidR="00D3218C">
        <w:t xml:space="preserve"> </w:t>
      </w:r>
      <w:r w:rsidRPr="003821DA" w:rsidR="00D3218C">
        <w:rPr>
          <w:i/>
          <w:iCs/>
        </w:rPr>
        <w:t>v.</w:t>
      </w:r>
      <w:r w:rsidRPr="003821DA" w:rsidR="000F741E">
        <w:rPr>
          <w:i/>
          <w:iCs/>
        </w:rPr>
        <w:t> </w:t>
      </w:r>
      <w:r w:rsidRPr="003821DA" w:rsidR="00D3218C">
        <w:rPr>
          <w:i/>
          <w:iCs/>
        </w:rPr>
        <w:t>Hungary</w:t>
      </w:r>
      <w:r w:rsidRPr="003821DA" w:rsidR="00D3218C">
        <w:t>, no. 37138/14, § 93, 12 January 2016).</w:t>
      </w:r>
      <w:proofErr w:type="gramEnd"/>
      <w:r w:rsidRPr="003821DA" w:rsidR="00D3218C">
        <w:t xml:space="preserve"> Howev</w:t>
      </w:r>
      <w:r w:rsidRPr="003821DA" w:rsidR="00CF02F8">
        <w:t>er, the thrust of the applicant</w:t>
      </w:r>
      <w:r w:rsidRPr="003821DA" w:rsidR="00D3218C">
        <w:t>s</w:t>
      </w:r>
      <w:r w:rsidRPr="003821DA" w:rsidR="003821DA">
        <w:t>’</w:t>
      </w:r>
      <w:r w:rsidRPr="003821DA" w:rsidR="00D3218C">
        <w:t xml:space="preserve"> complaint </w:t>
      </w:r>
      <w:r w:rsidRPr="003821DA" w:rsidR="00CF02F8">
        <w:t xml:space="preserve">in the present case </w:t>
      </w:r>
      <w:r w:rsidRPr="003821DA" w:rsidR="00D3218C">
        <w:t xml:space="preserve">is the absence of any meaningful avenues of redress open to </w:t>
      </w:r>
      <w:r w:rsidRPr="003821DA" w:rsidR="00CF02F8">
        <w:t>them</w:t>
      </w:r>
      <w:r w:rsidRPr="003821DA" w:rsidR="00D3218C">
        <w:t xml:space="preserve"> at the national level in respect of </w:t>
      </w:r>
      <w:r w:rsidRPr="003821DA" w:rsidR="00CF02F8">
        <w:t xml:space="preserve">their </w:t>
      </w:r>
      <w:r w:rsidRPr="003821DA" w:rsidR="00D3218C">
        <w:t xml:space="preserve">particular situation, that is, </w:t>
      </w:r>
      <w:r w:rsidRPr="003821DA" w:rsidR="00CF02F8">
        <w:t xml:space="preserve">their placement under permanent video surveillance in their </w:t>
      </w:r>
      <w:r w:rsidRPr="003821DA" w:rsidR="0071759E">
        <w:t>penal institution</w:t>
      </w:r>
      <w:r w:rsidRPr="003821DA" w:rsidR="00CF02F8">
        <w:t xml:space="preserve"> and pre-trial detention centre</w:t>
      </w:r>
      <w:r w:rsidRPr="003821DA" w:rsidR="00D3218C">
        <w:t xml:space="preserve">, which adversely affected </w:t>
      </w:r>
      <w:r w:rsidRPr="003821DA" w:rsidR="00CF02F8">
        <w:t>their privacy</w:t>
      </w:r>
      <w:r w:rsidRPr="003821DA" w:rsidR="00D3218C">
        <w:t>.</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110</w:t>
      </w:r>
      <w:r w:rsidRPr="003821DA">
        <w:fldChar w:fldCharType="end"/>
      </w:r>
      <w:r w:rsidRPr="003821DA" w:rsidR="00014566">
        <w:t>.  </w:t>
      </w:r>
      <w:r w:rsidRPr="003821DA" w:rsidR="00981F93">
        <w:t>In the light of the foregoing, the Court finds that the second and third applicants did not have at their disposal an effective domestic remedy for their complaint under Article 8 about a permanent video surveillance, in breach of Article 13 of the Convention.</w:t>
      </w:r>
    </w:p>
    <w:p w:rsidRPr="003821DA" w:rsidR="00014566" w:rsidP="003821DA" w:rsidRDefault="008E15D5">
      <w:pPr>
        <w:pStyle w:val="ECHRHeading1"/>
      </w:pPr>
      <w:r w:rsidRPr="003821DA">
        <w:t>IV</w:t>
      </w:r>
      <w:r w:rsidRPr="003821DA" w:rsidR="00014566">
        <w:t>.</w:t>
      </w:r>
      <w:proofErr w:type="gramStart"/>
      <w:r w:rsidRPr="003821DA" w:rsidR="00014566">
        <w:t>  OTHER</w:t>
      </w:r>
      <w:proofErr w:type="gramEnd"/>
      <w:r w:rsidRPr="003821DA" w:rsidR="00014566">
        <w:t xml:space="preserve"> ALLEGED VIOLATIONS OF THE CONVENTION</w:t>
      </w:r>
    </w:p>
    <w:p w:rsidRPr="003821DA" w:rsidR="00F23E16" w:rsidP="003821DA" w:rsidRDefault="00F23E16">
      <w:pPr>
        <w:pStyle w:val="ECHRHeading2"/>
      </w:pPr>
      <w:r w:rsidRPr="003821DA">
        <w:t>A.  Application no. 27057/06</w:t>
      </w:r>
    </w:p>
    <w:p w:rsidRPr="003821DA" w:rsidR="00BD06EE" w:rsidP="003821DA" w:rsidRDefault="00907851">
      <w:pPr>
        <w:pStyle w:val="ECHRPara"/>
      </w:pPr>
      <w:r w:rsidRPr="003821DA">
        <w:fldChar w:fldCharType="begin"/>
      </w:r>
      <w:r w:rsidRPr="003821DA">
        <w:instrText xml:space="preserve"> SEQ level0 \*arabic </w:instrText>
      </w:r>
      <w:r w:rsidRPr="003821DA">
        <w:fldChar w:fldCharType="separate"/>
      </w:r>
      <w:r w:rsidRPr="003821DA" w:rsidR="003821DA">
        <w:rPr>
          <w:noProof/>
        </w:rPr>
        <w:t>111</w:t>
      </w:r>
      <w:r w:rsidRPr="003821DA">
        <w:fldChar w:fldCharType="end"/>
      </w:r>
      <w:r w:rsidRPr="003821DA">
        <w:t>.  </w:t>
      </w:r>
      <w:r w:rsidRPr="003821DA" w:rsidR="00BD06EE">
        <w:t xml:space="preserve">The first applicant complained under Article 3 of the Convention about </w:t>
      </w:r>
      <w:r w:rsidRPr="003821DA" w:rsidR="00741D58">
        <w:t xml:space="preserve">the </w:t>
      </w:r>
      <w:r w:rsidRPr="003821DA" w:rsidR="00BD06EE">
        <w:t>conditions of</w:t>
      </w:r>
      <w:r w:rsidRPr="003821DA" w:rsidR="00741D58">
        <w:t xml:space="preserve"> his</w:t>
      </w:r>
      <w:r w:rsidRPr="003821DA" w:rsidR="00BD06EE">
        <w:t xml:space="preserve"> detention in UP-288</w:t>
      </w:r>
      <w:r w:rsidRPr="003821DA" w:rsidR="00741D58">
        <w:t>/T</w:t>
      </w:r>
      <w:r w:rsidRPr="003821DA" w:rsidR="00105AC3">
        <w:t xml:space="preserve"> prison</w:t>
      </w:r>
      <w:r w:rsidRPr="003821DA" w:rsidR="00BD06EE">
        <w:t xml:space="preserve">. </w:t>
      </w:r>
      <w:r w:rsidRPr="003821DA" w:rsidR="009C3139">
        <w:t xml:space="preserve">He </w:t>
      </w:r>
      <w:r w:rsidRPr="003821DA" w:rsidR="0071759E">
        <w:t>complained,</w:t>
      </w:r>
      <w:r w:rsidRPr="003821DA" w:rsidR="009C3139">
        <w:t xml:space="preserve"> in particular, </w:t>
      </w:r>
      <w:r w:rsidRPr="003821DA" w:rsidR="0071759E">
        <w:t>of a</w:t>
      </w:r>
      <w:r w:rsidRPr="003821DA" w:rsidR="009C3139">
        <w:t xml:space="preserve"> lack of electricity in </w:t>
      </w:r>
      <w:r w:rsidRPr="003821DA" w:rsidR="0071759E">
        <w:t xml:space="preserve">the </w:t>
      </w:r>
      <w:r w:rsidRPr="003821DA" w:rsidR="009C3139">
        <w:t>electric sockets between 10 p</w:t>
      </w:r>
      <w:r w:rsidRPr="003821DA" w:rsidR="0071759E">
        <w:t>.</w:t>
      </w:r>
      <w:r w:rsidRPr="003821DA" w:rsidR="009C3139">
        <w:t>m</w:t>
      </w:r>
      <w:r w:rsidRPr="003821DA" w:rsidR="0071759E">
        <w:t>.</w:t>
      </w:r>
      <w:r w:rsidRPr="003821DA" w:rsidR="009C3139">
        <w:t xml:space="preserve"> and 6 a</w:t>
      </w:r>
      <w:r w:rsidRPr="003821DA" w:rsidR="0071759E">
        <w:t>.</w:t>
      </w:r>
      <w:r w:rsidRPr="003821DA" w:rsidR="009C3139">
        <w:t>m</w:t>
      </w:r>
      <w:r w:rsidRPr="003821DA" w:rsidR="0071759E">
        <w:t>.</w:t>
      </w:r>
      <w:r w:rsidRPr="003821DA" w:rsidR="009C3139">
        <w:t xml:space="preserve">, </w:t>
      </w:r>
      <w:r w:rsidRPr="003821DA" w:rsidR="0071759E">
        <w:t>poor</w:t>
      </w:r>
      <w:r w:rsidRPr="003821DA" w:rsidR="009C3139">
        <w:t xml:space="preserve"> toilet facilities in his cell</w:t>
      </w:r>
      <w:r w:rsidRPr="003821DA" w:rsidR="0071759E">
        <w:t xml:space="preserve"> and</w:t>
      </w:r>
      <w:r w:rsidRPr="003821DA" w:rsidR="009C3139">
        <w:t xml:space="preserve"> too loud music </w:t>
      </w:r>
      <w:proofErr w:type="gramStart"/>
      <w:r w:rsidRPr="003821DA" w:rsidR="009C3139">
        <w:t>being played</w:t>
      </w:r>
      <w:proofErr w:type="gramEnd"/>
      <w:r w:rsidRPr="003821DA" w:rsidR="009C3139">
        <w:t xml:space="preserve"> during his da</w:t>
      </w:r>
      <w:r w:rsidRPr="003821DA" w:rsidR="00741D58">
        <w:t>il</w:t>
      </w:r>
      <w:r w:rsidRPr="003821DA" w:rsidR="009C3139">
        <w:t>y walks</w:t>
      </w:r>
      <w:r w:rsidRPr="003821DA" w:rsidR="0071759E">
        <w:t>. He also complained</w:t>
      </w:r>
      <w:r w:rsidRPr="003821DA" w:rsidR="009C3139">
        <w:t xml:space="preserve"> that the floor in his cell had been made of concrete and that his bed had been too short for his height.</w:t>
      </w:r>
      <w:r w:rsidRPr="003821DA">
        <w:t xml:space="preserve"> The first applicant </w:t>
      </w:r>
      <w:r w:rsidRPr="003821DA" w:rsidR="000E0D8B">
        <w:t>furthermore</w:t>
      </w:r>
      <w:r w:rsidRPr="003821DA">
        <w:t xml:space="preserve"> complained under Articles 6, 7 and 14 of the Convention about the outcome of the criminal proceedings in his case. In particular, he was dissatisfied with the incorrect application of the law and the fact that he had received a life sentence in a strict-regime facility instead of a fixed sentence with a less stringent regime. He also complained that the composition of the first-instance court in his case had been unlawful and that the substantive criminal law was discriminatory in that he would have never received a life sentence had he been a woman.</w:t>
      </w:r>
    </w:p>
    <w:p w:rsidRPr="003821DA" w:rsidR="009C3139" w:rsidP="003821DA" w:rsidRDefault="00164F64">
      <w:pPr>
        <w:pStyle w:val="ECHRPara"/>
      </w:pPr>
      <w:r w:rsidRPr="003821DA">
        <w:fldChar w:fldCharType="begin"/>
      </w:r>
      <w:r w:rsidRPr="003821DA">
        <w:instrText xml:space="preserve"> SEQ level0 \*arabic </w:instrText>
      </w:r>
      <w:r w:rsidRPr="003821DA">
        <w:fldChar w:fldCharType="separate"/>
      </w:r>
      <w:r w:rsidRPr="003821DA" w:rsidR="003821DA">
        <w:rPr>
          <w:noProof/>
        </w:rPr>
        <w:t>112</w:t>
      </w:r>
      <w:r w:rsidRPr="003821DA">
        <w:rPr>
          <w:noProof/>
        </w:rPr>
        <w:fldChar w:fldCharType="end"/>
      </w:r>
      <w:r w:rsidRPr="003821DA" w:rsidR="009C3139">
        <w:t xml:space="preserve">.  In the light of all the material in its possession, and in so far as the matters complained of are within its competence, the Court finds that they do not disclose any appearance of a violation of the rights and freedoms set out in the Convention or its Protocols. It follows that this part of the application is manifestly </w:t>
      </w:r>
      <w:proofErr w:type="gramStart"/>
      <w:r w:rsidRPr="003821DA" w:rsidR="009C3139">
        <w:t>ill-founded</w:t>
      </w:r>
      <w:proofErr w:type="gramEnd"/>
      <w:r w:rsidRPr="003821DA" w:rsidR="009C3139">
        <w:t xml:space="preserve"> and must be rejected in accordance with Article 35 §§ 3 and 4 of the Convention.</w:t>
      </w:r>
    </w:p>
    <w:p w:rsidRPr="003821DA" w:rsidR="00A00161" w:rsidP="003821DA" w:rsidRDefault="00F23E16">
      <w:pPr>
        <w:pStyle w:val="ECHRHeading2"/>
      </w:pPr>
      <w:r w:rsidRPr="003821DA">
        <w:t>B.  Application no. 56443/09</w:t>
      </w:r>
    </w:p>
    <w:p w:rsidRPr="003821DA" w:rsidR="00372C58" w:rsidP="003821DA" w:rsidRDefault="00372C58">
      <w:pPr>
        <w:pStyle w:val="ECHRPara"/>
      </w:pPr>
      <w:r w:rsidRPr="003821DA">
        <w:fldChar w:fldCharType="begin"/>
      </w:r>
      <w:r w:rsidRPr="003821DA">
        <w:instrText xml:space="preserve"> SEQ level0 \*arabic </w:instrText>
      </w:r>
      <w:r w:rsidRPr="003821DA">
        <w:fldChar w:fldCharType="separate"/>
      </w:r>
      <w:r w:rsidRPr="003821DA" w:rsidR="003821DA">
        <w:rPr>
          <w:noProof/>
        </w:rPr>
        <w:t>113</w:t>
      </w:r>
      <w:r w:rsidRPr="003821DA">
        <w:fldChar w:fldCharType="end"/>
      </w:r>
      <w:r w:rsidRPr="003821DA">
        <w:t xml:space="preserve">.  The second applicant complained </w:t>
      </w:r>
      <w:r w:rsidRPr="003821DA" w:rsidR="009C3139">
        <w:t>under Articles 3 and 8 of the Convention that he had been unable to take walk</w:t>
      </w:r>
      <w:r w:rsidRPr="003821DA" w:rsidR="0071759E">
        <w:t>s</w:t>
      </w:r>
      <w:r w:rsidRPr="003821DA" w:rsidR="009C3139">
        <w:t xml:space="preserve"> and outdoor exercise in </w:t>
      </w:r>
      <w:r w:rsidRPr="003821DA" w:rsidR="00C52825">
        <w:t>prison</w:t>
      </w:r>
      <w:r w:rsidRPr="003821DA" w:rsidR="00076103">
        <w:t xml:space="preserve"> UP-288/T during wintertime, as he </w:t>
      </w:r>
      <w:proofErr w:type="gramStart"/>
      <w:r w:rsidRPr="003821DA" w:rsidR="00076103">
        <w:t>had not been provided</w:t>
      </w:r>
      <w:proofErr w:type="gramEnd"/>
      <w:r w:rsidRPr="003821DA" w:rsidR="00076103">
        <w:t xml:space="preserve"> </w:t>
      </w:r>
      <w:r w:rsidRPr="003821DA" w:rsidR="0071759E">
        <w:t xml:space="preserve">with suitable winter footwear </w:t>
      </w:r>
      <w:r w:rsidRPr="003821DA" w:rsidR="00076103">
        <w:t xml:space="preserve">by the administration of that </w:t>
      </w:r>
      <w:r w:rsidRPr="003821DA" w:rsidR="0071759E">
        <w:t>institution</w:t>
      </w:r>
      <w:r w:rsidRPr="003821DA" w:rsidR="00EC2DDB">
        <w:t>.</w:t>
      </w:r>
    </w:p>
    <w:p w:rsidRPr="003821DA" w:rsidR="00164F64" w:rsidP="003821DA" w:rsidRDefault="00A00161">
      <w:pPr>
        <w:pStyle w:val="ECHRPara"/>
      </w:pPr>
      <w:r w:rsidRPr="003821DA">
        <w:fldChar w:fldCharType="begin"/>
      </w:r>
      <w:r w:rsidRPr="003821DA">
        <w:instrText xml:space="preserve"> SEQ level0 \*arabic </w:instrText>
      </w:r>
      <w:r w:rsidRPr="003821DA">
        <w:fldChar w:fldCharType="separate"/>
      </w:r>
      <w:r w:rsidRPr="003821DA" w:rsidR="003821DA">
        <w:rPr>
          <w:noProof/>
        </w:rPr>
        <w:t>114</w:t>
      </w:r>
      <w:r w:rsidRPr="003821DA">
        <w:fldChar w:fldCharType="end"/>
      </w:r>
      <w:r w:rsidRPr="003821DA">
        <w:t>.  </w:t>
      </w:r>
      <w:r w:rsidRPr="003821DA" w:rsidR="00557D25">
        <w:t>The Government contested the second applicant</w:t>
      </w:r>
      <w:r w:rsidRPr="003821DA" w:rsidR="003821DA">
        <w:t>’</w:t>
      </w:r>
      <w:r w:rsidRPr="003821DA" w:rsidR="00557D25">
        <w:t xml:space="preserve">s allegations as unreliable and unsubstantiated. </w:t>
      </w:r>
      <w:r w:rsidRPr="003821DA" w:rsidR="008D6737">
        <w:t xml:space="preserve">They submitted a copy of </w:t>
      </w:r>
      <w:r w:rsidRPr="003821DA" w:rsidR="00741D58">
        <w:t>his</w:t>
      </w:r>
      <w:r w:rsidRPr="003821DA" w:rsidR="008D6737">
        <w:t xml:space="preserve"> prison file (</w:t>
      </w:r>
      <w:r w:rsidRPr="003821DA" w:rsidR="008D6737">
        <w:rPr>
          <w:i/>
          <w:lang w:val="ru-RU"/>
        </w:rPr>
        <w:t>камерная</w:t>
      </w:r>
      <w:r w:rsidRPr="003821DA" w:rsidR="008D6737">
        <w:rPr>
          <w:i/>
        </w:rPr>
        <w:t xml:space="preserve"> </w:t>
      </w:r>
      <w:r w:rsidRPr="003821DA" w:rsidR="008D6737">
        <w:rPr>
          <w:i/>
          <w:lang w:val="ru-RU"/>
        </w:rPr>
        <w:t>карточка</w:t>
      </w:r>
      <w:r w:rsidRPr="003821DA" w:rsidR="005E3D7C">
        <w:t xml:space="preserve">), which </w:t>
      </w:r>
      <w:r w:rsidRPr="003821DA" w:rsidR="00232FBC">
        <w:t xml:space="preserve">shows </w:t>
      </w:r>
      <w:r w:rsidRPr="003821DA" w:rsidR="005E3D7C">
        <w:t xml:space="preserve">that, upon his arrival </w:t>
      </w:r>
      <w:r w:rsidRPr="003821DA" w:rsidR="00741D58">
        <w:t xml:space="preserve">at </w:t>
      </w:r>
      <w:r w:rsidRPr="003821DA" w:rsidR="005E3D7C">
        <w:t xml:space="preserve">the relevant </w:t>
      </w:r>
      <w:r w:rsidRPr="003821DA" w:rsidR="00E34B2D">
        <w:t>penal institution</w:t>
      </w:r>
      <w:r w:rsidRPr="003821DA" w:rsidR="005E3D7C">
        <w:t xml:space="preserve">, </w:t>
      </w:r>
      <w:r w:rsidRPr="003821DA" w:rsidR="00741D58">
        <w:t>he</w:t>
      </w:r>
      <w:r w:rsidRPr="003821DA" w:rsidR="005E3D7C">
        <w:t xml:space="preserve"> received</w:t>
      </w:r>
      <w:r w:rsidRPr="003821DA" w:rsidR="006F61ED">
        <w:t>,</w:t>
      </w:r>
      <w:r w:rsidRPr="003821DA" w:rsidR="005E3D7C">
        <w:t xml:space="preserve"> and signed </w:t>
      </w:r>
      <w:r w:rsidRPr="003821DA" w:rsidR="00741D58">
        <w:t xml:space="preserve">a </w:t>
      </w:r>
      <w:r w:rsidRPr="003821DA" w:rsidR="005E3D7C">
        <w:t xml:space="preserve">file to that effect, a number of items of </w:t>
      </w:r>
      <w:r w:rsidRPr="003821DA" w:rsidR="00741D58">
        <w:t xml:space="preserve">clothing </w:t>
      </w:r>
      <w:r w:rsidRPr="003821DA" w:rsidR="005E3D7C">
        <w:t>and footwear, including a pair of boots and shoes.</w:t>
      </w:r>
    </w:p>
    <w:p w:rsidRPr="003821DA" w:rsidR="00557D25" w:rsidP="003821DA" w:rsidRDefault="00557D25">
      <w:pPr>
        <w:pStyle w:val="ECHRPara"/>
      </w:pPr>
      <w:r w:rsidRPr="003821DA">
        <w:fldChar w:fldCharType="begin"/>
      </w:r>
      <w:r w:rsidRPr="003821DA">
        <w:instrText xml:space="preserve"> SEQ level0 \*arabic </w:instrText>
      </w:r>
      <w:r w:rsidRPr="003821DA">
        <w:fldChar w:fldCharType="separate"/>
      </w:r>
      <w:r w:rsidRPr="003821DA" w:rsidR="003821DA">
        <w:rPr>
          <w:noProof/>
        </w:rPr>
        <w:t>115</w:t>
      </w:r>
      <w:r w:rsidRPr="003821DA">
        <w:fldChar w:fldCharType="end"/>
      </w:r>
      <w:r w:rsidRPr="003821DA">
        <w:t>.  </w:t>
      </w:r>
      <w:r w:rsidRPr="003821DA" w:rsidR="005871B9">
        <w:t xml:space="preserve">The Court </w:t>
      </w:r>
      <w:r w:rsidRPr="003821DA" w:rsidR="006F61ED">
        <w:t>observes that the second applicant failed to corroborate his relevant allegation</w:t>
      </w:r>
      <w:r w:rsidRPr="003821DA" w:rsidR="00774E03">
        <w:t>s</w:t>
      </w:r>
      <w:r w:rsidRPr="003821DA" w:rsidR="006F61ED">
        <w:t xml:space="preserve"> with any documentary evidence, </w:t>
      </w:r>
      <w:proofErr w:type="gramStart"/>
      <w:r w:rsidRPr="003821DA" w:rsidR="006F61ED">
        <w:t xml:space="preserve">for instance, statements </w:t>
      </w:r>
      <w:r w:rsidRPr="003821DA" w:rsidR="0071759E">
        <w:t xml:space="preserve">written by </w:t>
      </w:r>
      <w:r w:rsidRPr="003821DA" w:rsidR="006F61ED">
        <w:t>his cellmates or, if that was impossible, copies of his complaints to the authorities</w:t>
      </w:r>
      <w:proofErr w:type="gramEnd"/>
      <w:r w:rsidRPr="003821DA" w:rsidR="006F61ED">
        <w:t xml:space="preserve">. The Government provided evidence that </w:t>
      </w:r>
      <w:r w:rsidRPr="003821DA" w:rsidR="00C52825">
        <w:t xml:space="preserve">showed that the second applicant </w:t>
      </w:r>
      <w:proofErr w:type="gramStart"/>
      <w:r w:rsidRPr="003821DA" w:rsidR="00C52825">
        <w:t>had been provided</w:t>
      </w:r>
      <w:proofErr w:type="gramEnd"/>
      <w:r w:rsidRPr="003821DA" w:rsidR="00C52825">
        <w:t xml:space="preserve"> with </w:t>
      </w:r>
      <w:r w:rsidRPr="003821DA" w:rsidR="0071759E">
        <w:t xml:space="preserve">the </w:t>
      </w:r>
      <w:r w:rsidRPr="003821DA" w:rsidR="00417B22">
        <w:t xml:space="preserve">standard </w:t>
      </w:r>
      <w:r w:rsidRPr="003821DA" w:rsidR="00C52825">
        <w:t xml:space="preserve">clothing and footwear, and thus </w:t>
      </w:r>
      <w:r w:rsidRPr="003821DA" w:rsidR="006F61ED">
        <w:t xml:space="preserve">refuted </w:t>
      </w:r>
      <w:r w:rsidRPr="003821DA" w:rsidR="00C52825">
        <w:t>hi</w:t>
      </w:r>
      <w:r w:rsidRPr="003821DA" w:rsidR="006F61ED">
        <w:t xml:space="preserve">s allegations. In such circumstances, the Court is not in a position to conclude that the second applicant has made a </w:t>
      </w:r>
      <w:bookmarkStart w:name="_100000F" w:id="46"/>
      <w:bookmarkEnd w:id="46"/>
      <w:r w:rsidRPr="003821DA" w:rsidR="006F61ED">
        <w:t xml:space="preserve">prima </w:t>
      </w:r>
      <w:bookmarkStart w:name="_1000010" w:id="47"/>
      <w:bookmarkEnd w:id="47"/>
      <w:r w:rsidRPr="003821DA" w:rsidR="006F61ED">
        <w:t xml:space="preserve">facie case as regards the alleged failure of the administration of </w:t>
      </w:r>
      <w:r w:rsidRPr="003821DA" w:rsidR="00C52825">
        <w:t>prison</w:t>
      </w:r>
      <w:r w:rsidRPr="003821DA" w:rsidR="006F61ED">
        <w:t xml:space="preserve"> UP-288/T </w:t>
      </w:r>
      <w:r w:rsidRPr="003821DA" w:rsidR="00774E03">
        <w:t xml:space="preserve">to provide him with suitable winter footwear (compare </w:t>
      </w:r>
      <w:proofErr w:type="spellStart"/>
      <w:r w:rsidRPr="003821DA" w:rsidR="00774E03">
        <w:rPr>
          <w:i/>
        </w:rPr>
        <w:t>Bragin</w:t>
      </w:r>
      <w:proofErr w:type="spellEnd"/>
      <w:r w:rsidRPr="003821DA" w:rsidR="00774E03">
        <w:rPr>
          <w:i/>
        </w:rPr>
        <w:t xml:space="preserve"> v. Russia</w:t>
      </w:r>
      <w:r w:rsidRPr="003821DA" w:rsidR="00774E03">
        <w:t xml:space="preserve"> (</w:t>
      </w:r>
      <w:proofErr w:type="spellStart"/>
      <w:r w:rsidRPr="003821DA" w:rsidR="00774E03">
        <w:t>dec.</w:t>
      </w:r>
      <w:proofErr w:type="spellEnd"/>
      <w:r w:rsidRPr="003821DA" w:rsidR="00774E03">
        <w:t xml:space="preserve">), </w:t>
      </w:r>
      <w:proofErr w:type="gramStart"/>
      <w:r w:rsidRPr="003821DA" w:rsidR="00774E03">
        <w:t>no. 8258/06</w:t>
      </w:r>
      <w:proofErr w:type="gramEnd"/>
      <w:r w:rsidRPr="003821DA" w:rsidR="00774E03">
        <w:t>, 28 January 2010).</w:t>
      </w:r>
    </w:p>
    <w:p w:rsidRPr="003821DA" w:rsidR="00774E03" w:rsidP="003821DA" w:rsidRDefault="00774E03">
      <w:pPr>
        <w:pStyle w:val="ECHRPara"/>
      </w:pPr>
      <w:r w:rsidRPr="003821DA">
        <w:fldChar w:fldCharType="begin"/>
      </w:r>
      <w:r w:rsidRPr="003821DA">
        <w:instrText xml:space="preserve"> SEQ level0 \*arabic </w:instrText>
      </w:r>
      <w:r w:rsidRPr="003821DA">
        <w:fldChar w:fldCharType="separate"/>
      </w:r>
      <w:r w:rsidRPr="003821DA" w:rsidR="003821DA">
        <w:rPr>
          <w:noProof/>
        </w:rPr>
        <w:t>116</w:t>
      </w:r>
      <w:r w:rsidRPr="003821DA">
        <w:fldChar w:fldCharType="end"/>
      </w:r>
      <w:r w:rsidRPr="003821DA">
        <w:t xml:space="preserve">.  It follows that this part of the application must be rejected as being manifestly </w:t>
      </w:r>
      <w:proofErr w:type="gramStart"/>
      <w:r w:rsidRPr="003821DA">
        <w:t>ill-founded</w:t>
      </w:r>
      <w:proofErr w:type="gramEnd"/>
      <w:r w:rsidRPr="003821DA">
        <w:t>, pursuant to Article 35 §§ 3 and 4 of the Convention.</w:t>
      </w:r>
    </w:p>
    <w:p w:rsidRPr="003821DA" w:rsidR="00014566" w:rsidP="003821DA" w:rsidRDefault="008E15D5">
      <w:pPr>
        <w:pStyle w:val="ECHRHeading1"/>
      </w:pPr>
      <w:r w:rsidRPr="003821DA">
        <w:t>V</w:t>
      </w:r>
      <w:r w:rsidRPr="003821DA" w:rsidR="00014566">
        <w:t>.  APPLICATION OF ARTICLE</w:t>
      </w:r>
      <w:r w:rsidRPr="003821DA" w:rsidR="00475747">
        <w:t>S 41</w:t>
      </w:r>
      <w:r w:rsidRPr="003821DA" w:rsidR="00924A48">
        <w:t xml:space="preserve"> </w:t>
      </w:r>
      <w:r w:rsidRPr="003821DA" w:rsidR="00475747">
        <w:t xml:space="preserve">AND 46 </w:t>
      </w:r>
      <w:r w:rsidRPr="003821DA" w:rsidR="00014566">
        <w:t>OF THE CONVENTION</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117</w:t>
      </w:r>
      <w:r w:rsidRPr="003821DA">
        <w:fldChar w:fldCharType="end"/>
      </w:r>
      <w:r w:rsidRPr="003821DA" w:rsidR="00014566">
        <w:t>.  </w:t>
      </w:r>
      <w:r w:rsidRPr="003821DA" w:rsidR="00475747">
        <w:t>The relevant</w:t>
      </w:r>
      <w:r w:rsidRPr="003821DA" w:rsidR="00C82710">
        <w:t xml:space="preserve"> parts of </w:t>
      </w:r>
      <w:r w:rsidRPr="003821DA" w:rsidR="00475747">
        <w:t>Articles</w:t>
      </w:r>
      <w:r w:rsidRPr="003821DA" w:rsidR="00C82710">
        <w:t xml:space="preserve"> 41 and 46</w:t>
      </w:r>
      <w:r w:rsidRPr="003821DA" w:rsidR="00014566">
        <w:t xml:space="preserve"> of the Convention provide:</w:t>
      </w:r>
    </w:p>
    <w:p w:rsidRPr="003821DA" w:rsidR="00475747" w:rsidP="003821DA" w:rsidRDefault="00475747">
      <w:pPr>
        <w:pStyle w:val="ECHRTitleCentre3"/>
      </w:pPr>
      <w:r w:rsidRPr="003821DA">
        <w:t>Article 41</w:t>
      </w:r>
    </w:p>
    <w:p w:rsidRPr="003821DA" w:rsidR="00014566" w:rsidP="003821DA" w:rsidRDefault="00014566">
      <w:pPr>
        <w:pStyle w:val="ECHRParaQuote"/>
        <w:keepNext/>
        <w:keepLines/>
      </w:pPr>
      <w:r w:rsidRPr="003821D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821DA" w:rsidR="00475747" w:rsidP="003821DA" w:rsidRDefault="00475747">
      <w:pPr>
        <w:pStyle w:val="ECHRTitleCentre3"/>
      </w:pPr>
      <w:r w:rsidRPr="003821DA">
        <w:t>Article 46</w:t>
      </w:r>
    </w:p>
    <w:p w:rsidRPr="003821DA" w:rsidR="00C82710" w:rsidP="003821DA" w:rsidRDefault="00C82710">
      <w:pPr>
        <w:pStyle w:val="ECHRParaQuote"/>
        <w:keepNext/>
        <w:keepLines/>
        <w:rPr>
          <w:lang w:val="en-US"/>
        </w:rPr>
      </w:pPr>
      <w:r w:rsidRPr="003821DA">
        <w:rPr>
          <w:lang w:val="en-US"/>
        </w:rPr>
        <w:t>“1.</w:t>
      </w:r>
      <w:proofErr w:type="gramStart"/>
      <w:r w:rsidRPr="003821DA">
        <w:rPr>
          <w:lang w:val="en-US"/>
        </w:rPr>
        <w:t>  The</w:t>
      </w:r>
      <w:proofErr w:type="gramEnd"/>
      <w:r w:rsidRPr="003821DA">
        <w:rPr>
          <w:lang w:val="en-US"/>
        </w:rPr>
        <w:t xml:space="preserve"> High Contracting Parties undertake to abide by the final judgment of the Court in any case to which they are parties.</w:t>
      </w:r>
    </w:p>
    <w:p w:rsidRPr="003821DA" w:rsidR="00475747" w:rsidP="003821DA" w:rsidRDefault="00C82710">
      <w:pPr>
        <w:pStyle w:val="ECHRParaQuote"/>
        <w:keepNext/>
        <w:keepLines/>
        <w:rPr>
          <w:lang w:val="en-US"/>
        </w:rPr>
      </w:pPr>
      <w:r w:rsidRPr="003821DA">
        <w:rPr>
          <w:lang w:val="en-US"/>
        </w:rPr>
        <w:t>2.</w:t>
      </w:r>
      <w:proofErr w:type="gramStart"/>
      <w:r w:rsidRPr="003821DA">
        <w:rPr>
          <w:lang w:val="en-US"/>
        </w:rPr>
        <w:t>  The</w:t>
      </w:r>
      <w:proofErr w:type="gramEnd"/>
      <w:r w:rsidRPr="003821DA">
        <w:rPr>
          <w:lang w:val="en-US"/>
        </w:rPr>
        <w:t xml:space="preserve"> final judgment of the Court shall be transmitted to the Committee of Ministers, which shall supervise its execution</w:t>
      </w:r>
      <w:r w:rsidRPr="003821DA" w:rsidR="007805A2">
        <w:rPr>
          <w:lang w:val="en-US"/>
        </w:rPr>
        <w:t>...</w:t>
      </w:r>
      <w:r w:rsidRPr="003821DA">
        <w:rPr>
          <w:lang w:val="en-US"/>
        </w:rPr>
        <w:t>”</w:t>
      </w:r>
    </w:p>
    <w:p w:rsidRPr="003821DA" w:rsidR="007805A2" w:rsidP="003821DA" w:rsidRDefault="00014566">
      <w:pPr>
        <w:pStyle w:val="ECHRHeading2"/>
      </w:pPr>
      <w:r w:rsidRPr="003821DA">
        <w:t>A.  Damage</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118</w:t>
      </w:r>
      <w:r w:rsidRPr="003821DA">
        <w:fldChar w:fldCharType="end"/>
      </w:r>
      <w:r w:rsidRPr="003821DA" w:rsidR="00014566">
        <w:t>.  The applicant</w:t>
      </w:r>
      <w:r w:rsidRPr="003821DA">
        <w:t>s</w:t>
      </w:r>
      <w:r w:rsidRPr="003821DA" w:rsidR="00014566">
        <w:t xml:space="preserve"> </w:t>
      </w:r>
      <w:r w:rsidRPr="003821DA" w:rsidR="00CE2951">
        <w:t>sought</w:t>
      </w:r>
      <w:r w:rsidRPr="003821DA" w:rsidR="00014566">
        <w:t xml:space="preserve"> </w:t>
      </w:r>
      <w:r w:rsidRPr="003821DA" w:rsidR="00CE2951">
        <w:t xml:space="preserve">compensation </w:t>
      </w:r>
      <w:r w:rsidRPr="003821DA" w:rsidR="00741D58">
        <w:t xml:space="preserve">in respect </w:t>
      </w:r>
      <w:r w:rsidRPr="003821DA" w:rsidR="00CE2951">
        <w:t>of</w:t>
      </w:r>
      <w:r w:rsidRPr="003821DA" w:rsidR="00D84D58">
        <w:t xml:space="preserve"> the</w:t>
      </w:r>
      <w:r w:rsidRPr="003821DA" w:rsidR="000F741E">
        <w:t xml:space="preserve"> non</w:t>
      </w:r>
      <w:r w:rsidRPr="003821DA" w:rsidR="00F10828">
        <w:noBreakHyphen/>
      </w:r>
      <w:r w:rsidRPr="003821DA" w:rsidR="00CE2951">
        <w:t xml:space="preserve">pecuniary damage they </w:t>
      </w:r>
      <w:r w:rsidRPr="003821DA" w:rsidR="00E151C2">
        <w:t xml:space="preserve">had </w:t>
      </w:r>
      <w:r w:rsidRPr="003821DA" w:rsidR="00CE2951">
        <w:t xml:space="preserve">suffered </w:t>
      </w:r>
      <w:proofErr w:type="gramStart"/>
      <w:r w:rsidRPr="003821DA" w:rsidR="002C2A91">
        <w:t>as a result</w:t>
      </w:r>
      <w:proofErr w:type="gramEnd"/>
      <w:r w:rsidRPr="003821DA" w:rsidR="002C2A91">
        <w:t xml:space="preserve"> of the</w:t>
      </w:r>
      <w:r w:rsidRPr="003821DA" w:rsidR="00CE2951">
        <w:t xml:space="preserve"> violations. In particular, the first applicant claimed 71,400</w:t>
      </w:r>
      <w:r w:rsidRPr="003821DA" w:rsidR="00014566">
        <w:t xml:space="preserve"> euros (EUR)</w:t>
      </w:r>
      <w:r w:rsidRPr="003821DA" w:rsidR="00CE2951">
        <w:t xml:space="preserve">, the second applicant </w:t>
      </w:r>
      <w:r w:rsidRPr="003821DA" w:rsidR="00B33FFC">
        <w:t>c</w:t>
      </w:r>
      <w:r w:rsidRPr="003821DA" w:rsidR="00CE2951">
        <w:t xml:space="preserve">laimed </w:t>
      </w:r>
      <w:r w:rsidRPr="003821DA" w:rsidR="00B33FFC">
        <w:t>EUR 20,000 and the third applicant claimed EUR 10,000</w:t>
      </w:r>
      <w:r w:rsidRPr="003821DA" w:rsidR="00014566">
        <w:t xml:space="preserve"> </w:t>
      </w:r>
      <w:r w:rsidRPr="003821DA" w:rsidR="00CE2951">
        <w:t>under this head.</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119</w:t>
      </w:r>
      <w:r w:rsidRPr="003821DA">
        <w:fldChar w:fldCharType="end"/>
      </w:r>
      <w:r w:rsidRPr="003821DA" w:rsidR="00014566">
        <w:t xml:space="preserve">.  The Government </w:t>
      </w:r>
      <w:r w:rsidRPr="003821DA" w:rsidR="00B33FFC">
        <w:t>contested the claims as unsubstantiated and obviously excessive. They argued that, if the Court were to find any violation in the present case, the finding of a violation would suffice.</w:t>
      </w:r>
    </w:p>
    <w:p w:rsidRPr="003821DA" w:rsidR="00014566" w:rsidP="003821DA" w:rsidRDefault="00AF2381">
      <w:pPr>
        <w:pStyle w:val="ECHRPara"/>
      </w:pPr>
      <w:r w:rsidRPr="003821DA">
        <w:fldChar w:fldCharType="begin"/>
      </w:r>
      <w:r w:rsidRPr="003821DA">
        <w:instrText xml:space="preserve"> SEQ level0 \*arabic </w:instrText>
      </w:r>
      <w:r w:rsidRPr="003821DA">
        <w:fldChar w:fldCharType="separate"/>
      </w:r>
      <w:r w:rsidRPr="003821DA" w:rsidR="003821DA">
        <w:rPr>
          <w:noProof/>
        </w:rPr>
        <w:t>120</w:t>
      </w:r>
      <w:r w:rsidRPr="003821DA">
        <w:fldChar w:fldCharType="end"/>
      </w:r>
      <w:r w:rsidRPr="003821DA">
        <w:t>.  </w:t>
      </w:r>
      <w:r w:rsidRPr="003821DA" w:rsidR="000F7357">
        <w:t xml:space="preserve">The Court has found </w:t>
      </w:r>
      <w:r w:rsidRPr="003821DA" w:rsidR="00304733">
        <w:t xml:space="preserve">above </w:t>
      </w:r>
      <w:r w:rsidRPr="003821DA" w:rsidR="000F7357">
        <w:t xml:space="preserve">that </w:t>
      </w:r>
      <w:r w:rsidRPr="003821DA" w:rsidR="00304733">
        <w:t xml:space="preserve">the existing legal framework in Russia </w:t>
      </w:r>
      <w:proofErr w:type="gramStart"/>
      <w:r w:rsidRPr="003821DA" w:rsidR="00304733">
        <w:t>cannot be regarded</w:t>
      </w:r>
      <w:proofErr w:type="gramEnd"/>
      <w:r w:rsidRPr="003821DA" w:rsidR="00304733">
        <w:t xml:space="preserve"> as being sufficiently clear, precise and detailed to have afforded appropriate protection against arbitrary interference by the authorities with the applicants</w:t>
      </w:r>
      <w:r w:rsidRPr="003821DA" w:rsidR="003821DA">
        <w:t>’</w:t>
      </w:r>
      <w:r w:rsidRPr="003821DA" w:rsidR="00304733">
        <w:t xml:space="preserve"> right to respect for their private life, guaranteed by Article 8 of the Convention. It has also found that </w:t>
      </w:r>
      <w:r w:rsidRPr="003821DA" w:rsidR="00950BAE">
        <w:t xml:space="preserve">they had no effective domestic remedies under Article 13 in respect of their complaint under Article 8 of the Convention. It will be for the respondent State to implement, under the supervision of the Committee of Ministers, such </w:t>
      </w:r>
      <w:proofErr w:type="gramStart"/>
      <w:r w:rsidRPr="003821DA" w:rsidR="00950BAE">
        <w:t>measures</w:t>
      </w:r>
      <w:proofErr w:type="gramEnd"/>
      <w:r w:rsidRPr="003821DA" w:rsidR="00950BAE">
        <w:t xml:space="preserve"> as it considers appropriate to secure the right of the applicants and other persons in their position to respect for their private life</w:t>
      </w:r>
      <w:r w:rsidRPr="003821DA">
        <w:t xml:space="preserve">, </w:t>
      </w:r>
      <w:r w:rsidRPr="003821DA" w:rsidR="00B44D14">
        <w:rPr>
          <w:lang w:val="en-US"/>
        </w:rPr>
        <w:t xml:space="preserve">in order to discharge </w:t>
      </w:r>
      <w:r w:rsidRPr="003821DA">
        <w:rPr>
          <w:lang w:val="en-US"/>
        </w:rPr>
        <w:t>its</w:t>
      </w:r>
      <w:r w:rsidRPr="003821DA" w:rsidR="00B44D14">
        <w:rPr>
          <w:lang w:val="en-US"/>
        </w:rPr>
        <w:t xml:space="preserve"> legal obligation under Article 46 of the Convention. </w:t>
      </w:r>
      <w:r w:rsidRPr="003821DA" w:rsidR="00840E2F">
        <w:rPr>
          <w:rFonts w:ascii="Times New Roman" w:hAnsi="Times New Roman" w:eastAsia="Times New Roman" w:cs="Times New Roman"/>
          <w:szCs w:val="20"/>
          <w:lang w:eastAsia="fr-FR"/>
        </w:rPr>
        <w:t xml:space="preserve">It is </w:t>
      </w:r>
      <w:r w:rsidRPr="003821DA" w:rsidR="00950BAE">
        <w:rPr>
          <w:rFonts w:ascii="Times New Roman" w:hAnsi="Times New Roman" w:eastAsia="Times New Roman" w:cs="Times New Roman"/>
          <w:szCs w:val="20"/>
          <w:lang w:eastAsia="fr-FR"/>
        </w:rPr>
        <w:t xml:space="preserve">thus </w:t>
      </w:r>
      <w:r w:rsidRPr="003821DA" w:rsidR="00840E2F">
        <w:rPr>
          <w:rFonts w:ascii="Times New Roman" w:hAnsi="Times New Roman" w:eastAsia="Times New Roman" w:cs="Times New Roman"/>
          <w:szCs w:val="20"/>
          <w:lang w:eastAsia="fr-FR"/>
        </w:rPr>
        <w:t>inevitable that the Court</w:t>
      </w:r>
      <w:r w:rsidRPr="003821DA" w:rsidR="003821DA">
        <w:rPr>
          <w:rFonts w:ascii="Times New Roman" w:hAnsi="Times New Roman" w:eastAsia="Times New Roman" w:cs="Times New Roman"/>
          <w:szCs w:val="20"/>
          <w:lang w:eastAsia="fr-FR"/>
        </w:rPr>
        <w:t>’</w:t>
      </w:r>
      <w:r w:rsidRPr="003821DA" w:rsidR="00840E2F">
        <w:rPr>
          <w:rFonts w:ascii="Times New Roman" w:hAnsi="Times New Roman" w:eastAsia="Times New Roman" w:cs="Times New Roman"/>
          <w:szCs w:val="20"/>
          <w:lang w:eastAsia="fr-FR"/>
        </w:rPr>
        <w:t xml:space="preserve">s judgment will have effects extending beyond the confines of this particular case. </w:t>
      </w:r>
      <w:proofErr w:type="gramStart"/>
      <w:r w:rsidRPr="003821DA" w:rsidR="00B46B52">
        <w:rPr>
          <w:rFonts w:ascii="Times New Roman" w:hAnsi="Times New Roman" w:eastAsia="Times New Roman" w:cs="Times New Roman"/>
          <w:szCs w:val="20"/>
          <w:lang w:eastAsia="fr-FR"/>
        </w:rPr>
        <w:t>In such circumstances</w:t>
      </w:r>
      <w:r w:rsidRPr="003821DA" w:rsidR="00D4709B">
        <w:rPr>
          <w:rFonts w:ascii="Times New Roman" w:hAnsi="Times New Roman" w:eastAsia="Times New Roman" w:cs="Times New Roman"/>
          <w:szCs w:val="20"/>
          <w:lang w:eastAsia="fr-FR"/>
        </w:rPr>
        <w:t>, the Court considers that the finding of a violation</w:t>
      </w:r>
      <w:r w:rsidRPr="003821DA" w:rsidR="000F7357">
        <w:rPr>
          <w:rFonts w:ascii="Times New Roman" w:hAnsi="Times New Roman" w:eastAsia="Times New Roman" w:cs="Times New Roman"/>
          <w:szCs w:val="20"/>
          <w:lang w:eastAsia="fr-FR"/>
        </w:rPr>
        <w:t>, with the consequences which will ensue for the future,</w:t>
      </w:r>
      <w:r w:rsidRPr="003821DA" w:rsidR="00D4709B">
        <w:rPr>
          <w:rFonts w:ascii="Times New Roman" w:hAnsi="Times New Roman" w:eastAsia="Times New Roman" w:cs="Times New Roman"/>
          <w:szCs w:val="20"/>
          <w:lang w:eastAsia="fr-FR"/>
        </w:rPr>
        <w:t xml:space="preserve"> constitutes sufficient just satisfaction in the present case for any non-pecuniary damage sustained by the applicants</w:t>
      </w:r>
      <w:r w:rsidRPr="003821DA" w:rsidR="00F03403">
        <w:rPr>
          <w:rFonts w:ascii="Times New Roman" w:hAnsi="Times New Roman" w:eastAsia="Times New Roman" w:cs="Times New Roman"/>
          <w:szCs w:val="20"/>
          <w:lang w:eastAsia="fr-FR"/>
        </w:rPr>
        <w:t xml:space="preserve"> (compare </w:t>
      </w:r>
      <w:r w:rsidRPr="003821DA" w:rsidR="00F03403">
        <w:rPr>
          <w:i/>
        </w:rPr>
        <w:t>Norris v. Ireland</w:t>
      </w:r>
      <w:r w:rsidRPr="003821DA" w:rsidR="00F03403">
        <w:t xml:space="preserve">, 26 October 1988, § 50, Series A no. 142; </w:t>
      </w:r>
      <w:r w:rsidRPr="003821DA" w:rsidR="00F03403">
        <w:rPr>
          <w:i/>
        </w:rPr>
        <w:t>Christine Goodwin v. the United Kingdom</w:t>
      </w:r>
      <w:r w:rsidRPr="003821DA" w:rsidR="00F03403">
        <w:t xml:space="preserve"> </w:t>
      </w:r>
      <w:r w:rsidRPr="003821DA" w:rsidR="00F10828">
        <w:t>[GC], no. 28957/95, § 120, ECHR </w:t>
      </w:r>
      <w:r w:rsidRPr="003821DA" w:rsidR="00F03403">
        <w:t>2002</w:t>
      </w:r>
      <w:r w:rsidRPr="003821DA" w:rsidR="00F03403">
        <w:noBreakHyphen/>
        <w:t xml:space="preserve">VI, and </w:t>
      </w:r>
      <w:r w:rsidRPr="003821DA" w:rsidR="00F03403">
        <w:rPr>
          <w:i/>
        </w:rPr>
        <w:t xml:space="preserve">S. and </w:t>
      </w:r>
      <w:proofErr w:type="spellStart"/>
      <w:r w:rsidRPr="003821DA" w:rsidR="00F03403">
        <w:rPr>
          <w:i/>
        </w:rPr>
        <w:t>Marper</w:t>
      </w:r>
      <w:proofErr w:type="spellEnd"/>
      <w:r w:rsidRPr="003821DA" w:rsidR="001023FC">
        <w:t xml:space="preserve"> [GC],</w:t>
      </w:r>
      <w:r w:rsidRPr="003821DA" w:rsidR="00F03403">
        <w:t xml:space="preserve"> cited above, § 134).</w:t>
      </w:r>
      <w:proofErr w:type="gramEnd"/>
    </w:p>
    <w:p w:rsidRPr="003821DA" w:rsidR="00014566" w:rsidP="003821DA" w:rsidRDefault="00014566">
      <w:pPr>
        <w:pStyle w:val="ECHRHeading2"/>
      </w:pPr>
      <w:r w:rsidRPr="003821DA">
        <w:t>B.  Costs and expenses</w:t>
      </w:r>
    </w:p>
    <w:p w:rsidRPr="003821DA" w:rsidR="00FA2CD7"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121</w:t>
      </w:r>
      <w:r w:rsidRPr="003821DA">
        <w:fldChar w:fldCharType="end"/>
      </w:r>
      <w:r w:rsidRPr="003821DA" w:rsidR="00014566">
        <w:t>.  The</w:t>
      </w:r>
      <w:r w:rsidRPr="003821DA" w:rsidR="00BC6B3B">
        <w:t xml:space="preserve"> second and third</w:t>
      </w:r>
      <w:r w:rsidRPr="003821DA" w:rsidR="00014566">
        <w:t xml:space="preserve"> applicant</w:t>
      </w:r>
      <w:r w:rsidRPr="003821DA">
        <w:t>s</w:t>
      </w:r>
      <w:r w:rsidRPr="003821DA" w:rsidR="00014566">
        <w:t xml:space="preserve"> also claimed </w:t>
      </w:r>
      <w:r w:rsidRPr="003821DA" w:rsidR="00432427">
        <w:t>reimbursement of the costs and expenses incurred before the Court</w:t>
      </w:r>
      <w:r w:rsidRPr="003821DA" w:rsidR="00FA2CD7">
        <w:t>.</w:t>
      </w:r>
    </w:p>
    <w:p w:rsidRPr="003821DA" w:rsidR="00164F64" w:rsidP="003821DA" w:rsidRDefault="00FA2CD7">
      <w:pPr>
        <w:pStyle w:val="ECHRPara"/>
      </w:pPr>
      <w:r w:rsidRPr="003821DA">
        <w:fldChar w:fldCharType="begin"/>
      </w:r>
      <w:r w:rsidRPr="003821DA">
        <w:instrText xml:space="preserve"> SEQ level0 \*arabic </w:instrText>
      </w:r>
      <w:r w:rsidRPr="003821DA">
        <w:fldChar w:fldCharType="separate"/>
      </w:r>
      <w:r w:rsidRPr="003821DA" w:rsidR="003821DA">
        <w:rPr>
          <w:noProof/>
        </w:rPr>
        <w:t>122</w:t>
      </w:r>
      <w:r w:rsidRPr="003821DA">
        <w:fldChar w:fldCharType="end"/>
      </w:r>
      <w:r w:rsidRPr="003821DA">
        <w:t>.  </w:t>
      </w:r>
      <w:r w:rsidRPr="003821DA" w:rsidR="00432427">
        <w:t xml:space="preserve">In particular, the second applicant </w:t>
      </w:r>
      <w:r w:rsidRPr="003821DA" w:rsidR="00F62E32">
        <w:t>claimed EUR 1,800</w:t>
      </w:r>
      <w:r w:rsidRPr="003821DA" w:rsidR="00D84D58">
        <w:t>,</w:t>
      </w:r>
      <w:r w:rsidRPr="003821DA" w:rsidR="00B747DF">
        <w:t xml:space="preserve"> which represented</w:t>
      </w:r>
      <w:r w:rsidRPr="003821DA">
        <w:t xml:space="preserve"> </w:t>
      </w:r>
      <w:r w:rsidRPr="003821DA" w:rsidR="00D84D58">
        <w:t xml:space="preserve">twelve </w:t>
      </w:r>
      <w:r w:rsidRPr="003821DA">
        <w:t>hours of his representative</w:t>
      </w:r>
      <w:r w:rsidRPr="003821DA" w:rsidR="003821DA">
        <w:t>’</w:t>
      </w:r>
      <w:r w:rsidRPr="003821DA">
        <w:t xml:space="preserve">s work at </w:t>
      </w:r>
      <w:r w:rsidRPr="003821DA" w:rsidR="00D84D58">
        <w:t xml:space="preserve">a </w:t>
      </w:r>
      <w:r w:rsidRPr="003821DA">
        <w:t xml:space="preserve">rate of EUR 150 per hour. The relevant claim specified that the amount included EUR 300 for </w:t>
      </w:r>
      <w:r w:rsidRPr="003821DA" w:rsidR="00D84D58">
        <w:t xml:space="preserve">two </w:t>
      </w:r>
      <w:r w:rsidRPr="003821DA">
        <w:t>hours studying the case file</w:t>
      </w:r>
      <w:r w:rsidRPr="003821DA" w:rsidR="00E407BE">
        <w:t xml:space="preserve">, </w:t>
      </w:r>
      <w:r w:rsidRPr="003821DA">
        <w:t xml:space="preserve">EUR 300 for </w:t>
      </w:r>
      <w:r w:rsidRPr="003821DA" w:rsidR="00D84D58">
        <w:t xml:space="preserve">two </w:t>
      </w:r>
      <w:r w:rsidRPr="003821DA">
        <w:t>hours</w:t>
      </w:r>
      <w:r w:rsidRPr="003821DA" w:rsidR="00C24360">
        <w:t xml:space="preserve"> of written correspondence</w:t>
      </w:r>
      <w:r w:rsidRPr="003821DA">
        <w:t xml:space="preserve"> and EUR 1,200 </w:t>
      </w:r>
      <w:r w:rsidRPr="003821DA" w:rsidR="00D84D58">
        <w:t>for</w:t>
      </w:r>
      <w:r w:rsidRPr="003821DA">
        <w:t xml:space="preserve"> preparing observations and studying domestic and international practice.</w:t>
      </w:r>
    </w:p>
    <w:p w:rsidRPr="003821DA" w:rsidR="00014566" w:rsidP="003821DA" w:rsidRDefault="00FA2CD7">
      <w:pPr>
        <w:pStyle w:val="ECHRPara"/>
      </w:pPr>
      <w:r w:rsidRPr="003821DA">
        <w:fldChar w:fldCharType="begin"/>
      </w:r>
      <w:r w:rsidRPr="003821DA">
        <w:instrText xml:space="preserve"> SEQ level0 \*arabic </w:instrText>
      </w:r>
      <w:r w:rsidRPr="003821DA">
        <w:fldChar w:fldCharType="separate"/>
      </w:r>
      <w:r w:rsidRPr="003821DA" w:rsidR="003821DA">
        <w:rPr>
          <w:noProof/>
        </w:rPr>
        <w:t>123</w:t>
      </w:r>
      <w:r w:rsidRPr="003821DA">
        <w:fldChar w:fldCharType="end"/>
      </w:r>
      <w:r w:rsidRPr="003821DA">
        <w:t xml:space="preserve">.  The third applicant claimed </w:t>
      </w:r>
      <w:r w:rsidRPr="003821DA" w:rsidR="00477C0C">
        <w:t>EUR 2,850</w:t>
      </w:r>
      <w:r w:rsidRPr="003821DA" w:rsidR="00D84D58">
        <w:t>,</w:t>
      </w:r>
      <w:r w:rsidRPr="003821DA" w:rsidR="00477C0C">
        <w:t xml:space="preserve"> </w:t>
      </w:r>
      <w:r w:rsidRPr="003821DA">
        <w:t xml:space="preserve">which represented </w:t>
      </w:r>
      <w:r w:rsidRPr="003821DA" w:rsidR="00D84D58">
        <w:t>nineteen</w:t>
      </w:r>
      <w:r w:rsidRPr="003821DA">
        <w:t xml:space="preserve"> hours of his representative</w:t>
      </w:r>
      <w:r w:rsidRPr="003821DA" w:rsidR="003821DA">
        <w:t>’</w:t>
      </w:r>
      <w:r w:rsidRPr="003821DA">
        <w:t xml:space="preserve">s work at </w:t>
      </w:r>
      <w:r w:rsidRPr="003821DA" w:rsidR="00D84D58">
        <w:t xml:space="preserve">a </w:t>
      </w:r>
      <w:r w:rsidRPr="003821DA">
        <w:t xml:space="preserve">rate of EUR 150 per hour, which included studying documents, </w:t>
      </w:r>
      <w:r w:rsidRPr="003821DA" w:rsidR="00C24360">
        <w:t>written correspondence</w:t>
      </w:r>
      <w:r w:rsidRPr="003821DA">
        <w:t>, preparing observations and studying international and domestic practice.</w:t>
      </w:r>
    </w:p>
    <w:p w:rsidRPr="003821DA" w:rsidR="00164F64"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124</w:t>
      </w:r>
      <w:r w:rsidRPr="003821DA">
        <w:fldChar w:fldCharType="end"/>
      </w:r>
      <w:r w:rsidRPr="003821DA" w:rsidR="00014566">
        <w:t xml:space="preserve">.  The Government </w:t>
      </w:r>
      <w:r w:rsidRPr="003821DA" w:rsidR="00FA2CD7">
        <w:t xml:space="preserve">contested the </w:t>
      </w:r>
      <w:r w:rsidRPr="003821DA" w:rsidR="00D84D58">
        <w:t xml:space="preserve">two </w:t>
      </w:r>
      <w:r w:rsidRPr="003821DA" w:rsidR="00FA2CD7">
        <w:t>applicants</w:t>
      </w:r>
      <w:r w:rsidRPr="003821DA" w:rsidR="003821DA">
        <w:t>’</w:t>
      </w:r>
      <w:r w:rsidRPr="003821DA" w:rsidR="00FA2CD7">
        <w:t xml:space="preserve"> claims. </w:t>
      </w:r>
      <w:r w:rsidRPr="003821DA" w:rsidR="00506EF0">
        <w:t xml:space="preserve">They </w:t>
      </w:r>
      <w:r w:rsidRPr="003821DA" w:rsidR="005D7A53">
        <w:t xml:space="preserve">pointed out, in particular, that </w:t>
      </w:r>
      <w:r w:rsidRPr="003821DA" w:rsidR="00D84D58">
        <w:t xml:space="preserve">they </w:t>
      </w:r>
      <w:proofErr w:type="gramStart"/>
      <w:r w:rsidRPr="003821DA" w:rsidR="00506EF0">
        <w:t>had not been corroborated</w:t>
      </w:r>
      <w:proofErr w:type="gramEnd"/>
      <w:r w:rsidRPr="003821DA" w:rsidR="00506EF0">
        <w:t xml:space="preserve"> by any </w:t>
      </w:r>
      <w:r w:rsidRPr="003821DA" w:rsidR="005D7A53">
        <w:t xml:space="preserve">formal </w:t>
      </w:r>
      <w:r w:rsidRPr="003821DA" w:rsidR="00506EF0">
        <w:t>documents</w:t>
      </w:r>
      <w:r w:rsidRPr="003821DA" w:rsidR="005D7A53">
        <w:t xml:space="preserve"> confirming the representatives</w:t>
      </w:r>
      <w:r w:rsidRPr="003821DA" w:rsidR="003821DA">
        <w:t>’</w:t>
      </w:r>
      <w:r w:rsidRPr="003821DA" w:rsidR="005D7A53">
        <w:t xml:space="preserve"> rates</w:t>
      </w:r>
      <w:r w:rsidRPr="003821DA" w:rsidR="00D84D58">
        <w:t xml:space="preserve"> of pay</w:t>
      </w:r>
      <w:r w:rsidRPr="003821DA" w:rsidR="005D7A53">
        <w:t xml:space="preserve"> and showing the amount of</w:t>
      </w:r>
      <w:r w:rsidRPr="003821DA" w:rsidR="00D84D58">
        <w:t xml:space="preserve"> </w:t>
      </w:r>
      <w:r w:rsidRPr="003821DA" w:rsidR="005D7A53">
        <w:t>work performed by them.</w:t>
      </w:r>
    </w:p>
    <w:p w:rsidRPr="003821DA" w:rsidR="005D7A53"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125</w:t>
      </w:r>
      <w:r w:rsidRPr="003821DA">
        <w:fldChar w:fldCharType="end"/>
      </w:r>
      <w:r w:rsidRPr="003821DA" w:rsidR="00014566">
        <w:t>.  </w:t>
      </w:r>
      <w:proofErr w:type="gramStart"/>
      <w:r w:rsidRPr="003821DA">
        <w:t>According to the Court</w:t>
      </w:r>
      <w:r w:rsidRPr="003821DA" w:rsidR="003821DA">
        <w:t>’</w:t>
      </w:r>
      <w:r w:rsidRPr="003821DA">
        <w:t>s case-law, an applicant is entitled to the reimbursement of costs and expenses only in so far as it has been shown that these have been actually and necessarily incurred and are reasonable as to quantum</w:t>
      </w:r>
      <w:r w:rsidRPr="003821DA" w:rsidR="00451C0B">
        <w:t xml:space="preserve"> (see </w:t>
      </w:r>
      <w:proofErr w:type="spellStart"/>
      <w:r w:rsidRPr="003821DA" w:rsidR="00451C0B">
        <w:rPr>
          <w:i/>
        </w:rPr>
        <w:t>Iatridis</w:t>
      </w:r>
      <w:proofErr w:type="spellEnd"/>
      <w:r w:rsidRPr="003821DA" w:rsidR="00451C0B">
        <w:rPr>
          <w:i/>
        </w:rPr>
        <w:t xml:space="preserve"> v. Greece</w:t>
      </w:r>
      <w:r w:rsidRPr="003821DA" w:rsidR="00451C0B">
        <w:t xml:space="preserve"> (just satisfaction) [GC], no. 31107/96, § 54, ECHR 2000-XI, and </w:t>
      </w:r>
      <w:proofErr w:type="spellStart"/>
      <w:r w:rsidRPr="003821DA" w:rsidR="00451C0B">
        <w:rPr>
          <w:i/>
        </w:rPr>
        <w:t>Tarakhel</w:t>
      </w:r>
      <w:proofErr w:type="spellEnd"/>
      <w:r w:rsidRPr="003821DA" w:rsidR="00451C0B">
        <w:rPr>
          <w:i/>
        </w:rPr>
        <w:t xml:space="preserve"> v. Switzerland</w:t>
      </w:r>
      <w:r w:rsidRPr="003821DA" w:rsidR="000F741E">
        <w:t xml:space="preserve"> [GC], no. 29217/12, § </w:t>
      </w:r>
      <w:r w:rsidRPr="003821DA" w:rsidR="00451C0B">
        <w:t>142, 4 November 2014).</w:t>
      </w:r>
      <w:proofErr w:type="gramEnd"/>
      <w:r w:rsidRPr="003821DA" w:rsidR="001B4B57">
        <w:t xml:space="preserve"> </w:t>
      </w:r>
      <w:r w:rsidRPr="003821DA">
        <w:t>In the present case, regard</w:t>
      </w:r>
      <w:r w:rsidRPr="003821DA" w:rsidR="00014566">
        <w:t xml:space="preserve"> </w:t>
      </w:r>
      <w:proofErr w:type="gramStart"/>
      <w:r w:rsidRPr="003821DA" w:rsidR="00014566">
        <w:t>being had</w:t>
      </w:r>
      <w:proofErr w:type="gramEnd"/>
      <w:r w:rsidRPr="003821DA" w:rsidR="00014566">
        <w:t xml:space="preserve"> to the documents in its possession and </w:t>
      </w:r>
      <w:r w:rsidRPr="003821DA">
        <w:t>the above criteria</w:t>
      </w:r>
      <w:r w:rsidRPr="003821DA" w:rsidR="00014566">
        <w:t xml:space="preserve">, the Court </w:t>
      </w:r>
      <w:r w:rsidRPr="003821DA" w:rsidR="005D7A53">
        <w:t xml:space="preserve">is satisfied that the second </w:t>
      </w:r>
      <w:r w:rsidRPr="003821DA" w:rsidR="001B4B57">
        <w:t xml:space="preserve">and third </w:t>
      </w:r>
      <w:r w:rsidRPr="003821DA" w:rsidR="005D7A53">
        <w:t>applic</w:t>
      </w:r>
      <w:r w:rsidRPr="003821DA" w:rsidR="001B4B57">
        <w:t>ant</w:t>
      </w:r>
      <w:r w:rsidRPr="003821DA" w:rsidR="005D7A53">
        <w:t>s</w:t>
      </w:r>
      <w:r w:rsidRPr="003821DA" w:rsidR="003821DA">
        <w:t>’</w:t>
      </w:r>
      <w:r w:rsidRPr="003821DA" w:rsidR="005D7A53">
        <w:t xml:space="preserve"> claim</w:t>
      </w:r>
      <w:r w:rsidRPr="003821DA" w:rsidR="00D84D58">
        <w:t>s</w:t>
      </w:r>
      <w:r w:rsidRPr="003821DA" w:rsidR="005D7A53">
        <w:t xml:space="preserve"> </w:t>
      </w:r>
      <w:r w:rsidRPr="003821DA" w:rsidR="00C73C90">
        <w:t>meets</w:t>
      </w:r>
      <w:r w:rsidRPr="003821DA" w:rsidR="005D7A53">
        <w:t xml:space="preserve"> the above</w:t>
      </w:r>
      <w:r w:rsidRPr="003821DA" w:rsidR="00C73C90">
        <w:t xml:space="preserve">-mentioned </w:t>
      </w:r>
      <w:r w:rsidRPr="003821DA" w:rsidR="005D7A53">
        <w:t xml:space="preserve">criteria and </w:t>
      </w:r>
      <w:r w:rsidRPr="003821DA" w:rsidR="00C73C90">
        <w:t xml:space="preserve">considers it reasonable to allow </w:t>
      </w:r>
      <w:r w:rsidRPr="003821DA" w:rsidR="001B4B57">
        <w:t>their</w:t>
      </w:r>
      <w:r w:rsidRPr="003821DA" w:rsidR="00164F64">
        <w:t xml:space="preserve"> </w:t>
      </w:r>
      <w:r w:rsidRPr="003821DA" w:rsidR="00C73C90">
        <w:t>claim</w:t>
      </w:r>
      <w:r w:rsidRPr="003821DA" w:rsidR="00D84D58">
        <w:t>s</w:t>
      </w:r>
      <w:r w:rsidRPr="003821DA" w:rsidR="00C73C90">
        <w:t xml:space="preserve"> in full. </w:t>
      </w:r>
      <w:r w:rsidRPr="003821DA" w:rsidR="005D7A53">
        <w:t xml:space="preserve">It therefore awards EUR </w:t>
      </w:r>
      <w:r w:rsidRPr="003821DA" w:rsidR="00C73C90">
        <w:t>1,800</w:t>
      </w:r>
      <w:r w:rsidRPr="003821DA" w:rsidR="005D7A53">
        <w:t xml:space="preserve"> </w:t>
      </w:r>
      <w:r w:rsidRPr="003821DA" w:rsidR="001B4B57">
        <w:t>to the second applicant and EUR 2,</w:t>
      </w:r>
      <w:r w:rsidRPr="003821DA" w:rsidR="00BC7EF2">
        <w:t>000</w:t>
      </w:r>
      <w:r w:rsidRPr="003821DA" w:rsidR="00790ECF">
        <w:t xml:space="preserve">, </w:t>
      </w:r>
      <w:r w:rsidRPr="003821DA" w:rsidR="00BC7EF2">
        <w:t>which represents the requested sum less EUR 850, already paid to the third applicant</w:t>
      </w:r>
      <w:r w:rsidRPr="003821DA" w:rsidR="003821DA">
        <w:t>’</w:t>
      </w:r>
      <w:r w:rsidRPr="003821DA" w:rsidR="00BC7EF2">
        <w:t xml:space="preserve">s lawyer in legal aid, </w:t>
      </w:r>
      <w:r w:rsidRPr="003821DA" w:rsidR="001B4B57">
        <w:t xml:space="preserve">to the third applicant respectively </w:t>
      </w:r>
      <w:r w:rsidRPr="003821DA" w:rsidR="00C73C90">
        <w:t>for the costs incurred before the Court</w:t>
      </w:r>
      <w:r w:rsidRPr="003821DA" w:rsidR="005D7A53">
        <w:t>, to</w:t>
      </w:r>
      <w:r w:rsidRPr="003821DA" w:rsidR="001B4B57">
        <w:t xml:space="preserve"> </w:t>
      </w:r>
      <w:proofErr w:type="gramStart"/>
      <w:r w:rsidRPr="003821DA" w:rsidR="001B4B57">
        <w:t>be transferred</w:t>
      </w:r>
      <w:proofErr w:type="gramEnd"/>
      <w:r w:rsidRPr="003821DA" w:rsidR="001B4B57">
        <w:t xml:space="preserve"> directly to their representative</w:t>
      </w:r>
      <w:r w:rsidRPr="003821DA" w:rsidR="005D7A53">
        <w:t>s</w:t>
      </w:r>
      <w:r w:rsidRPr="003821DA" w:rsidR="003821DA">
        <w:t>’</w:t>
      </w:r>
      <w:r w:rsidRPr="003821DA" w:rsidR="005D7A53">
        <w:t xml:space="preserve"> bank account</w:t>
      </w:r>
      <w:r w:rsidRPr="003821DA" w:rsidR="001B4B57">
        <w:t>s</w:t>
      </w:r>
      <w:r w:rsidRPr="003821DA" w:rsidR="005D7A53">
        <w:t>.</w:t>
      </w:r>
    </w:p>
    <w:p w:rsidRPr="003821DA" w:rsidR="00014566" w:rsidP="003821DA" w:rsidRDefault="00014566">
      <w:pPr>
        <w:pStyle w:val="ECHRHeading2"/>
      </w:pPr>
      <w:r w:rsidRPr="003821DA">
        <w:t>C.  Default interest</w:t>
      </w:r>
    </w:p>
    <w:p w:rsidRPr="003821DA" w:rsidR="00014566" w:rsidP="003821DA" w:rsidRDefault="005F358C">
      <w:pPr>
        <w:pStyle w:val="ECHRPara"/>
      </w:pPr>
      <w:r w:rsidRPr="003821DA">
        <w:fldChar w:fldCharType="begin"/>
      </w:r>
      <w:r w:rsidRPr="003821DA">
        <w:instrText xml:space="preserve"> SEQ level0 \*arabic </w:instrText>
      </w:r>
      <w:r w:rsidRPr="003821DA">
        <w:fldChar w:fldCharType="separate"/>
      </w:r>
      <w:r w:rsidRPr="003821DA" w:rsidR="003821DA">
        <w:rPr>
          <w:noProof/>
        </w:rPr>
        <w:t>126</w:t>
      </w:r>
      <w:r w:rsidRPr="003821DA">
        <w:fldChar w:fldCharType="end"/>
      </w:r>
      <w:r w:rsidRPr="003821DA" w:rsidR="00014566">
        <w:t xml:space="preserve">.  The Court considers it appropriate that the default interest rate </w:t>
      </w:r>
      <w:proofErr w:type="gramStart"/>
      <w:r w:rsidRPr="003821DA" w:rsidR="00014566">
        <w:t>should be based</w:t>
      </w:r>
      <w:proofErr w:type="gramEnd"/>
      <w:r w:rsidRPr="003821DA" w:rsidR="00014566">
        <w:t xml:space="preserve"> on the marginal lending rate of the European Central Bank, to which should be added three percentage points.</w:t>
      </w:r>
    </w:p>
    <w:p w:rsidRPr="003821DA" w:rsidR="00014566" w:rsidP="003821DA" w:rsidRDefault="00BB5883">
      <w:pPr>
        <w:pStyle w:val="ECHRTitle1"/>
      </w:pPr>
      <w:r w:rsidRPr="003821DA">
        <w:t>FOR THESE REASONS, THE COURT</w:t>
      </w:r>
    </w:p>
    <w:p w:rsidRPr="003821DA" w:rsidR="00385FE4" w:rsidP="003821DA" w:rsidRDefault="00385FE4">
      <w:pPr>
        <w:pStyle w:val="JuList"/>
      </w:pPr>
      <w:r w:rsidRPr="003821DA">
        <w:t>1.  </w:t>
      </w:r>
      <w:r w:rsidRPr="003821DA">
        <w:rPr>
          <w:i/>
        </w:rPr>
        <w:t>Decides</w:t>
      </w:r>
      <w:r w:rsidRPr="003821DA" w:rsidR="005E4AF3">
        <w:rPr>
          <w:i/>
        </w:rPr>
        <w:t>,</w:t>
      </w:r>
      <w:r w:rsidRPr="003821DA" w:rsidR="005E4AF3">
        <w:t xml:space="preserve"> unanimously</w:t>
      </w:r>
      <w:r w:rsidRPr="003821DA" w:rsidR="005E4AF3">
        <w:rPr>
          <w:i/>
        </w:rPr>
        <w:t>,</w:t>
      </w:r>
      <w:r w:rsidRPr="003821DA">
        <w:t xml:space="preserve"> to join the applications</w:t>
      </w:r>
      <w:proofErr w:type="gramStart"/>
      <w:r w:rsidRPr="003821DA">
        <w:t>;</w:t>
      </w:r>
      <w:proofErr w:type="gramEnd"/>
    </w:p>
    <w:p w:rsidRPr="003821DA" w:rsidR="00385FE4" w:rsidP="003821DA" w:rsidRDefault="00385FE4">
      <w:pPr>
        <w:pStyle w:val="JuList"/>
      </w:pPr>
    </w:p>
    <w:p w:rsidRPr="003821DA" w:rsidR="00B637B9" w:rsidP="003821DA" w:rsidRDefault="00385FE4">
      <w:pPr>
        <w:pStyle w:val="JuList"/>
      </w:pPr>
      <w:r w:rsidRPr="003821DA">
        <w:t>2</w:t>
      </w:r>
      <w:r w:rsidRPr="003821DA" w:rsidR="00B637B9">
        <w:t>.  </w:t>
      </w:r>
      <w:r w:rsidRPr="003821DA" w:rsidR="00B637B9">
        <w:rPr>
          <w:i/>
        </w:rPr>
        <w:t>Declares</w:t>
      </w:r>
      <w:r w:rsidRPr="003821DA" w:rsidR="005F358C">
        <w:t>, unanimously,</w:t>
      </w:r>
      <w:r w:rsidRPr="003821DA" w:rsidR="007A0799">
        <w:t xml:space="preserve"> the complaint under Article 8 of the Convention</w:t>
      </w:r>
      <w:r w:rsidRPr="003821DA" w:rsidR="00B637B9">
        <w:t xml:space="preserve"> concerning </w:t>
      </w:r>
      <w:r w:rsidRPr="003821DA" w:rsidR="007A0799">
        <w:t>permanent video surveillance in the applicants</w:t>
      </w:r>
      <w:r w:rsidRPr="003821DA" w:rsidR="003821DA">
        <w:t>’</w:t>
      </w:r>
      <w:r w:rsidRPr="003821DA" w:rsidR="007A0799">
        <w:t xml:space="preserve"> cells as well as the complaint under Article 13, taken in conjunction with Article 8 of the Convention about the lack of effective remedies in that respect,</w:t>
      </w:r>
      <w:r w:rsidRPr="003821DA" w:rsidR="00B637B9">
        <w:t xml:space="preserve"> admissible and the remainder of the </w:t>
      </w:r>
      <w:r w:rsidRPr="003821DA" w:rsidR="005F358C">
        <w:t>applications</w:t>
      </w:r>
      <w:r w:rsidRPr="003821DA" w:rsidR="00B637B9">
        <w:t xml:space="preserve"> inadmissible;</w:t>
      </w:r>
    </w:p>
    <w:p w:rsidRPr="003821DA" w:rsidR="00014566" w:rsidP="003821DA" w:rsidRDefault="00014566">
      <w:pPr>
        <w:pStyle w:val="JuList"/>
        <w:ind w:left="0" w:firstLine="0"/>
      </w:pPr>
    </w:p>
    <w:p w:rsidRPr="003821DA" w:rsidR="00014566" w:rsidP="003821DA" w:rsidRDefault="00385FE4">
      <w:pPr>
        <w:pStyle w:val="JuList"/>
      </w:pPr>
      <w:r w:rsidRPr="003821DA">
        <w:t>3</w:t>
      </w:r>
      <w:r w:rsidRPr="003821DA" w:rsidR="00014566">
        <w:t>.  </w:t>
      </w:r>
      <w:proofErr w:type="gramStart"/>
      <w:r w:rsidRPr="003821DA" w:rsidR="00014566">
        <w:rPr>
          <w:i/>
        </w:rPr>
        <w:t>Holds</w:t>
      </w:r>
      <w:proofErr w:type="gramEnd"/>
      <w:r w:rsidRPr="003821DA" w:rsidR="007805A2">
        <w:t>, unanimously,</w:t>
      </w:r>
      <w:r w:rsidRPr="003821DA" w:rsidR="00014566">
        <w:rPr>
          <w:color w:val="000000"/>
        </w:rPr>
        <w:t xml:space="preserve"> </w:t>
      </w:r>
      <w:r w:rsidRPr="003821DA" w:rsidR="00014566">
        <w:t xml:space="preserve">that there has been a violation of Article </w:t>
      </w:r>
      <w:r w:rsidRPr="003821DA" w:rsidR="007A0799">
        <w:t>8</w:t>
      </w:r>
      <w:r w:rsidRPr="003821DA" w:rsidR="00014566">
        <w:t xml:space="preserve"> of the Convention;</w:t>
      </w:r>
    </w:p>
    <w:p w:rsidRPr="003821DA" w:rsidR="00014566" w:rsidP="003821DA" w:rsidRDefault="00014566">
      <w:pPr>
        <w:pStyle w:val="JuList"/>
      </w:pPr>
    </w:p>
    <w:p w:rsidRPr="003821DA" w:rsidR="00014566" w:rsidP="003821DA" w:rsidRDefault="00385FE4">
      <w:pPr>
        <w:pStyle w:val="JuList"/>
      </w:pPr>
      <w:r w:rsidRPr="003821DA">
        <w:t>4</w:t>
      </w:r>
      <w:r w:rsidRPr="003821DA" w:rsidR="00014566">
        <w:t>.  </w:t>
      </w:r>
      <w:proofErr w:type="gramStart"/>
      <w:r w:rsidRPr="003821DA" w:rsidR="00014566">
        <w:rPr>
          <w:i/>
        </w:rPr>
        <w:t>Holds</w:t>
      </w:r>
      <w:proofErr w:type="gramEnd"/>
      <w:r w:rsidRPr="003821DA" w:rsidR="005F358C">
        <w:t>, unanimously,</w:t>
      </w:r>
      <w:r w:rsidRPr="003821DA" w:rsidR="00014566">
        <w:rPr>
          <w:color w:val="000000"/>
        </w:rPr>
        <w:t xml:space="preserve"> </w:t>
      </w:r>
      <w:r w:rsidRPr="003821DA" w:rsidR="00014566">
        <w:t xml:space="preserve">that there has been a violation of Article </w:t>
      </w:r>
      <w:r w:rsidRPr="003821DA" w:rsidR="007A0799">
        <w:t>13</w:t>
      </w:r>
      <w:r w:rsidRPr="003821DA" w:rsidR="00014566">
        <w:t xml:space="preserve"> of the Convention</w:t>
      </w:r>
      <w:r w:rsidRPr="003821DA" w:rsidR="005E4AF3">
        <w:t xml:space="preserve"> taken in conjunction with Article 8</w:t>
      </w:r>
      <w:r w:rsidRPr="003821DA" w:rsidR="00014566">
        <w:t>;</w:t>
      </w:r>
    </w:p>
    <w:p w:rsidRPr="003821DA" w:rsidR="00014566" w:rsidP="003821DA" w:rsidRDefault="00014566">
      <w:pPr>
        <w:pStyle w:val="JuList"/>
      </w:pPr>
    </w:p>
    <w:p w:rsidRPr="003821DA" w:rsidR="00014566" w:rsidP="003821DA" w:rsidRDefault="00385FE4">
      <w:pPr>
        <w:pStyle w:val="JuList"/>
      </w:pPr>
      <w:r w:rsidRPr="003821DA">
        <w:t>5</w:t>
      </w:r>
      <w:r w:rsidRPr="003821DA" w:rsidR="005F358C">
        <w:t>.  </w:t>
      </w:r>
      <w:r w:rsidRPr="003821DA" w:rsidR="005F358C">
        <w:rPr>
          <w:i/>
        </w:rPr>
        <w:t>Holds</w:t>
      </w:r>
      <w:r w:rsidRPr="003821DA" w:rsidR="005F358C">
        <w:t xml:space="preserve">, by </w:t>
      </w:r>
      <w:r w:rsidRPr="003821DA" w:rsidR="00DF688F">
        <w:t>five</w:t>
      </w:r>
      <w:r w:rsidRPr="003821DA" w:rsidR="005F358C">
        <w:t xml:space="preserve"> votes to </w:t>
      </w:r>
      <w:r w:rsidRPr="003821DA" w:rsidR="00DF688F">
        <w:t>two</w:t>
      </w:r>
      <w:r w:rsidRPr="003821DA" w:rsidR="005F358C">
        <w:t>,</w:t>
      </w:r>
      <w:r w:rsidRPr="003821DA" w:rsidR="007805A2">
        <w:t xml:space="preserve"> </w:t>
      </w:r>
      <w:r w:rsidRPr="003821DA" w:rsidR="005F358C">
        <w:t>that the finding of a violation constitutes in itself sufficient just satisfaction for the non-pecuniary damage sustained by the applicants;</w:t>
      </w:r>
    </w:p>
    <w:p w:rsidRPr="003821DA" w:rsidR="00014566" w:rsidP="003821DA" w:rsidRDefault="00014566">
      <w:pPr>
        <w:pStyle w:val="JuList"/>
      </w:pPr>
    </w:p>
    <w:p w:rsidRPr="003821DA" w:rsidR="00014566" w:rsidP="003821DA" w:rsidRDefault="00385FE4">
      <w:pPr>
        <w:pStyle w:val="JuList"/>
      </w:pPr>
      <w:r w:rsidRPr="003821DA">
        <w:t>6</w:t>
      </w:r>
      <w:r w:rsidRPr="003821DA" w:rsidR="00014566">
        <w:t>.  </w:t>
      </w:r>
      <w:r w:rsidRPr="003821DA" w:rsidR="007805A2">
        <w:rPr>
          <w:i/>
        </w:rPr>
        <w:t>Holds</w:t>
      </w:r>
      <w:r w:rsidRPr="003821DA" w:rsidR="005F358C">
        <w:t>, unanimously,</w:t>
      </w:r>
    </w:p>
    <w:p w:rsidRPr="003821DA" w:rsidR="00535A57" w:rsidP="003821DA" w:rsidRDefault="00014566">
      <w:pPr>
        <w:pStyle w:val="JuLista"/>
      </w:pPr>
      <w:proofErr w:type="gramStart"/>
      <w:r w:rsidRPr="003821DA">
        <w:t>(a)  that the respondent State is to pay</w:t>
      </w:r>
      <w:r w:rsidRPr="003821DA" w:rsidR="001B4B57">
        <w:t xml:space="preserve"> the second and third applicants</w:t>
      </w:r>
      <w:r w:rsidRPr="003821DA">
        <w:t>, within three months</w:t>
      </w:r>
      <w:r w:rsidRPr="003821DA" w:rsidR="005F358C">
        <w:t xml:space="preserve"> from the date on which the judgment becomes final in accordance with Article 44 § 2 of the Convention,</w:t>
      </w:r>
      <w:r w:rsidRPr="003821DA">
        <w:t xml:space="preserve"> </w:t>
      </w:r>
      <w:r w:rsidRPr="003821DA" w:rsidR="00535A57">
        <w:t>EUR 1,800 (one thousand eight hundred euros)</w:t>
      </w:r>
      <w:r w:rsidRPr="003821DA" w:rsidR="001B4B57">
        <w:t xml:space="preserve"> and EUR 2,</w:t>
      </w:r>
      <w:r w:rsidRPr="003821DA" w:rsidR="008F035F">
        <w:t>00</w:t>
      </w:r>
      <w:r w:rsidRPr="003821DA" w:rsidR="001B4B57">
        <w:t>0 (two thousand euros) respectively</w:t>
      </w:r>
      <w:r w:rsidRPr="003821DA" w:rsidR="00535A57">
        <w:t>, plus any tax that may be chargeable to the applicants, in respect of costs and expenses, to be converted into the currency of the respondent State at the rate applicable at the date of settlement</w:t>
      </w:r>
      <w:r w:rsidRPr="003821DA" w:rsidR="001B4B57">
        <w:t xml:space="preserve"> and transferred directly to the representatives</w:t>
      </w:r>
      <w:r w:rsidRPr="003821DA" w:rsidR="003821DA">
        <w:t>’</w:t>
      </w:r>
      <w:r w:rsidRPr="003821DA" w:rsidR="001B4B57">
        <w:t xml:space="preserve"> bank accounts</w:t>
      </w:r>
      <w:r w:rsidRPr="003821DA" w:rsidR="00535A57">
        <w:t>;</w:t>
      </w:r>
      <w:proofErr w:type="gramEnd"/>
    </w:p>
    <w:p w:rsidRPr="003821DA" w:rsidR="00014566" w:rsidP="003821DA" w:rsidRDefault="00014566">
      <w:pPr>
        <w:pStyle w:val="JuLista"/>
      </w:pPr>
      <w:r w:rsidRPr="003821DA">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3821DA" w:rsidR="00014566" w:rsidP="003821DA" w:rsidRDefault="00014566">
      <w:pPr>
        <w:pStyle w:val="JuList"/>
      </w:pPr>
    </w:p>
    <w:p w:rsidRPr="003821DA" w:rsidR="00014566" w:rsidP="003821DA" w:rsidRDefault="00385FE4">
      <w:pPr>
        <w:pStyle w:val="JuList"/>
      </w:pPr>
      <w:proofErr w:type="gramStart"/>
      <w:r w:rsidRPr="003821DA">
        <w:t>7</w:t>
      </w:r>
      <w:r w:rsidRPr="003821DA" w:rsidR="00014566">
        <w:t>.  </w:t>
      </w:r>
      <w:r w:rsidRPr="003821DA" w:rsidR="00014566">
        <w:rPr>
          <w:i/>
        </w:rPr>
        <w:t>Dismisses</w:t>
      </w:r>
      <w:r w:rsidRPr="003821DA" w:rsidR="005F358C">
        <w:t>,</w:t>
      </w:r>
      <w:r w:rsidRPr="003821DA" w:rsidR="00087D85">
        <w:t xml:space="preserve"> by </w:t>
      </w:r>
      <w:r w:rsidRPr="003821DA" w:rsidR="00DF688F">
        <w:t>five</w:t>
      </w:r>
      <w:r w:rsidRPr="003821DA" w:rsidR="00087D85">
        <w:t xml:space="preserve"> votes to </w:t>
      </w:r>
      <w:r w:rsidRPr="003821DA" w:rsidR="00DF688F">
        <w:t>two</w:t>
      </w:r>
      <w:r w:rsidRPr="003821DA" w:rsidR="005F358C">
        <w:t>,</w:t>
      </w:r>
      <w:r w:rsidRPr="003821DA" w:rsidR="00014566">
        <w:rPr>
          <w:color w:val="000000"/>
        </w:rPr>
        <w:t xml:space="preserve"> </w:t>
      </w:r>
      <w:r w:rsidRPr="003821DA" w:rsidR="00014566">
        <w:t>the remainder of the applicant</w:t>
      </w:r>
      <w:r w:rsidRPr="003821DA" w:rsidR="005F358C">
        <w:t>s</w:t>
      </w:r>
      <w:r w:rsidRPr="003821DA" w:rsidR="003821DA">
        <w:t>’</w:t>
      </w:r>
      <w:r w:rsidRPr="003821DA" w:rsidR="00AB45AA">
        <w:t xml:space="preserve"> claim for just satisfaction.</w:t>
      </w:r>
      <w:proofErr w:type="gramEnd"/>
    </w:p>
    <w:p w:rsidRPr="003821DA" w:rsidR="00014566" w:rsidP="003821DA" w:rsidRDefault="00014566">
      <w:pPr>
        <w:pStyle w:val="JuParaLast"/>
      </w:pPr>
      <w:r w:rsidRPr="003821DA">
        <w:t xml:space="preserve">Done in English, and notified in writing on </w:t>
      </w:r>
      <w:r w:rsidRPr="003821DA" w:rsidR="007805A2">
        <w:t>2 July 2019</w:t>
      </w:r>
      <w:r w:rsidRPr="003821DA" w:rsidR="00C915FB">
        <w:t>, pursuant to Rule </w:t>
      </w:r>
      <w:r w:rsidRPr="003821DA">
        <w:t>77</w:t>
      </w:r>
      <w:r w:rsidRPr="003821DA" w:rsidR="00C915FB">
        <w:t> </w:t>
      </w:r>
      <w:r w:rsidRPr="003821DA">
        <w:t>§§</w:t>
      </w:r>
      <w:r w:rsidRPr="003821DA" w:rsidR="00C915FB">
        <w:t> </w:t>
      </w:r>
      <w:proofErr w:type="gramStart"/>
      <w:r w:rsidRPr="003821DA">
        <w:t>2</w:t>
      </w:r>
      <w:proofErr w:type="gramEnd"/>
      <w:r w:rsidRPr="003821DA">
        <w:t xml:space="preserve"> and 3 of the Rules of Court.</w:t>
      </w:r>
    </w:p>
    <w:p w:rsidRPr="003821DA" w:rsidR="00014566" w:rsidP="003821DA" w:rsidRDefault="00014566">
      <w:pPr>
        <w:pStyle w:val="JuSigned"/>
      </w:pPr>
      <w:r w:rsidRPr="003821DA">
        <w:tab/>
      </w:r>
      <w:r w:rsidRPr="003821DA" w:rsidR="005F358C">
        <w:t>Stephen Phillips</w:t>
      </w:r>
      <w:r w:rsidRPr="003821DA">
        <w:tab/>
      </w:r>
      <w:r w:rsidRPr="003821DA" w:rsidR="008C7615">
        <w:t>Vincent A. De Gaetano</w:t>
      </w:r>
      <w:r w:rsidRPr="003821DA" w:rsidR="00E1557C">
        <w:rPr>
          <w:szCs w:val="24"/>
        </w:rPr>
        <w:br/>
      </w:r>
      <w:r w:rsidRPr="003821DA">
        <w:tab/>
      </w:r>
      <w:r w:rsidRPr="003821DA" w:rsidR="005F358C">
        <w:rPr>
          <w:iCs/>
        </w:rPr>
        <w:t>Registrar</w:t>
      </w:r>
      <w:r w:rsidRPr="003821DA">
        <w:tab/>
        <w:t>President</w:t>
      </w:r>
    </w:p>
    <w:p w:rsidRPr="003821DA" w:rsidR="00DF688F" w:rsidP="003821DA" w:rsidRDefault="00DF688F">
      <w:pPr>
        <w:pStyle w:val="JuParaLast"/>
      </w:pPr>
      <w:r w:rsidRPr="003821DA">
        <w:t>In accordance with Article 45 § 2 of the Convention and Rule 74 § 2 of the Rules of Court, the</w:t>
      </w:r>
      <w:r w:rsidRPr="003821DA" w:rsidR="00CE2385">
        <w:t xml:space="preserve"> </w:t>
      </w:r>
      <w:r w:rsidRPr="003821DA">
        <w:t xml:space="preserve">separate opinion of Judge </w:t>
      </w:r>
      <w:r w:rsidRPr="003821DA" w:rsidR="00FE76CD">
        <w:t>Keller</w:t>
      </w:r>
      <w:r w:rsidRPr="003821DA" w:rsidR="00B27D7A">
        <w:t>,</w:t>
      </w:r>
      <w:r w:rsidRPr="003821DA" w:rsidR="00FE76CD">
        <w:t xml:space="preserve"> </w:t>
      </w:r>
      <w:r w:rsidRPr="003821DA" w:rsidR="00B27D7A">
        <w:t>joined by Judge De </w:t>
      </w:r>
      <w:r w:rsidRPr="003821DA">
        <w:t>Gaetano</w:t>
      </w:r>
      <w:r w:rsidRPr="003821DA" w:rsidR="002E0964">
        <w:t>,</w:t>
      </w:r>
      <w:r w:rsidRPr="003821DA">
        <w:t xml:space="preserve"> </w:t>
      </w:r>
      <w:r w:rsidRPr="003821DA" w:rsidR="00CE2385">
        <w:t>is annexed to this judgment</w:t>
      </w:r>
      <w:r w:rsidRPr="003821DA">
        <w:t>.</w:t>
      </w:r>
    </w:p>
    <w:p w:rsidRPr="003821DA" w:rsidR="00DF688F" w:rsidP="003821DA" w:rsidRDefault="00DF688F">
      <w:pPr>
        <w:pStyle w:val="JuInitialled"/>
      </w:pPr>
      <w:r w:rsidRPr="003821DA">
        <w:t>V.D.G</w:t>
      </w:r>
      <w:proofErr w:type="gramStart"/>
      <w:r w:rsidRPr="003821DA">
        <w:t>.</w:t>
      </w:r>
      <w:proofErr w:type="gramEnd"/>
      <w:r w:rsidRPr="003821DA">
        <w:br/>
        <w:t>J.S.P.</w:t>
      </w:r>
    </w:p>
    <w:p w:rsidRPr="003821DA" w:rsidR="00104AE4" w:rsidP="003821DA" w:rsidRDefault="00104AE4">
      <w:pPr>
        <w:pStyle w:val="JuInitialled"/>
      </w:pPr>
    </w:p>
    <w:p w:rsidRPr="003821DA" w:rsidR="00104AE4" w:rsidP="003821DA" w:rsidRDefault="00104AE4">
      <w:pPr>
        <w:pStyle w:val="ECHRPara"/>
        <w:sectPr w:rsidRPr="003821DA" w:rsidR="00104AE4" w:rsidSect="00DF688F">
          <w:headerReference w:type="even" r:id="rId11"/>
          <w:headerReference w:type="default" r:id="rId12"/>
          <w:footnotePr>
            <w:numRestart w:val="eachSect"/>
          </w:footnotePr>
          <w:pgSz w:w="11906" w:h="16838" w:code="9"/>
          <w:pgMar w:top="2274" w:right="2274" w:bottom="1985" w:left="2274" w:header="1701" w:footer="720" w:gutter="0"/>
          <w:pgNumType w:start="1"/>
          <w:cols w:space="720"/>
          <w:docGrid w:linePitch="326"/>
        </w:sectPr>
      </w:pPr>
    </w:p>
    <w:p w:rsidRPr="003821DA" w:rsidR="004811F1" w:rsidP="003821DA" w:rsidRDefault="004811F1">
      <w:pPr>
        <w:pStyle w:val="ECHRTitleCentre1"/>
      </w:pPr>
      <w:r w:rsidRPr="003821DA">
        <w:t>PARTLY DISSENTING OPINION OF JUDGE KELLER, JOINED BY JUDGE DE GAETANO</w:t>
      </w:r>
    </w:p>
    <w:p w:rsidRPr="003821DA" w:rsidR="004811F1" w:rsidP="003821DA" w:rsidRDefault="000C6DFE">
      <w:pPr>
        <w:pStyle w:val="OpiPara"/>
        <w:rPr>
          <w:rFonts w:eastAsia="Noteworthy-Light"/>
        </w:rPr>
      </w:pPr>
      <w:r w:rsidRPr="003821DA">
        <w:rPr>
          <w:rFonts w:eastAsia="Noteworthy-Light"/>
        </w:rPr>
        <w:fldChar w:fldCharType="begin"/>
      </w:r>
      <w:r w:rsidRPr="003821DA">
        <w:rPr>
          <w:rFonts w:eastAsia="Noteworthy-Light"/>
        </w:rPr>
        <w:instrText xml:space="preserve"> SEQ level0 \*arabic \r1</w:instrText>
      </w:r>
      <w:r w:rsidRPr="003821DA" w:rsidR="004811F1">
        <w:rPr>
          <w:rFonts w:eastAsia="Noteworthy-Light"/>
        </w:rPr>
        <w:fldChar w:fldCharType="begin"/>
      </w:r>
      <w:r w:rsidRPr="003821DA" w:rsidR="004811F1">
        <w:rPr>
          <w:rFonts w:eastAsia="Noteworthy-Light"/>
        </w:rPr>
        <w:instrText xml:space="preserve"> </w:instrText>
      </w:r>
      <w:r w:rsidRPr="003821DA">
        <w:rPr>
          <w:rFonts w:eastAsia="Noteworthy-Light"/>
        </w:rPr>
        <w:instrText>.  </w:instrText>
      </w:r>
      <w:r w:rsidRPr="003821DA" w:rsidR="004811F1">
        <w:rPr>
          <w:rFonts w:eastAsia="Noteworthy-Light"/>
        </w:rPr>
        <w:instrText xml:space="preserve">SEQ level0 \*arabic </w:instrText>
      </w:r>
      <w:r w:rsidRPr="003821DA" w:rsidR="004811F1">
        <w:rPr>
          <w:rFonts w:eastAsia="Noteworthy-Light"/>
        </w:rPr>
        <w:fldChar w:fldCharType="separate"/>
      </w:r>
      <w:r w:rsidRPr="003821DA">
        <w:rPr>
          <w:rFonts w:eastAsia="Noteworthy-Light"/>
          <w:noProof/>
        </w:rPr>
        <w:instrText>127</w:instrText>
      </w:r>
      <w:r w:rsidRPr="003821DA" w:rsidR="004811F1">
        <w:rPr>
          <w:rFonts w:eastAsia="Noteworthy-Light"/>
        </w:rPr>
        <w:fldChar w:fldCharType="end"/>
      </w:r>
      <w:r w:rsidRPr="003821DA">
        <w:rPr>
          <w:rFonts w:eastAsia="Noteworthy-Light"/>
        </w:rPr>
        <w:instrText xml:space="preserve"> </w:instrText>
      </w:r>
      <w:r w:rsidRPr="003821DA">
        <w:rPr>
          <w:rFonts w:eastAsia="Noteworthy-Light"/>
        </w:rPr>
        <w:fldChar w:fldCharType="separate"/>
      </w:r>
      <w:r w:rsidRPr="003821DA" w:rsidR="003821DA">
        <w:rPr>
          <w:rFonts w:eastAsia="Noteworthy-Light"/>
          <w:noProof/>
        </w:rPr>
        <w:t>1</w:t>
      </w:r>
      <w:r w:rsidRPr="003821DA">
        <w:rPr>
          <w:rFonts w:eastAsia="Noteworthy-Light"/>
        </w:rPr>
        <w:fldChar w:fldCharType="end"/>
      </w:r>
      <w:r w:rsidRPr="003821DA" w:rsidR="004811F1">
        <w:rPr>
          <w:rFonts w:eastAsia="Noteworthy-Light"/>
        </w:rPr>
        <w:t>.  I respectfully disagree with paragraph 120 of the judgment and with the conclusion that finding a violation of Articles 8 and 13 constitutes sufficient just satisfaction for any non-pecuniary damage sustained.</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2</w:t>
      </w:r>
      <w:r w:rsidRPr="003821DA">
        <w:rPr>
          <w:rFonts w:eastAsia="Noteworthy-Light"/>
        </w:rPr>
        <w:fldChar w:fldCharType="end"/>
      </w:r>
      <w:r w:rsidRPr="003821DA">
        <w:rPr>
          <w:rFonts w:eastAsia="Noteworthy-Light"/>
        </w:rPr>
        <w:t xml:space="preserve">.  The Court found that the permanent CCTV camera monitoring of the applicants, all in detention, breached their right to private life in contravention of Article 8 of the Convention (see paragraphs 98-100 of the judgment). In particular, the Court held that the Russian legal framework concerning video surveillance in prisons did not meet the “quality of law” requirements of the Convention. The framework at issue gave unrestricted power to administrators of pre-trial detention centres and penal institutions “to place every individual in pre-trial or post-conviction detention under permanent – that is day and night – video surveillance, unconditionally, in any area of the institution, including cells, for an indefinite period of time, with no periodic reviews” (paragraph 97). No judicial or other safeguards against abuse </w:t>
      </w:r>
      <w:proofErr w:type="gramStart"/>
      <w:r w:rsidRPr="003821DA">
        <w:rPr>
          <w:rFonts w:eastAsia="Noteworthy-Light"/>
        </w:rPr>
        <w:t>were provided for</w:t>
      </w:r>
      <w:proofErr w:type="gramEnd"/>
      <w:r w:rsidRPr="003821DA">
        <w:rPr>
          <w:rFonts w:eastAsia="Noteworthy-Light"/>
        </w:rPr>
        <w:t xml:space="preserve"> in the law. In addition, the Court found a violation of Article 13 on the ground that there was no effective remedy at the domestic level to enable those affected to contest video surveillance on considerations related to the right to respect for private life (paragraph 110). We agree with these conclusions. However, to our surprise, </w:t>
      </w:r>
      <w:r w:rsidRPr="003821DA">
        <w:rPr>
          <w:rFonts w:eastAsia="Batang"/>
          <w:lang w:eastAsia="ko-KR"/>
        </w:rPr>
        <w:t xml:space="preserve">no award </w:t>
      </w:r>
      <w:proofErr w:type="gramStart"/>
      <w:r w:rsidRPr="003821DA">
        <w:rPr>
          <w:rFonts w:eastAsia="Batang"/>
          <w:lang w:eastAsia="ko-KR"/>
        </w:rPr>
        <w:t>has been made</w:t>
      </w:r>
      <w:proofErr w:type="gramEnd"/>
      <w:r w:rsidRPr="003821DA">
        <w:rPr>
          <w:rFonts w:eastAsia="Batang"/>
          <w:lang w:eastAsia="ko-KR"/>
        </w:rPr>
        <w:t xml:space="preserve"> for</w:t>
      </w:r>
      <w:r w:rsidRPr="003821DA">
        <w:rPr>
          <w:rFonts w:eastAsia="Noteworthy-Light"/>
        </w:rPr>
        <w:t xml:space="preserve"> non-pecuniary damage </w:t>
      </w:r>
      <w:r w:rsidRPr="003821DA">
        <w:rPr>
          <w:rFonts w:eastAsia="Batang"/>
          <w:lang w:eastAsia="ko-KR"/>
        </w:rPr>
        <w:t>by way of just satisfaction</w:t>
      </w:r>
      <w:r w:rsidRPr="003821DA">
        <w:rPr>
          <w:rFonts w:eastAsia="Noteworthy-Light"/>
        </w:rPr>
        <w:t>. That, in my view, is a grave error.</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3</w:t>
      </w:r>
      <w:r w:rsidRPr="003821DA">
        <w:rPr>
          <w:rFonts w:eastAsia="Noteworthy-Light"/>
        </w:rPr>
        <w:fldChar w:fldCharType="end"/>
      </w:r>
      <w:r w:rsidRPr="003821DA">
        <w:rPr>
          <w:rFonts w:eastAsia="Noteworthy-Light"/>
        </w:rPr>
        <w:t xml:space="preserve">.  The majority explain that since the “judgment will have effects extending beyond the confines of this particular case” (i.e. changing the relevant legal and/or administrative framework in Russia), “the finding of a violation, with the consequences which will ensue for the future, constitutes sufficient just satisfaction </w:t>
      </w:r>
      <w:r w:rsidRPr="003821DA" w:rsidR="00522EA9">
        <w:rPr>
          <w:rFonts w:eastAsia="Batang"/>
          <w:lang w:eastAsia="ko-KR"/>
        </w:rPr>
        <w:t>...</w:t>
      </w:r>
      <w:r w:rsidRPr="003821DA">
        <w:rPr>
          <w:rFonts w:eastAsia="Noteworthy-Light"/>
        </w:rPr>
        <w:t xml:space="preserve"> for any non-pecuniary damage sustained by the applicants” (paragraph 120). This reasoning is unconvincing. It amounts to penalising applicants whose complaints </w:t>
      </w:r>
      <w:proofErr w:type="gramStart"/>
      <w:r w:rsidRPr="003821DA">
        <w:rPr>
          <w:rFonts w:eastAsia="Noteworthy-Light"/>
        </w:rPr>
        <w:t>are seen</w:t>
      </w:r>
      <w:proofErr w:type="gramEnd"/>
      <w:r w:rsidRPr="003821DA">
        <w:rPr>
          <w:rFonts w:eastAsia="Noteworthy-Light"/>
        </w:rPr>
        <w:t xml:space="preserve"> by the Court as requiring structural changes in the State party concerned. On the contrary, the Court should support such applicants who shed light on systemic violations of the Convention while also seeking individual justice.</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4</w:t>
      </w:r>
      <w:r w:rsidRPr="003821DA">
        <w:rPr>
          <w:rFonts w:eastAsia="Noteworthy-Light"/>
        </w:rPr>
        <w:fldChar w:fldCharType="end"/>
      </w:r>
      <w:r w:rsidRPr="003821DA">
        <w:rPr>
          <w:rFonts w:eastAsia="Noteworthy-Light"/>
        </w:rPr>
        <w:t xml:space="preserve">.  A grotesque implication of </w:t>
      </w:r>
      <w:r w:rsidRPr="003821DA">
        <w:rPr>
          <w:rFonts w:eastAsia="Batang"/>
          <w:lang w:eastAsia="ko-KR"/>
        </w:rPr>
        <w:t>the majority</w:t>
      </w:r>
      <w:r w:rsidRPr="003821DA" w:rsidR="003821DA">
        <w:rPr>
          <w:rFonts w:eastAsia="Batang"/>
          <w:lang w:eastAsia="ko-KR"/>
        </w:rPr>
        <w:t>’</w:t>
      </w:r>
      <w:r w:rsidRPr="003821DA">
        <w:rPr>
          <w:rFonts w:eastAsia="Batang"/>
          <w:lang w:eastAsia="ko-KR"/>
        </w:rPr>
        <w:t>s conclusion</w:t>
      </w:r>
      <w:r w:rsidRPr="003821DA">
        <w:rPr>
          <w:rFonts w:eastAsia="Noteworthy-Light"/>
        </w:rPr>
        <w:t xml:space="preserve"> in this case is that </w:t>
      </w:r>
      <w:r w:rsidRPr="003821DA">
        <w:rPr>
          <w:rFonts w:eastAsia="Batang"/>
          <w:lang w:eastAsia="ko-KR"/>
        </w:rPr>
        <w:t>a</w:t>
      </w:r>
      <w:r w:rsidRPr="003821DA">
        <w:rPr>
          <w:rFonts w:eastAsia="Noteworthy-Light"/>
        </w:rPr>
        <w:t xml:space="preserve"> systemic violation of the Convention becomes cheaper for States than a violation affecting only certain individuals. I cannot agree with </w:t>
      </w:r>
      <w:r w:rsidRPr="003821DA">
        <w:rPr>
          <w:rFonts w:eastAsia="Batang"/>
          <w:lang w:eastAsia="ko-KR"/>
        </w:rPr>
        <w:t>such impunity for States</w:t>
      </w:r>
      <w:r w:rsidRPr="003821DA">
        <w:rPr>
          <w:rFonts w:eastAsia="Noteworthy-Light"/>
        </w:rPr>
        <w:t xml:space="preserve">. Given their widespread effect, States should be discouraged through all available means from engaging in systemic violations of the Convention. These means should include, if the circumstances of the case so require, an award in respect of non-pecuniary damage. </w:t>
      </w:r>
      <w:r w:rsidRPr="003821DA">
        <w:rPr>
          <w:rFonts w:eastAsia="Batang"/>
          <w:lang w:eastAsia="ko-KR"/>
        </w:rPr>
        <w:t>Such award</w:t>
      </w:r>
      <w:r w:rsidRPr="003821DA">
        <w:rPr>
          <w:rFonts w:eastAsia="Noteworthy-Light"/>
        </w:rPr>
        <w:t xml:space="preserve"> would not only compensate for the harm suffered by individual applicants, but also incentivise States to comply with their Convention obligations in a speedy and efficient manner.</w:t>
      </w:r>
    </w:p>
    <w:p w:rsidRPr="003821DA" w:rsidR="00522EA9"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5</w:t>
      </w:r>
      <w:r w:rsidRPr="003821DA">
        <w:rPr>
          <w:rFonts w:eastAsia="Noteworthy-Light"/>
        </w:rPr>
        <w:fldChar w:fldCharType="end"/>
      </w:r>
      <w:r w:rsidRPr="003821DA">
        <w:rPr>
          <w:rFonts w:eastAsia="Noteworthy-Light"/>
        </w:rPr>
        <w:t xml:space="preserve">.  The failure to make an award for non-pecuniary damage also contradicts numerous judgments of this Court in </w:t>
      </w:r>
      <w:r w:rsidRPr="003821DA">
        <w:rPr>
          <w:rFonts w:eastAsia="Batang"/>
          <w:lang w:eastAsia="ko-KR"/>
        </w:rPr>
        <w:t>which</w:t>
      </w:r>
      <w:r w:rsidRPr="003821DA">
        <w:rPr>
          <w:rFonts w:eastAsia="Noteworthy-Light"/>
        </w:rPr>
        <w:t xml:space="preserve"> surveillance activities taking place outside a clear and comprehensive legal framework led to a </w:t>
      </w:r>
      <w:r w:rsidRPr="003821DA">
        <w:rPr>
          <w:rFonts w:eastAsia="Batang"/>
          <w:lang w:eastAsia="ko-KR"/>
        </w:rPr>
        <w:t xml:space="preserve">finding a violation of Article 8 and an award for </w:t>
      </w:r>
      <w:r w:rsidRPr="003821DA">
        <w:rPr>
          <w:rFonts w:eastAsia="Noteworthy-Light"/>
        </w:rPr>
        <w:t xml:space="preserve">non-pecuniary </w:t>
      </w:r>
      <w:r w:rsidRPr="003821DA">
        <w:rPr>
          <w:rFonts w:eastAsia="Batang"/>
          <w:lang w:eastAsia="ko-KR"/>
        </w:rPr>
        <w:t>damage</w:t>
      </w:r>
      <w:r w:rsidRPr="003821DA">
        <w:rPr>
          <w:rFonts w:eastAsia="Noteworthy-Light"/>
        </w:rPr>
        <w:t xml:space="preserve"> (see </w:t>
      </w:r>
      <w:proofErr w:type="spellStart"/>
      <w:r w:rsidRPr="003821DA">
        <w:rPr>
          <w:rFonts w:eastAsia="Noteworthy-Light"/>
          <w:i/>
        </w:rPr>
        <w:t>Vukota-Bojić</w:t>
      </w:r>
      <w:proofErr w:type="spellEnd"/>
      <w:r w:rsidRPr="003821DA">
        <w:rPr>
          <w:rFonts w:eastAsia="Noteworthy-Light"/>
          <w:i/>
        </w:rPr>
        <w:t xml:space="preserve"> v. Switzerland</w:t>
      </w:r>
      <w:r w:rsidRPr="003821DA">
        <w:rPr>
          <w:rFonts w:eastAsia="Noteworthy-Light"/>
        </w:rPr>
        <w:t xml:space="preserve">, no. </w:t>
      </w:r>
      <w:hyperlink w:history="1" r:id="rId13">
        <w:proofErr w:type="gramStart"/>
        <w:r w:rsidRPr="003821DA">
          <w:rPr>
            <w:rStyle w:val="Hyperlink"/>
            <w:rFonts w:ascii="Garamond" w:hAnsi="Garamond" w:eastAsia="Noteworthy-Light" w:cs="Noteworthy-Light"/>
            <w:szCs w:val="24"/>
          </w:rPr>
          <w:t>61838/10</w:t>
        </w:r>
      </w:hyperlink>
      <w:r w:rsidRPr="003821DA">
        <w:rPr>
          <w:rFonts w:eastAsia="Noteworthy-Light"/>
        </w:rPr>
        <w:t xml:space="preserve">, §§ 73-77, 105, ECHR 2016; </w:t>
      </w:r>
      <w:r w:rsidRPr="003821DA">
        <w:rPr>
          <w:rFonts w:eastAsia="Noteworthy-Light"/>
          <w:i/>
        </w:rPr>
        <w:t xml:space="preserve">Valentino </w:t>
      </w:r>
      <w:proofErr w:type="spellStart"/>
      <w:r w:rsidRPr="003821DA">
        <w:rPr>
          <w:rFonts w:eastAsia="Noteworthy-Light"/>
          <w:i/>
        </w:rPr>
        <w:t>Acatrinei</w:t>
      </w:r>
      <w:proofErr w:type="spellEnd"/>
      <w:r w:rsidRPr="003821DA">
        <w:rPr>
          <w:rFonts w:eastAsia="Noteworthy-Light"/>
          <w:i/>
        </w:rPr>
        <w:t xml:space="preserve"> v. Romania</w:t>
      </w:r>
      <w:r w:rsidRPr="003821DA">
        <w:rPr>
          <w:rFonts w:eastAsia="Noteworthy-Light"/>
        </w:rPr>
        <w:t>, no.</w:t>
      </w:r>
      <w:proofErr w:type="gramEnd"/>
      <w:r w:rsidRPr="003821DA">
        <w:rPr>
          <w:rFonts w:eastAsia="Noteworthy-Light"/>
        </w:rPr>
        <w:t> </w:t>
      </w:r>
      <w:hyperlink w:history="1" r:id="rId14">
        <w:proofErr w:type="gramStart"/>
        <w:r w:rsidRPr="003821DA">
          <w:rPr>
            <w:rStyle w:val="Hyperlink"/>
            <w:rFonts w:ascii="Garamond" w:hAnsi="Garamond" w:eastAsia="Noteworthy-Light" w:cs="Noteworthy-Light"/>
            <w:szCs w:val="24"/>
          </w:rPr>
          <w:t>18540/04</w:t>
        </w:r>
        <w:proofErr w:type="gramEnd"/>
      </w:hyperlink>
      <w:r w:rsidRPr="003821DA">
        <w:rPr>
          <w:rFonts w:eastAsia="Noteworthy-Light"/>
        </w:rPr>
        <w:t xml:space="preserve">, §§ 61, 96, ECHR 2013; </w:t>
      </w:r>
      <w:r w:rsidRPr="003821DA">
        <w:rPr>
          <w:rFonts w:eastAsia="Noteworthy-Light"/>
          <w:i/>
        </w:rPr>
        <w:t>Copland v. the United Kingdom</w:t>
      </w:r>
      <w:r w:rsidRPr="003821DA">
        <w:rPr>
          <w:rFonts w:eastAsia="Noteworthy-Light"/>
        </w:rPr>
        <w:t>, no. </w:t>
      </w:r>
      <w:hyperlink w:history="1" r:id="rId15">
        <w:proofErr w:type="gramStart"/>
        <w:r w:rsidRPr="003821DA">
          <w:rPr>
            <w:rStyle w:val="Hyperlink"/>
            <w:rFonts w:ascii="Garamond" w:hAnsi="Garamond" w:eastAsia="Noteworthy-Light" w:cs="Noteworthy-Light"/>
            <w:szCs w:val="24"/>
          </w:rPr>
          <w:t>62617/00</w:t>
        </w:r>
        <w:proofErr w:type="gramEnd"/>
      </w:hyperlink>
      <w:r w:rsidRPr="003821DA">
        <w:rPr>
          <w:rFonts w:eastAsia="Noteworthy-Light"/>
        </w:rPr>
        <w:t>, §§ 45-49, 53</w:t>
      </w:r>
      <w:r w:rsidRPr="003821DA">
        <w:rPr>
          <w:rFonts w:eastAsia="Noteworthy-Light"/>
        </w:rPr>
        <w:noBreakHyphen/>
        <w:t xml:space="preserve">55, ECHR 2007; and </w:t>
      </w:r>
      <w:proofErr w:type="spellStart"/>
      <w:r w:rsidRPr="003821DA">
        <w:rPr>
          <w:rFonts w:eastAsia="Noteworthy-Light"/>
          <w:i/>
        </w:rPr>
        <w:t>Halford</w:t>
      </w:r>
      <w:proofErr w:type="spellEnd"/>
      <w:r w:rsidRPr="003821DA">
        <w:rPr>
          <w:rFonts w:eastAsia="Noteworthy-Light"/>
          <w:i/>
        </w:rPr>
        <w:t xml:space="preserve"> v. the United Kingdom</w:t>
      </w:r>
      <w:r w:rsidRPr="003821DA">
        <w:rPr>
          <w:rFonts w:eastAsia="Noteworthy-Light"/>
        </w:rPr>
        <w:t>, no. </w:t>
      </w:r>
      <w:hyperlink w:history="1" r:id="rId16">
        <w:proofErr w:type="gramStart"/>
        <w:r w:rsidRPr="003821DA">
          <w:rPr>
            <w:rStyle w:val="Hyperlink"/>
            <w:rFonts w:ascii="Garamond" w:hAnsi="Garamond" w:eastAsia="Noteworthy-Light" w:cs="Noteworthy-Light"/>
            <w:szCs w:val="24"/>
          </w:rPr>
          <w:t>20605/92</w:t>
        </w:r>
      </w:hyperlink>
      <w:r w:rsidRPr="003821DA">
        <w:rPr>
          <w:rFonts w:eastAsia="Noteworthy-Light"/>
        </w:rPr>
        <w:t>, § 75, ECHR 1997).</w:t>
      </w:r>
      <w:proofErr w:type="gramEnd"/>
      <w:r w:rsidRPr="003821DA">
        <w:rPr>
          <w:rFonts w:eastAsia="Noteworthy-Light"/>
        </w:rPr>
        <w:t xml:space="preserve"> It is true that these cases </w:t>
      </w:r>
      <w:r w:rsidRPr="003821DA">
        <w:rPr>
          <w:rFonts w:eastAsia="Batang"/>
          <w:lang w:eastAsia="ko-KR"/>
        </w:rPr>
        <w:t>concerned</w:t>
      </w:r>
      <w:r w:rsidRPr="003821DA">
        <w:rPr>
          <w:rFonts w:eastAsia="Noteworthy-Light"/>
        </w:rPr>
        <w:t xml:space="preserve"> surveillance outside the prison system. </w:t>
      </w:r>
      <w:proofErr w:type="gramStart"/>
      <w:r w:rsidRPr="003821DA">
        <w:rPr>
          <w:rFonts w:eastAsia="Noteworthy-Light"/>
        </w:rPr>
        <w:t xml:space="preserve">Yet, as the Court itself mentions in paragraph 81 of the instant judgment, it is a well-established principle “that prisoners in general continue to enjoy all the fundamental rights and freedoms guaranteed under the Convention save for the right to liberty, where lawfully imposed detention expressly falls within the scope of Article 5 of the Convention (see </w:t>
      </w:r>
      <w:proofErr w:type="spellStart"/>
      <w:r w:rsidRPr="003821DA">
        <w:rPr>
          <w:rFonts w:eastAsia="Noteworthy-Light"/>
          <w:i/>
        </w:rPr>
        <w:t>Hirst</w:t>
      </w:r>
      <w:proofErr w:type="spellEnd"/>
      <w:r w:rsidRPr="003821DA">
        <w:rPr>
          <w:rFonts w:eastAsia="Noteworthy-Light"/>
          <w:i/>
        </w:rPr>
        <w:t xml:space="preserve"> v. the United Kingdom</w:t>
      </w:r>
      <w:r w:rsidRPr="003821DA">
        <w:rPr>
          <w:rFonts w:eastAsia="Noteworthy-Light"/>
        </w:rPr>
        <w:t xml:space="preserve"> </w:t>
      </w:r>
      <w:r w:rsidRPr="003821DA">
        <w:rPr>
          <w:rFonts w:eastAsia="Noteworthy-Light"/>
          <w:i/>
        </w:rPr>
        <w:t xml:space="preserve">(no. 2) </w:t>
      </w:r>
      <w:r w:rsidRPr="003821DA">
        <w:rPr>
          <w:rFonts w:eastAsia="Noteworthy-Light"/>
        </w:rPr>
        <w:t>[GC], no.</w:t>
      </w:r>
      <w:proofErr w:type="gramEnd"/>
      <w:r w:rsidRPr="003821DA">
        <w:rPr>
          <w:rFonts w:eastAsia="Noteworthy-Light"/>
        </w:rPr>
        <w:t xml:space="preserve"> </w:t>
      </w:r>
      <w:hyperlink w:history="1" r:id="rId17">
        <w:proofErr w:type="gramStart"/>
        <w:r w:rsidRPr="003821DA">
          <w:rPr>
            <w:rStyle w:val="Hyperlink"/>
            <w:rFonts w:ascii="Garamond" w:hAnsi="Garamond" w:eastAsia="Noteworthy-Light" w:cs="Noteworthy-Light"/>
            <w:szCs w:val="24"/>
          </w:rPr>
          <w:t>74025/01</w:t>
        </w:r>
      </w:hyperlink>
      <w:r w:rsidRPr="003821DA">
        <w:rPr>
          <w:rFonts w:eastAsia="Noteworthy-Light"/>
        </w:rPr>
        <w:t>, § 69, ECHR 2005-IX).”</w:t>
      </w:r>
      <w:proofErr w:type="gramEnd"/>
      <w:r w:rsidRPr="003821DA">
        <w:rPr>
          <w:rFonts w:eastAsia="Noteworthy-Light"/>
        </w:rPr>
        <w:t xml:space="preserve"> </w:t>
      </w:r>
      <w:r w:rsidRPr="003821DA">
        <w:rPr>
          <w:rFonts w:eastAsia="Batang"/>
          <w:lang w:eastAsia="ko-KR"/>
        </w:rPr>
        <w:t>In other words</w:t>
      </w:r>
      <w:r w:rsidRPr="003821DA">
        <w:rPr>
          <w:rFonts w:eastAsia="Noteworthy-Light"/>
        </w:rPr>
        <w:t>, an individual in detention “does not forfeit his or her Convention rights merely because of his or her status as a detainee, including the rights guaranteed by Article 8 of the Convention, so that restrictions on those rights must be justified in each case (</w:t>
      </w:r>
      <w:proofErr w:type="spellStart"/>
      <w:r w:rsidRPr="003821DA">
        <w:rPr>
          <w:rFonts w:eastAsia="Noteworthy-Light"/>
          <w:i/>
        </w:rPr>
        <w:t>Khoroshenko</w:t>
      </w:r>
      <w:proofErr w:type="spellEnd"/>
      <w:r w:rsidRPr="003821DA">
        <w:rPr>
          <w:rFonts w:eastAsia="Noteworthy-Light"/>
          <w:i/>
        </w:rPr>
        <w:t xml:space="preserve"> v. Russia</w:t>
      </w:r>
      <w:r w:rsidRPr="003821DA">
        <w:rPr>
          <w:rFonts w:eastAsia="Noteworthy-Light"/>
        </w:rPr>
        <w:t xml:space="preserve"> [GC], no. </w:t>
      </w:r>
      <w:hyperlink w:history="1" r:id="rId18">
        <w:proofErr w:type="gramStart"/>
        <w:r w:rsidRPr="003821DA">
          <w:rPr>
            <w:rStyle w:val="Hyperlink"/>
            <w:rFonts w:ascii="Garamond" w:hAnsi="Garamond" w:eastAsia="Noteworthy-Light" w:cs="Noteworthy-Light"/>
            <w:szCs w:val="24"/>
          </w:rPr>
          <w:t>41418/04</w:t>
        </w:r>
      </w:hyperlink>
      <w:r w:rsidRPr="003821DA">
        <w:rPr>
          <w:rFonts w:eastAsia="Noteworthy-Light"/>
        </w:rPr>
        <w:t>, §§ 106 and 116-17, ECHR 2015, and the authorities cited therein).”</w:t>
      </w:r>
      <w:proofErr w:type="gramEnd"/>
      <w:r w:rsidRPr="003821DA">
        <w:rPr>
          <w:rFonts w:eastAsia="Noteworthy-Light"/>
        </w:rPr>
        <w:t xml:space="preserve"> Thus, the right to respect for the private life of such applicants </w:t>
      </w:r>
      <w:proofErr w:type="gramStart"/>
      <w:r w:rsidRPr="003821DA">
        <w:rPr>
          <w:rFonts w:eastAsia="Noteworthy-Light"/>
        </w:rPr>
        <w:t>should not be treated</w:t>
      </w:r>
      <w:proofErr w:type="gramEnd"/>
      <w:r w:rsidRPr="003821DA">
        <w:rPr>
          <w:rFonts w:eastAsia="Noteworthy-Light"/>
        </w:rPr>
        <w:t xml:space="preserve"> any differently from that of those outside the prison system.</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6</w:t>
      </w:r>
      <w:r w:rsidRPr="003821DA">
        <w:rPr>
          <w:rFonts w:eastAsia="Noteworthy-Light"/>
        </w:rPr>
        <w:fldChar w:fldCharType="end"/>
      </w:r>
      <w:r w:rsidRPr="003821DA">
        <w:rPr>
          <w:rFonts w:eastAsia="Noteworthy-Light"/>
        </w:rPr>
        <w:t xml:space="preserve">.  A straightforward reading of Article 41 further supports this position. The problem of the Article 41 wording </w:t>
      </w:r>
      <w:proofErr w:type="gramStart"/>
      <w:r w:rsidRPr="003821DA">
        <w:rPr>
          <w:rFonts w:eastAsia="Noteworthy-Light"/>
        </w:rPr>
        <w:t>was previously discussed</w:t>
      </w:r>
      <w:proofErr w:type="gramEnd"/>
      <w:r w:rsidRPr="003821DA">
        <w:rPr>
          <w:rFonts w:eastAsia="Noteworthy-Light"/>
        </w:rPr>
        <w:t xml:space="preserve"> in a dissenting opinion in </w:t>
      </w:r>
      <w:r w:rsidRPr="003821DA">
        <w:rPr>
          <w:rFonts w:eastAsia="Noteworthy-Light"/>
          <w:i/>
        </w:rPr>
        <w:t>Nikolova v Bulgaria</w:t>
      </w:r>
      <w:r w:rsidRPr="003821DA">
        <w:rPr>
          <w:rFonts w:eastAsia="Noteworthy-Light"/>
        </w:rPr>
        <w:t xml:space="preserve"> [GC] (no. </w:t>
      </w:r>
      <w:hyperlink w:history="1" r:id="rId19">
        <w:proofErr w:type="gramStart"/>
        <w:r w:rsidRPr="003821DA">
          <w:rPr>
            <w:rStyle w:val="Hyperlink"/>
            <w:rFonts w:ascii="Garamond" w:hAnsi="Garamond" w:eastAsia="Noteworthy-Light" w:cs="Noteworthy-Light"/>
            <w:szCs w:val="24"/>
          </w:rPr>
          <w:t>31195/96</w:t>
        </w:r>
      </w:hyperlink>
      <w:r w:rsidRPr="003821DA">
        <w:rPr>
          <w:rFonts w:eastAsia="Noteworthy-Light"/>
        </w:rPr>
        <w:t xml:space="preserve">, ECHR 1999-II), as well as in </w:t>
      </w:r>
      <w:proofErr w:type="spellStart"/>
      <w:r w:rsidRPr="003821DA">
        <w:rPr>
          <w:rFonts w:eastAsia="Noteworthy-Light"/>
          <w:i/>
        </w:rPr>
        <w:t>Gafà</w:t>
      </w:r>
      <w:proofErr w:type="spellEnd"/>
      <w:r w:rsidRPr="003821DA">
        <w:rPr>
          <w:rFonts w:eastAsia="Noteworthy-Light"/>
          <w:i/>
        </w:rPr>
        <w:t xml:space="preserve"> v. Malta</w:t>
      </w:r>
      <w:r w:rsidRPr="003821DA">
        <w:rPr>
          <w:rFonts w:eastAsia="Noteworthy-Light"/>
        </w:rPr>
        <w:t xml:space="preserve"> (no.</w:t>
      </w:r>
      <w:proofErr w:type="gramEnd"/>
      <w:r w:rsidRPr="003821DA">
        <w:rPr>
          <w:rFonts w:eastAsia="Noteworthy-Light"/>
        </w:rPr>
        <w:t xml:space="preserve"> </w:t>
      </w:r>
      <w:hyperlink w:history="1" r:id="rId20">
        <w:proofErr w:type="gramStart"/>
        <w:r w:rsidRPr="003821DA">
          <w:rPr>
            <w:rStyle w:val="Hyperlink"/>
            <w:rFonts w:ascii="Garamond" w:hAnsi="Garamond" w:eastAsia="Noteworthy-Light" w:cs="Noteworthy-Light"/>
            <w:szCs w:val="24"/>
          </w:rPr>
          <w:t>54335/14</w:t>
        </w:r>
      </w:hyperlink>
      <w:r w:rsidRPr="003821DA">
        <w:rPr>
          <w:rFonts w:eastAsia="Noteworthy-Light"/>
        </w:rPr>
        <w:t>, ECHR 2018).</w:t>
      </w:r>
      <w:proofErr w:type="gramEnd"/>
      <w:r w:rsidRPr="003821DA">
        <w:rPr>
          <w:rFonts w:eastAsia="Noteworthy-Light"/>
        </w:rPr>
        <w:t xml:space="preserve"> Article 41 </w:t>
      </w:r>
      <w:proofErr w:type="gramStart"/>
      <w:r w:rsidRPr="003821DA">
        <w:rPr>
          <w:rFonts w:eastAsia="Noteworthy-Light"/>
        </w:rPr>
        <w:t>reads:</w:t>
      </w:r>
      <w:proofErr w:type="gramEnd"/>
      <w:r w:rsidRPr="003821DA">
        <w:rPr>
          <w:rFonts w:eastAsia="Noteworthy-Light"/>
        </w:rPr>
        <w:t xml:space="preserve"> “</w:t>
      </w:r>
      <w:r w:rsidRPr="003821DA">
        <w:rPr>
          <w:rFonts w:eastAsia="Noteworthy-Light"/>
          <w:i/>
        </w:rPr>
        <w:t>If</w:t>
      </w:r>
      <w:r w:rsidRPr="003821DA">
        <w:rPr>
          <w:rFonts w:eastAsia="Noteworthy-Light"/>
        </w:rPr>
        <w:t xml:space="preserve"> the Court finds that there has been a violation of the Convention or the Protocols thereto, </w:t>
      </w:r>
      <w:r w:rsidRPr="003821DA">
        <w:rPr>
          <w:rFonts w:eastAsia="Noteworthy-Light"/>
          <w:i/>
        </w:rPr>
        <w:t>and if</w:t>
      </w:r>
      <w:r w:rsidRPr="003821DA">
        <w:rPr>
          <w:rFonts w:eastAsia="Noteworthy-Light"/>
        </w:rPr>
        <w:t xml:space="preserve"> the internal law of the High Contracting Party concerned allows only partial reparation to be made, the Court shall, if necessary, afford just satisfaction to the injured party” (emphasis added). </w:t>
      </w:r>
      <w:proofErr w:type="gramStart"/>
      <w:r w:rsidRPr="003821DA">
        <w:rPr>
          <w:rFonts w:eastAsia="Noteworthy-Light"/>
        </w:rPr>
        <w:t>Thus</w:t>
      </w:r>
      <w:proofErr w:type="gramEnd"/>
      <w:r w:rsidRPr="003821DA">
        <w:rPr>
          <w:rFonts w:eastAsia="Noteworthy-Light"/>
        </w:rPr>
        <w:t xml:space="preserve"> Article 41 imposes two conditions for an award of just satisfaction. First, a violation of the Convention </w:t>
      </w:r>
      <w:proofErr w:type="gramStart"/>
      <w:r w:rsidRPr="003821DA">
        <w:rPr>
          <w:rFonts w:eastAsia="Noteworthy-Light"/>
        </w:rPr>
        <w:t>must be found</w:t>
      </w:r>
      <w:proofErr w:type="gramEnd"/>
      <w:r w:rsidRPr="003821DA">
        <w:rPr>
          <w:rFonts w:eastAsia="Noteworthy-Light"/>
        </w:rPr>
        <w:t xml:space="preserve">, which in the instant case is undisputed; and second, </w:t>
      </w:r>
      <w:r w:rsidRPr="003821DA">
        <w:rPr>
          <w:rFonts w:eastAsia="Batang"/>
          <w:lang w:eastAsia="ko-KR"/>
        </w:rPr>
        <w:t>it must be impossible for the applicants to receive full redress in the national system</w:t>
      </w:r>
      <w:r w:rsidRPr="003821DA">
        <w:rPr>
          <w:rFonts w:eastAsia="Noteworthy-Light"/>
        </w:rPr>
        <w:t xml:space="preserve">. This second condition </w:t>
      </w:r>
      <w:proofErr w:type="gramStart"/>
      <w:r w:rsidRPr="003821DA">
        <w:rPr>
          <w:rFonts w:eastAsia="Noteworthy-Light"/>
        </w:rPr>
        <w:t>is also met</w:t>
      </w:r>
      <w:proofErr w:type="gramEnd"/>
      <w:r w:rsidRPr="003821DA">
        <w:rPr>
          <w:rFonts w:eastAsia="Noteworthy-Light"/>
        </w:rPr>
        <w:t xml:space="preserve"> in the case at hand, as the Court found Russia </w:t>
      </w:r>
      <w:r w:rsidRPr="003821DA">
        <w:rPr>
          <w:rFonts w:eastAsia="Batang"/>
          <w:lang w:eastAsia="ko-KR"/>
        </w:rPr>
        <w:t>to have breached</w:t>
      </w:r>
      <w:r w:rsidRPr="003821DA">
        <w:rPr>
          <w:rFonts w:eastAsia="Noteworthy-Light"/>
        </w:rPr>
        <w:t xml:space="preserve"> Article 13 of the Convention for not providing any effective remedy </w:t>
      </w:r>
      <w:r w:rsidRPr="003821DA">
        <w:rPr>
          <w:rFonts w:eastAsia="Batang"/>
          <w:lang w:eastAsia="ko-KR"/>
        </w:rPr>
        <w:t>for the</w:t>
      </w:r>
      <w:r w:rsidRPr="003821DA">
        <w:rPr>
          <w:rFonts w:eastAsia="Noteworthy-Light"/>
        </w:rPr>
        <w:t xml:space="preserve"> Article 8</w:t>
      </w:r>
      <w:r w:rsidRPr="003821DA">
        <w:rPr>
          <w:rFonts w:eastAsia="Batang"/>
          <w:lang w:eastAsia="ko-KR"/>
        </w:rPr>
        <w:t xml:space="preserve"> violation</w:t>
      </w:r>
      <w:r w:rsidRPr="003821DA">
        <w:rPr>
          <w:rFonts w:eastAsia="Noteworthy-Light"/>
        </w:rPr>
        <w:t>.</w:t>
      </w:r>
      <w:r w:rsidRPr="003821DA">
        <w:rPr>
          <w:rFonts w:eastAsia="Batang"/>
          <w:lang w:eastAsia="ko-KR"/>
        </w:rPr>
        <w:t xml:space="preserve"> </w:t>
      </w:r>
      <w:r w:rsidRPr="003821DA">
        <w:rPr>
          <w:rFonts w:eastAsia="Noteworthy-Light"/>
        </w:rPr>
        <w:t xml:space="preserve">Therefore, we cannot but agree with Judge </w:t>
      </w:r>
      <w:proofErr w:type="spellStart"/>
      <w:r w:rsidRPr="003821DA">
        <w:rPr>
          <w:rFonts w:eastAsia="Noteworthy-Light"/>
        </w:rPr>
        <w:t>Bonello</w:t>
      </w:r>
      <w:r w:rsidRPr="003821DA" w:rsidR="003821DA">
        <w:rPr>
          <w:rFonts w:eastAsia="Noteworthy-Light"/>
        </w:rPr>
        <w:t>’</w:t>
      </w:r>
      <w:r w:rsidRPr="003821DA">
        <w:rPr>
          <w:rFonts w:eastAsia="Noteworthy-Light"/>
        </w:rPr>
        <w:t>s</w:t>
      </w:r>
      <w:proofErr w:type="spellEnd"/>
      <w:r w:rsidRPr="003821DA">
        <w:rPr>
          <w:rFonts w:eastAsia="Noteworthy-Light"/>
        </w:rPr>
        <w:t xml:space="preserve"> conclusion in his dissenting opinion in </w:t>
      </w:r>
      <w:r w:rsidRPr="003821DA">
        <w:rPr>
          <w:rFonts w:eastAsia="Noteworthy-Light"/>
          <w:i/>
        </w:rPr>
        <w:t>Nikolova</w:t>
      </w:r>
      <w:r w:rsidRPr="003821DA">
        <w:rPr>
          <w:rFonts w:eastAsia="Noteworthy-Light"/>
        </w:rPr>
        <w:t>:</w:t>
      </w:r>
    </w:p>
    <w:p w:rsidRPr="003821DA" w:rsidR="004811F1" w:rsidP="003821DA" w:rsidRDefault="004811F1">
      <w:pPr>
        <w:pStyle w:val="OpiQuot"/>
        <w:rPr>
          <w:rFonts w:eastAsia="Noteworthy-Light"/>
        </w:rPr>
      </w:pPr>
      <w:r w:rsidRPr="003821DA">
        <w:rPr>
          <w:rFonts w:eastAsia="Noteworthy-Light"/>
        </w:rPr>
        <w:t xml:space="preserve">“In cases like the present one, in which the internal law provides for no satisfaction at all, the </w:t>
      </w:r>
      <w:r w:rsidRPr="003821DA" w:rsidR="003821DA">
        <w:rPr>
          <w:rFonts w:eastAsia="Noteworthy-Light"/>
        </w:rPr>
        <w:t>‘</w:t>
      </w:r>
      <w:r w:rsidRPr="003821DA">
        <w:rPr>
          <w:rFonts w:eastAsia="Noteworthy-Light"/>
        </w:rPr>
        <w:t>if necessary</w:t>
      </w:r>
      <w:r w:rsidRPr="003821DA" w:rsidR="003821DA">
        <w:rPr>
          <w:rFonts w:eastAsia="Noteworthy-Light"/>
        </w:rPr>
        <w:t>’</w:t>
      </w:r>
      <w:r w:rsidRPr="003821DA">
        <w:rPr>
          <w:rFonts w:eastAsia="Noteworthy-Light"/>
        </w:rPr>
        <w:t xml:space="preserve"> condition [from the wording of Article 41] becomes irrelevant and the Convention leaves the Court no discretion at all as to whether to award compensation or not.”</w:t>
      </w:r>
    </w:p>
    <w:p w:rsidRPr="003821DA" w:rsidR="004811F1" w:rsidP="003821DA" w:rsidRDefault="004811F1">
      <w:pPr>
        <w:pStyle w:val="OpiPara"/>
        <w:rPr>
          <w:rFonts w:eastAsia="Noteworthy-Light"/>
        </w:rPr>
      </w:pPr>
      <w:r w:rsidRPr="003821DA">
        <w:rPr>
          <w:rFonts w:eastAsia="Noteworthy-Light"/>
        </w:rPr>
        <w:fldChar w:fldCharType="begin"/>
      </w:r>
      <w:r w:rsidRPr="003821DA">
        <w:rPr>
          <w:rFonts w:eastAsia="Noteworthy-Light"/>
        </w:rPr>
        <w:instrText xml:space="preserve"> SEQ level0 \*arabic </w:instrText>
      </w:r>
      <w:r w:rsidRPr="003821DA">
        <w:rPr>
          <w:rFonts w:eastAsia="Noteworthy-Light"/>
        </w:rPr>
        <w:fldChar w:fldCharType="separate"/>
      </w:r>
      <w:r w:rsidRPr="003821DA" w:rsidR="003821DA">
        <w:rPr>
          <w:rFonts w:eastAsia="Noteworthy-Light"/>
          <w:noProof/>
        </w:rPr>
        <w:t>7</w:t>
      </w:r>
      <w:r w:rsidRPr="003821DA">
        <w:rPr>
          <w:rFonts w:eastAsia="Noteworthy-Light"/>
        </w:rPr>
        <w:fldChar w:fldCharType="end"/>
      </w:r>
      <w:r w:rsidRPr="003821DA">
        <w:rPr>
          <w:rFonts w:eastAsia="Noteworthy-Light"/>
        </w:rPr>
        <w:t>.  For</w:t>
      </w:r>
      <w:r w:rsidRPr="003821DA">
        <w:rPr>
          <w:rFonts w:eastAsia="Batang"/>
          <w:lang w:eastAsia="ko-KR"/>
        </w:rPr>
        <w:t xml:space="preserve"> the reasons set out above,</w:t>
      </w:r>
      <w:r w:rsidRPr="003821DA">
        <w:rPr>
          <w:rFonts w:eastAsia="Noteworthy-Light"/>
        </w:rPr>
        <w:t xml:space="preserve"> the Court should have granted full justice to the applicants by awarding them a sum for non-pecuniary damage, regardless of the broader, systemic effects of the Article 8 violation.</w:t>
      </w:r>
    </w:p>
    <w:p w:rsidRPr="003821DA" w:rsidR="00DF688F" w:rsidP="003821DA" w:rsidRDefault="00DF688F">
      <w:pPr>
        <w:pStyle w:val="ECHRPara"/>
      </w:pPr>
    </w:p>
    <w:p w:rsidRPr="003821DA" w:rsidR="00D46846" w:rsidP="003821DA" w:rsidRDefault="00D46846">
      <w:pPr>
        <w:pStyle w:val="ECHRPara"/>
        <w:sectPr w:rsidRPr="003821DA" w:rsidR="00D46846" w:rsidSect="00DF688F">
          <w:headerReference w:type="even" r:id="rId21"/>
          <w:headerReference w:type="default" r:id="rId22"/>
          <w:footnotePr>
            <w:numRestart w:val="eachSect"/>
          </w:footnotePr>
          <w:pgSz w:w="11906" w:h="16838" w:code="9"/>
          <w:pgMar w:top="2274" w:right="2274" w:bottom="1985" w:left="2274" w:header="1701" w:footer="720" w:gutter="0"/>
          <w:cols w:space="720"/>
          <w:docGrid w:linePitch="326"/>
        </w:sectPr>
      </w:pPr>
    </w:p>
    <w:p w:rsidRPr="003821DA" w:rsidR="00CE2385" w:rsidP="003821DA" w:rsidRDefault="00CE2385">
      <w:pPr>
        <w:pStyle w:val="JuList"/>
        <w:jc w:val="center"/>
      </w:pPr>
      <w:r w:rsidRPr="003821DA">
        <w:t>APPENDIX</w:t>
      </w:r>
    </w:p>
    <w:p w:rsidRPr="003821DA" w:rsidR="00CE2385" w:rsidP="003821DA" w:rsidRDefault="00CE2385">
      <w:pPr>
        <w:pStyle w:val="ECHRPara"/>
        <w:jc w:val="center"/>
      </w:pPr>
      <w:r w:rsidRPr="003821DA">
        <w:t>List of applications</w:t>
      </w:r>
    </w:p>
    <w:p w:rsidRPr="003821DA" w:rsidR="00CE2385" w:rsidP="003821DA" w:rsidRDefault="00CE2385">
      <w:pPr>
        <w:pStyle w:val="ECHRPara"/>
      </w:pPr>
    </w:p>
    <w:p w:rsidRPr="003821DA" w:rsidR="00CE2385" w:rsidP="003821DA" w:rsidRDefault="00CE2385">
      <w:pPr>
        <w:pStyle w:val="ECHRPara"/>
      </w:pPr>
      <w:r w:rsidRPr="003821DA">
        <w:t xml:space="preserve">1.  27057/06 </w:t>
      </w:r>
      <w:proofErr w:type="spellStart"/>
      <w:r w:rsidRPr="003821DA">
        <w:t>Gorlov</w:t>
      </w:r>
      <w:proofErr w:type="spellEnd"/>
      <w:r w:rsidRPr="003821DA">
        <w:t xml:space="preserve"> v. Russia</w:t>
      </w:r>
    </w:p>
    <w:p w:rsidRPr="003821DA" w:rsidR="00CE2385" w:rsidP="003821DA" w:rsidRDefault="00CE2385">
      <w:pPr>
        <w:pStyle w:val="ECHRPara"/>
      </w:pPr>
      <w:r w:rsidRPr="003821DA">
        <w:t xml:space="preserve">2.  56443/09 </w:t>
      </w:r>
      <w:proofErr w:type="spellStart"/>
      <w:r w:rsidRPr="003821DA">
        <w:t>Vakhmistrov</w:t>
      </w:r>
      <w:proofErr w:type="spellEnd"/>
      <w:r w:rsidRPr="003821DA">
        <w:t xml:space="preserve"> v. Russia</w:t>
      </w:r>
    </w:p>
    <w:p w:rsidRPr="003821DA" w:rsidR="00CE2385" w:rsidP="003821DA" w:rsidRDefault="00CE2385">
      <w:pPr>
        <w:pStyle w:val="ECHRPara"/>
      </w:pPr>
      <w:r w:rsidRPr="003821DA">
        <w:t xml:space="preserve">3.  25147/14 </w:t>
      </w:r>
      <w:proofErr w:type="spellStart"/>
      <w:r w:rsidRPr="003821DA">
        <w:t>Sablin</w:t>
      </w:r>
      <w:proofErr w:type="spellEnd"/>
      <w:r w:rsidRPr="003821DA">
        <w:t xml:space="preserve"> v. Russia</w:t>
      </w:r>
    </w:p>
    <w:p w:rsidRPr="003821DA" w:rsidR="00CE2385" w:rsidP="003821DA" w:rsidRDefault="00CE2385">
      <w:pPr>
        <w:pStyle w:val="JuParaLast"/>
      </w:pPr>
    </w:p>
    <w:p w:rsidRPr="003821DA" w:rsidR="00DF688F" w:rsidP="003821DA" w:rsidRDefault="00DF688F">
      <w:pPr>
        <w:pStyle w:val="ECHRPara"/>
      </w:pPr>
    </w:p>
    <w:sectPr w:rsidRPr="003821DA" w:rsidR="00DF688F" w:rsidSect="00DF688F">
      <w:headerReference w:type="even" r:id="rId23"/>
      <w:headerReference w:type="default" r:id="rId24"/>
      <w:footnotePr>
        <w:numRestart w:val="eachSect"/>
      </w:footnotePr>
      <w:pgSz w:w="11906" w:h="16838" w:code="9"/>
      <w:pgMar w:top="2274" w:right="2274" w:bottom="1985"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40" w:rsidRPr="003152BA" w:rsidRDefault="00980740" w:rsidP="00014566">
      <w:r w:rsidRPr="003152BA">
        <w:separator/>
      </w:r>
    </w:p>
  </w:endnote>
  <w:endnote w:type="continuationSeparator" w:id="0">
    <w:p w:rsidR="00980740" w:rsidRPr="003152BA" w:rsidRDefault="00980740"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eworthy-Ligh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150BFA" w:rsidRDefault="00980740" w:rsidP="00E657D0">
    <w:pPr>
      <w:jc w:val="center"/>
    </w:pPr>
    <w:r>
      <w:rPr>
        <w:noProof/>
        <w:lang w:val="en-US" w:eastAsia="ja-JP"/>
      </w:rPr>
      <w:drawing>
        <wp:inline distT="0" distB="0" distL="0" distR="0" wp14:anchorId="6B1285C8" wp14:editId="40A3291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0740" w:rsidRDefault="0098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40" w:rsidRPr="003152BA" w:rsidRDefault="00980740" w:rsidP="00014566">
      <w:r w:rsidRPr="003152BA">
        <w:separator/>
      </w:r>
    </w:p>
  </w:footnote>
  <w:footnote w:type="continuationSeparator" w:id="0">
    <w:p w:rsidR="00980740" w:rsidRPr="003152BA" w:rsidRDefault="00980740" w:rsidP="00014566">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7805A2" w:rsidRDefault="00980740" w:rsidP="007805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A45145" w:rsidRDefault="00980740" w:rsidP="00E657D0">
    <w:pPr>
      <w:jc w:val="center"/>
    </w:pPr>
    <w:r>
      <w:rPr>
        <w:noProof/>
        <w:lang w:val="en-US" w:eastAsia="ja-JP"/>
      </w:rPr>
      <w:drawing>
        <wp:inline distT="0" distB="0" distL="0" distR="0" wp14:anchorId="34C19DE2" wp14:editId="02D2C66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0740" w:rsidRDefault="00980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E1489">
      <w:rPr>
        <w:rStyle w:val="PageNumber"/>
        <w:noProof/>
        <w:szCs w:val="18"/>
      </w:rPr>
      <w:t>30</w:t>
    </w:r>
    <w:r>
      <w:rPr>
        <w:rStyle w:val="PageNumber"/>
        <w:szCs w:val="18"/>
      </w:rPr>
      <w:fldChar w:fldCharType="end"/>
    </w:r>
    <w:r w:rsidRPr="003152BA">
      <w:tab/>
    </w:r>
    <w:r>
      <w:t>GORLOV AND OTHERS v. RUSSIA</w:t>
    </w:r>
    <w:r w:rsidRPr="003152BA">
      <w:t xml:space="preserve"> – </w:t>
    </w:r>
    <w:r>
      <w:rPr>
        <w:noProof/>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D60D87">
    <w:pPr>
      <w:pStyle w:val="ECHRHeader"/>
    </w:pPr>
    <w:r w:rsidRPr="003152BA">
      <w:tab/>
    </w:r>
    <w:r>
      <w:t>GORLOV AND OTHERS v. RUSSIA</w:t>
    </w:r>
    <w:r w:rsidRPr="003152BA">
      <w:t xml:space="preserve"> – </w:t>
    </w:r>
    <w:r>
      <w:rPr>
        <w:noProof/>
      </w:rP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4E1489">
      <w:rPr>
        <w:rStyle w:val="PageNumber"/>
        <w:noProof/>
        <w:szCs w:val="18"/>
      </w:rPr>
      <w:t>1</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4E1489">
      <w:rPr>
        <w:rStyle w:val="PageNumber"/>
        <w:noProof/>
        <w:szCs w:val="18"/>
      </w:rPr>
      <w:t>32</w:t>
    </w:r>
    <w:r>
      <w:rPr>
        <w:rStyle w:val="PageNumber"/>
        <w:szCs w:val="18"/>
      </w:rPr>
      <w:fldChar w:fldCharType="end"/>
    </w:r>
    <w:r w:rsidRPr="003152BA">
      <w:tab/>
    </w:r>
    <w:r>
      <w:t>GORLOV AND OTHERS v. RUSSIA</w:t>
    </w:r>
    <w:r w:rsidRPr="003152BA">
      <w:t xml:space="preserve"> – </w:t>
    </w:r>
    <w:r>
      <w:rPr>
        <w:noProof/>
      </w:rPr>
      <w:t>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 w:val="right" w:pos="7370"/>
      </w:tabs>
    </w:pPr>
    <w:r w:rsidRPr="003152BA">
      <w:tab/>
    </w:r>
    <w:r>
      <w:t>GORLOV AND OTHERS v. RUSSIA</w:t>
    </w:r>
    <w:r w:rsidRPr="003152BA">
      <w:t xml:space="preserve"> – </w:t>
    </w:r>
    <w:r>
      <w:rPr>
        <w:noProof/>
      </w:rPr>
      <w:t>JUDGMENT - SEPARATE OPINION</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4E1489">
      <w:rPr>
        <w:rStyle w:val="PageNumber"/>
        <w:noProof/>
        <w:szCs w:val="18"/>
      </w:rPr>
      <w:t>33</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4E1489">
      <w:rPr>
        <w:rStyle w:val="PageNumber"/>
        <w:noProof/>
        <w:szCs w:val="18"/>
      </w:rPr>
      <w:t>34</w:t>
    </w:r>
    <w:r>
      <w:rPr>
        <w:rStyle w:val="PageNumber"/>
        <w:szCs w:val="18"/>
      </w:rPr>
      <w:fldChar w:fldCharType="end"/>
    </w:r>
    <w:r w:rsidRPr="003152BA">
      <w:tab/>
    </w:r>
    <w:r>
      <w:t>GORLOV AND OTHERS v. RUSSIA</w:t>
    </w:r>
    <w:r w:rsidRPr="003152BA">
      <w:t xml:space="preserve"> – </w:t>
    </w:r>
    <w:r>
      <w:rPr>
        <w:noProof/>
      </w:rPr>
      <w:t xml:space="preserve">JUDGMENT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40" w:rsidRPr="003152BA" w:rsidRDefault="00980740" w:rsidP="00104AE4">
    <w:pPr>
      <w:pStyle w:val="ECHRHeader"/>
      <w:tabs>
        <w:tab w:val="clear" w:pos="3686"/>
        <w:tab w:val="clear" w:pos="7371"/>
        <w:tab w:val="center" w:pos="3685"/>
        <w:tab w:val="right" w:pos="7370"/>
      </w:tabs>
    </w:pPr>
    <w:r w:rsidRPr="003152BA">
      <w:tab/>
    </w:r>
    <w:r>
      <w:t>GORLOV AND OTHERS v. RUSSIA</w:t>
    </w:r>
    <w:r w:rsidRPr="003152BA">
      <w:t xml:space="preserve"> – </w:t>
    </w:r>
    <w:r>
      <w:rPr>
        <w:noProof/>
      </w:rP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5F358C"/>
    <w:rsid w:val="00000067"/>
    <w:rsid w:val="000010ED"/>
    <w:rsid w:val="00002120"/>
    <w:rsid w:val="000041F8"/>
    <w:rsid w:val="000042A8"/>
    <w:rsid w:val="00004308"/>
    <w:rsid w:val="00005BF0"/>
    <w:rsid w:val="00005C53"/>
    <w:rsid w:val="00007154"/>
    <w:rsid w:val="000103AE"/>
    <w:rsid w:val="00011D69"/>
    <w:rsid w:val="000125DB"/>
    <w:rsid w:val="00012AD3"/>
    <w:rsid w:val="00014566"/>
    <w:rsid w:val="00014D42"/>
    <w:rsid w:val="00015C2D"/>
    <w:rsid w:val="00015F00"/>
    <w:rsid w:val="0001704D"/>
    <w:rsid w:val="000176C7"/>
    <w:rsid w:val="00022676"/>
    <w:rsid w:val="00022C1D"/>
    <w:rsid w:val="000251C0"/>
    <w:rsid w:val="0002758D"/>
    <w:rsid w:val="00027B30"/>
    <w:rsid w:val="0003169B"/>
    <w:rsid w:val="0003469C"/>
    <w:rsid w:val="00034987"/>
    <w:rsid w:val="000350E3"/>
    <w:rsid w:val="0003765F"/>
    <w:rsid w:val="00045764"/>
    <w:rsid w:val="0005241C"/>
    <w:rsid w:val="000543C5"/>
    <w:rsid w:val="00054436"/>
    <w:rsid w:val="00054FEE"/>
    <w:rsid w:val="000555CD"/>
    <w:rsid w:val="000570A1"/>
    <w:rsid w:val="00057E52"/>
    <w:rsid w:val="000602DF"/>
    <w:rsid w:val="00061B05"/>
    <w:rsid w:val="00061BD0"/>
    <w:rsid w:val="00062973"/>
    <w:rsid w:val="00062D5D"/>
    <w:rsid w:val="000632D5"/>
    <w:rsid w:val="000644EE"/>
    <w:rsid w:val="00065282"/>
    <w:rsid w:val="00066F84"/>
    <w:rsid w:val="00071ABC"/>
    <w:rsid w:val="0007551D"/>
    <w:rsid w:val="00075BEE"/>
    <w:rsid w:val="00076103"/>
    <w:rsid w:val="000803BB"/>
    <w:rsid w:val="000822BB"/>
    <w:rsid w:val="0008244D"/>
    <w:rsid w:val="00082AE1"/>
    <w:rsid w:val="00084094"/>
    <w:rsid w:val="000856D7"/>
    <w:rsid w:val="000877BD"/>
    <w:rsid w:val="00087D85"/>
    <w:rsid w:val="000902AD"/>
    <w:rsid w:val="000925AD"/>
    <w:rsid w:val="00092C61"/>
    <w:rsid w:val="00093C97"/>
    <w:rsid w:val="000955FE"/>
    <w:rsid w:val="000961AC"/>
    <w:rsid w:val="000964AE"/>
    <w:rsid w:val="000A24EB"/>
    <w:rsid w:val="000A2956"/>
    <w:rsid w:val="000A2C87"/>
    <w:rsid w:val="000A2F4A"/>
    <w:rsid w:val="000A5A04"/>
    <w:rsid w:val="000A7FC0"/>
    <w:rsid w:val="000B15F3"/>
    <w:rsid w:val="000B2E58"/>
    <w:rsid w:val="000B4167"/>
    <w:rsid w:val="000B5835"/>
    <w:rsid w:val="000B6923"/>
    <w:rsid w:val="000C033C"/>
    <w:rsid w:val="000C5C29"/>
    <w:rsid w:val="000C5C96"/>
    <w:rsid w:val="000C5F3C"/>
    <w:rsid w:val="000C6715"/>
    <w:rsid w:val="000C68A0"/>
    <w:rsid w:val="000C6DCC"/>
    <w:rsid w:val="000C6DFE"/>
    <w:rsid w:val="000D32E4"/>
    <w:rsid w:val="000D3D87"/>
    <w:rsid w:val="000D47AA"/>
    <w:rsid w:val="000D4ADE"/>
    <w:rsid w:val="000D62C2"/>
    <w:rsid w:val="000D721F"/>
    <w:rsid w:val="000E069B"/>
    <w:rsid w:val="000E0D8B"/>
    <w:rsid w:val="000E0E82"/>
    <w:rsid w:val="000E1DC5"/>
    <w:rsid w:val="000E21B7"/>
    <w:rsid w:val="000E223F"/>
    <w:rsid w:val="000E2C8A"/>
    <w:rsid w:val="000E35AC"/>
    <w:rsid w:val="000E46BF"/>
    <w:rsid w:val="000E7D45"/>
    <w:rsid w:val="000F15B2"/>
    <w:rsid w:val="000F338C"/>
    <w:rsid w:val="000F384F"/>
    <w:rsid w:val="000F7357"/>
    <w:rsid w:val="000F741E"/>
    <w:rsid w:val="000F7851"/>
    <w:rsid w:val="001023FC"/>
    <w:rsid w:val="00102525"/>
    <w:rsid w:val="00102B50"/>
    <w:rsid w:val="00103B73"/>
    <w:rsid w:val="00104AE4"/>
    <w:rsid w:val="00104E23"/>
    <w:rsid w:val="00104EAB"/>
    <w:rsid w:val="00105AC3"/>
    <w:rsid w:val="00105B88"/>
    <w:rsid w:val="00107DBB"/>
    <w:rsid w:val="00111B0C"/>
    <w:rsid w:val="00111C4B"/>
    <w:rsid w:val="0011264E"/>
    <w:rsid w:val="00112AEC"/>
    <w:rsid w:val="00114401"/>
    <w:rsid w:val="00114A1E"/>
    <w:rsid w:val="00114C04"/>
    <w:rsid w:val="00120D6C"/>
    <w:rsid w:val="001215B6"/>
    <w:rsid w:val="00123A44"/>
    <w:rsid w:val="00123B64"/>
    <w:rsid w:val="001256E0"/>
    <w:rsid w:val="001257EC"/>
    <w:rsid w:val="00125A0D"/>
    <w:rsid w:val="001268AA"/>
    <w:rsid w:val="00126A7F"/>
    <w:rsid w:val="00132C6A"/>
    <w:rsid w:val="00133D33"/>
    <w:rsid w:val="00134B02"/>
    <w:rsid w:val="00134D64"/>
    <w:rsid w:val="00135A30"/>
    <w:rsid w:val="00135B89"/>
    <w:rsid w:val="0013612C"/>
    <w:rsid w:val="001374EF"/>
    <w:rsid w:val="00137FF6"/>
    <w:rsid w:val="00141650"/>
    <w:rsid w:val="00145491"/>
    <w:rsid w:val="001457D8"/>
    <w:rsid w:val="00146060"/>
    <w:rsid w:val="0015114F"/>
    <w:rsid w:val="0015214B"/>
    <w:rsid w:val="00152D72"/>
    <w:rsid w:val="00153ED0"/>
    <w:rsid w:val="00157A1E"/>
    <w:rsid w:val="00162A0D"/>
    <w:rsid w:val="00162A12"/>
    <w:rsid w:val="00162A25"/>
    <w:rsid w:val="00164AD0"/>
    <w:rsid w:val="00164F64"/>
    <w:rsid w:val="00165A54"/>
    <w:rsid w:val="00166530"/>
    <w:rsid w:val="00166F5B"/>
    <w:rsid w:val="00171683"/>
    <w:rsid w:val="00171C86"/>
    <w:rsid w:val="001753BC"/>
    <w:rsid w:val="0017729F"/>
    <w:rsid w:val="001832BD"/>
    <w:rsid w:val="00184503"/>
    <w:rsid w:val="0018649F"/>
    <w:rsid w:val="00186B4E"/>
    <w:rsid w:val="00187BB9"/>
    <w:rsid w:val="00191548"/>
    <w:rsid w:val="00193708"/>
    <w:rsid w:val="001943B5"/>
    <w:rsid w:val="00195134"/>
    <w:rsid w:val="001A00A7"/>
    <w:rsid w:val="001A145B"/>
    <w:rsid w:val="001A1B8B"/>
    <w:rsid w:val="001A3909"/>
    <w:rsid w:val="001A4A8E"/>
    <w:rsid w:val="001A4F37"/>
    <w:rsid w:val="001A50BB"/>
    <w:rsid w:val="001A674C"/>
    <w:rsid w:val="001A68FF"/>
    <w:rsid w:val="001A7F6A"/>
    <w:rsid w:val="001B0E12"/>
    <w:rsid w:val="001B1164"/>
    <w:rsid w:val="001B3B24"/>
    <w:rsid w:val="001B437E"/>
    <w:rsid w:val="001B4B57"/>
    <w:rsid w:val="001B59FB"/>
    <w:rsid w:val="001B6AB2"/>
    <w:rsid w:val="001B7703"/>
    <w:rsid w:val="001C04A7"/>
    <w:rsid w:val="001C0F98"/>
    <w:rsid w:val="001C2A42"/>
    <w:rsid w:val="001C4A76"/>
    <w:rsid w:val="001C50A0"/>
    <w:rsid w:val="001C7DF7"/>
    <w:rsid w:val="001D11E7"/>
    <w:rsid w:val="001D1E56"/>
    <w:rsid w:val="001D36D2"/>
    <w:rsid w:val="001D3847"/>
    <w:rsid w:val="001D501E"/>
    <w:rsid w:val="001D63ED"/>
    <w:rsid w:val="001D7348"/>
    <w:rsid w:val="001E035B"/>
    <w:rsid w:val="001E0961"/>
    <w:rsid w:val="001E0B50"/>
    <w:rsid w:val="001E3EAE"/>
    <w:rsid w:val="001E4DFE"/>
    <w:rsid w:val="001E5348"/>
    <w:rsid w:val="001E6F32"/>
    <w:rsid w:val="001F0392"/>
    <w:rsid w:val="001F2145"/>
    <w:rsid w:val="001F459B"/>
    <w:rsid w:val="001F47AA"/>
    <w:rsid w:val="001F539D"/>
    <w:rsid w:val="001F6262"/>
    <w:rsid w:val="001F67B0"/>
    <w:rsid w:val="001F6A7E"/>
    <w:rsid w:val="001F7B3D"/>
    <w:rsid w:val="001F7F34"/>
    <w:rsid w:val="0020032C"/>
    <w:rsid w:val="002007BA"/>
    <w:rsid w:val="00201A82"/>
    <w:rsid w:val="0020261E"/>
    <w:rsid w:val="00204173"/>
    <w:rsid w:val="00204292"/>
    <w:rsid w:val="00205F9F"/>
    <w:rsid w:val="002060C8"/>
    <w:rsid w:val="002071F3"/>
    <w:rsid w:val="00210338"/>
    <w:rsid w:val="002115FC"/>
    <w:rsid w:val="00212899"/>
    <w:rsid w:val="00212F5B"/>
    <w:rsid w:val="002133F8"/>
    <w:rsid w:val="00213764"/>
    <w:rsid w:val="0021423C"/>
    <w:rsid w:val="00216E3D"/>
    <w:rsid w:val="00216E66"/>
    <w:rsid w:val="002204DA"/>
    <w:rsid w:val="00224A9B"/>
    <w:rsid w:val="00226D14"/>
    <w:rsid w:val="00230D00"/>
    <w:rsid w:val="00231DF7"/>
    <w:rsid w:val="00231FD1"/>
    <w:rsid w:val="002323BD"/>
    <w:rsid w:val="00232F0A"/>
    <w:rsid w:val="00232FBC"/>
    <w:rsid w:val="002339E0"/>
    <w:rsid w:val="00233CF8"/>
    <w:rsid w:val="00234EC4"/>
    <w:rsid w:val="0023575D"/>
    <w:rsid w:val="00237148"/>
    <w:rsid w:val="00241E3D"/>
    <w:rsid w:val="0024222D"/>
    <w:rsid w:val="0024297A"/>
    <w:rsid w:val="002439C5"/>
    <w:rsid w:val="00244024"/>
    <w:rsid w:val="002449C2"/>
    <w:rsid w:val="00244B0E"/>
    <w:rsid w:val="00244C9C"/>
    <w:rsid w:val="00244F6C"/>
    <w:rsid w:val="00245129"/>
    <w:rsid w:val="00246159"/>
    <w:rsid w:val="002463AA"/>
    <w:rsid w:val="00247622"/>
    <w:rsid w:val="00251061"/>
    <w:rsid w:val="00252897"/>
    <w:rsid w:val="002532C5"/>
    <w:rsid w:val="0025337B"/>
    <w:rsid w:val="0025387B"/>
    <w:rsid w:val="00254291"/>
    <w:rsid w:val="0025636E"/>
    <w:rsid w:val="00256791"/>
    <w:rsid w:val="00257262"/>
    <w:rsid w:val="002602F4"/>
    <w:rsid w:val="00260442"/>
    <w:rsid w:val="00260C03"/>
    <w:rsid w:val="00261440"/>
    <w:rsid w:val="00262FEF"/>
    <w:rsid w:val="002632DC"/>
    <w:rsid w:val="0026540E"/>
    <w:rsid w:val="00265F10"/>
    <w:rsid w:val="0027076D"/>
    <w:rsid w:val="00271B22"/>
    <w:rsid w:val="0027225C"/>
    <w:rsid w:val="00275123"/>
    <w:rsid w:val="00275478"/>
    <w:rsid w:val="002809DC"/>
    <w:rsid w:val="00280F3F"/>
    <w:rsid w:val="00282240"/>
    <w:rsid w:val="00284349"/>
    <w:rsid w:val="00284690"/>
    <w:rsid w:val="00284AAF"/>
    <w:rsid w:val="0028572A"/>
    <w:rsid w:val="0029190F"/>
    <w:rsid w:val="00291E27"/>
    <w:rsid w:val="002948AD"/>
    <w:rsid w:val="00294C05"/>
    <w:rsid w:val="00294C92"/>
    <w:rsid w:val="002A01CC"/>
    <w:rsid w:val="002A1DB7"/>
    <w:rsid w:val="002A4BE1"/>
    <w:rsid w:val="002A5705"/>
    <w:rsid w:val="002A5B94"/>
    <w:rsid w:val="002A61B1"/>
    <w:rsid w:val="002A663C"/>
    <w:rsid w:val="002A6B7A"/>
    <w:rsid w:val="002A7EE8"/>
    <w:rsid w:val="002B00A1"/>
    <w:rsid w:val="002B0191"/>
    <w:rsid w:val="002B0988"/>
    <w:rsid w:val="002B1E6C"/>
    <w:rsid w:val="002B2D17"/>
    <w:rsid w:val="002B3A7E"/>
    <w:rsid w:val="002B444B"/>
    <w:rsid w:val="002B4A85"/>
    <w:rsid w:val="002B4D8D"/>
    <w:rsid w:val="002B5887"/>
    <w:rsid w:val="002C04D9"/>
    <w:rsid w:val="002C0692"/>
    <w:rsid w:val="002C0E27"/>
    <w:rsid w:val="002C2A91"/>
    <w:rsid w:val="002C3040"/>
    <w:rsid w:val="002C3512"/>
    <w:rsid w:val="002D022D"/>
    <w:rsid w:val="002D24BB"/>
    <w:rsid w:val="002D2C3C"/>
    <w:rsid w:val="002D55F3"/>
    <w:rsid w:val="002D5AD6"/>
    <w:rsid w:val="002D7BF7"/>
    <w:rsid w:val="002E0964"/>
    <w:rsid w:val="002E1761"/>
    <w:rsid w:val="002E27AD"/>
    <w:rsid w:val="002E3CD6"/>
    <w:rsid w:val="002E4CEF"/>
    <w:rsid w:val="002E510B"/>
    <w:rsid w:val="002E7212"/>
    <w:rsid w:val="002F018E"/>
    <w:rsid w:val="002F0820"/>
    <w:rsid w:val="002F0A81"/>
    <w:rsid w:val="002F0F64"/>
    <w:rsid w:val="002F171B"/>
    <w:rsid w:val="002F2AF7"/>
    <w:rsid w:val="002F5DEA"/>
    <w:rsid w:val="002F7E1C"/>
    <w:rsid w:val="003013AA"/>
    <w:rsid w:val="00301994"/>
    <w:rsid w:val="00301A75"/>
    <w:rsid w:val="00301AD5"/>
    <w:rsid w:val="0030251F"/>
    <w:rsid w:val="003025F7"/>
    <w:rsid w:val="00302F70"/>
    <w:rsid w:val="0030336F"/>
    <w:rsid w:val="0030375E"/>
    <w:rsid w:val="003046BE"/>
    <w:rsid w:val="00304733"/>
    <w:rsid w:val="0030788D"/>
    <w:rsid w:val="0031102C"/>
    <w:rsid w:val="00312A30"/>
    <w:rsid w:val="00313FEE"/>
    <w:rsid w:val="003152BA"/>
    <w:rsid w:val="00315486"/>
    <w:rsid w:val="00315E58"/>
    <w:rsid w:val="00317E4D"/>
    <w:rsid w:val="0032028A"/>
    <w:rsid w:val="0032061B"/>
    <w:rsid w:val="00320F72"/>
    <w:rsid w:val="00321675"/>
    <w:rsid w:val="0032401A"/>
    <w:rsid w:val="0032463E"/>
    <w:rsid w:val="003247DD"/>
    <w:rsid w:val="00325DB5"/>
    <w:rsid w:val="00326224"/>
    <w:rsid w:val="0032676F"/>
    <w:rsid w:val="00327848"/>
    <w:rsid w:val="00331EAC"/>
    <w:rsid w:val="0033284F"/>
    <w:rsid w:val="003328C9"/>
    <w:rsid w:val="00337EE4"/>
    <w:rsid w:val="00340762"/>
    <w:rsid w:val="00340FFD"/>
    <w:rsid w:val="0034311E"/>
    <w:rsid w:val="00346C4D"/>
    <w:rsid w:val="0034727E"/>
    <w:rsid w:val="00347B05"/>
    <w:rsid w:val="003506B1"/>
    <w:rsid w:val="00350B0D"/>
    <w:rsid w:val="00350E66"/>
    <w:rsid w:val="00351A11"/>
    <w:rsid w:val="00352144"/>
    <w:rsid w:val="003538C6"/>
    <w:rsid w:val="00356AC7"/>
    <w:rsid w:val="00357E1B"/>
    <w:rsid w:val="003609FA"/>
    <w:rsid w:val="0036352D"/>
    <w:rsid w:val="003659C3"/>
    <w:rsid w:val="00366C97"/>
    <w:rsid w:val="003710C8"/>
    <w:rsid w:val="003716DB"/>
    <w:rsid w:val="00372C58"/>
    <w:rsid w:val="003750BE"/>
    <w:rsid w:val="0037607F"/>
    <w:rsid w:val="00377161"/>
    <w:rsid w:val="003772C7"/>
    <w:rsid w:val="0037749F"/>
    <w:rsid w:val="003779CA"/>
    <w:rsid w:val="00377BC1"/>
    <w:rsid w:val="00377ED9"/>
    <w:rsid w:val="003804E2"/>
    <w:rsid w:val="0038065A"/>
    <w:rsid w:val="00381BDA"/>
    <w:rsid w:val="003821DA"/>
    <w:rsid w:val="00382EC5"/>
    <w:rsid w:val="00383A4B"/>
    <w:rsid w:val="00383FFD"/>
    <w:rsid w:val="0038544F"/>
    <w:rsid w:val="00385FE4"/>
    <w:rsid w:val="00386A5B"/>
    <w:rsid w:val="00386AC6"/>
    <w:rsid w:val="00387B9D"/>
    <w:rsid w:val="00390074"/>
    <w:rsid w:val="0039145C"/>
    <w:rsid w:val="003915E0"/>
    <w:rsid w:val="00392161"/>
    <w:rsid w:val="003921F6"/>
    <w:rsid w:val="003924F6"/>
    <w:rsid w:val="0039364F"/>
    <w:rsid w:val="00393DF9"/>
    <w:rsid w:val="00394AC5"/>
    <w:rsid w:val="00395F1B"/>
    <w:rsid w:val="00396686"/>
    <w:rsid w:val="0039778E"/>
    <w:rsid w:val="003A441D"/>
    <w:rsid w:val="003A7A3E"/>
    <w:rsid w:val="003B17AC"/>
    <w:rsid w:val="003B2015"/>
    <w:rsid w:val="003B4536"/>
    <w:rsid w:val="003B4941"/>
    <w:rsid w:val="003B60CD"/>
    <w:rsid w:val="003B73AB"/>
    <w:rsid w:val="003C1276"/>
    <w:rsid w:val="003C2822"/>
    <w:rsid w:val="003C4472"/>
    <w:rsid w:val="003C570E"/>
    <w:rsid w:val="003C5714"/>
    <w:rsid w:val="003C69AE"/>
    <w:rsid w:val="003C6B9F"/>
    <w:rsid w:val="003C6E2A"/>
    <w:rsid w:val="003C7765"/>
    <w:rsid w:val="003C7956"/>
    <w:rsid w:val="003C7BF5"/>
    <w:rsid w:val="003D010E"/>
    <w:rsid w:val="003D0299"/>
    <w:rsid w:val="003D0AE9"/>
    <w:rsid w:val="003D12C4"/>
    <w:rsid w:val="003D1B99"/>
    <w:rsid w:val="003D4EFC"/>
    <w:rsid w:val="003D4F4C"/>
    <w:rsid w:val="003D6BBA"/>
    <w:rsid w:val="003D7F69"/>
    <w:rsid w:val="003E1AAF"/>
    <w:rsid w:val="003E1BDF"/>
    <w:rsid w:val="003E1FD3"/>
    <w:rsid w:val="003E428C"/>
    <w:rsid w:val="003E5007"/>
    <w:rsid w:val="003E683B"/>
    <w:rsid w:val="003E6D80"/>
    <w:rsid w:val="003E7F29"/>
    <w:rsid w:val="003F05FA"/>
    <w:rsid w:val="003F1C00"/>
    <w:rsid w:val="003F244A"/>
    <w:rsid w:val="003F30B8"/>
    <w:rsid w:val="003F48EC"/>
    <w:rsid w:val="003F49F9"/>
    <w:rsid w:val="003F4C45"/>
    <w:rsid w:val="003F5949"/>
    <w:rsid w:val="003F5F7B"/>
    <w:rsid w:val="003F6FBF"/>
    <w:rsid w:val="003F7D64"/>
    <w:rsid w:val="0040067B"/>
    <w:rsid w:val="00401198"/>
    <w:rsid w:val="00401A86"/>
    <w:rsid w:val="00402825"/>
    <w:rsid w:val="00402947"/>
    <w:rsid w:val="004103D1"/>
    <w:rsid w:val="00411C94"/>
    <w:rsid w:val="00411CF7"/>
    <w:rsid w:val="00412700"/>
    <w:rsid w:val="00414300"/>
    <w:rsid w:val="0041474A"/>
    <w:rsid w:val="00415EDF"/>
    <w:rsid w:val="00416568"/>
    <w:rsid w:val="00416C23"/>
    <w:rsid w:val="00417B22"/>
    <w:rsid w:val="00420929"/>
    <w:rsid w:val="00422CA1"/>
    <w:rsid w:val="00422E04"/>
    <w:rsid w:val="00423397"/>
    <w:rsid w:val="00423892"/>
    <w:rsid w:val="00425C67"/>
    <w:rsid w:val="00427882"/>
    <w:rsid w:val="00427E7A"/>
    <w:rsid w:val="004320DF"/>
    <w:rsid w:val="00432427"/>
    <w:rsid w:val="00433AB6"/>
    <w:rsid w:val="00436307"/>
    <w:rsid w:val="00436C49"/>
    <w:rsid w:val="00440766"/>
    <w:rsid w:val="00442294"/>
    <w:rsid w:val="00442988"/>
    <w:rsid w:val="00445366"/>
    <w:rsid w:val="00445D28"/>
    <w:rsid w:val="004469A9"/>
    <w:rsid w:val="00447F5B"/>
    <w:rsid w:val="0045045F"/>
    <w:rsid w:val="00450A48"/>
    <w:rsid w:val="00451C0B"/>
    <w:rsid w:val="00455387"/>
    <w:rsid w:val="00461508"/>
    <w:rsid w:val="00461DB0"/>
    <w:rsid w:val="00463926"/>
    <w:rsid w:val="00464097"/>
    <w:rsid w:val="004646E0"/>
    <w:rsid w:val="0046494C"/>
    <w:rsid w:val="00464C9A"/>
    <w:rsid w:val="00465791"/>
    <w:rsid w:val="00465BB7"/>
    <w:rsid w:val="00465F5C"/>
    <w:rsid w:val="004672FF"/>
    <w:rsid w:val="00467B7B"/>
    <w:rsid w:val="0047193A"/>
    <w:rsid w:val="00471D6C"/>
    <w:rsid w:val="00474F3D"/>
    <w:rsid w:val="00475747"/>
    <w:rsid w:val="00477C0C"/>
    <w:rsid w:val="00477E3A"/>
    <w:rsid w:val="00480DF0"/>
    <w:rsid w:val="004811F1"/>
    <w:rsid w:val="00481AC9"/>
    <w:rsid w:val="00483E5F"/>
    <w:rsid w:val="0048490F"/>
    <w:rsid w:val="004856A1"/>
    <w:rsid w:val="00485F2C"/>
    <w:rsid w:val="00485FF9"/>
    <w:rsid w:val="004907F0"/>
    <w:rsid w:val="0049140B"/>
    <w:rsid w:val="004923A5"/>
    <w:rsid w:val="004923C2"/>
    <w:rsid w:val="00493113"/>
    <w:rsid w:val="00495A31"/>
    <w:rsid w:val="004964B9"/>
    <w:rsid w:val="00496BFB"/>
    <w:rsid w:val="00497F6B"/>
    <w:rsid w:val="004A0374"/>
    <w:rsid w:val="004A05F2"/>
    <w:rsid w:val="004A1338"/>
    <w:rsid w:val="004A15C7"/>
    <w:rsid w:val="004A1A37"/>
    <w:rsid w:val="004A4AC7"/>
    <w:rsid w:val="004B013B"/>
    <w:rsid w:val="004B112B"/>
    <w:rsid w:val="004B1B09"/>
    <w:rsid w:val="004B3993"/>
    <w:rsid w:val="004B3E2C"/>
    <w:rsid w:val="004B4A60"/>
    <w:rsid w:val="004B5035"/>
    <w:rsid w:val="004B5E3F"/>
    <w:rsid w:val="004B7C60"/>
    <w:rsid w:val="004C0070"/>
    <w:rsid w:val="004C01E4"/>
    <w:rsid w:val="004C086C"/>
    <w:rsid w:val="004C0CA6"/>
    <w:rsid w:val="004C1F56"/>
    <w:rsid w:val="004C27BC"/>
    <w:rsid w:val="004C3E62"/>
    <w:rsid w:val="004C55E8"/>
    <w:rsid w:val="004C5622"/>
    <w:rsid w:val="004C5EFF"/>
    <w:rsid w:val="004C702D"/>
    <w:rsid w:val="004C7599"/>
    <w:rsid w:val="004C7B3A"/>
    <w:rsid w:val="004D0F63"/>
    <w:rsid w:val="004D15F3"/>
    <w:rsid w:val="004D1D15"/>
    <w:rsid w:val="004D2F58"/>
    <w:rsid w:val="004D32E6"/>
    <w:rsid w:val="004D347F"/>
    <w:rsid w:val="004D3F50"/>
    <w:rsid w:val="004D47C5"/>
    <w:rsid w:val="004D5311"/>
    <w:rsid w:val="004D5DCC"/>
    <w:rsid w:val="004D60B9"/>
    <w:rsid w:val="004E1489"/>
    <w:rsid w:val="004E2F96"/>
    <w:rsid w:val="004E357B"/>
    <w:rsid w:val="004E5567"/>
    <w:rsid w:val="004E5B40"/>
    <w:rsid w:val="004E6C22"/>
    <w:rsid w:val="004E6F7F"/>
    <w:rsid w:val="004E7022"/>
    <w:rsid w:val="004E72EC"/>
    <w:rsid w:val="004F10AF"/>
    <w:rsid w:val="004F11A4"/>
    <w:rsid w:val="004F2389"/>
    <w:rsid w:val="004F304D"/>
    <w:rsid w:val="004F50E5"/>
    <w:rsid w:val="004F61BE"/>
    <w:rsid w:val="004F66B1"/>
    <w:rsid w:val="0050051A"/>
    <w:rsid w:val="00500D77"/>
    <w:rsid w:val="00501B5B"/>
    <w:rsid w:val="00501ED5"/>
    <w:rsid w:val="00502965"/>
    <w:rsid w:val="00502A0D"/>
    <w:rsid w:val="00503034"/>
    <w:rsid w:val="0050309C"/>
    <w:rsid w:val="00503303"/>
    <w:rsid w:val="0050499A"/>
    <w:rsid w:val="0050585B"/>
    <w:rsid w:val="00506EBB"/>
    <w:rsid w:val="00506EF0"/>
    <w:rsid w:val="00507BCC"/>
    <w:rsid w:val="00507DDF"/>
    <w:rsid w:val="00507F8B"/>
    <w:rsid w:val="00511C07"/>
    <w:rsid w:val="00511DBF"/>
    <w:rsid w:val="005124DE"/>
    <w:rsid w:val="00512D5D"/>
    <w:rsid w:val="00513167"/>
    <w:rsid w:val="0051499A"/>
    <w:rsid w:val="0051693C"/>
    <w:rsid w:val="00516D38"/>
    <w:rsid w:val="005173A6"/>
    <w:rsid w:val="00520BAA"/>
    <w:rsid w:val="0052207C"/>
    <w:rsid w:val="00522EA9"/>
    <w:rsid w:val="00523826"/>
    <w:rsid w:val="00525208"/>
    <w:rsid w:val="005257A5"/>
    <w:rsid w:val="00525CC2"/>
    <w:rsid w:val="005264C0"/>
    <w:rsid w:val="00526A8A"/>
    <w:rsid w:val="00527FFB"/>
    <w:rsid w:val="005304EA"/>
    <w:rsid w:val="00530586"/>
    <w:rsid w:val="00531B4A"/>
    <w:rsid w:val="00531DF2"/>
    <w:rsid w:val="00532FE9"/>
    <w:rsid w:val="00533CF7"/>
    <w:rsid w:val="0053418C"/>
    <w:rsid w:val="00535A57"/>
    <w:rsid w:val="00535B76"/>
    <w:rsid w:val="00535BB8"/>
    <w:rsid w:val="00540D5F"/>
    <w:rsid w:val="00541495"/>
    <w:rsid w:val="00541994"/>
    <w:rsid w:val="00543700"/>
    <w:rsid w:val="005442EE"/>
    <w:rsid w:val="00544C67"/>
    <w:rsid w:val="005459D4"/>
    <w:rsid w:val="00547353"/>
    <w:rsid w:val="005474E7"/>
    <w:rsid w:val="00547F8A"/>
    <w:rsid w:val="005512A3"/>
    <w:rsid w:val="005513E0"/>
    <w:rsid w:val="00551639"/>
    <w:rsid w:val="005517F7"/>
    <w:rsid w:val="00552C89"/>
    <w:rsid w:val="005530D3"/>
    <w:rsid w:val="00553DFF"/>
    <w:rsid w:val="00556C2C"/>
    <w:rsid w:val="005578CE"/>
    <w:rsid w:val="00557D25"/>
    <w:rsid w:val="00557E9F"/>
    <w:rsid w:val="00562781"/>
    <w:rsid w:val="00563E83"/>
    <w:rsid w:val="00566451"/>
    <w:rsid w:val="00566B51"/>
    <w:rsid w:val="00567D12"/>
    <w:rsid w:val="0057271C"/>
    <w:rsid w:val="005727A0"/>
    <w:rsid w:val="00572845"/>
    <w:rsid w:val="0057361F"/>
    <w:rsid w:val="00576B36"/>
    <w:rsid w:val="0057705F"/>
    <w:rsid w:val="005776E0"/>
    <w:rsid w:val="005809A4"/>
    <w:rsid w:val="00582A3A"/>
    <w:rsid w:val="00584196"/>
    <w:rsid w:val="005871B9"/>
    <w:rsid w:val="00587AA6"/>
    <w:rsid w:val="00590D0D"/>
    <w:rsid w:val="00591E52"/>
    <w:rsid w:val="0059209F"/>
    <w:rsid w:val="00592772"/>
    <w:rsid w:val="00594F8E"/>
    <w:rsid w:val="005952D6"/>
    <w:rsid w:val="0059574A"/>
    <w:rsid w:val="005966E3"/>
    <w:rsid w:val="0059740F"/>
    <w:rsid w:val="0059783D"/>
    <w:rsid w:val="005A0418"/>
    <w:rsid w:val="005A1B9B"/>
    <w:rsid w:val="005A4E59"/>
    <w:rsid w:val="005A6751"/>
    <w:rsid w:val="005A6E85"/>
    <w:rsid w:val="005A7463"/>
    <w:rsid w:val="005B08B6"/>
    <w:rsid w:val="005B092E"/>
    <w:rsid w:val="005B152C"/>
    <w:rsid w:val="005B1E3E"/>
    <w:rsid w:val="005B1EE0"/>
    <w:rsid w:val="005B2B24"/>
    <w:rsid w:val="005B4425"/>
    <w:rsid w:val="005B4B94"/>
    <w:rsid w:val="005B5500"/>
    <w:rsid w:val="005B56D8"/>
    <w:rsid w:val="005B6B9F"/>
    <w:rsid w:val="005B7D74"/>
    <w:rsid w:val="005C19D2"/>
    <w:rsid w:val="005C3EE8"/>
    <w:rsid w:val="005C7D44"/>
    <w:rsid w:val="005D084A"/>
    <w:rsid w:val="005D1EFF"/>
    <w:rsid w:val="005D34F9"/>
    <w:rsid w:val="005D4190"/>
    <w:rsid w:val="005D4D0D"/>
    <w:rsid w:val="005D5112"/>
    <w:rsid w:val="005D52A9"/>
    <w:rsid w:val="005D67A3"/>
    <w:rsid w:val="005D717B"/>
    <w:rsid w:val="005D7618"/>
    <w:rsid w:val="005D7A53"/>
    <w:rsid w:val="005D7C80"/>
    <w:rsid w:val="005E2126"/>
    <w:rsid w:val="005E217C"/>
    <w:rsid w:val="005E2988"/>
    <w:rsid w:val="005E2A43"/>
    <w:rsid w:val="005E3085"/>
    <w:rsid w:val="005E38DF"/>
    <w:rsid w:val="005E3D7C"/>
    <w:rsid w:val="005E438A"/>
    <w:rsid w:val="005E4A20"/>
    <w:rsid w:val="005E4AF3"/>
    <w:rsid w:val="005E4FF6"/>
    <w:rsid w:val="005F1B93"/>
    <w:rsid w:val="005F3185"/>
    <w:rsid w:val="005F358C"/>
    <w:rsid w:val="005F51E1"/>
    <w:rsid w:val="005F59BB"/>
    <w:rsid w:val="005F71BB"/>
    <w:rsid w:val="005F7F83"/>
    <w:rsid w:val="00604D24"/>
    <w:rsid w:val="00606785"/>
    <w:rsid w:val="0061036F"/>
    <w:rsid w:val="00610860"/>
    <w:rsid w:val="006109D1"/>
    <w:rsid w:val="00611B75"/>
    <w:rsid w:val="00611C80"/>
    <w:rsid w:val="00612239"/>
    <w:rsid w:val="00614401"/>
    <w:rsid w:val="006156AC"/>
    <w:rsid w:val="00616292"/>
    <w:rsid w:val="00616E0F"/>
    <w:rsid w:val="00617978"/>
    <w:rsid w:val="00620692"/>
    <w:rsid w:val="00621E6E"/>
    <w:rsid w:val="00622709"/>
    <w:rsid w:val="006242CA"/>
    <w:rsid w:val="00627507"/>
    <w:rsid w:val="0063024B"/>
    <w:rsid w:val="0063088C"/>
    <w:rsid w:val="006324DC"/>
    <w:rsid w:val="00633717"/>
    <w:rsid w:val="00633E63"/>
    <w:rsid w:val="00634354"/>
    <w:rsid w:val="006344E1"/>
    <w:rsid w:val="00636655"/>
    <w:rsid w:val="00636FB1"/>
    <w:rsid w:val="0064187F"/>
    <w:rsid w:val="00643ECA"/>
    <w:rsid w:val="00643F16"/>
    <w:rsid w:val="006444E7"/>
    <w:rsid w:val="00644713"/>
    <w:rsid w:val="0064517A"/>
    <w:rsid w:val="006464CF"/>
    <w:rsid w:val="006465F4"/>
    <w:rsid w:val="00650873"/>
    <w:rsid w:val="00651212"/>
    <w:rsid w:val="006526E8"/>
    <w:rsid w:val="00653C78"/>
    <w:rsid w:val="006545C4"/>
    <w:rsid w:val="00661971"/>
    <w:rsid w:val="00661CE8"/>
    <w:rsid w:val="006623D9"/>
    <w:rsid w:val="00663A3A"/>
    <w:rsid w:val="0066550C"/>
    <w:rsid w:val="00666FEA"/>
    <w:rsid w:val="006716F2"/>
    <w:rsid w:val="006749A0"/>
    <w:rsid w:val="00677607"/>
    <w:rsid w:val="00677B2E"/>
    <w:rsid w:val="006817A5"/>
    <w:rsid w:val="00681B20"/>
    <w:rsid w:val="00682BF2"/>
    <w:rsid w:val="00682EE3"/>
    <w:rsid w:val="006859CE"/>
    <w:rsid w:val="00691270"/>
    <w:rsid w:val="00692123"/>
    <w:rsid w:val="00694BA8"/>
    <w:rsid w:val="006976A3"/>
    <w:rsid w:val="00697CDA"/>
    <w:rsid w:val="006A037C"/>
    <w:rsid w:val="006A11BC"/>
    <w:rsid w:val="006A36F4"/>
    <w:rsid w:val="006A406F"/>
    <w:rsid w:val="006A450E"/>
    <w:rsid w:val="006A5A72"/>
    <w:rsid w:val="006A5D3A"/>
    <w:rsid w:val="006A61B0"/>
    <w:rsid w:val="006A6855"/>
    <w:rsid w:val="006A722C"/>
    <w:rsid w:val="006C1529"/>
    <w:rsid w:val="006C23D4"/>
    <w:rsid w:val="006C5583"/>
    <w:rsid w:val="006C7123"/>
    <w:rsid w:val="006C7BB0"/>
    <w:rsid w:val="006C7C1E"/>
    <w:rsid w:val="006D0036"/>
    <w:rsid w:val="006D0152"/>
    <w:rsid w:val="006D01F7"/>
    <w:rsid w:val="006D182B"/>
    <w:rsid w:val="006D3237"/>
    <w:rsid w:val="006D62CF"/>
    <w:rsid w:val="006D635A"/>
    <w:rsid w:val="006E0FEE"/>
    <w:rsid w:val="006E196B"/>
    <w:rsid w:val="006E2E37"/>
    <w:rsid w:val="006E318C"/>
    <w:rsid w:val="006E3CF1"/>
    <w:rsid w:val="006E525B"/>
    <w:rsid w:val="006E6D04"/>
    <w:rsid w:val="006E7E80"/>
    <w:rsid w:val="006F198E"/>
    <w:rsid w:val="006F1DF9"/>
    <w:rsid w:val="006F24DB"/>
    <w:rsid w:val="006F48CA"/>
    <w:rsid w:val="006F497B"/>
    <w:rsid w:val="006F61ED"/>
    <w:rsid w:val="006F6296"/>
    <w:rsid w:val="006F64DD"/>
    <w:rsid w:val="006F6C6A"/>
    <w:rsid w:val="006F76AD"/>
    <w:rsid w:val="006F7CCA"/>
    <w:rsid w:val="007000A7"/>
    <w:rsid w:val="007035D1"/>
    <w:rsid w:val="007067A0"/>
    <w:rsid w:val="00706DE5"/>
    <w:rsid w:val="00706E53"/>
    <w:rsid w:val="0071163E"/>
    <w:rsid w:val="0071190C"/>
    <w:rsid w:val="00711A5D"/>
    <w:rsid w:val="0071452C"/>
    <w:rsid w:val="00714897"/>
    <w:rsid w:val="00715127"/>
    <w:rsid w:val="00715543"/>
    <w:rsid w:val="00715D78"/>
    <w:rsid w:val="00715E8E"/>
    <w:rsid w:val="007160CD"/>
    <w:rsid w:val="0071759E"/>
    <w:rsid w:val="007217F8"/>
    <w:rsid w:val="00723580"/>
    <w:rsid w:val="00723755"/>
    <w:rsid w:val="0072634B"/>
    <w:rsid w:val="00730854"/>
    <w:rsid w:val="00730EFF"/>
    <w:rsid w:val="0073136C"/>
    <w:rsid w:val="00731F0F"/>
    <w:rsid w:val="00732146"/>
    <w:rsid w:val="007326B4"/>
    <w:rsid w:val="00733250"/>
    <w:rsid w:val="0073504B"/>
    <w:rsid w:val="0073616D"/>
    <w:rsid w:val="007375EE"/>
    <w:rsid w:val="00737A96"/>
    <w:rsid w:val="00741404"/>
    <w:rsid w:val="00741D58"/>
    <w:rsid w:val="007421E9"/>
    <w:rsid w:val="0074248D"/>
    <w:rsid w:val="00743AB6"/>
    <w:rsid w:val="007449E5"/>
    <w:rsid w:val="00746C5A"/>
    <w:rsid w:val="00747E9B"/>
    <w:rsid w:val="00747FF0"/>
    <w:rsid w:val="007509D5"/>
    <w:rsid w:val="00754927"/>
    <w:rsid w:val="00754C2E"/>
    <w:rsid w:val="00756293"/>
    <w:rsid w:val="00756677"/>
    <w:rsid w:val="00757BD1"/>
    <w:rsid w:val="0076127B"/>
    <w:rsid w:val="00763E52"/>
    <w:rsid w:val="00764C38"/>
    <w:rsid w:val="00764D4E"/>
    <w:rsid w:val="00765163"/>
    <w:rsid w:val="00765A1F"/>
    <w:rsid w:val="0077033C"/>
    <w:rsid w:val="007729E5"/>
    <w:rsid w:val="007733DF"/>
    <w:rsid w:val="00773896"/>
    <w:rsid w:val="00774A6E"/>
    <w:rsid w:val="00774E03"/>
    <w:rsid w:val="00775B6D"/>
    <w:rsid w:val="00776D68"/>
    <w:rsid w:val="0077761D"/>
    <w:rsid w:val="007805A2"/>
    <w:rsid w:val="007810F9"/>
    <w:rsid w:val="007828E5"/>
    <w:rsid w:val="00783932"/>
    <w:rsid w:val="00784FEC"/>
    <w:rsid w:val="007850EE"/>
    <w:rsid w:val="00785B95"/>
    <w:rsid w:val="00790E96"/>
    <w:rsid w:val="00790ECF"/>
    <w:rsid w:val="0079155B"/>
    <w:rsid w:val="00791715"/>
    <w:rsid w:val="00793366"/>
    <w:rsid w:val="00794EAD"/>
    <w:rsid w:val="00794ECF"/>
    <w:rsid w:val="00796733"/>
    <w:rsid w:val="007A0799"/>
    <w:rsid w:val="007A093F"/>
    <w:rsid w:val="007A48A6"/>
    <w:rsid w:val="007A58C0"/>
    <w:rsid w:val="007A716F"/>
    <w:rsid w:val="007B1763"/>
    <w:rsid w:val="007B1B4D"/>
    <w:rsid w:val="007B270A"/>
    <w:rsid w:val="007C0695"/>
    <w:rsid w:val="007C419A"/>
    <w:rsid w:val="007C4CC8"/>
    <w:rsid w:val="007C51C7"/>
    <w:rsid w:val="007C5426"/>
    <w:rsid w:val="007C5798"/>
    <w:rsid w:val="007C598C"/>
    <w:rsid w:val="007C7060"/>
    <w:rsid w:val="007D0B7A"/>
    <w:rsid w:val="007D2F62"/>
    <w:rsid w:val="007D4832"/>
    <w:rsid w:val="007D6997"/>
    <w:rsid w:val="007E21B2"/>
    <w:rsid w:val="007E26E9"/>
    <w:rsid w:val="007E2C4E"/>
    <w:rsid w:val="007E5CBB"/>
    <w:rsid w:val="007E73A9"/>
    <w:rsid w:val="007F1905"/>
    <w:rsid w:val="007F1D1A"/>
    <w:rsid w:val="007F555E"/>
    <w:rsid w:val="0080048F"/>
    <w:rsid w:val="00800A89"/>
    <w:rsid w:val="0080112A"/>
    <w:rsid w:val="00801300"/>
    <w:rsid w:val="00802C64"/>
    <w:rsid w:val="00802FAE"/>
    <w:rsid w:val="00805E52"/>
    <w:rsid w:val="008061D0"/>
    <w:rsid w:val="00810B38"/>
    <w:rsid w:val="008121C6"/>
    <w:rsid w:val="00812D9A"/>
    <w:rsid w:val="00813F95"/>
    <w:rsid w:val="008163F0"/>
    <w:rsid w:val="008170A1"/>
    <w:rsid w:val="008170A5"/>
    <w:rsid w:val="008204C7"/>
    <w:rsid w:val="0082086B"/>
    <w:rsid w:val="00820992"/>
    <w:rsid w:val="00822371"/>
    <w:rsid w:val="00822DAD"/>
    <w:rsid w:val="00823602"/>
    <w:rsid w:val="00824B4D"/>
    <w:rsid w:val="0082551D"/>
    <w:rsid w:val="008255F5"/>
    <w:rsid w:val="00825D1F"/>
    <w:rsid w:val="0083014E"/>
    <w:rsid w:val="00831FF1"/>
    <w:rsid w:val="0083214A"/>
    <w:rsid w:val="00832368"/>
    <w:rsid w:val="008336BD"/>
    <w:rsid w:val="00834220"/>
    <w:rsid w:val="00836186"/>
    <w:rsid w:val="008365EA"/>
    <w:rsid w:val="00840C96"/>
    <w:rsid w:val="00840E2F"/>
    <w:rsid w:val="00843106"/>
    <w:rsid w:val="00843A0E"/>
    <w:rsid w:val="00843B4A"/>
    <w:rsid w:val="0084553E"/>
    <w:rsid w:val="00845723"/>
    <w:rsid w:val="00847D10"/>
    <w:rsid w:val="00847E09"/>
    <w:rsid w:val="00851EF9"/>
    <w:rsid w:val="0085218B"/>
    <w:rsid w:val="00852847"/>
    <w:rsid w:val="00852AEF"/>
    <w:rsid w:val="00853C77"/>
    <w:rsid w:val="008554D7"/>
    <w:rsid w:val="008577FD"/>
    <w:rsid w:val="00857A7C"/>
    <w:rsid w:val="00860B03"/>
    <w:rsid w:val="00860DD9"/>
    <w:rsid w:val="00862DC8"/>
    <w:rsid w:val="00863DBC"/>
    <w:rsid w:val="0086497A"/>
    <w:rsid w:val="00864D31"/>
    <w:rsid w:val="00867381"/>
    <w:rsid w:val="00870B44"/>
    <w:rsid w:val="008713A1"/>
    <w:rsid w:val="008716E2"/>
    <w:rsid w:val="008727F7"/>
    <w:rsid w:val="00874CFD"/>
    <w:rsid w:val="008754AB"/>
    <w:rsid w:val="00877332"/>
    <w:rsid w:val="0088060C"/>
    <w:rsid w:val="00880B07"/>
    <w:rsid w:val="008819F5"/>
    <w:rsid w:val="00883364"/>
    <w:rsid w:val="00884020"/>
    <w:rsid w:val="008841CC"/>
    <w:rsid w:val="00884645"/>
    <w:rsid w:val="0088473B"/>
    <w:rsid w:val="00886DBE"/>
    <w:rsid w:val="0088793C"/>
    <w:rsid w:val="008920D4"/>
    <w:rsid w:val="008933F5"/>
    <w:rsid w:val="00893576"/>
    <w:rsid w:val="00893BF3"/>
    <w:rsid w:val="00893E73"/>
    <w:rsid w:val="00894B9F"/>
    <w:rsid w:val="008A182F"/>
    <w:rsid w:val="008A3001"/>
    <w:rsid w:val="008A42C2"/>
    <w:rsid w:val="008A43C4"/>
    <w:rsid w:val="008A59C5"/>
    <w:rsid w:val="008A7498"/>
    <w:rsid w:val="008B02DC"/>
    <w:rsid w:val="008B57CE"/>
    <w:rsid w:val="008B6143"/>
    <w:rsid w:val="008B659F"/>
    <w:rsid w:val="008B7ED6"/>
    <w:rsid w:val="008C014D"/>
    <w:rsid w:val="008C02C2"/>
    <w:rsid w:val="008C26DE"/>
    <w:rsid w:val="008C2E6A"/>
    <w:rsid w:val="008C46B2"/>
    <w:rsid w:val="008C6000"/>
    <w:rsid w:val="008C7615"/>
    <w:rsid w:val="008D028E"/>
    <w:rsid w:val="008D048B"/>
    <w:rsid w:val="008D2225"/>
    <w:rsid w:val="008D4752"/>
    <w:rsid w:val="008D552A"/>
    <w:rsid w:val="008D5DBB"/>
    <w:rsid w:val="008D5EC8"/>
    <w:rsid w:val="008D6737"/>
    <w:rsid w:val="008E0938"/>
    <w:rsid w:val="008E0DF5"/>
    <w:rsid w:val="008E15D5"/>
    <w:rsid w:val="008E271C"/>
    <w:rsid w:val="008E40D3"/>
    <w:rsid w:val="008E418E"/>
    <w:rsid w:val="008E5556"/>
    <w:rsid w:val="008E5BC6"/>
    <w:rsid w:val="008E5CC1"/>
    <w:rsid w:val="008E6491"/>
    <w:rsid w:val="008E6A25"/>
    <w:rsid w:val="008E6F6D"/>
    <w:rsid w:val="008F035F"/>
    <w:rsid w:val="008F1225"/>
    <w:rsid w:val="008F2FC8"/>
    <w:rsid w:val="008F385C"/>
    <w:rsid w:val="008F5193"/>
    <w:rsid w:val="008F5E7B"/>
    <w:rsid w:val="008F69E7"/>
    <w:rsid w:val="008F6D39"/>
    <w:rsid w:val="008F79F8"/>
    <w:rsid w:val="009013A7"/>
    <w:rsid w:val="009017FB"/>
    <w:rsid w:val="009017FC"/>
    <w:rsid w:val="00901F16"/>
    <w:rsid w:val="00903B43"/>
    <w:rsid w:val="00904419"/>
    <w:rsid w:val="0090506B"/>
    <w:rsid w:val="009050C9"/>
    <w:rsid w:val="009050E3"/>
    <w:rsid w:val="00905B53"/>
    <w:rsid w:val="00905DCA"/>
    <w:rsid w:val="009066FC"/>
    <w:rsid w:val="009069CE"/>
    <w:rsid w:val="0090722B"/>
    <w:rsid w:val="0090753C"/>
    <w:rsid w:val="00907851"/>
    <w:rsid w:val="00911618"/>
    <w:rsid w:val="009132D5"/>
    <w:rsid w:val="009133F3"/>
    <w:rsid w:val="00913B61"/>
    <w:rsid w:val="009140A3"/>
    <w:rsid w:val="009144A2"/>
    <w:rsid w:val="0091510C"/>
    <w:rsid w:val="00921338"/>
    <w:rsid w:val="00923A12"/>
    <w:rsid w:val="00924A48"/>
    <w:rsid w:val="009259AC"/>
    <w:rsid w:val="00926F38"/>
    <w:rsid w:val="0093064C"/>
    <w:rsid w:val="00933FE5"/>
    <w:rsid w:val="00934301"/>
    <w:rsid w:val="00936CD1"/>
    <w:rsid w:val="00941747"/>
    <w:rsid w:val="00941EFB"/>
    <w:rsid w:val="00942422"/>
    <w:rsid w:val="0094317D"/>
    <w:rsid w:val="00943316"/>
    <w:rsid w:val="0094371F"/>
    <w:rsid w:val="00943E0A"/>
    <w:rsid w:val="00945525"/>
    <w:rsid w:val="0094607C"/>
    <w:rsid w:val="00947AFB"/>
    <w:rsid w:val="00950053"/>
    <w:rsid w:val="00950BAE"/>
    <w:rsid w:val="00951D7D"/>
    <w:rsid w:val="0095252A"/>
    <w:rsid w:val="00952C12"/>
    <w:rsid w:val="009534D8"/>
    <w:rsid w:val="009554B3"/>
    <w:rsid w:val="00955686"/>
    <w:rsid w:val="0095701C"/>
    <w:rsid w:val="009573FF"/>
    <w:rsid w:val="009618AF"/>
    <w:rsid w:val="009630C7"/>
    <w:rsid w:val="009636A5"/>
    <w:rsid w:val="009643AC"/>
    <w:rsid w:val="00965013"/>
    <w:rsid w:val="009675CA"/>
    <w:rsid w:val="009709AB"/>
    <w:rsid w:val="00970A8F"/>
    <w:rsid w:val="00970D18"/>
    <w:rsid w:val="00971699"/>
    <w:rsid w:val="00972B55"/>
    <w:rsid w:val="009743B7"/>
    <w:rsid w:val="00975730"/>
    <w:rsid w:val="009764E6"/>
    <w:rsid w:val="00977A6B"/>
    <w:rsid w:val="00980740"/>
    <w:rsid w:val="00981F93"/>
    <w:rsid w:val="0098228B"/>
    <w:rsid w:val="009827A3"/>
    <w:rsid w:val="009828DA"/>
    <w:rsid w:val="009855F9"/>
    <w:rsid w:val="00985BAB"/>
    <w:rsid w:val="00987DBE"/>
    <w:rsid w:val="00994D42"/>
    <w:rsid w:val="00995E82"/>
    <w:rsid w:val="009965F6"/>
    <w:rsid w:val="00997C86"/>
    <w:rsid w:val="00997F03"/>
    <w:rsid w:val="009A27F0"/>
    <w:rsid w:val="009A38E5"/>
    <w:rsid w:val="009A46DF"/>
    <w:rsid w:val="009A5A98"/>
    <w:rsid w:val="009A6B71"/>
    <w:rsid w:val="009B0F9F"/>
    <w:rsid w:val="009B1B5F"/>
    <w:rsid w:val="009B1E22"/>
    <w:rsid w:val="009B211E"/>
    <w:rsid w:val="009B2EC2"/>
    <w:rsid w:val="009B463B"/>
    <w:rsid w:val="009B6673"/>
    <w:rsid w:val="009C191B"/>
    <w:rsid w:val="009C2BD6"/>
    <w:rsid w:val="009C3139"/>
    <w:rsid w:val="009C35B7"/>
    <w:rsid w:val="009C3AE6"/>
    <w:rsid w:val="009C7434"/>
    <w:rsid w:val="009D1634"/>
    <w:rsid w:val="009D344A"/>
    <w:rsid w:val="009D3D99"/>
    <w:rsid w:val="009D7726"/>
    <w:rsid w:val="009E1F32"/>
    <w:rsid w:val="009E2600"/>
    <w:rsid w:val="009E2991"/>
    <w:rsid w:val="009E5829"/>
    <w:rsid w:val="009E7458"/>
    <w:rsid w:val="009E776C"/>
    <w:rsid w:val="009E7879"/>
    <w:rsid w:val="009F070C"/>
    <w:rsid w:val="009F2A6B"/>
    <w:rsid w:val="009F4177"/>
    <w:rsid w:val="009F658C"/>
    <w:rsid w:val="009F6A91"/>
    <w:rsid w:val="009F6BD9"/>
    <w:rsid w:val="00A00161"/>
    <w:rsid w:val="00A01C58"/>
    <w:rsid w:val="00A044FE"/>
    <w:rsid w:val="00A063B0"/>
    <w:rsid w:val="00A077ED"/>
    <w:rsid w:val="00A07A90"/>
    <w:rsid w:val="00A10210"/>
    <w:rsid w:val="00A12DC8"/>
    <w:rsid w:val="00A130B4"/>
    <w:rsid w:val="00A139CA"/>
    <w:rsid w:val="00A1476A"/>
    <w:rsid w:val="00A1544A"/>
    <w:rsid w:val="00A16875"/>
    <w:rsid w:val="00A16CE9"/>
    <w:rsid w:val="00A16E2B"/>
    <w:rsid w:val="00A1726E"/>
    <w:rsid w:val="00A204CF"/>
    <w:rsid w:val="00A21B5F"/>
    <w:rsid w:val="00A21CE9"/>
    <w:rsid w:val="00A23D49"/>
    <w:rsid w:val="00A23F9F"/>
    <w:rsid w:val="00A27004"/>
    <w:rsid w:val="00A30718"/>
    <w:rsid w:val="00A30C29"/>
    <w:rsid w:val="00A31E6E"/>
    <w:rsid w:val="00A34DD6"/>
    <w:rsid w:val="00A36819"/>
    <w:rsid w:val="00A36989"/>
    <w:rsid w:val="00A400EC"/>
    <w:rsid w:val="00A4109B"/>
    <w:rsid w:val="00A41AC5"/>
    <w:rsid w:val="00A43628"/>
    <w:rsid w:val="00A43902"/>
    <w:rsid w:val="00A43DFC"/>
    <w:rsid w:val="00A4425C"/>
    <w:rsid w:val="00A4565F"/>
    <w:rsid w:val="00A46529"/>
    <w:rsid w:val="00A4744A"/>
    <w:rsid w:val="00A53AD6"/>
    <w:rsid w:val="00A54192"/>
    <w:rsid w:val="00A54E12"/>
    <w:rsid w:val="00A55B19"/>
    <w:rsid w:val="00A5657F"/>
    <w:rsid w:val="00A56C02"/>
    <w:rsid w:val="00A6035E"/>
    <w:rsid w:val="00A6075B"/>
    <w:rsid w:val="00A6144C"/>
    <w:rsid w:val="00A634E7"/>
    <w:rsid w:val="00A63D70"/>
    <w:rsid w:val="00A64BFD"/>
    <w:rsid w:val="00A65732"/>
    <w:rsid w:val="00A65E59"/>
    <w:rsid w:val="00A66617"/>
    <w:rsid w:val="00A671F8"/>
    <w:rsid w:val="00A673A4"/>
    <w:rsid w:val="00A723BA"/>
    <w:rsid w:val="00A724AE"/>
    <w:rsid w:val="00A7256F"/>
    <w:rsid w:val="00A72583"/>
    <w:rsid w:val="00A72CC3"/>
    <w:rsid w:val="00A73329"/>
    <w:rsid w:val="00A76807"/>
    <w:rsid w:val="00A7735B"/>
    <w:rsid w:val="00A81E83"/>
    <w:rsid w:val="00A82359"/>
    <w:rsid w:val="00A8407A"/>
    <w:rsid w:val="00A84B18"/>
    <w:rsid w:val="00A854A3"/>
    <w:rsid w:val="00A865D2"/>
    <w:rsid w:val="00A91723"/>
    <w:rsid w:val="00A92116"/>
    <w:rsid w:val="00A93C20"/>
    <w:rsid w:val="00A94014"/>
    <w:rsid w:val="00A9496F"/>
    <w:rsid w:val="00A94C20"/>
    <w:rsid w:val="00A95A03"/>
    <w:rsid w:val="00A96ED6"/>
    <w:rsid w:val="00AA0581"/>
    <w:rsid w:val="00AA1638"/>
    <w:rsid w:val="00AA227F"/>
    <w:rsid w:val="00AA24C6"/>
    <w:rsid w:val="00AA3BC7"/>
    <w:rsid w:val="00AA481D"/>
    <w:rsid w:val="00AA4ABF"/>
    <w:rsid w:val="00AA4EAD"/>
    <w:rsid w:val="00AA606B"/>
    <w:rsid w:val="00AA6478"/>
    <w:rsid w:val="00AA754A"/>
    <w:rsid w:val="00AB099E"/>
    <w:rsid w:val="00AB2A83"/>
    <w:rsid w:val="00AB36A5"/>
    <w:rsid w:val="00AB4328"/>
    <w:rsid w:val="00AB45AA"/>
    <w:rsid w:val="00AB4F24"/>
    <w:rsid w:val="00AB57ED"/>
    <w:rsid w:val="00AB5C33"/>
    <w:rsid w:val="00AB5FA0"/>
    <w:rsid w:val="00AC15F1"/>
    <w:rsid w:val="00AC1845"/>
    <w:rsid w:val="00AC4F49"/>
    <w:rsid w:val="00AC5092"/>
    <w:rsid w:val="00AC7E29"/>
    <w:rsid w:val="00AD2835"/>
    <w:rsid w:val="00AD32F6"/>
    <w:rsid w:val="00AD3783"/>
    <w:rsid w:val="00AD5F23"/>
    <w:rsid w:val="00AD7657"/>
    <w:rsid w:val="00AD7769"/>
    <w:rsid w:val="00AD77ED"/>
    <w:rsid w:val="00AE0A2E"/>
    <w:rsid w:val="00AE0F29"/>
    <w:rsid w:val="00AE2087"/>
    <w:rsid w:val="00AE354C"/>
    <w:rsid w:val="00AE46CA"/>
    <w:rsid w:val="00AE4970"/>
    <w:rsid w:val="00AE7771"/>
    <w:rsid w:val="00AF1C16"/>
    <w:rsid w:val="00AF2381"/>
    <w:rsid w:val="00AF3467"/>
    <w:rsid w:val="00AF4B07"/>
    <w:rsid w:val="00AF6186"/>
    <w:rsid w:val="00AF72B0"/>
    <w:rsid w:val="00AF7884"/>
    <w:rsid w:val="00AF7A3A"/>
    <w:rsid w:val="00B05025"/>
    <w:rsid w:val="00B0512E"/>
    <w:rsid w:val="00B052EB"/>
    <w:rsid w:val="00B05995"/>
    <w:rsid w:val="00B05F19"/>
    <w:rsid w:val="00B069DE"/>
    <w:rsid w:val="00B071B0"/>
    <w:rsid w:val="00B07495"/>
    <w:rsid w:val="00B11239"/>
    <w:rsid w:val="00B1129B"/>
    <w:rsid w:val="00B159ED"/>
    <w:rsid w:val="00B160DB"/>
    <w:rsid w:val="00B16209"/>
    <w:rsid w:val="00B17231"/>
    <w:rsid w:val="00B17B26"/>
    <w:rsid w:val="00B20780"/>
    <w:rsid w:val="00B20836"/>
    <w:rsid w:val="00B2181F"/>
    <w:rsid w:val="00B235BB"/>
    <w:rsid w:val="00B27A44"/>
    <w:rsid w:val="00B27D7A"/>
    <w:rsid w:val="00B30237"/>
    <w:rsid w:val="00B30BBF"/>
    <w:rsid w:val="00B3165A"/>
    <w:rsid w:val="00B31CC9"/>
    <w:rsid w:val="00B3313E"/>
    <w:rsid w:val="00B33C03"/>
    <w:rsid w:val="00B33FFC"/>
    <w:rsid w:val="00B35465"/>
    <w:rsid w:val="00B3568F"/>
    <w:rsid w:val="00B35D47"/>
    <w:rsid w:val="00B401B6"/>
    <w:rsid w:val="00B443EB"/>
    <w:rsid w:val="00B449A6"/>
    <w:rsid w:val="00B44D14"/>
    <w:rsid w:val="00B44E56"/>
    <w:rsid w:val="00B45B07"/>
    <w:rsid w:val="00B46543"/>
    <w:rsid w:val="00B46B52"/>
    <w:rsid w:val="00B47D16"/>
    <w:rsid w:val="00B47D33"/>
    <w:rsid w:val="00B512B1"/>
    <w:rsid w:val="00B52BE0"/>
    <w:rsid w:val="00B54133"/>
    <w:rsid w:val="00B55164"/>
    <w:rsid w:val="00B56510"/>
    <w:rsid w:val="00B56731"/>
    <w:rsid w:val="00B56CD4"/>
    <w:rsid w:val="00B627D8"/>
    <w:rsid w:val="00B637B9"/>
    <w:rsid w:val="00B63FD6"/>
    <w:rsid w:val="00B64621"/>
    <w:rsid w:val="00B654DD"/>
    <w:rsid w:val="00B701ED"/>
    <w:rsid w:val="00B71826"/>
    <w:rsid w:val="00B7278A"/>
    <w:rsid w:val="00B72D69"/>
    <w:rsid w:val="00B746D9"/>
    <w:rsid w:val="00B747DF"/>
    <w:rsid w:val="00B755B5"/>
    <w:rsid w:val="00B7570F"/>
    <w:rsid w:val="00B8086C"/>
    <w:rsid w:val="00B8147C"/>
    <w:rsid w:val="00B8190C"/>
    <w:rsid w:val="00B81FBF"/>
    <w:rsid w:val="00B82154"/>
    <w:rsid w:val="00B851CA"/>
    <w:rsid w:val="00B85F88"/>
    <w:rsid w:val="00B861B4"/>
    <w:rsid w:val="00B86DFE"/>
    <w:rsid w:val="00B90990"/>
    <w:rsid w:val="00B922FF"/>
    <w:rsid w:val="00B92491"/>
    <w:rsid w:val="00B92813"/>
    <w:rsid w:val="00B9281E"/>
    <w:rsid w:val="00B92F72"/>
    <w:rsid w:val="00B936A4"/>
    <w:rsid w:val="00B93925"/>
    <w:rsid w:val="00B94088"/>
    <w:rsid w:val="00B9479B"/>
    <w:rsid w:val="00B95187"/>
    <w:rsid w:val="00B9663D"/>
    <w:rsid w:val="00B97ADC"/>
    <w:rsid w:val="00BA2D55"/>
    <w:rsid w:val="00BA513D"/>
    <w:rsid w:val="00BA6D8B"/>
    <w:rsid w:val="00BA71B1"/>
    <w:rsid w:val="00BA7B36"/>
    <w:rsid w:val="00BB0637"/>
    <w:rsid w:val="00BB1F1A"/>
    <w:rsid w:val="00BB25DB"/>
    <w:rsid w:val="00BB345F"/>
    <w:rsid w:val="00BB552F"/>
    <w:rsid w:val="00BB5883"/>
    <w:rsid w:val="00BB5E98"/>
    <w:rsid w:val="00BB68EA"/>
    <w:rsid w:val="00BC133D"/>
    <w:rsid w:val="00BC1493"/>
    <w:rsid w:val="00BC1C27"/>
    <w:rsid w:val="00BC2C9A"/>
    <w:rsid w:val="00BC3EBE"/>
    <w:rsid w:val="00BC4BCF"/>
    <w:rsid w:val="00BC6B3B"/>
    <w:rsid w:val="00BC6BBF"/>
    <w:rsid w:val="00BC6D6C"/>
    <w:rsid w:val="00BC7246"/>
    <w:rsid w:val="00BC78D7"/>
    <w:rsid w:val="00BC7EF2"/>
    <w:rsid w:val="00BD06EE"/>
    <w:rsid w:val="00BD0E8D"/>
    <w:rsid w:val="00BD0F9E"/>
    <w:rsid w:val="00BD1572"/>
    <w:rsid w:val="00BD3843"/>
    <w:rsid w:val="00BD4131"/>
    <w:rsid w:val="00BD4D58"/>
    <w:rsid w:val="00BD50B4"/>
    <w:rsid w:val="00BE14E3"/>
    <w:rsid w:val="00BE158A"/>
    <w:rsid w:val="00BE1624"/>
    <w:rsid w:val="00BE1C2A"/>
    <w:rsid w:val="00BE1EBB"/>
    <w:rsid w:val="00BE3774"/>
    <w:rsid w:val="00BE39FA"/>
    <w:rsid w:val="00BE41E5"/>
    <w:rsid w:val="00BE72E5"/>
    <w:rsid w:val="00BF0BBB"/>
    <w:rsid w:val="00BF3375"/>
    <w:rsid w:val="00BF348B"/>
    <w:rsid w:val="00BF3576"/>
    <w:rsid w:val="00BF4109"/>
    <w:rsid w:val="00BF4CC3"/>
    <w:rsid w:val="00BF4EE2"/>
    <w:rsid w:val="00BF66FB"/>
    <w:rsid w:val="00BF7778"/>
    <w:rsid w:val="00BF7C13"/>
    <w:rsid w:val="00C00EF4"/>
    <w:rsid w:val="00C02381"/>
    <w:rsid w:val="00C03694"/>
    <w:rsid w:val="00C054C7"/>
    <w:rsid w:val="00C0557B"/>
    <w:rsid w:val="00C057B5"/>
    <w:rsid w:val="00C07344"/>
    <w:rsid w:val="00C10277"/>
    <w:rsid w:val="00C11E75"/>
    <w:rsid w:val="00C14D00"/>
    <w:rsid w:val="00C15AD8"/>
    <w:rsid w:val="00C16486"/>
    <w:rsid w:val="00C16590"/>
    <w:rsid w:val="00C20256"/>
    <w:rsid w:val="00C21B9E"/>
    <w:rsid w:val="00C22687"/>
    <w:rsid w:val="00C23052"/>
    <w:rsid w:val="00C23EBC"/>
    <w:rsid w:val="00C24360"/>
    <w:rsid w:val="00C26ECF"/>
    <w:rsid w:val="00C320CC"/>
    <w:rsid w:val="00C32E4D"/>
    <w:rsid w:val="00C333A0"/>
    <w:rsid w:val="00C3538C"/>
    <w:rsid w:val="00C3666E"/>
    <w:rsid w:val="00C36A81"/>
    <w:rsid w:val="00C41974"/>
    <w:rsid w:val="00C41EFE"/>
    <w:rsid w:val="00C447AD"/>
    <w:rsid w:val="00C45696"/>
    <w:rsid w:val="00C457B5"/>
    <w:rsid w:val="00C47825"/>
    <w:rsid w:val="00C51140"/>
    <w:rsid w:val="00C52825"/>
    <w:rsid w:val="00C53F4A"/>
    <w:rsid w:val="00C54125"/>
    <w:rsid w:val="00C54C03"/>
    <w:rsid w:val="00C54C77"/>
    <w:rsid w:val="00C55B54"/>
    <w:rsid w:val="00C6098E"/>
    <w:rsid w:val="00C60FD6"/>
    <w:rsid w:val="00C613EE"/>
    <w:rsid w:val="00C6152C"/>
    <w:rsid w:val="00C618DE"/>
    <w:rsid w:val="00C61D84"/>
    <w:rsid w:val="00C621C2"/>
    <w:rsid w:val="00C65EDB"/>
    <w:rsid w:val="00C6631D"/>
    <w:rsid w:val="00C722B5"/>
    <w:rsid w:val="00C72548"/>
    <w:rsi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
    <w:rsid w:val="00CA14AE"/>
    <w:rsid w:val="00CA4969"/>
    <w:rsid w:val="00CA4BDA"/>
    <w:rsid w:val="00CA543F"/>
    <w:rsid w:val="00CA6B65"/>
    <w:rsid w:val="00CA6BA6"/>
    <w:rsid w:val="00CB1F66"/>
    <w:rsid w:val="00CB2951"/>
    <w:rsid w:val="00CB2E2F"/>
    <w:rsid w:val="00CB3863"/>
    <w:rsid w:val="00CB6484"/>
    <w:rsid w:val="00CB69FC"/>
    <w:rsid w:val="00CC1345"/>
    <w:rsid w:val="00CC2B23"/>
    <w:rsid w:val="00CC37EC"/>
    <w:rsid w:val="00CC438B"/>
    <w:rsid w:val="00CC6D76"/>
    <w:rsid w:val="00CD282B"/>
    <w:rsid w:val="00CD2B07"/>
    <w:rsid w:val="00CD4C35"/>
    <w:rsid w:val="00CD7369"/>
    <w:rsid w:val="00CE0035"/>
    <w:rsid w:val="00CE0B0E"/>
    <w:rsid w:val="00CE0CC3"/>
    <w:rsid w:val="00CE0F12"/>
    <w:rsid w:val="00CE1EA5"/>
    <w:rsid w:val="00CE2251"/>
    <w:rsid w:val="00CE2385"/>
    <w:rsid w:val="00CE2951"/>
    <w:rsid w:val="00CE2F1E"/>
    <w:rsid w:val="00CE33DB"/>
    <w:rsid w:val="00CE3831"/>
    <w:rsid w:val="00CE5EB8"/>
    <w:rsid w:val="00CF02F8"/>
    <w:rsid w:val="00CF0CE4"/>
    <w:rsid w:val="00D00ABB"/>
    <w:rsid w:val="00D00E74"/>
    <w:rsid w:val="00D01D22"/>
    <w:rsid w:val="00D02B92"/>
    <w:rsid w:val="00D02EEC"/>
    <w:rsid w:val="00D03551"/>
    <w:rsid w:val="00D06A63"/>
    <w:rsid w:val="00D07E0E"/>
    <w:rsid w:val="00D107F0"/>
    <w:rsid w:val="00D11478"/>
    <w:rsid w:val="00D11AAB"/>
    <w:rsid w:val="00D1542E"/>
    <w:rsid w:val="00D15ED0"/>
    <w:rsid w:val="00D16862"/>
    <w:rsid w:val="00D20B66"/>
    <w:rsid w:val="00D21B3E"/>
    <w:rsid w:val="00D21FED"/>
    <w:rsid w:val="00D23813"/>
    <w:rsid w:val="00D24251"/>
    <w:rsid w:val="00D25A5B"/>
    <w:rsid w:val="00D262C0"/>
    <w:rsid w:val="00D264C9"/>
    <w:rsid w:val="00D27399"/>
    <w:rsid w:val="00D301B2"/>
    <w:rsid w:val="00D30D97"/>
    <w:rsid w:val="00D3218C"/>
    <w:rsid w:val="00D335C5"/>
    <w:rsid w:val="00D343E2"/>
    <w:rsid w:val="00D34FFF"/>
    <w:rsid w:val="00D358CB"/>
    <w:rsid w:val="00D361A2"/>
    <w:rsid w:val="00D367C5"/>
    <w:rsid w:val="00D36944"/>
    <w:rsid w:val="00D373CE"/>
    <w:rsid w:val="00D378B4"/>
    <w:rsid w:val="00D44BA9"/>
    <w:rsid w:val="00D44C2E"/>
    <w:rsid w:val="00D45414"/>
    <w:rsid w:val="00D45B57"/>
    <w:rsid w:val="00D46846"/>
    <w:rsid w:val="00D4709B"/>
    <w:rsid w:val="00D512A2"/>
    <w:rsid w:val="00D513F9"/>
    <w:rsid w:val="00D53C0F"/>
    <w:rsid w:val="00D5486D"/>
    <w:rsid w:val="00D55522"/>
    <w:rsid w:val="00D566BD"/>
    <w:rsid w:val="00D571BA"/>
    <w:rsid w:val="00D57413"/>
    <w:rsid w:val="00D575E5"/>
    <w:rsid w:val="00D575F9"/>
    <w:rsid w:val="00D57A4D"/>
    <w:rsid w:val="00D60AA7"/>
    <w:rsid w:val="00D60D87"/>
    <w:rsid w:val="00D6435F"/>
    <w:rsid w:val="00D7135E"/>
    <w:rsid w:val="00D72579"/>
    <w:rsid w:val="00D727FF"/>
    <w:rsid w:val="00D739AE"/>
    <w:rsid w:val="00D7496E"/>
    <w:rsid w:val="00D750A2"/>
    <w:rsid w:val="00D75753"/>
    <w:rsid w:val="00D75E28"/>
    <w:rsid w:val="00D772C2"/>
    <w:rsid w:val="00D77326"/>
    <w:rsid w:val="00D8008E"/>
    <w:rsid w:val="00D82867"/>
    <w:rsid w:val="00D82C45"/>
    <w:rsid w:val="00D835EA"/>
    <w:rsid w:val="00D84D58"/>
    <w:rsid w:val="00D850F4"/>
    <w:rsid w:val="00D8773F"/>
    <w:rsid w:val="00D879E3"/>
    <w:rsid w:val="00D90130"/>
    <w:rsid w:val="00D908A8"/>
    <w:rsid w:val="00D9149D"/>
    <w:rsid w:val="00D959E4"/>
    <w:rsid w:val="00D977B6"/>
    <w:rsid w:val="00DA0A40"/>
    <w:rsid w:val="00DA342E"/>
    <w:rsid w:val="00DA3DE9"/>
    <w:rsid w:val="00DA46FA"/>
    <w:rsid w:val="00DA4A31"/>
    <w:rsid w:val="00DA4B05"/>
    <w:rsid w:val="00DA4D37"/>
    <w:rsid w:val="00DA4E10"/>
    <w:rsid w:val="00DA61F2"/>
    <w:rsid w:val="00DA7B04"/>
    <w:rsid w:val="00DB237C"/>
    <w:rsid w:val="00DB2E4A"/>
    <w:rsid w:val="00DB36C2"/>
    <w:rsid w:val="00DB3F5D"/>
    <w:rsid w:val="00DB4619"/>
    <w:rsid w:val="00DB5378"/>
    <w:rsid w:val="00DB63EA"/>
    <w:rsid w:val="00DB64F3"/>
    <w:rsid w:val="00DB7196"/>
    <w:rsid w:val="00DB7AE0"/>
    <w:rsid w:val="00DC169B"/>
    <w:rsid w:val="00DC2AB9"/>
    <w:rsid w:val="00DC61CB"/>
    <w:rsid w:val="00DC630F"/>
    <w:rsid w:val="00DC6379"/>
    <w:rsid w:val="00DC63F0"/>
    <w:rsid w:val="00DC7BCB"/>
    <w:rsid w:val="00DD11DA"/>
    <w:rsid w:val="00DD17CD"/>
    <w:rsid w:val="00DD525B"/>
    <w:rsid w:val="00DD6EE5"/>
    <w:rsid w:val="00DD70FE"/>
    <w:rsid w:val="00DE19DF"/>
    <w:rsid w:val="00DE1B8E"/>
    <w:rsid w:val="00DE386C"/>
    <w:rsid w:val="00DE4D35"/>
    <w:rsid w:val="00DE63ED"/>
    <w:rsid w:val="00DE6DC3"/>
    <w:rsid w:val="00DF0549"/>
    <w:rsid w:val="00DF073A"/>
    <w:rsid w:val="00DF098B"/>
    <w:rsid w:val="00DF11C4"/>
    <w:rsid w:val="00DF210C"/>
    <w:rsid w:val="00DF4B6A"/>
    <w:rsid w:val="00DF688F"/>
    <w:rsid w:val="00DF7729"/>
    <w:rsid w:val="00DF7D33"/>
    <w:rsid w:val="00E0003F"/>
    <w:rsid w:val="00E0158E"/>
    <w:rsid w:val="00E016D9"/>
    <w:rsid w:val="00E02C09"/>
    <w:rsid w:val="00E0433A"/>
    <w:rsid w:val="00E04C1E"/>
    <w:rsid w:val="00E04D59"/>
    <w:rsid w:val="00E05F4B"/>
    <w:rsid w:val="00E07DA1"/>
    <w:rsid w:val="00E123CB"/>
    <w:rsid w:val="00E1464D"/>
    <w:rsid w:val="00E151C2"/>
    <w:rsid w:val="00E1557C"/>
    <w:rsid w:val="00E2006F"/>
    <w:rsid w:val="00E20E13"/>
    <w:rsid w:val="00E21DBC"/>
    <w:rsid w:val="00E22DA0"/>
    <w:rsid w:val="00E23B41"/>
    <w:rsid w:val="00E275D7"/>
    <w:rsid w:val="00E2789A"/>
    <w:rsid w:val="00E27DBE"/>
    <w:rsid w:val="00E27FB0"/>
    <w:rsid w:val="00E3032E"/>
    <w:rsid w:val="00E31EA7"/>
    <w:rsid w:val="00E31F3E"/>
    <w:rsid w:val="00E325F4"/>
    <w:rsid w:val="00E32AB1"/>
    <w:rsid w:val="00E32FB2"/>
    <w:rsid w:val="00E3417F"/>
    <w:rsid w:val="00E34B2D"/>
    <w:rsid w:val="00E34F27"/>
    <w:rsid w:val="00E355E6"/>
    <w:rsid w:val="00E36B36"/>
    <w:rsid w:val="00E36C71"/>
    <w:rsid w:val="00E36FB8"/>
    <w:rsid w:val="00E40404"/>
    <w:rsid w:val="00E407BE"/>
    <w:rsid w:val="00E4133A"/>
    <w:rsid w:val="00E41E7B"/>
    <w:rsid w:val="00E459C6"/>
    <w:rsid w:val="00E46981"/>
    <w:rsid w:val="00E4749E"/>
    <w:rsid w:val="00E47589"/>
    <w:rsid w:val="00E516B9"/>
    <w:rsid w:val="00E52ECF"/>
    <w:rsid w:val="00E543FA"/>
    <w:rsid w:val="00E5452D"/>
    <w:rsid w:val="00E566A8"/>
    <w:rsid w:val="00E5749E"/>
    <w:rsid w:val="00E604BD"/>
    <w:rsid w:val="00E6052F"/>
    <w:rsid w:val="00E60A95"/>
    <w:rsid w:val="00E61931"/>
    <w:rsid w:val="00E633BA"/>
    <w:rsid w:val="00E634B9"/>
    <w:rsid w:val="00E64915"/>
    <w:rsid w:val="00E64BAF"/>
    <w:rsid w:val="00E657D0"/>
    <w:rsid w:val="00E661D4"/>
    <w:rsid w:val="00E70091"/>
    <w:rsid w:val="00E7153A"/>
    <w:rsid w:val="00E71803"/>
    <w:rsid w:val="00E71ADA"/>
    <w:rsid w:val="00E720F5"/>
    <w:rsid w:val="00E7415F"/>
    <w:rsid w:val="00E74A63"/>
    <w:rsid w:val="00E76415"/>
    <w:rsid w:val="00E76D47"/>
    <w:rsid w:val="00E77831"/>
    <w:rsid w:val="00E77BA0"/>
    <w:rsid w:val="00E80758"/>
    <w:rsid w:val="00E81A93"/>
    <w:rsid w:val="00E831CF"/>
    <w:rsid w:val="00E831EB"/>
    <w:rsid w:val="00E849F7"/>
    <w:rsid w:val="00E85ABD"/>
    <w:rsid w:val="00E85C00"/>
    <w:rsid w:val="00E90302"/>
    <w:rsid w:val="00E90B70"/>
    <w:rsid w:val="00E930BF"/>
    <w:rsid w:val="00E9597F"/>
    <w:rsid w:val="00E969D8"/>
    <w:rsid w:val="00E97396"/>
    <w:rsid w:val="00EA185E"/>
    <w:rsid w:val="00EA592A"/>
    <w:rsid w:val="00EA6B4D"/>
    <w:rsid w:val="00EA6EFA"/>
    <w:rsid w:val="00EA737F"/>
    <w:rsid w:val="00EA7E24"/>
    <w:rsid w:val="00EA7F11"/>
    <w:rsid w:val="00EB14E4"/>
    <w:rsid w:val="00EB32A5"/>
    <w:rsid w:val="00EB34ED"/>
    <w:rsid w:val="00EB3C52"/>
    <w:rsid w:val="00EB47EE"/>
    <w:rsid w:val="00EB489F"/>
    <w:rsid w:val="00EB5B22"/>
    <w:rsid w:val="00EB5F4A"/>
    <w:rsid w:val="00EB689F"/>
    <w:rsid w:val="00EB758A"/>
    <w:rsid w:val="00EB7BE0"/>
    <w:rsid w:val="00EC0D44"/>
    <w:rsid w:val="00EC2DDB"/>
    <w:rsid w:val="00EC315E"/>
    <w:rsid w:val="00EC4FA6"/>
    <w:rsid w:val="00EC5306"/>
    <w:rsid w:val="00EC5FEA"/>
    <w:rsid w:val="00EC6574"/>
    <w:rsid w:val="00EC6BF5"/>
    <w:rsid w:val="00EC7583"/>
    <w:rsid w:val="00EC758F"/>
    <w:rsid w:val="00EC78E5"/>
    <w:rsid w:val="00ED075E"/>
    <w:rsid w:val="00ED077C"/>
    <w:rsid w:val="00ED1190"/>
    <w:rsid w:val="00ED2DA4"/>
    <w:rsid w:val="00ED6536"/>
    <w:rsid w:val="00ED6544"/>
    <w:rsid w:val="00ED6812"/>
    <w:rsid w:val="00ED7801"/>
    <w:rsid w:val="00EE0277"/>
    <w:rsid w:val="00EE0D9D"/>
    <w:rsid w:val="00EE13EA"/>
    <w:rsid w:val="00EE1DA9"/>
    <w:rsid w:val="00EE3E00"/>
    <w:rsid w:val="00EE50F7"/>
    <w:rsid w:val="00EE5DD2"/>
    <w:rsid w:val="00EE5FB7"/>
    <w:rsid w:val="00EF0071"/>
    <w:rsid w:val="00EF0073"/>
    <w:rsid w:val="00EF2CF4"/>
    <w:rsid w:val="00EF41F1"/>
    <w:rsid w:val="00EF4F08"/>
    <w:rsid w:val="00EF573B"/>
    <w:rsid w:val="00EF6789"/>
    <w:rsid w:val="00EF6AF9"/>
    <w:rsid w:val="00EF6F22"/>
    <w:rsid w:val="00EF7DB2"/>
    <w:rsid w:val="00F003C9"/>
    <w:rsid w:val="00F00A79"/>
    <w:rsid w:val="00F00E86"/>
    <w:rsid w:val="00F00F8B"/>
    <w:rsid w:val="00F0337A"/>
    <w:rsid w:val="00F03403"/>
    <w:rsid w:val="00F0429B"/>
    <w:rsid w:val="00F064D7"/>
    <w:rsid w:val="00F06993"/>
    <w:rsid w:val="00F07ABC"/>
    <w:rsid w:val="00F07C1E"/>
    <w:rsid w:val="00F105DB"/>
    <w:rsid w:val="00F10828"/>
    <w:rsid w:val="00F10A05"/>
    <w:rsid w:val="00F10E4B"/>
    <w:rsid w:val="00F11295"/>
    <w:rsid w:val="00F12DDF"/>
    <w:rsid w:val="00F132BC"/>
    <w:rsid w:val="00F13D80"/>
    <w:rsid w:val="00F16AAA"/>
    <w:rsid w:val="00F20F48"/>
    <w:rsid w:val="00F21161"/>
    <w:rsid w:val="00F218EF"/>
    <w:rsid w:val="00F21BC7"/>
    <w:rsid w:val="00F21E4F"/>
    <w:rsid w:val="00F2250B"/>
    <w:rsid w:val="00F2307C"/>
    <w:rsid w:val="00F23235"/>
    <w:rsid w:val="00F23CF6"/>
    <w:rsid w:val="00F23E16"/>
    <w:rsid w:val="00F2455D"/>
    <w:rsid w:val="00F24E1A"/>
    <w:rsid w:val="00F25FB2"/>
    <w:rsid w:val="00F266A2"/>
    <w:rsid w:val="00F30102"/>
    <w:rsid w:val="00F31C95"/>
    <w:rsid w:val="00F31F74"/>
    <w:rsid w:val="00F32269"/>
    <w:rsid w:val="00F357DF"/>
    <w:rsid w:val="00F40128"/>
    <w:rsid w:val="00F40B23"/>
    <w:rsid w:val="00F424A0"/>
    <w:rsid w:val="00F4457E"/>
    <w:rsid w:val="00F45058"/>
    <w:rsid w:val="00F47275"/>
    <w:rsid w:val="00F476BE"/>
    <w:rsid w:val="00F52912"/>
    <w:rsid w:val="00F52949"/>
    <w:rsid w:val="00F553FD"/>
    <w:rsid w:val="00F56A6F"/>
    <w:rsid w:val="00F5709C"/>
    <w:rsid w:val="00F5759E"/>
    <w:rsid w:val="00F6081B"/>
    <w:rsid w:val="00F60D15"/>
    <w:rsid w:val="00F62E32"/>
    <w:rsid w:val="00F64EF1"/>
    <w:rsid w:val="00F71907"/>
    <w:rsid w:val="00F74574"/>
    <w:rsid w:val="00F83D87"/>
    <w:rsid w:val="00F875B3"/>
    <w:rsid w:val="00F8765F"/>
    <w:rsid w:val="00F90364"/>
    <w:rsid w:val="00F90767"/>
    <w:rsid w:val="00F9078A"/>
    <w:rsid w:val="00F909AF"/>
    <w:rsid w:val="00F95094"/>
    <w:rsid w:val="00FA0F58"/>
    <w:rsid w:val="00FA2CD7"/>
    <w:rsid w:val="00FA4D39"/>
    <w:rsid w:val="00FA50E2"/>
    <w:rsid w:val="00FA61C5"/>
    <w:rsid w:val="00FA685B"/>
    <w:rsid w:val="00FA7F3A"/>
    <w:rsid w:val="00FB0135"/>
    <w:rsid w:val="00FB03DB"/>
    <w:rsid w:val="00FB0C01"/>
    <w:rsid w:val="00FB11F7"/>
    <w:rsid w:val="00FB2A68"/>
    <w:rsid w:val="00FB4983"/>
    <w:rsid w:val="00FB4E46"/>
    <w:rsid w:val="00FB55EC"/>
    <w:rsid w:val="00FB7B4A"/>
    <w:rsid w:val="00FC18F2"/>
    <w:rsid w:val="00FC24AF"/>
    <w:rsid w:val="00FC39B5"/>
    <w:rsid w:val="00FC39E5"/>
    <w:rsid w:val="00FC3A78"/>
    <w:rsid w:val="00FC5144"/>
    <w:rsid w:val="00FC5FFE"/>
    <w:rsid w:val="00FC65DF"/>
    <w:rsid w:val="00FC7713"/>
    <w:rsid w:val="00FD1005"/>
    <w:rsid w:val="00FD207E"/>
    <w:rsid w:val="00FD3180"/>
    <w:rsid w:val="00FD38E0"/>
    <w:rsid w:val="00FD513C"/>
    <w:rsid w:val="00FD6C75"/>
    <w:rsid w:val="00FE1CBF"/>
    <w:rsid w:val="00FE25C9"/>
    <w:rsid w:val="00FE71B3"/>
    <w:rsid w:val="00FE76CD"/>
    <w:rsid w:val="00FF07D8"/>
    <w:rsid w:val="00FF105D"/>
    <w:rsid w:val="00FF1304"/>
    <w:rsid w:val="00FF204D"/>
    <w:rsid w:val="00FF2594"/>
    <w:rsid w:val="00FF2AC9"/>
    <w:rsid w:val="00FF4001"/>
    <w:rsid w:val="00FF42C5"/>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22EA9"/>
    <w:pPr>
      <w:jc w:val="both"/>
    </w:pPr>
    <w:rPr>
      <w:rFonts w:eastAsiaTheme="minorEastAsia"/>
      <w:sz w:val="24"/>
      <w:lang w:val="en-GB"/>
    </w:rPr>
  </w:style>
  <w:style w:type="paragraph" w:styleId="Heading1">
    <w:name w:val="heading 1"/>
    <w:basedOn w:val="Normal"/>
    <w:next w:val="Normal"/>
    <w:link w:val="Heading1Char"/>
    <w:uiPriority w:val="99"/>
    <w:semiHidden/>
    <w:rsid w:val="00522EA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22EA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22EA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22EA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22EA9"/>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22EA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22EA9"/>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522EA9"/>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522EA9"/>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2EA9"/>
    <w:rPr>
      <w:rFonts w:ascii="Tahoma" w:hAnsi="Tahoma" w:cs="Tahoma"/>
      <w:sz w:val="16"/>
      <w:szCs w:val="16"/>
    </w:rPr>
  </w:style>
  <w:style w:type="character" w:customStyle="1" w:styleId="BalloonTextChar">
    <w:name w:val="Balloon Text Char"/>
    <w:basedOn w:val="DefaultParagraphFont"/>
    <w:link w:val="BalloonText"/>
    <w:uiPriority w:val="99"/>
    <w:semiHidden/>
    <w:rsid w:val="00522EA9"/>
    <w:rPr>
      <w:rFonts w:ascii="Tahoma" w:eastAsiaTheme="minorEastAsia" w:hAnsi="Tahoma" w:cs="Tahoma"/>
      <w:sz w:val="16"/>
      <w:szCs w:val="16"/>
      <w:lang w:val="en-GB"/>
    </w:rPr>
  </w:style>
  <w:style w:type="character" w:styleId="BookTitle">
    <w:name w:val="Book Title"/>
    <w:uiPriority w:val="99"/>
    <w:semiHidden/>
    <w:qFormat/>
    <w:rsid w:val="00522EA9"/>
    <w:rPr>
      <w:i/>
      <w:iCs/>
      <w:smallCaps/>
      <w:spacing w:val="5"/>
    </w:rPr>
  </w:style>
  <w:style w:type="paragraph" w:customStyle="1" w:styleId="ECHRHeader">
    <w:name w:val="ECHR_Header"/>
    <w:aliases w:val="Ju_Header"/>
    <w:basedOn w:val="Header"/>
    <w:uiPriority w:val="4"/>
    <w:qFormat/>
    <w:rsid w:val="00522EA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522EA9"/>
    <w:pPr>
      <w:jc w:val="left"/>
    </w:pPr>
    <w:rPr>
      <w:sz w:val="8"/>
    </w:rPr>
  </w:style>
  <w:style w:type="character" w:styleId="Strong">
    <w:name w:val="Strong"/>
    <w:uiPriority w:val="99"/>
    <w:semiHidden/>
    <w:qFormat/>
    <w:rsid w:val="00522EA9"/>
    <w:rPr>
      <w:b/>
      <w:bCs/>
    </w:rPr>
  </w:style>
  <w:style w:type="paragraph" w:styleId="NoSpacing">
    <w:name w:val="No Spacing"/>
    <w:basedOn w:val="Normal"/>
    <w:link w:val="NoSpacingChar"/>
    <w:semiHidden/>
    <w:qFormat/>
    <w:rsid w:val="00522EA9"/>
    <w:rPr>
      <w:sz w:val="22"/>
      <w:lang w:val="en-US"/>
    </w:rPr>
  </w:style>
  <w:style w:type="character" w:customStyle="1" w:styleId="NoSpacingChar">
    <w:name w:val="No Spacing Char"/>
    <w:basedOn w:val="DefaultParagraphFont"/>
    <w:link w:val="NoSpacing"/>
    <w:semiHidden/>
    <w:rsid w:val="00522EA9"/>
    <w:rPr>
      <w:rFonts w:eastAsiaTheme="minorEastAsia"/>
    </w:rPr>
  </w:style>
  <w:style w:type="paragraph" w:customStyle="1" w:styleId="ECHRFooterLine">
    <w:name w:val="ECHR_Footer_Line"/>
    <w:aliases w:val="Footer_Line"/>
    <w:basedOn w:val="Normal"/>
    <w:next w:val="ECHRFooter"/>
    <w:uiPriority w:val="57"/>
    <w:semiHidden/>
    <w:rsid w:val="00522EA9"/>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22EA9"/>
  </w:style>
  <w:style w:type="paragraph" w:customStyle="1" w:styleId="DecList">
    <w:name w:val="Dec_List"/>
    <w:basedOn w:val="Normal"/>
    <w:uiPriority w:val="9"/>
    <w:semiHidden/>
    <w:qFormat/>
    <w:rsid w:val="00522EA9"/>
    <w:pPr>
      <w:spacing w:before="240"/>
      <w:ind w:left="284"/>
    </w:pPr>
  </w:style>
  <w:style w:type="paragraph" w:customStyle="1" w:styleId="DummyStyle">
    <w:name w:val="Dummy_Style"/>
    <w:basedOn w:val="Normal"/>
    <w:semiHidden/>
    <w:qFormat/>
    <w:rsid w:val="00522EA9"/>
    <w:rPr>
      <w:color w:val="00B050"/>
    </w:rPr>
  </w:style>
  <w:style w:type="paragraph" w:customStyle="1" w:styleId="ECHRTitleCentre3">
    <w:name w:val="ECHR_Title_Centre_3"/>
    <w:aliases w:val="Ju_H_Article"/>
    <w:basedOn w:val="Normal"/>
    <w:next w:val="ECHRParaQuote"/>
    <w:uiPriority w:val="27"/>
    <w:qFormat/>
    <w:rsid w:val="00522EA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22EA9"/>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522EA9"/>
    <w:pPr>
      <w:numPr>
        <w:numId w:val="41"/>
      </w:numPr>
      <w:jc w:val="left"/>
    </w:pPr>
    <w:rPr>
      <w:b/>
    </w:rPr>
  </w:style>
  <w:style w:type="paragraph" w:customStyle="1" w:styleId="JuCourt">
    <w:name w:val="Ju_Court"/>
    <w:basedOn w:val="Normal"/>
    <w:next w:val="Normal"/>
    <w:uiPriority w:val="16"/>
    <w:qFormat/>
    <w:rsid w:val="00522EA9"/>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522EA9"/>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522EA9"/>
    <w:pPr>
      <w:spacing w:after="240"/>
      <w:jc w:val="center"/>
      <w:outlineLvl w:val="0"/>
    </w:pPr>
    <w:rPr>
      <w:rFonts w:asciiTheme="majorHAnsi" w:hAnsiTheme="majorHAnsi"/>
    </w:rPr>
  </w:style>
  <w:style w:type="paragraph" w:customStyle="1" w:styleId="JuListi">
    <w:name w:val="Ju_List_i"/>
    <w:basedOn w:val="Normal"/>
    <w:next w:val="JuLista"/>
    <w:uiPriority w:val="28"/>
    <w:qFormat/>
    <w:rsid w:val="00522EA9"/>
    <w:pPr>
      <w:ind w:left="794"/>
    </w:pPr>
  </w:style>
  <w:style w:type="paragraph" w:styleId="Title">
    <w:name w:val="Title"/>
    <w:basedOn w:val="Normal"/>
    <w:next w:val="Normal"/>
    <w:link w:val="TitleChar"/>
    <w:uiPriority w:val="99"/>
    <w:semiHidden/>
    <w:qFormat/>
    <w:rsid w:val="00522EA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522EA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522EA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522EA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22EA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522EA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22EA9"/>
    <w:pPr>
      <w:keepNext/>
      <w:keepLines/>
      <w:spacing w:before="240" w:after="120"/>
      <w:ind w:left="1236"/>
    </w:pPr>
    <w:rPr>
      <w:sz w:val="20"/>
      <w:lang w:val="en-GB"/>
    </w:rPr>
  </w:style>
  <w:style w:type="character" w:customStyle="1" w:styleId="JUNAMES">
    <w:name w:val="JU_NAMES"/>
    <w:uiPriority w:val="17"/>
    <w:qFormat/>
    <w:rsid w:val="00522EA9"/>
    <w:rPr>
      <w:caps w:val="0"/>
      <w:smallCaps/>
    </w:rPr>
  </w:style>
  <w:style w:type="paragraph" w:customStyle="1" w:styleId="JuParaSub">
    <w:name w:val="Ju_Para_Sub"/>
    <w:basedOn w:val="ECHRPara"/>
    <w:uiPriority w:val="13"/>
    <w:qFormat/>
    <w:rsid w:val="00522EA9"/>
    <w:pPr>
      <w:ind w:left="284"/>
    </w:pPr>
  </w:style>
  <w:style w:type="paragraph" w:customStyle="1" w:styleId="JuQuotSub">
    <w:name w:val="Ju_Quot_Sub"/>
    <w:basedOn w:val="ECHRParaQuote"/>
    <w:uiPriority w:val="15"/>
    <w:qFormat/>
    <w:rsid w:val="00522EA9"/>
    <w:pPr>
      <w:ind w:left="567"/>
    </w:pPr>
  </w:style>
  <w:style w:type="paragraph" w:styleId="Header">
    <w:name w:val="header"/>
    <w:basedOn w:val="Normal"/>
    <w:link w:val="HeaderChar"/>
    <w:uiPriority w:val="57"/>
    <w:semiHidden/>
    <w:rsid w:val="00522EA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22EA9"/>
    <w:rPr>
      <w:sz w:val="24"/>
      <w:lang w:val="en-GB"/>
    </w:rPr>
  </w:style>
  <w:style w:type="character" w:customStyle="1" w:styleId="Heading1Char">
    <w:name w:val="Heading 1 Char"/>
    <w:basedOn w:val="DefaultParagraphFont"/>
    <w:link w:val="Heading1"/>
    <w:uiPriority w:val="99"/>
    <w:semiHidden/>
    <w:rsid w:val="00522EA9"/>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522EA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22EA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22EA9"/>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522EA9"/>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522EA9"/>
    <w:pPr>
      <w:ind w:firstLine="284"/>
    </w:pPr>
    <w:rPr>
      <w:b/>
    </w:rPr>
  </w:style>
  <w:style w:type="character" w:customStyle="1" w:styleId="Heading3Char">
    <w:name w:val="Heading 3 Char"/>
    <w:basedOn w:val="DefaultParagraphFont"/>
    <w:link w:val="Heading3"/>
    <w:uiPriority w:val="99"/>
    <w:semiHidden/>
    <w:rsid w:val="00522EA9"/>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522EA9"/>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522EA9"/>
    <w:rPr>
      <w:rFonts w:asciiTheme="majorHAnsi" w:eastAsiaTheme="majorEastAsia" w:hAnsiTheme="majorHAnsi" w:cstheme="majorBidi"/>
      <w:b/>
      <w:bCs/>
      <w:color w:val="808080"/>
    </w:rPr>
  </w:style>
  <w:style w:type="character" w:styleId="SubtleEmphasis">
    <w:name w:val="Subtle Emphasis"/>
    <w:uiPriority w:val="99"/>
    <w:semiHidden/>
    <w:qFormat/>
    <w:rsid w:val="00522EA9"/>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522EA9"/>
    <w:pPr>
      <w:keepNext/>
      <w:keepLines/>
      <w:spacing w:before="720" w:after="240"/>
      <w:outlineLvl w:val="0"/>
    </w:pPr>
    <w:rPr>
      <w:rFonts w:asciiTheme="majorHAnsi" w:hAnsiTheme="majorHAnsi"/>
      <w:sz w:val="28"/>
    </w:rPr>
  </w:style>
  <w:style w:type="character" w:styleId="Emphasis">
    <w:name w:val="Emphasis"/>
    <w:uiPriority w:val="99"/>
    <w:semiHidden/>
    <w:qFormat/>
    <w:rsid w:val="00522EA9"/>
    <w:rPr>
      <w:b/>
      <w:bCs/>
      <w:i/>
      <w:iCs/>
      <w:spacing w:val="10"/>
      <w:bdr w:val="none" w:sz="0" w:space="0" w:color="auto"/>
      <w:shd w:val="clear" w:color="auto" w:fill="auto"/>
    </w:rPr>
  </w:style>
  <w:style w:type="paragraph" w:styleId="Footer">
    <w:name w:val="footer"/>
    <w:basedOn w:val="Normal"/>
    <w:link w:val="FooterChar"/>
    <w:uiPriority w:val="57"/>
    <w:semiHidden/>
    <w:rsid w:val="00522EA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22EA9"/>
    <w:rPr>
      <w:sz w:val="24"/>
      <w:lang w:val="en-GB"/>
    </w:rPr>
  </w:style>
  <w:style w:type="character" w:styleId="FootnoteReference">
    <w:name w:val="footnote reference"/>
    <w:basedOn w:val="DefaultParagraphFont"/>
    <w:uiPriority w:val="99"/>
    <w:semiHidden/>
    <w:rsid w:val="00522EA9"/>
    <w:rPr>
      <w:vertAlign w:val="superscript"/>
    </w:rPr>
  </w:style>
  <w:style w:type="paragraph" w:styleId="FootnoteText">
    <w:name w:val="footnote text"/>
    <w:basedOn w:val="Normal"/>
    <w:link w:val="FootnoteTextChar"/>
    <w:uiPriority w:val="99"/>
    <w:semiHidden/>
    <w:rsid w:val="00522EA9"/>
    <w:rPr>
      <w:sz w:val="20"/>
      <w:szCs w:val="20"/>
    </w:rPr>
  </w:style>
  <w:style w:type="character" w:customStyle="1" w:styleId="FootnoteTextChar">
    <w:name w:val="Footnote Text Char"/>
    <w:basedOn w:val="DefaultParagraphFont"/>
    <w:link w:val="FootnoteText"/>
    <w:uiPriority w:val="99"/>
    <w:semiHidden/>
    <w:rsid w:val="00522EA9"/>
    <w:rPr>
      <w:rFonts w:eastAsiaTheme="minorEastAsia"/>
      <w:sz w:val="20"/>
      <w:szCs w:val="20"/>
      <w:lang w:val="en-GB"/>
    </w:rPr>
  </w:style>
  <w:style w:type="character" w:customStyle="1" w:styleId="Heading6Char">
    <w:name w:val="Heading 6 Char"/>
    <w:basedOn w:val="DefaultParagraphFont"/>
    <w:link w:val="Heading6"/>
    <w:uiPriority w:val="99"/>
    <w:semiHidden/>
    <w:rsid w:val="00522EA9"/>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22EA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22EA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22EA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22EA9"/>
    <w:rPr>
      <w:color w:val="0072BC" w:themeColor="hyperlink"/>
      <w:u w:val="single"/>
    </w:rPr>
  </w:style>
  <w:style w:type="character" w:styleId="IntenseEmphasis">
    <w:name w:val="Intense Emphasis"/>
    <w:uiPriority w:val="99"/>
    <w:semiHidden/>
    <w:qFormat/>
    <w:rsid w:val="00522EA9"/>
    <w:rPr>
      <w:b/>
      <w:bCs/>
    </w:rPr>
  </w:style>
  <w:style w:type="paragraph" w:styleId="IntenseQuote">
    <w:name w:val="Intense Quote"/>
    <w:basedOn w:val="Normal"/>
    <w:next w:val="Normal"/>
    <w:link w:val="IntenseQuoteChar"/>
    <w:uiPriority w:val="99"/>
    <w:semiHidden/>
    <w:qFormat/>
    <w:rsid w:val="00522EA9"/>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522EA9"/>
    <w:rPr>
      <w:rFonts w:eastAsiaTheme="minorEastAsia"/>
      <w:b/>
      <w:bCs/>
      <w:i/>
      <w:iCs/>
      <w:lang w:bidi="en-US"/>
    </w:rPr>
  </w:style>
  <w:style w:type="character" w:styleId="IntenseReference">
    <w:name w:val="Intense Reference"/>
    <w:uiPriority w:val="99"/>
    <w:semiHidden/>
    <w:qFormat/>
    <w:rsid w:val="00522EA9"/>
    <w:rPr>
      <w:smallCaps/>
      <w:spacing w:val="5"/>
      <w:u w:val="single"/>
    </w:rPr>
  </w:style>
  <w:style w:type="paragraph" w:styleId="ListParagraph">
    <w:name w:val="List Paragraph"/>
    <w:basedOn w:val="Normal"/>
    <w:uiPriority w:val="99"/>
    <w:semiHidden/>
    <w:qFormat/>
    <w:rsid w:val="00522EA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22EA9"/>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522EA9"/>
    <w:rPr>
      <w:rFonts w:eastAsiaTheme="minorEastAsia"/>
      <w:i/>
      <w:iCs/>
      <w:lang w:bidi="en-US"/>
    </w:rPr>
  </w:style>
  <w:style w:type="character" w:styleId="SubtleReference">
    <w:name w:val="Subtle Reference"/>
    <w:uiPriority w:val="99"/>
    <w:semiHidden/>
    <w:qFormat/>
    <w:rsid w:val="00522EA9"/>
    <w:rPr>
      <w:smallCaps/>
    </w:rPr>
  </w:style>
  <w:style w:type="table" w:styleId="TableGrid">
    <w:name w:val="Table Grid"/>
    <w:basedOn w:val="TableNormal"/>
    <w:uiPriority w:val="59"/>
    <w:semiHidden/>
    <w:rsid w:val="00522E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22EA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22EA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22EA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22EA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22EA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22EA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22EA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522EA9"/>
    <w:pPr>
      <w:spacing w:before="120" w:after="120"/>
      <w:ind w:left="425" w:firstLine="142"/>
    </w:pPr>
    <w:rPr>
      <w:sz w:val="20"/>
    </w:rPr>
  </w:style>
  <w:style w:type="paragraph" w:customStyle="1" w:styleId="ECHRPara">
    <w:name w:val="ECHR_Para"/>
    <w:aliases w:val="Ju_Para"/>
    <w:basedOn w:val="Normal"/>
    <w:link w:val="ECHRParaChar"/>
    <w:uiPriority w:val="12"/>
    <w:qFormat/>
    <w:rsid w:val="00522EA9"/>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2EA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522EA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522EA9"/>
    <w:pPr>
      <w:ind w:left="340" w:hanging="340"/>
    </w:pPr>
  </w:style>
  <w:style w:type="paragraph" w:customStyle="1" w:styleId="JuSigned">
    <w:name w:val="Ju_Signed"/>
    <w:basedOn w:val="Normal"/>
    <w:next w:val="JuParaLast"/>
    <w:uiPriority w:val="32"/>
    <w:qFormat/>
    <w:rsid w:val="00522EA9"/>
    <w:pPr>
      <w:tabs>
        <w:tab w:val="center" w:pos="851"/>
        <w:tab w:val="center" w:pos="6407"/>
      </w:tabs>
      <w:spacing w:before="720"/>
      <w:jc w:val="left"/>
    </w:pPr>
  </w:style>
  <w:style w:type="paragraph" w:customStyle="1" w:styleId="JuParaLast">
    <w:name w:val="Ju_Para_Last"/>
    <w:basedOn w:val="Normal"/>
    <w:next w:val="ECHRPara"/>
    <w:uiPriority w:val="30"/>
    <w:qFormat/>
    <w:rsid w:val="00522EA9"/>
    <w:pPr>
      <w:keepNext/>
      <w:keepLines/>
      <w:spacing w:before="240"/>
      <w:ind w:firstLine="284"/>
    </w:pPr>
  </w:style>
  <w:style w:type="paragraph" w:customStyle="1" w:styleId="OpiH1">
    <w:name w:val="Opi_H_1"/>
    <w:basedOn w:val="ECHRHeading2"/>
    <w:uiPriority w:val="42"/>
    <w:qFormat/>
    <w:rsid w:val="00522EA9"/>
    <w:pPr>
      <w:ind w:left="635" w:hanging="357"/>
      <w:outlineLvl w:val="2"/>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522EA9"/>
    <w:pPr>
      <w:ind w:left="346" w:firstLine="0"/>
    </w:pPr>
  </w:style>
  <w:style w:type="paragraph" w:customStyle="1" w:styleId="OpiHa">
    <w:name w:val="Opi_H_a"/>
    <w:basedOn w:val="ECHRHeading3"/>
    <w:uiPriority w:val="43"/>
    <w:qFormat/>
    <w:rsid w:val="00522EA9"/>
    <w:pPr>
      <w:ind w:left="833" w:hanging="357"/>
      <w:outlineLvl w:val="3"/>
    </w:pPr>
    <w:rPr>
      <w:b/>
      <w:i w:val="0"/>
      <w:sz w:val="20"/>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522EA9"/>
    <w:rPr>
      <w:vertAlign w:val="superscript"/>
    </w:rPr>
  </w:style>
  <w:style w:type="paragraph" w:styleId="EndnoteText">
    <w:name w:val="endnote text"/>
    <w:basedOn w:val="Normal"/>
    <w:link w:val="EndnoteTextChar"/>
    <w:uiPriority w:val="99"/>
    <w:semiHidden/>
    <w:rsid w:val="00522EA9"/>
    <w:rPr>
      <w:sz w:val="20"/>
      <w:szCs w:val="20"/>
    </w:rPr>
  </w:style>
  <w:style w:type="character" w:customStyle="1" w:styleId="EndnoteTextChar">
    <w:name w:val="Endnote Text Char"/>
    <w:basedOn w:val="DefaultParagraphFont"/>
    <w:link w:val="EndnoteText"/>
    <w:uiPriority w:val="99"/>
    <w:semiHidden/>
    <w:rsid w:val="00522EA9"/>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522EA9"/>
    <w:pPr>
      <w:tabs>
        <w:tab w:val="clear" w:pos="357"/>
      </w:tabs>
      <w:outlineLvl w:val="1"/>
    </w:pPr>
    <w:rPr>
      <w:b/>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522EA9"/>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522EA9"/>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522EA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522EA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22EA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22EA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i">
    <w:name w:val="Opi_H_i"/>
    <w:basedOn w:val="ECHRHeading4"/>
    <w:uiPriority w:val="44"/>
    <w:qFormat/>
    <w:rsid w:val="00522EA9"/>
    <w:pPr>
      <w:ind w:left="1037" w:hanging="357"/>
      <w:outlineLvl w:val="4"/>
    </w:pPr>
    <w:rPr>
      <w:b w:val="0"/>
      <w:i/>
    </w:rPr>
  </w:style>
  <w:style w:type="paragraph" w:customStyle="1" w:styleId="OpiPara">
    <w:name w:val="Opi_Para"/>
    <w:basedOn w:val="ECHRPara"/>
    <w:uiPriority w:val="46"/>
    <w:qFormat/>
    <w:rsid w:val="00522EA9"/>
  </w:style>
  <w:style w:type="paragraph" w:customStyle="1" w:styleId="OpiParaSub">
    <w:name w:val="Opi_Para_Sub"/>
    <w:basedOn w:val="JuParaSub"/>
    <w:uiPriority w:val="47"/>
    <w:qFormat/>
    <w:rsid w:val="00522EA9"/>
  </w:style>
  <w:style w:type="paragraph" w:customStyle="1" w:styleId="OpiQuot">
    <w:name w:val="Opi_Quot"/>
    <w:basedOn w:val="ECHRParaQuote"/>
    <w:uiPriority w:val="48"/>
    <w:qFormat/>
    <w:rsid w:val="00522EA9"/>
  </w:style>
  <w:style w:type="paragraph" w:customStyle="1" w:styleId="OpiQuotSub">
    <w:name w:val="Opi_Quot_Sub"/>
    <w:basedOn w:val="JuQuotSub"/>
    <w:uiPriority w:val="49"/>
    <w:qFormat/>
    <w:rsid w:val="00522EA9"/>
  </w:style>
  <w:style w:type="paragraph" w:customStyle="1" w:styleId="OpiTranslation">
    <w:name w:val="Opi_Translation"/>
    <w:basedOn w:val="Normal"/>
    <w:next w:val="OpiPara"/>
    <w:uiPriority w:val="40"/>
    <w:qFormat/>
    <w:rsid w:val="00522EA9"/>
    <w:pPr>
      <w:jc w:val="center"/>
      <w:outlineLvl w:val="0"/>
    </w:pPr>
    <w:rPr>
      <w:i/>
    </w:rPr>
  </w:style>
  <w:style w:type="paragraph" w:customStyle="1" w:styleId="JuHeaderLandscape">
    <w:name w:val="Ju_Header_Landscape"/>
    <w:basedOn w:val="ECHRHeader"/>
    <w:uiPriority w:val="4"/>
    <w:qFormat/>
    <w:rsid w:val="00522EA9"/>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23235"/>
    <w:rPr>
      <w:rFonts w:eastAsiaTheme="minorEastAsia"/>
      <w:sz w:val="24"/>
      <w:lang w:val="en-GB"/>
    </w:rPr>
  </w:style>
  <w:style w:type="paragraph" w:styleId="Revision">
    <w:name w:val="Revision"/>
    <w:hidden/>
    <w:uiPriority w:val="99"/>
    <w:semiHidden/>
    <w:rsid w:val="005517F7"/>
    <w:rPr>
      <w:rFonts w:eastAsiaTheme="minorEastAsia"/>
      <w:sz w:val="24"/>
    </w:rPr>
  </w:style>
  <w:style w:type="paragraph" w:customStyle="1" w:styleId="jupara">
    <w:name w:val="jupara"/>
    <w:basedOn w:val="Normal"/>
    <w:rsid w:val="004E1489"/>
    <w:pPr>
      <w:ind w:firstLine="284"/>
    </w:pPr>
    <w:rPr>
      <w:rFonts w:ascii="Times New Roman" w:eastAsia="Times New Roman" w:hAnsi="Times New Roman" w:cs="Times New Roman"/>
      <w:szCs w:val="24"/>
      <w:lang w:eastAsia="en-GB"/>
    </w:rPr>
  </w:style>
  <w:style w:type="paragraph" w:customStyle="1" w:styleId="jucase0">
    <w:name w:val="jucase"/>
    <w:basedOn w:val="Normal"/>
    <w:rsid w:val="004E1489"/>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348">
      <w:bodyDiv w:val="1"/>
      <w:marLeft w:val="0"/>
      <w:marRight w:val="0"/>
      <w:marTop w:val="0"/>
      <w:marBottom w:val="0"/>
      <w:divBdr>
        <w:top w:val="none" w:sz="0" w:space="0" w:color="auto"/>
        <w:left w:val="none" w:sz="0" w:space="0" w:color="auto"/>
        <w:bottom w:val="none" w:sz="0" w:space="0" w:color="auto"/>
        <w:right w:val="none" w:sz="0" w:space="0" w:color="auto"/>
      </w:divBdr>
      <w:divsChild>
        <w:div w:id="1668552282">
          <w:marLeft w:val="0"/>
          <w:marRight w:val="0"/>
          <w:marTop w:val="0"/>
          <w:marBottom w:val="0"/>
          <w:divBdr>
            <w:top w:val="none" w:sz="0" w:space="0" w:color="auto"/>
            <w:left w:val="none" w:sz="0" w:space="0" w:color="auto"/>
            <w:bottom w:val="none" w:sz="0" w:space="0" w:color="auto"/>
            <w:right w:val="none" w:sz="0" w:space="0" w:color="auto"/>
          </w:divBdr>
          <w:divsChild>
            <w:div w:id="936519025">
              <w:marLeft w:val="0"/>
              <w:marRight w:val="0"/>
              <w:marTop w:val="0"/>
              <w:marBottom w:val="0"/>
              <w:divBdr>
                <w:top w:val="none" w:sz="0" w:space="0" w:color="auto"/>
                <w:left w:val="none" w:sz="0" w:space="0" w:color="auto"/>
                <w:bottom w:val="none" w:sz="0" w:space="0" w:color="auto"/>
                <w:right w:val="none" w:sz="0" w:space="0" w:color="auto"/>
              </w:divBdr>
              <w:divsChild>
                <w:div w:id="1926263407">
                  <w:marLeft w:val="0"/>
                  <w:marRight w:val="0"/>
                  <w:marTop w:val="0"/>
                  <w:marBottom w:val="0"/>
                  <w:divBdr>
                    <w:top w:val="none" w:sz="0" w:space="0" w:color="auto"/>
                    <w:left w:val="none" w:sz="0" w:space="0" w:color="auto"/>
                    <w:bottom w:val="none" w:sz="0" w:space="0" w:color="auto"/>
                    <w:right w:val="none" w:sz="0" w:space="0" w:color="auto"/>
                  </w:divBdr>
                  <w:divsChild>
                    <w:div w:id="689600887">
                      <w:marLeft w:val="0"/>
                      <w:marRight w:val="0"/>
                      <w:marTop w:val="0"/>
                      <w:marBottom w:val="0"/>
                      <w:divBdr>
                        <w:top w:val="none" w:sz="0" w:space="0" w:color="auto"/>
                        <w:left w:val="none" w:sz="0" w:space="0" w:color="auto"/>
                        <w:bottom w:val="none" w:sz="0" w:space="0" w:color="auto"/>
                        <w:right w:val="none" w:sz="0" w:space="0" w:color="auto"/>
                      </w:divBdr>
                      <w:divsChild>
                        <w:div w:id="289671196">
                          <w:marLeft w:val="0"/>
                          <w:marRight w:val="0"/>
                          <w:marTop w:val="0"/>
                          <w:marBottom w:val="0"/>
                          <w:divBdr>
                            <w:top w:val="none" w:sz="0" w:space="0" w:color="auto"/>
                            <w:left w:val="none" w:sz="0" w:space="0" w:color="auto"/>
                            <w:bottom w:val="none" w:sz="0" w:space="0" w:color="auto"/>
                            <w:right w:val="none" w:sz="0" w:space="0" w:color="auto"/>
                          </w:divBdr>
                          <w:divsChild>
                            <w:div w:id="9854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8113">
      <w:bodyDiv w:val="1"/>
      <w:marLeft w:val="0"/>
      <w:marRight w:val="0"/>
      <w:marTop w:val="0"/>
      <w:marBottom w:val="0"/>
      <w:divBdr>
        <w:top w:val="none" w:sz="0" w:space="0" w:color="auto"/>
        <w:left w:val="none" w:sz="0" w:space="0" w:color="auto"/>
        <w:bottom w:val="none" w:sz="0" w:space="0" w:color="auto"/>
        <w:right w:val="none" w:sz="0" w:space="0" w:color="auto"/>
      </w:divBdr>
      <w:divsChild>
        <w:div w:id="729228821">
          <w:marLeft w:val="0"/>
          <w:marRight w:val="0"/>
          <w:marTop w:val="0"/>
          <w:marBottom w:val="0"/>
          <w:divBdr>
            <w:top w:val="none" w:sz="0" w:space="0" w:color="auto"/>
            <w:left w:val="none" w:sz="0" w:space="0" w:color="auto"/>
            <w:bottom w:val="none" w:sz="0" w:space="0" w:color="auto"/>
            <w:right w:val="none" w:sz="0" w:space="0" w:color="auto"/>
          </w:divBdr>
          <w:divsChild>
            <w:div w:id="1524898856">
              <w:marLeft w:val="0"/>
              <w:marRight w:val="0"/>
              <w:marTop w:val="0"/>
              <w:marBottom w:val="0"/>
              <w:divBdr>
                <w:top w:val="none" w:sz="0" w:space="0" w:color="auto"/>
                <w:left w:val="none" w:sz="0" w:space="0" w:color="auto"/>
                <w:bottom w:val="none" w:sz="0" w:space="0" w:color="auto"/>
                <w:right w:val="none" w:sz="0" w:space="0" w:color="auto"/>
              </w:divBdr>
              <w:divsChild>
                <w:div w:id="1429889363">
                  <w:marLeft w:val="0"/>
                  <w:marRight w:val="0"/>
                  <w:marTop w:val="0"/>
                  <w:marBottom w:val="0"/>
                  <w:divBdr>
                    <w:top w:val="none" w:sz="0" w:space="0" w:color="auto"/>
                    <w:left w:val="none" w:sz="0" w:space="0" w:color="auto"/>
                    <w:bottom w:val="none" w:sz="0" w:space="0" w:color="auto"/>
                    <w:right w:val="none" w:sz="0" w:space="0" w:color="auto"/>
                  </w:divBdr>
                  <w:divsChild>
                    <w:div w:id="1776439884">
                      <w:marLeft w:val="0"/>
                      <w:marRight w:val="0"/>
                      <w:marTop w:val="0"/>
                      <w:marBottom w:val="0"/>
                      <w:divBdr>
                        <w:top w:val="none" w:sz="0" w:space="0" w:color="auto"/>
                        <w:left w:val="none" w:sz="0" w:space="0" w:color="auto"/>
                        <w:bottom w:val="none" w:sz="0" w:space="0" w:color="auto"/>
                        <w:right w:val="none" w:sz="0" w:space="0" w:color="auto"/>
                      </w:divBdr>
                      <w:divsChild>
                        <w:div w:id="801653641">
                          <w:marLeft w:val="0"/>
                          <w:marRight w:val="0"/>
                          <w:marTop w:val="0"/>
                          <w:marBottom w:val="0"/>
                          <w:divBdr>
                            <w:top w:val="none" w:sz="0" w:space="0" w:color="auto"/>
                            <w:left w:val="none" w:sz="0" w:space="0" w:color="auto"/>
                            <w:bottom w:val="none" w:sz="0" w:space="0" w:color="auto"/>
                            <w:right w:val="none" w:sz="0" w:space="0" w:color="auto"/>
                          </w:divBdr>
                          <w:divsChild>
                            <w:div w:id="6117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1151">
      <w:bodyDiv w:val="1"/>
      <w:marLeft w:val="0"/>
      <w:marRight w:val="0"/>
      <w:marTop w:val="0"/>
      <w:marBottom w:val="0"/>
      <w:divBdr>
        <w:top w:val="none" w:sz="0" w:space="0" w:color="auto"/>
        <w:left w:val="none" w:sz="0" w:space="0" w:color="auto"/>
        <w:bottom w:val="none" w:sz="0" w:space="0" w:color="auto"/>
        <w:right w:val="none" w:sz="0" w:space="0" w:color="auto"/>
      </w:divBdr>
      <w:divsChild>
        <w:div w:id="1078941793">
          <w:marLeft w:val="0"/>
          <w:marRight w:val="0"/>
          <w:marTop w:val="0"/>
          <w:marBottom w:val="0"/>
          <w:divBdr>
            <w:top w:val="none" w:sz="0" w:space="0" w:color="auto"/>
            <w:left w:val="none" w:sz="0" w:space="0" w:color="auto"/>
            <w:bottom w:val="none" w:sz="0" w:space="0" w:color="auto"/>
            <w:right w:val="none" w:sz="0" w:space="0" w:color="auto"/>
          </w:divBdr>
          <w:divsChild>
            <w:div w:id="1932426667">
              <w:marLeft w:val="0"/>
              <w:marRight w:val="0"/>
              <w:marTop w:val="0"/>
              <w:marBottom w:val="0"/>
              <w:divBdr>
                <w:top w:val="none" w:sz="0" w:space="0" w:color="auto"/>
                <w:left w:val="none" w:sz="0" w:space="0" w:color="auto"/>
                <w:bottom w:val="none" w:sz="0" w:space="0" w:color="auto"/>
                <w:right w:val="none" w:sz="0" w:space="0" w:color="auto"/>
              </w:divBdr>
              <w:divsChild>
                <w:div w:id="455686414">
                  <w:marLeft w:val="0"/>
                  <w:marRight w:val="0"/>
                  <w:marTop w:val="0"/>
                  <w:marBottom w:val="0"/>
                  <w:divBdr>
                    <w:top w:val="none" w:sz="0" w:space="0" w:color="auto"/>
                    <w:left w:val="none" w:sz="0" w:space="0" w:color="auto"/>
                    <w:bottom w:val="none" w:sz="0" w:space="0" w:color="auto"/>
                    <w:right w:val="none" w:sz="0" w:space="0" w:color="auto"/>
                  </w:divBdr>
                  <w:divsChild>
                    <w:div w:id="389809807">
                      <w:marLeft w:val="0"/>
                      <w:marRight w:val="0"/>
                      <w:marTop w:val="0"/>
                      <w:marBottom w:val="0"/>
                      <w:divBdr>
                        <w:top w:val="none" w:sz="0" w:space="0" w:color="auto"/>
                        <w:left w:val="none" w:sz="0" w:space="0" w:color="auto"/>
                        <w:bottom w:val="none" w:sz="0" w:space="0" w:color="auto"/>
                        <w:right w:val="none" w:sz="0" w:space="0" w:color="auto"/>
                      </w:divBdr>
                      <w:divsChild>
                        <w:div w:id="143161380">
                          <w:marLeft w:val="0"/>
                          <w:marRight w:val="0"/>
                          <w:marTop w:val="0"/>
                          <w:marBottom w:val="0"/>
                          <w:divBdr>
                            <w:top w:val="none" w:sz="0" w:space="0" w:color="auto"/>
                            <w:left w:val="none" w:sz="0" w:space="0" w:color="auto"/>
                            <w:bottom w:val="none" w:sz="0" w:space="0" w:color="auto"/>
                            <w:right w:val="none" w:sz="0" w:space="0" w:color="auto"/>
                          </w:divBdr>
                          <w:divsChild>
                            <w:div w:id="17765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61027">
      <w:bodyDiv w:val="1"/>
      <w:marLeft w:val="0"/>
      <w:marRight w:val="0"/>
      <w:marTop w:val="0"/>
      <w:marBottom w:val="0"/>
      <w:divBdr>
        <w:top w:val="none" w:sz="0" w:space="0" w:color="auto"/>
        <w:left w:val="none" w:sz="0" w:space="0" w:color="auto"/>
        <w:bottom w:val="none" w:sz="0" w:space="0" w:color="auto"/>
        <w:right w:val="none" w:sz="0" w:space="0" w:color="auto"/>
      </w:divBdr>
      <w:divsChild>
        <w:div w:id="857229982">
          <w:marLeft w:val="0"/>
          <w:marRight w:val="0"/>
          <w:marTop w:val="0"/>
          <w:marBottom w:val="0"/>
          <w:divBdr>
            <w:top w:val="none" w:sz="0" w:space="0" w:color="auto"/>
            <w:left w:val="none" w:sz="0" w:space="0" w:color="auto"/>
            <w:bottom w:val="none" w:sz="0" w:space="0" w:color="auto"/>
            <w:right w:val="none" w:sz="0" w:space="0" w:color="auto"/>
          </w:divBdr>
          <w:divsChild>
            <w:div w:id="990407549">
              <w:marLeft w:val="0"/>
              <w:marRight w:val="0"/>
              <w:marTop w:val="0"/>
              <w:marBottom w:val="0"/>
              <w:divBdr>
                <w:top w:val="none" w:sz="0" w:space="0" w:color="auto"/>
                <w:left w:val="none" w:sz="0" w:space="0" w:color="auto"/>
                <w:bottom w:val="none" w:sz="0" w:space="0" w:color="auto"/>
                <w:right w:val="none" w:sz="0" w:space="0" w:color="auto"/>
              </w:divBdr>
              <w:divsChild>
                <w:div w:id="808983665">
                  <w:marLeft w:val="0"/>
                  <w:marRight w:val="0"/>
                  <w:marTop w:val="0"/>
                  <w:marBottom w:val="0"/>
                  <w:divBdr>
                    <w:top w:val="none" w:sz="0" w:space="0" w:color="auto"/>
                    <w:left w:val="none" w:sz="0" w:space="0" w:color="auto"/>
                    <w:bottom w:val="none" w:sz="0" w:space="0" w:color="auto"/>
                    <w:right w:val="none" w:sz="0" w:space="0" w:color="auto"/>
                  </w:divBdr>
                  <w:divsChild>
                    <w:div w:id="1923181447">
                      <w:marLeft w:val="0"/>
                      <w:marRight w:val="0"/>
                      <w:marTop w:val="0"/>
                      <w:marBottom w:val="0"/>
                      <w:divBdr>
                        <w:top w:val="none" w:sz="0" w:space="0" w:color="auto"/>
                        <w:left w:val="none" w:sz="0" w:space="0" w:color="auto"/>
                        <w:bottom w:val="none" w:sz="0" w:space="0" w:color="auto"/>
                        <w:right w:val="none" w:sz="0" w:space="0" w:color="auto"/>
                      </w:divBdr>
                      <w:divsChild>
                        <w:div w:id="1704747585">
                          <w:marLeft w:val="0"/>
                          <w:marRight w:val="0"/>
                          <w:marTop w:val="0"/>
                          <w:marBottom w:val="0"/>
                          <w:divBdr>
                            <w:top w:val="none" w:sz="0" w:space="0" w:color="auto"/>
                            <w:left w:val="none" w:sz="0" w:space="0" w:color="auto"/>
                            <w:bottom w:val="none" w:sz="0" w:space="0" w:color="auto"/>
                            <w:right w:val="none" w:sz="0" w:space="0" w:color="auto"/>
                          </w:divBdr>
                          <w:divsChild>
                            <w:div w:id="13509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22054273">
      <w:bodyDiv w:val="1"/>
      <w:marLeft w:val="0"/>
      <w:marRight w:val="0"/>
      <w:marTop w:val="0"/>
      <w:marBottom w:val="0"/>
      <w:divBdr>
        <w:top w:val="none" w:sz="0" w:space="0" w:color="auto"/>
        <w:left w:val="none" w:sz="0" w:space="0" w:color="auto"/>
        <w:bottom w:val="none" w:sz="0" w:space="0" w:color="auto"/>
        <w:right w:val="none" w:sz="0" w:space="0" w:color="auto"/>
      </w:divBdr>
      <w:divsChild>
        <w:div w:id="1022974093">
          <w:marLeft w:val="0"/>
          <w:marRight w:val="0"/>
          <w:marTop w:val="0"/>
          <w:marBottom w:val="0"/>
          <w:divBdr>
            <w:top w:val="none" w:sz="0" w:space="0" w:color="auto"/>
            <w:left w:val="none" w:sz="0" w:space="0" w:color="auto"/>
            <w:bottom w:val="none" w:sz="0" w:space="0" w:color="auto"/>
            <w:right w:val="none" w:sz="0" w:space="0" w:color="auto"/>
          </w:divBdr>
          <w:divsChild>
            <w:div w:id="413818681">
              <w:marLeft w:val="0"/>
              <w:marRight w:val="0"/>
              <w:marTop w:val="0"/>
              <w:marBottom w:val="0"/>
              <w:divBdr>
                <w:top w:val="none" w:sz="0" w:space="0" w:color="auto"/>
                <w:left w:val="none" w:sz="0" w:space="0" w:color="auto"/>
                <w:bottom w:val="none" w:sz="0" w:space="0" w:color="auto"/>
                <w:right w:val="none" w:sz="0" w:space="0" w:color="auto"/>
              </w:divBdr>
              <w:divsChild>
                <w:div w:id="900169134">
                  <w:marLeft w:val="0"/>
                  <w:marRight w:val="0"/>
                  <w:marTop w:val="0"/>
                  <w:marBottom w:val="0"/>
                  <w:divBdr>
                    <w:top w:val="none" w:sz="0" w:space="0" w:color="auto"/>
                    <w:left w:val="none" w:sz="0" w:space="0" w:color="auto"/>
                    <w:bottom w:val="none" w:sz="0" w:space="0" w:color="auto"/>
                    <w:right w:val="none" w:sz="0" w:space="0" w:color="auto"/>
                  </w:divBdr>
                  <w:divsChild>
                    <w:div w:id="1580208758">
                      <w:marLeft w:val="0"/>
                      <w:marRight w:val="0"/>
                      <w:marTop w:val="0"/>
                      <w:marBottom w:val="0"/>
                      <w:divBdr>
                        <w:top w:val="none" w:sz="0" w:space="0" w:color="auto"/>
                        <w:left w:val="none" w:sz="0" w:space="0" w:color="auto"/>
                        <w:bottom w:val="none" w:sz="0" w:space="0" w:color="auto"/>
                        <w:right w:val="none" w:sz="0" w:space="0" w:color="auto"/>
                      </w:divBdr>
                      <w:divsChild>
                        <w:div w:id="1562211956">
                          <w:marLeft w:val="0"/>
                          <w:marRight w:val="0"/>
                          <w:marTop w:val="0"/>
                          <w:marBottom w:val="0"/>
                          <w:divBdr>
                            <w:top w:val="none" w:sz="0" w:space="0" w:color="auto"/>
                            <w:left w:val="none" w:sz="0" w:space="0" w:color="auto"/>
                            <w:bottom w:val="none" w:sz="0" w:space="0" w:color="auto"/>
                            <w:right w:val="none" w:sz="0" w:space="0" w:color="auto"/>
                          </w:divBdr>
                          <w:divsChild>
                            <w:div w:id="1580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36651">
      <w:bodyDiv w:val="1"/>
      <w:marLeft w:val="0"/>
      <w:marRight w:val="0"/>
      <w:marTop w:val="0"/>
      <w:marBottom w:val="0"/>
      <w:divBdr>
        <w:top w:val="none" w:sz="0" w:space="0" w:color="auto"/>
        <w:left w:val="none" w:sz="0" w:space="0" w:color="auto"/>
        <w:bottom w:val="none" w:sz="0" w:space="0" w:color="auto"/>
        <w:right w:val="none" w:sz="0" w:space="0" w:color="auto"/>
      </w:divBdr>
      <w:divsChild>
        <w:div w:id="139805913">
          <w:marLeft w:val="0"/>
          <w:marRight w:val="0"/>
          <w:marTop w:val="0"/>
          <w:marBottom w:val="0"/>
          <w:divBdr>
            <w:top w:val="none" w:sz="0" w:space="0" w:color="auto"/>
            <w:left w:val="none" w:sz="0" w:space="0" w:color="auto"/>
            <w:bottom w:val="none" w:sz="0" w:space="0" w:color="auto"/>
            <w:right w:val="none" w:sz="0" w:space="0" w:color="auto"/>
          </w:divBdr>
          <w:divsChild>
            <w:div w:id="718826143">
              <w:marLeft w:val="0"/>
              <w:marRight w:val="0"/>
              <w:marTop w:val="0"/>
              <w:marBottom w:val="0"/>
              <w:divBdr>
                <w:top w:val="none" w:sz="0" w:space="0" w:color="auto"/>
                <w:left w:val="none" w:sz="0" w:space="0" w:color="auto"/>
                <w:bottom w:val="none" w:sz="0" w:space="0" w:color="auto"/>
                <w:right w:val="none" w:sz="0" w:space="0" w:color="auto"/>
              </w:divBdr>
              <w:divsChild>
                <w:div w:id="1597447878">
                  <w:marLeft w:val="0"/>
                  <w:marRight w:val="0"/>
                  <w:marTop w:val="0"/>
                  <w:marBottom w:val="0"/>
                  <w:divBdr>
                    <w:top w:val="none" w:sz="0" w:space="0" w:color="auto"/>
                    <w:left w:val="none" w:sz="0" w:space="0" w:color="auto"/>
                    <w:bottom w:val="none" w:sz="0" w:space="0" w:color="auto"/>
                    <w:right w:val="none" w:sz="0" w:space="0" w:color="auto"/>
                  </w:divBdr>
                  <w:divsChild>
                    <w:div w:id="1425153555">
                      <w:marLeft w:val="0"/>
                      <w:marRight w:val="0"/>
                      <w:marTop w:val="0"/>
                      <w:marBottom w:val="0"/>
                      <w:divBdr>
                        <w:top w:val="none" w:sz="0" w:space="0" w:color="auto"/>
                        <w:left w:val="none" w:sz="0" w:space="0" w:color="auto"/>
                        <w:bottom w:val="none" w:sz="0" w:space="0" w:color="auto"/>
                        <w:right w:val="none" w:sz="0" w:space="0" w:color="auto"/>
                      </w:divBdr>
                      <w:divsChild>
                        <w:div w:id="1869829755">
                          <w:marLeft w:val="0"/>
                          <w:marRight w:val="0"/>
                          <w:marTop w:val="0"/>
                          <w:marBottom w:val="0"/>
                          <w:divBdr>
                            <w:top w:val="none" w:sz="0" w:space="0" w:color="auto"/>
                            <w:left w:val="none" w:sz="0" w:space="0" w:color="auto"/>
                            <w:bottom w:val="none" w:sz="0" w:space="0" w:color="auto"/>
                            <w:right w:val="none" w:sz="0" w:space="0" w:color="auto"/>
                          </w:divBdr>
                          <w:divsChild>
                            <w:div w:id="460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13495">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318577471">
              <w:marLeft w:val="0"/>
              <w:marRight w:val="0"/>
              <w:marTop w:val="0"/>
              <w:marBottom w:val="0"/>
              <w:divBdr>
                <w:top w:val="none" w:sz="0" w:space="0" w:color="auto"/>
                <w:left w:val="none" w:sz="0" w:space="0" w:color="auto"/>
                <w:bottom w:val="none" w:sz="0" w:space="0" w:color="auto"/>
                <w:right w:val="none" w:sz="0" w:space="0" w:color="auto"/>
              </w:divBdr>
              <w:divsChild>
                <w:div w:id="403768404">
                  <w:marLeft w:val="0"/>
                  <w:marRight w:val="0"/>
                  <w:marTop w:val="0"/>
                  <w:marBottom w:val="0"/>
                  <w:divBdr>
                    <w:top w:val="none" w:sz="0" w:space="0" w:color="auto"/>
                    <w:left w:val="none" w:sz="0" w:space="0" w:color="auto"/>
                    <w:bottom w:val="none" w:sz="0" w:space="0" w:color="auto"/>
                    <w:right w:val="none" w:sz="0" w:space="0" w:color="auto"/>
                  </w:divBdr>
                  <w:divsChild>
                    <w:div w:id="1732002237">
                      <w:marLeft w:val="0"/>
                      <w:marRight w:val="0"/>
                      <w:marTop w:val="0"/>
                      <w:marBottom w:val="0"/>
                      <w:divBdr>
                        <w:top w:val="none" w:sz="0" w:space="0" w:color="auto"/>
                        <w:left w:val="none" w:sz="0" w:space="0" w:color="auto"/>
                        <w:bottom w:val="none" w:sz="0" w:space="0" w:color="auto"/>
                        <w:right w:val="none" w:sz="0" w:space="0" w:color="auto"/>
                      </w:divBdr>
                      <w:divsChild>
                        <w:div w:id="1259680187">
                          <w:marLeft w:val="0"/>
                          <w:marRight w:val="0"/>
                          <w:marTop w:val="0"/>
                          <w:marBottom w:val="0"/>
                          <w:divBdr>
                            <w:top w:val="none" w:sz="0" w:space="0" w:color="auto"/>
                            <w:left w:val="none" w:sz="0" w:space="0" w:color="auto"/>
                            <w:bottom w:val="none" w:sz="0" w:space="0" w:color="auto"/>
                            <w:right w:val="none" w:sz="0" w:space="0" w:color="auto"/>
                          </w:divBdr>
                          <w:divsChild>
                            <w:div w:id="1104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2261872">
      <w:bodyDiv w:val="1"/>
      <w:marLeft w:val="0"/>
      <w:marRight w:val="0"/>
      <w:marTop w:val="0"/>
      <w:marBottom w:val="0"/>
      <w:divBdr>
        <w:top w:val="none" w:sz="0" w:space="0" w:color="auto"/>
        <w:left w:val="none" w:sz="0" w:space="0" w:color="auto"/>
        <w:bottom w:val="none" w:sz="0" w:space="0" w:color="auto"/>
        <w:right w:val="none" w:sz="0" w:space="0" w:color="auto"/>
      </w:divBdr>
      <w:divsChild>
        <w:div w:id="1455560992">
          <w:marLeft w:val="0"/>
          <w:marRight w:val="0"/>
          <w:marTop w:val="0"/>
          <w:marBottom w:val="0"/>
          <w:divBdr>
            <w:top w:val="none" w:sz="0" w:space="0" w:color="auto"/>
            <w:left w:val="none" w:sz="0" w:space="0" w:color="auto"/>
            <w:bottom w:val="none" w:sz="0" w:space="0" w:color="auto"/>
            <w:right w:val="none" w:sz="0" w:space="0" w:color="auto"/>
          </w:divBdr>
          <w:divsChild>
            <w:div w:id="1082336544">
              <w:marLeft w:val="0"/>
              <w:marRight w:val="0"/>
              <w:marTop w:val="0"/>
              <w:marBottom w:val="0"/>
              <w:divBdr>
                <w:top w:val="none" w:sz="0" w:space="0" w:color="auto"/>
                <w:left w:val="none" w:sz="0" w:space="0" w:color="auto"/>
                <w:bottom w:val="none" w:sz="0" w:space="0" w:color="auto"/>
                <w:right w:val="none" w:sz="0" w:space="0" w:color="auto"/>
              </w:divBdr>
              <w:divsChild>
                <w:div w:id="691568220">
                  <w:marLeft w:val="0"/>
                  <w:marRight w:val="0"/>
                  <w:marTop w:val="0"/>
                  <w:marBottom w:val="0"/>
                  <w:divBdr>
                    <w:top w:val="none" w:sz="0" w:space="0" w:color="auto"/>
                    <w:left w:val="none" w:sz="0" w:space="0" w:color="auto"/>
                    <w:bottom w:val="none" w:sz="0" w:space="0" w:color="auto"/>
                    <w:right w:val="none" w:sz="0" w:space="0" w:color="auto"/>
                  </w:divBdr>
                  <w:divsChild>
                    <w:div w:id="968973563">
                      <w:marLeft w:val="0"/>
                      <w:marRight w:val="0"/>
                      <w:marTop w:val="0"/>
                      <w:marBottom w:val="0"/>
                      <w:divBdr>
                        <w:top w:val="none" w:sz="0" w:space="0" w:color="auto"/>
                        <w:left w:val="none" w:sz="0" w:space="0" w:color="auto"/>
                        <w:bottom w:val="none" w:sz="0" w:space="0" w:color="auto"/>
                        <w:right w:val="none" w:sz="0" w:space="0" w:color="auto"/>
                      </w:divBdr>
                      <w:divsChild>
                        <w:div w:id="391463081">
                          <w:marLeft w:val="0"/>
                          <w:marRight w:val="0"/>
                          <w:marTop w:val="0"/>
                          <w:marBottom w:val="0"/>
                          <w:divBdr>
                            <w:top w:val="none" w:sz="0" w:space="0" w:color="auto"/>
                            <w:left w:val="none" w:sz="0" w:space="0" w:color="auto"/>
                            <w:bottom w:val="none" w:sz="0" w:space="0" w:color="auto"/>
                            <w:right w:val="none" w:sz="0" w:space="0" w:color="auto"/>
                          </w:divBdr>
                          <w:divsChild>
                            <w:div w:id="20731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96910">
      <w:bodyDiv w:val="1"/>
      <w:marLeft w:val="0"/>
      <w:marRight w:val="0"/>
      <w:marTop w:val="0"/>
      <w:marBottom w:val="0"/>
      <w:divBdr>
        <w:top w:val="none" w:sz="0" w:space="0" w:color="auto"/>
        <w:left w:val="none" w:sz="0" w:space="0" w:color="auto"/>
        <w:bottom w:val="none" w:sz="0" w:space="0" w:color="auto"/>
        <w:right w:val="none" w:sz="0" w:space="0" w:color="auto"/>
      </w:divBdr>
      <w:divsChild>
        <w:div w:id="927538264">
          <w:marLeft w:val="0"/>
          <w:marRight w:val="0"/>
          <w:marTop w:val="0"/>
          <w:marBottom w:val="0"/>
          <w:divBdr>
            <w:top w:val="none" w:sz="0" w:space="0" w:color="auto"/>
            <w:left w:val="none" w:sz="0" w:space="0" w:color="auto"/>
            <w:bottom w:val="none" w:sz="0" w:space="0" w:color="auto"/>
            <w:right w:val="none" w:sz="0" w:space="0" w:color="auto"/>
          </w:divBdr>
          <w:divsChild>
            <w:div w:id="1991984498">
              <w:marLeft w:val="0"/>
              <w:marRight w:val="0"/>
              <w:marTop w:val="0"/>
              <w:marBottom w:val="0"/>
              <w:divBdr>
                <w:top w:val="none" w:sz="0" w:space="0" w:color="auto"/>
                <w:left w:val="none" w:sz="0" w:space="0" w:color="auto"/>
                <w:bottom w:val="none" w:sz="0" w:space="0" w:color="auto"/>
                <w:right w:val="none" w:sz="0" w:space="0" w:color="auto"/>
              </w:divBdr>
              <w:divsChild>
                <w:div w:id="1398087045">
                  <w:marLeft w:val="0"/>
                  <w:marRight w:val="0"/>
                  <w:marTop w:val="0"/>
                  <w:marBottom w:val="0"/>
                  <w:divBdr>
                    <w:top w:val="none" w:sz="0" w:space="0" w:color="auto"/>
                    <w:left w:val="none" w:sz="0" w:space="0" w:color="auto"/>
                    <w:bottom w:val="none" w:sz="0" w:space="0" w:color="auto"/>
                    <w:right w:val="none" w:sz="0" w:space="0" w:color="auto"/>
                  </w:divBdr>
                  <w:divsChild>
                    <w:div w:id="1435440282">
                      <w:marLeft w:val="0"/>
                      <w:marRight w:val="0"/>
                      <w:marTop w:val="0"/>
                      <w:marBottom w:val="0"/>
                      <w:divBdr>
                        <w:top w:val="none" w:sz="0" w:space="0" w:color="auto"/>
                        <w:left w:val="none" w:sz="0" w:space="0" w:color="auto"/>
                        <w:bottom w:val="none" w:sz="0" w:space="0" w:color="auto"/>
                        <w:right w:val="none" w:sz="0" w:space="0" w:color="auto"/>
                      </w:divBdr>
                      <w:divsChild>
                        <w:div w:id="1565721385">
                          <w:marLeft w:val="0"/>
                          <w:marRight w:val="0"/>
                          <w:marTop w:val="0"/>
                          <w:marBottom w:val="0"/>
                          <w:divBdr>
                            <w:top w:val="none" w:sz="0" w:space="0" w:color="auto"/>
                            <w:left w:val="none" w:sz="0" w:space="0" w:color="auto"/>
                            <w:bottom w:val="none" w:sz="0" w:space="0" w:color="auto"/>
                            <w:right w:val="none" w:sz="0" w:space="0" w:color="auto"/>
                          </w:divBdr>
                          <w:divsChild>
                            <w:div w:id="20349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eng?i=001-167490" TargetMode="External"/><Relationship Id="rId18" Type="http://schemas.openxmlformats.org/officeDocument/2006/relationships/hyperlink" Target="http://hudoc.echr.coe.int/eng?i=001-1560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hudoc.echr.coe.int/eng?i=001-704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doc.echr.coe.int/eng?i=001-58039" TargetMode="External"/><Relationship Id="rId20" Type="http://schemas.openxmlformats.org/officeDocument/2006/relationships/hyperlink" Target="http://hudoc.echr.coe.int/eng?i=001-183126"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hudoc.echr.coe.int/eng?i=001-79996" TargetMode="Externa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hudoc.echr.coe.int/eng?i=001-5822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eng?i=001-121615" TargetMode="External"/><Relationship Id="rId22" Type="http://schemas.openxmlformats.org/officeDocument/2006/relationships/header" Target="header6.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CC49B-34D7-46CD-B864-8A8EC32146EB}"/>
</file>

<file path=customXml/itemProps2.xml><?xml version="1.0" encoding="utf-8"?>
<ds:datastoreItem xmlns:ds="http://schemas.openxmlformats.org/officeDocument/2006/customXml" ds:itemID="{7C02B5B1-C52E-48D1-B6C1-5B04564FBBE9}"/>
</file>

<file path=customXml/itemProps3.xml><?xml version="1.0" encoding="utf-8"?>
<ds:datastoreItem xmlns:ds="http://schemas.openxmlformats.org/officeDocument/2006/customXml" ds:itemID="{F98D0A00-AAD2-4DC3-BBB7-151B98E5D832}"/>
</file>

<file path=customXml/itemProps4.xml><?xml version="1.0" encoding="utf-8"?>
<ds:datastoreItem xmlns:ds="http://schemas.openxmlformats.org/officeDocument/2006/customXml" ds:itemID="{B7DBA0B9-ECE4-4F70-AFC1-37B9FDEC4FFB}"/>
</file>

<file path=docProps/app.xml><?xml version="1.0" encoding="utf-8"?>
<Properties xmlns="http://schemas.openxmlformats.org/officeDocument/2006/extended-properties" xmlns:vt="http://schemas.openxmlformats.org/officeDocument/2006/docPropsVTypes">
  <Template>Normal.dotm</Template>
  <TotalTime>0</TotalTime>
  <Pages>1</Pages>
  <Words>14355</Words>
  <Characters>81828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2020-07-24T08:14:00Z</dcterms:created>
  <dcterms:modified xsi:type="dcterms:W3CDTF">2020-07-24T08:14:00Z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27057/06</vt:lpwstr>
  </property>
  <property fmtid="{D5CDD505-2E9C-101B-9397-08002B2CF9AE}" pid="4" name="CASEID">
    <vt:lpwstr>403269</vt:lpwstr>
  </property>
  <property fmtid="{D5CDD505-2E9C-101B-9397-08002B2CF9AE}" pid="5" name="ContentTypeId">
    <vt:lpwstr>0x010100558EB02BDB9E204AB350EDD385B68E10</vt:lpwstr>
  </property>
</Properties>
</file>