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C4419" w:rsidR="00F714FD" w:rsidRDefault="00F714FD">
      <w:pPr>
        <w:jc w:val="center"/>
      </w:pPr>
    </w:p>
    <w:p w:rsidRPr="00DC4419" w:rsidR="00CD49A7" w:rsidRDefault="00CD49A7">
      <w:pPr>
        <w:jc w:val="center"/>
      </w:pPr>
    </w:p>
    <w:p w:rsidRPr="00DC4419" w:rsidR="00CD49A7" w:rsidRDefault="00D66E13">
      <w:pPr>
        <w:jc w:val="center"/>
      </w:pPr>
      <w:r w:rsidRPr="00DC4419">
        <w:t>FOURTH SECTION</w:t>
      </w:r>
    </w:p>
    <w:p w:rsidRPr="00DC4419" w:rsidR="00F714FD" w:rsidRDefault="00F714FD">
      <w:pPr>
        <w:jc w:val="center"/>
      </w:pPr>
    </w:p>
    <w:p w:rsidRPr="00DC4419" w:rsidR="00CD49A7" w:rsidRDefault="00CD49A7">
      <w:pPr>
        <w:jc w:val="center"/>
      </w:pPr>
    </w:p>
    <w:p w:rsidRPr="00DC4419" w:rsidR="00CD49A7" w:rsidRDefault="00CD49A7">
      <w:pPr>
        <w:jc w:val="center"/>
        <w:rPr>
          <w:b/>
        </w:rPr>
      </w:pPr>
      <w:r w:rsidRPr="00DC4419">
        <w:rPr>
          <w:b/>
        </w:rPr>
        <w:t xml:space="preserve">CASE OF </w:t>
      </w:r>
      <w:r w:rsidRPr="00DC4419" w:rsidR="00D66E13">
        <w:rPr>
          <w:b/>
        </w:rPr>
        <w:t>WIRTSCHAFTS-TREND ZEITSCHRIFTEN-VERLAGSGESELLSCHAFT M.B.H. (N</w:t>
      </w:r>
      <w:r w:rsidRPr="00DC4419" w:rsidR="00DC4419">
        <w:rPr>
          <w:b/>
          <w:vertAlign w:val="superscript"/>
        </w:rPr>
        <w:t>o</w:t>
      </w:r>
      <w:r w:rsidRPr="00DC4419" w:rsidR="00D66E13">
        <w:rPr>
          <w:b/>
        </w:rPr>
        <w:t xml:space="preserve"> 3) v. </w:t>
      </w:r>
      <w:smartTag w:uri="urn:schemas-microsoft-com:office:smarttags" w:element="country-region">
        <w:smartTag w:uri="urn:schemas-microsoft-com:office:smarttags" w:element="place">
          <w:r w:rsidR="00D66E13" w:rsidRPr="00DC4419">
            <w:rPr>
              <w:b/>
            </w:rPr>
            <w:t>AUSTRIA</w:t>
          </w:r>
        </w:smartTag>
      </w:smartTag>
    </w:p>
    <w:p w:rsidR="00CD49A7" w:rsidRDefault="00CD49A7">
      <w:pPr>
        <w:jc w:val="center"/>
      </w:pPr>
    </w:p>
    <w:p w:rsidRPr="00DC4419" w:rsidR="00153FD7" w:rsidRDefault="00153FD7">
      <w:pPr>
        <w:jc w:val="center"/>
      </w:pPr>
    </w:p>
    <w:p w:rsidRPr="00DC4419" w:rsidR="00CD49A7" w:rsidRDefault="00CD49A7">
      <w:pPr>
        <w:jc w:val="center"/>
        <w:rPr>
          <w:i/>
        </w:rPr>
      </w:pPr>
      <w:r w:rsidRPr="00DC4419">
        <w:rPr>
          <w:i/>
        </w:rPr>
        <w:t>(</w:t>
      </w:r>
      <w:r w:rsidRPr="00DC4419" w:rsidR="00D66E13">
        <w:rPr>
          <w:i/>
        </w:rPr>
        <w:t>Applications nos. 66298/01 and 15653/02</w:t>
      </w:r>
      <w:r w:rsidRPr="00DC4419">
        <w:rPr>
          <w:i/>
        </w:rPr>
        <w:t>)</w:t>
      </w:r>
    </w:p>
    <w:p w:rsidRPr="00DC4419" w:rsidR="00F714FD" w:rsidP="00F714FD" w:rsidRDefault="00F714FD">
      <w:pPr>
        <w:jc w:val="center"/>
        <w:rPr>
          <w:sz w:val="22"/>
        </w:rPr>
      </w:pPr>
    </w:p>
    <w:p w:rsidRPr="00DC4419" w:rsidR="00F714FD" w:rsidP="00F714FD" w:rsidRDefault="00F714FD">
      <w:pPr>
        <w:jc w:val="center"/>
        <w:rPr>
          <w:sz w:val="22"/>
        </w:rPr>
      </w:pPr>
    </w:p>
    <w:p w:rsidRPr="00DC4419" w:rsidR="00F714FD" w:rsidP="00F714FD" w:rsidRDefault="00F714FD">
      <w:pPr>
        <w:jc w:val="center"/>
        <w:rPr>
          <w:sz w:val="22"/>
        </w:rPr>
      </w:pPr>
      <w:r w:rsidRPr="00DC4419">
        <w:rPr>
          <w:sz w:val="22"/>
        </w:rPr>
        <w:t>JUDGMENT</w:t>
      </w:r>
    </w:p>
    <w:p w:rsidRPr="00DC4419" w:rsidR="00F714FD" w:rsidP="00F714FD" w:rsidRDefault="00F714FD">
      <w:pPr>
        <w:jc w:val="center"/>
        <w:rPr>
          <w:sz w:val="22"/>
        </w:rPr>
      </w:pPr>
    </w:p>
    <w:p w:rsidRPr="00DC4419" w:rsidR="00F714FD" w:rsidP="00F714FD" w:rsidRDefault="00F714FD">
      <w:pPr>
        <w:jc w:val="center"/>
        <w:rPr>
          <w:sz w:val="22"/>
        </w:rPr>
      </w:pPr>
    </w:p>
    <w:p w:rsidRPr="00DC4419" w:rsidR="00F714FD" w:rsidP="00F714FD" w:rsidRDefault="00F714FD">
      <w:pPr>
        <w:jc w:val="center"/>
        <w:rPr>
          <w:sz w:val="22"/>
        </w:rPr>
      </w:pPr>
      <w:smartTag w:uri="urn:schemas-microsoft-com:office:smarttags" w:element="City">
        <w:smartTag w:uri="urn:schemas-microsoft-com:office:smarttags" w:element="place">
          <w:r w:rsidRPr="00DC4419">
            <w:rPr>
              <w:sz w:val="22"/>
            </w:rPr>
            <w:t>STRASBOURG</w:t>
          </w:r>
        </w:smartTag>
      </w:smartTag>
    </w:p>
    <w:p w:rsidR="00F714FD" w:rsidP="00F714FD" w:rsidRDefault="00F714FD">
      <w:pPr>
        <w:jc w:val="center"/>
        <w:rPr>
          <w:sz w:val="22"/>
        </w:rPr>
      </w:pPr>
    </w:p>
    <w:p w:rsidRPr="00DC4419" w:rsidR="00153FD7" w:rsidP="00F714FD" w:rsidRDefault="00153FD7">
      <w:pPr>
        <w:jc w:val="center"/>
        <w:rPr>
          <w:sz w:val="22"/>
        </w:rPr>
      </w:pPr>
    </w:p>
    <w:p w:rsidRPr="00DC4419" w:rsidR="00F714FD" w:rsidP="00F714FD" w:rsidRDefault="00F714FD">
      <w:pPr>
        <w:jc w:val="center"/>
        <w:rPr>
          <w:sz w:val="22"/>
        </w:rPr>
      </w:pPr>
      <w:smartTag w:uri="urn:schemas-microsoft-com:office:smarttags" w:element="date">
        <w:smartTagPr>
          <w:attr w:name="Month" w:val="12"/>
          <w:attr w:name="Day" w:val="13"/>
          <w:attr w:name="Year" w:val="2005"/>
        </w:smartTagPr>
        <w:r w:rsidRPr="00DC4419">
          <w:rPr>
            <w:sz w:val="22"/>
          </w:rPr>
          <w:t>13 December 2005</w:t>
        </w:r>
      </w:smartTag>
    </w:p>
    <w:p w:rsidRPr="00DC4419" w:rsidR="00F714FD" w:rsidP="00F714FD" w:rsidRDefault="00F714FD">
      <w:pPr>
        <w:jc w:val="center"/>
        <w:rPr>
          <w:sz w:val="22"/>
        </w:rPr>
      </w:pPr>
    </w:p>
    <w:p w:rsidR="00153FD7" w:rsidP="00153FD7" w:rsidRDefault="00153FD7">
      <w:pPr>
        <w:jc w:val="center"/>
        <w:rPr>
          <w:color w:val="FF0000"/>
        </w:rPr>
      </w:pPr>
    </w:p>
    <w:p w:rsidR="00153FD7" w:rsidP="00153FD7" w:rsidRDefault="00153FD7">
      <w:pPr>
        <w:jc w:val="center"/>
        <w:rPr>
          <w:color w:val="FF0000"/>
        </w:rPr>
      </w:pPr>
    </w:p>
    <w:p w:rsidR="00153FD7" w:rsidP="00153FD7" w:rsidRDefault="00153FD7">
      <w:pPr>
        <w:jc w:val="center"/>
        <w:rPr>
          <w:b/>
          <w:color w:val="FF0000"/>
          <w:sz w:val="36"/>
          <w:u w:val="single"/>
        </w:rPr>
      </w:pPr>
      <w:r>
        <w:rPr>
          <w:b/>
          <w:color w:val="FF0000"/>
          <w:sz w:val="36"/>
          <w:u w:val="single"/>
        </w:rPr>
        <w:t>FINAL</w:t>
      </w:r>
    </w:p>
    <w:p w:rsidR="00153FD7" w:rsidP="00153FD7" w:rsidRDefault="00153FD7">
      <w:pPr>
        <w:jc w:val="center"/>
        <w:rPr>
          <w:color w:val="FF0000"/>
        </w:rPr>
      </w:pPr>
    </w:p>
    <w:p w:rsidR="00153FD7" w:rsidP="00153FD7" w:rsidRDefault="00153FD7">
      <w:pPr>
        <w:jc w:val="center"/>
        <w:rPr>
          <w:color w:val="FF0000"/>
        </w:rPr>
      </w:pPr>
    </w:p>
    <w:p w:rsidR="00153FD7" w:rsidP="00153FD7" w:rsidRDefault="00153FD7">
      <w:pPr>
        <w:jc w:val="center"/>
        <w:rPr>
          <w:i/>
          <w:color w:val="FF0000"/>
          <w:sz w:val="36"/>
        </w:rPr>
      </w:pPr>
      <w:smartTag w:uri="urn:schemas-microsoft-com:office:smarttags" w:element="date">
        <w:smartTagPr>
          <w:attr w:name="Month" w:val="3"/>
          <w:attr w:name="Day" w:val="13"/>
          <w:attr w:name="Year" w:val="2006"/>
        </w:smartTagPr>
        <w:r>
          <w:rPr>
            <w:i/>
            <w:color w:val="FF0000"/>
            <w:sz w:val="36"/>
          </w:rPr>
          <w:t>13/03/2006</w:t>
        </w:r>
      </w:smartTag>
    </w:p>
    <w:p w:rsidR="00153FD7" w:rsidP="00153FD7" w:rsidRDefault="00153FD7">
      <w:pPr>
        <w:jc w:val="center"/>
        <w:rPr>
          <w:color w:val="FF0000"/>
        </w:rPr>
      </w:pPr>
    </w:p>
    <w:p w:rsidR="00153FD7" w:rsidP="00153FD7" w:rsidRDefault="00153FD7">
      <w:pPr>
        <w:jc w:val="center"/>
        <w:rPr>
          <w:color w:val="FF0000"/>
        </w:rPr>
      </w:pPr>
    </w:p>
    <w:p w:rsidRPr="00DC4419" w:rsidR="00F714FD" w:rsidP="00F714FD" w:rsidRDefault="00F714FD">
      <w:pPr>
        <w:jc w:val="center"/>
        <w:rPr>
          <w:sz w:val="22"/>
        </w:rPr>
      </w:pPr>
      <w:bookmarkStart w:name="_GoBack" w:id="0"/>
      <w:bookmarkEnd w:id="0"/>
    </w:p>
    <w:p w:rsidRPr="00DC4419" w:rsidR="004D49D1" w:rsidP="00F714FD" w:rsidRDefault="00AA782A">
      <w:pPr>
        <w:jc w:val="both"/>
        <w:rPr>
          <w:sz w:val="22"/>
        </w:rPr>
      </w:pPr>
      <w:r w:rsidRPr="00DC4419">
        <w:rPr>
          <w:i/>
          <w:sz w:val="22"/>
          <w:szCs w:val="24"/>
        </w:rPr>
        <w:t>This judgment will become final in the circumstances set out in Article 44 § 2 of the Convention. It may be subject to editorial revision.</w:t>
      </w:r>
    </w:p>
    <w:p w:rsidRPr="00DC4419" w:rsidR="00F714FD" w:rsidRDefault="00F714FD">
      <w:pPr>
        <w:pStyle w:val="JuCase"/>
        <w:sectPr w:rsidRPr="00DC4419" w:rsidR="00F714FD" w:rsidSect="00F714FD">
          <w:headerReference w:type="even" r:id="rId7"/>
          <w:headerReference w:type="default" r:id="rId8"/>
          <w:footnotePr>
            <w:numRestart w:val="eachPage"/>
          </w:footnotePr>
          <w:pgSz w:w="11906" w:h="16838" w:code="9"/>
          <w:pgMar w:top="2274" w:right="2274" w:bottom="2274" w:left="2274" w:header="1701" w:footer="720" w:gutter="0"/>
          <w:pgNumType w:start="1"/>
          <w:cols w:space="720"/>
          <w:docGrid w:linePitch="326"/>
        </w:sectPr>
      </w:pPr>
    </w:p>
    <w:p w:rsidRPr="00DC4419" w:rsidR="00CD49A7" w:rsidRDefault="00CD49A7">
      <w:pPr>
        <w:pStyle w:val="JuCase"/>
      </w:pPr>
      <w:r w:rsidRPr="00DC4419">
        <w:t xml:space="preserve">In the case of </w:t>
      </w:r>
      <w:r w:rsidRPr="00DC4419" w:rsidR="00D66E13">
        <w:t>Wirtschafts-Trend Zei</w:t>
      </w:r>
      <w:r w:rsidRPr="00DC4419" w:rsidR="006B4A83">
        <w:t>tschriften-Verlagsgesellschaft m</w:t>
      </w:r>
      <w:r w:rsidRPr="00DC4419" w:rsidR="00D66E13">
        <w:t>.b.</w:t>
      </w:r>
      <w:r w:rsidRPr="00DC4419" w:rsidR="008D51B1">
        <w:t>H</w:t>
      </w:r>
      <w:r w:rsidRPr="00DC4419" w:rsidR="00D66E13">
        <w:t>. (n</w:t>
      </w:r>
      <w:r w:rsidRPr="00DC4419" w:rsidR="00DC4419">
        <w:rPr>
          <w:vertAlign w:val="superscript"/>
        </w:rPr>
        <w:t>o</w:t>
      </w:r>
      <w:r w:rsidRPr="00DC4419" w:rsidR="00D66E13">
        <w:t xml:space="preserve"> 3) v. </w:t>
      </w:r>
      <w:smartTag w:uri="urn:schemas-microsoft-com:office:smarttags" w:element="country-region">
        <w:smartTag w:uri="urn:schemas-microsoft-com:office:smarttags" w:element="place">
          <w:r w:rsidR="00D66E13" w:rsidRPr="00DC4419">
            <w:t>Austria</w:t>
          </w:r>
        </w:smartTag>
      </w:smartTag>
      <w:r w:rsidRPr="00DC4419">
        <w:t>,</w:t>
      </w:r>
    </w:p>
    <w:p w:rsidRPr="00DC4419" w:rsidR="00533CA3" w:rsidP="00533CA3" w:rsidRDefault="00533CA3">
      <w:pPr>
        <w:pStyle w:val="JuPara"/>
      </w:pPr>
    </w:p>
    <w:p w:rsidRPr="00DC4419" w:rsidR="00CD49A7" w:rsidRDefault="00CD49A7">
      <w:pPr>
        <w:pStyle w:val="JuPara"/>
      </w:pPr>
      <w:r w:rsidRPr="00DC4419">
        <w:t>The European Court of Human Rights</w:t>
      </w:r>
      <w:r w:rsidRPr="00DC4419" w:rsidR="00D66E13">
        <w:t xml:space="preserve"> (Fourth Section)</w:t>
      </w:r>
      <w:r w:rsidRPr="00DC4419">
        <w:t xml:space="preserve">, sitting as a </w:t>
      </w:r>
      <w:r w:rsidRPr="00DC4419" w:rsidR="00D66E13">
        <w:t>Chamber</w:t>
      </w:r>
      <w:r w:rsidRPr="00DC4419">
        <w:t xml:space="preserve"> composed of:</w:t>
      </w:r>
    </w:p>
    <w:p w:rsidRPr="00DC4419" w:rsidR="00393677" w:rsidP="00393677" w:rsidRDefault="00393677">
      <w:pPr>
        <w:pStyle w:val="JuPara"/>
        <w:ind w:firstLine="706"/>
        <w:jc w:val="left"/>
      </w:pPr>
      <w:r w:rsidRPr="00DC4419">
        <w:rPr>
          <w:rStyle w:val="JuJudgesCharCharChar"/>
        </w:rPr>
        <w:t>Sir</w:t>
      </w:r>
      <w:r w:rsidRPr="00DC4419">
        <w:tab/>
      </w:r>
      <w:r w:rsidRPr="00DC4419">
        <w:rPr>
          <w:rStyle w:val="JuNames"/>
        </w:rPr>
        <w:t>Nicolas</w:t>
      </w:r>
      <w:r w:rsidRPr="00DC4419">
        <w:t xml:space="preserve"> </w:t>
      </w:r>
      <w:r w:rsidRPr="00DC4419">
        <w:rPr>
          <w:rStyle w:val="JuNames"/>
        </w:rPr>
        <w:t>Bratza</w:t>
      </w:r>
      <w:r w:rsidRPr="00DC4419">
        <w:t xml:space="preserve">, </w:t>
      </w:r>
      <w:r w:rsidRPr="00DC4419">
        <w:rPr>
          <w:rStyle w:val="JuJudgesCharCharChar"/>
          <w:i/>
          <w:iCs/>
        </w:rPr>
        <w:t>President</w:t>
      </w:r>
      <w:r w:rsidRPr="00DC4419">
        <w:rPr>
          <w:i/>
          <w:noProof/>
        </w:rPr>
        <w:t>,</w:t>
      </w:r>
      <w:r w:rsidRPr="00DC4419">
        <w:br/>
      </w:r>
      <w:r w:rsidRPr="00DC4419">
        <w:tab/>
      </w:r>
      <w:r w:rsidRPr="00DC4419">
        <w:rPr>
          <w:rStyle w:val="JuJudgesCharCharChar"/>
        </w:rPr>
        <w:t>Mr</w:t>
      </w:r>
      <w:r w:rsidRPr="00DC4419">
        <w:tab/>
      </w:r>
      <w:r w:rsidRPr="00DC4419">
        <w:rPr>
          <w:rStyle w:val="JuNames"/>
        </w:rPr>
        <w:t>G.</w:t>
      </w:r>
      <w:r w:rsidRPr="00DC4419">
        <w:t xml:space="preserve"> </w:t>
      </w:r>
      <w:r w:rsidRPr="00DC4419">
        <w:rPr>
          <w:rStyle w:val="JuNames"/>
        </w:rPr>
        <w:t>Bonello</w:t>
      </w:r>
      <w:r w:rsidRPr="00DC4419">
        <w:t>,</w:t>
      </w:r>
      <w:r w:rsidRPr="00DC4419">
        <w:br/>
      </w:r>
      <w:r w:rsidRPr="00DC4419">
        <w:tab/>
      </w:r>
      <w:r w:rsidRPr="00DC4419">
        <w:rPr>
          <w:rStyle w:val="JuJudgesCharCharChar"/>
        </w:rPr>
        <w:t>Mr</w:t>
      </w:r>
      <w:r w:rsidRPr="00DC4419">
        <w:tab/>
      </w:r>
      <w:r w:rsidRPr="00DC4419">
        <w:rPr>
          <w:rStyle w:val="JuNames"/>
        </w:rPr>
        <w:t>M.</w:t>
      </w:r>
      <w:r w:rsidRPr="00DC4419">
        <w:t xml:space="preserve"> </w:t>
      </w:r>
      <w:r w:rsidRPr="00DC4419">
        <w:rPr>
          <w:rStyle w:val="JuNames"/>
        </w:rPr>
        <w:t>Pellonpää</w:t>
      </w:r>
      <w:r w:rsidRPr="00DC4419">
        <w:t>,</w:t>
      </w:r>
      <w:r w:rsidRPr="00DC4419">
        <w:br/>
      </w:r>
      <w:r w:rsidRPr="00DC4419">
        <w:tab/>
      </w:r>
      <w:r w:rsidRPr="00DC4419">
        <w:rPr>
          <w:rStyle w:val="JuJudgesCharCharChar"/>
        </w:rPr>
        <w:t>Mr</w:t>
      </w:r>
      <w:r w:rsidRPr="00DC4419">
        <w:tab/>
      </w:r>
      <w:r w:rsidRPr="00DC4419">
        <w:rPr>
          <w:rStyle w:val="JuNames"/>
        </w:rPr>
        <w:t>K.</w:t>
      </w:r>
      <w:r w:rsidRPr="00DC4419">
        <w:t xml:space="preserve"> </w:t>
      </w:r>
      <w:r w:rsidRPr="00DC4419">
        <w:rPr>
          <w:rStyle w:val="JuNames"/>
        </w:rPr>
        <w:t>Traja</w:t>
      </w:r>
      <w:r w:rsidRPr="00DC4419">
        <w:t>,</w:t>
      </w:r>
      <w:r w:rsidRPr="00DC4419">
        <w:br/>
      </w:r>
      <w:r w:rsidRPr="00DC4419">
        <w:tab/>
      </w:r>
      <w:r w:rsidRPr="00DC4419">
        <w:rPr>
          <w:rStyle w:val="JuJudgesCharCharChar"/>
        </w:rPr>
        <w:t>Mrs</w:t>
      </w:r>
      <w:r w:rsidRPr="00DC4419">
        <w:tab/>
      </w:r>
      <w:r w:rsidRPr="00DC4419">
        <w:rPr>
          <w:rStyle w:val="JuNames"/>
        </w:rPr>
        <w:t>E.</w:t>
      </w:r>
      <w:r w:rsidRPr="00DC4419">
        <w:t xml:space="preserve"> </w:t>
      </w:r>
      <w:r w:rsidRPr="00DC4419">
        <w:rPr>
          <w:rStyle w:val="JuNames"/>
        </w:rPr>
        <w:t>Steiner</w:t>
      </w:r>
      <w:r w:rsidRPr="00DC4419">
        <w:t>,</w:t>
      </w:r>
      <w:r w:rsidRPr="00DC4419">
        <w:br/>
      </w:r>
      <w:r w:rsidRPr="00DC4419">
        <w:tab/>
      </w:r>
      <w:r w:rsidRPr="00DC4419">
        <w:rPr>
          <w:rStyle w:val="JuJudgesCharCharChar"/>
        </w:rPr>
        <w:t>Mr</w:t>
      </w:r>
      <w:r w:rsidRPr="00DC4419">
        <w:tab/>
      </w:r>
      <w:r w:rsidRPr="00DC4419">
        <w:rPr>
          <w:rStyle w:val="JuNames"/>
        </w:rPr>
        <w:t>L.</w:t>
      </w:r>
      <w:r w:rsidRPr="00DC4419">
        <w:t xml:space="preserve"> </w:t>
      </w:r>
      <w:r w:rsidRPr="00DC4419">
        <w:rPr>
          <w:rStyle w:val="JuNames"/>
        </w:rPr>
        <w:t>Garlicki</w:t>
      </w:r>
      <w:r w:rsidRPr="00DC4419">
        <w:rPr>
          <w:rStyle w:val="JuNames"/>
          <w:smallCaps w:val="0"/>
        </w:rPr>
        <w:t>,</w:t>
      </w:r>
      <w:r w:rsidRPr="00DC4419">
        <w:rPr>
          <w:rStyle w:val="JuNames"/>
        </w:rPr>
        <w:br/>
      </w:r>
      <w:r w:rsidRPr="00DC4419">
        <w:tab/>
      </w:r>
      <w:r w:rsidRPr="00DC4419">
        <w:rPr>
          <w:rStyle w:val="JuJudgesCharCharChar"/>
        </w:rPr>
        <w:t>Mr</w:t>
      </w:r>
      <w:r w:rsidRPr="00DC4419">
        <w:tab/>
      </w:r>
      <w:r w:rsidRPr="00DC4419">
        <w:rPr>
          <w:rStyle w:val="JuNames"/>
        </w:rPr>
        <w:t>J.</w:t>
      </w:r>
      <w:r w:rsidRPr="00DC4419">
        <w:t xml:space="preserve"> </w:t>
      </w:r>
      <w:r w:rsidRPr="00DC4419">
        <w:rPr>
          <w:rStyle w:val="JuNames"/>
        </w:rPr>
        <w:t xml:space="preserve">Borrego </w:t>
      </w:r>
      <w:proofErr w:type="spellStart"/>
      <w:r w:rsidRPr="00DC4419">
        <w:rPr>
          <w:rStyle w:val="JuNames"/>
        </w:rPr>
        <w:t>Borrego</w:t>
      </w:r>
      <w:proofErr w:type="spellEnd"/>
      <w:r w:rsidRPr="00DC4419">
        <w:rPr>
          <w:rStyle w:val="JuNames"/>
        </w:rPr>
        <w:t>,</w:t>
      </w:r>
      <w:r w:rsidRPr="00DC4419">
        <w:t xml:space="preserve"> </w:t>
      </w:r>
      <w:r w:rsidRPr="00DC4419">
        <w:rPr>
          <w:rStyle w:val="JuJudgesCharCharChar"/>
          <w:i/>
          <w:iCs/>
        </w:rPr>
        <w:t>judges</w:t>
      </w:r>
      <w:r w:rsidRPr="00DC4419">
        <w:t>,</w:t>
      </w:r>
    </w:p>
    <w:p w:rsidRPr="00DC4419" w:rsidR="00CD49A7" w:rsidRDefault="00CD49A7">
      <w:pPr>
        <w:pStyle w:val="JuJudgesCharChar"/>
      </w:pPr>
      <w:r w:rsidRPr="00DC4419">
        <w:t xml:space="preserve">and </w:t>
      </w:r>
      <w:r w:rsidRPr="00DC4419" w:rsidR="00D66E13">
        <w:t>Mr</w:t>
      </w:r>
      <w:r w:rsidRPr="00DC4419" w:rsidR="00393677">
        <w:t xml:space="preserve">s </w:t>
      </w:r>
      <w:r w:rsidRPr="00DC4419" w:rsidR="006B4A83">
        <w:rPr>
          <w:rStyle w:val="JuNames"/>
        </w:rPr>
        <w:t>F. El</w:t>
      </w:r>
      <w:r w:rsidRPr="00DC4419" w:rsidR="00393677">
        <w:rPr>
          <w:rStyle w:val="JuNames"/>
        </w:rPr>
        <w:t>ens-Passos</w:t>
      </w:r>
      <w:r w:rsidRPr="00DC4419">
        <w:t xml:space="preserve">, </w:t>
      </w:r>
      <w:r w:rsidRPr="00DC4419" w:rsidR="00393677">
        <w:rPr>
          <w:i/>
        </w:rPr>
        <w:t>Deputy</w:t>
      </w:r>
      <w:r w:rsidRPr="00DC4419" w:rsidR="00393677">
        <w:t xml:space="preserve"> </w:t>
      </w:r>
      <w:r w:rsidRPr="00DC4419" w:rsidR="00D66E13">
        <w:rPr>
          <w:i/>
        </w:rPr>
        <w:t>Section Registrar</w:t>
      </w:r>
      <w:r w:rsidRPr="00DC4419">
        <w:t>,</w:t>
      </w:r>
    </w:p>
    <w:p w:rsidRPr="00DC4419" w:rsidR="00393677" w:rsidRDefault="00CD49A7">
      <w:pPr>
        <w:pStyle w:val="JuPara"/>
      </w:pPr>
      <w:r w:rsidRPr="00DC4419">
        <w:t xml:space="preserve">Having deliberated in private on </w:t>
      </w:r>
      <w:smartTag w:uri="urn:schemas-microsoft-com:office:smarttags" w:element="date">
        <w:smartTagPr>
          <w:attr w:name="Month" w:val="11"/>
          <w:attr w:name="Day" w:val="22"/>
          <w:attr w:name="Year" w:val="2005"/>
        </w:smartTagPr>
        <w:r w:rsidR="00393677" w:rsidRPr="00DC4419">
          <w:t>22 November 2005</w:t>
        </w:r>
      </w:smartTag>
      <w:r w:rsidRPr="00DC4419" w:rsidR="00393677">
        <w:t>,</w:t>
      </w:r>
    </w:p>
    <w:p w:rsidRPr="00DC4419" w:rsidR="00CD49A7" w:rsidRDefault="00CD49A7">
      <w:pPr>
        <w:pStyle w:val="JuPara"/>
      </w:pPr>
      <w:r w:rsidRPr="00DC4419">
        <w:t xml:space="preserve">Delivers the following judgment, which was adopted on </w:t>
      </w:r>
      <w:r w:rsidRPr="00DC4419" w:rsidR="00834DE3">
        <w:t>that</w:t>
      </w:r>
      <w:r w:rsidRPr="00DC4419">
        <w:t xml:space="preserve"> date:</w:t>
      </w:r>
    </w:p>
    <w:p w:rsidRPr="00DC4419" w:rsidR="00CD49A7" w:rsidRDefault="00CD49A7">
      <w:pPr>
        <w:pStyle w:val="JuHHead"/>
      </w:pPr>
      <w:r w:rsidRPr="00DC4419">
        <w:t>PROCEDURE</w:t>
      </w:r>
    </w:p>
    <w:p w:rsidR="00DC4419" w:rsidP="00085109" w:rsidRDefault="00D66E13">
      <w:pPr>
        <w:pStyle w:val="JuPara"/>
      </w:pPr>
      <w:r w:rsidRPr="00DC4419">
        <w:fldChar w:fldCharType="begin"/>
      </w:r>
      <w:r w:rsidRPr="00DC4419">
        <w:instrText xml:space="preserve"> SEQ level0 \*arabic </w:instrText>
      </w:r>
      <w:r w:rsidRPr="00DC4419">
        <w:fldChar w:fldCharType="separate"/>
      </w:r>
      <w:r w:rsidRPr="00DC4419" w:rsidR="00E14680">
        <w:rPr>
          <w:noProof/>
        </w:rPr>
        <w:t>1</w:t>
      </w:r>
      <w:r w:rsidRPr="00DC4419">
        <w:fldChar w:fldCharType="end"/>
      </w:r>
      <w:r w:rsidRPr="00DC4419" w:rsidR="00CD49A7">
        <w:t xml:space="preserve">.  The case originated in </w:t>
      </w:r>
      <w:r w:rsidRPr="00DC4419">
        <w:t>two applications (nos. 66298/01 and 15653/02)</w:t>
      </w:r>
      <w:r w:rsidRPr="00DC4419" w:rsidR="00CD49A7">
        <w:t xml:space="preserve"> against </w:t>
      </w:r>
      <w:r w:rsidRPr="00DC4419">
        <w:t xml:space="preserve">the </w:t>
      </w:r>
      <w:smartTag w:uri="urn:schemas-microsoft-com:office:smarttags" w:element="place">
        <w:smartTag w:uri="urn:schemas-microsoft-com:office:smarttags" w:element="PlaceType">
          <w:r w:rsidRPr="00DC4419">
            <w:t>Republic</w:t>
          </w:r>
        </w:smartTag>
        <w:r w:rsidRPr="00DC4419">
          <w:t xml:space="preserve"> of </w:t>
        </w:r>
        <w:smartTag w:uri="urn:schemas-microsoft-com:office:smarttags" w:element="PlaceName">
          <w:r w:rsidRPr="00DC4419">
            <w:t>Austria</w:t>
          </w:r>
        </w:smartTag>
      </w:smartTag>
      <w:r w:rsidRPr="00DC4419" w:rsidR="00CD49A7">
        <w:t xml:space="preserve"> lodged with the </w:t>
      </w:r>
      <w:r w:rsidRPr="00DC4419">
        <w:t>Court under Article 34</w:t>
      </w:r>
      <w:r w:rsidRPr="00DC4419" w:rsidR="00CD49A7">
        <w:t xml:space="preserve"> of the Convention for the Protection of Human Rights and Fundamental Freedoms (“the Convention”) by </w:t>
      </w:r>
      <w:r w:rsidRPr="00DC4419">
        <w:t>Wirtschafts-Trend Zeitschriften-Verlagsgesellschaft m.b.H. (“the applicant company</w:t>
      </w:r>
      <w:r w:rsidRPr="00DC4419" w:rsidR="00393677">
        <w:t xml:space="preserve">”), on </w:t>
      </w:r>
      <w:smartTag w:uri="urn:schemas-microsoft-com:office:smarttags" w:element="date">
        <w:smartTagPr>
          <w:attr w:name="Month" w:val="2"/>
          <w:attr w:name="Day" w:val="9"/>
          <w:attr w:name="Year" w:val="2001"/>
        </w:smartTagPr>
        <w:r w:rsidR="00393677" w:rsidRPr="00DC4419">
          <w:t>9 February </w:t>
        </w:r>
        <w:r w:rsidRPr="00DC4419">
          <w:t>2001</w:t>
        </w:r>
      </w:smartTag>
      <w:r w:rsidRPr="00DC4419">
        <w:t xml:space="preserve"> and on </w:t>
      </w:r>
      <w:smartTag w:uri="urn:schemas-microsoft-com:office:smarttags" w:element="date">
        <w:smartTagPr>
          <w:attr w:name="Month" w:val="3"/>
          <w:attr w:name="Day" w:val="27"/>
          <w:attr w:name="Year" w:val="2002"/>
        </w:smartTagPr>
        <w:r w:rsidRPr="00DC4419">
          <w:t>27 March 2002</w:t>
        </w:r>
      </w:smartTag>
      <w:r w:rsidRPr="00DC4419">
        <w:t xml:space="preserve"> respectively</w:t>
      </w:r>
      <w:r w:rsidRPr="00DC4419" w:rsidR="00CD49A7">
        <w:t>.</w:t>
      </w:r>
    </w:p>
    <w:p w:rsidR="00DC4419" w:rsidRDefault="00D66E13">
      <w:pPr>
        <w:pStyle w:val="JuPara"/>
      </w:pPr>
      <w:r w:rsidRPr="00DC4419">
        <w:fldChar w:fldCharType="begin"/>
      </w:r>
      <w:r w:rsidRPr="00DC4419">
        <w:instrText xml:space="preserve"> SEQ level0 \*arabic </w:instrText>
      </w:r>
      <w:r w:rsidRPr="00DC4419">
        <w:fldChar w:fldCharType="separate"/>
      </w:r>
      <w:r w:rsidRPr="00DC4419" w:rsidR="00E14680">
        <w:rPr>
          <w:noProof/>
        </w:rPr>
        <w:t>2</w:t>
      </w:r>
      <w:r w:rsidRPr="00DC4419">
        <w:fldChar w:fldCharType="end"/>
      </w:r>
      <w:r w:rsidRPr="00DC4419" w:rsidR="00CD49A7">
        <w:t>.  </w:t>
      </w:r>
      <w:r w:rsidRPr="00DC4419">
        <w:t xml:space="preserve">The applicant company was </w:t>
      </w:r>
      <w:r w:rsidRPr="00DC4419" w:rsidR="00FC0A8F">
        <w:t xml:space="preserve">first presented by </w:t>
      </w:r>
      <w:proofErr w:type="spellStart"/>
      <w:r w:rsidRPr="00DC4419" w:rsidR="00FC0A8F">
        <w:t>Giger</w:t>
      </w:r>
      <w:proofErr w:type="spellEnd"/>
      <w:r w:rsidRPr="00DC4419" w:rsidR="00FC0A8F">
        <w:t xml:space="preserve">, </w:t>
      </w:r>
      <w:proofErr w:type="spellStart"/>
      <w:r w:rsidRPr="00DC4419" w:rsidR="00FC0A8F">
        <w:t>Ruggenthaler</w:t>
      </w:r>
      <w:proofErr w:type="spellEnd"/>
      <w:r w:rsidRPr="00DC4419" w:rsidR="00FC0A8F">
        <w:t xml:space="preserve"> and Simon, a company of lawyers practising in </w:t>
      </w:r>
      <w:smartTag w:uri="urn:schemas-microsoft-com:office:smarttags" w:element="City">
        <w:smartTag w:uri="urn:schemas-microsoft-com:office:smarttags" w:element="place">
          <w:r w:rsidR="00FC0A8F" w:rsidRPr="00DC4419">
            <w:t>Vienna</w:t>
          </w:r>
        </w:smartTag>
      </w:smartTag>
      <w:r w:rsidRPr="00DC4419" w:rsidR="00FC0A8F">
        <w:t xml:space="preserve">. It then changed its representation to </w:t>
      </w:r>
      <w:r w:rsidRPr="00DC4419">
        <w:t xml:space="preserve">Mr H. Simon, a lawyer practising in </w:t>
      </w:r>
      <w:smartTag w:uri="urn:schemas-microsoft-com:office:smarttags" w:element="City">
        <w:smartTag w:uri="urn:schemas-microsoft-com:office:smarttags" w:element="place">
          <w:r w:rsidRPr="00DC4419">
            <w:t>Vienna</w:t>
          </w:r>
        </w:smartTag>
      </w:smartTag>
      <w:r w:rsidRPr="00DC4419">
        <w:t>. T</w:t>
      </w:r>
      <w:r w:rsidRPr="00DC4419" w:rsidR="00CD49A7">
        <w:t xml:space="preserve">he </w:t>
      </w:r>
      <w:r w:rsidRPr="00DC4419">
        <w:t>Austrian</w:t>
      </w:r>
      <w:r w:rsidRPr="00DC4419" w:rsidR="00CD49A7">
        <w:t xml:space="preserve"> Government (“the Government”) were represented by their Agent, </w:t>
      </w:r>
      <w:r w:rsidRPr="00DC4419">
        <w:t>Ambassador</w:t>
      </w:r>
      <w:r w:rsidRPr="00DC4419" w:rsidR="000C051D">
        <w:t xml:space="preserve"> E. </w:t>
      </w:r>
      <w:proofErr w:type="spellStart"/>
      <w:r w:rsidRPr="00DC4419" w:rsidR="000C051D">
        <w:t>Theuermann</w:t>
      </w:r>
      <w:proofErr w:type="spellEnd"/>
      <w:r w:rsidRPr="00DC4419" w:rsidR="000C051D">
        <w:t>,</w:t>
      </w:r>
      <w:r w:rsidRPr="00DC4419">
        <w:t xml:space="preserve"> Head of the International Law Department at the Federal Ministry for Foreign Affairs.</w:t>
      </w:r>
    </w:p>
    <w:p w:rsidRPr="00DC4419" w:rsidR="00CD49A7" w:rsidRDefault="00D66E13">
      <w:pPr>
        <w:pStyle w:val="JuPara"/>
      </w:pPr>
      <w:r w:rsidRPr="00DC4419">
        <w:fldChar w:fldCharType="begin"/>
      </w:r>
      <w:r w:rsidRPr="00DC4419">
        <w:instrText xml:space="preserve"> SEQ level0 \*arabic </w:instrText>
      </w:r>
      <w:r w:rsidRPr="00DC4419">
        <w:fldChar w:fldCharType="separate"/>
      </w:r>
      <w:r w:rsidRPr="00DC4419" w:rsidR="00E14680">
        <w:rPr>
          <w:noProof/>
        </w:rPr>
        <w:t>3</w:t>
      </w:r>
      <w:r w:rsidRPr="00DC4419">
        <w:fldChar w:fldCharType="end"/>
      </w:r>
      <w:r w:rsidRPr="00DC4419" w:rsidR="00CD49A7">
        <w:t xml:space="preserve">.  The </w:t>
      </w:r>
      <w:r w:rsidRPr="00DC4419">
        <w:t>applicant company</w:t>
      </w:r>
      <w:r w:rsidRPr="00DC4419" w:rsidR="00CD49A7">
        <w:t xml:space="preserve"> </w:t>
      </w:r>
      <w:r w:rsidRPr="00DC4419" w:rsidR="00E22AE4">
        <w:t>alleged that its conviction</w:t>
      </w:r>
      <w:r w:rsidRPr="00DC4419">
        <w:t xml:space="preserve"> </w:t>
      </w:r>
      <w:r w:rsidRPr="00DC4419" w:rsidR="00E22AE4">
        <w:t>under the Media Act</w:t>
      </w:r>
      <w:r w:rsidRPr="00DC4419" w:rsidR="00252029">
        <w:t xml:space="preserve"> and the injunction issued against it und</w:t>
      </w:r>
      <w:r w:rsidRPr="00DC4419">
        <w:t>er the</w:t>
      </w:r>
      <w:r w:rsidRPr="00DC4419" w:rsidR="00E22AE4">
        <w:t xml:space="preserve"> Copyright Act</w:t>
      </w:r>
      <w:r w:rsidRPr="00DC4419">
        <w:t xml:space="preserve"> were in violation with its right to freedom of expression under Article 10 of the Convention</w:t>
      </w:r>
      <w:r w:rsidRPr="00DC4419" w:rsidR="00CD49A7">
        <w:t>.</w:t>
      </w:r>
    </w:p>
    <w:p w:rsidR="00DC4419" w:rsidP="00F73655" w:rsidRDefault="00D66E13">
      <w:pPr>
        <w:pStyle w:val="JuPara"/>
      </w:pPr>
      <w:r w:rsidRPr="00DC4419">
        <w:fldChar w:fldCharType="begin"/>
      </w:r>
      <w:r w:rsidRPr="00DC4419">
        <w:instrText xml:space="preserve"> SEQ level0 \*arabic </w:instrText>
      </w:r>
      <w:r w:rsidRPr="00DC4419">
        <w:fldChar w:fldCharType="separate"/>
      </w:r>
      <w:r w:rsidRPr="00DC4419" w:rsidR="00E14680">
        <w:rPr>
          <w:noProof/>
        </w:rPr>
        <w:t>4</w:t>
      </w:r>
      <w:r w:rsidRPr="00DC4419">
        <w:fldChar w:fldCharType="end"/>
      </w:r>
      <w:r w:rsidRPr="00DC4419" w:rsidR="00CD49A7">
        <w:t xml:space="preserve">.  The </w:t>
      </w:r>
      <w:r w:rsidRPr="00DC4419">
        <w:t>applications were</w:t>
      </w:r>
      <w:r w:rsidRPr="00DC4419" w:rsidR="00CD49A7">
        <w:t xml:space="preserve"> allocated to the </w:t>
      </w:r>
      <w:r w:rsidRPr="00DC4419">
        <w:t>Fourth Section</w:t>
      </w:r>
      <w:r w:rsidRPr="00DC4419" w:rsidR="00CD49A7">
        <w:t xml:space="preserve"> of the Court (Rule 52 § 1 of the Rules of Court). </w:t>
      </w:r>
      <w:r w:rsidRPr="00DC4419">
        <w:t>Within that Section, the Chamber that would consider the case (Article 27 § 1 of the Convention) was constituted as provided in Rule 26 § 1.</w:t>
      </w:r>
    </w:p>
    <w:p w:rsidRPr="00DC4419" w:rsidR="00CD49A7" w:rsidRDefault="00F73655">
      <w:pPr>
        <w:pStyle w:val="JuPara"/>
      </w:pPr>
      <w:r w:rsidRPr="00DC4419">
        <w:fldChar w:fldCharType="begin"/>
      </w:r>
      <w:r w:rsidRPr="00DC4419">
        <w:instrText xml:space="preserve"> SEQ level0 \*arabic </w:instrText>
      </w:r>
      <w:r w:rsidRPr="00DC4419">
        <w:fldChar w:fldCharType="separate"/>
      </w:r>
      <w:r w:rsidRPr="00DC4419" w:rsidR="00E14680">
        <w:rPr>
          <w:noProof/>
        </w:rPr>
        <w:t>5</w:t>
      </w:r>
      <w:r w:rsidRPr="00DC4419">
        <w:fldChar w:fldCharType="end"/>
      </w:r>
      <w:r w:rsidRPr="00DC4419">
        <w:t>.  </w:t>
      </w:r>
      <w:r w:rsidRPr="00DC4419" w:rsidR="00D66E13">
        <w:t xml:space="preserve">By a decision of </w:t>
      </w:r>
      <w:smartTag w:uri="urn:schemas-microsoft-com:office:smarttags" w:element="date">
        <w:smartTagPr>
          <w:attr w:name="Month" w:val="8"/>
          <w:attr w:name="Day" w:val="31"/>
          <w:attr w:name="Year" w:val="2004"/>
        </w:smartTagPr>
        <w:r w:rsidR="00D66E13" w:rsidRPr="00DC4419">
          <w:t>31 August 2004</w:t>
        </w:r>
      </w:smartTag>
      <w:r w:rsidRPr="00DC4419" w:rsidR="00D66E13">
        <w:t>, the Court declared the applications admissible</w:t>
      </w:r>
      <w:r w:rsidRPr="00DC4419">
        <w:t>.</w:t>
      </w:r>
    </w:p>
    <w:p w:rsidRPr="00DC4419" w:rsidR="00F73655" w:rsidP="00F73655" w:rsidRDefault="00F73655">
      <w:pPr>
        <w:pStyle w:val="JuPara"/>
      </w:pPr>
      <w:r w:rsidRPr="00DC4419">
        <w:fldChar w:fldCharType="begin"/>
      </w:r>
      <w:r w:rsidRPr="00DC4419">
        <w:instrText xml:space="preserve"> SEQ level0 \*arabic </w:instrText>
      </w:r>
      <w:r w:rsidRPr="00DC4419">
        <w:fldChar w:fldCharType="separate"/>
      </w:r>
      <w:r w:rsidRPr="00DC4419" w:rsidR="00E14680">
        <w:rPr>
          <w:noProof/>
        </w:rPr>
        <w:t>6</w:t>
      </w:r>
      <w:r w:rsidRPr="00DC4419">
        <w:fldChar w:fldCharType="end"/>
      </w:r>
      <w:r w:rsidRPr="00DC4419">
        <w:t>.  </w:t>
      </w:r>
      <w:r w:rsidRPr="00DC4419" w:rsidR="00D66E13">
        <w:t xml:space="preserve">On </w:t>
      </w:r>
      <w:smartTag w:uri="urn:schemas-microsoft-com:office:smarttags" w:element="date">
        <w:smartTagPr>
          <w:attr w:name="Month" w:val="11"/>
          <w:attr w:name="Day" w:val="1"/>
          <w:attr w:name="Year" w:val="2004"/>
        </w:smartTagPr>
        <w:r w:rsidR="00D66E13" w:rsidRPr="00DC4419">
          <w:t>1 November 200</w:t>
        </w:r>
        <w:r w:rsidRPr="00DC4419">
          <w:t>4</w:t>
        </w:r>
      </w:smartTag>
      <w:r w:rsidRPr="00DC4419">
        <w:t xml:space="preserve"> </w:t>
      </w:r>
      <w:r w:rsidRPr="00DC4419" w:rsidR="00D66E13">
        <w:t>he Court changed the composition</w:t>
      </w:r>
      <w:r w:rsidRPr="00DC4419">
        <w:t xml:space="preserve"> of its Sections (Rule 25 § 1)</w:t>
      </w:r>
      <w:r w:rsidRPr="00DC4419" w:rsidR="00D66E13">
        <w:t>. This case was assigned to the newly composed Fourth Section (Rule 52 § 1)</w:t>
      </w:r>
      <w:r w:rsidRPr="00DC4419">
        <w:t>.</w:t>
      </w:r>
    </w:p>
    <w:p w:rsidRPr="00DC4419" w:rsidR="00F73655" w:rsidP="00F73655" w:rsidRDefault="00F73655">
      <w:pPr>
        <w:pStyle w:val="JuPara"/>
      </w:pPr>
      <w:r w:rsidRPr="00DC4419">
        <w:fldChar w:fldCharType="begin"/>
      </w:r>
      <w:r w:rsidRPr="00DC4419">
        <w:instrText xml:space="preserve"> SEQ level0 \*arabic </w:instrText>
      </w:r>
      <w:r w:rsidRPr="00DC4419">
        <w:fldChar w:fldCharType="separate"/>
      </w:r>
      <w:r w:rsidRPr="00DC4419" w:rsidR="00E14680">
        <w:rPr>
          <w:noProof/>
        </w:rPr>
        <w:t>7</w:t>
      </w:r>
      <w:r w:rsidRPr="00DC4419">
        <w:fldChar w:fldCharType="end"/>
      </w:r>
      <w:r w:rsidRPr="00DC4419">
        <w:t>.  Neither the applicant company nor the Government filed observations on the merits (Rule 59 § 1).</w:t>
      </w:r>
    </w:p>
    <w:p w:rsidRPr="00DC4419" w:rsidR="00E22AE4" w:rsidP="00F73655"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8</w:t>
      </w:r>
      <w:r w:rsidRPr="00DC4419">
        <w:fldChar w:fldCharType="end"/>
      </w:r>
      <w:r w:rsidRPr="00DC4419">
        <w:t>.  </w:t>
      </w:r>
      <w:r w:rsidRPr="00DC4419" w:rsidR="000C051D">
        <w:t xml:space="preserve">On </w:t>
      </w:r>
      <w:smartTag w:uri="urn:schemas-microsoft-com:office:smarttags" w:element="date">
        <w:smartTagPr>
          <w:attr w:name="Month" w:val="12"/>
          <w:attr w:name="Day" w:val="13"/>
          <w:attr w:name="Year" w:val="2005"/>
        </w:smartTagPr>
        <w:r w:rsidR="00C5202A" w:rsidRPr="00DC4419">
          <w:t>13 December</w:t>
        </w:r>
        <w:r w:rsidR="006B4A83" w:rsidRPr="00DC4419">
          <w:t xml:space="preserve"> 2005</w:t>
        </w:r>
      </w:smartTag>
      <w:r w:rsidRPr="00DC4419" w:rsidR="006B4A83">
        <w:t xml:space="preserve"> </w:t>
      </w:r>
      <w:r w:rsidRPr="00DC4419" w:rsidR="000C051D">
        <w:t>t</w:t>
      </w:r>
      <w:r w:rsidRPr="00DC4419">
        <w:t>he Court decided to join the applications (Rule 42 § 1)</w:t>
      </w:r>
      <w:r w:rsidRPr="00DC4419" w:rsidR="000C051D">
        <w:t>.</w:t>
      </w:r>
    </w:p>
    <w:p w:rsidRPr="00DC4419" w:rsidR="00CD49A7" w:rsidP="00F92A55" w:rsidRDefault="00CD49A7">
      <w:pPr>
        <w:pStyle w:val="JuHHead"/>
      </w:pPr>
      <w:r w:rsidRPr="00DC4419">
        <w:t>THE FACTS</w:t>
      </w:r>
    </w:p>
    <w:p w:rsidRPr="00DC4419" w:rsidR="00CD49A7" w:rsidP="00F92A55" w:rsidRDefault="00CD49A7">
      <w:pPr>
        <w:pStyle w:val="JuHIRoman"/>
      </w:pPr>
      <w:r w:rsidRPr="00DC4419">
        <w:t>I.  THE CIRCUMSTANCES OF THE CASE</w:t>
      </w:r>
    </w:p>
    <w:p w:rsidRPr="00DC4419" w:rsidR="00A778B5" w:rsidP="00A778B5" w:rsidRDefault="00A778B5">
      <w:pPr>
        <w:pStyle w:val="JuPara"/>
        <w:rPr>
          <w:noProof/>
        </w:rPr>
      </w:pPr>
      <w:r w:rsidRPr="00DC4419">
        <w:fldChar w:fldCharType="begin"/>
      </w:r>
      <w:r w:rsidRPr="00DC4419">
        <w:instrText xml:space="preserve"> SEQ level0 \*arabic </w:instrText>
      </w:r>
      <w:r w:rsidRPr="00DC4419">
        <w:fldChar w:fldCharType="separate"/>
      </w:r>
      <w:r w:rsidRPr="00DC4419" w:rsidR="00E14680">
        <w:rPr>
          <w:noProof/>
        </w:rPr>
        <w:t>9</w:t>
      </w:r>
      <w:r w:rsidRPr="00DC4419">
        <w:fldChar w:fldCharType="end"/>
      </w:r>
      <w:r w:rsidRPr="00DC4419">
        <w:t>.  The applicant</w:t>
      </w:r>
      <w:r w:rsidRPr="00DC4419">
        <w:rPr>
          <w:noProof/>
        </w:rPr>
        <w:t xml:space="preserve"> is the owner and publisher of the weekly magazine “Profil”.</w:t>
      </w:r>
    </w:p>
    <w:p w:rsidRPr="00DC4419" w:rsidR="00E22AE4" w:rsidP="00DC60A2" w:rsidRDefault="00A778B5">
      <w:pPr>
        <w:pStyle w:val="JuPara"/>
      </w:pPr>
      <w:r w:rsidRPr="00DC4419">
        <w:rPr>
          <w:noProof/>
        </w:rPr>
        <w:fldChar w:fldCharType="begin"/>
      </w:r>
      <w:r w:rsidRPr="00DC4419">
        <w:rPr>
          <w:noProof/>
        </w:rPr>
        <w:instrText xml:space="preserve"> SEQ level0 \*arabic </w:instrText>
      </w:r>
      <w:r w:rsidRPr="00DC4419">
        <w:rPr>
          <w:noProof/>
        </w:rPr>
        <w:fldChar w:fldCharType="separate"/>
      </w:r>
      <w:r w:rsidRPr="00DC4419" w:rsidR="00E14680">
        <w:rPr>
          <w:noProof/>
        </w:rPr>
        <w:t>10</w:t>
      </w:r>
      <w:r w:rsidRPr="00DC4419">
        <w:rPr>
          <w:noProof/>
        </w:rPr>
        <w:fldChar w:fldCharType="end"/>
      </w:r>
      <w:r w:rsidRPr="00DC4419">
        <w:rPr>
          <w:noProof/>
        </w:rPr>
        <w:t xml:space="preserve">.  In its issue 25/1998 </w:t>
      </w:r>
      <w:r w:rsidRPr="00DC4419" w:rsidR="00942899">
        <w:rPr>
          <w:noProof/>
        </w:rPr>
        <w:t xml:space="preserve">of </w:t>
      </w:r>
      <w:smartTag w:uri="urn:schemas-microsoft-com:office:smarttags" w:element="date">
        <w:smartTagPr>
          <w:attr w:name="Month" w:val="6"/>
          <w:attr w:name="Day" w:val="15"/>
          <w:attr w:name="Year" w:val="1998"/>
        </w:smartTagPr>
        <w:r w:rsidR="00942899" w:rsidRPr="00DC4419">
          <w:rPr>
            <w:noProof/>
          </w:rPr>
          <w:t>15 June 1998</w:t>
        </w:r>
      </w:smartTag>
      <w:r w:rsidRPr="00DC4419" w:rsidR="00942899">
        <w:rPr>
          <w:noProof/>
        </w:rPr>
        <w:t xml:space="preserve"> </w:t>
      </w:r>
      <w:r w:rsidRPr="00DC4419">
        <w:rPr>
          <w:noProof/>
        </w:rPr>
        <w:t>the applicant company published an article about Mr R</w:t>
      </w:r>
      <w:r w:rsidRPr="00DC4419" w:rsidR="0095241E">
        <w:rPr>
          <w:noProof/>
        </w:rPr>
        <w:t>.</w:t>
      </w:r>
      <w:r w:rsidRPr="00DC4419">
        <w:rPr>
          <w:noProof/>
        </w:rPr>
        <w:t>, at that time a member of Parliament, and his cohabitee Mrs G. The article, with the title “Diary of an escape”</w:t>
      </w:r>
      <w:r w:rsidRPr="00DC4419" w:rsidR="00C162A8">
        <w:rPr>
          <w:noProof/>
        </w:rPr>
        <w:t xml:space="preserve"> and the subtitle “</w:t>
      </w:r>
      <w:r w:rsidRPr="00DC4419" w:rsidR="00B1718B">
        <w:rPr>
          <w:noProof/>
        </w:rPr>
        <w:t>Report. Several myths are entwin</w:t>
      </w:r>
      <w:r w:rsidRPr="00DC4419" w:rsidR="00C162A8">
        <w:rPr>
          <w:noProof/>
        </w:rPr>
        <w:t>ed around P</w:t>
      </w:r>
      <w:r w:rsidRPr="00DC4419" w:rsidR="008A6732">
        <w:rPr>
          <w:noProof/>
        </w:rPr>
        <w:t>.</w:t>
      </w:r>
      <w:r w:rsidRPr="00DC4419" w:rsidR="00C162A8">
        <w:rPr>
          <w:noProof/>
        </w:rPr>
        <w:t xml:space="preserve"> R</w:t>
      </w:r>
      <w:r w:rsidRPr="00DC4419" w:rsidR="0095241E">
        <w:rPr>
          <w:noProof/>
        </w:rPr>
        <w:t>.</w:t>
      </w:r>
      <w:r w:rsidR="00DC4419">
        <w:rPr>
          <w:noProof/>
        </w:rPr>
        <w:t>’</w:t>
      </w:r>
      <w:r w:rsidRPr="00DC4419" w:rsidR="00B1718B">
        <w:rPr>
          <w:noProof/>
        </w:rPr>
        <w:t xml:space="preserve">s trip to </w:t>
      </w:r>
      <w:smartTag w:uri="urn:schemas-microsoft-com:office:smarttags" w:element="country-region">
        <w:smartTag w:uri="urn:schemas-microsoft-com:office:smarttags" w:element="place">
          <w:r w:rsidR="00B1718B" w:rsidRPr="00DC4419">
            <w:rPr>
              <w:noProof/>
            </w:rPr>
            <w:t>Br</w:t>
          </w:r>
          <w:r w:rsidR="00CF4FB1" w:rsidRPr="00DC4419">
            <w:rPr>
              <w:noProof/>
            </w:rPr>
            <w:t>azil</w:t>
          </w:r>
        </w:smartTag>
      </w:smartTag>
      <w:r w:rsidRPr="00DC4419" w:rsidR="00B1718B">
        <w:rPr>
          <w:noProof/>
        </w:rPr>
        <w:t>. The reconstruction of a banal reality”</w:t>
      </w:r>
      <w:r w:rsidRPr="00DC4419">
        <w:rPr>
          <w:noProof/>
        </w:rPr>
        <w:t>, described the couple</w:t>
      </w:r>
      <w:r w:rsidR="00DC4419">
        <w:rPr>
          <w:noProof/>
        </w:rPr>
        <w:t>’</w:t>
      </w:r>
      <w:r w:rsidRPr="00DC4419">
        <w:rPr>
          <w:noProof/>
        </w:rPr>
        <w:t xml:space="preserve">s </w:t>
      </w:r>
      <w:r w:rsidRPr="00DC4419" w:rsidR="00110FBD">
        <w:rPr>
          <w:noProof/>
        </w:rPr>
        <w:t xml:space="preserve">flight </w:t>
      </w:r>
      <w:r w:rsidRPr="00DC4419">
        <w:rPr>
          <w:noProof/>
        </w:rPr>
        <w:t xml:space="preserve">from </w:t>
      </w:r>
      <w:smartTag w:uri="urn:schemas-microsoft-com:office:smarttags" w:element="country-region">
        <w:smartTag w:uri="urn:schemas-microsoft-com:office:smarttags" w:element="place">
          <w:r w:rsidRPr="00DC4419">
            <w:rPr>
              <w:noProof/>
            </w:rPr>
            <w:t>Austria</w:t>
          </w:r>
        </w:smartTag>
      </w:smartTag>
      <w:r w:rsidRPr="00DC4419">
        <w:rPr>
          <w:noProof/>
        </w:rPr>
        <w:t xml:space="preserve"> in April 1998 as Mr </w:t>
      </w:r>
      <w:r w:rsidRPr="00DC4419" w:rsidR="00FC0A8F">
        <w:rPr>
          <w:noProof/>
        </w:rPr>
        <w:t>R</w:t>
      </w:r>
      <w:r w:rsidRPr="00DC4419" w:rsidR="0095241E">
        <w:rPr>
          <w:noProof/>
        </w:rPr>
        <w:t>.</w:t>
      </w:r>
      <w:r w:rsidRPr="00DC4419">
        <w:rPr>
          <w:noProof/>
        </w:rPr>
        <w:t xml:space="preserve"> was suspected of having committed the offences of aggravated fraud (</w:t>
      </w:r>
      <w:r w:rsidRPr="00DC4419">
        <w:rPr>
          <w:i/>
          <w:noProof/>
        </w:rPr>
        <w:t>Betrug</w:t>
      </w:r>
      <w:r w:rsidRPr="00DC4419">
        <w:rPr>
          <w:noProof/>
        </w:rPr>
        <w:t>) and fraudulent conversion (</w:t>
      </w:r>
      <w:r w:rsidRPr="00DC4419">
        <w:rPr>
          <w:i/>
          <w:noProof/>
        </w:rPr>
        <w:t>Untreue</w:t>
      </w:r>
      <w:r w:rsidRPr="00DC4419">
        <w:rPr>
          <w:noProof/>
        </w:rPr>
        <w:t xml:space="preserve">). </w:t>
      </w:r>
      <w:r w:rsidRPr="00DC4419" w:rsidR="00E22AE4">
        <w:t xml:space="preserve">After an international arrest warrant had been issued, Mr R. was arrested in </w:t>
      </w:r>
      <w:smartTag w:uri="urn:schemas-microsoft-com:office:smarttags" w:element="country-region">
        <w:smartTag w:uri="urn:schemas-microsoft-com:office:smarttags" w:element="place">
          <w:r w:rsidR="00E22AE4" w:rsidRPr="00DC4419">
            <w:t>Brazil</w:t>
          </w:r>
        </w:smartTag>
      </w:smartTag>
      <w:r w:rsidRPr="00DC4419" w:rsidR="006F7B2C">
        <w:t xml:space="preserve"> o</w:t>
      </w:r>
      <w:r w:rsidRPr="00DC4419" w:rsidR="00E22AE4">
        <w:t xml:space="preserve">n </w:t>
      </w:r>
      <w:smartTag w:uri="urn:schemas-microsoft-com:office:smarttags" w:element="date">
        <w:smartTagPr>
          <w:attr w:name="Month" w:val="6"/>
          <w:attr w:name="Day" w:val="5"/>
          <w:attr w:name="Year" w:val="1998"/>
        </w:smartTagPr>
        <w:r w:rsidR="006F7B2C" w:rsidRPr="00DC4419">
          <w:t xml:space="preserve">5 </w:t>
        </w:r>
        <w:r w:rsidR="00E22AE4" w:rsidRPr="00DC4419">
          <w:t>June 1998</w:t>
        </w:r>
      </w:smartTag>
      <w:r w:rsidRPr="00DC4419" w:rsidR="006F7B2C">
        <w:t>. At the</w:t>
      </w:r>
      <w:r w:rsidRPr="00DC4419" w:rsidR="00E22AE4">
        <w:t xml:space="preserve"> time</w:t>
      </w:r>
      <w:r w:rsidRPr="00DC4419" w:rsidR="006F7B2C">
        <w:t xml:space="preserve"> of the events</w:t>
      </w:r>
      <w:r w:rsidRPr="00DC4419" w:rsidR="00E22AE4">
        <w:t xml:space="preserve">, great public interest in the criminal proceedings against </w:t>
      </w:r>
      <w:r w:rsidRPr="00DC4419" w:rsidR="00DC60A2">
        <w:t>Mr R</w:t>
      </w:r>
      <w:r w:rsidRPr="00DC4419" w:rsidR="0095241E">
        <w:t>.</w:t>
      </w:r>
      <w:r w:rsidRPr="00DC4419" w:rsidR="00DC60A2">
        <w:t xml:space="preserve"> </w:t>
      </w:r>
      <w:r w:rsidRPr="00DC4419" w:rsidR="00E22AE4">
        <w:t>existed.</w:t>
      </w:r>
      <w:r w:rsidRPr="00DC4419" w:rsidR="00FC0A8F">
        <w:t xml:space="preserve"> </w:t>
      </w:r>
      <w:r w:rsidRPr="00DC4419" w:rsidR="00DC60A2">
        <w:t>After Mr R</w:t>
      </w:r>
      <w:r w:rsidRPr="00DC4419" w:rsidR="0095241E">
        <w:t>.</w:t>
      </w:r>
      <w:r w:rsidR="00DC4419">
        <w:t>’</w:t>
      </w:r>
      <w:r w:rsidRPr="00DC4419" w:rsidR="0095241E">
        <w:t>s arrest, Mrs </w:t>
      </w:r>
      <w:r w:rsidRPr="00DC4419" w:rsidR="00DC60A2">
        <w:t>G</w:t>
      </w:r>
      <w:r w:rsidRPr="00DC4419" w:rsidR="0095241E">
        <w:t>.</w:t>
      </w:r>
      <w:r w:rsidRPr="00DC4419" w:rsidR="00DC60A2">
        <w:t xml:space="preserve"> had given interviews on these events. </w:t>
      </w:r>
      <w:r w:rsidRPr="00DC4419" w:rsidR="00FC0A8F">
        <w:t>The article was accompanied by a photo, which appeared on another page, showing Mrs G</w:t>
      </w:r>
      <w:r w:rsidRPr="00DC4419" w:rsidR="0095241E">
        <w:t>.</w:t>
      </w:r>
      <w:r w:rsidRPr="00DC4419" w:rsidR="00FC0A8F">
        <w:t xml:space="preserve"> standing beside Mr R.</w:t>
      </w:r>
    </w:p>
    <w:p w:rsidR="00DC4419" w:rsidP="00A778B5" w:rsidRDefault="00A778B5">
      <w:pPr>
        <w:pStyle w:val="JuPara"/>
      </w:pPr>
      <w:r w:rsidRPr="00DC4419">
        <w:fldChar w:fldCharType="begin"/>
      </w:r>
      <w:r w:rsidRPr="00DC4419">
        <w:instrText xml:space="preserve"> SEQ level0 \*arabic </w:instrText>
      </w:r>
      <w:r w:rsidRPr="00DC4419">
        <w:fldChar w:fldCharType="separate"/>
      </w:r>
      <w:r w:rsidRPr="00DC4419" w:rsidR="00E14680">
        <w:rPr>
          <w:noProof/>
        </w:rPr>
        <w:t>11</w:t>
      </w:r>
      <w:r w:rsidRPr="00DC4419">
        <w:fldChar w:fldCharType="end"/>
      </w:r>
      <w:r w:rsidRPr="00DC4419">
        <w:t xml:space="preserve">.  The article </w:t>
      </w:r>
      <w:r w:rsidRPr="00DC4419" w:rsidR="00512501">
        <w:t>and its context, namely a short text accompanying photos showing the</w:t>
      </w:r>
      <w:r w:rsidRPr="00DC4419" w:rsidR="00CF4FB1">
        <w:t xml:space="preserve"> couple</w:t>
      </w:r>
      <w:r w:rsidR="00DC4419">
        <w:t>’</w:t>
      </w:r>
      <w:r w:rsidRPr="00DC4419" w:rsidR="00CF4FB1">
        <w:t xml:space="preserve">s hotel and a bar in </w:t>
      </w:r>
      <w:smartTag w:uri="urn:schemas-microsoft-com:office:smarttags" w:element="country-region">
        <w:smartTag w:uri="urn:schemas-microsoft-com:office:smarttags" w:element="place">
          <w:r w:rsidR="00CF4FB1" w:rsidRPr="00DC4419">
            <w:t>Bra</w:t>
          </w:r>
          <w:r w:rsidR="00512501" w:rsidRPr="00DC4419">
            <w:t>zil</w:t>
          </w:r>
        </w:smartTag>
      </w:smartTag>
      <w:r w:rsidRPr="00DC4419" w:rsidR="00512501">
        <w:t xml:space="preserve">, </w:t>
      </w:r>
      <w:r w:rsidRPr="00DC4419">
        <w:t>contained the following statements:</w:t>
      </w:r>
    </w:p>
    <w:p w:rsidRPr="00DC4419" w:rsidR="00A778B5" w:rsidP="00A778B5" w:rsidRDefault="00A778B5">
      <w:pPr>
        <w:pStyle w:val="JuQuot"/>
      </w:pPr>
      <w:r w:rsidRPr="00DC4419">
        <w:t>“</w:t>
      </w:r>
      <w:r w:rsidRPr="00DC4419" w:rsidR="00F714FD">
        <w:t>...</w:t>
      </w:r>
      <w:r w:rsidRPr="00DC4419">
        <w:t xml:space="preserve">Thus, the Lower Austrian mutation of </w:t>
      </w:r>
      <w:r w:rsidR="00DC4419">
        <w:t>‘</w:t>
      </w:r>
      <w:r w:rsidRPr="00DC4419">
        <w:t xml:space="preserve">Bonnie and </w:t>
      </w:r>
      <w:smartTag w:uri="urn:schemas-microsoft-com:office:smarttags" w:element="place">
        <w:r w:rsidRPr="00DC4419">
          <w:t>Clyde</w:t>
        </w:r>
      </w:smartTag>
      <w:r w:rsidR="00DC4419">
        <w:t>’</w:t>
      </w:r>
      <w:r w:rsidRPr="00DC4419">
        <w:t xml:space="preserve"> started on the last part of their trip, a four hour bus ride</w:t>
      </w:r>
      <w:r w:rsidRPr="00DC4419" w:rsidR="00F714FD">
        <w:t>...</w:t>
      </w:r>
      <w:r w:rsidRPr="00DC4419">
        <w:t xml:space="preserve"> (Also </w:t>
      </w:r>
      <w:proofErr w:type="spellStart"/>
      <w:r w:rsidRPr="00DC4419">
        <w:t>brach</w:t>
      </w:r>
      <w:proofErr w:type="spellEnd"/>
      <w:r w:rsidRPr="00DC4419">
        <w:t xml:space="preserve"> die </w:t>
      </w:r>
      <w:proofErr w:type="spellStart"/>
      <w:r w:rsidRPr="00DC4419">
        <w:t>niederösterreichische</w:t>
      </w:r>
      <w:proofErr w:type="spellEnd"/>
      <w:r w:rsidRPr="00DC4419">
        <w:t xml:space="preserve"> Mutation von Bonnie and </w:t>
      </w:r>
      <w:smartTag w:uri="urn:schemas-microsoft-com:office:smarttags" w:element="place">
        <w:r w:rsidRPr="00DC4419">
          <w:t>Clyde</w:t>
        </w:r>
      </w:smartTag>
      <w:r w:rsidRPr="00DC4419">
        <w:t xml:space="preserve"> </w:t>
      </w:r>
      <w:proofErr w:type="spellStart"/>
      <w:r w:rsidRPr="00DC4419">
        <w:t>zur</w:t>
      </w:r>
      <w:proofErr w:type="spellEnd"/>
      <w:r w:rsidRPr="00DC4419">
        <w:t xml:space="preserve"> </w:t>
      </w:r>
      <w:proofErr w:type="spellStart"/>
      <w:r w:rsidRPr="00DC4419">
        <w:t>letzten</w:t>
      </w:r>
      <w:proofErr w:type="spellEnd"/>
      <w:r w:rsidRPr="00DC4419">
        <w:t xml:space="preserve"> </w:t>
      </w:r>
      <w:proofErr w:type="spellStart"/>
      <w:r w:rsidRPr="00DC4419">
        <w:t>Etappe</w:t>
      </w:r>
      <w:proofErr w:type="spellEnd"/>
      <w:r w:rsidRPr="00DC4419">
        <w:t xml:space="preserve">, </w:t>
      </w:r>
      <w:proofErr w:type="spellStart"/>
      <w:r w:rsidRPr="00DC4419">
        <w:t>einer</w:t>
      </w:r>
      <w:proofErr w:type="spellEnd"/>
      <w:r w:rsidRPr="00DC4419">
        <w:t xml:space="preserve"> </w:t>
      </w:r>
      <w:proofErr w:type="spellStart"/>
      <w:r w:rsidRPr="00DC4419">
        <w:t>vierstündigen</w:t>
      </w:r>
      <w:proofErr w:type="spellEnd"/>
      <w:r w:rsidRPr="00DC4419">
        <w:t xml:space="preserve"> </w:t>
      </w:r>
      <w:proofErr w:type="spellStart"/>
      <w:r w:rsidRPr="00DC4419">
        <w:t>Busfahrt</w:t>
      </w:r>
      <w:proofErr w:type="spellEnd"/>
      <w:r w:rsidRPr="00DC4419" w:rsidR="00F714FD">
        <w:t>...</w:t>
      </w:r>
      <w:r w:rsidRPr="00DC4419">
        <w:t>auf.)</w:t>
      </w:r>
    </w:p>
    <w:p w:rsidRPr="00DC4419" w:rsidR="00A778B5" w:rsidP="00A778B5" w:rsidRDefault="00F714FD">
      <w:pPr>
        <w:pStyle w:val="JuQuot"/>
        <w:rPr>
          <w:lang w:val="de-DE"/>
        </w:rPr>
      </w:pPr>
      <w:r w:rsidRPr="00DC4419">
        <w:t>...</w:t>
      </w:r>
      <w:r w:rsidRPr="00DC4419" w:rsidR="00A778B5">
        <w:t xml:space="preserve">The first two weeks, </w:t>
      </w:r>
      <w:r w:rsidR="00DC4419">
        <w:t>‘</w:t>
      </w:r>
      <w:r w:rsidRPr="00DC4419" w:rsidR="00A778B5">
        <w:t xml:space="preserve">Bonnie and </w:t>
      </w:r>
      <w:smartTag w:uri="urn:schemas-microsoft-com:office:smarttags" w:element="place">
        <w:r w:rsidR="00A778B5" w:rsidRPr="00DC4419">
          <w:t>Clyde</w:t>
        </w:r>
      </w:smartTag>
      <w:r w:rsidR="00DC4419">
        <w:t>’</w:t>
      </w:r>
      <w:r w:rsidRPr="00DC4419" w:rsidR="00A778B5">
        <w:t xml:space="preserve"> hardly ever left the hotel</w:t>
      </w:r>
      <w:r w:rsidRPr="00DC4419">
        <w:t>...</w:t>
      </w:r>
      <w:r w:rsidRPr="00DC4419" w:rsidR="00A778B5">
        <w:t xml:space="preserve"> </w:t>
      </w:r>
      <w:r w:rsidRPr="00DC4419" w:rsidR="00A778B5">
        <w:rPr>
          <w:lang w:val="de-DE"/>
        </w:rPr>
        <w:t xml:space="preserve">(Die ersten beiden Wochen verlassen </w:t>
      </w:r>
      <w:r w:rsidRPr="00DC4419" w:rsidR="00DC4419">
        <w:rPr>
          <w:lang w:val="de-DE"/>
        </w:rPr>
        <w:t>‘</w:t>
      </w:r>
      <w:r w:rsidRPr="00DC4419" w:rsidR="00A778B5">
        <w:rPr>
          <w:lang w:val="de-DE"/>
        </w:rPr>
        <w:t>Bonnie und Clyde</w:t>
      </w:r>
      <w:r w:rsidRPr="00DC4419" w:rsidR="00DC4419">
        <w:rPr>
          <w:lang w:val="de-DE"/>
        </w:rPr>
        <w:t>’</w:t>
      </w:r>
      <w:r w:rsidRPr="00DC4419" w:rsidR="00A778B5">
        <w:rPr>
          <w:lang w:val="de-DE"/>
        </w:rPr>
        <w:t xml:space="preserve"> das Haus praktisch nie.)</w:t>
      </w:r>
    </w:p>
    <w:p w:rsidRPr="00DC4419" w:rsidR="00A778B5" w:rsidP="00A778B5" w:rsidRDefault="00F714FD">
      <w:pPr>
        <w:pStyle w:val="JuQuot"/>
        <w:rPr>
          <w:lang w:val="de-DE"/>
        </w:rPr>
      </w:pPr>
      <w:r w:rsidRPr="00DC4419">
        <w:t>...</w:t>
      </w:r>
      <w:r w:rsidR="00DC4419">
        <w:t>’</w:t>
      </w:r>
      <w:r w:rsidRPr="00DC4419" w:rsidR="00A778B5">
        <w:t xml:space="preserve">Bonnie and </w:t>
      </w:r>
      <w:smartTag w:uri="urn:schemas-microsoft-com:office:smarttags" w:element="place">
        <w:r w:rsidR="00A778B5" w:rsidRPr="00DC4419">
          <w:t>Clyde</w:t>
        </w:r>
      </w:smartTag>
      <w:r w:rsidR="00DC4419">
        <w:t>’</w:t>
      </w:r>
      <w:r w:rsidRPr="00DC4419" w:rsidR="00A778B5">
        <w:t xml:space="preserve"> from </w:t>
      </w:r>
      <w:smartTag w:uri="urn:schemas-microsoft-com:office:smarttags" w:element="place">
        <w:r w:rsidR="00A778B5" w:rsidRPr="00DC4419">
          <w:t>Lower Austria</w:t>
        </w:r>
      </w:smartTag>
      <w:r w:rsidRPr="00DC4419" w:rsidR="00A778B5">
        <w:t xml:space="preserve"> wish to rent the Mayor</w:t>
      </w:r>
      <w:r w:rsidR="00DC4419">
        <w:t>’</w:t>
      </w:r>
      <w:r w:rsidRPr="00DC4419" w:rsidR="00A778B5">
        <w:t>s bar</w:t>
      </w:r>
      <w:r w:rsidRPr="00DC4419">
        <w:t>...</w:t>
      </w:r>
      <w:r w:rsidRPr="00DC4419" w:rsidR="00A778B5">
        <w:t xml:space="preserve"> </w:t>
      </w:r>
      <w:r w:rsidRPr="00DC4419" w:rsidR="00A778B5">
        <w:rPr>
          <w:lang w:val="de-DE"/>
        </w:rPr>
        <w:t>(</w:t>
      </w:r>
      <w:r w:rsidRPr="00DC4419" w:rsidR="00DC4419">
        <w:rPr>
          <w:lang w:val="de-DE"/>
        </w:rPr>
        <w:t>‘</w:t>
      </w:r>
      <w:r w:rsidRPr="00DC4419" w:rsidR="00A778B5">
        <w:rPr>
          <w:lang w:val="de-DE"/>
        </w:rPr>
        <w:t>Bonnie und Clyde</w:t>
      </w:r>
      <w:r w:rsidRPr="00DC4419" w:rsidR="00DC4419">
        <w:rPr>
          <w:lang w:val="de-DE"/>
        </w:rPr>
        <w:t>’</w:t>
      </w:r>
      <w:r w:rsidRPr="00DC4419" w:rsidR="00A778B5">
        <w:rPr>
          <w:lang w:val="de-DE"/>
        </w:rPr>
        <w:t xml:space="preserve"> aus Niederösterreich wollen die Bar des Bürgermeisters pachten.)</w:t>
      </w:r>
    </w:p>
    <w:p w:rsidRPr="00DC4419" w:rsidR="00A778B5" w:rsidP="00A778B5" w:rsidRDefault="00F714FD">
      <w:pPr>
        <w:pStyle w:val="JuQuot"/>
        <w:rPr>
          <w:lang w:val="de-DE"/>
        </w:rPr>
      </w:pPr>
      <w:r w:rsidRPr="00DC4419">
        <w:t>...</w:t>
      </w:r>
      <w:r w:rsidR="00DC4419">
        <w:t>’</w:t>
      </w:r>
      <w:r w:rsidRPr="00DC4419" w:rsidR="00A778B5">
        <w:t xml:space="preserve">Bonnie and </w:t>
      </w:r>
      <w:smartTag w:uri="urn:schemas-microsoft-com:office:smarttags" w:element="place">
        <w:r w:rsidR="00A778B5" w:rsidRPr="00DC4419">
          <w:t>Clyde</w:t>
        </w:r>
      </w:smartTag>
      <w:r w:rsidR="00DC4419">
        <w:t>’</w:t>
      </w:r>
      <w:r w:rsidRPr="00DC4419" w:rsidR="00A778B5">
        <w:t xml:space="preserve"> are dreaming of a decent life as pub owners</w:t>
      </w:r>
      <w:r w:rsidRPr="00DC4419">
        <w:t>...</w:t>
      </w:r>
      <w:r w:rsidRPr="00DC4419" w:rsidR="00A778B5">
        <w:t xml:space="preserve"> </w:t>
      </w:r>
      <w:r w:rsidRPr="00DC4419" w:rsidR="00A778B5">
        <w:rPr>
          <w:lang w:val="de-DE"/>
        </w:rPr>
        <w:t>(</w:t>
      </w:r>
      <w:r w:rsidRPr="00DC4419" w:rsidR="00DC4419">
        <w:rPr>
          <w:lang w:val="de-DE"/>
        </w:rPr>
        <w:t>‘</w:t>
      </w:r>
      <w:r w:rsidRPr="00DC4419" w:rsidR="00A778B5">
        <w:rPr>
          <w:lang w:val="de-DE"/>
        </w:rPr>
        <w:t>Bonnie und Clyde</w:t>
      </w:r>
      <w:r w:rsidRPr="00DC4419" w:rsidR="00DC4419">
        <w:rPr>
          <w:lang w:val="de-DE"/>
        </w:rPr>
        <w:t>’</w:t>
      </w:r>
      <w:r w:rsidRPr="00DC4419" w:rsidR="00A778B5">
        <w:rPr>
          <w:lang w:val="de-DE"/>
        </w:rPr>
        <w:t xml:space="preserve"> träumen von einem bescheidenen Leben als Barbetreiber.)”</w:t>
      </w:r>
    </w:p>
    <w:p w:rsidRPr="00DC4419" w:rsidR="00342A55" w:rsidP="00A778B5" w:rsidRDefault="00342A55">
      <w:pPr>
        <w:pStyle w:val="JuPara"/>
        <w:ind w:firstLine="0"/>
        <w:rPr>
          <w:noProof/>
          <w:lang w:val="de-DE"/>
        </w:rPr>
      </w:pPr>
    </w:p>
    <w:p w:rsidRPr="00DC4419" w:rsidR="00A778B5" w:rsidP="00A778B5" w:rsidRDefault="00A778B5">
      <w:pPr>
        <w:pStyle w:val="JuPara"/>
        <w:ind w:firstLine="0"/>
        <w:rPr>
          <w:noProof/>
        </w:rPr>
      </w:pPr>
      <w:r w:rsidRPr="00DC4419">
        <w:rPr>
          <w:noProof/>
        </w:rPr>
        <w:t>The article, whe</w:t>
      </w:r>
      <w:r w:rsidRPr="00DC4419" w:rsidR="00FC0A8F">
        <w:rPr>
          <w:noProof/>
        </w:rPr>
        <w:t>n describing the arrest of Mr R</w:t>
      </w:r>
      <w:r w:rsidRPr="00DC4419" w:rsidR="0095241E">
        <w:rPr>
          <w:noProof/>
        </w:rPr>
        <w:t>.</w:t>
      </w:r>
      <w:r w:rsidRPr="00DC4419">
        <w:rPr>
          <w:noProof/>
        </w:rPr>
        <w:t>, further stated :</w:t>
      </w:r>
    </w:p>
    <w:p w:rsidRPr="00DC4419" w:rsidR="00E22AE4" w:rsidP="00E22AE4" w:rsidRDefault="00FC0A8F">
      <w:pPr>
        <w:pStyle w:val="JuQuot"/>
        <w:rPr>
          <w:noProof/>
        </w:rPr>
      </w:pPr>
      <w:r w:rsidRPr="00DC4419">
        <w:rPr>
          <w:noProof/>
        </w:rPr>
        <w:t>“C. G</w:t>
      </w:r>
      <w:r w:rsidRPr="00DC4419" w:rsidR="0095241E">
        <w:rPr>
          <w:noProof/>
        </w:rPr>
        <w:t>.</w:t>
      </w:r>
      <w:r w:rsidRPr="00DC4419" w:rsidR="00A778B5">
        <w:rPr>
          <w:noProof/>
        </w:rPr>
        <w:t>, against whom no suspicion exists,</w:t>
      </w:r>
      <w:r w:rsidRPr="00DC4419">
        <w:rPr>
          <w:noProof/>
        </w:rPr>
        <w:t xml:space="preserve"> stays behind. (Zurück bleibt C.G</w:t>
      </w:r>
      <w:r w:rsidRPr="00DC4419" w:rsidR="0095241E">
        <w:rPr>
          <w:noProof/>
        </w:rPr>
        <w:t>.</w:t>
      </w:r>
      <w:r w:rsidRPr="00DC4419" w:rsidR="00A778B5">
        <w:rPr>
          <w:noProof/>
        </w:rPr>
        <w:t>, gegen die nichts vorliegt.)”</w:t>
      </w:r>
    </w:p>
    <w:p w:rsidR="00DC4419" w:rsidP="00E22AE4" w:rsidRDefault="00E22AE4">
      <w:pPr>
        <w:pStyle w:val="JuHA"/>
      </w:pPr>
      <w:r w:rsidRPr="00DC4419">
        <w:t>A.  Proceedings under the Media Act</w:t>
      </w:r>
    </w:p>
    <w:p w:rsidRPr="00DC4419" w:rsidR="00A778B5" w:rsidP="00A778B5" w:rsidRDefault="00A778B5">
      <w:pPr>
        <w:pStyle w:val="JuPara"/>
      </w:pPr>
      <w:r w:rsidRPr="00DC4419">
        <w:rPr>
          <w:noProof/>
        </w:rPr>
        <w:fldChar w:fldCharType="begin"/>
      </w:r>
      <w:r w:rsidRPr="00DC4419">
        <w:rPr>
          <w:noProof/>
        </w:rPr>
        <w:instrText xml:space="preserve"> SEQ level0 \*arabic </w:instrText>
      </w:r>
      <w:r w:rsidRPr="00DC4419">
        <w:rPr>
          <w:noProof/>
        </w:rPr>
        <w:fldChar w:fldCharType="separate"/>
      </w:r>
      <w:r w:rsidRPr="00DC4419" w:rsidR="00E14680">
        <w:rPr>
          <w:noProof/>
        </w:rPr>
        <w:t>12</w:t>
      </w:r>
      <w:r w:rsidRPr="00DC4419">
        <w:rPr>
          <w:noProof/>
        </w:rPr>
        <w:fldChar w:fldCharType="end"/>
      </w:r>
      <w:r w:rsidRPr="00DC4419">
        <w:rPr>
          <w:noProof/>
        </w:rPr>
        <w:t xml:space="preserve">.  On </w:t>
      </w:r>
      <w:smartTag w:uri="urn:schemas-microsoft-com:office:smarttags" w:element="date">
        <w:smartTagPr>
          <w:attr w:name="Month" w:val="11"/>
          <w:attr w:name="Day" w:val="20"/>
          <w:attr w:name="Year" w:val="1998"/>
        </w:smartTagPr>
        <w:r w:rsidRPr="00DC4419">
          <w:rPr>
            <w:noProof/>
          </w:rPr>
          <w:t>20 November 1998</w:t>
        </w:r>
      </w:smartTag>
      <w:r w:rsidRPr="00DC4419">
        <w:rPr>
          <w:noProof/>
        </w:rPr>
        <w:t xml:space="preserve"> Mrs </w:t>
      </w:r>
      <w:r w:rsidRPr="00DC4419" w:rsidR="008A6732">
        <w:rPr>
          <w:noProof/>
        </w:rPr>
        <w:t>G</w:t>
      </w:r>
      <w:r w:rsidRPr="00DC4419" w:rsidR="0095241E">
        <w:rPr>
          <w:noProof/>
        </w:rPr>
        <w:t>.</w:t>
      </w:r>
      <w:r w:rsidRPr="00DC4419">
        <w:rPr>
          <w:noProof/>
        </w:rPr>
        <w:t xml:space="preserve"> brought proceedings against the applicant company claiming compensation </w:t>
      </w:r>
      <w:r w:rsidRPr="00DC4419" w:rsidR="000C051D">
        <w:rPr>
          <w:noProof/>
        </w:rPr>
        <w:t xml:space="preserve">for defamation </w:t>
      </w:r>
      <w:r w:rsidRPr="00DC4419" w:rsidR="00342A55">
        <w:rPr>
          <w:noProof/>
        </w:rPr>
        <w:t>under Section </w:t>
      </w:r>
      <w:r w:rsidRPr="00DC4419">
        <w:rPr>
          <w:noProof/>
        </w:rPr>
        <w:t>6 of the Media Act (</w:t>
      </w:r>
      <w:r w:rsidRPr="00DC4419">
        <w:rPr>
          <w:i/>
          <w:noProof/>
        </w:rPr>
        <w:t>Mediengesetz</w:t>
      </w:r>
      <w:r w:rsidRPr="00DC4419">
        <w:rPr>
          <w:noProof/>
        </w:rPr>
        <w:t>). Further she requested supplementary measures under the Media Act, such as the publication of the judgment. She stressed that the applicant company, by publishing the article at issue, had committed the offence of defamation under the Criminal Code (</w:t>
      </w:r>
      <w:r w:rsidRPr="00DC4419">
        <w:rPr>
          <w:i/>
          <w:noProof/>
        </w:rPr>
        <w:t>Üble Nachrede</w:t>
      </w:r>
      <w:r w:rsidRPr="00DC4419">
        <w:rPr>
          <w:noProof/>
        </w:rPr>
        <w:t>).</w:t>
      </w:r>
    </w:p>
    <w:p w:rsidR="00DC4419" w:rsidP="00A778B5"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13</w:t>
      </w:r>
      <w:r w:rsidRPr="00DC4419">
        <w:fldChar w:fldCharType="end"/>
      </w:r>
      <w:r w:rsidRPr="00DC4419">
        <w:t>.  </w:t>
      </w:r>
      <w:r w:rsidRPr="00DC4419" w:rsidR="00A778B5">
        <w:t xml:space="preserve">She argued that the comparison with the famous criminals </w:t>
      </w:r>
      <w:r w:rsidR="00DC4419">
        <w:t>‘</w:t>
      </w:r>
      <w:r w:rsidRPr="00DC4419" w:rsidR="00A778B5">
        <w:t xml:space="preserve">Bonnie and </w:t>
      </w:r>
      <w:smartTag w:uri="urn:schemas-microsoft-com:office:smarttags" w:element="place">
        <w:r w:rsidR="00A778B5" w:rsidRPr="00DC4419">
          <w:t>Clyde</w:t>
        </w:r>
      </w:smartTag>
      <w:r w:rsidR="00DC4419">
        <w:t>’</w:t>
      </w:r>
      <w:r w:rsidRPr="00DC4419" w:rsidR="00A778B5">
        <w:t xml:space="preserve"> from the thirties, whose story was the basis of a film produced in the sixties, could have given the impression that she was also involved in the offences of Mr R.</w:t>
      </w:r>
    </w:p>
    <w:p w:rsidR="00DC4419" w:rsidP="00A778B5"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14</w:t>
      </w:r>
      <w:r w:rsidRPr="00DC4419">
        <w:fldChar w:fldCharType="end"/>
      </w:r>
      <w:r w:rsidRPr="00DC4419">
        <w:t>.  </w:t>
      </w:r>
      <w:r w:rsidRPr="00DC4419" w:rsidR="00A778B5">
        <w:t xml:space="preserve">On </w:t>
      </w:r>
      <w:smartTag w:uri="urn:schemas-microsoft-com:office:smarttags" w:element="date">
        <w:smartTagPr>
          <w:attr w:name="Month" w:val="4"/>
          <w:attr w:name="Day" w:val="7"/>
          <w:attr w:name="Year" w:val="1999"/>
        </w:smartTagPr>
        <w:r w:rsidR="00A778B5" w:rsidRPr="00DC4419">
          <w:t>7 April 1999</w:t>
        </w:r>
      </w:smartTag>
      <w:r w:rsidRPr="00DC4419" w:rsidR="00A778B5">
        <w:t xml:space="preserve"> the </w:t>
      </w:r>
      <w:smartTag w:uri="urn:schemas-microsoft-com:office:smarttags" w:element="Street">
        <w:smartTag w:uri="urn:schemas-microsoft-com:office:smarttags" w:element="address">
          <w:r w:rsidR="00A778B5" w:rsidRPr="00DC4419">
            <w:t xml:space="preserve">Wiener </w:t>
          </w:r>
          <w:proofErr w:type="spellStart"/>
          <w:r w:rsidR="00A778B5" w:rsidRPr="00DC4419">
            <w:t>Neustadt</w:t>
          </w:r>
          <w:proofErr w:type="spellEnd"/>
          <w:r w:rsidR="00A778B5" w:rsidRPr="00DC4419">
            <w:t xml:space="preserve"> Regional Court</w:t>
          </w:r>
        </w:smartTag>
      </w:smartTag>
      <w:r w:rsidRPr="00DC4419" w:rsidR="00A778B5">
        <w:t xml:space="preserve"> (</w:t>
      </w:r>
      <w:proofErr w:type="spellStart"/>
      <w:r w:rsidRPr="00DC4419" w:rsidR="00A778B5">
        <w:rPr>
          <w:i/>
        </w:rPr>
        <w:t>Landesgericht</w:t>
      </w:r>
      <w:proofErr w:type="spellEnd"/>
      <w:r w:rsidRPr="00DC4419" w:rsidR="00A778B5">
        <w:t>) dismissed Mrs </w:t>
      </w:r>
      <w:proofErr w:type="spellStart"/>
      <w:r w:rsidRPr="00DC4419" w:rsidR="00A778B5">
        <w:t>G.</w:t>
      </w:r>
      <w:r w:rsidR="00DC4419">
        <w:t>’</w:t>
      </w:r>
      <w:r w:rsidRPr="00DC4419" w:rsidR="00A778B5">
        <w:t>s</w:t>
      </w:r>
      <w:proofErr w:type="spellEnd"/>
      <w:r w:rsidRPr="00DC4419" w:rsidR="00A778B5">
        <w:t xml:space="preserve"> claim. It found that the average reader would have understood “Bonnie and </w:t>
      </w:r>
      <w:smartTag w:uri="urn:schemas-microsoft-com:office:smarttags" w:element="place">
        <w:r w:rsidR="00A778B5" w:rsidRPr="00DC4419">
          <w:t>Clyde</w:t>
        </w:r>
      </w:smartTag>
      <w:r w:rsidRPr="00DC4419" w:rsidR="00A778B5">
        <w:t>” as a synonym for a couple on the run and that it had been a pictorial description with a humorous and entertaining message. It considered that the average reader would have connected “Bonnie” with a woman who follows her partner “through thick and thin” and that the characterisation as “Bonnie” did not amount to an accusation of having participated in the offences of Mr R.</w:t>
      </w:r>
    </w:p>
    <w:p w:rsidRPr="00DC4419" w:rsidR="00A778B5" w:rsidP="00A778B5"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15</w:t>
      </w:r>
      <w:r w:rsidRPr="00DC4419">
        <w:fldChar w:fldCharType="end"/>
      </w:r>
      <w:r w:rsidRPr="00DC4419">
        <w:t>.  </w:t>
      </w:r>
      <w:r w:rsidRPr="00DC4419" w:rsidR="00A778B5">
        <w:t xml:space="preserve">On </w:t>
      </w:r>
      <w:smartTag w:uri="urn:schemas-microsoft-com:office:smarttags" w:element="date">
        <w:smartTagPr>
          <w:attr w:name="Month" w:val="11"/>
          <w:attr w:name="Day" w:val="4"/>
          <w:attr w:name="Year" w:val="1999"/>
        </w:smartTagPr>
        <w:r w:rsidR="00A778B5" w:rsidRPr="00DC4419">
          <w:t>4 November 1999</w:t>
        </w:r>
      </w:smartTag>
      <w:r w:rsidRPr="00DC4419" w:rsidR="00A778B5">
        <w:t xml:space="preserve"> the Vienna Court of Appeal (</w:t>
      </w:r>
      <w:proofErr w:type="spellStart"/>
      <w:r w:rsidRPr="00DC4419" w:rsidR="00A778B5">
        <w:rPr>
          <w:i/>
        </w:rPr>
        <w:t>Oberlandesgericht</w:t>
      </w:r>
      <w:proofErr w:type="spellEnd"/>
      <w:r w:rsidRPr="00DC4419" w:rsidR="00A778B5">
        <w:t xml:space="preserve">) quashed this decision and remitted the case to the </w:t>
      </w:r>
      <w:smartTag w:uri="urn:schemas-microsoft-com:office:smarttags" w:element="Street">
        <w:smartTag w:uri="urn:schemas-microsoft-com:office:smarttags" w:element="address">
          <w:r w:rsidR="00A778B5" w:rsidRPr="00DC4419">
            <w:t>Regional Court</w:t>
          </w:r>
        </w:smartTag>
      </w:smartTag>
      <w:r w:rsidRPr="00DC4419" w:rsidR="00A778B5">
        <w:t xml:space="preserve">. It observed that “Bonnie and </w:t>
      </w:r>
      <w:smartTag w:uri="urn:schemas-microsoft-com:office:smarttags" w:element="place">
        <w:r w:rsidR="00A778B5" w:rsidRPr="00DC4419">
          <w:t>Clyde</w:t>
        </w:r>
      </w:smartTag>
      <w:r w:rsidRPr="00DC4419" w:rsidR="00A778B5">
        <w:t>” had been violent criminals and found that the established connection between Mrs G. and “Bonnie” created an “inherent statement of having participated in criminal acts” even though “it had been expressly stated in the article that no suspicion had existed against Mrs G</w:t>
      </w:r>
      <w:r w:rsidRPr="00DC4419" w:rsidR="0095241E">
        <w:t>.</w:t>
      </w:r>
      <w:r w:rsidRPr="00DC4419" w:rsidR="00A778B5">
        <w:t>”. It, therefore, concluded that the applicant company had committed the offence of defamation under Section</w:t>
      </w:r>
      <w:r w:rsidRPr="00DC4419" w:rsidR="00342A55">
        <w:t> 111 § </w:t>
      </w:r>
      <w:r w:rsidRPr="00DC4419" w:rsidR="00A778B5">
        <w:t xml:space="preserve">1 of the Criminal Code </w:t>
      </w:r>
      <w:r w:rsidRPr="00DC4419" w:rsidR="008A6732">
        <w:t>(</w:t>
      </w:r>
      <w:proofErr w:type="spellStart"/>
      <w:r w:rsidRPr="00DC4419" w:rsidR="008A6732">
        <w:rPr>
          <w:i/>
        </w:rPr>
        <w:t>Strafgesetzbuch</w:t>
      </w:r>
      <w:proofErr w:type="spellEnd"/>
      <w:r w:rsidRPr="00DC4419" w:rsidR="008A6732">
        <w:t xml:space="preserve">) </w:t>
      </w:r>
      <w:r w:rsidRPr="00DC4419" w:rsidR="00A778B5">
        <w:t xml:space="preserve">by publishing the article at issue and stated that its finding had to be </w:t>
      </w:r>
      <w:r w:rsidRPr="00DC4419" w:rsidR="000C051D">
        <w:t xml:space="preserve">taken into account by </w:t>
      </w:r>
      <w:r w:rsidRPr="00DC4419" w:rsidR="00A778B5">
        <w:t xml:space="preserve">the </w:t>
      </w:r>
      <w:smartTag w:uri="urn:schemas-microsoft-com:office:smarttags" w:element="Street">
        <w:smartTag w:uri="urn:schemas-microsoft-com:office:smarttags" w:element="address">
          <w:r w:rsidR="00A778B5" w:rsidRPr="00DC4419">
            <w:t>Regional Court</w:t>
          </w:r>
        </w:smartTag>
      </w:smartTag>
      <w:r w:rsidRPr="00DC4419" w:rsidR="00A778B5">
        <w:t xml:space="preserve"> in its new decision.</w:t>
      </w:r>
    </w:p>
    <w:p w:rsidRPr="00DC4419" w:rsidR="00A778B5" w:rsidP="00A778B5"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16</w:t>
      </w:r>
      <w:r w:rsidRPr="00DC4419">
        <w:fldChar w:fldCharType="end"/>
      </w:r>
      <w:r w:rsidRPr="00DC4419">
        <w:t>.  </w:t>
      </w:r>
      <w:r w:rsidRPr="00DC4419" w:rsidR="00A778B5">
        <w:t xml:space="preserve">On </w:t>
      </w:r>
      <w:smartTag w:uri="urn:schemas-microsoft-com:office:smarttags" w:element="date">
        <w:smartTagPr>
          <w:attr w:name="Month" w:val="2"/>
          <w:attr w:name="Day" w:val="3"/>
          <w:attr w:name="Year" w:val="2000"/>
        </w:smartTagPr>
        <w:r w:rsidR="00A778B5" w:rsidRPr="00DC4419">
          <w:t>3 February 2000</w:t>
        </w:r>
      </w:smartTag>
      <w:r w:rsidRPr="00DC4419" w:rsidR="00A778B5">
        <w:t xml:space="preserve"> the </w:t>
      </w:r>
      <w:smartTag w:uri="urn:schemas-microsoft-com:office:smarttags" w:element="Street">
        <w:smartTag w:uri="urn:schemas-microsoft-com:office:smarttags" w:element="address">
          <w:r w:rsidR="00A778B5" w:rsidRPr="00DC4419">
            <w:t>Regional Court</w:t>
          </w:r>
        </w:smartTag>
      </w:smartTag>
      <w:r w:rsidRPr="00DC4419" w:rsidR="00A778B5">
        <w:t xml:space="preserve"> sentenced the applicant company to pay compensation of ATS 20,000 (</w:t>
      </w:r>
      <w:r w:rsidRPr="00DC4419" w:rsidR="00981B4E">
        <w:t xml:space="preserve">1,453.46 </w:t>
      </w:r>
      <w:r w:rsidRPr="00DC4419" w:rsidR="00A778B5">
        <w:t>euros) for defamation</w:t>
      </w:r>
      <w:r w:rsidRPr="00DC4419" w:rsidR="00ED4AD1">
        <w:t xml:space="preserve"> and</w:t>
      </w:r>
      <w:r w:rsidRPr="00DC4419" w:rsidR="000D5686">
        <w:t xml:space="preserve"> to reimburse Ms </w:t>
      </w:r>
      <w:proofErr w:type="spellStart"/>
      <w:r w:rsidRPr="00DC4419" w:rsidR="000D5686">
        <w:t>G</w:t>
      </w:r>
      <w:r w:rsidRPr="00DC4419" w:rsidR="0095241E">
        <w:t>.</w:t>
      </w:r>
      <w:r w:rsidR="00DC4419">
        <w:t>’</w:t>
      </w:r>
      <w:r w:rsidRPr="00DC4419" w:rsidR="000D5686">
        <w:t>s</w:t>
      </w:r>
      <w:proofErr w:type="spellEnd"/>
      <w:r w:rsidRPr="00DC4419" w:rsidR="000D5686">
        <w:t xml:space="preserve"> costs of the proceedings</w:t>
      </w:r>
      <w:r w:rsidRPr="00DC4419" w:rsidR="00A778B5">
        <w:t xml:space="preserve"> and ordered it to publish </w:t>
      </w:r>
      <w:r w:rsidRPr="00DC4419" w:rsidR="00701B00">
        <w:t xml:space="preserve">an </w:t>
      </w:r>
      <w:r w:rsidRPr="00DC4419" w:rsidR="00DC4716">
        <w:t xml:space="preserve">extract of its </w:t>
      </w:r>
      <w:r w:rsidRPr="00DC4419" w:rsidR="00A778B5">
        <w:t>judgment in its magazine. Following the Court of Appeal</w:t>
      </w:r>
      <w:r w:rsidR="00DC4419">
        <w:t>’</w:t>
      </w:r>
      <w:r w:rsidRPr="00DC4419" w:rsidR="00A778B5">
        <w:t>s line of argument it found, referring to the above mentioned passages of the incriminated article, that:</w:t>
      </w:r>
    </w:p>
    <w:p w:rsidRPr="00DC4419" w:rsidR="00A778B5" w:rsidP="00A778B5" w:rsidRDefault="00A778B5">
      <w:pPr>
        <w:pStyle w:val="JuQuot"/>
      </w:pPr>
      <w:r w:rsidRPr="00DC4419">
        <w:t>“</w:t>
      </w:r>
      <w:r w:rsidRPr="00DC4419" w:rsidR="00F714FD">
        <w:t>...</w:t>
      </w:r>
      <w:r w:rsidRPr="00DC4419">
        <w:t xml:space="preserve"> the well-known movie </w:t>
      </w:r>
      <w:r w:rsidR="00DC4419">
        <w:t>‘</w:t>
      </w:r>
      <w:r w:rsidRPr="00DC4419">
        <w:t>Bonnie and Clyde</w:t>
      </w:r>
      <w:r w:rsidR="00DC4419">
        <w:t>’</w:t>
      </w:r>
      <w:r w:rsidRPr="00DC4419">
        <w:t xml:space="preserve"> described two ordinary people who make the American dream of liberty and wealth come true by stealing cars, robbing banks and killing people. (</w:t>
      </w:r>
      <w:r w:rsidRPr="00DC4419" w:rsidR="00F714FD">
        <w:t>...</w:t>
      </w:r>
      <w:r w:rsidRPr="00DC4419">
        <w:t>) The reader primarily associates Bonnie with a criminal who had, together with her partner, robbed innumerable banks and had killed 14 persons within two years. (</w:t>
      </w:r>
      <w:r w:rsidRPr="00DC4419" w:rsidR="00F714FD">
        <w:t>...</w:t>
      </w:r>
      <w:r w:rsidRPr="00DC4419">
        <w:t xml:space="preserve">) Nobody would have connected Bonnie </w:t>
      </w:r>
      <w:r w:rsidRPr="00DC4419" w:rsidR="00DC4716">
        <w:t xml:space="preserve">only </w:t>
      </w:r>
      <w:r w:rsidRPr="00DC4419">
        <w:t xml:space="preserve">with a naive angel, who followed her partner devotedly but, rather, with a woman who would kill to assist the common purpose </w:t>
      </w:r>
      <w:r w:rsidR="00DC4419">
        <w:t>‘</w:t>
      </w:r>
      <w:r w:rsidRPr="00DC4419">
        <w:t>escape</w:t>
      </w:r>
      <w:r w:rsidR="00DC4419">
        <w:t>’</w:t>
      </w:r>
      <w:r w:rsidRPr="00DC4419">
        <w:t>. (</w:t>
      </w:r>
      <w:r w:rsidRPr="00DC4419" w:rsidR="00F714FD">
        <w:t>...</w:t>
      </w:r>
      <w:r w:rsidRPr="00DC4419">
        <w:t>) Beyond doubt the reader is forced to make a connection with capital crime. (</w:t>
      </w:r>
      <w:r w:rsidRPr="00DC4419" w:rsidR="00F714FD">
        <w:t>...</w:t>
      </w:r>
      <w:r w:rsidRPr="00DC4419">
        <w:t>) The allegation of participating in criminal offences constitutes defamation within the meaning of Section 111 § 1 of the Criminal Code.”</w:t>
      </w:r>
    </w:p>
    <w:p w:rsidRPr="00DC4419" w:rsidR="00A778B5" w:rsidP="00A778B5"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17</w:t>
      </w:r>
      <w:r w:rsidRPr="00DC4419">
        <w:fldChar w:fldCharType="end"/>
      </w:r>
      <w:r w:rsidRPr="00DC4419">
        <w:t>.  </w:t>
      </w:r>
      <w:r w:rsidRPr="00DC4419" w:rsidR="00A778B5">
        <w:t xml:space="preserve">On </w:t>
      </w:r>
      <w:smartTag w:uri="urn:schemas-microsoft-com:office:smarttags" w:element="date">
        <w:smartTagPr>
          <w:attr w:name="Month" w:val="3"/>
          <w:attr w:name="Day" w:val="22"/>
          <w:attr w:name="Year" w:val="2000"/>
        </w:smartTagPr>
        <w:r w:rsidR="00A778B5" w:rsidRPr="00DC4419">
          <w:t>22 March 2000</w:t>
        </w:r>
      </w:smartTag>
      <w:r w:rsidRPr="00DC4419" w:rsidR="00A778B5">
        <w:t xml:space="preserve"> the applicant company filed an appeal and stressed, </w:t>
      </w:r>
      <w:r w:rsidRPr="00DC4419" w:rsidR="00A778B5">
        <w:rPr>
          <w:i/>
        </w:rPr>
        <w:t>inter alia</w:t>
      </w:r>
      <w:r w:rsidRPr="00DC4419" w:rsidR="00A778B5">
        <w:t>, that the incriminating passages had to be considered in connection with the article as a whole. It submitted that the article was written in an ironical style and could not hav</w:t>
      </w:r>
      <w:r w:rsidRPr="00DC4419" w:rsidR="00342A55">
        <w:t>e given the impression that Mrs </w:t>
      </w:r>
      <w:r w:rsidRPr="00DC4419" w:rsidR="00A778B5">
        <w:t>G</w:t>
      </w:r>
      <w:r w:rsidRPr="00DC4419" w:rsidR="0095241E">
        <w:t>.</w:t>
      </w:r>
      <w:r w:rsidRPr="00DC4419" w:rsidR="00A778B5">
        <w:t xml:space="preserve"> had committed any criminal acts.</w:t>
      </w:r>
    </w:p>
    <w:p w:rsidRPr="00DC4419" w:rsidR="00E22AE4" w:rsidP="00E22AE4"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18</w:t>
      </w:r>
      <w:r w:rsidRPr="00DC4419">
        <w:fldChar w:fldCharType="end"/>
      </w:r>
      <w:r w:rsidRPr="00DC4419">
        <w:t>.  </w:t>
      </w:r>
      <w:r w:rsidRPr="00DC4419" w:rsidR="00A778B5">
        <w:t xml:space="preserve">On </w:t>
      </w:r>
      <w:smartTag w:uri="urn:schemas-microsoft-com:office:smarttags" w:element="date">
        <w:smartTagPr>
          <w:attr w:name="Month" w:val="8"/>
          <w:attr w:name="Day" w:val="9"/>
          <w:attr w:name="Year" w:val="2000"/>
        </w:smartTagPr>
        <w:r w:rsidR="00A778B5" w:rsidRPr="00DC4419">
          <w:t>9 August 2000</w:t>
        </w:r>
      </w:smartTag>
      <w:r w:rsidRPr="00DC4419" w:rsidR="00A778B5">
        <w:t xml:space="preserve"> the Court of Appeal dismissed the appeal and confirmed the </w:t>
      </w:r>
      <w:smartTag w:uri="urn:schemas-microsoft-com:office:smarttags" w:element="Street">
        <w:smartTag w:uri="urn:schemas-microsoft-com:office:smarttags" w:element="address">
          <w:r w:rsidR="00A778B5" w:rsidRPr="00DC4419">
            <w:t>Regional Court</w:t>
          </w:r>
        </w:smartTag>
      </w:smartTag>
      <w:r w:rsidR="00DC4419">
        <w:t>’</w:t>
      </w:r>
      <w:r w:rsidRPr="00DC4419" w:rsidR="00A778B5">
        <w:t>s decision as a whole.</w:t>
      </w:r>
    </w:p>
    <w:p w:rsidRPr="00DC4419" w:rsidR="00E22AE4" w:rsidP="00E22AE4" w:rsidRDefault="00E22AE4">
      <w:pPr>
        <w:pStyle w:val="JuHA"/>
        <w:numPr>
          <w:ilvl w:val="0"/>
          <w:numId w:val="32"/>
        </w:numPr>
      </w:pPr>
      <w:r w:rsidRPr="00DC4419">
        <w:t>Proceedings under the Copyright Act</w:t>
      </w:r>
    </w:p>
    <w:p w:rsidR="00DC4419" w:rsidP="00E22AE4"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19</w:t>
      </w:r>
      <w:r w:rsidRPr="00DC4419">
        <w:fldChar w:fldCharType="end"/>
      </w:r>
      <w:r w:rsidRPr="00DC4419">
        <w:t xml:space="preserve">.  On </w:t>
      </w:r>
      <w:smartTag w:uri="urn:schemas-microsoft-com:office:smarttags" w:element="date">
        <w:smartTagPr>
          <w:attr w:name="Month" w:val="2"/>
          <w:attr w:name="Day" w:val="9"/>
          <w:attr w:name="Year" w:val="1999"/>
        </w:smartTagPr>
        <w:r w:rsidRPr="00DC4419">
          <w:t>9 February 1999</w:t>
        </w:r>
      </w:smartTag>
      <w:r w:rsidRPr="00DC4419">
        <w:t xml:space="preserve"> Mrs G. applied </w:t>
      </w:r>
      <w:r w:rsidRPr="00DC4419" w:rsidR="00ED4AD1">
        <w:t xml:space="preserve">to the </w:t>
      </w:r>
      <w:smartTag w:uri="urn:schemas-microsoft-com:office:smarttags" w:element="Street">
        <w:smartTag w:uri="urn:schemas-microsoft-com:office:smarttags" w:element="address">
          <w:r w:rsidR="00ED4AD1" w:rsidRPr="00DC4419">
            <w:t xml:space="preserve">Wiener </w:t>
          </w:r>
          <w:proofErr w:type="spellStart"/>
          <w:r w:rsidR="00ED4AD1" w:rsidRPr="00DC4419">
            <w:t>Neustadt</w:t>
          </w:r>
          <w:proofErr w:type="spellEnd"/>
          <w:r w:rsidR="00ED4AD1" w:rsidRPr="00DC4419">
            <w:t xml:space="preserve"> Regional Court</w:t>
          </w:r>
        </w:smartTag>
      </w:smartTag>
      <w:r w:rsidRPr="00DC4419" w:rsidR="00ED4AD1">
        <w:t xml:space="preserve"> </w:t>
      </w:r>
      <w:r w:rsidRPr="00DC4419">
        <w:t>for an injunction under Section 78 of the Copyright Act (</w:t>
      </w:r>
      <w:proofErr w:type="spellStart"/>
      <w:r w:rsidRPr="00DC4419">
        <w:rPr>
          <w:i/>
        </w:rPr>
        <w:t>Urheberrechtsgesetz</w:t>
      </w:r>
      <w:proofErr w:type="spellEnd"/>
      <w:r w:rsidRPr="00DC4419">
        <w:t>) against the applicant company. She requested that the applicant company be ordered to refrain from publishing her picture without her consent in connection with reporting on the criminal proceedings against Mr </w:t>
      </w:r>
      <w:r w:rsidRPr="00DC4419" w:rsidR="008A6732">
        <w:t>R</w:t>
      </w:r>
      <w:r w:rsidRPr="00DC4419" w:rsidR="0095241E">
        <w:t>.</w:t>
      </w:r>
      <w:r w:rsidRPr="00DC4419">
        <w:t xml:space="preserve"> or, in the alternative, that the applicant company be ordered to refrain from publishing her picture without her consent in connection with re</w:t>
      </w:r>
      <w:r w:rsidRPr="00DC4419" w:rsidR="00ED4AD1">
        <w:t xml:space="preserve">ferring to </w:t>
      </w:r>
      <w:r w:rsidRPr="00DC4419">
        <w:t>her and Mr </w:t>
      </w:r>
      <w:r w:rsidRPr="00DC4419" w:rsidR="008A6732">
        <w:t>R</w:t>
      </w:r>
      <w:r w:rsidRPr="00DC4419" w:rsidR="0095241E">
        <w:t>.</w:t>
      </w:r>
      <w:r w:rsidRPr="00DC4419">
        <w:t xml:space="preserve"> as “Bonnie and </w:t>
      </w:r>
      <w:smartTag w:uri="urn:schemas-microsoft-com:office:smarttags" w:element="place">
        <w:r w:rsidRPr="00DC4419">
          <w:t>Clyde</w:t>
        </w:r>
      </w:smartTag>
      <w:r w:rsidRPr="00DC4419">
        <w:t>”. Furthermore, she requested an order for the publication of the judgment in the applicant company</w:t>
      </w:r>
      <w:r w:rsidR="00DC4419">
        <w:t>’</w:t>
      </w:r>
      <w:r w:rsidRPr="00DC4419">
        <w:t>s magazine.</w:t>
      </w:r>
    </w:p>
    <w:p w:rsidR="00DC4419" w:rsidP="00E22AE4"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20</w:t>
      </w:r>
      <w:r w:rsidRPr="00DC4419">
        <w:fldChar w:fldCharType="end"/>
      </w:r>
      <w:r w:rsidRPr="00DC4419">
        <w:t>.  She argued that the publication of her picture in connection with a report on the criminal proceedings against Mr </w:t>
      </w:r>
      <w:r w:rsidRPr="00DC4419" w:rsidR="008A6732">
        <w:t>R</w:t>
      </w:r>
      <w:r w:rsidRPr="00DC4419" w:rsidR="0095241E">
        <w:t>.</w:t>
      </w:r>
      <w:r w:rsidRPr="00DC4419">
        <w:t xml:space="preserve"> violated her legitimate interests under Section 78 of the Copyright Act and that the comparison with the famous criminals “Bonnie and Clyde” could have given the impression that she had been involved in the offences of which Mr </w:t>
      </w:r>
      <w:r w:rsidRPr="00DC4419" w:rsidR="008A6732">
        <w:t>R</w:t>
      </w:r>
      <w:r w:rsidRPr="00DC4419" w:rsidR="0095241E">
        <w:t>.</w:t>
      </w:r>
      <w:r w:rsidRPr="00DC4419">
        <w:t xml:space="preserve"> was accused.</w:t>
      </w:r>
    </w:p>
    <w:p w:rsidRPr="00DC4419" w:rsidR="00E22AE4" w:rsidP="00E22AE4"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21</w:t>
      </w:r>
      <w:r w:rsidRPr="00DC4419">
        <w:fldChar w:fldCharType="end"/>
      </w:r>
      <w:r w:rsidRPr="00DC4419">
        <w:t>.  The applicant company, in its observations, argued that the report at issue expressly mentioned that there were no criminal proceedings pending against Mrs </w:t>
      </w:r>
      <w:r w:rsidRPr="00DC4419" w:rsidR="008A6732">
        <w:t>G</w:t>
      </w:r>
      <w:r w:rsidRPr="00DC4419" w:rsidR="0095241E">
        <w:t>.</w:t>
      </w:r>
      <w:r w:rsidRPr="00DC4419">
        <w:t xml:space="preserve"> and that the report was written in an ironical style and could not have given the impression that Mrs </w:t>
      </w:r>
      <w:r w:rsidRPr="00DC4419" w:rsidR="008A6732">
        <w:t>G</w:t>
      </w:r>
      <w:r w:rsidRPr="00DC4419" w:rsidR="0095241E">
        <w:t>.</w:t>
      </w:r>
      <w:r w:rsidRPr="00DC4419">
        <w:t xml:space="preserve"> had committed any criminal acts. Moreover, she had willingly given interviews to the media and had her pictures taken by journalists. As regards the comparison of Mrs </w:t>
      </w:r>
      <w:r w:rsidRPr="00DC4419" w:rsidR="008A6732">
        <w:t>G</w:t>
      </w:r>
      <w:r w:rsidRPr="00DC4419" w:rsidR="0095241E">
        <w:t>.</w:t>
      </w:r>
      <w:r w:rsidRPr="00DC4419">
        <w:t xml:space="preserve"> with “Bonnie”, the applicant company submitted that the reader of its magazine understood “Bonnie and </w:t>
      </w:r>
      <w:smartTag w:uri="urn:schemas-microsoft-com:office:smarttags" w:element="place">
        <w:r w:rsidRPr="00DC4419">
          <w:t>Clyde</w:t>
        </w:r>
      </w:smartTag>
      <w:r w:rsidRPr="00DC4419">
        <w:t>” as a synonym for a couple on the run and not for violent criminals. Finally, it contended that the great public interest in the events justified the publication of Mrs </w:t>
      </w:r>
      <w:proofErr w:type="spellStart"/>
      <w:r w:rsidRPr="00DC4419" w:rsidR="008A6732">
        <w:t>G</w:t>
      </w:r>
      <w:r w:rsidRPr="00DC4419" w:rsidR="0095241E">
        <w:t>.</w:t>
      </w:r>
      <w:r w:rsidR="00DC4419">
        <w:t>’</w:t>
      </w:r>
      <w:r w:rsidRPr="00DC4419">
        <w:t>s</w:t>
      </w:r>
      <w:proofErr w:type="spellEnd"/>
      <w:r w:rsidRPr="00DC4419">
        <w:t xml:space="preserve"> picture.</w:t>
      </w:r>
    </w:p>
    <w:p w:rsidR="00DC4419" w:rsidP="00E22AE4"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22</w:t>
      </w:r>
      <w:r w:rsidRPr="00DC4419">
        <w:fldChar w:fldCharType="end"/>
      </w:r>
      <w:r w:rsidRPr="00DC4419">
        <w:t xml:space="preserve">.  On </w:t>
      </w:r>
      <w:smartTag w:uri="urn:schemas-microsoft-com:office:smarttags" w:element="date">
        <w:smartTagPr>
          <w:attr w:name="Month" w:val="2"/>
          <w:attr w:name="Day" w:val="19"/>
          <w:attr w:name="Year" w:val="1999"/>
        </w:smartTagPr>
        <w:r w:rsidRPr="00DC4419">
          <w:t>19 February 1999</w:t>
        </w:r>
      </w:smartTag>
      <w:r w:rsidRPr="00DC4419">
        <w:t xml:space="preserve"> the </w:t>
      </w:r>
      <w:smartTag w:uri="urn:schemas-microsoft-com:office:smarttags" w:element="Street">
        <w:smartTag w:uri="urn:schemas-microsoft-com:office:smarttags" w:element="address">
          <w:r w:rsidRPr="00DC4419">
            <w:t xml:space="preserve">Wiener </w:t>
          </w:r>
          <w:proofErr w:type="spellStart"/>
          <w:r w:rsidRPr="00DC4419">
            <w:t>Neustadt</w:t>
          </w:r>
          <w:proofErr w:type="spellEnd"/>
          <w:r w:rsidRPr="00DC4419">
            <w:t xml:space="preserve"> Regional Court</w:t>
          </w:r>
        </w:smartTag>
      </w:smartTag>
      <w:r w:rsidRPr="00DC4419">
        <w:t xml:space="preserve"> granted an interim injunction (</w:t>
      </w:r>
      <w:proofErr w:type="spellStart"/>
      <w:r w:rsidRPr="00DC4419">
        <w:rPr>
          <w:i/>
        </w:rPr>
        <w:t>einstweilige</w:t>
      </w:r>
      <w:proofErr w:type="spellEnd"/>
      <w:r w:rsidRPr="00DC4419">
        <w:rPr>
          <w:i/>
        </w:rPr>
        <w:t xml:space="preserve"> </w:t>
      </w:r>
      <w:proofErr w:type="spellStart"/>
      <w:r w:rsidRPr="00DC4419">
        <w:rPr>
          <w:i/>
        </w:rPr>
        <w:t>Verfügung</w:t>
      </w:r>
      <w:proofErr w:type="spellEnd"/>
      <w:r w:rsidRPr="00DC4419">
        <w:t>). It found the measure justified as the interest in the publication of Mrs </w:t>
      </w:r>
      <w:proofErr w:type="spellStart"/>
      <w:r w:rsidRPr="00DC4419" w:rsidR="008A6732">
        <w:t>G</w:t>
      </w:r>
      <w:r w:rsidRPr="00DC4419" w:rsidR="0095241E">
        <w:t>.</w:t>
      </w:r>
      <w:r w:rsidR="00DC4419">
        <w:t>’</w:t>
      </w:r>
      <w:r w:rsidRPr="00DC4419">
        <w:t>s</w:t>
      </w:r>
      <w:proofErr w:type="spellEnd"/>
      <w:r w:rsidRPr="00DC4419">
        <w:t xml:space="preserve"> picture violated her legitimate interests.</w:t>
      </w:r>
    </w:p>
    <w:p w:rsidRPr="00DC4419" w:rsidR="00E22AE4" w:rsidP="00E22AE4"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23</w:t>
      </w:r>
      <w:r w:rsidRPr="00DC4419">
        <w:fldChar w:fldCharType="end"/>
      </w:r>
      <w:r w:rsidRPr="00DC4419">
        <w:t xml:space="preserve">.  On </w:t>
      </w:r>
      <w:smartTag w:uri="urn:schemas-microsoft-com:office:smarttags" w:element="date">
        <w:smartTagPr>
          <w:attr w:name="Month" w:val="4"/>
          <w:attr w:name="Day" w:val="27"/>
          <w:attr w:name="Year" w:val="1999"/>
        </w:smartTagPr>
        <w:r w:rsidRPr="00DC4419">
          <w:t>27 April 1999</w:t>
        </w:r>
      </w:smartTag>
      <w:r w:rsidRPr="00DC4419">
        <w:t xml:space="preserve"> the Court of Appeal allowed the applicant company</w:t>
      </w:r>
      <w:r w:rsidR="00DC4419">
        <w:t>’</w:t>
      </w:r>
      <w:r w:rsidRPr="00DC4419">
        <w:t>s appeal and dismissed Mrs </w:t>
      </w:r>
      <w:proofErr w:type="spellStart"/>
      <w:r w:rsidRPr="00DC4419" w:rsidR="008A6732">
        <w:t>G</w:t>
      </w:r>
      <w:r w:rsidRPr="00DC4419" w:rsidR="0095241E">
        <w:t>.</w:t>
      </w:r>
      <w:r w:rsidR="00DC4419">
        <w:t>’</w:t>
      </w:r>
      <w:r w:rsidRPr="00DC4419">
        <w:t>s</w:t>
      </w:r>
      <w:proofErr w:type="spellEnd"/>
      <w:r w:rsidRPr="00DC4419">
        <w:t xml:space="preserve"> application.</w:t>
      </w:r>
    </w:p>
    <w:p w:rsidRPr="00DC4419" w:rsidR="00E22AE4" w:rsidP="00E22AE4"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24</w:t>
      </w:r>
      <w:r w:rsidRPr="00DC4419">
        <w:fldChar w:fldCharType="end"/>
      </w:r>
      <w:r w:rsidRPr="00DC4419">
        <w:t>.  On 13 September 1999 the Supreme Court (</w:t>
      </w:r>
      <w:proofErr w:type="spellStart"/>
      <w:r w:rsidRPr="00DC4419">
        <w:rPr>
          <w:i/>
        </w:rPr>
        <w:t>Oberster</w:t>
      </w:r>
      <w:proofErr w:type="spellEnd"/>
      <w:r w:rsidRPr="00DC4419">
        <w:rPr>
          <w:i/>
        </w:rPr>
        <w:t xml:space="preserve"> </w:t>
      </w:r>
      <w:proofErr w:type="spellStart"/>
      <w:r w:rsidRPr="00DC4419">
        <w:rPr>
          <w:i/>
        </w:rPr>
        <w:t>Gerichtshof</w:t>
      </w:r>
      <w:proofErr w:type="spellEnd"/>
      <w:r w:rsidRPr="00DC4419">
        <w:t>) partly allowed Mrs </w:t>
      </w:r>
      <w:proofErr w:type="spellStart"/>
      <w:r w:rsidRPr="00DC4419" w:rsidR="008A6732">
        <w:t>G</w:t>
      </w:r>
      <w:r w:rsidRPr="00DC4419" w:rsidR="0095241E">
        <w:t>.</w:t>
      </w:r>
      <w:r w:rsidR="00DC4419">
        <w:t>’</w:t>
      </w:r>
      <w:r w:rsidRPr="00DC4419">
        <w:t>s</w:t>
      </w:r>
      <w:proofErr w:type="spellEnd"/>
      <w:r w:rsidRPr="00DC4419">
        <w:t xml:space="preserve"> extraordinary appeal on points of law and granted the interim injunction she had requested in the alternative, i.e. it ordered the applicant company to refrain from publishing Mrs </w:t>
      </w:r>
      <w:proofErr w:type="spellStart"/>
      <w:r w:rsidRPr="00DC4419">
        <w:t>G</w:t>
      </w:r>
      <w:r w:rsidRPr="00DC4419" w:rsidR="0095241E">
        <w:t>.</w:t>
      </w:r>
      <w:r w:rsidR="00DC4419">
        <w:t>’</w:t>
      </w:r>
      <w:r w:rsidRPr="00DC4419">
        <w:t>s</w:t>
      </w:r>
      <w:proofErr w:type="spellEnd"/>
      <w:r w:rsidRPr="00DC4419">
        <w:t xml:space="preserve"> picture without her consent in connection with </w:t>
      </w:r>
      <w:r w:rsidRPr="00DC4419" w:rsidR="00ED4AD1">
        <w:t xml:space="preserve">referring to </w:t>
      </w:r>
      <w:r w:rsidRPr="00DC4419">
        <w:t>her and Mr R. as “Bonnie and Clyde”.</w:t>
      </w:r>
    </w:p>
    <w:p w:rsidRPr="00DC4419" w:rsidR="00E22AE4" w:rsidP="00E22AE4"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25</w:t>
      </w:r>
      <w:r w:rsidRPr="00DC4419">
        <w:fldChar w:fldCharType="end"/>
      </w:r>
      <w:r w:rsidRPr="00DC4419">
        <w:t>.  The Supreme Court observed that Section 78 of the Copyright Act prohibited publishing a person</w:t>
      </w:r>
      <w:r w:rsidR="00DC4419">
        <w:t>’</w:t>
      </w:r>
      <w:r w:rsidRPr="00DC4419">
        <w:t>s picture if the publication violated that person</w:t>
      </w:r>
      <w:r w:rsidR="00DC4419">
        <w:t>’</w:t>
      </w:r>
      <w:r w:rsidRPr="00DC4419">
        <w:t>s legitimate interests and that the publication of her picture had to be considered together with the content of the published report. The court referred further to its case-law in which it had found that the publication of the picture of a spouse of a suspect was not of any informative value and that the concerned spouse</w:t>
      </w:r>
      <w:r w:rsidR="00DC4419">
        <w:t>’</w:t>
      </w:r>
      <w:r w:rsidRPr="00DC4419">
        <w:t>s interest in secrecy, therefore, outweighed the interest of information. The court found, however, that in the present case Mrs G. was far more involved in the case of Mr R</w:t>
      </w:r>
      <w:r w:rsidRPr="00DC4419" w:rsidR="0095241E">
        <w:t>.</w:t>
      </w:r>
      <w:r w:rsidRPr="00DC4419">
        <w:t xml:space="preserve"> than simply being Mr </w:t>
      </w:r>
      <w:r w:rsidRPr="00DC4419" w:rsidR="008A6732">
        <w:t>R</w:t>
      </w:r>
      <w:r w:rsidRPr="00DC4419" w:rsidR="0095241E">
        <w:t>.</w:t>
      </w:r>
      <w:r w:rsidR="00DC4419">
        <w:t>’</w:t>
      </w:r>
      <w:r w:rsidRPr="00DC4419" w:rsidR="00ED4AD1">
        <w:t xml:space="preserve">s </w:t>
      </w:r>
      <w:proofErr w:type="spellStart"/>
      <w:r w:rsidRPr="00DC4419" w:rsidR="00ED4AD1">
        <w:t>cohabitee</w:t>
      </w:r>
      <w:proofErr w:type="spellEnd"/>
      <w:r w:rsidRPr="00DC4419" w:rsidR="00ED4AD1">
        <w:t xml:space="preserve"> or girl</w:t>
      </w:r>
      <w:r w:rsidRPr="00DC4419">
        <w:t>friend, as she had prepared the escape with him and had finally escaped with Mr R. Therefore, the applicant company</w:t>
      </w:r>
      <w:r w:rsidR="00DC4419">
        <w:t>’</w:t>
      </w:r>
      <w:r w:rsidRPr="00DC4419">
        <w:t>s interest in publishing her picture in principle outweighed Mrs </w:t>
      </w:r>
      <w:proofErr w:type="spellStart"/>
      <w:r w:rsidRPr="00DC4419" w:rsidR="008A6732">
        <w:t>G</w:t>
      </w:r>
      <w:r w:rsidRPr="00DC4419" w:rsidR="0095241E">
        <w:t>.</w:t>
      </w:r>
      <w:r w:rsidR="00DC4419">
        <w:t>’</w:t>
      </w:r>
      <w:r w:rsidRPr="00DC4419">
        <w:t>s</w:t>
      </w:r>
      <w:proofErr w:type="spellEnd"/>
      <w:r w:rsidRPr="00DC4419">
        <w:t xml:space="preserve"> legitimate interests in secrecy.</w:t>
      </w:r>
    </w:p>
    <w:p w:rsidR="00DC4419" w:rsidP="00E22AE4"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26</w:t>
      </w:r>
      <w:r w:rsidRPr="00DC4419">
        <w:fldChar w:fldCharType="end"/>
      </w:r>
      <w:r w:rsidRPr="00DC4419">
        <w:t xml:space="preserve">.  The court then argued that the text of the article at issue, compared Mrs G. with the female partner of the violent criminals “Bonnie and </w:t>
      </w:r>
      <w:smartTag w:uri="urn:schemas-microsoft-com:office:smarttags" w:element="place">
        <w:r w:rsidRPr="00DC4419">
          <w:t>Clyde</w:t>
        </w:r>
      </w:smartTag>
      <w:r w:rsidRPr="00DC4419">
        <w:t>” and could give the impression to the readers of the magazine that Mrs </w:t>
      </w:r>
      <w:r w:rsidRPr="00DC4419" w:rsidR="008A6732">
        <w:t>G</w:t>
      </w:r>
      <w:r w:rsidRPr="00DC4419" w:rsidR="0095241E">
        <w:t>.</w:t>
      </w:r>
      <w:r w:rsidRPr="00DC4419">
        <w:t xml:space="preserve"> as “Bonnie” had been involved in the criminal offences of her partner. The Supreme Court, thus, concluded that, although it seemed that Mrs </w:t>
      </w:r>
      <w:r w:rsidRPr="00DC4419" w:rsidR="008A6732">
        <w:t>G</w:t>
      </w:r>
      <w:r w:rsidRPr="00DC4419" w:rsidR="0095241E">
        <w:t>.</w:t>
      </w:r>
      <w:r w:rsidRPr="00DC4419">
        <w:t xml:space="preserve"> had consented to the publication of her picture in connection with the criminal proceedings against Mr </w:t>
      </w:r>
      <w:r w:rsidRPr="00DC4419" w:rsidR="008A6732">
        <w:t>R</w:t>
      </w:r>
      <w:r w:rsidRPr="00DC4419" w:rsidR="0095241E">
        <w:t>.</w:t>
      </w:r>
      <w:r w:rsidRPr="00DC4419">
        <w:t>, her legitimate interests were violated by the publication of her photo in combination with a comparison with the criminal “Bonnie”.</w:t>
      </w:r>
    </w:p>
    <w:p w:rsidRPr="00DC4419" w:rsidR="00E22AE4" w:rsidP="00E22AE4"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27</w:t>
      </w:r>
      <w:r w:rsidRPr="00DC4419">
        <w:fldChar w:fldCharType="end"/>
      </w:r>
      <w:r w:rsidRPr="00DC4419">
        <w:t xml:space="preserve">.  On </w:t>
      </w:r>
      <w:smartTag w:uri="urn:schemas-microsoft-com:office:smarttags" w:element="date">
        <w:smartTagPr>
          <w:attr w:name="Month" w:val="2"/>
          <w:attr w:name="Day" w:val="2"/>
          <w:attr w:name="Year" w:val="2001"/>
        </w:smartTagPr>
        <w:r w:rsidRPr="00DC4419">
          <w:t>2 February 2001</w:t>
        </w:r>
      </w:smartTag>
      <w:r w:rsidRPr="00DC4419">
        <w:t xml:space="preserve"> the </w:t>
      </w:r>
      <w:smartTag w:uri="urn:schemas-microsoft-com:office:smarttags" w:element="Street">
        <w:smartTag w:uri="urn:schemas-microsoft-com:office:smarttags" w:element="address">
          <w:r w:rsidRPr="00DC4419">
            <w:t xml:space="preserve">Wiener </w:t>
          </w:r>
          <w:proofErr w:type="spellStart"/>
          <w:r w:rsidRPr="00DC4419">
            <w:t>Neustadt</w:t>
          </w:r>
          <w:proofErr w:type="spellEnd"/>
          <w:r w:rsidRPr="00DC4419">
            <w:t xml:space="preserve"> Regional Court</w:t>
          </w:r>
        </w:smartTag>
      </w:smartTag>
      <w:r w:rsidRPr="00DC4419">
        <w:t xml:space="preserve"> granted a permanent injunction prohibiting the applicant company from publishing Mrs </w:t>
      </w:r>
      <w:proofErr w:type="spellStart"/>
      <w:r w:rsidRPr="00DC4419">
        <w:t>G</w:t>
      </w:r>
      <w:r w:rsidRPr="00DC4419" w:rsidR="0095241E">
        <w:t>.</w:t>
      </w:r>
      <w:r w:rsidR="00DC4419">
        <w:t>’</w:t>
      </w:r>
      <w:r w:rsidRPr="00DC4419">
        <w:t>s</w:t>
      </w:r>
      <w:proofErr w:type="spellEnd"/>
      <w:r w:rsidRPr="00DC4419">
        <w:t xml:space="preserve"> picture while comparing her and Mr </w:t>
      </w:r>
      <w:r w:rsidRPr="00DC4419" w:rsidR="008A6732">
        <w:t>R</w:t>
      </w:r>
      <w:r w:rsidRPr="00DC4419" w:rsidR="0095241E">
        <w:t>.</w:t>
      </w:r>
      <w:r w:rsidRPr="00DC4419">
        <w:t xml:space="preserve"> with “Bonnie and </w:t>
      </w:r>
      <w:smartTag w:uri="urn:schemas-microsoft-com:office:smarttags" w:element="place">
        <w:r w:rsidRPr="00DC4419">
          <w:t>Clyde</w:t>
        </w:r>
      </w:smartTag>
      <w:r w:rsidRPr="00DC4419">
        <w:t>” or while connecting her with the commission of criminal offences.</w:t>
      </w:r>
    </w:p>
    <w:p w:rsidRPr="00DC4419" w:rsidR="00E22AE4" w:rsidP="00E22AE4"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28</w:t>
      </w:r>
      <w:r w:rsidRPr="00DC4419">
        <w:fldChar w:fldCharType="end"/>
      </w:r>
      <w:r w:rsidRPr="00DC4419">
        <w:t xml:space="preserve">.  On </w:t>
      </w:r>
      <w:smartTag w:uri="urn:schemas-microsoft-com:office:smarttags" w:element="date">
        <w:smartTagPr>
          <w:attr w:name="Month" w:val="5"/>
          <w:attr w:name="Day" w:val="3"/>
          <w:attr w:name="Year" w:val="2001"/>
        </w:smartTagPr>
        <w:r w:rsidRPr="00DC4419">
          <w:t>3 May 2001</w:t>
        </w:r>
      </w:smartTag>
      <w:r w:rsidRPr="00DC4419">
        <w:t xml:space="preserve"> the Court of Appeal dismissed the applicant company</w:t>
      </w:r>
      <w:r w:rsidR="00DC4419">
        <w:t>’</w:t>
      </w:r>
      <w:r w:rsidRPr="00DC4419">
        <w:t>s appeal</w:t>
      </w:r>
      <w:r w:rsidRPr="00DC4419" w:rsidR="003C0D55">
        <w:t xml:space="preserve"> and ordered the applicant company to pay Mrs </w:t>
      </w:r>
      <w:proofErr w:type="spellStart"/>
      <w:r w:rsidRPr="00DC4419" w:rsidR="003C0D55">
        <w:t>G</w:t>
      </w:r>
      <w:r w:rsidRPr="00DC4419" w:rsidR="0095241E">
        <w:t>.</w:t>
      </w:r>
      <w:r w:rsidR="00DC4419">
        <w:t>’</w:t>
      </w:r>
      <w:r w:rsidRPr="00DC4419" w:rsidR="003C0D55">
        <w:t>s</w:t>
      </w:r>
      <w:proofErr w:type="spellEnd"/>
      <w:r w:rsidRPr="00DC4419" w:rsidR="003C0D55">
        <w:t xml:space="preserve"> costs of the appeal proceedings</w:t>
      </w:r>
      <w:r w:rsidRPr="00DC4419">
        <w:t>.</w:t>
      </w:r>
    </w:p>
    <w:p w:rsidRPr="00DC4419" w:rsidR="00E22AE4" w:rsidP="00E22AE4" w:rsidRDefault="00E22AE4">
      <w:pPr>
        <w:pStyle w:val="JuPara"/>
      </w:pPr>
      <w:r w:rsidRPr="00DC4419">
        <w:fldChar w:fldCharType="begin"/>
      </w:r>
      <w:r w:rsidRPr="00DC4419">
        <w:instrText xml:space="preserve"> SEQ level0 \*arabic </w:instrText>
      </w:r>
      <w:r w:rsidRPr="00DC4419">
        <w:fldChar w:fldCharType="separate"/>
      </w:r>
      <w:r w:rsidRPr="00DC4419" w:rsidR="00E14680">
        <w:rPr>
          <w:noProof/>
        </w:rPr>
        <w:t>29</w:t>
      </w:r>
      <w:r w:rsidRPr="00DC4419">
        <w:fldChar w:fldCharType="end"/>
      </w:r>
      <w:r w:rsidRPr="00DC4419">
        <w:t xml:space="preserve">.  On </w:t>
      </w:r>
      <w:smartTag w:uri="urn:schemas-microsoft-com:office:smarttags" w:element="date">
        <w:smartTagPr>
          <w:attr w:name="Month" w:val="9"/>
          <w:attr w:name="Day" w:val="12"/>
          <w:attr w:name="Year" w:val="2001"/>
        </w:smartTagPr>
        <w:r w:rsidRPr="00DC4419">
          <w:t>12 September 2001</w:t>
        </w:r>
      </w:smartTag>
      <w:r w:rsidRPr="00DC4419">
        <w:t xml:space="preserve"> the Supreme Court, referring to its decision of </w:t>
      </w:r>
      <w:smartTag w:uri="urn:schemas-microsoft-com:office:smarttags" w:element="date">
        <w:smartTagPr>
          <w:attr w:name="Month" w:val="9"/>
          <w:attr w:name="Day" w:val="13"/>
          <w:attr w:name="Year" w:val="1999"/>
        </w:smartTagPr>
        <w:r w:rsidRPr="00DC4419">
          <w:t>13 September 1999</w:t>
        </w:r>
      </w:smartTag>
      <w:r w:rsidRPr="00DC4419">
        <w:t>, rejected the applicant company</w:t>
      </w:r>
      <w:r w:rsidR="00DC4419">
        <w:t>’</w:t>
      </w:r>
      <w:r w:rsidRPr="00DC4419">
        <w:t>s extraordinary appeal on points on law. This d</w:t>
      </w:r>
      <w:r w:rsidRPr="00DC4419" w:rsidR="00342A55">
        <w:t xml:space="preserve">ecision was served on </w:t>
      </w:r>
      <w:smartTag w:uri="urn:schemas-microsoft-com:office:smarttags" w:element="date">
        <w:smartTagPr>
          <w:attr w:name="Month" w:val="10"/>
          <w:attr w:name="Day" w:val="2"/>
          <w:attr w:name="Year" w:val="2001"/>
        </w:smartTagPr>
        <w:r w:rsidR="00342A55" w:rsidRPr="00DC4419">
          <w:t>2 October </w:t>
        </w:r>
        <w:r w:rsidRPr="00DC4419">
          <w:t>2001</w:t>
        </w:r>
      </w:smartTag>
      <w:r w:rsidRPr="00DC4419">
        <w:t>.</w:t>
      </w:r>
    </w:p>
    <w:p w:rsidRPr="00DC4419" w:rsidR="00A778B5" w:rsidP="00E3320F" w:rsidRDefault="00E3320F">
      <w:pPr>
        <w:pStyle w:val="JuHIRoman"/>
      </w:pPr>
      <w:r w:rsidRPr="00DC4419">
        <w:t>II.  RELEVANT DOMESTIC LAW AND PRACTICE</w:t>
      </w:r>
    </w:p>
    <w:p w:rsidRPr="00DC4419" w:rsidR="00A778B5" w:rsidP="00A778B5" w:rsidRDefault="00E3320F">
      <w:pPr>
        <w:pStyle w:val="JuPara"/>
      </w:pPr>
      <w:r w:rsidRPr="00DC4419">
        <w:fldChar w:fldCharType="begin"/>
      </w:r>
      <w:r w:rsidRPr="00DC4419">
        <w:instrText xml:space="preserve"> SEQ level0 \*arabic </w:instrText>
      </w:r>
      <w:r w:rsidRPr="00DC4419">
        <w:fldChar w:fldCharType="separate"/>
      </w:r>
      <w:r w:rsidRPr="00DC4419" w:rsidR="00E14680">
        <w:rPr>
          <w:noProof/>
        </w:rPr>
        <w:t>30</w:t>
      </w:r>
      <w:r w:rsidRPr="00DC4419">
        <w:fldChar w:fldCharType="end"/>
      </w:r>
      <w:r w:rsidRPr="00DC4419">
        <w:t>.  </w:t>
      </w:r>
      <w:r w:rsidRPr="00DC4419" w:rsidR="00A778B5">
        <w:t>Section 6 of the Media Act provides for the strict liability of the publisher in cases of defamation; the victim can thus claim damages from him. In this context “defamation” has been defined in Section 111 of the Criminal Code, as follows:</w:t>
      </w:r>
    </w:p>
    <w:p w:rsidR="00DC4419" w:rsidP="00A778B5" w:rsidRDefault="00A778B5">
      <w:pPr>
        <w:pStyle w:val="JuQuot"/>
      </w:pPr>
      <w:r w:rsidRPr="00DC4419">
        <w:t>“1.  As it may be perceived by a third party, anyone who accuses another of having a contemptible character or attitude, or of behaving contrary to honour or morality, and of such a nature as to make him contemptible or otherwise lower him in public esteem, shall be liable to imprisonment not exceeding six months or a fine ...</w:t>
      </w:r>
    </w:p>
    <w:p w:rsidR="00DC4419" w:rsidP="00A778B5" w:rsidRDefault="00A778B5">
      <w:pPr>
        <w:pStyle w:val="JuQuot"/>
      </w:pPr>
      <w:r w:rsidRPr="00DC4419">
        <w:t>2.  Anyone who commits this offence in a printed document, by broadcasting or otherwise, in such a way as to make the defamation accessible to a broad section of the public, shall be liable to imprisonment not exceeding one year or a fine ...</w:t>
      </w:r>
    </w:p>
    <w:p w:rsidRPr="00DC4419" w:rsidR="00A778B5" w:rsidP="00A778B5" w:rsidRDefault="00A778B5">
      <w:pPr>
        <w:pStyle w:val="JuQuot"/>
      </w:pPr>
      <w:r w:rsidRPr="00DC4419">
        <w:t>3.  The person making the statement shall not be punished if it is proved to be true. As regards the offence defined in paragraph 1, he shall also not be liable if circumstances are established which gave him sufficient reason to assume that the statement was true.”</w:t>
      </w:r>
    </w:p>
    <w:p w:rsidRPr="00DC4419" w:rsidR="00E3320F" w:rsidP="00E3320F" w:rsidRDefault="00E3320F">
      <w:pPr>
        <w:pStyle w:val="JuPara"/>
      </w:pPr>
      <w:r w:rsidRPr="00DC4419">
        <w:fldChar w:fldCharType="begin"/>
      </w:r>
      <w:r w:rsidRPr="00DC4419">
        <w:instrText xml:space="preserve"> SEQ level0 \*arabic </w:instrText>
      </w:r>
      <w:r w:rsidRPr="00DC4419">
        <w:fldChar w:fldCharType="separate"/>
      </w:r>
      <w:r w:rsidRPr="00DC4419" w:rsidR="00E14680">
        <w:rPr>
          <w:noProof/>
        </w:rPr>
        <w:t>31</w:t>
      </w:r>
      <w:r w:rsidRPr="00DC4419">
        <w:fldChar w:fldCharType="end"/>
      </w:r>
      <w:r w:rsidRPr="00DC4419">
        <w:t>.  Section 78 of the Copyright Act, in so far as relevant, reads as follows:</w:t>
      </w:r>
    </w:p>
    <w:p w:rsidRPr="00DC4419" w:rsidR="00E3320F" w:rsidP="00E3320F" w:rsidRDefault="00E3320F">
      <w:pPr>
        <w:pStyle w:val="JuQuot"/>
      </w:pPr>
      <w:r w:rsidRPr="00DC4419">
        <w:t>“(1) Images of persons shall neither be exhibited publicly, nor in any way made accessible to the public, where injury would be caused to the legitimate interests of the persons concerned or, in the event that they have died without having authorised or ordered publication, those of a close relative.”</w:t>
      </w:r>
    </w:p>
    <w:p w:rsidRPr="00DC4419" w:rsidR="00E3320F" w:rsidP="00E3320F" w:rsidRDefault="00E3320F">
      <w:pPr>
        <w:pStyle w:val="JuPara"/>
      </w:pPr>
      <w:r w:rsidRPr="00DC4419">
        <w:t>This provision has been interpreted in the Supreme Court</w:t>
      </w:r>
      <w:r w:rsidR="00DC4419">
        <w:t>’</w:t>
      </w:r>
      <w:r w:rsidRPr="00DC4419">
        <w:t>s case-law. In particular the Supreme Court has found that in determining whether the publication of a person</w:t>
      </w:r>
      <w:r w:rsidR="00DC4419">
        <w:t>’</w:t>
      </w:r>
      <w:r w:rsidRPr="00DC4419">
        <w:t>s picture violated his or her “legitimate interests” regard is to be had to the accompanying text. Where the publisher of the picture claims that there was a public interest in its publication, the courts have to carry out a weighing of the respective interests involved. As regards reporting on criminal cases, the Supreme Court has constantly held that there is no predominant public interest in the publication of the suspect</w:t>
      </w:r>
      <w:r w:rsidR="00DC4419">
        <w:t>’</w:t>
      </w:r>
      <w:r w:rsidRPr="00DC4419">
        <w:t>s picture if it has no additional independent information value. The only effect is that the intensity of such reporting is increased by attaching the suspect</w:t>
      </w:r>
      <w:r w:rsidR="00DC4419">
        <w:t>’</w:t>
      </w:r>
      <w:r w:rsidRPr="00DC4419">
        <w:t xml:space="preserve">s picture and, thus, making his or her appearance known to the public at large (see </w:t>
      </w:r>
      <w:r w:rsidRPr="00DC4419">
        <w:rPr>
          <w:i/>
        </w:rPr>
        <w:t>News Verlags GmbH &amp; CoKG v. Austria</w:t>
      </w:r>
      <w:r w:rsidRPr="00DC4419">
        <w:t xml:space="preserve">, no. 31457/96, § 32, ECHR 2000-I, with reference to </w:t>
      </w:r>
      <w:proofErr w:type="spellStart"/>
      <w:r w:rsidRPr="00DC4419">
        <w:t>MuR</w:t>
      </w:r>
      <w:proofErr w:type="spellEnd"/>
      <w:r w:rsidRPr="00DC4419">
        <w:t xml:space="preserve"> 1990</w:t>
      </w:r>
      <w:r w:rsidRPr="00DC4419" w:rsidR="00342A55">
        <w:t xml:space="preserve">, p. 224; </w:t>
      </w:r>
      <w:proofErr w:type="spellStart"/>
      <w:r w:rsidRPr="00DC4419" w:rsidR="00342A55">
        <w:t>SZ</w:t>
      </w:r>
      <w:proofErr w:type="spellEnd"/>
      <w:r w:rsidRPr="00DC4419" w:rsidR="00342A55">
        <w:t xml:space="preserve"> 63/75, p. 373; </w:t>
      </w:r>
      <w:proofErr w:type="spellStart"/>
      <w:r w:rsidRPr="00DC4419" w:rsidR="00342A55">
        <w:t>MuR</w:t>
      </w:r>
      <w:proofErr w:type="spellEnd"/>
      <w:r w:rsidRPr="00DC4419" w:rsidR="00342A55">
        <w:t> </w:t>
      </w:r>
      <w:r w:rsidRPr="00DC4419">
        <w:t xml:space="preserve">1995, p. 64; </w:t>
      </w:r>
      <w:proofErr w:type="spellStart"/>
      <w:r w:rsidRPr="00DC4419">
        <w:t>MuR</w:t>
      </w:r>
      <w:proofErr w:type="spellEnd"/>
      <w:r w:rsidRPr="00DC4419">
        <w:t xml:space="preserve"> 1996, p. 33).</w:t>
      </w:r>
    </w:p>
    <w:p w:rsidRPr="00DC4419" w:rsidR="00CD49A7" w:rsidRDefault="00CD49A7">
      <w:pPr>
        <w:pStyle w:val="JuHHead"/>
      </w:pPr>
      <w:r w:rsidRPr="00DC4419">
        <w:t>THE LAW</w:t>
      </w:r>
    </w:p>
    <w:p w:rsidRPr="00DC4419" w:rsidR="00CD49A7" w:rsidRDefault="00E3320F">
      <w:pPr>
        <w:pStyle w:val="JuHIRoman"/>
      </w:pPr>
      <w:r w:rsidRPr="00DC4419">
        <w:t>I</w:t>
      </w:r>
      <w:r w:rsidRPr="00DC4419" w:rsidR="00CD49A7">
        <w:t xml:space="preserve">.  ALLEGED VIOLATION OF ARTICLE </w:t>
      </w:r>
      <w:r w:rsidRPr="00DC4419">
        <w:t>10</w:t>
      </w:r>
      <w:r w:rsidRPr="00DC4419" w:rsidR="00CD49A7">
        <w:t xml:space="preserve"> OF THE CONVENTION</w:t>
      </w:r>
    </w:p>
    <w:p w:rsidRPr="00DC4419" w:rsidR="00815A5D" w:rsidP="00815A5D" w:rsidRDefault="00815A5D">
      <w:pPr>
        <w:pStyle w:val="JuPara"/>
      </w:pPr>
      <w:r w:rsidRPr="00DC4419">
        <w:fldChar w:fldCharType="begin"/>
      </w:r>
      <w:r w:rsidRPr="00DC4419">
        <w:instrText xml:space="preserve"> SEQ level0 \*arabic </w:instrText>
      </w:r>
      <w:r w:rsidRPr="00DC4419">
        <w:fldChar w:fldCharType="separate"/>
      </w:r>
      <w:r w:rsidRPr="00DC4419" w:rsidR="00E14680">
        <w:rPr>
          <w:noProof/>
        </w:rPr>
        <w:t>32</w:t>
      </w:r>
      <w:r w:rsidRPr="00DC4419">
        <w:fldChar w:fldCharType="end"/>
      </w:r>
      <w:r w:rsidRPr="00DC4419">
        <w:t>. </w:t>
      </w:r>
      <w:r w:rsidRPr="00DC4419" w:rsidR="00B86483">
        <w:t> The applicant company complained</w:t>
      </w:r>
      <w:r w:rsidRPr="00DC4419">
        <w:t xml:space="preserve"> that its conviction under the Media Act and the injunction issued on it under the Copy</w:t>
      </w:r>
      <w:r w:rsidRPr="00DC4419" w:rsidR="000C051D">
        <w:t>right Act were in violation of</w:t>
      </w:r>
      <w:r w:rsidRPr="00DC4419">
        <w:t xml:space="preserve"> its right to freedom of expression under Article 10 of the Convention.</w:t>
      </w:r>
    </w:p>
    <w:p w:rsidR="00DC4419" w:rsidP="00815A5D" w:rsidRDefault="00815A5D">
      <w:pPr>
        <w:pStyle w:val="JuPara"/>
      </w:pPr>
      <w:r w:rsidRPr="00DC4419">
        <w:t>The relevant part of Article 10 reads as follows:</w:t>
      </w:r>
    </w:p>
    <w:p w:rsidRPr="00DC4419" w:rsidR="00815A5D" w:rsidRDefault="00815A5D">
      <w:pPr>
        <w:pStyle w:val="JuQuot"/>
      </w:pPr>
      <w:r w:rsidRPr="00DC4419">
        <w:t xml:space="preserve">“1.  Everyone has the right to freedom of expression. This right shall include freedom to hold opinions and to receive and impart information and ideas without interference by public authority </w:t>
      </w:r>
      <w:r w:rsidRPr="00DC4419" w:rsidR="00F714FD">
        <w:t>...</w:t>
      </w:r>
    </w:p>
    <w:p w:rsidRPr="00DC4419" w:rsidR="00815A5D" w:rsidP="00993A8C" w:rsidRDefault="00815A5D">
      <w:pPr>
        <w:pStyle w:val="JuQuot"/>
      </w:pPr>
      <w:r w:rsidRPr="00DC4419">
        <w:t xml:space="preserve">2.  The exercise of these freedoms, since it carries with it duties and responsibilities, may be subject to such formalities, conditions, restrictions or penalties as are prescribed by law and are necessary in a democratic society </w:t>
      </w:r>
      <w:r w:rsidRPr="00DC4419" w:rsidR="00F714FD">
        <w:t>...</w:t>
      </w:r>
      <w:r w:rsidRPr="00DC4419">
        <w:t>for the protection of the reputation or rights of others</w:t>
      </w:r>
      <w:r w:rsidRPr="00DC4419" w:rsidR="00F714FD">
        <w:t>...</w:t>
      </w:r>
      <w:r w:rsidRPr="00DC4419">
        <w:t>”</w:t>
      </w:r>
    </w:p>
    <w:p w:rsidRPr="00DC4419" w:rsidR="00CD49A7" w:rsidRDefault="00FB08A6">
      <w:pPr>
        <w:pStyle w:val="JuHA"/>
      </w:pPr>
      <w:r w:rsidRPr="00DC4419">
        <w:t>A</w:t>
      </w:r>
      <w:r w:rsidRPr="00DC4419" w:rsidR="00CD49A7">
        <w:t>.  </w:t>
      </w:r>
      <w:r w:rsidRPr="00DC4419">
        <w:t>Whether there was an interference</w:t>
      </w:r>
    </w:p>
    <w:p w:rsidRPr="00DC4419" w:rsidR="00CD49A7" w:rsidRDefault="00D66E13">
      <w:pPr>
        <w:pStyle w:val="JuPara"/>
      </w:pPr>
      <w:r w:rsidRPr="00DC4419">
        <w:fldChar w:fldCharType="begin"/>
      </w:r>
      <w:r w:rsidRPr="00DC4419">
        <w:instrText xml:space="preserve"> SEQ level0 \*arabic </w:instrText>
      </w:r>
      <w:r w:rsidRPr="00DC4419">
        <w:fldChar w:fldCharType="separate"/>
      </w:r>
      <w:r w:rsidRPr="00DC4419" w:rsidR="00E14680">
        <w:rPr>
          <w:noProof/>
        </w:rPr>
        <w:t>33</w:t>
      </w:r>
      <w:r w:rsidRPr="00DC4419">
        <w:fldChar w:fldCharType="end"/>
      </w:r>
      <w:r w:rsidRPr="00DC4419" w:rsidR="00CD49A7">
        <w:t>.  </w:t>
      </w:r>
      <w:r w:rsidRPr="00DC4419" w:rsidR="00993A8C">
        <w:t>The Court notes that it is common ground between the parties that the applicant company</w:t>
      </w:r>
      <w:r w:rsidR="00DC4419">
        <w:t>’</w:t>
      </w:r>
      <w:r w:rsidRPr="00DC4419" w:rsidR="00993A8C">
        <w:t xml:space="preserve">s conviction under the Media Act </w:t>
      </w:r>
      <w:r w:rsidRPr="00DC4419" w:rsidR="00FB08A6">
        <w:t xml:space="preserve">and the injunction issued on it under the Copyright Act </w:t>
      </w:r>
      <w:r w:rsidRPr="00DC4419" w:rsidR="00993A8C">
        <w:t>constituted an interference with the applicant company</w:t>
      </w:r>
      <w:r w:rsidR="00DC4419">
        <w:t>’</w:t>
      </w:r>
      <w:r w:rsidRPr="00DC4419" w:rsidR="00993A8C">
        <w:t xml:space="preserve">s </w:t>
      </w:r>
      <w:r w:rsidRPr="00DC4419" w:rsidR="0057370B">
        <w:t xml:space="preserve">right to </w:t>
      </w:r>
      <w:r w:rsidRPr="00DC4419" w:rsidR="00993A8C">
        <w:t xml:space="preserve">freedom of expression, as guaranteed by </w:t>
      </w:r>
      <w:bookmarkStart w:name="HIT14" w:id="1"/>
      <w:bookmarkEnd w:id="1"/>
      <w:r w:rsidRPr="00DC4419" w:rsidR="00993A8C">
        <w:rPr>
          <w:rFonts w:ascii="Times New (W1)" w:hAnsi="Times New (W1)"/>
          <w:bCs/>
          <w:szCs w:val="24"/>
        </w:rPr>
        <w:t>Article</w:t>
      </w:r>
      <w:bookmarkStart w:name="HIT15" w:id="2"/>
      <w:bookmarkEnd w:id="2"/>
      <w:r w:rsidRPr="00DC4419" w:rsidR="00504EB1">
        <w:rPr>
          <w:rFonts w:ascii="Times New (W1)" w:hAnsi="Times New (W1)"/>
          <w:szCs w:val="24"/>
        </w:rPr>
        <w:t> </w:t>
      </w:r>
      <w:r w:rsidRPr="00DC4419" w:rsidR="00993A8C">
        <w:rPr>
          <w:rFonts w:ascii="Times New (W1)" w:hAnsi="Times New (W1)"/>
          <w:bCs/>
          <w:szCs w:val="24"/>
        </w:rPr>
        <w:t>10</w:t>
      </w:r>
      <w:r w:rsidRPr="00DC4419" w:rsidR="00504EB1">
        <w:t> § </w:t>
      </w:r>
      <w:r w:rsidRPr="00DC4419" w:rsidR="00993A8C">
        <w:t>1 of the Convention.</w:t>
      </w:r>
    </w:p>
    <w:p w:rsidRPr="00DC4419" w:rsidR="005141B8" w:rsidP="00FB08A6" w:rsidRDefault="00FB08A6">
      <w:pPr>
        <w:pStyle w:val="JuHA"/>
      </w:pPr>
      <w:r w:rsidRPr="00DC4419">
        <w:t>B</w:t>
      </w:r>
      <w:r w:rsidRPr="00DC4419" w:rsidR="005141B8">
        <w:t>.  Whether the interference was justified</w:t>
      </w:r>
    </w:p>
    <w:p w:rsidRPr="00DC4419" w:rsidR="005141B8" w:rsidP="005141B8" w:rsidRDefault="005141B8">
      <w:pPr>
        <w:pStyle w:val="JuPara"/>
      </w:pPr>
      <w:r w:rsidRPr="00DC4419">
        <w:fldChar w:fldCharType="begin"/>
      </w:r>
      <w:r w:rsidRPr="00DC4419">
        <w:instrText xml:space="preserve"> SEQ level0 \*arabic </w:instrText>
      </w:r>
      <w:r w:rsidRPr="00DC4419">
        <w:fldChar w:fldCharType="separate"/>
      </w:r>
      <w:r w:rsidRPr="00DC4419" w:rsidR="00E14680">
        <w:rPr>
          <w:noProof/>
        </w:rPr>
        <w:t>34</w:t>
      </w:r>
      <w:r w:rsidRPr="00DC4419">
        <w:fldChar w:fldCharType="end"/>
      </w:r>
      <w:r w:rsidRPr="00DC4419">
        <w:t>.  An interference contravenes Article 10 of the Convention unless it is “prescribed by law”, pursues one or more of the legitimate aims referred to in paragraph 2 and is “necessary in a democratic society” for achieving such an aim or aims.</w:t>
      </w:r>
    </w:p>
    <w:p w:rsidRPr="00DC4419" w:rsidR="005141B8" w:rsidP="00FB08A6" w:rsidRDefault="00FB08A6">
      <w:pPr>
        <w:pStyle w:val="JuH1"/>
      </w:pPr>
      <w:r w:rsidRPr="00DC4419">
        <w:t>1</w:t>
      </w:r>
      <w:r w:rsidRPr="00DC4419" w:rsidR="005141B8">
        <w:t>.  “Prescribed by law”</w:t>
      </w:r>
    </w:p>
    <w:p w:rsidRPr="00DC4419" w:rsidR="005141B8" w:rsidP="005141B8" w:rsidRDefault="005141B8">
      <w:pPr>
        <w:pStyle w:val="JuPara"/>
      </w:pPr>
      <w:r w:rsidRPr="00DC4419">
        <w:fldChar w:fldCharType="begin"/>
      </w:r>
      <w:r w:rsidRPr="00DC4419">
        <w:instrText xml:space="preserve"> SEQ level0 \*arabic </w:instrText>
      </w:r>
      <w:r w:rsidRPr="00DC4419">
        <w:fldChar w:fldCharType="separate"/>
      </w:r>
      <w:r w:rsidRPr="00DC4419" w:rsidR="00E14680">
        <w:rPr>
          <w:noProof/>
        </w:rPr>
        <w:t>35</w:t>
      </w:r>
      <w:r w:rsidRPr="00DC4419">
        <w:fldChar w:fldCharType="end"/>
      </w:r>
      <w:r w:rsidRPr="00DC4419">
        <w:t>.  The Court considers, and this was acknowledged by the parties, that the interference was prescribed by law, namely by Section 6 of the Media Act read in conjunction with Article 111 of the Criminal Code</w:t>
      </w:r>
      <w:r w:rsidRPr="00DC4419" w:rsidR="00504EB1">
        <w:t>, and Section </w:t>
      </w:r>
      <w:r w:rsidRPr="00DC4419" w:rsidR="00FB08A6">
        <w:t>78 of the Copyright Act respectively.</w:t>
      </w:r>
    </w:p>
    <w:p w:rsidRPr="00DC4419" w:rsidR="005141B8" w:rsidP="00FB08A6" w:rsidRDefault="00FB08A6">
      <w:pPr>
        <w:pStyle w:val="JuH1"/>
      </w:pPr>
      <w:r w:rsidRPr="00DC4419">
        <w:t>2</w:t>
      </w:r>
      <w:r w:rsidRPr="00DC4419" w:rsidR="005141B8">
        <w:t>.  Legitimate aim</w:t>
      </w:r>
    </w:p>
    <w:p w:rsidRPr="00DC4419" w:rsidR="005141B8" w:rsidP="005141B8" w:rsidRDefault="005141B8">
      <w:pPr>
        <w:pStyle w:val="JuPara"/>
      </w:pPr>
      <w:r w:rsidRPr="00DC4419">
        <w:fldChar w:fldCharType="begin"/>
      </w:r>
      <w:r w:rsidRPr="00DC4419">
        <w:instrText xml:space="preserve"> SEQ level0 \*arabic </w:instrText>
      </w:r>
      <w:r w:rsidRPr="00DC4419">
        <w:fldChar w:fldCharType="separate"/>
      </w:r>
      <w:r w:rsidRPr="00DC4419" w:rsidR="00E14680">
        <w:rPr>
          <w:noProof/>
        </w:rPr>
        <w:t>36</w:t>
      </w:r>
      <w:r w:rsidRPr="00DC4419">
        <w:fldChar w:fldCharType="end"/>
      </w:r>
      <w:r w:rsidRPr="00DC4419">
        <w:t xml:space="preserve">.  The Court further finds, and this was likewise not disputed between the parties, that the interference served a legitimate aim, namely “the protection of the reputation or rights of others” within the meaning of </w:t>
      </w:r>
      <w:r w:rsidRPr="00DC4419">
        <w:rPr>
          <w:rFonts w:ascii="Times New (W1)" w:hAnsi="Times New (W1)"/>
          <w:bCs/>
          <w:szCs w:val="24"/>
        </w:rPr>
        <w:t>Article</w:t>
      </w:r>
      <w:r w:rsidRPr="00DC4419" w:rsidR="00504EB1">
        <w:rPr>
          <w:rFonts w:ascii="Times New (W1)" w:hAnsi="Times New (W1)"/>
          <w:szCs w:val="24"/>
        </w:rPr>
        <w:t> </w:t>
      </w:r>
      <w:r w:rsidRPr="00DC4419">
        <w:rPr>
          <w:rFonts w:ascii="Times New (W1)" w:hAnsi="Times New (W1)"/>
          <w:bCs/>
          <w:szCs w:val="24"/>
        </w:rPr>
        <w:t>10</w:t>
      </w:r>
      <w:r w:rsidRPr="00DC4419" w:rsidR="00504EB1">
        <w:t> § </w:t>
      </w:r>
      <w:r w:rsidRPr="00DC4419">
        <w:t>2 of the Convention.</w:t>
      </w:r>
    </w:p>
    <w:p w:rsidRPr="00DC4419" w:rsidR="005141B8" w:rsidP="00FB08A6" w:rsidRDefault="00FB08A6">
      <w:pPr>
        <w:pStyle w:val="JuH1"/>
        <w:rPr>
          <w:iCs/>
        </w:rPr>
      </w:pPr>
      <w:r w:rsidRPr="00DC4419">
        <w:t>3</w:t>
      </w:r>
      <w:r w:rsidRPr="00DC4419" w:rsidR="005141B8">
        <w:t>.“Necessary in a democratic society</w:t>
      </w:r>
      <w:r w:rsidRPr="00DC4419" w:rsidR="005141B8">
        <w:rPr>
          <w:iCs/>
        </w:rPr>
        <w:t>”</w:t>
      </w:r>
    </w:p>
    <w:p w:rsidRPr="00DC4419" w:rsidR="00FB08A6" w:rsidP="00FB08A6" w:rsidRDefault="00FB08A6">
      <w:pPr>
        <w:pStyle w:val="JuHa0"/>
      </w:pPr>
      <w:r w:rsidRPr="00DC4419">
        <w:t>(a) Arguments before the Court</w:t>
      </w:r>
    </w:p>
    <w:p w:rsidR="00DC4419" w:rsidP="00E921A8" w:rsidRDefault="00511406">
      <w:pPr>
        <w:pStyle w:val="JuPara"/>
      </w:pPr>
      <w:r w:rsidRPr="00DC4419">
        <w:fldChar w:fldCharType="begin"/>
      </w:r>
      <w:r w:rsidRPr="00DC4419">
        <w:instrText xml:space="preserve"> SEQ level0 \*arabic </w:instrText>
      </w:r>
      <w:r w:rsidRPr="00DC4419">
        <w:fldChar w:fldCharType="separate"/>
      </w:r>
      <w:r w:rsidRPr="00DC4419" w:rsidR="00E14680">
        <w:rPr>
          <w:noProof/>
        </w:rPr>
        <w:t>37</w:t>
      </w:r>
      <w:r w:rsidRPr="00DC4419">
        <w:fldChar w:fldCharType="end"/>
      </w:r>
      <w:r w:rsidRPr="00DC4419">
        <w:t>.  </w:t>
      </w:r>
      <w:r w:rsidRPr="00DC4419" w:rsidR="00FB08A6">
        <w:t>As regards the applicant company</w:t>
      </w:r>
      <w:r w:rsidR="00DC4419">
        <w:t>’</w:t>
      </w:r>
      <w:r w:rsidRPr="00DC4419" w:rsidR="00FB08A6">
        <w:t>s conviction under the Media Act, t</w:t>
      </w:r>
      <w:r w:rsidRPr="00DC4419" w:rsidR="00390754">
        <w:t>he Government contend</w:t>
      </w:r>
      <w:r w:rsidRPr="00DC4419">
        <w:t xml:space="preserve">ed that the legendary criminal couple “Bonnie and </w:t>
      </w:r>
      <w:smartTag w:uri="urn:schemas-microsoft-com:office:smarttags" w:element="place">
        <w:r w:rsidRPr="00DC4419">
          <w:t>Clyde</w:t>
        </w:r>
      </w:smartTag>
      <w:r w:rsidRPr="00DC4419">
        <w:t xml:space="preserve">” was well-known in </w:t>
      </w:r>
      <w:smartTag w:uri="urn:schemas-microsoft-com:office:smarttags" w:element="country-region">
        <w:smartTag w:uri="urn:schemas-microsoft-com:office:smarttags" w:element="place">
          <w:r w:rsidRPr="00DC4419">
            <w:t>Austria</w:t>
          </w:r>
        </w:smartTag>
      </w:smartTag>
      <w:r w:rsidRPr="00DC4419">
        <w:t xml:space="preserve"> from various movies, and that the name “Bonnie” was primarily associated with a woman who committed crimes together with her partner and then tried in vain to escape criminal prosecution. The </w:t>
      </w:r>
      <w:r w:rsidRPr="00DC4419" w:rsidR="00C9119B">
        <w:t xml:space="preserve">repeated </w:t>
      </w:r>
      <w:r w:rsidRPr="00DC4419">
        <w:t>characterisation of Mrs </w:t>
      </w:r>
      <w:r w:rsidRPr="00DC4419" w:rsidR="00B86483">
        <w:t>G</w:t>
      </w:r>
      <w:r w:rsidRPr="00DC4419" w:rsidR="0095241E">
        <w:t>.</w:t>
      </w:r>
      <w:r w:rsidRPr="00DC4419">
        <w:t xml:space="preserve"> as “Bonnie” created, therefore, the impression that Mrs </w:t>
      </w:r>
      <w:r w:rsidRPr="00DC4419" w:rsidR="00B86483">
        <w:t>G</w:t>
      </w:r>
      <w:r w:rsidRPr="00DC4419" w:rsidR="000204CA">
        <w:t>.</w:t>
      </w:r>
      <w:r w:rsidRPr="00DC4419">
        <w:t xml:space="preserve"> had participated in the offences of Mr R. The expression “Lower Austrian mutation of Bonnie and </w:t>
      </w:r>
      <w:smartTag w:uri="urn:schemas-microsoft-com:office:smarttags" w:element="place">
        <w:r w:rsidRPr="00DC4419">
          <w:t>Clyde</w:t>
        </w:r>
      </w:smartTag>
      <w:r w:rsidRPr="00DC4419">
        <w:t>” further ridiculed Mrs G. The Government conten</w:t>
      </w:r>
      <w:r w:rsidRPr="00DC4419" w:rsidR="00ED4AD1">
        <w:t>d</w:t>
      </w:r>
      <w:r w:rsidRPr="00DC4419">
        <w:t>ed that the sole fact that Mrs </w:t>
      </w:r>
      <w:r w:rsidRPr="00DC4419" w:rsidR="00B86483">
        <w:t>G</w:t>
      </w:r>
      <w:r w:rsidRPr="00DC4419" w:rsidR="000204CA">
        <w:t>.</w:t>
      </w:r>
      <w:r w:rsidRPr="00DC4419">
        <w:t xml:space="preserve"> had escape</w:t>
      </w:r>
      <w:r w:rsidRPr="00DC4419" w:rsidR="00B86483">
        <w:t>d with her life-companion, Mr R</w:t>
      </w:r>
      <w:r w:rsidRPr="00DC4419" w:rsidR="000204CA">
        <w:t>.</w:t>
      </w:r>
      <w:r w:rsidRPr="00DC4419">
        <w:t xml:space="preserve">, was not sufficient to place her in the arena of public debate requiring her to display a higher degree of tolerance </w:t>
      </w:r>
      <w:r w:rsidRPr="00DC4419" w:rsidR="00ED4AD1">
        <w:t xml:space="preserve">of </w:t>
      </w:r>
      <w:r w:rsidRPr="00DC4419">
        <w:t>criticism.</w:t>
      </w:r>
      <w:r w:rsidRPr="00DC4419" w:rsidR="00ED4AD1">
        <w:t xml:space="preserve"> Finally, the Government contend</w:t>
      </w:r>
      <w:r w:rsidRPr="00DC4419">
        <w:t>ed that in view of the relatively low amount of compensation the applicant company was ordered to pay, the Austrian courts</w:t>
      </w:r>
      <w:r w:rsidR="00DC4419">
        <w:t>’</w:t>
      </w:r>
      <w:r w:rsidRPr="00DC4419">
        <w:t xml:space="preserve"> decisions could not be regarded as disproportionate either.</w:t>
      </w:r>
      <w:r w:rsidRPr="00DC4419" w:rsidR="00FB08A6">
        <w:t xml:space="preserve"> As to the injunction issued under the Copyright Act, </w:t>
      </w:r>
      <w:r w:rsidRPr="00DC4419" w:rsidR="00E921A8">
        <w:t>the Government further commented that Mrs G</w:t>
      </w:r>
      <w:r w:rsidRPr="00DC4419" w:rsidR="000204CA">
        <w:t>.</w:t>
      </w:r>
      <w:r w:rsidRPr="00DC4419" w:rsidR="00E921A8">
        <w:t xml:space="preserve"> was pilloried by the publication of her picture as she had not been a </w:t>
      </w:r>
      <w:r w:rsidR="00DC4419">
        <w:t>‘</w:t>
      </w:r>
      <w:r w:rsidRPr="00DC4419" w:rsidR="00ED4AD1">
        <w:t xml:space="preserve">person in </w:t>
      </w:r>
      <w:r w:rsidRPr="00DC4419" w:rsidR="00E921A8">
        <w:t>public life</w:t>
      </w:r>
      <w:r w:rsidR="00DC4419">
        <w:t>’</w:t>
      </w:r>
      <w:r w:rsidRPr="00DC4419" w:rsidR="00E921A8">
        <w:t xml:space="preserve"> before. They argued that the Austrian courts did not prohibit the publication of Mrs </w:t>
      </w:r>
      <w:proofErr w:type="spellStart"/>
      <w:r w:rsidRPr="00DC4419" w:rsidR="00E921A8">
        <w:t>G</w:t>
      </w:r>
      <w:r w:rsidRPr="00DC4419" w:rsidR="000204CA">
        <w:t>.</w:t>
      </w:r>
      <w:r w:rsidR="00DC4419">
        <w:t>’</w:t>
      </w:r>
      <w:r w:rsidRPr="00DC4419" w:rsidR="00E921A8">
        <w:t>s</w:t>
      </w:r>
      <w:proofErr w:type="spellEnd"/>
      <w:r w:rsidRPr="00DC4419" w:rsidR="00E921A8">
        <w:t xml:space="preserve"> photo in itself but its publication in connection with a comparison with the criminal couple “Bonnie and </w:t>
      </w:r>
      <w:smartTag w:uri="urn:schemas-microsoft-com:office:smarttags" w:element="place">
        <w:r w:rsidR="00E921A8" w:rsidRPr="00DC4419">
          <w:t>Clyde</w:t>
        </w:r>
      </w:smartTag>
      <w:r w:rsidRPr="00DC4419" w:rsidR="00E921A8">
        <w:t>”.</w:t>
      </w:r>
    </w:p>
    <w:p w:rsidR="00DC4419" w:rsidP="00E921A8" w:rsidRDefault="00511406">
      <w:pPr>
        <w:pStyle w:val="JuPara"/>
      </w:pPr>
      <w:r w:rsidRPr="00DC4419">
        <w:fldChar w:fldCharType="begin"/>
      </w:r>
      <w:r w:rsidRPr="00DC4419">
        <w:instrText xml:space="preserve"> SEQ level0 \*arabic </w:instrText>
      </w:r>
      <w:r w:rsidRPr="00DC4419">
        <w:fldChar w:fldCharType="separate"/>
      </w:r>
      <w:r w:rsidRPr="00DC4419" w:rsidR="00E14680">
        <w:rPr>
          <w:noProof/>
        </w:rPr>
        <w:t>38</w:t>
      </w:r>
      <w:r w:rsidRPr="00DC4419">
        <w:fldChar w:fldCharType="end"/>
      </w:r>
      <w:r w:rsidRPr="00DC4419">
        <w:t>.  The applicant company stated that it had nothing to add to the arguments already submitted in its application. There, it had argued that the interference with its right to freedom of expression was not necessary, in particular as the article explicitly stated that no suspicion existed against Mrs </w:t>
      </w:r>
      <w:r w:rsidRPr="00DC4419" w:rsidR="00B86483">
        <w:t>G</w:t>
      </w:r>
      <w:r w:rsidRPr="00DC4419" w:rsidR="000C051D">
        <w:t>.</w:t>
      </w:r>
      <w:r w:rsidRPr="00DC4419">
        <w:t xml:space="preserve"> Further, it had argued that Mrs </w:t>
      </w:r>
      <w:r w:rsidRPr="00DC4419" w:rsidR="00B86483">
        <w:t>G</w:t>
      </w:r>
      <w:r w:rsidRPr="00DC4419" w:rsidR="000204CA">
        <w:t>.</w:t>
      </w:r>
      <w:r w:rsidRPr="00DC4419">
        <w:t xml:space="preserve"> had laid herself open to public scrutiny when escaping together with a </w:t>
      </w:r>
      <w:r w:rsidRPr="00DC4419" w:rsidR="00DC4419">
        <w:t>Member</w:t>
      </w:r>
      <w:r w:rsidRPr="00DC4419">
        <w:t xml:space="preserve"> of Parliament and had given interviews to the media. Moreover, there had been great public </w:t>
      </w:r>
      <w:r w:rsidRPr="00DC4419" w:rsidR="00E921A8">
        <w:t>interest in the events at issue and Mrs G</w:t>
      </w:r>
      <w:r w:rsidRPr="00DC4419" w:rsidR="000204CA">
        <w:t>.</w:t>
      </w:r>
      <w:r w:rsidRPr="00DC4419" w:rsidR="00E921A8">
        <w:t xml:space="preserve"> had willingly given interviews to the media and had her picture taken.</w:t>
      </w:r>
    </w:p>
    <w:p w:rsidRPr="00DC4419" w:rsidR="00511406" w:rsidP="00E921A8" w:rsidRDefault="00E921A8">
      <w:pPr>
        <w:pStyle w:val="JuHa0"/>
      </w:pPr>
      <w:r w:rsidRPr="00DC4419">
        <w:t>(b) The Court</w:t>
      </w:r>
      <w:r w:rsidR="00DC4419">
        <w:t>’</w:t>
      </w:r>
      <w:r w:rsidRPr="00DC4419">
        <w:t>s assessment</w:t>
      </w:r>
    </w:p>
    <w:p w:rsidRPr="00DC4419" w:rsidR="00511406" w:rsidP="00511406" w:rsidRDefault="00511406">
      <w:pPr>
        <w:pStyle w:val="JuPara"/>
      </w:pPr>
      <w:r w:rsidRPr="00DC4419">
        <w:fldChar w:fldCharType="begin"/>
      </w:r>
      <w:r w:rsidRPr="00DC4419">
        <w:instrText xml:space="preserve"> SEQ level0 \*arabic </w:instrText>
      </w:r>
      <w:r w:rsidRPr="00DC4419">
        <w:fldChar w:fldCharType="separate"/>
      </w:r>
      <w:r w:rsidRPr="00DC4419" w:rsidR="00E14680">
        <w:rPr>
          <w:noProof/>
        </w:rPr>
        <w:t>39</w:t>
      </w:r>
      <w:r w:rsidRPr="00DC4419">
        <w:fldChar w:fldCharType="end"/>
      </w:r>
      <w:r w:rsidRPr="00DC4419">
        <w:t xml:space="preserve">.  The Court recalls the essential function the press fulfils in a democratic society. Although the press must not overstep certain bounds, particularly as regards the reputation and rights of others, its duty is nevertheless to impart – in a manner consistent with its obligations and responsibilities – information and ideas on all matters of public interest. Journalistic freedom also covers possible recourse to a degree of exaggeration, or even provocation (see, among many others, </w:t>
      </w:r>
      <w:r w:rsidRPr="00DC4419" w:rsidR="00504EB1">
        <w:rPr>
          <w:i/>
        </w:rPr>
        <w:t>Tammer </w:t>
      </w:r>
      <w:r w:rsidRPr="00DC4419">
        <w:rPr>
          <w:i/>
        </w:rPr>
        <w:t>v. Estonia</w:t>
      </w:r>
      <w:r w:rsidRPr="00DC4419" w:rsidR="00DF26F9">
        <w:t xml:space="preserve">, no. 41205/98, § </w:t>
      </w:r>
      <w:r w:rsidRPr="00DC4419">
        <w:t>62, ECHR 2001</w:t>
      </w:r>
      <w:r w:rsidRPr="00DC4419">
        <w:noBreakHyphen/>
        <w:t xml:space="preserve">I, with further references). Whereas the limits of permissible criticism are narrower in relation to a private citizen than in relation to politicians, private individuals lay themselves open to scrutiny when they enter the arena of public debate and then have to show a higher degree of tolerance (see </w:t>
      </w:r>
      <w:r w:rsidRPr="00DC4419" w:rsidR="00504EB1">
        <w:rPr>
          <w:i/>
        </w:rPr>
        <w:t>Jerusalem </w:t>
      </w:r>
      <w:r w:rsidRPr="00DC4419">
        <w:rPr>
          <w:i/>
        </w:rPr>
        <w:t>v. Austria</w:t>
      </w:r>
      <w:r w:rsidRPr="00DC4419">
        <w:t>, no. 26958/95, §§ 38-39, ECHR 2001</w:t>
      </w:r>
      <w:r w:rsidRPr="00DC4419">
        <w:noBreakHyphen/>
        <w:t>II).</w:t>
      </w:r>
    </w:p>
    <w:p w:rsidRPr="00DC4419" w:rsidR="003B0935" w:rsidP="00D4637B" w:rsidRDefault="00546C17">
      <w:pPr>
        <w:pStyle w:val="JuPara"/>
      </w:pPr>
      <w:r w:rsidRPr="00DC4419">
        <w:fldChar w:fldCharType="begin"/>
      </w:r>
      <w:r w:rsidRPr="00DC4419">
        <w:instrText xml:space="preserve"> SEQ level0 \*arabic </w:instrText>
      </w:r>
      <w:r w:rsidRPr="00DC4419">
        <w:fldChar w:fldCharType="separate"/>
      </w:r>
      <w:r w:rsidRPr="00DC4419" w:rsidR="00E14680">
        <w:rPr>
          <w:noProof/>
        </w:rPr>
        <w:t>40</w:t>
      </w:r>
      <w:r w:rsidRPr="00DC4419">
        <w:fldChar w:fldCharType="end"/>
      </w:r>
      <w:r w:rsidRPr="00DC4419">
        <w:t xml:space="preserve">.  In the present case, the </w:t>
      </w:r>
      <w:r w:rsidRPr="00DC4419" w:rsidR="00C47B6A">
        <w:t xml:space="preserve">Austrian courts </w:t>
      </w:r>
      <w:r w:rsidRPr="00DC4419" w:rsidR="003B0935">
        <w:t xml:space="preserve">convicted the applicant company </w:t>
      </w:r>
      <w:r w:rsidRPr="00DC4419" w:rsidR="004325AF">
        <w:t xml:space="preserve">under the Media Act </w:t>
      </w:r>
      <w:r w:rsidRPr="00DC4419" w:rsidR="003B0935">
        <w:t xml:space="preserve">of defamation </w:t>
      </w:r>
      <w:r w:rsidRPr="00DC4419" w:rsidR="004325AF">
        <w:t>and ordered it to pay compensation. They</w:t>
      </w:r>
      <w:r w:rsidRPr="00DC4419" w:rsidR="00ED4AD1">
        <w:t xml:space="preserve"> further issued an injunction against</w:t>
      </w:r>
      <w:r w:rsidRPr="00DC4419" w:rsidR="004325AF">
        <w:t xml:space="preserve"> the applicant company under the Copyright Act.</w:t>
      </w:r>
    </w:p>
    <w:p w:rsidR="00DC4419" w:rsidP="00D4637B" w:rsidRDefault="004325AF">
      <w:pPr>
        <w:pStyle w:val="JuPara"/>
      </w:pPr>
      <w:r w:rsidRPr="00DC4419">
        <w:fldChar w:fldCharType="begin"/>
      </w:r>
      <w:r w:rsidRPr="00DC4419">
        <w:instrText xml:space="preserve"> SEQ level0 \*arabic </w:instrText>
      </w:r>
      <w:r w:rsidRPr="00DC4419">
        <w:fldChar w:fldCharType="separate"/>
      </w:r>
      <w:r w:rsidRPr="00DC4419" w:rsidR="00E14680">
        <w:rPr>
          <w:noProof/>
        </w:rPr>
        <w:t>41</w:t>
      </w:r>
      <w:r w:rsidRPr="00DC4419">
        <w:fldChar w:fldCharType="end"/>
      </w:r>
      <w:r w:rsidRPr="00DC4419">
        <w:t xml:space="preserve">.  In proceedings under the Media Act, the courts </w:t>
      </w:r>
      <w:r w:rsidRPr="00DC4419" w:rsidR="00D4637B">
        <w:t xml:space="preserve">noted that “Bonnie and </w:t>
      </w:r>
      <w:smartTag w:uri="urn:schemas-microsoft-com:office:smarttags" w:element="place">
        <w:r w:rsidR="00D4637B" w:rsidRPr="00DC4419">
          <w:t>Clyde</w:t>
        </w:r>
      </w:smartTag>
      <w:r w:rsidRPr="00DC4419" w:rsidR="00D4637B">
        <w:t>” had been, above all, violent criminals. They, therefore, concluded that the established connection between Mrs </w:t>
      </w:r>
      <w:r w:rsidRPr="00DC4419" w:rsidR="000C051D">
        <w:t>G</w:t>
      </w:r>
      <w:r w:rsidRPr="00DC4419" w:rsidR="00795F0D">
        <w:t>.</w:t>
      </w:r>
      <w:r w:rsidRPr="00DC4419" w:rsidR="00D4637B">
        <w:t xml:space="preserve"> and “Bonnie” in the </w:t>
      </w:r>
      <w:r w:rsidRPr="00DC4419">
        <w:t>applicant company</w:t>
      </w:r>
      <w:r w:rsidR="00DC4419">
        <w:t>’</w:t>
      </w:r>
      <w:r w:rsidRPr="00DC4419">
        <w:t xml:space="preserve">s </w:t>
      </w:r>
      <w:r w:rsidRPr="00DC4419" w:rsidR="00D4637B">
        <w:t xml:space="preserve">article created an </w:t>
      </w:r>
      <w:r w:rsidRPr="00DC4419" w:rsidR="00ED4AD1">
        <w:t xml:space="preserve">implicit </w:t>
      </w:r>
      <w:r w:rsidRPr="00DC4419" w:rsidR="00D4637B">
        <w:t xml:space="preserve">statement of Mrs </w:t>
      </w:r>
      <w:proofErr w:type="spellStart"/>
      <w:r w:rsidRPr="00DC4419" w:rsidR="00D4637B">
        <w:t>G</w:t>
      </w:r>
      <w:r w:rsidRPr="00DC4419" w:rsidR="00795F0D">
        <w:t>.</w:t>
      </w:r>
      <w:r w:rsidR="00DC4419">
        <w:t>’</w:t>
      </w:r>
      <w:r w:rsidRPr="00DC4419" w:rsidR="00D4637B">
        <w:t>s</w:t>
      </w:r>
      <w:proofErr w:type="spellEnd"/>
      <w:r w:rsidRPr="00DC4419" w:rsidR="00D4637B">
        <w:t xml:space="preserve"> involvement in criminal acts which constituted the offence of defamation.</w:t>
      </w:r>
    </w:p>
    <w:p w:rsidR="00DC4419" w:rsidP="00E80C78" w:rsidRDefault="00C47B6A">
      <w:pPr>
        <w:pStyle w:val="JuPara"/>
      </w:pPr>
      <w:r w:rsidRPr="00DC4419">
        <w:fldChar w:fldCharType="begin"/>
      </w:r>
      <w:r w:rsidRPr="00DC4419">
        <w:instrText xml:space="preserve"> SEQ level0 \*arabic </w:instrText>
      </w:r>
      <w:r w:rsidRPr="00DC4419">
        <w:fldChar w:fldCharType="separate"/>
      </w:r>
      <w:r w:rsidRPr="00DC4419" w:rsidR="00E14680">
        <w:rPr>
          <w:noProof/>
        </w:rPr>
        <w:t>42</w:t>
      </w:r>
      <w:r w:rsidRPr="00DC4419">
        <w:fldChar w:fldCharType="end"/>
      </w:r>
      <w:r w:rsidRPr="00DC4419">
        <w:t>.  </w:t>
      </w:r>
      <w:r w:rsidRPr="00DC4419" w:rsidR="00D4637B">
        <w:t>In the Court</w:t>
      </w:r>
      <w:r w:rsidR="00DC4419">
        <w:t>’</w:t>
      </w:r>
      <w:r w:rsidRPr="00DC4419" w:rsidR="00D4637B">
        <w:t>s view, however, the mere fact that the article at issue referred several times to Mrs G</w:t>
      </w:r>
      <w:r w:rsidRPr="00DC4419" w:rsidR="00795F0D">
        <w:t>.</w:t>
      </w:r>
      <w:r w:rsidRPr="00DC4419" w:rsidR="00D4637B">
        <w:t xml:space="preserve"> as “Bonnie” was not sufficient to mislead the reader as to her implication in the offences of Mr R. </w:t>
      </w:r>
      <w:r w:rsidRPr="00DC4419" w:rsidR="00C243AE">
        <w:t>The Court notes in this regard that the criminal proceedings against Mr. R</w:t>
      </w:r>
      <w:r w:rsidRPr="00DC4419" w:rsidR="00795F0D">
        <w:t>.</w:t>
      </w:r>
      <w:r w:rsidRPr="00DC4419" w:rsidR="00C243AE">
        <w:t xml:space="preserve">, a </w:t>
      </w:r>
      <w:r w:rsidRPr="00DC4419" w:rsidR="00DC4419">
        <w:t>Member</w:t>
      </w:r>
      <w:r w:rsidRPr="00DC4419" w:rsidR="00C243AE">
        <w:t xml:space="preserve"> of Parliament, had </w:t>
      </w:r>
      <w:r w:rsidRPr="00DC4419" w:rsidR="00ED4AD1">
        <w:t xml:space="preserve">created </w:t>
      </w:r>
      <w:r w:rsidRPr="00DC4419" w:rsidR="00C243AE">
        <w:t>great public interest at that time and that the nature and scope of Mr R</w:t>
      </w:r>
      <w:r w:rsidRPr="00DC4419" w:rsidR="00795F0D">
        <w:t>.</w:t>
      </w:r>
      <w:r w:rsidR="00DC4419">
        <w:t>’</w:t>
      </w:r>
      <w:r w:rsidRPr="00DC4419" w:rsidR="00C243AE">
        <w:t>s offences were well-known to the public. The article at issue did, however, not deal with the pending proceedings against Mr R</w:t>
      </w:r>
      <w:r w:rsidRPr="00DC4419" w:rsidR="00795F0D">
        <w:t>.</w:t>
      </w:r>
      <w:r w:rsidRPr="00DC4419" w:rsidR="00C243AE">
        <w:t xml:space="preserve"> but only </w:t>
      </w:r>
      <w:r w:rsidRPr="00DC4419" w:rsidR="00E106EA">
        <w:t xml:space="preserve">with </w:t>
      </w:r>
      <w:r w:rsidRPr="00DC4419" w:rsidR="00795909">
        <w:t>his</w:t>
      </w:r>
      <w:r w:rsidRPr="00DC4419" w:rsidR="00DC60A2">
        <w:t xml:space="preserve"> </w:t>
      </w:r>
      <w:r w:rsidRPr="00DC4419" w:rsidR="00E106EA">
        <w:t xml:space="preserve">escape and </w:t>
      </w:r>
      <w:r w:rsidRPr="00DC4419" w:rsidR="00795909">
        <w:t>subsequent arrest</w:t>
      </w:r>
      <w:r w:rsidRPr="00DC4419" w:rsidR="00C05262">
        <w:t>. It was in this context that the article</w:t>
      </w:r>
      <w:r w:rsidRPr="00DC4419" w:rsidR="00795909">
        <w:t xml:space="preserve"> mentioned </w:t>
      </w:r>
      <w:r w:rsidRPr="00DC4419" w:rsidR="00DC60A2">
        <w:t>Mrs G</w:t>
      </w:r>
      <w:r w:rsidRPr="00DC4419" w:rsidR="00795F0D">
        <w:t>.</w:t>
      </w:r>
      <w:r w:rsidRPr="00DC4419" w:rsidR="00DC60A2">
        <w:t xml:space="preserve">, the </w:t>
      </w:r>
      <w:proofErr w:type="spellStart"/>
      <w:r w:rsidRPr="00DC4419" w:rsidR="00DC60A2">
        <w:t>cohabitee</w:t>
      </w:r>
      <w:proofErr w:type="spellEnd"/>
      <w:r w:rsidRPr="00DC4419" w:rsidR="00DC60A2">
        <w:t xml:space="preserve"> of Mr R</w:t>
      </w:r>
      <w:r w:rsidRPr="00DC4419" w:rsidR="00795F0D">
        <w:t>.</w:t>
      </w:r>
      <w:r w:rsidRPr="00DC4419" w:rsidR="00DC60A2">
        <w:t xml:space="preserve">, who had </w:t>
      </w:r>
      <w:r w:rsidRPr="00DC4419" w:rsidR="00110FBD">
        <w:t xml:space="preserve">fled the country </w:t>
      </w:r>
      <w:r w:rsidRPr="00DC4419" w:rsidR="00DC60A2">
        <w:t>with him.</w:t>
      </w:r>
    </w:p>
    <w:p w:rsidR="00DC4419" w:rsidP="00E80C78" w:rsidRDefault="00E80C78">
      <w:pPr>
        <w:pStyle w:val="JuPara"/>
      </w:pPr>
      <w:r w:rsidRPr="00DC4419">
        <w:fldChar w:fldCharType="begin"/>
      </w:r>
      <w:r w:rsidRPr="00DC4419">
        <w:instrText xml:space="preserve"> SEQ level0 \*arabic </w:instrText>
      </w:r>
      <w:r w:rsidRPr="00DC4419">
        <w:fldChar w:fldCharType="separate"/>
      </w:r>
      <w:r w:rsidRPr="00DC4419" w:rsidR="00E14680">
        <w:rPr>
          <w:noProof/>
        </w:rPr>
        <w:t>43</w:t>
      </w:r>
      <w:r w:rsidRPr="00DC4419">
        <w:fldChar w:fldCharType="end"/>
      </w:r>
      <w:r w:rsidRPr="00DC4419">
        <w:t xml:space="preserve">.  The Court notes that </w:t>
      </w:r>
      <w:r w:rsidRPr="00DC4419" w:rsidR="00795909">
        <w:t>Mrs G</w:t>
      </w:r>
      <w:r w:rsidRPr="00DC4419" w:rsidR="00795F0D">
        <w:t>.</w:t>
      </w:r>
      <w:r w:rsidRPr="00DC4419" w:rsidR="00795909">
        <w:t xml:space="preserve"> and </w:t>
      </w:r>
      <w:r w:rsidRPr="00DC4419" w:rsidR="003E3257">
        <w:t>Mr R</w:t>
      </w:r>
      <w:r w:rsidRPr="00DC4419" w:rsidR="00795F0D">
        <w:t>.</w:t>
      </w:r>
      <w:r w:rsidRPr="00DC4419" w:rsidR="003E3257">
        <w:t xml:space="preserve"> had </w:t>
      </w:r>
      <w:r w:rsidRPr="00DC4419" w:rsidR="00110FBD">
        <w:t xml:space="preserve">fled </w:t>
      </w:r>
      <w:smartTag w:uri="urn:schemas-microsoft-com:office:smarttags" w:element="country-region">
        <w:smartTag w:uri="urn:schemas-microsoft-com:office:smarttags" w:element="place">
          <w:r w:rsidR="00795909" w:rsidRPr="00DC4419">
            <w:t>Austria</w:t>
          </w:r>
        </w:smartTag>
      </w:smartTag>
      <w:r w:rsidRPr="00DC4419" w:rsidR="00795909">
        <w:t xml:space="preserve"> </w:t>
      </w:r>
      <w:r w:rsidRPr="00DC4419" w:rsidR="00504EB1">
        <w:t>in April </w:t>
      </w:r>
      <w:r w:rsidRPr="00DC4419" w:rsidR="003E3257">
        <w:t xml:space="preserve">1998 and that </w:t>
      </w:r>
      <w:r w:rsidRPr="00DC4419" w:rsidR="00B6228B">
        <w:t>Mr R</w:t>
      </w:r>
      <w:r w:rsidRPr="00DC4419" w:rsidR="00795F0D">
        <w:t>.</w:t>
      </w:r>
      <w:r w:rsidRPr="00DC4419" w:rsidR="00B6228B">
        <w:t xml:space="preserve"> had been arrested in </w:t>
      </w:r>
      <w:smartTag w:uri="urn:schemas-microsoft-com:office:smarttags" w:element="country-region">
        <w:smartTag w:uri="urn:schemas-microsoft-com:office:smarttags" w:element="place">
          <w:r w:rsidR="00B6228B" w:rsidRPr="00DC4419">
            <w:t>Bra</w:t>
          </w:r>
          <w:r w:rsidR="00E42A71" w:rsidRPr="00DC4419">
            <w:t>zil</w:t>
          </w:r>
        </w:smartTag>
      </w:smartTag>
      <w:r w:rsidRPr="00DC4419" w:rsidR="00B6228B">
        <w:t xml:space="preserve"> on </w:t>
      </w:r>
      <w:smartTag w:uri="urn:schemas-microsoft-com:office:smarttags" w:element="date">
        <w:smartTagPr>
          <w:attr w:name="Month" w:val="6"/>
          <w:attr w:name="Day" w:val="5"/>
          <w:attr w:name="Year" w:val="1998"/>
        </w:smartTagPr>
        <w:r w:rsidR="00B6228B" w:rsidRPr="00DC4419">
          <w:t>5 June 1998</w:t>
        </w:r>
      </w:smartTag>
      <w:r w:rsidRPr="00DC4419" w:rsidR="00B6228B">
        <w:t xml:space="preserve">. The article, published on </w:t>
      </w:r>
      <w:smartTag w:uri="urn:schemas-microsoft-com:office:smarttags" w:element="date">
        <w:smartTagPr>
          <w:attr w:name="Month" w:val="6"/>
          <w:attr w:name="Day" w:val="15"/>
          <w:attr w:name="Year" w:val="1998"/>
        </w:smartTagPr>
        <w:r w:rsidR="00B6228B" w:rsidRPr="00DC4419">
          <w:t>15 June 1998</w:t>
        </w:r>
      </w:smartTag>
      <w:r w:rsidRPr="00DC4419" w:rsidR="00B6228B">
        <w:t>, clearly did not intend to inform the reader about these events in itself</w:t>
      </w:r>
      <w:r w:rsidRPr="00DC4419" w:rsidR="00D20990">
        <w:t xml:space="preserve"> which it presumed known to the public. </w:t>
      </w:r>
      <w:r w:rsidRPr="00DC4419" w:rsidR="00C243AE">
        <w:t>R</w:t>
      </w:r>
      <w:r w:rsidRPr="00DC4419" w:rsidR="009000D3">
        <w:t>ather, as stated already in</w:t>
      </w:r>
      <w:r w:rsidRPr="00DC4419" w:rsidR="00C243AE">
        <w:t xml:space="preserve"> its </w:t>
      </w:r>
      <w:r w:rsidRPr="00DC4419" w:rsidR="00B6228B">
        <w:t xml:space="preserve">title and subtitle, </w:t>
      </w:r>
      <w:r w:rsidRPr="00DC4419" w:rsidR="00C243AE">
        <w:t xml:space="preserve">the article </w:t>
      </w:r>
      <w:r w:rsidRPr="00DC4419" w:rsidR="00B6228B">
        <w:t xml:space="preserve">aimed </w:t>
      </w:r>
      <w:r w:rsidRPr="00DC4419" w:rsidR="007B7095">
        <w:t>to describe the</w:t>
      </w:r>
      <w:r w:rsidRPr="00DC4419" w:rsidR="00F51F8B">
        <w:t xml:space="preserve"> </w:t>
      </w:r>
      <w:r w:rsidRPr="00DC4419" w:rsidR="009026A8">
        <w:t xml:space="preserve">more recent </w:t>
      </w:r>
      <w:r w:rsidRPr="00DC4419" w:rsidR="00F51F8B">
        <w:t>circumstances</w:t>
      </w:r>
      <w:r w:rsidRPr="00DC4419" w:rsidR="00D20990">
        <w:t xml:space="preserve"> of the</w:t>
      </w:r>
      <w:r w:rsidRPr="00DC4419" w:rsidR="003D2865">
        <w:t xml:space="preserve"> Mr R</w:t>
      </w:r>
      <w:r w:rsidRPr="00DC4419" w:rsidR="00795F0D">
        <w:t>.</w:t>
      </w:r>
      <w:r w:rsidR="00DC4419">
        <w:t>’</w:t>
      </w:r>
      <w:r w:rsidRPr="00DC4419" w:rsidR="00D20990">
        <w:t>s escape and arrest</w:t>
      </w:r>
      <w:r w:rsidRPr="00DC4419" w:rsidR="00B6228B">
        <w:t xml:space="preserve">. </w:t>
      </w:r>
      <w:r w:rsidRPr="00DC4419" w:rsidR="0024672D">
        <w:t>It did so in an ironic way, aiming to convey to the reader that the reality of this escape had been banal, contrary to what was claimed by certain rumours</w:t>
      </w:r>
      <w:r w:rsidRPr="00DC4419" w:rsidR="00E106EA">
        <w:t xml:space="preserve">. </w:t>
      </w:r>
      <w:r w:rsidRPr="00DC4419" w:rsidR="00D20990">
        <w:t>As regards Mrs G</w:t>
      </w:r>
      <w:r w:rsidRPr="00DC4419" w:rsidR="00795F0D">
        <w:t>.</w:t>
      </w:r>
      <w:r w:rsidRPr="00DC4419" w:rsidR="00D20990">
        <w:t>, the article expressly state</w:t>
      </w:r>
      <w:r w:rsidRPr="00DC4419" w:rsidR="0077207D">
        <w:t xml:space="preserve">d that no suspicion </w:t>
      </w:r>
      <w:r w:rsidRPr="00DC4419" w:rsidR="00110FBD">
        <w:t xml:space="preserve">existed </w:t>
      </w:r>
      <w:r w:rsidRPr="00DC4419" w:rsidR="0077207D">
        <w:t>against her</w:t>
      </w:r>
      <w:r w:rsidRPr="00DC4419" w:rsidR="00D20990">
        <w:t>.</w:t>
      </w:r>
    </w:p>
    <w:p w:rsidR="00DC4419" w:rsidP="00556150" w:rsidRDefault="00470955">
      <w:pPr>
        <w:pStyle w:val="JuPara"/>
      </w:pPr>
      <w:r w:rsidRPr="00DC4419">
        <w:fldChar w:fldCharType="begin"/>
      </w:r>
      <w:r w:rsidRPr="00DC4419">
        <w:instrText xml:space="preserve"> SEQ level0 \*arabic </w:instrText>
      </w:r>
      <w:r w:rsidRPr="00DC4419">
        <w:fldChar w:fldCharType="separate"/>
      </w:r>
      <w:r w:rsidRPr="00DC4419" w:rsidR="00E14680">
        <w:rPr>
          <w:noProof/>
        </w:rPr>
        <w:t>44</w:t>
      </w:r>
      <w:r w:rsidRPr="00DC4419">
        <w:fldChar w:fldCharType="end"/>
      </w:r>
      <w:r w:rsidRPr="00DC4419">
        <w:t>.  </w:t>
      </w:r>
      <w:r w:rsidRPr="00DC4419" w:rsidR="00036F44">
        <w:t xml:space="preserve"> T</w:t>
      </w:r>
      <w:r w:rsidRPr="00DC4419" w:rsidR="00E06481">
        <w:t>he Court</w:t>
      </w:r>
      <w:r w:rsidRPr="00DC4419" w:rsidR="00036F44">
        <w:t xml:space="preserve">, therefore, </w:t>
      </w:r>
      <w:r w:rsidRPr="00DC4419" w:rsidR="00E06481">
        <w:t>fin</w:t>
      </w:r>
      <w:r w:rsidRPr="00DC4419" w:rsidR="00504EB1">
        <w:t>ds that the conclusion that Mrs </w:t>
      </w:r>
      <w:proofErr w:type="spellStart"/>
      <w:r w:rsidRPr="00DC4419" w:rsidR="00E06481">
        <w:t>G</w:t>
      </w:r>
      <w:r w:rsidRPr="00DC4419" w:rsidR="00795F0D">
        <w:t>.</w:t>
      </w:r>
      <w:r w:rsidR="00DC4419">
        <w:t>’</w:t>
      </w:r>
      <w:r w:rsidRPr="00DC4419" w:rsidR="00E06481">
        <w:t>s</w:t>
      </w:r>
      <w:proofErr w:type="spellEnd"/>
      <w:r w:rsidRPr="00DC4419" w:rsidR="00E06481">
        <w:t xml:space="preserve"> comparison with “Bonnie” implied an accusation of her involvement in criminal offences</w:t>
      </w:r>
      <w:r w:rsidRPr="00DC4419" w:rsidR="00C04A76">
        <w:t xml:space="preserve"> far-fetched. </w:t>
      </w:r>
      <w:r w:rsidRPr="00DC4419" w:rsidR="00036F44">
        <w:t>Given the article</w:t>
      </w:r>
      <w:r w:rsidR="00DC4419">
        <w:t>’</w:t>
      </w:r>
      <w:r w:rsidRPr="00DC4419" w:rsidR="00036F44">
        <w:t>s content and ironical style and the fact that the term “Bonnie” was always used together with its correlative “Clyd</w:t>
      </w:r>
      <w:r w:rsidRPr="00DC4419" w:rsidR="00110FBD">
        <w:t xml:space="preserve">e”, the Court rather considers </w:t>
      </w:r>
      <w:r w:rsidRPr="00DC4419" w:rsidR="00036F44">
        <w:t>that the average reader would have understood “Bonnie and Clyde” as a s</w:t>
      </w:r>
      <w:r w:rsidRPr="00DC4419" w:rsidR="00556150">
        <w:t>ynonym for a couple on the run. The Court cannot find that by using this allusion the applicant company transgressed the bounds of acceptable journalism</w:t>
      </w:r>
      <w:r w:rsidRPr="00DC4419" w:rsidR="00110FBD">
        <w:t>. The Court is strengthened in its view by the fact that Mrs G</w:t>
      </w:r>
      <w:r w:rsidRPr="00DC4419" w:rsidR="0029674C">
        <w:t>.</w:t>
      </w:r>
      <w:r w:rsidRPr="00DC4419" w:rsidR="00110FBD">
        <w:t>, by fleeing with Mr R</w:t>
      </w:r>
      <w:r w:rsidRPr="00DC4419" w:rsidR="0029674C">
        <w:t>.</w:t>
      </w:r>
      <w:r w:rsidRPr="00DC4419" w:rsidR="00110FBD">
        <w:t xml:space="preserve"> and subsequently giving interviews on the subject, </w:t>
      </w:r>
      <w:r w:rsidRPr="00DC4419" w:rsidR="00556150">
        <w:t xml:space="preserve">had </w:t>
      </w:r>
      <w:r w:rsidRPr="00DC4419" w:rsidR="00E150FA">
        <w:t xml:space="preserve">entered </w:t>
      </w:r>
      <w:r w:rsidRPr="00DC4419" w:rsidR="00556150">
        <w:t>in</w:t>
      </w:r>
      <w:r w:rsidRPr="00DC4419" w:rsidR="00110FBD">
        <w:t>to</w:t>
      </w:r>
      <w:r w:rsidRPr="00DC4419" w:rsidR="00556150">
        <w:t xml:space="preserve"> the public arena and</w:t>
      </w:r>
      <w:r w:rsidRPr="00DC4419" w:rsidR="00F93682">
        <w:t>, therefore,</w:t>
      </w:r>
      <w:r w:rsidRPr="00DC4419" w:rsidR="00556150">
        <w:t xml:space="preserve"> had to display a higher degree of tolerance</w:t>
      </w:r>
      <w:r w:rsidRPr="00DC4419" w:rsidR="000F24A6">
        <w:t>.</w:t>
      </w:r>
    </w:p>
    <w:p w:rsidR="00DC4419" w:rsidP="00E150FA" w:rsidRDefault="00E150FA">
      <w:pPr>
        <w:pStyle w:val="JuPara"/>
      </w:pPr>
      <w:r w:rsidRPr="00DC4419">
        <w:fldChar w:fldCharType="begin"/>
      </w:r>
      <w:r w:rsidRPr="00DC4419">
        <w:instrText xml:space="preserve"> SEQ level0 \*arabic </w:instrText>
      </w:r>
      <w:r w:rsidRPr="00DC4419">
        <w:fldChar w:fldCharType="separate"/>
      </w:r>
      <w:r w:rsidRPr="00DC4419" w:rsidR="00E14680">
        <w:rPr>
          <w:noProof/>
        </w:rPr>
        <w:t>45</w:t>
      </w:r>
      <w:r w:rsidRPr="00DC4419">
        <w:fldChar w:fldCharType="end"/>
      </w:r>
      <w:r w:rsidRPr="00DC4419">
        <w:t>.  </w:t>
      </w:r>
      <w:r w:rsidRPr="00DC4419" w:rsidR="00701B00">
        <w:t>Thus</w:t>
      </w:r>
      <w:r w:rsidRPr="00DC4419" w:rsidR="00093886">
        <w:t xml:space="preserve">, </w:t>
      </w:r>
      <w:r w:rsidRPr="00DC4419" w:rsidR="000F24A6">
        <w:t xml:space="preserve">in the light of </w:t>
      </w:r>
      <w:r w:rsidRPr="00DC4419" w:rsidR="00093886">
        <w:t>the circumstances of the case as a whole and notwithstanding the national authorities</w:t>
      </w:r>
      <w:r w:rsidR="00DC4419">
        <w:t>’</w:t>
      </w:r>
      <w:r w:rsidRPr="00DC4419" w:rsidR="00093886">
        <w:t xml:space="preserve"> margin of appreciation, the Court considers that the </w:t>
      </w:r>
      <w:r w:rsidRPr="00DC4419" w:rsidR="00482423">
        <w:t xml:space="preserve">conviction of the </w:t>
      </w:r>
      <w:r w:rsidRPr="00DC4419" w:rsidR="00093886">
        <w:t>applicant company</w:t>
      </w:r>
      <w:r w:rsidRPr="00DC4419" w:rsidR="00482423">
        <w:t xml:space="preserve"> under the Media Act</w:t>
      </w:r>
      <w:r w:rsidRPr="00DC4419" w:rsidR="00093886">
        <w:t xml:space="preserve"> was not based on sufficient reasons for the purposes of Article 10. This finding makes it unnecessary for the Court to pursue the Government</w:t>
      </w:r>
      <w:r w:rsidR="00DC4419">
        <w:t>’</w:t>
      </w:r>
      <w:r w:rsidRPr="00DC4419" w:rsidR="00093886">
        <w:t xml:space="preserve">s further argument that, in view of the relatively low amount of compensation </w:t>
      </w:r>
      <w:r w:rsidRPr="00DC4419" w:rsidR="00ED4AD1">
        <w:t xml:space="preserve">which </w:t>
      </w:r>
      <w:r w:rsidRPr="00DC4419" w:rsidR="00093886">
        <w:t>the applicant company was ordered to pay, the Austrian courts</w:t>
      </w:r>
      <w:r w:rsidR="00DC4419">
        <w:t>’</w:t>
      </w:r>
      <w:r w:rsidRPr="00DC4419" w:rsidR="00093886">
        <w:t xml:space="preserve"> decisions could not be regarded as disproportionate.</w:t>
      </w:r>
    </w:p>
    <w:p w:rsidR="00DC4419" w:rsidP="007B67F3" w:rsidRDefault="00E921A8">
      <w:pPr>
        <w:pStyle w:val="JuPara"/>
      </w:pPr>
      <w:r w:rsidRPr="00DC4419">
        <w:fldChar w:fldCharType="begin"/>
      </w:r>
      <w:r w:rsidRPr="00DC4419">
        <w:instrText xml:space="preserve"> SEQ level0 \*arabic </w:instrText>
      </w:r>
      <w:r w:rsidRPr="00DC4419">
        <w:fldChar w:fldCharType="separate"/>
      </w:r>
      <w:r w:rsidRPr="00DC4419" w:rsidR="00E14680">
        <w:rPr>
          <w:noProof/>
        </w:rPr>
        <w:t>46</w:t>
      </w:r>
      <w:r w:rsidRPr="00DC4419">
        <w:fldChar w:fldCharType="end"/>
      </w:r>
      <w:r w:rsidRPr="00DC4419">
        <w:t>.  </w:t>
      </w:r>
      <w:r w:rsidRPr="00DC4419" w:rsidR="007B67F3">
        <w:t xml:space="preserve">As </w:t>
      </w:r>
      <w:r w:rsidRPr="00DC4419" w:rsidR="00ED4AD1">
        <w:t>regards the injunction issued against</w:t>
      </w:r>
      <w:r w:rsidRPr="00DC4419" w:rsidR="007B67F3">
        <w:t xml:space="preserve"> the applicant company under the Copyright Act, the Court notes that the Supreme Court, when prohibiting the publication of Mrs </w:t>
      </w:r>
      <w:proofErr w:type="spellStart"/>
      <w:r w:rsidRPr="00DC4419" w:rsidR="007B67F3">
        <w:t>G</w:t>
      </w:r>
      <w:r w:rsidRPr="00DC4419" w:rsidR="0029674C">
        <w:t>.</w:t>
      </w:r>
      <w:r w:rsidR="00DC4419">
        <w:t>’</w:t>
      </w:r>
      <w:r w:rsidRPr="00DC4419" w:rsidR="007B67F3">
        <w:t>s</w:t>
      </w:r>
      <w:proofErr w:type="spellEnd"/>
      <w:r w:rsidRPr="00DC4419" w:rsidR="007B67F3">
        <w:t xml:space="preserve"> photo, found that in principle the applicant company was entitled to publish the photo, as its interest in publishing it outwe</w:t>
      </w:r>
      <w:r w:rsidRPr="00DC4419" w:rsidR="0029674C">
        <w:t>ighed Mrs</w:t>
      </w:r>
      <w:r w:rsidRPr="00DC4419" w:rsidR="007B67F3">
        <w:t xml:space="preserve"> </w:t>
      </w:r>
      <w:proofErr w:type="spellStart"/>
      <w:r w:rsidRPr="00DC4419" w:rsidR="007B67F3">
        <w:t>G</w:t>
      </w:r>
      <w:r w:rsidRPr="00DC4419" w:rsidR="0029674C">
        <w:t>.</w:t>
      </w:r>
      <w:r w:rsidR="00DC4419">
        <w:t>’</w:t>
      </w:r>
      <w:r w:rsidRPr="00DC4419" w:rsidR="007B67F3">
        <w:t>s</w:t>
      </w:r>
      <w:proofErr w:type="spellEnd"/>
      <w:r w:rsidRPr="00DC4419" w:rsidR="007B67F3">
        <w:t xml:space="preserve"> interest in secrecy. I</w:t>
      </w:r>
      <w:r w:rsidRPr="00DC4419" w:rsidR="0029674C">
        <w:t>t took into account that Mrs</w:t>
      </w:r>
      <w:r w:rsidRPr="00DC4419" w:rsidR="00504EB1">
        <w:t> </w:t>
      </w:r>
      <w:r w:rsidRPr="00DC4419" w:rsidR="007B67F3">
        <w:t>G</w:t>
      </w:r>
      <w:r w:rsidRPr="00DC4419" w:rsidR="0029674C">
        <w:t>. was not simply Mr</w:t>
      </w:r>
      <w:r w:rsidRPr="00DC4419" w:rsidR="007B67F3">
        <w:t xml:space="preserve"> R</w:t>
      </w:r>
      <w:r w:rsidRPr="00DC4419" w:rsidR="0029674C">
        <w:t>.</w:t>
      </w:r>
      <w:r w:rsidR="00DC4419">
        <w:t>’</w:t>
      </w:r>
      <w:r w:rsidRPr="00DC4419" w:rsidR="007B67F3">
        <w:t xml:space="preserve">s </w:t>
      </w:r>
      <w:proofErr w:type="spellStart"/>
      <w:r w:rsidRPr="00DC4419" w:rsidR="007B67F3">
        <w:t>cohabitee</w:t>
      </w:r>
      <w:proofErr w:type="spellEnd"/>
      <w:r w:rsidRPr="00DC4419" w:rsidR="007B67F3">
        <w:t xml:space="preserve"> but had prepared his flight and actually </w:t>
      </w:r>
      <w:r w:rsidRPr="00DC4419" w:rsidR="00110FBD">
        <w:t xml:space="preserve">left </w:t>
      </w:r>
      <w:r w:rsidRPr="00DC4419" w:rsidR="007B67F3">
        <w:t>with him. The Supreme Court only prohibited the publication of Mr</w:t>
      </w:r>
      <w:r w:rsidRPr="00DC4419" w:rsidR="0029674C">
        <w:t>s</w:t>
      </w:r>
      <w:r w:rsidRPr="00DC4419" w:rsidR="00504EB1">
        <w:t> </w:t>
      </w:r>
      <w:proofErr w:type="spellStart"/>
      <w:r w:rsidRPr="00DC4419" w:rsidR="007B67F3">
        <w:t>G</w:t>
      </w:r>
      <w:r w:rsidRPr="00DC4419" w:rsidR="0029674C">
        <w:t>.</w:t>
      </w:r>
      <w:r w:rsidR="00DC4419">
        <w:t>’</w:t>
      </w:r>
      <w:r w:rsidRPr="00DC4419" w:rsidR="007B67F3">
        <w:t>s</w:t>
      </w:r>
      <w:proofErr w:type="spellEnd"/>
      <w:r w:rsidRPr="00DC4419" w:rsidR="007B67F3">
        <w:t xml:space="preserve"> picture in connection with repor</w:t>
      </w:r>
      <w:r w:rsidRPr="00DC4419" w:rsidR="0029674C">
        <w:t>ting on Mrs</w:t>
      </w:r>
      <w:r w:rsidRPr="00DC4419" w:rsidR="007B67F3">
        <w:t xml:space="preserve"> G</w:t>
      </w:r>
      <w:r w:rsidRPr="00DC4419" w:rsidR="0029674C">
        <w:t>. and Mr</w:t>
      </w:r>
      <w:r w:rsidRPr="00DC4419" w:rsidR="007B67F3">
        <w:t xml:space="preserve"> R</w:t>
      </w:r>
      <w:r w:rsidRPr="00DC4419" w:rsidR="0029674C">
        <w:t>.</w:t>
      </w:r>
      <w:r w:rsidRPr="00DC4419" w:rsidR="007B67F3">
        <w:t xml:space="preserve"> as “Bonny and Clyde” on the ground that this could give the impression to the r</w:t>
      </w:r>
      <w:r w:rsidRPr="00DC4419" w:rsidR="0029674C">
        <w:t>eaders of the magazine that Mrs</w:t>
      </w:r>
      <w:r w:rsidRPr="00DC4419" w:rsidR="007B67F3">
        <w:t xml:space="preserve"> G. as “Bonnie” had been involved in the criminal offences of Mr R.</w:t>
      </w:r>
    </w:p>
    <w:p w:rsidR="00DC4419" w:rsidP="007B67F3" w:rsidRDefault="007B67F3">
      <w:pPr>
        <w:pStyle w:val="JuPara"/>
      </w:pPr>
      <w:r w:rsidRPr="00DC4419">
        <w:fldChar w:fldCharType="begin"/>
      </w:r>
      <w:r w:rsidRPr="00DC4419">
        <w:instrText xml:space="preserve"> SEQ level0 \*arabic </w:instrText>
      </w:r>
      <w:r w:rsidRPr="00DC4419">
        <w:fldChar w:fldCharType="separate"/>
      </w:r>
      <w:r w:rsidRPr="00DC4419" w:rsidR="00E14680">
        <w:rPr>
          <w:noProof/>
        </w:rPr>
        <w:t>47</w:t>
      </w:r>
      <w:r w:rsidRPr="00DC4419">
        <w:fldChar w:fldCharType="end"/>
      </w:r>
      <w:r w:rsidRPr="00DC4419">
        <w:t>.  The Court notes that Mrs G</w:t>
      </w:r>
      <w:r w:rsidRPr="00DC4419" w:rsidR="0029674C">
        <w:t>.</w:t>
      </w:r>
      <w:r w:rsidRPr="00DC4419">
        <w:t xml:space="preserve">, </w:t>
      </w:r>
      <w:r w:rsidRPr="00DC4419" w:rsidR="00110FBD">
        <w:t>by accompanying Mr R</w:t>
      </w:r>
      <w:r w:rsidRPr="00DC4419" w:rsidR="0029674C">
        <w:t>.</w:t>
      </w:r>
      <w:r w:rsidRPr="00DC4419" w:rsidR="00110FBD">
        <w:t xml:space="preserve">, a member of parliament whose criminal proceedings were a subject of great public interest, in his escape, </w:t>
      </w:r>
      <w:r w:rsidRPr="00DC4419">
        <w:t>had entered the public arena and</w:t>
      </w:r>
      <w:r w:rsidRPr="00DC4419" w:rsidR="00D77B02">
        <w:t xml:space="preserve"> she</w:t>
      </w:r>
      <w:r w:rsidRPr="00DC4419">
        <w:t xml:space="preserve">, therefore, had </w:t>
      </w:r>
      <w:r w:rsidRPr="00DC4419" w:rsidR="00110FBD">
        <w:t>to bear the consequences of her decision</w:t>
      </w:r>
      <w:r w:rsidRPr="00DC4419">
        <w:t xml:space="preserve"> (see, </w:t>
      </w:r>
      <w:r w:rsidRPr="00DC4419">
        <w:rPr>
          <w:i/>
        </w:rPr>
        <w:t>mutatis mutandis</w:t>
      </w:r>
      <w:r w:rsidRPr="00DC4419">
        <w:t xml:space="preserve">, </w:t>
      </w:r>
      <w:r w:rsidRPr="00DC4419">
        <w:rPr>
          <w:i/>
        </w:rPr>
        <w:t>Kron</w:t>
      </w:r>
      <w:r w:rsidRPr="00DC4419" w:rsidR="00504EB1">
        <w:rPr>
          <w:i/>
        </w:rPr>
        <w:t>e </w:t>
      </w:r>
      <w:r w:rsidRPr="00DC4419">
        <w:rPr>
          <w:i/>
        </w:rPr>
        <w:t>Verlag GmbH &amp; Co. KG v. Austria</w:t>
      </w:r>
      <w:r w:rsidRPr="00DC4419">
        <w:t xml:space="preserve">, </w:t>
      </w:r>
      <w:r w:rsidRPr="00DC4419" w:rsidR="00504EB1">
        <w:t>no. 34315/96, § 37, 26 February </w:t>
      </w:r>
      <w:r w:rsidRPr="00DC4419">
        <w:t>2002). The photo at issue did not</w:t>
      </w:r>
      <w:r w:rsidRPr="00DC4419" w:rsidR="0029674C">
        <w:t xml:space="preserve"> disclose any details of Mrs</w:t>
      </w:r>
      <w:r w:rsidRPr="00DC4419" w:rsidR="00504EB1">
        <w:t> </w:t>
      </w:r>
      <w:proofErr w:type="spellStart"/>
      <w:r w:rsidRPr="00DC4419">
        <w:t>G</w:t>
      </w:r>
      <w:r w:rsidRPr="00DC4419" w:rsidR="0029674C">
        <w:t>.</w:t>
      </w:r>
      <w:r w:rsidR="00DC4419">
        <w:t>’</w:t>
      </w:r>
      <w:r w:rsidRPr="00DC4419" w:rsidR="00504EB1">
        <w:t>s</w:t>
      </w:r>
      <w:proofErr w:type="spellEnd"/>
      <w:r w:rsidRPr="00DC4419">
        <w:t xml:space="preserve"> private life and she had not objected to </w:t>
      </w:r>
      <w:r w:rsidRPr="00DC4419" w:rsidR="00110FBD">
        <w:t>having</w:t>
      </w:r>
      <w:r w:rsidRPr="00DC4419">
        <w:t xml:space="preserve"> it taken. Furthermore, the impugned statem</w:t>
      </w:r>
      <w:r w:rsidRPr="00DC4419" w:rsidR="0029674C">
        <w:t>ents referring to Mrs G. and Mr</w:t>
      </w:r>
      <w:r w:rsidRPr="00DC4419">
        <w:t xml:space="preserve"> R</w:t>
      </w:r>
      <w:r w:rsidRPr="00DC4419" w:rsidR="0029674C">
        <w:t>.</w:t>
      </w:r>
      <w:r w:rsidRPr="00DC4419">
        <w:t xml:space="preserve"> as “Bonnie and Clyde” were not published in the context of a heading or a short text accompanying Mrs </w:t>
      </w:r>
      <w:proofErr w:type="spellStart"/>
      <w:r w:rsidRPr="00DC4419">
        <w:t>G</w:t>
      </w:r>
      <w:r w:rsidRPr="00DC4419" w:rsidR="0029674C">
        <w:t>.</w:t>
      </w:r>
      <w:r w:rsidR="00DC4419">
        <w:t>’</w:t>
      </w:r>
      <w:r w:rsidRPr="00DC4419">
        <w:t>s</w:t>
      </w:r>
      <w:proofErr w:type="spellEnd"/>
      <w:r w:rsidRPr="00DC4419">
        <w:t xml:space="preserve"> photo, but appeared on another page, namely in th</w:t>
      </w:r>
      <w:r w:rsidRPr="00DC4419" w:rsidR="00110FBD">
        <w:t>e text and context of the above-</w:t>
      </w:r>
      <w:r w:rsidRPr="00DC4419">
        <w:t xml:space="preserve">cited article. </w:t>
      </w:r>
      <w:r w:rsidRPr="00DC4419" w:rsidR="00C47F72">
        <w:t>T</w:t>
      </w:r>
      <w:r w:rsidRPr="00DC4419">
        <w:t xml:space="preserve">he Court, for the </w:t>
      </w:r>
      <w:r w:rsidRPr="00DC4419" w:rsidR="00110FBD">
        <w:t xml:space="preserve">reasons </w:t>
      </w:r>
      <w:r w:rsidRPr="00DC4419">
        <w:t xml:space="preserve">given above, </w:t>
      </w:r>
      <w:r w:rsidRPr="00DC4419" w:rsidR="00110FBD">
        <w:t xml:space="preserve">does not share the </w:t>
      </w:r>
      <w:r w:rsidRPr="00DC4419">
        <w:t>Government</w:t>
      </w:r>
      <w:r w:rsidR="00DC4419">
        <w:t>’</w:t>
      </w:r>
      <w:r w:rsidRPr="00DC4419">
        <w:t>s ar</w:t>
      </w:r>
      <w:r w:rsidRPr="00DC4419" w:rsidR="00ED4AD1">
        <w:t>guments that this article misle</w:t>
      </w:r>
      <w:r w:rsidRPr="00DC4419">
        <w:t xml:space="preserve">d the reader as to Mrs </w:t>
      </w:r>
      <w:proofErr w:type="spellStart"/>
      <w:r w:rsidRPr="00DC4419">
        <w:t>G</w:t>
      </w:r>
      <w:r w:rsidRPr="00DC4419" w:rsidR="0029674C">
        <w:t>.</w:t>
      </w:r>
      <w:r w:rsidR="00DC4419">
        <w:t>’</w:t>
      </w:r>
      <w:r w:rsidRPr="00DC4419">
        <w:t>s</w:t>
      </w:r>
      <w:proofErr w:type="spellEnd"/>
      <w:r w:rsidRPr="00DC4419">
        <w:t xml:space="preserve"> impl</w:t>
      </w:r>
      <w:r w:rsidRPr="00DC4419" w:rsidR="00504EB1">
        <w:t>ication in the offences of Mr </w:t>
      </w:r>
      <w:r w:rsidRPr="00DC4419" w:rsidR="00701B00">
        <w:t>R.</w:t>
      </w:r>
      <w:r w:rsidRPr="00DC4419" w:rsidR="00110FBD">
        <w:t xml:space="preserve"> Accordingly</w:t>
      </w:r>
      <w:r w:rsidRPr="00DC4419" w:rsidR="00701B00">
        <w:t>,</w:t>
      </w:r>
      <w:r w:rsidRPr="00DC4419">
        <w:t xml:space="preserve"> the connection with that text does not provide “relevant” and “sufficient” reasons justifying the contested </w:t>
      </w:r>
      <w:r w:rsidRPr="00DC4419" w:rsidR="00ED4AD1">
        <w:t xml:space="preserve">injunction against publishing </w:t>
      </w:r>
      <w:r w:rsidRPr="00DC4419" w:rsidR="00504EB1">
        <w:t>Mrs </w:t>
      </w:r>
      <w:proofErr w:type="spellStart"/>
      <w:r w:rsidRPr="00DC4419">
        <w:t>G</w:t>
      </w:r>
      <w:r w:rsidRPr="00DC4419" w:rsidR="0029674C">
        <w:t>.</w:t>
      </w:r>
      <w:r w:rsidR="00DC4419">
        <w:t>’</w:t>
      </w:r>
      <w:r w:rsidRPr="00DC4419">
        <w:t>s</w:t>
      </w:r>
      <w:proofErr w:type="spellEnd"/>
      <w:r w:rsidRPr="00DC4419">
        <w:t xml:space="preserve"> photo.</w:t>
      </w:r>
    </w:p>
    <w:p w:rsidRPr="00DC4419" w:rsidR="002457AF" w:rsidP="002457AF" w:rsidRDefault="007B67F3">
      <w:pPr>
        <w:pStyle w:val="JuPara"/>
      </w:pPr>
      <w:r w:rsidRPr="00DC4419">
        <w:fldChar w:fldCharType="begin"/>
      </w:r>
      <w:r w:rsidRPr="00DC4419">
        <w:instrText xml:space="preserve"> SEQ level0 \*arabic </w:instrText>
      </w:r>
      <w:r w:rsidRPr="00DC4419">
        <w:fldChar w:fldCharType="separate"/>
      </w:r>
      <w:r w:rsidRPr="00DC4419" w:rsidR="00E14680">
        <w:rPr>
          <w:noProof/>
        </w:rPr>
        <w:t>48</w:t>
      </w:r>
      <w:r w:rsidRPr="00DC4419">
        <w:fldChar w:fldCharType="end"/>
      </w:r>
      <w:r w:rsidRPr="00DC4419">
        <w:t xml:space="preserve">.  In conclusion, the Court finds that the Austrian courts when </w:t>
      </w:r>
      <w:r w:rsidRPr="00DC4419" w:rsidR="00E7397D">
        <w:t xml:space="preserve">convicting the applicant company under the Media Act and </w:t>
      </w:r>
      <w:r w:rsidRPr="00DC4419" w:rsidR="002457AF">
        <w:t>issuing an</w:t>
      </w:r>
      <w:r w:rsidRPr="00DC4419" w:rsidR="00BC7C38">
        <w:t xml:space="preserve"> injunction against</w:t>
      </w:r>
      <w:r w:rsidRPr="00DC4419" w:rsidR="002457AF">
        <w:t xml:space="preserve"> the applicant company under the Copyright Act</w:t>
      </w:r>
      <w:r w:rsidRPr="00DC4419">
        <w:t>, overstepped their margin of appreciation, and that the</w:t>
      </w:r>
      <w:r w:rsidRPr="00DC4419" w:rsidR="00E7397D">
        <w:t>se</w:t>
      </w:r>
      <w:r w:rsidRPr="00DC4419">
        <w:t xml:space="preserve"> measure</w:t>
      </w:r>
      <w:r w:rsidRPr="00DC4419" w:rsidR="00E7397D">
        <w:t>s</w:t>
      </w:r>
      <w:r w:rsidRPr="00DC4419">
        <w:t xml:space="preserve"> </w:t>
      </w:r>
      <w:r w:rsidRPr="00DC4419" w:rsidR="00E7397D">
        <w:t>were</w:t>
      </w:r>
      <w:r w:rsidRPr="00DC4419">
        <w:t xml:space="preserve"> not necessary in a democratic society. </w:t>
      </w:r>
      <w:r w:rsidRPr="00DC4419" w:rsidR="00BC7C38">
        <w:t>T</w:t>
      </w:r>
      <w:r w:rsidRPr="00DC4419" w:rsidR="007A56A6">
        <w:t>here has</w:t>
      </w:r>
      <w:r w:rsidRPr="00DC4419" w:rsidR="00ED4AD1">
        <w:t>, therefore,</w:t>
      </w:r>
      <w:r w:rsidRPr="00DC4419" w:rsidR="007A56A6">
        <w:t xml:space="preserve"> been a violation of </w:t>
      </w:r>
      <w:bookmarkStart w:name="HIT41" w:id="3"/>
      <w:bookmarkEnd w:id="3"/>
      <w:r w:rsidRPr="00DC4419" w:rsidR="007A56A6">
        <w:rPr>
          <w:rFonts w:ascii="Times New (W1)" w:hAnsi="Times New (W1)"/>
          <w:bCs/>
          <w:szCs w:val="24"/>
        </w:rPr>
        <w:t>Article</w:t>
      </w:r>
      <w:bookmarkStart w:name="HIT42" w:id="4"/>
      <w:bookmarkEnd w:id="4"/>
      <w:r w:rsidRPr="00DC4419" w:rsidR="00504EB1">
        <w:rPr>
          <w:rFonts w:ascii="Times New (W1)" w:hAnsi="Times New (W1)"/>
          <w:szCs w:val="24"/>
        </w:rPr>
        <w:t> </w:t>
      </w:r>
      <w:r w:rsidRPr="00DC4419" w:rsidR="007A56A6">
        <w:rPr>
          <w:rFonts w:ascii="Times New (W1)" w:hAnsi="Times New (W1)"/>
          <w:bCs/>
          <w:szCs w:val="24"/>
        </w:rPr>
        <w:t>10</w:t>
      </w:r>
      <w:r w:rsidRPr="00DC4419" w:rsidR="007A56A6">
        <w:t xml:space="preserve"> of the Convention.</w:t>
      </w:r>
    </w:p>
    <w:p w:rsidRPr="00DC4419" w:rsidR="00CD49A7" w:rsidP="002457AF" w:rsidRDefault="00A1211D">
      <w:pPr>
        <w:pStyle w:val="JuHIRoman"/>
      </w:pPr>
      <w:r w:rsidRPr="00DC4419">
        <w:t>II</w:t>
      </w:r>
      <w:r w:rsidRPr="00DC4419" w:rsidR="00CD49A7">
        <w:t>.  APPLICATION OF ARTICLE 41 OF THE CONVENTION</w:t>
      </w:r>
    </w:p>
    <w:p w:rsidRPr="00DC4419" w:rsidR="00CD49A7" w:rsidRDefault="00D66E13">
      <w:pPr>
        <w:pStyle w:val="JuPara"/>
        <w:keepNext/>
        <w:keepLines/>
      </w:pPr>
      <w:r w:rsidRPr="00DC4419">
        <w:fldChar w:fldCharType="begin"/>
      </w:r>
      <w:r w:rsidRPr="00DC4419">
        <w:instrText xml:space="preserve"> SEQ level0 \*arabic </w:instrText>
      </w:r>
      <w:r w:rsidRPr="00DC4419">
        <w:fldChar w:fldCharType="separate"/>
      </w:r>
      <w:r w:rsidRPr="00DC4419" w:rsidR="00E14680">
        <w:rPr>
          <w:noProof/>
        </w:rPr>
        <w:t>49</w:t>
      </w:r>
      <w:r w:rsidRPr="00DC4419">
        <w:fldChar w:fldCharType="end"/>
      </w:r>
      <w:r w:rsidRPr="00DC4419" w:rsidR="00CD49A7">
        <w:t>.  Article 41 of the Convention provides:</w:t>
      </w:r>
    </w:p>
    <w:p w:rsidRPr="00DC4419" w:rsidR="00CD49A7" w:rsidRDefault="00CD49A7">
      <w:pPr>
        <w:pStyle w:val="JuQuot"/>
        <w:keepNext/>
        <w:keepLines/>
      </w:pPr>
      <w:r w:rsidRPr="00DC441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DC4419" w:rsidR="00CD49A7" w:rsidP="002D6BC9" w:rsidRDefault="00CD49A7">
      <w:pPr>
        <w:pStyle w:val="JuHA"/>
        <w:numPr>
          <w:ilvl w:val="0"/>
          <w:numId w:val="33"/>
        </w:numPr>
      </w:pPr>
      <w:r w:rsidRPr="00DC4419">
        <w:t>Damage</w:t>
      </w:r>
    </w:p>
    <w:p w:rsidR="00DC4419" w:rsidP="002D6BC9" w:rsidRDefault="007C07E5">
      <w:pPr>
        <w:pStyle w:val="JuH1"/>
      </w:pPr>
      <w:r w:rsidRPr="00DC4419">
        <w:t>1</w:t>
      </w:r>
      <w:r w:rsidRPr="00DC4419" w:rsidR="002D6BC9">
        <w:t>. Proceedings under the Media Act</w:t>
      </w:r>
    </w:p>
    <w:p w:rsidR="00DC4419" w:rsidP="00981B4E" w:rsidRDefault="00760B1F">
      <w:pPr>
        <w:pStyle w:val="JuPara"/>
      </w:pPr>
      <w:r w:rsidRPr="00DC4419">
        <w:fldChar w:fldCharType="begin"/>
      </w:r>
      <w:r w:rsidRPr="00DC4419">
        <w:instrText xml:space="preserve"> SEQ level0 \*arabic </w:instrText>
      </w:r>
      <w:r w:rsidRPr="00DC4419">
        <w:fldChar w:fldCharType="separate"/>
      </w:r>
      <w:r w:rsidRPr="00DC4419" w:rsidR="00E14680">
        <w:rPr>
          <w:noProof/>
        </w:rPr>
        <w:t>50</w:t>
      </w:r>
      <w:r w:rsidRPr="00DC4419">
        <w:fldChar w:fldCharType="end"/>
      </w:r>
      <w:r w:rsidRPr="00DC4419">
        <w:t>.  </w:t>
      </w:r>
      <w:r w:rsidRPr="00DC4419" w:rsidR="002D6BC9">
        <w:t>T</w:t>
      </w:r>
      <w:r w:rsidRPr="00DC4419">
        <w:t xml:space="preserve">he applicant company claimed </w:t>
      </w:r>
      <w:r w:rsidRPr="00DC4419" w:rsidR="00B25350">
        <w:t>a total of 10,811</w:t>
      </w:r>
      <w:r w:rsidRPr="00DC4419" w:rsidR="00981B4E">
        <w:t xml:space="preserve">.87 </w:t>
      </w:r>
      <w:r w:rsidRPr="00DC4419" w:rsidR="00A92CAC">
        <w:t>euros (EUR) for pecuniary damage. This amou</w:t>
      </w:r>
      <w:r w:rsidRPr="00DC4419" w:rsidR="00981B4E">
        <w:t xml:space="preserve">nt consisted of EUR 1,453.46 in respect </w:t>
      </w:r>
      <w:r w:rsidRPr="00DC4419" w:rsidR="004A59A0">
        <w:t xml:space="preserve">of </w:t>
      </w:r>
      <w:r w:rsidRPr="00DC4419" w:rsidR="00981B4E">
        <w:t xml:space="preserve">the compensation it was ordered to pay, EUR 3,909.56 in respect of reimbursement of </w:t>
      </w:r>
      <w:r w:rsidRPr="00DC4419" w:rsidR="007C07E5">
        <w:t xml:space="preserve">Mrs </w:t>
      </w:r>
      <w:proofErr w:type="spellStart"/>
      <w:r w:rsidRPr="00DC4419" w:rsidR="007C07E5">
        <w:t>G</w:t>
      </w:r>
      <w:r w:rsidRPr="00DC4419" w:rsidR="0029674C">
        <w:t>.</w:t>
      </w:r>
      <w:r w:rsidR="00DC4419">
        <w:t>’</w:t>
      </w:r>
      <w:r w:rsidRPr="00DC4419" w:rsidR="00981B4E">
        <w:t>s</w:t>
      </w:r>
      <w:proofErr w:type="spellEnd"/>
      <w:r w:rsidRPr="00DC4419" w:rsidR="00981B4E">
        <w:t xml:space="preserve"> costs incurred in t</w:t>
      </w:r>
      <w:r w:rsidRPr="00DC4419" w:rsidR="00F83940">
        <w:t>he domestic proceedings and EUR </w:t>
      </w:r>
      <w:r w:rsidRPr="00DC4419" w:rsidR="00981B4E">
        <w:t xml:space="preserve">5,448.85 for the </w:t>
      </w:r>
      <w:r w:rsidRPr="00DC4419" w:rsidR="007C07E5">
        <w:t xml:space="preserve">loss of advertising income due to the </w:t>
      </w:r>
      <w:r w:rsidRPr="00DC4419" w:rsidR="00ED4AD1">
        <w:t>publication</w:t>
      </w:r>
      <w:r w:rsidRPr="00DC4419" w:rsidR="00981B4E">
        <w:t xml:space="preserve"> </w:t>
      </w:r>
      <w:r w:rsidRPr="00DC4419" w:rsidR="007C07E5">
        <w:t xml:space="preserve">of extracts of </w:t>
      </w:r>
      <w:r w:rsidRPr="00DC4419" w:rsidR="00981B4E">
        <w:t>the judgment</w:t>
      </w:r>
      <w:r w:rsidRPr="00DC4419" w:rsidR="003165B2">
        <w:t xml:space="preserve"> </w:t>
      </w:r>
      <w:r w:rsidRPr="00DC4419" w:rsidR="007C07E5">
        <w:t>in its magazine “</w:t>
      </w:r>
      <w:proofErr w:type="spellStart"/>
      <w:r w:rsidRPr="00DC4419" w:rsidR="007C07E5">
        <w:t>Profil</w:t>
      </w:r>
      <w:proofErr w:type="spellEnd"/>
      <w:r w:rsidRPr="00DC4419" w:rsidR="007C07E5">
        <w:t>”</w:t>
      </w:r>
      <w:r w:rsidRPr="00DC4419" w:rsidR="00981B4E">
        <w:t xml:space="preserve">. </w:t>
      </w:r>
      <w:r w:rsidRPr="00DC4419" w:rsidR="00EF653E">
        <w:t>The applicant company further claimed EUR 5,448.85 in respect of non-pecuniary damage for the loss of reputation suffered from the publication of the judgment.</w:t>
      </w:r>
    </w:p>
    <w:p w:rsidRPr="00DC4419" w:rsidR="00EF653E" w:rsidP="008E2DC4" w:rsidRDefault="002D6BC9">
      <w:pPr>
        <w:pStyle w:val="JuPara"/>
      </w:pPr>
      <w:r w:rsidRPr="00DC4419">
        <w:fldChar w:fldCharType="begin"/>
      </w:r>
      <w:r w:rsidRPr="00DC4419">
        <w:instrText xml:space="preserve"> SEQ level0 \*arabic </w:instrText>
      </w:r>
      <w:r w:rsidRPr="00DC4419">
        <w:fldChar w:fldCharType="separate"/>
      </w:r>
      <w:r w:rsidRPr="00DC4419" w:rsidR="00E14680">
        <w:rPr>
          <w:noProof/>
        </w:rPr>
        <w:t>51</w:t>
      </w:r>
      <w:r w:rsidRPr="00DC4419">
        <w:fldChar w:fldCharType="end"/>
      </w:r>
      <w:r w:rsidRPr="00DC4419">
        <w:t>.  </w:t>
      </w:r>
      <w:r w:rsidRPr="00DC4419" w:rsidR="00EF653E">
        <w:t xml:space="preserve">The Government contested that the applicant company </w:t>
      </w:r>
      <w:r w:rsidRPr="00DC4419" w:rsidR="007C07E5">
        <w:t>could claim any damage</w:t>
      </w:r>
      <w:r w:rsidRPr="00DC4419" w:rsidR="00ED4AD1">
        <w:t>s</w:t>
      </w:r>
      <w:r w:rsidRPr="00DC4419" w:rsidR="007C07E5">
        <w:t xml:space="preserve"> for </w:t>
      </w:r>
      <w:r w:rsidRPr="00DC4419" w:rsidR="00EF653E">
        <w:t xml:space="preserve">publishing the judgment since the publication was made in a weekly magazine issued by the applicant company itself. They </w:t>
      </w:r>
      <w:r w:rsidRPr="00DC4419" w:rsidR="008E2DC4">
        <w:t xml:space="preserve">further </w:t>
      </w:r>
      <w:r w:rsidRPr="00DC4419" w:rsidR="00ED4AD1">
        <w:t>contend</w:t>
      </w:r>
      <w:r w:rsidRPr="00DC4419" w:rsidR="00EF653E">
        <w:t>ed that the amount claimed was</w:t>
      </w:r>
      <w:r w:rsidRPr="00DC4419" w:rsidR="008E2DC4">
        <w:t>, in any event, excessive, in particular as the applicant company had included in its calculation the costs of the announcement of the publication in the magazine</w:t>
      </w:r>
      <w:r w:rsidR="00DC4419">
        <w:t>’</w:t>
      </w:r>
      <w:r w:rsidRPr="00DC4419" w:rsidR="008E2DC4">
        <w:t>s table of content</w:t>
      </w:r>
      <w:r w:rsidRPr="00DC4419" w:rsidR="00ED4AD1">
        <w:t>s</w:t>
      </w:r>
      <w:r w:rsidRPr="00DC4419" w:rsidR="008E2DC4">
        <w:t xml:space="preserve"> and the costs of the publication of its own commentary on the judgment. As regards the claim for non-pecuniary damage, they </w:t>
      </w:r>
      <w:r w:rsidRPr="00DC4419" w:rsidR="00ED4AD1">
        <w:t>contend</w:t>
      </w:r>
      <w:r w:rsidRPr="00DC4419" w:rsidR="008C12D6">
        <w:t xml:space="preserve">ed that the finding of a violation provided sufficient </w:t>
      </w:r>
      <w:r w:rsidRPr="00DC4419" w:rsidR="000C051D">
        <w:t xml:space="preserve">just </w:t>
      </w:r>
      <w:r w:rsidRPr="00DC4419" w:rsidR="008C12D6">
        <w:t xml:space="preserve">satisfaction. </w:t>
      </w:r>
      <w:r w:rsidRPr="00DC4419" w:rsidR="00EB00BF">
        <w:t>They did not comment on the other claims.</w:t>
      </w:r>
    </w:p>
    <w:p w:rsidR="00DC4419" w:rsidP="00EB00BF" w:rsidRDefault="008C12D6">
      <w:pPr>
        <w:pStyle w:val="JuPara"/>
      </w:pPr>
      <w:r w:rsidRPr="00DC4419">
        <w:fldChar w:fldCharType="begin"/>
      </w:r>
      <w:r w:rsidRPr="00DC4419">
        <w:instrText xml:space="preserve"> SEQ level0 \*arabic </w:instrText>
      </w:r>
      <w:r w:rsidRPr="00DC4419">
        <w:fldChar w:fldCharType="separate"/>
      </w:r>
      <w:r w:rsidRPr="00DC4419" w:rsidR="00E14680">
        <w:rPr>
          <w:noProof/>
        </w:rPr>
        <w:t>52</w:t>
      </w:r>
      <w:r w:rsidRPr="00DC4419">
        <w:fldChar w:fldCharType="end"/>
      </w:r>
      <w:r w:rsidRPr="00DC4419">
        <w:t>.  </w:t>
      </w:r>
      <w:r w:rsidRPr="00DC4419" w:rsidR="00D62DA8">
        <w:t>Having regard to the direct link between the applicant company</w:t>
      </w:r>
      <w:r w:rsidR="00DC4419">
        <w:t>’</w:t>
      </w:r>
      <w:r w:rsidRPr="00DC4419" w:rsidR="00D62DA8">
        <w:t>s claim concerning reimbursement of the compensation and the costs of the domestic proceedings it was ordered to pay to Mrs G</w:t>
      </w:r>
      <w:r w:rsidRPr="00DC4419" w:rsidR="0029674C">
        <w:t>.</w:t>
      </w:r>
      <w:r w:rsidRPr="00DC4419" w:rsidR="00D62DA8">
        <w:t xml:space="preserve"> in the domestic proceedings and the violation of Article 10 found by the Court, the Court finds that applicant company is entitled to re</w:t>
      </w:r>
      <w:r w:rsidRPr="00DC4419" w:rsidR="00DC30CD">
        <w:t>cover the full amount of 5,363.0</w:t>
      </w:r>
      <w:r w:rsidRPr="00DC4419" w:rsidR="00F83940">
        <w:t>2 </w:t>
      </w:r>
      <w:r w:rsidRPr="00DC4419" w:rsidR="00D62DA8">
        <w:t>EUR in this respect. The Court further considers that there is also a direct link between the applicant company</w:t>
      </w:r>
      <w:r w:rsidR="00DC4419">
        <w:t>’</w:t>
      </w:r>
      <w:r w:rsidRPr="00DC4419" w:rsidR="00D62DA8">
        <w:t>s claim for loss of advertisement income due to the publication</w:t>
      </w:r>
      <w:r w:rsidRPr="00DC4419" w:rsidR="003A7897">
        <w:t>s</w:t>
      </w:r>
      <w:r w:rsidRPr="00DC4419" w:rsidR="00D62DA8">
        <w:t xml:space="preserve"> </w:t>
      </w:r>
      <w:r w:rsidRPr="00DC4419" w:rsidR="003A7897">
        <w:t xml:space="preserve">made in its magazine </w:t>
      </w:r>
      <w:r w:rsidRPr="00DC4419" w:rsidR="00D62DA8">
        <w:t xml:space="preserve">and the violation found (see </w:t>
      </w:r>
      <w:r w:rsidRPr="00DC4419" w:rsidR="00D62DA8">
        <w:rPr>
          <w:i/>
        </w:rPr>
        <w:t>mutatis mutandis</w:t>
      </w:r>
      <w:r w:rsidRPr="00DC4419" w:rsidR="00D62DA8">
        <w:t xml:space="preserve"> </w:t>
      </w:r>
      <w:r w:rsidRPr="00DC4419" w:rsidR="00D62DA8">
        <w:rPr>
          <w:i/>
          <w:lang w:eastAsia="en-US"/>
        </w:rPr>
        <w:t>Scharsach and News Verlagsges</w:t>
      </w:r>
      <w:r w:rsidRPr="00DC4419" w:rsidR="00F83940">
        <w:rPr>
          <w:i/>
          <w:lang w:eastAsia="en-US"/>
        </w:rPr>
        <w:t>ellschaft v. </w:t>
      </w:r>
      <w:r w:rsidRPr="00DC4419" w:rsidR="00D62DA8">
        <w:rPr>
          <w:i/>
          <w:lang w:eastAsia="en-US"/>
        </w:rPr>
        <w:t>Austria</w:t>
      </w:r>
      <w:r w:rsidRPr="00DC4419" w:rsidR="00F83940">
        <w:rPr>
          <w:lang w:eastAsia="en-US"/>
        </w:rPr>
        <w:t>, no. </w:t>
      </w:r>
      <w:r w:rsidRPr="00DC4419" w:rsidR="00D62DA8">
        <w:rPr>
          <w:lang w:eastAsia="en-US"/>
        </w:rPr>
        <w:t>39394/98, § 50, ECHR 2003</w:t>
      </w:r>
      <w:r w:rsidRPr="00DC4419" w:rsidR="00D62DA8">
        <w:rPr>
          <w:lang w:eastAsia="en-US"/>
        </w:rPr>
        <w:noBreakHyphen/>
        <w:t>XI</w:t>
      </w:r>
      <w:r w:rsidRPr="00DC4419" w:rsidR="00D62DA8">
        <w:t>)</w:t>
      </w:r>
      <w:r w:rsidRPr="00DC4419" w:rsidR="003A7897">
        <w:t xml:space="preserve">. The Court, however, agrees with the Government that the claim appears excessive insofar as it </w:t>
      </w:r>
      <w:r w:rsidRPr="00DC4419" w:rsidR="00DC30CD">
        <w:t xml:space="preserve">also </w:t>
      </w:r>
      <w:r w:rsidRPr="00DC4419" w:rsidR="003A7897">
        <w:t>includes costs for the a</w:t>
      </w:r>
      <w:r w:rsidRPr="00DC4419" w:rsidR="00ED4AD1">
        <w:t>nnouncement of the publication i</w:t>
      </w:r>
      <w:r w:rsidRPr="00DC4419" w:rsidR="003A7897">
        <w:t>n the magazine</w:t>
      </w:r>
      <w:r w:rsidR="00DC4419">
        <w:t>’</w:t>
      </w:r>
      <w:r w:rsidRPr="00DC4419" w:rsidR="003A7897">
        <w:t>s table of content</w:t>
      </w:r>
      <w:r w:rsidRPr="00DC4419" w:rsidR="00ED4AD1">
        <w:t>s</w:t>
      </w:r>
      <w:r w:rsidRPr="00DC4419" w:rsidR="003A7897">
        <w:t xml:space="preserve">. The Court, therefore, </w:t>
      </w:r>
      <w:r w:rsidRPr="00DC4419" w:rsidR="00EB00BF">
        <w:t>having deducted these costs from the sum claimed, awards 4</w:t>
      </w:r>
      <w:r w:rsidRPr="00DC4419" w:rsidR="00DC30CD">
        <w:t>,</w:t>
      </w:r>
      <w:r w:rsidRPr="00DC4419" w:rsidR="00EB00BF">
        <w:t>761.91 EUR in this respect.</w:t>
      </w:r>
    </w:p>
    <w:p w:rsidRPr="00DC4419" w:rsidR="00490A76" w:rsidP="00EB00BF" w:rsidRDefault="00EB00BF">
      <w:pPr>
        <w:pStyle w:val="JuPara"/>
      </w:pPr>
      <w:r w:rsidRPr="00DC4419">
        <w:fldChar w:fldCharType="begin"/>
      </w:r>
      <w:r w:rsidRPr="00DC4419">
        <w:instrText xml:space="preserve"> SEQ level0 \*arabic </w:instrText>
      </w:r>
      <w:r w:rsidRPr="00DC4419">
        <w:fldChar w:fldCharType="separate"/>
      </w:r>
      <w:r w:rsidRPr="00DC4419" w:rsidR="00E14680">
        <w:rPr>
          <w:noProof/>
        </w:rPr>
        <w:t>53</w:t>
      </w:r>
      <w:r w:rsidRPr="00DC4419">
        <w:fldChar w:fldCharType="end"/>
      </w:r>
      <w:r w:rsidRPr="00DC4419">
        <w:t>.  </w:t>
      </w:r>
      <w:r w:rsidRPr="00DC4419" w:rsidR="00490A76">
        <w:t>As regards the applicant company</w:t>
      </w:r>
      <w:r w:rsidR="00DC4419">
        <w:t>’</w:t>
      </w:r>
      <w:r w:rsidRPr="00DC4419" w:rsidR="00490A76">
        <w:t xml:space="preserve">s claim for </w:t>
      </w:r>
      <w:r w:rsidRPr="00DC4419" w:rsidR="00A146F5">
        <w:t>non-</w:t>
      </w:r>
      <w:r w:rsidRPr="00DC4419" w:rsidR="00490A76">
        <w:t>pecuniary damage, the Court finds, like the Government, that the finding of a violation constitutes in itself sufficient just satisfaction.</w:t>
      </w:r>
    </w:p>
    <w:p w:rsidRPr="00DC4419" w:rsidR="002D6BC9" w:rsidP="002663A5" w:rsidRDefault="007C07E5">
      <w:pPr>
        <w:pStyle w:val="JuH1"/>
      </w:pPr>
      <w:r w:rsidRPr="00DC4419">
        <w:t>2</w:t>
      </w:r>
      <w:r w:rsidRPr="00DC4419" w:rsidR="00E44D0C">
        <w:t xml:space="preserve">. </w:t>
      </w:r>
      <w:r w:rsidRPr="00DC4419" w:rsidR="004A59A0">
        <w:t>Proceedings under the Copyright Act</w:t>
      </w:r>
    </w:p>
    <w:p w:rsidR="00DC4419" w:rsidP="004A59A0" w:rsidRDefault="004A59A0">
      <w:pPr>
        <w:pStyle w:val="JuPara"/>
      </w:pPr>
      <w:r w:rsidRPr="00DC4419">
        <w:fldChar w:fldCharType="begin"/>
      </w:r>
      <w:r w:rsidRPr="00DC4419">
        <w:instrText xml:space="preserve"> SEQ level0 \*arabic </w:instrText>
      </w:r>
      <w:r w:rsidRPr="00DC4419">
        <w:fldChar w:fldCharType="separate"/>
      </w:r>
      <w:r w:rsidRPr="00DC4419" w:rsidR="00E14680">
        <w:rPr>
          <w:noProof/>
        </w:rPr>
        <w:t>54</w:t>
      </w:r>
      <w:r w:rsidRPr="00DC4419">
        <w:fldChar w:fldCharType="end"/>
      </w:r>
      <w:r w:rsidRPr="00DC4419">
        <w:t>.  The applicant company claimed pecuni</w:t>
      </w:r>
      <w:r w:rsidRPr="00DC4419" w:rsidR="00F83940">
        <w:t>ary damage in the amount of EUR </w:t>
      </w:r>
      <w:r w:rsidRPr="00DC4419">
        <w:t xml:space="preserve">1,230.71 in respect of the reimbursement of </w:t>
      </w:r>
      <w:r w:rsidRPr="00DC4419" w:rsidR="00DC30CD">
        <w:t>M</w:t>
      </w:r>
      <w:r w:rsidRPr="00DC4419" w:rsidR="00A769F9">
        <w:t>r</w:t>
      </w:r>
      <w:r w:rsidRPr="00DC4419" w:rsidR="00DC30CD">
        <w:t xml:space="preserve">s </w:t>
      </w:r>
      <w:proofErr w:type="spellStart"/>
      <w:r w:rsidRPr="00DC4419" w:rsidR="00DC30CD">
        <w:t>G</w:t>
      </w:r>
      <w:r w:rsidRPr="00DC4419" w:rsidR="0029674C">
        <w:t>.</w:t>
      </w:r>
      <w:r w:rsidR="00DC4419">
        <w:t>’</w:t>
      </w:r>
      <w:r w:rsidRPr="00DC4419" w:rsidR="00DC30CD">
        <w:t>s</w:t>
      </w:r>
      <w:proofErr w:type="spellEnd"/>
      <w:r w:rsidRPr="00DC4419" w:rsidR="00DC30CD">
        <w:t xml:space="preserve"> </w:t>
      </w:r>
      <w:r w:rsidRPr="00DC4419">
        <w:t>costs incurred in the domestic proceedings.</w:t>
      </w:r>
    </w:p>
    <w:p w:rsidRPr="00DC4419" w:rsidR="00EB00BF" w:rsidP="004A59A0" w:rsidRDefault="008C12D6">
      <w:pPr>
        <w:pStyle w:val="JuPara"/>
      </w:pPr>
      <w:r w:rsidRPr="00DC4419">
        <w:fldChar w:fldCharType="begin"/>
      </w:r>
      <w:r w:rsidRPr="00DC4419">
        <w:instrText xml:space="preserve"> SEQ level0 \*arabic </w:instrText>
      </w:r>
      <w:r w:rsidRPr="00DC4419">
        <w:fldChar w:fldCharType="separate"/>
      </w:r>
      <w:r w:rsidRPr="00DC4419" w:rsidR="00E14680">
        <w:rPr>
          <w:noProof/>
        </w:rPr>
        <w:t>55</w:t>
      </w:r>
      <w:r w:rsidRPr="00DC4419">
        <w:fldChar w:fldCharType="end"/>
      </w:r>
      <w:r w:rsidRPr="00DC4419">
        <w:t>.  The Government a</w:t>
      </w:r>
      <w:r w:rsidRPr="00DC4419" w:rsidR="000D5686">
        <w:t>ccepted</w:t>
      </w:r>
      <w:r w:rsidRPr="00DC4419">
        <w:t xml:space="preserve"> these costs</w:t>
      </w:r>
      <w:r w:rsidRPr="00DC4419" w:rsidR="00EB00BF">
        <w:t>.</w:t>
      </w:r>
    </w:p>
    <w:p w:rsidRPr="00DC4419" w:rsidR="00550AB6" w:rsidP="004A59A0" w:rsidRDefault="00550AB6">
      <w:pPr>
        <w:pStyle w:val="JuPara"/>
      </w:pPr>
      <w:r w:rsidRPr="00DC4419">
        <w:fldChar w:fldCharType="begin"/>
      </w:r>
      <w:r w:rsidRPr="00DC4419">
        <w:instrText xml:space="preserve"> SEQ level0 \*arabic </w:instrText>
      </w:r>
      <w:r w:rsidRPr="00DC4419">
        <w:fldChar w:fldCharType="separate"/>
      </w:r>
      <w:r w:rsidRPr="00DC4419" w:rsidR="00E14680">
        <w:rPr>
          <w:noProof/>
        </w:rPr>
        <w:t>56</w:t>
      </w:r>
      <w:r w:rsidRPr="00DC4419">
        <w:fldChar w:fldCharType="end"/>
      </w:r>
      <w:r w:rsidRPr="00DC4419">
        <w:t>.  </w:t>
      </w:r>
      <w:r w:rsidRPr="00DC4419" w:rsidR="00E44D0C">
        <w:t>The Court observes that the applicant company has furnished proof that it actually paid the above sum and that payment of the sum in question was a direct consequence of</w:t>
      </w:r>
      <w:r w:rsidRPr="00DC4419" w:rsidR="00B03959">
        <w:t xml:space="preserve"> the court</w:t>
      </w:r>
      <w:r w:rsidR="00DC4419">
        <w:t>’</w:t>
      </w:r>
      <w:r w:rsidRPr="00DC4419" w:rsidR="00B03959">
        <w:t>s decisions in injunction proceedings</w:t>
      </w:r>
      <w:r w:rsidRPr="00DC4419" w:rsidR="00E44D0C">
        <w:t xml:space="preserve">, which the Court has found to be in breach of </w:t>
      </w:r>
      <w:bookmarkStart w:name="HIT39" w:id="5"/>
      <w:bookmarkEnd w:id="5"/>
      <w:r w:rsidRPr="00DC4419" w:rsidR="00E44D0C">
        <w:rPr>
          <w:rFonts w:ascii="Times New (W1)" w:hAnsi="Times New (W1)"/>
          <w:bCs/>
          <w:szCs w:val="24"/>
        </w:rPr>
        <w:t>Article</w:t>
      </w:r>
      <w:r w:rsidRPr="00DC4419" w:rsidR="00E44D0C">
        <w:rPr>
          <w:rFonts w:ascii="Times New (W1)" w:hAnsi="Times New (W1)"/>
          <w:szCs w:val="24"/>
        </w:rPr>
        <w:t xml:space="preserve"> </w:t>
      </w:r>
      <w:bookmarkStart w:name="HIT40" w:id="6"/>
      <w:bookmarkEnd w:id="6"/>
      <w:r w:rsidRPr="00DC4419" w:rsidR="00E44D0C">
        <w:rPr>
          <w:rFonts w:ascii="Times New (W1)" w:hAnsi="Times New (W1)"/>
          <w:bCs/>
          <w:szCs w:val="24"/>
        </w:rPr>
        <w:t>10</w:t>
      </w:r>
      <w:r w:rsidRPr="00DC4419" w:rsidR="00E44D0C">
        <w:t xml:space="preserve"> of the Convention. The Court considers the claim justified and, consequently, awards the full amount, namely 1,230.71 EUR.</w:t>
      </w:r>
    </w:p>
    <w:p w:rsidRPr="00DC4419" w:rsidR="000C051D" w:rsidP="000C051D" w:rsidRDefault="000C051D">
      <w:pPr>
        <w:pStyle w:val="JuH1"/>
      </w:pPr>
      <w:r w:rsidRPr="00DC4419">
        <w:t>3. Total award</w:t>
      </w:r>
    </w:p>
    <w:p w:rsidRPr="00DC4419" w:rsidR="00B03959" w:rsidP="00B03959" w:rsidRDefault="00B03959">
      <w:pPr>
        <w:pStyle w:val="JuPara"/>
      </w:pPr>
      <w:r w:rsidRPr="00DC4419">
        <w:fldChar w:fldCharType="begin"/>
      </w:r>
      <w:r w:rsidRPr="00DC4419">
        <w:instrText xml:space="preserve"> SEQ level0 \*arabic </w:instrText>
      </w:r>
      <w:r w:rsidRPr="00DC4419">
        <w:fldChar w:fldCharType="separate"/>
      </w:r>
      <w:r w:rsidRPr="00DC4419" w:rsidR="00E14680">
        <w:rPr>
          <w:noProof/>
        </w:rPr>
        <w:t>57</w:t>
      </w:r>
      <w:r w:rsidRPr="00DC4419">
        <w:fldChar w:fldCharType="end"/>
      </w:r>
      <w:r w:rsidRPr="00DC4419">
        <w:t>.  The Court</w:t>
      </w:r>
      <w:r w:rsidRPr="00DC4419" w:rsidR="00EB00BF">
        <w:t>,</w:t>
      </w:r>
      <w:r w:rsidRPr="00DC4419">
        <w:t xml:space="preserve"> thus</w:t>
      </w:r>
      <w:r w:rsidRPr="00DC4419" w:rsidR="00EB00BF">
        <w:t>,</w:t>
      </w:r>
      <w:r w:rsidRPr="00DC4419">
        <w:t xml:space="preserve"> awards the total amount of </w:t>
      </w:r>
      <w:r w:rsidRPr="00DC4419" w:rsidR="00EB00BF">
        <w:t>11,355.64</w:t>
      </w:r>
      <w:r w:rsidRPr="00DC4419">
        <w:t xml:space="preserve"> EUR in respect of pecuniary damage.</w:t>
      </w:r>
    </w:p>
    <w:p w:rsidRPr="00DC4419" w:rsidR="00CD49A7" w:rsidP="002D6BC9" w:rsidRDefault="00CD49A7">
      <w:pPr>
        <w:pStyle w:val="JuHA"/>
        <w:numPr>
          <w:ilvl w:val="0"/>
          <w:numId w:val="33"/>
        </w:numPr>
      </w:pPr>
      <w:r w:rsidRPr="00DC4419">
        <w:t>Costs and expenses</w:t>
      </w:r>
    </w:p>
    <w:p w:rsidRPr="00DC4419" w:rsidR="002D6BC9" w:rsidP="002D6BC9" w:rsidRDefault="007C07E5">
      <w:pPr>
        <w:pStyle w:val="JuH1"/>
      </w:pPr>
      <w:r w:rsidRPr="00DC4419">
        <w:t>1</w:t>
      </w:r>
      <w:r w:rsidRPr="00DC4419" w:rsidR="002D6BC9">
        <w:t>. Proceedings under the Media Act</w:t>
      </w:r>
    </w:p>
    <w:p w:rsidR="00DC4419" w:rsidRDefault="00D66E13">
      <w:pPr>
        <w:pStyle w:val="JuPara"/>
      </w:pPr>
      <w:r w:rsidRPr="00DC4419">
        <w:fldChar w:fldCharType="begin"/>
      </w:r>
      <w:r w:rsidRPr="00DC4419">
        <w:instrText xml:space="preserve"> SEQ level0 \*arabic </w:instrText>
      </w:r>
      <w:r w:rsidRPr="00DC4419">
        <w:fldChar w:fldCharType="separate"/>
      </w:r>
      <w:r w:rsidRPr="00DC4419" w:rsidR="00E14680">
        <w:rPr>
          <w:noProof/>
        </w:rPr>
        <w:t>58</w:t>
      </w:r>
      <w:r w:rsidRPr="00DC4419">
        <w:fldChar w:fldCharType="end"/>
      </w:r>
      <w:r w:rsidRPr="00DC4419" w:rsidR="00CD49A7">
        <w:t>.  </w:t>
      </w:r>
      <w:r w:rsidRPr="00DC4419" w:rsidR="004A59A0">
        <w:t>T</w:t>
      </w:r>
      <w:r w:rsidRPr="00DC4419" w:rsidR="002D6BC9">
        <w:t xml:space="preserve">he applicant company sought 3,866.69 </w:t>
      </w:r>
      <w:r w:rsidRPr="00DC4419" w:rsidR="00524E1C">
        <w:t xml:space="preserve">EUR </w:t>
      </w:r>
      <w:r w:rsidRPr="00DC4419" w:rsidR="00604379">
        <w:t xml:space="preserve">(including VAT) </w:t>
      </w:r>
      <w:r w:rsidRPr="00DC4419" w:rsidR="002D6BC9">
        <w:t>for costs and expenses incurred in the d</w:t>
      </w:r>
      <w:r w:rsidRPr="00DC4419" w:rsidR="006D482E">
        <w:t>omestic proceedings and 1</w:t>
      </w:r>
      <w:r w:rsidRPr="00DC4419" w:rsidR="004D10FD">
        <w:t>,</w:t>
      </w:r>
      <w:r w:rsidRPr="00DC4419" w:rsidR="00B25350">
        <w:t>693</w:t>
      </w:r>
      <w:r w:rsidRPr="00DC4419" w:rsidR="006D482E">
        <w:t>.82</w:t>
      </w:r>
      <w:r w:rsidRPr="00DC4419" w:rsidR="00F83940">
        <w:t> </w:t>
      </w:r>
      <w:r w:rsidRPr="00DC4419" w:rsidR="00524E1C">
        <w:t xml:space="preserve">EUR </w:t>
      </w:r>
      <w:r w:rsidRPr="00DC4419" w:rsidR="002D6BC9">
        <w:t>for costs incurred before the Court.</w:t>
      </w:r>
    </w:p>
    <w:p w:rsidR="00DC4419" w:rsidRDefault="008C12D6">
      <w:pPr>
        <w:pStyle w:val="JuPara"/>
      </w:pPr>
      <w:r w:rsidRPr="00DC4419">
        <w:fldChar w:fldCharType="begin"/>
      </w:r>
      <w:r w:rsidRPr="00DC4419">
        <w:instrText xml:space="preserve"> SEQ level0 \*arabic </w:instrText>
      </w:r>
      <w:r w:rsidRPr="00DC4419">
        <w:fldChar w:fldCharType="separate"/>
      </w:r>
      <w:r w:rsidRPr="00DC4419" w:rsidR="00E14680">
        <w:rPr>
          <w:noProof/>
        </w:rPr>
        <w:t>59</w:t>
      </w:r>
      <w:r w:rsidRPr="00DC4419">
        <w:fldChar w:fldCharType="end"/>
      </w:r>
      <w:r w:rsidRPr="00DC4419">
        <w:t>.  The Government did not comment</w:t>
      </w:r>
      <w:r w:rsidRPr="00DC4419" w:rsidR="003165B2">
        <w:t xml:space="preserve"> on these claims</w:t>
      </w:r>
      <w:r w:rsidRPr="00DC4419">
        <w:t>.</w:t>
      </w:r>
    </w:p>
    <w:p w:rsidRPr="00DC4419" w:rsidR="003165B2" w:rsidRDefault="003165B2">
      <w:pPr>
        <w:pStyle w:val="JuPara"/>
      </w:pPr>
      <w:r w:rsidRPr="00DC4419">
        <w:fldChar w:fldCharType="begin"/>
      </w:r>
      <w:r w:rsidRPr="00DC4419">
        <w:instrText xml:space="preserve"> SEQ level0 \*arabic </w:instrText>
      </w:r>
      <w:r w:rsidRPr="00DC4419">
        <w:fldChar w:fldCharType="separate"/>
      </w:r>
      <w:r w:rsidRPr="00DC4419" w:rsidR="00E14680">
        <w:rPr>
          <w:noProof/>
        </w:rPr>
        <w:t>60</w:t>
      </w:r>
      <w:r w:rsidRPr="00DC4419">
        <w:fldChar w:fldCharType="end"/>
      </w:r>
      <w:r w:rsidRPr="00DC4419">
        <w:t xml:space="preserve">.  The Court finds that the sums claimed by the applicant company appear reasonable and awards the full amount, namely </w:t>
      </w:r>
      <w:r w:rsidRPr="00DC4419" w:rsidR="00F83940">
        <w:t>5,560.51 </w:t>
      </w:r>
      <w:r w:rsidRPr="00DC4419">
        <w:t>EUR.</w:t>
      </w:r>
    </w:p>
    <w:p w:rsidRPr="00DC4419" w:rsidR="004A59A0" w:rsidP="004A59A0" w:rsidRDefault="007C07E5">
      <w:pPr>
        <w:pStyle w:val="JuH1"/>
      </w:pPr>
      <w:r w:rsidRPr="00DC4419">
        <w:t>2</w:t>
      </w:r>
      <w:r w:rsidRPr="00DC4419" w:rsidR="004A59A0">
        <w:t>. Proceedings under the Copyright Act</w:t>
      </w:r>
    </w:p>
    <w:p w:rsidR="00DC4419" w:rsidP="00B25350" w:rsidRDefault="004A59A0">
      <w:pPr>
        <w:pStyle w:val="JuPara"/>
      </w:pPr>
      <w:r w:rsidRPr="00DC4419">
        <w:fldChar w:fldCharType="begin"/>
      </w:r>
      <w:r w:rsidRPr="00DC4419">
        <w:instrText xml:space="preserve"> SEQ level0 \*arabic </w:instrText>
      </w:r>
      <w:r w:rsidRPr="00DC4419">
        <w:fldChar w:fldCharType="separate"/>
      </w:r>
      <w:r w:rsidRPr="00DC4419" w:rsidR="00E14680">
        <w:rPr>
          <w:noProof/>
        </w:rPr>
        <w:t>61</w:t>
      </w:r>
      <w:r w:rsidRPr="00DC4419">
        <w:fldChar w:fldCharType="end"/>
      </w:r>
      <w:r w:rsidRPr="00DC4419">
        <w:t xml:space="preserve">.  The applicant company sought </w:t>
      </w:r>
      <w:r w:rsidRPr="00DC4419" w:rsidR="004D10FD">
        <w:t xml:space="preserve">16,427.58 </w:t>
      </w:r>
      <w:r w:rsidRPr="00DC4419" w:rsidR="00AE372F">
        <w:t xml:space="preserve">EUR </w:t>
      </w:r>
      <w:r w:rsidRPr="00DC4419" w:rsidR="004D10FD">
        <w:t xml:space="preserve">for costs and expenses incurred in the domestic proceedings and 4,016.02 </w:t>
      </w:r>
      <w:r w:rsidRPr="00DC4419" w:rsidR="00AE372F">
        <w:t xml:space="preserve">EUR </w:t>
      </w:r>
      <w:r w:rsidRPr="00DC4419" w:rsidR="004D10FD">
        <w:t>for costs incurred before the Court.</w:t>
      </w:r>
    </w:p>
    <w:p w:rsidR="00DC4419" w:rsidP="0083352A" w:rsidRDefault="008C12D6">
      <w:pPr>
        <w:pStyle w:val="JuPara"/>
      </w:pPr>
      <w:r w:rsidRPr="00DC4419">
        <w:fldChar w:fldCharType="begin"/>
      </w:r>
      <w:r w:rsidRPr="00DC4419">
        <w:instrText xml:space="preserve"> SEQ level0 \*arabic </w:instrText>
      </w:r>
      <w:r w:rsidRPr="00DC4419">
        <w:fldChar w:fldCharType="separate"/>
      </w:r>
      <w:r w:rsidRPr="00DC4419" w:rsidR="00E14680">
        <w:rPr>
          <w:noProof/>
        </w:rPr>
        <w:t>62</w:t>
      </w:r>
      <w:r w:rsidRPr="00DC4419">
        <w:fldChar w:fldCharType="end"/>
      </w:r>
      <w:r w:rsidRPr="00DC4419">
        <w:t>.  </w:t>
      </w:r>
      <w:r w:rsidRPr="00DC4419" w:rsidR="00E44D0C">
        <w:t>The Government did not comment on the costs claim for the domestic proceedings. As regards the claim concerning the Convention proceedings, they considered that they were excessive</w:t>
      </w:r>
      <w:r w:rsidRPr="00DC4419" w:rsidR="004F57F5">
        <w:t>.</w:t>
      </w:r>
    </w:p>
    <w:p w:rsidRPr="00DC4419" w:rsidR="004D7722" w:rsidP="004D7722" w:rsidRDefault="00DC30CD">
      <w:pPr>
        <w:pStyle w:val="JuPara"/>
      </w:pPr>
      <w:r w:rsidRPr="00DC4419">
        <w:fldChar w:fldCharType="begin"/>
      </w:r>
      <w:r w:rsidRPr="00DC4419">
        <w:instrText xml:space="preserve"> SEQ level0 \*arabic </w:instrText>
      </w:r>
      <w:r w:rsidRPr="00DC4419">
        <w:fldChar w:fldCharType="separate"/>
      </w:r>
      <w:r w:rsidRPr="00DC4419" w:rsidR="00E14680">
        <w:rPr>
          <w:noProof/>
        </w:rPr>
        <w:t>63</w:t>
      </w:r>
      <w:r w:rsidRPr="00DC4419">
        <w:fldChar w:fldCharType="end"/>
      </w:r>
      <w:r w:rsidRPr="00DC4419">
        <w:t>.  </w:t>
      </w:r>
      <w:r w:rsidRPr="00DC4419" w:rsidR="0083352A">
        <w:t xml:space="preserve">As to the costs of the domestic proceedings, the Court finds that they </w:t>
      </w:r>
      <w:r w:rsidRPr="00DC4419" w:rsidR="000C051D">
        <w:t xml:space="preserve">were </w:t>
      </w:r>
      <w:r w:rsidRPr="00DC4419" w:rsidR="0083352A">
        <w:t>actually and necessarily incurred. It remains to be assessed whether they were reasonable as to quantum. The Court observes in particular that the prese</w:t>
      </w:r>
      <w:r w:rsidRPr="00DC4419" w:rsidR="005E48B5">
        <w:t>nt case comprised</w:t>
      </w:r>
      <w:r w:rsidRPr="00DC4419" w:rsidR="0083352A">
        <w:t xml:space="preserve"> two sets of proceedings, namely proceedings concerning the interim injunction and, subsequently, </w:t>
      </w:r>
      <w:r w:rsidRPr="00DC4419" w:rsidR="00ED4AD1">
        <w:t xml:space="preserve">the </w:t>
      </w:r>
      <w:r w:rsidRPr="00DC4419" w:rsidR="0083352A">
        <w:t xml:space="preserve">main proceedings including </w:t>
      </w:r>
      <w:r w:rsidRPr="00DC4419" w:rsidR="00616219">
        <w:t xml:space="preserve">several </w:t>
      </w:r>
      <w:r w:rsidRPr="00DC4419" w:rsidR="0083352A">
        <w:t>oral hearings.</w:t>
      </w:r>
      <w:r w:rsidRPr="00DC4419" w:rsidR="005E48B5">
        <w:t xml:space="preserve"> Both set</w:t>
      </w:r>
      <w:r w:rsidRPr="00DC4419" w:rsidR="00ED4AD1">
        <w:t>s</w:t>
      </w:r>
      <w:r w:rsidRPr="00DC4419" w:rsidR="005E48B5">
        <w:t xml:space="preserve"> of proceedings were conducted before three instances. </w:t>
      </w:r>
      <w:r w:rsidRPr="00DC4419" w:rsidR="0083352A">
        <w:t>The Court, therefore, accepts that the applicant company</w:t>
      </w:r>
      <w:r w:rsidR="00DC4419">
        <w:t>’</w:t>
      </w:r>
      <w:r w:rsidRPr="00DC4419" w:rsidR="0083352A">
        <w:t xml:space="preserve">s costs in the domestic proceedings were higher than the costs of the applicants in </w:t>
      </w:r>
      <w:r w:rsidRPr="00DC4419" w:rsidR="005E48B5">
        <w:t xml:space="preserve">other </w:t>
      </w:r>
      <w:r w:rsidRPr="00DC4419" w:rsidR="0083352A">
        <w:t xml:space="preserve">comparable cases, which varied between </w:t>
      </w:r>
      <w:r w:rsidRPr="00DC4419" w:rsidR="005E48B5">
        <w:t>5</w:t>
      </w:r>
      <w:r w:rsidRPr="00DC4419" w:rsidR="00616219">
        <w:t>,</w:t>
      </w:r>
      <w:r w:rsidRPr="00DC4419" w:rsidR="00F83940">
        <w:t>684.8 </w:t>
      </w:r>
      <w:r w:rsidRPr="00DC4419" w:rsidR="005E48B5">
        <w:t xml:space="preserve">EUR </w:t>
      </w:r>
      <w:r w:rsidRPr="00DC4419" w:rsidR="0083352A">
        <w:t xml:space="preserve">and </w:t>
      </w:r>
      <w:r w:rsidRPr="00DC4419" w:rsidR="005E48B5">
        <w:t xml:space="preserve">10,997.385 EUR </w:t>
      </w:r>
      <w:r w:rsidRPr="00DC4419" w:rsidR="0083352A">
        <w:t>according to the circumstances (see</w:t>
      </w:r>
      <w:r w:rsidRPr="00DC4419" w:rsidR="00F83940">
        <w:rPr>
          <w:i/>
          <w:lang w:eastAsia="en-US"/>
        </w:rPr>
        <w:t xml:space="preserve"> Krone </w:t>
      </w:r>
      <w:r w:rsidRPr="00DC4419" w:rsidR="005E48B5">
        <w:rPr>
          <w:i/>
          <w:lang w:eastAsia="en-US"/>
        </w:rPr>
        <w:t>Verlag GmbH &amp; Co. KG v. Austria</w:t>
      </w:r>
      <w:r w:rsidRPr="00DC4419" w:rsidR="00F83940">
        <w:rPr>
          <w:lang w:eastAsia="en-US"/>
        </w:rPr>
        <w:t>, no. 34315/96, 26 February </w:t>
      </w:r>
      <w:r w:rsidRPr="00DC4419" w:rsidR="005E48B5">
        <w:rPr>
          <w:lang w:eastAsia="en-US"/>
        </w:rPr>
        <w:t xml:space="preserve">2002 and </w:t>
      </w:r>
      <w:r w:rsidRPr="00DC4419" w:rsidR="005E48B5">
        <w:rPr>
          <w:i/>
          <w:lang w:eastAsia="en-US"/>
        </w:rPr>
        <w:t>News Verlags GmbH &amp; Co.KG v. Austria</w:t>
      </w:r>
      <w:r w:rsidRPr="00DC4419" w:rsidR="005E48B5">
        <w:rPr>
          <w:lang w:eastAsia="en-US"/>
        </w:rPr>
        <w:t>, no. 31457/96, ECHR 2000</w:t>
      </w:r>
      <w:r w:rsidRPr="00DC4419" w:rsidR="005E48B5">
        <w:rPr>
          <w:lang w:eastAsia="en-US"/>
        </w:rPr>
        <w:noBreakHyphen/>
        <w:t xml:space="preserve">I; </w:t>
      </w:r>
      <w:r w:rsidRPr="00DC4419" w:rsidR="00ED4AD1">
        <w:rPr>
          <w:lang w:eastAsia="en-US"/>
        </w:rPr>
        <w:t xml:space="preserve">both </w:t>
      </w:r>
      <w:r w:rsidRPr="00DC4419" w:rsidR="005E48B5">
        <w:rPr>
          <w:lang w:eastAsia="en-US"/>
        </w:rPr>
        <w:t>concerning injunction proceedings under the Copyright Act</w:t>
      </w:r>
      <w:r w:rsidRPr="00DC4419" w:rsidR="005E48B5">
        <w:t>)</w:t>
      </w:r>
      <w:r w:rsidRPr="00DC4419" w:rsidR="0083352A">
        <w:t>. Nevertheless, it considers that the costs claimed are excessive. It t</w:t>
      </w:r>
      <w:r w:rsidRPr="00DC4419" w:rsidR="005E48B5">
        <w:t>herefore awards an amount of 13,000 EUR in this respect</w:t>
      </w:r>
      <w:r w:rsidRPr="00DC4419" w:rsidR="0083352A">
        <w:t>.</w:t>
      </w:r>
    </w:p>
    <w:p w:rsidRPr="00DC4419" w:rsidR="004F57F5" w:rsidP="004D7722" w:rsidRDefault="004D7722">
      <w:pPr>
        <w:pStyle w:val="JuPara"/>
      </w:pPr>
      <w:r w:rsidRPr="00DC4419">
        <w:fldChar w:fldCharType="begin"/>
      </w:r>
      <w:r w:rsidRPr="00DC4419">
        <w:instrText xml:space="preserve"> SEQ level0 \*arabic </w:instrText>
      </w:r>
      <w:r w:rsidRPr="00DC4419">
        <w:fldChar w:fldCharType="separate"/>
      </w:r>
      <w:r w:rsidRPr="00DC4419" w:rsidR="00E14680">
        <w:rPr>
          <w:noProof/>
        </w:rPr>
        <w:t>64</w:t>
      </w:r>
      <w:r w:rsidRPr="00DC4419">
        <w:fldChar w:fldCharType="end"/>
      </w:r>
      <w:r w:rsidRPr="00DC4419">
        <w:t xml:space="preserve">.  The Court </w:t>
      </w:r>
      <w:r w:rsidRPr="00DC4419" w:rsidR="00616219">
        <w:t xml:space="preserve">further </w:t>
      </w:r>
      <w:r w:rsidRPr="00DC4419" w:rsidR="00DD66E3">
        <w:t>agrees with the Government that the applicant company</w:t>
      </w:r>
      <w:r w:rsidR="00DC4419">
        <w:t>’</w:t>
      </w:r>
      <w:r w:rsidRPr="00DC4419" w:rsidR="00DD66E3">
        <w:t xml:space="preserve">s claims as regards the costs of the Convention proceedings are excessive. </w:t>
      </w:r>
      <w:r w:rsidRPr="00DC4419">
        <w:t xml:space="preserve">The Court notes in particular that the applicant company, </w:t>
      </w:r>
      <w:r w:rsidRPr="00DC4419" w:rsidR="00DD66E3">
        <w:t>after</w:t>
      </w:r>
      <w:r w:rsidRPr="00DC4419">
        <w:t xml:space="preserve"> communication of the case,</w:t>
      </w:r>
      <w:r w:rsidRPr="00DC4419" w:rsidR="00DD66E3">
        <w:t xml:space="preserve"> did not submit any further </w:t>
      </w:r>
      <w:r w:rsidRPr="00DC4419">
        <w:t>arguments as to the merits but referred in this regard to its submissions in its application. Moreover, the application was brought by the same lawyer and resembles the application brought by the applicant company against its conviction under the Media Act. Making an assessment on an overall basis</w:t>
      </w:r>
      <w:r w:rsidRPr="00DC4419" w:rsidR="004F57F5">
        <w:t xml:space="preserve">, the Court </w:t>
      </w:r>
      <w:r w:rsidRPr="00DC4419" w:rsidR="00A75FCF">
        <w:t>awards</w:t>
      </w:r>
      <w:r w:rsidRPr="00DC4419" w:rsidR="004F57F5">
        <w:t xml:space="preserve"> </w:t>
      </w:r>
      <w:r w:rsidRPr="00DC4419" w:rsidR="00706C80">
        <w:t>1,5</w:t>
      </w:r>
      <w:r w:rsidRPr="00DC4419">
        <w:t xml:space="preserve">00 </w:t>
      </w:r>
      <w:r w:rsidRPr="00DC4419" w:rsidR="004F57F5">
        <w:t>EUR under this head.</w:t>
      </w:r>
    </w:p>
    <w:p w:rsidRPr="00DC4419" w:rsidR="000C051D" w:rsidP="000C051D" w:rsidRDefault="000C051D">
      <w:pPr>
        <w:pStyle w:val="JuH1"/>
      </w:pPr>
      <w:r w:rsidRPr="00DC4419">
        <w:t>3. Conclusion</w:t>
      </w:r>
    </w:p>
    <w:p w:rsidRPr="00DC4419" w:rsidR="00E44D0C" w:rsidP="004D7722" w:rsidRDefault="004D7722">
      <w:pPr>
        <w:pStyle w:val="JuPara"/>
      </w:pPr>
      <w:r w:rsidRPr="00DC4419">
        <w:fldChar w:fldCharType="begin"/>
      </w:r>
      <w:r w:rsidRPr="00DC4419">
        <w:instrText xml:space="preserve"> SEQ level0 \*arabic </w:instrText>
      </w:r>
      <w:r w:rsidRPr="00DC4419">
        <w:fldChar w:fldCharType="separate"/>
      </w:r>
      <w:r w:rsidRPr="00DC4419" w:rsidR="00E14680">
        <w:rPr>
          <w:noProof/>
        </w:rPr>
        <w:t>65</w:t>
      </w:r>
      <w:r w:rsidRPr="00DC4419">
        <w:fldChar w:fldCharType="end"/>
      </w:r>
      <w:r w:rsidRPr="00DC4419">
        <w:t>.  The Court, thus, awards the tota</w:t>
      </w:r>
      <w:r w:rsidRPr="00DC4419" w:rsidR="00706C80">
        <w:t>l amount of 20,0</w:t>
      </w:r>
      <w:r w:rsidRPr="00DC4419">
        <w:t>60.51 EUR in respect of</w:t>
      </w:r>
      <w:r w:rsidRPr="00DC4419" w:rsidR="000A7997">
        <w:t xml:space="preserve"> costs and expenses</w:t>
      </w:r>
      <w:r w:rsidRPr="00DC4419">
        <w:t>.</w:t>
      </w:r>
    </w:p>
    <w:p w:rsidRPr="00DC4419" w:rsidR="00CD49A7" w:rsidRDefault="00CD49A7">
      <w:pPr>
        <w:pStyle w:val="JuHA"/>
      </w:pPr>
      <w:r w:rsidRPr="00DC4419">
        <w:t>C.  Default interest</w:t>
      </w:r>
    </w:p>
    <w:p w:rsidRPr="00DC4419" w:rsidR="00CD49A7" w:rsidRDefault="00D66E13">
      <w:pPr>
        <w:pStyle w:val="JuPara"/>
      </w:pPr>
      <w:r w:rsidRPr="00DC4419">
        <w:fldChar w:fldCharType="begin"/>
      </w:r>
      <w:r w:rsidRPr="00DC4419">
        <w:instrText xml:space="preserve"> SEQ level0 \*arabic </w:instrText>
      </w:r>
      <w:r w:rsidRPr="00DC4419">
        <w:fldChar w:fldCharType="separate"/>
      </w:r>
      <w:r w:rsidRPr="00DC4419" w:rsidR="00E14680">
        <w:rPr>
          <w:noProof/>
        </w:rPr>
        <w:t>66</w:t>
      </w:r>
      <w:r w:rsidRPr="00DC4419">
        <w:fldChar w:fldCharType="end"/>
      </w:r>
      <w:r w:rsidRPr="00DC4419" w:rsidR="00CD49A7">
        <w:t>.  The Court considers it appropriate that the default interest should be based on the marginal lending rate of the European Central Bank, to which should be added three percentage points.</w:t>
      </w:r>
    </w:p>
    <w:p w:rsidRPr="00DC4419" w:rsidR="00CD49A7" w:rsidP="00616219" w:rsidRDefault="00D70DA5">
      <w:pPr>
        <w:pStyle w:val="JuHHead"/>
      </w:pPr>
      <w:r w:rsidRPr="00DC4419">
        <w:t xml:space="preserve">FOR THESE REASONS, THE COURT </w:t>
      </w:r>
      <w:r w:rsidRPr="00DC4419" w:rsidR="00CD49A7">
        <w:t>UNANIMOUSLY</w:t>
      </w:r>
    </w:p>
    <w:p w:rsidRPr="00DC4419" w:rsidR="00CD49A7" w:rsidRDefault="000E4ECE">
      <w:pPr>
        <w:pStyle w:val="JuList"/>
      </w:pPr>
      <w:r w:rsidRPr="00DC4419">
        <w:t>1</w:t>
      </w:r>
      <w:r w:rsidRPr="00DC4419" w:rsidR="00CD49A7">
        <w:t>.  </w:t>
      </w:r>
      <w:r w:rsidRPr="00DC4419" w:rsidR="00950A97">
        <w:rPr>
          <w:i/>
        </w:rPr>
        <w:t>Decides</w:t>
      </w:r>
      <w:r w:rsidRPr="00DC4419" w:rsidR="00950A97">
        <w:t xml:space="preserve"> to join </w:t>
      </w:r>
      <w:r w:rsidRPr="00DC4419" w:rsidR="00D566A4">
        <w:t>the applications;</w:t>
      </w:r>
    </w:p>
    <w:p w:rsidRPr="00DC4419" w:rsidR="00CD49A7" w:rsidP="00950A97" w:rsidRDefault="00CD49A7">
      <w:pPr>
        <w:pStyle w:val="JuList"/>
        <w:ind w:left="0" w:firstLine="0"/>
      </w:pPr>
    </w:p>
    <w:p w:rsidRPr="00DC4419" w:rsidR="00CD49A7" w:rsidRDefault="000E4ECE">
      <w:pPr>
        <w:pStyle w:val="JuList"/>
      </w:pPr>
      <w:r w:rsidRPr="00DC4419">
        <w:t>2</w:t>
      </w:r>
      <w:r w:rsidRPr="00DC4419" w:rsidR="00CD49A7">
        <w:t>.  </w:t>
      </w:r>
      <w:r w:rsidRPr="00DC4419" w:rsidR="00CD49A7">
        <w:rPr>
          <w:i/>
        </w:rPr>
        <w:t>Holds</w:t>
      </w:r>
      <w:r w:rsidRPr="00DC4419" w:rsidR="00CD49A7">
        <w:t xml:space="preserve"> that there has been a violation of Article </w:t>
      </w:r>
      <w:r w:rsidRPr="00DC4419" w:rsidR="00950A97">
        <w:t>10</w:t>
      </w:r>
      <w:r w:rsidRPr="00DC4419" w:rsidR="00CD49A7">
        <w:t xml:space="preserve"> of the Convention</w:t>
      </w:r>
      <w:r w:rsidRPr="00DC4419" w:rsidR="00950A97">
        <w:t xml:space="preserve"> in respect of the conviction of the applicant company under the Media Act</w:t>
      </w:r>
      <w:r w:rsidRPr="00DC4419" w:rsidR="00E42A71">
        <w:t xml:space="preserve"> and in respect of the injunction issued against the applicant company under the Copyright Act</w:t>
      </w:r>
      <w:r w:rsidRPr="00DC4419" w:rsidR="00CD49A7">
        <w:t>;</w:t>
      </w:r>
    </w:p>
    <w:p w:rsidRPr="00DC4419" w:rsidR="00950A97" w:rsidP="00E42A71" w:rsidRDefault="00950A97">
      <w:pPr>
        <w:pStyle w:val="JuList"/>
        <w:ind w:left="0" w:firstLine="0"/>
      </w:pPr>
    </w:p>
    <w:p w:rsidRPr="00DC4419" w:rsidR="00CD49A7" w:rsidRDefault="00E42A71">
      <w:pPr>
        <w:pStyle w:val="JuList"/>
      </w:pPr>
      <w:r w:rsidRPr="00DC4419">
        <w:t>3</w:t>
      </w:r>
      <w:r w:rsidRPr="00DC4419" w:rsidR="00CD49A7">
        <w:t>.  </w:t>
      </w:r>
      <w:r w:rsidRPr="00DC4419" w:rsidR="00CD49A7">
        <w:rPr>
          <w:i/>
        </w:rPr>
        <w:t>Holds</w:t>
      </w:r>
      <w:r w:rsidRPr="00DC4419" w:rsidR="00CD49A7">
        <w:t xml:space="preserve"> that the finding of a violation constitutes in itself sufficient just satisfaction for the non-pecuniary damage sustained by the </w:t>
      </w:r>
      <w:r w:rsidRPr="00DC4419" w:rsidR="000E4ECE">
        <w:t>applicant company</w:t>
      </w:r>
      <w:r w:rsidRPr="00DC4419" w:rsidR="00CD49A7">
        <w:t>;</w:t>
      </w:r>
    </w:p>
    <w:p w:rsidRPr="00DC4419" w:rsidR="00CD49A7" w:rsidRDefault="00CD49A7">
      <w:pPr>
        <w:pStyle w:val="JuList"/>
      </w:pPr>
    </w:p>
    <w:p w:rsidR="00DC4419" w:rsidRDefault="00E42A71">
      <w:pPr>
        <w:pStyle w:val="JuList"/>
      </w:pPr>
      <w:r w:rsidRPr="00DC4419">
        <w:t>4</w:t>
      </w:r>
      <w:r w:rsidRPr="00DC4419" w:rsidR="00CD49A7">
        <w:t>.  </w:t>
      </w:r>
      <w:r w:rsidRPr="00DC4419" w:rsidR="00CD49A7">
        <w:rPr>
          <w:i/>
        </w:rPr>
        <w:t>Holds</w:t>
      </w:r>
    </w:p>
    <w:p w:rsidRPr="00DC4419" w:rsidR="00CD49A7" w:rsidRDefault="00CD49A7">
      <w:pPr>
        <w:pStyle w:val="JuLista"/>
      </w:pPr>
      <w:r w:rsidRPr="00DC4419">
        <w:t xml:space="preserve">(a)  that the respondent State is to pay the </w:t>
      </w:r>
      <w:r w:rsidRPr="00DC4419" w:rsidR="000C051D">
        <w:t>applicant</w:t>
      </w:r>
      <w:r w:rsidRPr="00DC4419">
        <w:t xml:space="preserve"> within three months</w:t>
      </w:r>
      <w:r w:rsidRPr="00DC4419" w:rsidR="00E14680">
        <w:t xml:space="preserve"> </w:t>
      </w:r>
      <w:r w:rsidRPr="00DC4419" w:rsidR="00D66E13">
        <w:t>from the date on which the judgment becomes final in accordance with Article 44 § 2 of the Convention</w:t>
      </w:r>
      <w:r w:rsidRPr="00DC4419">
        <w:t>, the following amounts:</w:t>
      </w:r>
    </w:p>
    <w:p w:rsidRPr="00DC4419" w:rsidR="00CD49A7" w:rsidRDefault="00950A97">
      <w:pPr>
        <w:pStyle w:val="JuListi"/>
      </w:pPr>
      <w:r w:rsidRPr="00DC4419">
        <w:t xml:space="preserve">(i)  EUR 11,355.64 (eleven thousand three hundred and fifty five </w:t>
      </w:r>
      <w:r w:rsidRPr="00DC4419" w:rsidR="00CD49A7">
        <w:t>euros</w:t>
      </w:r>
      <w:r w:rsidRPr="00DC4419">
        <w:t xml:space="preserve"> sixty </w:t>
      </w:r>
      <w:r w:rsidRPr="00DC4419" w:rsidR="00616219">
        <w:t xml:space="preserve">four </w:t>
      </w:r>
      <w:r w:rsidRPr="00DC4419">
        <w:t>cents</w:t>
      </w:r>
      <w:r w:rsidRPr="00DC4419" w:rsidR="00CD49A7">
        <w:t>) in respect of pecuniary damage;</w:t>
      </w:r>
    </w:p>
    <w:p w:rsidRPr="00DC4419" w:rsidR="00CD49A7" w:rsidRDefault="002D459D">
      <w:pPr>
        <w:pStyle w:val="JuListi"/>
      </w:pPr>
      <w:r w:rsidRPr="00DC4419">
        <w:t>(ii</w:t>
      </w:r>
      <w:r w:rsidRPr="00DC4419" w:rsidR="00950A97">
        <w:t xml:space="preserve">)  EUR </w:t>
      </w:r>
      <w:r w:rsidRPr="00DC4419" w:rsidR="00706C80">
        <w:t xml:space="preserve">20,060.51 </w:t>
      </w:r>
      <w:r w:rsidRPr="00DC4419" w:rsidR="00950A97">
        <w:t>(</w:t>
      </w:r>
      <w:r w:rsidRPr="00DC4419" w:rsidR="00706C80">
        <w:t xml:space="preserve">twenty </w:t>
      </w:r>
      <w:r w:rsidRPr="00DC4419" w:rsidR="00950A97">
        <w:t xml:space="preserve">thousand </w:t>
      </w:r>
      <w:r w:rsidRPr="00DC4419" w:rsidR="00616219">
        <w:t xml:space="preserve">and </w:t>
      </w:r>
      <w:r w:rsidRPr="00DC4419" w:rsidR="00950A97">
        <w:t xml:space="preserve">sixty </w:t>
      </w:r>
      <w:r w:rsidRPr="00DC4419" w:rsidR="00CD49A7">
        <w:t>euros</w:t>
      </w:r>
      <w:r w:rsidRPr="00DC4419" w:rsidR="00950A97">
        <w:t xml:space="preserve"> fifty one cents</w:t>
      </w:r>
      <w:r w:rsidRPr="00DC4419" w:rsidR="00CD49A7">
        <w:t>) in respect of costs and expenses;</w:t>
      </w:r>
    </w:p>
    <w:p w:rsidRPr="00DC4419" w:rsidR="00CD49A7" w:rsidRDefault="002D459D">
      <w:pPr>
        <w:pStyle w:val="JuListi"/>
      </w:pPr>
      <w:r w:rsidRPr="00DC4419">
        <w:t>(iii</w:t>
      </w:r>
      <w:r w:rsidRPr="00DC4419" w:rsidR="00CD49A7">
        <w:t>)  any tax that may be char</w:t>
      </w:r>
      <w:r w:rsidRPr="00DC4419" w:rsidR="000E4ECE">
        <w:t>geable on the above amounts;</w:t>
      </w:r>
    </w:p>
    <w:p w:rsidRPr="00DC4419" w:rsidR="00CD49A7" w:rsidRDefault="00CD49A7">
      <w:pPr>
        <w:pStyle w:val="JuLista"/>
      </w:pPr>
      <w:r w:rsidRPr="00DC4419">
        <w:t>(b)  that from the expiry of the above-mentioned three months until settlement simple interest shall</w:t>
      </w:r>
      <w:r w:rsidRPr="00DC4419" w:rsidR="00950A97">
        <w:t xml:space="preserve"> be payable on the above amounts</w:t>
      </w:r>
      <w:r w:rsidRPr="00DC4419">
        <w:t xml:space="preserve"> at a rate equal to the marginal lending rate of the European Central Bank during the default period plus three percentage points;</w:t>
      </w:r>
    </w:p>
    <w:p w:rsidRPr="00DC4419" w:rsidR="00CD49A7" w:rsidRDefault="00CD49A7">
      <w:pPr>
        <w:pStyle w:val="JuList"/>
      </w:pPr>
    </w:p>
    <w:p w:rsidRPr="00DC4419" w:rsidR="00CD49A7" w:rsidRDefault="00E42A71">
      <w:pPr>
        <w:pStyle w:val="JuList"/>
      </w:pPr>
      <w:r w:rsidRPr="00DC4419">
        <w:t>5</w:t>
      </w:r>
      <w:r w:rsidRPr="00DC4419" w:rsidR="00CD49A7">
        <w:t>.  </w:t>
      </w:r>
      <w:r w:rsidRPr="00DC4419" w:rsidR="00CD49A7">
        <w:rPr>
          <w:i/>
        </w:rPr>
        <w:t>Dismisses</w:t>
      </w:r>
      <w:r w:rsidRPr="00DC4419" w:rsidR="00CD49A7">
        <w:t xml:space="preserve"> the remainder of the </w:t>
      </w:r>
      <w:r w:rsidRPr="00DC4419" w:rsidR="00D66E13">
        <w:t>applicants</w:t>
      </w:r>
      <w:r w:rsidR="00DC4419">
        <w:t>’</w:t>
      </w:r>
      <w:r w:rsidRPr="00DC4419" w:rsidR="00CD49A7">
        <w:t xml:space="preserve"> claim for just satisfaction.</w:t>
      </w:r>
    </w:p>
    <w:p w:rsidRPr="00DC4419" w:rsidR="00CD49A7" w:rsidRDefault="00CD49A7">
      <w:pPr>
        <w:pStyle w:val="JuParaLast"/>
      </w:pPr>
      <w:r w:rsidRPr="00DC4419">
        <w:t xml:space="preserve">Done in English, and notified in writing on </w:t>
      </w:r>
      <w:smartTag w:uri="urn:schemas-microsoft-com:office:smarttags" w:element="date">
        <w:smartTagPr>
          <w:attr w:name="Month" w:val="12"/>
          <w:attr w:name="Day" w:val="13"/>
          <w:attr w:name="Year" w:val="2005"/>
        </w:smartTagPr>
        <w:r w:rsidR="008E4567" w:rsidRPr="00DC4419">
          <w:t>13 December 2005</w:t>
        </w:r>
      </w:smartTag>
      <w:r w:rsidRPr="00DC4419">
        <w:t>, pursuant to Rule 77 §§</w:t>
      </w:r>
      <w:r w:rsidRPr="00DC4419" w:rsidR="007C07E5">
        <w:t xml:space="preserve"> 2 and 3 of the Rules of Court.</w:t>
      </w:r>
    </w:p>
    <w:p w:rsidRPr="00DC4419" w:rsidR="00CD49A7" w:rsidP="008E4567" w:rsidRDefault="008E4567">
      <w:pPr>
        <w:pStyle w:val="JuSigned"/>
        <w:keepNext/>
        <w:keepLines/>
        <w:ind w:left="284" w:hanging="284"/>
      </w:pPr>
      <w:r w:rsidRPr="00DC4419">
        <w:t>Françoise</w:t>
      </w:r>
      <w:r w:rsidRPr="00DC4419">
        <w:rPr>
          <w:rStyle w:val="JuNames"/>
        </w:rPr>
        <w:t xml:space="preserve"> Elens-Passos</w:t>
      </w:r>
      <w:r w:rsidRPr="00DC4419" w:rsidR="00D66E13">
        <w:tab/>
        <w:t xml:space="preserve">Nicolas </w:t>
      </w:r>
      <w:r w:rsidRPr="00DC4419" w:rsidR="00D66E13">
        <w:rPr>
          <w:rStyle w:val="JuNames"/>
        </w:rPr>
        <w:t>Bratza</w:t>
      </w:r>
      <w:r w:rsidRPr="00DC4419">
        <w:br/>
        <w:t xml:space="preserve">Deputy </w:t>
      </w:r>
      <w:r w:rsidRPr="00DC4419" w:rsidR="00D66E13">
        <w:t>Registrar</w:t>
      </w:r>
      <w:r w:rsidRPr="00DC4419" w:rsidR="00D66E13">
        <w:tab/>
        <w:t>President</w:t>
      </w:r>
    </w:p>
    <w:p w:rsidRPr="00DC4419" w:rsidR="00CD49A7" w:rsidRDefault="00CD49A7">
      <w:pPr>
        <w:pStyle w:val="JuInitialled"/>
      </w:pPr>
    </w:p>
    <w:sectPr w:rsidRPr="00DC4419" w:rsidR="00CD49A7" w:rsidSect="00F714FD">
      <w:headerReference w:type="even" r:id="rId9"/>
      <w:headerReference w:type="default" r:id="rId10"/>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76855">
      <w:r>
        <w:separator/>
      </w:r>
    </w:p>
  </w:endnote>
  <w:endnote w:type="continuationSeparator" w:id="0">
    <w:p w:rsidR="00000000" w:rsidRDefault="0017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FCC" w:rsidRDefault="00C02FCC">
      <w:r>
        <w:separator/>
      </w:r>
    </w:p>
  </w:footnote>
  <w:footnote w:type="continuationSeparator" w:id="0">
    <w:p w:rsidR="00000000" w:rsidRDefault="00176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CC" w:rsidRPr="00F714FD" w:rsidRDefault="00C02FCC" w:rsidP="00F71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CC" w:rsidRDefault="00C02FC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C02FCC" w:rsidRPr="00F714FD" w:rsidRDefault="00C02FCC" w:rsidP="00F714FD">
    <w:pPr>
      <w:pStyle w:val="Header"/>
      <w:jc w:val="cent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CC" w:rsidRDefault="00C02FCC" w:rsidP="006F3DC1">
    <w:pPr>
      <w:pStyle w:val="JuHeader"/>
      <w:rPr>
        <w:lang w:val="de-DE"/>
      </w:rPr>
    </w:pPr>
    <w:r>
      <w:rPr>
        <w:rStyle w:val="PageNumber"/>
      </w:rPr>
      <w:fldChar w:fldCharType="begin"/>
    </w:r>
    <w:r w:rsidRPr="006F3DC1">
      <w:rPr>
        <w:rStyle w:val="PageNumber"/>
        <w:lang w:val="de-DE"/>
      </w:rPr>
      <w:instrText xml:space="preserve"> PAGE </w:instrText>
    </w:r>
    <w:r>
      <w:rPr>
        <w:rStyle w:val="PageNumber"/>
      </w:rPr>
      <w:fldChar w:fldCharType="separate"/>
    </w:r>
    <w:r w:rsidR="00153FD7">
      <w:rPr>
        <w:rStyle w:val="PageNumber"/>
        <w:noProof/>
        <w:lang w:val="de-DE"/>
      </w:rPr>
      <w:t>14</w:t>
    </w:r>
    <w:r>
      <w:rPr>
        <w:rStyle w:val="PageNumber"/>
      </w:rPr>
      <w:fldChar w:fldCharType="end"/>
    </w:r>
    <w:r>
      <w:rPr>
        <w:lang w:val="de-DE"/>
      </w:rPr>
      <w:t xml:space="preserve">         </w:t>
    </w:r>
    <w:r w:rsidRPr="006F3DC1">
      <w:rPr>
        <w:lang w:val="de-DE"/>
      </w:rPr>
      <w:t>WIRTSCHAFTS-TREND ZEITSCHRIFTEN-VERLAGSGESELLSCHAFT M.B.H. (N°3)</w:t>
    </w:r>
  </w:p>
  <w:p w:rsidR="00C02FCC" w:rsidRDefault="00C02FCC" w:rsidP="006F3DC1">
    <w:pPr>
      <w:pStyle w:val="JuHeader"/>
      <w:jc w:val="center"/>
      <w:rPr>
        <w:noProof/>
        <w:lang w:val="de-DE"/>
      </w:rPr>
    </w:pPr>
    <w:r w:rsidRPr="006F3DC1">
      <w:rPr>
        <w:lang w:val="de-DE"/>
      </w:rPr>
      <w:t xml:space="preserve">v. AUSTRIA </w:t>
    </w:r>
    <w:r>
      <w:rPr>
        <w:lang w:val="de-DE"/>
      </w:rPr>
      <w:t>JUDGMENT</w:t>
    </w:r>
  </w:p>
  <w:p w:rsidR="00C02FCC" w:rsidRDefault="00C02FC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CC" w:rsidRDefault="00C02FCC" w:rsidP="006F3DC1">
    <w:pPr>
      <w:pStyle w:val="JuHeader"/>
      <w:jc w:val="center"/>
      <w:rPr>
        <w:lang w:val="de-DE"/>
      </w:rPr>
    </w:pPr>
    <w:r w:rsidRPr="006F3DC1">
      <w:rPr>
        <w:lang w:val="de-DE"/>
      </w:rPr>
      <w:t>WIRTSCHAFTS-TREND ZEITSCHRIFTEN-VERLAGSGESELLSCHAFT M.B.H. (N° 3)</w:t>
    </w:r>
    <w:r>
      <w:rPr>
        <w:lang w:val="de-DE"/>
      </w:rPr>
      <w:t xml:space="preserve">       </w:t>
    </w:r>
    <w:r w:rsidRPr="006F3DC1">
      <w:rPr>
        <w:rStyle w:val="PageNumber"/>
        <w:lang w:val="de-DE"/>
      </w:rPr>
      <w:t xml:space="preserve"> </w:t>
    </w:r>
    <w:r>
      <w:rPr>
        <w:rStyle w:val="PageNumber"/>
      </w:rPr>
      <w:fldChar w:fldCharType="begin"/>
    </w:r>
    <w:r w:rsidRPr="006F3DC1">
      <w:rPr>
        <w:rStyle w:val="PageNumber"/>
        <w:lang w:val="de-DE"/>
      </w:rPr>
      <w:instrText xml:space="preserve"> PAGE </w:instrText>
    </w:r>
    <w:r>
      <w:rPr>
        <w:rStyle w:val="PageNumber"/>
      </w:rPr>
      <w:fldChar w:fldCharType="separate"/>
    </w:r>
    <w:r w:rsidR="00153FD7">
      <w:rPr>
        <w:rStyle w:val="PageNumber"/>
        <w:noProof/>
        <w:lang w:val="de-DE"/>
      </w:rPr>
      <w:t>1</w:t>
    </w:r>
    <w:r>
      <w:rPr>
        <w:rStyle w:val="PageNumber"/>
      </w:rPr>
      <w:fldChar w:fldCharType="end"/>
    </w:r>
  </w:p>
  <w:p w:rsidR="00C02FCC" w:rsidRDefault="00C02FCC" w:rsidP="006F3DC1">
    <w:pPr>
      <w:pStyle w:val="JuHeader"/>
      <w:jc w:val="center"/>
      <w:rPr>
        <w:noProof/>
        <w:lang w:val="de-DE"/>
      </w:rPr>
    </w:pPr>
    <w:r w:rsidRPr="006F3DC1">
      <w:rPr>
        <w:lang w:val="de-DE"/>
      </w:rPr>
      <w:t xml:space="preserve">v. AUSTRIA </w:t>
    </w:r>
    <w:r>
      <w:rPr>
        <w:lang w:val="de-DE"/>
      </w:rPr>
      <w:t>JUDGMENT</w:t>
    </w:r>
  </w:p>
  <w:p w:rsidR="00C02FCC" w:rsidRPr="006F3DC1" w:rsidRDefault="00C02FCC" w:rsidP="006F3DC1">
    <w:pPr>
      <w:pStyle w:val="JuHeader"/>
      <w:jc w:val="center"/>
      <w:rPr>
        <w:rStyle w:val="PageNumber"/>
        <w:lang w:val="de-DE"/>
      </w:rPr>
    </w:pPr>
    <w:r w:rsidRPr="006F3DC1">
      <w:rPr>
        <w:lang w:val="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6C043E8"/>
    <w:multiLevelType w:val="hybridMultilevel"/>
    <w:tmpl w:val="FC444922"/>
    <w:lvl w:ilvl="0" w:tplc="EE8AD230">
      <w:start w:val="2"/>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21">
    <w:nsid w:val="5EB22F80"/>
    <w:multiLevelType w:val="hybridMultilevel"/>
    <w:tmpl w:val="630E8AA8"/>
    <w:lvl w:ilvl="0" w:tplc="10828706">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22">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6"/>
  </w:num>
  <w:num w:numId="3">
    <w:abstractNumId w:val="12"/>
  </w:num>
  <w:num w:numId="4">
    <w:abstractNumId w:val="24"/>
  </w:num>
  <w:num w:numId="5">
    <w:abstractNumId w:val="32"/>
  </w:num>
  <w:num w:numId="6">
    <w:abstractNumId w:val="5"/>
  </w:num>
  <w:num w:numId="7">
    <w:abstractNumId w:val="29"/>
  </w:num>
  <w:num w:numId="8">
    <w:abstractNumId w:val="4"/>
  </w:num>
  <w:num w:numId="9">
    <w:abstractNumId w:val="2"/>
  </w:num>
  <w:num w:numId="10">
    <w:abstractNumId w:val="1"/>
  </w:num>
  <w:num w:numId="11">
    <w:abstractNumId w:val="0"/>
  </w:num>
  <w:num w:numId="12">
    <w:abstractNumId w:val="3"/>
  </w:num>
  <w:num w:numId="13">
    <w:abstractNumId w:val="10"/>
  </w:num>
  <w:num w:numId="14">
    <w:abstractNumId w:val="22"/>
  </w:num>
  <w:num w:numId="15">
    <w:abstractNumId w:val="27"/>
  </w:num>
  <w:num w:numId="16">
    <w:abstractNumId w:val="13"/>
  </w:num>
  <w:num w:numId="17">
    <w:abstractNumId w:val="23"/>
  </w:num>
  <w:num w:numId="18">
    <w:abstractNumId w:val="30"/>
  </w:num>
  <w:num w:numId="19">
    <w:abstractNumId w:val="28"/>
  </w:num>
  <w:num w:numId="20">
    <w:abstractNumId w:val="11"/>
  </w:num>
  <w:num w:numId="21">
    <w:abstractNumId w:val="25"/>
  </w:num>
  <w:num w:numId="22">
    <w:abstractNumId w:val="16"/>
  </w:num>
  <w:num w:numId="23">
    <w:abstractNumId w:val="18"/>
  </w:num>
  <w:num w:numId="24">
    <w:abstractNumId w:val="6"/>
  </w:num>
  <w:num w:numId="25">
    <w:abstractNumId w:val="8"/>
  </w:num>
  <w:num w:numId="26">
    <w:abstractNumId w:val="31"/>
  </w:num>
  <w:num w:numId="27">
    <w:abstractNumId w:val="15"/>
  </w:num>
  <w:num w:numId="28">
    <w:abstractNumId w:val="19"/>
  </w:num>
  <w:num w:numId="29">
    <w:abstractNumId w:val="17"/>
  </w:num>
  <w:num w:numId="30">
    <w:abstractNumId w:val="14"/>
  </w:num>
  <w:num w:numId="31">
    <w:abstractNumId w:val="7"/>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8B"/>
    <w:rsid w:val="000012DA"/>
    <w:rsid w:val="000024CC"/>
    <w:rsid w:val="000204CA"/>
    <w:rsid w:val="00022D8D"/>
    <w:rsid w:val="00036F44"/>
    <w:rsid w:val="0007449D"/>
    <w:rsid w:val="00085109"/>
    <w:rsid w:val="00093886"/>
    <w:rsid w:val="000A7997"/>
    <w:rsid w:val="000C051D"/>
    <w:rsid w:val="000D5686"/>
    <w:rsid w:val="000E4ECE"/>
    <w:rsid w:val="000F24A6"/>
    <w:rsid w:val="00110FBD"/>
    <w:rsid w:val="00124DE8"/>
    <w:rsid w:val="0012607E"/>
    <w:rsid w:val="00130118"/>
    <w:rsid w:val="00136071"/>
    <w:rsid w:val="00153FD7"/>
    <w:rsid w:val="00157C7F"/>
    <w:rsid w:val="00176855"/>
    <w:rsid w:val="001C3230"/>
    <w:rsid w:val="002457AF"/>
    <w:rsid w:val="0024672D"/>
    <w:rsid w:val="00252029"/>
    <w:rsid w:val="002663A5"/>
    <w:rsid w:val="00283F8B"/>
    <w:rsid w:val="00284A3E"/>
    <w:rsid w:val="0029674C"/>
    <w:rsid w:val="002A4AE7"/>
    <w:rsid w:val="002B569E"/>
    <w:rsid w:val="002C1DE0"/>
    <w:rsid w:val="002C605E"/>
    <w:rsid w:val="002D459D"/>
    <w:rsid w:val="002D5258"/>
    <w:rsid w:val="002D6BC9"/>
    <w:rsid w:val="00310A22"/>
    <w:rsid w:val="003165B2"/>
    <w:rsid w:val="0032554A"/>
    <w:rsid w:val="00327DED"/>
    <w:rsid w:val="00342A55"/>
    <w:rsid w:val="00380D30"/>
    <w:rsid w:val="00390754"/>
    <w:rsid w:val="0039117A"/>
    <w:rsid w:val="00393677"/>
    <w:rsid w:val="003A7897"/>
    <w:rsid w:val="003B0935"/>
    <w:rsid w:val="003C0D55"/>
    <w:rsid w:val="003D2865"/>
    <w:rsid w:val="003E3257"/>
    <w:rsid w:val="003E5B66"/>
    <w:rsid w:val="00412B14"/>
    <w:rsid w:val="004325AF"/>
    <w:rsid w:val="00470955"/>
    <w:rsid w:val="00474EF6"/>
    <w:rsid w:val="00482423"/>
    <w:rsid w:val="00490A76"/>
    <w:rsid w:val="004A1F34"/>
    <w:rsid w:val="004A59A0"/>
    <w:rsid w:val="004B54D0"/>
    <w:rsid w:val="004C56ED"/>
    <w:rsid w:val="004D10FD"/>
    <w:rsid w:val="004D49D1"/>
    <w:rsid w:val="004D7722"/>
    <w:rsid w:val="004E06D4"/>
    <w:rsid w:val="004F1FB8"/>
    <w:rsid w:val="004F57F5"/>
    <w:rsid w:val="00504EB1"/>
    <w:rsid w:val="005050AE"/>
    <w:rsid w:val="00511406"/>
    <w:rsid w:val="00512501"/>
    <w:rsid w:val="005141B8"/>
    <w:rsid w:val="00524962"/>
    <w:rsid w:val="00524E1C"/>
    <w:rsid w:val="00533CA3"/>
    <w:rsid w:val="00546C17"/>
    <w:rsid w:val="00550AB6"/>
    <w:rsid w:val="00556150"/>
    <w:rsid w:val="0057370B"/>
    <w:rsid w:val="00587536"/>
    <w:rsid w:val="005877BE"/>
    <w:rsid w:val="005E48B5"/>
    <w:rsid w:val="006021B4"/>
    <w:rsid w:val="0060220C"/>
    <w:rsid w:val="00604379"/>
    <w:rsid w:val="00616219"/>
    <w:rsid w:val="00627B89"/>
    <w:rsid w:val="00682202"/>
    <w:rsid w:val="0068545C"/>
    <w:rsid w:val="006A3103"/>
    <w:rsid w:val="006B4A83"/>
    <w:rsid w:val="006B4FE9"/>
    <w:rsid w:val="006D482E"/>
    <w:rsid w:val="006F3DC1"/>
    <w:rsid w:val="006F7B2C"/>
    <w:rsid w:val="00701B00"/>
    <w:rsid w:val="00706C80"/>
    <w:rsid w:val="00716079"/>
    <w:rsid w:val="0072703B"/>
    <w:rsid w:val="00743D44"/>
    <w:rsid w:val="007529F6"/>
    <w:rsid w:val="00760B1F"/>
    <w:rsid w:val="0077207D"/>
    <w:rsid w:val="00791477"/>
    <w:rsid w:val="00792664"/>
    <w:rsid w:val="0079559F"/>
    <w:rsid w:val="00795909"/>
    <w:rsid w:val="00795F0D"/>
    <w:rsid w:val="007A56A6"/>
    <w:rsid w:val="007B67F3"/>
    <w:rsid w:val="007B7095"/>
    <w:rsid w:val="007C07E5"/>
    <w:rsid w:val="007D2983"/>
    <w:rsid w:val="007D3D2D"/>
    <w:rsid w:val="007E10F3"/>
    <w:rsid w:val="00804042"/>
    <w:rsid w:val="00815A5D"/>
    <w:rsid w:val="0083352A"/>
    <w:rsid w:val="00834DE3"/>
    <w:rsid w:val="00851682"/>
    <w:rsid w:val="00870608"/>
    <w:rsid w:val="00880404"/>
    <w:rsid w:val="008A6732"/>
    <w:rsid w:val="008C12D6"/>
    <w:rsid w:val="008C78C2"/>
    <w:rsid w:val="008D51B1"/>
    <w:rsid w:val="008E2DC4"/>
    <w:rsid w:val="008E36F2"/>
    <w:rsid w:val="008E4567"/>
    <w:rsid w:val="009000D3"/>
    <w:rsid w:val="009026A8"/>
    <w:rsid w:val="00917638"/>
    <w:rsid w:val="00942899"/>
    <w:rsid w:val="00950A97"/>
    <w:rsid w:val="0095241E"/>
    <w:rsid w:val="009607CB"/>
    <w:rsid w:val="00967DD8"/>
    <w:rsid w:val="00974FC3"/>
    <w:rsid w:val="00981B4E"/>
    <w:rsid w:val="00993A8C"/>
    <w:rsid w:val="009A0233"/>
    <w:rsid w:val="00A00042"/>
    <w:rsid w:val="00A02CC1"/>
    <w:rsid w:val="00A1211D"/>
    <w:rsid w:val="00A146F5"/>
    <w:rsid w:val="00A16917"/>
    <w:rsid w:val="00A27D16"/>
    <w:rsid w:val="00A43261"/>
    <w:rsid w:val="00A45D92"/>
    <w:rsid w:val="00A75FCF"/>
    <w:rsid w:val="00A769F9"/>
    <w:rsid w:val="00A76F5E"/>
    <w:rsid w:val="00A778B5"/>
    <w:rsid w:val="00A92CAC"/>
    <w:rsid w:val="00AA782A"/>
    <w:rsid w:val="00AB193C"/>
    <w:rsid w:val="00AB6BC3"/>
    <w:rsid w:val="00AE372F"/>
    <w:rsid w:val="00AF139E"/>
    <w:rsid w:val="00AF4A84"/>
    <w:rsid w:val="00B03959"/>
    <w:rsid w:val="00B1718B"/>
    <w:rsid w:val="00B17EC7"/>
    <w:rsid w:val="00B21E9F"/>
    <w:rsid w:val="00B25350"/>
    <w:rsid w:val="00B400CA"/>
    <w:rsid w:val="00B6228B"/>
    <w:rsid w:val="00B62B7E"/>
    <w:rsid w:val="00B6494E"/>
    <w:rsid w:val="00B71C55"/>
    <w:rsid w:val="00B86483"/>
    <w:rsid w:val="00B97214"/>
    <w:rsid w:val="00BA30DB"/>
    <w:rsid w:val="00BB27F5"/>
    <w:rsid w:val="00BC7C38"/>
    <w:rsid w:val="00C02FCC"/>
    <w:rsid w:val="00C04A76"/>
    <w:rsid w:val="00C05262"/>
    <w:rsid w:val="00C10EDE"/>
    <w:rsid w:val="00C162A8"/>
    <w:rsid w:val="00C21B8A"/>
    <w:rsid w:val="00C243AE"/>
    <w:rsid w:val="00C25BF2"/>
    <w:rsid w:val="00C479F7"/>
    <w:rsid w:val="00C47B6A"/>
    <w:rsid w:val="00C47F72"/>
    <w:rsid w:val="00C51932"/>
    <w:rsid w:val="00C5202A"/>
    <w:rsid w:val="00C56264"/>
    <w:rsid w:val="00C66414"/>
    <w:rsid w:val="00C9119B"/>
    <w:rsid w:val="00CD49A7"/>
    <w:rsid w:val="00CE293A"/>
    <w:rsid w:val="00CF4FB1"/>
    <w:rsid w:val="00D02611"/>
    <w:rsid w:val="00D12249"/>
    <w:rsid w:val="00D20990"/>
    <w:rsid w:val="00D23AEE"/>
    <w:rsid w:val="00D35E1B"/>
    <w:rsid w:val="00D43942"/>
    <w:rsid w:val="00D4637B"/>
    <w:rsid w:val="00D47CE3"/>
    <w:rsid w:val="00D566A4"/>
    <w:rsid w:val="00D62DA8"/>
    <w:rsid w:val="00D6385D"/>
    <w:rsid w:val="00D66E13"/>
    <w:rsid w:val="00D70DA5"/>
    <w:rsid w:val="00D751F4"/>
    <w:rsid w:val="00D77B02"/>
    <w:rsid w:val="00D90F55"/>
    <w:rsid w:val="00D97706"/>
    <w:rsid w:val="00DC20FF"/>
    <w:rsid w:val="00DC30CD"/>
    <w:rsid w:val="00DC4419"/>
    <w:rsid w:val="00DC4716"/>
    <w:rsid w:val="00DC60A2"/>
    <w:rsid w:val="00DD66E3"/>
    <w:rsid w:val="00DE5D14"/>
    <w:rsid w:val="00DF26F9"/>
    <w:rsid w:val="00DF76E2"/>
    <w:rsid w:val="00E06481"/>
    <w:rsid w:val="00E06EEE"/>
    <w:rsid w:val="00E106EA"/>
    <w:rsid w:val="00E14680"/>
    <w:rsid w:val="00E150FA"/>
    <w:rsid w:val="00E22AE4"/>
    <w:rsid w:val="00E3101A"/>
    <w:rsid w:val="00E3320F"/>
    <w:rsid w:val="00E33EDD"/>
    <w:rsid w:val="00E42A71"/>
    <w:rsid w:val="00E44D0C"/>
    <w:rsid w:val="00E65F44"/>
    <w:rsid w:val="00E7397D"/>
    <w:rsid w:val="00E80C78"/>
    <w:rsid w:val="00E921A8"/>
    <w:rsid w:val="00E9311D"/>
    <w:rsid w:val="00E95550"/>
    <w:rsid w:val="00EB00BF"/>
    <w:rsid w:val="00EB5D53"/>
    <w:rsid w:val="00EB670B"/>
    <w:rsid w:val="00EC6174"/>
    <w:rsid w:val="00ED4AD1"/>
    <w:rsid w:val="00EF653E"/>
    <w:rsid w:val="00F15858"/>
    <w:rsid w:val="00F23B79"/>
    <w:rsid w:val="00F42695"/>
    <w:rsid w:val="00F43833"/>
    <w:rsid w:val="00F51F8B"/>
    <w:rsid w:val="00F714FD"/>
    <w:rsid w:val="00F73655"/>
    <w:rsid w:val="00F803CB"/>
    <w:rsid w:val="00F83940"/>
    <w:rsid w:val="00F843B7"/>
    <w:rsid w:val="00F92A55"/>
    <w:rsid w:val="00F93682"/>
    <w:rsid w:val="00FA439A"/>
    <w:rsid w:val="00FB08A6"/>
    <w:rsid w:val="00FB4A91"/>
    <w:rsid w:val="00FC0A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link w:val="JuHIRomanChar"/>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CharChar">
    <w:name w:val="Ju_Judges Char Char"/>
    <w:basedOn w:val="Normal"/>
    <w:link w:val="JuJudgesCharCharChar"/>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link w:val="JuHAChar"/>
    <w:rsid w:val="007D2983"/>
    <w:pPr>
      <w:tabs>
        <w:tab w:val="clear" w:pos="357"/>
        <w:tab w:val="left" w:pos="584"/>
      </w:tabs>
      <w:ind w:left="584" w:hanging="352"/>
    </w:pPr>
    <w:rPr>
      <w:b/>
    </w:rPr>
  </w:style>
  <w:style w:type="paragraph" w:customStyle="1" w:styleId="JuQuot">
    <w:name w:val="Ju_Quot"/>
    <w:basedOn w:val="JuPara"/>
    <w:rsid w:val="007D2983"/>
    <w:pPr>
      <w:spacing w:before="120" w:after="120"/>
      <w:ind w:left="425" w:firstLine="142"/>
    </w:pPr>
    <w:rPr>
      <w:sz w:val="20"/>
    </w:rPr>
  </w:style>
  <w:style w:type="paragraph" w:customStyle="1" w:styleId="JuSigned">
    <w:name w:val="Ju_Signed"/>
    <w:basedOn w:val="Normal"/>
    <w:next w:val="JuParaLast"/>
    <w:rsid w:val="00E95550"/>
    <w:pPr>
      <w:tabs>
        <w:tab w:val="center" w:pos="851"/>
        <w:tab w:val="center" w:pos="6407"/>
      </w:tabs>
      <w:spacing w:before="720"/>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link w:val="JuHaChar0"/>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CharChar"/>
    <w:rsid w:val="007D2983"/>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link w:val="JuH1Char"/>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link w:val="JuHiChar"/>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tabs>
        <w:tab w:val="clear" w:pos="851"/>
      </w:tabs>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CharChar"/>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paragraph" w:styleId="NormalWeb">
    <w:name w:val="Normal (Web)"/>
    <w:basedOn w:val="Normal"/>
    <w:rsid w:val="00F73655"/>
    <w:pPr>
      <w:suppressAutoHyphens w:val="0"/>
      <w:spacing w:before="100" w:beforeAutospacing="1" w:after="100" w:afterAutospacing="1"/>
    </w:pPr>
    <w:rPr>
      <w:szCs w:val="24"/>
      <w:lang w:val="fr-FR"/>
    </w:rPr>
  </w:style>
  <w:style w:type="character" w:customStyle="1" w:styleId="JuParaChar">
    <w:name w:val="Ju_Para Char"/>
    <w:basedOn w:val="DefaultParagraphFont"/>
    <w:link w:val="JuPara"/>
    <w:rsid w:val="005141B8"/>
    <w:rPr>
      <w:sz w:val="24"/>
      <w:lang w:val="en-GB" w:eastAsia="fr-FR" w:bidi="ar-SA"/>
    </w:rPr>
  </w:style>
  <w:style w:type="character" w:customStyle="1" w:styleId="JuHHeadChar">
    <w:name w:val="Ju_H_Head Char"/>
    <w:basedOn w:val="DefaultParagraphFont"/>
    <w:link w:val="JuHHead"/>
    <w:rsid w:val="005141B8"/>
    <w:rPr>
      <w:sz w:val="28"/>
      <w:lang w:val="en-GB" w:eastAsia="fr-FR" w:bidi="ar-SA"/>
    </w:rPr>
  </w:style>
  <w:style w:type="character" w:customStyle="1" w:styleId="JuHIRomanChar">
    <w:name w:val="Ju_H_I_Roman Char"/>
    <w:basedOn w:val="JuHHeadChar"/>
    <w:link w:val="JuHIRoman"/>
    <w:rsid w:val="005141B8"/>
    <w:rPr>
      <w:sz w:val="24"/>
      <w:lang w:val="en-GB" w:eastAsia="fr-FR" w:bidi="ar-SA"/>
    </w:rPr>
  </w:style>
  <w:style w:type="character" w:customStyle="1" w:styleId="JuHAChar">
    <w:name w:val="Ju_H_A Char"/>
    <w:basedOn w:val="JuHIRomanChar"/>
    <w:link w:val="JuHA"/>
    <w:rsid w:val="005141B8"/>
    <w:rPr>
      <w:b/>
      <w:sz w:val="24"/>
      <w:lang w:val="en-GB" w:eastAsia="fr-FR" w:bidi="ar-SA"/>
    </w:rPr>
  </w:style>
  <w:style w:type="character" w:customStyle="1" w:styleId="JuH1Char">
    <w:name w:val="Ju_H_1. Char"/>
    <w:basedOn w:val="JuHAChar"/>
    <w:link w:val="JuH1"/>
    <w:rsid w:val="005141B8"/>
    <w:rPr>
      <w:b/>
      <w:i/>
      <w:sz w:val="24"/>
      <w:lang w:val="en-GB" w:eastAsia="fr-FR" w:bidi="ar-SA"/>
    </w:rPr>
  </w:style>
  <w:style w:type="character" w:customStyle="1" w:styleId="JuHaChar0">
    <w:name w:val="Ju_H_a Char"/>
    <w:basedOn w:val="JuH1Char"/>
    <w:link w:val="JuHa0"/>
    <w:rsid w:val="005141B8"/>
    <w:rPr>
      <w:b/>
      <w:i/>
      <w:sz w:val="24"/>
      <w:lang w:val="en-GB" w:eastAsia="fr-FR" w:bidi="ar-SA"/>
    </w:rPr>
  </w:style>
  <w:style w:type="character" w:customStyle="1" w:styleId="JuHiChar">
    <w:name w:val="Ju_H_i Char"/>
    <w:basedOn w:val="JuHaChar0"/>
    <w:link w:val="JuHi"/>
    <w:rsid w:val="005141B8"/>
    <w:rPr>
      <w:b/>
      <w:i/>
      <w:sz w:val="24"/>
      <w:lang w:val="en-GB" w:eastAsia="fr-FR" w:bidi="ar-SA"/>
    </w:rPr>
  </w:style>
  <w:style w:type="character" w:customStyle="1" w:styleId="JuJudgesCharCharChar">
    <w:name w:val="Ju_Judges Char Char Char"/>
    <w:basedOn w:val="DefaultParagraphFont"/>
    <w:link w:val="JuJudgesCharChar"/>
    <w:rsid w:val="00393677"/>
    <w:rPr>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814">
      <w:bodyDiv w:val="1"/>
      <w:marLeft w:val="0"/>
      <w:marRight w:val="0"/>
      <w:marTop w:val="0"/>
      <w:marBottom w:val="0"/>
      <w:divBdr>
        <w:top w:val="none" w:sz="0" w:space="0" w:color="auto"/>
        <w:left w:val="none" w:sz="0" w:space="0" w:color="auto"/>
        <w:bottom w:val="none" w:sz="0" w:space="0" w:color="auto"/>
        <w:right w:val="none" w:sz="0" w:space="0" w:color="auto"/>
      </w:divBdr>
    </w:div>
    <w:div w:id="685987426">
      <w:bodyDiv w:val="1"/>
      <w:marLeft w:val="0"/>
      <w:marRight w:val="0"/>
      <w:marTop w:val="0"/>
      <w:marBottom w:val="0"/>
      <w:divBdr>
        <w:top w:val="none" w:sz="0" w:space="0" w:color="auto"/>
        <w:left w:val="none" w:sz="0" w:space="0" w:color="auto"/>
        <w:bottom w:val="none" w:sz="0" w:space="0" w:color="auto"/>
        <w:right w:val="none" w:sz="0" w:space="0" w:color="auto"/>
      </w:divBdr>
    </w:div>
    <w:div w:id="1580559434">
      <w:bodyDiv w:val="1"/>
      <w:marLeft w:val="0"/>
      <w:marRight w:val="0"/>
      <w:marTop w:val="0"/>
      <w:marBottom w:val="0"/>
      <w:divBdr>
        <w:top w:val="none" w:sz="0" w:space="0" w:color="auto"/>
        <w:left w:val="none" w:sz="0" w:space="0" w:color="auto"/>
        <w:bottom w:val="none" w:sz="0" w:space="0" w:color="auto"/>
        <w:right w:val="none" w:sz="0" w:space="0" w:color="auto"/>
      </w:divBdr>
    </w:div>
    <w:div w:id="1909223379">
      <w:bodyDiv w:val="1"/>
      <w:marLeft w:val="0"/>
      <w:marRight w:val="0"/>
      <w:marTop w:val="0"/>
      <w:marBottom w:val="0"/>
      <w:divBdr>
        <w:top w:val="none" w:sz="0" w:space="0" w:color="auto"/>
        <w:left w:val="none" w:sz="0" w:space="0" w:color="auto"/>
        <w:bottom w:val="none" w:sz="0" w:space="0" w:color="auto"/>
        <w:right w:val="none" w:sz="0" w:space="0" w:color="auto"/>
      </w:divBdr>
    </w:div>
    <w:div w:id="1955208947">
      <w:bodyDiv w:val="1"/>
      <w:marLeft w:val="0"/>
      <w:marRight w:val="0"/>
      <w:marTop w:val="0"/>
      <w:marBottom w:val="0"/>
      <w:divBdr>
        <w:top w:val="none" w:sz="0" w:space="0" w:color="auto"/>
        <w:left w:val="none" w:sz="0" w:space="0" w:color="auto"/>
        <w:bottom w:val="none" w:sz="0" w:space="0" w:color="auto"/>
        <w:right w:val="none" w:sz="0" w:space="0" w:color="auto"/>
      </w:divBdr>
    </w:div>
    <w:div w:id="2034724229">
      <w:bodyDiv w:val="1"/>
      <w:marLeft w:val="0"/>
      <w:marRight w:val="0"/>
      <w:marTop w:val="0"/>
      <w:marBottom w:val="0"/>
      <w:divBdr>
        <w:top w:val="none" w:sz="0" w:space="0" w:color="auto"/>
        <w:left w:val="none" w:sz="0" w:space="0" w:color="auto"/>
        <w:bottom w:val="none" w:sz="0" w:space="0" w:color="auto"/>
        <w:right w:val="none" w:sz="0" w:space="0" w:color="auto"/>
      </w:divBdr>
    </w:div>
    <w:div w:id="20851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61BF3-A550-416E-9C19-85996ED9BAC3}"/>
</file>

<file path=customXml/itemProps2.xml><?xml version="1.0" encoding="utf-8"?>
<ds:datastoreItem xmlns:ds="http://schemas.openxmlformats.org/officeDocument/2006/customXml" ds:itemID="{052F4F81-3DE4-41DB-B738-0CD025B7794E}"/>
</file>

<file path=customXml/itemProps3.xml><?xml version="1.0" encoding="utf-8"?>
<ds:datastoreItem xmlns:ds="http://schemas.openxmlformats.org/officeDocument/2006/customXml" ds:itemID="{3F1E3A0E-BE6C-444D-B985-51224D00C3AC}"/>
</file>

<file path=docProps/app.xml><?xml version="1.0" encoding="utf-8"?>
<Properties xmlns="http://schemas.openxmlformats.org/officeDocument/2006/extended-properties" xmlns:vt="http://schemas.openxmlformats.org/officeDocument/2006/docPropsVTypes">
  <Template>Normal.dotm</Template>
  <TotalTime>2406</TotalTime>
  <Pages>1</Pages>
  <Words>5299</Words>
  <Characters>30209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Rosenberg</dc:creator>
  <cp:keywords/>
  <dc:description/>
  <cp:lastModifiedBy/>
  <cp:revision>4</cp:revision>
  <cp:lastPrinted>2005-11-24T15:55:00Z</cp:lastPrinted>
  <dcterms:created xsi:type="dcterms:W3CDTF">2019-03-14T06:49:00Z</dcterms:created>
  <dcterms:modified xsi:type="dcterms:W3CDTF">2019-03-14T06:49:00Z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