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6.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F10BA" w:rsidR="00641D6F" w:rsidP="008F10BA" w:rsidRDefault="00641D6F">
      <w:pPr>
        <w:jc w:val="center"/>
        <w:rPr>
          <w:lang w:val="en-GB"/>
        </w:rPr>
      </w:pPr>
      <w:bookmarkStart w:name="_GoBack" w:id="0"/>
      <w:bookmarkEnd w:id="0"/>
    </w:p>
    <w:p w:rsidRPr="008F10BA" w:rsidR="00641D6F" w:rsidP="008F10BA" w:rsidRDefault="00641D6F">
      <w:pPr>
        <w:jc w:val="center"/>
        <w:rPr>
          <w:lang w:val="en-GB"/>
        </w:rPr>
      </w:pPr>
    </w:p>
    <w:p w:rsidRPr="00522E7F" w:rsidR="00014566" w:rsidP="008F10BA" w:rsidRDefault="00014566">
      <w:pPr>
        <w:jc w:val="center"/>
        <w:rPr>
          <w:lang w:val="en-GB"/>
        </w:rPr>
      </w:pPr>
    </w:p>
    <w:p w:rsidRPr="00522E7F" w:rsidR="00014566" w:rsidP="00014566" w:rsidRDefault="002E2424">
      <w:pPr>
        <w:jc w:val="center"/>
        <w:rPr>
          <w:lang w:val="en-GB"/>
        </w:rPr>
      </w:pPr>
      <w:r w:rsidRPr="00522E7F">
        <w:rPr>
          <w:lang w:val="en-GB"/>
        </w:rPr>
        <w:t>SECOND SECTION</w:t>
      </w:r>
    </w:p>
    <w:p w:rsidR="00014566" w:rsidP="00014566" w:rsidRDefault="00014566">
      <w:pPr>
        <w:jc w:val="center"/>
        <w:rPr>
          <w:lang w:val="en-GB"/>
        </w:rPr>
      </w:pPr>
    </w:p>
    <w:p w:rsidR="00641D6F" w:rsidP="00014566" w:rsidRDefault="00641D6F">
      <w:pPr>
        <w:jc w:val="center"/>
        <w:rPr>
          <w:lang w:val="en-GB"/>
        </w:rPr>
      </w:pPr>
    </w:p>
    <w:p w:rsidR="00641D6F" w:rsidP="00014566" w:rsidRDefault="00641D6F">
      <w:pPr>
        <w:jc w:val="center"/>
        <w:rPr>
          <w:lang w:val="en-GB"/>
        </w:rPr>
      </w:pPr>
    </w:p>
    <w:p w:rsidR="00641D6F" w:rsidP="00014566" w:rsidRDefault="00641D6F">
      <w:pPr>
        <w:jc w:val="center"/>
        <w:rPr>
          <w:lang w:val="en-GB"/>
        </w:rPr>
      </w:pPr>
    </w:p>
    <w:p w:rsidR="00641D6F" w:rsidP="00014566" w:rsidRDefault="00641D6F">
      <w:pPr>
        <w:jc w:val="center"/>
        <w:rPr>
          <w:lang w:val="en-GB"/>
        </w:rPr>
      </w:pPr>
    </w:p>
    <w:p w:rsidR="00641D6F" w:rsidP="00014566" w:rsidRDefault="00641D6F">
      <w:pPr>
        <w:jc w:val="center"/>
        <w:rPr>
          <w:lang w:val="en-GB"/>
        </w:rPr>
      </w:pPr>
    </w:p>
    <w:p w:rsidRPr="00522E7F" w:rsidR="00641D6F" w:rsidP="00014566" w:rsidRDefault="00641D6F">
      <w:pPr>
        <w:jc w:val="center"/>
        <w:rPr>
          <w:lang w:val="en-GB"/>
        </w:rPr>
      </w:pPr>
    </w:p>
    <w:p w:rsidRPr="00522E7F" w:rsidR="00014566" w:rsidP="00014566" w:rsidRDefault="00014566">
      <w:pPr>
        <w:jc w:val="center"/>
        <w:rPr>
          <w:b/>
          <w:lang w:val="en-GB"/>
        </w:rPr>
      </w:pPr>
      <w:bookmarkStart w:name="To" w:id="1"/>
      <w:r w:rsidRPr="00522E7F">
        <w:rPr>
          <w:b/>
          <w:lang w:val="en-GB"/>
        </w:rPr>
        <w:t xml:space="preserve">CASE OF </w:t>
      </w:r>
      <w:bookmarkEnd w:id="1"/>
      <w:r w:rsidRPr="00522E7F" w:rsidR="002E2424">
        <w:rPr>
          <w:b/>
          <w:lang w:val="en-GB"/>
        </w:rPr>
        <w:t>VÉKONY v. HUNGARY</w:t>
      </w:r>
    </w:p>
    <w:p w:rsidRPr="00522E7F" w:rsidR="00014566" w:rsidP="00014566" w:rsidRDefault="00014566">
      <w:pPr>
        <w:jc w:val="center"/>
        <w:rPr>
          <w:lang w:val="en-GB"/>
        </w:rPr>
      </w:pPr>
    </w:p>
    <w:p w:rsidRPr="00522E7F" w:rsidR="00014566" w:rsidP="00014566" w:rsidRDefault="00014566">
      <w:pPr>
        <w:jc w:val="center"/>
        <w:rPr>
          <w:i/>
          <w:lang w:val="en-GB"/>
        </w:rPr>
      </w:pPr>
      <w:r w:rsidRPr="00522E7F">
        <w:rPr>
          <w:i/>
          <w:lang w:val="en-GB"/>
        </w:rPr>
        <w:t>(</w:t>
      </w:r>
      <w:r w:rsidRPr="00522E7F" w:rsidR="002E2424">
        <w:rPr>
          <w:i/>
          <w:lang w:val="en-GB"/>
        </w:rPr>
        <w:t>Application no. 65681/13</w:t>
      </w:r>
      <w:r w:rsidRPr="00522E7F">
        <w:rPr>
          <w:i/>
          <w:lang w:val="en-GB"/>
        </w:rPr>
        <w:t>)</w:t>
      </w:r>
    </w:p>
    <w:p w:rsidRPr="00522E7F" w:rsidR="00014566" w:rsidP="00014566" w:rsidRDefault="00014566">
      <w:pPr>
        <w:jc w:val="center"/>
        <w:rPr>
          <w:lang w:val="en-GB"/>
        </w:rPr>
      </w:pPr>
    </w:p>
    <w:p w:rsidR="00014566" w:rsidP="00014566" w:rsidRDefault="00014566">
      <w:pPr>
        <w:jc w:val="center"/>
        <w:rPr>
          <w:lang w:val="uk-UA"/>
        </w:rPr>
      </w:pPr>
    </w:p>
    <w:p w:rsidR="008F10BA" w:rsidP="00014566" w:rsidRDefault="008F10BA">
      <w:pPr>
        <w:jc w:val="center"/>
        <w:rPr>
          <w:lang w:val="uk-UA"/>
        </w:rPr>
      </w:pPr>
    </w:p>
    <w:p w:rsidRPr="008F10BA" w:rsidR="008F10BA" w:rsidP="00014566" w:rsidRDefault="008F10BA">
      <w:pPr>
        <w:jc w:val="center"/>
        <w:rPr>
          <w:lang w:val="uk-UA"/>
        </w:rPr>
      </w:pPr>
    </w:p>
    <w:p w:rsidRPr="00522E7F" w:rsidR="00014566" w:rsidP="00014566" w:rsidRDefault="00014566">
      <w:pPr>
        <w:jc w:val="center"/>
        <w:rPr>
          <w:lang w:val="en-GB"/>
        </w:rPr>
      </w:pPr>
    </w:p>
    <w:p w:rsidR="00014566" w:rsidP="00014566" w:rsidRDefault="00014566">
      <w:pPr>
        <w:jc w:val="center"/>
        <w:rPr>
          <w:lang w:val="en-GB"/>
        </w:rPr>
      </w:pPr>
    </w:p>
    <w:p w:rsidRPr="00522E7F" w:rsidR="00641D6F" w:rsidP="00014566" w:rsidRDefault="00641D6F">
      <w:pPr>
        <w:jc w:val="center"/>
        <w:rPr>
          <w:lang w:val="en-GB"/>
        </w:rPr>
      </w:pPr>
    </w:p>
    <w:p w:rsidRPr="00522E7F" w:rsidR="00014566" w:rsidP="00014566" w:rsidRDefault="00014566">
      <w:pPr>
        <w:jc w:val="center"/>
        <w:rPr>
          <w:lang w:val="en-GB"/>
        </w:rPr>
      </w:pPr>
    </w:p>
    <w:p w:rsidRPr="00641D6F" w:rsidR="00014566" w:rsidP="00641D6F" w:rsidRDefault="00641D6F">
      <w:pPr>
        <w:jc w:val="center"/>
        <w:rPr>
          <w:szCs w:val="24"/>
          <w:lang w:val="en-GB"/>
        </w:rPr>
      </w:pPr>
      <w:r>
        <w:rPr>
          <w:szCs w:val="24"/>
          <w:lang w:val="en-GB"/>
        </w:rPr>
        <w:t>JUDGMENT</w:t>
      </w:r>
    </w:p>
    <w:p w:rsidRPr="008F10BA" w:rsidR="00014566" w:rsidP="008F10BA" w:rsidRDefault="00014566">
      <w:pPr>
        <w:jc w:val="center"/>
        <w:rPr>
          <w:lang w:val="en-GB"/>
        </w:rPr>
      </w:pPr>
    </w:p>
    <w:p w:rsidR="00522E7F" w:rsidP="008F10BA" w:rsidRDefault="00522E7F">
      <w:pPr>
        <w:jc w:val="center"/>
        <w:rPr>
          <w:lang w:val="en-GB"/>
        </w:rPr>
      </w:pPr>
    </w:p>
    <w:p w:rsidR="00641D6F" w:rsidP="008F10BA" w:rsidRDefault="00641D6F">
      <w:pPr>
        <w:jc w:val="center"/>
        <w:rPr>
          <w:lang w:val="en-GB"/>
        </w:rPr>
      </w:pPr>
    </w:p>
    <w:p w:rsidR="00641D6F" w:rsidP="00641D6F" w:rsidRDefault="00641D6F">
      <w:pPr>
        <w:pStyle w:val="JuCase"/>
        <w:ind w:firstLine="0"/>
        <w:jc w:val="center"/>
        <w:rPr>
          <w:b w:val="0"/>
          <w:lang w:val="en-GB"/>
        </w:rPr>
      </w:pPr>
      <w:r>
        <w:rPr>
          <w:b w:val="0"/>
          <w:lang w:val="en-GB"/>
        </w:rPr>
        <w:t>STRASBOURG</w:t>
      </w:r>
    </w:p>
    <w:p w:rsidR="00641D6F" w:rsidP="00641D6F" w:rsidRDefault="00641D6F">
      <w:pPr>
        <w:pStyle w:val="JuCase"/>
        <w:ind w:firstLine="0"/>
        <w:jc w:val="center"/>
        <w:rPr>
          <w:b w:val="0"/>
          <w:lang w:val="en-GB"/>
        </w:rPr>
      </w:pPr>
    </w:p>
    <w:p w:rsidR="00641D6F" w:rsidP="00641D6F" w:rsidRDefault="00641D6F">
      <w:pPr>
        <w:pStyle w:val="JuCase"/>
        <w:ind w:firstLine="0"/>
        <w:jc w:val="center"/>
        <w:rPr>
          <w:b w:val="0"/>
          <w:lang w:val="en-GB"/>
        </w:rPr>
      </w:pPr>
      <w:r>
        <w:rPr>
          <w:b w:val="0"/>
          <w:lang w:val="en-GB"/>
        </w:rPr>
        <w:t>13 January 2015</w:t>
      </w:r>
    </w:p>
    <w:p w:rsidR="00641D6F" w:rsidP="00641D6F" w:rsidRDefault="00641D6F">
      <w:pPr>
        <w:pStyle w:val="JuCase"/>
        <w:ind w:firstLine="0"/>
        <w:jc w:val="center"/>
        <w:rPr>
          <w:b w:val="0"/>
          <w:lang w:val="uk-UA"/>
        </w:rPr>
      </w:pPr>
    </w:p>
    <w:p w:rsidR="008F10BA" w:rsidP="008F10BA" w:rsidRDefault="008F10BA">
      <w:pPr>
        <w:rPr>
          <w:lang w:val="uk-UA"/>
        </w:rPr>
      </w:pPr>
    </w:p>
    <w:p w:rsidR="00DD4387" w:rsidP="00DD4387" w:rsidRDefault="00DD4387">
      <w:pPr>
        <w:pStyle w:val="jucase0"/>
        <w:ind w:firstLine="0"/>
        <w:jc w:val="center"/>
        <w:rPr>
          <w:color w:val="FF0000"/>
          <w:sz w:val="28"/>
          <w:szCs w:val="28"/>
          <w:u w:val="single"/>
        </w:rPr>
      </w:pPr>
      <w:r>
        <w:rPr>
          <w:color w:val="FF0000"/>
          <w:sz w:val="28"/>
          <w:szCs w:val="28"/>
          <w:u w:val="single"/>
        </w:rPr>
        <w:t>FINAL</w:t>
      </w:r>
    </w:p>
    <w:p w:rsidR="00DD4387" w:rsidP="00DD4387" w:rsidRDefault="00DD4387">
      <w:pPr>
        <w:pStyle w:val="jupara"/>
        <w:tabs>
          <w:tab w:val="left" w:pos="4650"/>
        </w:tabs>
        <w:ind w:firstLine="0"/>
        <w:jc w:val="left"/>
        <w:rPr>
          <w:color w:val="FF0000"/>
          <w:sz w:val="28"/>
          <w:szCs w:val="28"/>
        </w:rPr>
      </w:pPr>
      <w:r>
        <w:rPr>
          <w:color w:val="FF0000"/>
          <w:sz w:val="28"/>
          <w:szCs w:val="28"/>
        </w:rPr>
        <w:tab/>
      </w:r>
    </w:p>
    <w:p w:rsidR="00DD4387" w:rsidP="00DD4387" w:rsidRDefault="00DD4387">
      <w:pPr>
        <w:pStyle w:val="jupara"/>
        <w:ind w:firstLine="0"/>
        <w:jc w:val="center"/>
        <w:rPr>
          <w:color w:val="FF0000"/>
          <w:sz w:val="28"/>
          <w:szCs w:val="28"/>
        </w:rPr>
      </w:pPr>
      <w:r>
        <w:rPr>
          <w:color w:val="FF0000"/>
          <w:sz w:val="28"/>
          <w:szCs w:val="28"/>
        </w:rPr>
        <w:t>01/06/2015</w:t>
      </w:r>
    </w:p>
    <w:p w:rsidR="00DD4387" w:rsidP="00DD4387" w:rsidRDefault="00DD4387">
      <w:pPr>
        <w:pStyle w:val="jupara"/>
        <w:ind w:firstLine="0"/>
        <w:jc w:val="center"/>
      </w:pPr>
    </w:p>
    <w:p w:rsidR="00DD4387" w:rsidP="00DD4387" w:rsidRDefault="00DD4387">
      <w:pPr>
        <w:jc w:val="center"/>
        <w:rPr>
          <w:i/>
          <w:iCs/>
          <w:sz w:val="22"/>
        </w:rPr>
      </w:pPr>
      <w:r>
        <w:rPr>
          <w:i/>
          <w:iCs/>
          <w:sz w:val="22"/>
        </w:rPr>
        <w:t>This judgment has become final under Article 44 § 2 of the Convention. It may be subject to editorial revision.</w:t>
      </w:r>
    </w:p>
    <w:p w:rsidRPr="00DD4387" w:rsidR="00641D6F" w:rsidP="00641D6F" w:rsidRDefault="00641D6F"/>
    <w:p w:rsidRPr="008F10BA" w:rsidR="008F10BA" w:rsidP="00641D6F" w:rsidRDefault="008F10BA">
      <w:pPr>
        <w:rPr>
          <w:lang w:val="uk-UA"/>
        </w:rPr>
        <w:sectPr w:rsidRPr="008F10BA" w:rsidR="008F10BA" w:rsidSect="00641D6F">
          <w:headerReference w:type="default" r:id="rId8"/>
          <w:headerReference w:type="first" r:id="rId9"/>
          <w:footerReference w:type="first" r:id="rId10"/>
          <w:footnotePr>
            <w:numRestart w:val="eachPage"/>
          </w:footnotePr>
          <w:pgSz w:w="11906" w:h="16838" w:code="9"/>
          <w:pgMar w:top="2274" w:right="2274" w:bottom="2274" w:left="2274" w:header="1701" w:footer="720" w:gutter="0"/>
          <w:pgNumType w:start="1"/>
          <w:cols w:space="720"/>
          <w:titlePg/>
          <w:docGrid w:linePitch="326"/>
        </w:sectPr>
      </w:pPr>
    </w:p>
    <w:p w:rsidRPr="00522E7F" w:rsidR="00014566" w:rsidP="00D60D87" w:rsidRDefault="00014566">
      <w:pPr>
        <w:pStyle w:val="JuCase"/>
        <w:rPr>
          <w:bCs/>
          <w:lang w:val="en-GB"/>
        </w:rPr>
      </w:pPr>
      <w:r w:rsidRPr="00522E7F">
        <w:rPr>
          <w:lang w:val="en-GB"/>
        </w:rPr>
        <w:t xml:space="preserve">In the case of </w:t>
      </w:r>
      <w:proofErr w:type="spellStart"/>
      <w:r w:rsidRPr="00522E7F" w:rsidR="002E2424">
        <w:rPr>
          <w:lang w:val="en-GB"/>
        </w:rPr>
        <w:t>Vékony</w:t>
      </w:r>
      <w:proofErr w:type="spellEnd"/>
      <w:r w:rsidRPr="00522E7F" w:rsidR="002E2424">
        <w:rPr>
          <w:lang w:val="en-GB"/>
        </w:rPr>
        <w:t xml:space="preserve"> v. Hungary</w:t>
      </w:r>
      <w:r w:rsidRPr="00522E7F">
        <w:rPr>
          <w:lang w:val="en-GB"/>
        </w:rPr>
        <w:t>,</w:t>
      </w:r>
    </w:p>
    <w:p w:rsidRPr="00522E7F" w:rsidR="00014566" w:rsidP="005E2A43" w:rsidRDefault="00014566">
      <w:pPr>
        <w:pStyle w:val="ECHRPara"/>
        <w:rPr>
          <w:lang w:val="en-GB"/>
        </w:rPr>
      </w:pPr>
      <w:r w:rsidRPr="00522E7F">
        <w:rPr>
          <w:lang w:val="en-GB"/>
        </w:rPr>
        <w:t>The European Court of Human Rights (</w:t>
      </w:r>
      <w:r w:rsidRPr="00522E7F" w:rsidR="002E2424">
        <w:rPr>
          <w:lang w:val="en-GB"/>
        </w:rPr>
        <w:t>Second Section</w:t>
      </w:r>
      <w:r w:rsidRPr="00522E7F">
        <w:rPr>
          <w:lang w:val="en-GB"/>
        </w:rPr>
        <w:t xml:space="preserve">), sitting as a </w:t>
      </w:r>
      <w:r w:rsidRPr="00522E7F" w:rsidR="002E2424">
        <w:rPr>
          <w:lang w:val="en-GB"/>
        </w:rPr>
        <w:t>Chamber</w:t>
      </w:r>
      <w:r w:rsidRPr="00522E7F">
        <w:rPr>
          <w:lang w:val="en-GB"/>
        </w:rPr>
        <w:t xml:space="preserve"> composed of:</w:t>
      </w:r>
    </w:p>
    <w:p w:rsidRPr="00522E7F" w:rsidR="00014566" w:rsidP="00DF0549" w:rsidRDefault="00641D6F">
      <w:pPr>
        <w:pStyle w:val="ECHRDecisionBody"/>
        <w:rPr>
          <w:lang w:val="en-GB"/>
        </w:rPr>
      </w:pPr>
      <w:r w:rsidRPr="00641D6F">
        <w:tab/>
        <w:t>Guido</w:t>
      </w:r>
      <w:r>
        <w:t xml:space="preserve"> </w:t>
      </w:r>
      <w:r w:rsidRPr="00641D6F">
        <w:t>Raimondi</w:t>
      </w:r>
      <w:r>
        <w:t>,</w:t>
      </w:r>
      <w:r w:rsidRPr="00641D6F">
        <w:rPr>
          <w:i/>
        </w:rPr>
        <w:t xml:space="preserve"> President,</w:t>
      </w:r>
      <w:r>
        <w:rPr>
          <w:i/>
        </w:rPr>
        <w:br/>
      </w:r>
      <w:r w:rsidRPr="00641D6F">
        <w:tab/>
      </w:r>
      <w:proofErr w:type="spellStart"/>
      <w:r w:rsidRPr="00641D6F">
        <w:t>Işıl</w:t>
      </w:r>
      <w:proofErr w:type="spellEnd"/>
      <w:r>
        <w:t xml:space="preserve"> </w:t>
      </w:r>
      <w:proofErr w:type="spellStart"/>
      <w:r w:rsidRPr="00641D6F">
        <w:t>Karakaş</w:t>
      </w:r>
      <w:proofErr w:type="spellEnd"/>
      <w:r>
        <w:t>,</w:t>
      </w:r>
      <w:r>
        <w:rPr>
          <w:i/>
        </w:rPr>
        <w:br/>
      </w:r>
      <w:r w:rsidRPr="00641D6F">
        <w:tab/>
      </w:r>
      <w:proofErr w:type="spellStart"/>
      <w:r w:rsidRPr="00641D6F">
        <w:t>András</w:t>
      </w:r>
      <w:proofErr w:type="spellEnd"/>
      <w:r>
        <w:t xml:space="preserve"> </w:t>
      </w:r>
      <w:proofErr w:type="spellStart"/>
      <w:r w:rsidRPr="00641D6F">
        <w:t>Sajó</w:t>
      </w:r>
      <w:proofErr w:type="spellEnd"/>
      <w:r>
        <w:t>,</w:t>
      </w:r>
      <w:r>
        <w:rPr>
          <w:i/>
        </w:rPr>
        <w:br/>
      </w:r>
      <w:r w:rsidRPr="00641D6F">
        <w:tab/>
      </w:r>
      <w:proofErr w:type="spellStart"/>
      <w:r w:rsidRPr="00641D6F">
        <w:t>Nebojša</w:t>
      </w:r>
      <w:proofErr w:type="spellEnd"/>
      <w:r>
        <w:t xml:space="preserve"> </w:t>
      </w:r>
      <w:proofErr w:type="spellStart"/>
      <w:r w:rsidRPr="00641D6F">
        <w:t>Vučinić</w:t>
      </w:r>
      <w:proofErr w:type="spellEnd"/>
      <w:r>
        <w:t>,</w:t>
      </w:r>
      <w:r>
        <w:rPr>
          <w:i/>
        </w:rPr>
        <w:br/>
      </w:r>
      <w:r w:rsidRPr="00641D6F">
        <w:tab/>
      </w:r>
      <w:proofErr w:type="spellStart"/>
      <w:r w:rsidRPr="00641D6F">
        <w:t>Egidijus</w:t>
      </w:r>
      <w:proofErr w:type="spellEnd"/>
      <w:r>
        <w:t xml:space="preserve"> </w:t>
      </w:r>
      <w:proofErr w:type="spellStart"/>
      <w:r w:rsidRPr="00641D6F">
        <w:t>Kūris</w:t>
      </w:r>
      <w:proofErr w:type="spellEnd"/>
      <w:r>
        <w:t>,</w:t>
      </w:r>
      <w:r>
        <w:rPr>
          <w:i/>
        </w:rPr>
        <w:br/>
      </w:r>
      <w:r w:rsidRPr="00641D6F">
        <w:tab/>
        <w:t>Robert</w:t>
      </w:r>
      <w:r>
        <w:t xml:space="preserve"> </w:t>
      </w:r>
      <w:proofErr w:type="spellStart"/>
      <w:r w:rsidRPr="00641D6F">
        <w:t>Spano</w:t>
      </w:r>
      <w:proofErr w:type="spellEnd"/>
      <w:r>
        <w:t>,</w:t>
      </w:r>
      <w:r>
        <w:rPr>
          <w:i/>
        </w:rPr>
        <w:br/>
      </w:r>
      <w:r w:rsidRPr="00641D6F">
        <w:tab/>
        <w:t xml:space="preserve">Jon </w:t>
      </w:r>
      <w:proofErr w:type="spellStart"/>
      <w:r w:rsidRPr="00641D6F">
        <w:t>Fridrik</w:t>
      </w:r>
      <w:proofErr w:type="spellEnd"/>
      <w:r>
        <w:t xml:space="preserve"> </w:t>
      </w:r>
      <w:proofErr w:type="spellStart"/>
      <w:r w:rsidRPr="00641D6F">
        <w:t>Kjølbro</w:t>
      </w:r>
      <w:proofErr w:type="spellEnd"/>
      <w:r>
        <w:t>,</w:t>
      </w:r>
      <w:r w:rsidRPr="00641D6F">
        <w:rPr>
          <w:i/>
        </w:rPr>
        <w:t xml:space="preserve"> judges,</w:t>
      </w:r>
      <w:r>
        <w:rPr>
          <w:i/>
        </w:rPr>
        <w:br/>
      </w:r>
      <w:r w:rsidRPr="00522E7F" w:rsidR="00014566">
        <w:rPr>
          <w:lang w:val="en-GB"/>
        </w:rPr>
        <w:t xml:space="preserve">and </w:t>
      </w:r>
      <w:r w:rsidRPr="00522E7F" w:rsidR="002E2424">
        <w:rPr>
          <w:lang w:val="en-GB"/>
        </w:rPr>
        <w:t>Stanley Naismith</w:t>
      </w:r>
      <w:r w:rsidRPr="00522E7F" w:rsidR="00014566">
        <w:rPr>
          <w:lang w:val="en-GB"/>
        </w:rPr>
        <w:t xml:space="preserve">, </w:t>
      </w:r>
      <w:r w:rsidRPr="00522E7F" w:rsidR="002E2424">
        <w:rPr>
          <w:i/>
          <w:lang w:val="en-GB"/>
        </w:rPr>
        <w:t xml:space="preserve">Section </w:t>
      </w:r>
      <w:r w:rsidRPr="00522E7F" w:rsidR="002E2424">
        <w:rPr>
          <w:i/>
          <w:iCs/>
          <w:lang w:val="en-GB"/>
        </w:rPr>
        <w:t>Registrar</w:t>
      </w:r>
      <w:r w:rsidRPr="00522E7F" w:rsidR="00014566">
        <w:rPr>
          <w:i/>
          <w:lang w:val="en-GB"/>
        </w:rPr>
        <w:t>,</w:t>
      </w:r>
    </w:p>
    <w:p w:rsidRPr="00522E7F" w:rsidR="00014566" w:rsidP="00C621C2" w:rsidRDefault="00014566">
      <w:pPr>
        <w:pStyle w:val="ECHRPara"/>
        <w:rPr>
          <w:lang w:val="en-GB"/>
        </w:rPr>
      </w:pPr>
      <w:r w:rsidRPr="00522E7F">
        <w:rPr>
          <w:lang w:val="en-GB"/>
        </w:rPr>
        <w:t xml:space="preserve">Having deliberated in private on </w:t>
      </w:r>
      <w:r w:rsidR="00641D6F">
        <w:rPr>
          <w:lang w:val="en-GB"/>
        </w:rPr>
        <w:t>25 November 2014</w:t>
      </w:r>
      <w:r w:rsidRPr="00522E7F">
        <w:rPr>
          <w:lang w:val="en-GB"/>
        </w:rPr>
        <w:t>,</w:t>
      </w:r>
    </w:p>
    <w:p w:rsidRPr="00522E7F" w:rsidR="00014566" w:rsidP="00C621C2" w:rsidRDefault="00014566">
      <w:pPr>
        <w:pStyle w:val="ECHRPara"/>
        <w:rPr>
          <w:lang w:val="en-GB"/>
        </w:rPr>
      </w:pPr>
      <w:r w:rsidRPr="00522E7F">
        <w:rPr>
          <w:lang w:val="en-GB"/>
        </w:rPr>
        <w:t>Delivers the following judgment, which was adopted on that date:</w:t>
      </w:r>
    </w:p>
    <w:p w:rsidRPr="00522E7F" w:rsidR="00014566" w:rsidP="00014566" w:rsidRDefault="00014566">
      <w:pPr>
        <w:pStyle w:val="ECHRTitle1"/>
        <w:rPr>
          <w:lang w:val="en-GB"/>
        </w:rPr>
      </w:pPr>
      <w:r w:rsidRPr="00522E7F">
        <w:rPr>
          <w:lang w:val="en-GB"/>
        </w:rPr>
        <w:t>PROCEDURE</w:t>
      </w:r>
    </w:p>
    <w:p w:rsidRPr="00522E7F" w:rsidR="009949DC" w:rsidP="00C621C2" w:rsidRDefault="002E2424">
      <w:pPr>
        <w:pStyle w:val="ECHRPara"/>
        <w:rPr>
          <w:lang w:val="en-GB"/>
        </w:rPr>
      </w:pPr>
      <w:r w:rsidRPr="00522E7F">
        <w:rPr>
          <w:lang w:val="en-GB"/>
        </w:rPr>
        <w:fldChar w:fldCharType="begin"/>
      </w:r>
      <w:r w:rsidRPr="00522E7F">
        <w:rPr>
          <w:lang w:val="en-GB"/>
        </w:rPr>
        <w:instrText xml:space="preserve"> SEQ level0 \*arabic </w:instrText>
      </w:r>
      <w:r w:rsidRPr="00522E7F">
        <w:rPr>
          <w:lang w:val="en-GB"/>
        </w:rPr>
        <w:fldChar w:fldCharType="separate"/>
      </w:r>
      <w:r w:rsidR="00F12B01">
        <w:rPr>
          <w:noProof/>
          <w:lang w:val="en-GB"/>
        </w:rPr>
        <w:t>1</w:t>
      </w:r>
      <w:r w:rsidRPr="00522E7F">
        <w:rPr>
          <w:lang w:val="en-GB"/>
        </w:rPr>
        <w:fldChar w:fldCharType="end"/>
      </w:r>
      <w:r w:rsidRPr="00522E7F" w:rsidR="00014566">
        <w:rPr>
          <w:lang w:val="en-GB"/>
        </w:rPr>
        <w:t xml:space="preserve">.  The case originated in </w:t>
      </w:r>
      <w:r w:rsidRPr="00522E7F">
        <w:rPr>
          <w:lang w:val="en-GB"/>
        </w:rPr>
        <w:t>an application (no. 65681/13)</w:t>
      </w:r>
      <w:r w:rsidRPr="00522E7F" w:rsidR="00014566">
        <w:rPr>
          <w:lang w:val="en-GB"/>
        </w:rPr>
        <w:t xml:space="preserve"> against </w:t>
      </w:r>
      <w:r w:rsidRPr="00522E7F">
        <w:rPr>
          <w:lang w:val="en-GB"/>
        </w:rPr>
        <w:t>Hungary</w:t>
      </w:r>
      <w:r w:rsidRPr="00522E7F" w:rsidR="00014566">
        <w:rPr>
          <w:lang w:val="en-GB"/>
        </w:rPr>
        <w:t xml:space="preserve"> lodged with the </w:t>
      </w:r>
      <w:r w:rsidRPr="00522E7F">
        <w:rPr>
          <w:lang w:val="en-GB"/>
        </w:rPr>
        <w:t>Court under Article 34</w:t>
      </w:r>
      <w:r w:rsidRPr="00522E7F" w:rsidR="00014566">
        <w:rPr>
          <w:lang w:val="en-GB"/>
        </w:rPr>
        <w:t xml:space="preserve"> of the Convention for the Protection of Human Rights and Fundamental Freedoms (“the Convention”) by </w:t>
      </w:r>
      <w:r w:rsidRPr="00522E7F">
        <w:rPr>
          <w:lang w:val="en-GB"/>
        </w:rPr>
        <w:t xml:space="preserve">a Hungarian national, Mr </w:t>
      </w:r>
      <w:proofErr w:type="spellStart"/>
      <w:r w:rsidRPr="00522E7F">
        <w:rPr>
          <w:lang w:val="en-GB"/>
        </w:rPr>
        <w:t>László</w:t>
      </w:r>
      <w:proofErr w:type="spellEnd"/>
      <w:r w:rsidRPr="00522E7F">
        <w:rPr>
          <w:lang w:val="en-GB"/>
        </w:rPr>
        <w:t xml:space="preserve"> </w:t>
      </w:r>
      <w:proofErr w:type="spellStart"/>
      <w:r w:rsidRPr="00522E7F">
        <w:rPr>
          <w:lang w:val="en-GB"/>
        </w:rPr>
        <w:t>Vékony</w:t>
      </w:r>
      <w:proofErr w:type="spellEnd"/>
      <w:r w:rsidRPr="00522E7F">
        <w:rPr>
          <w:lang w:val="en-GB"/>
        </w:rPr>
        <w:t xml:space="preserve"> (“the applicant”), on 14</w:t>
      </w:r>
      <w:r w:rsidR="00F8757D">
        <w:rPr>
          <w:lang w:val="en-GB"/>
        </w:rPr>
        <w:t> </w:t>
      </w:r>
      <w:r w:rsidRPr="00522E7F">
        <w:rPr>
          <w:lang w:val="en-GB"/>
        </w:rPr>
        <w:t>October</w:t>
      </w:r>
      <w:r w:rsidR="00F8757D">
        <w:rPr>
          <w:lang w:val="en-GB"/>
        </w:rPr>
        <w:t> </w:t>
      </w:r>
      <w:r w:rsidRPr="00522E7F">
        <w:rPr>
          <w:lang w:val="en-GB"/>
        </w:rPr>
        <w:t>2013</w:t>
      </w:r>
      <w:r w:rsidRPr="00522E7F" w:rsidR="00014566">
        <w:rPr>
          <w:lang w:val="en-GB"/>
        </w:rPr>
        <w:t>.</w:t>
      </w:r>
    </w:p>
    <w:p w:rsidRPr="00522E7F" w:rsidR="002E2424" w:rsidP="00C621C2" w:rsidRDefault="002E2424">
      <w:pPr>
        <w:pStyle w:val="ECHRPara"/>
        <w:rPr>
          <w:lang w:val="en-GB"/>
        </w:rPr>
      </w:pPr>
      <w:r w:rsidRPr="00522E7F">
        <w:rPr>
          <w:lang w:val="en-GB"/>
        </w:rPr>
        <w:fldChar w:fldCharType="begin"/>
      </w:r>
      <w:r w:rsidRPr="00522E7F">
        <w:rPr>
          <w:lang w:val="en-GB"/>
        </w:rPr>
        <w:instrText xml:space="preserve"> SEQ level0 \*arabic </w:instrText>
      </w:r>
      <w:r w:rsidRPr="00522E7F">
        <w:rPr>
          <w:lang w:val="en-GB"/>
        </w:rPr>
        <w:fldChar w:fldCharType="separate"/>
      </w:r>
      <w:r w:rsidR="00F12B01">
        <w:rPr>
          <w:noProof/>
          <w:lang w:val="en-GB"/>
        </w:rPr>
        <w:t>2</w:t>
      </w:r>
      <w:r w:rsidRPr="00522E7F">
        <w:rPr>
          <w:lang w:val="en-GB"/>
        </w:rPr>
        <w:fldChar w:fldCharType="end"/>
      </w:r>
      <w:r w:rsidRPr="00522E7F" w:rsidR="00014566">
        <w:rPr>
          <w:lang w:val="en-GB"/>
        </w:rPr>
        <w:t>.  </w:t>
      </w:r>
      <w:r w:rsidRPr="00522E7F">
        <w:rPr>
          <w:lang w:val="en-GB"/>
        </w:rPr>
        <w:t xml:space="preserve">The applicant was represented by Mr A. </w:t>
      </w:r>
      <w:proofErr w:type="spellStart"/>
      <w:r w:rsidRPr="00522E7F">
        <w:rPr>
          <w:lang w:val="en-GB"/>
        </w:rPr>
        <w:t>Cech</w:t>
      </w:r>
      <w:proofErr w:type="spellEnd"/>
      <w:r w:rsidRPr="00522E7F">
        <w:rPr>
          <w:lang w:val="en-GB"/>
        </w:rPr>
        <w:t xml:space="preserve">, a lawyer practising in Budapest. </w:t>
      </w:r>
      <w:r w:rsidRPr="00522E7F" w:rsidR="00014566">
        <w:rPr>
          <w:lang w:val="en-GB"/>
        </w:rPr>
        <w:t xml:space="preserve">The </w:t>
      </w:r>
      <w:r w:rsidRPr="00522E7F">
        <w:rPr>
          <w:lang w:val="en-GB"/>
        </w:rPr>
        <w:t>Hungarian</w:t>
      </w:r>
      <w:r w:rsidRPr="00522E7F" w:rsidR="00014566">
        <w:rPr>
          <w:lang w:val="en-GB"/>
        </w:rPr>
        <w:t xml:space="preserve"> Government (“the Government”) were represented by Mr </w:t>
      </w:r>
      <w:r w:rsidRPr="00522E7F">
        <w:rPr>
          <w:lang w:val="en-GB"/>
        </w:rPr>
        <w:t xml:space="preserve">Z. </w:t>
      </w:r>
      <w:proofErr w:type="spellStart"/>
      <w:r w:rsidRPr="00522E7F">
        <w:rPr>
          <w:lang w:val="en-GB"/>
        </w:rPr>
        <w:t>Tallódi</w:t>
      </w:r>
      <w:proofErr w:type="spellEnd"/>
      <w:r w:rsidRPr="00522E7F">
        <w:rPr>
          <w:lang w:val="en-GB"/>
        </w:rPr>
        <w:t>, Agent, Ministry of Public Administration and Justice</w:t>
      </w:r>
      <w:r w:rsidRPr="00522E7F" w:rsidR="00014566">
        <w:rPr>
          <w:lang w:val="en-GB"/>
        </w:rPr>
        <w:t>.</w:t>
      </w:r>
    </w:p>
    <w:p w:rsidRPr="00522E7F" w:rsidR="00F21798" w:rsidP="00F21798" w:rsidRDefault="002E2424">
      <w:pPr>
        <w:pStyle w:val="ECHRPara"/>
        <w:rPr>
          <w:lang w:val="en-GB"/>
        </w:rPr>
      </w:pPr>
      <w:r w:rsidRPr="00522E7F">
        <w:rPr>
          <w:lang w:val="en-GB"/>
        </w:rPr>
        <w:fldChar w:fldCharType="begin"/>
      </w:r>
      <w:r w:rsidRPr="00522E7F">
        <w:rPr>
          <w:lang w:val="en-GB"/>
        </w:rPr>
        <w:instrText xml:space="preserve"> SEQ level0 \*arabic </w:instrText>
      </w:r>
      <w:r w:rsidRPr="00522E7F">
        <w:rPr>
          <w:lang w:val="en-GB"/>
        </w:rPr>
        <w:fldChar w:fldCharType="separate"/>
      </w:r>
      <w:r w:rsidR="00F12B01">
        <w:rPr>
          <w:noProof/>
          <w:lang w:val="en-GB"/>
        </w:rPr>
        <w:t>3</w:t>
      </w:r>
      <w:r w:rsidRPr="00522E7F">
        <w:rPr>
          <w:lang w:val="en-GB"/>
        </w:rPr>
        <w:fldChar w:fldCharType="end"/>
      </w:r>
      <w:r w:rsidRPr="00522E7F">
        <w:rPr>
          <w:lang w:val="en-GB"/>
        </w:rPr>
        <w:t xml:space="preserve">.  The applicant alleged </w:t>
      </w:r>
      <w:r w:rsidRPr="00522E7F" w:rsidR="00F21798">
        <w:rPr>
          <w:lang w:val="en-GB"/>
        </w:rPr>
        <w:t xml:space="preserve">under Article 1 of Protocol No. 1 read alone and in conjunction with Article 14 of the Convention that the loss of </w:t>
      </w:r>
      <w:r w:rsidRPr="00522E7F" w:rsidR="0054144B">
        <w:rPr>
          <w:lang w:val="en-GB"/>
        </w:rPr>
        <w:t xml:space="preserve">his </w:t>
      </w:r>
      <w:r w:rsidRPr="00522E7F" w:rsidR="006E3D03">
        <w:rPr>
          <w:lang w:val="en-GB"/>
        </w:rPr>
        <w:t>tobacco retail</w:t>
      </w:r>
      <w:r w:rsidRPr="00522E7F" w:rsidR="00F21798">
        <w:rPr>
          <w:lang w:val="en-GB"/>
        </w:rPr>
        <w:t xml:space="preserve"> licence amounted to an unjustified deprivation of possessions in discriminatory circumstances.</w:t>
      </w:r>
    </w:p>
    <w:p w:rsidRPr="00522E7F" w:rsidR="00014566" w:rsidP="00C621C2" w:rsidRDefault="002E2424">
      <w:pPr>
        <w:pStyle w:val="ECHRPara"/>
        <w:rPr>
          <w:lang w:val="en-GB"/>
        </w:rPr>
      </w:pPr>
      <w:r w:rsidRPr="00522E7F">
        <w:rPr>
          <w:lang w:val="en-GB"/>
        </w:rPr>
        <w:fldChar w:fldCharType="begin"/>
      </w:r>
      <w:r w:rsidRPr="00522E7F">
        <w:rPr>
          <w:lang w:val="en-GB"/>
        </w:rPr>
        <w:instrText xml:space="preserve"> SEQ level0 \*arabic </w:instrText>
      </w:r>
      <w:r w:rsidRPr="00522E7F">
        <w:rPr>
          <w:lang w:val="en-GB"/>
        </w:rPr>
        <w:fldChar w:fldCharType="separate"/>
      </w:r>
      <w:r w:rsidR="00F12B01">
        <w:rPr>
          <w:noProof/>
          <w:lang w:val="en-GB"/>
        </w:rPr>
        <w:t>4</w:t>
      </w:r>
      <w:r w:rsidRPr="00522E7F">
        <w:rPr>
          <w:lang w:val="en-GB"/>
        </w:rPr>
        <w:fldChar w:fldCharType="end"/>
      </w:r>
      <w:r w:rsidRPr="00522E7F" w:rsidR="00014566">
        <w:rPr>
          <w:lang w:val="en-GB"/>
        </w:rPr>
        <w:t>.  </w:t>
      </w:r>
      <w:r w:rsidRPr="00522E7F">
        <w:rPr>
          <w:lang w:val="en-GB"/>
        </w:rPr>
        <w:t xml:space="preserve">On </w:t>
      </w:r>
      <w:r w:rsidRPr="00522E7F">
        <w:rPr>
          <w:szCs w:val="24"/>
          <w:lang w:val="en-GB"/>
        </w:rPr>
        <w:t>15 November 2013</w:t>
      </w:r>
      <w:r w:rsidRPr="00522E7F" w:rsidR="00014566">
        <w:rPr>
          <w:lang w:val="en-GB"/>
        </w:rPr>
        <w:t xml:space="preserve"> the </w:t>
      </w:r>
      <w:r w:rsidRPr="00522E7F">
        <w:rPr>
          <w:lang w:val="en-GB"/>
        </w:rPr>
        <w:t>application was communicated to the Government</w:t>
      </w:r>
      <w:r w:rsidRPr="00522E7F" w:rsidR="00014566">
        <w:rPr>
          <w:lang w:val="en-GB"/>
        </w:rPr>
        <w:t>.</w:t>
      </w:r>
    </w:p>
    <w:p w:rsidRPr="00522E7F" w:rsidR="00014566" w:rsidP="00294C92" w:rsidRDefault="00014566">
      <w:pPr>
        <w:pStyle w:val="ECHRTitle1"/>
        <w:rPr>
          <w:lang w:val="en-GB"/>
        </w:rPr>
      </w:pPr>
      <w:r w:rsidRPr="00522E7F">
        <w:rPr>
          <w:lang w:val="en-GB"/>
        </w:rPr>
        <w:t>THE FACTS</w:t>
      </w:r>
    </w:p>
    <w:p w:rsidRPr="00522E7F" w:rsidR="00014566" w:rsidP="00014566" w:rsidRDefault="00014566">
      <w:pPr>
        <w:pStyle w:val="ECHRHeading1"/>
        <w:rPr>
          <w:lang w:val="en-GB"/>
        </w:rPr>
      </w:pPr>
      <w:r w:rsidRPr="00522E7F">
        <w:rPr>
          <w:lang w:val="en-GB"/>
        </w:rPr>
        <w:t>I.  THE CIRCUMSTANCES OF THE CASE</w:t>
      </w:r>
    </w:p>
    <w:p w:rsidRPr="00522E7F" w:rsidR="00014566" w:rsidP="00C621C2" w:rsidRDefault="009949DC">
      <w:pPr>
        <w:pStyle w:val="ECHRPara"/>
        <w:rPr>
          <w:lang w:val="en-GB"/>
        </w:rPr>
      </w:pPr>
      <w:r w:rsidRPr="00522E7F">
        <w:rPr>
          <w:lang w:val="en-GB"/>
        </w:rPr>
        <w:fldChar w:fldCharType="begin"/>
      </w:r>
      <w:r w:rsidRPr="00522E7F">
        <w:rPr>
          <w:lang w:val="en-GB"/>
        </w:rPr>
        <w:instrText xml:space="preserve"> SEQ level0 \*arabic </w:instrText>
      </w:r>
      <w:r w:rsidRPr="00522E7F">
        <w:rPr>
          <w:lang w:val="en-GB"/>
        </w:rPr>
        <w:fldChar w:fldCharType="separate"/>
      </w:r>
      <w:r w:rsidR="00F12B01">
        <w:rPr>
          <w:noProof/>
          <w:lang w:val="en-GB"/>
        </w:rPr>
        <w:t>5</w:t>
      </w:r>
      <w:r w:rsidRPr="00522E7F">
        <w:rPr>
          <w:lang w:val="en-GB"/>
        </w:rPr>
        <w:fldChar w:fldCharType="end"/>
      </w:r>
      <w:r w:rsidRPr="00522E7F">
        <w:rPr>
          <w:lang w:val="en-GB"/>
        </w:rPr>
        <w:t>.  </w:t>
      </w:r>
      <w:r w:rsidRPr="00522E7F" w:rsidR="00014566">
        <w:rPr>
          <w:lang w:val="en-GB"/>
        </w:rPr>
        <w:t xml:space="preserve">The </w:t>
      </w:r>
      <w:r w:rsidRPr="00522E7F" w:rsidR="002E2424">
        <w:rPr>
          <w:lang w:val="en-GB"/>
        </w:rPr>
        <w:t>applicant was born in 1950 and lives</w:t>
      </w:r>
      <w:r w:rsidRPr="00522E7F" w:rsidR="00014566">
        <w:rPr>
          <w:lang w:val="en-GB"/>
        </w:rPr>
        <w:t xml:space="preserve"> in </w:t>
      </w:r>
      <w:r w:rsidRPr="00522E7F" w:rsidR="002E2424">
        <w:rPr>
          <w:lang w:val="en-GB"/>
        </w:rPr>
        <w:t>Sopron</w:t>
      </w:r>
      <w:r w:rsidRPr="00522E7F" w:rsidR="00014566">
        <w:rPr>
          <w:lang w:val="en-GB"/>
        </w:rPr>
        <w:t>.</w:t>
      </w:r>
    </w:p>
    <w:p w:rsidRPr="00522E7F" w:rsidR="007316E4" w:rsidP="007316E4" w:rsidRDefault="007316E4">
      <w:pPr>
        <w:pStyle w:val="ECHRHeading2"/>
        <w:rPr>
          <w:lang w:val="en-GB"/>
        </w:rPr>
      </w:pPr>
      <w:r w:rsidRPr="00522E7F">
        <w:rPr>
          <w:lang w:val="en-GB"/>
        </w:rPr>
        <w:t>A.  Particular circumstances of the case</w:t>
      </w:r>
    </w:p>
    <w:p w:rsidRPr="00522E7F" w:rsidR="00AF7707" w:rsidP="00C621C2" w:rsidRDefault="002E2424">
      <w:pPr>
        <w:pStyle w:val="ECHRPara"/>
        <w:rPr>
          <w:lang w:val="en-GB"/>
        </w:rPr>
      </w:pPr>
      <w:r w:rsidRPr="00522E7F">
        <w:rPr>
          <w:lang w:val="en-GB"/>
        </w:rPr>
        <w:fldChar w:fldCharType="begin"/>
      </w:r>
      <w:r w:rsidRPr="00522E7F">
        <w:rPr>
          <w:lang w:val="en-GB"/>
        </w:rPr>
        <w:instrText xml:space="preserve"> SEQ level0 \*arabic </w:instrText>
      </w:r>
      <w:r w:rsidRPr="00522E7F">
        <w:rPr>
          <w:lang w:val="en-GB"/>
        </w:rPr>
        <w:fldChar w:fldCharType="separate"/>
      </w:r>
      <w:r w:rsidR="00F12B01">
        <w:rPr>
          <w:noProof/>
          <w:lang w:val="en-GB"/>
        </w:rPr>
        <w:t>6</w:t>
      </w:r>
      <w:r w:rsidRPr="00522E7F">
        <w:rPr>
          <w:lang w:val="en-GB"/>
        </w:rPr>
        <w:fldChar w:fldCharType="end"/>
      </w:r>
      <w:r w:rsidRPr="00522E7F">
        <w:rPr>
          <w:lang w:val="en-GB"/>
        </w:rPr>
        <w:t>. </w:t>
      </w:r>
      <w:r w:rsidRPr="00522E7F" w:rsidR="00DF5B6A">
        <w:rPr>
          <w:lang w:val="en-GB"/>
        </w:rPr>
        <w:t>From</w:t>
      </w:r>
      <w:r w:rsidRPr="00522E7F">
        <w:rPr>
          <w:lang w:val="en-GB"/>
        </w:rPr>
        <w:t xml:space="preserve"> 1994 the applicant</w:t>
      </w:r>
      <w:r w:rsidR="006011C5">
        <w:rPr>
          <w:lang w:val="en-GB"/>
        </w:rPr>
        <w:t>’</w:t>
      </w:r>
      <w:r w:rsidRPr="00522E7F" w:rsidR="006E3D03">
        <w:rPr>
          <w:lang w:val="en-GB"/>
        </w:rPr>
        <w:t xml:space="preserve">s </w:t>
      </w:r>
      <w:r w:rsidRPr="00522E7F" w:rsidR="0054144B">
        <w:rPr>
          <w:lang w:val="en-GB"/>
        </w:rPr>
        <w:t xml:space="preserve">family operated a grocery with the </w:t>
      </w:r>
      <w:r w:rsidRPr="00522E7F" w:rsidR="00D17844">
        <w:rPr>
          <w:lang w:val="en-GB"/>
        </w:rPr>
        <w:t>personal</w:t>
      </w:r>
      <w:r w:rsidRPr="00522E7F" w:rsidR="0054144B">
        <w:rPr>
          <w:lang w:val="en-GB"/>
        </w:rPr>
        <w:t xml:space="preserve"> involvement of the applicant. </w:t>
      </w:r>
      <w:r w:rsidRPr="00522E7F" w:rsidR="00BB30F9">
        <w:rPr>
          <w:lang w:val="en-GB"/>
        </w:rPr>
        <w:t xml:space="preserve">They sold, initially under the excise </w:t>
      </w:r>
      <w:r w:rsidRPr="00522E7F" w:rsidR="006348C2">
        <w:rPr>
          <w:lang w:val="en-GB"/>
        </w:rPr>
        <w:t xml:space="preserve">licence of </w:t>
      </w:r>
      <w:r w:rsidRPr="00522E7F" w:rsidR="00BB30F9">
        <w:rPr>
          <w:lang w:val="en-GB"/>
        </w:rPr>
        <w:t>the applicant</w:t>
      </w:r>
      <w:r w:rsidR="006011C5">
        <w:rPr>
          <w:lang w:val="en-GB"/>
        </w:rPr>
        <w:t>’</w:t>
      </w:r>
      <w:r w:rsidRPr="00522E7F" w:rsidR="00BB30F9">
        <w:rPr>
          <w:lang w:val="en-GB"/>
        </w:rPr>
        <w:t>s mother</w:t>
      </w:r>
      <w:r w:rsidRPr="00522E7F" w:rsidR="006348C2">
        <w:rPr>
          <w:lang w:val="en-GB"/>
        </w:rPr>
        <w:t xml:space="preserve">, </w:t>
      </w:r>
      <w:r w:rsidRPr="00522E7F" w:rsidR="008576FE">
        <w:rPr>
          <w:lang w:val="en-GB"/>
        </w:rPr>
        <w:t>merchandise</w:t>
      </w:r>
      <w:r w:rsidRPr="00522E7F">
        <w:rPr>
          <w:lang w:val="en-GB"/>
        </w:rPr>
        <w:t xml:space="preserve"> subject to excise tax, that is, alcohol and tobacco products.</w:t>
      </w:r>
      <w:r w:rsidRPr="00522E7F" w:rsidR="008576FE">
        <w:rPr>
          <w:lang w:val="en-GB"/>
        </w:rPr>
        <w:t xml:space="preserve"> </w:t>
      </w:r>
      <w:r w:rsidRPr="00522E7F" w:rsidR="00AF7707">
        <w:rPr>
          <w:lang w:val="en-GB"/>
        </w:rPr>
        <w:t>On average, the turnover of tobacco retail represented about one-third of the family</w:t>
      </w:r>
      <w:r w:rsidR="006011C5">
        <w:rPr>
          <w:lang w:val="en-GB"/>
        </w:rPr>
        <w:t>’</w:t>
      </w:r>
      <w:r w:rsidRPr="00522E7F" w:rsidR="00AF7707">
        <w:rPr>
          <w:lang w:val="en-GB"/>
        </w:rPr>
        <w:t>s business.</w:t>
      </w:r>
    </w:p>
    <w:p w:rsidR="008F10BA" w:rsidP="00C621C2" w:rsidRDefault="0054144B">
      <w:pPr>
        <w:pStyle w:val="ECHRPara"/>
        <w:rPr>
          <w:lang w:val="en-GB"/>
        </w:rPr>
      </w:pPr>
      <w:r w:rsidRPr="00522E7F">
        <w:rPr>
          <w:lang w:val="en-GB"/>
        </w:rPr>
        <w:t xml:space="preserve">The applicant himself obtained a </w:t>
      </w:r>
      <w:r w:rsidRPr="00522E7F" w:rsidR="00F427C2">
        <w:rPr>
          <w:lang w:val="en-GB"/>
        </w:rPr>
        <w:t xml:space="preserve">shop-keeping </w:t>
      </w:r>
      <w:r w:rsidRPr="00522E7F">
        <w:rPr>
          <w:lang w:val="en-GB"/>
        </w:rPr>
        <w:t>licence in 1999</w:t>
      </w:r>
      <w:r w:rsidRPr="00522E7F" w:rsidR="00BD1E60">
        <w:rPr>
          <w:lang w:val="en-GB"/>
        </w:rPr>
        <w:t xml:space="preserve"> (see also </w:t>
      </w:r>
      <w:r w:rsidRPr="00522E7F" w:rsidR="001E3EF9">
        <w:rPr>
          <w:lang w:val="en-GB"/>
        </w:rPr>
        <w:t>paragraph 1</w:t>
      </w:r>
      <w:r w:rsidRPr="00522E7F" w:rsidR="007F3D63">
        <w:rPr>
          <w:lang w:val="en-GB"/>
        </w:rPr>
        <w:t>5</w:t>
      </w:r>
      <w:r w:rsidRPr="00522E7F" w:rsidR="00BD1E60">
        <w:rPr>
          <w:lang w:val="en-GB"/>
        </w:rPr>
        <w:t xml:space="preserve"> below)</w:t>
      </w:r>
      <w:r w:rsidRPr="00522E7F">
        <w:rPr>
          <w:lang w:val="en-GB"/>
        </w:rPr>
        <w:t xml:space="preserve">. </w:t>
      </w:r>
      <w:r w:rsidRPr="00522E7F" w:rsidR="008576FE">
        <w:rPr>
          <w:lang w:val="en-GB"/>
        </w:rPr>
        <w:t xml:space="preserve">In 2001 </w:t>
      </w:r>
      <w:r w:rsidRPr="00522E7F" w:rsidR="00F427C2">
        <w:rPr>
          <w:lang w:val="en-GB"/>
        </w:rPr>
        <w:t xml:space="preserve">he </w:t>
      </w:r>
      <w:r w:rsidRPr="00522E7F" w:rsidR="008576FE">
        <w:rPr>
          <w:lang w:val="en-GB"/>
        </w:rPr>
        <w:t>qualified as a trader and shop manager.</w:t>
      </w:r>
      <w:r w:rsidRPr="00522E7F" w:rsidR="00B00777">
        <w:rPr>
          <w:lang w:val="en-GB"/>
        </w:rPr>
        <w:t xml:space="preserve"> </w:t>
      </w:r>
      <w:r w:rsidRPr="00522E7F" w:rsidR="00F427C2">
        <w:rPr>
          <w:lang w:val="en-GB"/>
        </w:rPr>
        <w:t xml:space="preserve">In 2005, he was registered </w:t>
      </w:r>
      <w:r w:rsidRPr="00522E7F" w:rsidR="00D17844">
        <w:rPr>
          <w:lang w:val="en-GB"/>
        </w:rPr>
        <w:t>in</w:t>
      </w:r>
      <w:r w:rsidRPr="00522E7F" w:rsidR="00F427C2">
        <w:rPr>
          <w:lang w:val="en-GB"/>
        </w:rPr>
        <w:t xml:space="preserve"> his own right as a trader </w:t>
      </w:r>
      <w:r w:rsidRPr="00522E7F" w:rsidR="00AF7707">
        <w:rPr>
          <w:lang w:val="en-GB"/>
        </w:rPr>
        <w:t xml:space="preserve">of </w:t>
      </w:r>
      <w:r w:rsidRPr="00522E7F" w:rsidR="00F427C2">
        <w:rPr>
          <w:lang w:val="en-GB"/>
        </w:rPr>
        <w:t xml:space="preserve">excise </w:t>
      </w:r>
      <w:r w:rsidRPr="00522E7F" w:rsidR="00AF7707">
        <w:rPr>
          <w:lang w:val="en-GB"/>
        </w:rPr>
        <w:t>goods.</w:t>
      </w:r>
    </w:p>
    <w:p w:rsidRPr="00522E7F" w:rsidR="009949DC" w:rsidP="008576FE" w:rsidRDefault="002E2424">
      <w:pPr>
        <w:pStyle w:val="ECHRPara"/>
        <w:rPr>
          <w:lang w:val="en-GB"/>
        </w:rPr>
      </w:pPr>
      <w:r w:rsidRPr="00522E7F">
        <w:rPr>
          <w:lang w:val="en-GB"/>
        </w:rPr>
        <w:fldChar w:fldCharType="begin"/>
      </w:r>
      <w:r w:rsidRPr="00522E7F">
        <w:rPr>
          <w:lang w:val="en-GB"/>
        </w:rPr>
        <w:instrText xml:space="preserve"> SEQ level0 \*arabic </w:instrText>
      </w:r>
      <w:r w:rsidRPr="00522E7F">
        <w:rPr>
          <w:lang w:val="en-GB"/>
        </w:rPr>
        <w:fldChar w:fldCharType="separate"/>
      </w:r>
      <w:r w:rsidR="00F12B01">
        <w:rPr>
          <w:noProof/>
          <w:lang w:val="en-GB"/>
        </w:rPr>
        <w:t>7</w:t>
      </w:r>
      <w:r w:rsidRPr="00522E7F">
        <w:rPr>
          <w:lang w:val="en-GB"/>
        </w:rPr>
        <w:fldChar w:fldCharType="end"/>
      </w:r>
      <w:r w:rsidRPr="00522E7F" w:rsidR="00014566">
        <w:rPr>
          <w:lang w:val="en-GB"/>
        </w:rPr>
        <w:t>.  </w:t>
      </w:r>
      <w:r w:rsidRPr="00522E7F">
        <w:rPr>
          <w:lang w:val="en-GB"/>
        </w:rPr>
        <w:t xml:space="preserve">On 11 September 2012 Parliament enacted Act no. </w:t>
      </w:r>
      <w:proofErr w:type="gramStart"/>
      <w:r w:rsidRPr="00522E7F">
        <w:rPr>
          <w:lang w:val="en-GB"/>
        </w:rPr>
        <w:t>CXXXIV of 2012 on the Repression of Smoking of the Youth and on Tobacco Retail.</w:t>
      </w:r>
      <w:proofErr w:type="gramEnd"/>
      <w:r w:rsidRPr="00522E7F">
        <w:rPr>
          <w:lang w:val="en-GB"/>
        </w:rPr>
        <w:t xml:space="preserve"> The Act was published on 24 September 2012. </w:t>
      </w:r>
      <w:r w:rsidRPr="00522E7F" w:rsidR="008576FE">
        <w:rPr>
          <w:lang w:val="en-GB"/>
        </w:rPr>
        <w:t>The Act was subsequently amended on several occasions, and the final version was enacted on 6 June 2013.</w:t>
      </w:r>
      <w:r w:rsidRPr="00522E7F" w:rsidR="00E665FF">
        <w:rPr>
          <w:lang w:val="en-GB"/>
        </w:rPr>
        <w:t xml:space="preserve"> It entered into force on 1 July 2013.</w:t>
      </w:r>
    </w:p>
    <w:p w:rsidRPr="00522E7F" w:rsidR="00CA7D42" w:rsidP="002E2424" w:rsidRDefault="002E2424">
      <w:pPr>
        <w:pStyle w:val="ECHRPara"/>
        <w:rPr>
          <w:lang w:val="en-GB"/>
        </w:rPr>
      </w:pPr>
      <w:r w:rsidRPr="00522E7F">
        <w:rPr>
          <w:lang w:val="en-GB"/>
        </w:rPr>
        <w:fldChar w:fldCharType="begin"/>
      </w:r>
      <w:r w:rsidRPr="00522E7F">
        <w:rPr>
          <w:lang w:val="en-GB"/>
        </w:rPr>
        <w:instrText xml:space="preserve"> SEQ level0 \*arabic </w:instrText>
      </w:r>
      <w:r w:rsidRPr="00522E7F">
        <w:rPr>
          <w:lang w:val="en-GB"/>
        </w:rPr>
        <w:fldChar w:fldCharType="separate"/>
      </w:r>
      <w:r w:rsidR="00F12B01">
        <w:rPr>
          <w:noProof/>
          <w:lang w:val="en-GB"/>
        </w:rPr>
        <w:t>8</w:t>
      </w:r>
      <w:r w:rsidRPr="00522E7F">
        <w:rPr>
          <w:lang w:val="en-GB"/>
        </w:rPr>
        <w:fldChar w:fldCharType="end"/>
      </w:r>
      <w:r w:rsidRPr="00522E7F">
        <w:rPr>
          <w:lang w:val="en-GB"/>
        </w:rPr>
        <w:t xml:space="preserve">.  According to the Act, tobacco retail </w:t>
      </w:r>
      <w:r w:rsidRPr="00522E7F" w:rsidR="00847DCA">
        <w:rPr>
          <w:lang w:val="en-GB"/>
        </w:rPr>
        <w:t xml:space="preserve">– previously exercised at about 42,000 retail points nationwide – </w:t>
      </w:r>
      <w:r w:rsidRPr="00522E7F">
        <w:rPr>
          <w:lang w:val="en-GB"/>
        </w:rPr>
        <w:t>was to become a State monopoly (exercised th</w:t>
      </w:r>
      <w:r w:rsidRPr="00522E7F" w:rsidR="008576FE">
        <w:rPr>
          <w:lang w:val="en-GB"/>
        </w:rPr>
        <w:t xml:space="preserve">rough a State-owned company, </w:t>
      </w:r>
      <w:r w:rsidRPr="00522E7F" w:rsidR="008576FE">
        <w:rPr>
          <w:i/>
          <w:lang w:val="en-GB"/>
        </w:rPr>
        <w:t>ND </w:t>
      </w:r>
      <w:proofErr w:type="spellStart"/>
      <w:r w:rsidRPr="00522E7F">
        <w:rPr>
          <w:i/>
          <w:lang w:val="en-GB"/>
        </w:rPr>
        <w:t>Nemzeti</w:t>
      </w:r>
      <w:proofErr w:type="spellEnd"/>
      <w:r w:rsidRPr="00522E7F">
        <w:rPr>
          <w:i/>
          <w:lang w:val="en-GB"/>
        </w:rPr>
        <w:t xml:space="preserve"> </w:t>
      </w:r>
      <w:proofErr w:type="spellStart"/>
      <w:r w:rsidRPr="00522E7F">
        <w:rPr>
          <w:i/>
          <w:lang w:val="en-GB"/>
        </w:rPr>
        <w:t>Dohány</w:t>
      </w:r>
      <w:r w:rsidR="002B4B75">
        <w:rPr>
          <w:i/>
          <w:lang w:val="en-GB"/>
        </w:rPr>
        <w:t>-</w:t>
      </w:r>
      <w:r w:rsidRPr="00522E7F">
        <w:rPr>
          <w:i/>
          <w:lang w:val="en-GB"/>
        </w:rPr>
        <w:t>kereskedelmi</w:t>
      </w:r>
      <w:proofErr w:type="spellEnd"/>
      <w:r w:rsidRPr="00522E7F">
        <w:rPr>
          <w:i/>
          <w:lang w:val="en-GB"/>
        </w:rPr>
        <w:t xml:space="preserve"> </w:t>
      </w:r>
      <w:proofErr w:type="spellStart"/>
      <w:r w:rsidRPr="00522E7F">
        <w:rPr>
          <w:i/>
          <w:lang w:val="en-GB"/>
        </w:rPr>
        <w:t>Nonprofit</w:t>
      </w:r>
      <w:proofErr w:type="spellEnd"/>
      <w:r w:rsidRPr="00522E7F">
        <w:rPr>
          <w:i/>
          <w:lang w:val="en-GB"/>
        </w:rPr>
        <w:t xml:space="preserve"> </w:t>
      </w:r>
      <w:proofErr w:type="spellStart"/>
      <w:r w:rsidRPr="00522E7F">
        <w:rPr>
          <w:i/>
          <w:lang w:val="en-GB"/>
        </w:rPr>
        <w:t>Zrt</w:t>
      </w:r>
      <w:proofErr w:type="spellEnd"/>
      <w:r w:rsidRPr="00522E7F" w:rsidR="008576FE">
        <w:rPr>
          <w:lang w:val="en-GB"/>
        </w:rPr>
        <w:t xml:space="preserve">, “ND </w:t>
      </w:r>
      <w:proofErr w:type="spellStart"/>
      <w:r w:rsidRPr="00522E7F" w:rsidR="008576FE">
        <w:rPr>
          <w:lang w:val="en-GB"/>
        </w:rPr>
        <w:t>Zrt</w:t>
      </w:r>
      <w:proofErr w:type="spellEnd"/>
      <w:r w:rsidRPr="00522E7F" w:rsidR="008576FE">
        <w:rPr>
          <w:lang w:val="en-GB"/>
        </w:rPr>
        <w:t>”</w:t>
      </w:r>
      <w:r w:rsidRPr="00522E7F">
        <w:rPr>
          <w:lang w:val="en-GB"/>
        </w:rPr>
        <w:t xml:space="preserve">), and tobacco retailers would become </w:t>
      </w:r>
      <w:r w:rsidRPr="00522E7F" w:rsidR="00847DCA">
        <w:rPr>
          <w:lang w:val="en-GB"/>
        </w:rPr>
        <w:t>licensed</w:t>
      </w:r>
      <w:r w:rsidRPr="00522E7F">
        <w:rPr>
          <w:lang w:val="en-GB"/>
        </w:rPr>
        <w:t xml:space="preserve"> through a concession tender, advertised on 15 December 2012</w:t>
      </w:r>
      <w:r w:rsidRPr="00522E7F" w:rsidR="00847DCA">
        <w:rPr>
          <w:lang w:val="en-GB"/>
        </w:rPr>
        <w:t>, for up to five retail points per tenderer</w:t>
      </w:r>
      <w:r w:rsidRPr="00522E7F">
        <w:rPr>
          <w:lang w:val="en-GB"/>
        </w:rPr>
        <w:t xml:space="preserve">. </w:t>
      </w:r>
      <w:r w:rsidRPr="00522E7F" w:rsidR="00CA7D42">
        <w:rPr>
          <w:lang w:val="en-GB"/>
        </w:rPr>
        <w:t xml:space="preserve">In applying for the new concessions, tenderers were required to produce business plans reflecting, </w:t>
      </w:r>
      <w:r w:rsidRPr="00522E7F" w:rsidR="00CA7D42">
        <w:rPr>
          <w:i/>
          <w:lang w:val="en-GB"/>
        </w:rPr>
        <w:t>inter alia</w:t>
      </w:r>
      <w:r w:rsidRPr="00522E7F" w:rsidR="00CA7D42">
        <w:rPr>
          <w:lang w:val="en-GB"/>
        </w:rPr>
        <w:t xml:space="preserve">, the new governmental policy to limit to the utmost the access of minors to tobacco products, notably by prohibiting the entry of those </w:t>
      </w:r>
      <w:r w:rsidRPr="00522E7F" w:rsidR="00AA5EE3">
        <w:rPr>
          <w:lang w:val="en-GB"/>
        </w:rPr>
        <w:t>less than</w:t>
      </w:r>
      <w:r w:rsidRPr="00522E7F" w:rsidR="00CA7D42">
        <w:rPr>
          <w:lang w:val="en-GB"/>
        </w:rPr>
        <w:t xml:space="preserve"> 18</w:t>
      </w:r>
      <w:r w:rsidR="002B4B75">
        <w:rPr>
          <w:lang w:val="en-GB"/>
        </w:rPr>
        <w:t> </w:t>
      </w:r>
      <w:r w:rsidRPr="00522E7F" w:rsidR="00CA7D42">
        <w:rPr>
          <w:lang w:val="en-GB"/>
        </w:rPr>
        <w:t>years of age into shops selling tobacco.</w:t>
      </w:r>
      <w:r w:rsidRPr="00522E7F" w:rsidR="00AA5EE3">
        <w:rPr>
          <w:lang w:val="en-GB"/>
        </w:rPr>
        <w:t xml:space="preserve"> Under the new licences, tobacco retail could take place only in shops with separate entrances, with dark shades in the shop windows preventing seeing</w:t>
      </w:r>
      <w:r w:rsidRPr="00522E7F" w:rsidR="00DF5B6A">
        <w:rPr>
          <w:lang w:val="en-GB"/>
        </w:rPr>
        <w:t xml:space="preserve"> </w:t>
      </w:r>
      <w:r w:rsidRPr="00522E7F" w:rsidR="00AA5EE3">
        <w:rPr>
          <w:lang w:val="en-GB"/>
        </w:rPr>
        <w:t>through, and with only a limited selection of other goods on sale.</w:t>
      </w:r>
    </w:p>
    <w:p w:rsidRPr="00522E7F" w:rsidR="002E2424" w:rsidP="002E2424" w:rsidRDefault="002E2424">
      <w:pPr>
        <w:pStyle w:val="ECHRPara"/>
        <w:rPr>
          <w:lang w:val="en-GB"/>
        </w:rPr>
      </w:pPr>
      <w:r w:rsidRPr="00522E7F">
        <w:rPr>
          <w:lang w:val="en-GB"/>
        </w:rPr>
        <w:t>The final time-limit for applying was 22 February 2013.</w:t>
      </w:r>
      <w:r w:rsidRPr="00522E7F" w:rsidR="008576FE">
        <w:rPr>
          <w:lang w:val="en-GB"/>
        </w:rPr>
        <w:t xml:space="preserve"> </w:t>
      </w:r>
      <w:r w:rsidRPr="00522E7F">
        <w:rPr>
          <w:lang w:val="en-GB"/>
        </w:rPr>
        <w:t xml:space="preserve">Entities previously engaged in tobacco retail had no privileges in the tender. The decision about the tenders was </w:t>
      </w:r>
      <w:r w:rsidRPr="00522E7F" w:rsidR="008576FE">
        <w:rPr>
          <w:lang w:val="en-GB"/>
        </w:rPr>
        <w:t xml:space="preserve">to be </w:t>
      </w:r>
      <w:r w:rsidRPr="00522E7F">
        <w:rPr>
          <w:lang w:val="en-GB"/>
        </w:rPr>
        <w:t xml:space="preserve">taken by ND </w:t>
      </w:r>
      <w:proofErr w:type="spellStart"/>
      <w:r w:rsidRPr="00522E7F">
        <w:rPr>
          <w:lang w:val="en-GB"/>
        </w:rPr>
        <w:t>Zrt</w:t>
      </w:r>
      <w:proofErr w:type="spellEnd"/>
      <w:r w:rsidRPr="00522E7F" w:rsidR="008576FE">
        <w:rPr>
          <w:lang w:val="en-GB"/>
        </w:rPr>
        <w:t>.</w:t>
      </w:r>
    </w:p>
    <w:p w:rsidRPr="00522E7F" w:rsidR="007316E4" w:rsidP="002E2424" w:rsidRDefault="007316E4">
      <w:pPr>
        <w:pStyle w:val="ECHRPara"/>
        <w:rPr>
          <w:lang w:val="en-GB"/>
        </w:rPr>
      </w:pPr>
      <w:r w:rsidRPr="00522E7F">
        <w:rPr>
          <w:lang w:val="en-GB"/>
        </w:rPr>
        <w:t>In the tender, altogether some 6,800 licences were granted</w:t>
      </w:r>
      <w:r w:rsidRPr="00522E7F" w:rsidR="00B23301">
        <w:rPr>
          <w:lang w:val="en-GB"/>
        </w:rPr>
        <w:t xml:space="preserve"> nationwide</w:t>
      </w:r>
      <w:r w:rsidRPr="00522E7F">
        <w:rPr>
          <w:rStyle w:val="FootnoteReference"/>
          <w:lang w:val="en-GB"/>
        </w:rPr>
        <w:footnoteReference w:id="1"/>
      </w:r>
      <w:r w:rsidRPr="00522E7F">
        <w:rPr>
          <w:lang w:val="en-GB"/>
        </w:rPr>
        <w:t>.</w:t>
      </w:r>
    </w:p>
    <w:p w:rsidRPr="00522E7F" w:rsidR="002E2424" w:rsidP="002E2424" w:rsidRDefault="008576FE">
      <w:pPr>
        <w:pStyle w:val="ECHRPara"/>
        <w:rPr>
          <w:lang w:val="en-GB"/>
        </w:rPr>
      </w:pPr>
      <w:r w:rsidRPr="00522E7F">
        <w:rPr>
          <w:lang w:val="en-GB"/>
        </w:rPr>
        <w:fldChar w:fldCharType="begin"/>
      </w:r>
      <w:r w:rsidRPr="00522E7F">
        <w:rPr>
          <w:lang w:val="en-GB"/>
        </w:rPr>
        <w:instrText xml:space="preserve"> SEQ level0 \*arabic </w:instrText>
      </w:r>
      <w:r w:rsidRPr="00522E7F">
        <w:rPr>
          <w:lang w:val="en-GB"/>
        </w:rPr>
        <w:fldChar w:fldCharType="separate"/>
      </w:r>
      <w:r w:rsidR="00F12B01">
        <w:rPr>
          <w:noProof/>
          <w:lang w:val="en-GB"/>
        </w:rPr>
        <w:t>9</w:t>
      </w:r>
      <w:r w:rsidRPr="00522E7F">
        <w:rPr>
          <w:lang w:val="en-GB"/>
        </w:rPr>
        <w:fldChar w:fldCharType="end"/>
      </w:r>
      <w:r w:rsidRPr="00522E7F">
        <w:rPr>
          <w:lang w:val="en-GB"/>
        </w:rPr>
        <w:t>.  </w:t>
      </w:r>
      <w:r w:rsidRPr="00522E7F" w:rsidR="002E2424">
        <w:rPr>
          <w:lang w:val="en-GB"/>
        </w:rPr>
        <w:t>T</w:t>
      </w:r>
      <w:r w:rsidRPr="00522E7F">
        <w:rPr>
          <w:lang w:val="en-GB"/>
        </w:rPr>
        <w:t xml:space="preserve">he applicant </w:t>
      </w:r>
      <w:r w:rsidRPr="00522E7F" w:rsidR="002E2424">
        <w:rPr>
          <w:lang w:val="en-GB"/>
        </w:rPr>
        <w:t xml:space="preserve">applied for </w:t>
      </w:r>
      <w:r w:rsidRPr="00522E7F">
        <w:rPr>
          <w:lang w:val="en-GB"/>
        </w:rPr>
        <w:t>a concession on 4 February 2013</w:t>
      </w:r>
      <w:r w:rsidRPr="00522E7F" w:rsidR="006E3D03">
        <w:rPr>
          <w:lang w:val="en-GB"/>
        </w:rPr>
        <w:t>, for the would-be licence to be used in the family enterprise</w:t>
      </w:r>
      <w:r w:rsidRPr="00522E7F" w:rsidR="002E2424">
        <w:rPr>
          <w:lang w:val="en-GB"/>
        </w:rPr>
        <w:t xml:space="preserve">. </w:t>
      </w:r>
      <w:r w:rsidRPr="00522E7F" w:rsidR="006E3D03">
        <w:rPr>
          <w:lang w:val="en-GB"/>
        </w:rPr>
        <w:t xml:space="preserve">The application was signed by the applicant, and witnessed by his wife and their son. The applicant </w:t>
      </w:r>
      <w:r w:rsidRPr="00522E7F" w:rsidR="002E2424">
        <w:rPr>
          <w:lang w:val="en-GB"/>
        </w:rPr>
        <w:t xml:space="preserve">then amended </w:t>
      </w:r>
      <w:r w:rsidRPr="00522E7F" w:rsidR="006E3D03">
        <w:rPr>
          <w:lang w:val="en-GB"/>
        </w:rPr>
        <w:t>the</w:t>
      </w:r>
      <w:r w:rsidRPr="00522E7F" w:rsidR="002E2424">
        <w:rPr>
          <w:lang w:val="en-GB"/>
        </w:rPr>
        <w:t xml:space="preserve"> application according to the upcoming new rules, on 20</w:t>
      </w:r>
      <w:r w:rsidRPr="00522E7F">
        <w:rPr>
          <w:lang w:val="en-GB"/>
        </w:rPr>
        <w:t> </w:t>
      </w:r>
      <w:r w:rsidRPr="00522E7F" w:rsidR="002E2424">
        <w:rPr>
          <w:lang w:val="en-GB"/>
        </w:rPr>
        <w:t>February 2013.</w:t>
      </w:r>
      <w:r w:rsidRPr="00522E7F">
        <w:rPr>
          <w:lang w:val="en-GB"/>
        </w:rPr>
        <w:t xml:space="preserve"> According to the Government, the application was very succinct and in no way developed; in particular, it contained no appropriate business plan, which was part of the criteria for the tenders.</w:t>
      </w:r>
      <w:r w:rsidRPr="00522E7F" w:rsidR="005D1803">
        <w:rPr>
          <w:lang w:val="en-GB"/>
        </w:rPr>
        <w:t xml:space="preserve"> The applicant submitted that no information </w:t>
      </w:r>
      <w:r w:rsidRPr="00522E7F" w:rsidR="00DF5B6A">
        <w:rPr>
          <w:lang w:val="en-GB"/>
        </w:rPr>
        <w:t>was</w:t>
      </w:r>
      <w:r w:rsidRPr="00522E7F" w:rsidR="005D1803">
        <w:rPr>
          <w:lang w:val="en-GB"/>
        </w:rPr>
        <w:t xml:space="preserve"> ever made available about the assessment of </w:t>
      </w:r>
      <w:r w:rsidRPr="00522E7F" w:rsidR="006E3D03">
        <w:rPr>
          <w:lang w:val="en-GB"/>
        </w:rPr>
        <w:t>the</w:t>
      </w:r>
      <w:r w:rsidRPr="00522E7F" w:rsidR="005D1803">
        <w:rPr>
          <w:lang w:val="en-GB"/>
        </w:rPr>
        <w:t xml:space="preserve"> tender.</w:t>
      </w:r>
    </w:p>
    <w:p w:rsidRPr="00522E7F" w:rsidR="009949DC" w:rsidP="009949DC" w:rsidRDefault="00B23301">
      <w:pPr>
        <w:pStyle w:val="ECHRPara"/>
        <w:rPr>
          <w:lang w:val="en-GB"/>
        </w:rPr>
      </w:pPr>
      <w:r w:rsidRPr="00522E7F">
        <w:rPr>
          <w:lang w:val="en-GB"/>
        </w:rPr>
        <w:fldChar w:fldCharType="begin"/>
      </w:r>
      <w:r w:rsidRPr="00522E7F">
        <w:rPr>
          <w:lang w:val="en-GB"/>
        </w:rPr>
        <w:instrText xml:space="preserve"> SEQ level0 \*arabic </w:instrText>
      </w:r>
      <w:r w:rsidRPr="00522E7F">
        <w:rPr>
          <w:lang w:val="en-GB"/>
        </w:rPr>
        <w:fldChar w:fldCharType="separate"/>
      </w:r>
      <w:r w:rsidR="00F12B01">
        <w:rPr>
          <w:noProof/>
          <w:lang w:val="en-GB"/>
        </w:rPr>
        <w:t>10</w:t>
      </w:r>
      <w:r w:rsidRPr="00522E7F">
        <w:rPr>
          <w:lang w:val="en-GB"/>
        </w:rPr>
        <w:fldChar w:fldCharType="end"/>
      </w:r>
      <w:r w:rsidRPr="00522E7F">
        <w:rPr>
          <w:lang w:val="en-GB"/>
        </w:rPr>
        <w:t>.  </w:t>
      </w:r>
      <w:r w:rsidRPr="00522E7F" w:rsidR="002E2424">
        <w:rPr>
          <w:lang w:val="en-GB"/>
        </w:rPr>
        <w:t xml:space="preserve">On </w:t>
      </w:r>
      <w:r w:rsidR="00770900">
        <w:rPr>
          <w:lang w:val="en-GB"/>
        </w:rPr>
        <w:t>2</w:t>
      </w:r>
      <w:r w:rsidRPr="00522E7F" w:rsidR="002E2424">
        <w:rPr>
          <w:lang w:val="en-GB"/>
        </w:rPr>
        <w:t>3 April 2</w:t>
      </w:r>
      <w:r w:rsidRPr="00522E7F" w:rsidR="008576FE">
        <w:rPr>
          <w:lang w:val="en-GB"/>
        </w:rPr>
        <w:t xml:space="preserve">013 the applicant was informed </w:t>
      </w:r>
      <w:r w:rsidRPr="00522E7F" w:rsidR="002E2424">
        <w:rPr>
          <w:lang w:val="en-GB"/>
        </w:rPr>
        <w:t>that he had not obtained a tobacco retail concession. Th</w:t>
      </w:r>
      <w:r w:rsidRPr="00522E7F" w:rsidR="008576FE">
        <w:rPr>
          <w:lang w:val="en-GB"/>
        </w:rPr>
        <w:t>e decision contained no reasons</w:t>
      </w:r>
      <w:r w:rsidRPr="00522E7F" w:rsidR="009949DC">
        <w:rPr>
          <w:lang w:val="en-GB"/>
        </w:rPr>
        <w:t xml:space="preserve"> or any indication of the applicant</w:t>
      </w:r>
      <w:r w:rsidR="006011C5">
        <w:rPr>
          <w:lang w:val="en-GB"/>
        </w:rPr>
        <w:t>’</w:t>
      </w:r>
      <w:r w:rsidRPr="00522E7F" w:rsidR="009949DC">
        <w:rPr>
          <w:lang w:val="en-GB"/>
        </w:rPr>
        <w:t>s score on the 120-point tender adjudication score-sheet</w:t>
      </w:r>
      <w:r w:rsidRPr="00522E7F" w:rsidR="00DF5B6A">
        <w:rPr>
          <w:lang w:val="en-GB"/>
        </w:rPr>
        <w:t>,</w:t>
      </w:r>
      <w:r w:rsidRPr="00522E7F" w:rsidR="009949DC">
        <w:rPr>
          <w:lang w:val="en-GB"/>
        </w:rPr>
        <w:t xml:space="preserve"> </w:t>
      </w:r>
      <w:r w:rsidRPr="00522E7F" w:rsidR="008576FE">
        <w:rPr>
          <w:lang w:val="en-GB"/>
        </w:rPr>
        <w:t xml:space="preserve">and </w:t>
      </w:r>
      <w:r w:rsidRPr="00522E7F" w:rsidR="00DF5B6A">
        <w:rPr>
          <w:lang w:val="en-GB"/>
        </w:rPr>
        <w:t xml:space="preserve">it </w:t>
      </w:r>
      <w:r w:rsidRPr="00522E7F" w:rsidR="008576FE">
        <w:rPr>
          <w:lang w:val="en-GB"/>
        </w:rPr>
        <w:t>was not subject to any legal remedy.</w:t>
      </w:r>
    </w:p>
    <w:p w:rsidRPr="00522E7F" w:rsidR="00D57ADD" w:rsidP="009949DC" w:rsidRDefault="009949DC">
      <w:pPr>
        <w:pStyle w:val="ECHRPara"/>
        <w:rPr>
          <w:lang w:val="en-GB"/>
        </w:rPr>
      </w:pPr>
      <w:r w:rsidRPr="00522E7F">
        <w:rPr>
          <w:lang w:val="en-GB"/>
        </w:rPr>
        <w:t xml:space="preserve">The </w:t>
      </w:r>
      <w:r w:rsidRPr="00522E7F" w:rsidR="006E3D03">
        <w:rPr>
          <w:lang w:val="en-GB"/>
        </w:rPr>
        <w:t xml:space="preserve">enterprise run by the </w:t>
      </w:r>
      <w:r w:rsidRPr="00522E7F">
        <w:rPr>
          <w:lang w:val="en-GB"/>
        </w:rPr>
        <w:t>applicant</w:t>
      </w:r>
      <w:r w:rsidR="006011C5">
        <w:rPr>
          <w:lang w:val="en-GB"/>
        </w:rPr>
        <w:t>’</w:t>
      </w:r>
      <w:r w:rsidRPr="00522E7F" w:rsidR="006E3D03">
        <w:rPr>
          <w:lang w:val="en-GB"/>
        </w:rPr>
        <w:t>s family</w:t>
      </w:r>
      <w:r w:rsidRPr="00522E7F">
        <w:rPr>
          <w:lang w:val="en-GB"/>
        </w:rPr>
        <w:t xml:space="preserve"> was obliged to terminate the sale of tobacco products by </w:t>
      </w:r>
      <w:r w:rsidRPr="00522E7F" w:rsidR="00D57ADD">
        <w:rPr>
          <w:lang w:val="en-GB"/>
        </w:rPr>
        <w:t xml:space="preserve">the statutory deadline, that is, </w:t>
      </w:r>
      <w:r w:rsidRPr="00522E7F">
        <w:rPr>
          <w:lang w:val="en-GB"/>
        </w:rPr>
        <w:t>14 July 2013.</w:t>
      </w:r>
      <w:r w:rsidRPr="00522E7F" w:rsidR="002C2ED4">
        <w:rPr>
          <w:lang w:val="en-GB"/>
        </w:rPr>
        <w:t xml:space="preserve"> </w:t>
      </w:r>
      <w:r w:rsidRPr="00522E7F" w:rsidR="00D57ADD">
        <w:rPr>
          <w:lang w:val="en-GB"/>
        </w:rPr>
        <w:t>Tobacco wholesalers were under a legal obligation to re-buy any outstanding stocks from terminated retailers.</w:t>
      </w:r>
    </w:p>
    <w:p w:rsidRPr="00522E7F" w:rsidR="009949DC" w:rsidP="009949DC" w:rsidRDefault="006E3D03">
      <w:pPr>
        <w:pStyle w:val="ECHRPara"/>
        <w:rPr>
          <w:lang w:val="en-GB"/>
        </w:rPr>
      </w:pPr>
      <w:r w:rsidRPr="00522E7F">
        <w:rPr>
          <w:lang w:val="en-GB"/>
        </w:rPr>
        <w:t>The</w:t>
      </w:r>
      <w:r w:rsidRPr="00522E7F" w:rsidR="002C2ED4">
        <w:rPr>
          <w:lang w:val="en-GB"/>
        </w:rPr>
        <w:t xml:space="preserve"> remaining sales activities </w:t>
      </w:r>
      <w:r w:rsidRPr="00522E7F" w:rsidR="00D57ADD">
        <w:rPr>
          <w:lang w:val="en-GB"/>
        </w:rPr>
        <w:t>of the applicant</w:t>
      </w:r>
      <w:r w:rsidR="006011C5">
        <w:rPr>
          <w:lang w:val="en-GB"/>
        </w:rPr>
        <w:t>’</w:t>
      </w:r>
      <w:r w:rsidRPr="00522E7F" w:rsidR="00D57ADD">
        <w:rPr>
          <w:lang w:val="en-GB"/>
        </w:rPr>
        <w:t xml:space="preserve">s family </w:t>
      </w:r>
      <w:r w:rsidRPr="00522E7F" w:rsidR="00AB2DC0">
        <w:rPr>
          <w:lang w:val="en-GB"/>
        </w:rPr>
        <w:t xml:space="preserve">enterprise </w:t>
      </w:r>
      <w:r w:rsidRPr="00522E7F" w:rsidR="002C2ED4">
        <w:rPr>
          <w:lang w:val="en-GB"/>
        </w:rPr>
        <w:t>were no longer profitable</w:t>
      </w:r>
      <w:r w:rsidRPr="00522E7F" w:rsidR="00DF5B6A">
        <w:rPr>
          <w:lang w:val="en-GB"/>
        </w:rPr>
        <w:t>,</w:t>
      </w:r>
      <w:r w:rsidRPr="00522E7F" w:rsidR="002C2ED4">
        <w:rPr>
          <w:lang w:val="en-GB"/>
        </w:rPr>
        <w:t xml:space="preserve"> entailing the winding-up of </w:t>
      </w:r>
      <w:r w:rsidRPr="00522E7F">
        <w:rPr>
          <w:lang w:val="en-GB"/>
        </w:rPr>
        <w:t>the</w:t>
      </w:r>
      <w:r w:rsidRPr="00522E7F" w:rsidR="002C2ED4">
        <w:rPr>
          <w:lang w:val="en-GB"/>
        </w:rPr>
        <w:t xml:space="preserve"> </w:t>
      </w:r>
      <w:r w:rsidRPr="00522E7F" w:rsidR="00D57ADD">
        <w:rPr>
          <w:lang w:val="en-GB"/>
        </w:rPr>
        <w:t>business.</w:t>
      </w:r>
    </w:p>
    <w:p w:rsidRPr="00522E7F" w:rsidR="002E2424" w:rsidP="002E2424" w:rsidRDefault="008576FE">
      <w:pPr>
        <w:pStyle w:val="ECHRPara"/>
        <w:rPr>
          <w:lang w:val="en-GB"/>
        </w:rPr>
      </w:pPr>
      <w:r w:rsidRPr="00522E7F">
        <w:rPr>
          <w:lang w:val="en-GB"/>
        </w:rPr>
        <w:fldChar w:fldCharType="begin"/>
      </w:r>
      <w:r w:rsidRPr="00522E7F">
        <w:rPr>
          <w:lang w:val="en-GB"/>
        </w:rPr>
        <w:instrText xml:space="preserve"> SEQ level0 \*arabic </w:instrText>
      </w:r>
      <w:r w:rsidRPr="00522E7F">
        <w:rPr>
          <w:lang w:val="en-GB"/>
        </w:rPr>
        <w:fldChar w:fldCharType="separate"/>
      </w:r>
      <w:r w:rsidR="00F12B01">
        <w:rPr>
          <w:noProof/>
          <w:lang w:val="en-GB"/>
        </w:rPr>
        <w:t>11</w:t>
      </w:r>
      <w:r w:rsidRPr="00522E7F">
        <w:rPr>
          <w:lang w:val="en-GB"/>
        </w:rPr>
        <w:fldChar w:fldCharType="end"/>
      </w:r>
      <w:r w:rsidRPr="00522E7F">
        <w:rPr>
          <w:lang w:val="en-GB"/>
        </w:rPr>
        <w:t>.  Under the law, n</w:t>
      </w:r>
      <w:r w:rsidRPr="00522E7F" w:rsidR="002E2424">
        <w:rPr>
          <w:lang w:val="en-GB"/>
        </w:rPr>
        <w:t xml:space="preserve">o compensation is available for </w:t>
      </w:r>
      <w:r w:rsidRPr="00522E7F" w:rsidR="00DF5B6A">
        <w:rPr>
          <w:lang w:val="en-GB"/>
        </w:rPr>
        <w:t xml:space="preserve">former </w:t>
      </w:r>
      <w:r w:rsidRPr="00522E7F" w:rsidR="00E665FF">
        <w:rPr>
          <w:lang w:val="en-GB"/>
        </w:rPr>
        <w:t>holders of tobacco retail licences</w:t>
      </w:r>
      <w:r w:rsidRPr="00522E7F" w:rsidR="002E2424">
        <w:rPr>
          <w:lang w:val="en-GB"/>
        </w:rPr>
        <w:t xml:space="preserve"> who, by not</w:t>
      </w:r>
      <w:r w:rsidRPr="00522E7F" w:rsidR="00DF5B6A">
        <w:rPr>
          <w:lang w:val="en-GB"/>
        </w:rPr>
        <w:t xml:space="preserve"> having</w:t>
      </w:r>
      <w:r w:rsidRPr="00522E7F" w:rsidR="002E2424">
        <w:rPr>
          <w:lang w:val="en-GB"/>
        </w:rPr>
        <w:t xml:space="preserve"> be</w:t>
      </w:r>
      <w:r w:rsidRPr="00522E7F" w:rsidR="00DF5B6A">
        <w:rPr>
          <w:lang w:val="en-GB"/>
        </w:rPr>
        <w:t>e</w:t>
      </w:r>
      <w:r w:rsidRPr="00522E7F" w:rsidR="002E2424">
        <w:rPr>
          <w:lang w:val="en-GB"/>
        </w:rPr>
        <w:t>n awarded a concession, lost part of their livelihood.</w:t>
      </w:r>
      <w:r w:rsidRPr="00522E7F" w:rsidR="006E3D03">
        <w:rPr>
          <w:lang w:val="en-GB"/>
        </w:rPr>
        <w:t xml:space="preserve"> The applicant submitted that this was the case of his family; and that he had, after losing the retail licence, considerable difficulties in supporting his family including a minor son.</w:t>
      </w:r>
    </w:p>
    <w:p w:rsidRPr="00522E7F" w:rsidR="002E2424" w:rsidP="002E2424" w:rsidRDefault="009949DC">
      <w:pPr>
        <w:pStyle w:val="ECHRPara"/>
        <w:rPr>
          <w:lang w:val="en-GB"/>
        </w:rPr>
      </w:pPr>
      <w:r w:rsidRPr="00522E7F">
        <w:rPr>
          <w:lang w:val="en-GB"/>
        </w:rPr>
        <w:fldChar w:fldCharType="begin"/>
      </w:r>
      <w:r w:rsidRPr="00522E7F">
        <w:rPr>
          <w:lang w:val="en-GB"/>
        </w:rPr>
        <w:instrText xml:space="preserve"> SEQ level0 \*arabic </w:instrText>
      </w:r>
      <w:r w:rsidRPr="00522E7F">
        <w:rPr>
          <w:lang w:val="en-GB"/>
        </w:rPr>
        <w:fldChar w:fldCharType="separate"/>
      </w:r>
      <w:r w:rsidR="00F12B01">
        <w:rPr>
          <w:noProof/>
          <w:lang w:val="en-GB"/>
        </w:rPr>
        <w:t>12</w:t>
      </w:r>
      <w:r w:rsidRPr="00522E7F">
        <w:rPr>
          <w:lang w:val="en-GB"/>
        </w:rPr>
        <w:fldChar w:fldCharType="end"/>
      </w:r>
      <w:r w:rsidRPr="00522E7F">
        <w:rPr>
          <w:lang w:val="en-GB"/>
        </w:rPr>
        <w:t>.  </w:t>
      </w:r>
      <w:r w:rsidRPr="00522E7F" w:rsidR="002E2424">
        <w:rPr>
          <w:lang w:val="en-GB"/>
        </w:rPr>
        <w:t xml:space="preserve">The applicant </w:t>
      </w:r>
      <w:r w:rsidRPr="00522E7F" w:rsidR="00074AAB">
        <w:rPr>
          <w:lang w:val="en-GB"/>
        </w:rPr>
        <w:t xml:space="preserve">further </w:t>
      </w:r>
      <w:r w:rsidRPr="00522E7F" w:rsidR="002E2424">
        <w:rPr>
          <w:lang w:val="en-GB"/>
        </w:rPr>
        <w:t>submit</w:t>
      </w:r>
      <w:r w:rsidRPr="00522E7F">
        <w:rPr>
          <w:lang w:val="en-GB"/>
        </w:rPr>
        <w:t>ted</w:t>
      </w:r>
      <w:r w:rsidRPr="00522E7F" w:rsidR="002E2424">
        <w:rPr>
          <w:lang w:val="en-GB"/>
        </w:rPr>
        <w:t xml:space="preserve"> that others in comparable situations – and in the case of those who had never been doing tobacco retail beforehand, in non-comparable situations – </w:t>
      </w:r>
      <w:r w:rsidRPr="00522E7F">
        <w:rPr>
          <w:lang w:val="en-GB"/>
        </w:rPr>
        <w:t>had been</w:t>
      </w:r>
      <w:r w:rsidRPr="00522E7F" w:rsidR="002E2424">
        <w:rPr>
          <w:lang w:val="en-GB"/>
        </w:rPr>
        <w:t xml:space="preserve"> granted concessions, whic</w:t>
      </w:r>
      <w:r w:rsidRPr="00522E7F">
        <w:rPr>
          <w:lang w:val="en-GB"/>
        </w:rPr>
        <w:t xml:space="preserve">h difference in treatment could </w:t>
      </w:r>
      <w:r w:rsidRPr="00522E7F" w:rsidR="002E2424">
        <w:rPr>
          <w:lang w:val="en-GB"/>
        </w:rPr>
        <w:t xml:space="preserve">not be explained by any circumstance other than political adherence. </w:t>
      </w:r>
      <w:r w:rsidRPr="00522E7F">
        <w:rPr>
          <w:lang w:val="en-GB"/>
        </w:rPr>
        <w:t>In his view, this wa</w:t>
      </w:r>
      <w:r w:rsidRPr="00522E7F" w:rsidR="002E2424">
        <w:rPr>
          <w:lang w:val="en-GB"/>
        </w:rPr>
        <w:t>s corroborated by</w:t>
      </w:r>
      <w:r w:rsidRPr="00522E7F">
        <w:rPr>
          <w:lang w:val="en-GB"/>
        </w:rPr>
        <w:t xml:space="preserve"> the fact that some </w:t>
      </w:r>
      <w:r w:rsidRPr="00522E7F" w:rsidR="00DF5B6A">
        <w:rPr>
          <w:lang w:val="en-GB"/>
        </w:rPr>
        <w:t>successful tenderers</w:t>
      </w:r>
      <w:r w:rsidRPr="00522E7F">
        <w:rPr>
          <w:lang w:val="en-GB"/>
        </w:rPr>
        <w:t xml:space="preserve"> had</w:t>
      </w:r>
      <w:r w:rsidRPr="00522E7F" w:rsidR="002E2424">
        <w:rPr>
          <w:lang w:val="en-GB"/>
        </w:rPr>
        <w:t xml:space="preserve"> obtained more than one concession for multiple selling po</w:t>
      </w:r>
      <w:r w:rsidRPr="00522E7F" w:rsidR="00DF5B6A">
        <w:rPr>
          <w:lang w:val="en-GB"/>
        </w:rPr>
        <w:t>in</w:t>
      </w:r>
      <w:r w:rsidRPr="00522E7F" w:rsidR="002E2424">
        <w:rPr>
          <w:lang w:val="en-GB"/>
        </w:rPr>
        <w:t>ts.</w:t>
      </w:r>
    </w:p>
    <w:p w:rsidR="008F10BA" w:rsidP="002E2424" w:rsidRDefault="00782327">
      <w:pPr>
        <w:pStyle w:val="ECHRPara"/>
        <w:rPr>
          <w:lang w:val="en-GB"/>
        </w:rPr>
      </w:pPr>
      <w:r w:rsidRPr="00522E7F">
        <w:rPr>
          <w:lang w:val="en-GB"/>
        </w:rPr>
        <w:fldChar w:fldCharType="begin"/>
      </w:r>
      <w:r w:rsidRPr="00522E7F">
        <w:rPr>
          <w:lang w:val="en-GB"/>
        </w:rPr>
        <w:instrText xml:space="preserve"> SEQ level0 \*arabic </w:instrText>
      </w:r>
      <w:r w:rsidRPr="00522E7F">
        <w:rPr>
          <w:lang w:val="en-GB"/>
        </w:rPr>
        <w:fldChar w:fldCharType="separate"/>
      </w:r>
      <w:r w:rsidR="00F12B01">
        <w:rPr>
          <w:noProof/>
          <w:lang w:val="en-GB"/>
        </w:rPr>
        <w:t>13</w:t>
      </w:r>
      <w:r w:rsidRPr="00522E7F">
        <w:rPr>
          <w:lang w:val="en-GB"/>
        </w:rPr>
        <w:fldChar w:fldCharType="end"/>
      </w:r>
      <w:r w:rsidRPr="00522E7F">
        <w:rPr>
          <w:lang w:val="en-GB"/>
        </w:rPr>
        <w:t xml:space="preserve">.  On </w:t>
      </w:r>
      <w:r w:rsidRPr="00522E7F" w:rsidR="004D55FA">
        <w:rPr>
          <w:lang w:val="en-GB"/>
        </w:rPr>
        <w:t>14</w:t>
      </w:r>
      <w:r w:rsidRPr="00522E7F">
        <w:rPr>
          <w:lang w:val="en-GB"/>
        </w:rPr>
        <w:t xml:space="preserve"> January 2014 the Constitutional Court declared admissible a number of complaints relating to the same matter.</w:t>
      </w:r>
    </w:p>
    <w:p w:rsidRPr="00522E7F" w:rsidR="00782327" w:rsidP="002E2424" w:rsidRDefault="000774CE">
      <w:pPr>
        <w:pStyle w:val="ECHRPara"/>
        <w:rPr>
          <w:lang w:val="en-GB"/>
        </w:rPr>
      </w:pPr>
      <w:r w:rsidRPr="00522E7F">
        <w:rPr>
          <w:lang w:val="en-GB"/>
        </w:rPr>
        <w:t xml:space="preserve">In decision no. 3194/2014 (VII.14.) </w:t>
      </w:r>
      <w:r w:rsidRPr="00522E7F" w:rsidR="00782327">
        <w:rPr>
          <w:lang w:val="en-GB"/>
        </w:rPr>
        <w:t>it dismis</w:t>
      </w:r>
      <w:r w:rsidRPr="00522E7F">
        <w:rPr>
          <w:lang w:val="en-GB"/>
        </w:rPr>
        <w:t>sed these motions on the mer</w:t>
      </w:r>
      <w:r w:rsidRPr="00522E7F" w:rsidR="00D57ADD">
        <w:rPr>
          <w:lang w:val="en-GB"/>
        </w:rPr>
        <w:t xml:space="preserve">its (see below in paragraph </w:t>
      </w:r>
      <w:r w:rsidRPr="00522E7F" w:rsidR="00BD1E60">
        <w:rPr>
          <w:lang w:val="en-GB"/>
        </w:rPr>
        <w:t>1</w:t>
      </w:r>
      <w:r w:rsidR="008022B9">
        <w:rPr>
          <w:lang w:val="en-GB"/>
        </w:rPr>
        <w:t>6</w:t>
      </w:r>
      <w:r w:rsidRPr="00522E7F" w:rsidR="00D57ADD">
        <w:rPr>
          <w:lang w:val="en-GB"/>
        </w:rPr>
        <w:t>), noting in particular that the legislature had aimed to eliminate underage smoking and therefore restricted the accessibility of tobacco retail, measures reflecting Hungary</w:t>
      </w:r>
      <w:r w:rsidR="006011C5">
        <w:rPr>
          <w:lang w:val="en-GB"/>
        </w:rPr>
        <w:t>’</w:t>
      </w:r>
      <w:r w:rsidRPr="00522E7F" w:rsidR="00D57ADD">
        <w:rPr>
          <w:lang w:val="en-GB"/>
        </w:rPr>
        <w:t>s obligations under the WHO Framework Convention on Tobacco Control as well as the findings of the Global Youth Tobacco Survey.</w:t>
      </w:r>
    </w:p>
    <w:p w:rsidRPr="00522E7F" w:rsidR="007316E4" w:rsidP="007316E4" w:rsidRDefault="007316E4">
      <w:pPr>
        <w:pStyle w:val="ECHRHeading2"/>
        <w:rPr>
          <w:lang w:val="en-GB"/>
        </w:rPr>
      </w:pPr>
      <w:r w:rsidRPr="00522E7F">
        <w:rPr>
          <w:lang w:val="en-GB"/>
        </w:rPr>
        <w:t>B.  Relevant domestic law</w:t>
      </w:r>
    </w:p>
    <w:p w:rsidRPr="00522E7F" w:rsidR="00E617D6" w:rsidP="007316E4" w:rsidRDefault="002B750C">
      <w:pPr>
        <w:pStyle w:val="ECHRPara"/>
        <w:rPr>
          <w:lang w:val="en-GB"/>
        </w:rPr>
      </w:pPr>
      <w:r w:rsidRPr="00522E7F">
        <w:rPr>
          <w:lang w:val="en-GB"/>
        </w:rPr>
        <w:fldChar w:fldCharType="begin"/>
      </w:r>
      <w:r w:rsidRPr="00522E7F">
        <w:rPr>
          <w:lang w:val="en-GB"/>
        </w:rPr>
        <w:instrText xml:space="preserve"> SEQ level0 \*arabic </w:instrText>
      </w:r>
      <w:r w:rsidRPr="00522E7F">
        <w:rPr>
          <w:lang w:val="en-GB"/>
        </w:rPr>
        <w:fldChar w:fldCharType="separate"/>
      </w:r>
      <w:r w:rsidR="00F12B01">
        <w:rPr>
          <w:noProof/>
          <w:lang w:val="en-GB"/>
        </w:rPr>
        <w:t>14</w:t>
      </w:r>
      <w:r w:rsidRPr="00522E7F">
        <w:rPr>
          <w:lang w:val="en-GB"/>
        </w:rPr>
        <w:fldChar w:fldCharType="end"/>
      </w:r>
      <w:r w:rsidRPr="00522E7F">
        <w:rPr>
          <w:lang w:val="en-GB"/>
        </w:rPr>
        <w:t>.  </w:t>
      </w:r>
      <w:r w:rsidRPr="00522E7F" w:rsidR="001E3EF9">
        <w:rPr>
          <w:lang w:val="en-GB"/>
        </w:rPr>
        <w:t>Act no. CXXXIV of 2012 on the Repression of Smoking of the Youth and on Tobacco Retail</w:t>
      </w:r>
      <w:r w:rsidRPr="00522E7F" w:rsidR="00E617D6">
        <w:rPr>
          <w:lang w:val="en-GB"/>
        </w:rPr>
        <w:t xml:space="preserve"> provides as follows:</w:t>
      </w:r>
    </w:p>
    <w:p w:rsidRPr="00522E7F" w:rsidR="00E617D6" w:rsidP="00E617D6" w:rsidRDefault="00E617D6">
      <w:pPr>
        <w:pStyle w:val="ECHRTitleCentre3"/>
        <w:rPr>
          <w:lang w:val="en-GB"/>
        </w:rPr>
      </w:pPr>
      <w:r w:rsidRPr="00522E7F">
        <w:rPr>
          <w:lang w:val="en-GB"/>
        </w:rPr>
        <w:t>Section 2</w:t>
      </w:r>
    </w:p>
    <w:p w:rsidRPr="00522E7F" w:rsidR="00E617D6" w:rsidP="00E617D6" w:rsidRDefault="00E617D6">
      <w:pPr>
        <w:pStyle w:val="ECHRParaQuote"/>
        <w:rPr>
          <w:lang w:val="en-GB" w:bidi="en-US"/>
        </w:rPr>
      </w:pPr>
      <w:r w:rsidRPr="00522E7F">
        <w:rPr>
          <w:lang w:val="en-GB" w:bidi="en-US"/>
        </w:rPr>
        <w:t>“</w:t>
      </w:r>
      <w:r w:rsidRPr="00522E7F" w:rsidR="002B750C">
        <w:rPr>
          <w:lang w:val="en-GB" w:bidi="en-US"/>
        </w:rPr>
        <w:t xml:space="preserve">(1) </w:t>
      </w:r>
      <w:r w:rsidRPr="00522E7F">
        <w:rPr>
          <w:lang w:val="en-GB" w:bidi="en-US"/>
        </w:rPr>
        <w:t xml:space="preserve">Tobacco retail in Hungary is an activity falling under </w:t>
      </w:r>
      <w:r w:rsidRPr="00522E7F" w:rsidR="002B750C">
        <w:rPr>
          <w:lang w:val="en-GB" w:bidi="en-US"/>
        </w:rPr>
        <w:t xml:space="preserve">State monopoly, the exercise of which may be licensed through fix-term concession contracts concluded according to the provisions of this Act, as well as of Act no. </w:t>
      </w:r>
      <w:proofErr w:type="gramStart"/>
      <w:r w:rsidRPr="00522E7F" w:rsidR="002B750C">
        <w:rPr>
          <w:lang w:val="en-GB" w:bidi="en-US"/>
        </w:rPr>
        <w:t>XVI of 1991 on Concessions.”</w:t>
      </w:r>
      <w:proofErr w:type="gramEnd"/>
    </w:p>
    <w:p w:rsidRPr="00522E7F" w:rsidR="002B750C" w:rsidP="002B750C" w:rsidRDefault="002B750C">
      <w:pPr>
        <w:pStyle w:val="ECHRTitleCentre3"/>
        <w:rPr>
          <w:lang w:val="en-GB"/>
        </w:rPr>
      </w:pPr>
      <w:r w:rsidRPr="00522E7F">
        <w:rPr>
          <w:lang w:val="en-GB"/>
        </w:rPr>
        <w:t>Section 11</w:t>
      </w:r>
    </w:p>
    <w:p w:rsidRPr="00522E7F" w:rsidR="001E3EF9" w:rsidP="002B750C" w:rsidRDefault="002B750C">
      <w:pPr>
        <w:pStyle w:val="ECHRParaQuote"/>
        <w:rPr>
          <w:lang w:val="en-GB" w:bidi="en-US"/>
        </w:rPr>
      </w:pPr>
      <w:r w:rsidRPr="00522E7F">
        <w:rPr>
          <w:lang w:val="en-GB" w:bidi="en-US"/>
        </w:rPr>
        <w:t xml:space="preserve">“(1) </w:t>
      </w:r>
      <w:proofErr w:type="gramStart"/>
      <w:r w:rsidRPr="00522E7F">
        <w:rPr>
          <w:lang w:val="en-GB" w:bidi="en-US"/>
        </w:rPr>
        <w:t>If</w:t>
      </w:r>
      <w:proofErr w:type="gramEnd"/>
      <w:r w:rsidRPr="00522E7F">
        <w:rPr>
          <w:lang w:val="en-GB" w:bidi="en-US"/>
        </w:rPr>
        <w:t xml:space="preserve"> this Act does not </w:t>
      </w:r>
      <w:r w:rsidRPr="00522E7F" w:rsidR="00AB2DC0">
        <w:rPr>
          <w:lang w:val="en-GB" w:bidi="en-US"/>
        </w:rPr>
        <w:t>provide</w:t>
      </w:r>
      <w:r w:rsidRPr="00522E7F">
        <w:rPr>
          <w:lang w:val="en-GB" w:bidi="en-US"/>
        </w:rPr>
        <w:t xml:space="preserve"> otherwise, tobacco retail may only be </w:t>
      </w:r>
      <w:r w:rsidRPr="00522E7F" w:rsidR="007F3D63">
        <w:rPr>
          <w:lang w:val="en-GB" w:bidi="en-US"/>
        </w:rPr>
        <w:t>pursued</w:t>
      </w:r>
      <w:r w:rsidRPr="00522E7F">
        <w:rPr>
          <w:lang w:val="en-GB" w:bidi="en-US"/>
        </w:rPr>
        <w:t xml:space="preserve"> in tobacco shops.”</w:t>
      </w:r>
    </w:p>
    <w:p w:rsidRPr="00522E7F" w:rsidR="00092D69" w:rsidP="007316E4" w:rsidRDefault="00BD1E60">
      <w:pPr>
        <w:pStyle w:val="ECHRPara"/>
        <w:rPr>
          <w:lang w:val="en-GB"/>
        </w:rPr>
      </w:pPr>
      <w:r w:rsidRPr="00522E7F">
        <w:rPr>
          <w:lang w:val="en-GB"/>
        </w:rPr>
        <w:fldChar w:fldCharType="begin"/>
      </w:r>
      <w:r w:rsidRPr="00522E7F">
        <w:rPr>
          <w:lang w:val="en-GB"/>
        </w:rPr>
        <w:instrText xml:space="preserve"> SEQ level0 \*arabic </w:instrText>
      </w:r>
      <w:r w:rsidRPr="00522E7F">
        <w:rPr>
          <w:lang w:val="en-GB"/>
        </w:rPr>
        <w:fldChar w:fldCharType="separate"/>
      </w:r>
      <w:r w:rsidR="00F12B01">
        <w:rPr>
          <w:noProof/>
          <w:lang w:val="en-GB"/>
        </w:rPr>
        <w:t>15</w:t>
      </w:r>
      <w:r w:rsidRPr="00522E7F">
        <w:rPr>
          <w:lang w:val="en-GB"/>
        </w:rPr>
        <w:fldChar w:fldCharType="end"/>
      </w:r>
      <w:r w:rsidRPr="00522E7F">
        <w:rPr>
          <w:lang w:val="en-GB"/>
        </w:rPr>
        <w:t>.  </w:t>
      </w:r>
      <w:proofErr w:type="gramStart"/>
      <w:r w:rsidRPr="00522E7F" w:rsidR="007E7FD5">
        <w:rPr>
          <w:lang w:val="en-GB"/>
        </w:rPr>
        <w:t xml:space="preserve">According to </w:t>
      </w:r>
      <w:r w:rsidRPr="00522E7F" w:rsidR="00092D69">
        <w:rPr>
          <w:lang w:val="en-GB"/>
        </w:rPr>
        <w:t>Act no.</w:t>
      </w:r>
      <w:proofErr w:type="gramEnd"/>
      <w:r w:rsidRPr="00522E7F" w:rsidR="00092D69">
        <w:rPr>
          <w:lang w:val="en-GB"/>
        </w:rPr>
        <w:t xml:space="preserve"> CIII of 1997 on Excise Tax and the Special Rules of Trading </w:t>
      </w:r>
      <w:r w:rsidRPr="00522E7F" w:rsidR="007E7FD5">
        <w:rPr>
          <w:lang w:val="en-GB"/>
        </w:rPr>
        <w:t>in Merchandise</w:t>
      </w:r>
      <w:r w:rsidRPr="00522E7F" w:rsidR="00092D69">
        <w:rPr>
          <w:lang w:val="en-GB"/>
        </w:rPr>
        <w:t xml:space="preserve"> Subject to Excise Tax (“the Excise Tax Act”), </w:t>
      </w:r>
      <w:r w:rsidRPr="00522E7F" w:rsidR="00AB2DC0">
        <w:rPr>
          <w:lang w:val="en-GB"/>
        </w:rPr>
        <w:t xml:space="preserve">as </w:t>
      </w:r>
      <w:r w:rsidRPr="00522E7F" w:rsidR="00092D69">
        <w:rPr>
          <w:lang w:val="en-GB"/>
        </w:rPr>
        <w:t>in force until 1 May 2004,</w:t>
      </w:r>
      <w:r w:rsidRPr="00522E7F" w:rsidR="007E7FD5">
        <w:rPr>
          <w:lang w:val="en-GB"/>
        </w:rPr>
        <w:t xml:space="preserve"> trading </w:t>
      </w:r>
      <w:r w:rsidRPr="00522E7F" w:rsidR="00AB2DC0">
        <w:rPr>
          <w:lang w:val="en-GB"/>
        </w:rPr>
        <w:t>in</w:t>
      </w:r>
      <w:r w:rsidRPr="00522E7F" w:rsidR="007E7FD5">
        <w:rPr>
          <w:lang w:val="en-GB"/>
        </w:rPr>
        <w:t xml:space="preserve"> excise goods </w:t>
      </w:r>
      <w:r w:rsidRPr="00522E7F" w:rsidR="00AB2DC0">
        <w:rPr>
          <w:lang w:val="en-GB"/>
        </w:rPr>
        <w:t>was</w:t>
      </w:r>
      <w:r w:rsidRPr="00522E7F" w:rsidR="007E7FD5">
        <w:rPr>
          <w:lang w:val="en-GB"/>
        </w:rPr>
        <w:t xml:space="preserve"> possible in two </w:t>
      </w:r>
      <w:r w:rsidRPr="00522E7F" w:rsidR="00AB2DC0">
        <w:rPr>
          <w:lang w:val="en-GB"/>
        </w:rPr>
        <w:t>manners: (a)</w:t>
      </w:r>
      <w:r w:rsidRPr="00522E7F" w:rsidR="007E7FD5">
        <w:rPr>
          <w:lang w:val="en-GB"/>
        </w:rPr>
        <w:t xml:space="preserve"> subject to an excise licence, in which case the holder of such a licence could sell the products to non-end-consumers</w:t>
      </w:r>
      <w:r w:rsidRPr="00522E7F" w:rsidR="00AB2DC0">
        <w:rPr>
          <w:lang w:val="en-GB"/>
        </w:rPr>
        <w:t>; (b)</w:t>
      </w:r>
      <w:r w:rsidRPr="00522E7F" w:rsidR="007E7FD5">
        <w:rPr>
          <w:lang w:val="en-GB"/>
        </w:rPr>
        <w:t xml:space="preserve"> </w:t>
      </w:r>
      <w:r w:rsidRPr="00522E7F" w:rsidR="00AB2DC0">
        <w:rPr>
          <w:lang w:val="en-GB"/>
        </w:rPr>
        <w:t xml:space="preserve">the </w:t>
      </w:r>
      <w:r w:rsidRPr="00522E7F" w:rsidR="007E7FD5">
        <w:rPr>
          <w:lang w:val="en-GB"/>
        </w:rPr>
        <w:t xml:space="preserve">sale of excise goods to end-consumers was also possible without a specific excise licence, if the </w:t>
      </w:r>
      <w:r w:rsidRPr="00522E7F" w:rsidR="002E2907">
        <w:rPr>
          <w:lang w:val="en-GB"/>
        </w:rPr>
        <w:t xml:space="preserve">owner of the </w:t>
      </w:r>
      <w:r w:rsidRPr="00522E7F" w:rsidR="007E7FD5">
        <w:rPr>
          <w:lang w:val="en-GB"/>
        </w:rPr>
        <w:t xml:space="preserve">business </w:t>
      </w:r>
      <w:r w:rsidRPr="00522E7F" w:rsidR="002E2907">
        <w:rPr>
          <w:lang w:val="en-GB"/>
        </w:rPr>
        <w:t xml:space="preserve">had </w:t>
      </w:r>
      <w:r w:rsidRPr="00522E7F" w:rsidR="007E7FD5">
        <w:rPr>
          <w:lang w:val="en-GB"/>
        </w:rPr>
        <w:t xml:space="preserve">an appropriate shop-keeping licence, </w:t>
      </w:r>
      <w:r w:rsidRPr="00522E7F" w:rsidR="001F6F4A">
        <w:rPr>
          <w:lang w:val="en-GB"/>
        </w:rPr>
        <w:t xml:space="preserve">covering also the sale of </w:t>
      </w:r>
      <w:r w:rsidRPr="00522E7F" w:rsidR="002E2907">
        <w:rPr>
          <w:lang w:val="en-GB"/>
        </w:rPr>
        <w:t xml:space="preserve">the </w:t>
      </w:r>
      <w:r w:rsidRPr="00522E7F" w:rsidR="001F6F4A">
        <w:rPr>
          <w:lang w:val="en-GB"/>
        </w:rPr>
        <w:t>excise goods</w:t>
      </w:r>
      <w:r w:rsidRPr="00522E7F" w:rsidR="002E2907">
        <w:rPr>
          <w:lang w:val="en-GB"/>
        </w:rPr>
        <w:t xml:space="preserve"> in question</w:t>
      </w:r>
      <w:r w:rsidRPr="00522E7F" w:rsidR="001F6F4A">
        <w:rPr>
          <w:lang w:val="en-GB"/>
        </w:rPr>
        <w:t xml:space="preserve">. The relevant provisions of the Act </w:t>
      </w:r>
      <w:r w:rsidRPr="00522E7F" w:rsidR="00AB2DC0">
        <w:rPr>
          <w:lang w:val="en-GB"/>
        </w:rPr>
        <w:t>provided</w:t>
      </w:r>
      <w:r w:rsidRPr="00522E7F" w:rsidR="001F6F4A">
        <w:rPr>
          <w:lang w:val="en-GB"/>
        </w:rPr>
        <w:t xml:space="preserve"> as follows:</w:t>
      </w:r>
    </w:p>
    <w:p w:rsidRPr="00522E7F" w:rsidR="001F6F4A" w:rsidP="007E7FD5" w:rsidRDefault="007E7FD5">
      <w:pPr>
        <w:pStyle w:val="ECHRTitleCentre3"/>
        <w:rPr>
          <w:lang w:val="en-GB"/>
        </w:rPr>
      </w:pPr>
      <w:r w:rsidRPr="00522E7F">
        <w:rPr>
          <w:lang w:val="en-GB"/>
        </w:rPr>
        <w:t>Section</w:t>
      </w:r>
      <w:r w:rsidRPr="00522E7F" w:rsidR="001F6F4A">
        <w:rPr>
          <w:lang w:val="en-GB"/>
        </w:rPr>
        <w:t xml:space="preserve"> 72 (1)</w:t>
      </w:r>
    </w:p>
    <w:p w:rsidR="008F10BA" w:rsidP="00B75F92" w:rsidRDefault="00B75F92">
      <w:pPr>
        <w:pStyle w:val="ECHRParaQuote"/>
        <w:rPr>
          <w:lang w:val="en-GB"/>
        </w:rPr>
      </w:pPr>
      <w:r w:rsidRPr="00522E7F">
        <w:rPr>
          <w:lang w:val="en-GB"/>
        </w:rPr>
        <w:t>“</w:t>
      </w:r>
      <w:r w:rsidRPr="00522E7F" w:rsidR="00AB2DC0">
        <w:rPr>
          <w:lang w:val="en-GB"/>
        </w:rPr>
        <w:t xml:space="preserve">(1) </w:t>
      </w:r>
      <w:r w:rsidRPr="00522E7F">
        <w:rPr>
          <w:lang w:val="en-GB"/>
        </w:rPr>
        <w:t xml:space="preserve">Non-excise-licensed free trade of excise goods </w:t>
      </w:r>
      <w:r w:rsidR="00641D6F">
        <w:rPr>
          <w:lang w:val="en-GB"/>
        </w:rPr>
        <w:t>...</w:t>
      </w:r>
      <w:r w:rsidRPr="00522E7F">
        <w:rPr>
          <w:lang w:val="en-GB"/>
        </w:rPr>
        <w:t xml:space="preserve"> is only allowed in possession of a shop-keeping licence, specified by the law on the operation of shops</w:t>
      </w:r>
      <w:r w:rsidRPr="00522E7F" w:rsidR="00AB2DC0">
        <w:rPr>
          <w:lang w:val="en-GB"/>
        </w:rPr>
        <w:t xml:space="preserve"> </w:t>
      </w:r>
      <w:r w:rsidR="00641D6F">
        <w:rPr>
          <w:lang w:val="en-GB"/>
        </w:rPr>
        <w:t>...</w:t>
      </w:r>
      <w:r w:rsidRPr="00522E7F">
        <w:rPr>
          <w:lang w:val="en-GB"/>
        </w:rPr>
        <w:t xml:space="preserve"> if</w:t>
      </w:r>
    </w:p>
    <w:p w:rsidRPr="00522E7F" w:rsidR="00874BF2" w:rsidP="00B75F92" w:rsidRDefault="00B75F92">
      <w:pPr>
        <w:pStyle w:val="ECHRParaQuote"/>
        <w:rPr>
          <w:lang w:val="en-GB"/>
        </w:rPr>
      </w:pPr>
      <w:r w:rsidRPr="00522E7F">
        <w:rPr>
          <w:lang w:val="en-GB"/>
        </w:rPr>
        <w:t xml:space="preserve">a) </w:t>
      </w:r>
      <w:proofErr w:type="gramStart"/>
      <w:r w:rsidRPr="00522E7F">
        <w:rPr>
          <w:lang w:val="en-GB"/>
        </w:rPr>
        <w:t>the</w:t>
      </w:r>
      <w:proofErr w:type="gramEnd"/>
      <w:r w:rsidRPr="00522E7F">
        <w:rPr>
          <w:lang w:val="en-GB"/>
        </w:rPr>
        <w:t xml:space="preserve"> shop-keeping licence is issued for a scope of retail, catering or </w:t>
      </w:r>
      <w:r w:rsidRPr="00522E7F" w:rsidR="00874BF2">
        <w:rPr>
          <w:lang w:val="en-GB"/>
        </w:rPr>
        <w:t>accommodation activities in the framework of which the law allows the sale of excise goods, and</w:t>
      </w:r>
    </w:p>
    <w:p w:rsidRPr="00522E7F" w:rsidR="00A83CBD" w:rsidP="007F3D63" w:rsidRDefault="00732A90">
      <w:pPr>
        <w:pStyle w:val="ECHRParaQuote"/>
        <w:rPr>
          <w:lang w:val="en-GB"/>
        </w:rPr>
      </w:pPr>
      <w:r>
        <w:rPr>
          <w:lang w:val="en-GB"/>
        </w:rPr>
        <w:t xml:space="preserve">b) </w:t>
      </w:r>
      <w:proofErr w:type="gramStart"/>
      <w:r>
        <w:rPr>
          <w:lang w:val="en-GB"/>
        </w:rPr>
        <w:t>the</w:t>
      </w:r>
      <w:proofErr w:type="gramEnd"/>
      <w:r>
        <w:rPr>
          <w:lang w:val="en-GB"/>
        </w:rPr>
        <w:t xml:space="preserve"> non-excise-licens</w:t>
      </w:r>
      <w:r w:rsidRPr="00522E7F" w:rsidR="00874BF2">
        <w:rPr>
          <w:lang w:val="en-GB"/>
        </w:rPr>
        <w:t xml:space="preserve">ed dealer pursues his or her commercial activity </w:t>
      </w:r>
      <w:r w:rsidR="00641D6F">
        <w:rPr>
          <w:lang w:val="en-GB"/>
        </w:rPr>
        <w:t>...</w:t>
      </w:r>
      <w:r w:rsidRPr="00522E7F" w:rsidR="00874BF2">
        <w:rPr>
          <w:lang w:val="en-GB"/>
        </w:rPr>
        <w:t xml:space="preserve"> in a shop.</w:t>
      </w:r>
      <w:r w:rsidRPr="00522E7F" w:rsidR="00B75F92">
        <w:rPr>
          <w:lang w:val="en-GB"/>
        </w:rPr>
        <w:t>”</w:t>
      </w:r>
    </w:p>
    <w:p w:rsidRPr="00522E7F" w:rsidR="00A435DE" w:rsidP="007316E4" w:rsidRDefault="007316E4">
      <w:pPr>
        <w:pStyle w:val="ECHRPara"/>
        <w:rPr>
          <w:lang w:val="en-GB"/>
        </w:rPr>
      </w:pPr>
      <w:r w:rsidRPr="00522E7F">
        <w:rPr>
          <w:lang w:val="en-GB"/>
        </w:rPr>
        <w:fldChar w:fldCharType="begin"/>
      </w:r>
      <w:r w:rsidRPr="00522E7F">
        <w:rPr>
          <w:lang w:val="en-GB"/>
        </w:rPr>
        <w:instrText xml:space="preserve"> SEQ level0 \*arabic </w:instrText>
      </w:r>
      <w:r w:rsidRPr="00522E7F">
        <w:rPr>
          <w:lang w:val="en-GB"/>
        </w:rPr>
        <w:fldChar w:fldCharType="separate"/>
      </w:r>
      <w:r w:rsidR="00F12B01">
        <w:rPr>
          <w:noProof/>
          <w:lang w:val="en-GB"/>
        </w:rPr>
        <w:t>16</w:t>
      </w:r>
      <w:r w:rsidRPr="00522E7F">
        <w:rPr>
          <w:lang w:val="en-GB"/>
        </w:rPr>
        <w:fldChar w:fldCharType="end"/>
      </w:r>
      <w:r w:rsidRPr="00522E7F">
        <w:rPr>
          <w:lang w:val="en-GB"/>
        </w:rPr>
        <w:t>.  </w:t>
      </w:r>
      <w:r w:rsidRPr="00522E7F" w:rsidR="005C4BC4">
        <w:rPr>
          <w:lang w:val="en-GB"/>
        </w:rPr>
        <w:t>In its relevant part</w:t>
      </w:r>
      <w:r w:rsidRPr="00522E7F" w:rsidR="00A435DE">
        <w:rPr>
          <w:lang w:val="en-GB"/>
        </w:rPr>
        <w:t>, Act no. CLI of 2011 on the Constitutional Court (“the Constitutional Court Act”) provides as follows:</w:t>
      </w:r>
    </w:p>
    <w:p w:rsidRPr="00522E7F" w:rsidR="00A435DE" w:rsidP="00A435DE" w:rsidRDefault="00A435DE">
      <w:pPr>
        <w:pStyle w:val="ECHRTitleCentre3"/>
        <w:rPr>
          <w:lang w:val="en-GB"/>
        </w:rPr>
      </w:pPr>
      <w:r w:rsidRPr="00522E7F">
        <w:rPr>
          <w:lang w:val="en-GB"/>
        </w:rPr>
        <w:t>Section 26</w:t>
      </w:r>
    </w:p>
    <w:p w:rsidRPr="00522E7F" w:rsidR="00A435DE" w:rsidP="00A435DE" w:rsidRDefault="00A435DE">
      <w:pPr>
        <w:pStyle w:val="ECHRParaQuote"/>
        <w:rPr>
          <w:lang w:val="en-GB" w:bidi="en-US"/>
        </w:rPr>
      </w:pPr>
      <w:r w:rsidRPr="00522E7F">
        <w:rPr>
          <w:lang w:val="en-GB" w:bidi="en-US"/>
        </w:rPr>
        <w:t>“(1)</w:t>
      </w:r>
      <w:r w:rsidRPr="00522E7F" w:rsidR="005C4BC4">
        <w:rPr>
          <w:lang w:val="en-GB" w:bidi="en-US"/>
        </w:rPr>
        <w:t xml:space="preserve"> In accordance with Article 24 § </w:t>
      </w:r>
      <w:r w:rsidRPr="00522E7F">
        <w:rPr>
          <w:lang w:val="en-GB" w:bidi="en-US"/>
        </w:rPr>
        <w:t>2</w:t>
      </w:r>
      <w:r w:rsidRPr="00522E7F" w:rsidR="005C4BC4">
        <w:rPr>
          <w:lang w:val="en-GB" w:bidi="en-US"/>
        </w:rPr>
        <w:t xml:space="preserve"> (</w:t>
      </w:r>
      <w:r w:rsidRPr="00522E7F">
        <w:rPr>
          <w:lang w:val="en-GB" w:bidi="en-US"/>
        </w:rPr>
        <w:t>c) of the Fundamental Law, any person or organisation affected by a concrete case may submit a constitutional complaint</w:t>
      </w:r>
      <w:r w:rsidRPr="00522E7F" w:rsidR="00AB2DC0">
        <w:rPr>
          <w:lang w:val="en-GB" w:bidi="en-US"/>
        </w:rPr>
        <w:t xml:space="preserve"> to the Constitutional Court if</w:t>
      </w:r>
      <w:r w:rsidRPr="00522E7F">
        <w:rPr>
          <w:lang w:val="en-GB" w:bidi="en-US"/>
        </w:rPr>
        <w:t xml:space="preserve"> due to the application of a legal regulation contrary to the Fundamental Law in the judicial proceedings</w:t>
      </w:r>
      <w:r w:rsidRPr="00522E7F" w:rsidR="005C4BC4">
        <w:rPr>
          <w:lang w:val="en-GB" w:bidi="en-US"/>
        </w:rPr>
        <w:t>:</w:t>
      </w:r>
    </w:p>
    <w:p w:rsidRPr="00522E7F" w:rsidR="00A435DE" w:rsidP="00A435DE" w:rsidRDefault="00A435DE">
      <w:pPr>
        <w:pStyle w:val="ECHRParaQuote"/>
        <w:rPr>
          <w:lang w:val="en-GB" w:bidi="en-US"/>
        </w:rPr>
      </w:pPr>
      <w:r w:rsidRPr="00522E7F">
        <w:rPr>
          <w:lang w:val="en-GB" w:bidi="en-US"/>
        </w:rPr>
        <w:t xml:space="preserve">a) </w:t>
      </w:r>
      <w:proofErr w:type="gramStart"/>
      <w:r w:rsidRPr="00522E7F">
        <w:rPr>
          <w:lang w:val="en-GB" w:bidi="en-US"/>
        </w:rPr>
        <w:t>their</w:t>
      </w:r>
      <w:proofErr w:type="gramEnd"/>
      <w:r w:rsidRPr="00522E7F">
        <w:rPr>
          <w:lang w:val="en-GB" w:bidi="en-US"/>
        </w:rPr>
        <w:t xml:space="preserve"> rights enshrined in the Fundamental Law were </w:t>
      </w:r>
      <w:r w:rsidRPr="00522E7F" w:rsidR="00AB2DC0">
        <w:rPr>
          <w:lang w:val="en-GB" w:bidi="en-US"/>
        </w:rPr>
        <w:t>[allegedly]</w:t>
      </w:r>
      <w:r w:rsidRPr="00522E7F" w:rsidR="00346F7D">
        <w:rPr>
          <w:lang w:val="en-GB" w:bidi="en-US"/>
        </w:rPr>
        <w:t xml:space="preserve"> </w:t>
      </w:r>
      <w:r w:rsidRPr="00522E7F">
        <w:rPr>
          <w:lang w:val="en-GB" w:bidi="en-US"/>
        </w:rPr>
        <w:t>violated, and</w:t>
      </w:r>
    </w:p>
    <w:p w:rsidRPr="00522E7F" w:rsidR="00A435DE" w:rsidP="00A435DE" w:rsidRDefault="00A435DE">
      <w:pPr>
        <w:pStyle w:val="ECHRParaQuote"/>
        <w:rPr>
          <w:lang w:val="en-GB" w:bidi="en-US"/>
        </w:rPr>
      </w:pPr>
      <w:r w:rsidRPr="00522E7F">
        <w:rPr>
          <w:lang w:val="en-GB" w:bidi="en-US"/>
        </w:rPr>
        <w:t xml:space="preserve">b) </w:t>
      </w:r>
      <w:proofErr w:type="gramStart"/>
      <w:r w:rsidRPr="00522E7F">
        <w:rPr>
          <w:lang w:val="en-GB" w:bidi="en-US"/>
        </w:rPr>
        <w:t>the</w:t>
      </w:r>
      <w:proofErr w:type="gramEnd"/>
      <w:r w:rsidRPr="00522E7F">
        <w:rPr>
          <w:lang w:val="en-GB" w:bidi="en-US"/>
        </w:rPr>
        <w:t xml:space="preserve"> possibilities for legal remedy have already been exhausted or no possibility for legal remedy is available.</w:t>
      </w:r>
    </w:p>
    <w:p w:rsidRPr="00522E7F" w:rsidR="00A435DE" w:rsidP="00A435DE" w:rsidRDefault="00A435DE">
      <w:pPr>
        <w:pStyle w:val="ECHRParaQuote"/>
        <w:rPr>
          <w:lang w:val="en-GB" w:bidi="en-US"/>
        </w:rPr>
      </w:pPr>
      <w:r w:rsidRPr="00522E7F">
        <w:rPr>
          <w:lang w:val="en-GB" w:bidi="en-US"/>
        </w:rPr>
        <w:t xml:space="preserve">(2) By way of derogation from paragraph (1), Constitutional Court proceedings may also be initiated – by exception – </w:t>
      </w:r>
      <w:r w:rsidRPr="00522E7F" w:rsidR="00AB2DC0">
        <w:rPr>
          <w:lang w:val="en-GB" w:bidi="en-US"/>
        </w:rPr>
        <w:t>relying</w:t>
      </w:r>
      <w:r w:rsidRPr="00522E7F">
        <w:rPr>
          <w:lang w:val="en-GB" w:bidi="en-US"/>
        </w:rPr>
        <w:t xml:space="preserve"> on Article 24 </w:t>
      </w:r>
      <w:r w:rsidRPr="00522E7F" w:rsidR="005C4BC4">
        <w:rPr>
          <w:lang w:val="en-GB" w:bidi="en-US"/>
        </w:rPr>
        <w:t xml:space="preserve">§ </w:t>
      </w:r>
      <w:r w:rsidRPr="00522E7F">
        <w:rPr>
          <w:lang w:val="en-GB" w:bidi="en-US"/>
        </w:rPr>
        <w:t>2</w:t>
      </w:r>
      <w:r w:rsidRPr="00522E7F" w:rsidR="005C4BC4">
        <w:rPr>
          <w:lang w:val="en-GB" w:bidi="en-US"/>
        </w:rPr>
        <w:t xml:space="preserve"> (</w:t>
      </w:r>
      <w:r w:rsidRPr="00522E7F">
        <w:rPr>
          <w:lang w:val="en-GB" w:bidi="en-US"/>
        </w:rPr>
        <w:t>c) of the Fundamental Law, if</w:t>
      </w:r>
      <w:r w:rsidRPr="00522E7F" w:rsidR="005C4BC4">
        <w:rPr>
          <w:lang w:val="en-GB" w:bidi="en-US"/>
        </w:rPr>
        <w:t>:</w:t>
      </w:r>
    </w:p>
    <w:p w:rsidR="008F10BA" w:rsidP="00A435DE" w:rsidRDefault="00A435DE">
      <w:pPr>
        <w:pStyle w:val="ECHRParaQuote"/>
        <w:rPr>
          <w:lang w:val="en-GB" w:bidi="en-US"/>
        </w:rPr>
      </w:pPr>
      <w:r w:rsidRPr="00522E7F">
        <w:rPr>
          <w:lang w:val="en-GB" w:bidi="en-US"/>
        </w:rPr>
        <w:t xml:space="preserve">a) due to the </w:t>
      </w:r>
      <w:r w:rsidRPr="00522E7F" w:rsidR="006B09D3">
        <w:rPr>
          <w:lang w:val="en-GB" w:bidi="en-US"/>
        </w:rPr>
        <w:t xml:space="preserve">entry into force or the </w:t>
      </w:r>
      <w:r w:rsidRPr="00522E7F">
        <w:rPr>
          <w:lang w:val="en-GB" w:bidi="en-US"/>
        </w:rPr>
        <w:t xml:space="preserve">application of a legal provision contrary to the Fundamental Law, </w:t>
      </w:r>
      <w:r w:rsidRPr="00522E7F" w:rsidR="006B09D3">
        <w:rPr>
          <w:lang w:val="en-GB" w:bidi="en-US"/>
        </w:rPr>
        <w:t>the complainant</w:t>
      </w:r>
      <w:r w:rsidR="006011C5">
        <w:rPr>
          <w:lang w:val="en-GB" w:bidi="en-US"/>
        </w:rPr>
        <w:t>’</w:t>
      </w:r>
      <w:r w:rsidRPr="00522E7F" w:rsidR="006B09D3">
        <w:rPr>
          <w:lang w:val="en-GB" w:bidi="en-US"/>
        </w:rPr>
        <w:t>s</w:t>
      </w:r>
      <w:r w:rsidRPr="00522E7F">
        <w:rPr>
          <w:lang w:val="en-GB" w:bidi="en-US"/>
        </w:rPr>
        <w:t xml:space="preserve"> rights were </w:t>
      </w:r>
      <w:r w:rsidRPr="00522E7F" w:rsidR="00AB2DC0">
        <w:rPr>
          <w:lang w:val="en-GB" w:bidi="en-US"/>
        </w:rPr>
        <w:t xml:space="preserve">[allegedly] </w:t>
      </w:r>
      <w:r w:rsidRPr="00522E7F">
        <w:rPr>
          <w:lang w:val="en-GB" w:bidi="en-US"/>
        </w:rPr>
        <w:t>violated directly, without a judicial decision, and</w:t>
      </w:r>
    </w:p>
    <w:p w:rsidRPr="00522E7F" w:rsidR="00A435DE" w:rsidP="00793457" w:rsidRDefault="00A435DE">
      <w:pPr>
        <w:pStyle w:val="ECHRParaQuote"/>
        <w:rPr>
          <w:lang w:val="en-GB" w:bidi="en-US"/>
        </w:rPr>
      </w:pPr>
      <w:r w:rsidRPr="00522E7F">
        <w:rPr>
          <w:lang w:val="en-GB" w:bidi="en-US"/>
        </w:rPr>
        <w:t xml:space="preserve">b) </w:t>
      </w:r>
      <w:proofErr w:type="gramStart"/>
      <w:r w:rsidRPr="00522E7F">
        <w:rPr>
          <w:lang w:val="en-GB" w:bidi="en-US"/>
        </w:rPr>
        <w:t>there</w:t>
      </w:r>
      <w:proofErr w:type="gramEnd"/>
      <w:r w:rsidRPr="00522E7F">
        <w:rPr>
          <w:lang w:val="en-GB" w:bidi="en-US"/>
        </w:rPr>
        <w:t xml:space="preserve"> is </w:t>
      </w:r>
      <w:r w:rsidRPr="00522E7F" w:rsidR="005C4BC4">
        <w:rPr>
          <w:lang w:val="en-GB" w:bidi="en-US"/>
        </w:rPr>
        <w:t xml:space="preserve">no </w:t>
      </w:r>
      <w:r w:rsidRPr="00522E7F">
        <w:rPr>
          <w:lang w:val="en-GB" w:bidi="en-US"/>
        </w:rPr>
        <w:t xml:space="preserve">legal remedy </w:t>
      </w:r>
      <w:r w:rsidRPr="00522E7F" w:rsidR="005C4BC4">
        <w:rPr>
          <w:lang w:val="en-GB" w:bidi="en-US"/>
        </w:rPr>
        <w:t>capable of redressing</w:t>
      </w:r>
      <w:r w:rsidRPr="00522E7F">
        <w:rPr>
          <w:lang w:val="en-GB" w:bidi="en-US"/>
        </w:rPr>
        <w:t xml:space="preserve"> the violation of rights, or the </w:t>
      </w:r>
      <w:r w:rsidRPr="00522E7F" w:rsidR="006B09D3">
        <w:rPr>
          <w:lang w:val="en-GB" w:bidi="en-US"/>
        </w:rPr>
        <w:t>complainant</w:t>
      </w:r>
      <w:r w:rsidRPr="00522E7F">
        <w:rPr>
          <w:lang w:val="en-GB" w:bidi="en-US"/>
        </w:rPr>
        <w:t xml:space="preserve"> has already exhausted the remedy.”</w:t>
      </w:r>
    </w:p>
    <w:p w:rsidRPr="00522E7F" w:rsidR="00844897" w:rsidP="00844897" w:rsidRDefault="00844897">
      <w:pPr>
        <w:pStyle w:val="ECHRTitleCentre3"/>
        <w:rPr>
          <w:lang w:val="en-GB"/>
        </w:rPr>
      </w:pPr>
      <w:r w:rsidRPr="00522E7F">
        <w:rPr>
          <w:lang w:val="en-GB"/>
        </w:rPr>
        <w:t>Section 29</w:t>
      </w:r>
    </w:p>
    <w:p w:rsidRPr="00522E7F" w:rsidR="00844897" w:rsidP="00844897" w:rsidRDefault="00844897">
      <w:pPr>
        <w:pStyle w:val="ECHRParaQuote"/>
        <w:rPr>
          <w:lang w:val="en-GB" w:bidi="en-US"/>
        </w:rPr>
      </w:pPr>
      <w:r w:rsidRPr="00522E7F">
        <w:rPr>
          <w:lang w:val="en-GB" w:bidi="en-US"/>
        </w:rPr>
        <w:t>“The Constitutional Court admit</w:t>
      </w:r>
      <w:r w:rsidRPr="00522E7F" w:rsidR="00AB2DC0">
        <w:rPr>
          <w:lang w:val="en-GB" w:bidi="en-US"/>
        </w:rPr>
        <w:t>s</w:t>
      </w:r>
      <w:r w:rsidRPr="00522E7F">
        <w:rPr>
          <w:lang w:val="en-GB" w:bidi="en-US"/>
        </w:rPr>
        <w:t xml:space="preserve"> constitutional complaints if a conflict with the Fundamental Law significantly affects the judicial decision</w:t>
      </w:r>
      <w:r w:rsidRPr="00522E7F" w:rsidR="005C4BC4">
        <w:rPr>
          <w:lang w:val="en-GB" w:bidi="en-US"/>
        </w:rPr>
        <w:t xml:space="preserve"> [in question]</w:t>
      </w:r>
      <w:r w:rsidRPr="00522E7F">
        <w:rPr>
          <w:lang w:val="en-GB" w:bidi="en-US"/>
        </w:rPr>
        <w:t xml:space="preserve"> or the case raises constitutional law issues of fundamental importance.”</w:t>
      </w:r>
    </w:p>
    <w:p w:rsidRPr="00522E7F" w:rsidR="00A435DE" w:rsidP="00A435DE" w:rsidRDefault="00A435DE">
      <w:pPr>
        <w:pStyle w:val="ECHRTitleCentre3"/>
        <w:rPr>
          <w:lang w:val="en-GB"/>
        </w:rPr>
      </w:pPr>
      <w:r w:rsidRPr="00522E7F">
        <w:rPr>
          <w:lang w:val="en-GB"/>
        </w:rPr>
        <w:t>Section 56</w:t>
      </w:r>
    </w:p>
    <w:p w:rsidRPr="00522E7F" w:rsidR="00A435DE" w:rsidP="00A435DE" w:rsidRDefault="00844897">
      <w:pPr>
        <w:pStyle w:val="ECHRParaQuote"/>
        <w:rPr>
          <w:lang w:val="en-GB" w:bidi="en-US"/>
        </w:rPr>
      </w:pPr>
      <w:r w:rsidRPr="00522E7F">
        <w:rPr>
          <w:lang w:val="en-GB" w:bidi="en-US"/>
        </w:rPr>
        <w:t>“</w:t>
      </w:r>
      <w:r w:rsidRPr="00522E7F" w:rsidR="00A435DE">
        <w:rPr>
          <w:lang w:val="en-GB" w:bidi="en-US"/>
        </w:rPr>
        <w:t>(1) The Constitutional Court decide</w:t>
      </w:r>
      <w:r w:rsidRPr="00522E7F" w:rsidR="00AB2DC0">
        <w:rPr>
          <w:lang w:val="en-GB" w:bidi="en-US"/>
        </w:rPr>
        <w:t>s</w:t>
      </w:r>
      <w:r w:rsidRPr="00522E7F" w:rsidR="00A435DE">
        <w:rPr>
          <w:lang w:val="en-GB" w:bidi="en-US"/>
        </w:rPr>
        <w:t xml:space="preserve"> on th</w:t>
      </w:r>
      <w:r w:rsidRPr="00522E7F">
        <w:rPr>
          <w:lang w:val="en-GB" w:bidi="en-US"/>
        </w:rPr>
        <w:t xml:space="preserve">e admission of a constitutional </w:t>
      </w:r>
      <w:r w:rsidRPr="00522E7F" w:rsidR="00A435DE">
        <w:rPr>
          <w:lang w:val="en-GB" w:bidi="en-US"/>
        </w:rPr>
        <w:t xml:space="preserve">complaint </w:t>
      </w:r>
      <w:r w:rsidRPr="00522E7F" w:rsidR="00184A9A">
        <w:rPr>
          <w:lang w:val="en-GB" w:bidi="en-US"/>
        </w:rPr>
        <w:t xml:space="preserve">sitting as a </w:t>
      </w:r>
      <w:r w:rsidRPr="00522E7F" w:rsidR="00A435DE">
        <w:rPr>
          <w:lang w:val="en-GB" w:bidi="en-US"/>
        </w:rPr>
        <w:t xml:space="preserve">panel </w:t>
      </w:r>
      <w:r w:rsidR="00641D6F">
        <w:rPr>
          <w:lang w:val="en-GB" w:bidi="en-US"/>
        </w:rPr>
        <w:t>...</w:t>
      </w:r>
    </w:p>
    <w:p w:rsidRPr="00522E7F" w:rsidR="00A435DE" w:rsidP="00A435DE" w:rsidRDefault="00A435DE">
      <w:pPr>
        <w:pStyle w:val="ECHRParaQuote"/>
        <w:rPr>
          <w:lang w:val="en-GB" w:bidi="en-US"/>
        </w:rPr>
      </w:pPr>
      <w:r w:rsidRPr="00522E7F">
        <w:rPr>
          <w:lang w:val="en-GB" w:bidi="en-US"/>
        </w:rPr>
        <w:t>(2) The panel examine</w:t>
      </w:r>
      <w:r w:rsidRPr="00522E7F" w:rsidR="00AB2DC0">
        <w:rPr>
          <w:lang w:val="en-GB" w:bidi="en-US"/>
        </w:rPr>
        <w:t>s</w:t>
      </w:r>
      <w:r w:rsidRPr="00522E7F">
        <w:rPr>
          <w:lang w:val="en-GB" w:bidi="en-US"/>
        </w:rPr>
        <w:t xml:space="preserve"> in its discretionary power the content-related requirements of the admissibility of a constitutional complaint </w:t>
      </w:r>
      <w:r w:rsidRPr="00522E7F" w:rsidR="00184A9A">
        <w:rPr>
          <w:lang w:val="en-GB" w:bidi="en-US"/>
        </w:rPr>
        <w:t>...</w:t>
      </w:r>
      <w:r w:rsidRPr="00522E7F">
        <w:rPr>
          <w:lang w:val="en-GB" w:bidi="en-US"/>
        </w:rPr>
        <w:t>.</w:t>
      </w:r>
      <w:r w:rsidRPr="00522E7F" w:rsidR="00844897">
        <w:rPr>
          <w:lang w:val="en-GB" w:bidi="en-US"/>
        </w:rPr>
        <w:t>”</w:t>
      </w:r>
    </w:p>
    <w:p w:rsidR="008F10BA" w:rsidP="007316E4" w:rsidRDefault="000774CE">
      <w:pPr>
        <w:pStyle w:val="ECHRPara"/>
        <w:rPr>
          <w:lang w:val="en-GB"/>
        </w:rPr>
      </w:pPr>
      <w:r w:rsidRPr="00522E7F">
        <w:rPr>
          <w:lang w:val="en-GB"/>
        </w:rPr>
        <w:t xml:space="preserve">The Constitutional Court </w:t>
      </w:r>
      <w:r w:rsidRPr="00522E7F" w:rsidR="007316E4">
        <w:rPr>
          <w:lang w:val="en-GB"/>
        </w:rPr>
        <w:t xml:space="preserve">analysed the </w:t>
      </w:r>
      <w:r w:rsidRPr="00522E7F">
        <w:rPr>
          <w:lang w:val="en-GB"/>
        </w:rPr>
        <w:t>motions</w:t>
      </w:r>
      <w:r w:rsidRPr="00522E7F" w:rsidR="007316E4">
        <w:rPr>
          <w:lang w:val="en-GB"/>
        </w:rPr>
        <w:t xml:space="preserve"> </w:t>
      </w:r>
      <w:r w:rsidR="008022B9">
        <w:rPr>
          <w:lang w:val="en-GB"/>
        </w:rPr>
        <w:t xml:space="preserve">mentioned in paragraph 13 above </w:t>
      </w:r>
      <w:r w:rsidRPr="00522E7F" w:rsidR="007316E4">
        <w:rPr>
          <w:lang w:val="en-GB"/>
        </w:rPr>
        <w:t>from two aspects: whether the impugned legislation infringed the complainants</w:t>
      </w:r>
      <w:r w:rsidR="006011C5">
        <w:rPr>
          <w:lang w:val="en-GB"/>
        </w:rPr>
        <w:t>’</w:t>
      </w:r>
      <w:r w:rsidRPr="00522E7F" w:rsidR="007316E4">
        <w:rPr>
          <w:lang w:val="en-GB"/>
        </w:rPr>
        <w:t xml:space="preserve"> right to protection of their property and whether it breached their right to pursue an entrepreneurial activity.</w:t>
      </w:r>
    </w:p>
    <w:p w:rsidRPr="00522E7F" w:rsidR="007316E4" w:rsidP="007316E4" w:rsidRDefault="007316E4">
      <w:pPr>
        <w:pStyle w:val="ECHRPara"/>
        <w:rPr>
          <w:lang w:val="en-GB"/>
        </w:rPr>
      </w:pPr>
      <w:r w:rsidRPr="00522E7F">
        <w:rPr>
          <w:lang w:val="en-GB"/>
        </w:rPr>
        <w:t>As regards the property right, the Constitutional Court held in essence that the complainants</w:t>
      </w:r>
      <w:r w:rsidR="006011C5">
        <w:rPr>
          <w:lang w:val="en-GB"/>
        </w:rPr>
        <w:t>’</w:t>
      </w:r>
      <w:r w:rsidRPr="00522E7F">
        <w:rPr>
          <w:lang w:val="en-GB"/>
        </w:rPr>
        <w:t xml:space="preserve"> business activities in tobacco retail – however long-standing it may have been – did not constitute </w:t>
      </w:r>
      <w:r w:rsidRPr="00522E7F">
        <w:rPr>
          <w:i/>
          <w:lang w:val="en-GB"/>
        </w:rPr>
        <w:t>per se</w:t>
      </w:r>
      <w:r w:rsidRPr="00522E7F">
        <w:rPr>
          <w:lang w:val="en-GB"/>
        </w:rPr>
        <w:t xml:space="preserve"> acquired possessions or constitutionally protected legitimate expectations. Prior to 1 July 2013, they had not possessed specific licences </w:t>
      </w:r>
      <w:r w:rsidRPr="00522E7F" w:rsidR="00DF5B6A">
        <w:rPr>
          <w:lang w:val="en-GB"/>
        </w:rPr>
        <w:t>f</w:t>
      </w:r>
      <w:r w:rsidRPr="00522E7F">
        <w:rPr>
          <w:lang w:val="en-GB"/>
        </w:rPr>
        <w:t>o</w:t>
      </w:r>
      <w:r w:rsidRPr="00522E7F" w:rsidR="00DF5B6A">
        <w:rPr>
          <w:lang w:val="en-GB"/>
        </w:rPr>
        <w:t>r</w:t>
      </w:r>
      <w:r w:rsidRPr="00522E7F">
        <w:rPr>
          <w:lang w:val="en-GB"/>
        </w:rPr>
        <w:t xml:space="preserve"> tobacco retail, this kind of licence having been instituted only by the impugned legislation as of that date. Therefore, the legislation did not deprive them of pre-existing, acquired possessions, nor did it annul their shop-keeping licences in general. Moreover, their licences to sell merchandise subject to excise tax (a</w:t>
      </w:r>
      <w:r w:rsidR="00DB72BA">
        <w:rPr>
          <w:lang w:val="en-GB"/>
        </w:rPr>
        <w:t> </w:t>
      </w:r>
      <w:r w:rsidRPr="00522E7F">
        <w:rPr>
          <w:lang w:val="en-GB"/>
        </w:rPr>
        <w:t>licence different from the one instituted by the impugned legislation, issued by the Tax Authority as a pre-condition f</w:t>
      </w:r>
      <w:r w:rsidRPr="00522E7F" w:rsidR="00DF5B6A">
        <w:rPr>
          <w:lang w:val="en-GB"/>
        </w:rPr>
        <w:t>or</w:t>
      </w:r>
      <w:r w:rsidRPr="00522E7F">
        <w:rPr>
          <w:lang w:val="en-GB"/>
        </w:rPr>
        <w:t xml:space="preserve"> </w:t>
      </w:r>
      <w:r w:rsidRPr="00522E7F" w:rsidR="00DF5B6A">
        <w:rPr>
          <w:lang w:val="en-GB"/>
        </w:rPr>
        <w:t>engagi</w:t>
      </w:r>
      <w:r w:rsidRPr="00522E7F">
        <w:rPr>
          <w:lang w:val="en-GB"/>
        </w:rPr>
        <w:t xml:space="preserve">ng </w:t>
      </w:r>
      <w:r w:rsidRPr="00522E7F" w:rsidR="00DF5B6A">
        <w:rPr>
          <w:lang w:val="en-GB"/>
        </w:rPr>
        <w:t xml:space="preserve">in </w:t>
      </w:r>
      <w:r w:rsidRPr="00522E7F">
        <w:rPr>
          <w:lang w:val="en-GB"/>
        </w:rPr>
        <w:t>tobacco retail) were non-transferable and revocable permits, which did not constitute possession</w:t>
      </w:r>
      <w:r w:rsidRPr="00522E7F" w:rsidR="00DF5B6A">
        <w:rPr>
          <w:lang w:val="en-GB"/>
        </w:rPr>
        <w:t>s</w:t>
      </w:r>
      <w:r w:rsidRPr="00522E7F">
        <w:rPr>
          <w:lang w:val="en-GB"/>
        </w:rPr>
        <w:t>. T</w:t>
      </w:r>
      <w:r w:rsidRPr="00522E7F" w:rsidR="00B23301">
        <w:rPr>
          <w:lang w:val="en-GB"/>
        </w:rPr>
        <w:t>he Constitutional Court emphasis</w:t>
      </w:r>
      <w:r w:rsidRPr="00522E7F">
        <w:rPr>
          <w:lang w:val="en-GB"/>
        </w:rPr>
        <w:t>ed that the legislation did not prevent the complainants from applying for tobacco retail concession under the new sy</w:t>
      </w:r>
      <w:r w:rsidRPr="00522E7F" w:rsidR="00B23301">
        <w:rPr>
          <w:lang w:val="en-GB"/>
        </w:rPr>
        <w:t>stem and, if successfully licens</w:t>
      </w:r>
      <w:r w:rsidRPr="00522E7F">
        <w:rPr>
          <w:lang w:val="en-GB"/>
        </w:rPr>
        <w:t xml:space="preserve">ed, </w:t>
      </w:r>
      <w:r w:rsidRPr="00522E7F" w:rsidR="00B23301">
        <w:rPr>
          <w:lang w:val="en-GB"/>
        </w:rPr>
        <w:t>from continuing</w:t>
      </w:r>
      <w:r w:rsidRPr="00522E7F">
        <w:rPr>
          <w:lang w:val="en-GB"/>
        </w:rPr>
        <w:t xml:space="preserve"> their activit</w:t>
      </w:r>
      <w:r w:rsidRPr="00522E7F" w:rsidR="00B23301">
        <w:rPr>
          <w:lang w:val="en-GB"/>
        </w:rPr>
        <w:t>ies</w:t>
      </w:r>
      <w:r w:rsidRPr="00522E7F">
        <w:rPr>
          <w:lang w:val="en-GB"/>
        </w:rPr>
        <w:t>.</w:t>
      </w:r>
    </w:p>
    <w:p w:rsidR="007316E4" w:rsidP="007316E4" w:rsidRDefault="007316E4">
      <w:pPr>
        <w:pStyle w:val="ECHRPara"/>
        <w:rPr>
          <w:lang w:val="en-GB"/>
        </w:rPr>
      </w:pPr>
      <w:r w:rsidRPr="00522E7F">
        <w:rPr>
          <w:lang w:val="en-GB"/>
        </w:rPr>
        <w:t xml:space="preserve">As regards the complaint concerning the right to </w:t>
      </w:r>
      <w:r w:rsidRPr="00522E7F" w:rsidR="00B23301">
        <w:rPr>
          <w:lang w:val="en-GB"/>
        </w:rPr>
        <w:t>pursue</w:t>
      </w:r>
      <w:r w:rsidRPr="00522E7F">
        <w:rPr>
          <w:lang w:val="en-GB"/>
        </w:rPr>
        <w:t xml:space="preserve"> an entrepreneurial activity, the Constitutional Court agreed that the complainants</w:t>
      </w:r>
      <w:r w:rsidR="006011C5">
        <w:rPr>
          <w:lang w:val="en-GB"/>
        </w:rPr>
        <w:t>’</w:t>
      </w:r>
      <w:r w:rsidRPr="00522E7F">
        <w:rPr>
          <w:lang w:val="en-GB"/>
        </w:rPr>
        <w:t xml:space="preserve"> activity </w:t>
      </w:r>
      <w:r w:rsidRPr="00522E7F" w:rsidR="00B23301">
        <w:rPr>
          <w:lang w:val="en-GB"/>
        </w:rPr>
        <w:t>fell</w:t>
      </w:r>
      <w:r w:rsidRPr="00522E7F">
        <w:rPr>
          <w:lang w:val="en-GB"/>
        </w:rPr>
        <w:t xml:space="preserve"> </w:t>
      </w:r>
      <w:r w:rsidRPr="00522E7F" w:rsidR="00DF5B6A">
        <w:rPr>
          <w:lang w:val="en-GB"/>
        </w:rPr>
        <w:t>within</w:t>
      </w:r>
      <w:r w:rsidRPr="00522E7F">
        <w:rPr>
          <w:lang w:val="en-GB"/>
        </w:rPr>
        <w:t xml:space="preserve"> the scope of constitutional protection. Nevertheless, it underlined that this right did not give an unrestricted </w:t>
      </w:r>
      <w:r w:rsidRPr="00522E7F" w:rsidR="00B23301">
        <w:rPr>
          <w:lang w:val="en-GB"/>
        </w:rPr>
        <w:t>or</w:t>
      </w:r>
      <w:r w:rsidRPr="00522E7F">
        <w:rPr>
          <w:lang w:val="en-GB"/>
        </w:rPr>
        <w:t xml:space="preserve"> inalienable entitlement to </w:t>
      </w:r>
      <w:r w:rsidRPr="00522E7F" w:rsidR="00B23301">
        <w:rPr>
          <w:lang w:val="en-GB"/>
        </w:rPr>
        <w:t>pursue</w:t>
      </w:r>
      <w:r w:rsidRPr="00522E7F">
        <w:rPr>
          <w:lang w:val="en-GB"/>
        </w:rPr>
        <w:t xml:space="preserve"> an activity of one</w:t>
      </w:r>
      <w:r w:rsidR="006011C5">
        <w:rPr>
          <w:lang w:val="en-GB"/>
        </w:rPr>
        <w:t>’</w:t>
      </w:r>
      <w:r w:rsidRPr="00522E7F">
        <w:rPr>
          <w:lang w:val="en-GB"/>
        </w:rPr>
        <w:t>s choice. In the Constitutional Court</w:t>
      </w:r>
      <w:r w:rsidR="006011C5">
        <w:rPr>
          <w:lang w:val="en-GB"/>
        </w:rPr>
        <w:t>’</w:t>
      </w:r>
      <w:r w:rsidRPr="00522E7F">
        <w:rPr>
          <w:lang w:val="en-GB"/>
        </w:rPr>
        <w:t xml:space="preserve">s view, the impugned legislation did not prejudice the essence of the right to </w:t>
      </w:r>
      <w:r w:rsidRPr="00522E7F" w:rsidR="00B23301">
        <w:rPr>
          <w:lang w:val="en-GB"/>
        </w:rPr>
        <w:t>pursue an entrepreneurial activity, namely</w:t>
      </w:r>
      <w:r w:rsidRPr="00522E7F">
        <w:rPr>
          <w:lang w:val="en-GB"/>
        </w:rPr>
        <w:t xml:space="preserve"> it did not permanently deprive the complainants of the possibility to continue their tobacco retail business, let alone to </w:t>
      </w:r>
      <w:r w:rsidRPr="00522E7F" w:rsidR="00B23301">
        <w:rPr>
          <w:lang w:val="en-GB"/>
        </w:rPr>
        <w:t>pursue</w:t>
      </w:r>
      <w:r w:rsidRPr="00522E7F">
        <w:rPr>
          <w:lang w:val="en-GB"/>
        </w:rPr>
        <w:t xml:space="preserve"> entrepreneurial activit</w:t>
      </w:r>
      <w:r w:rsidRPr="00522E7F" w:rsidR="00B23301">
        <w:rPr>
          <w:lang w:val="en-GB"/>
        </w:rPr>
        <w:t xml:space="preserve">ies </w:t>
      </w:r>
      <w:r w:rsidRPr="00522E7F">
        <w:rPr>
          <w:lang w:val="en-GB"/>
        </w:rPr>
        <w:t xml:space="preserve">in general. It only subjected that activity to conditions, which they </w:t>
      </w:r>
      <w:r w:rsidRPr="00522E7F" w:rsidR="00B23301">
        <w:rPr>
          <w:lang w:val="en-GB"/>
        </w:rPr>
        <w:t>were</w:t>
      </w:r>
      <w:r w:rsidRPr="00522E7F">
        <w:rPr>
          <w:lang w:val="en-GB"/>
        </w:rPr>
        <w:t xml:space="preserve"> not unable to meet. The Constitutional Court found that limitation to be in the public interest and to be sufficiently proportionate </w:t>
      </w:r>
      <w:r w:rsidRPr="00522E7F" w:rsidR="00B23301">
        <w:rPr>
          <w:lang w:val="en-GB"/>
        </w:rPr>
        <w:t>to</w:t>
      </w:r>
      <w:r w:rsidRPr="00522E7F">
        <w:rPr>
          <w:lang w:val="en-GB"/>
        </w:rPr>
        <w:t xml:space="preserve"> the underlying public health considerations</w:t>
      </w:r>
      <w:r w:rsidRPr="00522E7F" w:rsidR="00B23301">
        <w:rPr>
          <w:lang w:val="en-GB"/>
        </w:rPr>
        <w:t>, a</w:t>
      </w:r>
      <w:r w:rsidRPr="00522E7F">
        <w:rPr>
          <w:lang w:val="en-GB"/>
        </w:rPr>
        <w:t xml:space="preserve">ll the more so </w:t>
      </w:r>
      <w:r w:rsidRPr="00522E7F" w:rsidR="00B23301">
        <w:rPr>
          <w:lang w:val="en-GB"/>
        </w:rPr>
        <w:t>since</w:t>
      </w:r>
      <w:r w:rsidRPr="00522E7F">
        <w:rPr>
          <w:lang w:val="en-GB"/>
        </w:rPr>
        <w:t xml:space="preserve"> the goods merchandised by the complainants </w:t>
      </w:r>
      <w:r w:rsidRPr="00522E7F" w:rsidR="00B23301">
        <w:rPr>
          <w:lang w:val="en-GB"/>
        </w:rPr>
        <w:t>re</w:t>
      </w:r>
      <w:r w:rsidRPr="00522E7F">
        <w:rPr>
          <w:lang w:val="en-GB"/>
        </w:rPr>
        <w:t xml:space="preserve">presented well-known health risks and the treatment of smoking-related diseases </w:t>
      </w:r>
      <w:r w:rsidRPr="00522E7F" w:rsidR="00B23301">
        <w:rPr>
          <w:lang w:val="en-GB"/>
        </w:rPr>
        <w:t>put</w:t>
      </w:r>
      <w:r w:rsidRPr="00522E7F">
        <w:rPr>
          <w:lang w:val="en-GB"/>
        </w:rPr>
        <w:t xml:space="preserve"> a co</w:t>
      </w:r>
      <w:r w:rsidRPr="00522E7F" w:rsidR="00B23301">
        <w:rPr>
          <w:lang w:val="en-GB"/>
        </w:rPr>
        <w:t xml:space="preserve">nsiderable burden on the State – </w:t>
      </w:r>
      <w:r w:rsidRPr="00522E7F">
        <w:rPr>
          <w:lang w:val="en-GB"/>
        </w:rPr>
        <w:t>which, in the Constitutional Court</w:t>
      </w:r>
      <w:r w:rsidR="006011C5">
        <w:rPr>
          <w:lang w:val="en-GB"/>
        </w:rPr>
        <w:t>’</w:t>
      </w:r>
      <w:r w:rsidRPr="00522E7F">
        <w:rPr>
          <w:lang w:val="en-GB"/>
        </w:rPr>
        <w:t>s view, enjoyed a wide margin of appreciation in the regulation of the matter in question.</w:t>
      </w:r>
    </w:p>
    <w:p w:rsidR="008F10BA" w:rsidP="00E94899" w:rsidRDefault="00E94899">
      <w:pPr>
        <w:pStyle w:val="ECHRPara"/>
        <w:rPr>
          <w:lang w:val="en-GB"/>
        </w:rPr>
      </w:pPr>
      <w:r w:rsidRPr="0006378C">
        <w:rPr>
          <w:lang w:val="en-GB"/>
        </w:rPr>
        <w:fldChar w:fldCharType="begin"/>
      </w:r>
      <w:r w:rsidRPr="0006378C">
        <w:rPr>
          <w:lang w:val="en-GB"/>
        </w:rPr>
        <w:instrText xml:space="preserve"> SEQ level0 \*arabic </w:instrText>
      </w:r>
      <w:r w:rsidRPr="0006378C">
        <w:rPr>
          <w:lang w:val="en-GB"/>
        </w:rPr>
        <w:fldChar w:fldCharType="separate"/>
      </w:r>
      <w:r w:rsidR="00F12B01">
        <w:rPr>
          <w:noProof/>
          <w:lang w:val="en-GB"/>
        </w:rPr>
        <w:t>17</w:t>
      </w:r>
      <w:r w:rsidRPr="0006378C">
        <w:rPr>
          <w:lang w:val="en-GB"/>
        </w:rPr>
        <w:fldChar w:fldCharType="end"/>
      </w:r>
      <w:r w:rsidRPr="0006378C">
        <w:rPr>
          <w:lang w:val="en-GB"/>
        </w:rPr>
        <w:t xml:space="preserve">.  The </w:t>
      </w:r>
      <w:r w:rsidRPr="00641D6F">
        <w:rPr>
          <w:lang w:val="en-GB"/>
        </w:rPr>
        <w:t>standing case-law of the Supreme Court/</w:t>
      </w:r>
      <w:proofErr w:type="spellStart"/>
      <w:r w:rsidRPr="00641D6F">
        <w:rPr>
          <w:i/>
          <w:lang w:val="en-GB"/>
        </w:rPr>
        <w:t>Kúria</w:t>
      </w:r>
      <w:proofErr w:type="spellEnd"/>
      <w:r w:rsidRPr="00641D6F">
        <w:rPr>
          <w:lang w:val="en-GB"/>
        </w:rPr>
        <w:t xml:space="preserve"> concerning the lawmaker</w:t>
      </w:r>
      <w:r w:rsidR="006011C5">
        <w:rPr>
          <w:lang w:val="en-GB"/>
        </w:rPr>
        <w:t>’</w:t>
      </w:r>
      <w:r w:rsidRPr="00641D6F">
        <w:rPr>
          <w:lang w:val="en-GB"/>
        </w:rPr>
        <w:t>s tort liability was recapitulated by the Budapest Court</w:t>
      </w:r>
      <w:r w:rsidRPr="00641D6F" w:rsidR="00311961">
        <w:rPr>
          <w:lang w:val="en-GB"/>
        </w:rPr>
        <w:t xml:space="preserve"> </w:t>
      </w:r>
      <w:r w:rsidRPr="00641D6F">
        <w:rPr>
          <w:lang w:val="en-GB"/>
        </w:rPr>
        <w:t>of Appeal in leading case no. EBD2014.P.1 as follows:</w:t>
      </w:r>
    </w:p>
    <w:p w:rsidRPr="0006378C" w:rsidR="00E94899" w:rsidP="00E94899" w:rsidRDefault="00E94899">
      <w:pPr>
        <w:pStyle w:val="JuQuotSub"/>
        <w:rPr>
          <w:lang w:val="en-GB"/>
        </w:rPr>
      </w:pPr>
      <w:r w:rsidRPr="00641D6F">
        <w:rPr>
          <w:lang w:val="en-GB"/>
        </w:rPr>
        <w:t xml:space="preserve">“[T]he Supreme Court held in leading case no. EBH1999.14 that rules of tort liability cannot be applied to legislation, that is, to the activity aimed at adopting general and abstract legal rules of behaviour. </w:t>
      </w:r>
      <w:proofErr w:type="gramStart"/>
      <w:r w:rsidRPr="00641D6F">
        <w:rPr>
          <w:lang w:val="en-GB"/>
        </w:rPr>
        <w:t>In leading case no.</w:t>
      </w:r>
      <w:proofErr w:type="gramEnd"/>
      <w:r w:rsidRPr="00641D6F">
        <w:rPr>
          <w:lang w:val="en-GB"/>
        </w:rPr>
        <w:t xml:space="preserve"> BH1993.312 it also considered that the damage potentially resulting from the entry into force of a law laying down a general rule of normative force does not create a relationship of civil law liability between the lawmaker and the alleged victim of the legislation. </w:t>
      </w:r>
      <w:r w:rsidR="00641D6F">
        <w:rPr>
          <w:lang w:val="en-GB"/>
        </w:rPr>
        <w:t>...</w:t>
      </w:r>
      <w:r w:rsidRPr="00641D6F">
        <w:rPr>
          <w:lang w:val="en-GB"/>
        </w:rPr>
        <w:t xml:space="preserve"> </w:t>
      </w:r>
      <w:proofErr w:type="gramStart"/>
      <w:r w:rsidRPr="00641D6F">
        <w:rPr>
          <w:lang w:val="en-GB"/>
        </w:rPr>
        <w:t>Furthermore, leading case no.</w:t>
      </w:r>
      <w:proofErr w:type="gramEnd"/>
      <w:r w:rsidRPr="00641D6F">
        <w:rPr>
          <w:lang w:val="en-GB"/>
        </w:rPr>
        <w:t xml:space="preserve"> BH1994.31 also reflects the jurisprudence according to which the lawmaker cannot be held liable for the adoption of normative rules, unless there are additional findings of fact (</w:t>
      </w:r>
      <w:proofErr w:type="spellStart"/>
      <w:r w:rsidRPr="00641D6F">
        <w:rPr>
          <w:i/>
          <w:lang w:val="en-GB"/>
        </w:rPr>
        <w:t>többlettényállás</w:t>
      </w:r>
      <w:proofErr w:type="spellEnd"/>
      <w:r w:rsidRPr="00641D6F">
        <w:rPr>
          <w:lang w:val="en-GB"/>
        </w:rPr>
        <w:t>).”</w:t>
      </w:r>
    </w:p>
    <w:p w:rsidRPr="00522E7F" w:rsidR="00E94899" w:rsidP="00311961" w:rsidRDefault="00E94899">
      <w:pPr>
        <w:pStyle w:val="ECHRPara"/>
        <w:rPr>
          <w:lang w:val="en-GB"/>
        </w:rPr>
      </w:pPr>
      <w:r w:rsidRPr="0006378C">
        <w:rPr>
          <w:lang w:val="en-GB"/>
        </w:rPr>
        <w:t>In the leadi</w:t>
      </w:r>
      <w:r w:rsidRPr="0006378C" w:rsidR="00311961">
        <w:rPr>
          <w:lang w:val="en-GB"/>
        </w:rPr>
        <w:t xml:space="preserve">ng case, such additional findings of fact were constituted by the underlying decision of the Constitutional Court holding that the </w:t>
      </w:r>
      <w:r w:rsidRPr="0006378C" w:rsidR="00FD2370">
        <w:rPr>
          <w:lang w:val="en-GB"/>
        </w:rPr>
        <w:t>law-making</w:t>
      </w:r>
      <w:r w:rsidRPr="0006378C" w:rsidR="00311961">
        <w:rPr>
          <w:lang w:val="en-GB"/>
        </w:rPr>
        <w:t xml:space="preserve"> process in question had been dysfunctional in that the resultant legal provision was nothing less than an individual decision to the detriment of the complainant, couched in terms of a legislative act.</w:t>
      </w:r>
    </w:p>
    <w:p w:rsidRPr="00522E7F" w:rsidR="00014566" w:rsidP="00014566" w:rsidRDefault="00014566">
      <w:pPr>
        <w:pStyle w:val="ECHRTitle1"/>
        <w:rPr>
          <w:lang w:val="en-GB"/>
        </w:rPr>
      </w:pPr>
      <w:r w:rsidRPr="00522E7F">
        <w:rPr>
          <w:lang w:val="en-GB"/>
        </w:rPr>
        <w:t>THE LAW</w:t>
      </w:r>
    </w:p>
    <w:p w:rsidRPr="00522E7F" w:rsidR="00014566" w:rsidP="00014566" w:rsidRDefault="00014566">
      <w:pPr>
        <w:pStyle w:val="ECHRHeading1"/>
        <w:rPr>
          <w:lang w:val="en-GB"/>
        </w:rPr>
      </w:pPr>
      <w:r w:rsidRPr="00522E7F">
        <w:rPr>
          <w:lang w:val="en-GB"/>
        </w:rPr>
        <w:t xml:space="preserve">I.  ALLEGED VIOLATION OF ARTICLE </w:t>
      </w:r>
      <w:r w:rsidRPr="00522E7F" w:rsidR="00782327">
        <w:rPr>
          <w:lang w:val="en-GB"/>
        </w:rPr>
        <w:t>1 OF PROTOCOL N</w:t>
      </w:r>
      <w:r w:rsidRPr="008F10BA" w:rsidR="008F10BA">
        <w:t>o</w:t>
      </w:r>
      <w:r w:rsidRPr="00522E7F" w:rsidR="00782327">
        <w:rPr>
          <w:lang w:val="en-GB"/>
        </w:rPr>
        <w:t>. 1</w:t>
      </w:r>
    </w:p>
    <w:p w:rsidRPr="00522E7F" w:rsidR="004F4600" w:rsidP="00C621C2" w:rsidRDefault="002E2424">
      <w:pPr>
        <w:pStyle w:val="ECHRPara"/>
        <w:rPr>
          <w:lang w:val="en-GB"/>
        </w:rPr>
      </w:pPr>
      <w:r w:rsidRPr="00522E7F">
        <w:rPr>
          <w:lang w:val="en-GB"/>
        </w:rPr>
        <w:fldChar w:fldCharType="begin"/>
      </w:r>
      <w:r w:rsidRPr="00522E7F">
        <w:rPr>
          <w:lang w:val="en-GB"/>
        </w:rPr>
        <w:instrText xml:space="preserve"> SEQ level0 \*arabic </w:instrText>
      </w:r>
      <w:r w:rsidRPr="00522E7F">
        <w:rPr>
          <w:lang w:val="en-GB"/>
        </w:rPr>
        <w:fldChar w:fldCharType="separate"/>
      </w:r>
      <w:r w:rsidR="00F12B01">
        <w:rPr>
          <w:noProof/>
          <w:lang w:val="en-GB"/>
        </w:rPr>
        <w:t>18</w:t>
      </w:r>
      <w:r w:rsidRPr="00522E7F">
        <w:rPr>
          <w:lang w:val="en-GB"/>
        </w:rPr>
        <w:fldChar w:fldCharType="end"/>
      </w:r>
      <w:r w:rsidRPr="00522E7F" w:rsidR="00014566">
        <w:rPr>
          <w:lang w:val="en-GB"/>
        </w:rPr>
        <w:t xml:space="preserve">.  The applicant complained that </w:t>
      </w:r>
      <w:r w:rsidRPr="00522E7F" w:rsidR="00782327">
        <w:rPr>
          <w:lang w:val="en-GB"/>
        </w:rPr>
        <w:t>the removal</w:t>
      </w:r>
      <w:r w:rsidRPr="00522E7F" w:rsidR="00D17844">
        <w:rPr>
          <w:lang w:val="en-GB"/>
        </w:rPr>
        <w:t>, in respect of tobacco,</w:t>
      </w:r>
      <w:r w:rsidRPr="00522E7F" w:rsidR="00782327">
        <w:rPr>
          <w:lang w:val="en-GB"/>
        </w:rPr>
        <w:t xml:space="preserve"> of </w:t>
      </w:r>
      <w:r w:rsidRPr="00522E7F" w:rsidR="006E3D03">
        <w:rPr>
          <w:lang w:val="en-GB"/>
        </w:rPr>
        <w:t xml:space="preserve">the </w:t>
      </w:r>
      <w:r w:rsidRPr="00522E7F" w:rsidR="00D17844">
        <w:rPr>
          <w:lang w:val="en-GB"/>
        </w:rPr>
        <w:t xml:space="preserve">previous </w:t>
      </w:r>
      <w:r w:rsidRPr="00522E7F" w:rsidR="00782327">
        <w:rPr>
          <w:lang w:val="en-GB"/>
        </w:rPr>
        <w:t>licen</w:t>
      </w:r>
      <w:r w:rsidRPr="00522E7F" w:rsidR="00DF5B6A">
        <w:rPr>
          <w:lang w:val="en-GB"/>
        </w:rPr>
        <w:t>c</w:t>
      </w:r>
      <w:r w:rsidRPr="00522E7F" w:rsidR="00782327">
        <w:rPr>
          <w:lang w:val="en-GB"/>
        </w:rPr>
        <w:t>e</w:t>
      </w:r>
      <w:r w:rsidRPr="00522E7F" w:rsidR="006E3D03">
        <w:rPr>
          <w:lang w:val="en-GB"/>
        </w:rPr>
        <w:t xml:space="preserve"> of the family business</w:t>
      </w:r>
      <w:r w:rsidRPr="00522E7F" w:rsidR="00782327">
        <w:rPr>
          <w:lang w:val="en-GB"/>
        </w:rPr>
        <w:t>, in allegedly discriminatory circumstances and without compensation, amounted to a breach of Article 1 of Protocol No. 1</w:t>
      </w:r>
      <w:r w:rsidRPr="00522E7F" w:rsidR="004F4600">
        <w:rPr>
          <w:lang w:val="en-GB"/>
        </w:rPr>
        <w:t>, read alone or in conjunction with Article 14 of the Convention</w:t>
      </w:r>
      <w:r w:rsidRPr="00522E7F" w:rsidR="00D17844">
        <w:rPr>
          <w:lang w:val="en-GB"/>
        </w:rPr>
        <w:t>, especially because he was not granted a similar licence under the new rules.</w:t>
      </w:r>
    </w:p>
    <w:p w:rsidRPr="00522E7F" w:rsidR="004F4600" w:rsidP="004F4600" w:rsidRDefault="004F4600">
      <w:pPr>
        <w:pStyle w:val="ECHRPara"/>
        <w:rPr>
          <w:lang w:val="en-GB"/>
        </w:rPr>
      </w:pPr>
      <w:r w:rsidRPr="00522E7F">
        <w:rPr>
          <w:lang w:val="en-GB"/>
        </w:rPr>
        <w:t>The Government contested the applicant</w:t>
      </w:r>
      <w:r w:rsidR="006011C5">
        <w:rPr>
          <w:lang w:val="en-GB"/>
        </w:rPr>
        <w:t>’</w:t>
      </w:r>
      <w:r w:rsidRPr="00522E7F">
        <w:rPr>
          <w:lang w:val="en-GB"/>
        </w:rPr>
        <w:t>s arguments.</w:t>
      </w:r>
    </w:p>
    <w:p w:rsidRPr="00522E7F" w:rsidR="00014566" w:rsidP="00C621C2" w:rsidRDefault="004F4600">
      <w:pPr>
        <w:pStyle w:val="ECHRPara"/>
        <w:rPr>
          <w:lang w:val="en-GB"/>
        </w:rPr>
      </w:pPr>
      <w:r w:rsidRPr="00522E7F">
        <w:rPr>
          <w:lang w:val="en-GB"/>
        </w:rPr>
        <w:t>The Court considers that the complaint falls to be examined under Article 1 of Protocol No. 1 alone</w:t>
      </w:r>
      <w:r w:rsidRPr="00522E7F" w:rsidR="00014566">
        <w:rPr>
          <w:lang w:val="en-GB"/>
        </w:rPr>
        <w:t>, which reads as follows:</w:t>
      </w:r>
    </w:p>
    <w:p w:rsidRPr="00522E7F" w:rsidR="00782327" w:rsidRDefault="00782327">
      <w:pPr>
        <w:pStyle w:val="ECHRParaQuote"/>
      </w:pPr>
      <w:r w:rsidRPr="00522E7F">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Pr="00522E7F" w:rsidR="00014566" w:rsidP="00014566" w:rsidRDefault="00782327">
      <w:pPr>
        <w:pStyle w:val="ECHRParaQuote"/>
        <w:rPr>
          <w:lang w:val="en-GB"/>
        </w:rPr>
      </w:pPr>
      <w:r w:rsidRPr="00522E7F">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Pr="00522E7F" w:rsidR="00014566" w:rsidP="00014566" w:rsidRDefault="00014566">
      <w:pPr>
        <w:pStyle w:val="ECHRHeading2"/>
        <w:outlineLvl w:val="0"/>
        <w:rPr>
          <w:lang w:val="en-GB"/>
        </w:rPr>
      </w:pPr>
      <w:r w:rsidRPr="00522E7F">
        <w:rPr>
          <w:lang w:val="en-GB"/>
        </w:rPr>
        <w:t>A.  Admissibility</w:t>
      </w:r>
    </w:p>
    <w:p w:rsidRPr="00522E7F" w:rsidR="00074AAB" w:rsidP="00C621C2" w:rsidRDefault="002E2424">
      <w:pPr>
        <w:pStyle w:val="ECHRPara"/>
        <w:rPr>
          <w:lang w:val="en-GB"/>
        </w:rPr>
      </w:pPr>
      <w:r w:rsidRPr="00522E7F">
        <w:rPr>
          <w:lang w:val="en-GB"/>
        </w:rPr>
        <w:fldChar w:fldCharType="begin"/>
      </w:r>
      <w:r w:rsidRPr="00522E7F">
        <w:rPr>
          <w:lang w:val="en-GB"/>
        </w:rPr>
        <w:instrText xml:space="preserve"> SEQ level0 \*arabic </w:instrText>
      </w:r>
      <w:r w:rsidRPr="00522E7F">
        <w:rPr>
          <w:lang w:val="en-GB"/>
        </w:rPr>
        <w:fldChar w:fldCharType="separate"/>
      </w:r>
      <w:r w:rsidR="00F12B01">
        <w:rPr>
          <w:noProof/>
          <w:lang w:val="en-GB"/>
        </w:rPr>
        <w:t>19</w:t>
      </w:r>
      <w:r w:rsidRPr="00522E7F">
        <w:rPr>
          <w:lang w:val="en-GB"/>
        </w:rPr>
        <w:fldChar w:fldCharType="end"/>
      </w:r>
      <w:r w:rsidRPr="00522E7F" w:rsidR="00014566">
        <w:rPr>
          <w:lang w:val="en-GB"/>
        </w:rPr>
        <w:t>.  </w:t>
      </w:r>
      <w:r w:rsidRPr="00522E7F" w:rsidR="00782327">
        <w:rPr>
          <w:lang w:val="en-GB"/>
        </w:rPr>
        <w:t xml:space="preserve">The Government argued </w:t>
      </w:r>
      <w:r w:rsidRPr="00522E7F" w:rsidR="006E3D03">
        <w:rPr>
          <w:lang w:val="en-GB"/>
        </w:rPr>
        <w:t>at the outset that the applicant</w:t>
      </w:r>
      <w:r w:rsidR="006011C5">
        <w:rPr>
          <w:lang w:val="en-GB"/>
        </w:rPr>
        <w:t>’</w:t>
      </w:r>
      <w:r w:rsidRPr="00522E7F" w:rsidR="006E3D03">
        <w:rPr>
          <w:lang w:val="en-GB"/>
        </w:rPr>
        <w:t xml:space="preserve">s </w:t>
      </w:r>
      <w:r w:rsidRPr="00522E7F" w:rsidR="00DC3289">
        <w:rPr>
          <w:lang w:val="en-GB"/>
        </w:rPr>
        <w:t xml:space="preserve">mother </w:t>
      </w:r>
      <w:r w:rsidRPr="00522E7F" w:rsidR="006E3D03">
        <w:rPr>
          <w:lang w:val="en-GB"/>
        </w:rPr>
        <w:t xml:space="preserve">being the previous licence-holder, the application was incompatible </w:t>
      </w:r>
      <w:proofErr w:type="spellStart"/>
      <w:r w:rsidRPr="00522E7F" w:rsidR="006E3D03">
        <w:rPr>
          <w:i/>
          <w:lang w:val="en-GB"/>
        </w:rPr>
        <w:t>ratione</w:t>
      </w:r>
      <w:proofErr w:type="spellEnd"/>
      <w:r w:rsidRPr="00522E7F" w:rsidR="006E3D03">
        <w:rPr>
          <w:i/>
          <w:lang w:val="en-GB"/>
        </w:rPr>
        <w:t xml:space="preserve"> personae</w:t>
      </w:r>
      <w:r w:rsidRPr="00522E7F" w:rsidR="006E3D03">
        <w:rPr>
          <w:lang w:val="en-GB"/>
        </w:rPr>
        <w:t xml:space="preserve"> from the applicant</w:t>
      </w:r>
      <w:r w:rsidR="006011C5">
        <w:rPr>
          <w:lang w:val="en-GB"/>
        </w:rPr>
        <w:t>’</w:t>
      </w:r>
      <w:r w:rsidRPr="00522E7F" w:rsidR="006E3D03">
        <w:rPr>
          <w:lang w:val="en-GB"/>
        </w:rPr>
        <w:t>s perspective.</w:t>
      </w:r>
      <w:r w:rsidRPr="00522E7F" w:rsidR="00074AAB">
        <w:rPr>
          <w:lang w:val="en-GB"/>
        </w:rPr>
        <w:t xml:space="preserve"> The applicant contested this view</w:t>
      </w:r>
      <w:r w:rsidRPr="00522E7F" w:rsidR="00346F7D">
        <w:rPr>
          <w:lang w:val="en-GB"/>
        </w:rPr>
        <w:t>,</w:t>
      </w:r>
      <w:r w:rsidRPr="00522E7F" w:rsidR="00074AAB">
        <w:rPr>
          <w:lang w:val="en-GB"/>
        </w:rPr>
        <w:t xml:space="preserve"> arguing that the loss of the retail concerned </w:t>
      </w:r>
      <w:r w:rsidRPr="00522E7F" w:rsidR="00DC3289">
        <w:rPr>
          <w:lang w:val="en-GB"/>
        </w:rPr>
        <w:t xml:space="preserve">the </w:t>
      </w:r>
      <w:r w:rsidRPr="00522E7F" w:rsidR="00031B3A">
        <w:rPr>
          <w:lang w:val="en-GB"/>
        </w:rPr>
        <w:t xml:space="preserve">entire </w:t>
      </w:r>
      <w:r w:rsidRPr="00522E7F" w:rsidR="00074AAB">
        <w:rPr>
          <w:lang w:val="en-GB"/>
        </w:rPr>
        <w:t>family</w:t>
      </w:r>
      <w:r w:rsidRPr="00522E7F" w:rsidR="00DC3289">
        <w:rPr>
          <w:lang w:val="en-GB"/>
        </w:rPr>
        <w:t xml:space="preserve"> enterprise and that he </w:t>
      </w:r>
      <w:r w:rsidRPr="00522E7F" w:rsidR="00D17844">
        <w:rPr>
          <w:lang w:val="en-GB"/>
        </w:rPr>
        <w:t xml:space="preserve">had </w:t>
      </w:r>
      <w:r w:rsidRPr="00522E7F" w:rsidR="00DC3289">
        <w:rPr>
          <w:lang w:val="en-GB"/>
        </w:rPr>
        <w:t xml:space="preserve">personally </w:t>
      </w:r>
      <w:r w:rsidRPr="00522E7F" w:rsidR="00D17844">
        <w:rPr>
          <w:lang w:val="en-GB"/>
        </w:rPr>
        <w:t xml:space="preserve">been </w:t>
      </w:r>
      <w:r w:rsidRPr="00522E7F" w:rsidR="00DC3289">
        <w:rPr>
          <w:lang w:val="en-GB"/>
        </w:rPr>
        <w:t xml:space="preserve">holder of </w:t>
      </w:r>
      <w:r w:rsidRPr="00522E7F" w:rsidR="00D17844">
        <w:rPr>
          <w:lang w:val="en-GB"/>
        </w:rPr>
        <w:t xml:space="preserve">an excise </w:t>
      </w:r>
      <w:r w:rsidRPr="00522E7F" w:rsidR="00DC3289">
        <w:rPr>
          <w:lang w:val="en-GB"/>
        </w:rPr>
        <w:t>licence</w:t>
      </w:r>
      <w:r w:rsidRPr="00522E7F" w:rsidR="00074AAB">
        <w:rPr>
          <w:lang w:val="en-GB"/>
        </w:rPr>
        <w:t>.</w:t>
      </w:r>
    </w:p>
    <w:p w:rsidRPr="00522E7F" w:rsidR="00074AAB" w:rsidP="00C621C2" w:rsidRDefault="00031B3A">
      <w:pPr>
        <w:pStyle w:val="ECHRPara"/>
        <w:rPr>
          <w:lang w:val="en-GB"/>
        </w:rPr>
      </w:pPr>
      <w:r w:rsidRPr="00522E7F">
        <w:rPr>
          <w:lang w:val="en-GB"/>
        </w:rPr>
        <w:fldChar w:fldCharType="begin"/>
      </w:r>
      <w:r w:rsidRPr="00522E7F">
        <w:rPr>
          <w:lang w:val="en-GB"/>
        </w:rPr>
        <w:instrText xml:space="preserve"> SEQ level0 \*arabic </w:instrText>
      </w:r>
      <w:r w:rsidRPr="00522E7F">
        <w:rPr>
          <w:lang w:val="en-GB"/>
        </w:rPr>
        <w:fldChar w:fldCharType="separate"/>
      </w:r>
      <w:r w:rsidR="00F12B01">
        <w:rPr>
          <w:noProof/>
          <w:lang w:val="en-GB"/>
        </w:rPr>
        <w:t>20</w:t>
      </w:r>
      <w:r w:rsidRPr="00522E7F">
        <w:rPr>
          <w:lang w:val="en-GB"/>
        </w:rPr>
        <w:fldChar w:fldCharType="end"/>
      </w:r>
      <w:r w:rsidRPr="00522E7F">
        <w:rPr>
          <w:lang w:val="en-GB"/>
        </w:rPr>
        <w:t>.  </w:t>
      </w:r>
      <w:r w:rsidRPr="00522E7F" w:rsidR="00074AAB">
        <w:rPr>
          <w:lang w:val="en-GB"/>
        </w:rPr>
        <w:t>The Court points out that, in order to rely on Article 34 of the Convention, two conditions must be met: an applicant must fall into one of the categories of petitioners mentioned in Article 34, and he or she must be able to make out a case that he or she is the victim of a violation of the Con</w:t>
      </w:r>
      <w:r w:rsidRPr="00522E7F" w:rsidR="000F7CCC">
        <w:rPr>
          <w:lang w:val="en-GB"/>
        </w:rPr>
        <w:t>vention. According to the Court</w:t>
      </w:r>
      <w:r w:rsidR="006011C5">
        <w:rPr>
          <w:lang w:val="en-GB"/>
        </w:rPr>
        <w:t>’</w:t>
      </w:r>
      <w:r w:rsidRPr="00522E7F" w:rsidR="000F7CCC">
        <w:rPr>
          <w:lang w:val="en-GB"/>
        </w:rPr>
        <w:t>s established case-</w:t>
      </w:r>
      <w:r w:rsidRPr="00522E7F" w:rsidR="00074AAB">
        <w:rPr>
          <w:lang w:val="en-GB"/>
        </w:rPr>
        <w:t xml:space="preserve">law, the concept of “victim” must be interpreted autonomously and irrespective of domestic concepts such as those concerning an interest or capacity to act. In addition, in order for an applicant to be able to claim to be a victim of a violation of the Convention, there must be a sufficiently direct link between the applicant and the harm which they consider they have sustained on account of the alleged violation (see, among other authorities, </w:t>
      </w:r>
      <w:proofErr w:type="spellStart"/>
      <w:r w:rsidRPr="00522E7F" w:rsidR="00074AAB">
        <w:rPr>
          <w:i/>
          <w:lang w:val="en-GB"/>
        </w:rPr>
        <w:t>Tauira</w:t>
      </w:r>
      <w:proofErr w:type="spellEnd"/>
      <w:r w:rsidRPr="00522E7F" w:rsidR="00074AAB">
        <w:rPr>
          <w:i/>
          <w:lang w:val="en-GB"/>
        </w:rPr>
        <w:t xml:space="preserve"> and Others v. France</w:t>
      </w:r>
      <w:r w:rsidRPr="00522E7F" w:rsidR="00074AAB">
        <w:rPr>
          <w:lang w:val="en-GB"/>
        </w:rPr>
        <w:t xml:space="preserve">, no. 28204/95, Commission decision of 4 December 1995, Decisions and Reports (DR) 83-B, p. 112; </w:t>
      </w:r>
      <w:r w:rsidRPr="00522E7F" w:rsidR="00074AAB">
        <w:rPr>
          <w:i/>
          <w:lang w:val="en-GB"/>
        </w:rPr>
        <w:t xml:space="preserve">Association des </w:t>
      </w:r>
      <w:proofErr w:type="spellStart"/>
      <w:r w:rsidRPr="00522E7F" w:rsidR="00074AAB">
        <w:rPr>
          <w:i/>
          <w:lang w:val="en-GB"/>
        </w:rPr>
        <w:t>amis</w:t>
      </w:r>
      <w:proofErr w:type="spellEnd"/>
      <w:r w:rsidRPr="00522E7F" w:rsidR="00074AAB">
        <w:rPr>
          <w:i/>
          <w:lang w:val="en-GB"/>
        </w:rPr>
        <w:t xml:space="preserve"> de Saint-</w:t>
      </w:r>
      <w:proofErr w:type="spellStart"/>
      <w:r w:rsidRPr="00522E7F" w:rsidR="00074AAB">
        <w:rPr>
          <w:i/>
          <w:lang w:val="en-GB"/>
        </w:rPr>
        <w:t>Raphaël</w:t>
      </w:r>
      <w:proofErr w:type="spellEnd"/>
      <w:r w:rsidRPr="00522E7F" w:rsidR="00074AAB">
        <w:rPr>
          <w:i/>
          <w:lang w:val="en-GB"/>
        </w:rPr>
        <w:t xml:space="preserve"> et de </w:t>
      </w:r>
      <w:proofErr w:type="spellStart"/>
      <w:r w:rsidRPr="00522E7F" w:rsidR="00074AAB">
        <w:rPr>
          <w:i/>
          <w:lang w:val="en-GB"/>
        </w:rPr>
        <w:t>Fréjus</w:t>
      </w:r>
      <w:proofErr w:type="spellEnd"/>
      <w:r w:rsidRPr="00522E7F" w:rsidR="00074AAB">
        <w:rPr>
          <w:i/>
          <w:lang w:val="en-GB"/>
        </w:rPr>
        <w:t xml:space="preserve"> and Others v. France</w:t>
      </w:r>
      <w:r w:rsidRPr="00522E7F" w:rsidR="00074AAB">
        <w:rPr>
          <w:lang w:val="en-GB"/>
        </w:rPr>
        <w:t xml:space="preserve">, no. 38192/97, Commission decision of 1 July 1998, DR 94-B, p. 124; </w:t>
      </w:r>
      <w:proofErr w:type="spellStart"/>
      <w:r w:rsidRPr="00522E7F" w:rsidR="00074AAB">
        <w:rPr>
          <w:i/>
          <w:lang w:val="en-GB"/>
        </w:rPr>
        <w:t>Comité</w:t>
      </w:r>
      <w:proofErr w:type="spellEnd"/>
      <w:r w:rsidRPr="00522E7F" w:rsidR="00074AAB">
        <w:rPr>
          <w:i/>
          <w:lang w:val="en-GB"/>
        </w:rPr>
        <w:t xml:space="preserve"> des </w:t>
      </w:r>
      <w:proofErr w:type="spellStart"/>
      <w:r w:rsidRPr="00522E7F" w:rsidR="00074AAB">
        <w:rPr>
          <w:i/>
          <w:lang w:val="en-GB"/>
        </w:rPr>
        <w:t>médecins</w:t>
      </w:r>
      <w:proofErr w:type="spellEnd"/>
      <w:r w:rsidRPr="00522E7F" w:rsidR="00074AAB">
        <w:rPr>
          <w:i/>
          <w:lang w:val="en-GB"/>
        </w:rPr>
        <w:t xml:space="preserve"> à </w:t>
      </w:r>
      <w:proofErr w:type="spellStart"/>
      <w:r w:rsidRPr="00522E7F" w:rsidR="00074AAB">
        <w:rPr>
          <w:i/>
          <w:lang w:val="en-GB"/>
        </w:rPr>
        <w:t>diplômes</w:t>
      </w:r>
      <w:proofErr w:type="spellEnd"/>
      <w:r w:rsidRPr="00522E7F" w:rsidR="00074AAB">
        <w:rPr>
          <w:i/>
          <w:lang w:val="en-GB"/>
        </w:rPr>
        <w:t xml:space="preserve"> </w:t>
      </w:r>
      <w:proofErr w:type="spellStart"/>
      <w:r w:rsidRPr="00522E7F" w:rsidR="00074AAB">
        <w:rPr>
          <w:i/>
          <w:lang w:val="en-GB"/>
        </w:rPr>
        <w:t>étrangers</w:t>
      </w:r>
      <w:proofErr w:type="spellEnd"/>
      <w:r w:rsidRPr="00522E7F" w:rsidR="00074AAB">
        <w:rPr>
          <w:i/>
          <w:lang w:val="en-GB"/>
        </w:rPr>
        <w:t xml:space="preserve"> v. France and Others v. France</w:t>
      </w:r>
      <w:r w:rsidRPr="00522E7F" w:rsidR="00074AAB">
        <w:rPr>
          <w:lang w:val="en-GB"/>
        </w:rPr>
        <w:t xml:space="preserve"> (</w:t>
      </w:r>
      <w:proofErr w:type="spellStart"/>
      <w:r w:rsidRPr="00522E7F" w:rsidR="00074AAB">
        <w:rPr>
          <w:lang w:val="en-GB"/>
        </w:rPr>
        <w:t>dec.</w:t>
      </w:r>
      <w:proofErr w:type="spellEnd"/>
      <w:r w:rsidRPr="00522E7F" w:rsidR="00074AAB">
        <w:rPr>
          <w:lang w:val="en-GB"/>
        </w:rPr>
        <w:t xml:space="preserve">), nos. 39527/98 and 39531/98, 30 March 1999; </w:t>
      </w:r>
      <w:proofErr w:type="spellStart"/>
      <w:r w:rsidRPr="00522E7F" w:rsidR="00074AAB">
        <w:rPr>
          <w:i/>
          <w:lang w:val="en-GB"/>
        </w:rPr>
        <w:t>Gorraiz</w:t>
      </w:r>
      <w:proofErr w:type="spellEnd"/>
      <w:r w:rsidRPr="00522E7F" w:rsidR="00074AAB">
        <w:rPr>
          <w:i/>
          <w:lang w:val="en-GB"/>
        </w:rPr>
        <w:t xml:space="preserve"> </w:t>
      </w:r>
      <w:proofErr w:type="spellStart"/>
      <w:r w:rsidRPr="00522E7F" w:rsidR="00074AAB">
        <w:rPr>
          <w:i/>
          <w:lang w:val="en-GB"/>
        </w:rPr>
        <w:t>Lizarraga</w:t>
      </w:r>
      <w:proofErr w:type="spellEnd"/>
      <w:r w:rsidRPr="00522E7F" w:rsidR="00074AAB">
        <w:rPr>
          <w:i/>
          <w:lang w:val="en-GB"/>
        </w:rPr>
        <w:t xml:space="preserve"> and Others v. Spain</w:t>
      </w:r>
      <w:r w:rsidRPr="00522E7F" w:rsidR="00074AAB">
        <w:rPr>
          <w:lang w:val="en-GB"/>
        </w:rPr>
        <w:t>, no. 62543/00, § 35, ECHR 2004</w:t>
      </w:r>
      <w:r w:rsidRPr="00522E7F" w:rsidR="00074AAB">
        <w:rPr>
          <w:lang w:val="en-GB"/>
        </w:rPr>
        <w:noBreakHyphen/>
        <w:t>III).</w:t>
      </w:r>
    </w:p>
    <w:p w:rsidRPr="00522E7F" w:rsidR="00074AAB" w:rsidP="00C621C2" w:rsidRDefault="002A0B15">
      <w:pPr>
        <w:pStyle w:val="ECHRPara"/>
        <w:rPr>
          <w:lang w:val="en-GB"/>
        </w:rPr>
      </w:pPr>
      <w:r w:rsidRPr="00522E7F">
        <w:rPr>
          <w:lang w:val="en-GB"/>
        </w:rPr>
        <w:fldChar w:fldCharType="begin"/>
      </w:r>
      <w:r w:rsidRPr="00522E7F">
        <w:rPr>
          <w:lang w:val="en-GB"/>
        </w:rPr>
        <w:instrText xml:space="preserve"> SEQ level0 \*arabic </w:instrText>
      </w:r>
      <w:r w:rsidRPr="00522E7F">
        <w:rPr>
          <w:lang w:val="en-GB"/>
        </w:rPr>
        <w:fldChar w:fldCharType="separate"/>
      </w:r>
      <w:r w:rsidR="00F12B01">
        <w:rPr>
          <w:noProof/>
          <w:lang w:val="en-GB"/>
        </w:rPr>
        <w:t>21</w:t>
      </w:r>
      <w:r w:rsidRPr="00522E7F">
        <w:rPr>
          <w:lang w:val="en-GB"/>
        </w:rPr>
        <w:fldChar w:fldCharType="end"/>
      </w:r>
      <w:r w:rsidRPr="00522E7F">
        <w:rPr>
          <w:lang w:val="en-GB"/>
        </w:rPr>
        <w:t>.  </w:t>
      </w:r>
      <w:r w:rsidRPr="00522E7F" w:rsidR="00074AAB">
        <w:rPr>
          <w:lang w:val="en-GB"/>
        </w:rPr>
        <w:t xml:space="preserve">In the present case, the Court observes </w:t>
      </w:r>
      <w:r w:rsidRPr="00522E7F" w:rsidR="00AB2DC0">
        <w:rPr>
          <w:lang w:val="en-GB"/>
        </w:rPr>
        <w:t>that although formally speaking</w:t>
      </w:r>
      <w:r w:rsidRPr="00522E7F" w:rsidR="00074AAB">
        <w:rPr>
          <w:lang w:val="en-GB"/>
        </w:rPr>
        <w:t xml:space="preserve"> the previous </w:t>
      </w:r>
      <w:r w:rsidRPr="00522E7F" w:rsidR="00DC3289">
        <w:rPr>
          <w:lang w:val="en-GB"/>
        </w:rPr>
        <w:t xml:space="preserve">holder of </w:t>
      </w:r>
      <w:r w:rsidRPr="00522E7F" w:rsidR="00D17844">
        <w:rPr>
          <w:lang w:val="en-GB"/>
        </w:rPr>
        <w:t>the</w:t>
      </w:r>
      <w:r w:rsidRPr="00522E7F" w:rsidR="00DC3289">
        <w:rPr>
          <w:lang w:val="en-GB"/>
        </w:rPr>
        <w:t xml:space="preserve"> excise </w:t>
      </w:r>
      <w:r w:rsidRPr="00522E7F" w:rsidR="00074AAB">
        <w:rPr>
          <w:lang w:val="en-GB"/>
        </w:rPr>
        <w:t>licence was the applicant</w:t>
      </w:r>
      <w:r w:rsidR="006011C5">
        <w:rPr>
          <w:lang w:val="en-GB"/>
        </w:rPr>
        <w:t>’</w:t>
      </w:r>
      <w:r w:rsidRPr="00522E7F" w:rsidR="00074AAB">
        <w:rPr>
          <w:lang w:val="en-GB"/>
        </w:rPr>
        <w:t xml:space="preserve">s </w:t>
      </w:r>
      <w:r w:rsidRPr="00522E7F" w:rsidR="00DC3289">
        <w:rPr>
          <w:lang w:val="en-GB"/>
        </w:rPr>
        <w:t>mother</w:t>
      </w:r>
      <w:r w:rsidRPr="00522E7F" w:rsidR="00074AAB">
        <w:rPr>
          <w:lang w:val="en-GB"/>
        </w:rPr>
        <w:t>, that licence was benefiting the</w:t>
      </w:r>
      <w:r w:rsidRPr="00522E7F">
        <w:rPr>
          <w:lang w:val="en-GB"/>
        </w:rPr>
        <w:t>ir family enterprise</w:t>
      </w:r>
      <w:r w:rsidRPr="00522E7F" w:rsidR="00031B3A">
        <w:rPr>
          <w:lang w:val="en-GB"/>
        </w:rPr>
        <w:t>, an assertion of the applicant not refuted by the Government</w:t>
      </w:r>
      <w:r w:rsidRPr="00522E7F" w:rsidR="00074AAB">
        <w:rPr>
          <w:lang w:val="en-GB"/>
        </w:rPr>
        <w:t xml:space="preserve">. </w:t>
      </w:r>
      <w:r w:rsidRPr="00522E7F" w:rsidR="00DC3289">
        <w:rPr>
          <w:lang w:val="en-GB"/>
        </w:rPr>
        <w:t>Moreover, the applicant himself was holder of a shop-keeping licence concerning the same grocery and was registered as a trader of excise goods</w:t>
      </w:r>
      <w:r w:rsidRPr="00522E7F" w:rsidR="00BD1E60">
        <w:rPr>
          <w:lang w:val="en-GB"/>
        </w:rPr>
        <w:t xml:space="preserve">, this licence entitling him to sell tobacco products (see paragraph </w:t>
      </w:r>
      <w:r w:rsidRPr="00522E7F" w:rsidR="007F3D63">
        <w:rPr>
          <w:lang w:val="en-GB"/>
        </w:rPr>
        <w:t>15</w:t>
      </w:r>
      <w:r w:rsidRPr="00522E7F" w:rsidR="00BD1E60">
        <w:rPr>
          <w:lang w:val="en-GB"/>
        </w:rPr>
        <w:t xml:space="preserve"> above)</w:t>
      </w:r>
      <w:r w:rsidRPr="00522E7F" w:rsidR="00DC3289">
        <w:rPr>
          <w:lang w:val="en-GB"/>
        </w:rPr>
        <w:t xml:space="preserve">. </w:t>
      </w:r>
      <w:r w:rsidRPr="00522E7F" w:rsidR="00074AAB">
        <w:rPr>
          <w:lang w:val="en-GB"/>
        </w:rPr>
        <w:t xml:space="preserve">In these circumstances, </w:t>
      </w:r>
      <w:r w:rsidRPr="00522E7F" w:rsidR="00031B3A">
        <w:rPr>
          <w:lang w:val="en-GB"/>
        </w:rPr>
        <w:t>the Court</w:t>
      </w:r>
      <w:r w:rsidRPr="00522E7F" w:rsidR="00074AAB">
        <w:rPr>
          <w:lang w:val="en-GB"/>
        </w:rPr>
        <w:t xml:space="preserve"> considers that the non-acquisition of a new licence, if </w:t>
      </w:r>
      <w:r w:rsidRPr="00522E7F">
        <w:rPr>
          <w:lang w:val="en-GB"/>
        </w:rPr>
        <w:t xml:space="preserve">only </w:t>
      </w:r>
      <w:r w:rsidRPr="00522E7F" w:rsidR="00074AAB">
        <w:rPr>
          <w:lang w:val="en-GB"/>
        </w:rPr>
        <w:t xml:space="preserve">pursued by the applicant rather than </w:t>
      </w:r>
      <w:r w:rsidRPr="00522E7F" w:rsidR="00DC3289">
        <w:rPr>
          <w:lang w:val="en-GB"/>
        </w:rPr>
        <w:t xml:space="preserve">other </w:t>
      </w:r>
      <w:r w:rsidRPr="00522E7F" w:rsidR="00D17844">
        <w:rPr>
          <w:lang w:val="en-GB"/>
        </w:rPr>
        <w:t xml:space="preserve">family </w:t>
      </w:r>
      <w:r w:rsidRPr="00522E7F" w:rsidR="00DC3289">
        <w:rPr>
          <w:lang w:val="en-GB"/>
        </w:rPr>
        <w:t>members</w:t>
      </w:r>
      <w:r w:rsidRPr="00522E7F" w:rsidR="00074AAB">
        <w:rPr>
          <w:lang w:val="en-GB"/>
        </w:rPr>
        <w:t xml:space="preserve">, produced a sufficiently direct link between </w:t>
      </w:r>
      <w:r w:rsidRPr="00522E7F" w:rsidR="00031B3A">
        <w:rPr>
          <w:lang w:val="en-GB"/>
        </w:rPr>
        <w:t>him</w:t>
      </w:r>
      <w:r w:rsidRPr="00522E7F" w:rsidR="00074AAB">
        <w:rPr>
          <w:lang w:val="en-GB"/>
        </w:rPr>
        <w:t xml:space="preserve"> and the harm perceived to be sustained on account of the alleged violation. </w:t>
      </w:r>
      <w:r w:rsidRPr="00522E7F" w:rsidR="00031B3A">
        <w:rPr>
          <w:lang w:val="en-GB"/>
        </w:rPr>
        <w:t>It</w:t>
      </w:r>
      <w:r w:rsidRPr="00522E7F" w:rsidR="00074AAB">
        <w:rPr>
          <w:lang w:val="en-GB"/>
        </w:rPr>
        <w:t xml:space="preserve"> is therefore satisfied that the application cannot be rejected as incompatible </w:t>
      </w:r>
      <w:proofErr w:type="spellStart"/>
      <w:r w:rsidRPr="00522E7F" w:rsidR="00074AAB">
        <w:rPr>
          <w:i/>
          <w:lang w:val="en-GB"/>
        </w:rPr>
        <w:t>ratione</w:t>
      </w:r>
      <w:proofErr w:type="spellEnd"/>
      <w:r w:rsidRPr="00522E7F" w:rsidR="00074AAB">
        <w:rPr>
          <w:i/>
          <w:lang w:val="en-GB"/>
        </w:rPr>
        <w:t xml:space="preserve"> personae</w:t>
      </w:r>
      <w:r w:rsidRPr="00522E7F" w:rsidR="00074AAB">
        <w:rPr>
          <w:lang w:val="en-GB"/>
        </w:rPr>
        <w:t>.</w:t>
      </w:r>
    </w:p>
    <w:p w:rsidRPr="00522E7F" w:rsidR="00782327" w:rsidP="0027622B" w:rsidRDefault="002A0B15">
      <w:pPr>
        <w:pStyle w:val="ECHRPara"/>
        <w:rPr>
          <w:lang w:val="en-GB"/>
        </w:rPr>
      </w:pPr>
      <w:r w:rsidRPr="0024327D">
        <w:rPr>
          <w:lang w:val="en-GB"/>
        </w:rPr>
        <w:fldChar w:fldCharType="begin"/>
      </w:r>
      <w:r w:rsidRPr="0006378C">
        <w:rPr>
          <w:lang w:val="en-GB"/>
        </w:rPr>
        <w:instrText xml:space="preserve"> SEQ level0 \*arabic </w:instrText>
      </w:r>
      <w:r w:rsidRPr="0024327D">
        <w:rPr>
          <w:lang w:val="en-GB"/>
        </w:rPr>
        <w:fldChar w:fldCharType="separate"/>
      </w:r>
      <w:r w:rsidR="00F12B01">
        <w:rPr>
          <w:noProof/>
          <w:lang w:val="en-GB"/>
        </w:rPr>
        <w:t>22</w:t>
      </w:r>
      <w:r w:rsidRPr="0024327D">
        <w:rPr>
          <w:lang w:val="en-GB"/>
        </w:rPr>
        <w:fldChar w:fldCharType="end"/>
      </w:r>
      <w:r w:rsidRPr="0006378C">
        <w:rPr>
          <w:lang w:val="en-GB"/>
        </w:rPr>
        <w:t xml:space="preserve">.  The Government further asserted that </w:t>
      </w:r>
      <w:r w:rsidRPr="0006378C" w:rsidR="00782327">
        <w:rPr>
          <w:lang w:val="en-GB"/>
        </w:rPr>
        <w:t>the applicant should have filed a constitutional complaint which, if successful, would have opened the way for an action in damages against the responsible authorities</w:t>
      </w:r>
      <w:r w:rsidRPr="0006378C" w:rsidR="00892630">
        <w:rPr>
          <w:lang w:val="en-GB"/>
        </w:rPr>
        <w:t xml:space="preserve">, as </w:t>
      </w:r>
      <w:r w:rsidRPr="0006378C" w:rsidR="004504E3">
        <w:rPr>
          <w:lang w:val="en-GB"/>
        </w:rPr>
        <w:t xml:space="preserve">established </w:t>
      </w:r>
      <w:r w:rsidRPr="0006378C" w:rsidR="00892630">
        <w:rPr>
          <w:lang w:val="en-GB"/>
        </w:rPr>
        <w:t xml:space="preserve">in leading case no. </w:t>
      </w:r>
      <w:proofErr w:type="gramStart"/>
      <w:r w:rsidRPr="0006378C" w:rsidR="00892630">
        <w:rPr>
          <w:lang w:val="en-GB"/>
        </w:rPr>
        <w:t>EBD2014.P.1</w:t>
      </w:r>
      <w:r w:rsidRPr="0006378C" w:rsidR="00AB2DC0">
        <w:rPr>
          <w:lang w:val="en-GB"/>
        </w:rPr>
        <w:t>.</w:t>
      </w:r>
      <w:r w:rsidRPr="0006378C" w:rsidR="000F7CCC">
        <w:rPr>
          <w:lang w:val="en-GB"/>
        </w:rPr>
        <w:t>,</w:t>
      </w:r>
      <w:proofErr w:type="gramEnd"/>
      <w:r w:rsidRPr="0006378C" w:rsidR="000F7CCC">
        <w:rPr>
          <w:lang w:val="en-GB"/>
        </w:rPr>
        <w:t xml:space="preserve"> published in 2014</w:t>
      </w:r>
      <w:r w:rsidRPr="0006378C" w:rsidR="00782327">
        <w:rPr>
          <w:lang w:val="en-GB"/>
        </w:rPr>
        <w:t>. Similar complaints had been declared admissible by the Constitutional Court.</w:t>
      </w:r>
      <w:r w:rsidRPr="0006378C">
        <w:rPr>
          <w:lang w:val="en-GB"/>
        </w:rPr>
        <w:t xml:space="preserve"> The</w:t>
      </w:r>
      <w:r w:rsidRPr="0006378C" w:rsidR="00031B3A">
        <w:rPr>
          <w:lang w:val="en-GB"/>
        </w:rPr>
        <w:t>y</w:t>
      </w:r>
      <w:r w:rsidRPr="0006378C">
        <w:rPr>
          <w:lang w:val="en-GB"/>
        </w:rPr>
        <w:t xml:space="preserve"> emphasised that this was in no way a discretionary remedy, the Constitutional Court being under a legal obligation to examine the merits of such complaints in so far as they fulfilled the statutory conditions. This remedy had not proved ineffective by the time the application was introduced, was available to the applicant at that moment, and offered a reasonable prospect of success; consequently, it should have been used.</w:t>
      </w:r>
      <w:r w:rsidRPr="0006378C" w:rsidR="0027622B">
        <w:rPr>
          <w:lang w:val="en-GB"/>
        </w:rPr>
        <w:t xml:space="preserve"> It was true that the procedure before the Constitutional Court alone could not have produced pecuniary redress for the applicant; however, the aggregation of this procedure with a subsequent civil-law litigation would have qualified as an effective remedy (see </w:t>
      </w:r>
      <w:r w:rsidRPr="0006378C" w:rsidR="0027622B">
        <w:rPr>
          <w:i/>
          <w:lang w:val="pl-PL"/>
        </w:rPr>
        <w:t xml:space="preserve">Kudła v. Poland </w:t>
      </w:r>
      <w:r w:rsidRPr="0006378C" w:rsidR="0027622B">
        <w:rPr>
          <w:lang w:val="pl-PL"/>
        </w:rPr>
        <w:t>[GC], no. 30210/96, §§ 152, 157, ECHR 2000</w:t>
      </w:r>
      <w:r w:rsidRPr="0006378C" w:rsidR="0027622B">
        <w:rPr>
          <w:lang w:val="pl-PL"/>
        </w:rPr>
        <w:noBreakHyphen/>
        <w:t xml:space="preserve">XI; </w:t>
      </w:r>
      <w:proofErr w:type="spellStart"/>
      <w:r w:rsidRPr="0006378C" w:rsidR="0027622B">
        <w:rPr>
          <w:i/>
        </w:rPr>
        <w:t>Omasta</w:t>
      </w:r>
      <w:proofErr w:type="spellEnd"/>
      <w:r w:rsidRPr="0006378C" w:rsidR="0027622B">
        <w:rPr>
          <w:i/>
        </w:rPr>
        <w:t xml:space="preserve"> v. Slovakia</w:t>
      </w:r>
      <w:r w:rsidRPr="0006378C" w:rsidR="0027622B">
        <w:t xml:space="preserve"> (</w:t>
      </w:r>
      <w:proofErr w:type="spellStart"/>
      <w:r w:rsidRPr="0006378C" w:rsidR="0027622B">
        <w:t>dec.</w:t>
      </w:r>
      <w:proofErr w:type="spellEnd"/>
      <w:r w:rsidRPr="0006378C" w:rsidR="0027622B">
        <w:t xml:space="preserve">), no. 40221/98, 10 December 2002; and </w:t>
      </w:r>
      <w:proofErr w:type="spellStart"/>
      <w:r w:rsidRPr="0006378C" w:rsidR="0027622B">
        <w:rPr>
          <w:i/>
          <w:lang w:val="en-GB"/>
        </w:rPr>
        <w:t>Dorota</w:t>
      </w:r>
      <w:proofErr w:type="spellEnd"/>
      <w:r w:rsidRPr="0006378C" w:rsidR="0027622B">
        <w:rPr>
          <w:i/>
          <w:lang w:val="en-GB"/>
        </w:rPr>
        <w:t xml:space="preserve"> </w:t>
      </w:r>
      <w:proofErr w:type="spellStart"/>
      <w:r w:rsidRPr="0006378C" w:rsidR="0027622B">
        <w:rPr>
          <w:i/>
          <w:lang w:val="en-GB"/>
        </w:rPr>
        <w:t>Szott-Medynska</w:t>
      </w:r>
      <w:proofErr w:type="spellEnd"/>
      <w:r w:rsidRPr="0006378C" w:rsidR="0027622B">
        <w:rPr>
          <w:i/>
          <w:lang w:val="en-GB"/>
        </w:rPr>
        <w:t xml:space="preserve"> v. Poland</w:t>
      </w:r>
      <w:r w:rsidRPr="0006378C" w:rsidR="0027622B">
        <w:rPr>
          <w:lang w:val="en-GB"/>
        </w:rPr>
        <w:t xml:space="preserve"> (</w:t>
      </w:r>
      <w:proofErr w:type="spellStart"/>
      <w:r w:rsidRPr="0006378C" w:rsidR="0027622B">
        <w:rPr>
          <w:lang w:val="en-GB"/>
        </w:rPr>
        <w:t>dec.</w:t>
      </w:r>
      <w:proofErr w:type="spellEnd"/>
      <w:r w:rsidRPr="0006378C" w:rsidR="0027622B">
        <w:rPr>
          <w:lang w:val="en-GB"/>
        </w:rPr>
        <w:t>), no. 53351/99, 9 October 2003).</w:t>
      </w:r>
    </w:p>
    <w:p w:rsidR="008F10BA" w:rsidP="008022B9" w:rsidRDefault="00782327">
      <w:pPr>
        <w:pStyle w:val="ECHRPara"/>
        <w:rPr>
          <w:lang w:val="en-GB"/>
        </w:rPr>
      </w:pPr>
      <w:r w:rsidRPr="00522E7F">
        <w:rPr>
          <w:lang w:val="en-GB"/>
        </w:rPr>
        <w:t xml:space="preserve">The applicant contested this view, asserting that </w:t>
      </w:r>
      <w:r w:rsidRPr="00522E7F" w:rsidR="00F303F7">
        <w:rPr>
          <w:lang w:val="en-GB"/>
        </w:rPr>
        <w:t>section 56(2) of the Constitutional Court Act</w:t>
      </w:r>
      <w:r w:rsidRPr="00522E7F" w:rsidR="00844897">
        <w:rPr>
          <w:lang w:val="en-GB"/>
        </w:rPr>
        <w:t>, read in conjunction with sections 26(2) and 29,</w:t>
      </w:r>
      <w:r w:rsidRPr="00522E7F" w:rsidR="00F303F7">
        <w:rPr>
          <w:lang w:val="en-GB"/>
        </w:rPr>
        <w:t xml:space="preserve"> expressly provides for a “discretionary” examination</w:t>
      </w:r>
      <w:r w:rsidRPr="00522E7F" w:rsidR="00346F7D">
        <w:rPr>
          <w:lang w:val="en-GB"/>
        </w:rPr>
        <w:t xml:space="preserve"> of a complaint</w:t>
      </w:r>
      <w:r w:rsidR="006011C5">
        <w:rPr>
          <w:lang w:val="en-GB"/>
        </w:rPr>
        <w:t>’</w:t>
      </w:r>
      <w:r w:rsidRPr="00522E7F" w:rsidR="00346F7D">
        <w:rPr>
          <w:lang w:val="en-GB"/>
        </w:rPr>
        <w:t>s admissibility,</w:t>
      </w:r>
      <w:r w:rsidRPr="00522E7F" w:rsidR="00F303F7">
        <w:rPr>
          <w:lang w:val="en-GB"/>
        </w:rPr>
        <w:t xml:space="preserve"> </w:t>
      </w:r>
      <w:proofErr w:type="gramStart"/>
      <w:r w:rsidRPr="00522E7F" w:rsidR="00F303F7">
        <w:rPr>
          <w:lang w:val="en-GB"/>
        </w:rPr>
        <w:t>including</w:t>
      </w:r>
      <w:proofErr w:type="gramEnd"/>
      <w:r w:rsidRPr="00522E7F" w:rsidR="00F303F7">
        <w:rPr>
          <w:lang w:val="en-GB"/>
        </w:rPr>
        <w:t xml:space="preserve"> the </w:t>
      </w:r>
      <w:r w:rsidRPr="00522E7F" w:rsidR="00622EA5">
        <w:rPr>
          <w:lang w:val="en-GB"/>
        </w:rPr>
        <w:t>question</w:t>
      </w:r>
      <w:r w:rsidRPr="00522E7F" w:rsidR="00F303F7">
        <w:rPr>
          <w:lang w:val="en-GB"/>
        </w:rPr>
        <w:t xml:space="preserve"> whether the subject matter of a constitutional complaint </w:t>
      </w:r>
      <w:r w:rsidRPr="00522E7F" w:rsidR="00F01798">
        <w:rPr>
          <w:lang w:val="en-GB"/>
        </w:rPr>
        <w:t xml:space="preserve">directed against a legal provision </w:t>
      </w:r>
      <w:r w:rsidRPr="00522E7F" w:rsidR="00F303F7">
        <w:rPr>
          <w:lang w:val="en-GB"/>
        </w:rPr>
        <w:t xml:space="preserve">raises constitutional law issues of “fundamental importance”. </w:t>
      </w:r>
      <w:r w:rsidRPr="00522E7F" w:rsidR="00F01798">
        <w:rPr>
          <w:lang w:val="en-GB"/>
        </w:rPr>
        <w:t xml:space="preserve">Accordingly, </w:t>
      </w:r>
      <w:r w:rsidRPr="00522E7F" w:rsidR="00844897">
        <w:rPr>
          <w:lang w:val="en-GB"/>
        </w:rPr>
        <w:t xml:space="preserve">this legal avenue, which may only be availed of “by exception”, </w:t>
      </w:r>
      <w:r w:rsidRPr="00522E7F">
        <w:rPr>
          <w:lang w:val="en-GB"/>
        </w:rPr>
        <w:t>was no effective remedy</w:t>
      </w:r>
      <w:r w:rsidRPr="00522E7F" w:rsidR="00F01798">
        <w:rPr>
          <w:lang w:val="en-GB"/>
        </w:rPr>
        <w:t xml:space="preserve"> in his opinion</w:t>
      </w:r>
      <w:r w:rsidRPr="00522E7F">
        <w:rPr>
          <w:lang w:val="en-GB"/>
        </w:rPr>
        <w:t>.</w:t>
      </w:r>
      <w:r w:rsidRPr="00522E7F" w:rsidR="005F194D">
        <w:rPr>
          <w:lang w:val="en-GB"/>
        </w:rPr>
        <w:t xml:space="preserve"> </w:t>
      </w:r>
      <w:r w:rsidRPr="00522E7F" w:rsidR="00622EA5">
        <w:rPr>
          <w:lang w:val="en-GB"/>
        </w:rPr>
        <w:t>He</w:t>
      </w:r>
      <w:r w:rsidRPr="00522E7F" w:rsidR="005F194D">
        <w:rPr>
          <w:lang w:val="en-GB"/>
        </w:rPr>
        <w:t xml:space="preserve"> further noted that the leading case on the State</w:t>
      </w:r>
      <w:r w:rsidR="006011C5">
        <w:rPr>
          <w:lang w:val="en-GB"/>
        </w:rPr>
        <w:t>’</w:t>
      </w:r>
      <w:r w:rsidRPr="00522E7F" w:rsidR="005F194D">
        <w:rPr>
          <w:lang w:val="en-GB"/>
        </w:rPr>
        <w:t xml:space="preserve">s tort </w:t>
      </w:r>
      <w:proofErr w:type="gramStart"/>
      <w:r w:rsidRPr="00522E7F" w:rsidR="005F194D">
        <w:rPr>
          <w:lang w:val="en-GB"/>
        </w:rPr>
        <w:t>liability,</w:t>
      </w:r>
      <w:proofErr w:type="gramEnd"/>
      <w:r w:rsidRPr="00522E7F" w:rsidR="005F194D">
        <w:rPr>
          <w:lang w:val="en-GB"/>
        </w:rPr>
        <w:t xml:space="preserve"> referred to by the Government, concerned a situation where a parliamentary act of individual </w:t>
      </w:r>
      <w:r w:rsidRPr="00522E7F" w:rsidR="00622EA5">
        <w:rPr>
          <w:lang w:val="en-GB"/>
        </w:rPr>
        <w:t>effect</w:t>
      </w:r>
      <w:r w:rsidRPr="00522E7F" w:rsidR="005F194D">
        <w:rPr>
          <w:lang w:val="en-GB"/>
        </w:rPr>
        <w:t xml:space="preserve"> (</w:t>
      </w:r>
      <w:r w:rsidRPr="00522E7F" w:rsidR="00622EA5">
        <w:rPr>
          <w:lang w:val="en-GB"/>
        </w:rPr>
        <w:t xml:space="preserve">namely, </w:t>
      </w:r>
      <w:r w:rsidRPr="00522E7F" w:rsidR="005F194D">
        <w:rPr>
          <w:lang w:val="en-GB"/>
        </w:rPr>
        <w:t xml:space="preserve">a dismissal) constituted an abuse of legislative power. While </w:t>
      </w:r>
      <w:r w:rsidRPr="00522E7F" w:rsidR="00622EA5">
        <w:rPr>
          <w:lang w:val="en-GB"/>
        </w:rPr>
        <w:t>accepting</w:t>
      </w:r>
      <w:r w:rsidRPr="00522E7F" w:rsidR="005F194D">
        <w:rPr>
          <w:lang w:val="en-GB"/>
        </w:rPr>
        <w:t xml:space="preserve"> the State</w:t>
      </w:r>
      <w:r w:rsidR="006011C5">
        <w:rPr>
          <w:lang w:val="en-GB"/>
        </w:rPr>
        <w:t>’</w:t>
      </w:r>
      <w:r w:rsidRPr="00522E7F" w:rsidR="005F194D">
        <w:rPr>
          <w:lang w:val="en-GB"/>
        </w:rPr>
        <w:t xml:space="preserve">s liability in that </w:t>
      </w:r>
      <w:r w:rsidRPr="00522E7F" w:rsidR="00622EA5">
        <w:rPr>
          <w:lang w:val="en-GB"/>
        </w:rPr>
        <w:t xml:space="preserve">particular </w:t>
      </w:r>
      <w:r w:rsidRPr="00522E7F" w:rsidR="005F194D">
        <w:rPr>
          <w:lang w:val="en-GB"/>
        </w:rPr>
        <w:t xml:space="preserve">situation, </w:t>
      </w:r>
      <w:r w:rsidRPr="00522E7F" w:rsidR="00622EA5">
        <w:rPr>
          <w:lang w:val="en-GB"/>
        </w:rPr>
        <w:t>the</w:t>
      </w:r>
      <w:r w:rsidRPr="00522E7F" w:rsidR="005F194D">
        <w:rPr>
          <w:lang w:val="en-GB"/>
        </w:rPr>
        <w:t xml:space="preserve"> court</w:t>
      </w:r>
      <w:r w:rsidRPr="00522E7F" w:rsidR="00622EA5">
        <w:rPr>
          <w:lang w:val="en-GB"/>
        </w:rPr>
        <w:t>s</w:t>
      </w:r>
      <w:r w:rsidRPr="00522E7F" w:rsidR="005F194D">
        <w:rPr>
          <w:lang w:val="en-GB"/>
        </w:rPr>
        <w:t xml:space="preserve"> confirmed that ordinary legislative acts would remain covered by the State</w:t>
      </w:r>
      <w:r w:rsidR="006011C5">
        <w:rPr>
          <w:lang w:val="en-GB"/>
        </w:rPr>
        <w:t>’</w:t>
      </w:r>
      <w:r w:rsidRPr="00522E7F" w:rsidR="005F194D">
        <w:rPr>
          <w:lang w:val="en-GB"/>
        </w:rPr>
        <w:t>s immunity.</w:t>
      </w:r>
    </w:p>
    <w:p w:rsidRPr="00522E7F" w:rsidR="00F7203A" w:rsidP="00F7203A" w:rsidRDefault="00F7203A">
      <w:pPr>
        <w:pStyle w:val="ECHRPara"/>
        <w:rPr>
          <w:lang w:val="en-GB"/>
        </w:rPr>
      </w:pPr>
      <w:r w:rsidRPr="00522E7F">
        <w:rPr>
          <w:rStyle w:val="sb8d990e2"/>
          <w:lang w:val="en-GB"/>
        </w:rPr>
        <w:fldChar w:fldCharType="begin"/>
      </w:r>
      <w:r w:rsidRPr="00522E7F">
        <w:rPr>
          <w:rStyle w:val="sb8d990e2"/>
          <w:lang w:val="en-GB"/>
        </w:rPr>
        <w:instrText xml:space="preserve"> SEQ level0 \*arabic </w:instrText>
      </w:r>
      <w:r w:rsidRPr="00522E7F">
        <w:rPr>
          <w:rStyle w:val="sb8d990e2"/>
          <w:lang w:val="en-GB"/>
        </w:rPr>
        <w:fldChar w:fldCharType="separate"/>
      </w:r>
      <w:r w:rsidR="00F12B01">
        <w:rPr>
          <w:rStyle w:val="sb8d990e2"/>
          <w:noProof/>
          <w:lang w:val="en-GB"/>
        </w:rPr>
        <w:t>23</w:t>
      </w:r>
      <w:r w:rsidRPr="00522E7F">
        <w:rPr>
          <w:rStyle w:val="sb8d990e2"/>
          <w:lang w:val="en-GB"/>
        </w:rPr>
        <w:fldChar w:fldCharType="end"/>
      </w:r>
      <w:r w:rsidRPr="00522E7F">
        <w:rPr>
          <w:rStyle w:val="sb8d990e2"/>
          <w:lang w:val="en-GB"/>
        </w:rPr>
        <w:t xml:space="preserve">.  The Court recalls that the only remedies which Article 35 § 1 of the Convention requires </w:t>
      </w:r>
      <w:proofErr w:type="gramStart"/>
      <w:r w:rsidRPr="00522E7F">
        <w:rPr>
          <w:rStyle w:val="sb8d990e2"/>
          <w:lang w:val="en-GB"/>
        </w:rPr>
        <w:t>to be</w:t>
      </w:r>
      <w:proofErr w:type="gramEnd"/>
      <w:r w:rsidRPr="00522E7F">
        <w:rPr>
          <w:rStyle w:val="sb8d990e2"/>
          <w:lang w:val="en-GB"/>
        </w:rPr>
        <w:t xml:space="preserve"> exhausted are those that relate to the breaches alleged and at the same time are available and sufficient. The existence of such remedies must be sufficiently certain </w:t>
      </w:r>
      <w:r w:rsidRPr="00522E7F">
        <w:rPr>
          <w:rStyle w:val="wordhighlighted"/>
          <w:lang w:val="en-GB"/>
        </w:rPr>
        <w:t>not only in theory</w:t>
      </w:r>
      <w:r w:rsidRPr="00522E7F">
        <w:rPr>
          <w:rStyle w:val="sb8d990e2"/>
          <w:lang w:val="en-GB"/>
        </w:rPr>
        <w:t xml:space="preserve"> but also in practice, failing which they will lack the requisite accessibility and effectiveness; it falls to the respondent State to establish that these conditions are satisfied (see, among other authorities, </w:t>
      </w:r>
      <w:r w:rsidRPr="00522E7F">
        <w:rPr>
          <w:rStyle w:val="s6b621b36"/>
          <w:i/>
          <w:lang w:val="en-GB"/>
        </w:rPr>
        <w:t>McFarlane v. Ireland</w:t>
      </w:r>
      <w:r w:rsidRPr="00522E7F">
        <w:rPr>
          <w:rStyle w:val="sb8d990e2"/>
          <w:lang w:val="en-GB"/>
        </w:rPr>
        <w:t xml:space="preserve"> [GC], no. 31333/06, § 107, 10 September 2010). The existence of mere doubts as to the prospects of success of a particular remedy which is not obviously futile is not a valid reason for failing to exhaust domestic remedies (see </w:t>
      </w:r>
      <w:proofErr w:type="spellStart"/>
      <w:r w:rsidRPr="00522E7F">
        <w:rPr>
          <w:rStyle w:val="s6b621b36"/>
          <w:i/>
          <w:lang w:val="en-GB"/>
        </w:rPr>
        <w:t>Akdivar</w:t>
      </w:r>
      <w:proofErr w:type="spellEnd"/>
      <w:r w:rsidRPr="00522E7F">
        <w:rPr>
          <w:rStyle w:val="s6b621b36"/>
          <w:i/>
          <w:lang w:val="en-GB"/>
        </w:rPr>
        <w:t xml:space="preserve"> and Others v. Turkey</w:t>
      </w:r>
      <w:r w:rsidRPr="00522E7F">
        <w:rPr>
          <w:rStyle w:val="sb8d990e2"/>
          <w:lang w:val="en-GB"/>
        </w:rPr>
        <w:t xml:space="preserve">, 16 September 1996, § 71, </w:t>
      </w:r>
      <w:r w:rsidRPr="00522E7F">
        <w:rPr>
          <w:rStyle w:val="s6b621b36"/>
          <w:i/>
          <w:lang w:val="en-GB"/>
        </w:rPr>
        <w:t>Reports of Judgments and Decisions</w:t>
      </w:r>
      <w:r w:rsidRPr="00522E7F">
        <w:rPr>
          <w:rStyle w:val="sb8d990e2"/>
          <w:lang w:val="en-GB"/>
        </w:rPr>
        <w:t xml:space="preserve"> 1996-IV). Lastly, an applicant who has availed himself of a remedy capable of redressing the situation giving rise to the alleged violation, directly and not merely indirectly, is not bound to have recourse to other remedies which would have been available to him but the effectiveness of which is questionable (see </w:t>
      </w:r>
      <w:proofErr w:type="spellStart"/>
      <w:r w:rsidRPr="00522E7F">
        <w:rPr>
          <w:rStyle w:val="s6b621b36"/>
          <w:i/>
          <w:lang w:val="en-GB"/>
        </w:rPr>
        <w:t>Manoussakis</w:t>
      </w:r>
      <w:proofErr w:type="spellEnd"/>
      <w:r w:rsidRPr="00522E7F">
        <w:rPr>
          <w:rStyle w:val="s6b621b36"/>
          <w:i/>
          <w:lang w:val="en-GB"/>
        </w:rPr>
        <w:t xml:space="preserve"> and Others v. Greece</w:t>
      </w:r>
      <w:r w:rsidRPr="00522E7F">
        <w:rPr>
          <w:rStyle w:val="sb8d990e2"/>
          <w:lang w:val="en-GB"/>
        </w:rPr>
        <w:t xml:space="preserve">, 26 September 1996, § 33, </w:t>
      </w:r>
      <w:r w:rsidRPr="00522E7F">
        <w:rPr>
          <w:rStyle w:val="s6b621b36"/>
          <w:i/>
          <w:lang w:val="en-GB"/>
        </w:rPr>
        <w:t>Reports</w:t>
      </w:r>
      <w:r w:rsidRPr="00522E7F">
        <w:rPr>
          <w:rStyle w:val="s6b621b36"/>
          <w:lang w:val="en-GB"/>
        </w:rPr>
        <w:t xml:space="preserve"> </w:t>
      </w:r>
      <w:r w:rsidRPr="00522E7F">
        <w:rPr>
          <w:rStyle w:val="sb8d990e2"/>
          <w:lang w:val="en-GB"/>
        </w:rPr>
        <w:t xml:space="preserve">1996-IV, and </w:t>
      </w:r>
      <w:proofErr w:type="spellStart"/>
      <w:r w:rsidRPr="00522E7F">
        <w:rPr>
          <w:rStyle w:val="s6b621b36"/>
          <w:i/>
          <w:lang w:val="en-GB"/>
        </w:rPr>
        <w:t>Anakomba</w:t>
      </w:r>
      <w:proofErr w:type="spellEnd"/>
      <w:r w:rsidRPr="00522E7F">
        <w:rPr>
          <w:rStyle w:val="s6b621b36"/>
          <w:i/>
          <w:lang w:val="en-GB"/>
        </w:rPr>
        <w:t xml:space="preserve"> </w:t>
      </w:r>
      <w:proofErr w:type="spellStart"/>
      <w:r w:rsidRPr="00522E7F">
        <w:rPr>
          <w:rStyle w:val="s6b621b36"/>
          <w:i/>
          <w:lang w:val="en-GB"/>
        </w:rPr>
        <w:t>Yula</w:t>
      </w:r>
      <w:proofErr w:type="spellEnd"/>
      <w:r w:rsidRPr="00522E7F">
        <w:rPr>
          <w:rStyle w:val="s6b621b36"/>
          <w:i/>
          <w:lang w:val="en-GB"/>
        </w:rPr>
        <w:t xml:space="preserve"> v. Belgium</w:t>
      </w:r>
      <w:r w:rsidRPr="00522E7F">
        <w:rPr>
          <w:rStyle w:val="sb8d990e2"/>
          <w:lang w:val="en-GB"/>
        </w:rPr>
        <w:t>, no.</w:t>
      </w:r>
      <w:r w:rsidRPr="00522E7F" w:rsidR="00031B3A">
        <w:rPr>
          <w:rStyle w:val="sb8d990e2"/>
          <w:lang w:val="en-GB"/>
        </w:rPr>
        <w:t xml:space="preserve"> 45413/07</w:t>
      </w:r>
      <w:r w:rsidRPr="00522E7F">
        <w:rPr>
          <w:rStyle w:val="sb8d990e2"/>
          <w:lang w:val="en-GB"/>
        </w:rPr>
        <w:t>, § 22, 10 March 2009).</w:t>
      </w:r>
    </w:p>
    <w:p w:rsidR="008F10BA" w:rsidP="00C621C2" w:rsidRDefault="00F7203A">
      <w:pPr>
        <w:pStyle w:val="ECHRPara"/>
        <w:rPr>
          <w:lang w:val="en-GB"/>
        </w:rPr>
      </w:pPr>
      <w:r w:rsidRPr="0006378C">
        <w:rPr>
          <w:lang w:val="en-GB"/>
        </w:rPr>
        <w:fldChar w:fldCharType="begin"/>
      </w:r>
      <w:r w:rsidRPr="0006378C">
        <w:rPr>
          <w:lang w:val="en-GB"/>
        </w:rPr>
        <w:instrText xml:space="preserve"> SEQ level0 \*arabic </w:instrText>
      </w:r>
      <w:r w:rsidRPr="0006378C">
        <w:rPr>
          <w:lang w:val="en-GB"/>
        </w:rPr>
        <w:fldChar w:fldCharType="separate"/>
      </w:r>
      <w:r w:rsidR="00F12B01">
        <w:rPr>
          <w:noProof/>
          <w:lang w:val="en-GB"/>
        </w:rPr>
        <w:t>24</w:t>
      </w:r>
      <w:r w:rsidRPr="0006378C">
        <w:rPr>
          <w:lang w:val="en-GB"/>
        </w:rPr>
        <w:fldChar w:fldCharType="end"/>
      </w:r>
      <w:r w:rsidRPr="0006378C">
        <w:rPr>
          <w:lang w:val="en-GB"/>
        </w:rPr>
        <w:t>. </w:t>
      </w:r>
      <w:r w:rsidRPr="0006378C" w:rsidR="00D461DE">
        <w:rPr>
          <w:lang w:val="en-GB"/>
        </w:rPr>
        <w:t>In the present case, t</w:t>
      </w:r>
      <w:r w:rsidRPr="0006378C" w:rsidR="00AB2DC0">
        <w:rPr>
          <w:lang w:val="en-GB"/>
        </w:rPr>
        <w:t>he</w:t>
      </w:r>
      <w:r w:rsidRPr="0006378C" w:rsidR="00782327">
        <w:rPr>
          <w:lang w:val="en-GB"/>
        </w:rPr>
        <w:t xml:space="preserve"> </w:t>
      </w:r>
      <w:r w:rsidRPr="0006378C" w:rsidR="00D461DE">
        <w:rPr>
          <w:lang w:val="en-GB"/>
        </w:rPr>
        <w:t xml:space="preserve">Court notes at the outset that it was not in dispute between the parties that the constitutional complaint procedure alone could not have produced pecuniary redress for the applicant. In any event, the </w:t>
      </w:r>
      <w:r w:rsidRPr="0006378C" w:rsidR="00782327">
        <w:rPr>
          <w:lang w:val="en-GB"/>
        </w:rPr>
        <w:t xml:space="preserve">cases referred to by the Government were eventually dismissed by the Constitutional Court on the merits (see paragraph </w:t>
      </w:r>
      <w:r w:rsidRPr="0006378C">
        <w:rPr>
          <w:lang w:val="en-GB"/>
        </w:rPr>
        <w:t>13</w:t>
      </w:r>
      <w:r w:rsidRPr="0006378C" w:rsidR="00782327">
        <w:rPr>
          <w:lang w:val="en-GB"/>
        </w:rPr>
        <w:t xml:space="preserve"> above). </w:t>
      </w:r>
      <w:r w:rsidRPr="0006378C" w:rsidR="00892630">
        <w:rPr>
          <w:lang w:val="en-GB"/>
        </w:rPr>
        <w:t>It is true that these decisions post-dated the introduction of the application and that, at that time, the outcome of the constitutional procedures was unknown as yet.</w:t>
      </w:r>
    </w:p>
    <w:p w:rsidRPr="0006378C" w:rsidR="005A2378" w:rsidP="00C621C2" w:rsidRDefault="00892630">
      <w:pPr>
        <w:pStyle w:val="ECHRPara"/>
        <w:rPr>
          <w:lang w:val="en-GB"/>
        </w:rPr>
      </w:pPr>
      <w:r w:rsidRPr="0006378C">
        <w:rPr>
          <w:lang w:val="en-GB"/>
        </w:rPr>
        <w:t xml:space="preserve">However, for the Court, the applicant cannot be expected to </w:t>
      </w:r>
      <w:r w:rsidRPr="0006378C" w:rsidR="00F7203A">
        <w:rPr>
          <w:lang w:val="en-GB"/>
        </w:rPr>
        <w:t xml:space="preserve">have </w:t>
      </w:r>
      <w:r w:rsidRPr="0006378C">
        <w:rPr>
          <w:lang w:val="en-GB"/>
        </w:rPr>
        <w:t>pursue</w:t>
      </w:r>
      <w:r w:rsidRPr="0006378C" w:rsidR="00F7203A">
        <w:rPr>
          <w:lang w:val="en-GB"/>
        </w:rPr>
        <w:t>d</w:t>
      </w:r>
      <w:r w:rsidRPr="0006378C">
        <w:rPr>
          <w:lang w:val="en-GB"/>
        </w:rPr>
        <w:t xml:space="preserve"> a constitutional complaint with the sole purpose of enabling a subsequent action in damages against the lawmaker</w:t>
      </w:r>
      <w:r w:rsidRPr="0006378C" w:rsidR="00D461DE">
        <w:rPr>
          <w:lang w:val="en-GB"/>
        </w:rPr>
        <w:t xml:space="preserve">. This is so because </w:t>
      </w:r>
      <w:r w:rsidRPr="0006378C">
        <w:rPr>
          <w:lang w:val="en-GB"/>
        </w:rPr>
        <w:t xml:space="preserve">the </w:t>
      </w:r>
      <w:r w:rsidRPr="0006378C" w:rsidR="00DF410C">
        <w:rPr>
          <w:lang w:val="en-GB"/>
        </w:rPr>
        <w:t>case-law</w:t>
      </w:r>
      <w:r w:rsidRPr="0006378C">
        <w:rPr>
          <w:lang w:val="en-GB"/>
        </w:rPr>
        <w:t xml:space="preserve"> on such liability</w:t>
      </w:r>
      <w:r w:rsidRPr="0006378C" w:rsidR="000F7CCC">
        <w:rPr>
          <w:lang w:val="en-GB"/>
        </w:rPr>
        <w:t xml:space="preserve">, </w:t>
      </w:r>
      <w:r w:rsidRPr="0006378C" w:rsidR="00DF410C">
        <w:rPr>
          <w:lang w:val="en-GB"/>
        </w:rPr>
        <w:t xml:space="preserve">as evidenced by the leading case </w:t>
      </w:r>
      <w:r w:rsidRPr="0006378C" w:rsidR="000F7CCC">
        <w:rPr>
          <w:lang w:val="en-GB"/>
        </w:rPr>
        <w:t>published in 2014</w:t>
      </w:r>
      <w:r w:rsidRPr="0006378C" w:rsidR="00D461DE">
        <w:rPr>
          <w:lang w:val="en-GB"/>
        </w:rPr>
        <w:t xml:space="preserve"> but referring to a standing jurisprudence</w:t>
      </w:r>
      <w:r w:rsidRPr="0006378C" w:rsidR="000F7CCC">
        <w:rPr>
          <w:lang w:val="en-GB"/>
        </w:rPr>
        <w:t>,</w:t>
      </w:r>
      <w:r w:rsidRPr="0006378C">
        <w:rPr>
          <w:lang w:val="en-GB"/>
        </w:rPr>
        <w:t xml:space="preserve"> </w:t>
      </w:r>
      <w:r w:rsidRPr="0006378C" w:rsidR="00DF410C">
        <w:rPr>
          <w:lang w:val="en-GB"/>
        </w:rPr>
        <w:t xml:space="preserve">is </w:t>
      </w:r>
      <w:r w:rsidRPr="0006378C" w:rsidR="00D461DE">
        <w:rPr>
          <w:lang w:val="en-GB"/>
        </w:rPr>
        <w:t xml:space="preserve">quite </w:t>
      </w:r>
      <w:r w:rsidRPr="0006378C" w:rsidR="00DF410C">
        <w:rPr>
          <w:lang w:val="en-GB"/>
        </w:rPr>
        <w:t>restrictive in terms of possible scenarios where the lawmaker can be held liable for prejudice resulting from legislation</w:t>
      </w:r>
      <w:r w:rsidRPr="0006378C" w:rsidR="00E94899">
        <w:rPr>
          <w:lang w:val="en-GB"/>
        </w:rPr>
        <w:t>, namely, particular findings of fact</w:t>
      </w:r>
      <w:r w:rsidRPr="0006378C" w:rsidR="008022B9">
        <w:rPr>
          <w:lang w:val="en-GB"/>
        </w:rPr>
        <w:t>,</w:t>
      </w:r>
      <w:r w:rsidRPr="0006378C" w:rsidR="00E94899">
        <w:rPr>
          <w:lang w:val="en-GB"/>
        </w:rPr>
        <w:t xml:space="preserve"> </w:t>
      </w:r>
      <w:r w:rsidRPr="0006378C" w:rsidR="008022B9">
        <w:rPr>
          <w:lang w:val="en-GB"/>
        </w:rPr>
        <w:t xml:space="preserve">such as </w:t>
      </w:r>
      <w:r w:rsidRPr="0006378C" w:rsidR="008022B9">
        <w:rPr>
          <w:i/>
          <w:lang w:val="en-GB"/>
        </w:rPr>
        <w:t>ad hominem</w:t>
      </w:r>
      <w:r w:rsidRPr="0006378C" w:rsidR="008022B9">
        <w:rPr>
          <w:lang w:val="en-GB"/>
        </w:rPr>
        <w:t xml:space="preserve"> </w:t>
      </w:r>
      <w:r w:rsidRPr="0006378C" w:rsidR="005A2378">
        <w:rPr>
          <w:lang w:val="en-GB"/>
        </w:rPr>
        <w:t xml:space="preserve">or otherwise dysfunctional </w:t>
      </w:r>
      <w:r w:rsidRPr="0006378C" w:rsidR="008022B9">
        <w:rPr>
          <w:lang w:val="en-GB"/>
        </w:rPr>
        <w:t xml:space="preserve">legislation, </w:t>
      </w:r>
      <w:r w:rsidRPr="0006378C" w:rsidR="00E94899">
        <w:rPr>
          <w:lang w:val="en-GB"/>
        </w:rPr>
        <w:t>are required</w:t>
      </w:r>
      <w:r w:rsidRPr="0006378C" w:rsidR="005A2378">
        <w:rPr>
          <w:lang w:val="en-GB"/>
        </w:rPr>
        <w:t xml:space="preserve"> – an element which does not appear to pertain to the applicant</w:t>
      </w:r>
      <w:r w:rsidR="006011C5">
        <w:rPr>
          <w:lang w:val="en-GB"/>
        </w:rPr>
        <w:t>’</w:t>
      </w:r>
      <w:r w:rsidRPr="0006378C" w:rsidR="005A2378">
        <w:rPr>
          <w:lang w:val="en-GB"/>
        </w:rPr>
        <w:t>s situation and whose presence has not been argued by the Government.</w:t>
      </w:r>
    </w:p>
    <w:p w:rsidRPr="00522E7F" w:rsidR="00782327" w:rsidP="00C621C2" w:rsidRDefault="00DF410C">
      <w:pPr>
        <w:pStyle w:val="ECHRPara"/>
        <w:rPr>
          <w:lang w:val="en-GB"/>
        </w:rPr>
      </w:pPr>
      <w:r w:rsidRPr="0006378C">
        <w:rPr>
          <w:lang w:val="en-GB"/>
        </w:rPr>
        <w:t>T</w:t>
      </w:r>
      <w:r w:rsidRPr="0006378C" w:rsidR="004504E3">
        <w:rPr>
          <w:lang w:val="en-GB"/>
        </w:rPr>
        <w:t xml:space="preserve">he Court is </w:t>
      </w:r>
      <w:r w:rsidRPr="0006378C" w:rsidR="005A2378">
        <w:rPr>
          <w:lang w:val="en-GB"/>
        </w:rPr>
        <w:t xml:space="preserve">therefore </w:t>
      </w:r>
      <w:r w:rsidRPr="0006378C" w:rsidR="004504E3">
        <w:rPr>
          <w:lang w:val="en-GB"/>
        </w:rPr>
        <w:t xml:space="preserve">not persuaded that a potential action in damages against the legislator underpinned by a constitutional complaint, if and when successful, was an effective remedy whose existence was sufficiently certain both in theory and in practice. </w:t>
      </w:r>
      <w:r w:rsidRPr="0006378C" w:rsidR="000F7CCC">
        <w:rPr>
          <w:lang w:val="en-GB"/>
        </w:rPr>
        <w:t xml:space="preserve">Without taking </w:t>
      </w:r>
      <w:r w:rsidRPr="0006378C" w:rsidR="00346F7D">
        <w:rPr>
          <w:lang w:val="en-GB"/>
        </w:rPr>
        <w:t xml:space="preserve">a </w:t>
      </w:r>
      <w:r w:rsidRPr="0006378C" w:rsidR="000F7CCC">
        <w:rPr>
          <w:lang w:val="en-GB"/>
        </w:rPr>
        <w:t>position on the effectiveness of the constitutional complaint procedure in general, the Court is th</w:t>
      </w:r>
      <w:r w:rsidRPr="0006378C" w:rsidR="00782327">
        <w:rPr>
          <w:lang w:val="en-GB"/>
        </w:rPr>
        <w:t xml:space="preserve">erefore satisfied that the constitutional complaint </w:t>
      </w:r>
      <w:r w:rsidRPr="0006378C" w:rsidR="004504E3">
        <w:rPr>
          <w:lang w:val="en-GB"/>
        </w:rPr>
        <w:t xml:space="preserve">is not a </w:t>
      </w:r>
      <w:r w:rsidRPr="0006378C" w:rsidR="00782327">
        <w:rPr>
          <w:lang w:val="en-GB"/>
        </w:rPr>
        <w:t xml:space="preserve">remedy </w:t>
      </w:r>
      <w:r w:rsidRPr="0006378C" w:rsidR="004504E3">
        <w:rPr>
          <w:lang w:val="en-GB"/>
        </w:rPr>
        <w:t xml:space="preserve">of a kind whose non-pursuit can be held against the </w:t>
      </w:r>
      <w:r w:rsidRPr="0006378C" w:rsidR="000F7CCC">
        <w:rPr>
          <w:lang w:val="en-GB"/>
        </w:rPr>
        <w:t>applicant in this case.</w:t>
      </w:r>
    </w:p>
    <w:p w:rsidRPr="00522E7F" w:rsidR="00782327" w:rsidP="00C621C2" w:rsidRDefault="00782327">
      <w:pPr>
        <w:pStyle w:val="ECHRPara"/>
        <w:rPr>
          <w:lang w:val="en-GB"/>
        </w:rPr>
      </w:pPr>
      <w:r w:rsidRPr="00522E7F">
        <w:rPr>
          <w:lang w:val="en-GB"/>
        </w:rPr>
        <w:t>It follows that the application cannot be rejected for non-exhaustion of domestic remedies.</w:t>
      </w:r>
    </w:p>
    <w:p w:rsidRPr="00522E7F" w:rsidR="00782327" w:rsidP="00C621C2" w:rsidRDefault="00782327">
      <w:pPr>
        <w:pStyle w:val="ECHRPara"/>
        <w:rPr>
          <w:lang w:val="en-GB"/>
        </w:rPr>
      </w:pPr>
      <w:r w:rsidRPr="00522E7F">
        <w:rPr>
          <w:lang w:val="en-GB"/>
        </w:rPr>
        <w:fldChar w:fldCharType="begin"/>
      </w:r>
      <w:r w:rsidRPr="00522E7F">
        <w:rPr>
          <w:lang w:val="en-GB"/>
        </w:rPr>
        <w:instrText xml:space="preserve"> SEQ level0 \*arabic </w:instrText>
      </w:r>
      <w:r w:rsidRPr="00522E7F">
        <w:rPr>
          <w:lang w:val="en-GB"/>
        </w:rPr>
        <w:fldChar w:fldCharType="separate"/>
      </w:r>
      <w:r w:rsidR="00F12B01">
        <w:rPr>
          <w:noProof/>
          <w:lang w:val="en-GB"/>
        </w:rPr>
        <w:t>25</w:t>
      </w:r>
      <w:r w:rsidRPr="00522E7F">
        <w:rPr>
          <w:lang w:val="en-GB"/>
        </w:rPr>
        <w:fldChar w:fldCharType="end"/>
      </w:r>
      <w:r w:rsidRPr="00522E7F">
        <w:rPr>
          <w:lang w:val="en-GB"/>
        </w:rPr>
        <w:t>.  The Government further argued that the licen</w:t>
      </w:r>
      <w:r w:rsidRPr="00522E7F" w:rsidR="00DF5B6A">
        <w:rPr>
          <w:lang w:val="en-GB"/>
        </w:rPr>
        <w:t>c</w:t>
      </w:r>
      <w:r w:rsidRPr="00522E7F">
        <w:rPr>
          <w:lang w:val="en-GB"/>
        </w:rPr>
        <w:t xml:space="preserve">e in question was a new institution under the law, enacted by the 2012 legislation. The applicant had never </w:t>
      </w:r>
      <w:r w:rsidRPr="00522E7F" w:rsidR="004F4600">
        <w:rPr>
          <w:lang w:val="en-GB"/>
        </w:rPr>
        <w:t>possessed this right,</w:t>
      </w:r>
      <w:r w:rsidRPr="00522E7F">
        <w:rPr>
          <w:lang w:val="en-GB"/>
        </w:rPr>
        <w:t xml:space="preserve"> because the previous concession he had had was </w:t>
      </w:r>
      <w:r w:rsidRPr="00522E7F" w:rsidR="006C75DD">
        <w:rPr>
          <w:lang w:val="en-GB"/>
        </w:rPr>
        <w:t>different in nature. Therefore, the application was, in the Government</w:t>
      </w:r>
      <w:r w:rsidR="006011C5">
        <w:rPr>
          <w:lang w:val="en-GB"/>
        </w:rPr>
        <w:t>’</w:t>
      </w:r>
      <w:r w:rsidRPr="00522E7F" w:rsidR="006C75DD">
        <w:rPr>
          <w:lang w:val="en-GB"/>
        </w:rPr>
        <w:t>s view, directed at the acquisition of an asset, a right not</w:t>
      </w:r>
      <w:r w:rsidRPr="00522E7F" w:rsidR="004F4600">
        <w:rPr>
          <w:lang w:val="en-GB"/>
        </w:rPr>
        <w:t xml:space="preserve"> guaranteed by the Convention or</w:t>
      </w:r>
      <w:r w:rsidRPr="00522E7F" w:rsidR="006C75DD">
        <w:rPr>
          <w:lang w:val="en-GB"/>
        </w:rPr>
        <w:t xml:space="preserve"> its Protocols. </w:t>
      </w:r>
      <w:r w:rsidRPr="00522E7F" w:rsidR="004504E3">
        <w:rPr>
          <w:lang w:val="en-GB"/>
        </w:rPr>
        <w:t xml:space="preserve">Moreover, the Convention </w:t>
      </w:r>
      <w:r w:rsidRPr="00522E7F" w:rsidR="00D57ADD">
        <w:rPr>
          <w:lang w:val="en-GB"/>
        </w:rPr>
        <w:t xml:space="preserve">or its Protocols </w:t>
      </w:r>
      <w:r w:rsidRPr="00522E7F" w:rsidR="004504E3">
        <w:rPr>
          <w:lang w:val="en-GB"/>
        </w:rPr>
        <w:t xml:space="preserve">could not be construed to guarantee any right to </w:t>
      </w:r>
      <w:r w:rsidRPr="00522E7F" w:rsidR="00D57ADD">
        <w:rPr>
          <w:lang w:val="en-GB"/>
        </w:rPr>
        <w:t>the continued exercise of a</w:t>
      </w:r>
      <w:r w:rsidRPr="00522E7F" w:rsidR="004504E3">
        <w:rPr>
          <w:lang w:val="en-GB"/>
        </w:rPr>
        <w:t xml:space="preserve"> gainful activity based on representing health hazard</w:t>
      </w:r>
      <w:r w:rsidRPr="00522E7F" w:rsidR="00D57ADD">
        <w:rPr>
          <w:lang w:val="en-GB"/>
        </w:rPr>
        <w:t xml:space="preserve"> to others</w:t>
      </w:r>
      <w:r w:rsidRPr="00522E7F" w:rsidR="004504E3">
        <w:rPr>
          <w:lang w:val="en-GB"/>
        </w:rPr>
        <w:t xml:space="preserve">, like tobacco sales. </w:t>
      </w:r>
      <w:r w:rsidRPr="00522E7F" w:rsidR="004F4600">
        <w:rPr>
          <w:lang w:val="en-GB"/>
        </w:rPr>
        <w:t>The application was</w:t>
      </w:r>
      <w:r w:rsidRPr="00522E7F" w:rsidR="006C75DD">
        <w:rPr>
          <w:lang w:val="en-GB"/>
        </w:rPr>
        <w:t xml:space="preserve"> </w:t>
      </w:r>
      <w:r w:rsidRPr="00522E7F" w:rsidR="004F4600">
        <w:rPr>
          <w:lang w:val="en-GB"/>
        </w:rPr>
        <w:t>thus</w:t>
      </w:r>
      <w:r w:rsidRPr="00522E7F" w:rsidR="006C75DD">
        <w:rPr>
          <w:lang w:val="en-GB"/>
        </w:rPr>
        <w:t xml:space="preserve"> incompatible </w:t>
      </w:r>
      <w:proofErr w:type="spellStart"/>
      <w:r w:rsidRPr="00522E7F" w:rsidR="006C75DD">
        <w:rPr>
          <w:i/>
          <w:lang w:val="en-GB"/>
        </w:rPr>
        <w:t>ratione</w:t>
      </w:r>
      <w:proofErr w:type="spellEnd"/>
      <w:r w:rsidRPr="00522E7F" w:rsidR="006C75DD">
        <w:rPr>
          <w:i/>
          <w:lang w:val="en-GB"/>
        </w:rPr>
        <w:t xml:space="preserve"> </w:t>
      </w:r>
      <w:proofErr w:type="spellStart"/>
      <w:r w:rsidRPr="00522E7F" w:rsidR="006C75DD">
        <w:rPr>
          <w:i/>
          <w:lang w:val="en-GB"/>
        </w:rPr>
        <w:t>materiae</w:t>
      </w:r>
      <w:proofErr w:type="spellEnd"/>
      <w:r w:rsidRPr="00522E7F" w:rsidR="006C75DD">
        <w:rPr>
          <w:lang w:val="en-GB"/>
        </w:rPr>
        <w:t xml:space="preserve"> with the provisions of the Convention.</w:t>
      </w:r>
    </w:p>
    <w:p w:rsidRPr="00522E7F" w:rsidR="006C75DD" w:rsidP="00C621C2" w:rsidRDefault="006C75DD">
      <w:pPr>
        <w:pStyle w:val="ECHRPara"/>
        <w:rPr>
          <w:lang w:val="en-GB"/>
        </w:rPr>
      </w:pPr>
      <w:r w:rsidRPr="00522E7F">
        <w:rPr>
          <w:lang w:val="en-GB"/>
        </w:rPr>
        <w:t xml:space="preserve">The applicant argued </w:t>
      </w:r>
      <w:r w:rsidRPr="00522E7F" w:rsidR="004F4600">
        <w:rPr>
          <w:lang w:val="en-GB"/>
        </w:rPr>
        <w:t>that his former licence was just as much</w:t>
      </w:r>
      <w:r w:rsidRPr="00522E7F" w:rsidR="00DF5B6A">
        <w:rPr>
          <w:lang w:val="en-GB"/>
        </w:rPr>
        <w:t xml:space="preserve"> a</w:t>
      </w:r>
      <w:r w:rsidRPr="00522E7F" w:rsidR="004F4600">
        <w:rPr>
          <w:lang w:val="en-GB"/>
        </w:rPr>
        <w:t xml:space="preserve"> possession as the one he was striving to acquire and that its loss consequently brought Article 1 of Protocol No. 1 into play.</w:t>
      </w:r>
    </w:p>
    <w:p w:rsidRPr="00522E7F" w:rsidR="004F4600" w:rsidP="00C621C2" w:rsidRDefault="004F4600">
      <w:pPr>
        <w:pStyle w:val="ECHRPara"/>
        <w:rPr>
          <w:lang w:val="en-GB"/>
        </w:rPr>
      </w:pPr>
      <w:r w:rsidRPr="00522E7F">
        <w:rPr>
          <w:lang w:val="en-GB"/>
        </w:rPr>
        <w:t xml:space="preserve">The Court considers that the question </w:t>
      </w:r>
      <w:r w:rsidRPr="00522E7F" w:rsidR="00DA3AFD">
        <w:rPr>
          <w:lang w:val="en-GB"/>
        </w:rPr>
        <w:t>concerning the nature of the licences at issue</w:t>
      </w:r>
      <w:r w:rsidRPr="00522E7F">
        <w:rPr>
          <w:lang w:val="en-GB"/>
        </w:rPr>
        <w:t xml:space="preserve"> is closely linked to the merits of the application and must be joined to it for joint consideration.</w:t>
      </w:r>
    </w:p>
    <w:p w:rsidRPr="00522E7F" w:rsidR="00014566" w:rsidP="00C621C2" w:rsidRDefault="00DA3AFD">
      <w:pPr>
        <w:pStyle w:val="ECHRPara"/>
        <w:rPr>
          <w:lang w:val="en-GB"/>
        </w:rPr>
      </w:pPr>
      <w:r w:rsidRPr="00522E7F">
        <w:rPr>
          <w:lang w:val="en-GB"/>
        </w:rPr>
        <w:fldChar w:fldCharType="begin"/>
      </w:r>
      <w:r w:rsidRPr="00522E7F">
        <w:rPr>
          <w:lang w:val="en-GB"/>
        </w:rPr>
        <w:instrText xml:space="preserve"> SEQ level0 \*arabic </w:instrText>
      </w:r>
      <w:r w:rsidRPr="00522E7F">
        <w:rPr>
          <w:lang w:val="en-GB"/>
        </w:rPr>
        <w:fldChar w:fldCharType="separate"/>
      </w:r>
      <w:r w:rsidR="00F12B01">
        <w:rPr>
          <w:noProof/>
          <w:lang w:val="en-GB"/>
        </w:rPr>
        <w:t>26</w:t>
      </w:r>
      <w:r w:rsidRPr="00522E7F">
        <w:rPr>
          <w:lang w:val="en-GB"/>
        </w:rPr>
        <w:fldChar w:fldCharType="end"/>
      </w:r>
      <w:r w:rsidRPr="00522E7F">
        <w:rPr>
          <w:lang w:val="en-GB"/>
        </w:rPr>
        <w:t>.  </w:t>
      </w:r>
      <w:r w:rsidRPr="00522E7F" w:rsidR="00014566">
        <w:rPr>
          <w:lang w:val="en-GB"/>
        </w:rPr>
        <w:t>The Court notes that the application is not manifestly ill-founded within the meaning of Article 35 § 3 (a) of the Convention. It further notes that it is not inadmissible on any other grounds. It must therefore be declared admissible.</w:t>
      </w:r>
    </w:p>
    <w:p w:rsidRPr="00522E7F" w:rsidR="00014566" w:rsidP="00014566" w:rsidRDefault="00014566">
      <w:pPr>
        <w:pStyle w:val="ECHRHeading2"/>
        <w:outlineLvl w:val="0"/>
        <w:rPr>
          <w:lang w:val="en-GB"/>
        </w:rPr>
      </w:pPr>
      <w:r w:rsidRPr="00522E7F">
        <w:rPr>
          <w:lang w:val="en-GB"/>
        </w:rPr>
        <w:t>B.  Merits</w:t>
      </w:r>
    </w:p>
    <w:p w:rsidRPr="00522E7F" w:rsidR="00AB2CDE" w:rsidP="00AB2CDE" w:rsidRDefault="00AB2CDE">
      <w:pPr>
        <w:pStyle w:val="ECHRHeading3"/>
        <w:rPr>
          <w:lang w:val="en-GB"/>
        </w:rPr>
      </w:pPr>
      <w:r w:rsidRPr="00522E7F">
        <w:rPr>
          <w:lang w:val="en-GB"/>
        </w:rPr>
        <w:t>1.  Arguments of the parties</w:t>
      </w:r>
    </w:p>
    <w:p w:rsidRPr="00522E7F" w:rsidR="007C4208" w:rsidP="007C4208" w:rsidRDefault="007C4208">
      <w:pPr>
        <w:pStyle w:val="ECHRHeading4"/>
        <w:rPr>
          <w:lang w:val="en-GB"/>
        </w:rPr>
      </w:pPr>
      <w:r w:rsidRPr="00522E7F">
        <w:rPr>
          <w:lang w:val="en-GB"/>
        </w:rPr>
        <w:t>a.</w:t>
      </w:r>
      <w:proofErr w:type="gramStart"/>
      <w:r w:rsidRPr="00522E7F">
        <w:rPr>
          <w:lang w:val="en-GB"/>
        </w:rPr>
        <w:t>  The</w:t>
      </w:r>
      <w:proofErr w:type="gramEnd"/>
      <w:r w:rsidRPr="00522E7F">
        <w:rPr>
          <w:lang w:val="en-GB"/>
        </w:rPr>
        <w:t xml:space="preserve"> applicant</w:t>
      </w:r>
    </w:p>
    <w:p w:rsidRPr="00522E7F" w:rsidR="00014566" w:rsidP="00C621C2" w:rsidRDefault="002E2424">
      <w:pPr>
        <w:pStyle w:val="ECHRPara"/>
        <w:rPr>
          <w:lang w:val="en-GB"/>
        </w:rPr>
      </w:pPr>
      <w:r w:rsidRPr="00522E7F">
        <w:rPr>
          <w:lang w:val="en-GB"/>
        </w:rPr>
        <w:fldChar w:fldCharType="begin"/>
      </w:r>
      <w:r w:rsidRPr="00522E7F">
        <w:rPr>
          <w:lang w:val="en-GB"/>
        </w:rPr>
        <w:instrText xml:space="preserve"> SEQ level0 \*arabic </w:instrText>
      </w:r>
      <w:r w:rsidRPr="00522E7F">
        <w:rPr>
          <w:lang w:val="en-GB"/>
        </w:rPr>
        <w:fldChar w:fldCharType="separate"/>
      </w:r>
      <w:r w:rsidR="00F12B01">
        <w:rPr>
          <w:noProof/>
          <w:lang w:val="en-GB"/>
        </w:rPr>
        <w:t>27</w:t>
      </w:r>
      <w:r w:rsidRPr="00522E7F">
        <w:rPr>
          <w:lang w:val="en-GB"/>
        </w:rPr>
        <w:fldChar w:fldCharType="end"/>
      </w:r>
      <w:r w:rsidRPr="00522E7F" w:rsidR="00014566">
        <w:rPr>
          <w:lang w:val="en-GB"/>
        </w:rPr>
        <w:t xml:space="preserve">.  The applicant </w:t>
      </w:r>
      <w:r w:rsidRPr="00522E7F" w:rsidR="008237B2">
        <w:rPr>
          <w:lang w:val="en-GB"/>
        </w:rPr>
        <w:t xml:space="preserve">argued that </w:t>
      </w:r>
      <w:r w:rsidRPr="00522E7F" w:rsidR="00AB2DC0">
        <w:rPr>
          <w:lang w:val="en-GB"/>
        </w:rPr>
        <w:t>the</w:t>
      </w:r>
      <w:r w:rsidRPr="00522E7F" w:rsidR="008237B2">
        <w:rPr>
          <w:lang w:val="en-GB"/>
        </w:rPr>
        <w:t xml:space="preserve"> former licen</w:t>
      </w:r>
      <w:r w:rsidRPr="00522E7F" w:rsidR="00DF5B6A">
        <w:rPr>
          <w:lang w:val="en-GB"/>
        </w:rPr>
        <w:t>c</w:t>
      </w:r>
      <w:r w:rsidRPr="00522E7F" w:rsidR="008237B2">
        <w:rPr>
          <w:lang w:val="en-GB"/>
        </w:rPr>
        <w:t>e</w:t>
      </w:r>
      <w:r w:rsidRPr="00522E7F" w:rsidR="00622EA5">
        <w:rPr>
          <w:lang w:val="en-GB"/>
        </w:rPr>
        <w:t xml:space="preserve"> including the retail of tobacco</w:t>
      </w:r>
      <w:r w:rsidRPr="00522E7F" w:rsidR="008237B2">
        <w:rPr>
          <w:lang w:val="en-GB"/>
        </w:rPr>
        <w:t xml:space="preserve">, that is, the economic interests connected with the underlying business, had represented a “possession” for the purposes of Article 1 of Protocol No. 1. Its withdrawal </w:t>
      </w:r>
      <w:r w:rsidRPr="00522E7F" w:rsidR="00622EA5">
        <w:rPr>
          <w:lang w:val="en-GB"/>
        </w:rPr>
        <w:t xml:space="preserve">by operation of law </w:t>
      </w:r>
      <w:r w:rsidRPr="00522E7F" w:rsidR="008237B2">
        <w:rPr>
          <w:lang w:val="en-GB"/>
        </w:rPr>
        <w:t xml:space="preserve">was therefore an interference with his rights under that provision. </w:t>
      </w:r>
      <w:r w:rsidRPr="00522E7F" w:rsidR="00C426AA">
        <w:rPr>
          <w:lang w:val="en-GB"/>
        </w:rPr>
        <w:t xml:space="preserve">His family </w:t>
      </w:r>
      <w:r w:rsidRPr="00522E7F" w:rsidR="008237B2">
        <w:rPr>
          <w:lang w:val="en-GB"/>
        </w:rPr>
        <w:t xml:space="preserve">had been </w:t>
      </w:r>
      <w:r w:rsidRPr="00522E7F" w:rsidR="00DF5B6A">
        <w:rPr>
          <w:lang w:val="en-GB"/>
        </w:rPr>
        <w:t xml:space="preserve">the </w:t>
      </w:r>
      <w:r w:rsidRPr="00522E7F" w:rsidR="008237B2">
        <w:rPr>
          <w:lang w:val="en-GB"/>
        </w:rPr>
        <w:t>beneficiary of that licen</w:t>
      </w:r>
      <w:r w:rsidRPr="00522E7F" w:rsidR="00DF5B6A">
        <w:rPr>
          <w:lang w:val="en-GB"/>
        </w:rPr>
        <w:t>c</w:t>
      </w:r>
      <w:r w:rsidRPr="00522E7F" w:rsidR="008237B2">
        <w:rPr>
          <w:lang w:val="en-GB"/>
        </w:rPr>
        <w:t xml:space="preserve">e since 1994 and tobacco sales had yielded </w:t>
      </w:r>
      <w:r w:rsidRPr="00522E7F" w:rsidR="00B00777">
        <w:rPr>
          <w:lang w:val="en-GB"/>
        </w:rPr>
        <w:t>a large</w:t>
      </w:r>
      <w:r w:rsidRPr="00522E7F" w:rsidR="00F873B5">
        <w:rPr>
          <w:lang w:val="en-GB"/>
        </w:rPr>
        <w:t xml:space="preserve"> part of the income of </w:t>
      </w:r>
      <w:r w:rsidRPr="00522E7F" w:rsidR="00C426AA">
        <w:rPr>
          <w:lang w:val="en-GB"/>
        </w:rPr>
        <w:t xml:space="preserve">their </w:t>
      </w:r>
      <w:r w:rsidRPr="00522E7F" w:rsidR="00F873B5">
        <w:rPr>
          <w:lang w:val="en-GB"/>
        </w:rPr>
        <w:t>grocery.</w:t>
      </w:r>
    </w:p>
    <w:p w:rsidRPr="00522E7F" w:rsidR="00F873B5" w:rsidP="00C621C2" w:rsidRDefault="00F873B5">
      <w:pPr>
        <w:pStyle w:val="ECHRPara"/>
        <w:rPr>
          <w:lang w:val="en-GB"/>
        </w:rPr>
      </w:pPr>
      <w:r w:rsidRPr="00522E7F">
        <w:rPr>
          <w:lang w:val="en-GB"/>
        </w:rPr>
        <w:t>Moreover, in his view, the lawfulness of this interference was doubtful given the hasty adoption of the law in question</w:t>
      </w:r>
      <w:r w:rsidRPr="00522E7F" w:rsidR="00D71CD5">
        <w:rPr>
          <w:lang w:val="en-GB"/>
        </w:rPr>
        <w:t>,</w:t>
      </w:r>
      <w:r w:rsidRPr="00522E7F">
        <w:rPr>
          <w:lang w:val="en-GB"/>
        </w:rPr>
        <w:t xml:space="preserve"> its amendments while the tender adjudication pro</w:t>
      </w:r>
      <w:r w:rsidRPr="00522E7F" w:rsidR="00D71CD5">
        <w:rPr>
          <w:lang w:val="en-GB"/>
        </w:rPr>
        <w:t xml:space="preserve">cedure </w:t>
      </w:r>
      <w:r w:rsidRPr="00522E7F" w:rsidR="00DF5B6A">
        <w:rPr>
          <w:lang w:val="en-GB"/>
        </w:rPr>
        <w:t>was</w:t>
      </w:r>
      <w:r w:rsidRPr="00522E7F" w:rsidR="00D71CD5">
        <w:rPr>
          <w:lang w:val="en-GB"/>
        </w:rPr>
        <w:t xml:space="preserve"> already ongoing, and the absence of a transparent procedure or a legal remedy.</w:t>
      </w:r>
    </w:p>
    <w:p w:rsidRPr="00522E7F" w:rsidR="00F873B5" w:rsidP="00C621C2" w:rsidRDefault="00F873B5">
      <w:pPr>
        <w:pStyle w:val="ECHRPara"/>
        <w:rPr>
          <w:lang w:val="en-GB"/>
        </w:rPr>
      </w:pPr>
      <w:r w:rsidRPr="00522E7F">
        <w:rPr>
          <w:lang w:val="en-GB"/>
        </w:rPr>
        <w:t xml:space="preserve">As to the aim pursued by the measure in question, the applicant did not call into question that the purported aim, that is, to combat underage smoking, and in wider terms, </w:t>
      </w:r>
      <w:r w:rsidRPr="00522E7F" w:rsidR="00D71CD5">
        <w:rPr>
          <w:lang w:val="en-GB"/>
        </w:rPr>
        <w:t>to</w:t>
      </w:r>
      <w:r w:rsidRPr="00522E7F">
        <w:rPr>
          <w:lang w:val="en-GB"/>
        </w:rPr>
        <w:t xml:space="preserve"> protect</w:t>
      </w:r>
      <w:r w:rsidRPr="00522E7F" w:rsidR="00D71CD5">
        <w:rPr>
          <w:lang w:val="en-GB"/>
        </w:rPr>
        <w:t xml:space="preserve"> the</w:t>
      </w:r>
      <w:r w:rsidRPr="00522E7F">
        <w:rPr>
          <w:lang w:val="en-GB"/>
        </w:rPr>
        <w:t xml:space="preserve"> health of the population was a legitimate aim in this context. However, he argued that </w:t>
      </w:r>
      <w:r w:rsidRPr="00522E7F" w:rsidR="00D71CD5">
        <w:rPr>
          <w:lang w:val="en-GB"/>
        </w:rPr>
        <w:t xml:space="preserve">in reality, </w:t>
      </w:r>
      <w:r w:rsidRPr="00522E7F">
        <w:rPr>
          <w:lang w:val="en-GB"/>
        </w:rPr>
        <w:t xml:space="preserve">the measure rather aimed to monopolise </w:t>
      </w:r>
      <w:r w:rsidRPr="00522E7F" w:rsidR="00D71CD5">
        <w:rPr>
          <w:lang w:val="en-GB"/>
        </w:rPr>
        <w:t xml:space="preserve">tobacco retail </w:t>
      </w:r>
      <w:r w:rsidRPr="00522E7F">
        <w:rPr>
          <w:lang w:val="en-GB"/>
        </w:rPr>
        <w:t>and re-distribute</w:t>
      </w:r>
      <w:r w:rsidRPr="00522E7F" w:rsidR="00D71CD5">
        <w:rPr>
          <w:lang w:val="en-GB"/>
        </w:rPr>
        <w:t xml:space="preserve"> the market shares, which could not be accepted as a legitimate aim, even in the face of the State</w:t>
      </w:r>
      <w:r w:rsidR="006011C5">
        <w:rPr>
          <w:lang w:val="en-GB"/>
        </w:rPr>
        <w:t>’</w:t>
      </w:r>
      <w:r w:rsidRPr="00522E7F" w:rsidR="00D71CD5">
        <w:rPr>
          <w:lang w:val="en-GB"/>
        </w:rPr>
        <w:t>s wide margin of appreciation in this field.</w:t>
      </w:r>
      <w:r w:rsidRPr="00522E7F" w:rsidR="00C426AA">
        <w:rPr>
          <w:lang w:val="en-GB"/>
        </w:rPr>
        <w:t xml:space="preserve"> He further questioned the adequacy of the means chosen, pointing to the fact that the increased difficulty to buy tobacco products</w:t>
      </w:r>
      <w:r w:rsidRPr="00522E7F" w:rsidR="00E97764">
        <w:rPr>
          <w:lang w:val="en-GB"/>
        </w:rPr>
        <w:t xml:space="preserve">, if </w:t>
      </w:r>
      <w:r w:rsidRPr="00522E7F" w:rsidR="004F0645">
        <w:rPr>
          <w:lang w:val="en-GB"/>
        </w:rPr>
        <w:t xml:space="preserve">intended to </w:t>
      </w:r>
      <w:r w:rsidRPr="00522E7F" w:rsidR="00E97764">
        <w:rPr>
          <w:lang w:val="en-GB"/>
        </w:rPr>
        <w:t>be dissuasive, in fact benefits the black market.</w:t>
      </w:r>
    </w:p>
    <w:p w:rsidRPr="00522E7F" w:rsidR="00D71CD5" w:rsidP="00C621C2" w:rsidRDefault="00D71CD5">
      <w:pPr>
        <w:pStyle w:val="ECHRPara"/>
        <w:rPr>
          <w:lang w:val="en-GB"/>
        </w:rPr>
      </w:pPr>
      <w:r w:rsidRPr="00522E7F">
        <w:rPr>
          <w:lang w:val="en-GB"/>
        </w:rPr>
        <w:t xml:space="preserve">Lastly, no fair balance had been struck between his interests and that of the community in that by losing his main source of livelihood enjoyed for almost twenty years, and this without any </w:t>
      </w:r>
      <w:proofErr w:type="gramStart"/>
      <w:r w:rsidRPr="00522E7F">
        <w:rPr>
          <w:lang w:val="en-GB"/>
        </w:rPr>
        <w:t>compensation,</w:t>
      </w:r>
      <w:proofErr w:type="gramEnd"/>
      <w:r w:rsidRPr="00522E7F">
        <w:rPr>
          <w:lang w:val="en-GB"/>
        </w:rPr>
        <w:t xml:space="preserve"> he had </w:t>
      </w:r>
      <w:r w:rsidRPr="00522E7F" w:rsidR="00DF5B6A">
        <w:rPr>
          <w:lang w:val="en-GB"/>
        </w:rPr>
        <w:t xml:space="preserve">had </w:t>
      </w:r>
      <w:r w:rsidRPr="00522E7F">
        <w:rPr>
          <w:lang w:val="en-GB"/>
        </w:rPr>
        <w:t>to bear an excessive individual burden.</w:t>
      </w:r>
    </w:p>
    <w:p w:rsidRPr="00522E7F" w:rsidR="007C4208" w:rsidP="007C4208" w:rsidRDefault="007C4208">
      <w:pPr>
        <w:pStyle w:val="ECHRHeading4"/>
        <w:rPr>
          <w:lang w:val="en-GB"/>
        </w:rPr>
      </w:pPr>
      <w:r w:rsidRPr="00522E7F">
        <w:rPr>
          <w:lang w:val="en-GB"/>
        </w:rPr>
        <w:t>b.</w:t>
      </w:r>
      <w:proofErr w:type="gramStart"/>
      <w:r w:rsidRPr="00522E7F">
        <w:rPr>
          <w:lang w:val="en-GB"/>
        </w:rPr>
        <w:t>  The</w:t>
      </w:r>
      <w:proofErr w:type="gramEnd"/>
      <w:r w:rsidRPr="00522E7F">
        <w:rPr>
          <w:lang w:val="en-GB"/>
        </w:rPr>
        <w:t xml:space="preserve"> Government</w:t>
      </w:r>
    </w:p>
    <w:p w:rsidRPr="00522E7F" w:rsidR="009A0CAA" w:rsidP="009A0CAA" w:rsidRDefault="002E2424">
      <w:pPr>
        <w:pStyle w:val="ECHRPara"/>
        <w:rPr>
          <w:lang w:val="en-GB"/>
        </w:rPr>
      </w:pPr>
      <w:r w:rsidRPr="00522E7F">
        <w:rPr>
          <w:lang w:val="en-GB"/>
        </w:rPr>
        <w:fldChar w:fldCharType="begin"/>
      </w:r>
      <w:r w:rsidRPr="00522E7F">
        <w:rPr>
          <w:lang w:val="en-GB"/>
        </w:rPr>
        <w:instrText xml:space="preserve"> SEQ level0 \*arabic </w:instrText>
      </w:r>
      <w:r w:rsidRPr="00522E7F">
        <w:rPr>
          <w:lang w:val="en-GB"/>
        </w:rPr>
        <w:fldChar w:fldCharType="separate"/>
      </w:r>
      <w:r w:rsidR="00F12B01">
        <w:rPr>
          <w:noProof/>
          <w:lang w:val="en-GB"/>
        </w:rPr>
        <w:t>28</w:t>
      </w:r>
      <w:r w:rsidRPr="00522E7F">
        <w:rPr>
          <w:lang w:val="en-GB"/>
        </w:rPr>
        <w:fldChar w:fldCharType="end"/>
      </w:r>
      <w:r w:rsidRPr="00522E7F" w:rsidR="00014566">
        <w:rPr>
          <w:lang w:val="en-GB"/>
        </w:rPr>
        <w:t xml:space="preserve">.  The Government </w:t>
      </w:r>
      <w:r w:rsidRPr="00522E7F" w:rsidR="005D1803">
        <w:rPr>
          <w:lang w:val="en-GB"/>
        </w:rPr>
        <w:t>submitted at the outset that the applicant</w:t>
      </w:r>
      <w:r w:rsidR="006011C5">
        <w:rPr>
          <w:lang w:val="en-GB"/>
        </w:rPr>
        <w:t>’</w:t>
      </w:r>
      <w:r w:rsidRPr="00522E7F" w:rsidR="005D1803">
        <w:rPr>
          <w:lang w:val="en-GB"/>
        </w:rPr>
        <w:t xml:space="preserve">s application for a new concession had been very succinct and not at all elaborated; in particular, it contained no relevant business plan. </w:t>
      </w:r>
      <w:r w:rsidRPr="00522E7F" w:rsidR="009A0CAA">
        <w:rPr>
          <w:lang w:val="en-GB"/>
        </w:rPr>
        <w:t xml:space="preserve">As a result, he had a very low score in the adjudication process. </w:t>
      </w:r>
      <w:r w:rsidRPr="00522E7F" w:rsidR="005D1803">
        <w:rPr>
          <w:lang w:val="en-GB"/>
        </w:rPr>
        <w:t xml:space="preserve">In any case, he could not complain about not acquiring a new concession, since this would imply </w:t>
      </w:r>
      <w:r w:rsidRPr="00522E7F" w:rsidR="009A0CAA">
        <w:rPr>
          <w:lang w:val="en-GB"/>
        </w:rPr>
        <w:t>the – non-existent</w:t>
      </w:r>
      <w:r w:rsidRPr="00522E7F" w:rsidR="005D1803">
        <w:rPr>
          <w:lang w:val="en-GB"/>
        </w:rPr>
        <w:t xml:space="preserve"> </w:t>
      </w:r>
      <w:r w:rsidRPr="00522E7F" w:rsidR="009A0CAA">
        <w:rPr>
          <w:lang w:val="en-GB"/>
        </w:rPr>
        <w:t xml:space="preserve">– </w:t>
      </w:r>
      <w:r w:rsidRPr="00522E7F" w:rsidR="005D1803">
        <w:rPr>
          <w:lang w:val="en-GB"/>
        </w:rPr>
        <w:t xml:space="preserve">right to acquire a property. </w:t>
      </w:r>
      <w:r w:rsidRPr="00522E7F" w:rsidR="009A0CAA">
        <w:rPr>
          <w:lang w:val="en-GB"/>
        </w:rPr>
        <w:t>The Government further doubted that the applicant had had a legitimate expectation to obtain a new concession. In their view, he could legitimately expect nothing more than an appropriate transitory period to adjust to the new situation, which was available.</w:t>
      </w:r>
    </w:p>
    <w:p w:rsidRPr="00522E7F" w:rsidR="005D1803" w:rsidP="00C621C2" w:rsidRDefault="005D1803">
      <w:pPr>
        <w:pStyle w:val="ECHRPara"/>
        <w:rPr>
          <w:lang w:val="en-GB"/>
        </w:rPr>
      </w:pPr>
      <w:r w:rsidRPr="00522E7F">
        <w:rPr>
          <w:lang w:val="en-GB"/>
        </w:rPr>
        <w:t>In the Government</w:t>
      </w:r>
      <w:r w:rsidR="006011C5">
        <w:rPr>
          <w:lang w:val="en-GB"/>
        </w:rPr>
        <w:t>’</w:t>
      </w:r>
      <w:r w:rsidRPr="00522E7F">
        <w:rPr>
          <w:lang w:val="en-GB"/>
        </w:rPr>
        <w:t>s submission</w:t>
      </w:r>
      <w:r w:rsidRPr="00522E7F" w:rsidR="009A0CAA">
        <w:rPr>
          <w:lang w:val="en-GB"/>
        </w:rPr>
        <w:t>s</w:t>
      </w:r>
      <w:r w:rsidRPr="00522E7F">
        <w:rPr>
          <w:lang w:val="en-GB"/>
        </w:rPr>
        <w:t xml:space="preserve">, the </w:t>
      </w:r>
      <w:r w:rsidRPr="00522E7F" w:rsidR="009A0CAA">
        <w:rPr>
          <w:lang w:val="en-GB"/>
        </w:rPr>
        <w:t xml:space="preserve">legislative </w:t>
      </w:r>
      <w:r w:rsidRPr="00522E7F">
        <w:rPr>
          <w:lang w:val="en-GB"/>
        </w:rPr>
        <w:t>measure</w:t>
      </w:r>
      <w:r w:rsidRPr="00522E7F" w:rsidR="009A0CAA">
        <w:rPr>
          <w:lang w:val="en-GB"/>
        </w:rPr>
        <w:t>s</w:t>
      </w:r>
      <w:r w:rsidRPr="00522E7F">
        <w:rPr>
          <w:lang w:val="en-GB"/>
        </w:rPr>
        <w:t xml:space="preserve"> complained of </w:t>
      </w:r>
      <w:r w:rsidRPr="00522E7F" w:rsidR="009A0CAA">
        <w:rPr>
          <w:lang w:val="en-GB"/>
        </w:rPr>
        <w:t>were</w:t>
      </w:r>
      <w:r w:rsidRPr="00522E7F">
        <w:rPr>
          <w:lang w:val="en-GB"/>
        </w:rPr>
        <w:t xml:space="preserve"> no more than</w:t>
      </w:r>
      <w:r w:rsidRPr="00522E7F" w:rsidR="00DF5B6A">
        <w:rPr>
          <w:lang w:val="en-GB"/>
        </w:rPr>
        <w:t xml:space="preserve"> a</w:t>
      </w:r>
      <w:r w:rsidRPr="00522E7F">
        <w:rPr>
          <w:lang w:val="en-GB"/>
        </w:rPr>
        <w:t xml:space="preserve"> control of</w:t>
      </w:r>
      <w:r w:rsidRPr="00522E7F" w:rsidR="00DF5B6A">
        <w:rPr>
          <w:lang w:val="en-GB"/>
        </w:rPr>
        <w:t xml:space="preserve"> the</w:t>
      </w:r>
      <w:r w:rsidRPr="00522E7F">
        <w:rPr>
          <w:lang w:val="en-GB"/>
        </w:rPr>
        <w:t xml:space="preserve"> use of property in that the applicant had not been deprived of his business; and only the scope of activities available to him had been restricted.</w:t>
      </w:r>
      <w:r w:rsidRPr="00522E7F" w:rsidR="009A0CAA">
        <w:rPr>
          <w:lang w:val="en-GB"/>
        </w:rPr>
        <w:t xml:space="preserve"> The previous licence had enabled </w:t>
      </w:r>
      <w:r w:rsidRPr="00522E7F" w:rsidR="00D47B81">
        <w:rPr>
          <w:lang w:val="en-GB"/>
        </w:rPr>
        <w:t>the</w:t>
      </w:r>
      <w:r w:rsidRPr="00522E7F" w:rsidR="009A0CAA">
        <w:rPr>
          <w:lang w:val="en-GB"/>
        </w:rPr>
        <w:t xml:space="preserve"> applicant to sell tobacco products in his general grocery; however, under the new law, such stores could no longer sell tobacco; consequently, the applicant</w:t>
      </w:r>
      <w:r w:rsidR="006011C5">
        <w:rPr>
          <w:lang w:val="en-GB"/>
        </w:rPr>
        <w:t>’</w:t>
      </w:r>
      <w:r w:rsidRPr="00522E7F" w:rsidR="009A0CAA">
        <w:rPr>
          <w:lang w:val="en-GB"/>
        </w:rPr>
        <w:t>s previous licence had simply become obsolete and its loss could not be seen as a deprivation of property. He had not suffered any actual damage, apart from losing the entitlement for the future.</w:t>
      </w:r>
    </w:p>
    <w:p w:rsidRPr="00522E7F" w:rsidR="005D1803" w:rsidP="00C621C2" w:rsidRDefault="005D1803">
      <w:pPr>
        <w:pStyle w:val="ECHRPara"/>
        <w:rPr>
          <w:lang w:val="en-GB"/>
        </w:rPr>
      </w:pPr>
      <w:r w:rsidRPr="00522E7F">
        <w:rPr>
          <w:lang w:val="en-GB"/>
        </w:rPr>
        <w:t>The measure in question had aimed, by reducing the number of sales points of tobacco retail, to combat underage smoking and improve society</w:t>
      </w:r>
      <w:r w:rsidR="006011C5">
        <w:rPr>
          <w:lang w:val="en-GB"/>
        </w:rPr>
        <w:t>’</w:t>
      </w:r>
      <w:r w:rsidRPr="00522E7F">
        <w:rPr>
          <w:lang w:val="en-GB"/>
        </w:rPr>
        <w:t>s health status. Other Member States of the Council of Europe had introduced similar measures. The State monopoly that had been created in the field of tobacco retail belongs within the State</w:t>
      </w:r>
      <w:r w:rsidR="006011C5">
        <w:rPr>
          <w:lang w:val="en-GB"/>
        </w:rPr>
        <w:t>’</w:t>
      </w:r>
      <w:r w:rsidRPr="00522E7F">
        <w:rPr>
          <w:lang w:val="en-GB"/>
        </w:rPr>
        <w:t>s wide margin of appreciation in this field.</w:t>
      </w:r>
    </w:p>
    <w:p w:rsidRPr="00522E7F" w:rsidR="009A0CAA" w:rsidP="00C621C2" w:rsidRDefault="009A0CAA">
      <w:pPr>
        <w:pStyle w:val="ECHRPara"/>
        <w:rPr>
          <w:lang w:val="en-GB"/>
        </w:rPr>
      </w:pPr>
      <w:r w:rsidRPr="00522E7F">
        <w:rPr>
          <w:lang w:val="en-GB"/>
        </w:rPr>
        <w:t>Lastly, the Government argued that the applicant had not had to suffer an excessive individual burden, because only the scope of his business had been reduced. Such control of use of property did not entail an automatic obligation on the State</w:t>
      </w:r>
      <w:r w:rsidR="006011C5">
        <w:rPr>
          <w:lang w:val="en-GB"/>
        </w:rPr>
        <w:t>’</w:t>
      </w:r>
      <w:r w:rsidRPr="00522E7F">
        <w:rPr>
          <w:lang w:val="en-GB"/>
        </w:rPr>
        <w:t xml:space="preserve">s side to provide compensation (cf. </w:t>
      </w:r>
      <w:r w:rsidRPr="00522E7F">
        <w:rPr>
          <w:i/>
          <w:szCs w:val="24"/>
          <w:lang w:val="en-GB"/>
        </w:rPr>
        <w:t xml:space="preserve">J.A. </w:t>
      </w:r>
      <w:proofErr w:type="spellStart"/>
      <w:r w:rsidRPr="00522E7F">
        <w:rPr>
          <w:i/>
          <w:szCs w:val="24"/>
          <w:lang w:val="en-GB"/>
        </w:rPr>
        <w:t>Pye</w:t>
      </w:r>
      <w:proofErr w:type="spellEnd"/>
      <w:r w:rsidRPr="00522E7F">
        <w:rPr>
          <w:i/>
          <w:szCs w:val="24"/>
          <w:lang w:val="en-GB"/>
        </w:rPr>
        <w:t xml:space="preserve"> (Oxford) Ltd and J.A. </w:t>
      </w:r>
      <w:proofErr w:type="spellStart"/>
      <w:r w:rsidRPr="00522E7F">
        <w:rPr>
          <w:i/>
          <w:szCs w:val="24"/>
          <w:lang w:val="en-GB"/>
        </w:rPr>
        <w:t>Pye</w:t>
      </w:r>
      <w:proofErr w:type="spellEnd"/>
      <w:r w:rsidRPr="00522E7F">
        <w:rPr>
          <w:i/>
          <w:szCs w:val="24"/>
          <w:lang w:val="en-GB"/>
        </w:rPr>
        <w:t xml:space="preserve"> (Oxford) Land Ltd v. the United Kingdom</w:t>
      </w:r>
      <w:r w:rsidRPr="00522E7F">
        <w:rPr>
          <w:szCs w:val="24"/>
          <w:lang w:val="en-GB"/>
        </w:rPr>
        <w:t xml:space="preserve"> [GC], no. 44302/02, § 79, </w:t>
      </w:r>
      <w:r w:rsidRPr="00522E7F">
        <w:rPr>
          <w:lang w:val="en-GB"/>
        </w:rPr>
        <w:t>ECHR 2007</w:t>
      </w:r>
      <w:r w:rsidRPr="00522E7F">
        <w:rPr>
          <w:lang w:val="en-GB"/>
        </w:rPr>
        <w:noBreakHyphen/>
        <w:t>III).</w:t>
      </w:r>
    </w:p>
    <w:p w:rsidRPr="00522E7F" w:rsidR="00AB2CDE" w:rsidP="00AB2CDE" w:rsidRDefault="00AB2CDE">
      <w:pPr>
        <w:pStyle w:val="ECHRHeading3"/>
        <w:rPr>
          <w:lang w:val="en-GB"/>
        </w:rPr>
      </w:pPr>
      <w:r w:rsidRPr="00522E7F">
        <w:rPr>
          <w:lang w:val="en-GB"/>
        </w:rPr>
        <w:t>2.  The Court</w:t>
      </w:r>
      <w:r w:rsidR="006011C5">
        <w:rPr>
          <w:lang w:val="en-GB"/>
        </w:rPr>
        <w:t>’</w:t>
      </w:r>
      <w:r w:rsidRPr="00522E7F">
        <w:rPr>
          <w:lang w:val="en-GB"/>
        </w:rPr>
        <w:t>s assessment</w:t>
      </w:r>
    </w:p>
    <w:p w:rsidRPr="00522E7F" w:rsidR="00AB2CDE" w:rsidP="00AB2CDE" w:rsidRDefault="00AB2CDE">
      <w:pPr>
        <w:pStyle w:val="ECHRHeading4"/>
        <w:rPr>
          <w:lang w:val="en-GB"/>
        </w:rPr>
      </w:pPr>
      <w:r w:rsidRPr="00522E7F">
        <w:rPr>
          <w:lang w:val="en-GB"/>
        </w:rPr>
        <w:t>a.</w:t>
      </w:r>
      <w:proofErr w:type="gramStart"/>
      <w:r w:rsidRPr="00522E7F">
        <w:rPr>
          <w:lang w:val="en-GB"/>
        </w:rPr>
        <w:t>  Interference</w:t>
      </w:r>
      <w:proofErr w:type="gramEnd"/>
    </w:p>
    <w:p w:rsidRPr="00522E7F" w:rsidR="0024276C" w:rsidP="00C621C2" w:rsidRDefault="002E2424">
      <w:pPr>
        <w:pStyle w:val="ECHRPara"/>
        <w:rPr>
          <w:szCs w:val="24"/>
          <w:lang w:val="en-GB"/>
        </w:rPr>
      </w:pPr>
      <w:r w:rsidRPr="00522E7F">
        <w:rPr>
          <w:lang w:val="en-GB"/>
        </w:rPr>
        <w:fldChar w:fldCharType="begin"/>
      </w:r>
      <w:r w:rsidRPr="00522E7F">
        <w:rPr>
          <w:lang w:val="en-GB"/>
        </w:rPr>
        <w:instrText xml:space="preserve"> SEQ level0 \*arabic </w:instrText>
      </w:r>
      <w:r w:rsidRPr="00522E7F">
        <w:rPr>
          <w:lang w:val="en-GB"/>
        </w:rPr>
        <w:fldChar w:fldCharType="separate"/>
      </w:r>
      <w:r w:rsidR="00F12B01">
        <w:rPr>
          <w:noProof/>
          <w:lang w:val="en-GB"/>
        </w:rPr>
        <w:t>29</w:t>
      </w:r>
      <w:r w:rsidRPr="00522E7F">
        <w:rPr>
          <w:lang w:val="en-GB"/>
        </w:rPr>
        <w:fldChar w:fldCharType="end"/>
      </w:r>
      <w:r w:rsidRPr="00522E7F" w:rsidR="00014566">
        <w:rPr>
          <w:lang w:val="en-GB"/>
        </w:rPr>
        <w:t xml:space="preserve">.  The Court </w:t>
      </w:r>
      <w:r w:rsidRPr="00522E7F" w:rsidR="00B00777">
        <w:rPr>
          <w:lang w:val="en-GB"/>
        </w:rPr>
        <w:t xml:space="preserve">observes at the outset that the subject matter of the present case is the statutory </w:t>
      </w:r>
      <w:r w:rsidRPr="00522E7F" w:rsidR="00DF5B6A">
        <w:rPr>
          <w:lang w:val="en-GB"/>
        </w:rPr>
        <w:t>cancellation</w:t>
      </w:r>
      <w:r w:rsidRPr="00522E7F" w:rsidR="00B00777">
        <w:rPr>
          <w:lang w:val="en-GB"/>
        </w:rPr>
        <w:t xml:space="preserve"> of the applicant</w:t>
      </w:r>
      <w:r w:rsidR="006011C5">
        <w:rPr>
          <w:lang w:val="en-GB"/>
        </w:rPr>
        <w:t>’</w:t>
      </w:r>
      <w:r w:rsidRPr="00522E7F" w:rsidR="00B00777">
        <w:rPr>
          <w:lang w:val="en-GB"/>
        </w:rPr>
        <w:t>s former licence to sell tobacco, instead of which he was not awarded another one in the tender procedure. For the Court, it is hardly conceivable not to regard this licence, once guaranteeing an important share of the applicant</w:t>
      </w:r>
      <w:r w:rsidR="006011C5">
        <w:rPr>
          <w:lang w:val="en-GB"/>
        </w:rPr>
        <w:t>’</w:t>
      </w:r>
      <w:r w:rsidRPr="00522E7F" w:rsidR="00B00777">
        <w:rPr>
          <w:lang w:val="en-GB"/>
        </w:rPr>
        <w:t xml:space="preserve">s turnover (see paragraph 6 above), as </w:t>
      </w:r>
      <w:r w:rsidRPr="00522E7F" w:rsidR="00DF5B6A">
        <w:rPr>
          <w:lang w:val="en-GB"/>
        </w:rPr>
        <w:t xml:space="preserve">a </w:t>
      </w:r>
      <w:r w:rsidRPr="00522E7F" w:rsidR="00B00777">
        <w:rPr>
          <w:lang w:val="en-GB"/>
        </w:rPr>
        <w:t>“possession” for the purposes</w:t>
      </w:r>
      <w:r w:rsidRPr="00522E7F" w:rsidR="000167B1">
        <w:rPr>
          <w:lang w:val="en-GB"/>
        </w:rPr>
        <w:t xml:space="preserve"> of Article 1 of Protocol No. 1</w:t>
      </w:r>
      <w:r w:rsidRPr="00522E7F" w:rsidR="00B00777">
        <w:rPr>
          <w:lang w:val="en-GB"/>
        </w:rPr>
        <w:t xml:space="preserve"> </w:t>
      </w:r>
      <w:r w:rsidRPr="00522E7F" w:rsidR="000167B1">
        <w:rPr>
          <w:lang w:val="en-GB"/>
        </w:rPr>
        <w:t xml:space="preserve">(see </w:t>
      </w:r>
      <w:r w:rsidRPr="00522E7F" w:rsidR="000167B1">
        <w:rPr>
          <w:i/>
          <w:lang w:val="en-GB"/>
        </w:rPr>
        <w:t>Cen</w:t>
      </w:r>
      <w:r w:rsidR="00732A90">
        <w:rPr>
          <w:i/>
          <w:lang w:val="en-GB"/>
        </w:rPr>
        <w:t>tro Europa 7 S.R.L. and Di Stef</w:t>
      </w:r>
      <w:r w:rsidRPr="00522E7F" w:rsidR="000167B1">
        <w:rPr>
          <w:i/>
          <w:lang w:val="en-GB"/>
        </w:rPr>
        <w:t>ano v. Italy</w:t>
      </w:r>
      <w:r w:rsidRPr="00522E7F" w:rsidR="000167B1">
        <w:rPr>
          <w:lang w:val="en-GB"/>
        </w:rPr>
        <w:t xml:space="preserve"> [GC], no. 38433/09, §</w:t>
      </w:r>
      <w:r w:rsidRPr="00522E7F" w:rsidR="00DF5B6A">
        <w:rPr>
          <w:lang w:val="en-GB"/>
        </w:rPr>
        <w:t>§</w:t>
      </w:r>
      <w:r w:rsidRPr="00522E7F" w:rsidR="000167B1">
        <w:rPr>
          <w:lang w:val="en-GB"/>
        </w:rPr>
        <w:t xml:space="preserve"> </w:t>
      </w:r>
      <w:r w:rsidRPr="00522E7F" w:rsidR="00DF5B6A">
        <w:rPr>
          <w:lang w:val="en-GB"/>
        </w:rPr>
        <w:t>177-</w:t>
      </w:r>
      <w:r w:rsidRPr="00522E7F" w:rsidR="000167B1">
        <w:rPr>
          <w:lang w:val="en-GB"/>
        </w:rPr>
        <w:t>17</w:t>
      </w:r>
      <w:r w:rsidRPr="00522E7F" w:rsidR="00DF5B6A">
        <w:rPr>
          <w:lang w:val="en-GB"/>
        </w:rPr>
        <w:t>8</w:t>
      </w:r>
      <w:r w:rsidRPr="00522E7F" w:rsidR="000167B1">
        <w:rPr>
          <w:lang w:val="en-GB"/>
        </w:rPr>
        <w:t xml:space="preserve">, </w:t>
      </w:r>
      <w:r w:rsidRPr="004A5B86" w:rsidR="000167B1">
        <w:rPr>
          <w:snapToGrid w:val="0"/>
        </w:rPr>
        <w:t>ECHR 2012</w:t>
      </w:r>
      <w:r w:rsidRPr="00522E7F" w:rsidR="000167B1">
        <w:rPr>
          <w:lang w:val="en-GB"/>
        </w:rPr>
        <w:t>). It further recalls that the withdrawal of a licence to carry on business activities amounts to</w:t>
      </w:r>
      <w:r w:rsidRPr="00522E7F" w:rsidR="00DF5B6A">
        <w:rPr>
          <w:lang w:val="en-GB"/>
        </w:rPr>
        <w:t xml:space="preserve"> an</w:t>
      </w:r>
      <w:r w:rsidRPr="00522E7F" w:rsidR="000167B1">
        <w:rPr>
          <w:lang w:val="en-GB"/>
        </w:rPr>
        <w:t xml:space="preserve"> interference with the right to peaceful enjoyment of possessions as enshrined in Article 1 of Protocol No. 1 (see </w:t>
      </w:r>
      <w:r w:rsidRPr="00522E7F" w:rsidR="000167B1">
        <w:rPr>
          <w:i/>
          <w:lang w:val="en-GB"/>
        </w:rPr>
        <w:t>Capital Bank AD v. Bulgaria</w:t>
      </w:r>
      <w:r w:rsidRPr="00522E7F" w:rsidR="000167B1">
        <w:rPr>
          <w:lang w:val="en-GB"/>
        </w:rPr>
        <w:t xml:space="preserve">, no. 49429/99, § 130, </w:t>
      </w:r>
      <w:r w:rsidRPr="00522E7F" w:rsidR="00BF4290">
        <w:rPr>
          <w:lang w:val="en-GB"/>
        </w:rPr>
        <w:t>ECHR 2005</w:t>
      </w:r>
      <w:r w:rsidRPr="00522E7F" w:rsidR="00BF4290">
        <w:rPr>
          <w:lang w:val="en-GB"/>
        </w:rPr>
        <w:noBreakHyphen/>
        <w:t>XII (extracts)</w:t>
      </w:r>
      <w:r w:rsidRPr="00522E7F" w:rsidR="000167B1">
        <w:rPr>
          <w:lang w:val="en-GB"/>
        </w:rPr>
        <w:t xml:space="preserve">; </w:t>
      </w:r>
      <w:proofErr w:type="spellStart"/>
      <w:r w:rsidRPr="00522E7F" w:rsidR="000167B1">
        <w:rPr>
          <w:i/>
          <w:lang w:val="en-GB"/>
        </w:rPr>
        <w:t>Rosenzweig</w:t>
      </w:r>
      <w:proofErr w:type="spellEnd"/>
      <w:r w:rsidRPr="00522E7F" w:rsidR="000167B1">
        <w:rPr>
          <w:i/>
          <w:lang w:val="en-GB"/>
        </w:rPr>
        <w:t xml:space="preserve"> and Bonded Warehouses Ltd v. Poland</w:t>
      </w:r>
      <w:r w:rsidRPr="00522E7F" w:rsidR="000167B1">
        <w:rPr>
          <w:lang w:val="en-GB"/>
        </w:rPr>
        <w:t>, no.</w:t>
      </w:r>
      <w:r w:rsidRPr="00522E7F" w:rsidR="00BF4290">
        <w:rPr>
          <w:lang w:val="en-GB"/>
        </w:rPr>
        <w:t> </w:t>
      </w:r>
      <w:r w:rsidRPr="00522E7F" w:rsidR="000167B1">
        <w:rPr>
          <w:lang w:val="en-GB"/>
        </w:rPr>
        <w:t xml:space="preserve">51728/99, § 49, 28 July 2005; and </w:t>
      </w:r>
      <w:proofErr w:type="spellStart"/>
      <w:r w:rsidRPr="00522E7F" w:rsidR="000167B1">
        <w:rPr>
          <w:i/>
          <w:lang w:val="en-GB"/>
        </w:rPr>
        <w:t>Bimer</w:t>
      </w:r>
      <w:proofErr w:type="spellEnd"/>
      <w:r w:rsidRPr="00522E7F" w:rsidR="000167B1">
        <w:rPr>
          <w:i/>
          <w:lang w:val="en-GB"/>
        </w:rPr>
        <w:t xml:space="preserve"> S.A. v. Moldova</w:t>
      </w:r>
      <w:r w:rsidRPr="00522E7F" w:rsidR="000167B1">
        <w:rPr>
          <w:lang w:val="en-GB"/>
        </w:rPr>
        <w:t xml:space="preserve">, no. 15084/03, § 49, 10 July 2007). </w:t>
      </w:r>
      <w:r w:rsidRPr="00522E7F" w:rsidR="00B00777">
        <w:rPr>
          <w:lang w:val="en-GB"/>
        </w:rPr>
        <w:t xml:space="preserve">Given the obvious economic interests connecting tobacco retail </w:t>
      </w:r>
      <w:r w:rsidRPr="00522E7F" w:rsidR="009536C4">
        <w:rPr>
          <w:lang w:val="en-GB"/>
        </w:rPr>
        <w:t>with</w:t>
      </w:r>
      <w:r w:rsidRPr="00522E7F" w:rsidR="00B00777">
        <w:rPr>
          <w:lang w:val="en-GB"/>
        </w:rPr>
        <w:t xml:space="preserve"> the applicant</w:t>
      </w:r>
      <w:r w:rsidR="006011C5">
        <w:rPr>
          <w:lang w:val="en-GB"/>
        </w:rPr>
        <w:t>’</w:t>
      </w:r>
      <w:r w:rsidRPr="00522E7F" w:rsidR="00B00777">
        <w:rPr>
          <w:lang w:val="en-GB"/>
        </w:rPr>
        <w:t xml:space="preserve">s business in general, the Court is satisfied that the statutory </w:t>
      </w:r>
      <w:r w:rsidRPr="00522E7F" w:rsidR="00DF5B6A">
        <w:rPr>
          <w:lang w:val="en-GB"/>
        </w:rPr>
        <w:t>remov</w:t>
      </w:r>
      <w:r w:rsidRPr="00522E7F" w:rsidR="00B00777">
        <w:rPr>
          <w:lang w:val="en-GB"/>
        </w:rPr>
        <w:t>al of the applicant</w:t>
      </w:r>
      <w:r w:rsidR="006011C5">
        <w:rPr>
          <w:lang w:val="en-GB"/>
        </w:rPr>
        <w:t>’</w:t>
      </w:r>
      <w:r w:rsidRPr="00522E7F" w:rsidR="00B00777">
        <w:rPr>
          <w:lang w:val="en-GB"/>
        </w:rPr>
        <w:t>s long-</w:t>
      </w:r>
      <w:r w:rsidRPr="00522E7F" w:rsidR="00DF5B6A">
        <w:rPr>
          <w:lang w:val="en-GB"/>
        </w:rPr>
        <w:t>standing</w:t>
      </w:r>
      <w:r w:rsidRPr="00522E7F" w:rsidR="00B00777">
        <w:rPr>
          <w:lang w:val="en-GB"/>
        </w:rPr>
        <w:t xml:space="preserve"> tobacco licence </w:t>
      </w:r>
      <w:r w:rsidRPr="00522E7F" w:rsidR="009536C4">
        <w:rPr>
          <w:lang w:val="en-GB"/>
        </w:rPr>
        <w:t xml:space="preserve">amounted to an interference with his rights under Article 1 of Protocol No. 1 (see </w:t>
      </w:r>
      <w:r w:rsidRPr="00522E7F" w:rsidR="00BF4290">
        <w:rPr>
          <w:lang w:val="en-GB"/>
        </w:rPr>
        <w:t xml:space="preserve">in particular </w:t>
      </w:r>
      <w:r w:rsidRPr="00522E7F" w:rsidR="009536C4">
        <w:rPr>
          <w:i/>
          <w:lang w:val="en-GB"/>
        </w:rPr>
        <w:t xml:space="preserve">Tre </w:t>
      </w:r>
      <w:proofErr w:type="spellStart"/>
      <w:r w:rsidRPr="00522E7F" w:rsidR="009536C4">
        <w:rPr>
          <w:i/>
          <w:lang w:val="en-GB"/>
        </w:rPr>
        <w:t>Traktörer</w:t>
      </w:r>
      <w:proofErr w:type="spellEnd"/>
      <w:r w:rsidRPr="00522E7F" w:rsidR="009536C4">
        <w:rPr>
          <w:i/>
          <w:lang w:val="en-GB"/>
        </w:rPr>
        <w:t xml:space="preserve"> AB v. Sweden</w:t>
      </w:r>
      <w:r w:rsidRPr="00522E7F" w:rsidR="009536C4">
        <w:rPr>
          <w:lang w:val="en-GB"/>
        </w:rPr>
        <w:t>, 7 July 1989, § 53, Series A no. 159</w:t>
      </w:r>
      <w:r w:rsidRPr="00522E7F" w:rsidR="00D57ADD">
        <w:rPr>
          <w:lang w:val="en-GB"/>
        </w:rPr>
        <w:t>), and this notwithstanding the harmful consequences of smoking as facilitated by tobacco retail.</w:t>
      </w:r>
    </w:p>
    <w:p w:rsidRPr="00522E7F" w:rsidR="00014566" w:rsidP="00C621C2" w:rsidRDefault="009536C4">
      <w:pPr>
        <w:pStyle w:val="ECHRPara"/>
        <w:rPr>
          <w:lang w:val="en-GB"/>
        </w:rPr>
      </w:pPr>
      <w:r w:rsidRPr="00522E7F">
        <w:rPr>
          <w:lang w:val="en-GB"/>
        </w:rPr>
        <w:t>In the light of this finding, the Government</w:t>
      </w:r>
      <w:r w:rsidR="006011C5">
        <w:rPr>
          <w:lang w:val="en-GB"/>
        </w:rPr>
        <w:t>’</w:t>
      </w:r>
      <w:r w:rsidRPr="00522E7F">
        <w:rPr>
          <w:lang w:val="en-GB"/>
        </w:rPr>
        <w:t xml:space="preserve">s preliminary objection suggesting incompatibility </w:t>
      </w:r>
      <w:proofErr w:type="spellStart"/>
      <w:r w:rsidRPr="00522E7F">
        <w:rPr>
          <w:i/>
          <w:lang w:val="en-GB"/>
        </w:rPr>
        <w:t>ratione</w:t>
      </w:r>
      <w:proofErr w:type="spellEnd"/>
      <w:r w:rsidRPr="00522E7F">
        <w:rPr>
          <w:i/>
          <w:lang w:val="en-GB"/>
        </w:rPr>
        <w:t xml:space="preserve"> </w:t>
      </w:r>
      <w:proofErr w:type="spellStart"/>
      <w:r w:rsidRPr="00522E7F">
        <w:rPr>
          <w:i/>
          <w:lang w:val="en-GB"/>
        </w:rPr>
        <w:t>materiae</w:t>
      </w:r>
      <w:proofErr w:type="spellEnd"/>
      <w:r w:rsidRPr="00522E7F">
        <w:rPr>
          <w:lang w:val="en-GB"/>
        </w:rPr>
        <w:t xml:space="preserve"> must be dismissed.</w:t>
      </w:r>
    </w:p>
    <w:p w:rsidRPr="00522E7F" w:rsidR="00AB2CDE" w:rsidP="00AB2CDE" w:rsidRDefault="00AB2CDE">
      <w:pPr>
        <w:pStyle w:val="ECHRPara"/>
        <w:rPr>
          <w:i/>
          <w:lang w:val="en-GB"/>
        </w:rPr>
      </w:pPr>
      <w:r w:rsidRPr="00522E7F">
        <w:rPr>
          <w:lang w:val="en-GB"/>
        </w:rPr>
        <w:fldChar w:fldCharType="begin"/>
      </w:r>
      <w:r w:rsidRPr="00522E7F">
        <w:rPr>
          <w:lang w:val="en-GB"/>
        </w:rPr>
        <w:instrText xml:space="preserve"> SEQ level0 \*arabic </w:instrText>
      </w:r>
      <w:r w:rsidRPr="00522E7F">
        <w:rPr>
          <w:lang w:val="en-GB"/>
        </w:rPr>
        <w:fldChar w:fldCharType="separate"/>
      </w:r>
      <w:r w:rsidR="00F12B01">
        <w:rPr>
          <w:noProof/>
          <w:lang w:val="en-GB"/>
        </w:rPr>
        <w:t>30</w:t>
      </w:r>
      <w:r w:rsidRPr="00522E7F">
        <w:rPr>
          <w:lang w:val="en-GB"/>
        </w:rPr>
        <w:fldChar w:fldCharType="end"/>
      </w:r>
      <w:r w:rsidRPr="00522E7F">
        <w:rPr>
          <w:lang w:val="en-GB"/>
        </w:rPr>
        <w:t xml:space="preserve">.  The Court finds that the </w:t>
      </w:r>
      <w:r w:rsidRPr="00522E7F" w:rsidR="00DF5B6A">
        <w:rPr>
          <w:lang w:val="en-GB"/>
        </w:rPr>
        <w:t xml:space="preserve">cancellation and </w:t>
      </w:r>
      <w:r w:rsidRPr="00522E7F">
        <w:rPr>
          <w:lang w:val="en-GB"/>
        </w:rPr>
        <w:t>non-renewal of the applicant</w:t>
      </w:r>
      <w:r w:rsidR="006011C5">
        <w:rPr>
          <w:lang w:val="en-GB"/>
        </w:rPr>
        <w:t>’</w:t>
      </w:r>
      <w:r w:rsidRPr="00522E7F">
        <w:rPr>
          <w:lang w:val="en-GB"/>
        </w:rPr>
        <w:t>s tobacco licence constituted a measure of control of the use of property, which falls to be considered under the second paragraph of Article</w:t>
      </w:r>
      <w:r w:rsidR="002B4B75">
        <w:rPr>
          <w:lang w:val="en-GB"/>
        </w:rPr>
        <w:t> </w:t>
      </w:r>
      <w:r w:rsidRPr="00522E7F">
        <w:rPr>
          <w:lang w:val="en-GB"/>
        </w:rPr>
        <w:t xml:space="preserve">1 of Protocol No. 1 (cf. </w:t>
      </w:r>
      <w:r w:rsidRPr="00522E7F">
        <w:rPr>
          <w:i/>
          <w:lang w:val="en-GB"/>
        </w:rPr>
        <w:t xml:space="preserve">Tre </w:t>
      </w:r>
      <w:proofErr w:type="spellStart"/>
      <w:r w:rsidRPr="00522E7F">
        <w:rPr>
          <w:i/>
          <w:lang w:val="en-GB"/>
        </w:rPr>
        <w:t>Traktörer</w:t>
      </w:r>
      <w:proofErr w:type="spellEnd"/>
      <w:r w:rsidRPr="00522E7F">
        <w:rPr>
          <w:lang w:val="en-GB"/>
        </w:rPr>
        <w:t>, cited above, § 55</w:t>
      </w:r>
      <w:r w:rsidRPr="00522E7F" w:rsidR="00BF4290">
        <w:rPr>
          <w:lang w:val="en-GB"/>
        </w:rPr>
        <w:t xml:space="preserve">; </w:t>
      </w:r>
      <w:r w:rsidRPr="004A5B86" w:rsidR="00BF4290">
        <w:rPr>
          <w:i/>
        </w:rPr>
        <w:t>Megadat.com SRL v. Moldova</w:t>
      </w:r>
      <w:r w:rsidRPr="004A5B86" w:rsidR="00BF4290">
        <w:t>, no. 21151/04, § 65, ECHR 2008</w:t>
      </w:r>
      <w:r w:rsidRPr="00522E7F" w:rsidR="00AB4F0A">
        <w:t xml:space="preserve">; see also </w:t>
      </w:r>
      <w:r w:rsidRPr="00522E7F" w:rsidR="00AB4F0A">
        <w:rPr>
          <w:i/>
          <w:lang w:val="en-GB"/>
        </w:rPr>
        <w:t>Malik v. the United Kingdom</w:t>
      </w:r>
      <w:r w:rsidRPr="00522E7F" w:rsidR="00AB4F0A">
        <w:rPr>
          <w:lang w:val="en-GB"/>
        </w:rPr>
        <w:t>, no. 23780/08</w:t>
      </w:r>
      <w:r w:rsidRPr="00522E7F" w:rsidR="00AB4F0A">
        <w:rPr>
          <w:snapToGrid w:val="0"/>
          <w:szCs w:val="24"/>
          <w:lang w:val="en-GB"/>
        </w:rPr>
        <w:t>, §§ 88-89, 13 March 2012).</w:t>
      </w:r>
    </w:p>
    <w:p w:rsidRPr="00522E7F" w:rsidR="00AB2CDE" w:rsidP="00AB2CDE" w:rsidRDefault="00AB2CDE">
      <w:pPr>
        <w:pStyle w:val="ECHRHeading4"/>
        <w:rPr>
          <w:lang w:val="en-GB"/>
        </w:rPr>
      </w:pPr>
      <w:r w:rsidRPr="00522E7F">
        <w:rPr>
          <w:lang w:val="en-GB"/>
        </w:rPr>
        <w:t>b</w:t>
      </w:r>
      <w:r w:rsidRPr="00522E7F" w:rsidR="007C4208">
        <w:rPr>
          <w:lang w:val="en-GB"/>
        </w:rPr>
        <w:t>.</w:t>
      </w:r>
      <w:proofErr w:type="gramStart"/>
      <w:r w:rsidRPr="00522E7F" w:rsidR="007C4208">
        <w:rPr>
          <w:lang w:val="en-GB"/>
        </w:rPr>
        <w:t>  </w:t>
      </w:r>
      <w:r w:rsidRPr="00522E7F">
        <w:rPr>
          <w:lang w:val="en-GB"/>
        </w:rPr>
        <w:t>Compliance</w:t>
      </w:r>
      <w:proofErr w:type="gramEnd"/>
      <w:r w:rsidRPr="00522E7F">
        <w:rPr>
          <w:lang w:val="en-GB"/>
        </w:rPr>
        <w:t xml:space="preserve"> with the requirements of the second paragraph</w:t>
      </w:r>
    </w:p>
    <w:p w:rsidRPr="00522E7F" w:rsidR="00AB2CDE" w:rsidP="00AB2CDE" w:rsidRDefault="00AB2CDE">
      <w:pPr>
        <w:pStyle w:val="ECHRHeading5"/>
        <w:rPr>
          <w:lang w:val="en-GB"/>
        </w:rPr>
      </w:pPr>
      <w:proofErr w:type="spellStart"/>
      <w:r w:rsidRPr="00522E7F">
        <w:rPr>
          <w:lang w:val="en-GB"/>
        </w:rPr>
        <w:t>i</w:t>
      </w:r>
      <w:proofErr w:type="spellEnd"/>
      <w:r w:rsidRPr="00522E7F">
        <w:rPr>
          <w:lang w:val="en-GB"/>
        </w:rPr>
        <w:t>.</w:t>
      </w:r>
      <w:proofErr w:type="gramStart"/>
      <w:r w:rsidRPr="00522E7F">
        <w:rPr>
          <w:lang w:val="en-GB"/>
        </w:rPr>
        <w:t>  Lawfulness</w:t>
      </w:r>
      <w:proofErr w:type="gramEnd"/>
      <w:r w:rsidRPr="00522E7F">
        <w:rPr>
          <w:lang w:val="en-GB"/>
        </w:rPr>
        <w:t xml:space="preserve"> and purpose of the interference</w:t>
      </w:r>
    </w:p>
    <w:p w:rsidRPr="00522E7F" w:rsidR="00014566" w:rsidP="00C621C2" w:rsidRDefault="002E2424">
      <w:pPr>
        <w:pStyle w:val="ECHRPara"/>
        <w:rPr>
          <w:lang w:val="en-GB"/>
        </w:rPr>
      </w:pPr>
      <w:r w:rsidRPr="0006378C">
        <w:rPr>
          <w:lang w:val="en-GB"/>
        </w:rPr>
        <w:fldChar w:fldCharType="begin"/>
      </w:r>
      <w:r w:rsidRPr="0006378C">
        <w:rPr>
          <w:lang w:val="en-GB"/>
        </w:rPr>
        <w:instrText xml:space="preserve"> SEQ level0 \*arabic </w:instrText>
      </w:r>
      <w:r w:rsidRPr="0006378C">
        <w:rPr>
          <w:lang w:val="en-GB"/>
        </w:rPr>
        <w:fldChar w:fldCharType="separate"/>
      </w:r>
      <w:r w:rsidR="00F12B01">
        <w:rPr>
          <w:noProof/>
          <w:lang w:val="en-GB"/>
        </w:rPr>
        <w:t>31</w:t>
      </w:r>
      <w:r w:rsidRPr="0006378C">
        <w:rPr>
          <w:lang w:val="en-GB"/>
        </w:rPr>
        <w:fldChar w:fldCharType="end"/>
      </w:r>
      <w:r w:rsidRPr="0006378C" w:rsidR="00014566">
        <w:rPr>
          <w:lang w:val="en-GB"/>
        </w:rPr>
        <w:t xml:space="preserve">.  The Court </w:t>
      </w:r>
      <w:r w:rsidRPr="0006378C" w:rsidR="00AB2CDE">
        <w:rPr>
          <w:lang w:val="en-GB"/>
        </w:rPr>
        <w:t>notes the parties</w:t>
      </w:r>
      <w:r w:rsidR="006011C5">
        <w:rPr>
          <w:lang w:val="en-GB"/>
        </w:rPr>
        <w:t>’</w:t>
      </w:r>
      <w:r w:rsidRPr="0006378C" w:rsidR="00AB2CDE">
        <w:rPr>
          <w:lang w:val="en-GB"/>
        </w:rPr>
        <w:t xml:space="preserve"> partly diverging positions about the lawfulness and the purpose of the interference. </w:t>
      </w:r>
      <w:r w:rsidRPr="0006378C" w:rsidR="00226872">
        <w:rPr>
          <w:lang w:val="en-GB"/>
        </w:rPr>
        <w:t>For its part, it does not call into question the Government</w:t>
      </w:r>
      <w:r w:rsidR="006011C5">
        <w:rPr>
          <w:lang w:val="en-GB"/>
        </w:rPr>
        <w:t>’</w:t>
      </w:r>
      <w:r w:rsidRPr="0006378C" w:rsidR="00226872">
        <w:rPr>
          <w:lang w:val="en-GB"/>
        </w:rPr>
        <w:t xml:space="preserve">s position according to which the measure serves the purpose of combatting underage smoking, an aim being in accordance with the general interest. However, </w:t>
      </w:r>
      <w:r w:rsidRPr="0006378C" w:rsidR="00AB2CDE">
        <w:rPr>
          <w:lang w:val="en-GB"/>
        </w:rPr>
        <w:t xml:space="preserve">it considers that it is not necessary to embark on a closer scrutiny of </w:t>
      </w:r>
      <w:r w:rsidRPr="0006378C" w:rsidR="00226872">
        <w:rPr>
          <w:lang w:val="en-GB"/>
        </w:rPr>
        <w:t>the lawfulness of the measure, since e</w:t>
      </w:r>
      <w:r w:rsidRPr="0006378C" w:rsidR="00AB2CDE">
        <w:rPr>
          <w:lang w:val="en-GB"/>
        </w:rPr>
        <w:t>ven assuming th</w:t>
      </w:r>
      <w:r w:rsidRPr="0006378C" w:rsidR="00226872">
        <w:rPr>
          <w:lang w:val="en-GB"/>
        </w:rPr>
        <w:t>at the interference</w:t>
      </w:r>
      <w:r w:rsidRPr="0006378C" w:rsidR="00657297">
        <w:rPr>
          <w:lang w:val="en-GB"/>
        </w:rPr>
        <w:t xml:space="preserve"> is “lawful”</w:t>
      </w:r>
      <w:r w:rsidRPr="0006378C" w:rsidR="00226872">
        <w:rPr>
          <w:lang w:val="en-GB"/>
        </w:rPr>
        <w:t xml:space="preserve">, </w:t>
      </w:r>
      <w:r w:rsidRPr="0006378C" w:rsidR="00AB2CDE">
        <w:rPr>
          <w:lang w:val="en-GB"/>
        </w:rPr>
        <w:t xml:space="preserve">the </w:t>
      </w:r>
      <w:r w:rsidRPr="0006378C" w:rsidR="006A15BC">
        <w:rPr>
          <w:lang w:val="en-GB"/>
        </w:rPr>
        <w:t>circumstances</w:t>
      </w:r>
      <w:r w:rsidRPr="0006378C" w:rsidR="00AB2CDE">
        <w:rPr>
          <w:lang w:val="en-GB"/>
        </w:rPr>
        <w:t xml:space="preserve"> of the case disclose a violation of the applicant</w:t>
      </w:r>
      <w:r w:rsidR="006011C5">
        <w:rPr>
          <w:lang w:val="en-GB"/>
        </w:rPr>
        <w:t>’</w:t>
      </w:r>
      <w:r w:rsidRPr="0006378C" w:rsidR="00AB2CDE">
        <w:rPr>
          <w:lang w:val="en-GB"/>
        </w:rPr>
        <w:t xml:space="preserve">s rights under Article 1 of </w:t>
      </w:r>
      <w:r w:rsidRPr="0006378C" w:rsidR="006A15BC">
        <w:rPr>
          <w:lang w:val="en-GB"/>
        </w:rPr>
        <w:t>Protocol</w:t>
      </w:r>
      <w:r w:rsidRPr="0006378C" w:rsidR="00AB2CDE">
        <w:rPr>
          <w:lang w:val="en-GB"/>
        </w:rPr>
        <w:t xml:space="preserve"> No. 1 for the</w:t>
      </w:r>
      <w:r w:rsidRPr="0006378C" w:rsidR="006A15BC">
        <w:rPr>
          <w:lang w:val="en-GB"/>
        </w:rPr>
        <w:t xml:space="preserve"> reasons</w:t>
      </w:r>
      <w:r w:rsidRPr="0006378C" w:rsidR="00AB2CDE">
        <w:rPr>
          <w:lang w:val="en-GB"/>
        </w:rPr>
        <w:t xml:space="preserve"> set </w:t>
      </w:r>
      <w:r w:rsidRPr="0006378C" w:rsidR="006A15BC">
        <w:rPr>
          <w:lang w:val="en-GB"/>
        </w:rPr>
        <w:t>out</w:t>
      </w:r>
      <w:r w:rsidRPr="0006378C" w:rsidR="00AB2CDE">
        <w:rPr>
          <w:lang w:val="en-GB"/>
        </w:rPr>
        <w:t xml:space="preserve"> below</w:t>
      </w:r>
      <w:r w:rsidRPr="0006378C" w:rsidR="007C4208">
        <w:rPr>
          <w:lang w:val="en-GB"/>
        </w:rPr>
        <w:t xml:space="preserve">, in the paragraphs addressing the issue of proportionality (see paragraphs </w:t>
      </w:r>
      <w:r w:rsidRPr="0006378C" w:rsidR="00844897">
        <w:rPr>
          <w:lang w:val="en-GB"/>
        </w:rPr>
        <w:t>3</w:t>
      </w:r>
      <w:r w:rsidRPr="0006378C" w:rsidR="007F3D63">
        <w:rPr>
          <w:lang w:val="en-GB"/>
        </w:rPr>
        <w:t>2</w:t>
      </w:r>
      <w:r w:rsidRPr="0006378C" w:rsidR="00E97764">
        <w:rPr>
          <w:lang w:val="en-GB"/>
        </w:rPr>
        <w:t xml:space="preserve"> to 3</w:t>
      </w:r>
      <w:r w:rsidRPr="0006378C" w:rsidR="007F3D63">
        <w:rPr>
          <w:lang w:val="en-GB"/>
        </w:rPr>
        <w:t>6</w:t>
      </w:r>
      <w:r w:rsidRPr="0006378C" w:rsidR="007C4208">
        <w:rPr>
          <w:lang w:val="en-GB"/>
        </w:rPr>
        <w:t xml:space="preserve"> below)</w:t>
      </w:r>
      <w:r w:rsidRPr="0006378C" w:rsidR="00AB2CDE">
        <w:rPr>
          <w:lang w:val="en-GB"/>
        </w:rPr>
        <w:t>.</w:t>
      </w:r>
    </w:p>
    <w:p w:rsidRPr="00522E7F" w:rsidR="002C2ED4" w:rsidP="002C2ED4" w:rsidRDefault="002C2ED4">
      <w:pPr>
        <w:pStyle w:val="ECHRHeading5"/>
        <w:rPr>
          <w:lang w:val="en-GB"/>
        </w:rPr>
      </w:pPr>
      <w:r w:rsidRPr="00522E7F">
        <w:rPr>
          <w:lang w:val="en-GB"/>
        </w:rPr>
        <w:t>ii.</w:t>
      </w:r>
      <w:proofErr w:type="gramStart"/>
      <w:r w:rsidRPr="00522E7F">
        <w:rPr>
          <w:lang w:val="en-GB"/>
        </w:rPr>
        <w:t>  Proportionality</w:t>
      </w:r>
      <w:proofErr w:type="gramEnd"/>
      <w:r w:rsidRPr="00522E7F">
        <w:rPr>
          <w:lang w:val="en-GB"/>
        </w:rPr>
        <w:t xml:space="preserve"> of the interference</w:t>
      </w:r>
    </w:p>
    <w:p w:rsidRPr="00522E7F" w:rsidR="002C2ED4" w:rsidP="002C2ED4" w:rsidRDefault="002C2ED4">
      <w:pPr>
        <w:pStyle w:val="ECHRPara"/>
        <w:rPr>
          <w:lang w:val="en-GB"/>
        </w:rPr>
      </w:pPr>
      <w:r w:rsidRPr="00522E7F">
        <w:rPr>
          <w:lang w:val="en-GB"/>
        </w:rPr>
        <w:fldChar w:fldCharType="begin"/>
      </w:r>
      <w:r w:rsidRPr="00522E7F">
        <w:rPr>
          <w:lang w:val="en-GB"/>
        </w:rPr>
        <w:instrText xml:space="preserve"> SEQ level0 \*arabic </w:instrText>
      </w:r>
      <w:r w:rsidRPr="00522E7F">
        <w:rPr>
          <w:lang w:val="en-GB"/>
        </w:rPr>
        <w:fldChar w:fldCharType="separate"/>
      </w:r>
      <w:r w:rsidR="00F12B01">
        <w:rPr>
          <w:noProof/>
          <w:lang w:val="en-GB"/>
        </w:rPr>
        <w:t>32</w:t>
      </w:r>
      <w:r w:rsidRPr="00522E7F">
        <w:rPr>
          <w:lang w:val="en-GB"/>
        </w:rPr>
        <w:fldChar w:fldCharType="end"/>
      </w:r>
      <w:r w:rsidRPr="00522E7F">
        <w:rPr>
          <w:lang w:val="en-GB"/>
        </w:rPr>
        <w:t xml:space="preserve">.  As was pointed out in the </w:t>
      </w:r>
      <w:r w:rsidRPr="00522E7F">
        <w:rPr>
          <w:i/>
          <w:lang w:val="en-GB"/>
        </w:rPr>
        <w:t>James and Others v. the United Kingdom</w:t>
      </w:r>
      <w:r w:rsidRPr="00522E7F">
        <w:rPr>
          <w:lang w:val="en-GB"/>
        </w:rPr>
        <w:t xml:space="preserve"> judgment (21 February 1986, § 37, Series A no. 98), the second paragraph of Article 1 of the Protocol has to be construed in the light of the general principle set out in the first sentence of this Article. This sentence has been interpreted by the Court as including the requirement that a measure of interference should strike a “fair balance” between the demands of the general interest of the community and the requirements of the protection of the individual</w:t>
      </w:r>
      <w:r w:rsidR="006011C5">
        <w:rPr>
          <w:lang w:val="en-GB"/>
        </w:rPr>
        <w:t>’</w:t>
      </w:r>
      <w:r w:rsidRPr="00522E7F">
        <w:rPr>
          <w:lang w:val="en-GB"/>
        </w:rPr>
        <w:t xml:space="preserve">s fundamental rights (see, </w:t>
      </w:r>
      <w:r w:rsidRPr="00522E7F">
        <w:rPr>
          <w:i/>
          <w:lang w:val="en-GB"/>
        </w:rPr>
        <w:t>inter alia</w:t>
      </w:r>
      <w:r w:rsidRPr="00522E7F">
        <w:rPr>
          <w:lang w:val="en-GB"/>
        </w:rPr>
        <w:t xml:space="preserve">, </w:t>
      </w:r>
      <w:proofErr w:type="spellStart"/>
      <w:r w:rsidRPr="00522E7F">
        <w:rPr>
          <w:i/>
          <w:lang w:val="en-GB"/>
        </w:rPr>
        <w:t>Sporrong</w:t>
      </w:r>
      <w:proofErr w:type="spellEnd"/>
      <w:r w:rsidRPr="00522E7F">
        <w:rPr>
          <w:i/>
          <w:lang w:val="en-GB"/>
        </w:rPr>
        <w:t xml:space="preserve"> and </w:t>
      </w:r>
      <w:proofErr w:type="spellStart"/>
      <w:r w:rsidRPr="00522E7F">
        <w:rPr>
          <w:i/>
          <w:lang w:val="en-GB"/>
        </w:rPr>
        <w:t>Lönnroth</w:t>
      </w:r>
      <w:proofErr w:type="spellEnd"/>
      <w:r w:rsidRPr="00522E7F">
        <w:rPr>
          <w:i/>
          <w:lang w:val="en-GB"/>
        </w:rPr>
        <w:t xml:space="preserve"> v. Sweden</w:t>
      </w:r>
      <w:r w:rsidRPr="00522E7F">
        <w:rPr>
          <w:lang w:val="en-GB"/>
        </w:rPr>
        <w:t xml:space="preserve">, 23 September 1982, § 69, Series A no. 52). The search for this balance is reflected in the structure of Article 1 as a whole (ibid.) and hence also in the second paragraph. There must be a reasonable relationship of proportionality between the means employed and the aim sought to be realised (see </w:t>
      </w:r>
      <w:r w:rsidRPr="00522E7F">
        <w:rPr>
          <w:i/>
          <w:lang w:val="en-GB"/>
        </w:rPr>
        <w:t>James and Others</w:t>
      </w:r>
      <w:r w:rsidRPr="00522E7F">
        <w:rPr>
          <w:lang w:val="en-GB"/>
        </w:rPr>
        <w:t>, cited above, p. 34).</w:t>
      </w:r>
      <w:r w:rsidRPr="00522E7F" w:rsidR="00BF4290">
        <w:rPr>
          <w:lang w:val="en-GB"/>
        </w:rPr>
        <w:t xml:space="preserve"> A proper balance between the general interest and the individual</w:t>
      </w:r>
      <w:r w:rsidR="006011C5">
        <w:rPr>
          <w:lang w:val="en-GB"/>
        </w:rPr>
        <w:t>’</w:t>
      </w:r>
      <w:r w:rsidRPr="00522E7F" w:rsidR="00BF4290">
        <w:rPr>
          <w:lang w:val="en-GB"/>
        </w:rPr>
        <w:t xml:space="preserve">s rights will not be found if the person concerned has had to bear an individual and excessive burden (see </w:t>
      </w:r>
      <w:proofErr w:type="spellStart"/>
      <w:r w:rsidRPr="00522E7F" w:rsidR="00BF4290">
        <w:rPr>
          <w:i/>
          <w:lang w:val="en-GB"/>
        </w:rPr>
        <w:t>Rosenzweig</w:t>
      </w:r>
      <w:proofErr w:type="spellEnd"/>
      <w:r w:rsidRPr="00522E7F" w:rsidR="00BF4290">
        <w:rPr>
          <w:lang w:val="en-GB"/>
        </w:rPr>
        <w:t>, cited above, § 48).</w:t>
      </w:r>
    </w:p>
    <w:p w:rsidR="008F10BA" w:rsidP="002C2ED4" w:rsidRDefault="002C2ED4">
      <w:pPr>
        <w:pStyle w:val="ECHRPara"/>
        <w:rPr>
          <w:lang w:val="en-GB"/>
        </w:rPr>
      </w:pPr>
      <w:r w:rsidRPr="00522E7F">
        <w:rPr>
          <w:lang w:val="en-GB"/>
        </w:rPr>
        <w:fldChar w:fldCharType="begin"/>
      </w:r>
      <w:r w:rsidRPr="00522E7F">
        <w:rPr>
          <w:lang w:val="en-GB"/>
        </w:rPr>
        <w:instrText xml:space="preserve"> SEQ level0 \*arabic </w:instrText>
      </w:r>
      <w:r w:rsidRPr="00522E7F">
        <w:rPr>
          <w:lang w:val="en-GB"/>
        </w:rPr>
        <w:fldChar w:fldCharType="separate"/>
      </w:r>
      <w:r w:rsidR="00F12B01">
        <w:rPr>
          <w:noProof/>
          <w:lang w:val="en-GB"/>
        </w:rPr>
        <w:t>33</w:t>
      </w:r>
      <w:r w:rsidRPr="00522E7F">
        <w:rPr>
          <w:lang w:val="en-GB"/>
        </w:rPr>
        <w:fldChar w:fldCharType="end"/>
      </w:r>
      <w:r w:rsidRPr="00522E7F">
        <w:rPr>
          <w:lang w:val="en-GB"/>
        </w:rPr>
        <w:t xml:space="preserve">.  The Government submitted that for the purposes of applying Article 1 of Protocol No. 1 the competent authorities enjoy a wide margin of appreciation. Their assessment as to the need for legislation, its aims and its effects should be accepted by the Convention institutions unless it was manifestly unreasonable and imposed an “excessive burden” on the person concerned (see </w:t>
      </w:r>
      <w:r w:rsidRPr="00522E7F">
        <w:rPr>
          <w:i/>
          <w:lang w:val="en-GB"/>
        </w:rPr>
        <w:t>James and Others</w:t>
      </w:r>
      <w:r w:rsidRPr="00522E7F">
        <w:rPr>
          <w:lang w:val="en-GB"/>
        </w:rPr>
        <w:t>, cited above, §§ 46 and 50).</w:t>
      </w:r>
    </w:p>
    <w:p w:rsidRPr="00522E7F" w:rsidR="002C2ED4" w:rsidP="002C2ED4" w:rsidRDefault="002C2ED4">
      <w:pPr>
        <w:pStyle w:val="ECHRPara"/>
        <w:rPr>
          <w:lang w:val="en-GB"/>
        </w:rPr>
      </w:pPr>
      <w:r w:rsidRPr="0006378C">
        <w:rPr>
          <w:lang w:val="en-GB"/>
        </w:rPr>
        <w:t xml:space="preserve">In the present case, the applicant submitted – and this was not refuted by the Government – that the loss of the licence reduced his business by one-third of its turnover, leading eventually to winding-up. Given the serious economic </w:t>
      </w:r>
      <w:r w:rsidRPr="0006378C" w:rsidR="00732A90">
        <w:rPr>
          <w:lang w:val="en-GB"/>
        </w:rPr>
        <w:t>consequences</w:t>
      </w:r>
      <w:r w:rsidRPr="0006378C">
        <w:rPr>
          <w:lang w:val="en-GB"/>
        </w:rPr>
        <w:t xml:space="preserve"> flowing from the criticised measure, the Court agrees with the </w:t>
      </w:r>
      <w:r w:rsidRPr="0006378C" w:rsidR="00CC0B53">
        <w:rPr>
          <w:lang w:val="en-GB"/>
        </w:rPr>
        <w:t>applicant</w:t>
      </w:r>
      <w:r w:rsidRPr="0006378C">
        <w:rPr>
          <w:lang w:val="en-GB"/>
        </w:rPr>
        <w:t xml:space="preserve"> that this was a </w:t>
      </w:r>
      <w:r w:rsidRPr="0006378C" w:rsidR="00DF5B6A">
        <w:rPr>
          <w:lang w:val="en-GB"/>
        </w:rPr>
        <w:t xml:space="preserve">severe </w:t>
      </w:r>
      <w:r w:rsidRPr="0006378C">
        <w:rPr>
          <w:lang w:val="en-GB"/>
        </w:rPr>
        <w:t>measure in the circumstances.</w:t>
      </w:r>
    </w:p>
    <w:p w:rsidRPr="00CB6395" w:rsidR="00BF4290" w:rsidP="00BF4290" w:rsidRDefault="00CC0B53">
      <w:pPr>
        <w:pStyle w:val="ECHRPara"/>
        <w:rPr>
          <w:i/>
        </w:rPr>
      </w:pPr>
      <w:r w:rsidRPr="0006378C">
        <w:rPr>
          <w:lang w:val="en-GB"/>
        </w:rPr>
        <w:fldChar w:fldCharType="begin"/>
      </w:r>
      <w:r w:rsidRPr="0006378C">
        <w:rPr>
          <w:lang w:val="en-GB"/>
        </w:rPr>
        <w:instrText xml:space="preserve"> SEQ level0 \*arabic </w:instrText>
      </w:r>
      <w:r w:rsidRPr="0006378C">
        <w:rPr>
          <w:lang w:val="en-GB"/>
        </w:rPr>
        <w:fldChar w:fldCharType="separate"/>
      </w:r>
      <w:r w:rsidR="00F12B01">
        <w:rPr>
          <w:noProof/>
          <w:lang w:val="en-GB"/>
        </w:rPr>
        <w:t>34</w:t>
      </w:r>
      <w:r w:rsidRPr="0006378C">
        <w:rPr>
          <w:lang w:val="en-GB"/>
        </w:rPr>
        <w:fldChar w:fldCharType="end"/>
      </w:r>
      <w:r w:rsidRPr="0006378C">
        <w:rPr>
          <w:lang w:val="en-GB"/>
        </w:rPr>
        <w:t xml:space="preserve">.  The Court further observes that only ten months elapsed between the enactment of the impugned law </w:t>
      </w:r>
      <w:r w:rsidRPr="0006378C" w:rsidR="00770900">
        <w:rPr>
          <w:lang w:val="en-GB"/>
        </w:rPr>
        <w:t xml:space="preserve">on 11 September 2012 </w:t>
      </w:r>
      <w:r w:rsidRPr="0006378C">
        <w:rPr>
          <w:lang w:val="en-GB"/>
        </w:rPr>
        <w:t>and the deadline for terminating the applicant</w:t>
      </w:r>
      <w:r w:rsidR="006011C5">
        <w:rPr>
          <w:lang w:val="en-GB"/>
        </w:rPr>
        <w:t>’</w:t>
      </w:r>
      <w:r w:rsidRPr="0006378C">
        <w:rPr>
          <w:lang w:val="en-GB"/>
        </w:rPr>
        <w:t>s tobacco retail</w:t>
      </w:r>
      <w:r w:rsidRPr="0006378C" w:rsidR="00770900">
        <w:rPr>
          <w:lang w:val="en-GB"/>
        </w:rPr>
        <w:t xml:space="preserve"> (14 July 2013)</w:t>
      </w:r>
      <w:r w:rsidRPr="0006378C">
        <w:rPr>
          <w:lang w:val="en-GB"/>
        </w:rPr>
        <w:t xml:space="preserve">. </w:t>
      </w:r>
      <w:r w:rsidRPr="0006378C" w:rsidR="00C4775C">
        <w:rPr>
          <w:lang w:val="en-GB"/>
        </w:rPr>
        <w:t xml:space="preserve">Moreover, from the moment the applicant was informed that he had not been granted a licence </w:t>
      </w:r>
      <w:r w:rsidRPr="0006378C" w:rsidR="00770900">
        <w:rPr>
          <w:lang w:val="en-GB"/>
        </w:rPr>
        <w:t>(2</w:t>
      </w:r>
      <w:r w:rsidRPr="0006378C" w:rsidR="00C4775C">
        <w:rPr>
          <w:lang w:val="en-GB"/>
        </w:rPr>
        <w:t>3 April 2013</w:t>
      </w:r>
      <w:r w:rsidRPr="0006378C" w:rsidR="00770900">
        <w:rPr>
          <w:lang w:val="en-GB"/>
        </w:rPr>
        <w:t>)</w:t>
      </w:r>
      <w:r w:rsidRPr="0006378C" w:rsidR="00C4775C">
        <w:rPr>
          <w:lang w:val="en-GB"/>
        </w:rPr>
        <w:t xml:space="preserve">, </w:t>
      </w:r>
      <w:r w:rsidRPr="0006378C" w:rsidR="00770900">
        <w:rPr>
          <w:lang w:val="en-GB"/>
        </w:rPr>
        <w:t xml:space="preserve">less than three months elapsed until </w:t>
      </w:r>
      <w:r w:rsidRPr="0006378C" w:rsidR="00C4775C">
        <w:rPr>
          <w:lang w:val="en-GB"/>
        </w:rPr>
        <w:t>he had to stop selling tobacco</w:t>
      </w:r>
      <w:r w:rsidRPr="0006378C" w:rsidR="00770900">
        <w:rPr>
          <w:lang w:val="en-GB"/>
        </w:rPr>
        <w:t xml:space="preserve"> (see paragraphs 7 and 10 above)</w:t>
      </w:r>
      <w:r w:rsidRPr="0006378C" w:rsidR="00C4775C">
        <w:rPr>
          <w:lang w:val="en-GB"/>
        </w:rPr>
        <w:t xml:space="preserve">. </w:t>
      </w:r>
      <w:r w:rsidRPr="0006378C">
        <w:rPr>
          <w:lang w:val="en-GB"/>
        </w:rPr>
        <w:t xml:space="preserve">In the context of a business benefiting from </w:t>
      </w:r>
      <w:r w:rsidRPr="0006378C" w:rsidR="007C4208">
        <w:rPr>
          <w:lang w:val="en-GB"/>
        </w:rPr>
        <w:t xml:space="preserve">a </w:t>
      </w:r>
      <w:r w:rsidRPr="0006378C">
        <w:rPr>
          <w:lang w:val="en-GB"/>
        </w:rPr>
        <w:t xml:space="preserve">tobacco retail licence for nearly twenty years previously, </w:t>
      </w:r>
      <w:r w:rsidRPr="0006378C" w:rsidR="00C4775C">
        <w:rPr>
          <w:lang w:val="en-GB"/>
        </w:rPr>
        <w:t xml:space="preserve">these </w:t>
      </w:r>
      <w:r w:rsidRPr="0006378C">
        <w:rPr>
          <w:lang w:val="en-GB"/>
        </w:rPr>
        <w:t>transitory period</w:t>
      </w:r>
      <w:r w:rsidRPr="0006378C" w:rsidR="00C4775C">
        <w:rPr>
          <w:lang w:val="en-GB"/>
        </w:rPr>
        <w:t>s</w:t>
      </w:r>
      <w:r w:rsidRPr="0006378C">
        <w:rPr>
          <w:lang w:val="en-GB"/>
        </w:rPr>
        <w:t xml:space="preserve"> can hardly been regarded as sufficient. </w:t>
      </w:r>
      <w:r w:rsidRPr="0006378C" w:rsidR="00BF4290">
        <w:rPr>
          <w:lang w:val="en-GB"/>
        </w:rPr>
        <w:t>The Court has previously found that proceedings related to the renewal or invalidation of licen</w:t>
      </w:r>
      <w:r w:rsidRPr="0006378C" w:rsidR="00DF5B6A">
        <w:rPr>
          <w:lang w:val="en-GB"/>
        </w:rPr>
        <w:t>c</w:t>
      </w:r>
      <w:r w:rsidRPr="0006378C" w:rsidR="00BF4290">
        <w:rPr>
          <w:lang w:val="en-GB"/>
        </w:rPr>
        <w:t xml:space="preserve">es that are arbitrary, discriminatory, or disproportionately harsh </w:t>
      </w:r>
      <w:proofErr w:type="gramStart"/>
      <w:r w:rsidRPr="0006378C" w:rsidR="00BF4290">
        <w:rPr>
          <w:lang w:val="en-GB"/>
        </w:rPr>
        <w:t>violate</w:t>
      </w:r>
      <w:proofErr w:type="gramEnd"/>
      <w:r w:rsidRPr="0006378C" w:rsidR="00BF4290">
        <w:rPr>
          <w:lang w:val="en-GB"/>
        </w:rPr>
        <w:t xml:space="preserve"> the second paragraph of Article 1 of the Protocol. Furthermore, authorities must follow a “genuine and consist</w:t>
      </w:r>
      <w:r w:rsidRPr="0006378C" w:rsidR="00376D59">
        <w:rPr>
          <w:lang w:val="en-GB"/>
        </w:rPr>
        <w:t>ent policy” regarding licensing</w:t>
      </w:r>
      <w:r w:rsidRPr="0006378C" w:rsidR="00BF4290">
        <w:rPr>
          <w:lang w:val="en-GB"/>
        </w:rPr>
        <w:t xml:space="preserve"> (</w:t>
      </w:r>
      <w:r w:rsidRPr="0006378C" w:rsidR="00376D59">
        <w:rPr>
          <w:lang w:val="en-GB"/>
        </w:rPr>
        <w:t xml:space="preserve">see </w:t>
      </w:r>
      <w:r w:rsidRPr="0006378C" w:rsidR="00BF4290">
        <w:rPr>
          <w:i/>
        </w:rPr>
        <w:t>Megadat.com SRL, cited above</w:t>
      </w:r>
      <w:r w:rsidRPr="0006378C" w:rsidR="00BF4290">
        <w:t>, §</w:t>
      </w:r>
      <w:r w:rsidRPr="0006378C" w:rsidR="00376D59">
        <w:t xml:space="preserve"> </w:t>
      </w:r>
      <w:r w:rsidRPr="0006378C" w:rsidR="00BF4290">
        <w:t>79).</w:t>
      </w:r>
      <w:r w:rsidRPr="0006378C" w:rsidR="00BF4290">
        <w:rPr>
          <w:lang w:val="en-GB"/>
        </w:rPr>
        <w:t xml:space="preserve"> </w:t>
      </w:r>
      <w:r w:rsidRPr="0006378C" w:rsidR="00732A90">
        <w:rPr>
          <w:lang w:val="en-GB"/>
        </w:rPr>
        <w:t>The</w:t>
      </w:r>
      <w:r w:rsidRPr="0006378C" w:rsidR="00BF4290">
        <w:rPr>
          <w:lang w:val="en-GB"/>
        </w:rPr>
        <w:t xml:space="preserve"> </w:t>
      </w:r>
      <w:r w:rsidRPr="0006378C" w:rsidR="00732A90">
        <w:rPr>
          <w:lang w:val="en-GB"/>
        </w:rPr>
        <w:t xml:space="preserve">lack of safeguards against arbitrariness </w:t>
      </w:r>
      <w:r w:rsidRPr="0006378C" w:rsidR="00C4775C">
        <w:rPr>
          <w:lang w:val="en-GB"/>
        </w:rPr>
        <w:t xml:space="preserve">and the lack of a reasonable opportunity of putting the case of the persons affected to the responsible authorities for the purpose of effectively challenging the measures interfering with their possession </w:t>
      </w:r>
      <w:r w:rsidRPr="0006378C" w:rsidR="00BF4290">
        <w:rPr>
          <w:lang w:val="en-GB"/>
        </w:rPr>
        <w:t>(</w:t>
      </w:r>
      <w:r w:rsidRPr="0006378C" w:rsidR="00376D59">
        <w:rPr>
          <w:lang w:val="en-GB"/>
        </w:rPr>
        <w:t>see</w:t>
      </w:r>
      <w:r w:rsidRPr="0006378C" w:rsidR="00376D59">
        <w:rPr>
          <w:i/>
        </w:rPr>
        <w:t xml:space="preserve"> </w:t>
      </w:r>
      <w:proofErr w:type="spellStart"/>
      <w:r w:rsidRPr="0006378C" w:rsidR="00376D59">
        <w:rPr>
          <w:i/>
        </w:rPr>
        <w:t>Microintelect</w:t>
      </w:r>
      <w:proofErr w:type="spellEnd"/>
      <w:r w:rsidRPr="0006378C" w:rsidR="00376D59">
        <w:rPr>
          <w:i/>
        </w:rPr>
        <w:t xml:space="preserve"> OOD</w:t>
      </w:r>
      <w:r w:rsidRPr="0006378C" w:rsidR="00376D59">
        <w:t xml:space="preserve"> </w:t>
      </w:r>
      <w:r w:rsidRPr="0006378C" w:rsidR="00376D59">
        <w:rPr>
          <w:i/>
        </w:rPr>
        <w:t>v. Bulgaria</w:t>
      </w:r>
      <w:r w:rsidRPr="0006378C" w:rsidR="00376D59">
        <w:t>, no. 34129/03</w:t>
      </w:r>
      <w:r w:rsidRPr="0006378C" w:rsidR="003428A3">
        <w:rPr>
          <w:snapToGrid w:val="0"/>
        </w:rPr>
        <w:t>, §</w:t>
      </w:r>
      <w:r w:rsidRPr="0006378C" w:rsidR="00376D59">
        <w:rPr>
          <w:snapToGrid w:val="0"/>
        </w:rPr>
        <w:t xml:space="preserve"> 38 to 50, </w:t>
      </w:r>
      <w:r w:rsidRPr="0006378C" w:rsidR="00376D59">
        <w:t>4 March</w:t>
      </w:r>
      <w:r w:rsidRPr="0006378C" w:rsidR="00376D59">
        <w:rPr>
          <w:snapToGrid w:val="0"/>
        </w:rPr>
        <w:t xml:space="preserve"> 2014)</w:t>
      </w:r>
      <w:r w:rsidRPr="0006378C" w:rsidR="005E3DD7">
        <w:rPr>
          <w:snapToGrid w:val="0"/>
        </w:rPr>
        <w:t xml:space="preserve"> </w:t>
      </w:r>
      <w:r w:rsidRPr="0006378C" w:rsidR="00CB6395">
        <w:rPr>
          <w:snapToGrid w:val="0"/>
        </w:rPr>
        <w:t xml:space="preserve">as well as </w:t>
      </w:r>
      <w:r w:rsidRPr="0006378C" w:rsidR="005E3DD7">
        <w:rPr>
          <w:snapToGrid w:val="0"/>
        </w:rPr>
        <w:t>the question of lawfulness of the applicant</w:t>
      </w:r>
      <w:r w:rsidR="006011C5">
        <w:rPr>
          <w:snapToGrid w:val="0"/>
        </w:rPr>
        <w:t>’</w:t>
      </w:r>
      <w:r w:rsidRPr="0006378C" w:rsidR="005E3DD7">
        <w:rPr>
          <w:snapToGrid w:val="0"/>
        </w:rPr>
        <w:t xml:space="preserve">s own conduct (see </w:t>
      </w:r>
      <w:r w:rsidRPr="0006378C" w:rsidR="005E3DD7">
        <w:rPr>
          <w:i/>
          <w:snapToGrid w:val="0"/>
        </w:rPr>
        <w:t xml:space="preserve">Tre </w:t>
      </w:r>
      <w:proofErr w:type="spellStart"/>
      <w:r w:rsidRPr="0006378C" w:rsidR="005E3DD7">
        <w:rPr>
          <w:i/>
          <w:snapToGrid w:val="0"/>
        </w:rPr>
        <w:t>Traktörer</w:t>
      </w:r>
      <w:proofErr w:type="spellEnd"/>
      <w:r w:rsidRPr="0006378C" w:rsidR="005E3DD7">
        <w:rPr>
          <w:snapToGrid w:val="0"/>
        </w:rPr>
        <w:t>, cited above, § 61) are issues to be taken into consideration.</w:t>
      </w:r>
    </w:p>
    <w:p w:rsidRPr="00522E7F" w:rsidR="00BF4290" w:rsidP="002C2ED4" w:rsidRDefault="00CC0B53">
      <w:pPr>
        <w:pStyle w:val="ECHRPara"/>
        <w:rPr>
          <w:lang w:val="en-GB"/>
        </w:rPr>
      </w:pPr>
      <w:r w:rsidRPr="00522E7F">
        <w:rPr>
          <w:lang w:val="en-GB"/>
        </w:rPr>
        <w:t xml:space="preserve">In terms of the non-granting of a new licence to the applicant, the Court would add that it cannot assess the procedure leading up to this development, since the parties did not submit any relevant material on this question. </w:t>
      </w:r>
      <w:r w:rsidRPr="00522E7F" w:rsidR="007C4208">
        <w:rPr>
          <w:lang w:val="en-GB"/>
        </w:rPr>
        <w:t>In any case, it is noteworthy that the procedure appears to have been devoid of elementary transparency and of an</w:t>
      </w:r>
      <w:r w:rsidRPr="00522E7F" w:rsidR="00376D59">
        <w:rPr>
          <w:lang w:val="en-GB"/>
        </w:rPr>
        <w:t xml:space="preserve">y possibility of legal remedies. At this juncture, the Court recalls that </w:t>
      </w:r>
      <w:proofErr w:type="spellStart"/>
      <w:r w:rsidRPr="00522E7F" w:rsidR="00376D59">
        <w:rPr>
          <w:lang w:val="en-GB"/>
        </w:rPr>
        <w:t>i</w:t>
      </w:r>
      <w:proofErr w:type="spellEnd"/>
      <w:r w:rsidRPr="00522E7F" w:rsidR="00BF4290">
        <w:t>t is true that Article 1 of Protocol No. 1 contains no explicit procedural requirements and the absence of judicial review does not amount, in itself, to a violation of that provision</w:t>
      </w:r>
      <w:r w:rsidRPr="00522E7F" w:rsidR="00376D59">
        <w:t>; n</w:t>
      </w:r>
      <w:r w:rsidRPr="00522E7F" w:rsidR="00BF4290">
        <w:t>evertheless, it implies that any interference with the peaceful enjoyment of possessions must be accompanied by procedural guarantees affording to the individual or entity concerned a reasonable opportunity of presenting their case to the responsible authorities for the purpose of effectively challenging the measures interfering with the righ</w:t>
      </w:r>
      <w:r w:rsidRPr="00522E7F" w:rsidR="00376D59">
        <w:t>ts guaranteed by this provision (</w:t>
      </w:r>
      <w:r w:rsidRPr="00522E7F" w:rsidR="00376D59">
        <w:rPr>
          <w:szCs w:val="24"/>
          <w:lang w:val="en-GB"/>
        </w:rPr>
        <w:t>se</w:t>
      </w:r>
      <w:r w:rsidRPr="00522E7F" w:rsidR="00376D59">
        <w:rPr>
          <w:rFonts w:eastAsiaTheme="minorHAnsi"/>
          <w:szCs w:val="24"/>
        </w:rPr>
        <w:t xml:space="preserve">e </w:t>
      </w:r>
      <w:r w:rsidRPr="00522E7F" w:rsidR="00376D59">
        <w:rPr>
          <w:rFonts w:eastAsiaTheme="minorHAnsi"/>
          <w:i/>
          <w:szCs w:val="24"/>
        </w:rPr>
        <w:t>Capital Bank AD</w:t>
      </w:r>
      <w:r w:rsidRPr="00522E7F" w:rsidR="00376D59">
        <w:rPr>
          <w:rFonts w:eastAsiaTheme="minorHAnsi"/>
          <w:szCs w:val="24"/>
        </w:rPr>
        <w:t>, cited above, § 134</w:t>
      </w:r>
      <w:r w:rsidRPr="00522E7F" w:rsidR="00376D59">
        <w:rPr>
          <w:rFonts w:eastAsiaTheme="minorHAnsi"/>
          <w:sz w:val="22"/>
        </w:rPr>
        <w:t>).</w:t>
      </w:r>
    </w:p>
    <w:p w:rsidR="006A08FD" w:rsidP="006A08FD" w:rsidRDefault="006A08FD">
      <w:pPr>
        <w:pStyle w:val="ECHRPara"/>
        <w:rPr>
          <w:lang w:val="en-GB"/>
        </w:rPr>
      </w:pPr>
      <w:r>
        <w:rPr>
          <w:lang w:val="en-GB"/>
        </w:rPr>
        <w:fldChar w:fldCharType="begin"/>
      </w:r>
      <w:r>
        <w:rPr>
          <w:lang w:val="en-GB"/>
        </w:rPr>
        <w:instrText xml:space="preserve"> SEQ level0 \*arabic </w:instrText>
      </w:r>
      <w:r>
        <w:rPr>
          <w:lang w:val="en-GB"/>
        </w:rPr>
        <w:fldChar w:fldCharType="separate"/>
      </w:r>
      <w:r w:rsidR="00F12B01">
        <w:rPr>
          <w:noProof/>
          <w:lang w:val="en-GB"/>
        </w:rPr>
        <w:t>35</w:t>
      </w:r>
      <w:r>
        <w:rPr>
          <w:lang w:val="en-GB"/>
        </w:rPr>
        <w:fldChar w:fldCharType="end"/>
      </w:r>
      <w:r>
        <w:rPr>
          <w:lang w:val="en-GB"/>
        </w:rPr>
        <w:t>.  The “burden” placed on the applicant as a result of the statutory expiry of his licence, though heavy, must be weighed against the general interest of the community, that is, public health considerations in the instant case. In this context, the States enjoy a wide margin of appreciation.</w:t>
      </w:r>
    </w:p>
    <w:p w:rsidRPr="0006378C" w:rsidR="006A08FD" w:rsidP="00376D59" w:rsidRDefault="006A08FD">
      <w:pPr>
        <w:pStyle w:val="ECHRPara"/>
        <w:rPr>
          <w:lang w:val="en-GB"/>
        </w:rPr>
      </w:pPr>
      <w:r w:rsidRPr="0006378C">
        <w:rPr>
          <w:lang w:val="en-GB"/>
        </w:rPr>
        <w:t>Although it is true that the interference with the applicant</w:t>
      </w:r>
      <w:r w:rsidR="006011C5">
        <w:rPr>
          <w:lang w:val="en-GB"/>
        </w:rPr>
        <w:t>’</w:t>
      </w:r>
      <w:r w:rsidRPr="0006378C">
        <w:rPr>
          <w:lang w:val="en-GB"/>
        </w:rPr>
        <w:t xml:space="preserve">s possessions was a control of use rather than a deprivation of possessions, such that the case-law on compensation for deprivations is not directly applicable (see </w:t>
      </w:r>
      <w:r w:rsidRPr="0006378C">
        <w:rPr>
          <w:i/>
          <w:szCs w:val="24"/>
          <w:lang w:val="en-GB"/>
        </w:rPr>
        <w:t xml:space="preserve">J.A. </w:t>
      </w:r>
      <w:proofErr w:type="spellStart"/>
      <w:r w:rsidRPr="0006378C">
        <w:rPr>
          <w:i/>
          <w:szCs w:val="24"/>
          <w:lang w:val="en-GB"/>
        </w:rPr>
        <w:t>Pye</w:t>
      </w:r>
      <w:proofErr w:type="spellEnd"/>
      <w:r w:rsidRPr="0006378C">
        <w:rPr>
          <w:i/>
          <w:szCs w:val="24"/>
          <w:lang w:val="en-GB"/>
        </w:rPr>
        <w:t xml:space="preserve"> (Oxford) Ltd.,</w:t>
      </w:r>
      <w:r w:rsidRPr="0006378C">
        <w:rPr>
          <w:szCs w:val="24"/>
          <w:lang w:val="en-GB"/>
        </w:rPr>
        <w:t xml:space="preserve"> loc. cit.), </w:t>
      </w:r>
      <w:r w:rsidRPr="0006378C">
        <w:rPr>
          <w:lang w:val="en-GB"/>
        </w:rPr>
        <w:t>a disproportionate and arbitrary control measure does not satisfy the requirements of protection of possession under Article 1 of Protocol No. 1. It is noteworthy that the applicant</w:t>
      </w:r>
      <w:r w:rsidR="006011C5">
        <w:rPr>
          <w:lang w:val="en-GB"/>
        </w:rPr>
        <w:t>’</w:t>
      </w:r>
      <w:r w:rsidRPr="0006378C">
        <w:rPr>
          <w:lang w:val="en-GB"/>
        </w:rPr>
        <w:t xml:space="preserve">s licence was extinguished without compensation (see, </w:t>
      </w:r>
      <w:r w:rsidRPr="0006378C">
        <w:rPr>
          <w:i/>
          <w:lang w:val="en-GB"/>
        </w:rPr>
        <w:t>a </w:t>
      </w:r>
      <w:proofErr w:type="spellStart"/>
      <w:r w:rsidRPr="0006378C">
        <w:rPr>
          <w:i/>
          <w:lang w:val="en-GB"/>
        </w:rPr>
        <w:t>contrario</w:t>
      </w:r>
      <w:proofErr w:type="spellEnd"/>
      <w:r w:rsidRPr="0006378C">
        <w:rPr>
          <w:lang w:val="en-GB"/>
        </w:rPr>
        <w:t xml:space="preserve">, </w:t>
      </w:r>
      <w:r w:rsidRPr="0006378C">
        <w:rPr>
          <w:i/>
          <w:lang w:val="en-GB"/>
        </w:rPr>
        <w:t>Pinnacle Meat Processors Company and 8 Others v. the United Kingdom</w:t>
      </w:r>
      <w:r w:rsidRPr="0006378C">
        <w:rPr>
          <w:lang w:val="en-GB"/>
        </w:rPr>
        <w:t xml:space="preserve"> (</w:t>
      </w:r>
      <w:proofErr w:type="spellStart"/>
      <w:r w:rsidRPr="0006378C">
        <w:rPr>
          <w:lang w:val="en-GB"/>
        </w:rPr>
        <w:t>dec.</w:t>
      </w:r>
      <w:proofErr w:type="spellEnd"/>
      <w:r w:rsidRPr="0006378C">
        <w:rPr>
          <w:lang w:val="en-GB"/>
        </w:rPr>
        <w:t>), no.</w:t>
      </w:r>
      <w:r w:rsidR="002B4B75">
        <w:rPr>
          <w:lang w:val="en-GB"/>
        </w:rPr>
        <w:t> </w:t>
      </w:r>
      <w:r w:rsidRPr="0006378C">
        <w:rPr>
          <w:lang w:val="en-GB"/>
        </w:rPr>
        <w:t xml:space="preserve">33298/96, </w:t>
      </w:r>
      <w:r w:rsidRPr="0006378C">
        <w:rPr>
          <w:rStyle w:val="sb8d990e2"/>
        </w:rPr>
        <w:t>21 October 1998;</w:t>
      </w:r>
      <w:r w:rsidR="002B4B75">
        <w:rPr>
          <w:rStyle w:val="sb8d990e2"/>
        </w:rPr>
        <w:t xml:space="preserve"> and</w:t>
      </w:r>
      <w:r w:rsidRPr="0006378C">
        <w:rPr>
          <w:rStyle w:val="CommentReference"/>
        </w:rPr>
        <w:t xml:space="preserve"> </w:t>
      </w:r>
      <w:r w:rsidRPr="0006378C">
        <w:rPr>
          <w:i/>
          <w:lang w:val="en-GB"/>
        </w:rPr>
        <w:t xml:space="preserve">Ian Edgar </w:t>
      </w:r>
      <w:r w:rsidRPr="0006378C">
        <w:rPr>
          <w:lang w:val="en-GB"/>
        </w:rPr>
        <w:t>(</w:t>
      </w:r>
      <w:r w:rsidRPr="0006378C">
        <w:rPr>
          <w:i/>
          <w:lang w:val="en-GB"/>
        </w:rPr>
        <w:t>Liverpool</w:t>
      </w:r>
      <w:r w:rsidRPr="0006378C">
        <w:rPr>
          <w:lang w:val="en-GB"/>
        </w:rPr>
        <w:t>)</w:t>
      </w:r>
      <w:r w:rsidRPr="0006378C">
        <w:rPr>
          <w:i/>
          <w:lang w:val="en-GB"/>
        </w:rPr>
        <w:t xml:space="preserve"> Ltd v. the United Kingdom </w:t>
      </w:r>
      <w:r w:rsidRPr="0006378C">
        <w:rPr>
          <w:lang w:val="en-GB"/>
        </w:rPr>
        <w:t>(</w:t>
      </w:r>
      <w:proofErr w:type="spellStart"/>
      <w:r w:rsidRPr="0006378C">
        <w:rPr>
          <w:lang w:val="en-GB"/>
        </w:rPr>
        <w:t>dec.</w:t>
      </w:r>
      <w:proofErr w:type="spellEnd"/>
      <w:r w:rsidRPr="0006378C">
        <w:rPr>
          <w:lang w:val="en-GB"/>
        </w:rPr>
        <w:t>), no. 37683/97</w:t>
      </w:r>
      <w:r w:rsidRPr="0006378C">
        <w:rPr>
          <w:szCs w:val="24"/>
          <w:lang w:val="en-GB"/>
        </w:rPr>
        <w:t xml:space="preserve">, </w:t>
      </w:r>
      <w:r w:rsidRPr="0006378C">
        <w:rPr>
          <w:lang w:val="en-GB"/>
        </w:rPr>
        <w:t>ECHR 2000</w:t>
      </w:r>
      <w:r w:rsidRPr="0006378C">
        <w:rPr>
          <w:lang w:val="en-GB"/>
        </w:rPr>
        <w:noBreakHyphen/>
        <w:t xml:space="preserve">I) or the possibility of judicial redress. </w:t>
      </w:r>
      <w:r w:rsidRPr="0006378C">
        <w:t xml:space="preserve">The very short period provided to </w:t>
      </w:r>
      <w:proofErr w:type="spellStart"/>
      <w:r w:rsidRPr="0006378C">
        <w:t>licence</w:t>
      </w:r>
      <w:proofErr w:type="spellEnd"/>
      <w:r w:rsidRPr="0006378C">
        <w:t xml:space="preserve"> holders to make adequate arrangements to respond to the impending change to their source of livelihood was not alleviated by any positive measures on behalf of the State, for example, the adoption of a scheme of reasonable compensation. </w:t>
      </w:r>
      <w:r w:rsidRPr="0006378C">
        <w:rPr>
          <w:lang w:val="en-GB"/>
        </w:rPr>
        <w:t xml:space="preserve">Moreover, it has not been suggested that the applicant, although his family enterprise was active in the lawful selling of products harmful for the health, was in any breach of the law (compare and contrast, </w:t>
      </w:r>
      <w:r w:rsidRPr="0006378C">
        <w:rPr>
          <w:i/>
          <w:lang w:val="en-GB"/>
        </w:rPr>
        <w:t xml:space="preserve">Tre </w:t>
      </w:r>
      <w:proofErr w:type="spellStart"/>
      <w:r w:rsidRPr="0006378C">
        <w:rPr>
          <w:i/>
          <w:lang w:val="en-GB"/>
        </w:rPr>
        <w:t>Traktörer</w:t>
      </w:r>
      <w:proofErr w:type="spellEnd"/>
      <w:r w:rsidRPr="0006378C">
        <w:rPr>
          <w:lang w:val="en-GB"/>
        </w:rPr>
        <w:t xml:space="preserve">, loc. cit.). The measure was introduced by way of constant changes of the law and with remarkable hastiness, the loss of the old licence was automatic, </w:t>
      </w:r>
      <w:r w:rsidRPr="0006378C" w:rsidR="00CB6395">
        <w:rPr>
          <w:lang w:val="en-GB"/>
        </w:rPr>
        <w:t xml:space="preserve">and </w:t>
      </w:r>
      <w:r w:rsidRPr="0006378C">
        <w:rPr>
          <w:lang w:val="en-GB"/>
        </w:rPr>
        <w:t>the non-acquisition of a new one was not subject to any public scrutiny or legal remedy</w:t>
      </w:r>
      <w:r w:rsidRPr="0006378C" w:rsidR="00C4775C">
        <w:rPr>
          <w:lang w:val="en-GB"/>
        </w:rPr>
        <w:t>.</w:t>
      </w:r>
    </w:p>
    <w:p w:rsidR="008F10BA" w:rsidP="00376D59" w:rsidRDefault="00D47B81">
      <w:pPr>
        <w:pStyle w:val="ECHRPara"/>
        <w:rPr>
          <w:lang w:val="en-GB"/>
        </w:rPr>
      </w:pPr>
      <w:r w:rsidRPr="0006378C">
        <w:rPr>
          <w:lang w:val="en-GB"/>
        </w:rPr>
        <w:fldChar w:fldCharType="begin"/>
      </w:r>
      <w:r w:rsidRPr="0006378C">
        <w:rPr>
          <w:lang w:val="en-GB"/>
        </w:rPr>
        <w:instrText xml:space="preserve"> SEQ level0 \*arabic </w:instrText>
      </w:r>
      <w:r w:rsidRPr="0006378C">
        <w:rPr>
          <w:lang w:val="en-GB"/>
        </w:rPr>
        <w:fldChar w:fldCharType="separate"/>
      </w:r>
      <w:r w:rsidR="00F12B01">
        <w:rPr>
          <w:noProof/>
          <w:lang w:val="en-GB"/>
        </w:rPr>
        <w:t>36</w:t>
      </w:r>
      <w:r w:rsidRPr="0006378C">
        <w:rPr>
          <w:lang w:val="en-GB"/>
        </w:rPr>
        <w:fldChar w:fldCharType="end"/>
      </w:r>
      <w:r w:rsidRPr="0006378C">
        <w:rPr>
          <w:lang w:val="en-GB"/>
        </w:rPr>
        <w:t>.  </w:t>
      </w:r>
      <w:r w:rsidRPr="0006378C" w:rsidR="00C4775C">
        <w:rPr>
          <w:lang w:val="en-GB"/>
        </w:rPr>
        <w:t xml:space="preserve">The Court finds that the measure did not offer a realistic prospect to continue the possession </w:t>
      </w:r>
      <w:r w:rsidRPr="0006378C" w:rsidR="00CB6395">
        <w:rPr>
          <w:lang w:val="en-GB"/>
        </w:rPr>
        <w:t xml:space="preserve">because </w:t>
      </w:r>
      <w:r w:rsidRPr="0006378C" w:rsidR="00075F6D">
        <w:rPr>
          <w:lang w:val="en-GB"/>
        </w:rPr>
        <w:t>t</w:t>
      </w:r>
      <w:r w:rsidRPr="0006378C" w:rsidR="00376D59">
        <w:rPr>
          <w:lang w:val="en-GB"/>
        </w:rPr>
        <w:t xml:space="preserve">he process of granting of new concessions </w:t>
      </w:r>
      <w:r w:rsidRPr="0006378C">
        <w:rPr>
          <w:lang w:val="en-GB"/>
        </w:rPr>
        <w:t>was verging on</w:t>
      </w:r>
      <w:r w:rsidRPr="0006378C" w:rsidR="00376D59">
        <w:rPr>
          <w:lang w:val="en-GB"/>
        </w:rPr>
        <w:t xml:space="preserve"> arbitrar</w:t>
      </w:r>
      <w:r w:rsidRPr="0006378C">
        <w:rPr>
          <w:lang w:val="en-GB"/>
        </w:rPr>
        <w:t>iness</w:t>
      </w:r>
      <w:r w:rsidRPr="0006378C" w:rsidR="00376D59">
        <w:rPr>
          <w:lang w:val="en-GB"/>
        </w:rPr>
        <w:t xml:space="preserve">, given that </w:t>
      </w:r>
      <w:r w:rsidRPr="0006378C">
        <w:rPr>
          <w:lang w:val="en-GB"/>
        </w:rPr>
        <w:t>(</w:t>
      </w:r>
      <w:proofErr w:type="spellStart"/>
      <w:r w:rsidRPr="0006378C">
        <w:rPr>
          <w:lang w:val="en-GB"/>
        </w:rPr>
        <w:t>i</w:t>
      </w:r>
      <w:proofErr w:type="spellEnd"/>
      <w:r w:rsidRPr="0006378C">
        <w:rPr>
          <w:lang w:val="en-GB"/>
        </w:rPr>
        <w:t xml:space="preserve">) the existence of </w:t>
      </w:r>
      <w:r w:rsidRPr="0006378C" w:rsidR="000F7CCC">
        <w:rPr>
          <w:lang w:val="en-GB"/>
        </w:rPr>
        <w:t xml:space="preserve">the </w:t>
      </w:r>
      <w:r w:rsidRPr="0006378C">
        <w:rPr>
          <w:lang w:val="en-GB"/>
        </w:rPr>
        <w:t>previous</w:t>
      </w:r>
      <w:r w:rsidRPr="00522E7F">
        <w:rPr>
          <w:lang w:val="en-GB"/>
        </w:rPr>
        <w:t xml:space="preserve"> </w:t>
      </w:r>
      <w:r w:rsidRPr="00522E7F" w:rsidR="00376D59">
        <w:rPr>
          <w:lang w:val="en-GB"/>
        </w:rPr>
        <w:t xml:space="preserve">licence was disregarded; </w:t>
      </w:r>
      <w:r w:rsidRPr="00522E7F">
        <w:rPr>
          <w:lang w:val="en-GB"/>
        </w:rPr>
        <w:t xml:space="preserve">(ii) </w:t>
      </w:r>
      <w:r w:rsidRPr="00522E7F" w:rsidR="000F7CCC">
        <w:rPr>
          <w:lang w:val="en-GB"/>
        </w:rPr>
        <w:t>the possibility</w:t>
      </w:r>
      <w:r w:rsidRPr="00522E7F" w:rsidR="00376D59">
        <w:rPr>
          <w:lang w:val="en-GB"/>
        </w:rPr>
        <w:t xml:space="preserve"> of </w:t>
      </w:r>
      <w:r w:rsidRPr="00522E7F" w:rsidR="000F7CCC">
        <w:rPr>
          <w:lang w:val="en-GB"/>
        </w:rPr>
        <w:t xml:space="preserve">a </w:t>
      </w:r>
      <w:r w:rsidRPr="00522E7F">
        <w:rPr>
          <w:lang w:val="en-GB"/>
        </w:rPr>
        <w:t xml:space="preserve">former licence-holder to </w:t>
      </w:r>
      <w:r w:rsidRPr="00522E7F" w:rsidR="00376D59">
        <w:rPr>
          <w:lang w:val="en-GB"/>
        </w:rPr>
        <w:t>continue</w:t>
      </w:r>
      <w:r w:rsidRPr="00522E7F">
        <w:rPr>
          <w:lang w:val="en-GB"/>
        </w:rPr>
        <w:t xml:space="preserve"> tobacco retail </w:t>
      </w:r>
      <w:r w:rsidRPr="00522E7F" w:rsidR="00376D59">
        <w:rPr>
          <w:lang w:val="en-GB"/>
        </w:rPr>
        <w:t xml:space="preserve">under </w:t>
      </w:r>
      <w:r w:rsidRPr="00522E7F">
        <w:rPr>
          <w:lang w:val="en-GB"/>
        </w:rPr>
        <w:t xml:space="preserve">the </w:t>
      </w:r>
      <w:r w:rsidRPr="00522E7F" w:rsidR="00376D59">
        <w:rPr>
          <w:lang w:val="en-GB"/>
        </w:rPr>
        <w:t xml:space="preserve">changed conditions </w:t>
      </w:r>
      <w:r w:rsidRPr="00522E7F">
        <w:rPr>
          <w:lang w:val="en-GB"/>
        </w:rPr>
        <w:t xml:space="preserve">accommodating the policy of protection of minors </w:t>
      </w:r>
      <w:r w:rsidRPr="00522E7F" w:rsidR="00376D59">
        <w:rPr>
          <w:lang w:val="en-GB"/>
        </w:rPr>
        <w:t>was not considered in the new scheme</w:t>
      </w:r>
      <w:r w:rsidRPr="00522E7F" w:rsidR="00CA7D42">
        <w:rPr>
          <w:lang w:val="en-GB"/>
        </w:rPr>
        <w:t xml:space="preserve"> (see paragraph 8 above)</w:t>
      </w:r>
      <w:r w:rsidRPr="00522E7F" w:rsidR="00376D59">
        <w:rPr>
          <w:lang w:val="en-GB"/>
        </w:rPr>
        <w:t xml:space="preserve">; </w:t>
      </w:r>
      <w:r w:rsidRPr="00522E7F">
        <w:rPr>
          <w:lang w:val="en-GB"/>
        </w:rPr>
        <w:t xml:space="preserve">(iii) </w:t>
      </w:r>
      <w:r w:rsidRPr="00522E7F" w:rsidR="00376D59">
        <w:rPr>
          <w:lang w:val="en-GB"/>
        </w:rPr>
        <w:t xml:space="preserve">the concession system enabled the granting of five concessions to one </w:t>
      </w:r>
      <w:r w:rsidRPr="00522E7F">
        <w:rPr>
          <w:lang w:val="en-GB"/>
        </w:rPr>
        <w:t>tendere</w:t>
      </w:r>
      <w:r w:rsidRPr="00522E7F" w:rsidR="00DF5B6A">
        <w:rPr>
          <w:lang w:val="en-GB"/>
        </w:rPr>
        <w:t>r</w:t>
      </w:r>
      <w:r w:rsidRPr="00522E7F" w:rsidR="00376D59">
        <w:rPr>
          <w:lang w:val="en-GB"/>
        </w:rPr>
        <w:t xml:space="preserve"> which objectively diminished the chances of </w:t>
      </w:r>
      <w:r w:rsidRPr="00522E7F" w:rsidR="000F7CCC">
        <w:rPr>
          <w:lang w:val="en-GB"/>
        </w:rPr>
        <w:t xml:space="preserve">an </w:t>
      </w:r>
      <w:r w:rsidRPr="00522E7F" w:rsidR="00376D59">
        <w:rPr>
          <w:lang w:val="en-GB"/>
        </w:rPr>
        <w:t xml:space="preserve">incumbent licence holder, in particular </w:t>
      </w:r>
      <w:r w:rsidRPr="00522E7F">
        <w:rPr>
          <w:lang w:val="en-GB"/>
        </w:rPr>
        <w:t xml:space="preserve">of </w:t>
      </w:r>
      <w:r w:rsidRPr="00522E7F" w:rsidR="00376D59">
        <w:rPr>
          <w:lang w:val="en-GB"/>
        </w:rPr>
        <w:t>those individuals</w:t>
      </w:r>
      <w:r w:rsidRPr="00522E7F" w:rsidR="000F7CCC">
        <w:rPr>
          <w:lang w:val="en-GB"/>
        </w:rPr>
        <w:t>, such as the applicant</w:t>
      </w:r>
      <w:r w:rsidR="006011C5">
        <w:rPr>
          <w:lang w:val="en-GB"/>
        </w:rPr>
        <w:t>’</w:t>
      </w:r>
      <w:r w:rsidRPr="00522E7F" w:rsidR="000F7CCC">
        <w:rPr>
          <w:lang w:val="en-GB"/>
        </w:rPr>
        <w:t>s family,</w:t>
      </w:r>
      <w:r w:rsidRPr="00522E7F" w:rsidR="00376D59">
        <w:rPr>
          <w:lang w:val="en-GB"/>
        </w:rPr>
        <w:t xml:space="preserve"> whose livelihood </w:t>
      </w:r>
      <w:r w:rsidRPr="00522E7F" w:rsidR="00DF5B6A">
        <w:rPr>
          <w:lang w:val="en-GB"/>
        </w:rPr>
        <w:t xml:space="preserve">had </w:t>
      </w:r>
      <w:r w:rsidRPr="00522E7F" w:rsidR="00376D59">
        <w:rPr>
          <w:lang w:val="en-GB"/>
        </w:rPr>
        <w:t>depended for many years on the possibility of tobacco sale</w:t>
      </w:r>
      <w:r w:rsidRPr="00522E7F" w:rsidR="00726DA1">
        <w:rPr>
          <w:lang w:val="en-GB"/>
        </w:rPr>
        <w:t xml:space="preserve">, now lost (see, </w:t>
      </w:r>
      <w:r w:rsidRPr="00522E7F" w:rsidR="00726DA1">
        <w:rPr>
          <w:i/>
          <w:lang w:val="en-GB"/>
        </w:rPr>
        <w:t>mutatis mutandis</w:t>
      </w:r>
      <w:r w:rsidRPr="00522E7F" w:rsidR="00726DA1">
        <w:rPr>
          <w:lang w:val="en-GB"/>
        </w:rPr>
        <w:t xml:space="preserve">, </w:t>
      </w:r>
      <w:r w:rsidRPr="00CB6395" w:rsidR="00726DA1">
        <w:rPr>
          <w:i/>
        </w:rPr>
        <w:t>Di Marco v. Italy</w:t>
      </w:r>
      <w:r w:rsidRPr="00CB6395" w:rsidR="00726DA1">
        <w:t>, no. 32521/05</w:t>
      </w:r>
      <w:r w:rsidRPr="00CB6395" w:rsidR="00726DA1">
        <w:rPr>
          <w:snapToGrid w:val="0"/>
          <w:szCs w:val="24"/>
        </w:rPr>
        <w:t>, § 65, 26 April 2011</w:t>
      </w:r>
      <w:r w:rsidRPr="00522E7F" w:rsidR="00376D59">
        <w:rPr>
          <w:lang w:val="en-GB"/>
        </w:rPr>
        <w:t>;</w:t>
      </w:r>
      <w:r w:rsidR="002B4B75">
        <w:rPr>
          <w:lang w:val="en-GB"/>
        </w:rPr>
        <w:t xml:space="preserve"> and</w:t>
      </w:r>
      <w:r w:rsidRPr="00522E7F" w:rsidR="00376D59">
        <w:rPr>
          <w:lang w:val="en-GB"/>
        </w:rPr>
        <w:t xml:space="preserve"> </w:t>
      </w:r>
      <w:proofErr w:type="spellStart"/>
      <w:r w:rsidRPr="00522E7F" w:rsidR="00726DA1">
        <w:rPr>
          <w:i/>
          <w:lang w:val="en-GB"/>
        </w:rPr>
        <w:t>Lallement</w:t>
      </w:r>
      <w:proofErr w:type="spellEnd"/>
      <w:r w:rsidRPr="00522E7F" w:rsidR="00726DA1">
        <w:rPr>
          <w:i/>
          <w:lang w:val="en-GB"/>
        </w:rPr>
        <w:t xml:space="preserve"> v. France</w:t>
      </w:r>
      <w:r w:rsidRPr="00522E7F" w:rsidR="00726DA1">
        <w:rPr>
          <w:lang w:val="en-GB"/>
        </w:rPr>
        <w:t>, no.</w:t>
      </w:r>
      <w:r w:rsidR="002B4B75">
        <w:rPr>
          <w:lang w:val="en-GB"/>
        </w:rPr>
        <w:t> </w:t>
      </w:r>
      <w:r w:rsidRPr="00522E7F" w:rsidR="00726DA1">
        <w:rPr>
          <w:lang w:val="en-GB"/>
        </w:rPr>
        <w:t xml:space="preserve">46044/99, §§ 20-24, 11 April 2002) </w:t>
      </w:r>
      <w:r w:rsidRPr="00522E7F" w:rsidR="00376D59">
        <w:rPr>
          <w:lang w:val="en-GB"/>
        </w:rPr>
        <w:t>and</w:t>
      </w:r>
      <w:r w:rsidRPr="00522E7F">
        <w:rPr>
          <w:lang w:val="en-GB"/>
        </w:rPr>
        <w:t>, finally,</w:t>
      </w:r>
      <w:r w:rsidRPr="00522E7F" w:rsidR="00376D59">
        <w:rPr>
          <w:lang w:val="en-GB"/>
        </w:rPr>
        <w:t xml:space="preserve"> </w:t>
      </w:r>
      <w:r w:rsidRPr="00522E7F">
        <w:rPr>
          <w:lang w:val="en-GB"/>
        </w:rPr>
        <w:t xml:space="preserve">(iv) </w:t>
      </w:r>
      <w:r w:rsidRPr="00522E7F" w:rsidR="00376D59">
        <w:rPr>
          <w:lang w:val="en-GB"/>
        </w:rPr>
        <w:t xml:space="preserve">the lack of transparent rules in </w:t>
      </w:r>
      <w:r w:rsidRPr="00522E7F">
        <w:rPr>
          <w:lang w:val="en-GB"/>
        </w:rPr>
        <w:t xml:space="preserve">the </w:t>
      </w:r>
      <w:r w:rsidRPr="00522E7F" w:rsidR="00376D59">
        <w:rPr>
          <w:lang w:val="en-GB"/>
        </w:rPr>
        <w:t>awarding of the concession</w:t>
      </w:r>
      <w:r w:rsidRPr="00522E7F">
        <w:rPr>
          <w:lang w:val="en-GB"/>
        </w:rPr>
        <w:t>s, which took place (v) without</w:t>
      </w:r>
      <w:r w:rsidRPr="00522E7F" w:rsidR="000F7CCC">
        <w:rPr>
          <w:lang w:val="en-GB"/>
        </w:rPr>
        <w:t xml:space="preserve"> giving any privilege</w:t>
      </w:r>
      <w:r w:rsidRPr="00522E7F">
        <w:rPr>
          <w:lang w:val="en-GB"/>
        </w:rPr>
        <w:t xml:space="preserve"> to </w:t>
      </w:r>
      <w:r w:rsidRPr="00522E7F" w:rsidR="000F7CCC">
        <w:rPr>
          <w:lang w:val="en-GB"/>
        </w:rPr>
        <w:t xml:space="preserve">a </w:t>
      </w:r>
      <w:r w:rsidRPr="00522E7F">
        <w:rPr>
          <w:lang w:val="en-GB"/>
        </w:rPr>
        <w:t>previous licence-holder, such as limiting the scope of the first round of tendering to such persons</w:t>
      </w:r>
      <w:r w:rsidRPr="00522E7F" w:rsidR="00376D59">
        <w:rPr>
          <w:lang w:val="en-GB"/>
        </w:rPr>
        <w:t>.</w:t>
      </w:r>
    </w:p>
    <w:p w:rsidRPr="00522E7F" w:rsidR="002C2ED4" w:rsidP="00CC0B53" w:rsidRDefault="00CC0B53">
      <w:pPr>
        <w:pStyle w:val="ECHRHeading5"/>
        <w:rPr>
          <w:lang w:val="en-GB"/>
        </w:rPr>
      </w:pPr>
      <w:r w:rsidRPr="00522E7F">
        <w:rPr>
          <w:lang w:val="en-GB"/>
        </w:rPr>
        <w:t>iii.</w:t>
      </w:r>
      <w:proofErr w:type="gramStart"/>
      <w:r w:rsidRPr="00522E7F">
        <w:rPr>
          <w:lang w:val="en-GB"/>
        </w:rPr>
        <w:t>  </w:t>
      </w:r>
      <w:r w:rsidRPr="00522E7F" w:rsidR="002C2ED4">
        <w:rPr>
          <w:lang w:val="en-GB"/>
        </w:rPr>
        <w:t>Conclusion</w:t>
      </w:r>
      <w:proofErr w:type="gramEnd"/>
    </w:p>
    <w:p w:rsidRPr="00522E7F" w:rsidR="00014566" w:rsidP="00C621C2" w:rsidRDefault="002E2424">
      <w:pPr>
        <w:pStyle w:val="ECHRPara"/>
        <w:rPr>
          <w:lang w:val="en-GB"/>
        </w:rPr>
      </w:pPr>
      <w:r w:rsidRPr="0006378C">
        <w:rPr>
          <w:lang w:val="en-GB"/>
        </w:rPr>
        <w:fldChar w:fldCharType="begin"/>
      </w:r>
      <w:r w:rsidRPr="0006378C">
        <w:rPr>
          <w:lang w:val="en-GB"/>
        </w:rPr>
        <w:instrText xml:space="preserve"> SEQ level0 \*arabic </w:instrText>
      </w:r>
      <w:r w:rsidRPr="0006378C">
        <w:rPr>
          <w:lang w:val="en-GB"/>
        </w:rPr>
        <w:fldChar w:fldCharType="separate"/>
      </w:r>
      <w:r w:rsidR="00F12B01">
        <w:rPr>
          <w:noProof/>
          <w:lang w:val="en-GB"/>
        </w:rPr>
        <w:t>37</w:t>
      </w:r>
      <w:r w:rsidRPr="0006378C">
        <w:rPr>
          <w:lang w:val="en-GB"/>
        </w:rPr>
        <w:fldChar w:fldCharType="end"/>
      </w:r>
      <w:r w:rsidRPr="0006378C" w:rsidR="00014566">
        <w:rPr>
          <w:lang w:val="en-GB"/>
        </w:rPr>
        <w:t>.  </w:t>
      </w:r>
      <w:r w:rsidRPr="0006378C" w:rsidR="00075F6D">
        <w:rPr>
          <w:lang w:val="en-GB"/>
        </w:rPr>
        <w:t>Therefore t</w:t>
      </w:r>
      <w:r w:rsidRPr="0006378C" w:rsidR="00075F6D">
        <w:t xml:space="preserve">he Court finds that the applicant had to suffer an excessive individual burden </w:t>
      </w:r>
      <w:r w:rsidRPr="0006378C" w:rsidR="00CB6395">
        <w:t>due to</w:t>
      </w:r>
      <w:r w:rsidRPr="0006378C" w:rsidR="00075F6D">
        <w:t xml:space="preserve"> the control measure. </w:t>
      </w:r>
      <w:r w:rsidRPr="0006378C" w:rsidR="00014566">
        <w:rPr>
          <w:lang w:val="en-GB"/>
        </w:rPr>
        <w:t xml:space="preserve">The foregoing considerations are sufficient to enable the Court to conclude that </w:t>
      </w:r>
      <w:r w:rsidRPr="0006378C" w:rsidR="00CC0B53">
        <w:rPr>
          <w:lang w:val="en-GB"/>
        </w:rPr>
        <w:t>t</w:t>
      </w:r>
      <w:r w:rsidRPr="0006378C" w:rsidR="00014566">
        <w:rPr>
          <w:lang w:val="en-GB"/>
        </w:rPr>
        <w:t xml:space="preserve">here has been a violation of Article </w:t>
      </w:r>
      <w:r w:rsidRPr="0006378C" w:rsidR="00CC0B53">
        <w:rPr>
          <w:lang w:val="en-GB"/>
        </w:rPr>
        <w:t>1 of Protocol No. 1</w:t>
      </w:r>
      <w:r w:rsidRPr="0006378C" w:rsidR="00014566">
        <w:rPr>
          <w:lang w:val="en-GB"/>
        </w:rPr>
        <w:t>.</w:t>
      </w:r>
    </w:p>
    <w:p w:rsidRPr="00522E7F" w:rsidR="00014566" w:rsidP="00014566" w:rsidRDefault="00B22B9F">
      <w:pPr>
        <w:pStyle w:val="ECHRHeading1"/>
        <w:rPr>
          <w:lang w:val="en-GB"/>
        </w:rPr>
      </w:pPr>
      <w:r w:rsidRPr="00522E7F">
        <w:rPr>
          <w:lang w:val="en-GB"/>
        </w:rPr>
        <w:t>II</w:t>
      </w:r>
      <w:r w:rsidRPr="00522E7F" w:rsidR="00014566">
        <w:rPr>
          <w:lang w:val="en-GB"/>
        </w:rPr>
        <w:t>.</w:t>
      </w:r>
      <w:proofErr w:type="gramStart"/>
      <w:r w:rsidRPr="00522E7F" w:rsidR="00014566">
        <w:rPr>
          <w:lang w:val="en-GB"/>
        </w:rPr>
        <w:t>  APPLICATION</w:t>
      </w:r>
      <w:proofErr w:type="gramEnd"/>
      <w:r w:rsidRPr="00522E7F" w:rsidR="00014566">
        <w:rPr>
          <w:lang w:val="en-GB"/>
        </w:rPr>
        <w:t xml:space="preserve"> OF ARTICLE 41 OF THE CONVENTION</w:t>
      </w:r>
    </w:p>
    <w:p w:rsidRPr="00522E7F" w:rsidR="00014566" w:rsidP="00C621C2" w:rsidRDefault="002E2424">
      <w:pPr>
        <w:pStyle w:val="ECHRPara"/>
        <w:rPr>
          <w:lang w:val="en-GB"/>
        </w:rPr>
      </w:pPr>
      <w:r w:rsidRPr="00522E7F">
        <w:rPr>
          <w:lang w:val="en-GB"/>
        </w:rPr>
        <w:fldChar w:fldCharType="begin"/>
      </w:r>
      <w:r w:rsidRPr="00522E7F">
        <w:rPr>
          <w:lang w:val="en-GB"/>
        </w:rPr>
        <w:instrText xml:space="preserve"> SEQ level0 \*arabic </w:instrText>
      </w:r>
      <w:r w:rsidRPr="00522E7F">
        <w:rPr>
          <w:lang w:val="en-GB"/>
        </w:rPr>
        <w:fldChar w:fldCharType="separate"/>
      </w:r>
      <w:r w:rsidR="00F12B01">
        <w:rPr>
          <w:noProof/>
          <w:lang w:val="en-GB"/>
        </w:rPr>
        <w:t>38</w:t>
      </w:r>
      <w:r w:rsidRPr="00522E7F">
        <w:rPr>
          <w:lang w:val="en-GB"/>
        </w:rPr>
        <w:fldChar w:fldCharType="end"/>
      </w:r>
      <w:r w:rsidRPr="00522E7F" w:rsidR="00014566">
        <w:rPr>
          <w:lang w:val="en-GB"/>
        </w:rPr>
        <w:t>.  Article 41 of the Convention provides:</w:t>
      </w:r>
    </w:p>
    <w:p w:rsidRPr="00522E7F" w:rsidR="00014566" w:rsidP="00014566" w:rsidRDefault="00014566">
      <w:pPr>
        <w:pStyle w:val="ECHRParaQuote"/>
        <w:keepNext/>
        <w:keepLines/>
        <w:rPr>
          <w:lang w:val="en-GB"/>
        </w:rPr>
      </w:pPr>
      <w:r w:rsidRPr="00522E7F">
        <w:rPr>
          <w:lang w:val="en-GB"/>
        </w:rP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522E7F" w:rsidR="00014566" w:rsidP="00014566" w:rsidRDefault="00014566">
      <w:pPr>
        <w:pStyle w:val="ECHRHeading2"/>
        <w:keepLines w:val="0"/>
        <w:outlineLvl w:val="0"/>
        <w:rPr>
          <w:lang w:val="en-GB"/>
        </w:rPr>
      </w:pPr>
      <w:r w:rsidRPr="00522E7F">
        <w:rPr>
          <w:lang w:val="en-GB"/>
        </w:rPr>
        <w:t>A.  Damage</w:t>
      </w:r>
    </w:p>
    <w:p w:rsidRPr="0006378C" w:rsidR="00014566" w:rsidP="00C621C2" w:rsidRDefault="002E2424">
      <w:pPr>
        <w:pStyle w:val="ECHRPara"/>
        <w:rPr>
          <w:lang w:val="en-GB"/>
        </w:rPr>
      </w:pPr>
      <w:r w:rsidRPr="0006378C">
        <w:rPr>
          <w:lang w:val="en-GB"/>
        </w:rPr>
        <w:fldChar w:fldCharType="begin"/>
      </w:r>
      <w:r w:rsidRPr="0006378C">
        <w:rPr>
          <w:lang w:val="en-GB"/>
        </w:rPr>
        <w:instrText xml:space="preserve"> SEQ level0 \*arabic </w:instrText>
      </w:r>
      <w:r w:rsidRPr="0006378C">
        <w:rPr>
          <w:lang w:val="en-GB"/>
        </w:rPr>
        <w:fldChar w:fldCharType="separate"/>
      </w:r>
      <w:r w:rsidR="00F12B01">
        <w:rPr>
          <w:noProof/>
          <w:lang w:val="en-GB"/>
        </w:rPr>
        <w:t>39</w:t>
      </w:r>
      <w:r w:rsidRPr="0006378C">
        <w:rPr>
          <w:lang w:val="en-GB"/>
        </w:rPr>
        <w:fldChar w:fldCharType="end"/>
      </w:r>
      <w:r w:rsidRPr="0006378C" w:rsidR="00014566">
        <w:rPr>
          <w:lang w:val="en-GB"/>
        </w:rPr>
        <w:t xml:space="preserve">.  The applicant claimed </w:t>
      </w:r>
      <w:r w:rsidRPr="0006378C" w:rsidR="005E27A3">
        <w:rPr>
          <w:lang w:val="en-GB"/>
        </w:rPr>
        <w:t>10,000</w:t>
      </w:r>
      <w:r w:rsidRPr="0006378C" w:rsidR="00014566">
        <w:rPr>
          <w:lang w:val="en-GB"/>
        </w:rPr>
        <w:t xml:space="preserve"> euros (EUR) in respect of pecuniary </w:t>
      </w:r>
      <w:r w:rsidRPr="0006378C" w:rsidR="005E27A3">
        <w:rPr>
          <w:lang w:val="en-GB"/>
        </w:rPr>
        <w:t xml:space="preserve">damage </w:t>
      </w:r>
      <w:r w:rsidRPr="0006378C" w:rsidR="00014566">
        <w:rPr>
          <w:lang w:val="en-GB"/>
        </w:rPr>
        <w:t>and</w:t>
      </w:r>
      <w:r w:rsidRPr="0006378C" w:rsidR="005E27A3">
        <w:rPr>
          <w:lang w:val="en-GB"/>
        </w:rPr>
        <w:t xml:space="preserve"> EUR 5,000 in respect of </w:t>
      </w:r>
      <w:r w:rsidRPr="0006378C" w:rsidR="00014566">
        <w:rPr>
          <w:lang w:val="en-GB"/>
        </w:rPr>
        <w:t>non-pecuniary damage.</w:t>
      </w:r>
      <w:r w:rsidRPr="0006378C" w:rsidR="00AD1290">
        <w:rPr>
          <w:lang w:val="en-GB"/>
        </w:rPr>
        <w:t xml:space="preserve"> The former figure </w:t>
      </w:r>
      <w:r w:rsidRPr="0006378C" w:rsidR="00732A90">
        <w:rPr>
          <w:lang w:val="en-GB"/>
        </w:rPr>
        <w:t>is</w:t>
      </w:r>
      <w:r w:rsidRPr="0006378C" w:rsidR="00AD1290">
        <w:rPr>
          <w:lang w:val="en-GB"/>
        </w:rPr>
        <w:t xml:space="preserve"> </w:t>
      </w:r>
      <w:r w:rsidRPr="0006378C" w:rsidR="00732A90">
        <w:rPr>
          <w:lang w:val="en-GB"/>
        </w:rPr>
        <w:t>the applicant</w:t>
      </w:r>
      <w:r w:rsidR="006011C5">
        <w:rPr>
          <w:lang w:val="en-GB"/>
        </w:rPr>
        <w:t>’</w:t>
      </w:r>
      <w:r w:rsidRPr="0006378C" w:rsidR="00732A90">
        <w:rPr>
          <w:lang w:val="en-GB"/>
        </w:rPr>
        <w:t xml:space="preserve">s global </w:t>
      </w:r>
      <w:r w:rsidRPr="0006378C" w:rsidR="00AD1290">
        <w:rPr>
          <w:lang w:val="en-GB"/>
        </w:rPr>
        <w:t xml:space="preserve">estimate </w:t>
      </w:r>
      <w:r w:rsidRPr="0006378C" w:rsidR="005E27A3">
        <w:rPr>
          <w:lang w:val="en-GB"/>
        </w:rPr>
        <w:t xml:space="preserve">for lost </w:t>
      </w:r>
      <w:r w:rsidRPr="0006378C" w:rsidR="00AD1290">
        <w:rPr>
          <w:lang w:val="en-GB"/>
        </w:rPr>
        <w:t>business</w:t>
      </w:r>
      <w:r w:rsidRPr="0006378C" w:rsidR="005E27A3">
        <w:rPr>
          <w:lang w:val="en-GB"/>
        </w:rPr>
        <w:t>.</w:t>
      </w:r>
    </w:p>
    <w:p w:rsidRPr="0006378C" w:rsidR="00014566" w:rsidP="00C621C2" w:rsidRDefault="002E2424">
      <w:pPr>
        <w:pStyle w:val="ECHRPara"/>
        <w:rPr>
          <w:lang w:val="en-GB"/>
        </w:rPr>
      </w:pPr>
      <w:r w:rsidRPr="0006378C">
        <w:rPr>
          <w:lang w:val="en-GB"/>
        </w:rPr>
        <w:fldChar w:fldCharType="begin"/>
      </w:r>
      <w:r w:rsidRPr="0006378C">
        <w:rPr>
          <w:lang w:val="en-GB"/>
        </w:rPr>
        <w:instrText xml:space="preserve"> SEQ level0 \*arabic </w:instrText>
      </w:r>
      <w:r w:rsidRPr="0006378C">
        <w:rPr>
          <w:lang w:val="en-GB"/>
        </w:rPr>
        <w:fldChar w:fldCharType="separate"/>
      </w:r>
      <w:r w:rsidR="00F12B01">
        <w:rPr>
          <w:noProof/>
          <w:lang w:val="en-GB"/>
        </w:rPr>
        <w:t>40</w:t>
      </w:r>
      <w:r w:rsidRPr="0006378C">
        <w:rPr>
          <w:lang w:val="en-GB"/>
        </w:rPr>
        <w:fldChar w:fldCharType="end"/>
      </w:r>
      <w:r w:rsidRPr="0006378C" w:rsidR="00014566">
        <w:rPr>
          <w:lang w:val="en-GB"/>
        </w:rPr>
        <w:t xml:space="preserve">.  The Government </w:t>
      </w:r>
      <w:r w:rsidRPr="0006378C" w:rsidR="005E27A3">
        <w:rPr>
          <w:lang w:val="en-GB"/>
        </w:rPr>
        <w:t>contested these claims</w:t>
      </w:r>
      <w:r w:rsidRPr="0006378C" w:rsidR="0048572A">
        <w:rPr>
          <w:lang w:val="en-GB"/>
        </w:rPr>
        <w:t xml:space="preserve"> in general terms</w:t>
      </w:r>
      <w:r w:rsidRPr="0006378C" w:rsidR="005E27A3">
        <w:rPr>
          <w:lang w:val="en-GB"/>
        </w:rPr>
        <w:t>.</w:t>
      </w:r>
    </w:p>
    <w:p w:rsidRPr="0006378C" w:rsidR="000A7E90" w:rsidP="00C621C2" w:rsidRDefault="002E2424">
      <w:pPr>
        <w:pStyle w:val="ECHRPara"/>
        <w:rPr>
          <w:lang w:val="en-GB"/>
        </w:rPr>
      </w:pPr>
      <w:r w:rsidRPr="0006378C">
        <w:rPr>
          <w:lang w:val="en-GB"/>
        </w:rPr>
        <w:fldChar w:fldCharType="begin"/>
      </w:r>
      <w:r w:rsidRPr="0006378C">
        <w:rPr>
          <w:lang w:val="en-GB"/>
        </w:rPr>
        <w:instrText xml:space="preserve"> SEQ level0 \*arabic </w:instrText>
      </w:r>
      <w:r w:rsidRPr="0006378C">
        <w:rPr>
          <w:lang w:val="en-GB"/>
        </w:rPr>
        <w:fldChar w:fldCharType="separate"/>
      </w:r>
      <w:r w:rsidR="00F12B01">
        <w:rPr>
          <w:noProof/>
          <w:lang w:val="en-GB"/>
        </w:rPr>
        <w:t>41</w:t>
      </w:r>
      <w:r w:rsidRPr="0006378C">
        <w:rPr>
          <w:lang w:val="en-GB"/>
        </w:rPr>
        <w:fldChar w:fldCharType="end"/>
      </w:r>
      <w:r w:rsidRPr="0006378C" w:rsidR="00014566">
        <w:rPr>
          <w:lang w:val="en-GB"/>
        </w:rPr>
        <w:t>.  </w:t>
      </w:r>
      <w:r w:rsidRPr="0006378C" w:rsidR="000A7E90">
        <w:rPr>
          <w:lang w:val="en-GB"/>
        </w:rPr>
        <w:t xml:space="preserve">Without speculating on the profits which the applicant would have achieved if the violation of the Convention had not occurred, the Court observes that he suffered a real loss of business. It therefore considers it appropriate to award a lump sum in compensation for the loss of future earnings. In addition, the Court considers that the violation it has found of Article 1 of Protocol No. 1 in the instant case must have caused the applicant prolonged uncertainty in the conduct of </w:t>
      </w:r>
      <w:r w:rsidR="00526679">
        <w:rPr>
          <w:lang w:val="en-GB"/>
        </w:rPr>
        <w:t>his</w:t>
      </w:r>
      <w:r w:rsidRPr="0006378C" w:rsidR="000A7E90">
        <w:rPr>
          <w:lang w:val="en-GB"/>
        </w:rPr>
        <w:t xml:space="preserve"> business and feelings of helplessness and frustration, entailing some non-pecuniary damage.</w:t>
      </w:r>
    </w:p>
    <w:p w:rsidR="00014566" w:rsidP="00C621C2" w:rsidRDefault="000A7E90">
      <w:pPr>
        <w:pStyle w:val="ECHRPara"/>
        <w:rPr>
          <w:lang w:val="en-GB"/>
        </w:rPr>
      </w:pPr>
      <w:r w:rsidRPr="0006378C">
        <w:rPr>
          <w:lang w:val="en-GB"/>
        </w:rPr>
        <w:t>Thus,</w:t>
      </w:r>
      <w:r w:rsidRPr="0006378C" w:rsidR="0048572A">
        <w:rPr>
          <w:lang w:val="en-GB"/>
        </w:rPr>
        <w:t xml:space="preserve"> </w:t>
      </w:r>
      <w:r w:rsidRPr="0006378C" w:rsidR="0048572A">
        <w:rPr>
          <w:rStyle w:val="sb8d990e2"/>
        </w:rPr>
        <w:t xml:space="preserve">the Court considers it reasonable, making its assessment on the basis of equity, to award the applicant an aggregate sum of EUR 15,000, covering all heads of damage </w:t>
      </w:r>
      <w:r w:rsidRPr="0006378C" w:rsidR="00732A90">
        <w:rPr>
          <w:lang w:val="en-GB"/>
        </w:rPr>
        <w:t xml:space="preserve">(see, </w:t>
      </w:r>
      <w:r w:rsidRPr="0006378C" w:rsidR="00732A90">
        <w:rPr>
          <w:i/>
          <w:lang w:val="en-GB"/>
        </w:rPr>
        <w:t>mutatis mutandis</w:t>
      </w:r>
      <w:r w:rsidRPr="0006378C" w:rsidR="00732A90">
        <w:rPr>
          <w:lang w:val="en-GB"/>
        </w:rPr>
        <w:t xml:space="preserve">, </w:t>
      </w:r>
      <w:r w:rsidRPr="0006378C" w:rsidR="00732A90">
        <w:rPr>
          <w:i/>
          <w:lang w:val="en-GB"/>
        </w:rPr>
        <w:t>Centro Europa 7</w:t>
      </w:r>
      <w:r w:rsidRPr="0006378C" w:rsidR="00732A90">
        <w:rPr>
          <w:lang w:val="en-GB"/>
        </w:rPr>
        <w:t xml:space="preserve">, cited above, §§ </w:t>
      </w:r>
      <w:r w:rsidRPr="0006378C">
        <w:rPr>
          <w:lang w:val="en-GB"/>
        </w:rPr>
        <w:t xml:space="preserve">219 to </w:t>
      </w:r>
      <w:r w:rsidRPr="0006378C" w:rsidR="00732A90">
        <w:rPr>
          <w:lang w:val="en-GB"/>
        </w:rPr>
        <w:t>222)</w:t>
      </w:r>
      <w:r w:rsidRPr="0006378C" w:rsidR="0048572A">
        <w:rPr>
          <w:lang w:val="en-GB"/>
        </w:rPr>
        <w:t>.</w:t>
      </w:r>
    </w:p>
    <w:p w:rsidRPr="00522E7F" w:rsidR="00014566" w:rsidP="00014566" w:rsidRDefault="00014566">
      <w:pPr>
        <w:pStyle w:val="ECHRHeading2"/>
        <w:outlineLvl w:val="0"/>
        <w:rPr>
          <w:lang w:val="en-GB"/>
        </w:rPr>
      </w:pPr>
      <w:r w:rsidRPr="00522E7F">
        <w:rPr>
          <w:lang w:val="en-GB"/>
        </w:rPr>
        <w:t>B.  Costs and expenses</w:t>
      </w:r>
    </w:p>
    <w:p w:rsidRPr="00522E7F" w:rsidR="005E27A3" w:rsidP="00C621C2" w:rsidRDefault="002E2424">
      <w:pPr>
        <w:pStyle w:val="ECHRPara"/>
        <w:rPr>
          <w:lang w:val="en-GB"/>
        </w:rPr>
      </w:pPr>
      <w:r w:rsidRPr="00522E7F">
        <w:rPr>
          <w:lang w:val="en-GB"/>
        </w:rPr>
        <w:fldChar w:fldCharType="begin"/>
      </w:r>
      <w:r w:rsidRPr="00522E7F">
        <w:rPr>
          <w:lang w:val="en-GB"/>
        </w:rPr>
        <w:instrText xml:space="preserve"> SEQ level0 \*arabic </w:instrText>
      </w:r>
      <w:r w:rsidRPr="00522E7F">
        <w:rPr>
          <w:lang w:val="en-GB"/>
        </w:rPr>
        <w:fldChar w:fldCharType="separate"/>
      </w:r>
      <w:r w:rsidR="00F12B01">
        <w:rPr>
          <w:noProof/>
          <w:lang w:val="en-GB"/>
        </w:rPr>
        <w:t>42</w:t>
      </w:r>
      <w:r w:rsidRPr="00522E7F">
        <w:rPr>
          <w:lang w:val="en-GB"/>
        </w:rPr>
        <w:fldChar w:fldCharType="end"/>
      </w:r>
      <w:r w:rsidRPr="00522E7F" w:rsidR="00014566">
        <w:rPr>
          <w:lang w:val="en-GB"/>
        </w:rPr>
        <w:t xml:space="preserve">.  The applicant also claimed EUR </w:t>
      </w:r>
      <w:r w:rsidRPr="00522E7F" w:rsidR="005E27A3">
        <w:rPr>
          <w:lang w:val="en-GB"/>
        </w:rPr>
        <w:t>10,600</w:t>
      </w:r>
      <w:r w:rsidRPr="00522E7F" w:rsidR="00014566">
        <w:rPr>
          <w:lang w:val="en-GB"/>
        </w:rPr>
        <w:t xml:space="preserve"> for the costs and expenses incurred before </w:t>
      </w:r>
      <w:r w:rsidRPr="00522E7F" w:rsidR="005E27A3">
        <w:rPr>
          <w:lang w:val="en-GB"/>
        </w:rPr>
        <w:t>Court. This figure corresponds to the le</w:t>
      </w:r>
      <w:r w:rsidRPr="00522E7F" w:rsidR="0024276C">
        <w:rPr>
          <w:lang w:val="en-GB"/>
        </w:rPr>
        <w:t xml:space="preserve">gal fees billable by his </w:t>
      </w:r>
      <w:proofErr w:type="gramStart"/>
      <w:r w:rsidRPr="00522E7F" w:rsidR="0024276C">
        <w:rPr>
          <w:lang w:val="en-GB"/>
        </w:rPr>
        <w:t>lawyer</w:t>
      </w:r>
      <w:r w:rsidRPr="00522E7F" w:rsidR="00951670">
        <w:rPr>
          <w:lang w:val="en-GB"/>
        </w:rPr>
        <w:t>,</w:t>
      </w:r>
      <w:r w:rsidRPr="00522E7F" w:rsidR="005E27A3">
        <w:rPr>
          <w:lang w:val="en-GB"/>
        </w:rPr>
        <w:t xml:space="preserve"> that</w:t>
      </w:r>
      <w:proofErr w:type="gramEnd"/>
      <w:r w:rsidRPr="00522E7F" w:rsidR="005E27A3">
        <w:rPr>
          <w:lang w:val="en-GB"/>
        </w:rPr>
        <w:t xml:space="preserve"> is, 19.4 hours of paralegal work, charged at an hourly rate of EUR 50</w:t>
      </w:r>
      <w:r w:rsidRPr="00522E7F" w:rsidR="00951670">
        <w:rPr>
          <w:lang w:val="en-GB"/>
        </w:rPr>
        <w:t>,</w:t>
      </w:r>
      <w:r w:rsidRPr="00522E7F" w:rsidR="005E27A3">
        <w:rPr>
          <w:lang w:val="en-GB"/>
        </w:rPr>
        <w:t xml:space="preserve"> as well as 64.2 hours of legal work, charged at an hourly rate of EUR 150.</w:t>
      </w:r>
    </w:p>
    <w:p w:rsidRPr="00522E7F" w:rsidR="00014566" w:rsidP="00C621C2" w:rsidRDefault="002E2424">
      <w:pPr>
        <w:pStyle w:val="ECHRPara"/>
        <w:rPr>
          <w:lang w:val="en-GB"/>
        </w:rPr>
      </w:pPr>
      <w:r w:rsidRPr="00522E7F">
        <w:rPr>
          <w:lang w:val="en-GB"/>
        </w:rPr>
        <w:fldChar w:fldCharType="begin"/>
      </w:r>
      <w:r w:rsidRPr="00522E7F">
        <w:rPr>
          <w:lang w:val="en-GB"/>
        </w:rPr>
        <w:instrText xml:space="preserve"> SEQ level0 \*arabic </w:instrText>
      </w:r>
      <w:r w:rsidRPr="00522E7F">
        <w:rPr>
          <w:lang w:val="en-GB"/>
        </w:rPr>
        <w:fldChar w:fldCharType="separate"/>
      </w:r>
      <w:r w:rsidR="00F12B01">
        <w:rPr>
          <w:noProof/>
          <w:lang w:val="en-GB"/>
        </w:rPr>
        <w:t>43</w:t>
      </w:r>
      <w:r w:rsidRPr="00522E7F">
        <w:rPr>
          <w:lang w:val="en-GB"/>
        </w:rPr>
        <w:fldChar w:fldCharType="end"/>
      </w:r>
      <w:r w:rsidRPr="00522E7F" w:rsidR="00014566">
        <w:rPr>
          <w:lang w:val="en-GB"/>
        </w:rPr>
        <w:t xml:space="preserve">.  The Government </w:t>
      </w:r>
      <w:r w:rsidRPr="00522E7F" w:rsidR="005E27A3">
        <w:rPr>
          <w:lang w:val="en-GB"/>
        </w:rPr>
        <w:t>contested this claim.</w:t>
      </w:r>
    </w:p>
    <w:p w:rsidRPr="00522E7F" w:rsidR="00014566" w:rsidP="00C621C2" w:rsidRDefault="002E2424">
      <w:pPr>
        <w:pStyle w:val="ECHRPara"/>
        <w:rPr>
          <w:lang w:val="en-GB"/>
        </w:rPr>
      </w:pPr>
      <w:r w:rsidRPr="00522E7F">
        <w:rPr>
          <w:lang w:val="en-GB"/>
        </w:rPr>
        <w:fldChar w:fldCharType="begin"/>
      </w:r>
      <w:r w:rsidRPr="00522E7F">
        <w:rPr>
          <w:lang w:val="en-GB"/>
        </w:rPr>
        <w:instrText xml:space="preserve"> SEQ level0 \*arabic </w:instrText>
      </w:r>
      <w:r w:rsidRPr="00522E7F">
        <w:rPr>
          <w:lang w:val="en-GB"/>
        </w:rPr>
        <w:fldChar w:fldCharType="separate"/>
      </w:r>
      <w:r w:rsidR="00F12B01">
        <w:rPr>
          <w:noProof/>
          <w:lang w:val="en-GB"/>
        </w:rPr>
        <w:t>44</w:t>
      </w:r>
      <w:r w:rsidRPr="00522E7F">
        <w:rPr>
          <w:lang w:val="en-GB"/>
        </w:rPr>
        <w:fldChar w:fldCharType="end"/>
      </w:r>
      <w:r w:rsidRPr="00522E7F" w:rsidR="00014566">
        <w:rPr>
          <w:lang w:val="en-GB"/>
        </w:rPr>
        <w:t>.  </w:t>
      </w:r>
      <w:r w:rsidRPr="00522E7F">
        <w:rPr>
          <w:lang w:val="en-GB"/>
        </w:rPr>
        <w:t>According to the Court</w:t>
      </w:r>
      <w:r w:rsidR="006011C5">
        <w:rPr>
          <w:lang w:val="en-GB"/>
        </w:rPr>
        <w:t>’</w:t>
      </w:r>
      <w:r w:rsidRPr="00522E7F">
        <w:rPr>
          <w:lang w:val="en-GB"/>
        </w:rPr>
        <w:t>s case-law, an applicant is entitled to the reimbursement of costs and expenses only in so far as it has been shown that these have been actually and necessarily incurred and are reasonable as to quantum. In the present case, regard</w:t>
      </w:r>
      <w:r w:rsidRPr="00522E7F" w:rsidR="00014566">
        <w:rPr>
          <w:lang w:val="en-GB"/>
        </w:rPr>
        <w:t xml:space="preserve"> being had to the documents in its possession and </w:t>
      </w:r>
      <w:r w:rsidRPr="00522E7F">
        <w:rPr>
          <w:lang w:val="en-GB"/>
        </w:rPr>
        <w:t>the above criteria</w:t>
      </w:r>
      <w:r w:rsidRPr="00522E7F" w:rsidR="00014566">
        <w:rPr>
          <w:lang w:val="en-GB"/>
        </w:rPr>
        <w:t xml:space="preserve">, the Court considers it reasonable to award the sum of EUR </w:t>
      </w:r>
      <w:r w:rsidRPr="00522E7F" w:rsidR="005E27A3">
        <w:rPr>
          <w:lang w:val="en-GB"/>
        </w:rPr>
        <w:t>6,000</w:t>
      </w:r>
      <w:r w:rsidRPr="00522E7F" w:rsidR="00014566">
        <w:rPr>
          <w:lang w:val="en-GB"/>
        </w:rPr>
        <w:t xml:space="preserve"> for the proceedings before the Court.</w:t>
      </w:r>
    </w:p>
    <w:p w:rsidRPr="00522E7F" w:rsidR="00014566" w:rsidP="00014566" w:rsidRDefault="00014566">
      <w:pPr>
        <w:pStyle w:val="ECHRHeading2"/>
        <w:outlineLvl w:val="0"/>
        <w:rPr>
          <w:lang w:val="en-GB"/>
        </w:rPr>
      </w:pPr>
      <w:r w:rsidRPr="00522E7F">
        <w:rPr>
          <w:lang w:val="en-GB"/>
        </w:rPr>
        <w:t>C.  Default interest</w:t>
      </w:r>
    </w:p>
    <w:p w:rsidRPr="00522E7F" w:rsidR="00014566" w:rsidP="00C621C2" w:rsidRDefault="0024276C">
      <w:pPr>
        <w:pStyle w:val="ECHRPara"/>
        <w:rPr>
          <w:lang w:val="en-GB"/>
        </w:rPr>
      </w:pPr>
      <w:r w:rsidRPr="00522E7F">
        <w:rPr>
          <w:lang w:val="en-GB"/>
        </w:rPr>
        <w:fldChar w:fldCharType="begin"/>
      </w:r>
      <w:r w:rsidRPr="00522E7F">
        <w:rPr>
          <w:lang w:val="en-GB"/>
        </w:rPr>
        <w:instrText xml:space="preserve"> SEQ level0 \*arabic </w:instrText>
      </w:r>
      <w:r w:rsidRPr="00522E7F">
        <w:rPr>
          <w:lang w:val="en-GB"/>
        </w:rPr>
        <w:fldChar w:fldCharType="separate"/>
      </w:r>
      <w:r w:rsidR="00F12B01">
        <w:rPr>
          <w:noProof/>
          <w:lang w:val="en-GB"/>
        </w:rPr>
        <w:t>45</w:t>
      </w:r>
      <w:r w:rsidRPr="00522E7F">
        <w:rPr>
          <w:lang w:val="en-GB"/>
        </w:rPr>
        <w:fldChar w:fldCharType="end"/>
      </w:r>
      <w:r w:rsidRPr="00522E7F">
        <w:rPr>
          <w:lang w:val="en-GB"/>
        </w:rPr>
        <w:t>.  </w:t>
      </w:r>
      <w:r w:rsidRPr="00522E7F" w:rsidR="00014566">
        <w:rPr>
          <w:lang w:val="en-GB"/>
        </w:rPr>
        <w:t>The Court considers it appropriate that the default interest rate should be based on the marginal lending rate of the European Central Bank, to which should be added three percentage points.</w:t>
      </w:r>
    </w:p>
    <w:p w:rsidRPr="00522E7F" w:rsidR="00014566" w:rsidP="00014566" w:rsidRDefault="00705F95">
      <w:pPr>
        <w:pStyle w:val="ECHRTitle1"/>
        <w:rPr>
          <w:lang w:val="en-GB"/>
        </w:rPr>
      </w:pPr>
      <w:r>
        <w:rPr>
          <w:lang w:val="en-GB"/>
        </w:rPr>
        <w:t>FOR THESE REASONS, THE COURT, UNANIMOUSLY,</w:t>
      </w:r>
    </w:p>
    <w:p w:rsidRPr="00522E7F" w:rsidR="00B22B9F" w:rsidP="00C621C2" w:rsidRDefault="00B22B9F">
      <w:pPr>
        <w:pStyle w:val="JuList"/>
        <w:rPr>
          <w:lang w:val="en-GB"/>
        </w:rPr>
      </w:pPr>
      <w:r w:rsidRPr="00522E7F">
        <w:rPr>
          <w:lang w:val="en-GB"/>
        </w:rPr>
        <w:t>1.  </w:t>
      </w:r>
      <w:r w:rsidRPr="00522E7F">
        <w:rPr>
          <w:i/>
          <w:lang w:val="en-GB"/>
        </w:rPr>
        <w:t>Joins</w:t>
      </w:r>
      <w:r w:rsidRPr="00522E7F">
        <w:rPr>
          <w:lang w:val="en-GB"/>
        </w:rPr>
        <w:t xml:space="preserve"> the Government</w:t>
      </w:r>
      <w:r w:rsidR="006011C5">
        <w:rPr>
          <w:lang w:val="en-GB"/>
        </w:rPr>
        <w:t>’</w:t>
      </w:r>
      <w:r w:rsidRPr="00522E7F">
        <w:rPr>
          <w:lang w:val="en-GB"/>
        </w:rPr>
        <w:t xml:space="preserve">s objection to the merits and </w:t>
      </w:r>
      <w:r w:rsidRPr="00522E7F">
        <w:rPr>
          <w:i/>
          <w:lang w:val="en-GB"/>
        </w:rPr>
        <w:t>dismisses</w:t>
      </w:r>
      <w:r w:rsidRPr="00522E7F">
        <w:rPr>
          <w:lang w:val="en-GB"/>
        </w:rPr>
        <w:t xml:space="preserve"> it</w:t>
      </w:r>
      <w:r w:rsidR="00705F95">
        <w:rPr>
          <w:lang w:val="en-GB"/>
        </w:rPr>
        <w:t>;</w:t>
      </w:r>
    </w:p>
    <w:p w:rsidRPr="00522E7F" w:rsidR="00B22B9F" w:rsidP="00C621C2" w:rsidRDefault="00B22B9F">
      <w:pPr>
        <w:pStyle w:val="JuList"/>
        <w:rPr>
          <w:lang w:val="en-GB"/>
        </w:rPr>
      </w:pPr>
    </w:p>
    <w:p w:rsidRPr="00522E7F" w:rsidR="00014566" w:rsidP="00C621C2" w:rsidRDefault="00B22B9F">
      <w:pPr>
        <w:pStyle w:val="JuList"/>
        <w:rPr>
          <w:lang w:val="en-GB"/>
        </w:rPr>
      </w:pPr>
      <w:r w:rsidRPr="00522E7F">
        <w:rPr>
          <w:lang w:val="en-GB"/>
        </w:rPr>
        <w:t>2</w:t>
      </w:r>
      <w:r w:rsidRPr="00522E7F" w:rsidR="00014566">
        <w:rPr>
          <w:lang w:val="en-GB"/>
        </w:rPr>
        <w:t>.  </w:t>
      </w:r>
      <w:proofErr w:type="gramStart"/>
      <w:r w:rsidRPr="00522E7F" w:rsidR="00014566">
        <w:rPr>
          <w:i/>
          <w:lang w:val="en-GB"/>
        </w:rPr>
        <w:t>Declares</w:t>
      </w:r>
      <w:proofErr w:type="gramEnd"/>
      <w:r w:rsidRPr="00522E7F" w:rsidR="002E2424">
        <w:rPr>
          <w:lang w:val="en-GB"/>
        </w:rPr>
        <w:t xml:space="preserve"> </w:t>
      </w:r>
      <w:r w:rsidRPr="00522E7F" w:rsidR="00014566">
        <w:rPr>
          <w:lang w:val="en-GB"/>
        </w:rPr>
        <w:t xml:space="preserve">the </w:t>
      </w:r>
      <w:r w:rsidRPr="00522E7F" w:rsidR="002E2424">
        <w:rPr>
          <w:lang w:val="en-GB"/>
        </w:rPr>
        <w:t>application</w:t>
      </w:r>
      <w:r w:rsidRPr="00522E7F" w:rsidR="00014566">
        <w:rPr>
          <w:lang w:val="en-GB"/>
        </w:rPr>
        <w:t xml:space="preserve"> admissible;</w:t>
      </w:r>
    </w:p>
    <w:p w:rsidRPr="00522E7F" w:rsidR="00014566" w:rsidP="00C621C2" w:rsidRDefault="00014566">
      <w:pPr>
        <w:pStyle w:val="JuList"/>
        <w:rPr>
          <w:lang w:val="en-GB"/>
        </w:rPr>
      </w:pPr>
    </w:p>
    <w:p w:rsidRPr="00522E7F" w:rsidR="00014566" w:rsidP="00C621C2" w:rsidRDefault="00B22B9F">
      <w:pPr>
        <w:pStyle w:val="JuList"/>
        <w:rPr>
          <w:lang w:val="en-GB"/>
        </w:rPr>
      </w:pPr>
      <w:r w:rsidRPr="00522E7F">
        <w:rPr>
          <w:lang w:val="en-GB"/>
        </w:rPr>
        <w:t>3</w:t>
      </w:r>
      <w:r w:rsidRPr="00522E7F" w:rsidR="00014566">
        <w:rPr>
          <w:lang w:val="en-GB"/>
        </w:rPr>
        <w:t>.  </w:t>
      </w:r>
      <w:proofErr w:type="gramStart"/>
      <w:r w:rsidRPr="00522E7F" w:rsidR="00014566">
        <w:rPr>
          <w:i/>
          <w:lang w:val="en-GB"/>
        </w:rPr>
        <w:t>Holds</w:t>
      </w:r>
      <w:proofErr w:type="gramEnd"/>
      <w:r w:rsidRPr="00522E7F" w:rsidR="002E2424">
        <w:rPr>
          <w:lang w:val="en-GB"/>
        </w:rPr>
        <w:t xml:space="preserve"> </w:t>
      </w:r>
      <w:r w:rsidRPr="00522E7F" w:rsidR="00014566">
        <w:rPr>
          <w:lang w:val="en-GB"/>
        </w:rPr>
        <w:t xml:space="preserve">that there has been a violation of Article </w:t>
      </w:r>
      <w:r w:rsidRPr="00522E7F">
        <w:rPr>
          <w:lang w:val="en-GB"/>
        </w:rPr>
        <w:t xml:space="preserve">1 </w:t>
      </w:r>
      <w:r w:rsidRPr="00522E7F" w:rsidR="00014566">
        <w:rPr>
          <w:lang w:val="en-GB"/>
        </w:rPr>
        <w:t xml:space="preserve">of </w:t>
      </w:r>
      <w:r w:rsidRPr="00522E7F">
        <w:rPr>
          <w:lang w:val="en-GB"/>
        </w:rPr>
        <w:t>Protocol No. 1</w:t>
      </w:r>
      <w:r w:rsidRPr="00522E7F" w:rsidR="00014566">
        <w:rPr>
          <w:lang w:val="en-GB"/>
        </w:rPr>
        <w:t>;</w:t>
      </w:r>
    </w:p>
    <w:p w:rsidRPr="00522E7F" w:rsidR="00014566" w:rsidP="00C621C2" w:rsidRDefault="00014566">
      <w:pPr>
        <w:pStyle w:val="JuList"/>
        <w:rPr>
          <w:lang w:val="en-GB"/>
        </w:rPr>
      </w:pPr>
    </w:p>
    <w:p w:rsidR="008F10BA" w:rsidP="00C621C2" w:rsidRDefault="00B22B9F">
      <w:pPr>
        <w:pStyle w:val="JuList"/>
        <w:rPr>
          <w:lang w:val="en-GB"/>
        </w:rPr>
      </w:pPr>
      <w:r w:rsidRPr="00522E7F">
        <w:rPr>
          <w:lang w:val="en-GB"/>
        </w:rPr>
        <w:t>4</w:t>
      </w:r>
      <w:r w:rsidRPr="00522E7F" w:rsidR="00014566">
        <w:rPr>
          <w:lang w:val="en-GB"/>
        </w:rPr>
        <w:t>.  </w:t>
      </w:r>
      <w:r w:rsidRPr="00522E7F" w:rsidR="00014566">
        <w:rPr>
          <w:i/>
          <w:lang w:val="en-GB"/>
        </w:rPr>
        <w:t>Holds</w:t>
      </w:r>
    </w:p>
    <w:p w:rsidRPr="00522E7F" w:rsidR="00014566" w:rsidP="00014566" w:rsidRDefault="00014566">
      <w:pPr>
        <w:pStyle w:val="JuLista"/>
        <w:rPr>
          <w:lang w:val="en-GB"/>
        </w:rPr>
      </w:pPr>
      <w:r w:rsidRPr="00522E7F">
        <w:rPr>
          <w:lang w:val="en-GB"/>
        </w:rPr>
        <w:t>(a)  that the respondent State is to pay the applicant, within three months</w:t>
      </w:r>
      <w:r w:rsidRPr="00522E7F" w:rsidR="009949DC">
        <w:rPr>
          <w:lang w:val="en-GB"/>
        </w:rPr>
        <w:t xml:space="preserve"> </w:t>
      </w:r>
      <w:r w:rsidRPr="00522E7F" w:rsidR="002E2424">
        <w:rPr>
          <w:lang w:val="en-GB"/>
        </w:rPr>
        <w:t>from the date on which the judgment becomes final in accordance with Article 44 § 2 of the Convention,</w:t>
      </w:r>
      <w:r w:rsidRPr="00522E7F">
        <w:rPr>
          <w:lang w:val="en-GB"/>
        </w:rPr>
        <w:t xml:space="preserve"> the following amounts, to be converted into </w:t>
      </w:r>
      <w:r w:rsidRPr="00522E7F">
        <w:rPr>
          <w:color w:val="000000"/>
          <w:lang w:val="en-GB"/>
        </w:rPr>
        <w:t>the currency of the respondent State</w:t>
      </w:r>
      <w:r w:rsidRPr="00522E7F">
        <w:rPr>
          <w:lang w:val="en-GB"/>
        </w:rPr>
        <w:t xml:space="preserve"> at the rate applicable at the date of settlement:</w:t>
      </w:r>
    </w:p>
    <w:p w:rsidRPr="00522E7F" w:rsidR="00014566" w:rsidP="00014566" w:rsidRDefault="00014566">
      <w:pPr>
        <w:pStyle w:val="JuListi"/>
        <w:rPr>
          <w:lang w:val="en-GB"/>
        </w:rPr>
      </w:pPr>
      <w:r w:rsidRPr="0006378C">
        <w:rPr>
          <w:lang w:val="en-GB"/>
        </w:rPr>
        <w:t>(</w:t>
      </w:r>
      <w:proofErr w:type="spellStart"/>
      <w:r w:rsidRPr="0006378C">
        <w:rPr>
          <w:lang w:val="en-GB"/>
        </w:rPr>
        <w:t>i</w:t>
      </w:r>
      <w:proofErr w:type="spellEnd"/>
      <w:r w:rsidRPr="0006378C">
        <w:rPr>
          <w:lang w:val="en-GB"/>
        </w:rPr>
        <w:t xml:space="preserve">)  EUR </w:t>
      </w:r>
      <w:r w:rsidRPr="0006378C" w:rsidR="0048572A">
        <w:rPr>
          <w:lang w:val="en-GB"/>
        </w:rPr>
        <w:t>15</w:t>
      </w:r>
      <w:r w:rsidRPr="0006378C" w:rsidR="005E27A3">
        <w:rPr>
          <w:lang w:val="en-GB"/>
        </w:rPr>
        <w:t>,000</w:t>
      </w:r>
      <w:r w:rsidRPr="0006378C">
        <w:rPr>
          <w:lang w:val="en-GB"/>
        </w:rPr>
        <w:t xml:space="preserve"> (</w:t>
      </w:r>
      <w:r w:rsidRPr="0006378C" w:rsidR="0048572A">
        <w:rPr>
          <w:lang w:val="en-GB"/>
        </w:rPr>
        <w:t>fifteen</w:t>
      </w:r>
      <w:r w:rsidRPr="0006378C" w:rsidR="005E27A3">
        <w:rPr>
          <w:lang w:val="en-GB"/>
        </w:rPr>
        <w:t xml:space="preserve"> thousand euros)</w:t>
      </w:r>
      <w:r w:rsidRPr="0006378C">
        <w:rPr>
          <w:lang w:val="en-GB"/>
        </w:rPr>
        <w:t>, plus any tax that may be chargeable,</w:t>
      </w:r>
      <w:r w:rsidRPr="0006378C" w:rsidR="005E27A3">
        <w:rPr>
          <w:lang w:val="en-GB"/>
        </w:rPr>
        <w:t xml:space="preserve"> </w:t>
      </w:r>
      <w:r w:rsidRPr="0006378C">
        <w:rPr>
          <w:lang w:val="en-GB"/>
        </w:rPr>
        <w:t xml:space="preserve">in respect of pecuniary </w:t>
      </w:r>
      <w:r w:rsidRPr="0006378C" w:rsidR="0048572A">
        <w:rPr>
          <w:lang w:val="en-GB"/>
        </w:rPr>
        <w:t xml:space="preserve">and non-pecuniary </w:t>
      </w:r>
      <w:r w:rsidRPr="0006378C">
        <w:rPr>
          <w:lang w:val="en-GB"/>
        </w:rPr>
        <w:t>damage</w:t>
      </w:r>
      <w:r w:rsidR="002B4B75">
        <w:rPr>
          <w:lang w:val="en-GB"/>
        </w:rPr>
        <w:t xml:space="preserve"> combined</w:t>
      </w:r>
      <w:r w:rsidRPr="0006378C">
        <w:rPr>
          <w:lang w:val="en-GB"/>
        </w:rPr>
        <w:t>;</w:t>
      </w:r>
    </w:p>
    <w:p w:rsidRPr="00522E7F" w:rsidR="00014566" w:rsidP="00014566" w:rsidRDefault="00014566">
      <w:pPr>
        <w:pStyle w:val="JuListi"/>
        <w:rPr>
          <w:lang w:val="en-GB"/>
        </w:rPr>
      </w:pPr>
      <w:r w:rsidRPr="00522E7F">
        <w:rPr>
          <w:lang w:val="en-GB"/>
        </w:rPr>
        <w:t xml:space="preserve">(ii)  EUR </w:t>
      </w:r>
      <w:r w:rsidRPr="00522E7F" w:rsidR="005E27A3">
        <w:rPr>
          <w:lang w:val="en-GB"/>
        </w:rPr>
        <w:t>6,000</w:t>
      </w:r>
      <w:r w:rsidRPr="00522E7F">
        <w:rPr>
          <w:lang w:val="en-GB"/>
        </w:rPr>
        <w:t xml:space="preserve"> (</w:t>
      </w:r>
      <w:r w:rsidRPr="00522E7F" w:rsidR="005E27A3">
        <w:rPr>
          <w:lang w:val="en-GB"/>
        </w:rPr>
        <w:t>six thousand</w:t>
      </w:r>
      <w:r w:rsidRPr="00522E7F">
        <w:rPr>
          <w:lang w:val="en-GB"/>
        </w:rPr>
        <w:t xml:space="preserve"> euros), plus any tax that may be chargeable to the applicant, in respect of costs and expenses;</w:t>
      </w:r>
    </w:p>
    <w:p w:rsidRPr="00522E7F" w:rsidR="00014566" w:rsidP="00014566" w:rsidRDefault="00014566">
      <w:pPr>
        <w:pStyle w:val="JuLista"/>
        <w:rPr>
          <w:lang w:val="en-GB"/>
        </w:rPr>
      </w:pPr>
      <w:r w:rsidRPr="00522E7F">
        <w:rPr>
          <w:lang w:val="en-GB"/>
        </w:rPr>
        <w:t>(b)  that from the expiry of the above-mentioned three months until settlement simple interest shall be payable on the above amount</w:t>
      </w:r>
      <w:r w:rsidRPr="00522E7F" w:rsidR="00B22B9F">
        <w:rPr>
          <w:lang w:val="en-GB"/>
        </w:rPr>
        <w:t>s</w:t>
      </w:r>
      <w:r w:rsidRPr="00522E7F">
        <w:rPr>
          <w:lang w:val="en-GB"/>
        </w:rPr>
        <w:t xml:space="preserve"> at a rate equal to the marginal lending rate of the European Central Bank during the default period plus three percentage points;</w:t>
      </w:r>
    </w:p>
    <w:p w:rsidRPr="00522E7F" w:rsidR="00014566" w:rsidP="00C621C2" w:rsidRDefault="00014566">
      <w:pPr>
        <w:pStyle w:val="JuList"/>
        <w:rPr>
          <w:lang w:val="en-GB"/>
        </w:rPr>
      </w:pPr>
    </w:p>
    <w:p w:rsidRPr="00522E7F" w:rsidR="00014566" w:rsidP="00C621C2" w:rsidRDefault="00B22B9F">
      <w:pPr>
        <w:pStyle w:val="JuList"/>
        <w:rPr>
          <w:lang w:val="en-GB"/>
        </w:rPr>
      </w:pPr>
      <w:r w:rsidRPr="00522E7F">
        <w:rPr>
          <w:lang w:val="en-GB"/>
        </w:rPr>
        <w:t>5</w:t>
      </w:r>
      <w:r w:rsidRPr="00522E7F" w:rsidR="00014566">
        <w:rPr>
          <w:lang w:val="en-GB"/>
        </w:rPr>
        <w:t>.  </w:t>
      </w:r>
      <w:r w:rsidRPr="00522E7F" w:rsidR="00014566">
        <w:rPr>
          <w:i/>
          <w:lang w:val="en-GB"/>
        </w:rPr>
        <w:t>Dismisses</w:t>
      </w:r>
      <w:r w:rsidRPr="00522E7F" w:rsidR="002E2424">
        <w:rPr>
          <w:lang w:val="en-GB"/>
        </w:rPr>
        <w:t xml:space="preserve"> </w:t>
      </w:r>
      <w:r w:rsidRPr="00522E7F" w:rsidR="00014566">
        <w:rPr>
          <w:lang w:val="en-GB"/>
        </w:rPr>
        <w:t>the remainder of the applicant</w:t>
      </w:r>
      <w:r w:rsidR="006011C5">
        <w:rPr>
          <w:lang w:val="en-GB"/>
        </w:rPr>
        <w:t>’</w:t>
      </w:r>
      <w:r w:rsidRPr="00522E7F" w:rsidR="002E2424">
        <w:rPr>
          <w:lang w:val="en-GB"/>
        </w:rPr>
        <w:t>s</w:t>
      </w:r>
      <w:r w:rsidRPr="00522E7F" w:rsidR="00014566">
        <w:rPr>
          <w:lang w:val="en-GB"/>
        </w:rPr>
        <w:t xml:space="preserve"> claim for just satisfaction.</w:t>
      </w:r>
    </w:p>
    <w:p w:rsidRPr="00522E7F" w:rsidR="00014566" w:rsidP="00014566" w:rsidRDefault="00014566">
      <w:pPr>
        <w:pStyle w:val="JuParaLast"/>
        <w:rPr>
          <w:lang w:val="en-GB"/>
        </w:rPr>
      </w:pPr>
      <w:r w:rsidRPr="00522E7F">
        <w:rPr>
          <w:lang w:val="en-GB"/>
        </w:rPr>
        <w:t xml:space="preserve">Done in English, and notified in writing on </w:t>
      </w:r>
      <w:r w:rsidR="00641D6F">
        <w:rPr>
          <w:lang w:val="en-GB"/>
        </w:rPr>
        <w:t>13 January 2015</w:t>
      </w:r>
      <w:r w:rsidRPr="00522E7F">
        <w:rPr>
          <w:lang w:val="en-GB"/>
        </w:rPr>
        <w:t>, pursuant to Rule 77 §§ 2 and 3 of the Rules of Court.</w:t>
      </w:r>
    </w:p>
    <w:p w:rsidRPr="00D461DE" w:rsidR="00014566" w:rsidP="00C621C2" w:rsidRDefault="00014566">
      <w:pPr>
        <w:pStyle w:val="JuSigned"/>
        <w:rPr>
          <w:lang w:val="it-IT"/>
        </w:rPr>
      </w:pPr>
      <w:r w:rsidRPr="00522E7F">
        <w:rPr>
          <w:lang w:val="en-GB"/>
        </w:rPr>
        <w:tab/>
      </w:r>
      <w:r w:rsidRPr="00D461DE" w:rsidR="002E2424">
        <w:rPr>
          <w:lang w:val="it-IT"/>
        </w:rPr>
        <w:t>Stanley Naismith</w:t>
      </w:r>
      <w:r w:rsidRPr="00D461DE">
        <w:rPr>
          <w:lang w:val="it-IT"/>
        </w:rPr>
        <w:tab/>
      </w:r>
      <w:r w:rsidRPr="00D461DE" w:rsidR="002E2424">
        <w:rPr>
          <w:szCs w:val="24"/>
          <w:lang w:val="it-IT"/>
        </w:rPr>
        <w:t xml:space="preserve">Guido </w:t>
      </w:r>
      <w:proofErr w:type="spellStart"/>
      <w:r w:rsidRPr="00D461DE" w:rsidR="002E2424">
        <w:rPr>
          <w:szCs w:val="24"/>
          <w:lang w:val="it-IT"/>
        </w:rPr>
        <w:t>Raimondi</w:t>
      </w:r>
      <w:proofErr w:type="spellEnd"/>
      <w:r w:rsidR="008F10BA">
        <w:rPr>
          <w:szCs w:val="24"/>
          <w:lang w:val="it-IT"/>
        </w:rPr>
        <w:br/>
      </w:r>
      <w:r w:rsidRPr="00D461DE">
        <w:rPr>
          <w:lang w:val="it-IT"/>
        </w:rPr>
        <w:tab/>
      </w:r>
      <w:r w:rsidRPr="00D461DE" w:rsidR="002E2424">
        <w:rPr>
          <w:iCs/>
          <w:lang w:val="it-IT"/>
        </w:rPr>
        <w:t>Registrar</w:t>
      </w:r>
      <w:r w:rsidRPr="00D461DE">
        <w:rPr>
          <w:lang w:val="it-IT"/>
        </w:rPr>
        <w:tab/>
      </w:r>
      <w:proofErr w:type="spellStart"/>
      <w:r w:rsidRPr="00D461DE">
        <w:rPr>
          <w:lang w:val="it-IT"/>
        </w:rPr>
        <w:t>President</w:t>
      </w:r>
      <w:proofErr w:type="spellEnd"/>
    </w:p>
    <w:p w:rsidRPr="00A83F4D" w:rsidR="00F8757D" w:rsidRDefault="00F8757D">
      <w:pPr>
        <w:pStyle w:val="JuParaLast"/>
      </w:pPr>
      <w:r w:rsidRPr="00A83F4D">
        <w:t>In accordance with Article 45 § 2 of the Convention and Rule 74 § 2 of the Rules of Court, the separate opinion of Judge</w:t>
      </w:r>
      <w:r>
        <w:t>s</w:t>
      </w:r>
      <w:r w:rsidRPr="00A83F4D">
        <w:t xml:space="preserve"> </w:t>
      </w:r>
      <w:proofErr w:type="spellStart"/>
      <w:r>
        <w:t>Spano</w:t>
      </w:r>
      <w:proofErr w:type="spellEnd"/>
      <w:r>
        <w:t xml:space="preserve"> and </w:t>
      </w:r>
      <w:proofErr w:type="spellStart"/>
      <w:r w:rsidRPr="00641D6F">
        <w:t>Kjølbro</w:t>
      </w:r>
      <w:proofErr w:type="spellEnd"/>
      <w:r w:rsidRPr="00A83F4D">
        <w:t xml:space="preserve"> is annexed to this judgment.</w:t>
      </w:r>
    </w:p>
    <w:p w:rsidR="00F8757D" w:rsidP="00CC0666" w:rsidRDefault="00F8757D">
      <w:pPr>
        <w:pStyle w:val="JuInitialled"/>
      </w:pPr>
      <w:r>
        <w:t>G.R.A</w:t>
      </w:r>
      <w:proofErr w:type="gramStart"/>
      <w:r>
        <w:t>.</w:t>
      </w:r>
      <w:proofErr w:type="gramEnd"/>
      <w:r w:rsidRPr="00A83F4D">
        <w:br/>
      </w:r>
      <w:r>
        <w:t>S.H.N.</w:t>
      </w:r>
    </w:p>
    <w:p w:rsidR="00F8757D" w:rsidP="00F8757D" w:rsidRDefault="00F8757D">
      <w:pPr>
        <w:pStyle w:val="JuInitialled"/>
        <w:jc w:val="both"/>
        <w:sectPr w:rsidR="00F8757D" w:rsidSect="00641D6F">
          <w:headerReference w:type="even" r:id="rId11"/>
          <w:headerReference w:type="default" r:id="rId12"/>
          <w:footnotePr>
            <w:numRestart w:val="eachPage"/>
          </w:footnotePr>
          <w:pgSz w:w="11906" w:h="16838" w:code="9"/>
          <w:pgMar w:top="2274" w:right="2274" w:bottom="2274" w:left="2274" w:header="1701" w:footer="720" w:gutter="0"/>
          <w:pgNumType w:start="1"/>
          <w:cols w:space="720"/>
          <w:docGrid w:linePitch="326"/>
        </w:sectPr>
      </w:pPr>
    </w:p>
    <w:p w:rsidRPr="007E600E" w:rsidR="00F8757D" w:rsidP="00F8757D" w:rsidRDefault="00F8757D">
      <w:pPr>
        <w:pStyle w:val="ECHRTitleCentre1"/>
        <w:rPr>
          <w:lang w:val="en-GB"/>
        </w:rPr>
      </w:pPr>
      <w:r w:rsidRPr="007E600E">
        <w:rPr>
          <w:lang w:val="en-GB"/>
        </w:rPr>
        <w:t xml:space="preserve">JOINT CONCURRING OPINION </w:t>
      </w:r>
      <w:r>
        <w:rPr>
          <w:lang w:val="en-GB"/>
        </w:rPr>
        <w:br/>
      </w:r>
      <w:r w:rsidRPr="007E600E">
        <w:rPr>
          <w:lang w:val="en-GB"/>
        </w:rPr>
        <w:t>OF JUDGE</w:t>
      </w:r>
      <w:r>
        <w:rPr>
          <w:lang w:val="en-GB"/>
        </w:rPr>
        <w:t>S</w:t>
      </w:r>
      <w:r w:rsidRPr="007E600E">
        <w:rPr>
          <w:lang w:val="en-GB"/>
        </w:rPr>
        <w:t xml:space="preserve"> SPANO AND </w:t>
      </w:r>
      <w:r w:rsidRPr="007E600E">
        <w:rPr>
          <w:rFonts w:ascii="Times New Roman" w:hAnsi="Times New Roman" w:cs="Times New Roman"/>
          <w:szCs w:val="28"/>
          <w:lang w:val="en-GB"/>
        </w:rPr>
        <w:t>KJØLBRO</w:t>
      </w:r>
    </w:p>
    <w:p w:rsidRPr="00DB72BA" w:rsidR="00F8757D" w:rsidP="00F8757D" w:rsidRDefault="00DB72BA">
      <w:pPr>
        <w:pStyle w:val="OpiPara"/>
        <w:rPr>
          <w:rFonts w:ascii="Times New Roman" w:hAnsi="Times New Roman" w:cs="Times New Roman"/>
          <w:szCs w:val="24"/>
          <w:lang w:val="en-GB"/>
        </w:rPr>
      </w:pPr>
      <w:r>
        <w:rPr>
          <w:rFonts w:ascii="Times New Roman" w:hAnsi="Times New Roman" w:cs="Times New Roman"/>
          <w:szCs w:val="24"/>
          <w:lang w:val="en-GB"/>
        </w:rPr>
        <w:t>1.  </w:t>
      </w:r>
      <w:r w:rsidRPr="00DB72BA" w:rsidR="00F8757D">
        <w:rPr>
          <w:rFonts w:ascii="Times New Roman" w:hAnsi="Times New Roman" w:cs="Times New Roman"/>
          <w:szCs w:val="24"/>
          <w:lang w:val="en-GB"/>
        </w:rPr>
        <w:t>We voted in favour of finding a violation of Article 1 of Protocol No. 1 to the Convention, but we write separately as our reasoning differs to some extent from the judgment.</w:t>
      </w:r>
    </w:p>
    <w:p w:rsidRPr="00DB72BA" w:rsidR="00F8757D" w:rsidP="00F8757D" w:rsidRDefault="00DB72BA">
      <w:pPr>
        <w:pStyle w:val="OpiPara"/>
        <w:rPr>
          <w:rFonts w:ascii="Times New Roman" w:hAnsi="Times New Roman" w:cs="Times New Roman" w:eastAsiaTheme="minorHAnsi"/>
          <w:szCs w:val="24"/>
          <w:lang w:val="en-GB"/>
        </w:rPr>
      </w:pPr>
      <w:r>
        <w:rPr>
          <w:rFonts w:ascii="Times New Roman" w:hAnsi="Times New Roman" w:cs="Times New Roman" w:eastAsiaTheme="minorHAnsi"/>
          <w:szCs w:val="24"/>
          <w:lang w:val="en-GB"/>
        </w:rPr>
        <w:t>2.  </w:t>
      </w:r>
      <w:r w:rsidRPr="00DB72BA" w:rsidR="00F8757D">
        <w:rPr>
          <w:rFonts w:ascii="Times New Roman" w:hAnsi="Times New Roman" w:cs="Times New Roman"/>
          <w:szCs w:val="24"/>
          <w:lang w:val="en-GB"/>
        </w:rPr>
        <w:t>We agree that the withdrawal of the applicant</w:t>
      </w:r>
      <w:r w:rsidR="006011C5">
        <w:rPr>
          <w:rFonts w:ascii="Times New Roman" w:hAnsi="Times New Roman" w:cs="Times New Roman"/>
          <w:szCs w:val="24"/>
          <w:lang w:val="en-GB"/>
        </w:rPr>
        <w:t>’</w:t>
      </w:r>
      <w:r w:rsidRPr="00DB72BA" w:rsidR="00F8757D">
        <w:rPr>
          <w:rFonts w:ascii="Times New Roman" w:hAnsi="Times New Roman" w:cs="Times New Roman"/>
          <w:szCs w:val="24"/>
          <w:lang w:val="en-GB"/>
        </w:rPr>
        <w:t>s licence to sell tobacco products, as a consequence of the Act on the Repression of Smoking of the Youth and on Tobacco Retail, amounted to an interference with his right to the peaceful enjoyment of his possessions, involving control of the use of property within the meaning of paragraph 2 of Article 1 of Protocol No. 1</w:t>
      </w:r>
      <w:r w:rsidRPr="00DB72BA" w:rsidR="00F8757D">
        <w:rPr>
          <w:rFonts w:ascii="Times New Roman" w:hAnsi="Times New Roman" w:cs="Times New Roman" w:eastAsiaTheme="minorHAnsi"/>
          <w:szCs w:val="24"/>
          <w:lang w:val="en-GB"/>
        </w:rPr>
        <w:t>.</w:t>
      </w:r>
    </w:p>
    <w:p w:rsidRPr="00DB72BA" w:rsidR="00F8757D" w:rsidP="00F8757D" w:rsidRDefault="00DB72BA">
      <w:pPr>
        <w:pStyle w:val="OpiPara"/>
        <w:rPr>
          <w:rFonts w:ascii="Times New Roman" w:hAnsi="Times New Roman" w:cs="Times New Roman" w:eastAsiaTheme="minorHAnsi"/>
          <w:szCs w:val="24"/>
          <w:lang w:val="en-GB"/>
        </w:rPr>
      </w:pPr>
      <w:r>
        <w:rPr>
          <w:rFonts w:ascii="Times New Roman" w:hAnsi="Times New Roman" w:cs="Times New Roman" w:eastAsiaTheme="minorHAnsi"/>
          <w:szCs w:val="24"/>
          <w:lang w:val="en-GB"/>
        </w:rPr>
        <w:t>3.  </w:t>
      </w:r>
      <w:r w:rsidRPr="00DB72BA" w:rsidR="00F8757D">
        <w:rPr>
          <w:rFonts w:ascii="Times New Roman" w:hAnsi="Times New Roman" w:cs="Times New Roman"/>
          <w:szCs w:val="24"/>
          <w:lang w:val="en-GB"/>
        </w:rPr>
        <w:t>The enactment of the law restricting and controlling the selling of tobacco products clearly pursued a legitimate aim in protecting the health of the population, in particular as regards minors. Indeed, States have a wide margin of appreciation in adopting and implementing policies to protect the health of the population and in controlling the use of property, including laying down the general conditions for pursuing a commercial activity, such as retail of tobacco products</w:t>
      </w:r>
      <w:r w:rsidRPr="00DB72BA" w:rsidR="00F8757D">
        <w:rPr>
          <w:rFonts w:ascii="Times New Roman" w:hAnsi="Times New Roman" w:cs="Times New Roman"/>
          <w:bCs/>
          <w:szCs w:val="24"/>
          <w:lang w:val="en-GB"/>
        </w:rPr>
        <w:t xml:space="preserve"> (see, </w:t>
      </w:r>
      <w:r w:rsidRPr="00DB72BA" w:rsidR="00F8757D">
        <w:rPr>
          <w:rFonts w:ascii="Times New Roman" w:hAnsi="Times New Roman" w:cs="Times New Roman"/>
          <w:bCs/>
          <w:i/>
          <w:szCs w:val="24"/>
          <w:lang w:val="en-GB"/>
        </w:rPr>
        <w:t>inter alia</w:t>
      </w:r>
      <w:r w:rsidRPr="00DB72BA" w:rsidR="00F8757D">
        <w:rPr>
          <w:rFonts w:ascii="Times New Roman" w:hAnsi="Times New Roman" w:cs="Times New Roman"/>
          <w:bCs/>
          <w:szCs w:val="24"/>
          <w:lang w:val="en-GB"/>
        </w:rPr>
        <w:t xml:space="preserve">, </w:t>
      </w:r>
      <w:proofErr w:type="spellStart"/>
      <w:r w:rsidRPr="00DB72BA" w:rsidR="00F8757D">
        <w:rPr>
          <w:rFonts w:ascii="Times New Roman" w:hAnsi="Times New Roman" w:cs="Times New Roman"/>
          <w:i/>
          <w:szCs w:val="24"/>
          <w:lang w:val="en-GB"/>
        </w:rPr>
        <w:t>Chassagnou</w:t>
      </w:r>
      <w:proofErr w:type="spellEnd"/>
      <w:r w:rsidRPr="00DB72BA" w:rsidR="00F8757D">
        <w:rPr>
          <w:rFonts w:ascii="Times New Roman" w:hAnsi="Times New Roman" w:cs="Times New Roman"/>
          <w:i/>
          <w:szCs w:val="24"/>
          <w:lang w:val="en-GB"/>
        </w:rPr>
        <w:t xml:space="preserve"> and Others v. France</w:t>
      </w:r>
      <w:r w:rsidRPr="00DB72BA" w:rsidR="00F8757D">
        <w:rPr>
          <w:rFonts w:ascii="Times New Roman" w:hAnsi="Times New Roman" w:cs="Times New Roman"/>
          <w:szCs w:val="24"/>
          <w:lang w:val="en-GB"/>
        </w:rPr>
        <w:t xml:space="preserve"> [GC], nos. 25088/94, 28331/95 and 28443/95, § 75, ECHR </w:t>
      </w:r>
      <w:r>
        <w:rPr>
          <w:rFonts w:ascii="Times New Roman" w:hAnsi="Times New Roman" w:cs="Times New Roman"/>
          <w:szCs w:val="24"/>
          <w:lang w:val="en-GB"/>
        </w:rPr>
        <w:t>1999</w:t>
      </w:r>
      <w:r>
        <w:rPr>
          <w:rFonts w:ascii="Times New Roman" w:hAnsi="Times New Roman" w:cs="Times New Roman"/>
          <w:szCs w:val="24"/>
          <w:lang w:val="en-GB"/>
        </w:rPr>
        <w:noBreakHyphen/>
        <w:t>III;</w:t>
      </w:r>
      <w:r w:rsidRPr="00DB72BA" w:rsidR="00F8757D">
        <w:rPr>
          <w:rFonts w:ascii="Times New Roman" w:hAnsi="Times New Roman" w:cs="Times New Roman"/>
          <w:szCs w:val="24"/>
          <w:lang w:val="en-GB"/>
        </w:rPr>
        <w:t xml:space="preserve"> and </w:t>
      </w:r>
      <w:r w:rsidRPr="00DB72BA" w:rsidR="00F8757D">
        <w:rPr>
          <w:rFonts w:ascii="Times New Roman" w:hAnsi="Times New Roman" w:cs="Times New Roman"/>
          <w:i/>
          <w:szCs w:val="24"/>
          <w:lang w:val="en-GB"/>
        </w:rPr>
        <w:t xml:space="preserve">J.A. </w:t>
      </w:r>
      <w:proofErr w:type="spellStart"/>
      <w:r w:rsidRPr="00DB72BA" w:rsidR="00F8757D">
        <w:rPr>
          <w:rFonts w:ascii="Times New Roman" w:hAnsi="Times New Roman" w:cs="Times New Roman"/>
          <w:i/>
          <w:szCs w:val="24"/>
          <w:lang w:val="en-GB"/>
        </w:rPr>
        <w:t>Pye</w:t>
      </w:r>
      <w:proofErr w:type="spellEnd"/>
      <w:r w:rsidRPr="00DB72BA" w:rsidR="00F8757D">
        <w:rPr>
          <w:rFonts w:ascii="Times New Roman" w:hAnsi="Times New Roman" w:cs="Times New Roman"/>
          <w:i/>
          <w:szCs w:val="24"/>
          <w:lang w:val="en-GB"/>
        </w:rPr>
        <w:t xml:space="preserve"> (Oxford) Ltd and J.A. </w:t>
      </w:r>
      <w:proofErr w:type="spellStart"/>
      <w:r w:rsidRPr="00DB72BA" w:rsidR="00F8757D">
        <w:rPr>
          <w:rFonts w:ascii="Times New Roman" w:hAnsi="Times New Roman" w:cs="Times New Roman"/>
          <w:i/>
          <w:szCs w:val="24"/>
          <w:lang w:val="en-GB"/>
        </w:rPr>
        <w:t>Pye</w:t>
      </w:r>
      <w:proofErr w:type="spellEnd"/>
      <w:r w:rsidRPr="00DB72BA" w:rsidR="00F8757D">
        <w:rPr>
          <w:rFonts w:ascii="Times New Roman" w:hAnsi="Times New Roman" w:cs="Times New Roman"/>
          <w:i/>
          <w:szCs w:val="24"/>
          <w:lang w:val="en-GB"/>
        </w:rPr>
        <w:t xml:space="preserve"> (Oxford) Land Ltd v. the United Kingdom</w:t>
      </w:r>
      <w:r w:rsidRPr="00DB72BA" w:rsidR="00F8757D">
        <w:rPr>
          <w:rFonts w:ascii="Times New Roman" w:hAnsi="Times New Roman" w:cs="Times New Roman"/>
          <w:szCs w:val="24"/>
          <w:lang w:val="en-GB"/>
        </w:rPr>
        <w:t xml:space="preserve"> [GC], no. 44302/02, § 55, ECHR 2007</w:t>
      </w:r>
      <w:r w:rsidRPr="00DB72BA" w:rsidR="00F8757D">
        <w:rPr>
          <w:rFonts w:ascii="Times New Roman" w:hAnsi="Times New Roman" w:cs="Times New Roman"/>
          <w:szCs w:val="24"/>
          <w:lang w:val="en-GB"/>
        </w:rPr>
        <w:noBreakHyphen/>
        <w:t>III</w:t>
      </w:r>
      <w:r w:rsidRPr="00DB72BA" w:rsidR="00F8757D">
        <w:rPr>
          <w:rFonts w:ascii="Times New Roman" w:hAnsi="Times New Roman" w:cs="Times New Roman"/>
          <w:bCs/>
          <w:szCs w:val="24"/>
          <w:lang w:val="en-GB"/>
        </w:rPr>
        <w:t>)</w:t>
      </w:r>
      <w:r w:rsidRPr="00DB72BA" w:rsidR="00F8757D">
        <w:rPr>
          <w:rFonts w:ascii="Times New Roman" w:hAnsi="Times New Roman" w:cs="Times New Roman" w:eastAsiaTheme="minorHAnsi"/>
          <w:szCs w:val="24"/>
          <w:lang w:val="en-GB"/>
        </w:rPr>
        <w:t>.</w:t>
      </w:r>
    </w:p>
    <w:p w:rsidRPr="00DB72BA" w:rsidR="00F8757D" w:rsidP="00F8757D" w:rsidRDefault="00DB72BA">
      <w:pPr>
        <w:pStyle w:val="OpiPara"/>
        <w:rPr>
          <w:rFonts w:ascii="Times New Roman" w:hAnsi="Times New Roman" w:cs="Times New Roman" w:eastAsiaTheme="minorHAnsi"/>
          <w:szCs w:val="24"/>
          <w:lang w:val="en-GB"/>
        </w:rPr>
      </w:pPr>
      <w:r>
        <w:rPr>
          <w:rFonts w:ascii="Times New Roman" w:hAnsi="Times New Roman" w:cs="Times New Roman" w:eastAsiaTheme="minorHAnsi"/>
          <w:szCs w:val="24"/>
          <w:lang w:val="en-GB"/>
        </w:rPr>
        <w:t>4.  </w:t>
      </w:r>
      <w:r w:rsidRPr="00DB72BA" w:rsidR="00F8757D">
        <w:rPr>
          <w:rFonts w:ascii="Times New Roman" w:hAnsi="Times New Roman" w:cs="Times New Roman"/>
          <w:bCs/>
          <w:szCs w:val="24"/>
          <w:lang w:val="en-GB"/>
        </w:rPr>
        <w:t xml:space="preserve">Furthermore, under the case-law of the Court there is no general obligation to pay compensation for interferences amounting to control of the use of property, even in cases concerning the withdrawal of a licence. However, the payment of compensation may be of relevance in assessing the proportionality of the interference in question (see, </w:t>
      </w:r>
      <w:r w:rsidRPr="00DB72BA" w:rsidR="00F8757D">
        <w:rPr>
          <w:rFonts w:ascii="Times New Roman" w:hAnsi="Times New Roman" w:cs="Times New Roman"/>
          <w:bCs/>
          <w:i/>
          <w:szCs w:val="24"/>
          <w:lang w:val="en-GB"/>
        </w:rPr>
        <w:t>inter alia</w:t>
      </w:r>
      <w:r w:rsidRPr="00DB72BA" w:rsidR="00F8757D">
        <w:rPr>
          <w:rFonts w:ascii="Times New Roman" w:hAnsi="Times New Roman" w:cs="Times New Roman"/>
          <w:bCs/>
          <w:szCs w:val="24"/>
          <w:lang w:val="en-GB"/>
        </w:rPr>
        <w:t xml:space="preserve">, </w:t>
      </w:r>
      <w:proofErr w:type="spellStart"/>
      <w:r w:rsidRPr="00DB72BA" w:rsidR="00F8757D">
        <w:rPr>
          <w:rFonts w:ascii="Times New Roman" w:hAnsi="Times New Roman" w:cs="Times New Roman"/>
          <w:i/>
          <w:szCs w:val="24"/>
          <w:lang w:val="en-GB"/>
        </w:rPr>
        <w:t>Jahn</w:t>
      </w:r>
      <w:proofErr w:type="spellEnd"/>
      <w:r w:rsidRPr="00DB72BA" w:rsidR="00F8757D">
        <w:rPr>
          <w:rFonts w:ascii="Times New Roman" w:hAnsi="Times New Roman" w:cs="Times New Roman"/>
          <w:i/>
          <w:szCs w:val="24"/>
          <w:lang w:val="en-GB"/>
        </w:rPr>
        <w:t xml:space="preserve"> and Others v. Germany </w:t>
      </w:r>
      <w:r w:rsidRPr="00DB72BA" w:rsidR="00F8757D">
        <w:rPr>
          <w:rFonts w:ascii="Times New Roman" w:hAnsi="Times New Roman" w:cs="Times New Roman"/>
          <w:szCs w:val="24"/>
          <w:lang w:val="en-GB"/>
        </w:rPr>
        <w:t>[GC], nos. 46720/99, 72203/01 and 72552/01, § 94, ECHR 2005</w:t>
      </w:r>
      <w:r w:rsidRPr="00DB72BA" w:rsidR="00F8757D">
        <w:rPr>
          <w:rFonts w:ascii="Times New Roman" w:hAnsi="Times New Roman" w:cs="Times New Roman"/>
          <w:szCs w:val="24"/>
          <w:lang w:val="en-GB"/>
        </w:rPr>
        <w:noBreakHyphen/>
        <w:t xml:space="preserve">VI; </w:t>
      </w:r>
      <w:proofErr w:type="spellStart"/>
      <w:r w:rsidRPr="00DB72BA" w:rsidR="00F8757D">
        <w:rPr>
          <w:rFonts w:ascii="Times New Roman" w:hAnsi="Times New Roman" w:cs="Times New Roman"/>
          <w:i/>
          <w:szCs w:val="24"/>
          <w:lang w:val="en-GB"/>
        </w:rPr>
        <w:t>Brosset-Triboulet</w:t>
      </w:r>
      <w:proofErr w:type="spellEnd"/>
      <w:r w:rsidRPr="00DB72BA" w:rsidR="00F8757D">
        <w:rPr>
          <w:rFonts w:ascii="Times New Roman" w:hAnsi="Times New Roman" w:cs="Times New Roman"/>
          <w:i/>
          <w:szCs w:val="24"/>
          <w:lang w:val="en-GB"/>
        </w:rPr>
        <w:t xml:space="preserve"> and Others v. France</w:t>
      </w:r>
      <w:r w:rsidRPr="00DB72BA" w:rsidR="00F8757D">
        <w:rPr>
          <w:rFonts w:ascii="Times New Roman" w:hAnsi="Times New Roman" w:cs="Times New Roman"/>
          <w:szCs w:val="24"/>
          <w:lang w:val="en-GB"/>
        </w:rPr>
        <w:t xml:space="preserve"> [GC], no. 34078/02</w:t>
      </w:r>
      <w:r w:rsidRPr="00DB72BA" w:rsidR="00F8757D">
        <w:rPr>
          <w:rFonts w:ascii="Times New Roman" w:hAnsi="Times New Roman" w:cs="Times New Roman"/>
          <w:snapToGrid w:val="0"/>
          <w:szCs w:val="24"/>
          <w:lang w:val="en-GB"/>
        </w:rPr>
        <w:t xml:space="preserve">, § 94, 29 March 2010; and </w:t>
      </w:r>
      <w:proofErr w:type="spellStart"/>
      <w:r w:rsidRPr="00DB72BA" w:rsidR="00F8757D">
        <w:rPr>
          <w:rFonts w:ascii="Times New Roman" w:hAnsi="Times New Roman" w:cs="Times New Roman"/>
          <w:i/>
          <w:snapToGrid w:val="0"/>
          <w:szCs w:val="24"/>
          <w:lang w:val="en-GB"/>
        </w:rPr>
        <w:t>Uzan</w:t>
      </w:r>
      <w:proofErr w:type="spellEnd"/>
      <w:r w:rsidRPr="00DB72BA" w:rsidR="00F8757D">
        <w:rPr>
          <w:rFonts w:ascii="Times New Roman" w:hAnsi="Times New Roman" w:cs="Times New Roman"/>
          <w:i/>
          <w:snapToGrid w:val="0"/>
          <w:szCs w:val="24"/>
          <w:lang w:val="en-GB"/>
        </w:rPr>
        <w:t xml:space="preserve"> and Others v. Turkey</w:t>
      </w:r>
      <w:r w:rsidRPr="00DB72BA" w:rsidR="00F8757D">
        <w:rPr>
          <w:rFonts w:ascii="Times New Roman" w:hAnsi="Times New Roman" w:cs="Times New Roman"/>
          <w:snapToGrid w:val="0"/>
          <w:szCs w:val="24"/>
          <w:lang w:val="en-GB"/>
        </w:rPr>
        <w:t xml:space="preserve"> (</w:t>
      </w:r>
      <w:proofErr w:type="spellStart"/>
      <w:r w:rsidRPr="00DB72BA" w:rsidR="00F8757D">
        <w:rPr>
          <w:rFonts w:ascii="Times New Roman" w:hAnsi="Times New Roman" w:cs="Times New Roman"/>
          <w:snapToGrid w:val="0"/>
          <w:szCs w:val="24"/>
          <w:lang w:val="en-GB"/>
        </w:rPr>
        <w:t>dec.</w:t>
      </w:r>
      <w:proofErr w:type="spellEnd"/>
      <w:r w:rsidRPr="00DB72BA" w:rsidR="00F8757D">
        <w:rPr>
          <w:rFonts w:ascii="Times New Roman" w:hAnsi="Times New Roman" w:cs="Times New Roman"/>
          <w:snapToGrid w:val="0"/>
          <w:szCs w:val="24"/>
          <w:lang w:val="en-GB"/>
        </w:rPr>
        <w:t>), no. 18240/03, § 102, 29 March 2011</w:t>
      </w:r>
      <w:r w:rsidRPr="00DB72BA" w:rsidR="00F8757D">
        <w:rPr>
          <w:rFonts w:ascii="Times New Roman" w:hAnsi="Times New Roman" w:cs="Times New Roman"/>
          <w:bCs/>
          <w:szCs w:val="24"/>
          <w:lang w:val="en-GB"/>
        </w:rPr>
        <w:t>)</w:t>
      </w:r>
      <w:r w:rsidRPr="00DB72BA" w:rsidR="00F8757D">
        <w:rPr>
          <w:rFonts w:ascii="Times New Roman" w:hAnsi="Times New Roman" w:cs="Times New Roman" w:eastAsiaTheme="minorHAnsi"/>
          <w:szCs w:val="24"/>
          <w:lang w:val="en-GB"/>
        </w:rPr>
        <w:t>.</w:t>
      </w:r>
    </w:p>
    <w:p w:rsidRPr="00DB72BA" w:rsidR="00F8757D" w:rsidP="00F8757D" w:rsidRDefault="00DB72BA">
      <w:pPr>
        <w:pStyle w:val="OpiPara"/>
        <w:rPr>
          <w:rFonts w:ascii="Times New Roman" w:hAnsi="Times New Roman" w:cs="Times New Roman"/>
          <w:bCs/>
          <w:szCs w:val="24"/>
          <w:lang w:val="en-GB"/>
        </w:rPr>
      </w:pPr>
      <w:r>
        <w:rPr>
          <w:rFonts w:ascii="Times New Roman" w:hAnsi="Times New Roman" w:cs="Times New Roman"/>
          <w:bCs/>
          <w:szCs w:val="24"/>
          <w:lang w:val="en-GB"/>
        </w:rPr>
        <w:t>5.  </w:t>
      </w:r>
      <w:r w:rsidRPr="00DB72BA" w:rsidR="00F8757D">
        <w:rPr>
          <w:rFonts w:ascii="Times New Roman" w:hAnsi="Times New Roman" w:cs="Times New Roman"/>
          <w:bCs/>
          <w:szCs w:val="24"/>
          <w:lang w:val="en-GB"/>
        </w:rPr>
        <w:t>However, Contracting States have an obligation to ensure that interferences amounting to control of the use of property, including the revocation of a licence to run a business, strike a fair balance between individual rights and the general interest. A proper balance of these interests is not attained if the person concerned has had to bear an individual and excessive burden.</w:t>
      </w:r>
    </w:p>
    <w:p w:rsidRPr="00DB72BA" w:rsidR="00F8757D" w:rsidP="00F8757D" w:rsidRDefault="00DB72BA">
      <w:pPr>
        <w:pStyle w:val="OpiPara"/>
        <w:rPr>
          <w:rFonts w:ascii="Times New Roman" w:hAnsi="Times New Roman" w:cs="Times New Roman"/>
          <w:bCs/>
          <w:szCs w:val="24"/>
          <w:lang w:val="en-GB"/>
        </w:rPr>
      </w:pPr>
      <w:r>
        <w:rPr>
          <w:rFonts w:ascii="Times New Roman" w:hAnsi="Times New Roman" w:cs="Times New Roman"/>
          <w:bCs/>
          <w:szCs w:val="24"/>
          <w:lang w:val="en-GB"/>
        </w:rPr>
        <w:t>6.  </w:t>
      </w:r>
      <w:r w:rsidRPr="00DB72BA" w:rsidR="00F8757D">
        <w:rPr>
          <w:rFonts w:ascii="Times New Roman" w:hAnsi="Times New Roman" w:cs="Times New Roman"/>
          <w:bCs/>
          <w:szCs w:val="24"/>
          <w:lang w:val="en-GB"/>
        </w:rPr>
        <w:t>As regards the present case, the applicant had been selling tobacco products lawfully for more than sixteen years under a licence granted by the authorities, and a significant part of the turnover came from selling tobacco products.</w:t>
      </w:r>
    </w:p>
    <w:p w:rsidRPr="00DB72BA" w:rsidR="00F8757D" w:rsidP="00F8757D" w:rsidRDefault="00DB72BA">
      <w:pPr>
        <w:pStyle w:val="OpiPara"/>
        <w:rPr>
          <w:rFonts w:ascii="Times New Roman" w:hAnsi="Times New Roman" w:cs="Times New Roman"/>
          <w:bCs/>
          <w:szCs w:val="24"/>
          <w:lang w:val="en-GB"/>
        </w:rPr>
      </w:pPr>
      <w:r>
        <w:rPr>
          <w:rFonts w:ascii="Times New Roman" w:hAnsi="Times New Roman" w:cs="Times New Roman"/>
          <w:bCs/>
          <w:szCs w:val="24"/>
          <w:lang w:val="en-GB"/>
        </w:rPr>
        <w:t>7.  </w:t>
      </w:r>
      <w:r w:rsidRPr="00DB72BA" w:rsidR="00F8757D">
        <w:rPr>
          <w:rFonts w:ascii="Times New Roman" w:hAnsi="Times New Roman" w:cs="Times New Roman"/>
          <w:bCs/>
          <w:szCs w:val="24"/>
          <w:lang w:val="en-GB"/>
        </w:rPr>
        <w:t xml:space="preserve">From the time of the publication of the </w:t>
      </w:r>
      <w:r w:rsidRPr="00DB72BA" w:rsidR="00F8757D">
        <w:rPr>
          <w:rFonts w:ascii="Times New Roman" w:hAnsi="Times New Roman" w:cs="Times New Roman"/>
          <w:szCs w:val="24"/>
          <w:lang w:val="en-GB"/>
        </w:rPr>
        <w:t xml:space="preserve">Act on the Repression of Smoking of the Youth and on Tobacco Retail, </w:t>
      </w:r>
      <w:r w:rsidRPr="00DB72BA" w:rsidR="00F8757D">
        <w:rPr>
          <w:rFonts w:ascii="Times New Roman" w:hAnsi="Times New Roman" w:cs="Times New Roman"/>
          <w:bCs/>
          <w:szCs w:val="24"/>
          <w:lang w:val="en-GB"/>
        </w:rPr>
        <w:t xml:space="preserve">the applicant must have been aware that the future sale of tobacco products had become precarious, being conditional on obtaining a tobacco retail concession under the new law. However, only six </w:t>
      </w:r>
      <w:r>
        <w:rPr>
          <w:rFonts w:ascii="Times New Roman" w:hAnsi="Times New Roman" w:cs="Times New Roman"/>
          <w:bCs/>
          <w:szCs w:val="24"/>
          <w:lang w:val="en-GB"/>
        </w:rPr>
        <w:t>months after the publi</w:t>
      </w:r>
      <w:r w:rsidRPr="00DB72BA" w:rsidR="00F8757D">
        <w:rPr>
          <w:rFonts w:ascii="Times New Roman" w:hAnsi="Times New Roman" w:cs="Times New Roman"/>
          <w:bCs/>
          <w:szCs w:val="24"/>
          <w:lang w:val="en-GB"/>
        </w:rPr>
        <w:t>cation of the Act, the applicant was informed that he had not been granted a tobacco retail concession, and only three months later he had to stop selling tobacco products, as a consequence of which his business had to close.</w:t>
      </w:r>
    </w:p>
    <w:p w:rsidRPr="00DB72BA" w:rsidR="00F8757D" w:rsidP="00F8757D" w:rsidRDefault="00DB72BA">
      <w:pPr>
        <w:pStyle w:val="OpiPara"/>
        <w:rPr>
          <w:rFonts w:ascii="Times New Roman" w:hAnsi="Times New Roman" w:cs="Times New Roman"/>
          <w:bCs/>
          <w:szCs w:val="24"/>
          <w:lang w:val="en-GB"/>
        </w:rPr>
      </w:pPr>
      <w:r>
        <w:rPr>
          <w:rFonts w:ascii="Times New Roman" w:hAnsi="Times New Roman" w:cs="Times New Roman"/>
          <w:bCs/>
          <w:szCs w:val="24"/>
          <w:lang w:val="en-GB"/>
        </w:rPr>
        <w:t>8.  </w:t>
      </w:r>
      <w:r w:rsidRPr="00DB72BA" w:rsidR="00F8757D">
        <w:rPr>
          <w:rFonts w:ascii="Times New Roman" w:hAnsi="Times New Roman" w:cs="Times New Roman"/>
          <w:bCs/>
          <w:szCs w:val="24"/>
          <w:lang w:val="en-GB"/>
        </w:rPr>
        <w:t>Owing to the particularly short transition period, the applicant was granted very little time to adjust to the new situation. The consequences were all the more dire as the legislation in question did not provide for any compensation for licence holders who did not obtain a tobacco retail concession under the new legislation. Furthermore, the applicant was not given any reasons for not having been granted a new licence. Nor did he have access to a legal remedy to challenge the refusal to grant him a new licence.</w:t>
      </w:r>
    </w:p>
    <w:p w:rsidRPr="00DB72BA" w:rsidR="00F8757D" w:rsidP="00F8757D" w:rsidRDefault="00DB72BA">
      <w:pPr>
        <w:pStyle w:val="OpiPara"/>
        <w:rPr>
          <w:rFonts w:ascii="Times New Roman" w:hAnsi="Times New Roman" w:cs="Times New Roman"/>
          <w:bCs/>
          <w:szCs w:val="24"/>
          <w:lang w:val="en-GB"/>
        </w:rPr>
      </w:pPr>
      <w:r>
        <w:rPr>
          <w:rFonts w:ascii="Times New Roman" w:hAnsi="Times New Roman" w:cs="Times New Roman"/>
          <w:bCs/>
          <w:szCs w:val="24"/>
          <w:lang w:val="en-GB"/>
        </w:rPr>
        <w:t>9.  </w:t>
      </w:r>
      <w:r w:rsidRPr="00DB72BA" w:rsidR="00F8757D">
        <w:rPr>
          <w:rFonts w:ascii="Times New Roman" w:hAnsi="Times New Roman" w:cs="Times New Roman"/>
          <w:bCs/>
          <w:szCs w:val="24"/>
          <w:lang w:val="en-GB"/>
        </w:rPr>
        <w:t>Therefore, having regard to the specific circumstances of the case and irrespective of the State</w:t>
      </w:r>
      <w:r w:rsidR="006011C5">
        <w:rPr>
          <w:rFonts w:ascii="Times New Roman" w:hAnsi="Times New Roman" w:cs="Times New Roman"/>
          <w:bCs/>
          <w:szCs w:val="24"/>
          <w:lang w:val="en-GB"/>
        </w:rPr>
        <w:t>’</w:t>
      </w:r>
      <w:r w:rsidRPr="00DB72BA" w:rsidR="00F8757D">
        <w:rPr>
          <w:rFonts w:ascii="Times New Roman" w:hAnsi="Times New Roman" w:cs="Times New Roman"/>
          <w:bCs/>
          <w:szCs w:val="24"/>
          <w:lang w:val="en-GB"/>
        </w:rPr>
        <w:t>s wide margin of appreciation, we concur in finding that the applicant had to bear an individual and excessive burden, in violation of Article 1 of Protocol No. 1.</w:t>
      </w:r>
    </w:p>
    <w:p w:rsidRPr="00DB72BA" w:rsidR="00F8757D" w:rsidP="00F8757D" w:rsidRDefault="00DB72BA">
      <w:pPr>
        <w:pStyle w:val="OpiPara"/>
        <w:rPr>
          <w:rFonts w:ascii="Times New Roman" w:hAnsi="Times New Roman" w:cs="Times New Roman"/>
          <w:bCs/>
          <w:szCs w:val="24"/>
          <w:lang w:val="en-GB"/>
        </w:rPr>
      </w:pPr>
      <w:r>
        <w:rPr>
          <w:rFonts w:ascii="Times New Roman" w:hAnsi="Times New Roman" w:cs="Times New Roman"/>
          <w:bCs/>
          <w:szCs w:val="24"/>
          <w:lang w:val="en-GB"/>
        </w:rPr>
        <w:t>10.  </w:t>
      </w:r>
      <w:r w:rsidRPr="00DB72BA" w:rsidR="00F8757D">
        <w:rPr>
          <w:rFonts w:ascii="Times New Roman" w:hAnsi="Times New Roman" w:cs="Times New Roman"/>
          <w:bCs/>
          <w:szCs w:val="24"/>
          <w:lang w:val="en-GB"/>
        </w:rPr>
        <w:t>In our view, however, there is not a sufficient basis for finding that the process of granting concessions was “verging on arbitrariness” (see paragraph 36 of the judgment). Furthermore, the Court</w:t>
      </w:r>
      <w:r w:rsidR="006011C5">
        <w:rPr>
          <w:rFonts w:ascii="Times New Roman" w:hAnsi="Times New Roman" w:cs="Times New Roman"/>
          <w:bCs/>
          <w:szCs w:val="24"/>
          <w:lang w:val="en-GB"/>
        </w:rPr>
        <w:t>’</w:t>
      </w:r>
      <w:r w:rsidRPr="00DB72BA" w:rsidR="00F8757D">
        <w:rPr>
          <w:rFonts w:ascii="Times New Roman" w:hAnsi="Times New Roman" w:cs="Times New Roman"/>
          <w:bCs/>
          <w:szCs w:val="24"/>
          <w:lang w:val="en-GB"/>
        </w:rPr>
        <w:t>s task is not to tell the State what it could or should have done in implementing its policy in this area (ibid.), but rather to assess whether the way the applicant</w:t>
      </w:r>
      <w:r w:rsidR="006011C5">
        <w:rPr>
          <w:rFonts w:ascii="Times New Roman" w:hAnsi="Times New Roman" w:cs="Times New Roman"/>
          <w:bCs/>
          <w:szCs w:val="24"/>
          <w:lang w:val="en-GB"/>
        </w:rPr>
        <w:t>’</w:t>
      </w:r>
      <w:r w:rsidRPr="00DB72BA" w:rsidR="00F8757D">
        <w:rPr>
          <w:rFonts w:ascii="Times New Roman" w:hAnsi="Times New Roman" w:cs="Times New Roman"/>
          <w:bCs/>
          <w:szCs w:val="24"/>
          <w:lang w:val="en-GB"/>
        </w:rPr>
        <w:t>s licence was revoked in the specific circumstances of the case amounted to an unjustified interference with his property rights under Article 1 of Protocol No. 1.</w:t>
      </w:r>
    </w:p>
    <w:p w:rsidRPr="007E600E" w:rsidR="00F8757D" w:rsidP="00F8757D" w:rsidRDefault="00DB72BA">
      <w:pPr>
        <w:pStyle w:val="OpiPara"/>
        <w:rPr>
          <w:lang w:val="en-GB"/>
        </w:rPr>
      </w:pPr>
      <w:r>
        <w:rPr>
          <w:rFonts w:ascii="Times New Roman" w:hAnsi="Times New Roman" w:cs="Times New Roman"/>
          <w:bCs/>
          <w:szCs w:val="24"/>
          <w:lang w:val="en-GB"/>
        </w:rPr>
        <w:t>11.  </w:t>
      </w:r>
      <w:r w:rsidRPr="00DB72BA" w:rsidR="00F8757D">
        <w:rPr>
          <w:rFonts w:ascii="Times New Roman" w:hAnsi="Times New Roman" w:cs="Times New Roman"/>
          <w:bCs/>
          <w:szCs w:val="24"/>
          <w:lang w:val="en-GB"/>
        </w:rPr>
        <w:t>Finally, as regards compensation for pecuniary damage, we emphasise that the sum granted to the applicant is intended to compensate for the loss of profit from selling tobacco products during a transition period that may be regarded as reasonable, allowing the applicant sufficient time to adjust to the new situation arising as a consequence of the new legislation.</w:t>
      </w:r>
    </w:p>
    <w:sectPr w:rsidRPr="007E600E" w:rsidR="00F8757D" w:rsidSect="00F8757D">
      <w:headerReference w:type="even" r:id="rId13"/>
      <w:headerReference w:type="default" r:id="rId14"/>
      <w:footnotePr>
        <w:numRestart w:val="eachPage"/>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ED4" w:rsidRDefault="002C2ED4" w:rsidP="00014566">
      <w:r>
        <w:separator/>
      </w:r>
    </w:p>
  </w:endnote>
  <w:endnote w:type="continuationSeparator" w:id="0">
    <w:p w:rsidR="002C2ED4" w:rsidRDefault="002C2ED4"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D6F" w:rsidRPr="00150BFA" w:rsidRDefault="00641D6F" w:rsidP="0020718E">
    <w:pPr>
      <w:jc w:val="center"/>
    </w:pPr>
    <w:r>
      <w:rPr>
        <w:noProof/>
        <w:lang w:eastAsia="ja-JP"/>
      </w:rPr>
      <w:drawing>
        <wp:inline distT="0" distB="0" distL="0" distR="0" wp14:anchorId="10832B2B" wp14:editId="131BD46F">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641D6F" w:rsidRDefault="00641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ED4" w:rsidRDefault="002C2ED4" w:rsidP="00014566">
      <w:r>
        <w:separator/>
      </w:r>
    </w:p>
  </w:footnote>
  <w:footnote w:type="continuationSeparator" w:id="0">
    <w:p w:rsidR="002C2ED4" w:rsidRDefault="002C2ED4" w:rsidP="00014566">
      <w:r>
        <w:continuationSeparator/>
      </w:r>
    </w:p>
  </w:footnote>
  <w:footnote w:id="1">
    <w:p w:rsidR="007316E4" w:rsidRPr="007316E4" w:rsidRDefault="007316E4">
      <w:pPr>
        <w:pStyle w:val="FootnoteText"/>
        <w:rPr>
          <w:lang w:val="hu-HU"/>
        </w:rPr>
      </w:pPr>
      <w:r w:rsidRPr="007316E4">
        <w:rPr>
          <w:rStyle w:val="FootnoteReference"/>
        </w:rPr>
        <w:footnoteRef/>
      </w:r>
      <w:r w:rsidRPr="007316E4">
        <w:t xml:space="preserve"> </w:t>
      </w:r>
      <w:proofErr w:type="spellStart"/>
      <w:proofErr w:type="gramStart"/>
      <w:r w:rsidRPr="007316E4">
        <w:rPr>
          <w:lang w:val="hu-HU"/>
        </w:rPr>
        <w:t>www</w:t>
      </w:r>
      <w:proofErr w:type="spellEnd"/>
      <w:r w:rsidRPr="007316E4">
        <w:rPr>
          <w:lang w:val="hu-HU"/>
        </w:rPr>
        <w:t>.</w:t>
      </w:r>
      <w:r w:rsidRPr="007316E4">
        <w:t>nemzetidohany.hu</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D4" w:rsidRPr="00D60D87" w:rsidRDefault="002C2ED4" w:rsidP="00641D6F">
    <w:pPr>
      <w:pStyle w:val="ECHRHeader"/>
      <w:jc w:val="cent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D6F" w:rsidRPr="00A45145" w:rsidRDefault="00641D6F" w:rsidP="00A45145">
    <w:pPr>
      <w:jc w:val="center"/>
    </w:pPr>
    <w:r>
      <w:rPr>
        <w:noProof/>
        <w:lang w:eastAsia="ja-JP"/>
      </w:rPr>
      <w:drawing>
        <wp:inline distT="0" distB="0" distL="0" distR="0" wp14:anchorId="59062640" wp14:editId="5BF63CB1">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2C2ED4" w:rsidRDefault="002C2E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D6F" w:rsidRPr="00FF2306" w:rsidRDefault="00641D6F" w:rsidP="00EE1DA9">
    <w:pPr>
      <w:pStyle w:val="ECHRHeader"/>
      <w:rPr>
        <w:lang w:val="en-GB"/>
      </w:rPr>
    </w:pP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6011C5">
      <w:rPr>
        <w:rStyle w:val="PageNumber"/>
        <w:noProof/>
        <w:szCs w:val="18"/>
        <w:lang w:val="en-GB"/>
      </w:rPr>
      <w:t>16</w:t>
    </w:r>
    <w:r>
      <w:rPr>
        <w:rStyle w:val="PageNumber"/>
        <w:szCs w:val="18"/>
        <w:lang w:val="en-GB"/>
      </w:rPr>
      <w:fldChar w:fldCharType="end"/>
    </w:r>
    <w:r w:rsidRPr="00FF2306">
      <w:rPr>
        <w:lang w:val="en-GB"/>
      </w:rPr>
      <w:tab/>
    </w:r>
    <w:r>
      <w:rPr>
        <w:lang w:val="en-GB"/>
      </w:rPr>
      <w:t>VÉKONY v. HUNGARY</w:t>
    </w:r>
    <w:r w:rsidRPr="00FF2306">
      <w:rPr>
        <w:lang w:val="en-GB"/>
      </w:rPr>
      <w:t xml:space="preserve"> </w:t>
    </w:r>
    <w:r>
      <w:rPr>
        <w:lang w:val="en-GB"/>
      </w:rP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D6F" w:rsidRPr="00D60D87" w:rsidRDefault="00641D6F" w:rsidP="00D60D87">
    <w:pPr>
      <w:pStyle w:val="ECHRHeader"/>
      <w:rPr>
        <w:lang w:val="en-GB"/>
      </w:rPr>
    </w:pPr>
    <w:r w:rsidRPr="00D60D87">
      <w:rPr>
        <w:lang w:val="en-GB"/>
      </w:rPr>
      <w:tab/>
    </w:r>
    <w:r>
      <w:rPr>
        <w:lang w:val="en-GB"/>
      </w:rPr>
      <w:t>VÉKONY v. HUNGARY</w:t>
    </w:r>
    <w:r w:rsidRPr="00D60D87">
      <w:rPr>
        <w:lang w:val="en-GB"/>
      </w:rPr>
      <w:t xml:space="preserve"> </w:t>
    </w:r>
    <w:r>
      <w:rPr>
        <w:lang w:val="en-GB"/>
      </w:rPr>
      <w:t>JUDGMENT</w:t>
    </w:r>
    <w:r w:rsidRPr="00D60D87">
      <w:rPr>
        <w:lang w:val="en-GB"/>
      </w:rPr>
      <w:tab/>
    </w: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6011C5">
      <w:rPr>
        <w:rStyle w:val="PageNumber"/>
        <w:noProof/>
        <w:szCs w:val="18"/>
        <w:lang w:val="en-GB"/>
      </w:rPr>
      <w:t>17</w:t>
    </w:r>
    <w:r>
      <w:rPr>
        <w:rStyle w:val="PageNumber"/>
        <w:szCs w:val="18"/>
        <w:lang w:val="en-GB"/>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57D" w:rsidRPr="00FF2306" w:rsidRDefault="00F8757D" w:rsidP="00EE1DA9">
    <w:pPr>
      <w:pStyle w:val="ECHRHeader"/>
      <w:rPr>
        <w:lang w:val="en-GB"/>
      </w:rPr>
    </w:pP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6011C5">
      <w:rPr>
        <w:rStyle w:val="PageNumber"/>
        <w:noProof/>
        <w:szCs w:val="18"/>
        <w:lang w:val="en-GB"/>
      </w:rPr>
      <w:t>18</w:t>
    </w:r>
    <w:r>
      <w:rPr>
        <w:rStyle w:val="PageNumber"/>
        <w:szCs w:val="18"/>
        <w:lang w:val="en-GB"/>
      </w:rPr>
      <w:fldChar w:fldCharType="end"/>
    </w:r>
    <w:r w:rsidRPr="00FF2306">
      <w:rPr>
        <w:lang w:val="en-GB"/>
      </w:rPr>
      <w:tab/>
    </w:r>
    <w:r>
      <w:rPr>
        <w:lang w:val="en-GB"/>
      </w:rPr>
      <w:t>VÉKONY v. HUNGARY</w:t>
    </w:r>
    <w:r w:rsidRPr="00FF2306">
      <w:rPr>
        <w:lang w:val="en-GB"/>
      </w:rPr>
      <w:t xml:space="preserve"> </w:t>
    </w:r>
    <w:r>
      <w:rPr>
        <w:lang w:val="en-GB"/>
      </w:rPr>
      <w:t>JUDGMENT – SEPARATE OPINION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57D" w:rsidRPr="00D60D87" w:rsidRDefault="00F8757D" w:rsidP="00D60D87">
    <w:pPr>
      <w:pStyle w:val="ECHRHeader"/>
      <w:rPr>
        <w:lang w:val="en-GB"/>
      </w:rPr>
    </w:pPr>
    <w:r w:rsidRPr="00D60D87">
      <w:rPr>
        <w:lang w:val="en-GB"/>
      </w:rPr>
      <w:tab/>
    </w:r>
    <w:r>
      <w:rPr>
        <w:lang w:val="en-GB"/>
      </w:rPr>
      <w:t>VÉKONY v. HUNGARY</w:t>
    </w:r>
    <w:r w:rsidRPr="00D60D87">
      <w:rPr>
        <w:lang w:val="en-GB"/>
      </w:rPr>
      <w:t xml:space="preserve"> </w:t>
    </w:r>
    <w:r>
      <w:rPr>
        <w:lang w:val="en-GB"/>
      </w:rPr>
      <w:t>JUDGMENT – SEPARATE OPINION</w:t>
    </w:r>
    <w:r w:rsidRPr="00D60D87">
      <w:rPr>
        <w:lang w:val="en-GB"/>
      </w:rPr>
      <w:tab/>
    </w: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6011C5">
      <w:rPr>
        <w:rStyle w:val="PageNumber"/>
        <w:noProof/>
        <w:szCs w:val="18"/>
        <w:lang w:val="en-GB"/>
      </w:rPr>
      <w:t>19</w:t>
    </w:r>
    <w:r>
      <w:rPr>
        <w:rStyle w:val="PageNumber"/>
        <w:szCs w:val="18"/>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AF7039A"/>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92F51A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4">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5">
    <w:nsid w:val="76903243"/>
    <w:multiLevelType w:val="multilevel"/>
    <w:tmpl w:val="E884A92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737461D"/>
    <w:multiLevelType w:val="multilevel"/>
    <w:tmpl w:val="040C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13"/>
  </w:num>
  <w:num w:numId="7">
    <w:abstractNumId w:val="11"/>
  </w:num>
  <w:num w:numId="8">
    <w:abstractNumId w:val="14"/>
  </w:num>
  <w:num w:numId="9">
    <w:abstractNumId w:val="10"/>
  </w:num>
  <w:num w:numId="10">
    <w:abstractNumId w:val="9"/>
  </w:num>
  <w:num w:numId="11">
    <w:abstractNumId w:val="16"/>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2E2424"/>
    <w:rsid w:val="000041F8"/>
    <w:rsid w:val="000042A8"/>
    <w:rsid w:val="00004308"/>
    <w:rsid w:val="00005BF0"/>
    <w:rsid w:val="00007154"/>
    <w:rsid w:val="000103AE"/>
    <w:rsid w:val="00011D69"/>
    <w:rsid w:val="00012AD3"/>
    <w:rsid w:val="00014566"/>
    <w:rsid w:val="00015C2D"/>
    <w:rsid w:val="00015F00"/>
    <w:rsid w:val="000167B1"/>
    <w:rsid w:val="00022C1D"/>
    <w:rsid w:val="00031B3A"/>
    <w:rsid w:val="00034987"/>
    <w:rsid w:val="000602DF"/>
    <w:rsid w:val="00061B05"/>
    <w:rsid w:val="00062D5D"/>
    <w:rsid w:val="000632D5"/>
    <w:rsid w:val="0006378C"/>
    <w:rsid w:val="000644EE"/>
    <w:rsid w:val="00074AAB"/>
    <w:rsid w:val="00075F6D"/>
    <w:rsid w:val="000774CE"/>
    <w:rsid w:val="000855D6"/>
    <w:rsid w:val="000925AD"/>
    <w:rsid w:val="00092D69"/>
    <w:rsid w:val="000942F3"/>
    <w:rsid w:val="000A24EB"/>
    <w:rsid w:val="000A7E90"/>
    <w:rsid w:val="000B6923"/>
    <w:rsid w:val="000C033C"/>
    <w:rsid w:val="000C5F3C"/>
    <w:rsid w:val="000C6DCC"/>
    <w:rsid w:val="000D47AA"/>
    <w:rsid w:val="000D721F"/>
    <w:rsid w:val="000E069B"/>
    <w:rsid w:val="000E0E82"/>
    <w:rsid w:val="000E1DC5"/>
    <w:rsid w:val="000E223F"/>
    <w:rsid w:val="000E7D45"/>
    <w:rsid w:val="000F7851"/>
    <w:rsid w:val="000F7CCC"/>
    <w:rsid w:val="00104E23"/>
    <w:rsid w:val="00111B0C"/>
    <w:rsid w:val="0011472E"/>
    <w:rsid w:val="00120D6C"/>
    <w:rsid w:val="001257EC"/>
    <w:rsid w:val="00133D33"/>
    <w:rsid w:val="00134D64"/>
    <w:rsid w:val="00135A30"/>
    <w:rsid w:val="0013612C"/>
    <w:rsid w:val="00137FF6"/>
    <w:rsid w:val="00141650"/>
    <w:rsid w:val="00162A12"/>
    <w:rsid w:val="00166530"/>
    <w:rsid w:val="001832BD"/>
    <w:rsid w:val="00184A9A"/>
    <w:rsid w:val="00184C82"/>
    <w:rsid w:val="001943B5"/>
    <w:rsid w:val="00195134"/>
    <w:rsid w:val="001A145B"/>
    <w:rsid w:val="001A2AB1"/>
    <w:rsid w:val="001A674C"/>
    <w:rsid w:val="001B3B24"/>
    <w:rsid w:val="001C0F98"/>
    <w:rsid w:val="001C2A42"/>
    <w:rsid w:val="001D63ED"/>
    <w:rsid w:val="001D7348"/>
    <w:rsid w:val="001E035B"/>
    <w:rsid w:val="001E0961"/>
    <w:rsid w:val="001E3EAE"/>
    <w:rsid w:val="001E3EF9"/>
    <w:rsid w:val="001E6F32"/>
    <w:rsid w:val="001F2145"/>
    <w:rsid w:val="001F6262"/>
    <w:rsid w:val="001F67B0"/>
    <w:rsid w:val="001F6F4A"/>
    <w:rsid w:val="001F7B3D"/>
    <w:rsid w:val="00205F9F"/>
    <w:rsid w:val="00210338"/>
    <w:rsid w:val="002115FC"/>
    <w:rsid w:val="0021423C"/>
    <w:rsid w:val="00223764"/>
    <w:rsid w:val="00226872"/>
    <w:rsid w:val="00230D00"/>
    <w:rsid w:val="00231DF7"/>
    <w:rsid w:val="00231FD1"/>
    <w:rsid w:val="002339E0"/>
    <w:rsid w:val="00233CF8"/>
    <w:rsid w:val="0023575D"/>
    <w:rsid w:val="00237148"/>
    <w:rsid w:val="0024222D"/>
    <w:rsid w:val="0024276C"/>
    <w:rsid w:val="0024327D"/>
    <w:rsid w:val="00244B0E"/>
    <w:rsid w:val="00244F6C"/>
    <w:rsid w:val="002532C5"/>
    <w:rsid w:val="00260C03"/>
    <w:rsid w:val="0026540E"/>
    <w:rsid w:val="00275123"/>
    <w:rsid w:val="0027622B"/>
    <w:rsid w:val="00282240"/>
    <w:rsid w:val="0028572A"/>
    <w:rsid w:val="002948AD"/>
    <w:rsid w:val="00294C92"/>
    <w:rsid w:val="002A01CC"/>
    <w:rsid w:val="002A0B15"/>
    <w:rsid w:val="002A61B1"/>
    <w:rsid w:val="002A663C"/>
    <w:rsid w:val="002B444B"/>
    <w:rsid w:val="002B4B75"/>
    <w:rsid w:val="002B5887"/>
    <w:rsid w:val="002B750C"/>
    <w:rsid w:val="002C0692"/>
    <w:rsid w:val="002C0E27"/>
    <w:rsid w:val="002C2ED4"/>
    <w:rsid w:val="002C3040"/>
    <w:rsid w:val="002D022D"/>
    <w:rsid w:val="002D07FF"/>
    <w:rsid w:val="002D24BB"/>
    <w:rsid w:val="002E2424"/>
    <w:rsid w:val="002E2907"/>
    <w:rsid w:val="002F2AF7"/>
    <w:rsid w:val="002F7E1C"/>
    <w:rsid w:val="00301A75"/>
    <w:rsid w:val="00302F70"/>
    <w:rsid w:val="0030336F"/>
    <w:rsid w:val="0030375E"/>
    <w:rsid w:val="00310A9C"/>
    <w:rsid w:val="00311961"/>
    <w:rsid w:val="00312A30"/>
    <w:rsid w:val="00320F72"/>
    <w:rsid w:val="0032463E"/>
    <w:rsid w:val="00326224"/>
    <w:rsid w:val="00337EE4"/>
    <w:rsid w:val="00340FFD"/>
    <w:rsid w:val="003428A3"/>
    <w:rsid w:val="00346F7D"/>
    <w:rsid w:val="003506B1"/>
    <w:rsid w:val="00356AC7"/>
    <w:rsid w:val="003609FA"/>
    <w:rsid w:val="003710C8"/>
    <w:rsid w:val="003750BE"/>
    <w:rsid w:val="00376D59"/>
    <w:rsid w:val="00387B9D"/>
    <w:rsid w:val="0039364F"/>
    <w:rsid w:val="00396686"/>
    <w:rsid w:val="0039778E"/>
    <w:rsid w:val="003B4941"/>
    <w:rsid w:val="003C5714"/>
    <w:rsid w:val="003C6B9F"/>
    <w:rsid w:val="003C6E2A"/>
    <w:rsid w:val="003D0299"/>
    <w:rsid w:val="003E6D80"/>
    <w:rsid w:val="003F05FA"/>
    <w:rsid w:val="003F244A"/>
    <w:rsid w:val="003F30B8"/>
    <w:rsid w:val="003F4C45"/>
    <w:rsid w:val="003F5F7B"/>
    <w:rsid w:val="003F7D64"/>
    <w:rsid w:val="00414300"/>
    <w:rsid w:val="00425C67"/>
    <w:rsid w:val="00427E7A"/>
    <w:rsid w:val="00436307"/>
    <w:rsid w:val="00436C49"/>
    <w:rsid w:val="00445366"/>
    <w:rsid w:val="00447F5B"/>
    <w:rsid w:val="004504E3"/>
    <w:rsid w:val="00461DB0"/>
    <w:rsid w:val="00463926"/>
    <w:rsid w:val="004646E0"/>
    <w:rsid w:val="00464C9A"/>
    <w:rsid w:val="00474F3D"/>
    <w:rsid w:val="00477E3A"/>
    <w:rsid w:val="00483E5F"/>
    <w:rsid w:val="0048572A"/>
    <w:rsid w:val="00485FF9"/>
    <w:rsid w:val="004907F0"/>
    <w:rsid w:val="0049140B"/>
    <w:rsid w:val="004923A5"/>
    <w:rsid w:val="00496BFB"/>
    <w:rsid w:val="004A15C7"/>
    <w:rsid w:val="004A5B86"/>
    <w:rsid w:val="004B013B"/>
    <w:rsid w:val="004B112B"/>
    <w:rsid w:val="004C01E4"/>
    <w:rsid w:val="004C086C"/>
    <w:rsid w:val="004C1F56"/>
    <w:rsid w:val="004C27BC"/>
    <w:rsid w:val="004C7CFD"/>
    <w:rsid w:val="004D15F3"/>
    <w:rsid w:val="004D5311"/>
    <w:rsid w:val="004D55FA"/>
    <w:rsid w:val="004D5DCC"/>
    <w:rsid w:val="004F0645"/>
    <w:rsid w:val="004F10AF"/>
    <w:rsid w:val="004F11A4"/>
    <w:rsid w:val="004F2389"/>
    <w:rsid w:val="004F304D"/>
    <w:rsid w:val="004F4600"/>
    <w:rsid w:val="004F61BE"/>
    <w:rsid w:val="004F66B1"/>
    <w:rsid w:val="00511C07"/>
    <w:rsid w:val="005173A6"/>
    <w:rsid w:val="00520BAA"/>
    <w:rsid w:val="00522E7F"/>
    <w:rsid w:val="00525208"/>
    <w:rsid w:val="005257A5"/>
    <w:rsid w:val="005264C0"/>
    <w:rsid w:val="00526679"/>
    <w:rsid w:val="00526A8A"/>
    <w:rsid w:val="00531DF2"/>
    <w:rsid w:val="0054144B"/>
    <w:rsid w:val="005442EE"/>
    <w:rsid w:val="00547353"/>
    <w:rsid w:val="005474E7"/>
    <w:rsid w:val="005512A3"/>
    <w:rsid w:val="005578CE"/>
    <w:rsid w:val="00562781"/>
    <w:rsid w:val="00563E83"/>
    <w:rsid w:val="0057271C"/>
    <w:rsid w:val="00572845"/>
    <w:rsid w:val="00592772"/>
    <w:rsid w:val="0059574A"/>
    <w:rsid w:val="005A1B9B"/>
    <w:rsid w:val="005A2378"/>
    <w:rsid w:val="005A6751"/>
    <w:rsid w:val="005B092E"/>
    <w:rsid w:val="005B152C"/>
    <w:rsid w:val="005B1EE0"/>
    <w:rsid w:val="005B2B24"/>
    <w:rsid w:val="005B4425"/>
    <w:rsid w:val="005B4B94"/>
    <w:rsid w:val="005C3EE8"/>
    <w:rsid w:val="005C4BC4"/>
    <w:rsid w:val="005D1803"/>
    <w:rsid w:val="005D34F9"/>
    <w:rsid w:val="005D4190"/>
    <w:rsid w:val="005D67A3"/>
    <w:rsid w:val="005E27A3"/>
    <w:rsid w:val="005E2988"/>
    <w:rsid w:val="005E2A43"/>
    <w:rsid w:val="005E3085"/>
    <w:rsid w:val="005E3DD7"/>
    <w:rsid w:val="005F194D"/>
    <w:rsid w:val="005F51E1"/>
    <w:rsid w:val="006011C5"/>
    <w:rsid w:val="00611C80"/>
    <w:rsid w:val="00620692"/>
    <w:rsid w:val="00622EA5"/>
    <w:rsid w:val="006242CA"/>
    <w:rsid w:val="00627507"/>
    <w:rsid w:val="00630DBB"/>
    <w:rsid w:val="00633717"/>
    <w:rsid w:val="006344E1"/>
    <w:rsid w:val="006348C2"/>
    <w:rsid w:val="00641D6F"/>
    <w:rsid w:val="006545C4"/>
    <w:rsid w:val="00657297"/>
    <w:rsid w:val="00661971"/>
    <w:rsid w:val="00661CE8"/>
    <w:rsid w:val="006623D9"/>
    <w:rsid w:val="006636B6"/>
    <w:rsid w:val="0066550C"/>
    <w:rsid w:val="006716F2"/>
    <w:rsid w:val="00675969"/>
    <w:rsid w:val="00682BF2"/>
    <w:rsid w:val="006859CE"/>
    <w:rsid w:val="00691270"/>
    <w:rsid w:val="00694BA8"/>
    <w:rsid w:val="006A037C"/>
    <w:rsid w:val="006A08FD"/>
    <w:rsid w:val="006A15BC"/>
    <w:rsid w:val="006A36F4"/>
    <w:rsid w:val="006A406F"/>
    <w:rsid w:val="006A5D3A"/>
    <w:rsid w:val="006B09D3"/>
    <w:rsid w:val="006C23D4"/>
    <w:rsid w:val="006C75DD"/>
    <w:rsid w:val="006C7BB0"/>
    <w:rsid w:val="006D3237"/>
    <w:rsid w:val="006E2E37"/>
    <w:rsid w:val="006E3CF1"/>
    <w:rsid w:val="006E3D03"/>
    <w:rsid w:val="006E7E80"/>
    <w:rsid w:val="006F48CA"/>
    <w:rsid w:val="006F64DD"/>
    <w:rsid w:val="00705F95"/>
    <w:rsid w:val="00715127"/>
    <w:rsid w:val="00715E8E"/>
    <w:rsid w:val="00723580"/>
    <w:rsid w:val="00723755"/>
    <w:rsid w:val="00726DA1"/>
    <w:rsid w:val="0073136C"/>
    <w:rsid w:val="007316E4"/>
    <w:rsid w:val="00731F0F"/>
    <w:rsid w:val="00732A90"/>
    <w:rsid w:val="00733250"/>
    <w:rsid w:val="00741404"/>
    <w:rsid w:val="007449E5"/>
    <w:rsid w:val="00746C5A"/>
    <w:rsid w:val="00747FF0"/>
    <w:rsid w:val="00764D4E"/>
    <w:rsid w:val="00765A1F"/>
    <w:rsid w:val="00770900"/>
    <w:rsid w:val="00775B6D"/>
    <w:rsid w:val="00776D68"/>
    <w:rsid w:val="00782327"/>
    <w:rsid w:val="007850EE"/>
    <w:rsid w:val="00785B95"/>
    <w:rsid w:val="00790E96"/>
    <w:rsid w:val="00793366"/>
    <w:rsid w:val="00793457"/>
    <w:rsid w:val="0079524E"/>
    <w:rsid w:val="007A1DC9"/>
    <w:rsid w:val="007A716F"/>
    <w:rsid w:val="007B270A"/>
    <w:rsid w:val="007B7194"/>
    <w:rsid w:val="007C0695"/>
    <w:rsid w:val="007C419A"/>
    <w:rsid w:val="007C4208"/>
    <w:rsid w:val="007C4CC8"/>
    <w:rsid w:val="007C5426"/>
    <w:rsid w:val="007C5798"/>
    <w:rsid w:val="007D4832"/>
    <w:rsid w:val="007E21B2"/>
    <w:rsid w:val="007E2C4E"/>
    <w:rsid w:val="007E7FD5"/>
    <w:rsid w:val="007F1905"/>
    <w:rsid w:val="007F3D63"/>
    <w:rsid w:val="00801300"/>
    <w:rsid w:val="008022B9"/>
    <w:rsid w:val="00802C64"/>
    <w:rsid w:val="00805E52"/>
    <w:rsid w:val="008061D0"/>
    <w:rsid w:val="00810B38"/>
    <w:rsid w:val="008204C7"/>
    <w:rsid w:val="00820992"/>
    <w:rsid w:val="00823602"/>
    <w:rsid w:val="008237B2"/>
    <w:rsid w:val="008255F5"/>
    <w:rsid w:val="0083014E"/>
    <w:rsid w:val="0083214A"/>
    <w:rsid w:val="00834220"/>
    <w:rsid w:val="00844897"/>
    <w:rsid w:val="00845723"/>
    <w:rsid w:val="00847DCA"/>
    <w:rsid w:val="00851EF9"/>
    <w:rsid w:val="008576FE"/>
    <w:rsid w:val="008577FD"/>
    <w:rsid w:val="00860B03"/>
    <w:rsid w:val="0086497A"/>
    <w:rsid w:val="008713A1"/>
    <w:rsid w:val="00874BF2"/>
    <w:rsid w:val="008754AB"/>
    <w:rsid w:val="0088060C"/>
    <w:rsid w:val="00892630"/>
    <w:rsid w:val="00893576"/>
    <w:rsid w:val="00893E73"/>
    <w:rsid w:val="008A43C4"/>
    <w:rsid w:val="008B02DC"/>
    <w:rsid w:val="008B57CE"/>
    <w:rsid w:val="008C26DE"/>
    <w:rsid w:val="008C455E"/>
    <w:rsid w:val="008D2225"/>
    <w:rsid w:val="008D4752"/>
    <w:rsid w:val="008E271C"/>
    <w:rsid w:val="008E418E"/>
    <w:rsid w:val="008E5BC6"/>
    <w:rsid w:val="008E6A25"/>
    <w:rsid w:val="008F10BA"/>
    <w:rsid w:val="008F5193"/>
    <w:rsid w:val="009013A7"/>
    <w:rsid w:val="009017FB"/>
    <w:rsid w:val="009017FC"/>
    <w:rsid w:val="0090506B"/>
    <w:rsid w:val="009050C9"/>
    <w:rsid w:val="009066FC"/>
    <w:rsid w:val="009140A3"/>
    <w:rsid w:val="009144A2"/>
    <w:rsid w:val="0091510C"/>
    <w:rsid w:val="009259AC"/>
    <w:rsid w:val="00926F38"/>
    <w:rsid w:val="00934301"/>
    <w:rsid w:val="00936CD1"/>
    <w:rsid w:val="00941747"/>
    <w:rsid w:val="00941EFB"/>
    <w:rsid w:val="00947AFB"/>
    <w:rsid w:val="00951670"/>
    <w:rsid w:val="00951D7D"/>
    <w:rsid w:val="009536C4"/>
    <w:rsid w:val="009630C7"/>
    <w:rsid w:val="00966A86"/>
    <w:rsid w:val="00972B55"/>
    <w:rsid w:val="009743B7"/>
    <w:rsid w:val="0098228B"/>
    <w:rsid w:val="009828DA"/>
    <w:rsid w:val="00985BAB"/>
    <w:rsid w:val="009949DC"/>
    <w:rsid w:val="009A0CAA"/>
    <w:rsid w:val="009B1B5F"/>
    <w:rsid w:val="009B2EC2"/>
    <w:rsid w:val="009B6673"/>
    <w:rsid w:val="009C191B"/>
    <w:rsid w:val="009C2BD6"/>
    <w:rsid w:val="009E1F32"/>
    <w:rsid w:val="009E5829"/>
    <w:rsid w:val="009E776C"/>
    <w:rsid w:val="00A1726E"/>
    <w:rsid w:val="00A204CF"/>
    <w:rsid w:val="00A23D49"/>
    <w:rsid w:val="00A27004"/>
    <w:rsid w:val="00A30C29"/>
    <w:rsid w:val="00A34DD6"/>
    <w:rsid w:val="00A36819"/>
    <w:rsid w:val="00A36989"/>
    <w:rsid w:val="00A435DE"/>
    <w:rsid w:val="00A43628"/>
    <w:rsid w:val="00A54192"/>
    <w:rsid w:val="00A6035E"/>
    <w:rsid w:val="00A6144C"/>
    <w:rsid w:val="00A65D42"/>
    <w:rsid w:val="00A66617"/>
    <w:rsid w:val="00A671F8"/>
    <w:rsid w:val="00A673A4"/>
    <w:rsid w:val="00A724AE"/>
    <w:rsid w:val="00A73329"/>
    <w:rsid w:val="00A82359"/>
    <w:rsid w:val="00A83CBD"/>
    <w:rsid w:val="00A865D2"/>
    <w:rsid w:val="00A87AD6"/>
    <w:rsid w:val="00A94C20"/>
    <w:rsid w:val="00AA227F"/>
    <w:rsid w:val="00AA3BC7"/>
    <w:rsid w:val="00AA5EE3"/>
    <w:rsid w:val="00AA754A"/>
    <w:rsid w:val="00AB099E"/>
    <w:rsid w:val="00AB2CDE"/>
    <w:rsid w:val="00AB2DC0"/>
    <w:rsid w:val="00AB4328"/>
    <w:rsid w:val="00AB4F0A"/>
    <w:rsid w:val="00AD1290"/>
    <w:rsid w:val="00AE0A2E"/>
    <w:rsid w:val="00AE354C"/>
    <w:rsid w:val="00AF4B07"/>
    <w:rsid w:val="00AF6186"/>
    <w:rsid w:val="00AF7707"/>
    <w:rsid w:val="00AF7A3A"/>
    <w:rsid w:val="00B00777"/>
    <w:rsid w:val="00B160DB"/>
    <w:rsid w:val="00B20836"/>
    <w:rsid w:val="00B22B9F"/>
    <w:rsid w:val="00B23301"/>
    <w:rsid w:val="00B235BB"/>
    <w:rsid w:val="00B27A44"/>
    <w:rsid w:val="00B30BBF"/>
    <w:rsid w:val="00B33C03"/>
    <w:rsid w:val="00B424CA"/>
    <w:rsid w:val="00B44E56"/>
    <w:rsid w:val="00B46543"/>
    <w:rsid w:val="00B47D33"/>
    <w:rsid w:val="00B52BE0"/>
    <w:rsid w:val="00B54133"/>
    <w:rsid w:val="00B701ED"/>
    <w:rsid w:val="00B74188"/>
    <w:rsid w:val="00B75F92"/>
    <w:rsid w:val="00B8086C"/>
    <w:rsid w:val="00B861B4"/>
    <w:rsid w:val="00B86DFE"/>
    <w:rsid w:val="00B90990"/>
    <w:rsid w:val="00B922FF"/>
    <w:rsid w:val="00B9281E"/>
    <w:rsid w:val="00B93925"/>
    <w:rsid w:val="00B95187"/>
    <w:rsid w:val="00BA2D55"/>
    <w:rsid w:val="00BA71B1"/>
    <w:rsid w:val="00BB0637"/>
    <w:rsid w:val="00BB30F9"/>
    <w:rsid w:val="00BB345F"/>
    <w:rsid w:val="00BB68EA"/>
    <w:rsid w:val="00BC1C27"/>
    <w:rsid w:val="00BC6BBF"/>
    <w:rsid w:val="00BD1572"/>
    <w:rsid w:val="00BD1E60"/>
    <w:rsid w:val="00BE14E3"/>
    <w:rsid w:val="00BE3774"/>
    <w:rsid w:val="00BE41E5"/>
    <w:rsid w:val="00BF4109"/>
    <w:rsid w:val="00BF4290"/>
    <w:rsid w:val="00BF4CC3"/>
    <w:rsid w:val="00C021F6"/>
    <w:rsid w:val="00C054C7"/>
    <w:rsid w:val="00C057B5"/>
    <w:rsid w:val="00C0772B"/>
    <w:rsid w:val="00C22687"/>
    <w:rsid w:val="00C32E4D"/>
    <w:rsid w:val="00C333A0"/>
    <w:rsid w:val="00C36A81"/>
    <w:rsid w:val="00C41974"/>
    <w:rsid w:val="00C426AA"/>
    <w:rsid w:val="00C447AD"/>
    <w:rsid w:val="00C4775C"/>
    <w:rsid w:val="00C53F4A"/>
    <w:rsid w:val="00C54125"/>
    <w:rsid w:val="00C55B54"/>
    <w:rsid w:val="00C6098E"/>
    <w:rsid w:val="00C6152C"/>
    <w:rsid w:val="00C621C2"/>
    <w:rsid w:val="00C74810"/>
    <w:rsid w:val="00C90D68"/>
    <w:rsid w:val="00C939FE"/>
    <w:rsid w:val="00CA4BDA"/>
    <w:rsid w:val="00CA7D42"/>
    <w:rsid w:val="00CB1F66"/>
    <w:rsid w:val="00CB2951"/>
    <w:rsid w:val="00CB6395"/>
    <w:rsid w:val="00CC0B53"/>
    <w:rsid w:val="00CD1A8A"/>
    <w:rsid w:val="00CD282B"/>
    <w:rsid w:val="00CD4C35"/>
    <w:rsid w:val="00CD7369"/>
    <w:rsid w:val="00CE0B0E"/>
    <w:rsid w:val="00CE3831"/>
    <w:rsid w:val="00D00ABB"/>
    <w:rsid w:val="00D02EEC"/>
    <w:rsid w:val="00D03551"/>
    <w:rsid w:val="00D06A63"/>
    <w:rsid w:val="00D07E0E"/>
    <w:rsid w:val="00D11478"/>
    <w:rsid w:val="00D15ED0"/>
    <w:rsid w:val="00D17844"/>
    <w:rsid w:val="00D21B3E"/>
    <w:rsid w:val="00D21FED"/>
    <w:rsid w:val="00D24251"/>
    <w:rsid w:val="00D343E2"/>
    <w:rsid w:val="00D361A2"/>
    <w:rsid w:val="00D42D4A"/>
    <w:rsid w:val="00D44C2E"/>
    <w:rsid w:val="00D45414"/>
    <w:rsid w:val="00D461DE"/>
    <w:rsid w:val="00D47B81"/>
    <w:rsid w:val="00D566BD"/>
    <w:rsid w:val="00D57A4D"/>
    <w:rsid w:val="00D57ADD"/>
    <w:rsid w:val="00D60AA7"/>
    <w:rsid w:val="00D60D87"/>
    <w:rsid w:val="00D6435F"/>
    <w:rsid w:val="00D71CD5"/>
    <w:rsid w:val="00D75E28"/>
    <w:rsid w:val="00D772C2"/>
    <w:rsid w:val="00D8008E"/>
    <w:rsid w:val="00D82C45"/>
    <w:rsid w:val="00D908A8"/>
    <w:rsid w:val="00D977B6"/>
    <w:rsid w:val="00DA3AFD"/>
    <w:rsid w:val="00DA4A31"/>
    <w:rsid w:val="00DA7B04"/>
    <w:rsid w:val="00DB36C2"/>
    <w:rsid w:val="00DB72BA"/>
    <w:rsid w:val="00DC169B"/>
    <w:rsid w:val="00DC2AB9"/>
    <w:rsid w:val="00DC3289"/>
    <w:rsid w:val="00DC63F0"/>
    <w:rsid w:val="00DD4387"/>
    <w:rsid w:val="00DD6EE5"/>
    <w:rsid w:val="00DE386C"/>
    <w:rsid w:val="00DE4D35"/>
    <w:rsid w:val="00DF0549"/>
    <w:rsid w:val="00DF098B"/>
    <w:rsid w:val="00DF11C4"/>
    <w:rsid w:val="00DF210C"/>
    <w:rsid w:val="00DF410C"/>
    <w:rsid w:val="00DF4B6A"/>
    <w:rsid w:val="00DF5B6A"/>
    <w:rsid w:val="00E02C09"/>
    <w:rsid w:val="00E04D59"/>
    <w:rsid w:val="00E07DA1"/>
    <w:rsid w:val="00E123CB"/>
    <w:rsid w:val="00E20E13"/>
    <w:rsid w:val="00E21DBC"/>
    <w:rsid w:val="00E275D7"/>
    <w:rsid w:val="00E27A8D"/>
    <w:rsid w:val="00E27DBE"/>
    <w:rsid w:val="00E32AB1"/>
    <w:rsid w:val="00E36C71"/>
    <w:rsid w:val="00E40404"/>
    <w:rsid w:val="00E459C6"/>
    <w:rsid w:val="00E47589"/>
    <w:rsid w:val="00E617D6"/>
    <w:rsid w:val="00E64915"/>
    <w:rsid w:val="00E661D4"/>
    <w:rsid w:val="00E665FF"/>
    <w:rsid w:val="00E70091"/>
    <w:rsid w:val="00E720F5"/>
    <w:rsid w:val="00E722F8"/>
    <w:rsid w:val="00E76D47"/>
    <w:rsid w:val="00E849F7"/>
    <w:rsid w:val="00E90302"/>
    <w:rsid w:val="00E94899"/>
    <w:rsid w:val="00E97396"/>
    <w:rsid w:val="00E97764"/>
    <w:rsid w:val="00EA185E"/>
    <w:rsid w:val="00EA592A"/>
    <w:rsid w:val="00EB14E4"/>
    <w:rsid w:val="00EB32A5"/>
    <w:rsid w:val="00EB34ED"/>
    <w:rsid w:val="00EB7BE0"/>
    <w:rsid w:val="00EC315E"/>
    <w:rsid w:val="00ED077C"/>
    <w:rsid w:val="00ED1190"/>
    <w:rsid w:val="00ED6544"/>
    <w:rsid w:val="00EE0277"/>
    <w:rsid w:val="00EE1DA9"/>
    <w:rsid w:val="00EE3E00"/>
    <w:rsid w:val="00EE5DD2"/>
    <w:rsid w:val="00EF41F1"/>
    <w:rsid w:val="00EF4F08"/>
    <w:rsid w:val="00F00A79"/>
    <w:rsid w:val="00F00E86"/>
    <w:rsid w:val="00F01798"/>
    <w:rsid w:val="00F07C1E"/>
    <w:rsid w:val="00F105DB"/>
    <w:rsid w:val="00F12B01"/>
    <w:rsid w:val="00F132BC"/>
    <w:rsid w:val="00F13D80"/>
    <w:rsid w:val="00F16AAA"/>
    <w:rsid w:val="00F21161"/>
    <w:rsid w:val="00F21798"/>
    <w:rsid w:val="00F218EF"/>
    <w:rsid w:val="00F21BC7"/>
    <w:rsid w:val="00F266A2"/>
    <w:rsid w:val="00F303F7"/>
    <w:rsid w:val="00F32269"/>
    <w:rsid w:val="00F427C2"/>
    <w:rsid w:val="00F550EE"/>
    <w:rsid w:val="00F56A6F"/>
    <w:rsid w:val="00F5709C"/>
    <w:rsid w:val="00F64EF1"/>
    <w:rsid w:val="00F7203A"/>
    <w:rsid w:val="00F74C53"/>
    <w:rsid w:val="00F873B5"/>
    <w:rsid w:val="00F8757D"/>
    <w:rsid w:val="00F8765F"/>
    <w:rsid w:val="00F90767"/>
    <w:rsid w:val="00FA685B"/>
    <w:rsid w:val="00FB0C01"/>
    <w:rsid w:val="00FC18F2"/>
    <w:rsid w:val="00FC39E5"/>
    <w:rsid w:val="00FC3A78"/>
    <w:rsid w:val="00FD1005"/>
    <w:rsid w:val="00FD2370"/>
    <w:rsid w:val="00FD3180"/>
    <w:rsid w:val="00FD6C75"/>
    <w:rsid w:val="00FE5852"/>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E2A43"/>
    <w:pPr>
      <w:jc w:val="both"/>
    </w:pPr>
    <w:rPr>
      <w:rFonts w:eastAsiaTheme="minorEastAsia"/>
      <w:sz w:val="24"/>
    </w:rPr>
  </w:style>
  <w:style w:type="paragraph" w:styleId="Heading1">
    <w:name w:val="heading 1"/>
    <w:basedOn w:val="Normal"/>
    <w:next w:val="Normal"/>
    <w:link w:val="Heading1Char"/>
    <w:uiPriority w:val="99"/>
    <w:semiHidden/>
    <w:rsid w:val="00941747"/>
    <w:pPr>
      <w:numPr>
        <w:numId w:val="11"/>
      </w:numPr>
      <w:spacing w:before="480"/>
      <w:contextualSpacing/>
      <w:jc w:val="left"/>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numPr>
        <w:ilvl w:val="1"/>
        <w:numId w:val="11"/>
      </w:numPr>
      <w:spacing w:before="200"/>
      <w:jc w:val="left"/>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numPr>
        <w:ilvl w:val="2"/>
        <w:numId w:val="11"/>
      </w:numPr>
      <w:spacing w:before="200" w:line="271" w:lineRule="auto"/>
      <w:jc w:val="left"/>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numPr>
        <w:ilvl w:val="3"/>
        <w:numId w:val="11"/>
      </w:numPr>
      <w:spacing w:before="200"/>
      <w:jc w:val="left"/>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014566"/>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41747"/>
    <w:pPr>
      <w:numPr>
        <w:ilvl w:val="5"/>
        <w:numId w:val="11"/>
      </w:numPr>
      <w:spacing w:line="271" w:lineRule="auto"/>
      <w:jc w:val="left"/>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014566"/>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014566"/>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014566"/>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014566"/>
    <w:rPr>
      <w:i/>
      <w:iCs/>
      <w:smallCaps/>
      <w:spacing w:val="5"/>
    </w:rPr>
  </w:style>
  <w:style w:type="paragraph" w:customStyle="1" w:styleId="ECHRHeader">
    <w:name w:val="ECHR_Header"/>
    <w:aliases w:val="Ju_Header"/>
    <w:basedOn w:val="Header"/>
    <w:uiPriority w:val="4"/>
    <w:qFormat/>
    <w:rsid w:val="00014566"/>
    <w:pPr>
      <w:tabs>
        <w:tab w:val="clear" w:pos="4536"/>
        <w:tab w:val="clear" w:pos="9696"/>
        <w:tab w:val="center" w:pos="3686"/>
        <w:tab w:val="right" w:pos="7371"/>
      </w:tabs>
      <w:ind w:left="0" w:right="0"/>
      <w:jc w:val="left"/>
    </w:pPr>
    <w:rPr>
      <w:rFonts w:eastAsiaTheme="minorHAnsi"/>
      <w:sz w:val="18"/>
    </w:rPr>
  </w:style>
  <w:style w:type="paragraph" w:customStyle="1" w:styleId="OpiPara">
    <w:name w:val="Opi_Para"/>
    <w:basedOn w:val="Normal"/>
    <w:uiPriority w:val="46"/>
    <w:qFormat/>
    <w:rsid w:val="00C621C2"/>
    <w:pPr>
      <w:ind w:firstLine="284"/>
    </w:pPr>
  </w:style>
  <w:style w:type="character" w:styleId="Strong">
    <w:name w:val="Strong"/>
    <w:uiPriority w:val="99"/>
    <w:semiHidden/>
    <w:qFormat/>
    <w:rsid w:val="00014566"/>
    <w:rPr>
      <w:b/>
      <w:bCs/>
    </w:rPr>
  </w:style>
  <w:style w:type="paragraph" w:styleId="NoSpacing">
    <w:name w:val="No Spacing"/>
    <w:basedOn w:val="Normal"/>
    <w:link w:val="NoSpacingChar"/>
    <w:semiHidden/>
    <w:qFormat/>
    <w:rsid w:val="00014566"/>
    <w:rPr>
      <w:sz w:val="22"/>
    </w:rPr>
  </w:style>
  <w:style w:type="character" w:customStyle="1" w:styleId="NoSpacingChar">
    <w:name w:val="No Spacing Char"/>
    <w:basedOn w:val="DefaultParagraphFont"/>
    <w:link w:val="NoSpacing"/>
    <w:semiHidden/>
    <w:rsid w:val="00014566"/>
    <w:rPr>
      <w:rFonts w:eastAsiaTheme="minorEastAsia"/>
    </w:rPr>
  </w:style>
  <w:style w:type="paragraph" w:customStyle="1" w:styleId="JuParaSub">
    <w:name w:val="Ju_Para_Sub"/>
    <w:basedOn w:val="Normal"/>
    <w:uiPriority w:val="13"/>
    <w:qFormat/>
    <w:rsid w:val="00C621C2"/>
    <w:pPr>
      <w:ind w:left="284" w:firstLine="284"/>
    </w:pPr>
  </w:style>
  <w:style w:type="paragraph" w:customStyle="1" w:styleId="OpiParaSub">
    <w:name w:val="Opi_Para_Sub"/>
    <w:basedOn w:val="JuParaSub"/>
    <w:uiPriority w:val="47"/>
    <w:qFormat/>
    <w:rsid w:val="00014566"/>
  </w:style>
  <w:style w:type="paragraph" w:customStyle="1" w:styleId="OpiQuot">
    <w:name w:val="Opi_Quot"/>
    <w:basedOn w:val="ECHRParaQuote"/>
    <w:uiPriority w:val="48"/>
    <w:qFormat/>
    <w:rsid w:val="00014566"/>
  </w:style>
  <w:style w:type="paragraph" w:customStyle="1" w:styleId="OpiQuotSub">
    <w:name w:val="Opi_Quot_Sub"/>
    <w:basedOn w:val="JuQuotSub"/>
    <w:uiPriority w:val="49"/>
    <w:qFormat/>
    <w:rsid w:val="00014566"/>
  </w:style>
  <w:style w:type="paragraph" w:customStyle="1" w:styleId="ECHRTitleCentre3">
    <w:name w:val="ECHR_Title_Centre_3"/>
    <w:aliases w:val="Ju_H_Article"/>
    <w:basedOn w:val="Normal"/>
    <w:next w:val="ECHRParaQuote"/>
    <w:uiPriority w:val="27"/>
    <w:qFormat/>
    <w:rsid w:val="00014566"/>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014566"/>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014566"/>
    <w:pPr>
      <w:ind w:left="567"/>
    </w:pPr>
  </w:style>
  <w:style w:type="paragraph" w:customStyle="1" w:styleId="JuInitialled">
    <w:name w:val="Ju_Initialled"/>
    <w:basedOn w:val="Normal"/>
    <w:qFormat/>
    <w:rsid w:val="00014566"/>
    <w:pPr>
      <w:tabs>
        <w:tab w:val="center" w:pos="6407"/>
      </w:tabs>
      <w:spacing w:before="720"/>
      <w:jc w:val="right"/>
    </w:pPr>
  </w:style>
  <w:style w:type="paragraph" w:customStyle="1" w:styleId="OpiHA">
    <w:name w:val="Opi_H_A"/>
    <w:basedOn w:val="ECHRHeading1"/>
    <w:next w:val="OpiPara"/>
    <w:uiPriority w:val="41"/>
    <w:qFormat/>
    <w:rsid w:val="00014566"/>
    <w:pPr>
      <w:outlineLvl w:val="1"/>
    </w:pPr>
    <w:rPr>
      <w:bCs w:val="0"/>
    </w:rPr>
  </w:style>
  <w:style w:type="character" w:customStyle="1" w:styleId="JUNAMES">
    <w:name w:val="JU_NAMES"/>
    <w:uiPriority w:val="17"/>
    <w:qFormat/>
    <w:rsid w:val="00014566"/>
    <w:rPr>
      <w:caps w:val="0"/>
      <w:smallCaps/>
    </w:rPr>
  </w:style>
  <w:style w:type="paragraph" w:customStyle="1" w:styleId="OpiTranslation">
    <w:name w:val="Opi_Translation"/>
    <w:basedOn w:val="Normal"/>
    <w:next w:val="OpiPara"/>
    <w:uiPriority w:val="40"/>
    <w:qFormat/>
    <w:rsid w:val="00014566"/>
    <w:pPr>
      <w:jc w:val="center"/>
      <w:outlineLvl w:val="0"/>
    </w:pPr>
    <w:rPr>
      <w:i/>
    </w:rPr>
  </w:style>
  <w:style w:type="paragraph" w:styleId="Title">
    <w:name w:val="Title"/>
    <w:basedOn w:val="Normal"/>
    <w:next w:val="Normal"/>
    <w:link w:val="TitleChar"/>
    <w:uiPriority w:val="99"/>
    <w:semiHidden/>
    <w:qFormat/>
    <w:rsid w:val="0001456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014566"/>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Normal"/>
    <w:uiPriority w:val="21"/>
    <w:qFormat/>
    <w:rsid w:val="00014566"/>
    <w:pPr>
      <w:keepNext/>
      <w:keepLines/>
      <w:numPr>
        <w:ilvl w:val="0"/>
        <w:numId w:val="0"/>
      </w:numPr>
      <w:tabs>
        <w:tab w:val="left" w:pos="731"/>
      </w:tabs>
      <w:spacing w:before="240" w:after="120" w:line="240" w:lineRule="auto"/>
      <w:ind w:left="732" w:hanging="301"/>
      <w:jc w:val="both"/>
    </w:pPr>
    <w:rPr>
      <w:b w:val="0"/>
      <w:i/>
      <w:color w:val="auto"/>
    </w:rPr>
  </w:style>
  <w:style w:type="paragraph" w:customStyle="1" w:styleId="ECHRHeading4">
    <w:name w:val="ECHR_Heading_4"/>
    <w:aliases w:val="Ju_H_a"/>
    <w:basedOn w:val="Heading4"/>
    <w:next w:val="Normal"/>
    <w:uiPriority w:val="22"/>
    <w:qFormat/>
    <w:rsid w:val="00014566"/>
    <w:pPr>
      <w:keepNext/>
      <w:keepLines/>
      <w:numPr>
        <w:ilvl w:val="0"/>
        <w:numId w:val="0"/>
      </w:numPr>
      <w:tabs>
        <w:tab w:val="left" w:pos="975"/>
      </w:tabs>
      <w:spacing w:before="240" w:after="120"/>
      <w:ind w:left="975" w:hanging="340"/>
      <w:jc w:val="both"/>
    </w:pPr>
    <w:rPr>
      <w:i w:val="0"/>
      <w:color w:val="auto"/>
      <w:sz w:val="20"/>
    </w:rPr>
  </w:style>
  <w:style w:type="paragraph" w:customStyle="1" w:styleId="ECHRHeading5">
    <w:name w:val="ECHR_Heading_5"/>
    <w:aliases w:val="Ju_H_i"/>
    <w:basedOn w:val="Heading5"/>
    <w:next w:val="Normal"/>
    <w:uiPriority w:val="23"/>
    <w:qFormat/>
    <w:rsid w:val="00014566"/>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Normal"/>
    <w:uiPriority w:val="24"/>
    <w:qFormat/>
    <w:rsid w:val="00014566"/>
    <w:pPr>
      <w:keepNext/>
      <w:keepLines/>
      <w:numPr>
        <w:ilvl w:val="0"/>
        <w:numId w:val="0"/>
      </w:numPr>
      <w:tabs>
        <w:tab w:val="left" w:pos="1372"/>
      </w:tabs>
      <w:spacing w:before="240" w:after="120" w:line="240" w:lineRule="auto"/>
      <w:ind w:left="1373" w:hanging="335"/>
      <w:jc w:val="both"/>
    </w:pPr>
    <w:rPr>
      <w:b w:val="0"/>
      <w:color w:val="auto"/>
      <w:sz w:val="20"/>
    </w:rPr>
  </w:style>
  <w:style w:type="paragraph" w:customStyle="1" w:styleId="ECHRHeading7">
    <w:name w:val="ECHR_Heading_7"/>
    <w:aliases w:val="Ju_H_–"/>
    <w:basedOn w:val="Heading7"/>
    <w:next w:val="Normal"/>
    <w:uiPriority w:val="25"/>
    <w:qFormat/>
    <w:rsid w:val="00014566"/>
    <w:pPr>
      <w:keepNext/>
      <w:keepLines/>
      <w:spacing w:before="240" w:after="120"/>
      <w:ind w:left="1236"/>
    </w:pPr>
    <w:rPr>
      <w:sz w:val="20"/>
    </w:rPr>
  </w:style>
  <w:style w:type="paragraph" w:customStyle="1" w:styleId="OpiH1">
    <w:name w:val="Opi_H_1"/>
    <w:basedOn w:val="ECHRHeading2"/>
    <w:uiPriority w:val="42"/>
    <w:qFormat/>
    <w:rsid w:val="00014566"/>
    <w:pPr>
      <w:ind w:left="635" w:hanging="357"/>
      <w:outlineLvl w:val="2"/>
    </w:pPr>
  </w:style>
  <w:style w:type="paragraph" w:customStyle="1" w:styleId="OpiHa0">
    <w:name w:val="Opi_H_a"/>
    <w:basedOn w:val="ECHRHeading3"/>
    <w:uiPriority w:val="43"/>
    <w:qFormat/>
    <w:rsid w:val="00014566"/>
    <w:pPr>
      <w:ind w:left="833" w:hanging="357"/>
      <w:outlineLvl w:val="3"/>
    </w:pPr>
    <w:rPr>
      <w:b/>
      <w:i w:val="0"/>
      <w:sz w:val="20"/>
    </w:rPr>
  </w:style>
  <w:style w:type="paragraph" w:customStyle="1" w:styleId="OpiHi">
    <w:name w:val="Opi_H_i"/>
    <w:basedOn w:val="ECHRHeading4"/>
    <w:uiPriority w:val="44"/>
    <w:qFormat/>
    <w:rsid w:val="00014566"/>
    <w:pPr>
      <w:ind w:left="1037" w:hanging="357"/>
      <w:outlineLvl w:val="4"/>
    </w:pPr>
    <w:rPr>
      <w:b w:val="0"/>
      <w:i/>
    </w:rPr>
  </w:style>
  <w:style w:type="paragraph" w:styleId="Header">
    <w:name w:val="header"/>
    <w:basedOn w:val="Normal"/>
    <w:link w:val="HeaderChar"/>
    <w:uiPriority w:val="57"/>
    <w:semiHidden/>
    <w:rsid w:val="00941747"/>
    <w:pPr>
      <w:tabs>
        <w:tab w:val="center" w:pos="4536"/>
        <w:tab w:val="right" w:pos="9696"/>
      </w:tabs>
      <w:ind w:left="-680" w:right="-680"/>
    </w:pPr>
  </w:style>
  <w:style w:type="character" w:customStyle="1" w:styleId="HeaderChar">
    <w:name w:val="Header Char"/>
    <w:basedOn w:val="DefaultParagraphFont"/>
    <w:link w:val="Header"/>
    <w:uiPriority w:val="57"/>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Normal"/>
    <w:uiPriority w:val="19"/>
    <w:qFormat/>
    <w:rsid w:val="00014566"/>
    <w:pPr>
      <w:keepNext/>
      <w:keepLines/>
      <w:numPr>
        <w:numId w:val="0"/>
      </w:numPr>
      <w:tabs>
        <w:tab w:val="left" w:pos="357"/>
      </w:tabs>
      <w:spacing w:before="360" w:after="240"/>
      <w:ind w:left="357" w:hanging="357"/>
      <w:contextualSpacing w:val="0"/>
      <w:jc w:val="both"/>
    </w:pPr>
    <w:rPr>
      <w:b w:val="0"/>
      <w:color w:val="auto"/>
      <w:sz w:val="24"/>
    </w:rPr>
  </w:style>
  <w:style w:type="paragraph" w:customStyle="1" w:styleId="ECHRHeading2">
    <w:name w:val="ECHR_Heading_2"/>
    <w:aliases w:val="Ju_H_A"/>
    <w:basedOn w:val="Heading2"/>
    <w:next w:val="Normal"/>
    <w:uiPriority w:val="20"/>
    <w:qFormat/>
    <w:rsid w:val="00014566"/>
    <w:pPr>
      <w:keepNext/>
      <w:keepLines/>
      <w:numPr>
        <w:ilvl w:val="0"/>
        <w:numId w:val="0"/>
      </w:numPr>
      <w:tabs>
        <w:tab w:val="left" w:pos="584"/>
      </w:tabs>
      <w:spacing w:before="360" w:after="240"/>
      <w:ind w:left="584" w:hanging="352"/>
      <w:jc w:val="both"/>
    </w:pPr>
    <w:rPr>
      <w:color w:val="auto"/>
      <w:sz w:val="24"/>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DummyStyle">
    <w:name w:val="Dummy_Style"/>
    <w:basedOn w:val="Normal"/>
    <w:semiHidden/>
    <w:qFormat/>
    <w:rsid w:val="00014566"/>
    <w:rPr>
      <w:color w:val="00B050"/>
    </w:rPr>
  </w:style>
  <w:style w:type="paragraph" w:customStyle="1" w:styleId="JuCase">
    <w:name w:val="Ju_Case"/>
    <w:basedOn w:val="Normal"/>
    <w:next w:val="Normal"/>
    <w:uiPriority w:val="10"/>
    <w:rsid w:val="00D60D87"/>
    <w:pPr>
      <w:ind w:firstLine="284"/>
    </w:pPr>
    <w:rPr>
      <w:b/>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character" w:customStyle="1" w:styleId="Heading5Char">
    <w:name w:val="Heading 5 Char"/>
    <w:basedOn w:val="DefaultParagraphFont"/>
    <w:link w:val="Heading5"/>
    <w:uiPriority w:val="99"/>
    <w:semiHidden/>
    <w:rsid w:val="00014566"/>
    <w:rPr>
      <w:rFonts w:asciiTheme="majorHAnsi" w:eastAsiaTheme="majorEastAsia" w:hAnsiTheme="majorHAnsi" w:cstheme="majorBidi"/>
      <w:b/>
      <w:bCs/>
      <w:color w:val="808080"/>
    </w:rPr>
  </w:style>
  <w:style w:type="character" w:styleId="SubtleEmphasis">
    <w:name w:val="Subtle Emphasis"/>
    <w:uiPriority w:val="99"/>
    <w:semiHidden/>
    <w:qFormat/>
    <w:rsid w:val="00014566"/>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Normal"/>
    <w:uiPriority w:val="18"/>
    <w:qFormat/>
    <w:rsid w:val="00014566"/>
    <w:pPr>
      <w:keepNext/>
      <w:keepLines/>
      <w:spacing w:before="720" w:after="240"/>
      <w:outlineLvl w:val="0"/>
    </w:pPr>
    <w:rPr>
      <w:rFonts w:asciiTheme="majorHAnsi" w:hAnsiTheme="majorHAnsi"/>
      <w:sz w:val="28"/>
    </w:rPr>
  </w:style>
  <w:style w:type="character" w:styleId="Emphasis">
    <w:name w:val="Emphasis"/>
    <w:uiPriority w:val="99"/>
    <w:semiHidden/>
    <w:qFormat/>
    <w:rsid w:val="00014566"/>
    <w:rPr>
      <w:b/>
      <w:bCs/>
      <w:i/>
      <w:iCs/>
      <w:spacing w:val="10"/>
      <w:bdr w:val="none" w:sz="0" w:space="0" w:color="auto"/>
      <w:shd w:val="clear" w:color="auto" w:fill="auto"/>
    </w:rPr>
  </w:style>
  <w:style w:type="paragraph" w:styleId="Footer">
    <w:name w:val="footer"/>
    <w:basedOn w:val="Normal"/>
    <w:link w:val="FooterChar"/>
    <w:uiPriority w:val="57"/>
    <w:semiHidden/>
    <w:rsid w:val="00941747"/>
    <w:pPr>
      <w:tabs>
        <w:tab w:val="center" w:pos="4536"/>
        <w:tab w:val="right" w:pos="9696"/>
      </w:tabs>
      <w:ind w:left="-680" w:right="-680"/>
    </w:pPr>
  </w:style>
  <w:style w:type="character" w:customStyle="1" w:styleId="FooterChar">
    <w:name w:val="Footer Char"/>
    <w:basedOn w:val="DefaultParagraphFont"/>
    <w:link w:val="Footer"/>
    <w:uiPriority w:val="57"/>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A671F8"/>
    <w:rPr>
      <w:rFonts w:eastAsiaTheme="minorEastAsia"/>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014566"/>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014566"/>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014566"/>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014566"/>
    <w:rPr>
      <w:b/>
      <w:bCs/>
    </w:rPr>
  </w:style>
  <w:style w:type="paragraph" w:styleId="IntenseQuote">
    <w:name w:val="Intense Quote"/>
    <w:basedOn w:val="Normal"/>
    <w:next w:val="Normal"/>
    <w:link w:val="IntenseQuoteChar"/>
    <w:uiPriority w:val="99"/>
    <w:semiHidden/>
    <w:qFormat/>
    <w:rsid w:val="00014566"/>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014566"/>
    <w:rPr>
      <w:rFonts w:eastAsiaTheme="minorEastAsia"/>
      <w:b/>
      <w:bCs/>
      <w:i/>
      <w:iCs/>
      <w:lang w:bidi="en-US"/>
    </w:rPr>
  </w:style>
  <w:style w:type="character" w:styleId="IntenseReference">
    <w:name w:val="Intense Reference"/>
    <w:uiPriority w:val="99"/>
    <w:semiHidden/>
    <w:qFormat/>
    <w:rsid w:val="00014566"/>
    <w:rPr>
      <w:smallCaps/>
      <w:spacing w:val="5"/>
      <w:u w:val="single"/>
    </w:rPr>
  </w:style>
  <w:style w:type="paragraph" w:styleId="ListParagraph">
    <w:name w:val="List Paragraph"/>
    <w:basedOn w:val="Normal"/>
    <w:uiPriority w:val="99"/>
    <w:semiHidden/>
    <w:qFormat/>
    <w:rsid w:val="00014566"/>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014566"/>
    <w:pPr>
      <w:spacing w:before="200"/>
      <w:ind w:left="360" w:right="360"/>
    </w:pPr>
    <w:rPr>
      <w:i/>
      <w:iCs/>
      <w:sz w:val="22"/>
      <w:lang w:bidi="en-US"/>
    </w:rPr>
  </w:style>
  <w:style w:type="character" w:customStyle="1" w:styleId="QuoteChar">
    <w:name w:val="Quote Char"/>
    <w:basedOn w:val="DefaultParagraphFont"/>
    <w:link w:val="Quote"/>
    <w:uiPriority w:val="99"/>
    <w:semiHidden/>
    <w:rsid w:val="00014566"/>
    <w:rPr>
      <w:rFonts w:eastAsiaTheme="minorEastAsia"/>
      <w:i/>
      <w:iCs/>
      <w:lang w:bidi="en-US"/>
    </w:rPr>
  </w:style>
  <w:style w:type="character" w:styleId="SubtleReference">
    <w:name w:val="Subtle Reference"/>
    <w:uiPriority w:val="99"/>
    <w:semiHidden/>
    <w:qFormat/>
    <w:rsid w:val="00014566"/>
    <w:rPr>
      <w:smallCaps/>
    </w:rPr>
  </w:style>
  <w:style w:type="table" w:styleId="TableGrid">
    <w:name w:val="Table Grid"/>
    <w:basedOn w:val="TableNormal"/>
    <w:uiPriority w:val="59"/>
    <w:semiHidden/>
    <w:rsid w:val="0094174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014566"/>
    <w:pPr>
      <w:numPr>
        <w:numId w:val="0"/>
      </w:numPr>
      <w:jc w:val="both"/>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
    <w:qFormat/>
    <w:rsid w:val="00014566"/>
    <w:pPr>
      <w:spacing w:before="120" w:after="120"/>
      <w:ind w:left="425" w:firstLine="142"/>
    </w:pPr>
    <w:rPr>
      <w:sz w:val="20"/>
    </w:rPr>
  </w:style>
  <w:style w:type="paragraph" w:customStyle="1" w:styleId="ECHRPara">
    <w:name w:val="ECHR_Para"/>
    <w:aliases w:val="Ju_Para"/>
    <w:basedOn w:val="Normal"/>
    <w:link w:val="JuParaChar"/>
    <w:qFormat/>
    <w:rsid w:val="00C621C2"/>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DF0549"/>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C621C2"/>
    <w:pPr>
      <w:ind w:left="340" w:hanging="340"/>
    </w:pPr>
  </w:style>
  <w:style w:type="paragraph" w:customStyle="1" w:styleId="JuSigned">
    <w:name w:val="Ju_Signed"/>
    <w:basedOn w:val="Normal"/>
    <w:next w:val="JuParaLast"/>
    <w:uiPriority w:val="32"/>
    <w:qFormat/>
    <w:rsid w:val="00C621C2"/>
    <w:pPr>
      <w:tabs>
        <w:tab w:val="center" w:pos="851"/>
        <w:tab w:val="center" w:pos="6407"/>
      </w:tabs>
      <w:spacing w:before="720"/>
      <w:jc w:val="left"/>
    </w:pPr>
  </w:style>
  <w:style w:type="paragraph" w:customStyle="1" w:styleId="JuParaLast">
    <w:name w:val="Ju_Para_Last"/>
    <w:basedOn w:val="Normal"/>
    <w:next w:val="Normal"/>
    <w:qFormat/>
    <w:rsid w:val="00014566"/>
    <w:pPr>
      <w:keepNext/>
      <w:keepLines/>
      <w:spacing w:before="240"/>
      <w:ind w:firstLine="284"/>
    </w:pPr>
  </w:style>
  <w:style w:type="paragraph" w:customStyle="1" w:styleId="JuCourt">
    <w:name w:val="Ju_Court"/>
    <w:basedOn w:val="Normal"/>
    <w:next w:val="Normal"/>
    <w:uiPriority w:val="16"/>
    <w:qFormat/>
    <w:rsid w:val="00014566"/>
    <w:pPr>
      <w:tabs>
        <w:tab w:val="left" w:pos="907"/>
        <w:tab w:val="left" w:pos="1701"/>
        <w:tab w:val="right" w:pos="7371"/>
      </w:tabs>
      <w:spacing w:before="240"/>
      <w:ind w:left="397" w:hanging="397"/>
      <w:jc w:val="left"/>
    </w:pPr>
    <w:rPr>
      <w:lang w:bidi="en-US"/>
    </w:rPr>
  </w:style>
  <w:style w:type="character" w:styleId="PageNumber">
    <w:name w:val="page number"/>
    <w:uiPriority w:val="99"/>
    <w:semiHidden/>
    <w:rsid w:val="00014566"/>
    <w:rPr>
      <w:sz w:val="18"/>
    </w:rPr>
  </w:style>
  <w:style w:type="paragraph" w:customStyle="1" w:styleId="JuLista">
    <w:name w:val="Ju_List_a"/>
    <w:basedOn w:val="Normal"/>
    <w:uiPriority w:val="28"/>
    <w:qFormat/>
    <w:rsid w:val="00C621C2"/>
    <w:pPr>
      <w:ind w:left="346"/>
    </w:pPr>
  </w:style>
  <w:style w:type="paragraph" w:customStyle="1" w:styleId="JuListi">
    <w:name w:val="Ju_List_i"/>
    <w:basedOn w:val="Normal"/>
    <w:next w:val="JuLista"/>
    <w:uiPriority w:val="28"/>
    <w:qFormat/>
    <w:rsid w:val="00014566"/>
    <w:pPr>
      <w:ind w:left="794"/>
    </w:pPr>
  </w:style>
  <w:style w:type="character" w:styleId="CommentReference">
    <w:name w:val="annotation reference"/>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uiPriority w:val="99"/>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character" w:customStyle="1" w:styleId="JuNames0">
    <w:name w:val="Ju_Names"/>
    <w:rsid w:val="00014566"/>
    <w:rPr>
      <w:smallCaps/>
    </w:rPr>
  </w:style>
  <w:style w:type="paragraph" w:styleId="ListBullet">
    <w:name w:val="List Bullet"/>
    <w:basedOn w:val="Normal"/>
    <w:uiPriority w:val="99"/>
    <w:semiHidden/>
    <w:rsid w:val="00014566"/>
    <w:pPr>
      <w:numPr>
        <w:numId w:val="8"/>
      </w:numPr>
    </w:pPr>
  </w:style>
  <w:style w:type="character" w:customStyle="1" w:styleId="JuITMark">
    <w:name w:val="Ju_ITMark"/>
    <w:basedOn w:val="DefaultParagraphFont"/>
    <w:uiPriority w:val="38"/>
    <w:qFormat/>
    <w:rsid w:val="00014566"/>
    <w:rPr>
      <w:vanish w:val="0"/>
      <w:color w:val="auto"/>
      <w:sz w:val="14"/>
    </w:rPr>
  </w:style>
  <w:style w:type="paragraph" w:styleId="Subtitle">
    <w:name w:val="Subtitle"/>
    <w:basedOn w:val="Normal"/>
    <w:next w:val="Normal"/>
    <w:link w:val="SubtitleChar"/>
    <w:uiPriority w:val="99"/>
    <w:semiHidden/>
    <w:qFormat/>
    <w:rsid w:val="00014566"/>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014566"/>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9"/>
      </w:numPr>
    </w:pPr>
  </w:style>
  <w:style w:type="numbering" w:styleId="1ai">
    <w:name w:val="Outline List 1"/>
    <w:basedOn w:val="NoList"/>
    <w:uiPriority w:val="99"/>
    <w:semiHidden/>
    <w:rsid w:val="00014566"/>
    <w:pPr>
      <w:numPr>
        <w:numId w:val="10"/>
      </w:numPr>
    </w:pPr>
  </w:style>
  <w:style w:type="numbering" w:styleId="ArticleSection">
    <w:name w:val="Outline List 3"/>
    <w:basedOn w:val="NoList"/>
    <w:uiPriority w:val="99"/>
    <w:semiHidden/>
    <w:rsid w:val="00014566"/>
    <w:pPr>
      <w:numPr>
        <w:numId w:val="11"/>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12"/>
      </w:numPr>
      <w:contextualSpacing/>
    </w:pPr>
  </w:style>
  <w:style w:type="paragraph" w:styleId="ListBullet3">
    <w:name w:val="List Bullet 3"/>
    <w:basedOn w:val="Normal"/>
    <w:uiPriority w:val="99"/>
    <w:semiHidden/>
    <w:rsid w:val="00014566"/>
    <w:pPr>
      <w:numPr>
        <w:numId w:val="13"/>
      </w:numPr>
      <w:contextualSpacing/>
    </w:pPr>
  </w:style>
  <w:style w:type="paragraph" w:styleId="ListBullet4">
    <w:name w:val="List Bullet 4"/>
    <w:basedOn w:val="Normal"/>
    <w:uiPriority w:val="99"/>
    <w:semiHidden/>
    <w:rsid w:val="00014566"/>
    <w:pPr>
      <w:numPr>
        <w:numId w:val="14"/>
      </w:numPr>
      <w:contextualSpacing/>
    </w:pPr>
  </w:style>
  <w:style w:type="paragraph" w:styleId="ListBullet5">
    <w:name w:val="List Bullet 5"/>
    <w:basedOn w:val="Normal"/>
    <w:uiPriority w:val="99"/>
    <w:semiHidden/>
    <w:rsid w:val="00014566"/>
    <w:pPr>
      <w:numPr>
        <w:numId w:val="15"/>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16"/>
      </w:numPr>
      <w:contextualSpacing/>
    </w:pPr>
  </w:style>
  <w:style w:type="paragraph" w:styleId="ListNumber2">
    <w:name w:val="List Number 2"/>
    <w:basedOn w:val="Normal"/>
    <w:uiPriority w:val="99"/>
    <w:semiHidden/>
    <w:rsid w:val="00014566"/>
    <w:pPr>
      <w:numPr>
        <w:numId w:val="17"/>
      </w:numPr>
      <w:contextualSpacing/>
    </w:pPr>
  </w:style>
  <w:style w:type="paragraph" w:styleId="ListNumber3">
    <w:name w:val="List Number 3"/>
    <w:basedOn w:val="Normal"/>
    <w:uiPriority w:val="99"/>
    <w:semiHidden/>
    <w:rsid w:val="00014566"/>
    <w:pPr>
      <w:numPr>
        <w:numId w:val="18"/>
      </w:numPr>
      <w:contextualSpacing/>
    </w:pPr>
  </w:style>
  <w:style w:type="paragraph" w:styleId="ListNumber4">
    <w:name w:val="List Number 4"/>
    <w:basedOn w:val="Normal"/>
    <w:uiPriority w:val="99"/>
    <w:semiHidden/>
    <w:rsid w:val="00014566"/>
    <w:pPr>
      <w:numPr>
        <w:numId w:val="19"/>
      </w:numPr>
      <w:contextualSpacing/>
    </w:pPr>
  </w:style>
  <w:style w:type="paragraph" w:styleId="ListNumber5">
    <w:name w:val="List Number 5"/>
    <w:basedOn w:val="Normal"/>
    <w:uiPriority w:val="99"/>
    <w:semiHidden/>
    <w:rsid w:val="00014566"/>
    <w:pPr>
      <w:numPr>
        <w:numId w:val="20"/>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014566"/>
    <w:rPr>
      <w:color w:val="808080"/>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character" w:customStyle="1" w:styleId="JuParaChar">
    <w:name w:val="Ju_Para Char"/>
    <w:link w:val="ECHRPara"/>
    <w:uiPriority w:val="12"/>
    <w:rsid w:val="002E2424"/>
    <w:rPr>
      <w:rFonts w:eastAsiaTheme="minorEastAsia"/>
      <w:sz w:val="24"/>
    </w:rPr>
  </w:style>
  <w:style w:type="character" w:customStyle="1" w:styleId="JuParaCar">
    <w:name w:val="Ju_Para Car"/>
    <w:uiPriority w:val="12"/>
    <w:rsid w:val="009A0CAA"/>
    <w:rPr>
      <w:rFonts w:eastAsiaTheme="minorEastAsia"/>
      <w:sz w:val="24"/>
    </w:rPr>
  </w:style>
  <w:style w:type="character" w:customStyle="1" w:styleId="sb8d990e2">
    <w:name w:val="sb8d990e2"/>
    <w:basedOn w:val="DefaultParagraphFont"/>
    <w:rsid w:val="000774CE"/>
  </w:style>
  <w:style w:type="character" w:customStyle="1" w:styleId="wordhighlighted">
    <w:name w:val="wordhighlighted"/>
    <w:basedOn w:val="DefaultParagraphFont"/>
    <w:rsid w:val="00F7203A"/>
  </w:style>
  <w:style w:type="character" w:customStyle="1" w:styleId="s6b621b36">
    <w:name w:val="s6b621b36"/>
    <w:basedOn w:val="DefaultParagraphFont"/>
    <w:rsid w:val="00F7203A"/>
  </w:style>
  <w:style w:type="paragraph" w:customStyle="1" w:styleId="jupara">
    <w:name w:val="jupara"/>
    <w:basedOn w:val="Normal"/>
    <w:rsid w:val="00DD4387"/>
    <w:pPr>
      <w:ind w:firstLine="284"/>
    </w:pPr>
    <w:rPr>
      <w:rFonts w:ascii="Times New Roman" w:eastAsia="Times New Roman" w:hAnsi="Times New Roman" w:cs="Times New Roman"/>
      <w:szCs w:val="24"/>
      <w:lang w:val="en-GB" w:eastAsia="en-GB"/>
    </w:rPr>
  </w:style>
  <w:style w:type="paragraph" w:customStyle="1" w:styleId="jucase0">
    <w:name w:val="jucase"/>
    <w:basedOn w:val="Normal"/>
    <w:rsid w:val="00DD4387"/>
    <w:pPr>
      <w:ind w:firstLine="284"/>
    </w:pPr>
    <w:rPr>
      <w:rFonts w:ascii="Times New Roman" w:eastAsia="Times New Roman" w:hAnsi="Times New Roman" w:cs="Times New Roman"/>
      <w:b/>
      <w:bCs/>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46940">
      <w:bodyDiv w:val="1"/>
      <w:marLeft w:val="0"/>
      <w:marRight w:val="0"/>
      <w:marTop w:val="0"/>
      <w:marBottom w:val="0"/>
      <w:divBdr>
        <w:top w:val="none" w:sz="0" w:space="0" w:color="auto"/>
        <w:left w:val="none" w:sz="0" w:space="0" w:color="auto"/>
        <w:bottom w:val="none" w:sz="0" w:space="0" w:color="auto"/>
        <w:right w:val="none" w:sz="0" w:space="0" w:color="auto"/>
      </w:divBdr>
    </w:div>
    <w:div w:id="505635233">
      <w:bodyDiv w:val="1"/>
      <w:marLeft w:val="0"/>
      <w:marRight w:val="0"/>
      <w:marTop w:val="0"/>
      <w:marBottom w:val="0"/>
      <w:divBdr>
        <w:top w:val="none" w:sz="0" w:space="0" w:color="auto"/>
        <w:left w:val="none" w:sz="0" w:space="0" w:color="auto"/>
        <w:bottom w:val="none" w:sz="0" w:space="0" w:color="auto"/>
        <w:right w:val="none" w:sz="0" w:space="0" w:color="auto"/>
      </w:divBdr>
    </w:div>
    <w:div w:id="618727734">
      <w:bodyDiv w:val="1"/>
      <w:marLeft w:val="0"/>
      <w:marRight w:val="0"/>
      <w:marTop w:val="0"/>
      <w:marBottom w:val="0"/>
      <w:divBdr>
        <w:top w:val="none" w:sz="0" w:space="0" w:color="auto"/>
        <w:left w:val="none" w:sz="0" w:space="0" w:color="auto"/>
        <w:bottom w:val="none" w:sz="0" w:space="0" w:color="auto"/>
        <w:right w:val="none" w:sz="0" w:space="0" w:color="auto"/>
      </w:divBdr>
    </w:div>
    <w:div w:id="912272587">
      <w:bodyDiv w:val="1"/>
      <w:marLeft w:val="0"/>
      <w:marRight w:val="0"/>
      <w:marTop w:val="0"/>
      <w:marBottom w:val="0"/>
      <w:divBdr>
        <w:top w:val="none" w:sz="0" w:space="0" w:color="auto"/>
        <w:left w:val="none" w:sz="0" w:space="0" w:color="auto"/>
        <w:bottom w:val="none" w:sz="0" w:space="0" w:color="auto"/>
        <w:right w:val="none" w:sz="0" w:space="0" w:color="auto"/>
      </w:divBdr>
    </w:div>
    <w:div w:id="1569874550">
      <w:bodyDiv w:val="1"/>
      <w:marLeft w:val="0"/>
      <w:marRight w:val="0"/>
      <w:marTop w:val="0"/>
      <w:marBottom w:val="0"/>
      <w:divBdr>
        <w:top w:val="none" w:sz="0" w:space="0" w:color="auto"/>
        <w:left w:val="none" w:sz="0" w:space="0" w:color="auto"/>
        <w:bottom w:val="none" w:sz="0" w:space="0" w:color="auto"/>
        <w:right w:val="none" w:sz="0" w:space="0" w:color="auto"/>
      </w:divBdr>
      <w:divsChild>
        <w:div w:id="283004435">
          <w:marLeft w:val="0"/>
          <w:marRight w:val="0"/>
          <w:marTop w:val="2100"/>
          <w:marBottom w:val="0"/>
          <w:divBdr>
            <w:top w:val="none" w:sz="0" w:space="0" w:color="auto"/>
            <w:left w:val="none" w:sz="0" w:space="0" w:color="auto"/>
            <w:bottom w:val="none" w:sz="0" w:space="0" w:color="auto"/>
            <w:right w:val="none" w:sz="0" w:space="0" w:color="auto"/>
          </w:divBdr>
          <w:divsChild>
            <w:div w:id="2078818776">
              <w:marLeft w:val="0"/>
              <w:marRight w:val="0"/>
              <w:marTop w:val="0"/>
              <w:marBottom w:val="0"/>
              <w:divBdr>
                <w:top w:val="none" w:sz="0" w:space="0" w:color="auto"/>
                <w:left w:val="none" w:sz="0" w:space="0" w:color="auto"/>
                <w:bottom w:val="none" w:sz="0" w:space="0" w:color="auto"/>
                <w:right w:val="none" w:sz="0" w:space="0" w:color="auto"/>
              </w:divBdr>
              <w:divsChild>
                <w:div w:id="1768504876">
                  <w:marLeft w:val="0"/>
                  <w:marRight w:val="0"/>
                  <w:marTop w:val="0"/>
                  <w:marBottom w:val="0"/>
                  <w:divBdr>
                    <w:top w:val="none" w:sz="0" w:space="0" w:color="auto"/>
                    <w:left w:val="none" w:sz="0" w:space="0" w:color="auto"/>
                    <w:bottom w:val="none" w:sz="0" w:space="0" w:color="auto"/>
                    <w:right w:val="none" w:sz="0" w:space="0" w:color="auto"/>
                  </w:divBdr>
                  <w:divsChild>
                    <w:div w:id="1094548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935936040">
      <w:bodyDiv w:val="1"/>
      <w:marLeft w:val="0"/>
      <w:marRight w:val="0"/>
      <w:marTop w:val="0"/>
      <w:marBottom w:val="0"/>
      <w:divBdr>
        <w:top w:val="none" w:sz="0" w:space="0" w:color="auto"/>
        <w:left w:val="none" w:sz="0" w:space="0" w:color="auto"/>
        <w:bottom w:val="none" w:sz="0" w:space="0" w:color="auto"/>
        <w:right w:val="none" w:sz="0" w:space="0" w:color="auto"/>
      </w:divBdr>
      <w:divsChild>
        <w:div w:id="1721316952">
          <w:marLeft w:val="0"/>
          <w:marRight w:val="0"/>
          <w:marTop w:val="2100"/>
          <w:marBottom w:val="0"/>
          <w:divBdr>
            <w:top w:val="none" w:sz="0" w:space="0" w:color="auto"/>
            <w:left w:val="none" w:sz="0" w:space="0" w:color="auto"/>
            <w:bottom w:val="none" w:sz="0" w:space="0" w:color="auto"/>
            <w:right w:val="none" w:sz="0" w:space="0" w:color="auto"/>
          </w:divBdr>
          <w:divsChild>
            <w:div w:id="795488922">
              <w:marLeft w:val="0"/>
              <w:marRight w:val="0"/>
              <w:marTop w:val="0"/>
              <w:marBottom w:val="0"/>
              <w:divBdr>
                <w:top w:val="none" w:sz="0" w:space="0" w:color="auto"/>
                <w:left w:val="none" w:sz="0" w:space="0" w:color="auto"/>
                <w:bottom w:val="none" w:sz="0" w:space="0" w:color="auto"/>
                <w:right w:val="none" w:sz="0" w:space="0" w:color="auto"/>
              </w:divBdr>
              <w:divsChild>
                <w:div w:id="1567453975">
                  <w:marLeft w:val="0"/>
                  <w:marRight w:val="0"/>
                  <w:marTop w:val="0"/>
                  <w:marBottom w:val="0"/>
                  <w:divBdr>
                    <w:top w:val="none" w:sz="0" w:space="0" w:color="auto"/>
                    <w:left w:val="none" w:sz="0" w:space="0" w:color="auto"/>
                    <w:bottom w:val="none" w:sz="0" w:space="0" w:color="auto"/>
                    <w:right w:val="none" w:sz="0" w:space="0" w:color="auto"/>
                  </w:divBdr>
                  <w:divsChild>
                    <w:div w:id="5670377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C0E235-3CC9-4653-8714-B181DAD0FF93}"/>
</file>

<file path=customXml/itemProps2.xml><?xml version="1.0" encoding="utf-8"?>
<ds:datastoreItem xmlns:ds="http://schemas.openxmlformats.org/officeDocument/2006/customXml" ds:itemID="{85875CC4-CA58-470E-BA54-0C4B4058EFE4}"/>
</file>

<file path=customXml/itemProps3.xml><?xml version="1.0" encoding="utf-8"?>
<ds:datastoreItem xmlns:ds="http://schemas.openxmlformats.org/officeDocument/2006/customXml" ds:itemID="{273A7A17-EE5B-4B7A-93A6-9A1A00FE1BA5}"/>
</file>

<file path=customXml/itemProps4.xml><?xml version="1.0" encoding="utf-8"?>
<ds:datastoreItem xmlns:ds="http://schemas.openxmlformats.org/officeDocument/2006/customXml" ds:itemID="{CAD938A9-4EDC-4AB6-B2F8-71A8A116568B}"/>
</file>

<file path=docProps/app.xml><?xml version="1.0" encoding="utf-8"?>
<Properties xmlns="http://schemas.openxmlformats.org/officeDocument/2006/extended-properties" xmlns:vt="http://schemas.openxmlformats.org/officeDocument/2006/docPropsVTypes">
  <Template>Normal.dotm</Template>
  <TotalTime>0</TotalTime>
  <Pages>1</Pages>
  <Words>7163</Words>
  <Characters>40835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2017-03-20T13:09:00Z</dcterms:created>
  <dcterms:modified xsi:type="dcterms:W3CDTF">2017-03-20T13:09:00Z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