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00000">
      <w:pPr>
        <w:jc w:val="center"/>
        <w:rPr>
          <w:sz w:val="32"/>
          <w:lang w:val="fr-FR"/>
        </w:rPr>
      </w:pPr>
      <w:bookmarkStart w:name="_GoBack" w:id="0"/>
      <w:bookmarkEnd w:id="0"/>
      <w:r>
        <w:rPr>
          <w:noProof/>
          <w:sz w:val="32"/>
        </w:rPr>
        <w:t>DEUXIÈME SECTION</w:t>
      </w:r>
    </w:p>
    <w:p w:rsidR="00000000" w:rsidRDefault="00000000">
      <w:pPr>
        <w:jc w:val="center"/>
        <w:rPr>
          <w:lang w:val="fr-FR"/>
        </w:rPr>
      </w:pPr>
    </w:p>
    <w:p w:rsidR="00000000" w:rsidRDefault="00000000">
      <w:pPr>
        <w:jc w:val="center"/>
        <w:rPr>
          <w:sz w:val="32"/>
          <w:lang w:val="fr-FR"/>
        </w:rPr>
      </w:pPr>
      <w:commentRangeStart w:id="1"/>
      <w:r>
        <w:rPr>
          <w:noProof/>
          <w:sz w:val="32"/>
        </w:rPr>
        <w:t>DÉCISION</w:t>
      </w:r>
      <w:commentRangeEnd w:id="1"/>
      <w:r>
        <w:rPr>
          <w:rStyle w:val="CommentReference"/>
          <w:vanish/>
        </w:rPr>
        <w:commentReference w:id="1"/>
      </w:r>
    </w:p>
    <w:p w:rsidR="00000000" w:rsidRDefault="00000000">
      <w:pPr>
        <w:jc w:val="center"/>
        <w:rPr>
          <w:noProof/>
        </w:rPr>
      </w:pPr>
    </w:p>
    <w:p w:rsidR="00000000" w:rsidRDefault="00000000">
      <w:pPr>
        <w:jc w:val="center"/>
        <w:rPr>
          <w:noProof/>
          <w:sz w:val="32"/>
        </w:rPr>
      </w:pPr>
      <w:r>
        <w:rPr>
          <w:noProof/>
          <w:sz w:val="32"/>
        </w:rPr>
        <w:t>SUR LA RECEVABILITÉ</w:t>
      </w:r>
    </w:p>
    <w:p w:rsidR="00000000" w:rsidRDefault="00000000">
      <w:pPr>
        <w:jc w:val="center"/>
        <w:rPr>
          <w:noProof/>
        </w:rPr>
      </w:pPr>
    </w:p>
    <w:p w:rsidR="00000000" w:rsidRDefault="00000000">
      <w:pPr>
        <w:jc w:val="center"/>
        <w:rPr>
          <w:lang w:val="fr-FR"/>
        </w:rPr>
      </w:pPr>
      <w:r>
        <w:rPr>
          <w:noProof/>
        </w:rPr>
        <w:t>de la requête</w:t>
      </w:r>
      <w:r>
        <w:rPr>
          <w:lang w:val="fr-FR"/>
        </w:rPr>
        <w:t xml:space="preserve"> n° 40908/98</w:t>
      </w:r>
    </w:p>
    <w:p w:rsidR="00000000" w:rsidRDefault="00000000">
      <w:pPr>
        <w:tabs>
          <w:tab w:val="left" w:pos="5529"/>
        </w:tabs>
        <w:ind w:left="-142"/>
        <w:jc w:val="center"/>
        <w:rPr>
          <w:lang w:val="fr-FR"/>
        </w:rPr>
      </w:pPr>
      <w:r>
        <w:rPr>
          <w:lang w:val="fr-FR"/>
        </w:rPr>
        <w:t xml:space="preserve">présentée par </w:t>
      </w:r>
      <w:commentRangeStart w:id="2"/>
      <w:proofErr w:type="spellStart"/>
      <w:r>
        <w:rPr>
          <w:lang w:val="fr-FR"/>
        </w:rPr>
        <w:t>Valerio</w:t>
      </w:r>
      <w:proofErr w:type="spellEnd"/>
      <w:r>
        <w:rPr>
          <w:lang w:val="fr-FR"/>
        </w:rPr>
        <w:t xml:space="preserve"> STRACCIA</w:t>
      </w:r>
      <w:commentRangeEnd w:id="2"/>
      <w:r>
        <w:rPr>
          <w:rStyle w:val="CommentReference"/>
          <w:vanish/>
          <w:lang w:val="fr-FR"/>
        </w:rPr>
        <w:commentReference w:id="2"/>
      </w:r>
    </w:p>
    <w:p w:rsidR="00000000" w:rsidRDefault="00000000">
      <w:pPr>
        <w:tabs>
          <w:tab w:val="left" w:pos="5529"/>
        </w:tabs>
        <w:ind w:left="-142"/>
        <w:jc w:val="center"/>
        <w:rPr>
          <w:lang w:val="fr-FR"/>
        </w:rPr>
      </w:pPr>
      <w:r>
        <w:rPr>
          <w:lang w:val="fr-FR"/>
        </w:rPr>
        <w:t xml:space="preserve">contre </w:t>
      </w:r>
      <w:commentRangeStart w:id="3"/>
      <w:r>
        <w:rPr>
          <w:lang w:val="fr-FR"/>
        </w:rPr>
        <w:t>Italie</w:t>
      </w:r>
      <w:commentRangeEnd w:id="3"/>
      <w:r>
        <w:rPr>
          <w:rStyle w:val="CommentReference"/>
          <w:vanish/>
          <w:lang w:val="fr-FR"/>
        </w:rPr>
        <w:commentReference w:id="3"/>
      </w:r>
    </w:p>
    <w:p w:rsidR="00000000" w:rsidRDefault="00000000">
      <w:pPr>
        <w:rPr>
          <w:lang w:val="fr-FR"/>
        </w:rPr>
      </w:pPr>
    </w:p>
    <w:p w:rsidR="00000000" w:rsidRDefault="00000000">
      <w:pPr>
        <w:jc w:val="both"/>
        <w:rPr>
          <w:lang w:val="fr-FR"/>
        </w:rPr>
      </w:pPr>
      <w:r>
        <w:rPr>
          <w:lang w:val="fr-FR"/>
        </w:rPr>
        <w:tab/>
        <w:t>La Cour européenne des Droits de l’Homme (</w:t>
      </w:r>
      <w:r>
        <w:rPr>
          <w:noProof/>
        </w:rPr>
        <w:t>deuxième section</w:t>
      </w:r>
      <w:r>
        <w:rPr>
          <w:lang w:val="fr-FR"/>
        </w:rPr>
        <w:t>), siégeant le 28 octobre 1999 en une chambre composée de</w:t>
      </w:r>
    </w:p>
    <w:p w:rsidR="00000000" w:rsidRDefault="00000000">
      <w:pPr>
        <w:tabs>
          <w:tab w:val="left" w:pos="2205"/>
        </w:tabs>
        <w:rPr>
          <w:noProof/>
        </w:rPr>
      </w:pPr>
    </w:p>
    <w:p w:rsidR="00000000" w:rsidRDefault="00000000">
      <w:pPr>
        <w:tabs>
          <w:tab w:val="left" w:pos="709"/>
          <w:tab w:val="left" w:pos="1276"/>
        </w:tabs>
        <w:rPr>
          <w:noProof/>
        </w:rPr>
      </w:pPr>
      <w:r>
        <w:rPr>
          <w:noProof/>
        </w:rPr>
        <w:tab/>
        <w:t>M.</w:t>
      </w:r>
      <w:r>
        <w:rPr>
          <w:noProof/>
        </w:rPr>
        <w:tab/>
        <w:t xml:space="preserve">C. Rozakis, </w:t>
      </w:r>
      <w:r>
        <w:rPr>
          <w:i/>
          <w:noProof/>
        </w:rPr>
        <w:t>président</w:t>
      </w:r>
      <w:r>
        <w:rPr>
          <w:noProof/>
        </w:rPr>
        <w:t>,</w:t>
      </w:r>
      <w:r>
        <w:rPr>
          <w:noProof/>
        </w:rPr>
        <w:br/>
      </w:r>
      <w:r>
        <w:rPr>
          <w:noProof/>
        </w:rPr>
        <w:tab/>
        <w:t>M.</w:t>
      </w:r>
      <w:r>
        <w:rPr>
          <w:noProof/>
        </w:rPr>
        <w:tab/>
        <w:t>M. Fischbach,</w:t>
      </w:r>
      <w:r>
        <w:rPr>
          <w:noProof/>
        </w:rPr>
        <w:br/>
      </w:r>
      <w:r>
        <w:rPr>
          <w:noProof/>
        </w:rPr>
        <w:tab/>
        <w:t>M.</w:t>
      </w:r>
      <w:r>
        <w:rPr>
          <w:noProof/>
        </w:rPr>
        <w:tab/>
        <w:t>B. Conforti,</w:t>
      </w:r>
      <w:r>
        <w:rPr>
          <w:noProof/>
        </w:rPr>
        <w:br/>
      </w:r>
      <w:r>
        <w:rPr>
          <w:noProof/>
        </w:rPr>
        <w:tab/>
        <w:t>M.</w:t>
      </w:r>
      <w:r>
        <w:rPr>
          <w:noProof/>
        </w:rPr>
        <w:tab/>
        <w:t>G. Bonello,</w:t>
      </w:r>
      <w:r>
        <w:rPr>
          <w:noProof/>
        </w:rPr>
        <w:br/>
      </w:r>
      <w:r>
        <w:rPr>
          <w:noProof/>
        </w:rPr>
        <w:tab/>
        <w:t>M</w:t>
      </w:r>
      <w:r>
        <w:rPr>
          <w:noProof/>
          <w:vertAlign w:val="superscript"/>
        </w:rPr>
        <w:t>me</w:t>
      </w:r>
      <w:r>
        <w:rPr>
          <w:noProof/>
        </w:rPr>
        <w:tab/>
        <w:t>V. Strážnická,</w:t>
      </w:r>
      <w:r>
        <w:rPr>
          <w:noProof/>
        </w:rPr>
        <w:br/>
      </w:r>
      <w:r>
        <w:rPr>
          <w:noProof/>
        </w:rPr>
        <w:tab/>
        <w:t>M.</w:t>
      </w:r>
      <w:r>
        <w:rPr>
          <w:noProof/>
        </w:rPr>
        <w:tab/>
        <w:t>P. Lorenzen,</w:t>
      </w:r>
      <w:r>
        <w:rPr>
          <w:noProof/>
        </w:rPr>
        <w:br/>
      </w:r>
      <w:r>
        <w:rPr>
          <w:noProof/>
        </w:rPr>
        <w:tab/>
        <w:t>M</w:t>
      </w:r>
      <w:r>
        <w:rPr>
          <w:noProof/>
          <w:vertAlign w:val="superscript"/>
        </w:rPr>
        <w:t>me</w:t>
      </w:r>
      <w:r>
        <w:rPr>
          <w:noProof/>
        </w:rPr>
        <w:tab/>
        <w:t xml:space="preserve">M. Tsatsa-Nikolovska, </w:t>
      </w:r>
      <w:r>
        <w:rPr>
          <w:i/>
          <w:noProof/>
        </w:rPr>
        <w:t>juges</w:t>
      </w:r>
      <w:r>
        <w:rPr>
          <w:noProof/>
        </w:rPr>
        <w:t>,</w:t>
      </w:r>
      <w:r>
        <w:rPr>
          <w:noProof/>
        </w:rPr>
        <w:br/>
      </w:r>
    </w:p>
    <w:p w:rsidR="00000000" w:rsidRDefault="00000000">
      <w:pPr>
        <w:tabs>
          <w:tab w:val="left" w:pos="709"/>
          <w:tab w:val="left" w:pos="1276"/>
        </w:tabs>
        <w:rPr>
          <w:noProof/>
        </w:rPr>
      </w:pPr>
      <w:r>
        <w:rPr>
          <w:noProof/>
        </w:rPr>
        <w:t>et de</w:t>
      </w:r>
      <w:r>
        <w:rPr>
          <w:noProof/>
        </w:rPr>
        <w:tab/>
        <w:t>M.</w:t>
      </w:r>
      <w:r>
        <w:rPr>
          <w:noProof/>
        </w:rPr>
        <w:tab/>
        <w:t xml:space="preserve">E. Fribergh, </w:t>
      </w:r>
      <w:r>
        <w:rPr>
          <w:i/>
          <w:noProof/>
        </w:rPr>
        <w:t>greffier</w:t>
      </w:r>
      <w:r>
        <w:rPr>
          <w:noProof/>
        </w:rPr>
        <w:t xml:space="preserve"> </w:t>
      </w:r>
      <w:r>
        <w:rPr>
          <w:i/>
          <w:noProof/>
        </w:rPr>
        <w:t>de section</w:t>
      </w:r>
      <w:r>
        <w:rPr>
          <w:noProof/>
        </w:rPr>
        <w:t> ;</w:t>
      </w:r>
    </w:p>
    <w:p w:rsidR="00000000" w:rsidRDefault="00000000">
      <w:pPr>
        <w:rPr>
          <w:noProof/>
        </w:rPr>
      </w:pPr>
    </w:p>
    <w:p w:rsidR="00000000" w:rsidRDefault="00000000">
      <w:pPr>
        <w:jc w:val="both"/>
        <w:rPr>
          <w:lang w:val="fr-FR"/>
        </w:rPr>
      </w:pPr>
      <w:r>
        <w:rPr>
          <w:lang w:val="fr-FR"/>
        </w:rPr>
        <w:tab/>
        <w:t>Vu l’article 34 de la Convention de sauvegarde des Droits de l’Homme et des Libertés fondamentales ;</w:t>
      </w:r>
    </w:p>
    <w:p w:rsidR="00000000" w:rsidRDefault="00000000">
      <w:pPr>
        <w:rPr>
          <w:lang w:val="fr-FR"/>
        </w:rPr>
      </w:pPr>
    </w:p>
    <w:p w:rsidR="00000000" w:rsidRDefault="00000000">
      <w:pPr>
        <w:jc w:val="both"/>
        <w:rPr>
          <w:lang w:val="fr-FR"/>
        </w:rPr>
      </w:pPr>
      <w:r>
        <w:rPr>
          <w:lang w:val="fr-FR"/>
        </w:rPr>
        <w:tab/>
        <w:t xml:space="preserve">Vu la requête introduite le 19 décembre 1997 par </w:t>
      </w:r>
      <w:proofErr w:type="spellStart"/>
      <w:r>
        <w:rPr>
          <w:lang w:val="fr-FR"/>
        </w:rPr>
        <w:t>Valerio</w:t>
      </w:r>
      <w:proofErr w:type="spellEnd"/>
      <w:r>
        <w:rPr>
          <w:lang w:val="fr-FR"/>
        </w:rPr>
        <w:t xml:space="preserve"> </w:t>
      </w:r>
      <w:proofErr w:type="spellStart"/>
      <w:r>
        <w:rPr>
          <w:lang w:val="fr-FR"/>
        </w:rPr>
        <w:t>Straccia</w:t>
      </w:r>
      <w:proofErr w:type="spellEnd"/>
      <w:r>
        <w:rPr>
          <w:lang w:val="fr-FR"/>
        </w:rPr>
        <w:t xml:space="preserve"> contre Italie et enregistrée le 24 avril 1998 sous le n° de dossier 40908/98 ;</w:t>
      </w:r>
    </w:p>
    <w:p w:rsidR="00000000" w:rsidRDefault="00000000">
      <w:pPr>
        <w:jc w:val="both"/>
        <w:rPr>
          <w:lang w:val="fr-FR"/>
        </w:rPr>
      </w:pPr>
    </w:p>
    <w:p w:rsidR="00000000" w:rsidRDefault="00000000">
      <w:pPr>
        <w:jc w:val="both"/>
        <w:rPr>
          <w:lang w:val="fr-FR"/>
        </w:rPr>
      </w:pPr>
      <w:r>
        <w:rPr>
          <w:lang w:val="fr-FR"/>
        </w:rPr>
        <w:tab/>
        <w:t>Vu le rapport prévu à l’article 49 du règlement de la Cour ;</w:t>
      </w:r>
    </w:p>
    <w:p w:rsidR="00000000" w:rsidRDefault="00000000">
      <w:pPr>
        <w:jc w:val="both"/>
        <w:rPr>
          <w:lang w:val="fr-FR"/>
        </w:rPr>
      </w:pPr>
    </w:p>
    <w:p w:rsidR="00000000" w:rsidRDefault="00000000">
      <w:pPr>
        <w:jc w:val="both"/>
        <w:rPr>
          <w:lang w:val="fr-FR"/>
        </w:rPr>
      </w:pPr>
      <w:r>
        <w:rPr>
          <w:lang w:val="fr-FR"/>
        </w:rPr>
        <w:tab/>
        <w:t>Vu les observations présentées par le gouvernement défendeur le 23 mars 1999 et les observations en réponse présentées par le requérant le 5 mai 1999 ;</w:t>
      </w:r>
    </w:p>
    <w:p w:rsidR="00000000" w:rsidRDefault="00000000">
      <w:pPr>
        <w:jc w:val="both"/>
        <w:rPr>
          <w:lang w:val="fr-FR"/>
        </w:rPr>
      </w:pPr>
    </w:p>
    <w:p w:rsidR="00000000" w:rsidRDefault="00000000">
      <w:pPr>
        <w:jc w:val="both"/>
        <w:rPr>
          <w:lang w:val="fr-FR"/>
        </w:rPr>
      </w:pPr>
      <w:r>
        <w:rPr>
          <w:lang w:val="fr-FR"/>
        </w:rPr>
        <w:tab/>
        <w:t>Après en avoir délibéré ;</w:t>
      </w:r>
    </w:p>
    <w:p w:rsidR="00000000" w:rsidRDefault="00000000">
      <w:pPr>
        <w:jc w:val="both"/>
        <w:rPr>
          <w:lang w:val="fr-FR"/>
        </w:rPr>
      </w:pPr>
    </w:p>
    <w:p w:rsidR="00000000" w:rsidRDefault="00000000">
      <w:pPr>
        <w:jc w:val="both"/>
        <w:rPr>
          <w:lang w:val="fr-FR"/>
        </w:rPr>
      </w:pPr>
      <w:r>
        <w:rPr>
          <w:lang w:val="fr-FR"/>
        </w:rPr>
        <w:tab/>
        <w:t>Rend la décision suivante :</w:t>
      </w:r>
    </w:p>
    <w:p w:rsidR="00000000" w:rsidRDefault="00000000">
      <w:pPr>
        <w:rPr>
          <w:lang w:val="fr-FR"/>
        </w:rPr>
      </w:pPr>
    </w:p>
    <w:p w:rsidR="00000000" w:rsidRDefault="00000000">
      <w:pPr>
        <w:jc w:val="both"/>
        <w:rPr>
          <w:b/>
          <w:lang w:val="fr-FR"/>
        </w:rPr>
      </w:pPr>
      <w:r>
        <w:rPr>
          <w:lang w:val="fr-FR"/>
        </w:rPr>
        <w:br w:type="page"/>
      </w:r>
      <w:r>
        <w:rPr>
          <w:b/>
          <w:lang w:val="fr-FR"/>
        </w:rPr>
        <w:t>EN FAIT</w:t>
      </w:r>
    </w:p>
    <w:p w:rsidR="00000000" w:rsidRDefault="00000000">
      <w:pPr>
        <w:jc w:val="both"/>
        <w:rPr>
          <w:b/>
          <w:lang w:val="fr-FR"/>
        </w:rPr>
      </w:pPr>
    </w:p>
    <w:p w:rsidR="00000000" w:rsidRDefault="00000000">
      <w:pPr>
        <w:pStyle w:val="Body"/>
        <w:ind w:firstLine="0"/>
        <w:rPr>
          <w:lang w:val="fr-FR"/>
        </w:rPr>
      </w:pPr>
      <w:r>
        <w:rPr>
          <w:b/>
          <w:spacing w:val="-2"/>
          <w:lang w:val="fr-FR"/>
        </w:rPr>
        <w:tab/>
      </w:r>
      <w:r>
        <w:rPr>
          <w:lang w:val="fr-FR"/>
        </w:rPr>
        <w:t xml:space="preserve">Le requérant est un ressortissant italien, né en 1968 et résidant à San </w:t>
      </w:r>
      <w:proofErr w:type="spellStart"/>
      <w:r>
        <w:rPr>
          <w:lang w:val="fr-FR"/>
        </w:rPr>
        <w:t>Benedetto</w:t>
      </w:r>
      <w:proofErr w:type="spellEnd"/>
      <w:r>
        <w:rPr>
          <w:lang w:val="fr-FR"/>
        </w:rPr>
        <w:t xml:space="preserve"> </w:t>
      </w:r>
      <w:proofErr w:type="spellStart"/>
      <w:r>
        <w:rPr>
          <w:lang w:val="fr-FR"/>
        </w:rPr>
        <w:t>del</w:t>
      </w:r>
      <w:proofErr w:type="spellEnd"/>
      <w:r>
        <w:rPr>
          <w:lang w:val="fr-FR"/>
        </w:rPr>
        <w:t xml:space="preserve"> </w:t>
      </w:r>
      <w:proofErr w:type="spellStart"/>
      <w:r>
        <w:rPr>
          <w:lang w:val="fr-FR"/>
        </w:rPr>
        <w:t>Tronto</w:t>
      </w:r>
      <w:proofErr w:type="spellEnd"/>
      <w:r>
        <w:rPr>
          <w:lang w:val="fr-FR"/>
        </w:rPr>
        <w:t>. Devant la Cour, il est représenté par M</w:t>
      </w:r>
      <w:r>
        <w:rPr>
          <w:vertAlign w:val="superscript"/>
          <w:lang w:val="fr-FR"/>
        </w:rPr>
        <w:t>es</w:t>
      </w:r>
      <w:r>
        <w:rPr>
          <w:lang w:val="fr-FR"/>
        </w:rPr>
        <w:t xml:space="preserve"> </w:t>
      </w:r>
      <w:proofErr w:type="spellStart"/>
      <w:r>
        <w:rPr>
          <w:lang w:val="fr-FR"/>
        </w:rPr>
        <w:t>Luciano</w:t>
      </w:r>
      <w:proofErr w:type="spellEnd"/>
      <w:r>
        <w:rPr>
          <w:lang w:val="fr-FR"/>
        </w:rPr>
        <w:t xml:space="preserve"> et </w:t>
      </w:r>
      <w:proofErr w:type="spellStart"/>
      <w:r>
        <w:rPr>
          <w:lang w:val="fr-FR"/>
        </w:rPr>
        <w:t>Mario</w:t>
      </w:r>
      <w:proofErr w:type="spellEnd"/>
      <w:r>
        <w:rPr>
          <w:lang w:val="fr-FR"/>
        </w:rPr>
        <w:t xml:space="preserve"> Antonio </w:t>
      </w:r>
      <w:proofErr w:type="spellStart"/>
      <w:r>
        <w:rPr>
          <w:lang w:val="fr-FR"/>
        </w:rPr>
        <w:t>Rossi</w:t>
      </w:r>
      <w:proofErr w:type="spellEnd"/>
      <w:r>
        <w:rPr>
          <w:lang w:val="fr-FR"/>
        </w:rPr>
        <w:t xml:space="preserve">, avocats à </w:t>
      </w:r>
      <w:proofErr w:type="spellStart"/>
      <w:r>
        <w:rPr>
          <w:lang w:val="fr-FR"/>
        </w:rPr>
        <w:t>L’Aquila</w:t>
      </w:r>
      <w:proofErr w:type="spellEnd"/>
      <w:r>
        <w:rPr>
          <w:lang w:val="fr-FR"/>
        </w:rPr>
        <w:t>.</w:t>
      </w:r>
    </w:p>
    <w:p w:rsidR="00000000" w:rsidRDefault="00000000">
      <w:pPr>
        <w:pStyle w:val="Body"/>
        <w:ind w:firstLine="0"/>
        <w:rPr>
          <w:lang w:val="fr-FR"/>
        </w:rPr>
      </w:pPr>
    </w:p>
    <w:p w:rsidR="00000000" w:rsidRDefault="00000000">
      <w:pPr>
        <w:pStyle w:val="Body"/>
        <w:ind w:firstLine="0"/>
        <w:rPr>
          <w:lang w:val="fr-FR"/>
        </w:rPr>
      </w:pPr>
      <w:r>
        <w:rPr>
          <w:lang w:val="fr-FR"/>
        </w:rPr>
        <w:tab/>
        <w:t>Les faits, tels qu’ils ont été exposés par les parties, peuvent se résumer comme suit.</w:t>
      </w:r>
    </w:p>
    <w:p w:rsidR="00000000" w:rsidRDefault="00000000">
      <w:pPr>
        <w:pStyle w:val="Body"/>
        <w:ind w:firstLine="0"/>
        <w:rPr>
          <w:lang w:val="fr-FR"/>
        </w:rPr>
      </w:pPr>
    </w:p>
    <w:p w:rsidR="00000000" w:rsidRDefault="00000000">
      <w:pPr>
        <w:pStyle w:val="Body"/>
        <w:ind w:firstLine="0"/>
        <w:rPr>
          <w:lang w:val="fr-FR"/>
        </w:rPr>
      </w:pPr>
      <w:r>
        <w:rPr>
          <w:lang w:val="fr-FR"/>
        </w:rPr>
        <w:tab/>
        <w:t xml:space="preserve">Le 14 septembre 1992, le requérant, détenu à </w:t>
      </w:r>
      <w:proofErr w:type="spellStart"/>
      <w:r>
        <w:rPr>
          <w:lang w:val="fr-FR"/>
        </w:rPr>
        <w:t>l’Aquila</w:t>
      </w:r>
      <w:proofErr w:type="spellEnd"/>
      <w:r>
        <w:rPr>
          <w:lang w:val="fr-FR"/>
        </w:rPr>
        <w:t xml:space="preserve">, eut une bagarre avec un gardien de la prison, qui, par la suite, rédigea un rapport disciplinaire et le transmit au Procureur de la République de </w:t>
      </w:r>
      <w:proofErr w:type="spellStart"/>
      <w:r>
        <w:rPr>
          <w:lang w:val="fr-FR"/>
        </w:rPr>
        <w:t>L’Aquila</w:t>
      </w:r>
      <w:proofErr w:type="spellEnd"/>
      <w:r>
        <w:rPr>
          <w:lang w:val="fr-FR"/>
        </w:rPr>
        <w:t>. Le requérant fut informé de la transmission du rapport aux autorités judiciaires.</w:t>
      </w:r>
    </w:p>
    <w:p w:rsidR="00000000" w:rsidRDefault="00000000">
      <w:pPr>
        <w:pStyle w:val="Body"/>
        <w:ind w:firstLine="0"/>
        <w:rPr>
          <w:lang w:val="fr-FR"/>
        </w:rPr>
      </w:pPr>
    </w:p>
    <w:p w:rsidR="00000000" w:rsidRDefault="00000000">
      <w:pPr>
        <w:pStyle w:val="Body"/>
        <w:ind w:firstLine="0"/>
        <w:rPr>
          <w:lang w:val="fr-FR"/>
        </w:rPr>
      </w:pPr>
      <w:r>
        <w:rPr>
          <w:lang w:val="fr-FR"/>
        </w:rPr>
        <w:tab/>
        <w:t>Le 12 octobre 1992, le Procureur de la République inscrivit le nom du requérant dans le registre des dénonciations de crime (« </w:t>
      </w:r>
      <w:proofErr w:type="spellStart"/>
      <w:r>
        <w:rPr>
          <w:i/>
          <w:lang w:val="fr-FR"/>
        </w:rPr>
        <w:t>registro</w:t>
      </w:r>
      <w:proofErr w:type="spellEnd"/>
      <w:r>
        <w:rPr>
          <w:i/>
          <w:lang w:val="fr-FR"/>
        </w:rPr>
        <w:t xml:space="preserve"> </w:t>
      </w:r>
      <w:proofErr w:type="spellStart"/>
      <w:r>
        <w:rPr>
          <w:i/>
          <w:lang w:val="fr-FR"/>
        </w:rPr>
        <w:t>generale</w:t>
      </w:r>
      <w:proofErr w:type="spellEnd"/>
      <w:r>
        <w:rPr>
          <w:i/>
          <w:lang w:val="fr-FR"/>
        </w:rPr>
        <w:t xml:space="preserve"> </w:t>
      </w:r>
      <w:proofErr w:type="spellStart"/>
      <w:r>
        <w:rPr>
          <w:i/>
          <w:lang w:val="fr-FR"/>
        </w:rPr>
        <w:t>delle</w:t>
      </w:r>
      <w:proofErr w:type="spellEnd"/>
      <w:r>
        <w:rPr>
          <w:i/>
          <w:lang w:val="fr-FR"/>
        </w:rPr>
        <w:t xml:space="preserve"> </w:t>
      </w:r>
      <w:proofErr w:type="spellStart"/>
      <w:r>
        <w:rPr>
          <w:i/>
          <w:lang w:val="fr-FR"/>
        </w:rPr>
        <w:t>notizie</w:t>
      </w:r>
      <w:proofErr w:type="spellEnd"/>
      <w:r>
        <w:rPr>
          <w:i/>
          <w:lang w:val="fr-FR"/>
        </w:rPr>
        <w:t xml:space="preserve"> </w:t>
      </w:r>
      <w:proofErr w:type="spellStart"/>
      <w:r>
        <w:rPr>
          <w:i/>
          <w:lang w:val="fr-FR"/>
        </w:rPr>
        <w:t>di</w:t>
      </w:r>
      <w:proofErr w:type="spellEnd"/>
      <w:r>
        <w:rPr>
          <w:i/>
          <w:lang w:val="fr-FR"/>
        </w:rPr>
        <w:t xml:space="preserve"> </w:t>
      </w:r>
      <w:proofErr w:type="spellStart"/>
      <w:r>
        <w:rPr>
          <w:i/>
          <w:lang w:val="fr-FR"/>
        </w:rPr>
        <w:t>reato</w:t>
      </w:r>
      <w:proofErr w:type="spellEnd"/>
      <w:r>
        <w:rPr>
          <w:i/>
          <w:lang w:val="fr-FR"/>
        </w:rPr>
        <w:t> </w:t>
      </w:r>
      <w:r>
        <w:rPr>
          <w:lang w:val="fr-FR"/>
        </w:rPr>
        <w:t>») et qualifia l’infraction d’outrage à un fonctionnaire dans l’exercice de ses fonctions.</w:t>
      </w:r>
    </w:p>
    <w:p w:rsidR="00000000" w:rsidRDefault="00000000">
      <w:pPr>
        <w:pStyle w:val="Body"/>
        <w:ind w:firstLine="0"/>
        <w:rPr>
          <w:lang w:val="fr-FR"/>
        </w:rPr>
      </w:pPr>
    </w:p>
    <w:p w:rsidR="00000000" w:rsidRDefault="00000000">
      <w:pPr>
        <w:pStyle w:val="Body"/>
        <w:ind w:firstLine="0"/>
        <w:rPr>
          <w:lang w:val="fr-FR"/>
        </w:rPr>
      </w:pPr>
      <w:r>
        <w:rPr>
          <w:lang w:val="fr-FR"/>
        </w:rPr>
        <w:tab/>
        <w:t xml:space="preserve">Par une ordonnance du 28 décembre 1995, le parquet de </w:t>
      </w:r>
      <w:proofErr w:type="spellStart"/>
      <w:r>
        <w:rPr>
          <w:lang w:val="fr-FR"/>
        </w:rPr>
        <w:t>L’Aquila</w:t>
      </w:r>
      <w:proofErr w:type="spellEnd"/>
      <w:r>
        <w:rPr>
          <w:lang w:val="fr-FR"/>
        </w:rPr>
        <w:t xml:space="preserve"> renvoya le requérant en jugement devant le juge d’instance de cette même ville et fixa la date de l’audience au 12 mars 1996. Cette ordonnance fut notifié le 9 janvier 1996 au requérant, qui reçut ainsi la notification officielle que des poursuites avaient été entamées à son encontre.</w:t>
      </w:r>
    </w:p>
    <w:p w:rsidR="00000000" w:rsidRDefault="00000000">
      <w:pPr>
        <w:pStyle w:val="Body"/>
        <w:ind w:firstLine="0"/>
        <w:rPr>
          <w:lang w:val="fr-FR"/>
        </w:rPr>
      </w:pPr>
    </w:p>
    <w:p w:rsidR="00000000" w:rsidRDefault="00000000">
      <w:pPr>
        <w:pStyle w:val="Body"/>
        <w:ind w:firstLine="0"/>
        <w:rPr>
          <w:lang w:val="fr-FR"/>
        </w:rPr>
      </w:pPr>
      <w:r>
        <w:rPr>
          <w:lang w:val="fr-FR"/>
        </w:rPr>
        <w:tab/>
        <w:t>Le 12 mars 1996, le requérant demanda l’adoption de la procédure abrégée (« </w:t>
      </w:r>
      <w:proofErr w:type="spellStart"/>
      <w:r>
        <w:rPr>
          <w:i/>
          <w:lang w:val="fr-FR"/>
        </w:rPr>
        <w:t>giudizio</w:t>
      </w:r>
      <w:proofErr w:type="spellEnd"/>
      <w:r>
        <w:rPr>
          <w:i/>
          <w:lang w:val="fr-FR"/>
        </w:rPr>
        <w:t xml:space="preserve"> </w:t>
      </w:r>
      <w:proofErr w:type="spellStart"/>
      <w:r>
        <w:rPr>
          <w:i/>
          <w:lang w:val="fr-FR"/>
        </w:rPr>
        <w:t>abbreviato</w:t>
      </w:r>
      <w:proofErr w:type="spellEnd"/>
      <w:r>
        <w:rPr>
          <w:i/>
          <w:lang w:val="fr-FR"/>
        </w:rPr>
        <w:t> </w:t>
      </w:r>
      <w:r>
        <w:rPr>
          <w:lang w:val="fr-FR"/>
        </w:rPr>
        <w:t>»), c’est-à-dire à être jugé sur la base des éléments déjà acquis au dossier ; le Procureur de la République donna son accord. De ce fait, une audience en chambre du conseil devant le juge des investigations préliminaires fut fixée au 21 mai 1996. Par un jugement du 22 mai 1996, dont le texte fut déposé au greffe le 5 juin 1996, le juge des investigations préliminaires condamna le requérant à une peine de vingt-sept jours d’emprisonnement.</w:t>
      </w:r>
    </w:p>
    <w:p w:rsidR="00000000" w:rsidRDefault="00000000">
      <w:pPr>
        <w:pStyle w:val="Body"/>
        <w:ind w:firstLine="0"/>
        <w:rPr>
          <w:lang w:val="fr-FR"/>
        </w:rPr>
      </w:pPr>
    </w:p>
    <w:p w:rsidR="00000000" w:rsidRDefault="00000000">
      <w:pPr>
        <w:pStyle w:val="Body"/>
        <w:ind w:firstLine="0"/>
        <w:rPr>
          <w:lang w:val="fr-FR"/>
        </w:rPr>
      </w:pPr>
      <w:r>
        <w:rPr>
          <w:lang w:val="fr-FR"/>
        </w:rPr>
        <w:tab/>
        <w:t xml:space="preserve">Le 18 juin 1996, le requérant interjeta appel devant la cour d’appel de </w:t>
      </w:r>
      <w:proofErr w:type="spellStart"/>
      <w:r>
        <w:rPr>
          <w:lang w:val="fr-FR"/>
        </w:rPr>
        <w:t>L’Aquila</w:t>
      </w:r>
      <w:proofErr w:type="spellEnd"/>
      <w:r>
        <w:rPr>
          <w:lang w:val="fr-FR"/>
        </w:rPr>
        <w:t>.</w:t>
      </w:r>
    </w:p>
    <w:p w:rsidR="00000000" w:rsidRDefault="00000000">
      <w:pPr>
        <w:pStyle w:val="Body"/>
        <w:ind w:firstLine="0"/>
        <w:rPr>
          <w:lang w:val="fr-FR"/>
        </w:rPr>
      </w:pPr>
    </w:p>
    <w:p w:rsidR="00000000" w:rsidRDefault="00000000">
      <w:pPr>
        <w:jc w:val="both"/>
        <w:rPr>
          <w:lang w:val="fr-FR"/>
        </w:rPr>
      </w:pPr>
      <w:r>
        <w:rPr>
          <w:lang w:val="fr-FR"/>
        </w:rPr>
        <w:tab/>
        <w:t>Le 30 octobre 1997, la cour d’appel fixa la date de la première audience au 10 décembre 1997. Par un arrêt rendu le jour même et dont le texte fut déposé au greffe le 18 décembre 1997, la cour d’appel confirma le jugement en première instance. Cette décision acquit l’autorité de la chose jugée le 7 avril 1998.</w:t>
      </w:r>
    </w:p>
    <w:p w:rsidR="00000000" w:rsidRDefault="00000000">
      <w:pPr>
        <w:jc w:val="both"/>
        <w:rPr>
          <w:lang w:val="fr-FR"/>
        </w:rPr>
      </w:pPr>
      <w:r>
        <w:rPr>
          <w:lang w:val="fr-FR"/>
        </w:rPr>
        <w:t xml:space="preserve"> </w:t>
      </w:r>
    </w:p>
    <w:p w:rsidR="00000000" w:rsidRDefault="00000000">
      <w:pPr>
        <w:jc w:val="both"/>
        <w:rPr>
          <w:b/>
          <w:lang w:val="fr-FR"/>
        </w:rPr>
      </w:pPr>
      <w:r>
        <w:rPr>
          <w:b/>
          <w:lang w:val="fr-FR"/>
        </w:rPr>
        <w:t>GRIEF</w:t>
      </w:r>
    </w:p>
    <w:p w:rsidR="00000000" w:rsidRDefault="00000000">
      <w:pPr>
        <w:jc w:val="both"/>
        <w:rPr>
          <w:lang w:val="fr-FR"/>
        </w:rPr>
      </w:pPr>
    </w:p>
    <w:p w:rsidR="00000000" w:rsidRDefault="00000000">
      <w:pPr>
        <w:jc w:val="both"/>
        <w:rPr>
          <w:lang w:val="fr-FR"/>
        </w:rPr>
      </w:pPr>
      <w:r>
        <w:rPr>
          <w:lang w:val="fr-FR"/>
        </w:rPr>
        <w:tab/>
        <w:t xml:space="preserve">Invoquant l’article 6 § 1 de la Convention, le requérant se plaint de la durée de la procédure pénale contre lui. </w:t>
      </w:r>
    </w:p>
    <w:p w:rsidR="00000000" w:rsidRDefault="00000000">
      <w:pPr>
        <w:jc w:val="both"/>
        <w:rPr>
          <w:lang w:val="fr-FR"/>
        </w:rPr>
      </w:pPr>
    </w:p>
    <w:p w:rsidR="00000000" w:rsidRDefault="00000000">
      <w:pPr>
        <w:jc w:val="both"/>
        <w:rPr>
          <w:b/>
          <w:lang w:val="fr-FR"/>
        </w:rPr>
      </w:pPr>
      <w:r>
        <w:rPr>
          <w:b/>
          <w:lang w:val="fr-FR"/>
        </w:rPr>
        <w:t>PROCÉDURE</w:t>
      </w:r>
    </w:p>
    <w:p w:rsidR="00000000" w:rsidRDefault="00000000">
      <w:pPr>
        <w:jc w:val="both"/>
        <w:rPr>
          <w:b/>
          <w:lang w:val="fr-FR"/>
        </w:rPr>
      </w:pPr>
    </w:p>
    <w:p w:rsidR="00000000" w:rsidRDefault="00000000">
      <w:pPr>
        <w:jc w:val="both"/>
        <w:rPr>
          <w:lang w:val="fr-FR"/>
        </w:rPr>
      </w:pPr>
      <w:r>
        <w:rPr>
          <w:lang w:val="fr-FR"/>
        </w:rPr>
        <w:tab/>
        <w:t xml:space="preserve">La requête a été introduite devant la Commission européenne des Droits de l’Homme le 19 décembre </w:t>
      </w:r>
      <w:r>
        <w:rPr>
          <w:spacing w:val="-2"/>
          <w:lang w:val="fr-FR"/>
        </w:rPr>
        <w:t>1997</w:t>
      </w:r>
      <w:r>
        <w:rPr>
          <w:lang w:val="fr-FR"/>
        </w:rPr>
        <w:t>. Elle a été enregistrée le 24 avril 1998.</w:t>
      </w:r>
    </w:p>
    <w:p w:rsidR="00000000" w:rsidRDefault="00000000">
      <w:pPr>
        <w:jc w:val="both"/>
        <w:rPr>
          <w:lang w:val="fr-FR"/>
        </w:rPr>
      </w:pPr>
    </w:p>
    <w:p w:rsidR="00000000" w:rsidRDefault="00000000">
      <w:pPr>
        <w:jc w:val="both"/>
        <w:rPr>
          <w:lang w:val="fr-FR"/>
        </w:rPr>
      </w:pPr>
      <w:r>
        <w:rPr>
          <w:lang w:val="fr-FR"/>
        </w:rPr>
        <w:tab/>
        <w:t>En vertu de l’article 5 § 2 du Protocole No. 11, entré en vigueur le 1</w:t>
      </w:r>
      <w:r>
        <w:rPr>
          <w:vertAlign w:val="superscript"/>
          <w:lang w:val="fr-FR"/>
        </w:rPr>
        <w:t>er</w:t>
      </w:r>
      <w:r>
        <w:rPr>
          <w:lang w:val="fr-FR"/>
        </w:rPr>
        <w:t> novembre 1998, l’affaire a été examinée par la Cour européenne des Droits de l’Homme à partir de cette date.</w:t>
      </w:r>
    </w:p>
    <w:p w:rsidR="00000000" w:rsidRDefault="00000000">
      <w:pPr>
        <w:jc w:val="both"/>
        <w:rPr>
          <w:lang w:val="fr-FR"/>
        </w:rPr>
      </w:pPr>
    </w:p>
    <w:p w:rsidR="00000000" w:rsidRDefault="00000000">
      <w:pPr>
        <w:jc w:val="both"/>
        <w:rPr>
          <w:lang w:val="fr-FR"/>
        </w:rPr>
      </w:pPr>
      <w:r>
        <w:rPr>
          <w:lang w:val="fr-FR"/>
        </w:rPr>
        <w:tab/>
        <w:t xml:space="preserve">Le 15 décembre 1998, la Cour (deuxième section) a décidé de porter </w:t>
      </w:r>
      <w:r>
        <w:rPr>
          <w:spacing w:val="-2"/>
          <w:lang w:val="fr-FR"/>
        </w:rPr>
        <w:t xml:space="preserve">la requête </w:t>
      </w:r>
      <w:r>
        <w:rPr>
          <w:lang w:val="fr-FR"/>
        </w:rPr>
        <w:t>à la connaissance du gouvernement défendeur et l'a invité à présenter par écrit des observations sur la recevabilité et le bien-fondé de celle-ci.</w:t>
      </w:r>
    </w:p>
    <w:p w:rsidR="00000000" w:rsidRDefault="00000000">
      <w:pPr>
        <w:pStyle w:val="Body"/>
        <w:ind w:firstLine="0"/>
        <w:rPr>
          <w:lang w:val="fr-FR"/>
        </w:rPr>
      </w:pPr>
    </w:p>
    <w:p w:rsidR="00000000" w:rsidRDefault="00000000">
      <w:pPr>
        <w:jc w:val="both"/>
        <w:rPr>
          <w:lang w:val="fr-FR"/>
        </w:rPr>
      </w:pPr>
      <w:r>
        <w:rPr>
          <w:lang w:val="fr-FR"/>
        </w:rPr>
        <w:tab/>
        <w:t>Le Gouvernement a présenté ses observations le 23 mars 1999 et le requérant y a répondu le 5 mai 1999.</w:t>
      </w:r>
    </w:p>
    <w:p w:rsidR="00000000" w:rsidRDefault="00000000">
      <w:pPr>
        <w:pStyle w:val="Body"/>
        <w:rPr>
          <w:lang w:val="fr-FR"/>
        </w:rPr>
      </w:pPr>
    </w:p>
    <w:p w:rsidR="00000000" w:rsidRDefault="00000000">
      <w:pPr>
        <w:jc w:val="both"/>
        <w:rPr>
          <w:b/>
          <w:lang w:val="fr-FR"/>
        </w:rPr>
      </w:pPr>
      <w:r>
        <w:rPr>
          <w:b/>
          <w:lang w:val="fr-FR"/>
        </w:rPr>
        <w:t>EN DROIT</w:t>
      </w:r>
    </w:p>
    <w:p w:rsidR="00000000" w:rsidRDefault="00000000">
      <w:pPr>
        <w:pStyle w:val="Body"/>
        <w:rPr>
          <w:lang w:val="fr-FR"/>
        </w:rPr>
      </w:pPr>
    </w:p>
    <w:p w:rsidR="00000000" w:rsidRDefault="00000000">
      <w:pPr>
        <w:pStyle w:val="Body"/>
        <w:ind w:firstLine="0"/>
        <w:rPr>
          <w:lang w:val="fr-FR"/>
        </w:rPr>
      </w:pPr>
      <w:r>
        <w:rPr>
          <w:lang w:val="fr-FR"/>
        </w:rPr>
        <w:tab/>
        <w:t xml:space="preserve">Le grief du requérant porte sur la durée de la procédure pénale. Il allègue une violation de l’article 6 § 1 de la Convention, qui, en ses parties pertinentes, est ainsi libellé : </w:t>
      </w:r>
    </w:p>
    <w:p w:rsidR="00000000" w:rsidRDefault="00000000">
      <w:pPr>
        <w:pStyle w:val="Body"/>
        <w:ind w:firstLine="0"/>
        <w:rPr>
          <w:lang w:val="fr-FR"/>
        </w:rPr>
      </w:pPr>
    </w:p>
    <w:p w:rsidR="00000000" w:rsidRDefault="00000000">
      <w:pPr>
        <w:pStyle w:val="Body"/>
        <w:ind w:left="720" w:firstLine="0"/>
        <w:rPr>
          <w:spacing w:val="-2"/>
          <w:lang w:val="fr-FR"/>
        </w:rPr>
      </w:pPr>
      <w:r>
        <w:rPr>
          <w:spacing w:val="-2"/>
          <w:lang w:val="fr-FR"/>
        </w:rPr>
        <w:t>« </w:t>
      </w:r>
      <w:r>
        <w:rPr>
          <w:spacing w:val="-2"/>
          <w:sz w:val="22"/>
          <w:lang w:val="fr-FR"/>
        </w:rPr>
        <w:t>Toute personne a droit à ce que sa cause soit entendue (...) dans un délai raisonnable, par un tribunal (...) qui décidera (...) du bien</w:t>
      </w:r>
      <w:r>
        <w:rPr>
          <w:spacing w:val="-2"/>
          <w:sz w:val="22"/>
          <w:lang w:val="fr-FR"/>
        </w:rPr>
        <w:noBreakHyphen/>
        <w:t>fondé de toute accusation en matière pénale dirigée contre elle</w:t>
      </w:r>
      <w:r>
        <w:rPr>
          <w:spacing w:val="-2"/>
          <w:lang w:val="fr-FR"/>
        </w:rPr>
        <w:t>. »</w:t>
      </w:r>
    </w:p>
    <w:p w:rsidR="00000000" w:rsidRDefault="00000000">
      <w:pPr>
        <w:pStyle w:val="Body"/>
        <w:ind w:left="720" w:firstLine="0"/>
        <w:rPr>
          <w:lang w:val="fr-FR"/>
        </w:rPr>
      </w:pPr>
    </w:p>
    <w:p w:rsidR="00000000" w:rsidRDefault="00000000">
      <w:pPr>
        <w:pStyle w:val="Body"/>
        <w:ind w:firstLine="0"/>
        <w:rPr>
          <w:lang w:val="fr-FR"/>
        </w:rPr>
      </w:pPr>
      <w:r>
        <w:rPr>
          <w:lang w:val="fr-FR"/>
        </w:rPr>
        <w:tab/>
        <w:t>Selon le requérant, la durée de la procédure ne répond pas à l’exigence du « délai raisonnable ». Le Gouvernement s’oppose à cette thèse.</w:t>
      </w:r>
    </w:p>
    <w:p w:rsidR="00000000" w:rsidRDefault="00000000">
      <w:pPr>
        <w:pStyle w:val="Body"/>
        <w:ind w:firstLine="0"/>
        <w:rPr>
          <w:lang w:val="fr-FR"/>
        </w:rPr>
      </w:pPr>
    </w:p>
    <w:p w:rsidR="00000000" w:rsidRDefault="00000000">
      <w:pPr>
        <w:pStyle w:val="Body"/>
        <w:ind w:firstLine="0"/>
        <w:rPr>
          <w:lang w:val="fr-FR"/>
        </w:rPr>
      </w:pPr>
      <w:r>
        <w:rPr>
          <w:lang w:val="fr-FR"/>
        </w:rPr>
        <w:tab/>
        <w:t xml:space="preserve">La Cour estime que le point de départ de la période à prendre en considération doit être fixé au 9 janvier 1996, date à laquelle l’ordonnance de renvoi en jugement a été notifiée au requérant (voir, parmi beaucoup d’autres, l’arrêt </w:t>
      </w:r>
      <w:proofErr w:type="spellStart"/>
      <w:r>
        <w:rPr>
          <w:lang w:val="fr-FR"/>
        </w:rPr>
        <w:t>Reinhardt</w:t>
      </w:r>
      <w:proofErr w:type="spellEnd"/>
      <w:r>
        <w:rPr>
          <w:lang w:val="fr-FR"/>
        </w:rPr>
        <w:t xml:space="preserve"> et </w:t>
      </w:r>
      <w:proofErr w:type="spellStart"/>
      <w:r>
        <w:rPr>
          <w:lang w:val="fr-FR"/>
        </w:rPr>
        <w:t>Slimane-Kaïd</w:t>
      </w:r>
      <w:proofErr w:type="spellEnd"/>
      <w:r>
        <w:rPr>
          <w:lang w:val="fr-FR"/>
        </w:rPr>
        <w:t xml:space="preserve"> c. France du 31 mars 1998, </w:t>
      </w:r>
      <w:r>
        <w:rPr>
          <w:i/>
          <w:lang w:val="fr-FR"/>
        </w:rPr>
        <w:t>Recueil des arrêts et décisions</w:t>
      </w:r>
      <w:r>
        <w:rPr>
          <w:lang w:val="fr-FR"/>
        </w:rPr>
        <w:t xml:space="preserve"> 1998-II, p. 662, § 97). En effet, il ne ressort pas du dossier qu’avant cette date le requérant ait reçu une notification officielle, émanant de l'autorité compétente, du reproche d'avoir accompli une infraction pénale, ou que la procédure entamée contre lui ait eu des répercussions importantes sur sa situation. La simple transmission du rapport disciplinaire établi par le gardien de la prison ou l’inscription du nom de l’intéressé dans le registre des dénonciations de crime - inscription dont le requérant n’a pas été officiellement informé - ne sauraient être considérées comme ayant entraîné lesdites répercussions. </w:t>
      </w:r>
    </w:p>
    <w:p w:rsidR="00000000" w:rsidRDefault="00000000">
      <w:pPr>
        <w:pStyle w:val="Body"/>
        <w:ind w:firstLine="0"/>
        <w:rPr>
          <w:lang w:val="fr-FR"/>
        </w:rPr>
      </w:pPr>
    </w:p>
    <w:p w:rsidR="00000000" w:rsidRDefault="00000000">
      <w:pPr>
        <w:pStyle w:val="Body"/>
        <w:ind w:firstLine="0"/>
        <w:rPr>
          <w:lang w:val="fr-FR"/>
        </w:rPr>
      </w:pPr>
      <w:r>
        <w:rPr>
          <w:lang w:val="fr-FR"/>
        </w:rPr>
        <w:tab/>
        <w:t xml:space="preserve">La procédure litigieuse, qui a pris fin le 7 avril 1998, date à laquelle l’arrêt de la cour d’appel de </w:t>
      </w:r>
      <w:proofErr w:type="spellStart"/>
      <w:r>
        <w:rPr>
          <w:lang w:val="fr-FR"/>
        </w:rPr>
        <w:t>L’Aquila</w:t>
      </w:r>
      <w:proofErr w:type="spellEnd"/>
      <w:r>
        <w:rPr>
          <w:lang w:val="fr-FR"/>
        </w:rPr>
        <w:t xml:space="preserve"> a acquis l’autorité de la chose jugée, a duré deux ans, deux mois et vingt-neuf jours. </w:t>
      </w:r>
      <w:r>
        <w:rPr>
          <w:spacing w:val="-2"/>
          <w:lang w:val="fr-FR"/>
        </w:rPr>
        <w:t xml:space="preserve">Toutefois, on ne saurait imputer à </w:t>
      </w:r>
      <w:proofErr w:type="spellStart"/>
      <w:r>
        <w:rPr>
          <w:spacing w:val="-2"/>
          <w:lang w:val="fr-FR"/>
        </w:rPr>
        <w:t>l’Etat</w:t>
      </w:r>
      <w:proofErr w:type="spellEnd"/>
      <w:r>
        <w:rPr>
          <w:spacing w:val="-2"/>
          <w:lang w:val="fr-FR"/>
        </w:rPr>
        <w:t xml:space="preserve"> la période de trois mois et vingt jours qui s’est écoulée entre le dépôt au greffe de l’arrêt de la cour d’appel (18 décembre 1997) et le moment où celui-ci est devenu définitif </w:t>
      </w:r>
      <w:r>
        <w:rPr>
          <w:lang w:val="fr-FR"/>
        </w:rPr>
        <w:t xml:space="preserve">(voir, </w:t>
      </w:r>
      <w:r>
        <w:rPr>
          <w:i/>
          <w:lang w:val="fr-FR"/>
        </w:rPr>
        <w:t>mutatis mutandis</w:t>
      </w:r>
      <w:r>
        <w:rPr>
          <w:lang w:val="fr-FR"/>
        </w:rPr>
        <w:t xml:space="preserve">, l’arrêt </w:t>
      </w:r>
      <w:proofErr w:type="spellStart"/>
      <w:r>
        <w:rPr>
          <w:lang w:val="fr-FR"/>
        </w:rPr>
        <w:t>Scopelliti</w:t>
      </w:r>
      <w:proofErr w:type="spellEnd"/>
      <w:r>
        <w:rPr>
          <w:lang w:val="fr-FR"/>
        </w:rPr>
        <w:t xml:space="preserve"> c. Italie du 23 novembre 1993, série A n° 278, p. 9, § 22).</w:t>
      </w:r>
      <w:r>
        <w:t xml:space="preserve"> </w:t>
      </w:r>
      <w:r>
        <w:rPr>
          <w:lang w:val="fr-FR"/>
        </w:rPr>
        <w:t xml:space="preserve">  </w:t>
      </w:r>
    </w:p>
    <w:p w:rsidR="00000000" w:rsidRDefault="00000000">
      <w:pPr>
        <w:pStyle w:val="Body"/>
        <w:ind w:firstLine="0"/>
        <w:rPr>
          <w:lang w:val="fr-FR"/>
        </w:rPr>
      </w:pPr>
    </w:p>
    <w:p w:rsidR="00000000" w:rsidRDefault="00000000">
      <w:pPr>
        <w:tabs>
          <w:tab w:val="left" w:pos="-720"/>
        </w:tabs>
        <w:suppressAutoHyphens/>
        <w:jc w:val="both"/>
        <w:rPr>
          <w:lang w:val="fr-FR"/>
        </w:rPr>
      </w:pPr>
      <w:r>
        <w:rPr>
          <w:lang w:val="fr-FR"/>
        </w:rPr>
        <w:tab/>
        <w:t xml:space="preserve">Eu égard aux critères dégagés par sa jurisprudence en matière de « délai raisonnable », et compte tenu du fait que deux juridictions ont été appelées à connaître de l’affaire, la Cour estime que cette durée n’est pas suffisamment importante pour que l’on puisse conclure à une apparence de violation de l’article 6 § 1 de la Convention.   </w:t>
      </w:r>
    </w:p>
    <w:p w:rsidR="00000000" w:rsidRDefault="00000000">
      <w:pPr>
        <w:tabs>
          <w:tab w:val="left" w:pos="-720"/>
        </w:tabs>
        <w:suppressAutoHyphens/>
        <w:jc w:val="both"/>
        <w:rPr>
          <w:lang w:val="fr-FR"/>
        </w:rPr>
      </w:pPr>
    </w:p>
    <w:p w:rsidR="00000000" w:rsidRDefault="00000000">
      <w:pPr>
        <w:tabs>
          <w:tab w:val="left" w:pos="-720"/>
        </w:tabs>
        <w:suppressAutoHyphens/>
        <w:jc w:val="both"/>
        <w:rPr>
          <w:spacing w:val="-2"/>
          <w:lang w:val="fr-FR"/>
        </w:rPr>
      </w:pPr>
      <w:r>
        <w:rPr>
          <w:lang w:val="fr-FR"/>
        </w:rPr>
        <w:tab/>
      </w:r>
      <w:r>
        <w:rPr>
          <w:spacing w:val="-2"/>
          <w:lang w:val="fr-FR"/>
        </w:rPr>
        <w:t>Il s’ensuit que la requête est manifestement mal fondée au sens de l’article 35 § 3 de la Convention et doit être rejetée en application du paragraphe 4 de cette même disposition.</w:t>
      </w:r>
      <w:r>
        <w:rPr>
          <w:spacing w:val="-2"/>
          <w:lang w:val="fr-FR"/>
        </w:rPr>
        <w:tab/>
      </w:r>
    </w:p>
    <w:p w:rsidR="00000000" w:rsidRDefault="00000000">
      <w:pPr>
        <w:tabs>
          <w:tab w:val="left" w:pos="-720"/>
        </w:tabs>
        <w:suppressAutoHyphens/>
        <w:jc w:val="both"/>
        <w:rPr>
          <w:spacing w:val="-2"/>
          <w:lang w:val="fr-FR"/>
        </w:rPr>
      </w:pPr>
    </w:p>
    <w:p w:rsidR="00000000" w:rsidRDefault="00000000">
      <w:pPr>
        <w:tabs>
          <w:tab w:val="left" w:pos="-720"/>
        </w:tabs>
        <w:suppressAutoHyphens/>
        <w:jc w:val="both"/>
        <w:rPr>
          <w:spacing w:val="-2"/>
          <w:lang w:val="fr-FR"/>
        </w:rPr>
      </w:pPr>
      <w:r>
        <w:rPr>
          <w:spacing w:val="-2"/>
          <w:lang w:val="fr-FR"/>
        </w:rPr>
        <w:br w:type="page"/>
      </w:r>
    </w:p>
    <w:p w:rsidR="00000000" w:rsidRDefault="00000000">
      <w:pPr>
        <w:pStyle w:val="Body"/>
        <w:ind w:firstLine="0"/>
        <w:rPr>
          <w:lang w:val="fr-FR"/>
        </w:rPr>
      </w:pPr>
      <w:r>
        <w:rPr>
          <w:lang w:val="fr-FR"/>
        </w:rPr>
        <w:tab/>
        <w:t>Par ces motifs, la Cour, à l'unanimité,</w:t>
      </w:r>
    </w:p>
    <w:p w:rsidR="00000000" w:rsidRDefault="00000000">
      <w:pPr>
        <w:pStyle w:val="Body"/>
        <w:ind w:firstLine="0"/>
      </w:pPr>
    </w:p>
    <w:p w:rsidR="00000000" w:rsidRDefault="00000000">
      <w:pPr>
        <w:pStyle w:val="Bodyindent"/>
        <w:ind w:left="0"/>
      </w:pPr>
      <w:r>
        <w:rPr>
          <w:b/>
        </w:rPr>
        <w:tab/>
        <w:t>DÉCLARE LA REQUÊTE IRRECEVABLE</w:t>
      </w:r>
      <w:r>
        <w:t xml:space="preserve">. </w:t>
      </w:r>
    </w:p>
    <w:p w:rsidR="00000000" w:rsidRDefault="00000000">
      <w:pPr>
        <w:pStyle w:val="Body"/>
        <w:ind w:firstLine="0"/>
        <w:rPr>
          <w:lang w:val="fr-FR"/>
        </w:rPr>
      </w:pPr>
    </w:p>
    <w:p w:rsidR="00000000" w:rsidRDefault="00000000">
      <w:pPr>
        <w:pStyle w:val="Body"/>
        <w:ind w:firstLine="0"/>
        <w:rPr>
          <w:lang w:val="fr-FR"/>
        </w:rPr>
      </w:pPr>
    </w:p>
    <w:p w:rsidR="00000000" w:rsidRDefault="00000000">
      <w:pPr>
        <w:pStyle w:val="Body"/>
        <w:ind w:firstLine="0"/>
        <w:rPr>
          <w:lang w:val="fr-FR"/>
        </w:rPr>
      </w:pPr>
    </w:p>
    <w:p w:rsidR="00000000" w:rsidRDefault="00000000">
      <w:pPr>
        <w:tabs>
          <w:tab w:val="center" w:pos="1134"/>
          <w:tab w:val="center" w:pos="6804"/>
        </w:tabs>
        <w:jc w:val="both"/>
        <w:rPr>
          <w:lang w:val="fr-FR"/>
        </w:rPr>
      </w:pPr>
    </w:p>
    <w:p w:rsidR="00000000" w:rsidRDefault="00000000">
      <w:pPr>
        <w:tabs>
          <w:tab w:val="center" w:pos="1134"/>
          <w:tab w:val="center" w:pos="6804"/>
        </w:tabs>
        <w:jc w:val="both"/>
        <w:rPr>
          <w:lang w:val="fr-FR"/>
        </w:rPr>
      </w:pPr>
      <w:r>
        <w:rPr>
          <w:lang w:val="fr-FR"/>
        </w:rPr>
        <w:t xml:space="preserve">            </w:t>
      </w:r>
      <w:r>
        <w:rPr>
          <w:lang w:val="fr-FR"/>
        </w:rPr>
        <w:tab/>
      </w:r>
      <w:proofErr w:type="spellStart"/>
      <w:r>
        <w:rPr>
          <w:lang w:val="fr-FR"/>
        </w:rPr>
        <w:t>Erik</w:t>
      </w:r>
      <w:proofErr w:type="spellEnd"/>
      <w:r>
        <w:rPr>
          <w:lang w:val="fr-FR"/>
        </w:rPr>
        <w:t xml:space="preserve"> </w:t>
      </w:r>
      <w:proofErr w:type="spellStart"/>
      <w:r>
        <w:rPr>
          <w:lang w:val="fr-FR"/>
        </w:rPr>
        <w:t>Fribergh</w:t>
      </w:r>
      <w:proofErr w:type="spellEnd"/>
      <w:r>
        <w:rPr>
          <w:lang w:val="fr-FR"/>
        </w:rPr>
        <w:tab/>
        <w:t xml:space="preserve">  </w:t>
      </w:r>
      <w:proofErr w:type="spellStart"/>
      <w:r>
        <w:rPr>
          <w:lang w:val="fr-FR"/>
        </w:rPr>
        <w:t>Christos</w:t>
      </w:r>
      <w:proofErr w:type="spellEnd"/>
      <w:r>
        <w:rPr>
          <w:lang w:val="fr-FR"/>
        </w:rPr>
        <w:t xml:space="preserve"> </w:t>
      </w:r>
      <w:proofErr w:type="spellStart"/>
      <w:r>
        <w:rPr>
          <w:lang w:val="fr-FR"/>
        </w:rPr>
        <w:t>Rozakis</w:t>
      </w:r>
      <w:proofErr w:type="spellEnd"/>
    </w:p>
    <w:p w:rsidR="00000000" w:rsidRDefault="00000000">
      <w:pPr>
        <w:jc w:val="both"/>
        <w:rPr>
          <w:b/>
          <w:lang w:val="fr-FR"/>
        </w:rPr>
      </w:pPr>
      <w:r>
        <w:rPr>
          <w:lang w:val="fr-FR"/>
        </w:rPr>
        <w:tab/>
        <w:t xml:space="preserve">    Greffier</w:t>
      </w:r>
      <w:r>
        <w:rPr>
          <w:lang w:val="fr-FR"/>
        </w:rPr>
        <w:tab/>
      </w:r>
      <w:r>
        <w:rPr>
          <w:lang w:val="fr-FR"/>
        </w:rPr>
        <w:tab/>
      </w:r>
      <w:r>
        <w:rPr>
          <w:lang w:val="fr-FR"/>
        </w:rPr>
        <w:tab/>
      </w:r>
      <w:r>
        <w:rPr>
          <w:lang w:val="fr-FR"/>
        </w:rPr>
        <w:tab/>
      </w:r>
      <w:r>
        <w:rPr>
          <w:lang w:val="fr-FR"/>
        </w:rPr>
        <w:tab/>
      </w:r>
      <w:r>
        <w:rPr>
          <w:lang w:val="fr-FR"/>
        </w:rPr>
        <w:tab/>
      </w:r>
      <w:r>
        <w:rPr>
          <w:lang w:val="fr-FR"/>
        </w:rPr>
        <w:tab/>
        <w:t>Président</w:t>
      </w:r>
    </w:p>
    <w:p w:rsidR="00000000" w:rsidRDefault="00000000">
      <w:pPr>
        <w:jc w:val="both"/>
        <w:rPr>
          <w:b/>
          <w:lang w:val="fr-FR"/>
        </w:rPr>
      </w:pPr>
    </w:p>
    <w:sectPr w:rsidR="00000000">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440" w:bottom="1440" w:left="1440" w:header="720" w:footer="720"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Note" w:initials="Note">
    <w:p w:rsidR="00000000" w:rsidRDefault="00000000">
      <w:pPr>
        <w:pStyle w:val="CommentText"/>
      </w:pPr>
      <w:r>
        <w:rPr>
          <w:rStyle w:val="CommentReference"/>
        </w:rPr>
        <w:annotationRef/>
      </w:r>
      <w:r>
        <w:rPr>
          <w:lang w:val="fr-FR"/>
        </w:rPr>
        <w:tab/>
        <w:t xml:space="preserve">Ne pas oublier de bloquer le texte avec </w:t>
      </w:r>
      <w:proofErr w:type="spellStart"/>
      <w:r>
        <w:rPr>
          <w:lang w:val="fr-FR"/>
        </w:rPr>
        <w:t>Alt+B</w:t>
      </w:r>
      <w:proofErr w:type="spellEnd"/>
      <w:r>
        <w:rPr>
          <w:lang w:val="fr-FR"/>
        </w:rPr>
        <w:t xml:space="preserve"> pour éviter que les informations en zones grisées disparaissent.</w:t>
      </w:r>
    </w:p>
  </w:comment>
  <w:comment w:id="2" w:author="Note" w:initials="Note">
    <w:p w:rsidR="00000000" w:rsidRDefault="00000000">
      <w:pPr>
        <w:pStyle w:val="CommentText"/>
        <w:rPr>
          <w:lang w:val="fr-FR"/>
        </w:rPr>
      </w:pPr>
      <w:r>
        <w:rPr>
          <w:rStyle w:val="CommentReference"/>
          <w:lang w:val="fr-FR"/>
        </w:rPr>
        <w:annotationRef/>
      </w:r>
      <w:r>
        <w:rPr>
          <w:lang w:val="fr-FR"/>
        </w:rPr>
        <w:tab/>
        <w:t>Ne mettre que les initiales si non public ; prénom et, en majuscules, le nom de famille ; nom corporatif en majuscules ; pas de traduction des noms collectifs.</w:t>
      </w:r>
    </w:p>
  </w:comment>
  <w:comment w:id="3" w:author="Note" w:initials="Note">
    <w:p w:rsidR="00000000" w:rsidRDefault="00000000">
      <w:pPr>
        <w:pStyle w:val="CommentText"/>
        <w:rPr>
          <w:lang w:val="fr-FR"/>
        </w:rPr>
      </w:pPr>
      <w:r>
        <w:rPr>
          <w:rStyle w:val="CommentReference"/>
          <w:lang w:val="fr-FR"/>
        </w:rPr>
        <w:annotationRef/>
      </w:r>
      <w:r>
        <w:rPr>
          <w:lang w:val="fr-FR"/>
        </w:rPr>
        <w:tab/>
        <w:t>Première lettre du pays en majuscule. Mettre l’article selon l’usage normal de la langue.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00000">
      <w:r>
        <w:separator/>
      </w:r>
    </w:p>
  </w:endnote>
  <w:endnote w:type="continuationSeparator" w:id="0">
    <w:p w:rsidR="00000000" w:rsidRDefault="00000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000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000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000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00000">
      <w:r>
        <w:separator/>
      </w:r>
    </w:p>
  </w:footnote>
  <w:footnote w:type="continuationSeparator" w:id="0">
    <w:p w:rsidR="00000000" w:rsidRDefault="000000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00000">
    <w:pPr>
      <w:tabs>
        <w:tab w:val="center" w:pos="4536"/>
      </w:tabs>
      <w:jc w:val="both"/>
      <w:rPr>
        <w:sz w:val="4"/>
      </w:rPr>
    </w:pPr>
    <w:r>
      <w:rPr>
        <w:lang w:val="fr-FR"/>
      </w:rPr>
      <w:t>40908/98</w:t>
    </w:r>
    <w:r>
      <w:tab/>
      <w:t xml:space="preserve">- </w:t>
    </w:r>
    <w:r>
      <w:fldChar w:fldCharType="begin"/>
    </w:r>
    <w:r>
      <w:instrText xml:space="preserve"> PAGE </w:instrText>
    </w:r>
    <w:r>
      <w:fldChar w:fldCharType="separate"/>
    </w:r>
    <w:r>
      <w:rPr>
        <w:noProof/>
      </w:rPr>
      <w:t>4</w:t>
    </w:r>
    <w:r>
      <w:fldChar w:fldCharType="end"/>
    </w:r>
    <w:r>
      <w:t xml:space="preserve"> -</w:t>
    </w:r>
  </w:p>
  <w:p w:rsidR="00000000" w:rsidRDefault="00000000">
    <w:pPr>
      <w:tabs>
        <w:tab w:val="center" w:pos="453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00000">
    <w:pPr>
      <w:tabs>
        <w:tab w:val="center" w:pos="4536"/>
        <w:tab w:val="right" w:pos="9072"/>
      </w:tabs>
      <w:jc w:val="both"/>
      <w:rPr>
        <w:sz w:val="2"/>
      </w:rPr>
    </w:pPr>
    <w:r>
      <w:tab/>
      <w:t xml:space="preserve">- </w:t>
    </w:r>
    <w:r>
      <w:fldChar w:fldCharType="begin"/>
    </w:r>
    <w:r>
      <w:instrText xml:space="preserve"> PAGE </w:instrText>
    </w:r>
    <w:r>
      <w:fldChar w:fldCharType="separate"/>
    </w:r>
    <w:r>
      <w:rPr>
        <w:noProof/>
      </w:rPr>
      <w:t>3</w:t>
    </w:r>
    <w:r>
      <w:fldChar w:fldCharType="end"/>
    </w:r>
    <w:r>
      <w:t xml:space="preserve"> -</w:t>
    </w:r>
    <w:r>
      <w:tab/>
    </w:r>
    <w:r>
      <w:rPr>
        <w:lang w:val="fr-FR"/>
      </w:rPr>
      <w:t>40908/98</w:t>
    </w:r>
  </w:p>
  <w:p w:rsidR="00000000" w:rsidRDefault="00000000">
    <w:pPr>
      <w:tabs>
        <w:tab w:val="center" w:pos="4536"/>
        <w:tab w:val="right" w:pos="90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00000">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39.5pt" fillcolor="window">
          <v:imagedata r:id="rId1" o:title=""/>
        </v:shape>
      </w:pict>
    </w:r>
  </w:p>
  <w:p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oNotTrackMoves/>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2B1563C-268E-41FC-A588-87CADC92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spacing w:before="240" w:after="60"/>
      <w:outlineLvl w:val="0"/>
    </w:pPr>
    <w:rPr>
      <w:rFonts w:ascii="Arial" w:hAnsi="Arial" w:cs="Arial"/>
      <w:b/>
      <w:bCs/>
      <w:kern w:val="28"/>
      <w:sz w:val="28"/>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customStyle="1" w:styleId="Body">
    <w:name w:val="Body"/>
    <w:basedOn w:val="Normal"/>
    <w:pPr>
      <w:ind w:firstLine="567"/>
      <w:jc w:val="both"/>
    </w:pPr>
  </w:style>
  <w:style w:type="paragraph" w:styleId="FootnoteText">
    <w:name w:val="footnote text"/>
    <w:basedOn w:val="Normal"/>
    <w:semiHidden/>
    <w:rPr>
      <w:sz w:val="20"/>
      <w:szCs w:val="20"/>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customStyle="1" w:styleId="Bodyindent">
    <w:name w:val="Body indent"/>
    <w:basedOn w:val="Normal"/>
    <w:pPr>
      <w:ind w:left="567"/>
      <w:jc w:val="both"/>
    </w:pPr>
    <w:rPr>
      <w:lang w:val="fr-FR"/>
    </w:rPr>
  </w:style>
  <w:style w:type="character" w:styleId="FootnoteReference">
    <w:name w:val="footnote reference"/>
    <w:basedOn w:val="DefaultParagraphFont"/>
    <w:semiHidden/>
    <w:rPr>
      <w:vertAlign w:val="superscript"/>
    </w:rPr>
  </w:style>
  <w:style w:type="paragraph" w:styleId="Date">
    <w:name w:val="Date"/>
    <w:basedOn w:val="Normal"/>
    <w:next w:val="Normal"/>
    <w:semiHidden/>
    <w:pPr>
      <w:tabs>
        <w:tab w:val="right" w:pos="9072"/>
      </w:tabs>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Doc%20French\Decision%20CHAMBRE%20sur%20la%20recevabilit&#23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DB76E2-1BDA-472E-9396-9E0892555ADF}"/>
</file>

<file path=customXml/itemProps2.xml><?xml version="1.0" encoding="utf-8"?>
<ds:datastoreItem xmlns:ds="http://schemas.openxmlformats.org/officeDocument/2006/customXml" ds:itemID="{3422A148-2C25-4862-BC37-4E299AF2F007}"/>
</file>

<file path=customXml/itemProps3.xml><?xml version="1.0" encoding="utf-8"?>
<ds:datastoreItem xmlns:ds="http://schemas.openxmlformats.org/officeDocument/2006/customXml" ds:itemID="{38CA79B1-861E-42DF-BEF1-E419934EC0B1}"/>
</file>

<file path=docProps/app.xml><?xml version="1.0" encoding="utf-8"?>
<Properties xmlns="http://schemas.openxmlformats.org/officeDocument/2006/extended-properties" xmlns:vt="http://schemas.openxmlformats.org/officeDocument/2006/docPropsVTypes">
  <Template>Decision CHAMBRE sur la recevabilité.dot</Template>
  <TotalTime>7</TotalTime>
  <Pages>1</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Décision re recevabilité</vt:lpstr>
    </vt:vector>
  </TitlesOfParts>
  <Company>COE</Company>
  <LinksUpToDate>false</LinksUpToDate>
  <CharactersWithSpaces>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re recevabilité</dc:title>
  <dc:subject/>
  <dc:creator>Weiler</dc:creator>
  <cp:keywords/>
  <cp:lastModifiedBy>Weiler</cp:lastModifiedBy>
  <cp:revision>5</cp:revision>
  <cp:lastPrinted>1999-10-28T07:57:00Z</cp:lastPrinted>
  <dcterms:created xsi:type="dcterms:W3CDTF">2015-03-16T18:16:00Z</dcterms:created>
  <dcterms:modified xsi:type="dcterms:W3CDTF">2015-03-16T18:16:00Z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