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147" w:rsidP="00C52147" w:rsidRDefault="00C52147">
      <w:pPr>
        <w:pStyle w:val="DecHTitle"/>
      </w:pPr>
      <w:bookmarkStart w:name="_GoBack" w:id="0"/>
      <w:bookmarkEnd w:id="0"/>
      <w:r w:rsidRPr="00A760E0">
        <w:t>FIFTH SECTION</w:t>
      </w:r>
    </w:p>
    <w:p w:rsidR="00C52147" w:rsidP="00C52147" w:rsidRDefault="00C52147">
      <w:pPr>
        <w:pStyle w:val="DecHTitle"/>
      </w:pPr>
      <w:r>
        <w:t>DECISION</w:t>
      </w:r>
    </w:p>
    <w:p w:rsidR="00C52147" w:rsidP="00C52147" w:rsidRDefault="00C52147">
      <w:pPr>
        <w:pStyle w:val="DecHTitle"/>
      </w:pPr>
      <w:r>
        <w:t>AS TO THE ADMISSIBILITY OF</w:t>
      </w:r>
    </w:p>
    <w:p w:rsidR="00C52147" w:rsidP="00C52147" w:rsidRDefault="00C52147">
      <w:pPr>
        <w:pStyle w:val="DecHCase"/>
      </w:pPr>
      <w:r w:rsidRPr="00A760E0">
        <w:t>Application no. 4582/05</w:t>
      </w:r>
      <w:r w:rsidRPr="00A760E0">
        <w:br/>
        <w:t>by Mikhail Petrovich PASHKOVSKIY</w:t>
      </w:r>
      <w:r w:rsidRPr="00A760E0">
        <w:br/>
        <w:t xml:space="preserve">against </w:t>
      </w:r>
      <w:smartTag w:uri="urn:schemas-microsoft-com:office:smarttags" w:element="country-region">
        <w:r w:rsidRPr="00A760E0">
          <w:t>Ukraine</w:t>
        </w:r>
      </w:smartTag>
      <w:r>
        <w:t xml:space="preserve"> and </w:t>
      </w:r>
      <w:smartTag w:uri="urn:schemas-microsoft-com:office:smarttags" w:element="country-region">
        <w:smartTag w:uri="urn:schemas-microsoft-com:office:smarttags" w:element="place">
          <w:r>
            <w:t>Poland</w:t>
          </w:r>
        </w:smartTag>
      </w:smartTag>
    </w:p>
    <w:p w:rsidRPr="00A760E0" w:rsidR="00C52147" w:rsidP="00C52147" w:rsidRDefault="00C52147">
      <w:pPr>
        <w:pStyle w:val="JuPara"/>
      </w:pPr>
      <w:r w:rsidRPr="00A760E0">
        <w:t xml:space="preserve">The European Court of Human Rights (Fifth Section), sitting on </w:t>
      </w:r>
      <w:r>
        <w:t>17 June 2008</w:t>
      </w:r>
      <w:r w:rsidRPr="00A760E0">
        <w:t xml:space="preserve"> as a Chamber composed of:</w:t>
      </w:r>
    </w:p>
    <w:p w:rsidRPr="00A760E0" w:rsidR="00C52147" w:rsidP="00C52147" w:rsidRDefault="00C52147">
      <w:pPr>
        <w:pStyle w:val="JuJudges"/>
      </w:pPr>
      <w:r w:rsidRPr="00D158F2">
        <w:rPr>
          <w:rStyle w:val="JuJudgesChar"/>
        </w:rPr>
        <w:tab/>
      </w:r>
      <w:r w:rsidRPr="00D158F2">
        <w:t>Peer</w:t>
      </w:r>
      <w:r>
        <w:t xml:space="preserve"> </w:t>
      </w:r>
      <w:r w:rsidRPr="00D158F2">
        <w:t>Lorenzen</w:t>
      </w:r>
      <w:r>
        <w:t>,</w:t>
      </w:r>
      <w:r w:rsidRPr="00D158F2">
        <w:rPr>
          <w:i/>
        </w:rPr>
        <w:t xml:space="preserve"> President,</w:t>
      </w:r>
      <w:r>
        <w:rPr>
          <w:rStyle w:val="JuJudgesChar"/>
          <w:i/>
        </w:rPr>
        <w:br/>
      </w:r>
      <w:r w:rsidRPr="00D158F2">
        <w:rPr>
          <w:rStyle w:val="JuJudgesChar"/>
        </w:rPr>
        <w:tab/>
      </w:r>
      <w:r w:rsidRPr="00D158F2">
        <w:t>Rait</w:t>
      </w:r>
      <w:r>
        <w:t xml:space="preserve"> </w:t>
      </w:r>
      <w:r w:rsidRPr="00D158F2">
        <w:t>Maruste</w:t>
      </w:r>
      <w:r>
        <w:t>,</w:t>
      </w:r>
      <w:r>
        <w:rPr>
          <w:rStyle w:val="JuJudgesChar"/>
          <w:i/>
        </w:rPr>
        <w:br/>
      </w:r>
      <w:r w:rsidRPr="00D158F2">
        <w:rPr>
          <w:rStyle w:val="JuJudgesChar"/>
        </w:rPr>
        <w:tab/>
      </w:r>
      <w:r w:rsidRPr="00D158F2">
        <w:t>Volodymyr</w:t>
      </w:r>
      <w:r>
        <w:t xml:space="preserve"> </w:t>
      </w:r>
      <w:r w:rsidRPr="00D158F2">
        <w:t>Butkevych</w:t>
      </w:r>
      <w:r>
        <w:t>,</w:t>
      </w:r>
      <w:r>
        <w:rPr>
          <w:rStyle w:val="JuJudgesChar"/>
          <w:i/>
        </w:rPr>
        <w:br/>
      </w:r>
      <w:r w:rsidRPr="00D158F2">
        <w:rPr>
          <w:rStyle w:val="JuJudgesChar"/>
        </w:rPr>
        <w:tab/>
      </w:r>
      <w:r w:rsidRPr="00D158F2">
        <w:t>Lech</w:t>
      </w:r>
      <w:r>
        <w:t xml:space="preserve"> </w:t>
      </w:r>
      <w:r w:rsidRPr="00D158F2">
        <w:t>Garlicki</w:t>
      </w:r>
      <w:r>
        <w:t>,</w:t>
      </w:r>
      <w:r>
        <w:rPr>
          <w:rStyle w:val="JuJudgesChar"/>
          <w:i/>
        </w:rPr>
        <w:br/>
      </w:r>
      <w:r w:rsidRPr="00D158F2">
        <w:rPr>
          <w:rStyle w:val="JuJudgesChar"/>
        </w:rPr>
        <w:tab/>
      </w:r>
      <w:r w:rsidRPr="00D158F2">
        <w:t>Isabelle</w:t>
      </w:r>
      <w:r>
        <w:t xml:space="preserve"> </w:t>
      </w:r>
      <w:r w:rsidRPr="00D158F2">
        <w:t>Berro-Lefèvre</w:t>
      </w:r>
      <w:r>
        <w:t>,</w:t>
      </w:r>
      <w:r>
        <w:rPr>
          <w:rStyle w:val="JuJudgesChar"/>
          <w:i/>
        </w:rPr>
        <w:br/>
      </w:r>
      <w:r w:rsidRPr="00D158F2">
        <w:rPr>
          <w:rStyle w:val="JuJudgesChar"/>
        </w:rPr>
        <w:tab/>
      </w:r>
      <w:r w:rsidRPr="00D158F2">
        <w:t>Mirjana</w:t>
      </w:r>
      <w:r>
        <w:t xml:space="preserve"> </w:t>
      </w:r>
      <w:r w:rsidRPr="00D158F2">
        <w:t>Lazarova Trajkovska</w:t>
      </w:r>
      <w:r>
        <w:t>,</w:t>
      </w:r>
      <w:r>
        <w:rPr>
          <w:rStyle w:val="JuJudgesChar"/>
          <w:i/>
        </w:rPr>
        <w:br/>
      </w:r>
      <w:r w:rsidRPr="00D158F2">
        <w:rPr>
          <w:rStyle w:val="JuJudgesChar"/>
        </w:rPr>
        <w:tab/>
      </w:r>
      <w:r w:rsidRPr="00D158F2">
        <w:t>Zdravka</w:t>
      </w:r>
      <w:r>
        <w:t xml:space="preserve"> </w:t>
      </w:r>
      <w:r w:rsidRPr="00D158F2">
        <w:t>Kalaydjieva</w:t>
      </w:r>
      <w:r>
        <w:t>,</w:t>
      </w:r>
      <w:r w:rsidRPr="00D158F2">
        <w:rPr>
          <w:i/>
        </w:rPr>
        <w:t xml:space="preserve"> judges,</w:t>
      </w:r>
      <w:r>
        <w:rPr>
          <w:rStyle w:val="JuJudgesChar"/>
          <w:i/>
        </w:rPr>
        <w:br/>
      </w:r>
      <w:r w:rsidRPr="00A760E0">
        <w:t>and</w:t>
      </w:r>
      <w:r w:rsidRPr="00C52147">
        <w:t xml:space="preserve"> Stephen Phillips</w:t>
      </w:r>
      <w:r w:rsidRPr="00A760E0">
        <w:t xml:space="preserve">, </w:t>
      </w:r>
      <w:r>
        <w:rPr>
          <w:i/>
        </w:rPr>
        <w:t xml:space="preserve">Deputy </w:t>
      </w:r>
      <w:r w:rsidRPr="00A760E0">
        <w:rPr>
          <w:i/>
        </w:rPr>
        <w:t>Section Registrar</w:t>
      </w:r>
      <w:r w:rsidRPr="00A760E0">
        <w:t>,</w:t>
      </w:r>
    </w:p>
    <w:p w:rsidRPr="00A760E0" w:rsidR="00C52147" w:rsidP="00C52147" w:rsidRDefault="00C52147">
      <w:pPr>
        <w:pStyle w:val="JuPara"/>
      </w:pPr>
      <w:r w:rsidRPr="00A760E0">
        <w:t>Having regard to the above application lodged on 18 January 2005,</w:t>
      </w:r>
    </w:p>
    <w:p w:rsidRPr="00A760E0" w:rsidR="00C52147" w:rsidP="00C52147" w:rsidRDefault="00C52147">
      <w:pPr>
        <w:pStyle w:val="JuPara"/>
      </w:pPr>
      <w:r w:rsidRPr="00A760E0">
        <w:t>Having deliberated, decides as follows:</w:t>
      </w:r>
    </w:p>
    <w:p w:rsidRPr="00A760E0" w:rsidR="00C52147" w:rsidP="00C52147" w:rsidRDefault="00C52147">
      <w:pPr>
        <w:pStyle w:val="JuHHead"/>
      </w:pPr>
      <w:r w:rsidRPr="00A760E0">
        <w:t>THE FACTS</w:t>
      </w:r>
    </w:p>
    <w:p w:rsidRPr="00A760E0" w:rsidR="00C52147" w:rsidP="00C52147" w:rsidRDefault="00C52147">
      <w:pPr>
        <w:pStyle w:val="JuPara"/>
      </w:pPr>
      <w:r w:rsidRPr="00A760E0">
        <w:t xml:space="preserve">The applicant, Mr Mikhail Petrovich Pashkovskiy, is a Ukrainian national who was born in </w:t>
      </w:r>
      <w:r>
        <w:t>1925</w:t>
      </w:r>
      <w:r w:rsidRPr="00A760E0">
        <w:t xml:space="preserve"> and lives in </w:t>
      </w:r>
      <w:r>
        <w:t xml:space="preserve">the </w:t>
      </w:r>
      <w:smartTag w:uri="urn:schemas-microsoft-com:office:smarttags" w:element="PlaceType">
        <w:r>
          <w:t>village</w:t>
        </w:r>
      </w:smartTag>
      <w:r>
        <w:t xml:space="preserve"> of </w:t>
      </w:r>
      <w:smartTag w:uri="urn:schemas-microsoft-com:office:smarttags" w:element="PlaceName">
        <w:r>
          <w:t>Maryanivka</w:t>
        </w:r>
      </w:smartTag>
      <w:r>
        <w:t xml:space="preserve">, </w:t>
      </w:r>
      <w:smartTag w:uri="urn:schemas-microsoft-com:office:smarttags" w:element="place">
        <w:smartTag w:uri="urn:schemas-microsoft-com:office:smarttags" w:element="City">
          <w:r>
            <w:t>Donetsk</w:t>
          </w:r>
        </w:smartTag>
      </w:smartTag>
      <w:r>
        <w:t xml:space="preserve"> region</w:t>
      </w:r>
      <w:r w:rsidRPr="00A760E0">
        <w:t>.</w:t>
      </w:r>
    </w:p>
    <w:p w:rsidRPr="00A760E0" w:rsidR="00C52147" w:rsidP="00C52147" w:rsidRDefault="00C52147">
      <w:pPr>
        <w:pStyle w:val="JuHA"/>
      </w:pPr>
      <w:r w:rsidRPr="00A760E0">
        <w:t>A.  The circumstances of the case</w:t>
      </w:r>
    </w:p>
    <w:p w:rsidRPr="00A760E0" w:rsidR="00C52147" w:rsidP="00C52147" w:rsidRDefault="00C52147">
      <w:pPr>
        <w:pStyle w:val="JuPara"/>
      </w:pPr>
      <w:r w:rsidRPr="00A760E0">
        <w:t>The facts of the case, as submitted by the applicant, may be summarised as follows.</w:t>
      </w:r>
    </w:p>
    <w:p w:rsidR="00C52147" w:rsidP="00C52147" w:rsidRDefault="00C52147">
      <w:pPr>
        <w:pStyle w:val="JuPara"/>
      </w:pPr>
      <w:r>
        <w:t xml:space="preserve">On 9 September 1944 the Polish Committee of National Liberation and the former Soviet Socialist Republic of Ukraine concluded an agreement on the mutual resettlement of Ukrainians from </w:t>
      </w:r>
      <w:smartTag w:uri="urn:schemas-microsoft-com:office:smarttags" w:element="country-region">
        <w:r>
          <w:t>Poland</w:t>
        </w:r>
      </w:smartTag>
      <w:r>
        <w:t xml:space="preserve"> and Poles from </w:t>
      </w:r>
      <w:smartTag w:uri="urn:schemas-microsoft-com:office:smarttags" w:element="place">
        <w:smartTag w:uri="urn:schemas-microsoft-com:office:smarttags" w:element="country-region">
          <w:r>
            <w:t>Ukraine</w:t>
          </w:r>
        </w:smartTag>
      </w:smartTag>
      <w:r>
        <w:t>.</w:t>
      </w:r>
    </w:p>
    <w:p w:rsidR="00C52147" w:rsidP="00C52147" w:rsidRDefault="00C52147">
      <w:pPr>
        <w:pStyle w:val="JuPara"/>
      </w:pPr>
      <w:r>
        <w:t>In March 1945 the applicant</w:t>
      </w:r>
      <w:r w:rsidR="003107D6">
        <w:t>’</w:t>
      </w:r>
      <w:r>
        <w:t xml:space="preserve">s family was moved from </w:t>
      </w:r>
      <w:smartTag w:uri="urn:schemas-microsoft-com:office:smarttags" w:element="country-region">
        <w:r>
          <w:t>Poland</w:t>
        </w:r>
      </w:smartTag>
      <w:r>
        <w:t xml:space="preserve"> to </w:t>
      </w:r>
      <w:smartTag w:uri="urn:schemas-microsoft-com:office:smarttags" w:element="place">
        <w:smartTag w:uri="urn:schemas-microsoft-com:office:smarttags" w:element="country-region">
          <w:r>
            <w:t>Ukraine</w:t>
          </w:r>
        </w:smartTag>
      </w:smartTag>
      <w:r>
        <w:t xml:space="preserve">. In </w:t>
      </w:r>
      <w:smartTag w:uri="urn:schemas-microsoft-com:office:smarttags" w:element="place">
        <w:smartTag w:uri="urn:schemas-microsoft-com:office:smarttags" w:element="country-region">
          <w:r>
            <w:t>Poland</w:t>
          </w:r>
        </w:smartTag>
      </w:smartTag>
      <w:r>
        <w:t xml:space="preserve"> they left property, namely a house and other buildings and a three hectare plot of land. According to archive documents the value of that property was 8,564 Soviet roubles.</w:t>
      </w:r>
    </w:p>
    <w:p w:rsidR="00C52147" w:rsidP="00C52147" w:rsidRDefault="00C52147">
      <w:pPr>
        <w:pStyle w:val="JuPara"/>
      </w:pPr>
      <w:r>
        <w:t>Thereafter the applicant and his family became members of a collective farm</w:t>
      </w:r>
      <w:r w:rsidRPr="00576188">
        <w:rPr>
          <w:i/>
        </w:rPr>
        <w:t xml:space="preserve"> </w:t>
      </w:r>
      <w:r>
        <w:rPr>
          <w:i/>
        </w:rPr>
        <w:t>(</w:t>
      </w:r>
      <w:r w:rsidRPr="00576188">
        <w:rPr>
          <w:i/>
        </w:rPr>
        <w:t>kolhoz</w:t>
      </w:r>
      <w:r>
        <w:t xml:space="preserve">) in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Maryanivka</w:t>
          </w:r>
        </w:smartTag>
      </w:smartTag>
      <w:r>
        <w:t>, where the applicant still lives.</w:t>
      </w:r>
    </w:p>
    <w:p w:rsidR="00C52147" w:rsidP="00C52147" w:rsidRDefault="00C52147">
      <w:pPr>
        <w:pStyle w:val="JuPara"/>
      </w:pPr>
      <w:r>
        <w:t xml:space="preserve">In 2004 the applicant started seeking information about the possibility of obtaining compensation for the property that had been abandoned by his family in </w:t>
      </w:r>
      <w:smartTag w:uri="urn:schemas-microsoft-com:office:smarttags" w:element="place">
        <w:smartTag w:uri="urn:schemas-microsoft-com:office:smarttags" w:element="country-region">
          <w:r>
            <w:t>Poland</w:t>
          </w:r>
        </w:smartTag>
      </w:smartTag>
      <w:r>
        <w:t xml:space="preserve"> in 1945.</w:t>
      </w:r>
    </w:p>
    <w:p w:rsidR="00C52147" w:rsidP="00C52147" w:rsidRDefault="00C52147">
      <w:pPr>
        <w:pStyle w:val="JuPara"/>
      </w:pPr>
      <w:r>
        <w:t>On 15 July 2004, after receiving the applicant</w:t>
      </w:r>
      <w:r w:rsidR="003107D6">
        <w:t>’</w:t>
      </w:r>
      <w:r>
        <w:t xml:space="preserve">s request, the General Consulate of </w:t>
      </w:r>
      <w:smartTag w:uri="urn:schemas-microsoft-com:office:smarttags" w:element="country-region">
        <w:r>
          <w:t>Poland</w:t>
        </w:r>
      </w:smartTag>
      <w:r>
        <w:t xml:space="preserve"> in Kharkiv informed him that it was dealing with the issues concerning Polish nationals living in </w:t>
      </w:r>
      <w:smartTag w:uri="urn:schemas-microsoft-com:office:smarttags" w:element="place">
        <w:smartTag w:uri="urn:schemas-microsoft-com:office:smarttags" w:element="country-region">
          <w:r>
            <w:t>Ukraine</w:t>
          </w:r>
        </w:smartTag>
      </w:smartTag>
      <w:r>
        <w:t xml:space="preserve"> and recommended that he raised the question with the Ukrainian Ministry of Labour and Social Protection.</w:t>
      </w:r>
    </w:p>
    <w:p w:rsidR="00C52147" w:rsidP="00C52147" w:rsidRDefault="00C52147">
      <w:pPr>
        <w:pStyle w:val="JuPara"/>
      </w:pPr>
      <w:r>
        <w:t xml:space="preserve">On 15 December 2004 the State Archives Department in the </w:t>
      </w:r>
      <w:smartTag w:uri="urn:schemas-microsoft-com:office:smarttags" w:element="City">
        <w:r>
          <w:t>Donetsk</w:t>
        </w:r>
      </w:smartTag>
      <w:r>
        <w:t xml:space="preserve"> region informed the applicant that it could not find among the existing documents anything to indicate that his family had received compensation in 1945 for the property left in </w:t>
      </w:r>
      <w:smartTag w:uri="urn:schemas-microsoft-com:office:smarttags" w:element="place">
        <w:smartTag w:uri="urn:schemas-microsoft-com:office:smarttags" w:element="country-region">
          <w:r>
            <w:t>Poland</w:t>
          </w:r>
        </w:smartTag>
      </w:smartTag>
      <w:r>
        <w:t>. It further noted, however, that it did not have the Maryanivka village council records for 1945.</w:t>
      </w:r>
    </w:p>
    <w:p w:rsidRPr="005C3673" w:rsidR="00C52147" w:rsidP="00C52147" w:rsidRDefault="00C52147">
      <w:pPr>
        <w:pStyle w:val="JuPara"/>
      </w:pPr>
      <w:r>
        <w:t>On 28</w:t>
      </w:r>
      <w:r w:rsidR="003107D6">
        <w:t xml:space="preserve"> </w:t>
      </w:r>
      <w:r>
        <w:t xml:space="preserve">March 2005 the applicant wrote to the Head of the Department of Labour and Social Protection for advice on how to claim compensation for pecuniary and non-pecuniary damage sustained as a result of the forced resettlement in 1945 and for the abandoned property. In reply, the Department informed the applicant that he qualified for war-participant status which would entitle him to apply for various social benefits. As to compensation for the abandoned property and forced resettlement, it stated </w:t>
      </w:r>
      <w:r w:rsidRPr="005C3673">
        <w:t>that it had no authority to deal with such issues.</w:t>
      </w:r>
    </w:p>
    <w:p w:rsidRPr="00A760E0" w:rsidR="00C52147" w:rsidP="00C52147" w:rsidRDefault="00C52147">
      <w:pPr>
        <w:pStyle w:val="JuPara"/>
      </w:pPr>
      <w:r w:rsidRPr="005C3673">
        <w:t>The applicant sent similar requests to a number of institutions, but to no avail. He has informed the Court that he sent a letter to the Supreme Court, but he has not given any details of the contents of the letter, nor has he stated whether he received a reply.</w:t>
      </w:r>
    </w:p>
    <w:p w:rsidR="00C52147" w:rsidP="00C52147" w:rsidRDefault="00C52147">
      <w:pPr>
        <w:pStyle w:val="JuHA"/>
      </w:pPr>
      <w:r w:rsidRPr="00A760E0">
        <w:t xml:space="preserve">B.  Relevant domestic law </w:t>
      </w:r>
      <w:r>
        <w:t>a</w:t>
      </w:r>
      <w:r w:rsidRPr="00A760E0">
        <w:t>nd practice</w:t>
      </w:r>
      <w:r>
        <w:rPr>
          <w:lang w:val="uk-UA"/>
        </w:rPr>
        <w:t xml:space="preserve"> </w:t>
      </w:r>
      <w:r>
        <w:t>in Poland and Ukraine</w:t>
      </w:r>
    </w:p>
    <w:p w:rsidRPr="00DA6CD4" w:rsidR="00C52147" w:rsidP="00C52147" w:rsidRDefault="00C52147">
      <w:pPr>
        <w:pStyle w:val="JuH1"/>
      </w:pPr>
      <w:r>
        <w:t>1.  International agreements</w:t>
      </w:r>
    </w:p>
    <w:p w:rsidR="00C52147" w:rsidP="00C52147" w:rsidRDefault="00C52147">
      <w:pPr>
        <w:pStyle w:val="JuPara"/>
      </w:pPr>
      <w:r>
        <w:t>T</w:t>
      </w:r>
      <w:r w:rsidRPr="00414E84">
        <w:t xml:space="preserve">he Agreement between the Polish Committee of National Liberation and the </w:t>
      </w:r>
      <w:r>
        <w:t>G</w:t>
      </w:r>
      <w:r w:rsidRPr="00414E84">
        <w:t xml:space="preserve">overnment of the Ukrainian Soviet Socialist Republic on the evacuation of Polish citizens from the territory of the Ukrainian Soviet Socialist Republic and of the Ukrainian population from the territory of Poland </w:t>
      </w:r>
      <w:r>
        <w:t>(</w:t>
      </w:r>
      <w:r>
        <w:rPr>
          <w:i/>
        </w:rPr>
        <w:t xml:space="preserve">Układ pomiędzy Polskim Komitetem Wyzwolenia Narodowego a Rządem Ukraińskiej Socjalistycznej Republiki Rad dotyczący ewakuacji obywateli polskich z terytorium U.S.R.R. i ludności ukraińskiej z terytorium Polski / </w:t>
      </w:r>
      <w:r>
        <w:rPr>
          <w:i/>
          <w:lang w:val="uk-UA"/>
        </w:rPr>
        <w:t>Угода між Урядом Української Радянської Соціалістичної Республіки і Польським Комітетом Національного визволення про евакуацію українського населення з території Польщі і польських громадян з території УРСР</w:t>
      </w:r>
      <w:r>
        <w:rPr>
          <w:i/>
        </w:rPr>
        <w:t xml:space="preserve"> – </w:t>
      </w:r>
      <w:r w:rsidRPr="00414E84">
        <w:t xml:space="preserve">“the Agreement”) </w:t>
      </w:r>
      <w:r>
        <w:t xml:space="preserve">was signed </w:t>
      </w:r>
      <w:r w:rsidRPr="00414E84">
        <w:t>o</w:t>
      </w:r>
      <w:r>
        <w:t>n</w:t>
      </w:r>
      <w:r w:rsidRPr="00414E84">
        <w:t xml:space="preserve"> 9</w:t>
      </w:r>
      <w:r>
        <w:t> </w:t>
      </w:r>
      <w:r w:rsidRPr="00414E84">
        <w:t xml:space="preserve">September 1944 </w:t>
      </w:r>
      <w:r>
        <w:t xml:space="preserve">and entered into force the same day. It was officially published in the Official Gazette of Ukraine more than sixty years later, on </w:t>
      </w:r>
      <w:r w:rsidRPr="00622BCF">
        <w:t>24</w:t>
      </w:r>
      <w:r>
        <w:t xml:space="preserve"> May </w:t>
      </w:r>
      <w:r w:rsidRPr="00622BCF">
        <w:t>2006</w:t>
      </w:r>
      <w:r>
        <w:t>.</w:t>
      </w:r>
    </w:p>
    <w:p w:rsidR="00C52147" w:rsidP="00C52147" w:rsidRDefault="00C52147">
      <w:pPr>
        <w:pStyle w:val="JuPara"/>
      </w:pPr>
      <w:r>
        <w:t xml:space="preserve">The Agreement </w:t>
      </w:r>
      <w:r w:rsidRPr="00414E84">
        <w:t>provided, in so far as relevant, as follows:</w:t>
      </w:r>
    </w:p>
    <w:p w:rsidRPr="00414E84" w:rsidR="00C52147" w:rsidP="00C52147" w:rsidRDefault="00C52147">
      <w:pPr>
        <w:pStyle w:val="JuQuot"/>
        <w:jc w:val="center"/>
      </w:pPr>
      <w:r>
        <w:t>Article 1</w:t>
      </w:r>
    </w:p>
    <w:p w:rsidR="00C52147" w:rsidP="00C52147" w:rsidRDefault="00C52147">
      <w:pPr>
        <w:pStyle w:val="JuQuot"/>
      </w:pPr>
      <w:r>
        <w:t>“...The Government of the Ukrainian Soviet Socialist Republic declares that [persons] evacuated to the territory of the Ukrainian Soviet Socialist Republic shall be settled according to their wishes either on a collective farm or on a plot of land to be used as an individual farm such plot to be no smaller than that used prior to the evacuation up to a maximum of 15 hectares per farm...”</w:t>
      </w:r>
    </w:p>
    <w:p w:rsidR="00C52147" w:rsidP="00C52147" w:rsidRDefault="00C52147">
      <w:pPr>
        <w:pStyle w:val="JuQuot"/>
        <w:jc w:val="center"/>
      </w:pPr>
      <w:r>
        <w:t>Article 3</w:t>
      </w:r>
    </w:p>
    <w:p w:rsidR="00C52147" w:rsidP="00C52147" w:rsidRDefault="00C52147">
      <w:pPr>
        <w:pStyle w:val="JuQuot"/>
      </w:pPr>
      <w:r>
        <w:t xml:space="preserve">1. The following benefits shall be established for persons evacuated from the Ukrainian RSR to </w:t>
      </w:r>
      <w:smartTag w:uri="urn:schemas-microsoft-com:office:smarttags" w:element="country-region">
        <w:r>
          <w:t>Poland</w:t>
        </w:r>
      </w:smartTag>
      <w:r>
        <w:t xml:space="preserve"> and from </w:t>
      </w:r>
      <w:smartTag w:uri="urn:schemas-microsoft-com:office:smarttags" w:element="place">
        <w:smartTag w:uri="urn:schemas-microsoft-com:office:smarttags" w:element="country-region">
          <w:r>
            <w:t>Poland</w:t>
          </w:r>
        </w:smartTag>
      </w:smartTag>
      <w:r>
        <w:t xml:space="preserve"> to the territory of the Ukrainian RSR:</w:t>
      </w:r>
    </w:p>
    <w:p w:rsidR="00C52147" w:rsidP="00C52147" w:rsidRDefault="00C52147">
      <w:pPr>
        <w:pStyle w:val="JuQuot"/>
      </w:pPr>
      <w:r>
        <w:t>(a) the writing off of all arrears accumulated by such persons in respect of deliveries in kind, pecuniary taxes and insurance premiums;...</w:t>
      </w:r>
    </w:p>
    <w:p w:rsidR="00C52147" w:rsidP="00C52147" w:rsidRDefault="00C52147">
      <w:pPr>
        <w:pStyle w:val="JuQuot"/>
      </w:pPr>
      <w:r>
        <w:t>...</w:t>
      </w:r>
    </w:p>
    <w:p w:rsidR="00C52147" w:rsidP="00C52147" w:rsidRDefault="00C52147">
      <w:pPr>
        <w:pStyle w:val="JuQuot"/>
      </w:pPr>
      <w:r>
        <w:t>(c) exemption from all State pecuniary taxes and insurance premiums due in 1944 and 1945 in respect of all the evacuated households, both on the territory of Poland and on the territory of Ukraine;</w:t>
      </w:r>
    </w:p>
    <w:p w:rsidR="00C52147" w:rsidP="00C52147" w:rsidRDefault="00C52147">
      <w:pPr>
        <w:pStyle w:val="JuQuot"/>
      </w:pPr>
      <w:r>
        <w:t>(d) the grant of a five-year pecuniary loan of 5,000 roubles or zlotys per household to evacuees at the place of their resettlement for their financial and other needs;...</w:t>
      </w:r>
    </w:p>
    <w:p w:rsidRPr="00414E84" w:rsidR="00C52147" w:rsidP="00C52147" w:rsidRDefault="00C52147">
      <w:pPr>
        <w:pStyle w:val="JuQuot"/>
      </w:pPr>
      <w:r w:rsidRPr="00414E84">
        <w:t>2.  Evacu</w:t>
      </w:r>
      <w:r>
        <w:t>ees</w:t>
      </w:r>
      <w:r w:rsidRPr="00414E84">
        <w:t xml:space="preserve"> shall be allowed to take with them clothing, footwear, linen, bedding, foodstuffs, household goods, farming inventory stock, harnesses and other articles for household and agricultural use, up to a total weight of 2 metric tons per family, as well as any cattle and poultry belonging to the evacuated farm.</w:t>
      </w:r>
    </w:p>
    <w:p w:rsidRPr="00414E84" w:rsidR="00C52147" w:rsidP="00C52147" w:rsidRDefault="00C52147">
      <w:pPr>
        <w:pStyle w:val="JuQuot"/>
      </w:pPr>
      <w:r w:rsidRPr="00414E84">
        <w:t>3.  Persons with specialised professions, such as workmen, craftsmen, doctors, artists and scholars, shall be accorded the right to take with them objects needed in the exercise of their professions.</w:t>
      </w:r>
    </w:p>
    <w:p w:rsidRPr="00414E84" w:rsidR="00C52147" w:rsidP="00C52147" w:rsidRDefault="00C52147">
      <w:pPr>
        <w:pStyle w:val="JuQuot"/>
      </w:pPr>
      <w:r w:rsidRPr="00414E84">
        <w:t>4.  The following may not be taken upon evacuation:</w:t>
      </w:r>
    </w:p>
    <w:p w:rsidRPr="00414E84" w:rsidR="00C52147" w:rsidP="00C52147" w:rsidRDefault="00C52147">
      <w:pPr>
        <w:pStyle w:val="JuQuot"/>
      </w:pPr>
      <w:r w:rsidRPr="00414E84">
        <w:t>(a)  cash, banknotes and gold and silver coins of any type, with the exception of Polish banknotes</w:t>
      </w:r>
      <w:r>
        <w:t xml:space="preserve"> up</w:t>
      </w:r>
      <w:r w:rsidRPr="00414E84">
        <w:t xml:space="preserve"> to a maximum of 1,000 zlotys per person, or Soviet currency </w:t>
      </w:r>
      <w:r>
        <w:t xml:space="preserve">up </w:t>
      </w:r>
      <w:r w:rsidRPr="00414E84">
        <w:t>to a</w:t>
      </w:r>
      <w:r>
        <w:t xml:space="preserve"> </w:t>
      </w:r>
      <w:r w:rsidRPr="00414E84">
        <w:t>maximum of 1,000 roubles per person;</w:t>
      </w:r>
    </w:p>
    <w:p w:rsidRPr="00414E84" w:rsidR="00C52147" w:rsidP="00C52147" w:rsidRDefault="00C52147">
      <w:pPr>
        <w:pStyle w:val="JuQuot"/>
      </w:pPr>
      <w:r w:rsidRPr="00414E84">
        <w:t>(b)  gold and platinum in alloy, powder or scrap form;</w:t>
      </w:r>
    </w:p>
    <w:p w:rsidRPr="00414E84" w:rsidR="00C52147" w:rsidP="00C52147" w:rsidRDefault="00C52147">
      <w:pPr>
        <w:pStyle w:val="JuQuot"/>
      </w:pPr>
      <w:r w:rsidRPr="00414E84">
        <w:t>(c)  precious stones in unworked form;</w:t>
      </w:r>
    </w:p>
    <w:p w:rsidRPr="00414E84" w:rsidR="00C52147" w:rsidP="00C52147" w:rsidRDefault="00C52147">
      <w:pPr>
        <w:pStyle w:val="JuQuot"/>
      </w:pPr>
      <w:r w:rsidRPr="00414E84">
        <w:t>(d)  works of art and antiques whenever they constitute a collection, or even as individual items, unless they are the evacuated person</w:t>
      </w:r>
      <w:r w:rsidR="003107D6">
        <w:t>’</w:t>
      </w:r>
      <w:r w:rsidRPr="00414E84">
        <w:t>s family property;</w:t>
      </w:r>
    </w:p>
    <w:p w:rsidRPr="00414E84" w:rsidR="00C52147" w:rsidP="00C52147" w:rsidRDefault="00C52147">
      <w:pPr>
        <w:pStyle w:val="JuQuot"/>
      </w:pPr>
      <w:r w:rsidRPr="00414E84">
        <w:t>(e)  firearms (with the exception of hunting rifles) and military equipment;</w:t>
      </w:r>
    </w:p>
    <w:p w:rsidRPr="00414E84" w:rsidR="00C52147" w:rsidP="00C52147" w:rsidRDefault="00C52147">
      <w:pPr>
        <w:pStyle w:val="JuQuot"/>
      </w:pPr>
      <w:r w:rsidRPr="00414E84">
        <w:t>(f)  photographs (other than personal photographs), charts and maps;</w:t>
      </w:r>
    </w:p>
    <w:p w:rsidRPr="00414E84" w:rsidR="00C52147" w:rsidP="00C52147" w:rsidRDefault="00C52147">
      <w:pPr>
        <w:pStyle w:val="JuQuot"/>
      </w:pPr>
      <w:r w:rsidRPr="00414E84">
        <w:t>(g)  automobiles and motorcycles;</w:t>
      </w:r>
    </w:p>
    <w:p w:rsidRPr="00414E84" w:rsidR="00C52147" w:rsidP="00C52147" w:rsidRDefault="00C52147">
      <w:pPr>
        <w:pStyle w:val="JuQuot"/>
      </w:pPr>
      <w:r w:rsidRPr="00414E84">
        <w:t>(h)  furniture, whether by rail or by motor vehicle, because of the transport problems caused by the war.</w:t>
      </w:r>
    </w:p>
    <w:p w:rsidRPr="00414E84" w:rsidR="00C52147" w:rsidP="00C52147" w:rsidRDefault="00C52147">
      <w:pPr>
        <w:pStyle w:val="JuQuot"/>
      </w:pPr>
      <w:r w:rsidRPr="00414E84">
        <w:t>...</w:t>
      </w:r>
    </w:p>
    <w:p w:rsidRPr="00414E84" w:rsidR="00C52147" w:rsidP="00C52147" w:rsidRDefault="00C52147">
      <w:pPr>
        <w:pStyle w:val="JuQuot"/>
      </w:pPr>
      <w:r w:rsidRPr="00414E84">
        <w:t xml:space="preserve">6.   The value of movable belongings left behind upon evacuation, and also of immovable property, shall be returned to the evacuated person on the basis of insurance valuations, in accordance with the applicable laws in the State of Poland and in the </w:t>
      </w:r>
      <w:smartTag w:uri="urn:schemas-microsoft-com:office:smarttags" w:element="place">
        <w:r w:rsidRPr="00414E84">
          <w:t>Ukrainian Soviet Socialist Republic</w:t>
        </w:r>
      </w:smartTag>
      <w:r w:rsidRPr="00414E84">
        <w:t>, as the case may be. In the absence of an insurance valuation, the value of movable and immovable property shall be assessed by the Plenipotentiaries and Representatives of the Parties. The Contracting Parties shall undertake to ensure that town and village houses vacated as a result of resettlement are made available to resettled persons on a priority basis.”</w:t>
      </w:r>
    </w:p>
    <w:p w:rsidRPr="00414E84" w:rsidR="00C52147" w:rsidP="00C52147" w:rsidRDefault="00C52147">
      <w:pPr>
        <w:pStyle w:val="JuPara"/>
      </w:pPr>
      <w:r w:rsidRPr="00414E84">
        <w:t xml:space="preserve">On 21 July 1952 the </w:t>
      </w:r>
      <w:r>
        <w:t>G</w:t>
      </w:r>
      <w:r w:rsidRPr="00414E84">
        <w:t xml:space="preserve">overnment of the Republic of Poland and the </w:t>
      </w:r>
      <w:r>
        <w:t>G</w:t>
      </w:r>
      <w:r w:rsidRPr="00414E84">
        <w:t>overnments of the Union of Soviet Socialist Republics, the Ukrainian Soviet Socialist Republic, the Belarus Soviet Socialist Republic and the Lithuanian Soviet Socialist Republic concluded an agreement on the mutual settlement of accounts in connection with the evacuation of population groups and the delimitation of the Polish-Soviet State border (</w:t>
      </w:r>
      <w:r w:rsidRPr="00414E84">
        <w:rPr>
          <w:i/>
        </w:rPr>
        <w:t>Umowa między Rządem Rzeczypospolitej Polskiej, z jednej strony i Rządem Związku Socjalistycznych Republik Radzieckich, Rządem Ukraińskiej Socjalistycznej Republiki Radzieckiej, Rządem Białoruskiej Socjalistycznej Republiki Radzieckiej</w:t>
      </w:r>
      <w:r>
        <w:rPr>
          <w:i/>
        </w:rPr>
        <w:t xml:space="preserve"> i</w:t>
      </w:r>
      <w:r w:rsidRPr="00414E84">
        <w:rPr>
          <w:i/>
        </w:rPr>
        <w:t xml:space="preserve"> Rządem Litewskiej Socjalistycznej Republiki Radzieckiej, z drugiej strony, o wzajemnych rozliczeniach</w:t>
      </w:r>
      <w:r>
        <w:rPr>
          <w:i/>
        </w:rPr>
        <w:t>,</w:t>
      </w:r>
      <w:r w:rsidRPr="00414E84">
        <w:rPr>
          <w:i/>
        </w:rPr>
        <w:t xml:space="preserve"> wynikłych w związku z ewakuacją ludności i delimitacją polsko-radzieckiej granicy państwowej</w:t>
      </w:r>
      <w:r>
        <w:t xml:space="preserve"> – </w:t>
      </w:r>
      <w:r w:rsidRPr="00414E84">
        <w:t xml:space="preserve">“the 1952 Pact”). Article 2 of the </w:t>
      </w:r>
      <w:r>
        <w:t xml:space="preserve">Pact </w:t>
      </w:r>
      <w:r w:rsidRPr="00414E84">
        <w:t>provided:</w:t>
      </w:r>
    </w:p>
    <w:p w:rsidRPr="00414E84" w:rsidR="00C52147" w:rsidP="00C52147" w:rsidRDefault="00C52147">
      <w:pPr>
        <w:pStyle w:val="JuQuot"/>
      </w:pPr>
      <w:r w:rsidRPr="00414E84">
        <w:t>“With a view to the complete and definitive mutual settlement of accounts for movable and immovable property, agricultural products and seed left on the territories of the Republic of Poland and of the USSR by persons evacuated and resettled in connection with the delimitation of the Polish-Soviet State border, the Government of the Republic of Poland undertake to pay the Government of the USSR the sum of 76</w:t>
      </w:r>
      <w:r>
        <w:t> </w:t>
      </w:r>
      <w:r w:rsidRPr="00414E84">
        <w:t>(seventy-six) million roubles.”</w:t>
      </w:r>
    </w:p>
    <w:p w:rsidRPr="00DA6CD4" w:rsidR="00C52147" w:rsidP="00C52147" w:rsidRDefault="00C52147">
      <w:pPr>
        <w:pStyle w:val="JuH1"/>
      </w:pPr>
      <w:r>
        <w:t>2.  Polish legislation</w:t>
      </w:r>
    </w:p>
    <w:p w:rsidR="00C52147" w:rsidP="00C52147" w:rsidRDefault="00C52147">
      <w:pPr>
        <w:pStyle w:val="JuPara"/>
      </w:pPr>
      <w:r w:rsidRPr="00414E84">
        <w:t>From 1946 to the present day</w:t>
      </w:r>
      <w:r>
        <w:t>,</w:t>
      </w:r>
      <w:r w:rsidRPr="00414E84">
        <w:t xml:space="preserve"> Polish law has provided that persons repatriated from the territories beyond the Bug River are entitled to have the value of the property abandoned as a result of the Second World War offset either against the fee for the right of perpetual use </w:t>
      </w:r>
      <w:r>
        <w:t xml:space="preserve">or replacement land </w:t>
      </w:r>
      <w:r w:rsidRPr="00414E84">
        <w:t>or against the price of immovable property purchased from the State Treasury.</w:t>
      </w:r>
    </w:p>
    <w:p w:rsidR="00C52147" w:rsidP="00C52147" w:rsidRDefault="00C52147">
      <w:pPr>
        <w:pStyle w:val="JuPara"/>
      </w:pPr>
      <w:r w:rsidRPr="00414E84">
        <w:t>That provision has been repeated in several statutes</w:t>
      </w:r>
      <w:r>
        <w:t xml:space="preserve">, starting with the Decree of 6 </w:t>
      </w:r>
      <w:r w:rsidRPr="00414E84">
        <w:t>December 1946 on the transfer from the State of non-agricultural property in the Regained Territories and the former Free City of Gdańsk (</w:t>
      </w:r>
      <w:r w:rsidRPr="00414E84">
        <w:rPr>
          <w:i/>
        </w:rPr>
        <w:t>Dekret o przekaz</w:t>
      </w:r>
      <w:r>
        <w:rPr>
          <w:i/>
        </w:rPr>
        <w:t>yw</w:t>
      </w:r>
      <w:r w:rsidRPr="00414E84">
        <w:rPr>
          <w:i/>
        </w:rPr>
        <w:t xml:space="preserve">aniu przez Państwo </w:t>
      </w:r>
      <w:r>
        <w:rPr>
          <w:i/>
        </w:rPr>
        <w:t xml:space="preserve">mienia nierolniczego </w:t>
      </w:r>
      <w:r w:rsidRPr="00414E84">
        <w:rPr>
          <w:i/>
        </w:rPr>
        <w:t xml:space="preserve">na </w:t>
      </w:r>
      <w:r>
        <w:rPr>
          <w:i/>
        </w:rPr>
        <w:t xml:space="preserve">obszarze </w:t>
      </w:r>
      <w:r w:rsidRPr="00414E84">
        <w:rPr>
          <w:i/>
        </w:rPr>
        <w:t>Ziem</w:t>
      </w:r>
      <w:r>
        <w:rPr>
          <w:i/>
        </w:rPr>
        <w:t xml:space="preserve"> </w:t>
      </w:r>
      <w:r w:rsidRPr="00414E84">
        <w:rPr>
          <w:i/>
        </w:rPr>
        <w:t xml:space="preserve">Odzyskanych i </w:t>
      </w:r>
      <w:r>
        <w:rPr>
          <w:i/>
        </w:rPr>
        <w:t>b.</w:t>
      </w:r>
      <w:r w:rsidRPr="00414E84">
        <w:rPr>
          <w:i/>
        </w:rPr>
        <w:t xml:space="preserve"> Woln</w:t>
      </w:r>
      <w:r>
        <w:rPr>
          <w:i/>
        </w:rPr>
        <w:t>ego</w:t>
      </w:r>
      <w:r w:rsidRPr="00414E84">
        <w:rPr>
          <w:i/>
        </w:rPr>
        <w:t xml:space="preserve"> Mi</w:t>
      </w:r>
      <w:r>
        <w:rPr>
          <w:i/>
        </w:rPr>
        <w:t>asta</w:t>
      </w:r>
      <w:r w:rsidRPr="00414E84">
        <w:rPr>
          <w:i/>
        </w:rPr>
        <w:t xml:space="preserve"> Gdańsk</w:t>
      </w:r>
      <w:r>
        <w:rPr>
          <w:i/>
        </w:rPr>
        <w:t>a</w:t>
      </w:r>
      <w:r w:rsidRPr="00414E84">
        <w:t>).</w:t>
      </w:r>
    </w:p>
    <w:p w:rsidRPr="00414E84" w:rsidR="00C52147" w:rsidP="00C52147" w:rsidRDefault="00C52147">
      <w:pPr>
        <w:pStyle w:val="JuPara"/>
      </w:pPr>
      <w:r w:rsidRPr="00414E84">
        <w:t>The so-called “</w:t>
      </w:r>
      <w:smartTag w:uri="urn:schemas-microsoft-com:office:smarttags" w:element="PlaceName">
        <w:r w:rsidRPr="00414E84">
          <w:t>Regained</w:t>
        </w:r>
      </w:smartTag>
      <w:r w:rsidRPr="00414E84">
        <w:t xml:space="preserve"> </w:t>
      </w:r>
      <w:smartTag w:uri="urn:schemas-microsoft-com:office:smarttags" w:element="PlaceType">
        <w:r w:rsidRPr="00414E84">
          <w:t>Territories</w:t>
        </w:r>
      </w:smartTag>
      <w:r w:rsidRPr="00414E84">
        <w:t>” (</w:t>
      </w:r>
      <w:r w:rsidRPr="00414E84">
        <w:rPr>
          <w:i/>
        </w:rPr>
        <w:t>“Ziemie Odzyskane</w:t>
      </w:r>
      <w:r w:rsidRPr="00414E84">
        <w:t>”) were former German territories east of the Oder-Neisse Line, with which – upon Stalin</w:t>
      </w:r>
      <w:r w:rsidR="003107D6">
        <w:t>’</w:t>
      </w:r>
      <w:r w:rsidRPr="00414E84">
        <w:t xml:space="preserve">s proposal – the victorious Allies compensated the Poles for the “territories beyond the </w:t>
      </w:r>
      <w:smartTag w:uri="urn:schemas-microsoft-com:office:smarttags" w:element="PlaceName">
        <w:r w:rsidRPr="00414E84">
          <w:t>Bug</w:t>
        </w:r>
      </w:smartTag>
      <w:r w:rsidRPr="00414E84">
        <w:t xml:space="preserve"> </w:t>
      </w:r>
      <w:smartTag w:uri="urn:schemas-microsoft-com:office:smarttags" w:element="PlaceType">
        <w:r w:rsidRPr="00414E84">
          <w:t>River</w:t>
        </w:r>
      </w:smartTag>
      <w:r w:rsidRPr="00414E84">
        <w:t xml:space="preserve">” </w:t>
      </w:r>
      <w:r>
        <w:t xml:space="preserve">that had been </w:t>
      </w:r>
      <w:r w:rsidRPr="00414E84">
        <w:t xml:space="preserve">taken away from them by the former </w:t>
      </w:r>
      <w:smartTag w:uri="urn:schemas-microsoft-com:office:smarttags" w:element="place">
        <w:smartTag w:uri="urn:schemas-microsoft-com:office:smarttags" w:element="country-region">
          <w:r w:rsidRPr="00414E84">
            <w:t>USSR</w:t>
          </w:r>
        </w:smartTag>
      </w:smartTag>
      <w:r w:rsidRPr="00414E84">
        <w:t>.</w:t>
      </w:r>
    </w:p>
    <w:p w:rsidRPr="00414E84" w:rsidR="00C52147" w:rsidP="00C52147" w:rsidRDefault="00C52147">
      <w:pPr>
        <w:pStyle w:val="JuPara"/>
      </w:pPr>
      <w:r w:rsidRPr="00414E84">
        <w:t>Under the policy pursued at that time by the authorities, the “</w:t>
      </w:r>
      <w:smartTag w:uri="urn:schemas-microsoft-com:office:smarttags" w:element="PlaceName">
        <w:r w:rsidRPr="00414E84">
          <w:t>Regained</w:t>
        </w:r>
      </w:smartTag>
      <w:r w:rsidRPr="00414E84">
        <w:t xml:space="preserve"> </w:t>
      </w:r>
      <w:smartTag w:uri="urn:schemas-microsoft-com:office:smarttags" w:element="PlaceType">
        <w:r w:rsidRPr="00414E84">
          <w:t>Territories</w:t>
        </w:r>
      </w:smartTag>
      <w:r w:rsidRPr="00414E84">
        <w:t xml:space="preserve">” and </w:t>
      </w:r>
      <w:smartTag w:uri="urn:schemas-microsoft-com:office:smarttags" w:element="City">
        <w:r w:rsidRPr="00414E84">
          <w:t>Gdańsk</w:t>
        </w:r>
      </w:smartTag>
      <w:r w:rsidRPr="00414E84">
        <w:t xml:space="preserve">, after the expulsion of Germans residing there, were intended for the accommodation of Polish citizens “repatriated” from “beyond the </w:t>
      </w:r>
      <w:smartTag w:uri="urn:schemas-microsoft-com:office:smarttags" w:element="place">
        <w:smartTag w:uri="urn:schemas-microsoft-com:office:smarttags" w:element="PlaceName">
          <w:r w:rsidRPr="00414E84">
            <w:t>Bug</w:t>
          </w:r>
        </w:smartTag>
        <w:r w:rsidRPr="00414E84">
          <w:t xml:space="preserve"> </w:t>
        </w:r>
        <w:smartTag w:uri="urn:schemas-microsoft-com:office:smarttags" w:element="PlaceType">
          <w:r w:rsidRPr="00414E84">
            <w:t>River</w:t>
          </w:r>
        </w:smartTag>
      </w:smartTag>
      <w:r w:rsidRPr="00414E84">
        <w:t xml:space="preserve">”, </w:t>
      </w:r>
      <w:r>
        <w:t>that is,</w:t>
      </w:r>
      <w:r w:rsidRPr="00414E84">
        <w:t xml:space="preserve"> from the territories beyond the Curzon line. The repatriated persons had priority in purchasing land.</w:t>
      </w:r>
    </w:p>
    <w:p w:rsidR="00C52147" w:rsidP="00C52147" w:rsidRDefault="00C52147">
      <w:pPr>
        <w:pStyle w:val="JuPara"/>
      </w:pPr>
      <w:r w:rsidRPr="00414E84">
        <w:t>Further decrees and statutes were enforced between 1952 and 1991.</w:t>
      </w:r>
    </w:p>
    <w:p w:rsidRPr="00414E84" w:rsidR="00C52147" w:rsidP="00C52147" w:rsidRDefault="00C52147">
      <w:pPr>
        <w:pStyle w:val="JuPara"/>
      </w:pPr>
      <w:r w:rsidRPr="00414E84">
        <w:t>In the 1990s, however, the authorities started to consider the possibility of enacting a single statute dealing with all forms of restitution of property, including claims for compensation for property abandoned by repatriated persons (</w:t>
      </w:r>
      <w:r w:rsidRPr="00AB5000">
        <w:rPr>
          <w:i/>
          <w:lang w:eastAsia="en-US"/>
        </w:rPr>
        <w:t xml:space="preserve">Broniowski v. </w:t>
      </w:r>
      <w:smartTag w:uri="urn:schemas-microsoft-com:office:smarttags" w:element="country-region">
        <w:r w:rsidRPr="00AB5000">
          <w:rPr>
            <w:i/>
            <w:lang w:eastAsia="en-US"/>
          </w:rPr>
          <w:t>Poland</w:t>
        </w:r>
      </w:smartTag>
      <w:r w:rsidRPr="00AB5000">
        <w:rPr>
          <w:i/>
          <w:lang w:eastAsia="en-US"/>
        </w:rPr>
        <w:t xml:space="preserve"> </w:t>
      </w:r>
      <w:r w:rsidRPr="00AB5000">
        <w:rPr>
          <w:lang w:eastAsia="en-US"/>
        </w:rPr>
        <w:t>[GC], no. 31443/96, §</w:t>
      </w:r>
      <w:r>
        <w:rPr>
          <w:lang w:eastAsia="en-US"/>
        </w:rPr>
        <w:t>§</w:t>
      </w:r>
      <w:r w:rsidRPr="00AB5000">
        <w:rPr>
          <w:lang w:eastAsia="en-US"/>
        </w:rPr>
        <w:t> </w:t>
      </w:r>
      <w:r>
        <w:t>62-65</w:t>
      </w:r>
      <w:r w:rsidRPr="00AB5000">
        <w:rPr>
          <w:lang w:eastAsia="en-US"/>
        </w:rPr>
        <w:t>, ECHR</w:t>
      </w:r>
      <w:r w:rsidR="005616D7">
        <w:rPr>
          <w:lang w:eastAsia="en-US"/>
        </w:rPr>
        <w:t> </w:t>
      </w:r>
      <w:r w:rsidRPr="00AB5000">
        <w:rPr>
          <w:lang w:eastAsia="en-US"/>
        </w:rPr>
        <w:t>2004</w:t>
      </w:r>
      <w:r w:rsidRPr="00AB5000">
        <w:rPr>
          <w:lang w:eastAsia="en-US"/>
        </w:rPr>
        <w:noBreakHyphen/>
        <w:t>V</w:t>
      </w:r>
      <w:r w:rsidRPr="00414E84">
        <w:t>).</w:t>
      </w:r>
    </w:p>
    <w:p w:rsidRPr="00414E84" w:rsidR="00C52147" w:rsidP="00C52147" w:rsidRDefault="00C52147">
      <w:pPr>
        <w:pStyle w:val="JuPara"/>
        <w:rPr>
          <w:lang w:eastAsia="en-US"/>
        </w:rPr>
      </w:pPr>
      <w:r w:rsidRPr="00414E84">
        <w:t xml:space="preserve">Ultimately, a statute exclusively relating to the </w:t>
      </w:r>
      <w:smartTag w:uri="urn:schemas-microsoft-com:office:smarttags" w:element="place">
        <w:smartTag w:uri="urn:schemas-microsoft-com:office:smarttags" w:element="PlaceName">
          <w:r w:rsidRPr="00414E84">
            <w:t>Bug</w:t>
          </w:r>
        </w:smartTag>
        <w:r w:rsidRPr="00414E84">
          <w:t xml:space="preserve"> </w:t>
        </w:r>
        <w:smartTag w:uri="urn:schemas-microsoft-com:office:smarttags" w:element="PlaceType">
          <w:r w:rsidRPr="00414E84">
            <w:t>River</w:t>
          </w:r>
        </w:smartTag>
      </w:smartTag>
      <w:r w:rsidRPr="00414E84">
        <w:t xml:space="preserve"> claims (the December 2003 Act) </w:t>
      </w:r>
      <w:r>
        <w:t>came into force</w:t>
      </w:r>
      <w:r w:rsidRPr="00414E84">
        <w:t xml:space="preserve"> on 30 January 2004 (</w:t>
      </w:r>
      <w:r w:rsidRPr="00AB5000">
        <w:rPr>
          <w:i/>
          <w:lang w:eastAsia="en-US"/>
        </w:rPr>
        <w:t>Broniow</w:t>
      </w:r>
      <w:r w:rsidR="005616D7">
        <w:rPr>
          <w:i/>
          <w:lang w:eastAsia="en-US"/>
        </w:rPr>
        <w:t>ski v. </w:t>
      </w:r>
      <w:r>
        <w:rPr>
          <w:i/>
          <w:lang w:eastAsia="en-US"/>
        </w:rPr>
        <w:t xml:space="preserve">Poland, </w:t>
      </w:r>
      <w:r w:rsidRPr="00AB5000">
        <w:rPr>
          <w:lang w:eastAsia="en-US"/>
        </w:rPr>
        <w:t>cited above, §</w:t>
      </w:r>
      <w:r>
        <w:rPr>
          <w:lang w:eastAsia="en-US"/>
        </w:rPr>
        <w:t>§</w:t>
      </w:r>
      <w:r w:rsidRPr="00AB5000">
        <w:rPr>
          <w:lang w:eastAsia="en-US"/>
        </w:rPr>
        <w:t> </w:t>
      </w:r>
      <w:r>
        <w:rPr>
          <w:lang w:eastAsia="en-US"/>
        </w:rPr>
        <w:t>114-19</w:t>
      </w:r>
      <w:r w:rsidRPr="00414E84">
        <w:t>).</w:t>
      </w:r>
    </w:p>
    <w:p w:rsidR="00C52147" w:rsidP="00C52147" w:rsidRDefault="00C52147">
      <w:pPr>
        <w:pStyle w:val="JuH1"/>
      </w:pPr>
      <w:r>
        <w:t>3.  Ukrainian legislation concerning the resettled persons</w:t>
      </w:r>
    </w:p>
    <w:p w:rsidR="00C52147" w:rsidP="00C52147" w:rsidRDefault="00C52147">
      <w:pPr>
        <w:pStyle w:val="JuPara"/>
      </w:pPr>
      <w:r>
        <w:t xml:space="preserve">In </w:t>
      </w:r>
      <w:smartTag w:uri="urn:schemas-microsoft-com:office:smarttags" w:element="country-region">
        <w:r>
          <w:t>Ukraine</w:t>
        </w:r>
      </w:smartTag>
      <w:r>
        <w:t xml:space="preserve"> no specific legislation has been adopted or commitment made to compensate former Polish residents who were resettled in </w:t>
      </w:r>
      <w:smartTag w:uri="urn:schemas-microsoft-com:office:smarttags" w:element="place">
        <w:smartTag w:uri="urn:schemas-microsoft-com:office:smarttags" w:element="country-region">
          <w:r>
            <w:t>Ukraine</w:t>
          </w:r>
        </w:smartTag>
      </w:smartTag>
      <w:r>
        <w:t xml:space="preserve"> under the Agreement of 9 September 1944. However, in recent years other legislative measures have been introduced.</w:t>
      </w:r>
    </w:p>
    <w:p w:rsidR="00C52147" w:rsidP="00165EFD" w:rsidRDefault="00C52147">
      <w:pPr>
        <w:pStyle w:val="JuHa0"/>
        <w:tabs>
          <w:tab w:val="clear" w:pos="975"/>
          <w:tab w:val="left" w:pos="900"/>
        </w:tabs>
        <w:ind w:left="900" w:hanging="265"/>
      </w:pPr>
      <w:r>
        <w:t>a.  Act “on the Status of War Veterans and their Social Welfare Benefits”, 1993</w:t>
      </w:r>
    </w:p>
    <w:p w:rsidRPr="006C2405" w:rsidR="00C52147" w:rsidP="00165EFD" w:rsidRDefault="00C52147">
      <w:pPr>
        <w:pStyle w:val="JuPara"/>
        <w:keepNext/>
        <w:keepLines/>
      </w:pPr>
      <w:r w:rsidRPr="001F4291">
        <w:t xml:space="preserve">In July 1995 the Cabinet of Ministers of Ukraine submitted to the Parliament a War Veterans (Amendment) Bill. </w:t>
      </w:r>
      <w:r>
        <w:t>The bill</w:t>
      </w:r>
      <w:r w:rsidRPr="001F4291">
        <w:t xml:space="preserve"> mentioned for the first time people resettled </w:t>
      </w:r>
      <w:r>
        <w:t>in</w:t>
      </w:r>
      <w:r w:rsidRPr="001F4291">
        <w:t xml:space="preserve"> </w:t>
      </w:r>
      <w:smartTag w:uri="urn:schemas-microsoft-com:office:smarttags" w:element="place">
        <w:smartTag w:uri="urn:schemas-microsoft-com:office:smarttags" w:element="country-region">
          <w:r w:rsidRPr="001F4291">
            <w:t>Ukraine</w:t>
          </w:r>
        </w:smartTag>
      </w:smartTag>
      <w:r w:rsidRPr="001F4291">
        <w:t xml:space="preserve">. The Verkhovna Rada (Parliament) passed the bill with some amendments. In particular, they introduced a requirement of </w:t>
      </w:r>
      <w:r>
        <w:t>proof</w:t>
      </w:r>
      <w:r w:rsidRPr="001F4291">
        <w:t xml:space="preserve"> of work during the war</w:t>
      </w:r>
      <w:r>
        <w:t>,</w:t>
      </w:r>
      <w:r w:rsidRPr="001F4291">
        <w:t xml:space="preserve"> depending on the age of </w:t>
      </w:r>
      <w:r>
        <w:t xml:space="preserve">the </w:t>
      </w:r>
      <w:r w:rsidRPr="001F4291">
        <w:t xml:space="preserve">person concerned. In its final version of 22 December 1995, </w:t>
      </w:r>
      <w:r>
        <w:t xml:space="preserve">as </w:t>
      </w:r>
      <w:r w:rsidRPr="001F4291">
        <w:t>enacted by the Parliament, the relevant parts of section 9 of the War Veterans (Amendment) Act read as follows:</w:t>
      </w:r>
    </w:p>
    <w:p w:rsidRPr="006C2405" w:rsidR="00C52147" w:rsidP="00C52147" w:rsidRDefault="00C52147">
      <w:pPr>
        <w:pStyle w:val="JuQuot"/>
        <w:jc w:val="center"/>
        <w:outlineLvl w:val="0"/>
        <w:rPr>
          <w:b/>
        </w:rPr>
      </w:pPr>
      <w:r>
        <w:rPr>
          <w:b/>
        </w:rPr>
        <w:t>Section</w:t>
      </w:r>
      <w:r w:rsidRPr="006C2405">
        <w:rPr>
          <w:b/>
        </w:rPr>
        <w:t xml:space="preserve"> 9. Persons to be considered war participants</w:t>
      </w:r>
    </w:p>
    <w:p w:rsidRPr="006C2405" w:rsidR="00C52147" w:rsidP="00C52147" w:rsidRDefault="00C52147">
      <w:pPr>
        <w:pStyle w:val="JuQuot"/>
      </w:pPr>
      <w:r w:rsidRPr="006C2405">
        <w:t>“The following persons shall be considered war participants:</w:t>
      </w:r>
    </w:p>
    <w:p w:rsidR="00C52147" w:rsidP="00C52147" w:rsidRDefault="00C52147">
      <w:pPr>
        <w:pStyle w:val="JuQuot"/>
      </w:pPr>
      <w:r>
        <w:t>...</w:t>
      </w:r>
    </w:p>
    <w:p w:rsidRPr="006C2405" w:rsidR="00C52147" w:rsidP="00C52147" w:rsidRDefault="00C52147">
      <w:pPr>
        <w:pStyle w:val="JuQuot"/>
      </w:pPr>
      <w:r w:rsidRPr="006C2405">
        <w:t>2)</w:t>
      </w:r>
      <w:r>
        <w:t xml:space="preserve"> ... P</w:t>
      </w:r>
      <w:r w:rsidRPr="006C2405">
        <w:t>ersons who worked during the Great Patriotic War</w:t>
      </w:r>
      <w:r w:rsidRPr="006C2405">
        <w:rPr>
          <w:rStyle w:val="FootnoteReference"/>
        </w:rPr>
        <w:footnoteReference w:id="1"/>
      </w:r>
      <w:r>
        <w:t xml:space="preserve"> in territories which after 1944 were integrated into the former Union of Soviet Socialist Republics, and persons </w:t>
      </w:r>
      <w:r w:rsidRPr="006C2405">
        <w:t xml:space="preserve">who were resettled after 1945 </w:t>
      </w:r>
      <w:r>
        <w:t>on</w:t>
      </w:r>
      <w:r w:rsidRPr="006C2405">
        <w:t xml:space="preserve"> the territory of Ukraine from the territory of other </w:t>
      </w:r>
      <w:r>
        <w:t>S</w:t>
      </w:r>
      <w:r w:rsidRPr="006C2405">
        <w:t>tates</w:t>
      </w:r>
      <w:r>
        <w:t>, as well as citizens who were assigned by State bodies of the former USSR to work in countries allied to the USSR,</w:t>
      </w:r>
      <w:r w:rsidRPr="006C2405">
        <w:t xml:space="preserve"> shall also</w:t>
      </w:r>
      <w:r>
        <w:t xml:space="preserve"> be considered war participants.</w:t>
      </w:r>
    </w:p>
    <w:p w:rsidR="00C52147" w:rsidP="00C52147" w:rsidRDefault="00C52147">
      <w:pPr>
        <w:pStyle w:val="JuQuot"/>
      </w:pPr>
      <w:r>
        <w:t>For persons who were born on or prior to 31 December 1932 and have valid reasons for failing to submit documentary evidence of their work during the war, the status of war participant may be established by a motion by a special committee under the procedure established by the Cabinet of Ministers of Ukraine.</w:t>
      </w:r>
    </w:p>
    <w:p w:rsidRPr="006C2405" w:rsidR="00C52147" w:rsidP="00C52147" w:rsidRDefault="00C52147">
      <w:pPr>
        <w:pStyle w:val="JuQuot"/>
      </w:pPr>
      <w:r w:rsidRPr="006C2405">
        <w:t xml:space="preserve">For persons born after 31 December 1932, the status of war participant </w:t>
      </w:r>
      <w:r>
        <w:t>may</w:t>
      </w:r>
      <w:r w:rsidRPr="006C2405">
        <w:t xml:space="preserve"> be established only </w:t>
      </w:r>
      <w:r>
        <w:t>by the production</w:t>
      </w:r>
      <w:r w:rsidRPr="006C2405">
        <w:t xml:space="preserve"> of documents and other evidence that unequivocally prove </w:t>
      </w:r>
      <w:r>
        <w:t>that they</w:t>
      </w:r>
      <w:r w:rsidRPr="006C2405">
        <w:t xml:space="preserve"> work</w:t>
      </w:r>
      <w:r>
        <w:t>ed</w:t>
      </w:r>
      <w:r w:rsidRPr="006C2405">
        <w:t xml:space="preserve"> during the war</w:t>
      </w:r>
      <w:r>
        <w:t>...</w:t>
      </w:r>
      <w:r w:rsidRPr="006C2405">
        <w:t>”</w:t>
      </w:r>
    </w:p>
    <w:p w:rsidR="00C52147" w:rsidP="00C52147" w:rsidRDefault="00C52147">
      <w:pPr>
        <w:pStyle w:val="JuPara"/>
      </w:pPr>
      <w:r>
        <w:t>B</w:t>
      </w:r>
      <w:r w:rsidRPr="006C2405">
        <w:t xml:space="preserve">y the Amendment </w:t>
      </w:r>
      <w:r>
        <w:t>Act</w:t>
      </w:r>
      <w:r w:rsidRPr="006C2405">
        <w:t xml:space="preserve"> of 2 October 2003, </w:t>
      </w:r>
      <w:r>
        <w:t>section 9 was changed and the categories of resettled persons, including persons</w:t>
      </w:r>
      <w:r w:rsidRPr="006C2405">
        <w:t xml:space="preserve"> resettled prior to </w:t>
      </w:r>
      <w:r>
        <w:t xml:space="preserve">and in </w:t>
      </w:r>
      <w:r w:rsidRPr="006C2405">
        <w:t>1945</w:t>
      </w:r>
      <w:r>
        <w:t xml:space="preserve">, </w:t>
      </w:r>
      <w:r w:rsidRPr="006C2405">
        <w:t xml:space="preserve">were listed separately in a new paragraph </w:t>
      </w:r>
      <w:r>
        <w:t>of the Article with no other conditions attached</w:t>
      </w:r>
      <w:r w:rsidRPr="006C2405">
        <w:t>. This provision read</w:t>
      </w:r>
      <w:r>
        <w:t>s</w:t>
      </w:r>
      <w:r w:rsidRPr="006C2405">
        <w:t xml:space="preserve"> as follows:</w:t>
      </w:r>
    </w:p>
    <w:p w:rsidR="00C52147" w:rsidP="00C52147" w:rsidRDefault="00C52147">
      <w:pPr>
        <w:pStyle w:val="JuQuot"/>
      </w:pPr>
      <w:r w:rsidRPr="006C2405">
        <w:t>“</w:t>
      </w:r>
      <w:r>
        <w:t>...</w:t>
      </w:r>
      <w:r w:rsidRPr="006C2405">
        <w:t xml:space="preserve">11) persons resettled after 9 September 1944 </w:t>
      </w:r>
      <w:r>
        <w:t>on</w:t>
      </w:r>
      <w:r w:rsidRPr="006C2405">
        <w:t xml:space="preserve"> the </w:t>
      </w:r>
      <w:smartTag w:uri="urn:schemas-microsoft-com:office:smarttags" w:element="place">
        <w:smartTag w:uri="urn:schemas-microsoft-com:office:smarttags" w:element="PlaceType">
          <w:r w:rsidRPr="006C2405">
            <w:t>territory</w:t>
          </w:r>
        </w:smartTag>
        <w:r w:rsidRPr="006C2405">
          <w:t xml:space="preserve"> of </w:t>
        </w:r>
        <w:smartTag w:uri="urn:schemas-microsoft-com:office:smarttags" w:element="PlaceName">
          <w:r w:rsidRPr="006C2405">
            <w:t>Ukraine</w:t>
          </w:r>
        </w:smartTag>
      </w:smartTag>
      <w:r w:rsidRPr="006C2405">
        <w:t xml:space="preserve"> from the territory of other </w:t>
      </w:r>
      <w:r>
        <w:t>S</w:t>
      </w:r>
      <w:r w:rsidRPr="006C2405">
        <w:t>tates.”</w:t>
      </w:r>
    </w:p>
    <w:p w:rsidR="00C52147" w:rsidP="00165EFD" w:rsidRDefault="00C52147">
      <w:pPr>
        <w:pStyle w:val="JuHa0"/>
        <w:tabs>
          <w:tab w:val="clear" w:pos="975"/>
          <w:tab w:val="left" w:pos="900"/>
        </w:tabs>
        <w:ind w:left="900" w:hanging="265"/>
      </w:pPr>
      <w:r>
        <w:t>b.  Presidential decree of 5 April 2007 “on actions to [celebrate] the 60</w:t>
      </w:r>
      <w:r w:rsidRPr="00943200">
        <w:t>th</w:t>
      </w:r>
      <w:r>
        <w:t xml:space="preserve"> anniversary of the </w:t>
      </w:r>
      <w:r w:rsidR="003107D6">
        <w:t>‘</w:t>
      </w:r>
      <w:r>
        <w:t>Visla</w:t>
      </w:r>
      <w:r w:rsidR="003107D6">
        <w:t>’</w:t>
      </w:r>
      <w:r>
        <w:t xml:space="preserve"> operation”</w:t>
      </w:r>
    </w:p>
    <w:p w:rsidR="00C52147" w:rsidP="00165EFD" w:rsidRDefault="00C52147">
      <w:pPr>
        <w:pStyle w:val="JuPara"/>
        <w:keepNext/>
        <w:keepLines/>
      </w:pPr>
      <w:r>
        <w:t>The decree provides for a number of events to commemorate the forced resettlement but is silent on the question of compensation for pecuniary and non-pecuniary damage for those who were resettled.</w:t>
      </w:r>
    </w:p>
    <w:p w:rsidRPr="006D4255" w:rsidR="00C52147" w:rsidP="00165EFD" w:rsidRDefault="00C52147">
      <w:pPr>
        <w:pStyle w:val="JuHa0"/>
        <w:tabs>
          <w:tab w:val="clear" w:pos="975"/>
          <w:tab w:val="left" w:pos="900"/>
        </w:tabs>
        <w:ind w:left="900" w:hanging="265"/>
      </w:pPr>
      <w:r>
        <w:t xml:space="preserve">c.  Parliamentary </w:t>
      </w:r>
      <w:r w:rsidRPr="006D4255">
        <w:t>Bill</w:t>
      </w:r>
      <w:r w:rsidRPr="006D4255">
        <w:rPr>
          <w:rStyle w:val="JuHaChar0"/>
        </w:rPr>
        <w:t xml:space="preserve"> “</w:t>
      </w:r>
      <w:r>
        <w:rPr>
          <w:rStyle w:val="JuHaChar0"/>
        </w:rPr>
        <w:t>o</w:t>
      </w:r>
      <w:r w:rsidRPr="006D4255">
        <w:rPr>
          <w:rStyle w:val="JuHaChar0"/>
        </w:rPr>
        <w:t xml:space="preserve">n determining the status of Ukrainians from the </w:t>
      </w:r>
      <w:smartTag w:uri="urn:schemas-microsoft-com:office:smarttags" w:element="PlaceType">
        <w:r w:rsidRPr="006D4255">
          <w:rPr>
            <w:rStyle w:val="JuHaChar0"/>
          </w:rPr>
          <w:t>territory</w:t>
        </w:r>
      </w:smartTag>
      <w:r w:rsidRPr="006D4255">
        <w:rPr>
          <w:rStyle w:val="JuHaChar0"/>
        </w:rPr>
        <w:t xml:space="preserve"> of </w:t>
      </w:r>
      <w:smartTag w:uri="urn:schemas-microsoft-com:office:smarttags" w:element="PlaceName">
        <w:r w:rsidRPr="006D4255">
          <w:rPr>
            <w:rStyle w:val="JuHaChar0"/>
          </w:rPr>
          <w:t>Poland</w:t>
        </w:r>
      </w:smartTag>
      <w:r>
        <w:rPr>
          <w:rStyle w:val="JuHaChar0"/>
        </w:rPr>
        <w:t xml:space="preserve"> </w:t>
      </w:r>
      <w:r w:rsidRPr="006D4255">
        <w:rPr>
          <w:rStyle w:val="JuHaChar0"/>
        </w:rPr>
        <w:t>forc</w:t>
      </w:r>
      <w:r>
        <w:rPr>
          <w:rStyle w:val="JuHaChar0"/>
        </w:rPr>
        <w:t>ib</w:t>
      </w:r>
      <w:r w:rsidRPr="006D4255">
        <w:rPr>
          <w:rStyle w:val="JuHaChar0"/>
        </w:rPr>
        <w:t xml:space="preserve">ly resettled to </w:t>
      </w:r>
      <w:smartTag w:uri="urn:schemas-microsoft-com:office:smarttags" w:element="place">
        <w:smartTag w:uri="urn:schemas-microsoft-com:office:smarttags" w:element="country-region">
          <w:r w:rsidRPr="006D4255">
            <w:rPr>
              <w:rStyle w:val="JuHaChar0"/>
            </w:rPr>
            <w:t>Ukraine</w:t>
          </w:r>
        </w:smartTag>
      </w:smartTag>
      <w:r w:rsidRPr="00943200">
        <w:rPr>
          <w:rStyle w:val="JuHaChar0"/>
        </w:rPr>
        <w:t xml:space="preserve"> </w:t>
      </w:r>
      <w:r w:rsidRPr="006D4255">
        <w:rPr>
          <w:rStyle w:val="JuHaChar0"/>
        </w:rPr>
        <w:t>in 1944-1946”</w:t>
      </w:r>
    </w:p>
    <w:p w:rsidRPr="00DA6CD4" w:rsidR="00C52147" w:rsidP="00C52147" w:rsidRDefault="00C52147">
      <w:pPr>
        <w:pStyle w:val="JuPara"/>
      </w:pPr>
      <w:r>
        <w:t xml:space="preserve">This bill was submitted to the Parliament in November 2003 but has not been adopted. Article 3 of the bill proposed compensating the resettled persons for pecuniary and non-pecuniary damage by granting them war-participant status and facilitating their travel to </w:t>
      </w:r>
      <w:smartTag w:uri="urn:schemas-microsoft-com:office:smarttags" w:element="place">
        <w:smartTag w:uri="urn:schemas-microsoft-com:office:smarttags" w:element="country-region">
          <w:r>
            <w:t>Poland</w:t>
          </w:r>
        </w:smartTag>
      </w:smartTag>
      <w:r>
        <w:t xml:space="preserve"> to visit the lands where they had previously resided. The bill further stated that provision could be made in the domestic legislation for other benefits and forms of compensation to be furnished to resettled persons.</w:t>
      </w:r>
    </w:p>
    <w:p w:rsidRPr="003B4B48" w:rsidR="00C52147" w:rsidP="00C52147" w:rsidRDefault="00C52147">
      <w:pPr>
        <w:pStyle w:val="JuH1"/>
      </w:pPr>
      <w:r>
        <w:t xml:space="preserve">4.  Ukrainian legislation concerning the international treaties of </w:t>
      </w:r>
      <w:smartTag w:uri="urn:schemas-microsoft-com:office:smarttags" w:element="place">
        <w:smartTag w:uri="urn:schemas-microsoft-com:office:smarttags" w:element="country-region">
          <w:r>
            <w:t>Ukraine</w:t>
          </w:r>
        </w:smartTag>
      </w:smartTag>
    </w:p>
    <w:p w:rsidR="00C52147" w:rsidP="00C52147" w:rsidRDefault="00C52147">
      <w:pPr>
        <w:pStyle w:val="JuHa0"/>
      </w:pPr>
      <w:r>
        <w:t>a.</w:t>
      </w:r>
      <w:r w:rsidRPr="000E736E">
        <w:t>  </w:t>
      </w:r>
      <w:r>
        <w:t xml:space="preserve">Constitution of </w:t>
      </w:r>
      <w:smartTag w:uri="urn:schemas-microsoft-com:office:smarttags" w:element="place">
        <w:smartTag w:uri="urn:schemas-microsoft-com:office:smarttags" w:element="country-region">
          <w:r>
            <w:t>Ukraine</w:t>
          </w:r>
        </w:smartTag>
      </w:smartTag>
      <w:r>
        <w:t>, 1996</w:t>
      </w:r>
    </w:p>
    <w:p w:rsidRPr="002432F0" w:rsidR="00C52147" w:rsidP="00C52147" w:rsidRDefault="00C52147">
      <w:pPr>
        <w:pStyle w:val="JuHArticle"/>
        <w:rPr>
          <w:szCs w:val="24"/>
        </w:rPr>
      </w:pPr>
      <w:r w:rsidRPr="002432F0">
        <w:t>Article 9</w:t>
      </w:r>
    </w:p>
    <w:p w:rsidRPr="002432F0" w:rsidR="00C52147" w:rsidP="00C52147" w:rsidRDefault="00C52147">
      <w:pPr>
        <w:pStyle w:val="JuQuot"/>
        <w:rPr>
          <w:szCs w:val="24"/>
        </w:rPr>
      </w:pPr>
      <w:r w:rsidRPr="002432F0">
        <w:rPr>
          <w:szCs w:val="24"/>
        </w:rPr>
        <w:t>“International treaties that are in force</w:t>
      </w:r>
      <w:r>
        <w:rPr>
          <w:szCs w:val="24"/>
        </w:rPr>
        <w:t xml:space="preserve"> and have been</w:t>
      </w:r>
      <w:r w:rsidRPr="002432F0">
        <w:rPr>
          <w:szCs w:val="24"/>
        </w:rPr>
        <w:t xml:space="preserve"> agreed to be binding by the Verkhovna Rada of </w:t>
      </w:r>
      <w:smartTag w:uri="urn:schemas-microsoft-com:office:smarttags" w:element="country-region">
        <w:r w:rsidRPr="002432F0">
          <w:rPr>
            <w:szCs w:val="24"/>
          </w:rPr>
          <w:t>Ukraine</w:t>
        </w:r>
      </w:smartTag>
      <w:r w:rsidRPr="002432F0">
        <w:rPr>
          <w:szCs w:val="24"/>
        </w:rPr>
        <w:t xml:space="preserve"> are part of the national legislation of </w:t>
      </w:r>
      <w:smartTag w:uri="urn:schemas-microsoft-com:office:smarttags" w:element="place">
        <w:smartTag w:uri="urn:schemas-microsoft-com:office:smarttags" w:element="country-region">
          <w:r w:rsidRPr="002432F0">
            <w:rPr>
              <w:szCs w:val="24"/>
            </w:rPr>
            <w:t>Ukraine</w:t>
          </w:r>
        </w:smartTag>
      </w:smartTag>
      <w:r w:rsidRPr="002432F0">
        <w:rPr>
          <w:szCs w:val="24"/>
        </w:rPr>
        <w:t>.”</w:t>
      </w:r>
    </w:p>
    <w:p w:rsidR="00C52147" w:rsidP="00C52147" w:rsidRDefault="00C52147">
      <w:pPr>
        <w:pStyle w:val="JuHa0"/>
      </w:pPr>
      <w:r>
        <w:t xml:space="preserve">b.  Validity of International Treaties on the </w:t>
      </w:r>
      <w:smartTag w:uri="urn:schemas-microsoft-com:office:smarttags" w:element="place">
        <w:smartTag w:uri="urn:schemas-microsoft-com:office:smarttags" w:element="PlaceType">
          <w:r>
            <w:t>Territory</w:t>
          </w:r>
        </w:smartTag>
        <w:r>
          <w:t xml:space="preserve"> of </w:t>
        </w:r>
        <w:smartTag w:uri="urn:schemas-microsoft-com:office:smarttags" w:element="PlaceName">
          <w:r>
            <w:t>Ukraine Act</w:t>
          </w:r>
        </w:smartTag>
      </w:smartTag>
      <w:r>
        <w:t xml:space="preserve"> 1991 (repealed by the International Treaties Act of 29 June 2004)</w:t>
      </w:r>
    </w:p>
    <w:p w:rsidR="00C52147" w:rsidP="00C52147" w:rsidRDefault="00C52147">
      <w:pPr>
        <w:pStyle w:val="JuQuot"/>
      </w:pPr>
      <w:r>
        <w:t xml:space="preserve">“... international treaties concluded and duly ratified by </w:t>
      </w:r>
      <w:smartTag w:uri="urn:schemas-microsoft-com:office:smarttags" w:element="country-region">
        <w:r>
          <w:t>Ukraine</w:t>
        </w:r>
      </w:smartTag>
      <w:r>
        <w:t xml:space="preserve"> shall constitute an inalienable part of the national legislation of </w:t>
      </w:r>
      <w:smartTag w:uri="urn:schemas-microsoft-com:office:smarttags" w:element="place">
        <w:smartTag w:uri="urn:schemas-microsoft-com:office:smarttags" w:element="country-region">
          <w:r>
            <w:t>Ukraine</w:t>
          </w:r>
        </w:smartTag>
      </w:smartTag>
      <w:r>
        <w:t xml:space="preserve"> and shall be applied according to the rank prescribed for norms of national legislation.”</w:t>
      </w:r>
    </w:p>
    <w:p w:rsidR="00C52147" w:rsidP="00C52147" w:rsidRDefault="00C52147">
      <w:pPr>
        <w:pStyle w:val="JuHa0"/>
      </w:pPr>
      <w:r>
        <w:t>c.  International Treaties Act, 2004</w:t>
      </w:r>
    </w:p>
    <w:p w:rsidR="00C52147" w:rsidP="00C52147" w:rsidRDefault="00C52147">
      <w:pPr>
        <w:pStyle w:val="JuQuot"/>
      </w:pPr>
      <w:r>
        <w:t xml:space="preserve">Article 19 Validity of International Treaties of </w:t>
      </w:r>
      <w:smartTag w:uri="urn:schemas-microsoft-com:office:smarttags" w:element="country-region">
        <w:r>
          <w:t>Ukraine</w:t>
        </w:r>
      </w:smartTag>
      <w:r>
        <w:t xml:space="preserve"> on the </w:t>
      </w:r>
      <w:smartTag w:uri="urn:schemas-microsoft-com:office:smarttags" w:element="place">
        <w:smartTag w:uri="urn:schemas-microsoft-com:office:smarttags" w:element="PlaceType">
          <w:r>
            <w:t>Territory</w:t>
          </w:r>
        </w:smartTag>
        <w:r>
          <w:t xml:space="preserve"> of </w:t>
        </w:r>
        <w:smartTag w:uri="urn:schemas-microsoft-com:office:smarttags" w:element="PlaceName">
          <w:r>
            <w:t>Ukraine</w:t>
          </w:r>
        </w:smartTag>
      </w:smartTag>
    </w:p>
    <w:p w:rsidR="00C52147" w:rsidP="00C52147" w:rsidRDefault="00C52147">
      <w:pPr>
        <w:pStyle w:val="JuQuot"/>
      </w:pPr>
      <w:r>
        <w:t xml:space="preserve">“1. </w:t>
      </w:r>
      <w:r w:rsidRPr="002432F0">
        <w:rPr>
          <w:szCs w:val="24"/>
        </w:rPr>
        <w:t>International treaties that are in force</w:t>
      </w:r>
      <w:r>
        <w:rPr>
          <w:szCs w:val="24"/>
        </w:rPr>
        <w:t xml:space="preserve"> and</w:t>
      </w:r>
      <w:r w:rsidRPr="002432F0">
        <w:rPr>
          <w:szCs w:val="24"/>
        </w:rPr>
        <w:t xml:space="preserve"> agreed to be binding by the Verkhovna Rada of </w:t>
      </w:r>
      <w:smartTag w:uri="urn:schemas-microsoft-com:office:smarttags" w:element="country-region">
        <w:r w:rsidRPr="002432F0">
          <w:rPr>
            <w:szCs w:val="24"/>
          </w:rPr>
          <w:t>Ukraine</w:t>
        </w:r>
      </w:smartTag>
      <w:r w:rsidRPr="002432F0">
        <w:rPr>
          <w:szCs w:val="24"/>
        </w:rPr>
        <w:t xml:space="preserve">, are part of the national legislation of </w:t>
      </w:r>
      <w:smartTag w:uri="urn:schemas-microsoft-com:office:smarttags" w:element="place">
        <w:smartTag w:uri="urn:schemas-microsoft-com:office:smarttags" w:element="country-region">
          <w:r w:rsidRPr="002432F0">
            <w:rPr>
              <w:szCs w:val="24"/>
            </w:rPr>
            <w:t>Ukraine</w:t>
          </w:r>
        </w:smartTag>
      </w:smartTag>
      <w:r>
        <w:t xml:space="preserve"> and are applied in the order foreseen for the norms of the national legislation...”</w:t>
      </w:r>
    </w:p>
    <w:p w:rsidRPr="00A760E0" w:rsidR="00C52147" w:rsidP="00C52147" w:rsidRDefault="00C52147">
      <w:pPr>
        <w:pStyle w:val="JuHHead"/>
      </w:pPr>
      <w:r w:rsidRPr="00A760E0">
        <w:t>COMPLAINTS</w:t>
      </w:r>
    </w:p>
    <w:p w:rsidRPr="00A760E0" w:rsidR="00C52147" w:rsidP="00C52147" w:rsidRDefault="00C52147">
      <w:pPr>
        <w:pStyle w:val="JuPara"/>
      </w:pPr>
      <w:r w:rsidRPr="00A760E0">
        <w:t xml:space="preserve">The applicant </w:t>
      </w:r>
      <w:r>
        <w:t>complained of</w:t>
      </w:r>
      <w:r w:rsidRPr="00A760E0">
        <w:t xml:space="preserve"> </w:t>
      </w:r>
      <w:r>
        <w:t xml:space="preserve">his forced resettlement and the deprivation of the property he had left in </w:t>
      </w:r>
      <w:smartTag w:uri="urn:schemas-microsoft-com:office:smarttags" w:element="place">
        <w:smartTag w:uri="urn:schemas-microsoft-com:office:smarttags" w:element="country-region">
          <w:r>
            <w:t>Poland</w:t>
          </w:r>
        </w:smartTag>
      </w:smartTag>
      <w:r>
        <w:t xml:space="preserve"> in 1945 and of his inability to obtain compensation for that property. These complaints in substance referred to Article 1 of Protocol No. 1 and Article 2 of Protocol No. 4 to the Convention.</w:t>
      </w:r>
    </w:p>
    <w:p w:rsidRPr="00A760E0" w:rsidR="00C52147" w:rsidP="00C52147" w:rsidRDefault="00C52147">
      <w:pPr>
        <w:pStyle w:val="JuHHead"/>
      </w:pPr>
      <w:r w:rsidRPr="00A760E0">
        <w:t>THE LAW</w:t>
      </w:r>
    </w:p>
    <w:p w:rsidR="00C52147" w:rsidP="00C52147" w:rsidRDefault="00C52147">
      <w:pPr>
        <w:pStyle w:val="JuPara"/>
      </w:pPr>
      <w:r>
        <w:t>The applicant complained of</w:t>
      </w:r>
      <w:r w:rsidRPr="00A760E0">
        <w:t xml:space="preserve"> </w:t>
      </w:r>
      <w:r>
        <w:t xml:space="preserve">his forced resettlement and the deprivation of the property he had left in </w:t>
      </w:r>
      <w:smartTag w:uri="urn:schemas-microsoft-com:office:smarttags" w:element="place">
        <w:smartTag w:uri="urn:schemas-microsoft-com:office:smarttags" w:element="country-region">
          <w:r>
            <w:t>Poland</w:t>
          </w:r>
        </w:smartTag>
      </w:smartTag>
      <w:r>
        <w:t xml:space="preserve"> in 1945. He referred in substance to Article 1 of Protocol No. 1 and Article 2 of Protocol No. 4 to the Convention, which provide:</w:t>
      </w:r>
    </w:p>
    <w:p w:rsidR="00C52147" w:rsidP="00C52147" w:rsidRDefault="00C52147">
      <w:pPr>
        <w:pStyle w:val="JuQuot"/>
        <w:jc w:val="center"/>
      </w:pPr>
      <w:r>
        <w:t>Article 1 of Protocol No. 1</w:t>
      </w:r>
    </w:p>
    <w:p w:rsidR="00C52147" w:rsidP="00C52147" w:rsidRDefault="00C52147">
      <w:pPr>
        <w:pStyle w:val="JuQuot"/>
      </w:pPr>
      <w:r>
        <w:t>“Every natural or legal person is entitled to the peaceful enjoyment of his possessions. No one shall be deprived of his possessions except in the public interest and subject to the conditions provided for by law and by the general principles of international law.</w:t>
      </w:r>
    </w:p>
    <w:p w:rsidR="00C52147" w:rsidP="00C52147" w:rsidRDefault="00C52147">
      <w:pPr>
        <w:pStyle w:val="JuQuot"/>
      </w:pPr>
      <w:r>
        <w:t>The preceding provisions shall not, however, in any way impair the right of a State to enforce such laws as it deems necessary to control the use of property in accordance with the general interest or to secure the payment of taxes or other contributions or penalties.”</w:t>
      </w:r>
    </w:p>
    <w:p w:rsidR="00C52147" w:rsidP="00C52147" w:rsidRDefault="00C52147">
      <w:pPr>
        <w:pStyle w:val="JuQuot"/>
        <w:jc w:val="center"/>
      </w:pPr>
      <w:r>
        <w:t>Article 2 of Protocol No. 4</w:t>
      </w:r>
    </w:p>
    <w:p w:rsidR="00C52147" w:rsidP="00C52147" w:rsidRDefault="00C52147">
      <w:pPr>
        <w:pStyle w:val="JuQuot"/>
      </w:pPr>
      <w:r>
        <w:t>“1.  Everyone lawfully within the territory of a State shall, within that territory, have the right to liberty of movement and freedom to choose his residence.</w:t>
      </w:r>
    </w:p>
    <w:p w:rsidR="00C52147" w:rsidP="00C52147" w:rsidRDefault="00C52147">
      <w:pPr>
        <w:pStyle w:val="JuQuot"/>
      </w:pPr>
      <w:r>
        <w:t>2.  Everyone shall be free to leave any country, including his own.</w:t>
      </w:r>
    </w:p>
    <w:p w:rsidR="00C52147" w:rsidP="00C52147" w:rsidRDefault="00C52147">
      <w:pPr>
        <w:pStyle w:val="JuQuot"/>
      </w:pPr>
      <w:r>
        <w:t>3.  No restrictions shall be placed on the exercise of these rights other than such as are in accordance with law and are necessary in a democratic society in the interests of national security or public safety, for the maintenance of ordre public, for the prevention of crime, for the protection of health or morals, or for the protection of the rights and freedoms of others.</w:t>
      </w:r>
    </w:p>
    <w:p w:rsidRPr="00A760E0" w:rsidR="00C52147" w:rsidP="00C52147" w:rsidRDefault="00C52147">
      <w:pPr>
        <w:pStyle w:val="JuQuot"/>
      </w:pPr>
      <w:r>
        <w:t>4.  The rights set forth in paragraph 1 may also be subject, in particular areas, to restrictions imposed in accordance with law and justified by the public interest in a democratic society.”</w:t>
      </w:r>
    </w:p>
    <w:p w:rsidR="00C52147" w:rsidP="00C52147" w:rsidRDefault="00C52147">
      <w:pPr>
        <w:pStyle w:val="JuPara"/>
      </w:pPr>
      <w:r>
        <w:t xml:space="preserve">1.  In so far as the applicant complains that the resettlement was unlawful, it should be noted that the events complained of took place prior to 11 September 1997, the date on which the Convention entered into force in respect of Ukraine, and prior to </w:t>
      </w:r>
      <w:r w:rsidRPr="00414E84">
        <w:t>10 October 1994</w:t>
      </w:r>
      <w:r>
        <w:t xml:space="preserve">, the date on which Protocols Nos. 1 and 4 to the Convention entered into force in respect of Poland. However, the Convention only governs facts subsequent to its entry into force in respect of each Contracting Party. Therefore this part of the application is incompatible </w:t>
      </w:r>
      <w:r w:rsidRPr="001F3E5C">
        <w:rPr>
          <w:b/>
          <w:i/>
        </w:rPr>
        <w:t>ratione temporis</w:t>
      </w:r>
      <w:r>
        <w:t xml:space="preserve"> with the provisions of the Convention, within the meaning of Article 35 § 3.</w:t>
      </w:r>
    </w:p>
    <w:p w:rsidR="00C52147" w:rsidP="00C52147" w:rsidRDefault="00C52147">
      <w:pPr>
        <w:pStyle w:val="JuPara"/>
      </w:pPr>
      <w:r>
        <w:t>2. The applicant further complained that the Ukrainian and Polish authorities had refused to compensate him for the abandoned property.</w:t>
      </w:r>
    </w:p>
    <w:p w:rsidR="00C52147" w:rsidP="00C52147" w:rsidRDefault="00C52147">
      <w:pPr>
        <w:pStyle w:val="JuPara"/>
      </w:pPr>
      <w:r>
        <w:t>The Court reiterates that t</w:t>
      </w:r>
      <w:r w:rsidRPr="00414E84">
        <w:t xml:space="preserve">he concept of “possessions” in the first part of Article 1 of Protocol No. 1 has an autonomous meaning which is not limited to the ownership of </w:t>
      </w:r>
      <w:r>
        <w:t>material</w:t>
      </w:r>
      <w:r w:rsidRPr="00414E84">
        <w:t xml:space="preserve"> goods and is independent from the formal classification in domestic law. In the same way as </w:t>
      </w:r>
      <w:r>
        <w:t>material</w:t>
      </w:r>
      <w:r w:rsidRPr="00414E84">
        <w:t xml:space="preserve"> goods, certain other rights and interests constituting assets can also be regarded as “property rights”, and thus as “possessions” for the purposes of this provision. In each case the issue that needs to be examined is whether the circumstances of the case, considered as a whole, conferred on the applicant title to a substantive interest protected by Article 1 of Protocol No. 1 (see </w:t>
      </w:r>
      <w:r>
        <w:rPr>
          <w:i/>
        </w:rPr>
        <w:t xml:space="preserve">Iatridis v. </w:t>
      </w:r>
      <w:r w:rsidRPr="00414E84">
        <w:rPr>
          <w:i/>
        </w:rPr>
        <w:t>Greece</w:t>
      </w:r>
      <w:r>
        <w:t xml:space="preserve"> [GC], no. 31107/96, § </w:t>
      </w:r>
      <w:r w:rsidRPr="00414E84">
        <w:t>54, ECHR 1999</w:t>
      </w:r>
      <w:r>
        <w:t>-</w:t>
      </w:r>
      <w:r w:rsidRPr="00414E84">
        <w:t xml:space="preserve">II, and </w:t>
      </w:r>
      <w:r>
        <w:rPr>
          <w:i/>
        </w:rPr>
        <w:t>Beyeler v.</w:t>
      </w:r>
      <w:r w:rsidR="005616D7">
        <w:rPr>
          <w:i/>
        </w:rPr>
        <w:t> </w:t>
      </w:r>
      <w:r w:rsidRPr="00414E84">
        <w:rPr>
          <w:i/>
        </w:rPr>
        <w:t>Italy</w:t>
      </w:r>
      <w:r>
        <w:t xml:space="preserve"> [GC], no. 33202/96, § 100, ECHR 2000-</w:t>
      </w:r>
      <w:r w:rsidRPr="00414E84">
        <w:t>I).</w:t>
      </w:r>
    </w:p>
    <w:p w:rsidR="00C52147" w:rsidP="00C52147" w:rsidRDefault="00C52147">
      <w:pPr>
        <w:pStyle w:val="JuPara"/>
        <w:rPr>
          <w:lang w:eastAsia="en-US"/>
        </w:rPr>
      </w:pPr>
      <w:r>
        <w:t>The Court refers to its reasoning with respect to the Agreement of 9 September 1944 in the Broniowski case (</w:t>
      </w:r>
      <w:r w:rsidRPr="003176D2">
        <w:rPr>
          <w:i/>
          <w:lang w:eastAsia="en-US"/>
        </w:rPr>
        <w:t>Broniowski v. Poland</w:t>
      </w:r>
      <w:r w:rsidRPr="003176D2">
        <w:rPr>
          <w:lang w:eastAsia="en-US"/>
        </w:rPr>
        <w:t>,</w:t>
      </w:r>
      <w:r>
        <w:rPr>
          <w:lang w:eastAsia="en-US"/>
        </w:rPr>
        <w:t xml:space="preserve"> cited above,</w:t>
      </w:r>
      <w:r w:rsidRPr="003176D2">
        <w:rPr>
          <w:lang w:eastAsia="en-US"/>
        </w:rPr>
        <w:t xml:space="preserve"> §</w:t>
      </w:r>
      <w:r>
        <w:rPr>
          <w:lang w:eastAsia="en-US"/>
        </w:rPr>
        <w:t>§</w:t>
      </w:r>
      <w:r w:rsidRPr="003176D2">
        <w:rPr>
          <w:lang w:eastAsia="en-US"/>
        </w:rPr>
        <w:t> </w:t>
      </w:r>
      <w:r>
        <w:rPr>
          <w:lang w:eastAsia="en-US"/>
        </w:rPr>
        <w:t>124-125)</w:t>
      </w:r>
      <w:r>
        <w:t>:</w:t>
      </w:r>
    </w:p>
    <w:p w:rsidRPr="005C3673" w:rsidR="00C52147" w:rsidP="00C52147" w:rsidRDefault="00C52147">
      <w:pPr>
        <w:pStyle w:val="JuQuot"/>
      </w:pPr>
      <w:r>
        <w:t>“</w:t>
      </w:r>
      <w:r w:rsidRPr="00414E84">
        <w:t>While the historical background of the case, including the post-war delimitations of State borders, the resultant migration of persons affected by those events and the Republican Agreements, in which the applicant</w:t>
      </w:r>
      <w:r w:rsidR="003107D6">
        <w:t>’</w:t>
      </w:r>
      <w:r w:rsidRPr="00414E84">
        <w:t>s entitlement to compensation originated</w:t>
      </w:r>
      <w:r>
        <w:t xml:space="preserve"> ...</w:t>
      </w:r>
      <w:r w:rsidRPr="00414E84">
        <w:t>, is certainly important for the understanding of the complex legal and factual situation obtaining today, the Court will not consider any legal, moral, social, financial or other obligations of the Polish State arising from the fact that owners of property beyond the Bug River were dispossessed and forced to migrate by the Soviet Union after the Second World War. In particular, it will not deal with the issue whether Poland</w:t>
      </w:r>
      <w:r w:rsidR="003107D6">
        <w:t>’</w:t>
      </w:r>
      <w:r w:rsidRPr="00414E84">
        <w:t>s obligation under the Republican Agreements to return to those persons the value of the property abandoned in the former Soviet republics might have any bearing on the scope of the applicant</w:t>
      </w:r>
      <w:r w:rsidR="003107D6">
        <w:t>’</w:t>
      </w:r>
      <w:r w:rsidRPr="00414E84">
        <w:t xml:space="preserve">s right under domestic legislation and under the Convention and whether Poland honoured the obligations it had taken upon itself </w:t>
      </w:r>
      <w:r w:rsidRPr="005C3673">
        <w:t>by virtue of those Agreements.</w:t>
      </w:r>
    </w:p>
    <w:p w:rsidRPr="005C3673" w:rsidR="00C52147" w:rsidP="00C52147" w:rsidRDefault="00C52147">
      <w:pPr>
        <w:pStyle w:val="JuQuot"/>
      </w:pPr>
      <w:r w:rsidRPr="005C3673">
        <w:t>The sole issue before the Court is whether Article 1 of Protocol No. 1 was violated by reason of the Polish State</w:t>
      </w:r>
      <w:r w:rsidR="003107D6">
        <w:t>’</w:t>
      </w:r>
      <w:r w:rsidRPr="005C3673">
        <w:t>s acts and omissions in relation to the implementation of the applicant</w:t>
      </w:r>
      <w:r w:rsidR="003107D6">
        <w:t>’</w:t>
      </w:r>
      <w:r w:rsidRPr="005C3673">
        <w:t>s entitlement to compensatory property, which was vested in him by Polish legislation on the date of the Protocol</w:t>
      </w:r>
      <w:r w:rsidR="003107D6">
        <w:t>’</w:t>
      </w:r>
      <w:r w:rsidRPr="005C3673">
        <w:t xml:space="preserve">s entry into force and which subsisted on </w:t>
      </w:r>
      <w:smartTag w:uri="urn:schemas-microsoft-com:office:smarttags" w:element="date">
        <w:smartTagPr>
          <w:attr w:name="Year" w:val="1996"/>
          <w:attr w:name="Day" w:val="12"/>
          <w:attr w:name="Month" w:val="3"/>
        </w:smartTagPr>
        <w:r w:rsidRPr="005C3673">
          <w:t>12 March 1996</w:t>
        </w:r>
      </w:smartTag>
      <w:r w:rsidRPr="005C3673">
        <w:t>, the date on which he lodged his application with the Commission.”</w:t>
      </w:r>
    </w:p>
    <w:p w:rsidRPr="005C3673" w:rsidR="00C52147" w:rsidP="00C52147" w:rsidRDefault="00C52147">
      <w:pPr>
        <w:pStyle w:val="JuPara"/>
      </w:pPr>
      <w:r w:rsidRPr="005C3673">
        <w:t xml:space="preserve">As can be seen from the section on the “Relevant domestic law” above, </w:t>
      </w:r>
      <w:smartTag w:uri="urn:schemas-microsoft-com:office:smarttags" w:element="country-region">
        <w:r w:rsidRPr="005C3673">
          <w:t>Poland</w:t>
        </w:r>
      </w:smartTag>
      <w:r w:rsidRPr="005C3673">
        <w:t xml:space="preserve"> has not made any commitment to compensate persons resettled in </w:t>
      </w:r>
      <w:smartTag w:uri="urn:schemas-microsoft-com:office:smarttags" w:element="place">
        <w:smartTag w:uri="urn:schemas-microsoft-com:office:smarttags" w:element="country-region">
          <w:r w:rsidRPr="005C3673">
            <w:t>Ukraine</w:t>
          </w:r>
        </w:smartTag>
      </w:smartTag>
      <w:r w:rsidRPr="005C3673">
        <w:t xml:space="preserve"> under the Agreement of 9 September 1944 or under any subsequent legislation, and the applicant does not contend otherwise. The applicant therefore is not able to derive a claim to “property rights” or “possessions” from any Polish legislation, and as regards Poland the application must be rejected as being incompatible </w:t>
      </w:r>
      <w:r w:rsidRPr="005C3673">
        <w:rPr>
          <w:i/>
        </w:rPr>
        <w:t>ratione materiae</w:t>
      </w:r>
      <w:r w:rsidRPr="005C3673">
        <w:t xml:space="preserve"> with the provisions of the Convention within the meaning of Article 35 § 3.</w:t>
      </w:r>
    </w:p>
    <w:p w:rsidRPr="00A760E0" w:rsidR="00C52147" w:rsidP="00C52147" w:rsidRDefault="00C52147">
      <w:pPr>
        <w:pStyle w:val="JuPara"/>
      </w:pPr>
      <w:r w:rsidRPr="005C3673">
        <w:t xml:space="preserve">As regards </w:t>
      </w:r>
      <w:smartTag w:uri="urn:schemas-microsoft-com:office:smarttags" w:element="place">
        <w:smartTag w:uri="urn:schemas-microsoft-com:office:smarttags" w:element="country-region">
          <w:r w:rsidRPr="005C3673">
            <w:t>Ukraine</w:t>
          </w:r>
        </w:smartTag>
      </w:smartTag>
      <w:r w:rsidRPr="005C3673">
        <w:t>, it follows from the case-law referred to above that the failure to compensate the applicant for the abandoned property can only give rise to an issue under Article 1 of Protocol no. 1 if the applicant can establish that he had a claim to “property rights” or “possessions” deriving from Ukrainian legislation. The existence or absence of such a claim, which is question of domestic law, is in the first place for the domestic courts to determine. However, beyond his claim that he wrote a letter to the Supreme Court, the applicant has not established that he put his claim to the domestic courts in accordance with domestic procedures. It follows that to this extent the application must be rejected under Article 35 §§ 1 and 4 of the Convention for non-exhaustion of domestic remedies.</w:t>
      </w:r>
    </w:p>
    <w:p w:rsidRPr="00A760E0" w:rsidR="00C52147" w:rsidP="005616D7" w:rsidRDefault="00C52147">
      <w:pPr>
        <w:pStyle w:val="JuParaLast"/>
      </w:pPr>
      <w:r w:rsidRPr="00A760E0">
        <w:t>For these reasons, the Court by a majority</w:t>
      </w:r>
    </w:p>
    <w:p w:rsidRPr="00A760E0" w:rsidR="00C52147" w:rsidP="005616D7" w:rsidRDefault="00C52147">
      <w:pPr>
        <w:pStyle w:val="DecList"/>
        <w:keepNext/>
        <w:keepLines/>
      </w:pPr>
      <w:r w:rsidRPr="00A760E0">
        <w:rPr>
          <w:i/>
        </w:rPr>
        <w:t>Declares</w:t>
      </w:r>
      <w:r w:rsidRPr="00A760E0">
        <w:t xml:space="preserve"> the application inadmissible.</w:t>
      </w:r>
    </w:p>
    <w:p w:rsidR="006E1528" w:rsidP="005616D7" w:rsidRDefault="00C52147">
      <w:pPr>
        <w:pStyle w:val="JuSigned"/>
        <w:keepNext/>
        <w:keepLines/>
      </w:pPr>
      <w:r w:rsidRPr="00A760E0">
        <w:tab/>
      </w:r>
      <w:r>
        <w:t>Stephen</w:t>
      </w:r>
      <w:r w:rsidRPr="00A760E0">
        <w:t xml:space="preserve"> </w:t>
      </w:r>
      <w:r w:rsidRPr="005616D7">
        <w:rPr>
          <w:rStyle w:val="JuNames"/>
          <w:rFonts w:ascii="Times New (W1)"/>
          <w:smallCaps w:val="0"/>
        </w:rPr>
        <w:t>Phillips</w:t>
      </w:r>
      <w:r w:rsidRPr="00A760E0">
        <w:rPr>
          <w:rStyle w:val="JuNames"/>
        </w:rPr>
        <w:tab/>
      </w:r>
      <w:r w:rsidRPr="006C2405">
        <w:t xml:space="preserve">Peer </w:t>
      </w:r>
      <w:r w:rsidRPr="005616D7">
        <w:rPr>
          <w:rStyle w:val="JuNames"/>
          <w:rFonts w:ascii="Times New (W1)"/>
          <w:smallCaps w:val="0"/>
        </w:rPr>
        <w:t>Lorenzen</w:t>
      </w:r>
      <w:r w:rsidRPr="00A760E0">
        <w:br/>
      </w:r>
      <w:r w:rsidRPr="00A760E0">
        <w:tab/>
      </w:r>
      <w:r>
        <w:t xml:space="preserve">Deputy </w:t>
      </w:r>
      <w:r w:rsidRPr="00A760E0">
        <w:t>Registrar</w:t>
      </w:r>
      <w:r w:rsidRPr="00A760E0">
        <w:tab/>
        <w:t>President</w:t>
      </w:r>
    </w:p>
    <w:sectPr w:rsidR="006E1528">
      <w:headerReference w:type="even" r:id="rId6"/>
      <w:headerReference w:type="default" r:id="rId7"/>
      <w:headerReference w:type="first" r:id="rId8"/>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EFD" w:rsidRDefault="00165EFD">
      <w:r>
        <w:separator/>
      </w:r>
    </w:p>
  </w:endnote>
  <w:endnote w:type="continuationSeparator" w:id="0">
    <w:p w:rsidR="00165EFD" w:rsidRDefault="0016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EFD" w:rsidRDefault="00165EFD">
      <w:r>
        <w:separator/>
      </w:r>
    </w:p>
  </w:footnote>
  <w:footnote w:type="continuationSeparator" w:id="0">
    <w:p w:rsidR="00165EFD" w:rsidRDefault="00165EFD">
      <w:r>
        <w:continuationSeparator/>
      </w:r>
    </w:p>
  </w:footnote>
  <w:footnote w:id="1">
    <w:p w:rsidR="00165EFD" w:rsidRDefault="00165EFD" w:rsidP="00C52147">
      <w:pPr>
        <w:pStyle w:val="FootnoteText"/>
      </w:pPr>
      <w:r w:rsidRPr="005616D7">
        <w:rPr>
          <w:rStyle w:val="FootnoteReference"/>
          <w:rFonts w:ascii="Times New (W1)"/>
          <w:vertAlign w:val="baseline"/>
        </w:rPr>
        <w:footnoteRef/>
      </w:r>
      <w:r>
        <w:t>.  Part of the Second World War between 22 June 1941 and 9 May 1945.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EFD" w:rsidRDefault="00165EFD">
    <w:pPr>
      <w:pStyle w:val="JuHeader"/>
    </w:pPr>
    <w:r>
      <w:rPr>
        <w:rStyle w:val="PageNumber"/>
      </w:rPr>
      <w:fldChar w:fldCharType="begin"/>
    </w:r>
    <w:r>
      <w:rPr>
        <w:rStyle w:val="PageNumber"/>
      </w:rPr>
      <w:instrText xml:space="preserve"> PAGE </w:instrText>
    </w:r>
    <w:r>
      <w:rPr>
        <w:rStyle w:val="PageNumber"/>
      </w:rPr>
      <w:fldChar w:fldCharType="separate"/>
    </w:r>
    <w:r w:rsidR="003107D6">
      <w:rPr>
        <w:rStyle w:val="PageNumber"/>
        <w:noProof/>
      </w:rPr>
      <w:t>10</w:t>
    </w:r>
    <w:r>
      <w:rPr>
        <w:rStyle w:val="PageNumber"/>
      </w:rPr>
      <w:fldChar w:fldCharType="end"/>
    </w:r>
    <w:r>
      <w:tab/>
      <w:t xml:space="preserve">PASHKOVSKIY v. </w:t>
    </w:r>
    <w:smartTag w:uri="urn:schemas-microsoft-com:office:smarttags" w:element="country-region">
      <w:r>
        <w:t>UKRAINE</w:t>
      </w:r>
    </w:smartTag>
    <w:r>
      <w:t xml:space="preserve"> AND </w:t>
    </w:r>
    <w:smartTag w:uri="urn:schemas-microsoft-com:office:smarttags" w:element="country-region">
      <w:smartTag w:uri="urn:schemas-microsoft-com:office:smarttags" w:element="place">
        <w:r>
          <w:t>POLAND</w:t>
        </w:r>
      </w:smartTag>
    </w:smartTag>
    <w:r>
      <w:t xml:space="preserve"> </w:t>
    </w:r>
    <w:r>
      <w:rPr>
        <w:noProof/>
      </w:rPr>
      <w:t>DECISION</w:t>
    </w:r>
  </w:p>
  <w:p w:rsidR="00165EFD" w:rsidRPr="00C93530" w:rsidRDefault="00165EFD">
    <w:pPr>
      <w:pStyle w:val="Ju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EFD" w:rsidRDefault="00165EFD">
    <w:pPr>
      <w:pStyle w:val="JuHeader"/>
      <w:rPr>
        <w:rStyle w:val="PageNumber"/>
      </w:rPr>
    </w:pPr>
    <w:r>
      <w:tab/>
      <w:t xml:space="preserve">PASHKOVSKIY v. </w:t>
    </w:r>
    <w:smartTag w:uri="urn:schemas-microsoft-com:office:smarttags" w:element="country-region">
      <w:r>
        <w:t>UKRAINE</w:t>
      </w:r>
    </w:smartTag>
    <w:r>
      <w:t xml:space="preserve"> AND </w:t>
    </w:r>
    <w:smartTag w:uri="urn:schemas-microsoft-com:office:smarttags" w:element="country-region">
      <w:smartTag w:uri="urn:schemas-microsoft-com:office:smarttags" w:element="place">
        <w:r>
          <w:t>POLAND</w:t>
        </w:r>
      </w:smartTag>
    </w:smartTag>
    <w:r>
      <w:t xml:space="preserve"> </w:t>
    </w:r>
    <w:r>
      <w:rPr>
        <w:noProof/>
      </w:rPr>
      <w:t>DECISION</w:t>
    </w:r>
    <w:r>
      <w:tab/>
    </w:r>
    <w:r>
      <w:rPr>
        <w:rStyle w:val="PageNumber"/>
      </w:rPr>
      <w:fldChar w:fldCharType="begin"/>
    </w:r>
    <w:r>
      <w:rPr>
        <w:rStyle w:val="PageNumber"/>
      </w:rPr>
      <w:instrText xml:space="preserve"> PAGE </w:instrText>
    </w:r>
    <w:r>
      <w:rPr>
        <w:rStyle w:val="PageNumber"/>
      </w:rPr>
      <w:fldChar w:fldCharType="separate"/>
    </w:r>
    <w:r w:rsidR="003107D6">
      <w:rPr>
        <w:rStyle w:val="PageNumber"/>
        <w:noProof/>
      </w:rPr>
      <w:t>9</w:t>
    </w:r>
    <w:r>
      <w:rPr>
        <w:rStyle w:val="PageNumber"/>
      </w:rPr>
      <w:fldChar w:fldCharType="end"/>
    </w:r>
  </w:p>
  <w:p w:rsidR="00165EFD" w:rsidRPr="00C231CA" w:rsidRDefault="00165EFD">
    <w:pPr>
      <w:pStyle w:val="Ju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EFD" w:rsidRDefault="00165EF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39.5pt" fillcolor="window">
          <v:imagedata r:id="rId1" o:title=""/>
        </v:shape>
      </w:pict>
    </w:r>
  </w:p>
  <w:p w:rsidR="00165EFD" w:rsidRDefault="00165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90"/>
  <w:displayHorizontalDrawingGridEvery w:val="0"/>
  <w:displayVerticalDrawingGridEvery w:val="2"/>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147"/>
    <w:rsid w:val="0000461A"/>
    <w:rsid w:val="00005F22"/>
    <w:rsid w:val="00005FAD"/>
    <w:rsid w:val="000065E6"/>
    <w:rsid w:val="00006FF3"/>
    <w:rsid w:val="00016E6A"/>
    <w:rsid w:val="00020CD0"/>
    <w:rsid w:val="00023E28"/>
    <w:rsid w:val="00027960"/>
    <w:rsid w:val="00030B05"/>
    <w:rsid w:val="00035EDA"/>
    <w:rsid w:val="0004040D"/>
    <w:rsid w:val="00040A83"/>
    <w:rsid w:val="0004155D"/>
    <w:rsid w:val="00044C72"/>
    <w:rsid w:val="00045CAE"/>
    <w:rsid w:val="000575A5"/>
    <w:rsid w:val="000609A9"/>
    <w:rsid w:val="00062845"/>
    <w:rsid w:val="00065CED"/>
    <w:rsid w:val="00071B24"/>
    <w:rsid w:val="000751C3"/>
    <w:rsid w:val="000758F1"/>
    <w:rsid w:val="00075E19"/>
    <w:rsid w:val="00080482"/>
    <w:rsid w:val="00080593"/>
    <w:rsid w:val="0008641F"/>
    <w:rsid w:val="00096A50"/>
    <w:rsid w:val="000A34A7"/>
    <w:rsid w:val="000D1425"/>
    <w:rsid w:val="000D2247"/>
    <w:rsid w:val="000D5104"/>
    <w:rsid w:val="000E4AAD"/>
    <w:rsid w:val="000E63F2"/>
    <w:rsid w:val="000E7F93"/>
    <w:rsid w:val="000F3BB3"/>
    <w:rsid w:val="000F5A0F"/>
    <w:rsid w:val="001001D2"/>
    <w:rsid w:val="00106BD7"/>
    <w:rsid w:val="001155F6"/>
    <w:rsid w:val="001205A8"/>
    <w:rsid w:val="00120C58"/>
    <w:rsid w:val="00123545"/>
    <w:rsid w:val="00123731"/>
    <w:rsid w:val="00123A9E"/>
    <w:rsid w:val="0012710B"/>
    <w:rsid w:val="001319D8"/>
    <w:rsid w:val="00144012"/>
    <w:rsid w:val="00145430"/>
    <w:rsid w:val="00156C5F"/>
    <w:rsid w:val="00156EAA"/>
    <w:rsid w:val="00165EFD"/>
    <w:rsid w:val="00166BF3"/>
    <w:rsid w:val="00167F19"/>
    <w:rsid w:val="00174790"/>
    <w:rsid w:val="00180C4A"/>
    <w:rsid w:val="001862AF"/>
    <w:rsid w:val="001A0B87"/>
    <w:rsid w:val="001A1CB1"/>
    <w:rsid w:val="001A30A8"/>
    <w:rsid w:val="001A6491"/>
    <w:rsid w:val="001B35AC"/>
    <w:rsid w:val="001B646C"/>
    <w:rsid w:val="001C3489"/>
    <w:rsid w:val="001C452A"/>
    <w:rsid w:val="001C6934"/>
    <w:rsid w:val="001D1F9D"/>
    <w:rsid w:val="001D42FA"/>
    <w:rsid w:val="001E24C9"/>
    <w:rsid w:val="001E3824"/>
    <w:rsid w:val="001E521F"/>
    <w:rsid w:val="001E5D16"/>
    <w:rsid w:val="001E6AB6"/>
    <w:rsid w:val="001E7028"/>
    <w:rsid w:val="001F10BE"/>
    <w:rsid w:val="001F7F8F"/>
    <w:rsid w:val="00200243"/>
    <w:rsid w:val="00211ECC"/>
    <w:rsid w:val="00222027"/>
    <w:rsid w:val="002305EA"/>
    <w:rsid w:val="00230C6A"/>
    <w:rsid w:val="00240572"/>
    <w:rsid w:val="00242B9D"/>
    <w:rsid w:val="0024458D"/>
    <w:rsid w:val="0025444D"/>
    <w:rsid w:val="00260136"/>
    <w:rsid w:val="00261CCC"/>
    <w:rsid w:val="002650F8"/>
    <w:rsid w:val="00265826"/>
    <w:rsid w:val="00267D2C"/>
    <w:rsid w:val="00267F7A"/>
    <w:rsid w:val="00271859"/>
    <w:rsid w:val="00274D12"/>
    <w:rsid w:val="00275BC7"/>
    <w:rsid w:val="002772DB"/>
    <w:rsid w:val="002823F5"/>
    <w:rsid w:val="00282827"/>
    <w:rsid w:val="00287799"/>
    <w:rsid w:val="00294ACB"/>
    <w:rsid w:val="00295C0C"/>
    <w:rsid w:val="00297F11"/>
    <w:rsid w:val="002A28B4"/>
    <w:rsid w:val="002A2F0D"/>
    <w:rsid w:val="002A30B9"/>
    <w:rsid w:val="002A43B7"/>
    <w:rsid w:val="002A5F48"/>
    <w:rsid w:val="002A71DA"/>
    <w:rsid w:val="002B1969"/>
    <w:rsid w:val="002B5A38"/>
    <w:rsid w:val="002D06A1"/>
    <w:rsid w:val="002D6EE3"/>
    <w:rsid w:val="002E5E29"/>
    <w:rsid w:val="002F69B0"/>
    <w:rsid w:val="003052DC"/>
    <w:rsid w:val="0031040A"/>
    <w:rsid w:val="003107D6"/>
    <w:rsid w:val="003125EA"/>
    <w:rsid w:val="00317A2A"/>
    <w:rsid w:val="0032132A"/>
    <w:rsid w:val="00324C5F"/>
    <w:rsid w:val="0032553A"/>
    <w:rsid w:val="00327088"/>
    <w:rsid w:val="00327C9A"/>
    <w:rsid w:val="00333F50"/>
    <w:rsid w:val="00337A91"/>
    <w:rsid w:val="00340D43"/>
    <w:rsid w:val="00342315"/>
    <w:rsid w:val="00345DEE"/>
    <w:rsid w:val="0035013A"/>
    <w:rsid w:val="003523F1"/>
    <w:rsid w:val="00354C1B"/>
    <w:rsid w:val="00371472"/>
    <w:rsid w:val="0037328D"/>
    <w:rsid w:val="003770EB"/>
    <w:rsid w:val="00377B0F"/>
    <w:rsid w:val="003836B3"/>
    <w:rsid w:val="0039152D"/>
    <w:rsid w:val="00392C88"/>
    <w:rsid w:val="00393B60"/>
    <w:rsid w:val="00396943"/>
    <w:rsid w:val="00397DAC"/>
    <w:rsid w:val="003A54AD"/>
    <w:rsid w:val="003B24BE"/>
    <w:rsid w:val="003B5C29"/>
    <w:rsid w:val="003D7657"/>
    <w:rsid w:val="003E051E"/>
    <w:rsid w:val="003E32A4"/>
    <w:rsid w:val="003F605C"/>
    <w:rsid w:val="0040081D"/>
    <w:rsid w:val="00400A73"/>
    <w:rsid w:val="004024DA"/>
    <w:rsid w:val="00415074"/>
    <w:rsid w:val="00416597"/>
    <w:rsid w:val="00416776"/>
    <w:rsid w:val="00420ABB"/>
    <w:rsid w:val="00441E7B"/>
    <w:rsid w:val="00446F58"/>
    <w:rsid w:val="00452799"/>
    <w:rsid w:val="00453F8F"/>
    <w:rsid w:val="004555FF"/>
    <w:rsid w:val="00462E30"/>
    <w:rsid w:val="00465E46"/>
    <w:rsid w:val="004720B2"/>
    <w:rsid w:val="004952D0"/>
    <w:rsid w:val="004A1AE5"/>
    <w:rsid w:val="004B1B6B"/>
    <w:rsid w:val="004B2D93"/>
    <w:rsid w:val="004C674E"/>
    <w:rsid w:val="004C788D"/>
    <w:rsid w:val="004D01AD"/>
    <w:rsid w:val="004D218A"/>
    <w:rsid w:val="004F044D"/>
    <w:rsid w:val="004F28F6"/>
    <w:rsid w:val="004F2ACF"/>
    <w:rsid w:val="004F4737"/>
    <w:rsid w:val="004F528C"/>
    <w:rsid w:val="004F6472"/>
    <w:rsid w:val="00510305"/>
    <w:rsid w:val="0051407E"/>
    <w:rsid w:val="00516CD1"/>
    <w:rsid w:val="00524918"/>
    <w:rsid w:val="00524FC2"/>
    <w:rsid w:val="00526640"/>
    <w:rsid w:val="00527CC1"/>
    <w:rsid w:val="00533024"/>
    <w:rsid w:val="00534042"/>
    <w:rsid w:val="005417C5"/>
    <w:rsid w:val="00542863"/>
    <w:rsid w:val="00542F00"/>
    <w:rsid w:val="005548B9"/>
    <w:rsid w:val="00554AB2"/>
    <w:rsid w:val="0056087E"/>
    <w:rsid w:val="005616D7"/>
    <w:rsid w:val="0057110C"/>
    <w:rsid w:val="0057187A"/>
    <w:rsid w:val="005723DD"/>
    <w:rsid w:val="00576B8E"/>
    <w:rsid w:val="00581316"/>
    <w:rsid w:val="00584E1D"/>
    <w:rsid w:val="005860EB"/>
    <w:rsid w:val="0059120C"/>
    <w:rsid w:val="005A3584"/>
    <w:rsid w:val="005A49FE"/>
    <w:rsid w:val="005A733C"/>
    <w:rsid w:val="005B0B8D"/>
    <w:rsid w:val="005B387A"/>
    <w:rsid w:val="005C0BB0"/>
    <w:rsid w:val="005C0CC6"/>
    <w:rsid w:val="005C361A"/>
    <w:rsid w:val="005D287C"/>
    <w:rsid w:val="005D46C4"/>
    <w:rsid w:val="005E3D8A"/>
    <w:rsid w:val="005E5A3B"/>
    <w:rsid w:val="005F3844"/>
    <w:rsid w:val="005F6449"/>
    <w:rsid w:val="006071D0"/>
    <w:rsid w:val="00616501"/>
    <w:rsid w:val="00616CB9"/>
    <w:rsid w:val="00617569"/>
    <w:rsid w:val="006268F3"/>
    <w:rsid w:val="00627B7E"/>
    <w:rsid w:val="00631AF4"/>
    <w:rsid w:val="0063410F"/>
    <w:rsid w:val="00640C4D"/>
    <w:rsid w:val="00644314"/>
    <w:rsid w:val="0065190F"/>
    <w:rsid w:val="00652C8A"/>
    <w:rsid w:val="0066562A"/>
    <w:rsid w:val="00673367"/>
    <w:rsid w:val="006813C3"/>
    <w:rsid w:val="00692318"/>
    <w:rsid w:val="00694DD2"/>
    <w:rsid w:val="00695329"/>
    <w:rsid w:val="006A12F2"/>
    <w:rsid w:val="006A147C"/>
    <w:rsid w:val="006A795C"/>
    <w:rsid w:val="006B6C35"/>
    <w:rsid w:val="006D0EEF"/>
    <w:rsid w:val="006D2B99"/>
    <w:rsid w:val="006D30C3"/>
    <w:rsid w:val="006D7C8E"/>
    <w:rsid w:val="006D7EA7"/>
    <w:rsid w:val="006E0A0E"/>
    <w:rsid w:val="006E1528"/>
    <w:rsid w:val="006F3463"/>
    <w:rsid w:val="006F5DAB"/>
    <w:rsid w:val="00702D90"/>
    <w:rsid w:val="00711DB6"/>
    <w:rsid w:val="00713238"/>
    <w:rsid w:val="00713716"/>
    <w:rsid w:val="00716DD4"/>
    <w:rsid w:val="00717161"/>
    <w:rsid w:val="007247BA"/>
    <w:rsid w:val="0072487C"/>
    <w:rsid w:val="00734EC4"/>
    <w:rsid w:val="007359C4"/>
    <w:rsid w:val="007361BB"/>
    <w:rsid w:val="00740F4E"/>
    <w:rsid w:val="007445CD"/>
    <w:rsid w:val="00745B8D"/>
    <w:rsid w:val="0075188C"/>
    <w:rsid w:val="007610D7"/>
    <w:rsid w:val="007672B6"/>
    <w:rsid w:val="00767CDC"/>
    <w:rsid w:val="00774638"/>
    <w:rsid w:val="00780554"/>
    <w:rsid w:val="00780F4D"/>
    <w:rsid w:val="00781F04"/>
    <w:rsid w:val="007830BD"/>
    <w:rsid w:val="007872F5"/>
    <w:rsid w:val="0078743C"/>
    <w:rsid w:val="00793755"/>
    <w:rsid w:val="007A65AC"/>
    <w:rsid w:val="007A6FA3"/>
    <w:rsid w:val="007B3263"/>
    <w:rsid w:val="007B3806"/>
    <w:rsid w:val="007C0C67"/>
    <w:rsid w:val="007D53CD"/>
    <w:rsid w:val="007E1BA7"/>
    <w:rsid w:val="007E3010"/>
    <w:rsid w:val="007E6231"/>
    <w:rsid w:val="007E6239"/>
    <w:rsid w:val="007F01CC"/>
    <w:rsid w:val="007F209D"/>
    <w:rsid w:val="007F2A4E"/>
    <w:rsid w:val="007F396B"/>
    <w:rsid w:val="007F78F8"/>
    <w:rsid w:val="0082277A"/>
    <w:rsid w:val="00822F5D"/>
    <w:rsid w:val="0082440E"/>
    <w:rsid w:val="00825041"/>
    <w:rsid w:val="008275A2"/>
    <w:rsid w:val="00835A83"/>
    <w:rsid w:val="00836FC3"/>
    <w:rsid w:val="00843BEB"/>
    <w:rsid w:val="008442B9"/>
    <w:rsid w:val="008563F7"/>
    <w:rsid w:val="00856BC6"/>
    <w:rsid w:val="008600D1"/>
    <w:rsid w:val="00862D72"/>
    <w:rsid w:val="00863F94"/>
    <w:rsid w:val="00871A20"/>
    <w:rsid w:val="0087468C"/>
    <w:rsid w:val="00894A72"/>
    <w:rsid w:val="008A7546"/>
    <w:rsid w:val="008B2FE8"/>
    <w:rsid w:val="008B5C89"/>
    <w:rsid w:val="008C0E33"/>
    <w:rsid w:val="008C7334"/>
    <w:rsid w:val="008C7E30"/>
    <w:rsid w:val="008D4732"/>
    <w:rsid w:val="008D5D50"/>
    <w:rsid w:val="008D6108"/>
    <w:rsid w:val="008D7910"/>
    <w:rsid w:val="008E33A8"/>
    <w:rsid w:val="008E4333"/>
    <w:rsid w:val="008E524F"/>
    <w:rsid w:val="008E7DBF"/>
    <w:rsid w:val="008F06AB"/>
    <w:rsid w:val="008F3C92"/>
    <w:rsid w:val="00901BEF"/>
    <w:rsid w:val="00903C4F"/>
    <w:rsid w:val="0090442B"/>
    <w:rsid w:val="009057DA"/>
    <w:rsid w:val="0091160E"/>
    <w:rsid w:val="00911AC4"/>
    <w:rsid w:val="00912176"/>
    <w:rsid w:val="00914BD1"/>
    <w:rsid w:val="00931A9F"/>
    <w:rsid w:val="00931FBD"/>
    <w:rsid w:val="009407CF"/>
    <w:rsid w:val="009461CD"/>
    <w:rsid w:val="009463E6"/>
    <w:rsid w:val="009467C0"/>
    <w:rsid w:val="00946ECB"/>
    <w:rsid w:val="0094757C"/>
    <w:rsid w:val="009476DF"/>
    <w:rsid w:val="00951953"/>
    <w:rsid w:val="00962572"/>
    <w:rsid w:val="00965E29"/>
    <w:rsid w:val="00970819"/>
    <w:rsid w:val="00972E2B"/>
    <w:rsid w:val="009738E7"/>
    <w:rsid w:val="00976672"/>
    <w:rsid w:val="00977ECB"/>
    <w:rsid w:val="00981683"/>
    <w:rsid w:val="00983E42"/>
    <w:rsid w:val="0098760C"/>
    <w:rsid w:val="00991335"/>
    <w:rsid w:val="00996C79"/>
    <w:rsid w:val="009A0436"/>
    <w:rsid w:val="009A3D97"/>
    <w:rsid w:val="009A72D1"/>
    <w:rsid w:val="009B433D"/>
    <w:rsid w:val="009C1729"/>
    <w:rsid w:val="009C517C"/>
    <w:rsid w:val="009D5D51"/>
    <w:rsid w:val="009E21CB"/>
    <w:rsid w:val="009E3ACB"/>
    <w:rsid w:val="009E58E1"/>
    <w:rsid w:val="009F0E2A"/>
    <w:rsid w:val="009F1E62"/>
    <w:rsid w:val="009F4832"/>
    <w:rsid w:val="009F5D69"/>
    <w:rsid w:val="009F6074"/>
    <w:rsid w:val="009F782C"/>
    <w:rsid w:val="00A065BF"/>
    <w:rsid w:val="00A1482E"/>
    <w:rsid w:val="00A14CB3"/>
    <w:rsid w:val="00A26F5A"/>
    <w:rsid w:val="00A315DA"/>
    <w:rsid w:val="00A31A6F"/>
    <w:rsid w:val="00A423F2"/>
    <w:rsid w:val="00A524A6"/>
    <w:rsid w:val="00A52F47"/>
    <w:rsid w:val="00A549F9"/>
    <w:rsid w:val="00A65660"/>
    <w:rsid w:val="00A65B4A"/>
    <w:rsid w:val="00A72583"/>
    <w:rsid w:val="00A8273A"/>
    <w:rsid w:val="00A856F1"/>
    <w:rsid w:val="00A919AF"/>
    <w:rsid w:val="00AA2316"/>
    <w:rsid w:val="00AB1821"/>
    <w:rsid w:val="00AB38AB"/>
    <w:rsid w:val="00AB403D"/>
    <w:rsid w:val="00AC0B76"/>
    <w:rsid w:val="00AC587E"/>
    <w:rsid w:val="00AD578C"/>
    <w:rsid w:val="00AE0B5C"/>
    <w:rsid w:val="00AE7FD8"/>
    <w:rsid w:val="00AF4012"/>
    <w:rsid w:val="00AF477D"/>
    <w:rsid w:val="00AF4B87"/>
    <w:rsid w:val="00AF651D"/>
    <w:rsid w:val="00AF7DC2"/>
    <w:rsid w:val="00B0074B"/>
    <w:rsid w:val="00B01789"/>
    <w:rsid w:val="00B04FB9"/>
    <w:rsid w:val="00B22F3E"/>
    <w:rsid w:val="00B2324F"/>
    <w:rsid w:val="00B246CA"/>
    <w:rsid w:val="00B256B8"/>
    <w:rsid w:val="00B26B6E"/>
    <w:rsid w:val="00B34D03"/>
    <w:rsid w:val="00B35F2C"/>
    <w:rsid w:val="00B362D5"/>
    <w:rsid w:val="00B40644"/>
    <w:rsid w:val="00B41DB8"/>
    <w:rsid w:val="00B4325E"/>
    <w:rsid w:val="00B465F4"/>
    <w:rsid w:val="00B553E3"/>
    <w:rsid w:val="00B61B9F"/>
    <w:rsid w:val="00B80439"/>
    <w:rsid w:val="00B80D29"/>
    <w:rsid w:val="00B84413"/>
    <w:rsid w:val="00B86F93"/>
    <w:rsid w:val="00B97699"/>
    <w:rsid w:val="00BA0B6A"/>
    <w:rsid w:val="00BA28CC"/>
    <w:rsid w:val="00BB00B8"/>
    <w:rsid w:val="00BB6143"/>
    <w:rsid w:val="00BC433F"/>
    <w:rsid w:val="00BC4CB2"/>
    <w:rsid w:val="00BC5989"/>
    <w:rsid w:val="00BE1E0F"/>
    <w:rsid w:val="00BE4BAC"/>
    <w:rsid w:val="00BF1569"/>
    <w:rsid w:val="00BF1D0F"/>
    <w:rsid w:val="00BF642F"/>
    <w:rsid w:val="00BF7409"/>
    <w:rsid w:val="00C00334"/>
    <w:rsid w:val="00C066D9"/>
    <w:rsid w:val="00C2020F"/>
    <w:rsid w:val="00C23087"/>
    <w:rsid w:val="00C236B0"/>
    <w:rsid w:val="00C30BBD"/>
    <w:rsid w:val="00C34216"/>
    <w:rsid w:val="00C43512"/>
    <w:rsid w:val="00C452D9"/>
    <w:rsid w:val="00C50D39"/>
    <w:rsid w:val="00C52147"/>
    <w:rsid w:val="00C706E9"/>
    <w:rsid w:val="00C72C39"/>
    <w:rsid w:val="00C75B17"/>
    <w:rsid w:val="00C769F4"/>
    <w:rsid w:val="00C77DD5"/>
    <w:rsid w:val="00C824CE"/>
    <w:rsid w:val="00C860A4"/>
    <w:rsid w:val="00CA301D"/>
    <w:rsid w:val="00CA55DF"/>
    <w:rsid w:val="00CA73C8"/>
    <w:rsid w:val="00CB2A5B"/>
    <w:rsid w:val="00CC1614"/>
    <w:rsid w:val="00CC79F5"/>
    <w:rsid w:val="00CD06AD"/>
    <w:rsid w:val="00CD3F61"/>
    <w:rsid w:val="00CD4055"/>
    <w:rsid w:val="00CD6A52"/>
    <w:rsid w:val="00CD7B17"/>
    <w:rsid w:val="00CD7B55"/>
    <w:rsid w:val="00CD7D88"/>
    <w:rsid w:val="00CE1835"/>
    <w:rsid w:val="00CE59F7"/>
    <w:rsid w:val="00CE7D9A"/>
    <w:rsid w:val="00D05DE1"/>
    <w:rsid w:val="00D05DFE"/>
    <w:rsid w:val="00D169CC"/>
    <w:rsid w:val="00D305F3"/>
    <w:rsid w:val="00D308A2"/>
    <w:rsid w:val="00D3150B"/>
    <w:rsid w:val="00D42417"/>
    <w:rsid w:val="00D42495"/>
    <w:rsid w:val="00D4737E"/>
    <w:rsid w:val="00D60663"/>
    <w:rsid w:val="00D63478"/>
    <w:rsid w:val="00D65686"/>
    <w:rsid w:val="00D71EAF"/>
    <w:rsid w:val="00D746F8"/>
    <w:rsid w:val="00D80EB5"/>
    <w:rsid w:val="00D83CCF"/>
    <w:rsid w:val="00D86C2E"/>
    <w:rsid w:val="00D915A6"/>
    <w:rsid w:val="00DA37AB"/>
    <w:rsid w:val="00DA3DCD"/>
    <w:rsid w:val="00DA6410"/>
    <w:rsid w:val="00DA7963"/>
    <w:rsid w:val="00DB6694"/>
    <w:rsid w:val="00DB7914"/>
    <w:rsid w:val="00DC70B8"/>
    <w:rsid w:val="00DC72FB"/>
    <w:rsid w:val="00DD12C8"/>
    <w:rsid w:val="00DD3F1D"/>
    <w:rsid w:val="00DD4A4B"/>
    <w:rsid w:val="00DE08C2"/>
    <w:rsid w:val="00DE17F2"/>
    <w:rsid w:val="00DE24EA"/>
    <w:rsid w:val="00DF2544"/>
    <w:rsid w:val="00DF7556"/>
    <w:rsid w:val="00E05D6A"/>
    <w:rsid w:val="00E07CB2"/>
    <w:rsid w:val="00E11767"/>
    <w:rsid w:val="00E136D1"/>
    <w:rsid w:val="00E15D44"/>
    <w:rsid w:val="00E22F28"/>
    <w:rsid w:val="00E23507"/>
    <w:rsid w:val="00E3403F"/>
    <w:rsid w:val="00E43015"/>
    <w:rsid w:val="00E45D46"/>
    <w:rsid w:val="00E648C6"/>
    <w:rsid w:val="00E6518D"/>
    <w:rsid w:val="00E81678"/>
    <w:rsid w:val="00E96223"/>
    <w:rsid w:val="00EA47CD"/>
    <w:rsid w:val="00EB47D3"/>
    <w:rsid w:val="00EC0BFC"/>
    <w:rsid w:val="00ED4393"/>
    <w:rsid w:val="00F04F76"/>
    <w:rsid w:val="00F06A00"/>
    <w:rsid w:val="00F177F8"/>
    <w:rsid w:val="00F27DA6"/>
    <w:rsid w:val="00F32536"/>
    <w:rsid w:val="00F341E2"/>
    <w:rsid w:val="00F34637"/>
    <w:rsid w:val="00F34918"/>
    <w:rsid w:val="00F35B0C"/>
    <w:rsid w:val="00F4358A"/>
    <w:rsid w:val="00F45C0A"/>
    <w:rsid w:val="00F479A2"/>
    <w:rsid w:val="00F52630"/>
    <w:rsid w:val="00F54B47"/>
    <w:rsid w:val="00F551F0"/>
    <w:rsid w:val="00F61B01"/>
    <w:rsid w:val="00F701FA"/>
    <w:rsid w:val="00F72C3A"/>
    <w:rsid w:val="00F7378F"/>
    <w:rsid w:val="00F77B46"/>
    <w:rsid w:val="00F834E1"/>
    <w:rsid w:val="00FA7138"/>
    <w:rsid w:val="00FB0C4F"/>
    <w:rsid w:val="00FB2B2D"/>
    <w:rsid w:val="00FB3360"/>
    <w:rsid w:val="00FC25D1"/>
    <w:rsid w:val="00FC703C"/>
    <w:rsid w:val="00FE315D"/>
    <w:rsid w:val="00FE4C80"/>
    <w:rsid w:val="00FF2A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47"/>
    <w:pPr>
      <w:suppressAutoHyphens/>
    </w:pPr>
    <w:rPr>
      <w:rFonts w:eastAsia="Times New Roman"/>
      <w:sz w:val="24"/>
      <w:lang w:val="en-GB" w:eastAsia="fr-FR"/>
    </w:rPr>
  </w:style>
  <w:style w:type="paragraph" w:styleId="Heading1">
    <w:name w:val="heading 1"/>
    <w:basedOn w:val="Normal"/>
    <w:next w:val="Normal"/>
    <w:qFormat/>
    <w:rsid w:val="00C52147"/>
    <w:pPr>
      <w:keepNext/>
      <w:spacing w:before="360" w:after="240"/>
      <w:jc w:val="center"/>
      <w:outlineLvl w:val="0"/>
    </w:pPr>
    <w:rPr>
      <w:b/>
      <w:sz w:val="28"/>
    </w:rPr>
  </w:style>
  <w:style w:type="paragraph" w:styleId="Heading2">
    <w:name w:val="heading 2"/>
    <w:basedOn w:val="Normal"/>
    <w:next w:val="Normal"/>
    <w:qFormat/>
    <w:rsid w:val="00C52147"/>
    <w:pPr>
      <w:keepNext/>
      <w:spacing w:before="240" w:after="120"/>
      <w:ind w:left="284" w:hanging="284"/>
      <w:outlineLvl w:val="1"/>
    </w:pPr>
    <w:rPr>
      <w:b/>
    </w:rPr>
  </w:style>
  <w:style w:type="paragraph" w:styleId="Heading3">
    <w:name w:val="heading 3"/>
    <w:basedOn w:val="Normal"/>
    <w:next w:val="Normal"/>
    <w:qFormat/>
    <w:rsid w:val="00C52147"/>
    <w:pPr>
      <w:keepNext/>
      <w:spacing w:before="120" w:after="60"/>
      <w:ind w:left="1418" w:hanging="851"/>
      <w:outlineLvl w:val="2"/>
    </w:pPr>
    <w:rPr>
      <w:i/>
    </w:rPr>
  </w:style>
  <w:style w:type="character" w:default="1" w:styleId="DefaultParagraphFont">
    <w:name w:val="Default Paragraph Font"/>
    <w:semiHidden/>
    <w:rsid w:val="00C5214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52147"/>
  </w:style>
  <w:style w:type="paragraph" w:customStyle="1" w:styleId="JuPara">
    <w:name w:val="Ju_Para"/>
    <w:basedOn w:val="Normal"/>
    <w:link w:val="JuParaChar"/>
    <w:rsid w:val="00C52147"/>
    <w:pPr>
      <w:ind w:firstLine="284"/>
      <w:jc w:val="both"/>
    </w:pPr>
  </w:style>
  <w:style w:type="paragraph" w:customStyle="1" w:styleId="JuCase">
    <w:name w:val="Ju_Case"/>
    <w:basedOn w:val="JuPara"/>
    <w:next w:val="JuPara"/>
    <w:rsid w:val="00C52147"/>
    <w:rPr>
      <w:b/>
    </w:rPr>
  </w:style>
  <w:style w:type="paragraph" w:customStyle="1" w:styleId="JuJudges">
    <w:name w:val="Ju_Judges"/>
    <w:basedOn w:val="Normal"/>
    <w:link w:val="JuJudgesChar"/>
    <w:rsid w:val="00C52147"/>
    <w:pPr>
      <w:tabs>
        <w:tab w:val="left" w:pos="567"/>
        <w:tab w:val="left" w:pos="1134"/>
      </w:tabs>
    </w:pPr>
  </w:style>
  <w:style w:type="paragraph" w:customStyle="1" w:styleId="JuCourt">
    <w:name w:val="Ju_Court"/>
    <w:basedOn w:val="JuJudges"/>
    <w:rsid w:val="00C52147"/>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link w:val="JuHHeadChar"/>
    <w:rsid w:val="00C52147"/>
    <w:pPr>
      <w:keepNext/>
      <w:keepLines/>
      <w:spacing w:before="720" w:after="240"/>
      <w:jc w:val="both"/>
    </w:pPr>
    <w:rPr>
      <w:sz w:val="28"/>
    </w:rPr>
  </w:style>
  <w:style w:type="paragraph" w:customStyle="1" w:styleId="JuHIRoman">
    <w:name w:val="Ju_H_I_Roman"/>
    <w:basedOn w:val="JuHHead"/>
    <w:next w:val="JuPara"/>
    <w:rsid w:val="00C52147"/>
    <w:pPr>
      <w:tabs>
        <w:tab w:val="left" w:pos="357"/>
      </w:tabs>
      <w:spacing w:before="360"/>
      <w:ind w:left="357" w:hanging="357"/>
    </w:pPr>
    <w:rPr>
      <w:sz w:val="24"/>
    </w:rPr>
  </w:style>
  <w:style w:type="paragraph" w:customStyle="1" w:styleId="JuHA">
    <w:name w:val="Ju_H_A"/>
    <w:basedOn w:val="JuHIRoman"/>
    <w:next w:val="JuPara"/>
    <w:link w:val="JuHAChar"/>
    <w:rsid w:val="00C52147"/>
    <w:pPr>
      <w:tabs>
        <w:tab w:val="clear" w:pos="357"/>
        <w:tab w:val="left" w:pos="584"/>
      </w:tabs>
      <w:ind w:left="584" w:hanging="352"/>
    </w:pPr>
    <w:rPr>
      <w:b/>
    </w:rPr>
  </w:style>
  <w:style w:type="paragraph" w:customStyle="1" w:styleId="JuHa0">
    <w:name w:val="Ju_H_a"/>
    <w:basedOn w:val="JuH1"/>
    <w:next w:val="JuPara"/>
    <w:link w:val="JuHaChar0"/>
    <w:rsid w:val="00C52147"/>
    <w:pPr>
      <w:tabs>
        <w:tab w:val="clear" w:pos="731"/>
        <w:tab w:val="left" w:pos="975"/>
      </w:tabs>
      <w:ind w:left="975" w:hanging="340"/>
    </w:pPr>
    <w:rPr>
      <w:b/>
      <w:i w:val="0"/>
      <w:sz w:val="20"/>
    </w:rPr>
  </w:style>
  <w:style w:type="paragraph" w:customStyle="1" w:styleId="JuH1">
    <w:name w:val="Ju_H_1."/>
    <w:basedOn w:val="JuHA"/>
    <w:next w:val="JuPara"/>
    <w:link w:val="JuH1Char"/>
    <w:rsid w:val="00C52147"/>
    <w:pPr>
      <w:tabs>
        <w:tab w:val="clear" w:pos="584"/>
        <w:tab w:val="left" w:pos="731"/>
      </w:tabs>
      <w:spacing w:before="240" w:after="120"/>
      <w:ind w:left="732" w:hanging="301"/>
    </w:pPr>
    <w:rPr>
      <w:b w:val="0"/>
      <w:i/>
    </w:rPr>
  </w:style>
  <w:style w:type="paragraph" w:customStyle="1" w:styleId="JuHi">
    <w:name w:val="Ju_H_i"/>
    <w:basedOn w:val="JuHa0"/>
    <w:next w:val="JuPara"/>
    <w:rsid w:val="00C52147"/>
    <w:pPr>
      <w:tabs>
        <w:tab w:val="clear" w:pos="975"/>
        <w:tab w:val="left" w:pos="1191"/>
      </w:tabs>
      <w:ind w:left="1190" w:hanging="357"/>
    </w:pPr>
    <w:rPr>
      <w:b w:val="0"/>
      <w:i/>
    </w:rPr>
  </w:style>
  <w:style w:type="paragraph" w:customStyle="1" w:styleId="JuHalpha">
    <w:name w:val="Ju_H_alpha"/>
    <w:basedOn w:val="JuHi"/>
    <w:next w:val="JuPara"/>
    <w:rsid w:val="00C52147"/>
    <w:pPr>
      <w:tabs>
        <w:tab w:val="clear" w:pos="1191"/>
        <w:tab w:val="left" w:pos="1372"/>
      </w:tabs>
      <w:ind w:left="1373" w:hanging="335"/>
    </w:pPr>
    <w:rPr>
      <w:i w:val="0"/>
    </w:rPr>
  </w:style>
  <w:style w:type="paragraph" w:customStyle="1" w:styleId="JuH">
    <w:name w:val="Ju_H_–"/>
    <w:basedOn w:val="JuHalpha"/>
    <w:next w:val="JuPara"/>
    <w:rsid w:val="00C52147"/>
    <w:pPr>
      <w:tabs>
        <w:tab w:val="clear" w:pos="1372"/>
      </w:tabs>
      <w:ind w:left="1236" w:firstLine="0"/>
    </w:pPr>
    <w:rPr>
      <w:i/>
    </w:rPr>
  </w:style>
  <w:style w:type="paragraph" w:customStyle="1" w:styleId="JuHeader">
    <w:name w:val="Ju_Header"/>
    <w:basedOn w:val="Header"/>
    <w:rsid w:val="00C52147"/>
  </w:style>
  <w:style w:type="paragraph" w:styleId="Header">
    <w:name w:val="header"/>
    <w:basedOn w:val="Normal"/>
    <w:rsid w:val="00C52147"/>
    <w:pPr>
      <w:tabs>
        <w:tab w:val="center" w:pos="3686"/>
        <w:tab w:val="right" w:pos="7371"/>
      </w:tabs>
    </w:pPr>
    <w:rPr>
      <w:sz w:val="18"/>
    </w:rPr>
  </w:style>
  <w:style w:type="paragraph" w:customStyle="1" w:styleId="PJuPara">
    <w:name w:val="P_Ju_Para"/>
    <w:basedOn w:val="Normal"/>
    <w:rsid w:val="00C52147"/>
    <w:pPr>
      <w:ind w:firstLine="284"/>
      <w:jc w:val="both"/>
    </w:pPr>
  </w:style>
  <w:style w:type="paragraph" w:customStyle="1" w:styleId="JuSigned">
    <w:name w:val="Ju_Signed"/>
    <w:basedOn w:val="Normal"/>
    <w:next w:val="JuParaLast"/>
    <w:rsid w:val="00C52147"/>
    <w:pPr>
      <w:tabs>
        <w:tab w:val="center" w:pos="851"/>
        <w:tab w:val="center" w:pos="6407"/>
      </w:tabs>
      <w:spacing w:before="720"/>
    </w:pPr>
  </w:style>
  <w:style w:type="paragraph" w:customStyle="1" w:styleId="JuParaLast">
    <w:name w:val="Ju_Para_Last"/>
    <w:basedOn w:val="JuPara"/>
    <w:next w:val="JuPara"/>
    <w:rsid w:val="00C52147"/>
    <w:pPr>
      <w:keepNext/>
      <w:keepLines/>
      <w:spacing w:before="240"/>
    </w:pPr>
  </w:style>
  <w:style w:type="paragraph" w:customStyle="1" w:styleId="JuInitialled">
    <w:name w:val="Ju_Initialled"/>
    <w:basedOn w:val="JuSigned"/>
    <w:rsid w:val="00C52147"/>
    <w:pPr>
      <w:tabs>
        <w:tab w:val="clear" w:pos="851"/>
      </w:tabs>
      <w:jc w:val="right"/>
    </w:pPr>
  </w:style>
  <w:style w:type="paragraph" w:customStyle="1" w:styleId="JuList">
    <w:name w:val="Ju_List"/>
    <w:basedOn w:val="JuPara"/>
    <w:rsid w:val="00C52147"/>
    <w:pPr>
      <w:ind w:left="340" w:hanging="340"/>
    </w:pPr>
  </w:style>
  <w:style w:type="paragraph" w:customStyle="1" w:styleId="JuLista">
    <w:name w:val="Ju_List_a"/>
    <w:basedOn w:val="JuList"/>
    <w:rsid w:val="00C52147"/>
    <w:pPr>
      <w:ind w:left="346" w:firstLine="0"/>
    </w:pPr>
  </w:style>
  <w:style w:type="paragraph" w:customStyle="1" w:styleId="JuListi">
    <w:name w:val="Ju_List_i"/>
    <w:basedOn w:val="JuLista"/>
    <w:rsid w:val="00C52147"/>
    <w:pPr>
      <w:ind w:left="794"/>
    </w:pPr>
  </w:style>
  <w:style w:type="character" w:styleId="FootnoteReference">
    <w:name w:val="footnote reference"/>
    <w:basedOn w:val="DefaultParagraphFont"/>
    <w:semiHidden/>
    <w:rsid w:val="00C52147"/>
    <w:rPr>
      <w:vertAlign w:val="superscript"/>
    </w:rPr>
  </w:style>
  <w:style w:type="paragraph" w:customStyle="1" w:styleId="JuQuot">
    <w:name w:val="Ju_Quot"/>
    <w:basedOn w:val="JuPara"/>
    <w:link w:val="JuQuotChar"/>
    <w:rsid w:val="00C52147"/>
    <w:pPr>
      <w:spacing w:before="120" w:after="120"/>
      <w:ind w:left="425" w:firstLine="142"/>
    </w:pPr>
    <w:rPr>
      <w:sz w:val="20"/>
    </w:rPr>
  </w:style>
  <w:style w:type="paragraph" w:customStyle="1" w:styleId="PJuQuot">
    <w:name w:val="P_Ju_Quot"/>
    <w:basedOn w:val="Normal"/>
    <w:rsid w:val="00C52147"/>
    <w:pPr>
      <w:spacing w:before="120" w:after="120"/>
      <w:ind w:left="403" w:firstLine="176"/>
      <w:jc w:val="both"/>
    </w:pPr>
    <w:rPr>
      <w:sz w:val="20"/>
    </w:rPr>
  </w:style>
  <w:style w:type="paragraph" w:customStyle="1" w:styleId="OpiPara">
    <w:name w:val="Opi_Para"/>
    <w:basedOn w:val="JuPara"/>
    <w:rsid w:val="00C52147"/>
  </w:style>
  <w:style w:type="paragraph" w:customStyle="1" w:styleId="OpiHA">
    <w:name w:val="Opi_H_A"/>
    <w:basedOn w:val="JuHIRoman"/>
    <w:next w:val="OpiPara"/>
    <w:rsid w:val="00C52147"/>
    <w:pPr>
      <w:tabs>
        <w:tab w:val="clear" w:pos="357"/>
      </w:tabs>
    </w:pPr>
    <w:rPr>
      <w:b/>
    </w:rPr>
  </w:style>
  <w:style w:type="paragraph" w:customStyle="1" w:styleId="OpiH1">
    <w:name w:val="Opi_H_1."/>
    <w:basedOn w:val="OpiHA"/>
    <w:next w:val="OpiPara"/>
    <w:rsid w:val="00C52147"/>
    <w:pPr>
      <w:spacing w:before="240" w:after="120"/>
      <w:ind w:left="635"/>
    </w:pPr>
    <w:rPr>
      <w:b w:val="0"/>
      <w:i/>
    </w:rPr>
  </w:style>
  <w:style w:type="paragraph" w:customStyle="1" w:styleId="OpiHa0">
    <w:name w:val="Opi_H_a"/>
    <w:basedOn w:val="OpiH1"/>
    <w:next w:val="OpiPara"/>
    <w:rsid w:val="00C52147"/>
    <w:pPr>
      <w:ind w:left="834"/>
    </w:pPr>
    <w:rPr>
      <w:b/>
      <w:i w:val="0"/>
      <w:sz w:val="20"/>
    </w:rPr>
  </w:style>
  <w:style w:type="paragraph" w:customStyle="1" w:styleId="OpiHHead">
    <w:name w:val="Opi_H_Head"/>
    <w:basedOn w:val="JuHHead"/>
    <w:next w:val="OpiPara"/>
    <w:rsid w:val="00C52147"/>
    <w:pPr>
      <w:spacing w:before="0"/>
      <w:jc w:val="center"/>
    </w:pPr>
  </w:style>
  <w:style w:type="paragraph" w:customStyle="1" w:styleId="OpiTranslation">
    <w:name w:val="Opi_Translation"/>
    <w:basedOn w:val="OpiHHead"/>
    <w:next w:val="OpiPara"/>
    <w:rsid w:val="00C52147"/>
    <w:rPr>
      <w:i/>
      <w:sz w:val="24"/>
    </w:rPr>
  </w:style>
  <w:style w:type="paragraph" w:customStyle="1" w:styleId="OpiHi">
    <w:name w:val="Opi_H_i"/>
    <w:basedOn w:val="OpiHa0"/>
    <w:next w:val="OpiPara"/>
    <w:rsid w:val="00C52147"/>
    <w:pPr>
      <w:ind w:left="1038"/>
    </w:pPr>
    <w:rPr>
      <w:b w:val="0"/>
      <w:i/>
    </w:rPr>
  </w:style>
  <w:style w:type="paragraph" w:customStyle="1" w:styleId="PListArticleSubject">
    <w:name w:val="P_List_ArticleSubject"/>
    <w:basedOn w:val="Normal"/>
    <w:rsid w:val="00C52147"/>
    <w:pPr>
      <w:tabs>
        <w:tab w:val="left" w:pos="2977"/>
      </w:tabs>
      <w:ind w:left="2977" w:hanging="2977"/>
    </w:pPr>
  </w:style>
  <w:style w:type="paragraph" w:customStyle="1" w:styleId="OpiQuot">
    <w:name w:val="Opi_Quot"/>
    <w:basedOn w:val="JuQuot"/>
    <w:rsid w:val="00C52147"/>
  </w:style>
  <w:style w:type="character" w:styleId="PageNumber">
    <w:name w:val="page number"/>
    <w:basedOn w:val="DefaultParagraphFont"/>
    <w:rsid w:val="00C52147"/>
    <w:rPr>
      <w:sz w:val="18"/>
    </w:rPr>
  </w:style>
  <w:style w:type="paragraph" w:styleId="FootnoteText">
    <w:name w:val="footnote text"/>
    <w:basedOn w:val="Normal"/>
    <w:semiHidden/>
    <w:rsid w:val="00C52147"/>
    <w:pPr>
      <w:jc w:val="both"/>
    </w:pPr>
    <w:rPr>
      <w:sz w:val="20"/>
    </w:rPr>
  </w:style>
  <w:style w:type="paragraph" w:customStyle="1" w:styleId="SuCoverTitle1">
    <w:name w:val="Su_Cover_Title1"/>
    <w:basedOn w:val="Normal"/>
    <w:next w:val="SuCoverTitle2"/>
    <w:rsid w:val="00C52147"/>
    <w:pPr>
      <w:spacing w:before="2500"/>
      <w:jc w:val="center"/>
    </w:pPr>
    <w:rPr>
      <w:sz w:val="22"/>
    </w:rPr>
  </w:style>
  <w:style w:type="paragraph" w:customStyle="1" w:styleId="SuCoverTitle2">
    <w:name w:val="Su_Cover_Title2"/>
    <w:basedOn w:val="SuCoverTitle1"/>
    <w:next w:val="Normal"/>
    <w:rsid w:val="00C52147"/>
    <w:pPr>
      <w:spacing w:before="240"/>
    </w:pPr>
    <w:rPr>
      <w:sz w:val="18"/>
    </w:rPr>
  </w:style>
  <w:style w:type="paragraph" w:customStyle="1" w:styleId="JuQuotSub">
    <w:name w:val="Ju_Quot_Sub"/>
    <w:basedOn w:val="JuQuot"/>
    <w:rsid w:val="00C52147"/>
    <w:pPr>
      <w:ind w:left="567"/>
    </w:pPr>
  </w:style>
  <w:style w:type="paragraph" w:styleId="Footer">
    <w:name w:val="footer"/>
    <w:basedOn w:val="Normal"/>
    <w:rsid w:val="00C52147"/>
    <w:pPr>
      <w:tabs>
        <w:tab w:val="center" w:pos="3686"/>
        <w:tab w:val="right" w:pos="7371"/>
      </w:tabs>
    </w:pPr>
    <w:rPr>
      <w:sz w:val="18"/>
    </w:rPr>
  </w:style>
  <w:style w:type="paragraph" w:customStyle="1" w:styleId="SuPara">
    <w:name w:val="Su_Para"/>
    <w:basedOn w:val="SuKeywords"/>
    <w:rsid w:val="00C52147"/>
    <w:pPr>
      <w:spacing w:before="0" w:after="0"/>
    </w:pPr>
    <w:rPr>
      <w:i w:val="0"/>
    </w:rPr>
  </w:style>
  <w:style w:type="paragraph" w:customStyle="1" w:styleId="SuKeywords">
    <w:name w:val="Su_Keywords"/>
    <w:basedOn w:val="SuHHead"/>
    <w:rsid w:val="00C52147"/>
    <w:pPr>
      <w:spacing w:before="120"/>
    </w:pPr>
    <w:rPr>
      <w:b w:val="0"/>
      <w:i/>
    </w:rPr>
  </w:style>
  <w:style w:type="paragraph" w:customStyle="1" w:styleId="SuHHead">
    <w:name w:val="Su_H_Head"/>
    <w:basedOn w:val="SuSubject"/>
    <w:rsid w:val="00C52147"/>
    <w:pPr>
      <w:spacing w:after="120"/>
    </w:pPr>
  </w:style>
  <w:style w:type="paragraph" w:customStyle="1" w:styleId="SuSubject">
    <w:name w:val="Su_Subject"/>
    <w:basedOn w:val="SuSummary"/>
    <w:rsid w:val="00C52147"/>
    <w:pPr>
      <w:spacing w:before="360"/>
      <w:jc w:val="both"/>
    </w:pPr>
    <w:rPr>
      <w:b/>
      <w:sz w:val="22"/>
    </w:rPr>
  </w:style>
  <w:style w:type="paragraph" w:customStyle="1" w:styleId="SuSummary">
    <w:name w:val="Su_Summary"/>
    <w:basedOn w:val="Normal"/>
    <w:next w:val="SuSubject"/>
    <w:rsid w:val="00C52147"/>
    <w:pPr>
      <w:spacing w:after="240"/>
      <w:jc w:val="center"/>
    </w:pPr>
  </w:style>
  <w:style w:type="paragraph" w:customStyle="1" w:styleId="DecHTitle">
    <w:name w:val="Dec_H_Title"/>
    <w:basedOn w:val="Normal"/>
    <w:rsid w:val="00C52147"/>
    <w:pPr>
      <w:spacing w:after="240"/>
      <w:jc w:val="center"/>
    </w:pPr>
    <w:rPr>
      <w:sz w:val="28"/>
    </w:rPr>
  </w:style>
  <w:style w:type="paragraph" w:customStyle="1" w:styleId="DecHCase">
    <w:name w:val="Dec_H_Case"/>
    <w:basedOn w:val="DecHTitle"/>
    <w:next w:val="JuPara"/>
    <w:rsid w:val="00C52147"/>
    <w:rPr>
      <w:sz w:val="24"/>
    </w:rPr>
  </w:style>
  <w:style w:type="paragraph" w:customStyle="1" w:styleId="DecList">
    <w:name w:val="Dec_List"/>
    <w:basedOn w:val="Normal"/>
    <w:rsid w:val="00C52147"/>
    <w:pPr>
      <w:spacing w:before="240"/>
      <w:ind w:left="284"/>
      <w:jc w:val="both"/>
    </w:pPr>
  </w:style>
  <w:style w:type="paragraph" w:customStyle="1" w:styleId="JuParaSub">
    <w:name w:val="Ju_Para_Sub"/>
    <w:basedOn w:val="JuPara"/>
    <w:rsid w:val="00C52147"/>
    <w:pPr>
      <w:ind w:left="284"/>
    </w:pPr>
    <w:rPr>
      <w:szCs w:val="24"/>
    </w:rPr>
  </w:style>
  <w:style w:type="character" w:customStyle="1" w:styleId="JuNames">
    <w:name w:val="Ju_Names"/>
    <w:basedOn w:val="DefaultParagraphFont"/>
    <w:rsid w:val="00C52147"/>
    <w:rPr>
      <w:smallCaps/>
    </w:rPr>
  </w:style>
  <w:style w:type="paragraph" w:customStyle="1" w:styleId="PListCaseNo">
    <w:name w:val="P_List_CaseNo"/>
    <w:basedOn w:val="Normal"/>
    <w:rsid w:val="00C52147"/>
    <w:pPr>
      <w:tabs>
        <w:tab w:val="left" w:pos="1276"/>
      </w:tabs>
      <w:spacing w:line="288" w:lineRule="auto"/>
      <w:ind w:left="1276" w:hanging="1276"/>
    </w:pPr>
  </w:style>
  <w:style w:type="paragraph" w:customStyle="1" w:styleId="PListCases">
    <w:name w:val="P_List_Cases"/>
    <w:basedOn w:val="Normal"/>
    <w:rsid w:val="00C52147"/>
    <w:pPr>
      <w:spacing w:line="288" w:lineRule="auto"/>
    </w:pPr>
  </w:style>
  <w:style w:type="paragraph" w:customStyle="1" w:styleId="PTextIntro">
    <w:name w:val="P_Text_Intro"/>
    <w:basedOn w:val="Normal"/>
    <w:rsid w:val="00C52147"/>
    <w:pPr>
      <w:jc w:val="both"/>
    </w:pPr>
    <w:rPr>
      <w:i/>
      <w:sz w:val="20"/>
    </w:rPr>
  </w:style>
  <w:style w:type="paragraph" w:customStyle="1" w:styleId="PTitleCover">
    <w:name w:val="P_Title_Cover"/>
    <w:basedOn w:val="Normal"/>
    <w:rsid w:val="00C52147"/>
    <w:pPr>
      <w:spacing w:before="2500"/>
      <w:jc w:val="center"/>
    </w:pPr>
    <w:rPr>
      <w:b/>
      <w:smallCaps/>
      <w:sz w:val="30"/>
    </w:rPr>
  </w:style>
  <w:style w:type="paragraph" w:customStyle="1" w:styleId="PTitle1Alpha">
    <w:name w:val="P_Title1_Alpha"/>
    <w:basedOn w:val="Normal"/>
    <w:next w:val="Normal"/>
    <w:rsid w:val="00C52147"/>
    <w:pPr>
      <w:spacing w:after="120"/>
      <w:jc w:val="center"/>
    </w:pPr>
    <w:rPr>
      <w:b/>
      <w:smallCaps/>
      <w:sz w:val="30"/>
    </w:rPr>
  </w:style>
  <w:style w:type="paragraph" w:customStyle="1" w:styleId="PTitle1IndexArticle">
    <w:name w:val="P_Title1_IndexArticle"/>
    <w:basedOn w:val="Normal"/>
    <w:rsid w:val="00C52147"/>
    <w:pPr>
      <w:spacing w:after="120"/>
      <w:jc w:val="center"/>
    </w:pPr>
    <w:rPr>
      <w:b/>
      <w:smallCaps/>
      <w:sz w:val="30"/>
    </w:rPr>
  </w:style>
  <w:style w:type="paragraph" w:customStyle="1" w:styleId="PTitle1IndexKey">
    <w:name w:val="P_Title1_IndexKey"/>
    <w:basedOn w:val="Normal"/>
    <w:rsid w:val="00C52147"/>
    <w:pPr>
      <w:spacing w:after="600"/>
      <w:jc w:val="center"/>
    </w:pPr>
    <w:rPr>
      <w:b/>
      <w:smallCaps/>
      <w:sz w:val="30"/>
    </w:rPr>
  </w:style>
  <w:style w:type="paragraph" w:customStyle="1" w:styleId="PTitle1Num">
    <w:name w:val="P_Title1_Num"/>
    <w:basedOn w:val="Normal"/>
    <w:next w:val="PListCaseNo"/>
    <w:rsid w:val="00C52147"/>
    <w:pPr>
      <w:spacing w:after="720"/>
      <w:jc w:val="center"/>
    </w:pPr>
    <w:rPr>
      <w:b/>
      <w:smallCaps/>
      <w:sz w:val="30"/>
    </w:rPr>
  </w:style>
  <w:style w:type="paragraph" w:customStyle="1" w:styleId="PTitle2Country">
    <w:name w:val="P_Title2_Country"/>
    <w:basedOn w:val="Normal"/>
    <w:next w:val="PListCases"/>
    <w:rsid w:val="00C52147"/>
    <w:pPr>
      <w:keepNext/>
      <w:keepLines/>
      <w:spacing w:before="600" w:after="360"/>
    </w:pPr>
    <w:rPr>
      <w:b/>
    </w:rPr>
  </w:style>
  <w:style w:type="paragraph" w:customStyle="1" w:styleId="PTitle2Letters">
    <w:name w:val="P_Title2_Letters"/>
    <w:basedOn w:val="Normal"/>
    <w:next w:val="PListCases"/>
    <w:rsid w:val="00C52147"/>
    <w:pPr>
      <w:keepNext/>
      <w:keepLines/>
      <w:spacing w:before="600" w:after="360"/>
    </w:pPr>
    <w:rPr>
      <w:b/>
      <w:sz w:val="28"/>
    </w:rPr>
  </w:style>
  <w:style w:type="paragraph" w:customStyle="1" w:styleId="PTitle2Part">
    <w:name w:val="P_Title2_Part"/>
    <w:basedOn w:val="Normal"/>
    <w:rsid w:val="00C52147"/>
    <w:pPr>
      <w:keepNext/>
      <w:keepLines/>
      <w:spacing w:before="600" w:after="240"/>
      <w:jc w:val="center"/>
    </w:pPr>
    <w:rPr>
      <w:b/>
      <w:caps/>
    </w:rPr>
  </w:style>
  <w:style w:type="paragraph" w:customStyle="1" w:styleId="PTitle3Article">
    <w:name w:val="P_Title3_Article"/>
    <w:basedOn w:val="Normal"/>
    <w:rsid w:val="00C52147"/>
    <w:pPr>
      <w:keepNext/>
      <w:keepLines/>
      <w:spacing w:before="360" w:after="120"/>
      <w:jc w:val="center"/>
    </w:pPr>
    <w:rPr>
      <w:b/>
      <w:smallCaps/>
      <w:sz w:val="22"/>
    </w:rPr>
  </w:style>
  <w:style w:type="paragraph" w:customStyle="1" w:styleId="PTitle4ArticleSub">
    <w:name w:val="P_Title4_Article_Sub"/>
    <w:basedOn w:val="PTitle3Article"/>
    <w:rsid w:val="00C52147"/>
    <w:pPr>
      <w:spacing w:before="240"/>
    </w:pPr>
    <w:rPr>
      <w:smallCaps w:val="0"/>
      <w:sz w:val="20"/>
    </w:rPr>
  </w:style>
  <w:style w:type="paragraph" w:customStyle="1" w:styleId="PTitle5Subject">
    <w:name w:val="P_Title5_Subject"/>
    <w:basedOn w:val="Normal"/>
    <w:rsid w:val="00C52147"/>
    <w:pPr>
      <w:keepNext/>
      <w:keepLines/>
      <w:spacing w:before="240" w:after="120"/>
      <w:jc w:val="both"/>
    </w:pPr>
    <w:rPr>
      <w:b/>
      <w:i/>
    </w:rPr>
  </w:style>
  <w:style w:type="paragraph" w:customStyle="1" w:styleId="PTitle6SubjectSub">
    <w:name w:val="P_Title6_Subject_Sub"/>
    <w:basedOn w:val="Normal"/>
    <w:rsid w:val="00C52147"/>
    <w:pPr>
      <w:keepNext/>
      <w:keepLines/>
      <w:spacing w:before="240" w:after="120"/>
      <w:ind w:left="284"/>
      <w:jc w:val="both"/>
    </w:pPr>
    <w:rPr>
      <w:b/>
      <w:sz w:val="20"/>
    </w:rPr>
  </w:style>
  <w:style w:type="paragraph" w:customStyle="1" w:styleId="PTitle7CaseName">
    <w:name w:val="P_Title7_CaseName"/>
    <w:basedOn w:val="Normal"/>
    <w:rsid w:val="00C52147"/>
    <w:pPr>
      <w:keepLines/>
      <w:spacing w:after="240"/>
      <w:jc w:val="right"/>
    </w:pPr>
    <w:rPr>
      <w:sz w:val="22"/>
    </w:rPr>
  </w:style>
  <w:style w:type="paragraph" w:customStyle="1" w:styleId="JuHArticle">
    <w:name w:val="Ju_H_Article"/>
    <w:basedOn w:val="JuHa0"/>
    <w:next w:val="JuQuot"/>
    <w:rsid w:val="00C52147"/>
    <w:pPr>
      <w:ind w:left="0" w:firstLine="0"/>
      <w:jc w:val="center"/>
    </w:pPr>
  </w:style>
  <w:style w:type="paragraph" w:customStyle="1" w:styleId="OpiParaSub">
    <w:name w:val="Opi_Para_Sub"/>
    <w:basedOn w:val="JuParaSub"/>
    <w:rsid w:val="00C52147"/>
  </w:style>
  <w:style w:type="paragraph" w:customStyle="1" w:styleId="OpiQuotSub">
    <w:name w:val="Opi_Quot_Sub"/>
    <w:basedOn w:val="JuQuotSub"/>
    <w:rsid w:val="00C52147"/>
  </w:style>
  <w:style w:type="paragraph" w:customStyle="1" w:styleId="NormalJustified">
    <w:name w:val="Normal_Justified"/>
    <w:basedOn w:val="Normal"/>
    <w:rsid w:val="00C52147"/>
    <w:pPr>
      <w:jc w:val="both"/>
    </w:pPr>
  </w:style>
  <w:style w:type="character" w:customStyle="1" w:styleId="JuParaChar">
    <w:name w:val="Ju_Para Char"/>
    <w:basedOn w:val="DefaultParagraphFont"/>
    <w:link w:val="JuPara"/>
    <w:rsid w:val="00C52147"/>
    <w:rPr>
      <w:sz w:val="24"/>
      <w:lang w:val="en-GB" w:eastAsia="fr-FR" w:bidi="ar-SA"/>
    </w:rPr>
  </w:style>
  <w:style w:type="character" w:customStyle="1" w:styleId="JuHHeadChar">
    <w:name w:val="Ju_H_Head Char"/>
    <w:basedOn w:val="DefaultParagraphFont"/>
    <w:link w:val="JuHHead"/>
    <w:rsid w:val="00C52147"/>
    <w:rPr>
      <w:sz w:val="28"/>
      <w:lang w:val="en-GB" w:eastAsia="fr-FR" w:bidi="ar-SA"/>
    </w:rPr>
  </w:style>
  <w:style w:type="character" w:customStyle="1" w:styleId="JuHAChar">
    <w:name w:val="Ju_H_A Char"/>
    <w:basedOn w:val="DefaultParagraphFont"/>
    <w:link w:val="JuHA"/>
    <w:rsid w:val="00C52147"/>
    <w:rPr>
      <w:b/>
      <w:sz w:val="24"/>
      <w:lang w:val="en-GB" w:eastAsia="fr-FR" w:bidi="ar-SA"/>
    </w:rPr>
  </w:style>
  <w:style w:type="character" w:customStyle="1" w:styleId="JuH1Char">
    <w:name w:val="Ju_H_1. Char"/>
    <w:basedOn w:val="JuHAChar"/>
    <w:link w:val="JuH1"/>
    <w:rsid w:val="00C52147"/>
    <w:rPr>
      <w:b/>
      <w:i/>
      <w:sz w:val="24"/>
      <w:lang w:val="en-GB" w:eastAsia="fr-FR" w:bidi="ar-SA"/>
    </w:rPr>
  </w:style>
  <w:style w:type="character" w:customStyle="1" w:styleId="JuHaChar0">
    <w:name w:val="Ju_H_a Char"/>
    <w:basedOn w:val="JuH1Char"/>
    <w:link w:val="JuHa0"/>
    <w:rsid w:val="00C52147"/>
    <w:rPr>
      <w:b/>
      <w:i/>
      <w:sz w:val="24"/>
      <w:lang w:val="en-GB" w:eastAsia="fr-FR" w:bidi="ar-SA"/>
    </w:rPr>
  </w:style>
  <w:style w:type="character" w:customStyle="1" w:styleId="JuQuotChar">
    <w:name w:val="Ju_Quot Char"/>
    <w:basedOn w:val="DefaultParagraphFont"/>
    <w:link w:val="JuQuot"/>
    <w:rsid w:val="00C52147"/>
    <w:rPr>
      <w:lang w:val="en-GB" w:eastAsia="fr-FR" w:bidi="ar-SA"/>
    </w:rPr>
  </w:style>
  <w:style w:type="character" w:customStyle="1" w:styleId="JuJudgesChar">
    <w:name w:val="Ju_Judges Char"/>
    <w:basedOn w:val="DefaultParagraphFont"/>
    <w:link w:val="JuJudges"/>
    <w:rsid w:val="00C52147"/>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19F27-7DA1-4B35-A4F9-DDF1CF95157C}"/>
</file>

<file path=customXml/itemProps2.xml><?xml version="1.0" encoding="utf-8"?>
<ds:datastoreItem xmlns:ds="http://schemas.openxmlformats.org/officeDocument/2006/customXml" ds:itemID="{51AC390E-7B7D-4D56-8CE7-8C23461371B6}"/>
</file>

<file path=customXml/itemProps3.xml><?xml version="1.0" encoding="utf-8"?>
<ds:datastoreItem xmlns:ds="http://schemas.openxmlformats.org/officeDocument/2006/customXml" ds:itemID="{70BF2D28-0433-45D6-A847-4243570B4721}"/>
</file>

<file path=docProps/app.xml><?xml version="1.0" encoding="utf-8"?>
<Properties xmlns="http://schemas.openxmlformats.org/officeDocument/2006/extended-properties" xmlns:vt="http://schemas.openxmlformats.org/officeDocument/2006/docPropsVTypes">
  <Template>Normal.dotm</Template>
  <TotalTime>1</TotalTime>
  <Pages>1</Pages>
  <Words>3196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dcterms:created xsi:type="dcterms:W3CDTF">2015-03-18T13:50:00Z</dcterms:created>
  <dcterms:modified xsi:type="dcterms:W3CDTF">2015-03-18T13:50:00Z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