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6.0 -->
  <w:body>
    <w:p w:rsidRPr="00D35798" w:rsidR="00D35798" w:rsidP="00D35798">
      <w:pPr>
        <w:pStyle w:val="se3e35852"/>
        <w:jc w:val="both"/>
        <w:rPr>
          <w:color w:val="000000"/>
          <w:sz w:val="18"/>
          <w:szCs w:val="18"/>
          <w:lang w:val="en-GB"/>
        </w:rPr>
      </w:pPr>
      <w:bookmarkStart w:name="_GoBack" w:id="0"/>
      <w:bookmarkEnd w:id="0"/>
      <w:r w:rsidRPr="00D35798">
        <w:rPr>
          <w:color w:val="000000"/>
          <w:sz w:val="18"/>
          <w:szCs w:val="18"/>
          <w:lang w:val="en-GB"/>
        </w:rPr>
        <w:t xml:space="preserve">© Ministry of Justice of the Czech Republic, </w:t>
      </w:r>
      <w:hyperlink w:history="1" r:id="rId5">
        <w:r w:rsidRPr="00D35798">
          <w:rPr>
            <w:color w:val="0000FF"/>
            <w:sz w:val="18"/>
            <w:szCs w:val="18"/>
            <w:u w:val="single"/>
            <w:lang w:val="en-GB"/>
          </w:rPr>
          <w:t>www.justice.cz</w:t>
        </w:r>
      </w:hyperlink>
      <w:r w:rsidRPr="00D35798">
        <w:rPr>
          <w:color w:val="000000"/>
          <w:sz w:val="18"/>
          <w:szCs w:val="18"/>
          <w:lang w:val="en-GB"/>
        </w:rPr>
        <w:t>.</w:t>
      </w:r>
      <w:r w:rsidRPr="00D35798">
        <w:rPr>
          <w:color w:val="000000"/>
          <w:sz w:val="18"/>
          <w:szCs w:val="18"/>
          <w:lang w:val="en-GB"/>
        </w:rPr>
        <w:t xml:space="preserve"> [Translation already published on the official website of the Ministry of Justice of the Czech Republic.] Permission to re-publish this translation has been granted by the Ministry of Justice of the Czech Republic for the sole purpose of its inclusion in the Court</w:t>
      </w:r>
      <w:r w:rsidRPr="00D35798">
        <w:rPr>
          <w:rFonts w:ascii="Times New Roman" w:hAnsi="Times New Roman" w:cs="Times New Roman"/>
          <w:color w:val="000000"/>
          <w:sz w:val="18"/>
          <w:szCs w:val="18"/>
          <w:lang w:val="en-GB"/>
        </w:rPr>
        <w:t>’</w:t>
      </w:r>
      <w:r w:rsidRPr="00D35798">
        <w:rPr>
          <w:color w:val="000000"/>
          <w:sz w:val="18"/>
          <w:szCs w:val="18"/>
          <w:lang w:val="en-GB"/>
        </w:rPr>
        <w:t>s database HUDOC.</w:t>
      </w:r>
    </w:p>
    <w:p w:rsidRPr="00D35798" w:rsidR="00D35798" w:rsidP="00D35798">
      <w:pPr>
        <w:pStyle w:val="se3e35852"/>
        <w:jc w:val="both"/>
        <w:rPr>
          <w:color w:val="000000"/>
          <w:sz w:val="18"/>
          <w:szCs w:val="18"/>
          <w:lang w:val="en-GB"/>
        </w:rPr>
      </w:pPr>
    </w:p>
    <w:p w:rsidRPr="00D35798" w:rsidR="00D35798" w:rsidP="00D35798">
      <w:pPr>
        <w:pStyle w:val="se3e35852"/>
        <w:jc w:val="both"/>
        <w:rPr>
          <w:color w:val="000000"/>
          <w:sz w:val="18"/>
          <w:szCs w:val="18"/>
          <w:lang w:val="en-GB"/>
        </w:rPr>
      </w:pPr>
      <w:r w:rsidRPr="00D35798">
        <w:rPr>
          <w:color w:val="000000"/>
          <w:sz w:val="18"/>
          <w:szCs w:val="18"/>
          <w:lang w:val="en-GB"/>
        </w:rPr>
        <w:t xml:space="preserve">© </w:t>
      </w:r>
      <w:r w:rsidRPr="00D35798">
        <w:rPr>
          <w:color w:val="000000"/>
          <w:sz w:val="18"/>
          <w:szCs w:val="18"/>
          <w:lang w:val="en-GB"/>
        </w:rPr>
        <w:t>Ministerstvo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spravedlnosti</w:t>
      </w:r>
      <w:r w:rsidRPr="00D35798">
        <w:rPr>
          <w:color w:val="000000"/>
          <w:sz w:val="18"/>
          <w:szCs w:val="18"/>
          <w:lang w:val="en-GB"/>
        </w:rPr>
        <w:t xml:space="preserve"> Č </w:t>
      </w:r>
      <w:r w:rsidRPr="00D35798">
        <w:rPr>
          <w:color w:val="000000"/>
          <w:sz w:val="18"/>
          <w:szCs w:val="18"/>
          <w:lang w:val="en-GB"/>
        </w:rPr>
        <w:t>eské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republiky</w:t>
      </w:r>
      <w:r w:rsidRPr="00D35798">
        <w:rPr>
          <w:color w:val="000000"/>
          <w:sz w:val="18"/>
          <w:szCs w:val="18"/>
          <w:lang w:val="en-GB"/>
        </w:rPr>
        <w:t xml:space="preserve">, </w:t>
      </w:r>
      <w:hyperlink w:history="1" r:id="rId5">
        <w:r w:rsidRPr="00D35798">
          <w:rPr>
            <w:color w:val="000000"/>
            <w:sz w:val="18"/>
            <w:szCs w:val="18"/>
            <w:lang w:val="en-GB"/>
          </w:rPr>
          <w:t>www.justice.cz</w:t>
        </w:r>
      </w:hyperlink>
      <w:r w:rsidRPr="00D35798">
        <w:rPr>
          <w:color w:val="000000"/>
          <w:sz w:val="18"/>
          <w:szCs w:val="18"/>
          <w:lang w:val="en-GB"/>
        </w:rPr>
        <w:t>.</w:t>
      </w:r>
      <w:r w:rsidRPr="00D35798">
        <w:rPr>
          <w:color w:val="000000"/>
          <w:sz w:val="18"/>
          <w:szCs w:val="18"/>
          <w:lang w:val="en-GB"/>
        </w:rPr>
        <w:t xml:space="preserve"> [</w:t>
      </w:r>
      <w:r w:rsidRPr="00D35798">
        <w:rPr>
          <w:color w:val="000000"/>
          <w:sz w:val="18"/>
          <w:szCs w:val="18"/>
          <w:lang w:val="en-GB"/>
        </w:rPr>
        <w:t>Př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eklad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již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zveř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ejně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ný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na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oficiální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webové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stránce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Ministerstva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spravedlnosti</w:t>
      </w:r>
      <w:r w:rsidRPr="00D35798">
        <w:rPr>
          <w:color w:val="000000"/>
          <w:sz w:val="18"/>
          <w:szCs w:val="18"/>
          <w:lang w:val="en-GB"/>
        </w:rPr>
        <w:t xml:space="preserve"> Č </w:t>
      </w:r>
      <w:r w:rsidRPr="00D35798">
        <w:rPr>
          <w:color w:val="000000"/>
          <w:sz w:val="18"/>
          <w:szCs w:val="18"/>
          <w:lang w:val="en-GB"/>
        </w:rPr>
        <w:t>eské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republiky</w:t>
      </w:r>
      <w:r w:rsidRPr="00D35798">
        <w:rPr>
          <w:color w:val="000000"/>
          <w:sz w:val="18"/>
          <w:szCs w:val="18"/>
          <w:lang w:val="en-GB"/>
        </w:rPr>
        <w:t xml:space="preserve">.] </w:t>
      </w:r>
      <w:r w:rsidRPr="00D35798">
        <w:rPr>
          <w:color w:val="000000"/>
          <w:sz w:val="18"/>
          <w:szCs w:val="18"/>
          <w:lang w:val="en-GB"/>
        </w:rPr>
        <w:t>Povolení</w:t>
      </w:r>
      <w:r w:rsidRPr="00D35798">
        <w:rPr>
          <w:color w:val="000000"/>
          <w:sz w:val="18"/>
          <w:szCs w:val="18"/>
          <w:lang w:val="en-GB"/>
        </w:rPr>
        <w:t xml:space="preserve"> k </w:t>
      </w:r>
      <w:r w:rsidRPr="00D35798">
        <w:rPr>
          <w:color w:val="000000"/>
          <w:sz w:val="18"/>
          <w:szCs w:val="18"/>
          <w:lang w:val="en-GB"/>
        </w:rPr>
        <w:t>opě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tnému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zveř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ejně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ní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tohoto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př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ekladu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bylo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udě</w:t>
      </w:r>
      <w:r w:rsidRPr="00D35798">
        <w:rPr>
          <w:color w:val="000000"/>
          <w:sz w:val="18"/>
          <w:szCs w:val="18"/>
          <w:lang w:val="en-GB"/>
        </w:rPr>
        <w:t xml:space="preserve"> leno </w:t>
      </w:r>
      <w:r w:rsidRPr="00D35798">
        <w:rPr>
          <w:color w:val="000000"/>
          <w:sz w:val="18"/>
          <w:szCs w:val="18"/>
          <w:lang w:val="en-GB"/>
        </w:rPr>
        <w:t>Ministerstvem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spravedlnosti</w:t>
      </w:r>
      <w:r w:rsidRPr="00D35798">
        <w:rPr>
          <w:color w:val="000000"/>
          <w:sz w:val="18"/>
          <w:szCs w:val="18"/>
          <w:lang w:val="en-GB"/>
        </w:rPr>
        <w:t xml:space="preserve"> Č </w:t>
      </w:r>
      <w:r w:rsidRPr="00D35798">
        <w:rPr>
          <w:color w:val="000000"/>
          <w:sz w:val="18"/>
          <w:szCs w:val="18"/>
          <w:lang w:val="en-GB"/>
        </w:rPr>
        <w:t>eské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republiky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pouze</w:t>
      </w:r>
      <w:r w:rsidRPr="00D35798">
        <w:rPr>
          <w:color w:val="000000"/>
          <w:sz w:val="18"/>
          <w:szCs w:val="18"/>
          <w:lang w:val="en-GB"/>
        </w:rPr>
        <w:t xml:space="preserve"> pro </w:t>
      </w:r>
      <w:r w:rsidRPr="00D35798">
        <w:rPr>
          <w:color w:val="000000"/>
          <w:sz w:val="18"/>
          <w:szCs w:val="18"/>
          <w:lang w:val="en-GB"/>
        </w:rPr>
        <w:t>úč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ely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zař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azení</w:t>
      </w:r>
      <w:r w:rsidRPr="00D35798">
        <w:rPr>
          <w:color w:val="000000"/>
          <w:sz w:val="18"/>
          <w:szCs w:val="18"/>
          <w:lang w:val="en-GB"/>
        </w:rPr>
        <w:t xml:space="preserve"> do </w:t>
      </w:r>
      <w:r w:rsidRPr="00D35798">
        <w:rPr>
          <w:color w:val="000000"/>
          <w:sz w:val="18"/>
          <w:szCs w:val="18"/>
          <w:lang w:val="en-GB"/>
        </w:rPr>
        <w:t>databáze</w:t>
      </w:r>
      <w:r w:rsidRPr="00D35798">
        <w:rPr>
          <w:color w:val="000000"/>
          <w:sz w:val="18"/>
          <w:szCs w:val="18"/>
          <w:lang w:val="en-GB"/>
        </w:rPr>
        <w:t xml:space="preserve"> </w:t>
      </w:r>
      <w:r w:rsidRPr="00D35798">
        <w:rPr>
          <w:color w:val="000000"/>
          <w:sz w:val="18"/>
          <w:szCs w:val="18"/>
          <w:lang w:val="en-GB"/>
        </w:rPr>
        <w:t>Soudu</w:t>
      </w:r>
      <w:r w:rsidRPr="00D35798">
        <w:rPr>
          <w:color w:val="000000"/>
          <w:sz w:val="18"/>
          <w:szCs w:val="18"/>
          <w:lang w:val="en-GB"/>
        </w:rPr>
        <w:t xml:space="preserve"> HUDOC.</w:t>
      </w:r>
    </w:p>
    <w:p w:rsidRPr="00D35798" w:rsidR="00150C2C" w:rsidP="00D35798">
      <w:pPr>
        <w:pStyle w:val="Nadpishlavn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  <w:r w:rsidRPr="00D35798">
        <w:t>Anotace rozhodnutí Evropského soudu pro lidská práva</w:t>
      </w:r>
    </w:p>
    <w:p w:rsidRPr="00D35798" w:rsidR="004B464B" w:rsidP="00D35798">
      <w:pPr>
        <w:pStyle w:val="Nadpisjudiktu1"/>
      </w:pPr>
      <w:r w:rsidRPr="00D35798">
        <w:t>Roz</w:t>
      </w:r>
      <w:r w:rsidRPr="00D35798" w:rsidR="00D53083">
        <w:t>hodnutí</w:t>
      </w:r>
      <w:r w:rsidRPr="00D35798">
        <w:t xml:space="preserve"> ze </w:t>
      </w:r>
      <w:r w:rsidRPr="00D35798" w:rsidR="00814155">
        <w:t xml:space="preserve">dne </w:t>
      </w:r>
      <w:r w:rsidRPr="00D35798" w:rsidR="00D53083">
        <w:t>2</w:t>
      </w:r>
      <w:r w:rsidRPr="00D35798" w:rsidR="005D785A">
        <w:t>0</w:t>
      </w:r>
      <w:r w:rsidRPr="00D35798" w:rsidR="00814155">
        <w:t xml:space="preserve">. </w:t>
      </w:r>
      <w:r w:rsidRPr="00D35798" w:rsidR="00324019">
        <w:t>října</w:t>
      </w:r>
      <w:r w:rsidRPr="00D35798" w:rsidR="00814155">
        <w:t xml:space="preserve"> 2015 ve věci č. </w:t>
      </w:r>
      <w:r w:rsidRPr="00D35798" w:rsidR="005D785A">
        <w:t>25239/13</w:t>
      </w:r>
      <w:r w:rsidRPr="00D35798" w:rsidR="00022DBE">
        <w:t xml:space="preserve"> </w:t>
      </w:r>
      <w:r w:rsidRPr="00D35798">
        <w:t xml:space="preserve">– </w:t>
      </w:r>
      <w:r w:rsidRPr="00D35798" w:rsidR="00D53083">
        <w:rPr>
          <w:i/>
        </w:rPr>
        <w:t>M</w:t>
      </w:r>
      <w:r w:rsidRPr="00D35798" w:rsidR="00D35798">
        <w:rPr>
          <w:i/>
        </w:rPr>
        <w:t>’</w:t>
      </w:r>
      <w:r w:rsidRPr="00D35798" w:rsidR="00D53083">
        <w:rPr>
          <w:i/>
        </w:rPr>
        <w:t>Bala</w:t>
      </w:r>
      <w:r w:rsidRPr="00D35798" w:rsidR="00D53083">
        <w:rPr>
          <w:i/>
        </w:rPr>
        <w:t xml:space="preserve"> </w:t>
      </w:r>
      <w:r w:rsidRPr="00D35798" w:rsidR="00D53083">
        <w:rPr>
          <w:i/>
        </w:rPr>
        <w:t>M</w:t>
      </w:r>
      <w:r w:rsidRPr="00D35798" w:rsidR="00D35798">
        <w:rPr>
          <w:i/>
        </w:rPr>
        <w:t>’</w:t>
      </w:r>
      <w:r w:rsidRPr="00D35798" w:rsidR="00D53083">
        <w:rPr>
          <w:i/>
        </w:rPr>
        <w:t>Bala</w:t>
      </w:r>
      <w:r w:rsidRPr="00D35798" w:rsidR="00D53083">
        <w:rPr>
          <w:i/>
        </w:rPr>
        <w:t xml:space="preserve"> proti Francii</w:t>
      </w:r>
    </w:p>
    <w:p w:rsidRPr="00D35798" w:rsidR="00D35798" w:rsidP="00D35798">
      <w:pPr>
        <w:pStyle w:val="Textzprvy"/>
      </w:pPr>
      <w:r w:rsidRPr="00D35798">
        <w:t>S</w:t>
      </w:r>
      <w:r w:rsidRPr="00D35798" w:rsidR="00814155">
        <w:t xml:space="preserve">enát </w:t>
      </w:r>
      <w:r w:rsidRPr="00D35798" w:rsidR="00D53083">
        <w:t>páté</w:t>
      </w:r>
      <w:r w:rsidRPr="00D35798">
        <w:t xml:space="preserve"> sekce </w:t>
      </w:r>
      <w:r w:rsidRPr="00D35798" w:rsidR="00814155">
        <w:t xml:space="preserve">Soudu </w:t>
      </w:r>
      <w:r w:rsidRPr="00D35798" w:rsidR="007F03F8">
        <w:t xml:space="preserve">většinou hlasů </w:t>
      </w:r>
      <w:r w:rsidRPr="00D35798" w:rsidR="00D53083">
        <w:t>rozhodl</w:t>
      </w:r>
      <w:r w:rsidRPr="00D35798" w:rsidR="007F03F8">
        <w:t xml:space="preserve">, že stížnost, v níž stěžovatel s poukazem na porušení své </w:t>
      </w:r>
      <w:r w:rsidRPr="00D35798" w:rsidR="00B70C6E">
        <w:t>svobody</w:t>
      </w:r>
      <w:r w:rsidRPr="00D35798" w:rsidR="007F03F8">
        <w:t xml:space="preserve"> projevu </w:t>
      </w:r>
      <w:r w:rsidRPr="00D35798" w:rsidR="00B70C6E">
        <w:t>chráněné člán</w:t>
      </w:r>
      <w:r w:rsidRPr="00D35798" w:rsidR="007F03F8">
        <w:t>k</w:t>
      </w:r>
      <w:r w:rsidRPr="00D35798" w:rsidR="00B70C6E">
        <w:t>em</w:t>
      </w:r>
      <w:r w:rsidRPr="00D35798" w:rsidR="007F03F8">
        <w:t xml:space="preserve"> 10 Úmluvy brojil proti svému odsouzení </w:t>
      </w:r>
      <w:r w:rsidRPr="00D35798" w:rsidR="005D785A">
        <w:t>za</w:t>
      </w:r>
      <w:r w:rsidRPr="00D35798" w:rsidR="00D53083">
        <w:t xml:space="preserve"> antisemit</w:t>
      </w:r>
      <w:r w:rsidRPr="00D35798" w:rsidR="007F03F8">
        <w:t>ské v</w:t>
      </w:r>
      <w:r w:rsidRPr="00D35798" w:rsidR="007F03F8">
        <w:t>ý</w:t>
      </w:r>
      <w:r w:rsidRPr="00D35798" w:rsidR="007F03F8">
        <w:t xml:space="preserve">roky, je na základě článku 17 Úmluvy zakotvujícího zákaz zneužití práv </w:t>
      </w:r>
      <w:r w:rsidRPr="00D35798" w:rsidR="00B70C6E">
        <w:t xml:space="preserve">zaručených </w:t>
      </w:r>
      <w:r w:rsidRPr="00D35798" w:rsidR="007F03F8">
        <w:t>v Úmluvě nepřij</w:t>
      </w:r>
      <w:r w:rsidRPr="00D35798" w:rsidR="007F03F8">
        <w:t>a</w:t>
      </w:r>
      <w:r w:rsidRPr="00D35798" w:rsidR="007F03F8">
        <w:t>telná</w:t>
      </w:r>
      <w:r w:rsidRPr="00D35798" w:rsidR="00D53083">
        <w:t>.</w:t>
      </w:r>
    </w:p>
    <w:p w:rsidRPr="00D35798" w:rsidR="004B464B" w:rsidP="00D35798">
      <w:pPr>
        <w:pStyle w:val="Nadpisstijudiktu"/>
      </w:pPr>
      <w:r w:rsidRPr="00D35798">
        <w:t>I.</w:t>
      </w:r>
      <w:r w:rsidRPr="00D35798">
        <w:tab/>
        <w:t>Skutkové okolnosti</w:t>
      </w:r>
    </w:p>
    <w:p w:rsidRPr="00D35798" w:rsidR="00D35798" w:rsidP="00D35798">
      <w:pPr>
        <w:pStyle w:val="Textzprvy"/>
      </w:pPr>
      <w:r w:rsidRPr="00D35798">
        <w:t>Stěžovatel je komik</w:t>
      </w:r>
      <w:r w:rsidRPr="00D35798" w:rsidR="000167F6">
        <w:t>em</w:t>
      </w:r>
      <w:r w:rsidRPr="00D35798">
        <w:t xml:space="preserve"> vystupující</w:t>
      </w:r>
      <w:r w:rsidRPr="00D35798" w:rsidR="000167F6">
        <w:t>m</w:t>
      </w:r>
      <w:r w:rsidRPr="00D35798">
        <w:t xml:space="preserve"> pod uměleckým jménem </w:t>
      </w:r>
      <w:r w:rsidRPr="00D35798">
        <w:t>Dieudonné</w:t>
      </w:r>
      <w:r w:rsidRPr="00D35798">
        <w:t xml:space="preserve"> a</w:t>
      </w:r>
      <w:r w:rsidRPr="00D35798" w:rsidR="00EA23ED">
        <w:t xml:space="preserve"> </w:t>
      </w:r>
      <w:r w:rsidRPr="00D35798">
        <w:t>mj. též někdejší kandidát Ant</w:t>
      </w:r>
      <w:r w:rsidRPr="00D35798">
        <w:t>i</w:t>
      </w:r>
      <w:r w:rsidRPr="00D35798">
        <w:t>sionistické strany (PAS) ve volbách do Evropského parlamentu. Ke konci představení v</w:t>
      </w:r>
      <w:r w:rsidRPr="00D35798" w:rsidR="00EA23ED">
        <w:t> </w:t>
      </w:r>
      <w:r w:rsidRPr="00D35798" w:rsidR="00E047DB">
        <w:t xml:space="preserve">pařížském sále </w:t>
      </w:r>
      <w:r w:rsidRPr="00D35798" w:rsidR="00E047DB">
        <w:t>Zénith</w:t>
      </w:r>
      <w:r w:rsidRPr="00D35798" w:rsidR="00E047DB">
        <w:t xml:space="preserve"> v prosinci 2008</w:t>
      </w:r>
      <w:r w:rsidRPr="00D35798">
        <w:t xml:space="preserve"> s odkazem na kritiku jednoho komentátora, podle ně</w:t>
      </w:r>
      <w:r w:rsidRPr="00D35798" w:rsidR="007F3918">
        <w:t>ho</w:t>
      </w:r>
      <w:r w:rsidRPr="00D35798">
        <w:t>ž bylo minulé předst</w:t>
      </w:r>
      <w:r w:rsidRPr="00D35798">
        <w:t>a</w:t>
      </w:r>
      <w:r w:rsidRPr="00D35798">
        <w:t xml:space="preserve">vení stěžovatele ve stejném sále „největším antisemitským </w:t>
      </w:r>
      <w:r w:rsidRPr="00D35798" w:rsidR="00E047DB">
        <w:t xml:space="preserve">shromážděním </w:t>
      </w:r>
      <w:r w:rsidRPr="00D35798">
        <w:t xml:space="preserve">po </w:t>
      </w:r>
      <w:r w:rsidRPr="00D35798" w:rsidR="00E047DB">
        <w:t xml:space="preserve">druhé </w:t>
      </w:r>
      <w:r w:rsidRPr="00D35798">
        <w:t>světové válce“, vyjádřil mj. přání se</w:t>
      </w:r>
      <w:r w:rsidRPr="00D35798" w:rsidR="00E047DB">
        <w:t xml:space="preserve"> „polepšit“. Pozval </w:t>
      </w:r>
      <w:r w:rsidRPr="00D35798" w:rsidR="007F3918">
        <w:t xml:space="preserve">proto </w:t>
      </w:r>
      <w:r w:rsidRPr="00D35798" w:rsidR="00E047DB">
        <w:t>na podium Roberta</w:t>
      </w:r>
      <w:r w:rsidRPr="00D35798">
        <w:t xml:space="preserve"> </w:t>
      </w:r>
      <w:r w:rsidRPr="00D35798">
        <w:t>Faurissona</w:t>
      </w:r>
      <w:r w:rsidRPr="00D35798">
        <w:t xml:space="preserve">, </w:t>
      </w:r>
      <w:r w:rsidRPr="00D35798" w:rsidR="00E047DB">
        <w:t xml:space="preserve">široké veřejnosti známého muže opakovaně odsouzeného za popírání </w:t>
      </w:r>
      <w:r w:rsidRPr="00D35798" w:rsidR="00662993">
        <w:t>holokaustu</w:t>
      </w:r>
      <w:r w:rsidRPr="00D35798" w:rsidR="00E047DB">
        <w:t xml:space="preserve">, </w:t>
      </w:r>
      <w:r w:rsidRPr="00D35798">
        <w:t>vyhlásil ho „nejzatracovanější osobou Francie“ a předal mu prostřednictvím svého asistenta oblečeného v károvaném p</w:t>
      </w:r>
      <w:r w:rsidRPr="00D35798">
        <w:t>y</w:t>
      </w:r>
      <w:r w:rsidRPr="00D35798">
        <w:t>žamu se žlutou hvězdou a označením „Žid“ (</w:t>
      </w:r>
      <w:r w:rsidRPr="00D35798">
        <w:rPr>
          <w:i/>
        </w:rPr>
        <w:t>Juif</w:t>
      </w:r>
      <w:r w:rsidRPr="00D35798">
        <w:t>) na hrudi cenu – maketu trojramenného svícnu ozdoben</w:t>
      </w:r>
      <w:r w:rsidRPr="00D35798">
        <w:t>é</w:t>
      </w:r>
      <w:r w:rsidRPr="00D35798">
        <w:t>ho jablky.</w:t>
      </w:r>
    </w:p>
    <w:p w:rsidRPr="00D35798" w:rsidR="00E040E7" w:rsidP="00D35798">
      <w:pPr>
        <w:pStyle w:val="Textzprvy"/>
      </w:pPr>
      <w:r w:rsidRPr="00D35798">
        <w:t>O tři dny později zahájil státní zástupce vyšetřování, v</w:t>
      </w:r>
      <w:r w:rsidRPr="00D35798" w:rsidR="007F3918">
        <w:t xml:space="preserve"> jehož </w:t>
      </w:r>
      <w:r w:rsidRPr="00D35798">
        <w:t xml:space="preserve">rámci byl </w:t>
      </w:r>
      <w:r w:rsidRPr="00D35798" w:rsidR="007F3918">
        <w:t xml:space="preserve">mj. </w:t>
      </w:r>
      <w:r w:rsidRPr="00D35798">
        <w:t>prověřen záznam předst</w:t>
      </w:r>
      <w:r w:rsidRPr="00D35798">
        <w:t>a</w:t>
      </w:r>
      <w:r w:rsidRPr="00D35798">
        <w:t>ven</w:t>
      </w:r>
      <w:r w:rsidRPr="00D35798" w:rsidR="00165CC3">
        <w:t xml:space="preserve">í volně přístupný na internetu </w:t>
      </w:r>
      <w:r w:rsidRPr="00D35798" w:rsidR="007F3918">
        <w:t xml:space="preserve">a </w:t>
      </w:r>
      <w:r w:rsidRPr="00D35798">
        <w:t xml:space="preserve">vyslechnut </w:t>
      </w:r>
      <w:r w:rsidRPr="00D35798" w:rsidR="007F3918">
        <w:t>stěžovatel</w:t>
      </w:r>
      <w:r w:rsidRPr="00D35798">
        <w:t xml:space="preserve"> a</w:t>
      </w:r>
      <w:r w:rsidRPr="00D35798" w:rsidR="00165CC3">
        <w:t xml:space="preserve"> </w:t>
      </w:r>
      <w:r w:rsidRPr="00D35798" w:rsidR="007F3918">
        <w:t>jeho asistent</w:t>
      </w:r>
      <w:r w:rsidRPr="00D35798">
        <w:t>.</w:t>
      </w:r>
      <w:r w:rsidRPr="00D35798">
        <w:t xml:space="preserve"> V březnu 2009 podal státní z</w:t>
      </w:r>
      <w:r w:rsidRPr="00D35798">
        <w:t>á</w:t>
      </w:r>
      <w:r w:rsidRPr="00D35798">
        <w:t>stupce na stěžovatele o</w:t>
      </w:r>
      <w:r w:rsidRPr="00D35798" w:rsidR="00165CC3">
        <w:t>bžalobu z trestného činu urážky</w:t>
      </w:r>
      <w:r w:rsidRPr="00D35798">
        <w:t xml:space="preserve"> osoby nebo skupiny osob z důvodu jejich původu, příslušnosti k určitému etniku, národu, rase nebo náb</w:t>
      </w:r>
      <w:r w:rsidRPr="00D35798">
        <w:t>o</w:t>
      </w:r>
      <w:r w:rsidRPr="00D35798">
        <w:t>ženství</w:t>
      </w:r>
      <w:r w:rsidRPr="00D35798">
        <w:t>.</w:t>
      </w:r>
    </w:p>
    <w:p w:rsidRPr="00D35798" w:rsidR="007A1F62" w:rsidP="00D35798">
      <w:pPr>
        <w:pStyle w:val="Textzprvy"/>
      </w:pPr>
      <w:r w:rsidRPr="00D35798">
        <w:t>V rozsudku z října</w:t>
      </w:r>
      <w:r w:rsidRPr="00D35798">
        <w:t xml:space="preserve"> </w:t>
      </w:r>
      <w:r w:rsidRPr="00D35798">
        <w:t xml:space="preserve">2009 dospěl </w:t>
      </w:r>
      <w:r w:rsidRPr="00D35798">
        <w:t xml:space="preserve">prvoinstanční soud </w:t>
      </w:r>
      <w:r w:rsidRPr="00D35798" w:rsidR="00E047DB">
        <w:t>s</w:t>
      </w:r>
      <w:r w:rsidRPr="00D35798">
        <w:t xml:space="preserve"> přihlédnutí</w:t>
      </w:r>
      <w:r w:rsidRPr="00D35798" w:rsidR="00E047DB">
        <w:t>m</w:t>
      </w:r>
      <w:r w:rsidRPr="00D35798">
        <w:t xml:space="preserve"> k celkovému kontextu případu </w:t>
      </w:r>
      <w:r w:rsidRPr="00D35798">
        <w:t>k</w:t>
      </w:r>
      <w:r w:rsidRPr="00D35798" w:rsidR="00EA2099">
        <w:t> </w:t>
      </w:r>
      <w:r w:rsidRPr="00D35798">
        <w:t xml:space="preserve">závěru, že stěžovatel </w:t>
      </w:r>
      <w:r w:rsidRPr="00D35798">
        <w:t xml:space="preserve">pod rouškou humoru </w:t>
      </w:r>
      <w:r w:rsidRPr="00D35798">
        <w:t>zneuctil osoby židovského původu či ná</w:t>
      </w:r>
      <w:r w:rsidRPr="00D35798">
        <w:t>boženství. Kar</w:t>
      </w:r>
      <w:r w:rsidRPr="00D35798">
        <w:t>i</w:t>
      </w:r>
      <w:r w:rsidRPr="00D35798">
        <w:t xml:space="preserve">katura a satira </w:t>
      </w:r>
      <w:r w:rsidRPr="00D35798" w:rsidR="00E047DB">
        <w:t>dle soudu nepopi</w:t>
      </w:r>
      <w:r w:rsidRPr="00D35798">
        <w:t xml:space="preserve">ratelně </w:t>
      </w:r>
      <w:r w:rsidRPr="00D35798" w:rsidR="00E047DB">
        <w:t xml:space="preserve">požívají ochrany </w:t>
      </w:r>
      <w:r w:rsidRPr="00D35798">
        <w:t>svobody projevu, tvorby a šíř</w:t>
      </w:r>
      <w:r w:rsidRPr="00D35798">
        <w:t>e</w:t>
      </w:r>
      <w:r w:rsidRPr="00D35798">
        <w:t>ní myšlenek a názo</w:t>
      </w:r>
      <w:r w:rsidRPr="00D35798" w:rsidR="00E047DB">
        <w:t>rů v demokratické společnosti, avšak</w:t>
      </w:r>
      <w:r w:rsidRPr="00D35798">
        <w:t xml:space="preserve"> </w:t>
      </w:r>
      <w:r w:rsidRPr="00D35798" w:rsidR="00E047DB">
        <w:t xml:space="preserve">i </w:t>
      </w:r>
      <w:r w:rsidRPr="00D35798">
        <w:t>právo na humor má své limity vytyčené zejména respe</w:t>
      </w:r>
      <w:r w:rsidRPr="00D35798">
        <w:t>k</w:t>
      </w:r>
      <w:r w:rsidRPr="00D35798">
        <w:t xml:space="preserve">tem k lidské důstojnosti. </w:t>
      </w:r>
      <w:r w:rsidRPr="00D35798" w:rsidR="00E047DB">
        <w:t>Jelikož stěžovatel t</w:t>
      </w:r>
      <w:r w:rsidRPr="00D35798">
        <w:t xml:space="preserve">yto limity </w:t>
      </w:r>
      <w:r w:rsidRPr="00D35798" w:rsidR="00E047DB">
        <w:t xml:space="preserve">daným představením </w:t>
      </w:r>
      <w:r w:rsidRPr="00D35798">
        <w:t xml:space="preserve">zjevně překročil, </w:t>
      </w:r>
      <w:r w:rsidRPr="00D35798" w:rsidR="00E047DB">
        <w:t xml:space="preserve">soud stěžovatele uznal vinným ze </w:t>
      </w:r>
      <w:r w:rsidRPr="00D35798">
        <w:t>spá</w:t>
      </w:r>
      <w:r w:rsidRPr="00D35798" w:rsidR="00E047DB">
        <w:t xml:space="preserve">chání </w:t>
      </w:r>
      <w:r w:rsidRPr="00D35798" w:rsidR="00EA2099">
        <w:t xml:space="preserve">vytýkaného </w:t>
      </w:r>
      <w:r w:rsidRPr="00D35798" w:rsidR="00E047DB">
        <w:t>trestného</w:t>
      </w:r>
      <w:r w:rsidRPr="00D35798">
        <w:t xml:space="preserve"> čin</w:t>
      </w:r>
      <w:r w:rsidRPr="00D35798" w:rsidR="00E047DB">
        <w:t>u</w:t>
      </w:r>
      <w:r w:rsidRPr="00D35798" w:rsidR="00EA2099">
        <w:t xml:space="preserve"> </w:t>
      </w:r>
      <w:r w:rsidRPr="00D35798" w:rsidR="00E047DB">
        <w:t xml:space="preserve">a </w:t>
      </w:r>
      <w:r w:rsidRPr="00D35798">
        <w:t>uložil</w:t>
      </w:r>
      <w:r w:rsidRPr="00D35798">
        <w:t xml:space="preserve"> </w:t>
      </w:r>
      <w:r w:rsidRPr="00D35798" w:rsidR="00E047DB">
        <w:t xml:space="preserve">mu peněžitý trest ve výši </w:t>
      </w:r>
      <w:r w:rsidRPr="00D35798" w:rsidR="00EA2099">
        <w:t>10 </w:t>
      </w:r>
      <w:r w:rsidRPr="00D35798">
        <w:t xml:space="preserve">000 eur a povinnost nechat </w:t>
      </w:r>
      <w:r w:rsidRPr="00D35798" w:rsidR="00E047DB">
        <w:t xml:space="preserve">na své náklady </w:t>
      </w:r>
      <w:r w:rsidRPr="00D35798">
        <w:t xml:space="preserve">otisknout informaci o </w:t>
      </w:r>
      <w:r w:rsidRPr="00D35798" w:rsidR="00E047DB">
        <w:t>o</w:t>
      </w:r>
      <w:r w:rsidRPr="00D35798" w:rsidR="00E047DB">
        <w:t>d</w:t>
      </w:r>
      <w:r w:rsidRPr="00D35798" w:rsidR="00E047DB">
        <w:t xml:space="preserve">souzení </w:t>
      </w:r>
      <w:r w:rsidRPr="00D35798">
        <w:t>v</w:t>
      </w:r>
      <w:r w:rsidRPr="00D35798" w:rsidR="00165CC3">
        <w:t>e dvou</w:t>
      </w:r>
      <w:r w:rsidRPr="00D35798">
        <w:t xml:space="preserve"> </w:t>
      </w:r>
      <w:r w:rsidRPr="00D35798" w:rsidR="00E047DB">
        <w:t xml:space="preserve">významných </w:t>
      </w:r>
      <w:r w:rsidRPr="00D35798">
        <w:t>denících</w:t>
      </w:r>
      <w:r w:rsidRPr="00D35798" w:rsidR="00165CC3">
        <w:t>.</w:t>
      </w:r>
      <w:r w:rsidRPr="00D35798">
        <w:t xml:space="preserve"> K odvolání stěžovatele i státního zástupce pařížský odvolací soud v bře</w:t>
      </w:r>
      <w:r w:rsidRPr="00D35798">
        <w:t>z</w:t>
      </w:r>
      <w:r w:rsidRPr="00D35798">
        <w:t xml:space="preserve">nu 2011 </w:t>
      </w:r>
      <w:r w:rsidRPr="00D35798" w:rsidR="007F3918">
        <w:t xml:space="preserve">odsouzení i uložený peněžitý trest </w:t>
      </w:r>
      <w:r w:rsidRPr="00D35798">
        <w:t>potvrdil a</w:t>
      </w:r>
      <w:r w:rsidRPr="00D35798" w:rsidR="00165CC3">
        <w:t> </w:t>
      </w:r>
      <w:r w:rsidRPr="00D35798">
        <w:t>pouze</w:t>
      </w:r>
      <w:r w:rsidRPr="00D35798">
        <w:t xml:space="preserve"> pozměnil znění textu oznámení, jež mělo být na náklady st</w:t>
      </w:r>
      <w:r w:rsidRPr="00D35798">
        <w:t>ě</w:t>
      </w:r>
      <w:r w:rsidRPr="00D35798">
        <w:t>žovatele zveřejněno v médiích. V</w:t>
      </w:r>
      <w:r w:rsidRPr="00D35798" w:rsidR="00165CC3">
        <w:t> </w:t>
      </w:r>
      <w:r w:rsidRPr="00D35798">
        <w:t xml:space="preserve">říjnu 2012 Kasační soud v plném rozsahu potvrdil závěry odvolacího soudu a </w:t>
      </w:r>
      <w:r w:rsidRPr="00D35798" w:rsidR="00EA2099">
        <w:t xml:space="preserve">dovolání </w:t>
      </w:r>
      <w:r w:rsidRPr="00D35798">
        <w:t>st</w:t>
      </w:r>
      <w:r w:rsidRPr="00D35798">
        <w:t>ě</w:t>
      </w:r>
      <w:r w:rsidRPr="00D35798">
        <w:t>žovatele</w:t>
      </w:r>
      <w:r w:rsidRPr="00D35798" w:rsidR="00EA2099">
        <w:t xml:space="preserve"> zamítl</w:t>
      </w:r>
      <w:r w:rsidRPr="00D35798">
        <w:t>.</w:t>
      </w:r>
    </w:p>
    <w:p w:rsidRPr="00D35798" w:rsidR="004B464B" w:rsidP="00D35798">
      <w:pPr>
        <w:pStyle w:val="Nadpisstijudiktu"/>
      </w:pPr>
      <w:r w:rsidRPr="00D35798">
        <w:t>II.</w:t>
      </w:r>
      <w:r w:rsidRPr="00D35798">
        <w:tab/>
        <w:t>Odůvodnění rozhodnutí Soudu</w:t>
      </w:r>
    </w:p>
    <w:p w:rsidRPr="00D35798" w:rsidR="00814155" w:rsidP="00D35798">
      <w:pPr>
        <w:pStyle w:val="Textzprvy"/>
      </w:pPr>
      <w:r w:rsidRPr="00D35798">
        <w:t xml:space="preserve">Stěžovatel namítal, že byl </w:t>
      </w:r>
      <w:r w:rsidRPr="00D35798" w:rsidR="00E047DB">
        <w:t xml:space="preserve">odsouzen </w:t>
      </w:r>
      <w:r w:rsidRPr="00D35798">
        <w:t>za trestný čin urážky, aniž v průběhu inkriminovaného předst</w:t>
      </w:r>
      <w:r w:rsidRPr="00D35798">
        <w:t>a</w:t>
      </w:r>
      <w:r w:rsidRPr="00D35798">
        <w:t xml:space="preserve">vení na adresu příslušné skupiny osob on sám nebo kdokoli jiný pronesl jediný výrok, který by bylo možné označit za urážku či pomluvu. </w:t>
      </w:r>
      <w:r w:rsidRPr="00D35798" w:rsidR="00F0677C">
        <w:t xml:space="preserve">Poukazoval též na skutečnost, že vnitrostátní </w:t>
      </w:r>
      <w:r w:rsidRPr="00D35798">
        <w:t xml:space="preserve">soudy v jeho </w:t>
      </w:r>
      <w:r w:rsidRPr="00D35798" w:rsidR="00F0677C">
        <w:t xml:space="preserve">věci </w:t>
      </w:r>
      <w:r w:rsidRPr="00D35798">
        <w:t xml:space="preserve">poprvé </w:t>
      </w:r>
      <w:r w:rsidRPr="00D35798" w:rsidR="00F0677C">
        <w:t>a n</w:t>
      </w:r>
      <w:r w:rsidRPr="00D35798" w:rsidR="00F0677C">
        <w:t>e</w:t>
      </w:r>
      <w:r w:rsidRPr="00D35798" w:rsidR="00F0677C">
        <w:t xml:space="preserve">předvídatelným způsobem </w:t>
      </w:r>
      <w:r w:rsidRPr="00D35798">
        <w:t>vyložily příslušná ustanovení zákona o svobodě tisku tak, že urážku ve smyslu tohoto zákona vyvodily z</w:t>
      </w:r>
      <w:r w:rsidRPr="00D35798" w:rsidR="00693F69">
        <w:t> </w:t>
      </w:r>
      <w:r w:rsidRPr="00D35798">
        <w:t>kontextu situace, a to zejména s ohledem na chore</w:t>
      </w:r>
      <w:r w:rsidRPr="00D35798">
        <w:t>o</w:t>
      </w:r>
      <w:r w:rsidRPr="00D35798">
        <w:t xml:space="preserve">grafii </w:t>
      </w:r>
      <w:r w:rsidRPr="00D35798" w:rsidR="00693F69">
        <w:t>daného</w:t>
      </w:r>
      <w:r w:rsidRPr="00D35798">
        <w:t xml:space="preserve"> předst</w:t>
      </w:r>
      <w:r w:rsidRPr="00D35798">
        <w:t>a</w:t>
      </w:r>
      <w:r w:rsidRPr="00D35798">
        <w:t>vení.</w:t>
      </w:r>
    </w:p>
    <w:p w:rsidRPr="00D35798" w:rsidR="00F56D27" w:rsidP="00D35798">
      <w:pPr>
        <w:pStyle w:val="Nadpisrubrikyjudiktu"/>
      </w:pPr>
      <w:r w:rsidRPr="00D35798">
        <w:t>K </w:t>
      </w:r>
      <w:r w:rsidRPr="00D35798" w:rsidR="00165CC3">
        <w:t>tvrzenému porušení článku 10 Úmluvy a použití článku 17 Úmluvy</w:t>
      </w:r>
    </w:p>
    <w:p w:rsidRPr="00D35798" w:rsidR="00165CC3" w:rsidP="00D35798">
      <w:pPr>
        <w:pStyle w:val="Textzprvy"/>
      </w:pPr>
      <w:r w:rsidRPr="00D35798">
        <w:t>Soud nejprve připomněl zásadní důležitost svobody projevu v demokratické společnosti. Článek 10 Úmluvy poskytuje ochranu rovněž satiře, již je třeba považovat za formu uměleckého projevu a sp</w:t>
      </w:r>
      <w:r w:rsidRPr="00D35798">
        <w:t>o</w:t>
      </w:r>
      <w:r w:rsidRPr="00D35798">
        <w:t>lečenského komentáře, který prostřednictvím přehánění a deformace reality vybízí k provokaci a</w:t>
      </w:r>
      <w:r w:rsidRPr="00D35798" w:rsidR="004D43DB">
        <w:t> </w:t>
      </w:r>
      <w:r w:rsidRPr="00D35798">
        <w:t>diskusi. Na zásahy do uměleckého projevu je proto třeba nahlížet se zvláštní obezřetností (</w:t>
      </w:r>
      <w:r w:rsidRPr="00D35798">
        <w:rPr>
          <w:i/>
        </w:rPr>
        <w:t>Verein</w:t>
      </w:r>
      <w:r w:rsidRPr="00D35798">
        <w:rPr>
          <w:i/>
        </w:rPr>
        <w:t>i</w:t>
      </w:r>
      <w:r w:rsidRPr="00D35798">
        <w:rPr>
          <w:i/>
        </w:rPr>
        <w:t>gung</w:t>
      </w:r>
      <w:r w:rsidRPr="00D35798">
        <w:rPr>
          <w:i/>
        </w:rPr>
        <w:t xml:space="preserve"> </w:t>
      </w:r>
      <w:r w:rsidRPr="00D35798">
        <w:rPr>
          <w:i/>
        </w:rPr>
        <w:t>Bildender</w:t>
      </w:r>
      <w:r w:rsidRPr="00D35798">
        <w:rPr>
          <w:i/>
        </w:rPr>
        <w:t xml:space="preserve"> </w:t>
      </w:r>
      <w:r w:rsidRPr="00D35798">
        <w:rPr>
          <w:i/>
        </w:rPr>
        <w:t>Künstler</w:t>
      </w:r>
      <w:r w:rsidRPr="00D35798">
        <w:rPr>
          <w:i/>
        </w:rPr>
        <w:t xml:space="preserve"> proti Rakousku</w:t>
      </w:r>
      <w:r w:rsidRPr="00D35798">
        <w:t>, č. 68354/01, rozsudek ze dne 25. ledna 2007, § 33).</w:t>
      </w:r>
    </w:p>
    <w:p w:rsidRPr="00D35798" w:rsidR="00D35798" w:rsidP="00D35798">
      <w:pPr>
        <w:pStyle w:val="Textzprvy"/>
      </w:pPr>
      <w:r w:rsidRPr="00D35798">
        <w:t>S</w:t>
      </w:r>
      <w:r w:rsidRPr="00D35798" w:rsidR="00165CC3">
        <w:t xml:space="preserve">voboda projevu </w:t>
      </w:r>
      <w:r w:rsidRPr="00D35798">
        <w:t>má nicméně své meze</w:t>
      </w:r>
      <w:r w:rsidRPr="00D35798" w:rsidR="00165CC3">
        <w:t>. Pokud jde o článek 17 Úmluvy, jeho účelem je zamezit je</w:t>
      </w:r>
      <w:r w:rsidRPr="00D35798" w:rsidR="00165CC3">
        <w:t>d</w:t>
      </w:r>
      <w:r w:rsidRPr="00D35798" w:rsidR="00165CC3">
        <w:t>notlivcům či skupinám jednotlivců</w:t>
      </w:r>
      <w:r w:rsidRPr="00D35798" w:rsidR="00693F69">
        <w:t>, aby se</w:t>
      </w:r>
      <w:r w:rsidRPr="00D35798" w:rsidR="00165CC3">
        <w:t xml:space="preserve"> dovoláva</w:t>
      </w:r>
      <w:r w:rsidRPr="00D35798" w:rsidR="00693F69">
        <w:t>li</w:t>
      </w:r>
      <w:r w:rsidRPr="00D35798" w:rsidR="00165CC3">
        <w:t xml:space="preserve"> ochrany práv</w:t>
      </w:r>
      <w:r w:rsidRPr="00D35798" w:rsidR="00E9389C">
        <w:t xml:space="preserve"> zaručených</w:t>
      </w:r>
      <w:r w:rsidRPr="00D35798" w:rsidR="00165CC3">
        <w:t xml:space="preserve"> Úmluvou</w:t>
      </w:r>
      <w:r w:rsidRPr="00D35798" w:rsidR="00E9389C">
        <w:t xml:space="preserve"> v případech</w:t>
      </w:r>
      <w:r w:rsidRPr="00D35798" w:rsidR="00165CC3">
        <w:t xml:space="preserve">, kdy </w:t>
      </w:r>
      <w:r w:rsidRPr="00D35798" w:rsidR="00E9389C">
        <w:t xml:space="preserve">je jejich </w:t>
      </w:r>
      <w:r w:rsidRPr="00D35798" w:rsidR="00165CC3">
        <w:t xml:space="preserve">jednání vedeno s cílem </w:t>
      </w:r>
      <w:r w:rsidRPr="00D35798" w:rsidR="00917782">
        <w:t>zničení jiných</w:t>
      </w:r>
      <w:r w:rsidRPr="00D35798" w:rsidR="00165CC3">
        <w:t xml:space="preserve"> práv </w:t>
      </w:r>
      <w:r w:rsidRPr="00D35798" w:rsidR="00917782">
        <w:t xml:space="preserve">a svobod </w:t>
      </w:r>
      <w:r w:rsidRPr="00D35798" w:rsidR="00E9389C">
        <w:t>zakotvených v Úmluvě</w:t>
      </w:r>
      <w:r w:rsidRPr="00D35798" w:rsidR="00165CC3">
        <w:t>, případně hodno</w:t>
      </w:r>
      <w:r w:rsidRPr="00D35798" w:rsidR="00917782">
        <w:t>t</w:t>
      </w:r>
      <w:r w:rsidRPr="00D35798" w:rsidR="00165CC3">
        <w:t>, na nichž je Úmluva založena (</w:t>
      </w:r>
      <w:r w:rsidRPr="00D35798" w:rsidR="00165CC3">
        <w:rPr>
          <w:i/>
        </w:rPr>
        <w:t>Lehideux</w:t>
      </w:r>
      <w:r w:rsidRPr="00D35798" w:rsidR="00165CC3">
        <w:rPr>
          <w:i/>
        </w:rPr>
        <w:t xml:space="preserve"> a </w:t>
      </w:r>
      <w:r w:rsidRPr="00D35798" w:rsidR="00165CC3">
        <w:rPr>
          <w:i/>
        </w:rPr>
        <w:t>Isorni</w:t>
      </w:r>
      <w:r w:rsidRPr="00D35798" w:rsidR="00165CC3">
        <w:rPr>
          <w:i/>
        </w:rPr>
        <w:t xml:space="preserve"> proti Francii</w:t>
      </w:r>
      <w:r w:rsidRPr="00D35798" w:rsidR="00165CC3">
        <w:t xml:space="preserve">, </w:t>
      </w:r>
      <w:r w:rsidRPr="00D35798" w:rsidR="00BD67DE">
        <w:t xml:space="preserve">č. 24662/94, </w:t>
      </w:r>
      <w:r w:rsidRPr="00D35798" w:rsidR="00165CC3">
        <w:t>rozsu</w:t>
      </w:r>
      <w:r w:rsidRPr="00D35798" w:rsidR="00BD67DE">
        <w:t>dek velkého sen</w:t>
      </w:r>
      <w:r w:rsidRPr="00D35798" w:rsidR="00BD67DE">
        <w:t>á</w:t>
      </w:r>
      <w:r w:rsidRPr="00D35798" w:rsidR="00BD67DE">
        <w:t>tu ze dne 23. září</w:t>
      </w:r>
      <w:r w:rsidRPr="00D35798" w:rsidR="00165CC3">
        <w:t xml:space="preserve"> 1998, § 47 a 53). Soud takto v minulosti příslušné ustanovení použil </w:t>
      </w:r>
      <w:r w:rsidRPr="00D35798" w:rsidR="00BD67DE">
        <w:t>v případě</w:t>
      </w:r>
      <w:r w:rsidRPr="00D35798" w:rsidR="00165CC3">
        <w:t xml:space="preserve"> publikací, ve kterých autor systematicky popíral zločiny proti lidskosti spáchané nacisty na žido</w:t>
      </w:r>
      <w:r w:rsidRPr="00D35798" w:rsidR="00165CC3">
        <w:t>v</w:t>
      </w:r>
      <w:r w:rsidRPr="00D35798" w:rsidR="00165CC3">
        <w:t xml:space="preserve">ské komunitě </w:t>
      </w:r>
      <w:r w:rsidRPr="00D35798" w:rsidR="00165CC3">
        <w:rPr>
          <w:i/>
        </w:rPr>
        <w:t>(</w:t>
      </w:r>
      <w:r w:rsidRPr="00D35798" w:rsidR="00BD67DE">
        <w:rPr>
          <w:i/>
        </w:rPr>
        <w:t>Garaudy</w:t>
      </w:r>
      <w:r w:rsidRPr="00D35798" w:rsidR="00BD67DE">
        <w:rPr>
          <w:i/>
        </w:rPr>
        <w:t xml:space="preserve"> proti Francii</w:t>
      </w:r>
      <w:r w:rsidRPr="00D35798" w:rsidR="00BD67DE">
        <w:t>, č. 65831/01, rozhodnutí ze dne 24. června 2003</w:t>
      </w:r>
      <w:r w:rsidRPr="00D35798" w:rsidR="00165CC3">
        <w:t>) nebo „pod rou</w:t>
      </w:r>
      <w:r w:rsidRPr="00D35798" w:rsidR="00165CC3">
        <w:t>š</w:t>
      </w:r>
      <w:r w:rsidRPr="00D35798" w:rsidR="00165CC3">
        <w:t>kou technických důkazů“ zpochybňoval samotnou existenci plynových komor (</w:t>
      </w:r>
      <w:r w:rsidRPr="00D35798" w:rsidR="00BD67DE">
        <w:rPr>
          <w:i/>
        </w:rPr>
        <w:t>Marais</w:t>
      </w:r>
      <w:r w:rsidRPr="00D35798" w:rsidR="00BD67DE">
        <w:rPr>
          <w:i/>
        </w:rPr>
        <w:t xml:space="preserve"> proti Francii</w:t>
      </w:r>
      <w:r w:rsidRPr="00D35798" w:rsidR="00BD67DE">
        <w:t>, č</w:t>
      </w:r>
      <w:r w:rsidRPr="00D35798" w:rsidR="00197C07">
        <w:t>. </w:t>
      </w:r>
      <w:r w:rsidRPr="00D35798" w:rsidR="00BD67DE">
        <w:t>31159/96, rozsudek Komise ze dne 24. června 1996)</w:t>
      </w:r>
      <w:r w:rsidRPr="00D35798" w:rsidR="00165CC3">
        <w:t>. Podobně Soud dané ustanovení použil v př</w:t>
      </w:r>
      <w:r w:rsidRPr="00D35798" w:rsidR="00165CC3">
        <w:t>í</w:t>
      </w:r>
      <w:r w:rsidRPr="00D35798" w:rsidR="00165CC3">
        <w:t xml:space="preserve">padech </w:t>
      </w:r>
      <w:r w:rsidRPr="00D35798" w:rsidR="00E9389C">
        <w:t xml:space="preserve">zřejmé </w:t>
      </w:r>
      <w:r w:rsidRPr="00D35798" w:rsidR="00165CC3">
        <w:t>islamofobie</w:t>
      </w:r>
      <w:r w:rsidRPr="00D35798" w:rsidR="00165CC3">
        <w:t xml:space="preserve"> </w:t>
      </w:r>
      <w:r w:rsidRPr="00D35798" w:rsidR="00E9389C">
        <w:t>či</w:t>
      </w:r>
      <w:r w:rsidRPr="00D35798" w:rsidR="00165CC3">
        <w:t xml:space="preserve"> antisemitismu (</w:t>
      </w:r>
      <w:r w:rsidRPr="00D35798" w:rsidR="00165CC3">
        <w:rPr>
          <w:i/>
        </w:rPr>
        <w:t>Norwood</w:t>
      </w:r>
      <w:r w:rsidRPr="00D35798" w:rsidR="00165CC3">
        <w:rPr>
          <w:i/>
        </w:rPr>
        <w:t xml:space="preserve"> proti Spojenému království</w:t>
      </w:r>
      <w:r w:rsidRPr="00D35798" w:rsidR="00BD67DE">
        <w:t>, č. 23131/03, ro</w:t>
      </w:r>
      <w:r w:rsidRPr="00D35798" w:rsidR="00BD67DE">
        <w:t>z</w:t>
      </w:r>
      <w:r w:rsidRPr="00D35798" w:rsidR="00BD67DE">
        <w:t xml:space="preserve">hodnutí ze dne 16. listopadu 2004; </w:t>
      </w:r>
      <w:r w:rsidRPr="00D35798" w:rsidR="00165CC3">
        <w:rPr>
          <w:i/>
        </w:rPr>
        <w:t>Pavel Ivanov proti Rusku</w:t>
      </w:r>
      <w:r w:rsidRPr="00D35798" w:rsidR="00BD67DE">
        <w:t xml:space="preserve">, </w:t>
      </w:r>
      <w:r w:rsidRPr="00D35798" w:rsidR="00BD67DE">
        <w:rPr>
          <w:bCs/>
        </w:rPr>
        <w:t>č. 35222/04</w:t>
      </w:r>
      <w:r w:rsidRPr="00D35798">
        <w:rPr>
          <w:bCs/>
        </w:rPr>
        <w:t>,</w:t>
      </w:r>
      <w:r w:rsidRPr="00D35798" w:rsidR="00BD67DE">
        <w:t xml:space="preserve"> </w:t>
      </w:r>
      <w:r w:rsidRPr="00D35798" w:rsidR="00BD67DE">
        <w:rPr>
          <w:bCs/>
        </w:rPr>
        <w:t>rozhodnutí ze dne 20. ún</w:t>
      </w:r>
      <w:r w:rsidRPr="00D35798" w:rsidR="00BD67DE">
        <w:rPr>
          <w:bCs/>
        </w:rPr>
        <w:t>o</w:t>
      </w:r>
      <w:r w:rsidRPr="00D35798" w:rsidR="00BD67DE">
        <w:rPr>
          <w:bCs/>
        </w:rPr>
        <w:t>ra 2007</w:t>
      </w:r>
      <w:r w:rsidRPr="00D35798" w:rsidR="00165CC3">
        <w:t>).</w:t>
      </w:r>
      <w:r w:rsidRPr="00D35798">
        <w:t xml:space="preserve"> </w:t>
      </w:r>
    </w:p>
    <w:p w:rsidRPr="00D35798" w:rsidR="00D35798" w:rsidP="00D35798">
      <w:pPr>
        <w:pStyle w:val="Textzprvy"/>
      </w:pPr>
      <w:r w:rsidRPr="00D35798">
        <w:t xml:space="preserve">V projednávané věci se </w:t>
      </w:r>
      <w:r w:rsidRPr="00D35798" w:rsidR="00165CC3">
        <w:t>Soud plně ztotožnil se závěry vnitrostátních soudů a podotkl, že nebylo p</w:t>
      </w:r>
      <w:r w:rsidRPr="00D35798" w:rsidR="00165CC3">
        <w:t>o</w:t>
      </w:r>
      <w:r w:rsidRPr="00D35798" w:rsidR="00165CC3">
        <w:t xml:space="preserve">chyb o silně antisemitském obsahu inkriminované části představení stěžovatele, který na podiu udělil ocenění muži veřejně známému </w:t>
      </w:r>
      <w:r w:rsidRPr="00D35798" w:rsidR="00BD67DE">
        <w:t>popíráním nacistických zločinů</w:t>
      </w:r>
      <w:r w:rsidRPr="00D35798" w:rsidR="00165CC3">
        <w:t>. Jakkoli stěžovatel namítal, že v pr</w:t>
      </w:r>
      <w:r w:rsidRPr="00D35798" w:rsidR="00165CC3">
        <w:t>ů</w:t>
      </w:r>
      <w:r w:rsidRPr="00D35798" w:rsidR="00165CC3">
        <w:t>běhu představení jeho host nepronesl jediný nezákonný výrok, Soud na takový argument nepřisto</w:t>
      </w:r>
      <w:r w:rsidRPr="00D35798" w:rsidR="00165CC3">
        <w:t>u</w:t>
      </w:r>
      <w:r w:rsidRPr="00D35798" w:rsidR="00165CC3">
        <w:t xml:space="preserve">pil, když </w:t>
      </w:r>
      <w:r w:rsidRPr="00D35798" w:rsidR="00693F69">
        <w:t>celková choreografie předmětné části představení</w:t>
      </w:r>
      <w:r w:rsidRPr="00D35798" w:rsidR="00E9389C">
        <w:t xml:space="preserve"> byla dle něj s ohledem na rozbor projevu Roberta</w:t>
      </w:r>
      <w:r w:rsidRPr="00D35798" w:rsidR="00165CC3">
        <w:t xml:space="preserve"> </w:t>
      </w:r>
      <w:r w:rsidRPr="00D35798" w:rsidR="00165CC3">
        <w:t>Faurissona</w:t>
      </w:r>
      <w:r w:rsidRPr="00D35798" w:rsidR="00165CC3">
        <w:t xml:space="preserve"> a veřejně prezentované názory stěžovatele</w:t>
      </w:r>
      <w:r w:rsidRPr="00D35798" w:rsidR="00E9389C">
        <w:t xml:space="preserve"> zjevným</w:t>
      </w:r>
      <w:r w:rsidRPr="00D35798" w:rsidR="00165CC3">
        <w:t xml:space="preserve"> vyjádřením pohrdání osobami židovského původu nebo nábože</w:t>
      </w:r>
      <w:r w:rsidRPr="00D35798" w:rsidR="00165CC3">
        <w:t>n</w:t>
      </w:r>
      <w:r w:rsidRPr="00D35798" w:rsidR="00165CC3">
        <w:t xml:space="preserve">ství a obětmi </w:t>
      </w:r>
      <w:r w:rsidRPr="00D35798" w:rsidR="00197C07">
        <w:t>holokaustu</w:t>
      </w:r>
      <w:r w:rsidRPr="00D35798" w:rsidR="00165CC3">
        <w:t>.</w:t>
      </w:r>
    </w:p>
    <w:p w:rsidRPr="00D35798" w:rsidR="00165CC3" w:rsidP="00D35798">
      <w:pPr>
        <w:pStyle w:val="Textzprvy"/>
      </w:pPr>
      <w:r w:rsidRPr="00D35798">
        <w:t xml:space="preserve">Podle Soudu bylo nutné podrobit </w:t>
      </w:r>
      <w:r w:rsidRPr="00D35798" w:rsidR="00CF2459">
        <w:t xml:space="preserve">projednávanou věc </w:t>
      </w:r>
      <w:r w:rsidRPr="00D35798">
        <w:t>kontextuálnímu rozboru</w:t>
      </w:r>
      <w:r w:rsidRPr="00D35798" w:rsidR="00330517">
        <w:t xml:space="preserve"> a přihlédnout</w:t>
      </w:r>
      <w:r w:rsidRPr="00D35798">
        <w:t xml:space="preserve"> </w:t>
      </w:r>
      <w:r w:rsidRPr="00D35798" w:rsidR="00330517">
        <w:t xml:space="preserve">také </w:t>
      </w:r>
      <w:r w:rsidRPr="00D35798" w:rsidR="00197C07">
        <w:t>k </w:t>
      </w:r>
      <w:r w:rsidRPr="00D35798" w:rsidR="00CF2459">
        <w:t>t</w:t>
      </w:r>
      <w:r w:rsidRPr="00D35798" w:rsidR="00CF2459">
        <w:t>o</w:t>
      </w:r>
      <w:r w:rsidRPr="00D35798" w:rsidR="00CF2459">
        <w:t>mu</w:t>
      </w:r>
      <w:r w:rsidRPr="00D35798">
        <w:t xml:space="preserve">, že stěžovatel </w:t>
      </w:r>
      <w:r w:rsidRPr="00D35798" w:rsidR="00CF2459">
        <w:t xml:space="preserve">je nejen komikem, ale též </w:t>
      </w:r>
      <w:r w:rsidRPr="00D35798">
        <w:t xml:space="preserve">se </w:t>
      </w:r>
      <w:r w:rsidRPr="00D35798" w:rsidR="00CF2459">
        <w:t xml:space="preserve">aktivně </w:t>
      </w:r>
      <w:r w:rsidRPr="00D35798">
        <w:t>angažuje v politickém životě a v minulosti byl odsouzen z</w:t>
      </w:r>
      <w:r w:rsidRPr="00D35798" w:rsidR="00BD67DE">
        <w:t>a rasistickou urážku. Zatímco z</w:t>
      </w:r>
      <w:r w:rsidRPr="00D35798">
        <w:t xml:space="preserve"> reakcí publika zjevně vyplynulo, že antisemitský a n</w:t>
      </w:r>
      <w:r w:rsidRPr="00D35798">
        <w:t>e</w:t>
      </w:r>
      <w:r w:rsidRPr="00D35798">
        <w:t>gaci</w:t>
      </w:r>
      <w:r w:rsidRPr="00D35798">
        <w:t>o</w:t>
      </w:r>
      <w:r w:rsidRPr="00D35798">
        <w:t>nistický podtext předmětné scény se neminul účinkem, stěžovatel v řízení před Soudem nijak nezp</w:t>
      </w:r>
      <w:r w:rsidRPr="00D35798">
        <w:t>o</w:t>
      </w:r>
      <w:r w:rsidRPr="00D35798">
        <w:t xml:space="preserve">chybnil domněnku vyplývající z jeho prohlášení </w:t>
      </w:r>
      <w:r w:rsidRPr="00D35798" w:rsidR="00662993">
        <w:t xml:space="preserve">na počátku </w:t>
      </w:r>
      <w:r w:rsidRPr="00D35798">
        <w:t>závěrečné scény o tom, že si přál své představení vylepšit právě v rovině ant</w:t>
      </w:r>
      <w:r w:rsidRPr="00D35798">
        <w:t>i</w:t>
      </w:r>
      <w:r w:rsidRPr="00D35798">
        <w:t>semitismu</w:t>
      </w:r>
      <w:r w:rsidRPr="00D35798" w:rsidR="00CF2459">
        <w:t>.</w:t>
      </w:r>
    </w:p>
    <w:p w:rsidRPr="00D35798" w:rsidR="00D35798" w:rsidP="00D35798">
      <w:pPr>
        <w:pStyle w:val="Textzprvy"/>
      </w:pPr>
      <w:r w:rsidRPr="00D35798">
        <w:t xml:space="preserve">Soud se plně ztotožnil se závěry </w:t>
      </w:r>
      <w:r w:rsidRPr="00D35798" w:rsidR="00330517">
        <w:t xml:space="preserve">vnitrostátního </w:t>
      </w:r>
      <w:r w:rsidRPr="00D35798">
        <w:t>odvolacího soudu</w:t>
      </w:r>
      <w:r w:rsidRPr="00D35798" w:rsidR="00917782">
        <w:t>, podle kterého se</w:t>
      </w:r>
      <w:r w:rsidRPr="00D35798">
        <w:t xml:space="preserve"> představení </w:t>
      </w:r>
      <w:r w:rsidRPr="00D35798" w:rsidR="00662993">
        <w:t>v </w:t>
      </w:r>
      <w:r w:rsidRPr="00D35798">
        <w:t xml:space="preserve">průběhu předmětného aktu proměnilo </w:t>
      </w:r>
      <w:r w:rsidRPr="00D35798" w:rsidR="00917782">
        <w:t xml:space="preserve">spíše </w:t>
      </w:r>
      <w:r w:rsidRPr="00D35798">
        <w:t>v „m</w:t>
      </w:r>
      <w:r w:rsidRPr="00D35798" w:rsidR="00CF2459">
        <w:t>í</w:t>
      </w:r>
      <w:r w:rsidRPr="00D35798">
        <w:t>tin</w:t>
      </w:r>
      <w:r w:rsidRPr="00D35798" w:rsidR="00CF2459">
        <w:t>k</w:t>
      </w:r>
      <w:r w:rsidRPr="00D35798">
        <w:t>“. Pod rouškou humoristického představení stěžovatel ve skutečnosti oslavoval popírání nacistických zločinů proti lidskosti, a to navíc za zjevn</w:t>
      </w:r>
      <w:r w:rsidRPr="00D35798">
        <w:t>é</w:t>
      </w:r>
      <w:r w:rsidRPr="00D35798">
        <w:t>ho poh</w:t>
      </w:r>
      <w:r w:rsidRPr="00D35798">
        <w:t>r</w:t>
      </w:r>
      <w:r w:rsidRPr="00D35798">
        <w:t>dání jejich židovskými oběťmi. Jednání stěžovatele spočívající ve zjevném projevu nenávisti, antis</w:t>
      </w:r>
      <w:r w:rsidRPr="00D35798">
        <w:t>e</w:t>
      </w:r>
      <w:r w:rsidRPr="00D35798">
        <w:t xml:space="preserve">mitismu a popírání </w:t>
      </w:r>
      <w:r w:rsidRPr="00D35798" w:rsidR="00662993">
        <w:t xml:space="preserve">holokaustu </w:t>
      </w:r>
      <w:r w:rsidRPr="00D35798">
        <w:t>bylo namířeno proti základním hodnotám, na nichž je založena Úml</w:t>
      </w:r>
      <w:r w:rsidRPr="00D35798">
        <w:t>u</w:t>
      </w:r>
      <w:r w:rsidRPr="00D35798">
        <w:t>va a</w:t>
      </w:r>
      <w:r w:rsidRPr="00D35798" w:rsidR="00917782">
        <w:t> </w:t>
      </w:r>
      <w:r w:rsidRPr="00D35798">
        <w:t>nebylo proto hodno ochrany článku 10 Úmluvy.</w:t>
      </w:r>
    </w:p>
    <w:p w:rsidRPr="00D35798" w:rsidR="002C6FB2" w:rsidP="00D35798">
      <w:pPr>
        <w:pStyle w:val="Textzprvy"/>
      </w:pPr>
      <w:r w:rsidRPr="00D35798">
        <w:t>Soud připustil, že člán</w:t>
      </w:r>
      <w:r w:rsidRPr="00D35798" w:rsidR="00EE4857">
        <w:t>ek</w:t>
      </w:r>
      <w:r w:rsidRPr="00D35798">
        <w:t xml:space="preserve"> 17 Úmluvy </w:t>
      </w:r>
      <w:r w:rsidRPr="00D35798" w:rsidR="00EE4857">
        <w:t xml:space="preserve">byl </w:t>
      </w:r>
      <w:r w:rsidRPr="00D35798">
        <w:t>do</w:t>
      </w:r>
      <w:r w:rsidRPr="00D35798" w:rsidR="00EE4857">
        <w:t>sud vždy použit</w:t>
      </w:r>
      <w:r w:rsidRPr="00D35798">
        <w:t xml:space="preserve"> v souvislosti s konkrétními a</w:t>
      </w:r>
      <w:r w:rsidRPr="00D35798" w:rsidR="00917782">
        <w:t> </w:t>
      </w:r>
      <w:r w:rsidRPr="00D35798">
        <w:t>přímými výr</w:t>
      </w:r>
      <w:r w:rsidRPr="00D35798">
        <w:t>o</w:t>
      </w:r>
      <w:r w:rsidRPr="00D35798">
        <w:t xml:space="preserve">ky bez nutnosti </w:t>
      </w:r>
      <w:r w:rsidRPr="00D35798" w:rsidR="00330517">
        <w:t xml:space="preserve">dalšího </w:t>
      </w:r>
      <w:r w:rsidRPr="00D35798">
        <w:t xml:space="preserve">výkladu. S ohledem na projednávanou věc však </w:t>
      </w:r>
      <w:r w:rsidRPr="00D35798" w:rsidR="00EE4857">
        <w:t xml:space="preserve">Soud </w:t>
      </w:r>
      <w:r w:rsidRPr="00D35798">
        <w:t xml:space="preserve">vyjádřil přesvědčení, že projev nenávisti a antisemitismu převlečený za umělecký výtvor je stejně nebezpečný jako hrubý a </w:t>
      </w:r>
      <w:r w:rsidRPr="00D35798" w:rsidR="00CF2459">
        <w:t xml:space="preserve">přímočarý </w:t>
      </w:r>
      <w:r w:rsidRPr="00D35798">
        <w:t xml:space="preserve">útok. Stěžovatel se </w:t>
      </w:r>
      <w:r w:rsidRPr="00D35798" w:rsidR="00CF2459">
        <w:t xml:space="preserve">tedy </w:t>
      </w:r>
      <w:r w:rsidRPr="00D35798">
        <w:t>svobody projevu chráněné článkem 10 Úmluvy dovolával s c</w:t>
      </w:r>
      <w:r w:rsidRPr="00D35798">
        <w:t>í</w:t>
      </w:r>
      <w:r w:rsidRPr="00D35798">
        <w:t>lem, který je v rozporu s textem a duchem Úmluvy a který by – pokud by byl akceptován – vedl k</w:t>
      </w:r>
      <w:r w:rsidRPr="00D35798" w:rsidR="00917782">
        <w:t>e</w:t>
      </w:r>
      <w:r w:rsidRPr="00D35798">
        <w:t xml:space="preserve"> </w:t>
      </w:r>
      <w:r w:rsidRPr="00D35798" w:rsidR="00917782">
        <w:t xml:space="preserve">zničení </w:t>
      </w:r>
      <w:r w:rsidRPr="00D35798">
        <w:t xml:space="preserve">práv a svobod zaručených Úmluvou. </w:t>
      </w:r>
      <w:r w:rsidRPr="00D35798" w:rsidR="00CF2459">
        <w:t>Stížnost je proto dle Soudu nutné prohlásit</w:t>
      </w:r>
      <w:r w:rsidRPr="00D35798">
        <w:t xml:space="preserve"> za </w:t>
      </w:r>
      <w:r w:rsidRPr="00D35798" w:rsidR="00CF2459">
        <w:t>nepřijatel</w:t>
      </w:r>
      <w:r w:rsidRPr="00D35798" w:rsidR="00EE4857">
        <w:t xml:space="preserve">nou </w:t>
      </w:r>
      <w:r w:rsidRPr="00D35798" w:rsidR="00CF2459">
        <w:t xml:space="preserve">pro </w:t>
      </w:r>
      <w:r w:rsidRPr="00D35798">
        <w:t>nesl</w:t>
      </w:r>
      <w:r w:rsidRPr="00D35798">
        <w:t>u</w:t>
      </w:r>
      <w:r w:rsidRPr="00D35798">
        <w:t>čitel</w:t>
      </w:r>
      <w:r w:rsidRPr="00D35798" w:rsidR="00CF2459">
        <w:t>nost</w:t>
      </w:r>
      <w:r w:rsidRPr="00D35798" w:rsidR="00EE4857">
        <w:t xml:space="preserve"> </w:t>
      </w:r>
      <w:r w:rsidRPr="00D35798">
        <w:rPr>
          <w:i/>
        </w:rPr>
        <w:t>ratione</w:t>
      </w:r>
      <w:r w:rsidRPr="00D35798">
        <w:rPr>
          <w:i/>
        </w:rPr>
        <w:t xml:space="preserve"> </w:t>
      </w:r>
      <w:r w:rsidRPr="00D35798">
        <w:rPr>
          <w:i/>
        </w:rPr>
        <w:t>materiae</w:t>
      </w:r>
      <w:r w:rsidRPr="00D35798">
        <w:t xml:space="preserve"> s ustanoveními Úmluvy.</w:t>
      </w:r>
    </w:p>
    <w:p w:rsidRPr="00D35798" w:rsidR="00EE4857" w:rsidP="00D35798">
      <w:pPr>
        <w:spacing w:after="360"/>
        <w:rPr>
          <w:b/>
          <w:sz w:val="24"/>
          <w:szCs w:val="24"/>
        </w:rPr>
      </w:pPr>
    </w:p>
    <w:sectPr w:rsidSect="00201088">
      <w:footerReference w:type="even" r:id="rId6"/>
      <w:footerReference w:type="default" r:id="rId7"/>
      <w:pgSz w:w="11906" w:h="16838"/>
      <w:pgMar w:top="1701" w:right="1417" w:bottom="1417" w:left="1417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C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0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C2C" w:rsidRPr="00F720E2">
    <w:pPr>
      <w:pStyle w:val="Footer"/>
      <w:jc w:val="center"/>
      <w:rPr>
        <w:rFonts w:ascii="Calibri" w:hAnsi="Calibri"/>
      </w:rPr>
    </w:pPr>
    <w:r w:rsidRPr="00F720E2">
      <w:rPr>
        <w:rFonts w:ascii="Calibri" w:hAnsi="Calibri"/>
      </w:rPr>
      <w:t xml:space="preserve">— </w:t>
    </w:r>
    <w:r w:rsidRPr="00F720E2">
      <w:rPr>
        <w:rStyle w:val="PageNumber"/>
        <w:rFonts w:ascii="Calibri" w:hAnsi="Calibri"/>
      </w:rPr>
      <w:fldChar w:fldCharType="begin"/>
    </w:r>
    <w:r w:rsidRPr="00F720E2">
      <w:rPr>
        <w:rStyle w:val="PageNumber"/>
        <w:rFonts w:ascii="Calibri" w:hAnsi="Calibri"/>
      </w:rPr>
      <w:instrText xml:space="preserve"> PAGE </w:instrText>
    </w:r>
    <w:r w:rsidRPr="00F720E2">
      <w:rPr>
        <w:rStyle w:val="PageNumber"/>
        <w:rFonts w:ascii="Calibri" w:hAnsi="Calibri"/>
      </w:rPr>
      <w:fldChar w:fldCharType="separate"/>
    </w:r>
    <w:r w:rsidR="00D35798">
      <w:rPr>
        <w:rStyle w:val="PageNumber"/>
        <w:rFonts w:ascii="Calibri" w:hAnsi="Calibri"/>
        <w:noProof/>
      </w:rPr>
      <w:t>2</w:t>
    </w:r>
    <w:r w:rsidRPr="00F720E2">
      <w:rPr>
        <w:rStyle w:val="PageNumber"/>
        <w:rFonts w:ascii="Calibri" w:hAnsi="Calibri"/>
      </w:rPr>
      <w:fldChar w:fldCharType="end"/>
    </w:r>
    <w:r w:rsidR="00F720E2">
      <w:rPr>
        <w:rStyle w:val="PageNumber"/>
        <w:rFonts w:ascii="Calibri" w:hAnsi="Calibri"/>
      </w:rPr>
      <w:t>/</w:t>
    </w:r>
    <w:r w:rsidR="00FB31EC">
      <w:rPr>
        <w:rStyle w:val="PageNumber"/>
        <w:rFonts w:ascii="Calibri" w:hAnsi="Calibri"/>
      </w:rPr>
      <w:fldChar w:fldCharType="begin"/>
    </w:r>
    <w:r w:rsidR="00FB31EC">
      <w:rPr>
        <w:rStyle w:val="PageNumber"/>
        <w:rFonts w:ascii="Calibri" w:hAnsi="Calibri"/>
      </w:rPr>
      <w:instrText xml:space="preserve"> INFO  NumPages </w:instrText>
    </w:r>
    <w:r w:rsidR="00FB31EC">
      <w:rPr>
        <w:rStyle w:val="PageNumber"/>
        <w:rFonts w:ascii="Calibri" w:hAnsi="Calibri"/>
      </w:rPr>
      <w:fldChar w:fldCharType="separate"/>
    </w:r>
    <w:r w:rsidR="00612454">
      <w:rPr>
        <w:rStyle w:val="PageNumber"/>
        <w:rFonts w:ascii="Calibri" w:hAnsi="Calibri"/>
      </w:rPr>
      <w:t>2</w:t>
    </w:r>
    <w:r w:rsidR="00FB31EC">
      <w:rPr>
        <w:rStyle w:val="PageNumber"/>
        <w:rFonts w:ascii="Calibri" w:hAnsi="Calibri"/>
      </w:rPr>
      <w:fldChar w:fldCharType="end"/>
    </w:r>
    <w:r w:rsidRPr="00F720E2">
      <w:rPr>
        <w:rFonts w:ascii="Calibri" w:hAnsi="Calibri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BE"/>
    <w:rsid w:val="000152CC"/>
    <w:rsid w:val="000167F6"/>
    <w:rsid w:val="00022DBE"/>
    <w:rsid w:val="00033FC3"/>
    <w:rsid w:val="00053EAD"/>
    <w:rsid w:val="000A37D4"/>
    <w:rsid w:val="000A5683"/>
    <w:rsid w:val="000D4038"/>
    <w:rsid w:val="00125C61"/>
    <w:rsid w:val="00150C2C"/>
    <w:rsid w:val="0016509A"/>
    <w:rsid w:val="00165CC3"/>
    <w:rsid w:val="001706F4"/>
    <w:rsid w:val="00197C07"/>
    <w:rsid w:val="001C6B42"/>
    <w:rsid w:val="001E4647"/>
    <w:rsid w:val="00201088"/>
    <w:rsid w:val="00221E33"/>
    <w:rsid w:val="00240AF9"/>
    <w:rsid w:val="00247CDE"/>
    <w:rsid w:val="0027047F"/>
    <w:rsid w:val="002778A5"/>
    <w:rsid w:val="00284131"/>
    <w:rsid w:val="0029034F"/>
    <w:rsid w:val="002A4007"/>
    <w:rsid w:val="002B79DB"/>
    <w:rsid w:val="002C6FB2"/>
    <w:rsid w:val="003167AB"/>
    <w:rsid w:val="00324019"/>
    <w:rsid w:val="00330517"/>
    <w:rsid w:val="0034575B"/>
    <w:rsid w:val="00351290"/>
    <w:rsid w:val="003576DC"/>
    <w:rsid w:val="003717F3"/>
    <w:rsid w:val="00377690"/>
    <w:rsid w:val="003859B7"/>
    <w:rsid w:val="003B50CB"/>
    <w:rsid w:val="003D6EF6"/>
    <w:rsid w:val="00425140"/>
    <w:rsid w:val="0048244A"/>
    <w:rsid w:val="004B2B07"/>
    <w:rsid w:val="004B464B"/>
    <w:rsid w:val="004B6A69"/>
    <w:rsid w:val="004D09C7"/>
    <w:rsid w:val="004D43DB"/>
    <w:rsid w:val="004E24B1"/>
    <w:rsid w:val="004F0C11"/>
    <w:rsid w:val="00513563"/>
    <w:rsid w:val="005348B6"/>
    <w:rsid w:val="00536037"/>
    <w:rsid w:val="00537F46"/>
    <w:rsid w:val="00582DFC"/>
    <w:rsid w:val="00585740"/>
    <w:rsid w:val="00587560"/>
    <w:rsid w:val="00592C5F"/>
    <w:rsid w:val="00593D55"/>
    <w:rsid w:val="005A7664"/>
    <w:rsid w:val="005B03A4"/>
    <w:rsid w:val="005D16B1"/>
    <w:rsid w:val="005D1788"/>
    <w:rsid w:val="005D4A9E"/>
    <w:rsid w:val="005D698D"/>
    <w:rsid w:val="005D785A"/>
    <w:rsid w:val="00612454"/>
    <w:rsid w:val="00640A78"/>
    <w:rsid w:val="00642B0C"/>
    <w:rsid w:val="00662993"/>
    <w:rsid w:val="00693F69"/>
    <w:rsid w:val="006A212F"/>
    <w:rsid w:val="006C3BE2"/>
    <w:rsid w:val="006F551C"/>
    <w:rsid w:val="007024C3"/>
    <w:rsid w:val="00787495"/>
    <w:rsid w:val="007A1F62"/>
    <w:rsid w:val="007D172E"/>
    <w:rsid w:val="007E0291"/>
    <w:rsid w:val="007F03F8"/>
    <w:rsid w:val="007F2B4C"/>
    <w:rsid w:val="007F3918"/>
    <w:rsid w:val="00814155"/>
    <w:rsid w:val="0084183F"/>
    <w:rsid w:val="00846C60"/>
    <w:rsid w:val="00872FA9"/>
    <w:rsid w:val="008A0033"/>
    <w:rsid w:val="008C17FF"/>
    <w:rsid w:val="008D2717"/>
    <w:rsid w:val="008E53CF"/>
    <w:rsid w:val="008F718E"/>
    <w:rsid w:val="00917782"/>
    <w:rsid w:val="00936FE6"/>
    <w:rsid w:val="00956AC3"/>
    <w:rsid w:val="00960876"/>
    <w:rsid w:val="00964FA6"/>
    <w:rsid w:val="00972857"/>
    <w:rsid w:val="00977666"/>
    <w:rsid w:val="009B38E8"/>
    <w:rsid w:val="009B6E56"/>
    <w:rsid w:val="009F4023"/>
    <w:rsid w:val="00A02009"/>
    <w:rsid w:val="00A05D21"/>
    <w:rsid w:val="00A25544"/>
    <w:rsid w:val="00A32D36"/>
    <w:rsid w:val="00A6265B"/>
    <w:rsid w:val="00A63103"/>
    <w:rsid w:val="00B22C2D"/>
    <w:rsid w:val="00B252E0"/>
    <w:rsid w:val="00B41845"/>
    <w:rsid w:val="00B70C6E"/>
    <w:rsid w:val="00B915AD"/>
    <w:rsid w:val="00B92D1B"/>
    <w:rsid w:val="00BB43E8"/>
    <w:rsid w:val="00BB5BC2"/>
    <w:rsid w:val="00BB702F"/>
    <w:rsid w:val="00BD67DE"/>
    <w:rsid w:val="00BE343D"/>
    <w:rsid w:val="00C054CB"/>
    <w:rsid w:val="00C12775"/>
    <w:rsid w:val="00C241CE"/>
    <w:rsid w:val="00C265AC"/>
    <w:rsid w:val="00C43E4F"/>
    <w:rsid w:val="00C50659"/>
    <w:rsid w:val="00C71B91"/>
    <w:rsid w:val="00C75534"/>
    <w:rsid w:val="00C82CE9"/>
    <w:rsid w:val="00C83FDD"/>
    <w:rsid w:val="00C85287"/>
    <w:rsid w:val="00CA1467"/>
    <w:rsid w:val="00CA186A"/>
    <w:rsid w:val="00CE7E2F"/>
    <w:rsid w:val="00CF2459"/>
    <w:rsid w:val="00CF338E"/>
    <w:rsid w:val="00CF5114"/>
    <w:rsid w:val="00D007AE"/>
    <w:rsid w:val="00D0423E"/>
    <w:rsid w:val="00D07725"/>
    <w:rsid w:val="00D3334C"/>
    <w:rsid w:val="00D35798"/>
    <w:rsid w:val="00D372B0"/>
    <w:rsid w:val="00D53083"/>
    <w:rsid w:val="00D54560"/>
    <w:rsid w:val="00D72844"/>
    <w:rsid w:val="00D82257"/>
    <w:rsid w:val="00DE65FB"/>
    <w:rsid w:val="00DF62F2"/>
    <w:rsid w:val="00DF707D"/>
    <w:rsid w:val="00E040E7"/>
    <w:rsid w:val="00E047DB"/>
    <w:rsid w:val="00E1045A"/>
    <w:rsid w:val="00E1241D"/>
    <w:rsid w:val="00E26A39"/>
    <w:rsid w:val="00E3341C"/>
    <w:rsid w:val="00E9389C"/>
    <w:rsid w:val="00EA2099"/>
    <w:rsid w:val="00EA23ED"/>
    <w:rsid w:val="00EE4857"/>
    <w:rsid w:val="00F00964"/>
    <w:rsid w:val="00F0677C"/>
    <w:rsid w:val="00F11447"/>
    <w:rsid w:val="00F15099"/>
    <w:rsid w:val="00F1638F"/>
    <w:rsid w:val="00F179DC"/>
    <w:rsid w:val="00F30EE9"/>
    <w:rsid w:val="00F33364"/>
    <w:rsid w:val="00F370AA"/>
    <w:rsid w:val="00F56D27"/>
    <w:rsid w:val="00F720E2"/>
    <w:rsid w:val="00F84023"/>
    <w:rsid w:val="00F91FCC"/>
    <w:rsid w:val="00FB31EC"/>
    <w:rsid w:val="00FD0069"/>
    <w:rsid w:val="00FE1915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pPr>
      <w:ind w:left="566" w:hanging="283"/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sz w:val="24"/>
    </w:rPr>
  </w:style>
  <w:style w:type="character" w:styleId="Strong">
    <w:name w:val="Strong"/>
    <w:qFormat/>
    <w:rPr>
      <w:b/>
      <w:bCs/>
    </w:rPr>
  </w:style>
  <w:style w:type="paragraph" w:customStyle="1" w:styleId="Nadpishlavn">
    <w:name w:val="Nadpis hlavní"/>
    <w:basedOn w:val="Textodstavce"/>
    <w:rsid w:val="00201088"/>
    <w:pPr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ind w:firstLine="0"/>
      <w:jc w:val="center"/>
    </w:pPr>
    <w:rPr>
      <w:b/>
      <w:sz w:val="28"/>
    </w:rPr>
  </w:style>
  <w:style w:type="paragraph" w:customStyle="1" w:styleId="Textodstavce">
    <w:name w:val="Text odstavce"/>
    <w:basedOn w:val="Normal"/>
    <w:rsid w:val="00537F46"/>
    <w:pPr>
      <w:spacing w:before="120"/>
      <w:ind w:firstLine="709"/>
      <w:jc w:val="both"/>
    </w:pPr>
    <w:rPr>
      <w:rFonts w:ascii="Calibri" w:hAnsi="Calibri"/>
      <w:sz w:val="22"/>
    </w:rPr>
  </w:style>
  <w:style w:type="paragraph" w:customStyle="1" w:styleId="Nadpissti">
    <w:name w:val="Nadpis části"/>
    <w:basedOn w:val="Textodstavce"/>
    <w:pPr>
      <w:keepNext/>
      <w:keepLines/>
      <w:spacing w:before="640"/>
      <w:ind w:firstLine="0"/>
      <w:jc w:val="center"/>
    </w:pPr>
    <w:rPr>
      <w:b/>
      <w:caps/>
    </w:rPr>
  </w:style>
  <w:style w:type="paragraph" w:customStyle="1" w:styleId="Textpsmena">
    <w:name w:val="Text písmena"/>
    <w:basedOn w:val="Textodstavce"/>
    <w:pPr>
      <w:tabs>
        <w:tab w:val="left" w:pos="284"/>
        <w:tab w:val="left" w:pos="1068"/>
      </w:tabs>
      <w:ind w:left="284" w:hanging="284"/>
    </w:pPr>
  </w:style>
  <w:style w:type="paragraph" w:customStyle="1" w:styleId="Nadpispodsti">
    <w:name w:val="Nadpis podčásti"/>
    <w:basedOn w:val="Nadpissti"/>
    <w:rsid w:val="001706F4"/>
    <w:rPr>
      <w:b w:val="0"/>
      <w:bCs/>
      <w:smallCaps/>
    </w:rPr>
  </w:style>
  <w:style w:type="paragraph" w:customStyle="1" w:styleId="Rubrika">
    <w:name w:val="Rubrika"/>
    <w:basedOn w:val="Normal"/>
    <w:pPr>
      <w:keepNext/>
      <w:spacing w:before="120"/>
      <w:ind w:firstLine="709"/>
      <w:jc w:val="both"/>
    </w:pPr>
    <w:rPr>
      <w:b/>
      <w:bCs/>
      <w:i/>
      <w:sz w:val="24"/>
      <w:u w:val="dash"/>
    </w:rPr>
  </w:style>
  <w:style w:type="paragraph" w:customStyle="1" w:styleId="Nadpisoddlu">
    <w:name w:val="Nadpis oddílu"/>
    <w:basedOn w:val="Textodstavce"/>
    <w:pPr>
      <w:keepNext/>
      <w:spacing w:before="400"/>
      <w:ind w:firstLine="0"/>
      <w:jc w:val="center"/>
    </w:pPr>
    <w:rPr>
      <w:i/>
      <w:smallCaps/>
    </w:rPr>
  </w:style>
  <w:style w:type="paragraph" w:customStyle="1" w:styleId="Nadpispododdlu">
    <w:name w:val="Nadpis pododdílu"/>
    <w:basedOn w:val="Nadpisoddlu"/>
    <w:pPr>
      <w:spacing w:before="320"/>
    </w:pPr>
    <w:rPr>
      <w:smallCaps w:val="0"/>
    </w:rPr>
  </w:style>
  <w:style w:type="paragraph" w:customStyle="1" w:styleId="Nadpisvtextu">
    <w:name w:val="Nadpis v textu"/>
    <w:basedOn w:val="Nadpispododdlu"/>
    <w:rsid w:val="001706F4"/>
    <w:rPr>
      <w:i w:val="0"/>
    </w:rPr>
  </w:style>
  <w:style w:type="character" w:customStyle="1" w:styleId="Strong1">
    <w:name w:val="Strong1"/>
    <w:rPr>
      <w:b/>
    </w:rPr>
  </w:style>
  <w:style w:type="paragraph" w:customStyle="1" w:styleId="Podnadpis1">
    <w:name w:val="Podnadpis1"/>
    <w:basedOn w:val="Normal"/>
    <w:rsid w:val="00537F46"/>
    <w:rPr>
      <w:rFonts w:ascii="Book Antiqua" w:hAnsi="Book Antiqua"/>
      <w:i/>
      <w:szCs w:val="24"/>
    </w:rPr>
  </w:style>
  <w:style w:type="paragraph" w:customStyle="1" w:styleId="Hvzdiky">
    <w:name w:val="Hvězdičky"/>
    <w:basedOn w:val="Normal"/>
    <w:pPr>
      <w:spacing w:before="320" w:after="160"/>
      <w:jc w:val="center"/>
    </w:pPr>
  </w:style>
  <w:style w:type="paragraph" w:customStyle="1" w:styleId="Ministerstvospravedlnosti">
    <w:name w:val="Ministerstvo spravedlnosti"/>
    <w:rsid w:val="00537F46"/>
    <w:pPr>
      <w:spacing w:after="240"/>
    </w:pPr>
    <w:rPr>
      <w:rFonts w:ascii="Book Antiqua" w:hAnsi="Book Antiqua"/>
      <w:b/>
      <w:bCs/>
      <w:caps/>
      <w:sz w:val="24"/>
      <w:szCs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vrenklauzule">
    <w:name w:val="Závěrečná klauzule"/>
    <w:basedOn w:val="Textpsmena"/>
    <w:autoRedefine/>
    <w:rsid w:val="00D007AE"/>
    <w:pPr>
      <w:ind w:left="0" w:firstLine="0"/>
    </w:pPr>
  </w:style>
  <w:style w:type="paragraph" w:customStyle="1" w:styleId="Textzprvy">
    <w:name w:val="Text zprávy"/>
    <w:basedOn w:val="Normal"/>
    <w:link w:val="TextzprvyChar"/>
    <w:qFormat/>
    <w:rsid w:val="004B464B"/>
    <w:pPr>
      <w:spacing w:before="80"/>
      <w:jc w:val="both"/>
    </w:pPr>
    <w:rPr>
      <w:rFonts w:ascii="Calibri" w:hAnsi="Calibri"/>
      <w:sz w:val="22"/>
      <w:szCs w:val="22"/>
    </w:rPr>
  </w:style>
  <w:style w:type="paragraph" w:customStyle="1" w:styleId="Podnadpisrubrikyjudiktu">
    <w:name w:val="Podnadpis rubriky judikátu"/>
    <w:basedOn w:val="Textzprvy"/>
    <w:qFormat/>
    <w:rsid w:val="004B464B"/>
    <w:pPr>
      <w:keepNext/>
      <w:keepLines/>
      <w:ind w:left="284" w:hanging="284"/>
    </w:pPr>
    <w:rPr>
      <w:i/>
    </w:rPr>
  </w:style>
  <w:style w:type="paragraph" w:customStyle="1" w:styleId="Nadpisrubrikyjudiktu">
    <w:name w:val="Nadpis rubriky judikátu"/>
    <w:basedOn w:val="Podnadpisrubrikyjudiktu"/>
    <w:qFormat/>
    <w:rsid w:val="004B464B"/>
    <w:pPr>
      <w:spacing w:before="160"/>
    </w:pPr>
    <w:rPr>
      <w:i w:val="0"/>
      <w:smallCaps/>
    </w:rPr>
  </w:style>
  <w:style w:type="paragraph" w:customStyle="1" w:styleId="Nadpisstijudiktu">
    <w:name w:val="Nadpis části judikátu"/>
    <w:basedOn w:val="Nadpisrubrikyjudiktu"/>
    <w:qFormat/>
    <w:rsid w:val="004B464B"/>
    <w:pPr>
      <w:spacing w:before="240"/>
    </w:pPr>
    <w:rPr>
      <w:b/>
      <w:smallCaps w:val="0"/>
    </w:rPr>
  </w:style>
  <w:style w:type="paragraph" w:customStyle="1" w:styleId="Nadpisjudiktu1">
    <w:name w:val="Nadpis judikátu 1"/>
    <w:basedOn w:val="Normal"/>
    <w:qFormat/>
    <w:rsid w:val="004B464B"/>
    <w:pPr>
      <w:keepNext/>
      <w:keepLines/>
      <w:spacing w:before="360"/>
      <w:jc w:val="both"/>
    </w:pPr>
    <w:rPr>
      <w:rFonts w:ascii="Calibri" w:hAnsi="Calibri"/>
      <w:b/>
      <w:sz w:val="24"/>
      <w:szCs w:val="22"/>
    </w:rPr>
  </w:style>
  <w:style w:type="character" w:customStyle="1" w:styleId="TextzprvyChar">
    <w:name w:val="Text zprávy Char"/>
    <w:link w:val="Textzprvy"/>
    <w:rsid w:val="004B464B"/>
    <w:rPr>
      <w:rFonts w:ascii="Calibri" w:hAnsi="Calibri"/>
      <w:sz w:val="22"/>
      <w:szCs w:val="22"/>
      <w:lang w:eastAsia="cs-CZ"/>
    </w:rPr>
  </w:style>
  <w:style w:type="character" w:customStyle="1" w:styleId="Text-rubrikaChar">
    <w:name w:val="Text-rubrika Char"/>
    <w:link w:val="Text-rubrika"/>
    <w:locked/>
    <w:rsid w:val="00022DBE"/>
    <w:rPr>
      <w:rFonts w:ascii="Arial" w:hAnsi="Arial" w:cs="Arial"/>
      <w:i/>
      <w:iCs/>
      <w:sz w:val="22"/>
      <w:szCs w:val="24"/>
      <w:u w:val="single"/>
    </w:rPr>
  </w:style>
  <w:style w:type="paragraph" w:customStyle="1" w:styleId="Text-rubrika">
    <w:name w:val="Text-rubrika"/>
    <w:basedOn w:val="Textzprvy"/>
    <w:link w:val="Text-rubrikaChar"/>
    <w:rsid w:val="00022DBE"/>
    <w:pPr>
      <w:keepNext/>
      <w:spacing w:before="160" w:after="100"/>
    </w:pPr>
    <w:rPr>
      <w:rFonts w:ascii="Arial" w:hAnsi="Arial" w:cs="Arial"/>
      <w:i/>
      <w:iCs/>
      <w:szCs w:val="24"/>
      <w:u w:val="single"/>
    </w:rPr>
  </w:style>
  <w:style w:type="paragraph" w:customStyle="1" w:styleId="Text-podrubrika">
    <w:name w:val="Text-podrubrika"/>
    <w:basedOn w:val="Textzprvy"/>
    <w:rsid w:val="00022DBE"/>
    <w:pPr>
      <w:keepNext/>
      <w:spacing w:before="40"/>
    </w:pPr>
    <w:rPr>
      <w:rFonts w:ascii="Arial" w:hAnsi="Arial" w:cs="Arial"/>
      <w:i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38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E7E2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E7E2F"/>
    <w:rPr>
      <w:color w:val="800080"/>
      <w:u w:val="single"/>
    </w:rPr>
  </w:style>
  <w:style w:type="paragraph" w:customStyle="1" w:styleId="se3e35852">
    <w:name w:val="se3e35852"/>
    <w:rsid w:val="00D3579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justice.cz/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B9F0-BC0E-4DF0-8AE4-D4D74995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1147</Words>
  <Characters>6759</Characters>
  <Application>Microsoft Office Word</Application>
  <DocSecurity>0</DocSecurity>
  <Lines>90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Anotace rozhodnutí ESLP</vt:lpstr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cp:revision>1</cp:revision>
  <cp:lastPrinted>2016-04-25T14:36:00Z</cp:lastPrinted>
  <dcterms:created xsi:type="dcterms:W3CDTF">2016-11-15T15:41:00Z</dcterms:created>
  <dcterms:modified xsi:type="dcterms:W3CDTF">2016-11-15T15:41:00Z</dcterms:modified>
</cp:coreProperties>
</file>