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6.0 -->
  <w:body>
    <w:p w:rsidRPr="006A30A4" w:rsidR="006A30A4" w:rsidP="006A30A4">
      <w:pPr>
        <w:ind w:left="0"/>
        <w:jc w:val="center"/>
        <w:rPr>
          <w:rFonts w:ascii="Arial" w:hAnsi="Arial" w:eastAsia="Times New Roman" w:cs="Arial"/>
          <w:color w:val="000000"/>
          <w:sz w:val="16"/>
          <w:szCs w:val="16"/>
          <w:lang w:val="hr-HR" w:eastAsia="hr-HR"/>
        </w:rPr>
      </w:pPr>
      <w:bookmarkStart w:name="_GoBack" w:id="0"/>
      <w:bookmarkEnd w:id="0"/>
      <w:r w:rsidRPr="006A30A4">
        <w:rPr>
          <w:rFonts w:ascii="Arial" w:hAnsi="Arial" w:eastAsia="Times New Roman" w:cs="Arial"/>
          <w:color w:val="000000"/>
          <w:sz w:val="16"/>
          <w:szCs w:val="16"/>
          <w:lang w:val="hr-HR" w:eastAsia="hr-HR"/>
        </w:rPr>
        <w:t>© Ured zastupnika Republike Hrvatske pred Europskim sudom za ljudska prava. Sva prava pridržana. Dopuštenje za ponovno objavljivanje ovog sažetka dano je isključivo u svrhu uključivanja u HUDOC bazu podataka Suda.</w:t>
      </w:r>
    </w:p>
    <w:p w:rsidRPr="006A30A4" w:rsidR="006A30A4" w:rsidP="006A30A4">
      <w:pPr>
        <w:ind w:left="0"/>
        <w:jc w:val="center"/>
        <w:rPr>
          <w:rFonts w:ascii="Arial" w:hAnsi="Arial" w:eastAsia="Times New Roman" w:cs="Arial"/>
          <w:color w:val="000000"/>
          <w:sz w:val="16"/>
          <w:szCs w:val="16"/>
          <w:lang w:val="hr-HR" w:eastAsia="hr-HR"/>
        </w:rPr>
      </w:pPr>
    </w:p>
    <w:p w:rsidRPr="006A30A4" w:rsidR="006A30A4" w:rsidP="006A30A4">
      <w:pPr>
        <w:ind w:left="0"/>
        <w:jc w:val="center"/>
        <w:rPr>
          <w:rFonts w:ascii="Arial" w:hAnsi="Arial" w:eastAsia="Times New Roman" w:cs="Arial"/>
          <w:color w:val="000000"/>
          <w:sz w:val="16"/>
          <w:szCs w:val="16"/>
          <w:lang w:val="hr-HR" w:eastAsia="hr-HR"/>
        </w:rPr>
      </w:pPr>
      <w:r w:rsidRPr="006A30A4">
        <w:rPr>
          <w:rFonts w:ascii="Arial" w:hAnsi="Arial" w:eastAsia="Times New Roman" w:cs="Arial"/>
          <w:color w:val="000000"/>
          <w:sz w:val="16"/>
          <w:szCs w:val="16"/>
          <w:lang w:val="hr-HR" w:eastAsia="hr-HR"/>
        </w:rPr>
        <w:t xml:space="preserve">© Office of </w:t>
      </w:r>
      <w:r w:rsidRPr="006A30A4">
        <w:rPr>
          <w:rFonts w:ascii="Arial" w:hAnsi="Arial" w:eastAsia="Times New Roman" w:cs="Arial"/>
          <w:color w:val="000000"/>
          <w:sz w:val="16"/>
          <w:szCs w:val="16"/>
          <w:lang w:val="hr-HR" w:eastAsia="hr-HR"/>
        </w:rPr>
        <w:t>the</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Representative</w:t>
      </w:r>
      <w:r w:rsidRPr="006A30A4">
        <w:rPr>
          <w:rFonts w:ascii="Arial" w:hAnsi="Arial" w:eastAsia="Times New Roman" w:cs="Arial"/>
          <w:color w:val="000000"/>
          <w:sz w:val="16"/>
          <w:szCs w:val="16"/>
          <w:lang w:val="hr-HR" w:eastAsia="hr-HR"/>
        </w:rPr>
        <w:t xml:space="preserve"> of </w:t>
      </w:r>
      <w:r w:rsidRPr="006A30A4">
        <w:rPr>
          <w:rFonts w:ascii="Arial" w:hAnsi="Arial" w:eastAsia="Times New Roman" w:cs="Arial"/>
          <w:color w:val="000000"/>
          <w:sz w:val="16"/>
          <w:szCs w:val="16"/>
          <w:lang w:val="hr-HR" w:eastAsia="hr-HR"/>
        </w:rPr>
        <w:t>the</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Republic</w:t>
      </w:r>
      <w:r w:rsidRPr="006A30A4">
        <w:rPr>
          <w:rFonts w:ascii="Arial" w:hAnsi="Arial" w:eastAsia="Times New Roman" w:cs="Arial"/>
          <w:color w:val="000000"/>
          <w:sz w:val="16"/>
          <w:szCs w:val="16"/>
          <w:lang w:val="hr-HR" w:eastAsia="hr-HR"/>
        </w:rPr>
        <w:t xml:space="preserve"> of Croatia </w:t>
      </w:r>
      <w:r w:rsidRPr="006A30A4">
        <w:rPr>
          <w:rFonts w:ascii="Arial" w:hAnsi="Arial" w:eastAsia="Times New Roman" w:cs="Arial"/>
          <w:color w:val="000000"/>
          <w:sz w:val="16"/>
          <w:szCs w:val="16"/>
          <w:lang w:val="hr-HR" w:eastAsia="hr-HR"/>
        </w:rPr>
        <w:t>before</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the</w:t>
      </w:r>
      <w:r w:rsidRPr="006A30A4">
        <w:rPr>
          <w:rFonts w:ascii="Arial" w:hAnsi="Arial" w:eastAsia="Times New Roman" w:cs="Arial"/>
          <w:color w:val="000000"/>
          <w:sz w:val="16"/>
          <w:szCs w:val="16"/>
          <w:lang w:val="hr-HR" w:eastAsia="hr-HR"/>
        </w:rPr>
        <w:t xml:space="preserve"> European Court of Human </w:t>
      </w:r>
      <w:r w:rsidRPr="006A30A4">
        <w:rPr>
          <w:rFonts w:ascii="Arial" w:hAnsi="Arial" w:eastAsia="Times New Roman" w:cs="Arial"/>
          <w:color w:val="000000"/>
          <w:sz w:val="16"/>
          <w:szCs w:val="16"/>
          <w:lang w:val="hr-HR" w:eastAsia="hr-HR"/>
        </w:rPr>
        <w:t>Rights</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All</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rights</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reserved</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Permission</w:t>
      </w:r>
      <w:r w:rsidRPr="006A30A4">
        <w:rPr>
          <w:rFonts w:ascii="Arial" w:hAnsi="Arial" w:eastAsia="Times New Roman" w:cs="Arial"/>
          <w:color w:val="000000"/>
          <w:sz w:val="16"/>
          <w:szCs w:val="16"/>
          <w:lang w:val="hr-HR" w:eastAsia="hr-HR"/>
        </w:rPr>
        <w:t xml:space="preserve"> to re-</w:t>
      </w:r>
      <w:r w:rsidRPr="006A30A4">
        <w:rPr>
          <w:rFonts w:ascii="Arial" w:hAnsi="Arial" w:eastAsia="Times New Roman" w:cs="Arial"/>
          <w:color w:val="000000"/>
          <w:sz w:val="16"/>
          <w:szCs w:val="16"/>
          <w:lang w:val="hr-HR" w:eastAsia="hr-HR"/>
        </w:rPr>
        <w:t>publish</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this</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summary</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has</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been</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granted</w:t>
      </w:r>
      <w:r w:rsidRPr="006A30A4">
        <w:rPr>
          <w:rFonts w:ascii="Arial" w:hAnsi="Arial" w:eastAsia="Times New Roman" w:cs="Arial"/>
          <w:color w:val="000000"/>
          <w:sz w:val="16"/>
          <w:szCs w:val="16"/>
          <w:lang w:val="hr-HR" w:eastAsia="hr-HR"/>
        </w:rPr>
        <w:t xml:space="preserve"> for </w:t>
      </w:r>
      <w:r w:rsidRPr="006A30A4">
        <w:rPr>
          <w:rFonts w:ascii="Arial" w:hAnsi="Arial" w:eastAsia="Times New Roman" w:cs="Arial"/>
          <w:color w:val="000000"/>
          <w:sz w:val="16"/>
          <w:szCs w:val="16"/>
          <w:lang w:val="hr-HR" w:eastAsia="hr-HR"/>
        </w:rPr>
        <w:t>the</w:t>
      </w:r>
      <w:r w:rsidRPr="006A30A4">
        <w:rPr>
          <w:rFonts w:ascii="Arial" w:hAnsi="Arial" w:eastAsia="Times New Roman" w:cs="Arial"/>
          <w:color w:val="000000"/>
          <w:sz w:val="16"/>
          <w:szCs w:val="16"/>
          <w:lang w:val="hr-HR" w:eastAsia="hr-HR"/>
        </w:rPr>
        <w:t xml:space="preserve"> sole </w:t>
      </w:r>
      <w:r w:rsidRPr="006A30A4">
        <w:rPr>
          <w:rFonts w:ascii="Arial" w:hAnsi="Arial" w:eastAsia="Times New Roman" w:cs="Arial"/>
          <w:color w:val="000000"/>
          <w:sz w:val="16"/>
          <w:szCs w:val="16"/>
          <w:lang w:val="hr-HR" w:eastAsia="hr-HR"/>
        </w:rPr>
        <w:t>purpose</w:t>
      </w:r>
      <w:r w:rsidRPr="006A30A4">
        <w:rPr>
          <w:rFonts w:ascii="Arial" w:hAnsi="Arial" w:eastAsia="Times New Roman" w:cs="Arial"/>
          <w:color w:val="000000"/>
          <w:sz w:val="16"/>
          <w:szCs w:val="16"/>
          <w:lang w:val="hr-HR" w:eastAsia="hr-HR"/>
        </w:rPr>
        <w:t xml:space="preserve"> of </w:t>
      </w:r>
      <w:r w:rsidRPr="006A30A4">
        <w:rPr>
          <w:rFonts w:ascii="Arial" w:hAnsi="Arial" w:eastAsia="Times New Roman" w:cs="Arial"/>
          <w:color w:val="000000"/>
          <w:sz w:val="16"/>
          <w:szCs w:val="16"/>
          <w:lang w:val="hr-HR" w:eastAsia="hr-HR"/>
        </w:rPr>
        <w:t>its</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inclusion</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in</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the</w:t>
      </w:r>
      <w:r w:rsidRPr="006A30A4">
        <w:rPr>
          <w:rFonts w:ascii="Arial" w:hAnsi="Arial" w:eastAsia="Times New Roman" w:cs="Arial"/>
          <w:color w:val="000000"/>
          <w:sz w:val="16"/>
          <w:szCs w:val="16"/>
          <w:lang w:val="hr-HR" w:eastAsia="hr-HR"/>
        </w:rPr>
        <w:t xml:space="preserve"> Court</w:t>
      </w:r>
      <w:r w:rsidRPr="006A30A4">
        <w:rPr>
          <w:rFonts w:ascii="Arial" w:hAnsi="Arial" w:eastAsia="Times New Roman" w:cs="Arial"/>
          <w:color w:val="000000"/>
          <w:sz w:val="16"/>
          <w:szCs w:val="16"/>
          <w:lang w:val="hr-HR" w:eastAsia="hr-HR"/>
        </w:rPr>
        <w:t>’</w:t>
      </w:r>
      <w:r w:rsidRPr="006A30A4">
        <w:rPr>
          <w:rFonts w:ascii="Arial" w:hAnsi="Arial" w:eastAsia="Times New Roman" w:cs="Arial"/>
          <w:color w:val="000000"/>
          <w:sz w:val="16"/>
          <w:szCs w:val="16"/>
          <w:lang w:val="hr-HR" w:eastAsia="hr-HR"/>
        </w:rPr>
        <w:t xml:space="preserve">s </w:t>
      </w:r>
      <w:r w:rsidRPr="006A30A4">
        <w:rPr>
          <w:rFonts w:ascii="Arial" w:hAnsi="Arial" w:eastAsia="Times New Roman" w:cs="Arial"/>
          <w:color w:val="000000"/>
          <w:sz w:val="16"/>
          <w:szCs w:val="16"/>
          <w:lang w:val="hr-HR" w:eastAsia="hr-HR"/>
        </w:rPr>
        <w:t>database</w:t>
      </w:r>
      <w:r w:rsidRPr="006A30A4">
        <w:rPr>
          <w:rFonts w:ascii="Arial" w:hAnsi="Arial" w:eastAsia="Times New Roman" w:cs="Arial"/>
          <w:color w:val="000000"/>
          <w:sz w:val="16"/>
          <w:szCs w:val="16"/>
          <w:lang w:val="hr-HR" w:eastAsia="hr-HR"/>
        </w:rPr>
        <w:t xml:space="preserve"> HUDOC.</w:t>
      </w:r>
    </w:p>
    <w:p w:rsidRPr="006A30A4" w:rsidR="006A30A4" w:rsidP="006A30A4">
      <w:pPr>
        <w:ind w:left="0"/>
        <w:jc w:val="center"/>
        <w:rPr>
          <w:rFonts w:ascii="Arial" w:hAnsi="Arial" w:eastAsia="Times New Roman" w:cs="Arial"/>
          <w:color w:val="000000"/>
          <w:sz w:val="16"/>
          <w:szCs w:val="16"/>
          <w:lang w:val="hr-HR" w:eastAsia="hr-HR"/>
        </w:rPr>
      </w:pPr>
    </w:p>
    <w:p w:rsidRPr="006A30A4" w:rsidR="006A30A4" w:rsidP="006A30A4">
      <w:pPr>
        <w:ind w:left="0"/>
        <w:jc w:val="center"/>
        <w:rPr>
          <w:rFonts w:ascii="Arial" w:hAnsi="Arial" w:eastAsia="Times New Roman" w:cs="Arial"/>
          <w:color w:val="000000"/>
          <w:sz w:val="16"/>
          <w:szCs w:val="16"/>
          <w:lang w:val="hr-HR" w:eastAsia="hr-HR"/>
        </w:rPr>
      </w:pP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Bureau</w:t>
      </w:r>
      <w:r w:rsidRPr="006A30A4">
        <w:rPr>
          <w:rFonts w:ascii="Arial" w:hAnsi="Arial" w:eastAsia="Times New Roman" w:cs="Arial"/>
          <w:color w:val="000000"/>
          <w:sz w:val="16"/>
          <w:szCs w:val="16"/>
          <w:lang w:val="hr-HR" w:eastAsia="hr-HR"/>
        </w:rPr>
        <w:t xml:space="preserve"> de l</w:t>
      </w:r>
      <w:r w:rsidRPr="006A30A4">
        <w:rPr>
          <w:rFonts w:ascii="Arial" w:hAnsi="Arial" w:eastAsia="Times New Roman" w:cs="Arial"/>
          <w:color w:val="000000"/>
          <w:sz w:val="16"/>
          <w:szCs w:val="16"/>
          <w:lang w:val="hr-HR" w:eastAsia="hr-HR"/>
        </w:rPr>
        <w:t>’</w:t>
      </w:r>
      <w:r w:rsidRPr="006A30A4">
        <w:rPr>
          <w:rFonts w:ascii="Arial" w:hAnsi="Arial" w:eastAsia="Times New Roman" w:cs="Arial"/>
          <w:color w:val="000000"/>
          <w:sz w:val="16"/>
          <w:szCs w:val="16"/>
          <w:lang w:val="hr-HR" w:eastAsia="hr-HR"/>
        </w:rPr>
        <w:t xml:space="preserve">Agent de </w:t>
      </w:r>
      <w:r w:rsidRPr="006A30A4">
        <w:rPr>
          <w:rFonts w:ascii="Arial" w:hAnsi="Arial" w:eastAsia="Times New Roman" w:cs="Arial"/>
          <w:color w:val="000000"/>
          <w:sz w:val="16"/>
          <w:szCs w:val="16"/>
          <w:lang w:val="hr-HR" w:eastAsia="hr-HR"/>
        </w:rPr>
        <w:t>la</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République</w:t>
      </w:r>
      <w:r w:rsidRPr="006A30A4">
        <w:rPr>
          <w:rFonts w:ascii="Arial" w:hAnsi="Arial" w:eastAsia="Times New Roman" w:cs="Arial"/>
          <w:color w:val="000000"/>
          <w:sz w:val="16"/>
          <w:szCs w:val="16"/>
          <w:lang w:val="hr-HR" w:eastAsia="hr-HR"/>
        </w:rPr>
        <w:t xml:space="preserve"> de </w:t>
      </w:r>
      <w:r w:rsidRPr="006A30A4">
        <w:rPr>
          <w:rFonts w:ascii="Arial" w:hAnsi="Arial" w:eastAsia="Times New Roman" w:cs="Arial"/>
          <w:color w:val="000000"/>
          <w:sz w:val="16"/>
          <w:szCs w:val="16"/>
          <w:lang w:val="hr-HR" w:eastAsia="hr-HR"/>
        </w:rPr>
        <w:t>Croatie</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devant</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la</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Cour</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européenne</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des</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droits</w:t>
      </w:r>
      <w:r w:rsidRPr="006A30A4">
        <w:rPr>
          <w:rFonts w:ascii="Arial" w:hAnsi="Arial" w:eastAsia="Times New Roman" w:cs="Arial"/>
          <w:color w:val="000000"/>
          <w:sz w:val="16"/>
          <w:szCs w:val="16"/>
          <w:lang w:val="hr-HR" w:eastAsia="hr-HR"/>
        </w:rPr>
        <w:t xml:space="preserve"> de l</w:t>
      </w:r>
      <w:r w:rsidRPr="006A30A4">
        <w:rPr>
          <w:rFonts w:ascii="Arial" w:hAnsi="Arial" w:eastAsia="Times New Roman" w:cs="Arial"/>
          <w:color w:val="000000"/>
          <w:sz w:val="16"/>
          <w:szCs w:val="16"/>
          <w:lang w:val="hr-HR" w:eastAsia="hr-HR"/>
        </w:rPr>
        <w:t>’</w:t>
      </w:r>
      <w:r w:rsidRPr="006A30A4">
        <w:rPr>
          <w:rFonts w:ascii="Arial" w:hAnsi="Arial" w:eastAsia="Times New Roman" w:cs="Arial"/>
          <w:color w:val="000000"/>
          <w:sz w:val="16"/>
          <w:szCs w:val="16"/>
          <w:lang w:val="hr-HR" w:eastAsia="hr-HR"/>
        </w:rPr>
        <w:t>homme</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Tous</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droits</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réservés</w:t>
      </w:r>
      <w:r w:rsidRPr="006A30A4">
        <w:rPr>
          <w:rFonts w:ascii="Arial" w:hAnsi="Arial" w:eastAsia="Times New Roman" w:cs="Arial"/>
          <w:color w:val="000000"/>
          <w:sz w:val="16"/>
          <w:szCs w:val="16"/>
          <w:lang w:val="hr-HR" w:eastAsia="hr-HR"/>
        </w:rPr>
        <w:t>. L</w:t>
      </w:r>
      <w:r w:rsidRPr="006A30A4">
        <w:rPr>
          <w:rFonts w:ascii="Arial" w:hAnsi="Arial" w:eastAsia="Times New Roman" w:cs="Arial"/>
          <w:color w:val="000000"/>
          <w:sz w:val="16"/>
          <w:szCs w:val="16"/>
          <w:lang w:val="hr-HR" w:eastAsia="hr-HR"/>
        </w:rPr>
        <w:t>’</w:t>
      </w:r>
      <w:r w:rsidRPr="006A30A4">
        <w:rPr>
          <w:rFonts w:ascii="Arial" w:hAnsi="Arial" w:eastAsia="Times New Roman" w:cs="Arial"/>
          <w:color w:val="000000"/>
          <w:sz w:val="16"/>
          <w:szCs w:val="16"/>
          <w:lang w:val="hr-HR" w:eastAsia="hr-HR"/>
        </w:rPr>
        <w:t>autorisation</w:t>
      </w:r>
      <w:r w:rsidRPr="006A30A4">
        <w:rPr>
          <w:rFonts w:ascii="Arial" w:hAnsi="Arial" w:eastAsia="Times New Roman" w:cs="Arial"/>
          <w:color w:val="000000"/>
          <w:sz w:val="16"/>
          <w:szCs w:val="16"/>
          <w:lang w:val="hr-HR" w:eastAsia="hr-HR"/>
        </w:rPr>
        <w:t xml:space="preserve"> de </w:t>
      </w:r>
      <w:r w:rsidRPr="006A30A4">
        <w:rPr>
          <w:rFonts w:ascii="Arial" w:hAnsi="Arial" w:eastAsia="Times New Roman" w:cs="Arial"/>
          <w:color w:val="000000"/>
          <w:sz w:val="16"/>
          <w:szCs w:val="16"/>
          <w:lang w:val="hr-HR" w:eastAsia="hr-HR"/>
        </w:rPr>
        <w:t>republier</w:t>
      </w:r>
      <w:r w:rsidRPr="006A30A4">
        <w:rPr>
          <w:rFonts w:ascii="Arial" w:hAnsi="Arial" w:eastAsia="Times New Roman" w:cs="Arial"/>
          <w:color w:val="000000"/>
          <w:sz w:val="16"/>
          <w:szCs w:val="16"/>
          <w:lang w:val="hr-HR" w:eastAsia="hr-HR"/>
        </w:rPr>
        <w:t xml:space="preserve"> ce </w:t>
      </w:r>
      <w:r w:rsidRPr="006A30A4">
        <w:rPr>
          <w:rFonts w:ascii="Arial" w:hAnsi="Arial" w:eastAsia="Times New Roman" w:cs="Arial"/>
          <w:color w:val="000000"/>
          <w:sz w:val="16"/>
          <w:szCs w:val="16"/>
          <w:lang w:val="hr-HR" w:eastAsia="hr-HR"/>
        </w:rPr>
        <w:t>résumé</w:t>
      </w:r>
      <w:r w:rsidRPr="006A30A4">
        <w:rPr>
          <w:rFonts w:ascii="Arial" w:hAnsi="Arial" w:eastAsia="Times New Roman" w:cs="Arial"/>
          <w:color w:val="000000"/>
          <w:sz w:val="16"/>
          <w:szCs w:val="16"/>
          <w:lang w:val="hr-HR" w:eastAsia="hr-HR"/>
        </w:rPr>
        <w:t xml:space="preserve"> a </w:t>
      </w:r>
      <w:r w:rsidRPr="006A30A4">
        <w:rPr>
          <w:rFonts w:ascii="Arial" w:hAnsi="Arial" w:eastAsia="Times New Roman" w:cs="Arial"/>
          <w:color w:val="000000"/>
          <w:sz w:val="16"/>
          <w:szCs w:val="16"/>
          <w:lang w:val="hr-HR" w:eastAsia="hr-HR"/>
        </w:rPr>
        <w:t>été</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accordée</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dans</w:t>
      </w:r>
      <w:r w:rsidRPr="006A30A4">
        <w:rPr>
          <w:rFonts w:ascii="Arial" w:hAnsi="Arial" w:eastAsia="Times New Roman" w:cs="Arial"/>
          <w:color w:val="000000"/>
          <w:sz w:val="16"/>
          <w:szCs w:val="16"/>
          <w:lang w:val="hr-HR" w:eastAsia="hr-HR"/>
        </w:rPr>
        <w:t xml:space="preserve"> le </w:t>
      </w:r>
      <w:r w:rsidRPr="006A30A4">
        <w:rPr>
          <w:rFonts w:ascii="Arial" w:hAnsi="Arial" w:eastAsia="Times New Roman" w:cs="Arial"/>
          <w:color w:val="000000"/>
          <w:sz w:val="16"/>
          <w:szCs w:val="16"/>
          <w:lang w:val="hr-HR" w:eastAsia="hr-HR"/>
        </w:rPr>
        <w:t>seul</w:t>
      </w:r>
      <w:r w:rsidRPr="006A30A4">
        <w:rPr>
          <w:rFonts w:ascii="Arial" w:hAnsi="Arial" w:eastAsia="Times New Roman" w:cs="Arial"/>
          <w:color w:val="000000"/>
          <w:sz w:val="16"/>
          <w:szCs w:val="16"/>
          <w:lang w:val="hr-HR" w:eastAsia="hr-HR"/>
        </w:rPr>
        <w:t xml:space="preserve"> but de </w:t>
      </w:r>
      <w:r w:rsidRPr="006A30A4">
        <w:rPr>
          <w:rFonts w:ascii="Arial" w:hAnsi="Arial" w:eastAsia="Times New Roman" w:cs="Arial"/>
          <w:color w:val="000000"/>
          <w:sz w:val="16"/>
          <w:szCs w:val="16"/>
          <w:lang w:val="hr-HR" w:eastAsia="hr-HR"/>
        </w:rPr>
        <w:t>son</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inclusion</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dans</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la</w:t>
      </w:r>
      <w:r w:rsidRPr="006A30A4">
        <w:rPr>
          <w:rFonts w:ascii="Arial" w:hAnsi="Arial" w:eastAsia="Times New Roman" w:cs="Arial"/>
          <w:color w:val="000000"/>
          <w:sz w:val="16"/>
          <w:szCs w:val="16"/>
          <w:lang w:val="hr-HR" w:eastAsia="hr-HR"/>
        </w:rPr>
        <w:t xml:space="preserve"> base de </w:t>
      </w:r>
      <w:r w:rsidRPr="006A30A4">
        <w:rPr>
          <w:rFonts w:ascii="Arial" w:hAnsi="Arial" w:eastAsia="Times New Roman" w:cs="Arial"/>
          <w:color w:val="000000"/>
          <w:sz w:val="16"/>
          <w:szCs w:val="16"/>
          <w:lang w:val="hr-HR" w:eastAsia="hr-HR"/>
        </w:rPr>
        <w:t>données</w:t>
      </w:r>
      <w:r w:rsidRPr="006A30A4">
        <w:rPr>
          <w:rFonts w:ascii="Arial" w:hAnsi="Arial" w:eastAsia="Times New Roman" w:cs="Arial"/>
          <w:color w:val="000000"/>
          <w:sz w:val="16"/>
          <w:szCs w:val="16"/>
          <w:lang w:val="hr-HR" w:eastAsia="hr-HR"/>
        </w:rPr>
        <w:t xml:space="preserve"> HUDOC de </w:t>
      </w:r>
      <w:r w:rsidRPr="006A30A4">
        <w:rPr>
          <w:rFonts w:ascii="Arial" w:hAnsi="Arial" w:eastAsia="Times New Roman" w:cs="Arial"/>
          <w:color w:val="000000"/>
          <w:sz w:val="16"/>
          <w:szCs w:val="16"/>
          <w:lang w:val="hr-HR" w:eastAsia="hr-HR"/>
        </w:rPr>
        <w:t>la</w:t>
      </w:r>
      <w:r w:rsidRPr="006A30A4">
        <w:rPr>
          <w:rFonts w:ascii="Arial" w:hAnsi="Arial" w:eastAsia="Times New Roman" w:cs="Arial"/>
          <w:color w:val="000000"/>
          <w:sz w:val="16"/>
          <w:szCs w:val="16"/>
          <w:lang w:val="hr-HR" w:eastAsia="hr-HR"/>
        </w:rPr>
        <w:t xml:space="preserve"> </w:t>
      </w:r>
      <w:r w:rsidRPr="006A30A4">
        <w:rPr>
          <w:rFonts w:ascii="Arial" w:hAnsi="Arial" w:eastAsia="Times New Roman" w:cs="Arial"/>
          <w:color w:val="000000"/>
          <w:sz w:val="16"/>
          <w:szCs w:val="16"/>
          <w:lang w:val="hr-HR" w:eastAsia="hr-HR"/>
        </w:rPr>
        <w:t>Cour</w:t>
      </w:r>
      <w:r w:rsidRPr="006A30A4">
        <w:rPr>
          <w:rFonts w:ascii="Arial" w:hAnsi="Arial" w:eastAsia="Times New Roman" w:cs="Arial"/>
          <w:color w:val="000000"/>
          <w:sz w:val="16"/>
          <w:szCs w:val="16"/>
          <w:lang w:val="hr-HR" w:eastAsia="hr-HR"/>
        </w:rPr>
        <w:t>.</w:t>
      </w:r>
    </w:p>
    <w:p w:rsidRPr="006A30A4" w:rsidR="00347524" w:rsidP="006A30A4">
      <w:pPr>
        <w:ind w:left="0"/>
        <w:rPr>
          <w:rFonts w:ascii="Times New Roman" w:hAnsi="Times New Roman" w:cs="Times New Roman"/>
          <w:sz w:val="24"/>
          <w:szCs w:val="24"/>
          <w:lang w:val="hr-HR"/>
        </w:rPr>
      </w:pPr>
    </w:p>
    <w:p w:rsidRPr="006A30A4" w:rsidR="00990570" w:rsidP="006A30A4">
      <w:pPr>
        <w:ind w:left="0"/>
        <w:jc w:val="center"/>
        <w:rPr>
          <w:rFonts w:ascii="Times New Roman" w:hAnsi="Times New Roman" w:cs="Times New Roman"/>
          <w:b/>
          <w:sz w:val="24"/>
          <w:szCs w:val="24"/>
          <w:lang w:val="hr-HR"/>
        </w:rPr>
      </w:pPr>
      <w:r w:rsidRPr="006A30A4">
        <w:rPr>
          <w:rFonts w:ascii="Times New Roman" w:hAnsi="Times New Roman" w:cs="Times New Roman"/>
          <w:b/>
          <w:sz w:val="24"/>
          <w:szCs w:val="24"/>
          <w:lang w:val="hr-HR"/>
        </w:rPr>
        <w:t xml:space="preserve">SAŽETAK </w:t>
      </w:r>
      <w:r w:rsidRPr="006A30A4" w:rsidR="008D3FC4">
        <w:rPr>
          <w:rFonts w:ascii="Times New Roman" w:hAnsi="Times New Roman" w:cs="Times New Roman"/>
          <w:b/>
          <w:sz w:val="24"/>
          <w:szCs w:val="24"/>
          <w:lang w:val="hr-HR"/>
        </w:rPr>
        <w:t>PRESUD</w:t>
      </w:r>
      <w:r w:rsidRPr="006A30A4" w:rsidR="005626A2">
        <w:rPr>
          <w:rFonts w:ascii="Times New Roman" w:hAnsi="Times New Roman" w:cs="Times New Roman"/>
          <w:b/>
          <w:sz w:val="24"/>
          <w:szCs w:val="24"/>
          <w:lang w:val="hr-HR"/>
        </w:rPr>
        <w:t>E</w:t>
      </w:r>
    </w:p>
    <w:p w:rsidRPr="006A30A4" w:rsidR="005C53A3" w:rsidP="006A30A4">
      <w:pPr>
        <w:ind w:left="0"/>
        <w:jc w:val="center"/>
        <w:rPr>
          <w:rFonts w:ascii="Times New Roman" w:hAnsi="Times New Roman" w:cs="Times New Roman"/>
          <w:b/>
          <w:bCs/>
          <w:iCs/>
          <w:sz w:val="24"/>
          <w:szCs w:val="24"/>
          <w:lang w:val="hr-HR" w:bidi="hr-HR"/>
        </w:rPr>
      </w:pPr>
      <w:r w:rsidRPr="006A30A4">
        <w:rPr>
          <w:rFonts w:ascii="Times New Roman" w:hAnsi="Times New Roman" w:cs="Times New Roman"/>
          <w:b/>
          <w:bCs/>
          <w:iCs/>
          <w:sz w:val="24"/>
          <w:szCs w:val="24"/>
          <w:lang w:val="hr-HR" w:bidi="hr-HR"/>
        </w:rPr>
        <w:t>ZUBAC PROTIV HRVATSKE</w:t>
      </w:r>
    </w:p>
    <w:p w:rsidRPr="006A30A4" w:rsidR="00990570" w:rsidP="006A30A4">
      <w:pPr>
        <w:ind w:left="0"/>
        <w:jc w:val="center"/>
        <w:rPr>
          <w:rFonts w:ascii="Times New Roman" w:hAnsi="Times New Roman" w:cs="Times New Roman"/>
          <w:b/>
          <w:sz w:val="24"/>
          <w:szCs w:val="24"/>
          <w:lang w:val="hr-HR"/>
        </w:rPr>
      </w:pPr>
      <w:r w:rsidRPr="006A30A4">
        <w:rPr>
          <w:rFonts w:ascii="Times New Roman" w:hAnsi="Times New Roman" w:cs="Times New Roman"/>
          <w:b/>
          <w:sz w:val="24"/>
          <w:szCs w:val="24"/>
          <w:lang w:val="hr-HR"/>
        </w:rPr>
        <w:t xml:space="preserve">OD DANA </w:t>
      </w:r>
      <w:r w:rsidRPr="006A30A4" w:rsidR="005C53A3">
        <w:rPr>
          <w:rFonts w:ascii="Times New Roman" w:hAnsi="Times New Roman" w:cs="Times New Roman"/>
          <w:b/>
          <w:sz w:val="24"/>
          <w:szCs w:val="24"/>
          <w:lang w:val="hr-HR"/>
        </w:rPr>
        <w:t>5. TRAVNJA</w:t>
      </w:r>
      <w:r w:rsidRPr="006A30A4" w:rsidR="0077798A">
        <w:rPr>
          <w:rFonts w:ascii="Times New Roman" w:hAnsi="Times New Roman" w:cs="Times New Roman"/>
          <w:b/>
          <w:sz w:val="24"/>
          <w:szCs w:val="24"/>
          <w:lang w:val="hr-HR"/>
        </w:rPr>
        <w:t xml:space="preserve"> </w:t>
      </w:r>
      <w:r w:rsidRPr="006A30A4" w:rsidR="001430BA">
        <w:rPr>
          <w:rFonts w:ascii="Times New Roman" w:hAnsi="Times New Roman" w:cs="Times New Roman"/>
          <w:b/>
          <w:sz w:val="24"/>
          <w:szCs w:val="24"/>
          <w:lang w:val="hr-HR"/>
        </w:rPr>
        <w:t>2018</w:t>
      </w:r>
      <w:r w:rsidRPr="006A30A4">
        <w:rPr>
          <w:rFonts w:ascii="Times New Roman" w:hAnsi="Times New Roman" w:cs="Times New Roman"/>
          <w:b/>
          <w:sz w:val="24"/>
          <w:szCs w:val="24"/>
          <w:lang w:val="hr-HR"/>
        </w:rPr>
        <w:t>. GODINE</w:t>
      </w:r>
    </w:p>
    <w:p w:rsidRPr="006A30A4" w:rsidR="005513AE" w:rsidP="006A30A4">
      <w:pPr>
        <w:ind w:left="0"/>
        <w:jc w:val="center"/>
        <w:rPr>
          <w:rFonts w:ascii="Times New Roman" w:hAnsi="Times New Roman" w:cs="Times New Roman"/>
          <w:b/>
          <w:iCs/>
          <w:sz w:val="24"/>
          <w:szCs w:val="24"/>
          <w:lang w:val="hr-HR" w:bidi="hr-HR"/>
        </w:rPr>
      </w:pPr>
      <w:r w:rsidRPr="006A30A4">
        <w:rPr>
          <w:rFonts w:ascii="Times New Roman" w:hAnsi="Times New Roman" w:cs="Times New Roman"/>
          <w:b/>
          <w:sz w:val="24"/>
          <w:szCs w:val="24"/>
          <w:lang w:val="hr-HR"/>
        </w:rPr>
        <w:t>ZAHTJEV</w:t>
      </w:r>
      <w:r w:rsidRPr="006A30A4" w:rsidR="008F43CF">
        <w:rPr>
          <w:rFonts w:ascii="Times New Roman" w:hAnsi="Times New Roman" w:cs="Times New Roman"/>
          <w:b/>
          <w:sz w:val="24"/>
          <w:szCs w:val="24"/>
          <w:lang w:val="hr-HR"/>
        </w:rPr>
        <w:t xml:space="preserve"> </w:t>
      </w:r>
      <w:r w:rsidRPr="006A30A4">
        <w:rPr>
          <w:rFonts w:ascii="Times New Roman" w:hAnsi="Times New Roman" w:cs="Times New Roman"/>
          <w:b/>
          <w:sz w:val="24"/>
          <w:szCs w:val="24"/>
          <w:lang w:val="hr-HR"/>
        </w:rPr>
        <w:t>BR</w:t>
      </w:r>
      <w:r w:rsidRPr="006A30A4" w:rsidR="008F43CF">
        <w:rPr>
          <w:rFonts w:ascii="Times New Roman" w:hAnsi="Times New Roman" w:cs="Times New Roman"/>
          <w:b/>
          <w:sz w:val="24"/>
          <w:szCs w:val="24"/>
          <w:lang w:val="hr-HR"/>
        </w:rPr>
        <w:t xml:space="preserve">. </w:t>
      </w:r>
      <w:r w:rsidRPr="006A30A4" w:rsidR="005C53A3">
        <w:rPr>
          <w:rFonts w:ascii="Times New Roman" w:hAnsi="Times New Roman" w:cs="Times New Roman"/>
          <w:b/>
          <w:sz w:val="24"/>
          <w:szCs w:val="24"/>
          <w:lang w:val="hr-HR"/>
        </w:rPr>
        <w:t>40160/12</w:t>
      </w:r>
    </w:p>
    <w:p w:rsidRPr="006A30A4" w:rsidR="006022E4" w:rsidP="006A30A4">
      <w:pPr>
        <w:ind w:left="0"/>
        <w:jc w:val="both"/>
        <w:rPr>
          <w:rFonts w:ascii="Times New Roman" w:hAnsi="Times New Roman" w:cs="Times New Roman"/>
          <w:sz w:val="24"/>
          <w:szCs w:val="24"/>
          <w:lang w:val="hr-HR"/>
        </w:rPr>
      </w:pPr>
    </w:p>
    <w:p w:rsidRPr="006A30A4" w:rsidR="005C53A3" w:rsidP="006A30A4">
      <w:pPr>
        <w:ind w:left="0"/>
        <w:contextualSpacing/>
        <w:jc w:val="both"/>
        <w:rPr>
          <w:rFonts w:ascii="Times New Roman" w:hAnsi="Times New Roman" w:eastAsia="Calibri" w:cs="Times New Roman"/>
          <w:b/>
          <w:sz w:val="24"/>
          <w:u w:val="single"/>
          <w:lang w:val="hr-HR" w:eastAsia="hr-HR" w:bidi="hr-HR"/>
        </w:rPr>
      </w:pPr>
      <w:r w:rsidRPr="006A30A4">
        <w:rPr>
          <w:rFonts w:ascii="Times New Roman" w:hAnsi="Times New Roman" w:eastAsia="Calibri" w:cs="Times New Roman"/>
          <w:b/>
          <w:sz w:val="24"/>
          <w:u w:val="single"/>
          <w:lang w:val="hr-HR" w:eastAsia="hr-HR" w:bidi="hr-HR"/>
        </w:rPr>
        <w:t>ČINJENICE</w:t>
      </w:r>
    </w:p>
    <w:p w:rsidRPr="006A30A4" w:rsidR="005C53A3" w:rsidP="006A30A4">
      <w:pPr>
        <w:spacing w:before="240"/>
        <w:ind w:left="0"/>
        <w:jc w:val="both"/>
        <w:rPr>
          <w:rFonts w:ascii="Times New Roman" w:hAnsi="Times New Roman" w:eastAsia="Calibri" w:cs="Times New Roman"/>
          <w:sz w:val="24"/>
          <w:lang w:val="hr-HR" w:eastAsia="hr-HR" w:bidi="hr-HR"/>
        </w:rPr>
      </w:pPr>
      <w:r w:rsidRPr="006A30A4">
        <w:rPr>
          <w:rFonts w:ascii="Times New Roman" w:hAnsi="Times New Roman" w:eastAsia="Calibri" w:cs="Times New Roman"/>
          <w:sz w:val="24"/>
          <w:lang w:val="hr-HR" w:eastAsia="hr-HR" w:bidi="hr-HR"/>
        </w:rPr>
        <w:t xml:space="preserve">Podnositeljica zahtjeva, Vesna Zubac, državljanka je Bosne i Hercegovine i živi u Bijeli (Crna Gora). U rujnu 1992. otac podnositeljice je sklopio ugovor o zamjeni kuće u Dubrovniku za kuću u </w:t>
      </w:r>
      <w:r w:rsidRPr="006A30A4">
        <w:rPr>
          <w:rFonts w:ascii="Times New Roman" w:hAnsi="Times New Roman" w:eastAsia="Calibri" w:cs="Times New Roman"/>
          <w:sz w:val="24"/>
          <w:lang w:val="hr-HR" w:eastAsia="hr-HR" w:bidi="hr-HR"/>
        </w:rPr>
        <w:t>Trebinju</w:t>
      </w:r>
      <w:r w:rsidRPr="006A30A4">
        <w:rPr>
          <w:rFonts w:ascii="Times New Roman" w:hAnsi="Times New Roman" w:eastAsia="Calibri" w:cs="Times New Roman"/>
          <w:sz w:val="24"/>
          <w:lang w:val="hr-HR" w:eastAsia="hr-HR" w:bidi="hr-HR"/>
        </w:rPr>
        <w:t xml:space="preserve"> (Republika Srpska, Bosna i Hercegovina). Nakon njegove smrti, njegov sin i suprug podnositeljice podnijeli su tužbu Općinskom sudu u Dubrovniku u kolovozu 2002. godine, tražeći da se ugovor proglasi </w:t>
      </w:r>
      <w:r w:rsidRPr="006A30A4">
        <w:rPr>
          <w:rFonts w:ascii="Times New Roman" w:hAnsi="Times New Roman" w:eastAsia="Calibri" w:cs="Times New Roman"/>
          <w:sz w:val="24"/>
          <w:lang w:val="hr-HR" w:eastAsia="hr-HR" w:bidi="hr-HR"/>
        </w:rPr>
        <w:t>ništetnim</w:t>
      </w:r>
      <w:r w:rsidRPr="006A30A4">
        <w:rPr>
          <w:rFonts w:ascii="Times New Roman" w:hAnsi="Times New Roman" w:eastAsia="Calibri" w:cs="Times New Roman"/>
          <w:sz w:val="24"/>
          <w:lang w:val="hr-HR" w:eastAsia="hr-HR" w:bidi="hr-HR"/>
        </w:rPr>
        <w:t xml:space="preserve"> na temelju toga što je potpisan pod prisilom za vrijeme rata u Hrvatskoj. Supruga podnositeljice zastupao je odvjetnik iz Crne Gore sve do veljače 2005. godine, kada je slučaj preuzeo odvjetnik iz Hrvatske. Ovaj odvjetnik je na ročištu u travnju 2005. godine, povećao vrijednost predmeta spora s 10.000 na 105.000 kuna. Općinski sud je odbio tužbu u rujnu 2005. godine, te naložio tužiteljima da tuženicima nadoknade parnični trošak u skladu s povećanom vrijednošću predmeta spora. Budući da je Županijski sudu u Dubrovniku odbio žalbu tužitelja, suprug podnositeljice je podnio reviziju Vrhovnom sudu Republike Hrvatske. Nakon što je njezin suprug preminuo, podnositeljica je preuzela postupak. U ožujku 2011. godine Vrhovni sud je odbacio reviziju navodeći da je vrijednost predmeta spora bila ispod zakonskog praga. Naime, Vrhovni sud je smatrao da je mjerodavna vrijednost predmeta spora bila vrijednost naznačena u tužbi (10.000 kuna), a ne ona koja je naznačena u kasnijoj fazi postupka (105.000 kuna). S obzirom da je minimalna vrijednost</w:t>
      </w:r>
      <w:r w:rsidRPr="006A30A4" w:rsidR="006A30A4">
        <w:rPr>
          <w:rFonts w:ascii="Times New Roman" w:hAnsi="Times New Roman" w:eastAsia="Calibri" w:cs="Times New Roman"/>
          <w:sz w:val="24"/>
          <w:lang w:val="hr-HR" w:eastAsia="hr-HR" w:bidi="hr-HR"/>
        </w:rPr>
        <w:t xml:space="preserve"> </w:t>
      </w:r>
      <w:r w:rsidRPr="006A30A4">
        <w:rPr>
          <w:rFonts w:ascii="Times New Roman" w:hAnsi="Times New Roman" w:eastAsia="Calibri" w:cs="Times New Roman"/>
          <w:sz w:val="24"/>
          <w:lang w:val="hr-HR" w:eastAsia="hr-HR" w:bidi="hr-HR"/>
        </w:rPr>
        <w:t xml:space="preserve">predmeta spora za podnošenje revizije bila 100.000 kuna, Vrhovni sud je odbacio reviziju kao nedopuštenu </w:t>
      </w:r>
      <w:r w:rsidRPr="006A30A4">
        <w:rPr>
          <w:rFonts w:ascii="Times New Roman" w:hAnsi="Times New Roman" w:eastAsia="Calibri" w:cs="Times New Roman"/>
          <w:i/>
          <w:sz w:val="24"/>
          <w:lang w:val="hr-HR" w:eastAsia="hr-HR" w:bidi="hr-HR"/>
        </w:rPr>
        <w:t>ratione</w:t>
      </w:r>
      <w:r w:rsidRPr="006A30A4">
        <w:rPr>
          <w:rFonts w:ascii="Times New Roman" w:hAnsi="Times New Roman" w:eastAsia="Calibri" w:cs="Times New Roman"/>
          <w:i/>
          <w:sz w:val="24"/>
          <w:lang w:val="hr-HR" w:eastAsia="hr-HR" w:bidi="hr-HR"/>
        </w:rPr>
        <w:t xml:space="preserve"> </w:t>
      </w:r>
      <w:r w:rsidRPr="006A30A4">
        <w:rPr>
          <w:rFonts w:ascii="Times New Roman" w:hAnsi="Times New Roman" w:eastAsia="Calibri" w:cs="Times New Roman"/>
          <w:i/>
          <w:sz w:val="24"/>
          <w:lang w:val="hr-HR" w:eastAsia="hr-HR" w:bidi="hr-HR"/>
        </w:rPr>
        <w:t>valoris</w:t>
      </w:r>
      <w:r w:rsidRPr="006A30A4">
        <w:rPr>
          <w:rFonts w:ascii="Times New Roman" w:hAnsi="Times New Roman" w:eastAsia="Calibri" w:cs="Times New Roman"/>
          <w:sz w:val="24"/>
          <w:lang w:val="hr-HR" w:eastAsia="hr-HR" w:bidi="hr-HR"/>
        </w:rPr>
        <w:t>. Posebno je istaknuo da se, prema mjerodavnom domaćem pravu, vrijednost predmeta spora mogla mijenjati najkasnije na pripremnom ročištu ili na prvom ročištu za glavnu raspravu prije upuštanja u raspravljanje o glavnoj stvari. Međutim, tužitelj je povećao vrijednost predmeta spora tek u kasnijoj fazi postupka, kada više nije bilo moguće preinačiti tužbu. Ustavni sud je odbacio podnositeljičinu ustavnu tužbu u studenom 2011. godine.</w:t>
      </w:r>
    </w:p>
    <w:p w:rsidRPr="006A30A4" w:rsidR="005C53A3" w:rsidP="006A30A4">
      <w:pPr>
        <w:ind w:left="0"/>
        <w:jc w:val="both"/>
        <w:rPr>
          <w:rFonts w:ascii="Times New Roman" w:hAnsi="Times New Roman" w:eastAsia="Calibri" w:cs="Times New Roman"/>
          <w:sz w:val="24"/>
          <w:lang w:val="hr-HR" w:eastAsia="hr-HR" w:bidi="hr-HR"/>
        </w:rPr>
      </w:pPr>
    </w:p>
    <w:p w:rsidRPr="006A30A4" w:rsidR="006A30A4" w:rsidP="006A30A4">
      <w:pPr>
        <w:ind w:left="0"/>
        <w:jc w:val="both"/>
        <w:rPr>
          <w:rFonts w:ascii="Times New Roman" w:hAnsi="Times New Roman" w:eastAsia="Calibri" w:cs="Times New Roman"/>
          <w:sz w:val="24"/>
          <w:lang w:val="hr-HR" w:eastAsia="hr-HR" w:bidi="hr-HR"/>
        </w:rPr>
      </w:pPr>
      <w:r w:rsidRPr="006A30A4">
        <w:rPr>
          <w:rFonts w:ascii="Times New Roman" w:hAnsi="Times New Roman" w:eastAsia="Calibri" w:cs="Times New Roman"/>
          <w:sz w:val="24"/>
          <w:lang w:val="hr-HR" w:eastAsia="hr-HR" w:bidi="hr-HR"/>
        </w:rPr>
        <w:t xml:space="preserve">Podnositeljica je bila vezana </w:t>
      </w:r>
      <w:r w:rsidRPr="006A30A4">
        <w:rPr>
          <w:rFonts w:ascii="Times New Roman" w:hAnsi="Times New Roman" w:eastAsia="Calibri" w:cs="Times New Roman"/>
          <w:sz w:val="24"/>
          <w:lang w:val="hr-HR" w:eastAsia="hr-HR" w:bidi="hr-HR"/>
        </w:rPr>
        <w:t>postupovnim</w:t>
      </w:r>
      <w:r w:rsidRPr="006A30A4">
        <w:rPr>
          <w:rFonts w:ascii="Times New Roman" w:hAnsi="Times New Roman" w:eastAsia="Calibri" w:cs="Times New Roman"/>
          <w:sz w:val="24"/>
          <w:lang w:val="hr-HR" w:eastAsia="hr-HR" w:bidi="hr-HR"/>
        </w:rPr>
        <w:t xml:space="preserve"> odlukama svojeg supruga kada je preuzela postupak pred Vrhovnim sudom nakon njegove smrti, stoga će se u daljnjem tekstu koristiti izraz „podnositeljica zahtjeva“ u pogledu cjelokupnog domaćeg postupka.</w:t>
      </w:r>
    </w:p>
    <w:p w:rsidRPr="006A30A4" w:rsidR="005C53A3" w:rsidP="006A30A4">
      <w:pPr>
        <w:ind w:left="0"/>
        <w:contextualSpacing/>
        <w:jc w:val="both"/>
        <w:rPr>
          <w:rFonts w:ascii="Times New Roman" w:hAnsi="Times New Roman" w:eastAsia="Calibri" w:cs="Times New Roman"/>
          <w:b/>
          <w:sz w:val="24"/>
          <w:u w:val="single"/>
          <w:lang w:val="hr-HR" w:eastAsia="hr-HR" w:bidi="hr-HR"/>
        </w:rPr>
      </w:pPr>
      <w:r w:rsidRPr="006A30A4">
        <w:rPr>
          <w:rFonts w:ascii="Times New Roman" w:hAnsi="Times New Roman" w:eastAsia="Calibri" w:cs="Times New Roman"/>
          <w:b/>
          <w:sz w:val="24"/>
          <w:u w:val="single"/>
          <w:lang w:val="hr-HR" w:eastAsia="hr-HR" w:bidi="hr-HR"/>
        </w:rPr>
        <w:t>PRIGOVORI</w:t>
      </w:r>
    </w:p>
    <w:p w:rsidRPr="006A30A4" w:rsidR="005C53A3" w:rsidP="006A30A4">
      <w:pPr>
        <w:ind w:left="0"/>
        <w:jc w:val="both"/>
        <w:rPr>
          <w:rFonts w:ascii="Times New Roman" w:hAnsi="Times New Roman" w:eastAsia="Calibri" w:cs="Times New Roman"/>
          <w:sz w:val="24"/>
          <w:lang w:val="hr-HR" w:eastAsia="hr-HR" w:bidi="hr-HR"/>
        </w:rPr>
      </w:pPr>
    </w:p>
    <w:p w:rsidRPr="006A30A4" w:rsidR="006A30A4" w:rsidP="006A30A4">
      <w:pPr>
        <w:ind w:left="0"/>
        <w:jc w:val="both"/>
        <w:rPr>
          <w:rFonts w:ascii="Times New Roman" w:hAnsi="Times New Roman" w:eastAsia="Calibri" w:cs="Times New Roman"/>
          <w:sz w:val="24"/>
          <w:lang w:val="hr-HR" w:eastAsia="hr-HR" w:bidi="hr-HR"/>
        </w:rPr>
      </w:pPr>
      <w:r w:rsidRPr="006A30A4">
        <w:rPr>
          <w:rFonts w:ascii="Times New Roman" w:hAnsi="Times New Roman" w:eastAsia="Calibri" w:cs="Times New Roman"/>
          <w:sz w:val="24"/>
          <w:lang w:val="hr-HR" w:eastAsia="hr-HR" w:bidi="hr-HR"/>
        </w:rPr>
        <w:t>Pozivajući se na članak 6. stavak 1. Konvencije, podnositeljica je prigovorila da joj je onemogućen pristup Vrhovnom sudu Republike Hrvatske.</w:t>
      </w:r>
    </w:p>
    <w:p w:rsidRPr="006A30A4" w:rsidR="005C53A3" w:rsidP="006A30A4">
      <w:pPr>
        <w:ind w:left="0"/>
        <w:jc w:val="both"/>
        <w:rPr>
          <w:rFonts w:ascii="Times New Roman" w:hAnsi="Times New Roman" w:eastAsia="Calibri" w:cs="Times New Roman"/>
          <w:sz w:val="24"/>
          <w:lang w:val="hr-HR" w:eastAsia="hr-HR" w:bidi="hr-HR"/>
        </w:rPr>
      </w:pPr>
      <w:r w:rsidRPr="006A30A4">
        <w:rPr>
          <w:rFonts w:ascii="Times New Roman" w:hAnsi="Times New Roman" w:eastAsia="Calibri" w:cs="Times New Roman"/>
          <w:sz w:val="24"/>
          <w:lang w:val="hr-HR" w:eastAsia="hr-HR" w:bidi="hr-HR"/>
        </w:rPr>
        <w:t xml:space="preserve">U presudi od 11. listopada 2016. Vijeće Suda je, sa četiri glasa prema tri, utvrdio da je došlo do povrede članka 6. stavka 1. Konvencije, navodeći da je Vrhovni sud primijenio pravila koja se tiču zakonskog minimuma za podnošenje revizije na pretjerano formalan način, i da je to bilo u suprotnosti s općim načelom </w:t>
      </w:r>
      <w:r w:rsidRPr="006A30A4">
        <w:rPr>
          <w:rFonts w:ascii="Times New Roman" w:hAnsi="Times New Roman" w:eastAsia="Calibri" w:cs="Times New Roman"/>
          <w:sz w:val="24"/>
          <w:lang w:val="hr-HR" w:eastAsia="hr-HR" w:bidi="hr-HR"/>
        </w:rPr>
        <w:t>postupovne</w:t>
      </w:r>
      <w:r w:rsidRPr="006A30A4">
        <w:rPr>
          <w:rFonts w:ascii="Times New Roman" w:hAnsi="Times New Roman" w:eastAsia="Calibri" w:cs="Times New Roman"/>
          <w:sz w:val="24"/>
          <w:lang w:val="hr-HR" w:eastAsia="hr-HR" w:bidi="hr-HR"/>
        </w:rPr>
        <w:t xml:space="preserve"> pravičnosti koja je svojstvena članku 6. Konvencije.</w:t>
      </w:r>
    </w:p>
    <w:p w:rsidRPr="006A30A4" w:rsidR="005C53A3" w:rsidP="006A30A4">
      <w:pPr>
        <w:ind w:left="0"/>
        <w:jc w:val="both"/>
        <w:rPr>
          <w:rFonts w:ascii="Times New Roman" w:hAnsi="Times New Roman" w:eastAsia="Calibri" w:cs="Times New Roman"/>
          <w:sz w:val="24"/>
          <w:lang w:val="hr-HR" w:eastAsia="hr-HR" w:bidi="hr-HR"/>
        </w:rPr>
      </w:pPr>
    </w:p>
    <w:p w:rsidRPr="006A30A4" w:rsidR="005C53A3" w:rsidP="006A30A4">
      <w:pPr>
        <w:ind w:left="0"/>
        <w:jc w:val="both"/>
        <w:rPr>
          <w:rFonts w:ascii="Times New Roman" w:hAnsi="Times New Roman" w:eastAsia="Calibri" w:cs="Times New Roman"/>
          <w:sz w:val="24"/>
          <w:lang w:val="hr-HR" w:eastAsia="hr-HR" w:bidi="hr-HR"/>
        </w:rPr>
      </w:pPr>
      <w:r w:rsidRPr="006A30A4">
        <w:rPr>
          <w:rFonts w:ascii="Times New Roman" w:hAnsi="Times New Roman" w:eastAsia="Calibri" w:cs="Times New Roman"/>
          <w:sz w:val="24"/>
          <w:lang w:val="hr-HR" w:eastAsia="hr-HR" w:bidi="hr-HR"/>
        </w:rPr>
        <w:t>Dana 6. ožujka 2017. godine predmet je upućen Velikom Vijeću na zahtjev Vlade Republike Hrvatske.</w:t>
      </w:r>
    </w:p>
    <w:p w:rsidRPr="006A30A4" w:rsidR="005C53A3" w:rsidP="006A30A4">
      <w:pPr>
        <w:ind w:left="0"/>
        <w:jc w:val="both"/>
        <w:rPr>
          <w:rFonts w:ascii="Times New Roman" w:hAnsi="Times New Roman" w:eastAsia="Calibri" w:cs="Times New Roman"/>
          <w:sz w:val="24"/>
          <w:lang w:val="hr-HR" w:eastAsia="hr-HR" w:bidi="hr-HR"/>
        </w:rPr>
      </w:pPr>
    </w:p>
    <w:p w:rsidRPr="006A30A4" w:rsidR="005C53A3" w:rsidP="006A30A4">
      <w:pPr>
        <w:ind w:left="0"/>
        <w:contextualSpacing/>
        <w:jc w:val="both"/>
        <w:rPr>
          <w:rFonts w:ascii="Times New Roman" w:hAnsi="Times New Roman" w:eastAsia="Calibri" w:cs="Times New Roman"/>
          <w:b/>
          <w:sz w:val="24"/>
          <w:u w:val="single"/>
          <w:lang w:val="hr-HR" w:eastAsia="hr-HR" w:bidi="hr-HR"/>
        </w:rPr>
      </w:pPr>
      <w:r w:rsidRPr="006A30A4">
        <w:rPr>
          <w:rFonts w:ascii="Times New Roman" w:hAnsi="Times New Roman" w:eastAsia="Calibri" w:cs="Times New Roman"/>
          <w:b/>
          <w:sz w:val="24"/>
          <w:u w:val="single"/>
          <w:lang w:val="hr-HR" w:eastAsia="hr-HR" w:bidi="hr-HR"/>
        </w:rPr>
        <w:t>ODLUKA SUDA</w:t>
      </w:r>
    </w:p>
    <w:p w:rsidRPr="006A30A4" w:rsidR="005C53A3" w:rsidP="006A30A4">
      <w:pPr>
        <w:ind w:left="0"/>
        <w:jc w:val="both"/>
        <w:rPr>
          <w:rFonts w:ascii="Times New Roman" w:hAnsi="Times New Roman" w:eastAsia="Calibri" w:cs="Times New Roman"/>
          <w:sz w:val="24"/>
          <w:lang w:val="hr-HR" w:eastAsia="hr-HR" w:bidi="hr-HR"/>
        </w:rPr>
      </w:pPr>
    </w:p>
    <w:p w:rsidRPr="006A30A4" w:rsidR="005C53A3" w:rsidP="006A30A4">
      <w:pPr>
        <w:ind w:left="0"/>
        <w:jc w:val="both"/>
        <w:rPr>
          <w:rFonts w:ascii="Times New Roman" w:hAnsi="Times New Roman" w:eastAsia="Calibri" w:cs="Times New Roman"/>
          <w:sz w:val="24"/>
          <w:lang w:val="hr-HR" w:eastAsia="hr-HR" w:bidi="hr-HR"/>
        </w:rPr>
      </w:pPr>
      <w:r w:rsidRPr="006A30A4">
        <w:rPr>
          <w:rFonts w:ascii="Times New Roman" w:hAnsi="Times New Roman" w:eastAsia="Calibri" w:cs="Times New Roman"/>
          <w:sz w:val="24"/>
          <w:lang w:val="hr-HR" w:eastAsia="hr-HR" w:bidi="hr-HR"/>
        </w:rPr>
        <w:t xml:space="preserve">Ograničenje pristupa podnositeljice zahtjeva Vrhovnom sudu Republike Hrvatske nije bilo rezultat nefleksibilnih </w:t>
      </w:r>
      <w:r w:rsidRPr="006A30A4">
        <w:rPr>
          <w:rFonts w:ascii="Times New Roman" w:hAnsi="Times New Roman" w:eastAsia="Calibri" w:cs="Times New Roman"/>
          <w:sz w:val="24"/>
          <w:lang w:val="hr-HR" w:eastAsia="hr-HR" w:bidi="hr-HR"/>
        </w:rPr>
        <w:t>postupovnih</w:t>
      </w:r>
      <w:r w:rsidRPr="006A30A4">
        <w:rPr>
          <w:rFonts w:ascii="Times New Roman" w:hAnsi="Times New Roman" w:eastAsia="Calibri" w:cs="Times New Roman"/>
          <w:sz w:val="24"/>
          <w:lang w:val="hr-HR" w:eastAsia="hr-HR" w:bidi="hr-HR"/>
        </w:rPr>
        <w:t xml:space="preserve"> pravila. Naime, mjerodavnim domaćim pravom i praksom predviđena je mogućnost izmjene vrijednosti predmeta spora u ranijoj fazi parničnog postupka čime je omogućen pristup Vrhovnom sudu u slučaju promjene okolnosti predmeta. Osim toga, podnositeljica je imala priliku iskoristiti „izvanrednu“ reviziju što bi joj također omogućilo pristup Vrhovnom sudu, ali ona to nije učinila.</w:t>
      </w:r>
    </w:p>
    <w:p w:rsidRPr="006A30A4" w:rsidR="005C53A3" w:rsidP="006A30A4">
      <w:pPr>
        <w:ind w:left="0"/>
        <w:jc w:val="both"/>
        <w:rPr>
          <w:rFonts w:ascii="Times New Roman" w:hAnsi="Times New Roman" w:eastAsia="Calibri" w:cs="Times New Roman"/>
          <w:sz w:val="24"/>
          <w:lang w:val="hr-HR" w:eastAsia="hr-HR" w:bidi="hr-HR"/>
        </w:rPr>
      </w:pPr>
    </w:p>
    <w:p w:rsidRPr="006A30A4" w:rsidR="005C53A3" w:rsidP="006A30A4">
      <w:pPr>
        <w:ind w:left="0"/>
        <w:jc w:val="both"/>
        <w:rPr>
          <w:rFonts w:ascii="Times New Roman" w:hAnsi="Times New Roman" w:eastAsia="Calibri" w:cs="Times New Roman"/>
          <w:sz w:val="24"/>
          <w:lang w:val="hr-HR" w:eastAsia="hr-HR" w:bidi="hr-HR"/>
        </w:rPr>
      </w:pPr>
      <w:r w:rsidRPr="006A30A4">
        <w:rPr>
          <w:rFonts w:ascii="Times New Roman" w:hAnsi="Times New Roman" w:eastAsia="Calibri" w:cs="Times New Roman"/>
          <w:sz w:val="24"/>
          <w:lang w:val="hr-HR" w:eastAsia="hr-HR" w:bidi="hr-HR"/>
        </w:rPr>
        <w:t xml:space="preserve">Glavna funkcija Vrhovnog suda, kao najvišeg suda u Hrvatskoj, je osigurati jedinstvenu primjenu prava i ravnopravnost svih u njegovoj primjeni. Ograničenje pristupa tom sudu postavljanjem zakonskog praga </w:t>
      </w:r>
      <w:r w:rsidRPr="006A30A4">
        <w:rPr>
          <w:rFonts w:ascii="Times New Roman" w:hAnsi="Times New Roman" w:eastAsia="Calibri" w:cs="Times New Roman"/>
          <w:i/>
          <w:sz w:val="24"/>
          <w:lang w:val="hr-HR" w:eastAsia="hr-HR" w:bidi="hr-HR"/>
        </w:rPr>
        <w:t>ratione</w:t>
      </w:r>
      <w:r w:rsidRPr="006A30A4">
        <w:rPr>
          <w:rFonts w:ascii="Times New Roman" w:hAnsi="Times New Roman" w:eastAsia="Calibri" w:cs="Times New Roman"/>
          <w:i/>
          <w:sz w:val="24"/>
          <w:lang w:val="hr-HR" w:eastAsia="hr-HR" w:bidi="hr-HR"/>
        </w:rPr>
        <w:t xml:space="preserve"> </w:t>
      </w:r>
      <w:r w:rsidRPr="006A30A4">
        <w:rPr>
          <w:rFonts w:ascii="Times New Roman" w:hAnsi="Times New Roman" w:eastAsia="Calibri" w:cs="Times New Roman"/>
          <w:i/>
          <w:sz w:val="24"/>
          <w:lang w:val="hr-HR" w:eastAsia="hr-HR" w:bidi="hr-HR"/>
        </w:rPr>
        <w:t>valoris</w:t>
      </w:r>
      <w:r w:rsidRPr="006A30A4">
        <w:rPr>
          <w:rFonts w:ascii="Times New Roman" w:hAnsi="Times New Roman" w:eastAsia="Calibri" w:cs="Times New Roman"/>
          <w:sz w:val="24"/>
          <w:lang w:val="hr-HR" w:eastAsia="hr-HR" w:bidi="hr-HR"/>
        </w:rPr>
        <w:t xml:space="preserve"> opravdano je legitimnim ciljem da se Vrhovni sud bavi samo važnijim pitanjima. Rješavanje nepravilnosti koje su počinili niži sudovi u određivanju vrijednosti spora, također je težilo legitimnom cilju, odnosno poštivanju vladavine prava i pravilnom djelovanju pravosudnog sustava.</w:t>
      </w:r>
    </w:p>
    <w:p w:rsidRPr="006A30A4" w:rsidR="005C53A3" w:rsidP="006A30A4">
      <w:pPr>
        <w:ind w:left="0"/>
        <w:jc w:val="both"/>
        <w:rPr>
          <w:rFonts w:ascii="Times New Roman" w:hAnsi="Times New Roman" w:eastAsia="Calibri" w:cs="Times New Roman"/>
          <w:sz w:val="24"/>
          <w:lang w:val="hr-HR" w:eastAsia="hr-HR" w:bidi="hr-HR"/>
        </w:rPr>
      </w:pPr>
    </w:p>
    <w:p w:rsidRPr="006A30A4" w:rsidR="006A30A4" w:rsidP="006A30A4">
      <w:pPr>
        <w:ind w:left="0"/>
        <w:jc w:val="both"/>
        <w:rPr>
          <w:rFonts w:ascii="Times New Roman" w:hAnsi="Times New Roman" w:eastAsia="Calibri" w:cs="Times New Roman"/>
          <w:sz w:val="24"/>
          <w:lang w:val="hr-HR" w:eastAsia="hr-HR" w:bidi="hr-HR"/>
        </w:rPr>
      </w:pPr>
      <w:r w:rsidRPr="006A30A4">
        <w:rPr>
          <w:rFonts w:ascii="Times New Roman" w:hAnsi="Times New Roman" w:eastAsia="Calibri" w:cs="Times New Roman"/>
          <w:sz w:val="24"/>
          <w:lang w:val="hr-HR" w:eastAsia="hr-HR" w:bidi="hr-HR"/>
        </w:rPr>
        <w:t xml:space="preserve">Prilikom ispitivanja je li sloboda procjene države glede načina primjene mjerodavnih ograničenja </w:t>
      </w:r>
      <w:r w:rsidRPr="006A30A4">
        <w:rPr>
          <w:rFonts w:ascii="Times New Roman" w:hAnsi="Times New Roman" w:eastAsia="Calibri" w:cs="Times New Roman"/>
          <w:i/>
          <w:sz w:val="24"/>
          <w:lang w:val="hr-HR" w:eastAsia="hr-HR" w:bidi="hr-HR"/>
        </w:rPr>
        <w:t>ratione</w:t>
      </w:r>
      <w:r w:rsidRPr="006A30A4">
        <w:rPr>
          <w:rFonts w:ascii="Times New Roman" w:hAnsi="Times New Roman" w:eastAsia="Calibri" w:cs="Times New Roman"/>
          <w:i/>
          <w:sz w:val="24"/>
          <w:lang w:val="hr-HR" w:eastAsia="hr-HR" w:bidi="hr-HR"/>
        </w:rPr>
        <w:t xml:space="preserve"> </w:t>
      </w:r>
      <w:r w:rsidRPr="006A30A4">
        <w:rPr>
          <w:rFonts w:ascii="Times New Roman" w:hAnsi="Times New Roman" w:eastAsia="Calibri" w:cs="Times New Roman"/>
          <w:i/>
          <w:sz w:val="24"/>
          <w:lang w:val="hr-HR" w:eastAsia="hr-HR" w:bidi="hr-HR"/>
        </w:rPr>
        <w:t>valoris</w:t>
      </w:r>
      <w:r w:rsidRPr="006A30A4">
        <w:rPr>
          <w:rFonts w:ascii="Times New Roman" w:hAnsi="Times New Roman" w:eastAsia="Calibri" w:cs="Times New Roman"/>
          <w:sz w:val="24"/>
          <w:lang w:val="hr-HR" w:eastAsia="hr-HR" w:bidi="hr-HR"/>
        </w:rPr>
        <w:t xml:space="preserve"> u ovom predmetu prekoračena, Sud je uzeo u obzir tri kriterija: 1) predvidljivost ograničenja, 2) snošenje štetnih posljedica zbog propusta počinjenih tijekom postupka (je li podnositelju zahtjeva nametnu prekomjeran teret u odnosu na te greške), te 3) pitanje „pretjeranog formalizma“ u primjeni ograničenja.</w:t>
      </w:r>
    </w:p>
    <w:p w:rsidRPr="006A30A4" w:rsidR="005C53A3" w:rsidP="006A30A4">
      <w:pPr>
        <w:ind w:left="0"/>
        <w:jc w:val="both"/>
        <w:rPr>
          <w:rFonts w:ascii="Times New Roman" w:hAnsi="Times New Roman" w:eastAsia="Calibri" w:cs="Times New Roman"/>
          <w:sz w:val="24"/>
          <w:lang w:val="hr-HR" w:eastAsia="hr-HR" w:bidi="hr-HR"/>
        </w:rPr>
      </w:pPr>
    </w:p>
    <w:p w:rsidRPr="006A30A4" w:rsidR="005C53A3" w:rsidP="006A30A4">
      <w:pPr>
        <w:ind w:left="0"/>
        <w:jc w:val="both"/>
        <w:rPr>
          <w:rFonts w:ascii="Times New Roman" w:hAnsi="Times New Roman" w:eastAsia="Calibri" w:cs="Times New Roman"/>
          <w:sz w:val="24"/>
          <w:lang w:val="hr-HR" w:eastAsia="hr-HR" w:bidi="hr-HR"/>
        </w:rPr>
      </w:pPr>
      <w:r w:rsidRPr="006A30A4">
        <w:rPr>
          <w:rFonts w:ascii="Times New Roman" w:hAnsi="Times New Roman" w:eastAsia="Calibri" w:cs="Times New Roman"/>
          <w:sz w:val="24"/>
          <w:lang w:val="hr-HR" w:eastAsia="hr-HR" w:bidi="hr-HR"/>
        </w:rPr>
        <w:t>Iz razloga navedenih u nastavku, Sud je utvrdio da granica procjene nije prekoračena.</w:t>
      </w:r>
    </w:p>
    <w:p w:rsidRPr="006A30A4" w:rsidR="005C53A3" w:rsidP="006A30A4">
      <w:pPr>
        <w:ind w:left="0"/>
        <w:jc w:val="both"/>
        <w:rPr>
          <w:rFonts w:ascii="Times New Roman" w:hAnsi="Times New Roman" w:eastAsia="Calibri" w:cs="Times New Roman"/>
          <w:sz w:val="24"/>
          <w:lang w:val="hr-HR" w:eastAsia="hr-HR" w:bidi="hr-HR"/>
        </w:rPr>
      </w:pPr>
    </w:p>
    <w:p w:rsidRPr="006A30A4" w:rsidR="005C53A3" w:rsidP="006A30A4">
      <w:pPr>
        <w:ind w:left="0"/>
        <w:jc w:val="both"/>
        <w:rPr>
          <w:rFonts w:ascii="Times New Roman" w:hAnsi="Times New Roman" w:eastAsia="Calibri" w:cs="Times New Roman"/>
          <w:sz w:val="24"/>
          <w:lang w:val="hr-HR" w:eastAsia="hr-HR" w:bidi="hr-HR"/>
        </w:rPr>
      </w:pPr>
      <w:r w:rsidRPr="006A30A4">
        <w:rPr>
          <w:rFonts w:ascii="Times New Roman" w:hAnsi="Times New Roman" w:eastAsia="Calibri" w:cs="Times New Roman"/>
          <w:sz w:val="24"/>
          <w:lang w:val="hr-HR" w:eastAsia="hr-HR" w:bidi="hr-HR"/>
        </w:rPr>
        <w:t xml:space="preserve">Ad.1.) Sudska praksa Vrhovnog suda je dosljedna i jasna po pitanju nedopuštenosti revizije kada je vrijednost predmeta spora promijenjena u kasnijoj fazi postupka. To vrijedi neovisno o tome može li se greška u </w:t>
      </w:r>
      <w:r w:rsidRPr="006A30A4">
        <w:rPr>
          <w:rFonts w:ascii="Times New Roman" w:hAnsi="Times New Roman" w:eastAsia="Calibri" w:cs="Times New Roman"/>
          <w:sz w:val="24"/>
          <w:lang w:val="hr-HR" w:eastAsia="hr-HR" w:bidi="hr-HR"/>
        </w:rPr>
        <w:t>postupovnim</w:t>
      </w:r>
      <w:r w:rsidRPr="006A30A4">
        <w:rPr>
          <w:rFonts w:ascii="Times New Roman" w:hAnsi="Times New Roman" w:eastAsia="Calibri" w:cs="Times New Roman"/>
          <w:sz w:val="24"/>
          <w:lang w:val="hr-HR" w:eastAsia="hr-HR" w:bidi="hr-HR"/>
        </w:rPr>
        <w:t xml:space="preserve"> koracima pripisati nižim sudovima ili stranci u postupku. Osim toga, zakonom je predviđeno da je, u slučaju promjene vrijednosti predmeta spora, potrebno donijeti zasebnu sudsku odluku. Slijedom navedenog, bez obzira što su </w:t>
      </w:r>
      <w:r w:rsidRPr="006A30A4">
        <w:rPr>
          <w:rFonts w:ascii="Times New Roman" w:hAnsi="Times New Roman" w:eastAsia="Calibri" w:cs="Times New Roman"/>
          <w:sz w:val="24"/>
          <w:lang w:val="hr-HR" w:eastAsia="hr-HR" w:bidi="hr-HR"/>
        </w:rPr>
        <w:t>nižestupanjski</w:t>
      </w:r>
      <w:r w:rsidRPr="006A30A4">
        <w:rPr>
          <w:rFonts w:ascii="Times New Roman" w:hAnsi="Times New Roman" w:eastAsia="Calibri" w:cs="Times New Roman"/>
          <w:sz w:val="24"/>
          <w:lang w:val="hr-HR" w:eastAsia="hr-HR" w:bidi="hr-HR"/>
        </w:rPr>
        <w:t xml:space="preserve"> sudovi prihvatili višu vrijednost predmeta spora u ovom slučaju (barem u kontekstu utvrđivanja potrebne sudske pristojbe), jasno je da su podnositeljica i njezin odvjetnik morali znati da se, u nedostatku posebne odluke od strane prvostupanjskog suda, naknadna izmjena vrijednosti ne može uzeti u obzir u svrhu pristupa Vrhovnom sudu.</w:t>
      </w:r>
    </w:p>
    <w:p w:rsidRPr="006A30A4" w:rsidR="005C53A3" w:rsidP="006A30A4">
      <w:pPr>
        <w:ind w:left="0"/>
        <w:jc w:val="both"/>
        <w:rPr>
          <w:rFonts w:ascii="Times New Roman" w:hAnsi="Times New Roman" w:eastAsia="Calibri" w:cs="Times New Roman"/>
          <w:sz w:val="24"/>
          <w:lang w:val="hr-HR" w:eastAsia="hr-HR" w:bidi="hr-HR"/>
        </w:rPr>
      </w:pPr>
    </w:p>
    <w:p w:rsidRPr="006A30A4" w:rsidR="005C53A3" w:rsidP="006A30A4">
      <w:pPr>
        <w:ind w:left="0"/>
        <w:jc w:val="both"/>
        <w:rPr>
          <w:rFonts w:ascii="Times New Roman" w:hAnsi="Times New Roman" w:eastAsia="Calibri" w:cs="Times New Roman"/>
          <w:sz w:val="24"/>
          <w:lang w:val="hr-HR" w:eastAsia="hr-HR" w:bidi="hr-HR"/>
        </w:rPr>
      </w:pPr>
      <w:r w:rsidRPr="006A30A4">
        <w:rPr>
          <w:rFonts w:ascii="Times New Roman" w:hAnsi="Times New Roman" w:eastAsia="Calibri" w:cs="Times New Roman"/>
          <w:sz w:val="24"/>
          <w:lang w:val="hr-HR" w:eastAsia="hr-HR" w:bidi="hr-HR"/>
        </w:rPr>
        <w:t xml:space="preserve">Ad.2.) Prema mišljenju Suda pogreške koje su podnositeljici onemogućile pristup Vrhovnom sudu mogle su se uglavnom i objektivno pripisati njoj samoj. Činjenica da je prvi punomoćnik, koji je naznačio neodgovarajuću vrijednost predmeta spora u tužbi, bio odvjetnik iz Crne Gore, a ne iz Hrvatske, bilo je isključivo pitanje podnositeljičinog slobodnog izbora punomoćnika. Jasno je da je mogla uzeti hrvatskog odvjetnika, što je kasnije i učinila. Nadalje, podnositeljica je imala mogućnost odrediti vrijednost predmeta spora u iznosu koji nije nužno odgovarao tržišnoj vrijednosti nekretnine, stoga se ne može pridati nikakva važnost tvrdnji podnositeljice da je došlo do nerazmjerne razlike između vrijednosti navedene u tužbi i stvarne vrijednosti predmetne nekretnine. Također, podnositeljica je mogla mijenjati vrijednost predmeta spora, koja je prvotno naznačena u tužbi, do upuštanja tuženika u raspravljanje o glavnoj stvari, ali to nije učinila iako ju je u tom trenutku zastupao hrvatski odvjetnik. </w:t>
      </w:r>
      <w:r w:rsidRPr="006A30A4">
        <w:rPr>
          <w:rFonts w:ascii="Times New Roman" w:hAnsi="Times New Roman" w:eastAsia="Calibri" w:cs="Times New Roman"/>
          <w:sz w:val="24"/>
          <w:lang w:val="hr-HR" w:eastAsia="hr-HR" w:bidi="hr-HR"/>
        </w:rPr>
        <w:t>Postupovni</w:t>
      </w:r>
      <w:r w:rsidRPr="006A30A4">
        <w:rPr>
          <w:rFonts w:ascii="Times New Roman" w:hAnsi="Times New Roman" w:eastAsia="Calibri" w:cs="Times New Roman"/>
          <w:sz w:val="24"/>
          <w:lang w:val="hr-HR" w:eastAsia="hr-HR" w:bidi="hr-HR"/>
        </w:rPr>
        <w:t xml:space="preserve"> propust podnositeljice nije mogao biti opravdan kasnijim propustom </w:t>
      </w:r>
      <w:r w:rsidRPr="006A30A4">
        <w:rPr>
          <w:rFonts w:ascii="Times New Roman" w:hAnsi="Times New Roman" w:eastAsia="Calibri" w:cs="Times New Roman"/>
          <w:sz w:val="24"/>
          <w:lang w:val="hr-HR" w:eastAsia="hr-HR" w:bidi="hr-HR"/>
        </w:rPr>
        <w:t xml:space="preserve">dvaju nižih sudova jer bi to bilo u suprotnosti s načelom vladavine prava i zahtjevom savjesnog i pravilnog vođenja postupka i pažljive primjene mjerodavnih </w:t>
      </w:r>
      <w:r w:rsidRPr="006A30A4">
        <w:rPr>
          <w:rFonts w:ascii="Times New Roman" w:hAnsi="Times New Roman" w:eastAsia="Calibri" w:cs="Times New Roman"/>
          <w:sz w:val="24"/>
          <w:lang w:val="hr-HR" w:eastAsia="hr-HR" w:bidi="hr-HR"/>
        </w:rPr>
        <w:t>postupovnih</w:t>
      </w:r>
      <w:r w:rsidRPr="006A30A4">
        <w:rPr>
          <w:rFonts w:ascii="Times New Roman" w:hAnsi="Times New Roman" w:eastAsia="Calibri" w:cs="Times New Roman"/>
          <w:sz w:val="24"/>
          <w:lang w:val="hr-HR" w:eastAsia="hr-HR" w:bidi="hr-HR"/>
        </w:rPr>
        <w:t xml:space="preserve"> pravila. Na kraju, podnositeljica nije mogla imati nikakva legitimna očekivanja koja proizlaze iz povećanih sudskih pristojbi koje je platila samo kao posljedicu vlastitog postupanja i čiji je povrat mogla zatražiti, ali nije iskoristila tu mogućnost.</w:t>
      </w:r>
    </w:p>
    <w:p w:rsidRPr="006A30A4" w:rsidR="005C53A3" w:rsidP="006A30A4">
      <w:pPr>
        <w:ind w:left="0"/>
        <w:jc w:val="both"/>
        <w:rPr>
          <w:rFonts w:ascii="Times New Roman" w:hAnsi="Times New Roman" w:eastAsia="Calibri" w:cs="Times New Roman"/>
          <w:sz w:val="24"/>
          <w:lang w:val="hr-HR" w:eastAsia="hr-HR" w:bidi="hr-HR"/>
        </w:rPr>
      </w:pPr>
    </w:p>
    <w:p w:rsidRPr="006A30A4" w:rsidR="006A30A4" w:rsidP="006A30A4">
      <w:pPr>
        <w:ind w:left="0"/>
        <w:jc w:val="both"/>
        <w:rPr>
          <w:rFonts w:ascii="Times New Roman" w:hAnsi="Times New Roman" w:eastAsia="Calibri" w:cs="Times New Roman"/>
          <w:sz w:val="24"/>
          <w:lang w:val="hr-HR" w:eastAsia="hr-HR" w:bidi="hr-HR"/>
        </w:rPr>
      </w:pPr>
      <w:r w:rsidRPr="006A30A4">
        <w:rPr>
          <w:rFonts w:ascii="Times New Roman" w:hAnsi="Times New Roman" w:eastAsia="Calibri" w:cs="Times New Roman"/>
          <w:sz w:val="24"/>
          <w:lang w:val="hr-HR" w:eastAsia="hr-HR" w:bidi="hr-HR"/>
        </w:rPr>
        <w:t xml:space="preserve">Ad.3.) Glede kriterija pretjeranog formalizma, Sud je utvrdio da Vrhovni sud nije trebao biti vezan pogreškama nižih sudova prilikom odlučivanja hoće li nekome omogućiti pristup. U nedostatku bilo kakvog razloga da se dovodi u pitanje zakonom utvrđeni </w:t>
      </w:r>
      <w:r w:rsidRPr="006A30A4">
        <w:rPr>
          <w:rFonts w:ascii="Times New Roman" w:hAnsi="Times New Roman" w:eastAsia="Calibri" w:cs="Times New Roman"/>
          <w:sz w:val="24"/>
          <w:lang w:val="hr-HR" w:eastAsia="hr-HR" w:bidi="hr-HR"/>
        </w:rPr>
        <w:t>postupovni</w:t>
      </w:r>
      <w:r w:rsidRPr="006A30A4">
        <w:rPr>
          <w:rFonts w:ascii="Times New Roman" w:hAnsi="Times New Roman" w:eastAsia="Calibri" w:cs="Times New Roman"/>
          <w:sz w:val="24"/>
          <w:lang w:val="hr-HR" w:eastAsia="hr-HR" w:bidi="hr-HR"/>
        </w:rPr>
        <w:t xml:space="preserve"> okvir o načinu na koji se vrijednost predmeta spora mora naznačiti, ne može se reći da je primjena obveznih odredaba u pitanju predstavljala pretjerani formalizam. Naprotiv, odlukom Vrhovnog suda osigurana je pravna sigurnost i pravilno djelovanje pravosudnog sustava. Vrhovni sud je na taj način ponovno uspostavio vladavinu prava u vezi s </w:t>
      </w:r>
      <w:r w:rsidRPr="006A30A4">
        <w:rPr>
          <w:rFonts w:ascii="Times New Roman" w:hAnsi="Times New Roman" w:eastAsia="Calibri" w:cs="Times New Roman"/>
          <w:sz w:val="24"/>
          <w:lang w:val="hr-HR" w:eastAsia="hr-HR" w:bidi="hr-HR"/>
        </w:rPr>
        <w:t>postupovnim</w:t>
      </w:r>
      <w:r w:rsidRPr="006A30A4">
        <w:rPr>
          <w:rFonts w:ascii="Times New Roman" w:hAnsi="Times New Roman" w:eastAsia="Calibri" w:cs="Times New Roman"/>
          <w:sz w:val="24"/>
          <w:lang w:val="hr-HR" w:eastAsia="hr-HR" w:bidi="hr-HR"/>
        </w:rPr>
        <w:t xml:space="preserve"> propustom podnositeljice i dva </w:t>
      </w:r>
      <w:r w:rsidRPr="006A30A4">
        <w:rPr>
          <w:rFonts w:ascii="Times New Roman" w:hAnsi="Times New Roman" w:eastAsia="Calibri" w:cs="Times New Roman"/>
          <w:sz w:val="24"/>
          <w:lang w:val="hr-HR" w:eastAsia="hr-HR" w:bidi="hr-HR"/>
        </w:rPr>
        <w:t>nižestupanjska</w:t>
      </w:r>
      <w:r w:rsidRPr="006A30A4">
        <w:rPr>
          <w:rFonts w:ascii="Times New Roman" w:hAnsi="Times New Roman" w:eastAsia="Calibri" w:cs="Times New Roman"/>
          <w:sz w:val="24"/>
          <w:lang w:val="hr-HR" w:eastAsia="hr-HR" w:bidi="hr-HR"/>
        </w:rPr>
        <w:t xml:space="preserve"> suda o pitanju koje utječe na njegovu nadležnost. Budući da je vladavina prava temeljno načelo demokratske države i Konvencije, ne može se očekivati da će Vrhovni sud ignorirati ili zanemariti očite </w:t>
      </w:r>
      <w:r w:rsidRPr="006A30A4">
        <w:rPr>
          <w:rFonts w:ascii="Times New Roman" w:hAnsi="Times New Roman" w:eastAsia="Calibri" w:cs="Times New Roman"/>
          <w:sz w:val="24"/>
          <w:lang w:val="hr-HR" w:eastAsia="hr-HR" w:bidi="hr-HR"/>
        </w:rPr>
        <w:t>postupovne</w:t>
      </w:r>
      <w:r w:rsidRPr="006A30A4">
        <w:rPr>
          <w:rFonts w:ascii="Times New Roman" w:hAnsi="Times New Roman" w:eastAsia="Calibri" w:cs="Times New Roman"/>
          <w:sz w:val="24"/>
          <w:lang w:val="hr-HR" w:eastAsia="hr-HR" w:bidi="hr-HR"/>
        </w:rPr>
        <w:t xml:space="preserve"> nepravilnosti.</w:t>
      </w:r>
    </w:p>
    <w:p w:rsidRPr="006A30A4" w:rsidR="005C53A3" w:rsidP="006A30A4">
      <w:pPr>
        <w:ind w:left="0"/>
        <w:jc w:val="both"/>
        <w:rPr>
          <w:rFonts w:ascii="Times New Roman" w:hAnsi="Times New Roman" w:eastAsia="Calibri" w:cs="Times New Roman"/>
          <w:sz w:val="24"/>
          <w:lang w:val="hr-HR" w:eastAsia="hr-HR" w:bidi="hr-HR"/>
        </w:rPr>
      </w:pPr>
    </w:p>
    <w:p w:rsidRPr="006A30A4" w:rsidR="005C53A3" w:rsidP="006A30A4">
      <w:pPr>
        <w:ind w:left="0"/>
        <w:jc w:val="both"/>
        <w:rPr>
          <w:rFonts w:ascii="Times New Roman" w:hAnsi="Times New Roman" w:eastAsia="Calibri" w:cs="Times New Roman"/>
          <w:sz w:val="24"/>
          <w:lang w:val="hr-HR" w:eastAsia="hr-HR" w:bidi="hr-HR"/>
        </w:rPr>
      </w:pPr>
      <w:r w:rsidRPr="006A30A4">
        <w:rPr>
          <w:rFonts w:ascii="Times New Roman" w:hAnsi="Times New Roman" w:eastAsia="Calibri" w:cs="Times New Roman"/>
          <w:sz w:val="24"/>
          <w:lang w:val="hr-HR" w:eastAsia="hr-HR" w:bidi="hr-HR"/>
        </w:rPr>
        <w:t>Slijedom navedenog, nije bilo nerazmjernog ograničenja prava podnositelja na pristup sudu niti prekoračenja domaće slobode procjene, stoga nije došlo povrede članka 6. stavka 1. Konvencije.</w:t>
      </w:r>
    </w:p>
    <w:p w:rsidRPr="006A30A4" w:rsidR="00347524" w:rsidP="006A30A4">
      <w:pPr>
        <w:ind w:left="0"/>
        <w:jc w:val="both"/>
        <w:rPr>
          <w:rFonts w:ascii="Times New Roman" w:hAnsi="Times New Roman" w:eastAsia="Calibri" w:cs="Times New Roman"/>
          <w:noProof/>
          <w:sz w:val="24"/>
          <w:lang w:val="hr-HR" w:eastAsia="hr-HR" w:bidi="hr-HR"/>
        </w:rPr>
      </w:pPr>
    </w:p>
    <w:p w:rsidRPr="006A30A4" w:rsidR="008900F9" w:rsidP="006A30A4">
      <w:pPr>
        <w:ind w:left="0"/>
        <w:contextualSpacing/>
        <w:jc w:val="both"/>
        <w:rPr>
          <w:rFonts w:ascii="Times New Roman" w:hAnsi="Times New Roman" w:eastAsia="Calibri" w:cs="Times New Roman"/>
          <w:sz w:val="24"/>
          <w:lang w:val="hr-HR" w:eastAsia="hr-HR" w:bidi="hr-HR"/>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45EBC"/>
    <w:multiLevelType w:val="hybridMultilevel"/>
    <w:tmpl w:val="D5689D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275FD6"/>
    <w:multiLevelType w:val="hybridMultilevel"/>
    <w:tmpl w:val="031827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9B1A12"/>
    <w:multiLevelType w:val="hybridMultilevel"/>
    <w:tmpl w:val="D87CBD0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FC152C"/>
    <w:multiLevelType w:val="hybridMultilevel"/>
    <w:tmpl w:val="EDF094A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871370"/>
    <w:multiLevelType w:val="hybridMultilevel"/>
    <w:tmpl w:val="D424011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C976A1"/>
    <w:multiLevelType w:val="hybridMultilevel"/>
    <w:tmpl w:val="A9D6EB5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E7A1EEC"/>
    <w:multiLevelType w:val="hybridMultilevel"/>
    <w:tmpl w:val="C6B2319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72AA2CAC"/>
    <w:multiLevelType w:val="hybridMultilevel"/>
    <w:tmpl w:val="E2A6940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E92057"/>
    <w:multiLevelType w:val="hybridMultilevel"/>
    <w:tmpl w:val="C90AFB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FA5"/>
    <w:rsid w:val="00036EB1"/>
    <w:rsid w:val="00057EEA"/>
    <w:rsid w:val="00072AEE"/>
    <w:rsid w:val="000C0B8E"/>
    <w:rsid w:val="00125451"/>
    <w:rsid w:val="001430BA"/>
    <w:rsid w:val="0015545B"/>
    <w:rsid w:val="00161ED7"/>
    <w:rsid w:val="001662D4"/>
    <w:rsid w:val="001C682F"/>
    <w:rsid w:val="001E5ED7"/>
    <w:rsid w:val="00291440"/>
    <w:rsid w:val="002E0598"/>
    <w:rsid w:val="00301775"/>
    <w:rsid w:val="00347524"/>
    <w:rsid w:val="0039376A"/>
    <w:rsid w:val="003B03BF"/>
    <w:rsid w:val="003F3086"/>
    <w:rsid w:val="003F7748"/>
    <w:rsid w:val="0040746D"/>
    <w:rsid w:val="00417026"/>
    <w:rsid w:val="004B318C"/>
    <w:rsid w:val="004F0160"/>
    <w:rsid w:val="004F2A7B"/>
    <w:rsid w:val="004F7B23"/>
    <w:rsid w:val="00505292"/>
    <w:rsid w:val="00505B38"/>
    <w:rsid w:val="00533C4D"/>
    <w:rsid w:val="005513AE"/>
    <w:rsid w:val="00552181"/>
    <w:rsid w:val="005544BC"/>
    <w:rsid w:val="005626A2"/>
    <w:rsid w:val="0057105C"/>
    <w:rsid w:val="005C4E7F"/>
    <w:rsid w:val="005C53A3"/>
    <w:rsid w:val="006022E4"/>
    <w:rsid w:val="00661E25"/>
    <w:rsid w:val="00662B51"/>
    <w:rsid w:val="00677EF1"/>
    <w:rsid w:val="006A3032"/>
    <w:rsid w:val="006A30A4"/>
    <w:rsid w:val="00707EE7"/>
    <w:rsid w:val="007425B6"/>
    <w:rsid w:val="00755668"/>
    <w:rsid w:val="0076468F"/>
    <w:rsid w:val="00773AAE"/>
    <w:rsid w:val="0077798A"/>
    <w:rsid w:val="007C6608"/>
    <w:rsid w:val="007F3FA5"/>
    <w:rsid w:val="00843C8E"/>
    <w:rsid w:val="00880D7C"/>
    <w:rsid w:val="008900F9"/>
    <w:rsid w:val="008A3079"/>
    <w:rsid w:val="008D3FC4"/>
    <w:rsid w:val="008F43CF"/>
    <w:rsid w:val="008F734B"/>
    <w:rsid w:val="0093146D"/>
    <w:rsid w:val="009615BC"/>
    <w:rsid w:val="00980AD0"/>
    <w:rsid w:val="00990570"/>
    <w:rsid w:val="00997E6F"/>
    <w:rsid w:val="009C4F07"/>
    <w:rsid w:val="00A12733"/>
    <w:rsid w:val="00A454DB"/>
    <w:rsid w:val="00A63219"/>
    <w:rsid w:val="00AA349A"/>
    <w:rsid w:val="00AB6670"/>
    <w:rsid w:val="00AB6956"/>
    <w:rsid w:val="00AC08DC"/>
    <w:rsid w:val="00AC333A"/>
    <w:rsid w:val="00AD06AC"/>
    <w:rsid w:val="00AF3B0B"/>
    <w:rsid w:val="00AF77B8"/>
    <w:rsid w:val="00B06C3D"/>
    <w:rsid w:val="00B16CBE"/>
    <w:rsid w:val="00B31CBF"/>
    <w:rsid w:val="00B606A1"/>
    <w:rsid w:val="00BD71B8"/>
    <w:rsid w:val="00C71A59"/>
    <w:rsid w:val="00C87845"/>
    <w:rsid w:val="00CB13CD"/>
    <w:rsid w:val="00CD039A"/>
    <w:rsid w:val="00CD7CAA"/>
    <w:rsid w:val="00CD7F48"/>
    <w:rsid w:val="00D1076E"/>
    <w:rsid w:val="00D22D7E"/>
    <w:rsid w:val="00D459DA"/>
    <w:rsid w:val="00D621C1"/>
    <w:rsid w:val="00D84473"/>
    <w:rsid w:val="00D95217"/>
    <w:rsid w:val="00DD429A"/>
    <w:rsid w:val="00E02E90"/>
    <w:rsid w:val="00E36059"/>
    <w:rsid w:val="00E367A7"/>
    <w:rsid w:val="00E81E37"/>
    <w:rsid w:val="00E8683C"/>
    <w:rsid w:val="00E939A0"/>
    <w:rsid w:val="00F023B1"/>
    <w:rsid w:val="00F55CD6"/>
  </w:rsids>
  <m:mathPr>
    <m:mathFont m:val="Cambria Math"/>
  </m:mathPr>
  <w:themeFontLang w:val="hr-HR"/>
  <w:clrSchemeMapping w:bg1="light1" w:t1="dark1" w:bg2="light2" w:t2="dark2" w:accent1="accent1" w:accent2="accent2" w:accent3="accent3" w:accent4="accent4" w:accent5="accent5" w:accent6="accent6" w:hyperlink="hyperlink" w:followedHyperlink="followedHyperlink"/>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570"/>
    <w:pPr>
      <w:contextualSpacing/>
    </w:pPr>
  </w:style>
  <w:style w:type="paragraph" w:styleId="FootnoteText">
    <w:name w:val="footnote text"/>
    <w:basedOn w:val="Normal"/>
    <w:link w:val="FootnoteTextChar"/>
    <w:uiPriority w:val="99"/>
    <w:unhideWhenUsed/>
    <w:rsid w:val="00CB13CD"/>
    <w:pPr>
      <w:ind w:left="0"/>
      <w:jc w:val="both"/>
    </w:pPr>
    <w:rPr>
      <w:rFonts w:ascii="Times New Roman" w:hAnsi="Times New Roman"/>
      <w:sz w:val="20"/>
      <w:szCs w:val="20"/>
      <w:lang w:val="hr-HR" w:eastAsia="hr-HR" w:bidi="hr-HR"/>
    </w:rPr>
  </w:style>
  <w:style w:type="character" w:customStyle="1" w:styleId="FootnoteTextChar">
    <w:name w:val="Footnote Text Char"/>
    <w:basedOn w:val="DefaultParagraphFont"/>
    <w:link w:val="FootnoteText"/>
    <w:uiPriority w:val="99"/>
    <w:rsid w:val="00CB13CD"/>
    <w:rPr>
      <w:rFonts w:ascii="Times New Roman" w:hAnsi="Times New Roman"/>
      <w:sz w:val="20"/>
      <w:szCs w:val="20"/>
      <w:lang w:eastAsia="hr-HR" w:bidi="hr-HR"/>
    </w:rPr>
  </w:style>
  <w:style w:type="character" w:styleId="FootnoteReference">
    <w:name w:val="footnote reference"/>
    <w:basedOn w:val="DefaultParagraphFont"/>
    <w:uiPriority w:val="99"/>
    <w:semiHidden/>
    <w:unhideWhenUsed/>
    <w:rsid w:val="00CB13CD"/>
    <w:rPr>
      <w:vertAlign w:val="superscript"/>
    </w:rPr>
  </w:style>
  <w:style w:type="character" w:customStyle="1" w:styleId="Hiperveza1">
    <w:name w:val="Hiperveza1"/>
    <w:basedOn w:val="DefaultParagraphFont"/>
    <w:uiPriority w:val="99"/>
    <w:unhideWhenUsed/>
    <w:rsid w:val="0076468F"/>
    <w:rPr>
      <w:color w:val="0000FF"/>
      <w:u w:val="single"/>
    </w:rPr>
  </w:style>
  <w:style w:type="character" w:styleId="Hyperlink">
    <w:name w:val="Hyperlink"/>
    <w:basedOn w:val="DefaultParagraphFont"/>
    <w:uiPriority w:val="99"/>
    <w:unhideWhenUsed/>
    <w:rsid w:val="007646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Tema sustava Office">
  <a:themeElements>
    <a:clrScheme name="Office">
      <a:dk1>
        <a:sysClr val="windowText" lastClr="000000"/>
      </a:dk1>
      <a:lt1>
        <a:sysClr val="window" lastClr="FFFB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1248</Words>
  <Characters>7370</Characters>
  <Application>Microsoft Office Word</Application>
  <DocSecurity>0</DocSecurity>
  <Lines>124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cp:revision>1</cp:revision>
  <cp:lastPrinted>2016-06-02T14:25:00Z</cp:lastPrinted>
  <dcterms:created xsi:type="dcterms:W3CDTF">2019-08-26T14:16:00Z</dcterms:created>
  <dcterms:modified xsi:type="dcterms:W3CDTF">2019-08-26T14:16:00Z</dcterms:modified>
</cp:coreProperties>
</file>