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63021" w:rsidR="00F63021" w:rsidP="00F63021" w:rsidRDefault="00F63021">
      <w:pPr>
        <w:pStyle w:val="Footer"/>
        <w:ind w:right="360"/>
        <w:jc w:val="center"/>
        <w:rPr>
          <w:b/>
          <w:i/>
          <w:sz w:val="16"/>
          <w:szCs w:val="16"/>
        </w:rPr>
      </w:pPr>
      <w:bookmarkStart w:name="_GoBack" w:id="0"/>
      <w:bookmarkEnd w:id="0"/>
      <w:r w:rsidRPr="00F63021">
        <w:rPr>
          <w:b/>
          <w:i/>
          <w:sz w:val="16"/>
          <w:szCs w:val="16"/>
        </w:rPr>
        <w:t>Μεταφραστική Υπηρεσία Υπουργείου Εξωτερικών, Αθήνα</w:t>
      </w:r>
    </w:p>
    <w:p w:rsidRPr="00F63021" w:rsidR="00F63021" w:rsidP="00F63021" w:rsidRDefault="00F63021">
      <w:pPr>
        <w:pStyle w:val="Footer"/>
        <w:jc w:val="center"/>
        <w:rPr>
          <w:b/>
          <w:i/>
          <w:sz w:val="16"/>
          <w:szCs w:val="16"/>
          <w:lang w:val="fr-FR"/>
        </w:rPr>
      </w:pPr>
      <w:r w:rsidRPr="00F63021">
        <w:rPr>
          <w:b/>
          <w:i/>
          <w:sz w:val="16"/>
          <w:szCs w:val="16"/>
          <w:lang w:val="fr-FR"/>
        </w:rPr>
        <w:t>SERVICE DES TRADUCTIONS DU MINISTERE DES AFFAIRES ETRANGERES DE LA REPUBLIQUE HELLENIQUE, ATHENES</w:t>
      </w:r>
    </w:p>
    <w:p w:rsidRPr="00F63021" w:rsidR="00F63021" w:rsidP="00F63021" w:rsidRDefault="00F63021">
      <w:pPr>
        <w:pStyle w:val="Footer"/>
        <w:jc w:val="center"/>
        <w:rPr>
          <w:b/>
          <w:i/>
          <w:sz w:val="18"/>
          <w:szCs w:val="18"/>
        </w:rPr>
      </w:pPr>
      <w:r w:rsidRPr="00F63021">
        <w:rPr>
          <w:b/>
          <w:i/>
          <w:sz w:val="16"/>
          <w:szCs w:val="16"/>
        </w:rPr>
        <w:t>HELLENIC REPUBLIC, MINISTRY OF FOREIGN AFFAIRS, TRANSLATION SERVICE, ATHENS</w:t>
      </w:r>
    </w:p>
    <w:p w:rsidRPr="00F63021" w:rsidR="00655AA1" w:rsidP="00F63021" w:rsidRDefault="00655AA1">
      <w:pPr>
        <w:spacing w:line="312" w:lineRule="auto"/>
        <w:jc w:val="center"/>
        <w:rPr>
          <w:rFonts w:ascii="Times New Roman" w:hAnsi="Times New Roman"/>
          <w:b/>
          <w:sz w:val="24"/>
          <w:szCs w:val="24"/>
        </w:rPr>
      </w:pPr>
    </w:p>
    <w:p w:rsidRPr="00F63021" w:rsidR="000C13B4" w:rsidP="00F63021" w:rsidRDefault="000C13B4">
      <w:pPr>
        <w:spacing w:line="312" w:lineRule="auto"/>
        <w:jc w:val="center"/>
        <w:rPr>
          <w:rFonts w:ascii="Times New Roman" w:hAnsi="Times New Roman"/>
          <w:b/>
          <w:sz w:val="24"/>
          <w:szCs w:val="24"/>
        </w:rPr>
      </w:pPr>
      <w:r w:rsidRPr="00F63021">
        <w:rPr>
          <w:rFonts w:ascii="Times New Roman" w:hAnsi="Times New Roman"/>
          <w:b/>
          <w:sz w:val="24"/>
          <w:szCs w:val="24"/>
        </w:rPr>
        <w:t>ΕΥΡΩΠΑΪΚΟ ΔΙΚΑΣΤΗΡΙΟ ΤΩΝ ΔΙΚΑΙΩΜΑΤΩΝ ΤΟΥ ΑΝΘΡΩΠΟΥ</w:t>
      </w:r>
    </w:p>
    <w:p w:rsidRPr="00F63021" w:rsidR="000C13B4" w:rsidP="00F63021" w:rsidRDefault="000C13B4">
      <w:pPr>
        <w:spacing w:line="312" w:lineRule="auto"/>
        <w:jc w:val="center"/>
        <w:rPr>
          <w:rFonts w:ascii="Times New Roman" w:hAnsi="Times New Roman"/>
          <w:sz w:val="24"/>
          <w:szCs w:val="24"/>
        </w:rPr>
      </w:pPr>
    </w:p>
    <w:p w:rsidRPr="00F63021" w:rsidR="000C13B4" w:rsidP="00F63021" w:rsidRDefault="000C13B4">
      <w:pPr>
        <w:spacing w:line="312" w:lineRule="auto"/>
        <w:jc w:val="center"/>
        <w:rPr>
          <w:rFonts w:ascii="Times New Roman" w:hAnsi="Times New Roman"/>
          <w:sz w:val="24"/>
          <w:szCs w:val="24"/>
        </w:rPr>
      </w:pPr>
    </w:p>
    <w:p w:rsidRPr="00F63021" w:rsidR="000C13B4" w:rsidP="00F63021" w:rsidRDefault="000C13B4">
      <w:pPr>
        <w:spacing w:line="312" w:lineRule="auto"/>
        <w:jc w:val="center"/>
        <w:rPr>
          <w:rFonts w:ascii="Times New Roman" w:hAnsi="Times New Roman"/>
          <w:b/>
          <w:sz w:val="24"/>
          <w:szCs w:val="24"/>
        </w:rPr>
      </w:pPr>
      <w:r w:rsidRPr="00F63021">
        <w:rPr>
          <w:rFonts w:ascii="Times New Roman" w:hAnsi="Times New Roman"/>
          <w:b/>
          <w:sz w:val="24"/>
          <w:szCs w:val="24"/>
        </w:rPr>
        <w:t>ΠΡΩΤΟ ΤΜΗΜΑ</w:t>
      </w:r>
    </w:p>
    <w:p w:rsidRPr="00F63021" w:rsidR="000C13B4" w:rsidP="00F63021" w:rsidRDefault="000C13B4">
      <w:pPr>
        <w:spacing w:line="312" w:lineRule="auto"/>
        <w:jc w:val="center"/>
        <w:rPr>
          <w:rFonts w:ascii="Times New Roman" w:hAnsi="Times New Roman"/>
          <w:sz w:val="24"/>
          <w:szCs w:val="24"/>
        </w:rPr>
      </w:pPr>
    </w:p>
    <w:p w:rsidRPr="00F63021" w:rsidR="000C13B4" w:rsidP="00F63021" w:rsidRDefault="000C13B4">
      <w:pPr>
        <w:spacing w:line="312" w:lineRule="auto"/>
        <w:jc w:val="center"/>
        <w:rPr>
          <w:rFonts w:ascii="Times New Roman" w:hAnsi="Times New Roman"/>
          <w:sz w:val="24"/>
          <w:szCs w:val="24"/>
        </w:rPr>
      </w:pPr>
    </w:p>
    <w:p w:rsidRPr="00F63021" w:rsidR="000C13B4" w:rsidP="00F63021" w:rsidRDefault="000C13B4">
      <w:pPr>
        <w:spacing w:line="312" w:lineRule="auto"/>
        <w:jc w:val="center"/>
        <w:rPr>
          <w:rFonts w:ascii="Times New Roman" w:hAnsi="Times New Roman"/>
          <w:b/>
          <w:sz w:val="24"/>
          <w:szCs w:val="24"/>
        </w:rPr>
      </w:pPr>
      <w:r w:rsidRPr="00F63021">
        <w:rPr>
          <w:rFonts w:ascii="Times New Roman" w:hAnsi="Times New Roman"/>
          <w:b/>
          <w:sz w:val="24"/>
          <w:szCs w:val="24"/>
        </w:rPr>
        <w:t xml:space="preserve">Υπόθεση </w:t>
      </w:r>
      <w:r w:rsidRPr="00F63021" w:rsidR="00096DF7">
        <w:rPr>
          <w:rFonts w:ascii="Times New Roman" w:hAnsi="Times New Roman"/>
          <w:b/>
          <w:sz w:val="24"/>
          <w:szCs w:val="24"/>
        </w:rPr>
        <w:t>ΖΟΛΩΤΑΣ</w:t>
      </w:r>
      <w:r w:rsidRPr="00F63021">
        <w:rPr>
          <w:rFonts w:ascii="Times New Roman" w:hAnsi="Times New Roman"/>
          <w:b/>
          <w:sz w:val="24"/>
          <w:szCs w:val="24"/>
        </w:rPr>
        <w:t xml:space="preserve"> </w:t>
      </w:r>
      <w:r w:rsidRPr="00F63021" w:rsidR="00E8487E">
        <w:rPr>
          <w:rFonts w:ascii="Times New Roman" w:hAnsi="Times New Roman"/>
          <w:b/>
          <w:sz w:val="24"/>
          <w:szCs w:val="24"/>
          <w:lang w:val="en-US"/>
        </w:rPr>
        <w:t>(</w:t>
      </w:r>
      <w:r w:rsidRPr="00F63021" w:rsidR="00E8487E">
        <w:rPr>
          <w:rFonts w:ascii="Times New Roman" w:hAnsi="Times New Roman"/>
          <w:b/>
          <w:sz w:val="24"/>
          <w:szCs w:val="24"/>
        </w:rPr>
        <w:t>Αρ. 2)</w:t>
      </w:r>
    </w:p>
    <w:p w:rsidRPr="00F63021" w:rsidR="000C13B4" w:rsidP="00F63021" w:rsidRDefault="000C13B4">
      <w:pPr>
        <w:spacing w:line="312" w:lineRule="auto"/>
        <w:jc w:val="center"/>
        <w:rPr>
          <w:rFonts w:ascii="Times New Roman" w:hAnsi="Times New Roman"/>
          <w:b/>
          <w:sz w:val="24"/>
          <w:szCs w:val="24"/>
        </w:rPr>
      </w:pPr>
      <w:r w:rsidRPr="00F63021">
        <w:rPr>
          <w:rFonts w:ascii="Times New Roman" w:hAnsi="Times New Roman"/>
          <w:b/>
          <w:sz w:val="24"/>
          <w:szCs w:val="24"/>
        </w:rPr>
        <w:t>Κατά</w:t>
      </w:r>
    </w:p>
    <w:p w:rsidRPr="00F63021" w:rsidR="00F63021" w:rsidP="00F63021" w:rsidRDefault="000C13B4">
      <w:pPr>
        <w:spacing w:line="312" w:lineRule="auto"/>
        <w:jc w:val="center"/>
        <w:rPr>
          <w:rFonts w:ascii="Times New Roman" w:hAnsi="Times New Roman"/>
          <w:b/>
          <w:sz w:val="24"/>
          <w:szCs w:val="24"/>
        </w:rPr>
      </w:pPr>
      <w:r w:rsidRPr="00F63021">
        <w:rPr>
          <w:rFonts w:ascii="Times New Roman" w:hAnsi="Times New Roman"/>
          <w:b/>
          <w:sz w:val="24"/>
          <w:szCs w:val="24"/>
        </w:rPr>
        <w:t>Ελλάδας</w:t>
      </w:r>
    </w:p>
    <w:p w:rsidRPr="00F63021" w:rsidR="000C13B4" w:rsidP="00F63021" w:rsidRDefault="000C13B4">
      <w:pPr>
        <w:spacing w:line="312" w:lineRule="auto"/>
        <w:jc w:val="center"/>
        <w:rPr>
          <w:rFonts w:ascii="Times New Roman" w:hAnsi="Times New Roman"/>
          <w:b/>
          <w:sz w:val="24"/>
          <w:szCs w:val="24"/>
        </w:rPr>
      </w:pPr>
    </w:p>
    <w:p w:rsidRPr="00F63021" w:rsidR="000C13B4" w:rsidP="00F63021" w:rsidRDefault="000C13B4">
      <w:pPr>
        <w:spacing w:line="312" w:lineRule="auto"/>
        <w:jc w:val="center"/>
        <w:rPr>
          <w:rFonts w:ascii="Times New Roman" w:hAnsi="Times New Roman"/>
          <w:b/>
          <w:i/>
          <w:sz w:val="24"/>
          <w:szCs w:val="24"/>
        </w:rPr>
      </w:pPr>
      <w:r w:rsidRPr="00F63021">
        <w:rPr>
          <w:rFonts w:ascii="Times New Roman" w:hAnsi="Times New Roman"/>
          <w:i/>
          <w:sz w:val="24"/>
          <w:szCs w:val="24"/>
        </w:rPr>
        <w:t xml:space="preserve">(Προσφυγή </w:t>
      </w:r>
      <w:proofErr w:type="spellStart"/>
      <w:r w:rsidRPr="00F63021">
        <w:rPr>
          <w:rFonts w:ascii="Times New Roman" w:hAnsi="Times New Roman"/>
          <w:i/>
          <w:sz w:val="24"/>
          <w:szCs w:val="24"/>
        </w:rPr>
        <w:t>υπ</w:t>
      </w:r>
      <w:r w:rsidRPr="00F63021" w:rsidR="00F63021">
        <w:rPr>
          <w:rFonts w:ascii="Times New Roman" w:hAnsi="Times New Roman"/>
          <w:i/>
          <w:sz w:val="24"/>
          <w:szCs w:val="24"/>
        </w:rPr>
        <w:t>’</w:t>
      </w:r>
      <w:r w:rsidRPr="00F63021">
        <w:rPr>
          <w:rFonts w:ascii="Times New Roman" w:hAnsi="Times New Roman"/>
          <w:i/>
          <w:sz w:val="24"/>
          <w:szCs w:val="24"/>
        </w:rPr>
        <w:t>αρ</w:t>
      </w:r>
      <w:proofErr w:type="spellEnd"/>
      <w:r w:rsidRPr="00F63021">
        <w:rPr>
          <w:rFonts w:ascii="Times New Roman" w:hAnsi="Times New Roman"/>
          <w:i/>
          <w:sz w:val="24"/>
          <w:szCs w:val="24"/>
        </w:rPr>
        <w:t xml:space="preserve">. </w:t>
      </w:r>
      <w:r w:rsidRPr="00F63021" w:rsidR="00096DF7">
        <w:rPr>
          <w:rFonts w:ascii="Times New Roman" w:hAnsi="Times New Roman"/>
          <w:i/>
          <w:sz w:val="24"/>
          <w:szCs w:val="24"/>
        </w:rPr>
        <w:t>66610</w:t>
      </w:r>
      <w:r w:rsidRPr="00F63021">
        <w:rPr>
          <w:rFonts w:ascii="Times New Roman" w:hAnsi="Times New Roman"/>
          <w:i/>
          <w:sz w:val="24"/>
          <w:szCs w:val="24"/>
        </w:rPr>
        <w:t>/</w:t>
      </w:r>
      <w:r w:rsidRPr="00F63021" w:rsidR="00096DF7">
        <w:rPr>
          <w:rFonts w:ascii="Times New Roman" w:hAnsi="Times New Roman"/>
          <w:i/>
          <w:sz w:val="24"/>
          <w:szCs w:val="24"/>
        </w:rPr>
        <w:t>09</w:t>
      </w:r>
      <w:r w:rsidRPr="00F63021">
        <w:rPr>
          <w:rFonts w:ascii="Times New Roman" w:hAnsi="Times New Roman"/>
          <w:i/>
          <w:sz w:val="24"/>
          <w:szCs w:val="24"/>
        </w:rPr>
        <w:t>)</w:t>
      </w:r>
    </w:p>
    <w:p w:rsidRPr="00F63021" w:rsidR="000C13B4" w:rsidP="00F63021" w:rsidRDefault="000C13B4">
      <w:pPr>
        <w:spacing w:line="312" w:lineRule="auto"/>
        <w:jc w:val="center"/>
        <w:rPr>
          <w:rFonts w:ascii="Times New Roman" w:hAnsi="Times New Roman"/>
          <w:sz w:val="24"/>
          <w:szCs w:val="24"/>
        </w:rPr>
      </w:pPr>
    </w:p>
    <w:p w:rsidRPr="00F63021" w:rsidR="000C13B4" w:rsidP="00F63021" w:rsidRDefault="000C13B4">
      <w:pPr>
        <w:spacing w:line="312" w:lineRule="auto"/>
        <w:jc w:val="center"/>
        <w:rPr>
          <w:rFonts w:ascii="Times New Roman" w:hAnsi="Times New Roman"/>
          <w:sz w:val="24"/>
          <w:szCs w:val="24"/>
        </w:rPr>
      </w:pPr>
      <w:r w:rsidRPr="00F63021">
        <w:rPr>
          <w:rFonts w:ascii="Times New Roman" w:hAnsi="Times New Roman"/>
          <w:sz w:val="24"/>
          <w:szCs w:val="24"/>
        </w:rPr>
        <w:t>Απόφαση</w:t>
      </w:r>
    </w:p>
    <w:p w:rsidRPr="00F63021" w:rsidR="000C13B4" w:rsidP="00F63021" w:rsidRDefault="000C13B4">
      <w:pPr>
        <w:spacing w:line="312" w:lineRule="auto"/>
        <w:jc w:val="center"/>
        <w:rPr>
          <w:rFonts w:ascii="Times New Roman" w:hAnsi="Times New Roman"/>
          <w:sz w:val="24"/>
          <w:szCs w:val="24"/>
        </w:rPr>
      </w:pPr>
    </w:p>
    <w:p w:rsidRPr="00F63021" w:rsidR="000C13B4" w:rsidP="00F63021" w:rsidRDefault="000C13B4">
      <w:pPr>
        <w:spacing w:line="312" w:lineRule="auto"/>
        <w:jc w:val="center"/>
        <w:rPr>
          <w:rFonts w:ascii="Times New Roman" w:hAnsi="Times New Roman"/>
          <w:sz w:val="24"/>
          <w:szCs w:val="24"/>
        </w:rPr>
      </w:pPr>
      <w:r w:rsidRPr="00F63021">
        <w:rPr>
          <w:rFonts w:ascii="Times New Roman" w:hAnsi="Times New Roman"/>
          <w:sz w:val="24"/>
          <w:szCs w:val="24"/>
        </w:rPr>
        <w:t xml:space="preserve">Στρασβούργο, </w:t>
      </w:r>
      <w:r w:rsidRPr="00F63021" w:rsidR="00096DF7">
        <w:rPr>
          <w:rFonts w:ascii="Times New Roman" w:hAnsi="Times New Roman"/>
          <w:sz w:val="24"/>
          <w:szCs w:val="24"/>
        </w:rPr>
        <w:t>29</w:t>
      </w:r>
      <w:r w:rsidRPr="00F63021">
        <w:rPr>
          <w:rFonts w:ascii="Times New Roman" w:hAnsi="Times New Roman"/>
          <w:sz w:val="24"/>
          <w:szCs w:val="24"/>
        </w:rPr>
        <w:t xml:space="preserve"> Ιανουαρίου 2013</w:t>
      </w:r>
    </w:p>
    <w:p w:rsidRPr="00F63021" w:rsidR="000C13B4" w:rsidP="00F63021" w:rsidRDefault="000C13B4">
      <w:pPr>
        <w:spacing w:line="312" w:lineRule="auto"/>
        <w:jc w:val="center"/>
        <w:rPr>
          <w:rFonts w:ascii="Times New Roman" w:hAnsi="Times New Roman"/>
          <w:sz w:val="24"/>
          <w:szCs w:val="24"/>
        </w:rPr>
      </w:pPr>
    </w:p>
    <w:p w:rsidRPr="00F63021" w:rsidR="000C13B4" w:rsidP="00F63021" w:rsidRDefault="000C13B4">
      <w:pPr>
        <w:spacing w:line="312" w:lineRule="auto"/>
        <w:rPr>
          <w:rFonts w:ascii="Times New Roman" w:hAnsi="Times New Roman"/>
          <w:i/>
          <w:sz w:val="20"/>
          <w:szCs w:val="20"/>
        </w:rPr>
      </w:pPr>
      <w:r w:rsidRPr="00F63021">
        <w:rPr>
          <w:rFonts w:ascii="Times New Roman" w:hAnsi="Times New Roman"/>
          <w:i/>
          <w:sz w:val="20"/>
          <w:szCs w:val="20"/>
        </w:rPr>
        <w:t xml:space="preserve">Η απόφαση αυτή </w:t>
      </w:r>
      <w:r w:rsidRPr="00F63021" w:rsidR="00096DF7">
        <w:rPr>
          <w:rFonts w:ascii="Times New Roman" w:hAnsi="Times New Roman"/>
          <w:i/>
          <w:sz w:val="20"/>
          <w:szCs w:val="20"/>
        </w:rPr>
        <w:t xml:space="preserve">θα γίνει </w:t>
      </w:r>
      <w:r w:rsidRPr="00F63021">
        <w:rPr>
          <w:rFonts w:ascii="Times New Roman" w:hAnsi="Times New Roman"/>
          <w:i/>
          <w:sz w:val="20"/>
          <w:szCs w:val="20"/>
        </w:rPr>
        <w:t>οριστική</w:t>
      </w:r>
      <w:r w:rsidRPr="00F63021" w:rsidR="00096DF7">
        <w:rPr>
          <w:rFonts w:ascii="Times New Roman" w:hAnsi="Times New Roman"/>
          <w:i/>
          <w:sz w:val="20"/>
          <w:szCs w:val="20"/>
        </w:rPr>
        <w:t xml:space="preserve"> υπό τις προϋποθέσεις του άρθρου 44 §2 της Σύμβασης. </w:t>
      </w:r>
      <w:r w:rsidRPr="00F63021">
        <w:rPr>
          <w:rFonts w:ascii="Times New Roman" w:hAnsi="Times New Roman"/>
          <w:i/>
          <w:sz w:val="20"/>
          <w:szCs w:val="20"/>
        </w:rPr>
        <w:t>Μπορεί να επέλθουν μερικές αλλαγές ως προς την μορφή.</w:t>
      </w:r>
    </w:p>
    <w:p w:rsidRPr="00F63021" w:rsidR="000C13B4" w:rsidP="00F63021" w:rsidRDefault="000C13B4">
      <w:pPr>
        <w:spacing w:line="312" w:lineRule="auto"/>
        <w:rPr>
          <w:rFonts w:ascii="Times New Roman" w:hAnsi="Times New Roman"/>
          <w:i/>
          <w:sz w:val="20"/>
          <w:szCs w:val="20"/>
        </w:rPr>
      </w:pPr>
    </w:p>
    <w:p w:rsidRPr="00F63021" w:rsidR="00F63021" w:rsidP="00F63021" w:rsidRDefault="000C13B4">
      <w:pPr>
        <w:rPr>
          <w:rFonts w:ascii="Times New Roman" w:hAnsi="Times New Roman"/>
          <w:b/>
          <w:sz w:val="24"/>
          <w:szCs w:val="24"/>
        </w:rPr>
      </w:pPr>
      <w:r w:rsidRPr="00F63021">
        <w:rPr>
          <w:rFonts w:ascii="Times New Roman" w:hAnsi="Times New Roman"/>
          <w:sz w:val="24"/>
          <w:szCs w:val="24"/>
        </w:rPr>
        <w:br w:type="page"/>
      </w:r>
      <w:r w:rsidRPr="00F63021" w:rsidR="00096DF7">
        <w:rPr>
          <w:rFonts w:ascii="Times New Roman" w:hAnsi="Times New Roman"/>
          <w:b/>
          <w:sz w:val="24"/>
          <w:szCs w:val="24"/>
        </w:rPr>
        <w:t>Στην υπόθεση Ζολώτας κατά Ελλάδας (</w:t>
      </w:r>
      <w:proofErr w:type="spellStart"/>
      <w:r w:rsidRPr="00F63021" w:rsidR="00096DF7">
        <w:rPr>
          <w:rFonts w:ascii="Times New Roman" w:hAnsi="Times New Roman"/>
          <w:b/>
          <w:sz w:val="24"/>
          <w:szCs w:val="24"/>
        </w:rPr>
        <w:t>αρ.2</w:t>
      </w:r>
      <w:proofErr w:type="spellEnd"/>
      <w:r w:rsidRPr="00F63021" w:rsidR="00096DF7">
        <w:rPr>
          <w:rFonts w:ascii="Times New Roman" w:hAnsi="Times New Roman"/>
          <w:b/>
          <w:sz w:val="24"/>
          <w:szCs w:val="24"/>
        </w:rPr>
        <w:t>),</w:t>
      </w:r>
    </w:p>
    <w:p w:rsidRPr="00F63021" w:rsidR="00096DF7" w:rsidP="00F63021" w:rsidRDefault="0031083F">
      <w:pPr>
        <w:rPr>
          <w:rFonts w:ascii="Times New Roman" w:hAnsi="Times New Roman"/>
          <w:sz w:val="24"/>
          <w:szCs w:val="24"/>
        </w:rPr>
      </w:pPr>
      <w:r w:rsidRPr="00F63021">
        <w:rPr>
          <w:rFonts w:ascii="Times New Roman" w:hAnsi="Times New Roman"/>
          <w:sz w:val="24"/>
          <w:szCs w:val="24"/>
        </w:rPr>
        <w:t>Το Ευρωπαϊκό Δικαστήριο των Δικαιωμάτων του Ανθρώπου (Πρώτο Τμήμα), που συνεδρίασε σε τμήμα με την ακόλουθη σύνθεση:</w:t>
      </w:r>
    </w:p>
    <w:p w:rsidRPr="00F63021" w:rsidR="0031083F" w:rsidP="00F63021" w:rsidRDefault="0031083F">
      <w:pPr>
        <w:rPr>
          <w:rFonts w:ascii="Times New Roman" w:hAnsi="Times New Roman"/>
          <w:sz w:val="24"/>
          <w:szCs w:val="24"/>
        </w:rPr>
      </w:pPr>
      <w:r w:rsidRPr="00F63021">
        <w:rPr>
          <w:rFonts w:ascii="Times New Roman" w:hAnsi="Times New Roman"/>
          <w:sz w:val="24"/>
          <w:szCs w:val="24"/>
          <w:lang w:val="fr-FR"/>
        </w:rPr>
        <w:t>Isabelle</w:t>
      </w:r>
      <w:r w:rsidRPr="00F63021">
        <w:rPr>
          <w:rFonts w:ascii="Times New Roman" w:hAnsi="Times New Roman"/>
          <w:sz w:val="24"/>
          <w:szCs w:val="24"/>
        </w:rPr>
        <w:t xml:space="preserve"> </w:t>
      </w:r>
      <w:proofErr w:type="spellStart"/>
      <w:r w:rsidRPr="00F63021">
        <w:rPr>
          <w:rFonts w:ascii="Times New Roman" w:hAnsi="Times New Roman"/>
          <w:sz w:val="24"/>
          <w:szCs w:val="24"/>
          <w:lang w:val="fr-FR"/>
        </w:rPr>
        <w:t>Berro</w:t>
      </w:r>
      <w:proofErr w:type="spellEnd"/>
      <w:r w:rsidRPr="00F63021">
        <w:rPr>
          <w:rFonts w:ascii="Times New Roman" w:hAnsi="Times New Roman"/>
          <w:sz w:val="24"/>
          <w:szCs w:val="24"/>
        </w:rPr>
        <w:t>-</w:t>
      </w:r>
      <w:proofErr w:type="spellStart"/>
      <w:r w:rsidRPr="00F63021">
        <w:rPr>
          <w:rFonts w:ascii="Times New Roman" w:hAnsi="Times New Roman"/>
          <w:sz w:val="24"/>
          <w:szCs w:val="24"/>
          <w:lang w:val="fr-FR"/>
        </w:rPr>
        <w:t>Lef</w:t>
      </w:r>
      <w:proofErr w:type="spellEnd"/>
      <w:r w:rsidRPr="00F63021">
        <w:rPr>
          <w:rFonts w:ascii="Times New Roman" w:hAnsi="Times New Roman"/>
          <w:sz w:val="24"/>
          <w:szCs w:val="24"/>
        </w:rPr>
        <w:t>è</w:t>
      </w:r>
      <w:proofErr w:type="spellStart"/>
      <w:r w:rsidRPr="00F63021">
        <w:rPr>
          <w:rFonts w:ascii="Times New Roman" w:hAnsi="Times New Roman"/>
          <w:sz w:val="24"/>
          <w:szCs w:val="24"/>
          <w:lang w:val="fr-FR"/>
        </w:rPr>
        <w:t>vre</w:t>
      </w:r>
      <w:proofErr w:type="spellEnd"/>
      <w:r w:rsidRPr="00F63021">
        <w:rPr>
          <w:rFonts w:ascii="Times New Roman" w:hAnsi="Times New Roman"/>
          <w:sz w:val="24"/>
          <w:szCs w:val="24"/>
        </w:rPr>
        <w:t>, Πρόεδρο,</w:t>
      </w:r>
    </w:p>
    <w:p w:rsidRPr="00F63021" w:rsidR="00F63021" w:rsidP="00F63021" w:rsidRDefault="0031083F">
      <w:pPr>
        <w:rPr>
          <w:rFonts w:ascii="Times New Roman" w:hAnsi="Times New Roman"/>
          <w:sz w:val="24"/>
          <w:szCs w:val="24"/>
        </w:rPr>
      </w:pPr>
      <w:r w:rsidRPr="00F63021">
        <w:rPr>
          <w:rFonts w:ascii="Times New Roman" w:hAnsi="Times New Roman"/>
          <w:sz w:val="24"/>
          <w:szCs w:val="24"/>
          <w:lang w:val="fr-FR"/>
        </w:rPr>
        <w:t>Elisabeth</w:t>
      </w:r>
      <w:r w:rsidRPr="00F63021">
        <w:rPr>
          <w:rFonts w:ascii="Times New Roman" w:hAnsi="Times New Roman"/>
          <w:sz w:val="24"/>
          <w:szCs w:val="24"/>
        </w:rPr>
        <w:t xml:space="preserve"> </w:t>
      </w:r>
      <w:r w:rsidRPr="00F63021">
        <w:rPr>
          <w:rFonts w:ascii="Times New Roman" w:hAnsi="Times New Roman"/>
          <w:sz w:val="24"/>
          <w:szCs w:val="24"/>
          <w:lang w:val="fr-FR"/>
        </w:rPr>
        <w:t>Steiner</w:t>
      </w:r>
      <w:r w:rsidRPr="00F63021">
        <w:rPr>
          <w:rFonts w:ascii="Times New Roman" w:hAnsi="Times New Roman"/>
          <w:sz w:val="24"/>
          <w:szCs w:val="24"/>
        </w:rPr>
        <w:t>,</w:t>
      </w:r>
    </w:p>
    <w:p w:rsidRPr="00F63021" w:rsidR="00F63021" w:rsidP="00F63021" w:rsidRDefault="0031083F">
      <w:pPr>
        <w:rPr>
          <w:rFonts w:ascii="Times New Roman" w:hAnsi="Times New Roman"/>
          <w:sz w:val="24"/>
          <w:szCs w:val="24"/>
          <w:lang w:val="en-GB"/>
        </w:rPr>
      </w:pPr>
      <w:proofErr w:type="spellStart"/>
      <w:r w:rsidRPr="00F63021">
        <w:rPr>
          <w:rFonts w:ascii="Times New Roman" w:hAnsi="Times New Roman"/>
          <w:sz w:val="24"/>
          <w:szCs w:val="24"/>
          <w:lang w:val="en-GB"/>
        </w:rPr>
        <w:t>Khanlar</w:t>
      </w:r>
      <w:proofErr w:type="spellEnd"/>
      <w:r w:rsidRPr="00F63021">
        <w:rPr>
          <w:rFonts w:ascii="Times New Roman" w:hAnsi="Times New Roman"/>
          <w:sz w:val="24"/>
          <w:szCs w:val="24"/>
          <w:lang w:val="en-GB"/>
        </w:rPr>
        <w:t xml:space="preserve"> </w:t>
      </w:r>
      <w:proofErr w:type="spellStart"/>
      <w:r w:rsidRPr="00F63021">
        <w:rPr>
          <w:rFonts w:ascii="Times New Roman" w:hAnsi="Times New Roman"/>
          <w:sz w:val="24"/>
          <w:szCs w:val="24"/>
          <w:lang w:val="en-GB"/>
        </w:rPr>
        <w:t>Hajiyev</w:t>
      </w:r>
      <w:proofErr w:type="spellEnd"/>
      <w:r w:rsidRPr="00F63021">
        <w:rPr>
          <w:rFonts w:ascii="Times New Roman" w:hAnsi="Times New Roman"/>
          <w:sz w:val="24"/>
          <w:szCs w:val="24"/>
          <w:lang w:val="en-GB"/>
        </w:rPr>
        <w:t>,</w:t>
      </w:r>
    </w:p>
    <w:p w:rsidRPr="00F63021" w:rsidR="00F63021" w:rsidP="00F63021" w:rsidRDefault="0031083F">
      <w:pPr>
        <w:rPr>
          <w:rFonts w:ascii="Times New Roman" w:hAnsi="Times New Roman"/>
          <w:sz w:val="24"/>
          <w:szCs w:val="24"/>
          <w:lang w:val="en-GB"/>
        </w:rPr>
      </w:pPr>
      <w:r w:rsidRPr="00F63021">
        <w:rPr>
          <w:rFonts w:ascii="Times New Roman" w:hAnsi="Times New Roman"/>
          <w:sz w:val="24"/>
          <w:szCs w:val="24"/>
          <w:lang w:val="en-GB"/>
        </w:rPr>
        <w:t xml:space="preserve">Mirjana </w:t>
      </w:r>
      <w:proofErr w:type="spellStart"/>
      <w:r w:rsidRPr="00F63021">
        <w:rPr>
          <w:rFonts w:ascii="Times New Roman" w:hAnsi="Times New Roman"/>
          <w:sz w:val="24"/>
          <w:szCs w:val="24"/>
          <w:lang w:val="en-GB"/>
        </w:rPr>
        <w:t>Lazarova</w:t>
      </w:r>
      <w:proofErr w:type="spellEnd"/>
      <w:r w:rsidRPr="00F63021">
        <w:rPr>
          <w:rFonts w:ascii="Times New Roman" w:hAnsi="Times New Roman"/>
          <w:sz w:val="24"/>
          <w:szCs w:val="24"/>
          <w:lang w:val="en-GB"/>
        </w:rPr>
        <w:t xml:space="preserve"> </w:t>
      </w:r>
      <w:proofErr w:type="spellStart"/>
      <w:r w:rsidRPr="00F63021">
        <w:rPr>
          <w:rFonts w:ascii="Times New Roman" w:hAnsi="Times New Roman"/>
          <w:sz w:val="24"/>
          <w:szCs w:val="24"/>
          <w:lang w:val="en-GB"/>
        </w:rPr>
        <w:t>Trajkovska</w:t>
      </w:r>
      <w:proofErr w:type="spellEnd"/>
      <w:r w:rsidRPr="00F63021">
        <w:rPr>
          <w:rFonts w:ascii="Times New Roman" w:hAnsi="Times New Roman"/>
          <w:sz w:val="24"/>
          <w:szCs w:val="24"/>
          <w:lang w:val="en-GB"/>
        </w:rPr>
        <w:t>,</w:t>
      </w:r>
    </w:p>
    <w:p w:rsidRPr="00F63021" w:rsidR="0031083F" w:rsidP="00F63021" w:rsidRDefault="0031083F">
      <w:pPr>
        <w:rPr>
          <w:rFonts w:ascii="Times New Roman" w:hAnsi="Times New Roman"/>
          <w:sz w:val="24"/>
          <w:szCs w:val="24"/>
          <w:lang w:val="fr-FR"/>
        </w:rPr>
      </w:pPr>
      <w:r w:rsidRPr="00F63021">
        <w:rPr>
          <w:rFonts w:ascii="Times New Roman" w:hAnsi="Times New Roman"/>
          <w:sz w:val="24"/>
          <w:szCs w:val="24"/>
          <w:lang w:val="fr-FR"/>
        </w:rPr>
        <w:t xml:space="preserve">Julia </w:t>
      </w:r>
      <w:proofErr w:type="spellStart"/>
      <w:r w:rsidRPr="00F63021">
        <w:rPr>
          <w:rFonts w:ascii="Times New Roman" w:hAnsi="Times New Roman"/>
          <w:sz w:val="24"/>
          <w:szCs w:val="24"/>
          <w:lang w:val="fr-FR"/>
        </w:rPr>
        <w:t>Laffranque</w:t>
      </w:r>
      <w:proofErr w:type="spellEnd"/>
      <w:r w:rsidRPr="00F63021">
        <w:rPr>
          <w:rFonts w:ascii="Times New Roman" w:hAnsi="Times New Roman"/>
          <w:sz w:val="24"/>
          <w:szCs w:val="24"/>
          <w:lang w:val="fr-FR"/>
        </w:rPr>
        <w:t>,</w:t>
      </w:r>
    </w:p>
    <w:p w:rsidRPr="00F63021" w:rsidR="00F63021" w:rsidP="00F63021" w:rsidRDefault="0031083F">
      <w:pPr>
        <w:rPr>
          <w:rFonts w:ascii="Times New Roman" w:hAnsi="Times New Roman"/>
          <w:sz w:val="24"/>
          <w:szCs w:val="24"/>
        </w:rPr>
      </w:pPr>
      <w:r w:rsidRPr="00F63021">
        <w:rPr>
          <w:rFonts w:ascii="Times New Roman" w:hAnsi="Times New Roman"/>
          <w:sz w:val="24"/>
          <w:szCs w:val="24"/>
        </w:rPr>
        <w:t xml:space="preserve">Λίνο-Αλέξανδρο </w:t>
      </w:r>
      <w:proofErr w:type="spellStart"/>
      <w:r w:rsidRPr="00F63021">
        <w:rPr>
          <w:rFonts w:ascii="Times New Roman" w:hAnsi="Times New Roman"/>
          <w:sz w:val="24"/>
          <w:szCs w:val="24"/>
        </w:rPr>
        <w:t>Σισιλιάνο</w:t>
      </w:r>
      <w:proofErr w:type="spellEnd"/>
      <w:r w:rsidRPr="00F63021">
        <w:rPr>
          <w:rFonts w:ascii="Times New Roman" w:hAnsi="Times New Roman"/>
          <w:sz w:val="24"/>
          <w:szCs w:val="24"/>
        </w:rPr>
        <w:t>,</w:t>
      </w:r>
    </w:p>
    <w:p w:rsidRPr="00F63021" w:rsidR="00F63021" w:rsidP="00F63021" w:rsidRDefault="0031083F">
      <w:pPr>
        <w:rPr>
          <w:rFonts w:ascii="Times New Roman" w:hAnsi="Times New Roman"/>
          <w:sz w:val="24"/>
          <w:szCs w:val="24"/>
        </w:rPr>
      </w:pPr>
      <w:proofErr w:type="spellStart"/>
      <w:r w:rsidRPr="00F63021">
        <w:rPr>
          <w:rFonts w:ascii="Times New Roman" w:hAnsi="Times New Roman"/>
          <w:sz w:val="24"/>
          <w:szCs w:val="24"/>
          <w:lang w:val="fr-FR"/>
        </w:rPr>
        <w:t>Eriki</w:t>
      </w:r>
      <w:proofErr w:type="spellEnd"/>
      <w:r w:rsidRPr="00F63021">
        <w:rPr>
          <w:rFonts w:ascii="Times New Roman" w:hAnsi="Times New Roman"/>
          <w:sz w:val="24"/>
          <w:szCs w:val="24"/>
        </w:rPr>
        <w:t xml:space="preserve"> </w:t>
      </w:r>
      <w:r w:rsidRPr="00F63021">
        <w:rPr>
          <w:rFonts w:ascii="Times New Roman" w:hAnsi="Times New Roman"/>
          <w:sz w:val="24"/>
          <w:szCs w:val="24"/>
          <w:lang w:val="fr-FR"/>
        </w:rPr>
        <w:t>M</w:t>
      </w:r>
      <w:r w:rsidRPr="00F63021">
        <w:rPr>
          <w:rFonts w:ascii="Times New Roman" w:hAnsi="Times New Roman"/>
          <w:sz w:val="24"/>
          <w:szCs w:val="24"/>
        </w:rPr>
        <w:t>ø</w:t>
      </w:r>
      <w:r w:rsidRPr="00F63021">
        <w:rPr>
          <w:rFonts w:ascii="Times New Roman" w:hAnsi="Times New Roman"/>
          <w:sz w:val="24"/>
          <w:szCs w:val="24"/>
          <w:lang w:val="fr-FR"/>
        </w:rPr>
        <w:t>se</w:t>
      </w:r>
      <w:r w:rsidRPr="00F63021">
        <w:rPr>
          <w:rFonts w:ascii="Times New Roman" w:hAnsi="Times New Roman"/>
          <w:sz w:val="24"/>
          <w:szCs w:val="24"/>
        </w:rPr>
        <w:t>, Δικαστές,</w:t>
      </w:r>
    </w:p>
    <w:p w:rsidRPr="00F63021" w:rsidR="0031083F" w:rsidP="00F63021" w:rsidRDefault="0031083F">
      <w:pPr>
        <w:spacing w:after="120" w:line="312" w:lineRule="auto"/>
        <w:rPr>
          <w:rFonts w:ascii="Times New Roman" w:hAnsi="Times New Roman"/>
          <w:sz w:val="24"/>
          <w:szCs w:val="24"/>
        </w:rPr>
      </w:pPr>
      <w:r w:rsidRPr="00F63021">
        <w:rPr>
          <w:rFonts w:ascii="Times New Roman" w:hAnsi="Times New Roman"/>
          <w:sz w:val="24"/>
          <w:szCs w:val="24"/>
        </w:rPr>
        <w:t xml:space="preserve">Και με την σύμπραξη του </w:t>
      </w:r>
      <w:proofErr w:type="spellStart"/>
      <w:r w:rsidRPr="00F63021">
        <w:rPr>
          <w:rFonts w:ascii="Times New Roman" w:hAnsi="Times New Roman"/>
          <w:sz w:val="24"/>
          <w:szCs w:val="24"/>
          <w:lang w:val="fr-FR"/>
        </w:rPr>
        <w:t>Andr</w:t>
      </w:r>
      <w:proofErr w:type="spellEnd"/>
      <w:r w:rsidRPr="00F63021">
        <w:rPr>
          <w:rFonts w:ascii="Times New Roman" w:hAnsi="Times New Roman"/>
          <w:sz w:val="24"/>
          <w:szCs w:val="24"/>
        </w:rPr>
        <w:t xml:space="preserve">é </w:t>
      </w:r>
      <w:r w:rsidRPr="00F63021">
        <w:rPr>
          <w:rFonts w:ascii="Times New Roman" w:hAnsi="Times New Roman"/>
          <w:sz w:val="24"/>
          <w:szCs w:val="24"/>
          <w:lang w:val="fr-FR"/>
        </w:rPr>
        <w:t>Wampach</w:t>
      </w:r>
      <w:r w:rsidRPr="00F63021">
        <w:rPr>
          <w:rFonts w:ascii="Times New Roman" w:hAnsi="Times New Roman"/>
          <w:sz w:val="24"/>
          <w:szCs w:val="24"/>
        </w:rPr>
        <w:t>, Αν. Γραμματέα Τμήματος,</w:t>
      </w:r>
    </w:p>
    <w:p w:rsidRPr="00F63021" w:rsidR="00F63021" w:rsidP="00F63021" w:rsidRDefault="0031083F">
      <w:pPr>
        <w:rPr>
          <w:rFonts w:ascii="Times New Roman" w:hAnsi="Times New Roman"/>
          <w:sz w:val="24"/>
          <w:szCs w:val="24"/>
        </w:rPr>
      </w:pPr>
      <w:r w:rsidRPr="00F63021">
        <w:rPr>
          <w:rFonts w:ascii="Times New Roman" w:hAnsi="Times New Roman"/>
          <w:sz w:val="24"/>
          <w:szCs w:val="24"/>
        </w:rPr>
        <w:t>Αφού διασκέφθηκε σε συμβούλιο, στις 8 Ιανουαρίου 2013,</w:t>
      </w:r>
    </w:p>
    <w:p w:rsidRPr="00F63021" w:rsidR="0031083F" w:rsidP="00F63021" w:rsidRDefault="0031083F">
      <w:pPr>
        <w:rPr>
          <w:rFonts w:ascii="Times New Roman" w:hAnsi="Times New Roman"/>
          <w:sz w:val="24"/>
          <w:szCs w:val="24"/>
        </w:rPr>
      </w:pPr>
      <w:r w:rsidRPr="00F63021">
        <w:rPr>
          <w:rFonts w:ascii="Times New Roman" w:hAnsi="Times New Roman"/>
          <w:sz w:val="24"/>
          <w:szCs w:val="24"/>
        </w:rPr>
        <w:t>Εξέδωσε την παρούσα απόφαση, που υιοθετήθηκε την ημερομηνία αυτή:</w:t>
      </w:r>
    </w:p>
    <w:p w:rsidRPr="00F63021" w:rsidR="0031083F" w:rsidP="00F63021" w:rsidRDefault="0031083F">
      <w:pPr>
        <w:rPr>
          <w:rFonts w:ascii="Times New Roman" w:hAnsi="Times New Roman"/>
          <w:sz w:val="24"/>
          <w:szCs w:val="24"/>
        </w:rPr>
      </w:pPr>
      <w:r w:rsidRPr="00F63021">
        <w:rPr>
          <w:rFonts w:ascii="Times New Roman" w:hAnsi="Times New Roman"/>
          <w:sz w:val="24"/>
          <w:szCs w:val="24"/>
        </w:rPr>
        <w:t>ΔΙΑΔΙΚΑΣΙΑ</w:t>
      </w:r>
    </w:p>
    <w:p w:rsidRPr="00F63021" w:rsidR="00F63021" w:rsidP="00F63021" w:rsidRDefault="0031083F">
      <w:pPr>
        <w:numPr>
          <w:ilvl w:val="0"/>
          <w:numId w:val="7"/>
        </w:numPr>
        <w:spacing w:line="312" w:lineRule="auto"/>
        <w:ind w:left="0" w:firstLine="0"/>
        <w:jc w:val="both"/>
        <w:rPr>
          <w:rFonts w:ascii="Times New Roman" w:hAnsi="Times New Roman"/>
          <w:sz w:val="24"/>
          <w:szCs w:val="24"/>
        </w:rPr>
      </w:pPr>
      <w:r w:rsidRPr="00F63021">
        <w:rPr>
          <w:rFonts w:ascii="Times New Roman" w:hAnsi="Times New Roman"/>
          <w:sz w:val="24"/>
          <w:szCs w:val="24"/>
        </w:rPr>
        <w:t>Η υπόθεση προέκυψε μετά από προσφυγή (αρ. 66610/09) κατά της Ελληνικής Δημοκρατίας την οποία άσκησε ένας Έλληνας υπήκοος, ο κ. Αναστάσιος Ζολώτας («ο προσφεύγων»)</w:t>
      </w:r>
      <w:r w:rsidRPr="00F63021" w:rsidR="00F925EF">
        <w:rPr>
          <w:rFonts w:ascii="Times New Roman" w:hAnsi="Times New Roman"/>
          <w:sz w:val="24"/>
          <w:szCs w:val="24"/>
        </w:rPr>
        <w:t xml:space="preserve">, ο οποίος προσέφυγε στο Δικαστήριο στις 7 Δεκεμβρίου 2009, </w:t>
      </w:r>
      <w:proofErr w:type="spellStart"/>
      <w:r w:rsidRPr="00F63021" w:rsidR="00F925EF">
        <w:rPr>
          <w:rFonts w:ascii="Times New Roman" w:hAnsi="Times New Roman"/>
          <w:sz w:val="24"/>
          <w:szCs w:val="24"/>
        </w:rPr>
        <w:t>κατ</w:t>
      </w:r>
      <w:r w:rsidRPr="00F63021" w:rsidR="00F63021">
        <w:rPr>
          <w:rFonts w:ascii="Times New Roman" w:hAnsi="Times New Roman"/>
          <w:sz w:val="24"/>
          <w:szCs w:val="24"/>
        </w:rPr>
        <w:t>’</w:t>
      </w:r>
      <w:r w:rsidRPr="00F63021" w:rsidR="00F925EF">
        <w:rPr>
          <w:rFonts w:ascii="Times New Roman" w:hAnsi="Times New Roman"/>
          <w:sz w:val="24"/>
          <w:szCs w:val="24"/>
        </w:rPr>
        <w:t>εφαρμογή</w:t>
      </w:r>
      <w:proofErr w:type="spellEnd"/>
      <w:r w:rsidRPr="00F63021" w:rsidR="00F925EF">
        <w:rPr>
          <w:rFonts w:ascii="Times New Roman" w:hAnsi="Times New Roman"/>
          <w:sz w:val="24"/>
          <w:szCs w:val="24"/>
        </w:rPr>
        <w:t xml:space="preserve"> του άρθρου 34 της Σύμβασης Προστασίας των Ανθρωπίνων Δικαιωμάτων και των Θεμελιωδών Ελευθεριών («η Σύμβαση»).</w:t>
      </w:r>
    </w:p>
    <w:p w:rsidRPr="00F63021" w:rsidR="00F63021" w:rsidP="00F63021" w:rsidRDefault="00F925EF">
      <w:pPr>
        <w:numPr>
          <w:ilvl w:val="0"/>
          <w:numId w:val="7"/>
        </w:numPr>
        <w:spacing w:line="312" w:lineRule="auto"/>
        <w:ind w:left="0" w:firstLine="0"/>
        <w:jc w:val="both"/>
        <w:rPr>
          <w:rFonts w:ascii="Times New Roman" w:hAnsi="Times New Roman"/>
          <w:sz w:val="24"/>
          <w:szCs w:val="24"/>
        </w:rPr>
      </w:pPr>
      <w:r w:rsidRPr="00F63021">
        <w:rPr>
          <w:rFonts w:ascii="Times New Roman" w:hAnsi="Times New Roman"/>
          <w:sz w:val="24"/>
          <w:szCs w:val="24"/>
        </w:rPr>
        <w:t xml:space="preserve">Η Ελληνική Κυβέρνησης («η Κυβέρνηση») εκπροσωπείται από τους πληρεξουσίους της, την κα </w:t>
      </w:r>
      <w:proofErr w:type="spellStart"/>
      <w:r w:rsidRPr="00F63021">
        <w:rPr>
          <w:rFonts w:ascii="Times New Roman" w:hAnsi="Times New Roman"/>
          <w:sz w:val="24"/>
          <w:szCs w:val="24"/>
        </w:rPr>
        <w:t>Φ.Δεδούση</w:t>
      </w:r>
      <w:proofErr w:type="spellEnd"/>
      <w:r w:rsidRPr="00F63021">
        <w:rPr>
          <w:rFonts w:ascii="Times New Roman" w:hAnsi="Times New Roman"/>
          <w:sz w:val="24"/>
          <w:szCs w:val="24"/>
        </w:rPr>
        <w:t xml:space="preserve">, Πάρεδρο του Νομικού Συμβουλίου του Κράτους, και την κα </w:t>
      </w:r>
      <w:proofErr w:type="spellStart"/>
      <w:r w:rsidRPr="00F63021">
        <w:rPr>
          <w:rFonts w:ascii="Times New Roman" w:hAnsi="Times New Roman"/>
          <w:sz w:val="24"/>
          <w:szCs w:val="24"/>
        </w:rPr>
        <w:t>Ζ.Χατ</w:t>
      </w:r>
      <w:r w:rsidRPr="00F63021" w:rsidR="0086032D">
        <w:rPr>
          <w:rFonts w:ascii="Times New Roman" w:hAnsi="Times New Roman"/>
          <w:sz w:val="24"/>
          <w:szCs w:val="24"/>
        </w:rPr>
        <w:t>ζηπαύλου</w:t>
      </w:r>
      <w:proofErr w:type="spellEnd"/>
      <w:r w:rsidRPr="00F63021" w:rsidR="0086032D">
        <w:rPr>
          <w:rFonts w:ascii="Times New Roman" w:hAnsi="Times New Roman"/>
          <w:sz w:val="24"/>
          <w:szCs w:val="24"/>
        </w:rPr>
        <w:t>, Δικαστική αντιπρόσωπο</w:t>
      </w:r>
      <w:r w:rsidRPr="00F63021">
        <w:rPr>
          <w:rFonts w:ascii="Times New Roman" w:hAnsi="Times New Roman"/>
          <w:sz w:val="24"/>
          <w:szCs w:val="24"/>
        </w:rPr>
        <w:t xml:space="preserve"> του Νομικού Συμβουλίου του Κράτους.</w:t>
      </w:r>
    </w:p>
    <w:p w:rsidRPr="00F63021" w:rsidR="00F63021" w:rsidP="00F63021" w:rsidRDefault="00F925EF">
      <w:pPr>
        <w:numPr>
          <w:ilvl w:val="0"/>
          <w:numId w:val="7"/>
        </w:numPr>
        <w:spacing w:line="312" w:lineRule="auto"/>
        <w:ind w:left="0" w:firstLine="0"/>
        <w:jc w:val="both"/>
        <w:rPr>
          <w:rFonts w:ascii="Times New Roman" w:hAnsi="Times New Roman"/>
          <w:sz w:val="24"/>
          <w:szCs w:val="24"/>
        </w:rPr>
      </w:pPr>
      <w:r w:rsidRPr="00F63021">
        <w:rPr>
          <w:rFonts w:ascii="Times New Roman" w:hAnsi="Times New Roman"/>
          <w:sz w:val="24"/>
          <w:szCs w:val="24"/>
        </w:rPr>
        <w:t xml:space="preserve">Ο προσφεύγων επικαλείται ειδικότερα παραβίαση του </w:t>
      </w:r>
      <w:r w:rsidRPr="00F63021" w:rsidR="0086032D">
        <w:rPr>
          <w:rFonts w:ascii="Times New Roman" w:hAnsi="Times New Roman"/>
          <w:sz w:val="24"/>
          <w:szCs w:val="24"/>
        </w:rPr>
        <w:t>δικαιώματος</w:t>
      </w:r>
      <w:r w:rsidRPr="00F63021">
        <w:rPr>
          <w:rFonts w:ascii="Times New Roman" w:hAnsi="Times New Roman"/>
          <w:sz w:val="24"/>
          <w:szCs w:val="24"/>
        </w:rPr>
        <w:t xml:space="preserve"> που προστατεύεται από το άρθρο 1 του Πρώτου Πρωτοκόλλου.</w:t>
      </w:r>
    </w:p>
    <w:p w:rsidRPr="00F63021" w:rsidR="00F63021" w:rsidP="00F63021" w:rsidRDefault="00F925EF">
      <w:pPr>
        <w:numPr>
          <w:ilvl w:val="0"/>
          <w:numId w:val="7"/>
        </w:numPr>
        <w:spacing w:line="312" w:lineRule="auto"/>
        <w:ind w:left="0" w:firstLine="0"/>
        <w:jc w:val="both"/>
        <w:rPr>
          <w:rFonts w:ascii="Times New Roman" w:hAnsi="Times New Roman"/>
          <w:sz w:val="24"/>
          <w:szCs w:val="24"/>
        </w:rPr>
      </w:pPr>
      <w:r w:rsidRPr="00F63021">
        <w:rPr>
          <w:rFonts w:ascii="Times New Roman" w:hAnsi="Times New Roman"/>
          <w:sz w:val="24"/>
          <w:szCs w:val="24"/>
        </w:rPr>
        <w:t xml:space="preserve">Στις 31 Αυγούστου 2011 η προσφυγή κοινοποιήθηκε στην Κυβέρνηση. Σύμφωνα με το άρθρο 29 </w:t>
      </w:r>
      <w:r w:rsidRPr="00F63021" w:rsidR="002413BC">
        <w:rPr>
          <w:rFonts w:ascii="Times New Roman" w:hAnsi="Times New Roman"/>
          <w:sz w:val="24"/>
          <w:szCs w:val="24"/>
        </w:rPr>
        <w:t>§1 της Σύμβασης, αποφασίστηκε επίσης ότι το Τμήμα θα αποφανθεί συγχρόνως επί του παραδεκτού και επί της ουσίας.</w:t>
      </w:r>
    </w:p>
    <w:p w:rsidRPr="00F63021" w:rsidR="0031083F" w:rsidP="00F63021" w:rsidRDefault="002413BC">
      <w:pPr>
        <w:jc w:val="both"/>
        <w:rPr>
          <w:rFonts w:ascii="Times New Roman" w:hAnsi="Times New Roman"/>
          <w:sz w:val="24"/>
          <w:szCs w:val="24"/>
        </w:rPr>
      </w:pPr>
      <w:r w:rsidRPr="00F63021">
        <w:rPr>
          <w:rFonts w:ascii="Times New Roman" w:hAnsi="Times New Roman"/>
          <w:sz w:val="24"/>
          <w:szCs w:val="24"/>
        </w:rPr>
        <w:t>ΩΣ ΠΡΟΣ ΤΟ ΠΡΑΓΜΑΤΙΚΟ</w:t>
      </w:r>
    </w:p>
    <w:p w:rsidRPr="00F63021" w:rsidR="00F63021" w:rsidP="00F63021" w:rsidRDefault="002413BC">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Ο προσφεύγων γεννήθηκε το 1924 και απεβίωσε στις 27 Φεβρουαρίου 2011, ενώ εκκρεμούσε η προσφυγή του ενώπιον του Δικαστηρίου. Ο γιος του, Παναγιώτης Ζολώτας εξέφρασε την επιθυμία να συνεχίσει την δίκη.</w:t>
      </w:r>
    </w:p>
    <w:p w:rsidRPr="00F63021" w:rsidR="005D0F97" w:rsidP="00F63021" w:rsidRDefault="005D0F97">
      <w:pPr>
        <w:jc w:val="both"/>
        <w:rPr>
          <w:rFonts w:ascii="Times New Roman" w:hAnsi="Times New Roman"/>
          <w:sz w:val="24"/>
          <w:szCs w:val="24"/>
        </w:rPr>
      </w:pPr>
      <w:r w:rsidRPr="00F63021">
        <w:rPr>
          <w:rFonts w:ascii="Times New Roman" w:hAnsi="Times New Roman"/>
          <w:sz w:val="24"/>
          <w:szCs w:val="24"/>
        </w:rPr>
        <w:t>Ι.</w:t>
      </w:r>
      <w:r w:rsidRPr="00F63021">
        <w:rPr>
          <w:rFonts w:ascii="Times New Roman" w:hAnsi="Times New Roman"/>
          <w:sz w:val="24"/>
          <w:szCs w:val="24"/>
        </w:rPr>
        <w:tab/>
        <w:t>ΤΑ ΠΡΑΓΜΑΤΙΚΑ ΠΕΡΙΣΤΑΤΙΚΑ ΤΗΣ ΥΠΟ ΚΡΙΣΗ ΥΠΟΘΕΣΗΣ</w:t>
      </w:r>
    </w:p>
    <w:p w:rsidRPr="00F63021" w:rsidR="00F63021" w:rsidP="00F63021" w:rsidRDefault="005D0F97">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 xml:space="preserve">Στις 11 Ιουλίου 1974, ο προσφεύγων, που ασκούσε το επάγγελμα του δικηγόρου, άνοιξε έναν τραπεζικό λογαριασμό στην Γενική Τράπεζα της Ελλάδος, στον οποίο κατέθεσε το ποσό των 660.000 δρχ. (1.936,90€). Από το δεύτερο εξάμηνο του 1981 ως το 2013, ο προσφεύγων δεν έκανε καμία ενέργεια σχετικά με τον λογαριασμό του (ανάληψη, κατάθεση ή εγγραφή των τόκων στο βιβλιάριο). Λόγω σοβαρών προβλημάτων υγείας </w:t>
      </w:r>
      <w:r w:rsidRPr="00F63021" w:rsidR="0086032D">
        <w:rPr>
          <w:rFonts w:ascii="Times New Roman" w:hAnsi="Times New Roman"/>
          <w:sz w:val="24"/>
          <w:szCs w:val="24"/>
        </w:rPr>
        <w:t>-αναπηρίας</w:t>
      </w:r>
      <w:r w:rsidRPr="00F63021">
        <w:rPr>
          <w:rFonts w:ascii="Times New Roman" w:hAnsi="Times New Roman"/>
          <w:sz w:val="24"/>
          <w:szCs w:val="24"/>
        </w:rPr>
        <w:t xml:space="preserve">, που αφορούσαν τόσο τον ίδιο όσο και την σύζυγό του, έπρεπε </w:t>
      </w:r>
      <w:r w:rsidRPr="00F63021" w:rsidR="008F4FEF">
        <w:rPr>
          <w:rFonts w:ascii="Times New Roman" w:hAnsi="Times New Roman"/>
          <w:sz w:val="24"/>
          <w:szCs w:val="24"/>
        </w:rPr>
        <w:t xml:space="preserve">να απουσιάσει χρόνια στο εξωτερικό. Στις 6 Φεβρουαρίου 2003, ζήτησε από την Τράπεζα να τον ενημερώσει για την κατάσταση του λογαριασμού του. Η Τράπεζα του απάντησε ότι, επειδή από το δεύτερο εξάμηνο του 1981 δεν υπήρχε καμία κίνηση στον λογαριασμό, όλες οι αξιώσεις του είχαν παραγραφεί. </w:t>
      </w:r>
      <w:r w:rsidRPr="00F63021" w:rsidR="004903F6">
        <w:rPr>
          <w:rFonts w:ascii="Times New Roman" w:hAnsi="Times New Roman"/>
          <w:sz w:val="24"/>
          <w:szCs w:val="24"/>
        </w:rPr>
        <w:t>Ωστόσο, του έκανε γνωστό ότι ενημέρωνε στα βιβλία της την ατομική καρτέλα του προσφεύγοντα, στην οποία περνούσε τους τόκους που παρήγαγε ο λογαριασμός.</w:t>
      </w:r>
    </w:p>
    <w:p w:rsidRPr="00F63021" w:rsidR="004903F6" w:rsidP="00F63021" w:rsidRDefault="004903F6">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 xml:space="preserve">Στις 3 Ιουνίου 2003, ο προσφεύγων άσκησε αγωγή κατά της Τράπεζας ενώπιον των πολιτικών δικαστηρίων. Ζητούσε το ποσό που είχε καταθέσει στην Τράπεζα με τους τόκους, δηλαδή </w:t>
      </w:r>
      <w:r w:rsidRPr="00F63021" w:rsidR="0086032D">
        <w:rPr>
          <w:rFonts w:ascii="Times New Roman" w:hAnsi="Times New Roman"/>
          <w:sz w:val="24"/>
          <w:szCs w:val="24"/>
        </w:rPr>
        <w:t>συνολικά</w:t>
      </w:r>
      <w:r w:rsidRPr="00F63021">
        <w:rPr>
          <w:rFonts w:ascii="Times New Roman" w:hAnsi="Times New Roman"/>
          <w:sz w:val="24"/>
          <w:szCs w:val="24"/>
        </w:rPr>
        <w:t xml:space="preserve"> 30.550,74€. Στις 21 Απριλίου 2005 (απόφαση </w:t>
      </w:r>
      <w:proofErr w:type="spellStart"/>
      <w:r w:rsidRPr="00F63021">
        <w:rPr>
          <w:rFonts w:ascii="Times New Roman" w:hAnsi="Times New Roman"/>
          <w:sz w:val="24"/>
          <w:szCs w:val="24"/>
        </w:rPr>
        <w:t>υπ</w:t>
      </w:r>
      <w:r w:rsidRPr="00F63021" w:rsidR="00F63021">
        <w:rPr>
          <w:rFonts w:ascii="Times New Roman" w:hAnsi="Times New Roman"/>
          <w:sz w:val="24"/>
          <w:szCs w:val="24"/>
        </w:rPr>
        <w:t>’</w:t>
      </w:r>
      <w:r w:rsidRPr="00F63021">
        <w:rPr>
          <w:rFonts w:ascii="Times New Roman" w:hAnsi="Times New Roman"/>
          <w:sz w:val="24"/>
          <w:szCs w:val="24"/>
        </w:rPr>
        <w:t>αρ</w:t>
      </w:r>
      <w:proofErr w:type="spellEnd"/>
      <w:r w:rsidRPr="00F63021">
        <w:rPr>
          <w:rFonts w:ascii="Times New Roman" w:hAnsi="Times New Roman"/>
          <w:sz w:val="24"/>
          <w:szCs w:val="24"/>
        </w:rPr>
        <w:t xml:space="preserve">. 1481/2005), το Πρωτοδικείο Αθηνών απέρριψε την αγωγή θεωρώντας ότι οι αξιώσεις του προσφεύγοντος υπέπεσαν στην εικοσαετή παραγραφή που προβλέπεται για τις αξιώσεις που προέρχονται από την σύμβαση ανώμαλης παρακαταθήκης, υπό την έννοια του άρθρου 830 του Αστικού Κώδικα (κατωτέρω παράγραφοι 18-19). </w:t>
      </w:r>
      <w:r w:rsidRPr="00F63021" w:rsidR="00BA7CD2">
        <w:rPr>
          <w:rFonts w:ascii="Times New Roman" w:hAnsi="Times New Roman"/>
          <w:sz w:val="24"/>
          <w:szCs w:val="24"/>
        </w:rPr>
        <w:t>Ειδικότερα το Δικαστήριο ανέφερε ότι:</w:t>
      </w:r>
    </w:p>
    <w:p w:rsidRPr="00F63021" w:rsidR="00BA7CD2" w:rsidP="00F63021" w:rsidRDefault="0086032D">
      <w:pPr>
        <w:jc w:val="both"/>
        <w:rPr>
          <w:rFonts w:ascii="Times New Roman" w:hAnsi="Times New Roman"/>
          <w:sz w:val="20"/>
          <w:szCs w:val="20"/>
        </w:rPr>
      </w:pPr>
      <w:r w:rsidRPr="00F63021">
        <w:rPr>
          <w:rFonts w:ascii="Times New Roman" w:hAnsi="Times New Roman"/>
          <w:sz w:val="20"/>
          <w:szCs w:val="20"/>
        </w:rPr>
        <w:t>« (</w:t>
      </w:r>
      <w:r w:rsidRPr="00F63021" w:rsidR="00F63021">
        <w:rPr>
          <w:rFonts w:ascii="Times New Roman" w:hAnsi="Times New Roman"/>
          <w:sz w:val="20"/>
          <w:szCs w:val="20"/>
        </w:rPr>
        <w:t>...</w:t>
      </w:r>
      <w:r w:rsidRPr="00F63021">
        <w:rPr>
          <w:rFonts w:ascii="Times New Roman" w:hAnsi="Times New Roman"/>
          <w:sz w:val="20"/>
          <w:szCs w:val="20"/>
        </w:rPr>
        <w:t>) [ο προσφεύγων] επικαλείται το άρθρο 1 του Πρώτου Πρωτοκόλλου (</w:t>
      </w:r>
      <w:r w:rsidRPr="00F63021" w:rsidR="00F63021">
        <w:rPr>
          <w:rFonts w:ascii="Times New Roman" w:hAnsi="Times New Roman"/>
          <w:sz w:val="20"/>
          <w:szCs w:val="20"/>
        </w:rPr>
        <w:t>...</w:t>
      </w:r>
      <w:r w:rsidRPr="00F63021">
        <w:rPr>
          <w:rFonts w:ascii="Times New Roman" w:hAnsi="Times New Roman"/>
          <w:sz w:val="20"/>
          <w:szCs w:val="20"/>
        </w:rPr>
        <w:t>) καθώς και το Πρωτόκολλο του Παρισιού της 20</w:t>
      </w:r>
      <w:r w:rsidRPr="00F63021">
        <w:rPr>
          <w:rFonts w:ascii="Times New Roman" w:hAnsi="Times New Roman"/>
          <w:sz w:val="20"/>
          <w:szCs w:val="20"/>
          <w:vertAlign w:val="superscript"/>
        </w:rPr>
        <w:t>ης</w:t>
      </w:r>
      <w:r w:rsidRPr="00F63021">
        <w:rPr>
          <w:rFonts w:ascii="Times New Roman" w:hAnsi="Times New Roman"/>
          <w:sz w:val="20"/>
          <w:szCs w:val="20"/>
        </w:rPr>
        <w:t xml:space="preserve"> Μαρτίου 1952 σχετικά με τον σεβασμό της περιουσίας</w:t>
      </w:r>
      <w:r w:rsidRPr="00F63021" w:rsidR="003E04E7">
        <w:rPr>
          <w:rFonts w:ascii="Times New Roman" w:hAnsi="Times New Roman"/>
          <w:sz w:val="20"/>
          <w:szCs w:val="20"/>
        </w:rPr>
        <w:t>, τα οποία δεν εφαρμόζονται στην υπό κρίση υπόθεση, αφού, η παραγραφή, ως θεσμός του εθνικού δικαίου υπερισχύει αυτών. Η παραγραφή αυτή [του άρθρου 247 ΑΚ] είναι ανεξάρτητη από το ότι, σύμφωνα με το άρθρο 3 του Νομοθετικού Διατάγματος 1195/1942, οι καταθέσεις μετρητών και οι τόκοι στις εθνικές τράπεζες περιέρχονται οριστικά στο Δημόσιο αν δεν έχουν αναζητηθεί από τους δικαιούχους τους, για διάστημα είκοσι ετών για τις καταθέσεις , και για διάστημα πέντε ετών για τους τόκους, για πέντε έτη, (</w:t>
      </w:r>
      <w:r w:rsidRPr="00F63021" w:rsidR="00F63021">
        <w:rPr>
          <w:rFonts w:ascii="Times New Roman" w:hAnsi="Times New Roman"/>
          <w:sz w:val="20"/>
          <w:szCs w:val="20"/>
        </w:rPr>
        <w:t>...</w:t>
      </w:r>
      <w:r w:rsidRPr="00F63021" w:rsidR="003E04E7">
        <w:rPr>
          <w:rFonts w:ascii="Times New Roman" w:hAnsi="Times New Roman"/>
          <w:sz w:val="20"/>
          <w:szCs w:val="20"/>
        </w:rPr>
        <w:t>).»</w:t>
      </w:r>
    </w:p>
    <w:p w:rsidRPr="00F63021" w:rsidR="00F63021" w:rsidP="00F63021" w:rsidRDefault="00BA7CD2">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 xml:space="preserve">Ο προσφεύγων άσκησε έφεση κατά της απόφασης αυτής. Την θεμελίωνε στις διατάξεις του οικείου εθνικού δικαίου και στο άρθρο 1 του Πρώτου Πρωτοκόλλου. </w:t>
      </w:r>
      <w:r w:rsidRPr="00F63021" w:rsidR="00983E64">
        <w:rPr>
          <w:rFonts w:ascii="Times New Roman" w:hAnsi="Times New Roman"/>
          <w:sz w:val="24"/>
          <w:szCs w:val="24"/>
        </w:rPr>
        <w:t xml:space="preserve">Υποστήριζε ότι η προθεσμία παραγραφής είχε ανασταλεί λόγω ανωτέρας βίας ή διακοπεί σύμφωνα με το άρθρο 260 του Αστικού Κώδικα, επειδή η Τράπεζα ενημέρωνε κάθε έξι μήνες </w:t>
      </w:r>
      <w:r w:rsidRPr="00F63021" w:rsidR="003E04E7">
        <w:rPr>
          <w:rFonts w:ascii="Times New Roman" w:hAnsi="Times New Roman"/>
          <w:sz w:val="24"/>
          <w:szCs w:val="24"/>
        </w:rPr>
        <w:t xml:space="preserve">την καρτέλα </w:t>
      </w:r>
      <w:r w:rsidRPr="00F63021" w:rsidR="00983E64">
        <w:rPr>
          <w:rFonts w:ascii="Times New Roman" w:hAnsi="Times New Roman"/>
          <w:sz w:val="24"/>
          <w:szCs w:val="24"/>
        </w:rPr>
        <w:t>του προσφεύγοντος εγγράφοντας εκεί τους τόκους.</w:t>
      </w:r>
    </w:p>
    <w:p w:rsidRPr="00F63021" w:rsidR="00F63021" w:rsidP="00F63021" w:rsidRDefault="00983E64">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 xml:space="preserve">Στις 6 Απριλίου 2006, το Εφετείο Αθηνών απέρριψε την έφεση (απόφαση </w:t>
      </w:r>
      <w:proofErr w:type="spellStart"/>
      <w:r w:rsidRPr="00F63021">
        <w:rPr>
          <w:rFonts w:ascii="Times New Roman" w:hAnsi="Times New Roman"/>
          <w:sz w:val="24"/>
          <w:szCs w:val="24"/>
        </w:rPr>
        <w:t>υπ</w:t>
      </w:r>
      <w:r w:rsidRPr="00F63021" w:rsidR="00F63021">
        <w:rPr>
          <w:rFonts w:ascii="Times New Roman" w:hAnsi="Times New Roman"/>
          <w:sz w:val="24"/>
          <w:szCs w:val="24"/>
        </w:rPr>
        <w:t>’</w:t>
      </w:r>
      <w:r w:rsidRPr="00F63021">
        <w:rPr>
          <w:rFonts w:ascii="Times New Roman" w:hAnsi="Times New Roman"/>
          <w:sz w:val="24"/>
          <w:szCs w:val="24"/>
        </w:rPr>
        <w:t>αρ</w:t>
      </w:r>
      <w:proofErr w:type="spellEnd"/>
      <w:r w:rsidRPr="00F63021">
        <w:rPr>
          <w:rFonts w:ascii="Times New Roman" w:hAnsi="Times New Roman"/>
          <w:sz w:val="24"/>
          <w:szCs w:val="24"/>
        </w:rPr>
        <w:t xml:space="preserve">. 2452/2006) θεωρώντας ότι η εφαρμογή της εικοσαετούς παραγραφής για τις συμβάσεις ανώμαλης παρακαταθήκης δικαιολογούταν από λόγους δημοσίου συμφέροντος: την εκκαθάριση, για λόγους κοινωνικής οικονομίας, των έννομων σχέσεων που είχαν δημιουργηθεί σε μια χρονική στιγμή τόσο μακρινή που η ύπαρξή τους είχε γίνει αβέβαιη. Το ότι η Τράπεζα συνέχιζε να καταβάλει τους τόκους στον λογαριασμό του προσφεύγοντος δεν αποτελούσε, σύμφωνα με το Εφετείο, πράξη αναγνώρισης των αξιώσεων του προσφεύγοντος, ικανή να διακόψει την εικοσαετή παραγραφή. </w:t>
      </w:r>
      <w:r w:rsidRPr="00F63021" w:rsidR="00A5549B">
        <w:rPr>
          <w:rFonts w:ascii="Times New Roman" w:hAnsi="Times New Roman"/>
          <w:sz w:val="24"/>
          <w:szCs w:val="24"/>
        </w:rPr>
        <w:t>Στην περίπτωση των τραπεζικών καταθέσεων, η προθεσμία παραγραφής δεν μπορεί να διακοπεί παρά με μια νέα κατάθεση ή ανάληψη, μεταφορά χρημάτων ή κατάθεση τόκων. Το Εφετείο, στηρίχτηκε επίσης στο Ν.Δ. 1195/1942, που προβλέπει ότι τα ποσά που έχουν τοποθετηθεί σε τραπεζικούς λογαριασμούς που μένουν αδρανείς για περίοδο είκοσι ετών, περιέρχονται στο Δημόσιο με την παρέλευση της προθεσμίας αυτής.</w:t>
      </w:r>
    </w:p>
    <w:p w:rsidRPr="00F63021" w:rsidR="00F63021" w:rsidP="00F63021" w:rsidRDefault="00A5549B">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Το Εφετείο απέρριψε επίσης την ένσταση του προσφεύγοντος σύμφωνα με την οποία η προθεσμία παραγραφής ανεστάλη για λόγους ανωτέρας βίας (τις ασθ</w:t>
      </w:r>
      <w:r w:rsidRPr="00F63021" w:rsidR="002F261A">
        <w:rPr>
          <w:rFonts w:ascii="Times New Roman" w:hAnsi="Times New Roman"/>
          <w:sz w:val="24"/>
          <w:szCs w:val="24"/>
        </w:rPr>
        <w:t xml:space="preserve">ένειες της συζύγου του και τη </w:t>
      </w:r>
      <w:r w:rsidRPr="00F63021">
        <w:rPr>
          <w:rFonts w:ascii="Times New Roman" w:hAnsi="Times New Roman"/>
          <w:sz w:val="24"/>
          <w:szCs w:val="24"/>
        </w:rPr>
        <w:t>δικ</w:t>
      </w:r>
      <w:r w:rsidRPr="00F63021" w:rsidR="002F261A">
        <w:rPr>
          <w:rFonts w:ascii="Times New Roman" w:hAnsi="Times New Roman"/>
          <w:sz w:val="24"/>
          <w:szCs w:val="24"/>
        </w:rPr>
        <w:t>ή</w:t>
      </w:r>
      <w:r w:rsidRPr="00F63021">
        <w:rPr>
          <w:rFonts w:ascii="Times New Roman" w:hAnsi="Times New Roman"/>
          <w:sz w:val="24"/>
          <w:szCs w:val="24"/>
        </w:rPr>
        <w:t xml:space="preserve"> του). </w:t>
      </w:r>
      <w:r w:rsidRPr="00F63021" w:rsidR="00533114">
        <w:rPr>
          <w:rFonts w:ascii="Times New Roman" w:hAnsi="Times New Roman"/>
          <w:sz w:val="24"/>
          <w:szCs w:val="24"/>
        </w:rPr>
        <w:t xml:space="preserve">Θεώρησε ότι στην υπό κρίση υπόθεση δεν συνέτρεχε ανωτέρα βία αφού οι ασθένειες αυτές δε διαρκούσαν όλη την διάρκεια της προθεσμίας παραγραφής κα ιδίως όχι τους τελευταίους έξι μήνες (της προθεσμίας παραγραφής) και έτσι ο προσφεύγων δεν βρισκόταν σε αδυναμία να κάνει ανάληψη ο ίδιος ή μέσω κάποιου εκπροσώπου </w:t>
      </w:r>
      <w:r w:rsidRPr="00F63021" w:rsidR="002F261A">
        <w:rPr>
          <w:rFonts w:ascii="Times New Roman" w:hAnsi="Times New Roman"/>
          <w:sz w:val="24"/>
          <w:szCs w:val="24"/>
        </w:rPr>
        <w:t xml:space="preserve">του </w:t>
      </w:r>
      <w:proofErr w:type="spellStart"/>
      <w:r w:rsidRPr="00F63021" w:rsidR="002F261A">
        <w:rPr>
          <w:rFonts w:ascii="Times New Roman" w:hAnsi="Times New Roman"/>
          <w:sz w:val="24"/>
          <w:szCs w:val="24"/>
        </w:rPr>
        <w:t>το</w:t>
      </w:r>
      <w:r w:rsidRPr="00F63021" w:rsidR="00655AA1">
        <w:rPr>
          <w:rFonts w:ascii="Times New Roman" w:hAnsi="Times New Roman"/>
          <w:sz w:val="24"/>
          <w:szCs w:val="24"/>
        </w:rPr>
        <w:t>υ</w:t>
      </w:r>
      <w:proofErr w:type="spellEnd"/>
      <w:r w:rsidRPr="00F63021" w:rsidR="00533114">
        <w:rPr>
          <w:rFonts w:ascii="Times New Roman" w:hAnsi="Times New Roman"/>
          <w:sz w:val="24"/>
          <w:szCs w:val="24"/>
        </w:rPr>
        <w:t xml:space="preserve"> ποσ</w:t>
      </w:r>
      <w:r w:rsidRPr="00F63021" w:rsidR="002F261A">
        <w:rPr>
          <w:rFonts w:ascii="Times New Roman" w:hAnsi="Times New Roman"/>
          <w:sz w:val="24"/>
          <w:szCs w:val="24"/>
        </w:rPr>
        <w:t>ού</w:t>
      </w:r>
      <w:r w:rsidRPr="00F63021" w:rsidR="00533114">
        <w:rPr>
          <w:rFonts w:ascii="Times New Roman" w:hAnsi="Times New Roman"/>
          <w:sz w:val="24"/>
          <w:szCs w:val="24"/>
        </w:rPr>
        <w:t xml:space="preserve"> που είχε καταθέσει και </w:t>
      </w:r>
      <w:r w:rsidRPr="00F63021" w:rsidR="002F261A">
        <w:rPr>
          <w:rFonts w:ascii="Times New Roman" w:hAnsi="Times New Roman"/>
          <w:sz w:val="24"/>
          <w:szCs w:val="24"/>
        </w:rPr>
        <w:t xml:space="preserve">των </w:t>
      </w:r>
      <w:r w:rsidRPr="00F63021" w:rsidR="00533114">
        <w:rPr>
          <w:rFonts w:ascii="Times New Roman" w:hAnsi="Times New Roman"/>
          <w:sz w:val="24"/>
          <w:szCs w:val="24"/>
        </w:rPr>
        <w:t>τόκ</w:t>
      </w:r>
      <w:r w:rsidRPr="00F63021" w:rsidR="002F261A">
        <w:rPr>
          <w:rFonts w:ascii="Times New Roman" w:hAnsi="Times New Roman"/>
          <w:sz w:val="24"/>
          <w:szCs w:val="24"/>
        </w:rPr>
        <w:t>ων</w:t>
      </w:r>
      <w:r w:rsidRPr="00F63021" w:rsidR="00533114">
        <w:rPr>
          <w:rFonts w:ascii="Times New Roman" w:hAnsi="Times New Roman"/>
          <w:sz w:val="24"/>
          <w:szCs w:val="24"/>
        </w:rPr>
        <w:t>.</w:t>
      </w:r>
    </w:p>
    <w:p w:rsidRPr="00F63021" w:rsidR="00F63021" w:rsidP="00F63021" w:rsidRDefault="00533114">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Ο προσφεύγων άσκησε αναίρεση. Την θεμελίωνε στο άρθρο 1 του Πρώτου Πρωτοκόλλου.</w:t>
      </w:r>
    </w:p>
    <w:p w:rsidRPr="00F63021" w:rsidR="00533114" w:rsidP="00F63021" w:rsidRDefault="00533114">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 xml:space="preserve">Στις 12 Ιανουαρίου 2009, ο Άρειος Πάγος απέρριψε την αναίρεση ως αβάσιμη υποστηρίζοντας ότι η εφαρμογή της σχετικής νομοθεσίας δεν προσέβαλε το δικαίωμα του προσφεύγοντα στο σεβασμό της περιουσίας του όπως αυτό ορίζεται στο άρθρο 1 του Πρώτου Πρωτοκόλλου (απόφαση </w:t>
      </w:r>
      <w:proofErr w:type="spellStart"/>
      <w:r w:rsidRPr="00F63021">
        <w:rPr>
          <w:rFonts w:ascii="Times New Roman" w:hAnsi="Times New Roman"/>
          <w:sz w:val="24"/>
          <w:szCs w:val="24"/>
        </w:rPr>
        <w:t>υπ</w:t>
      </w:r>
      <w:r w:rsidRPr="00F63021" w:rsidR="00F63021">
        <w:rPr>
          <w:rFonts w:ascii="Times New Roman" w:hAnsi="Times New Roman"/>
          <w:sz w:val="24"/>
          <w:szCs w:val="24"/>
        </w:rPr>
        <w:t>’</w:t>
      </w:r>
      <w:r w:rsidRPr="00F63021">
        <w:rPr>
          <w:rFonts w:ascii="Times New Roman" w:hAnsi="Times New Roman"/>
          <w:sz w:val="24"/>
          <w:szCs w:val="24"/>
        </w:rPr>
        <w:t>αρ</w:t>
      </w:r>
      <w:proofErr w:type="spellEnd"/>
      <w:r w:rsidRPr="00F63021">
        <w:rPr>
          <w:rFonts w:ascii="Times New Roman" w:hAnsi="Times New Roman"/>
          <w:sz w:val="24"/>
          <w:szCs w:val="24"/>
        </w:rPr>
        <w:t xml:space="preserve">. 50/2009). </w:t>
      </w:r>
      <w:r w:rsidRPr="00F63021" w:rsidR="0063021C">
        <w:rPr>
          <w:rFonts w:ascii="Times New Roman" w:hAnsi="Times New Roman"/>
          <w:sz w:val="24"/>
          <w:szCs w:val="24"/>
        </w:rPr>
        <w:t>Ειδικότερα, ο Άρειος Πάγος έκρινε ότι:</w:t>
      </w:r>
    </w:p>
    <w:p w:rsidRPr="00F63021" w:rsidR="0063021C" w:rsidP="00F63021" w:rsidRDefault="002F261A">
      <w:pPr>
        <w:jc w:val="both"/>
        <w:rPr>
          <w:rFonts w:ascii="Times New Roman" w:hAnsi="Times New Roman"/>
          <w:sz w:val="20"/>
          <w:szCs w:val="20"/>
        </w:rPr>
      </w:pPr>
      <w:r w:rsidRPr="00F63021">
        <w:rPr>
          <w:rFonts w:ascii="Times New Roman" w:hAnsi="Times New Roman"/>
          <w:sz w:val="20"/>
          <w:szCs w:val="20"/>
        </w:rPr>
        <w:t>«(</w:t>
      </w:r>
      <w:r w:rsidRPr="00F63021" w:rsidR="00F63021">
        <w:rPr>
          <w:rFonts w:ascii="Times New Roman" w:hAnsi="Times New Roman"/>
          <w:sz w:val="20"/>
          <w:szCs w:val="20"/>
        </w:rPr>
        <w:t>...</w:t>
      </w:r>
      <w:r w:rsidRPr="00F63021">
        <w:rPr>
          <w:rFonts w:ascii="Times New Roman" w:hAnsi="Times New Roman"/>
          <w:sz w:val="20"/>
          <w:szCs w:val="20"/>
        </w:rPr>
        <w:t xml:space="preserve">) εξαιτίας του ότι η προαναφερθείσα παραγραφή, όπως κάθε παραγραφή, επιβάλλεται από λόγους δημοσίου </w:t>
      </w:r>
      <w:proofErr w:type="spellStart"/>
      <w:r w:rsidRPr="00F63021">
        <w:rPr>
          <w:rFonts w:ascii="Times New Roman" w:hAnsi="Times New Roman"/>
          <w:sz w:val="20"/>
          <w:szCs w:val="20"/>
        </w:rPr>
        <w:t>υσμφέροντος</w:t>
      </w:r>
      <w:proofErr w:type="spellEnd"/>
      <w:r w:rsidRPr="00F63021">
        <w:rPr>
          <w:rFonts w:ascii="Times New Roman" w:hAnsi="Times New Roman"/>
          <w:sz w:val="20"/>
          <w:szCs w:val="20"/>
        </w:rPr>
        <w:t xml:space="preserve">, που απαιτεί την τακτοποίηση των σχέσεων που ανάγονται στο παρελθόν και που για το λόγο αυτό κατέστησαν αβέβαιες, και υπαγορεύεται επίσης από λόγους κοινωνικής οικονομίας, οι επίδικες διατάξεις δεν είναι αντίθετες [στο Πρώτο </w:t>
      </w:r>
      <w:proofErr w:type="spellStart"/>
      <w:r w:rsidRPr="00F63021">
        <w:rPr>
          <w:rFonts w:ascii="Times New Roman" w:hAnsi="Times New Roman"/>
          <w:sz w:val="20"/>
          <w:szCs w:val="20"/>
        </w:rPr>
        <w:t>Πρωτόκολο</w:t>
      </w:r>
      <w:proofErr w:type="spellEnd"/>
      <w:r w:rsidRPr="00F63021">
        <w:rPr>
          <w:rFonts w:ascii="Times New Roman" w:hAnsi="Times New Roman"/>
          <w:sz w:val="20"/>
          <w:szCs w:val="20"/>
        </w:rPr>
        <w:t>].»</w:t>
      </w:r>
    </w:p>
    <w:p w:rsidRPr="00F63021" w:rsidR="0063021C" w:rsidP="00F63021" w:rsidRDefault="0063021C">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Η απόφαση αυτή καθαρογράφηκε και επικυρώθηκε στις 9 Ιουνίου 2009.</w:t>
      </w:r>
    </w:p>
    <w:p w:rsidRPr="00F63021" w:rsidR="0063021C" w:rsidP="00F63021" w:rsidRDefault="0063021C">
      <w:pPr>
        <w:jc w:val="both"/>
        <w:rPr>
          <w:rFonts w:ascii="Times New Roman" w:hAnsi="Times New Roman"/>
          <w:sz w:val="24"/>
          <w:szCs w:val="24"/>
        </w:rPr>
      </w:pPr>
      <w:r w:rsidRPr="00F63021">
        <w:rPr>
          <w:rFonts w:ascii="Times New Roman" w:hAnsi="Times New Roman"/>
          <w:sz w:val="24"/>
          <w:szCs w:val="24"/>
        </w:rPr>
        <w:t>ΙΙ.</w:t>
      </w:r>
      <w:r w:rsidRPr="00F63021">
        <w:rPr>
          <w:rFonts w:ascii="Times New Roman" w:hAnsi="Times New Roman"/>
          <w:sz w:val="24"/>
          <w:szCs w:val="24"/>
        </w:rPr>
        <w:tab/>
        <w:t>ΤΟ ΟΙΚΕΙΟ ΕΘΝΙΚΟ ΔΙΚΑΙΟ ΚΑΙ Η ΟΙΚΕΙΑ ΕΘΝΙΚΗ ΠΡΑΚΤΙΚΗ</w:t>
      </w:r>
    </w:p>
    <w:p w:rsidRPr="00F63021" w:rsidR="00F63021" w:rsidP="00F63021" w:rsidRDefault="0063021C">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Το άρθρο 3 του Ν.Δ. 1195/1942 «περί παραγραφής υπέρ του Δημοσίου των τραπεζικών καταθέσεων και άλλων αξιών και αξιώσεων» ορίζει τα εξής:</w:t>
      </w:r>
    </w:p>
    <w:p w:rsidRPr="00F63021" w:rsidR="00F63021" w:rsidP="00F63021" w:rsidRDefault="0035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b/>
          <w:color w:val="000000"/>
          <w:sz w:val="20"/>
          <w:szCs w:val="20"/>
          <w:lang w:eastAsia="el-GR"/>
        </w:rPr>
      </w:pPr>
      <w:r w:rsidRPr="00F63021">
        <w:rPr>
          <w:rFonts w:ascii="Times New Roman" w:hAnsi="Times New Roman" w:eastAsia="Times New Roman"/>
          <w:b/>
          <w:color w:val="000000"/>
          <w:sz w:val="20"/>
          <w:szCs w:val="20"/>
          <w:lang w:eastAsia="el-GR"/>
        </w:rPr>
        <w:t>Παραγραφή καταθέσεων-τόκων υπέρ του Δημοσίου</w:t>
      </w:r>
    </w:p>
    <w:p w:rsidRPr="00F63021" w:rsidR="00354548" w:rsidP="00F63021" w:rsidRDefault="0035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olor w:val="000000"/>
          <w:sz w:val="20"/>
          <w:szCs w:val="20"/>
          <w:lang w:eastAsia="el-GR"/>
        </w:rPr>
      </w:pPr>
    </w:p>
    <w:p w:rsidRPr="00F63021" w:rsidR="002F261A" w:rsidP="00F63021" w:rsidRDefault="0035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olor w:val="000000"/>
          <w:sz w:val="20"/>
          <w:szCs w:val="20"/>
          <w:lang w:eastAsia="el-GR"/>
        </w:rPr>
      </w:pPr>
      <w:r w:rsidRPr="00F63021">
        <w:rPr>
          <w:rFonts w:ascii="Times New Roman" w:hAnsi="Times New Roman" w:eastAsia="Times New Roman"/>
          <w:color w:val="000000"/>
          <w:sz w:val="20"/>
          <w:szCs w:val="20"/>
          <w:lang w:eastAsia="el-GR"/>
        </w:rPr>
        <w:t xml:space="preserve">«Καταθέσεις </w:t>
      </w:r>
      <w:r w:rsidRPr="00F63021" w:rsidR="002F261A">
        <w:rPr>
          <w:rFonts w:ascii="Times New Roman" w:hAnsi="Times New Roman" w:eastAsia="Times New Roman"/>
          <w:color w:val="000000"/>
          <w:sz w:val="20"/>
          <w:szCs w:val="20"/>
          <w:lang w:eastAsia="el-GR"/>
        </w:rPr>
        <w:t xml:space="preserve">εις μετρητά, χρηματικά λαβείν και τόκοι αυτών </w:t>
      </w:r>
      <w:proofErr w:type="spellStart"/>
      <w:r w:rsidRPr="00F63021" w:rsidR="002F261A">
        <w:rPr>
          <w:rFonts w:ascii="Times New Roman" w:hAnsi="Times New Roman" w:eastAsia="Times New Roman"/>
          <w:color w:val="000000"/>
          <w:sz w:val="20"/>
          <w:szCs w:val="20"/>
          <w:lang w:eastAsia="el-GR"/>
        </w:rPr>
        <w:t>παρ`ημεδαπαίς</w:t>
      </w:r>
      <w:proofErr w:type="spellEnd"/>
      <w:r w:rsidRPr="00F63021" w:rsidR="002F261A">
        <w:rPr>
          <w:rFonts w:ascii="Times New Roman" w:hAnsi="Times New Roman" w:eastAsia="Times New Roman"/>
          <w:color w:val="000000"/>
          <w:sz w:val="20"/>
          <w:szCs w:val="20"/>
          <w:lang w:eastAsia="el-GR"/>
        </w:rPr>
        <w:t xml:space="preserve"> </w:t>
      </w:r>
      <w:proofErr w:type="spellStart"/>
      <w:r w:rsidRPr="00F63021" w:rsidR="002F261A">
        <w:rPr>
          <w:rFonts w:ascii="Times New Roman" w:hAnsi="Times New Roman" w:eastAsia="Times New Roman"/>
          <w:color w:val="000000"/>
          <w:sz w:val="20"/>
          <w:szCs w:val="20"/>
          <w:lang w:eastAsia="el-GR"/>
        </w:rPr>
        <w:t>Τραπέζαις</w:t>
      </w:r>
      <w:proofErr w:type="spellEnd"/>
      <w:r w:rsidRPr="00F63021" w:rsidR="00F63021">
        <w:rPr>
          <w:rFonts w:ascii="Times New Roman" w:hAnsi="Times New Roman" w:eastAsia="Times New Roman"/>
          <w:color w:val="000000"/>
          <w:sz w:val="20"/>
          <w:szCs w:val="20"/>
          <w:lang w:eastAsia="el-GR"/>
        </w:rPr>
        <w:t xml:space="preserve"> </w:t>
      </w:r>
      <w:r w:rsidRPr="00F63021">
        <w:rPr>
          <w:rFonts w:ascii="Times New Roman" w:hAnsi="Times New Roman" w:eastAsia="Times New Roman"/>
          <w:color w:val="000000"/>
          <w:sz w:val="20"/>
          <w:szCs w:val="20"/>
          <w:lang w:eastAsia="el-GR"/>
        </w:rPr>
        <w:t>(</w:t>
      </w:r>
      <w:r w:rsidRPr="00F63021" w:rsidR="00F63021">
        <w:rPr>
          <w:rFonts w:ascii="Times New Roman" w:hAnsi="Times New Roman" w:eastAsia="Times New Roman"/>
          <w:color w:val="000000"/>
          <w:sz w:val="20"/>
          <w:szCs w:val="20"/>
          <w:lang w:eastAsia="el-GR"/>
        </w:rPr>
        <w:t>...</w:t>
      </w:r>
      <w:r w:rsidRPr="00F63021">
        <w:rPr>
          <w:rFonts w:ascii="Times New Roman" w:hAnsi="Times New Roman" w:eastAsia="Times New Roman"/>
          <w:color w:val="000000"/>
          <w:sz w:val="20"/>
          <w:szCs w:val="20"/>
          <w:lang w:eastAsia="el-GR"/>
        </w:rPr>
        <w:t xml:space="preserve">) </w:t>
      </w:r>
      <w:r w:rsidRPr="00F63021" w:rsidR="002F261A">
        <w:rPr>
          <w:rFonts w:ascii="Times New Roman" w:hAnsi="Times New Roman" w:eastAsia="Times New Roman"/>
          <w:color w:val="000000"/>
          <w:sz w:val="20"/>
          <w:szCs w:val="20"/>
          <w:lang w:eastAsia="el-GR"/>
        </w:rPr>
        <w:t xml:space="preserve">περιέρχονται οριστικώς εις το </w:t>
      </w:r>
      <w:proofErr w:type="spellStart"/>
      <w:r w:rsidRPr="00F63021" w:rsidR="002F261A">
        <w:rPr>
          <w:rFonts w:ascii="Times New Roman" w:hAnsi="Times New Roman" w:eastAsia="Times New Roman"/>
          <w:color w:val="000000"/>
          <w:sz w:val="20"/>
          <w:szCs w:val="20"/>
          <w:lang w:eastAsia="el-GR"/>
        </w:rPr>
        <w:t>Ελληνικόν</w:t>
      </w:r>
      <w:proofErr w:type="spellEnd"/>
      <w:r w:rsidRPr="00F63021" w:rsidR="002F261A">
        <w:rPr>
          <w:rFonts w:ascii="Times New Roman" w:hAnsi="Times New Roman" w:eastAsia="Times New Roman"/>
          <w:color w:val="000000"/>
          <w:sz w:val="20"/>
          <w:szCs w:val="20"/>
          <w:lang w:eastAsia="el-GR"/>
        </w:rPr>
        <w:t xml:space="preserve"> Δημόσιον</w:t>
      </w:r>
      <w:r w:rsidRPr="00F63021">
        <w:rPr>
          <w:rFonts w:ascii="Times New Roman" w:hAnsi="Times New Roman" w:eastAsia="Times New Roman"/>
          <w:color w:val="000000"/>
          <w:sz w:val="20"/>
          <w:szCs w:val="20"/>
          <w:lang w:eastAsia="el-GR"/>
        </w:rPr>
        <w:t xml:space="preserve"> </w:t>
      </w:r>
      <w:r w:rsidRPr="00F63021" w:rsidR="002F261A">
        <w:rPr>
          <w:rFonts w:ascii="Times New Roman" w:hAnsi="Times New Roman" w:eastAsia="Times New Roman"/>
          <w:color w:val="000000"/>
          <w:sz w:val="20"/>
          <w:szCs w:val="20"/>
          <w:lang w:eastAsia="el-GR"/>
        </w:rPr>
        <w:t xml:space="preserve">εφόσον τα μεν χρηματικά λαβείν και αι καταθέσεις επί 20ετίαν αφ` </w:t>
      </w:r>
      <w:proofErr w:type="spellStart"/>
      <w:r w:rsidRPr="00F63021" w:rsidR="002F261A">
        <w:rPr>
          <w:rFonts w:ascii="Times New Roman" w:hAnsi="Times New Roman" w:eastAsia="Times New Roman"/>
          <w:color w:val="000000"/>
          <w:sz w:val="20"/>
          <w:szCs w:val="20"/>
          <w:lang w:eastAsia="el-GR"/>
        </w:rPr>
        <w:t>ής</w:t>
      </w:r>
      <w:proofErr w:type="spellEnd"/>
      <w:r w:rsidRPr="00F63021">
        <w:rPr>
          <w:rFonts w:ascii="Times New Roman" w:hAnsi="Times New Roman" w:eastAsia="Times New Roman"/>
          <w:color w:val="000000"/>
          <w:sz w:val="20"/>
          <w:szCs w:val="20"/>
          <w:lang w:eastAsia="el-GR"/>
        </w:rPr>
        <w:t xml:space="preserve"> </w:t>
      </w:r>
      <w:r w:rsidRPr="00F63021" w:rsidR="002F261A">
        <w:rPr>
          <w:rFonts w:ascii="Times New Roman" w:hAnsi="Times New Roman" w:eastAsia="Times New Roman"/>
          <w:color w:val="000000"/>
          <w:sz w:val="20"/>
          <w:szCs w:val="20"/>
          <w:lang w:eastAsia="el-GR"/>
        </w:rPr>
        <w:t>απέβησαν διαθέσιμοι υπέρ των δικαιούχων, οι δε τόκοι</w:t>
      </w:r>
      <w:r w:rsidRPr="00F63021" w:rsidR="00F63021">
        <w:rPr>
          <w:rFonts w:ascii="Times New Roman" w:hAnsi="Times New Roman" w:eastAsia="Times New Roman"/>
          <w:color w:val="000000"/>
          <w:sz w:val="20"/>
          <w:szCs w:val="20"/>
          <w:lang w:eastAsia="el-GR"/>
        </w:rPr>
        <w:t xml:space="preserve"> </w:t>
      </w:r>
      <w:r w:rsidRPr="00F63021" w:rsidR="002F261A">
        <w:rPr>
          <w:rFonts w:ascii="Times New Roman" w:hAnsi="Times New Roman" w:eastAsia="Times New Roman"/>
          <w:color w:val="000000"/>
          <w:sz w:val="20"/>
          <w:szCs w:val="20"/>
          <w:lang w:eastAsia="el-GR"/>
        </w:rPr>
        <w:t xml:space="preserve">επί 5ετίαν </w:t>
      </w:r>
      <w:proofErr w:type="spellStart"/>
      <w:r w:rsidRPr="00F63021" w:rsidR="002F261A">
        <w:rPr>
          <w:rFonts w:ascii="Times New Roman" w:hAnsi="Times New Roman" w:eastAsia="Times New Roman"/>
          <w:color w:val="000000"/>
          <w:sz w:val="20"/>
          <w:szCs w:val="20"/>
          <w:lang w:eastAsia="el-GR"/>
        </w:rPr>
        <w:t>αφ`ης</w:t>
      </w:r>
      <w:proofErr w:type="spellEnd"/>
      <w:r w:rsidRPr="00F63021" w:rsidR="002F261A">
        <w:rPr>
          <w:rFonts w:ascii="Times New Roman" w:hAnsi="Times New Roman" w:eastAsia="Times New Roman"/>
          <w:color w:val="000000"/>
          <w:sz w:val="20"/>
          <w:szCs w:val="20"/>
          <w:lang w:eastAsia="el-GR"/>
        </w:rPr>
        <w:t xml:space="preserve"> κατέστησαν απαιτητοί δεν </w:t>
      </w:r>
      <w:proofErr w:type="spellStart"/>
      <w:r w:rsidRPr="00F63021" w:rsidR="002F261A">
        <w:rPr>
          <w:rFonts w:ascii="Times New Roman" w:hAnsi="Times New Roman" w:eastAsia="Times New Roman"/>
          <w:color w:val="000000"/>
          <w:sz w:val="20"/>
          <w:szCs w:val="20"/>
          <w:lang w:eastAsia="el-GR"/>
        </w:rPr>
        <w:t>εζητήθησαν</w:t>
      </w:r>
      <w:proofErr w:type="spellEnd"/>
      <w:r w:rsidRPr="00F63021" w:rsidR="002F261A">
        <w:rPr>
          <w:rFonts w:ascii="Times New Roman" w:hAnsi="Times New Roman" w:eastAsia="Times New Roman"/>
          <w:color w:val="000000"/>
          <w:sz w:val="20"/>
          <w:szCs w:val="20"/>
          <w:lang w:eastAsia="el-GR"/>
        </w:rPr>
        <w:t xml:space="preserve"> υπό των δικαιούχων.</w:t>
      </w:r>
      <w:r w:rsidRPr="00F63021">
        <w:rPr>
          <w:rFonts w:ascii="Times New Roman" w:hAnsi="Times New Roman" w:eastAsia="Times New Roman"/>
          <w:color w:val="000000"/>
          <w:sz w:val="20"/>
          <w:szCs w:val="20"/>
          <w:lang w:eastAsia="el-GR"/>
        </w:rPr>
        <w:t>»</w:t>
      </w:r>
    </w:p>
    <w:p w:rsidRPr="00F63021" w:rsidR="002F261A" w:rsidP="00F63021" w:rsidRDefault="002F261A">
      <w:pPr>
        <w:jc w:val="both"/>
        <w:rPr>
          <w:rFonts w:ascii="Times New Roman" w:hAnsi="Times New Roman"/>
          <w:sz w:val="24"/>
          <w:szCs w:val="24"/>
        </w:rPr>
      </w:pPr>
    </w:p>
    <w:p w:rsidRPr="00F63021" w:rsidR="00F63021" w:rsidP="00F63021" w:rsidRDefault="008F5825">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 xml:space="preserve">Το Ν.Δ. 1195/1942 επικυρώθηκε με την πράξη </w:t>
      </w:r>
      <w:proofErr w:type="spellStart"/>
      <w:r w:rsidRPr="00F63021">
        <w:rPr>
          <w:rFonts w:ascii="Times New Roman" w:hAnsi="Times New Roman"/>
          <w:sz w:val="24"/>
          <w:szCs w:val="24"/>
        </w:rPr>
        <w:t>υπ</w:t>
      </w:r>
      <w:r w:rsidRPr="00F63021" w:rsidR="00F63021">
        <w:rPr>
          <w:rFonts w:ascii="Times New Roman" w:hAnsi="Times New Roman"/>
          <w:sz w:val="24"/>
          <w:szCs w:val="24"/>
        </w:rPr>
        <w:t>’</w:t>
      </w:r>
      <w:r w:rsidRPr="00F63021">
        <w:rPr>
          <w:rFonts w:ascii="Times New Roman" w:hAnsi="Times New Roman"/>
          <w:sz w:val="24"/>
          <w:szCs w:val="24"/>
        </w:rPr>
        <w:t>αρ</w:t>
      </w:r>
      <w:proofErr w:type="spellEnd"/>
      <w:r w:rsidRPr="00F63021">
        <w:rPr>
          <w:rFonts w:ascii="Times New Roman" w:hAnsi="Times New Roman"/>
          <w:sz w:val="24"/>
          <w:szCs w:val="24"/>
        </w:rPr>
        <w:t xml:space="preserve"> 315 του Υπουργικού Συμβουλίου της 30</w:t>
      </w:r>
      <w:r w:rsidRPr="00F63021">
        <w:rPr>
          <w:rFonts w:ascii="Times New Roman" w:hAnsi="Times New Roman"/>
          <w:sz w:val="24"/>
          <w:szCs w:val="24"/>
          <w:vertAlign w:val="superscript"/>
        </w:rPr>
        <w:t>ης</w:t>
      </w:r>
      <w:r w:rsidRPr="00F63021">
        <w:rPr>
          <w:rFonts w:ascii="Times New Roman" w:hAnsi="Times New Roman"/>
          <w:sz w:val="24"/>
          <w:szCs w:val="24"/>
        </w:rPr>
        <w:t xml:space="preserve"> Μαΐου 1946 και διατηρήθηκε σε ισχύ και μετά την υιοθέτηση του Αστικού Κώδικα.</w:t>
      </w:r>
    </w:p>
    <w:p w:rsidRPr="00F63021" w:rsidR="00F63021" w:rsidP="00F63021" w:rsidRDefault="008F5825">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 xml:space="preserve">Σύμφωνα με αυτό το Ν.Δ., η παραγραφή ορισμένων </w:t>
      </w:r>
      <w:r w:rsidRPr="00F63021" w:rsidR="00972241">
        <w:rPr>
          <w:rFonts w:ascii="Times New Roman" w:hAnsi="Times New Roman"/>
          <w:sz w:val="24"/>
          <w:szCs w:val="24"/>
        </w:rPr>
        <w:t>απαιτήσεων</w:t>
      </w:r>
      <w:r w:rsidRPr="00F63021">
        <w:rPr>
          <w:rFonts w:ascii="Times New Roman" w:hAnsi="Times New Roman"/>
          <w:sz w:val="24"/>
          <w:szCs w:val="24"/>
        </w:rPr>
        <w:t>, αντί να είναι</w:t>
      </w:r>
      <w:r w:rsidRPr="00F63021" w:rsidR="00354548">
        <w:rPr>
          <w:rFonts w:ascii="Times New Roman" w:hAnsi="Times New Roman"/>
          <w:sz w:val="24"/>
          <w:szCs w:val="24"/>
        </w:rPr>
        <w:t xml:space="preserve"> </w:t>
      </w:r>
      <w:r w:rsidRPr="00F63021">
        <w:rPr>
          <w:rFonts w:ascii="Times New Roman" w:hAnsi="Times New Roman"/>
          <w:sz w:val="24"/>
          <w:szCs w:val="24"/>
        </w:rPr>
        <w:t xml:space="preserve">υπέρ του οφειλέτη, όπως συμβαίνει στην περίπτωση του κοινού δικαίου, είναι υπέρ του Δημοσίου. Εκτός από τις τραπεζικές καταθέσεις </w:t>
      </w:r>
      <w:r w:rsidRPr="00F63021" w:rsidR="004C75AB">
        <w:rPr>
          <w:rFonts w:ascii="Times New Roman" w:hAnsi="Times New Roman"/>
          <w:sz w:val="24"/>
          <w:szCs w:val="24"/>
        </w:rPr>
        <w:t xml:space="preserve">και τις καταθέσεις στα πιστωτικά ιδρύματα, τέτοιες </w:t>
      </w:r>
      <w:r w:rsidRPr="00F63021" w:rsidR="00972241">
        <w:rPr>
          <w:rFonts w:ascii="Times New Roman" w:hAnsi="Times New Roman"/>
          <w:sz w:val="24"/>
          <w:szCs w:val="24"/>
        </w:rPr>
        <w:t>απαιτήσεις</w:t>
      </w:r>
      <w:r w:rsidRPr="00F63021" w:rsidR="004C75AB">
        <w:rPr>
          <w:rFonts w:ascii="Times New Roman" w:hAnsi="Times New Roman"/>
          <w:sz w:val="24"/>
          <w:szCs w:val="24"/>
        </w:rPr>
        <w:t xml:space="preserve"> είναι αυτές που προκύπτουν από τα κεφάλαια και τα εισοδήματα </w:t>
      </w:r>
      <w:r w:rsidRPr="00F63021" w:rsidR="00354548">
        <w:rPr>
          <w:rFonts w:ascii="Times New Roman" w:hAnsi="Times New Roman"/>
          <w:sz w:val="24"/>
          <w:szCs w:val="24"/>
        </w:rPr>
        <w:t>από</w:t>
      </w:r>
      <w:r w:rsidRPr="00F63021" w:rsidR="00F63021">
        <w:rPr>
          <w:rFonts w:ascii="Times New Roman" w:hAnsi="Times New Roman"/>
          <w:sz w:val="24"/>
          <w:szCs w:val="24"/>
        </w:rPr>
        <w:t xml:space="preserve"> </w:t>
      </w:r>
      <w:r w:rsidRPr="00F63021" w:rsidR="00504FEA">
        <w:rPr>
          <w:rFonts w:ascii="Times New Roman" w:hAnsi="Times New Roman"/>
          <w:sz w:val="24"/>
          <w:szCs w:val="24"/>
        </w:rPr>
        <w:t>τίτλους</w:t>
      </w:r>
      <w:r w:rsidRPr="00F63021" w:rsidR="00F63021">
        <w:rPr>
          <w:rFonts w:ascii="Times New Roman" w:hAnsi="Times New Roman"/>
          <w:sz w:val="24"/>
          <w:szCs w:val="24"/>
        </w:rPr>
        <w:t xml:space="preserve"> </w:t>
      </w:r>
      <w:r w:rsidRPr="00F63021" w:rsidR="004C75AB">
        <w:rPr>
          <w:rFonts w:ascii="Times New Roman" w:hAnsi="Times New Roman"/>
          <w:sz w:val="24"/>
          <w:szCs w:val="24"/>
        </w:rPr>
        <w:t xml:space="preserve">και </w:t>
      </w:r>
      <w:r w:rsidRPr="00F63021" w:rsidR="00504FEA">
        <w:rPr>
          <w:rFonts w:ascii="Times New Roman" w:hAnsi="Times New Roman"/>
          <w:sz w:val="24"/>
          <w:szCs w:val="24"/>
        </w:rPr>
        <w:t xml:space="preserve">κινητές αξίες </w:t>
      </w:r>
      <w:r w:rsidRPr="00F63021" w:rsidR="004C75AB">
        <w:rPr>
          <w:rFonts w:ascii="Times New Roman" w:hAnsi="Times New Roman"/>
          <w:sz w:val="24"/>
          <w:szCs w:val="24"/>
        </w:rPr>
        <w:t>που υπάρχουν σε Τράπεζες και Ανώνυμες Εταιρείες.</w:t>
      </w:r>
    </w:p>
    <w:p w:rsidRPr="00F63021" w:rsidR="00F63021" w:rsidP="00F63021" w:rsidRDefault="004C75AB">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Το άρθρο 16§2 του Νομοθετικού Διατάγμα</w:t>
      </w:r>
      <w:r w:rsidRPr="00F63021" w:rsidR="00504FEA">
        <w:rPr>
          <w:rFonts w:ascii="Times New Roman" w:hAnsi="Times New Roman"/>
          <w:sz w:val="24"/>
          <w:szCs w:val="24"/>
        </w:rPr>
        <w:t>το</w:t>
      </w:r>
      <w:r w:rsidRPr="00F63021">
        <w:rPr>
          <w:rFonts w:ascii="Times New Roman" w:hAnsi="Times New Roman"/>
          <w:sz w:val="24"/>
          <w:szCs w:val="24"/>
        </w:rPr>
        <w:t xml:space="preserve">ς προβλέπει ότι, σε ορισμένες περιπτώσεις, ο </w:t>
      </w:r>
      <w:r w:rsidRPr="00F63021" w:rsidR="00504FEA">
        <w:rPr>
          <w:rFonts w:ascii="Times New Roman" w:hAnsi="Times New Roman"/>
          <w:sz w:val="24"/>
          <w:szCs w:val="24"/>
        </w:rPr>
        <w:t>δανειστής</w:t>
      </w:r>
      <w:r w:rsidRPr="00F63021">
        <w:rPr>
          <w:rFonts w:ascii="Times New Roman" w:hAnsi="Times New Roman"/>
          <w:sz w:val="24"/>
          <w:szCs w:val="24"/>
        </w:rPr>
        <w:t xml:space="preserve"> έχει το δικαίω</w:t>
      </w:r>
      <w:r w:rsidRPr="00F63021" w:rsidR="00504FEA">
        <w:rPr>
          <w:rFonts w:ascii="Times New Roman" w:hAnsi="Times New Roman"/>
          <w:sz w:val="24"/>
          <w:szCs w:val="24"/>
        </w:rPr>
        <w:t>μα, αφότου οι αξιώσεις του περιέλ</w:t>
      </w:r>
      <w:r w:rsidRPr="00F63021">
        <w:rPr>
          <w:rFonts w:ascii="Times New Roman" w:hAnsi="Times New Roman"/>
          <w:sz w:val="24"/>
          <w:szCs w:val="24"/>
        </w:rPr>
        <w:t>θουν στον Δημόσιο, να στραφεί κατά του Δημοσίου με αγωγή ενώπιον των πολιτικών δικαστηρίων που πρέπει να ασκηθεί</w:t>
      </w:r>
      <w:r w:rsidRPr="00F63021" w:rsidR="00F63021">
        <w:rPr>
          <w:rFonts w:ascii="Times New Roman" w:hAnsi="Times New Roman"/>
          <w:sz w:val="24"/>
          <w:szCs w:val="24"/>
        </w:rPr>
        <w:t xml:space="preserve"> </w:t>
      </w:r>
      <w:r w:rsidRPr="00F63021">
        <w:rPr>
          <w:rFonts w:ascii="Times New Roman" w:hAnsi="Times New Roman"/>
          <w:sz w:val="24"/>
          <w:szCs w:val="24"/>
        </w:rPr>
        <w:t xml:space="preserve">εντός </w:t>
      </w:r>
      <w:r w:rsidRPr="00F63021" w:rsidR="00504FEA">
        <w:rPr>
          <w:rFonts w:ascii="Times New Roman" w:hAnsi="Times New Roman"/>
          <w:sz w:val="24"/>
          <w:szCs w:val="24"/>
        </w:rPr>
        <w:t>του χρόνου</w:t>
      </w:r>
      <w:r w:rsidRPr="00F63021" w:rsidR="00F63021">
        <w:rPr>
          <w:rFonts w:ascii="Times New Roman" w:hAnsi="Times New Roman"/>
          <w:sz w:val="24"/>
          <w:szCs w:val="24"/>
        </w:rPr>
        <w:t xml:space="preserve"> </w:t>
      </w:r>
      <w:r w:rsidRPr="00F63021">
        <w:rPr>
          <w:rFonts w:ascii="Times New Roman" w:hAnsi="Times New Roman"/>
          <w:sz w:val="24"/>
          <w:szCs w:val="24"/>
        </w:rPr>
        <w:t xml:space="preserve">παραγραφής της </w:t>
      </w:r>
      <w:r w:rsidRPr="00F63021" w:rsidR="00504FEA">
        <w:rPr>
          <w:rFonts w:ascii="Times New Roman" w:hAnsi="Times New Roman"/>
          <w:sz w:val="24"/>
          <w:szCs w:val="24"/>
        </w:rPr>
        <w:t>απαιτήσεώς του.</w:t>
      </w:r>
    </w:p>
    <w:p w:rsidRPr="00F63021" w:rsidR="004C75AB" w:rsidP="00F63021" w:rsidRDefault="004C75AB">
      <w:pPr>
        <w:numPr>
          <w:ilvl w:val="0"/>
          <w:numId w:val="7"/>
        </w:numPr>
        <w:ind w:left="0" w:hanging="11"/>
        <w:jc w:val="both"/>
        <w:rPr>
          <w:rFonts w:ascii="Times New Roman" w:hAnsi="Times New Roman"/>
          <w:sz w:val="24"/>
          <w:szCs w:val="24"/>
        </w:rPr>
      </w:pPr>
      <w:r w:rsidRPr="00F63021">
        <w:rPr>
          <w:rFonts w:ascii="Times New Roman" w:hAnsi="Times New Roman"/>
          <w:sz w:val="24"/>
          <w:szCs w:val="24"/>
        </w:rPr>
        <w:t>Οι σχετικές διατάξεις του Αστικού Κώδικα είναι διατυπωμένες ως εξής:</w:t>
      </w:r>
    </w:p>
    <w:p w:rsidRPr="00F63021" w:rsidR="00721AD6" w:rsidP="00F63021" w:rsidRDefault="00721AD6">
      <w:pPr>
        <w:pStyle w:val="NormalWeb"/>
        <w:spacing w:before="0" w:beforeAutospacing="0" w:after="0" w:afterAutospacing="0" w:line="276" w:lineRule="auto"/>
        <w:jc w:val="center"/>
        <w:rPr>
          <w:rFonts w:ascii="Times New Roman" w:hAnsi="Times New Roman"/>
        </w:rPr>
      </w:pPr>
      <w:r w:rsidRPr="00F63021">
        <w:rPr>
          <w:rFonts w:ascii="Times New Roman" w:hAnsi="Times New Roman"/>
        </w:rPr>
        <w:t>Άρθρο 247</w:t>
      </w:r>
    </w:p>
    <w:p w:rsidRPr="00F63021" w:rsidR="00721AD6" w:rsidP="00F63021" w:rsidRDefault="00721AD6">
      <w:pPr>
        <w:pStyle w:val="NormalWeb"/>
        <w:spacing w:before="0" w:beforeAutospacing="0" w:after="0" w:afterAutospacing="0" w:line="276" w:lineRule="auto"/>
        <w:jc w:val="center"/>
        <w:rPr>
          <w:rFonts w:ascii="Times New Roman" w:hAnsi="Times New Roman"/>
          <w:b/>
          <w:bCs/>
          <w:i/>
          <w:iCs/>
        </w:rPr>
      </w:pPr>
      <w:r w:rsidRPr="00F63021">
        <w:rPr>
          <w:rFonts w:ascii="Times New Roman" w:hAnsi="Times New Roman"/>
          <w:b/>
          <w:bCs/>
          <w:i/>
          <w:iCs/>
        </w:rPr>
        <w:t>Παραγραφή της αξίωσης</w:t>
      </w:r>
    </w:p>
    <w:p w:rsidRPr="00F63021" w:rsidR="00721AD6" w:rsidP="00F63021" w:rsidRDefault="00721AD6">
      <w:pPr>
        <w:pStyle w:val="NormalWeb"/>
        <w:spacing w:before="0" w:beforeAutospacing="0" w:after="0" w:afterAutospacing="0" w:line="276" w:lineRule="auto"/>
        <w:rPr>
          <w:rFonts w:ascii="Times New Roman" w:hAnsi="Times New Roman"/>
        </w:rPr>
      </w:pPr>
      <w:r w:rsidRPr="00F63021">
        <w:rPr>
          <w:rFonts w:ascii="Times New Roman" w:hAnsi="Times New Roman"/>
        </w:rPr>
        <w:t>Το δικαίωμα να απαιτήσει κάποιος από άλλον μια πράξη ή μια παράλειψη (αξίωση) παραγράφεται.</w:t>
      </w:r>
    </w:p>
    <w:p w:rsidRPr="00F63021" w:rsidR="00721AD6" w:rsidP="00F63021" w:rsidRDefault="00721AD6">
      <w:pPr>
        <w:pStyle w:val="NormalWeb"/>
        <w:spacing w:before="0" w:beforeAutospacing="0" w:after="0" w:afterAutospacing="0" w:line="276" w:lineRule="auto"/>
        <w:rPr>
          <w:rFonts w:ascii="Times New Roman" w:hAnsi="Times New Roman"/>
        </w:rPr>
      </w:pPr>
    </w:p>
    <w:p w:rsidRPr="00F63021" w:rsidR="00721AD6" w:rsidP="00F63021" w:rsidRDefault="00721AD6">
      <w:pPr>
        <w:pStyle w:val="NormalWeb"/>
        <w:spacing w:before="0" w:beforeAutospacing="0" w:after="0" w:afterAutospacing="0" w:line="276" w:lineRule="auto"/>
        <w:jc w:val="center"/>
        <w:rPr>
          <w:rFonts w:ascii="Times New Roman" w:hAnsi="Times New Roman"/>
        </w:rPr>
      </w:pPr>
      <w:r w:rsidRPr="00F63021">
        <w:rPr>
          <w:rFonts w:ascii="Times New Roman" w:hAnsi="Times New Roman"/>
        </w:rPr>
        <w:t>Άρθρο 249</w:t>
      </w:r>
    </w:p>
    <w:p w:rsidRPr="00F63021" w:rsidR="00721AD6" w:rsidP="00F63021" w:rsidRDefault="00721AD6">
      <w:pPr>
        <w:pStyle w:val="NormalWeb"/>
        <w:spacing w:before="0" w:beforeAutospacing="0" w:after="0" w:afterAutospacing="0" w:line="276" w:lineRule="auto"/>
        <w:jc w:val="center"/>
        <w:rPr>
          <w:rFonts w:ascii="Times New Roman" w:hAnsi="Times New Roman"/>
          <w:b/>
          <w:bCs/>
          <w:i/>
          <w:iCs/>
        </w:rPr>
      </w:pPr>
      <w:r w:rsidRPr="00F63021">
        <w:rPr>
          <w:rFonts w:ascii="Times New Roman" w:hAnsi="Times New Roman"/>
          <w:b/>
          <w:bCs/>
          <w:i/>
          <w:iCs/>
        </w:rPr>
        <w:t>Εικοσαετής παραγραφή</w:t>
      </w:r>
    </w:p>
    <w:p w:rsidRPr="00F63021" w:rsidR="00721AD6" w:rsidP="00F63021" w:rsidRDefault="00721AD6">
      <w:pPr>
        <w:pStyle w:val="NormalWeb"/>
        <w:spacing w:before="0" w:beforeAutospacing="0" w:after="0" w:afterAutospacing="0" w:line="276" w:lineRule="auto"/>
        <w:rPr>
          <w:rFonts w:ascii="Times New Roman" w:hAnsi="Times New Roman"/>
        </w:rPr>
      </w:pPr>
      <w:r w:rsidRPr="00F63021">
        <w:rPr>
          <w:rFonts w:ascii="Times New Roman" w:hAnsi="Times New Roman"/>
        </w:rPr>
        <w:t>Εφόσον δεν ορίζεται διαφορετικά, οι αξιώσεις παραγράφονται σε είκοσι χρόνια.</w:t>
      </w:r>
    </w:p>
    <w:p w:rsidRPr="00F63021" w:rsidR="00721AD6" w:rsidP="00F63021" w:rsidRDefault="00721AD6">
      <w:pPr>
        <w:pStyle w:val="NormalWeb"/>
        <w:spacing w:before="0" w:beforeAutospacing="0" w:after="0" w:afterAutospacing="0" w:line="276" w:lineRule="auto"/>
        <w:jc w:val="center"/>
        <w:rPr>
          <w:rFonts w:ascii="Times New Roman" w:hAnsi="Times New Roman"/>
        </w:rPr>
      </w:pPr>
      <w:r w:rsidRPr="00F63021">
        <w:rPr>
          <w:rFonts w:ascii="Times New Roman" w:hAnsi="Times New Roman"/>
        </w:rPr>
        <w:t>Άρθρο 250</w:t>
      </w:r>
    </w:p>
    <w:p w:rsidRPr="00F63021" w:rsidR="00721AD6" w:rsidP="00F63021" w:rsidRDefault="00721AD6">
      <w:pPr>
        <w:pStyle w:val="NormalWeb"/>
        <w:spacing w:before="0" w:beforeAutospacing="0" w:after="0" w:afterAutospacing="0" w:line="276" w:lineRule="auto"/>
        <w:jc w:val="center"/>
        <w:rPr>
          <w:rFonts w:ascii="Times New Roman" w:hAnsi="Times New Roman"/>
          <w:b/>
          <w:bCs/>
          <w:i/>
          <w:iCs/>
        </w:rPr>
      </w:pPr>
      <w:r w:rsidRPr="00F63021">
        <w:rPr>
          <w:rFonts w:ascii="Times New Roman" w:hAnsi="Times New Roman"/>
          <w:b/>
          <w:bCs/>
          <w:i/>
          <w:iCs/>
        </w:rPr>
        <w:t>Πενταετής παραγραφή</w:t>
      </w:r>
    </w:p>
    <w:p w:rsidRPr="00F63021" w:rsidR="00721AD6" w:rsidP="00F63021" w:rsidRDefault="00721AD6">
      <w:pPr>
        <w:spacing w:after="0"/>
        <w:jc w:val="both"/>
        <w:rPr>
          <w:rFonts w:ascii="Times New Roman" w:hAnsi="Times New Roman"/>
          <w:sz w:val="24"/>
          <w:szCs w:val="24"/>
        </w:rPr>
      </w:pPr>
      <w:r w:rsidRPr="00F63021">
        <w:rPr>
          <w:rFonts w:ascii="Times New Roman" w:hAnsi="Times New Roman"/>
          <w:sz w:val="24"/>
          <w:szCs w:val="24"/>
        </w:rPr>
        <w:t>Σε πέντε χρόνια παραγράφονται οι αξιώσεις: (</w:t>
      </w:r>
      <w:r w:rsidRPr="00F63021" w:rsidR="00F63021">
        <w:rPr>
          <w:rFonts w:ascii="Times New Roman" w:hAnsi="Times New Roman"/>
          <w:sz w:val="24"/>
          <w:szCs w:val="24"/>
        </w:rPr>
        <w:t>...</w:t>
      </w:r>
      <w:r w:rsidRPr="00F63021">
        <w:rPr>
          <w:rFonts w:ascii="Times New Roman" w:hAnsi="Times New Roman"/>
          <w:sz w:val="24"/>
          <w:szCs w:val="24"/>
        </w:rPr>
        <w:t>) 15. των τόκων (</w:t>
      </w:r>
      <w:r w:rsidRPr="00F63021" w:rsidR="00F63021">
        <w:rPr>
          <w:rFonts w:ascii="Times New Roman" w:hAnsi="Times New Roman"/>
          <w:sz w:val="24"/>
          <w:szCs w:val="24"/>
        </w:rPr>
        <w:t>...</w:t>
      </w:r>
      <w:r w:rsidRPr="00F63021">
        <w:rPr>
          <w:rFonts w:ascii="Times New Roman" w:hAnsi="Times New Roman"/>
          <w:sz w:val="24"/>
          <w:szCs w:val="24"/>
        </w:rPr>
        <w:t>)</w:t>
      </w:r>
    </w:p>
    <w:p w:rsidRPr="00F63021" w:rsidR="00721AD6" w:rsidP="00F63021" w:rsidRDefault="00721AD6">
      <w:pPr>
        <w:spacing w:after="0"/>
        <w:jc w:val="both"/>
        <w:rPr>
          <w:rFonts w:ascii="Times New Roman" w:hAnsi="Times New Roman"/>
          <w:sz w:val="24"/>
          <w:szCs w:val="24"/>
        </w:rPr>
      </w:pPr>
    </w:p>
    <w:p w:rsidRPr="00F63021" w:rsidR="00721AD6" w:rsidP="00F63021" w:rsidRDefault="00721AD6">
      <w:pPr>
        <w:pStyle w:val="NormalWeb"/>
        <w:spacing w:before="0" w:beforeAutospacing="0" w:after="0" w:afterAutospacing="0" w:line="276" w:lineRule="auto"/>
        <w:jc w:val="center"/>
        <w:rPr>
          <w:rFonts w:ascii="Times New Roman" w:hAnsi="Times New Roman"/>
        </w:rPr>
      </w:pPr>
      <w:r w:rsidRPr="00F63021">
        <w:rPr>
          <w:rFonts w:ascii="Times New Roman" w:hAnsi="Times New Roman"/>
        </w:rPr>
        <w:t>Άρθρο 251</w:t>
      </w:r>
    </w:p>
    <w:p w:rsidRPr="00F63021" w:rsidR="00721AD6" w:rsidP="00F63021" w:rsidRDefault="00721AD6">
      <w:pPr>
        <w:pStyle w:val="NormalWeb"/>
        <w:spacing w:before="0" w:beforeAutospacing="0" w:after="0" w:afterAutospacing="0" w:line="276" w:lineRule="auto"/>
        <w:jc w:val="center"/>
        <w:rPr>
          <w:rFonts w:ascii="Times New Roman" w:hAnsi="Times New Roman"/>
          <w:b/>
          <w:bCs/>
          <w:i/>
          <w:iCs/>
        </w:rPr>
      </w:pPr>
      <w:r w:rsidRPr="00F63021">
        <w:rPr>
          <w:rFonts w:ascii="Times New Roman" w:hAnsi="Times New Roman"/>
          <w:b/>
          <w:bCs/>
          <w:i/>
          <w:iCs/>
        </w:rPr>
        <w:t>Έναρξη παραγραφής</w:t>
      </w:r>
    </w:p>
    <w:p w:rsidRPr="00F63021" w:rsidR="00721AD6" w:rsidP="00F63021" w:rsidRDefault="00721AD6">
      <w:pPr>
        <w:pStyle w:val="NormalWeb"/>
        <w:spacing w:before="0" w:beforeAutospacing="0" w:after="0" w:afterAutospacing="0" w:line="276" w:lineRule="auto"/>
        <w:rPr>
          <w:rFonts w:ascii="Times New Roman" w:hAnsi="Times New Roman"/>
        </w:rPr>
      </w:pPr>
      <w:r w:rsidRPr="00F63021">
        <w:rPr>
          <w:rFonts w:ascii="Times New Roman" w:hAnsi="Times New Roman"/>
        </w:rPr>
        <w:t>Η παραγραφή αρχίζει από τότε που γεννήθηκε η αξίωση και είναι δυνατή η δικαστική επιδίωξή της.</w:t>
      </w:r>
    </w:p>
    <w:p w:rsidRPr="00F63021" w:rsidR="00721AD6" w:rsidP="00F63021" w:rsidRDefault="00721AD6">
      <w:pPr>
        <w:pStyle w:val="NormalWeb"/>
        <w:spacing w:before="0" w:beforeAutospacing="0" w:after="0" w:afterAutospacing="0" w:line="276" w:lineRule="auto"/>
        <w:jc w:val="center"/>
        <w:rPr>
          <w:rFonts w:ascii="Times New Roman" w:hAnsi="Times New Roman"/>
        </w:rPr>
      </w:pPr>
      <w:r w:rsidRPr="00F63021">
        <w:rPr>
          <w:rFonts w:ascii="Times New Roman" w:hAnsi="Times New Roman"/>
        </w:rPr>
        <w:t>Άρθρο 255</w:t>
      </w:r>
    </w:p>
    <w:p w:rsidRPr="00F63021" w:rsidR="00721AD6" w:rsidP="00F63021" w:rsidRDefault="00721AD6">
      <w:pPr>
        <w:pStyle w:val="NormalWeb"/>
        <w:spacing w:before="0" w:beforeAutospacing="0" w:after="0" w:afterAutospacing="0" w:line="276" w:lineRule="auto"/>
        <w:jc w:val="center"/>
        <w:rPr>
          <w:rFonts w:ascii="Times New Roman" w:hAnsi="Times New Roman"/>
          <w:b/>
          <w:bCs/>
          <w:i/>
          <w:iCs/>
        </w:rPr>
      </w:pPr>
      <w:r w:rsidRPr="00F63021">
        <w:rPr>
          <w:rFonts w:ascii="Times New Roman" w:hAnsi="Times New Roman"/>
          <w:b/>
          <w:bCs/>
          <w:i/>
          <w:iCs/>
        </w:rPr>
        <w:t>Αναστολή παραγραφής</w:t>
      </w:r>
    </w:p>
    <w:p w:rsidRPr="00F63021" w:rsidR="00721AD6" w:rsidP="00F63021" w:rsidRDefault="00721AD6">
      <w:pPr>
        <w:spacing w:after="0"/>
        <w:jc w:val="both"/>
        <w:rPr>
          <w:rFonts w:ascii="Times New Roman" w:hAnsi="Times New Roman"/>
          <w:sz w:val="24"/>
          <w:szCs w:val="24"/>
        </w:rPr>
      </w:pPr>
      <w:r w:rsidRPr="00F63021">
        <w:rPr>
          <w:rFonts w:ascii="Times New Roman" w:hAnsi="Times New Roman"/>
          <w:sz w:val="24"/>
          <w:szCs w:val="24"/>
        </w:rPr>
        <w:t xml:space="preserve">Η παραγραφή αναστέλλεται για όσο χρόνο ο δικαιούχος εμποδίστηκε </w:t>
      </w:r>
      <w:r w:rsidRPr="00F63021" w:rsidR="00EA5899">
        <w:rPr>
          <w:rFonts w:ascii="Times New Roman" w:hAnsi="Times New Roman"/>
          <w:sz w:val="24"/>
          <w:szCs w:val="24"/>
        </w:rPr>
        <w:t>(</w:t>
      </w:r>
      <w:r w:rsidRPr="00F63021" w:rsidR="00F63021">
        <w:rPr>
          <w:rFonts w:ascii="Times New Roman" w:hAnsi="Times New Roman"/>
          <w:sz w:val="24"/>
          <w:szCs w:val="24"/>
        </w:rPr>
        <w:t>...</w:t>
      </w:r>
      <w:r w:rsidRPr="00F63021" w:rsidR="00EA5899">
        <w:rPr>
          <w:rFonts w:ascii="Times New Roman" w:hAnsi="Times New Roman"/>
          <w:sz w:val="24"/>
          <w:szCs w:val="24"/>
        </w:rPr>
        <w:t>)</w:t>
      </w:r>
      <w:r w:rsidRPr="00F63021">
        <w:rPr>
          <w:rFonts w:ascii="Times New Roman" w:hAnsi="Times New Roman"/>
          <w:sz w:val="24"/>
          <w:szCs w:val="24"/>
        </w:rPr>
        <w:t xml:space="preserve"> ή από άλλο λόγο ανώτερης βίας να ασκήσει την αξίωσή του μέσα στο τελευταίο εξάμηνο του χρόνου της παραγραφής.</w:t>
      </w:r>
      <w:r w:rsidRPr="00F63021" w:rsidR="00EA5899">
        <w:rPr>
          <w:rFonts w:ascii="Times New Roman" w:hAnsi="Times New Roman"/>
          <w:sz w:val="24"/>
          <w:szCs w:val="24"/>
        </w:rPr>
        <w:t xml:space="preserve"> (</w:t>
      </w:r>
      <w:r w:rsidRPr="00F63021" w:rsidR="00F63021">
        <w:rPr>
          <w:rFonts w:ascii="Times New Roman" w:hAnsi="Times New Roman"/>
          <w:sz w:val="24"/>
          <w:szCs w:val="24"/>
        </w:rPr>
        <w:t>...</w:t>
      </w:r>
      <w:r w:rsidRPr="00F63021" w:rsidR="00EA5899">
        <w:rPr>
          <w:rFonts w:ascii="Times New Roman" w:hAnsi="Times New Roman"/>
          <w:sz w:val="24"/>
          <w:szCs w:val="24"/>
        </w:rPr>
        <w:t>)</w:t>
      </w:r>
    </w:p>
    <w:p w:rsidRPr="00F63021" w:rsidR="00EA5899" w:rsidP="00F63021" w:rsidRDefault="00EA5899">
      <w:pPr>
        <w:spacing w:after="0"/>
        <w:jc w:val="both"/>
        <w:rPr>
          <w:rFonts w:ascii="Times New Roman" w:hAnsi="Times New Roman"/>
          <w:sz w:val="24"/>
          <w:szCs w:val="24"/>
        </w:rPr>
      </w:pPr>
    </w:p>
    <w:p w:rsidRPr="00F63021" w:rsidR="00EA5899" w:rsidP="00F63021" w:rsidRDefault="00EA5899">
      <w:pPr>
        <w:pStyle w:val="NormalWeb"/>
        <w:spacing w:before="0" w:beforeAutospacing="0" w:after="0" w:afterAutospacing="0" w:line="276" w:lineRule="auto"/>
        <w:jc w:val="center"/>
        <w:rPr>
          <w:rFonts w:ascii="Times New Roman" w:hAnsi="Times New Roman"/>
        </w:rPr>
      </w:pPr>
      <w:r w:rsidRPr="00F63021">
        <w:rPr>
          <w:rFonts w:ascii="Times New Roman" w:hAnsi="Times New Roman"/>
        </w:rPr>
        <w:t>Άρθρο 260</w:t>
      </w:r>
    </w:p>
    <w:p w:rsidRPr="00F63021" w:rsidR="00EA5899" w:rsidP="00F63021" w:rsidRDefault="00EA5899">
      <w:pPr>
        <w:pStyle w:val="NormalWeb"/>
        <w:spacing w:before="0" w:beforeAutospacing="0" w:after="0" w:afterAutospacing="0" w:line="276" w:lineRule="auto"/>
        <w:jc w:val="center"/>
        <w:rPr>
          <w:rFonts w:ascii="Times New Roman" w:hAnsi="Times New Roman"/>
          <w:b/>
          <w:bCs/>
          <w:i/>
          <w:iCs/>
        </w:rPr>
      </w:pPr>
      <w:r w:rsidRPr="00F63021">
        <w:rPr>
          <w:rFonts w:ascii="Times New Roman" w:hAnsi="Times New Roman"/>
          <w:b/>
          <w:bCs/>
          <w:i/>
          <w:iCs/>
        </w:rPr>
        <w:t>Διακοπή. Αναγνώριση</w:t>
      </w:r>
    </w:p>
    <w:p w:rsidRPr="00F63021" w:rsidR="00EA5899" w:rsidP="00F63021" w:rsidRDefault="00EA5899">
      <w:pPr>
        <w:pStyle w:val="NormalWeb"/>
        <w:spacing w:before="0" w:beforeAutospacing="0" w:after="0" w:afterAutospacing="0" w:line="276" w:lineRule="auto"/>
        <w:rPr>
          <w:rFonts w:ascii="Times New Roman" w:hAnsi="Times New Roman"/>
        </w:rPr>
      </w:pPr>
      <w:r w:rsidRPr="00F63021">
        <w:rPr>
          <w:rFonts w:ascii="Times New Roman" w:hAnsi="Times New Roman"/>
        </w:rPr>
        <w:t>Η παραγραφή διακόπτεται όταν ο υπόχρεος αναγνωρίσει την αξίωση με οποιοδήποτε τρόπο.</w:t>
      </w:r>
    </w:p>
    <w:p w:rsidRPr="00F63021" w:rsidR="00EA5899" w:rsidP="00F63021" w:rsidRDefault="00EA5899">
      <w:pPr>
        <w:spacing w:after="0"/>
        <w:jc w:val="both"/>
        <w:rPr>
          <w:rFonts w:ascii="Times New Roman" w:hAnsi="Times New Roman"/>
          <w:sz w:val="24"/>
          <w:szCs w:val="24"/>
        </w:rPr>
      </w:pPr>
    </w:p>
    <w:p w:rsidRPr="00F63021" w:rsidR="00EA5899" w:rsidP="00F63021" w:rsidRDefault="00EA5899">
      <w:pPr>
        <w:pStyle w:val="NormalWeb"/>
        <w:spacing w:before="0" w:beforeAutospacing="0" w:after="0" w:afterAutospacing="0" w:line="276" w:lineRule="auto"/>
        <w:jc w:val="center"/>
        <w:rPr>
          <w:rFonts w:ascii="Times New Roman" w:hAnsi="Times New Roman"/>
        </w:rPr>
      </w:pPr>
      <w:r w:rsidRPr="00F63021">
        <w:rPr>
          <w:rFonts w:ascii="Times New Roman" w:hAnsi="Times New Roman"/>
        </w:rPr>
        <w:t>Άρθρο 272</w:t>
      </w:r>
    </w:p>
    <w:p w:rsidRPr="00F63021" w:rsidR="00EA5899" w:rsidP="00F63021" w:rsidRDefault="00EA5899">
      <w:pPr>
        <w:pStyle w:val="NormalWeb"/>
        <w:spacing w:before="0" w:beforeAutospacing="0" w:after="0" w:afterAutospacing="0" w:line="276" w:lineRule="auto"/>
        <w:jc w:val="center"/>
        <w:rPr>
          <w:rFonts w:ascii="Times New Roman" w:hAnsi="Times New Roman"/>
          <w:b/>
          <w:bCs/>
          <w:i/>
          <w:iCs/>
        </w:rPr>
      </w:pPr>
      <w:r w:rsidRPr="00F63021">
        <w:rPr>
          <w:rFonts w:ascii="Times New Roman" w:hAnsi="Times New Roman"/>
          <w:b/>
          <w:bCs/>
          <w:i/>
          <w:iCs/>
        </w:rPr>
        <w:t>Ενέργεια της συμπλήρωσης της παραγραφής</w:t>
      </w:r>
    </w:p>
    <w:p w:rsidRPr="00F63021" w:rsidR="00EA5899" w:rsidP="00F63021" w:rsidRDefault="00EA5899">
      <w:pPr>
        <w:pStyle w:val="NormalWeb"/>
        <w:spacing w:before="0" w:beforeAutospacing="0" w:after="0" w:afterAutospacing="0" w:line="276" w:lineRule="auto"/>
        <w:rPr>
          <w:rFonts w:ascii="Times New Roman" w:hAnsi="Times New Roman"/>
        </w:rPr>
      </w:pPr>
      <w:r w:rsidRPr="00F63021">
        <w:rPr>
          <w:rFonts w:ascii="Times New Roman" w:hAnsi="Times New Roman"/>
        </w:rPr>
        <w:t>Όταν συμπληρωθεί η παραγραφή, ο υπόχρεος έχει δικαίωμα να αρνηθεί την παροχή.</w:t>
      </w:r>
    </w:p>
    <w:p w:rsidRPr="00F63021" w:rsidR="00EA5899" w:rsidP="00F63021" w:rsidRDefault="00EA5899">
      <w:pPr>
        <w:pStyle w:val="NormalWeb"/>
        <w:spacing w:before="0" w:beforeAutospacing="0" w:after="0" w:afterAutospacing="0" w:line="276" w:lineRule="auto"/>
        <w:rPr>
          <w:rFonts w:ascii="Times New Roman" w:hAnsi="Times New Roman"/>
        </w:rPr>
      </w:pPr>
      <w:r w:rsidRPr="00F63021">
        <w:rPr>
          <w:rFonts w:ascii="Times New Roman" w:hAnsi="Times New Roman"/>
        </w:rPr>
        <w:t>(</w:t>
      </w:r>
      <w:r w:rsidRPr="00F63021" w:rsidR="00F63021">
        <w:rPr>
          <w:rFonts w:ascii="Times New Roman" w:hAnsi="Times New Roman"/>
        </w:rPr>
        <w:t>...</w:t>
      </w:r>
      <w:r w:rsidRPr="00F63021">
        <w:rPr>
          <w:rFonts w:ascii="Times New Roman" w:hAnsi="Times New Roman"/>
        </w:rPr>
        <w:t>)»</w:t>
      </w:r>
    </w:p>
    <w:p w:rsidRPr="00F63021" w:rsidR="00EA5899" w:rsidP="00F63021" w:rsidRDefault="00EA5899">
      <w:pPr>
        <w:spacing w:after="0"/>
        <w:jc w:val="both"/>
        <w:rPr>
          <w:rFonts w:ascii="Times New Roman" w:hAnsi="Times New Roman"/>
          <w:sz w:val="24"/>
          <w:szCs w:val="24"/>
        </w:rPr>
      </w:pPr>
    </w:p>
    <w:p w:rsidRPr="00F63021" w:rsidR="00EA5899" w:rsidP="00F63021" w:rsidRDefault="00EA5899">
      <w:pPr>
        <w:pStyle w:val="NormalWeb"/>
        <w:spacing w:before="0" w:beforeAutospacing="0" w:after="0" w:afterAutospacing="0" w:line="276" w:lineRule="auto"/>
        <w:jc w:val="center"/>
        <w:rPr>
          <w:rFonts w:ascii="Times New Roman" w:hAnsi="Times New Roman"/>
        </w:rPr>
      </w:pPr>
      <w:r w:rsidRPr="00F63021">
        <w:rPr>
          <w:rFonts w:ascii="Times New Roman" w:hAnsi="Times New Roman"/>
        </w:rPr>
        <w:t>Άρθρο 274</w:t>
      </w:r>
    </w:p>
    <w:p w:rsidRPr="00F63021" w:rsidR="00EA5899" w:rsidP="00F63021" w:rsidRDefault="00EA5899">
      <w:pPr>
        <w:pStyle w:val="NormalWeb"/>
        <w:spacing w:before="0" w:beforeAutospacing="0" w:after="0" w:afterAutospacing="0" w:line="276" w:lineRule="auto"/>
        <w:jc w:val="center"/>
        <w:rPr>
          <w:rFonts w:ascii="Times New Roman" w:hAnsi="Times New Roman"/>
          <w:b/>
          <w:bCs/>
          <w:i/>
          <w:iCs/>
        </w:rPr>
      </w:pPr>
      <w:r w:rsidRPr="00F63021">
        <w:rPr>
          <w:rFonts w:ascii="Times New Roman" w:hAnsi="Times New Roman"/>
          <w:b/>
          <w:bCs/>
          <w:i/>
          <w:iCs/>
        </w:rPr>
        <w:t>Παραγραφή παρεπόμενων αξιώσεων</w:t>
      </w:r>
    </w:p>
    <w:p w:rsidRPr="00F63021" w:rsidR="00EA5899" w:rsidP="00F63021" w:rsidRDefault="00EA5899">
      <w:pPr>
        <w:pStyle w:val="NormalWeb"/>
        <w:spacing w:before="0" w:beforeAutospacing="0" w:after="0" w:afterAutospacing="0" w:line="276" w:lineRule="auto"/>
        <w:jc w:val="both"/>
        <w:rPr>
          <w:rFonts w:ascii="Times New Roman" w:hAnsi="Times New Roman"/>
        </w:rPr>
      </w:pPr>
      <w:r w:rsidRPr="00F63021">
        <w:rPr>
          <w:rFonts w:ascii="Times New Roman" w:hAnsi="Times New Roman"/>
        </w:rPr>
        <w:t xml:space="preserve">Όταν παραγραφεί η κύρια αξίωση, </w:t>
      </w:r>
      <w:proofErr w:type="spellStart"/>
      <w:r w:rsidRPr="00F63021">
        <w:rPr>
          <w:rFonts w:ascii="Times New Roman" w:hAnsi="Times New Roman"/>
        </w:rPr>
        <w:t>συμπαραγράφονται</w:t>
      </w:r>
      <w:proofErr w:type="spellEnd"/>
      <w:r w:rsidRPr="00F63021">
        <w:rPr>
          <w:rFonts w:ascii="Times New Roman" w:hAnsi="Times New Roman"/>
        </w:rPr>
        <w:t xml:space="preserve"> και οι παρεπόμενες από αυτήν αξιώσεις, και αν ακόμη δεν συμπληρώθηκε η παραγραφή που ισχύει γι</w:t>
      </w:r>
      <w:r w:rsidRPr="00F63021" w:rsidR="00F63021">
        <w:rPr>
          <w:rFonts w:ascii="Times New Roman" w:hAnsi="Times New Roman"/>
        </w:rPr>
        <w:t>’</w:t>
      </w:r>
      <w:r w:rsidRPr="00F63021">
        <w:rPr>
          <w:rFonts w:ascii="Times New Roman" w:hAnsi="Times New Roman"/>
        </w:rPr>
        <w:t xml:space="preserve"> αυτές.</w:t>
      </w:r>
    </w:p>
    <w:p w:rsidRPr="00F63021" w:rsidR="00EA5899" w:rsidP="00F63021" w:rsidRDefault="00EA5899">
      <w:pPr>
        <w:spacing w:after="0"/>
        <w:jc w:val="both"/>
        <w:rPr>
          <w:rFonts w:ascii="Times New Roman" w:hAnsi="Times New Roman"/>
          <w:sz w:val="24"/>
          <w:szCs w:val="24"/>
        </w:rPr>
      </w:pPr>
    </w:p>
    <w:p w:rsidRPr="00F63021" w:rsidR="00EA5899" w:rsidP="00F63021" w:rsidRDefault="00EA5899">
      <w:pPr>
        <w:pStyle w:val="NormalWeb"/>
        <w:spacing w:before="0" w:beforeAutospacing="0" w:after="0" w:afterAutospacing="0"/>
        <w:jc w:val="center"/>
        <w:rPr>
          <w:rFonts w:ascii="Times New Roman" w:hAnsi="Times New Roman"/>
        </w:rPr>
      </w:pPr>
      <w:r w:rsidRPr="00F63021">
        <w:rPr>
          <w:rFonts w:ascii="Times New Roman" w:hAnsi="Times New Roman"/>
        </w:rPr>
        <w:t>Άρθρο 827</w:t>
      </w:r>
    </w:p>
    <w:p w:rsidRPr="00F63021" w:rsidR="00EA5899" w:rsidP="00F63021" w:rsidRDefault="00EA5899">
      <w:pPr>
        <w:pStyle w:val="NormalWeb"/>
        <w:spacing w:before="0" w:beforeAutospacing="0" w:after="0" w:afterAutospacing="0"/>
        <w:jc w:val="center"/>
        <w:rPr>
          <w:rFonts w:ascii="Times New Roman" w:hAnsi="Times New Roman"/>
          <w:b/>
          <w:bCs/>
          <w:i/>
          <w:iCs/>
        </w:rPr>
      </w:pPr>
      <w:r w:rsidRPr="00F63021">
        <w:rPr>
          <w:rFonts w:ascii="Times New Roman" w:hAnsi="Times New Roman"/>
          <w:b/>
          <w:bCs/>
          <w:i/>
          <w:iCs/>
        </w:rPr>
        <w:t>Χρόνος απόδοσης</w:t>
      </w:r>
    </w:p>
    <w:p w:rsidRPr="00F63021" w:rsidR="00EA5899" w:rsidP="00F63021" w:rsidRDefault="00EA5899">
      <w:pPr>
        <w:pStyle w:val="NormalWeb"/>
        <w:spacing w:before="0" w:beforeAutospacing="0" w:after="0" w:afterAutospacing="0"/>
        <w:rPr>
          <w:rFonts w:ascii="Times New Roman" w:hAnsi="Times New Roman"/>
        </w:rPr>
      </w:pPr>
      <w:r w:rsidRPr="00F63021">
        <w:rPr>
          <w:rFonts w:ascii="Times New Roman" w:hAnsi="Times New Roman"/>
        </w:rPr>
        <w:t>Ο θεματοφύλακας, αν ο παρακαταθέτης απαιτεί το πράγμα, οφείλει να το αποδώσει και αν ακόμη δεν έχει περάσει η προθεσμία που ορίστηκε για τη φύλαξή του.</w:t>
      </w:r>
    </w:p>
    <w:p w:rsidRPr="00F63021" w:rsidR="00EA5899" w:rsidP="00F63021" w:rsidRDefault="00EA5899">
      <w:pPr>
        <w:pStyle w:val="NormalWeb"/>
        <w:spacing w:before="0" w:beforeAutospacing="0" w:after="0" w:afterAutospacing="0"/>
        <w:jc w:val="center"/>
        <w:rPr>
          <w:rFonts w:ascii="Times New Roman" w:hAnsi="Times New Roman"/>
        </w:rPr>
      </w:pPr>
      <w:r w:rsidRPr="00F63021">
        <w:rPr>
          <w:rFonts w:ascii="Times New Roman" w:hAnsi="Times New Roman"/>
        </w:rPr>
        <w:t>Άρθρο 830</w:t>
      </w:r>
    </w:p>
    <w:p w:rsidRPr="00F63021" w:rsidR="00EA5899" w:rsidP="00F63021" w:rsidRDefault="00EA5899">
      <w:pPr>
        <w:pStyle w:val="NormalWeb"/>
        <w:spacing w:before="0" w:beforeAutospacing="0" w:after="0" w:afterAutospacing="0"/>
        <w:jc w:val="center"/>
        <w:rPr>
          <w:rFonts w:ascii="Times New Roman" w:hAnsi="Times New Roman"/>
          <w:b/>
          <w:bCs/>
          <w:i/>
          <w:iCs/>
        </w:rPr>
      </w:pPr>
      <w:r w:rsidRPr="00F63021">
        <w:rPr>
          <w:rFonts w:ascii="Times New Roman" w:hAnsi="Times New Roman"/>
          <w:b/>
          <w:bCs/>
          <w:i/>
          <w:iCs/>
        </w:rPr>
        <w:t>Ανώμαλη παρακαταθήκη</w:t>
      </w:r>
    </w:p>
    <w:p w:rsidRPr="00F63021" w:rsidR="007E18C3" w:rsidP="00F63021" w:rsidRDefault="007E18C3">
      <w:pPr>
        <w:pStyle w:val="NormalWeb"/>
        <w:spacing w:before="0" w:beforeAutospacing="0" w:after="0" w:afterAutospacing="0"/>
        <w:jc w:val="both"/>
        <w:rPr>
          <w:rFonts w:ascii="Times New Roman" w:hAnsi="Times New Roman"/>
        </w:rPr>
      </w:pPr>
    </w:p>
    <w:p w:rsidRPr="00F63021" w:rsidR="007E18C3" w:rsidP="00F63021" w:rsidRDefault="00EA5899">
      <w:pPr>
        <w:pStyle w:val="NormalWeb"/>
        <w:spacing w:before="0" w:beforeAutospacing="0" w:after="0" w:afterAutospacing="0"/>
        <w:jc w:val="both"/>
        <w:rPr>
          <w:rFonts w:ascii="Times New Roman" w:hAnsi="Times New Roman"/>
        </w:rPr>
      </w:pPr>
      <w:r w:rsidRPr="00F63021">
        <w:rPr>
          <w:rFonts w:ascii="Times New Roman" w:hAnsi="Times New Roman"/>
        </w:rPr>
        <w:t>Η κατάθεση χρημάτων ή άλλων αντικαταστατών πραγμάτων, σε περίπτωση αμφιβολίας λογίζεται ως δάνειο, αν ο θεματοφύλακας έχει την εξουσία να τα χρησιμοποιεί. Σχετικά όμως με το χρόνο και τον τόπο της απόδοσης ισχύουν, σε περίπτωση αμφιβολίας, οι διατάξεις για την παρακαταθήκη.</w:t>
      </w:r>
      <w:r w:rsidRPr="00F63021" w:rsidR="007E18C3">
        <w:rPr>
          <w:rFonts w:ascii="Times New Roman" w:hAnsi="Times New Roman"/>
        </w:rPr>
        <w:t xml:space="preserve"> (</w:t>
      </w:r>
      <w:r w:rsidRPr="00F63021" w:rsidR="00F63021">
        <w:rPr>
          <w:rFonts w:ascii="Times New Roman" w:hAnsi="Times New Roman"/>
        </w:rPr>
        <w:t>...</w:t>
      </w:r>
      <w:r w:rsidRPr="00F63021" w:rsidR="007E18C3">
        <w:rPr>
          <w:rFonts w:ascii="Times New Roman" w:hAnsi="Times New Roman"/>
        </w:rPr>
        <w:t>)»</w:t>
      </w:r>
    </w:p>
    <w:p w:rsidRPr="00F63021" w:rsidR="007E18C3" w:rsidP="00F63021" w:rsidRDefault="007E18C3">
      <w:pPr>
        <w:pStyle w:val="NormalWeb"/>
        <w:spacing w:before="0" w:beforeAutospacing="0" w:after="120" w:afterAutospacing="0"/>
        <w:jc w:val="both"/>
        <w:rPr>
          <w:rFonts w:ascii="Times New Roman" w:hAnsi="Times New Roman"/>
        </w:rPr>
      </w:pPr>
    </w:p>
    <w:p w:rsidRPr="00F63021" w:rsidR="00F63021" w:rsidP="00F63021" w:rsidRDefault="007E18C3">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Με την έκφραση «ανώμαλη παρακαταθήκη» περιγράφεται η </w:t>
      </w:r>
      <w:r w:rsidRPr="00F63021" w:rsidR="00972241">
        <w:rPr>
          <w:rFonts w:ascii="Times New Roman" w:hAnsi="Times New Roman"/>
        </w:rPr>
        <w:t xml:space="preserve">μετά από συμφωνία των μερών </w:t>
      </w:r>
      <w:r w:rsidRPr="00F63021">
        <w:rPr>
          <w:rFonts w:ascii="Times New Roman" w:hAnsi="Times New Roman"/>
        </w:rPr>
        <w:t>κατάθεση</w:t>
      </w:r>
      <w:r w:rsidRPr="00F63021" w:rsidR="00972241">
        <w:rPr>
          <w:rFonts w:ascii="Times New Roman" w:hAnsi="Times New Roman"/>
        </w:rPr>
        <w:t xml:space="preserve"> προς φύλαξη από τον ένα συμβαλλόμενο στον άλλο</w:t>
      </w:r>
      <w:r w:rsidRPr="00F63021">
        <w:rPr>
          <w:rFonts w:ascii="Times New Roman" w:hAnsi="Times New Roman"/>
        </w:rPr>
        <w:t xml:space="preserve"> χρημάτων ή άλλων αντικαταστατών πραγμάτων όταν </w:t>
      </w:r>
      <w:r w:rsidRPr="00F63021" w:rsidR="00972241">
        <w:rPr>
          <w:rFonts w:ascii="Times New Roman" w:hAnsi="Times New Roman"/>
        </w:rPr>
        <w:t>αυτός ο συμβαλλόμενος</w:t>
      </w:r>
      <w:r w:rsidRPr="00F63021">
        <w:rPr>
          <w:rFonts w:ascii="Times New Roman" w:hAnsi="Times New Roman"/>
        </w:rPr>
        <w:t xml:space="preserve"> έχει την εξουσία </w:t>
      </w:r>
      <w:r w:rsidRPr="00F63021" w:rsidR="00972241">
        <w:rPr>
          <w:rFonts w:ascii="Times New Roman" w:hAnsi="Times New Roman"/>
        </w:rPr>
        <w:t>χρησιμοποιήσεώς τους</w:t>
      </w:r>
      <w:r w:rsidRPr="00F63021">
        <w:rPr>
          <w:rFonts w:ascii="Times New Roman" w:hAnsi="Times New Roman"/>
        </w:rPr>
        <w:t xml:space="preserve">. </w:t>
      </w:r>
      <w:r w:rsidRPr="00F63021" w:rsidR="00C80D26">
        <w:rPr>
          <w:rFonts w:ascii="Times New Roman" w:hAnsi="Times New Roman"/>
        </w:rPr>
        <w:t xml:space="preserve">Σύμφωνα με την </w:t>
      </w:r>
      <w:r w:rsidRPr="00F63021" w:rsidR="00F104CF">
        <w:rPr>
          <w:rFonts w:ascii="Times New Roman" w:hAnsi="Times New Roman"/>
        </w:rPr>
        <w:t xml:space="preserve">πάγια θέση της </w:t>
      </w:r>
      <w:r w:rsidRPr="00F63021" w:rsidR="00C80D26">
        <w:rPr>
          <w:rFonts w:ascii="Times New Roman" w:hAnsi="Times New Roman"/>
        </w:rPr>
        <w:t>θεωρία</w:t>
      </w:r>
      <w:r w:rsidRPr="00F63021" w:rsidR="00F104CF">
        <w:rPr>
          <w:rFonts w:ascii="Times New Roman" w:hAnsi="Times New Roman"/>
        </w:rPr>
        <w:t>ς</w:t>
      </w:r>
      <w:r w:rsidRPr="00F63021" w:rsidR="00C80D26">
        <w:rPr>
          <w:rFonts w:ascii="Times New Roman" w:hAnsi="Times New Roman"/>
        </w:rPr>
        <w:t xml:space="preserve"> και </w:t>
      </w:r>
      <w:r w:rsidRPr="00F63021" w:rsidR="00F104CF">
        <w:rPr>
          <w:rFonts w:ascii="Times New Roman" w:hAnsi="Times New Roman"/>
        </w:rPr>
        <w:t>της</w:t>
      </w:r>
      <w:r w:rsidRPr="00F63021" w:rsidR="00C80D26">
        <w:rPr>
          <w:rFonts w:ascii="Times New Roman" w:hAnsi="Times New Roman"/>
        </w:rPr>
        <w:t xml:space="preserve"> νομολογία</w:t>
      </w:r>
      <w:r w:rsidRPr="00F63021" w:rsidR="00F104CF">
        <w:rPr>
          <w:rFonts w:ascii="Times New Roman" w:hAnsi="Times New Roman"/>
        </w:rPr>
        <w:t>ς</w:t>
      </w:r>
      <w:r w:rsidRPr="00F63021" w:rsidR="00C80D26">
        <w:rPr>
          <w:rFonts w:ascii="Times New Roman" w:hAnsi="Times New Roman"/>
        </w:rPr>
        <w:t>, η κατάθεση χρημάτων σε μία τράπεζα με το σύνηθες επιτόκιο και την δυνατότητα άμεσης ανάληψης του κατατιθέμενου ποσού έχει τον χαρακτήρα της σύμβασης της ανώμαλης παρακαταθήκης.</w:t>
      </w:r>
    </w:p>
    <w:p w:rsidRPr="00F63021" w:rsidR="00F63021" w:rsidP="00F63021" w:rsidRDefault="00C80D26">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Σύμφωνα με το άρθρο 260 του Αστικού Κώδικα, η παραγραφή διακόπτεται όταν ο υπόχρεος αναγνωρίσει την αξίωση με οποιοδήποτε τρόπο . Γίνεται γενικώς δεκτό ότι για να υπάρξει τέτοια αναγνώριση, αρκεί μια πράξη ή μια συμπεριφορά που αποδεικνύει καθαρά ότι ο οφειλέτης αναγνωρίζει την υποχρέωσή του καθώς και την αξίωση του δανειστή. Μια τέτοια αναγνώριση </w:t>
      </w:r>
      <w:r w:rsidRPr="00F63021" w:rsidR="00BF48F7">
        <w:rPr>
          <w:rFonts w:ascii="Times New Roman" w:hAnsi="Times New Roman"/>
        </w:rPr>
        <w:t xml:space="preserve">μπορεί να είναι η μερική </w:t>
      </w:r>
      <w:r w:rsidRPr="00F63021" w:rsidR="00F104CF">
        <w:rPr>
          <w:rFonts w:ascii="Times New Roman" w:hAnsi="Times New Roman"/>
        </w:rPr>
        <w:t>καταβολή</w:t>
      </w:r>
      <w:r w:rsidRPr="00F63021" w:rsidR="00BF48F7">
        <w:rPr>
          <w:rFonts w:ascii="Times New Roman" w:hAnsi="Times New Roman"/>
        </w:rPr>
        <w:t xml:space="preserve"> της οφειλής, η </w:t>
      </w:r>
      <w:r w:rsidRPr="00F63021" w:rsidR="00F104CF">
        <w:rPr>
          <w:rFonts w:ascii="Times New Roman" w:hAnsi="Times New Roman"/>
        </w:rPr>
        <w:t>πληρωμή</w:t>
      </w:r>
      <w:r w:rsidRPr="00F63021" w:rsidR="00BF48F7">
        <w:rPr>
          <w:rFonts w:ascii="Times New Roman" w:hAnsi="Times New Roman"/>
        </w:rPr>
        <w:t xml:space="preserve"> τόκων, η </w:t>
      </w:r>
      <w:r w:rsidRPr="00F63021" w:rsidR="00F104CF">
        <w:rPr>
          <w:rFonts w:ascii="Times New Roman" w:hAnsi="Times New Roman"/>
        </w:rPr>
        <w:t xml:space="preserve">παροχή </w:t>
      </w:r>
      <w:r w:rsidRPr="00F63021" w:rsidR="00BF48F7">
        <w:rPr>
          <w:rFonts w:ascii="Times New Roman" w:hAnsi="Times New Roman"/>
        </w:rPr>
        <w:t xml:space="preserve">ασφάλειας, η αίτηση προθεσμίας ή </w:t>
      </w:r>
      <w:r w:rsidRPr="00F63021" w:rsidR="00972241">
        <w:rPr>
          <w:rFonts w:ascii="Times New Roman" w:hAnsi="Times New Roman"/>
        </w:rPr>
        <w:t>απαλλαγής</w:t>
      </w:r>
      <w:r w:rsidRPr="00F63021" w:rsidR="00BF48F7">
        <w:rPr>
          <w:rFonts w:ascii="Times New Roman" w:hAnsi="Times New Roman"/>
        </w:rPr>
        <w:t xml:space="preserve"> </w:t>
      </w:r>
      <w:r w:rsidRPr="00F63021" w:rsidR="00F104CF">
        <w:rPr>
          <w:rFonts w:ascii="Times New Roman" w:hAnsi="Times New Roman"/>
        </w:rPr>
        <w:t xml:space="preserve">από το χρέος </w:t>
      </w:r>
      <w:r w:rsidRPr="00F63021" w:rsidR="00BF48F7">
        <w:rPr>
          <w:rFonts w:ascii="Times New Roman" w:hAnsi="Times New Roman"/>
        </w:rPr>
        <w:t>(Γεωργιάδη-</w:t>
      </w:r>
      <w:proofErr w:type="spellStart"/>
      <w:r w:rsidRPr="00F63021" w:rsidR="00BF48F7">
        <w:rPr>
          <w:rFonts w:ascii="Times New Roman" w:hAnsi="Times New Roman"/>
        </w:rPr>
        <w:t>Σταθόπουλ</w:t>
      </w:r>
      <w:proofErr w:type="spellEnd"/>
      <w:r w:rsidRPr="00F63021" w:rsidR="00BF48F7">
        <w:rPr>
          <w:rFonts w:ascii="Times New Roman" w:hAnsi="Times New Roman"/>
        </w:rPr>
        <w:t>ο, Αστικός Κώδικας Ερμηνεία κατ</w:t>
      </w:r>
      <w:r w:rsidRPr="00F63021" w:rsidR="00F63021">
        <w:rPr>
          <w:rFonts w:ascii="Times New Roman" w:hAnsi="Times New Roman"/>
        </w:rPr>
        <w:t>’</w:t>
      </w:r>
      <w:r w:rsidRPr="00F63021" w:rsidR="00BF48F7">
        <w:rPr>
          <w:rFonts w:ascii="Times New Roman" w:hAnsi="Times New Roman"/>
        </w:rPr>
        <w:t xml:space="preserve"> άρθρο, σελ. 461).</w:t>
      </w:r>
    </w:p>
    <w:p w:rsidRPr="00F63021" w:rsidR="00BF48F7" w:rsidP="00F63021" w:rsidRDefault="00BF48F7">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Για να επιφέρει διακοπή της παραγραφής η πράξη αναγνώρισης του οφειλέτη (άρθρο 260 ΑΚ) πρέπει να απευθυνθεί και να περιέλθει στον δανειστή (απόφαση υπ</w:t>
      </w:r>
      <w:r w:rsidRPr="00F63021" w:rsidR="00F63021">
        <w:rPr>
          <w:rFonts w:ascii="Times New Roman" w:hAnsi="Times New Roman"/>
        </w:rPr>
        <w:t>’</w:t>
      </w:r>
      <w:r w:rsidRPr="00F63021">
        <w:rPr>
          <w:rFonts w:ascii="Times New Roman" w:hAnsi="Times New Roman"/>
        </w:rPr>
        <w:t xml:space="preserve"> αρ. 1178/1976 ΑΠ, </w:t>
      </w:r>
      <w:r w:rsidRPr="00F63021">
        <w:rPr>
          <w:rFonts w:ascii="Times New Roman" w:hAnsi="Times New Roman"/>
          <w:i/>
        </w:rPr>
        <w:t xml:space="preserve">Νομικό Βήμα </w:t>
      </w:r>
      <w:r w:rsidRPr="00F63021">
        <w:rPr>
          <w:rFonts w:ascii="Times New Roman" w:hAnsi="Times New Roman"/>
        </w:rPr>
        <w:t xml:space="preserve">25/710). </w:t>
      </w:r>
      <w:r w:rsidRPr="00F63021" w:rsidR="002A4AF7">
        <w:rPr>
          <w:rFonts w:ascii="Times New Roman" w:hAnsi="Times New Roman"/>
        </w:rPr>
        <w:t xml:space="preserve">Μόνον το γεγονός ότι ο οφειλέτης </w:t>
      </w:r>
      <w:r w:rsidRPr="00F63021" w:rsidR="004B13F4">
        <w:rPr>
          <w:rFonts w:ascii="Times New Roman" w:hAnsi="Times New Roman"/>
        </w:rPr>
        <w:t>καταχωρεί</w:t>
      </w:r>
      <w:r w:rsidRPr="00F63021" w:rsidR="00F63021">
        <w:rPr>
          <w:rFonts w:ascii="Times New Roman" w:hAnsi="Times New Roman"/>
        </w:rPr>
        <w:t xml:space="preserve"> </w:t>
      </w:r>
      <w:r w:rsidRPr="00F63021" w:rsidR="004B13F4">
        <w:rPr>
          <w:rFonts w:ascii="Times New Roman" w:hAnsi="Times New Roman"/>
        </w:rPr>
        <w:t>το χρέος στα</w:t>
      </w:r>
      <w:r w:rsidRPr="00F63021" w:rsidR="002A4AF7">
        <w:rPr>
          <w:rFonts w:ascii="Times New Roman" w:hAnsi="Times New Roman"/>
        </w:rPr>
        <w:t xml:space="preserve"> βιβλία </w:t>
      </w:r>
      <w:r w:rsidRPr="00F63021" w:rsidR="004B13F4">
        <w:rPr>
          <w:rFonts w:ascii="Times New Roman" w:hAnsi="Times New Roman"/>
        </w:rPr>
        <w:t xml:space="preserve">του </w:t>
      </w:r>
      <w:r w:rsidRPr="00F63021" w:rsidR="002A4AF7">
        <w:rPr>
          <w:rFonts w:ascii="Times New Roman" w:hAnsi="Times New Roman"/>
        </w:rPr>
        <w:t xml:space="preserve">δεν αποτελεί αναγνώρισης της αξίωσης υπό την έννοια του άρθρου 260 και δεν μπορεί επομένως να διακόψει την παραγραφή (απόφαση </w:t>
      </w:r>
      <w:proofErr w:type="spellStart"/>
      <w:r w:rsidRPr="00F63021" w:rsidR="002A4AF7">
        <w:rPr>
          <w:rFonts w:ascii="Times New Roman" w:hAnsi="Times New Roman"/>
        </w:rPr>
        <w:t>υπ</w:t>
      </w:r>
      <w:r w:rsidRPr="00F63021" w:rsidR="00F63021">
        <w:rPr>
          <w:rFonts w:ascii="Times New Roman" w:hAnsi="Times New Roman"/>
        </w:rPr>
        <w:t>’</w:t>
      </w:r>
      <w:r w:rsidRPr="00F63021" w:rsidR="002A4AF7">
        <w:rPr>
          <w:rFonts w:ascii="Times New Roman" w:hAnsi="Times New Roman"/>
        </w:rPr>
        <w:t>αρ</w:t>
      </w:r>
      <w:proofErr w:type="spellEnd"/>
      <w:r w:rsidRPr="00F63021" w:rsidR="002A4AF7">
        <w:rPr>
          <w:rFonts w:ascii="Times New Roman" w:hAnsi="Times New Roman"/>
        </w:rPr>
        <w:t xml:space="preserve">. 924/1977 ΑΠ, </w:t>
      </w:r>
      <w:r w:rsidRPr="00F63021" w:rsidR="002A4AF7">
        <w:rPr>
          <w:rFonts w:ascii="Times New Roman" w:hAnsi="Times New Roman"/>
          <w:i/>
        </w:rPr>
        <w:t>Νομικό Βήμα 26/726</w:t>
      </w:r>
      <w:r w:rsidRPr="00F63021" w:rsidR="002A4AF7">
        <w:rPr>
          <w:rFonts w:ascii="Times New Roman" w:hAnsi="Times New Roman"/>
        </w:rPr>
        <w:t>).</w:t>
      </w:r>
    </w:p>
    <w:p w:rsidRPr="00F63021" w:rsidR="00F63021" w:rsidP="00F63021" w:rsidRDefault="002A4AF7">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Όσον αφορά την παραγραφή των αξιώσεων των δικαιούχων ενός λογαριασμού </w:t>
      </w:r>
      <w:r w:rsidRPr="00F63021" w:rsidR="004B13F4">
        <w:rPr>
          <w:rFonts w:ascii="Times New Roman" w:hAnsi="Times New Roman"/>
        </w:rPr>
        <w:t>από</w:t>
      </w:r>
      <w:r w:rsidRPr="00F63021">
        <w:rPr>
          <w:rFonts w:ascii="Times New Roman" w:hAnsi="Times New Roman"/>
        </w:rPr>
        <w:t xml:space="preserve"> </w:t>
      </w:r>
      <w:r w:rsidRPr="00F63021" w:rsidR="004B13F4">
        <w:rPr>
          <w:rFonts w:ascii="Times New Roman" w:hAnsi="Times New Roman"/>
        </w:rPr>
        <w:t>τον</w:t>
      </w:r>
      <w:r w:rsidRPr="00F63021">
        <w:rPr>
          <w:rFonts w:ascii="Times New Roman" w:hAnsi="Times New Roman"/>
        </w:rPr>
        <w:t xml:space="preserve"> λογαριασμ</w:t>
      </w:r>
      <w:r w:rsidRPr="00F63021" w:rsidR="004B13F4">
        <w:rPr>
          <w:rFonts w:ascii="Times New Roman" w:hAnsi="Times New Roman"/>
        </w:rPr>
        <w:t>ό</w:t>
      </w:r>
      <w:r w:rsidRPr="00F63021">
        <w:rPr>
          <w:rFonts w:ascii="Times New Roman" w:hAnsi="Times New Roman"/>
        </w:rPr>
        <w:t xml:space="preserve"> αυτ</w:t>
      </w:r>
      <w:r w:rsidRPr="00F63021" w:rsidR="004B13F4">
        <w:rPr>
          <w:rFonts w:ascii="Times New Roman" w:hAnsi="Times New Roman"/>
        </w:rPr>
        <w:t>ό</w:t>
      </w:r>
      <w:r w:rsidRPr="00F63021">
        <w:rPr>
          <w:rFonts w:ascii="Times New Roman" w:hAnsi="Times New Roman"/>
        </w:rPr>
        <w:t>, γίνεται δεκτό ότι αυτή διακόπτεται με κάθε νέα κατάθεση ή ανάληψ</w:t>
      </w:r>
      <w:r w:rsidRPr="00F63021" w:rsidR="004B13F4">
        <w:rPr>
          <w:rFonts w:ascii="Times New Roman" w:hAnsi="Times New Roman"/>
        </w:rPr>
        <w:t xml:space="preserve">η ή με κάθε πράξη που επιφέρει μεταβολή </w:t>
      </w:r>
      <w:r w:rsidRPr="00F63021">
        <w:rPr>
          <w:rFonts w:ascii="Times New Roman" w:hAnsi="Times New Roman"/>
        </w:rPr>
        <w:t xml:space="preserve">του λογαριασμού. Η παραγραφή δεν διακόπτεται με </w:t>
      </w:r>
      <w:r w:rsidRPr="00F63021" w:rsidR="004B13F4">
        <w:rPr>
          <w:rFonts w:ascii="Times New Roman" w:hAnsi="Times New Roman"/>
        </w:rPr>
        <w:t>τη γένεση των τόκων της κατάθεσης</w:t>
      </w:r>
      <w:r w:rsidRPr="00F63021" w:rsidR="001D0139">
        <w:rPr>
          <w:rFonts w:ascii="Times New Roman" w:hAnsi="Times New Roman"/>
        </w:rPr>
        <w:t xml:space="preserve">, ακόμα και αν αυτοί μετατρέπονται σε κεφάλαιο, ούτε από την ενημέρωση </w:t>
      </w:r>
      <w:r w:rsidRPr="00F63021" w:rsidR="004B13F4">
        <w:rPr>
          <w:rFonts w:ascii="Times New Roman" w:hAnsi="Times New Roman"/>
        </w:rPr>
        <w:t>της καρτέλας</w:t>
      </w:r>
      <w:r w:rsidRPr="00F63021" w:rsidR="001D0139">
        <w:rPr>
          <w:rFonts w:ascii="Times New Roman" w:hAnsi="Times New Roman"/>
        </w:rPr>
        <w:t xml:space="preserve"> του δικαιούχου του λογαριασμού που γίνεται κάθε έξι μήνες (αποφάσεις υπ</w:t>
      </w:r>
      <w:r w:rsidRPr="00F63021" w:rsidR="00F63021">
        <w:rPr>
          <w:rFonts w:ascii="Times New Roman" w:hAnsi="Times New Roman"/>
        </w:rPr>
        <w:t>’</w:t>
      </w:r>
      <w:r w:rsidRPr="00F63021" w:rsidR="001D0139">
        <w:rPr>
          <w:rFonts w:ascii="Times New Roman" w:hAnsi="Times New Roman"/>
        </w:rPr>
        <w:t xml:space="preserve"> αρ. 739/2004 και 50/2009 ΑΠ).</w:t>
      </w:r>
    </w:p>
    <w:p w:rsidRPr="00F63021" w:rsidR="001D0139" w:rsidP="00F63021" w:rsidRDefault="001D0139">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Με την Πράξη αρ. 2501 της 31</w:t>
      </w:r>
      <w:r w:rsidRPr="00F63021">
        <w:rPr>
          <w:rFonts w:ascii="Times New Roman" w:hAnsi="Times New Roman"/>
          <w:vertAlign w:val="superscript"/>
        </w:rPr>
        <w:t>ης</w:t>
      </w:r>
      <w:r w:rsidRPr="00F63021">
        <w:rPr>
          <w:rFonts w:ascii="Times New Roman" w:hAnsi="Times New Roman"/>
        </w:rPr>
        <w:t xml:space="preserve"> Οκτωβρίου 2002, ο Διοικητής της Τράπεζας της Ελλάδος διευκρίνιζε τα εξής:</w:t>
      </w:r>
    </w:p>
    <w:p w:rsidRPr="00F63021" w:rsidR="004300B9" w:rsidP="00F63021" w:rsidRDefault="00831945">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w:t>
      </w:r>
      <w:r w:rsidRPr="00F63021" w:rsidR="004300B9">
        <w:rPr>
          <w:rFonts w:ascii="Times New Roman" w:hAnsi="Times New Roman"/>
          <w:sz w:val="20"/>
          <w:szCs w:val="20"/>
        </w:rPr>
        <w:t xml:space="preserve">Τα πιστωτικά ιδρύματα οφείλουν να παρέχουν </w:t>
      </w:r>
      <w:proofErr w:type="spellStart"/>
      <w:r w:rsidRPr="00F63021" w:rsidR="004300B9">
        <w:rPr>
          <w:rFonts w:ascii="Times New Roman" w:hAnsi="Times New Roman"/>
          <w:sz w:val="20"/>
          <w:szCs w:val="20"/>
        </w:rPr>
        <w:t>κατ</w:t>
      </w:r>
      <w:r w:rsidRPr="00F63021" w:rsidR="00F63021">
        <w:rPr>
          <w:rFonts w:ascii="Times New Roman" w:hAnsi="Times New Roman"/>
          <w:sz w:val="20"/>
          <w:szCs w:val="20"/>
        </w:rPr>
        <w:t>’</w:t>
      </w:r>
      <w:r w:rsidRPr="00F63021" w:rsidR="004300B9">
        <w:rPr>
          <w:rFonts w:ascii="Times New Roman" w:hAnsi="Times New Roman"/>
          <w:sz w:val="20"/>
          <w:szCs w:val="20"/>
        </w:rPr>
        <w:t>ελάχιστον</w:t>
      </w:r>
      <w:proofErr w:type="spellEnd"/>
      <w:r w:rsidRPr="00F63021" w:rsidR="004300B9">
        <w:rPr>
          <w:rFonts w:ascii="Times New Roman" w:hAnsi="Times New Roman"/>
          <w:sz w:val="20"/>
          <w:szCs w:val="20"/>
        </w:rPr>
        <w:t xml:space="preserve"> τα ακόλουθα στοιχεία και πληροφορίες:</w:t>
      </w:r>
    </w:p>
    <w:p w:rsidRPr="00F63021" w:rsidR="004300B9" w:rsidP="00F63021" w:rsidRDefault="004300B9">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1.</w:t>
      </w:r>
      <w:r w:rsidRPr="00F63021">
        <w:rPr>
          <w:rFonts w:ascii="Times New Roman" w:hAnsi="Times New Roman"/>
          <w:sz w:val="20"/>
          <w:szCs w:val="20"/>
        </w:rPr>
        <w:tab/>
        <w:t>Γενικοί Όροι</w:t>
      </w:r>
    </w:p>
    <w:p w:rsidRPr="00F63021" w:rsidR="00831945" w:rsidP="00F63021" w:rsidRDefault="00831945">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w:t>
      </w:r>
      <w:r w:rsidRPr="00F63021" w:rsidR="00F63021">
        <w:rPr>
          <w:rFonts w:ascii="Times New Roman" w:hAnsi="Times New Roman"/>
          <w:sz w:val="20"/>
          <w:szCs w:val="20"/>
        </w:rPr>
        <w:t>...</w:t>
      </w:r>
      <w:r w:rsidRPr="00F63021">
        <w:rPr>
          <w:rFonts w:ascii="Times New Roman" w:hAnsi="Times New Roman"/>
          <w:sz w:val="20"/>
          <w:szCs w:val="20"/>
        </w:rPr>
        <w:t>)</w:t>
      </w:r>
    </w:p>
    <w:p w:rsidRPr="00F63021" w:rsidR="00831945" w:rsidP="00F63021" w:rsidRDefault="00831945">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γ) οφείλουν να γνωστοποιούν στους συναλλασσομένους πριν από τη σύναψη σύμβασης, όλους τους όρους που διέπουν τη μεταξύ τους σχέση, και να τους παρέχουν πλήρες αντίγραφο μετά την σύναψή της.</w:t>
      </w:r>
    </w:p>
    <w:p w:rsidRPr="00F63021" w:rsidR="00831945" w:rsidP="00F63021" w:rsidRDefault="00831945">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w:t>
      </w:r>
    </w:p>
    <w:p w:rsidRPr="00F63021" w:rsidR="00831945" w:rsidP="00F63021" w:rsidRDefault="00831945">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 xml:space="preserve">ε) στην περίπτωση μονομερούς τροποποίησης των όρων των συμβάσεων, όπου αυτή επιτρέπεται, γνωστοποιούν στους αντισυμβαλλόμενους τις σχετικές μεταβολές των αρχικών όρων είτε με γενική είτε με εξατομικευμένη ενημέρωση, και προαναγγέλλουν </w:t>
      </w:r>
      <w:r w:rsidRPr="00F63021" w:rsidR="003D2BC3">
        <w:rPr>
          <w:rFonts w:ascii="Times New Roman" w:hAnsi="Times New Roman"/>
          <w:sz w:val="20"/>
          <w:szCs w:val="20"/>
        </w:rPr>
        <w:t>και στις δύο περιπτώσεις την ημερομηνία έναρξης εφαρμογής των νέων όρων.</w:t>
      </w:r>
    </w:p>
    <w:p w:rsidRPr="00F63021" w:rsidR="003D2BC3" w:rsidP="00F63021" w:rsidRDefault="003D2BC3">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w:t>
      </w:r>
      <w:r w:rsidRPr="00F63021" w:rsidR="00F63021">
        <w:rPr>
          <w:rFonts w:ascii="Times New Roman" w:hAnsi="Times New Roman"/>
          <w:sz w:val="20"/>
          <w:szCs w:val="20"/>
        </w:rPr>
        <w:t>...</w:t>
      </w:r>
      <w:r w:rsidRPr="00F63021">
        <w:rPr>
          <w:rFonts w:ascii="Times New Roman" w:hAnsi="Times New Roman"/>
          <w:sz w:val="20"/>
          <w:szCs w:val="20"/>
        </w:rPr>
        <w:t>)</w:t>
      </w:r>
    </w:p>
    <w:p w:rsidRPr="00F63021" w:rsidR="004B13F4" w:rsidP="00F63021" w:rsidRDefault="004B13F4">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2.</w:t>
      </w:r>
      <w:r w:rsidRPr="00F63021">
        <w:rPr>
          <w:rFonts w:ascii="Times New Roman" w:hAnsi="Times New Roman"/>
          <w:sz w:val="20"/>
          <w:szCs w:val="20"/>
        </w:rPr>
        <w:tab/>
        <w:t>Περιοδική ενημέρωση</w:t>
      </w:r>
    </w:p>
    <w:p w:rsidRPr="00F63021" w:rsidR="00F63021" w:rsidP="00F63021" w:rsidRDefault="000943E5">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α</w:t>
      </w:r>
      <w:r w:rsidRPr="00F63021" w:rsidR="004B13F4">
        <w:rPr>
          <w:rFonts w:ascii="Times New Roman" w:hAnsi="Times New Roman"/>
          <w:sz w:val="20"/>
          <w:szCs w:val="20"/>
        </w:rPr>
        <w:t xml:space="preserve">) </w:t>
      </w:r>
      <w:r w:rsidRPr="00F63021">
        <w:rPr>
          <w:rFonts w:ascii="Times New Roman" w:hAnsi="Times New Roman"/>
          <w:sz w:val="20"/>
          <w:szCs w:val="20"/>
        </w:rPr>
        <w:tab/>
      </w:r>
      <w:r w:rsidRPr="00F63021" w:rsidR="004B13F4">
        <w:rPr>
          <w:rFonts w:ascii="Times New Roman" w:hAnsi="Times New Roman"/>
          <w:sz w:val="20"/>
          <w:szCs w:val="20"/>
        </w:rPr>
        <w:t>Καταθέσεις:</w:t>
      </w:r>
      <w:r w:rsidRPr="00F63021">
        <w:rPr>
          <w:rFonts w:ascii="Times New Roman" w:hAnsi="Times New Roman"/>
          <w:sz w:val="20"/>
          <w:szCs w:val="20"/>
        </w:rPr>
        <w:t xml:space="preserve"> παρ</w:t>
      </w:r>
      <w:r w:rsidRPr="00F63021" w:rsidR="003D2BC3">
        <w:rPr>
          <w:rFonts w:ascii="Times New Roman" w:hAnsi="Times New Roman"/>
          <w:sz w:val="20"/>
          <w:szCs w:val="20"/>
        </w:rPr>
        <w:t>έχεται ενημέρωση τουλάχιστον κά</w:t>
      </w:r>
      <w:r w:rsidRPr="00F63021">
        <w:rPr>
          <w:rFonts w:ascii="Times New Roman" w:hAnsi="Times New Roman"/>
          <w:sz w:val="20"/>
          <w:szCs w:val="20"/>
        </w:rPr>
        <w:t xml:space="preserve">θε τρίμηνο για τα στοιχεία (α) και (στ) του Κεφ. Β </w:t>
      </w:r>
      <w:proofErr w:type="spellStart"/>
      <w:r w:rsidRPr="00F63021">
        <w:rPr>
          <w:rFonts w:ascii="Times New Roman" w:hAnsi="Times New Roman"/>
          <w:sz w:val="20"/>
          <w:szCs w:val="20"/>
        </w:rPr>
        <w:t>παραγρ</w:t>
      </w:r>
      <w:proofErr w:type="spellEnd"/>
      <w:r w:rsidRPr="00F63021">
        <w:rPr>
          <w:rFonts w:ascii="Times New Roman" w:hAnsi="Times New Roman"/>
          <w:sz w:val="20"/>
          <w:szCs w:val="20"/>
        </w:rPr>
        <w:t>. 1, καθώς και για το υπόλοιπο του λογαριασμού εκτός εάν δεν υπάρχει κίνηση του λογαριασμού, οπότε</w:t>
      </w:r>
      <w:r w:rsidRPr="00F63021" w:rsidR="003D2BC3">
        <w:rPr>
          <w:rFonts w:ascii="Times New Roman" w:hAnsi="Times New Roman"/>
          <w:sz w:val="20"/>
          <w:szCs w:val="20"/>
        </w:rPr>
        <w:t xml:space="preserve"> </w:t>
      </w:r>
      <w:r w:rsidRPr="00F63021">
        <w:rPr>
          <w:rFonts w:ascii="Times New Roman" w:hAnsi="Times New Roman"/>
          <w:sz w:val="20"/>
          <w:szCs w:val="20"/>
        </w:rPr>
        <w:t>η ενημέρωση παρέχεται ανά εξάμηνο.</w:t>
      </w:r>
    </w:p>
    <w:p w:rsidRPr="00F63021" w:rsidR="00F63021" w:rsidP="00F63021" w:rsidRDefault="000943E5">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ab/>
        <w:t>Στις καταθέσεις ταμιευτηρίου για τις οποίες χορηγείται βιβλιάριο, η ενημέρωση παρέχεται με την προσκόμιση του βιβλιαρίου.</w:t>
      </w:r>
    </w:p>
    <w:p w:rsidRPr="00F63021" w:rsidR="000943E5" w:rsidP="00F63021" w:rsidRDefault="000943E5">
      <w:pPr>
        <w:pStyle w:val="NormalWeb"/>
        <w:spacing w:before="0" w:beforeAutospacing="0" w:after="120" w:afterAutospacing="0" w:line="312" w:lineRule="auto"/>
        <w:jc w:val="both"/>
        <w:rPr>
          <w:rFonts w:ascii="Times New Roman" w:hAnsi="Times New Roman"/>
          <w:sz w:val="20"/>
          <w:szCs w:val="20"/>
        </w:rPr>
      </w:pPr>
      <w:r w:rsidRPr="00F63021">
        <w:rPr>
          <w:rFonts w:ascii="Times New Roman" w:hAnsi="Times New Roman"/>
          <w:sz w:val="20"/>
          <w:szCs w:val="20"/>
        </w:rPr>
        <w:t>(</w:t>
      </w:r>
      <w:r w:rsidRPr="00F63021" w:rsidR="00F63021">
        <w:rPr>
          <w:rFonts w:ascii="Times New Roman" w:hAnsi="Times New Roman"/>
          <w:sz w:val="20"/>
          <w:szCs w:val="20"/>
        </w:rPr>
        <w:t>...</w:t>
      </w:r>
      <w:r w:rsidRPr="00F63021">
        <w:rPr>
          <w:rFonts w:ascii="Times New Roman" w:hAnsi="Times New Roman"/>
          <w:sz w:val="20"/>
          <w:szCs w:val="20"/>
        </w:rPr>
        <w:t>)»</w:t>
      </w:r>
    </w:p>
    <w:p w:rsidRPr="00F63021" w:rsidR="00F63021" w:rsidP="00F63021" w:rsidRDefault="007D1446">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Στην ίδια λογική, ο Άρειος Πάγος έκρινε ότι μια Τράπεζα δεν έχει την υποχρέωση να προειδοποιήσει τον ενδιαφερόμενο πριν την εκπνοή </w:t>
      </w:r>
      <w:r w:rsidRPr="00F63021" w:rsidR="002938B1">
        <w:rPr>
          <w:rFonts w:ascii="Times New Roman" w:hAnsi="Times New Roman"/>
        </w:rPr>
        <w:t xml:space="preserve">της προθεσμίας </w:t>
      </w:r>
      <w:r w:rsidRPr="00F63021">
        <w:rPr>
          <w:rFonts w:ascii="Times New Roman" w:hAnsi="Times New Roman"/>
        </w:rPr>
        <w:t>παραγραφής. Καθώς ένα βιβλιάριο παραδίδεται στον ενδιαφερόμενο από την Τράπεζα, εναπόκειται σε αυτόν να το κρατά ενημερωμένο, και το βιβλιάριο αυτό αποτελεί την απόδειξη της κατάθεσης του ποσού στον λογαριασμό του και της ύπαρξης κινήσεων στον λογαριασμό (αποφάσεις ΑΠ 432/1990 και 1623/1995).</w:t>
      </w:r>
    </w:p>
    <w:p w:rsidRPr="00F63021" w:rsidR="00BA5C44" w:rsidP="00F63021" w:rsidRDefault="00BA5C44">
      <w:pPr>
        <w:pStyle w:val="NormalWeb"/>
        <w:spacing w:before="0" w:beforeAutospacing="0" w:after="120" w:afterAutospacing="0" w:line="312" w:lineRule="auto"/>
        <w:jc w:val="both"/>
        <w:rPr>
          <w:rFonts w:ascii="Times New Roman" w:hAnsi="Times New Roman"/>
        </w:rPr>
      </w:pPr>
      <w:r w:rsidRPr="00F63021">
        <w:rPr>
          <w:rFonts w:ascii="Times New Roman" w:hAnsi="Times New Roman"/>
        </w:rPr>
        <w:t>ΩΣ ΠΡΟΣ ΤΟ ΔΙΚΑΙΟ</w:t>
      </w:r>
    </w:p>
    <w:p w:rsidRPr="00F63021" w:rsidR="00BA5C44" w:rsidP="00F63021" w:rsidRDefault="00BA5C44">
      <w:pPr>
        <w:pStyle w:val="NormalWeb"/>
        <w:spacing w:before="0" w:beforeAutospacing="0" w:after="120" w:afterAutospacing="0" w:line="312" w:lineRule="auto"/>
        <w:jc w:val="both"/>
        <w:rPr>
          <w:rFonts w:ascii="Times New Roman" w:hAnsi="Times New Roman"/>
        </w:rPr>
      </w:pPr>
      <w:r w:rsidRPr="00F63021">
        <w:rPr>
          <w:rFonts w:ascii="Times New Roman" w:hAnsi="Times New Roman"/>
        </w:rPr>
        <w:t>Ι.</w:t>
      </w:r>
      <w:r w:rsidRPr="00F63021">
        <w:rPr>
          <w:rFonts w:ascii="Times New Roman" w:hAnsi="Times New Roman"/>
        </w:rPr>
        <w:tab/>
        <w:t>ΓΕΝΙΚΗ ΠΑΡΑΤΗΡΗΣΗ</w:t>
      </w:r>
    </w:p>
    <w:p w:rsidRPr="00F63021" w:rsidR="00F63021" w:rsidP="00F63021" w:rsidRDefault="00BA5C44">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Το Δικαστήριο πρέπει πρώτα να επιλύσει το αν ο κος Παναγιώτης Ζολώτας έχει δικαίωμα να διατηρήσει την προσφυγή που εισήχθη αρχικά από τον προσφεύγοντα, ο οποίος απεβίωσε τον Φεβρουάριο του 2011.</w:t>
      </w:r>
    </w:p>
    <w:p w:rsidRPr="00F63021" w:rsidR="000F4CA9" w:rsidP="00F63021" w:rsidRDefault="000F4CA9">
      <w:pPr>
        <w:numPr>
          <w:ilvl w:val="0"/>
          <w:numId w:val="7"/>
        </w:numPr>
        <w:spacing w:line="312" w:lineRule="auto"/>
        <w:ind w:left="0" w:hanging="11"/>
        <w:jc w:val="both"/>
        <w:rPr>
          <w:rFonts w:ascii="Times New Roman" w:hAnsi="Times New Roman"/>
          <w:sz w:val="24"/>
          <w:szCs w:val="24"/>
        </w:rPr>
      </w:pPr>
      <w:r w:rsidRPr="00F63021">
        <w:rPr>
          <w:rFonts w:ascii="Times New Roman" w:hAnsi="Times New Roman"/>
          <w:sz w:val="24"/>
          <w:szCs w:val="24"/>
        </w:rPr>
        <w:t xml:space="preserve">Το Δικαστήριο υπενθυμίζει ότι σε πολλές υποθέσεις όπου </w:t>
      </w:r>
      <w:r w:rsidRPr="00F63021" w:rsidR="003D2BC3">
        <w:rPr>
          <w:rFonts w:ascii="Times New Roman" w:hAnsi="Times New Roman"/>
          <w:sz w:val="24"/>
          <w:szCs w:val="24"/>
        </w:rPr>
        <w:t xml:space="preserve">ο </w:t>
      </w:r>
      <w:r w:rsidRPr="00F63021">
        <w:rPr>
          <w:rFonts w:ascii="Times New Roman" w:hAnsi="Times New Roman"/>
          <w:sz w:val="24"/>
          <w:szCs w:val="24"/>
        </w:rPr>
        <w:t xml:space="preserve">προσφεύγων απεβίωσε κατά την διάρκεια της διαδικασίας, έλαβε υπόψη του την θέληση που εξέφρασαν οι κληρονόμοι ή οι συγγενείς </w:t>
      </w:r>
      <w:r w:rsidRPr="00F63021" w:rsidR="003D2BC3">
        <w:rPr>
          <w:rFonts w:ascii="Times New Roman" w:hAnsi="Times New Roman"/>
          <w:sz w:val="24"/>
          <w:szCs w:val="24"/>
        </w:rPr>
        <w:t xml:space="preserve">αυτού </w:t>
      </w:r>
      <w:r w:rsidRPr="00F63021">
        <w:rPr>
          <w:rFonts w:ascii="Times New Roman" w:hAnsi="Times New Roman"/>
          <w:sz w:val="24"/>
          <w:szCs w:val="24"/>
        </w:rPr>
        <w:t xml:space="preserve">για συνέχιση της διαδικασίας (βλ. π.χ., </w:t>
      </w:r>
      <w:proofErr w:type="spellStart"/>
      <w:r w:rsidRPr="00F63021">
        <w:rPr>
          <w:rFonts w:ascii="Times New Roman" w:hAnsi="Times New Roman"/>
          <w:i/>
          <w:sz w:val="24"/>
          <w:szCs w:val="24"/>
          <w:lang w:val="fr-FR"/>
        </w:rPr>
        <w:t>Deweer</w:t>
      </w:r>
      <w:proofErr w:type="spellEnd"/>
      <w:r w:rsidRPr="00F63021">
        <w:rPr>
          <w:rFonts w:ascii="Times New Roman" w:hAnsi="Times New Roman"/>
          <w:i/>
          <w:sz w:val="24"/>
          <w:szCs w:val="24"/>
        </w:rPr>
        <w:t xml:space="preserve"> κατά Βελγίου, </w:t>
      </w:r>
      <w:r w:rsidRPr="00F63021">
        <w:rPr>
          <w:rFonts w:ascii="Times New Roman" w:hAnsi="Times New Roman"/>
          <w:sz w:val="24"/>
          <w:szCs w:val="24"/>
        </w:rPr>
        <w:t xml:space="preserve">27 Φεβρουαρίου 1980, §§ 37-38, σειρά Α αρ. 35, </w:t>
      </w:r>
      <w:r w:rsidRPr="00F63021">
        <w:rPr>
          <w:rFonts w:ascii="Times New Roman" w:hAnsi="Times New Roman"/>
          <w:i/>
          <w:sz w:val="24"/>
          <w:szCs w:val="24"/>
          <w:lang w:val="en-US"/>
        </w:rPr>
        <w:t>X</w:t>
      </w:r>
      <w:r w:rsidRPr="00F63021">
        <w:rPr>
          <w:rFonts w:ascii="Times New Roman" w:hAnsi="Times New Roman"/>
          <w:i/>
          <w:sz w:val="24"/>
          <w:szCs w:val="24"/>
        </w:rPr>
        <w:t xml:space="preserve">. Κατά Ηνωμένου Βασιλείου, </w:t>
      </w:r>
      <w:r w:rsidRPr="00F63021">
        <w:rPr>
          <w:rFonts w:ascii="Times New Roman" w:hAnsi="Times New Roman"/>
          <w:sz w:val="24"/>
          <w:szCs w:val="24"/>
        </w:rPr>
        <w:t xml:space="preserve">5 Νοεμβρίου 1981, §32, σειρά Α αρ. 46, </w:t>
      </w:r>
      <w:proofErr w:type="spellStart"/>
      <w:r w:rsidRPr="00F63021">
        <w:rPr>
          <w:rFonts w:ascii="Times New Roman" w:hAnsi="Times New Roman"/>
          <w:i/>
          <w:sz w:val="24"/>
          <w:szCs w:val="24"/>
          <w:lang w:val="en-US"/>
        </w:rPr>
        <w:t>Vocaturo</w:t>
      </w:r>
      <w:proofErr w:type="spellEnd"/>
      <w:r w:rsidRPr="00F63021">
        <w:rPr>
          <w:rFonts w:ascii="Times New Roman" w:hAnsi="Times New Roman"/>
          <w:i/>
          <w:sz w:val="24"/>
          <w:szCs w:val="24"/>
        </w:rPr>
        <w:t xml:space="preserve"> κατά Ιταλίας, </w:t>
      </w:r>
      <w:r w:rsidRPr="00F63021">
        <w:rPr>
          <w:rFonts w:ascii="Times New Roman" w:hAnsi="Times New Roman"/>
          <w:sz w:val="24"/>
          <w:szCs w:val="24"/>
        </w:rPr>
        <w:t>24 Μαΐου 1991, §2, σειρά Α αρ. 206-</w:t>
      </w:r>
      <w:r w:rsidRPr="00F63021">
        <w:rPr>
          <w:rFonts w:ascii="Times New Roman" w:hAnsi="Times New Roman"/>
          <w:sz w:val="24"/>
          <w:szCs w:val="24"/>
          <w:lang w:val="en-US"/>
        </w:rPr>
        <w:t>C</w:t>
      </w:r>
      <w:r w:rsidRPr="00F63021">
        <w:rPr>
          <w:rFonts w:ascii="Times New Roman" w:hAnsi="Times New Roman"/>
          <w:sz w:val="24"/>
          <w:szCs w:val="24"/>
        </w:rPr>
        <w:t xml:space="preserve">, </w:t>
      </w:r>
      <w:r w:rsidRPr="00F63021">
        <w:rPr>
          <w:rFonts w:ascii="Times New Roman" w:hAnsi="Times New Roman"/>
          <w:i/>
          <w:sz w:val="24"/>
          <w:szCs w:val="24"/>
          <w:lang w:val="fr-FR"/>
        </w:rPr>
        <w:t>G</w:t>
      </w:r>
      <w:r w:rsidRPr="00F63021">
        <w:rPr>
          <w:rFonts w:ascii="Times New Roman" w:hAnsi="Times New Roman"/>
          <w:i/>
          <w:sz w:val="24"/>
          <w:szCs w:val="24"/>
        </w:rPr>
        <w:t xml:space="preserve">. κατά Ιταλίας, </w:t>
      </w:r>
      <w:r w:rsidRPr="00F63021">
        <w:rPr>
          <w:rFonts w:ascii="Times New Roman" w:hAnsi="Times New Roman"/>
          <w:sz w:val="24"/>
          <w:szCs w:val="24"/>
        </w:rPr>
        <w:t>27 Φεβρουαρίου 1992</w:t>
      </w:r>
      <w:r w:rsidRPr="00F63021">
        <w:rPr>
          <w:rFonts w:ascii="Times New Roman" w:hAnsi="Times New Roman"/>
          <w:i/>
          <w:sz w:val="24"/>
          <w:szCs w:val="24"/>
        </w:rPr>
        <w:t xml:space="preserve">, </w:t>
      </w:r>
      <w:r w:rsidRPr="00F63021">
        <w:rPr>
          <w:rFonts w:ascii="Times New Roman" w:hAnsi="Times New Roman"/>
          <w:sz w:val="24"/>
          <w:szCs w:val="24"/>
        </w:rPr>
        <w:t>§2, σειρά Α, αρ. 228-</w:t>
      </w:r>
      <w:r w:rsidRPr="00F63021">
        <w:rPr>
          <w:rFonts w:ascii="Times New Roman" w:hAnsi="Times New Roman"/>
          <w:sz w:val="24"/>
          <w:szCs w:val="24"/>
          <w:lang w:val="fr-FR"/>
        </w:rPr>
        <w:t>F</w:t>
      </w:r>
      <w:r w:rsidRPr="00F63021">
        <w:rPr>
          <w:rFonts w:ascii="Times New Roman" w:hAnsi="Times New Roman"/>
          <w:sz w:val="24"/>
          <w:szCs w:val="24"/>
        </w:rPr>
        <w:t xml:space="preserve">, </w:t>
      </w:r>
      <w:proofErr w:type="spellStart"/>
      <w:r w:rsidRPr="00F63021">
        <w:rPr>
          <w:rFonts w:ascii="Times New Roman" w:hAnsi="Times New Roman"/>
          <w:i/>
          <w:sz w:val="24"/>
          <w:szCs w:val="24"/>
          <w:lang w:val="fr-FR"/>
        </w:rPr>
        <w:t>Pandolfelli</w:t>
      </w:r>
      <w:proofErr w:type="spellEnd"/>
      <w:r w:rsidRPr="00F63021">
        <w:rPr>
          <w:rFonts w:ascii="Times New Roman" w:hAnsi="Times New Roman"/>
          <w:i/>
          <w:sz w:val="24"/>
          <w:szCs w:val="24"/>
        </w:rPr>
        <w:t xml:space="preserve"> </w:t>
      </w:r>
      <w:r w:rsidRPr="00F63021">
        <w:rPr>
          <w:rFonts w:ascii="Times New Roman" w:hAnsi="Times New Roman"/>
          <w:i/>
          <w:sz w:val="24"/>
          <w:szCs w:val="24"/>
          <w:lang w:val="fr-FR"/>
        </w:rPr>
        <w:t>et</w:t>
      </w:r>
      <w:r w:rsidRPr="00F63021">
        <w:rPr>
          <w:rFonts w:ascii="Times New Roman" w:hAnsi="Times New Roman"/>
          <w:i/>
          <w:sz w:val="24"/>
          <w:szCs w:val="24"/>
        </w:rPr>
        <w:t xml:space="preserve"> </w:t>
      </w:r>
      <w:proofErr w:type="spellStart"/>
      <w:r w:rsidRPr="00F63021">
        <w:rPr>
          <w:rFonts w:ascii="Times New Roman" w:hAnsi="Times New Roman"/>
          <w:i/>
          <w:sz w:val="24"/>
          <w:szCs w:val="24"/>
          <w:lang w:val="fr-FR"/>
        </w:rPr>
        <w:t>Palumbo</w:t>
      </w:r>
      <w:proofErr w:type="spellEnd"/>
      <w:r w:rsidRPr="00F63021">
        <w:rPr>
          <w:rFonts w:ascii="Times New Roman" w:hAnsi="Times New Roman"/>
          <w:i/>
          <w:sz w:val="24"/>
          <w:szCs w:val="24"/>
        </w:rPr>
        <w:t xml:space="preserve"> κατά Ιταλίας, </w:t>
      </w:r>
      <w:r w:rsidRPr="00F63021">
        <w:rPr>
          <w:rFonts w:ascii="Times New Roman" w:hAnsi="Times New Roman"/>
          <w:sz w:val="24"/>
          <w:szCs w:val="24"/>
        </w:rPr>
        <w:t xml:space="preserve">27 Φεβρουαρίου 1992, §2, σειρά Α αρ. 231-Β, </w:t>
      </w:r>
      <w:r w:rsidRPr="00F63021">
        <w:rPr>
          <w:rFonts w:ascii="Times New Roman" w:hAnsi="Times New Roman"/>
          <w:i/>
          <w:sz w:val="24"/>
          <w:szCs w:val="24"/>
          <w:lang w:val="en-US"/>
        </w:rPr>
        <w:t>X</w:t>
      </w:r>
      <w:r w:rsidRPr="00F63021">
        <w:rPr>
          <w:rFonts w:ascii="Times New Roman" w:hAnsi="Times New Roman"/>
          <w:i/>
          <w:sz w:val="24"/>
          <w:szCs w:val="24"/>
        </w:rPr>
        <w:t xml:space="preserve">. κατά Γαλλίας, </w:t>
      </w:r>
      <w:r w:rsidRPr="00F63021">
        <w:rPr>
          <w:rFonts w:ascii="Times New Roman" w:hAnsi="Times New Roman"/>
          <w:sz w:val="24"/>
          <w:szCs w:val="24"/>
        </w:rPr>
        <w:t>31 Μαρτίου 1992, §26, σειρά Α αρ. 234-</w:t>
      </w:r>
      <w:r w:rsidRPr="00F63021">
        <w:rPr>
          <w:rFonts w:ascii="Times New Roman" w:hAnsi="Times New Roman"/>
          <w:sz w:val="24"/>
          <w:szCs w:val="24"/>
          <w:lang w:val="fr-FR"/>
        </w:rPr>
        <w:t>C</w:t>
      </w:r>
      <w:r w:rsidRPr="00F63021">
        <w:rPr>
          <w:rFonts w:ascii="Times New Roman" w:hAnsi="Times New Roman"/>
          <w:sz w:val="24"/>
          <w:szCs w:val="24"/>
        </w:rPr>
        <w:t xml:space="preserve">, </w:t>
      </w:r>
      <w:r w:rsidRPr="00F63021">
        <w:rPr>
          <w:rFonts w:ascii="Times New Roman" w:hAnsi="Times New Roman"/>
          <w:i/>
          <w:sz w:val="24"/>
          <w:szCs w:val="24"/>
          <w:lang w:val="en-US"/>
        </w:rPr>
        <w:t>Raimondo</w:t>
      </w:r>
      <w:r w:rsidRPr="00F63021">
        <w:rPr>
          <w:rFonts w:ascii="Times New Roman" w:hAnsi="Times New Roman"/>
          <w:i/>
          <w:sz w:val="24"/>
          <w:szCs w:val="24"/>
        </w:rPr>
        <w:t xml:space="preserve"> κατά Ιταλίας, </w:t>
      </w:r>
      <w:r w:rsidRPr="00F63021">
        <w:rPr>
          <w:rFonts w:ascii="Times New Roman" w:hAnsi="Times New Roman"/>
          <w:sz w:val="24"/>
          <w:szCs w:val="24"/>
        </w:rPr>
        <w:t xml:space="preserve">22 Φεβρουαρίου 1994, §2, σειρά Α αρ. 281-Α, </w:t>
      </w:r>
      <w:proofErr w:type="spellStart"/>
      <w:r w:rsidRPr="00F63021">
        <w:rPr>
          <w:rFonts w:ascii="Times New Roman" w:hAnsi="Times New Roman"/>
          <w:i/>
          <w:sz w:val="24"/>
          <w:szCs w:val="24"/>
          <w:lang w:val="fr-FR"/>
        </w:rPr>
        <w:t>Malhous</w:t>
      </w:r>
      <w:proofErr w:type="spellEnd"/>
      <w:r w:rsidRPr="00F63021">
        <w:rPr>
          <w:rFonts w:ascii="Times New Roman" w:hAnsi="Times New Roman"/>
          <w:i/>
          <w:sz w:val="24"/>
          <w:szCs w:val="24"/>
        </w:rPr>
        <w:t xml:space="preserve"> κατά Δημοκρατίας της Τσεχίας </w:t>
      </w:r>
      <w:r w:rsidRPr="00F63021">
        <w:rPr>
          <w:rFonts w:ascii="Times New Roman" w:hAnsi="Times New Roman"/>
          <w:sz w:val="24"/>
          <w:szCs w:val="24"/>
        </w:rPr>
        <w:t>(απόφαση), [</w:t>
      </w:r>
      <w:r w:rsidRPr="00F63021">
        <w:rPr>
          <w:rFonts w:ascii="Times New Roman" w:hAnsi="Times New Roman"/>
          <w:sz w:val="24"/>
          <w:szCs w:val="24"/>
          <w:lang w:val="en-US"/>
        </w:rPr>
        <w:t>GC</w:t>
      </w:r>
      <w:r w:rsidRPr="00F63021">
        <w:rPr>
          <w:rFonts w:ascii="Times New Roman" w:hAnsi="Times New Roman"/>
          <w:sz w:val="24"/>
          <w:szCs w:val="24"/>
        </w:rPr>
        <w:t xml:space="preserve">], αρ. 33071/96, </w:t>
      </w:r>
      <w:r w:rsidRPr="00F63021">
        <w:rPr>
          <w:rFonts w:ascii="Times New Roman" w:hAnsi="Times New Roman"/>
          <w:sz w:val="24"/>
          <w:szCs w:val="24"/>
          <w:lang w:val="fr-FR"/>
        </w:rPr>
        <w:t>CEDH</w:t>
      </w:r>
      <w:r w:rsidRPr="00F63021">
        <w:rPr>
          <w:rFonts w:ascii="Times New Roman" w:hAnsi="Times New Roman"/>
          <w:sz w:val="24"/>
          <w:szCs w:val="24"/>
        </w:rPr>
        <w:t xml:space="preserve"> 2000-</w:t>
      </w:r>
      <w:r w:rsidRPr="00F63021">
        <w:rPr>
          <w:rFonts w:ascii="Times New Roman" w:hAnsi="Times New Roman"/>
          <w:sz w:val="24"/>
          <w:szCs w:val="24"/>
          <w:lang w:val="fr-FR"/>
        </w:rPr>
        <w:t>XII</w:t>
      </w:r>
      <w:r w:rsidRPr="00F63021">
        <w:rPr>
          <w:rFonts w:ascii="Times New Roman" w:hAnsi="Times New Roman"/>
          <w:sz w:val="24"/>
          <w:szCs w:val="24"/>
        </w:rPr>
        <w:t xml:space="preserve">, και </w:t>
      </w:r>
      <w:r w:rsidRPr="00F63021">
        <w:rPr>
          <w:rFonts w:ascii="Times New Roman" w:hAnsi="Times New Roman"/>
          <w:i/>
          <w:sz w:val="24"/>
          <w:szCs w:val="24"/>
          <w:lang w:val="fr-FR"/>
        </w:rPr>
        <w:t>a</w:t>
      </w:r>
      <w:r w:rsidRPr="00F63021">
        <w:rPr>
          <w:rFonts w:ascii="Times New Roman" w:hAnsi="Times New Roman"/>
          <w:i/>
          <w:sz w:val="24"/>
          <w:szCs w:val="24"/>
        </w:rPr>
        <w:t xml:space="preserve"> </w:t>
      </w:r>
      <w:r w:rsidRPr="00F63021">
        <w:rPr>
          <w:rFonts w:ascii="Times New Roman" w:hAnsi="Times New Roman"/>
          <w:i/>
          <w:sz w:val="24"/>
          <w:szCs w:val="24"/>
          <w:lang w:val="fr-FR"/>
        </w:rPr>
        <w:t>contrario</w:t>
      </w:r>
      <w:r w:rsidRPr="00F63021">
        <w:rPr>
          <w:rFonts w:ascii="Times New Roman" w:hAnsi="Times New Roman"/>
          <w:i/>
          <w:sz w:val="24"/>
          <w:szCs w:val="24"/>
        </w:rPr>
        <w:t xml:space="preserve">, </w:t>
      </w:r>
      <w:r w:rsidRPr="00F63021">
        <w:rPr>
          <w:rFonts w:ascii="Times New Roman" w:hAnsi="Times New Roman"/>
          <w:sz w:val="24"/>
          <w:szCs w:val="24"/>
        </w:rPr>
        <w:t xml:space="preserve">η απόφαση </w:t>
      </w:r>
      <w:r w:rsidRPr="00F63021">
        <w:rPr>
          <w:rFonts w:ascii="Times New Roman" w:hAnsi="Times New Roman"/>
          <w:i/>
          <w:sz w:val="24"/>
          <w:szCs w:val="24"/>
          <w:lang w:val="fr-FR"/>
        </w:rPr>
        <w:t>Scherer</w:t>
      </w:r>
      <w:r w:rsidRPr="00F63021">
        <w:rPr>
          <w:rFonts w:ascii="Times New Roman" w:hAnsi="Times New Roman"/>
          <w:i/>
          <w:sz w:val="24"/>
          <w:szCs w:val="24"/>
        </w:rPr>
        <w:t xml:space="preserve"> κατά Ελβετίας, </w:t>
      </w:r>
      <w:r w:rsidRPr="00F63021">
        <w:rPr>
          <w:rFonts w:ascii="Times New Roman" w:hAnsi="Times New Roman"/>
          <w:sz w:val="24"/>
          <w:szCs w:val="24"/>
        </w:rPr>
        <w:t>25 Μαρτίου 1994, §§31-32, σειρά Α αρ. 287).</w:t>
      </w:r>
    </w:p>
    <w:p w:rsidRPr="00F63021" w:rsidR="00F63021" w:rsidP="00F63021" w:rsidRDefault="000F4CA9">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Στην υπό κρίση υπόθεση, το Δικαστήριο σημειώνει ότι ο κ. Παναγιώτης Ζολώτας είναι γιος του προσφεύγοντα και κληρονόμος του </w:t>
      </w:r>
      <w:r w:rsidRPr="00F63021" w:rsidR="003D2BC3">
        <w:rPr>
          <w:rFonts w:ascii="Times New Roman" w:hAnsi="Times New Roman"/>
        </w:rPr>
        <w:t>εξ αδιαθέτου</w:t>
      </w:r>
      <w:r w:rsidRPr="00F63021">
        <w:rPr>
          <w:rFonts w:ascii="Times New Roman" w:hAnsi="Times New Roman"/>
        </w:rPr>
        <w:t xml:space="preserve"> και εξ αδιαιρέτου και ότι το δικαίωμα που κατοχυρώνεται από το άρθρο 1 του Πρώτου Πρωτοκόλλου είναι </w:t>
      </w:r>
      <w:r w:rsidRPr="00F63021" w:rsidR="00D30EDC">
        <w:rPr>
          <w:rFonts w:ascii="Times New Roman" w:hAnsi="Times New Roman"/>
        </w:rPr>
        <w:t xml:space="preserve">σαφώς </w:t>
      </w:r>
      <w:proofErr w:type="spellStart"/>
      <w:r w:rsidRPr="00F63021" w:rsidR="00D30EDC">
        <w:rPr>
          <w:rFonts w:ascii="Times New Roman" w:hAnsi="Times New Roman"/>
        </w:rPr>
        <w:t>μεταβιβαστό</w:t>
      </w:r>
      <w:proofErr w:type="spellEnd"/>
      <w:r w:rsidRPr="00F63021">
        <w:rPr>
          <w:rFonts w:ascii="Times New Roman" w:hAnsi="Times New Roman"/>
        </w:rPr>
        <w:t xml:space="preserve">. </w:t>
      </w:r>
      <w:r w:rsidRPr="00F63021" w:rsidR="007C489E">
        <w:rPr>
          <w:rFonts w:ascii="Times New Roman" w:hAnsi="Times New Roman"/>
        </w:rPr>
        <w:t>Επομένως, ο κ. Παναγιώτης Ζολώτας έχει έννομο συμφέρον που του επιτρέπει να παραπονεθεί εν ονόματι του πατέρα του που έχει αποβιώσει.</w:t>
      </w:r>
    </w:p>
    <w:p w:rsidRPr="00F63021" w:rsidR="00F63021" w:rsidP="00F63021" w:rsidRDefault="007C489E">
      <w:pPr>
        <w:pStyle w:val="NormalWeb"/>
        <w:spacing w:before="0" w:beforeAutospacing="0" w:after="120" w:afterAutospacing="0" w:line="312" w:lineRule="auto"/>
        <w:jc w:val="both"/>
        <w:rPr>
          <w:rFonts w:ascii="Times New Roman" w:hAnsi="Times New Roman"/>
        </w:rPr>
      </w:pPr>
      <w:r w:rsidRPr="00F63021">
        <w:rPr>
          <w:rFonts w:ascii="Times New Roman" w:hAnsi="Times New Roman"/>
        </w:rPr>
        <w:t>ΙΙ.</w:t>
      </w:r>
      <w:r w:rsidRPr="00F63021">
        <w:rPr>
          <w:rFonts w:ascii="Times New Roman" w:hAnsi="Times New Roman"/>
        </w:rPr>
        <w:tab/>
        <w:t>ΩΣ ΠΡΟΣ ΤΗΝ ΕΠΙΚΑΛΟΥΜΕΝΗ ΠΑΡΑΒΙΑΣΗ ΤΟΥ ΑΡΘΡΟΥ 1 ΤΟΥ ΠΡΩΤΟΥ ΠΡΩΤΟΚΟΛΛΟΥ</w:t>
      </w:r>
    </w:p>
    <w:p w:rsidRPr="00F63021" w:rsidR="007C489E" w:rsidP="00F63021" w:rsidRDefault="005C2C24">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Ο προσφεύγων παραπονείται για το ότι τα εθνικά πολιτικά δικαστήρια, θεμελιώνοντας τις αποφάσεις τους στην προθεσμία παραγραφής είκοσι ετών που επιτάσσει ο Αστικός Κώδικας καθώς και το Νομοθετικό Διάταγμα υπ</w:t>
      </w:r>
      <w:r w:rsidRPr="00F63021" w:rsidR="00F63021">
        <w:rPr>
          <w:rFonts w:ascii="Times New Roman" w:hAnsi="Times New Roman"/>
        </w:rPr>
        <w:t>’</w:t>
      </w:r>
      <w:r w:rsidRPr="00F63021">
        <w:rPr>
          <w:rFonts w:ascii="Times New Roman" w:hAnsi="Times New Roman"/>
        </w:rPr>
        <w:t xml:space="preserve"> αρ. 1195/1942, θεώρησαν ότι οι αξιώσεις του προς την Τράπεζα όπου είχε λογαριασμό είχαν παραγραφεί και ότι το υπόλοιπο του λογαριασμού του περιήλθε στο Δημόσιο, που είναι ο </w:t>
      </w:r>
      <w:r w:rsidRPr="00F63021" w:rsidR="00A21AA6">
        <w:rPr>
          <w:rFonts w:ascii="Times New Roman" w:hAnsi="Times New Roman"/>
        </w:rPr>
        <w:t>απώτερος</w:t>
      </w:r>
      <w:r w:rsidRPr="00F63021">
        <w:rPr>
          <w:rFonts w:ascii="Times New Roman" w:hAnsi="Times New Roman"/>
        </w:rPr>
        <w:t xml:space="preserve"> δικαιούχος των αδρανών τραπεζικών λογαριασμ</w:t>
      </w:r>
      <w:r w:rsidRPr="00F63021" w:rsidR="00ED7487">
        <w:rPr>
          <w:rFonts w:ascii="Times New Roman" w:hAnsi="Times New Roman"/>
        </w:rPr>
        <w:t>ών. Επικαλείται παραβίαση του άρθρου 1 του Πρώτου Πρωτοκόλλου, το οποίο είναι διατυπωμένο ως εξής:</w:t>
      </w:r>
    </w:p>
    <w:p w:rsidRPr="00F63021" w:rsidR="00321461" w:rsidP="00F63021" w:rsidRDefault="001428A8">
      <w:pPr>
        <w:autoSpaceDE w:val="0"/>
        <w:autoSpaceDN w:val="0"/>
        <w:adjustRightInd w:val="0"/>
        <w:spacing w:after="0" w:line="240" w:lineRule="auto"/>
        <w:jc w:val="both"/>
        <w:rPr>
          <w:rFonts w:ascii="Times New Roman" w:hAnsi="Times New Roman"/>
          <w:sz w:val="20"/>
          <w:szCs w:val="20"/>
          <w:lang w:eastAsia="el-GR"/>
        </w:rPr>
      </w:pPr>
      <w:r w:rsidRPr="00F63021">
        <w:rPr>
          <w:rFonts w:ascii="Times New Roman" w:hAnsi="Times New Roman"/>
          <w:sz w:val="20"/>
          <w:szCs w:val="20"/>
          <w:lang w:eastAsia="el-GR"/>
        </w:rPr>
        <w:t xml:space="preserve"> </w:t>
      </w:r>
      <w:r w:rsidRPr="00F63021" w:rsidR="00321461">
        <w:rPr>
          <w:rFonts w:ascii="Times New Roman" w:hAnsi="Times New Roman"/>
          <w:sz w:val="20"/>
          <w:szCs w:val="20"/>
          <w:lang w:eastAsia="el-GR"/>
        </w:rPr>
        <w:t>«</w:t>
      </w:r>
      <w:proofErr w:type="spellStart"/>
      <w:r w:rsidRPr="00F63021" w:rsidR="00321461">
        <w:rPr>
          <w:rFonts w:ascii="Times New Roman" w:hAnsi="Times New Roman"/>
          <w:sz w:val="20"/>
          <w:szCs w:val="20"/>
          <w:lang w:eastAsia="el-GR"/>
        </w:rPr>
        <w:t>Παv</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φυσικόv</w:t>
      </w:r>
      <w:proofErr w:type="spellEnd"/>
      <w:r w:rsidRPr="00F63021" w:rsidR="00321461">
        <w:rPr>
          <w:rFonts w:ascii="Times New Roman" w:hAnsi="Times New Roman"/>
          <w:sz w:val="20"/>
          <w:szCs w:val="20"/>
          <w:lang w:eastAsia="el-GR"/>
        </w:rPr>
        <w:t xml:space="preserve"> ή </w:t>
      </w:r>
      <w:proofErr w:type="spellStart"/>
      <w:r w:rsidRPr="00F63021" w:rsidR="00321461">
        <w:rPr>
          <w:rFonts w:ascii="Times New Roman" w:hAnsi="Times New Roman"/>
          <w:sz w:val="20"/>
          <w:szCs w:val="20"/>
          <w:lang w:eastAsia="el-GR"/>
        </w:rPr>
        <w:t>voµικόv</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πρόσωπov</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δικαιoύται</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σεβασµoύ</w:t>
      </w:r>
      <w:proofErr w:type="spellEnd"/>
      <w:r w:rsidRPr="00F63021" w:rsidR="00321461">
        <w:rPr>
          <w:rFonts w:ascii="Times New Roman" w:hAnsi="Times New Roman"/>
          <w:sz w:val="20"/>
          <w:szCs w:val="20"/>
          <w:lang w:eastAsia="el-GR"/>
        </w:rPr>
        <w:t xml:space="preserve"> της </w:t>
      </w:r>
      <w:proofErr w:type="spellStart"/>
      <w:r w:rsidRPr="00F63021" w:rsidR="00321461">
        <w:rPr>
          <w:rFonts w:ascii="Times New Roman" w:hAnsi="Times New Roman"/>
          <w:sz w:val="20"/>
          <w:szCs w:val="20"/>
          <w:lang w:eastAsia="el-GR"/>
        </w:rPr>
        <w:t>περιoυσίας</w:t>
      </w:r>
      <w:proofErr w:type="spellEnd"/>
      <w:r w:rsidRPr="00F63021" w:rsidR="00321461">
        <w:rPr>
          <w:rFonts w:ascii="Times New Roman" w:hAnsi="Times New Roman"/>
          <w:sz w:val="20"/>
          <w:szCs w:val="20"/>
          <w:lang w:eastAsia="el-GR"/>
        </w:rPr>
        <w:t xml:space="preserve"> τoυ. Ουδείς </w:t>
      </w:r>
      <w:proofErr w:type="spellStart"/>
      <w:r w:rsidRPr="00F63021" w:rsidR="00321461">
        <w:rPr>
          <w:rFonts w:ascii="Times New Roman" w:hAnsi="Times New Roman"/>
          <w:sz w:val="20"/>
          <w:szCs w:val="20"/>
          <w:lang w:eastAsia="el-GR"/>
        </w:rPr>
        <w:t>δύvαται</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vα</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στερηθή</w:t>
      </w:r>
      <w:proofErr w:type="spellEnd"/>
      <w:r w:rsidRPr="00F63021" w:rsidR="00321461">
        <w:rPr>
          <w:rFonts w:ascii="Times New Roman" w:hAnsi="Times New Roman"/>
          <w:sz w:val="20"/>
          <w:szCs w:val="20"/>
          <w:lang w:eastAsia="el-GR"/>
        </w:rPr>
        <w:t xml:space="preserve"> της </w:t>
      </w:r>
      <w:proofErr w:type="spellStart"/>
      <w:r w:rsidRPr="00F63021" w:rsidR="00321461">
        <w:rPr>
          <w:rFonts w:ascii="Times New Roman" w:hAnsi="Times New Roman"/>
          <w:sz w:val="20"/>
          <w:szCs w:val="20"/>
          <w:lang w:eastAsia="el-GR"/>
        </w:rPr>
        <w:t>ιδιoκτησίας</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α</w:t>
      </w:r>
      <w:r w:rsidRPr="00F63021" w:rsidR="009C3FE4">
        <w:rPr>
          <w:rFonts w:ascii="Times New Roman" w:hAnsi="Times New Roman"/>
          <w:sz w:val="20"/>
          <w:szCs w:val="20"/>
          <w:lang w:eastAsia="el-GR"/>
        </w:rPr>
        <w:t>υτoύ</w:t>
      </w:r>
      <w:proofErr w:type="spellEnd"/>
      <w:r w:rsidRPr="00F63021" w:rsidR="009C3FE4">
        <w:rPr>
          <w:rFonts w:ascii="Times New Roman" w:hAnsi="Times New Roman"/>
          <w:sz w:val="20"/>
          <w:szCs w:val="20"/>
          <w:lang w:eastAsia="el-GR"/>
        </w:rPr>
        <w:t xml:space="preserve"> </w:t>
      </w:r>
      <w:proofErr w:type="spellStart"/>
      <w:r w:rsidRPr="00F63021" w:rsidR="009C3FE4">
        <w:rPr>
          <w:rFonts w:ascii="Times New Roman" w:hAnsi="Times New Roman"/>
          <w:sz w:val="20"/>
          <w:szCs w:val="20"/>
          <w:lang w:eastAsia="el-GR"/>
        </w:rPr>
        <w:t>ειµή</w:t>
      </w:r>
      <w:proofErr w:type="spellEnd"/>
      <w:r w:rsidRPr="00F63021" w:rsidR="009C3FE4">
        <w:rPr>
          <w:rFonts w:ascii="Times New Roman" w:hAnsi="Times New Roman"/>
          <w:sz w:val="20"/>
          <w:szCs w:val="20"/>
          <w:lang w:eastAsia="el-GR"/>
        </w:rPr>
        <w:t xml:space="preserve"> δια </w:t>
      </w:r>
      <w:proofErr w:type="spellStart"/>
      <w:r w:rsidRPr="00F63021" w:rsidR="009C3FE4">
        <w:rPr>
          <w:rFonts w:ascii="Times New Roman" w:hAnsi="Times New Roman"/>
          <w:sz w:val="20"/>
          <w:szCs w:val="20"/>
          <w:lang w:eastAsia="el-GR"/>
        </w:rPr>
        <w:t>λόγoυς</w:t>
      </w:r>
      <w:proofErr w:type="spellEnd"/>
      <w:r w:rsidRPr="00F63021" w:rsidR="009C3FE4">
        <w:rPr>
          <w:rFonts w:ascii="Times New Roman" w:hAnsi="Times New Roman"/>
          <w:sz w:val="20"/>
          <w:szCs w:val="20"/>
          <w:lang w:eastAsia="el-GR"/>
        </w:rPr>
        <w:t xml:space="preserve"> </w:t>
      </w:r>
      <w:proofErr w:type="spellStart"/>
      <w:r w:rsidRPr="00F63021" w:rsidR="009C3FE4">
        <w:rPr>
          <w:rFonts w:ascii="Times New Roman" w:hAnsi="Times New Roman"/>
          <w:sz w:val="20"/>
          <w:szCs w:val="20"/>
          <w:lang w:eastAsia="el-GR"/>
        </w:rPr>
        <w:t>δηµoσίας</w:t>
      </w:r>
      <w:proofErr w:type="spellEnd"/>
      <w:r w:rsidRPr="00F63021" w:rsidR="009C3FE4">
        <w:rPr>
          <w:rFonts w:ascii="Times New Roman" w:hAnsi="Times New Roman"/>
          <w:sz w:val="20"/>
          <w:szCs w:val="20"/>
          <w:lang w:eastAsia="el-GR"/>
        </w:rPr>
        <w:t xml:space="preserve"> ωφ</w:t>
      </w:r>
      <w:r w:rsidRPr="00F63021" w:rsidR="00321461">
        <w:rPr>
          <w:rFonts w:ascii="Times New Roman" w:hAnsi="Times New Roman"/>
          <w:sz w:val="20"/>
          <w:szCs w:val="20"/>
          <w:lang w:eastAsia="el-GR"/>
        </w:rPr>
        <w:t xml:space="preserve">ελείας και υπό </w:t>
      </w:r>
      <w:proofErr w:type="spellStart"/>
      <w:r w:rsidRPr="00F63021" w:rsidR="00321461">
        <w:rPr>
          <w:rFonts w:ascii="Times New Roman" w:hAnsi="Times New Roman"/>
          <w:sz w:val="20"/>
          <w:szCs w:val="20"/>
          <w:lang w:eastAsia="el-GR"/>
        </w:rPr>
        <w:t>τoυς</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πρoβλεπoµέvoυς</w:t>
      </w:r>
      <w:proofErr w:type="spellEnd"/>
      <w:r w:rsidRPr="00F63021" w:rsidR="00321461">
        <w:rPr>
          <w:rFonts w:ascii="Times New Roman" w:hAnsi="Times New Roman"/>
          <w:sz w:val="20"/>
          <w:szCs w:val="20"/>
          <w:lang w:eastAsia="el-GR"/>
        </w:rPr>
        <w:t xml:space="preserve">, υπό τoυ </w:t>
      </w:r>
      <w:proofErr w:type="spellStart"/>
      <w:r w:rsidRPr="00F63021" w:rsidR="00321461">
        <w:rPr>
          <w:rFonts w:ascii="Times New Roman" w:hAnsi="Times New Roman"/>
          <w:sz w:val="20"/>
          <w:szCs w:val="20"/>
          <w:lang w:eastAsia="el-GR"/>
        </w:rPr>
        <w:t>vόµoυ</w:t>
      </w:r>
      <w:proofErr w:type="spellEnd"/>
      <w:r w:rsidRPr="00F63021" w:rsidR="00321461">
        <w:rPr>
          <w:rFonts w:ascii="Times New Roman" w:hAnsi="Times New Roman"/>
          <w:sz w:val="20"/>
          <w:szCs w:val="20"/>
          <w:lang w:eastAsia="el-GR"/>
        </w:rPr>
        <w:t xml:space="preserve"> και τωv </w:t>
      </w:r>
      <w:proofErr w:type="spellStart"/>
      <w:r w:rsidRPr="00F63021" w:rsidR="00321461">
        <w:rPr>
          <w:rFonts w:ascii="Times New Roman" w:hAnsi="Times New Roman"/>
          <w:sz w:val="20"/>
          <w:szCs w:val="20"/>
          <w:lang w:eastAsia="el-GR"/>
        </w:rPr>
        <w:t>γεvικώv</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αρχώv</w:t>
      </w:r>
      <w:proofErr w:type="spellEnd"/>
      <w:r w:rsidRPr="00F63021" w:rsidR="00321461">
        <w:rPr>
          <w:rFonts w:ascii="Times New Roman" w:hAnsi="Times New Roman"/>
          <w:sz w:val="20"/>
          <w:szCs w:val="20"/>
          <w:lang w:eastAsia="el-GR"/>
        </w:rPr>
        <w:t xml:space="preserve"> τoυ </w:t>
      </w:r>
      <w:proofErr w:type="spellStart"/>
      <w:r w:rsidRPr="00F63021" w:rsidR="00321461">
        <w:rPr>
          <w:rFonts w:ascii="Times New Roman" w:hAnsi="Times New Roman"/>
          <w:sz w:val="20"/>
          <w:szCs w:val="20"/>
          <w:lang w:eastAsia="el-GR"/>
        </w:rPr>
        <w:t>διεθvoύς</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δικαίoυ</w:t>
      </w:r>
      <w:proofErr w:type="spellEnd"/>
      <w:r w:rsidRPr="00F63021" w:rsidR="00321461">
        <w:rPr>
          <w:rFonts w:ascii="Times New Roman" w:hAnsi="Times New Roman"/>
          <w:sz w:val="20"/>
          <w:szCs w:val="20"/>
          <w:lang w:eastAsia="el-GR"/>
        </w:rPr>
        <w:t xml:space="preserve"> </w:t>
      </w:r>
      <w:proofErr w:type="spellStart"/>
      <w:r w:rsidRPr="00F63021" w:rsidR="00321461">
        <w:rPr>
          <w:rFonts w:ascii="Times New Roman" w:hAnsi="Times New Roman"/>
          <w:sz w:val="20"/>
          <w:szCs w:val="20"/>
          <w:lang w:eastAsia="el-GR"/>
        </w:rPr>
        <w:t>όρoυς</w:t>
      </w:r>
      <w:proofErr w:type="spellEnd"/>
      <w:r w:rsidRPr="00F63021" w:rsidR="00321461">
        <w:rPr>
          <w:rFonts w:ascii="Times New Roman" w:hAnsi="Times New Roman"/>
          <w:sz w:val="20"/>
          <w:szCs w:val="20"/>
          <w:lang w:eastAsia="el-GR"/>
        </w:rPr>
        <w:t>.</w:t>
      </w:r>
    </w:p>
    <w:p w:rsidRPr="00F63021" w:rsidR="001428A8" w:rsidP="00F63021" w:rsidRDefault="001428A8">
      <w:pPr>
        <w:autoSpaceDE w:val="0"/>
        <w:autoSpaceDN w:val="0"/>
        <w:adjustRightInd w:val="0"/>
        <w:spacing w:after="0" w:line="240" w:lineRule="auto"/>
        <w:jc w:val="both"/>
        <w:rPr>
          <w:rFonts w:ascii="Times New Roman" w:hAnsi="Times New Roman"/>
          <w:sz w:val="20"/>
          <w:szCs w:val="20"/>
          <w:lang w:eastAsia="el-GR"/>
        </w:rPr>
      </w:pPr>
    </w:p>
    <w:p w:rsidRPr="00F63021" w:rsidR="000943E5" w:rsidP="00F63021" w:rsidRDefault="00321461">
      <w:pPr>
        <w:autoSpaceDE w:val="0"/>
        <w:autoSpaceDN w:val="0"/>
        <w:adjustRightInd w:val="0"/>
        <w:spacing w:after="0" w:line="240" w:lineRule="auto"/>
        <w:jc w:val="both"/>
        <w:rPr>
          <w:rFonts w:ascii="Times New Roman" w:hAnsi="Times New Roman"/>
          <w:b/>
          <w:sz w:val="20"/>
          <w:szCs w:val="20"/>
        </w:rPr>
      </w:pPr>
      <w:r w:rsidRPr="00F63021">
        <w:rPr>
          <w:rFonts w:ascii="Times New Roman" w:hAnsi="Times New Roman"/>
          <w:sz w:val="20"/>
          <w:szCs w:val="20"/>
          <w:lang w:eastAsia="el-GR"/>
        </w:rPr>
        <w:t xml:space="preserve">Αι </w:t>
      </w:r>
      <w:proofErr w:type="spellStart"/>
      <w:r w:rsidRPr="00F63021">
        <w:rPr>
          <w:rFonts w:ascii="Times New Roman" w:hAnsi="Times New Roman"/>
          <w:sz w:val="20"/>
          <w:szCs w:val="20"/>
          <w:lang w:eastAsia="el-GR"/>
        </w:rPr>
        <w:t>πρoαvαφερόµεvαι</w:t>
      </w:r>
      <w:proofErr w:type="spellEnd"/>
      <w:r w:rsidRPr="00F63021">
        <w:rPr>
          <w:rFonts w:ascii="Times New Roman" w:hAnsi="Times New Roman"/>
          <w:sz w:val="20"/>
          <w:szCs w:val="20"/>
          <w:lang w:eastAsia="el-GR"/>
        </w:rPr>
        <w:t xml:space="preserve"> διατάξεις δεv </w:t>
      </w:r>
      <w:proofErr w:type="spellStart"/>
      <w:r w:rsidRPr="00F63021">
        <w:rPr>
          <w:rFonts w:ascii="Times New Roman" w:hAnsi="Times New Roman"/>
          <w:sz w:val="20"/>
          <w:szCs w:val="20"/>
          <w:lang w:eastAsia="el-GR"/>
        </w:rPr>
        <w:t>θίγoυσι</w:t>
      </w:r>
      <w:proofErr w:type="spellEnd"/>
      <w:r w:rsidRPr="00F63021">
        <w:rPr>
          <w:rFonts w:ascii="Times New Roman" w:hAnsi="Times New Roman"/>
          <w:sz w:val="20"/>
          <w:szCs w:val="20"/>
          <w:lang w:eastAsia="el-GR"/>
        </w:rPr>
        <w:t xml:space="preserve"> τo </w:t>
      </w:r>
      <w:proofErr w:type="spellStart"/>
      <w:r w:rsidRPr="00F63021">
        <w:rPr>
          <w:rFonts w:ascii="Times New Roman" w:hAnsi="Times New Roman"/>
          <w:sz w:val="20"/>
          <w:szCs w:val="20"/>
          <w:lang w:eastAsia="el-GR"/>
        </w:rPr>
        <w:t>δικαίωµα</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παvτός</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Κράτoυς</w:t>
      </w:r>
      <w:proofErr w:type="spellEnd"/>
      <w:r w:rsidRPr="00F63021">
        <w:rPr>
          <w:rFonts w:ascii="Times New Roman" w:hAnsi="Times New Roman"/>
          <w:sz w:val="20"/>
          <w:szCs w:val="20"/>
          <w:lang w:eastAsia="el-GR"/>
        </w:rPr>
        <w:t xml:space="preserve"> όπως θέση εv </w:t>
      </w:r>
      <w:proofErr w:type="spellStart"/>
      <w:r w:rsidRPr="00F63021">
        <w:rPr>
          <w:rFonts w:ascii="Times New Roman" w:hAnsi="Times New Roman"/>
          <w:sz w:val="20"/>
          <w:szCs w:val="20"/>
          <w:lang w:eastAsia="el-GR"/>
        </w:rPr>
        <w:t>ισχύϊ</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Νόµoυς</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oύς</w:t>
      </w:r>
      <w:proofErr w:type="spellEnd"/>
      <w:r w:rsidRPr="00F63021">
        <w:rPr>
          <w:rFonts w:ascii="Times New Roman" w:hAnsi="Times New Roman"/>
          <w:sz w:val="20"/>
          <w:szCs w:val="20"/>
          <w:lang w:eastAsia="el-GR"/>
        </w:rPr>
        <w:t xml:space="preserve"> ήθελε κρίvει </w:t>
      </w:r>
      <w:proofErr w:type="spellStart"/>
      <w:r w:rsidRPr="00F63021">
        <w:rPr>
          <w:rFonts w:ascii="Times New Roman" w:hAnsi="Times New Roman"/>
          <w:sz w:val="20"/>
          <w:szCs w:val="20"/>
          <w:lang w:eastAsia="el-GR"/>
        </w:rPr>
        <w:t>αvαγκαίov</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πρoς</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ρύθµισιv</w:t>
      </w:r>
      <w:proofErr w:type="spellEnd"/>
      <w:r w:rsidRPr="00F63021">
        <w:rPr>
          <w:rFonts w:ascii="Times New Roman" w:hAnsi="Times New Roman"/>
          <w:sz w:val="20"/>
          <w:szCs w:val="20"/>
          <w:lang w:eastAsia="el-GR"/>
        </w:rPr>
        <w:t xml:space="preserve"> της χρήσεως </w:t>
      </w:r>
      <w:proofErr w:type="spellStart"/>
      <w:r w:rsidRPr="00F63021">
        <w:rPr>
          <w:rFonts w:ascii="Times New Roman" w:hAnsi="Times New Roman"/>
          <w:sz w:val="20"/>
          <w:szCs w:val="20"/>
          <w:lang w:eastAsia="el-GR"/>
        </w:rPr>
        <w:t>αγαθώv</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συµφώvως</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πρoς</w:t>
      </w:r>
      <w:proofErr w:type="spellEnd"/>
      <w:r w:rsidRPr="00F63021">
        <w:rPr>
          <w:rFonts w:ascii="Times New Roman" w:hAnsi="Times New Roman"/>
          <w:sz w:val="20"/>
          <w:szCs w:val="20"/>
          <w:lang w:eastAsia="el-GR"/>
        </w:rPr>
        <w:t xml:space="preserve"> τo </w:t>
      </w:r>
      <w:proofErr w:type="spellStart"/>
      <w:r w:rsidRPr="00F63021">
        <w:rPr>
          <w:rFonts w:ascii="Times New Roman" w:hAnsi="Times New Roman"/>
          <w:sz w:val="20"/>
          <w:szCs w:val="20"/>
          <w:lang w:eastAsia="el-GR"/>
        </w:rPr>
        <w:t>δηµόσιov</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συµφέρov</w:t>
      </w:r>
      <w:proofErr w:type="spellEnd"/>
      <w:r w:rsidRPr="00F63021">
        <w:rPr>
          <w:rFonts w:ascii="Times New Roman" w:hAnsi="Times New Roman"/>
          <w:sz w:val="20"/>
          <w:szCs w:val="20"/>
          <w:lang w:eastAsia="el-GR"/>
        </w:rPr>
        <w:t xml:space="preserve"> ή </w:t>
      </w:r>
      <w:proofErr w:type="spellStart"/>
      <w:r w:rsidRPr="00F63021">
        <w:rPr>
          <w:rFonts w:ascii="Times New Roman" w:hAnsi="Times New Roman"/>
          <w:sz w:val="20"/>
          <w:szCs w:val="20"/>
          <w:lang w:eastAsia="el-GR"/>
        </w:rPr>
        <w:t>πρoς</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εξασφάλισιv</w:t>
      </w:r>
      <w:proofErr w:type="spellEnd"/>
      <w:r w:rsidRPr="00F63021">
        <w:rPr>
          <w:rFonts w:ascii="Times New Roman" w:hAnsi="Times New Roman"/>
          <w:sz w:val="20"/>
          <w:szCs w:val="20"/>
          <w:lang w:eastAsia="el-GR"/>
        </w:rPr>
        <w:t xml:space="preserve"> της </w:t>
      </w:r>
      <w:proofErr w:type="spellStart"/>
      <w:r w:rsidRPr="00F63021">
        <w:rPr>
          <w:rFonts w:ascii="Times New Roman" w:hAnsi="Times New Roman"/>
          <w:sz w:val="20"/>
          <w:szCs w:val="20"/>
          <w:lang w:eastAsia="el-GR"/>
        </w:rPr>
        <w:t>καταβoλής</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φόρωv</w:t>
      </w:r>
      <w:proofErr w:type="spellEnd"/>
      <w:r w:rsidRPr="00F63021">
        <w:rPr>
          <w:rFonts w:ascii="Times New Roman" w:hAnsi="Times New Roman"/>
          <w:sz w:val="20"/>
          <w:szCs w:val="20"/>
          <w:lang w:eastAsia="el-GR"/>
        </w:rPr>
        <w:t xml:space="preserve"> ή </w:t>
      </w:r>
      <w:proofErr w:type="spellStart"/>
      <w:r w:rsidRPr="00F63021">
        <w:rPr>
          <w:rFonts w:ascii="Times New Roman" w:hAnsi="Times New Roman"/>
          <w:sz w:val="20"/>
          <w:szCs w:val="20"/>
          <w:lang w:eastAsia="el-GR"/>
        </w:rPr>
        <w:t>άλλωv</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εισφoρώv</w:t>
      </w:r>
      <w:proofErr w:type="spellEnd"/>
      <w:r w:rsidRPr="00F63021">
        <w:rPr>
          <w:rFonts w:ascii="Times New Roman" w:hAnsi="Times New Roman"/>
          <w:sz w:val="20"/>
          <w:szCs w:val="20"/>
          <w:lang w:eastAsia="el-GR"/>
        </w:rPr>
        <w:t xml:space="preserve"> ή </w:t>
      </w:r>
      <w:proofErr w:type="spellStart"/>
      <w:r w:rsidRPr="00F63021">
        <w:rPr>
          <w:rFonts w:ascii="Times New Roman" w:hAnsi="Times New Roman"/>
          <w:sz w:val="20"/>
          <w:szCs w:val="20"/>
          <w:lang w:eastAsia="el-GR"/>
        </w:rPr>
        <w:t>πρoστίµωv</w:t>
      </w:r>
      <w:proofErr w:type="spellEnd"/>
      <w:r w:rsidRPr="00F63021">
        <w:rPr>
          <w:rFonts w:ascii="Times New Roman" w:hAnsi="Times New Roman"/>
          <w:sz w:val="20"/>
          <w:szCs w:val="20"/>
          <w:lang w:eastAsia="el-GR"/>
        </w:rPr>
        <w:t>.»</w:t>
      </w:r>
    </w:p>
    <w:p w:rsidRPr="00F63021" w:rsidR="000943E5" w:rsidP="00F63021" w:rsidRDefault="000943E5">
      <w:pPr>
        <w:pStyle w:val="NormalWeb"/>
        <w:spacing w:before="0" w:beforeAutospacing="0" w:after="120" w:afterAutospacing="0" w:line="312" w:lineRule="auto"/>
        <w:jc w:val="both"/>
        <w:rPr>
          <w:rFonts w:ascii="Times New Roman" w:hAnsi="Times New Roman"/>
          <w:b/>
          <w:sz w:val="22"/>
          <w:szCs w:val="22"/>
        </w:rPr>
      </w:pPr>
    </w:p>
    <w:p w:rsidRPr="00F63021" w:rsidR="00ED7487" w:rsidP="00F63021" w:rsidRDefault="00ED7487">
      <w:pPr>
        <w:pStyle w:val="NormalWeb"/>
        <w:spacing w:before="0" w:beforeAutospacing="0" w:after="120" w:afterAutospacing="0" w:line="312" w:lineRule="auto"/>
        <w:jc w:val="both"/>
        <w:rPr>
          <w:rFonts w:ascii="Times New Roman" w:hAnsi="Times New Roman"/>
          <w:b/>
        </w:rPr>
      </w:pPr>
      <w:r w:rsidRPr="00F63021">
        <w:rPr>
          <w:rFonts w:ascii="Times New Roman" w:hAnsi="Times New Roman"/>
          <w:b/>
        </w:rPr>
        <w:t>Ως προς το παραδεκτό</w:t>
      </w:r>
    </w:p>
    <w:p w:rsidRPr="00F63021" w:rsidR="00F63021" w:rsidP="00F63021" w:rsidRDefault="0053324F">
      <w:pPr>
        <w:numPr>
          <w:ilvl w:val="0"/>
          <w:numId w:val="7"/>
        </w:numPr>
        <w:spacing w:line="312" w:lineRule="auto"/>
        <w:ind w:left="0" w:firstLine="0"/>
        <w:jc w:val="both"/>
        <w:rPr>
          <w:rFonts w:ascii="Times New Roman" w:hAnsi="Times New Roman"/>
          <w:sz w:val="24"/>
          <w:szCs w:val="24"/>
        </w:rPr>
      </w:pPr>
      <w:r w:rsidRPr="00F63021">
        <w:rPr>
          <w:rFonts w:ascii="Times New Roman" w:hAnsi="Times New Roman"/>
          <w:sz w:val="24"/>
          <w:szCs w:val="24"/>
        </w:rPr>
        <w:t>Το Δικαστήριο διαπιστώνει ότι η αιτίαση αυτή δεν είναι προδήλως αβάσιμη υπό την έννοια του άρθρου 35§3(α) της Σύμβασης. Το Δικαστήριο κρίνει επίσης ότι δεν αντίκειται σε κανένα λόγο απαραδέκτου και την κηρύσσει παραδεκτή.</w:t>
      </w:r>
    </w:p>
    <w:p w:rsidRPr="00F63021" w:rsidR="0053324F" w:rsidP="00F63021" w:rsidRDefault="0053324F">
      <w:pPr>
        <w:spacing w:line="312" w:lineRule="auto"/>
        <w:jc w:val="both"/>
        <w:rPr>
          <w:rFonts w:ascii="Times New Roman" w:hAnsi="Times New Roman"/>
          <w:b/>
          <w:sz w:val="24"/>
          <w:szCs w:val="24"/>
        </w:rPr>
      </w:pPr>
      <w:r w:rsidRPr="00F63021">
        <w:rPr>
          <w:rFonts w:ascii="Times New Roman" w:hAnsi="Times New Roman"/>
          <w:b/>
          <w:sz w:val="24"/>
          <w:szCs w:val="24"/>
        </w:rPr>
        <w:t>Ως προς την ουσία</w:t>
      </w:r>
    </w:p>
    <w:p w:rsidRPr="00F63021" w:rsidR="00F63021" w:rsidP="00F63021" w:rsidRDefault="0053324F">
      <w:pPr>
        <w:spacing w:line="312" w:lineRule="auto"/>
        <w:jc w:val="both"/>
        <w:rPr>
          <w:rFonts w:ascii="Times New Roman" w:hAnsi="Times New Roman"/>
          <w:i/>
          <w:sz w:val="24"/>
          <w:szCs w:val="24"/>
        </w:rPr>
      </w:pPr>
      <w:r w:rsidRPr="00F63021">
        <w:rPr>
          <w:rFonts w:ascii="Times New Roman" w:hAnsi="Times New Roman"/>
          <w:i/>
          <w:sz w:val="24"/>
          <w:szCs w:val="24"/>
        </w:rPr>
        <w:t>1.</w:t>
      </w:r>
      <w:r w:rsidRPr="00F63021">
        <w:rPr>
          <w:rFonts w:ascii="Times New Roman" w:hAnsi="Times New Roman"/>
          <w:i/>
          <w:sz w:val="24"/>
          <w:szCs w:val="24"/>
        </w:rPr>
        <w:tab/>
        <w:t>Επιχειρήματα των μερών</w:t>
      </w:r>
    </w:p>
    <w:p w:rsidRPr="00F63021" w:rsidR="00F63021" w:rsidP="00F63021" w:rsidRDefault="0053324F">
      <w:pPr>
        <w:spacing w:line="312" w:lineRule="auto"/>
        <w:jc w:val="both"/>
        <w:rPr>
          <w:rFonts w:ascii="Times New Roman" w:hAnsi="Times New Roman"/>
          <w:b/>
          <w:sz w:val="24"/>
          <w:szCs w:val="24"/>
        </w:rPr>
      </w:pPr>
      <w:r w:rsidRPr="00F63021">
        <w:rPr>
          <w:rFonts w:ascii="Times New Roman" w:hAnsi="Times New Roman"/>
          <w:b/>
          <w:sz w:val="24"/>
          <w:szCs w:val="24"/>
        </w:rPr>
        <w:t>α) Η Κυβέρνηση</w:t>
      </w:r>
    </w:p>
    <w:p w:rsidRPr="00F63021" w:rsidR="00F63021" w:rsidP="00F63021" w:rsidRDefault="0053324F">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Η Κυβέρνηση υπογραμμίζει ότι κύριος σκοπός του Νομοθετικού Διατάγματος </w:t>
      </w:r>
      <w:r w:rsidRPr="00F63021" w:rsidR="000C5E23">
        <w:rPr>
          <w:rFonts w:ascii="Times New Roman" w:hAnsi="Times New Roman"/>
        </w:rPr>
        <w:t xml:space="preserve">1195/1942 είναι να εξυπηρετεί το δημόσιο συμφέρον εμποδίζοντας </w:t>
      </w:r>
      <w:r w:rsidRPr="00F63021" w:rsidR="005A046F">
        <w:rPr>
          <w:rFonts w:ascii="Times New Roman" w:hAnsi="Times New Roman"/>
        </w:rPr>
        <w:t xml:space="preserve">τις Τράπεζες, τις Ανώνυμες Εταιρείες και τα άλλα Νομικά πρόσωπα να παρακρατούν χρηματικά ποσά που τους έχουν κατατεθεί και που προκύπτουν από κεφάλαια και εισοδήματα που προέρχονται από τίτλους και </w:t>
      </w:r>
      <w:r w:rsidRPr="00F63021" w:rsidR="000943E5">
        <w:rPr>
          <w:rFonts w:ascii="Times New Roman" w:hAnsi="Times New Roman"/>
        </w:rPr>
        <w:t xml:space="preserve">κινητές </w:t>
      </w:r>
      <w:r w:rsidRPr="00F63021" w:rsidR="005A046F">
        <w:rPr>
          <w:rFonts w:ascii="Times New Roman" w:hAnsi="Times New Roman"/>
        </w:rPr>
        <w:t>αξίες, μετά την α</w:t>
      </w:r>
      <w:r w:rsidRPr="00F63021" w:rsidR="000943E5">
        <w:rPr>
          <w:rFonts w:ascii="Times New Roman" w:hAnsi="Times New Roman"/>
        </w:rPr>
        <w:t>δράνεια των κατόχων τους, η οπο</w:t>
      </w:r>
      <w:r w:rsidRPr="00F63021" w:rsidR="005A046F">
        <w:rPr>
          <w:rFonts w:ascii="Times New Roman" w:hAnsi="Times New Roman"/>
        </w:rPr>
        <w:t xml:space="preserve">ία συνήθως οφείλεται στο ότι αυτοί πεθαίνουν χωρίς κατιόντες ή στην θέλησή τους να εγκαταλείψουν τις </w:t>
      </w:r>
      <w:r w:rsidRPr="00F63021" w:rsidR="00A21AA6">
        <w:rPr>
          <w:rFonts w:ascii="Times New Roman" w:hAnsi="Times New Roman"/>
        </w:rPr>
        <w:t>απαιτήσεις</w:t>
      </w:r>
      <w:r w:rsidRPr="00F63021" w:rsidR="005A046F">
        <w:rPr>
          <w:rFonts w:ascii="Times New Roman" w:hAnsi="Times New Roman"/>
        </w:rPr>
        <w:t xml:space="preserve"> τους.</w:t>
      </w:r>
    </w:p>
    <w:p w:rsidRPr="00F63021" w:rsidR="00F63021" w:rsidP="00F63021" w:rsidRDefault="005A046F">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Η </w:t>
      </w:r>
      <w:r w:rsidRPr="00F63021" w:rsidR="00A21AA6">
        <w:rPr>
          <w:rFonts w:ascii="Times New Roman" w:hAnsi="Times New Roman"/>
        </w:rPr>
        <w:t>απαίτηση</w:t>
      </w:r>
      <w:r w:rsidRPr="00F63021">
        <w:rPr>
          <w:rFonts w:ascii="Times New Roman" w:hAnsi="Times New Roman"/>
        </w:rPr>
        <w:t xml:space="preserve"> του προσφεύγοντος υπέπεσε στην παραγραφή που προβλέπουν οι </w:t>
      </w:r>
      <w:r w:rsidRPr="00F63021" w:rsidR="00961C8A">
        <w:rPr>
          <w:rFonts w:ascii="Times New Roman" w:hAnsi="Times New Roman"/>
        </w:rPr>
        <w:t xml:space="preserve">γενικές διατάξεις του Αστικού Κώδικα, που ισχύουν παράλληλα με αυτές του Νομοθετικού Διατάγματος και ανεξάρτητα από αυτές. Η διαφοροποίηση που επιφέρει του Νομοθετικό Διάταγμα όσον αφορά την παραγραφή των άρθρων 247 και επόμενα του Αστικού Κώδικα είναι ότι η </w:t>
      </w:r>
      <w:r w:rsidRPr="00F63021" w:rsidR="00A21AA6">
        <w:rPr>
          <w:rFonts w:ascii="Times New Roman" w:hAnsi="Times New Roman"/>
        </w:rPr>
        <w:t>απαίτηση</w:t>
      </w:r>
      <w:r w:rsidRPr="00F63021" w:rsidR="00961C8A">
        <w:rPr>
          <w:rFonts w:ascii="Times New Roman" w:hAnsi="Times New Roman"/>
        </w:rPr>
        <w:t xml:space="preserve"> που παραγράφεται</w:t>
      </w:r>
      <w:r w:rsidRPr="00F63021" w:rsidR="00FB1EF9">
        <w:rPr>
          <w:rFonts w:ascii="Times New Roman" w:hAnsi="Times New Roman"/>
        </w:rPr>
        <w:t xml:space="preserve"> </w:t>
      </w:r>
      <w:r w:rsidRPr="00F63021" w:rsidR="00961C8A">
        <w:rPr>
          <w:rFonts w:ascii="Times New Roman" w:hAnsi="Times New Roman"/>
        </w:rPr>
        <w:t>περιέρχεται στο Δημόσιο και όχι στην Τράπεζα όπου τηρείται ο αδρανής λογαριασμός. Η εφαρμογή των διατάξεων του Νομοθετικού Διατάγματος στην περίπτωση του προσφεύγοντος</w:t>
      </w:r>
      <w:r w:rsidRPr="00F63021" w:rsidR="00F63021">
        <w:rPr>
          <w:rFonts w:ascii="Times New Roman" w:hAnsi="Times New Roman"/>
        </w:rPr>
        <w:t xml:space="preserve"> </w:t>
      </w:r>
      <w:r w:rsidRPr="00F63021" w:rsidR="00961C8A">
        <w:rPr>
          <w:rFonts w:ascii="Times New Roman" w:hAnsi="Times New Roman"/>
        </w:rPr>
        <w:t>δεν είχε καμία ιδιαίτερη επίδραση</w:t>
      </w:r>
      <w:r w:rsidRPr="00F63021" w:rsidR="00FB1EF9">
        <w:rPr>
          <w:rFonts w:ascii="Times New Roman" w:hAnsi="Times New Roman"/>
        </w:rPr>
        <w:t xml:space="preserve"> στην παραγραφή αφού η </w:t>
      </w:r>
      <w:r w:rsidRPr="00F63021" w:rsidR="00A21AA6">
        <w:rPr>
          <w:rFonts w:ascii="Times New Roman" w:hAnsi="Times New Roman"/>
        </w:rPr>
        <w:t>απαίτησή</w:t>
      </w:r>
      <w:r w:rsidRPr="00F63021" w:rsidR="00FB1EF9">
        <w:rPr>
          <w:rFonts w:ascii="Times New Roman" w:hAnsi="Times New Roman"/>
        </w:rPr>
        <w:t xml:space="preserve"> του θα είχε παραγραφεί ούτως ή άλλως ακόμα και με βάση τον Αστικό Κώδικα, με την μόνη διαφορά ότι στην περίπτωση αυτή δικαιούχος θα ήταν η Τράπεζα και όχι το Δημόσιο.</w:t>
      </w:r>
    </w:p>
    <w:p w:rsidRPr="00F63021" w:rsidR="00F63021" w:rsidP="00F63021" w:rsidRDefault="00FB1EF9">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Η Τράπεζα δεν είχε την υποχρέωση να ειδοποιήσει τον προσφεύγοντα πριν την </w:t>
      </w:r>
      <w:r w:rsidRPr="00F63021" w:rsidR="00A21AA6">
        <w:rPr>
          <w:rFonts w:ascii="Times New Roman" w:hAnsi="Times New Roman"/>
        </w:rPr>
        <w:t>παρέλευση του χρόνου</w:t>
      </w:r>
      <w:r w:rsidRPr="00F63021">
        <w:rPr>
          <w:rFonts w:ascii="Times New Roman" w:hAnsi="Times New Roman"/>
        </w:rPr>
        <w:t xml:space="preserve"> παραγραφής. Από την στιγμή που η Τράπεζα του έδωσε βιβλιάριο λογαριασμού, εναπόκειτο σε εκείνον να το τηρεί ενημερωμένο, αφού το βιβλιάριο αυτό αποτελούσε την απόδειξη του ποσού που κατατέθηκε στον λογαριασμό του και της ύπαρξης κινήσεων στον λογαριασμό (αποφάσεις του Αρείου Πάγου αρ. 432/1990 και αρ. 1623/1995-ανωτέρω παράγραφος 24).</w:t>
      </w:r>
    </w:p>
    <w:p w:rsidRPr="00F63021" w:rsidR="00F63021" w:rsidP="00F63021" w:rsidRDefault="00D406A9">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Από τα ανωτέρω συνάγεται ότι η ενημέρωση κάθε εξάμηνο </w:t>
      </w:r>
      <w:r w:rsidRPr="00F63021" w:rsidR="00A21AA6">
        <w:rPr>
          <w:rFonts w:ascii="Times New Roman" w:hAnsi="Times New Roman"/>
        </w:rPr>
        <w:t xml:space="preserve">της καρτέλας </w:t>
      </w:r>
      <w:r w:rsidRPr="00F63021">
        <w:rPr>
          <w:rFonts w:ascii="Times New Roman" w:hAnsi="Times New Roman"/>
        </w:rPr>
        <w:t>του προσφεύγοντος από την Τράπεζα, με την εγγραφή των τόκων που παρήγαγε ο λογαριασμός, δεν επιφέρει διακοπή της παραγραφής, αφού η πράξη αυτή δεν απευθυνόταν στον προσφεύγοντα και δεν περιήλθε σε αυτόν, αλλά αφορούσε μόνον την επικαιροποίηση των δεδομένων της Τράπεζας, δηλαδή μια εσωτερική διαδικασία της Τράπεζας. Η πράξη αυτή δεν γνωστοποιήθηκε στον προσφεύγοντα, αφού αυτός δεν παρουσιάστηκε για να πραγματοποιήσει μια συναλλαγή ή για να εγγράψει στο βιβλιάριό τους τις αλλαγές που έγιναν στον λογαριασμό του.</w:t>
      </w:r>
    </w:p>
    <w:p w:rsidRPr="00F63021" w:rsidR="00F63021" w:rsidP="00F63021" w:rsidRDefault="00D406A9">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Εξάλλου, η Κυβέρνηση καταλογίζει στον προσφεύγοντα ότι δεν έδειξε την παραμικρή επιμέλεια. Τέλος, τα εθνικά δικαστήρια απέρριψαν τους λόγους ανωτέρας βίας που επικαλέστηκε ο προσφεύγων γι</w:t>
      </w:r>
      <w:r w:rsidRPr="00F63021" w:rsidR="00A21AA6">
        <w:rPr>
          <w:rFonts w:ascii="Times New Roman" w:hAnsi="Times New Roman"/>
        </w:rPr>
        <w:t>α να στηρίξει το επιχείρημά του</w:t>
      </w:r>
      <w:r w:rsidRPr="00F63021">
        <w:rPr>
          <w:rFonts w:ascii="Times New Roman" w:hAnsi="Times New Roman"/>
        </w:rPr>
        <w:t xml:space="preserve"> σύμφωνα με το οποίο η παραγραφή είχε ανασταλεί λόγω </w:t>
      </w:r>
      <w:r w:rsidRPr="00F63021" w:rsidR="00A21AA6">
        <w:rPr>
          <w:rFonts w:ascii="Times New Roman" w:hAnsi="Times New Roman"/>
        </w:rPr>
        <w:t>της ασθένειας</w:t>
      </w:r>
      <w:r w:rsidRPr="00F63021">
        <w:rPr>
          <w:rFonts w:ascii="Times New Roman" w:hAnsi="Times New Roman"/>
        </w:rPr>
        <w:t xml:space="preserve"> του ίδιου και της συζύγου του.</w:t>
      </w:r>
    </w:p>
    <w:p w:rsidRPr="00F63021" w:rsidR="00F63021" w:rsidP="00F63021" w:rsidRDefault="0090005A">
      <w:pPr>
        <w:pStyle w:val="NormalWeb"/>
        <w:spacing w:before="0" w:beforeAutospacing="0" w:after="120" w:afterAutospacing="0" w:line="312" w:lineRule="auto"/>
        <w:jc w:val="both"/>
        <w:rPr>
          <w:rFonts w:ascii="Times New Roman" w:hAnsi="Times New Roman"/>
          <w:b/>
        </w:rPr>
      </w:pPr>
      <w:r w:rsidRPr="00F63021">
        <w:rPr>
          <w:rFonts w:ascii="Times New Roman" w:hAnsi="Times New Roman"/>
          <w:b/>
        </w:rPr>
        <w:t>β)</w:t>
      </w:r>
      <w:r w:rsidRPr="00F63021">
        <w:rPr>
          <w:rFonts w:ascii="Times New Roman" w:hAnsi="Times New Roman"/>
          <w:b/>
        </w:rPr>
        <w:tab/>
        <w:t>Ο προσφεύγων</w:t>
      </w:r>
    </w:p>
    <w:p w:rsidRPr="00F63021" w:rsidR="00F63021" w:rsidP="00F63021" w:rsidRDefault="0090005A">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Ο προσφεύγων υποστηρίζει ότι η πρόθεσή του, όταν άνοιξε τον λογαριασμό του και στο πνεύμα της συμβατικής ελευθερίας ήταν να συνάψει μια σύμβαση ισόβιας προσόδου. </w:t>
      </w:r>
      <w:r w:rsidRPr="00F63021" w:rsidR="004F0490">
        <w:rPr>
          <w:rFonts w:ascii="Times New Roman" w:hAnsi="Times New Roman"/>
        </w:rPr>
        <w:t>Η εφαρμογή της παραγραφής</w:t>
      </w:r>
      <w:r w:rsidRPr="00F63021">
        <w:rPr>
          <w:rFonts w:ascii="Times New Roman" w:hAnsi="Times New Roman"/>
        </w:rPr>
        <w:t>, ενώ ήταν προφανές ότι η δημόσια τάξη δεν απειλούνταν, δεν ήταν σύμφων</w:t>
      </w:r>
      <w:r w:rsidRPr="00F63021" w:rsidR="004F0490">
        <w:rPr>
          <w:rFonts w:ascii="Times New Roman" w:hAnsi="Times New Roman"/>
        </w:rPr>
        <w:t>η</w:t>
      </w:r>
      <w:r w:rsidRPr="00F63021">
        <w:rPr>
          <w:rFonts w:ascii="Times New Roman" w:hAnsi="Times New Roman"/>
        </w:rPr>
        <w:t xml:space="preserve"> προς τις αρχές της καλής πίστης, των χρηστών ηθών και των συναλλακτικών εθίμων. Τέλος, η κεφαλαιοποίηση της κατάθεσης μέσω της συσσώρευσης τόκων δεν μπορούσε να υπόκειται στην παραγραφή , στον βαθμό που, με τον τρόπο αυτό, η τράπεζα αναγνώριζε, εμμέσως αλλά αναμφισβήτητα, την </w:t>
      </w:r>
      <w:r w:rsidRPr="00F63021" w:rsidR="00A21AA6">
        <w:rPr>
          <w:rFonts w:ascii="Times New Roman" w:hAnsi="Times New Roman"/>
        </w:rPr>
        <w:t>απαίτηση</w:t>
      </w:r>
      <w:r w:rsidRPr="00F63021">
        <w:rPr>
          <w:rFonts w:ascii="Times New Roman" w:hAnsi="Times New Roman"/>
        </w:rPr>
        <w:t xml:space="preserve"> του προσφεύγοντος. Αφετέρου, ην κεφαλαιοποίηση των τόκων αποτελεί λόγο αναστολής της παραγραφής.</w:t>
      </w:r>
    </w:p>
    <w:p w:rsidRPr="00F63021" w:rsidR="00F63021" w:rsidP="00F63021" w:rsidRDefault="00530C17">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Ο προσφεύγων υπογραμμίζει ότι η Τράπεζα έπρεπε να τον είχε ενημερώσει για τον κίνδυνο που διέτρεχε να χάσει τα χρήματά του και ότι το Δημόσιο έπρεπε να είχε κρατήσει για ένα ελάχιστο εύλογο χρονικό διάστημα τα κεφάλαια πέρα από την ημερομηνία παραγραφής για να προστατεύσει την περιουσία του προσφεύγοντ</w:t>
      </w:r>
      <w:r w:rsidRPr="00F63021" w:rsidR="004F0490">
        <w:rPr>
          <w:rFonts w:ascii="Times New Roman" w:hAnsi="Times New Roman"/>
        </w:rPr>
        <w:t>ος</w:t>
      </w:r>
      <w:r w:rsidRPr="00F63021">
        <w:rPr>
          <w:rFonts w:ascii="Times New Roman" w:hAnsi="Times New Roman"/>
        </w:rPr>
        <w:t xml:space="preserve"> και του κληρονόμου του. Ο προσφεύγων επικαλείται τα παραδείγματα της γαλλικής, ιταλικής και γερμανικής νομοθεσίας, που προβλέπουν μια τέτοια ενημέρωση.</w:t>
      </w:r>
    </w:p>
    <w:p w:rsidRPr="00F63021" w:rsidR="00F63021" w:rsidP="00F63021" w:rsidRDefault="00530C17">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Ο προσφεύγων υποστηρίζει ότι το ότι δεν υπήρξε καμία κίνηση του λογαριασμού του κατά </w:t>
      </w:r>
      <w:r w:rsidRPr="00F63021" w:rsidR="004F0490">
        <w:rPr>
          <w:rFonts w:ascii="Times New Roman" w:hAnsi="Times New Roman"/>
        </w:rPr>
        <w:t>τον χρόνο</w:t>
      </w:r>
      <w:r w:rsidRPr="00F63021">
        <w:rPr>
          <w:rFonts w:ascii="Times New Roman" w:hAnsi="Times New Roman"/>
        </w:rPr>
        <w:t xml:space="preserve"> παραγραφής οφειλόταν σε αιτία ανωτέρας βίας, ειδικότερα </w:t>
      </w:r>
      <w:r w:rsidRPr="00F63021" w:rsidR="004F0490">
        <w:rPr>
          <w:rFonts w:ascii="Times New Roman" w:hAnsi="Times New Roman"/>
        </w:rPr>
        <w:t xml:space="preserve">όσον αφορά την περίοδο ανάμεσα </w:t>
      </w:r>
      <w:r w:rsidRPr="00F63021">
        <w:rPr>
          <w:rFonts w:ascii="Times New Roman" w:hAnsi="Times New Roman"/>
        </w:rPr>
        <w:t>στο τελευταίο εξάμηνο της προθεσμίας (1994) και την στιγμή (6 Φεβρουαρίου 2003) που ζήτησε από την Τράπεζα να τον ενημερώσει για την κατάσταση του λογαριασμού του.</w:t>
      </w:r>
    </w:p>
    <w:p w:rsidRPr="00F63021" w:rsidR="00F63021" w:rsidP="00F63021" w:rsidRDefault="00530C17">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Τέλος, ο προσφεύγων υποστηρίζει ότι το νομοθετικό διάταγμα αρ. 1195/1942 δεν επικυρώθηκε ποτ</w:t>
      </w:r>
      <w:r w:rsidRPr="00F63021" w:rsidR="00F300AF">
        <w:rPr>
          <w:rFonts w:ascii="Times New Roman" w:hAnsi="Times New Roman"/>
        </w:rPr>
        <w:t xml:space="preserve">έ </w:t>
      </w:r>
      <w:r w:rsidRPr="00F63021">
        <w:rPr>
          <w:rFonts w:ascii="Times New Roman" w:hAnsi="Times New Roman"/>
        </w:rPr>
        <w:t>και δεν έχει την ισχύ έγκυρης νομικής πρ</w:t>
      </w:r>
      <w:r w:rsidRPr="00F63021" w:rsidR="00F300AF">
        <w:rPr>
          <w:rFonts w:ascii="Times New Roman" w:hAnsi="Times New Roman"/>
        </w:rPr>
        <w:t>άξης</w:t>
      </w:r>
      <w:r w:rsidRPr="00F63021">
        <w:rPr>
          <w:rFonts w:ascii="Times New Roman" w:hAnsi="Times New Roman"/>
        </w:rPr>
        <w:t xml:space="preserve">. </w:t>
      </w:r>
      <w:r w:rsidRPr="00F63021" w:rsidR="00F300AF">
        <w:rPr>
          <w:rFonts w:ascii="Times New Roman" w:hAnsi="Times New Roman"/>
        </w:rPr>
        <w:t xml:space="preserve">Θεωρεί ότι είναι </w:t>
      </w:r>
      <w:r w:rsidRPr="00F63021" w:rsidR="004F0490">
        <w:rPr>
          <w:rFonts w:ascii="Times New Roman" w:hAnsi="Times New Roman"/>
        </w:rPr>
        <w:t xml:space="preserve">απαράδεκτο </w:t>
      </w:r>
      <w:r w:rsidRPr="00F63021" w:rsidR="00F300AF">
        <w:rPr>
          <w:rFonts w:ascii="Times New Roman" w:hAnsi="Times New Roman"/>
        </w:rPr>
        <w:t xml:space="preserve">για ένα δημοκρατικό κράτος όπως η Ελλάδα να εφαρμόζει ένα κείμενο που υιοθετήθηκε κατά την εποχή της κατοχής από την ναζιστική Γερμανία και να προβαίνει σιωπηρώς στην δήμευση των κεφαλαίων ενός ατόμου. Κατά την γνώμη του προσφεύγοντος, δεν μπορεί να γίνεται επίκληση του δημοσίου συμφέροντος εις βάρος του ιδιωτικού συμφέροντος, με την απουσία νόμου που θα </w:t>
      </w:r>
      <w:r w:rsidRPr="00F63021" w:rsidR="004A1B20">
        <w:rPr>
          <w:rFonts w:ascii="Times New Roman" w:hAnsi="Times New Roman"/>
        </w:rPr>
        <w:t>προέβλεπε την αποζημίωση των ενδιαφερομένων για την απώλεια της περιουσίας τους.</w:t>
      </w:r>
    </w:p>
    <w:p w:rsidRPr="00F63021" w:rsidR="004A1B20" w:rsidP="00F63021" w:rsidRDefault="004A1B20">
      <w:pPr>
        <w:pStyle w:val="NormalWeb"/>
        <w:spacing w:before="0" w:beforeAutospacing="0" w:after="120" w:afterAutospacing="0" w:line="312" w:lineRule="auto"/>
        <w:jc w:val="both"/>
        <w:rPr>
          <w:rFonts w:ascii="Times New Roman" w:hAnsi="Times New Roman"/>
          <w:i/>
        </w:rPr>
      </w:pPr>
      <w:r w:rsidRPr="00F63021">
        <w:rPr>
          <w:rFonts w:ascii="Times New Roman" w:hAnsi="Times New Roman"/>
          <w:i/>
        </w:rPr>
        <w:t>2.</w:t>
      </w:r>
      <w:r w:rsidRPr="00F63021">
        <w:rPr>
          <w:rFonts w:ascii="Times New Roman" w:hAnsi="Times New Roman"/>
          <w:i/>
        </w:rPr>
        <w:tab/>
        <w:t>Η κρίση του Δικαστηρίου</w:t>
      </w:r>
    </w:p>
    <w:p w:rsidRPr="00F63021" w:rsidR="00F63021" w:rsidP="00F63021" w:rsidRDefault="004A1B20">
      <w:pPr>
        <w:pStyle w:val="NormalWeb"/>
        <w:spacing w:before="0" w:beforeAutospacing="0" w:after="120" w:afterAutospacing="0" w:line="312" w:lineRule="auto"/>
        <w:jc w:val="both"/>
        <w:rPr>
          <w:rFonts w:ascii="Times New Roman" w:hAnsi="Times New Roman"/>
          <w:b/>
        </w:rPr>
      </w:pPr>
      <w:r w:rsidRPr="00F63021">
        <w:rPr>
          <w:rFonts w:ascii="Times New Roman" w:hAnsi="Times New Roman"/>
          <w:b/>
        </w:rPr>
        <w:t xml:space="preserve">α) </w:t>
      </w:r>
      <w:r w:rsidRPr="00F63021" w:rsidR="004F0490">
        <w:rPr>
          <w:rFonts w:ascii="Times New Roman" w:hAnsi="Times New Roman"/>
          <w:b/>
        </w:rPr>
        <w:t>Υπενθύμιση των αρχών</w:t>
      </w:r>
    </w:p>
    <w:p w:rsidRPr="00F63021" w:rsidR="00F63021" w:rsidP="00F63021" w:rsidRDefault="004A1B20">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Το Δικαστήριο υπενθυμίζει ότι το άρθρο αρ. 1 του Πρώτου Πρωτοκόλλου, που έχει σκοπό κυρίως να προστατεύσει το άτομο από κάθε προσβολή της </w:t>
      </w:r>
      <w:r w:rsidRPr="00F63021" w:rsidR="0084074C">
        <w:rPr>
          <w:rFonts w:ascii="Times New Roman" w:hAnsi="Times New Roman"/>
        </w:rPr>
        <w:t>ιδιοκτησίας</w:t>
      </w:r>
      <w:r w:rsidRPr="00F63021">
        <w:rPr>
          <w:rFonts w:ascii="Times New Roman" w:hAnsi="Times New Roman"/>
        </w:rPr>
        <w:t xml:space="preserve"> του προερχόμενη από το Κράτος, μπορεί επίσης να </w:t>
      </w:r>
      <w:r w:rsidRPr="00F63021" w:rsidR="001F4206">
        <w:rPr>
          <w:rFonts w:ascii="Times New Roman" w:hAnsi="Times New Roman"/>
        </w:rPr>
        <w:t>σημαίνει</w:t>
      </w:r>
      <w:r w:rsidRPr="00F63021">
        <w:rPr>
          <w:rFonts w:ascii="Times New Roman" w:hAnsi="Times New Roman"/>
        </w:rPr>
        <w:t xml:space="preserve"> θετικές υποχρεώσεις για το Κράτος</w:t>
      </w:r>
      <w:r w:rsidRPr="00F63021" w:rsidR="001F4206">
        <w:rPr>
          <w:rFonts w:ascii="Times New Roman" w:hAnsi="Times New Roman"/>
        </w:rPr>
        <w:t xml:space="preserve"> που να συνεπάγονται για το Κράτος</w:t>
      </w:r>
      <w:r w:rsidRPr="00F63021">
        <w:rPr>
          <w:rFonts w:ascii="Times New Roman" w:hAnsi="Times New Roman"/>
        </w:rPr>
        <w:t xml:space="preserve"> ορισμέν</w:t>
      </w:r>
      <w:r w:rsidRPr="00F63021" w:rsidR="001F4206">
        <w:rPr>
          <w:rFonts w:ascii="Times New Roman" w:hAnsi="Times New Roman"/>
        </w:rPr>
        <w:t>α</w:t>
      </w:r>
      <w:r w:rsidRPr="00F63021">
        <w:rPr>
          <w:rFonts w:ascii="Times New Roman" w:hAnsi="Times New Roman"/>
        </w:rPr>
        <w:t xml:space="preserve"> μέτρ</w:t>
      </w:r>
      <w:r w:rsidRPr="00F63021" w:rsidR="001F4206">
        <w:rPr>
          <w:rFonts w:ascii="Times New Roman" w:hAnsi="Times New Roman"/>
        </w:rPr>
        <w:t>α</w:t>
      </w:r>
      <w:r w:rsidRPr="00F63021">
        <w:rPr>
          <w:rFonts w:ascii="Times New Roman" w:hAnsi="Times New Roman"/>
        </w:rPr>
        <w:t xml:space="preserve"> απαραίτητ</w:t>
      </w:r>
      <w:r w:rsidRPr="00F63021" w:rsidR="001F4206">
        <w:rPr>
          <w:rFonts w:ascii="Times New Roman" w:hAnsi="Times New Roman"/>
        </w:rPr>
        <w:t>α</w:t>
      </w:r>
      <w:r w:rsidRPr="00F63021">
        <w:rPr>
          <w:rFonts w:ascii="Times New Roman" w:hAnsi="Times New Roman"/>
        </w:rPr>
        <w:t xml:space="preserve"> για την προστασία του δικαιώματος </w:t>
      </w:r>
      <w:r w:rsidRPr="00F63021" w:rsidR="0084074C">
        <w:rPr>
          <w:rFonts w:ascii="Times New Roman" w:hAnsi="Times New Roman"/>
        </w:rPr>
        <w:t>ιδιοκτη</w:t>
      </w:r>
      <w:r w:rsidRPr="00F63021">
        <w:rPr>
          <w:rFonts w:ascii="Times New Roman" w:hAnsi="Times New Roman"/>
        </w:rPr>
        <w:t>σ</w:t>
      </w:r>
      <w:r w:rsidRPr="00F63021" w:rsidR="00740F5C">
        <w:rPr>
          <w:rFonts w:ascii="Times New Roman" w:hAnsi="Times New Roman"/>
        </w:rPr>
        <w:t xml:space="preserve">ίας, ιδίως εκεί όπου υπάρχει άμεσος σύνδεσμος ανάμεσα στα μέτρα που ο προσφεύγων μπορεί θεμιτά να περιμένει από τις αρχές και την πραγματική απόλαυση της </w:t>
      </w:r>
      <w:r w:rsidRPr="00F63021" w:rsidR="0084074C">
        <w:rPr>
          <w:rFonts w:ascii="Times New Roman" w:hAnsi="Times New Roman"/>
        </w:rPr>
        <w:t xml:space="preserve">ιδιοκτησίας </w:t>
      </w:r>
      <w:r w:rsidRPr="00F63021" w:rsidR="00740F5C">
        <w:rPr>
          <w:rFonts w:ascii="Times New Roman" w:hAnsi="Times New Roman"/>
        </w:rPr>
        <w:t>του</w:t>
      </w:r>
      <w:r w:rsidRPr="00F63021" w:rsidR="00F63021">
        <w:rPr>
          <w:rFonts w:ascii="Times New Roman" w:hAnsi="Times New Roman"/>
        </w:rPr>
        <w:t xml:space="preserve"> </w:t>
      </w:r>
      <w:r w:rsidRPr="00F63021" w:rsidR="00740F5C">
        <w:rPr>
          <w:rFonts w:ascii="Times New Roman" w:hAnsi="Times New Roman"/>
          <w:i/>
        </w:rPr>
        <w:t>(</w:t>
      </w:r>
      <w:proofErr w:type="spellStart"/>
      <w:r w:rsidRPr="00F63021" w:rsidR="00740F5C">
        <w:rPr>
          <w:rFonts w:ascii="Times New Roman" w:hAnsi="Times New Roman"/>
          <w:i/>
          <w:lang w:val="fr-FR"/>
        </w:rPr>
        <w:t>Oneryildiz</w:t>
      </w:r>
      <w:proofErr w:type="spellEnd"/>
      <w:r w:rsidRPr="00F63021" w:rsidR="00740F5C">
        <w:rPr>
          <w:rFonts w:ascii="Times New Roman" w:hAnsi="Times New Roman"/>
          <w:i/>
        </w:rPr>
        <w:t xml:space="preserve"> κατά Τουρκίας </w:t>
      </w:r>
      <w:r w:rsidRPr="00F63021" w:rsidR="00740F5C">
        <w:rPr>
          <w:rFonts w:ascii="Times New Roman" w:hAnsi="Times New Roman"/>
        </w:rPr>
        <w:t>[</w:t>
      </w:r>
      <w:r w:rsidRPr="00F63021" w:rsidR="00740F5C">
        <w:rPr>
          <w:rFonts w:ascii="Times New Roman" w:hAnsi="Times New Roman"/>
          <w:lang w:val="en-US"/>
        </w:rPr>
        <w:t>GC</w:t>
      </w:r>
      <w:r w:rsidRPr="00F63021" w:rsidR="00740F5C">
        <w:rPr>
          <w:rFonts w:ascii="Times New Roman" w:hAnsi="Times New Roman"/>
        </w:rPr>
        <w:t xml:space="preserve">], αρ. 48939/99, § 134, </w:t>
      </w:r>
      <w:r w:rsidRPr="00F63021" w:rsidR="00740F5C">
        <w:rPr>
          <w:rFonts w:ascii="Times New Roman" w:hAnsi="Times New Roman"/>
          <w:lang w:val="fr-FR"/>
        </w:rPr>
        <w:t>CEDH</w:t>
      </w:r>
      <w:r w:rsidRPr="00F63021" w:rsidR="00740F5C">
        <w:rPr>
          <w:rFonts w:ascii="Times New Roman" w:hAnsi="Times New Roman"/>
        </w:rPr>
        <w:t xml:space="preserve"> 2004-</w:t>
      </w:r>
      <w:r w:rsidRPr="00F63021" w:rsidR="00740F5C">
        <w:rPr>
          <w:rFonts w:ascii="Times New Roman" w:hAnsi="Times New Roman"/>
          <w:lang w:val="fr-FR"/>
        </w:rPr>
        <w:t>XI</w:t>
      </w:r>
      <w:r w:rsidRPr="00F63021" w:rsidR="00740F5C">
        <w:rPr>
          <w:rFonts w:ascii="Times New Roman" w:hAnsi="Times New Roman"/>
        </w:rPr>
        <w:t xml:space="preserve">, </w:t>
      </w:r>
      <w:proofErr w:type="spellStart"/>
      <w:r w:rsidRPr="00F63021" w:rsidR="00740F5C">
        <w:rPr>
          <w:rFonts w:ascii="Times New Roman" w:hAnsi="Times New Roman"/>
          <w:i/>
          <w:lang w:val="fr-FR"/>
        </w:rPr>
        <w:t>Paduraru</w:t>
      </w:r>
      <w:proofErr w:type="spellEnd"/>
      <w:r w:rsidRPr="00F63021" w:rsidR="00740F5C">
        <w:rPr>
          <w:rFonts w:ascii="Times New Roman" w:hAnsi="Times New Roman"/>
          <w:i/>
        </w:rPr>
        <w:t xml:space="preserve"> κατά Ρουμανίας</w:t>
      </w:r>
      <w:r w:rsidRPr="00F63021" w:rsidR="00740F5C">
        <w:rPr>
          <w:rFonts w:ascii="Times New Roman" w:hAnsi="Times New Roman"/>
        </w:rPr>
        <w:t xml:space="preserve">, αρ. 63252/00, §88, </w:t>
      </w:r>
      <w:r w:rsidRPr="00F63021" w:rsidR="00740F5C">
        <w:rPr>
          <w:rFonts w:ascii="Times New Roman" w:hAnsi="Times New Roman"/>
          <w:lang w:val="fr-FR"/>
        </w:rPr>
        <w:t>CEDH</w:t>
      </w:r>
      <w:r w:rsidRPr="00F63021" w:rsidR="00740F5C">
        <w:rPr>
          <w:rFonts w:ascii="Times New Roman" w:hAnsi="Times New Roman"/>
        </w:rPr>
        <w:t xml:space="preserve"> 2005-</w:t>
      </w:r>
      <w:r w:rsidRPr="00F63021" w:rsidR="00740F5C">
        <w:rPr>
          <w:rFonts w:ascii="Times New Roman" w:hAnsi="Times New Roman"/>
          <w:lang w:val="fr-FR"/>
        </w:rPr>
        <w:t>XII</w:t>
      </w:r>
      <w:r w:rsidRPr="00F63021" w:rsidR="00740F5C">
        <w:rPr>
          <w:rFonts w:ascii="Times New Roman" w:hAnsi="Times New Roman"/>
        </w:rPr>
        <w:t xml:space="preserve">, </w:t>
      </w:r>
      <w:proofErr w:type="spellStart"/>
      <w:r w:rsidRPr="00F63021" w:rsidR="00740F5C">
        <w:rPr>
          <w:rFonts w:ascii="Times New Roman" w:hAnsi="Times New Roman"/>
          <w:i/>
          <w:lang w:val="en-US"/>
        </w:rPr>
        <w:t>Broniowski</w:t>
      </w:r>
      <w:proofErr w:type="spellEnd"/>
      <w:r w:rsidRPr="00F63021" w:rsidR="00740F5C">
        <w:rPr>
          <w:rFonts w:ascii="Times New Roman" w:hAnsi="Times New Roman"/>
          <w:i/>
        </w:rPr>
        <w:t xml:space="preserve"> κατά Πολωνίας</w:t>
      </w:r>
      <w:r w:rsidRPr="00F63021" w:rsidR="00740F5C">
        <w:rPr>
          <w:rFonts w:ascii="Times New Roman" w:hAnsi="Times New Roman"/>
        </w:rPr>
        <w:t xml:space="preserve"> [</w:t>
      </w:r>
      <w:r w:rsidRPr="00F63021" w:rsidR="00740F5C">
        <w:rPr>
          <w:rFonts w:ascii="Times New Roman" w:hAnsi="Times New Roman"/>
          <w:lang w:val="en-US"/>
        </w:rPr>
        <w:t>GC</w:t>
      </w:r>
      <w:r w:rsidRPr="00F63021" w:rsidR="00740F5C">
        <w:rPr>
          <w:rFonts w:ascii="Times New Roman" w:hAnsi="Times New Roman"/>
        </w:rPr>
        <w:t>], αρ. 31443/96, §</w:t>
      </w:r>
      <w:r w:rsidRPr="00F63021" w:rsidR="005372EE">
        <w:rPr>
          <w:rFonts w:ascii="Times New Roman" w:hAnsi="Times New Roman"/>
        </w:rPr>
        <w:t xml:space="preserve">143, </w:t>
      </w:r>
      <w:r w:rsidRPr="00F63021" w:rsidR="005372EE">
        <w:rPr>
          <w:rFonts w:ascii="Times New Roman" w:hAnsi="Times New Roman"/>
          <w:lang w:val="fr-FR"/>
        </w:rPr>
        <w:t>CEDH</w:t>
      </w:r>
      <w:r w:rsidRPr="00F63021" w:rsidR="005372EE">
        <w:rPr>
          <w:rFonts w:ascii="Times New Roman" w:hAnsi="Times New Roman"/>
        </w:rPr>
        <w:t xml:space="preserve"> 2004-</w:t>
      </w:r>
      <w:r w:rsidRPr="00F63021" w:rsidR="005372EE">
        <w:rPr>
          <w:rFonts w:ascii="Times New Roman" w:hAnsi="Times New Roman"/>
          <w:lang w:val="fr-FR"/>
        </w:rPr>
        <w:t>V</w:t>
      </w:r>
      <w:r w:rsidRPr="00F63021" w:rsidR="005372EE">
        <w:rPr>
          <w:rFonts w:ascii="Times New Roman" w:hAnsi="Times New Roman"/>
        </w:rPr>
        <w:t xml:space="preserve">, και </w:t>
      </w:r>
      <w:proofErr w:type="spellStart"/>
      <w:r w:rsidRPr="00F63021" w:rsidR="005372EE">
        <w:rPr>
          <w:rFonts w:ascii="Times New Roman" w:hAnsi="Times New Roman"/>
          <w:i/>
          <w:lang w:val="fr-FR"/>
        </w:rPr>
        <w:t>Sontransavto</w:t>
      </w:r>
      <w:proofErr w:type="spellEnd"/>
      <w:r w:rsidRPr="00F63021" w:rsidR="005372EE">
        <w:rPr>
          <w:rFonts w:ascii="Times New Roman" w:hAnsi="Times New Roman"/>
          <w:i/>
        </w:rPr>
        <w:t xml:space="preserve"> </w:t>
      </w:r>
      <w:r w:rsidRPr="00F63021" w:rsidR="005372EE">
        <w:rPr>
          <w:rFonts w:ascii="Times New Roman" w:hAnsi="Times New Roman"/>
          <w:i/>
          <w:lang w:val="fr-FR"/>
        </w:rPr>
        <w:t>Holding</w:t>
      </w:r>
      <w:r w:rsidRPr="00F63021" w:rsidR="005372EE">
        <w:rPr>
          <w:rFonts w:ascii="Times New Roman" w:hAnsi="Times New Roman"/>
          <w:i/>
        </w:rPr>
        <w:t xml:space="preserve"> κατά Ουκρανίας, </w:t>
      </w:r>
      <w:r w:rsidRPr="00F63021" w:rsidR="005372EE">
        <w:rPr>
          <w:rFonts w:ascii="Times New Roman" w:hAnsi="Times New Roman"/>
        </w:rPr>
        <w:t xml:space="preserve">αρ. 48553/99, §96, </w:t>
      </w:r>
      <w:r w:rsidRPr="00F63021" w:rsidR="005372EE">
        <w:rPr>
          <w:rFonts w:ascii="Times New Roman" w:hAnsi="Times New Roman"/>
          <w:lang w:val="fr-FR"/>
        </w:rPr>
        <w:t>CEDH</w:t>
      </w:r>
      <w:r w:rsidRPr="00F63021" w:rsidR="005372EE">
        <w:rPr>
          <w:rFonts w:ascii="Times New Roman" w:hAnsi="Times New Roman"/>
        </w:rPr>
        <w:t xml:space="preserve"> 2002-</w:t>
      </w:r>
      <w:r w:rsidRPr="00F63021" w:rsidR="005372EE">
        <w:rPr>
          <w:rFonts w:ascii="Times New Roman" w:hAnsi="Times New Roman"/>
          <w:lang w:val="fr-FR"/>
        </w:rPr>
        <w:t>VII</w:t>
      </w:r>
      <w:r w:rsidRPr="00F63021" w:rsidR="005372EE">
        <w:rPr>
          <w:rFonts w:ascii="Times New Roman" w:hAnsi="Times New Roman"/>
        </w:rPr>
        <w:t xml:space="preserve">). Ακόμα και στο πλαίσιο των «οριζόντιων σχέσεων» μπορεί να υπάρχουν </w:t>
      </w:r>
      <w:r w:rsidRPr="00F63021" w:rsidR="0084074C">
        <w:rPr>
          <w:rFonts w:ascii="Times New Roman" w:hAnsi="Times New Roman"/>
        </w:rPr>
        <w:t xml:space="preserve">λόγοι </w:t>
      </w:r>
      <w:r w:rsidRPr="00F63021" w:rsidR="005372EE">
        <w:rPr>
          <w:rFonts w:ascii="Times New Roman" w:hAnsi="Times New Roman"/>
        </w:rPr>
        <w:t>δ</w:t>
      </w:r>
      <w:r w:rsidRPr="00F63021" w:rsidR="0084074C">
        <w:rPr>
          <w:rFonts w:ascii="Times New Roman" w:hAnsi="Times New Roman"/>
        </w:rPr>
        <w:t xml:space="preserve">ημοσίου συμφέροντος που μπορεί </w:t>
      </w:r>
      <w:r w:rsidRPr="00F63021" w:rsidR="005372EE">
        <w:rPr>
          <w:rFonts w:ascii="Times New Roman" w:hAnsi="Times New Roman"/>
        </w:rPr>
        <w:t xml:space="preserve">να επιβάλουν ορισμένες υποχρεώσεις στο Κράτος. Έτσι, στην (προαναφερθείσα) απόφαση </w:t>
      </w:r>
      <w:proofErr w:type="spellStart"/>
      <w:r w:rsidRPr="00F63021" w:rsidR="005372EE">
        <w:rPr>
          <w:rFonts w:ascii="Times New Roman" w:hAnsi="Times New Roman"/>
          <w:i/>
          <w:lang w:val="en-US"/>
        </w:rPr>
        <w:t>Broniowski</w:t>
      </w:r>
      <w:proofErr w:type="spellEnd"/>
      <w:r w:rsidRPr="00F63021" w:rsidR="005372EE">
        <w:rPr>
          <w:rFonts w:ascii="Times New Roman" w:hAnsi="Times New Roman"/>
          <w:i/>
        </w:rPr>
        <w:t xml:space="preserve">, </w:t>
      </w:r>
      <w:r w:rsidRPr="00F63021" w:rsidR="005372EE">
        <w:rPr>
          <w:rFonts w:ascii="Times New Roman" w:hAnsi="Times New Roman"/>
        </w:rPr>
        <w:t>§143, το Δικαστήριο έκρινε ότι οι θετικές υποχρεώσεις που πηγάζουν από το άρθρο 1 του Πρώτου Πρωτοκό</w:t>
      </w:r>
      <w:r w:rsidRPr="00F63021" w:rsidR="00D270DC">
        <w:rPr>
          <w:rFonts w:ascii="Times New Roman" w:hAnsi="Times New Roman"/>
        </w:rPr>
        <w:t>λ</w:t>
      </w:r>
      <w:r w:rsidRPr="00F63021" w:rsidR="005372EE">
        <w:rPr>
          <w:rFonts w:ascii="Times New Roman" w:hAnsi="Times New Roman"/>
        </w:rPr>
        <w:t>λου, μπορεί</w:t>
      </w:r>
      <w:r w:rsidRPr="00F63021" w:rsidR="00D270DC">
        <w:rPr>
          <w:rFonts w:ascii="Times New Roman" w:hAnsi="Times New Roman"/>
        </w:rPr>
        <w:t xml:space="preserve"> να </w:t>
      </w:r>
      <w:r w:rsidRPr="00F63021" w:rsidR="0084074C">
        <w:rPr>
          <w:rFonts w:ascii="Times New Roman" w:hAnsi="Times New Roman"/>
        </w:rPr>
        <w:t>συνεπάγονται</w:t>
      </w:r>
      <w:r w:rsidRPr="00F63021" w:rsidR="00D270DC">
        <w:rPr>
          <w:rFonts w:ascii="Times New Roman" w:hAnsi="Times New Roman"/>
        </w:rPr>
        <w:t xml:space="preserve"> για το Κράτος ορισμένα μέτρα απαραίτητα για την προστασία του δικαιώματος ιδιοκτησίας. Ως εκ τούτου, </w:t>
      </w:r>
      <w:r w:rsidRPr="00F63021" w:rsidR="0084074C">
        <w:rPr>
          <w:rFonts w:ascii="Times New Roman" w:hAnsi="Times New Roman"/>
        </w:rPr>
        <w:t xml:space="preserve">οι λόγοι δημοσίου συμφέροντος </w:t>
      </w:r>
      <w:r w:rsidRPr="00F63021" w:rsidR="00D270DC">
        <w:rPr>
          <w:rFonts w:ascii="Times New Roman" w:hAnsi="Times New Roman"/>
        </w:rPr>
        <w:t xml:space="preserve">που μπορεί να επιβάλουν ορισμένες υποχρεώσεις στο Κράτος </w:t>
      </w:r>
      <w:r w:rsidRPr="00F63021" w:rsidR="0084074C">
        <w:rPr>
          <w:rFonts w:ascii="Times New Roman" w:hAnsi="Times New Roman"/>
        </w:rPr>
        <w:t>μπορεί να ισχύουν</w:t>
      </w:r>
      <w:r w:rsidRPr="00F63021" w:rsidR="00D270DC">
        <w:rPr>
          <w:rFonts w:ascii="Times New Roman" w:hAnsi="Times New Roman"/>
        </w:rPr>
        <w:t xml:space="preserve"> ακόμα και στο πλαίσιο «οριζόντιων σχέσεων» </w:t>
      </w:r>
      <w:r w:rsidRPr="00F63021" w:rsidR="00D270DC">
        <w:rPr>
          <w:rFonts w:ascii="Times New Roman" w:hAnsi="Times New Roman"/>
          <w:i/>
        </w:rPr>
        <w:t>(</w:t>
      </w:r>
      <w:proofErr w:type="spellStart"/>
      <w:r w:rsidRPr="00F63021" w:rsidR="00D270DC">
        <w:rPr>
          <w:rFonts w:ascii="Times New Roman" w:hAnsi="Times New Roman"/>
          <w:i/>
          <w:lang w:val="fr-FR"/>
        </w:rPr>
        <w:t>Kotov</w:t>
      </w:r>
      <w:proofErr w:type="spellEnd"/>
      <w:r w:rsidRPr="00F63021" w:rsidR="00D270DC">
        <w:rPr>
          <w:rFonts w:ascii="Times New Roman" w:hAnsi="Times New Roman"/>
          <w:i/>
        </w:rPr>
        <w:t xml:space="preserve"> κατά Ρωσίας, </w:t>
      </w:r>
      <w:r w:rsidRPr="00F63021" w:rsidR="00D270DC">
        <w:rPr>
          <w:rFonts w:ascii="Times New Roman" w:hAnsi="Times New Roman"/>
        </w:rPr>
        <w:t>[</w:t>
      </w:r>
      <w:r w:rsidRPr="00F63021" w:rsidR="00D270DC">
        <w:rPr>
          <w:rFonts w:ascii="Times New Roman" w:hAnsi="Times New Roman"/>
          <w:lang w:val="en-US"/>
        </w:rPr>
        <w:t>GC</w:t>
      </w:r>
      <w:r w:rsidRPr="00F63021" w:rsidR="00D270DC">
        <w:rPr>
          <w:rFonts w:ascii="Times New Roman" w:hAnsi="Times New Roman"/>
        </w:rPr>
        <w:t>], αρ. 54522/00, §109, 3 Απριλίου 2012).</w:t>
      </w:r>
    </w:p>
    <w:p w:rsidRPr="00F63021" w:rsidR="00F63021" w:rsidP="00F63021" w:rsidRDefault="00372A85">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Δεν μπορεί να δοθεί σαφής ορισμός του ορίου</w:t>
      </w:r>
      <w:r w:rsidRPr="00F63021" w:rsidR="00D270DC">
        <w:rPr>
          <w:rFonts w:ascii="Times New Roman" w:hAnsi="Times New Roman"/>
        </w:rPr>
        <w:t xml:space="preserve"> ανάμεσα στις θετικές και αρνητικές υποχρεώσεις του Κράτους σύμφωνα με το άρθρο 1 του Πρώτου Πρωτοκό</w:t>
      </w:r>
      <w:r w:rsidRPr="00F63021" w:rsidR="00E76A08">
        <w:rPr>
          <w:rFonts w:ascii="Times New Roman" w:hAnsi="Times New Roman"/>
        </w:rPr>
        <w:t>λ</w:t>
      </w:r>
      <w:r w:rsidRPr="00F63021" w:rsidR="00D270DC">
        <w:rPr>
          <w:rFonts w:ascii="Times New Roman" w:hAnsi="Times New Roman"/>
        </w:rPr>
        <w:t>λου</w:t>
      </w:r>
      <w:r w:rsidRPr="00F63021" w:rsidR="00E76A08">
        <w:rPr>
          <w:rFonts w:ascii="Times New Roman" w:hAnsi="Times New Roman"/>
        </w:rPr>
        <w:t xml:space="preserve">, αλλά οι αρχές που εφαρμόζονται είναι παρόλα αυτά συγκρίσιμες. Είτε αναλύουμε την υπόθεση </w:t>
      </w:r>
      <w:r w:rsidRPr="00F63021" w:rsidR="002938B1">
        <w:rPr>
          <w:rFonts w:ascii="Times New Roman" w:hAnsi="Times New Roman"/>
        </w:rPr>
        <w:t>ως</w:t>
      </w:r>
      <w:r w:rsidRPr="00F63021" w:rsidR="00E76A08">
        <w:rPr>
          <w:rFonts w:ascii="Times New Roman" w:hAnsi="Times New Roman"/>
        </w:rPr>
        <w:t xml:space="preserve"> θετική υποχρέωση του κράτους </w:t>
      </w:r>
      <w:r w:rsidRPr="00F63021" w:rsidR="0084074C">
        <w:rPr>
          <w:rFonts w:ascii="Times New Roman" w:hAnsi="Times New Roman"/>
        </w:rPr>
        <w:t>είτε</w:t>
      </w:r>
      <w:r w:rsidRPr="00F63021" w:rsidR="00E76A08">
        <w:rPr>
          <w:rFonts w:ascii="Times New Roman" w:hAnsi="Times New Roman"/>
        </w:rPr>
        <w:t xml:space="preserve"> ως παρέμβαση της δημόσιας εξουσίας που πρέπει να δικαιολογηθεί, τα κριτήρια που πρέπει να εφαρμοστούν δεν είναι ουσιωδώς διαφορετικά. Τόσο μια προσβολή στον σεβασμό της </w:t>
      </w:r>
      <w:r w:rsidRPr="00F63021">
        <w:rPr>
          <w:rFonts w:ascii="Times New Roman" w:hAnsi="Times New Roman"/>
        </w:rPr>
        <w:t>ιδιοκτησίας</w:t>
      </w:r>
      <w:r w:rsidRPr="00F63021" w:rsidR="00E76A08">
        <w:rPr>
          <w:rFonts w:ascii="Times New Roman" w:hAnsi="Times New Roman"/>
        </w:rPr>
        <w:t xml:space="preserve"> όσο </w:t>
      </w:r>
      <w:r w:rsidRPr="00F63021">
        <w:rPr>
          <w:rFonts w:ascii="Times New Roman" w:hAnsi="Times New Roman"/>
        </w:rPr>
        <w:t xml:space="preserve">και </w:t>
      </w:r>
      <w:r w:rsidRPr="00F63021" w:rsidR="00E76A08">
        <w:rPr>
          <w:rFonts w:ascii="Times New Roman" w:hAnsi="Times New Roman"/>
        </w:rPr>
        <w:t xml:space="preserve">η αποχή από ενέργεια πρέπει να πετυχαίνουν μια δίκαιη ισορροπία ανάμεσα στις απαιτήσεις του δημοσίου συμφέροντος </w:t>
      </w:r>
      <w:r w:rsidRPr="00F63021" w:rsidR="00A96627">
        <w:rPr>
          <w:rFonts w:ascii="Times New Roman" w:hAnsi="Times New Roman"/>
        </w:rPr>
        <w:t>της</w:t>
      </w:r>
      <w:r w:rsidRPr="00F63021" w:rsidR="00E76A08">
        <w:rPr>
          <w:rFonts w:ascii="Times New Roman" w:hAnsi="Times New Roman"/>
        </w:rPr>
        <w:t xml:space="preserve"> κοινων</w:t>
      </w:r>
      <w:r w:rsidRPr="00F63021" w:rsidR="00A96627">
        <w:rPr>
          <w:rFonts w:ascii="Times New Roman" w:hAnsi="Times New Roman"/>
        </w:rPr>
        <w:t>ίας</w:t>
      </w:r>
      <w:r w:rsidRPr="00F63021" w:rsidR="00E76A08">
        <w:rPr>
          <w:rFonts w:ascii="Times New Roman" w:hAnsi="Times New Roman"/>
        </w:rPr>
        <w:t xml:space="preserve"> και </w:t>
      </w:r>
      <w:r w:rsidRPr="00F63021" w:rsidR="00A96627">
        <w:rPr>
          <w:rFonts w:ascii="Times New Roman" w:hAnsi="Times New Roman"/>
        </w:rPr>
        <w:t xml:space="preserve">τις επιταγές της προστασίας των θεμελιωδών δικαιωμάτων του ατόμου (βλ. μεταξύ άλλων, </w:t>
      </w:r>
      <w:proofErr w:type="spellStart"/>
      <w:r w:rsidRPr="00F63021" w:rsidR="00A96627">
        <w:rPr>
          <w:rFonts w:ascii="Times New Roman" w:hAnsi="Times New Roman"/>
          <w:i/>
          <w:lang w:val="fr-FR"/>
        </w:rPr>
        <w:t>Sporrong</w:t>
      </w:r>
      <w:proofErr w:type="spellEnd"/>
      <w:r w:rsidRPr="00F63021" w:rsidR="00A96627">
        <w:rPr>
          <w:rFonts w:ascii="Times New Roman" w:hAnsi="Times New Roman"/>
          <w:i/>
        </w:rPr>
        <w:t xml:space="preserve"> </w:t>
      </w:r>
      <w:r w:rsidRPr="00F63021" w:rsidR="00A96627">
        <w:rPr>
          <w:rFonts w:ascii="Times New Roman" w:hAnsi="Times New Roman"/>
          <w:i/>
          <w:lang w:val="fr-FR"/>
        </w:rPr>
        <w:t>et</w:t>
      </w:r>
      <w:r w:rsidRPr="00F63021" w:rsidR="00A96627">
        <w:rPr>
          <w:rFonts w:ascii="Times New Roman" w:hAnsi="Times New Roman"/>
          <w:i/>
        </w:rPr>
        <w:t xml:space="preserve"> </w:t>
      </w:r>
      <w:r w:rsidRPr="00F63021" w:rsidR="00A96627">
        <w:rPr>
          <w:rFonts w:ascii="Times New Roman" w:hAnsi="Times New Roman"/>
          <w:i/>
          <w:lang w:val="fr-FR"/>
        </w:rPr>
        <w:t>L</w:t>
      </w:r>
      <w:r w:rsidRPr="00F63021" w:rsidR="00A96627">
        <w:rPr>
          <w:rFonts w:ascii="Times New Roman" w:hAnsi="Times New Roman"/>
          <w:i/>
        </w:rPr>
        <w:t>ö</w:t>
      </w:r>
      <w:proofErr w:type="spellStart"/>
      <w:r w:rsidRPr="00F63021" w:rsidR="00A96627">
        <w:rPr>
          <w:rFonts w:ascii="Times New Roman" w:hAnsi="Times New Roman"/>
          <w:i/>
          <w:lang w:val="fr-FR"/>
        </w:rPr>
        <w:t>nroth</w:t>
      </w:r>
      <w:proofErr w:type="spellEnd"/>
      <w:r w:rsidRPr="00F63021" w:rsidR="00A96627">
        <w:rPr>
          <w:rFonts w:ascii="Times New Roman" w:hAnsi="Times New Roman"/>
          <w:i/>
        </w:rPr>
        <w:t xml:space="preserve"> κατά Σουηδίας, </w:t>
      </w:r>
      <w:r w:rsidRPr="00F63021" w:rsidR="00A96627">
        <w:rPr>
          <w:rFonts w:ascii="Times New Roman" w:hAnsi="Times New Roman"/>
        </w:rPr>
        <w:t xml:space="preserve">23 Σεπτεμβρίου 1982, §69, σειρά Α αρ. 52, και προαναφερθείσα </w:t>
      </w:r>
      <w:proofErr w:type="spellStart"/>
      <w:r w:rsidRPr="00F63021" w:rsidR="00A96627">
        <w:rPr>
          <w:rFonts w:ascii="Times New Roman" w:hAnsi="Times New Roman"/>
          <w:i/>
          <w:lang w:val="fr-FR"/>
        </w:rPr>
        <w:t>Kotov</w:t>
      </w:r>
      <w:proofErr w:type="spellEnd"/>
      <w:r w:rsidRPr="00F63021" w:rsidR="00A96627">
        <w:rPr>
          <w:rFonts w:ascii="Times New Roman" w:hAnsi="Times New Roman"/>
          <w:i/>
        </w:rPr>
        <w:t xml:space="preserve">, </w:t>
      </w:r>
      <w:r w:rsidRPr="00F63021" w:rsidR="00A96627">
        <w:rPr>
          <w:rFonts w:ascii="Times New Roman" w:hAnsi="Times New Roman"/>
        </w:rPr>
        <w:t>§ 110).</w:t>
      </w:r>
    </w:p>
    <w:p w:rsidRPr="00F63021" w:rsidR="00F63021" w:rsidP="00F63021" w:rsidRDefault="00A96627">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Το Δικαστήριο έχει επίσης υποστηρίξει ότι, υπό ορισμένες προϋποθέσεις, το άρθρο 1 του Πρώτου Πρωτοκόλλου μπορεί να επιβάλει «ορισμένα μέτρα απαραίτητα για την προστασία του δικαιώματος ιδιοκτησίας (</w:t>
      </w:r>
      <w:r w:rsidRPr="00F63021" w:rsidR="00F63021">
        <w:rPr>
          <w:rFonts w:ascii="Times New Roman" w:hAnsi="Times New Roman"/>
        </w:rPr>
        <w:t>...</w:t>
      </w:r>
      <w:r w:rsidRPr="00F63021">
        <w:rPr>
          <w:rFonts w:ascii="Times New Roman" w:hAnsi="Times New Roman"/>
        </w:rPr>
        <w:t xml:space="preserve">) ακόμα και στις περιπτώσεις που αφορούν διαφορά μεταξύ φυσικών ή νομικών προσώπων» </w:t>
      </w:r>
      <w:r w:rsidRPr="00F63021" w:rsidR="00902C81">
        <w:rPr>
          <w:rFonts w:ascii="Times New Roman" w:hAnsi="Times New Roman"/>
        </w:rPr>
        <w:t xml:space="preserve">(προαναφερθείσα </w:t>
      </w:r>
      <w:proofErr w:type="spellStart"/>
      <w:r w:rsidRPr="00F63021" w:rsidR="00902C81">
        <w:rPr>
          <w:rFonts w:ascii="Times New Roman" w:hAnsi="Times New Roman"/>
          <w:i/>
          <w:lang w:val="fr-FR"/>
        </w:rPr>
        <w:t>Sovtransavto</w:t>
      </w:r>
      <w:proofErr w:type="spellEnd"/>
      <w:r w:rsidRPr="00F63021" w:rsidR="00902C81">
        <w:rPr>
          <w:rFonts w:ascii="Times New Roman" w:hAnsi="Times New Roman"/>
          <w:i/>
        </w:rPr>
        <w:t xml:space="preserve"> </w:t>
      </w:r>
      <w:r w:rsidRPr="00F63021" w:rsidR="00902C81">
        <w:rPr>
          <w:rFonts w:ascii="Times New Roman" w:hAnsi="Times New Roman"/>
          <w:i/>
          <w:lang w:val="fr-FR"/>
        </w:rPr>
        <w:t>Holding</w:t>
      </w:r>
      <w:r w:rsidRPr="00F63021" w:rsidR="00902C81">
        <w:rPr>
          <w:rFonts w:ascii="Times New Roman" w:hAnsi="Times New Roman"/>
          <w:i/>
        </w:rPr>
        <w:t xml:space="preserve">, </w:t>
      </w:r>
      <w:r w:rsidRPr="00F63021" w:rsidR="00902C81">
        <w:rPr>
          <w:rFonts w:ascii="Times New Roman" w:hAnsi="Times New Roman"/>
        </w:rPr>
        <w:t>§96). Η αρχή αυτή εφαρμόσθηκε ευρέως σε υποθέσεις με διαδικασίες εκτέλεσης κατά ιδιωτών οφειλετών (</w:t>
      </w:r>
      <w:proofErr w:type="spellStart"/>
      <w:r w:rsidRPr="00F63021" w:rsidR="00902C81">
        <w:rPr>
          <w:rFonts w:ascii="Times New Roman" w:hAnsi="Times New Roman"/>
          <w:i/>
          <w:lang w:val="fr-FR"/>
        </w:rPr>
        <w:t>Fouklev</w:t>
      </w:r>
      <w:proofErr w:type="spellEnd"/>
      <w:r w:rsidRPr="00F63021" w:rsidR="00902C81">
        <w:rPr>
          <w:rFonts w:ascii="Times New Roman" w:hAnsi="Times New Roman"/>
          <w:i/>
        </w:rPr>
        <w:t xml:space="preserve"> κατά Ουκρανίας, </w:t>
      </w:r>
      <w:r w:rsidRPr="00F63021" w:rsidR="00902C81">
        <w:rPr>
          <w:rFonts w:ascii="Times New Roman" w:hAnsi="Times New Roman"/>
        </w:rPr>
        <w:t xml:space="preserve">αρ. 71186/01, §§89-91, 7 Ιουνίου 2005, </w:t>
      </w:r>
      <w:proofErr w:type="spellStart"/>
      <w:r w:rsidRPr="00F63021" w:rsidR="00902C81">
        <w:rPr>
          <w:rFonts w:ascii="Times New Roman" w:hAnsi="Times New Roman"/>
          <w:i/>
          <w:lang w:val="fr-FR"/>
        </w:rPr>
        <w:t>Kesyan</w:t>
      </w:r>
      <w:proofErr w:type="spellEnd"/>
      <w:r w:rsidRPr="00F63021" w:rsidR="00902C81">
        <w:rPr>
          <w:rFonts w:ascii="Times New Roman" w:hAnsi="Times New Roman"/>
          <w:i/>
        </w:rPr>
        <w:t xml:space="preserve"> κατά Ρωσίας, </w:t>
      </w:r>
      <w:r w:rsidRPr="00F63021" w:rsidR="00902C81">
        <w:rPr>
          <w:rFonts w:ascii="Times New Roman" w:hAnsi="Times New Roman"/>
        </w:rPr>
        <w:t xml:space="preserve">αρ. 36496/02, </w:t>
      </w:r>
      <w:r w:rsidRPr="00F63021" w:rsidR="00086A11">
        <w:rPr>
          <w:rFonts w:ascii="Times New Roman" w:hAnsi="Times New Roman"/>
        </w:rPr>
        <w:t xml:space="preserve">§§79-80, 19 Οκτωβρίου 2006, βλ. επίσης </w:t>
      </w:r>
      <w:proofErr w:type="spellStart"/>
      <w:r w:rsidRPr="00F63021" w:rsidR="00086A11">
        <w:rPr>
          <w:rFonts w:ascii="Times New Roman" w:hAnsi="Times New Roman"/>
          <w:i/>
          <w:lang w:val="fr-FR"/>
        </w:rPr>
        <w:t>Kin</w:t>
      </w:r>
      <w:proofErr w:type="spellEnd"/>
      <w:r w:rsidRPr="00F63021" w:rsidR="00086A11">
        <w:rPr>
          <w:rFonts w:ascii="Times New Roman" w:hAnsi="Times New Roman"/>
          <w:i/>
        </w:rPr>
        <w:t>-</w:t>
      </w:r>
      <w:proofErr w:type="spellStart"/>
      <w:r w:rsidRPr="00F63021" w:rsidR="00086A11">
        <w:rPr>
          <w:rFonts w:ascii="Times New Roman" w:hAnsi="Times New Roman"/>
          <w:i/>
          <w:lang w:val="fr-FR"/>
        </w:rPr>
        <w:t>Stib</w:t>
      </w:r>
      <w:proofErr w:type="spellEnd"/>
      <w:r w:rsidRPr="00F63021" w:rsidR="00086A11">
        <w:rPr>
          <w:rFonts w:ascii="Times New Roman" w:hAnsi="Times New Roman"/>
          <w:i/>
        </w:rPr>
        <w:t xml:space="preserve"> </w:t>
      </w:r>
      <w:r w:rsidRPr="00F63021" w:rsidR="00086A11">
        <w:rPr>
          <w:rFonts w:ascii="Times New Roman" w:hAnsi="Times New Roman"/>
          <w:i/>
          <w:lang w:val="fr-FR"/>
        </w:rPr>
        <w:t>et</w:t>
      </w:r>
      <w:r w:rsidRPr="00F63021" w:rsidR="00086A11">
        <w:rPr>
          <w:rFonts w:ascii="Times New Roman" w:hAnsi="Times New Roman"/>
          <w:i/>
        </w:rPr>
        <w:t xml:space="preserve"> </w:t>
      </w:r>
      <w:proofErr w:type="spellStart"/>
      <w:r w:rsidRPr="00F63021" w:rsidR="00086A11">
        <w:rPr>
          <w:rFonts w:ascii="Times New Roman" w:hAnsi="Times New Roman"/>
          <w:i/>
          <w:lang w:val="fr-FR"/>
        </w:rPr>
        <w:t>Majkic</w:t>
      </w:r>
      <w:proofErr w:type="spellEnd"/>
      <w:r w:rsidRPr="00F63021" w:rsidR="00086A11">
        <w:rPr>
          <w:rFonts w:ascii="Times New Roman" w:hAnsi="Times New Roman"/>
          <w:i/>
        </w:rPr>
        <w:t xml:space="preserve"> κατά Σερβίας, </w:t>
      </w:r>
      <w:r w:rsidRPr="00F63021" w:rsidR="00086A11">
        <w:rPr>
          <w:rFonts w:ascii="Times New Roman" w:hAnsi="Times New Roman"/>
        </w:rPr>
        <w:t xml:space="preserve">αρ. 12312/05, §84, 20 Απριλίου 2010, </w:t>
      </w:r>
      <w:proofErr w:type="spellStart"/>
      <w:r w:rsidRPr="00F63021" w:rsidR="00086A11">
        <w:rPr>
          <w:rFonts w:ascii="Times New Roman" w:hAnsi="Times New Roman"/>
          <w:i/>
          <w:lang w:val="fr-FR"/>
        </w:rPr>
        <w:t>Marcic</w:t>
      </w:r>
      <w:proofErr w:type="spellEnd"/>
      <w:r w:rsidRPr="00F63021" w:rsidR="00086A11">
        <w:rPr>
          <w:rFonts w:ascii="Times New Roman" w:hAnsi="Times New Roman"/>
          <w:i/>
        </w:rPr>
        <w:t xml:space="preserve"> </w:t>
      </w:r>
      <w:r w:rsidRPr="00F63021" w:rsidR="00086A11">
        <w:rPr>
          <w:rFonts w:ascii="Times New Roman" w:hAnsi="Times New Roman"/>
          <w:i/>
          <w:lang w:val="fr-FR"/>
        </w:rPr>
        <w:t>et</w:t>
      </w:r>
      <w:r w:rsidRPr="00F63021" w:rsidR="00086A11">
        <w:rPr>
          <w:rFonts w:ascii="Times New Roman" w:hAnsi="Times New Roman"/>
          <w:i/>
        </w:rPr>
        <w:t xml:space="preserve"> </w:t>
      </w:r>
      <w:r w:rsidRPr="00F63021" w:rsidR="00086A11">
        <w:rPr>
          <w:rFonts w:ascii="Times New Roman" w:hAnsi="Times New Roman"/>
          <w:i/>
          <w:lang w:val="fr-FR"/>
        </w:rPr>
        <w:t>autres</w:t>
      </w:r>
      <w:r w:rsidRPr="00F63021" w:rsidR="00086A11">
        <w:rPr>
          <w:rFonts w:ascii="Times New Roman" w:hAnsi="Times New Roman"/>
          <w:i/>
        </w:rPr>
        <w:t xml:space="preserve"> κατά Σερβίας, </w:t>
      </w:r>
      <w:r w:rsidRPr="00F63021" w:rsidR="00086A11">
        <w:rPr>
          <w:rFonts w:ascii="Times New Roman" w:hAnsi="Times New Roman"/>
        </w:rPr>
        <w:t xml:space="preserve">αρ. 17556/05, §56, 30 Οκτωβρίου 2007, και </w:t>
      </w:r>
      <w:r w:rsidRPr="00F63021" w:rsidR="00086A11">
        <w:rPr>
          <w:rFonts w:ascii="Times New Roman" w:hAnsi="Times New Roman"/>
          <w:i/>
          <w:lang w:val="fr-FR"/>
        </w:rPr>
        <w:t>mutatis</w:t>
      </w:r>
      <w:r w:rsidRPr="00F63021" w:rsidR="00086A11">
        <w:rPr>
          <w:rFonts w:ascii="Times New Roman" w:hAnsi="Times New Roman"/>
          <w:i/>
        </w:rPr>
        <w:t xml:space="preserve"> </w:t>
      </w:r>
      <w:r w:rsidRPr="00F63021" w:rsidR="00086A11">
        <w:rPr>
          <w:rFonts w:ascii="Times New Roman" w:hAnsi="Times New Roman"/>
          <w:i/>
          <w:lang w:val="fr-FR"/>
        </w:rPr>
        <w:t>mutandis</w:t>
      </w:r>
      <w:r w:rsidRPr="00F63021" w:rsidR="00086A11">
        <w:rPr>
          <w:rFonts w:ascii="Times New Roman" w:hAnsi="Times New Roman"/>
          <w:i/>
        </w:rPr>
        <w:t xml:space="preserve">, </w:t>
      </w:r>
      <w:proofErr w:type="spellStart"/>
      <w:r w:rsidRPr="00F63021" w:rsidR="00086A11">
        <w:rPr>
          <w:rFonts w:ascii="Times New Roman" w:hAnsi="Times New Roman"/>
          <w:i/>
          <w:lang w:val="fr-FR"/>
        </w:rPr>
        <w:t>Matheus</w:t>
      </w:r>
      <w:proofErr w:type="spellEnd"/>
      <w:r w:rsidRPr="00F63021" w:rsidR="00086A11">
        <w:rPr>
          <w:rFonts w:ascii="Times New Roman" w:hAnsi="Times New Roman"/>
          <w:i/>
        </w:rPr>
        <w:t xml:space="preserve"> κατά Γαλλίας, </w:t>
      </w:r>
      <w:r w:rsidRPr="00F63021" w:rsidR="00086A11">
        <w:rPr>
          <w:rFonts w:ascii="Times New Roman" w:hAnsi="Times New Roman"/>
        </w:rPr>
        <w:t xml:space="preserve">αρ. 62740/00, §§68 και </w:t>
      </w:r>
      <w:proofErr w:type="spellStart"/>
      <w:r w:rsidRPr="00F63021" w:rsidR="00086A11">
        <w:rPr>
          <w:rFonts w:ascii="Times New Roman" w:hAnsi="Times New Roman"/>
        </w:rPr>
        <w:t>επόμ</w:t>
      </w:r>
      <w:proofErr w:type="spellEnd"/>
      <w:r w:rsidRPr="00F63021" w:rsidR="00086A11">
        <w:rPr>
          <w:rFonts w:ascii="Times New Roman" w:hAnsi="Times New Roman"/>
        </w:rPr>
        <w:t>., 31 Μαρτίου 2005).</w:t>
      </w:r>
    </w:p>
    <w:p w:rsidRPr="00F63021" w:rsidR="00F63021" w:rsidP="00F63021" w:rsidRDefault="00086A11">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Για να κρίνει κατά πόσο η συμπεριφορά του κράτους είναι σύμφωνη προς το άρθρο 1 του Πρώτου Πρωτοκόλλου, το Δικαστήριο πρέπει να επιδοθεί σε μια συνολική εξέταση των διαφόρων συμφερόντων που διακυβεύονται, </w:t>
      </w:r>
      <w:r w:rsidRPr="00F63021" w:rsidR="00CD6635">
        <w:rPr>
          <w:rFonts w:ascii="Times New Roman" w:hAnsi="Times New Roman"/>
        </w:rPr>
        <w:t>έχοντας πάντα στο νου</w:t>
      </w:r>
      <w:r w:rsidRPr="00F63021" w:rsidR="00ED559E">
        <w:rPr>
          <w:rFonts w:ascii="Times New Roman" w:hAnsi="Times New Roman"/>
        </w:rPr>
        <w:t xml:space="preserve"> ότι η Σύμβαση έχει σκοπό να προστατεύει δικαιώματα «συγκεκριμένα και πραγματικά». Πρέπει να </w:t>
      </w:r>
      <w:r w:rsidRPr="00F63021" w:rsidR="00CD6635">
        <w:rPr>
          <w:rFonts w:ascii="Times New Roman" w:hAnsi="Times New Roman"/>
        </w:rPr>
        <w:t>προχωρ</w:t>
      </w:r>
      <w:r w:rsidRPr="00F63021" w:rsidR="008D7D86">
        <w:rPr>
          <w:rFonts w:ascii="Times New Roman" w:hAnsi="Times New Roman"/>
        </w:rPr>
        <w:t>ά</w:t>
      </w:r>
      <w:r w:rsidRPr="00F63021" w:rsidR="00CD6635">
        <w:rPr>
          <w:rFonts w:ascii="Times New Roman" w:hAnsi="Times New Roman"/>
        </w:rPr>
        <w:t xml:space="preserve"> </w:t>
      </w:r>
      <w:r w:rsidRPr="00F63021" w:rsidR="00372A85">
        <w:rPr>
          <w:rFonts w:ascii="Times New Roman" w:hAnsi="Times New Roman"/>
        </w:rPr>
        <w:t xml:space="preserve">πέρα από τα φαινόμενα </w:t>
      </w:r>
      <w:r w:rsidRPr="00F63021" w:rsidR="00ED559E">
        <w:rPr>
          <w:rFonts w:ascii="Times New Roman" w:hAnsi="Times New Roman"/>
        </w:rPr>
        <w:t xml:space="preserve">και να αναζητά την πραγματικότητα της επίδικης κατάστασης. Η εκτίμηση αυτή μπορεί να αφορά όχι μόνον τον εφαρμοστέο τρόπο αποζημίωσης –εάν η κατάσταση </w:t>
      </w:r>
      <w:r w:rsidRPr="00F63021" w:rsidR="00372A85">
        <w:rPr>
          <w:rFonts w:ascii="Times New Roman" w:hAnsi="Times New Roman"/>
        </w:rPr>
        <w:t>μοιάζει</w:t>
      </w:r>
      <w:r w:rsidRPr="00F63021" w:rsidR="00ED559E">
        <w:rPr>
          <w:rFonts w:ascii="Times New Roman" w:hAnsi="Times New Roman"/>
        </w:rPr>
        <w:t xml:space="preserve"> με στέρηση της ιδιοκτησίας – αλλά επίσης την συμπεριφορά των μερών, συμπεριλαμβανομένων των μέσων που χρησιμοποίησε το κράτος και την εφαρμογή τους. Ως προς αυτό, πρέπει να υπογραμμίσουμε ότι η αβεβαιότητα</w:t>
      </w:r>
      <w:r w:rsidRPr="00F63021" w:rsidR="00CD6635">
        <w:rPr>
          <w:rFonts w:ascii="Times New Roman" w:hAnsi="Times New Roman"/>
        </w:rPr>
        <w:t xml:space="preserve"> </w:t>
      </w:r>
      <w:r w:rsidRPr="00F63021" w:rsidR="00B3389E">
        <w:rPr>
          <w:rFonts w:ascii="Times New Roman" w:hAnsi="Times New Roman"/>
        </w:rPr>
        <w:t>- είτε πρόκειται για νομοθετική, διοικητική ή σχετική με τις πρακτικές που εφαρμόζουν οι αρχές-είναι ένας παράγων που πρέπει να ληφθεί υπόψη προκειμένου να κριθεί η συμπεριφορά του Κράτους.</w:t>
      </w:r>
      <w:r w:rsidRPr="00F63021" w:rsidR="00F63021">
        <w:rPr>
          <w:rFonts w:ascii="Times New Roman" w:hAnsi="Times New Roman"/>
        </w:rPr>
        <w:t xml:space="preserve"> </w:t>
      </w:r>
      <w:r w:rsidRPr="00F63021" w:rsidR="00B3389E">
        <w:rPr>
          <w:rFonts w:ascii="Times New Roman" w:hAnsi="Times New Roman"/>
        </w:rPr>
        <w:t xml:space="preserve">Πράγματι, όταν διακυβεύεται ένα θέμα δημοσίου συμφέροντος, </w:t>
      </w:r>
      <w:r w:rsidRPr="00F63021" w:rsidR="00CD6635">
        <w:rPr>
          <w:rFonts w:ascii="Times New Roman" w:hAnsi="Times New Roman"/>
        </w:rPr>
        <w:t>οι δημόσιες αρχές</w:t>
      </w:r>
      <w:r w:rsidRPr="00F63021" w:rsidR="00B3389E">
        <w:rPr>
          <w:rFonts w:ascii="Times New Roman" w:hAnsi="Times New Roman"/>
        </w:rPr>
        <w:t>, υποχρεού</w:t>
      </w:r>
      <w:r w:rsidRPr="00F63021" w:rsidR="00CD6635">
        <w:rPr>
          <w:rFonts w:ascii="Times New Roman" w:hAnsi="Times New Roman"/>
        </w:rPr>
        <w:t>ν</w:t>
      </w:r>
      <w:r w:rsidRPr="00F63021" w:rsidR="00B3389E">
        <w:rPr>
          <w:rFonts w:ascii="Times New Roman" w:hAnsi="Times New Roman"/>
        </w:rPr>
        <w:t>ται να αντιδράσ</w:t>
      </w:r>
      <w:r w:rsidRPr="00F63021" w:rsidR="00CD6635">
        <w:rPr>
          <w:rFonts w:ascii="Times New Roman" w:hAnsi="Times New Roman"/>
        </w:rPr>
        <w:t>ουν</w:t>
      </w:r>
      <w:r w:rsidRPr="00F63021" w:rsidR="00B3389E">
        <w:rPr>
          <w:rFonts w:ascii="Times New Roman" w:hAnsi="Times New Roman"/>
        </w:rPr>
        <w:t xml:space="preserve"> εγκαίρως, σωστά και με την μεγαλύτερη συνέπεια </w:t>
      </w:r>
      <w:r w:rsidRPr="00F63021" w:rsidR="00B3389E">
        <w:rPr>
          <w:rFonts w:ascii="Times New Roman" w:hAnsi="Times New Roman"/>
          <w:i/>
        </w:rPr>
        <w:t>(</w:t>
      </w:r>
      <w:r w:rsidRPr="00F63021" w:rsidR="00B3389E">
        <w:rPr>
          <w:rFonts w:ascii="Times New Roman" w:hAnsi="Times New Roman"/>
          <w:i/>
          <w:lang w:val="fr-FR"/>
        </w:rPr>
        <w:t>Tunnel</w:t>
      </w:r>
      <w:r w:rsidRPr="00F63021" w:rsidR="00B3389E">
        <w:rPr>
          <w:rFonts w:ascii="Times New Roman" w:hAnsi="Times New Roman"/>
          <w:i/>
        </w:rPr>
        <w:t xml:space="preserve"> </w:t>
      </w:r>
      <w:r w:rsidRPr="00F63021" w:rsidR="00B3389E">
        <w:rPr>
          <w:rFonts w:ascii="Times New Roman" w:hAnsi="Times New Roman"/>
          <w:i/>
          <w:lang w:val="fr-FR"/>
        </w:rPr>
        <w:t>Report</w:t>
      </w:r>
      <w:r w:rsidRPr="00F63021" w:rsidR="00B3389E">
        <w:rPr>
          <w:rFonts w:ascii="Times New Roman" w:hAnsi="Times New Roman"/>
          <w:i/>
        </w:rPr>
        <w:t xml:space="preserve"> </w:t>
      </w:r>
      <w:r w:rsidRPr="00F63021" w:rsidR="00B3389E">
        <w:rPr>
          <w:rFonts w:ascii="Times New Roman" w:hAnsi="Times New Roman"/>
          <w:i/>
          <w:lang w:val="fr-FR"/>
        </w:rPr>
        <w:t>Limited</w:t>
      </w:r>
      <w:r w:rsidRPr="00F63021" w:rsidR="00B3389E">
        <w:rPr>
          <w:rFonts w:ascii="Times New Roman" w:hAnsi="Times New Roman"/>
          <w:i/>
        </w:rPr>
        <w:t xml:space="preserve"> κατά Γαλλίας, </w:t>
      </w:r>
      <w:r w:rsidRPr="00F63021" w:rsidR="00B3389E">
        <w:rPr>
          <w:rFonts w:ascii="Times New Roman" w:hAnsi="Times New Roman"/>
        </w:rPr>
        <w:t>αρ. 27940/07, §39, 18 Νοεμβρίου 2010).</w:t>
      </w:r>
    </w:p>
    <w:p w:rsidRPr="00F63021" w:rsidR="00F63021" w:rsidP="00F63021" w:rsidRDefault="00482DEF">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Το Δικαστήριο υπενθυμίζει επίσης τη νομολογία του σύμφωνα με την οποία από </w:t>
      </w:r>
      <w:r w:rsidRPr="00F63021" w:rsidR="00CD6635">
        <w:rPr>
          <w:rFonts w:ascii="Times New Roman" w:hAnsi="Times New Roman"/>
        </w:rPr>
        <w:t>μόνον το γεγονός</w:t>
      </w:r>
      <w:r w:rsidRPr="00F63021">
        <w:rPr>
          <w:rFonts w:ascii="Times New Roman" w:hAnsi="Times New Roman"/>
        </w:rPr>
        <w:t xml:space="preserve"> ότι οι </w:t>
      </w:r>
      <w:r w:rsidRPr="00F63021" w:rsidR="00CD6635">
        <w:rPr>
          <w:rFonts w:ascii="Times New Roman" w:hAnsi="Times New Roman"/>
        </w:rPr>
        <w:t>απαιτήσεις</w:t>
      </w:r>
      <w:r w:rsidRPr="00F63021">
        <w:rPr>
          <w:rFonts w:ascii="Times New Roman" w:hAnsi="Times New Roman"/>
        </w:rPr>
        <w:t xml:space="preserve"> ενός προσφεύγοντος υπόκεινται σε παραγραφή δεν θέτει κανένα πρόβλημα ως προς την Σύμβαση. Η θέσπιση </w:t>
      </w:r>
      <w:r w:rsidRPr="00F63021" w:rsidR="00CD6635">
        <w:rPr>
          <w:rFonts w:ascii="Times New Roman" w:hAnsi="Times New Roman"/>
        </w:rPr>
        <w:t>χρόνου</w:t>
      </w:r>
      <w:r w:rsidRPr="00F63021">
        <w:rPr>
          <w:rFonts w:ascii="Times New Roman" w:hAnsi="Times New Roman"/>
        </w:rPr>
        <w:t xml:space="preserve"> παραγραφής είναι κοινό χαρακτηριστικό των νομικών συστ</w:t>
      </w:r>
      <w:r w:rsidRPr="00F63021" w:rsidR="00CD6635">
        <w:rPr>
          <w:rFonts w:ascii="Times New Roman" w:hAnsi="Times New Roman"/>
        </w:rPr>
        <w:t>ημάτων των συμβαλλομένων Κρατών</w:t>
      </w:r>
      <w:r w:rsidRPr="00F63021">
        <w:rPr>
          <w:rFonts w:ascii="Times New Roman" w:hAnsi="Times New Roman"/>
        </w:rPr>
        <w:t>, που έχει σκοπό ν</w:t>
      </w:r>
      <w:r w:rsidRPr="00F63021" w:rsidR="00CD6635">
        <w:rPr>
          <w:rFonts w:ascii="Times New Roman" w:hAnsi="Times New Roman"/>
        </w:rPr>
        <w:t>α εγγυάται την ασφάλεια δικαίου</w:t>
      </w:r>
      <w:r w:rsidRPr="00F63021">
        <w:rPr>
          <w:rFonts w:ascii="Times New Roman" w:hAnsi="Times New Roman"/>
        </w:rPr>
        <w:t xml:space="preserve"> ορίζοντας όριο στις δράσεις και να εμποδίσει την αδικία που θα μπορούσε να προκύψει εάν τα δικαστήρια έπρεπε να αποφανθούν για γεγονότα που συνέβησαν στο μακρινό παρελθόν (</w:t>
      </w:r>
      <w:r w:rsidRPr="00F63021" w:rsidR="00BF6F54">
        <w:rPr>
          <w:rFonts w:ascii="Times New Roman" w:hAnsi="Times New Roman"/>
          <w:i/>
          <w:lang w:val="fr-FR"/>
        </w:rPr>
        <w:t>J</w:t>
      </w:r>
      <w:r w:rsidRPr="00F63021" w:rsidR="00BF6F54">
        <w:rPr>
          <w:rFonts w:ascii="Times New Roman" w:hAnsi="Times New Roman"/>
          <w:i/>
        </w:rPr>
        <w:t>.</w:t>
      </w:r>
      <w:r w:rsidRPr="00F63021" w:rsidR="00BF6F54">
        <w:rPr>
          <w:rFonts w:ascii="Times New Roman" w:hAnsi="Times New Roman"/>
          <w:i/>
          <w:lang w:val="fr-FR"/>
        </w:rPr>
        <w:t>A</w:t>
      </w:r>
      <w:r w:rsidRPr="00F63021" w:rsidR="00BF6F54">
        <w:rPr>
          <w:rFonts w:ascii="Times New Roman" w:hAnsi="Times New Roman"/>
          <w:i/>
        </w:rPr>
        <w:t xml:space="preserve">. </w:t>
      </w:r>
      <w:proofErr w:type="spellStart"/>
      <w:r w:rsidRPr="00F63021" w:rsidR="00BF6F54">
        <w:rPr>
          <w:rFonts w:ascii="Times New Roman" w:hAnsi="Times New Roman"/>
          <w:i/>
          <w:lang w:val="fr-FR"/>
        </w:rPr>
        <w:t>Pye</w:t>
      </w:r>
      <w:proofErr w:type="spellEnd"/>
      <w:r w:rsidRPr="00F63021" w:rsidR="00BF6F54">
        <w:rPr>
          <w:rFonts w:ascii="Times New Roman" w:hAnsi="Times New Roman"/>
          <w:i/>
        </w:rPr>
        <w:t xml:space="preserve"> (</w:t>
      </w:r>
      <w:r w:rsidRPr="00F63021" w:rsidR="00BF6F54">
        <w:rPr>
          <w:rFonts w:ascii="Times New Roman" w:hAnsi="Times New Roman"/>
          <w:i/>
          <w:lang w:val="fr-FR"/>
        </w:rPr>
        <w:t>Oxford</w:t>
      </w:r>
      <w:r w:rsidRPr="00F63021" w:rsidR="00BF6F54">
        <w:rPr>
          <w:rFonts w:ascii="Times New Roman" w:hAnsi="Times New Roman"/>
          <w:i/>
        </w:rPr>
        <w:t xml:space="preserve">) </w:t>
      </w:r>
      <w:r w:rsidRPr="00F63021" w:rsidR="00BF6F54">
        <w:rPr>
          <w:rFonts w:ascii="Times New Roman" w:hAnsi="Times New Roman"/>
          <w:i/>
          <w:lang w:val="fr-FR"/>
        </w:rPr>
        <w:t>LTD</w:t>
      </w:r>
      <w:r w:rsidRPr="00F63021" w:rsidR="00BF6F54">
        <w:rPr>
          <w:rFonts w:ascii="Times New Roman" w:hAnsi="Times New Roman"/>
          <w:i/>
        </w:rPr>
        <w:t xml:space="preserve"> </w:t>
      </w:r>
      <w:r w:rsidRPr="00F63021" w:rsidR="00BF6F54">
        <w:rPr>
          <w:rFonts w:ascii="Times New Roman" w:hAnsi="Times New Roman"/>
          <w:i/>
          <w:lang w:val="fr-FR"/>
        </w:rPr>
        <w:t>et</w:t>
      </w:r>
      <w:r w:rsidRPr="00F63021" w:rsidR="00BF6F54">
        <w:rPr>
          <w:rFonts w:ascii="Times New Roman" w:hAnsi="Times New Roman"/>
          <w:i/>
        </w:rPr>
        <w:t xml:space="preserve"> </w:t>
      </w:r>
      <w:r w:rsidRPr="00F63021" w:rsidR="00BF6F54">
        <w:rPr>
          <w:rFonts w:ascii="Times New Roman" w:hAnsi="Times New Roman"/>
          <w:i/>
          <w:lang w:val="fr-FR"/>
        </w:rPr>
        <w:t>J</w:t>
      </w:r>
      <w:r w:rsidRPr="00F63021" w:rsidR="00BF6F54">
        <w:rPr>
          <w:rFonts w:ascii="Times New Roman" w:hAnsi="Times New Roman"/>
          <w:i/>
        </w:rPr>
        <w:t>.</w:t>
      </w:r>
      <w:r w:rsidRPr="00F63021" w:rsidR="00BF6F54">
        <w:rPr>
          <w:rFonts w:ascii="Times New Roman" w:hAnsi="Times New Roman"/>
          <w:i/>
          <w:lang w:val="fr-FR"/>
        </w:rPr>
        <w:t>A</w:t>
      </w:r>
      <w:r w:rsidRPr="00F63021" w:rsidR="00BF6F54">
        <w:rPr>
          <w:rFonts w:ascii="Times New Roman" w:hAnsi="Times New Roman"/>
          <w:i/>
        </w:rPr>
        <w:t xml:space="preserve">. </w:t>
      </w:r>
      <w:proofErr w:type="spellStart"/>
      <w:r w:rsidRPr="00F63021" w:rsidR="00BF6F54">
        <w:rPr>
          <w:rFonts w:ascii="Times New Roman" w:hAnsi="Times New Roman"/>
          <w:i/>
          <w:lang w:val="fr-FR"/>
        </w:rPr>
        <w:t>Pye</w:t>
      </w:r>
      <w:proofErr w:type="spellEnd"/>
      <w:r w:rsidRPr="00F63021" w:rsidR="00BF6F54">
        <w:rPr>
          <w:rFonts w:ascii="Times New Roman" w:hAnsi="Times New Roman"/>
          <w:i/>
        </w:rPr>
        <w:t xml:space="preserve"> (</w:t>
      </w:r>
      <w:r w:rsidRPr="00F63021" w:rsidR="00BF6F54">
        <w:rPr>
          <w:rFonts w:ascii="Times New Roman" w:hAnsi="Times New Roman"/>
          <w:i/>
          <w:lang w:val="fr-FR"/>
        </w:rPr>
        <w:t>Oxford</w:t>
      </w:r>
      <w:r w:rsidRPr="00F63021" w:rsidR="00BF6F54">
        <w:rPr>
          <w:rFonts w:ascii="Times New Roman" w:hAnsi="Times New Roman"/>
          <w:i/>
        </w:rPr>
        <w:t xml:space="preserve">) </w:t>
      </w:r>
      <w:r w:rsidRPr="00F63021" w:rsidR="00BF6F54">
        <w:rPr>
          <w:rFonts w:ascii="Times New Roman" w:hAnsi="Times New Roman"/>
          <w:i/>
          <w:lang w:val="fr-FR"/>
        </w:rPr>
        <w:t>Land</w:t>
      </w:r>
      <w:r w:rsidRPr="00F63021" w:rsidR="00BF6F54">
        <w:rPr>
          <w:rFonts w:ascii="Times New Roman" w:hAnsi="Times New Roman"/>
          <w:i/>
        </w:rPr>
        <w:t xml:space="preserve"> </w:t>
      </w:r>
      <w:r w:rsidRPr="00F63021" w:rsidR="00BF6F54">
        <w:rPr>
          <w:rFonts w:ascii="Times New Roman" w:hAnsi="Times New Roman"/>
          <w:i/>
          <w:lang w:val="fr-FR"/>
        </w:rPr>
        <w:t>Ltd</w:t>
      </w:r>
      <w:r w:rsidRPr="00F63021" w:rsidR="00BF6F54">
        <w:rPr>
          <w:rFonts w:ascii="Times New Roman" w:hAnsi="Times New Roman"/>
          <w:i/>
        </w:rPr>
        <w:t xml:space="preserve"> κατά Ηνωμένου Βασιλείου, </w:t>
      </w:r>
      <w:r w:rsidRPr="00F63021" w:rsidR="00BF6F54">
        <w:rPr>
          <w:rFonts w:ascii="Times New Roman" w:hAnsi="Times New Roman"/>
        </w:rPr>
        <w:t>[</w:t>
      </w:r>
      <w:r w:rsidRPr="00F63021" w:rsidR="00BF6F54">
        <w:rPr>
          <w:rFonts w:ascii="Times New Roman" w:hAnsi="Times New Roman"/>
          <w:lang w:val="en-US"/>
        </w:rPr>
        <w:t>GC</w:t>
      </w:r>
      <w:r w:rsidRPr="00F63021" w:rsidR="00BF6F54">
        <w:rPr>
          <w:rFonts w:ascii="Times New Roman" w:hAnsi="Times New Roman"/>
        </w:rPr>
        <w:t xml:space="preserve">], αρ. 44302/02, §68, </w:t>
      </w:r>
      <w:r w:rsidRPr="00F63021" w:rsidR="00BF6F54">
        <w:rPr>
          <w:rFonts w:ascii="Times New Roman" w:hAnsi="Times New Roman"/>
          <w:lang w:val="fr-FR"/>
        </w:rPr>
        <w:t>CEDH</w:t>
      </w:r>
      <w:r w:rsidRPr="00F63021" w:rsidR="00BF6F54">
        <w:rPr>
          <w:rFonts w:ascii="Times New Roman" w:hAnsi="Times New Roman"/>
        </w:rPr>
        <w:t xml:space="preserve"> 2007-ΙΙΙ, </w:t>
      </w:r>
      <w:proofErr w:type="spellStart"/>
      <w:r w:rsidRPr="00F63021" w:rsidR="00BF6F54">
        <w:rPr>
          <w:rFonts w:ascii="Times New Roman" w:hAnsi="Times New Roman"/>
          <w:i/>
          <w:lang w:val="fr-FR"/>
        </w:rPr>
        <w:t>Stubbings</w:t>
      </w:r>
      <w:proofErr w:type="spellEnd"/>
      <w:r w:rsidRPr="00F63021" w:rsidR="00BF6F54">
        <w:rPr>
          <w:rFonts w:ascii="Times New Roman" w:hAnsi="Times New Roman"/>
          <w:i/>
        </w:rPr>
        <w:t xml:space="preserve"> </w:t>
      </w:r>
      <w:r w:rsidRPr="00F63021" w:rsidR="00BF6F54">
        <w:rPr>
          <w:rFonts w:ascii="Times New Roman" w:hAnsi="Times New Roman"/>
          <w:i/>
          <w:lang w:val="fr-FR"/>
        </w:rPr>
        <w:t>et</w:t>
      </w:r>
      <w:r w:rsidRPr="00F63021" w:rsidR="00BF6F54">
        <w:rPr>
          <w:rFonts w:ascii="Times New Roman" w:hAnsi="Times New Roman"/>
          <w:i/>
        </w:rPr>
        <w:t xml:space="preserve"> </w:t>
      </w:r>
      <w:r w:rsidRPr="00F63021" w:rsidR="00BF6F54">
        <w:rPr>
          <w:rFonts w:ascii="Times New Roman" w:hAnsi="Times New Roman"/>
          <w:i/>
          <w:lang w:val="fr-FR"/>
        </w:rPr>
        <w:t>autres</w:t>
      </w:r>
      <w:r w:rsidRPr="00F63021" w:rsidR="00BF6F54">
        <w:rPr>
          <w:rFonts w:ascii="Times New Roman" w:hAnsi="Times New Roman"/>
          <w:i/>
        </w:rPr>
        <w:t xml:space="preserve"> κατά Ηνωμένου Βασιλείου, </w:t>
      </w:r>
      <w:r w:rsidRPr="00F63021" w:rsidR="00BF6F54">
        <w:rPr>
          <w:rFonts w:ascii="Times New Roman" w:hAnsi="Times New Roman"/>
        </w:rPr>
        <w:t xml:space="preserve">22 Οκτωβρίου 1996, §51, </w:t>
      </w:r>
      <w:r w:rsidRPr="00F63021" w:rsidR="00BF6F54">
        <w:rPr>
          <w:rFonts w:ascii="Times New Roman" w:hAnsi="Times New Roman"/>
          <w:i/>
          <w:lang w:val="fr-FR"/>
        </w:rPr>
        <w:t>Recueil</w:t>
      </w:r>
      <w:r w:rsidRPr="00F63021" w:rsidR="00BF6F54">
        <w:rPr>
          <w:rFonts w:ascii="Times New Roman" w:hAnsi="Times New Roman"/>
          <w:i/>
        </w:rPr>
        <w:t xml:space="preserve"> </w:t>
      </w:r>
      <w:r w:rsidRPr="00F63021" w:rsidR="00BF6F54">
        <w:rPr>
          <w:rFonts w:ascii="Times New Roman" w:hAnsi="Times New Roman"/>
          <w:i/>
          <w:lang w:val="fr-FR"/>
        </w:rPr>
        <w:t>des</w:t>
      </w:r>
      <w:r w:rsidRPr="00F63021" w:rsidR="00BF6F54">
        <w:rPr>
          <w:rFonts w:ascii="Times New Roman" w:hAnsi="Times New Roman"/>
          <w:i/>
        </w:rPr>
        <w:t xml:space="preserve"> </w:t>
      </w:r>
      <w:proofErr w:type="spellStart"/>
      <w:r w:rsidRPr="00F63021" w:rsidR="00BF6F54">
        <w:rPr>
          <w:rFonts w:ascii="Times New Roman" w:hAnsi="Times New Roman"/>
          <w:i/>
          <w:lang w:val="fr-FR"/>
        </w:rPr>
        <w:t>arr</w:t>
      </w:r>
      <w:proofErr w:type="spellEnd"/>
      <w:r w:rsidRPr="00F63021" w:rsidR="00BF6F54">
        <w:rPr>
          <w:rFonts w:ascii="Times New Roman" w:hAnsi="Times New Roman"/>
          <w:i/>
        </w:rPr>
        <w:t>ê</w:t>
      </w:r>
      <w:proofErr w:type="spellStart"/>
      <w:r w:rsidRPr="00F63021" w:rsidR="00BF6F54">
        <w:rPr>
          <w:rFonts w:ascii="Times New Roman" w:hAnsi="Times New Roman"/>
          <w:i/>
          <w:lang w:val="fr-FR"/>
        </w:rPr>
        <w:t>ts</w:t>
      </w:r>
      <w:proofErr w:type="spellEnd"/>
      <w:r w:rsidRPr="00F63021" w:rsidR="00BF6F54">
        <w:rPr>
          <w:rFonts w:ascii="Times New Roman" w:hAnsi="Times New Roman"/>
          <w:i/>
        </w:rPr>
        <w:t xml:space="preserve"> </w:t>
      </w:r>
      <w:r w:rsidRPr="00F63021" w:rsidR="00BF6F54">
        <w:rPr>
          <w:rFonts w:ascii="Times New Roman" w:hAnsi="Times New Roman"/>
          <w:i/>
          <w:lang w:val="fr-FR"/>
        </w:rPr>
        <w:t>et</w:t>
      </w:r>
      <w:r w:rsidRPr="00F63021" w:rsidR="00BF6F54">
        <w:rPr>
          <w:rFonts w:ascii="Times New Roman" w:hAnsi="Times New Roman"/>
          <w:i/>
        </w:rPr>
        <w:t xml:space="preserve"> </w:t>
      </w:r>
      <w:r w:rsidRPr="00F63021" w:rsidR="00BF6F54">
        <w:rPr>
          <w:rFonts w:ascii="Times New Roman" w:hAnsi="Times New Roman"/>
          <w:i/>
          <w:lang w:val="fr-FR"/>
        </w:rPr>
        <w:t>d</w:t>
      </w:r>
      <w:r w:rsidRPr="00F63021" w:rsidR="00BF6F54">
        <w:rPr>
          <w:rFonts w:ascii="Times New Roman" w:hAnsi="Times New Roman"/>
          <w:i/>
        </w:rPr>
        <w:t>é</w:t>
      </w:r>
      <w:proofErr w:type="spellStart"/>
      <w:r w:rsidRPr="00F63021" w:rsidR="00BF6F54">
        <w:rPr>
          <w:rFonts w:ascii="Times New Roman" w:hAnsi="Times New Roman"/>
          <w:i/>
          <w:lang w:val="fr-FR"/>
        </w:rPr>
        <w:t>cisions</w:t>
      </w:r>
      <w:proofErr w:type="spellEnd"/>
      <w:r w:rsidRPr="00F63021" w:rsidR="00BF6F54">
        <w:rPr>
          <w:rFonts w:ascii="Times New Roman" w:hAnsi="Times New Roman"/>
          <w:i/>
        </w:rPr>
        <w:t xml:space="preserve"> </w:t>
      </w:r>
      <w:r w:rsidRPr="00F63021" w:rsidR="007A49A1">
        <w:rPr>
          <w:rFonts w:ascii="Times New Roman" w:hAnsi="Times New Roman"/>
          <w:i/>
        </w:rPr>
        <w:t>1996-</w:t>
      </w:r>
      <w:r w:rsidRPr="00F63021" w:rsidR="007A49A1">
        <w:rPr>
          <w:rFonts w:ascii="Times New Roman" w:hAnsi="Times New Roman"/>
          <w:i/>
          <w:lang w:val="fr-FR"/>
        </w:rPr>
        <w:t>IV</w:t>
      </w:r>
      <w:r w:rsidRPr="00F63021" w:rsidR="007A49A1">
        <w:rPr>
          <w:rFonts w:ascii="Times New Roman" w:hAnsi="Times New Roman"/>
          <w:i/>
        </w:rPr>
        <w:t>).</w:t>
      </w:r>
    </w:p>
    <w:p w:rsidRPr="00F63021" w:rsidR="00F63021" w:rsidP="00F63021" w:rsidRDefault="007A49A1">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Τέλος, το </w:t>
      </w:r>
      <w:r w:rsidRPr="00F63021" w:rsidR="00BA6DBA">
        <w:rPr>
          <w:rFonts w:ascii="Times New Roman" w:hAnsi="Times New Roman"/>
        </w:rPr>
        <w:t xml:space="preserve">Δικαστήριο υπογραμμίζει ότι η έννοια της «δημοσίας ωφέλειας» της δεύτερης φράσης της πρώτης παραγράφου του άρθρου </w:t>
      </w:r>
      <w:proofErr w:type="spellStart"/>
      <w:r w:rsidRPr="00F63021" w:rsidR="00BA6DBA">
        <w:rPr>
          <w:rFonts w:ascii="Times New Roman" w:hAnsi="Times New Roman"/>
        </w:rPr>
        <w:t>υπ</w:t>
      </w:r>
      <w:r w:rsidRPr="00F63021" w:rsidR="00F63021">
        <w:rPr>
          <w:rFonts w:ascii="Times New Roman" w:hAnsi="Times New Roman"/>
        </w:rPr>
        <w:t>’</w:t>
      </w:r>
      <w:r w:rsidRPr="00F63021" w:rsidR="00BA6DBA">
        <w:rPr>
          <w:rFonts w:ascii="Times New Roman" w:hAnsi="Times New Roman"/>
        </w:rPr>
        <w:t>αρ</w:t>
      </w:r>
      <w:proofErr w:type="spellEnd"/>
      <w:r w:rsidRPr="00F63021" w:rsidR="00BA6DBA">
        <w:rPr>
          <w:rFonts w:ascii="Times New Roman" w:hAnsi="Times New Roman"/>
        </w:rPr>
        <w:t xml:space="preserve">. 1 του Πρώτου Πρωτοκόλλου είναι ευρεία από την φύση της. Οι εθνικές αρχές βρίσκονται </w:t>
      </w:r>
      <w:proofErr w:type="spellStart"/>
      <w:r w:rsidRPr="00F63021" w:rsidR="00CD6635">
        <w:rPr>
          <w:rFonts w:ascii="Times New Roman" w:hAnsi="Times New Roman"/>
        </w:rPr>
        <w:t>κατ</w:t>
      </w:r>
      <w:r w:rsidRPr="00F63021" w:rsidR="00F63021">
        <w:rPr>
          <w:rFonts w:ascii="Times New Roman" w:hAnsi="Times New Roman"/>
        </w:rPr>
        <w:t>’</w:t>
      </w:r>
      <w:r w:rsidRPr="00F63021" w:rsidR="00CD6635">
        <w:rPr>
          <w:rFonts w:ascii="Times New Roman" w:hAnsi="Times New Roman"/>
        </w:rPr>
        <w:t>αρχήν</w:t>
      </w:r>
      <w:proofErr w:type="spellEnd"/>
      <w:r w:rsidRPr="00F63021" w:rsidR="00F63021">
        <w:rPr>
          <w:rFonts w:ascii="Times New Roman" w:hAnsi="Times New Roman"/>
        </w:rPr>
        <w:t xml:space="preserve"> </w:t>
      </w:r>
      <w:r w:rsidRPr="00F63021" w:rsidR="00BA6DBA">
        <w:rPr>
          <w:rFonts w:ascii="Times New Roman" w:hAnsi="Times New Roman"/>
        </w:rPr>
        <w:t xml:space="preserve">σε καλύτερη θέση </w:t>
      </w:r>
      <w:proofErr w:type="spellStart"/>
      <w:r w:rsidRPr="00F63021" w:rsidR="00BA6DBA">
        <w:rPr>
          <w:rFonts w:ascii="Times New Roman" w:hAnsi="Times New Roman"/>
        </w:rPr>
        <w:t>απ</w:t>
      </w:r>
      <w:r w:rsidRPr="00F63021" w:rsidR="00F63021">
        <w:rPr>
          <w:rFonts w:ascii="Times New Roman" w:hAnsi="Times New Roman"/>
        </w:rPr>
        <w:t>’</w:t>
      </w:r>
      <w:r w:rsidRPr="00F63021" w:rsidR="00BA6DBA">
        <w:rPr>
          <w:rFonts w:ascii="Times New Roman" w:hAnsi="Times New Roman"/>
        </w:rPr>
        <w:t>ό,τι</w:t>
      </w:r>
      <w:proofErr w:type="spellEnd"/>
      <w:r w:rsidRPr="00F63021" w:rsidR="00BA6DBA">
        <w:rPr>
          <w:rFonts w:ascii="Times New Roman" w:hAnsi="Times New Roman"/>
        </w:rPr>
        <w:t xml:space="preserve"> ο διεθνής δικαστής για να ορίσουν τι είναι «δημοσίας ωφελείας». Θεωρώντας φυσικό να έχει ο εθνικός νομοθέτης μεγάλη </w:t>
      </w:r>
      <w:r w:rsidRPr="00F63021" w:rsidR="00CD6635">
        <w:rPr>
          <w:rFonts w:ascii="Times New Roman" w:hAnsi="Times New Roman"/>
        </w:rPr>
        <w:t xml:space="preserve">ελευθερία </w:t>
      </w:r>
      <w:r w:rsidRPr="00F63021" w:rsidR="0035490B">
        <w:rPr>
          <w:rFonts w:ascii="Times New Roman" w:hAnsi="Times New Roman"/>
        </w:rPr>
        <w:t xml:space="preserve">για να ασκήσει μια οικονομική και κοινωνική πολιτική, το Δικαστήριο σέβεται τον τρόπο με τον οποίο αντιλαμβάνεται τις επιταγές «δημοσίας ωφελείας» εκτός αν η απόφασή του </w:t>
      </w:r>
      <w:r w:rsidRPr="00F63021" w:rsidR="008D7D86">
        <w:rPr>
          <w:rFonts w:ascii="Times New Roman" w:hAnsi="Times New Roman"/>
        </w:rPr>
        <w:t>εμφανίζεται να στερείται προφανώς</w:t>
      </w:r>
      <w:r w:rsidRPr="00F63021" w:rsidR="0035490B">
        <w:rPr>
          <w:rFonts w:ascii="Times New Roman" w:hAnsi="Times New Roman"/>
        </w:rPr>
        <w:t xml:space="preserve"> </w:t>
      </w:r>
      <w:r w:rsidRPr="00F63021" w:rsidR="008D7D86">
        <w:rPr>
          <w:rFonts w:ascii="Times New Roman" w:hAnsi="Times New Roman"/>
        </w:rPr>
        <w:t>βάσης</w:t>
      </w:r>
      <w:r w:rsidRPr="00F63021" w:rsidR="0035490B">
        <w:rPr>
          <w:rFonts w:ascii="Times New Roman" w:hAnsi="Times New Roman"/>
        </w:rPr>
        <w:t>. Όσον αφορά τις εναλλακτικές λύσεις η ενδεχόμενη ύπαρξή τους δεν καθιστά από μόνη της αδικαιολόγητη την σχετική νομοθεσία. Όσο ο νομοθέτης δεν υπερβαίνει τα όρια της διακριτικής του ευχέρειας, το Δικαστήριο δεν έχει να αποφανθεί για το αν επέλεξε τον καλύτερο τρόπο αντιμετώπισης του προβλήματος ή αν θα έπρεπε να ασκήσει την εξουσία του διαφορετικά (</w:t>
      </w:r>
      <w:r w:rsidRPr="00F63021" w:rsidR="00D721B1">
        <w:rPr>
          <w:rFonts w:ascii="Times New Roman" w:hAnsi="Times New Roman"/>
          <w:i/>
          <w:lang w:val="fr-FR"/>
        </w:rPr>
        <w:t>J</w:t>
      </w:r>
      <w:r w:rsidRPr="00F63021" w:rsidR="00D721B1">
        <w:rPr>
          <w:rFonts w:ascii="Times New Roman" w:hAnsi="Times New Roman"/>
          <w:i/>
        </w:rPr>
        <w:t>.</w:t>
      </w:r>
      <w:r w:rsidRPr="00F63021" w:rsidR="00D721B1">
        <w:rPr>
          <w:rFonts w:ascii="Times New Roman" w:hAnsi="Times New Roman"/>
          <w:i/>
          <w:lang w:val="fr-FR"/>
        </w:rPr>
        <w:t>A</w:t>
      </w:r>
      <w:r w:rsidRPr="00F63021" w:rsidR="00D721B1">
        <w:rPr>
          <w:rFonts w:ascii="Times New Roman" w:hAnsi="Times New Roman"/>
          <w:i/>
        </w:rPr>
        <w:t xml:space="preserve">. </w:t>
      </w:r>
      <w:proofErr w:type="spellStart"/>
      <w:r w:rsidRPr="00F63021" w:rsidR="00D721B1">
        <w:rPr>
          <w:rFonts w:ascii="Times New Roman" w:hAnsi="Times New Roman"/>
          <w:i/>
          <w:lang w:val="fr-FR"/>
        </w:rPr>
        <w:t>Pye</w:t>
      </w:r>
      <w:proofErr w:type="spellEnd"/>
      <w:r w:rsidRPr="00F63021" w:rsidR="00D721B1">
        <w:rPr>
          <w:rFonts w:ascii="Times New Roman" w:hAnsi="Times New Roman"/>
          <w:i/>
        </w:rPr>
        <w:t xml:space="preserve"> (</w:t>
      </w:r>
      <w:r w:rsidRPr="00F63021" w:rsidR="00D721B1">
        <w:rPr>
          <w:rFonts w:ascii="Times New Roman" w:hAnsi="Times New Roman"/>
          <w:i/>
          <w:lang w:val="fr-FR"/>
        </w:rPr>
        <w:t>Oxford</w:t>
      </w:r>
      <w:r w:rsidRPr="00F63021" w:rsidR="00D721B1">
        <w:rPr>
          <w:rFonts w:ascii="Times New Roman" w:hAnsi="Times New Roman"/>
          <w:i/>
        </w:rPr>
        <w:t xml:space="preserve">) </w:t>
      </w:r>
      <w:r w:rsidRPr="00F63021" w:rsidR="00D721B1">
        <w:rPr>
          <w:rFonts w:ascii="Times New Roman" w:hAnsi="Times New Roman"/>
          <w:i/>
          <w:lang w:val="fr-FR"/>
        </w:rPr>
        <w:t>Ltd</w:t>
      </w:r>
      <w:r w:rsidRPr="00F63021" w:rsidR="00D721B1">
        <w:rPr>
          <w:rFonts w:ascii="Times New Roman" w:hAnsi="Times New Roman"/>
          <w:i/>
        </w:rPr>
        <w:t xml:space="preserve"> </w:t>
      </w:r>
      <w:r w:rsidRPr="00F63021" w:rsidR="00D721B1">
        <w:rPr>
          <w:rFonts w:ascii="Times New Roman" w:hAnsi="Times New Roman"/>
          <w:i/>
          <w:lang w:val="fr-FR"/>
        </w:rPr>
        <w:t>et</w:t>
      </w:r>
      <w:r w:rsidRPr="00F63021" w:rsidR="00D721B1">
        <w:rPr>
          <w:rFonts w:ascii="Times New Roman" w:hAnsi="Times New Roman"/>
          <w:i/>
        </w:rPr>
        <w:t xml:space="preserve"> </w:t>
      </w:r>
      <w:r w:rsidRPr="00F63021" w:rsidR="00D721B1">
        <w:rPr>
          <w:rFonts w:ascii="Times New Roman" w:hAnsi="Times New Roman"/>
          <w:i/>
          <w:lang w:val="fr-FR"/>
        </w:rPr>
        <w:t>J</w:t>
      </w:r>
      <w:r w:rsidRPr="00F63021" w:rsidR="00D721B1">
        <w:rPr>
          <w:rFonts w:ascii="Times New Roman" w:hAnsi="Times New Roman"/>
          <w:i/>
        </w:rPr>
        <w:t>.</w:t>
      </w:r>
      <w:r w:rsidRPr="00F63021" w:rsidR="00D721B1">
        <w:rPr>
          <w:rFonts w:ascii="Times New Roman" w:hAnsi="Times New Roman"/>
          <w:i/>
          <w:lang w:val="fr-FR"/>
        </w:rPr>
        <w:t>A</w:t>
      </w:r>
      <w:r w:rsidRPr="00F63021" w:rsidR="00D721B1">
        <w:rPr>
          <w:rFonts w:ascii="Times New Roman" w:hAnsi="Times New Roman"/>
          <w:i/>
        </w:rPr>
        <w:t xml:space="preserve">. </w:t>
      </w:r>
      <w:proofErr w:type="spellStart"/>
      <w:r w:rsidRPr="00F63021" w:rsidR="00D721B1">
        <w:rPr>
          <w:rFonts w:ascii="Times New Roman" w:hAnsi="Times New Roman"/>
          <w:i/>
          <w:lang w:val="fr-FR"/>
        </w:rPr>
        <w:t>Pye</w:t>
      </w:r>
      <w:proofErr w:type="spellEnd"/>
      <w:r w:rsidRPr="00F63021" w:rsidR="00D721B1">
        <w:rPr>
          <w:rFonts w:ascii="Times New Roman" w:hAnsi="Times New Roman"/>
          <w:i/>
        </w:rPr>
        <w:t xml:space="preserve"> (</w:t>
      </w:r>
      <w:r w:rsidRPr="00F63021" w:rsidR="00D721B1">
        <w:rPr>
          <w:rFonts w:ascii="Times New Roman" w:hAnsi="Times New Roman"/>
          <w:i/>
          <w:lang w:val="fr-FR"/>
        </w:rPr>
        <w:t>Oxford</w:t>
      </w:r>
      <w:r w:rsidRPr="00F63021" w:rsidR="00D721B1">
        <w:rPr>
          <w:rFonts w:ascii="Times New Roman" w:hAnsi="Times New Roman"/>
          <w:i/>
        </w:rPr>
        <w:t xml:space="preserve">) </w:t>
      </w:r>
      <w:r w:rsidRPr="00F63021" w:rsidR="00D721B1">
        <w:rPr>
          <w:rFonts w:ascii="Times New Roman" w:hAnsi="Times New Roman"/>
          <w:i/>
          <w:lang w:val="fr-FR"/>
        </w:rPr>
        <w:t>Land</w:t>
      </w:r>
      <w:r w:rsidRPr="00F63021" w:rsidR="00D721B1">
        <w:rPr>
          <w:rFonts w:ascii="Times New Roman" w:hAnsi="Times New Roman"/>
          <w:i/>
        </w:rPr>
        <w:t xml:space="preserve"> </w:t>
      </w:r>
      <w:r w:rsidRPr="00F63021" w:rsidR="00D721B1">
        <w:rPr>
          <w:rFonts w:ascii="Times New Roman" w:hAnsi="Times New Roman"/>
          <w:i/>
          <w:lang w:val="fr-FR"/>
        </w:rPr>
        <w:t>Ltd</w:t>
      </w:r>
      <w:r w:rsidRPr="00F63021" w:rsidR="00D721B1">
        <w:rPr>
          <w:rFonts w:ascii="Times New Roman" w:hAnsi="Times New Roman"/>
          <w:i/>
        </w:rPr>
        <w:t xml:space="preserve"> κατά Ηνωμένου Βασιλείου, </w:t>
      </w:r>
      <w:r w:rsidRPr="00F63021" w:rsidR="00907448">
        <w:rPr>
          <w:rFonts w:ascii="Times New Roman" w:hAnsi="Times New Roman"/>
        </w:rPr>
        <w:t>αρ.</w:t>
      </w:r>
      <w:r w:rsidRPr="00F63021" w:rsidR="00D721B1">
        <w:rPr>
          <w:rFonts w:ascii="Times New Roman" w:hAnsi="Times New Roman"/>
        </w:rPr>
        <w:t xml:space="preserve"> 44302/02, §§43-45, 15 Νοεμβρίου 2005).</w:t>
      </w:r>
    </w:p>
    <w:p w:rsidRPr="00F63021" w:rsidR="00F63021" w:rsidP="00F63021" w:rsidRDefault="00D721B1">
      <w:pPr>
        <w:pStyle w:val="NormalWeb"/>
        <w:spacing w:before="0" w:beforeAutospacing="0" w:after="120" w:afterAutospacing="0" w:line="312" w:lineRule="auto"/>
        <w:jc w:val="both"/>
        <w:rPr>
          <w:rFonts w:ascii="Times New Roman" w:hAnsi="Times New Roman"/>
          <w:b/>
        </w:rPr>
      </w:pPr>
      <w:r w:rsidRPr="00F63021">
        <w:rPr>
          <w:rFonts w:ascii="Times New Roman" w:hAnsi="Times New Roman"/>
          <w:b/>
        </w:rPr>
        <w:t>β) Εφαρμογή στην υπό κρίση υπόθεση</w:t>
      </w:r>
    </w:p>
    <w:p w:rsidRPr="00F63021" w:rsidR="00F63021" w:rsidP="00F63021" w:rsidRDefault="00D721B1">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Στην παρούσα υπόθεση το Δικαστήριο σημειώνει κατά πρώτον ότι όταν ο προσφεύγων πήγε στις 6 Φεβρουαρίου 2003 στην Τράπεζά του για να ενημερωθεί για την κατάσταση του λογαριασμού του, έμαθε ότι, λόγω απουσίας οποιασδήποτε κίνησης στον λογαριασμό του από το δεύτερο εξάμηνο του 19981, όλες οι </w:t>
      </w:r>
      <w:r w:rsidRPr="00F63021" w:rsidR="009F147D">
        <w:rPr>
          <w:rFonts w:ascii="Times New Roman" w:hAnsi="Times New Roman"/>
        </w:rPr>
        <w:t>απαιτήσεις</w:t>
      </w:r>
      <w:r w:rsidRPr="00F63021">
        <w:rPr>
          <w:rFonts w:ascii="Times New Roman" w:hAnsi="Times New Roman"/>
        </w:rPr>
        <w:t xml:space="preserve"> που τον αφορούσαν </w:t>
      </w:r>
      <w:r w:rsidRPr="00F63021" w:rsidR="009F147D">
        <w:rPr>
          <w:rFonts w:ascii="Times New Roman" w:hAnsi="Times New Roman"/>
        </w:rPr>
        <w:t>παραγράφηκ</w:t>
      </w:r>
      <w:r w:rsidRPr="00F63021">
        <w:rPr>
          <w:rFonts w:ascii="Times New Roman" w:hAnsi="Times New Roman"/>
        </w:rPr>
        <w:t xml:space="preserve">αν. Από τις αποφάσεις των εθνικών δικαστηρίων </w:t>
      </w:r>
      <w:r w:rsidRPr="00F63021" w:rsidR="009E38D0">
        <w:rPr>
          <w:rFonts w:ascii="Times New Roman" w:hAnsi="Times New Roman"/>
        </w:rPr>
        <w:t>προκύπτει ότι ανοίγοντας τον λογαριασμό του, ο προσφεύγων σύναψε με την τράπεζα μια σύμβαση που, σύμφωνα με την πάγια νομολογία και θεωρία, αποτελούσ</w:t>
      </w:r>
      <w:r w:rsidRPr="00F63021" w:rsidR="009F147D">
        <w:rPr>
          <w:rFonts w:ascii="Times New Roman" w:hAnsi="Times New Roman"/>
        </w:rPr>
        <w:t>ε</w:t>
      </w:r>
      <w:r w:rsidRPr="00F63021" w:rsidR="009E38D0">
        <w:rPr>
          <w:rFonts w:ascii="Times New Roman" w:hAnsi="Times New Roman"/>
        </w:rPr>
        <w:t xml:space="preserve"> σύμβαση ανώμαλης παρακαταθήκης (άρθρο 830 ΑΚ). Οι αξιώσεις του προσφεύγοντα από την σύμβαση αυτή υπόκειντο στην εικοσαετή παραγραφή του Αστικού Κώδικα (άρθρα 247 και 249).</w:t>
      </w:r>
    </w:p>
    <w:p w:rsidRPr="00F63021" w:rsidR="00F63021" w:rsidP="00F63021" w:rsidRDefault="009E38D0">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Το Δικαστήριο σημειώνει επίσης ότι τα εθνικά δικαστήρια στα οποία προσέφυγε ο προσφεύγων εφάρμοσαν το άρθρο 3 του Νομοθετικού Διατάγματος 1195/1942, σύμφωνα με το οποίο οι καταθέσεις μετρητών στις Τράπεζες καθώς και οι τόκοι τους περιέρχονται οριστικά στο Δημόσιο στην περίπτωση που δεν τις έχει </w:t>
      </w:r>
      <w:r w:rsidRPr="00F63021" w:rsidR="009F147D">
        <w:rPr>
          <w:rFonts w:ascii="Times New Roman" w:hAnsi="Times New Roman"/>
        </w:rPr>
        <w:t>αναζητήσει</w:t>
      </w:r>
      <w:r w:rsidRPr="00F63021">
        <w:rPr>
          <w:rFonts w:ascii="Times New Roman" w:hAnsi="Times New Roman"/>
        </w:rPr>
        <w:t xml:space="preserve"> ο δικαιούχος του λογαριασμού ή στην περίπτωση που δεν υπήρξε καμία κίνηση του λογαριασμού για μια περίοδο είκοσι ετών. </w:t>
      </w:r>
      <w:r w:rsidRPr="00F63021" w:rsidR="00D06E84">
        <w:rPr>
          <w:rFonts w:ascii="Times New Roman" w:hAnsi="Times New Roman"/>
        </w:rPr>
        <w:t xml:space="preserve">Επίσης, το Εφετείο έκρινε ότι </w:t>
      </w:r>
      <w:r w:rsidRPr="00F63021" w:rsidR="009F147D">
        <w:rPr>
          <w:rFonts w:ascii="Times New Roman" w:hAnsi="Times New Roman"/>
        </w:rPr>
        <w:t>ο χρόνος</w:t>
      </w:r>
      <w:r w:rsidRPr="00F63021" w:rsidR="00D06E84">
        <w:rPr>
          <w:rFonts w:ascii="Times New Roman" w:hAnsi="Times New Roman"/>
        </w:rPr>
        <w:t xml:space="preserve"> παραγραφής δεν είχε διακοπεί –αφού η εγγραφή στα βιβλία της τράπεζας των τόκων που παρήγαγε ο λογαριασμό του προσφεύγοντα δεν αποτελούσε περίπτωση διακοπής της παραγραφής (ανωτέρω παρ. 9)-ούτε είχε ανασταλεί λόγω ανωτέρας βίας όπως ισχυρίστηκε ο προσφεύγων (ανωτέρω παρ. 10).</w:t>
      </w:r>
    </w:p>
    <w:p w:rsidRPr="00F63021" w:rsidR="00F63021" w:rsidP="00F63021" w:rsidRDefault="00D06E84">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Για το Δικαστήριο, η παραγραφή των αξιώ</w:t>
      </w:r>
      <w:r w:rsidRPr="00F63021" w:rsidR="009F147D">
        <w:rPr>
          <w:rFonts w:ascii="Times New Roman" w:hAnsi="Times New Roman"/>
        </w:rPr>
        <w:t xml:space="preserve">σεων του προσφεύγοντος από τον </w:t>
      </w:r>
      <w:r w:rsidRPr="00F63021">
        <w:rPr>
          <w:rFonts w:ascii="Times New Roman" w:hAnsi="Times New Roman"/>
        </w:rPr>
        <w:t xml:space="preserve">λογαριασμό του αποτέλεσε προσβολή στο δικαίωμα ιδιοκτησίας του που δεν αντιστοιχούσε ούτε σε απαλλοτρίωση ούτε σε μέτρο </w:t>
      </w:r>
      <w:r w:rsidRPr="00F63021" w:rsidR="007B5AF9">
        <w:rPr>
          <w:rFonts w:ascii="Times New Roman" w:hAnsi="Times New Roman"/>
        </w:rPr>
        <w:t xml:space="preserve">ρύθμισης </w:t>
      </w:r>
      <w:r w:rsidRPr="00F63021" w:rsidR="00523CBD">
        <w:rPr>
          <w:rFonts w:ascii="Times New Roman" w:hAnsi="Times New Roman"/>
        </w:rPr>
        <w:t>της χρήση</w:t>
      </w:r>
      <w:r w:rsidRPr="00F63021" w:rsidR="009F147D">
        <w:rPr>
          <w:rFonts w:ascii="Times New Roman" w:hAnsi="Times New Roman"/>
        </w:rPr>
        <w:t>ς</w:t>
      </w:r>
      <w:r w:rsidRPr="00F63021" w:rsidR="00523CBD">
        <w:rPr>
          <w:rFonts w:ascii="Times New Roman" w:hAnsi="Times New Roman"/>
        </w:rPr>
        <w:t xml:space="preserve"> </w:t>
      </w:r>
      <w:r w:rsidRPr="00F63021" w:rsidR="007B5AF9">
        <w:rPr>
          <w:rFonts w:ascii="Times New Roman" w:hAnsi="Times New Roman"/>
        </w:rPr>
        <w:t xml:space="preserve">της </w:t>
      </w:r>
      <w:r w:rsidRPr="00F63021" w:rsidR="00523CBD">
        <w:rPr>
          <w:rFonts w:ascii="Times New Roman" w:hAnsi="Times New Roman"/>
        </w:rPr>
        <w:t>περιουσίας. Επομένως, πρέπει να εξεταστεί υπό το πρίσμα της πρώτης φράσης της πρώτης παραγράφου του άρθρου υπ</w:t>
      </w:r>
      <w:r w:rsidRPr="00F63021" w:rsidR="00F63021">
        <w:rPr>
          <w:rFonts w:ascii="Times New Roman" w:hAnsi="Times New Roman"/>
        </w:rPr>
        <w:t>’</w:t>
      </w:r>
      <w:r w:rsidRPr="00F63021" w:rsidR="00523CBD">
        <w:rPr>
          <w:rFonts w:ascii="Times New Roman" w:hAnsi="Times New Roman"/>
        </w:rPr>
        <w:t xml:space="preserve"> αρ.</w:t>
      </w:r>
      <w:r w:rsidRPr="00F63021" w:rsidR="00F63021">
        <w:rPr>
          <w:rFonts w:ascii="Times New Roman" w:hAnsi="Times New Roman"/>
        </w:rPr>
        <w:t xml:space="preserve"> </w:t>
      </w:r>
      <w:r w:rsidRPr="00F63021" w:rsidR="00523CBD">
        <w:rPr>
          <w:rFonts w:ascii="Times New Roman" w:hAnsi="Times New Roman"/>
          <w:lang w:val="fr-FR"/>
        </w:rPr>
        <w:t>(</w:t>
      </w:r>
      <w:r w:rsidRPr="00F63021" w:rsidR="00523CBD">
        <w:rPr>
          <w:rFonts w:ascii="Times New Roman" w:hAnsi="Times New Roman"/>
        </w:rPr>
        <w:t>βλ</w:t>
      </w:r>
      <w:r w:rsidRPr="00F63021" w:rsidR="00523CBD">
        <w:rPr>
          <w:rFonts w:ascii="Times New Roman" w:hAnsi="Times New Roman"/>
          <w:lang w:val="fr-FR"/>
        </w:rPr>
        <w:t xml:space="preserve">. </w:t>
      </w:r>
      <w:r w:rsidRPr="00F63021" w:rsidR="00523CBD">
        <w:rPr>
          <w:rFonts w:ascii="Times New Roman" w:hAnsi="Times New Roman"/>
          <w:i/>
          <w:lang w:val="fr-FR"/>
        </w:rPr>
        <w:t xml:space="preserve">mutatis mutandis, </w:t>
      </w:r>
      <w:proofErr w:type="spellStart"/>
      <w:r w:rsidRPr="00F63021" w:rsidR="00523CBD">
        <w:rPr>
          <w:rFonts w:ascii="Times New Roman" w:hAnsi="Times New Roman"/>
          <w:i/>
          <w:lang w:val="fr-FR"/>
        </w:rPr>
        <w:t>Optim</w:t>
      </w:r>
      <w:proofErr w:type="spellEnd"/>
      <w:r w:rsidRPr="00F63021" w:rsidR="00523CBD">
        <w:rPr>
          <w:rFonts w:ascii="Times New Roman" w:hAnsi="Times New Roman"/>
          <w:i/>
          <w:lang w:val="fr-FR"/>
        </w:rPr>
        <w:t xml:space="preserve"> et </w:t>
      </w:r>
      <w:proofErr w:type="spellStart"/>
      <w:r w:rsidRPr="00F63021" w:rsidR="00523CBD">
        <w:rPr>
          <w:rFonts w:ascii="Times New Roman" w:hAnsi="Times New Roman"/>
          <w:i/>
          <w:lang w:val="fr-FR"/>
        </w:rPr>
        <w:t>Industerre</w:t>
      </w:r>
      <w:proofErr w:type="spellEnd"/>
      <w:r w:rsidRPr="00F63021" w:rsidR="00523CBD">
        <w:rPr>
          <w:rFonts w:ascii="Times New Roman" w:hAnsi="Times New Roman"/>
          <w:i/>
          <w:lang w:val="fr-FR"/>
        </w:rPr>
        <w:t xml:space="preserve"> </w:t>
      </w:r>
      <w:r w:rsidRPr="00F63021" w:rsidR="00523CBD">
        <w:rPr>
          <w:rFonts w:ascii="Times New Roman" w:hAnsi="Times New Roman"/>
          <w:i/>
        </w:rPr>
        <w:t>κατά</w:t>
      </w:r>
      <w:r w:rsidRPr="00F63021" w:rsidR="00523CBD">
        <w:rPr>
          <w:rFonts w:ascii="Times New Roman" w:hAnsi="Times New Roman"/>
          <w:i/>
          <w:lang w:val="fr-FR"/>
        </w:rPr>
        <w:t xml:space="preserve"> </w:t>
      </w:r>
      <w:r w:rsidRPr="00F63021" w:rsidR="00523CBD">
        <w:rPr>
          <w:rFonts w:ascii="Times New Roman" w:hAnsi="Times New Roman"/>
          <w:i/>
        </w:rPr>
        <w:t>Βελγίου</w:t>
      </w:r>
      <w:r w:rsidRPr="00F63021" w:rsidR="00523CBD">
        <w:rPr>
          <w:rFonts w:ascii="Times New Roman" w:hAnsi="Times New Roman"/>
          <w:i/>
          <w:lang w:val="fr-FR"/>
        </w:rPr>
        <w:t xml:space="preserve">, </w:t>
      </w:r>
      <w:r w:rsidRPr="00F63021" w:rsidR="00523CBD">
        <w:rPr>
          <w:rFonts w:ascii="Times New Roman" w:hAnsi="Times New Roman"/>
          <w:lang w:val="fr-FR"/>
        </w:rPr>
        <w:t>(</w:t>
      </w:r>
      <w:proofErr w:type="spellStart"/>
      <w:r w:rsidRPr="00F63021" w:rsidR="00523CBD">
        <w:rPr>
          <w:rFonts w:ascii="Times New Roman" w:hAnsi="Times New Roman"/>
        </w:rPr>
        <w:t>απόφ</w:t>
      </w:r>
      <w:proofErr w:type="spellEnd"/>
      <w:r w:rsidRPr="00F63021" w:rsidR="00523CBD">
        <w:rPr>
          <w:rFonts w:ascii="Times New Roman" w:hAnsi="Times New Roman"/>
          <w:lang w:val="fr-FR"/>
        </w:rPr>
        <w:t>.)</w:t>
      </w:r>
      <w:r w:rsidRPr="00F63021" w:rsidR="00523CBD">
        <w:rPr>
          <w:rFonts w:ascii="Times New Roman" w:hAnsi="Times New Roman"/>
          <w:i/>
          <w:lang w:val="fr-FR"/>
        </w:rPr>
        <w:t xml:space="preserve">, </w:t>
      </w:r>
      <w:r w:rsidRPr="00F63021" w:rsidR="00523CBD">
        <w:rPr>
          <w:rFonts w:ascii="Times New Roman" w:hAnsi="Times New Roman"/>
        </w:rPr>
        <w:t>αρ</w:t>
      </w:r>
      <w:r w:rsidRPr="00F63021" w:rsidR="00523CBD">
        <w:rPr>
          <w:rFonts w:ascii="Times New Roman" w:hAnsi="Times New Roman"/>
          <w:lang w:val="fr-FR"/>
        </w:rPr>
        <w:t xml:space="preserve">. 23819/06, §35, 11 </w:t>
      </w:r>
      <w:r w:rsidRPr="00F63021" w:rsidR="00523CBD">
        <w:rPr>
          <w:rFonts w:ascii="Times New Roman" w:hAnsi="Times New Roman"/>
        </w:rPr>
        <w:t>Σεπτεμβρίου</w:t>
      </w:r>
      <w:r w:rsidRPr="00F63021" w:rsidR="00523CBD">
        <w:rPr>
          <w:rFonts w:ascii="Times New Roman" w:hAnsi="Times New Roman"/>
          <w:lang w:val="fr-FR"/>
        </w:rPr>
        <w:t xml:space="preserve"> 2012). </w:t>
      </w:r>
      <w:r w:rsidRPr="00F63021" w:rsidR="00523CBD">
        <w:rPr>
          <w:rFonts w:ascii="Times New Roman" w:hAnsi="Times New Roman"/>
        </w:rPr>
        <w:t xml:space="preserve">Έτσι θα πρέπει να αποφανθούμε </w:t>
      </w:r>
      <w:r w:rsidRPr="00F63021" w:rsidR="007B5AF9">
        <w:rPr>
          <w:rFonts w:ascii="Times New Roman" w:hAnsi="Times New Roman"/>
        </w:rPr>
        <w:t xml:space="preserve">για το </w:t>
      </w:r>
      <w:r w:rsidRPr="00F63021" w:rsidR="00523CBD">
        <w:rPr>
          <w:rFonts w:ascii="Times New Roman" w:hAnsi="Times New Roman"/>
        </w:rPr>
        <w:t>εάν επιτεύχθη</w:t>
      </w:r>
      <w:r w:rsidRPr="00F63021" w:rsidR="009F147D">
        <w:rPr>
          <w:rFonts w:ascii="Times New Roman" w:hAnsi="Times New Roman"/>
        </w:rPr>
        <w:t>κε</w:t>
      </w:r>
      <w:r w:rsidRPr="00F63021" w:rsidR="00523CBD">
        <w:rPr>
          <w:rFonts w:ascii="Times New Roman" w:hAnsi="Times New Roman"/>
        </w:rPr>
        <w:t xml:space="preserve"> μια δίκαιη ισορροπία ανάμεσα στις απαιτήσεις που αφορούν το δημ</w:t>
      </w:r>
      <w:r w:rsidRPr="00F63021" w:rsidR="0098471D">
        <w:rPr>
          <w:rFonts w:ascii="Times New Roman" w:hAnsi="Times New Roman"/>
        </w:rPr>
        <w:t>όσιο συμ</w:t>
      </w:r>
      <w:r w:rsidRPr="00F63021" w:rsidR="00523CBD">
        <w:rPr>
          <w:rFonts w:ascii="Times New Roman" w:hAnsi="Times New Roman"/>
        </w:rPr>
        <w:t>φέρον της κοινωνίας και τις επιταγές τις σχετικές με την προστασία των θεμελιωδών δικαιωμάτων του ατ</w:t>
      </w:r>
      <w:r w:rsidRPr="00F63021" w:rsidR="0098471D">
        <w:rPr>
          <w:rFonts w:ascii="Times New Roman" w:hAnsi="Times New Roman"/>
        </w:rPr>
        <w:t>όμου</w:t>
      </w:r>
      <w:r w:rsidRPr="00F63021" w:rsidR="00523CBD">
        <w:rPr>
          <w:rFonts w:ascii="Times New Roman" w:hAnsi="Times New Roman"/>
        </w:rPr>
        <w:t>.</w:t>
      </w:r>
    </w:p>
    <w:p w:rsidRPr="00F63021" w:rsidR="00F63021" w:rsidP="00F63021" w:rsidRDefault="0098471D">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Το Δικαστήριο </w:t>
      </w:r>
      <w:r w:rsidRPr="00F63021" w:rsidR="009F147D">
        <w:rPr>
          <w:rFonts w:ascii="Times New Roman" w:hAnsi="Times New Roman"/>
        </w:rPr>
        <w:t>δέχεται</w:t>
      </w:r>
      <w:r w:rsidRPr="00F63021">
        <w:rPr>
          <w:rFonts w:ascii="Times New Roman" w:hAnsi="Times New Roman"/>
        </w:rPr>
        <w:t xml:space="preserve"> ότι η παραγραφή που έχει θεσπιστεί από τα άρθρα 247 και 249 του Αστικού Κώδικα και το άρθρο 3 του ΝΔ 1195/1942 επιδιώκει νόμιμο σκοπό. Όπως το υπογράμμισε το Εφετείο στην απόφασή του της 6</w:t>
      </w:r>
      <w:r w:rsidRPr="00F63021">
        <w:rPr>
          <w:rFonts w:ascii="Times New Roman" w:hAnsi="Times New Roman"/>
          <w:vertAlign w:val="superscript"/>
        </w:rPr>
        <w:t>ης</w:t>
      </w:r>
      <w:r w:rsidRPr="00F63021">
        <w:rPr>
          <w:rFonts w:ascii="Times New Roman" w:hAnsi="Times New Roman"/>
        </w:rPr>
        <w:t xml:space="preserve"> Απριλίου 2006, η εικοσαετής παραγραφή για τις συμβάσεις ανώμαλης παρακαταθήκης</w:t>
      </w:r>
      <w:r w:rsidRPr="00F63021" w:rsidR="00D77ADE">
        <w:rPr>
          <w:rFonts w:ascii="Times New Roman" w:hAnsi="Times New Roman"/>
        </w:rPr>
        <w:t xml:space="preserve"> δικαιολογείται από έναν σκοπό </w:t>
      </w:r>
      <w:r w:rsidRPr="00F63021">
        <w:rPr>
          <w:rFonts w:ascii="Times New Roman" w:hAnsi="Times New Roman"/>
        </w:rPr>
        <w:t>δημοσίου συμφέροντος: την εκκαθάριση, για λόγους κοινωνικής οικονομίας, των έννομων σχέσεων που δημιουργήθηκαν σε ένα τόσο μακρινό παρελθόν που καθιστά την ύπαρξή τους αβέβαιη.</w:t>
      </w:r>
    </w:p>
    <w:p w:rsidRPr="00F63021" w:rsidR="00F63021" w:rsidP="00F63021" w:rsidRDefault="0098471D">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Το Δικαστήριο, έχοντας υπόψη τη νομολογ</w:t>
      </w:r>
      <w:r w:rsidRPr="00F63021" w:rsidR="0021296D">
        <w:rPr>
          <w:rFonts w:ascii="Times New Roman" w:hAnsi="Times New Roman"/>
        </w:rPr>
        <w:t xml:space="preserve">ία του σε </w:t>
      </w:r>
      <w:r w:rsidRPr="00F63021">
        <w:rPr>
          <w:rFonts w:ascii="Times New Roman" w:hAnsi="Times New Roman"/>
        </w:rPr>
        <w:t xml:space="preserve">θέματα παραγραφής (ανωτέρω παρ. 43) θεωρεί ότι το </w:t>
      </w:r>
      <w:r w:rsidRPr="00F63021" w:rsidR="0021296D">
        <w:rPr>
          <w:rFonts w:ascii="Times New Roman" w:hAnsi="Times New Roman"/>
        </w:rPr>
        <w:t xml:space="preserve">προαναφερθέν </w:t>
      </w:r>
      <w:r w:rsidRPr="00F63021">
        <w:rPr>
          <w:rFonts w:ascii="Times New Roman" w:hAnsi="Times New Roman"/>
        </w:rPr>
        <w:t xml:space="preserve">ελληνικό σύστημα παραγραφής είναι εύλογο: </w:t>
      </w:r>
      <w:r w:rsidRPr="00F63021" w:rsidR="0021296D">
        <w:rPr>
          <w:rFonts w:ascii="Times New Roman" w:hAnsi="Times New Roman"/>
        </w:rPr>
        <w:t>η εικοσαετής προθεσμία είναι ευρεία και δεν είναι δύσκολο ούτε αδύνατο για τους ενδιαφερομένους να διακόψουν την παραγραφή.</w:t>
      </w:r>
    </w:p>
    <w:p w:rsidRPr="00F63021" w:rsidR="00F63021" w:rsidP="00F63021" w:rsidRDefault="0021296D">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Με την απόφασή τους στην υπόθεση του προσφεύγοντος, τα εθνικά δικαστήρια ακολούθησαν και εφάρμοσαν την ισχύουσα οικεία νομοθεσία και νομολογία. Αφενός, το άρθρο 3 του Νομοθετικού Διατάγματος, που προβλέπει ότι η παραγραφή των αξιώσεων του δικαιούχου του λογαριασμού διακόπτεται μόνον όταν ο δικαιούχος ζητήσει την κατάθεσή του ή πραγματοποιήσει μια συναλλαγή στον λογαριασμό. Αφετέρου, το άρθρο 260 ΑΚ, που προβλέπει ότι </w:t>
      </w:r>
      <w:r w:rsidRPr="00F63021" w:rsidR="00D77ADE">
        <w:rPr>
          <w:rFonts w:ascii="Times New Roman" w:hAnsi="Times New Roman"/>
        </w:rPr>
        <w:t>ο χρόνος</w:t>
      </w:r>
      <w:r w:rsidRPr="00F63021">
        <w:rPr>
          <w:rFonts w:ascii="Times New Roman" w:hAnsi="Times New Roman"/>
        </w:rPr>
        <w:t xml:space="preserve"> παραγραφής διακόπτεται με την αναγνώριση της αξίωσης από το πρόσωπο το οποίο υποχρεούται σε παροχή, </w:t>
      </w:r>
      <w:r w:rsidRPr="00F63021" w:rsidR="00635C3B">
        <w:rPr>
          <w:rFonts w:ascii="Times New Roman" w:hAnsi="Times New Roman"/>
        </w:rPr>
        <w:t xml:space="preserve">εν προκειμένω την Τράπεζα. Ως προς αυτό, ο Άρειος Πάγος έκρινε ότι η αναγνώριση αυτή πρέπει να έχει απευθυνθεί στον </w:t>
      </w:r>
      <w:r w:rsidRPr="00F63021" w:rsidR="00D77ADE">
        <w:rPr>
          <w:rFonts w:ascii="Times New Roman" w:hAnsi="Times New Roman"/>
        </w:rPr>
        <w:t>δανειστή</w:t>
      </w:r>
      <w:r w:rsidRPr="00F63021" w:rsidR="00635C3B">
        <w:rPr>
          <w:rFonts w:ascii="Times New Roman" w:hAnsi="Times New Roman"/>
        </w:rPr>
        <w:t xml:space="preserve"> και να έχει περιέλθει </w:t>
      </w:r>
      <w:proofErr w:type="spellStart"/>
      <w:r w:rsidRPr="00F63021" w:rsidR="00635C3B">
        <w:rPr>
          <w:rFonts w:ascii="Times New Roman" w:hAnsi="Times New Roman"/>
        </w:rPr>
        <w:t>σ</w:t>
      </w:r>
      <w:r w:rsidRPr="00F63021" w:rsidR="00F63021">
        <w:rPr>
          <w:rFonts w:ascii="Times New Roman" w:hAnsi="Times New Roman"/>
        </w:rPr>
        <w:t>’</w:t>
      </w:r>
      <w:r w:rsidRPr="00F63021" w:rsidR="00635C3B">
        <w:rPr>
          <w:rFonts w:ascii="Times New Roman" w:hAnsi="Times New Roman"/>
        </w:rPr>
        <w:t>αυτόν</w:t>
      </w:r>
      <w:proofErr w:type="spellEnd"/>
      <w:r w:rsidRPr="00F63021" w:rsidR="00635C3B">
        <w:rPr>
          <w:rFonts w:ascii="Times New Roman" w:hAnsi="Times New Roman"/>
        </w:rPr>
        <w:t xml:space="preserve"> και ότι μόνον η εγγραφή τ</w:t>
      </w:r>
      <w:r w:rsidRPr="00F63021" w:rsidR="00020278">
        <w:rPr>
          <w:rFonts w:ascii="Times New Roman" w:hAnsi="Times New Roman"/>
        </w:rPr>
        <w:t>ης</w:t>
      </w:r>
      <w:r w:rsidRPr="00F63021" w:rsidR="00635C3B">
        <w:rPr>
          <w:rFonts w:ascii="Times New Roman" w:hAnsi="Times New Roman"/>
        </w:rPr>
        <w:t xml:space="preserve"> οφειλής στα βιβλία της Τράπεζας δεν αποτελεί αναγνώριση της αξίωσης υπό την έννοια του άρθρου 260</w:t>
      </w:r>
      <w:r w:rsidRPr="00F63021" w:rsidR="00020278">
        <w:rPr>
          <w:rFonts w:ascii="Times New Roman" w:hAnsi="Times New Roman"/>
        </w:rPr>
        <w:t>ΑΚ</w:t>
      </w:r>
      <w:r w:rsidRPr="00F63021" w:rsidR="00635C3B">
        <w:rPr>
          <w:rFonts w:ascii="Times New Roman" w:hAnsi="Times New Roman"/>
        </w:rPr>
        <w:t xml:space="preserve"> και επομένως δεν μπορεί να διακόψει την προθεσμία παραγραφής (ανωτέρω παρ. 18 και 21).</w:t>
      </w:r>
    </w:p>
    <w:p w:rsidRPr="00F63021" w:rsidR="00F63021" w:rsidP="00F63021" w:rsidRDefault="00635C3B">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Ωστόσο, το Δικαστήριο θεωρεί ότι ένα μέτρο τόσο </w:t>
      </w:r>
      <w:r w:rsidRPr="00F63021" w:rsidR="00020278">
        <w:rPr>
          <w:rFonts w:ascii="Times New Roman" w:hAnsi="Times New Roman"/>
        </w:rPr>
        <w:t xml:space="preserve">ριζικό </w:t>
      </w:r>
      <w:r w:rsidRPr="00F63021">
        <w:rPr>
          <w:rFonts w:ascii="Times New Roman" w:hAnsi="Times New Roman"/>
        </w:rPr>
        <w:t xml:space="preserve">όπως η παραγραφή αξιώσεων σχετικών με τραπεζικό λογαριασμό με την αιτιολογία ότι για ορισμένο χρονικό διάστημα δεν υπήρξε καμία κίνηση στον λογαριασμό- σε συνδυασμό με τη νομολογία σύμφωνα με την οποία η εγγραφή των τόκων δεν αποτελεί κίνηση του λογαριασμού- είναι ικανή να θέσει τους δικαιούχους των λογαριασμών, κυρίως όταν αυτοί είναι απλοί ιδιώτες </w:t>
      </w:r>
      <w:r w:rsidRPr="00F63021" w:rsidR="00020278">
        <w:rPr>
          <w:rFonts w:ascii="Times New Roman" w:hAnsi="Times New Roman"/>
        </w:rPr>
        <w:t>που δεν είναι ειδικοί σ</w:t>
      </w:r>
      <w:r w:rsidRPr="00F63021">
        <w:rPr>
          <w:rFonts w:ascii="Times New Roman" w:hAnsi="Times New Roman"/>
        </w:rPr>
        <w:t xml:space="preserve">το αστικό ή </w:t>
      </w:r>
      <w:r w:rsidRPr="00F63021" w:rsidR="00020278">
        <w:rPr>
          <w:rFonts w:ascii="Times New Roman" w:hAnsi="Times New Roman"/>
        </w:rPr>
        <w:t xml:space="preserve">το </w:t>
      </w:r>
      <w:r w:rsidRPr="00F63021">
        <w:rPr>
          <w:rFonts w:ascii="Times New Roman" w:hAnsi="Times New Roman"/>
        </w:rPr>
        <w:t xml:space="preserve">τραπεζικό δίκαιο, </w:t>
      </w:r>
      <w:r w:rsidRPr="00F63021" w:rsidR="00A21371">
        <w:rPr>
          <w:rFonts w:ascii="Times New Roman" w:hAnsi="Times New Roman"/>
        </w:rPr>
        <w:t xml:space="preserve">σε μειονεκτική θέση σε σχέση με την Τράπεζα ή ακόμη και το Δημόσιο </w:t>
      </w:r>
      <w:r w:rsidRPr="00F63021" w:rsidR="00020278">
        <w:rPr>
          <w:rFonts w:ascii="Times New Roman" w:hAnsi="Times New Roman"/>
        </w:rPr>
        <w:t>στην περίπτωση που</w:t>
      </w:r>
      <w:r w:rsidRPr="00F63021" w:rsidR="00A21371">
        <w:rPr>
          <w:rFonts w:ascii="Times New Roman" w:hAnsi="Times New Roman"/>
        </w:rPr>
        <w:t xml:space="preserve"> εφαρμόζεται το άρθρο 3 του Νομοθετικού Διατάγματος.</w:t>
      </w:r>
    </w:p>
    <w:p w:rsidRPr="00F63021" w:rsidR="00F63021" w:rsidP="00F63021" w:rsidRDefault="00A21371">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Το Δικαστήριο σημειώνει ότι σύμφωνα με το άρθρο 830 ΑΚ, εάν εκείνος που καταθέτει ένα χρηματικό ποσό στην Τράπεζα της μεταβιβάζει το δικαίωμα να κάνει χρήση αυτού, η Τράπεζα θα πρέπει να το </w:t>
      </w:r>
      <w:r w:rsidRPr="00F63021" w:rsidR="007B5AF9">
        <w:rPr>
          <w:rFonts w:ascii="Times New Roman" w:hAnsi="Times New Roman"/>
        </w:rPr>
        <w:t>φυλά</w:t>
      </w:r>
      <w:r w:rsidRPr="00F63021">
        <w:rPr>
          <w:rFonts w:ascii="Times New Roman" w:hAnsi="Times New Roman"/>
        </w:rPr>
        <w:t xml:space="preserve">ξει, και αν το χρησιμοποιεί για λογαριασμό της, στο τέλος της σύμβασης θα πρέπει να επιστρέψει το αντίστοιχο ποσό στον καταθέτη. </w:t>
      </w:r>
      <w:r w:rsidRPr="00F63021" w:rsidR="007B5AF9">
        <w:rPr>
          <w:rFonts w:ascii="Times New Roman" w:hAnsi="Times New Roman"/>
        </w:rPr>
        <w:t>Έτσι</w:t>
      </w:r>
      <w:r w:rsidRPr="00F63021">
        <w:rPr>
          <w:rFonts w:ascii="Times New Roman" w:hAnsi="Times New Roman"/>
        </w:rPr>
        <w:t>, ο δικαιούχος του λογαριασμού μπορεί να περιμένει ότι η κατάθεσή του στην Τράπεζα είναι ασφαλής, ιδίως όταν διαπιστώνει ότι στον λογαριασμό του</w:t>
      </w:r>
      <w:r w:rsidRPr="00F63021" w:rsidR="007B5AF9">
        <w:rPr>
          <w:rFonts w:ascii="Times New Roman" w:hAnsi="Times New Roman"/>
        </w:rPr>
        <w:t xml:space="preserve"> εγγράφονται τόκοι</w:t>
      </w:r>
      <w:r w:rsidRPr="00F63021">
        <w:rPr>
          <w:rFonts w:ascii="Times New Roman" w:hAnsi="Times New Roman"/>
        </w:rPr>
        <w:t xml:space="preserve">. </w:t>
      </w:r>
      <w:r w:rsidRPr="00F63021" w:rsidR="00EF5394">
        <w:rPr>
          <w:rFonts w:ascii="Times New Roman" w:hAnsi="Times New Roman"/>
        </w:rPr>
        <w:t xml:space="preserve">Είναι θεμιτό να περιμένει να του γνωστοποιηθεί μια κατάσταση που απειλεί την ισορροπία της σύμβασης που σύναψε με την Τράπεζα και τα οικονομικά του συμφέροντα ώστε να μπορέσει να λάβει </w:t>
      </w:r>
      <w:r w:rsidRPr="00F63021" w:rsidR="00666F74">
        <w:rPr>
          <w:rFonts w:ascii="Times New Roman" w:hAnsi="Times New Roman"/>
        </w:rPr>
        <w:t xml:space="preserve">νωρίτερα </w:t>
      </w:r>
      <w:r w:rsidRPr="00F63021" w:rsidR="00EF5394">
        <w:rPr>
          <w:rFonts w:ascii="Times New Roman" w:hAnsi="Times New Roman"/>
        </w:rPr>
        <w:t>τα μέτρα του για να συμμορφωθεί με το νόμο και να προστατεύσει το περιουσιακό του δικαίωμα. Αυτή η σχέση εμπιστοσύνης είναι σύμφυτη με τις τραπεζικές συναλλαγές και το σχετικό δικαίωμα.</w:t>
      </w:r>
    </w:p>
    <w:p w:rsidRPr="00F63021" w:rsidR="00F63021" w:rsidP="00F63021" w:rsidRDefault="00EF5394">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Το Δικαστήριο υπενθυμίζει ότι η αρχή της ασφάλειας δικαίου </w:t>
      </w:r>
      <w:r w:rsidRPr="00F63021" w:rsidR="00666F74">
        <w:rPr>
          <w:rFonts w:ascii="Times New Roman" w:hAnsi="Times New Roman"/>
        </w:rPr>
        <w:t>είναι διάχυτη</w:t>
      </w:r>
      <w:r w:rsidRPr="00F63021">
        <w:rPr>
          <w:rFonts w:ascii="Times New Roman" w:hAnsi="Times New Roman"/>
        </w:rPr>
        <w:t xml:space="preserve"> στο σύνολο των άρθρων της Σύμβασης και αποτελεί ένα από τα θεμελιώδη δικαιώματα του Κράτους Δικαίου </w:t>
      </w:r>
      <w:r w:rsidRPr="00F63021">
        <w:rPr>
          <w:rFonts w:ascii="Times New Roman" w:hAnsi="Times New Roman"/>
          <w:i/>
        </w:rPr>
        <w:t>(</w:t>
      </w:r>
      <w:proofErr w:type="spellStart"/>
      <w:r w:rsidRPr="00F63021">
        <w:rPr>
          <w:rFonts w:ascii="Times New Roman" w:hAnsi="Times New Roman"/>
          <w:i/>
          <w:lang w:val="fr-FR"/>
        </w:rPr>
        <w:t>Nejdet</w:t>
      </w:r>
      <w:proofErr w:type="spellEnd"/>
      <w:r w:rsidRPr="00F63021">
        <w:rPr>
          <w:rFonts w:ascii="Times New Roman" w:hAnsi="Times New Roman"/>
          <w:i/>
        </w:rPr>
        <w:t xml:space="preserve"> </w:t>
      </w:r>
      <w:r w:rsidRPr="00F63021">
        <w:rPr>
          <w:rFonts w:ascii="Times New Roman" w:hAnsi="Times New Roman"/>
          <w:i/>
          <w:lang w:val="fr-FR"/>
        </w:rPr>
        <w:t>Sahin</w:t>
      </w:r>
      <w:r w:rsidRPr="00F63021">
        <w:rPr>
          <w:rFonts w:ascii="Times New Roman" w:hAnsi="Times New Roman"/>
          <w:i/>
        </w:rPr>
        <w:t xml:space="preserve"> </w:t>
      </w:r>
      <w:r w:rsidRPr="00F63021">
        <w:rPr>
          <w:rFonts w:ascii="Times New Roman" w:hAnsi="Times New Roman"/>
          <w:i/>
          <w:lang w:val="fr-FR"/>
        </w:rPr>
        <w:t>et</w:t>
      </w:r>
      <w:r w:rsidRPr="00F63021">
        <w:rPr>
          <w:rFonts w:ascii="Times New Roman" w:hAnsi="Times New Roman"/>
          <w:i/>
        </w:rPr>
        <w:t xml:space="preserve"> </w:t>
      </w:r>
      <w:proofErr w:type="spellStart"/>
      <w:r w:rsidRPr="00F63021">
        <w:rPr>
          <w:rFonts w:ascii="Times New Roman" w:hAnsi="Times New Roman"/>
          <w:i/>
          <w:lang w:val="fr-FR"/>
        </w:rPr>
        <w:t>Perihan</w:t>
      </w:r>
      <w:proofErr w:type="spellEnd"/>
      <w:r w:rsidRPr="00F63021">
        <w:rPr>
          <w:rFonts w:ascii="Times New Roman" w:hAnsi="Times New Roman"/>
          <w:i/>
        </w:rPr>
        <w:t xml:space="preserve"> </w:t>
      </w:r>
      <w:r w:rsidRPr="00F63021">
        <w:rPr>
          <w:rFonts w:ascii="Times New Roman" w:hAnsi="Times New Roman"/>
          <w:i/>
          <w:lang w:val="fr-FR"/>
        </w:rPr>
        <w:t>Sahin</w:t>
      </w:r>
      <w:r w:rsidRPr="00F63021">
        <w:rPr>
          <w:rFonts w:ascii="Times New Roman" w:hAnsi="Times New Roman"/>
          <w:i/>
        </w:rPr>
        <w:t xml:space="preserve"> κατά Τουρκίας,</w:t>
      </w:r>
      <w:r w:rsidRPr="00F63021" w:rsidR="002D326C">
        <w:rPr>
          <w:rFonts w:ascii="Times New Roman" w:hAnsi="Times New Roman"/>
          <w:i/>
        </w:rPr>
        <w:t xml:space="preserve"> </w:t>
      </w:r>
      <w:r w:rsidRPr="00F63021" w:rsidR="002D326C">
        <w:rPr>
          <w:rFonts w:ascii="Times New Roman" w:hAnsi="Times New Roman"/>
        </w:rPr>
        <w:t>[</w:t>
      </w:r>
      <w:r w:rsidRPr="00F63021" w:rsidR="002D326C">
        <w:rPr>
          <w:rFonts w:ascii="Times New Roman" w:hAnsi="Times New Roman"/>
          <w:lang w:val="en-US"/>
        </w:rPr>
        <w:t>GC</w:t>
      </w:r>
      <w:r w:rsidRPr="00F63021" w:rsidR="002D326C">
        <w:rPr>
          <w:rFonts w:ascii="Times New Roman" w:hAnsi="Times New Roman"/>
        </w:rPr>
        <w:t>], αρ. 13279/05, §56, 20 Οκτωβρίου 2011). Ωστόσο σύμφωνα με το Δικαστήριο, το Κράτος έχει την θετική υποχρέωση να προστατεύει τον πολίτη και να προβλέπ</w:t>
      </w:r>
      <w:r w:rsidRPr="00F63021" w:rsidR="007B5AF9">
        <w:rPr>
          <w:rFonts w:ascii="Times New Roman" w:hAnsi="Times New Roman"/>
        </w:rPr>
        <w:t xml:space="preserve">ει την υποχρέωση των Τραπεζών, </w:t>
      </w:r>
      <w:r w:rsidRPr="00F63021" w:rsidR="002D326C">
        <w:rPr>
          <w:rFonts w:ascii="Times New Roman" w:hAnsi="Times New Roman"/>
        </w:rPr>
        <w:t xml:space="preserve">δεδομένων των </w:t>
      </w:r>
      <w:r w:rsidRPr="00F63021" w:rsidR="00666F74">
        <w:rPr>
          <w:rFonts w:ascii="Times New Roman" w:hAnsi="Times New Roman"/>
        </w:rPr>
        <w:t xml:space="preserve">δυσάρεστων </w:t>
      </w:r>
      <w:r w:rsidRPr="00F63021" w:rsidR="002D326C">
        <w:rPr>
          <w:rFonts w:ascii="Times New Roman" w:hAnsi="Times New Roman"/>
        </w:rPr>
        <w:t xml:space="preserve">συνεπειών που μπορεί να έχει η παραγραφή, να ενημερώνουν τον δικαιούχο ενός αδρανή λογαριασμού ότι πλησιάζει το τέλος </w:t>
      </w:r>
      <w:r w:rsidRPr="00F63021" w:rsidR="00666F74">
        <w:rPr>
          <w:rFonts w:ascii="Times New Roman" w:hAnsi="Times New Roman"/>
        </w:rPr>
        <w:t>του χρόνου</w:t>
      </w:r>
      <w:r w:rsidRPr="00F63021" w:rsidR="00F63021">
        <w:rPr>
          <w:rFonts w:ascii="Times New Roman" w:hAnsi="Times New Roman"/>
        </w:rPr>
        <w:t xml:space="preserve"> </w:t>
      </w:r>
      <w:r w:rsidRPr="00F63021" w:rsidR="002D326C">
        <w:rPr>
          <w:rFonts w:ascii="Times New Roman" w:hAnsi="Times New Roman"/>
        </w:rPr>
        <w:t xml:space="preserve">παραγραφής και να του δώσουν έτσι την δυνατότητα να διακόψει την παραγραφή-πραγματοποιώντας π.χ. μια συναλλαγή στον λογαριασμό. </w:t>
      </w:r>
      <w:r w:rsidRPr="00F63021" w:rsidR="009C3FE4">
        <w:rPr>
          <w:rFonts w:ascii="Times New Roman" w:hAnsi="Times New Roman"/>
        </w:rPr>
        <w:t xml:space="preserve">Εάν δεν απαιτείται </w:t>
      </w:r>
      <w:r w:rsidRPr="00F63021" w:rsidR="009E7E17">
        <w:rPr>
          <w:rFonts w:ascii="Times New Roman" w:hAnsi="Times New Roman"/>
        </w:rPr>
        <w:t xml:space="preserve">καμία </w:t>
      </w:r>
      <w:r w:rsidRPr="00F63021" w:rsidR="00FB74B8">
        <w:rPr>
          <w:rFonts w:ascii="Times New Roman" w:hAnsi="Times New Roman"/>
        </w:rPr>
        <w:t xml:space="preserve">τέτοια </w:t>
      </w:r>
      <w:r w:rsidRPr="00F63021" w:rsidR="009E7E17">
        <w:rPr>
          <w:rFonts w:ascii="Times New Roman" w:hAnsi="Times New Roman"/>
        </w:rPr>
        <w:t>ενημέρωση</w:t>
      </w:r>
      <w:r w:rsidRPr="00F63021" w:rsidR="009C3FE4">
        <w:rPr>
          <w:rFonts w:ascii="Times New Roman" w:hAnsi="Times New Roman"/>
        </w:rPr>
        <w:t>, τότε κινδυνεύει να διαλυθεί</w:t>
      </w:r>
      <w:r w:rsidRPr="00F63021" w:rsidR="009E7E17">
        <w:rPr>
          <w:rFonts w:ascii="Times New Roman" w:hAnsi="Times New Roman"/>
        </w:rPr>
        <w:t xml:space="preserve"> </w:t>
      </w:r>
      <w:r w:rsidRPr="00F63021" w:rsidR="009C3FE4">
        <w:rPr>
          <w:rFonts w:ascii="Times New Roman" w:hAnsi="Times New Roman"/>
        </w:rPr>
        <w:t>η</w:t>
      </w:r>
      <w:r w:rsidRPr="00F63021" w:rsidR="009E7E17">
        <w:rPr>
          <w:rFonts w:ascii="Times New Roman" w:hAnsi="Times New Roman"/>
        </w:rPr>
        <w:t xml:space="preserve"> δίκαιη ισορροπία ανάμεσα στις απαιτήσεις δημοσίου συμφέροντος της κοινωνίας και των επιταγών προστασίας των θεμελιωδών δικαιωμάτων του ατόμου.</w:t>
      </w:r>
    </w:p>
    <w:p w:rsidRPr="00F63021" w:rsidR="00F63021" w:rsidP="00F63021" w:rsidRDefault="009E7E17">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Ελλείψει τέτ</w:t>
      </w:r>
      <w:r w:rsidRPr="00F63021" w:rsidR="007B5AF9">
        <w:rPr>
          <w:rFonts w:ascii="Times New Roman" w:hAnsi="Times New Roman"/>
        </w:rPr>
        <w:t xml:space="preserve">οιας ενημέρωσης, το Δικαστήριο </w:t>
      </w:r>
      <w:r w:rsidRPr="00F63021">
        <w:rPr>
          <w:rFonts w:ascii="Times New Roman" w:hAnsi="Times New Roman"/>
        </w:rPr>
        <w:t xml:space="preserve">θεωρεί ότι ο προσφεύγων </w:t>
      </w:r>
      <w:r w:rsidRPr="00F63021" w:rsidR="00321461">
        <w:rPr>
          <w:rFonts w:ascii="Times New Roman" w:hAnsi="Times New Roman"/>
        </w:rPr>
        <w:t xml:space="preserve">κατέληξε </w:t>
      </w:r>
      <w:r w:rsidRPr="00F63021">
        <w:rPr>
          <w:rFonts w:ascii="Times New Roman" w:hAnsi="Times New Roman"/>
        </w:rPr>
        <w:t xml:space="preserve">να φέρει ένα υπερβολικό και δυσανάλογο βάρος που δεν μπορεί να δικαιολογηθεί ούτε από την ανάγκη εκκαθάρισης των έννομων σχέσεων η ύπαρξη </w:t>
      </w:r>
      <w:r w:rsidRPr="00F63021" w:rsidR="00321461">
        <w:rPr>
          <w:rFonts w:ascii="Times New Roman" w:hAnsi="Times New Roman"/>
        </w:rPr>
        <w:t xml:space="preserve">των οποίων </w:t>
      </w:r>
      <w:r w:rsidRPr="00F63021">
        <w:rPr>
          <w:rFonts w:ascii="Times New Roman" w:hAnsi="Times New Roman"/>
        </w:rPr>
        <w:t>θα ήταν αβέβαιη-όπως το υποστήριξε στην υπό κρίση υπόθεση το Εφετείο-ούτε από την καλή λειτουργία του τραπεζικού συστήματος.</w:t>
      </w:r>
    </w:p>
    <w:p w:rsidRPr="00F63021" w:rsidR="00F63021" w:rsidP="00F63021" w:rsidRDefault="009E7E17">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Ως εκ τούτου, υπήρξε παραβίαση του άρθρου υπ</w:t>
      </w:r>
      <w:r w:rsidRPr="00F63021" w:rsidR="00F63021">
        <w:rPr>
          <w:rFonts w:ascii="Times New Roman" w:hAnsi="Times New Roman"/>
        </w:rPr>
        <w:t>’</w:t>
      </w:r>
      <w:r w:rsidRPr="00F63021">
        <w:rPr>
          <w:rFonts w:ascii="Times New Roman" w:hAnsi="Times New Roman"/>
        </w:rPr>
        <w:t xml:space="preserve"> αρ. 1 του πρώτου Πρωτοκό</w:t>
      </w:r>
      <w:r w:rsidRPr="00F63021" w:rsidR="00E57C5A">
        <w:rPr>
          <w:rFonts w:ascii="Times New Roman" w:hAnsi="Times New Roman"/>
        </w:rPr>
        <w:t>λ</w:t>
      </w:r>
      <w:r w:rsidRPr="00F63021">
        <w:rPr>
          <w:rFonts w:ascii="Times New Roman" w:hAnsi="Times New Roman"/>
        </w:rPr>
        <w:t>λου</w:t>
      </w:r>
      <w:r w:rsidRPr="00F63021" w:rsidR="00E57C5A">
        <w:rPr>
          <w:rFonts w:ascii="Times New Roman" w:hAnsi="Times New Roman"/>
        </w:rPr>
        <w:t xml:space="preserve"> στο πρόσωπο του προσφεύγοντος.</w:t>
      </w:r>
    </w:p>
    <w:p w:rsidRPr="00F63021" w:rsidR="00E57C5A" w:rsidP="00F63021" w:rsidRDefault="00E57C5A">
      <w:pPr>
        <w:pStyle w:val="NormalWeb"/>
        <w:spacing w:before="0" w:beforeAutospacing="0" w:after="120" w:afterAutospacing="0" w:line="312" w:lineRule="auto"/>
        <w:jc w:val="both"/>
        <w:rPr>
          <w:rFonts w:ascii="Times New Roman" w:hAnsi="Times New Roman"/>
        </w:rPr>
      </w:pPr>
      <w:r w:rsidRPr="00F63021">
        <w:rPr>
          <w:rFonts w:ascii="Times New Roman" w:hAnsi="Times New Roman"/>
        </w:rPr>
        <w:t>ΙΙΙ.</w:t>
      </w:r>
      <w:r w:rsidRPr="00F63021">
        <w:rPr>
          <w:rFonts w:ascii="Times New Roman" w:hAnsi="Times New Roman"/>
        </w:rPr>
        <w:tab/>
        <w:t>ΩΣ ΠΡΟΣ ΤΙΣ ΑΛΛΕΣ ΕΠΙΚΑΛΟΥΜΕΝΕΣ ΠΑΡΑΒΙΑΣΕΙΣ</w:t>
      </w:r>
    </w:p>
    <w:p w:rsidRPr="00F63021" w:rsidR="00F63021" w:rsidP="00F63021" w:rsidRDefault="003850A2">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Ο προσφεύγων επικαλείται το άρθρο 6§1 της Σύμβασης και παραπονείται για την εφαρμογή του κανόνα της παραγραφής από τα πολιτικά δικαστήρια που οδήγησε στην απόρριψη των αξιώσεών του.</w:t>
      </w:r>
    </w:p>
    <w:p w:rsidRPr="00F63021" w:rsidR="00F63021" w:rsidP="00F63021" w:rsidRDefault="003850A2">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Το Δικαστήριο υπενθυμίζει ότι το έργο του δεν είναι να υποκαθιστά τα εθνικά δικαστήρια. Κατά πρώτο λόγο εναπόκειται στις εθνικές αρχές, και ιδίως στα δικαστήρια, να ερμηνεύουν την εθνική νομοθεσία (βλ. </w:t>
      </w:r>
      <w:r w:rsidRPr="00F63021">
        <w:rPr>
          <w:rFonts w:ascii="Times New Roman" w:hAnsi="Times New Roman"/>
          <w:i/>
          <w:lang w:val="fr-FR"/>
        </w:rPr>
        <w:t>mutatis</w:t>
      </w:r>
      <w:r w:rsidRPr="00F63021">
        <w:rPr>
          <w:rFonts w:ascii="Times New Roman" w:hAnsi="Times New Roman"/>
          <w:i/>
        </w:rPr>
        <w:t xml:space="preserve"> </w:t>
      </w:r>
      <w:r w:rsidRPr="00F63021">
        <w:rPr>
          <w:rFonts w:ascii="Times New Roman" w:hAnsi="Times New Roman"/>
          <w:i/>
          <w:lang w:val="fr-FR"/>
        </w:rPr>
        <w:t>mutandis</w:t>
      </w:r>
      <w:r w:rsidRPr="00F63021">
        <w:rPr>
          <w:rFonts w:ascii="Times New Roman" w:hAnsi="Times New Roman"/>
          <w:i/>
        </w:rPr>
        <w:t xml:space="preserve">, </w:t>
      </w:r>
      <w:r w:rsidRPr="00F63021">
        <w:rPr>
          <w:rFonts w:ascii="Times New Roman" w:hAnsi="Times New Roman"/>
        </w:rPr>
        <w:t xml:space="preserve">τις αποφάσεις </w:t>
      </w:r>
      <w:proofErr w:type="spellStart"/>
      <w:r w:rsidRPr="00F63021">
        <w:rPr>
          <w:rFonts w:ascii="Times New Roman" w:hAnsi="Times New Roman"/>
          <w:i/>
          <w:lang w:val="fr-FR"/>
        </w:rPr>
        <w:t>Brualla</w:t>
      </w:r>
      <w:proofErr w:type="spellEnd"/>
      <w:r w:rsidRPr="00F63021">
        <w:rPr>
          <w:rFonts w:ascii="Times New Roman" w:hAnsi="Times New Roman"/>
          <w:i/>
        </w:rPr>
        <w:t xml:space="preserve"> </w:t>
      </w:r>
      <w:r w:rsidRPr="00F63021">
        <w:rPr>
          <w:rFonts w:ascii="Times New Roman" w:hAnsi="Times New Roman"/>
          <w:i/>
          <w:lang w:val="fr-FR"/>
        </w:rPr>
        <w:t>Gomez</w:t>
      </w:r>
      <w:r w:rsidRPr="00F63021">
        <w:rPr>
          <w:rFonts w:ascii="Times New Roman" w:hAnsi="Times New Roman"/>
          <w:i/>
        </w:rPr>
        <w:t xml:space="preserve"> </w:t>
      </w:r>
      <w:r w:rsidRPr="00F63021">
        <w:rPr>
          <w:rFonts w:ascii="Times New Roman" w:hAnsi="Times New Roman"/>
          <w:i/>
          <w:lang w:val="fr-FR"/>
        </w:rPr>
        <w:t>de</w:t>
      </w:r>
      <w:r w:rsidRPr="00F63021">
        <w:rPr>
          <w:rFonts w:ascii="Times New Roman" w:hAnsi="Times New Roman"/>
          <w:i/>
        </w:rPr>
        <w:t xml:space="preserve"> </w:t>
      </w:r>
      <w:r w:rsidRPr="00F63021">
        <w:rPr>
          <w:rFonts w:ascii="Times New Roman" w:hAnsi="Times New Roman"/>
          <w:i/>
          <w:lang w:val="fr-FR"/>
        </w:rPr>
        <w:t>la</w:t>
      </w:r>
      <w:r w:rsidRPr="00F63021">
        <w:rPr>
          <w:rFonts w:ascii="Times New Roman" w:hAnsi="Times New Roman"/>
          <w:i/>
        </w:rPr>
        <w:t xml:space="preserve"> </w:t>
      </w:r>
      <w:r w:rsidRPr="00F63021">
        <w:rPr>
          <w:rFonts w:ascii="Times New Roman" w:hAnsi="Times New Roman"/>
          <w:i/>
          <w:lang w:val="fr-FR"/>
        </w:rPr>
        <w:t>Torre</w:t>
      </w:r>
      <w:r w:rsidRPr="00F63021">
        <w:rPr>
          <w:rFonts w:ascii="Times New Roman" w:hAnsi="Times New Roman"/>
          <w:i/>
        </w:rPr>
        <w:t xml:space="preserve"> κατά Ισπανίας, </w:t>
      </w:r>
      <w:r w:rsidRPr="00F63021" w:rsidR="00F27074">
        <w:rPr>
          <w:rFonts w:ascii="Times New Roman" w:hAnsi="Times New Roman"/>
        </w:rPr>
        <w:t xml:space="preserve">19 Δεκεμβρίου 1997, §31, </w:t>
      </w:r>
      <w:r w:rsidRPr="00F63021" w:rsidR="00F27074">
        <w:rPr>
          <w:rFonts w:ascii="Times New Roman" w:hAnsi="Times New Roman"/>
          <w:i/>
          <w:lang w:val="fr-FR"/>
        </w:rPr>
        <w:t>Recueil</w:t>
      </w:r>
      <w:r w:rsidRPr="00F63021" w:rsidR="00F27074">
        <w:rPr>
          <w:rFonts w:ascii="Times New Roman" w:hAnsi="Times New Roman"/>
          <w:i/>
        </w:rPr>
        <w:t xml:space="preserve"> </w:t>
      </w:r>
      <w:r w:rsidRPr="00F63021" w:rsidR="00F27074">
        <w:rPr>
          <w:rFonts w:ascii="Times New Roman" w:hAnsi="Times New Roman"/>
        </w:rPr>
        <w:t>1997-</w:t>
      </w:r>
      <w:r w:rsidRPr="00F63021" w:rsidR="00F27074">
        <w:rPr>
          <w:rFonts w:ascii="Times New Roman" w:hAnsi="Times New Roman"/>
          <w:lang w:val="fr-FR"/>
        </w:rPr>
        <w:t>VIII</w:t>
      </w:r>
      <w:r w:rsidRPr="00F63021" w:rsidR="00F27074">
        <w:rPr>
          <w:rFonts w:ascii="Times New Roman" w:hAnsi="Times New Roman"/>
        </w:rPr>
        <w:t xml:space="preserve"> και </w:t>
      </w:r>
      <w:proofErr w:type="spellStart"/>
      <w:r w:rsidRPr="00F63021" w:rsidR="00F27074">
        <w:rPr>
          <w:rFonts w:ascii="Times New Roman" w:hAnsi="Times New Roman"/>
          <w:i/>
          <w:lang w:val="fr-FR"/>
        </w:rPr>
        <w:t>Edificaciones</w:t>
      </w:r>
      <w:proofErr w:type="spellEnd"/>
      <w:r w:rsidRPr="00F63021" w:rsidR="00F27074">
        <w:rPr>
          <w:rFonts w:ascii="Times New Roman" w:hAnsi="Times New Roman"/>
          <w:i/>
        </w:rPr>
        <w:t xml:space="preserve"> </w:t>
      </w:r>
      <w:r w:rsidRPr="00F63021" w:rsidR="00F27074">
        <w:rPr>
          <w:rFonts w:ascii="Times New Roman" w:hAnsi="Times New Roman"/>
          <w:i/>
          <w:lang w:val="fr-FR"/>
        </w:rPr>
        <w:t>March</w:t>
      </w:r>
      <w:r w:rsidRPr="00F63021" w:rsidR="00F27074">
        <w:rPr>
          <w:rFonts w:ascii="Times New Roman" w:hAnsi="Times New Roman"/>
          <w:i/>
        </w:rPr>
        <w:t xml:space="preserve"> </w:t>
      </w:r>
      <w:proofErr w:type="spellStart"/>
      <w:r w:rsidRPr="00F63021" w:rsidR="00F27074">
        <w:rPr>
          <w:rFonts w:ascii="Times New Roman" w:hAnsi="Times New Roman"/>
          <w:i/>
          <w:lang w:val="fr-FR"/>
        </w:rPr>
        <w:t>Gallego</w:t>
      </w:r>
      <w:proofErr w:type="spellEnd"/>
      <w:r w:rsidRPr="00F63021" w:rsidR="00F27074">
        <w:rPr>
          <w:rFonts w:ascii="Times New Roman" w:hAnsi="Times New Roman"/>
          <w:i/>
        </w:rPr>
        <w:t xml:space="preserve"> </w:t>
      </w:r>
      <w:r w:rsidRPr="00F63021" w:rsidR="00F27074">
        <w:rPr>
          <w:rFonts w:ascii="Times New Roman" w:hAnsi="Times New Roman"/>
          <w:i/>
          <w:lang w:val="fr-FR"/>
        </w:rPr>
        <w:t>S</w:t>
      </w:r>
      <w:r w:rsidRPr="00F63021" w:rsidR="00F27074">
        <w:rPr>
          <w:rFonts w:ascii="Times New Roman" w:hAnsi="Times New Roman"/>
          <w:i/>
        </w:rPr>
        <w:t>.</w:t>
      </w:r>
      <w:r w:rsidRPr="00F63021" w:rsidR="00F27074">
        <w:rPr>
          <w:rFonts w:ascii="Times New Roman" w:hAnsi="Times New Roman"/>
          <w:i/>
          <w:lang w:val="fr-FR"/>
        </w:rPr>
        <w:t>A</w:t>
      </w:r>
      <w:r w:rsidRPr="00F63021" w:rsidR="00F27074">
        <w:rPr>
          <w:rFonts w:ascii="Times New Roman" w:hAnsi="Times New Roman"/>
          <w:i/>
        </w:rPr>
        <w:t xml:space="preserve">. κατά Ισπανίας, </w:t>
      </w:r>
      <w:r w:rsidRPr="00F63021" w:rsidR="00F27074">
        <w:rPr>
          <w:rFonts w:ascii="Times New Roman" w:hAnsi="Times New Roman"/>
        </w:rPr>
        <w:t xml:space="preserve">19 Φεβρουαρίου 1998, §33, </w:t>
      </w:r>
      <w:r w:rsidRPr="00F63021" w:rsidR="00F27074">
        <w:rPr>
          <w:rFonts w:ascii="Times New Roman" w:hAnsi="Times New Roman"/>
          <w:i/>
          <w:lang w:val="fr-FR"/>
        </w:rPr>
        <w:t>Recueil</w:t>
      </w:r>
      <w:r w:rsidRPr="00F63021" w:rsidR="00F27074">
        <w:rPr>
          <w:rFonts w:ascii="Times New Roman" w:hAnsi="Times New Roman"/>
          <w:i/>
        </w:rPr>
        <w:t xml:space="preserve"> </w:t>
      </w:r>
      <w:r w:rsidRPr="00F63021" w:rsidR="00F27074">
        <w:rPr>
          <w:rFonts w:ascii="Times New Roman" w:hAnsi="Times New Roman"/>
        </w:rPr>
        <w:t>1998-</w:t>
      </w:r>
      <w:r w:rsidRPr="00F63021" w:rsidR="00F27074">
        <w:rPr>
          <w:rFonts w:ascii="Times New Roman" w:hAnsi="Times New Roman"/>
          <w:lang w:val="fr-FR"/>
        </w:rPr>
        <w:t>I</w:t>
      </w:r>
      <w:r w:rsidRPr="00F63021" w:rsidR="00F27074">
        <w:rPr>
          <w:rFonts w:ascii="Times New Roman" w:hAnsi="Times New Roman"/>
        </w:rPr>
        <w:t xml:space="preserve">), </w:t>
      </w:r>
      <w:r w:rsidRPr="00F63021" w:rsidR="00321461">
        <w:rPr>
          <w:rFonts w:ascii="Times New Roman" w:hAnsi="Times New Roman"/>
        </w:rPr>
        <w:t xml:space="preserve">και </w:t>
      </w:r>
      <w:r w:rsidRPr="00F63021" w:rsidR="00FB74B8">
        <w:rPr>
          <w:rFonts w:ascii="Times New Roman" w:hAnsi="Times New Roman"/>
        </w:rPr>
        <w:t>όταν δεν υπάρχει</w:t>
      </w:r>
      <w:r w:rsidRPr="00F63021" w:rsidR="00321461">
        <w:rPr>
          <w:rFonts w:ascii="Times New Roman" w:hAnsi="Times New Roman"/>
        </w:rPr>
        <w:t xml:space="preserve"> αυθαιρεσία το Δικαστήριο δεν θα υποκα</w:t>
      </w:r>
      <w:r w:rsidRPr="00F63021" w:rsidR="00FB74B8">
        <w:rPr>
          <w:rFonts w:ascii="Times New Roman" w:hAnsi="Times New Roman"/>
        </w:rPr>
        <w:t>θιστά</w:t>
      </w:r>
      <w:r w:rsidRPr="00F63021" w:rsidR="00321461">
        <w:rPr>
          <w:rFonts w:ascii="Times New Roman" w:hAnsi="Times New Roman"/>
        </w:rPr>
        <w:t xml:space="preserve"> με την κρίση του την δική τους </w:t>
      </w:r>
      <w:r w:rsidRPr="00F63021" w:rsidR="00F27074">
        <w:rPr>
          <w:rFonts w:ascii="Times New Roman" w:hAnsi="Times New Roman"/>
        </w:rPr>
        <w:t xml:space="preserve">(βλ. μεταξύ άλλων την απόφαση </w:t>
      </w:r>
      <w:proofErr w:type="spellStart"/>
      <w:r w:rsidRPr="00F63021" w:rsidR="00F27074">
        <w:rPr>
          <w:rFonts w:ascii="Times New Roman" w:hAnsi="Times New Roman"/>
          <w:i/>
          <w:lang w:val="en-US"/>
        </w:rPr>
        <w:t>Tejedor</w:t>
      </w:r>
      <w:proofErr w:type="spellEnd"/>
      <w:r w:rsidRPr="00F63021" w:rsidR="00F27074">
        <w:rPr>
          <w:rFonts w:ascii="Times New Roman" w:hAnsi="Times New Roman"/>
          <w:i/>
        </w:rPr>
        <w:t xml:space="preserve"> </w:t>
      </w:r>
      <w:r w:rsidRPr="00F63021" w:rsidR="00F27074">
        <w:rPr>
          <w:rFonts w:ascii="Times New Roman" w:hAnsi="Times New Roman"/>
          <w:i/>
          <w:lang w:val="en-US"/>
        </w:rPr>
        <w:t>Garcia</w:t>
      </w:r>
      <w:r w:rsidRPr="00F63021" w:rsidR="00F27074">
        <w:rPr>
          <w:rFonts w:ascii="Times New Roman" w:hAnsi="Times New Roman"/>
          <w:i/>
        </w:rPr>
        <w:t xml:space="preserve"> κατά Ισπανίας, </w:t>
      </w:r>
      <w:r w:rsidRPr="00F63021" w:rsidR="00F27074">
        <w:rPr>
          <w:rFonts w:ascii="Times New Roman" w:hAnsi="Times New Roman"/>
        </w:rPr>
        <w:t xml:space="preserve">16 Δεκεμβρίου 1997, §31, </w:t>
      </w:r>
      <w:r w:rsidRPr="00F63021" w:rsidR="00F27074">
        <w:rPr>
          <w:rFonts w:ascii="Times New Roman" w:hAnsi="Times New Roman"/>
          <w:i/>
          <w:lang w:val="fr-FR"/>
        </w:rPr>
        <w:t>Recueil</w:t>
      </w:r>
      <w:r w:rsidRPr="00F63021" w:rsidR="00F27074">
        <w:rPr>
          <w:rFonts w:ascii="Times New Roman" w:hAnsi="Times New Roman"/>
          <w:i/>
        </w:rPr>
        <w:t xml:space="preserve"> </w:t>
      </w:r>
      <w:r w:rsidRPr="00F63021" w:rsidR="00F27074">
        <w:rPr>
          <w:rFonts w:ascii="Times New Roman" w:hAnsi="Times New Roman"/>
        </w:rPr>
        <w:t>1997-</w:t>
      </w:r>
      <w:r w:rsidRPr="00F63021" w:rsidR="00F27074">
        <w:rPr>
          <w:rFonts w:ascii="Times New Roman" w:hAnsi="Times New Roman"/>
          <w:lang w:val="fr-FR"/>
        </w:rPr>
        <w:t>VIII</w:t>
      </w:r>
      <w:r w:rsidRPr="00F63021" w:rsidR="00F27074">
        <w:rPr>
          <w:rFonts w:ascii="Times New Roman" w:hAnsi="Times New Roman"/>
        </w:rPr>
        <w:t xml:space="preserve">). Στην υπό κρίση υπόθεση, το Δικαστήριο σημειώνει ότι τα εθνικά δικαστήρια εφάρμοσαν στην περίπτωση του προσφεύγοντος την νομοθεσία και νομολογία </w:t>
      </w:r>
      <w:r w:rsidRPr="00F63021" w:rsidR="00AD65CC">
        <w:rPr>
          <w:rFonts w:ascii="Times New Roman" w:hAnsi="Times New Roman"/>
        </w:rPr>
        <w:t>την σχετική με την υπόθεση.</w:t>
      </w:r>
    </w:p>
    <w:p w:rsidRPr="00F63021" w:rsidR="00F63021" w:rsidP="00F63021" w:rsidRDefault="00AD65CC">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Εν των ανωτέρω συνάγεται ότι η αιτίαση αυτή είναι προδήλως αβάσιμη και επομένως πρέπει να απορριφθεί, κατ</w:t>
      </w:r>
      <w:r w:rsidRPr="00F63021" w:rsidR="00F63021">
        <w:rPr>
          <w:rFonts w:ascii="Times New Roman" w:hAnsi="Times New Roman"/>
        </w:rPr>
        <w:t>’</w:t>
      </w:r>
      <w:r w:rsidRPr="00F63021">
        <w:rPr>
          <w:rFonts w:ascii="Times New Roman" w:hAnsi="Times New Roman"/>
        </w:rPr>
        <w:t xml:space="preserve"> εφαρμογή του άρθρου 35 §§3 και 4 της Σύμβασης.</w:t>
      </w:r>
    </w:p>
    <w:p w:rsidRPr="00F63021" w:rsidR="00AD65CC" w:rsidP="00F63021" w:rsidRDefault="00AD65CC">
      <w:pPr>
        <w:pStyle w:val="NormalWeb"/>
        <w:spacing w:before="0" w:beforeAutospacing="0" w:after="120" w:afterAutospacing="0" w:line="312" w:lineRule="auto"/>
        <w:jc w:val="both"/>
        <w:rPr>
          <w:rFonts w:ascii="Times New Roman" w:hAnsi="Times New Roman"/>
        </w:rPr>
      </w:pPr>
      <w:r w:rsidRPr="00F63021">
        <w:rPr>
          <w:rFonts w:ascii="Times New Roman" w:hAnsi="Times New Roman"/>
          <w:lang w:val="fr-FR"/>
        </w:rPr>
        <w:t>IV</w:t>
      </w:r>
      <w:r w:rsidRPr="00F63021">
        <w:rPr>
          <w:rFonts w:ascii="Times New Roman" w:hAnsi="Times New Roman"/>
        </w:rPr>
        <w:t>.</w:t>
      </w:r>
      <w:r w:rsidRPr="00F63021">
        <w:rPr>
          <w:rFonts w:ascii="Times New Roman" w:hAnsi="Times New Roman"/>
        </w:rPr>
        <w:tab/>
        <w:t>ΩΣ ΠΡΟΣ ΤΗΝ ΕΦΑΡΜΟΓΗ ΤΟΥ ΑΡΘΡΟΥ 41 ΤΗΣ ΣΥΜΒΑΣΗΣ</w:t>
      </w:r>
    </w:p>
    <w:p w:rsidRPr="00F63021" w:rsidR="00F63021" w:rsidP="00F63021" w:rsidRDefault="00AD65CC">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Σύμφωνα με το άρθρο 41 της Σύμβασης,</w:t>
      </w:r>
    </w:p>
    <w:p w:rsidRPr="00F63021" w:rsidR="00AD65CC" w:rsidP="00F63021" w:rsidRDefault="00AD65CC">
      <w:pPr>
        <w:autoSpaceDE w:val="0"/>
        <w:autoSpaceDN w:val="0"/>
        <w:adjustRightInd w:val="0"/>
        <w:spacing w:after="120" w:line="240" w:lineRule="auto"/>
        <w:contextualSpacing/>
        <w:jc w:val="both"/>
        <w:rPr>
          <w:rFonts w:ascii="Times New Roman" w:hAnsi="Times New Roman"/>
          <w:sz w:val="20"/>
          <w:szCs w:val="20"/>
          <w:lang w:eastAsia="el-GR"/>
        </w:rPr>
      </w:pPr>
      <w:r w:rsidRPr="00F63021">
        <w:rPr>
          <w:rFonts w:ascii="Times New Roman" w:hAnsi="Times New Roman"/>
          <w:sz w:val="20"/>
          <w:szCs w:val="20"/>
          <w:lang w:eastAsia="el-GR"/>
        </w:rPr>
        <w:t>«</w:t>
      </w:r>
      <w:proofErr w:type="spellStart"/>
      <w:r w:rsidRPr="00F63021">
        <w:rPr>
          <w:rFonts w:ascii="Times New Roman" w:hAnsi="Times New Roman"/>
          <w:sz w:val="20"/>
          <w:szCs w:val="20"/>
          <w:lang w:eastAsia="el-GR"/>
        </w:rPr>
        <w:t>Εάv</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τo</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Δικαστήριo</w:t>
      </w:r>
      <w:proofErr w:type="spellEnd"/>
      <w:r w:rsidRPr="00F63021">
        <w:rPr>
          <w:rFonts w:ascii="Times New Roman" w:hAnsi="Times New Roman"/>
          <w:sz w:val="20"/>
          <w:szCs w:val="20"/>
          <w:lang w:eastAsia="el-GR"/>
        </w:rPr>
        <w:t xml:space="preserve"> </w:t>
      </w:r>
      <w:proofErr w:type="spellStart"/>
      <w:r w:rsidRPr="00F63021">
        <w:rPr>
          <w:rFonts w:ascii="Times New Roman" w:hAnsi="Times New Roman"/>
          <w:sz w:val="20"/>
          <w:szCs w:val="20"/>
          <w:lang w:eastAsia="el-GR"/>
        </w:rPr>
        <w:t>κρίvει</w:t>
      </w:r>
      <w:proofErr w:type="spellEnd"/>
      <w:r w:rsidRPr="00F63021">
        <w:rPr>
          <w:rFonts w:ascii="Times New Roman" w:hAnsi="Times New Roman"/>
          <w:sz w:val="20"/>
          <w:szCs w:val="20"/>
          <w:lang w:eastAsia="el-GR"/>
        </w:rPr>
        <w:t xml:space="preserve"> ότι υπήρξε παραβίαση της Σύµβασης ή τωv Πρωτoκόλλωv της, και αv τo εσωτερικό δίκαιo τoυ Υψηλoύ </w:t>
      </w:r>
      <w:proofErr w:type="spellStart"/>
      <w:r w:rsidRPr="00F63021">
        <w:rPr>
          <w:rFonts w:ascii="Times New Roman" w:hAnsi="Times New Roman"/>
          <w:sz w:val="20"/>
          <w:szCs w:val="20"/>
          <w:lang w:eastAsia="el-GR"/>
        </w:rPr>
        <w:t>Συµβαλλόµεvoυ</w:t>
      </w:r>
      <w:proofErr w:type="spellEnd"/>
      <w:r w:rsidRPr="00F63021">
        <w:rPr>
          <w:rFonts w:ascii="Times New Roman" w:hAnsi="Times New Roman"/>
          <w:sz w:val="20"/>
          <w:szCs w:val="20"/>
          <w:lang w:eastAsia="el-GR"/>
        </w:rPr>
        <w:t xml:space="preserve"> Μέρoυς δεv επιτρέπει παρά µ</w:t>
      </w:r>
      <w:proofErr w:type="spellStart"/>
      <w:r w:rsidRPr="00F63021">
        <w:rPr>
          <w:rFonts w:ascii="Times New Roman" w:hAnsi="Times New Roman"/>
          <w:sz w:val="20"/>
          <w:szCs w:val="20"/>
          <w:lang w:eastAsia="el-GR"/>
        </w:rPr>
        <w:t>όvo</w:t>
      </w:r>
      <w:proofErr w:type="spellEnd"/>
      <w:r w:rsidRPr="00F63021">
        <w:rPr>
          <w:rFonts w:ascii="Times New Roman" w:hAnsi="Times New Roman"/>
          <w:sz w:val="20"/>
          <w:szCs w:val="20"/>
          <w:lang w:eastAsia="el-GR"/>
        </w:rPr>
        <w:t xml:space="preserve"> ατελή εξάλειψη τωv συvεπειώv της παραβίασης αυτής, τo Δικαστήριo χoρηγεί, εφόσov είvαι αvαγκαίo, στov παθόvτα δίκαιη ικαvoπoίηση.»</w:t>
      </w:r>
    </w:p>
    <w:p w:rsidRPr="00F63021" w:rsidR="00AD65CC" w:rsidP="00F63021" w:rsidRDefault="00AD65CC">
      <w:pPr>
        <w:pStyle w:val="NormalWeb"/>
        <w:spacing w:before="0" w:beforeAutospacing="0" w:after="120" w:afterAutospacing="0" w:line="312" w:lineRule="auto"/>
        <w:jc w:val="both"/>
        <w:rPr>
          <w:rFonts w:ascii="Times New Roman" w:hAnsi="Times New Roman"/>
        </w:rPr>
      </w:pPr>
    </w:p>
    <w:p w:rsidRPr="00F63021" w:rsidR="00AD65CC" w:rsidP="00F63021" w:rsidRDefault="00AD65CC">
      <w:pPr>
        <w:pStyle w:val="NormalWeb"/>
        <w:spacing w:before="0" w:beforeAutospacing="0" w:after="120" w:afterAutospacing="0" w:line="312" w:lineRule="auto"/>
        <w:jc w:val="both"/>
        <w:rPr>
          <w:rFonts w:ascii="Times New Roman" w:hAnsi="Times New Roman"/>
          <w:b/>
        </w:rPr>
      </w:pPr>
      <w:r w:rsidRPr="00F63021">
        <w:rPr>
          <w:rFonts w:ascii="Times New Roman" w:hAnsi="Times New Roman"/>
          <w:b/>
        </w:rPr>
        <w:t>Α.</w:t>
      </w:r>
      <w:r w:rsidRPr="00F63021">
        <w:rPr>
          <w:rFonts w:ascii="Times New Roman" w:hAnsi="Times New Roman"/>
          <w:b/>
        </w:rPr>
        <w:tab/>
        <w:t>Ζημία</w:t>
      </w:r>
    </w:p>
    <w:p w:rsidRPr="00F63021" w:rsidR="00F63021" w:rsidP="00F63021" w:rsidRDefault="00AD65CC">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Ο γιος του προ</w:t>
      </w:r>
      <w:r w:rsidRPr="00F63021" w:rsidR="00321461">
        <w:rPr>
          <w:rFonts w:ascii="Times New Roman" w:hAnsi="Times New Roman"/>
        </w:rPr>
        <w:t>σφεύγοντος ζητά πρώτον την απο</w:t>
      </w:r>
      <w:r w:rsidRPr="00F63021">
        <w:rPr>
          <w:rFonts w:ascii="Times New Roman" w:hAnsi="Times New Roman"/>
        </w:rPr>
        <w:t xml:space="preserve">ζημίωση της υλικής ζημίας που υπέστη ο πατέρας του. </w:t>
      </w:r>
      <w:r w:rsidRPr="00F63021" w:rsidR="00836C0B">
        <w:rPr>
          <w:rFonts w:ascii="Times New Roman" w:hAnsi="Times New Roman"/>
        </w:rPr>
        <w:t xml:space="preserve">Για το σκοπό αυτό </w:t>
      </w:r>
      <w:r w:rsidRPr="00F63021" w:rsidR="00321461">
        <w:rPr>
          <w:rFonts w:ascii="Times New Roman" w:hAnsi="Times New Roman"/>
        </w:rPr>
        <w:t>παραπέμπει</w:t>
      </w:r>
      <w:r w:rsidRPr="00F63021" w:rsidR="00836C0B">
        <w:rPr>
          <w:rFonts w:ascii="Times New Roman" w:hAnsi="Times New Roman"/>
        </w:rPr>
        <w:t xml:space="preserve"> στην αίτηση αυτού προς το Δικαστήριο με την οποία ζητούσε την επιστροφή του ποσού των 660.000 δρχ. που είχε καταθέσει στην Τράπεζα προσαυξημένου με τους τόκους και όπως</w:t>
      </w:r>
      <w:r w:rsidRPr="00F63021" w:rsidR="00FB74B8">
        <w:rPr>
          <w:rFonts w:ascii="Times New Roman" w:hAnsi="Times New Roman"/>
        </w:rPr>
        <w:t xml:space="preserve"> αυτό αναφερόταν στην αγωγή του</w:t>
      </w:r>
      <w:r w:rsidRPr="00F63021" w:rsidR="00836C0B">
        <w:rPr>
          <w:rFonts w:ascii="Times New Roman" w:hAnsi="Times New Roman"/>
        </w:rPr>
        <w:t xml:space="preserve"> της 3</w:t>
      </w:r>
      <w:r w:rsidRPr="00F63021" w:rsidR="00836C0B">
        <w:rPr>
          <w:rFonts w:ascii="Times New Roman" w:hAnsi="Times New Roman"/>
          <w:vertAlign w:val="superscript"/>
        </w:rPr>
        <w:t>ης</w:t>
      </w:r>
      <w:r w:rsidRPr="00F63021" w:rsidR="00836C0B">
        <w:rPr>
          <w:rFonts w:ascii="Times New Roman" w:hAnsi="Times New Roman"/>
        </w:rPr>
        <w:t xml:space="preserve"> Ιουνίου 2003 ενώπιον του Πρωτοδικείου Αθηνών, δηλαδή το ποσό των 30.550,74€. Ζητεί επίσης το ποσό των 100.000€ λόγω ηθικής βλάβης.</w:t>
      </w:r>
    </w:p>
    <w:p w:rsidRPr="00F63021" w:rsidR="00F63021" w:rsidP="00F63021" w:rsidRDefault="00836C0B">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Όσον αφορά την υλική ζημία, η Κυβέρνηση υποστηρίζει ότι ο γιος του προσφεύγοντος δεν υπέβαλε κανένα ειδικό αίτημα εκ</w:t>
      </w:r>
      <w:r w:rsidRPr="00F63021" w:rsidR="00321461">
        <w:rPr>
          <w:rFonts w:ascii="Times New Roman" w:hAnsi="Times New Roman"/>
        </w:rPr>
        <w:t>πε</w:t>
      </w:r>
      <w:r w:rsidRPr="00F63021">
        <w:rPr>
          <w:rFonts w:ascii="Times New Roman" w:hAnsi="Times New Roman"/>
        </w:rPr>
        <w:t>φρασμένο στο νόμισμα του καθ</w:t>
      </w:r>
      <w:r w:rsidRPr="00F63021" w:rsidR="00F63021">
        <w:rPr>
          <w:rFonts w:ascii="Times New Roman" w:hAnsi="Times New Roman"/>
        </w:rPr>
        <w:t>’</w:t>
      </w:r>
      <w:r w:rsidRPr="00F63021">
        <w:rPr>
          <w:rFonts w:ascii="Times New Roman" w:hAnsi="Times New Roman"/>
        </w:rPr>
        <w:t xml:space="preserve"> ου η προσφυγή Κράτους, όπως απαιτεί το άρθρο 60 §2 του Κανονισμού. Παραπέμπει</w:t>
      </w:r>
      <w:r w:rsidRPr="00F63021" w:rsidR="00FB74B8">
        <w:rPr>
          <w:rFonts w:ascii="Times New Roman" w:hAnsi="Times New Roman"/>
        </w:rPr>
        <w:t xml:space="preserve"> μόνον στο έντυπο της προσφυγής</w:t>
      </w:r>
      <w:r w:rsidRPr="00F63021">
        <w:rPr>
          <w:rFonts w:ascii="Times New Roman" w:hAnsi="Times New Roman"/>
        </w:rPr>
        <w:t xml:space="preserve">, που δεν περιείχε σαφές αίτημα </w:t>
      </w:r>
      <w:r w:rsidRPr="00F63021" w:rsidR="00227545">
        <w:rPr>
          <w:rFonts w:ascii="Times New Roman" w:hAnsi="Times New Roman"/>
        </w:rPr>
        <w:t>και που παραπέμπει κι αυτό στην αγωγή του προσφεύγοντος στο Πρωτοδικείο Αθηνών. Όσον αφορά την ηθική βλάβη, η Κυβέρνηση θεωρεί όχι μόνον το ποσό αβάσιμο και υπερβολικό αλλά και ότι ο γιος του προσφεύγοντος δεν δικαιούται καμία αποζημίωση για το λόγο αυτό αφού το άτομο που θίχτηκε από το επίδικο μέτρο ήταν ο ίδιος ο προσφεύγων, και όχι οι κληρονόμοι του.</w:t>
      </w:r>
    </w:p>
    <w:p w:rsidRPr="00F63021" w:rsidR="00F63021" w:rsidP="00F63021" w:rsidRDefault="005A0BBC">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Το Δικαστήριο θεωρεί ότι ο γιος του προσφεύγοντος παρουσίασε </w:t>
      </w:r>
      <w:r w:rsidRPr="00F63021" w:rsidR="00FB74B8">
        <w:rPr>
          <w:rFonts w:ascii="Times New Roman" w:hAnsi="Times New Roman"/>
        </w:rPr>
        <w:t>δεόντως</w:t>
      </w:r>
      <w:r w:rsidRPr="00F63021">
        <w:rPr>
          <w:rFonts w:ascii="Times New Roman" w:hAnsi="Times New Roman"/>
        </w:rPr>
        <w:t xml:space="preserve"> τις αξιώσεις του λόγω υλικής ζημίας. Στην ουσία ζητά το ποσό που ζητούσε ο ίδιος ο προσφεύγων στην αγωγή του της 3</w:t>
      </w:r>
      <w:r w:rsidRPr="00F63021">
        <w:rPr>
          <w:rFonts w:ascii="Times New Roman" w:hAnsi="Times New Roman"/>
          <w:vertAlign w:val="superscript"/>
        </w:rPr>
        <w:t>ης</w:t>
      </w:r>
      <w:r w:rsidRPr="00F63021">
        <w:rPr>
          <w:rFonts w:ascii="Times New Roman" w:hAnsi="Times New Roman"/>
        </w:rPr>
        <w:t xml:space="preserve"> Ιουνίου 2003 ενώπιον του Πρωτοδικείου Αθηνών και που ήταν σαφώς εκπεφρασμένο σε ευρώ στην αγωγή αυτή, δηλαδή 30.550,74€.</w:t>
      </w:r>
    </w:p>
    <w:p w:rsidRPr="00F63021" w:rsidR="00F63021" w:rsidP="00F63021" w:rsidRDefault="005A0BBC">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Το Δικαστήριο υπενθυμίζει αφενός ότι στην υπό κρίση υπόθεση </w:t>
      </w:r>
      <w:r w:rsidRPr="00F63021" w:rsidR="004D738D">
        <w:rPr>
          <w:rFonts w:ascii="Times New Roman" w:hAnsi="Times New Roman"/>
        </w:rPr>
        <w:t>συμπέρανε</w:t>
      </w:r>
      <w:r w:rsidRPr="00F63021">
        <w:rPr>
          <w:rFonts w:ascii="Times New Roman" w:hAnsi="Times New Roman"/>
        </w:rPr>
        <w:t xml:space="preserve"> την παραβίαση </w:t>
      </w:r>
      <w:r w:rsidRPr="00F63021" w:rsidR="004D738D">
        <w:rPr>
          <w:rFonts w:ascii="Times New Roman" w:hAnsi="Times New Roman"/>
        </w:rPr>
        <w:t xml:space="preserve">της </w:t>
      </w:r>
      <w:r w:rsidRPr="00F63021">
        <w:rPr>
          <w:rFonts w:ascii="Times New Roman" w:hAnsi="Times New Roman"/>
        </w:rPr>
        <w:t>πρώτης φράσης της πρώτης παραγράφου του άρθρου υπ</w:t>
      </w:r>
      <w:r w:rsidRPr="00F63021" w:rsidR="00F63021">
        <w:rPr>
          <w:rFonts w:ascii="Times New Roman" w:hAnsi="Times New Roman"/>
        </w:rPr>
        <w:t>’</w:t>
      </w:r>
      <w:r w:rsidRPr="00F63021">
        <w:rPr>
          <w:rFonts w:ascii="Times New Roman" w:hAnsi="Times New Roman"/>
        </w:rPr>
        <w:t xml:space="preserve"> αρ. 1 του Πρώτου Πρωτοκόλλου και αφετέρο</w:t>
      </w:r>
      <w:r w:rsidRPr="00F63021" w:rsidR="004D738D">
        <w:rPr>
          <w:rFonts w:ascii="Times New Roman" w:hAnsi="Times New Roman"/>
        </w:rPr>
        <w:t>υ</w:t>
      </w:r>
      <w:r w:rsidRPr="00F63021">
        <w:rPr>
          <w:rFonts w:ascii="Times New Roman" w:hAnsi="Times New Roman"/>
        </w:rPr>
        <w:t xml:space="preserve"> ότι θεωρεί ότι δεν μπορεί να κάνει εικασίες ως προς το ποσό που τα ελληνικά δικαστήρια θα είχαν επιδικάσει στον προσφεύγοντα εάν αυτός είχε δικαιωθεί. Ωστόσο, θεωρεί ότι θα πρέπει να επι</w:t>
      </w:r>
      <w:r w:rsidRPr="00F63021" w:rsidR="004D738D">
        <w:rPr>
          <w:rFonts w:ascii="Times New Roman" w:hAnsi="Times New Roman"/>
        </w:rPr>
        <w:t>δ</w:t>
      </w:r>
      <w:r w:rsidRPr="00F63021">
        <w:rPr>
          <w:rFonts w:ascii="Times New Roman" w:hAnsi="Times New Roman"/>
        </w:rPr>
        <w:t>ικάσει στον γιο του προσφεύγοντος το ποσό των 15.000 € για όλες τις ζημίες/βλάβες.</w:t>
      </w:r>
    </w:p>
    <w:p w:rsidRPr="00F63021" w:rsidR="004D738D" w:rsidP="00F63021" w:rsidRDefault="004D738D">
      <w:pPr>
        <w:pStyle w:val="NormalWeb"/>
        <w:spacing w:before="0" w:beforeAutospacing="0" w:after="120" w:afterAutospacing="0" w:line="312" w:lineRule="auto"/>
        <w:jc w:val="both"/>
        <w:rPr>
          <w:rFonts w:ascii="Times New Roman" w:hAnsi="Times New Roman"/>
          <w:b/>
        </w:rPr>
      </w:pPr>
      <w:r w:rsidRPr="00F63021">
        <w:rPr>
          <w:rFonts w:ascii="Times New Roman" w:hAnsi="Times New Roman"/>
          <w:b/>
        </w:rPr>
        <w:t>Β.</w:t>
      </w:r>
      <w:r w:rsidRPr="00F63021">
        <w:rPr>
          <w:rFonts w:ascii="Times New Roman" w:hAnsi="Times New Roman"/>
          <w:b/>
        </w:rPr>
        <w:tab/>
        <w:t>Έξοδα και δικαστική δαπάνη</w:t>
      </w:r>
    </w:p>
    <w:p w:rsidRPr="00F63021" w:rsidR="00F63021" w:rsidP="00F63021" w:rsidRDefault="004D738D">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Ο γιος του προσφεύγοντος ζητά επίσης το ποσό των 5.000€ για έξοδα και δικαστική δαπάνη αλλά χωρίς να διευκρινίζει εάν το ποσό αυτό αφορά τα έξοδα ενώπιον των ε</w:t>
      </w:r>
      <w:r w:rsidRPr="00F63021" w:rsidR="00655AA1">
        <w:rPr>
          <w:rFonts w:ascii="Times New Roman" w:hAnsi="Times New Roman"/>
        </w:rPr>
        <w:t>θ</w:t>
      </w:r>
      <w:r w:rsidRPr="00F63021">
        <w:rPr>
          <w:rFonts w:ascii="Times New Roman" w:hAnsi="Times New Roman"/>
        </w:rPr>
        <w:t>νικών δικαστηρίων ή ενώπιον του Δικαστηρίου ή και τα δύο.</w:t>
      </w:r>
    </w:p>
    <w:p w:rsidRPr="00F63021" w:rsidR="00F63021" w:rsidP="00F63021" w:rsidRDefault="004D738D">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Η Κυβέρνηση υπογραμμίζει ότι ο γιος του προσφεύγοντος δεν προσκομίζει καμία απόδειξη για τις αξιώσεις του.</w:t>
      </w:r>
    </w:p>
    <w:p w:rsidRPr="00F63021" w:rsidR="00F63021" w:rsidP="00F63021" w:rsidRDefault="004D738D">
      <w:pPr>
        <w:pStyle w:val="NormalWeb"/>
        <w:numPr>
          <w:ilvl w:val="0"/>
          <w:numId w:val="7"/>
        </w:numPr>
        <w:spacing w:before="0" w:beforeAutospacing="0" w:after="120" w:afterAutospacing="0" w:line="312" w:lineRule="auto"/>
        <w:ind w:left="0" w:hanging="11"/>
        <w:jc w:val="both"/>
        <w:rPr>
          <w:rFonts w:ascii="Times New Roman" w:hAnsi="Times New Roman"/>
        </w:rPr>
      </w:pPr>
      <w:r w:rsidRPr="00F63021">
        <w:rPr>
          <w:rFonts w:ascii="Times New Roman" w:hAnsi="Times New Roman"/>
        </w:rPr>
        <w:t xml:space="preserve">Σύμφωνα με τη νομολογία του Δικαστηρίου, ο προσφεύγων δεν μπορεί να πετύχει την καταβολή των εξόδων του και της δικαστικής δαπάνης παρά εάν αυτά έχουν αποδειχθεί πραγματικά, αναγκαία και εύλογα ως προς το ύψος τους. Στην υπό κρίση υπόθεση, το Δικαστήριο σημειώνει ότι ο προσφεύγων δεν προσκομίζει καμία απόδειξη σχετικά με τα έξοδα ενώπιον των </w:t>
      </w:r>
      <w:r w:rsidRPr="00F63021" w:rsidR="00655AA1">
        <w:rPr>
          <w:rFonts w:ascii="Times New Roman" w:hAnsi="Times New Roman"/>
        </w:rPr>
        <w:t xml:space="preserve">εθνικών </w:t>
      </w:r>
      <w:r w:rsidRPr="00F63021">
        <w:rPr>
          <w:rFonts w:ascii="Times New Roman" w:hAnsi="Times New Roman"/>
        </w:rPr>
        <w:t>δικαστηρίων στα οποία προσέφυγε και το Δικαστήριο. Επομένως, θα πρέπει να απορριφθούν οι αξιώσεις του για έξοδα και δικαστική δαπάνη.</w:t>
      </w:r>
    </w:p>
    <w:p w:rsidRPr="00F63021" w:rsidR="00F63021" w:rsidP="00F63021" w:rsidRDefault="00B64D63">
      <w:pPr>
        <w:pStyle w:val="NormalWeb"/>
        <w:spacing w:before="0" w:beforeAutospacing="0" w:after="120" w:afterAutospacing="0" w:line="312" w:lineRule="auto"/>
        <w:jc w:val="both"/>
        <w:rPr>
          <w:rFonts w:ascii="Times New Roman" w:hAnsi="Times New Roman"/>
          <w:b/>
        </w:rPr>
      </w:pPr>
      <w:r w:rsidRPr="00F63021">
        <w:rPr>
          <w:rFonts w:ascii="Times New Roman" w:hAnsi="Times New Roman"/>
          <w:b/>
        </w:rPr>
        <w:t>Γ.</w:t>
      </w:r>
      <w:r w:rsidRPr="00F63021">
        <w:rPr>
          <w:rFonts w:ascii="Times New Roman" w:hAnsi="Times New Roman"/>
          <w:b/>
        </w:rPr>
        <w:tab/>
        <w:t>Τόκοι υπερημερίας</w:t>
      </w:r>
    </w:p>
    <w:p w:rsidRPr="00F63021" w:rsidR="00B64D63" w:rsidP="00F63021" w:rsidRDefault="00B64D63">
      <w:pPr>
        <w:numPr>
          <w:ilvl w:val="0"/>
          <w:numId w:val="7"/>
        </w:numPr>
        <w:spacing w:after="120" w:line="312" w:lineRule="auto"/>
        <w:ind w:left="0" w:hanging="11"/>
        <w:jc w:val="both"/>
        <w:rPr>
          <w:rFonts w:ascii="Times New Roman" w:hAnsi="Times New Roman"/>
          <w:sz w:val="24"/>
          <w:szCs w:val="24"/>
        </w:rPr>
      </w:pPr>
      <w:r w:rsidRPr="00F63021">
        <w:rPr>
          <w:rFonts w:ascii="Times New Roman" w:hAnsi="Times New Roman"/>
          <w:sz w:val="24"/>
          <w:szCs w:val="24"/>
        </w:rPr>
        <w:t>Το Δικαστήριο κρίνει ότι αρμόζει να υπολογισθούν οι τόκοι υπερημερίας επί του επιτοκίου διευκολύνσεως οριακού δανεισμού της Ευρωπαϊκής Κεντρικής Τραπέζης, προσαυξημένου κατά τρεις ποσοστιαίες μονάδες.</w:t>
      </w:r>
    </w:p>
    <w:p w:rsidRPr="00F63021" w:rsidR="00B64D63" w:rsidP="00F63021" w:rsidRDefault="00B64D63">
      <w:pPr>
        <w:spacing w:after="120" w:line="312" w:lineRule="auto"/>
        <w:jc w:val="center"/>
        <w:rPr>
          <w:rFonts w:ascii="Times New Roman" w:hAnsi="Times New Roman"/>
          <w:sz w:val="24"/>
          <w:szCs w:val="24"/>
        </w:rPr>
      </w:pPr>
      <w:r w:rsidRPr="00F63021">
        <w:rPr>
          <w:rFonts w:ascii="Times New Roman" w:hAnsi="Times New Roman"/>
          <w:sz w:val="24"/>
          <w:szCs w:val="24"/>
        </w:rPr>
        <w:t>ΓΙΑ ΤΟΥΣ ΛΟΓΟΥΣ ΑΥΤΟΥΣ, ΤΟ ΔΙΚΑΣΤΗΡΙΟ ΟΜΟΦΩΝΑ,</w:t>
      </w:r>
    </w:p>
    <w:p w:rsidRPr="00F63021" w:rsidR="00B64D63" w:rsidP="00F63021" w:rsidRDefault="00B64D63">
      <w:pPr>
        <w:numPr>
          <w:ilvl w:val="0"/>
          <w:numId w:val="14"/>
        </w:numPr>
        <w:spacing w:after="120" w:line="312" w:lineRule="auto"/>
        <w:ind w:left="0" w:hanging="11"/>
        <w:jc w:val="both"/>
        <w:rPr>
          <w:rFonts w:ascii="Times New Roman" w:hAnsi="Times New Roman"/>
          <w:sz w:val="24"/>
          <w:szCs w:val="24"/>
        </w:rPr>
      </w:pPr>
      <w:r w:rsidRPr="00F63021">
        <w:rPr>
          <w:rFonts w:ascii="Times New Roman" w:hAnsi="Times New Roman"/>
          <w:i/>
          <w:sz w:val="24"/>
          <w:szCs w:val="24"/>
        </w:rPr>
        <w:t>Κηρύσσει</w:t>
      </w:r>
      <w:r w:rsidRPr="00F63021">
        <w:rPr>
          <w:rFonts w:ascii="Times New Roman" w:hAnsi="Times New Roman"/>
          <w:sz w:val="24"/>
          <w:szCs w:val="24"/>
        </w:rPr>
        <w:t xml:space="preserve"> την προσφυγή παραδεκτή ως προς την αιτίαση σχετικά με το άρθρο 1 του Πρώτου Πρωτοκόλλου και απαράδεκτη για τα περαιτέρω</w:t>
      </w:r>
    </w:p>
    <w:p w:rsidRPr="00F63021" w:rsidR="00B64D63" w:rsidP="00F63021" w:rsidRDefault="00B64D63">
      <w:pPr>
        <w:numPr>
          <w:ilvl w:val="0"/>
          <w:numId w:val="14"/>
        </w:numPr>
        <w:spacing w:after="120" w:line="312" w:lineRule="auto"/>
        <w:ind w:left="0" w:hanging="11"/>
        <w:jc w:val="both"/>
        <w:rPr>
          <w:rFonts w:ascii="Times New Roman" w:hAnsi="Times New Roman"/>
          <w:sz w:val="24"/>
          <w:szCs w:val="24"/>
        </w:rPr>
      </w:pPr>
      <w:r w:rsidRPr="00F63021">
        <w:rPr>
          <w:rFonts w:ascii="Times New Roman" w:hAnsi="Times New Roman"/>
          <w:i/>
          <w:sz w:val="24"/>
          <w:szCs w:val="24"/>
        </w:rPr>
        <w:t>Αποφαίνεται</w:t>
      </w:r>
      <w:r w:rsidRPr="00F63021">
        <w:rPr>
          <w:rFonts w:ascii="Times New Roman" w:hAnsi="Times New Roman"/>
          <w:sz w:val="24"/>
          <w:szCs w:val="24"/>
        </w:rPr>
        <w:t xml:space="preserve"> ότι υπήρξε παραβίαση του άρθρου 1 του Πρώτου Πρωτοκόλλου</w:t>
      </w:r>
    </w:p>
    <w:p w:rsidRPr="00F63021" w:rsidR="00B64D63" w:rsidP="00F63021" w:rsidRDefault="00B64D63">
      <w:pPr>
        <w:numPr>
          <w:ilvl w:val="0"/>
          <w:numId w:val="14"/>
        </w:numPr>
        <w:spacing w:after="120" w:line="312" w:lineRule="auto"/>
        <w:ind w:left="0" w:hanging="11"/>
        <w:jc w:val="both"/>
        <w:rPr>
          <w:rFonts w:ascii="Times New Roman" w:hAnsi="Times New Roman"/>
          <w:i/>
          <w:sz w:val="24"/>
          <w:szCs w:val="24"/>
        </w:rPr>
      </w:pPr>
      <w:r w:rsidRPr="00F63021">
        <w:rPr>
          <w:rFonts w:ascii="Times New Roman" w:hAnsi="Times New Roman"/>
          <w:i/>
          <w:sz w:val="24"/>
          <w:szCs w:val="24"/>
        </w:rPr>
        <w:t>Αποφαίνεται ότι</w:t>
      </w:r>
    </w:p>
    <w:p w:rsidRPr="00F63021" w:rsidR="00F63021" w:rsidP="00F63021" w:rsidRDefault="00B64D63">
      <w:pPr>
        <w:spacing w:after="120" w:line="312" w:lineRule="auto"/>
        <w:ind w:left="709"/>
        <w:jc w:val="both"/>
        <w:rPr>
          <w:rFonts w:ascii="Times New Roman" w:hAnsi="Times New Roman"/>
          <w:sz w:val="24"/>
          <w:szCs w:val="24"/>
        </w:rPr>
      </w:pPr>
      <w:r w:rsidRPr="00F63021">
        <w:rPr>
          <w:rFonts w:ascii="Times New Roman" w:hAnsi="Times New Roman"/>
          <w:sz w:val="24"/>
          <w:szCs w:val="24"/>
        </w:rPr>
        <w:t xml:space="preserve">α) Το </w:t>
      </w:r>
      <w:proofErr w:type="spellStart"/>
      <w:r w:rsidRPr="00F63021">
        <w:rPr>
          <w:rFonts w:ascii="Times New Roman" w:hAnsi="Times New Roman"/>
          <w:sz w:val="24"/>
          <w:szCs w:val="24"/>
        </w:rPr>
        <w:t>καθ</w:t>
      </w:r>
      <w:r w:rsidRPr="00F63021" w:rsidR="00F63021">
        <w:rPr>
          <w:rFonts w:ascii="Times New Roman" w:hAnsi="Times New Roman"/>
          <w:sz w:val="24"/>
          <w:szCs w:val="24"/>
        </w:rPr>
        <w:t>’</w:t>
      </w:r>
      <w:r w:rsidRPr="00F63021">
        <w:rPr>
          <w:rFonts w:ascii="Times New Roman" w:hAnsi="Times New Roman"/>
          <w:sz w:val="24"/>
          <w:szCs w:val="24"/>
        </w:rPr>
        <w:t>ου</w:t>
      </w:r>
      <w:proofErr w:type="spellEnd"/>
      <w:r w:rsidRPr="00F63021">
        <w:rPr>
          <w:rFonts w:ascii="Times New Roman" w:hAnsi="Times New Roman"/>
          <w:sz w:val="24"/>
          <w:szCs w:val="24"/>
        </w:rPr>
        <w:t xml:space="preserve"> η προσφυγή Κράτος πρέπει να καταβάλει στον γιο του προσφεύγοντος, εντός τριών μηνών από την ημέρα που η απόφαση θα γίνει οριστική, σύμφωνα με το άρθρο 44§2, το ποσό των 15.000€ (δεκαπέντε χιλιάδων ευρώ) για όλες τις ζημίες/βλάβες, συν κάθε ποσό που μπορεί να οφείλεται ως φόρος,</w:t>
      </w:r>
    </w:p>
    <w:p w:rsidRPr="00F63021" w:rsidR="00B64D63" w:rsidP="00F63021" w:rsidRDefault="00B64D63">
      <w:pPr>
        <w:ind w:left="709"/>
        <w:jc w:val="both"/>
        <w:rPr>
          <w:rFonts w:ascii="Times New Roman" w:hAnsi="Times New Roman"/>
          <w:sz w:val="24"/>
          <w:szCs w:val="24"/>
        </w:rPr>
      </w:pPr>
      <w:r w:rsidRPr="00F63021">
        <w:rPr>
          <w:rFonts w:ascii="Times New Roman" w:hAnsi="Times New Roman"/>
          <w:sz w:val="24"/>
          <w:szCs w:val="24"/>
        </w:rPr>
        <w:t>β) Από την εκπνοή της προθεσμίας αυτής και μέχρι την καταβολή, το ποσό αυτό θα αυξάνεται με απλό τόκο με επιτόκιο ίσο προς το ισχύον κατ</w:t>
      </w:r>
      <w:r w:rsidRPr="00F63021" w:rsidR="00F63021">
        <w:rPr>
          <w:rFonts w:ascii="Times New Roman" w:hAnsi="Times New Roman"/>
          <w:sz w:val="24"/>
          <w:szCs w:val="24"/>
        </w:rPr>
        <w:t>’</w:t>
      </w:r>
      <w:r w:rsidRPr="00F63021">
        <w:rPr>
          <w:rFonts w:ascii="Times New Roman" w:hAnsi="Times New Roman"/>
          <w:sz w:val="24"/>
          <w:szCs w:val="24"/>
        </w:rPr>
        <w:t xml:space="preserve"> αυτό το χρονικό διάστημα επιτόκιο διευκολύνσεως οριακού δανεισμού της Ευρωπαϊκής Κεντρικής Τράπεζας, προσαυξημένο κατά τρεις ποσοστιαίες μονάδες.</w:t>
      </w:r>
    </w:p>
    <w:p w:rsidRPr="00F63021" w:rsidR="00F63021" w:rsidP="00F63021" w:rsidRDefault="00B64D63">
      <w:pPr>
        <w:numPr>
          <w:ilvl w:val="0"/>
          <w:numId w:val="15"/>
        </w:numPr>
        <w:ind w:left="0" w:firstLine="0"/>
        <w:jc w:val="both"/>
        <w:rPr>
          <w:rFonts w:ascii="Times New Roman" w:hAnsi="Times New Roman"/>
          <w:sz w:val="24"/>
          <w:szCs w:val="24"/>
        </w:rPr>
      </w:pPr>
      <w:r w:rsidRPr="00F63021">
        <w:rPr>
          <w:rFonts w:ascii="Times New Roman" w:hAnsi="Times New Roman"/>
          <w:i/>
          <w:sz w:val="24"/>
          <w:szCs w:val="24"/>
        </w:rPr>
        <w:t>Απορρίπτει</w:t>
      </w:r>
      <w:r w:rsidRPr="00F63021">
        <w:rPr>
          <w:rFonts w:ascii="Times New Roman" w:hAnsi="Times New Roman"/>
          <w:sz w:val="24"/>
          <w:szCs w:val="24"/>
        </w:rPr>
        <w:t xml:space="preserve"> το αίτημα δίκαιης ικανοποίησης για τα περαιτέρω.</w:t>
      </w:r>
    </w:p>
    <w:p w:rsidRPr="00F63021" w:rsidR="00F63021" w:rsidP="00F63021" w:rsidRDefault="00B64D63">
      <w:pPr>
        <w:spacing w:line="288" w:lineRule="auto"/>
        <w:jc w:val="both"/>
        <w:rPr>
          <w:rFonts w:ascii="Times New Roman" w:hAnsi="Times New Roman"/>
          <w:sz w:val="24"/>
          <w:szCs w:val="24"/>
        </w:rPr>
      </w:pPr>
      <w:r w:rsidRPr="00F63021">
        <w:rPr>
          <w:rFonts w:ascii="Times New Roman" w:hAnsi="Times New Roman"/>
          <w:sz w:val="24"/>
          <w:szCs w:val="24"/>
        </w:rPr>
        <w:t>Συντάχτηκε στα γαλλικά και στην συνέχεια κοινοποιήθηκε εγγράφως στις 2</w:t>
      </w:r>
      <w:r w:rsidRPr="00F63021" w:rsidR="005A1BA7">
        <w:rPr>
          <w:rFonts w:ascii="Times New Roman" w:hAnsi="Times New Roman"/>
          <w:sz w:val="24"/>
          <w:szCs w:val="24"/>
        </w:rPr>
        <w:t>9</w:t>
      </w:r>
      <w:r w:rsidRPr="00F63021">
        <w:rPr>
          <w:rFonts w:ascii="Times New Roman" w:hAnsi="Times New Roman"/>
          <w:sz w:val="24"/>
          <w:szCs w:val="24"/>
        </w:rPr>
        <w:t xml:space="preserve"> Ιανουαρίου 2013, σύμφωνα με το άρθρο 77 §§2 και 3 του Κανονισμού.</w:t>
      </w:r>
    </w:p>
    <w:p w:rsidRPr="00F63021" w:rsidR="00B64D63" w:rsidP="00F63021" w:rsidRDefault="00B64D63">
      <w:pPr>
        <w:spacing w:line="288" w:lineRule="auto"/>
        <w:contextualSpacing/>
        <w:jc w:val="both"/>
        <w:rPr>
          <w:rFonts w:ascii="Times New Roman" w:hAnsi="Times New Roman"/>
          <w:sz w:val="24"/>
          <w:szCs w:val="24"/>
        </w:rPr>
      </w:pPr>
      <w:r w:rsidRPr="00F63021">
        <w:rPr>
          <w:rFonts w:ascii="Times New Roman" w:hAnsi="Times New Roman"/>
          <w:sz w:val="24"/>
          <w:szCs w:val="24"/>
        </w:rPr>
        <w:t xml:space="preserve">Ο </w:t>
      </w:r>
      <w:proofErr w:type="spellStart"/>
      <w:r w:rsidRPr="00F63021">
        <w:rPr>
          <w:rFonts w:ascii="Times New Roman" w:hAnsi="Times New Roman"/>
          <w:sz w:val="24"/>
          <w:szCs w:val="24"/>
        </w:rPr>
        <w:t>Αν.Γραμματέας</w:t>
      </w:r>
      <w:proofErr w:type="spellEnd"/>
      <w:r w:rsidRPr="00F63021">
        <w:rPr>
          <w:rFonts w:ascii="Times New Roman" w:hAnsi="Times New Roman"/>
          <w:sz w:val="24"/>
          <w:szCs w:val="24"/>
        </w:rPr>
        <w:tab/>
      </w:r>
      <w:r w:rsidRPr="00F63021">
        <w:rPr>
          <w:rFonts w:ascii="Times New Roman" w:hAnsi="Times New Roman"/>
          <w:sz w:val="24"/>
          <w:szCs w:val="24"/>
        </w:rPr>
        <w:tab/>
      </w:r>
      <w:r w:rsidRPr="00F63021">
        <w:rPr>
          <w:rFonts w:ascii="Times New Roman" w:hAnsi="Times New Roman"/>
          <w:sz w:val="24"/>
          <w:szCs w:val="24"/>
        </w:rPr>
        <w:tab/>
      </w:r>
      <w:r w:rsidRPr="00F63021">
        <w:rPr>
          <w:rFonts w:ascii="Times New Roman" w:hAnsi="Times New Roman"/>
          <w:sz w:val="24"/>
          <w:szCs w:val="24"/>
        </w:rPr>
        <w:tab/>
      </w:r>
      <w:r w:rsidRPr="00F63021">
        <w:rPr>
          <w:rFonts w:ascii="Times New Roman" w:hAnsi="Times New Roman"/>
          <w:sz w:val="24"/>
          <w:szCs w:val="24"/>
        </w:rPr>
        <w:tab/>
        <w:t>Η Πρόεδρος</w:t>
      </w:r>
    </w:p>
    <w:p w:rsidRPr="00F63021" w:rsidR="00F63021" w:rsidP="00F63021" w:rsidRDefault="00B64D63">
      <w:pPr>
        <w:spacing w:line="288" w:lineRule="auto"/>
        <w:contextualSpacing/>
        <w:jc w:val="both"/>
        <w:rPr>
          <w:rFonts w:ascii="Times New Roman" w:hAnsi="Times New Roman"/>
          <w:sz w:val="24"/>
          <w:szCs w:val="24"/>
        </w:rPr>
      </w:pPr>
      <w:proofErr w:type="spellStart"/>
      <w:r w:rsidRPr="00F63021">
        <w:rPr>
          <w:rFonts w:ascii="Times New Roman" w:hAnsi="Times New Roman"/>
          <w:sz w:val="24"/>
          <w:szCs w:val="24"/>
          <w:lang w:val="fr-FR"/>
        </w:rPr>
        <w:t>Andr</w:t>
      </w:r>
      <w:proofErr w:type="spellEnd"/>
      <w:r w:rsidRPr="00F63021">
        <w:rPr>
          <w:rFonts w:ascii="Times New Roman" w:hAnsi="Times New Roman"/>
          <w:sz w:val="24"/>
          <w:szCs w:val="24"/>
        </w:rPr>
        <w:t xml:space="preserve">é </w:t>
      </w:r>
      <w:r w:rsidRPr="00F63021">
        <w:rPr>
          <w:rFonts w:ascii="Times New Roman" w:hAnsi="Times New Roman"/>
          <w:sz w:val="24"/>
          <w:szCs w:val="24"/>
          <w:lang w:val="fr-FR"/>
        </w:rPr>
        <w:t>Wampach</w:t>
      </w:r>
      <w:r w:rsidRPr="00F63021">
        <w:rPr>
          <w:rFonts w:ascii="Times New Roman" w:hAnsi="Times New Roman"/>
          <w:sz w:val="24"/>
          <w:szCs w:val="24"/>
        </w:rPr>
        <w:tab/>
      </w:r>
      <w:r w:rsidRPr="00F63021">
        <w:rPr>
          <w:rFonts w:ascii="Times New Roman" w:hAnsi="Times New Roman"/>
          <w:sz w:val="24"/>
          <w:szCs w:val="24"/>
        </w:rPr>
        <w:tab/>
      </w:r>
      <w:r w:rsidRPr="00F63021">
        <w:rPr>
          <w:rFonts w:ascii="Times New Roman" w:hAnsi="Times New Roman"/>
          <w:sz w:val="24"/>
          <w:szCs w:val="24"/>
        </w:rPr>
        <w:tab/>
      </w:r>
      <w:r w:rsidRPr="00F63021">
        <w:rPr>
          <w:rFonts w:ascii="Times New Roman" w:hAnsi="Times New Roman"/>
          <w:sz w:val="24"/>
          <w:szCs w:val="24"/>
        </w:rPr>
        <w:tab/>
      </w:r>
      <w:r w:rsidRPr="00F63021">
        <w:rPr>
          <w:rFonts w:ascii="Times New Roman" w:hAnsi="Times New Roman"/>
          <w:sz w:val="24"/>
          <w:szCs w:val="24"/>
        </w:rPr>
        <w:tab/>
      </w:r>
      <w:r w:rsidRPr="00F63021" w:rsidR="005A1BA7">
        <w:rPr>
          <w:rFonts w:ascii="Times New Roman" w:hAnsi="Times New Roman"/>
          <w:sz w:val="24"/>
          <w:szCs w:val="24"/>
          <w:lang w:val="fr-FR"/>
        </w:rPr>
        <w:t xml:space="preserve">Isabelle </w:t>
      </w:r>
      <w:proofErr w:type="spellStart"/>
      <w:r w:rsidRPr="00F63021" w:rsidR="005A1BA7">
        <w:rPr>
          <w:rFonts w:ascii="Times New Roman" w:hAnsi="Times New Roman"/>
          <w:sz w:val="24"/>
          <w:szCs w:val="24"/>
          <w:lang w:val="fr-FR"/>
        </w:rPr>
        <w:t>Berro</w:t>
      </w:r>
      <w:proofErr w:type="spellEnd"/>
      <w:r w:rsidRPr="00F63021" w:rsidR="005A1BA7">
        <w:rPr>
          <w:rFonts w:ascii="Times New Roman" w:hAnsi="Times New Roman"/>
          <w:sz w:val="24"/>
          <w:szCs w:val="24"/>
          <w:lang w:val="fr-FR"/>
        </w:rPr>
        <w:t>-Lefèvre</w:t>
      </w:r>
    </w:p>
    <w:p w:rsidRPr="00F63021" w:rsidR="00B64D63" w:rsidP="00F63021" w:rsidRDefault="00B64D63">
      <w:pPr>
        <w:spacing w:after="120" w:line="312" w:lineRule="auto"/>
        <w:jc w:val="both"/>
        <w:rPr>
          <w:rFonts w:ascii="Times New Roman" w:hAnsi="Times New Roman"/>
          <w:sz w:val="24"/>
          <w:szCs w:val="24"/>
        </w:rPr>
      </w:pPr>
    </w:p>
    <w:sectPr w:rsidRPr="00F63021" w:rsidR="00B64D63" w:rsidSect="00BA7CD2">
      <w:footerReference w:type="default" r:id="rId8"/>
      <w:pgSz w:w="11906" w:h="16838"/>
      <w:pgMar w:top="1985" w:right="2268" w:bottom="2127" w:left="2268" w:header="709" w:footer="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A6B" w:rsidRDefault="00872A6B" w:rsidP="00D71D39">
      <w:pPr>
        <w:spacing w:after="0" w:line="240" w:lineRule="auto"/>
      </w:pPr>
      <w:r>
        <w:separator/>
      </w:r>
    </w:p>
  </w:endnote>
  <w:endnote w:type="continuationSeparator" w:id="0">
    <w:p w:rsidR="00872A6B" w:rsidRDefault="00872A6B" w:rsidP="00D7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94" w:rsidRDefault="00EF5394">
    <w:pPr>
      <w:pStyle w:val="Footer"/>
      <w:jc w:val="center"/>
    </w:pPr>
    <w:r>
      <w:fldChar w:fldCharType="begin"/>
    </w:r>
    <w:r>
      <w:instrText xml:space="preserve"> PAGE   \* MERGEFORMAT </w:instrText>
    </w:r>
    <w:r>
      <w:fldChar w:fldCharType="separate"/>
    </w:r>
    <w:r w:rsidR="00F63021">
      <w:rPr>
        <w:noProof/>
      </w:rPr>
      <w:t>1</w:t>
    </w:r>
    <w:r>
      <w:fldChar w:fldCharType="end"/>
    </w:r>
  </w:p>
  <w:p w:rsidR="00EF5394" w:rsidRPr="008770B5" w:rsidRDefault="00EF5394" w:rsidP="00F4104D">
    <w:pPr>
      <w:spacing w:line="360" w:lineRule="auto"/>
      <w:rPr>
        <w:sz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A6B" w:rsidRDefault="00872A6B" w:rsidP="00D71D39">
      <w:pPr>
        <w:spacing w:after="0" w:line="240" w:lineRule="auto"/>
      </w:pPr>
      <w:r>
        <w:separator/>
      </w:r>
    </w:p>
  </w:footnote>
  <w:footnote w:type="continuationSeparator" w:id="0">
    <w:p w:rsidR="00872A6B" w:rsidRDefault="00872A6B" w:rsidP="00D71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08F5"/>
    <w:multiLevelType w:val="hybridMultilevel"/>
    <w:tmpl w:val="A6966C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64721A"/>
    <w:multiLevelType w:val="hybridMultilevel"/>
    <w:tmpl w:val="205E095C"/>
    <w:lvl w:ilvl="0" w:tplc="FD0C708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416FA3"/>
    <w:multiLevelType w:val="hybridMultilevel"/>
    <w:tmpl w:val="4F0E46D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C4A2CF1"/>
    <w:multiLevelType w:val="hybridMultilevel"/>
    <w:tmpl w:val="ACCA6BD4"/>
    <w:lvl w:ilvl="0" w:tplc="FD0C708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534923"/>
    <w:multiLevelType w:val="hybridMultilevel"/>
    <w:tmpl w:val="7D36FFC8"/>
    <w:lvl w:ilvl="0" w:tplc="FD0C7084">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B579D8"/>
    <w:multiLevelType w:val="hybridMultilevel"/>
    <w:tmpl w:val="19B0F8B2"/>
    <w:lvl w:ilvl="0" w:tplc="22DE058C">
      <w:start w:val="32"/>
      <w:numFmt w:val="decimal"/>
      <w:lvlText w:val="%1."/>
      <w:lvlJc w:val="left"/>
      <w:pPr>
        <w:ind w:left="1446" w:hanging="360"/>
      </w:pPr>
      <w:rPr>
        <w:rFonts w:hint="default"/>
      </w:r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6" w15:restartNumberingAfterBreak="0">
    <w:nsid w:val="20E65698"/>
    <w:multiLevelType w:val="hybridMultilevel"/>
    <w:tmpl w:val="9A9E47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9F8482F"/>
    <w:multiLevelType w:val="hybridMultilevel"/>
    <w:tmpl w:val="085AD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6C47E4"/>
    <w:multiLevelType w:val="hybridMultilevel"/>
    <w:tmpl w:val="7B5A9F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43C790C"/>
    <w:multiLevelType w:val="hybridMultilevel"/>
    <w:tmpl w:val="4B740B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D056FD8"/>
    <w:multiLevelType w:val="hybridMultilevel"/>
    <w:tmpl w:val="08EA3678"/>
    <w:lvl w:ilvl="0" w:tplc="2F8EE7C4">
      <w:start w:val="1"/>
      <w:numFmt w:val="low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F47127F"/>
    <w:multiLevelType w:val="hybridMultilevel"/>
    <w:tmpl w:val="990E1C6A"/>
    <w:lvl w:ilvl="0" w:tplc="2346B1DA">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6B943AC"/>
    <w:multiLevelType w:val="hybridMultilevel"/>
    <w:tmpl w:val="D414B56E"/>
    <w:lvl w:ilvl="0" w:tplc="C1463418">
      <w:start w:val="17"/>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F895661"/>
    <w:multiLevelType w:val="hybridMultilevel"/>
    <w:tmpl w:val="1222138E"/>
    <w:lvl w:ilvl="0" w:tplc="12F0BF8A">
      <w:start w:val="4"/>
      <w:numFmt w:val="decimal"/>
      <w:lvlText w:val="%1."/>
      <w:lvlJc w:val="left"/>
      <w:pPr>
        <w:ind w:left="128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9582B0F"/>
    <w:multiLevelType w:val="hybridMultilevel"/>
    <w:tmpl w:val="5930F326"/>
    <w:lvl w:ilvl="0" w:tplc="E208C9D4">
      <w:start w:val="1"/>
      <w:numFmt w:val="low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73A41963"/>
    <w:multiLevelType w:val="hybridMultilevel"/>
    <w:tmpl w:val="29DE7E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7BC34BC"/>
    <w:multiLevelType w:val="hybridMultilevel"/>
    <w:tmpl w:val="A5203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1"/>
  </w:num>
  <w:num w:numId="3">
    <w:abstractNumId w:val="14"/>
  </w:num>
  <w:num w:numId="4">
    <w:abstractNumId w:val="10"/>
  </w:num>
  <w:num w:numId="5">
    <w:abstractNumId w:val="2"/>
  </w:num>
  <w:num w:numId="6">
    <w:abstractNumId w:val="16"/>
  </w:num>
  <w:num w:numId="7">
    <w:abstractNumId w:val="4"/>
  </w:num>
  <w:num w:numId="8">
    <w:abstractNumId w:val="0"/>
  </w:num>
  <w:num w:numId="9">
    <w:abstractNumId w:val="7"/>
  </w:num>
  <w:num w:numId="10">
    <w:abstractNumId w:val="6"/>
  </w:num>
  <w:num w:numId="11">
    <w:abstractNumId w:val="8"/>
  </w:num>
  <w:num w:numId="12">
    <w:abstractNumId w:val="12"/>
  </w:num>
  <w:num w:numId="13">
    <w:abstractNumId w:val="5"/>
  </w:num>
  <w:num w:numId="14">
    <w:abstractNumId w:val="9"/>
  </w:num>
  <w:num w:numId="15">
    <w:abstractNumId w:val="13"/>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F7"/>
    <w:rsid w:val="0000560A"/>
    <w:rsid w:val="00020278"/>
    <w:rsid w:val="00086A11"/>
    <w:rsid w:val="000943E5"/>
    <w:rsid w:val="00096DF7"/>
    <w:rsid w:val="000A6D75"/>
    <w:rsid w:val="000C0DAE"/>
    <w:rsid w:val="000C13B4"/>
    <w:rsid w:val="000C5E23"/>
    <w:rsid w:val="000E2C98"/>
    <w:rsid w:val="000F4CA9"/>
    <w:rsid w:val="001038D1"/>
    <w:rsid w:val="00114A53"/>
    <w:rsid w:val="0013503E"/>
    <w:rsid w:val="001428A8"/>
    <w:rsid w:val="0014317B"/>
    <w:rsid w:val="00157817"/>
    <w:rsid w:val="00162E50"/>
    <w:rsid w:val="001670F1"/>
    <w:rsid w:val="001D0139"/>
    <w:rsid w:val="001D5994"/>
    <w:rsid w:val="001E17A5"/>
    <w:rsid w:val="001E7996"/>
    <w:rsid w:val="001E7EF2"/>
    <w:rsid w:val="001F4206"/>
    <w:rsid w:val="002045C8"/>
    <w:rsid w:val="0021296D"/>
    <w:rsid w:val="00216A6F"/>
    <w:rsid w:val="00227545"/>
    <w:rsid w:val="002413BC"/>
    <w:rsid w:val="002500B4"/>
    <w:rsid w:val="00254E62"/>
    <w:rsid w:val="002718E4"/>
    <w:rsid w:val="00273BEA"/>
    <w:rsid w:val="002938B1"/>
    <w:rsid w:val="002A4AF7"/>
    <w:rsid w:val="002C33B8"/>
    <w:rsid w:val="002D22AD"/>
    <w:rsid w:val="002D326C"/>
    <w:rsid w:val="002E64BC"/>
    <w:rsid w:val="002F261A"/>
    <w:rsid w:val="002F35AF"/>
    <w:rsid w:val="0031083F"/>
    <w:rsid w:val="003140FC"/>
    <w:rsid w:val="00321461"/>
    <w:rsid w:val="003250AB"/>
    <w:rsid w:val="00351DC9"/>
    <w:rsid w:val="00354548"/>
    <w:rsid w:val="0035490B"/>
    <w:rsid w:val="0036386D"/>
    <w:rsid w:val="00365FB5"/>
    <w:rsid w:val="00372A85"/>
    <w:rsid w:val="003850A2"/>
    <w:rsid w:val="00397DBD"/>
    <w:rsid w:val="003A1ABB"/>
    <w:rsid w:val="003C3969"/>
    <w:rsid w:val="003C5E74"/>
    <w:rsid w:val="003D2BC3"/>
    <w:rsid w:val="003E04E7"/>
    <w:rsid w:val="003E5730"/>
    <w:rsid w:val="00402C88"/>
    <w:rsid w:val="0041756E"/>
    <w:rsid w:val="00422B58"/>
    <w:rsid w:val="004300B9"/>
    <w:rsid w:val="00447F75"/>
    <w:rsid w:val="00453B08"/>
    <w:rsid w:val="00482DEF"/>
    <w:rsid w:val="004871AF"/>
    <w:rsid w:val="004903F6"/>
    <w:rsid w:val="00491EE8"/>
    <w:rsid w:val="004A1B20"/>
    <w:rsid w:val="004B13F4"/>
    <w:rsid w:val="004B1C4F"/>
    <w:rsid w:val="004C34C1"/>
    <w:rsid w:val="004C75AB"/>
    <w:rsid w:val="004D737A"/>
    <w:rsid w:val="004D738D"/>
    <w:rsid w:val="004F0490"/>
    <w:rsid w:val="00504FEA"/>
    <w:rsid w:val="00523CBD"/>
    <w:rsid w:val="00530C17"/>
    <w:rsid w:val="00533114"/>
    <w:rsid w:val="0053324F"/>
    <w:rsid w:val="005372EE"/>
    <w:rsid w:val="005471F8"/>
    <w:rsid w:val="00556C8D"/>
    <w:rsid w:val="00582031"/>
    <w:rsid w:val="00590441"/>
    <w:rsid w:val="005A046F"/>
    <w:rsid w:val="005A0BBC"/>
    <w:rsid w:val="005A1BA7"/>
    <w:rsid w:val="005C2144"/>
    <w:rsid w:val="005C2C24"/>
    <w:rsid w:val="005D0F97"/>
    <w:rsid w:val="005F643B"/>
    <w:rsid w:val="00601352"/>
    <w:rsid w:val="00605BEE"/>
    <w:rsid w:val="00615218"/>
    <w:rsid w:val="0063021C"/>
    <w:rsid w:val="006338EF"/>
    <w:rsid w:val="006354F8"/>
    <w:rsid w:val="00635C3B"/>
    <w:rsid w:val="006436BB"/>
    <w:rsid w:val="00655AA1"/>
    <w:rsid w:val="006643C2"/>
    <w:rsid w:val="00665A21"/>
    <w:rsid w:val="00665D0F"/>
    <w:rsid w:val="00666F74"/>
    <w:rsid w:val="00695343"/>
    <w:rsid w:val="00697B4A"/>
    <w:rsid w:val="006A6CAB"/>
    <w:rsid w:val="006C58F1"/>
    <w:rsid w:val="006D0E9A"/>
    <w:rsid w:val="006E6598"/>
    <w:rsid w:val="006F074C"/>
    <w:rsid w:val="007055FB"/>
    <w:rsid w:val="007175A9"/>
    <w:rsid w:val="00721AD6"/>
    <w:rsid w:val="007319BC"/>
    <w:rsid w:val="00740F5C"/>
    <w:rsid w:val="00791D23"/>
    <w:rsid w:val="007A49A1"/>
    <w:rsid w:val="007B5AF9"/>
    <w:rsid w:val="007C489E"/>
    <w:rsid w:val="007D1446"/>
    <w:rsid w:val="007D293D"/>
    <w:rsid w:val="007D3AA1"/>
    <w:rsid w:val="007D4C47"/>
    <w:rsid w:val="007E18C3"/>
    <w:rsid w:val="007E3C43"/>
    <w:rsid w:val="007F167A"/>
    <w:rsid w:val="00805C9F"/>
    <w:rsid w:val="00811596"/>
    <w:rsid w:val="0082175A"/>
    <w:rsid w:val="00831945"/>
    <w:rsid w:val="00836C0B"/>
    <w:rsid w:val="0084074C"/>
    <w:rsid w:val="0084171A"/>
    <w:rsid w:val="008424A5"/>
    <w:rsid w:val="0084748D"/>
    <w:rsid w:val="0086032D"/>
    <w:rsid w:val="00871B0A"/>
    <w:rsid w:val="00872A6B"/>
    <w:rsid w:val="008734BF"/>
    <w:rsid w:val="008770B5"/>
    <w:rsid w:val="00887A48"/>
    <w:rsid w:val="00894973"/>
    <w:rsid w:val="008A5808"/>
    <w:rsid w:val="008B1D57"/>
    <w:rsid w:val="008B74AF"/>
    <w:rsid w:val="008D3467"/>
    <w:rsid w:val="008D7D86"/>
    <w:rsid w:val="008E2384"/>
    <w:rsid w:val="008E7F1A"/>
    <w:rsid w:val="008F4FEF"/>
    <w:rsid w:val="008F5825"/>
    <w:rsid w:val="0090005A"/>
    <w:rsid w:val="00902C81"/>
    <w:rsid w:val="00907448"/>
    <w:rsid w:val="0092235D"/>
    <w:rsid w:val="009241FA"/>
    <w:rsid w:val="00932C82"/>
    <w:rsid w:val="00935940"/>
    <w:rsid w:val="00961C8A"/>
    <w:rsid w:val="00966F44"/>
    <w:rsid w:val="00972241"/>
    <w:rsid w:val="0097369E"/>
    <w:rsid w:val="00983E64"/>
    <w:rsid w:val="0098471D"/>
    <w:rsid w:val="009944E1"/>
    <w:rsid w:val="009B223D"/>
    <w:rsid w:val="009C1B34"/>
    <w:rsid w:val="009C3FE4"/>
    <w:rsid w:val="009E2A54"/>
    <w:rsid w:val="009E38D0"/>
    <w:rsid w:val="009E7E17"/>
    <w:rsid w:val="009F147D"/>
    <w:rsid w:val="00A21371"/>
    <w:rsid w:val="00A21AA6"/>
    <w:rsid w:val="00A41700"/>
    <w:rsid w:val="00A5549B"/>
    <w:rsid w:val="00A601B0"/>
    <w:rsid w:val="00A96627"/>
    <w:rsid w:val="00AB3E04"/>
    <w:rsid w:val="00AD65CC"/>
    <w:rsid w:val="00B3389E"/>
    <w:rsid w:val="00B413D6"/>
    <w:rsid w:val="00B56B04"/>
    <w:rsid w:val="00B577B8"/>
    <w:rsid w:val="00B64D63"/>
    <w:rsid w:val="00B701B9"/>
    <w:rsid w:val="00BA58A0"/>
    <w:rsid w:val="00BA5C44"/>
    <w:rsid w:val="00BA6DBA"/>
    <w:rsid w:val="00BA7CD2"/>
    <w:rsid w:val="00BB1DAD"/>
    <w:rsid w:val="00BC0AB3"/>
    <w:rsid w:val="00BE3D37"/>
    <w:rsid w:val="00BF48F7"/>
    <w:rsid w:val="00BF6F54"/>
    <w:rsid w:val="00C314EB"/>
    <w:rsid w:val="00C35317"/>
    <w:rsid w:val="00C37A33"/>
    <w:rsid w:val="00C40922"/>
    <w:rsid w:val="00C478B1"/>
    <w:rsid w:val="00C539AE"/>
    <w:rsid w:val="00C5614C"/>
    <w:rsid w:val="00C64698"/>
    <w:rsid w:val="00C659AE"/>
    <w:rsid w:val="00C76B42"/>
    <w:rsid w:val="00C80D26"/>
    <w:rsid w:val="00C86876"/>
    <w:rsid w:val="00CD6635"/>
    <w:rsid w:val="00CE264C"/>
    <w:rsid w:val="00D00134"/>
    <w:rsid w:val="00D06E84"/>
    <w:rsid w:val="00D223B9"/>
    <w:rsid w:val="00D270DC"/>
    <w:rsid w:val="00D30EDC"/>
    <w:rsid w:val="00D37151"/>
    <w:rsid w:val="00D406A9"/>
    <w:rsid w:val="00D42238"/>
    <w:rsid w:val="00D54CA0"/>
    <w:rsid w:val="00D628C8"/>
    <w:rsid w:val="00D71D39"/>
    <w:rsid w:val="00D721B1"/>
    <w:rsid w:val="00D77ADE"/>
    <w:rsid w:val="00D83A34"/>
    <w:rsid w:val="00DA0F46"/>
    <w:rsid w:val="00DB25F8"/>
    <w:rsid w:val="00DC2CC3"/>
    <w:rsid w:val="00E02DE8"/>
    <w:rsid w:val="00E060A6"/>
    <w:rsid w:val="00E065D8"/>
    <w:rsid w:val="00E57C5A"/>
    <w:rsid w:val="00E60175"/>
    <w:rsid w:val="00E634A5"/>
    <w:rsid w:val="00E76A08"/>
    <w:rsid w:val="00E8487E"/>
    <w:rsid w:val="00EA5899"/>
    <w:rsid w:val="00EC2C58"/>
    <w:rsid w:val="00ED559E"/>
    <w:rsid w:val="00ED7487"/>
    <w:rsid w:val="00EE564E"/>
    <w:rsid w:val="00EF0D5D"/>
    <w:rsid w:val="00EF5394"/>
    <w:rsid w:val="00F104CF"/>
    <w:rsid w:val="00F1413D"/>
    <w:rsid w:val="00F27074"/>
    <w:rsid w:val="00F27A3F"/>
    <w:rsid w:val="00F300AF"/>
    <w:rsid w:val="00F320D7"/>
    <w:rsid w:val="00F3675E"/>
    <w:rsid w:val="00F4104D"/>
    <w:rsid w:val="00F63021"/>
    <w:rsid w:val="00F75E42"/>
    <w:rsid w:val="00F925EF"/>
    <w:rsid w:val="00FB1EF9"/>
    <w:rsid w:val="00FB74B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3B4"/>
    <w:pPr>
      <w:spacing w:after="200" w:line="276" w:lineRule="auto"/>
    </w:pPr>
    <w:rPr>
      <w:rFonts w:ascii="Calibri" w:hAnsi="Calibri"/>
      <w:sz w:val="22"/>
      <w:szCs w:val="22"/>
      <w:lang w:val="el-GR" w:eastAsia="en-US"/>
    </w:rPr>
  </w:style>
  <w:style w:type="paragraph" w:styleId="Heading1">
    <w:name w:val="heading 1"/>
    <w:basedOn w:val="Normal"/>
    <w:link w:val="Heading1Char"/>
    <w:qFormat/>
    <w:rsid w:val="00697B4A"/>
    <w:pPr>
      <w:spacing w:before="100" w:beforeAutospacing="1" w:after="100" w:afterAutospacing="1" w:line="240" w:lineRule="auto"/>
      <w:outlineLvl w:val="0"/>
    </w:pPr>
    <w:rPr>
      <w:rFonts w:eastAsia="Times New Roman"/>
      <w:b/>
      <w:bCs/>
      <w:kern w:val="36"/>
      <w:sz w:val="48"/>
      <w:szCs w:val="48"/>
      <w:lang w:eastAsia="el-GR"/>
    </w:rPr>
  </w:style>
  <w:style w:type="paragraph" w:styleId="Heading3">
    <w:name w:val="heading 3"/>
    <w:basedOn w:val="Normal"/>
    <w:next w:val="Normal"/>
    <w:link w:val="Heading3Char"/>
    <w:qFormat/>
    <w:rsid w:val="00697B4A"/>
    <w:pPr>
      <w:keepNext/>
      <w:spacing w:before="240" w:after="60" w:line="240" w:lineRule="auto"/>
      <w:outlineLvl w:val="2"/>
    </w:pPr>
    <w:rPr>
      <w:rFonts w:ascii="Arial" w:eastAsia="Times New Roman" w:hAnsi="Arial" w:cs="Arial"/>
      <w:b/>
      <w:bCs/>
      <w:sz w:val="26"/>
      <w:szCs w:val="2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D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1D39"/>
  </w:style>
  <w:style w:type="paragraph" w:styleId="Footer">
    <w:name w:val="footer"/>
    <w:basedOn w:val="Normal"/>
    <w:link w:val="FooterChar"/>
    <w:uiPriority w:val="99"/>
    <w:unhideWhenUsed/>
    <w:rsid w:val="00D71D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1D39"/>
  </w:style>
  <w:style w:type="paragraph" w:styleId="BalloonText">
    <w:name w:val="Balloon Text"/>
    <w:basedOn w:val="Normal"/>
    <w:link w:val="BalloonTextChar"/>
    <w:uiPriority w:val="99"/>
    <w:semiHidden/>
    <w:unhideWhenUsed/>
    <w:rsid w:val="00D71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39"/>
    <w:rPr>
      <w:rFonts w:ascii="Tahoma" w:hAnsi="Tahoma" w:cs="Tahoma"/>
      <w:sz w:val="16"/>
      <w:szCs w:val="16"/>
    </w:rPr>
  </w:style>
  <w:style w:type="paragraph" w:styleId="BodyText">
    <w:name w:val="Body Text"/>
    <w:basedOn w:val="Normal"/>
    <w:link w:val="BodyTextChar"/>
    <w:uiPriority w:val="99"/>
    <w:rsid w:val="006E6598"/>
    <w:pPr>
      <w:autoSpaceDE w:val="0"/>
      <w:autoSpaceDN w:val="0"/>
      <w:adjustRightInd w:val="0"/>
      <w:spacing w:after="0" w:line="240" w:lineRule="auto"/>
      <w:jc w:val="both"/>
    </w:pPr>
    <w:rPr>
      <w:rFonts w:ascii="Arial" w:eastAsia="Times New Roman" w:hAnsi="Arial" w:cs="Arial"/>
      <w:sz w:val="26"/>
      <w:szCs w:val="26"/>
      <w:lang w:val="fr-FR" w:eastAsia="el-GR"/>
    </w:rPr>
  </w:style>
  <w:style w:type="character" w:customStyle="1" w:styleId="BodyTextChar">
    <w:name w:val="Body Text Char"/>
    <w:basedOn w:val="DefaultParagraphFont"/>
    <w:link w:val="BodyText"/>
    <w:uiPriority w:val="99"/>
    <w:rsid w:val="006E6598"/>
    <w:rPr>
      <w:rFonts w:ascii="Arial" w:eastAsia="Times New Roman" w:hAnsi="Arial" w:cs="Arial"/>
      <w:sz w:val="26"/>
      <w:szCs w:val="26"/>
      <w:lang w:val="fr-FR"/>
    </w:rPr>
  </w:style>
  <w:style w:type="paragraph" w:styleId="BodyText2">
    <w:name w:val="Body Text 2"/>
    <w:basedOn w:val="Normal"/>
    <w:link w:val="BodyText2Char"/>
    <w:uiPriority w:val="99"/>
    <w:rsid w:val="006E6598"/>
    <w:pPr>
      <w:autoSpaceDE w:val="0"/>
      <w:autoSpaceDN w:val="0"/>
      <w:adjustRightInd w:val="0"/>
      <w:spacing w:after="0" w:line="240" w:lineRule="auto"/>
      <w:jc w:val="both"/>
    </w:pPr>
    <w:rPr>
      <w:rFonts w:ascii="Arial" w:eastAsia="Times New Roman" w:hAnsi="Arial" w:cs="Arial"/>
      <w:sz w:val="24"/>
      <w:szCs w:val="24"/>
      <w:lang w:val="fr-FR" w:eastAsia="el-GR"/>
    </w:rPr>
  </w:style>
  <w:style w:type="character" w:customStyle="1" w:styleId="BodyText2Char">
    <w:name w:val="Body Text 2 Char"/>
    <w:basedOn w:val="DefaultParagraphFont"/>
    <w:link w:val="BodyText2"/>
    <w:uiPriority w:val="99"/>
    <w:rsid w:val="006E6598"/>
    <w:rPr>
      <w:rFonts w:ascii="Arial" w:eastAsia="Times New Roman" w:hAnsi="Arial" w:cs="Arial"/>
      <w:sz w:val="24"/>
      <w:szCs w:val="24"/>
      <w:lang w:val="fr-FR"/>
    </w:rPr>
  </w:style>
  <w:style w:type="character" w:customStyle="1" w:styleId="Heading1Char">
    <w:name w:val="Heading 1 Char"/>
    <w:basedOn w:val="DefaultParagraphFont"/>
    <w:link w:val="Heading1"/>
    <w:rsid w:val="00697B4A"/>
    <w:rPr>
      <w:rFonts w:eastAsia="Times New Roman"/>
      <w:b/>
      <w:bCs/>
      <w:kern w:val="36"/>
      <w:sz w:val="48"/>
      <w:szCs w:val="48"/>
    </w:rPr>
  </w:style>
  <w:style w:type="paragraph" w:styleId="NormalWeb">
    <w:name w:val="Normal (Web)"/>
    <w:basedOn w:val="Normal"/>
    <w:rsid w:val="00351DC9"/>
    <w:pPr>
      <w:spacing w:before="100" w:beforeAutospacing="1" w:after="100" w:afterAutospacing="1" w:line="240" w:lineRule="auto"/>
    </w:pPr>
    <w:rPr>
      <w:rFonts w:eastAsia="Times New Roman"/>
      <w:sz w:val="24"/>
      <w:szCs w:val="24"/>
      <w:lang w:eastAsia="el-GR"/>
    </w:rPr>
  </w:style>
  <w:style w:type="paragraph" w:styleId="FootnoteText">
    <w:name w:val="footnote text"/>
    <w:basedOn w:val="Normal"/>
    <w:link w:val="FootnoteTextChar"/>
    <w:uiPriority w:val="99"/>
    <w:semiHidden/>
    <w:unhideWhenUsed/>
    <w:rsid w:val="00351DC9"/>
    <w:rPr>
      <w:sz w:val="20"/>
      <w:szCs w:val="20"/>
    </w:rPr>
  </w:style>
  <w:style w:type="character" w:customStyle="1" w:styleId="FootnoteTextChar">
    <w:name w:val="Footnote Text Char"/>
    <w:basedOn w:val="DefaultParagraphFont"/>
    <w:link w:val="FootnoteText"/>
    <w:uiPriority w:val="99"/>
    <w:semiHidden/>
    <w:rsid w:val="00351DC9"/>
    <w:rPr>
      <w:rFonts w:ascii="Calibri" w:hAnsi="Calibri"/>
      <w:lang w:eastAsia="en-US"/>
    </w:rPr>
  </w:style>
  <w:style w:type="character" w:styleId="FootnoteReference">
    <w:name w:val="footnote reference"/>
    <w:basedOn w:val="DefaultParagraphFont"/>
    <w:uiPriority w:val="99"/>
    <w:semiHidden/>
    <w:unhideWhenUsed/>
    <w:rsid w:val="00351DC9"/>
    <w:rPr>
      <w:vertAlign w:val="superscript"/>
    </w:rPr>
  </w:style>
  <w:style w:type="character" w:styleId="Hyperlink">
    <w:name w:val="Hyperlink"/>
    <w:basedOn w:val="DefaultParagraphFont"/>
    <w:rsid w:val="00114A53"/>
    <w:rPr>
      <w:color w:val="0000FF"/>
      <w:u w:val="single"/>
    </w:rPr>
  </w:style>
  <w:style w:type="character" w:customStyle="1" w:styleId="Heading3Char">
    <w:name w:val="Heading 3 Char"/>
    <w:basedOn w:val="DefaultParagraphFont"/>
    <w:link w:val="Heading3"/>
    <w:rsid w:val="00697B4A"/>
    <w:rPr>
      <w:rFonts w:ascii="Arial" w:eastAsia="Times New Roman" w:hAnsi="Arial" w:cs="Arial"/>
      <w:b/>
      <w:bCs/>
      <w:sz w:val="26"/>
      <w:szCs w:val="26"/>
    </w:rPr>
  </w:style>
  <w:style w:type="character" w:styleId="LineNumber">
    <w:name w:val="line number"/>
    <w:basedOn w:val="DefaultParagraphFont"/>
    <w:uiPriority w:val="99"/>
    <w:semiHidden/>
    <w:unhideWhenUsed/>
    <w:rsid w:val="00BE3D37"/>
  </w:style>
  <w:style w:type="paragraph" w:styleId="HTMLPreformatted">
    <w:name w:val="HTML Preformatted"/>
    <w:basedOn w:val="Normal"/>
    <w:link w:val="HTMLPreformattedChar"/>
    <w:uiPriority w:val="99"/>
    <w:semiHidden/>
    <w:unhideWhenUsed/>
    <w:rsid w:val="002F2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2F261A"/>
    <w:rPr>
      <w:rFonts w:ascii="Courier New" w:eastAsia="Times New Roman" w:hAnsi="Courier New" w:cs="Courier New"/>
    </w:rPr>
  </w:style>
  <w:style w:type="paragraph" w:customStyle="1" w:styleId="Default">
    <w:name w:val="Default"/>
    <w:rsid w:val="004300B9"/>
    <w:pPr>
      <w:autoSpaceDE w:val="0"/>
      <w:autoSpaceDN w:val="0"/>
      <w:adjustRightInd w:val="0"/>
    </w:pPr>
    <w:rPr>
      <w:rFonts w:ascii="Arial" w:hAnsi="Arial" w:cs="Arial"/>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816">
      <w:bodyDiv w:val="1"/>
      <w:marLeft w:val="0"/>
      <w:marRight w:val="0"/>
      <w:marTop w:val="0"/>
      <w:marBottom w:val="0"/>
      <w:divBdr>
        <w:top w:val="none" w:sz="0" w:space="0" w:color="auto"/>
        <w:left w:val="none" w:sz="0" w:space="0" w:color="auto"/>
        <w:bottom w:val="none" w:sz="0" w:space="0" w:color="auto"/>
        <w:right w:val="none" w:sz="0" w:space="0" w:color="auto"/>
      </w:divBdr>
    </w:div>
    <w:div w:id="292249154">
      <w:bodyDiv w:val="1"/>
      <w:marLeft w:val="0"/>
      <w:marRight w:val="0"/>
      <w:marTop w:val="0"/>
      <w:marBottom w:val="0"/>
      <w:divBdr>
        <w:top w:val="none" w:sz="0" w:space="0" w:color="auto"/>
        <w:left w:val="single" w:sz="2" w:space="0" w:color="FFFFFF"/>
        <w:bottom w:val="none" w:sz="0" w:space="0" w:color="auto"/>
        <w:right w:val="none" w:sz="0" w:space="0" w:color="auto"/>
      </w:divBdr>
      <w:divsChild>
        <w:div w:id="1217550699">
          <w:marLeft w:val="0"/>
          <w:marRight w:val="0"/>
          <w:marTop w:val="334"/>
          <w:marBottom w:val="0"/>
          <w:divBdr>
            <w:top w:val="none" w:sz="0" w:space="0" w:color="auto"/>
            <w:left w:val="none" w:sz="0" w:space="0" w:color="auto"/>
            <w:bottom w:val="none" w:sz="0" w:space="0" w:color="auto"/>
            <w:right w:val="none" w:sz="0" w:space="0" w:color="auto"/>
          </w:divBdr>
          <w:divsChild>
            <w:div w:id="1063522404">
              <w:marLeft w:val="115"/>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387843194">
      <w:bodyDiv w:val="1"/>
      <w:marLeft w:val="0"/>
      <w:marRight w:val="0"/>
      <w:marTop w:val="0"/>
      <w:marBottom w:val="0"/>
      <w:divBdr>
        <w:top w:val="none" w:sz="0" w:space="0" w:color="auto"/>
        <w:left w:val="none" w:sz="0" w:space="0" w:color="auto"/>
        <w:bottom w:val="none" w:sz="0" w:space="0" w:color="auto"/>
        <w:right w:val="none" w:sz="0" w:space="0" w:color="auto"/>
      </w:divBdr>
    </w:div>
    <w:div w:id="558250782">
      <w:bodyDiv w:val="1"/>
      <w:marLeft w:val="0"/>
      <w:marRight w:val="0"/>
      <w:marTop w:val="0"/>
      <w:marBottom w:val="0"/>
      <w:divBdr>
        <w:top w:val="none" w:sz="0" w:space="0" w:color="auto"/>
        <w:left w:val="none" w:sz="0" w:space="0" w:color="auto"/>
        <w:bottom w:val="none" w:sz="0" w:space="0" w:color="auto"/>
        <w:right w:val="none" w:sz="0" w:space="0" w:color="auto"/>
      </w:divBdr>
    </w:div>
    <w:div w:id="700284219">
      <w:bodyDiv w:val="1"/>
      <w:marLeft w:val="0"/>
      <w:marRight w:val="0"/>
      <w:marTop w:val="0"/>
      <w:marBottom w:val="0"/>
      <w:divBdr>
        <w:top w:val="none" w:sz="0" w:space="0" w:color="auto"/>
        <w:left w:val="none" w:sz="0" w:space="0" w:color="auto"/>
        <w:bottom w:val="none" w:sz="0" w:space="0" w:color="auto"/>
        <w:right w:val="none" w:sz="0" w:space="0" w:color="auto"/>
      </w:divBdr>
    </w:div>
    <w:div w:id="14087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057016-E424-477E-975E-923235B0AB73}">
  <ds:schemaRefs>
    <ds:schemaRef ds:uri="http://schemas.openxmlformats.org/officeDocument/2006/bibliography"/>
  </ds:schemaRefs>
</ds:datastoreItem>
</file>

<file path=customXml/itemProps2.xml><?xml version="1.0" encoding="utf-8"?>
<ds:datastoreItem xmlns:ds="http://schemas.openxmlformats.org/officeDocument/2006/customXml" ds:itemID="{D3713615-19E6-4C52-A245-A84BE592D918}"/>
</file>

<file path=customXml/itemProps3.xml><?xml version="1.0" encoding="utf-8"?>
<ds:datastoreItem xmlns:ds="http://schemas.openxmlformats.org/officeDocument/2006/customXml" ds:itemID="{AFA23B71-916F-4B00-BEF2-62FDFEC9C830}"/>
</file>

<file path=customXml/itemProps4.xml><?xml version="1.0" encoding="utf-8"?>
<ds:datastoreItem xmlns:ds="http://schemas.openxmlformats.org/officeDocument/2006/customXml" ds:itemID="{016F0B7F-0C42-4784-9E6D-9DB6D3F5236E}"/>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33644</Characters>
  <Application>Microsoft Office Word</Application>
  <DocSecurity>0</DocSecurity>
  <Lines>280</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cp:lastModifiedBy/>
  <cp:revision>1</cp:revision>
  <cp:lastPrinted>2013-03-04T19:30:00Z</cp:lastPrinted>
  <dcterms:created xsi:type="dcterms:W3CDTF">2021-11-25T13:47:00Z</dcterms:created>
  <dcterms:modified xsi:type="dcterms:W3CDTF">2021-11-25T13:47:00Z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