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F11F7" w:rsidR="00830B82" w:rsidP="00830B82" w:rsidRDefault="00830B82">
      <w:pPr>
        <w:jc w:val="both"/>
        <w:rPr>
          <w:sz w:val="20"/>
        </w:rPr>
      </w:pPr>
      <w:bookmarkStart w:name="_GoBack" w:id="0"/>
      <w:bookmarkEnd w:id="0"/>
      <w:r w:rsidRPr="002F11F7">
        <w:rPr>
          <w:sz w:val="20"/>
        </w:rPr>
        <w:t>© Savet Evrope/Evropski sud za ljudska prava 2013. Ovaj prevod je nastao uz podršku Fiducijarnog fonda za ljudska prava Saveta Evrope (</w:t>
      </w:r>
      <w:hyperlink w:history="1" r:id="rId8">
        <w:r w:rsidRPr="00830B82">
          <w:rPr>
            <w:rStyle w:val="Hyperlink"/>
            <w:sz w:val="20"/>
          </w:rPr>
          <w:t>www.coe.int/humanrightstrustfund</w:t>
        </w:r>
      </w:hyperlink>
      <w:r w:rsidRPr="002F11F7">
        <w:rPr>
          <w:sz w:val="20"/>
        </w:rPr>
        <w:t>). Tekst prevoda ne obavezuje Sud. Za sve dodatne informacije pročitajte ceo tekst obaveštenja o autorskom pravu na kraju ovog dokumenta.</w:t>
      </w:r>
    </w:p>
    <w:p w:rsidRPr="002F11F7" w:rsidR="00830B82" w:rsidP="00830B82" w:rsidRDefault="00830B82">
      <w:pPr>
        <w:jc w:val="both"/>
        <w:rPr>
          <w:sz w:val="20"/>
        </w:rPr>
      </w:pPr>
    </w:p>
    <w:p w:rsidRPr="002F11F7" w:rsidR="00830B82" w:rsidP="00830B82" w:rsidRDefault="00830B82">
      <w:pPr>
        <w:jc w:val="both"/>
        <w:rPr>
          <w:sz w:val="20"/>
          <w:lang w:val="en-US"/>
        </w:rPr>
      </w:pPr>
      <w:r w:rsidRPr="002F11F7">
        <w:rPr>
          <w:sz w:val="20"/>
          <w:lang w:val="en-US"/>
        </w:rPr>
        <w:t>© Council of Europe/European Court of Human Rights, 2013. This translation was commissioned with the support of the Human Rights Trust Fund of the Council of Europe (</w:t>
      </w:r>
      <w:hyperlink w:history="1" r:id="rId9">
        <w:r w:rsidRPr="00830B82">
          <w:rPr>
            <w:rStyle w:val="Hyperlink"/>
            <w:sz w:val="20"/>
            <w:lang w:val="en-US"/>
          </w:rPr>
          <w:t>www.coe.int/humanrightstrustfund</w:t>
        </w:r>
      </w:hyperlink>
      <w:r w:rsidRPr="002F11F7">
        <w:rPr>
          <w:sz w:val="20"/>
          <w:lang w:val="en-US"/>
        </w:rPr>
        <w:t>). It does not bind the Court. For further information see the full copyright indication at the end of this document.</w:t>
      </w:r>
    </w:p>
    <w:p w:rsidRPr="002F11F7" w:rsidR="00830B82" w:rsidP="00830B82" w:rsidRDefault="00830B82">
      <w:pPr>
        <w:jc w:val="both"/>
        <w:rPr>
          <w:sz w:val="20"/>
          <w:lang w:val="en-US"/>
        </w:rPr>
      </w:pPr>
    </w:p>
    <w:p w:rsidRPr="002F11F7" w:rsidR="00830B82" w:rsidP="00830B82" w:rsidRDefault="00830B82">
      <w:pPr>
        <w:jc w:val="both"/>
        <w:rPr>
          <w:sz w:val="20"/>
        </w:rPr>
      </w:pPr>
      <w:r w:rsidRPr="002F11F7">
        <w:rPr>
          <w:sz w:val="20"/>
        </w:rPr>
        <w:t>© Conseil de l</w:t>
      </w:r>
      <w:r w:rsidR="002B6583">
        <w:rPr>
          <w:sz w:val="20"/>
        </w:rPr>
        <w:t>’</w:t>
      </w:r>
      <w:r w:rsidRPr="002F11F7">
        <w:rPr>
          <w:sz w:val="20"/>
        </w:rPr>
        <w:t>Europe Cour européenne des droits de l</w:t>
      </w:r>
      <w:r w:rsidR="002B6583">
        <w:rPr>
          <w:sz w:val="20"/>
        </w:rPr>
        <w:t>’</w:t>
      </w:r>
      <w:r w:rsidRPr="002F11F7">
        <w:rPr>
          <w:sz w:val="20"/>
        </w:rPr>
        <w:t>homme, 2013. La présente traduction a été effectuée avec le soutien du Fonds fiduciaire pour les droits de l</w:t>
      </w:r>
      <w:r w:rsidR="002B6583">
        <w:rPr>
          <w:sz w:val="20"/>
        </w:rPr>
        <w:t>’</w:t>
      </w:r>
      <w:r w:rsidRPr="002F11F7">
        <w:rPr>
          <w:sz w:val="20"/>
        </w:rPr>
        <w:t>homme du Conseil de l</w:t>
      </w:r>
      <w:r w:rsidR="002B6583">
        <w:rPr>
          <w:sz w:val="20"/>
        </w:rPr>
        <w:t>’</w:t>
      </w:r>
      <w:r w:rsidRPr="002F11F7">
        <w:rPr>
          <w:sz w:val="20"/>
        </w:rPr>
        <w:t>Europe (</w:t>
      </w:r>
      <w:hyperlink w:history="1" r:id="rId10">
        <w:r w:rsidRPr="00830B82">
          <w:rPr>
            <w:rStyle w:val="Hyperlink"/>
            <w:sz w:val="20"/>
          </w:rPr>
          <w:t>www.coe.int/humanrightstrustfund</w:t>
        </w:r>
      </w:hyperlink>
      <w:r w:rsidRPr="002F11F7">
        <w:rPr>
          <w:sz w:val="20"/>
        </w:rPr>
        <w:t>). Elle ne lie pas la Cour. Pour plus de renseignements veuillez lire l</w:t>
      </w:r>
      <w:r w:rsidR="002B6583">
        <w:rPr>
          <w:sz w:val="20"/>
        </w:rPr>
        <w:t>’</w:t>
      </w:r>
      <w:r w:rsidRPr="002F11F7">
        <w:rPr>
          <w:sz w:val="20"/>
        </w:rPr>
        <w:t>indication de copyright/droits d</w:t>
      </w:r>
      <w:r w:rsidR="002B6583">
        <w:rPr>
          <w:sz w:val="20"/>
        </w:rPr>
        <w:t>’</w:t>
      </w:r>
      <w:r w:rsidRPr="002F11F7">
        <w:rPr>
          <w:sz w:val="20"/>
        </w:rPr>
        <w:t>auteur à la fin du présent document.</w:t>
      </w:r>
    </w:p>
    <w:p w:rsidR="00575515" w:rsidP="00905B01" w:rsidRDefault="00830B82">
      <w:pPr>
        <w:jc w:val="center"/>
      </w:pPr>
      <w:r>
        <w:br w:type="page"/>
      </w:r>
    </w:p>
    <w:p w:rsidR="00575515" w:rsidP="00905B01" w:rsidRDefault="00575515">
      <w:pPr>
        <w:jc w:val="center"/>
      </w:pPr>
    </w:p>
    <w:p w:rsidRPr="00A6337F" w:rsidR="00575515" w:rsidP="00905B01" w:rsidRDefault="00575515">
      <w:pPr>
        <w:jc w:val="center"/>
      </w:pPr>
    </w:p>
    <w:p w:rsidR="00171BEE" w:rsidP="00905B01" w:rsidRDefault="00171BEE">
      <w:pPr>
        <w:jc w:val="center"/>
      </w:pPr>
    </w:p>
    <w:p w:rsidRPr="00A6337F" w:rsidR="00905B01" w:rsidP="00905B01" w:rsidRDefault="00171BEE">
      <w:pPr>
        <w:jc w:val="center"/>
      </w:pPr>
      <w:r>
        <w:t>PRVO ODELJENJE</w:t>
      </w:r>
    </w:p>
    <w:p w:rsidR="00905B01" w:rsidP="00905B01" w:rsidRDefault="00905B01">
      <w:pPr>
        <w:jc w:val="center"/>
      </w:pPr>
    </w:p>
    <w:p w:rsidR="00905B01" w:rsidP="00905B01" w:rsidRDefault="00905B01">
      <w:pPr>
        <w:jc w:val="center"/>
      </w:pPr>
    </w:p>
    <w:p w:rsidRPr="00A6337F" w:rsidR="00905B01" w:rsidP="00905B01" w:rsidRDefault="00905B01">
      <w:pPr>
        <w:jc w:val="center"/>
      </w:pPr>
    </w:p>
    <w:p w:rsidRPr="00A6337F" w:rsidR="00905B01" w:rsidP="00905B01" w:rsidRDefault="00171BEE">
      <w:pPr>
        <w:jc w:val="center"/>
        <w:rPr>
          <w:b/>
        </w:rPr>
      </w:pPr>
      <w:r>
        <w:rPr>
          <w:b/>
        </w:rPr>
        <w:t>PREDMET ZOLOTAS protiv</w:t>
      </w:r>
      <w:r w:rsidRPr="00A6337F" w:rsidR="00905B01">
        <w:rPr>
          <w:b/>
        </w:rPr>
        <w:t xml:space="preserve"> GR</w:t>
      </w:r>
      <w:r>
        <w:rPr>
          <w:b/>
        </w:rPr>
        <w:t>ČKE</w:t>
      </w:r>
      <w:r w:rsidR="00905B01">
        <w:rPr>
          <w:b/>
        </w:rPr>
        <w:t xml:space="preserve"> (</w:t>
      </w:r>
      <w:r>
        <w:rPr>
          <w:b/>
        </w:rPr>
        <w:t>Br.</w:t>
      </w:r>
      <w:r w:rsidR="00905B01">
        <w:rPr>
          <w:b/>
        </w:rPr>
        <w:t xml:space="preserve"> 2)</w:t>
      </w:r>
    </w:p>
    <w:p w:rsidRPr="00A6337F" w:rsidR="00905B01" w:rsidP="00905B01" w:rsidRDefault="00905B01">
      <w:pPr>
        <w:jc w:val="center"/>
      </w:pPr>
    </w:p>
    <w:p w:rsidRPr="00171BEE" w:rsidR="00905B01" w:rsidP="00905B01" w:rsidRDefault="00905B01">
      <w:pPr>
        <w:jc w:val="center"/>
        <w:rPr>
          <w:szCs w:val="24"/>
          <w:lang w:val="en-US"/>
        </w:rPr>
      </w:pPr>
      <w:r w:rsidRPr="00171BEE">
        <w:rPr>
          <w:i/>
          <w:lang w:val="en-US"/>
        </w:rPr>
        <w:t>(</w:t>
      </w:r>
      <w:r w:rsidRPr="00171BEE" w:rsidR="00171BEE">
        <w:rPr>
          <w:i/>
          <w:lang w:val="en-US"/>
        </w:rPr>
        <w:t>Predstavka</w:t>
      </w:r>
      <w:r w:rsidRPr="00171BEE">
        <w:rPr>
          <w:i/>
          <w:lang w:val="en-US"/>
        </w:rPr>
        <w:t xml:space="preserve"> </w:t>
      </w:r>
      <w:r w:rsidRPr="00171BEE" w:rsidR="00171BEE">
        <w:rPr>
          <w:i/>
          <w:lang w:val="en-US"/>
        </w:rPr>
        <w:t>br.</w:t>
      </w:r>
      <w:r w:rsidRPr="00171BEE">
        <w:rPr>
          <w:i/>
          <w:lang w:val="en-US"/>
        </w:rPr>
        <w:t xml:space="preserve"> 66610/09)</w:t>
      </w:r>
    </w:p>
    <w:p w:rsidRPr="00171BEE" w:rsidR="00905B01" w:rsidP="00905B01" w:rsidRDefault="00905B01">
      <w:pPr>
        <w:jc w:val="center"/>
        <w:rPr>
          <w:szCs w:val="24"/>
          <w:lang w:val="en-US"/>
        </w:rPr>
      </w:pPr>
    </w:p>
    <w:p w:rsidRPr="00171BEE" w:rsidR="00905B01" w:rsidP="00905B01" w:rsidRDefault="00905B01">
      <w:pPr>
        <w:jc w:val="center"/>
        <w:rPr>
          <w:szCs w:val="24"/>
          <w:lang w:val="en-US"/>
        </w:rPr>
      </w:pPr>
    </w:p>
    <w:p w:rsidRPr="00171BEE" w:rsidR="00905B01" w:rsidP="00905B01" w:rsidRDefault="00905B01">
      <w:pPr>
        <w:jc w:val="center"/>
        <w:rPr>
          <w:szCs w:val="24"/>
          <w:lang w:val="en-US"/>
        </w:rPr>
      </w:pPr>
    </w:p>
    <w:p w:rsidRPr="00171BEE" w:rsidR="00905B01" w:rsidP="00905B01" w:rsidRDefault="00905B01">
      <w:pPr>
        <w:jc w:val="center"/>
        <w:rPr>
          <w:szCs w:val="24"/>
          <w:lang w:val="en-US"/>
        </w:rPr>
      </w:pPr>
    </w:p>
    <w:p w:rsidRPr="00171BEE" w:rsidR="00905B01" w:rsidP="00905B01" w:rsidRDefault="00905B01">
      <w:pPr>
        <w:jc w:val="center"/>
        <w:rPr>
          <w:szCs w:val="24"/>
          <w:lang w:val="en-US"/>
        </w:rPr>
      </w:pPr>
    </w:p>
    <w:p w:rsidRPr="00171BEE" w:rsidR="00905B01" w:rsidP="00905B01" w:rsidRDefault="00905B01">
      <w:pPr>
        <w:jc w:val="center"/>
        <w:rPr>
          <w:szCs w:val="24"/>
          <w:lang w:val="en-US"/>
        </w:rPr>
      </w:pPr>
    </w:p>
    <w:p w:rsidRPr="00171BEE" w:rsidR="00905B01" w:rsidP="00905B01" w:rsidRDefault="00171BEE">
      <w:pPr>
        <w:jc w:val="center"/>
        <w:rPr>
          <w:szCs w:val="24"/>
          <w:lang w:val="en-US"/>
        </w:rPr>
      </w:pPr>
      <w:r w:rsidRPr="00171BEE">
        <w:rPr>
          <w:szCs w:val="24"/>
          <w:lang w:val="en-US"/>
        </w:rPr>
        <w:t>PRESUDA</w:t>
      </w:r>
    </w:p>
    <w:p w:rsidRPr="00171BEE" w:rsidR="00905B01" w:rsidP="00905B01" w:rsidRDefault="003023B0">
      <w:pPr>
        <w:jc w:val="center"/>
        <w:rPr>
          <w:szCs w:val="24"/>
          <w:lang w:val="en-US"/>
        </w:rPr>
      </w:pPr>
      <w:r w:rsidRPr="00171BEE">
        <w:rPr>
          <w:szCs w:val="24"/>
          <w:lang w:val="en-US"/>
        </w:rPr>
        <w:t>[</w:t>
      </w:r>
      <w:r w:rsidRPr="00171BEE" w:rsidR="00171BEE">
        <w:rPr>
          <w:szCs w:val="24"/>
          <w:lang w:val="en-US"/>
        </w:rPr>
        <w:t>Odlomci</w:t>
      </w:r>
      <w:r w:rsidRPr="00171BEE">
        <w:rPr>
          <w:szCs w:val="24"/>
          <w:lang w:val="en-US"/>
        </w:rPr>
        <w:t>]</w:t>
      </w:r>
    </w:p>
    <w:p w:rsidRPr="00171BEE" w:rsidR="00905B01" w:rsidP="00905B01" w:rsidRDefault="00905B01">
      <w:pPr>
        <w:jc w:val="center"/>
        <w:rPr>
          <w:szCs w:val="24"/>
          <w:lang w:val="en-US"/>
        </w:rPr>
      </w:pPr>
    </w:p>
    <w:p w:rsidRPr="00171BEE" w:rsidR="003023B0" w:rsidP="00905B01" w:rsidRDefault="003023B0">
      <w:pPr>
        <w:jc w:val="center"/>
        <w:rPr>
          <w:szCs w:val="24"/>
          <w:lang w:val="en-US"/>
        </w:rPr>
      </w:pPr>
    </w:p>
    <w:p w:rsidR="002B6583" w:rsidP="00905B01" w:rsidRDefault="00905B01">
      <w:pPr>
        <w:jc w:val="center"/>
        <w:rPr>
          <w:szCs w:val="24"/>
          <w:lang w:val="en-US"/>
        </w:rPr>
      </w:pPr>
      <w:r w:rsidRPr="00171BEE">
        <w:rPr>
          <w:szCs w:val="24"/>
          <w:lang w:val="en-US"/>
        </w:rPr>
        <w:t>STRA</w:t>
      </w:r>
      <w:r w:rsidRPr="00171BEE" w:rsidR="00171BEE">
        <w:rPr>
          <w:szCs w:val="24"/>
          <w:lang w:val="en-US"/>
        </w:rPr>
        <w:t>Z</w:t>
      </w:r>
      <w:r w:rsidRPr="00171BEE">
        <w:rPr>
          <w:szCs w:val="24"/>
          <w:lang w:val="en-US"/>
        </w:rPr>
        <w:t>BUR</w:t>
      </w:r>
    </w:p>
    <w:p w:rsidRPr="00171BEE" w:rsidR="00905B01" w:rsidP="00905B01" w:rsidRDefault="00905B01">
      <w:pPr>
        <w:jc w:val="center"/>
        <w:rPr>
          <w:szCs w:val="24"/>
          <w:lang w:val="en-US"/>
        </w:rPr>
      </w:pPr>
    </w:p>
    <w:p w:rsidR="00905B01" w:rsidP="00905B01" w:rsidRDefault="00905B01">
      <w:pPr>
        <w:jc w:val="center"/>
        <w:rPr>
          <w:szCs w:val="24"/>
        </w:rPr>
      </w:pPr>
      <w:r>
        <w:rPr>
          <w:szCs w:val="24"/>
        </w:rPr>
        <w:t>29</w:t>
      </w:r>
      <w:r w:rsidR="00171BEE">
        <w:rPr>
          <w:szCs w:val="24"/>
        </w:rPr>
        <w:t>.</w:t>
      </w:r>
      <w:r>
        <w:rPr>
          <w:szCs w:val="24"/>
        </w:rPr>
        <w:t xml:space="preserve"> jan</w:t>
      </w:r>
      <w:r w:rsidR="00171BEE">
        <w:rPr>
          <w:szCs w:val="24"/>
        </w:rPr>
        <w:t>ua</w:t>
      </w:r>
      <w:r>
        <w:rPr>
          <w:szCs w:val="24"/>
        </w:rPr>
        <w:t>r 2013</w:t>
      </w:r>
      <w:r w:rsidR="00171BEE">
        <w:rPr>
          <w:szCs w:val="24"/>
        </w:rPr>
        <w:t>.</w:t>
      </w:r>
    </w:p>
    <w:p w:rsidR="00905B01" w:rsidP="00905B01" w:rsidRDefault="00905B01">
      <w:pPr>
        <w:jc w:val="center"/>
        <w:rPr>
          <w:szCs w:val="24"/>
        </w:rPr>
      </w:pPr>
    </w:p>
    <w:p w:rsidR="00905B01" w:rsidP="00905B01" w:rsidRDefault="00905B01">
      <w:pPr>
        <w:jc w:val="center"/>
        <w:rPr>
          <w:szCs w:val="24"/>
        </w:rPr>
      </w:pPr>
    </w:p>
    <w:p w:rsidR="00905B01" w:rsidP="00905B01" w:rsidRDefault="00171BEE">
      <w:pPr>
        <w:pStyle w:val="jucase0"/>
        <w:ind w:firstLine="0"/>
        <w:jc w:val="center"/>
        <w:rPr>
          <w:color w:val="FF0000"/>
          <w:sz w:val="28"/>
          <w:szCs w:val="28"/>
          <w:u w:val="single"/>
          <w:lang w:val="fr-FR"/>
        </w:rPr>
      </w:pPr>
      <w:r>
        <w:rPr>
          <w:color w:val="FF0000"/>
          <w:sz w:val="28"/>
          <w:szCs w:val="28"/>
          <w:u w:val="single"/>
          <w:lang w:val="fr-FR"/>
        </w:rPr>
        <w:t>PRESUDA JE PRAVOSNAŽNA</w:t>
      </w:r>
    </w:p>
    <w:p w:rsidR="00905B01" w:rsidP="00905B01" w:rsidRDefault="00905B01">
      <w:pPr>
        <w:pStyle w:val="jupara0"/>
        <w:ind w:firstLine="0"/>
        <w:jc w:val="center"/>
        <w:rPr>
          <w:color w:val="FF0000"/>
          <w:sz w:val="28"/>
          <w:szCs w:val="28"/>
          <w:lang w:val="fr-FR"/>
        </w:rPr>
      </w:pPr>
    </w:p>
    <w:p w:rsidR="00905B01" w:rsidP="00905B01" w:rsidRDefault="00905B01">
      <w:pPr>
        <w:pStyle w:val="jupara0"/>
        <w:ind w:firstLine="0"/>
        <w:jc w:val="center"/>
        <w:rPr>
          <w:color w:val="FF0000"/>
          <w:sz w:val="28"/>
          <w:szCs w:val="28"/>
          <w:lang w:val="fr-FR"/>
        </w:rPr>
      </w:pPr>
      <w:r>
        <w:rPr>
          <w:color w:val="FF0000"/>
          <w:sz w:val="28"/>
          <w:szCs w:val="28"/>
          <w:lang w:val="fr-FR"/>
        </w:rPr>
        <w:t>29/04/2013</w:t>
      </w:r>
    </w:p>
    <w:p w:rsidR="00905B01" w:rsidP="00905B01" w:rsidRDefault="00905B01">
      <w:pPr>
        <w:jc w:val="center"/>
        <w:rPr>
          <w:u w:val="single"/>
        </w:rPr>
      </w:pPr>
    </w:p>
    <w:p w:rsidR="00171BEE" w:rsidP="00171BEE" w:rsidRDefault="00171BEE">
      <w:pPr>
        <w:rPr>
          <w:i/>
          <w:sz w:val="22"/>
          <w:szCs w:val="22"/>
        </w:rPr>
      </w:pPr>
      <w:r>
        <w:rPr>
          <w:i/>
          <w:sz w:val="22"/>
          <w:szCs w:val="22"/>
        </w:rPr>
        <w:t xml:space="preserve">Ova presuda je postala pravosnažna u skladu sa članom 44 stav </w:t>
      </w:r>
      <w:r w:rsidR="005D3365">
        <w:rPr>
          <w:i/>
          <w:iCs/>
          <w:sz w:val="22"/>
          <w:szCs w:val="22"/>
        </w:rPr>
        <w:t>§ 2</w:t>
      </w:r>
      <w:r>
        <w:rPr>
          <w:i/>
          <w:sz w:val="22"/>
          <w:szCs w:val="22"/>
        </w:rPr>
        <w:t xml:space="preserve"> Konvencije.</w:t>
      </w:r>
    </w:p>
    <w:p w:rsidRPr="00063D3A" w:rsidR="00171BEE" w:rsidP="00171BEE" w:rsidRDefault="00171BEE">
      <w:r>
        <w:rPr>
          <w:i/>
          <w:sz w:val="22"/>
          <w:szCs w:val="22"/>
        </w:rPr>
        <w:t>Moguće su redaktorske izmene.</w:t>
      </w:r>
    </w:p>
    <w:p w:rsidR="00905B01" w:rsidP="00905B01" w:rsidRDefault="00905B01">
      <w:pPr>
        <w:jc w:val="both"/>
        <w:rPr>
          <w:i/>
          <w:sz w:val="22"/>
          <w:szCs w:val="24"/>
        </w:rPr>
      </w:pPr>
    </w:p>
    <w:p w:rsidRPr="00A6337F" w:rsidR="00905B01" w:rsidP="00905B01" w:rsidRDefault="00905B01">
      <w:pPr>
        <w:jc w:val="both"/>
        <w:rPr>
          <w:szCs w:val="24"/>
        </w:rPr>
      </w:pPr>
    </w:p>
    <w:p w:rsidR="00905B01" w:rsidP="00905B01" w:rsidRDefault="00905B01">
      <w:pPr>
        <w:pStyle w:val="JuCase"/>
        <w:sectPr w:rsidR="00905B01" w:rsidSect="00A420F7">
          <w:headerReference w:type="even" r:id="rId11"/>
          <w:head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Pr="00223061" w:rsidR="00575515" w:rsidP="00575515" w:rsidRDefault="00575515">
      <w:pPr>
        <w:pStyle w:val="JuCase"/>
        <w:rPr>
          <w:lang w:val="sr-Latn-CS"/>
        </w:rPr>
      </w:pPr>
      <w:r>
        <w:t>U</w:t>
      </w:r>
      <w:r w:rsidRPr="00223061">
        <w:rPr>
          <w:lang w:val="sr-Latn-CS"/>
        </w:rPr>
        <w:t xml:space="preserve"> </w:t>
      </w:r>
      <w:r>
        <w:t>predmetu</w:t>
      </w:r>
      <w:r w:rsidRPr="00223061">
        <w:rPr>
          <w:lang w:val="sr-Latn-CS"/>
        </w:rPr>
        <w:t xml:space="preserve"> </w:t>
      </w:r>
      <w:r>
        <w:t>Zolotas</w:t>
      </w:r>
      <w:r w:rsidRPr="00223061">
        <w:rPr>
          <w:lang w:val="sr-Latn-CS"/>
        </w:rPr>
        <w:t xml:space="preserve"> </w:t>
      </w:r>
      <w:r>
        <w:t>protiv</w:t>
      </w:r>
      <w:r w:rsidRPr="00223061">
        <w:rPr>
          <w:lang w:val="sr-Latn-CS"/>
        </w:rPr>
        <w:t xml:space="preserve"> </w:t>
      </w:r>
      <w:r>
        <w:rPr>
          <w:lang w:val="sr-Latn-CS"/>
        </w:rPr>
        <w:t>Grčke</w:t>
      </w:r>
      <w:r>
        <w:t>(br. 2)</w:t>
      </w:r>
      <w:r w:rsidRPr="00A6337F">
        <w:t>,</w:t>
      </w:r>
    </w:p>
    <w:p w:rsidRPr="00223061" w:rsidR="00575515" w:rsidP="00575515" w:rsidRDefault="00575515">
      <w:pPr>
        <w:pStyle w:val="JuPara"/>
        <w:rPr>
          <w:lang w:val="sr-Latn-CS"/>
        </w:rPr>
      </w:pPr>
      <w:r>
        <w:t>Evropski</w:t>
      </w:r>
      <w:r w:rsidRPr="00223061">
        <w:rPr>
          <w:lang w:val="sr-Latn-CS"/>
        </w:rPr>
        <w:t xml:space="preserve"> </w:t>
      </w:r>
      <w:r>
        <w:t>sud</w:t>
      </w:r>
      <w:r w:rsidRPr="00223061">
        <w:rPr>
          <w:lang w:val="sr-Latn-CS"/>
        </w:rPr>
        <w:t xml:space="preserve"> </w:t>
      </w:r>
      <w:r>
        <w:t>za</w:t>
      </w:r>
      <w:r w:rsidRPr="00223061">
        <w:rPr>
          <w:lang w:val="sr-Latn-CS"/>
        </w:rPr>
        <w:t xml:space="preserve"> </w:t>
      </w:r>
      <w:r>
        <w:t>ljudska</w:t>
      </w:r>
      <w:r w:rsidRPr="00223061">
        <w:rPr>
          <w:lang w:val="sr-Latn-CS"/>
        </w:rPr>
        <w:t xml:space="preserve"> </w:t>
      </w:r>
      <w:r>
        <w:t>prava</w:t>
      </w:r>
      <w:r w:rsidRPr="00223061">
        <w:rPr>
          <w:lang w:val="sr-Latn-CS"/>
        </w:rPr>
        <w:t xml:space="preserve"> (</w:t>
      </w:r>
      <w:r>
        <w:t>prvo</w:t>
      </w:r>
      <w:r w:rsidRPr="00575515">
        <w:rPr>
          <w:lang w:val="sr-Latn-CS"/>
        </w:rPr>
        <w:t xml:space="preserve"> </w:t>
      </w:r>
      <w:r>
        <w:t>odeljenje</w:t>
      </w:r>
      <w:r w:rsidRPr="00223061">
        <w:rPr>
          <w:lang w:val="sr-Latn-CS"/>
        </w:rPr>
        <w:t xml:space="preserve">), </w:t>
      </w:r>
      <w:r>
        <w:t>postupaju</w:t>
      </w:r>
      <w:r w:rsidRPr="00223061">
        <w:rPr>
          <w:lang w:val="sr-Latn-CS"/>
        </w:rPr>
        <w:t>ć</w:t>
      </w:r>
      <w:r>
        <w:t>i</w:t>
      </w:r>
      <w:r w:rsidRPr="00223061">
        <w:rPr>
          <w:lang w:val="sr-Latn-CS"/>
        </w:rPr>
        <w:t xml:space="preserve"> </w:t>
      </w:r>
      <w:r>
        <w:t>u</w:t>
      </w:r>
      <w:r w:rsidRPr="00223061">
        <w:rPr>
          <w:lang w:val="sr-Latn-CS"/>
        </w:rPr>
        <w:t xml:space="preserve"> </w:t>
      </w:r>
      <w:r>
        <w:t>ve</w:t>
      </w:r>
      <w:r w:rsidRPr="00223061">
        <w:rPr>
          <w:lang w:val="sr-Latn-CS"/>
        </w:rPr>
        <w:t>ć</w:t>
      </w:r>
      <w:r>
        <w:t>u</w:t>
      </w:r>
      <w:r w:rsidRPr="00223061">
        <w:rPr>
          <w:lang w:val="sr-Latn-CS"/>
        </w:rPr>
        <w:t xml:space="preserve"> </w:t>
      </w:r>
      <w:r>
        <w:t>sastavljenom</w:t>
      </w:r>
      <w:r w:rsidRPr="00223061">
        <w:rPr>
          <w:lang w:val="sr-Latn-CS"/>
        </w:rPr>
        <w:t xml:space="preserve"> </w:t>
      </w:r>
      <w:r>
        <w:t>kako</w:t>
      </w:r>
      <w:r w:rsidRPr="008E33B8">
        <w:rPr>
          <w:lang w:val="sr-Latn-CS"/>
        </w:rPr>
        <w:t xml:space="preserve"> </w:t>
      </w:r>
      <w:r>
        <w:t>sledi</w:t>
      </w:r>
      <w:r w:rsidRPr="008E33B8">
        <w:rPr>
          <w:lang w:val="sr-Latn-CS"/>
        </w:rPr>
        <w:t xml:space="preserve"> </w:t>
      </w:r>
      <w:r w:rsidRPr="00223061">
        <w:rPr>
          <w:lang w:val="sr-Latn-CS"/>
        </w:rPr>
        <w:t>:</w:t>
      </w:r>
    </w:p>
    <w:p w:rsidRPr="00A6337F" w:rsidR="00905B01" w:rsidP="00905B01" w:rsidRDefault="00905B01">
      <w:pPr>
        <w:pStyle w:val="JuJudges"/>
      </w:pPr>
      <w:r w:rsidRPr="00A420F7">
        <w:tab/>
      </w:r>
      <w:r w:rsidR="00575515">
        <w:t>Izabel Bero-Lefevr (</w:t>
      </w:r>
      <w:r w:rsidRPr="00A420F7">
        <w:t>Isabelle</w:t>
      </w:r>
      <w:r>
        <w:t xml:space="preserve"> </w:t>
      </w:r>
      <w:r w:rsidRPr="00A420F7">
        <w:t>Berro-Lefèvre</w:t>
      </w:r>
      <w:r w:rsidR="00575515">
        <w:t>)</w:t>
      </w:r>
      <w:r>
        <w:t>,</w:t>
      </w:r>
      <w:r w:rsidRPr="00A420F7">
        <w:rPr>
          <w:i/>
        </w:rPr>
        <w:t xml:space="preserve"> pr</w:t>
      </w:r>
      <w:r w:rsidR="00575515">
        <w:rPr>
          <w:i/>
        </w:rPr>
        <w:t>edsednica</w:t>
      </w:r>
      <w:r w:rsidRPr="00A420F7">
        <w:rPr>
          <w:i/>
        </w:rPr>
        <w:t>,</w:t>
      </w:r>
      <w:r w:rsidR="00575515">
        <w:rPr>
          <w:i/>
        </w:rPr>
        <w:t xml:space="preserve"> </w:t>
      </w:r>
      <w:r>
        <w:rPr>
          <w:i/>
        </w:rPr>
        <w:br/>
      </w:r>
      <w:r w:rsidRPr="00A420F7">
        <w:tab/>
      </w:r>
      <w:r w:rsidR="00575515">
        <w:t>Eli</w:t>
      </w:r>
      <w:r w:rsidR="00420D3E">
        <w:t>z</w:t>
      </w:r>
      <w:r w:rsidR="00575515">
        <w:t>abet Stajner (</w:t>
      </w:r>
      <w:r w:rsidRPr="00A420F7">
        <w:t>Elisabeth</w:t>
      </w:r>
      <w:r>
        <w:t xml:space="preserve"> </w:t>
      </w:r>
      <w:r w:rsidRPr="00A420F7">
        <w:t>Steiner</w:t>
      </w:r>
      <w:r w:rsidR="00575515">
        <w:t>)</w:t>
      </w:r>
      <w:r>
        <w:t>,</w:t>
      </w:r>
      <w:r>
        <w:rPr>
          <w:i/>
        </w:rPr>
        <w:br/>
      </w:r>
      <w:r w:rsidRPr="00A420F7">
        <w:tab/>
      </w:r>
      <w:r w:rsidR="00AD6B9E">
        <w:t>Hanlar Hadžijev (</w:t>
      </w:r>
      <w:r w:rsidRPr="00A420F7">
        <w:t>Khanlar</w:t>
      </w:r>
      <w:r>
        <w:t xml:space="preserve"> </w:t>
      </w:r>
      <w:r w:rsidRPr="00A420F7">
        <w:t>Hajiyev</w:t>
      </w:r>
      <w:r w:rsidR="00AD6B9E">
        <w:t>)</w:t>
      </w:r>
      <w:r>
        <w:t>,</w:t>
      </w:r>
      <w:r>
        <w:rPr>
          <w:i/>
        </w:rPr>
        <w:br/>
      </w:r>
      <w:r w:rsidRPr="00A420F7">
        <w:tab/>
        <w:t>Mirjana</w:t>
      </w:r>
      <w:r>
        <w:t xml:space="preserve"> </w:t>
      </w:r>
      <w:r w:rsidRPr="00A420F7">
        <w:t>Lazarova Trajkovska</w:t>
      </w:r>
      <w:r>
        <w:t>,</w:t>
      </w:r>
      <w:r>
        <w:rPr>
          <w:i/>
        </w:rPr>
        <w:br/>
      </w:r>
      <w:r w:rsidRPr="00A420F7">
        <w:tab/>
      </w:r>
      <w:r w:rsidR="00AD6B9E">
        <w:t>Džulija Lafrank (</w:t>
      </w:r>
      <w:r w:rsidRPr="00A420F7">
        <w:t>Julia</w:t>
      </w:r>
      <w:r>
        <w:t xml:space="preserve"> </w:t>
      </w:r>
      <w:r w:rsidRPr="00A420F7">
        <w:t>Laffranque</w:t>
      </w:r>
      <w:r w:rsidR="00AD6B9E">
        <w:t>)</w:t>
      </w:r>
      <w:r>
        <w:t>,</w:t>
      </w:r>
      <w:r>
        <w:rPr>
          <w:i/>
        </w:rPr>
        <w:br/>
      </w:r>
      <w:r w:rsidRPr="00A420F7">
        <w:tab/>
      </w:r>
      <w:r w:rsidR="00AD6B9E">
        <w:t>Linos-Aleksandr Sicilijanos (</w:t>
      </w:r>
      <w:r w:rsidRPr="00A420F7">
        <w:t>Linos-Alexandre</w:t>
      </w:r>
      <w:r>
        <w:t xml:space="preserve"> </w:t>
      </w:r>
      <w:r w:rsidRPr="00A420F7">
        <w:t>Sicilianos</w:t>
      </w:r>
      <w:r w:rsidR="00AD6B9E">
        <w:t>)</w:t>
      </w:r>
      <w:r>
        <w:t>,</w:t>
      </w:r>
      <w:r>
        <w:rPr>
          <w:i/>
        </w:rPr>
        <w:br/>
      </w:r>
      <w:r w:rsidRPr="00A420F7">
        <w:tab/>
      </w:r>
      <w:r w:rsidR="00AD6B9E">
        <w:t>Erik Moz (</w:t>
      </w:r>
      <w:r w:rsidRPr="00A420F7">
        <w:t>Erik</w:t>
      </w:r>
      <w:r>
        <w:t xml:space="preserve"> </w:t>
      </w:r>
      <w:r w:rsidRPr="00A420F7">
        <w:t>Møse</w:t>
      </w:r>
      <w:r w:rsidR="00AD6B9E">
        <w:t>)</w:t>
      </w:r>
      <w:r>
        <w:t>,</w:t>
      </w:r>
      <w:r w:rsidRPr="00A420F7">
        <w:rPr>
          <w:i/>
        </w:rPr>
        <w:t xml:space="preserve"> </w:t>
      </w:r>
      <w:r w:rsidR="00AD6B9E">
        <w:rPr>
          <w:i/>
        </w:rPr>
        <w:t>sudije</w:t>
      </w:r>
      <w:r w:rsidRPr="00A420F7">
        <w:rPr>
          <w:i/>
        </w:rPr>
        <w:t>,</w:t>
      </w:r>
      <w:r w:rsidRPr="00A6337F">
        <w:br/>
      </w:r>
      <w:r w:rsidR="00AD6B9E">
        <w:t>i</w:t>
      </w:r>
      <w:r w:rsidR="002B6583">
        <w:t xml:space="preserve">    </w:t>
      </w:r>
      <w:r w:rsidR="00AD6B9E">
        <w:t>Andre Vampak (</w:t>
      </w:r>
      <w:r>
        <w:t>André Wampach</w:t>
      </w:r>
      <w:r w:rsidR="00AD6B9E">
        <w:t>)</w:t>
      </w:r>
      <w:r w:rsidRPr="00A6337F">
        <w:t xml:space="preserve">, </w:t>
      </w:r>
      <w:r w:rsidRPr="00AD6B9E" w:rsidR="00AD6B9E">
        <w:rPr>
          <w:i/>
        </w:rPr>
        <w:t>pomoćnik sekretara odeljenja</w:t>
      </w:r>
      <w:r w:rsidR="00AD6B9E">
        <w:rPr>
          <w:i/>
        </w:rPr>
        <w:t xml:space="preserve"> </w:t>
      </w:r>
      <w:r w:rsidRPr="00A6337F">
        <w:rPr>
          <w:i/>
        </w:rPr>
        <w:t>,</w:t>
      </w:r>
    </w:p>
    <w:p w:rsidRPr="00AD6B9E" w:rsidR="00AD6B9E" w:rsidP="00AD6B9E" w:rsidRDefault="00AD6B9E">
      <w:pPr>
        <w:pStyle w:val="JuPara"/>
        <w:rPr>
          <w:lang w:val="en-US"/>
        </w:rPr>
      </w:pPr>
      <w:r>
        <w:rPr>
          <w:lang w:val="en-US"/>
        </w:rPr>
        <w:t>P</w:t>
      </w:r>
      <w:r w:rsidRPr="00AD6B9E">
        <w:rPr>
          <w:lang w:val="en-US"/>
        </w:rPr>
        <w:t>osle većanja na zatvorenoj sednici 8. januara 201</w:t>
      </w:r>
      <w:r>
        <w:rPr>
          <w:lang w:val="en-US"/>
        </w:rPr>
        <w:t>3</w:t>
      </w:r>
      <w:r w:rsidRPr="00AD6B9E">
        <w:rPr>
          <w:lang w:val="en-US"/>
        </w:rPr>
        <w:t>,</w:t>
      </w:r>
    </w:p>
    <w:p w:rsidRPr="00AD6B9E" w:rsidR="00AD6B9E" w:rsidP="00AD6B9E" w:rsidRDefault="00AD6B9E">
      <w:pPr>
        <w:pStyle w:val="JuPara"/>
        <w:rPr>
          <w:lang w:val="en-US"/>
        </w:rPr>
      </w:pPr>
      <w:r w:rsidRPr="00AD6B9E">
        <w:rPr>
          <w:lang w:val="en-US"/>
        </w:rPr>
        <w:t>Izriče sledeću presudu usvojenu toga dana :</w:t>
      </w:r>
    </w:p>
    <w:p w:rsidR="002B6583" w:rsidP="00905B01" w:rsidRDefault="002B6583">
      <w:pPr>
        <w:pStyle w:val="JuPara"/>
        <w:rPr>
          <w:lang w:val="en-US"/>
        </w:rPr>
      </w:pPr>
    </w:p>
    <w:p w:rsidRPr="00A6337F" w:rsidR="00905B01" w:rsidP="00905B01" w:rsidRDefault="00AD6B9E">
      <w:pPr>
        <w:pStyle w:val="JuHHead"/>
      </w:pPr>
      <w:r>
        <w:t>POSTUPAK</w:t>
      </w:r>
    </w:p>
    <w:p w:rsidRPr="00AD6B9E" w:rsidR="00AD6B9E" w:rsidP="00AD6B9E" w:rsidRDefault="00905B01">
      <w:pPr>
        <w:pStyle w:val="JuPara"/>
      </w:pPr>
      <w:r w:rsidRPr="00350FF2">
        <w:fldChar w:fldCharType="begin"/>
      </w:r>
      <w:r w:rsidRPr="00350FF2">
        <w:instrText xml:space="preserve"> SEQ level0 \*arabic </w:instrText>
      </w:r>
      <w:r w:rsidRPr="00350FF2">
        <w:fldChar w:fldCharType="separate"/>
      </w:r>
      <w:r w:rsidRPr="00350FF2">
        <w:rPr>
          <w:noProof/>
        </w:rPr>
        <w:t>1</w:t>
      </w:r>
      <w:r w:rsidRPr="00350FF2">
        <w:fldChar w:fldCharType="end"/>
      </w:r>
      <w:r w:rsidRPr="00350FF2">
        <w:t>.</w:t>
      </w:r>
      <w:r w:rsidRPr="00AD6B9E">
        <w:rPr>
          <w:color w:val="FF0000"/>
        </w:rPr>
        <w:t>  </w:t>
      </w:r>
      <w:r w:rsidR="00AD6B9E">
        <w:t xml:space="preserve">Predmet je formiran na osnovu predstavke </w:t>
      </w:r>
      <w:r w:rsidRPr="00AD6B9E" w:rsidR="00AD6B9E">
        <w:t>(br. 66610/09)</w:t>
      </w:r>
      <w:r w:rsidRPr="00AD6B9E" w:rsidR="00AD6B9E">
        <w:rPr>
          <w:color w:val="FF0000"/>
        </w:rPr>
        <w:t xml:space="preserve"> </w:t>
      </w:r>
      <w:r w:rsidRPr="005D3365" w:rsidR="00AD6B9E">
        <w:t>protiv</w:t>
      </w:r>
      <w:r w:rsidR="00AD6B9E">
        <w:rPr>
          <w:color w:val="FF0000"/>
        </w:rPr>
        <w:t xml:space="preserve"> </w:t>
      </w:r>
      <w:r w:rsidRPr="00AD6B9E" w:rsidR="00AD6B9E">
        <w:t>Republike Grčke</w:t>
      </w:r>
      <w:r w:rsidR="00AD6B9E">
        <w:t xml:space="preserve"> čiji se jedan državljanin, G. Anastazios (Anastasios) Zolotas (</w:t>
      </w:r>
      <w:r w:rsidR="005157A2">
        <w:t>« </w:t>
      </w:r>
      <w:r w:rsidR="00AD6B9E">
        <w:t>podnosilac predstavke</w:t>
      </w:r>
      <w:r w:rsidR="005157A2">
        <w:t> »</w:t>
      </w:r>
      <w:r w:rsidR="00AD6B9E">
        <w:t>)</w:t>
      </w:r>
      <w:r w:rsidR="005157A2">
        <w:t>, obratio Sudu 7. decembra 2009, na osnovu člana 34 Konvencije o zaštiti ljudskih prava i osnovnih sloboda (« Konvencija »).</w:t>
      </w:r>
    </w:p>
    <w:p w:rsidR="00BA43AC" w:rsidP="00905B01" w:rsidRDefault="00905B01">
      <w:pPr>
        <w:pStyle w:val="JuPara"/>
      </w:pPr>
      <w:r w:rsidRPr="00350FF2">
        <w:fldChar w:fldCharType="begin"/>
      </w:r>
      <w:r w:rsidRPr="00350FF2">
        <w:instrText xml:space="preserve"> SEQ level0 \*arabic </w:instrText>
      </w:r>
      <w:r w:rsidRPr="00350FF2">
        <w:fldChar w:fldCharType="separate"/>
      </w:r>
      <w:r w:rsidRPr="00350FF2">
        <w:rPr>
          <w:noProof/>
        </w:rPr>
        <w:t>2</w:t>
      </w:r>
      <w:r w:rsidRPr="00350FF2">
        <w:fldChar w:fldCharType="end"/>
      </w:r>
      <w:r w:rsidRPr="00350FF2">
        <w:t>. </w:t>
      </w:r>
      <w:r w:rsidR="005157A2">
        <w:t xml:space="preserve">Grčku vladu (« Vlada ») zastupali </w:t>
      </w:r>
      <w:r w:rsidR="00BA43AC">
        <w:t>su izaslanici njenog agenta, Gđa F. Dedusi (Dedoussi), proceniteljka pri Državnom pravnom savetu, i Gđa Z. Hadžipavlu (</w:t>
      </w:r>
      <w:r w:rsidRPr="00BA43AC" w:rsidR="00BA43AC">
        <w:t>Hadjipavlou</w:t>
      </w:r>
      <w:r w:rsidR="00BA43AC">
        <w:t>), revizorka pri Državnom pravnom savetu.</w:t>
      </w:r>
    </w:p>
    <w:p w:rsidR="00BA43AC" w:rsidP="00905B01" w:rsidRDefault="00905B01">
      <w:pPr>
        <w:pStyle w:val="JuPara"/>
      </w:pPr>
      <w:r w:rsidRPr="00350FF2">
        <w:fldChar w:fldCharType="begin"/>
      </w:r>
      <w:r w:rsidRPr="00350FF2">
        <w:instrText xml:space="preserve"> SEQ level0 \*arabic </w:instrText>
      </w:r>
      <w:r w:rsidRPr="00350FF2">
        <w:fldChar w:fldCharType="separate"/>
      </w:r>
      <w:r w:rsidRPr="00350FF2">
        <w:rPr>
          <w:noProof/>
        </w:rPr>
        <w:t>3</w:t>
      </w:r>
      <w:r w:rsidRPr="00350FF2">
        <w:fldChar w:fldCharType="end"/>
      </w:r>
      <w:r w:rsidRPr="00350FF2">
        <w:t>.  </w:t>
      </w:r>
      <w:r w:rsidR="00BA43AC">
        <w:t>Podnosilac predstavke je posebno tvrdio da je došlo do povrede</w:t>
      </w:r>
      <w:r w:rsidR="002B6583">
        <w:t xml:space="preserve"> </w:t>
      </w:r>
      <w:r w:rsidR="00BA43AC">
        <w:t>prava zagarantovanog članom 1 Prvog protokola Konvencije.</w:t>
      </w:r>
    </w:p>
    <w:p w:rsidRPr="00D57972" w:rsidR="000364BF" w:rsidP="000364BF" w:rsidRDefault="00905B01">
      <w:pPr>
        <w:pStyle w:val="JuPara"/>
        <w:rPr>
          <w:lang w:val="sr-Latn-CS"/>
        </w:rPr>
      </w:pPr>
      <w:r w:rsidRPr="00350FF2">
        <w:fldChar w:fldCharType="begin"/>
      </w:r>
      <w:r w:rsidRPr="00350FF2">
        <w:instrText xml:space="preserve"> SEQ level0 \*arabic </w:instrText>
      </w:r>
      <w:r w:rsidRPr="00350FF2">
        <w:fldChar w:fldCharType="separate"/>
      </w:r>
      <w:r w:rsidRPr="00350FF2">
        <w:rPr>
          <w:noProof/>
        </w:rPr>
        <w:t>4</w:t>
      </w:r>
      <w:r w:rsidRPr="00350FF2">
        <w:fldChar w:fldCharType="end"/>
      </w:r>
      <w:r w:rsidRPr="00350FF2">
        <w:t>.</w:t>
      </w:r>
      <w:r w:rsidRPr="00AD6B9E">
        <w:rPr>
          <w:color w:val="FF0000"/>
        </w:rPr>
        <w:t>  </w:t>
      </w:r>
      <w:r w:rsidR="00BA43AC">
        <w:t xml:space="preserve">Predstavka je 31. avgusta 2011. </w:t>
      </w:r>
      <w:r w:rsidR="00420D3E">
        <w:t>g</w:t>
      </w:r>
      <w:r w:rsidR="00BA43AC">
        <w:t xml:space="preserve">odine dostavljena Vladi. </w:t>
      </w:r>
      <w:r w:rsidRPr="006F6AE8" w:rsidR="000364BF">
        <w:rPr>
          <w:lang w:val="sr-Latn-CS"/>
        </w:rPr>
        <w:t>U skladu sa članom 29 § </w:t>
      </w:r>
      <w:r w:rsidR="000364BF">
        <w:rPr>
          <w:lang w:val="sr-Latn-CS"/>
        </w:rPr>
        <w:t>1</w:t>
      </w:r>
      <w:r w:rsidRPr="006F6AE8" w:rsidR="000364BF">
        <w:rPr>
          <w:lang w:val="sr-Latn-CS"/>
        </w:rPr>
        <w:t xml:space="preserve"> Konvencije koji to omogućava, </w:t>
      </w:r>
      <w:r w:rsidR="000364BF">
        <w:rPr>
          <w:lang w:val="sr-Latn-CS"/>
        </w:rPr>
        <w:t xml:space="preserve">takođe </w:t>
      </w:r>
      <w:r w:rsidRPr="006F6AE8" w:rsidR="000364BF">
        <w:rPr>
          <w:lang w:val="sr-Latn-CS"/>
        </w:rPr>
        <w:t>je odluč</w:t>
      </w:r>
      <w:r w:rsidR="000364BF">
        <w:rPr>
          <w:lang w:val="sr-Latn-CS"/>
        </w:rPr>
        <w:t>eno</w:t>
      </w:r>
      <w:r w:rsidRPr="006F6AE8" w:rsidR="000364BF">
        <w:rPr>
          <w:lang w:val="sr-Latn-CS"/>
        </w:rPr>
        <w:t xml:space="preserve"> da će se veće istovremeno izjasniti o prihvatljivosti i o suštini</w:t>
      </w:r>
      <w:r w:rsidR="000364BF">
        <w:rPr>
          <w:lang w:val="sr-Latn-CS"/>
        </w:rPr>
        <w:t xml:space="preserve"> predmeta.</w:t>
      </w:r>
    </w:p>
    <w:p w:rsidR="00905B01" w:rsidP="00905B01" w:rsidRDefault="00AD6B9E">
      <w:pPr>
        <w:pStyle w:val="JuHHead"/>
        <w:tabs>
          <w:tab w:val="left" w:pos="5387"/>
        </w:tabs>
      </w:pPr>
      <w:r>
        <w:t>ČINJENIČNO STANJE</w:t>
      </w:r>
    </w:p>
    <w:p w:rsidR="002B6583" w:rsidP="000F6213" w:rsidRDefault="00905B01">
      <w:pPr>
        <w:pStyle w:val="JuPara"/>
        <w:shd w:val="clear" w:color="auto" w:fill="FFFFFF"/>
      </w:pPr>
      <w:r>
        <w:fldChar w:fldCharType="begin"/>
      </w:r>
      <w:r>
        <w:instrText xml:space="preserve"> SEQ level0 \*arabic </w:instrText>
      </w:r>
      <w:r>
        <w:fldChar w:fldCharType="separate"/>
      </w:r>
      <w:r>
        <w:rPr>
          <w:noProof/>
        </w:rPr>
        <w:t>5</w:t>
      </w:r>
      <w:r>
        <w:fldChar w:fldCharType="end"/>
      </w:r>
      <w:r>
        <w:t>. </w:t>
      </w:r>
      <w:r w:rsidR="000364BF">
        <w:t xml:space="preserve"> </w:t>
      </w:r>
      <w:r w:rsidRPr="00590888" w:rsidR="000364BF">
        <w:rPr>
          <w:lang w:val="en-US"/>
        </w:rPr>
        <w:t>Podnosilac predstavke, rođen 1924. godine,</w:t>
      </w:r>
      <w:r w:rsidRPr="00590888">
        <w:rPr>
          <w:lang w:val="en-US"/>
        </w:rPr>
        <w:t> </w:t>
      </w:r>
      <w:r w:rsidRPr="00590888" w:rsidR="000364BF">
        <w:rPr>
          <w:lang w:val="en-US"/>
        </w:rPr>
        <w:t xml:space="preserve">preminuo je 27. </w:t>
      </w:r>
      <w:r w:rsidRPr="00590888" w:rsidR="00420D3E">
        <w:rPr>
          <w:lang w:val="en-US"/>
        </w:rPr>
        <w:t>f</w:t>
      </w:r>
      <w:r w:rsidRPr="00590888" w:rsidR="000364BF">
        <w:rPr>
          <w:lang w:val="en-US"/>
        </w:rPr>
        <w:t xml:space="preserve">ebruara 2011. godine, za vreme trajanja postupka pred Sudom. </w:t>
      </w:r>
      <w:r w:rsidR="000364BF">
        <w:t>Negov sin, g. Panajotis Zolotas (</w:t>
      </w:r>
      <w:r w:rsidR="009B3D77">
        <w:t xml:space="preserve">Panayotis Zolotas) </w:t>
      </w:r>
      <w:r w:rsidR="000364BF">
        <w:t xml:space="preserve">izrazio je želju da </w:t>
      </w:r>
      <w:r w:rsidRPr="000F6213" w:rsidR="000364BF">
        <w:rPr>
          <w:shd w:val="clear" w:color="auto" w:fill="FFFFFF"/>
        </w:rPr>
        <w:t>preuzme sudski</w:t>
      </w:r>
      <w:r w:rsidRPr="005C2A28" w:rsidR="000364BF">
        <w:t xml:space="preserve"> spor.</w:t>
      </w:r>
    </w:p>
    <w:p w:rsidRPr="00A6337F" w:rsidR="00905B01" w:rsidP="00905B01" w:rsidRDefault="00905B01">
      <w:pPr>
        <w:pStyle w:val="JuHIRoman"/>
        <w:outlineLvl w:val="0"/>
      </w:pPr>
      <w:r w:rsidRPr="00A6337F">
        <w:t>I.  </w:t>
      </w:r>
      <w:r w:rsidR="00AD6B9E">
        <w:t>OKOLNOSTI SLUČAJA</w:t>
      </w:r>
    </w:p>
    <w:p w:rsidR="009B3D77" w:rsidP="00905B01" w:rsidRDefault="00905B01">
      <w:pPr>
        <w:pStyle w:val="JuPara"/>
      </w:pPr>
      <w:r w:rsidRPr="00A6337F">
        <w:fldChar w:fldCharType="begin"/>
      </w:r>
      <w:r w:rsidRPr="00A6337F">
        <w:instrText xml:space="preserve"> SEQ level0 \*arabic </w:instrText>
      </w:r>
      <w:r w:rsidRPr="00A6337F">
        <w:fldChar w:fldCharType="separate"/>
      </w:r>
      <w:r>
        <w:rPr>
          <w:noProof/>
        </w:rPr>
        <w:t>6</w:t>
      </w:r>
      <w:r w:rsidRPr="00A6337F">
        <w:fldChar w:fldCharType="end"/>
      </w:r>
      <w:r w:rsidRPr="00A6337F">
        <w:t>. </w:t>
      </w:r>
      <w:r w:rsidR="009B3D77">
        <w:t xml:space="preserve">11. jula 1974, podnosilac predstavke, u to vreme aktivni advokat, otvorio je bankovni račun u </w:t>
      </w:r>
      <w:r w:rsidRPr="005C2A28" w:rsidR="005C2A28">
        <w:t>Generalnoj</w:t>
      </w:r>
      <w:r w:rsidRPr="005C2A28" w:rsidR="009B3D77">
        <w:t xml:space="preserve"> banci</w:t>
      </w:r>
      <w:r w:rsidR="005C2A28">
        <w:t xml:space="preserve"> Grčke</w:t>
      </w:r>
      <w:r w:rsidR="009B3D77">
        <w:t xml:space="preserve">, na koji je uplatio sumu od 660 000 drahmi </w:t>
      </w:r>
      <w:r w:rsidRPr="009B3D77" w:rsidR="009B3D77">
        <w:t xml:space="preserve">(1 936,90 </w:t>
      </w:r>
      <w:r w:rsidR="009B3D77">
        <w:t>evra</w:t>
      </w:r>
      <w:r w:rsidRPr="009B3D77" w:rsidR="009B3D77">
        <w:t xml:space="preserve"> (EUR)).</w:t>
      </w:r>
      <w:r w:rsidRPr="00A6337F">
        <w:t> </w:t>
      </w:r>
      <w:r w:rsidR="009B3D77">
        <w:t xml:space="preserve">Od početka drugog polugodišta 1981. do 2003. </w:t>
      </w:r>
      <w:r w:rsidR="005C2A28">
        <w:t xml:space="preserve">godine </w:t>
      </w:r>
      <w:r w:rsidR="009B3D77">
        <w:t xml:space="preserve">nije imao nikakvih transakcija po tom računu (podizanje </w:t>
      </w:r>
      <w:r w:rsidR="00590888">
        <w:t xml:space="preserve">ili ulaganje </w:t>
      </w:r>
      <w:r w:rsidR="009B3D77">
        <w:t>novca, ili upisivanje kamate u knjižicu koja je predviđena za tu svrhu). Zbog ozbiljnih zdravstvenih problema koji su nj</w:t>
      </w:r>
      <w:r w:rsidR="00590888">
        <w:t>e</w:t>
      </w:r>
      <w:r w:rsidR="009B3D77">
        <w:t>ga i njegovu suprugu doveli u stanje nemoći, bio je primoran na višegodišnji boravak u inostranstvu. 6. februara 2003, zatražio je od b</w:t>
      </w:r>
      <w:r w:rsidR="005C2A28">
        <w:t>anke da ga obavesti o stanju na</w:t>
      </w:r>
      <w:r w:rsidR="009B3D77">
        <w:t xml:space="preserve"> računu. Banka mu je odgovorila da su sv</w:t>
      </w:r>
      <w:r w:rsidR="005C2A28">
        <w:t>a</w:t>
      </w:r>
      <w:r w:rsidR="009B3D77">
        <w:t xml:space="preserve"> njegov</w:t>
      </w:r>
      <w:r w:rsidR="005C2A28">
        <w:t>a</w:t>
      </w:r>
      <w:r w:rsidR="009B3D77">
        <w:t xml:space="preserve"> </w:t>
      </w:r>
      <w:r w:rsidR="00F0435D">
        <w:t>prava</w:t>
      </w:r>
      <w:r w:rsidR="009B3D77">
        <w:t xml:space="preserve"> u vezi sa pomenutim </w:t>
      </w:r>
      <w:r w:rsidRPr="00220E62" w:rsidR="009B3D77">
        <w:t xml:space="preserve">računom </w:t>
      </w:r>
      <w:r w:rsidR="00220E62">
        <w:t>zastarela</w:t>
      </w:r>
      <w:r w:rsidR="009B3D77">
        <w:t>,</w:t>
      </w:r>
      <w:r w:rsidR="002B6583">
        <w:t xml:space="preserve"> </w:t>
      </w:r>
      <w:r w:rsidR="009B3D77">
        <w:t xml:space="preserve">s obzirom da po njegovom računu nije bilo nikakvih </w:t>
      </w:r>
      <w:r w:rsidR="00722B1D">
        <w:t>promena</w:t>
      </w:r>
      <w:r w:rsidR="009B3D77">
        <w:t xml:space="preserve"> počevši od drugog polugodišta 1981. godine.</w:t>
      </w:r>
      <w:r w:rsidR="002B6583">
        <w:t xml:space="preserve"> </w:t>
      </w:r>
      <w:r w:rsidRPr="00F3116D" w:rsidR="000547C7">
        <w:t>Takođe ga je obavestila da u svo</w:t>
      </w:r>
      <w:r w:rsidRPr="00F3116D" w:rsidR="00A65F21">
        <w:t>joj glavnoj knjizi</w:t>
      </w:r>
      <w:r w:rsidR="002B6583">
        <w:t xml:space="preserve"> </w:t>
      </w:r>
      <w:r w:rsidRPr="00F3116D" w:rsidR="00A65F21">
        <w:t>ažurno vodi ličn</w:t>
      </w:r>
      <w:r w:rsidRPr="00F3116D" w:rsidR="00722B1D">
        <w:t>u</w:t>
      </w:r>
      <w:r w:rsidRPr="00F3116D" w:rsidR="00A65F21">
        <w:t xml:space="preserve"> kart</w:t>
      </w:r>
      <w:r w:rsidRPr="00F3116D" w:rsidR="00722B1D">
        <w:t>icu</w:t>
      </w:r>
      <w:r w:rsidRPr="00F3116D" w:rsidR="00A65F21">
        <w:t xml:space="preserve"> podnosioca predstavke, i da su u nj</w:t>
      </w:r>
      <w:r w:rsidRPr="00F3116D" w:rsidR="00722B1D">
        <w:t>u</w:t>
      </w:r>
      <w:r w:rsidRPr="00F3116D" w:rsidR="00A65F21">
        <w:t xml:space="preserve"> upis</w:t>
      </w:r>
      <w:r w:rsidRPr="00F3116D" w:rsidR="00722B1D">
        <w:t>iv</w:t>
      </w:r>
      <w:r w:rsidRPr="00F3116D" w:rsidR="00A65F21">
        <w:t>ane</w:t>
      </w:r>
      <w:r w:rsidR="002B6583">
        <w:t xml:space="preserve"> </w:t>
      </w:r>
      <w:r w:rsidRPr="00F3116D" w:rsidR="00A65F21">
        <w:t xml:space="preserve"> kamate </w:t>
      </w:r>
      <w:r w:rsidRPr="00F3116D" w:rsidR="00722B1D">
        <w:t>po</w:t>
      </w:r>
      <w:r w:rsidRPr="00F3116D" w:rsidR="00A65F21">
        <w:t xml:space="preserve"> njegov</w:t>
      </w:r>
      <w:r w:rsidRPr="00F3116D" w:rsidR="00722B1D">
        <w:t>om</w:t>
      </w:r>
      <w:r w:rsidRPr="00F3116D" w:rsidR="00A65F21">
        <w:t xml:space="preserve"> račun</w:t>
      </w:r>
      <w:r w:rsidRPr="00F3116D" w:rsidR="00722B1D">
        <w:t>u</w:t>
      </w:r>
      <w:r w:rsidRPr="00F3116D" w:rsidR="00A65F21">
        <w:t>.</w:t>
      </w:r>
    </w:p>
    <w:p w:rsidR="002B6583" w:rsidP="00905B01" w:rsidRDefault="00905B01">
      <w:pPr>
        <w:pStyle w:val="JuPara"/>
      </w:pPr>
      <w:r w:rsidRPr="00F3116D">
        <w:fldChar w:fldCharType="begin"/>
      </w:r>
      <w:r w:rsidRPr="00F3116D">
        <w:instrText xml:space="preserve"> SEQ level0 \*arabic </w:instrText>
      </w:r>
      <w:r w:rsidRPr="00F3116D">
        <w:fldChar w:fldCharType="separate"/>
      </w:r>
      <w:r w:rsidRPr="00F3116D">
        <w:rPr>
          <w:noProof/>
        </w:rPr>
        <w:t>7</w:t>
      </w:r>
      <w:r w:rsidRPr="00F3116D">
        <w:fldChar w:fldCharType="end"/>
      </w:r>
      <w:r w:rsidRPr="00F3116D">
        <w:t>.  </w:t>
      </w:r>
      <w:r w:rsidRPr="00F3116D" w:rsidR="00A65F21">
        <w:t>3. j</w:t>
      </w:r>
      <w:r w:rsidRPr="0058230A" w:rsidR="00A65F21">
        <w:t>una 2003,</w:t>
      </w:r>
      <w:r w:rsidRPr="0058230A" w:rsidR="00590888">
        <w:t xml:space="preserve"> podnosilac predstavke po</w:t>
      </w:r>
      <w:r w:rsidRPr="0058230A" w:rsidR="0058230A">
        <w:t xml:space="preserve">dnosi </w:t>
      </w:r>
      <w:r w:rsidR="00F3116D">
        <w:t>zahtev</w:t>
      </w:r>
      <w:r w:rsidRPr="0058230A" w:rsidR="0058230A">
        <w:t xml:space="preserve"> </w:t>
      </w:r>
      <w:r w:rsidR="00F3116D">
        <w:t>za</w:t>
      </w:r>
      <w:r w:rsidRPr="0058230A" w:rsidR="0058230A">
        <w:t xml:space="preserve"> pokretanj</w:t>
      </w:r>
      <w:r w:rsidR="00F3116D">
        <w:t>e</w:t>
      </w:r>
      <w:r w:rsidR="002B6583">
        <w:t xml:space="preserve"> </w:t>
      </w:r>
      <w:r w:rsidRPr="0058230A" w:rsidR="00A65F21">
        <w:t>parni</w:t>
      </w:r>
      <w:r w:rsidR="00590888">
        <w:rPr>
          <w:lang w:val="sr-Latn-CS"/>
        </w:rPr>
        <w:t>čn</w:t>
      </w:r>
      <w:r w:rsidR="0058230A">
        <w:rPr>
          <w:lang w:val="sr-Latn-CS"/>
        </w:rPr>
        <w:t>og postup</w:t>
      </w:r>
      <w:r w:rsidR="00590888">
        <w:rPr>
          <w:lang w:val="sr-Latn-CS"/>
        </w:rPr>
        <w:t>k</w:t>
      </w:r>
      <w:r w:rsidR="0058230A">
        <w:rPr>
          <w:lang w:val="sr-Latn-CS"/>
        </w:rPr>
        <w:t>a</w:t>
      </w:r>
      <w:r w:rsidRPr="00F3116D" w:rsidR="00F3116D">
        <w:t xml:space="preserve"> </w:t>
      </w:r>
      <w:r w:rsidRPr="0058230A" w:rsidR="00F3116D">
        <w:t>protiv banke</w:t>
      </w:r>
      <w:r w:rsidRPr="0058230A" w:rsidR="00A65F21">
        <w:t xml:space="preserve">. </w:t>
      </w:r>
      <w:r w:rsidR="00A65F21">
        <w:t>Traži sumu koju je deponovao u banku, sa prip</w:t>
      </w:r>
      <w:r w:rsidR="00F3116D">
        <w:t>adajuć</w:t>
      </w:r>
      <w:r w:rsidR="00A65F21">
        <w:t>im kamatama, tj</w:t>
      </w:r>
      <w:r w:rsidR="00590888">
        <w:t>.</w:t>
      </w:r>
      <w:r w:rsidR="00A65F21">
        <w:t xml:space="preserve"> ukupno </w:t>
      </w:r>
      <w:r w:rsidRPr="00A65F21" w:rsidR="00A65F21">
        <w:t>30 550,74 EUR</w:t>
      </w:r>
      <w:r w:rsidR="00A65F21">
        <w:t>. Prvostepeni sud u Atini presudom br.</w:t>
      </w:r>
      <w:r w:rsidRPr="00A65F21" w:rsidR="00A65F21">
        <w:rPr>
          <w:color w:val="FF0000"/>
        </w:rPr>
        <w:t xml:space="preserve"> </w:t>
      </w:r>
      <w:r w:rsidRPr="00A65F21" w:rsidR="00A65F21">
        <w:t xml:space="preserve">1481/2005 </w:t>
      </w:r>
      <w:r w:rsidR="00A65F21">
        <w:t>od</w:t>
      </w:r>
      <w:r w:rsidRPr="00A65F21" w:rsidR="00A65F21">
        <w:t xml:space="preserve"> 21</w:t>
      </w:r>
      <w:r w:rsidR="00A65F21">
        <w:t>.</w:t>
      </w:r>
      <w:r w:rsidRPr="00A65F21" w:rsidR="00A65F21">
        <w:t xml:space="preserve"> a</w:t>
      </w:r>
      <w:r w:rsidR="00A65F21">
        <w:t>p</w:t>
      </w:r>
      <w:r w:rsidRPr="00A65F21" w:rsidR="00A65F21">
        <w:t>ril</w:t>
      </w:r>
      <w:r w:rsidR="00A65F21">
        <w:t>a</w:t>
      </w:r>
      <w:r w:rsidRPr="00A65F21" w:rsidR="00A65F21">
        <w:t xml:space="preserve"> 2005</w:t>
      </w:r>
      <w:r w:rsidRPr="00F3116D" w:rsidR="00F3116D">
        <w:t xml:space="preserve"> </w:t>
      </w:r>
      <w:r w:rsidR="00F3116D">
        <w:t>odbacuje tužbu</w:t>
      </w:r>
      <w:r w:rsidR="00A65F21">
        <w:t xml:space="preserve">, smatrajući da </w:t>
      </w:r>
      <w:r w:rsidR="00F3116D">
        <w:t xml:space="preserve">je došlo do </w:t>
      </w:r>
      <w:r w:rsidR="00220E62">
        <w:t xml:space="preserve">zastarelosti </w:t>
      </w:r>
      <w:r w:rsidR="00F0435D">
        <w:t>prava</w:t>
      </w:r>
      <w:r w:rsidR="00220E62">
        <w:t xml:space="preserve"> podnosioca predstavke pošto je istekao </w:t>
      </w:r>
      <w:r w:rsidR="00F3116D">
        <w:t>dvadesetogodišnj</w:t>
      </w:r>
      <w:r w:rsidR="00220E62">
        <w:t>i rok</w:t>
      </w:r>
      <w:r w:rsidR="00A65F21">
        <w:t xml:space="preserve"> </w:t>
      </w:r>
      <w:r w:rsidR="00F3116D">
        <w:t>zastarevanja predviđen</w:t>
      </w:r>
      <w:r w:rsidR="00A65F21">
        <w:t xml:space="preserve"> za </w:t>
      </w:r>
      <w:r w:rsidR="00F0435D">
        <w:t>prava</w:t>
      </w:r>
      <w:r w:rsidR="00A65F21">
        <w:t xml:space="preserve"> koj</w:t>
      </w:r>
      <w:r w:rsidR="00F3116D">
        <w:t>a</w:t>
      </w:r>
      <w:r w:rsidR="00A65F21">
        <w:t xml:space="preserve"> proističu iz </w:t>
      </w:r>
      <w:r w:rsidRPr="00F3116D" w:rsidR="00F3116D">
        <w:t>sporazuma</w:t>
      </w:r>
      <w:r w:rsidRPr="00F3116D" w:rsidR="00A65F21">
        <w:t xml:space="preserve"> o nepravom depozitu</w:t>
      </w:r>
      <w:r w:rsidR="00A65F21">
        <w:t xml:space="preserve"> </w:t>
      </w:r>
      <w:r w:rsidRPr="00A65F21" w:rsidR="00A65F21">
        <w:t>(</w:t>
      </w:r>
      <w:r w:rsidRPr="00A65F21" w:rsidR="00A65F21">
        <w:rPr>
          <w:i/>
        </w:rPr>
        <w:t>anomali parakatathiki</w:t>
      </w:r>
      <w:r w:rsidRPr="00A65F21" w:rsidR="00A65F21">
        <w:t xml:space="preserve">), </w:t>
      </w:r>
      <w:r w:rsidR="00A65F21">
        <w:t xml:space="preserve">u smislu člana 830 </w:t>
      </w:r>
      <w:r w:rsidR="00F3116D">
        <w:t>G</w:t>
      </w:r>
      <w:r w:rsidR="00A65F21">
        <w:t>rađanskog zakonika (donji paragrafi 18 -19). Konkretno, sud je rekao :</w:t>
      </w:r>
    </w:p>
    <w:p w:rsidR="002B6583" w:rsidP="00656213" w:rsidRDefault="00F3116D">
      <w:pPr>
        <w:pStyle w:val="JuQuot"/>
      </w:pPr>
      <w:r w:rsidRPr="00656213">
        <w:t xml:space="preserve"> </w:t>
      </w:r>
      <w:r w:rsidRPr="00656213" w:rsidR="00A65F21">
        <w:t>« (</w:t>
      </w:r>
      <w:r w:rsidR="002B6583">
        <w:t>...</w:t>
      </w:r>
      <w:r w:rsidRPr="00656213" w:rsidR="00A65F21">
        <w:t>)</w:t>
      </w:r>
      <w:r w:rsidRPr="00656213" w:rsidR="00656213">
        <w:t xml:space="preserve">[Podnosilac predstavke] se poziva na član 1 Prvog protokola sačinjenog u Parizu 20. marta 1952, </w:t>
      </w:r>
      <w:r w:rsidR="0058230A">
        <w:t>o</w:t>
      </w:r>
      <w:r w:rsidRPr="00656213" w:rsidR="00656213">
        <w:t xml:space="preserve"> </w:t>
      </w:r>
      <w:r w:rsidRPr="000E3236" w:rsidR="0058230A">
        <w:t>zaštiti imovine</w:t>
      </w:r>
      <w:r w:rsidRPr="00656213" w:rsidR="00656213">
        <w:t>, koji se ne može primeniti u ovom slučaju, s obzirom da zastar</w:t>
      </w:r>
      <w:r w:rsidR="00F961BD">
        <w:t>e</w:t>
      </w:r>
      <w:r w:rsidR="00220E62">
        <w:t>lost</w:t>
      </w:r>
      <w:r w:rsidRPr="00656213" w:rsidR="00656213">
        <w:t>, kao institucija domaćeg prava, odnosi prevagu nad njim. Ova zastar</w:t>
      </w:r>
      <w:r w:rsidR="00220E62">
        <w:t>elost</w:t>
      </w:r>
      <w:r w:rsidRPr="00656213" w:rsidR="00656213">
        <w:t xml:space="preserve"> [predviđena članom 247 </w:t>
      </w:r>
      <w:r w:rsidR="00220E62">
        <w:t>G</w:t>
      </w:r>
      <w:r w:rsidRPr="00656213" w:rsidR="00656213">
        <w:t>rađanskog zakonik</w:t>
      </w:r>
      <w:r w:rsidR="0058230A">
        <w:t>a] nezavisna je od činjenice da</w:t>
      </w:r>
      <w:r w:rsidRPr="00656213" w:rsidR="00656213">
        <w:t xml:space="preserve">, u skladu sa članom 3 dekreta br. 1195/1942, </w:t>
      </w:r>
      <w:r w:rsidR="00590888">
        <w:t>novčani</w:t>
      </w:r>
      <w:r w:rsidRPr="00656213" w:rsidR="00656213">
        <w:t xml:space="preserve"> depoziti u nacionaln</w:t>
      </w:r>
      <w:r w:rsidR="00220E62">
        <w:t>im</w:t>
      </w:r>
      <w:r w:rsidRPr="00656213" w:rsidR="00656213">
        <w:t xml:space="preserve"> ban</w:t>
      </w:r>
      <w:r w:rsidR="00220E62">
        <w:t>kama</w:t>
      </w:r>
      <w:r w:rsidRPr="00656213" w:rsidR="00656213">
        <w:t xml:space="preserve"> i pripadajuće kamate </w:t>
      </w:r>
      <w:r w:rsidR="0058230A">
        <w:t>pravosnažno postaju imovina</w:t>
      </w:r>
      <w:r w:rsidRPr="00656213" w:rsidR="00656213">
        <w:t xml:space="preserve"> </w:t>
      </w:r>
      <w:r w:rsidR="0058230A">
        <w:t>države</w:t>
      </w:r>
      <w:r w:rsidRPr="00656213" w:rsidR="00656213">
        <w:t xml:space="preserve"> kada ih njihovi </w:t>
      </w:r>
      <w:r w:rsidR="0049206F">
        <w:t>vlasnici</w:t>
      </w:r>
      <w:r w:rsidRPr="00656213" w:rsidR="00656213">
        <w:t xml:space="preserve"> ne </w:t>
      </w:r>
      <w:r w:rsidRPr="00F961BD" w:rsidR="0058230A">
        <w:t>po</w:t>
      </w:r>
      <w:r w:rsidRPr="00F961BD" w:rsidR="00656213">
        <w:t>traž</w:t>
      </w:r>
      <w:r w:rsidRPr="00F961BD" w:rsidR="0058230A">
        <w:t>uju</w:t>
      </w:r>
      <w:r w:rsidRPr="00656213" w:rsidR="00656213">
        <w:t xml:space="preserve">, </w:t>
      </w:r>
      <w:r w:rsidR="0058230A">
        <w:t>tokom</w:t>
      </w:r>
      <w:r w:rsidRPr="00656213" w:rsidR="00656213">
        <w:t xml:space="preserve"> dvadeset godina za depozit i pet godina za kamate (</w:t>
      </w:r>
      <w:r w:rsidR="002B6583">
        <w:t>...</w:t>
      </w:r>
      <w:r w:rsidRPr="00656213" w:rsidR="00656213">
        <w:t>). »</w:t>
      </w:r>
    </w:p>
    <w:p w:rsidR="002B6583" w:rsidP="00905B01" w:rsidRDefault="00905B01">
      <w:pPr>
        <w:pStyle w:val="JuPara"/>
      </w:pPr>
      <w:r w:rsidRPr="000E3236">
        <w:fldChar w:fldCharType="begin"/>
      </w:r>
      <w:r w:rsidRPr="000E3236">
        <w:instrText xml:space="preserve"> SEQ level0 \*arabic </w:instrText>
      </w:r>
      <w:r w:rsidRPr="000E3236">
        <w:fldChar w:fldCharType="separate"/>
      </w:r>
      <w:r w:rsidRPr="000E3236">
        <w:rPr>
          <w:noProof/>
        </w:rPr>
        <w:t>8</w:t>
      </w:r>
      <w:r w:rsidRPr="000E3236">
        <w:fldChar w:fldCharType="end"/>
      </w:r>
      <w:r w:rsidRPr="000E3236">
        <w:t>.</w:t>
      </w:r>
      <w:r w:rsidRPr="000364BF">
        <w:rPr>
          <w:color w:val="FF0000"/>
        </w:rPr>
        <w:t>  </w:t>
      </w:r>
      <w:r w:rsidR="00656213">
        <w:t>Podnosilac predstavke</w:t>
      </w:r>
      <w:r w:rsidR="002B6583">
        <w:t xml:space="preserve"> </w:t>
      </w:r>
      <w:r w:rsidR="00656213">
        <w:t>ul</w:t>
      </w:r>
      <w:r w:rsidR="000E3236">
        <w:t>a</w:t>
      </w:r>
      <w:r w:rsidR="00656213">
        <w:t>ž</w:t>
      </w:r>
      <w:r w:rsidR="000E3236">
        <w:t>e</w:t>
      </w:r>
      <w:r w:rsidR="00656213">
        <w:t xml:space="preserve"> žalbu na </w:t>
      </w:r>
      <w:r w:rsidR="0058230A">
        <w:t>pomenutu</w:t>
      </w:r>
      <w:r w:rsidR="00656213">
        <w:t xml:space="preserve"> presudu. Poz</w:t>
      </w:r>
      <w:r w:rsidR="000E3236">
        <w:t>i</w:t>
      </w:r>
      <w:r w:rsidR="00656213">
        <w:t xml:space="preserve">va se na relevantne odredbe domaćeg prava i na član 1, Prvog protokola Konvencije. Tvrdi je da </w:t>
      </w:r>
      <w:r w:rsidR="00CD48A5">
        <w:t xml:space="preserve">je </w:t>
      </w:r>
      <w:r w:rsidR="0058230A">
        <w:t xml:space="preserve">došlo do </w:t>
      </w:r>
      <w:r w:rsidRPr="00B33D4C" w:rsidR="0058230A">
        <w:t>zastoja</w:t>
      </w:r>
      <w:r w:rsidR="0058230A">
        <w:t xml:space="preserve"> zastarevanja zbog</w:t>
      </w:r>
      <w:r w:rsidR="007E2A38">
        <w:t xml:space="preserve"> više sile ili </w:t>
      </w:r>
      <w:r w:rsidRPr="00B33D4C" w:rsidR="007E2A38">
        <w:t>prekid</w:t>
      </w:r>
      <w:r w:rsidRPr="00B33D4C" w:rsidR="000E3236">
        <w:t>a</w:t>
      </w:r>
      <w:r w:rsidR="007E2A38">
        <w:t xml:space="preserve"> zastarevanja</w:t>
      </w:r>
      <w:r w:rsidR="00CD48A5">
        <w:t xml:space="preserve"> </w:t>
      </w:r>
      <w:r w:rsidR="007E2A38">
        <w:t>u skladu sa odredbama</w:t>
      </w:r>
      <w:r w:rsidR="00CD48A5">
        <w:t xml:space="preserve"> član</w:t>
      </w:r>
      <w:r w:rsidR="007E2A38">
        <w:t>a</w:t>
      </w:r>
      <w:r w:rsidR="000E3236">
        <w:t xml:space="preserve"> 260 G</w:t>
      </w:r>
      <w:r w:rsidR="00CD48A5">
        <w:t xml:space="preserve">rađanskog zakonika, </w:t>
      </w:r>
      <w:r w:rsidR="000E3236">
        <w:t>s obzirom da je</w:t>
      </w:r>
      <w:r w:rsidR="00CD48A5">
        <w:t xml:space="preserve"> banka ažurirala njegov </w:t>
      </w:r>
      <w:r w:rsidR="00B33D4C">
        <w:t>dosije</w:t>
      </w:r>
      <w:r w:rsidR="00CD48A5">
        <w:t xml:space="preserve"> na svakih šest meseci upisujujći u njega </w:t>
      </w:r>
      <w:r w:rsidR="000E3236">
        <w:t>pripadajuće</w:t>
      </w:r>
      <w:r w:rsidR="00CD48A5">
        <w:t xml:space="preserve"> kamate.</w:t>
      </w:r>
    </w:p>
    <w:p w:rsidR="002B6583" w:rsidP="00905B01" w:rsidRDefault="00905B01">
      <w:pPr>
        <w:pStyle w:val="JuPara"/>
      </w:pPr>
      <w:r w:rsidRPr="00B33D4C">
        <w:fldChar w:fldCharType="begin"/>
      </w:r>
      <w:r w:rsidRPr="00B33D4C">
        <w:instrText xml:space="preserve"> SEQ level0 \*arabic </w:instrText>
      </w:r>
      <w:r w:rsidRPr="00B33D4C">
        <w:fldChar w:fldCharType="separate"/>
      </w:r>
      <w:r w:rsidRPr="00B33D4C">
        <w:rPr>
          <w:noProof/>
        </w:rPr>
        <w:t>9</w:t>
      </w:r>
      <w:r w:rsidRPr="00B33D4C">
        <w:fldChar w:fldCharType="end"/>
      </w:r>
      <w:r w:rsidRPr="00B33D4C">
        <w:t>.  </w:t>
      </w:r>
      <w:r w:rsidR="00B33D4C">
        <w:t xml:space="preserve"> P</w:t>
      </w:r>
      <w:r w:rsidR="008C4069">
        <w:t>resudom br</w:t>
      </w:r>
      <w:r w:rsidRPr="008C4069" w:rsidR="008C4069">
        <w:t>.</w:t>
      </w:r>
      <w:r w:rsidR="002B6583">
        <w:t xml:space="preserve"> </w:t>
      </w:r>
      <w:r w:rsidRPr="008C4069" w:rsidR="008C4069">
        <w:t xml:space="preserve">2452/2006 </w:t>
      </w:r>
      <w:r w:rsidR="008C4069">
        <w:t>od</w:t>
      </w:r>
      <w:r w:rsidRPr="008C4069" w:rsidR="008C4069">
        <w:t xml:space="preserve"> 6</w:t>
      </w:r>
      <w:r w:rsidR="008C4069">
        <w:t>.</w:t>
      </w:r>
      <w:r w:rsidRPr="008C4069" w:rsidR="008C4069">
        <w:t xml:space="preserve"> a</w:t>
      </w:r>
      <w:r w:rsidR="008C4069">
        <w:t>p</w:t>
      </w:r>
      <w:r w:rsidRPr="008C4069" w:rsidR="008C4069">
        <w:t>ril</w:t>
      </w:r>
      <w:r w:rsidR="008C4069">
        <w:t>a</w:t>
      </w:r>
      <w:r w:rsidRPr="008C4069" w:rsidR="008C4069">
        <w:t xml:space="preserve"> 2006</w:t>
      </w:r>
      <w:r w:rsidR="008C4069">
        <w:t>, Apelacioni sud u Atini</w:t>
      </w:r>
      <w:r w:rsidR="007E2A38">
        <w:t xml:space="preserve"> </w:t>
      </w:r>
      <w:r w:rsidR="008C4069">
        <w:t xml:space="preserve">odbacuje žalbu, smatrajući da je primena </w:t>
      </w:r>
      <w:r w:rsidR="00977C6F">
        <w:t>dvadesetogodišnjeg zastarevanja</w:t>
      </w:r>
      <w:r w:rsidR="008C4069">
        <w:t xml:space="preserve"> </w:t>
      </w:r>
      <w:r w:rsidR="00977C6F">
        <w:t>n</w:t>
      </w:r>
      <w:r w:rsidR="008C4069">
        <w:t>a ugovore o nepravom depozitu opravdana ciljem od javnog interesa : likvid</w:t>
      </w:r>
      <w:r w:rsidR="00F80269">
        <w:t>iranjem</w:t>
      </w:r>
      <w:r w:rsidR="008C4069">
        <w:t>, u interesu zajednice (</w:t>
      </w:r>
      <w:r w:rsidRPr="00977C6F" w:rsidR="008C4069">
        <w:rPr>
          <w:i/>
        </w:rPr>
        <w:t>koinoniki oikonomia</w:t>
      </w:r>
      <w:r w:rsidRPr="00977C6F" w:rsidR="008C4069">
        <w:t>), pr</w:t>
      </w:r>
      <w:r w:rsidR="008C4069">
        <w:t xml:space="preserve">avnih odnosa stvorenih u tako dalekoj prošlosti da je njihovo postojanje postalo </w:t>
      </w:r>
      <w:r w:rsidRPr="00977C6F" w:rsidR="008C4069">
        <w:t>neizvesno</w:t>
      </w:r>
      <w:r w:rsidR="008C4069">
        <w:t>. Činjenica da je banka nastavila da uplaćuje kamate na račun podnosioca predstavke ne predstavlja, prema Apelacionom sudu,</w:t>
      </w:r>
      <w:r w:rsidR="002B6583">
        <w:t xml:space="preserve"> </w:t>
      </w:r>
      <w:r w:rsidR="008C4069">
        <w:t xml:space="preserve">čin priznavanja </w:t>
      </w:r>
      <w:r w:rsidR="00F0435D">
        <w:t>prava</w:t>
      </w:r>
      <w:r w:rsidR="008C4069">
        <w:t xml:space="preserve"> podnosioca predstavke koji bi mogao da </w:t>
      </w:r>
      <w:r w:rsidR="007E2A38">
        <w:t>predstavlja prekid dvadesetogodišnjeg zastarevanja</w:t>
      </w:r>
      <w:r w:rsidR="00D80230">
        <w:t xml:space="preserve">. U slučaju bankarskih depozita, </w:t>
      </w:r>
      <w:r w:rsidR="006B5350">
        <w:t>do prekida pomenutih rokova može doći samo</w:t>
      </w:r>
      <w:r w:rsidR="00D80230">
        <w:t xml:space="preserve"> novim činom depo</w:t>
      </w:r>
      <w:r w:rsidR="006B5350">
        <w:t>novanja ili povlačenja depozita</w:t>
      </w:r>
      <w:r w:rsidR="00D80230">
        <w:t xml:space="preserve">, </w:t>
      </w:r>
      <w:r w:rsidR="006B5350">
        <w:t xml:space="preserve">novčanim </w:t>
      </w:r>
      <w:r w:rsidR="00D80230">
        <w:t xml:space="preserve">transferom ili deponovanjem kamata. Apelacioni sud se, između ostalog, pozvao na dekret br. </w:t>
      </w:r>
      <w:r w:rsidRPr="00D80230" w:rsidR="00D80230">
        <w:t>1195/1942, k</w:t>
      </w:r>
      <w:r w:rsidR="00D80230">
        <w:t>o</w:t>
      </w:r>
      <w:r w:rsidRPr="00D80230" w:rsidR="00D80230">
        <w:t xml:space="preserve">jim se predviđa da novčane sume uložene na bankovne račune </w:t>
      </w:r>
      <w:r w:rsidR="00D80230">
        <w:t xml:space="preserve">na kojima </w:t>
      </w:r>
      <w:r w:rsidR="007E2A38">
        <w:t>nema</w:t>
      </w:r>
      <w:r w:rsidR="00D80230">
        <w:t xml:space="preserve"> nikakvih aktivnosti tokom dvadeset</w:t>
      </w:r>
      <w:r w:rsidR="007E2A38">
        <w:t xml:space="preserve"> godina</w:t>
      </w:r>
      <w:r w:rsidRPr="00D80230" w:rsidR="00D80230">
        <w:t xml:space="preserve"> po isteku pomenutog roka</w:t>
      </w:r>
      <w:r w:rsidR="007E2A38">
        <w:t xml:space="preserve"> postaju vlasništvo države</w:t>
      </w:r>
      <w:r w:rsidRPr="00D80230" w:rsidR="00D80230">
        <w:t>.</w:t>
      </w:r>
    </w:p>
    <w:p w:rsidR="002B6583" w:rsidP="00905B01" w:rsidRDefault="00905B01">
      <w:pPr>
        <w:pStyle w:val="JuPara"/>
      </w:pPr>
      <w:r w:rsidRPr="00977C6F">
        <w:fldChar w:fldCharType="begin"/>
      </w:r>
      <w:r w:rsidRPr="00977C6F">
        <w:instrText xml:space="preserve"> SEQ level0 \*arabic </w:instrText>
      </w:r>
      <w:r w:rsidRPr="00977C6F">
        <w:fldChar w:fldCharType="separate"/>
      </w:r>
      <w:r w:rsidRPr="00977C6F">
        <w:rPr>
          <w:noProof/>
        </w:rPr>
        <w:t>10</w:t>
      </w:r>
      <w:r w:rsidRPr="00977C6F">
        <w:fldChar w:fldCharType="end"/>
      </w:r>
      <w:r w:rsidRPr="00977C6F">
        <w:t>. </w:t>
      </w:r>
      <w:r w:rsidR="005B4CD7">
        <w:rPr>
          <w:color w:val="FF0000"/>
        </w:rPr>
        <w:t xml:space="preserve"> </w:t>
      </w:r>
      <w:r w:rsidR="005B4CD7">
        <w:t xml:space="preserve">Apelacioni sud je takođe odbacio prigovor podnosioca predstavke prema kojem je </w:t>
      </w:r>
      <w:r w:rsidR="00665DE2">
        <w:t xml:space="preserve">navodno došlo do </w:t>
      </w:r>
      <w:r w:rsidRPr="00977C6F" w:rsidR="00665DE2">
        <w:t>zastoja</w:t>
      </w:r>
      <w:r w:rsidR="00665DE2">
        <w:t xml:space="preserve"> zastarevanja </w:t>
      </w:r>
      <w:r w:rsidR="00977C6F">
        <w:t>usled</w:t>
      </w:r>
      <w:r w:rsidR="005B4CD7">
        <w:t xml:space="preserve"> više sile (njegovih i bolesti njegove supruge). Apelacioni sud je zaključio da </w:t>
      </w:r>
      <w:r w:rsidR="00665DE2">
        <w:t xml:space="preserve">u ovom predmetu </w:t>
      </w:r>
      <w:r w:rsidR="005B4CD7">
        <w:t>nije bilo s</w:t>
      </w:r>
      <w:r w:rsidR="00665DE2">
        <w:t>l</w:t>
      </w:r>
      <w:r w:rsidR="005B4CD7">
        <w:t xml:space="preserve">učaja više sile s obzirom da nije bilo kontinuiteta u tim bolestima tokom celog trajanja </w:t>
      </w:r>
      <w:r w:rsidR="00665DE2">
        <w:t>zastarevanja,</w:t>
      </w:r>
      <w:r w:rsidR="005B4CD7">
        <w:t xml:space="preserve"> a posebno tokom </w:t>
      </w:r>
      <w:r w:rsidR="00665DE2">
        <w:t xml:space="preserve">njegovih </w:t>
      </w:r>
      <w:r w:rsidR="005B4CD7">
        <w:t xml:space="preserve">poslednjih šest meseci, tako da podnosilac predstavke nije bio </w:t>
      </w:r>
      <w:r w:rsidR="00977C6F">
        <w:t>sprečen</w:t>
      </w:r>
      <w:r w:rsidR="005B4CD7">
        <w:t xml:space="preserve"> da sam ili posredstvom nekog zastupnika podigne deponovanu sumu i pripadajuće kamate.</w:t>
      </w:r>
    </w:p>
    <w:p w:rsidR="002B6583" w:rsidP="00905B01" w:rsidRDefault="00905B01">
      <w:pPr>
        <w:pStyle w:val="JuPara"/>
        <w:rPr>
          <w:color w:val="FF0000"/>
          <w:lang w:val="en-US"/>
        </w:rPr>
      </w:pPr>
      <w:r w:rsidRPr="00977C6F">
        <w:fldChar w:fldCharType="begin"/>
      </w:r>
      <w:r w:rsidRPr="00977C6F">
        <w:instrText xml:space="preserve"> SEQ level0 \*arabic </w:instrText>
      </w:r>
      <w:r w:rsidRPr="00977C6F">
        <w:fldChar w:fldCharType="separate"/>
      </w:r>
      <w:r w:rsidRPr="00977C6F">
        <w:rPr>
          <w:noProof/>
        </w:rPr>
        <w:t>11</w:t>
      </w:r>
      <w:r w:rsidRPr="00977C6F">
        <w:fldChar w:fldCharType="end"/>
      </w:r>
      <w:r w:rsidRPr="00977C6F">
        <w:t>.  </w:t>
      </w:r>
      <w:r w:rsidRPr="005B4CD7" w:rsidR="005B4CD7">
        <w:rPr>
          <w:lang w:val="en-US"/>
        </w:rPr>
        <w:t>Podnosilac predstavke</w:t>
      </w:r>
      <w:r w:rsidRPr="005B4CD7" w:rsidR="005B4CD7">
        <w:rPr>
          <w:color w:val="FF0000"/>
          <w:lang w:val="en-US"/>
        </w:rPr>
        <w:t xml:space="preserve"> </w:t>
      </w:r>
      <w:r w:rsidRPr="005B4CD7" w:rsidR="005B4CD7">
        <w:rPr>
          <w:lang w:val="en-US"/>
        </w:rPr>
        <w:t>se potom obratio Kasacionom sudu.</w:t>
      </w:r>
      <w:r w:rsidRPr="005B4CD7" w:rsidR="005B4CD7">
        <w:rPr>
          <w:color w:val="FF0000"/>
          <w:lang w:val="en-US"/>
        </w:rPr>
        <w:t xml:space="preserve"> </w:t>
      </w:r>
      <w:r w:rsidRPr="005B4CD7" w:rsidR="005B4CD7">
        <w:rPr>
          <w:lang w:val="en-US"/>
        </w:rPr>
        <w:t>Pozvao se na član 1 Prvog protokola Konvencije.</w:t>
      </w:r>
    </w:p>
    <w:p w:rsidR="002B6583" w:rsidP="005B4CD7" w:rsidRDefault="00905B01">
      <w:pPr>
        <w:pStyle w:val="JuPara"/>
      </w:pPr>
      <w:r w:rsidRPr="00977C6F">
        <w:fldChar w:fldCharType="begin"/>
      </w:r>
      <w:r w:rsidRPr="00977C6F">
        <w:instrText xml:space="preserve"> SEQ level0 \*arabic </w:instrText>
      </w:r>
      <w:r w:rsidRPr="00977C6F">
        <w:fldChar w:fldCharType="separate"/>
      </w:r>
      <w:r w:rsidRPr="00977C6F">
        <w:rPr>
          <w:noProof/>
        </w:rPr>
        <w:t>12</w:t>
      </w:r>
      <w:r w:rsidRPr="00977C6F">
        <w:fldChar w:fldCharType="end"/>
      </w:r>
      <w:r w:rsidRPr="00977C6F">
        <w:t>.</w:t>
      </w:r>
      <w:r w:rsidRPr="000364BF">
        <w:rPr>
          <w:color w:val="FF0000"/>
        </w:rPr>
        <w:t>  </w:t>
      </w:r>
      <w:r w:rsidR="00665DE2">
        <w:t>Kasacioni sud, 12. januara 2009,</w:t>
      </w:r>
      <w:r w:rsidR="005B4CD7">
        <w:t xml:space="preserve"> odbacuje žalbu kao neosnovanu sa obrazloženjem da primenom pomenutog zakonodavstva nije povređeno pravo podnosioca predstavke na </w:t>
      </w:r>
      <w:r w:rsidR="00665DE2">
        <w:t>zaštitu</w:t>
      </w:r>
      <w:r w:rsidR="005B4CD7">
        <w:t xml:space="preserve"> imovine u smislu člana 1 Prvog protokola (presuda br. 50/2009). Kon</w:t>
      </w:r>
      <w:r w:rsidR="00665DE2">
        <w:t xml:space="preserve">kretno, Kasacioni sud smatra </w:t>
      </w:r>
      <w:r w:rsidR="005B4CD7">
        <w:t>:</w:t>
      </w:r>
    </w:p>
    <w:p w:rsidRPr="0071782E" w:rsidR="0071782E" w:rsidP="0071782E" w:rsidRDefault="00977C6F">
      <w:pPr>
        <w:pStyle w:val="JuQuot"/>
      </w:pPr>
      <w:r w:rsidRPr="0071782E">
        <w:t xml:space="preserve"> </w:t>
      </w:r>
      <w:r w:rsidRPr="0071782E" w:rsidR="0071782E">
        <w:t>« (</w:t>
      </w:r>
      <w:r w:rsidR="002B6583">
        <w:t>...</w:t>
      </w:r>
      <w:r w:rsidRPr="0071782E" w:rsidR="0071782E">
        <w:t>) s obzirom da je prethodno pomenuta zastar</w:t>
      </w:r>
      <w:r>
        <w:t>elost</w:t>
      </w:r>
      <w:r w:rsidRPr="0071782E" w:rsidR="0071782E">
        <w:t>, kao i svaka zastar</w:t>
      </w:r>
      <w:r>
        <w:t>elost</w:t>
      </w:r>
      <w:r w:rsidRPr="0071782E" w:rsidR="0071782E">
        <w:t xml:space="preserve">, nametnuta </w:t>
      </w:r>
      <w:r w:rsidRPr="00977C6F" w:rsidR="00192E4D">
        <w:t>javnim</w:t>
      </w:r>
      <w:r w:rsidRPr="0071782E" w:rsidR="0071782E">
        <w:t xml:space="preserve"> interesom, koji nalaže regulisanje odnosa proisteklih iz prošlosti koji su s toga postali </w:t>
      </w:r>
      <w:r w:rsidRPr="00977C6F" w:rsidR="0071782E">
        <w:t>neizvesni</w:t>
      </w:r>
      <w:r w:rsidRPr="0071782E" w:rsidR="0071782E">
        <w:t xml:space="preserve">, i </w:t>
      </w:r>
      <w:r w:rsidR="0071782E">
        <w:t>diktirana interesom zajednice, sporne odredbe nisu protivne [Prvom protok</w:t>
      </w:r>
      <w:r w:rsidRPr="0071782E" w:rsidR="0071782E">
        <w:t>ol</w:t>
      </w:r>
      <w:r w:rsidR="0071782E">
        <w:t>u</w:t>
      </w:r>
      <w:r w:rsidRPr="0071782E" w:rsidR="0071782E">
        <w:t>]. »</w:t>
      </w:r>
    </w:p>
    <w:p w:rsidR="002B6583" w:rsidP="00905B01" w:rsidRDefault="00905B01">
      <w:pPr>
        <w:pStyle w:val="JuPara"/>
      </w:pPr>
      <w:r w:rsidRPr="002D1399">
        <w:fldChar w:fldCharType="begin"/>
      </w:r>
      <w:r w:rsidRPr="002D1399">
        <w:instrText xml:space="preserve"> SEQ level0 \*arabic </w:instrText>
      </w:r>
      <w:r w:rsidRPr="002D1399">
        <w:fldChar w:fldCharType="separate"/>
      </w:r>
      <w:r w:rsidRPr="002D1399">
        <w:rPr>
          <w:noProof/>
        </w:rPr>
        <w:t>13</w:t>
      </w:r>
      <w:r w:rsidRPr="002D1399">
        <w:fldChar w:fldCharType="end"/>
      </w:r>
      <w:r w:rsidRPr="002D1399">
        <w:t>.</w:t>
      </w:r>
      <w:r w:rsidRPr="000364BF">
        <w:rPr>
          <w:color w:val="FF0000"/>
        </w:rPr>
        <w:t>  </w:t>
      </w:r>
      <w:r w:rsidR="0071782E">
        <w:t xml:space="preserve">Ta presuda je </w:t>
      </w:r>
      <w:r w:rsidRPr="00330AA7" w:rsidR="0071782E">
        <w:t>raz</w:t>
      </w:r>
      <w:r w:rsidRPr="00330AA7" w:rsidR="00330AA7">
        <w:t>matrana</w:t>
      </w:r>
      <w:r w:rsidRPr="00330AA7" w:rsidR="0071782E">
        <w:t xml:space="preserve"> i </w:t>
      </w:r>
      <w:r w:rsidR="00330AA7">
        <w:t>potvr</w:t>
      </w:r>
      <w:r w:rsidR="00330AA7">
        <w:rPr>
          <w:lang w:val="sr-Latn-CS"/>
        </w:rPr>
        <w:t>đena</w:t>
      </w:r>
      <w:r w:rsidR="0071782E">
        <w:t xml:space="preserve"> 9. juna 2009. </w:t>
      </w:r>
      <w:r w:rsidR="00192E4D">
        <w:t>g</w:t>
      </w:r>
      <w:r w:rsidR="0071782E">
        <w:t>odine.</w:t>
      </w:r>
    </w:p>
    <w:p w:rsidRPr="00A6337F" w:rsidR="00905B01" w:rsidP="00905B01" w:rsidRDefault="00905B01">
      <w:pPr>
        <w:pStyle w:val="JuHIRoman"/>
        <w:outlineLvl w:val="0"/>
      </w:pPr>
      <w:r w:rsidRPr="00A6337F">
        <w:t>II.  </w:t>
      </w:r>
      <w:r w:rsidR="00AD6B9E">
        <w:t>RELEVANTNO DOMAĆE PRAVO I PRAKSA</w:t>
      </w:r>
    </w:p>
    <w:p w:rsidRPr="0071782E" w:rsidR="00905B01" w:rsidP="00905B01" w:rsidRDefault="00905B01">
      <w:pPr>
        <w:pStyle w:val="JuPara"/>
        <w:rPr>
          <w:color w:val="FF0000"/>
        </w:rPr>
      </w:pPr>
      <w:r w:rsidRPr="00A6337F">
        <w:fldChar w:fldCharType="begin"/>
      </w:r>
      <w:r w:rsidRPr="00A6337F">
        <w:instrText xml:space="preserve"> SEQ level0 \*arabic </w:instrText>
      </w:r>
      <w:r w:rsidRPr="00A6337F">
        <w:fldChar w:fldCharType="separate"/>
      </w:r>
      <w:r>
        <w:rPr>
          <w:noProof/>
        </w:rPr>
        <w:t>14</w:t>
      </w:r>
      <w:r w:rsidRPr="00A6337F">
        <w:fldChar w:fldCharType="end"/>
      </w:r>
      <w:r w:rsidRPr="00A6337F">
        <w:t>.  </w:t>
      </w:r>
      <w:r w:rsidR="0071782E">
        <w:t xml:space="preserve">Član 3 </w:t>
      </w:r>
      <w:r w:rsidR="00FC70FB">
        <w:t xml:space="preserve">zakonskog </w:t>
      </w:r>
      <w:r w:rsidR="0071782E">
        <w:t>dekreta br. 1195/1942 « o zastar</w:t>
      </w:r>
      <w:r w:rsidR="00FC70FB">
        <w:t>elosti</w:t>
      </w:r>
      <w:r w:rsidR="0071782E">
        <w:t xml:space="preserve"> bankovnih depozita i ostalih vrednosti i potraživanja </w:t>
      </w:r>
      <w:r w:rsidR="00FC70FB">
        <w:t>u korist države</w:t>
      </w:r>
      <w:r w:rsidR="0071782E">
        <w:t>» glasi :</w:t>
      </w:r>
    </w:p>
    <w:p w:rsidRPr="006608BA" w:rsidR="006608BA" w:rsidP="00905B01" w:rsidRDefault="006608BA">
      <w:pPr>
        <w:pStyle w:val="JuHArticle"/>
        <w:rPr>
          <w:lang w:val="en-US"/>
        </w:rPr>
      </w:pPr>
      <w:r w:rsidRPr="006608BA">
        <w:rPr>
          <w:lang w:val="en-US"/>
        </w:rPr>
        <w:t>Zastar</w:t>
      </w:r>
      <w:r w:rsidR="00FC70FB">
        <w:rPr>
          <w:lang w:val="en-US"/>
        </w:rPr>
        <w:t>elost</w:t>
      </w:r>
      <w:r w:rsidRPr="006608BA">
        <w:rPr>
          <w:lang w:val="en-US"/>
        </w:rPr>
        <w:t xml:space="preserve"> depozita i kamata u korist države</w:t>
      </w:r>
    </w:p>
    <w:p w:rsidRPr="002B6583" w:rsidR="006608BA" w:rsidP="00905B01" w:rsidRDefault="00FC70FB">
      <w:pPr>
        <w:pStyle w:val="JuQuot"/>
        <w:rPr>
          <w:lang w:val="en-US"/>
        </w:rPr>
      </w:pPr>
      <w:r w:rsidRPr="002B6583">
        <w:rPr>
          <w:lang w:val="en-US"/>
        </w:rPr>
        <w:t xml:space="preserve"> </w:t>
      </w:r>
      <w:r w:rsidRPr="002B6583" w:rsidR="00905B01">
        <w:rPr>
          <w:lang w:val="en-US"/>
        </w:rPr>
        <w:t>«</w:t>
      </w:r>
      <w:r w:rsidRPr="002B6583" w:rsidR="00905B01">
        <w:rPr>
          <w:color w:val="FF0000"/>
          <w:lang w:val="en-US"/>
        </w:rPr>
        <w:t> </w:t>
      </w:r>
      <w:r w:rsidRPr="002B6583" w:rsidR="00590888">
        <w:rPr>
          <w:lang w:val="en-US"/>
        </w:rPr>
        <w:t>Novčani</w:t>
      </w:r>
      <w:r w:rsidRPr="002B6583" w:rsidR="006608BA">
        <w:rPr>
          <w:lang w:val="en-US"/>
        </w:rPr>
        <w:t xml:space="preserve"> depoziti u </w:t>
      </w:r>
      <w:r w:rsidRPr="002B6583">
        <w:rPr>
          <w:lang w:val="en-US"/>
        </w:rPr>
        <w:t>nacionalnim</w:t>
      </w:r>
      <w:r w:rsidRPr="002B6583" w:rsidR="006608BA">
        <w:rPr>
          <w:lang w:val="en-US"/>
        </w:rPr>
        <w:t xml:space="preserve"> bankama sa pripadajućim kamatama (</w:t>
      </w:r>
      <w:r w:rsidRPr="002B6583" w:rsidR="002B6583">
        <w:rPr>
          <w:lang w:val="en-US"/>
        </w:rPr>
        <w:t>...</w:t>
      </w:r>
      <w:r w:rsidRPr="002B6583" w:rsidR="006608BA">
        <w:rPr>
          <w:lang w:val="en-US"/>
        </w:rPr>
        <w:t>)</w:t>
      </w:r>
      <w:r w:rsidRPr="002B6583" w:rsidR="002B6583">
        <w:rPr>
          <w:lang w:val="en-US"/>
        </w:rPr>
        <w:t xml:space="preserve"> </w:t>
      </w:r>
      <w:r w:rsidRPr="002B6583" w:rsidR="00192E4D">
        <w:rPr>
          <w:lang w:val="en-US"/>
        </w:rPr>
        <w:t>pravosnažno</w:t>
      </w:r>
      <w:r w:rsidRPr="002B6583" w:rsidR="006608BA">
        <w:rPr>
          <w:lang w:val="en-US"/>
        </w:rPr>
        <w:t xml:space="preserve"> postaju vlasništvo države kada ih </w:t>
      </w:r>
      <w:r w:rsidRPr="002B6583">
        <w:rPr>
          <w:lang w:val="en-US"/>
        </w:rPr>
        <w:t>vlasnik</w:t>
      </w:r>
      <w:r w:rsidRPr="002B6583" w:rsidR="006608BA">
        <w:rPr>
          <w:lang w:val="en-US"/>
        </w:rPr>
        <w:t xml:space="preserve"> računa ne potražuje ili kada nisu predmet </w:t>
      </w:r>
      <w:r w:rsidRPr="002B6583">
        <w:rPr>
          <w:lang w:val="en-US"/>
        </w:rPr>
        <w:t>promena</w:t>
      </w:r>
      <w:r w:rsidRPr="002B6583" w:rsidR="006608BA">
        <w:rPr>
          <w:lang w:val="en-US"/>
        </w:rPr>
        <w:t xml:space="preserve"> po tom računu tokom perioda od dvadeset godina računajući od momenta kada su postali </w:t>
      </w:r>
      <w:r w:rsidRPr="002B6583" w:rsidR="00EE56F9">
        <w:rPr>
          <w:lang w:val="en-US"/>
        </w:rPr>
        <w:t>raspoloživi</w:t>
      </w:r>
      <w:r w:rsidRPr="002B6583" w:rsidR="006608BA">
        <w:rPr>
          <w:lang w:val="en-US"/>
        </w:rPr>
        <w:t xml:space="preserve"> i, što se tiče kamata, tokom perioda od pet godina računajući od momenta njihovog dospeća. »</w:t>
      </w:r>
    </w:p>
    <w:p w:rsidRPr="00553437" w:rsidR="00553437" w:rsidP="00905B01" w:rsidRDefault="00905B01">
      <w:pPr>
        <w:pStyle w:val="JuPara"/>
      </w:pPr>
      <w:r>
        <w:fldChar w:fldCharType="begin"/>
      </w:r>
      <w:r>
        <w:instrText xml:space="preserve"> SEQ level0 \*arabic </w:instrText>
      </w:r>
      <w:r>
        <w:fldChar w:fldCharType="separate"/>
      </w:r>
      <w:r>
        <w:rPr>
          <w:noProof/>
        </w:rPr>
        <w:t>15</w:t>
      </w:r>
      <w:r>
        <w:fldChar w:fldCharType="end"/>
      </w:r>
      <w:r>
        <w:t>.  </w:t>
      </w:r>
      <w:r w:rsidR="00FC70FB">
        <w:t>Zakonski d</w:t>
      </w:r>
      <w:r w:rsidR="00553437">
        <w:t xml:space="preserve">ekret br. </w:t>
      </w:r>
      <w:r w:rsidRPr="00553437" w:rsidR="00553437">
        <w:t xml:space="preserve">1195/1942 je ratifikovan aktom br. 315 Saveta ministara od 30. </w:t>
      </w:r>
      <w:r w:rsidR="00192E4D">
        <w:t>m</w:t>
      </w:r>
      <w:r w:rsidRPr="00553437" w:rsidR="00553437">
        <w:t>aja 1946. i ostaje na snazi i po usvajanju Građanskog zakonika.</w:t>
      </w:r>
    </w:p>
    <w:p w:rsidR="00553437" w:rsidP="00905B01" w:rsidRDefault="00553437">
      <w:pPr>
        <w:pStyle w:val="JuPara"/>
      </w:pPr>
    </w:p>
    <w:p w:rsidR="002B6583" w:rsidP="00905B01" w:rsidRDefault="00905B01">
      <w:pPr>
        <w:pStyle w:val="JuPara"/>
      </w:pPr>
      <w:r>
        <w:fldChar w:fldCharType="begin"/>
      </w:r>
      <w:r>
        <w:instrText xml:space="preserve"> SEQ level0 \*arabic </w:instrText>
      </w:r>
      <w:r>
        <w:fldChar w:fldCharType="separate"/>
      </w:r>
      <w:r>
        <w:rPr>
          <w:noProof/>
        </w:rPr>
        <w:t>16</w:t>
      </w:r>
      <w:r>
        <w:fldChar w:fldCharType="end"/>
      </w:r>
      <w:r>
        <w:t>.  </w:t>
      </w:r>
      <w:r w:rsidR="00553437">
        <w:t xml:space="preserve">Na osnovu odredbi tog </w:t>
      </w:r>
      <w:r w:rsidR="00FC70FB">
        <w:t xml:space="preserve">zakonskog </w:t>
      </w:r>
      <w:r w:rsidR="00553437">
        <w:t>dekreta, umesto da zastar</w:t>
      </w:r>
      <w:r w:rsidR="00FC70FB">
        <w:t>elost</w:t>
      </w:r>
      <w:r w:rsidR="00553437">
        <w:t xml:space="preserve"> određenih </w:t>
      </w:r>
      <w:r w:rsidR="00755B23">
        <w:t>potraživanja</w:t>
      </w:r>
      <w:r w:rsidR="00553437">
        <w:t xml:space="preserve"> i </w:t>
      </w:r>
      <w:r w:rsidR="00755B23">
        <w:t>prav</w:t>
      </w:r>
      <w:r w:rsidR="00F0435D">
        <w:t>a</w:t>
      </w:r>
      <w:r w:rsidR="00553437">
        <w:t xml:space="preserve">, bude u korist dužnika kao što je slučaj po </w:t>
      </w:r>
      <w:r w:rsidRPr="006D202E" w:rsidR="00FC70FB">
        <w:t>redovnom</w:t>
      </w:r>
      <w:r w:rsidRPr="006D202E" w:rsidR="00553437">
        <w:t xml:space="preserve"> </w:t>
      </w:r>
      <w:r w:rsidR="00FC70FB">
        <w:t>pravu</w:t>
      </w:r>
      <w:r w:rsidR="00553437">
        <w:t>, odvija</w:t>
      </w:r>
      <w:r w:rsidR="00FC70FB">
        <w:t xml:space="preserve"> se</w:t>
      </w:r>
      <w:r w:rsidR="00553437">
        <w:t xml:space="preserve"> u korist države. </w:t>
      </w:r>
      <w:r w:rsidRPr="00553437" w:rsidR="00553437">
        <w:t xml:space="preserve">Pored depozita pri </w:t>
      </w:r>
      <w:r w:rsidRPr="006D202E" w:rsidR="00553437">
        <w:t xml:space="preserve">bankama i kreditnim ustanovama, ta potraživanja i </w:t>
      </w:r>
      <w:r w:rsidR="00755B23">
        <w:t>prava</w:t>
      </w:r>
      <w:r w:rsidRPr="006D202E" w:rsidR="00553437">
        <w:t xml:space="preserve"> obuhvataju</w:t>
      </w:r>
      <w:r w:rsidR="002B6583">
        <w:t xml:space="preserve"> </w:t>
      </w:r>
      <w:r w:rsidRPr="006D202E" w:rsidR="00553437">
        <w:t>i</w:t>
      </w:r>
      <w:r w:rsidR="002B6583">
        <w:t xml:space="preserve"> </w:t>
      </w:r>
      <w:r w:rsidRPr="006D202E" w:rsidR="00553437">
        <w:t xml:space="preserve">depozite proistekle iz kapitala i renti menica i hartija od vrednosti </w:t>
      </w:r>
      <w:r w:rsidRPr="006D202E" w:rsidR="00E167A8">
        <w:t xml:space="preserve">koje postoje </w:t>
      </w:r>
      <w:r w:rsidRPr="006D202E" w:rsidR="00553437">
        <w:t>pri bankama i deoničarskim društvima.</w:t>
      </w:r>
    </w:p>
    <w:p w:rsidRPr="006D202E" w:rsidR="00553437" w:rsidP="00553437" w:rsidRDefault="00553437">
      <w:pPr>
        <w:pStyle w:val="JuPara"/>
        <w:rPr>
          <w:lang w:val="en-US"/>
        </w:rPr>
      </w:pPr>
      <w:r w:rsidRPr="006D202E">
        <w:rPr>
          <w:lang w:val="en-US"/>
        </w:rPr>
        <w:t>(...)</w:t>
      </w:r>
    </w:p>
    <w:p w:rsidRPr="001F63F0" w:rsidR="001F63F0" w:rsidP="00905B01" w:rsidRDefault="00905B01">
      <w:pPr>
        <w:pStyle w:val="JuPara"/>
        <w:rPr>
          <w:lang w:val="en-US"/>
        </w:rPr>
      </w:pPr>
      <w:r>
        <w:fldChar w:fldCharType="begin"/>
      </w:r>
      <w:r w:rsidRPr="001F63F0">
        <w:rPr>
          <w:lang w:val="en-US"/>
        </w:rPr>
        <w:instrText xml:space="preserve"> SEQ level0 \*arabic </w:instrText>
      </w:r>
      <w:r w:rsidRPr="001F63F0" w:rsidR="004F0ECC">
        <w:rPr>
          <w:lang w:val="en-US"/>
        </w:rPr>
        <w:instrText>\R18</w:instrText>
      </w:r>
      <w:r>
        <w:fldChar w:fldCharType="separate"/>
      </w:r>
      <w:r w:rsidRPr="001F63F0" w:rsidR="004F0ECC">
        <w:rPr>
          <w:noProof/>
          <w:lang w:val="en-US"/>
        </w:rPr>
        <w:t>18</w:t>
      </w:r>
      <w:r>
        <w:fldChar w:fldCharType="end"/>
      </w:r>
      <w:r w:rsidRPr="001F63F0">
        <w:rPr>
          <w:lang w:val="en-US"/>
        </w:rPr>
        <w:t>.  </w:t>
      </w:r>
      <w:r w:rsidRPr="001F63F0" w:rsidR="001F63F0">
        <w:rPr>
          <w:lang w:val="en-US"/>
        </w:rPr>
        <w:t xml:space="preserve">Relevantne odredbe </w:t>
      </w:r>
      <w:r w:rsidR="006D202E">
        <w:rPr>
          <w:lang w:val="en-US"/>
        </w:rPr>
        <w:t>G</w:t>
      </w:r>
      <w:r w:rsidRPr="001F63F0" w:rsidR="001F63F0">
        <w:rPr>
          <w:lang w:val="en-US"/>
        </w:rPr>
        <w:t>rađanskog zakonika glase :</w:t>
      </w:r>
    </w:p>
    <w:p w:rsidRPr="006D202E" w:rsidR="00905B01" w:rsidP="00905B01" w:rsidRDefault="002306F8">
      <w:pPr>
        <w:pStyle w:val="JuHArticle"/>
        <w:rPr>
          <w:lang w:val="en-US"/>
        </w:rPr>
      </w:pPr>
      <w:r w:rsidRPr="006D202E">
        <w:rPr>
          <w:lang w:val="en-US"/>
        </w:rPr>
        <w:t>Član</w:t>
      </w:r>
      <w:r w:rsidRPr="006D202E" w:rsidR="00905B01">
        <w:rPr>
          <w:lang w:val="en-US"/>
        </w:rPr>
        <w:t xml:space="preserve"> 247</w:t>
      </w:r>
    </w:p>
    <w:p w:rsidR="002B6583" w:rsidP="00905B01" w:rsidRDefault="002306F8">
      <w:pPr>
        <w:pStyle w:val="JuHArticle"/>
        <w:spacing w:before="120"/>
        <w:rPr>
          <w:lang w:val="en-US"/>
        </w:rPr>
      </w:pPr>
      <w:r w:rsidRPr="006D202E">
        <w:rPr>
          <w:lang w:val="en-US"/>
        </w:rPr>
        <w:t>Zastar</w:t>
      </w:r>
      <w:r w:rsidRPr="006D202E" w:rsidR="000F25F0">
        <w:rPr>
          <w:lang w:val="en-US"/>
        </w:rPr>
        <w:t>elost</w:t>
      </w:r>
      <w:r w:rsidRPr="006D202E">
        <w:rPr>
          <w:lang w:val="en-US"/>
        </w:rPr>
        <w:t xml:space="preserve"> </w:t>
      </w:r>
      <w:r w:rsidR="00F0435D">
        <w:rPr>
          <w:lang w:val="en-US"/>
        </w:rPr>
        <w:t>prava</w:t>
      </w:r>
    </w:p>
    <w:p w:rsidRPr="006D202E" w:rsidR="00905B01" w:rsidP="00905B01" w:rsidRDefault="002306F8">
      <w:pPr>
        <w:pStyle w:val="JuQuot"/>
        <w:rPr>
          <w:lang w:val="en-US"/>
        </w:rPr>
      </w:pPr>
      <w:r w:rsidRPr="006D202E">
        <w:rPr>
          <w:lang w:val="en-US"/>
        </w:rPr>
        <w:t>« Pravo da se od drugoga zahteva neko činjenje ili uzdržavanje od istog (</w:t>
      </w:r>
      <w:r w:rsidR="00F0435D">
        <w:rPr>
          <w:lang w:val="en-US"/>
        </w:rPr>
        <w:t>prav</w:t>
      </w:r>
      <w:r w:rsidRPr="00755B23" w:rsidR="00755B23">
        <w:rPr>
          <w:lang w:val="en-US"/>
        </w:rPr>
        <w:t>â</w:t>
      </w:r>
      <w:r w:rsidRPr="006D202E">
        <w:rPr>
          <w:lang w:val="en-US"/>
        </w:rPr>
        <w:t>) podleže zastar</w:t>
      </w:r>
      <w:r w:rsidRPr="006D202E" w:rsidR="006D202E">
        <w:rPr>
          <w:lang w:val="en-US"/>
        </w:rPr>
        <w:t>evanju.</w:t>
      </w:r>
      <w:r w:rsidRPr="006D202E" w:rsidR="00905B01">
        <w:rPr>
          <w:lang w:val="en-US"/>
        </w:rPr>
        <w:t> »</w:t>
      </w:r>
    </w:p>
    <w:p w:rsidRPr="006D202E" w:rsidR="00905B01" w:rsidP="00905B01" w:rsidRDefault="00E167A8">
      <w:pPr>
        <w:pStyle w:val="JuHArticle"/>
        <w:rPr>
          <w:lang w:val="en-US"/>
        </w:rPr>
      </w:pPr>
      <w:r w:rsidRPr="006D202E">
        <w:rPr>
          <w:lang w:val="en-US"/>
        </w:rPr>
        <w:t>Član</w:t>
      </w:r>
      <w:r w:rsidRPr="006D202E" w:rsidR="00905B01">
        <w:rPr>
          <w:lang w:val="en-US"/>
        </w:rPr>
        <w:t xml:space="preserve"> 249</w:t>
      </w:r>
    </w:p>
    <w:p w:rsidRPr="006D202E" w:rsidR="00905B01" w:rsidP="00905B01" w:rsidRDefault="00E167A8">
      <w:pPr>
        <w:pStyle w:val="JuHArticle"/>
        <w:spacing w:before="120"/>
        <w:rPr>
          <w:lang w:val="en-US"/>
        </w:rPr>
      </w:pPr>
      <w:r w:rsidRPr="006D202E">
        <w:rPr>
          <w:lang w:val="en-US"/>
        </w:rPr>
        <w:t>Dvadesetogodišnje zastarevanje</w:t>
      </w:r>
    </w:p>
    <w:p w:rsidRPr="006D202E" w:rsidR="00905B01" w:rsidP="00905B01" w:rsidRDefault="006D202E">
      <w:pPr>
        <w:pStyle w:val="JuQuot"/>
        <w:rPr>
          <w:color w:val="FF0000"/>
          <w:lang w:val="en-US"/>
        </w:rPr>
      </w:pPr>
      <w:r w:rsidRPr="006D202E">
        <w:rPr>
          <w:lang w:val="en-US"/>
        </w:rPr>
        <w:t>«</w:t>
      </w:r>
      <w:r>
        <w:rPr>
          <w:lang w:val="en-US"/>
        </w:rPr>
        <w:t xml:space="preserve"> </w:t>
      </w:r>
      <w:r w:rsidR="00F0435D">
        <w:rPr>
          <w:lang w:val="en-US"/>
        </w:rPr>
        <w:t>Prav</w:t>
      </w:r>
      <w:r w:rsidR="00755B23">
        <w:rPr>
          <w:lang w:val="en-US"/>
        </w:rPr>
        <w:t>a</w:t>
      </w:r>
      <w:r w:rsidRPr="006D202E" w:rsidR="00DC4033">
        <w:rPr>
          <w:lang w:val="en-US"/>
        </w:rPr>
        <w:t xml:space="preserve"> zastareva</w:t>
      </w:r>
      <w:r w:rsidR="00755B23">
        <w:rPr>
          <w:lang w:val="en-US"/>
        </w:rPr>
        <w:t>ju</w:t>
      </w:r>
      <w:r w:rsidRPr="006D202E" w:rsidR="00DC4033">
        <w:rPr>
          <w:lang w:val="en-US"/>
        </w:rPr>
        <w:t xml:space="preserve"> za dvadeset godina ako ne postoji drugačija odredba</w:t>
      </w:r>
      <w:r w:rsidRPr="006D202E" w:rsidR="00DC4033">
        <w:rPr>
          <w:color w:val="FF0000"/>
          <w:lang w:val="en-US"/>
        </w:rPr>
        <w:t>.</w:t>
      </w:r>
      <w:r w:rsidRPr="006D202E" w:rsidR="00E167A8">
        <w:rPr>
          <w:lang w:val="en-US"/>
        </w:rPr>
        <w:t xml:space="preserve"> </w:t>
      </w:r>
      <w:r w:rsidRPr="00755B23" w:rsidR="00905B01">
        <w:rPr>
          <w:lang w:val="en-US"/>
        </w:rPr>
        <w:t>»</w:t>
      </w:r>
    </w:p>
    <w:p w:rsidRPr="00F0435D" w:rsidR="00905B01" w:rsidP="004F0ECC" w:rsidRDefault="004F0ECC">
      <w:pPr>
        <w:pStyle w:val="JuQuot"/>
      </w:pPr>
      <w:r w:rsidRPr="00F0435D">
        <w:t>(...)</w:t>
      </w:r>
    </w:p>
    <w:p w:rsidRPr="00E167A8" w:rsidR="00905B01" w:rsidP="00905B01" w:rsidRDefault="00E167A8">
      <w:pPr>
        <w:pStyle w:val="JuHArticle"/>
      </w:pPr>
      <w:r w:rsidRPr="00E167A8">
        <w:t>Član</w:t>
      </w:r>
      <w:r w:rsidRPr="00E167A8" w:rsidR="00905B01">
        <w:t xml:space="preserve"> 260</w:t>
      </w:r>
    </w:p>
    <w:p w:rsidRPr="00E167A8" w:rsidR="00905B01" w:rsidP="00905B01" w:rsidRDefault="00E167A8">
      <w:pPr>
        <w:pStyle w:val="JuHArticle"/>
        <w:spacing w:before="120"/>
      </w:pPr>
      <w:r w:rsidRPr="00E167A8">
        <w:t>Prekid</w:t>
      </w:r>
      <w:r w:rsidRPr="00E167A8" w:rsidR="00905B01">
        <w:t xml:space="preserve"> - </w:t>
      </w:r>
      <w:r w:rsidRPr="00E167A8">
        <w:t>Priznanje</w:t>
      </w:r>
    </w:p>
    <w:p w:rsidRPr="00F0435D" w:rsidR="00905B01" w:rsidP="00905B01" w:rsidRDefault="00905B01">
      <w:pPr>
        <w:pStyle w:val="JuQuot"/>
      </w:pPr>
      <w:r w:rsidRPr="00F0435D">
        <w:t>« </w:t>
      </w:r>
      <w:r w:rsidRPr="00F0435D" w:rsidR="004A551D">
        <w:t xml:space="preserve">Zastarevanje se prekida priznanjem </w:t>
      </w:r>
      <w:r w:rsidR="00755B23">
        <w:t>pravâ</w:t>
      </w:r>
      <w:r w:rsidRPr="00F0435D" w:rsidR="004A551D">
        <w:t>,</w:t>
      </w:r>
      <w:r w:rsidR="00755B23">
        <w:t xml:space="preserve"> </w:t>
      </w:r>
      <w:r w:rsidRPr="00F0435D" w:rsidR="004A551D">
        <w:t>na bilo koji način, od strane osobe ko</w:t>
      </w:r>
      <w:r w:rsidRPr="00F0435D" w:rsidR="000F25F0">
        <w:t xml:space="preserve">joj pripada </w:t>
      </w:r>
      <w:r w:rsidR="00755B23">
        <w:t xml:space="preserve">njihovo </w:t>
      </w:r>
      <w:r w:rsidRPr="00F0435D" w:rsidR="000F25F0">
        <w:t>ispunjenje (</w:t>
      </w:r>
      <w:r w:rsidRPr="00F0435D" w:rsidR="00875F66">
        <w:t>obveznik</w:t>
      </w:r>
      <w:r w:rsidRPr="00F0435D" w:rsidR="000F25F0">
        <w:t>).</w:t>
      </w:r>
      <w:r w:rsidR="002B6583">
        <w:t xml:space="preserve"> </w:t>
      </w:r>
      <w:r w:rsidRPr="00F0435D">
        <w:t>»</w:t>
      </w:r>
    </w:p>
    <w:p w:rsidRPr="00F0435D" w:rsidR="00905B01" w:rsidP="00905B01" w:rsidRDefault="004F0ECC">
      <w:pPr>
        <w:pStyle w:val="JuQuot"/>
      </w:pPr>
      <w:r w:rsidRPr="00F0435D">
        <w:t>(...)</w:t>
      </w:r>
    </w:p>
    <w:p w:rsidRPr="00E167A8" w:rsidR="00905B01" w:rsidP="00905B01" w:rsidRDefault="00E167A8">
      <w:pPr>
        <w:pStyle w:val="JuHArticle"/>
      </w:pPr>
      <w:r w:rsidRPr="00E167A8">
        <w:t>Član</w:t>
      </w:r>
      <w:r w:rsidRPr="00E167A8" w:rsidR="00905B01">
        <w:t xml:space="preserve"> 830</w:t>
      </w:r>
    </w:p>
    <w:p w:rsidRPr="00E167A8" w:rsidR="00905B01" w:rsidP="00905B01" w:rsidRDefault="00E167A8">
      <w:pPr>
        <w:pStyle w:val="JuHArticle"/>
        <w:spacing w:before="120"/>
      </w:pPr>
      <w:r w:rsidRPr="00E167A8">
        <w:t>Nepravi depozit</w:t>
      </w:r>
    </w:p>
    <w:p w:rsidRPr="00755B23" w:rsidR="00875F66" w:rsidP="00905B01" w:rsidRDefault="00905B01">
      <w:pPr>
        <w:pStyle w:val="JuQuot"/>
        <w:spacing w:after="240"/>
      </w:pPr>
      <w:r w:rsidRPr="00755B23">
        <w:t>« </w:t>
      </w:r>
      <w:r w:rsidR="00875F66">
        <w:t>Depozit određene sume novca ili druge zamenjive stvari, u slučaju sumnje, smatraće se zajmom ukoliko je depozitar ovlašćen da se njom služi. Ipak, u slučaju sumnje</w:t>
      </w:r>
      <w:r w:rsidR="00867B7D">
        <w:t xml:space="preserve"> će se,</w:t>
      </w:r>
      <w:r w:rsidR="00875F66">
        <w:t xml:space="preserve"> u pogledu vremena i mesta povraćaja</w:t>
      </w:r>
      <w:r w:rsidR="00867B7D">
        <w:t>, primenjivati odredbe koje se odnose na depozit</w:t>
      </w:r>
      <w:r w:rsidRPr="00755B23" w:rsidR="00867B7D">
        <w:t>.(</w:t>
      </w:r>
      <w:r w:rsidR="002B6583">
        <w:t>...</w:t>
      </w:r>
      <w:r w:rsidRPr="00755B23" w:rsidR="00867B7D">
        <w:t>)»</w:t>
      </w:r>
    </w:p>
    <w:p w:rsidR="002B6583" w:rsidP="00875F66" w:rsidRDefault="002B6583">
      <w:pPr>
        <w:pStyle w:val="JuQuot"/>
        <w:spacing w:after="240"/>
        <w:ind w:firstLine="0"/>
      </w:pPr>
    </w:p>
    <w:p w:rsidR="002B6583" w:rsidP="00905B01" w:rsidRDefault="00905B01">
      <w:pPr>
        <w:pStyle w:val="JuPara"/>
        <w:rPr>
          <w:color w:val="FF0000"/>
        </w:rPr>
      </w:pPr>
      <w:r w:rsidRPr="00755B23">
        <w:fldChar w:fldCharType="begin"/>
      </w:r>
      <w:r w:rsidRPr="00755B23">
        <w:instrText xml:space="preserve"> SEQ level0 \*arabic </w:instrText>
      </w:r>
      <w:r w:rsidRPr="00755B23">
        <w:fldChar w:fldCharType="separate"/>
      </w:r>
      <w:r w:rsidRPr="00755B23">
        <w:rPr>
          <w:noProof/>
        </w:rPr>
        <w:t>19</w:t>
      </w:r>
      <w:r w:rsidRPr="00755B23">
        <w:fldChar w:fldCharType="end"/>
      </w:r>
      <w:r w:rsidRPr="00755B23">
        <w:t>. </w:t>
      </w:r>
      <w:r w:rsidRPr="00755B23" w:rsidR="00867B7D">
        <w:t>I</w:t>
      </w:r>
      <w:r w:rsidR="00867B7D">
        <w:t>zrazom « </w:t>
      </w:r>
      <w:r w:rsidRPr="00755B23" w:rsidR="00867B7D">
        <w:t>nepravi</w:t>
      </w:r>
      <w:r w:rsidR="002B6583">
        <w:t xml:space="preserve"> </w:t>
      </w:r>
      <w:r w:rsidR="00867B7D">
        <w:t>depozit », označava se</w:t>
      </w:r>
      <w:r w:rsidR="00DC4033">
        <w:t xml:space="preserve"> </w:t>
      </w:r>
      <w:r w:rsidR="00867B7D">
        <w:t>depo</w:t>
      </w:r>
      <w:r w:rsidR="009E403F">
        <w:t>zit</w:t>
      </w:r>
      <w:r w:rsidR="00867B7D">
        <w:t>, pošto su se strane sporazumele, novca ili drugih zamenjivih stvari u svrhu čuvanja od strane druge strane kada je ova ovlašćena da njima raspolaže. Prema doktrini i dobro uspostavljenoj sudskoj praksi,</w:t>
      </w:r>
      <w:r w:rsidR="00DC4033">
        <w:t xml:space="preserve"> novčani depozit u nekoj ban</w:t>
      </w:r>
      <w:r w:rsidR="00D3138D">
        <w:t>c</w:t>
      </w:r>
      <w:r w:rsidR="00DC4033">
        <w:t xml:space="preserve">i sa uobičajenom kamatnom stopom i sa mogućnošću podizanja novca u svakom trenutku poprima karakter sporazuma o </w:t>
      </w:r>
      <w:r w:rsidRPr="009E403F" w:rsidR="00DC4033">
        <w:t xml:space="preserve">nepravom </w:t>
      </w:r>
      <w:r w:rsidR="009E403F">
        <w:t>depozitu</w:t>
      </w:r>
      <w:r w:rsidRPr="009E403F" w:rsidR="00DC4033">
        <w:t>.</w:t>
      </w:r>
      <w:r w:rsidR="002B6583">
        <w:t xml:space="preserve"> </w:t>
      </w:r>
    </w:p>
    <w:p w:rsidRPr="00C95014" w:rsidR="00C95014" w:rsidP="00C95014" w:rsidRDefault="00905B01">
      <w:pPr>
        <w:pStyle w:val="JuPara"/>
      </w:pPr>
      <w:r w:rsidRPr="009E403F">
        <w:fldChar w:fldCharType="begin"/>
      </w:r>
      <w:r w:rsidRPr="009E403F">
        <w:instrText xml:space="preserve"> SEQ level0 \*arabic </w:instrText>
      </w:r>
      <w:r w:rsidRPr="009E403F">
        <w:fldChar w:fldCharType="separate"/>
      </w:r>
      <w:r w:rsidRPr="009E403F">
        <w:rPr>
          <w:noProof/>
        </w:rPr>
        <w:t>20</w:t>
      </w:r>
      <w:r w:rsidRPr="009E403F">
        <w:fldChar w:fldCharType="end"/>
      </w:r>
      <w:r w:rsidRPr="009E403F">
        <w:t>. </w:t>
      </w:r>
      <w:r w:rsidRPr="002306F8">
        <w:rPr>
          <w:color w:val="FF0000"/>
        </w:rPr>
        <w:t> </w:t>
      </w:r>
      <w:r w:rsidR="00DC4033">
        <w:t>Prema odredbama člana 260 Građanskog zakonika, zastarevanje se prekida kada obveznik na bilo koji način prizna</w:t>
      </w:r>
      <w:r w:rsidR="009E403F">
        <w:t xml:space="preserve"> odnosno pravo</w:t>
      </w:r>
      <w:r w:rsidR="00DC4033">
        <w:t>. Opšte je prihvaćeno</w:t>
      </w:r>
      <w:r w:rsidR="00C2255B">
        <w:t xml:space="preserve"> da je za priznanje dovoljan čin ili ponašanje koji jasno ukazuju da dužnik priznaje svoju obavezu kao i </w:t>
      </w:r>
      <w:r w:rsidR="00330AA7">
        <w:t>pravo</w:t>
      </w:r>
      <w:r w:rsidR="00C2255B">
        <w:t xml:space="preserve"> poverioca. Takvo priznanje može se očitovati </w:t>
      </w:r>
      <w:r w:rsidR="00A75CD9">
        <w:t>delimičnom otplatom duga</w:t>
      </w:r>
      <w:r w:rsidR="00C2255B">
        <w:t>, plaćanjem kamate, davanjem obezbeđenja ili</w:t>
      </w:r>
      <w:r w:rsidR="00C95014">
        <w:t xml:space="preserve"> zahtevom za </w:t>
      </w:r>
      <w:r w:rsidR="00D3138D">
        <w:t>odobravanje</w:t>
      </w:r>
      <w:r w:rsidR="00C2255B">
        <w:t xml:space="preserve"> roka ili </w:t>
      </w:r>
      <w:r w:rsidR="00C95014">
        <w:t>za</w:t>
      </w:r>
      <w:r w:rsidR="00D3138D">
        <w:t>htevom za</w:t>
      </w:r>
      <w:r w:rsidR="00C95014">
        <w:t xml:space="preserve"> </w:t>
      </w:r>
      <w:r w:rsidR="00C2255B">
        <w:t>oproštaj dugovanja</w:t>
      </w:r>
      <w:r w:rsidR="00C95014">
        <w:t xml:space="preserve"> </w:t>
      </w:r>
      <w:r w:rsidRPr="00C95014" w:rsidR="00C95014">
        <w:t xml:space="preserve">(Georgiadis-Stathopoulos, </w:t>
      </w:r>
      <w:r w:rsidRPr="00C95014" w:rsidR="00C95014">
        <w:rPr>
          <w:i/>
        </w:rPr>
        <w:t>Code civil</w:t>
      </w:r>
      <w:r w:rsidR="00C95014">
        <w:rPr>
          <w:i/>
        </w:rPr>
        <w:t xml:space="preserve"> (Građanski zakonik) Tumačenje po članovima</w:t>
      </w:r>
      <w:r w:rsidR="00C95014">
        <w:t>, str</w:t>
      </w:r>
      <w:r w:rsidRPr="00C95014" w:rsidR="00C95014">
        <w:t>. 461).</w:t>
      </w:r>
    </w:p>
    <w:p w:rsidRPr="00FC7246" w:rsidR="00FC7246" w:rsidP="00FC7246" w:rsidRDefault="00905B01">
      <w:pPr>
        <w:pStyle w:val="JuPara"/>
      </w:pPr>
      <w:r w:rsidRPr="009E403F">
        <w:fldChar w:fldCharType="begin"/>
      </w:r>
      <w:r w:rsidRPr="009E403F">
        <w:instrText xml:space="preserve"> SEQ level0 \*arabic </w:instrText>
      </w:r>
      <w:r w:rsidRPr="009E403F">
        <w:fldChar w:fldCharType="separate"/>
      </w:r>
      <w:r w:rsidRPr="009E403F">
        <w:rPr>
          <w:noProof/>
        </w:rPr>
        <w:t>21</w:t>
      </w:r>
      <w:r w:rsidRPr="009E403F">
        <w:fldChar w:fldCharType="end"/>
      </w:r>
      <w:r w:rsidRPr="009E403F">
        <w:t>.</w:t>
      </w:r>
      <w:r w:rsidRPr="002306F8">
        <w:rPr>
          <w:color w:val="FF0000"/>
        </w:rPr>
        <w:t>  </w:t>
      </w:r>
      <w:r w:rsidR="00C95014">
        <w:t xml:space="preserve">Za prekid zastarevanja priznanjem dužnika (član 260 Građanskog zakonika) potrebno je da priznanje bude </w:t>
      </w:r>
      <w:r w:rsidR="001C7E25">
        <w:t>poslato</w:t>
      </w:r>
      <w:r w:rsidR="00922C88">
        <w:t xml:space="preserve"> i dostavljeno</w:t>
      </w:r>
      <w:r w:rsidR="00330AA7">
        <w:t xml:space="preserve"> poverioc</w:t>
      </w:r>
      <w:r w:rsidR="00922C88">
        <w:t>u</w:t>
      </w:r>
      <w:r w:rsidR="00C95014">
        <w:t xml:space="preserve"> </w:t>
      </w:r>
      <w:r w:rsidRPr="00FC7246" w:rsidR="00C95014">
        <w:t>(</w:t>
      </w:r>
      <w:r w:rsidR="009E403F">
        <w:t>presuda</w:t>
      </w:r>
      <w:r w:rsidRPr="00FC7246" w:rsidR="00FC7246">
        <w:t xml:space="preserve"> </w:t>
      </w:r>
      <w:r w:rsidR="009E403F">
        <w:t>br.</w:t>
      </w:r>
      <w:r w:rsidRPr="00FC7246" w:rsidR="00C95014">
        <w:t xml:space="preserve"> 1178/1976 </w:t>
      </w:r>
      <w:r w:rsidR="009E403F">
        <w:t>Kasacionog suda</w:t>
      </w:r>
      <w:r w:rsidRPr="00FC7246" w:rsidR="00C95014">
        <w:t xml:space="preserve">, </w:t>
      </w:r>
      <w:r w:rsidRPr="00FC7246" w:rsidR="00C95014">
        <w:rPr>
          <w:i/>
        </w:rPr>
        <w:t>Nomiko Vima</w:t>
      </w:r>
      <w:r w:rsidRPr="00FC7246" w:rsidR="00C95014">
        <w:t xml:space="preserve"> 25/710)</w:t>
      </w:r>
      <w:r w:rsidR="00FC7246">
        <w:t xml:space="preserve">. Prosta činjenica zavođenja dugovanja u </w:t>
      </w:r>
      <w:r w:rsidR="009E403F">
        <w:t>glavnu</w:t>
      </w:r>
      <w:r w:rsidR="004B2E31">
        <w:t xml:space="preserve"> </w:t>
      </w:r>
      <w:r w:rsidR="00FC7246">
        <w:t>knjig</w:t>
      </w:r>
      <w:r w:rsidR="009E403F">
        <w:t>u</w:t>
      </w:r>
      <w:r w:rsidR="00FC7246">
        <w:t xml:space="preserve"> od strane dužnika ne predstavlja priznanje </w:t>
      </w:r>
      <w:r w:rsidR="009E403F">
        <w:t>prava</w:t>
      </w:r>
      <w:r w:rsidR="00FC7246">
        <w:t xml:space="preserve"> u smislu </w:t>
      </w:r>
      <w:r w:rsidR="004B2E31">
        <w:t>člana</w:t>
      </w:r>
      <w:r w:rsidR="00FC7246">
        <w:t xml:space="preserve"> 260 i ne može prekinuti zastarevanje </w:t>
      </w:r>
      <w:r w:rsidRPr="00FC7246" w:rsidR="00FC7246">
        <w:t>(</w:t>
      </w:r>
      <w:r w:rsidR="009E403F">
        <w:t>presuda</w:t>
      </w:r>
      <w:r w:rsidRPr="00FC7246" w:rsidR="00FC7246">
        <w:t xml:space="preserve"> </w:t>
      </w:r>
      <w:r w:rsidR="009E403F">
        <w:t>br.</w:t>
      </w:r>
      <w:r w:rsidRPr="00FC7246" w:rsidR="00FC7246">
        <w:t xml:space="preserve"> 924/1977 </w:t>
      </w:r>
      <w:r w:rsidR="009E403F">
        <w:t>Kasacionog suda</w:t>
      </w:r>
      <w:r w:rsidRPr="00FC7246" w:rsidR="00FC7246">
        <w:t xml:space="preserve">, </w:t>
      </w:r>
      <w:r w:rsidRPr="00FC7246" w:rsidR="00FC7246">
        <w:rPr>
          <w:i/>
        </w:rPr>
        <w:t>Nomiko Vima</w:t>
      </w:r>
      <w:r w:rsidRPr="00FC7246" w:rsidR="00FC7246">
        <w:t xml:space="preserve"> 26/726).</w:t>
      </w:r>
    </w:p>
    <w:p w:rsidRPr="005144ED" w:rsidR="005144ED" w:rsidP="005144ED" w:rsidRDefault="00905B01">
      <w:pPr>
        <w:pStyle w:val="JuPara"/>
      </w:pPr>
      <w:r w:rsidRPr="009E403F">
        <w:fldChar w:fldCharType="begin"/>
      </w:r>
      <w:r w:rsidRPr="009E403F">
        <w:instrText xml:space="preserve"> SEQ level0 \*arabic </w:instrText>
      </w:r>
      <w:r w:rsidRPr="009E403F">
        <w:fldChar w:fldCharType="separate"/>
      </w:r>
      <w:r w:rsidRPr="009E403F">
        <w:rPr>
          <w:noProof/>
        </w:rPr>
        <w:t>22</w:t>
      </w:r>
      <w:r w:rsidRPr="009E403F">
        <w:fldChar w:fldCharType="end"/>
      </w:r>
      <w:r w:rsidRPr="009E403F">
        <w:t>.  </w:t>
      </w:r>
      <w:r w:rsidR="005144ED">
        <w:t xml:space="preserve">Što se tiče zastarevanja </w:t>
      </w:r>
      <w:r w:rsidR="009E403F">
        <w:t xml:space="preserve">prava vlasnika </w:t>
      </w:r>
      <w:r w:rsidR="005144ED">
        <w:t xml:space="preserve">računa u odnosu na </w:t>
      </w:r>
      <w:r w:rsidR="009E403F">
        <w:t>ta</w:t>
      </w:r>
      <w:r w:rsidR="005144ED">
        <w:t xml:space="preserve">j račun, prihvata se da se zastarevanje prekida svakim novim depozitom ili povlačenjem sredstava ili bilo kojim činom koji dovodi do promena na računu. Zastarevanje se ne prekida kamatama </w:t>
      </w:r>
      <w:r w:rsidR="009E403F">
        <w:t>po tom računu</w:t>
      </w:r>
      <w:r w:rsidR="005144ED">
        <w:t xml:space="preserve">, čak i kada se pretvaraju u kapital, kao ni ažuriranjem </w:t>
      </w:r>
      <w:r w:rsidR="00D3138D">
        <w:t xml:space="preserve">ličnog dosijea </w:t>
      </w:r>
      <w:r w:rsidR="009E403F">
        <w:t>vlasnika</w:t>
      </w:r>
      <w:r w:rsidR="00D3138D">
        <w:t xml:space="preserve"> računa k</w:t>
      </w:r>
      <w:r w:rsidR="005144ED">
        <w:t xml:space="preserve">oje </w:t>
      </w:r>
      <w:r w:rsidR="009E403F">
        <w:t>se obavlja šestomesečno</w:t>
      </w:r>
      <w:r w:rsidR="005144ED">
        <w:t xml:space="preserve"> </w:t>
      </w:r>
      <w:r w:rsidRPr="005144ED" w:rsidR="005144ED">
        <w:t>(</w:t>
      </w:r>
      <w:r w:rsidR="009E403F">
        <w:t>presude</w:t>
      </w:r>
      <w:r w:rsidRPr="005144ED" w:rsidR="005144ED">
        <w:t xml:space="preserve"> </w:t>
      </w:r>
      <w:r w:rsidR="009E403F">
        <w:t>br.</w:t>
      </w:r>
      <w:r w:rsidRPr="005144ED" w:rsidR="005144ED">
        <w:t xml:space="preserve"> 739/2004 </w:t>
      </w:r>
      <w:r w:rsidR="009E403F">
        <w:t>i br.</w:t>
      </w:r>
      <w:r w:rsidRPr="005144ED" w:rsidR="005144ED">
        <w:t xml:space="preserve"> 50/2009 </w:t>
      </w:r>
      <w:r w:rsidR="009E403F">
        <w:t>Kasacionog suda</w:t>
      </w:r>
      <w:r w:rsidRPr="005144ED" w:rsidR="005144ED">
        <w:t>).</w:t>
      </w:r>
    </w:p>
    <w:p w:rsidRPr="005144ED" w:rsidR="00905B01" w:rsidP="00905B01" w:rsidRDefault="009E403F">
      <w:pPr>
        <w:pStyle w:val="JuQuot"/>
      </w:pPr>
      <w:r w:rsidRPr="005144ED">
        <w:t xml:space="preserve"> </w:t>
      </w:r>
      <w:r w:rsidRPr="005144ED" w:rsidR="004F0ECC">
        <w:t>(...)</w:t>
      </w:r>
    </w:p>
    <w:p w:rsidR="00A75CD9" w:rsidP="006B3164" w:rsidRDefault="00A75CD9">
      <w:pPr>
        <w:pStyle w:val="JuPara"/>
      </w:pPr>
    </w:p>
    <w:p w:rsidRPr="006B3164" w:rsidR="006B3164" w:rsidP="006B3164" w:rsidRDefault="00905B01">
      <w:pPr>
        <w:pStyle w:val="JuPara"/>
      </w:pPr>
      <w:r w:rsidRPr="009E403F">
        <w:fldChar w:fldCharType="begin"/>
      </w:r>
      <w:r w:rsidRPr="009E403F">
        <w:instrText xml:space="preserve"> SEQ level0 \*arabic </w:instrText>
      </w:r>
      <w:r w:rsidRPr="009E403F" w:rsidR="004F0ECC">
        <w:instrText>\r24</w:instrText>
      </w:r>
      <w:r w:rsidRPr="009E403F">
        <w:fldChar w:fldCharType="separate"/>
      </w:r>
      <w:r w:rsidRPr="009E403F" w:rsidR="004F0ECC">
        <w:rPr>
          <w:noProof/>
        </w:rPr>
        <w:t>24</w:t>
      </w:r>
      <w:r w:rsidRPr="009E403F">
        <w:fldChar w:fldCharType="end"/>
      </w:r>
      <w:r w:rsidRPr="009E403F">
        <w:t>.  </w:t>
      </w:r>
      <w:r w:rsidRPr="00406AE8" w:rsidR="00406AE8">
        <w:t>Primenjujući istu logiku, Kasacioni sud je ocenio da</w:t>
      </w:r>
      <w:r w:rsidR="002B6583">
        <w:t xml:space="preserve"> </w:t>
      </w:r>
      <w:r w:rsidRPr="00406AE8" w:rsidR="00406AE8">
        <w:t>banka</w:t>
      </w:r>
      <w:r w:rsidR="00406AE8">
        <w:rPr>
          <w:color w:val="FF0000"/>
        </w:rPr>
        <w:t xml:space="preserve"> </w:t>
      </w:r>
      <w:r w:rsidRPr="006B3164" w:rsidR="006B3164">
        <w:t>nema obavezu obaveštavanja zainteresovanog</w:t>
      </w:r>
      <w:r w:rsidR="006B3164">
        <w:t xml:space="preserve"> </w:t>
      </w:r>
      <w:r w:rsidR="00A75CD9">
        <w:t xml:space="preserve">lica </w:t>
      </w:r>
      <w:r w:rsidR="006B3164">
        <w:t>pre</w:t>
      </w:r>
      <w:r w:rsidRPr="006B3164" w:rsidR="006B3164">
        <w:t xml:space="preserve"> </w:t>
      </w:r>
      <w:r w:rsidR="009E403F">
        <w:t>isteka roka zastarevanja</w:t>
      </w:r>
      <w:r w:rsidRPr="009E403F" w:rsidR="006B3164">
        <w:t>.</w:t>
      </w:r>
      <w:r w:rsidR="006B3164">
        <w:rPr>
          <w:color w:val="FF0000"/>
        </w:rPr>
        <w:t xml:space="preserve"> </w:t>
      </w:r>
      <w:r w:rsidRPr="006B3164" w:rsidR="006B3164">
        <w:t xml:space="preserve">Pošto mu banka izdaje </w:t>
      </w:r>
      <w:r w:rsidR="009E403F">
        <w:t>bankovnu</w:t>
      </w:r>
      <w:r w:rsidRPr="006B3164" w:rsidR="006B3164">
        <w:t xml:space="preserve"> knjižicu, njegova je obaveza da je ažurira, s obzirom da je ta knjižica dokaz o iznosu depo</w:t>
      </w:r>
      <w:r w:rsidR="00A75CD9">
        <w:t>zita</w:t>
      </w:r>
      <w:r w:rsidRPr="006B3164" w:rsidR="006B3164">
        <w:t xml:space="preserve"> na njegov</w:t>
      </w:r>
      <w:r w:rsidR="00A75CD9">
        <w:t>om</w:t>
      </w:r>
      <w:r w:rsidRPr="006B3164" w:rsidR="006B3164">
        <w:t xml:space="preserve"> račun</w:t>
      </w:r>
      <w:r w:rsidR="00A75CD9">
        <w:t>u</w:t>
      </w:r>
      <w:r w:rsidRPr="006B3164" w:rsidR="006B3164">
        <w:t xml:space="preserve"> i o postojanju promena na </w:t>
      </w:r>
      <w:r w:rsidR="00A75CD9">
        <w:t xml:space="preserve">tom </w:t>
      </w:r>
      <w:r w:rsidRPr="006B3164" w:rsidR="006B3164">
        <w:t>računu (</w:t>
      </w:r>
      <w:r w:rsidR="00A75CD9">
        <w:t>presude</w:t>
      </w:r>
      <w:r w:rsidRPr="006B3164" w:rsidR="006B3164">
        <w:t xml:space="preserve"> </w:t>
      </w:r>
      <w:r w:rsidR="00A75CD9">
        <w:t>Kasacionog suda br.</w:t>
      </w:r>
      <w:r w:rsidRPr="006B3164" w:rsidR="006B3164">
        <w:t xml:space="preserve"> 432/1990 </w:t>
      </w:r>
      <w:r w:rsidR="00A75CD9">
        <w:t>i br.</w:t>
      </w:r>
      <w:r w:rsidRPr="006B3164" w:rsidR="006B3164">
        <w:t> 1623/1995).</w:t>
      </w:r>
    </w:p>
    <w:p w:rsidR="002B6583" w:rsidP="00905B01" w:rsidRDefault="002B6583">
      <w:pPr>
        <w:pStyle w:val="JuPara"/>
        <w:rPr>
          <w:color w:val="FF0000"/>
        </w:rPr>
      </w:pPr>
      <w:r>
        <w:rPr>
          <w:color w:val="FF0000"/>
        </w:rPr>
        <w:t xml:space="preserve"> </w:t>
      </w:r>
    </w:p>
    <w:p w:rsidR="00B614BC" w:rsidP="00905B01" w:rsidRDefault="00B614BC">
      <w:pPr>
        <w:pStyle w:val="JuHHead"/>
      </w:pPr>
    </w:p>
    <w:p w:rsidR="00905B01" w:rsidP="00B614BC" w:rsidRDefault="006B3164">
      <w:pPr>
        <w:pStyle w:val="JuHHead"/>
        <w:spacing w:before="0"/>
      </w:pPr>
      <w:r>
        <w:t>PRAVO</w:t>
      </w:r>
    </w:p>
    <w:p w:rsidRPr="00A6337F" w:rsidR="00905B01" w:rsidP="00905B01" w:rsidRDefault="00905B01">
      <w:pPr>
        <w:pStyle w:val="JuHIRoman"/>
      </w:pPr>
      <w:r>
        <w:t>I.  </w:t>
      </w:r>
      <w:r w:rsidR="006B3164">
        <w:t xml:space="preserve">OPŠTA </w:t>
      </w:r>
      <w:r w:rsidR="00DB2DC4">
        <w:t>NAPOMENA</w:t>
      </w:r>
    </w:p>
    <w:p w:rsidRPr="00C85F46" w:rsidR="00905B01" w:rsidP="00905B01" w:rsidRDefault="00905B01">
      <w:pPr>
        <w:pStyle w:val="JuPara"/>
        <w:rPr>
          <w:rStyle w:val="JuParaChar"/>
          <w:color w:val="FF0000"/>
          <w:lang w:val="fr-FR"/>
        </w:rPr>
      </w:pPr>
      <w:r w:rsidRPr="00D11B16">
        <w:rPr>
          <w:rStyle w:val="JuParaChar"/>
          <w:lang w:val="fr-FR"/>
        </w:rPr>
        <w:fldChar w:fldCharType="begin"/>
      </w:r>
      <w:r w:rsidRPr="00D11B16">
        <w:rPr>
          <w:rStyle w:val="JuParaChar"/>
          <w:lang w:val="fr-FR"/>
        </w:rPr>
        <w:instrText xml:space="preserve"> SEQ level0 \*arabic </w:instrText>
      </w:r>
      <w:r w:rsidRPr="00D11B16">
        <w:rPr>
          <w:rStyle w:val="JuParaChar"/>
          <w:lang w:val="fr-FR"/>
        </w:rPr>
        <w:fldChar w:fldCharType="separate"/>
      </w:r>
      <w:r>
        <w:rPr>
          <w:rStyle w:val="JuParaChar"/>
          <w:noProof/>
          <w:lang w:val="fr-FR"/>
        </w:rPr>
        <w:t>25</w:t>
      </w:r>
      <w:r w:rsidRPr="00D11B16">
        <w:rPr>
          <w:rStyle w:val="JuParaChar"/>
          <w:lang w:val="fr-FR"/>
        </w:rPr>
        <w:fldChar w:fldCharType="end"/>
      </w:r>
      <w:r w:rsidRPr="00D11B16">
        <w:rPr>
          <w:rStyle w:val="JuParaChar"/>
          <w:lang w:val="fr-FR"/>
        </w:rPr>
        <w:t>.  </w:t>
      </w:r>
      <w:r w:rsidR="00C85F46">
        <w:rPr>
          <w:rStyle w:val="JuParaChar"/>
          <w:lang w:val="fr-FR"/>
        </w:rPr>
        <w:t>Kao prvo, Sud mora odlučiti</w:t>
      </w:r>
      <w:r w:rsidR="00A36205">
        <w:rPr>
          <w:rStyle w:val="JuParaChar"/>
          <w:lang w:val="fr-FR"/>
        </w:rPr>
        <w:t xml:space="preserve"> da li g. Panajotis Zolotas ima pravo da preuzme predstavku koju je prvobitno podneo njen podnosilac,</w:t>
      </w:r>
      <w:r w:rsidR="002B6583">
        <w:rPr>
          <w:rStyle w:val="JuParaChar"/>
          <w:lang w:val="fr-FR"/>
        </w:rPr>
        <w:t xml:space="preserve"> </w:t>
      </w:r>
      <w:r w:rsidR="00A36205">
        <w:rPr>
          <w:rStyle w:val="JuParaChar"/>
          <w:lang w:val="fr-FR"/>
        </w:rPr>
        <w:t>preminuo u februaru 2011. godine.</w:t>
      </w:r>
    </w:p>
    <w:p w:rsidRPr="00C153CF" w:rsidR="00A36205" w:rsidP="00A36205" w:rsidRDefault="00905B01">
      <w:pPr>
        <w:pStyle w:val="JuPara"/>
        <w:rPr>
          <w:rStyle w:val="JuParaChar"/>
          <w:lang w:val="en-US"/>
        </w:rPr>
      </w:pPr>
      <w:r w:rsidRPr="00D11B16">
        <w:rPr>
          <w:rStyle w:val="JuParaChar"/>
          <w:lang w:val="fr-FR"/>
        </w:rPr>
        <w:fldChar w:fldCharType="begin"/>
      </w:r>
      <w:r w:rsidRPr="00D11B16">
        <w:rPr>
          <w:rStyle w:val="JuParaChar"/>
          <w:lang w:val="fr-FR"/>
        </w:rPr>
        <w:instrText xml:space="preserve"> SEQ level0 \*arabic </w:instrText>
      </w:r>
      <w:r w:rsidRPr="00D11B16">
        <w:rPr>
          <w:rStyle w:val="JuParaChar"/>
          <w:lang w:val="fr-FR"/>
        </w:rPr>
        <w:fldChar w:fldCharType="separate"/>
      </w:r>
      <w:r>
        <w:rPr>
          <w:rStyle w:val="JuParaChar"/>
          <w:noProof/>
          <w:lang w:val="fr-FR"/>
        </w:rPr>
        <w:t>26</w:t>
      </w:r>
      <w:r w:rsidRPr="00D11B16">
        <w:rPr>
          <w:rStyle w:val="JuParaChar"/>
          <w:lang w:val="fr-FR"/>
        </w:rPr>
        <w:fldChar w:fldCharType="end"/>
      </w:r>
      <w:r w:rsidRPr="00D11B16">
        <w:rPr>
          <w:rStyle w:val="JuParaChar"/>
          <w:lang w:val="fr-FR"/>
        </w:rPr>
        <w:t>.  </w:t>
      </w:r>
      <w:r w:rsidR="00A36205">
        <w:rPr>
          <w:rStyle w:val="JuParaChar"/>
          <w:lang w:val="fr-FR"/>
        </w:rPr>
        <w:t>Sud podseća da je u više slučajeva u kojima je podnosilac predstavke preminuo tokom trajanja postupka</w:t>
      </w:r>
      <w:r w:rsidR="002B6583">
        <w:rPr>
          <w:rStyle w:val="JuParaChar"/>
          <w:lang w:val="fr-FR"/>
        </w:rPr>
        <w:t xml:space="preserve"> </w:t>
      </w:r>
      <w:r w:rsidR="00A36205">
        <w:rPr>
          <w:rStyle w:val="JuParaChar"/>
          <w:lang w:val="fr-FR"/>
        </w:rPr>
        <w:t xml:space="preserve">uzeo u obzir volju da se postupak nastavi koju su izrazili bilo naslednici bilo bliski srodnici </w:t>
      </w:r>
      <w:r w:rsidRPr="00A36205" w:rsidR="00A36205">
        <w:rPr>
          <w:rStyle w:val="JuParaChar"/>
          <w:lang w:val="fr-FR"/>
        </w:rPr>
        <w:t>(</w:t>
      </w:r>
      <w:r w:rsidR="00A36205">
        <w:rPr>
          <w:rStyle w:val="JuParaChar"/>
          <w:lang w:val="fr-FR"/>
        </w:rPr>
        <w:t>videti</w:t>
      </w:r>
      <w:r w:rsidRPr="00A36205" w:rsidR="00A36205">
        <w:rPr>
          <w:rStyle w:val="JuParaChar"/>
          <w:lang w:val="fr-FR"/>
        </w:rPr>
        <w:t xml:space="preserve">, </w:t>
      </w:r>
      <w:r w:rsidR="00A36205">
        <w:rPr>
          <w:rStyle w:val="JuParaChar"/>
          <w:lang w:val="fr-FR"/>
        </w:rPr>
        <w:t>npr</w:t>
      </w:r>
      <w:r w:rsidR="00C153CF">
        <w:rPr>
          <w:rStyle w:val="JuParaChar"/>
          <w:lang w:val="fr-FR"/>
        </w:rPr>
        <w:t xml:space="preserve">. </w:t>
      </w:r>
      <w:r w:rsidRPr="00A36205" w:rsidR="00A36205">
        <w:rPr>
          <w:rStyle w:val="JuParaChar"/>
          <w:i/>
          <w:lang w:val="fr-FR"/>
        </w:rPr>
        <w:t xml:space="preserve">Deweer </w:t>
      </w:r>
      <w:r w:rsidR="00A75CD9">
        <w:rPr>
          <w:rStyle w:val="JuParaChar"/>
          <w:i/>
          <w:lang w:val="fr-FR"/>
        </w:rPr>
        <w:t>protiv</w:t>
      </w:r>
      <w:r w:rsidRPr="00A36205" w:rsidR="00A36205">
        <w:rPr>
          <w:rStyle w:val="JuParaChar"/>
          <w:i/>
          <w:lang w:val="fr-FR"/>
        </w:rPr>
        <w:t xml:space="preserve"> Bel</w:t>
      </w:r>
      <w:r w:rsidR="00A75CD9">
        <w:rPr>
          <w:rStyle w:val="JuParaChar"/>
          <w:i/>
          <w:lang w:val="fr-FR"/>
        </w:rPr>
        <w:t>gije</w:t>
      </w:r>
      <w:r w:rsidRPr="00A36205" w:rsidR="00A36205">
        <w:rPr>
          <w:rStyle w:val="JuParaChar"/>
          <w:lang w:val="fr-FR"/>
        </w:rPr>
        <w:t>, 27</w:t>
      </w:r>
      <w:r w:rsidR="00C153CF">
        <w:rPr>
          <w:rStyle w:val="JuParaChar"/>
          <w:lang w:val="fr-FR"/>
        </w:rPr>
        <w:t>.</w:t>
      </w:r>
      <w:r w:rsidRPr="00A36205" w:rsidR="00A36205">
        <w:rPr>
          <w:rStyle w:val="JuParaChar"/>
          <w:lang w:val="fr-FR"/>
        </w:rPr>
        <w:t xml:space="preserve"> f</w:t>
      </w:r>
      <w:r w:rsidR="00C153CF">
        <w:rPr>
          <w:rStyle w:val="JuParaChar"/>
          <w:lang w:val="fr-FR"/>
        </w:rPr>
        <w:t>eb</w:t>
      </w:r>
      <w:r w:rsidRPr="00A36205" w:rsidR="00A36205">
        <w:rPr>
          <w:rStyle w:val="JuParaChar"/>
          <w:lang w:val="fr-FR"/>
        </w:rPr>
        <w:t>r</w:t>
      </w:r>
      <w:r w:rsidR="00C153CF">
        <w:rPr>
          <w:rStyle w:val="JuParaChar"/>
          <w:lang w:val="fr-FR"/>
        </w:rPr>
        <w:t>ua</w:t>
      </w:r>
      <w:r w:rsidRPr="00A36205" w:rsidR="00A36205">
        <w:rPr>
          <w:rStyle w:val="JuParaChar"/>
          <w:lang w:val="fr-FR"/>
        </w:rPr>
        <w:t>r 1980, §§ 37-38, s</w:t>
      </w:r>
      <w:r w:rsidR="00A75CD9">
        <w:rPr>
          <w:rStyle w:val="JuParaChar"/>
          <w:lang w:val="fr-FR"/>
        </w:rPr>
        <w:t>e</w:t>
      </w:r>
      <w:r w:rsidRPr="00A36205" w:rsidR="00A36205">
        <w:rPr>
          <w:rStyle w:val="JuParaChar"/>
          <w:lang w:val="fr-FR"/>
        </w:rPr>
        <w:t>r</w:t>
      </w:r>
      <w:r w:rsidR="00A75CD9">
        <w:rPr>
          <w:rStyle w:val="JuParaChar"/>
          <w:lang w:val="fr-FR"/>
        </w:rPr>
        <w:t>ija A br.</w:t>
      </w:r>
      <w:r w:rsidRPr="00A36205" w:rsidR="00A36205">
        <w:rPr>
          <w:rStyle w:val="JuParaChar"/>
          <w:lang w:val="fr-FR"/>
        </w:rPr>
        <w:t xml:space="preserve"> 35 ; </w:t>
      </w:r>
      <w:r w:rsidR="00A75CD9">
        <w:rPr>
          <w:rStyle w:val="JuParaChar"/>
          <w:i/>
          <w:lang w:val="fr-FR"/>
        </w:rPr>
        <w:t>X protiv</w:t>
      </w:r>
      <w:r w:rsidRPr="00A36205" w:rsidR="00A36205">
        <w:rPr>
          <w:rStyle w:val="JuParaChar"/>
          <w:i/>
          <w:lang w:val="fr-FR"/>
        </w:rPr>
        <w:t> </w:t>
      </w:r>
      <w:r w:rsidR="00A75CD9">
        <w:rPr>
          <w:rStyle w:val="JuParaChar"/>
          <w:i/>
          <w:lang w:val="fr-FR"/>
        </w:rPr>
        <w:t>Ujedinjenog Kraljevstva</w:t>
      </w:r>
      <w:r w:rsidRPr="00A36205" w:rsidR="00A36205">
        <w:rPr>
          <w:rStyle w:val="JuParaChar"/>
          <w:lang w:val="fr-FR"/>
        </w:rPr>
        <w:t>, 5</w:t>
      </w:r>
      <w:r w:rsidR="00C153CF">
        <w:rPr>
          <w:rStyle w:val="JuParaChar"/>
          <w:lang w:val="fr-FR"/>
        </w:rPr>
        <w:t>.</w:t>
      </w:r>
      <w:r w:rsidRPr="00A36205" w:rsidR="00A36205">
        <w:rPr>
          <w:rStyle w:val="JuParaChar"/>
          <w:lang w:val="fr-FR"/>
        </w:rPr>
        <w:t xml:space="preserve"> novemb</w:t>
      </w:r>
      <w:r w:rsidR="00C153CF">
        <w:rPr>
          <w:rStyle w:val="JuParaChar"/>
          <w:lang w:val="fr-FR"/>
        </w:rPr>
        <w:t>a</w:t>
      </w:r>
      <w:r w:rsidR="00A75CD9">
        <w:rPr>
          <w:rStyle w:val="JuParaChar"/>
          <w:lang w:val="fr-FR"/>
        </w:rPr>
        <w:t>r 1981, § 32, se</w:t>
      </w:r>
      <w:r w:rsidRPr="00A36205" w:rsidR="00A36205">
        <w:rPr>
          <w:rStyle w:val="JuParaChar"/>
          <w:lang w:val="fr-FR"/>
        </w:rPr>
        <w:t>ri</w:t>
      </w:r>
      <w:r w:rsidR="00A75CD9">
        <w:rPr>
          <w:rStyle w:val="JuParaChar"/>
          <w:lang w:val="fr-FR"/>
        </w:rPr>
        <w:t>ja</w:t>
      </w:r>
      <w:r w:rsidRPr="00A36205" w:rsidR="00A36205">
        <w:rPr>
          <w:rStyle w:val="JuParaChar"/>
          <w:lang w:val="fr-FR"/>
        </w:rPr>
        <w:t xml:space="preserve"> A </w:t>
      </w:r>
      <w:r w:rsidR="00A75CD9">
        <w:rPr>
          <w:rStyle w:val="JuParaChar"/>
          <w:lang w:val="fr-FR"/>
        </w:rPr>
        <w:t>br.</w:t>
      </w:r>
      <w:r w:rsidRPr="00A36205" w:rsidR="00A36205">
        <w:rPr>
          <w:rStyle w:val="JuParaChar"/>
          <w:lang w:val="fr-FR"/>
        </w:rPr>
        <w:t xml:space="preserve"> 46 ; </w:t>
      </w:r>
      <w:r w:rsidRPr="00A36205" w:rsidR="00A36205">
        <w:rPr>
          <w:rStyle w:val="JuParaChar"/>
          <w:i/>
          <w:lang w:val="fr-FR"/>
        </w:rPr>
        <w:t xml:space="preserve">Vocaturo </w:t>
      </w:r>
      <w:r w:rsidR="00A75CD9">
        <w:rPr>
          <w:rStyle w:val="JuParaChar"/>
          <w:i/>
          <w:lang w:val="fr-FR"/>
        </w:rPr>
        <w:t>protiv</w:t>
      </w:r>
      <w:r w:rsidRPr="00A36205" w:rsidR="00A36205">
        <w:rPr>
          <w:rStyle w:val="JuParaChar"/>
          <w:i/>
          <w:lang w:val="fr-FR"/>
        </w:rPr>
        <w:t> Itali</w:t>
      </w:r>
      <w:r w:rsidR="00A75CD9">
        <w:rPr>
          <w:rStyle w:val="JuParaChar"/>
          <w:i/>
          <w:lang w:val="fr-FR"/>
        </w:rPr>
        <w:t>j</w:t>
      </w:r>
      <w:r w:rsidRPr="00A36205" w:rsidR="00A36205">
        <w:rPr>
          <w:rStyle w:val="JuParaChar"/>
          <w:i/>
          <w:lang w:val="fr-FR"/>
        </w:rPr>
        <w:t>e</w:t>
      </w:r>
      <w:r w:rsidRPr="00A36205" w:rsidR="00A36205">
        <w:rPr>
          <w:rStyle w:val="JuParaChar"/>
          <w:lang w:val="fr-FR"/>
        </w:rPr>
        <w:t>, 24</w:t>
      </w:r>
      <w:r w:rsidR="00C153CF">
        <w:rPr>
          <w:rStyle w:val="JuParaChar"/>
          <w:lang w:val="fr-FR"/>
        </w:rPr>
        <w:t>.</w:t>
      </w:r>
      <w:r w:rsidRPr="00A36205" w:rsidR="00A36205">
        <w:rPr>
          <w:rStyle w:val="JuParaChar"/>
          <w:lang w:val="fr-FR"/>
        </w:rPr>
        <w:t xml:space="preserve"> ma</w:t>
      </w:r>
      <w:r w:rsidR="00C153CF">
        <w:rPr>
          <w:rStyle w:val="JuParaChar"/>
          <w:lang w:val="fr-FR"/>
        </w:rPr>
        <w:t>j</w:t>
      </w:r>
      <w:r w:rsidRPr="00A36205" w:rsidR="00A36205">
        <w:rPr>
          <w:rStyle w:val="JuParaChar"/>
          <w:lang w:val="fr-FR"/>
        </w:rPr>
        <w:t xml:space="preserve"> 1991, § 2, s</w:t>
      </w:r>
      <w:r w:rsidR="00A75CD9">
        <w:rPr>
          <w:rStyle w:val="JuParaChar"/>
          <w:lang w:val="fr-FR"/>
        </w:rPr>
        <w:t>erija</w:t>
      </w:r>
      <w:r w:rsidRPr="00A36205" w:rsidR="00A36205">
        <w:rPr>
          <w:rStyle w:val="JuParaChar"/>
          <w:lang w:val="fr-FR"/>
        </w:rPr>
        <w:t xml:space="preserve"> A </w:t>
      </w:r>
      <w:r w:rsidR="00A75CD9">
        <w:rPr>
          <w:rStyle w:val="JuParaChar"/>
          <w:lang w:val="fr-FR"/>
        </w:rPr>
        <w:t>br.</w:t>
      </w:r>
      <w:r w:rsidRPr="00A36205" w:rsidR="00A36205">
        <w:rPr>
          <w:rStyle w:val="JuParaChar"/>
          <w:lang w:val="fr-FR"/>
        </w:rPr>
        <w:t xml:space="preserve"> 206-C ; </w:t>
      </w:r>
      <w:r w:rsidRPr="00A36205" w:rsidR="00A36205">
        <w:rPr>
          <w:rStyle w:val="JuParaChar"/>
          <w:i/>
          <w:lang w:val="fr-FR"/>
        </w:rPr>
        <w:t>G.</w:t>
      </w:r>
      <w:r w:rsidR="00A75CD9">
        <w:rPr>
          <w:rStyle w:val="JuParaChar"/>
          <w:i/>
          <w:lang w:val="fr-FR"/>
        </w:rPr>
        <w:t>protiv</w:t>
      </w:r>
      <w:r w:rsidRPr="00A36205" w:rsidR="00A36205">
        <w:rPr>
          <w:rStyle w:val="JuParaChar"/>
          <w:i/>
          <w:lang w:val="fr-FR"/>
        </w:rPr>
        <w:t>. Itali</w:t>
      </w:r>
      <w:r w:rsidR="00A75CD9">
        <w:rPr>
          <w:rStyle w:val="JuParaChar"/>
          <w:i/>
          <w:lang w:val="fr-FR"/>
        </w:rPr>
        <w:t>j</w:t>
      </w:r>
      <w:r w:rsidRPr="00A36205" w:rsidR="00A36205">
        <w:rPr>
          <w:rStyle w:val="JuParaChar"/>
          <w:i/>
          <w:lang w:val="fr-FR"/>
        </w:rPr>
        <w:t>e</w:t>
      </w:r>
      <w:r w:rsidRPr="00A36205" w:rsidR="00A36205">
        <w:rPr>
          <w:rStyle w:val="JuParaChar"/>
          <w:lang w:val="fr-FR"/>
        </w:rPr>
        <w:t>, 27</w:t>
      </w:r>
      <w:r w:rsidR="00C153CF">
        <w:rPr>
          <w:rStyle w:val="JuParaChar"/>
          <w:lang w:val="fr-FR"/>
        </w:rPr>
        <w:t>.</w:t>
      </w:r>
      <w:r w:rsidRPr="00A36205" w:rsidR="00A36205">
        <w:rPr>
          <w:rStyle w:val="JuParaChar"/>
          <w:lang w:val="fr-FR"/>
        </w:rPr>
        <w:t xml:space="preserve"> f</w:t>
      </w:r>
      <w:r w:rsidR="00C153CF">
        <w:rPr>
          <w:rStyle w:val="JuParaChar"/>
          <w:lang w:val="fr-FR"/>
        </w:rPr>
        <w:t>eb</w:t>
      </w:r>
      <w:r w:rsidRPr="00A36205" w:rsidR="00A36205">
        <w:rPr>
          <w:rStyle w:val="JuParaChar"/>
          <w:lang w:val="fr-FR"/>
        </w:rPr>
        <w:t>r</w:t>
      </w:r>
      <w:r w:rsidR="00C153CF">
        <w:rPr>
          <w:rStyle w:val="JuParaChar"/>
          <w:lang w:val="fr-FR"/>
        </w:rPr>
        <w:t>ua</w:t>
      </w:r>
      <w:r w:rsidR="00A75CD9">
        <w:rPr>
          <w:rStyle w:val="JuParaChar"/>
          <w:lang w:val="fr-FR"/>
        </w:rPr>
        <w:t>r 1992, § 2, se</w:t>
      </w:r>
      <w:r w:rsidRPr="00A36205" w:rsidR="00A36205">
        <w:rPr>
          <w:rStyle w:val="JuParaChar"/>
          <w:lang w:val="fr-FR"/>
        </w:rPr>
        <w:t>ri</w:t>
      </w:r>
      <w:r w:rsidR="00A75CD9">
        <w:rPr>
          <w:rStyle w:val="JuParaChar"/>
          <w:lang w:val="fr-FR"/>
        </w:rPr>
        <w:t>ja</w:t>
      </w:r>
      <w:r w:rsidRPr="00A36205" w:rsidR="00A36205">
        <w:rPr>
          <w:rStyle w:val="JuParaChar"/>
          <w:lang w:val="fr-FR"/>
        </w:rPr>
        <w:t xml:space="preserve"> A </w:t>
      </w:r>
      <w:r w:rsidR="00A75CD9">
        <w:rPr>
          <w:rStyle w:val="JuParaChar"/>
          <w:lang w:val="fr-FR"/>
        </w:rPr>
        <w:t>br.</w:t>
      </w:r>
      <w:r w:rsidRPr="00A36205" w:rsidR="00A36205">
        <w:rPr>
          <w:rStyle w:val="JuParaChar"/>
          <w:lang w:val="fr-FR"/>
        </w:rPr>
        <w:t xml:space="preserve"> 228-F ; </w:t>
      </w:r>
      <w:r w:rsidRPr="00A36205" w:rsidR="00A36205">
        <w:rPr>
          <w:rStyle w:val="JuParaChar"/>
          <w:i/>
          <w:lang w:val="fr-FR"/>
        </w:rPr>
        <w:t xml:space="preserve">Pandolfelli </w:t>
      </w:r>
      <w:r w:rsidR="00A75CD9">
        <w:rPr>
          <w:rStyle w:val="JuParaChar"/>
          <w:i/>
          <w:lang w:val="fr-FR"/>
        </w:rPr>
        <w:t>i</w:t>
      </w:r>
      <w:r w:rsidRPr="00A36205" w:rsidR="00A36205">
        <w:rPr>
          <w:rStyle w:val="JuParaChar"/>
          <w:i/>
          <w:lang w:val="fr-FR"/>
        </w:rPr>
        <w:t xml:space="preserve"> Palumbo </w:t>
      </w:r>
      <w:r w:rsidR="00A75CD9">
        <w:rPr>
          <w:rStyle w:val="JuParaChar"/>
          <w:i/>
          <w:lang w:val="fr-FR"/>
        </w:rPr>
        <w:t>protiv</w:t>
      </w:r>
      <w:r w:rsidRPr="00A36205" w:rsidR="00A36205">
        <w:rPr>
          <w:rStyle w:val="JuParaChar"/>
          <w:i/>
          <w:lang w:val="fr-FR"/>
        </w:rPr>
        <w:t xml:space="preserve"> Itali</w:t>
      </w:r>
      <w:r w:rsidR="00A75CD9">
        <w:rPr>
          <w:rStyle w:val="JuParaChar"/>
          <w:i/>
          <w:lang w:val="fr-FR"/>
        </w:rPr>
        <w:t>j</w:t>
      </w:r>
      <w:r w:rsidRPr="00A36205" w:rsidR="00A36205">
        <w:rPr>
          <w:rStyle w:val="JuParaChar"/>
          <w:i/>
          <w:lang w:val="fr-FR"/>
        </w:rPr>
        <w:t>e</w:t>
      </w:r>
      <w:r w:rsidRPr="00A36205" w:rsidR="00A36205">
        <w:rPr>
          <w:rStyle w:val="JuParaChar"/>
          <w:lang w:val="fr-FR"/>
        </w:rPr>
        <w:t>, 27</w:t>
      </w:r>
      <w:r w:rsidR="00C153CF">
        <w:rPr>
          <w:rStyle w:val="JuParaChar"/>
          <w:lang w:val="fr-FR"/>
        </w:rPr>
        <w:t>.</w:t>
      </w:r>
      <w:r w:rsidRPr="00A36205" w:rsidR="00A36205">
        <w:rPr>
          <w:rStyle w:val="JuParaChar"/>
          <w:lang w:val="fr-FR"/>
        </w:rPr>
        <w:t xml:space="preserve"> f</w:t>
      </w:r>
      <w:r w:rsidR="00C153CF">
        <w:rPr>
          <w:rStyle w:val="JuParaChar"/>
          <w:lang w:val="fr-FR"/>
        </w:rPr>
        <w:t>eb</w:t>
      </w:r>
      <w:r w:rsidRPr="00A36205" w:rsidR="00A36205">
        <w:rPr>
          <w:rStyle w:val="JuParaChar"/>
          <w:lang w:val="fr-FR"/>
        </w:rPr>
        <w:t>r</w:t>
      </w:r>
      <w:r w:rsidR="00C153CF">
        <w:rPr>
          <w:rStyle w:val="JuParaChar"/>
          <w:lang w:val="fr-FR"/>
        </w:rPr>
        <w:t>ua</w:t>
      </w:r>
      <w:r w:rsidRPr="00A36205" w:rsidR="00A36205">
        <w:rPr>
          <w:rStyle w:val="JuParaChar"/>
          <w:lang w:val="fr-FR"/>
        </w:rPr>
        <w:t>r 1992, § 2, s</w:t>
      </w:r>
      <w:r w:rsidR="00A75CD9">
        <w:rPr>
          <w:rStyle w:val="JuParaChar"/>
          <w:lang w:val="fr-FR"/>
        </w:rPr>
        <w:t>e</w:t>
      </w:r>
      <w:r w:rsidRPr="00A36205" w:rsidR="00A36205">
        <w:rPr>
          <w:rStyle w:val="JuParaChar"/>
          <w:lang w:val="fr-FR"/>
        </w:rPr>
        <w:t>ri</w:t>
      </w:r>
      <w:r w:rsidR="00A75CD9">
        <w:rPr>
          <w:rStyle w:val="JuParaChar"/>
          <w:lang w:val="fr-FR"/>
        </w:rPr>
        <w:t>ja A br.</w:t>
      </w:r>
      <w:r w:rsidRPr="00A36205" w:rsidR="00A36205">
        <w:rPr>
          <w:rStyle w:val="JuParaChar"/>
          <w:lang w:val="fr-FR"/>
        </w:rPr>
        <w:t xml:space="preserve"> 231-B ; </w:t>
      </w:r>
      <w:r w:rsidRPr="00A36205" w:rsidR="00A36205">
        <w:rPr>
          <w:rStyle w:val="JuParaChar"/>
          <w:i/>
          <w:lang w:val="fr-FR"/>
        </w:rPr>
        <w:t xml:space="preserve">X </w:t>
      </w:r>
      <w:r w:rsidR="00A75CD9">
        <w:rPr>
          <w:rStyle w:val="JuParaChar"/>
          <w:i/>
          <w:lang w:val="fr-FR"/>
        </w:rPr>
        <w:t>protiv</w:t>
      </w:r>
      <w:r w:rsidRPr="00A36205" w:rsidR="00A36205">
        <w:rPr>
          <w:rStyle w:val="JuParaChar"/>
          <w:i/>
          <w:lang w:val="fr-FR"/>
        </w:rPr>
        <w:t xml:space="preserve"> Franc</w:t>
      </w:r>
      <w:r w:rsidR="00A75CD9">
        <w:rPr>
          <w:rStyle w:val="JuParaChar"/>
          <w:i/>
          <w:lang w:val="fr-FR"/>
        </w:rPr>
        <w:t>usk</w:t>
      </w:r>
      <w:r w:rsidRPr="00A36205" w:rsidR="00A36205">
        <w:rPr>
          <w:rStyle w:val="JuParaChar"/>
          <w:i/>
          <w:lang w:val="fr-FR"/>
        </w:rPr>
        <w:t>e</w:t>
      </w:r>
      <w:r w:rsidRPr="00A36205" w:rsidR="00A36205">
        <w:rPr>
          <w:rStyle w:val="JuParaChar"/>
          <w:lang w:val="fr-FR"/>
        </w:rPr>
        <w:t>, 31</w:t>
      </w:r>
      <w:r w:rsidR="00C153CF">
        <w:rPr>
          <w:rStyle w:val="JuParaChar"/>
          <w:lang w:val="fr-FR"/>
        </w:rPr>
        <w:t>.</w:t>
      </w:r>
      <w:r w:rsidRPr="00A36205" w:rsidR="00A36205">
        <w:rPr>
          <w:rStyle w:val="JuParaChar"/>
          <w:lang w:val="fr-FR"/>
        </w:rPr>
        <w:t xml:space="preserve"> mar</w:t>
      </w:r>
      <w:r w:rsidR="00C153CF">
        <w:rPr>
          <w:rStyle w:val="JuParaChar"/>
          <w:lang w:val="fr-FR"/>
        </w:rPr>
        <w:t>t</w:t>
      </w:r>
      <w:r w:rsidRPr="00A36205" w:rsidR="00A36205">
        <w:rPr>
          <w:rStyle w:val="JuParaChar"/>
          <w:lang w:val="fr-FR"/>
        </w:rPr>
        <w:t xml:space="preserve"> 1992, § 26, s</w:t>
      </w:r>
      <w:r w:rsidR="00A75CD9">
        <w:rPr>
          <w:rStyle w:val="JuParaChar"/>
          <w:lang w:val="fr-FR"/>
        </w:rPr>
        <w:t>e</w:t>
      </w:r>
      <w:r w:rsidRPr="00A36205" w:rsidR="00A36205">
        <w:rPr>
          <w:rStyle w:val="JuParaChar"/>
          <w:lang w:val="fr-FR"/>
        </w:rPr>
        <w:t>ri</w:t>
      </w:r>
      <w:r w:rsidR="00A75CD9">
        <w:rPr>
          <w:rStyle w:val="JuParaChar"/>
          <w:lang w:val="fr-FR"/>
        </w:rPr>
        <w:t>ja</w:t>
      </w:r>
      <w:r w:rsidRPr="00A36205" w:rsidR="00A36205">
        <w:rPr>
          <w:rStyle w:val="JuParaChar"/>
          <w:lang w:val="fr-FR"/>
        </w:rPr>
        <w:t xml:space="preserve"> A </w:t>
      </w:r>
      <w:r w:rsidR="00A75CD9">
        <w:rPr>
          <w:rStyle w:val="JuParaChar"/>
          <w:lang w:val="fr-FR"/>
        </w:rPr>
        <w:t>br.</w:t>
      </w:r>
      <w:r w:rsidRPr="00A36205" w:rsidR="00A36205">
        <w:rPr>
          <w:rStyle w:val="JuParaChar"/>
          <w:lang w:val="fr-FR"/>
        </w:rPr>
        <w:t> 234</w:t>
      </w:r>
      <w:r w:rsidRPr="00A36205" w:rsidR="00A36205">
        <w:rPr>
          <w:rStyle w:val="JuParaChar"/>
          <w:lang w:val="fr-FR"/>
        </w:rPr>
        <w:noBreakHyphen/>
        <w:t xml:space="preserve">C ; </w:t>
      </w:r>
      <w:r w:rsidR="00A75CD9">
        <w:rPr>
          <w:rStyle w:val="JuParaChar"/>
          <w:i/>
          <w:lang w:val="fr-FR"/>
        </w:rPr>
        <w:t>Raimondo protiv</w:t>
      </w:r>
      <w:r w:rsidRPr="00A36205" w:rsidR="00A36205">
        <w:rPr>
          <w:rStyle w:val="JuParaChar"/>
          <w:i/>
          <w:lang w:val="fr-FR"/>
        </w:rPr>
        <w:t xml:space="preserve"> Itali</w:t>
      </w:r>
      <w:r w:rsidR="00A75CD9">
        <w:rPr>
          <w:rStyle w:val="JuParaChar"/>
          <w:i/>
          <w:lang w:val="fr-FR"/>
        </w:rPr>
        <w:t>j</w:t>
      </w:r>
      <w:r w:rsidRPr="00A36205" w:rsidR="00A36205">
        <w:rPr>
          <w:rStyle w:val="JuParaChar"/>
          <w:i/>
          <w:lang w:val="fr-FR"/>
        </w:rPr>
        <w:t>e</w:t>
      </w:r>
      <w:r w:rsidRPr="00A36205" w:rsidR="00A36205">
        <w:rPr>
          <w:rStyle w:val="JuParaChar"/>
          <w:lang w:val="fr-FR"/>
        </w:rPr>
        <w:t>, 22</w:t>
      </w:r>
      <w:r w:rsidR="00C153CF">
        <w:rPr>
          <w:rStyle w:val="JuParaChar"/>
          <w:lang w:val="fr-FR"/>
        </w:rPr>
        <w:t>.</w:t>
      </w:r>
      <w:r w:rsidRPr="00A36205" w:rsidR="00A36205">
        <w:rPr>
          <w:rStyle w:val="JuParaChar"/>
          <w:lang w:val="fr-FR"/>
        </w:rPr>
        <w:t xml:space="preserve"> f</w:t>
      </w:r>
      <w:r w:rsidR="00C153CF">
        <w:rPr>
          <w:rStyle w:val="JuParaChar"/>
          <w:lang w:val="fr-FR"/>
        </w:rPr>
        <w:t>eb</w:t>
      </w:r>
      <w:r w:rsidRPr="00A36205" w:rsidR="00A36205">
        <w:rPr>
          <w:rStyle w:val="JuParaChar"/>
          <w:lang w:val="fr-FR"/>
        </w:rPr>
        <w:t>r</w:t>
      </w:r>
      <w:r w:rsidR="00C153CF">
        <w:rPr>
          <w:rStyle w:val="JuParaChar"/>
          <w:lang w:val="fr-FR"/>
        </w:rPr>
        <w:t>ua</w:t>
      </w:r>
      <w:r w:rsidR="00A75CD9">
        <w:rPr>
          <w:rStyle w:val="JuParaChar"/>
          <w:lang w:val="fr-FR"/>
        </w:rPr>
        <w:t>r 1994, § 2, se</w:t>
      </w:r>
      <w:r w:rsidRPr="00A36205" w:rsidR="00A36205">
        <w:rPr>
          <w:rStyle w:val="JuParaChar"/>
          <w:lang w:val="fr-FR"/>
        </w:rPr>
        <w:t>ri</w:t>
      </w:r>
      <w:r w:rsidR="00A75CD9">
        <w:rPr>
          <w:rStyle w:val="JuParaChar"/>
          <w:lang w:val="fr-FR"/>
        </w:rPr>
        <w:t>ja</w:t>
      </w:r>
      <w:r w:rsidRPr="00A36205" w:rsidR="00A36205">
        <w:rPr>
          <w:rStyle w:val="JuParaChar"/>
          <w:lang w:val="fr-FR"/>
        </w:rPr>
        <w:t xml:space="preserve"> A </w:t>
      </w:r>
      <w:r w:rsidR="00A75CD9">
        <w:rPr>
          <w:rStyle w:val="JuParaChar"/>
          <w:lang w:val="fr-FR"/>
        </w:rPr>
        <w:t>br.</w:t>
      </w:r>
      <w:r w:rsidRPr="00A36205" w:rsidR="00A36205">
        <w:rPr>
          <w:rStyle w:val="JuParaChar"/>
          <w:lang w:val="fr-FR"/>
        </w:rPr>
        <w:t xml:space="preserve"> 281</w:t>
      </w:r>
      <w:r w:rsidRPr="00A36205" w:rsidR="00A36205">
        <w:rPr>
          <w:rStyle w:val="JuParaChar"/>
          <w:lang w:val="fr-FR"/>
        </w:rPr>
        <w:noBreakHyphen/>
        <w:t xml:space="preserve">A ; </w:t>
      </w:r>
      <w:r w:rsidRPr="00A36205" w:rsidR="00A36205">
        <w:rPr>
          <w:rStyle w:val="JuParaChar"/>
          <w:i/>
          <w:lang w:val="fr-FR"/>
        </w:rPr>
        <w:t xml:space="preserve">Malhous </w:t>
      </w:r>
      <w:r w:rsidR="00A75CD9">
        <w:rPr>
          <w:rStyle w:val="JuParaChar"/>
          <w:i/>
          <w:lang w:val="fr-FR"/>
        </w:rPr>
        <w:t>protiv</w:t>
      </w:r>
      <w:r w:rsidRPr="00A36205" w:rsidR="00A36205">
        <w:rPr>
          <w:rStyle w:val="JuParaChar"/>
          <w:i/>
          <w:lang w:val="fr-FR"/>
        </w:rPr>
        <w:t> R</w:t>
      </w:r>
      <w:r w:rsidR="00A75CD9">
        <w:rPr>
          <w:rStyle w:val="JuParaChar"/>
          <w:i/>
          <w:lang w:val="fr-FR"/>
        </w:rPr>
        <w:t>e</w:t>
      </w:r>
      <w:r w:rsidRPr="00A36205" w:rsidR="00A36205">
        <w:rPr>
          <w:rStyle w:val="JuParaChar"/>
          <w:i/>
          <w:lang w:val="fr-FR"/>
        </w:rPr>
        <w:t>publi</w:t>
      </w:r>
      <w:r w:rsidR="00A75CD9">
        <w:rPr>
          <w:rStyle w:val="JuParaChar"/>
          <w:i/>
          <w:lang w:val="fr-FR"/>
        </w:rPr>
        <w:t>ke</w:t>
      </w:r>
      <w:r w:rsidRPr="00A36205" w:rsidR="00A36205">
        <w:rPr>
          <w:rStyle w:val="JuParaChar"/>
          <w:i/>
          <w:lang w:val="fr-FR"/>
        </w:rPr>
        <w:t xml:space="preserve"> </w:t>
      </w:r>
      <w:r w:rsidR="00A75CD9">
        <w:rPr>
          <w:rStyle w:val="JuParaChar"/>
          <w:i/>
          <w:lang w:val="fr-FR"/>
        </w:rPr>
        <w:t>Češke</w:t>
      </w:r>
      <w:r w:rsidRPr="00A36205" w:rsidR="00A36205">
        <w:rPr>
          <w:rStyle w:val="JuParaChar"/>
          <w:lang w:val="fr-FR"/>
        </w:rPr>
        <w:t xml:space="preserve"> (d</w:t>
      </w:r>
      <w:r w:rsidR="00A75CD9">
        <w:rPr>
          <w:rStyle w:val="JuParaChar"/>
          <w:lang w:val="fr-FR"/>
        </w:rPr>
        <w:t>e</w:t>
      </w:r>
      <w:r w:rsidRPr="00A36205" w:rsidR="00A36205">
        <w:rPr>
          <w:rStyle w:val="JuParaChar"/>
          <w:lang w:val="fr-FR"/>
        </w:rPr>
        <w:t xml:space="preserve">c.) </w:t>
      </w:r>
      <w:r w:rsidRPr="00C153CF" w:rsidR="00A36205">
        <w:rPr>
          <w:rStyle w:val="JuParaChar"/>
          <w:lang w:val="en-US"/>
        </w:rPr>
        <w:t xml:space="preserve">[GC], </w:t>
      </w:r>
      <w:r w:rsidR="00A75CD9">
        <w:rPr>
          <w:rStyle w:val="JuParaChar"/>
          <w:lang w:val="en-US"/>
        </w:rPr>
        <w:t>br.</w:t>
      </w:r>
      <w:r w:rsidRPr="00C153CF" w:rsidR="00A36205">
        <w:rPr>
          <w:rStyle w:val="JuParaChar"/>
          <w:vertAlign w:val="superscript"/>
          <w:lang w:val="en-US"/>
        </w:rPr>
        <w:t xml:space="preserve"> </w:t>
      </w:r>
      <w:r w:rsidRPr="00C153CF" w:rsidR="00A36205">
        <w:rPr>
          <w:rStyle w:val="JuParaChar"/>
          <w:lang w:val="en-US"/>
        </w:rPr>
        <w:t>33071/96, CEDH 2000</w:t>
      </w:r>
      <w:r w:rsidRPr="00C153CF" w:rsidR="00A36205">
        <w:rPr>
          <w:rStyle w:val="JuParaChar"/>
          <w:lang w:val="en-US"/>
        </w:rPr>
        <w:noBreakHyphen/>
        <w:t xml:space="preserve">XII, </w:t>
      </w:r>
      <w:r w:rsidRPr="00C153CF" w:rsidR="00C153CF">
        <w:rPr>
          <w:rStyle w:val="JuParaChar"/>
          <w:lang w:val="en-US"/>
        </w:rPr>
        <w:t>i</w:t>
      </w:r>
      <w:r w:rsidRPr="00C153CF" w:rsidR="00A36205">
        <w:rPr>
          <w:rStyle w:val="JuParaChar"/>
          <w:lang w:val="en-US"/>
        </w:rPr>
        <w:t xml:space="preserve">, </w:t>
      </w:r>
      <w:r w:rsidRPr="00C153CF" w:rsidR="00A36205">
        <w:rPr>
          <w:rStyle w:val="JuParaChar"/>
          <w:i/>
          <w:lang w:val="en-US"/>
        </w:rPr>
        <w:t>a contrario</w:t>
      </w:r>
      <w:r w:rsidRPr="00C153CF" w:rsidR="00A36205">
        <w:rPr>
          <w:rStyle w:val="JuParaChar"/>
          <w:lang w:val="en-US"/>
        </w:rPr>
        <w:t xml:space="preserve">, </w:t>
      </w:r>
      <w:r w:rsidR="00A75CD9">
        <w:rPr>
          <w:rStyle w:val="JuParaChar"/>
          <w:i/>
          <w:lang w:val="en-US"/>
        </w:rPr>
        <w:t>Scherer protiv</w:t>
      </w:r>
      <w:r w:rsidRPr="00C153CF" w:rsidR="00A36205">
        <w:rPr>
          <w:rStyle w:val="JuParaChar"/>
          <w:i/>
          <w:lang w:val="en-US"/>
        </w:rPr>
        <w:t xml:space="preserve"> </w:t>
      </w:r>
      <w:r w:rsidR="00A75CD9">
        <w:rPr>
          <w:rStyle w:val="JuParaChar"/>
          <w:i/>
          <w:lang w:val="en-US"/>
        </w:rPr>
        <w:t>Švajcarske</w:t>
      </w:r>
      <w:r w:rsidRPr="00C153CF" w:rsidR="00A36205">
        <w:rPr>
          <w:rStyle w:val="JuParaChar"/>
          <w:lang w:val="en-US"/>
        </w:rPr>
        <w:t>, 25</w:t>
      </w:r>
      <w:r w:rsidRPr="00C153CF" w:rsidR="00C153CF">
        <w:rPr>
          <w:rStyle w:val="JuParaChar"/>
          <w:lang w:val="en-US"/>
        </w:rPr>
        <w:t>.</w:t>
      </w:r>
      <w:r w:rsidRPr="00C153CF" w:rsidR="00A36205">
        <w:rPr>
          <w:rStyle w:val="JuParaChar"/>
          <w:lang w:val="en-US"/>
        </w:rPr>
        <w:t xml:space="preserve"> mar</w:t>
      </w:r>
      <w:r w:rsidRPr="00C153CF" w:rsidR="00C153CF">
        <w:rPr>
          <w:rStyle w:val="JuParaChar"/>
          <w:lang w:val="en-US"/>
        </w:rPr>
        <w:t>t</w:t>
      </w:r>
      <w:r w:rsidRPr="00C153CF" w:rsidR="00A36205">
        <w:rPr>
          <w:rStyle w:val="JuParaChar"/>
          <w:lang w:val="en-US"/>
        </w:rPr>
        <w:t xml:space="preserve"> 1994, §§ 31-32, s</w:t>
      </w:r>
      <w:r w:rsidR="00A75CD9">
        <w:rPr>
          <w:rStyle w:val="JuParaChar"/>
          <w:lang w:val="en-US"/>
        </w:rPr>
        <w:t>e</w:t>
      </w:r>
      <w:r w:rsidRPr="00C153CF" w:rsidR="00A36205">
        <w:rPr>
          <w:rStyle w:val="JuParaChar"/>
          <w:lang w:val="en-US"/>
        </w:rPr>
        <w:t>ri</w:t>
      </w:r>
      <w:r w:rsidR="00A75CD9">
        <w:rPr>
          <w:rStyle w:val="JuParaChar"/>
          <w:lang w:val="en-US"/>
        </w:rPr>
        <w:t>ja</w:t>
      </w:r>
      <w:r w:rsidRPr="00C153CF" w:rsidR="00A36205">
        <w:rPr>
          <w:rStyle w:val="JuParaChar"/>
          <w:lang w:val="en-US"/>
        </w:rPr>
        <w:t xml:space="preserve"> A </w:t>
      </w:r>
      <w:r w:rsidR="00A75CD9">
        <w:rPr>
          <w:rStyle w:val="JuParaChar"/>
          <w:lang w:val="en-US"/>
        </w:rPr>
        <w:t>br.</w:t>
      </w:r>
      <w:r w:rsidRPr="00C153CF" w:rsidR="00A36205">
        <w:rPr>
          <w:rStyle w:val="JuParaChar"/>
          <w:lang w:val="en-US"/>
        </w:rPr>
        <w:t xml:space="preserve"> 287).</w:t>
      </w:r>
    </w:p>
    <w:p w:rsidRPr="002B6583" w:rsidR="002B6583" w:rsidP="00905B01" w:rsidRDefault="00905B01">
      <w:pPr>
        <w:pStyle w:val="JuPara"/>
        <w:rPr>
          <w:rStyle w:val="JuParaChar"/>
          <w:color w:val="FF0000"/>
          <w:lang w:val="en-US"/>
        </w:rPr>
      </w:pPr>
      <w:r w:rsidRPr="00D11B16">
        <w:rPr>
          <w:rStyle w:val="JuParaChar"/>
          <w:lang w:val="fr-FR"/>
        </w:rPr>
        <w:fldChar w:fldCharType="begin"/>
      </w:r>
      <w:r w:rsidRPr="002B6583">
        <w:rPr>
          <w:rStyle w:val="JuParaChar"/>
          <w:lang w:val="en-US"/>
        </w:rPr>
        <w:instrText xml:space="preserve"> SEQ level0 \*arabic </w:instrText>
      </w:r>
      <w:r w:rsidRPr="00D11B16">
        <w:rPr>
          <w:rStyle w:val="JuParaChar"/>
          <w:lang w:val="fr-FR"/>
        </w:rPr>
        <w:fldChar w:fldCharType="separate"/>
      </w:r>
      <w:r w:rsidRPr="002B6583">
        <w:rPr>
          <w:rStyle w:val="JuParaChar"/>
          <w:noProof/>
          <w:lang w:val="en-US"/>
        </w:rPr>
        <w:t>27</w:t>
      </w:r>
      <w:r w:rsidRPr="00D11B16">
        <w:rPr>
          <w:rStyle w:val="JuParaChar"/>
          <w:lang w:val="fr-FR"/>
        </w:rPr>
        <w:fldChar w:fldCharType="end"/>
      </w:r>
      <w:r w:rsidRPr="002B6583">
        <w:rPr>
          <w:rStyle w:val="JuParaChar"/>
          <w:lang w:val="en-US"/>
        </w:rPr>
        <w:t>. </w:t>
      </w:r>
      <w:r w:rsidRPr="002B6583" w:rsidR="00A36205">
        <w:rPr>
          <w:rStyle w:val="JuParaChar"/>
          <w:lang w:val="en-US"/>
        </w:rPr>
        <w:t>Sud, u</w:t>
      </w:r>
      <w:r w:rsidRPr="002B6583" w:rsidR="00A36205">
        <w:rPr>
          <w:rStyle w:val="JuParaChar"/>
          <w:b/>
          <w:lang w:val="en-US"/>
        </w:rPr>
        <w:t xml:space="preserve"> </w:t>
      </w:r>
      <w:r w:rsidRPr="002B6583" w:rsidR="00A36205">
        <w:rPr>
          <w:rStyle w:val="JuParaChar"/>
          <w:lang w:val="en-US"/>
        </w:rPr>
        <w:t>ovom slučaju, primećuje da je g. Panajotis Zolotas sin podnosioca predstavke i njegov naslednik</w:t>
      </w:r>
      <w:r w:rsidRPr="002B6583" w:rsidR="00A36205">
        <w:rPr>
          <w:rStyle w:val="JuParaChar"/>
          <w:b/>
          <w:lang w:val="en-US"/>
        </w:rPr>
        <w:t xml:space="preserve"> </w:t>
      </w:r>
      <w:r w:rsidRPr="002B6583" w:rsidR="00A36205">
        <w:rPr>
          <w:rStyle w:val="JuParaChar"/>
          <w:i/>
          <w:lang w:val="en-US"/>
        </w:rPr>
        <w:t>ab intestat</w:t>
      </w:r>
      <w:r w:rsidRPr="002B6583" w:rsidR="00A36205">
        <w:rPr>
          <w:rStyle w:val="JuParaChar"/>
          <w:lang w:val="en-US"/>
        </w:rPr>
        <w:t xml:space="preserve"> i </w:t>
      </w:r>
      <w:r w:rsidRPr="002B6583" w:rsidR="00A36205">
        <w:rPr>
          <w:rStyle w:val="JuParaChar"/>
          <w:i/>
          <w:lang w:val="en-US"/>
        </w:rPr>
        <w:t>par indivis</w:t>
      </w:r>
      <w:r w:rsidRPr="002B6583" w:rsidR="00A36205">
        <w:rPr>
          <w:rStyle w:val="JuParaChar"/>
          <w:lang w:val="en-US"/>
        </w:rPr>
        <w:t xml:space="preserve">, </w:t>
      </w:r>
      <w:r w:rsidRPr="002B6583" w:rsidR="00D3138D">
        <w:rPr>
          <w:rStyle w:val="JuParaChar"/>
          <w:lang w:val="en-US"/>
        </w:rPr>
        <w:t>kao i</w:t>
      </w:r>
      <w:r w:rsidRPr="002B6583" w:rsidR="002B6583">
        <w:rPr>
          <w:rStyle w:val="JuParaChar"/>
          <w:lang w:val="en-US"/>
        </w:rPr>
        <w:t xml:space="preserve"> </w:t>
      </w:r>
      <w:r w:rsidRPr="002B6583" w:rsidR="00A36205">
        <w:rPr>
          <w:rStyle w:val="JuParaChar"/>
          <w:lang w:val="en-US"/>
        </w:rPr>
        <w:t xml:space="preserve">da je pravo zagarantovano članom 1 Prvog protokola </w:t>
      </w:r>
      <w:r w:rsidRPr="002B6583" w:rsidR="0017562B">
        <w:rPr>
          <w:rStyle w:val="JuParaChar"/>
          <w:lang w:val="en-US"/>
        </w:rPr>
        <w:t xml:space="preserve">prvenstveno </w:t>
      </w:r>
      <w:r w:rsidRPr="002B6583" w:rsidR="00A36205">
        <w:rPr>
          <w:rStyle w:val="JuParaChar"/>
          <w:lang w:val="en-US"/>
        </w:rPr>
        <w:t>prenosivo.</w:t>
      </w:r>
      <w:r w:rsidRPr="002B6583" w:rsidR="0017562B">
        <w:rPr>
          <w:rStyle w:val="JuParaChar"/>
          <w:lang w:val="en-US"/>
        </w:rPr>
        <w:t xml:space="preserve"> G. Panajotis Zolotas ima dakle legitimni interes koji mu daje pravnu kvalifikaciju za </w:t>
      </w:r>
      <w:r w:rsidRPr="002B6583" w:rsidR="00A75CD9">
        <w:rPr>
          <w:rStyle w:val="JuParaChar"/>
          <w:lang w:val="en-US"/>
        </w:rPr>
        <w:t>žalbu</w:t>
      </w:r>
      <w:r w:rsidRPr="002B6583" w:rsidR="0017562B">
        <w:rPr>
          <w:rStyle w:val="JuParaChar"/>
          <w:lang w:val="en-US"/>
        </w:rPr>
        <w:t xml:space="preserve"> u ime </w:t>
      </w:r>
      <w:r w:rsidRPr="002B6583" w:rsidR="00B614BC">
        <w:rPr>
          <w:rStyle w:val="JuParaChar"/>
          <w:lang w:val="en-US"/>
        </w:rPr>
        <w:t xml:space="preserve">svog </w:t>
      </w:r>
      <w:r w:rsidRPr="002B6583" w:rsidR="0017562B">
        <w:rPr>
          <w:rStyle w:val="JuParaChar"/>
          <w:lang w:val="en-US"/>
        </w:rPr>
        <w:t>preminulog oca.</w:t>
      </w:r>
      <w:r w:rsidRPr="002B6583" w:rsidR="002B6583">
        <w:rPr>
          <w:rStyle w:val="JuParaChar"/>
          <w:b/>
          <w:lang w:val="en-US"/>
        </w:rPr>
        <w:t xml:space="preserve"> </w:t>
      </w:r>
    </w:p>
    <w:p w:rsidR="002B6583" w:rsidP="00905B01" w:rsidRDefault="00905B01">
      <w:pPr>
        <w:pStyle w:val="JuHIRoman"/>
      </w:pPr>
      <w:r>
        <w:t>I</w:t>
      </w:r>
      <w:r w:rsidRPr="00A6337F">
        <w:t>I. </w:t>
      </w:r>
      <w:r w:rsidR="00757C62">
        <w:t xml:space="preserve"> O NAVODNO</w:t>
      </w:r>
      <w:r w:rsidR="00B614BC">
        <w:t>J</w:t>
      </w:r>
      <w:r w:rsidR="00757C62">
        <w:t xml:space="preserve"> </w:t>
      </w:r>
      <w:r w:rsidR="00B614BC">
        <w:t>POVREDI</w:t>
      </w:r>
      <w:r w:rsidR="00757C62">
        <w:t xml:space="preserve"> ČLANA 1 PRVOG PROTOKOLA KONVENCIJE </w:t>
      </w:r>
      <w:r w:rsidRPr="00A6337F">
        <w:t> </w:t>
      </w:r>
    </w:p>
    <w:p w:rsidR="002B6583" w:rsidP="00B614BC" w:rsidRDefault="00905B01">
      <w:pPr>
        <w:pStyle w:val="JuPara"/>
        <w:rPr>
          <w:lang w:val="en-US"/>
        </w:rPr>
      </w:pPr>
      <w:r w:rsidRPr="00A6337F">
        <w:fldChar w:fldCharType="begin"/>
      </w:r>
      <w:r w:rsidRPr="00A6337F">
        <w:instrText xml:space="preserve"> SEQ level0 \*arabic </w:instrText>
      </w:r>
      <w:r w:rsidRPr="00A6337F">
        <w:fldChar w:fldCharType="separate"/>
      </w:r>
      <w:r>
        <w:rPr>
          <w:noProof/>
        </w:rPr>
        <w:t>28</w:t>
      </w:r>
      <w:r w:rsidRPr="00A6337F">
        <w:fldChar w:fldCharType="end"/>
      </w:r>
      <w:r w:rsidRPr="00A6337F">
        <w:t>.  </w:t>
      </w:r>
      <w:r w:rsidR="00BE09A6">
        <w:t xml:space="preserve">Podnosilac predstavke se žalio da su domaći parnični sudovi, pozivajući se na rok zastarevanja od dvadeset godina predviđen </w:t>
      </w:r>
      <w:r w:rsidR="00922C88">
        <w:t>G</w:t>
      </w:r>
      <w:r w:rsidR="00BE09A6">
        <w:t xml:space="preserve">rađanskim zakonikom kao i zakonskim dekretom br. </w:t>
      </w:r>
      <w:r w:rsidRPr="00BE09A6" w:rsidR="00BE09A6">
        <w:t>1195/1942</w:t>
      </w:r>
      <w:r w:rsidR="00BE09A6">
        <w:t>, smatrali da su njegova potraživanja od banke u kojoj je imao račun zastarela i da je saldo njegovog računa pripao državi, kao krajnjem korisniku neaktivnih bankovnih računa.</w:t>
      </w:r>
      <w:r w:rsidR="002B6583">
        <w:t xml:space="preserve"> </w:t>
      </w:r>
      <w:r w:rsidRPr="00BE09A6" w:rsidR="00BE09A6">
        <w:rPr>
          <w:lang w:val="en-US"/>
        </w:rPr>
        <w:t>On tvrdi da postoji kršenje člana 1 Prvog protokola, koji glasi :</w:t>
      </w:r>
      <w:r w:rsidR="002B6583">
        <w:rPr>
          <w:lang w:val="en-US"/>
        </w:rPr>
        <w:t xml:space="preserve"> </w:t>
      </w:r>
    </w:p>
    <w:p w:rsidR="002B6583" w:rsidP="00532ADE" w:rsidRDefault="00905B01">
      <w:pPr>
        <w:pStyle w:val="JuQuot"/>
      </w:pPr>
      <w:r w:rsidRPr="002B6583">
        <w:rPr>
          <w:lang w:val="en-US"/>
        </w:rPr>
        <w:t>« </w:t>
      </w:r>
      <w:r w:rsidRPr="002B6583" w:rsidR="00532ADE">
        <w:rPr>
          <w:lang w:val="en-US"/>
        </w:rPr>
        <w:t xml:space="preserve"> Svako fizičko i pravno lice ima pravo na neometano uživanje svoje imovine. </w:t>
      </w:r>
      <w:r w:rsidRPr="00532ADE" w:rsidR="00532ADE">
        <w:t>Niko ne može biti lišen svoje imovine, osim u javnom interesu i pod uslovima predviđenim zakonom i opštim načelima međunarodnog prava.</w:t>
      </w:r>
    </w:p>
    <w:p w:rsidRPr="00532ADE" w:rsidR="00905B01" w:rsidP="00B614BC" w:rsidRDefault="00532ADE">
      <w:pPr>
        <w:pStyle w:val="JuQuot"/>
        <w:spacing w:before="0"/>
      </w:pPr>
      <w:r w:rsidRPr="00532ADE">
        <w:t>Prethodne odredbe, međutim, ni na koji način ne utiču na pravo države da primenjuje zakone koje smatra potrebnim da bi regulisala korišćenje imovine u skladu s opštim interesima ili da bi obezbedila naplatu poreza ili drugih dažbina ili kazni.</w:t>
      </w:r>
      <w:r w:rsidRPr="00532ADE" w:rsidR="00905B01">
        <w:t> »</w:t>
      </w:r>
      <w:r w:rsidR="00B614BC">
        <w:t xml:space="preserve"> </w:t>
      </w:r>
      <w:r w:rsidRPr="00532ADE" w:rsidR="004F0ECC">
        <w:t>(...)</w:t>
      </w:r>
    </w:p>
    <w:p w:rsidRPr="00A6337F" w:rsidR="00905B01" w:rsidP="00905B01" w:rsidRDefault="00905B01">
      <w:pPr>
        <w:pStyle w:val="JuHA"/>
        <w:outlineLvl w:val="0"/>
      </w:pPr>
      <w:r w:rsidRPr="00A6337F">
        <w:t>B.  </w:t>
      </w:r>
      <w:r w:rsidR="00532ADE">
        <w:t>O suštini</w:t>
      </w:r>
    </w:p>
    <w:p w:rsidR="00905B01" w:rsidP="00905B01" w:rsidRDefault="00905B01">
      <w:pPr>
        <w:pStyle w:val="JuH1"/>
      </w:pPr>
      <w:r>
        <w:t>1.  </w:t>
      </w:r>
      <w:r w:rsidR="00532ADE">
        <w:t>Argumentacije stran</w:t>
      </w:r>
      <w:r w:rsidR="0085138C">
        <w:t>ak</w:t>
      </w:r>
      <w:r w:rsidR="00532ADE">
        <w:t>a</w:t>
      </w:r>
    </w:p>
    <w:p w:rsidR="00905B01" w:rsidP="00905B01" w:rsidRDefault="00905B01">
      <w:pPr>
        <w:pStyle w:val="JuHa0"/>
      </w:pPr>
      <w:r>
        <w:t>a</w:t>
      </w:r>
      <w:r w:rsidR="00532ADE">
        <w:t>)  Vlada</w:t>
      </w:r>
    </w:p>
    <w:p w:rsidR="002B6583" w:rsidP="00905B01" w:rsidRDefault="00905B01">
      <w:pPr>
        <w:pStyle w:val="JuPara"/>
      </w:pPr>
      <w:r w:rsidRPr="00384A40">
        <w:fldChar w:fldCharType="begin"/>
      </w:r>
      <w:r w:rsidRPr="00384A40">
        <w:instrText xml:space="preserve"> SEQ level0 \*arabic </w:instrText>
      </w:r>
      <w:r w:rsidR="004F0ECC">
        <w:instrText>\r30</w:instrText>
      </w:r>
      <w:r w:rsidRPr="00384A40">
        <w:fldChar w:fldCharType="separate"/>
      </w:r>
      <w:r w:rsidR="004F0ECC">
        <w:rPr>
          <w:noProof/>
        </w:rPr>
        <w:t>30</w:t>
      </w:r>
      <w:r w:rsidRPr="00384A40">
        <w:fldChar w:fldCharType="end"/>
      </w:r>
      <w:r w:rsidRPr="00384A40">
        <w:t>.  </w:t>
      </w:r>
      <w:r w:rsidR="00532ADE">
        <w:t>Vlada ističe da je osnovni cilj zakonskog dekreta br.</w:t>
      </w:r>
      <w:r w:rsidRPr="00532ADE" w:rsidR="00532ADE">
        <w:rPr>
          <w:color w:val="FF0000"/>
        </w:rPr>
        <w:t xml:space="preserve"> </w:t>
      </w:r>
      <w:r w:rsidRPr="00532ADE" w:rsidR="00532ADE">
        <w:t>1195/1942</w:t>
      </w:r>
      <w:r w:rsidR="00532ADE">
        <w:t xml:space="preserve"> da služi opštem interesu tako što bi se sprečilo da banke, deoničarska društva i ostala pravna lica prisvoje novčane sume koje odgovaraju kapitalu i rentama koje su proizvele menice i hartije od vrednosti, </w:t>
      </w:r>
      <w:r w:rsidR="00103FC3">
        <w:t>usled</w:t>
      </w:r>
      <w:r w:rsidR="00532ADE">
        <w:t xml:space="preserve"> nekativnosti njihovih </w:t>
      </w:r>
      <w:r w:rsidR="00B614BC">
        <w:t>vlasnika</w:t>
      </w:r>
      <w:r w:rsidR="00532ADE">
        <w:t>, koja je veoma često rezultat činjenice da su isti preminuli bez naslednika ili da su odustali od svojih potraživanja.</w:t>
      </w:r>
    </w:p>
    <w:p w:rsidR="002B6583" w:rsidP="00905B01" w:rsidRDefault="00905B01">
      <w:pPr>
        <w:pStyle w:val="JuPara"/>
      </w:pPr>
      <w:r>
        <w:fldChar w:fldCharType="begin"/>
      </w:r>
      <w:r>
        <w:instrText xml:space="preserve"> SEQ level0 \*arabic </w:instrText>
      </w:r>
      <w:r>
        <w:fldChar w:fldCharType="separate"/>
      </w:r>
      <w:r>
        <w:rPr>
          <w:noProof/>
        </w:rPr>
        <w:t>31</w:t>
      </w:r>
      <w:r>
        <w:fldChar w:fldCharType="end"/>
      </w:r>
      <w:r>
        <w:t>.  </w:t>
      </w:r>
      <w:r w:rsidR="00B614BC">
        <w:t>Prava</w:t>
      </w:r>
      <w:r w:rsidR="00532ADE">
        <w:t xml:space="preserve"> podnosioca predstavke </w:t>
      </w:r>
      <w:r w:rsidR="00A97999">
        <w:t xml:space="preserve">navodno </w:t>
      </w:r>
      <w:r w:rsidR="00532ADE">
        <w:t>potpa</w:t>
      </w:r>
      <w:r w:rsidR="00A97999">
        <w:t>da</w:t>
      </w:r>
      <w:r w:rsidR="00B614BC">
        <w:t>ju</w:t>
      </w:r>
      <w:r w:rsidR="002B6583">
        <w:t xml:space="preserve"> </w:t>
      </w:r>
      <w:r w:rsidR="00532ADE">
        <w:t xml:space="preserve">pod zastarevanje predviđeno opštim odredbama </w:t>
      </w:r>
      <w:r w:rsidR="00B614BC">
        <w:t>G</w:t>
      </w:r>
      <w:r w:rsidR="00532ADE">
        <w:t xml:space="preserve">rađanskog zakonika, </w:t>
      </w:r>
      <w:r w:rsidR="00A97999">
        <w:t xml:space="preserve">koje su navodno važeće uporedo sa odredbama zakonskog dekreta i nezavisno od njih. Zakonski dekret je navodno različit od članova 247 i sledećih </w:t>
      </w:r>
      <w:r w:rsidR="00B614BC">
        <w:t>G</w:t>
      </w:r>
      <w:r w:rsidR="00A97999">
        <w:t xml:space="preserve">rađanskog zakonika u tome što zastarelo potraživanje </w:t>
      </w:r>
      <w:r w:rsidR="00B614BC">
        <w:t>navodno pripada državi a ne banc</w:t>
      </w:r>
      <w:r w:rsidR="00A97999">
        <w:t>i u kojoj je neaktivni račun bio otvoren. Primena odredaba zakonskog dekreta u slučaju podnosioca predstavke navodno ne bi imala nikakvog posebnog uticaja na zastare</w:t>
      </w:r>
      <w:r w:rsidR="00B614BC">
        <w:t>lost</w:t>
      </w:r>
      <w:r w:rsidR="002B6583">
        <w:t xml:space="preserve"> </w:t>
      </w:r>
      <w:r w:rsidR="00A97999">
        <w:t>jer kako navodi Vlada njegov</w:t>
      </w:r>
      <w:r w:rsidR="00B614BC">
        <w:t>o</w:t>
      </w:r>
      <w:r w:rsidR="00A97999">
        <w:t xml:space="preserve"> </w:t>
      </w:r>
      <w:r w:rsidR="00B614BC">
        <w:t>pravo bi</w:t>
      </w:r>
      <w:r w:rsidR="00A97999">
        <w:t xml:space="preserve"> u svakom slučaju bi</w:t>
      </w:r>
      <w:r w:rsidR="00B614BC">
        <w:t>l</w:t>
      </w:r>
      <w:r w:rsidR="00A97999">
        <w:t>o zastare</w:t>
      </w:r>
      <w:r w:rsidR="00B614BC">
        <w:t>lo i na osnovu samog G</w:t>
      </w:r>
      <w:r w:rsidR="00A97999">
        <w:t>rađanskog zakonika, sa razlikom samo utoliko što bi korisnik u tom slučaju bila banka</w:t>
      </w:r>
      <w:r w:rsidR="00103FC3">
        <w:t>,</w:t>
      </w:r>
      <w:r w:rsidR="00A97999">
        <w:t xml:space="preserve"> a ne država.</w:t>
      </w:r>
    </w:p>
    <w:p w:rsidRPr="00A02A95" w:rsidR="00F660EA" w:rsidP="00F660EA" w:rsidRDefault="00905B01">
      <w:pPr>
        <w:pStyle w:val="JuPara"/>
        <w:rPr>
          <w:color w:val="FF0000"/>
        </w:rPr>
      </w:pPr>
      <w:r>
        <w:fldChar w:fldCharType="begin"/>
      </w:r>
      <w:r>
        <w:instrText xml:space="preserve"> SEQ level0 \*arabic </w:instrText>
      </w:r>
      <w:r>
        <w:fldChar w:fldCharType="separate"/>
      </w:r>
      <w:r>
        <w:rPr>
          <w:noProof/>
        </w:rPr>
        <w:t>32</w:t>
      </w:r>
      <w:r>
        <w:fldChar w:fldCharType="end"/>
      </w:r>
      <w:r>
        <w:t>.  </w:t>
      </w:r>
      <w:r w:rsidR="00180287">
        <w:t>B</w:t>
      </w:r>
      <w:r w:rsidR="00A02A95">
        <w:t xml:space="preserve">anka navodno ne bi imala obavezu da upozori podnosioca predstavke pre isteka roka zastarevanja. Budući da mu je banka uručila bankovnu knjižicu njegova je dužnost da je ažurira, s obzirom da </w:t>
      </w:r>
      <w:r w:rsidR="00180287">
        <w:t>ta knjižica predstavlja dokaz o</w:t>
      </w:r>
      <w:r w:rsidR="00A02A95">
        <w:t xml:space="preserve"> iznosu</w:t>
      </w:r>
      <w:r w:rsidR="00180287">
        <w:t xml:space="preserve"> depozita</w:t>
      </w:r>
      <w:r w:rsidR="00A02A95">
        <w:t xml:space="preserve"> na njegovom računu kao i o </w:t>
      </w:r>
      <w:r w:rsidR="00F660EA">
        <w:t xml:space="preserve">postojanju </w:t>
      </w:r>
      <w:r w:rsidR="00A02A95">
        <w:t>promena</w:t>
      </w:r>
      <w:r w:rsidR="00F660EA">
        <w:t xml:space="preserve"> na njemu (presuda Kasacionog </w:t>
      </w:r>
      <w:r w:rsidRPr="00180287" w:rsidR="00F660EA">
        <w:t>suda</w:t>
      </w:r>
      <w:r w:rsidR="002B6583">
        <w:rPr>
          <w:color w:val="FF0000"/>
        </w:rPr>
        <w:t xml:space="preserve"> </w:t>
      </w:r>
      <w:r w:rsidRPr="00180287" w:rsidR="00C153CF">
        <w:t>br.</w:t>
      </w:r>
      <w:r w:rsidRPr="00180287" w:rsidR="00F660EA">
        <w:t xml:space="preserve"> 432/1990 </w:t>
      </w:r>
      <w:r w:rsidRPr="00180287" w:rsidR="00C153CF">
        <w:t>i br.</w:t>
      </w:r>
      <w:r w:rsidRPr="00180287" w:rsidR="00F660EA">
        <w:t> 1623/1995 – gornji paragraf 24).</w:t>
      </w:r>
    </w:p>
    <w:p w:rsidR="002B6583" w:rsidP="00905B01" w:rsidRDefault="00905B01">
      <w:pPr>
        <w:pStyle w:val="JuPara"/>
      </w:pPr>
      <w:r>
        <w:fldChar w:fldCharType="begin"/>
      </w:r>
      <w:r>
        <w:instrText xml:space="preserve"> SEQ level0 \*arabic </w:instrText>
      </w:r>
      <w:r>
        <w:fldChar w:fldCharType="separate"/>
      </w:r>
      <w:r>
        <w:rPr>
          <w:noProof/>
        </w:rPr>
        <w:t>33</w:t>
      </w:r>
      <w:r>
        <w:fldChar w:fldCharType="end"/>
      </w:r>
      <w:r>
        <w:t>.</w:t>
      </w:r>
      <w:r w:rsidR="00F660EA">
        <w:t xml:space="preserve"> Iz toga navodno proističe da ažuriranje bankovnog izvoda podnosioca predstavke koje</w:t>
      </w:r>
      <w:r w:rsidR="00114014">
        <w:t xml:space="preserve"> </w:t>
      </w:r>
      <w:r w:rsidR="00F660EA">
        <w:t>banka</w:t>
      </w:r>
      <w:r w:rsidR="00180287">
        <w:t xml:space="preserve"> vrši šestomesečno</w:t>
      </w:r>
      <w:r w:rsidR="00F660EA">
        <w:t xml:space="preserve">, </w:t>
      </w:r>
      <w:r w:rsidR="00114014">
        <w:t>tako što</w:t>
      </w:r>
      <w:r w:rsidR="00F660EA">
        <w:t xml:space="preserve"> upis</w:t>
      </w:r>
      <w:r w:rsidR="00114014">
        <w:t>uje</w:t>
      </w:r>
      <w:r w:rsidR="00F660EA">
        <w:t xml:space="preserve"> kamat</w:t>
      </w:r>
      <w:r w:rsidR="00114014">
        <w:t>e</w:t>
      </w:r>
      <w:r w:rsidR="00F660EA">
        <w:t xml:space="preserve"> </w:t>
      </w:r>
      <w:r w:rsidR="00114014">
        <w:t xml:space="preserve">po tom </w:t>
      </w:r>
      <w:r w:rsidR="00F660EA">
        <w:t>račun</w:t>
      </w:r>
      <w:r w:rsidR="00114014">
        <w:t>u</w:t>
      </w:r>
      <w:r w:rsidR="00F660EA">
        <w:t>, ne povlači prekid roka zastarevanja, jer</w:t>
      </w:r>
      <w:r w:rsidR="00114014">
        <w:t xml:space="preserve"> se taj dokument ne šalje podnosiocu predstavke niti on dolazi u njegov posed, </w:t>
      </w:r>
      <w:r w:rsidR="00180287">
        <w:t>budući da</w:t>
      </w:r>
      <w:r w:rsidR="00F660EA">
        <w:t xml:space="preserve"> se radi o običnoj aktualizaciji bančinih podataka, što navodno predstavlja </w:t>
      </w:r>
      <w:r w:rsidR="00114014">
        <w:t>interne</w:t>
      </w:r>
      <w:r w:rsidR="00F660EA">
        <w:t xml:space="preserve"> bančine procedure. </w:t>
      </w:r>
      <w:r w:rsidR="00114014">
        <w:t>Navodno se taj dokument na stavlja na uvid podnosiocu predstavke, jer nije on došao da obavi neku transakciju ili da mu se u bankovnu knjižicu upišu promene do kojih je došlo na njegovom računu.</w:t>
      </w:r>
      <w:r w:rsidR="002B6583">
        <w:t xml:space="preserve"> </w:t>
      </w:r>
      <w:r w:rsidR="00F660EA">
        <w:t xml:space="preserve"> </w:t>
      </w:r>
      <w:r>
        <w:t> </w:t>
      </w:r>
    </w:p>
    <w:p w:rsidR="002B6583" w:rsidP="00905B01" w:rsidRDefault="00905B01">
      <w:pPr>
        <w:pStyle w:val="JuPara"/>
      </w:pPr>
      <w:r>
        <w:fldChar w:fldCharType="begin"/>
      </w:r>
      <w:r>
        <w:instrText xml:space="preserve"> SEQ level0 \*arabic </w:instrText>
      </w:r>
      <w:r>
        <w:fldChar w:fldCharType="separate"/>
      </w:r>
      <w:r>
        <w:rPr>
          <w:noProof/>
        </w:rPr>
        <w:t>34</w:t>
      </w:r>
      <w:r>
        <w:fldChar w:fldCharType="end"/>
      </w:r>
      <w:r>
        <w:t>.  </w:t>
      </w:r>
      <w:r w:rsidR="000D2DFC">
        <w:t xml:space="preserve">Pored ostalog, Vlada zamera podnosiocu predstavke što nije pokazao ni minimum revnosti. Najzad, domaći sudovi su navodno odbacili </w:t>
      </w:r>
      <w:r w:rsidR="00B97EA3">
        <w:t>osnov</w:t>
      </w:r>
      <w:r w:rsidR="000D2DFC">
        <w:t xml:space="preserve"> više sile na koji se poziva podnosilac predstavke u svojoj argumentaciji prema kojem bi postojao zastoj zastarevanja zbog njegovih i bolesti njegove supruge.</w:t>
      </w:r>
    </w:p>
    <w:p w:rsidR="00905B01" w:rsidP="00905B01" w:rsidRDefault="00905B01">
      <w:pPr>
        <w:pStyle w:val="JuHa0"/>
      </w:pPr>
      <w:r>
        <w:t>b)  </w:t>
      </w:r>
      <w:r w:rsidR="00A02A95">
        <w:t>Podnosilac predstavke</w:t>
      </w:r>
    </w:p>
    <w:p w:rsidR="006B0785" w:rsidP="00905B01" w:rsidRDefault="00905B01">
      <w:pPr>
        <w:pStyle w:val="JuPara"/>
      </w:pPr>
      <w:r>
        <w:fldChar w:fldCharType="begin"/>
      </w:r>
      <w:r>
        <w:instrText xml:space="preserve"> SEQ level0 \*arabic </w:instrText>
      </w:r>
      <w:r>
        <w:fldChar w:fldCharType="separate"/>
      </w:r>
      <w:r>
        <w:rPr>
          <w:noProof/>
        </w:rPr>
        <w:t>35</w:t>
      </w:r>
      <w:r>
        <w:fldChar w:fldCharType="end"/>
      </w:r>
      <w:r>
        <w:t>.  </w:t>
      </w:r>
      <w:r w:rsidR="006B0785">
        <w:t>Podnosilac predstavke tvrdi da je</w:t>
      </w:r>
      <w:r w:rsidR="00895F19">
        <w:t>,</w:t>
      </w:r>
      <w:r w:rsidR="006B0785">
        <w:t xml:space="preserve"> kada je otvarao račun u duhu ugovorne slobode</w:t>
      </w:r>
      <w:r w:rsidR="00895F19">
        <w:t>,</w:t>
      </w:r>
      <w:r w:rsidR="006B0785">
        <w:t xml:space="preserve"> imao nameru da zak</w:t>
      </w:r>
      <w:r w:rsidR="00895F19">
        <w:t>ljuči ugovor o doživotnoj renti. Uticaj zastarevanja, pošto je bilo očigledno da javni poredak nije bio ugrožen,</w:t>
      </w:r>
      <w:r w:rsidR="002B6583">
        <w:t xml:space="preserve"> </w:t>
      </w:r>
      <w:r w:rsidR="00895F19">
        <w:t xml:space="preserve">po njemu uopšte nije bio kompatibilan sa </w:t>
      </w:r>
      <w:r w:rsidRPr="00B97EA3" w:rsidR="00895F19">
        <w:t>načelima savesnosti, dobrih običaja i sinalagmatičke prakse.</w:t>
      </w:r>
      <w:r w:rsidR="00895F19">
        <w:t xml:space="preserve"> Pored toga, kapitalizacija depozita putem akumulacije kamata po njemu ne može podlegati zastarevanju</w:t>
      </w:r>
      <w:r w:rsidR="00EB6578">
        <w:t xml:space="preserve"> u meri u kojoj, banka, tim putem, indirektno, ali izvesno priznaje njegov</w:t>
      </w:r>
      <w:r w:rsidR="00B97EA3">
        <w:t>a</w:t>
      </w:r>
      <w:r w:rsidR="00EB6578">
        <w:t xml:space="preserve"> </w:t>
      </w:r>
      <w:r w:rsidRPr="00B97EA3" w:rsidR="00EB6578">
        <w:t>pr</w:t>
      </w:r>
      <w:r w:rsidR="00B97EA3">
        <w:t>av</w:t>
      </w:r>
      <w:r w:rsidRPr="00B97EA3" w:rsidR="00B97EA3">
        <w:t>a</w:t>
      </w:r>
      <w:r w:rsidR="00EB6578">
        <w:t>.</w:t>
      </w:r>
      <w:r w:rsidR="00B97EA3">
        <w:t xml:space="preserve"> </w:t>
      </w:r>
      <w:r w:rsidR="008177DF">
        <w:t>Pored ostalog, kapitalizacija kamata bi navodno predstavljala uzrok zastoja zastarevanja.</w:t>
      </w:r>
    </w:p>
    <w:p w:rsidRPr="008177DF" w:rsidR="008177DF" w:rsidP="00905B01" w:rsidRDefault="00905B01">
      <w:pPr>
        <w:pStyle w:val="JuPara"/>
      </w:pPr>
      <w:r>
        <w:fldChar w:fldCharType="begin"/>
      </w:r>
      <w:r>
        <w:instrText xml:space="preserve"> SEQ level0 \*arabic </w:instrText>
      </w:r>
      <w:r>
        <w:fldChar w:fldCharType="separate"/>
      </w:r>
      <w:r>
        <w:rPr>
          <w:noProof/>
        </w:rPr>
        <w:t>36</w:t>
      </w:r>
      <w:r>
        <w:fldChar w:fldCharType="end"/>
      </w:r>
      <w:r>
        <w:t>.  </w:t>
      </w:r>
      <w:r w:rsidR="008177DF">
        <w:t>Podnosilac predstavke ističe da je banka navodno bila dužna da ga informiše o potencijalnoj opasnosti da izgubi novac kao i da je država bila dužna da od momenta zastare</w:t>
      </w:r>
      <w:r w:rsidR="00B97EA3">
        <w:t>losti</w:t>
      </w:r>
      <w:r w:rsidR="008177DF">
        <w:t xml:space="preserve"> sačuva sredstva tokom nekog minimalnog razumnog roka u cilju zaštite njegove imovine odnosno imovine njegovog pravnog sledbenika. Podnosilac predstavke se poziva na primer francuskog, italijanskog i nemačkog zakonodavstva kojim se predviđa takvo informisanje.</w:t>
      </w:r>
    </w:p>
    <w:p w:rsidR="002B6583" w:rsidP="00905B01" w:rsidRDefault="00905B01">
      <w:pPr>
        <w:pStyle w:val="JuPara"/>
      </w:pPr>
      <w:r>
        <w:fldChar w:fldCharType="begin"/>
      </w:r>
      <w:r>
        <w:instrText xml:space="preserve"> SEQ level0 \*arabic </w:instrText>
      </w:r>
      <w:r>
        <w:fldChar w:fldCharType="separate"/>
      </w:r>
      <w:r>
        <w:rPr>
          <w:noProof/>
        </w:rPr>
        <w:t>37</w:t>
      </w:r>
      <w:r>
        <w:fldChar w:fldCharType="end"/>
      </w:r>
      <w:r>
        <w:t>.  </w:t>
      </w:r>
      <w:r w:rsidR="008177DF">
        <w:t>Podnosilac predstavke tvrdi da</w:t>
      </w:r>
      <w:r w:rsidR="00000201">
        <w:t xml:space="preserve"> je</w:t>
      </w:r>
      <w:r w:rsidR="008177DF">
        <w:t xml:space="preserve"> </w:t>
      </w:r>
      <w:r w:rsidR="00000201">
        <w:t xml:space="preserve">činjenica da nije bilo nikakvih promena na njegovom računu tokom roka zastarevanja uzrokovana višom silom, naročito u periodu od poslednjeg polugodišta tog roka (1994.) do dana (6. feburar 2003.) kada je </w:t>
      </w:r>
      <w:r w:rsidR="00B97EA3">
        <w:t xml:space="preserve">banci </w:t>
      </w:r>
      <w:r w:rsidR="00000201">
        <w:t>uputio zahtev da ga obavesti o stanju na računu.</w:t>
      </w:r>
    </w:p>
    <w:p w:rsidR="002B6583" w:rsidP="00905B01" w:rsidRDefault="00905B01">
      <w:pPr>
        <w:pStyle w:val="JuPara"/>
      </w:pPr>
      <w:r>
        <w:fldChar w:fldCharType="begin"/>
      </w:r>
      <w:r>
        <w:instrText xml:space="preserve"> SEQ level0 \*arabic </w:instrText>
      </w:r>
      <w:r>
        <w:fldChar w:fldCharType="separate"/>
      </w:r>
      <w:r>
        <w:rPr>
          <w:noProof/>
        </w:rPr>
        <w:t>38</w:t>
      </w:r>
      <w:r>
        <w:fldChar w:fldCharType="end"/>
      </w:r>
      <w:r>
        <w:t>. </w:t>
      </w:r>
      <w:r w:rsidR="00000201">
        <w:t xml:space="preserve">Najzad, podnosilac predstavke tvrdi da zakonski dekret br. </w:t>
      </w:r>
      <w:r w:rsidRPr="00000201" w:rsidR="00000201">
        <w:t>1195/1942</w:t>
      </w:r>
      <w:r w:rsidR="00000201">
        <w:t xml:space="preserve"> nikada nije ratifikovan i </w:t>
      </w:r>
      <w:r w:rsidR="00B97EA3">
        <w:t xml:space="preserve">da </w:t>
      </w:r>
      <w:r w:rsidR="00000201">
        <w:t xml:space="preserve">nema </w:t>
      </w:r>
      <w:r w:rsidR="00D84824">
        <w:t>snagu važećeg pravnog akta. Smatra da je porazno da jedna demokratska zemlja kao što je Grčka primenjuje zakon koji datira iz epohe kada je bila pod okupacijom nacističke Nemačke i da na prećutan način konfiskuje sredstva nekog pojedinca. Po njemu, ne može se kao osnov navesti javni interes</w:t>
      </w:r>
      <w:r w:rsidR="002B6583">
        <w:t xml:space="preserve"> </w:t>
      </w:r>
      <w:r w:rsidR="00D84824">
        <w:t>na štetu privatnog interesa koji postoji u ovom slučaju</w:t>
      </w:r>
      <w:r w:rsidR="002057EA">
        <w:t>,</w:t>
      </w:r>
      <w:r w:rsidR="00D84824">
        <w:t xml:space="preserve"> u odsustvu zakona koji bi predviđao naknadu štete od gubitka imovine zainteresovanim licima.</w:t>
      </w:r>
      <w:r w:rsidR="002B6583">
        <w:t xml:space="preserve"> </w:t>
      </w:r>
    </w:p>
    <w:p w:rsidR="00905B01" w:rsidP="00905B01" w:rsidRDefault="00905B01">
      <w:pPr>
        <w:pStyle w:val="JuH1"/>
      </w:pPr>
      <w:r w:rsidRPr="00D31AD4">
        <w:t>2.</w:t>
      </w:r>
      <w:r>
        <w:t>  </w:t>
      </w:r>
      <w:r w:rsidR="00A02A95">
        <w:t>Ocena Suda</w:t>
      </w:r>
    </w:p>
    <w:p w:rsidR="002B6583" w:rsidP="00905B01" w:rsidRDefault="00905B01">
      <w:pPr>
        <w:pStyle w:val="JuHa0"/>
      </w:pPr>
      <w:r w:rsidRPr="00D31AD4">
        <w:t>a)</w:t>
      </w:r>
      <w:r>
        <w:t>  </w:t>
      </w:r>
      <w:r w:rsidR="00D84824">
        <w:t>Podsećanje na primenljiva načela</w:t>
      </w:r>
    </w:p>
    <w:p w:rsidRPr="0021383B" w:rsidR="00905B01" w:rsidP="00905B01" w:rsidRDefault="00905B01">
      <w:pPr>
        <w:pStyle w:val="JuPara"/>
        <w:rPr>
          <w:szCs w:val="24"/>
          <w:lang w:val="en-US"/>
        </w:rPr>
      </w:pPr>
      <w:r>
        <w:fldChar w:fldCharType="begin"/>
      </w:r>
      <w:r>
        <w:instrText xml:space="preserve"> SEQ level0 \*arabic </w:instrText>
      </w:r>
      <w:r>
        <w:fldChar w:fldCharType="separate"/>
      </w:r>
      <w:r>
        <w:rPr>
          <w:noProof/>
        </w:rPr>
        <w:t>39</w:t>
      </w:r>
      <w:r>
        <w:fldChar w:fldCharType="end"/>
      </w:r>
      <w:r>
        <w:t>.  </w:t>
      </w:r>
      <w:r w:rsidRPr="00103FC3" w:rsidR="00C153CF">
        <w:t xml:space="preserve">Sud podseća da </w:t>
      </w:r>
      <w:r w:rsidRPr="00103FC3" w:rsidR="008A0DE7">
        <w:t>član 1 Prvog protokola, čija je osnovna svrha da zaštiti pojedinca od svake štete koju mu može naneti država u smislu poštovanja njegove imovine, može</w:t>
      </w:r>
      <w:r w:rsidRPr="00103FC3" w:rsidR="00A13D35">
        <w:t xml:space="preserve"> uključivati i pozitivne obligacije za državu uvođenja određenih mera za zaštitu prava na imovinu, posebno </w:t>
      </w:r>
      <w:r w:rsidR="00103FC3">
        <w:t>tamo gde</w:t>
      </w:r>
      <w:r w:rsidRPr="00103FC3" w:rsidR="00A13D35">
        <w:t xml:space="preserve"> postoji direktna veza između mera koje podnosilac predstavke može legitimno očekivati od vlasti i njegovog efektivnog uživanja svoje imovine</w:t>
      </w:r>
      <w:r w:rsidR="00A13D35">
        <w:t xml:space="preserve"> </w:t>
      </w:r>
      <w:r w:rsidRPr="00A13D35" w:rsidR="00A13D35">
        <w:t>(</w:t>
      </w:r>
      <w:r w:rsidRPr="00A13D35" w:rsidR="00A13D35">
        <w:rPr>
          <w:i/>
          <w:iCs/>
        </w:rPr>
        <w:t>Öneryıldız</w:t>
      </w:r>
      <w:r w:rsidR="00103FC3">
        <w:rPr>
          <w:i/>
          <w:iCs/>
        </w:rPr>
        <w:t xml:space="preserve"> protiv</w:t>
      </w:r>
      <w:r w:rsidRPr="00A13D35" w:rsidR="00A13D35">
        <w:rPr>
          <w:i/>
          <w:iCs/>
        </w:rPr>
        <w:t xml:space="preserve"> Tur</w:t>
      </w:r>
      <w:r w:rsidR="00103FC3">
        <w:rPr>
          <w:i/>
          <w:iCs/>
        </w:rPr>
        <w:t>sk</w:t>
      </w:r>
      <w:r w:rsidRPr="00A13D35" w:rsidR="00A13D35">
        <w:rPr>
          <w:i/>
          <w:iCs/>
        </w:rPr>
        <w:t xml:space="preserve">e </w:t>
      </w:r>
      <w:r w:rsidRPr="00A13D35" w:rsidR="00A13D35">
        <w:t xml:space="preserve">[GC], br. 48939/99, § 134, CEDH 2004-XII, </w:t>
      </w:r>
      <w:r w:rsidRPr="00A13D35" w:rsidR="00A13D35">
        <w:rPr>
          <w:i/>
          <w:iCs/>
        </w:rPr>
        <w:t xml:space="preserve">Păduraru </w:t>
      </w:r>
      <w:r w:rsidR="00103FC3">
        <w:rPr>
          <w:i/>
          <w:iCs/>
        </w:rPr>
        <w:t>protiv</w:t>
      </w:r>
      <w:r w:rsidRPr="00A13D35" w:rsidR="00A13D35">
        <w:rPr>
          <w:i/>
          <w:iCs/>
        </w:rPr>
        <w:t xml:space="preserve"> Rum</w:t>
      </w:r>
      <w:r w:rsidR="00103FC3">
        <w:rPr>
          <w:i/>
          <w:iCs/>
        </w:rPr>
        <w:t>u</w:t>
      </w:r>
      <w:r w:rsidRPr="00A13D35" w:rsidR="00A13D35">
        <w:rPr>
          <w:i/>
          <w:iCs/>
        </w:rPr>
        <w:t>ni</w:t>
      </w:r>
      <w:r w:rsidR="00103FC3">
        <w:rPr>
          <w:i/>
          <w:iCs/>
        </w:rPr>
        <w:t>j</w:t>
      </w:r>
      <w:r w:rsidRPr="00A13D35" w:rsidR="00A13D35">
        <w:rPr>
          <w:i/>
          <w:iCs/>
        </w:rPr>
        <w:t>e</w:t>
      </w:r>
      <w:r w:rsidRPr="00A13D35" w:rsidR="00A13D35">
        <w:t>, br.</w:t>
      </w:r>
      <w:r w:rsidR="002B6583">
        <w:t xml:space="preserve"> </w:t>
      </w:r>
      <w:r w:rsidRPr="002B6583" w:rsidR="00A13D35">
        <w:t xml:space="preserve">63252/00, § 88, CEDH 2005-XII, </w:t>
      </w:r>
      <w:r w:rsidRPr="002B6583" w:rsidR="00A13D35">
        <w:rPr>
          <w:i/>
          <w:iCs/>
        </w:rPr>
        <w:t xml:space="preserve">Broniowski </w:t>
      </w:r>
      <w:r w:rsidRPr="002B6583" w:rsidR="00103FC3">
        <w:rPr>
          <w:i/>
          <w:iCs/>
        </w:rPr>
        <w:t>protiv Poljske</w:t>
      </w:r>
      <w:r w:rsidRPr="002B6583" w:rsidR="00A13D35">
        <w:rPr>
          <w:i/>
          <w:iCs/>
        </w:rPr>
        <w:t xml:space="preserve"> </w:t>
      </w:r>
      <w:r w:rsidRPr="002B6583" w:rsidR="00A13D35">
        <w:t>[GC], br.</w:t>
      </w:r>
      <w:r w:rsidRPr="002B6583" w:rsidR="00A13D35">
        <w:rPr>
          <w:sz w:val="16"/>
          <w:szCs w:val="16"/>
        </w:rPr>
        <w:t xml:space="preserve"> </w:t>
      </w:r>
      <w:r w:rsidRPr="002B6583" w:rsidR="00A13D35">
        <w:t xml:space="preserve">31443/96, § 143, CEDH 2004-V, i </w:t>
      </w:r>
      <w:r w:rsidRPr="002B6583" w:rsidR="00A13D35">
        <w:rPr>
          <w:i/>
          <w:iCs/>
        </w:rPr>
        <w:t xml:space="preserve">Sovtransavto Holding </w:t>
      </w:r>
      <w:r w:rsidRPr="002B6583" w:rsidR="00103FC3">
        <w:rPr>
          <w:i/>
          <w:iCs/>
        </w:rPr>
        <w:t>protiv</w:t>
      </w:r>
      <w:r w:rsidRPr="002B6583" w:rsidR="00A13D35">
        <w:rPr>
          <w:i/>
          <w:iCs/>
        </w:rPr>
        <w:t xml:space="preserve"> Ukra</w:t>
      </w:r>
      <w:r w:rsidRPr="002B6583" w:rsidR="005C2BA1">
        <w:rPr>
          <w:i/>
          <w:iCs/>
        </w:rPr>
        <w:t>j</w:t>
      </w:r>
      <w:r w:rsidRPr="002B6583" w:rsidR="00A13D35">
        <w:rPr>
          <w:i/>
          <w:iCs/>
        </w:rPr>
        <w:t>ine</w:t>
      </w:r>
      <w:r w:rsidRPr="002B6583" w:rsidR="00A13D35">
        <w:t>, br.</w:t>
      </w:r>
      <w:r w:rsidRPr="002B6583" w:rsidR="00A13D35">
        <w:rPr>
          <w:sz w:val="16"/>
          <w:szCs w:val="16"/>
        </w:rPr>
        <w:t xml:space="preserve"> </w:t>
      </w:r>
      <w:r w:rsidRPr="002B6583" w:rsidR="00A13D35">
        <w:t>48553/99, § 96, CEDH 2002-VII).</w:t>
      </w:r>
      <w:r w:rsidRPr="002B6583" w:rsidR="002B6583">
        <w:t xml:space="preserve"> </w:t>
      </w:r>
      <w:r w:rsidRPr="002B6583" w:rsidR="00A13D35">
        <w:t xml:space="preserve">Čak i u okviru horizontalnih odnosa može biti </w:t>
      </w:r>
      <w:r w:rsidRPr="002B6583" w:rsidR="00451043">
        <w:t>takvih načela javnog interesa</w:t>
      </w:r>
      <w:r w:rsidRPr="002B6583" w:rsidR="00A13D35">
        <w:t xml:space="preserve"> koj</w:t>
      </w:r>
      <w:r w:rsidRPr="002B6583" w:rsidR="00451043">
        <w:t>a</w:t>
      </w:r>
      <w:r w:rsidRPr="002B6583" w:rsidR="00A13D35">
        <w:t xml:space="preserve"> mo</w:t>
      </w:r>
      <w:r w:rsidRPr="002B6583" w:rsidR="00451043">
        <w:t>gu</w:t>
      </w:r>
      <w:r w:rsidRPr="002B6583" w:rsidR="00A13D35">
        <w:t xml:space="preserve"> dovesti do nametanja određenih obaveza državi. Tako u </w:t>
      </w:r>
      <w:r w:rsidRPr="002B6583" w:rsidR="00A13D35">
        <w:rPr>
          <w:szCs w:val="24"/>
        </w:rPr>
        <w:t xml:space="preserve">(već navedenoj, § 143) </w:t>
      </w:r>
      <w:r w:rsidRPr="002B6583" w:rsidR="00A13D35">
        <w:t>presudi</w:t>
      </w:r>
      <w:r w:rsidRPr="002B6583" w:rsidR="002B6583">
        <w:t xml:space="preserve"> </w:t>
      </w:r>
      <w:r w:rsidRPr="002B6583" w:rsidR="00A13D35">
        <w:rPr>
          <w:i/>
          <w:iCs/>
          <w:szCs w:val="24"/>
        </w:rPr>
        <w:t>Broniowski</w:t>
      </w:r>
      <w:r w:rsidRPr="002B6583" w:rsidR="00A13D35">
        <w:rPr>
          <w:szCs w:val="24"/>
        </w:rPr>
        <w:t>, Sud kaže da pozitivne obligacije koje proističu iz člana 1</w:t>
      </w:r>
      <w:r w:rsidRPr="002B6583" w:rsidR="00867D00">
        <w:rPr>
          <w:szCs w:val="24"/>
        </w:rPr>
        <w:t xml:space="preserve"> Prvog protokola mogu</w:t>
      </w:r>
      <w:r w:rsidRPr="002B6583" w:rsidR="00451043">
        <w:rPr>
          <w:szCs w:val="24"/>
        </w:rPr>
        <w:t xml:space="preserve"> za državu</w:t>
      </w:r>
      <w:r w:rsidRPr="002B6583" w:rsidR="00867D00">
        <w:rPr>
          <w:szCs w:val="24"/>
        </w:rPr>
        <w:t xml:space="preserve"> podrazumevati uvođenje određenih mera kojima</w:t>
      </w:r>
      <w:r w:rsidRPr="002B6583" w:rsidR="00A13D35">
        <w:rPr>
          <w:szCs w:val="24"/>
        </w:rPr>
        <w:t xml:space="preserve"> bi se zaštitilo pravo na imovinu.</w:t>
      </w:r>
      <w:r w:rsidRPr="002B6583" w:rsidR="0021383B">
        <w:rPr>
          <w:szCs w:val="24"/>
        </w:rPr>
        <w:t xml:space="preserve"> </w:t>
      </w:r>
      <w:r w:rsidRPr="0021383B" w:rsidR="00867D00">
        <w:rPr>
          <w:szCs w:val="24"/>
          <w:lang w:val="en-US"/>
        </w:rPr>
        <w:t xml:space="preserve">Samim tim, </w:t>
      </w:r>
      <w:r w:rsidRPr="0021383B" w:rsidR="0021383B">
        <w:rPr>
          <w:szCs w:val="24"/>
          <w:lang w:val="en-US"/>
        </w:rPr>
        <w:t>takva načela</w:t>
      </w:r>
      <w:r w:rsidRPr="0021383B" w:rsidR="00867D00">
        <w:rPr>
          <w:szCs w:val="24"/>
          <w:lang w:val="en-US"/>
        </w:rPr>
        <w:t xml:space="preserve"> </w:t>
      </w:r>
      <w:r w:rsidR="00CC3A72">
        <w:rPr>
          <w:szCs w:val="24"/>
          <w:lang w:val="en-US"/>
        </w:rPr>
        <w:t>od op</w:t>
      </w:r>
      <w:r w:rsidR="00CC3A72">
        <w:rPr>
          <w:szCs w:val="24"/>
          <w:lang w:val="sr-Latn-CS"/>
        </w:rPr>
        <w:t>šteg</w:t>
      </w:r>
      <w:r w:rsidRPr="0021383B" w:rsidR="00867D00">
        <w:rPr>
          <w:szCs w:val="24"/>
          <w:lang w:val="en-US"/>
        </w:rPr>
        <w:t xml:space="preserve"> interesa koja mogu nametnuti određene obaveze državi </w:t>
      </w:r>
      <w:r w:rsidRPr="0021383B" w:rsidR="0021383B">
        <w:rPr>
          <w:szCs w:val="24"/>
          <w:lang w:val="en-US"/>
        </w:rPr>
        <w:t>mogu imati uticaja</w:t>
      </w:r>
      <w:r w:rsidRPr="0021383B" w:rsidR="00867D00">
        <w:rPr>
          <w:szCs w:val="24"/>
          <w:lang w:val="en-US"/>
        </w:rPr>
        <w:t xml:space="preserve"> čak i u okviru horizontalnih odnosa (</w:t>
      </w:r>
      <w:r w:rsidRPr="0021383B" w:rsidR="00867D00">
        <w:rPr>
          <w:i/>
          <w:szCs w:val="24"/>
          <w:lang w:val="en-US"/>
        </w:rPr>
        <w:t xml:space="preserve">Kotov </w:t>
      </w:r>
      <w:r w:rsidRPr="0021383B" w:rsidR="0021383B">
        <w:rPr>
          <w:i/>
          <w:szCs w:val="24"/>
          <w:lang w:val="en-US"/>
        </w:rPr>
        <w:t>protiv</w:t>
      </w:r>
      <w:r w:rsidRPr="0021383B" w:rsidR="00867D00">
        <w:rPr>
          <w:i/>
          <w:szCs w:val="24"/>
          <w:lang w:val="en-US"/>
        </w:rPr>
        <w:t xml:space="preserve"> Rusi</w:t>
      </w:r>
      <w:r w:rsidRPr="0021383B" w:rsidR="0021383B">
        <w:rPr>
          <w:i/>
          <w:szCs w:val="24"/>
          <w:lang w:val="en-US"/>
        </w:rPr>
        <w:t>j</w:t>
      </w:r>
      <w:r w:rsidRPr="0021383B" w:rsidR="00867D00">
        <w:rPr>
          <w:i/>
          <w:szCs w:val="24"/>
          <w:lang w:val="en-US"/>
        </w:rPr>
        <w:t>e</w:t>
      </w:r>
      <w:r w:rsidRPr="0021383B" w:rsidR="00867D00">
        <w:rPr>
          <w:szCs w:val="24"/>
          <w:lang w:val="en-US"/>
        </w:rPr>
        <w:t xml:space="preserve"> [GC], br. 54522/00, § 109, 3. april 2012).</w:t>
      </w:r>
    </w:p>
    <w:p w:rsidR="002B6583" w:rsidP="00905B01" w:rsidRDefault="00905B01">
      <w:pPr>
        <w:pStyle w:val="JuPara"/>
      </w:pPr>
      <w:r>
        <w:fldChar w:fldCharType="begin"/>
      </w:r>
      <w:r>
        <w:instrText xml:space="preserve"> SEQ level0 \*arabic </w:instrText>
      </w:r>
      <w:r>
        <w:fldChar w:fldCharType="separate"/>
      </w:r>
      <w:r>
        <w:rPr>
          <w:noProof/>
        </w:rPr>
        <w:t>40</w:t>
      </w:r>
      <w:r>
        <w:fldChar w:fldCharType="end"/>
      </w:r>
      <w:r>
        <w:t>.  </w:t>
      </w:r>
      <w:r w:rsidR="00570183">
        <w:t>Granic</w:t>
      </w:r>
      <w:r w:rsidR="0021383B">
        <w:t>u</w:t>
      </w:r>
      <w:r w:rsidR="00570183">
        <w:t xml:space="preserve"> između pozitivnih i negativnih obligacija države po osnovu člana 1 Prvog protokola </w:t>
      </w:r>
      <w:r w:rsidR="0021383B">
        <w:t>nije</w:t>
      </w:r>
      <w:r w:rsidR="00570183">
        <w:t xml:space="preserve"> </w:t>
      </w:r>
      <w:r w:rsidR="0021383B">
        <w:t>moguće precizno</w:t>
      </w:r>
      <w:r w:rsidR="00570183">
        <w:t xml:space="preserve"> defini</w:t>
      </w:r>
      <w:r w:rsidR="0021383B">
        <w:t>sati</w:t>
      </w:r>
      <w:r w:rsidR="00570183">
        <w:t xml:space="preserve">, ali primenljivi principi su ipak uporedivi. Ako se </w:t>
      </w:r>
      <w:r w:rsidR="00AA6F86">
        <w:t>s</w:t>
      </w:r>
      <w:r w:rsidR="00570183">
        <w:t xml:space="preserve">lučaj analizira iz ugla pozitivnih obligacija države ili </w:t>
      </w:r>
      <w:r w:rsidR="00AA6F86">
        <w:t xml:space="preserve">iz ugla </w:t>
      </w:r>
      <w:r w:rsidR="00570183">
        <w:t>mešanja javnih vlasti koje treba opravdati, kriterijumi koje treba primeniti ne razlikuju su po svojoj suštini.</w:t>
      </w:r>
      <w:r w:rsidR="002B6583">
        <w:t xml:space="preserve"> </w:t>
      </w:r>
      <w:r w:rsidR="00570183">
        <w:t xml:space="preserve">Bilo da se radi o ugrožavanju poštovanja imovine ili o odsustvu dejstvovanja u oba slučaja </w:t>
      </w:r>
      <w:r w:rsidR="0021383B">
        <w:t xml:space="preserve">se </w:t>
      </w:r>
      <w:r w:rsidR="00570183">
        <w:t xml:space="preserve">mora očuvati pravična ravnoteža između </w:t>
      </w:r>
      <w:r w:rsidR="00AA6F86">
        <w:t xml:space="preserve">zahteva </w:t>
      </w:r>
      <w:r w:rsidR="00CC3A72">
        <w:t>od opšteg</w:t>
      </w:r>
      <w:r w:rsidR="00AA6F86">
        <w:t xml:space="preserve"> interesa</w:t>
      </w:r>
      <w:r w:rsidR="002B6583">
        <w:t xml:space="preserve"> </w:t>
      </w:r>
      <w:r w:rsidR="00CC3A72">
        <w:t xml:space="preserve">za </w:t>
      </w:r>
      <w:r w:rsidR="00AA6F86">
        <w:t>zajednic</w:t>
      </w:r>
      <w:r w:rsidR="00CC3A72">
        <w:t>u</w:t>
      </w:r>
      <w:r w:rsidR="00AA6F86">
        <w:t xml:space="preserve"> i imperativa zaštite osnovnih prava pojedinca (videti između ostalih presudu</w:t>
      </w:r>
      <w:r w:rsidRPr="00AA6F86" w:rsidR="00AA6F86">
        <w:rPr>
          <w:i/>
          <w:iCs/>
          <w:color w:val="FF0000"/>
        </w:rPr>
        <w:t xml:space="preserve"> </w:t>
      </w:r>
      <w:r w:rsidRPr="00AA6F86" w:rsidR="00AA6F86">
        <w:rPr>
          <w:i/>
          <w:iCs/>
        </w:rPr>
        <w:t xml:space="preserve">Sporrong et Lönnroth </w:t>
      </w:r>
      <w:r w:rsidR="0021383B">
        <w:rPr>
          <w:i/>
          <w:iCs/>
        </w:rPr>
        <w:t>protiv</w:t>
      </w:r>
      <w:r w:rsidRPr="00AA6F86" w:rsidR="00AA6F86">
        <w:rPr>
          <w:i/>
          <w:iCs/>
        </w:rPr>
        <w:t xml:space="preserve"> </w:t>
      </w:r>
      <w:r w:rsidR="0021383B">
        <w:rPr>
          <w:i/>
          <w:iCs/>
        </w:rPr>
        <w:t>Švedske</w:t>
      </w:r>
      <w:r w:rsidRPr="00AA6F86" w:rsidR="00AA6F86">
        <w:t>, 23</w:t>
      </w:r>
      <w:r w:rsidR="00AA6F86">
        <w:t>.</w:t>
      </w:r>
      <w:r w:rsidRPr="00AA6F86" w:rsidR="00AA6F86">
        <w:t xml:space="preserve"> septemb</w:t>
      </w:r>
      <w:r w:rsidR="00AA6F86">
        <w:t>a</w:t>
      </w:r>
      <w:r w:rsidRPr="00AA6F86" w:rsidR="00AA6F86">
        <w:t>r 1982, § 69, s</w:t>
      </w:r>
      <w:r w:rsidR="0021383B">
        <w:t>e</w:t>
      </w:r>
      <w:r w:rsidRPr="00AA6F86" w:rsidR="00AA6F86">
        <w:t>ri</w:t>
      </w:r>
      <w:r w:rsidR="0021383B">
        <w:t>ja</w:t>
      </w:r>
      <w:r w:rsidRPr="00AA6F86" w:rsidR="00AA6F86">
        <w:t xml:space="preserve"> A </w:t>
      </w:r>
      <w:r w:rsidR="0021383B">
        <w:t>br,</w:t>
      </w:r>
      <w:r w:rsidRPr="00AA6F86" w:rsidR="00AA6F86">
        <w:rPr>
          <w:sz w:val="16"/>
          <w:szCs w:val="16"/>
        </w:rPr>
        <w:t xml:space="preserve"> </w:t>
      </w:r>
      <w:r w:rsidRPr="00AA6F86" w:rsidR="00AA6F86">
        <w:t xml:space="preserve">52, </w:t>
      </w:r>
      <w:r w:rsidR="00AA6F86">
        <w:t>i</w:t>
      </w:r>
      <w:r w:rsidRPr="00AA6F86" w:rsidR="00AA6F86">
        <w:t xml:space="preserve"> </w:t>
      </w:r>
      <w:r w:rsidR="00AA6F86">
        <w:t xml:space="preserve">već navedenu presudu </w:t>
      </w:r>
      <w:r w:rsidRPr="00AA6F86" w:rsidR="00AA6F86">
        <w:rPr>
          <w:i/>
        </w:rPr>
        <w:t>Kotov</w:t>
      </w:r>
      <w:r w:rsidRPr="00AA6F86" w:rsidR="00AA6F86">
        <w:t>,</w:t>
      </w:r>
      <w:r w:rsidR="002B6583">
        <w:t xml:space="preserve"> </w:t>
      </w:r>
      <w:r w:rsidRPr="00AA6F86" w:rsidR="00AA6F86">
        <w:t xml:space="preserve"> § 110).</w:t>
      </w:r>
    </w:p>
    <w:p w:rsidRPr="00F716B5" w:rsidR="00F716B5" w:rsidP="00F716B5" w:rsidRDefault="00905B01">
      <w:pPr>
        <w:pStyle w:val="JuPara"/>
        <w:rPr>
          <w:szCs w:val="24"/>
          <w:lang w:eastAsia="en-US"/>
        </w:rPr>
      </w:pPr>
      <w:r>
        <w:fldChar w:fldCharType="begin"/>
      </w:r>
      <w:r>
        <w:instrText xml:space="preserve"> SEQ level0 \*arabic </w:instrText>
      </w:r>
      <w:r>
        <w:fldChar w:fldCharType="separate"/>
      </w:r>
      <w:r>
        <w:rPr>
          <w:noProof/>
        </w:rPr>
        <w:t>41</w:t>
      </w:r>
      <w:r>
        <w:fldChar w:fldCharType="end"/>
      </w:r>
      <w:r>
        <w:t>. </w:t>
      </w:r>
      <w:r w:rsidR="00AA6F86">
        <w:t>Sud takođe tvrdi da u određenim okolnostima član 1 Prvog protokola nalaže « određene mere za zaštitu prava na imovinu (</w:t>
      </w:r>
      <w:r w:rsidR="002B6583">
        <w:t>...</w:t>
      </w:r>
      <w:r w:rsidR="00AA6F86">
        <w:t>), čak i u slučaju kada se radi o sporu između fizičkih i pravnih lica »</w:t>
      </w:r>
      <w:r w:rsidR="002B6583">
        <w:rPr>
          <w:color w:val="FF0000"/>
          <w:szCs w:val="24"/>
        </w:rPr>
        <w:t xml:space="preserve"> </w:t>
      </w:r>
      <w:r w:rsidRPr="00D84824" w:rsidR="00AA6F86">
        <w:rPr>
          <w:color w:val="FF0000"/>
          <w:szCs w:val="24"/>
        </w:rPr>
        <w:t xml:space="preserve"> </w:t>
      </w:r>
      <w:r w:rsidRPr="00AA6F86" w:rsidR="00AA6F86">
        <w:rPr>
          <w:szCs w:val="24"/>
        </w:rPr>
        <w:t xml:space="preserve">(već navedena presuda </w:t>
      </w:r>
      <w:r w:rsidRPr="00AA6F86" w:rsidR="00AA6F86">
        <w:rPr>
          <w:i/>
          <w:iCs/>
          <w:szCs w:val="24"/>
        </w:rPr>
        <w:t>Sovtransavto Holding</w:t>
      </w:r>
      <w:r w:rsidRPr="00AA6F86" w:rsidR="00AA6F86">
        <w:rPr>
          <w:szCs w:val="24"/>
        </w:rPr>
        <w:t>,</w:t>
      </w:r>
      <w:r w:rsidR="002B6583">
        <w:rPr>
          <w:szCs w:val="24"/>
        </w:rPr>
        <w:t xml:space="preserve"> </w:t>
      </w:r>
      <w:r w:rsidRPr="00AA6F86" w:rsidR="00AA6F86">
        <w:rPr>
          <w:szCs w:val="24"/>
        </w:rPr>
        <w:t>§ 96).</w:t>
      </w:r>
      <w:r w:rsidR="00AA6F86">
        <w:rPr>
          <w:szCs w:val="24"/>
        </w:rPr>
        <w:t xml:space="preserve"> Ovo načelo se naveliko primenjuje u kontekstu izvršnih postupaka protiv privatnih dužnika</w:t>
      </w:r>
      <w:r w:rsidR="00F716B5">
        <w:rPr>
          <w:szCs w:val="24"/>
        </w:rPr>
        <w:t xml:space="preserve"> </w:t>
      </w:r>
      <w:r w:rsidRPr="00F716B5" w:rsidR="00F716B5">
        <w:rPr>
          <w:szCs w:val="24"/>
        </w:rPr>
        <w:t>(</w:t>
      </w:r>
      <w:r w:rsidRPr="00F716B5" w:rsidR="00F716B5">
        <w:rPr>
          <w:i/>
          <w:iCs/>
          <w:szCs w:val="24"/>
        </w:rPr>
        <w:t>Fouklev</w:t>
      </w:r>
      <w:r w:rsidRPr="00F716B5" w:rsidR="00F716B5">
        <w:rPr>
          <w:szCs w:val="24"/>
        </w:rPr>
        <w:t xml:space="preserve"> </w:t>
      </w:r>
      <w:r w:rsidR="004926B6">
        <w:rPr>
          <w:i/>
          <w:szCs w:val="24"/>
        </w:rPr>
        <w:t>protiv</w:t>
      </w:r>
      <w:r w:rsidRPr="00F716B5" w:rsidR="00F716B5">
        <w:rPr>
          <w:i/>
          <w:szCs w:val="24"/>
        </w:rPr>
        <w:t> </w:t>
      </w:r>
      <w:r w:rsidRPr="00F716B5" w:rsidR="00F716B5">
        <w:rPr>
          <w:i/>
          <w:szCs w:val="24"/>
          <w:lang w:eastAsia="en-US"/>
        </w:rPr>
        <w:t>Ukra</w:t>
      </w:r>
      <w:r w:rsidR="004926B6">
        <w:rPr>
          <w:i/>
          <w:szCs w:val="24"/>
          <w:lang w:eastAsia="en-US"/>
        </w:rPr>
        <w:t>j</w:t>
      </w:r>
      <w:r w:rsidRPr="00F716B5" w:rsidR="00F716B5">
        <w:rPr>
          <w:i/>
          <w:szCs w:val="24"/>
          <w:lang w:eastAsia="en-US"/>
        </w:rPr>
        <w:t>ine</w:t>
      </w:r>
      <w:r w:rsidRPr="00F716B5" w:rsidR="00F716B5">
        <w:rPr>
          <w:szCs w:val="24"/>
          <w:lang w:eastAsia="en-US"/>
        </w:rPr>
        <w:t xml:space="preserve">, </w:t>
      </w:r>
      <w:r w:rsidR="004926B6">
        <w:rPr>
          <w:szCs w:val="24"/>
          <w:lang w:eastAsia="en-US"/>
        </w:rPr>
        <w:t>br.</w:t>
      </w:r>
      <w:r w:rsidRPr="00F716B5" w:rsidR="00F716B5">
        <w:rPr>
          <w:szCs w:val="24"/>
          <w:lang w:eastAsia="en-US"/>
        </w:rPr>
        <w:t xml:space="preserve"> 71186/01, </w:t>
      </w:r>
      <w:r w:rsidRPr="00F716B5" w:rsidR="00F716B5">
        <w:rPr>
          <w:szCs w:val="24"/>
        </w:rPr>
        <w:t>§§ 89-91, 7</w:t>
      </w:r>
      <w:r w:rsidR="00F716B5">
        <w:rPr>
          <w:szCs w:val="24"/>
        </w:rPr>
        <w:t>.</w:t>
      </w:r>
      <w:r w:rsidRPr="00F716B5" w:rsidR="00F716B5">
        <w:rPr>
          <w:szCs w:val="24"/>
        </w:rPr>
        <w:t xml:space="preserve"> jun 2005 ; </w:t>
      </w:r>
      <w:r w:rsidRPr="00F716B5" w:rsidR="00F716B5">
        <w:rPr>
          <w:i/>
          <w:lang w:eastAsia="en-US"/>
        </w:rPr>
        <w:t xml:space="preserve">Kesyan </w:t>
      </w:r>
      <w:r w:rsidR="004926B6">
        <w:rPr>
          <w:i/>
          <w:lang w:eastAsia="en-US"/>
        </w:rPr>
        <w:t>protiv</w:t>
      </w:r>
      <w:r w:rsidRPr="00F716B5" w:rsidR="00F716B5">
        <w:rPr>
          <w:i/>
          <w:lang w:eastAsia="en-US"/>
        </w:rPr>
        <w:t xml:space="preserve"> Rusi</w:t>
      </w:r>
      <w:r w:rsidR="004926B6">
        <w:rPr>
          <w:i/>
          <w:lang w:eastAsia="en-US"/>
        </w:rPr>
        <w:t>j</w:t>
      </w:r>
      <w:r w:rsidRPr="00F716B5" w:rsidR="00F716B5">
        <w:rPr>
          <w:i/>
          <w:lang w:eastAsia="en-US"/>
        </w:rPr>
        <w:t>e</w:t>
      </w:r>
      <w:r w:rsidRPr="00F716B5" w:rsidR="00F716B5">
        <w:rPr>
          <w:lang w:eastAsia="en-US"/>
        </w:rPr>
        <w:t xml:space="preserve">, </w:t>
      </w:r>
      <w:r w:rsidR="004926B6">
        <w:rPr>
          <w:lang w:eastAsia="en-US"/>
        </w:rPr>
        <w:t>br.</w:t>
      </w:r>
      <w:r w:rsidRPr="00F716B5" w:rsidR="00F716B5">
        <w:rPr>
          <w:lang w:eastAsia="en-US"/>
        </w:rPr>
        <w:t xml:space="preserve"> 36496/02, </w:t>
      </w:r>
      <w:r w:rsidRPr="00F716B5" w:rsidR="00F716B5">
        <w:rPr>
          <w:szCs w:val="24"/>
        </w:rPr>
        <w:t>§§ 79-80</w:t>
      </w:r>
      <w:r w:rsidRPr="00F716B5" w:rsidR="00F716B5">
        <w:rPr>
          <w:lang w:eastAsia="en-US"/>
        </w:rPr>
        <w:t>, 19</w:t>
      </w:r>
      <w:r w:rsidR="00F716B5">
        <w:rPr>
          <w:lang w:eastAsia="en-US"/>
        </w:rPr>
        <w:t>.</w:t>
      </w:r>
      <w:r w:rsidRPr="00F716B5" w:rsidR="00F716B5">
        <w:rPr>
          <w:lang w:eastAsia="en-US"/>
        </w:rPr>
        <w:t xml:space="preserve"> o</w:t>
      </w:r>
      <w:r w:rsidR="00F716B5">
        <w:rPr>
          <w:lang w:eastAsia="en-US"/>
        </w:rPr>
        <w:t>k</w:t>
      </w:r>
      <w:r w:rsidRPr="00F716B5" w:rsidR="00F716B5">
        <w:rPr>
          <w:lang w:eastAsia="en-US"/>
        </w:rPr>
        <w:t>tob</w:t>
      </w:r>
      <w:r w:rsidR="00F716B5">
        <w:rPr>
          <w:lang w:eastAsia="en-US"/>
        </w:rPr>
        <w:t>a</w:t>
      </w:r>
      <w:r w:rsidRPr="00F716B5" w:rsidR="00F716B5">
        <w:rPr>
          <w:lang w:eastAsia="en-US"/>
        </w:rPr>
        <w:t>r 2006</w:t>
      </w:r>
      <w:r w:rsidRPr="00F716B5" w:rsidR="00F716B5">
        <w:rPr>
          <w:szCs w:val="24"/>
        </w:rPr>
        <w:t xml:space="preserve"> ; </w:t>
      </w:r>
      <w:r w:rsidR="00F716B5">
        <w:rPr>
          <w:szCs w:val="24"/>
        </w:rPr>
        <w:t>takođe videti</w:t>
      </w:r>
      <w:r w:rsidRPr="00F716B5" w:rsidR="00F716B5">
        <w:rPr>
          <w:szCs w:val="24"/>
        </w:rPr>
        <w:t xml:space="preserve"> </w:t>
      </w:r>
      <w:r w:rsidRPr="00F716B5" w:rsidR="00F716B5">
        <w:rPr>
          <w:i/>
          <w:iCs/>
          <w:szCs w:val="24"/>
        </w:rPr>
        <w:t xml:space="preserve">Kin-Stib </w:t>
      </w:r>
      <w:r w:rsidR="004926B6">
        <w:rPr>
          <w:i/>
          <w:iCs/>
          <w:szCs w:val="24"/>
        </w:rPr>
        <w:t>i</w:t>
      </w:r>
      <w:r w:rsidRPr="00F716B5" w:rsidR="00F716B5">
        <w:rPr>
          <w:i/>
          <w:iCs/>
          <w:szCs w:val="24"/>
        </w:rPr>
        <w:t xml:space="preserve"> Majkić </w:t>
      </w:r>
      <w:r w:rsidR="004926B6">
        <w:rPr>
          <w:i/>
          <w:iCs/>
          <w:szCs w:val="24"/>
        </w:rPr>
        <w:t>protiv</w:t>
      </w:r>
      <w:r w:rsidRPr="00F716B5" w:rsidR="00F716B5">
        <w:rPr>
          <w:i/>
          <w:iCs/>
          <w:szCs w:val="24"/>
        </w:rPr>
        <w:t xml:space="preserve"> Srbi</w:t>
      </w:r>
      <w:r w:rsidR="004926B6">
        <w:rPr>
          <w:i/>
          <w:iCs/>
          <w:szCs w:val="24"/>
        </w:rPr>
        <w:t>j</w:t>
      </w:r>
      <w:r w:rsidRPr="00F716B5" w:rsidR="00F716B5">
        <w:rPr>
          <w:i/>
          <w:iCs/>
          <w:szCs w:val="24"/>
        </w:rPr>
        <w:t>e</w:t>
      </w:r>
      <w:r w:rsidRPr="00F716B5" w:rsidR="00F716B5">
        <w:rPr>
          <w:szCs w:val="24"/>
        </w:rPr>
        <w:t xml:space="preserve">, </w:t>
      </w:r>
      <w:r w:rsidR="004926B6">
        <w:rPr>
          <w:lang w:eastAsia="en-US"/>
        </w:rPr>
        <w:t>br.</w:t>
      </w:r>
      <w:r w:rsidRPr="00F716B5" w:rsidR="00F716B5">
        <w:rPr>
          <w:szCs w:val="24"/>
        </w:rPr>
        <w:t xml:space="preserve"> 12312/05, § 84, 20</w:t>
      </w:r>
      <w:r w:rsidR="00F716B5">
        <w:rPr>
          <w:szCs w:val="24"/>
        </w:rPr>
        <w:t>.</w:t>
      </w:r>
      <w:r w:rsidRPr="00F716B5" w:rsidR="00F716B5">
        <w:rPr>
          <w:szCs w:val="24"/>
        </w:rPr>
        <w:t xml:space="preserve"> a</w:t>
      </w:r>
      <w:r w:rsidR="00F716B5">
        <w:rPr>
          <w:szCs w:val="24"/>
        </w:rPr>
        <w:t>p</w:t>
      </w:r>
      <w:r w:rsidRPr="00F716B5" w:rsidR="00F716B5">
        <w:rPr>
          <w:szCs w:val="24"/>
        </w:rPr>
        <w:t xml:space="preserve">ril 2010, </w:t>
      </w:r>
      <w:r w:rsidRPr="00F716B5" w:rsidR="00F716B5">
        <w:rPr>
          <w:i/>
          <w:iCs/>
          <w:szCs w:val="24"/>
        </w:rPr>
        <w:t xml:space="preserve">Marčić </w:t>
      </w:r>
      <w:r w:rsidR="004926B6">
        <w:rPr>
          <w:i/>
          <w:iCs/>
          <w:szCs w:val="24"/>
        </w:rPr>
        <w:t>i ostali protiv</w:t>
      </w:r>
      <w:r w:rsidRPr="00F716B5" w:rsidR="00F716B5">
        <w:rPr>
          <w:i/>
          <w:iCs/>
          <w:szCs w:val="24"/>
        </w:rPr>
        <w:t xml:space="preserve"> Srbi</w:t>
      </w:r>
      <w:r w:rsidR="004926B6">
        <w:rPr>
          <w:i/>
          <w:iCs/>
          <w:szCs w:val="24"/>
        </w:rPr>
        <w:t>j</w:t>
      </w:r>
      <w:r w:rsidRPr="00F716B5" w:rsidR="00F716B5">
        <w:rPr>
          <w:i/>
          <w:iCs/>
          <w:szCs w:val="24"/>
        </w:rPr>
        <w:t>e</w:t>
      </w:r>
      <w:r w:rsidRPr="00F716B5" w:rsidR="00F716B5">
        <w:rPr>
          <w:szCs w:val="24"/>
        </w:rPr>
        <w:t xml:space="preserve">, </w:t>
      </w:r>
      <w:r w:rsidR="004926B6">
        <w:rPr>
          <w:szCs w:val="24"/>
        </w:rPr>
        <w:t>br.</w:t>
      </w:r>
      <w:r w:rsidRPr="00F716B5" w:rsidR="00F716B5">
        <w:rPr>
          <w:szCs w:val="24"/>
        </w:rPr>
        <w:t> 17556/05, § 56, 30 o</w:t>
      </w:r>
      <w:r w:rsidR="00F716B5">
        <w:rPr>
          <w:szCs w:val="24"/>
        </w:rPr>
        <w:t>k</w:t>
      </w:r>
      <w:r w:rsidRPr="00F716B5" w:rsidR="00F716B5">
        <w:rPr>
          <w:szCs w:val="24"/>
        </w:rPr>
        <w:t>tob</w:t>
      </w:r>
      <w:r w:rsidR="00F716B5">
        <w:rPr>
          <w:szCs w:val="24"/>
        </w:rPr>
        <w:t>a</w:t>
      </w:r>
      <w:r w:rsidRPr="00F716B5" w:rsidR="00F716B5">
        <w:rPr>
          <w:szCs w:val="24"/>
        </w:rPr>
        <w:t xml:space="preserve">r 2007, </w:t>
      </w:r>
      <w:r w:rsidR="004926B6">
        <w:rPr>
          <w:szCs w:val="24"/>
        </w:rPr>
        <w:t>i</w:t>
      </w:r>
      <w:r w:rsidRPr="00F716B5" w:rsidR="00F716B5">
        <w:rPr>
          <w:szCs w:val="24"/>
        </w:rPr>
        <w:t xml:space="preserve">, </w:t>
      </w:r>
      <w:r w:rsidRPr="00F716B5" w:rsidR="00F716B5">
        <w:rPr>
          <w:i/>
          <w:iCs/>
          <w:szCs w:val="24"/>
        </w:rPr>
        <w:t>mutatis mutandis</w:t>
      </w:r>
      <w:r w:rsidRPr="00F716B5" w:rsidR="00F716B5">
        <w:rPr>
          <w:szCs w:val="24"/>
        </w:rPr>
        <w:t xml:space="preserve">, </w:t>
      </w:r>
      <w:r w:rsidRPr="00F716B5" w:rsidR="00F716B5">
        <w:rPr>
          <w:i/>
          <w:iCs/>
          <w:szCs w:val="24"/>
        </w:rPr>
        <w:t xml:space="preserve">Matheus </w:t>
      </w:r>
      <w:r w:rsidR="000528CE">
        <w:rPr>
          <w:i/>
          <w:iCs/>
          <w:szCs w:val="24"/>
        </w:rPr>
        <w:t>protiv</w:t>
      </w:r>
      <w:r w:rsidRPr="00F716B5" w:rsidR="00F716B5">
        <w:rPr>
          <w:i/>
          <w:iCs/>
          <w:szCs w:val="24"/>
        </w:rPr>
        <w:t> Franc</w:t>
      </w:r>
      <w:r w:rsidR="000528CE">
        <w:rPr>
          <w:i/>
          <w:iCs/>
          <w:szCs w:val="24"/>
        </w:rPr>
        <w:t>usk</w:t>
      </w:r>
      <w:r w:rsidRPr="00F716B5" w:rsidR="00F716B5">
        <w:rPr>
          <w:i/>
          <w:iCs/>
          <w:szCs w:val="24"/>
        </w:rPr>
        <w:t>e</w:t>
      </w:r>
      <w:r w:rsidRPr="00F716B5" w:rsidR="00F716B5">
        <w:rPr>
          <w:szCs w:val="24"/>
        </w:rPr>
        <w:t xml:space="preserve">, </w:t>
      </w:r>
      <w:r w:rsidR="000528CE">
        <w:rPr>
          <w:szCs w:val="24"/>
        </w:rPr>
        <w:t>br.</w:t>
      </w:r>
      <w:r w:rsidR="00F716B5">
        <w:rPr>
          <w:szCs w:val="24"/>
        </w:rPr>
        <w:t xml:space="preserve"> 62740/00, §§ 68 i sledeći</w:t>
      </w:r>
      <w:r w:rsidRPr="00F716B5" w:rsidR="00F716B5">
        <w:rPr>
          <w:szCs w:val="24"/>
        </w:rPr>
        <w:t>, 31</w:t>
      </w:r>
      <w:r w:rsidR="00F716B5">
        <w:rPr>
          <w:szCs w:val="24"/>
        </w:rPr>
        <w:t>.</w:t>
      </w:r>
      <w:r w:rsidRPr="00F716B5" w:rsidR="00F716B5">
        <w:rPr>
          <w:szCs w:val="24"/>
        </w:rPr>
        <w:t xml:space="preserve"> mar</w:t>
      </w:r>
      <w:r w:rsidR="00F716B5">
        <w:rPr>
          <w:szCs w:val="24"/>
        </w:rPr>
        <w:t>t</w:t>
      </w:r>
      <w:r w:rsidRPr="00F716B5" w:rsidR="00F716B5">
        <w:rPr>
          <w:szCs w:val="24"/>
        </w:rPr>
        <w:t xml:space="preserve"> 2005).</w:t>
      </w:r>
    </w:p>
    <w:p w:rsidRPr="00BE49C0" w:rsidR="00BE49C0" w:rsidP="00BE49C0" w:rsidRDefault="00905B01">
      <w:pPr>
        <w:pStyle w:val="JuPara"/>
      </w:pPr>
      <w:r>
        <w:fldChar w:fldCharType="begin"/>
      </w:r>
      <w:r>
        <w:instrText xml:space="preserve"> SEQ level0 \*arabic </w:instrText>
      </w:r>
      <w:r>
        <w:fldChar w:fldCharType="separate"/>
      </w:r>
      <w:r>
        <w:rPr>
          <w:noProof/>
        </w:rPr>
        <w:t>42</w:t>
      </w:r>
      <w:r>
        <w:fldChar w:fldCharType="end"/>
      </w:r>
      <w:r>
        <w:t>.  </w:t>
      </w:r>
      <w:r w:rsidR="00B40E79">
        <w:t xml:space="preserve">Da bi ocenio da li je država postupila u skladu sa članom 1 Prvog protokola, Sud mora globalno proučiti različite suprotstavljene interese, </w:t>
      </w:r>
      <w:r w:rsidR="000528CE">
        <w:t>ne zaboravljajući da je</w:t>
      </w:r>
      <w:r w:rsidR="00B40E79">
        <w:t xml:space="preserve"> cilj Konvencije zaštita « konkretnih i delotvornih » prava.</w:t>
      </w:r>
      <w:r w:rsidR="00CD30E5">
        <w:t xml:space="preserve"> </w:t>
      </w:r>
      <w:r w:rsidRPr="00CD30E5" w:rsidR="00CD30E5">
        <w:t>On mora proniknut</w:t>
      </w:r>
      <w:r w:rsidR="00CD30E5">
        <w:t xml:space="preserve">i iza </w:t>
      </w:r>
      <w:r w:rsidR="000528CE">
        <w:t>prividnog</w:t>
      </w:r>
      <w:r w:rsidR="00CD30E5">
        <w:t xml:space="preserve"> i</w:t>
      </w:r>
      <w:r w:rsidRPr="00CD30E5" w:rsidR="00CD30E5">
        <w:t xml:space="preserve"> </w:t>
      </w:r>
      <w:r w:rsidR="00CD30E5">
        <w:t>sagledati stvarno stanje stvari u sporno</w:t>
      </w:r>
      <w:r w:rsidRPr="00CD30E5" w:rsidR="00CD30E5">
        <w:t>j situaciji</w:t>
      </w:r>
      <w:r w:rsidR="00CD30E5">
        <w:t xml:space="preserve">. Ta ocena suda može se odnositi ne samo na primenljive </w:t>
      </w:r>
      <w:r w:rsidR="0046128D">
        <w:t>modalitete obeštećenja</w:t>
      </w:r>
      <w:r w:rsidR="00CD30E5">
        <w:t xml:space="preserve"> – ako se situacija može svrstati pod</w:t>
      </w:r>
      <w:r w:rsidR="002B6583">
        <w:t xml:space="preserve"> </w:t>
      </w:r>
      <w:r w:rsidRPr="004B7E50" w:rsidR="00CD30E5">
        <w:t>lišenje imovine</w:t>
      </w:r>
      <w:r w:rsidR="00CD30E5">
        <w:t xml:space="preserve"> – već i </w:t>
      </w:r>
      <w:r w:rsidR="000528CE">
        <w:t>na</w:t>
      </w:r>
      <w:r w:rsidR="00CD30E5">
        <w:t xml:space="preserve"> ponašanj</w:t>
      </w:r>
      <w:r w:rsidR="004B7E50">
        <w:t>e</w:t>
      </w:r>
      <w:r w:rsidR="00CD30E5">
        <w:t xml:space="preserve"> stranaka, uključujući i sredstva koja je država upotrebila kao i njihovu primenu. U tom smislu, treba istaći da neizvesnost – kako zakonodavne tako i upravne prirode ili koja je vezana za </w:t>
      </w:r>
      <w:r w:rsidR="00BE49C0">
        <w:t>praksu koju vlasti primenjuju- jeste faktor koji treba uzeti u obzir prilikom ocenjivanja postupka države.</w:t>
      </w:r>
      <w:r w:rsidRPr="00CD30E5" w:rsidR="00CD30E5">
        <w:t xml:space="preserve"> </w:t>
      </w:r>
      <w:r w:rsidR="00BE49C0">
        <w:t xml:space="preserve">Naime, kada je u igri neko pitanje od </w:t>
      </w:r>
      <w:r w:rsidR="00CC3A72">
        <w:t>opšteg</w:t>
      </w:r>
      <w:r w:rsidR="00BE49C0">
        <w:t xml:space="preserve"> interesa, javne vlasti su dužne da reaguju u razumnom roku, konkretno i sa najvećom mogućom koherentnošću </w:t>
      </w:r>
      <w:r w:rsidRPr="00BE49C0" w:rsidR="00BE49C0">
        <w:t>(</w:t>
      </w:r>
      <w:r w:rsidRPr="00BE49C0" w:rsidR="00BE49C0">
        <w:rPr>
          <w:i/>
        </w:rPr>
        <w:t xml:space="preserve">Tunnel Report Limited </w:t>
      </w:r>
      <w:r w:rsidR="004B7E50">
        <w:rPr>
          <w:i/>
        </w:rPr>
        <w:t>protiv</w:t>
      </w:r>
      <w:r w:rsidRPr="00BE49C0" w:rsidR="00BE49C0">
        <w:rPr>
          <w:i/>
        </w:rPr>
        <w:t xml:space="preserve"> Franc</w:t>
      </w:r>
      <w:r w:rsidR="004B7E50">
        <w:rPr>
          <w:i/>
        </w:rPr>
        <w:t>usk</w:t>
      </w:r>
      <w:r w:rsidRPr="00BE49C0" w:rsidR="00BE49C0">
        <w:rPr>
          <w:i/>
        </w:rPr>
        <w:t>e</w:t>
      </w:r>
      <w:r w:rsidRPr="00BE49C0" w:rsidR="00BE49C0">
        <w:t xml:space="preserve">, </w:t>
      </w:r>
      <w:r w:rsidR="004B7E50">
        <w:t>br.</w:t>
      </w:r>
      <w:r w:rsidRPr="00BE49C0" w:rsidR="00BE49C0">
        <w:t> 27940/07, § 39, 18</w:t>
      </w:r>
      <w:r w:rsidR="00BE49C0">
        <w:t>.</w:t>
      </w:r>
      <w:r w:rsidRPr="00BE49C0" w:rsidR="00BE49C0">
        <w:t xml:space="preserve"> novemb</w:t>
      </w:r>
      <w:r w:rsidR="00BE49C0">
        <w:t>a</w:t>
      </w:r>
      <w:r w:rsidRPr="00BE49C0" w:rsidR="00BE49C0">
        <w:t>r 2010).</w:t>
      </w:r>
    </w:p>
    <w:p w:rsidRPr="00CD30E5" w:rsidR="00AA2764" w:rsidP="00CD30E5" w:rsidRDefault="00AA2764">
      <w:pPr>
        <w:pStyle w:val="JuPara"/>
      </w:pPr>
    </w:p>
    <w:p w:rsidRPr="00B94306" w:rsidR="00B94306" w:rsidP="00B94306" w:rsidRDefault="00905B01">
      <w:pPr>
        <w:pStyle w:val="JuPara"/>
        <w:rPr>
          <w:szCs w:val="24"/>
        </w:rPr>
      </w:pPr>
      <w:r>
        <w:rPr>
          <w:szCs w:val="24"/>
        </w:rPr>
        <w:fldChar w:fldCharType="begin"/>
      </w:r>
      <w:r>
        <w:rPr>
          <w:szCs w:val="24"/>
        </w:rPr>
        <w:instrText xml:space="preserve"> SEQ level0 \*arabic </w:instrText>
      </w:r>
      <w:r>
        <w:rPr>
          <w:szCs w:val="24"/>
        </w:rPr>
        <w:fldChar w:fldCharType="separate"/>
      </w:r>
      <w:r>
        <w:rPr>
          <w:noProof/>
          <w:szCs w:val="24"/>
        </w:rPr>
        <w:t>43</w:t>
      </w:r>
      <w:r>
        <w:rPr>
          <w:szCs w:val="24"/>
        </w:rPr>
        <w:fldChar w:fldCharType="end"/>
      </w:r>
      <w:r>
        <w:rPr>
          <w:szCs w:val="24"/>
        </w:rPr>
        <w:t>.  </w:t>
      </w:r>
      <w:r w:rsidR="00B94306">
        <w:rPr>
          <w:szCs w:val="24"/>
        </w:rPr>
        <w:t>Sud pored ostalog podseća na svoju praksu prema kojoj sama činjenica da zahtevi podnosioca predstavke podležu zastarevanju ne predstavlja nikakav problem iz ugla Konvencije. Institut zastare</w:t>
      </w:r>
      <w:r w:rsidR="00CC3A72">
        <w:rPr>
          <w:szCs w:val="24"/>
        </w:rPr>
        <w:t>losti</w:t>
      </w:r>
      <w:r w:rsidR="00B94306">
        <w:rPr>
          <w:szCs w:val="24"/>
        </w:rPr>
        <w:t xml:space="preserve"> je zajedničk</w:t>
      </w:r>
      <w:r w:rsidR="00CC3A72">
        <w:rPr>
          <w:szCs w:val="24"/>
        </w:rPr>
        <w:t>o obeležje</w:t>
      </w:r>
      <w:r w:rsidR="00B94306">
        <w:rPr>
          <w:szCs w:val="24"/>
        </w:rPr>
        <w:t xml:space="preserve"> pravni</w:t>
      </w:r>
      <w:r w:rsidR="00CC3A72">
        <w:rPr>
          <w:szCs w:val="24"/>
        </w:rPr>
        <w:t>h</w:t>
      </w:r>
      <w:r w:rsidR="00B94306">
        <w:rPr>
          <w:szCs w:val="24"/>
        </w:rPr>
        <w:t xml:space="preserve"> sistema država ugovornica i </w:t>
      </w:r>
      <w:r w:rsidR="003C00AC">
        <w:rPr>
          <w:szCs w:val="24"/>
        </w:rPr>
        <w:t>služi da bi se</w:t>
      </w:r>
      <w:r w:rsidR="00B94306">
        <w:rPr>
          <w:szCs w:val="24"/>
        </w:rPr>
        <w:t xml:space="preserve"> garantova</w:t>
      </w:r>
      <w:r w:rsidR="003C00AC">
        <w:rPr>
          <w:szCs w:val="24"/>
        </w:rPr>
        <w:t>la</w:t>
      </w:r>
      <w:r w:rsidR="00B94306">
        <w:rPr>
          <w:szCs w:val="24"/>
        </w:rPr>
        <w:t xml:space="preserve"> pravna sigurnost određivanjem rokova žalbi i spreči</w:t>
      </w:r>
      <w:r w:rsidR="003C00AC">
        <w:rPr>
          <w:szCs w:val="24"/>
        </w:rPr>
        <w:t>la</w:t>
      </w:r>
      <w:r w:rsidR="00B94306">
        <w:rPr>
          <w:szCs w:val="24"/>
        </w:rPr>
        <w:t xml:space="preserve"> nepravda do koje bi moglo doći kada bi sudovi mogli da budu pozvani da </w:t>
      </w:r>
      <w:r w:rsidR="00A97A09">
        <w:rPr>
          <w:szCs w:val="24"/>
        </w:rPr>
        <w:t>presuđuju</w:t>
      </w:r>
      <w:r w:rsidR="00B94306">
        <w:rPr>
          <w:szCs w:val="24"/>
        </w:rPr>
        <w:t xml:space="preserve"> o događajima koji su se zbili u dalekoj prošlosti </w:t>
      </w:r>
      <w:r w:rsidRPr="00B94306" w:rsidR="00B94306">
        <w:rPr>
          <w:szCs w:val="24"/>
        </w:rPr>
        <w:t>(</w:t>
      </w:r>
      <w:r w:rsidRPr="00B94306" w:rsidR="00B94306">
        <w:rPr>
          <w:i/>
          <w:iCs/>
          <w:szCs w:val="24"/>
        </w:rPr>
        <w:t>J.A. Pye (O</w:t>
      </w:r>
      <w:r w:rsidR="00CC3A72">
        <w:rPr>
          <w:i/>
          <w:iCs/>
          <w:szCs w:val="24"/>
        </w:rPr>
        <w:t>ks</w:t>
      </w:r>
      <w:r w:rsidRPr="00B94306" w:rsidR="00B94306">
        <w:rPr>
          <w:i/>
          <w:iCs/>
          <w:szCs w:val="24"/>
        </w:rPr>
        <w:t xml:space="preserve">ford) Ltd </w:t>
      </w:r>
      <w:r w:rsidR="00CC3A72">
        <w:rPr>
          <w:i/>
          <w:iCs/>
          <w:szCs w:val="24"/>
        </w:rPr>
        <w:t>i</w:t>
      </w:r>
      <w:r w:rsidRPr="00B94306" w:rsidR="00B94306">
        <w:rPr>
          <w:i/>
          <w:iCs/>
          <w:szCs w:val="24"/>
        </w:rPr>
        <w:t xml:space="preserve"> J.A. Pye (O</w:t>
      </w:r>
      <w:r w:rsidR="00CC3A72">
        <w:rPr>
          <w:i/>
          <w:iCs/>
          <w:szCs w:val="24"/>
        </w:rPr>
        <w:t>ks</w:t>
      </w:r>
      <w:r w:rsidRPr="00B94306" w:rsidR="00B94306">
        <w:rPr>
          <w:i/>
          <w:iCs/>
          <w:szCs w:val="24"/>
        </w:rPr>
        <w:t xml:space="preserve">ford) Land Ltd </w:t>
      </w:r>
      <w:r w:rsidR="00CC3A72">
        <w:rPr>
          <w:i/>
          <w:iCs/>
          <w:szCs w:val="24"/>
        </w:rPr>
        <w:t>protiv</w:t>
      </w:r>
      <w:r w:rsidRPr="00B94306" w:rsidR="00B94306">
        <w:rPr>
          <w:i/>
          <w:iCs/>
          <w:szCs w:val="24"/>
        </w:rPr>
        <w:t xml:space="preserve"> </w:t>
      </w:r>
      <w:r w:rsidR="00CC3A72">
        <w:rPr>
          <w:i/>
          <w:iCs/>
          <w:szCs w:val="24"/>
        </w:rPr>
        <w:t>Ujedinjenog Kraljevstva</w:t>
      </w:r>
      <w:r w:rsidRPr="00B94306" w:rsidR="00B94306">
        <w:rPr>
          <w:i/>
          <w:iCs/>
          <w:szCs w:val="24"/>
        </w:rPr>
        <w:t xml:space="preserve"> </w:t>
      </w:r>
      <w:r w:rsidRPr="00B94306" w:rsidR="00B94306">
        <w:rPr>
          <w:szCs w:val="24"/>
        </w:rPr>
        <w:t xml:space="preserve">[GC], </w:t>
      </w:r>
      <w:r w:rsidR="00CC3A72">
        <w:rPr>
          <w:szCs w:val="24"/>
        </w:rPr>
        <w:t>br.</w:t>
      </w:r>
      <w:r w:rsidRPr="00B94306" w:rsidR="00B94306">
        <w:rPr>
          <w:szCs w:val="24"/>
        </w:rPr>
        <w:t xml:space="preserve"> 44302/02, § 68, CEDH 2007-III ; </w:t>
      </w:r>
      <w:r w:rsidRPr="00B94306" w:rsidR="00B94306">
        <w:rPr>
          <w:i/>
          <w:iCs/>
          <w:szCs w:val="24"/>
        </w:rPr>
        <w:t xml:space="preserve">Stubbings </w:t>
      </w:r>
      <w:r w:rsidR="00CC3A72">
        <w:rPr>
          <w:i/>
          <w:iCs/>
          <w:szCs w:val="24"/>
        </w:rPr>
        <w:t>i ostali protiv Ujedinjenog Kraljevstva</w:t>
      </w:r>
      <w:r w:rsidRPr="00B94306" w:rsidR="00B94306">
        <w:rPr>
          <w:szCs w:val="24"/>
        </w:rPr>
        <w:t>, 22</w:t>
      </w:r>
      <w:r w:rsidR="00B94306">
        <w:rPr>
          <w:szCs w:val="24"/>
        </w:rPr>
        <w:t>.</w:t>
      </w:r>
      <w:r w:rsidRPr="00B94306" w:rsidR="00B94306">
        <w:rPr>
          <w:szCs w:val="24"/>
        </w:rPr>
        <w:t> o</w:t>
      </w:r>
      <w:r w:rsidR="00B94306">
        <w:rPr>
          <w:szCs w:val="24"/>
        </w:rPr>
        <w:t>k</w:t>
      </w:r>
      <w:r w:rsidRPr="00B94306" w:rsidR="00B94306">
        <w:rPr>
          <w:szCs w:val="24"/>
        </w:rPr>
        <w:t>tob</w:t>
      </w:r>
      <w:r w:rsidR="00B94306">
        <w:rPr>
          <w:szCs w:val="24"/>
        </w:rPr>
        <w:t>a</w:t>
      </w:r>
      <w:r w:rsidRPr="00B94306" w:rsidR="00B94306">
        <w:rPr>
          <w:szCs w:val="24"/>
        </w:rPr>
        <w:t xml:space="preserve">r 1996, § 51, </w:t>
      </w:r>
      <w:r w:rsidRPr="00CC3A72" w:rsidR="00CC3A72">
        <w:rPr>
          <w:i/>
          <w:szCs w:val="24"/>
        </w:rPr>
        <w:t>Zbornik presuda i odluka</w:t>
      </w:r>
      <w:r w:rsidR="00CC3A72">
        <w:rPr>
          <w:szCs w:val="24"/>
        </w:rPr>
        <w:t xml:space="preserve"> (</w:t>
      </w:r>
      <w:r w:rsidRPr="00B94306" w:rsidR="00B94306">
        <w:rPr>
          <w:i/>
          <w:iCs/>
          <w:szCs w:val="24"/>
        </w:rPr>
        <w:t>Recueil des arrêts et décisions</w:t>
      </w:r>
      <w:r w:rsidR="00CC3A72">
        <w:rPr>
          <w:i/>
          <w:iCs/>
          <w:szCs w:val="24"/>
        </w:rPr>
        <w:t>)</w:t>
      </w:r>
      <w:r w:rsidRPr="00B94306" w:rsidR="00B94306">
        <w:rPr>
          <w:i/>
          <w:iCs/>
          <w:szCs w:val="24"/>
        </w:rPr>
        <w:t xml:space="preserve"> </w:t>
      </w:r>
      <w:r w:rsidRPr="00B94306" w:rsidR="00B94306">
        <w:rPr>
          <w:szCs w:val="24"/>
        </w:rPr>
        <w:t>1996-IV).</w:t>
      </w:r>
    </w:p>
    <w:p w:rsidRPr="00AE0FEC" w:rsidR="00AE0FEC" w:rsidP="00AE0FEC" w:rsidRDefault="00905B01">
      <w:pPr>
        <w:pStyle w:val="JuPara"/>
        <w:rPr>
          <w:szCs w:val="24"/>
        </w:rPr>
      </w:pPr>
      <w:r>
        <w:fldChar w:fldCharType="begin"/>
      </w:r>
      <w:r>
        <w:instrText xml:space="preserve"> SEQ level0 \*arabic </w:instrText>
      </w:r>
      <w:r>
        <w:fldChar w:fldCharType="separate"/>
      </w:r>
      <w:r>
        <w:rPr>
          <w:noProof/>
        </w:rPr>
        <w:t>44</w:t>
      </w:r>
      <w:r>
        <w:fldChar w:fldCharType="end"/>
      </w:r>
      <w:r>
        <w:t>.  </w:t>
      </w:r>
      <w:r w:rsidR="00AE0FEC">
        <w:t>Najzad, Sud istič</w:t>
      </w:r>
      <w:r w:rsidR="00CC3A72">
        <w:t>e</w:t>
      </w:r>
      <w:r w:rsidR="00AE0FEC">
        <w:t xml:space="preserve"> da je pojam « od javnog značaja » pomenut u drugoj rečenici prvog stava člana 1 Prvog protokola širok po svojoj prirodi. Domaće vlasti su u principu u boljoj poziciji o</w:t>
      </w:r>
      <w:r w:rsidR="00CC3A72">
        <w:t>d</w:t>
      </w:r>
      <w:r w:rsidR="00AE0FEC">
        <w:t xml:space="preserve"> međunarodni</w:t>
      </w:r>
      <w:r w:rsidR="00CC3A72">
        <w:t>h</w:t>
      </w:r>
      <w:r w:rsidR="00AE0FEC">
        <w:t xml:space="preserve"> sudija </w:t>
      </w:r>
      <w:r w:rsidR="00CC3A72">
        <w:t>d</w:t>
      </w:r>
      <w:r w:rsidR="00AE0FEC">
        <w:t>a odre</w:t>
      </w:r>
      <w:r w:rsidR="00CC3A72">
        <w:t>de</w:t>
      </w:r>
      <w:r w:rsidR="00AE0FEC">
        <w:t xml:space="preserve"> št</w:t>
      </w:r>
      <w:r w:rsidR="00CC3A72">
        <w:t>a</w:t>
      </w:r>
      <w:r w:rsidR="00AE0FEC">
        <w:t xml:space="preserve"> predstavlja « javni značaj ». Smatrajući normalnim da zakonodavac raspolaže velikom širinom za sprovođenje ekonomske i socijalne politike, Sud poštuje načine na koje on vidi imperative « od javnog značaja » osim kada se njegova procena pokaže očigledno neosnovanom. Što se tiče pomoćnih rešenja – njihovo evenutalno postojanje ne čini samo po sebi neosnovanim dato zakonodavstvo. Sve dok zakonodavac ne pređe granicu svoje slobodne procene, Sud nije pozvan da kaže da li je on odabrao najbolji način rešavanja problema ili je trebalo da svoju vlast vrši drugačije </w:t>
      </w:r>
      <w:r w:rsidRPr="00AE0FEC" w:rsidR="00AE0FEC">
        <w:rPr>
          <w:szCs w:val="24"/>
        </w:rPr>
        <w:t>(</w:t>
      </w:r>
      <w:r w:rsidRPr="00AE0FEC" w:rsidR="00AE0FEC">
        <w:rPr>
          <w:i/>
          <w:iCs/>
          <w:szCs w:val="24"/>
        </w:rPr>
        <w:t>J.A. Pye (O</w:t>
      </w:r>
      <w:r w:rsidR="00CC3A72">
        <w:rPr>
          <w:i/>
          <w:iCs/>
          <w:szCs w:val="24"/>
        </w:rPr>
        <w:t>ks</w:t>
      </w:r>
      <w:r w:rsidRPr="00AE0FEC" w:rsidR="00AE0FEC">
        <w:rPr>
          <w:i/>
          <w:iCs/>
          <w:szCs w:val="24"/>
        </w:rPr>
        <w:t xml:space="preserve">ford) Ltd </w:t>
      </w:r>
      <w:r w:rsidR="00CC3A72">
        <w:rPr>
          <w:i/>
          <w:iCs/>
          <w:szCs w:val="24"/>
        </w:rPr>
        <w:t>protiv</w:t>
      </w:r>
      <w:r w:rsidRPr="00AE0FEC" w:rsidR="00AE0FEC">
        <w:rPr>
          <w:i/>
          <w:iCs/>
          <w:szCs w:val="24"/>
        </w:rPr>
        <w:t xml:space="preserve"> U</w:t>
      </w:r>
      <w:r w:rsidR="00CC3A72">
        <w:rPr>
          <w:i/>
          <w:iCs/>
          <w:szCs w:val="24"/>
        </w:rPr>
        <w:t>jedinjenog Kraljevstva</w:t>
      </w:r>
      <w:r w:rsidRPr="00AE0FEC" w:rsidR="00AE0FEC">
        <w:rPr>
          <w:szCs w:val="24"/>
        </w:rPr>
        <w:t xml:space="preserve">, </w:t>
      </w:r>
      <w:r w:rsidR="00CC3A72">
        <w:rPr>
          <w:szCs w:val="24"/>
        </w:rPr>
        <w:t>br.</w:t>
      </w:r>
      <w:r w:rsidRPr="00AE0FEC" w:rsidR="00AE0FEC">
        <w:rPr>
          <w:szCs w:val="24"/>
        </w:rPr>
        <w:t> 44302/02, §§ 43-45, 15</w:t>
      </w:r>
      <w:r w:rsidR="00AE0FEC">
        <w:rPr>
          <w:szCs w:val="24"/>
        </w:rPr>
        <w:t>.</w:t>
      </w:r>
      <w:r w:rsidRPr="00AE0FEC" w:rsidR="00AE0FEC">
        <w:rPr>
          <w:szCs w:val="24"/>
        </w:rPr>
        <w:t> novemb</w:t>
      </w:r>
      <w:r w:rsidR="00AE0FEC">
        <w:rPr>
          <w:szCs w:val="24"/>
        </w:rPr>
        <w:t>a</w:t>
      </w:r>
      <w:r w:rsidRPr="00AE0FEC" w:rsidR="00AE0FEC">
        <w:rPr>
          <w:szCs w:val="24"/>
        </w:rPr>
        <w:t>r 2005).</w:t>
      </w:r>
    </w:p>
    <w:p w:rsidR="002B6583" w:rsidP="00905B01" w:rsidRDefault="00905B01">
      <w:pPr>
        <w:pStyle w:val="JuHa0"/>
      </w:pPr>
      <w:r w:rsidRPr="00D31AD4">
        <w:t>b)</w:t>
      </w:r>
      <w:r>
        <w:t>  </w:t>
      </w:r>
      <w:r w:rsidR="0047501E">
        <w:t xml:space="preserve">Primena na </w:t>
      </w:r>
      <w:r w:rsidR="00376839">
        <w:t xml:space="preserve">konkretan </w:t>
      </w:r>
      <w:r w:rsidR="0047501E">
        <w:t>slučaj</w:t>
      </w:r>
    </w:p>
    <w:p w:rsidR="002B6583" w:rsidP="00905B01" w:rsidRDefault="00905B01">
      <w:pPr>
        <w:pStyle w:val="JuPara"/>
      </w:pPr>
      <w:r>
        <w:fldChar w:fldCharType="begin"/>
      </w:r>
      <w:r>
        <w:instrText xml:space="preserve"> SEQ level0 \*arabic </w:instrText>
      </w:r>
      <w:r>
        <w:fldChar w:fldCharType="separate"/>
      </w:r>
      <w:r>
        <w:rPr>
          <w:noProof/>
        </w:rPr>
        <w:t>45</w:t>
      </w:r>
      <w:r>
        <w:fldChar w:fldCharType="end"/>
      </w:r>
      <w:r>
        <w:t>. </w:t>
      </w:r>
      <w:r w:rsidR="002F6EF7">
        <w:t>U ovom predmetu, Sud prvenstveno ističe da kada je podnosilac predstavke 6. feburara 2003.</w:t>
      </w:r>
      <w:r w:rsidRPr="002F6EF7" w:rsidR="002F6EF7">
        <w:t xml:space="preserve"> </w:t>
      </w:r>
      <w:r w:rsidR="002F6EF7">
        <w:t xml:space="preserve">došao u svoju banku da se raspita </w:t>
      </w:r>
      <w:r w:rsidR="00376839">
        <w:t>o</w:t>
      </w:r>
      <w:r w:rsidR="002F6EF7">
        <w:t xml:space="preserve"> stanj</w:t>
      </w:r>
      <w:r w:rsidR="00376839">
        <w:t>u</w:t>
      </w:r>
      <w:r w:rsidR="002F6EF7">
        <w:t xml:space="preserve"> na svom računu, saznaje da su, pošto na njemu nije bilo nikakvih promena od drugog polugodišta 1981, sva </w:t>
      </w:r>
      <w:r w:rsidR="00376839">
        <w:t>prava</w:t>
      </w:r>
      <w:r w:rsidR="002F6EF7">
        <w:t xml:space="preserve"> </w:t>
      </w:r>
      <w:r w:rsidR="00376839">
        <w:t>koja bi mogao imati u vezi sa njim</w:t>
      </w:r>
      <w:r w:rsidR="002B6583">
        <w:t xml:space="preserve"> </w:t>
      </w:r>
      <w:r w:rsidR="002F6EF7">
        <w:t>zastarela. Iz odluka domaćih sudova proizla</w:t>
      </w:r>
      <w:r w:rsidR="00323050">
        <w:t>z</w:t>
      </w:r>
      <w:r w:rsidR="002F6EF7">
        <w:t xml:space="preserve">i da je otvorivši račun, podnosilac predstavke sa bankom sklopio sporazum koji, prema ustaljenoj sudskoj praksi i doktrini u Grčkoj, predstavlja sporazum o nepravom depozitu (član 830 Građanskog zakonika). </w:t>
      </w:r>
      <w:r w:rsidR="00376839">
        <w:t>Prava</w:t>
      </w:r>
      <w:r w:rsidR="002F6EF7">
        <w:t xml:space="preserve"> podnosioca predstavke proistekla iz tog sporazuma potpala su pod dvadesetogodišnje zastarevanje predviđeno Građanskim zakonikom (članovi 247 i 249).</w:t>
      </w:r>
    </w:p>
    <w:p w:rsidR="002B6583" w:rsidP="00905B01" w:rsidRDefault="00905B01">
      <w:pPr>
        <w:pStyle w:val="JuPara"/>
      </w:pPr>
      <w:r>
        <w:t> </w:t>
      </w:r>
      <w:r w:rsidRPr="005B7485">
        <w:rPr>
          <w:color w:val="000000"/>
        </w:rPr>
        <w:fldChar w:fldCharType="begin"/>
      </w:r>
      <w:r w:rsidRPr="00CA08B4">
        <w:rPr>
          <w:color w:val="000000"/>
        </w:rPr>
        <w:instrText xml:space="preserve"> SEQ level0 \*arabic </w:instrText>
      </w:r>
      <w:r w:rsidRPr="00CA08B4">
        <w:rPr>
          <w:color w:val="000000"/>
        </w:rPr>
        <w:fldChar w:fldCharType="separate"/>
      </w:r>
      <w:r>
        <w:rPr>
          <w:noProof/>
          <w:color w:val="000000"/>
        </w:rPr>
        <w:t>46</w:t>
      </w:r>
      <w:r w:rsidRPr="00CA08B4">
        <w:rPr>
          <w:color w:val="000000"/>
        </w:rPr>
        <w:fldChar w:fldCharType="end"/>
      </w:r>
      <w:r w:rsidRPr="00CA08B4">
        <w:rPr>
          <w:color w:val="000000"/>
        </w:rPr>
        <w:t>. </w:t>
      </w:r>
      <w:r w:rsidR="002F6EF7">
        <w:rPr>
          <w:color w:val="000000"/>
        </w:rPr>
        <w:t>Sud takođe primećuje da su odnosni domaći sudovi primenili član 3 zakonskog dekreta br</w:t>
      </w:r>
      <w:r w:rsidRPr="002F6EF7" w:rsidR="002F6EF7">
        <w:t>. 1195/1942</w:t>
      </w:r>
      <w:r w:rsidR="002F6EF7">
        <w:t>, na osnovu kojeg novčani depoziti sa pripadajućim kamatama</w:t>
      </w:r>
      <w:r w:rsidR="00E6663C">
        <w:t xml:space="preserve"> iz banaka u konačnom dolaze u posed države kada ih vlasnik računa nije potraživao ili kada tokom dvadesetogodišnjeg perioda nije bilo nikakvih promena na računu. Apelacioni sud je pored toga presudio da </w:t>
      </w:r>
      <w:r w:rsidR="00B96A94">
        <w:t xml:space="preserve">nije bilo prekida </w:t>
      </w:r>
      <w:r w:rsidR="00E6663C">
        <w:t>rok</w:t>
      </w:r>
      <w:r w:rsidR="00B96A94">
        <w:t>a</w:t>
      </w:r>
      <w:r w:rsidR="00E6663C">
        <w:t xml:space="preserve"> zastarevanja – s obzirom da upisivanje kamata po računu podnosioca predstavke u </w:t>
      </w:r>
      <w:r w:rsidR="00376839">
        <w:t>bančinu glavnu</w:t>
      </w:r>
      <w:r w:rsidR="00B96A94">
        <w:t xml:space="preserve"> knjig</w:t>
      </w:r>
      <w:r w:rsidR="00376839">
        <w:t>u</w:t>
      </w:r>
      <w:r w:rsidR="00B96A94">
        <w:t xml:space="preserve"> ne predstavlja slučaj </w:t>
      </w:r>
      <w:r w:rsidR="00323050">
        <w:t>prekida</w:t>
      </w:r>
      <w:r w:rsidR="00B96A94">
        <w:t xml:space="preserve"> (gornji paragraf 9) – kao ni zastoja</w:t>
      </w:r>
      <w:r w:rsidR="00376839">
        <w:t xml:space="preserve"> zastarevanja</w:t>
      </w:r>
      <w:r w:rsidR="00B96A94">
        <w:t xml:space="preserve"> iz razloga više sile na koju se poziva podnosilac predstavke (gornji paragraf 10).</w:t>
      </w:r>
    </w:p>
    <w:p w:rsidRPr="00B96A94" w:rsidR="00B96A94" w:rsidP="00905B01" w:rsidRDefault="00905B01">
      <w:pPr>
        <w:pStyle w:val="JuPara"/>
      </w:pPr>
      <w:r w:rsidRPr="00CA08B4">
        <w:rPr>
          <w:color w:val="000000"/>
        </w:rPr>
        <w:t> </w:t>
      </w:r>
      <w:r>
        <w:fldChar w:fldCharType="begin"/>
      </w:r>
      <w:r>
        <w:instrText xml:space="preserve"> SEQ level0 \*arabic </w:instrText>
      </w:r>
      <w:r>
        <w:fldChar w:fldCharType="separate"/>
      </w:r>
      <w:r>
        <w:rPr>
          <w:noProof/>
        </w:rPr>
        <w:t>47</w:t>
      </w:r>
      <w:r>
        <w:fldChar w:fldCharType="end"/>
      </w:r>
      <w:r w:rsidRPr="00B96A94">
        <w:t>.  </w:t>
      </w:r>
      <w:r w:rsidRPr="00B96A94" w:rsidR="00B96A94">
        <w:t>Za Sud</w:t>
      </w:r>
      <w:r w:rsidR="00B96A94">
        <w:t>, zastare</w:t>
      </w:r>
      <w:r w:rsidR="00376839">
        <w:t>lost</w:t>
      </w:r>
      <w:r w:rsidR="00B96A94">
        <w:t xml:space="preserve"> </w:t>
      </w:r>
      <w:r w:rsidR="00376839">
        <w:t>prava</w:t>
      </w:r>
      <w:r w:rsidR="00B96A94">
        <w:t xml:space="preserve"> podnosioca predstavke </w:t>
      </w:r>
      <w:r w:rsidR="00376839">
        <w:t xml:space="preserve">u </w:t>
      </w:r>
      <w:r w:rsidR="00F80269">
        <w:t>pogledu</w:t>
      </w:r>
      <w:r w:rsidR="00B96A94">
        <w:t xml:space="preserve"> sopstven</w:t>
      </w:r>
      <w:r w:rsidR="00F80269">
        <w:t>og</w:t>
      </w:r>
      <w:r w:rsidR="00B96A94">
        <w:t xml:space="preserve"> račun</w:t>
      </w:r>
      <w:r w:rsidR="00F80269">
        <w:t>a</w:t>
      </w:r>
      <w:r w:rsidR="00B96A94">
        <w:t xml:space="preserve"> predstavlja povredu njegovog prava na imovinu koja ne odgovara ni eksproprijaciji niti regulatornoj meri korišćenja dobara koja se dakle mora preispitati u svetlu prve rečenice prvog stava člana 1 </w:t>
      </w:r>
      <w:r w:rsidRPr="00B96A94" w:rsidR="00B96A94">
        <w:t xml:space="preserve">(videti, </w:t>
      </w:r>
      <w:r w:rsidRPr="00B96A94" w:rsidR="00B96A94">
        <w:rPr>
          <w:i/>
        </w:rPr>
        <w:t>mutatis mutandis</w:t>
      </w:r>
      <w:r w:rsidRPr="00B96A94" w:rsidR="00B96A94">
        <w:t xml:space="preserve">, </w:t>
      </w:r>
      <w:r w:rsidRPr="00B96A94" w:rsidR="00B96A94">
        <w:rPr>
          <w:i/>
        </w:rPr>
        <w:t xml:space="preserve">Optim </w:t>
      </w:r>
      <w:r w:rsidR="00376839">
        <w:rPr>
          <w:i/>
        </w:rPr>
        <w:t>i</w:t>
      </w:r>
      <w:r w:rsidRPr="00B96A94" w:rsidR="00B96A94">
        <w:rPr>
          <w:i/>
        </w:rPr>
        <w:t xml:space="preserve"> Industerre </w:t>
      </w:r>
      <w:r w:rsidR="00376839">
        <w:rPr>
          <w:i/>
        </w:rPr>
        <w:t>protiv Belgije</w:t>
      </w:r>
      <w:r w:rsidRPr="00B96A94" w:rsidR="00B96A94">
        <w:t xml:space="preserve"> (d</w:t>
      </w:r>
      <w:r w:rsidR="00B96A94">
        <w:t>e</w:t>
      </w:r>
      <w:r w:rsidRPr="00B96A94" w:rsidR="00B96A94">
        <w:t xml:space="preserve">c.), </w:t>
      </w:r>
      <w:r w:rsidR="00376839">
        <w:t>br.</w:t>
      </w:r>
      <w:r w:rsidRPr="00B96A94" w:rsidR="00B96A94">
        <w:t xml:space="preserve"> 23819/06, § 35, 11</w:t>
      </w:r>
      <w:r w:rsidR="00B96A94">
        <w:t>.</w:t>
      </w:r>
      <w:r w:rsidRPr="00B96A94" w:rsidR="00B96A94">
        <w:t xml:space="preserve"> septemb</w:t>
      </w:r>
      <w:r w:rsidR="00B96A94">
        <w:t>a</w:t>
      </w:r>
      <w:r w:rsidRPr="00B96A94" w:rsidR="00B96A94">
        <w:t>r 2012).</w:t>
      </w:r>
      <w:r w:rsidR="00B96A94">
        <w:t xml:space="preserve"> Takođe je potrebno utvrditi da li je uspostavljena pravična ravnoteža izme</w:t>
      </w:r>
      <w:r w:rsidR="00376839">
        <w:t>đ</w:t>
      </w:r>
      <w:r w:rsidR="00B96A94">
        <w:t xml:space="preserve">u zahteva od </w:t>
      </w:r>
      <w:r w:rsidR="00376839">
        <w:t>opšteg</w:t>
      </w:r>
      <w:r w:rsidR="00B96A94">
        <w:t xml:space="preserve"> interesa </w:t>
      </w:r>
      <w:r w:rsidR="00376839">
        <w:t xml:space="preserve">za </w:t>
      </w:r>
      <w:r w:rsidR="00B96A94">
        <w:t>društv</w:t>
      </w:r>
      <w:r w:rsidR="00376839">
        <w:t>o</w:t>
      </w:r>
      <w:r w:rsidR="00B96A94">
        <w:t xml:space="preserve"> i imperativa povezanih sa osnovnim pravima pojedinca.</w:t>
      </w:r>
    </w:p>
    <w:p w:rsidRPr="00CD3ED5" w:rsidR="00962F43" w:rsidP="00905B01" w:rsidRDefault="00905B01">
      <w:pPr>
        <w:pStyle w:val="JuPara"/>
      </w:pPr>
      <w:r>
        <w:fldChar w:fldCharType="begin"/>
      </w:r>
      <w:r>
        <w:instrText xml:space="preserve"> SEQ level0 \*arabic </w:instrText>
      </w:r>
      <w:r>
        <w:fldChar w:fldCharType="separate"/>
      </w:r>
      <w:r>
        <w:rPr>
          <w:noProof/>
        </w:rPr>
        <w:t>48</w:t>
      </w:r>
      <w:r>
        <w:fldChar w:fldCharType="end"/>
      </w:r>
      <w:r>
        <w:t>.  </w:t>
      </w:r>
      <w:r w:rsidR="00CD3ED5">
        <w:t>Sud ne sumnja da zastarevanje uvedeno članovima 247 i 249 Građanskog zakonika i član</w:t>
      </w:r>
      <w:r w:rsidR="00376839">
        <w:t>om</w:t>
      </w:r>
      <w:r w:rsidR="00CD3ED5">
        <w:t xml:space="preserve"> 3 zakonskog dekreta br. </w:t>
      </w:r>
      <w:r w:rsidRPr="00CD3ED5" w:rsidR="00CD3ED5">
        <w:t>1195/1942</w:t>
      </w:r>
      <w:r w:rsidR="00CD3ED5">
        <w:t xml:space="preserve"> tež</w:t>
      </w:r>
      <w:r w:rsidR="00323050">
        <w:t>i</w:t>
      </w:r>
      <w:r w:rsidR="00CD3ED5">
        <w:t xml:space="preserve"> legitimnom cilju. Kao što je istakao Apelacioni sud u svojoj presudi od 6. aprila 2006, dvadesetogodišnje zastarevanje ugovora o nepravom depozitu opravdava se ciljem od javnog značaja : </w:t>
      </w:r>
      <w:r w:rsidR="00376839">
        <w:t>likvid</w:t>
      </w:r>
      <w:r w:rsidR="00F80269">
        <w:t>iranjem</w:t>
      </w:r>
      <w:r w:rsidR="00CD3ED5">
        <w:t>, u interesu zajednice,</w:t>
      </w:r>
      <w:r w:rsidR="002B6583">
        <w:t xml:space="preserve"> </w:t>
      </w:r>
      <w:r w:rsidR="00CD3ED5">
        <w:t>pravnih odnosa</w:t>
      </w:r>
      <w:r w:rsidR="002B6583">
        <w:t xml:space="preserve"> </w:t>
      </w:r>
      <w:r w:rsidR="00CD3ED5">
        <w:t>stvorenih u toliko dalekoj prošlosti da je njihovo postojanje postalo neizvesno.</w:t>
      </w:r>
    </w:p>
    <w:p w:rsidR="002B6583" w:rsidP="00905B01" w:rsidRDefault="00905B01">
      <w:pPr>
        <w:pStyle w:val="JuPara"/>
        <w:rPr>
          <w:color w:val="000000"/>
        </w:rPr>
      </w:pPr>
      <w:r>
        <w:rPr>
          <w:color w:val="000000"/>
        </w:rPr>
        <w:fldChar w:fldCharType="begin"/>
      </w:r>
      <w:r>
        <w:rPr>
          <w:color w:val="000000"/>
        </w:rPr>
        <w:instrText xml:space="preserve"> SEQ level0 \*arabic </w:instrText>
      </w:r>
      <w:r>
        <w:rPr>
          <w:color w:val="000000"/>
        </w:rPr>
        <w:fldChar w:fldCharType="separate"/>
      </w:r>
      <w:r>
        <w:rPr>
          <w:noProof/>
          <w:color w:val="000000"/>
        </w:rPr>
        <w:t>49</w:t>
      </w:r>
      <w:r>
        <w:rPr>
          <w:color w:val="000000"/>
        </w:rPr>
        <w:fldChar w:fldCharType="end"/>
      </w:r>
      <w:r>
        <w:rPr>
          <w:color w:val="000000"/>
        </w:rPr>
        <w:t>.  </w:t>
      </w:r>
      <w:r w:rsidR="00F80269">
        <w:rPr>
          <w:color w:val="000000"/>
        </w:rPr>
        <w:t>Iz ugla,</w:t>
      </w:r>
      <w:r w:rsidR="009A13C7">
        <w:rPr>
          <w:color w:val="000000"/>
        </w:rPr>
        <w:t xml:space="preserve"> između ostalog</w:t>
      </w:r>
      <w:r w:rsidR="00F80269">
        <w:rPr>
          <w:color w:val="000000"/>
        </w:rPr>
        <w:t>,</w:t>
      </w:r>
      <w:r w:rsidR="009A13C7">
        <w:rPr>
          <w:color w:val="000000"/>
        </w:rPr>
        <w:t xml:space="preserve"> svoje prakse u oblasti zastarevanja (gornji paragraf 43), Sud smatra da je gorepomenuti grčki sistem zastarevanja razuman : dvadesetogodišnji rok je dovoljno dugačak</w:t>
      </w:r>
      <w:r w:rsidR="00F80269">
        <w:rPr>
          <w:color w:val="000000"/>
        </w:rPr>
        <w:t>,</w:t>
      </w:r>
      <w:r w:rsidR="009A13C7">
        <w:rPr>
          <w:color w:val="000000"/>
        </w:rPr>
        <w:t xml:space="preserve"> a zainteresovanim licima nije </w:t>
      </w:r>
      <w:r w:rsidR="00F80269">
        <w:rPr>
          <w:color w:val="000000"/>
        </w:rPr>
        <w:t xml:space="preserve">ni </w:t>
      </w:r>
      <w:r w:rsidR="009A13C7">
        <w:rPr>
          <w:color w:val="000000"/>
        </w:rPr>
        <w:t>teško ni nemoguće da prekinu zastarevanje.</w:t>
      </w:r>
    </w:p>
    <w:p w:rsidR="002B6583" w:rsidP="009A13C7" w:rsidRDefault="00905B01">
      <w:pPr>
        <w:pStyle w:val="JuPara"/>
      </w:pPr>
      <w:r>
        <w:fldChar w:fldCharType="begin"/>
      </w:r>
      <w:r>
        <w:instrText xml:space="preserve"> SEQ level0 \*arabic </w:instrText>
      </w:r>
      <w:r>
        <w:fldChar w:fldCharType="separate"/>
      </w:r>
      <w:r>
        <w:rPr>
          <w:noProof/>
        </w:rPr>
        <w:t>50</w:t>
      </w:r>
      <w:r>
        <w:fldChar w:fldCharType="end"/>
      </w:r>
      <w:r>
        <w:t>.  </w:t>
      </w:r>
      <w:r w:rsidR="009A13C7">
        <w:t>Izričući presudu u predmetu podnosioca predstavke, grčki sudovi sledili su i primenili relevantno važeće zakonodavstvo i sudsku praksu : s jedne strane, član 3 zakonskog dekreta</w:t>
      </w:r>
      <w:r w:rsidR="008576D8">
        <w:t xml:space="preserve">, koji predviđa da </w:t>
      </w:r>
      <w:r w:rsidR="00F80269">
        <w:t xml:space="preserve">se </w:t>
      </w:r>
      <w:r w:rsidR="008576D8">
        <w:t xml:space="preserve">zastarevanje </w:t>
      </w:r>
      <w:r w:rsidR="00F80269">
        <w:t>prava</w:t>
      </w:r>
      <w:r w:rsidR="008576D8">
        <w:t xml:space="preserve"> vlasnika računa preki</w:t>
      </w:r>
      <w:r w:rsidR="00F80269">
        <w:t>da</w:t>
      </w:r>
      <w:r w:rsidR="008576D8">
        <w:t xml:space="preserve"> samo kada vlasnik potražuje svoj depozit ili obavlja neku transakciju na svom računu, s druge strane, član 260 Građanskog zakonika, koji predviđa prekid roka zastarevanja </w:t>
      </w:r>
      <w:r w:rsidR="00BC0F12">
        <w:t xml:space="preserve">kada </w:t>
      </w:r>
      <w:r w:rsidRPr="004A73DA" w:rsidR="00BC0F12">
        <w:t>obveznik</w:t>
      </w:r>
      <w:r w:rsidR="00323050">
        <w:t>,</w:t>
      </w:r>
      <w:r w:rsidR="00BC0F12">
        <w:t xml:space="preserve"> u ovom slučaju banka</w:t>
      </w:r>
      <w:r w:rsidR="00323050">
        <w:t>,</w:t>
      </w:r>
      <w:r w:rsidR="00BC0F12">
        <w:t xml:space="preserve"> </w:t>
      </w:r>
      <w:r w:rsidR="008576D8">
        <w:t xml:space="preserve">prizna </w:t>
      </w:r>
      <w:r w:rsidR="001C7E25">
        <w:t xml:space="preserve">odnosno </w:t>
      </w:r>
      <w:r w:rsidR="00F80269">
        <w:t>pravo</w:t>
      </w:r>
      <w:r w:rsidR="008576D8">
        <w:t>.</w:t>
      </w:r>
      <w:r w:rsidR="00BC0F12">
        <w:t xml:space="preserve"> U tom smislu Kasacioni sud je presudio da takvo priznanje mora da bude poslato </w:t>
      </w:r>
      <w:r w:rsidR="00F80269">
        <w:t xml:space="preserve">i dostavljeno </w:t>
      </w:r>
      <w:r w:rsidR="00BC0F12">
        <w:t xml:space="preserve">poveriocu, i da </w:t>
      </w:r>
      <w:r w:rsidR="001C7E25">
        <w:t>prosto zavođenje</w:t>
      </w:r>
      <w:r w:rsidR="00BC0F12">
        <w:t xml:space="preserve"> dugovanja u </w:t>
      </w:r>
      <w:r w:rsidR="00F80269">
        <w:t xml:space="preserve">bančinu glavnu knjigu </w:t>
      </w:r>
      <w:r w:rsidR="00BC0F12">
        <w:t>ne predstavlj</w:t>
      </w:r>
      <w:r w:rsidR="00F80269">
        <w:t>a</w:t>
      </w:r>
      <w:r w:rsidR="00BC0F12">
        <w:t xml:space="preserve"> priznanje </w:t>
      </w:r>
      <w:r w:rsidR="004A73DA">
        <w:t>prava</w:t>
      </w:r>
      <w:r w:rsidR="00BC0F12">
        <w:t xml:space="preserve"> u smislu člana 260 te s</w:t>
      </w:r>
      <w:r w:rsidR="002B6583">
        <w:t>’</w:t>
      </w:r>
      <w:r w:rsidR="00BC0F12">
        <w:t xml:space="preserve"> toga</w:t>
      </w:r>
      <w:r w:rsidR="002B6583">
        <w:t xml:space="preserve"> </w:t>
      </w:r>
      <w:r w:rsidR="00BC0F12">
        <w:t>ne može prekinuti zastarevanje (gornji</w:t>
      </w:r>
      <w:r w:rsidR="002B6583">
        <w:t xml:space="preserve"> </w:t>
      </w:r>
      <w:r w:rsidR="00BC0F12">
        <w:t>paragrafi 18 i 21)</w:t>
      </w:r>
      <w:r w:rsidR="004A73DA">
        <w:t>.</w:t>
      </w:r>
      <w:r w:rsidR="002B6583">
        <w:t xml:space="preserve"> </w:t>
      </w:r>
    </w:p>
    <w:p w:rsidRPr="00BC0F12" w:rsidR="00BC0F12" w:rsidP="00905B01" w:rsidRDefault="00905B01">
      <w:pPr>
        <w:pStyle w:val="JuPara"/>
      </w:pPr>
      <w:r>
        <w:fldChar w:fldCharType="begin"/>
      </w:r>
      <w:r>
        <w:instrText xml:space="preserve"> SEQ level0 \*arabic </w:instrText>
      </w:r>
      <w:r>
        <w:fldChar w:fldCharType="separate"/>
      </w:r>
      <w:r>
        <w:rPr>
          <w:noProof/>
        </w:rPr>
        <w:t>51</w:t>
      </w:r>
      <w:r>
        <w:fldChar w:fldCharType="end"/>
      </w:r>
      <w:r>
        <w:t>.  </w:t>
      </w:r>
      <w:r w:rsidR="00BC0F12">
        <w:t xml:space="preserve">Međutim, Sud smatra da ovako radikalna mera kao što je zastarevanje potraživanja po bankovnom računu na osnovu toga što nije bilo nikakvih </w:t>
      </w:r>
      <w:r w:rsidR="004A73DA">
        <w:t>promena</w:t>
      </w:r>
      <w:r w:rsidR="00BC0F12">
        <w:t xml:space="preserve"> </w:t>
      </w:r>
      <w:r w:rsidR="004A73DA">
        <w:t>na</w:t>
      </w:r>
      <w:r w:rsidR="00BC0F12">
        <w:t xml:space="preserve"> tom računu </w:t>
      </w:r>
      <w:r w:rsidR="002A4231">
        <w:t xml:space="preserve">tokom određenog perioda, upareno sa sudskom praksom prema kojoj upis kamata ne predstavlja promenu na računu, jeste takve prirode da stavlja vlasnike računa, naročito kada se radi o običnim pojedincima koji nisu podrobnije upoznati sa građanskim ili bankarskim pravom, u nepovoljnu situaciju u odnosu na banku </w:t>
      </w:r>
      <w:r w:rsidR="004A73DA">
        <w:t>pa</w:t>
      </w:r>
      <w:r w:rsidR="002A4231">
        <w:t xml:space="preserve"> čak i na državu u slučaju primene član</w:t>
      </w:r>
      <w:r w:rsidR="004A73DA">
        <w:t>a</w:t>
      </w:r>
      <w:r w:rsidR="002A4231">
        <w:t xml:space="preserve"> 3 zakonskog dekreta.</w:t>
      </w:r>
    </w:p>
    <w:p w:rsidR="002B6583" w:rsidP="00905B01" w:rsidRDefault="00905B01">
      <w:pPr>
        <w:pStyle w:val="JuPara"/>
      </w:pPr>
      <w:r>
        <w:fldChar w:fldCharType="begin"/>
      </w:r>
      <w:r>
        <w:instrText xml:space="preserve"> SEQ level0 \*arabic </w:instrText>
      </w:r>
      <w:r>
        <w:fldChar w:fldCharType="separate"/>
      </w:r>
      <w:r>
        <w:rPr>
          <w:noProof/>
        </w:rPr>
        <w:t>52</w:t>
      </w:r>
      <w:r>
        <w:fldChar w:fldCharType="end"/>
      </w:r>
      <w:r>
        <w:t>.  </w:t>
      </w:r>
      <w:r w:rsidR="002A4231">
        <w:t xml:space="preserve">Sud primećuje da, </w:t>
      </w:r>
      <w:r w:rsidR="004A73DA">
        <w:t>prema</w:t>
      </w:r>
      <w:r w:rsidR="002A4231">
        <w:t xml:space="preserve"> odredb</w:t>
      </w:r>
      <w:r w:rsidR="004A73DA">
        <w:t>ama</w:t>
      </w:r>
      <w:r w:rsidR="002A4231">
        <w:t xml:space="preserve"> člana 830 Građanskog zakonika, </w:t>
      </w:r>
      <w:r w:rsidR="00C5597B">
        <w:t>ako</w:t>
      </w:r>
      <w:r w:rsidR="002A4231">
        <w:t xml:space="preserve"> neka osoba </w:t>
      </w:r>
      <w:r w:rsidR="00C5597B">
        <w:t xml:space="preserve">koja </w:t>
      </w:r>
      <w:r w:rsidR="002A4231">
        <w:t xml:space="preserve">deponuje </w:t>
      </w:r>
      <w:r w:rsidR="004A73DA">
        <w:t>određenu</w:t>
      </w:r>
      <w:r w:rsidR="002A4231">
        <w:t xml:space="preserve"> sumu novca u banku </w:t>
      </w:r>
      <w:r w:rsidR="004A73DA">
        <w:t>pren</w:t>
      </w:r>
      <w:r w:rsidR="00C5597B">
        <w:t>ese</w:t>
      </w:r>
      <w:r w:rsidR="004A73DA">
        <w:t xml:space="preserve"> na nju </w:t>
      </w:r>
      <w:r w:rsidR="002A4231">
        <w:t xml:space="preserve">pravo da je koristi, banka mora da je čuva i, ako je koristi za svoj račun, mora </w:t>
      </w:r>
      <w:r w:rsidR="004A73DA">
        <w:t xml:space="preserve">deponentu </w:t>
      </w:r>
      <w:r w:rsidR="002A4231">
        <w:t xml:space="preserve">vratiti ekvivalentnu sumu po isteku </w:t>
      </w:r>
      <w:r w:rsidR="00BE3397">
        <w:t>sporazuma</w:t>
      </w:r>
      <w:r w:rsidR="002A4231">
        <w:t>.</w:t>
      </w:r>
      <w:r w:rsidR="002B6583">
        <w:t xml:space="preserve"> </w:t>
      </w:r>
      <w:r w:rsidR="00DF36DB">
        <w:t xml:space="preserve">Vlasnik računa može razumno očekivati da taj njegov depozit pri banci bude bezbedan, naročito kada primeti da mu se kamata upisuje na račun. Legitimno je da računa na to da će biti upozoren na </w:t>
      </w:r>
      <w:r w:rsidR="00C5597B">
        <w:t>bilo kakvu</w:t>
      </w:r>
      <w:r w:rsidR="00DF36DB">
        <w:t xml:space="preserve"> situaciju koja dovodi u opasnost sporazum koji je sklopio sa bankom i </w:t>
      </w:r>
      <w:r w:rsidR="00C5597B">
        <w:t>njegove</w:t>
      </w:r>
      <w:r w:rsidR="002B6583">
        <w:t xml:space="preserve"> </w:t>
      </w:r>
      <w:r w:rsidR="00DF36DB">
        <w:t>finansijsk</w:t>
      </w:r>
      <w:r w:rsidR="00C5597B">
        <w:t>e</w:t>
      </w:r>
      <w:r w:rsidR="00DF36DB">
        <w:t xml:space="preserve"> interes</w:t>
      </w:r>
      <w:r w:rsidR="00C5597B">
        <w:t>e</w:t>
      </w:r>
      <w:r w:rsidR="00DF36DB">
        <w:t xml:space="preserve"> kako bi unapred </w:t>
      </w:r>
      <w:r w:rsidR="00C5597B">
        <w:t xml:space="preserve">mogao </w:t>
      </w:r>
      <w:r w:rsidR="00DF36DB">
        <w:t xml:space="preserve">preduzeti </w:t>
      </w:r>
      <w:r w:rsidR="00C5597B">
        <w:t xml:space="preserve">potrebne </w:t>
      </w:r>
      <w:r w:rsidR="00DF36DB">
        <w:t>korake</w:t>
      </w:r>
      <w:r w:rsidR="00C5597B">
        <w:t xml:space="preserve"> da se</w:t>
      </w:r>
      <w:r w:rsidR="002B6583">
        <w:t xml:space="preserve"> </w:t>
      </w:r>
      <w:r w:rsidR="00DF36DB">
        <w:t>usaglasi sa zakonom i zaštiti svoje pravo na imovinu. Takav odnos poverenja svojstven je bankarsk</w:t>
      </w:r>
      <w:r w:rsidR="00B03520">
        <w:t>i</w:t>
      </w:r>
      <w:r w:rsidR="00DF36DB">
        <w:t>m transakcijama i pravu koje se na njih primenjuje.</w:t>
      </w:r>
    </w:p>
    <w:p w:rsidRPr="00081E2C" w:rsidR="00081E2C" w:rsidP="00081E2C" w:rsidRDefault="00905B01">
      <w:pPr>
        <w:pStyle w:val="JuPara"/>
      </w:pPr>
      <w:r>
        <w:fldChar w:fldCharType="begin"/>
      </w:r>
      <w:r>
        <w:instrText xml:space="preserve"> SEQ level0 \*arabic </w:instrText>
      </w:r>
      <w:r>
        <w:fldChar w:fldCharType="separate"/>
      </w:r>
      <w:r>
        <w:rPr>
          <w:noProof/>
        </w:rPr>
        <w:t>53</w:t>
      </w:r>
      <w:r>
        <w:fldChar w:fldCharType="end"/>
      </w:r>
      <w:r>
        <w:t>.  </w:t>
      </w:r>
      <w:r w:rsidR="009B16FB">
        <w:t xml:space="preserve">Sud između ostalog podseća da </w:t>
      </w:r>
      <w:r w:rsidR="00081E2C">
        <w:t xml:space="preserve">je </w:t>
      </w:r>
      <w:r w:rsidR="009B16FB">
        <w:t xml:space="preserve">načelo pravne </w:t>
      </w:r>
      <w:r w:rsidR="00081E2C">
        <w:t>sigurnosti</w:t>
      </w:r>
      <w:r w:rsidR="009B16FB">
        <w:t xml:space="preserve"> implicitno</w:t>
      </w:r>
      <w:r w:rsidR="00081E2C">
        <w:t xml:space="preserve"> u sveukupnim članovima Konvencije i da predstavlja jedan od suštinskih činilaca pravne države </w:t>
      </w:r>
      <w:r w:rsidRPr="00081E2C" w:rsidR="00081E2C">
        <w:t>(</w:t>
      </w:r>
      <w:r w:rsidRPr="00081E2C" w:rsidR="00081E2C">
        <w:rPr>
          <w:i/>
        </w:rPr>
        <w:t xml:space="preserve">Nejdet Şahin </w:t>
      </w:r>
      <w:r w:rsidR="00BE45F4">
        <w:rPr>
          <w:i/>
        </w:rPr>
        <w:t>i</w:t>
      </w:r>
      <w:r w:rsidRPr="00081E2C" w:rsidR="00081E2C">
        <w:rPr>
          <w:i/>
        </w:rPr>
        <w:t xml:space="preserve"> Perihan Şahin </w:t>
      </w:r>
      <w:r w:rsidR="00BE45F4">
        <w:rPr>
          <w:i/>
        </w:rPr>
        <w:t>protiv Turske</w:t>
      </w:r>
      <w:r w:rsidRPr="00081E2C" w:rsidR="00081E2C">
        <w:t xml:space="preserve">, [GC], </w:t>
      </w:r>
      <w:r w:rsidR="00BE45F4">
        <w:t>br.</w:t>
      </w:r>
      <w:r w:rsidRPr="00081E2C" w:rsidR="00081E2C">
        <w:t xml:space="preserve"> 13279/05, § 56, 20</w:t>
      </w:r>
      <w:r w:rsidR="00081E2C">
        <w:t>.</w:t>
      </w:r>
      <w:r w:rsidRPr="00081E2C" w:rsidR="00081E2C">
        <w:t xml:space="preserve"> o</w:t>
      </w:r>
      <w:r w:rsidR="00081E2C">
        <w:t>k</w:t>
      </w:r>
      <w:r w:rsidRPr="00081E2C" w:rsidR="00081E2C">
        <w:t>tob</w:t>
      </w:r>
      <w:r w:rsidR="00081E2C">
        <w:t>a</w:t>
      </w:r>
      <w:r w:rsidRPr="00081E2C" w:rsidR="00081E2C">
        <w:t>r 2011).</w:t>
      </w:r>
      <w:r w:rsidR="00081E2C">
        <w:t xml:space="preserve"> Međutim, po mišljenju Suda, država ima pozitivnu obavezu zaštite građan</w:t>
      </w:r>
      <w:r w:rsidR="00147646">
        <w:t>stv</w:t>
      </w:r>
      <w:r w:rsidR="00081E2C">
        <w:t xml:space="preserve">a i predviđanja obaveze za banke, uzimajući u obzir neugodne posledice koje zastarevanje može imati, da informiše vlasnike neaktivnih računa o bliskoj zastarelosti i da im na taj način pruži mogućnost da prekinu zastarevanje tako što bi na primer izvršili neku bankarsku transakciju. Nezahtevanje </w:t>
      </w:r>
      <w:r w:rsidR="00C23275">
        <w:t xml:space="preserve">bilo </w:t>
      </w:r>
      <w:r w:rsidR="00081E2C">
        <w:t xml:space="preserve">kakvog informisanja tog tipa dovodi do opasnosti od povrede pravične ravnoteže između zahteva koje nalaže </w:t>
      </w:r>
      <w:r w:rsidR="00C23275">
        <w:t>opšti</w:t>
      </w:r>
      <w:r w:rsidR="00081E2C">
        <w:t xml:space="preserve"> interes zajednice i imperativa zaštite osnovnih prava pojedinca.</w:t>
      </w:r>
    </w:p>
    <w:p w:rsidR="0072405E" w:rsidP="00905B01" w:rsidRDefault="00905B01">
      <w:pPr>
        <w:pStyle w:val="JuPara"/>
        <w:rPr>
          <w:rStyle w:val="JuParaChar"/>
          <w:lang w:val="fr-FR"/>
        </w:rPr>
      </w:pPr>
      <w:r w:rsidRPr="00404D2D">
        <w:rPr>
          <w:rStyle w:val="JuParaChar"/>
          <w:lang w:val="fr-FR"/>
        </w:rPr>
        <w:fldChar w:fldCharType="begin"/>
      </w:r>
      <w:r w:rsidRPr="00404D2D">
        <w:rPr>
          <w:rStyle w:val="JuParaChar"/>
          <w:lang w:val="fr-FR"/>
        </w:rPr>
        <w:instrText xml:space="preserve"> SEQ level0 \*arabic </w:instrText>
      </w:r>
      <w:r w:rsidRPr="00404D2D">
        <w:rPr>
          <w:rStyle w:val="JuParaChar"/>
          <w:lang w:val="fr-FR"/>
        </w:rPr>
        <w:fldChar w:fldCharType="separate"/>
      </w:r>
      <w:r>
        <w:rPr>
          <w:rStyle w:val="JuParaChar"/>
          <w:noProof/>
          <w:lang w:val="fr-FR"/>
        </w:rPr>
        <w:t>54</w:t>
      </w:r>
      <w:r w:rsidRPr="00404D2D">
        <w:rPr>
          <w:rStyle w:val="JuParaChar"/>
          <w:lang w:val="fr-FR"/>
        </w:rPr>
        <w:fldChar w:fldCharType="end"/>
      </w:r>
      <w:r w:rsidRPr="00404D2D">
        <w:rPr>
          <w:rStyle w:val="JuParaChar"/>
          <w:lang w:val="fr-FR"/>
        </w:rPr>
        <w:t>.  </w:t>
      </w:r>
      <w:r w:rsidR="001027CD">
        <w:rPr>
          <w:rStyle w:val="JuParaChar"/>
          <w:lang w:val="fr-FR"/>
        </w:rPr>
        <w:t>Uskraćen za takvu</w:t>
      </w:r>
      <w:r w:rsidR="0072405E">
        <w:rPr>
          <w:rStyle w:val="JuParaChar"/>
          <w:lang w:val="fr-FR"/>
        </w:rPr>
        <w:t xml:space="preserve"> informa</w:t>
      </w:r>
      <w:r w:rsidR="001027CD">
        <w:rPr>
          <w:rStyle w:val="JuParaChar"/>
          <w:lang w:val="fr-FR"/>
        </w:rPr>
        <w:t>ciju</w:t>
      </w:r>
      <w:r w:rsidR="0072405E">
        <w:rPr>
          <w:rStyle w:val="JuParaChar"/>
          <w:lang w:val="fr-FR"/>
        </w:rPr>
        <w:t xml:space="preserve">, </w:t>
      </w:r>
      <w:r w:rsidR="001027CD">
        <w:rPr>
          <w:rStyle w:val="JuParaChar"/>
          <w:lang w:val="fr-FR"/>
        </w:rPr>
        <w:t>po mišljenju Suda</w:t>
      </w:r>
      <w:r w:rsidR="00DA02FD">
        <w:rPr>
          <w:rStyle w:val="JuParaChar"/>
          <w:lang w:val="fr-FR"/>
        </w:rPr>
        <w:t>,</w:t>
      </w:r>
      <w:r w:rsidR="001027CD">
        <w:rPr>
          <w:rStyle w:val="JuParaChar"/>
          <w:lang w:val="fr-FR"/>
        </w:rPr>
        <w:t xml:space="preserve"> podnosilac predstavke je doveden u situaciju da mora da podnese preterani i </w:t>
      </w:r>
      <w:r w:rsidRPr="00DA02FD" w:rsidR="001027CD">
        <w:rPr>
          <w:rStyle w:val="JuParaChar"/>
          <w:lang w:val="fr-FR"/>
        </w:rPr>
        <w:t xml:space="preserve">nesrazmerni </w:t>
      </w:r>
      <w:r w:rsidR="00EC4BCF">
        <w:rPr>
          <w:rStyle w:val="JuParaChar"/>
          <w:lang w:val="fr-FR"/>
        </w:rPr>
        <w:t xml:space="preserve">teret </w:t>
      </w:r>
      <w:r w:rsidR="001027CD">
        <w:rPr>
          <w:rStyle w:val="JuParaChar"/>
          <w:lang w:val="fr-FR"/>
        </w:rPr>
        <w:t>koji se ne može opravdati ni potrebom da se likvidiraju pravni odnosi</w:t>
      </w:r>
      <w:r w:rsidR="002B6583">
        <w:rPr>
          <w:rStyle w:val="JuParaChar"/>
          <w:lang w:val="fr-FR"/>
        </w:rPr>
        <w:t xml:space="preserve"> </w:t>
      </w:r>
      <w:r w:rsidR="001027CD">
        <w:rPr>
          <w:rStyle w:val="JuParaChar"/>
          <w:lang w:val="fr-FR"/>
        </w:rPr>
        <w:t>čije postojanje je navodno neizvesno – p</w:t>
      </w:r>
      <w:r w:rsidR="00DA02FD">
        <w:rPr>
          <w:rStyle w:val="JuParaChar"/>
          <w:lang w:val="fr-FR"/>
        </w:rPr>
        <w:t>rema</w:t>
      </w:r>
      <w:r w:rsidR="001027CD">
        <w:rPr>
          <w:rStyle w:val="JuParaChar"/>
          <w:lang w:val="fr-FR"/>
        </w:rPr>
        <w:t xml:space="preserve"> tvrdnji u </w:t>
      </w:r>
      <w:r w:rsidR="00DA02FD">
        <w:rPr>
          <w:rStyle w:val="JuParaChar"/>
          <w:lang w:val="fr-FR"/>
        </w:rPr>
        <w:t>konkretnom</w:t>
      </w:r>
      <w:r w:rsidR="001027CD">
        <w:rPr>
          <w:rStyle w:val="JuParaChar"/>
          <w:lang w:val="fr-FR"/>
        </w:rPr>
        <w:t xml:space="preserve"> slučaju </w:t>
      </w:r>
      <w:r w:rsidR="00EC4BCF">
        <w:rPr>
          <w:rStyle w:val="JuParaChar"/>
          <w:lang w:val="fr-FR"/>
        </w:rPr>
        <w:t>A</w:t>
      </w:r>
      <w:r w:rsidR="001027CD">
        <w:rPr>
          <w:rStyle w:val="JuParaChar"/>
          <w:lang w:val="fr-FR"/>
        </w:rPr>
        <w:t>pelacionog suda – ni dobr</w:t>
      </w:r>
      <w:r w:rsidR="00DA02FD">
        <w:rPr>
          <w:rStyle w:val="JuParaChar"/>
          <w:lang w:val="fr-FR"/>
        </w:rPr>
        <w:t>im</w:t>
      </w:r>
      <w:r w:rsidR="001027CD">
        <w:rPr>
          <w:rStyle w:val="JuParaChar"/>
          <w:lang w:val="fr-FR"/>
        </w:rPr>
        <w:t xml:space="preserve"> funkcionisanje</w:t>
      </w:r>
      <w:r w:rsidR="00DA02FD">
        <w:rPr>
          <w:rStyle w:val="JuParaChar"/>
          <w:lang w:val="fr-FR"/>
        </w:rPr>
        <w:t>m</w:t>
      </w:r>
      <w:r w:rsidR="001027CD">
        <w:rPr>
          <w:rStyle w:val="JuParaChar"/>
          <w:lang w:val="fr-FR"/>
        </w:rPr>
        <w:t xml:space="preserve"> bankarskog sistema.</w:t>
      </w:r>
    </w:p>
    <w:p w:rsidR="001027CD" w:rsidP="00905B01" w:rsidRDefault="00905B01">
      <w:pPr>
        <w:pStyle w:val="JuPara"/>
        <w:rPr>
          <w:rStyle w:val="JuParaChar"/>
          <w:lang w:val="fr-FR"/>
        </w:rPr>
      </w:pPr>
      <w:r w:rsidRPr="00404D2D">
        <w:rPr>
          <w:rStyle w:val="JuParaChar"/>
          <w:lang w:val="fr-FR"/>
        </w:rPr>
        <w:fldChar w:fldCharType="begin"/>
      </w:r>
      <w:r w:rsidRPr="00404D2D">
        <w:rPr>
          <w:rStyle w:val="JuParaChar"/>
          <w:lang w:val="fr-FR"/>
        </w:rPr>
        <w:instrText xml:space="preserve"> SEQ level0 \*arabic </w:instrText>
      </w:r>
      <w:r w:rsidRPr="00404D2D">
        <w:rPr>
          <w:rStyle w:val="JuParaChar"/>
          <w:lang w:val="fr-FR"/>
        </w:rPr>
        <w:fldChar w:fldCharType="separate"/>
      </w:r>
      <w:r>
        <w:rPr>
          <w:rStyle w:val="JuParaChar"/>
          <w:noProof/>
          <w:lang w:val="fr-FR"/>
        </w:rPr>
        <w:t>55</w:t>
      </w:r>
      <w:r w:rsidRPr="00404D2D">
        <w:rPr>
          <w:rStyle w:val="JuParaChar"/>
          <w:lang w:val="fr-FR"/>
        </w:rPr>
        <w:fldChar w:fldCharType="end"/>
      </w:r>
      <w:r w:rsidRPr="00404D2D">
        <w:rPr>
          <w:rStyle w:val="JuParaChar"/>
          <w:lang w:val="fr-FR"/>
        </w:rPr>
        <w:t>.  </w:t>
      </w:r>
      <w:r w:rsidR="001027CD">
        <w:rPr>
          <w:rStyle w:val="JuParaChar"/>
          <w:lang w:val="fr-FR"/>
        </w:rPr>
        <w:t>Iz tih razloga, postoji povreda člana 1 Prvog protokola po osnovu optužbe</w:t>
      </w:r>
      <w:r w:rsidR="00DA02FD">
        <w:rPr>
          <w:rStyle w:val="JuParaChar"/>
          <w:lang w:val="fr-FR"/>
        </w:rPr>
        <w:t xml:space="preserve"> koji je naveo</w:t>
      </w:r>
      <w:r w:rsidR="001027CD">
        <w:rPr>
          <w:rStyle w:val="JuParaChar"/>
          <w:lang w:val="fr-FR"/>
        </w:rPr>
        <w:t xml:space="preserve"> podnosi</w:t>
      </w:r>
      <w:r w:rsidR="00DA02FD">
        <w:rPr>
          <w:rStyle w:val="JuParaChar"/>
          <w:lang w:val="fr-FR"/>
        </w:rPr>
        <w:t>l</w:t>
      </w:r>
      <w:r w:rsidR="001027CD">
        <w:rPr>
          <w:rStyle w:val="JuParaChar"/>
          <w:lang w:val="fr-FR"/>
        </w:rPr>
        <w:t>a</w:t>
      </w:r>
      <w:r w:rsidR="00DA02FD">
        <w:rPr>
          <w:rStyle w:val="JuParaChar"/>
          <w:lang w:val="fr-FR"/>
        </w:rPr>
        <w:t>c</w:t>
      </w:r>
      <w:r w:rsidR="001027CD">
        <w:rPr>
          <w:rStyle w:val="JuParaChar"/>
          <w:lang w:val="fr-FR"/>
        </w:rPr>
        <w:t xml:space="preserve"> predstavke.</w:t>
      </w:r>
    </w:p>
    <w:p w:rsidRPr="001027CD" w:rsidR="001027CD" w:rsidP="001027CD" w:rsidRDefault="001027CD">
      <w:pPr>
        <w:pStyle w:val="JuPara"/>
        <w:rPr>
          <w:szCs w:val="24"/>
          <w:lang w:eastAsia="en-GB"/>
        </w:rPr>
      </w:pPr>
      <w:r w:rsidRPr="001027CD">
        <w:rPr>
          <w:szCs w:val="24"/>
          <w:lang w:eastAsia="en-GB"/>
        </w:rPr>
        <w:t>(...)</w:t>
      </w:r>
    </w:p>
    <w:p w:rsidR="002B6583" w:rsidP="00EC4BCF" w:rsidRDefault="00F44580">
      <w:pPr>
        <w:pStyle w:val="JuHIRoman"/>
        <w:ind w:left="0" w:firstLine="0"/>
      </w:pPr>
      <w:r>
        <w:br w:type="page"/>
      </w:r>
      <w:r w:rsidR="00905B01">
        <w:t>IV</w:t>
      </w:r>
      <w:r w:rsidRPr="00A6337F" w:rsidR="00905B01">
        <w:t>.  </w:t>
      </w:r>
      <w:r w:rsidR="0047501E">
        <w:t>O PRIMENI ČLANA 41 KONVENCIJE</w:t>
      </w:r>
    </w:p>
    <w:p w:rsidR="00905B01" w:rsidP="00905B01" w:rsidRDefault="00905B01">
      <w:pPr>
        <w:pStyle w:val="JuPara"/>
        <w:keepNext/>
        <w:keepLines/>
        <w:outlineLvl w:val="0"/>
      </w:pPr>
      <w:r w:rsidRPr="00A6337F">
        <w:fldChar w:fldCharType="begin"/>
      </w:r>
      <w:r w:rsidRPr="00A6337F">
        <w:instrText xml:space="preserve"> SEQ level0 \*arabic </w:instrText>
      </w:r>
      <w:r w:rsidR="004F0ECC">
        <w:instrText>\r59</w:instrText>
      </w:r>
      <w:r w:rsidRPr="00A6337F">
        <w:fldChar w:fldCharType="separate"/>
      </w:r>
      <w:r w:rsidR="004F0ECC">
        <w:rPr>
          <w:noProof/>
        </w:rPr>
        <w:t>59</w:t>
      </w:r>
      <w:r w:rsidRPr="00A6337F">
        <w:fldChar w:fldCharType="end"/>
      </w:r>
      <w:r w:rsidRPr="00A6337F">
        <w:t>.  </w:t>
      </w:r>
      <w:r w:rsidR="00187F71">
        <w:t>Prema</w:t>
      </w:r>
      <w:r w:rsidR="00C03ADE">
        <w:t xml:space="preserve"> odredba</w:t>
      </w:r>
      <w:r w:rsidR="00187F71">
        <w:t>ma</w:t>
      </w:r>
      <w:r w:rsidR="00C03ADE">
        <w:t xml:space="preserve"> člana 41 Konvencije</w:t>
      </w:r>
      <w:r w:rsidRPr="00A6337F">
        <w:t>,</w:t>
      </w:r>
    </w:p>
    <w:p w:rsidRPr="00A6337F" w:rsidR="00187F71" w:rsidP="00905B01" w:rsidRDefault="00187F71">
      <w:pPr>
        <w:pStyle w:val="JuPara"/>
        <w:keepNext/>
        <w:keepLines/>
        <w:outlineLvl w:val="0"/>
      </w:pPr>
    </w:p>
    <w:p w:rsidR="002B6583" w:rsidP="00187F71" w:rsidRDefault="00905B01">
      <w:pPr>
        <w:suppressAutoHyphens w:val="0"/>
        <w:autoSpaceDE w:val="0"/>
        <w:autoSpaceDN w:val="0"/>
        <w:adjustRightInd w:val="0"/>
        <w:jc w:val="both"/>
      </w:pPr>
      <w:r w:rsidRPr="00A6337F">
        <w:t>« </w:t>
      </w:r>
      <w:r w:rsidRPr="00187F71" w:rsidR="00187F71">
        <w:t>Kada Sud utvrdi prekršaj Konvencije ili protokola uz nju, a unutrašnje pravo Visoke</w:t>
      </w:r>
      <w:r w:rsidR="00187F71">
        <w:t xml:space="preserve"> </w:t>
      </w:r>
      <w:r w:rsidRPr="00187F71" w:rsidR="00187F71">
        <w:t>strane ugovornice u pitanju omogućava samo delimičnu odštetu, Sud će, ako je to</w:t>
      </w:r>
      <w:r w:rsidR="00187F71">
        <w:t xml:space="preserve"> </w:t>
      </w:r>
      <w:r w:rsidRPr="00187F71" w:rsidR="00187F71">
        <w:t>potrebno, pružiti pravično zadovoljenje oštećenoj stranci.</w:t>
      </w:r>
      <w:r w:rsidRPr="00A6337F">
        <w:t> »</w:t>
      </w:r>
    </w:p>
    <w:p w:rsidRPr="00A6337F" w:rsidR="00905B01" w:rsidP="00905B01" w:rsidRDefault="00905B01">
      <w:pPr>
        <w:pStyle w:val="JuHA"/>
        <w:outlineLvl w:val="0"/>
      </w:pPr>
      <w:r w:rsidRPr="00A6337F">
        <w:t>A.  </w:t>
      </w:r>
      <w:r w:rsidR="00187F71">
        <w:t>Šteta</w:t>
      </w:r>
    </w:p>
    <w:p w:rsidRPr="00CC0B3D" w:rsidR="001027CD" w:rsidP="00905B01" w:rsidRDefault="00905B01">
      <w:pPr>
        <w:pStyle w:val="JuPara"/>
      </w:pPr>
      <w:r>
        <w:fldChar w:fldCharType="begin"/>
      </w:r>
      <w:r>
        <w:instrText xml:space="preserve"> SEQ level0 \*arabic </w:instrText>
      </w:r>
      <w:r>
        <w:fldChar w:fldCharType="separate"/>
      </w:r>
      <w:r>
        <w:rPr>
          <w:noProof/>
        </w:rPr>
        <w:t>60</w:t>
      </w:r>
      <w:r>
        <w:fldChar w:fldCharType="end"/>
      </w:r>
      <w:r>
        <w:t>.  </w:t>
      </w:r>
      <w:r w:rsidR="001027CD">
        <w:t>Sin podnosioca predstavke traži najpre naknadu materijalne štete koju je pretrpeo njegov otac. U tom smislu se poziva na očev zahtev upućen Sudu, u kojem traži povraćaj sume od</w:t>
      </w:r>
      <w:r w:rsidR="002B6583">
        <w:t xml:space="preserve"> </w:t>
      </w:r>
      <w:r w:rsidRPr="001027CD" w:rsidR="001027CD">
        <w:t>660 000 drahm</w:t>
      </w:r>
      <w:r w:rsidR="001027CD">
        <w:t xml:space="preserve">i koju je deponovao u banku, </w:t>
      </w:r>
      <w:r w:rsidR="00E13CCF">
        <w:t>sa pripadajućim</w:t>
      </w:r>
      <w:r w:rsidR="001027CD">
        <w:t xml:space="preserve"> kamat</w:t>
      </w:r>
      <w:r w:rsidR="00E13CCF">
        <w:t>ama</w:t>
      </w:r>
      <w:r w:rsidR="001654B5">
        <w:t xml:space="preserve">, </w:t>
      </w:r>
      <w:r w:rsidR="00E13CCF">
        <w:t>a koju</w:t>
      </w:r>
      <w:r w:rsidR="001654B5">
        <w:t xml:space="preserve"> je</w:t>
      </w:r>
      <w:r w:rsidRPr="001654B5" w:rsidR="001027CD">
        <w:t xml:space="preserve"> nave</w:t>
      </w:r>
      <w:r w:rsidR="001654B5">
        <w:t>o</w:t>
      </w:r>
      <w:r w:rsidR="001027CD">
        <w:t xml:space="preserve"> u </w:t>
      </w:r>
      <w:r w:rsidR="001654B5">
        <w:t>s</w:t>
      </w:r>
      <w:r w:rsidR="001027CD">
        <w:t>voj</w:t>
      </w:r>
      <w:r w:rsidR="001654B5">
        <w:t>oj</w:t>
      </w:r>
      <w:r w:rsidR="001027CD">
        <w:t xml:space="preserve"> tužbi od 3. juna 2003.</w:t>
      </w:r>
      <w:r w:rsidR="00CC0B3D">
        <w:t xml:space="preserve"> podnetoj Prvostepenom sudu u Atini, tj. </w:t>
      </w:r>
      <w:r w:rsidRPr="00CC0B3D" w:rsidR="00CC0B3D">
        <w:t>30 550,74 EUR.</w:t>
      </w:r>
      <w:r w:rsidR="00CC0B3D">
        <w:t xml:space="preserve"> Za nematerijalnu štetu traži sumu od 100 000 EUR.</w:t>
      </w:r>
    </w:p>
    <w:p w:rsidR="002B6583" w:rsidP="00905B01" w:rsidRDefault="00905B01">
      <w:pPr>
        <w:pStyle w:val="JuPara"/>
        <w:outlineLvl w:val="0"/>
      </w:pPr>
      <w:r w:rsidRPr="00A6337F">
        <w:fldChar w:fldCharType="begin"/>
      </w:r>
      <w:r w:rsidRPr="00A6337F">
        <w:instrText xml:space="preserve"> SEQ level0 \*arabic </w:instrText>
      </w:r>
      <w:r w:rsidRPr="00A6337F">
        <w:fldChar w:fldCharType="separate"/>
      </w:r>
      <w:r>
        <w:rPr>
          <w:noProof/>
        </w:rPr>
        <w:t>61</w:t>
      </w:r>
      <w:r w:rsidRPr="00A6337F">
        <w:fldChar w:fldCharType="end"/>
      </w:r>
      <w:r w:rsidRPr="00A6337F">
        <w:t>.  </w:t>
      </w:r>
      <w:r w:rsidR="00CC0B3D">
        <w:t xml:space="preserve">Što se tiče materijalne štete, Vlada tvrdi da sin podnosioca predstavke nije podneo specifičan zahtev, izražen u valuti optužene države i pravovremen, kako to nalaže član </w:t>
      </w:r>
      <w:r w:rsidRPr="00CC0B3D" w:rsidR="00CC0B3D">
        <w:t xml:space="preserve">60 § 2 </w:t>
      </w:r>
      <w:r w:rsidR="00491DD9">
        <w:t>Poslovnika</w:t>
      </w:r>
      <w:r w:rsidRPr="00CC0B3D" w:rsidR="00CC0B3D">
        <w:t xml:space="preserve"> Suda.</w:t>
      </w:r>
      <w:r w:rsidR="00E13CCF">
        <w:t xml:space="preserve"> </w:t>
      </w:r>
      <w:r w:rsidRPr="00CC0B3D" w:rsidR="00CC0B3D">
        <w:t>On se samo poziva na formular zahteva, koji ne sadrži jasan zahtev i koji se i sam poziva na tužbu podn</w:t>
      </w:r>
      <w:r w:rsidR="00E13CCF">
        <w:t>o</w:t>
      </w:r>
      <w:r w:rsidRPr="00CC0B3D" w:rsidR="00CC0B3D">
        <w:t>sioca predstavke pred Prvostepenim sudom u Atini. Što se tiče nematerijalne štete, Vlada smatra ne samo da</w:t>
      </w:r>
      <w:r w:rsidR="00CC0B3D">
        <w:rPr>
          <w:color w:val="FF0000"/>
        </w:rPr>
        <w:t xml:space="preserve"> </w:t>
      </w:r>
      <w:r w:rsidRPr="00CC0B3D" w:rsidR="00CC0B3D">
        <w:t>je tražena suma neosnovana i preterana, već i da sin podnosioca predstavke ne može pretendovati na</w:t>
      </w:r>
      <w:r w:rsidR="00CC0B3D">
        <w:rPr>
          <w:color w:val="FF0000"/>
        </w:rPr>
        <w:t xml:space="preserve"> </w:t>
      </w:r>
      <w:r w:rsidRPr="00CC0B3D" w:rsidR="00CC0B3D">
        <w:t>naknadu štete po tom osnovu jer je l</w:t>
      </w:r>
      <w:r w:rsidR="00E13CCF">
        <w:t>ice pogođeno spornom merom bilo</w:t>
      </w:r>
      <w:r w:rsidRPr="00CC0B3D" w:rsidR="00CC0B3D">
        <w:t xml:space="preserve"> podnosilac predstavke</w:t>
      </w:r>
      <w:r w:rsidR="00E13CCF">
        <w:t xml:space="preserve"> lično,</w:t>
      </w:r>
      <w:r w:rsidRPr="00CC0B3D" w:rsidR="00CC0B3D">
        <w:t xml:space="preserve"> a ni u kom slučaju njegovi naslednici.</w:t>
      </w:r>
      <w:r w:rsidR="002B6583">
        <w:t xml:space="preserve"> </w:t>
      </w:r>
    </w:p>
    <w:p w:rsidR="002B6583" w:rsidP="00B40ABE" w:rsidRDefault="00905B01">
      <w:pPr>
        <w:pStyle w:val="JuPara"/>
      </w:pPr>
      <w:r w:rsidRPr="00A6337F">
        <w:fldChar w:fldCharType="begin"/>
      </w:r>
      <w:r w:rsidRPr="00A6337F">
        <w:instrText xml:space="preserve"> SEQ level0 \*arabic </w:instrText>
      </w:r>
      <w:r w:rsidRPr="00A6337F">
        <w:fldChar w:fldCharType="separate"/>
      </w:r>
      <w:r>
        <w:rPr>
          <w:noProof/>
        </w:rPr>
        <w:t>62</w:t>
      </w:r>
      <w:r w:rsidRPr="00A6337F">
        <w:fldChar w:fldCharType="end"/>
      </w:r>
      <w:r w:rsidRPr="00A6337F">
        <w:t>.</w:t>
      </w:r>
      <w:r w:rsidR="00CC0B3D">
        <w:t xml:space="preserve"> Sud smatra da sin podnosioca predstavke nije propustio da na adekvatan način </w:t>
      </w:r>
      <w:r w:rsidR="00E13CCF">
        <w:t xml:space="preserve">iznese </w:t>
      </w:r>
      <w:r w:rsidR="00CC0B3D">
        <w:t xml:space="preserve">svoje zahteve na ime materijalne štete. On zapravo traži sumu koju je i sam podnosilac predstavke tražio u svojoj tužbi od 3. </w:t>
      </w:r>
      <w:r w:rsidRPr="00B40ABE" w:rsidR="00B40ABE">
        <w:t>j</w:t>
      </w:r>
      <w:r w:rsidRPr="00B40ABE" w:rsidR="00CC0B3D">
        <w:t>una 2003. pred Prvostepenim sudom u Atini</w:t>
      </w:r>
      <w:r w:rsidR="00E13CCF">
        <w:t>, a</w:t>
      </w:r>
      <w:r w:rsidRPr="00B40ABE" w:rsidR="00CC0B3D">
        <w:t xml:space="preserve"> koj</w:t>
      </w:r>
      <w:r w:rsidR="00B40ABE">
        <w:t>a</w:t>
      </w:r>
      <w:r w:rsidRPr="00B40ABE" w:rsidR="00CC0B3D">
        <w:t xml:space="preserve"> je </w:t>
      </w:r>
      <w:r w:rsidR="00B40ABE">
        <w:t xml:space="preserve">u toj tužbi </w:t>
      </w:r>
      <w:r w:rsidRPr="00B40ABE" w:rsidR="00CC0B3D">
        <w:t xml:space="preserve">jasno </w:t>
      </w:r>
      <w:r w:rsidRPr="00B40ABE" w:rsidR="00B40ABE">
        <w:t>izra</w:t>
      </w:r>
      <w:r w:rsidR="00B40ABE">
        <w:t>žena</w:t>
      </w:r>
      <w:r w:rsidRPr="00B40ABE" w:rsidR="00B40ABE">
        <w:t xml:space="preserve"> </w:t>
      </w:r>
      <w:r w:rsidRPr="00B40ABE" w:rsidR="00CC0B3D">
        <w:t>u evrima</w:t>
      </w:r>
      <w:r w:rsidR="00B40ABE">
        <w:t>, tj. 30 550,74 EUR.</w:t>
      </w:r>
      <w:r w:rsidR="002B6583">
        <w:t xml:space="preserve"> </w:t>
      </w:r>
      <w:r w:rsidRPr="00B40ABE">
        <w:t> </w:t>
      </w:r>
    </w:p>
    <w:p w:rsidR="002B6583" w:rsidP="00905B01" w:rsidRDefault="00905B01">
      <w:pPr>
        <w:pStyle w:val="JuPara"/>
      </w:pPr>
      <w:r>
        <w:fldChar w:fldCharType="begin"/>
      </w:r>
      <w:r>
        <w:instrText xml:space="preserve"> SEQ level0 \*arabic </w:instrText>
      </w:r>
      <w:r>
        <w:fldChar w:fldCharType="separate"/>
      </w:r>
      <w:r>
        <w:rPr>
          <w:noProof/>
        </w:rPr>
        <w:t>63</w:t>
      </w:r>
      <w:r>
        <w:fldChar w:fldCharType="end"/>
      </w:r>
      <w:r>
        <w:t>. </w:t>
      </w:r>
      <w:r w:rsidR="00B40ABE">
        <w:t>Sud, s jedne strane, podseća da je zaključio da je u ovom slučaju postojalo kršenje prve rečenice prvog stava člana 1 Prvog protokola, i, s druge strane, smatra da on ne može spekulisati o sumi koj</w:t>
      </w:r>
      <w:r w:rsidR="00E13CCF">
        <w:t>u</w:t>
      </w:r>
      <w:r w:rsidR="00B40ABE">
        <w:t xml:space="preserve"> bi grčki sudovi odobrili podnosiocu predstavke da je on dobio spor. Sud ipak smatra da je potrebno sinu podnosioca predstavke isplatiti sumu od 15 000 EUR, kao</w:t>
      </w:r>
      <w:r w:rsidR="002B6583">
        <w:t xml:space="preserve"> </w:t>
      </w:r>
      <w:r w:rsidR="00F44580">
        <w:t>jedinstvenu naknadu za sve pretrpljene štete</w:t>
      </w:r>
      <w:r w:rsidR="00B40ABE">
        <w:t xml:space="preserve">. </w:t>
      </w:r>
    </w:p>
    <w:p w:rsidRPr="00C1599E" w:rsidR="00905B01" w:rsidP="00905B01" w:rsidRDefault="00905B01">
      <w:pPr>
        <w:pStyle w:val="JuHA"/>
        <w:outlineLvl w:val="0"/>
        <w:rPr>
          <w:lang w:val="en-US"/>
        </w:rPr>
      </w:pPr>
      <w:r w:rsidRPr="00A6337F">
        <w:t>B.  </w:t>
      </w:r>
      <w:r w:rsidRPr="00C1599E" w:rsidR="00C1599E">
        <w:rPr>
          <w:lang w:val="en-US"/>
        </w:rPr>
        <w:t>Sudski i drugi troškovi</w:t>
      </w:r>
    </w:p>
    <w:p w:rsidR="002B6583" w:rsidP="00905B01" w:rsidRDefault="00905B01">
      <w:pPr>
        <w:pStyle w:val="JuPara"/>
        <w:rPr>
          <w:lang w:val="en-US"/>
        </w:rPr>
      </w:pPr>
      <w:r w:rsidRPr="00A6337F">
        <w:fldChar w:fldCharType="begin"/>
      </w:r>
      <w:r w:rsidRPr="00C1599E">
        <w:rPr>
          <w:lang w:val="en-US"/>
        </w:rPr>
        <w:instrText xml:space="preserve"> SEQ level0 \*arabic </w:instrText>
      </w:r>
      <w:r w:rsidRPr="00A6337F">
        <w:fldChar w:fldCharType="separate"/>
      </w:r>
      <w:r w:rsidRPr="00C1599E">
        <w:rPr>
          <w:noProof/>
          <w:lang w:val="en-US"/>
        </w:rPr>
        <w:t>64</w:t>
      </w:r>
      <w:r w:rsidRPr="00A6337F">
        <w:fldChar w:fldCharType="end"/>
      </w:r>
      <w:r w:rsidRPr="00C1599E">
        <w:rPr>
          <w:lang w:val="en-US"/>
        </w:rPr>
        <w:t>.</w:t>
      </w:r>
      <w:r w:rsidRPr="00C1599E" w:rsidR="00C1599E">
        <w:rPr>
          <w:lang w:val="en-US"/>
        </w:rPr>
        <w:t xml:space="preserve"> Sin podnosioca predstavke takođe traži 5 000 EUR za sudske i ostale troškove ne navodeći da li se ta suma odnosi na troškove</w:t>
      </w:r>
      <w:r w:rsidR="00C1599E">
        <w:rPr>
          <w:lang w:val="en-US"/>
        </w:rPr>
        <w:t xml:space="preserve"> nastale zbog suđenja</w:t>
      </w:r>
      <w:r w:rsidRPr="00C1599E" w:rsidR="00C1599E">
        <w:rPr>
          <w:lang w:val="en-US"/>
        </w:rPr>
        <w:t xml:space="preserve"> pred domaćim sudovima ili pred </w:t>
      </w:r>
      <w:r w:rsidR="00C1599E">
        <w:rPr>
          <w:lang w:val="en-US"/>
        </w:rPr>
        <w:t>Sudom ili na oboje.</w:t>
      </w:r>
    </w:p>
    <w:p w:rsidRPr="00F44580" w:rsidR="00C1599E" w:rsidP="00905B01" w:rsidRDefault="00905B01">
      <w:pPr>
        <w:pStyle w:val="JuPara"/>
        <w:outlineLvl w:val="0"/>
        <w:rPr>
          <w:lang w:val="en-US"/>
        </w:rPr>
      </w:pPr>
      <w:r w:rsidRPr="00A6337F">
        <w:fldChar w:fldCharType="begin"/>
      </w:r>
      <w:r w:rsidRPr="00F44580">
        <w:rPr>
          <w:lang w:val="en-US"/>
        </w:rPr>
        <w:instrText xml:space="preserve"> SEQ level0 \*arabic </w:instrText>
      </w:r>
      <w:r w:rsidRPr="00A6337F">
        <w:fldChar w:fldCharType="separate"/>
      </w:r>
      <w:r w:rsidRPr="00F44580">
        <w:rPr>
          <w:noProof/>
          <w:lang w:val="en-US"/>
        </w:rPr>
        <w:t>65</w:t>
      </w:r>
      <w:r w:rsidRPr="00A6337F">
        <w:fldChar w:fldCharType="end"/>
      </w:r>
      <w:r w:rsidRPr="00F44580">
        <w:rPr>
          <w:lang w:val="en-US"/>
        </w:rPr>
        <w:t>.  </w:t>
      </w:r>
      <w:r w:rsidRPr="00F44580" w:rsidR="00C1599E">
        <w:rPr>
          <w:lang w:val="en-US"/>
        </w:rPr>
        <w:t xml:space="preserve">Vlada ističe da sin podnosioca predstavke nije pružio nikakve dokaze u vezi sa svojim </w:t>
      </w:r>
      <w:r w:rsidRPr="00F44580" w:rsidR="00F44580">
        <w:rPr>
          <w:lang w:val="en-US"/>
        </w:rPr>
        <w:t>zahtevima</w:t>
      </w:r>
      <w:r w:rsidRPr="00F44580" w:rsidR="00C1599E">
        <w:rPr>
          <w:lang w:val="en-US"/>
        </w:rPr>
        <w:t>.</w:t>
      </w:r>
    </w:p>
    <w:p w:rsidR="002B6583" w:rsidP="00C1599E" w:rsidRDefault="00905B01">
      <w:pPr>
        <w:pStyle w:val="JuPara"/>
      </w:pPr>
      <w:r w:rsidRPr="00A6337F">
        <w:fldChar w:fldCharType="begin"/>
      </w:r>
      <w:r w:rsidRPr="00F44580">
        <w:rPr>
          <w:lang w:val="en-US"/>
        </w:rPr>
        <w:instrText xml:space="preserve"> SEQ level0 \*arabic </w:instrText>
      </w:r>
      <w:r w:rsidRPr="00A6337F">
        <w:fldChar w:fldCharType="separate"/>
      </w:r>
      <w:r w:rsidRPr="00F44580">
        <w:rPr>
          <w:noProof/>
          <w:lang w:val="en-US"/>
        </w:rPr>
        <w:t>66</w:t>
      </w:r>
      <w:r w:rsidRPr="00A6337F">
        <w:fldChar w:fldCharType="end"/>
      </w:r>
      <w:r w:rsidRPr="00F44580">
        <w:rPr>
          <w:lang w:val="en-US"/>
        </w:rPr>
        <w:t>.  </w:t>
      </w:r>
      <w:r w:rsidRPr="00F44580" w:rsidR="00C1599E">
        <w:rPr>
          <w:lang w:val="en-US"/>
        </w:rPr>
        <w:t xml:space="preserve">Prema praksi Suda, podnosilac predstavke može ostvariti naknadu sudskih i ostalih troškova samo u meri u kojoj se ustanovi njihovo postojanje, neophodnost i razumna visina. </w:t>
      </w:r>
      <w:r w:rsidR="00C1599E">
        <w:t>U ovom slučaju, Sud primećuje da podnosilac predstavke nije podneo ni jedan račun kojim bi se pravdali troškovi koje je imao zbog suđenja pred sudovima koji su vodili postupak i pred Sudom</w:t>
      </w:r>
      <w:r w:rsidR="00086A85">
        <w:t>.</w:t>
      </w:r>
      <w:r w:rsidR="00C1599E">
        <w:t xml:space="preserve"> Sud</w:t>
      </w:r>
      <w:r w:rsidR="00086A85">
        <w:t xml:space="preserve"> dakle mora</w:t>
      </w:r>
      <w:r w:rsidR="00C1599E">
        <w:t xml:space="preserve"> odbac</w:t>
      </w:r>
      <w:r w:rsidR="00086A85">
        <w:t>iti</w:t>
      </w:r>
      <w:r w:rsidR="00C1599E">
        <w:t xml:space="preserve"> njegov zahtev na ime sudskih i ostalih troškova.</w:t>
      </w:r>
    </w:p>
    <w:p w:rsidR="002B6583" w:rsidP="00905B01" w:rsidRDefault="00905B01">
      <w:pPr>
        <w:pStyle w:val="JuHA"/>
        <w:outlineLvl w:val="0"/>
        <w:rPr>
          <w:color w:val="FF0000"/>
        </w:rPr>
      </w:pPr>
      <w:r w:rsidRPr="00086A85">
        <w:t>C.  </w:t>
      </w:r>
      <w:r w:rsidRPr="00086A85" w:rsidR="00086A85">
        <w:t>Zatezne kamate</w:t>
      </w:r>
    </w:p>
    <w:p w:rsidRPr="00380F45" w:rsidR="00086A85" w:rsidP="00086A85" w:rsidRDefault="00905B01">
      <w:pPr>
        <w:autoSpaceDE w:val="0"/>
        <w:autoSpaceDN w:val="0"/>
        <w:adjustRightInd w:val="0"/>
      </w:pPr>
      <w:r w:rsidRPr="00A6337F">
        <w:fldChar w:fldCharType="begin"/>
      </w:r>
      <w:r w:rsidRPr="00A6337F">
        <w:instrText xml:space="preserve"> SEQ level0 \*arabic </w:instrText>
      </w:r>
      <w:r w:rsidRPr="00A6337F">
        <w:fldChar w:fldCharType="separate"/>
      </w:r>
      <w:r>
        <w:rPr>
          <w:noProof/>
        </w:rPr>
        <w:t>67</w:t>
      </w:r>
      <w:r w:rsidRPr="00A6337F">
        <w:fldChar w:fldCharType="end"/>
      </w:r>
      <w:r w:rsidRPr="00A6337F">
        <w:t>.  </w:t>
      </w:r>
      <w:r w:rsidRPr="00380F45" w:rsidR="00086A85">
        <w:rPr>
          <w:rFonts w:eastAsia="TimesNewRoman"/>
          <w:noProof/>
          <w:sz w:val="23"/>
          <w:szCs w:val="23"/>
          <w:lang w:eastAsia="en-US"/>
        </w:rPr>
        <w:t>Sud smatra da je primereno da zatezna kamata bude zasnovana na najnižoj kamatnoj stopi Evropske centrale banke uvećanoj za tri procentna poena.</w:t>
      </w:r>
    </w:p>
    <w:p w:rsidR="002B6583" w:rsidP="00905B01" w:rsidRDefault="002B6583">
      <w:pPr>
        <w:pStyle w:val="JuPara"/>
        <w:rPr>
          <w:color w:val="FF0000"/>
        </w:rPr>
      </w:pPr>
    </w:p>
    <w:p w:rsidRPr="00A6337F" w:rsidR="00905B01" w:rsidP="00905B01" w:rsidRDefault="00086A85">
      <w:pPr>
        <w:pStyle w:val="JuHHead"/>
      </w:pPr>
      <w:r>
        <w:t>IZ TIH RAZLOGA</w:t>
      </w:r>
      <w:r w:rsidRPr="00A6337F" w:rsidR="00905B01">
        <w:t xml:space="preserve">, </w:t>
      </w:r>
      <w:r>
        <w:t>SUD</w:t>
      </w:r>
      <w:r w:rsidRPr="00A6337F" w:rsidR="00905B01">
        <w:t xml:space="preserve">, </w:t>
      </w:r>
      <w:r>
        <w:t>JEDNOGLASNO</w:t>
      </w:r>
      <w:r w:rsidRPr="00A6337F" w:rsidR="00905B01">
        <w:t>,</w:t>
      </w:r>
    </w:p>
    <w:p w:rsidR="00905B01" w:rsidP="00905B01" w:rsidRDefault="004F0ECC">
      <w:pPr>
        <w:pStyle w:val="JuList"/>
      </w:pPr>
      <w:r>
        <w:t>(...)</w:t>
      </w:r>
    </w:p>
    <w:p w:rsidRPr="00A6337F" w:rsidR="00905B01" w:rsidP="00905B01" w:rsidRDefault="00905B01">
      <w:pPr>
        <w:pStyle w:val="JuList"/>
      </w:pPr>
    </w:p>
    <w:p w:rsidRPr="00086A85" w:rsidR="00905B01" w:rsidP="00905B01" w:rsidRDefault="00905B01">
      <w:pPr>
        <w:pStyle w:val="JuList"/>
        <w:rPr>
          <w:lang w:val="en-US"/>
        </w:rPr>
      </w:pPr>
      <w:r>
        <w:t>2</w:t>
      </w:r>
      <w:r w:rsidRPr="00A6337F">
        <w:t>.  </w:t>
      </w:r>
      <w:r w:rsidRPr="00086A85" w:rsidR="00086A85">
        <w:rPr>
          <w:i/>
          <w:lang w:val="en-US"/>
        </w:rPr>
        <w:t xml:space="preserve">Izriče </w:t>
      </w:r>
      <w:r w:rsidRPr="00086A85" w:rsidR="00086A85">
        <w:rPr>
          <w:lang w:val="en-US"/>
        </w:rPr>
        <w:t>da je došlo do povrede člana</w:t>
      </w:r>
      <w:r w:rsidR="00F44580">
        <w:rPr>
          <w:lang w:val="en-US"/>
        </w:rPr>
        <w:t xml:space="preserve"> 1</w:t>
      </w:r>
      <w:r w:rsidR="002B6583">
        <w:rPr>
          <w:lang w:val="en-US"/>
        </w:rPr>
        <w:t xml:space="preserve"> </w:t>
      </w:r>
      <w:r w:rsidRPr="00086A85" w:rsidR="00086A85">
        <w:rPr>
          <w:lang w:val="en-US"/>
        </w:rPr>
        <w:t>Prvog protokola</w:t>
      </w:r>
      <w:r w:rsidRPr="00086A85">
        <w:rPr>
          <w:lang w:val="en-US"/>
        </w:rPr>
        <w:t> ;</w:t>
      </w:r>
    </w:p>
    <w:p w:rsidRPr="00086A85" w:rsidR="00905B01" w:rsidP="00905B01" w:rsidRDefault="00905B01">
      <w:pPr>
        <w:pStyle w:val="JuList"/>
        <w:rPr>
          <w:lang w:val="en-US"/>
        </w:rPr>
      </w:pPr>
    </w:p>
    <w:p w:rsidRPr="00086A85" w:rsidR="00905B01" w:rsidP="00905B01" w:rsidRDefault="00905B01">
      <w:pPr>
        <w:pStyle w:val="JuList"/>
        <w:rPr>
          <w:lang w:val="en-US"/>
        </w:rPr>
      </w:pPr>
      <w:r w:rsidRPr="00086A85">
        <w:rPr>
          <w:lang w:val="en-US"/>
        </w:rPr>
        <w:t>3.  </w:t>
      </w:r>
      <w:r w:rsidRPr="00086A85" w:rsidR="00086A85">
        <w:rPr>
          <w:i/>
          <w:lang w:val="en-US"/>
        </w:rPr>
        <w:t>Izriče</w:t>
      </w:r>
    </w:p>
    <w:p w:rsidRPr="00086A85" w:rsidR="00086A85" w:rsidP="00905B01" w:rsidRDefault="00905B01">
      <w:pPr>
        <w:pStyle w:val="JuLista"/>
        <w:rPr>
          <w:lang w:val="en-US"/>
        </w:rPr>
      </w:pPr>
      <w:r w:rsidRPr="00086A85">
        <w:rPr>
          <w:lang w:val="en-US"/>
        </w:rPr>
        <w:t>a)  </w:t>
      </w:r>
      <w:r w:rsidRPr="00086A85" w:rsidR="00086A85">
        <w:rPr>
          <w:lang w:val="en-US"/>
        </w:rPr>
        <w:t>da će tužena država morati, u roku od tri meseca računajući od datuma s kojim će ova presuda postati pravosnažna u skladu sa članom 44 § 2</w:t>
      </w:r>
      <w:r w:rsidR="00086A85">
        <w:rPr>
          <w:lang w:val="en-US"/>
        </w:rPr>
        <w:t xml:space="preserve"> Konvencije, da isplati sinu podnosioca predstavke sumu od </w:t>
      </w:r>
      <w:r w:rsidRPr="00086A85" w:rsidR="00086A85">
        <w:rPr>
          <w:lang w:val="en-US"/>
        </w:rPr>
        <w:t>15 000 EUR (</w:t>
      </w:r>
      <w:r w:rsidR="00086A85">
        <w:rPr>
          <w:lang w:val="en-US"/>
        </w:rPr>
        <w:t>petnaest hiljada</w:t>
      </w:r>
      <w:r w:rsidRPr="00086A85" w:rsidR="00086A85">
        <w:rPr>
          <w:lang w:val="en-US"/>
        </w:rPr>
        <w:t xml:space="preserve"> e</w:t>
      </w:r>
      <w:r w:rsidR="00086A85">
        <w:rPr>
          <w:lang w:val="en-US"/>
        </w:rPr>
        <w:t>v</w:t>
      </w:r>
      <w:r w:rsidRPr="00086A85" w:rsidR="00086A85">
        <w:rPr>
          <w:lang w:val="en-US"/>
        </w:rPr>
        <w:t>r</w:t>
      </w:r>
      <w:r w:rsidR="00086A85">
        <w:rPr>
          <w:lang w:val="en-US"/>
        </w:rPr>
        <w:t>a</w:t>
      </w:r>
      <w:r w:rsidRPr="00086A85" w:rsidR="00086A85">
        <w:rPr>
          <w:lang w:val="en-US"/>
        </w:rPr>
        <w:t>)</w:t>
      </w:r>
      <w:r w:rsidR="00086A85">
        <w:rPr>
          <w:lang w:val="en-US"/>
        </w:rPr>
        <w:t xml:space="preserve"> </w:t>
      </w:r>
      <w:r w:rsidRPr="00781CE0" w:rsidR="00781CE0">
        <w:rPr>
          <w:lang w:val="en-US"/>
        </w:rPr>
        <w:t>kao</w:t>
      </w:r>
      <w:r w:rsidR="002B6583">
        <w:rPr>
          <w:lang w:val="en-US"/>
        </w:rPr>
        <w:t xml:space="preserve"> </w:t>
      </w:r>
      <w:r w:rsidRPr="00781CE0" w:rsidR="00781CE0">
        <w:rPr>
          <w:lang w:val="en-US"/>
        </w:rPr>
        <w:t>jedinstvenu naknadu za sve pretrpljene štete</w:t>
      </w:r>
      <w:r w:rsidR="00086A85">
        <w:rPr>
          <w:lang w:val="en-US"/>
        </w:rPr>
        <w:t>, plus svaki iznos koji može biti dugovan na ime poreza na te iznose;</w:t>
      </w:r>
    </w:p>
    <w:p w:rsidRPr="00380F45" w:rsidR="00086A85" w:rsidP="00086A85" w:rsidRDefault="00905B01">
      <w:pPr>
        <w:pStyle w:val="JuLista"/>
        <w:rPr>
          <w:szCs w:val="24"/>
          <w:lang w:val="sr-Latn-CS"/>
        </w:rPr>
      </w:pPr>
      <w:r w:rsidRPr="00781CE0">
        <w:rPr>
          <w:lang w:val="en-US"/>
        </w:rPr>
        <w:t>b)  </w:t>
      </w:r>
      <w:r w:rsidRPr="00380F45" w:rsidR="00086A85">
        <w:rPr>
          <w:szCs w:val="24"/>
          <w:lang w:val="sr-Latn-CS"/>
        </w:rPr>
        <w:t>da će od isteka tog roka do isplate, ti iznosi morati da budu uvećani</w:t>
      </w:r>
      <w:r w:rsidR="002B6583">
        <w:rPr>
          <w:szCs w:val="24"/>
          <w:lang w:val="sr-Latn-CS"/>
        </w:rPr>
        <w:t xml:space="preserve"> </w:t>
      </w:r>
      <w:r w:rsidRPr="00380F45" w:rsidR="00086A85">
        <w:rPr>
          <w:szCs w:val="24"/>
          <w:lang w:val="sr-Latn-CS"/>
        </w:rPr>
        <w:t>prostom kamatom po stopi koja je jednaka najnižoj kamatnoj stopi Evropske centralne banke koja se primenjuje u predmetnom periodu, uvećanoj za tri procentna poena;</w:t>
      </w:r>
    </w:p>
    <w:p w:rsidRPr="00086A85" w:rsidR="00086A85" w:rsidP="00905B01" w:rsidRDefault="00086A85">
      <w:pPr>
        <w:pStyle w:val="JuLista"/>
        <w:rPr>
          <w:lang w:val="sr-Latn-CS"/>
        </w:rPr>
      </w:pPr>
    </w:p>
    <w:p w:rsidRPr="00781CE0" w:rsidR="00905B01" w:rsidP="00905B01" w:rsidRDefault="00905B01">
      <w:pPr>
        <w:pStyle w:val="JuList"/>
        <w:rPr>
          <w:lang w:val="sr-Latn-CS"/>
        </w:rPr>
      </w:pPr>
      <w:r w:rsidRPr="00781CE0">
        <w:rPr>
          <w:lang w:val="sr-Latn-CS"/>
        </w:rPr>
        <w:t>4.</w:t>
      </w:r>
      <w:r w:rsidRPr="00A6337F">
        <w:t>  </w:t>
      </w:r>
      <w:r w:rsidRPr="00380F45" w:rsidR="00086A85">
        <w:rPr>
          <w:rFonts w:eastAsia="TimesNewRoman,Italic"/>
          <w:i/>
          <w:iCs/>
          <w:noProof/>
          <w:lang w:eastAsia="en-US"/>
        </w:rPr>
        <w:t>Odb</w:t>
      </w:r>
      <w:r w:rsidR="00781CE0">
        <w:rPr>
          <w:rFonts w:eastAsia="TimesNewRoman,Italic"/>
          <w:i/>
          <w:iCs/>
          <w:noProof/>
          <w:lang w:eastAsia="en-US"/>
        </w:rPr>
        <w:t>ija</w:t>
      </w:r>
      <w:r w:rsidRPr="00781CE0" w:rsidR="00086A85">
        <w:rPr>
          <w:rFonts w:eastAsia="TimesNewRoman,Italic"/>
          <w:i/>
          <w:iCs/>
          <w:noProof/>
          <w:lang w:val="sr-Latn-CS" w:eastAsia="en-US"/>
        </w:rPr>
        <w:t xml:space="preserve"> </w:t>
      </w:r>
      <w:r w:rsidRPr="00380F45" w:rsidR="00086A85">
        <w:rPr>
          <w:rFonts w:eastAsia="TimesNewRoman"/>
          <w:noProof/>
          <w:lang w:eastAsia="en-US"/>
        </w:rPr>
        <w:t>preostali</w:t>
      </w:r>
      <w:r w:rsidRPr="00781CE0" w:rsidR="00086A85">
        <w:rPr>
          <w:rFonts w:eastAsia="TimesNewRoman"/>
          <w:noProof/>
          <w:lang w:val="sr-Latn-CS" w:eastAsia="en-US"/>
        </w:rPr>
        <w:t xml:space="preserve"> </w:t>
      </w:r>
      <w:r w:rsidRPr="00380F45" w:rsidR="00086A85">
        <w:rPr>
          <w:rFonts w:eastAsia="TimesNewRoman"/>
          <w:noProof/>
          <w:lang w:eastAsia="en-US"/>
        </w:rPr>
        <w:t>deo</w:t>
      </w:r>
      <w:r w:rsidRPr="00781CE0" w:rsidR="00086A85">
        <w:rPr>
          <w:rFonts w:eastAsia="TimesNewRoman"/>
          <w:noProof/>
          <w:lang w:val="sr-Latn-CS" w:eastAsia="en-US"/>
        </w:rPr>
        <w:t xml:space="preserve"> </w:t>
      </w:r>
      <w:r w:rsidRPr="00380F45" w:rsidR="00086A85">
        <w:rPr>
          <w:rFonts w:eastAsia="TimesNewRoman"/>
          <w:noProof/>
          <w:lang w:eastAsia="en-US"/>
        </w:rPr>
        <w:t>zahteva</w:t>
      </w:r>
      <w:r w:rsidRPr="00781CE0" w:rsidR="00086A85">
        <w:rPr>
          <w:rFonts w:eastAsia="TimesNewRoman"/>
          <w:noProof/>
          <w:lang w:val="sr-Latn-CS" w:eastAsia="en-US"/>
        </w:rPr>
        <w:t xml:space="preserve"> </w:t>
      </w:r>
      <w:r w:rsidRPr="00380F45" w:rsidR="00086A85">
        <w:rPr>
          <w:rFonts w:eastAsia="TimesNewRoman"/>
          <w:noProof/>
          <w:lang w:eastAsia="en-US"/>
        </w:rPr>
        <w:t>podnosioca</w:t>
      </w:r>
      <w:r w:rsidRPr="00781CE0" w:rsidR="00086A85">
        <w:rPr>
          <w:rFonts w:eastAsia="TimesNewRoman"/>
          <w:noProof/>
          <w:lang w:val="sr-Latn-CS" w:eastAsia="en-US"/>
        </w:rPr>
        <w:t xml:space="preserve"> </w:t>
      </w:r>
      <w:r w:rsidRPr="00380F45" w:rsidR="00086A85">
        <w:rPr>
          <w:rFonts w:eastAsia="TimesNewRoman"/>
          <w:noProof/>
          <w:lang w:eastAsia="en-US"/>
        </w:rPr>
        <w:t>predstavke</w:t>
      </w:r>
      <w:r w:rsidRPr="00781CE0" w:rsidR="00086A85">
        <w:rPr>
          <w:rFonts w:eastAsia="TimesNewRoman"/>
          <w:noProof/>
          <w:lang w:val="sr-Latn-CS" w:eastAsia="en-US"/>
        </w:rPr>
        <w:t xml:space="preserve"> </w:t>
      </w:r>
      <w:r w:rsidRPr="00380F45" w:rsidR="00086A85">
        <w:rPr>
          <w:rFonts w:eastAsia="TimesNewRoman"/>
          <w:noProof/>
          <w:lang w:eastAsia="en-US"/>
        </w:rPr>
        <w:t>za</w:t>
      </w:r>
      <w:r w:rsidRPr="00781CE0" w:rsidR="00086A85">
        <w:rPr>
          <w:rFonts w:eastAsia="TimesNewRoman"/>
          <w:noProof/>
          <w:lang w:val="sr-Latn-CS" w:eastAsia="en-US"/>
        </w:rPr>
        <w:t xml:space="preserve"> </w:t>
      </w:r>
      <w:r w:rsidRPr="00380F45" w:rsidR="00086A85">
        <w:rPr>
          <w:rFonts w:eastAsia="TimesNewRoman"/>
          <w:noProof/>
          <w:lang w:eastAsia="en-US"/>
        </w:rPr>
        <w:t>pravi</w:t>
      </w:r>
      <w:r w:rsidRPr="00781CE0" w:rsidR="00086A85">
        <w:rPr>
          <w:rFonts w:eastAsia="TimesNewRoman"/>
          <w:noProof/>
          <w:lang w:val="sr-Latn-CS" w:eastAsia="en-US"/>
        </w:rPr>
        <w:t>č</w:t>
      </w:r>
      <w:r w:rsidRPr="00380F45" w:rsidR="00086A85">
        <w:rPr>
          <w:rFonts w:eastAsia="TimesNewRoman"/>
          <w:noProof/>
          <w:lang w:eastAsia="en-US"/>
        </w:rPr>
        <w:t>no</w:t>
      </w:r>
      <w:r w:rsidRPr="00781CE0" w:rsidR="00086A85">
        <w:rPr>
          <w:rFonts w:eastAsia="TimesNewRoman"/>
          <w:noProof/>
          <w:lang w:val="sr-Latn-CS" w:eastAsia="en-US"/>
        </w:rPr>
        <w:t xml:space="preserve"> </w:t>
      </w:r>
      <w:r w:rsidRPr="00380F45" w:rsidR="00086A85">
        <w:rPr>
          <w:rFonts w:eastAsia="TimesNewRoman"/>
          <w:noProof/>
          <w:lang w:eastAsia="en-US"/>
        </w:rPr>
        <w:t>zadovoljenje</w:t>
      </w:r>
      <w:r w:rsidRPr="00781CE0" w:rsidR="00086A85">
        <w:rPr>
          <w:rFonts w:eastAsia="TimesNewRoman"/>
          <w:noProof/>
          <w:lang w:val="sr-Latn-CS" w:eastAsia="en-US"/>
        </w:rPr>
        <w:t>.</w:t>
      </w:r>
    </w:p>
    <w:p w:rsidRPr="00380F45" w:rsidR="00086A85" w:rsidP="00086A85" w:rsidRDefault="00086A85">
      <w:pPr>
        <w:pStyle w:val="JuParaLast"/>
        <w:spacing w:before="0"/>
        <w:ind w:firstLine="288"/>
        <w:rPr>
          <w:szCs w:val="24"/>
          <w:lang w:val="sr-Latn-CS"/>
        </w:rPr>
      </w:pPr>
      <w:r w:rsidRPr="00380F45">
        <w:rPr>
          <w:szCs w:val="24"/>
          <w:lang w:val="sr-Latn-CS"/>
        </w:rPr>
        <w:t>Sačinjeno na francuskom jeziku, a potom otpravljeno u pismenom obliku</w:t>
      </w:r>
      <w:r w:rsidR="002B6583">
        <w:rPr>
          <w:szCs w:val="24"/>
          <w:lang w:val="sr-Latn-CS"/>
        </w:rPr>
        <w:t xml:space="preserve"> </w:t>
      </w:r>
      <w:r w:rsidRPr="00086A85">
        <w:rPr>
          <w:lang w:val="sr-Latn-CS"/>
        </w:rPr>
        <w:t>29</w:t>
      </w:r>
      <w:r>
        <w:rPr>
          <w:lang w:val="sr-Latn-CS"/>
        </w:rPr>
        <w:t>.</w:t>
      </w:r>
      <w:r w:rsidRPr="00086A85">
        <w:rPr>
          <w:lang w:val="sr-Latn-CS"/>
        </w:rPr>
        <w:t xml:space="preserve"> </w:t>
      </w:r>
      <w:r w:rsidRPr="00086A85">
        <w:t>jan</w:t>
      </w:r>
      <w:r>
        <w:t>ua</w:t>
      </w:r>
      <w:r w:rsidRPr="00086A85">
        <w:t>r</w:t>
      </w:r>
      <w:r>
        <w:t>a</w:t>
      </w:r>
      <w:r w:rsidRPr="00086A85">
        <w:rPr>
          <w:lang w:val="sr-Latn-CS"/>
        </w:rPr>
        <w:t xml:space="preserve"> 2013</w:t>
      </w:r>
      <w:r w:rsidRPr="00380F45">
        <w:rPr>
          <w:szCs w:val="24"/>
          <w:lang w:val="sr-Latn-CS"/>
        </w:rPr>
        <w:t xml:space="preserve">, </w:t>
      </w:r>
      <w:r w:rsidRPr="00380F45">
        <w:rPr>
          <w:rFonts w:eastAsia="TimesNewRoman"/>
          <w:noProof/>
          <w:szCs w:val="24"/>
          <w:lang w:val="sr-Latn-CS" w:eastAsia="en-US"/>
        </w:rPr>
        <w:t xml:space="preserve">u skladu sa pravilom 77 </w:t>
      </w:r>
      <w:r w:rsidRPr="00086A85">
        <w:rPr>
          <w:lang w:val="sr-Latn-CS"/>
        </w:rPr>
        <w:t>§§</w:t>
      </w:r>
      <w:r w:rsidRPr="00380F45">
        <w:rPr>
          <w:rFonts w:eastAsia="TimesNewRoman"/>
          <w:noProof/>
          <w:szCs w:val="24"/>
          <w:lang w:val="sr-Latn-CS" w:eastAsia="en-US"/>
        </w:rPr>
        <w:t xml:space="preserve"> 2 i 3 Poslovnik</w:t>
      </w:r>
      <w:r w:rsidRPr="00380F45">
        <w:rPr>
          <w:rFonts w:eastAsia="TimesNewRoman"/>
          <w:szCs w:val="24"/>
          <w:lang w:val="sr-Latn-CS" w:eastAsia="en-US"/>
        </w:rPr>
        <w:t>a</w:t>
      </w:r>
      <w:r>
        <w:rPr>
          <w:rFonts w:eastAsia="TimesNewRoman"/>
          <w:szCs w:val="24"/>
          <w:lang w:val="sr-Latn-CS" w:eastAsia="en-US"/>
        </w:rPr>
        <w:t xml:space="preserve"> </w:t>
      </w:r>
      <w:r w:rsidRPr="00380F45">
        <w:rPr>
          <w:szCs w:val="24"/>
          <w:lang w:val="sr-Latn-CS"/>
        </w:rPr>
        <w:t>Suda.</w:t>
      </w:r>
    </w:p>
    <w:p w:rsidRPr="00086A85" w:rsidR="00086A85" w:rsidP="00905B01" w:rsidRDefault="00086A85">
      <w:pPr>
        <w:pStyle w:val="JuParaLast"/>
        <w:rPr>
          <w:color w:val="FF0000"/>
          <w:lang w:val="sr-Latn-CS"/>
        </w:rPr>
      </w:pPr>
    </w:p>
    <w:p w:rsidRPr="002B6583" w:rsidR="00905B01" w:rsidP="00905B01" w:rsidRDefault="00905B01">
      <w:pPr>
        <w:pStyle w:val="JuSigned"/>
        <w:keepNext/>
        <w:keepLines/>
        <w:rPr>
          <w:lang w:val="sr-Latn-CS"/>
        </w:rPr>
      </w:pPr>
      <w:r w:rsidRPr="00830B82">
        <w:rPr>
          <w:color w:val="FF0000"/>
          <w:lang w:val="sr-Latn-CS"/>
        </w:rPr>
        <w:tab/>
      </w:r>
      <w:r w:rsidR="002B6583">
        <w:rPr>
          <w:color w:val="FF0000"/>
          <w:lang w:val="sr-Latn-CS"/>
        </w:rPr>
        <w:t xml:space="preserve">    </w:t>
      </w:r>
      <w:r w:rsidRPr="00830B82" w:rsidR="005E0E3A">
        <w:rPr>
          <w:color w:val="FF0000"/>
          <w:lang w:val="sr-Latn-CS"/>
        </w:rPr>
        <w:t xml:space="preserve"> </w:t>
      </w:r>
      <w:r w:rsidR="005E0E3A">
        <w:t>Andre</w:t>
      </w:r>
      <w:r w:rsidRPr="002B6583" w:rsidR="005E0E3A">
        <w:rPr>
          <w:lang w:val="sr-Latn-CS"/>
        </w:rPr>
        <w:t xml:space="preserve"> </w:t>
      </w:r>
      <w:r w:rsidR="005E0E3A">
        <w:t>Vampak</w:t>
      </w:r>
      <w:r w:rsidRPr="002B6583">
        <w:rPr>
          <w:color w:val="FF0000"/>
          <w:lang w:val="sr-Latn-CS"/>
        </w:rPr>
        <w:tab/>
      </w:r>
      <w:r w:rsidR="005E0E3A">
        <w:t>Izabel</w:t>
      </w:r>
      <w:r w:rsidRPr="002B6583" w:rsidR="005E0E3A">
        <w:rPr>
          <w:lang w:val="sr-Latn-CS"/>
        </w:rPr>
        <w:t xml:space="preserve"> </w:t>
      </w:r>
      <w:r w:rsidR="005E0E3A">
        <w:t>Bero</w:t>
      </w:r>
      <w:r w:rsidRPr="002B6583" w:rsidR="005E0E3A">
        <w:rPr>
          <w:lang w:val="sr-Latn-CS"/>
        </w:rPr>
        <w:t>-</w:t>
      </w:r>
      <w:r w:rsidR="005E0E3A">
        <w:t>Lefevr</w:t>
      </w:r>
      <w:r w:rsidRPr="002B6583">
        <w:rPr>
          <w:color w:val="FF0000"/>
          <w:lang w:val="sr-Latn-CS"/>
        </w:rPr>
        <w:br/>
      </w:r>
      <w:r w:rsidRPr="002B6583">
        <w:rPr>
          <w:lang w:val="sr-Latn-CS"/>
        </w:rPr>
        <w:tab/>
      </w:r>
      <w:r w:rsidR="009B5D39">
        <w:t>Pomo</w:t>
      </w:r>
      <w:r w:rsidRPr="002B6583" w:rsidR="009B5D39">
        <w:rPr>
          <w:lang w:val="sr-Latn-CS"/>
        </w:rPr>
        <w:t>ć</w:t>
      </w:r>
      <w:r w:rsidR="009B5D39">
        <w:t>nik</w:t>
      </w:r>
      <w:r w:rsidRPr="002B6583" w:rsidR="009B5D39">
        <w:rPr>
          <w:lang w:val="sr-Latn-CS"/>
        </w:rPr>
        <w:t xml:space="preserve"> </w:t>
      </w:r>
      <w:r w:rsidR="009B5D39">
        <w:t>sekretara</w:t>
      </w:r>
      <w:r w:rsidRPr="002B6583" w:rsidR="009B5D39">
        <w:rPr>
          <w:lang w:val="sr-Latn-CS"/>
        </w:rPr>
        <w:t xml:space="preserve"> </w:t>
      </w:r>
      <w:r w:rsidR="009B5D39">
        <w:t>odeljenja</w:t>
      </w:r>
      <w:r w:rsidRPr="002B6583">
        <w:rPr>
          <w:lang w:val="sr-Latn-CS"/>
        </w:rPr>
        <w:tab/>
      </w:r>
      <w:r w:rsidR="009B5D39">
        <w:t>Predsednica</w:t>
      </w:r>
    </w:p>
    <w:p w:rsidRPr="002B6583" w:rsidR="00EC6427" w:rsidP="00905B01" w:rsidRDefault="00EC6427">
      <w:pPr>
        <w:pStyle w:val="JuCase"/>
        <w:rPr>
          <w:lang w:val="sr-Latn-CS"/>
        </w:rPr>
      </w:pPr>
    </w:p>
    <w:p w:rsidRPr="002B6583" w:rsidR="008C0470" w:rsidP="008C0470" w:rsidRDefault="008C0470">
      <w:pPr>
        <w:pStyle w:val="JuPara"/>
        <w:rPr>
          <w:lang w:val="sr-Latn-CS"/>
        </w:rPr>
      </w:pPr>
    </w:p>
    <w:p w:rsidR="002B6583" w:rsidP="00830B82" w:rsidRDefault="00830B82">
      <w:pPr>
        <w:jc w:val="both"/>
        <w:rPr>
          <w:b/>
          <w:sz w:val="20"/>
          <w:lang w:val="sr-Latn-CS"/>
        </w:rPr>
      </w:pPr>
      <w:r w:rsidRPr="002F11F7">
        <w:rPr>
          <w:b/>
          <w:sz w:val="20"/>
          <w:lang w:val="sr-Latn-CS"/>
        </w:rPr>
        <w:t xml:space="preserve">© </w:t>
      </w:r>
      <w:r w:rsidRPr="002F11F7">
        <w:rPr>
          <w:b/>
          <w:sz w:val="20"/>
        </w:rPr>
        <w:t>Savet</w:t>
      </w:r>
      <w:r w:rsidRPr="002F11F7">
        <w:rPr>
          <w:b/>
          <w:sz w:val="20"/>
          <w:lang w:val="sr-Latn-CS"/>
        </w:rPr>
        <w:t xml:space="preserve"> </w:t>
      </w:r>
      <w:r w:rsidRPr="002F11F7">
        <w:rPr>
          <w:b/>
          <w:sz w:val="20"/>
        </w:rPr>
        <w:t>Evrope</w:t>
      </w:r>
      <w:r w:rsidRPr="002F11F7">
        <w:rPr>
          <w:b/>
          <w:sz w:val="20"/>
          <w:lang w:val="sr-Latn-CS"/>
        </w:rPr>
        <w:t>/</w:t>
      </w:r>
      <w:r w:rsidRPr="002F11F7">
        <w:rPr>
          <w:b/>
          <w:sz w:val="20"/>
        </w:rPr>
        <w:t>Evropski</w:t>
      </w:r>
      <w:r w:rsidRPr="002F11F7">
        <w:rPr>
          <w:b/>
          <w:sz w:val="20"/>
          <w:lang w:val="sr-Latn-CS"/>
        </w:rPr>
        <w:t xml:space="preserve"> </w:t>
      </w:r>
      <w:r w:rsidRPr="002F11F7">
        <w:rPr>
          <w:b/>
          <w:sz w:val="20"/>
        </w:rPr>
        <w:t>sud</w:t>
      </w:r>
      <w:r w:rsidRPr="002F11F7">
        <w:rPr>
          <w:b/>
          <w:sz w:val="20"/>
          <w:lang w:val="sr-Latn-CS"/>
        </w:rPr>
        <w:t xml:space="preserve"> </w:t>
      </w:r>
      <w:r w:rsidRPr="002F11F7">
        <w:rPr>
          <w:b/>
          <w:sz w:val="20"/>
        </w:rPr>
        <w:t>za</w:t>
      </w:r>
      <w:r w:rsidRPr="002F11F7">
        <w:rPr>
          <w:b/>
          <w:sz w:val="20"/>
          <w:lang w:val="sr-Latn-CS"/>
        </w:rPr>
        <w:t xml:space="preserve"> </w:t>
      </w:r>
      <w:r w:rsidRPr="002F11F7">
        <w:rPr>
          <w:b/>
          <w:sz w:val="20"/>
        </w:rPr>
        <w:t>ljudska</w:t>
      </w:r>
      <w:r w:rsidRPr="002F11F7">
        <w:rPr>
          <w:b/>
          <w:sz w:val="20"/>
          <w:lang w:val="sr-Latn-CS"/>
        </w:rPr>
        <w:t xml:space="preserve"> </w:t>
      </w:r>
      <w:r w:rsidRPr="002F11F7">
        <w:rPr>
          <w:b/>
          <w:sz w:val="20"/>
        </w:rPr>
        <w:t>prava</w:t>
      </w:r>
      <w:r w:rsidRPr="002F11F7">
        <w:rPr>
          <w:b/>
          <w:sz w:val="20"/>
          <w:lang w:val="sr-Latn-CS"/>
        </w:rPr>
        <w:t>, 2013.</w:t>
      </w:r>
    </w:p>
    <w:p w:rsidRPr="002F11F7" w:rsidR="00830B82" w:rsidP="00830B82" w:rsidRDefault="00830B82">
      <w:pPr>
        <w:jc w:val="both"/>
        <w:rPr>
          <w:sz w:val="20"/>
          <w:lang w:val="it-IT"/>
        </w:rPr>
      </w:pPr>
    </w:p>
    <w:p w:rsidRPr="002F11F7" w:rsidR="00830B82" w:rsidP="00830B82" w:rsidRDefault="00830B82">
      <w:pPr>
        <w:jc w:val="both"/>
        <w:rPr>
          <w:sz w:val="20"/>
          <w:lang w:val="it-IT"/>
        </w:rPr>
      </w:pPr>
      <w:r w:rsidRPr="002F11F7">
        <w:rPr>
          <w:sz w:val="20"/>
          <w:lang w:val="it-IT"/>
        </w:rPr>
        <w:t>Zvanični jezici Evropskog suda za ljudska prava su engleski i francuski. Ovaj prevod je nastao uz podršku Fiducijarnog fonda za ljudska prava Saveta Evrope (</w:t>
      </w:r>
      <w:hyperlink w:history="1" r:id="rId15">
        <w:r w:rsidRPr="00830B82">
          <w:rPr>
            <w:rStyle w:val="Hyperlink"/>
            <w:sz w:val="20"/>
            <w:lang w:val="it-IT"/>
          </w:rPr>
          <w:t>www.coe.int/humanrightstrustfund</w:t>
        </w:r>
      </w:hyperlink>
      <w:r w:rsidRPr="002F11F7">
        <w:rPr>
          <w:sz w:val="20"/>
          <w:lang w:val="it-IT"/>
        </w:rPr>
        <w:t>). Tekst prevoda ne obavezuje Sud, niti Sud snosi bilo kakvu odgovornost za njegov kvalitet. Prevod može biti preuzet iz baze podataka predmeta Evropskog suda za ljudska prava HUDOC (</w:t>
      </w:r>
      <w:hyperlink w:history="1" r:id="rId16">
        <w:r w:rsidRPr="00830B82">
          <w:rPr>
            <w:rStyle w:val="Hyperlink"/>
            <w:sz w:val="20"/>
            <w:lang w:val="it-IT"/>
          </w:rPr>
          <w:t>http://hudoc.echr.coe.int</w:t>
        </w:r>
      </w:hyperlink>
      <w:r w:rsidRPr="002F11F7">
        <w:rPr>
          <w:sz w:val="20"/>
          <w:lang w:val="it-IT"/>
        </w:rPr>
        <w:t xml:space="preserve">) ili iz kakve druge baze podataka sa kojom je Sud podelio ovaj prevod. Tekst može biti preštampan u nekomercijalne svrhe pod uslovom da se tačno naznači puni naziv predmeta, uz gore navedeno obaveštenje o autorskom pravu i uz pozivanje na Fiducijarni fond za ljudska prava Saveta Evrope. Ako nameravate da bilo koji deo ovog prevoda iskoristite u komercijalne svrhe, molimo vas da se prethodno obratite na adresu </w:t>
      </w:r>
      <w:hyperlink w:history="1" r:id="rId17">
        <w:r w:rsidRPr="00830B82">
          <w:rPr>
            <w:rStyle w:val="Hyperlink"/>
            <w:sz w:val="20"/>
            <w:lang w:val="it-IT"/>
          </w:rPr>
          <w:t>publishing@echr.coe.int</w:t>
        </w:r>
      </w:hyperlink>
      <w:r w:rsidRPr="002F11F7">
        <w:rPr>
          <w:sz w:val="20"/>
          <w:lang w:val="it-IT"/>
        </w:rPr>
        <w:t>.</w:t>
      </w:r>
    </w:p>
    <w:p w:rsidRPr="002F11F7" w:rsidR="00830B82" w:rsidP="00830B82" w:rsidRDefault="00830B82">
      <w:pPr>
        <w:jc w:val="both"/>
        <w:rPr>
          <w:sz w:val="20"/>
          <w:lang w:val="it-IT"/>
        </w:rPr>
      </w:pPr>
    </w:p>
    <w:p w:rsidRPr="002F11F7" w:rsidR="00830B82" w:rsidP="00830B82" w:rsidRDefault="00830B82">
      <w:pPr>
        <w:jc w:val="both"/>
        <w:rPr>
          <w:b/>
          <w:sz w:val="20"/>
          <w:lang w:val="en-US"/>
        </w:rPr>
      </w:pPr>
      <w:r w:rsidRPr="002F11F7">
        <w:rPr>
          <w:sz w:val="20"/>
          <w:lang w:val="en-US"/>
        </w:rPr>
        <w:t xml:space="preserve">© </w:t>
      </w:r>
      <w:r w:rsidRPr="002F11F7">
        <w:rPr>
          <w:b/>
          <w:sz w:val="20"/>
          <w:lang w:val="en-US"/>
        </w:rPr>
        <w:t>Council of Europe/European Court of Human Rights, 2013.</w:t>
      </w:r>
    </w:p>
    <w:p w:rsidRPr="002F11F7" w:rsidR="00830B82" w:rsidP="00830B82" w:rsidRDefault="00830B82">
      <w:pPr>
        <w:ind w:left="708"/>
        <w:jc w:val="both"/>
        <w:rPr>
          <w:b/>
          <w:sz w:val="20"/>
          <w:lang w:val="en-US"/>
        </w:rPr>
      </w:pPr>
    </w:p>
    <w:p w:rsidRPr="002F11F7" w:rsidR="00830B82" w:rsidP="00830B82" w:rsidRDefault="00830B82">
      <w:pPr>
        <w:jc w:val="both"/>
        <w:rPr>
          <w:sz w:val="20"/>
          <w:lang w:val="en-US"/>
        </w:rPr>
      </w:pPr>
      <w:r w:rsidRPr="002F11F7">
        <w:rPr>
          <w:sz w:val="20"/>
          <w:lang w:val="en-US"/>
        </w:rPr>
        <w:t>The official languages of the European Court of Human Rights are English and French. This translation was commissioned with the support of the Human Rights Trust Fund of the Council of Europe (</w:t>
      </w:r>
      <w:hyperlink w:history="1" r:id="rId18">
        <w:r w:rsidRPr="00830B82">
          <w:rPr>
            <w:rStyle w:val="Hyperlink"/>
            <w:sz w:val="20"/>
            <w:lang w:val="en-US"/>
          </w:rPr>
          <w:t>www.coe.int/humanrightstrustfund</w:t>
        </w:r>
      </w:hyperlink>
      <w:r w:rsidRPr="002F11F7">
        <w:rPr>
          <w:sz w:val="20"/>
          <w:u w:val="single"/>
          <w:lang w:val="en-US"/>
        </w:rPr>
        <w:t>)</w:t>
      </w:r>
      <w:r w:rsidRPr="002F11F7">
        <w:rPr>
          <w:sz w:val="20"/>
          <w:lang w:val="en-US"/>
        </w:rPr>
        <w:t>. It does not bind the Court, nor does the Court take any responsibility for the quality thereof. It may be downloaded from the HUDOC case-law database of the European Court of Human Rights (</w:t>
      </w:r>
      <w:hyperlink w:history="1" r:id="rId19">
        <w:r w:rsidRPr="00830B82">
          <w:rPr>
            <w:rStyle w:val="Hyperlink"/>
            <w:sz w:val="20"/>
            <w:lang w:val="en-US"/>
          </w:rPr>
          <w:t>http://hudoc.echr.coe.int</w:t>
        </w:r>
      </w:hyperlink>
      <w:r w:rsidRPr="002F11F7">
        <w:rPr>
          <w:sz w:val="20"/>
          <w:lang w:val="en-US"/>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20">
        <w:r w:rsidRPr="00830B82">
          <w:rPr>
            <w:rStyle w:val="Hyperlink"/>
            <w:sz w:val="20"/>
            <w:lang w:val="en-US"/>
          </w:rPr>
          <w:t>publishing@echr.coe.int</w:t>
        </w:r>
      </w:hyperlink>
      <w:r w:rsidRPr="002F11F7">
        <w:rPr>
          <w:sz w:val="20"/>
          <w:lang w:val="en-US"/>
        </w:rPr>
        <w:t>.</w:t>
      </w:r>
    </w:p>
    <w:p w:rsidRPr="002F11F7" w:rsidR="00830B82" w:rsidP="00830B82" w:rsidRDefault="00830B82">
      <w:pPr>
        <w:jc w:val="both"/>
        <w:rPr>
          <w:sz w:val="20"/>
          <w:lang w:val="en-US"/>
        </w:rPr>
      </w:pPr>
    </w:p>
    <w:p w:rsidRPr="002F11F7" w:rsidR="00830B82" w:rsidP="00830B82" w:rsidRDefault="00830B82">
      <w:pPr>
        <w:jc w:val="both"/>
        <w:rPr>
          <w:b/>
          <w:sz w:val="20"/>
        </w:rPr>
      </w:pPr>
      <w:r w:rsidRPr="002F11F7">
        <w:rPr>
          <w:sz w:val="20"/>
        </w:rPr>
        <w:t xml:space="preserve">© </w:t>
      </w:r>
      <w:r w:rsidRPr="002F11F7">
        <w:rPr>
          <w:b/>
          <w:sz w:val="20"/>
        </w:rPr>
        <w:t>Conseil de l</w:t>
      </w:r>
      <w:r w:rsidR="002B6583">
        <w:rPr>
          <w:b/>
          <w:sz w:val="20"/>
        </w:rPr>
        <w:t>’</w:t>
      </w:r>
      <w:r w:rsidRPr="002F11F7">
        <w:rPr>
          <w:b/>
          <w:sz w:val="20"/>
        </w:rPr>
        <w:t>Europe/Cour européenne des droits de l</w:t>
      </w:r>
      <w:r w:rsidR="002B6583">
        <w:rPr>
          <w:b/>
          <w:sz w:val="20"/>
        </w:rPr>
        <w:t>’</w:t>
      </w:r>
      <w:r w:rsidRPr="002F11F7">
        <w:rPr>
          <w:b/>
          <w:sz w:val="20"/>
        </w:rPr>
        <w:t>homme, 2013.</w:t>
      </w:r>
    </w:p>
    <w:p w:rsidRPr="002F11F7" w:rsidR="00830B82" w:rsidP="00830B82" w:rsidRDefault="00830B82">
      <w:pPr>
        <w:ind w:left="708"/>
        <w:jc w:val="both"/>
        <w:rPr>
          <w:b/>
          <w:sz w:val="20"/>
        </w:rPr>
      </w:pPr>
    </w:p>
    <w:p w:rsidRPr="008C0470" w:rsidR="008C0470" w:rsidP="00830B82" w:rsidRDefault="00830B82">
      <w:pPr>
        <w:jc w:val="both"/>
      </w:pPr>
      <w:r w:rsidRPr="002F11F7">
        <w:rPr>
          <w:sz w:val="20"/>
        </w:rPr>
        <w:t>Les langues officielles de la Cour européenne des droits de l</w:t>
      </w:r>
      <w:r w:rsidR="002B6583">
        <w:rPr>
          <w:sz w:val="20"/>
        </w:rPr>
        <w:t>’</w:t>
      </w:r>
      <w:r w:rsidRPr="002F11F7">
        <w:rPr>
          <w:sz w:val="20"/>
        </w:rPr>
        <w:t>homme sont le français et l</w:t>
      </w:r>
      <w:r w:rsidR="002B6583">
        <w:rPr>
          <w:sz w:val="20"/>
        </w:rPr>
        <w:t>’</w:t>
      </w:r>
      <w:r w:rsidRPr="002F11F7">
        <w:rPr>
          <w:sz w:val="20"/>
        </w:rPr>
        <w:t>anglais. La présente traduction a été effectuée avec le soutien du Fonds fiduciaire pour les droits de l</w:t>
      </w:r>
      <w:r w:rsidR="002B6583">
        <w:rPr>
          <w:sz w:val="20"/>
        </w:rPr>
        <w:t>’</w:t>
      </w:r>
      <w:r w:rsidRPr="002F11F7">
        <w:rPr>
          <w:sz w:val="20"/>
        </w:rPr>
        <w:t>homme du Conseil de l</w:t>
      </w:r>
      <w:r w:rsidR="002B6583">
        <w:rPr>
          <w:sz w:val="20"/>
        </w:rPr>
        <w:t>’</w:t>
      </w:r>
      <w:r w:rsidRPr="002F11F7">
        <w:rPr>
          <w:sz w:val="20"/>
        </w:rPr>
        <w:t>Europe (</w:t>
      </w:r>
      <w:hyperlink w:history="1" r:id="rId21">
        <w:r w:rsidRPr="00830B82">
          <w:rPr>
            <w:rStyle w:val="Hyperlink"/>
            <w:sz w:val="20"/>
          </w:rPr>
          <w:t>www.coe.int/humanrightstrustfund</w:t>
        </w:r>
      </w:hyperlink>
      <w:r w:rsidRPr="002F11F7">
        <w:rPr>
          <w:sz w:val="20"/>
        </w:rPr>
        <w:t>). Elle ne lie pas la Cour, et celle-ci décline toute responsabilité quant à sa qualité. Elle peut être téléchargée à partir de HUDOC, la base de jurisprudence de la Cour européenne des droits de l</w:t>
      </w:r>
      <w:r w:rsidR="002B6583">
        <w:rPr>
          <w:sz w:val="20"/>
        </w:rPr>
        <w:t>’</w:t>
      </w:r>
      <w:r w:rsidRPr="002F11F7">
        <w:rPr>
          <w:sz w:val="20"/>
        </w:rPr>
        <w:t>homme (</w:t>
      </w:r>
      <w:hyperlink w:history="1" r:id="rId22">
        <w:r w:rsidRPr="00830B82">
          <w:rPr>
            <w:rStyle w:val="Hyperlink"/>
            <w:sz w:val="20"/>
          </w:rPr>
          <w:t>http://hundoc.echre.coe.int</w:t>
        </w:r>
      </w:hyperlink>
      <w:r w:rsidRPr="002F11F7">
        <w:rPr>
          <w:sz w:val="20"/>
        </w:rPr>
        <w:t>), ou de toute autre base de données à laquelle HUDOC l</w:t>
      </w:r>
      <w:r w:rsidR="002B6583">
        <w:rPr>
          <w:sz w:val="20"/>
        </w:rPr>
        <w:t>’</w:t>
      </w:r>
      <w:r w:rsidRPr="002F11F7">
        <w:rPr>
          <w:sz w:val="20"/>
        </w:rPr>
        <w:t>a communiquée. Elle peut être reproduite à des fins non commerciales, sous réserve que le titre de l</w:t>
      </w:r>
      <w:r w:rsidR="002B6583">
        <w:rPr>
          <w:sz w:val="20"/>
        </w:rPr>
        <w:t>’</w:t>
      </w:r>
      <w:r w:rsidRPr="002F11F7">
        <w:rPr>
          <w:sz w:val="20"/>
        </w:rPr>
        <w:t>affaire soit cité en entier et s</w:t>
      </w:r>
      <w:r w:rsidR="002B6583">
        <w:rPr>
          <w:sz w:val="20"/>
        </w:rPr>
        <w:t>’</w:t>
      </w:r>
      <w:r w:rsidRPr="002F11F7">
        <w:rPr>
          <w:sz w:val="20"/>
        </w:rPr>
        <w:t>accompagne de l</w:t>
      </w:r>
      <w:r w:rsidR="002B6583">
        <w:rPr>
          <w:sz w:val="20"/>
        </w:rPr>
        <w:t>’</w:t>
      </w:r>
      <w:r w:rsidRPr="002F11F7">
        <w:rPr>
          <w:sz w:val="20"/>
        </w:rPr>
        <w:t>indication de copyright ci-dessus ainsi que de la référence au Fonds fiduciaire pour les droits de l</w:t>
      </w:r>
      <w:r w:rsidR="002B6583">
        <w:rPr>
          <w:sz w:val="20"/>
        </w:rPr>
        <w:t>’</w:t>
      </w:r>
      <w:r w:rsidRPr="002F11F7">
        <w:rPr>
          <w:sz w:val="20"/>
        </w:rPr>
        <w:t>homme. Toute personne souhaitant se servir de tout ou partie de la présente traduction à des fins commerciales est invitée à l</w:t>
      </w:r>
      <w:r w:rsidR="002B6583">
        <w:rPr>
          <w:sz w:val="20"/>
        </w:rPr>
        <w:t>’</w:t>
      </w:r>
      <w:r w:rsidRPr="002F11F7">
        <w:rPr>
          <w:sz w:val="20"/>
        </w:rPr>
        <w:t xml:space="preserve">adresse suivante: </w:t>
      </w:r>
      <w:hyperlink w:history="1" r:id="rId23">
        <w:r w:rsidRPr="00830B82">
          <w:rPr>
            <w:rStyle w:val="Hyperlink"/>
            <w:sz w:val="20"/>
          </w:rPr>
          <w:t>publishing@echr.coe.int</w:t>
        </w:r>
      </w:hyperlink>
      <w:r w:rsidRPr="002F11F7">
        <w:rPr>
          <w:sz w:val="20"/>
        </w:rPr>
        <w:t>.</w:t>
      </w:r>
    </w:p>
    <w:sectPr w:rsidRPr="008C0470" w:rsidR="008C0470" w:rsidSect="00A420F7">
      <w:headerReference w:type="even" r:id="rId24"/>
      <w:headerReference w:type="default" r:id="rId2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5F" w:rsidRDefault="00F5525F">
      <w:r>
        <w:separator/>
      </w:r>
    </w:p>
  </w:endnote>
  <w:endnote w:type="continuationSeparator" w:id="0">
    <w:p w:rsidR="00F5525F" w:rsidRDefault="00F5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01" w:rsidRPr="00150BFA" w:rsidRDefault="00905B01" w:rsidP="00A420F7">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33pt">
          <v:imagedata r:id="rId1" o:title="DocFooter-03"/>
        </v:shape>
      </w:pict>
    </w:r>
  </w:p>
  <w:p w:rsidR="00905B01" w:rsidRDefault="00905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5F" w:rsidRDefault="00F5525F">
      <w:r>
        <w:separator/>
      </w:r>
    </w:p>
  </w:footnote>
  <w:footnote w:type="continuationSeparator" w:id="0">
    <w:p w:rsidR="00F5525F" w:rsidRDefault="00F55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82" w:rsidRDefault="00830B82" w:rsidP="00830B82">
    <w:pPr>
      <w:pStyle w:val="Header"/>
      <w:jc w:val="cente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25pt">
          <v:imagedata r:id="rId1" o:title="TranspDocHeaderBigBla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01" w:rsidRPr="00A420F7" w:rsidRDefault="00905B01" w:rsidP="00A420F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01" w:rsidRPr="00C00F0F" w:rsidRDefault="00905B01">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164.25pt">
          <v:imagedata r:id="rId1" o:title="TranspDocHeaderBigBlack"/>
        </v:shape>
      </w:pict>
    </w:r>
  </w:p>
  <w:p w:rsidR="00905B01" w:rsidRDefault="00905B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A6" w:rsidRPr="00AA0CA4" w:rsidRDefault="009D4AA6">
    <w:pPr>
      <w:pStyle w:val="JuHeader"/>
    </w:pPr>
    <w:r>
      <w:rPr>
        <w:rStyle w:val="PageNumber"/>
        <w:lang w:val="en-US"/>
      </w:rPr>
      <w:fldChar w:fldCharType="begin"/>
    </w:r>
    <w:r w:rsidRPr="00AA0CA4">
      <w:rPr>
        <w:rStyle w:val="PageNumber"/>
      </w:rPr>
      <w:instrText xml:space="preserve"> PAGE </w:instrText>
    </w:r>
    <w:r>
      <w:rPr>
        <w:rStyle w:val="PageNumber"/>
        <w:lang w:val="en-US"/>
      </w:rPr>
      <w:fldChar w:fldCharType="separate"/>
    </w:r>
    <w:r w:rsidR="002B6583">
      <w:rPr>
        <w:rStyle w:val="PageNumber"/>
        <w:noProof/>
      </w:rPr>
      <w:t>14</w:t>
    </w:r>
    <w:r>
      <w:rPr>
        <w:rStyle w:val="PageNumber"/>
        <w:lang w:val="en-US"/>
      </w:rPr>
      <w:fldChar w:fldCharType="end"/>
    </w:r>
    <w:r w:rsidRPr="00AA0CA4">
      <w:rPr>
        <w:rStyle w:val="PageNumber"/>
      </w:rPr>
      <w:tab/>
    </w:r>
    <w:r w:rsidR="00350FF2">
      <w:rPr>
        <w:noProof/>
      </w:rPr>
      <w:t>PRESUDA</w:t>
    </w:r>
    <w:r w:rsidRPr="00AA0CA4">
      <w:rPr>
        <w:noProof/>
      </w:rPr>
      <w:t xml:space="preserve"> </w:t>
    </w:r>
    <w:r w:rsidRPr="00AA0CA4">
      <w:t xml:space="preserve">ZOLOTAS </w:t>
    </w:r>
    <w:r w:rsidR="00350FF2">
      <w:t>protiv</w:t>
    </w:r>
    <w:r w:rsidRPr="00AA0CA4">
      <w:t xml:space="preserve"> GR</w:t>
    </w:r>
    <w:r w:rsidR="00350FF2">
      <w:rPr>
        <w:lang w:val="sr-Latn-CS"/>
      </w:rPr>
      <w:t>ČK</w:t>
    </w:r>
    <w:r w:rsidRPr="00AA0CA4">
      <w:t>E (</w:t>
    </w:r>
    <w:r w:rsidR="00350FF2">
      <w:t>Br.</w:t>
    </w:r>
    <w:r w:rsidRPr="00AA0CA4">
      <w:t xml:space="preserve"> 2)</w:t>
    </w:r>
    <w:r w:rsidR="00830B82">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A6" w:rsidRPr="00DE593D" w:rsidRDefault="009D4AA6">
    <w:pPr>
      <w:pStyle w:val="JuHeader"/>
      <w:rPr>
        <w:lang w:val="en-US"/>
      </w:rPr>
    </w:pPr>
    <w:r>
      <w:tab/>
    </w:r>
    <w:r w:rsidR="00171BEE">
      <w:rPr>
        <w:noProof/>
        <w:lang w:val="en-GB"/>
      </w:rPr>
      <w:t>PRESUDA</w:t>
    </w:r>
    <w:r>
      <w:rPr>
        <w:noProof/>
        <w:lang w:val="en-GB"/>
      </w:rPr>
      <w:t xml:space="preserve"> </w:t>
    </w:r>
    <w:r>
      <w:rPr>
        <w:lang w:val="en-US"/>
      </w:rPr>
      <w:t xml:space="preserve">ZOLOTAS </w:t>
    </w:r>
    <w:r w:rsidR="00171BEE">
      <w:rPr>
        <w:lang w:val="en-US"/>
      </w:rPr>
      <w:t>protiv</w:t>
    </w:r>
    <w:r>
      <w:rPr>
        <w:lang w:val="en-US"/>
      </w:rPr>
      <w:t xml:space="preserve"> GR</w:t>
    </w:r>
    <w:r w:rsidR="00575515">
      <w:rPr>
        <w:lang w:val="en-US"/>
      </w:rPr>
      <w:t>ČKE</w:t>
    </w:r>
    <w:r>
      <w:rPr>
        <w:lang w:val="en-US"/>
      </w:rPr>
      <w:t xml:space="preserve"> (</w:t>
    </w:r>
    <w:r w:rsidR="00575515">
      <w:rPr>
        <w:lang w:val="en-US"/>
      </w:rPr>
      <w:t>Br.</w:t>
    </w:r>
    <w:r>
      <w:rPr>
        <w:lang w:val="en-US"/>
      </w:rPr>
      <w:t xml:space="preserve"> 2)</w:t>
    </w:r>
    <w:r w:rsidRPr="00DE593D">
      <w:rPr>
        <w:lang w:val="en-US"/>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sidR="002B6583">
      <w:rPr>
        <w:rStyle w:val="PageNumber"/>
        <w:noProof/>
        <w:lang w:val="en-US"/>
      </w:rPr>
      <w:t>3</w:t>
    </w:r>
    <w:r>
      <w:rPr>
        <w:rStyle w:val="PageNumbe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activeWritingStyle w:appName="MSWord" w:lang="fr-FR" w:vendorID="9" w:dllVersion="512" w:checkStyle="1"/>
  <w:activeWritingStyle w:appName="MSWord" w:lang="sv-SE" w:vendorID="0" w:dllVersion="512" w:checkStyle="1"/>
  <w:activeWritingStyle w:appName="MSWord" w:lang="pt-PT" w:vendorID="13" w:dllVersion="513" w:checkStyle="1"/>
  <w:activeWritingStyle w:appName="MSWord" w:lang="sv-SE" w:vendorID="666" w:dllVersion="513" w:checkStyle="1"/>
  <w:activeWritingStyle w:appName="MSWord" w:lang="fi-FI" w:vendorID="666" w:dllVersion="513" w:checkStyle="1"/>
  <w:activeWritingStyle w:appName="MSWord" w:lang="it-IT" w:vendorID="3" w:dllVersion="517"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A6337F"/>
    <w:rsid w:val="00000201"/>
    <w:rsid w:val="00000A8E"/>
    <w:rsid w:val="00006607"/>
    <w:rsid w:val="0000732D"/>
    <w:rsid w:val="00007DFC"/>
    <w:rsid w:val="00010DFE"/>
    <w:rsid w:val="0001493E"/>
    <w:rsid w:val="00023684"/>
    <w:rsid w:val="0003067A"/>
    <w:rsid w:val="00031EF8"/>
    <w:rsid w:val="000346B8"/>
    <w:rsid w:val="00034B42"/>
    <w:rsid w:val="000364BF"/>
    <w:rsid w:val="000372C9"/>
    <w:rsid w:val="00042DCF"/>
    <w:rsid w:val="0004497F"/>
    <w:rsid w:val="000528CE"/>
    <w:rsid w:val="000547C7"/>
    <w:rsid w:val="0007279A"/>
    <w:rsid w:val="00072E60"/>
    <w:rsid w:val="00075956"/>
    <w:rsid w:val="00076451"/>
    <w:rsid w:val="00081E2C"/>
    <w:rsid w:val="000834CE"/>
    <w:rsid w:val="00086A85"/>
    <w:rsid w:val="00086D75"/>
    <w:rsid w:val="00091988"/>
    <w:rsid w:val="0009234F"/>
    <w:rsid w:val="00093432"/>
    <w:rsid w:val="0009418B"/>
    <w:rsid w:val="0009497E"/>
    <w:rsid w:val="0009631E"/>
    <w:rsid w:val="0009688D"/>
    <w:rsid w:val="00097B34"/>
    <w:rsid w:val="000A0C5E"/>
    <w:rsid w:val="000A1ADF"/>
    <w:rsid w:val="000A385F"/>
    <w:rsid w:val="000A3D31"/>
    <w:rsid w:val="000B0816"/>
    <w:rsid w:val="000B3205"/>
    <w:rsid w:val="000B662C"/>
    <w:rsid w:val="000B7194"/>
    <w:rsid w:val="000C33AD"/>
    <w:rsid w:val="000C7C07"/>
    <w:rsid w:val="000D2DFC"/>
    <w:rsid w:val="000D6013"/>
    <w:rsid w:val="000E3236"/>
    <w:rsid w:val="000E4D02"/>
    <w:rsid w:val="000E78C7"/>
    <w:rsid w:val="000F08D4"/>
    <w:rsid w:val="000F25F0"/>
    <w:rsid w:val="000F6213"/>
    <w:rsid w:val="000F6AC5"/>
    <w:rsid w:val="001027CD"/>
    <w:rsid w:val="00103FC3"/>
    <w:rsid w:val="00114014"/>
    <w:rsid w:val="00120B54"/>
    <w:rsid w:val="00126687"/>
    <w:rsid w:val="001321CE"/>
    <w:rsid w:val="00133645"/>
    <w:rsid w:val="001352AA"/>
    <w:rsid w:val="00137357"/>
    <w:rsid w:val="0014018F"/>
    <w:rsid w:val="00142775"/>
    <w:rsid w:val="00142DF7"/>
    <w:rsid w:val="00147398"/>
    <w:rsid w:val="00147646"/>
    <w:rsid w:val="00147D50"/>
    <w:rsid w:val="001524AA"/>
    <w:rsid w:val="00152B7C"/>
    <w:rsid w:val="001530A2"/>
    <w:rsid w:val="001542F3"/>
    <w:rsid w:val="001654B5"/>
    <w:rsid w:val="00166394"/>
    <w:rsid w:val="00171BEE"/>
    <w:rsid w:val="00172CF0"/>
    <w:rsid w:val="001744BF"/>
    <w:rsid w:val="00174CBC"/>
    <w:rsid w:val="001752B0"/>
    <w:rsid w:val="0017562B"/>
    <w:rsid w:val="00180287"/>
    <w:rsid w:val="00180C7C"/>
    <w:rsid w:val="00180FFE"/>
    <w:rsid w:val="0018445D"/>
    <w:rsid w:val="00184E3A"/>
    <w:rsid w:val="00187F71"/>
    <w:rsid w:val="00190F41"/>
    <w:rsid w:val="00191465"/>
    <w:rsid w:val="00191CB6"/>
    <w:rsid w:val="00192E4D"/>
    <w:rsid w:val="001934B1"/>
    <w:rsid w:val="00196E64"/>
    <w:rsid w:val="001A1237"/>
    <w:rsid w:val="001B1991"/>
    <w:rsid w:val="001B27BA"/>
    <w:rsid w:val="001C21DD"/>
    <w:rsid w:val="001C3178"/>
    <w:rsid w:val="001C7E25"/>
    <w:rsid w:val="001E4AEA"/>
    <w:rsid w:val="001E5A37"/>
    <w:rsid w:val="001E7A4C"/>
    <w:rsid w:val="001F4EB1"/>
    <w:rsid w:val="001F63F0"/>
    <w:rsid w:val="001F6681"/>
    <w:rsid w:val="002057EA"/>
    <w:rsid w:val="00206868"/>
    <w:rsid w:val="00206EA5"/>
    <w:rsid w:val="00207248"/>
    <w:rsid w:val="0021069D"/>
    <w:rsid w:val="00211F5F"/>
    <w:rsid w:val="0021383B"/>
    <w:rsid w:val="00214AC0"/>
    <w:rsid w:val="00220E62"/>
    <w:rsid w:val="00221D16"/>
    <w:rsid w:val="0022572A"/>
    <w:rsid w:val="00230210"/>
    <w:rsid w:val="002306F8"/>
    <w:rsid w:val="00231869"/>
    <w:rsid w:val="00246CE5"/>
    <w:rsid w:val="00247DD7"/>
    <w:rsid w:val="00262E9F"/>
    <w:rsid w:val="00263561"/>
    <w:rsid w:val="00271281"/>
    <w:rsid w:val="00274199"/>
    <w:rsid w:val="0027428A"/>
    <w:rsid w:val="0027530D"/>
    <w:rsid w:val="00275892"/>
    <w:rsid w:val="002801FC"/>
    <w:rsid w:val="002821AD"/>
    <w:rsid w:val="0028541F"/>
    <w:rsid w:val="00287191"/>
    <w:rsid w:val="0029196A"/>
    <w:rsid w:val="002921BB"/>
    <w:rsid w:val="0029723C"/>
    <w:rsid w:val="002A27EC"/>
    <w:rsid w:val="002A4231"/>
    <w:rsid w:val="002B015F"/>
    <w:rsid w:val="002B2D1E"/>
    <w:rsid w:val="002B6583"/>
    <w:rsid w:val="002B6CC1"/>
    <w:rsid w:val="002C33CB"/>
    <w:rsid w:val="002D1399"/>
    <w:rsid w:val="002D6768"/>
    <w:rsid w:val="002D7550"/>
    <w:rsid w:val="002D7850"/>
    <w:rsid w:val="002F0DFB"/>
    <w:rsid w:val="002F1168"/>
    <w:rsid w:val="002F1CE6"/>
    <w:rsid w:val="002F6EF7"/>
    <w:rsid w:val="003023B0"/>
    <w:rsid w:val="00305449"/>
    <w:rsid w:val="00323050"/>
    <w:rsid w:val="003268DD"/>
    <w:rsid w:val="00327411"/>
    <w:rsid w:val="003306D4"/>
    <w:rsid w:val="00330AA7"/>
    <w:rsid w:val="0033610E"/>
    <w:rsid w:val="00341552"/>
    <w:rsid w:val="00350960"/>
    <w:rsid w:val="00350FF2"/>
    <w:rsid w:val="00353314"/>
    <w:rsid w:val="003558EB"/>
    <w:rsid w:val="003608F7"/>
    <w:rsid w:val="00360C14"/>
    <w:rsid w:val="00361E13"/>
    <w:rsid w:val="00362D1F"/>
    <w:rsid w:val="003630AF"/>
    <w:rsid w:val="0036450B"/>
    <w:rsid w:val="00370701"/>
    <w:rsid w:val="00376839"/>
    <w:rsid w:val="00380D7C"/>
    <w:rsid w:val="00381E02"/>
    <w:rsid w:val="003835A5"/>
    <w:rsid w:val="00384CF5"/>
    <w:rsid w:val="00386B91"/>
    <w:rsid w:val="00387F24"/>
    <w:rsid w:val="0039057F"/>
    <w:rsid w:val="003925CE"/>
    <w:rsid w:val="0039282F"/>
    <w:rsid w:val="00397B8D"/>
    <w:rsid w:val="003A09B2"/>
    <w:rsid w:val="003A13F3"/>
    <w:rsid w:val="003A309B"/>
    <w:rsid w:val="003A32CC"/>
    <w:rsid w:val="003B0567"/>
    <w:rsid w:val="003B2260"/>
    <w:rsid w:val="003B54F0"/>
    <w:rsid w:val="003B61BC"/>
    <w:rsid w:val="003B6855"/>
    <w:rsid w:val="003C00AC"/>
    <w:rsid w:val="003C0922"/>
    <w:rsid w:val="003D21E0"/>
    <w:rsid w:val="003D2870"/>
    <w:rsid w:val="003E2C01"/>
    <w:rsid w:val="003E2D42"/>
    <w:rsid w:val="003E3B86"/>
    <w:rsid w:val="0040106E"/>
    <w:rsid w:val="0040252B"/>
    <w:rsid w:val="00402F19"/>
    <w:rsid w:val="0040406E"/>
    <w:rsid w:val="00404D2D"/>
    <w:rsid w:val="00406AE8"/>
    <w:rsid w:val="004079E9"/>
    <w:rsid w:val="00411421"/>
    <w:rsid w:val="00415C08"/>
    <w:rsid w:val="00416D48"/>
    <w:rsid w:val="00420D3E"/>
    <w:rsid w:val="004219F0"/>
    <w:rsid w:val="004254D5"/>
    <w:rsid w:val="00425BF9"/>
    <w:rsid w:val="004303BE"/>
    <w:rsid w:val="00431680"/>
    <w:rsid w:val="004325FB"/>
    <w:rsid w:val="00442FA9"/>
    <w:rsid w:val="00445E54"/>
    <w:rsid w:val="00450109"/>
    <w:rsid w:val="00451043"/>
    <w:rsid w:val="004563AF"/>
    <w:rsid w:val="0046100C"/>
    <w:rsid w:val="0046128D"/>
    <w:rsid w:val="0046609E"/>
    <w:rsid w:val="0046778E"/>
    <w:rsid w:val="004702BA"/>
    <w:rsid w:val="00471051"/>
    <w:rsid w:val="00471764"/>
    <w:rsid w:val="004734A5"/>
    <w:rsid w:val="0047351A"/>
    <w:rsid w:val="004736D2"/>
    <w:rsid w:val="0047501E"/>
    <w:rsid w:val="00486CD2"/>
    <w:rsid w:val="00491DD9"/>
    <w:rsid w:val="0049206F"/>
    <w:rsid w:val="004926B6"/>
    <w:rsid w:val="004930AD"/>
    <w:rsid w:val="004932DA"/>
    <w:rsid w:val="00494ABE"/>
    <w:rsid w:val="004A01A3"/>
    <w:rsid w:val="004A0F1E"/>
    <w:rsid w:val="004A551D"/>
    <w:rsid w:val="004A73DA"/>
    <w:rsid w:val="004B2E31"/>
    <w:rsid w:val="004B56AE"/>
    <w:rsid w:val="004B7E50"/>
    <w:rsid w:val="004C61A7"/>
    <w:rsid w:val="004C691A"/>
    <w:rsid w:val="004C7DF5"/>
    <w:rsid w:val="004D6A0A"/>
    <w:rsid w:val="004E3393"/>
    <w:rsid w:val="004E63CA"/>
    <w:rsid w:val="004E6863"/>
    <w:rsid w:val="004E7EC0"/>
    <w:rsid w:val="004F0ECC"/>
    <w:rsid w:val="004F68A7"/>
    <w:rsid w:val="005144ED"/>
    <w:rsid w:val="005157A2"/>
    <w:rsid w:val="00525049"/>
    <w:rsid w:val="0052605E"/>
    <w:rsid w:val="005319B5"/>
    <w:rsid w:val="00532ADE"/>
    <w:rsid w:val="0053642D"/>
    <w:rsid w:val="00540827"/>
    <w:rsid w:val="00546858"/>
    <w:rsid w:val="00547237"/>
    <w:rsid w:val="00551DAC"/>
    <w:rsid w:val="00553437"/>
    <w:rsid w:val="00556B45"/>
    <w:rsid w:val="00560318"/>
    <w:rsid w:val="00560B55"/>
    <w:rsid w:val="00561AFB"/>
    <w:rsid w:val="00570183"/>
    <w:rsid w:val="0057103A"/>
    <w:rsid w:val="005737E4"/>
    <w:rsid w:val="005740C2"/>
    <w:rsid w:val="00575515"/>
    <w:rsid w:val="0058230A"/>
    <w:rsid w:val="00586150"/>
    <w:rsid w:val="00590888"/>
    <w:rsid w:val="005A1403"/>
    <w:rsid w:val="005B3922"/>
    <w:rsid w:val="005B42EA"/>
    <w:rsid w:val="005B4CD7"/>
    <w:rsid w:val="005B51DE"/>
    <w:rsid w:val="005B7AAF"/>
    <w:rsid w:val="005C2A28"/>
    <w:rsid w:val="005C2BA1"/>
    <w:rsid w:val="005C4A89"/>
    <w:rsid w:val="005C7D1C"/>
    <w:rsid w:val="005D3365"/>
    <w:rsid w:val="005D6FAC"/>
    <w:rsid w:val="005E0E3A"/>
    <w:rsid w:val="005E1B0C"/>
    <w:rsid w:val="00605DF4"/>
    <w:rsid w:val="0060654C"/>
    <w:rsid w:val="0061049D"/>
    <w:rsid w:val="0061209C"/>
    <w:rsid w:val="00612896"/>
    <w:rsid w:val="006164A6"/>
    <w:rsid w:val="00620817"/>
    <w:rsid w:val="006208CF"/>
    <w:rsid w:val="00626255"/>
    <w:rsid w:val="00626DEE"/>
    <w:rsid w:val="00630FFF"/>
    <w:rsid w:val="006359E8"/>
    <w:rsid w:val="00635D3D"/>
    <w:rsid w:val="006402C0"/>
    <w:rsid w:val="00640A10"/>
    <w:rsid w:val="0064438C"/>
    <w:rsid w:val="00644BD3"/>
    <w:rsid w:val="00656213"/>
    <w:rsid w:val="006608BA"/>
    <w:rsid w:val="00662B64"/>
    <w:rsid w:val="00665DE2"/>
    <w:rsid w:val="006716C1"/>
    <w:rsid w:val="0067183F"/>
    <w:rsid w:val="0067343B"/>
    <w:rsid w:val="0068104D"/>
    <w:rsid w:val="00685B20"/>
    <w:rsid w:val="00687A9D"/>
    <w:rsid w:val="00691038"/>
    <w:rsid w:val="00693A1D"/>
    <w:rsid w:val="00694356"/>
    <w:rsid w:val="0069719D"/>
    <w:rsid w:val="006A0F1E"/>
    <w:rsid w:val="006A1F0E"/>
    <w:rsid w:val="006A5686"/>
    <w:rsid w:val="006B0785"/>
    <w:rsid w:val="006B1877"/>
    <w:rsid w:val="006B1C83"/>
    <w:rsid w:val="006B3164"/>
    <w:rsid w:val="006B3663"/>
    <w:rsid w:val="006B3668"/>
    <w:rsid w:val="006B5350"/>
    <w:rsid w:val="006B6DB9"/>
    <w:rsid w:val="006C28D1"/>
    <w:rsid w:val="006C7CFE"/>
    <w:rsid w:val="006D202E"/>
    <w:rsid w:val="006E0270"/>
    <w:rsid w:val="006E0F2A"/>
    <w:rsid w:val="006E30BD"/>
    <w:rsid w:val="006E3C39"/>
    <w:rsid w:val="006F005A"/>
    <w:rsid w:val="006F1131"/>
    <w:rsid w:val="007028E0"/>
    <w:rsid w:val="00703DC1"/>
    <w:rsid w:val="00710681"/>
    <w:rsid w:val="00714045"/>
    <w:rsid w:val="0071782E"/>
    <w:rsid w:val="00722B1D"/>
    <w:rsid w:val="0072405E"/>
    <w:rsid w:val="007246F4"/>
    <w:rsid w:val="007305A7"/>
    <w:rsid w:val="007357D0"/>
    <w:rsid w:val="0073671E"/>
    <w:rsid w:val="00744613"/>
    <w:rsid w:val="00752D87"/>
    <w:rsid w:val="00753FE6"/>
    <w:rsid w:val="00755392"/>
    <w:rsid w:val="0075565F"/>
    <w:rsid w:val="00755B23"/>
    <w:rsid w:val="00757C62"/>
    <w:rsid w:val="00760C72"/>
    <w:rsid w:val="00766743"/>
    <w:rsid w:val="0077322C"/>
    <w:rsid w:val="00775799"/>
    <w:rsid w:val="0077792A"/>
    <w:rsid w:val="00780F3B"/>
    <w:rsid w:val="00781B87"/>
    <w:rsid w:val="00781CE0"/>
    <w:rsid w:val="007837C8"/>
    <w:rsid w:val="00790C2C"/>
    <w:rsid w:val="007945D5"/>
    <w:rsid w:val="00795176"/>
    <w:rsid w:val="007A087B"/>
    <w:rsid w:val="007A1711"/>
    <w:rsid w:val="007A181F"/>
    <w:rsid w:val="007A52A8"/>
    <w:rsid w:val="007B3384"/>
    <w:rsid w:val="007B6939"/>
    <w:rsid w:val="007C023E"/>
    <w:rsid w:val="007C1EF3"/>
    <w:rsid w:val="007C57E1"/>
    <w:rsid w:val="007D5217"/>
    <w:rsid w:val="007D5A77"/>
    <w:rsid w:val="007D69BF"/>
    <w:rsid w:val="007D7F7A"/>
    <w:rsid w:val="007E2A38"/>
    <w:rsid w:val="007E3337"/>
    <w:rsid w:val="007E549C"/>
    <w:rsid w:val="007E7FD0"/>
    <w:rsid w:val="007F3B90"/>
    <w:rsid w:val="007F6A42"/>
    <w:rsid w:val="007F6B5F"/>
    <w:rsid w:val="00803644"/>
    <w:rsid w:val="00803BF7"/>
    <w:rsid w:val="00810868"/>
    <w:rsid w:val="00810883"/>
    <w:rsid w:val="00811756"/>
    <w:rsid w:val="00815DF6"/>
    <w:rsid w:val="008169FD"/>
    <w:rsid w:val="008177DF"/>
    <w:rsid w:val="00830036"/>
    <w:rsid w:val="00830B82"/>
    <w:rsid w:val="0083153A"/>
    <w:rsid w:val="00836D0B"/>
    <w:rsid w:val="008448B2"/>
    <w:rsid w:val="0084755E"/>
    <w:rsid w:val="00847586"/>
    <w:rsid w:val="00850066"/>
    <w:rsid w:val="0085138C"/>
    <w:rsid w:val="00855148"/>
    <w:rsid w:val="008576D8"/>
    <w:rsid w:val="00863B7D"/>
    <w:rsid w:val="00867B7D"/>
    <w:rsid w:val="00867D00"/>
    <w:rsid w:val="00867E82"/>
    <w:rsid w:val="00875F66"/>
    <w:rsid w:val="0088729A"/>
    <w:rsid w:val="00895DC7"/>
    <w:rsid w:val="00895F19"/>
    <w:rsid w:val="008A0122"/>
    <w:rsid w:val="008A0920"/>
    <w:rsid w:val="008A0DE7"/>
    <w:rsid w:val="008A37EA"/>
    <w:rsid w:val="008A693F"/>
    <w:rsid w:val="008B458A"/>
    <w:rsid w:val="008B5A60"/>
    <w:rsid w:val="008C0470"/>
    <w:rsid w:val="008C4069"/>
    <w:rsid w:val="008C6E3C"/>
    <w:rsid w:val="008C7FEF"/>
    <w:rsid w:val="008D3487"/>
    <w:rsid w:val="008D5A74"/>
    <w:rsid w:val="008D61D1"/>
    <w:rsid w:val="008E3437"/>
    <w:rsid w:val="008E3525"/>
    <w:rsid w:val="008E5AD0"/>
    <w:rsid w:val="008F1891"/>
    <w:rsid w:val="008F18DD"/>
    <w:rsid w:val="008F1D67"/>
    <w:rsid w:val="008F39FB"/>
    <w:rsid w:val="008F5588"/>
    <w:rsid w:val="0090220E"/>
    <w:rsid w:val="00904F8D"/>
    <w:rsid w:val="009054A1"/>
    <w:rsid w:val="00905B01"/>
    <w:rsid w:val="0092156A"/>
    <w:rsid w:val="00922C88"/>
    <w:rsid w:val="00922F45"/>
    <w:rsid w:val="009260DF"/>
    <w:rsid w:val="00934E38"/>
    <w:rsid w:val="00935237"/>
    <w:rsid w:val="00936877"/>
    <w:rsid w:val="00942EF5"/>
    <w:rsid w:val="00956C5C"/>
    <w:rsid w:val="00962F43"/>
    <w:rsid w:val="00964367"/>
    <w:rsid w:val="00967F04"/>
    <w:rsid w:val="00973C75"/>
    <w:rsid w:val="00974F77"/>
    <w:rsid w:val="00977C6F"/>
    <w:rsid w:val="00980BEB"/>
    <w:rsid w:val="00981F73"/>
    <w:rsid w:val="00991EBF"/>
    <w:rsid w:val="00994710"/>
    <w:rsid w:val="00995968"/>
    <w:rsid w:val="00997942"/>
    <w:rsid w:val="009A0361"/>
    <w:rsid w:val="009A0A09"/>
    <w:rsid w:val="009A13C7"/>
    <w:rsid w:val="009A1FA3"/>
    <w:rsid w:val="009B16FB"/>
    <w:rsid w:val="009B3D77"/>
    <w:rsid w:val="009B5D39"/>
    <w:rsid w:val="009B71FF"/>
    <w:rsid w:val="009C11F6"/>
    <w:rsid w:val="009C1366"/>
    <w:rsid w:val="009C69A6"/>
    <w:rsid w:val="009D19FA"/>
    <w:rsid w:val="009D29DE"/>
    <w:rsid w:val="009D3F5C"/>
    <w:rsid w:val="009D4AA6"/>
    <w:rsid w:val="009E3520"/>
    <w:rsid w:val="009E403F"/>
    <w:rsid w:val="009F03E7"/>
    <w:rsid w:val="009F7286"/>
    <w:rsid w:val="00A02A95"/>
    <w:rsid w:val="00A1080F"/>
    <w:rsid w:val="00A13D35"/>
    <w:rsid w:val="00A152BB"/>
    <w:rsid w:val="00A16E14"/>
    <w:rsid w:val="00A1709B"/>
    <w:rsid w:val="00A211C8"/>
    <w:rsid w:val="00A22143"/>
    <w:rsid w:val="00A2380B"/>
    <w:rsid w:val="00A3193A"/>
    <w:rsid w:val="00A3452F"/>
    <w:rsid w:val="00A3486B"/>
    <w:rsid w:val="00A35A40"/>
    <w:rsid w:val="00A36205"/>
    <w:rsid w:val="00A3624E"/>
    <w:rsid w:val="00A420F7"/>
    <w:rsid w:val="00A42D68"/>
    <w:rsid w:val="00A46BA1"/>
    <w:rsid w:val="00A52634"/>
    <w:rsid w:val="00A53F42"/>
    <w:rsid w:val="00A6337F"/>
    <w:rsid w:val="00A63C1E"/>
    <w:rsid w:val="00A65F21"/>
    <w:rsid w:val="00A73647"/>
    <w:rsid w:val="00A74E63"/>
    <w:rsid w:val="00A75CD9"/>
    <w:rsid w:val="00A77361"/>
    <w:rsid w:val="00A77DDC"/>
    <w:rsid w:val="00A82E6D"/>
    <w:rsid w:val="00A867AC"/>
    <w:rsid w:val="00A91B4D"/>
    <w:rsid w:val="00A923E0"/>
    <w:rsid w:val="00A92E1F"/>
    <w:rsid w:val="00A93D51"/>
    <w:rsid w:val="00A96DB0"/>
    <w:rsid w:val="00A97999"/>
    <w:rsid w:val="00A97A09"/>
    <w:rsid w:val="00A97C83"/>
    <w:rsid w:val="00AA0CA4"/>
    <w:rsid w:val="00AA2363"/>
    <w:rsid w:val="00AA2764"/>
    <w:rsid w:val="00AA6F86"/>
    <w:rsid w:val="00AC15ED"/>
    <w:rsid w:val="00AC2912"/>
    <w:rsid w:val="00AC41B1"/>
    <w:rsid w:val="00AC4250"/>
    <w:rsid w:val="00AC5425"/>
    <w:rsid w:val="00AC6A5F"/>
    <w:rsid w:val="00AD1CF1"/>
    <w:rsid w:val="00AD3301"/>
    <w:rsid w:val="00AD340B"/>
    <w:rsid w:val="00AD6B9E"/>
    <w:rsid w:val="00AD708C"/>
    <w:rsid w:val="00AD71DC"/>
    <w:rsid w:val="00AE0FEC"/>
    <w:rsid w:val="00AF06F1"/>
    <w:rsid w:val="00AF42F7"/>
    <w:rsid w:val="00AF762D"/>
    <w:rsid w:val="00AF7BC5"/>
    <w:rsid w:val="00B0249C"/>
    <w:rsid w:val="00B03520"/>
    <w:rsid w:val="00B04694"/>
    <w:rsid w:val="00B10343"/>
    <w:rsid w:val="00B20588"/>
    <w:rsid w:val="00B33C50"/>
    <w:rsid w:val="00B33D4C"/>
    <w:rsid w:val="00B40ABE"/>
    <w:rsid w:val="00B40E79"/>
    <w:rsid w:val="00B46836"/>
    <w:rsid w:val="00B47FDF"/>
    <w:rsid w:val="00B614BC"/>
    <w:rsid w:val="00B62D7C"/>
    <w:rsid w:val="00B65132"/>
    <w:rsid w:val="00B65328"/>
    <w:rsid w:val="00B66476"/>
    <w:rsid w:val="00B82C4E"/>
    <w:rsid w:val="00B86C6B"/>
    <w:rsid w:val="00B94306"/>
    <w:rsid w:val="00B96A94"/>
    <w:rsid w:val="00B97E47"/>
    <w:rsid w:val="00B97EA3"/>
    <w:rsid w:val="00BA276A"/>
    <w:rsid w:val="00BA43AC"/>
    <w:rsid w:val="00BC0F12"/>
    <w:rsid w:val="00BC1DDE"/>
    <w:rsid w:val="00BC2AB9"/>
    <w:rsid w:val="00BD0237"/>
    <w:rsid w:val="00BD108E"/>
    <w:rsid w:val="00BD1935"/>
    <w:rsid w:val="00BD670D"/>
    <w:rsid w:val="00BD6DB6"/>
    <w:rsid w:val="00BE09A6"/>
    <w:rsid w:val="00BE3397"/>
    <w:rsid w:val="00BE45F4"/>
    <w:rsid w:val="00BE4932"/>
    <w:rsid w:val="00BE49C0"/>
    <w:rsid w:val="00C03ADE"/>
    <w:rsid w:val="00C07F44"/>
    <w:rsid w:val="00C12EE4"/>
    <w:rsid w:val="00C13ED3"/>
    <w:rsid w:val="00C147C9"/>
    <w:rsid w:val="00C153CF"/>
    <w:rsid w:val="00C1599E"/>
    <w:rsid w:val="00C2255B"/>
    <w:rsid w:val="00C23275"/>
    <w:rsid w:val="00C27BF2"/>
    <w:rsid w:val="00C30E42"/>
    <w:rsid w:val="00C32D04"/>
    <w:rsid w:val="00C35EA2"/>
    <w:rsid w:val="00C36C7A"/>
    <w:rsid w:val="00C36FE1"/>
    <w:rsid w:val="00C42CED"/>
    <w:rsid w:val="00C4639C"/>
    <w:rsid w:val="00C51FAF"/>
    <w:rsid w:val="00C52E09"/>
    <w:rsid w:val="00C552FE"/>
    <w:rsid w:val="00C5597B"/>
    <w:rsid w:val="00C56B5A"/>
    <w:rsid w:val="00C633F8"/>
    <w:rsid w:val="00C7791A"/>
    <w:rsid w:val="00C83B61"/>
    <w:rsid w:val="00C85495"/>
    <w:rsid w:val="00C8580C"/>
    <w:rsid w:val="00C85F46"/>
    <w:rsid w:val="00C92A7D"/>
    <w:rsid w:val="00C95014"/>
    <w:rsid w:val="00C9635F"/>
    <w:rsid w:val="00CA1F58"/>
    <w:rsid w:val="00CA2ED7"/>
    <w:rsid w:val="00CA6977"/>
    <w:rsid w:val="00CB3D90"/>
    <w:rsid w:val="00CB4956"/>
    <w:rsid w:val="00CB50AA"/>
    <w:rsid w:val="00CB7DFD"/>
    <w:rsid w:val="00CC0B3D"/>
    <w:rsid w:val="00CC3A72"/>
    <w:rsid w:val="00CC568A"/>
    <w:rsid w:val="00CD2387"/>
    <w:rsid w:val="00CD30E5"/>
    <w:rsid w:val="00CD3ED5"/>
    <w:rsid w:val="00CD48A5"/>
    <w:rsid w:val="00CE1A61"/>
    <w:rsid w:val="00CE3B45"/>
    <w:rsid w:val="00CE3E62"/>
    <w:rsid w:val="00CE6BD8"/>
    <w:rsid w:val="00CF0511"/>
    <w:rsid w:val="00CF1C8F"/>
    <w:rsid w:val="00CF30AD"/>
    <w:rsid w:val="00CF7978"/>
    <w:rsid w:val="00D01290"/>
    <w:rsid w:val="00D028C5"/>
    <w:rsid w:val="00D052B8"/>
    <w:rsid w:val="00D1159F"/>
    <w:rsid w:val="00D11B16"/>
    <w:rsid w:val="00D174B6"/>
    <w:rsid w:val="00D2173F"/>
    <w:rsid w:val="00D229F5"/>
    <w:rsid w:val="00D25631"/>
    <w:rsid w:val="00D31210"/>
    <w:rsid w:val="00D3138D"/>
    <w:rsid w:val="00D3139D"/>
    <w:rsid w:val="00D31AD4"/>
    <w:rsid w:val="00D368A4"/>
    <w:rsid w:val="00D407ED"/>
    <w:rsid w:val="00D4573B"/>
    <w:rsid w:val="00D50318"/>
    <w:rsid w:val="00D567C6"/>
    <w:rsid w:val="00D56E6E"/>
    <w:rsid w:val="00D603FB"/>
    <w:rsid w:val="00D65AB3"/>
    <w:rsid w:val="00D67EC3"/>
    <w:rsid w:val="00D713A6"/>
    <w:rsid w:val="00D721AB"/>
    <w:rsid w:val="00D729A6"/>
    <w:rsid w:val="00D80230"/>
    <w:rsid w:val="00D8480D"/>
    <w:rsid w:val="00D84824"/>
    <w:rsid w:val="00D869E7"/>
    <w:rsid w:val="00D86E1B"/>
    <w:rsid w:val="00D93DF1"/>
    <w:rsid w:val="00D96CBC"/>
    <w:rsid w:val="00DA02FD"/>
    <w:rsid w:val="00DA6319"/>
    <w:rsid w:val="00DB2DC4"/>
    <w:rsid w:val="00DC1AF9"/>
    <w:rsid w:val="00DC294A"/>
    <w:rsid w:val="00DC4033"/>
    <w:rsid w:val="00DD6052"/>
    <w:rsid w:val="00DE381C"/>
    <w:rsid w:val="00DE593D"/>
    <w:rsid w:val="00DF168A"/>
    <w:rsid w:val="00DF36DB"/>
    <w:rsid w:val="00DF3BEB"/>
    <w:rsid w:val="00DF4CE3"/>
    <w:rsid w:val="00E03658"/>
    <w:rsid w:val="00E0624C"/>
    <w:rsid w:val="00E072A5"/>
    <w:rsid w:val="00E107CC"/>
    <w:rsid w:val="00E13CCF"/>
    <w:rsid w:val="00E167A8"/>
    <w:rsid w:val="00E168C6"/>
    <w:rsid w:val="00E275FA"/>
    <w:rsid w:val="00E27B15"/>
    <w:rsid w:val="00E33D12"/>
    <w:rsid w:val="00E3687E"/>
    <w:rsid w:val="00E37DF8"/>
    <w:rsid w:val="00E440A8"/>
    <w:rsid w:val="00E46AF0"/>
    <w:rsid w:val="00E46D82"/>
    <w:rsid w:val="00E576F4"/>
    <w:rsid w:val="00E65160"/>
    <w:rsid w:val="00E6663C"/>
    <w:rsid w:val="00E74FBC"/>
    <w:rsid w:val="00E75BCC"/>
    <w:rsid w:val="00E76130"/>
    <w:rsid w:val="00E900C5"/>
    <w:rsid w:val="00E91232"/>
    <w:rsid w:val="00E92166"/>
    <w:rsid w:val="00E953FC"/>
    <w:rsid w:val="00EB4C38"/>
    <w:rsid w:val="00EB5508"/>
    <w:rsid w:val="00EB6578"/>
    <w:rsid w:val="00EC1AB4"/>
    <w:rsid w:val="00EC4A08"/>
    <w:rsid w:val="00EC4BCF"/>
    <w:rsid w:val="00EC50CF"/>
    <w:rsid w:val="00EC5EE4"/>
    <w:rsid w:val="00EC6427"/>
    <w:rsid w:val="00EC7B25"/>
    <w:rsid w:val="00ED019B"/>
    <w:rsid w:val="00ED289B"/>
    <w:rsid w:val="00ED37E9"/>
    <w:rsid w:val="00ED5573"/>
    <w:rsid w:val="00ED6EFC"/>
    <w:rsid w:val="00EE1D67"/>
    <w:rsid w:val="00EE2322"/>
    <w:rsid w:val="00EE40D1"/>
    <w:rsid w:val="00EE4554"/>
    <w:rsid w:val="00EE56F9"/>
    <w:rsid w:val="00EE68DF"/>
    <w:rsid w:val="00EF1308"/>
    <w:rsid w:val="00EF5CE3"/>
    <w:rsid w:val="00F0435D"/>
    <w:rsid w:val="00F06A8A"/>
    <w:rsid w:val="00F06B4D"/>
    <w:rsid w:val="00F101D2"/>
    <w:rsid w:val="00F102EA"/>
    <w:rsid w:val="00F23152"/>
    <w:rsid w:val="00F23FA8"/>
    <w:rsid w:val="00F3116D"/>
    <w:rsid w:val="00F329D5"/>
    <w:rsid w:val="00F370B4"/>
    <w:rsid w:val="00F41AC1"/>
    <w:rsid w:val="00F44580"/>
    <w:rsid w:val="00F51203"/>
    <w:rsid w:val="00F5525F"/>
    <w:rsid w:val="00F65EB5"/>
    <w:rsid w:val="00F660EA"/>
    <w:rsid w:val="00F6691E"/>
    <w:rsid w:val="00F673E5"/>
    <w:rsid w:val="00F70910"/>
    <w:rsid w:val="00F716B5"/>
    <w:rsid w:val="00F80269"/>
    <w:rsid w:val="00F8179D"/>
    <w:rsid w:val="00F83363"/>
    <w:rsid w:val="00F847C4"/>
    <w:rsid w:val="00F8793E"/>
    <w:rsid w:val="00F91373"/>
    <w:rsid w:val="00F961BD"/>
    <w:rsid w:val="00F97A9B"/>
    <w:rsid w:val="00FA1850"/>
    <w:rsid w:val="00FA1943"/>
    <w:rsid w:val="00FA2BAB"/>
    <w:rsid w:val="00FA3AB4"/>
    <w:rsid w:val="00FA43CA"/>
    <w:rsid w:val="00FA4460"/>
    <w:rsid w:val="00FA5877"/>
    <w:rsid w:val="00FB2216"/>
    <w:rsid w:val="00FC0E2A"/>
    <w:rsid w:val="00FC70FB"/>
    <w:rsid w:val="00FC7246"/>
    <w:rsid w:val="00FD3802"/>
    <w:rsid w:val="00FD680A"/>
    <w:rsid w:val="00FE1E01"/>
    <w:rsid w:val="00FF02CE"/>
    <w:rsid w:val="00FF5D30"/>
    <w:rsid w:val="00FF5DAF"/>
    <w:rsid w:val="00FF6B7D"/>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960"/>
    <w:pPr>
      <w:suppressAutoHyphens/>
    </w:pPr>
    <w:rPr>
      <w:sz w:val="24"/>
      <w:lang w:val="fr-FR"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350960"/>
  </w:style>
  <w:style w:type="table" w:default="1" w:styleId="TableNormal">
    <w:name w:val="Normal Table"/>
    <w:semiHidden/>
    <w:rsid w:val="00350960"/>
    <w:tblPr>
      <w:tblInd w:w="0" w:type="dxa"/>
      <w:tblCellMar>
        <w:top w:w="0" w:type="dxa"/>
        <w:left w:w="108" w:type="dxa"/>
        <w:bottom w:w="0" w:type="dxa"/>
        <w:right w:w="108" w:type="dxa"/>
      </w:tblCellMar>
    </w:tblPr>
  </w:style>
  <w:style w:type="numbering" w:default="1" w:styleId="NoList">
    <w:name w:val="No List"/>
    <w:semiHidden/>
    <w:rsid w:val="00350960"/>
  </w:style>
  <w:style w:type="paragraph" w:customStyle="1" w:styleId="OpiHA">
    <w:name w:val="Opi_H_A"/>
    <w:basedOn w:val="JuHIRoman"/>
    <w:next w:val="OpiPara"/>
    <w:rsid w:val="00A53F42"/>
    <w:pPr>
      <w:tabs>
        <w:tab w:val="clear" w:pos="357"/>
      </w:tabs>
    </w:pPr>
    <w:rPr>
      <w:b/>
    </w:rPr>
  </w:style>
  <w:style w:type="paragraph" w:customStyle="1" w:styleId="JuHIRoman">
    <w:name w:val="Ju_H_I_Roman"/>
    <w:basedOn w:val="JuHHead"/>
    <w:next w:val="JuPara"/>
    <w:link w:val="JuHIRomanChar"/>
    <w:rsid w:val="004219F0"/>
    <w:pPr>
      <w:tabs>
        <w:tab w:val="left" w:pos="357"/>
      </w:tabs>
      <w:spacing w:before="360"/>
      <w:ind w:left="357" w:hanging="357"/>
      <w:outlineLvl w:val="1"/>
    </w:pPr>
    <w:rPr>
      <w:sz w:val="24"/>
    </w:rPr>
  </w:style>
  <w:style w:type="paragraph" w:customStyle="1" w:styleId="JuHHead">
    <w:name w:val="Ju_H_Head"/>
    <w:basedOn w:val="NormalTimesNewRoman"/>
    <w:next w:val="JuPara"/>
    <w:rsid w:val="004219F0"/>
    <w:pPr>
      <w:keepNext/>
      <w:keepLines/>
      <w:spacing w:before="720" w:after="240"/>
      <w:jc w:val="both"/>
      <w:outlineLvl w:val="0"/>
    </w:pPr>
    <w:rPr>
      <w:sz w:val="28"/>
    </w:rPr>
  </w:style>
  <w:style w:type="character" w:customStyle="1" w:styleId="DefaultTimesNewRoman">
    <w:name w:val="Default_TimesNewRoman"/>
    <w:rsid w:val="004219F0"/>
    <w:rPr>
      <w:rFonts w:ascii="Times New Roman" w:hAnsi="Times New Roman" w:cs="Times New Roman"/>
    </w:rPr>
  </w:style>
  <w:style w:type="paragraph" w:customStyle="1" w:styleId="JuPara">
    <w:name w:val="Ju_Para"/>
    <w:aliases w:val="Left,First line:  0 cm"/>
    <w:basedOn w:val="NormalTimesNewRoman"/>
    <w:link w:val="JuParaCar"/>
    <w:rsid w:val="004219F0"/>
    <w:pPr>
      <w:ind w:firstLine="284"/>
      <w:jc w:val="both"/>
    </w:pPr>
  </w:style>
  <w:style w:type="character" w:customStyle="1" w:styleId="JuParaCar">
    <w:name w:val="Ju_Para Car"/>
    <w:link w:val="JuPara"/>
    <w:rsid w:val="009D29DE"/>
    <w:rPr>
      <w:sz w:val="24"/>
      <w:lang w:val="fr-FR" w:eastAsia="fr-FR" w:bidi="ar-SA"/>
    </w:rPr>
  </w:style>
  <w:style w:type="character" w:customStyle="1" w:styleId="JuHIRomanChar">
    <w:name w:val="Ju_H_I_Roman Char"/>
    <w:link w:val="JuHIRoman"/>
    <w:rsid w:val="00D31210"/>
    <w:rPr>
      <w:sz w:val="24"/>
      <w:lang w:val="fr-FR" w:eastAsia="fr-FR" w:bidi="ar-SA"/>
    </w:rPr>
  </w:style>
  <w:style w:type="paragraph" w:customStyle="1" w:styleId="OpiPara">
    <w:name w:val="Opi_Para"/>
    <w:basedOn w:val="JuPara"/>
    <w:rsid w:val="00A53F42"/>
  </w:style>
  <w:style w:type="paragraph" w:customStyle="1" w:styleId="OpiH1">
    <w:name w:val="Opi_H_1."/>
    <w:basedOn w:val="OpiHA"/>
    <w:next w:val="OpiPara"/>
    <w:rsid w:val="00A53F42"/>
    <w:pPr>
      <w:spacing w:before="240" w:after="120"/>
      <w:ind w:left="635"/>
      <w:outlineLvl w:val="2"/>
    </w:pPr>
    <w:rPr>
      <w:b w:val="0"/>
      <w:i/>
    </w:rPr>
  </w:style>
  <w:style w:type="paragraph" w:customStyle="1" w:styleId="OpiHa0">
    <w:name w:val="Opi_H_a"/>
    <w:basedOn w:val="OpiH1"/>
    <w:next w:val="OpiPara"/>
    <w:rsid w:val="00A53F42"/>
    <w:pPr>
      <w:ind w:left="833"/>
      <w:outlineLvl w:val="3"/>
    </w:pPr>
    <w:rPr>
      <w:b/>
      <w:i w:val="0"/>
      <w:sz w:val="20"/>
    </w:rPr>
  </w:style>
  <w:style w:type="paragraph" w:customStyle="1" w:styleId="OpiHHead">
    <w:name w:val="Opi_H_Head"/>
    <w:basedOn w:val="JuHHead"/>
    <w:next w:val="OpiPara"/>
    <w:rsid w:val="00A53F42"/>
    <w:pPr>
      <w:spacing w:before="0"/>
      <w:jc w:val="center"/>
    </w:pPr>
  </w:style>
  <w:style w:type="paragraph" w:customStyle="1" w:styleId="OpiHi">
    <w:name w:val="Opi_H_i"/>
    <w:basedOn w:val="OpiHa0"/>
    <w:next w:val="OpiPara"/>
    <w:rsid w:val="00A53F42"/>
    <w:pPr>
      <w:ind w:left="1037"/>
      <w:outlineLvl w:val="4"/>
    </w:pPr>
    <w:rPr>
      <w:b w:val="0"/>
      <w:i/>
    </w:rPr>
  </w:style>
  <w:style w:type="paragraph" w:styleId="Footer">
    <w:name w:val="footer"/>
    <w:basedOn w:val="Normal"/>
    <w:rsid w:val="004219F0"/>
    <w:pPr>
      <w:tabs>
        <w:tab w:val="center" w:pos="3686"/>
        <w:tab w:val="right" w:pos="7371"/>
      </w:tabs>
    </w:pPr>
    <w:rPr>
      <w:sz w:val="18"/>
    </w:rPr>
  </w:style>
  <w:style w:type="paragraph" w:customStyle="1" w:styleId="JuJudges">
    <w:name w:val="Ju_Judges"/>
    <w:basedOn w:val="NormalTimesNewRoman"/>
    <w:link w:val="JuJudgesChar"/>
    <w:rsid w:val="004219F0"/>
    <w:pPr>
      <w:tabs>
        <w:tab w:val="left" w:pos="567"/>
        <w:tab w:val="left" w:pos="1134"/>
      </w:tabs>
    </w:pPr>
  </w:style>
  <w:style w:type="character" w:customStyle="1" w:styleId="JuJudgesChar">
    <w:name w:val="Ju_Judges Char"/>
    <w:link w:val="JuJudges"/>
    <w:rsid w:val="00287191"/>
    <w:rPr>
      <w:sz w:val="24"/>
      <w:lang w:val="fr-FR" w:eastAsia="fr-FR" w:bidi="ar-SA"/>
    </w:rPr>
  </w:style>
  <w:style w:type="character" w:styleId="Strong">
    <w:name w:val="Strong"/>
    <w:qFormat/>
    <w:rsid w:val="00973C75"/>
    <w:rPr>
      <w:b/>
      <w:bCs/>
    </w:rPr>
  </w:style>
  <w:style w:type="paragraph" w:customStyle="1" w:styleId="JuHA">
    <w:name w:val="Ju_H_A"/>
    <w:basedOn w:val="JuHIRoman"/>
    <w:next w:val="JuPara"/>
    <w:rsid w:val="004219F0"/>
    <w:pPr>
      <w:tabs>
        <w:tab w:val="clear" w:pos="357"/>
        <w:tab w:val="left" w:pos="584"/>
      </w:tabs>
      <w:ind w:left="584" w:hanging="352"/>
      <w:outlineLvl w:val="2"/>
    </w:pPr>
    <w:rPr>
      <w:b/>
    </w:rPr>
  </w:style>
  <w:style w:type="paragraph" w:customStyle="1" w:styleId="JuQuot">
    <w:name w:val="Ju_Quot"/>
    <w:basedOn w:val="JuPara"/>
    <w:rsid w:val="004219F0"/>
    <w:pPr>
      <w:spacing w:before="120" w:after="120"/>
      <w:ind w:left="425" w:firstLine="142"/>
    </w:pPr>
    <w:rPr>
      <w:sz w:val="20"/>
    </w:rPr>
  </w:style>
  <w:style w:type="paragraph" w:customStyle="1" w:styleId="JuSigned">
    <w:name w:val="Ju_Signed"/>
    <w:basedOn w:val="NormalTimesNewRoman"/>
    <w:next w:val="JuParaLast"/>
    <w:rsid w:val="004219F0"/>
    <w:pPr>
      <w:tabs>
        <w:tab w:val="center" w:pos="851"/>
        <w:tab w:val="center" w:pos="6407"/>
      </w:tabs>
      <w:spacing w:before="720"/>
    </w:pPr>
  </w:style>
  <w:style w:type="paragraph" w:customStyle="1" w:styleId="JuParaLast">
    <w:name w:val="Ju_Para_Last"/>
    <w:basedOn w:val="JuPara"/>
    <w:next w:val="JuPara"/>
    <w:rsid w:val="004219F0"/>
    <w:pPr>
      <w:keepNext/>
      <w:keepLines/>
      <w:spacing w:before="240"/>
    </w:pPr>
  </w:style>
  <w:style w:type="paragraph" w:customStyle="1" w:styleId="JuCase">
    <w:name w:val="Ju_Case"/>
    <w:basedOn w:val="JuPara"/>
    <w:next w:val="JuPara"/>
    <w:rsid w:val="004219F0"/>
    <w:rPr>
      <w:b/>
    </w:rPr>
  </w:style>
  <w:style w:type="paragraph" w:customStyle="1" w:styleId="JuList">
    <w:name w:val="Ju_List"/>
    <w:basedOn w:val="JuPara"/>
    <w:rsid w:val="004219F0"/>
    <w:pPr>
      <w:ind w:left="340" w:hanging="340"/>
    </w:pPr>
  </w:style>
  <w:style w:type="paragraph" w:customStyle="1" w:styleId="JuHArticle">
    <w:name w:val="Ju_H_Article"/>
    <w:basedOn w:val="JuHa0"/>
    <w:next w:val="JuQuot"/>
    <w:rsid w:val="004219F0"/>
    <w:pPr>
      <w:ind w:left="0" w:firstLine="0"/>
      <w:jc w:val="center"/>
    </w:pPr>
  </w:style>
  <w:style w:type="paragraph" w:customStyle="1" w:styleId="JuHa0">
    <w:name w:val="Ju_H_a"/>
    <w:basedOn w:val="JuH1"/>
    <w:next w:val="JuPara"/>
    <w:rsid w:val="004219F0"/>
    <w:pPr>
      <w:tabs>
        <w:tab w:val="clear" w:pos="731"/>
        <w:tab w:val="left" w:pos="975"/>
      </w:tabs>
      <w:ind w:left="975" w:hanging="340"/>
      <w:outlineLvl w:val="4"/>
    </w:pPr>
    <w:rPr>
      <w:b/>
      <w:i w:val="0"/>
      <w:sz w:val="20"/>
    </w:rPr>
  </w:style>
  <w:style w:type="paragraph" w:customStyle="1" w:styleId="JuH1">
    <w:name w:val="Ju_H_1."/>
    <w:basedOn w:val="JuHA"/>
    <w:next w:val="JuPara"/>
    <w:rsid w:val="004219F0"/>
    <w:pPr>
      <w:tabs>
        <w:tab w:val="clear" w:pos="584"/>
        <w:tab w:val="left" w:pos="731"/>
      </w:tabs>
      <w:spacing w:before="240" w:after="120"/>
      <w:ind w:left="732" w:hanging="301"/>
      <w:outlineLvl w:val="3"/>
    </w:pPr>
    <w:rPr>
      <w:b w:val="0"/>
      <w:i/>
    </w:rPr>
  </w:style>
  <w:style w:type="paragraph" w:customStyle="1" w:styleId="JuCourt">
    <w:name w:val="Ju_Court"/>
    <w:basedOn w:val="JuJudges"/>
    <w:rsid w:val="004219F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53F42"/>
  </w:style>
  <w:style w:type="paragraph" w:customStyle="1" w:styleId="OpiTranslation">
    <w:name w:val="Opi_Translation"/>
    <w:basedOn w:val="OpiHHead"/>
    <w:next w:val="OpiPara"/>
    <w:rsid w:val="00A53F42"/>
    <w:rPr>
      <w:i/>
      <w:sz w:val="24"/>
    </w:rPr>
  </w:style>
  <w:style w:type="paragraph" w:styleId="FootnoteText">
    <w:name w:val="footnote text"/>
    <w:basedOn w:val="Normal"/>
    <w:semiHidden/>
    <w:rsid w:val="004219F0"/>
    <w:pPr>
      <w:jc w:val="both"/>
    </w:pPr>
    <w:rPr>
      <w:sz w:val="20"/>
    </w:rPr>
  </w:style>
  <w:style w:type="character" w:styleId="FootnoteReference">
    <w:name w:val="footnote reference"/>
    <w:semiHidden/>
    <w:rsid w:val="004219F0"/>
    <w:rPr>
      <w:rFonts w:ascii="Times New Roman" w:hAnsi="Times New Roman" w:cs="Times New Roman"/>
      <w:vertAlign w:val="superscript"/>
    </w:rPr>
  </w:style>
  <w:style w:type="paragraph" w:customStyle="1" w:styleId="JuHi">
    <w:name w:val="Ju_H_i"/>
    <w:basedOn w:val="JuHa0"/>
    <w:next w:val="JuPara"/>
    <w:rsid w:val="004219F0"/>
    <w:pPr>
      <w:tabs>
        <w:tab w:val="clear" w:pos="975"/>
        <w:tab w:val="left" w:pos="1191"/>
      </w:tabs>
      <w:ind w:left="1190" w:hanging="357"/>
      <w:outlineLvl w:val="5"/>
    </w:pPr>
    <w:rPr>
      <w:b w:val="0"/>
      <w:i/>
    </w:rPr>
  </w:style>
  <w:style w:type="paragraph" w:styleId="Header">
    <w:name w:val="header"/>
    <w:basedOn w:val="Normal"/>
    <w:rsid w:val="004219F0"/>
    <w:pPr>
      <w:tabs>
        <w:tab w:val="center" w:pos="3686"/>
        <w:tab w:val="right" w:pos="7371"/>
      </w:tabs>
    </w:pPr>
    <w:rPr>
      <w:sz w:val="18"/>
    </w:rPr>
  </w:style>
  <w:style w:type="character" w:styleId="PageNumber">
    <w:name w:val="page number"/>
    <w:rsid w:val="004219F0"/>
    <w:rPr>
      <w:rFonts w:ascii="Times New Roman" w:hAnsi="Times New Roman" w:cs="Times New Roman"/>
      <w:sz w:val="18"/>
    </w:rPr>
  </w:style>
  <w:style w:type="paragraph" w:customStyle="1" w:styleId="JuH">
    <w:name w:val="Ju_H_–"/>
    <w:basedOn w:val="JuHalpha"/>
    <w:next w:val="JuPara"/>
    <w:rsid w:val="004219F0"/>
    <w:pPr>
      <w:tabs>
        <w:tab w:val="clear" w:pos="1372"/>
      </w:tabs>
      <w:ind w:left="1236" w:firstLine="0"/>
    </w:pPr>
    <w:rPr>
      <w:i/>
    </w:rPr>
  </w:style>
  <w:style w:type="paragraph" w:customStyle="1" w:styleId="JuHalpha">
    <w:name w:val="Ju_H_alpha"/>
    <w:basedOn w:val="JuHi"/>
    <w:next w:val="JuPara"/>
    <w:rsid w:val="004219F0"/>
    <w:pPr>
      <w:tabs>
        <w:tab w:val="clear" w:pos="1191"/>
        <w:tab w:val="left" w:pos="1372"/>
      </w:tabs>
      <w:ind w:left="1373" w:hanging="335"/>
      <w:outlineLvl w:val="9"/>
    </w:pPr>
    <w:rPr>
      <w:i w:val="0"/>
    </w:rPr>
  </w:style>
  <w:style w:type="paragraph" w:customStyle="1" w:styleId="JuLista">
    <w:name w:val="Ju_List_a"/>
    <w:basedOn w:val="JuList"/>
    <w:rsid w:val="004219F0"/>
    <w:pPr>
      <w:ind w:left="346" w:firstLine="0"/>
    </w:pPr>
  </w:style>
  <w:style w:type="paragraph" w:customStyle="1" w:styleId="JuListi">
    <w:name w:val="Ju_List_i"/>
    <w:basedOn w:val="JuLista"/>
    <w:rsid w:val="004219F0"/>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4219F0"/>
    <w:pPr>
      <w:tabs>
        <w:tab w:val="clear" w:pos="851"/>
      </w:tabs>
      <w:jc w:val="right"/>
    </w:pPr>
  </w:style>
  <w:style w:type="paragraph" w:customStyle="1" w:styleId="JuHeader">
    <w:name w:val="Ju_Header"/>
    <w:basedOn w:val="Header"/>
    <w:rsid w:val="004219F0"/>
  </w:style>
  <w:style w:type="paragraph" w:customStyle="1" w:styleId="DecHTitle">
    <w:name w:val="Dec_H_Title"/>
    <w:basedOn w:val="Normal"/>
    <w:rsid w:val="00184E3A"/>
    <w:pPr>
      <w:spacing w:after="240"/>
      <w:jc w:val="center"/>
      <w:outlineLvl w:val="0"/>
    </w:pPr>
    <w:rPr>
      <w:sz w:val="28"/>
    </w:rPr>
  </w:style>
  <w:style w:type="paragraph" w:customStyle="1" w:styleId="DecHCase">
    <w:name w:val="Dec_H_Case"/>
    <w:basedOn w:val="DecHTitle"/>
    <w:next w:val="JuPara"/>
    <w:rsid w:val="00A53F42"/>
    <w:rPr>
      <w:sz w:val="24"/>
    </w:rPr>
  </w:style>
  <w:style w:type="paragraph" w:customStyle="1" w:styleId="DecList">
    <w:name w:val="Dec_List"/>
    <w:basedOn w:val="Normal"/>
    <w:rsid w:val="00184E3A"/>
    <w:pPr>
      <w:spacing w:before="240"/>
      <w:ind w:left="284"/>
      <w:jc w:val="both"/>
    </w:pPr>
  </w:style>
  <w:style w:type="paragraph" w:customStyle="1" w:styleId="SuCoverTitle1">
    <w:name w:val="Su_Cover_Title1"/>
    <w:basedOn w:val="Normal"/>
    <w:next w:val="SuCoverTitle2"/>
    <w:rsid w:val="00184E3A"/>
    <w:pPr>
      <w:spacing w:before="2500"/>
      <w:jc w:val="center"/>
    </w:pPr>
    <w:rPr>
      <w:sz w:val="22"/>
    </w:rPr>
  </w:style>
  <w:style w:type="paragraph" w:customStyle="1" w:styleId="SuCoverTitle2">
    <w:name w:val="Su_Cover_Title2"/>
    <w:basedOn w:val="SuCoverTitle1"/>
    <w:next w:val="Normal"/>
    <w:rsid w:val="00387F24"/>
    <w:pPr>
      <w:spacing w:before="240"/>
    </w:pPr>
    <w:rPr>
      <w:sz w:val="18"/>
    </w:rPr>
  </w:style>
  <w:style w:type="paragraph" w:customStyle="1" w:styleId="JuQuotSub">
    <w:name w:val="Ju_Quot_Sub"/>
    <w:basedOn w:val="JuQuot"/>
    <w:rsid w:val="004219F0"/>
    <w:pPr>
      <w:ind w:left="567"/>
    </w:pPr>
  </w:style>
  <w:style w:type="paragraph" w:customStyle="1" w:styleId="JuParaSub">
    <w:name w:val="Ju_Para_Sub"/>
    <w:basedOn w:val="JuPara"/>
    <w:rsid w:val="004219F0"/>
    <w:pPr>
      <w:ind w:left="284"/>
    </w:pPr>
  </w:style>
  <w:style w:type="paragraph" w:customStyle="1" w:styleId="SuPara">
    <w:name w:val="Su_Para"/>
    <w:basedOn w:val="SuKeywords"/>
    <w:rsid w:val="00387F24"/>
    <w:pPr>
      <w:spacing w:before="0" w:after="0"/>
    </w:pPr>
    <w:rPr>
      <w:i w:val="0"/>
    </w:rPr>
  </w:style>
  <w:style w:type="paragraph" w:customStyle="1" w:styleId="SuKeywords">
    <w:name w:val="Su_Keywords"/>
    <w:basedOn w:val="SuHHead"/>
    <w:rsid w:val="00387F24"/>
    <w:pPr>
      <w:spacing w:before="120"/>
    </w:pPr>
    <w:rPr>
      <w:b w:val="0"/>
      <w:i/>
    </w:rPr>
  </w:style>
  <w:style w:type="paragraph" w:customStyle="1" w:styleId="SuHHead">
    <w:name w:val="Su_H_Head"/>
    <w:basedOn w:val="SuSubject"/>
    <w:rsid w:val="00387F24"/>
    <w:pPr>
      <w:spacing w:after="120"/>
    </w:pPr>
  </w:style>
  <w:style w:type="paragraph" w:customStyle="1" w:styleId="SuSubject">
    <w:name w:val="Su_Subject"/>
    <w:basedOn w:val="SuSummary"/>
    <w:rsid w:val="00387F24"/>
    <w:pPr>
      <w:suppressAutoHyphens w:val="0"/>
      <w:spacing w:before="360"/>
      <w:jc w:val="both"/>
    </w:pPr>
    <w:rPr>
      <w:b/>
      <w:sz w:val="22"/>
      <w:lang w:val="en-GB"/>
    </w:rPr>
  </w:style>
  <w:style w:type="paragraph" w:customStyle="1" w:styleId="SuSummary">
    <w:name w:val="Su_Summary"/>
    <w:basedOn w:val="Normal"/>
    <w:next w:val="SuSubject"/>
    <w:rsid w:val="00184E3A"/>
    <w:pPr>
      <w:spacing w:after="240"/>
      <w:jc w:val="center"/>
    </w:pPr>
  </w:style>
  <w:style w:type="paragraph" w:styleId="BalloonText">
    <w:name w:val="Balloon Text"/>
    <w:basedOn w:val="Normal"/>
    <w:semiHidden/>
    <w:rsid w:val="00EC6427"/>
    <w:rPr>
      <w:rFonts w:ascii="Tahoma" w:hAnsi="Tahoma" w:cs="Tahoma"/>
      <w:sz w:val="16"/>
      <w:szCs w:val="16"/>
    </w:rPr>
  </w:style>
  <w:style w:type="character" w:styleId="Hyperlink">
    <w:name w:val="Hyperlink"/>
    <w:rsid w:val="004219F0"/>
    <w:rPr>
      <w:rFonts w:ascii="Times New Roman" w:hAnsi="Times New Roman" w:cs="Times New Roman"/>
      <w:color w:val="0000FF"/>
      <w:u w:val="single"/>
    </w:rPr>
  </w:style>
  <w:style w:type="character" w:styleId="EndnoteReference">
    <w:name w:val="endnote reference"/>
    <w:semiHidden/>
    <w:rsid w:val="004219F0"/>
    <w:rPr>
      <w:rFonts w:ascii="Times New Roman" w:hAnsi="Times New Roman" w:cs="Times New Roman"/>
      <w:vertAlign w:val="superscript"/>
    </w:rPr>
  </w:style>
  <w:style w:type="paragraph" w:styleId="EndnoteText">
    <w:name w:val="endnote text"/>
    <w:basedOn w:val="Normal"/>
    <w:semiHidden/>
    <w:rsid w:val="004219F0"/>
    <w:rPr>
      <w:sz w:val="20"/>
    </w:rPr>
  </w:style>
  <w:style w:type="character" w:styleId="FollowedHyperlink">
    <w:name w:val="FollowedHyperlink"/>
    <w:rsid w:val="004219F0"/>
    <w:rPr>
      <w:rFonts w:ascii="Times New Roman" w:hAnsi="Times New Roman" w:cs="Times New Roman"/>
      <w:color w:val="800080"/>
      <w:u w:val="single"/>
    </w:rPr>
  </w:style>
  <w:style w:type="paragraph" w:customStyle="1" w:styleId="JuAppQuestion">
    <w:name w:val="Ju_App_Question"/>
    <w:basedOn w:val="ListBullet"/>
    <w:rsid w:val="004219F0"/>
    <w:pPr>
      <w:numPr>
        <w:numId w:val="4"/>
      </w:numPr>
      <w:suppressAutoHyphens w:val="0"/>
    </w:pPr>
    <w:rPr>
      <w:b/>
      <w:color w:val="333333"/>
      <w:lang w:val="en-GB"/>
    </w:rPr>
  </w:style>
  <w:style w:type="paragraph" w:styleId="ListBullet">
    <w:name w:val="List Bullet"/>
    <w:basedOn w:val="Normal"/>
    <w:rsid w:val="00387F24"/>
    <w:pPr>
      <w:numPr>
        <w:numId w:val="1"/>
      </w:numPr>
    </w:pPr>
  </w:style>
  <w:style w:type="character" w:customStyle="1" w:styleId="JuNames">
    <w:name w:val="Ju_Names"/>
    <w:rsid w:val="004219F0"/>
    <w:rPr>
      <w:rFonts w:ascii="Times New Roman" w:hAnsi="Times New Roman" w:cs="Times New Roman"/>
      <w:smallCaps/>
    </w:rPr>
  </w:style>
  <w:style w:type="paragraph" w:customStyle="1" w:styleId="OpiParaSub">
    <w:name w:val="Opi_Para_Sub"/>
    <w:basedOn w:val="JuParaSub"/>
    <w:rsid w:val="00A53F42"/>
  </w:style>
  <w:style w:type="paragraph" w:customStyle="1" w:styleId="OpiQuotSub">
    <w:name w:val="Opi_Quot_Sub"/>
    <w:basedOn w:val="JuQuotSub"/>
    <w:rsid w:val="00A53F42"/>
  </w:style>
  <w:style w:type="paragraph" w:styleId="CommentSubject">
    <w:name w:val="annotation subject"/>
    <w:basedOn w:val="CommentText"/>
    <w:next w:val="CommentText"/>
    <w:semiHidden/>
    <w:rsid w:val="00E27B15"/>
    <w:rPr>
      <w:b/>
      <w:bCs/>
    </w:rPr>
  </w:style>
  <w:style w:type="paragraph" w:styleId="DocumentMap">
    <w:name w:val="Document Map"/>
    <w:basedOn w:val="Normal"/>
    <w:semiHidden/>
    <w:rsid w:val="00B33C50"/>
    <w:pPr>
      <w:shd w:val="clear" w:color="auto" w:fill="000080"/>
    </w:pPr>
    <w:rPr>
      <w:rFonts w:ascii="Tahoma" w:hAnsi="Tahoma" w:cs="Tahoma"/>
      <w:sz w:val="20"/>
    </w:rPr>
  </w:style>
  <w:style w:type="paragraph" w:customStyle="1" w:styleId="NormalTimesNewRoman">
    <w:name w:val="Normal_TimesNewRoman"/>
    <w:rsid w:val="004219F0"/>
    <w:rPr>
      <w:sz w:val="24"/>
      <w:lang w:val="fr-FR" w:eastAsia="fr-FR"/>
    </w:rPr>
  </w:style>
  <w:style w:type="character" w:customStyle="1" w:styleId="JuITMark">
    <w:name w:val="Ju_ITMark"/>
    <w:rsid w:val="004219F0"/>
    <w:rPr>
      <w:rFonts w:ascii="Times New Roman" w:hAnsi="Times New Roman" w:cs="Times New Roman"/>
      <w:vanish/>
      <w:color w:val="339966"/>
      <w:sz w:val="16"/>
      <w:szCs w:val="16"/>
      <w:lang w:val="fi-FI"/>
    </w:rPr>
  </w:style>
  <w:style w:type="paragraph" w:customStyle="1" w:styleId="JuTitle">
    <w:name w:val="Ju_Title"/>
    <w:basedOn w:val="JuHHead"/>
    <w:next w:val="JuPara"/>
    <w:rsid w:val="004219F0"/>
    <w:pPr>
      <w:jc w:val="center"/>
    </w:pPr>
    <w:rPr>
      <w:b/>
      <w:caps/>
      <w:sz w:val="24"/>
      <w:szCs w:val="24"/>
      <w:u w:val="single"/>
    </w:rPr>
  </w:style>
  <w:style w:type="character" w:customStyle="1" w:styleId="JuParaChar">
    <w:name w:val="Ju_Para Char"/>
    <w:locked/>
    <w:rsid w:val="00C27BF2"/>
    <w:rPr>
      <w:sz w:val="24"/>
      <w:lang w:val="en-GB" w:eastAsia="fr-FR" w:bidi="ar-SA"/>
    </w:rPr>
  </w:style>
  <w:style w:type="character" w:customStyle="1" w:styleId="sb8d990e2">
    <w:name w:val="sb8d990e2"/>
    <w:basedOn w:val="DefaultParagraphFont"/>
    <w:rsid w:val="001E4AEA"/>
  </w:style>
  <w:style w:type="character" w:customStyle="1" w:styleId="sea881cdf">
    <w:name w:val="sea881cdf"/>
    <w:basedOn w:val="DefaultParagraphFont"/>
    <w:rsid w:val="001E4AEA"/>
  </w:style>
  <w:style w:type="character" w:customStyle="1" w:styleId="s6b621b36">
    <w:name w:val="s6b621b36"/>
    <w:basedOn w:val="DefaultParagraphFont"/>
    <w:rsid w:val="001E4AEA"/>
  </w:style>
  <w:style w:type="paragraph" w:customStyle="1" w:styleId="Default">
    <w:name w:val="Default"/>
    <w:rsid w:val="00D31AD4"/>
    <w:pPr>
      <w:autoSpaceDE w:val="0"/>
      <w:autoSpaceDN w:val="0"/>
      <w:adjustRightInd w:val="0"/>
    </w:pPr>
    <w:rPr>
      <w:color w:val="000000"/>
      <w:sz w:val="24"/>
      <w:szCs w:val="24"/>
      <w:lang w:val="en-GB" w:eastAsia="en-GB"/>
    </w:rPr>
  </w:style>
  <w:style w:type="paragraph" w:customStyle="1" w:styleId="s30eec3f8">
    <w:name w:val="s30eec3f8"/>
    <w:basedOn w:val="Normal"/>
    <w:rsid w:val="00B10343"/>
    <w:pPr>
      <w:suppressAutoHyphens w:val="0"/>
      <w:spacing w:before="100" w:beforeAutospacing="1" w:after="100" w:afterAutospacing="1"/>
    </w:pPr>
    <w:rPr>
      <w:szCs w:val="24"/>
      <w:lang w:val="en-GB" w:eastAsia="en-GB"/>
    </w:rPr>
  </w:style>
  <w:style w:type="paragraph" w:customStyle="1" w:styleId="jupara0">
    <w:name w:val="jupara"/>
    <w:basedOn w:val="Normal"/>
    <w:rsid w:val="003A309B"/>
    <w:pPr>
      <w:suppressAutoHyphens w:val="0"/>
      <w:ind w:firstLine="284"/>
      <w:jc w:val="both"/>
    </w:pPr>
    <w:rPr>
      <w:szCs w:val="24"/>
      <w:lang w:val="en-GB" w:eastAsia="en-GB"/>
    </w:rPr>
  </w:style>
  <w:style w:type="paragraph" w:customStyle="1" w:styleId="jucase0">
    <w:name w:val="jucase"/>
    <w:basedOn w:val="Normal"/>
    <w:rsid w:val="003A309B"/>
    <w:pPr>
      <w:suppressAutoHyphens w:val="0"/>
      <w:ind w:firstLine="284"/>
      <w:jc w:val="both"/>
    </w:pPr>
    <w:rPr>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99293">
      <w:bodyDiv w:val="1"/>
      <w:marLeft w:val="0"/>
      <w:marRight w:val="0"/>
      <w:marTop w:val="0"/>
      <w:marBottom w:val="0"/>
      <w:divBdr>
        <w:top w:val="none" w:sz="0" w:space="0" w:color="auto"/>
        <w:left w:val="none" w:sz="0" w:space="0" w:color="auto"/>
        <w:bottom w:val="none" w:sz="0" w:space="0" w:color="auto"/>
        <w:right w:val="none" w:sz="0" w:space="0" w:color="auto"/>
      </w:divBdr>
    </w:div>
    <w:div w:id="1473673765">
      <w:bodyDiv w:val="1"/>
      <w:marLeft w:val="0"/>
      <w:marRight w:val="0"/>
      <w:marTop w:val="0"/>
      <w:marBottom w:val="0"/>
      <w:divBdr>
        <w:top w:val="none" w:sz="0" w:space="0" w:color="auto"/>
        <w:left w:val="none" w:sz="0" w:space="0" w:color="auto"/>
        <w:bottom w:val="none" w:sz="0" w:space="0" w:color="auto"/>
        <w:right w:val="none" w:sz="0" w:space="0" w:color="auto"/>
      </w:divBdr>
      <w:divsChild>
        <w:div w:id="1087922829">
          <w:marLeft w:val="0"/>
          <w:marRight w:val="0"/>
          <w:marTop w:val="0"/>
          <w:marBottom w:val="0"/>
          <w:divBdr>
            <w:top w:val="none" w:sz="0" w:space="0" w:color="auto"/>
            <w:left w:val="none" w:sz="0" w:space="0" w:color="auto"/>
            <w:bottom w:val="none" w:sz="0" w:space="0" w:color="auto"/>
            <w:right w:val="none" w:sz="0" w:space="0" w:color="auto"/>
          </w:divBdr>
          <w:divsChild>
            <w:div w:id="1292904486">
              <w:marLeft w:val="0"/>
              <w:marRight w:val="0"/>
              <w:marTop w:val="0"/>
              <w:marBottom w:val="0"/>
              <w:divBdr>
                <w:top w:val="none" w:sz="0" w:space="0" w:color="auto"/>
                <w:left w:val="none" w:sz="0" w:space="0" w:color="auto"/>
                <w:bottom w:val="none" w:sz="0" w:space="0" w:color="auto"/>
                <w:right w:val="none" w:sz="0" w:space="0" w:color="auto"/>
              </w:divBdr>
              <w:divsChild>
                <w:div w:id="583733608">
                  <w:marLeft w:val="0"/>
                  <w:marRight w:val="0"/>
                  <w:marTop w:val="0"/>
                  <w:marBottom w:val="0"/>
                  <w:divBdr>
                    <w:top w:val="none" w:sz="0" w:space="0" w:color="auto"/>
                    <w:left w:val="none" w:sz="0" w:space="0" w:color="auto"/>
                    <w:bottom w:val="none" w:sz="0" w:space="0" w:color="auto"/>
                    <w:right w:val="none" w:sz="0" w:space="0" w:color="auto"/>
                  </w:divBdr>
                  <w:divsChild>
                    <w:div w:id="1480728896">
                      <w:marLeft w:val="0"/>
                      <w:marRight w:val="0"/>
                      <w:marTop w:val="0"/>
                      <w:marBottom w:val="0"/>
                      <w:divBdr>
                        <w:top w:val="none" w:sz="0" w:space="0" w:color="auto"/>
                        <w:left w:val="none" w:sz="0" w:space="0" w:color="auto"/>
                        <w:bottom w:val="none" w:sz="0" w:space="0" w:color="auto"/>
                        <w:right w:val="none" w:sz="0" w:space="0" w:color="auto"/>
                      </w:divBdr>
                      <w:divsChild>
                        <w:div w:id="1851680564">
                          <w:marLeft w:val="0"/>
                          <w:marRight w:val="0"/>
                          <w:marTop w:val="0"/>
                          <w:marBottom w:val="0"/>
                          <w:divBdr>
                            <w:top w:val="none" w:sz="0" w:space="0" w:color="auto"/>
                            <w:left w:val="none" w:sz="0" w:space="0" w:color="auto"/>
                            <w:bottom w:val="none" w:sz="0" w:space="0" w:color="auto"/>
                            <w:right w:val="none" w:sz="0" w:space="0" w:color="auto"/>
                          </w:divBdr>
                          <w:divsChild>
                            <w:div w:id="11127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eader" Target="header3.xml"/><Relationship Id="rId18" Type="http://schemas.openxmlformats.org/officeDocument/2006/relationships/hyperlink" Target="http://www.coe.int/humanrightstrustfun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e.int/humanrightstrustfun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ublishing@echr.coe.int"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hudoc.echr.coe.int" TargetMode="External"/><Relationship Id="rId20" Type="http://schemas.openxmlformats.org/officeDocument/2006/relationships/hyperlink" Target="mailto:publishing@echr.coe.int"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oe.int/humanrightstrustfund" TargetMode="External"/><Relationship Id="rId23" Type="http://schemas.openxmlformats.org/officeDocument/2006/relationships/hyperlink" Target="mailto:publishing@echr.coe.int" TargetMode="External"/><Relationship Id="rId28" Type="http://schemas.openxmlformats.org/officeDocument/2006/relationships/customXml" Target="../customXml/item2.xml"/><Relationship Id="rId10" Type="http://schemas.openxmlformats.org/officeDocument/2006/relationships/hyperlink" Target="http://www.coe.int/humanrightstrustfund" TargetMode="External"/><Relationship Id="rId19" Type="http://schemas.openxmlformats.org/officeDocument/2006/relationships/hyperlink" Target="http://hudoc.echr.coe.int" TargetMode="External"/><Relationship Id="rId4" Type="http://schemas.openxmlformats.org/officeDocument/2006/relationships/settings" Target="settings.xml"/><Relationship Id="rId9" Type="http://schemas.openxmlformats.org/officeDocument/2006/relationships/hyperlink" Target="http://www.coe.int/humanrightstrustfund" TargetMode="External"/><Relationship Id="rId14" Type="http://schemas.openxmlformats.org/officeDocument/2006/relationships/footer" Target="footer1.xml"/><Relationship Id="rId22" Type="http://schemas.openxmlformats.org/officeDocument/2006/relationships/hyperlink" Target="http://hundoc.echre.coe.int"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0B927-C7F1-45F8-881A-66FDF1EC0F83}">
  <ds:schemaRefs>
    <ds:schemaRef ds:uri="http://schemas.openxmlformats.org/officeDocument/2006/bibliography"/>
  </ds:schemaRefs>
</ds:datastoreItem>
</file>

<file path=customXml/itemProps2.xml><?xml version="1.0" encoding="utf-8"?>
<ds:datastoreItem xmlns:ds="http://schemas.openxmlformats.org/officeDocument/2006/customXml" ds:itemID="{D675B7CA-A23E-4597-AD6B-EE7106D7DF2E}"/>
</file>

<file path=customXml/itemProps3.xml><?xml version="1.0" encoding="utf-8"?>
<ds:datastoreItem xmlns:ds="http://schemas.openxmlformats.org/officeDocument/2006/customXml" ds:itemID="{2E9A595E-BBF7-4084-A058-DDC8D3F033D9}"/>
</file>

<file path=customXml/itemProps4.xml><?xml version="1.0" encoding="utf-8"?>
<ds:datastoreItem xmlns:ds="http://schemas.openxmlformats.org/officeDocument/2006/customXml" ds:itemID="{D26BD326-E071-4BE7-9F12-F7C6785CEC7B}"/>
</file>

<file path=docProps/app.xml><?xml version="1.0" encoding="utf-8"?>
<Properties xmlns="http://schemas.openxmlformats.org/officeDocument/2006/extended-properties" xmlns:vt="http://schemas.openxmlformats.org/officeDocument/2006/docPropsVTypes">
  <Template>Normal.dotm</Template>
  <TotalTime>0</TotalTime>
  <Pages>1</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38795</CharactersWithSpaces>
  <SharedDoc>false</SharedDoc>
  <HLinks>
    <vt:vector size="72" baseType="variant">
      <vt:variant>
        <vt:i4>5570594</vt:i4>
      </vt:variant>
      <vt:variant>
        <vt:i4>216</vt:i4>
      </vt:variant>
      <vt:variant>
        <vt:i4>0</vt:i4>
      </vt:variant>
      <vt:variant>
        <vt:i4>5</vt:i4>
      </vt:variant>
      <vt:variant>
        <vt:lpwstr>mailto:publishing@echr.coe.int</vt:lpwstr>
      </vt:variant>
      <vt:variant>
        <vt:lpwstr/>
      </vt:variant>
      <vt:variant>
        <vt:i4>5439496</vt:i4>
      </vt:variant>
      <vt:variant>
        <vt:i4>213</vt:i4>
      </vt:variant>
      <vt:variant>
        <vt:i4>0</vt:i4>
      </vt:variant>
      <vt:variant>
        <vt:i4>5</vt:i4>
      </vt:variant>
      <vt:variant>
        <vt:lpwstr>http://hundoc.echre.coe.int/</vt:lpwstr>
      </vt:variant>
      <vt:variant>
        <vt:lpwstr/>
      </vt:variant>
      <vt:variant>
        <vt:i4>2097189</vt:i4>
      </vt:variant>
      <vt:variant>
        <vt:i4>210</vt:i4>
      </vt:variant>
      <vt:variant>
        <vt:i4>0</vt:i4>
      </vt:variant>
      <vt:variant>
        <vt:i4>5</vt:i4>
      </vt:variant>
      <vt:variant>
        <vt:lpwstr>http://www.coe.int/humanrightstrustfund</vt:lpwstr>
      </vt:variant>
      <vt:variant>
        <vt:lpwstr/>
      </vt:variant>
      <vt:variant>
        <vt:i4>5570594</vt:i4>
      </vt:variant>
      <vt:variant>
        <vt:i4>207</vt:i4>
      </vt:variant>
      <vt:variant>
        <vt:i4>0</vt:i4>
      </vt:variant>
      <vt:variant>
        <vt:i4>5</vt:i4>
      </vt:variant>
      <vt:variant>
        <vt:lpwstr>mailto:publishing@echr.coe.int</vt:lpwstr>
      </vt:variant>
      <vt:variant>
        <vt:lpwstr/>
      </vt:variant>
      <vt:variant>
        <vt:i4>6750263</vt:i4>
      </vt:variant>
      <vt:variant>
        <vt:i4>204</vt:i4>
      </vt:variant>
      <vt:variant>
        <vt:i4>0</vt:i4>
      </vt:variant>
      <vt:variant>
        <vt:i4>5</vt:i4>
      </vt:variant>
      <vt:variant>
        <vt:lpwstr>http://hudoc.echr.coe.int/</vt:lpwstr>
      </vt:variant>
      <vt:variant>
        <vt:lpwstr/>
      </vt:variant>
      <vt:variant>
        <vt:i4>2097189</vt:i4>
      </vt:variant>
      <vt:variant>
        <vt:i4>201</vt:i4>
      </vt:variant>
      <vt:variant>
        <vt:i4>0</vt:i4>
      </vt:variant>
      <vt:variant>
        <vt:i4>5</vt:i4>
      </vt:variant>
      <vt:variant>
        <vt:lpwstr>http://www.coe.int/humanrightstrustfund</vt:lpwstr>
      </vt:variant>
      <vt:variant>
        <vt:lpwstr/>
      </vt:variant>
      <vt:variant>
        <vt:i4>5570594</vt:i4>
      </vt:variant>
      <vt:variant>
        <vt:i4>198</vt:i4>
      </vt:variant>
      <vt:variant>
        <vt:i4>0</vt:i4>
      </vt:variant>
      <vt:variant>
        <vt:i4>5</vt:i4>
      </vt:variant>
      <vt:variant>
        <vt:lpwstr>mailto:publishing@echr.coe.int</vt:lpwstr>
      </vt:variant>
      <vt:variant>
        <vt:lpwstr/>
      </vt:variant>
      <vt:variant>
        <vt:i4>6750263</vt:i4>
      </vt:variant>
      <vt:variant>
        <vt:i4>195</vt:i4>
      </vt:variant>
      <vt:variant>
        <vt:i4>0</vt:i4>
      </vt:variant>
      <vt:variant>
        <vt:i4>5</vt:i4>
      </vt:variant>
      <vt:variant>
        <vt:lpwstr>http://hudoc.echr.coe.int/</vt:lpwstr>
      </vt:variant>
      <vt:variant>
        <vt:lpwstr/>
      </vt:variant>
      <vt:variant>
        <vt:i4>2097189</vt:i4>
      </vt:variant>
      <vt:variant>
        <vt:i4>192</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cp:lastModifiedBy/>
  <cp:revision>1</cp:revision>
  <cp:lastPrinted>2013-01-11T10:49:00Z</cp:lastPrinted>
  <dcterms:created xsi:type="dcterms:W3CDTF">2021-11-25T13:47:00Z</dcterms:created>
  <dcterms:modified xsi:type="dcterms:W3CDTF">2021-11-25T13:47:00Z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