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6.0 -->
  <w:body>
    <w:p w:rsidRPr="0084546D" w:rsidR="0084546D" w:rsidP="0084546D">
      <w:pPr>
        <w:pStyle w:val="s746c8714"/>
        <w:spacing w:before="0" w:beforeAutospacing="0" w:after="120" w:afterAutospacing="0"/>
        <w:jc w:val="both"/>
        <w:rPr>
          <w:rStyle w:val="s4f807e54"/>
          <w:rFonts w:ascii="Arial" w:hAnsi="Arial" w:cs="Arial"/>
          <w:sz w:val="20"/>
          <w:szCs w:val="20"/>
        </w:rPr>
      </w:pPr>
      <w:bookmarkStart w:name="_GoBack" w:id="0"/>
      <w:bookmarkEnd w:id="0"/>
    </w:p>
    <w:p w:rsidRPr="0084546D" w:rsidR="003F625E" w:rsidP="0084546D">
      <w:pPr>
        <w:pStyle w:val="s746c8714"/>
        <w:spacing w:before="0" w:beforeAutospacing="0" w:after="120" w:afterAutospacing="0"/>
        <w:jc w:val="center"/>
        <w:rPr>
          <w:rFonts w:ascii="Arial" w:hAnsi="Arial" w:cs="Arial"/>
          <w:sz w:val="18"/>
          <w:szCs w:val="18"/>
        </w:rPr>
      </w:pPr>
      <w:r w:rsidRPr="0084546D">
        <w:rPr>
          <w:rStyle w:val="s4f807e54"/>
          <w:rFonts w:ascii="Arial" w:hAnsi="Arial" w:cs="Arial"/>
          <w:sz w:val="18"/>
          <w:szCs w:val="18"/>
        </w:rPr>
        <w:t xml:space="preserve">© </w:t>
      </w:r>
      <w:r w:rsidRPr="0084546D">
        <w:rPr>
          <w:rStyle w:val="s4f807e54"/>
          <w:rFonts w:ascii="Arial" w:hAnsi="Arial" w:eastAsia="MS Mincho" w:cs="Arial"/>
          <w:sz w:val="18"/>
          <w:szCs w:val="18"/>
        </w:rPr>
        <w:t>Ministerstwo Spraw Zagranicznych</w:t>
      </w:r>
      <w:r w:rsidRPr="0084546D">
        <w:rPr>
          <w:rStyle w:val="s4f807e54"/>
          <w:rFonts w:ascii="Arial" w:hAnsi="Arial" w:cs="Arial"/>
          <w:sz w:val="18"/>
          <w:szCs w:val="18"/>
        </w:rPr>
        <w:t xml:space="preserve">, </w:t>
      </w:r>
      <w:hyperlink w:history="1" r:id="rId7">
        <w:r w:rsidRPr="0084546D">
          <w:rPr>
            <w:rStyle w:val="Hyperlink"/>
            <w:rFonts w:ascii="Arial" w:hAnsi="Arial" w:cs="Arial"/>
            <w:sz w:val="18"/>
            <w:szCs w:val="18"/>
          </w:rPr>
          <w:t>www.gov.pl/diplomacy</w:t>
        </w:r>
      </w:hyperlink>
      <w:r w:rsidRPr="0084546D" w:rsidR="0084546D">
        <w:rPr>
          <w:rStyle w:val="Hyperlink"/>
          <w:rFonts w:ascii="Arial" w:hAnsi="Arial" w:cs="Arial"/>
          <w:sz w:val="18"/>
          <w:szCs w:val="18"/>
        </w:rPr>
        <w:t>.</w:t>
      </w:r>
      <w:r w:rsidRPr="0084546D">
        <w:rPr>
          <w:rStyle w:val="s4f807e54"/>
          <w:rFonts w:ascii="Arial" w:hAnsi="Arial" w:eastAsia="MS Mincho" w:cs="Arial"/>
          <w:sz w:val="18"/>
          <w:szCs w:val="18"/>
        </w:rPr>
        <w:t xml:space="preserve"> </w:t>
      </w:r>
      <w:r w:rsidRPr="0084546D">
        <w:rPr>
          <w:rStyle w:val="s4f807e54"/>
          <w:rFonts w:ascii="Arial" w:hAnsi="Arial" w:cs="Arial"/>
          <w:sz w:val="18"/>
          <w:szCs w:val="18"/>
          <w:lang w:val="en-US"/>
        </w:rPr>
        <w:t xml:space="preserve">Permission to re-publish this translation has been granted by the Polish </w:t>
      </w:r>
      <w:r w:rsidRPr="0084546D">
        <w:rPr>
          <w:rStyle w:val="s4f807e54"/>
          <w:rFonts w:ascii="Arial" w:hAnsi="Arial" w:eastAsia="MS Mincho" w:cs="Arial"/>
          <w:sz w:val="18"/>
          <w:szCs w:val="18"/>
          <w:lang w:val="en-US"/>
        </w:rPr>
        <w:t xml:space="preserve">Ministry of Foreign Affairs </w:t>
      </w:r>
      <w:r w:rsidRPr="0084546D">
        <w:rPr>
          <w:rStyle w:val="s4f807e54"/>
          <w:rFonts w:ascii="Arial" w:hAnsi="Arial" w:cs="Arial"/>
          <w:sz w:val="18"/>
          <w:szCs w:val="18"/>
          <w:lang w:val="en-US"/>
        </w:rPr>
        <w:t>for the sole purpose of its inclusion in the Court</w:t>
      </w:r>
      <w:r w:rsidRPr="0084546D" w:rsidR="0084546D">
        <w:rPr>
          <w:rStyle w:val="s4f807e54"/>
          <w:rFonts w:ascii="Arial" w:hAnsi="Arial" w:cs="Arial"/>
          <w:sz w:val="18"/>
          <w:szCs w:val="18"/>
          <w:lang w:val="en-US"/>
        </w:rPr>
        <w:t>’</w:t>
      </w:r>
      <w:r w:rsidRPr="0084546D">
        <w:rPr>
          <w:rStyle w:val="s4f807e54"/>
          <w:rFonts w:ascii="Arial" w:hAnsi="Arial" w:cs="Arial"/>
          <w:sz w:val="18"/>
          <w:szCs w:val="18"/>
          <w:lang w:val="en-US"/>
        </w:rPr>
        <w:t>s database HUDOC</w:t>
      </w:r>
    </w:p>
    <w:p w:rsidRPr="0084546D" w:rsidR="00B93314" w:rsidP="0084546D">
      <w:pPr>
        <w:pStyle w:val="s6e50bd9a"/>
        <w:spacing w:after="120" w:afterAutospacing="0"/>
        <w:jc w:val="center"/>
        <w:rPr>
          <w:rFonts w:ascii="Arial" w:hAnsi="Arial" w:cs="Arial"/>
          <w:sz w:val="18"/>
          <w:szCs w:val="18"/>
        </w:rPr>
      </w:pPr>
      <w:r w:rsidRPr="0084546D">
        <w:rPr>
          <w:rStyle w:val="s4f807e54"/>
          <w:rFonts w:ascii="Arial" w:hAnsi="Arial" w:cs="Arial"/>
          <w:color w:val="000000"/>
          <w:sz w:val="18"/>
          <w:szCs w:val="18"/>
        </w:rPr>
        <w:t>©</w:t>
      </w:r>
      <w:r w:rsidRPr="0084546D">
        <w:rPr>
          <w:rStyle w:val="s4f807e54"/>
          <w:rFonts w:ascii="Arial" w:hAnsi="Arial" w:cs="Arial"/>
          <w:color w:val="1F497D"/>
          <w:sz w:val="18"/>
          <w:szCs w:val="18"/>
        </w:rPr>
        <w:t xml:space="preserve"> </w:t>
      </w:r>
      <w:r w:rsidRPr="0084546D">
        <w:rPr>
          <w:rStyle w:val="s4f807e54"/>
          <w:rFonts w:ascii="Arial" w:hAnsi="Arial" w:eastAsia="MS Mincho" w:cs="Arial"/>
          <w:sz w:val="18"/>
          <w:szCs w:val="18"/>
        </w:rPr>
        <w:t xml:space="preserve">Ministerstwo Spraw Zagranicznych, </w:t>
      </w:r>
      <w:hyperlink w:history="1" r:id="rId8">
        <w:r w:rsidRPr="0084546D">
          <w:rPr>
            <w:rStyle w:val="Hyperlink"/>
            <w:rFonts w:ascii="Arial" w:hAnsi="Arial" w:eastAsia="MS Mincho" w:cs="Arial"/>
            <w:sz w:val="18"/>
            <w:szCs w:val="18"/>
          </w:rPr>
          <w:t>www.gov.pl/dyplomacja</w:t>
        </w:r>
      </w:hyperlink>
      <w:r w:rsidRPr="0084546D" w:rsidR="0084546D">
        <w:rPr>
          <w:rStyle w:val="Hyperlink"/>
          <w:rFonts w:ascii="Arial" w:hAnsi="Arial" w:eastAsia="MS Mincho" w:cs="Arial"/>
          <w:sz w:val="18"/>
          <w:szCs w:val="18"/>
        </w:rPr>
        <w:t>.</w:t>
      </w:r>
      <w:r w:rsidRPr="0084546D">
        <w:rPr>
          <w:rStyle w:val="s4f807e54"/>
          <w:rFonts w:ascii="Arial" w:hAnsi="Arial" w:eastAsia="MS Mincho" w:cs="Arial"/>
          <w:sz w:val="18"/>
          <w:szCs w:val="18"/>
        </w:rPr>
        <w:t xml:space="preserve"> </w:t>
      </w:r>
      <w:r w:rsidRPr="0084546D">
        <w:rPr>
          <w:rStyle w:val="s4f807e54"/>
          <w:rFonts w:ascii="Arial" w:hAnsi="Arial" w:cs="Arial"/>
          <w:color w:val="000000"/>
          <w:sz w:val="18"/>
          <w:szCs w:val="18"/>
        </w:rPr>
        <w:t xml:space="preserve">Zezwolenie na publikację tego tłumaczenia zostało udzielone przez </w:t>
      </w:r>
      <w:r w:rsidRPr="0084546D">
        <w:rPr>
          <w:rStyle w:val="s4f807e54"/>
          <w:rFonts w:ascii="Arial" w:hAnsi="Arial" w:eastAsia="MS Mincho" w:cs="Arial"/>
          <w:sz w:val="18"/>
          <w:szCs w:val="18"/>
        </w:rPr>
        <w:t>Ministerstwo Spraw Zagranicznych</w:t>
      </w:r>
      <w:r w:rsidRPr="0084546D">
        <w:rPr>
          <w:rStyle w:val="s4f807e54"/>
          <w:rFonts w:ascii="Arial" w:hAnsi="Arial" w:cs="Arial"/>
          <w:color w:val="000000"/>
          <w:sz w:val="18"/>
          <w:szCs w:val="18"/>
        </w:rPr>
        <w:t xml:space="preserve"> wyłącznie w celu zamieszczenia w bazie Trybunału HUDOC</w:t>
      </w:r>
    </w:p>
    <w:p w:rsidRPr="0084546D" w:rsidR="00B93314" w:rsidP="0084546D">
      <w:pPr>
        <w:pStyle w:val="ClinEditionNumber"/>
        <w:jc w:val="center"/>
        <w:rPr>
          <w:lang w:val="pl-PL"/>
        </w:rPr>
      </w:pPr>
      <w:r w:rsidRPr="0084546D">
        <w:rPr>
          <w:lang w:val="pl-PL"/>
        </w:rPr>
        <w:t>EUROPEJSKI TRYBUNAŁ PRAW CZŁOWIEKA</w:t>
      </w:r>
    </w:p>
    <w:p w:rsidRPr="0084546D" w:rsidR="000C0A9E" w:rsidP="0084546D">
      <w:pPr>
        <w:pStyle w:val="ClinEditionNumber"/>
        <w:rPr>
          <w:lang w:val="pl-PL"/>
        </w:rPr>
      </w:pPr>
      <w:r w:rsidRPr="0084546D">
        <w:rPr>
          <w:lang w:val="pl-PL"/>
        </w:rPr>
        <w:t xml:space="preserve">Nota informacyjna nt. orzecznictwa Trybunału nr </w:t>
      </w:r>
      <w:r w:rsidRPr="0084546D" w:rsidR="00E34FE8">
        <w:rPr>
          <w:lang w:val="pl-PL"/>
        </w:rPr>
        <w:t>219</w:t>
      </w:r>
    </w:p>
    <w:p w:rsidRPr="0084546D" w:rsidR="000C0A9E" w:rsidP="0084546D">
      <w:pPr>
        <w:pStyle w:val="ClinEditionMonth"/>
        <w:rPr>
          <w:lang w:val="pl-PL"/>
        </w:rPr>
      </w:pPr>
      <w:r w:rsidRPr="0084546D">
        <w:rPr>
          <w:lang w:val="pl-PL"/>
        </w:rPr>
        <w:t>Cz</w:t>
      </w:r>
      <w:r w:rsidRPr="0084546D" w:rsidR="00E34FE8">
        <w:rPr>
          <w:lang w:val="pl-PL"/>
        </w:rPr>
        <w:t>e</w:t>
      </w:r>
      <w:r w:rsidRPr="0084546D">
        <w:rPr>
          <w:lang w:val="pl-PL"/>
        </w:rPr>
        <w:t>rwiec</w:t>
      </w:r>
      <w:r w:rsidRPr="0084546D" w:rsidR="00E34FE8">
        <w:rPr>
          <w:lang w:val="pl-PL"/>
        </w:rPr>
        <w:t xml:space="preserve"> 2018</w:t>
      </w:r>
      <w:r w:rsidRPr="0084546D">
        <w:rPr>
          <w:lang w:val="pl-PL"/>
        </w:rPr>
        <w:t xml:space="preserve"> r.</w:t>
      </w:r>
    </w:p>
    <w:p w:rsidRPr="0084546D" w:rsidR="000C0A9E" w:rsidP="0084546D">
      <w:pPr>
        <w:rPr>
          <w:lang w:val="pl-PL"/>
        </w:rPr>
      </w:pPr>
      <w:r w:rsidRPr="0084546D">
        <w:rPr>
          <w:rStyle w:val="ClinCaseTitle"/>
          <w:lang w:val="pl-PL"/>
        </w:rPr>
        <w:t>O</w:t>
      </w:r>
      <w:r w:rsidRPr="0084546D" w:rsidR="0084546D">
        <w:rPr>
          <w:rStyle w:val="ClinCaseTitle"/>
          <w:lang w:val="pl-PL"/>
        </w:rPr>
        <w:t>’</w:t>
      </w:r>
      <w:r w:rsidRPr="0084546D">
        <w:rPr>
          <w:rStyle w:val="ClinCaseTitle"/>
          <w:lang w:val="pl-PL"/>
        </w:rPr>
        <w:t xml:space="preserve">Sullivan </w:t>
      </w:r>
      <w:r w:rsidRPr="0084546D">
        <w:rPr>
          <w:rStyle w:val="ClinCaseTitle"/>
          <w:lang w:val="pl-PL"/>
        </w:rPr>
        <w:t>M</w:t>
      </w:r>
      <w:r w:rsidRPr="0084546D" w:rsidR="00B754C7">
        <w:rPr>
          <w:rStyle w:val="ClinCaseTitle"/>
          <w:lang w:val="pl-PL"/>
        </w:rPr>
        <w:t>cCarthy</w:t>
      </w:r>
      <w:r w:rsidRPr="0084546D" w:rsidR="00B754C7">
        <w:rPr>
          <w:rStyle w:val="ClinCaseTitle"/>
          <w:lang w:val="pl-PL"/>
        </w:rPr>
        <w:t xml:space="preserve"> </w:t>
      </w:r>
      <w:r w:rsidRPr="0084546D" w:rsidR="00B754C7">
        <w:rPr>
          <w:rStyle w:val="ClinCaseTitle"/>
          <w:lang w:val="pl-PL"/>
        </w:rPr>
        <w:t>Mussel</w:t>
      </w:r>
      <w:r w:rsidRPr="0084546D" w:rsidR="00B754C7">
        <w:rPr>
          <w:rStyle w:val="ClinCaseTitle"/>
          <w:lang w:val="pl-PL"/>
        </w:rPr>
        <w:t xml:space="preserve"> Development </w:t>
      </w:r>
      <w:r w:rsidRPr="0084546D" w:rsidR="00B754C7">
        <w:rPr>
          <w:rStyle w:val="ClinCaseTitle"/>
          <w:lang w:val="pl-PL"/>
        </w:rPr>
        <w:t>Ltd</w:t>
      </w:r>
      <w:r w:rsidRPr="0084546D" w:rsidR="00B754C7">
        <w:rPr>
          <w:rStyle w:val="ClinCaseTitle"/>
          <w:lang w:val="pl-PL"/>
        </w:rPr>
        <w:t xml:space="preserve"> p</w:t>
      </w:r>
      <w:r w:rsidRPr="0084546D">
        <w:rPr>
          <w:rStyle w:val="ClinCaseTitle"/>
          <w:lang w:val="pl-PL"/>
        </w:rPr>
        <w:t>. Irland</w:t>
      </w:r>
      <w:r w:rsidRPr="0084546D" w:rsidR="00B754C7">
        <w:rPr>
          <w:rStyle w:val="ClinCaseTitle"/>
          <w:lang w:val="pl-PL"/>
        </w:rPr>
        <w:t>ii</w:t>
      </w:r>
      <w:r w:rsidRPr="0084546D">
        <w:rPr>
          <w:rStyle w:val="ClinApplicationNumber"/>
          <w:lang w:val="pl-PL"/>
        </w:rPr>
        <w:t xml:space="preserve"> </w:t>
      </w:r>
      <w:r w:rsidRPr="0084546D" w:rsidR="00B754C7">
        <w:rPr>
          <w:rStyle w:val="ClinApplicationNumber"/>
          <w:lang w:val="pl-PL"/>
        </w:rPr>
        <w:t>–</w:t>
      </w:r>
      <w:r w:rsidRPr="0084546D">
        <w:rPr>
          <w:rStyle w:val="ClinApplicationNumber"/>
          <w:lang w:val="pl-PL"/>
        </w:rPr>
        <w:t xml:space="preserve"> </w:t>
      </w:r>
      <w:r w:rsidRPr="0084546D" w:rsidR="00B754C7">
        <w:rPr>
          <w:rStyle w:val="ClinApplicationNumber"/>
          <w:lang w:val="pl-PL"/>
        </w:rPr>
        <w:t xml:space="preserve">skarga nr </w:t>
      </w:r>
      <w:r w:rsidRPr="0084546D">
        <w:rPr>
          <w:rStyle w:val="ClinApplicationNumber"/>
          <w:lang w:val="pl-PL"/>
        </w:rPr>
        <w:t>44460/16</w:t>
      </w:r>
    </w:p>
    <w:p w:rsidRPr="0084546D" w:rsidR="000C0A9E" w:rsidP="0084546D">
      <w:pPr>
        <w:rPr>
          <w:lang w:val="pl-PL"/>
        </w:rPr>
      </w:pPr>
      <w:r w:rsidRPr="0084546D">
        <w:rPr>
          <w:rStyle w:val="ClinHudocDocumentTitle"/>
          <w:lang w:val="pl-PL"/>
        </w:rPr>
        <w:t>Wyrok z 0</w:t>
      </w:r>
      <w:r w:rsidRPr="0084546D" w:rsidR="00E34FE8">
        <w:rPr>
          <w:rStyle w:val="ClinHudocDocumentTitle"/>
          <w:lang w:val="pl-PL"/>
        </w:rPr>
        <w:t>7.</w:t>
      </w:r>
      <w:r w:rsidRPr="0084546D">
        <w:rPr>
          <w:rStyle w:val="ClinHudocDocumentTitle"/>
          <w:lang w:val="pl-PL"/>
        </w:rPr>
        <w:t>0</w:t>
      </w:r>
      <w:r w:rsidRPr="0084546D" w:rsidR="00E34FE8">
        <w:rPr>
          <w:rStyle w:val="ClinHudocDocumentTitle"/>
          <w:lang w:val="pl-PL"/>
        </w:rPr>
        <w:t>6.2018</w:t>
      </w:r>
      <w:r w:rsidRPr="0084546D" w:rsidR="00E34FE8">
        <w:rPr>
          <w:rStyle w:val="ClinSectionName"/>
          <w:lang w:val="pl-PL"/>
        </w:rPr>
        <w:t xml:space="preserve"> </w:t>
      </w:r>
      <w:r w:rsidRPr="0084546D">
        <w:rPr>
          <w:rStyle w:val="ClinSectionName"/>
          <w:lang w:val="pl-PL"/>
        </w:rPr>
        <w:t>r</w:t>
      </w:r>
      <w:r w:rsidRPr="0084546D">
        <w:rPr>
          <w:rStyle w:val="ClinSectionName"/>
          <w:lang w:val="pl-PL"/>
        </w:rPr>
        <w:t xml:space="preserve">. </w:t>
      </w:r>
      <w:r w:rsidRPr="0084546D" w:rsidR="00E34FE8">
        <w:rPr>
          <w:rStyle w:val="ClinSectionName"/>
          <w:lang w:val="pl-PL"/>
        </w:rPr>
        <w:t>[</w:t>
      </w:r>
      <w:r w:rsidRPr="0084546D">
        <w:rPr>
          <w:rStyle w:val="ClinSectionName"/>
          <w:lang w:val="pl-PL"/>
        </w:rPr>
        <w:t>Piąta Sekcja</w:t>
      </w:r>
      <w:r w:rsidRPr="0084546D" w:rsidR="00E34FE8">
        <w:rPr>
          <w:rStyle w:val="ClinSectionName"/>
          <w:lang w:val="pl-PL"/>
        </w:rPr>
        <w:t>]</w:t>
      </w:r>
    </w:p>
    <w:p w:rsidRPr="0084546D" w:rsidR="000C0A9E" w:rsidP="0084546D">
      <w:pPr>
        <w:pStyle w:val="ClinMainKeywordCode"/>
        <w:rPr>
          <w:lang w:val="pl-PL"/>
        </w:rPr>
      </w:pPr>
      <w:r w:rsidRPr="0084546D">
        <w:rPr>
          <w:lang w:val="pl-PL"/>
        </w:rPr>
        <w:t>Art</w:t>
      </w:r>
      <w:r w:rsidRPr="0084546D" w:rsidR="00B754C7">
        <w:rPr>
          <w:lang w:val="pl-PL"/>
        </w:rPr>
        <w:t>.</w:t>
      </w:r>
      <w:r w:rsidRPr="0084546D">
        <w:rPr>
          <w:lang w:val="pl-PL"/>
        </w:rPr>
        <w:t xml:space="preserve"> 1 Proto</w:t>
      </w:r>
      <w:r w:rsidRPr="0084546D" w:rsidR="00B754C7">
        <w:rPr>
          <w:lang w:val="pl-PL"/>
        </w:rPr>
        <w:t xml:space="preserve">kołu </w:t>
      </w:r>
      <w:r w:rsidRPr="0084546D" w:rsidR="00A449E0">
        <w:rPr>
          <w:lang w:val="pl-PL"/>
        </w:rPr>
        <w:t>n</w:t>
      </w:r>
      <w:r w:rsidRPr="0084546D" w:rsidR="00B754C7">
        <w:rPr>
          <w:lang w:val="pl-PL"/>
        </w:rPr>
        <w:t>r</w:t>
      </w:r>
      <w:r w:rsidRPr="0084546D">
        <w:rPr>
          <w:lang w:val="pl-PL"/>
        </w:rPr>
        <w:t xml:space="preserve"> 1</w:t>
      </w:r>
      <w:r w:rsidRPr="0084546D" w:rsidR="006C3D05">
        <w:rPr>
          <w:lang w:val="pl-PL"/>
        </w:rPr>
        <w:t xml:space="preserve"> do Konwencji</w:t>
      </w:r>
      <w:r>
        <w:rPr>
          <w:rStyle w:val="FootnoteReference"/>
          <w:lang w:val="pl-PL"/>
        </w:rPr>
        <w:footnoteReference w:id="2"/>
      </w:r>
    </w:p>
    <w:p w:rsidRPr="0084546D" w:rsidR="000C0A9E" w:rsidP="0084546D">
      <w:pPr>
        <w:pStyle w:val="ClinChildKeywordCode"/>
        <w:rPr>
          <w:lang w:val="pl-PL"/>
        </w:rPr>
      </w:pPr>
      <w:r w:rsidRPr="0084546D">
        <w:rPr>
          <w:lang w:val="pl-PL"/>
        </w:rPr>
        <w:t>Art</w:t>
      </w:r>
      <w:r w:rsidRPr="0084546D" w:rsidR="00B754C7">
        <w:rPr>
          <w:lang w:val="pl-PL"/>
        </w:rPr>
        <w:t xml:space="preserve">. </w:t>
      </w:r>
      <w:r w:rsidRPr="0084546D">
        <w:rPr>
          <w:lang w:val="pl-PL"/>
        </w:rPr>
        <w:t xml:space="preserve">1 </w:t>
      </w:r>
      <w:r w:rsidRPr="0084546D" w:rsidR="00AF3AEF">
        <w:rPr>
          <w:lang w:val="pl-PL"/>
        </w:rPr>
        <w:t>zd</w:t>
      </w:r>
      <w:r w:rsidRPr="0084546D" w:rsidR="00AF3AEF">
        <w:rPr>
          <w:lang w:val="pl-PL"/>
        </w:rPr>
        <w:t>.</w:t>
      </w:r>
      <w:r w:rsidRPr="0084546D">
        <w:rPr>
          <w:lang w:val="pl-PL"/>
        </w:rPr>
        <w:t xml:space="preserve"> </w:t>
      </w:r>
      <w:r w:rsidRPr="0084546D" w:rsidR="00AF3AEF">
        <w:rPr>
          <w:lang w:val="pl-PL"/>
        </w:rPr>
        <w:t>3</w:t>
      </w:r>
      <w:r w:rsidRPr="0084546D">
        <w:rPr>
          <w:lang w:val="pl-PL"/>
        </w:rPr>
        <w:t xml:space="preserve"> </w:t>
      </w:r>
      <w:r w:rsidRPr="0084546D" w:rsidR="00B754C7">
        <w:rPr>
          <w:lang w:val="pl-PL"/>
        </w:rPr>
        <w:t xml:space="preserve">Protokołu </w:t>
      </w:r>
      <w:r w:rsidRPr="0084546D" w:rsidR="00A449E0">
        <w:rPr>
          <w:lang w:val="pl-PL"/>
        </w:rPr>
        <w:t>n</w:t>
      </w:r>
      <w:r w:rsidRPr="0084546D" w:rsidR="00B754C7">
        <w:rPr>
          <w:lang w:val="pl-PL"/>
        </w:rPr>
        <w:t>r 1</w:t>
      </w:r>
    </w:p>
    <w:p w:rsidRPr="0084546D" w:rsidR="0084546D" w:rsidP="0084546D">
      <w:pPr>
        <w:pStyle w:val="ClinKeyword"/>
        <w:rPr>
          <w:lang w:val="pl-PL"/>
        </w:rPr>
      </w:pPr>
      <w:r w:rsidRPr="0084546D">
        <w:rPr>
          <w:lang w:val="pl-PL"/>
        </w:rPr>
        <w:t>Uregulowanie sposobu korzystania z własności</w:t>
      </w:r>
    </w:p>
    <w:p w:rsidRPr="0084546D" w:rsidR="0046420F" w:rsidP="0084546D">
      <w:pPr>
        <w:jc w:val="both"/>
        <w:rPr>
          <w:lang w:val="pl-PL"/>
        </w:rPr>
      </w:pPr>
      <w:r w:rsidRPr="0084546D">
        <w:rPr>
          <w:rStyle w:val="ClinConclusions"/>
          <w:i w:val="0"/>
          <w:lang w:val="pl-PL"/>
        </w:rPr>
        <w:t xml:space="preserve">Tymczasowy zakaz komercyjnych połowów </w:t>
      </w:r>
      <w:r w:rsidRPr="0084546D" w:rsidR="00E3167A">
        <w:rPr>
          <w:rStyle w:val="ClinConclusions"/>
          <w:i w:val="0"/>
          <w:lang w:val="pl-PL"/>
        </w:rPr>
        <w:t>larw</w:t>
      </w:r>
      <w:r w:rsidRPr="0084546D" w:rsidR="00E74794">
        <w:rPr>
          <w:rStyle w:val="ClinConclusions"/>
          <w:i w:val="0"/>
          <w:lang w:val="pl-PL"/>
        </w:rPr>
        <w:t xml:space="preserve"> </w:t>
      </w:r>
      <w:r w:rsidRPr="0084546D" w:rsidR="00E3167A">
        <w:rPr>
          <w:rStyle w:val="ClinConclusions"/>
          <w:i w:val="0"/>
          <w:lang w:val="pl-PL"/>
        </w:rPr>
        <w:t>omułków</w:t>
      </w:r>
      <w:r w:rsidRPr="0084546D">
        <w:rPr>
          <w:rStyle w:val="ClinConclusions"/>
          <w:i w:val="0"/>
          <w:lang w:val="pl-PL"/>
        </w:rPr>
        <w:t xml:space="preserve"> w celu </w:t>
      </w:r>
      <w:r w:rsidRPr="0084546D" w:rsidR="00E3167A">
        <w:rPr>
          <w:rStyle w:val="ClinConclusions"/>
          <w:i w:val="0"/>
          <w:lang w:val="pl-PL"/>
        </w:rPr>
        <w:t>wy</w:t>
      </w:r>
      <w:r w:rsidRPr="0084546D">
        <w:rPr>
          <w:rStyle w:val="ClinConclusions"/>
          <w:i w:val="0"/>
          <w:lang w:val="pl-PL"/>
        </w:rPr>
        <w:t xml:space="preserve">pełnienia dyrektyw Unii Europejskiej: </w:t>
      </w:r>
      <w:r w:rsidRPr="0084546D">
        <w:rPr>
          <w:rStyle w:val="ClinConclusions"/>
          <w:lang w:val="pl-PL"/>
        </w:rPr>
        <w:t>brak naruszenia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i/>
          <w:lang w:val="pl-PL"/>
        </w:rPr>
        <w:t>Fakty</w:t>
      </w:r>
      <w:r w:rsidRPr="0084546D">
        <w:rPr>
          <w:lang w:val="pl-PL"/>
        </w:rPr>
        <w:t xml:space="preserve"> – Skarżąca spółka zajmuje się hodowlą </w:t>
      </w:r>
      <w:r w:rsidRPr="0084546D" w:rsidR="001C66B4">
        <w:rPr>
          <w:lang w:val="pl-PL"/>
        </w:rPr>
        <w:t>omułków</w:t>
      </w:r>
      <w:r w:rsidRPr="0084546D">
        <w:rPr>
          <w:lang w:val="pl-PL"/>
        </w:rPr>
        <w:t xml:space="preserve"> w porcie </w:t>
      </w:r>
      <w:r w:rsidRPr="0084546D">
        <w:rPr>
          <w:lang w:val="pl-PL"/>
        </w:rPr>
        <w:t>Castelmaine</w:t>
      </w:r>
      <w:r w:rsidRPr="0084546D">
        <w:rPr>
          <w:lang w:val="pl-PL"/>
        </w:rPr>
        <w:t>, uzyskując corocznie wymagane licencje i zezwolenia. Port został objęty dwiema dyrektywami UE mający</w:t>
      </w:r>
      <w:r w:rsidRPr="0084546D" w:rsidR="009F72DA">
        <w:rPr>
          <w:lang w:val="pl-PL"/>
        </w:rPr>
        <w:t xml:space="preserve">mi </w:t>
      </w:r>
      <w:r w:rsidRPr="0084546D">
        <w:rPr>
          <w:lang w:val="pl-PL"/>
        </w:rPr>
        <w:t>na celu ochronę środowiska.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>W grudniu 2007 r. Trybunał Sprawiedliwości Unii Europejskiej (TSUE) wydał wyrok w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 xml:space="preserve">sprawie </w:t>
      </w:r>
      <w:r w:rsidRPr="0084546D" w:rsidR="006E3B7E">
        <w:rPr>
          <w:i/>
          <w:lang w:val="pl-PL"/>
        </w:rPr>
        <w:t xml:space="preserve">Komisja Wspólnot Europejskich przeciwko Irlandii </w:t>
      </w:r>
      <w:r w:rsidRPr="0084546D" w:rsidR="006E3B7E">
        <w:rPr>
          <w:lang w:val="pl-PL"/>
        </w:rPr>
        <w:t>(</w:t>
      </w:r>
      <w:hyperlink w:history="1" r:id="rId9">
        <w:r w:rsidRPr="0084546D" w:rsidR="006E3B7E">
          <w:rPr>
            <w:rStyle w:val="Hyperlink"/>
            <w:lang w:val="pl-PL"/>
          </w:rPr>
          <w:t>C-418/04</w:t>
        </w:r>
      </w:hyperlink>
      <w:r>
        <w:rPr>
          <w:rStyle w:val="EndnoteReference"/>
          <w:color w:val="0069D6"/>
          <w:u w:val="single"/>
        </w:rPr>
        <w:endnoteReference w:id="2"/>
      </w:r>
      <w:r w:rsidRPr="0084546D" w:rsidR="006E3B7E">
        <w:rPr>
          <w:lang w:val="pl-PL"/>
        </w:rPr>
        <w:t>)</w:t>
      </w:r>
      <w:r w:rsidRPr="0084546D">
        <w:rPr>
          <w:lang w:val="pl-PL"/>
        </w:rPr>
        <w:t xml:space="preserve">, stwierdzając, </w:t>
      </w:r>
      <w:r w:rsidRPr="0084546D">
        <w:rPr>
          <w:lang w:val="pl-PL"/>
        </w:rPr>
        <w:t>że</w:t>
      </w:r>
      <w:r w:rsidRPr="0084546D">
        <w:rPr>
          <w:lang w:val="pl-PL"/>
        </w:rPr>
        <w:t xml:space="preserve"> Irlandia nie zrealizowała swych obowiązków wynikających ze wspomnianych dyrektyw. W świetle tego wyroku władze uznały, że </w:t>
      </w:r>
      <w:r w:rsidRPr="0084546D" w:rsidR="0004377F">
        <w:rPr>
          <w:lang w:val="pl-PL"/>
        </w:rPr>
        <w:t xml:space="preserve">z punktu widzenia </w:t>
      </w:r>
      <w:r w:rsidRPr="0084546D">
        <w:rPr>
          <w:lang w:val="pl-PL"/>
        </w:rPr>
        <w:t>praw</w:t>
      </w:r>
      <w:r w:rsidRPr="0084546D" w:rsidR="0004377F">
        <w:rPr>
          <w:lang w:val="pl-PL"/>
        </w:rPr>
        <w:t>a</w:t>
      </w:r>
      <w:r w:rsidRPr="0084546D">
        <w:rPr>
          <w:lang w:val="pl-PL"/>
        </w:rPr>
        <w:t xml:space="preserve"> nie jest możliwe zezwolenie </w:t>
      </w:r>
      <w:r w:rsidRPr="0084546D" w:rsidR="0004377F">
        <w:rPr>
          <w:lang w:val="pl-PL"/>
        </w:rPr>
        <w:t>na działalność komercyjną</w:t>
      </w:r>
      <w:r w:rsidRPr="0084546D">
        <w:rPr>
          <w:lang w:val="pl-PL"/>
        </w:rPr>
        <w:t xml:space="preserve"> w porcie </w:t>
      </w:r>
      <w:r w:rsidRPr="0084546D">
        <w:rPr>
          <w:lang w:val="pl-PL"/>
        </w:rPr>
        <w:t>Castlemaine</w:t>
      </w:r>
      <w:r w:rsidRPr="0084546D">
        <w:rPr>
          <w:lang w:val="pl-PL"/>
        </w:rPr>
        <w:t xml:space="preserve"> do czasu wykonania niezbędnych ocen</w:t>
      </w:r>
      <w:r w:rsidRPr="0084546D" w:rsidR="0004377F">
        <w:rPr>
          <w:lang w:val="pl-PL"/>
        </w:rPr>
        <w:t>.</w:t>
      </w:r>
      <w:r w:rsidRPr="0084546D">
        <w:rPr>
          <w:lang w:val="pl-PL"/>
        </w:rPr>
        <w:t xml:space="preserve"> </w:t>
      </w:r>
      <w:r w:rsidRPr="0084546D" w:rsidR="0004377F">
        <w:rPr>
          <w:lang w:val="pl-PL"/>
        </w:rPr>
        <w:t>Z</w:t>
      </w:r>
      <w:r w:rsidRPr="0084546D">
        <w:rPr>
          <w:lang w:val="pl-PL"/>
        </w:rPr>
        <w:t>akaz</w:t>
      </w:r>
      <w:r w:rsidRPr="0084546D" w:rsidR="0004377F">
        <w:rPr>
          <w:lang w:val="pl-PL"/>
        </w:rPr>
        <w:t>ały więc</w:t>
      </w:r>
      <w:r w:rsidRPr="0084546D">
        <w:rPr>
          <w:lang w:val="pl-PL"/>
        </w:rPr>
        <w:t xml:space="preserve"> połowów </w:t>
      </w:r>
      <w:r w:rsidRPr="0084546D" w:rsidR="00E3167A">
        <w:rPr>
          <w:lang w:val="pl-PL"/>
        </w:rPr>
        <w:t>larw</w:t>
      </w:r>
      <w:r w:rsidRPr="0084546D">
        <w:rPr>
          <w:lang w:val="pl-PL"/>
        </w:rPr>
        <w:t xml:space="preserve"> </w:t>
      </w:r>
      <w:r w:rsidRPr="0084546D" w:rsidR="001C66B4">
        <w:rPr>
          <w:lang w:val="pl-PL"/>
        </w:rPr>
        <w:t>omułków</w:t>
      </w:r>
      <w:r w:rsidRPr="0084546D">
        <w:rPr>
          <w:lang w:val="pl-PL"/>
        </w:rPr>
        <w:t xml:space="preserve"> od czerwca 2008 r. W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 xml:space="preserve">październiku 2008 r., w rezultacie zakończonych powodzeniem negocjacji między rządem a Komisją Europejską, skarżąca spółka mogła wznowić połowy </w:t>
      </w:r>
      <w:r w:rsidRPr="0084546D" w:rsidR="0004377F">
        <w:rPr>
          <w:lang w:val="pl-PL"/>
        </w:rPr>
        <w:t xml:space="preserve">larw </w:t>
      </w:r>
      <w:r w:rsidRPr="0084546D" w:rsidR="001C66B4">
        <w:rPr>
          <w:lang w:val="pl-PL"/>
        </w:rPr>
        <w:t>omułków</w:t>
      </w:r>
      <w:r w:rsidRPr="0084546D">
        <w:rPr>
          <w:lang w:val="pl-PL"/>
        </w:rPr>
        <w:t xml:space="preserve">, jednakże </w:t>
      </w:r>
      <w:r w:rsidRPr="0084546D" w:rsidR="00E3167A">
        <w:rPr>
          <w:lang w:val="pl-PL"/>
        </w:rPr>
        <w:t xml:space="preserve">zostały już </w:t>
      </w:r>
      <w:r w:rsidRPr="0084546D" w:rsidR="0004377F">
        <w:rPr>
          <w:lang w:val="pl-PL"/>
        </w:rPr>
        <w:t xml:space="preserve">one </w:t>
      </w:r>
      <w:r w:rsidRPr="0084546D" w:rsidR="00E3167A">
        <w:rPr>
          <w:lang w:val="pl-PL"/>
        </w:rPr>
        <w:t>zdziesiątkowane</w:t>
      </w:r>
      <w:r w:rsidRPr="0084546D" w:rsidR="0004377F">
        <w:rPr>
          <w:lang w:val="pl-PL"/>
        </w:rPr>
        <w:t xml:space="preserve"> przez naturalnych drapieżników</w:t>
      </w:r>
      <w:r w:rsidRPr="0084546D">
        <w:rPr>
          <w:lang w:val="pl-PL"/>
        </w:rPr>
        <w:t xml:space="preserve">. </w:t>
      </w:r>
      <w:r w:rsidRPr="0084546D" w:rsidR="00973E64">
        <w:rPr>
          <w:lang w:val="pl-PL"/>
        </w:rPr>
        <w:t xml:space="preserve">Ponieważ </w:t>
      </w:r>
      <w:r w:rsidRPr="0084546D" w:rsidR="001C66B4">
        <w:rPr>
          <w:lang w:val="pl-PL"/>
        </w:rPr>
        <w:t>omułki</w:t>
      </w:r>
      <w:r w:rsidRPr="0084546D" w:rsidR="00973E64">
        <w:rPr>
          <w:lang w:val="pl-PL"/>
        </w:rPr>
        <w:t xml:space="preserve"> potrzeb</w:t>
      </w:r>
      <w:r w:rsidRPr="0084546D" w:rsidR="00E3167A">
        <w:rPr>
          <w:lang w:val="pl-PL"/>
        </w:rPr>
        <w:t>ują</w:t>
      </w:r>
      <w:r w:rsidRPr="0084546D" w:rsidR="00973E64">
        <w:rPr>
          <w:lang w:val="pl-PL"/>
        </w:rPr>
        <w:t xml:space="preserve"> dwóch lat, by dorosnąć i osiągnąć dojrzałość, skarżąca spółka poniosła straty finansowe w 2010 r., nie mają</w:t>
      </w:r>
      <w:r w:rsidRPr="0084546D" w:rsidR="003429E8">
        <w:rPr>
          <w:lang w:val="pl-PL"/>
        </w:rPr>
        <w:t>c</w:t>
      </w:r>
      <w:r w:rsidRPr="0084546D" w:rsidR="00973E64">
        <w:rPr>
          <w:lang w:val="pl-PL"/>
        </w:rPr>
        <w:t xml:space="preserve"> </w:t>
      </w:r>
      <w:r w:rsidRPr="0084546D" w:rsidR="001C66B4">
        <w:rPr>
          <w:lang w:val="pl-PL"/>
        </w:rPr>
        <w:t>omułków</w:t>
      </w:r>
      <w:r w:rsidRPr="0084546D" w:rsidR="00973E64">
        <w:rPr>
          <w:lang w:val="pl-PL"/>
        </w:rPr>
        <w:t xml:space="preserve"> na sprzedaż.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>Skarżąca spółka wytoczyła powództwo o odszkodowanie przeciwko Państwu, które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>nie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>przyniosło powodzenia.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i/>
          <w:lang w:val="pl-PL"/>
        </w:rPr>
        <w:t>Prawo</w:t>
      </w:r>
      <w:r w:rsidRPr="0084546D">
        <w:rPr>
          <w:lang w:val="pl-PL"/>
        </w:rPr>
        <w:t xml:space="preserve"> – </w:t>
      </w:r>
      <w:r w:rsidRPr="0084546D" w:rsidR="00644761">
        <w:rPr>
          <w:lang w:val="pl-PL"/>
        </w:rPr>
        <w:t>a</w:t>
      </w:r>
      <w:r w:rsidRPr="0084546D">
        <w:rPr>
          <w:lang w:val="pl-PL"/>
        </w:rPr>
        <w:t>rt. 1 Protokołu nr 1: Skarga mieści się w zakresie art. 1 Proto</w:t>
      </w:r>
      <w:r w:rsidRPr="0084546D" w:rsidR="00A23B43">
        <w:rPr>
          <w:lang w:val="pl-PL"/>
        </w:rPr>
        <w:t>kołu nr 1, gdyż</w:t>
      </w:r>
      <w:r w:rsidRPr="0084546D" w:rsidR="007B618A">
        <w:rPr>
          <w:lang w:val="pl-PL"/>
        </w:rPr>
        <w:t> </w:t>
      </w:r>
      <w:r w:rsidRPr="0084546D" w:rsidR="00A23B43">
        <w:rPr>
          <w:lang w:val="pl-PL"/>
        </w:rPr>
        <w:t>sprawa dotyczy</w:t>
      </w:r>
      <w:r w:rsidRPr="0084546D">
        <w:rPr>
          <w:lang w:val="pl-PL"/>
        </w:rPr>
        <w:t xml:space="preserve"> „mienia”, a mianowicie </w:t>
      </w:r>
      <w:r w:rsidRPr="0084546D" w:rsidR="0004377F">
        <w:rPr>
          <w:lang w:val="pl-PL"/>
        </w:rPr>
        <w:t xml:space="preserve">prowadzonej przez skarżącą spółkę </w:t>
      </w:r>
      <w:r w:rsidRPr="0084546D">
        <w:rPr>
          <w:lang w:val="pl-PL"/>
        </w:rPr>
        <w:t xml:space="preserve">działalności gospodarczej w obszarze akwakultury. Czasowy zakaz nałożony na część działalności skarżącej spółki, który należy </w:t>
      </w:r>
      <w:r w:rsidRPr="0084546D">
        <w:rPr>
          <w:lang w:val="pl-PL"/>
        </w:rPr>
        <w:t>postrzegać jako</w:t>
      </w:r>
      <w:r w:rsidRPr="0084546D">
        <w:rPr>
          <w:lang w:val="pl-PL"/>
        </w:rPr>
        <w:t xml:space="preserve"> ograniczenie nałożone na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>zezwolenie i związane z nim zwykłe prowadzenie działalności gospodarczej, stanowił ingerencję w prawo do poszanowania mienia</w:t>
      </w:r>
      <w:r w:rsidRPr="0084546D" w:rsidR="00A23B43">
        <w:rPr>
          <w:lang w:val="pl-PL"/>
        </w:rPr>
        <w:t xml:space="preserve"> skarżącej spółki</w:t>
      </w:r>
      <w:r w:rsidRPr="0084546D">
        <w:rPr>
          <w:lang w:val="pl-PL"/>
        </w:rPr>
        <w:t xml:space="preserve">, w tym interesów gospodarczych związanych z </w:t>
      </w:r>
      <w:r w:rsidRPr="0084546D" w:rsidR="00973E64">
        <w:rPr>
          <w:lang w:val="pl-PL"/>
        </w:rPr>
        <w:t xml:space="preserve">jej </w:t>
      </w:r>
      <w:r w:rsidRPr="0084546D">
        <w:rPr>
          <w:lang w:val="pl-PL"/>
        </w:rPr>
        <w:t xml:space="preserve">działalnością gospodarczą. </w:t>
      </w:r>
      <w:r w:rsidRPr="0084546D" w:rsidR="00973E64">
        <w:rPr>
          <w:lang w:val="pl-PL"/>
        </w:rPr>
        <w:t xml:space="preserve">Skarga </w:t>
      </w:r>
      <w:r w:rsidRPr="0084546D" w:rsidR="00973E64">
        <w:rPr>
          <w:lang w:val="pl-PL"/>
        </w:rPr>
        <w:t>jest zatem</w:t>
      </w:r>
      <w:r w:rsidRPr="0084546D" w:rsidR="00973E64">
        <w:rPr>
          <w:lang w:val="pl-PL"/>
        </w:rPr>
        <w:t xml:space="preserve"> dopuszczalna. </w:t>
      </w:r>
      <w:r w:rsidRPr="0084546D" w:rsidR="0004377F">
        <w:rPr>
          <w:lang w:val="pl-PL"/>
        </w:rPr>
        <w:t xml:space="preserve">Inaczej niż w </w:t>
      </w:r>
      <w:r w:rsidRPr="0084546D" w:rsidR="00973E64">
        <w:rPr>
          <w:lang w:val="pl-PL"/>
        </w:rPr>
        <w:t>skarg</w:t>
      </w:r>
      <w:r w:rsidRPr="0084546D" w:rsidR="0004377F">
        <w:rPr>
          <w:lang w:val="pl-PL"/>
        </w:rPr>
        <w:t>ach</w:t>
      </w:r>
      <w:r w:rsidRPr="0084546D" w:rsidR="00973E64">
        <w:rPr>
          <w:lang w:val="pl-PL"/>
        </w:rPr>
        <w:t xml:space="preserve"> wcześniej rozstrzyganych przez Trybunał, </w:t>
      </w:r>
      <w:r w:rsidRPr="0084546D" w:rsidR="00A23B43">
        <w:rPr>
          <w:lang w:val="pl-PL"/>
        </w:rPr>
        <w:t>w</w:t>
      </w:r>
      <w:r w:rsidRPr="0084546D" w:rsidR="007B618A">
        <w:rPr>
          <w:lang w:val="pl-PL"/>
        </w:rPr>
        <w:t> </w:t>
      </w:r>
      <w:r w:rsidRPr="0084546D" w:rsidR="00A23B43">
        <w:rPr>
          <w:lang w:val="pl-PL"/>
        </w:rPr>
        <w:t xml:space="preserve">obecnej sprawie przedmiotowe </w:t>
      </w:r>
      <w:r w:rsidRPr="0084546D" w:rsidR="00973E64">
        <w:rPr>
          <w:lang w:val="pl-PL"/>
        </w:rPr>
        <w:t xml:space="preserve">zezwolenie, które podlegało warunkom, nie zostało </w:t>
      </w:r>
      <w:r w:rsidRPr="0084546D" w:rsidR="0004377F">
        <w:rPr>
          <w:lang w:val="pl-PL"/>
        </w:rPr>
        <w:t>cofnięte</w:t>
      </w:r>
      <w:r w:rsidRPr="0084546D" w:rsidR="00973E64">
        <w:rPr>
          <w:lang w:val="pl-PL"/>
        </w:rPr>
        <w:t xml:space="preserve"> ani uchylone. Ingerencja </w:t>
      </w:r>
      <w:r w:rsidRPr="0084546D" w:rsidR="00973E64">
        <w:rPr>
          <w:lang w:val="pl-PL"/>
        </w:rPr>
        <w:t>miała więc</w:t>
      </w:r>
      <w:r w:rsidRPr="0084546D" w:rsidR="00973E64">
        <w:rPr>
          <w:lang w:val="pl-PL"/>
        </w:rPr>
        <w:t xml:space="preserve"> charakter „uregulowania sposobu korzystania z własności”.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 xml:space="preserve">Co się tyczy </w:t>
      </w:r>
      <w:r w:rsidRPr="0084546D" w:rsidR="00A23B43">
        <w:rPr>
          <w:lang w:val="pl-PL"/>
        </w:rPr>
        <w:t xml:space="preserve">kwestii </w:t>
      </w:r>
      <w:r w:rsidRPr="0084546D">
        <w:rPr>
          <w:lang w:val="pl-PL"/>
        </w:rPr>
        <w:t>zgodności ingerencji z prawem,</w:t>
      </w:r>
      <w:r w:rsidRPr="0084546D" w:rsidR="00BA5314">
        <w:rPr>
          <w:lang w:val="pl-PL"/>
        </w:rPr>
        <w:t xml:space="preserve"> </w:t>
      </w:r>
      <w:r w:rsidRPr="0084546D" w:rsidR="001C66B4">
        <w:rPr>
          <w:lang w:val="pl-PL"/>
        </w:rPr>
        <w:t xml:space="preserve">w sprawie nie zachodziły </w:t>
      </w:r>
      <w:r w:rsidRPr="0084546D" w:rsidR="00BA5314">
        <w:rPr>
          <w:lang w:val="pl-PL"/>
        </w:rPr>
        <w:t>wątpliwości co</w:t>
      </w:r>
      <w:r w:rsidRPr="0084546D" w:rsidR="00BA5314">
        <w:rPr>
          <w:lang w:val="pl-PL"/>
        </w:rPr>
        <w:t xml:space="preserve"> do charakteru i zakresu ograniczeń zastosowanych </w:t>
      </w:r>
      <w:r w:rsidRPr="0084546D" w:rsidR="00A23B43">
        <w:rPr>
          <w:lang w:val="pl-PL"/>
        </w:rPr>
        <w:t>wobec</w:t>
      </w:r>
      <w:r w:rsidRPr="0084546D" w:rsidR="00BA5314">
        <w:rPr>
          <w:lang w:val="pl-PL"/>
        </w:rPr>
        <w:t xml:space="preserve"> portu w 2008 r. ani</w:t>
      </w:r>
      <w:r w:rsidRPr="0084546D" w:rsidR="007B618A">
        <w:rPr>
          <w:lang w:val="pl-PL"/>
        </w:rPr>
        <w:t> </w:t>
      </w:r>
      <w:r w:rsidRPr="0084546D" w:rsidR="00BA5314">
        <w:rPr>
          <w:lang w:val="pl-PL"/>
        </w:rPr>
        <w:t>co</w:t>
      </w:r>
      <w:r w:rsidRPr="0084546D" w:rsidR="007B618A">
        <w:rPr>
          <w:lang w:val="pl-PL"/>
        </w:rPr>
        <w:t> </w:t>
      </w:r>
      <w:r w:rsidRPr="0084546D" w:rsidR="00BA5314">
        <w:rPr>
          <w:lang w:val="pl-PL"/>
        </w:rPr>
        <w:t>do</w:t>
      </w:r>
      <w:r w:rsidRPr="0084546D" w:rsidR="007B618A">
        <w:rPr>
          <w:lang w:val="pl-PL"/>
        </w:rPr>
        <w:t> </w:t>
      </w:r>
      <w:r w:rsidRPr="0084546D" w:rsidR="00BA5314">
        <w:rPr>
          <w:lang w:val="pl-PL"/>
        </w:rPr>
        <w:t>ich podstawy prawnej. Skarżąca spółka pozostawała w stałym kontakcie z</w:t>
      </w:r>
      <w:r w:rsidRPr="0084546D" w:rsidR="007B618A">
        <w:rPr>
          <w:lang w:val="pl-PL"/>
        </w:rPr>
        <w:t> </w:t>
      </w:r>
      <w:r w:rsidRPr="0084546D" w:rsidR="00BA5314">
        <w:rPr>
          <w:lang w:val="pl-PL"/>
        </w:rPr>
        <w:t xml:space="preserve">rządem i była informowana o wszystkich istotnych zmianach. </w:t>
      </w:r>
      <w:r w:rsidRPr="0084546D" w:rsidR="00C902A3">
        <w:rPr>
          <w:lang w:val="pl-PL"/>
        </w:rPr>
        <w:t>N</w:t>
      </w:r>
      <w:r w:rsidRPr="0084546D" w:rsidR="00BA5314">
        <w:rPr>
          <w:lang w:val="pl-PL"/>
        </w:rPr>
        <w:t>ie twierdzono, że</w:t>
      </w:r>
      <w:r w:rsidRPr="0084546D" w:rsidR="007B618A">
        <w:rPr>
          <w:lang w:val="pl-PL"/>
        </w:rPr>
        <w:t> </w:t>
      </w:r>
      <w:r w:rsidRPr="0084546D" w:rsidR="00BA5314">
        <w:rPr>
          <w:lang w:val="pl-PL"/>
        </w:rPr>
        <w:t xml:space="preserve">skarżąca spółka </w:t>
      </w:r>
      <w:r w:rsidRPr="0084546D" w:rsidR="00C902A3">
        <w:rPr>
          <w:lang w:val="pl-PL"/>
        </w:rPr>
        <w:t xml:space="preserve">– podmiot gospodarczy aktywny od wielu lat w sektorze akwakultury – </w:t>
      </w:r>
      <w:r w:rsidRPr="0084546D" w:rsidR="00BA5314">
        <w:rPr>
          <w:lang w:val="pl-PL"/>
        </w:rPr>
        <w:t>nie była świadoma przedłużającego się etapu postępowania poprzedzającego wniesienie skargi</w:t>
      </w:r>
      <w:r w:rsidRPr="0084546D">
        <w:rPr>
          <w:lang w:val="pl-PL"/>
        </w:rPr>
        <w:t>, w którym uczestniczyła Komisja Europejska</w:t>
      </w:r>
      <w:r w:rsidRPr="0084546D" w:rsidR="00C902A3">
        <w:rPr>
          <w:lang w:val="pl-PL"/>
        </w:rPr>
        <w:t xml:space="preserve"> i </w:t>
      </w:r>
      <w:r w:rsidRPr="0084546D" w:rsidR="00BA5314">
        <w:rPr>
          <w:lang w:val="pl-PL"/>
        </w:rPr>
        <w:t>pozwane</w:t>
      </w:r>
      <w:r w:rsidRPr="0084546D">
        <w:rPr>
          <w:lang w:val="pl-PL"/>
        </w:rPr>
        <w:t xml:space="preserve"> Państw</w:t>
      </w:r>
      <w:r w:rsidRPr="0084546D" w:rsidR="00964644">
        <w:rPr>
          <w:lang w:val="pl-PL"/>
        </w:rPr>
        <w:t>o</w:t>
      </w:r>
      <w:r w:rsidRPr="0084546D">
        <w:rPr>
          <w:lang w:val="pl-PL"/>
        </w:rPr>
        <w:t>,</w:t>
      </w:r>
      <w:r w:rsidRPr="0084546D" w:rsidR="00C902A3">
        <w:rPr>
          <w:lang w:val="pl-PL"/>
        </w:rPr>
        <w:t xml:space="preserve"> czy</w:t>
      </w:r>
      <w:r w:rsidRPr="0084546D" w:rsidR="007B618A">
        <w:rPr>
          <w:lang w:val="pl-PL"/>
        </w:rPr>
        <w:t> </w:t>
      </w:r>
      <w:r w:rsidRPr="0084546D" w:rsidR="00C902A3">
        <w:rPr>
          <w:lang w:val="pl-PL"/>
        </w:rPr>
        <w:t>też wyroku TSUE stwierdzającego naruszenie.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>C</w:t>
      </w:r>
      <w:r w:rsidRPr="0084546D" w:rsidR="0004377F">
        <w:rPr>
          <w:lang w:val="pl-PL"/>
        </w:rPr>
        <w:t>elem ingerencji</w:t>
      </w:r>
      <w:r w:rsidRPr="0084546D" w:rsidR="00C902A3">
        <w:rPr>
          <w:lang w:val="pl-PL"/>
        </w:rPr>
        <w:t xml:space="preserve"> </w:t>
      </w:r>
      <w:r w:rsidRPr="0084546D" w:rsidR="0004377F">
        <w:rPr>
          <w:lang w:val="pl-PL"/>
        </w:rPr>
        <w:t xml:space="preserve">była </w:t>
      </w:r>
      <w:r w:rsidRPr="0084546D">
        <w:rPr>
          <w:lang w:val="pl-PL"/>
        </w:rPr>
        <w:t xml:space="preserve">najwyraźniej </w:t>
      </w:r>
      <w:r w:rsidRPr="0084546D" w:rsidR="0004377F">
        <w:rPr>
          <w:lang w:val="pl-PL"/>
        </w:rPr>
        <w:t>ochrona</w:t>
      </w:r>
      <w:r w:rsidRPr="0084546D" w:rsidR="00C902A3">
        <w:rPr>
          <w:lang w:val="pl-PL"/>
        </w:rPr>
        <w:t xml:space="preserve"> środowiska, a </w:t>
      </w:r>
      <w:r w:rsidRPr="0084546D" w:rsidR="00A23B43">
        <w:rPr>
          <w:lang w:val="pl-PL"/>
        </w:rPr>
        <w:t xml:space="preserve">podjęte </w:t>
      </w:r>
      <w:r w:rsidRPr="0084546D" w:rsidR="00A73921">
        <w:rPr>
          <w:lang w:val="pl-PL"/>
        </w:rPr>
        <w:t xml:space="preserve">zaskarżone </w:t>
      </w:r>
      <w:r w:rsidRPr="0084546D" w:rsidR="00C902A3">
        <w:rPr>
          <w:lang w:val="pl-PL"/>
        </w:rPr>
        <w:t>środki</w:t>
      </w:r>
      <w:r w:rsidRPr="0084546D" w:rsidR="00A23B43">
        <w:rPr>
          <w:lang w:val="pl-PL"/>
        </w:rPr>
        <w:t xml:space="preserve"> </w:t>
      </w:r>
      <w:r w:rsidRPr="0084546D" w:rsidR="00C902A3">
        <w:rPr>
          <w:lang w:val="pl-PL"/>
        </w:rPr>
        <w:t xml:space="preserve">miały zapewnić przestrzeganie przez pozwane Państwo jego zobowiązań na gruncie prawa UE, co stanowiło uprawniony cel w interesie </w:t>
      </w:r>
      <w:r w:rsidRPr="0084546D" w:rsidR="0004377F">
        <w:rPr>
          <w:lang w:val="pl-PL"/>
        </w:rPr>
        <w:t>ogólnym</w:t>
      </w:r>
      <w:r w:rsidRPr="0084546D" w:rsidR="00D03036">
        <w:rPr>
          <w:lang w:val="pl-PL"/>
        </w:rPr>
        <w:t xml:space="preserve"> o dużym znaczeniu</w:t>
      </w:r>
      <w:r w:rsidRPr="0084546D" w:rsidR="00C902A3">
        <w:rPr>
          <w:lang w:val="pl-PL"/>
        </w:rPr>
        <w:t>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 xml:space="preserve">Ponieważ pozwane Państwo nie </w:t>
      </w:r>
      <w:r w:rsidRPr="0084546D" w:rsidR="00A23B43">
        <w:rPr>
          <w:lang w:val="pl-PL"/>
        </w:rPr>
        <w:t xml:space="preserve">zostało </w:t>
      </w:r>
      <w:r w:rsidRPr="0084546D">
        <w:rPr>
          <w:lang w:val="pl-PL"/>
        </w:rPr>
        <w:t xml:space="preserve">całkowicie pozbawione </w:t>
      </w:r>
      <w:r w:rsidRPr="0084546D" w:rsidR="002C6C7F">
        <w:rPr>
          <w:lang w:val="pl-PL"/>
        </w:rPr>
        <w:t xml:space="preserve">możliwości </w:t>
      </w:r>
      <w:r w:rsidRPr="0084546D" w:rsidR="00A23B43">
        <w:rPr>
          <w:lang w:val="pl-PL"/>
        </w:rPr>
        <w:t>decy</w:t>
      </w:r>
      <w:r w:rsidRPr="0084546D" w:rsidR="002C6C7F">
        <w:rPr>
          <w:lang w:val="pl-PL"/>
        </w:rPr>
        <w:t>dowania co</w:t>
      </w:r>
      <w:r w:rsidRPr="0084546D" w:rsidR="002C6C7F">
        <w:rPr>
          <w:lang w:val="pl-PL"/>
        </w:rPr>
        <w:t xml:space="preserve"> </w:t>
      </w:r>
      <w:r w:rsidRPr="0084546D" w:rsidR="00A23B43">
        <w:rPr>
          <w:lang w:val="pl-PL"/>
        </w:rPr>
        <w:t>do sposobu osiągnięcia zgodności</w:t>
      </w:r>
      <w:r w:rsidRPr="0084546D">
        <w:rPr>
          <w:lang w:val="pl-PL"/>
        </w:rPr>
        <w:t xml:space="preserve"> z właściwą dyrektywą UE i wyrokiem TSUE, nie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 xml:space="preserve">miało zastosowanie domniemanie równoważnej ochrony określone w </w:t>
      </w:r>
      <w:r w:rsidRPr="0084546D" w:rsidR="001C66B4">
        <w:rPr>
          <w:lang w:val="pl-PL"/>
        </w:rPr>
        <w:t>wyroku w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 xml:space="preserve">sprawie </w:t>
      </w:r>
      <w:r w:rsidRPr="0084546D">
        <w:rPr>
          <w:i/>
          <w:lang w:val="pl-PL"/>
        </w:rPr>
        <w:t>Bosphorus</w:t>
      </w:r>
      <w:r w:rsidRPr="0084546D">
        <w:rPr>
          <w:i/>
          <w:lang w:val="pl-PL"/>
        </w:rPr>
        <w:t>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>Co do</w:t>
      </w:r>
      <w:r w:rsidRPr="0084546D" w:rsidR="00C902A3">
        <w:rPr>
          <w:lang w:val="pl-PL"/>
        </w:rPr>
        <w:t xml:space="preserve"> uzasadnienia ingerencj</w:t>
      </w:r>
      <w:r w:rsidRPr="0084546D" w:rsidR="00120600">
        <w:rPr>
          <w:lang w:val="pl-PL"/>
        </w:rPr>
        <w:t>i</w:t>
      </w:r>
      <w:r w:rsidRPr="0084546D" w:rsidR="00C902A3">
        <w:rPr>
          <w:lang w:val="pl-PL"/>
        </w:rPr>
        <w:t xml:space="preserve"> – skarżąca spółka prowadziła działalność komercyjną podlegającą ścisłym i szczegółowym uregulowaniom władz krajowych i funkcjonowała zgodnie z warunkami określanymi w </w:t>
      </w:r>
      <w:r w:rsidRPr="0084546D" w:rsidR="00120600">
        <w:rPr>
          <w:lang w:val="pl-PL"/>
        </w:rPr>
        <w:t xml:space="preserve">udzielanych corocznie </w:t>
      </w:r>
      <w:r w:rsidRPr="0084546D" w:rsidR="00120600">
        <w:rPr>
          <w:lang w:val="pl-PL"/>
        </w:rPr>
        <w:t>zezwol</w:t>
      </w:r>
      <w:r w:rsidRPr="0084546D" w:rsidR="00C902A3">
        <w:rPr>
          <w:lang w:val="pl-PL"/>
        </w:rPr>
        <w:t xml:space="preserve">eniach. </w:t>
      </w:r>
      <w:r w:rsidRPr="0084546D" w:rsidR="00C902A3">
        <w:rPr>
          <w:lang w:val="pl-PL"/>
        </w:rPr>
        <w:t>Obejmowało to</w:t>
      </w:r>
      <w:r w:rsidRPr="0084546D" w:rsidR="007B618A">
        <w:rPr>
          <w:lang w:val="pl-PL"/>
        </w:rPr>
        <w:t> </w:t>
      </w:r>
      <w:r w:rsidRPr="0084546D" w:rsidR="00C902A3">
        <w:rPr>
          <w:lang w:val="pl-PL"/>
        </w:rPr>
        <w:t xml:space="preserve">też warunek, że nie </w:t>
      </w:r>
      <w:r w:rsidRPr="0084546D">
        <w:rPr>
          <w:lang w:val="pl-PL"/>
        </w:rPr>
        <w:t>jest doz</w:t>
      </w:r>
      <w:r w:rsidRPr="0084546D" w:rsidR="00C902A3">
        <w:rPr>
          <w:lang w:val="pl-PL"/>
        </w:rPr>
        <w:t xml:space="preserve">wolony połów </w:t>
      </w:r>
      <w:r w:rsidRPr="0084546D">
        <w:rPr>
          <w:lang w:val="pl-PL"/>
        </w:rPr>
        <w:t xml:space="preserve">larw </w:t>
      </w:r>
      <w:r w:rsidRPr="0084546D" w:rsidR="001C66B4">
        <w:rPr>
          <w:lang w:val="pl-PL"/>
        </w:rPr>
        <w:t>omułków</w:t>
      </w:r>
      <w:r w:rsidRPr="0084546D" w:rsidR="00C902A3">
        <w:rPr>
          <w:lang w:val="pl-PL"/>
        </w:rPr>
        <w:t xml:space="preserve"> w obszarze, w którym działalność taka została zakazana przez ministra. Ponadto, dla oceny Trybunału istotne było </w:t>
      </w:r>
      <w:r w:rsidRPr="0084546D">
        <w:rPr>
          <w:lang w:val="pl-PL"/>
        </w:rPr>
        <w:t>jedno</w:t>
      </w:r>
      <w:r w:rsidRPr="0084546D" w:rsidR="00CA3FB6">
        <w:rPr>
          <w:lang w:val="pl-PL"/>
        </w:rPr>
        <w:t>głośne</w:t>
      </w:r>
      <w:r w:rsidRPr="0084546D">
        <w:rPr>
          <w:lang w:val="pl-PL"/>
        </w:rPr>
        <w:t xml:space="preserve"> stwierdzenie przez</w:t>
      </w:r>
      <w:r w:rsidRPr="0084546D" w:rsidR="00C902A3">
        <w:rPr>
          <w:lang w:val="pl-PL"/>
        </w:rPr>
        <w:t xml:space="preserve"> Sąd Najwyższy, że </w:t>
      </w:r>
      <w:r w:rsidRPr="0084546D">
        <w:rPr>
          <w:lang w:val="pl-PL"/>
        </w:rPr>
        <w:t xml:space="preserve">– </w:t>
      </w:r>
      <w:r w:rsidRPr="0084546D" w:rsidR="001C66B4">
        <w:rPr>
          <w:lang w:val="pl-PL"/>
        </w:rPr>
        <w:t>w świetle uznania</w:t>
      </w:r>
      <w:r w:rsidRPr="0084546D" w:rsidR="00664900">
        <w:rPr>
          <w:lang w:val="pl-PL"/>
        </w:rPr>
        <w:t xml:space="preserve"> przez TSUE, że Irlandia nie wypełniła swych zobowiązań na podstawie prawa UE</w:t>
      </w:r>
      <w:r w:rsidRPr="0084546D">
        <w:rPr>
          <w:lang w:val="pl-PL"/>
        </w:rPr>
        <w:t xml:space="preserve"> –</w:t>
      </w:r>
      <w:r w:rsidRPr="0084546D" w:rsidR="00664900">
        <w:rPr>
          <w:lang w:val="pl-PL"/>
        </w:rPr>
        <w:t xml:space="preserve"> </w:t>
      </w:r>
      <w:r w:rsidRPr="0084546D" w:rsidR="00C902A3">
        <w:rPr>
          <w:lang w:val="pl-PL"/>
        </w:rPr>
        <w:t>brak było podstaw prawnych</w:t>
      </w:r>
      <w:r w:rsidRPr="0084546D" w:rsidR="00664900">
        <w:rPr>
          <w:lang w:val="pl-PL"/>
        </w:rPr>
        <w:t xml:space="preserve"> dla powstania </w:t>
      </w:r>
      <w:r w:rsidRPr="0084546D">
        <w:rPr>
          <w:lang w:val="pl-PL"/>
        </w:rPr>
        <w:t xml:space="preserve">po stronie skarżącej spółki </w:t>
      </w:r>
      <w:r w:rsidRPr="0084546D" w:rsidR="00664900">
        <w:rPr>
          <w:lang w:val="pl-PL"/>
        </w:rPr>
        <w:t>uprawnionego oczekiwania, że</w:t>
      </w:r>
      <w:r w:rsidRPr="0084546D" w:rsidR="007B618A">
        <w:rPr>
          <w:lang w:val="pl-PL"/>
        </w:rPr>
        <w:t> </w:t>
      </w:r>
      <w:r w:rsidRPr="0084546D" w:rsidR="00664900">
        <w:rPr>
          <w:lang w:val="pl-PL"/>
        </w:rPr>
        <w:t>w</w:t>
      </w:r>
      <w:r w:rsidRPr="0084546D" w:rsidR="007B618A">
        <w:rPr>
          <w:lang w:val="pl-PL"/>
        </w:rPr>
        <w:t> </w:t>
      </w:r>
      <w:r w:rsidRPr="0084546D" w:rsidR="00664900">
        <w:rPr>
          <w:lang w:val="pl-PL"/>
        </w:rPr>
        <w:t xml:space="preserve">2018 r. uzyska </w:t>
      </w:r>
      <w:r w:rsidRPr="0084546D">
        <w:rPr>
          <w:lang w:val="pl-PL"/>
        </w:rPr>
        <w:t xml:space="preserve">ona </w:t>
      </w:r>
      <w:r w:rsidRPr="0084546D" w:rsidR="00664900">
        <w:rPr>
          <w:lang w:val="pl-PL"/>
        </w:rPr>
        <w:t>pozwolenie na prowadzenie działalności jak dotychczas.</w:t>
      </w:r>
    </w:p>
    <w:p w:rsidRPr="0084546D" w:rsidR="00664900" w:rsidP="0084546D">
      <w:pPr>
        <w:pStyle w:val="ClinContent"/>
        <w:rPr>
          <w:lang w:val="pl-PL"/>
        </w:rPr>
      </w:pPr>
      <w:r w:rsidRPr="0084546D">
        <w:rPr>
          <w:lang w:val="pl-PL"/>
        </w:rPr>
        <w:t xml:space="preserve">Po drugie, skarżąca spółka była podmiotem komercyjnym, a zatem nie może powołać się na brak jakiejkolwiek wiedzy na temat stosownych przepisów i zmian. Przeciwnie, można </w:t>
      </w:r>
      <w:r w:rsidRPr="0084546D" w:rsidR="005D1213">
        <w:rPr>
          <w:lang w:val="pl-PL"/>
        </w:rPr>
        <w:t xml:space="preserve">było </w:t>
      </w:r>
      <w:r w:rsidRPr="0084546D">
        <w:rPr>
          <w:lang w:val="pl-PL"/>
        </w:rPr>
        <w:t xml:space="preserve">oczekiwać, że wykaże </w:t>
      </w:r>
      <w:r w:rsidRPr="0084546D" w:rsidR="005D1213">
        <w:rPr>
          <w:lang w:val="pl-PL"/>
        </w:rPr>
        <w:t xml:space="preserve">ona </w:t>
      </w:r>
      <w:r w:rsidRPr="0084546D">
        <w:rPr>
          <w:lang w:val="pl-PL"/>
        </w:rPr>
        <w:t xml:space="preserve">wysoki stopień ostrożności </w:t>
      </w:r>
      <w:r w:rsidRPr="0084546D" w:rsidR="005D1213">
        <w:rPr>
          <w:lang w:val="pl-PL"/>
        </w:rPr>
        <w:t>przy</w:t>
      </w:r>
      <w:r w:rsidRPr="0084546D">
        <w:rPr>
          <w:lang w:val="pl-PL"/>
        </w:rPr>
        <w:t xml:space="preserve"> realizacji swej działalności i </w:t>
      </w:r>
      <w:r w:rsidRPr="0084546D" w:rsidR="00AA3231">
        <w:rPr>
          <w:lang w:val="pl-PL"/>
        </w:rPr>
        <w:t>przy ocenie</w:t>
      </w:r>
      <w:r w:rsidRPr="0084546D">
        <w:rPr>
          <w:lang w:val="pl-PL"/>
        </w:rPr>
        <w:t xml:space="preserve"> </w:t>
      </w:r>
      <w:r w:rsidRPr="0084546D">
        <w:rPr>
          <w:lang w:val="pl-PL"/>
        </w:rPr>
        <w:t>ryzyk</w:t>
      </w:r>
      <w:r w:rsidRPr="0084546D">
        <w:rPr>
          <w:lang w:val="pl-PL"/>
        </w:rPr>
        <w:t xml:space="preserve">, które mogą się z nią wiązać. </w:t>
      </w:r>
      <w:r w:rsidRPr="0084546D" w:rsidR="00D506D3">
        <w:rPr>
          <w:lang w:val="pl-PL"/>
        </w:rPr>
        <w:t>N</w:t>
      </w:r>
      <w:r w:rsidRPr="0084546D">
        <w:rPr>
          <w:lang w:val="pl-PL"/>
        </w:rPr>
        <w:t xml:space="preserve">iemniej </w:t>
      </w:r>
      <w:r w:rsidRPr="0084546D" w:rsidR="00D506D3">
        <w:rPr>
          <w:lang w:val="pl-PL"/>
        </w:rPr>
        <w:t xml:space="preserve">jednak </w:t>
      </w:r>
      <w:r w:rsidRPr="0084546D">
        <w:rPr>
          <w:lang w:val="pl-PL"/>
        </w:rPr>
        <w:t>skarżąca spółka zakupiła nową łódź w</w:t>
      </w:r>
      <w:r w:rsidRPr="0084546D" w:rsidR="00495EB6">
        <w:rPr>
          <w:lang w:val="pl-PL"/>
        </w:rPr>
        <w:t xml:space="preserve"> </w:t>
      </w:r>
      <w:r w:rsidRPr="0084546D">
        <w:rPr>
          <w:lang w:val="pl-PL"/>
        </w:rPr>
        <w:t>maju 2008 r., choć co najmniej od grudnia 2007 r., kiedy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>to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 xml:space="preserve">zapadł wyrok TSUE </w:t>
      </w:r>
      <w:r w:rsidRPr="0084546D">
        <w:rPr>
          <w:lang w:val="pl-PL"/>
        </w:rPr>
        <w:t>ws</w:t>
      </w:r>
      <w:r w:rsidRPr="0084546D">
        <w:rPr>
          <w:lang w:val="pl-PL"/>
        </w:rPr>
        <w:t xml:space="preserve">. </w:t>
      </w:r>
      <w:r w:rsidRPr="0084546D">
        <w:rPr>
          <w:lang w:val="pl-PL"/>
        </w:rPr>
        <w:t>naruszenia</w:t>
      </w:r>
      <w:r w:rsidRPr="0084546D">
        <w:rPr>
          <w:lang w:val="pl-PL"/>
        </w:rPr>
        <w:t xml:space="preserve">, powinna </w:t>
      </w:r>
      <w:r w:rsidRPr="0084546D" w:rsidR="001C66B4">
        <w:rPr>
          <w:lang w:val="pl-PL"/>
        </w:rPr>
        <w:t xml:space="preserve">była </w:t>
      </w:r>
      <w:r w:rsidRPr="0084546D">
        <w:rPr>
          <w:lang w:val="pl-PL"/>
        </w:rPr>
        <w:t xml:space="preserve">być świadoma ryzyka </w:t>
      </w:r>
      <w:r w:rsidRPr="0084546D" w:rsidR="00495EB6">
        <w:rPr>
          <w:lang w:val="pl-PL"/>
        </w:rPr>
        <w:t xml:space="preserve">możliwej </w:t>
      </w:r>
      <w:r w:rsidRPr="0084546D">
        <w:rPr>
          <w:lang w:val="pl-PL"/>
        </w:rPr>
        <w:t>przerw</w:t>
      </w:r>
      <w:r w:rsidRPr="0084546D" w:rsidR="00E01D57">
        <w:rPr>
          <w:lang w:val="pl-PL"/>
        </w:rPr>
        <w:t>y w</w:t>
      </w:r>
      <w:r w:rsidRPr="0084546D">
        <w:rPr>
          <w:lang w:val="pl-PL"/>
        </w:rPr>
        <w:t xml:space="preserve"> swej</w:t>
      </w:r>
      <w:r w:rsidRPr="0084546D" w:rsidR="00AA3231">
        <w:rPr>
          <w:lang w:val="pl-PL"/>
        </w:rPr>
        <w:t xml:space="preserve"> zwykłej działalności handlowej.</w:t>
      </w:r>
    </w:p>
    <w:p w:rsidRPr="0084546D" w:rsidR="00495EB6" w:rsidP="0084546D">
      <w:pPr>
        <w:pStyle w:val="ClinContent"/>
        <w:rPr>
          <w:lang w:val="pl-PL"/>
        </w:rPr>
      </w:pPr>
      <w:r w:rsidRPr="0084546D">
        <w:rPr>
          <w:lang w:val="pl-PL"/>
        </w:rPr>
        <w:t xml:space="preserve">Ponadto Trybunał nie miał podstaw, by uznać za udowodnione, że utrata zysków skarżącej spółki w 2010 r. stanowiła nieuniknioną i niemożliwą do ograniczenia konsekwencję czasowego zamknięcia portu w 2008 r. </w:t>
      </w:r>
      <w:r w:rsidRPr="0084546D" w:rsidR="00DF48B8">
        <w:rPr>
          <w:lang w:val="pl-PL"/>
        </w:rPr>
        <w:t>Działalność skarżącej spółki nie</w:t>
      </w:r>
      <w:r w:rsidRPr="0084546D" w:rsidR="007B618A">
        <w:rPr>
          <w:lang w:val="pl-PL"/>
        </w:rPr>
        <w:t> </w:t>
      </w:r>
      <w:r w:rsidRPr="0084546D" w:rsidR="00DF48B8">
        <w:rPr>
          <w:lang w:val="pl-PL"/>
        </w:rPr>
        <w:t xml:space="preserve">została całkowicie przerwana w 2008 r., a Państwo zdołało </w:t>
      </w:r>
      <w:r w:rsidRPr="0084546D" w:rsidR="00F73A58">
        <w:rPr>
          <w:lang w:val="pl-PL"/>
        </w:rPr>
        <w:t xml:space="preserve">osiągnąć </w:t>
      </w:r>
      <w:r w:rsidRPr="0084546D" w:rsidR="00DF48B8">
        <w:rPr>
          <w:lang w:val="pl-PL"/>
        </w:rPr>
        <w:t>porozumienie z</w:t>
      </w:r>
      <w:r w:rsidRPr="0084546D" w:rsidR="007B618A">
        <w:rPr>
          <w:lang w:val="pl-PL"/>
        </w:rPr>
        <w:t> </w:t>
      </w:r>
      <w:r w:rsidRPr="0084546D" w:rsidR="00DF48B8">
        <w:rPr>
          <w:lang w:val="pl-PL"/>
        </w:rPr>
        <w:t xml:space="preserve">Komisją umożliwiające podjęcie </w:t>
      </w:r>
      <w:r w:rsidRPr="0084546D" w:rsidR="00AA3231">
        <w:rPr>
          <w:lang w:val="pl-PL"/>
        </w:rPr>
        <w:t xml:space="preserve">na nowo </w:t>
      </w:r>
      <w:r w:rsidRPr="0084546D" w:rsidR="00DF48B8">
        <w:rPr>
          <w:lang w:val="pl-PL"/>
        </w:rPr>
        <w:t xml:space="preserve">połowów </w:t>
      </w:r>
      <w:r w:rsidRPr="0084546D" w:rsidR="00AA3231">
        <w:rPr>
          <w:lang w:val="pl-PL"/>
        </w:rPr>
        <w:t xml:space="preserve">larw </w:t>
      </w:r>
      <w:r w:rsidRPr="0084546D" w:rsidR="001C66B4">
        <w:rPr>
          <w:lang w:val="pl-PL"/>
        </w:rPr>
        <w:t>omułków</w:t>
      </w:r>
      <w:r w:rsidRPr="0084546D" w:rsidR="00DF48B8">
        <w:rPr>
          <w:lang w:val="pl-PL"/>
        </w:rPr>
        <w:t xml:space="preserve"> znacznie wcześniej, to</w:t>
      </w:r>
      <w:r w:rsidRPr="0084546D" w:rsidR="007B618A">
        <w:rPr>
          <w:lang w:val="pl-PL"/>
        </w:rPr>
        <w:t> </w:t>
      </w:r>
      <w:r w:rsidRPr="0084546D" w:rsidR="00DF48B8">
        <w:rPr>
          <w:lang w:val="pl-PL"/>
        </w:rPr>
        <w:t xml:space="preserve">jest od października 2008 </w:t>
      </w:r>
      <w:r w:rsidRPr="0084546D" w:rsidR="00DF48B8">
        <w:rPr>
          <w:lang w:val="pl-PL"/>
        </w:rPr>
        <w:t>r. Choć</w:t>
      </w:r>
      <w:r w:rsidRPr="0084546D" w:rsidR="00DF48B8">
        <w:rPr>
          <w:lang w:val="pl-PL"/>
        </w:rPr>
        <w:t xml:space="preserve"> nie zapobiegło to </w:t>
      </w:r>
      <w:r w:rsidRPr="0084546D" w:rsidR="00AA3231">
        <w:rPr>
          <w:lang w:val="pl-PL"/>
        </w:rPr>
        <w:t>późniejsze</w:t>
      </w:r>
      <w:r w:rsidRPr="0084546D" w:rsidR="001C66B4">
        <w:rPr>
          <w:lang w:val="pl-PL"/>
        </w:rPr>
        <w:t>mu odnotowaniu strat w</w:t>
      </w:r>
      <w:r w:rsidRPr="0084546D" w:rsidR="007B618A">
        <w:rPr>
          <w:lang w:val="pl-PL"/>
        </w:rPr>
        <w:t> </w:t>
      </w:r>
      <w:r w:rsidRPr="0084546D" w:rsidR="00AA3231">
        <w:rPr>
          <w:lang w:val="pl-PL"/>
        </w:rPr>
        <w:t xml:space="preserve">stosunku </w:t>
      </w:r>
      <w:r w:rsidRPr="0084546D" w:rsidR="00DF48B8">
        <w:rPr>
          <w:lang w:val="pl-PL"/>
        </w:rPr>
        <w:t xml:space="preserve">do 2008 r., w następnym roku skarżąca </w:t>
      </w:r>
      <w:r w:rsidRPr="0084546D" w:rsidR="00F863B7">
        <w:rPr>
          <w:lang w:val="pl-PL"/>
        </w:rPr>
        <w:t xml:space="preserve">spółka </w:t>
      </w:r>
      <w:r w:rsidRPr="0084546D" w:rsidR="00DF48B8">
        <w:rPr>
          <w:lang w:val="pl-PL"/>
        </w:rPr>
        <w:t>mogła na nowo podjąć swą</w:t>
      </w:r>
      <w:r w:rsidRPr="0084546D" w:rsidR="007B618A">
        <w:rPr>
          <w:lang w:val="pl-PL"/>
        </w:rPr>
        <w:t> </w:t>
      </w:r>
      <w:r w:rsidRPr="0084546D" w:rsidR="00DF48B8">
        <w:rPr>
          <w:lang w:val="pl-PL"/>
        </w:rPr>
        <w:t>zwykłą działalność.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>To</w:t>
      </w:r>
      <w:r w:rsidRPr="0084546D" w:rsidR="00F863B7">
        <w:rPr>
          <w:lang w:val="pl-PL"/>
        </w:rPr>
        <w:t xml:space="preserve">, że </w:t>
      </w:r>
      <w:r w:rsidRPr="0084546D" w:rsidR="00AA3231">
        <w:rPr>
          <w:lang w:val="pl-PL"/>
        </w:rPr>
        <w:t>stwierdzono</w:t>
      </w:r>
      <w:r w:rsidRPr="0084546D" w:rsidR="00F863B7">
        <w:rPr>
          <w:lang w:val="pl-PL"/>
        </w:rPr>
        <w:t xml:space="preserve">, że pozwane Państwo nie wypełniło swych obowiązków na </w:t>
      </w:r>
      <w:r w:rsidRPr="0084546D" w:rsidR="00AA3231">
        <w:rPr>
          <w:lang w:val="pl-PL"/>
        </w:rPr>
        <w:t xml:space="preserve">podstawie </w:t>
      </w:r>
      <w:r w:rsidRPr="0084546D" w:rsidR="00F863B7">
        <w:rPr>
          <w:lang w:val="pl-PL"/>
        </w:rPr>
        <w:t>p</w:t>
      </w:r>
      <w:r w:rsidRPr="0084546D">
        <w:rPr>
          <w:lang w:val="pl-PL"/>
        </w:rPr>
        <w:t>rawa UE, nie może być traktowane</w:t>
      </w:r>
      <w:r w:rsidRPr="0084546D" w:rsidR="00F863B7">
        <w:rPr>
          <w:lang w:val="pl-PL"/>
        </w:rPr>
        <w:t xml:space="preserve"> </w:t>
      </w:r>
      <w:r w:rsidRPr="0084546D" w:rsidR="00AA3231">
        <w:rPr>
          <w:lang w:val="pl-PL"/>
        </w:rPr>
        <w:t xml:space="preserve">– </w:t>
      </w:r>
      <w:r w:rsidRPr="0084546D" w:rsidR="00F863B7">
        <w:rPr>
          <w:lang w:val="pl-PL"/>
        </w:rPr>
        <w:t xml:space="preserve">na potrzeby art. 1 Protokołu </w:t>
      </w:r>
      <w:r w:rsidRPr="0084546D" w:rsidR="00F863B7">
        <w:rPr>
          <w:lang w:val="pl-PL"/>
        </w:rPr>
        <w:t xml:space="preserve">nr 1 </w:t>
      </w:r>
      <w:r w:rsidRPr="0084546D" w:rsidR="00AA3231">
        <w:rPr>
          <w:lang w:val="pl-PL"/>
        </w:rPr>
        <w:t xml:space="preserve">– </w:t>
      </w:r>
      <w:r w:rsidRPr="0084546D" w:rsidR="00F863B7">
        <w:rPr>
          <w:lang w:val="pl-PL"/>
        </w:rPr>
        <w:t>j</w:t>
      </w:r>
      <w:r w:rsidRPr="0084546D">
        <w:rPr>
          <w:lang w:val="pl-PL"/>
        </w:rPr>
        <w:t>ako</w:t>
      </w:r>
      <w:r w:rsidRPr="0084546D" w:rsidR="007B618A">
        <w:rPr>
          <w:lang w:val="pl-PL"/>
        </w:rPr>
        <w:t> </w:t>
      </w:r>
      <w:r w:rsidRPr="0084546D">
        <w:rPr>
          <w:lang w:val="pl-PL"/>
        </w:rPr>
        <w:t>pomniejszające</w:t>
      </w:r>
      <w:r w:rsidRPr="0084546D" w:rsidR="00AA3231">
        <w:rPr>
          <w:lang w:val="pl-PL"/>
        </w:rPr>
        <w:t xml:space="preserve"> wagę</w:t>
      </w:r>
      <w:r w:rsidRPr="0084546D" w:rsidR="00F863B7">
        <w:rPr>
          <w:lang w:val="pl-PL"/>
        </w:rPr>
        <w:t xml:space="preserve"> celów zakwestionowanej ingerencji bądź obniżając</w:t>
      </w:r>
      <w:r w:rsidRPr="0084546D" w:rsidR="00B33ABC">
        <w:rPr>
          <w:lang w:val="pl-PL"/>
        </w:rPr>
        <w:t>e</w:t>
      </w:r>
      <w:r w:rsidRPr="0084546D" w:rsidR="00AA3231">
        <w:rPr>
          <w:lang w:val="pl-PL"/>
        </w:rPr>
        <w:t xml:space="preserve"> znaczenie</w:t>
      </w:r>
      <w:r w:rsidRPr="0084546D" w:rsidR="00F863B7">
        <w:rPr>
          <w:lang w:val="pl-PL"/>
        </w:rPr>
        <w:t>, jakie należy im przypisać. Przed wydaniem wyroku przez TSUE trudno było przewidzieć, w jaki sposób pozwane Państwo mogło znać zakres oraz skutki naruszenia stwierdzone</w:t>
      </w:r>
      <w:r w:rsidRPr="0084546D" w:rsidR="00A73921">
        <w:rPr>
          <w:lang w:val="pl-PL"/>
        </w:rPr>
        <w:t>go</w:t>
      </w:r>
      <w:r w:rsidRPr="0084546D" w:rsidR="00F863B7">
        <w:rPr>
          <w:lang w:val="pl-PL"/>
        </w:rPr>
        <w:t xml:space="preserve"> tym wyrokiem. Trybunał nie dostrzegał po</w:t>
      </w:r>
      <w:r w:rsidRPr="0084546D" w:rsidR="00AA3231">
        <w:rPr>
          <w:lang w:val="pl-PL"/>
        </w:rPr>
        <w:t>dstaw</w:t>
      </w:r>
      <w:r w:rsidRPr="0084546D" w:rsidR="00F863B7">
        <w:rPr>
          <w:lang w:val="pl-PL"/>
        </w:rPr>
        <w:t xml:space="preserve"> dla dokonywania ponownej oceny technicznej przeprowadzonej przez wyspecjalizowane władze, które</w:t>
      </w:r>
      <w:r w:rsidRPr="0084546D" w:rsidR="007B618A">
        <w:rPr>
          <w:lang w:val="pl-PL"/>
        </w:rPr>
        <w:t> </w:t>
      </w:r>
      <w:r w:rsidRPr="0084546D" w:rsidR="00F863B7">
        <w:rPr>
          <w:lang w:val="pl-PL"/>
        </w:rPr>
        <w:t>wykluczyły możliwość wcześniejszego otwarcia portu. Mimo że oceny oddziaływania na środowisko</w:t>
      </w:r>
      <w:r w:rsidRPr="0084546D" w:rsidR="008F5883">
        <w:rPr>
          <w:lang w:val="pl-PL"/>
        </w:rPr>
        <w:t xml:space="preserve"> w końcu</w:t>
      </w:r>
      <w:r w:rsidRPr="0084546D" w:rsidR="00F863B7">
        <w:rPr>
          <w:lang w:val="pl-PL"/>
        </w:rPr>
        <w:t xml:space="preserve"> wykazały, że całkowity zakaz nie jest konieczny, </w:t>
      </w:r>
      <w:r w:rsidRPr="0084546D" w:rsidR="003546DC">
        <w:rPr>
          <w:lang w:val="pl-PL"/>
        </w:rPr>
        <w:t>w</w:t>
      </w:r>
      <w:r w:rsidRPr="0084546D" w:rsidR="007B618A">
        <w:rPr>
          <w:lang w:val="pl-PL"/>
        </w:rPr>
        <w:t> </w:t>
      </w:r>
      <w:r w:rsidRPr="0084546D" w:rsidR="003546DC">
        <w:rPr>
          <w:lang w:val="pl-PL"/>
        </w:rPr>
        <w:t xml:space="preserve">świetle prawa UE </w:t>
      </w:r>
      <w:r w:rsidRPr="0084546D" w:rsidR="00F863B7">
        <w:rPr>
          <w:lang w:val="pl-PL"/>
        </w:rPr>
        <w:t xml:space="preserve">pozwane Państwo </w:t>
      </w:r>
      <w:r w:rsidRPr="0084546D" w:rsidR="003546DC">
        <w:rPr>
          <w:lang w:val="pl-PL"/>
        </w:rPr>
        <w:t xml:space="preserve">musiało opierać się na </w:t>
      </w:r>
      <w:r w:rsidRPr="0084546D" w:rsidR="009D3DC1">
        <w:rPr>
          <w:lang w:val="pl-PL"/>
        </w:rPr>
        <w:t>udowodnieniu</w:t>
      </w:r>
      <w:r w:rsidRPr="0084546D" w:rsidR="003546DC">
        <w:rPr>
          <w:lang w:val="pl-PL"/>
        </w:rPr>
        <w:t xml:space="preserve"> braku zagrożenia, a nie na braku </w:t>
      </w:r>
      <w:r w:rsidRPr="0084546D" w:rsidR="009D3DC1">
        <w:rPr>
          <w:lang w:val="pl-PL"/>
        </w:rPr>
        <w:t>udowodnienia</w:t>
      </w:r>
      <w:r w:rsidRPr="0084546D" w:rsidR="003546DC">
        <w:rPr>
          <w:lang w:val="pl-PL"/>
        </w:rPr>
        <w:t xml:space="preserve"> zagrożenia. Władzom krajowym przysługuje szeroki margines oceny w odniesieniu do osiągnięcia na poziomie krajowym i</w:t>
      </w:r>
      <w:r w:rsidRPr="0084546D" w:rsidR="007B618A">
        <w:rPr>
          <w:lang w:val="pl-PL"/>
        </w:rPr>
        <w:t> </w:t>
      </w:r>
      <w:r w:rsidRPr="0084546D" w:rsidR="003546DC">
        <w:rPr>
          <w:lang w:val="pl-PL"/>
        </w:rPr>
        <w:t>w</w:t>
      </w:r>
      <w:r w:rsidRPr="0084546D" w:rsidR="007B618A">
        <w:rPr>
          <w:lang w:val="pl-PL"/>
        </w:rPr>
        <w:t> </w:t>
      </w:r>
      <w:r w:rsidRPr="0084546D" w:rsidR="008F5883">
        <w:rPr>
          <w:lang w:val="pl-PL"/>
        </w:rPr>
        <w:t xml:space="preserve">akceptowalnych </w:t>
      </w:r>
      <w:r w:rsidRPr="0084546D" w:rsidR="003546DC">
        <w:rPr>
          <w:lang w:val="pl-PL"/>
        </w:rPr>
        <w:t xml:space="preserve">ramach czasowych </w:t>
      </w:r>
      <w:r w:rsidRPr="0084546D" w:rsidR="008F5883">
        <w:rPr>
          <w:lang w:val="pl-PL"/>
        </w:rPr>
        <w:t xml:space="preserve">stanu zgodności </w:t>
      </w:r>
      <w:r w:rsidRPr="0084546D" w:rsidR="003546DC">
        <w:rPr>
          <w:lang w:val="pl-PL"/>
        </w:rPr>
        <w:t>z zobowiązaniami państwa na</w:t>
      </w:r>
      <w:r w:rsidRPr="0084546D" w:rsidR="007B618A">
        <w:rPr>
          <w:lang w:val="pl-PL"/>
        </w:rPr>
        <w:t> </w:t>
      </w:r>
      <w:r w:rsidRPr="0084546D" w:rsidR="003546DC">
        <w:rPr>
          <w:lang w:val="pl-PL"/>
        </w:rPr>
        <w:t>podstawie prawa UE. Chociaż skarżąca spółka uważała</w:t>
      </w:r>
      <w:r w:rsidRPr="0084546D" w:rsidR="008F5883">
        <w:rPr>
          <w:lang w:val="pl-PL"/>
        </w:rPr>
        <w:t xml:space="preserve"> za nieprawidłowe, a</w:t>
      </w:r>
      <w:r w:rsidRPr="0084546D" w:rsidR="007B618A">
        <w:rPr>
          <w:lang w:val="pl-PL"/>
        </w:rPr>
        <w:t> </w:t>
      </w:r>
      <w:r w:rsidRPr="0084546D" w:rsidR="008F5883">
        <w:rPr>
          <w:lang w:val="pl-PL"/>
        </w:rPr>
        <w:t>nawet</w:t>
      </w:r>
      <w:r w:rsidRPr="0084546D" w:rsidR="007B618A">
        <w:rPr>
          <w:lang w:val="pl-PL"/>
        </w:rPr>
        <w:t> </w:t>
      </w:r>
      <w:r w:rsidRPr="0084546D" w:rsidR="008F5883">
        <w:rPr>
          <w:lang w:val="pl-PL"/>
        </w:rPr>
        <w:t>arbitralne</w:t>
      </w:r>
      <w:r w:rsidRPr="0084546D" w:rsidR="003546DC">
        <w:rPr>
          <w:lang w:val="pl-PL"/>
        </w:rPr>
        <w:t xml:space="preserve"> </w:t>
      </w:r>
      <w:r w:rsidRPr="0084546D" w:rsidR="008F5883">
        <w:rPr>
          <w:lang w:val="pl-PL"/>
        </w:rPr>
        <w:t>to</w:t>
      </w:r>
      <w:r w:rsidRPr="0084546D" w:rsidR="003546DC">
        <w:rPr>
          <w:lang w:val="pl-PL"/>
        </w:rPr>
        <w:t xml:space="preserve">, że jeden rodzaj działalności (połów </w:t>
      </w:r>
      <w:r w:rsidRPr="0084546D" w:rsidR="008F5883">
        <w:rPr>
          <w:lang w:val="pl-PL"/>
        </w:rPr>
        <w:t>larw</w:t>
      </w:r>
      <w:r w:rsidRPr="0084546D" w:rsidR="003546DC">
        <w:rPr>
          <w:lang w:val="pl-PL"/>
        </w:rPr>
        <w:t xml:space="preserve"> </w:t>
      </w:r>
      <w:r w:rsidRPr="0084546D">
        <w:rPr>
          <w:lang w:val="pl-PL"/>
        </w:rPr>
        <w:t>omułków</w:t>
      </w:r>
      <w:r w:rsidRPr="0084546D" w:rsidR="003546DC">
        <w:rPr>
          <w:lang w:val="pl-PL"/>
        </w:rPr>
        <w:t>) został, a</w:t>
      </w:r>
      <w:r w:rsidRPr="0084546D" w:rsidR="007B618A">
        <w:rPr>
          <w:lang w:val="pl-PL"/>
        </w:rPr>
        <w:t> </w:t>
      </w:r>
      <w:r w:rsidRPr="0084546D" w:rsidR="003546DC">
        <w:rPr>
          <w:lang w:val="pl-PL"/>
        </w:rPr>
        <w:t>inny</w:t>
      </w:r>
      <w:r w:rsidRPr="0084546D" w:rsidR="007B618A">
        <w:rPr>
          <w:lang w:val="pl-PL"/>
        </w:rPr>
        <w:t> </w:t>
      </w:r>
      <w:r w:rsidRPr="0084546D" w:rsidR="003546DC">
        <w:rPr>
          <w:lang w:val="pl-PL"/>
        </w:rPr>
        <w:t xml:space="preserve">podobny rodzaj działalności (zbiory dojrzałych małży) nie został zakazany, </w:t>
      </w:r>
      <w:r w:rsidRPr="0084546D" w:rsidR="008F5883">
        <w:rPr>
          <w:lang w:val="pl-PL"/>
        </w:rPr>
        <w:t>jednak</w:t>
      </w:r>
      <w:r w:rsidRPr="0084546D" w:rsidR="007B618A">
        <w:rPr>
          <w:lang w:val="pl-PL"/>
        </w:rPr>
        <w:t> </w:t>
      </w:r>
      <w:r w:rsidRPr="0084546D" w:rsidR="003546DC">
        <w:rPr>
          <w:lang w:val="pl-PL"/>
        </w:rPr>
        <w:t>w pierwszej kolejności</w:t>
      </w:r>
      <w:r w:rsidRPr="0084546D">
        <w:rPr>
          <w:lang w:val="pl-PL"/>
        </w:rPr>
        <w:t xml:space="preserve"> to</w:t>
      </w:r>
      <w:r w:rsidRPr="0084546D" w:rsidR="003546DC">
        <w:rPr>
          <w:lang w:val="pl-PL"/>
        </w:rPr>
        <w:t xml:space="preserve"> do władz krajowych należ</w:t>
      </w:r>
      <w:r w:rsidRPr="0084546D" w:rsidR="008F5883">
        <w:rPr>
          <w:lang w:val="pl-PL"/>
        </w:rPr>
        <w:t>y</w:t>
      </w:r>
      <w:r w:rsidRPr="0084546D" w:rsidR="00FA38F3">
        <w:rPr>
          <w:lang w:val="pl-PL"/>
        </w:rPr>
        <w:t xml:space="preserve"> podjęcie decyzji</w:t>
      </w:r>
      <w:r w:rsidRPr="0084546D" w:rsidR="003546DC">
        <w:rPr>
          <w:lang w:val="pl-PL"/>
        </w:rPr>
        <w:t xml:space="preserve">, w ramach przysługującego im marginesu oceny, </w:t>
      </w:r>
      <w:r w:rsidRPr="0084546D" w:rsidR="00FA38F3">
        <w:rPr>
          <w:lang w:val="pl-PL"/>
        </w:rPr>
        <w:t xml:space="preserve">co do </w:t>
      </w:r>
      <w:r w:rsidRPr="0084546D" w:rsidR="003546DC">
        <w:rPr>
          <w:lang w:val="pl-PL"/>
        </w:rPr>
        <w:t xml:space="preserve">charakteru i zakresu wymaganych środków. </w:t>
      </w:r>
      <w:r w:rsidRPr="0084546D" w:rsidR="00FA38F3">
        <w:rPr>
          <w:lang w:val="pl-PL"/>
        </w:rPr>
        <w:t>Zastosowany częściowy, a nie całkowity, zakaz działalności komercyjnej w porcie był</w:t>
      </w:r>
      <w:r w:rsidRPr="0084546D" w:rsidR="007B618A">
        <w:rPr>
          <w:lang w:val="pl-PL"/>
        </w:rPr>
        <w:t> </w:t>
      </w:r>
      <w:r w:rsidRPr="0084546D" w:rsidR="00FA38F3">
        <w:rPr>
          <w:lang w:val="pl-PL"/>
        </w:rPr>
        <w:t>raczej na korzyść niż na szkodę skarżącej spółki.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 xml:space="preserve">Podsumowując, Trybunał nie był przekonany, że zaskarżona ingerencja </w:t>
      </w:r>
      <w:r w:rsidRPr="0084546D" w:rsidR="008F5883">
        <w:rPr>
          <w:lang w:val="pl-PL"/>
        </w:rPr>
        <w:t>stanowił</w:t>
      </w:r>
      <w:r w:rsidRPr="0084546D">
        <w:rPr>
          <w:lang w:val="pl-PL"/>
        </w:rPr>
        <w:t xml:space="preserve">a nadmierny indywidualny ciężar </w:t>
      </w:r>
      <w:r w:rsidRPr="0084546D" w:rsidR="008F5883">
        <w:rPr>
          <w:lang w:val="pl-PL"/>
        </w:rPr>
        <w:t xml:space="preserve">nałożony </w:t>
      </w:r>
      <w:r w:rsidRPr="0084546D">
        <w:rPr>
          <w:lang w:val="pl-PL"/>
        </w:rPr>
        <w:t>na skarżącą spółkę</w:t>
      </w:r>
      <w:r w:rsidRPr="0084546D" w:rsidR="008F5883">
        <w:rPr>
          <w:lang w:val="pl-PL"/>
        </w:rPr>
        <w:t xml:space="preserve">, ani też </w:t>
      </w:r>
      <w:r w:rsidRPr="0084546D">
        <w:rPr>
          <w:lang w:val="pl-PL"/>
        </w:rPr>
        <w:t xml:space="preserve">nie był przekonany, że pozwane Państwo nie zdołało osiągnąć sprawiedliwej równowagi między ogólnym interesem społecznym a ochroną </w:t>
      </w:r>
      <w:r w:rsidRPr="0084546D">
        <w:rPr>
          <w:lang w:val="pl-PL"/>
        </w:rPr>
        <w:t>praw</w:t>
      </w:r>
      <w:r w:rsidRPr="0084546D">
        <w:rPr>
          <w:lang w:val="pl-PL"/>
        </w:rPr>
        <w:t xml:space="preserve"> indywidualnych.</w:t>
      </w:r>
    </w:p>
    <w:p w:rsidRPr="0084546D" w:rsidR="00FA38F3" w:rsidP="0084546D">
      <w:pPr>
        <w:pStyle w:val="ClinContent"/>
        <w:rPr>
          <w:lang w:val="pl-PL"/>
        </w:rPr>
      </w:pPr>
      <w:r w:rsidRPr="0084546D">
        <w:rPr>
          <w:i/>
          <w:lang w:val="pl-PL"/>
        </w:rPr>
        <w:t>Rozstrzygnięcie</w:t>
      </w:r>
      <w:r w:rsidRPr="0084546D">
        <w:rPr>
          <w:lang w:val="pl-PL"/>
        </w:rPr>
        <w:t>: brak naruszenia (jedno</w:t>
      </w:r>
      <w:r w:rsidRPr="0084546D" w:rsidR="001D79E9">
        <w:rPr>
          <w:lang w:val="pl-PL"/>
        </w:rPr>
        <w:t>głośnie</w:t>
      </w:r>
      <w:r w:rsidRPr="0084546D">
        <w:rPr>
          <w:lang w:val="pl-PL"/>
        </w:rPr>
        <w:t>)</w:t>
      </w:r>
      <w:r w:rsidRPr="0084546D" w:rsidR="00295414">
        <w:rPr>
          <w:lang w:val="pl-PL"/>
        </w:rPr>
        <w:t>.</w:t>
      </w:r>
    </w:p>
    <w:p w:rsidRPr="0084546D" w:rsidR="0084546D" w:rsidP="0084546D">
      <w:pPr>
        <w:pStyle w:val="ClinContent"/>
        <w:rPr>
          <w:lang w:val="pl-PL"/>
        </w:rPr>
      </w:pPr>
      <w:r w:rsidRPr="0084546D">
        <w:rPr>
          <w:lang w:val="pl-PL"/>
        </w:rPr>
        <w:t>Trybunał stwierdził ponadto jedno</w:t>
      </w:r>
      <w:r w:rsidRPr="0084546D" w:rsidR="001D79E9">
        <w:rPr>
          <w:lang w:val="pl-PL"/>
        </w:rPr>
        <w:t>głośnie</w:t>
      </w:r>
      <w:r w:rsidRPr="0084546D">
        <w:rPr>
          <w:lang w:val="pl-PL"/>
        </w:rPr>
        <w:t xml:space="preserve"> brak naruszenia art. 6 ust. 1 Konwencji w</w:t>
      </w:r>
      <w:r w:rsidRPr="0084546D" w:rsidR="005539F7">
        <w:rPr>
          <w:lang w:val="pl-PL"/>
        </w:rPr>
        <w:t> </w:t>
      </w:r>
      <w:r w:rsidRPr="0084546D">
        <w:rPr>
          <w:lang w:val="pl-PL"/>
        </w:rPr>
        <w:t>odniesieniu do długości trwania postępowania krajowego.</w:t>
      </w:r>
    </w:p>
    <w:p w:rsidRPr="0084546D" w:rsidR="00603073" w:rsidP="0084546D">
      <w:pPr>
        <w:pStyle w:val="ClinContent"/>
        <w:rPr>
          <w:lang w:val="pl-PL"/>
        </w:rPr>
      </w:pPr>
      <w:r w:rsidRPr="0084546D">
        <w:rPr>
          <w:lang w:val="pl-PL"/>
        </w:rPr>
        <w:t xml:space="preserve">(Zobacz także </w:t>
      </w:r>
      <w:r w:rsidRPr="0084546D">
        <w:rPr>
          <w:i/>
          <w:lang w:val="pl-PL"/>
        </w:rPr>
        <w:t>Bosphorus</w:t>
      </w:r>
      <w:r w:rsidRPr="0084546D">
        <w:rPr>
          <w:i/>
          <w:lang w:val="pl-PL"/>
        </w:rPr>
        <w:t xml:space="preserve"> </w:t>
      </w:r>
      <w:r w:rsidRPr="0084546D">
        <w:rPr>
          <w:i/>
          <w:lang w:val="pl-PL"/>
        </w:rPr>
        <w:t>Hava</w:t>
      </w:r>
      <w:r w:rsidRPr="0084546D">
        <w:rPr>
          <w:i/>
          <w:lang w:val="pl-PL"/>
        </w:rPr>
        <w:t xml:space="preserve"> </w:t>
      </w:r>
      <w:r w:rsidRPr="0084546D">
        <w:rPr>
          <w:i/>
          <w:lang w:val="pl-PL"/>
        </w:rPr>
        <w:t>Yolları</w:t>
      </w:r>
      <w:r w:rsidRPr="0084546D">
        <w:rPr>
          <w:i/>
          <w:lang w:val="pl-PL"/>
        </w:rPr>
        <w:t xml:space="preserve"> </w:t>
      </w:r>
      <w:r w:rsidRPr="0084546D">
        <w:rPr>
          <w:i/>
          <w:lang w:val="pl-PL"/>
        </w:rPr>
        <w:t>Turizm</w:t>
      </w:r>
      <w:r w:rsidRPr="0084546D">
        <w:rPr>
          <w:i/>
          <w:lang w:val="pl-PL"/>
        </w:rPr>
        <w:t xml:space="preserve"> </w:t>
      </w:r>
      <w:r w:rsidRPr="0084546D">
        <w:rPr>
          <w:i/>
          <w:lang w:val="pl-PL"/>
        </w:rPr>
        <w:t>ve</w:t>
      </w:r>
      <w:r w:rsidRPr="0084546D">
        <w:rPr>
          <w:i/>
          <w:lang w:val="pl-PL"/>
        </w:rPr>
        <w:t xml:space="preserve"> </w:t>
      </w:r>
      <w:r w:rsidRPr="0084546D">
        <w:rPr>
          <w:i/>
          <w:lang w:val="pl-PL"/>
        </w:rPr>
        <w:t>Ticaret</w:t>
      </w:r>
      <w:r w:rsidRPr="0084546D">
        <w:rPr>
          <w:i/>
          <w:lang w:val="pl-PL"/>
        </w:rPr>
        <w:t xml:space="preserve"> Anonim </w:t>
      </w:r>
      <w:r w:rsidRPr="0084546D">
        <w:rPr>
          <w:i/>
          <w:lang w:val="pl-PL"/>
        </w:rPr>
        <w:t>Şirketi</w:t>
      </w:r>
      <w:r w:rsidRPr="0084546D">
        <w:rPr>
          <w:i/>
          <w:lang w:val="pl-PL"/>
        </w:rPr>
        <w:t xml:space="preserve"> p. Irlandii </w:t>
      </w:r>
      <w:r w:rsidRPr="0084546D">
        <w:rPr>
          <w:lang w:val="pl-PL"/>
        </w:rPr>
        <w:t xml:space="preserve">[Wielka Izba], skarga nr 45036/98, wyrok z 30 czerwca 2005 r., </w:t>
      </w:r>
      <w:hyperlink w:history="1" r:id="rId10">
        <w:r w:rsidRPr="0084546D">
          <w:rPr>
            <w:rStyle w:val="Hyperlink"/>
            <w:lang w:val="pl-PL"/>
          </w:rPr>
          <w:t>Nota informacyjna nr 76</w:t>
        </w:r>
      </w:hyperlink>
      <w:r w:rsidRPr="0084546D">
        <w:rPr>
          <w:lang w:val="pl-PL"/>
        </w:rPr>
        <w:t>;</w:t>
      </w:r>
      <w:r w:rsidRPr="0084546D">
        <w:rPr>
          <w:i/>
          <w:lang w:val="pl-PL"/>
        </w:rPr>
        <w:t xml:space="preserve"> Malik p. Zjednoczonemu Król</w:t>
      </w:r>
      <w:r w:rsidRPr="0084546D" w:rsidR="00661BFF">
        <w:rPr>
          <w:i/>
          <w:lang w:val="pl-PL"/>
        </w:rPr>
        <w:t>e</w:t>
      </w:r>
      <w:r w:rsidRPr="0084546D">
        <w:rPr>
          <w:i/>
          <w:lang w:val="pl-PL"/>
        </w:rPr>
        <w:t>stwu</w:t>
      </w:r>
      <w:r w:rsidRPr="0084546D">
        <w:rPr>
          <w:lang w:val="pl-PL"/>
        </w:rPr>
        <w:t xml:space="preserve">, skarga nr </w:t>
      </w:r>
      <w:hyperlink w:history="1" r:id="rId11">
        <w:r w:rsidRPr="0084546D">
          <w:rPr>
            <w:rStyle w:val="Hyperlink"/>
            <w:lang w:val="pl-PL"/>
          </w:rPr>
          <w:t>23780/08</w:t>
        </w:r>
      </w:hyperlink>
      <w:r w:rsidRPr="0084546D">
        <w:rPr>
          <w:lang w:val="pl-PL"/>
        </w:rPr>
        <w:t xml:space="preserve">, wyrok z 13 marca 2012 r.; a także </w:t>
      </w:r>
      <w:r w:rsidRPr="0084546D">
        <w:rPr>
          <w:i/>
          <w:lang w:val="pl-PL"/>
        </w:rPr>
        <w:t>Avotiņš</w:t>
      </w:r>
      <w:r w:rsidRPr="0084546D">
        <w:rPr>
          <w:i/>
          <w:lang w:val="pl-PL"/>
        </w:rPr>
        <w:t xml:space="preserve"> p. Łotwie</w:t>
      </w:r>
      <w:r w:rsidRPr="0084546D">
        <w:rPr>
          <w:lang w:val="pl-PL"/>
        </w:rPr>
        <w:t xml:space="preserve"> [Wielka Izba], skarga nr 17502/07, wyrok z 23 maja 2016 r., </w:t>
      </w:r>
      <w:hyperlink w:history="1" r:id="rId12">
        <w:r w:rsidRPr="0084546D">
          <w:rPr>
            <w:rStyle w:val="Hyperlink"/>
            <w:lang w:val="pl-PL"/>
          </w:rPr>
          <w:t>Nota informacyjna nr 196</w:t>
        </w:r>
      </w:hyperlink>
      <w:r>
        <w:rPr>
          <w:rStyle w:val="EndnoteReference"/>
        </w:rPr>
        <w:endnoteReference w:id="3"/>
      </w:r>
      <w:r w:rsidRPr="0084546D">
        <w:rPr>
          <w:lang w:val="pl-PL"/>
        </w:rPr>
        <w:t>)</w:t>
      </w:r>
    </w:p>
    <w:p w:rsidRPr="0084546D" w:rsidR="000C0A9E" w:rsidP="0084546D">
      <w:pPr>
        <w:pBdr>
          <w:bottom w:val="single" w:color="auto" w:sz="8" w:space="1"/>
        </w:pBdr>
        <w:rPr>
          <w:lang w:val="pl-PL"/>
        </w:rPr>
      </w:pPr>
    </w:p>
    <w:p w:rsidRPr="0084546D" w:rsidR="00B93314" w:rsidP="0084546D">
      <w:pPr>
        <w:pStyle w:val="ClinEditionNumber"/>
        <w:jc w:val="center"/>
        <w:rPr>
          <w:lang w:val="pl-PL"/>
        </w:rPr>
      </w:pPr>
      <w:r w:rsidRPr="0084546D">
        <w:rPr>
          <w:lang w:val="pl-PL"/>
        </w:rPr>
        <w:t xml:space="preserve">© </w:t>
      </w:r>
      <w:r w:rsidRPr="0084546D">
        <w:rPr>
          <w:lang w:val="pl-PL"/>
        </w:rPr>
        <w:t>Council</w:t>
      </w:r>
      <w:r w:rsidRPr="0084546D">
        <w:rPr>
          <w:lang w:val="pl-PL"/>
        </w:rPr>
        <w:t xml:space="preserve"> of Europe/European Court of Human </w:t>
      </w:r>
      <w:r w:rsidRPr="0084546D">
        <w:rPr>
          <w:lang w:val="pl-PL"/>
        </w:rPr>
        <w:t>Rights</w:t>
      </w:r>
      <w:r w:rsidRPr="0084546D">
        <w:rPr>
          <w:lang w:val="pl-PL"/>
        </w:rPr>
        <w:br/>
        <w:t>Niniejsze streszczenie przygotowane przez Kancelarię nie wiąże Trybunału.</w:t>
      </w:r>
    </w:p>
    <w:p w:rsidRPr="0084546D" w:rsidR="00B93314" w:rsidP="0084546D">
      <w:pPr>
        <w:pStyle w:val="ClinFooter"/>
        <w:rPr>
          <w:lang w:val="pl-PL"/>
        </w:rPr>
      </w:pPr>
      <w:r w:rsidRPr="0084546D">
        <w:rPr>
          <w:lang w:val="pl-PL"/>
        </w:rPr>
        <w:t xml:space="preserve">Link do </w:t>
      </w:r>
      <w:hyperlink w:history="1" r:id="rId13">
        <w:r w:rsidRPr="0084546D">
          <w:rPr>
            <w:rStyle w:val="Hyperlink"/>
            <w:lang w:val="pl-PL"/>
          </w:rPr>
          <w:t>Not informacyjnych nt. orzecznictwa</w:t>
        </w:r>
      </w:hyperlink>
    </w:p>
    <w:p w:rsidRPr="0084546D" w:rsidR="000C0A9E" w:rsidP="0084546D">
      <w:pPr>
        <w:pStyle w:val="ClinFooter"/>
        <w:rPr>
          <w:lang w:val="pl-PL"/>
        </w:rPr>
      </w:pPr>
    </w:p>
    <w:p w:rsidRPr="0084546D" w:rsidR="00387FC8" w:rsidP="0084546D">
      <w:pPr>
        <w:pStyle w:val="ClinFooter"/>
        <w:jc w:val="left"/>
        <w:rPr>
          <w:lang w:val="pl-PL"/>
        </w:rPr>
      </w:pPr>
    </w:p>
    <w:sectPr w:rsidSect="004A5B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551474" w:rsidP="00C63262">
      <w:r>
        <w:separator/>
      </w:r>
    </w:p>
  </w:endnote>
  <w:endnote w:type="continuationSeparator" w:id="1">
    <w:p w:rsidR="00551474" w:rsidP="00C63262">
      <w:r>
        <w:continuationSeparator/>
      </w:r>
    </w:p>
  </w:endnote>
  <w:endnote w:id="2">
    <w:p w:rsidR="006E3B7E" w:rsidRPr="009F72DA" w:rsidP="006E3B7E">
      <w:pPr>
        <w:pStyle w:val="EndnoteText"/>
        <w:rPr>
          <w:lang w:val="pl-PL"/>
        </w:rPr>
      </w:pPr>
      <w:r>
        <w:rPr>
          <w:rStyle w:val="EndnoteReference"/>
        </w:rPr>
        <w:endnoteRef/>
      </w:r>
      <w:r w:rsidRPr="009F72DA">
        <w:rPr>
          <w:lang w:val="pl-PL"/>
        </w:rPr>
        <w:t xml:space="preserve"> Tekst wyroku w języku polskim jest dostępny na stronie: </w:t>
      </w:r>
    </w:p>
    <w:p w:rsidR="006E3B7E" w:rsidRPr="00EA27A1" w:rsidP="006E3B7E">
      <w:pPr>
        <w:pStyle w:val="EndnoteText"/>
        <w:ind w:right="-188"/>
        <w:rPr>
          <w:lang w:val="pl-PL"/>
        </w:rPr>
      </w:pPr>
      <w:hyperlink r:id="rId1" w:history="1">
        <w:r w:rsidRPr="00EA27A1">
          <w:rPr>
            <w:rStyle w:val="Hyperlink"/>
            <w:lang w:val="pl-PL"/>
          </w:rPr>
          <w:t>https://eur-lex.europa.eu/legal-content/PL/TXT/HTML/?uri=CELEX:62004CJ0418&amp;from=FR</w:t>
        </w:r>
      </w:hyperlink>
      <w:r w:rsidRPr="00EA27A1">
        <w:rPr>
          <w:lang w:val="pl-PL"/>
        </w:rPr>
        <w:t xml:space="preserve"> </w:t>
      </w:r>
    </w:p>
  </w:endnote>
  <w:endnote w:id="3">
    <w:p w:rsidR="00EB4E76" w:rsidRPr="009F72DA" w:rsidP="00EB4E76">
      <w:pPr>
        <w:pStyle w:val="EndnoteText"/>
        <w:rPr>
          <w:lang w:val="pl-PL"/>
        </w:rPr>
      </w:pPr>
      <w:r>
        <w:rPr>
          <w:rStyle w:val="EndnoteReference"/>
        </w:rPr>
        <w:endnoteRef/>
      </w:r>
      <w:r w:rsidRPr="00EB4E76">
        <w:rPr>
          <w:lang w:val="pl-PL"/>
        </w:rPr>
        <w:t xml:space="preserve"> </w:t>
      </w:r>
      <w:r w:rsidRPr="009F72DA">
        <w:rPr>
          <w:lang w:val="pl-PL"/>
        </w:rPr>
        <w:t xml:space="preserve">Tekst w języku polskim jest dostępny na stronie: </w:t>
      </w:r>
    </w:p>
    <w:p w:rsidR="00EB4E76" w:rsidRPr="00EB4E76">
      <w:pPr>
        <w:pStyle w:val="EndnoteText"/>
        <w:rPr>
          <w:lang w:val="pl-PL"/>
        </w:rPr>
      </w:pPr>
      <w:hyperlink r:id="rId2" w:history="1">
        <w:r w:rsidRPr="00502B55">
          <w:rPr>
            <w:rStyle w:val="Hyperlink"/>
            <w:lang w:val="pl-PL"/>
          </w:rPr>
          <w:t>http://hudoc.echr.coe.int/eng?i=001-175433</w:t>
        </w:r>
      </w:hyperlink>
      <w:r>
        <w:rPr>
          <w:lang w:val="pl-P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3F" w:rsidRPr="0071773F" w:rsidP="0071773F"/>
  <w:p w:rsidR="0071773F" w:rsidP="0071773F">
    <w:pPr>
      <w:pStyle w:val="ECHRFooter"/>
    </w:pPr>
    <w:r>
      <w:tab/>
    </w:r>
    <w:r>
      <w:rPr>
        <w:noProof/>
        <w:lang w:val="fr-FR" w:eastAsia="fr-FR"/>
      </w:rPr>
      <w:drawing>
        <wp:inline distT="0" distB="0" distL="0" distR="0">
          <wp:extent cx="765175" cy="609600"/>
          <wp:effectExtent l="0" t="0" r="0" b="0"/>
          <wp:docPr id="2" name="Picture 3" descr="R:\1_Graphics&amp;Web\Court_Graphic_Charter\2013\ECHR_Stationery\Documents\Internal_Correspondence\Internal_CS6_COE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:\1_Graphics&amp;Web\Court_Graphic_Charter\2013\ECHR_Stationery\Documents\Internal_Correspondence\Internal_CS6_COE_Foote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51474" w:rsidP="00C63262">
      <w:r>
        <w:separator/>
      </w:r>
    </w:p>
  </w:footnote>
  <w:footnote w:type="continuationSeparator" w:id="1">
    <w:p w:rsidR="00551474" w:rsidP="00C63262">
      <w:r>
        <w:continuationSeparator/>
      </w:r>
    </w:p>
  </w:footnote>
  <w:footnote w:id="2">
    <w:p w:rsidR="006C3D05" w:rsidRPr="008279B2" w:rsidP="006C3D05">
      <w:pPr>
        <w:pStyle w:val="FootnoteText"/>
        <w:spacing w:after="120"/>
        <w:jc w:val="both"/>
        <w:rPr>
          <w:lang w:val="pl-PL"/>
        </w:rPr>
      </w:pPr>
      <w:r>
        <w:rPr>
          <w:rStyle w:val="FootnoteReference"/>
        </w:rPr>
        <w:footnoteRef/>
      </w:r>
      <w:r w:rsidRPr="008279B2">
        <w:rPr>
          <w:lang w:val="pl-PL"/>
        </w:rPr>
        <w:t xml:space="preserve"> </w:t>
      </w:r>
      <w:r w:rsidRPr="00760988">
        <w:rPr>
          <w:rFonts w:asciiTheme="minorHAnsi" w:hAnsiTheme="minorHAnsi"/>
          <w:lang w:val="pl-PL"/>
        </w:rPr>
        <w:t xml:space="preserve">Konwencja o ochronie </w:t>
      </w:r>
      <w:r w:rsidRPr="00760988">
        <w:rPr>
          <w:rFonts w:asciiTheme="minorHAnsi" w:hAnsiTheme="minorHAnsi"/>
          <w:lang w:val="pl-PL"/>
        </w:rPr>
        <w:t>praw</w:t>
      </w:r>
      <w:r w:rsidRPr="00760988">
        <w:rPr>
          <w:rFonts w:asciiTheme="minorHAnsi" w:hAnsiTheme="minorHAnsi"/>
          <w:lang w:val="pl-PL"/>
        </w:rPr>
        <w:t xml:space="preserve"> człowieka i podstawowych wolności, sporządzona w Rzymie dnia 4 listopada 1950 r. (Dz. U. </w:t>
      </w:r>
      <w:r w:rsidRPr="00760988">
        <w:rPr>
          <w:rFonts w:asciiTheme="minorHAnsi" w:hAnsiTheme="minorHAnsi"/>
          <w:lang w:val="pl-PL"/>
        </w:rPr>
        <w:t>z</w:t>
      </w:r>
      <w:r w:rsidRPr="00760988">
        <w:rPr>
          <w:rFonts w:asciiTheme="minorHAnsi" w:hAnsiTheme="minorHAnsi"/>
          <w:lang w:val="pl-PL"/>
        </w:rPr>
        <w:t xml:space="preserve"> 1993 r. Nr 61, poz. 284, z późn. </w:t>
      </w:r>
      <w:r w:rsidRPr="00760988">
        <w:rPr>
          <w:rFonts w:asciiTheme="minorHAnsi" w:hAnsiTheme="minorHAnsi"/>
          <w:lang w:val="pl-PL"/>
        </w:rPr>
        <w:t>zm</w:t>
      </w:r>
      <w:r w:rsidRPr="00760988">
        <w:rPr>
          <w:rFonts w:asciiTheme="minorHAnsi" w:hAnsiTheme="minorHAnsi"/>
          <w:lang w:val="pl-PL"/>
        </w:rPr>
        <w:t>.)</w:t>
      </w:r>
      <w:r>
        <w:rPr>
          <w:rFonts w:asciiTheme="minorHAnsi" w:hAnsiTheme="minorHAnsi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6496999"/>
      <w:docPartObj>
        <w:docPartGallery w:val="Page Numbers (Top of Page)"/>
        <w:docPartUnique/>
      </w:docPartObj>
    </w:sdtPr>
    <w:sdtContent>
      <w:p w:rsidR="0071773F" w:rsidP="00370754">
        <w:pPr>
          <w:pStyle w:val="Header"/>
        </w:pPr>
        <w:r>
          <w:tab/>
        </w:r>
        <w:r>
          <w:rPr>
            <w:rFonts w:ascii="Symbol" w:hAnsi="Symbol"/>
          </w:rPr>
          <w:sym w:font="Symbol" w:char="F02D"/>
        </w:r>
        <w:r>
          <w:t xml:space="preserve"> </w:t>
        </w:r>
        <w:r>
          <w:rPr>
            <w:lang w:val="fr-FR"/>
          </w:rPr>
          <w:fldChar w:fldCharType="begin"/>
        </w:r>
        <w:r w:rsidRPr="00F921AB">
          <w:instrText xml:space="preserve"> PAGE </w:instrText>
        </w:r>
        <w:r>
          <w:rPr>
            <w:lang w:val="fr-FR"/>
          </w:rPr>
          <w:fldChar w:fldCharType="separate"/>
        </w:r>
        <w:r w:rsidR="0084546D">
          <w:rPr>
            <w:noProof/>
          </w:rPr>
          <w:t>3</w:t>
        </w:r>
        <w:r>
          <w:rPr>
            <w:lang w:val="fr-FR"/>
          </w:rPr>
          <w:fldChar w:fldCharType="end"/>
        </w:r>
        <w:r>
          <w:t xml:space="preserve"> </w:t>
        </w:r>
        <w:r>
          <w:rPr>
            <w:rFonts w:ascii="Symbol" w:hAnsi="Symbol"/>
          </w:rPr>
          <w:sym w:font="Symbol" w:char="F02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3F" w:rsidP="004A5B52">
    <w:pPr>
      <w:pStyle w:val="Header"/>
    </w:pPr>
    <w:r>
      <w:tab/>
    </w:r>
    <w:r>
      <w:rPr>
        <w:noProof/>
        <w:lang w:val="fr-FR" w:eastAsia="fr-FR"/>
      </w:rPr>
      <w:drawing>
        <wp:inline distT="0" distB="0" distL="0" distR="0">
          <wp:extent cx="2962275" cy="1219200"/>
          <wp:effectExtent l="0" t="0" r="9525" b="0"/>
          <wp:docPr id="1" name="Picture 1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F0"/>
    <w:rsid w:val="00037CCC"/>
    <w:rsid w:val="0004377F"/>
    <w:rsid w:val="0006622F"/>
    <w:rsid w:val="00097888"/>
    <w:rsid w:val="000C0A9E"/>
    <w:rsid w:val="000F13B5"/>
    <w:rsid w:val="00107377"/>
    <w:rsid w:val="00120600"/>
    <w:rsid w:val="00143602"/>
    <w:rsid w:val="001502BE"/>
    <w:rsid w:val="001769E4"/>
    <w:rsid w:val="0018274E"/>
    <w:rsid w:val="00186560"/>
    <w:rsid w:val="001C26BB"/>
    <w:rsid w:val="001C66B4"/>
    <w:rsid w:val="001D79E9"/>
    <w:rsid w:val="001F632B"/>
    <w:rsid w:val="00201F1F"/>
    <w:rsid w:val="00204702"/>
    <w:rsid w:val="00212E83"/>
    <w:rsid w:val="00222B71"/>
    <w:rsid w:val="00225C08"/>
    <w:rsid w:val="00246A8B"/>
    <w:rsid w:val="00272992"/>
    <w:rsid w:val="00286402"/>
    <w:rsid w:val="00295414"/>
    <w:rsid w:val="002966E7"/>
    <w:rsid w:val="002C6C7F"/>
    <w:rsid w:val="002E088D"/>
    <w:rsid w:val="0030264F"/>
    <w:rsid w:val="003429E8"/>
    <w:rsid w:val="003450B3"/>
    <w:rsid w:val="003546DC"/>
    <w:rsid w:val="00370754"/>
    <w:rsid w:val="00386958"/>
    <w:rsid w:val="00387FC8"/>
    <w:rsid w:val="003A64A6"/>
    <w:rsid w:val="003D7BB3"/>
    <w:rsid w:val="003F625E"/>
    <w:rsid w:val="004057A7"/>
    <w:rsid w:val="004402EF"/>
    <w:rsid w:val="0046420F"/>
    <w:rsid w:val="0046453F"/>
    <w:rsid w:val="00491D7C"/>
    <w:rsid w:val="00495EB6"/>
    <w:rsid w:val="004A5B52"/>
    <w:rsid w:val="004D568D"/>
    <w:rsid w:val="004E1037"/>
    <w:rsid w:val="00502B55"/>
    <w:rsid w:val="0052092D"/>
    <w:rsid w:val="005356F4"/>
    <w:rsid w:val="00540D75"/>
    <w:rsid w:val="00551474"/>
    <w:rsid w:val="005514E5"/>
    <w:rsid w:val="005539F7"/>
    <w:rsid w:val="005763D9"/>
    <w:rsid w:val="005C7BC4"/>
    <w:rsid w:val="005D1213"/>
    <w:rsid w:val="005D7938"/>
    <w:rsid w:val="006028A1"/>
    <w:rsid w:val="00603073"/>
    <w:rsid w:val="00631A28"/>
    <w:rsid w:val="00635076"/>
    <w:rsid w:val="00644761"/>
    <w:rsid w:val="006546F0"/>
    <w:rsid w:val="00661BFF"/>
    <w:rsid w:val="006623D3"/>
    <w:rsid w:val="00664900"/>
    <w:rsid w:val="006A36AD"/>
    <w:rsid w:val="006C1D96"/>
    <w:rsid w:val="006C3D05"/>
    <w:rsid w:val="006E3B7E"/>
    <w:rsid w:val="0071773F"/>
    <w:rsid w:val="00760988"/>
    <w:rsid w:val="00774515"/>
    <w:rsid w:val="007B618A"/>
    <w:rsid w:val="008279B2"/>
    <w:rsid w:val="0084546D"/>
    <w:rsid w:val="00895EF3"/>
    <w:rsid w:val="008A4BAF"/>
    <w:rsid w:val="008C64D5"/>
    <w:rsid w:val="008F5883"/>
    <w:rsid w:val="00903D38"/>
    <w:rsid w:val="0093233B"/>
    <w:rsid w:val="00940369"/>
    <w:rsid w:val="00964644"/>
    <w:rsid w:val="00973E64"/>
    <w:rsid w:val="009B3B2C"/>
    <w:rsid w:val="009D3DC1"/>
    <w:rsid w:val="009E3EF0"/>
    <w:rsid w:val="009F72DA"/>
    <w:rsid w:val="00A01052"/>
    <w:rsid w:val="00A04D9C"/>
    <w:rsid w:val="00A23B43"/>
    <w:rsid w:val="00A258BB"/>
    <w:rsid w:val="00A33541"/>
    <w:rsid w:val="00A449E0"/>
    <w:rsid w:val="00A45616"/>
    <w:rsid w:val="00A73921"/>
    <w:rsid w:val="00A83A19"/>
    <w:rsid w:val="00AA3231"/>
    <w:rsid w:val="00AA524D"/>
    <w:rsid w:val="00AC7726"/>
    <w:rsid w:val="00AD789F"/>
    <w:rsid w:val="00AF3AEF"/>
    <w:rsid w:val="00B33ABC"/>
    <w:rsid w:val="00B47B77"/>
    <w:rsid w:val="00B754C7"/>
    <w:rsid w:val="00B80CA0"/>
    <w:rsid w:val="00B85770"/>
    <w:rsid w:val="00B93314"/>
    <w:rsid w:val="00BA5314"/>
    <w:rsid w:val="00BB650E"/>
    <w:rsid w:val="00BF1CD9"/>
    <w:rsid w:val="00C37433"/>
    <w:rsid w:val="00C63262"/>
    <w:rsid w:val="00C72355"/>
    <w:rsid w:val="00C902A3"/>
    <w:rsid w:val="00C93CFB"/>
    <w:rsid w:val="00CA3FB6"/>
    <w:rsid w:val="00CF7BA6"/>
    <w:rsid w:val="00D03036"/>
    <w:rsid w:val="00D36E39"/>
    <w:rsid w:val="00D42086"/>
    <w:rsid w:val="00D425B3"/>
    <w:rsid w:val="00D506D3"/>
    <w:rsid w:val="00DD6A05"/>
    <w:rsid w:val="00DF48B8"/>
    <w:rsid w:val="00DF5E7F"/>
    <w:rsid w:val="00E01D57"/>
    <w:rsid w:val="00E04B2E"/>
    <w:rsid w:val="00E3167A"/>
    <w:rsid w:val="00E34FE8"/>
    <w:rsid w:val="00E55491"/>
    <w:rsid w:val="00E74794"/>
    <w:rsid w:val="00E83DB6"/>
    <w:rsid w:val="00E9091D"/>
    <w:rsid w:val="00EA1823"/>
    <w:rsid w:val="00EA27A1"/>
    <w:rsid w:val="00EA53E7"/>
    <w:rsid w:val="00EB4E76"/>
    <w:rsid w:val="00F508C9"/>
    <w:rsid w:val="00F50CCD"/>
    <w:rsid w:val="00F5247C"/>
    <w:rsid w:val="00F73A58"/>
    <w:rsid w:val="00F863B7"/>
    <w:rsid w:val="00F921AB"/>
    <w:rsid w:val="00FA29ED"/>
    <w:rsid w:val="00FA38F3"/>
  </w:rsids>
  <m:mathPr>
    <m:mathFont m:val="Cambria Math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header" w:uiPriority="48"/>
    <w:lsdException w:name="footer" w:uiPriority="49"/>
    <w:lsdException w:name="caption" w:qFormat="1"/>
    <w:lsdException w:name="footnote reference" w:uiPriority="99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4E1037"/>
    <w:rPr>
      <w:rFonts w:ascii="Verdana" w:hAnsi="Verdana"/>
      <w:szCs w:val="24"/>
    </w:rPr>
  </w:style>
  <w:style w:type="paragraph" w:styleId="Heading1">
    <w:name w:val="heading 1"/>
    <w:basedOn w:val="Normal"/>
    <w:next w:val="Normal"/>
    <w:semiHidden/>
    <w:qFormat/>
    <w:rsid w:val="00903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inMainKeywordCode">
    <w:name w:val="ClinMainKeywordCode"/>
    <w:basedOn w:val="Normal"/>
    <w:next w:val="Normal"/>
    <w:qFormat/>
    <w:rsid w:val="00143602"/>
    <w:pPr>
      <w:keepNext/>
      <w:spacing w:before="240" w:after="240"/>
    </w:pPr>
    <w:rPr>
      <w:b/>
      <w:sz w:val="24"/>
      <w:szCs w:val="32"/>
    </w:rPr>
  </w:style>
  <w:style w:type="paragraph" w:customStyle="1" w:styleId="ClinChildKeywordCode">
    <w:name w:val="ClinChildKeywordCode"/>
    <w:basedOn w:val="Normal"/>
    <w:next w:val="Normal"/>
    <w:qFormat/>
    <w:rsid w:val="004E1037"/>
    <w:pPr>
      <w:spacing w:before="240" w:after="240"/>
    </w:pPr>
    <w:rPr>
      <w:b/>
      <w:szCs w:val="22"/>
    </w:rPr>
  </w:style>
  <w:style w:type="paragraph" w:customStyle="1" w:styleId="ClinKeyword">
    <w:name w:val="ClinKeyword"/>
    <w:basedOn w:val="Normal"/>
    <w:qFormat/>
    <w:rsid w:val="00037CCC"/>
    <w:pPr>
      <w:keepNext/>
      <w:spacing w:before="240" w:after="100" w:afterAutospacing="1"/>
    </w:pPr>
    <w:rPr>
      <w:b/>
    </w:rPr>
  </w:style>
  <w:style w:type="character" w:customStyle="1" w:styleId="ClinCaseTitle">
    <w:name w:val="ClinCaseTitle"/>
    <w:basedOn w:val="DefaultParagraphFont"/>
    <w:qFormat/>
    <w:rsid w:val="009B3B2C"/>
    <w:rPr>
      <w:rFonts w:ascii="Verdana" w:hAnsi="Verdana" w:cs="Times New Roman"/>
      <w:b/>
      <w:i/>
      <w:sz w:val="24"/>
    </w:rPr>
  </w:style>
  <w:style w:type="character" w:customStyle="1" w:styleId="ClinHudocDocumentTitle">
    <w:name w:val="ClinHudocDocumentTitle"/>
    <w:basedOn w:val="DefaultParagraphFont"/>
    <w:qFormat/>
    <w:rsid w:val="00A33541"/>
    <w:rPr>
      <w:rFonts w:ascii="Verdana" w:hAnsi="Verdana" w:cs="Times New Roman"/>
      <w:color w:val="auto"/>
    </w:rPr>
  </w:style>
  <w:style w:type="character" w:customStyle="1" w:styleId="ClinConclusions">
    <w:name w:val="ClinConclusions"/>
    <w:basedOn w:val="DefaultParagraphFont"/>
    <w:qFormat/>
    <w:rsid w:val="00C93CFB"/>
    <w:rPr>
      <w:rFonts w:ascii="Verdana" w:hAnsi="Verdana" w:cs="Times New Roman"/>
      <w:i/>
      <w:iCs/>
      <w:color w:val="auto"/>
    </w:rPr>
  </w:style>
  <w:style w:type="paragraph" w:customStyle="1" w:styleId="ClinKeyNotions">
    <w:name w:val="ClinKeyNotions"/>
    <w:basedOn w:val="Normal"/>
    <w:qFormat/>
    <w:rsid w:val="00D42086"/>
  </w:style>
  <w:style w:type="character" w:customStyle="1" w:styleId="ClinApplicationNumber">
    <w:name w:val="ClinApplicationNumber"/>
    <w:basedOn w:val="DefaultParagraphFont"/>
    <w:qFormat/>
    <w:rsid w:val="00C93CFB"/>
    <w:rPr>
      <w:rFonts w:ascii="Verdana" w:hAnsi="Verdana" w:cs="Times New Roman"/>
      <w:b/>
      <w:sz w:val="24"/>
    </w:rPr>
  </w:style>
  <w:style w:type="character" w:customStyle="1" w:styleId="ClinSectionName">
    <w:name w:val="ClinSectionName"/>
    <w:basedOn w:val="DefaultParagraphFont"/>
    <w:qFormat/>
    <w:rsid w:val="00A33541"/>
    <w:rPr>
      <w:rFonts w:ascii="Verdana" w:hAnsi="Verdana" w:cs="Times New Roman"/>
    </w:rPr>
  </w:style>
  <w:style w:type="character" w:customStyle="1" w:styleId="ClinHeadNote">
    <w:name w:val="ClinHeadNote"/>
    <w:basedOn w:val="DefaultParagraphFont"/>
    <w:qFormat/>
    <w:rsid w:val="00D42086"/>
    <w:rPr>
      <w:rFonts w:cs="Times New Roman"/>
    </w:rPr>
  </w:style>
  <w:style w:type="paragraph" w:customStyle="1" w:styleId="ClinContent">
    <w:name w:val="ClinContent"/>
    <w:basedOn w:val="Normal"/>
    <w:qFormat/>
    <w:rsid w:val="00D42086"/>
    <w:pPr>
      <w:spacing w:before="240"/>
      <w:jc w:val="both"/>
    </w:pPr>
  </w:style>
  <w:style w:type="paragraph" w:customStyle="1" w:styleId="ClinEditionNumber">
    <w:name w:val="ClinEditionNumber"/>
    <w:basedOn w:val="ClinContent"/>
    <w:qFormat/>
    <w:rsid w:val="00C37433"/>
    <w:pPr>
      <w:spacing w:after="240"/>
    </w:pPr>
  </w:style>
  <w:style w:type="paragraph" w:customStyle="1" w:styleId="ClinEditionMonth">
    <w:name w:val="ClinEditionMonth"/>
    <w:basedOn w:val="ClinContent"/>
    <w:qFormat/>
    <w:rsid w:val="00D42086"/>
    <w:pPr>
      <w:keepNext/>
      <w:pBdr>
        <w:bottom w:val="single" w:sz="4" w:space="1" w:color="auto"/>
      </w:pBdr>
      <w:spacing w:before="0" w:after="360"/>
      <w:contextualSpacing/>
    </w:pPr>
  </w:style>
  <w:style w:type="paragraph" w:customStyle="1" w:styleId="ClinFooter">
    <w:name w:val="ClinFooter"/>
    <w:basedOn w:val="ClinContent"/>
    <w:qFormat/>
    <w:rsid w:val="00631A28"/>
    <w:pPr>
      <w:jc w:val="center"/>
    </w:pPr>
  </w:style>
  <w:style w:type="character" w:styleId="Hyperlink">
    <w:name w:val="Hyperlink"/>
    <w:basedOn w:val="DefaultParagraphFont"/>
    <w:qFormat/>
    <w:rsid w:val="00F508C9"/>
    <w:rPr>
      <w:color w:val="0069D6"/>
      <w:u w:val="single"/>
    </w:rPr>
  </w:style>
  <w:style w:type="paragraph" w:styleId="Header">
    <w:name w:val="header"/>
    <w:basedOn w:val="Normal"/>
    <w:link w:val="HeaderChar"/>
    <w:uiPriority w:val="48"/>
    <w:rsid w:val="004A5B52"/>
    <w:pPr>
      <w:tabs>
        <w:tab w:val="center" w:pos="4536"/>
        <w:tab w:val="right" w:pos="9696"/>
      </w:tabs>
      <w:ind w:left="-680" w:right="-6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48"/>
    <w:rsid w:val="004A5B5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49"/>
    <w:semiHidden/>
    <w:rsid w:val="004A5B52"/>
    <w:pPr>
      <w:tabs>
        <w:tab w:val="center" w:pos="4536"/>
        <w:tab w:val="right" w:pos="9696"/>
      </w:tabs>
      <w:ind w:left="-680" w:right="-6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49"/>
    <w:semiHidden/>
    <w:rsid w:val="004A5B5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CHRCoverTitle1">
    <w:name w:val="ECHR_Cover_Title_1"/>
    <w:aliases w:val="Cover_1"/>
    <w:basedOn w:val="Normal"/>
    <w:next w:val="Normal"/>
    <w:uiPriority w:val="24"/>
    <w:qFormat/>
    <w:rsid w:val="00C63262"/>
    <w:pPr>
      <w:spacing w:before="840"/>
      <w:contextualSpacing/>
      <w:jc w:val="center"/>
    </w:pPr>
    <w:rPr>
      <w:rFonts w:asciiTheme="minorHAnsi" w:eastAsiaTheme="minorHAnsi" w:hAnsiTheme="minorHAnsi" w:cstheme="minorBidi"/>
      <w:color w:val="2F2F2F" w:themeColor="accent3" w:themeShade="80"/>
      <w:sz w:val="36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C63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3262"/>
    <w:rPr>
      <w:rFonts w:ascii="Tahoma" w:hAnsi="Tahoma" w:cs="Tahoma"/>
      <w:sz w:val="16"/>
      <w:szCs w:val="16"/>
    </w:rPr>
  </w:style>
  <w:style w:type="paragraph" w:customStyle="1" w:styleId="ECHRFooter">
    <w:name w:val="ECHR_Footer"/>
    <w:aliases w:val="Footer_ECHR"/>
    <w:basedOn w:val="Footer"/>
    <w:link w:val="ECHRFooterChar"/>
    <w:uiPriority w:val="40"/>
    <w:rsid w:val="00C63262"/>
    <w:rPr>
      <w:sz w:val="8"/>
    </w:rPr>
  </w:style>
  <w:style w:type="character" w:customStyle="1" w:styleId="ECHRFooterChar">
    <w:name w:val="ECHR_Footer Char"/>
    <w:basedOn w:val="DefaultParagraphFont"/>
    <w:link w:val="ECHRFooter"/>
    <w:uiPriority w:val="40"/>
    <w:rsid w:val="00C63262"/>
    <w:rPr>
      <w:rFonts w:asciiTheme="minorHAnsi" w:eastAsiaTheme="minorHAnsi" w:hAnsiTheme="minorHAnsi" w:cstheme="minorBidi"/>
      <w:sz w:val="8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rPr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Verdana" w:hAnsi="Verdana"/>
    </w:rPr>
  </w:style>
  <w:style w:type="paragraph" w:customStyle="1" w:styleId="s6e50bd9a">
    <w:name w:val="s6e50bd9a"/>
    <w:basedOn w:val="Normal"/>
    <w:uiPriority w:val="99"/>
    <w:rsid w:val="00B93314"/>
    <w:pPr>
      <w:spacing w:before="100" w:beforeAutospacing="1" w:after="100" w:afterAutospacing="1"/>
    </w:pPr>
    <w:rPr>
      <w:rFonts w:ascii="Times New Roman" w:hAnsi="Times New Roman"/>
      <w:sz w:val="24"/>
      <w:lang w:val="pl-PL" w:eastAsia="pl-PL"/>
    </w:rPr>
  </w:style>
  <w:style w:type="character" w:customStyle="1" w:styleId="s4f807e54">
    <w:name w:val="s4f807e54"/>
    <w:basedOn w:val="DefaultParagraphFont"/>
    <w:uiPriority w:val="99"/>
    <w:rsid w:val="00B93314"/>
  </w:style>
  <w:style w:type="character" w:customStyle="1" w:styleId="object">
    <w:name w:val="object"/>
    <w:basedOn w:val="DefaultParagraphFont"/>
    <w:rsid w:val="00B93314"/>
  </w:style>
  <w:style w:type="character" w:styleId="FollowedHyperlink">
    <w:name w:val="FollowedHyperlink"/>
    <w:basedOn w:val="DefaultParagraphFont"/>
    <w:semiHidden/>
    <w:unhideWhenUsed/>
    <w:rsid w:val="009F72DA"/>
    <w:rPr>
      <w:color w:val="7030A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9F72D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F72DA"/>
    <w:rPr>
      <w:rFonts w:ascii="Verdana" w:hAnsi="Verdana"/>
    </w:rPr>
  </w:style>
  <w:style w:type="character" w:styleId="EndnoteReference">
    <w:name w:val="endnote reference"/>
    <w:basedOn w:val="DefaultParagraphFont"/>
    <w:semiHidden/>
    <w:unhideWhenUsed/>
    <w:rsid w:val="009F72DA"/>
    <w:rPr>
      <w:vertAlign w:val="superscript"/>
    </w:rPr>
  </w:style>
  <w:style w:type="paragraph" w:customStyle="1" w:styleId="s746c8714">
    <w:name w:val="s746c8714"/>
    <w:basedOn w:val="Normal"/>
    <w:uiPriority w:val="99"/>
    <w:rsid w:val="003F625E"/>
    <w:pPr>
      <w:spacing w:before="100" w:beforeAutospacing="1" w:after="100" w:afterAutospacing="1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hudoc.echr.coe.int/eng?i=002-3835" TargetMode="External" /><Relationship Id="rId11" Type="http://schemas.openxmlformats.org/officeDocument/2006/relationships/hyperlink" Target="http://hudoc.echr.coe.int/eng?i=001-109541" TargetMode="External" /><Relationship Id="rId12" Type="http://schemas.openxmlformats.org/officeDocument/2006/relationships/hyperlink" Target="http://hudoc.echr.coe.int/eng?i=002-11168" TargetMode="External" /><Relationship Id="rId13" Type="http://schemas.openxmlformats.org/officeDocument/2006/relationships/hyperlink" Target="http://www.echr.coe.int/NoteInformation/en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endnotes" Target="endnote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yperlink" Target="http://www.gov.pl/diplomacy" TargetMode="External" /><Relationship Id="rId8" Type="http://schemas.openxmlformats.org/officeDocument/2006/relationships/hyperlink" Target="http://www.gov.pl/dyplomacja" TargetMode="External" /><Relationship Id="rId9" Type="http://schemas.openxmlformats.org/officeDocument/2006/relationships/hyperlink" Target="http://eur-lex.europa.eu/legal-content/FR/TXT/?uri=CELEX:62004CJ0418" TargetMode="External" /></Relationships>
</file>

<file path=word/_rels/endnotes.xml.rels><?xml version="1.0" encoding="utf-8" standalone="yes"?><Relationships xmlns="http://schemas.openxmlformats.org/package/2006/relationships"><Relationship Id="rId1" Type="http://schemas.openxmlformats.org/officeDocument/2006/relationships/hyperlink" Target="https://eur-lex.europa.eu/legal-content/PL/TXT/HTML/?uri=CELEX:62004CJ0418&amp;from=FR" TargetMode="External" /><Relationship Id="rId2" Type="http://schemas.openxmlformats.org/officeDocument/2006/relationships/hyperlink" Target="http://hudoc.echr.coe.int/eng?i=001-175433" TargetMode="Externa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ECHR_Theme_GREY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 document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1F5A-6C5B-4BCB-9E64-8CCC85B1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7685</Characters>
  <Application>Microsoft Office Word</Application>
  <DocSecurity>0</DocSecurity>
  <Lines>130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cp:revision>1</cp:revision>
  <dcterms:created xsi:type="dcterms:W3CDTF">2019-06-13T09:15:00Z</dcterms:created>
  <dcterms:modified xsi:type="dcterms:W3CDTF">2019-06-13T09:15:00Z</dcterms:modified>
</cp:coreProperties>
</file>