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F9B" w:rsidP="00013F9B" w:rsidRDefault="00013F9B">
      <w:pPr>
        <w:pStyle w:val="Header"/>
        <w:jc w:val="both"/>
        <w:rPr>
          <w:sz w:val="20"/>
          <w:lang w:val="sq-AL"/>
        </w:rPr>
      </w:pPr>
      <w:bookmarkStart w:name="_GoBack" w:id="0"/>
      <w:bookmarkEnd w:id="0"/>
      <w:r>
        <w:rPr>
          <w:sz w:val="20"/>
          <w:lang w:val="sq-AL"/>
        </w:rPr>
        <w:t>© Këshilli i Evropës/Gjykata Evropiane e të Drejtave të Njeriut, 2014. Ky përkthim është bërë me mbështetjen e Fondit të Mirëbesimit për të Drejtat e Njeriut të Këshillit të Evropës (</w:t>
      </w:r>
      <w:hyperlink w:history="1" r:id="rId7">
        <w:r>
          <w:rPr>
            <w:rStyle w:val="Hyperlink"/>
            <w:sz w:val="20"/>
            <w:lang w:val="sq-AL"/>
          </w:rPr>
          <w:t>www.coe.int/humanrightstrustfund</w:t>
        </w:r>
      </w:hyperlink>
      <w:r>
        <w:rPr>
          <w:sz w:val="20"/>
          <w:lang w:val="sq-AL"/>
        </w:rPr>
        <w:t>). Ai nuk e kushtëzon Gjykatën. Për informacione të mëtejshme, të shihet shënimi i plotë për të drejtën e autorit në fund të këtij dokumenti.</w:t>
      </w:r>
    </w:p>
    <w:p w:rsidR="00013F9B" w:rsidP="00013F9B" w:rsidRDefault="00013F9B">
      <w:pPr>
        <w:pStyle w:val="Header"/>
        <w:jc w:val="both"/>
        <w:rPr>
          <w:sz w:val="20"/>
          <w:lang w:val="sq-AL"/>
        </w:rPr>
      </w:pPr>
    </w:p>
    <w:p w:rsidR="00013F9B" w:rsidP="00013F9B" w:rsidRDefault="00013F9B">
      <w:pPr>
        <w:pStyle w:val="Header"/>
        <w:jc w:val="both"/>
        <w:rPr>
          <w:sz w:val="20"/>
          <w:lang w:val="sq-AL"/>
        </w:rPr>
      </w:pPr>
    </w:p>
    <w:p w:rsidR="00013F9B" w:rsidP="00013F9B" w:rsidRDefault="00013F9B">
      <w:pPr>
        <w:pStyle w:val="Header"/>
        <w:jc w:val="both"/>
        <w:rPr>
          <w:sz w:val="20"/>
          <w:lang w:val="en-US"/>
        </w:rPr>
      </w:pPr>
      <w:r>
        <w:rPr>
          <w:sz w:val="20"/>
          <w:lang w:val="en-US"/>
        </w:rPr>
        <w:t>© Council of Europe/European Court of Human Rights, 2014. This translation was commissioned with the support of the Human Rights Trust Fund of the Council of Europe (</w:t>
      </w:r>
      <w:hyperlink w:history="1" r:id="rId8">
        <w:r>
          <w:rPr>
            <w:rStyle w:val="Hyperlink"/>
            <w:sz w:val="20"/>
            <w:lang w:val="en-US"/>
          </w:rPr>
          <w:t>www.coe.int/humanrightstrustfund</w:t>
        </w:r>
      </w:hyperlink>
      <w:r>
        <w:rPr>
          <w:sz w:val="20"/>
          <w:lang w:val="en-US"/>
        </w:rPr>
        <w:t>). It does not bind the Court. For further information see the full copyright indication at the end of this document.</w:t>
      </w:r>
    </w:p>
    <w:p w:rsidR="00013F9B" w:rsidP="00013F9B" w:rsidRDefault="00013F9B">
      <w:pPr>
        <w:pStyle w:val="Header"/>
        <w:jc w:val="both"/>
        <w:rPr>
          <w:sz w:val="20"/>
          <w:lang w:val="en-US"/>
        </w:rPr>
      </w:pPr>
    </w:p>
    <w:p w:rsidR="00013F9B" w:rsidP="00013F9B" w:rsidRDefault="00013F9B">
      <w:pPr>
        <w:pStyle w:val="Header"/>
        <w:jc w:val="both"/>
        <w:rPr>
          <w:sz w:val="20"/>
          <w:lang w:val="en-US"/>
        </w:rPr>
      </w:pPr>
    </w:p>
    <w:p w:rsidR="00013F9B" w:rsidP="00013F9B" w:rsidRDefault="00013F9B">
      <w:pPr>
        <w:pStyle w:val="Header"/>
        <w:jc w:val="both"/>
        <w:rPr>
          <w:sz w:val="20"/>
        </w:rPr>
      </w:pPr>
      <w:r>
        <w:rPr>
          <w:sz w:val="20"/>
        </w:rPr>
        <w:t>© Conseil de l</w:t>
      </w:r>
      <w:r w:rsidR="00943091">
        <w:rPr>
          <w:sz w:val="20"/>
        </w:rPr>
        <w:t>’</w:t>
      </w:r>
      <w:r>
        <w:rPr>
          <w:sz w:val="20"/>
        </w:rPr>
        <w:t>Europe/Cour européenne des droits de l</w:t>
      </w:r>
      <w:r w:rsidR="00943091">
        <w:rPr>
          <w:sz w:val="20"/>
        </w:rPr>
        <w:t>’</w:t>
      </w:r>
      <w:r>
        <w:rPr>
          <w:sz w:val="20"/>
        </w:rPr>
        <w:t>homme, 2014. La présente traduction a été effectuée avec le soutien du Fonds fiduciaire pour les droits de l</w:t>
      </w:r>
      <w:r w:rsidR="00943091">
        <w:rPr>
          <w:sz w:val="20"/>
        </w:rPr>
        <w:t>’</w:t>
      </w:r>
      <w:r>
        <w:rPr>
          <w:sz w:val="20"/>
        </w:rPr>
        <w:t>homme du Conseil de l</w:t>
      </w:r>
      <w:r w:rsidR="00943091">
        <w:rPr>
          <w:sz w:val="20"/>
        </w:rPr>
        <w:t>’</w:t>
      </w:r>
      <w:r>
        <w:rPr>
          <w:sz w:val="20"/>
        </w:rPr>
        <w:t>Europe (</w:t>
      </w:r>
      <w:hyperlink w:history="1" r:id="rId9">
        <w:r>
          <w:rPr>
            <w:rStyle w:val="Hyperlink"/>
            <w:sz w:val="20"/>
          </w:rPr>
          <w:t>www.coe.int/humanrightstrustfund</w:t>
        </w:r>
      </w:hyperlink>
      <w:r>
        <w:rPr>
          <w:sz w:val="20"/>
        </w:rPr>
        <w:t>). Elle ne lie pas la Cour. Pour plus de renseignements veuillez lire l</w:t>
      </w:r>
      <w:r w:rsidR="00943091">
        <w:rPr>
          <w:sz w:val="20"/>
        </w:rPr>
        <w:t>’</w:t>
      </w:r>
      <w:r>
        <w:rPr>
          <w:sz w:val="20"/>
        </w:rPr>
        <w:t>indication de copyright/droits d</w:t>
      </w:r>
      <w:r w:rsidR="00943091">
        <w:rPr>
          <w:sz w:val="20"/>
        </w:rPr>
        <w:t>’</w:t>
      </w:r>
      <w:r>
        <w:rPr>
          <w:sz w:val="20"/>
        </w:rPr>
        <w:t>auteur à la fin du présent document.</w:t>
      </w:r>
    </w:p>
    <w:p w:rsidR="00013F9B" w:rsidP="00013F9B" w:rsidRDefault="00013F9B">
      <w:pPr>
        <w:jc w:val="center"/>
        <w:sectPr w:rsidR="00013F9B" w:rsidSect="00EB737A">
          <w:headerReference w:type="default" r:id="rId10"/>
          <w:pgSz w:w="11906" w:h="16838" w:code="9"/>
          <w:pgMar w:top="2274" w:right="2274" w:bottom="2274" w:left="2274" w:header="1701" w:footer="720" w:gutter="0"/>
          <w:pgNumType w:start="1"/>
          <w:cols w:space="720"/>
          <w:noEndnote/>
          <w:docGrid w:linePitch="326"/>
        </w:sectPr>
      </w:pPr>
    </w:p>
    <w:p w:rsidRPr="00013F9B" w:rsidR="00013F9B" w:rsidP="00013F9B" w:rsidRDefault="00013F9B">
      <w:pPr>
        <w:jc w:val="center"/>
      </w:pPr>
    </w:p>
    <w:p w:rsidR="00013F9B" w:rsidP="00013F9B" w:rsidRDefault="00013F9B">
      <w:pPr>
        <w:jc w:val="center"/>
        <w:rPr>
          <w:lang w:val="sq-AL"/>
        </w:rPr>
      </w:pPr>
      <w:r>
        <w:rPr>
          <w:lang w:val="sq-AL"/>
        </w:rPr>
        <w:t>DHOMA E MADHE</w:t>
      </w:r>
    </w:p>
    <w:p w:rsidR="00013F9B" w:rsidP="00013F9B" w:rsidRDefault="00013F9B">
      <w:pPr>
        <w:tabs>
          <w:tab w:val="left" w:pos="4536"/>
        </w:tabs>
        <w:jc w:val="center"/>
        <w:rPr>
          <w:lang w:val="sq-AL"/>
        </w:rPr>
      </w:pPr>
    </w:p>
    <w:p w:rsidRPr="00DC5ED7" w:rsidR="00EB737A" w:rsidP="00EB737A" w:rsidRDefault="00EB737A">
      <w:pPr>
        <w:tabs>
          <w:tab w:val="left" w:pos="4536"/>
        </w:tabs>
        <w:jc w:val="center"/>
        <w:rPr>
          <w:lang w:val="sq-AL"/>
        </w:rPr>
      </w:pPr>
    </w:p>
    <w:p w:rsidRPr="00DC5ED7" w:rsidR="00EB737A" w:rsidP="00EB737A" w:rsidRDefault="00EB737A">
      <w:pPr>
        <w:jc w:val="center"/>
        <w:rPr>
          <w:lang w:val="sq-AL"/>
        </w:rPr>
      </w:pPr>
    </w:p>
    <w:p w:rsidRPr="00DC5ED7" w:rsidR="00EB737A" w:rsidP="00EB737A" w:rsidRDefault="00EB737A">
      <w:pPr>
        <w:jc w:val="center"/>
        <w:rPr>
          <w:lang w:val="sq-AL"/>
        </w:rPr>
      </w:pPr>
    </w:p>
    <w:p w:rsidRPr="00DC5ED7" w:rsidR="00EB737A" w:rsidP="00EB737A" w:rsidRDefault="00EB737A">
      <w:pPr>
        <w:jc w:val="center"/>
        <w:rPr>
          <w:lang w:val="sq-AL"/>
        </w:rPr>
      </w:pPr>
    </w:p>
    <w:p w:rsidRPr="00DC5ED7" w:rsidR="00EB737A" w:rsidP="00EB737A" w:rsidRDefault="00EB737A">
      <w:pPr>
        <w:jc w:val="center"/>
        <w:rPr>
          <w:lang w:val="sq-AL"/>
        </w:rPr>
      </w:pPr>
    </w:p>
    <w:p w:rsidRPr="00DC5ED7" w:rsidR="00EB737A" w:rsidP="00EB737A" w:rsidRDefault="00EB737A">
      <w:pPr>
        <w:jc w:val="center"/>
        <w:rPr>
          <w:lang w:val="sq-AL"/>
        </w:rPr>
      </w:pPr>
    </w:p>
    <w:p w:rsidRPr="00DC5ED7" w:rsidR="00EB737A" w:rsidP="00EB737A" w:rsidRDefault="00EB737A">
      <w:pPr>
        <w:jc w:val="center"/>
        <w:rPr>
          <w:lang w:val="sq-AL"/>
        </w:rPr>
      </w:pPr>
    </w:p>
    <w:p w:rsidRPr="00DC5ED7" w:rsidR="00EB737A" w:rsidP="00EB737A" w:rsidRDefault="00EB737A">
      <w:pPr>
        <w:jc w:val="center"/>
        <w:rPr>
          <w:b/>
          <w:lang w:val="sq-AL"/>
        </w:rPr>
      </w:pPr>
      <w:r w:rsidRPr="00DC5ED7">
        <w:rPr>
          <w:b/>
          <w:lang w:val="sq-AL"/>
        </w:rPr>
        <w:t>ÇËSHTA O</w:t>
      </w:r>
      <w:r w:rsidR="00943091">
        <w:rPr>
          <w:b/>
          <w:lang w:val="sq-AL"/>
        </w:rPr>
        <w:t>’</w:t>
      </w:r>
      <w:r w:rsidRPr="00DC5ED7">
        <w:rPr>
          <w:b/>
          <w:lang w:val="sq-AL"/>
        </w:rPr>
        <w:t>KEEFFE k. IRLANDËS</w:t>
      </w:r>
    </w:p>
    <w:p w:rsidRPr="00DC5ED7" w:rsidR="00EB737A" w:rsidP="00EB737A" w:rsidRDefault="00EB737A">
      <w:pPr>
        <w:jc w:val="center"/>
        <w:rPr>
          <w:lang w:val="sq-AL"/>
        </w:rPr>
      </w:pPr>
    </w:p>
    <w:p w:rsidRPr="00DC5ED7" w:rsidR="00EB737A" w:rsidP="00EB737A" w:rsidRDefault="00EB737A">
      <w:pPr>
        <w:jc w:val="center"/>
        <w:rPr>
          <w:i/>
          <w:lang w:val="sq-AL"/>
        </w:rPr>
      </w:pPr>
      <w:r w:rsidRPr="00DC5ED7">
        <w:rPr>
          <w:i/>
          <w:lang w:val="sq-AL"/>
        </w:rPr>
        <w:t>(Kërkesëpadia nr. 35810/09)</w:t>
      </w: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r w:rsidRPr="00DC5ED7">
        <w:rPr>
          <w:szCs w:val="24"/>
          <w:lang w:val="sq-AL"/>
        </w:rPr>
        <w:t>VENDIM</w:t>
      </w:r>
    </w:p>
    <w:p w:rsidRPr="00DC5ED7" w:rsidR="00EB737A" w:rsidP="00EB737A" w:rsidRDefault="00EB737A">
      <w:pPr>
        <w:jc w:val="center"/>
        <w:rPr>
          <w:szCs w:val="24"/>
          <w:lang w:val="sq-AL"/>
        </w:rPr>
      </w:pPr>
      <w:r w:rsidRPr="00DC5ED7">
        <w:rPr>
          <w:szCs w:val="24"/>
          <w:lang w:val="sq-AL"/>
        </w:rPr>
        <w:t>[Pjesë të zgjedhura]</w:t>
      </w:r>
    </w:p>
    <w:p w:rsidRPr="00DC5ED7" w:rsidR="00EB737A" w:rsidP="00EB737A" w:rsidRDefault="00EB737A">
      <w:pPr>
        <w:jc w:val="center"/>
        <w:rPr>
          <w:szCs w:val="24"/>
          <w:u w:val="single"/>
          <w:lang w:val="sq-AL"/>
        </w:rPr>
      </w:pPr>
    </w:p>
    <w:p w:rsidRPr="00DC5ED7" w:rsidR="00EB737A" w:rsidP="00EB737A" w:rsidRDefault="00EB737A">
      <w:pPr>
        <w:jc w:val="center"/>
        <w:rPr>
          <w:szCs w:val="24"/>
          <w:u w:val="single"/>
          <w:lang w:val="sq-AL"/>
        </w:rPr>
      </w:pPr>
    </w:p>
    <w:p w:rsidRPr="00DC5ED7" w:rsidR="00EB737A" w:rsidP="00EB737A" w:rsidRDefault="00EB737A">
      <w:pPr>
        <w:jc w:val="center"/>
        <w:rPr>
          <w:szCs w:val="24"/>
          <w:u w:val="single"/>
          <w:lang w:val="sq-AL"/>
        </w:rPr>
      </w:pPr>
    </w:p>
    <w:p w:rsidRPr="00DC5ED7" w:rsidR="00EB737A" w:rsidP="00EB737A" w:rsidRDefault="00EB737A">
      <w:pPr>
        <w:jc w:val="center"/>
        <w:rPr>
          <w:szCs w:val="24"/>
          <w:lang w:val="sq-AL"/>
        </w:rPr>
      </w:pPr>
      <w:r w:rsidRPr="00DC5ED7">
        <w:rPr>
          <w:szCs w:val="24"/>
          <w:lang w:val="sq-AL"/>
        </w:rPr>
        <w:t>STRASBURG</w:t>
      </w:r>
    </w:p>
    <w:p w:rsidRPr="00DC5ED7" w:rsidR="00EB737A" w:rsidP="00EB737A" w:rsidRDefault="00EB737A">
      <w:pPr>
        <w:jc w:val="center"/>
        <w:rPr>
          <w:szCs w:val="24"/>
          <w:u w:val="single"/>
          <w:lang w:val="sq-AL"/>
        </w:rPr>
      </w:pPr>
    </w:p>
    <w:p w:rsidRPr="00DC5ED7" w:rsidR="00EB737A" w:rsidP="00EB737A" w:rsidRDefault="00EB737A">
      <w:pPr>
        <w:jc w:val="center"/>
        <w:rPr>
          <w:szCs w:val="24"/>
          <w:lang w:val="sq-AL"/>
        </w:rPr>
      </w:pPr>
      <w:r w:rsidRPr="00DC5ED7">
        <w:rPr>
          <w:szCs w:val="24"/>
          <w:lang w:val="sq-AL"/>
        </w:rPr>
        <w:t>28 janar 2014</w:t>
      </w: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center"/>
        <w:rPr>
          <w:szCs w:val="24"/>
          <w:lang w:val="sq-AL"/>
        </w:rPr>
      </w:pPr>
    </w:p>
    <w:p w:rsidRPr="00DC5ED7" w:rsidR="00EB737A" w:rsidP="00EB737A" w:rsidRDefault="00EB737A">
      <w:pPr>
        <w:jc w:val="both"/>
        <w:rPr>
          <w:szCs w:val="24"/>
          <w:lang w:val="sq-AL"/>
        </w:rPr>
      </w:pPr>
      <w:r w:rsidRPr="00DC5ED7">
        <w:rPr>
          <w:i/>
          <w:szCs w:val="24"/>
          <w:lang w:val="sq-AL"/>
        </w:rPr>
        <w:t>Ky vendim është i formës së prerë. Atij mund t</w:t>
      </w:r>
      <w:r w:rsidR="00943091">
        <w:rPr>
          <w:i/>
          <w:szCs w:val="24"/>
          <w:lang w:val="sq-AL"/>
        </w:rPr>
        <w:t>’</w:t>
      </w:r>
      <w:r w:rsidRPr="00DC5ED7">
        <w:rPr>
          <w:i/>
          <w:szCs w:val="24"/>
          <w:lang w:val="sq-AL"/>
        </w:rPr>
        <w:t>i bëhen rishikime në redaktim.</w:t>
      </w:r>
    </w:p>
    <w:p w:rsidRPr="00DC5ED7" w:rsidR="00EB737A" w:rsidP="00EB737A" w:rsidRDefault="00EB737A">
      <w:pPr>
        <w:pStyle w:val="JuCase"/>
        <w:rPr>
          <w:lang w:val="sq-AL"/>
        </w:rPr>
        <w:sectPr w:rsidRPr="00DC5ED7" w:rsidR="00EB737A" w:rsidSect="00EB737A">
          <w:headerReference w:type="default" r:id="rId11"/>
          <w:pgSz w:w="11906" w:h="16838" w:code="9"/>
          <w:pgMar w:top="2274" w:right="2274" w:bottom="2274" w:left="2274" w:header="1701" w:footer="720" w:gutter="0"/>
          <w:pgNumType w:start="1"/>
          <w:cols w:space="720"/>
          <w:noEndnote/>
          <w:docGrid w:linePitch="326"/>
        </w:sectPr>
      </w:pPr>
    </w:p>
    <w:p w:rsidRPr="00DC5ED7" w:rsidR="00EB737A" w:rsidP="00EB737A" w:rsidRDefault="00EB737A">
      <w:pPr>
        <w:pStyle w:val="JuCase"/>
        <w:rPr>
          <w:lang w:val="sq-AL"/>
        </w:rPr>
      </w:pPr>
      <w:r w:rsidRPr="00DC5ED7">
        <w:rPr>
          <w:lang w:val="sq-AL"/>
        </w:rPr>
        <w:t>Në çështjen</w:t>
      </w:r>
      <w:r w:rsidR="00943091">
        <w:rPr>
          <w:lang w:val="sq-AL"/>
        </w:rPr>
        <w:t xml:space="preserve"> </w:t>
      </w:r>
      <w:r w:rsidRPr="00DC5ED7">
        <w:rPr>
          <w:lang w:val="sq-AL"/>
        </w:rPr>
        <w:t>O</w:t>
      </w:r>
      <w:r w:rsidR="00943091">
        <w:rPr>
          <w:lang w:val="sq-AL"/>
        </w:rPr>
        <w:t>’</w:t>
      </w:r>
      <w:r w:rsidRPr="00DC5ED7">
        <w:rPr>
          <w:lang w:val="sq-AL"/>
        </w:rPr>
        <w:t>Keeffe k. Irlandës,</w:t>
      </w:r>
    </w:p>
    <w:p w:rsidRPr="00DC5ED7" w:rsidR="00EB737A" w:rsidP="00EB737A" w:rsidRDefault="00EB737A">
      <w:pPr>
        <w:pStyle w:val="ECHRPara"/>
        <w:rPr>
          <w:lang w:val="sq-AL"/>
        </w:rPr>
      </w:pPr>
      <w:r w:rsidRPr="00DC5ED7">
        <w:rPr>
          <w:lang w:val="sq-AL"/>
        </w:rPr>
        <w:t>Gjykata Evropiane e të Drejtave të Njeriut, e mbledhur në një Dhomë të Madhe të përbërë nga:</w:t>
      </w:r>
    </w:p>
    <w:p w:rsidRPr="00DC5ED7" w:rsidR="00EB737A" w:rsidP="00EB737A" w:rsidRDefault="00EB737A">
      <w:pPr>
        <w:rPr>
          <w:rStyle w:val="JuJudgesChar"/>
          <w:i/>
          <w:lang w:val="sq-AL"/>
        </w:rPr>
      </w:pPr>
      <w:r w:rsidRPr="00DC5ED7">
        <w:rPr>
          <w:lang w:val="sq-AL"/>
        </w:rPr>
        <w:tab/>
      </w:r>
      <w:r w:rsidRPr="00DC5ED7">
        <w:rPr>
          <w:rStyle w:val="JuJudgesChar"/>
          <w:lang w:val="sq-AL"/>
        </w:rPr>
        <w:t>Dean Spielmann,</w:t>
      </w:r>
      <w:r w:rsidRPr="00DC5ED7">
        <w:rPr>
          <w:rStyle w:val="JuJudgesChar"/>
          <w:i/>
          <w:lang w:val="sq-AL"/>
        </w:rPr>
        <w:t xml:space="preserve"> kryetar</w:t>
      </w:r>
      <w:r w:rsidRPr="00DC5ED7">
        <w:rPr>
          <w:rStyle w:val="JuJudgesChar"/>
          <w:lang w:val="sq-AL"/>
        </w:rPr>
        <w:t>,</w:t>
      </w:r>
      <w:r w:rsidRPr="00DC5ED7">
        <w:rPr>
          <w:rStyle w:val="JuJudgesChar"/>
          <w:i/>
          <w:lang w:val="sq-AL"/>
        </w:rPr>
        <w:br/>
      </w:r>
      <w:r w:rsidRPr="00DC5ED7">
        <w:rPr>
          <w:rStyle w:val="JuJudgesChar"/>
          <w:lang w:val="sq-AL"/>
        </w:rPr>
        <w:tab/>
        <w:t>Josep Casadevall,</w:t>
      </w:r>
      <w:r w:rsidRPr="00DC5ED7">
        <w:rPr>
          <w:rStyle w:val="JuJudgesChar"/>
          <w:i/>
          <w:lang w:val="sq-AL"/>
        </w:rPr>
        <w:br/>
      </w:r>
      <w:r w:rsidRPr="00DC5ED7">
        <w:rPr>
          <w:rStyle w:val="JuJudgesChar"/>
          <w:lang w:val="sq-AL"/>
        </w:rPr>
        <w:tab/>
        <w:t>Guido Raimondi,</w:t>
      </w:r>
      <w:r w:rsidRPr="00DC5ED7">
        <w:rPr>
          <w:rStyle w:val="JuJudgesChar"/>
          <w:i/>
          <w:lang w:val="sq-AL"/>
        </w:rPr>
        <w:br/>
      </w:r>
      <w:r w:rsidRPr="00DC5ED7">
        <w:rPr>
          <w:rStyle w:val="JuJudgesChar"/>
          <w:lang w:val="sq-AL"/>
        </w:rPr>
        <w:tab/>
        <w:t>Ineta Ziemele,</w:t>
      </w:r>
      <w:r w:rsidRPr="00DC5ED7">
        <w:rPr>
          <w:rStyle w:val="JuJudgesChar"/>
          <w:i/>
          <w:lang w:val="sq-AL"/>
        </w:rPr>
        <w:br/>
      </w:r>
      <w:r w:rsidRPr="00DC5ED7">
        <w:rPr>
          <w:rStyle w:val="JuJudgesChar"/>
          <w:lang w:val="sq-AL"/>
        </w:rPr>
        <w:tab/>
        <w:t>Mark Villiger,</w:t>
      </w:r>
      <w:r w:rsidRPr="00DC5ED7">
        <w:rPr>
          <w:rStyle w:val="JuJudgesChar"/>
          <w:i/>
          <w:lang w:val="sq-AL"/>
        </w:rPr>
        <w:br/>
      </w:r>
      <w:r w:rsidRPr="00DC5ED7">
        <w:rPr>
          <w:rStyle w:val="JuJudgesChar"/>
          <w:lang w:val="sq-AL"/>
        </w:rPr>
        <w:tab/>
        <w:t>Isabelle Berro-Lefèvre,</w:t>
      </w:r>
      <w:r w:rsidRPr="00DC5ED7">
        <w:rPr>
          <w:rStyle w:val="JuJudgesChar"/>
          <w:i/>
          <w:lang w:val="sq-AL"/>
        </w:rPr>
        <w:br/>
      </w:r>
      <w:r w:rsidRPr="00DC5ED7">
        <w:rPr>
          <w:rStyle w:val="JuJudgesChar"/>
          <w:lang w:val="sq-AL"/>
        </w:rPr>
        <w:tab/>
        <w:t>Boštjan M. Zupančič,</w:t>
      </w:r>
      <w:r w:rsidRPr="00DC5ED7">
        <w:rPr>
          <w:rStyle w:val="JuJudgesChar"/>
          <w:i/>
          <w:lang w:val="sq-AL"/>
        </w:rPr>
        <w:br/>
      </w:r>
      <w:r w:rsidRPr="00DC5ED7">
        <w:rPr>
          <w:rStyle w:val="JuJudgesChar"/>
          <w:lang w:val="sq-AL"/>
        </w:rPr>
        <w:tab/>
        <w:t>Alvina Gyulumyan,</w:t>
      </w:r>
      <w:r w:rsidRPr="00DC5ED7">
        <w:rPr>
          <w:rStyle w:val="JuJudgesChar"/>
          <w:i/>
          <w:lang w:val="sq-AL"/>
        </w:rPr>
        <w:br/>
      </w:r>
      <w:r w:rsidRPr="00DC5ED7">
        <w:rPr>
          <w:rStyle w:val="JuJudgesChar"/>
          <w:lang w:val="sq-AL"/>
        </w:rPr>
        <w:tab/>
        <w:t>Nona Tsotsoria,</w:t>
      </w:r>
      <w:r w:rsidRPr="00DC5ED7">
        <w:rPr>
          <w:rStyle w:val="JuJudgesChar"/>
          <w:i/>
          <w:lang w:val="sq-AL"/>
        </w:rPr>
        <w:br/>
      </w:r>
      <w:r w:rsidRPr="00DC5ED7">
        <w:rPr>
          <w:rStyle w:val="JuJudgesChar"/>
          <w:lang w:val="sq-AL"/>
        </w:rPr>
        <w:tab/>
        <w:t>Zdravka Kalaydjieva,</w:t>
      </w:r>
      <w:r w:rsidRPr="00DC5ED7">
        <w:rPr>
          <w:rStyle w:val="JuJudgesChar"/>
          <w:i/>
          <w:lang w:val="sq-AL"/>
        </w:rPr>
        <w:br/>
      </w:r>
      <w:r w:rsidRPr="00DC5ED7">
        <w:rPr>
          <w:rStyle w:val="JuJudgesChar"/>
          <w:lang w:val="sq-AL"/>
        </w:rPr>
        <w:tab/>
        <w:t>Nebojša Vučinić,</w:t>
      </w:r>
      <w:r w:rsidRPr="00DC5ED7">
        <w:rPr>
          <w:rStyle w:val="JuJudgesChar"/>
          <w:i/>
          <w:lang w:val="sq-AL"/>
        </w:rPr>
        <w:br/>
      </w:r>
      <w:r w:rsidRPr="00DC5ED7">
        <w:rPr>
          <w:rStyle w:val="JuJudgesChar"/>
          <w:lang w:val="sq-AL"/>
        </w:rPr>
        <w:tab/>
        <w:t>Vincent A. de Gaetano,</w:t>
      </w:r>
      <w:r w:rsidRPr="00DC5ED7">
        <w:rPr>
          <w:rStyle w:val="JuJudgesChar"/>
          <w:i/>
          <w:lang w:val="sq-AL"/>
        </w:rPr>
        <w:br/>
      </w:r>
      <w:r w:rsidRPr="00DC5ED7">
        <w:rPr>
          <w:rStyle w:val="JuJudgesChar"/>
          <w:lang w:val="sq-AL"/>
        </w:rPr>
        <w:tab/>
        <w:t>Angelika Nußberger,</w:t>
      </w:r>
      <w:r w:rsidRPr="00DC5ED7">
        <w:rPr>
          <w:rStyle w:val="JuJudgesChar"/>
          <w:i/>
          <w:lang w:val="sq-AL"/>
        </w:rPr>
        <w:br/>
      </w:r>
      <w:r w:rsidRPr="00DC5ED7">
        <w:rPr>
          <w:rStyle w:val="JuJudgesChar"/>
          <w:lang w:val="sq-AL"/>
        </w:rPr>
        <w:tab/>
        <w:t>André Potocki,</w:t>
      </w:r>
      <w:r w:rsidRPr="00DC5ED7">
        <w:rPr>
          <w:rStyle w:val="JuJudgesChar"/>
          <w:i/>
          <w:lang w:val="sq-AL"/>
        </w:rPr>
        <w:br/>
      </w:r>
      <w:r w:rsidRPr="00DC5ED7">
        <w:rPr>
          <w:rStyle w:val="JuJudgesChar"/>
          <w:lang w:val="sq-AL"/>
        </w:rPr>
        <w:tab/>
        <w:t>Krzysztof Wojtyczek</w:t>
      </w:r>
      <w:r w:rsidRPr="00DC5ED7">
        <w:rPr>
          <w:rStyle w:val="JuJudgesChar"/>
          <w:i/>
          <w:lang w:val="sq-AL"/>
        </w:rPr>
        <w:br/>
      </w:r>
      <w:r w:rsidRPr="00DC5ED7">
        <w:rPr>
          <w:rStyle w:val="JuJudgesChar"/>
          <w:lang w:val="sq-AL"/>
        </w:rPr>
        <w:tab/>
        <w:t>Valeriu Griţco,</w:t>
      </w:r>
      <w:r w:rsidRPr="00DC5ED7">
        <w:rPr>
          <w:rStyle w:val="JuJudgesChar"/>
          <w:i/>
          <w:lang w:val="sq-AL"/>
        </w:rPr>
        <w:t xml:space="preserve"> gjyqtarë</w:t>
      </w:r>
      <w:r w:rsidRPr="00DC5ED7">
        <w:rPr>
          <w:rStyle w:val="JuJudgesChar"/>
          <w:lang w:val="sq-AL"/>
        </w:rPr>
        <w:t>,</w:t>
      </w:r>
    </w:p>
    <w:p w:rsidRPr="00DC5ED7" w:rsidR="00EB737A" w:rsidP="00EB737A" w:rsidRDefault="00EB737A">
      <w:pPr>
        <w:rPr>
          <w:lang w:val="sq-AL"/>
        </w:rPr>
      </w:pPr>
      <w:r w:rsidRPr="00DC5ED7">
        <w:rPr>
          <w:rStyle w:val="JuJudgesChar"/>
          <w:lang w:val="sq-AL"/>
        </w:rPr>
        <w:tab/>
        <w:t>Peter Charleton,</w:t>
      </w:r>
      <w:r w:rsidRPr="00DC5ED7">
        <w:rPr>
          <w:rStyle w:val="JuJudgesChar"/>
          <w:i/>
          <w:lang w:val="sq-AL"/>
        </w:rPr>
        <w:t xml:space="preserve"> gjyqtar </w:t>
      </w:r>
      <w:r w:rsidRPr="00DC5ED7">
        <w:rPr>
          <w:rStyle w:val="JuJudgesChar"/>
          <w:lang w:val="sq-AL"/>
        </w:rPr>
        <w:t>ad hoc,</w:t>
      </w:r>
      <w:r w:rsidRPr="00DC5ED7">
        <w:rPr>
          <w:rStyle w:val="JuJudgesChar"/>
          <w:i/>
          <w:lang w:val="sq-AL"/>
        </w:rPr>
        <w:br/>
      </w:r>
      <w:r w:rsidRPr="00DC5ED7">
        <w:rPr>
          <w:lang w:val="sq-AL"/>
        </w:rPr>
        <w:t>e nga Michael O</w:t>
      </w:r>
      <w:r w:rsidR="00943091">
        <w:rPr>
          <w:lang w:val="sq-AL"/>
        </w:rPr>
        <w:t>’</w:t>
      </w:r>
      <w:r w:rsidRPr="00DC5ED7">
        <w:rPr>
          <w:lang w:val="sq-AL"/>
        </w:rPr>
        <w:t xml:space="preserve">Boyle, </w:t>
      </w:r>
      <w:r w:rsidRPr="00DC5ED7">
        <w:rPr>
          <w:i/>
          <w:lang w:val="sq-AL"/>
        </w:rPr>
        <w:t>zëvendëssekretar</w:t>
      </w:r>
      <w:r w:rsidRPr="00DC5ED7">
        <w:rPr>
          <w:lang w:val="sq-AL"/>
        </w:rPr>
        <w:t>,</w:t>
      </w:r>
    </w:p>
    <w:p w:rsidRPr="00DC5ED7" w:rsidR="00EB737A" w:rsidP="00EB737A" w:rsidRDefault="00EB737A">
      <w:pPr>
        <w:pStyle w:val="ECHRPara"/>
        <w:rPr>
          <w:lang w:val="sq-AL"/>
        </w:rPr>
      </w:pPr>
      <w:r w:rsidRPr="00DC5ED7">
        <w:rPr>
          <w:lang w:val="sq-AL"/>
        </w:rPr>
        <w:t>Pasi e diskutoi çështjen në seancë të mbyllur më 6 mars dhe më 20 nëntor 2013,</w:t>
      </w:r>
    </w:p>
    <w:p w:rsidRPr="00DC5ED7" w:rsidR="00EB737A" w:rsidP="00EB737A" w:rsidRDefault="00EB737A">
      <w:pPr>
        <w:pStyle w:val="ECHRPara"/>
        <w:rPr>
          <w:lang w:val="sq-AL"/>
        </w:rPr>
      </w:pPr>
      <w:r w:rsidRPr="00DC5ED7">
        <w:rPr>
          <w:lang w:val="sq-AL"/>
        </w:rPr>
        <w:t>Jep këtë vendim, të miratuar në këtë datë të fundit:</w:t>
      </w:r>
    </w:p>
    <w:p w:rsidRPr="00DC5ED7" w:rsidR="00EB737A" w:rsidP="00EB737A" w:rsidRDefault="00EB737A">
      <w:pPr>
        <w:pStyle w:val="ECHRTitle1"/>
        <w:rPr>
          <w:lang w:val="sq-AL"/>
        </w:rPr>
      </w:pPr>
      <w:r w:rsidRPr="00DC5ED7">
        <w:rPr>
          <w:lang w:val="sq-AL"/>
        </w:rPr>
        <w:t>PROCEDURA</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w:t>
      </w:r>
      <w:r w:rsidRPr="00DC5ED7">
        <w:rPr>
          <w:lang w:val="sq-AL"/>
        </w:rPr>
        <w:fldChar w:fldCharType="end"/>
      </w:r>
      <w:r w:rsidRPr="00DC5ED7">
        <w:rPr>
          <w:lang w:val="sq-AL"/>
        </w:rPr>
        <w:t>.  Në zanafillë të kësaj çështjeje ndodhet një kërkesëpadi (nr. 35810/09) e ngritur kundër Irlandës dhe me anë të së cilës një shtetase e këtij shteti, Z</w:t>
      </w:r>
      <w:r w:rsidRPr="00DC5ED7">
        <w:rPr>
          <w:vertAlign w:val="superscript"/>
          <w:lang w:val="sq-AL"/>
        </w:rPr>
        <w:t>nja</w:t>
      </w:r>
      <w:r w:rsidRPr="00DC5ED7">
        <w:rPr>
          <w:lang w:val="sq-AL"/>
        </w:rPr>
        <w:t xml:space="preserve"> Louise O</w:t>
      </w:r>
      <w:r w:rsidR="00943091">
        <w:rPr>
          <w:lang w:val="sq-AL"/>
        </w:rPr>
        <w:t>’</w:t>
      </w:r>
      <w:r w:rsidRPr="00DC5ED7">
        <w:rPr>
          <w:lang w:val="sq-AL"/>
        </w:rPr>
        <w:t>Keeffe (“paditësja”), i është drejtuar Gjykatës më 16 qershor 2009 në bazë të nenit 34 të Konventës për Mbrojtjen e të Drejtave të Njeriut dhe të Lirive Themelore (“Konventa”).</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w:t>
      </w:r>
      <w:r w:rsidRPr="00DC5ED7">
        <w:rPr>
          <w:lang w:val="sq-AL"/>
        </w:rPr>
        <w:fldChar w:fldCharType="end"/>
      </w:r>
      <w:r w:rsidRPr="00DC5ED7">
        <w:rPr>
          <w:lang w:val="sq-AL"/>
        </w:rPr>
        <w:t>.  Paditësja është përfaqësuar nga Z. E. Cantillon, avokat në Cork. Qeveria irlandeze (“Qeveria”) është përfaqësuar nga agjenti i saj, Z. P. White, i Ministrisë së Punëve të Jashtme.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w:t>
      </w:r>
      <w:r w:rsidRPr="00DC5ED7">
        <w:rPr>
          <w:lang w:val="sq-AL"/>
        </w:rPr>
        <w:fldChar w:fldCharType="end"/>
      </w:r>
      <w:r w:rsidRPr="00DC5ED7">
        <w:rPr>
          <w:lang w:val="sq-AL"/>
        </w:rPr>
        <w:t>.  Duke përfituar nga neni 3 i Konventës, paditësja mbronte kryesisht mendimin se sistemi i arsimit fillor nuk kishte bërë të mundur që ajo të mbrohej nga abuzimet seksuale të një mësuesi më 1973. Ajo shtonte se, në kundërshtim me kërkesat e nenit 13, ajo nuk kishte pasur asnjë mundësi ankimi efektiv për këtë qëllim. Ajo u referohej për më tepër nenit 8 dhe nenit 2 të Protokollit nr. 1, të lexuar veçmas dhe të bashkuar me nenin 14 të Konventës. Së fundi, duke u mbështetur në nenin 6, të lexuar veçmas dhe të bashkuar me nenin 13 të Konventës, ajo ankohej për kohëzgjatjen e procedurës civile të nisur prej saj dhe për një mungesë ankimi të brendshëm efektiv për këtë qëllim.</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w:t>
      </w:r>
      <w:r w:rsidRPr="00DC5ED7">
        <w:rPr>
          <w:lang w:val="sq-AL"/>
        </w:rPr>
        <w:fldChar w:fldCharType="end"/>
      </w:r>
      <w:r w:rsidRPr="00DC5ED7">
        <w:rPr>
          <w:lang w:val="sq-AL"/>
        </w:rPr>
        <w:t xml:space="preserve">.  Kërkesëpadia i është caktuar Seksionit të Pestë të Gjykatës (neni 52 § 1 i Rregullores së Gjykatës – “Rregullorja”). Pas tërheqjes së Ann Power-Forde, gjyqtare e zgjedhur në lidhje me Irlandën (neni 28 i Rregullores), kryetari i dhomës ka vendosur më 13 qershor 2012 të caktojë gjyqtarin Peter Charleton për të marrë pjesë në cilësinë e gjyqtarit </w:t>
      </w:r>
      <w:r w:rsidRPr="00DC5ED7">
        <w:rPr>
          <w:i/>
          <w:lang w:val="sq-AL"/>
        </w:rPr>
        <w:t>ad hoc</w:t>
      </w:r>
      <w:r w:rsidRPr="00DC5ED7">
        <w:rPr>
          <w:lang w:val="sq-AL"/>
        </w:rPr>
        <w:t xml:space="preserve"> (nenet 26 § 4 i Konventës dhe 29 § 1 i Rregullores).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w:t>
      </w:r>
      <w:r w:rsidRPr="00DC5ED7">
        <w:rPr>
          <w:lang w:val="sq-AL"/>
        </w:rPr>
        <w:fldChar w:fldCharType="end"/>
      </w:r>
      <w:r w:rsidRPr="00DC5ED7">
        <w:rPr>
          <w:lang w:val="sq-AL"/>
        </w:rPr>
        <w:t xml:space="preserve">.  Më 26 qershor 2012, një dhomë e seksionit të lartpërmendur e përbërë nga Dean Spielmann, Mark Villiger, Karel Jungwiert, Boštjan M. Zupančič, Ganna Yudkivska dhe André Potocki, gjyqtarë, e nga Peter Charleton, gjyqtar </w:t>
      </w:r>
      <w:r w:rsidRPr="00DC5ED7">
        <w:rPr>
          <w:i/>
          <w:lang w:val="sq-AL"/>
        </w:rPr>
        <w:t>ad hoc</w:t>
      </w:r>
      <w:r w:rsidRPr="00DC5ED7">
        <w:rPr>
          <w:lang w:val="sq-AL"/>
        </w:rPr>
        <w:t>, si edhe nga Claudia Westerdiek, sekretare seksioni, ka vendosur njëzëri, pas shqyrtimit të çështjes, për ta çregjistruar kërkesën nga lista për sa ajo kishte të bënte me ankesat lidhur me kohëzgjatjen e procedurës së brendshme dhe me mungesën e ankimit të brendshëm efektiv për këtë qëllim, meqenëse palët kishin arritur në një zgjidhje me pajtim rreth këtyre pikave, dhe për t</w:t>
      </w:r>
      <w:r w:rsidR="00943091">
        <w:rPr>
          <w:lang w:val="sq-AL"/>
        </w:rPr>
        <w:t>’</w:t>
      </w:r>
      <w:r w:rsidRPr="00DC5ED7">
        <w:rPr>
          <w:lang w:val="sq-AL"/>
        </w:rPr>
        <w:t>i shpallur të pranueshme ankesat e tjera.</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6</w:t>
      </w:r>
      <w:r w:rsidRPr="00DC5ED7">
        <w:rPr>
          <w:lang w:val="sq-AL"/>
        </w:rPr>
        <w:fldChar w:fldCharType="end"/>
      </w:r>
      <w:r w:rsidRPr="00DC5ED7">
        <w:rPr>
          <w:lang w:val="sq-AL"/>
        </w:rPr>
        <w:t>.  Më 20 shtator 2012, po e njëjta dhomë, me përjashtim të Ganna Yudkivska-s, e cila nuk ka qenë në gjendje të merrte pjesë dhe është zëvendësuar nga Angelika Nußberger, zëvendësgjyqtare (neni 24 § 3 i Rregullores), është tërhequr nga juridiksioni në favor të Dhomës së Madhe, meqenëse asnjë nga palët nuk ka pasur kundërshtim për këtë (nenet 30 i Konventës dhe 72 i Rregullores).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7</w:t>
      </w:r>
      <w:r w:rsidRPr="00DC5ED7">
        <w:rPr>
          <w:lang w:val="sq-AL"/>
        </w:rPr>
        <w:fldChar w:fldCharType="end"/>
      </w:r>
      <w:r w:rsidRPr="00DC5ED7">
        <w:rPr>
          <w:lang w:val="sq-AL"/>
        </w:rPr>
        <w:t xml:space="preserve">.  Përbërja e Dhomës së Madhe është vendosur në përputhje me nenet 26 §§ 4 e 5 të Konventës dhe 24 të Rregullores, ndërsa gjyqtari Peter Charleton ka vazhduar të marrë pjesë në cilësinë e gjyqtarit </w:t>
      </w:r>
      <w:r w:rsidRPr="00DC5ED7">
        <w:rPr>
          <w:i/>
          <w:lang w:val="sq-AL"/>
        </w:rPr>
        <w:t>ad hoc</w:t>
      </w:r>
      <w:r w:rsidRPr="00DC5ED7">
        <w:rPr>
          <w:lang w:val="sq-AL"/>
        </w:rPr>
        <w:t xml:space="preserve"> (nenet 26 § 4 i Konventës dhe 29 § 1 i Rregullores).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8</w:t>
      </w:r>
      <w:r w:rsidRPr="00DC5ED7">
        <w:rPr>
          <w:lang w:val="sq-AL"/>
        </w:rPr>
        <w:fldChar w:fldCharType="end"/>
      </w:r>
      <w:r w:rsidRPr="00DC5ED7">
        <w:rPr>
          <w:lang w:val="sq-AL"/>
        </w:rPr>
        <w:t>.  Si paditësja ashtu edhe Qeveria kanë paraqitur vërejtje plotësuese me shkrim rreth themelit (neni 59 § 1 i Rregullores). Përveç kësaj, vërejtjet e paraqitura pranë dhomës nga Komisioni Irlandez i të Drejtave të Njeriut (</w:t>
      </w:r>
      <w:r w:rsidRPr="00DC5ED7">
        <w:rPr>
          <w:i/>
          <w:lang w:val="sq-AL"/>
        </w:rPr>
        <w:t>Irish Human Rights Commission</w:t>
      </w:r>
      <w:r w:rsidRPr="00DC5ED7">
        <w:rPr>
          <w:lang w:val="sq-AL"/>
        </w:rPr>
        <w:t>) dhe Qendra Evropiane për të Drejtën dhe Drejtësinë (</w:t>
      </w:r>
      <w:r w:rsidRPr="00DC5ED7">
        <w:rPr>
          <w:i/>
          <w:lang w:val="sq-AL"/>
        </w:rPr>
        <w:t>European Centre for Law and Justice</w:t>
      </w:r>
      <w:r w:rsidRPr="00DC5ED7">
        <w:rPr>
          <w:lang w:val="sq-AL"/>
        </w:rPr>
        <w:t>), të cilët kryetari i dhomës i kishte lejuar të ndërhynin në procedurën me shkrim (nenet 36 § 2 i Konventës dhe 44 § 3 i Rregullores), janë përfshirë në dosjen e Dhomës së Madhe.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9</w:t>
      </w:r>
      <w:r w:rsidRPr="00DC5ED7">
        <w:rPr>
          <w:lang w:val="sq-AL"/>
        </w:rPr>
        <w:fldChar w:fldCharType="end"/>
      </w:r>
      <w:r w:rsidRPr="00DC5ED7">
        <w:rPr>
          <w:lang w:val="sq-AL"/>
        </w:rPr>
        <w:t>.  Një seancë është zhvilluar në publik në Pallatin e të Drejtave të Njeriut, në Strasburg, më 6 mars 2013 (neni 59 § 3 i Rregullores).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10</w:t>
      </w:r>
      <w:r w:rsidRPr="00DC5ED7">
        <w:rPr>
          <w:lang w:val="sq-AL"/>
        </w:rPr>
        <w:fldChar w:fldCharType="end"/>
      </w:r>
      <w:r w:rsidRPr="00DC5ED7">
        <w:rPr>
          <w:lang w:val="sq-AL"/>
        </w:rPr>
        <w:t>.  Janë paraqitur:</w:t>
      </w:r>
    </w:p>
    <w:p w:rsidRPr="00DC5ED7" w:rsidR="00EB737A" w:rsidP="00EB737A" w:rsidRDefault="00EB737A">
      <w:pPr>
        <w:pStyle w:val="JuCourt"/>
        <w:rPr>
          <w:lang w:val="sq-AL"/>
        </w:rPr>
      </w:pPr>
      <w:r w:rsidRPr="00DC5ED7">
        <w:rPr>
          <w:lang w:val="sq-AL"/>
        </w:rPr>
        <w:t>–  </w:t>
      </w:r>
      <w:r w:rsidRPr="00DC5ED7">
        <w:rPr>
          <w:i/>
          <w:lang w:val="sq-AL"/>
        </w:rPr>
        <w:t>për Qeverinë</w:t>
      </w:r>
      <w:r w:rsidRPr="00DC5ED7">
        <w:rPr>
          <w:lang w:val="sq-AL"/>
        </w:rPr>
        <w:br/>
        <w:t>Z</w:t>
      </w:r>
      <w:r w:rsidRPr="00DC5ED7">
        <w:rPr>
          <w:vertAlign w:val="superscript"/>
          <w:lang w:val="sq-AL"/>
        </w:rPr>
        <w:t>të</w:t>
      </w:r>
      <w:r w:rsidRPr="00DC5ED7">
        <w:rPr>
          <w:lang w:val="sq-AL"/>
        </w:rPr>
        <w:tab/>
        <w:t xml:space="preserve">P. </w:t>
      </w:r>
      <w:r w:rsidRPr="00DC5ED7">
        <w:rPr>
          <w:rStyle w:val="JUNAMES0"/>
          <w:lang w:val="sq-AL"/>
        </w:rPr>
        <w:t>white</w:t>
      </w:r>
      <w:r w:rsidRPr="00DC5ED7">
        <w:rPr>
          <w:lang w:val="sq-AL"/>
        </w:rPr>
        <w:t xml:space="preserve">, </w:t>
      </w:r>
      <w:r w:rsidRPr="00DC5ED7">
        <w:rPr>
          <w:lang w:val="sq-AL"/>
        </w:rPr>
        <w:tab/>
      </w:r>
      <w:r w:rsidRPr="00DC5ED7">
        <w:rPr>
          <w:i/>
          <w:lang w:val="sq-AL"/>
        </w:rPr>
        <w:t>agjent</w:t>
      </w:r>
      <w:r w:rsidRPr="00DC5ED7">
        <w:rPr>
          <w:lang w:val="sq-AL"/>
        </w:rPr>
        <w:t>,</w:t>
      </w:r>
      <w:r w:rsidRPr="00DC5ED7">
        <w:rPr>
          <w:lang w:val="sq-AL"/>
        </w:rPr>
        <w:br/>
      </w:r>
      <w:r w:rsidRPr="00DC5ED7">
        <w:rPr>
          <w:lang w:val="sq-AL"/>
        </w:rPr>
        <w:tab/>
        <w:t xml:space="preserve">F. </w:t>
      </w:r>
      <w:r w:rsidRPr="00DC5ED7">
        <w:rPr>
          <w:rStyle w:val="JUNAMES0"/>
          <w:lang w:val="sq-AL"/>
        </w:rPr>
        <w:t>McDonagh</w:t>
      </w:r>
      <w:r w:rsidRPr="00DC5ED7">
        <w:rPr>
          <w:lang w:val="sq-AL"/>
        </w:rPr>
        <w:t xml:space="preserve">, </w:t>
      </w:r>
      <w:r w:rsidRPr="00DC5ED7">
        <w:rPr>
          <w:i/>
          <w:lang w:val="sq-AL"/>
        </w:rPr>
        <w:t>Senior Counsel</w:t>
      </w:r>
      <w:r w:rsidRPr="00DC5ED7">
        <w:rPr>
          <w:lang w:val="sq-AL"/>
        </w:rPr>
        <w:t>,</w:t>
      </w:r>
      <w:r w:rsidRPr="00DC5ED7">
        <w:rPr>
          <w:lang w:val="sq-AL"/>
        </w:rPr>
        <w:tab/>
      </w:r>
      <w:r w:rsidRPr="00DC5ED7">
        <w:rPr>
          <w:lang w:val="sq-AL"/>
        </w:rPr>
        <w:br/>
      </w:r>
      <w:r w:rsidRPr="00DC5ED7">
        <w:rPr>
          <w:lang w:val="sq-AL"/>
        </w:rPr>
        <w:tab/>
        <w:t xml:space="preserve">C. </w:t>
      </w:r>
      <w:r w:rsidRPr="00DC5ED7">
        <w:rPr>
          <w:rStyle w:val="JUNAMES0"/>
          <w:lang w:val="sq-AL"/>
        </w:rPr>
        <w:t>Power</w:t>
      </w:r>
      <w:r w:rsidRPr="00DC5ED7">
        <w:rPr>
          <w:smallCaps/>
          <w:lang w:val="sq-AL"/>
        </w:rPr>
        <w:t>,</w:t>
      </w:r>
      <w:r w:rsidRPr="00DC5ED7">
        <w:rPr>
          <w:lang w:val="sq-AL"/>
        </w:rPr>
        <w:t xml:space="preserve"> </w:t>
      </w:r>
      <w:r w:rsidRPr="00DC5ED7">
        <w:rPr>
          <w:i/>
          <w:lang w:val="sq-AL"/>
        </w:rPr>
        <w:t>Barrister</w:t>
      </w:r>
      <w:r w:rsidRPr="00DC5ED7">
        <w:rPr>
          <w:lang w:val="sq-AL"/>
        </w:rPr>
        <w:t>,</w:t>
      </w:r>
      <w:r w:rsidRPr="00DC5ED7">
        <w:rPr>
          <w:lang w:val="sq-AL"/>
        </w:rPr>
        <w:tab/>
      </w:r>
      <w:r w:rsidRPr="00DC5ED7">
        <w:rPr>
          <w:i/>
          <w:lang w:val="sq-AL"/>
        </w:rPr>
        <w:t>avokatë</w:t>
      </w:r>
      <w:r w:rsidRPr="00DC5ED7">
        <w:rPr>
          <w:lang w:val="sq-AL"/>
        </w:rPr>
        <w:t>,</w:t>
      </w:r>
      <w:r w:rsidRPr="00DC5ED7">
        <w:rPr>
          <w:lang w:val="sq-AL"/>
        </w:rPr>
        <w:br/>
        <w:t>Z</w:t>
      </w:r>
      <w:r w:rsidRPr="00DC5ED7">
        <w:rPr>
          <w:vertAlign w:val="superscript"/>
          <w:lang w:val="sq-AL"/>
        </w:rPr>
        <w:t>njat</w:t>
      </w:r>
      <w:r w:rsidRPr="00DC5ED7">
        <w:rPr>
          <w:lang w:val="sq-AL"/>
        </w:rPr>
        <w:tab/>
        <w:t xml:space="preserve">S. </w:t>
      </w:r>
      <w:r w:rsidRPr="00DC5ED7">
        <w:rPr>
          <w:rStyle w:val="JUNAMES0"/>
          <w:lang w:val="sq-AL"/>
        </w:rPr>
        <w:t>Farrel</w:t>
      </w:r>
      <w:r w:rsidRPr="00DC5ED7">
        <w:rPr>
          <w:lang w:val="sq-AL"/>
        </w:rPr>
        <w:t xml:space="preserve">, Zyra e </w:t>
      </w:r>
      <w:r w:rsidRPr="00DC5ED7">
        <w:rPr>
          <w:i/>
          <w:lang w:val="sq-AL"/>
        </w:rPr>
        <w:t>Attorney General</w:t>
      </w:r>
      <w:r w:rsidRPr="00DC5ED7">
        <w:rPr>
          <w:lang w:val="sq-AL"/>
        </w:rPr>
        <w:t>,</w:t>
      </w:r>
      <w:r w:rsidRPr="00DC5ED7">
        <w:rPr>
          <w:lang w:val="sq-AL"/>
        </w:rPr>
        <w:br/>
      </w:r>
      <w:r w:rsidRPr="00DC5ED7">
        <w:rPr>
          <w:lang w:val="sq-AL"/>
        </w:rPr>
        <w:tab/>
        <w:t xml:space="preserve">M. </w:t>
      </w:r>
      <w:r w:rsidRPr="00DC5ED7">
        <w:rPr>
          <w:rStyle w:val="JUNAMES0"/>
          <w:lang w:val="sq-AL"/>
        </w:rPr>
        <w:t>McGarry</w:t>
      </w:r>
      <w:r w:rsidRPr="00DC5ED7">
        <w:rPr>
          <w:lang w:val="sq-AL"/>
        </w:rPr>
        <w:t>, Ministria e Arsimit dhe e Formimit</w:t>
      </w:r>
      <w:r w:rsidRPr="00DC5ED7">
        <w:rPr>
          <w:lang w:val="sq-AL"/>
        </w:rPr>
        <w:tab/>
      </w:r>
      <w:r w:rsidRPr="00DC5ED7">
        <w:rPr>
          <w:i/>
          <w:lang w:val="sq-AL"/>
        </w:rPr>
        <w:t>këshilltare</w:t>
      </w:r>
      <w:r w:rsidRPr="00DC5ED7">
        <w:rPr>
          <w:lang w:val="sq-AL"/>
        </w:rPr>
        <w:t>;</w:t>
      </w:r>
    </w:p>
    <w:p w:rsidRPr="00DC5ED7" w:rsidR="00EB737A" w:rsidP="00EB737A" w:rsidRDefault="00EB737A">
      <w:pPr>
        <w:pStyle w:val="JuCourt"/>
        <w:rPr>
          <w:lang w:val="sq-AL"/>
        </w:rPr>
      </w:pPr>
      <w:r w:rsidRPr="00DC5ED7">
        <w:rPr>
          <w:lang w:val="sq-AL"/>
        </w:rPr>
        <w:t>–  </w:t>
      </w:r>
      <w:r w:rsidRPr="00DC5ED7">
        <w:rPr>
          <w:i/>
          <w:lang w:val="sq-AL"/>
        </w:rPr>
        <w:t>për paditësen</w:t>
      </w:r>
      <w:r w:rsidRPr="00DC5ED7">
        <w:rPr>
          <w:lang w:val="sq-AL"/>
        </w:rPr>
        <w:br/>
        <w:t>Z</w:t>
      </w:r>
      <w:r w:rsidRPr="00DC5ED7">
        <w:rPr>
          <w:vertAlign w:val="superscript"/>
          <w:lang w:val="sq-AL"/>
        </w:rPr>
        <w:t>të</w:t>
      </w:r>
      <w:r w:rsidRPr="00DC5ED7">
        <w:rPr>
          <w:lang w:val="sq-AL"/>
        </w:rPr>
        <w:tab/>
        <w:t xml:space="preserve">D. </w:t>
      </w:r>
      <w:r w:rsidRPr="00DC5ED7">
        <w:rPr>
          <w:rStyle w:val="JUNAMES0"/>
          <w:lang w:val="sq-AL"/>
        </w:rPr>
        <w:t>Holland</w:t>
      </w:r>
      <w:r w:rsidRPr="00DC5ED7">
        <w:rPr>
          <w:lang w:val="sq-AL"/>
        </w:rPr>
        <w:t xml:space="preserve">, </w:t>
      </w:r>
      <w:r w:rsidRPr="00DC5ED7">
        <w:rPr>
          <w:i/>
          <w:lang w:val="sq-AL"/>
        </w:rPr>
        <w:t>Senior Counsel</w:t>
      </w:r>
      <w:r w:rsidRPr="00DC5ED7">
        <w:rPr>
          <w:lang w:val="sq-AL"/>
        </w:rPr>
        <w:t>,</w:t>
      </w:r>
      <w:r w:rsidRPr="00DC5ED7">
        <w:rPr>
          <w:lang w:val="sq-AL"/>
        </w:rPr>
        <w:tab/>
      </w:r>
      <w:r w:rsidRPr="00DC5ED7">
        <w:rPr>
          <w:lang w:val="sq-AL"/>
        </w:rPr>
        <w:br/>
      </w:r>
      <w:r w:rsidRPr="00DC5ED7">
        <w:rPr>
          <w:lang w:val="sq-AL"/>
        </w:rPr>
        <w:tab/>
        <w:t xml:space="preserve">A. </w:t>
      </w:r>
      <w:r w:rsidRPr="00DC5ED7">
        <w:rPr>
          <w:rStyle w:val="JUNAMES0"/>
          <w:lang w:val="sq-AL"/>
        </w:rPr>
        <w:t>Keating</w:t>
      </w:r>
      <w:r w:rsidRPr="00DC5ED7">
        <w:rPr>
          <w:lang w:val="sq-AL"/>
        </w:rPr>
        <w:t xml:space="preserve">, </w:t>
      </w:r>
      <w:r w:rsidRPr="00DC5ED7">
        <w:rPr>
          <w:i/>
          <w:lang w:val="sq-AL"/>
        </w:rPr>
        <w:t>Senior Counsel</w:t>
      </w:r>
      <w:r w:rsidRPr="00DC5ED7">
        <w:rPr>
          <w:lang w:val="sq-AL"/>
        </w:rPr>
        <w:t>,</w:t>
      </w:r>
      <w:r w:rsidRPr="00DC5ED7">
        <w:rPr>
          <w:lang w:val="sq-AL"/>
        </w:rPr>
        <w:tab/>
      </w:r>
      <w:r w:rsidRPr="00DC5ED7">
        <w:rPr>
          <w:i/>
          <w:lang w:val="sq-AL"/>
        </w:rPr>
        <w:t>avokatë</w:t>
      </w:r>
      <w:r w:rsidRPr="00DC5ED7">
        <w:rPr>
          <w:lang w:val="sq-AL"/>
        </w:rPr>
        <w:t>,</w:t>
      </w:r>
      <w:r w:rsidRPr="00DC5ED7">
        <w:rPr>
          <w:lang w:val="sq-AL"/>
        </w:rPr>
        <w:br/>
      </w:r>
      <w:r w:rsidRPr="00DC5ED7">
        <w:rPr>
          <w:lang w:val="sq-AL"/>
        </w:rPr>
        <w:tab/>
        <w:t xml:space="preserve">E. </w:t>
      </w:r>
      <w:r w:rsidRPr="00DC5ED7">
        <w:rPr>
          <w:rStyle w:val="JUNAMES0"/>
          <w:lang w:val="sq-AL"/>
        </w:rPr>
        <w:t>Cantillon</w:t>
      </w:r>
      <w:r w:rsidRPr="00DC5ED7">
        <w:rPr>
          <w:lang w:val="sq-AL"/>
        </w:rPr>
        <w:t xml:space="preserve">, </w:t>
      </w:r>
      <w:r w:rsidRPr="00DC5ED7">
        <w:rPr>
          <w:i/>
          <w:lang w:val="sq-AL"/>
        </w:rPr>
        <w:t>solicitor</w:t>
      </w:r>
      <w:r w:rsidRPr="00DC5ED7">
        <w:rPr>
          <w:lang w:val="sq-AL"/>
        </w:rPr>
        <w:t>,</w:t>
      </w:r>
      <w:r w:rsidRPr="00DC5ED7">
        <w:rPr>
          <w:lang w:val="sq-AL"/>
        </w:rPr>
        <w:tab/>
      </w:r>
      <w:r w:rsidRPr="00DC5ED7">
        <w:rPr>
          <w:lang w:val="sq-AL"/>
        </w:rPr>
        <w:br/>
        <w:t>Z</w:t>
      </w:r>
      <w:r w:rsidRPr="00DC5ED7">
        <w:rPr>
          <w:vertAlign w:val="superscript"/>
          <w:lang w:val="sq-AL"/>
        </w:rPr>
        <w:t>nja</w:t>
      </w:r>
      <w:r w:rsidRPr="00DC5ED7">
        <w:rPr>
          <w:lang w:val="sq-AL"/>
        </w:rPr>
        <w:tab/>
        <w:t xml:space="preserve">M. </w:t>
      </w:r>
      <w:r w:rsidRPr="00DC5ED7">
        <w:rPr>
          <w:rStyle w:val="JUNAMES0"/>
          <w:lang w:val="sq-AL"/>
        </w:rPr>
        <w:t>Scriven</w:t>
      </w:r>
      <w:r w:rsidRPr="00DC5ED7">
        <w:rPr>
          <w:lang w:val="sq-AL"/>
        </w:rPr>
        <w:t xml:space="preserve">, </w:t>
      </w:r>
      <w:r w:rsidRPr="00DC5ED7">
        <w:rPr>
          <w:i/>
          <w:lang w:val="sq-AL"/>
        </w:rPr>
        <w:t>solicitor</w:t>
      </w:r>
      <w:r w:rsidRPr="00DC5ED7">
        <w:rPr>
          <w:lang w:val="sq-AL"/>
        </w:rPr>
        <w:t>,</w:t>
      </w:r>
      <w:r w:rsidRPr="00DC5ED7">
        <w:rPr>
          <w:lang w:val="sq-AL"/>
        </w:rPr>
        <w:tab/>
      </w:r>
      <w:r w:rsidRPr="00DC5ED7">
        <w:rPr>
          <w:i/>
          <w:lang w:val="sq-AL"/>
        </w:rPr>
        <w:t>përfaqësues.</w:t>
      </w:r>
    </w:p>
    <w:p w:rsidRPr="00DC5ED7" w:rsidR="00EB737A" w:rsidP="00EB737A" w:rsidRDefault="00EB737A">
      <w:pPr>
        <w:pStyle w:val="ECHRPara"/>
        <w:spacing w:before="120"/>
        <w:rPr>
          <w:lang w:val="sq-AL"/>
        </w:rPr>
      </w:pPr>
      <w:r w:rsidRPr="00DC5ED7">
        <w:rPr>
          <w:lang w:val="sq-AL"/>
        </w:rPr>
        <w:t>E pranishme ishte edhe paditësja.</w:t>
      </w:r>
    </w:p>
    <w:p w:rsidRPr="00DC5ED7" w:rsidR="00EB737A" w:rsidP="00EB737A" w:rsidRDefault="00EB737A">
      <w:pPr>
        <w:pStyle w:val="ECHRPara"/>
        <w:spacing w:before="120"/>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11</w:t>
      </w:r>
      <w:r w:rsidRPr="00DC5ED7">
        <w:rPr>
          <w:lang w:val="sq-AL"/>
        </w:rPr>
        <w:fldChar w:fldCharType="end"/>
      </w:r>
      <w:r w:rsidRPr="00DC5ED7">
        <w:rPr>
          <w:lang w:val="sq-AL"/>
        </w:rPr>
        <w:t>.  Gjykata ka dëgjuar deklarimet e Z</w:t>
      </w:r>
      <w:r w:rsidRPr="00DC5ED7">
        <w:rPr>
          <w:vertAlign w:val="superscript"/>
          <w:lang w:val="sq-AL"/>
        </w:rPr>
        <w:t>ve</w:t>
      </w:r>
      <w:r w:rsidRPr="00DC5ED7">
        <w:rPr>
          <w:rStyle w:val="JuNames"/>
          <w:szCs w:val="24"/>
          <w:lang w:val="sq-AL"/>
        </w:rPr>
        <w:t xml:space="preserve"> </w:t>
      </w:r>
      <w:r w:rsidRPr="00DC5ED7">
        <w:rPr>
          <w:lang w:val="sq-AL"/>
        </w:rPr>
        <w:t>Holland dhe McDonagh.</w:t>
      </w:r>
    </w:p>
    <w:p w:rsidRPr="00DC5ED7" w:rsidR="00EB737A" w:rsidP="00EB737A" w:rsidRDefault="00EB737A">
      <w:pPr>
        <w:pStyle w:val="ECHRTitle1"/>
        <w:rPr>
          <w:lang w:val="sq-AL"/>
        </w:rPr>
      </w:pPr>
      <w:r w:rsidRPr="00DC5ED7">
        <w:rPr>
          <w:lang w:val="sq-AL"/>
        </w:rPr>
        <w:t>FAKTET</w:t>
      </w:r>
    </w:p>
    <w:p w:rsidRPr="00DC5ED7" w:rsidR="00EB737A" w:rsidP="00EB737A" w:rsidRDefault="00EB737A">
      <w:pPr>
        <w:pStyle w:val="ECHRHeading1"/>
        <w:spacing w:before="380" w:after="380"/>
        <w:rPr>
          <w:lang w:val="sq-AL"/>
        </w:rPr>
      </w:pPr>
      <w:r w:rsidRPr="00DC5ED7">
        <w:rPr>
          <w:lang w:val="sq-AL"/>
        </w:rPr>
        <w:t>I.  RRETHANAT E ÇËSHTJES</w:t>
      </w:r>
    </w:p>
    <w:p w:rsidRPr="00DC5ED7" w:rsidR="00EB737A" w:rsidP="00EB737A" w:rsidRDefault="00EB737A">
      <w:pPr>
        <w:pStyle w:val="ECHRPara"/>
        <w:spacing w:before="120"/>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12</w:t>
      </w:r>
      <w:r w:rsidRPr="00DC5ED7">
        <w:rPr>
          <w:lang w:val="sq-AL"/>
        </w:rPr>
        <w:fldChar w:fldCharType="end"/>
      </w:r>
      <w:r w:rsidRPr="00DC5ED7">
        <w:rPr>
          <w:lang w:val="sq-AL"/>
        </w:rPr>
        <w:t>.  Paditësja ka lindur më 1964 është me banim në Cork (Irlandë).</w:t>
      </w:r>
    </w:p>
    <w:p w:rsidRPr="00DC5ED7" w:rsidR="00EB737A" w:rsidP="00EB737A" w:rsidRDefault="00EB737A">
      <w:pPr>
        <w:pStyle w:val="ECHRHeading2"/>
        <w:spacing w:after="320"/>
        <w:rPr>
          <w:lang w:val="sq-AL"/>
        </w:rPr>
      </w:pPr>
      <w:r w:rsidRPr="00DC5ED7">
        <w:rPr>
          <w:lang w:val="sq-AL"/>
        </w:rPr>
        <w:t>A.  Konteksti i çështjes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13</w:t>
      </w:r>
      <w:r w:rsidRPr="00DC5ED7">
        <w:rPr>
          <w:lang w:val="sq-AL"/>
        </w:rPr>
        <w:fldChar w:fldCharType="end"/>
      </w:r>
      <w:r w:rsidRPr="00DC5ED7">
        <w:rPr>
          <w:lang w:val="sq-AL"/>
        </w:rPr>
        <w:t>.  Faktet e përshkruara këtu më poshtë nuk janë objekt i asnjë kundërshtimi midis palëve.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14</w:t>
      </w:r>
      <w:r w:rsidRPr="00DC5ED7">
        <w:rPr>
          <w:lang w:val="sq-AL"/>
        </w:rPr>
        <w:fldChar w:fldCharType="end"/>
      </w:r>
      <w:r w:rsidRPr="00DC5ED7">
        <w:rPr>
          <w:lang w:val="sq-AL"/>
        </w:rPr>
        <w:t>.  Paditësja nisi të shkonte në shkollën kombëtare (</w:t>
      </w:r>
      <w:r w:rsidRPr="00DC5ED7">
        <w:rPr>
          <w:i/>
          <w:lang w:val="sq-AL"/>
        </w:rPr>
        <w:t>National School</w:t>
      </w:r>
      <w:r w:rsidRPr="00DC5ED7">
        <w:rPr>
          <w:lang w:val="sq-AL"/>
        </w:rPr>
        <w:t>) të Dunderrow-it më 1968. Shkolla ishte prona, a administruar nga disa kujdestarë, e ipeshkvit katolik të dioqezës së Cork-ut e Ross-it, i cili njihej nga Ministria e Arsimit dhe e Shkencave (</w:t>
      </w:r>
      <w:r w:rsidRPr="00DC5ED7">
        <w:rPr>
          <w:i/>
          <w:lang w:val="sq-AL"/>
        </w:rPr>
        <w:t>Department of Éducation and Science</w:t>
      </w:r>
      <w:r w:rsidRPr="00DC5ED7">
        <w:rPr>
          <w:lang w:val="sq-AL"/>
        </w:rPr>
        <w:t xml:space="preserve"> – “Ministria”) si “Pronari” i atij institucioni. Drejtori (</w:t>
      </w:r>
      <w:r w:rsidRPr="00DC5ED7">
        <w:rPr>
          <w:i/>
          <w:lang w:val="sq-AL"/>
        </w:rPr>
        <w:t>manager</w:t>
      </w:r>
      <w:r w:rsidRPr="00DC5ED7">
        <w:rPr>
          <w:lang w:val="sq-AL"/>
        </w:rPr>
        <w:t xml:space="preserve">) i shkollës, i cili vepronte i ngarkuar me mandat nga ipeshkvi, ishte prifti i famullisë së atyshme (“S.”). Meqenëse ky ishte i moshuar dhe vuante nga disa sëmundje, shkolla drejtohej </w:t>
      </w:r>
      <w:r w:rsidRPr="00DC5ED7">
        <w:rPr>
          <w:i/>
          <w:lang w:val="sq-AL"/>
        </w:rPr>
        <w:t>de facto</w:t>
      </w:r>
      <w:r w:rsidRPr="00DC5ED7">
        <w:rPr>
          <w:lang w:val="sq-AL"/>
        </w:rPr>
        <w:t xml:space="preserve"> nga një tjetër prift i atyshëm (“Ó.”), i cili vepronte në emrin dhe në interesin e S. Termi “drejtor” i përdorur këtu më poshtë ka të bëjë me Ó. Si edhe me funksionin drejtues që përmbushte ai. Shkolla kombëtare e Dunderrow-it kishte të punësuar dy mësues, njëri prej të cilëve (“L.H.”), burrë i martuar, ishte përgjegjësi i shkollës. Ajo ishte njëra nga katër shkollat kombëtare që ndodheshin në famullinë e paditëses.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15</w:t>
      </w:r>
      <w:r w:rsidRPr="00DC5ED7">
        <w:rPr>
          <w:lang w:val="sq-AL"/>
        </w:rPr>
        <w:fldChar w:fldCharType="end"/>
      </w:r>
      <w:r w:rsidRPr="00DC5ED7">
        <w:rPr>
          <w:lang w:val="sq-AL"/>
        </w:rPr>
        <w:t>.  Më 1971, e ëma e një nxënësi iu ankua drejtorit se L.H. kishte abuzuar seksualisht me fëmijën e saj. Drejtori nuk ia përcolli ankesën as policisë, as Ministrisë, as kurrfarë autoriteti tjetër të shtetit, dhe nuk e ndoqi fare atë.</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16</w:t>
      </w:r>
      <w:r w:rsidRPr="00DC5ED7">
        <w:rPr>
          <w:lang w:val="sq-AL"/>
        </w:rPr>
        <w:fldChar w:fldCharType="end"/>
      </w:r>
      <w:r w:rsidRPr="00DC5ED7">
        <w:rPr>
          <w:lang w:val="sq-AL"/>
        </w:rPr>
        <w:t>.  Gjatë gjashtë muajve të parë të vitit 1973, paditësja iu nënshtrua nja njëzet herë abuzimeve seksuale nga ana e L.H. gjatë orëve të mësimit të muzikës të cilat ky i fundit i jepte në klasën e tij. Në atë kohë, e interesuara dhe prindërit e saj nuk ishin në dijeni të ankesës objekt i së cilës kishte qenë L.H. më 1971.</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17</w:t>
      </w:r>
      <w:r w:rsidRPr="00DC5ED7">
        <w:rPr>
          <w:lang w:val="sq-AL"/>
        </w:rPr>
        <w:fldChar w:fldCharType="end"/>
      </w:r>
      <w:r w:rsidRPr="00DC5ED7">
        <w:rPr>
          <w:lang w:val="sq-AL"/>
        </w:rPr>
        <w:t>.  Në shtator 1973, disa prindër të tjerë nxënësish u kallëzuan prindërve të paditëses për ekzistencën e pohimeve të ngjashme në lidhje me L.H. Pas një mbledhjeje prindërish kushtuar kësaj teme dhe të drejtuar nga drejtori, L.H. mori pushim për shkak sëmundjeje. Në shtator 1973, ai dha dorëheqje nga vendi i tij i punës. Pohimet e lartpërmendura nuk iu kallëzuan në atë kohë as policisë, as Ministrisë, as kurrfarë autoriteti tjetër shtetëror. Gjatë një bisede të shkurtër, e ëma e paditëses e pyeti këtë të fundit nëse L.H. e kishte prekur. Në përgjigjen e saj, paditësja foli tërthorazi për një episod me karakter seksual; me sa i kujtohet asaj, biseda u mbyll me aq. Në janar 1974, drejtori e njoftoi Ministrinë se L.H. kishte dhënë dorëheqje dhe emëroi zëvendësuesin e tij. Pak më vonë, L.H. u mor në punë në një shkollë tjetër kombëtare, ku dha mësim deri sa doli në pension më 1995.</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18</w:t>
      </w:r>
      <w:r w:rsidRPr="00DC5ED7">
        <w:rPr>
          <w:lang w:val="sq-AL"/>
        </w:rPr>
        <w:fldChar w:fldCharType="end"/>
      </w:r>
      <w:r w:rsidRPr="00DC5ED7">
        <w:rPr>
          <w:lang w:val="sq-AL"/>
        </w:rPr>
        <w:t>.  Ndërmjet viteve 1969 dhe 1973, inspektori i ngarkuar me atë zonë kishte shkuar gjashtë herë në shkollën kombëtare të Dunderrow-it, çka përbënte një numër vizitash mbi mesataren, siç e deklaroi ai më vonë në dëshminë e tij. Me ato raste, ai ishte takuar me L.H. e me S., dhe kishte qenë i pranishëm në mbledhje prindërish të nxënësve rreth çështjes së bashkimit të shkollës së Dunderrow-it me institucione të tjera. Atij nuk i ishte drejtuar asnjë ankesë lidhur me L.H. Ai e kishte inspektuar punën pedagogjike të këtij të fundit dhe e kishte gjykuar atë si të kënaqshme.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19</w:t>
      </w:r>
      <w:r w:rsidRPr="00DC5ED7">
        <w:rPr>
          <w:lang w:val="sq-AL"/>
        </w:rPr>
        <w:fldChar w:fldCharType="end"/>
      </w:r>
      <w:r w:rsidRPr="00DC5ED7">
        <w:rPr>
          <w:lang w:val="sq-AL"/>
        </w:rPr>
        <w:t>.  Paditësja nuk i tregoi abuzimet seksuale. Ndonëse vuante nga probleme të konsiderueshme psikologjike, ajo nuk e bëri lidhjen me keqtrajtimet që kishte pësuar. Më 1996, ajo u kontaktua nga policia, e cila po kryente një hetim rreth një ankese që ishte paraqitur kundër L.H. nga një ish-nxënës i shkollës kombëtare të Dunderrow-it më 1995. Ajo i dha një dëshmi policisë në janar 1997 dhe u përcoll te një shërbim mbështetjeje psikologjike. Gjatë hetimit, u dhanë dëshmi edhe nga disa nxënës të tjerë. L.H. u ngarkua me 386 akuza për abuzime seksuale të cilat mendohej se i kishte kryer gjatë nja dhjetë vjetësh ndaj 21 ish-nxënësve të shkollës. Më 1998, ai e pranoi fajin për 21 akuza të përmbledhura për çdo viktimë dhe u dënua me burgim. Atij iu hoq leja për mësimdhënie nga ministri i Arsimit dhe i Shkencave (“ministri”) në zbatim të nenit 108 të Rregullores për Shkollat Kombëtare të vitit 1965 (</w:t>
      </w:r>
      <w:r w:rsidRPr="00DC5ED7">
        <w:rPr>
          <w:i/>
          <w:lang w:val="sq-AL"/>
        </w:rPr>
        <w:t>National School Rules 1965</w:t>
      </w:r>
      <w:r w:rsidRPr="00DC5ED7">
        <w:rPr>
          <w:lang w:val="sq-AL"/>
        </w:rPr>
        <w:t xml:space="preserve"> – “Rregullorja e vitit 1965”).</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20</w:t>
      </w:r>
      <w:r w:rsidRPr="00DC5ED7">
        <w:rPr>
          <w:lang w:val="sq-AL"/>
        </w:rPr>
        <w:fldChar w:fldCharType="end"/>
      </w:r>
      <w:r w:rsidRPr="00DC5ED7">
        <w:rPr>
          <w:lang w:val="sq-AL"/>
        </w:rPr>
        <w:t>.  Diku rreth qershorit të vitit 1998, pas dëshmive të dhëna prej disa viktimash të tjera gjatë procesit penal dhe një trajtimi të mëtejshëm mjekësor, paditësja u bë e vetëdijshme për lidhjen që ekzistonte midis problemeve të saj psikologjike dhe keqtrajtimeve që i ishin shkaktuar nga L.H., dhe i kuptoi përmasat e problemeve të saj.</w:t>
      </w:r>
    </w:p>
    <w:p w:rsidRPr="00DC5ED7" w:rsidR="00EB737A" w:rsidP="00EB737A" w:rsidRDefault="00EB737A">
      <w:pPr>
        <w:pStyle w:val="ECHRHeading2"/>
        <w:rPr>
          <w:lang w:val="sq-AL"/>
        </w:rPr>
      </w:pPr>
      <w:r w:rsidRPr="00DC5ED7">
        <w:rPr>
          <w:lang w:val="sq-AL"/>
        </w:rPr>
        <w:t>B.  Komisioni për Kompensimin e Dëmeve të Shkaktuara nga Vepra Penale (</w:t>
      </w:r>
      <w:r w:rsidRPr="00DC5ED7">
        <w:rPr>
          <w:i/>
          <w:lang w:val="sq-AL"/>
        </w:rPr>
        <w:t>Criminal Injuries Compensation Tribunal</w:t>
      </w:r>
      <w:r w:rsidRPr="00DC5ED7">
        <w:rPr>
          <w:lang w:val="sq-AL"/>
        </w:rPr>
        <w:t xml:space="preserve"> – “CICT”)</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21</w:t>
      </w:r>
      <w:r w:rsidRPr="00DC5ED7">
        <w:rPr>
          <w:lang w:val="sq-AL"/>
        </w:rPr>
        <w:fldChar w:fldCharType="end"/>
      </w:r>
      <w:r w:rsidRPr="00DC5ED7">
        <w:rPr>
          <w:lang w:val="sq-AL"/>
        </w:rPr>
        <w:t>.  Në tetor 1998, paditësja iu drejtua CICT-së me një kërkesë për zhdëmtim. Fillimisht, asaj iu dha një shumë prej 44 814,14 eurosh (EUR) nga një gjyqtar i vetëm.</w:t>
      </w:r>
      <w:r w:rsidR="00943091">
        <w:rPr>
          <w:lang w:val="sq-AL"/>
        </w:rPr>
        <w:t xml:space="preserve"> </w:t>
      </w:r>
      <w:r w:rsidRPr="00DC5ED7">
        <w:rPr>
          <w:lang w:val="sq-AL"/>
        </w:rPr>
        <w:t>Ajo paraqiti një ankim pranë një kolegji të CICT-së. Sipas saj, CICT-ja i dha atëherë asaj mundësinë për të zgjedhur që ose ta vazhdonte ankimin me rrezikun që t</w:t>
      </w:r>
      <w:r w:rsidR="00943091">
        <w:rPr>
          <w:lang w:val="sq-AL"/>
        </w:rPr>
        <w:t>’</w:t>
      </w:r>
      <w:r w:rsidRPr="00DC5ED7">
        <w:rPr>
          <w:lang w:val="sq-AL"/>
        </w:rPr>
        <w:t>i rrëzohej kërkesa për arsye vonese, ose të pranonte ofertën fillestare që i ishte bërë, të shtuar me një shumë e cila përkonte me disa shpenzime shtesë (pra një shumë prej 53 962,24 EUR, nga të cilat 27 000 EUR në lidhje me dëmin moral). Paditësja pranoi ofertën me një letër të datës 5 nëntor 2002, në të cilën ajo merrte zotimin standard për t</w:t>
      </w:r>
      <w:r w:rsidR="00943091">
        <w:rPr>
          <w:lang w:val="sq-AL"/>
        </w:rPr>
        <w:t>’</w:t>
      </w:r>
      <w:r w:rsidRPr="00DC5ED7">
        <w:rPr>
          <w:lang w:val="sq-AL"/>
        </w:rPr>
        <w:t>i kthyer CICT-së çfarëdo shume që do t</w:t>
      </w:r>
      <w:r w:rsidR="00943091">
        <w:rPr>
          <w:lang w:val="sq-AL"/>
        </w:rPr>
        <w:t>’</w:t>
      </w:r>
      <w:r w:rsidRPr="00DC5ED7">
        <w:rPr>
          <w:lang w:val="sq-AL"/>
        </w:rPr>
        <w:t xml:space="preserve">i jepej përveç kësaj, cilido që të ishte burimi i saj, lidhur me të njëjtin dëm. Zhdëmtimi iu dha asaj me dashamirësi. Meqenëse shteti nuk është kurrë palë në procedurat pranë CICT-së, ai mori dijeni për këtë dhënie vetëm më vonë, gjatë procedurës në </w:t>
      </w:r>
      <w:r w:rsidRPr="00DC5ED7">
        <w:rPr>
          <w:i/>
          <w:lang w:val="sq-AL"/>
        </w:rPr>
        <w:t>High Court</w:t>
      </w:r>
      <w:r w:rsidRPr="00DC5ED7">
        <w:rPr>
          <w:lang w:val="sq-AL"/>
        </w:rPr>
        <w:t xml:space="preserve"> (shih këtu më poshtë).</w:t>
      </w:r>
    </w:p>
    <w:p w:rsidRPr="00DC5ED7" w:rsidR="00EB737A" w:rsidP="00EB737A" w:rsidRDefault="00EB737A">
      <w:pPr>
        <w:pStyle w:val="ECHRHeading2"/>
        <w:rPr>
          <w:lang w:val="sq-AL"/>
        </w:rPr>
      </w:pPr>
      <w:r w:rsidRPr="00DC5ED7">
        <w:rPr>
          <w:lang w:val="sq-AL"/>
        </w:rPr>
        <w:t>C.  Padia civile për zhdëmtim (nr. 1998/10555P)</w:t>
      </w:r>
    </w:p>
    <w:p w:rsidRPr="00DC5ED7" w:rsidR="00EB737A" w:rsidP="00EB737A" w:rsidRDefault="00EB737A">
      <w:pPr>
        <w:pStyle w:val="ECHRHeading3"/>
        <w:rPr>
          <w:lang w:val="sq-AL"/>
        </w:rPr>
      </w:pPr>
      <w:r w:rsidRPr="00DC5ED7">
        <w:rPr>
          <w:lang w:val="sq-AL"/>
        </w:rPr>
        <w:t xml:space="preserve">1.  Procedura në </w:t>
      </w:r>
      <w:r w:rsidRPr="00DC5ED7">
        <w:rPr>
          <w:i w:val="0"/>
          <w:lang w:val="sq-AL"/>
        </w:rPr>
        <w:t>High Court</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22</w:t>
      </w:r>
      <w:r w:rsidRPr="00DC5ED7">
        <w:rPr>
          <w:lang w:val="sq-AL"/>
        </w:rPr>
        <w:fldChar w:fldCharType="end"/>
      </w:r>
      <w:r w:rsidRPr="00DC5ED7">
        <w:rPr>
          <w:lang w:val="sq-AL"/>
        </w:rPr>
        <w:t xml:space="preserve">.  Më 29 shtator 1998, paditësja ngriti kundër L.H., kundër ministrit të Arsimit dhe të Shkencave, si edhe kundër Irlandës dhe </w:t>
      </w:r>
      <w:r w:rsidRPr="00DC5ED7">
        <w:rPr>
          <w:i/>
          <w:lang w:val="sq-AL"/>
        </w:rPr>
        <w:t>Attorney General</w:t>
      </w:r>
      <w:r w:rsidRPr="00DC5ED7">
        <w:rPr>
          <w:lang w:val="sq-AL"/>
        </w:rPr>
        <w:t xml:space="preserve"> një padi civile ku ajo kërkonte dëmshpërblim për cenim të paprekshmërisë së personit për arsye të dhunimeve, veçanërisht me karakter seksual, që i kishte shkaktuar asaj L.H. Kërkesa e saj e drejtuar kundër tre të paditurve të fundit (“</w:t>
      </w:r>
      <w:r w:rsidRPr="00DC5ED7">
        <w:rPr>
          <w:i/>
          <w:lang w:val="sq-AL"/>
        </w:rPr>
        <w:t>the State Defendants</w:t>
      </w:r>
      <w:r w:rsidRPr="00DC5ED7">
        <w:rPr>
          <w:lang w:val="sq-AL"/>
        </w:rPr>
        <w:t xml:space="preserve">” – “të paditurve shtetërorë”) përmbante tre argumente: a) pakujdesi e shtetit si pasojë e mospërmbushjes së detyrës nga të paditurit shtetërorë lidhur me </w:t>
      </w:r>
      <w:r w:rsidRPr="00DC5ED7" w:rsidR="00BE6377">
        <w:rPr>
          <w:lang w:val="sq-AL"/>
        </w:rPr>
        <w:t>njohje</w:t>
      </w:r>
      <w:r w:rsidRPr="00DC5ED7">
        <w:rPr>
          <w:lang w:val="sq-AL"/>
        </w:rPr>
        <w:t>n, inspektimin dhe mbikëqyrjen e shkollës dhe si pasojë e mungesës së masave dhe të procedurave të përshtatshme për t</w:t>
      </w:r>
      <w:r w:rsidR="00943091">
        <w:rPr>
          <w:lang w:val="sq-AL"/>
        </w:rPr>
        <w:t>’</w:t>
      </w:r>
      <w:r w:rsidRPr="00DC5ED7">
        <w:rPr>
          <w:lang w:val="sq-AL"/>
        </w:rPr>
        <w:t>i mbrojtur nxënësit nga abuzimet sistematike të kryera nga L.H. që nga viti 1962 dhe për t</w:t>
      </w:r>
      <w:r w:rsidR="00943091">
        <w:rPr>
          <w:lang w:val="sq-AL"/>
        </w:rPr>
        <w:t>’</w:t>
      </w:r>
      <w:r w:rsidRPr="00DC5ED7">
        <w:rPr>
          <w:lang w:val="sq-AL"/>
        </w:rPr>
        <w:t>u dhënë fund këtyre abuzimeve; b) përgjegjësi e të paditurve shtetërore për veprimet e kryera nga L.H., sidomos meqenëse marrëdhënia midis këtij të fundit dhe shtetit përbënte në të vërtetë një marrëdhënie midis punëdhënësit dhe punëmarrësit, dhe c) përgjegjësi lidhur me të drejtën kushtetuese të paditëses për paprekshmërinë fizike, me detyrimin për të siguruar një arsim fillor që u ngarkohet të paditurve shtetërorë nga neni 42 i Kushtetutës, si edhe me masat e marra për përmbushjen e këtij detyrimi.</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23</w:t>
      </w:r>
      <w:r w:rsidRPr="00DC5ED7">
        <w:rPr>
          <w:lang w:val="sq-AL"/>
        </w:rPr>
        <w:fldChar w:fldCharType="end"/>
      </w:r>
      <w:r w:rsidRPr="00DC5ED7">
        <w:rPr>
          <w:lang w:val="sq-AL"/>
        </w:rPr>
        <w:t xml:space="preserve">.  L.H. nuk u mbrojt dhe, më 8 nëntor 1999, paditësja fitoi një vendim në mungesë kundër tij. Më 24 tetor 2006, </w:t>
      </w:r>
      <w:r w:rsidRPr="00DC5ED7">
        <w:rPr>
          <w:i/>
          <w:lang w:val="sq-AL"/>
        </w:rPr>
        <w:t>High Court</w:t>
      </w:r>
      <w:r w:rsidRPr="00DC5ED7">
        <w:rPr>
          <w:lang w:val="sq-AL"/>
        </w:rPr>
        <w:t xml:space="preserve"> caktoi e dha për të interesuarën dëmshpërblimet që duhet të paguante L.H., ose një shumë prej 305 104 EUR, e cila përkonte me 200 000 EUR në lidhje me dëmshpërblimet e përgjithshme, 50 000 EUR në lidhje me dëmshpërblimet e shtuara, 50 000 EUR në lidhje me dëmshpërblimet shembullore dhe 5 104 EUR në lidhje me dëmshpërblimet e posaçme. Paditësja nisi një procedurë përmbarimi. Meqenëse L.H. kishte deklaruar se nuk kishte mjete të mjaftueshme për t</w:t>
      </w:r>
      <w:r w:rsidR="00943091">
        <w:rPr>
          <w:lang w:val="sq-AL"/>
        </w:rPr>
        <w:t>’</w:t>
      </w:r>
      <w:r w:rsidRPr="00DC5ED7">
        <w:rPr>
          <w:lang w:val="sq-AL"/>
        </w:rPr>
        <w:t>i paguar këto dëmshpërblime, ajo fitoi një urdhër pagese me këste mujore prej 400 EUR. Pagesën e parë të përmuajshme ajo e mori në nëntor 2007 (ajo ka marrë pra 31 000 EUR deri më sot). Ajo vendosi gjithashtu një hipotekë gjyqësore mbi atë pjesë të banesës familjare të L.H. për të cilën ky i fundit ishte pronar.</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24</w:t>
      </w:r>
      <w:r w:rsidRPr="00DC5ED7">
        <w:rPr>
          <w:lang w:val="sq-AL"/>
        </w:rPr>
        <w:fldChar w:fldCharType="end"/>
      </w:r>
      <w:r w:rsidRPr="00DC5ED7">
        <w:rPr>
          <w:lang w:val="sq-AL"/>
        </w:rPr>
        <w:t>. Në kuadrin e padisë civile të drejtuar kundër të paditurve shtetërorë, paditësja kërkoi konsulencë nga profesori Ferguson lidhur me përputhshmërinë e mekanizmave për mbrojtjen e fëmijëve në Irlandë gjatë viteve 1970. Me një letër të datës 14 prill 2003, profesori iu përgjigje se, sikur më 1973 të kishin qenë në fuqi ato protokolle për mbrojtjen e fëmijëve që ekzistonin në vitin 2003, keqtrajtimet e pësuara nga e interesuara do të kishin sjellë me shumë gjasa marrjen e masave me qëllim për ta vendosur atë në kushte të sigurta. Ai shtoi se, për mendimin e tij, ishte e kotë që ajo kauzë të mbrohej duke u bazuar në atë çka shteti duhej të kishte ditur në kohën e ngjarjeve, përderisa ishte e pamundur që në një kontekst të kaluar të merreshin si pikë referimi njohuritë dhe mekanizmat për përcaktimin e përgjegjësive të tanishme.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25</w:t>
      </w:r>
      <w:r w:rsidRPr="00DC5ED7">
        <w:rPr>
          <w:lang w:val="sq-AL"/>
        </w:rPr>
        <w:fldChar w:fldCharType="end"/>
      </w:r>
      <w:r w:rsidRPr="00DC5ED7">
        <w:rPr>
          <w:lang w:val="sq-AL"/>
        </w:rPr>
        <w:t xml:space="preserve">.  Seanca në </w:t>
      </w:r>
      <w:r w:rsidRPr="00DC5ED7">
        <w:rPr>
          <w:i/>
          <w:lang w:val="sq-AL"/>
        </w:rPr>
        <w:t>High Court</w:t>
      </w:r>
      <w:r w:rsidRPr="00DC5ED7">
        <w:rPr>
          <w:lang w:val="sq-AL"/>
        </w:rPr>
        <w:t xml:space="preserve"> në kuadrin e padisë së drejtuar kundër të paditurve shtetërorë filloi më 2 mars 2004. Më 5 mars 2004, ndërkohë që paditësja po parashtronte argumentet e saj, gjyqtari i </w:t>
      </w:r>
      <w:r w:rsidRPr="00DC5ED7">
        <w:rPr>
          <w:i/>
          <w:lang w:val="sq-AL"/>
        </w:rPr>
        <w:t>High Court</w:t>
      </w:r>
      <w:r w:rsidRPr="00DC5ED7">
        <w:rPr>
          <w:lang w:val="sq-AL"/>
        </w:rPr>
        <w:t>, në përgjigje të pretendimit të të interesuarës lidhur me mungesën e çdolloj mekanizmi publik që të mundësonte sinjalizimin dhe trajtimin e abuzimeve seksuale në shkollat kombëtare, i drejtoi pyetjen e mëposhtme avokatit të paditëses:</w:t>
      </w:r>
    </w:p>
    <w:p w:rsidRPr="00DC5ED7" w:rsidR="00EB737A" w:rsidP="00EB737A" w:rsidRDefault="00EB737A">
      <w:pPr>
        <w:pStyle w:val="ECHRParaQuote"/>
        <w:rPr>
          <w:lang w:val="sq-AL"/>
        </w:rPr>
      </w:pPr>
      <w:r w:rsidRPr="00DC5ED7">
        <w:rPr>
          <w:lang w:val="sq-AL"/>
        </w:rPr>
        <w:t>“Çfarë ma provon mua, ose si mund ta kisha kuptuar nga elementet e parashtruara këtu, që sistemi në fuqi ishte një sistem i keq – dhe unë do t</w:t>
      </w:r>
      <w:r w:rsidR="00943091">
        <w:rPr>
          <w:lang w:val="sq-AL"/>
        </w:rPr>
        <w:t>’</w:t>
      </w:r>
      <w:r w:rsidRPr="00DC5ED7">
        <w:rPr>
          <w:lang w:val="sq-AL"/>
        </w:rPr>
        <w:t>i kthehem përsëri kësaj pike – apo që ekzistonte një sistem tjetër i cili qenkësh dashur të vihej në zbatim, dhe me se mund të kishte pasur ngjashmëri ky sistem tjetër?”</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26</w:t>
      </w:r>
      <w:r w:rsidRPr="00DC5ED7">
        <w:rPr>
          <w:lang w:val="sq-AL"/>
        </w:rPr>
        <w:fldChar w:fldCharType="end"/>
      </w:r>
      <w:r w:rsidRPr="00DC5ED7">
        <w:rPr>
          <w:lang w:val="sq-AL"/>
        </w:rPr>
        <w:t xml:space="preserve">.  Pasi paditësja e parashtroi argumentimin e saj, të paditurit shtetërorë kërkuan të merrej një vendim për çregjistrim, duke çmuar se, për secilin nga të tre argumentet, kërkuesja nuk kishte arritur ta provonte ekzistencën e ndonjë pretendimi të bazuar kundër tyre dhe duke mbrojtur sidomos mendimin se nuk kishte asnjë element që ta provonte pakujdesinë e tyre. Më 9 mars 2004, </w:t>
      </w:r>
      <w:r w:rsidRPr="00DC5ED7">
        <w:rPr>
          <w:i/>
          <w:lang w:val="sq-AL"/>
        </w:rPr>
        <w:t>High Court</w:t>
      </w:r>
      <w:r w:rsidRPr="00DC5ED7">
        <w:rPr>
          <w:lang w:val="sq-AL"/>
        </w:rPr>
        <w:t xml:space="preserve"> e pranoi kërkesën e tyre dhe dha një urdhër për pushimin e çështjes (“</w:t>
      </w:r>
      <w:r w:rsidRPr="00DC5ED7">
        <w:rPr>
          <w:i/>
          <w:lang w:val="sq-AL"/>
        </w:rPr>
        <w:t>non</w:t>
      </w:r>
      <w:r w:rsidRPr="00DC5ED7">
        <w:rPr>
          <w:i/>
          <w:lang w:val="sq-AL"/>
        </w:rPr>
        <w:noBreakHyphen/>
        <w:t>suit orde</w:t>
      </w:r>
      <w:r w:rsidR="005517A9">
        <w:rPr>
          <w:i/>
          <w:lang w:val="sq-AL"/>
        </w:rPr>
        <w:t>r</w:t>
      </w:r>
      <w:r w:rsidRPr="00DC5ED7">
        <w:rPr>
          <w:lang w:val="sq-AL"/>
        </w:rPr>
        <w:t>”). Ajo deklaroi se “kërkuesja nuk kishte arritur të vërtetonte themelësinë e pohimeve të saj për pakujdesi kundër [të paditurve shtetërorë]”. Ajo nuk e bëri dallimin – madje askush nuk e kishte ftuar për ta bërë një gjë të tillë – midis dy degëve të argumentit lidhur me pakujdesinë. Megjithatë, ajo qe e mendimit se ishte provuar ekzistenca e një pretendimi që mund të mbrohej për sa i takonte përgjegjësisë për veprimin e një tjetri dhe përgjegjësisë kushtetuese. Ajo vuri kështu në dukje se të paditurve do t</w:t>
      </w:r>
      <w:r w:rsidR="00943091">
        <w:rPr>
          <w:lang w:val="sq-AL"/>
        </w:rPr>
        <w:t>’</w:t>
      </w:r>
      <w:r w:rsidRPr="00DC5ED7">
        <w:rPr>
          <w:lang w:val="sq-AL"/>
        </w:rPr>
        <w:t>u kërkohej që të përgjigjeshin rreth këtyre pikave. Procesi përfundoi më 12 mars 2004.</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27</w:t>
      </w:r>
      <w:r w:rsidRPr="00DC5ED7">
        <w:rPr>
          <w:lang w:val="sq-AL"/>
        </w:rPr>
        <w:fldChar w:fldCharType="end"/>
      </w:r>
      <w:r w:rsidRPr="00DC5ED7">
        <w:rPr>
          <w:lang w:val="sq-AL"/>
        </w:rPr>
        <w:t xml:space="preserve">.  Më 20 janar 2006, </w:t>
      </w:r>
      <w:r w:rsidRPr="00DC5ED7">
        <w:rPr>
          <w:i/>
          <w:lang w:val="sq-AL"/>
        </w:rPr>
        <w:t>High Court</w:t>
      </w:r>
      <w:r w:rsidRPr="00DC5ED7">
        <w:rPr>
          <w:lang w:val="sq-AL"/>
        </w:rPr>
        <w:t xml:space="preserve"> dha vendimin e saj. Ajo gjykoi që padia nuk ishte e parashkruar. Për më tepër, ajo nxori përfundimin se, duke pasur parasysh marrëdhënien midis shtetit dhe drejtuesve fetarë të shkollave kombëtare, shteti nuk ngarkohej dot me përgjegjësi për arsye të sulmeve seksuale të kryera nga L.H. Ajo nuk i dha përgjigje argumentit të formuluar gojarisht nga avokati i paditëses, sipas të cilit shteti duhej të quhej përgjegjës për mosveprimin e drejtorit të shkollës. Së fundi, ajo çmoi se nuk mund të ngrihej kurrfarë padie për shkelje të ndonjë të drejte kushtetuese, në qoftë se kishte ligje (në rastin konkret, ligjet lidhur me përgjegjësinë civile) të cilat e mbronin të drejtën në fjalë. Paditësja u dënua të paguante kostot dhe shpenzimet në kuadrin e padisë së saj kundër të paditurve shtetërorë.</w:t>
      </w:r>
    </w:p>
    <w:p w:rsidRPr="00DC5ED7" w:rsidR="00EB737A" w:rsidP="00EB737A" w:rsidRDefault="00EB737A">
      <w:pPr>
        <w:pStyle w:val="ECHRHeading3"/>
        <w:rPr>
          <w:lang w:val="sq-AL"/>
        </w:rPr>
      </w:pPr>
      <w:r w:rsidRPr="00DC5ED7">
        <w:rPr>
          <w:lang w:val="sq-AL"/>
        </w:rPr>
        <w:t>2.  Procedura pranë Gjykatës së Lartë (O</w:t>
      </w:r>
      <w:r w:rsidR="00943091">
        <w:rPr>
          <w:lang w:val="sq-AL"/>
        </w:rPr>
        <w:t>’</w:t>
      </w:r>
      <w:r w:rsidRPr="00DC5ED7">
        <w:rPr>
          <w:lang w:val="sq-AL"/>
        </w:rPr>
        <w:t>Keeffe v. Hickey [2008] IESC 72)</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28</w:t>
      </w:r>
      <w:r w:rsidRPr="00DC5ED7">
        <w:rPr>
          <w:lang w:val="sq-AL"/>
        </w:rPr>
        <w:fldChar w:fldCharType="end"/>
      </w:r>
      <w:r w:rsidRPr="00DC5ED7">
        <w:rPr>
          <w:lang w:val="sq-AL"/>
        </w:rPr>
        <w:t xml:space="preserve">.  Në maj 2006, paditësja bëri rekurs në Gjykatën e Lartë.  Në deklaratën e saj për rekurs, ajo e kundërshtonte përfundimin e </w:t>
      </w:r>
      <w:r w:rsidRPr="00DC5ED7">
        <w:rPr>
          <w:i/>
          <w:lang w:val="sq-AL"/>
        </w:rPr>
        <w:t>High Court</w:t>
      </w:r>
      <w:r w:rsidRPr="00DC5ED7">
        <w:rPr>
          <w:lang w:val="sq-AL"/>
        </w:rPr>
        <w:t xml:space="preserve"> lidhur me përgjegjësinë për veprimin e tjetërkujt dhe, për këtë qëllim, ngrinte dy pika: mungesën e arsyetimit të vendimit të ndërmjetëm të dhënë më 9 mars 2004, dhe faktin se </w:t>
      </w:r>
      <w:r w:rsidRPr="00DC5ED7">
        <w:rPr>
          <w:i/>
          <w:lang w:val="sq-AL"/>
        </w:rPr>
        <w:t>High Court</w:t>
      </w:r>
      <w:r w:rsidRPr="00DC5ED7">
        <w:rPr>
          <w:lang w:val="sq-AL"/>
        </w:rPr>
        <w:t>, në vendimin e saj, nuk ishte shprehur rreth përgjegjësisë së shtetit për mosveprimin e drejtorit. Gjyqtari Hardiman çmoi se objekti i rekursit kufizohej te përgjegjësia e shtetit për veprimet e L.H. dhe të drejtorit, por ai formuloi në vendimin e tij disa komente rreth dy argumenteve të tjera (lidhur me pakujdesinë e drejtpërdrejtë dhe me përgjegjësinë kushtetuese) që figuronin në kërkesën fillestare të paditëses. Gjyqtari Fennelly qe po ashtu i mendimit se rekursi kishte të bënte vetëm me përgjegjësinë e shtetit për veprimet e L.H., por ai refuzoi të pranonte që shteti ishte përgjegjës për veprimet e drejtorit.</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29</w:t>
      </w:r>
      <w:r w:rsidRPr="00DC5ED7">
        <w:rPr>
          <w:lang w:val="sq-AL"/>
        </w:rPr>
        <w:fldChar w:fldCharType="end"/>
      </w:r>
      <w:r w:rsidRPr="00DC5ED7">
        <w:rPr>
          <w:lang w:val="sq-AL"/>
        </w:rPr>
        <w:t xml:space="preserve">.  Çështja u shqyrtua nga 11 deri më 13 qershor 2006. Me një vendim të datës 19 dhjetor 2008 të dhënë me votat e shumicës (të përbërë nga gjyqtarët Hardiman e Fennelly, me të cilët u bashkuan </w:t>
      </w:r>
      <w:r w:rsidRPr="00DC5ED7">
        <w:rPr>
          <w:i/>
          <w:lang w:val="sq-AL"/>
        </w:rPr>
        <w:t>Chief Justice</w:t>
      </w:r>
      <w:r w:rsidRPr="00DC5ED7">
        <w:rPr>
          <w:lang w:val="sq-AL"/>
        </w:rPr>
        <w:t xml:space="preserve"> Murray dhe gjyqtari Denham, ndërsa gjyqtari Geoghegan qe kundërshtues), Gjykata e Lartë e rrëzoi rekursin.</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30</w:t>
      </w:r>
      <w:r w:rsidRPr="00DC5ED7">
        <w:rPr>
          <w:lang w:val="sq-AL"/>
        </w:rPr>
        <w:fldChar w:fldCharType="end"/>
      </w:r>
      <w:r w:rsidRPr="00DC5ED7">
        <w:rPr>
          <w:lang w:val="sq-AL"/>
        </w:rPr>
        <w:t>.  </w:t>
      </w:r>
      <w:r w:rsidRPr="00DC5ED7" w:rsidR="00237C50">
        <w:rPr>
          <w:lang w:val="sq-AL"/>
        </w:rPr>
        <w:t>Gjyqtari</w:t>
      </w:r>
      <w:r w:rsidRPr="00DC5ED7">
        <w:rPr>
          <w:lang w:val="sq-AL"/>
        </w:rPr>
        <w:t xml:space="preserve"> Hardiman </w:t>
      </w:r>
      <w:r w:rsidRPr="00DC5ED7" w:rsidR="00237C50">
        <w:rPr>
          <w:lang w:val="sq-AL"/>
        </w:rPr>
        <w:t xml:space="preserve">e përshkroi me imtësi situatën juridike të shkollave kombëtare. Sipas tij, </w:t>
      </w:r>
      <w:r w:rsidRPr="00DC5ED7" w:rsidR="00BB4EE0">
        <w:rPr>
          <w:lang w:val="sq-AL"/>
        </w:rPr>
        <w:t>ndonë</w:t>
      </w:r>
      <w:r w:rsidRPr="00DC5ED7" w:rsidR="00237C50">
        <w:rPr>
          <w:lang w:val="sq-AL"/>
        </w:rPr>
        <w:t xml:space="preserve">se sistemi arsimor </w:t>
      </w:r>
      <w:r w:rsidRPr="00DC5ED7" w:rsidR="00BB4EE0">
        <w:rPr>
          <w:lang w:val="sq-AL"/>
        </w:rPr>
        <w:t>i bazuar te shkollat kombëtare mund “të duke[j] mjaft i çuditshëm në koh</w:t>
      </w:r>
      <w:r w:rsidRPr="00DC5ED7" w:rsidR="00FC2841">
        <w:rPr>
          <w:lang w:val="sq-AL"/>
        </w:rPr>
        <w:t>ë</w:t>
      </w:r>
      <w:r w:rsidRPr="00DC5ED7" w:rsidR="00BB4EE0">
        <w:rPr>
          <w:lang w:val="sq-AL"/>
        </w:rPr>
        <w:t>n e sotme], ai duhej të rivendosej n</w:t>
      </w:r>
      <w:r w:rsidRPr="00DC5ED7" w:rsidR="00FC2841">
        <w:rPr>
          <w:lang w:val="sq-AL"/>
        </w:rPr>
        <w:t>ë</w:t>
      </w:r>
      <w:r w:rsidRPr="00DC5ED7" w:rsidR="00BB4EE0">
        <w:rPr>
          <w:lang w:val="sq-AL"/>
        </w:rPr>
        <w:t xml:space="preserve"> kontekstin e historis</w:t>
      </w:r>
      <w:r w:rsidRPr="00DC5ED7" w:rsidR="00FC2841">
        <w:rPr>
          <w:lang w:val="sq-AL"/>
        </w:rPr>
        <w:t>ë</w:t>
      </w:r>
      <w:r w:rsidRPr="00DC5ED7" w:rsidR="00BB4EE0">
        <w:rPr>
          <w:lang w:val="sq-AL"/>
        </w:rPr>
        <w:t xml:space="preserve"> irlandeze t</w:t>
      </w:r>
      <w:r w:rsidRPr="00DC5ED7" w:rsidR="00FC2841">
        <w:rPr>
          <w:lang w:val="sq-AL"/>
        </w:rPr>
        <w:t>ë</w:t>
      </w:r>
      <w:r w:rsidRPr="00DC5ED7" w:rsidR="00BB4EE0">
        <w:rPr>
          <w:lang w:val="sq-AL"/>
        </w:rPr>
        <w:t xml:space="preserve"> fillimit të shekullit XIX. Gjyqtari shpjegoi se, pas konfliktit fetar dhe emancipimit t</w:t>
      </w:r>
      <w:r w:rsidRPr="00DC5ED7" w:rsidR="00FC2841">
        <w:rPr>
          <w:lang w:val="sq-AL"/>
        </w:rPr>
        <w:t>ë</w:t>
      </w:r>
      <w:r w:rsidRPr="00DC5ED7" w:rsidR="00BB4EE0">
        <w:rPr>
          <w:lang w:val="sq-AL"/>
        </w:rPr>
        <w:t xml:space="preserve"> katolik</w:t>
      </w:r>
      <w:r w:rsidRPr="00DC5ED7" w:rsidR="00FC2841">
        <w:rPr>
          <w:lang w:val="sq-AL"/>
        </w:rPr>
        <w:t>ë</w:t>
      </w:r>
      <w:r w:rsidRPr="00DC5ED7" w:rsidR="00BB4EE0">
        <w:rPr>
          <w:lang w:val="sq-AL"/>
        </w:rPr>
        <w:t>ve m</w:t>
      </w:r>
      <w:r w:rsidRPr="00DC5ED7" w:rsidR="00FC2841">
        <w:rPr>
          <w:lang w:val="sq-AL"/>
        </w:rPr>
        <w:t>ë</w:t>
      </w:r>
      <w:r w:rsidRPr="00DC5ED7" w:rsidR="00BB4EE0">
        <w:rPr>
          <w:lang w:val="sq-AL"/>
        </w:rPr>
        <w:t xml:space="preserve"> 1829, Kishat disidente dhe Kisha Katolike </w:t>
      </w:r>
      <w:r w:rsidRPr="00DC5ED7" w:rsidR="00FC2841">
        <w:rPr>
          <w:lang w:val="sq-AL"/>
        </w:rPr>
        <w:t>kishin dashur të garantonin që fëmijët e besimeve të tyre të arsimoheshin në institucione të kontrolluara prej tyre dhe jo nga shteti apo nga Kisha në pushtet (Anglikane). Sipas gjyqtarit, këto Kisha “ia kishin dalë n</w:t>
      </w:r>
      <w:r w:rsidRPr="00DC5ED7" w:rsidR="00D75E86">
        <w:rPr>
          <w:lang w:val="sq-AL"/>
        </w:rPr>
        <w:t>ë</w:t>
      </w:r>
      <w:r w:rsidRPr="00DC5ED7" w:rsidR="00FC2841">
        <w:rPr>
          <w:lang w:val="sq-AL"/>
        </w:rPr>
        <w:t xml:space="preserve"> mënyrë t</w:t>
      </w:r>
      <w:r w:rsidRPr="00DC5ED7" w:rsidR="00D75E86">
        <w:rPr>
          <w:lang w:val="sq-AL"/>
        </w:rPr>
        <w:t>ë</w:t>
      </w:r>
      <w:r w:rsidRPr="00DC5ED7" w:rsidR="00FC2841">
        <w:rPr>
          <w:lang w:val="sq-AL"/>
        </w:rPr>
        <w:t xml:space="preserve"> shkëlqyeshme” q</w:t>
      </w:r>
      <w:r w:rsidRPr="00DC5ED7" w:rsidR="00D75E86">
        <w:rPr>
          <w:lang w:val="sq-AL"/>
        </w:rPr>
        <w:t>ë</w:t>
      </w:r>
      <w:r w:rsidRPr="00DC5ED7" w:rsidR="00FC2841">
        <w:rPr>
          <w:lang w:val="sq-AL"/>
        </w:rPr>
        <w:t xml:space="preserve"> t</w:t>
      </w:r>
      <w:r w:rsidR="00943091">
        <w:rPr>
          <w:lang w:val="sq-AL"/>
        </w:rPr>
        <w:t>’</w:t>
      </w:r>
      <w:r w:rsidRPr="00DC5ED7" w:rsidR="00FC2841">
        <w:rPr>
          <w:lang w:val="sq-AL"/>
        </w:rPr>
        <w:t>ia arrinin këtij q</w:t>
      </w:r>
      <w:r w:rsidRPr="00DC5ED7" w:rsidR="00D75E86">
        <w:rPr>
          <w:lang w:val="sq-AL"/>
        </w:rPr>
        <w:t>ë</w:t>
      </w:r>
      <w:r w:rsidRPr="00DC5ED7" w:rsidR="00FC2841">
        <w:rPr>
          <w:lang w:val="sq-AL"/>
        </w:rPr>
        <w:t>llimi përderisa, q</w:t>
      </w:r>
      <w:r w:rsidRPr="00DC5ED7" w:rsidR="00D75E86">
        <w:rPr>
          <w:lang w:val="sq-AL"/>
        </w:rPr>
        <w:t>ë</w:t>
      </w:r>
      <w:r w:rsidRPr="00DC5ED7" w:rsidR="00FC2841">
        <w:rPr>
          <w:lang w:val="sq-AL"/>
        </w:rPr>
        <w:t xml:space="preserve"> me krijimin e sistemit irlandez t</w:t>
      </w:r>
      <w:r w:rsidRPr="00DC5ED7" w:rsidR="00D75E86">
        <w:rPr>
          <w:lang w:val="sq-AL"/>
        </w:rPr>
        <w:t>ë</w:t>
      </w:r>
      <w:r w:rsidRPr="00DC5ED7" w:rsidR="00FC2841">
        <w:rPr>
          <w:lang w:val="sq-AL"/>
        </w:rPr>
        <w:t xml:space="preserve"> arsimit kombëtar (të </w:t>
      </w:r>
      <w:r w:rsidRPr="00DC5ED7" w:rsidR="00D75E86">
        <w:rPr>
          <w:lang w:val="sq-AL"/>
        </w:rPr>
        <w:t xml:space="preserve">përshkruar </w:t>
      </w:r>
      <w:r w:rsidRPr="00DC5ED7" w:rsidR="00FC2841">
        <w:rPr>
          <w:lang w:val="sq-AL"/>
        </w:rPr>
        <w:t>përmbledh</w:t>
      </w:r>
      <w:r w:rsidRPr="00DC5ED7" w:rsidR="00D75E86">
        <w:rPr>
          <w:lang w:val="sq-AL"/>
        </w:rPr>
        <w:t>tas</w:t>
      </w:r>
      <w:r w:rsidRPr="00DC5ED7" w:rsidR="00FC2841">
        <w:rPr>
          <w:lang w:val="sq-AL"/>
        </w:rPr>
        <w:t xml:space="preserve"> n</w:t>
      </w:r>
      <w:r w:rsidRPr="00DC5ED7" w:rsidR="00D75E86">
        <w:rPr>
          <w:lang w:val="sq-AL"/>
        </w:rPr>
        <w:t>ë</w:t>
      </w:r>
      <w:r w:rsidRPr="00DC5ED7" w:rsidR="00FC2841">
        <w:rPr>
          <w:lang w:val="sq-AL"/>
        </w:rPr>
        <w:t xml:space="preserve"> “letr</w:t>
      </w:r>
      <w:r w:rsidRPr="00DC5ED7" w:rsidR="00D75E86">
        <w:rPr>
          <w:lang w:val="sq-AL"/>
        </w:rPr>
        <w:t>ë</w:t>
      </w:r>
      <w:r w:rsidRPr="00DC5ED7" w:rsidR="00FC2841">
        <w:rPr>
          <w:lang w:val="sq-AL"/>
        </w:rPr>
        <w:t xml:space="preserve">n e </w:t>
      </w:r>
      <w:r w:rsidRPr="00DC5ED7" w:rsidR="00C15D6E">
        <w:rPr>
          <w:lang w:val="sq-AL"/>
        </w:rPr>
        <w:t>Stanley-t”</w:t>
      </w:r>
      <w:r w:rsidRPr="00DC5ED7">
        <w:rPr>
          <w:lang w:val="sq-AL"/>
        </w:rPr>
        <w:t xml:space="preserve"> – </w:t>
      </w:r>
      <w:r w:rsidRPr="00DC5ED7">
        <w:rPr>
          <w:i/>
          <w:lang w:val="sq-AL"/>
        </w:rPr>
        <w:t>Stanley letter</w:t>
      </w:r>
      <w:r w:rsidRPr="00DC5ED7">
        <w:rPr>
          <w:lang w:val="sq-AL"/>
        </w:rPr>
        <w:t xml:space="preserve"> – </w:t>
      </w:r>
      <w:r w:rsidRPr="00DC5ED7" w:rsidR="00C15D6E">
        <w:rPr>
          <w:lang w:val="sq-AL"/>
        </w:rPr>
        <w:t>t</w:t>
      </w:r>
      <w:r w:rsidRPr="00DC5ED7" w:rsidR="00D75E86">
        <w:rPr>
          <w:lang w:val="sq-AL"/>
        </w:rPr>
        <w:t>ë</w:t>
      </w:r>
      <w:r w:rsidRPr="00DC5ED7" w:rsidR="00C15D6E">
        <w:rPr>
          <w:lang w:val="sq-AL"/>
        </w:rPr>
        <w:t xml:space="preserve"> vitit</w:t>
      </w:r>
      <w:r w:rsidRPr="00DC5ED7">
        <w:rPr>
          <w:lang w:val="sq-AL"/>
        </w:rPr>
        <w:t xml:space="preserve"> 1831), </w:t>
      </w:r>
      <w:r w:rsidRPr="00DC5ED7" w:rsidR="00C15D6E">
        <w:rPr>
          <w:lang w:val="sq-AL"/>
        </w:rPr>
        <w:t>autoritetet e shtetit e kishin siguruar financimin e tij “por pa ndërhyrë n</w:t>
      </w:r>
      <w:r w:rsidRPr="00DC5ED7" w:rsidR="00D75E86">
        <w:rPr>
          <w:lang w:val="sq-AL"/>
        </w:rPr>
        <w:t>ë</w:t>
      </w:r>
      <w:r w:rsidRPr="00DC5ED7" w:rsidR="00C15D6E">
        <w:rPr>
          <w:lang w:val="sq-AL"/>
        </w:rPr>
        <w:t xml:space="preserve"> drejtimin ose administrimin e institucioneve” q</w:t>
      </w:r>
      <w:r w:rsidRPr="00DC5ED7" w:rsidR="00D75E86">
        <w:rPr>
          <w:lang w:val="sq-AL"/>
        </w:rPr>
        <w:t>ë</w:t>
      </w:r>
      <w:r w:rsidRPr="00DC5ED7" w:rsidR="00C15D6E">
        <w:rPr>
          <w:lang w:val="sq-AL"/>
        </w:rPr>
        <w:t xml:space="preserve"> p</w:t>
      </w:r>
      <w:r w:rsidRPr="00DC5ED7" w:rsidR="00D75E86">
        <w:rPr>
          <w:lang w:val="sq-AL"/>
        </w:rPr>
        <w:t>ë</w:t>
      </w:r>
      <w:r w:rsidRPr="00DC5ED7" w:rsidR="00C15D6E">
        <w:rPr>
          <w:lang w:val="sq-AL"/>
        </w:rPr>
        <w:t>rfitonin prej tij, meqenëse ky funksion i ishte l</w:t>
      </w:r>
      <w:r w:rsidRPr="00DC5ED7" w:rsidR="00D75E86">
        <w:rPr>
          <w:lang w:val="sq-AL"/>
        </w:rPr>
        <w:t>ë</w:t>
      </w:r>
      <w:r w:rsidRPr="00DC5ED7" w:rsidR="00C15D6E">
        <w:rPr>
          <w:lang w:val="sq-AL"/>
        </w:rPr>
        <w:t>n</w:t>
      </w:r>
      <w:r w:rsidRPr="00DC5ED7" w:rsidR="00D75E86">
        <w:rPr>
          <w:lang w:val="sq-AL"/>
        </w:rPr>
        <w:t>ë</w:t>
      </w:r>
      <w:r w:rsidRPr="00DC5ED7" w:rsidR="00C15D6E">
        <w:rPr>
          <w:lang w:val="sq-AL"/>
        </w:rPr>
        <w:t xml:space="preserve"> drejtorit, nj</w:t>
      </w:r>
      <w:r w:rsidRPr="00DC5ED7" w:rsidR="00D75E86">
        <w:rPr>
          <w:lang w:val="sq-AL"/>
        </w:rPr>
        <w:t>ë</w:t>
      </w:r>
      <w:r w:rsidRPr="00DC5ED7" w:rsidR="00C15D6E">
        <w:rPr>
          <w:lang w:val="sq-AL"/>
        </w:rPr>
        <w:t xml:space="preserve"> kleriku vendës. Gjyqtari </w:t>
      </w:r>
      <w:r w:rsidRPr="00DC5ED7">
        <w:rPr>
          <w:lang w:val="sq-AL"/>
        </w:rPr>
        <w:t xml:space="preserve">Hardiman </w:t>
      </w:r>
      <w:r w:rsidRPr="00DC5ED7" w:rsidR="00C15D6E">
        <w:rPr>
          <w:lang w:val="sq-AL"/>
        </w:rPr>
        <w:t>shtoi se financimi i shtetit u jepej n</w:t>
      </w:r>
      <w:r w:rsidRPr="00DC5ED7" w:rsidR="00D75E86">
        <w:rPr>
          <w:lang w:val="sq-AL"/>
        </w:rPr>
        <w:t>ë</w:t>
      </w:r>
      <w:r w:rsidRPr="00DC5ED7" w:rsidR="00C15D6E">
        <w:rPr>
          <w:lang w:val="sq-AL"/>
        </w:rPr>
        <w:t xml:space="preserve"> mënyr</w:t>
      </w:r>
      <w:r w:rsidRPr="00DC5ED7" w:rsidR="00D75E86">
        <w:rPr>
          <w:lang w:val="sq-AL"/>
        </w:rPr>
        <w:t>ë</w:t>
      </w:r>
      <w:r w:rsidRPr="00DC5ED7" w:rsidR="00C15D6E">
        <w:rPr>
          <w:lang w:val="sq-AL"/>
        </w:rPr>
        <w:t xml:space="preserve"> të përpjesëtuar t</w:t>
      </w:r>
      <w:r w:rsidRPr="00DC5ED7" w:rsidR="00D75E86">
        <w:rPr>
          <w:lang w:val="sq-AL"/>
        </w:rPr>
        <w:t>ë</w:t>
      </w:r>
      <w:r w:rsidRPr="00DC5ED7" w:rsidR="00C15D6E">
        <w:rPr>
          <w:lang w:val="sq-AL"/>
        </w:rPr>
        <w:t xml:space="preserve"> gjitha shkollave fetare; </w:t>
      </w:r>
      <w:r w:rsidRPr="00DC5ED7" w:rsidR="00D75E86">
        <w:rPr>
          <w:lang w:val="sq-AL"/>
        </w:rPr>
        <w:t xml:space="preserve">megjithatë, meqenëse popullsia në atë kohë ishte me shumicë shumë të theksuar katolike; </w:t>
      </w:r>
      <w:r w:rsidRPr="00DC5ED7" w:rsidR="00D75E86">
        <w:rPr>
          <w:i/>
          <w:lang w:val="sq-AL"/>
        </w:rPr>
        <w:t>Padronët</w:t>
      </w:r>
      <w:r w:rsidRPr="00DC5ED7" w:rsidR="00D75E86">
        <w:rPr>
          <w:lang w:val="sq-AL"/>
        </w:rPr>
        <w:t xml:space="preserve"> dhe drejtorët e shumicës së këtyre shkollave ishin katolikë.</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31</w:t>
      </w:r>
      <w:r w:rsidRPr="00DC5ED7">
        <w:rPr>
          <w:lang w:val="sq-AL"/>
        </w:rPr>
        <w:fldChar w:fldCharType="end"/>
      </w:r>
      <w:r w:rsidRPr="00DC5ED7">
        <w:rPr>
          <w:lang w:val="sq-AL"/>
        </w:rPr>
        <w:t>.  </w:t>
      </w:r>
      <w:r w:rsidRPr="00DC5ED7" w:rsidR="00D75E86">
        <w:rPr>
          <w:lang w:val="sq-AL"/>
        </w:rPr>
        <w:t xml:space="preserve">Gjyqtari </w:t>
      </w:r>
      <w:r w:rsidRPr="00DC5ED7">
        <w:rPr>
          <w:lang w:val="sq-AL"/>
        </w:rPr>
        <w:t xml:space="preserve">Hardiman </w:t>
      </w:r>
      <w:r w:rsidRPr="00DC5ED7" w:rsidR="00D75E86">
        <w:rPr>
          <w:lang w:val="sq-AL"/>
        </w:rPr>
        <w:t>shpjegoi pastaj se n</w:t>
      </w:r>
      <w:r w:rsidRPr="00DC5ED7" w:rsidR="00482114">
        <w:rPr>
          <w:lang w:val="sq-AL"/>
        </w:rPr>
        <w:t>ë</w:t>
      </w:r>
      <w:r w:rsidRPr="00DC5ED7" w:rsidR="00D75E86">
        <w:rPr>
          <w:lang w:val="sq-AL"/>
        </w:rPr>
        <w:t xml:space="preserve"> shekullin XIX, nd</w:t>
      </w:r>
      <w:r w:rsidRPr="00DC5ED7" w:rsidR="00482114">
        <w:rPr>
          <w:lang w:val="sq-AL"/>
        </w:rPr>
        <w:t>ë</w:t>
      </w:r>
      <w:r w:rsidRPr="00DC5ED7" w:rsidR="00D75E86">
        <w:rPr>
          <w:lang w:val="sq-AL"/>
        </w:rPr>
        <w:t>rkoh</w:t>
      </w:r>
      <w:r w:rsidRPr="00DC5ED7" w:rsidR="00482114">
        <w:rPr>
          <w:lang w:val="sq-AL"/>
        </w:rPr>
        <w:t>ë</w:t>
      </w:r>
      <w:r w:rsidRPr="00DC5ED7" w:rsidR="00D75E86">
        <w:rPr>
          <w:lang w:val="sq-AL"/>
        </w:rPr>
        <w:t xml:space="preserve"> që n</w:t>
      </w:r>
      <w:r w:rsidRPr="00DC5ED7" w:rsidR="00482114">
        <w:rPr>
          <w:lang w:val="sq-AL"/>
        </w:rPr>
        <w:t>ë</w:t>
      </w:r>
      <w:r w:rsidRPr="00DC5ED7" w:rsidR="00D75E86">
        <w:rPr>
          <w:lang w:val="sq-AL"/>
        </w:rPr>
        <w:t xml:space="preserve"> Evropë v</w:t>
      </w:r>
      <w:r w:rsidRPr="00DC5ED7" w:rsidR="00482114">
        <w:rPr>
          <w:lang w:val="sq-AL"/>
        </w:rPr>
        <w:t>ë</w:t>
      </w:r>
      <w:r w:rsidRPr="00DC5ED7" w:rsidR="00D75E86">
        <w:rPr>
          <w:lang w:val="sq-AL"/>
        </w:rPr>
        <w:t>rehej nj</w:t>
      </w:r>
      <w:r w:rsidRPr="00DC5ED7" w:rsidR="00482114">
        <w:rPr>
          <w:lang w:val="sq-AL"/>
        </w:rPr>
        <w:t>ë</w:t>
      </w:r>
      <w:r w:rsidRPr="00DC5ED7" w:rsidR="00D75E86">
        <w:rPr>
          <w:lang w:val="sq-AL"/>
        </w:rPr>
        <w:t xml:space="preserve"> ndarje përherë e më e theksuar midis Kish</w:t>
      </w:r>
      <w:r w:rsidRPr="00DC5ED7" w:rsidR="00482114">
        <w:rPr>
          <w:lang w:val="sq-AL"/>
        </w:rPr>
        <w:t>ë</w:t>
      </w:r>
      <w:r w:rsidRPr="00DC5ED7" w:rsidR="00D75E86">
        <w:rPr>
          <w:lang w:val="sq-AL"/>
        </w:rPr>
        <w:t>s dhe shtetit dhe nj</w:t>
      </w:r>
      <w:r w:rsidRPr="00DC5ED7" w:rsidR="00482114">
        <w:rPr>
          <w:lang w:val="sq-AL"/>
        </w:rPr>
        <w:t>ë</w:t>
      </w:r>
      <w:r w:rsidRPr="00DC5ED7" w:rsidR="00D75E86">
        <w:rPr>
          <w:lang w:val="sq-AL"/>
        </w:rPr>
        <w:t xml:space="preserve"> </w:t>
      </w:r>
      <w:r w:rsidRPr="00DC5ED7" w:rsidR="00A67960">
        <w:rPr>
          <w:lang w:val="sq-AL"/>
        </w:rPr>
        <w:t>humb</w:t>
      </w:r>
      <w:r w:rsidRPr="00DC5ED7" w:rsidR="00D75E86">
        <w:rPr>
          <w:lang w:val="sq-AL"/>
        </w:rPr>
        <w:t>je e ndikimit t</w:t>
      </w:r>
      <w:r w:rsidRPr="00DC5ED7" w:rsidR="00482114">
        <w:rPr>
          <w:lang w:val="sq-AL"/>
        </w:rPr>
        <w:t>ë</w:t>
      </w:r>
      <w:r w:rsidRPr="00DC5ED7" w:rsidR="00D75E86">
        <w:rPr>
          <w:lang w:val="sq-AL"/>
        </w:rPr>
        <w:t xml:space="preserve"> Kish</w:t>
      </w:r>
      <w:r w:rsidRPr="00DC5ED7" w:rsidR="00482114">
        <w:rPr>
          <w:lang w:val="sq-AL"/>
        </w:rPr>
        <w:t>ë</w:t>
      </w:r>
      <w:r w:rsidRPr="00DC5ED7" w:rsidR="00D75E86">
        <w:rPr>
          <w:lang w:val="sq-AL"/>
        </w:rPr>
        <w:t>s n</w:t>
      </w:r>
      <w:r w:rsidRPr="00DC5ED7" w:rsidR="00482114">
        <w:rPr>
          <w:lang w:val="sq-AL"/>
        </w:rPr>
        <w:t>ë</w:t>
      </w:r>
      <w:r w:rsidRPr="00DC5ED7" w:rsidR="00D75E86">
        <w:rPr>
          <w:lang w:val="sq-AL"/>
        </w:rPr>
        <w:t xml:space="preserve"> ofrimin e shërbimeve publike (sidomos n</w:t>
      </w:r>
      <w:r w:rsidRPr="00DC5ED7" w:rsidR="00482114">
        <w:rPr>
          <w:lang w:val="sq-AL"/>
        </w:rPr>
        <w:t>ë</w:t>
      </w:r>
      <w:r w:rsidRPr="00DC5ED7" w:rsidR="00D75E86">
        <w:rPr>
          <w:lang w:val="sq-AL"/>
        </w:rPr>
        <w:t xml:space="preserve"> fush</w:t>
      </w:r>
      <w:r w:rsidRPr="00DC5ED7" w:rsidR="00482114">
        <w:rPr>
          <w:lang w:val="sq-AL"/>
        </w:rPr>
        <w:t>ë</w:t>
      </w:r>
      <w:r w:rsidRPr="00DC5ED7" w:rsidR="00D75E86">
        <w:rPr>
          <w:lang w:val="sq-AL"/>
        </w:rPr>
        <w:t>n e arsimit)</w:t>
      </w:r>
      <w:r w:rsidRPr="00DC5ED7" w:rsidR="00A67960">
        <w:rPr>
          <w:lang w:val="sq-AL"/>
        </w:rPr>
        <w:t>, n</w:t>
      </w:r>
      <w:r w:rsidRPr="00DC5ED7" w:rsidR="00482114">
        <w:rPr>
          <w:lang w:val="sq-AL"/>
        </w:rPr>
        <w:t>ë</w:t>
      </w:r>
      <w:r w:rsidRPr="00DC5ED7" w:rsidR="00A67960">
        <w:rPr>
          <w:lang w:val="sq-AL"/>
        </w:rPr>
        <w:t xml:space="preserve"> Irland</w:t>
      </w:r>
      <w:r w:rsidRPr="00DC5ED7" w:rsidR="00482114">
        <w:rPr>
          <w:lang w:val="sq-AL"/>
        </w:rPr>
        <w:t>ë</w:t>
      </w:r>
      <w:r w:rsidRPr="00DC5ED7" w:rsidR="00A67960">
        <w:rPr>
          <w:lang w:val="sq-AL"/>
        </w:rPr>
        <w:t xml:space="preserve"> pozita e Kish</w:t>
      </w:r>
      <w:r w:rsidRPr="00DC5ED7" w:rsidR="00482114">
        <w:rPr>
          <w:lang w:val="sq-AL"/>
        </w:rPr>
        <w:t>ë</w:t>
      </w:r>
      <w:r w:rsidRPr="00DC5ED7" w:rsidR="00A67960">
        <w:rPr>
          <w:lang w:val="sq-AL"/>
        </w:rPr>
        <w:t>s ishte forcuar e rr</w:t>
      </w:r>
      <w:r w:rsidRPr="00DC5ED7" w:rsidR="00482114">
        <w:rPr>
          <w:lang w:val="sq-AL"/>
        </w:rPr>
        <w:t>ë</w:t>
      </w:r>
      <w:r w:rsidRPr="00DC5ED7" w:rsidR="00A67960">
        <w:rPr>
          <w:lang w:val="sq-AL"/>
        </w:rPr>
        <w:t>njosur “n</w:t>
      </w:r>
      <w:r w:rsidRPr="00DC5ED7" w:rsidR="00482114">
        <w:rPr>
          <w:lang w:val="sq-AL"/>
        </w:rPr>
        <w:t>ë</w:t>
      </w:r>
      <w:r w:rsidRPr="00DC5ED7" w:rsidR="00A67960">
        <w:rPr>
          <w:lang w:val="sq-AL"/>
        </w:rPr>
        <w:t xml:space="preserve"> m</w:t>
      </w:r>
      <w:r w:rsidRPr="00DC5ED7" w:rsidR="00482114">
        <w:rPr>
          <w:lang w:val="sq-AL"/>
        </w:rPr>
        <w:t>ë</w:t>
      </w:r>
      <w:r w:rsidRPr="00DC5ED7" w:rsidR="00A67960">
        <w:rPr>
          <w:lang w:val="sq-AL"/>
        </w:rPr>
        <w:t>nyr</w:t>
      </w:r>
      <w:r w:rsidRPr="00DC5ED7" w:rsidR="00482114">
        <w:rPr>
          <w:lang w:val="sq-AL"/>
        </w:rPr>
        <w:t>ë</w:t>
      </w:r>
      <w:r w:rsidRPr="00DC5ED7" w:rsidR="00A67960">
        <w:rPr>
          <w:lang w:val="sq-AL"/>
        </w:rPr>
        <w:t xml:space="preserve"> t</w:t>
      </w:r>
      <w:r w:rsidRPr="00DC5ED7" w:rsidR="00482114">
        <w:rPr>
          <w:lang w:val="sq-AL"/>
        </w:rPr>
        <w:t>ë</w:t>
      </w:r>
      <w:r w:rsidRPr="00DC5ED7" w:rsidR="00A67960">
        <w:rPr>
          <w:lang w:val="sq-AL"/>
        </w:rPr>
        <w:t xml:space="preserve"> dukshme”. Ai u bashkua me pikëpamjen e nj</w:t>
      </w:r>
      <w:r w:rsidRPr="00DC5ED7" w:rsidR="00482114">
        <w:rPr>
          <w:lang w:val="sq-AL"/>
        </w:rPr>
        <w:t>ë</w:t>
      </w:r>
      <w:r w:rsidRPr="00DC5ED7" w:rsidR="00A67960">
        <w:rPr>
          <w:lang w:val="sq-AL"/>
        </w:rPr>
        <w:t xml:space="preserve"> dëshmitari ekspert i historis</w:t>
      </w:r>
      <w:r w:rsidRPr="00DC5ED7" w:rsidR="00482114">
        <w:rPr>
          <w:lang w:val="sq-AL"/>
        </w:rPr>
        <w:t>ë</w:t>
      </w:r>
      <w:r w:rsidRPr="00DC5ED7" w:rsidR="00A67960">
        <w:rPr>
          <w:lang w:val="sq-AL"/>
        </w:rPr>
        <w:t xml:space="preserve"> s</w:t>
      </w:r>
      <w:r w:rsidRPr="00DC5ED7" w:rsidR="00482114">
        <w:rPr>
          <w:lang w:val="sq-AL"/>
        </w:rPr>
        <w:t>ë</w:t>
      </w:r>
      <w:r w:rsidRPr="00DC5ED7" w:rsidR="00A67960">
        <w:rPr>
          <w:lang w:val="sq-AL"/>
        </w:rPr>
        <w:t xml:space="preserve"> arsimit n</w:t>
      </w:r>
      <w:r w:rsidRPr="00DC5ED7" w:rsidR="00482114">
        <w:rPr>
          <w:lang w:val="sq-AL"/>
        </w:rPr>
        <w:t>ë</w:t>
      </w:r>
      <w:r w:rsidRPr="00DC5ED7" w:rsidR="00A67960">
        <w:rPr>
          <w:lang w:val="sq-AL"/>
        </w:rPr>
        <w:t xml:space="preserve"> Irlandë, i cili, teksa kishte përshkruar situatën n</w:t>
      </w:r>
      <w:r w:rsidRPr="00DC5ED7" w:rsidR="00482114">
        <w:rPr>
          <w:lang w:val="sq-AL"/>
        </w:rPr>
        <w:t>ë</w:t>
      </w:r>
      <w:r w:rsidRPr="00DC5ED7" w:rsidR="00A67960">
        <w:rPr>
          <w:lang w:val="sq-AL"/>
        </w:rPr>
        <w:t xml:space="preserve"> fillimet e shtetit t</w:t>
      </w:r>
      <w:r w:rsidRPr="00DC5ED7" w:rsidR="00482114">
        <w:rPr>
          <w:lang w:val="sq-AL"/>
        </w:rPr>
        <w:t>ë</w:t>
      </w:r>
      <w:r w:rsidRPr="00DC5ED7" w:rsidR="00A67960">
        <w:rPr>
          <w:lang w:val="sq-AL"/>
        </w:rPr>
        <w:t xml:space="preserve"> lir</w:t>
      </w:r>
      <w:r w:rsidRPr="00DC5ED7" w:rsidR="00482114">
        <w:rPr>
          <w:lang w:val="sq-AL"/>
        </w:rPr>
        <w:t>ë</w:t>
      </w:r>
      <w:r w:rsidRPr="00DC5ED7" w:rsidR="00A67960">
        <w:rPr>
          <w:lang w:val="sq-AL"/>
        </w:rPr>
        <w:t xml:space="preserve"> t</w:t>
      </w:r>
      <w:r w:rsidRPr="00DC5ED7" w:rsidR="00482114">
        <w:rPr>
          <w:lang w:val="sq-AL"/>
        </w:rPr>
        <w:t>ë</w:t>
      </w:r>
      <w:r w:rsidRPr="00DC5ED7" w:rsidR="00A67960">
        <w:rPr>
          <w:lang w:val="sq-AL"/>
        </w:rPr>
        <w:t xml:space="preserve"> Irland</w:t>
      </w:r>
      <w:r w:rsidRPr="00DC5ED7" w:rsidR="00482114">
        <w:rPr>
          <w:lang w:val="sq-AL"/>
        </w:rPr>
        <w:t>ë</w:t>
      </w:r>
      <w:r w:rsidRPr="00DC5ED7" w:rsidR="00A67960">
        <w:rPr>
          <w:lang w:val="sq-AL"/>
        </w:rPr>
        <w:t>s m</w:t>
      </w:r>
      <w:r w:rsidRPr="00DC5ED7" w:rsidR="00482114">
        <w:rPr>
          <w:lang w:val="sq-AL"/>
        </w:rPr>
        <w:t>ë</w:t>
      </w:r>
      <w:r w:rsidRPr="00DC5ED7" w:rsidR="00A67960">
        <w:rPr>
          <w:lang w:val="sq-AL"/>
        </w:rPr>
        <w:t xml:space="preserve"> 1922, ishte shprehur si m</w:t>
      </w:r>
      <w:r w:rsidRPr="00DC5ED7" w:rsidR="00482114">
        <w:rPr>
          <w:lang w:val="sq-AL"/>
        </w:rPr>
        <w:t>ë</w:t>
      </w:r>
      <w:r w:rsidRPr="00DC5ED7" w:rsidR="00A67960">
        <w:rPr>
          <w:lang w:val="sq-AL"/>
        </w:rPr>
        <w:t xml:space="preserve"> posht</w:t>
      </w:r>
      <w:r w:rsidRPr="00DC5ED7" w:rsidR="00482114">
        <w:rPr>
          <w:lang w:val="sq-AL"/>
        </w:rPr>
        <w:t>ë</w:t>
      </w:r>
      <w:r w:rsidRPr="00DC5ED7" w:rsidR="00A67960">
        <w:rPr>
          <w:lang w:val="sq-AL"/>
        </w:rPr>
        <w:t xml:space="preserve"> lidhur me at</w:t>
      </w:r>
      <w:r w:rsidRPr="00DC5ED7" w:rsidR="00482114">
        <w:rPr>
          <w:lang w:val="sq-AL"/>
        </w:rPr>
        <w:t>ë</w:t>
      </w:r>
      <w:r w:rsidRPr="00DC5ED7" w:rsidR="00A67960">
        <w:rPr>
          <w:lang w:val="sq-AL"/>
        </w:rPr>
        <w:t xml:space="preserve"> sistem t</w:t>
      </w:r>
      <w:r w:rsidRPr="00DC5ED7" w:rsidR="00482114">
        <w:rPr>
          <w:lang w:val="sq-AL"/>
        </w:rPr>
        <w:t>ë</w:t>
      </w:r>
      <w:r w:rsidRPr="00DC5ED7" w:rsidR="00A67960">
        <w:rPr>
          <w:lang w:val="sq-AL"/>
        </w:rPr>
        <w:t xml:space="preserve"> lartpërmendur “drejtimi”:</w:t>
      </w:r>
    </w:p>
    <w:p w:rsidRPr="00DC5ED7" w:rsidR="00EB737A" w:rsidP="00EB737A" w:rsidRDefault="00A67960">
      <w:pPr>
        <w:pStyle w:val="ECHRParaQuote"/>
        <w:rPr>
          <w:lang w:val="sq-AL" w:eastAsia="en-US"/>
        </w:rPr>
      </w:pPr>
      <w:r w:rsidRPr="00DC5ED7">
        <w:rPr>
          <w:lang w:val="sq-AL" w:eastAsia="en-US"/>
        </w:rPr>
        <w:t>“</w:t>
      </w:r>
      <w:r w:rsidRPr="00DC5ED7" w:rsidR="00EB737A">
        <w:rPr>
          <w:lang w:val="sq-AL" w:eastAsia="en-US"/>
        </w:rPr>
        <w:t>[</w:t>
      </w:r>
      <w:r w:rsidRPr="00DC5ED7">
        <w:rPr>
          <w:lang w:val="sq-AL" w:eastAsia="en-US"/>
        </w:rPr>
        <w:t>udhëheqësit katolikë</w:t>
      </w:r>
      <w:r w:rsidRPr="00DC5ED7" w:rsidR="00EB737A">
        <w:rPr>
          <w:lang w:val="sq-AL" w:eastAsia="en-US"/>
        </w:rPr>
        <w:t xml:space="preserve">] </w:t>
      </w:r>
      <w:r w:rsidRPr="00DC5ED7">
        <w:rPr>
          <w:lang w:val="sq-AL" w:eastAsia="en-US"/>
        </w:rPr>
        <w:t>ishin tejet të qart</w:t>
      </w:r>
      <w:r w:rsidRPr="00DC5ED7" w:rsidR="00482114">
        <w:rPr>
          <w:lang w:val="sq-AL" w:eastAsia="en-US"/>
        </w:rPr>
        <w:t>ë</w:t>
      </w:r>
      <w:r w:rsidRPr="00DC5ED7">
        <w:rPr>
          <w:lang w:val="sq-AL" w:eastAsia="en-US"/>
        </w:rPr>
        <w:t xml:space="preserve"> dhe </w:t>
      </w:r>
      <w:r w:rsidRPr="00DC5ED7" w:rsidR="00EB737A">
        <w:rPr>
          <w:lang w:val="sq-AL" w:eastAsia="en-US"/>
        </w:rPr>
        <w:t xml:space="preserve">(...) </w:t>
      </w:r>
      <w:r w:rsidRPr="00DC5ED7">
        <w:rPr>
          <w:lang w:val="sq-AL" w:eastAsia="en-US"/>
        </w:rPr>
        <w:t>t</w:t>
      </w:r>
      <w:r w:rsidRPr="00DC5ED7" w:rsidR="00482114">
        <w:rPr>
          <w:lang w:val="sq-AL" w:eastAsia="en-US"/>
        </w:rPr>
        <w:t>ë</w:t>
      </w:r>
      <w:r w:rsidRPr="00DC5ED7">
        <w:rPr>
          <w:lang w:val="sq-AL" w:eastAsia="en-US"/>
        </w:rPr>
        <w:t xml:space="preserve"> prer</w:t>
      </w:r>
      <w:r w:rsidRPr="00DC5ED7" w:rsidR="00482114">
        <w:rPr>
          <w:lang w:val="sq-AL" w:eastAsia="en-US"/>
        </w:rPr>
        <w:t>ë</w:t>
      </w:r>
      <w:r w:rsidRPr="00DC5ED7">
        <w:rPr>
          <w:lang w:val="sq-AL" w:eastAsia="en-US"/>
        </w:rPr>
        <w:t xml:space="preserve"> </w:t>
      </w:r>
      <w:r w:rsidRPr="00DC5ED7" w:rsidR="00482114">
        <w:rPr>
          <w:lang w:val="sq-AL" w:eastAsia="en-US"/>
        </w:rPr>
        <w:t>për sa i takonte mënyrës se si duhej të interpretohej situata e shkollave kombëtare në Irlandën e re</w:t>
      </w:r>
      <w:r w:rsidRPr="00DC5ED7" w:rsidR="00EB737A">
        <w:rPr>
          <w:lang w:val="sq-AL" w:eastAsia="en-US"/>
        </w:rPr>
        <w:t xml:space="preserve"> (...) </w:t>
      </w:r>
      <w:r w:rsidRPr="00DC5ED7" w:rsidR="00482114">
        <w:rPr>
          <w:lang w:val="sq-AL" w:eastAsia="en-US"/>
        </w:rPr>
        <w:t>Këto institucione duhej të ishin shkolla katolike me një drejtori katolike, me mësues katolikë dhe me nxënës katolikë.”</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32</w:t>
      </w:r>
      <w:r w:rsidRPr="00DC5ED7">
        <w:rPr>
          <w:lang w:val="sq-AL"/>
        </w:rPr>
        <w:fldChar w:fldCharType="end"/>
      </w:r>
      <w:r w:rsidRPr="00DC5ED7">
        <w:rPr>
          <w:lang w:val="sq-AL"/>
        </w:rPr>
        <w:t>.  </w:t>
      </w:r>
      <w:r w:rsidRPr="00DC5ED7" w:rsidR="00A16469">
        <w:rPr>
          <w:lang w:val="sq-AL"/>
        </w:rPr>
        <w:t>Eksperti kishte përshkruar gjithashtu edhe m</w:t>
      </w:r>
      <w:r w:rsidRPr="00DC5ED7" w:rsidR="00D902CA">
        <w:rPr>
          <w:lang w:val="sq-AL"/>
        </w:rPr>
        <w:t>ë</w:t>
      </w:r>
      <w:r w:rsidRPr="00DC5ED7" w:rsidR="00A16469">
        <w:rPr>
          <w:lang w:val="sq-AL"/>
        </w:rPr>
        <w:t>nyr</w:t>
      </w:r>
      <w:r w:rsidRPr="00DC5ED7" w:rsidR="00D902CA">
        <w:rPr>
          <w:lang w:val="sq-AL"/>
        </w:rPr>
        <w:t>ë</w:t>
      </w:r>
      <w:r w:rsidRPr="00DC5ED7" w:rsidR="00A16469">
        <w:rPr>
          <w:lang w:val="sq-AL"/>
        </w:rPr>
        <w:t>n se si kishte reaguar Kisha Katolike n</w:t>
      </w:r>
      <w:r w:rsidRPr="00DC5ED7" w:rsidR="00D902CA">
        <w:rPr>
          <w:lang w:val="sq-AL"/>
        </w:rPr>
        <w:t>ë</w:t>
      </w:r>
      <w:r w:rsidRPr="00DC5ED7" w:rsidR="00A16469">
        <w:rPr>
          <w:lang w:val="sq-AL"/>
        </w:rPr>
        <w:t xml:space="preserve"> vitet </w:t>
      </w:r>
      <w:r w:rsidRPr="00DC5ED7">
        <w:rPr>
          <w:lang w:val="sq-AL"/>
        </w:rPr>
        <w:t xml:space="preserve">1950 </w:t>
      </w:r>
      <w:r w:rsidRPr="00DC5ED7" w:rsidR="00A16469">
        <w:rPr>
          <w:lang w:val="sq-AL"/>
        </w:rPr>
        <w:t>përball</w:t>
      </w:r>
      <w:r w:rsidRPr="00DC5ED7" w:rsidR="00D902CA">
        <w:rPr>
          <w:lang w:val="sq-AL"/>
        </w:rPr>
        <w:t>ë</w:t>
      </w:r>
      <w:r w:rsidRPr="00DC5ED7" w:rsidR="00A16469">
        <w:rPr>
          <w:lang w:val="sq-AL"/>
        </w:rPr>
        <w:t xml:space="preserve"> k</w:t>
      </w:r>
      <w:r w:rsidRPr="00DC5ED7" w:rsidR="00D902CA">
        <w:rPr>
          <w:lang w:val="sq-AL"/>
        </w:rPr>
        <w:t>ë</w:t>
      </w:r>
      <w:r w:rsidRPr="00DC5ED7" w:rsidR="00A16469">
        <w:rPr>
          <w:lang w:val="sq-AL"/>
        </w:rPr>
        <w:t>rkesës s</w:t>
      </w:r>
      <w:r w:rsidRPr="00DC5ED7" w:rsidR="00D902CA">
        <w:rPr>
          <w:lang w:val="sq-AL"/>
        </w:rPr>
        <w:t>ë</w:t>
      </w:r>
      <w:r w:rsidRPr="00DC5ED7" w:rsidR="00A16469">
        <w:rPr>
          <w:lang w:val="sq-AL"/>
        </w:rPr>
        <w:t xml:space="preserve"> nj</w:t>
      </w:r>
      <w:r w:rsidRPr="00DC5ED7" w:rsidR="00D902CA">
        <w:rPr>
          <w:lang w:val="sq-AL"/>
        </w:rPr>
        <w:t>ë</w:t>
      </w:r>
      <w:r w:rsidRPr="00DC5ED7" w:rsidR="00A16469">
        <w:rPr>
          <w:lang w:val="sq-AL"/>
        </w:rPr>
        <w:t xml:space="preserve"> sindikate m</w:t>
      </w:r>
      <w:r w:rsidRPr="00DC5ED7" w:rsidR="00D902CA">
        <w:rPr>
          <w:lang w:val="sq-AL"/>
        </w:rPr>
        <w:t>ë</w:t>
      </w:r>
      <w:r w:rsidRPr="00DC5ED7" w:rsidR="00A16469">
        <w:rPr>
          <w:lang w:val="sq-AL"/>
        </w:rPr>
        <w:t>suesish e cila synonte krijimin e komisioneve vendore q</w:t>
      </w:r>
      <w:r w:rsidRPr="00DC5ED7" w:rsidR="00D902CA">
        <w:rPr>
          <w:lang w:val="sq-AL"/>
        </w:rPr>
        <w:t>ë</w:t>
      </w:r>
      <w:r w:rsidRPr="00DC5ED7" w:rsidR="00A16469">
        <w:rPr>
          <w:lang w:val="sq-AL"/>
        </w:rPr>
        <w:t xml:space="preserve"> do t</w:t>
      </w:r>
      <w:r w:rsidRPr="00DC5ED7" w:rsidR="00D902CA">
        <w:rPr>
          <w:lang w:val="sq-AL"/>
        </w:rPr>
        <w:t>ë</w:t>
      </w:r>
      <w:r w:rsidRPr="00DC5ED7" w:rsidR="00A16469">
        <w:rPr>
          <w:lang w:val="sq-AL"/>
        </w:rPr>
        <w:t xml:space="preserve"> ngarkoheshin me mir</w:t>
      </w:r>
      <w:r w:rsidRPr="00DC5ED7" w:rsidR="00D902CA">
        <w:rPr>
          <w:lang w:val="sq-AL"/>
        </w:rPr>
        <w:t>ë</w:t>
      </w:r>
      <w:r w:rsidRPr="00DC5ED7" w:rsidR="00A16469">
        <w:rPr>
          <w:lang w:val="sq-AL"/>
        </w:rPr>
        <w:t>mbajtjen dhe me riparimin e godinave shkollore. Kisha Katolike ishte përgjigjur se as q</w:t>
      </w:r>
      <w:r w:rsidRPr="00DC5ED7" w:rsidR="00D902CA">
        <w:rPr>
          <w:lang w:val="sq-AL"/>
        </w:rPr>
        <w:t>ë</w:t>
      </w:r>
      <w:r w:rsidRPr="00DC5ED7" w:rsidR="00A16469">
        <w:rPr>
          <w:lang w:val="sq-AL"/>
        </w:rPr>
        <w:t xml:space="preserve"> bëhej fjal</w:t>
      </w:r>
      <w:r w:rsidRPr="00DC5ED7" w:rsidR="00D902CA">
        <w:rPr>
          <w:lang w:val="sq-AL"/>
        </w:rPr>
        <w:t>ë</w:t>
      </w:r>
      <w:r w:rsidRPr="00DC5ED7" w:rsidR="00A16469">
        <w:rPr>
          <w:lang w:val="sq-AL"/>
        </w:rPr>
        <w:t xml:space="preserve"> t</w:t>
      </w:r>
      <w:r w:rsidRPr="00DC5ED7" w:rsidR="00D902CA">
        <w:rPr>
          <w:lang w:val="sq-AL"/>
        </w:rPr>
        <w:t>ë</w:t>
      </w:r>
      <w:r w:rsidRPr="00DC5ED7" w:rsidR="00A16469">
        <w:rPr>
          <w:lang w:val="sq-AL"/>
        </w:rPr>
        <w:t xml:space="preserve"> prekej, n</w:t>
      </w:r>
      <w:r w:rsidRPr="00DC5ED7" w:rsidR="00D902CA">
        <w:rPr>
          <w:lang w:val="sq-AL"/>
        </w:rPr>
        <w:t>ë</w:t>
      </w:r>
      <w:r w:rsidRPr="00DC5ED7" w:rsidR="00A16469">
        <w:rPr>
          <w:lang w:val="sq-AL"/>
        </w:rPr>
        <w:t xml:space="preserve"> çfar</w:t>
      </w:r>
      <w:r w:rsidRPr="00DC5ED7" w:rsidR="00D902CA">
        <w:rPr>
          <w:lang w:val="sq-AL"/>
        </w:rPr>
        <w:t>ë</w:t>
      </w:r>
      <w:r w:rsidRPr="00DC5ED7" w:rsidR="00A16469">
        <w:rPr>
          <w:lang w:val="sq-AL"/>
        </w:rPr>
        <w:t>dolloj m</w:t>
      </w:r>
      <w:r w:rsidRPr="00DC5ED7" w:rsidR="00D902CA">
        <w:rPr>
          <w:lang w:val="sq-AL"/>
        </w:rPr>
        <w:t>ë</w:t>
      </w:r>
      <w:r w:rsidRPr="00DC5ED7" w:rsidR="00A16469">
        <w:rPr>
          <w:lang w:val="sq-AL"/>
        </w:rPr>
        <w:t>nyre, “tradita historike lidhur me t</w:t>
      </w:r>
      <w:r w:rsidRPr="00DC5ED7" w:rsidR="00D902CA">
        <w:rPr>
          <w:lang w:val="sq-AL"/>
        </w:rPr>
        <w:t>ë</w:t>
      </w:r>
      <w:r w:rsidRPr="00DC5ED7" w:rsidR="00A16469">
        <w:rPr>
          <w:lang w:val="sq-AL"/>
        </w:rPr>
        <w:t xml:space="preserve"> drejtat për drejtimin e shkollave”. Ajo kishte qen</w:t>
      </w:r>
      <w:r w:rsidRPr="00DC5ED7" w:rsidR="00D902CA">
        <w:rPr>
          <w:lang w:val="sq-AL"/>
        </w:rPr>
        <w:t>ë</w:t>
      </w:r>
      <w:r w:rsidRPr="00DC5ED7" w:rsidR="00A16469">
        <w:rPr>
          <w:lang w:val="sq-AL"/>
        </w:rPr>
        <w:t xml:space="preserve"> e mendimit se ky propozim i ndrojtur i sindikat</w:t>
      </w:r>
      <w:r w:rsidRPr="00DC5ED7" w:rsidR="00D902CA">
        <w:rPr>
          <w:lang w:val="sq-AL"/>
        </w:rPr>
        <w:t>ë</w:t>
      </w:r>
      <w:r w:rsidRPr="00DC5ED7" w:rsidR="00A16469">
        <w:rPr>
          <w:lang w:val="sq-AL"/>
        </w:rPr>
        <w:t>s rrezikonte t</w:t>
      </w:r>
      <w:r w:rsidRPr="00DC5ED7" w:rsidR="00D902CA">
        <w:rPr>
          <w:lang w:val="sq-AL"/>
        </w:rPr>
        <w:t>ë</w:t>
      </w:r>
      <w:r w:rsidRPr="00DC5ED7" w:rsidR="00A16469">
        <w:rPr>
          <w:lang w:val="sq-AL"/>
        </w:rPr>
        <w:t xml:space="preserve"> krijonte nj</w:t>
      </w:r>
      <w:r w:rsidRPr="00DC5ED7" w:rsidR="00D902CA">
        <w:rPr>
          <w:lang w:val="sq-AL"/>
        </w:rPr>
        <w:t>ë</w:t>
      </w:r>
      <w:r w:rsidRPr="00DC5ED7" w:rsidR="00A16469">
        <w:rPr>
          <w:lang w:val="sq-AL"/>
        </w:rPr>
        <w:t xml:space="preserve"> t</w:t>
      </w:r>
      <w:r w:rsidRPr="00DC5ED7" w:rsidR="00D902CA">
        <w:rPr>
          <w:lang w:val="sq-AL"/>
        </w:rPr>
        <w:t>ë</w:t>
      </w:r>
      <w:r w:rsidRPr="00DC5ED7" w:rsidR="00A16469">
        <w:rPr>
          <w:lang w:val="sq-AL"/>
        </w:rPr>
        <w:t xml:space="preserve"> çar</w:t>
      </w:r>
      <w:r w:rsidRPr="00DC5ED7" w:rsidR="00D902CA">
        <w:rPr>
          <w:lang w:val="sq-AL"/>
        </w:rPr>
        <w:t>ë</w:t>
      </w:r>
      <w:r w:rsidRPr="00DC5ED7" w:rsidR="00A16469">
        <w:rPr>
          <w:lang w:val="sq-AL"/>
        </w:rPr>
        <w:t xml:space="preserve"> dhe t</w:t>
      </w:r>
      <w:r w:rsidRPr="00DC5ED7" w:rsidR="00D902CA">
        <w:rPr>
          <w:lang w:val="sq-AL"/>
        </w:rPr>
        <w:t>ë</w:t>
      </w:r>
      <w:r w:rsidRPr="00DC5ED7" w:rsidR="00A16469">
        <w:rPr>
          <w:lang w:val="sq-AL"/>
        </w:rPr>
        <w:t xml:space="preserve"> shpinte si pasoj</w:t>
      </w:r>
      <w:r w:rsidRPr="00DC5ED7" w:rsidR="00D902CA">
        <w:rPr>
          <w:lang w:val="sq-AL"/>
        </w:rPr>
        <w:t>ë</w:t>
      </w:r>
      <w:r w:rsidRPr="00DC5ED7" w:rsidR="00A16469">
        <w:rPr>
          <w:lang w:val="sq-AL"/>
        </w:rPr>
        <w:t xml:space="preserve"> në cenime “n</w:t>
      </w:r>
      <w:r w:rsidRPr="00DC5ED7" w:rsidR="00D902CA">
        <w:rPr>
          <w:lang w:val="sq-AL"/>
        </w:rPr>
        <w:t>ë</w:t>
      </w:r>
      <w:r w:rsidRPr="00DC5ED7" w:rsidR="00A16469">
        <w:rPr>
          <w:lang w:val="sq-AL"/>
        </w:rPr>
        <w:t xml:space="preserve"> aspekte t</w:t>
      </w:r>
      <w:r w:rsidRPr="00DC5ED7" w:rsidR="00D902CA">
        <w:rPr>
          <w:lang w:val="sq-AL"/>
        </w:rPr>
        <w:t>ë</w:t>
      </w:r>
      <w:r w:rsidRPr="00DC5ED7" w:rsidR="00A16469">
        <w:rPr>
          <w:lang w:val="sq-AL"/>
        </w:rPr>
        <w:t xml:space="preserve"> tjera t</w:t>
      </w:r>
      <w:r w:rsidRPr="00DC5ED7" w:rsidR="00D902CA">
        <w:rPr>
          <w:lang w:val="sq-AL"/>
        </w:rPr>
        <w:t>ë</w:t>
      </w:r>
      <w:r w:rsidRPr="00DC5ED7" w:rsidR="00A16469">
        <w:rPr>
          <w:lang w:val="sq-AL"/>
        </w:rPr>
        <w:t xml:space="preserve"> autoritetit t</w:t>
      </w:r>
      <w:r w:rsidRPr="00DC5ED7" w:rsidR="00D902CA">
        <w:rPr>
          <w:lang w:val="sq-AL"/>
        </w:rPr>
        <w:t>ë</w:t>
      </w:r>
      <w:r w:rsidRPr="00DC5ED7" w:rsidR="00A16469">
        <w:rPr>
          <w:lang w:val="sq-AL"/>
        </w:rPr>
        <w:t xml:space="preserve"> drejtorit n</w:t>
      </w:r>
      <w:r w:rsidRPr="00DC5ED7" w:rsidR="00D902CA">
        <w:rPr>
          <w:lang w:val="sq-AL"/>
        </w:rPr>
        <w:t>ë</w:t>
      </w:r>
      <w:r w:rsidRPr="00DC5ED7" w:rsidR="00A16469">
        <w:rPr>
          <w:lang w:val="sq-AL"/>
        </w:rPr>
        <w:t xml:space="preserve"> fush</w:t>
      </w:r>
      <w:r w:rsidRPr="00DC5ED7" w:rsidR="00D902CA">
        <w:rPr>
          <w:lang w:val="sq-AL"/>
        </w:rPr>
        <w:t>ë</w:t>
      </w:r>
      <w:r w:rsidRPr="00DC5ED7" w:rsidR="00A16469">
        <w:rPr>
          <w:lang w:val="sq-AL"/>
        </w:rPr>
        <w:t>n e em</w:t>
      </w:r>
      <w:r w:rsidRPr="00DC5ED7" w:rsidR="00D902CA">
        <w:rPr>
          <w:lang w:val="sq-AL"/>
        </w:rPr>
        <w:t>ë</w:t>
      </w:r>
      <w:r w:rsidRPr="00DC5ED7" w:rsidR="00A16469">
        <w:rPr>
          <w:lang w:val="sq-AL"/>
        </w:rPr>
        <w:t>rimit dhe t</w:t>
      </w:r>
      <w:r w:rsidRPr="00DC5ED7" w:rsidR="00D902CA">
        <w:rPr>
          <w:lang w:val="sq-AL"/>
        </w:rPr>
        <w:t>ë</w:t>
      </w:r>
      <w:r w:rsidRPr="00DC5ED7" w:rsidR="00A16469">
        <w:rPr>
          <w:lang w:val="sq-AL"/>
        </w:rPr>
        <w:t xml:space="preserve"> heqjes s</w:t>
      </w:r>
      <w:r w:rsidRPr="00DC5ED7" w:rsidR="00D902CA">
        <w:rPr>
          <w:lang w:val="sq-AL"/>
        </w:rPr>
        <w:t>ë</w:t>
      </w:r>
      <w:r w:rsidRPr="00DC5ED7" w:rsidR="00A16469">
        <w:rPr>
          <w:lang w:val="sq-AL"/>
        </w:rPr>
        <w:t xml:space="preserve"> m</w:t>
      </w:r>
      <w:r w:rsidRPr="00DC5ED7" w:rsidR="00D902CA">
        <w:rPr>
          <w:lang w:val="sq-AL"/>
        </w:rPr>
        <w:t>ë</w:t>
      </w:r>
      <w:r w:rsidRPr="00DC5ED7" w:rsidR="00A16469">
        <w:rPr>
          <w:lang w:val="sq-AL"/>
        </w:rPr>
        <w:t>suesve</w:t>
      </w:r>
      <w:r w:rsidRPr="00DC5ED7" w:rsidR="00D902CA">
        <w:rPr>
          <w:lang w:val="sq-AL"/>
        </w:rPr>
        <w:t>, një element ky sigurisht me rëndësi vendimtare i cili ishte fituar me përpjekje të mëdha të bëra gjatë viteve”.</w:t>
      </w:r>
      <w:r w:rsidRPr="00DC5ED7">
        <w:rPr>
          <w:lang w:val="sq-AL"/>
        </w:rPr>
        <w:t xml:space="preserve"> </w:t>
      </w:r>
      <w:r w:rsidRPr="00DC5ED7" w:rsidR="00D902CA">
        <w:rPr>
          <w:lang w:val="sq-AL"/>
        </w:rPr>
        <w:t>Gjyqtari</w:t>
      </w:r>
      <w:r w:rsidRPr="00DC5ED7">
        <w:rPr>
          <w:lang w:val="sq-AL"/>
        </w:rPr>
        <w:t xml:space="preserve"> Hardiman </w:t>
      </w:r>
      <w:r w:rsidRPr="00DC5ED7" w:rsidR="00D902CA">
        <w:rPr>
          <w:lang w:val="sq-AL"/>
        </w:rPr>
        <w:t>përmendi “dëshirën e zjarrtë” të feve për ta ruajtur rolin e tyre në fushën e arsimit fillor.</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33</w:t>
      </w:r>
      <w:r w:rsidRPr="00DC5ED7">
        <w:rPr>
          <w:lang w:val="sq-AL"/>
        </w:rPr>
        <w:fldChar w:fldCharType="end"/>
      </w:r>
      <w:r w:rsidRPr="00DC5ED7">
        <w:rPr>
          <w:lang w:val="sq-AL"/>
        </w:rPr>
        <w:t>.  </w:t>
      </w:r>
      <w:r w:rsidRPr="00DC5ED7" w:rsidR="007674A4">
        <w:rPr>
          <w:lang w:val="sq-AL"/>
        </w:rPr>
        <w:t>Sipas gjyqtarit, Kushtetut</w:t>
      </w:r>
      <w:r w:rsidRPr="00DC5ED7" w:rsidR="00D902CA">
        <w:rPr>
          <w:lang w:val="sq-AL"/>
        </w:rPr>
        <w:t>a e pasqyronte kët</w:t>
      </w:r>
      <w:r w:rsidRPr="00DC5ED7" w:rsidR="007674A4">
        <w:rPr>
          <w:lang w:val="sq-AL"/>
        </w:rPr>
        <w:t>ë</w:t>
      </w:r>
      <w:r w:rsidRPr="00DC5ED7" w:rsidR="00D902CA">
        <w:rPr>
          <w:lang w:val="sq-AL"/>
        </w:rPr>
        <w:t xml:space="preserve"> struktur</w:t>
      </w:r>
      <w:r w:rsidRPr="00DC5ED7" w:rsidR="007674A4">
        <w:rPr>
          <w:lang w:val="sq-AL"/>
        </w:rPr>
        <w:t>ë</w:t>
      </w:r>
      <w:r w:rsidRPr="00DC5ED7" w:rsidR="00D902CA">
        <w:rPr>
          <w:lang w:val="sq-AL"/>
        </w:rPr>
        <w:t xml:space="preserve"> drejtimi</w:t>
      </w:r>
      <w:r w:rsidRPr="00DC5ED7">
        <w:rPr>
          <w:lang w:val="sq-AL"/>
        </w:rPr>
        <w:t xml:space="preserve">: </w:t>
      </w:r>
      <w:r w:rsidRPr="00DC5ED7" w:rsidR="00D902CA">
        <w:rPr>
          <w:lang w:val="sq-AL"/>
        </w:rPr>
        <w:t>ai shpjegoi se detyrimi për t</w:t>
      </w:r>
      <w:r w:rsidRPr="00DC5ED7" w:rsidR="007674A4">
        <w:rPr>
          <w:lang w:val="sq-AL"/>
        </w:rPr>
        <w:t>ë</w:t>
      </w:r>
      <w:r w:rsidRPr="00DC5ED7" w:rsidR="00D902CA">
        <w:rPr>
          <w:lang w:val="sq-AL"/>
        </w:rPr>
        <w:t xml:space="preserve"> “siguruar” nj</w:t>
      </w:r>
      <w:r w:rsidRPr="00DC5ED7" w:rsidR="007674A4">
        <w:rPr>
          <w:lang w:val="sq-AL"/>
        </w:rPr>
        <w:t>ë</w:t>
      </w:r>
      <w:r w:rsidRPr="00DC5ED7" w:rsidR="00D902CA">
        <w:rPr>
          <w:lang w:val="sq-AL"/>
        </w:rPr>
        <w:t xml:space="preserve"> arsim fillor falas q</w:t>
      </w:r>
      <w:r w:rsidRPr="00DC5ED7" w:rsidR="007674A4">
        <w:rPr>
          <w:lang w:val="sq-AL"/>
        </w:rPr>
        <w:t>ë</w:t>
      </w:r>
      <w:r w:rsidRPr="00DC5ED7" w:rsidR="00D902CA">
        <w:rPr>
          <w:lang w:val="sq-AL"/>
        </w:rPr>
        <w:t xml:space="preserve"> i caktonte shtetit neni </w:t>
      </w:r>
      <w:r w:rsidRPr="00DC5ED7">
        <w:rPr>
          <w:lang w:val="sq-AL"/>
        </w:rPr>
        <w:t>42 § 4</w:t>
      </w:r>
      <w:r w:rsidR="00943091">
        <w:rPr>
          <w:lang w:val="sq-AL"/>
        </w:rPr>
        <w:t xml:space="preserve"> </w:t>
      </w:r>
      <w:r w:rsidRPr="00DC5ED7" w:rsidR="00D902CA">
        <w:rPr>
          <w:lang w:val="sq-AL"/>
        </w:rPr>
        <w:t>i këtij teksti shprehej me një sistem arsimor t</w:t>
      </w:r>
      <w:r w:rsidRPr="00DC5ED7" w:rsidR="007674A4">
        <w:rPr>
          <w:lang w:val="sq-AL"/>
        </w:rPr>
        <w:t>ë</w:t>
      </w:r>
      <w:r w:rsidRPr="00DC5ED7" w:rsidR="00D902CA">
        <w:rPr>
          <w:lang w:val="sq-AL"/>
        </w:rPr>
        <w:t xml:space="preserve"> financuar n</w:t>
      </w:r>
      <w:r w:rsidRPr="00DC5ED7" w:rsidR="007674A4">
        <w:rPr>
          <w:lang w:val="sq-AL"/>
        </w:rPr>
        <w:t>ë</w:t>
      </w:r>
      <w:r w:rsidRPr="00DC5ED7" w:rsidR="00D902CA">
        <w:rPr>
          <w:lang w:val="sq-AL"/>
        </w:rPr>
        <w:t xml:space="preserve"> pjesën më t</w:t>
      </w:r>
      <w:r w:rsidRPr="00DC5ED7" w:rsidR="007674A4">
        <w:rPr>
          <w:lang w:val="sq-AL"/>
        </w:rPr>
        <w:t>ë</w:t>
      </w:r>
      <w:r w:rsidRPr="00DC5ED7" w:rsidR="00D902CA">
        <w:rPr>
          <w:lang w:val="sq-AL"/>
        </w:rPr>
        <w:t xml:space="preserve"> madhe </w:t>
      </w:r>
      <w:r w:rsidRPr="00DC5ED7" w:rsidR="00DD2EB9">
        <w:rPr>
          <w:lang w:val="sq-AL"/>
        </w:rPr>
        <w:t>nga shteti, por t</w:t>
      </w:r>
      <w:r w:rsidRPr="00DC5ED7" w:rsidR="007674A4">
        <w:rPr>
          <w:lang w:val="sq-AL"/>
        </w:rPr>
        <w:t>ë</w:t>
      </w:r>
      <w:r w:rsidRPr="00DC5ED7" w:rsidR="00DD2EB9">
        <w:rPr>
          <w:lang w:val="sq-AL"/>
        </w:rPr>
        <w:t xml:space="preserve"> drejtuar tërësisht nga kleri. Për rrjedhoj</w:t>
      </w:r>
      <w:r w:rsidRPr="00DC5ED7" w:rsidR="007674A4">
        <w:rPr>
          <w:lang w:val="sq-AL"/>
        </w:rPr>
        <w:t>ë</w:t>
      </w:r>
      <w:r w:rsidRPr="00DC5ED7" w:rsidR="00DD2EB9">
        <w:rPr>
          <w:lang w:val="sq-AL"/>
        </w:rPr>
        <w:t>, Irlanda numëronte rreth 3 000 shkolla komb</w:t>
      </w:r>
      <w:r w:rsidRPr="00DC5ED7" w:rsidR="007674A4">
        <w:rPr>
          <w:lang w:val="sq-AL"/>
        </w:rPr>
        <w:t>ë</w:t>
      </w:r>
      <w:r w:rsidRPr="00DC5ED7" w:rsidR="00DD2EB9">
        <w:rPr>
          <w:lang w:val="sq-AL"/>
        </w:rPr>
        <w:t>tare, t</w:t>
      </w:r>
      <w:r w:rsidRPr="00DC5ED7" w:rsidR="007674A4">
        <w:rPr>
          <w:lang w:val="sq-AL"/>
        </w:rPr>
        <w:t>ë</w:t>
      </w:r>
      <w:r w:rsidRPr="00DC5ED7" w:rsidR="00DD2EB9">
        <w:rPr>
          <w:lang w:val="sq-AL"/>
        </w:rPr>
        <w:t xml:space="preserve"> cilat ndodheshin n</w:t>
      </w:r>
      <w:r w:rsidRPr="00DC5ED7" w:rsidR="007674A4">
        <w:rPr>
          <w:lang w:val="sq-AL"/>
        </w:rPr>
        <w:t>ë</w:t>
      </w:r>
      <w:r w:rsidRPr="00DC5ED7" w:rsidR="00DD2EB9">
        <w:rPr>
          <w:lang w:val="sq-AL"/>
        </w:rPr>
        <w:t xml:space="preserve"> shumic</w:t>
      </w:r>
      <w:r w:rsidRPr="00DC5ED7" w:rsidR="007674A4">
        <w:rPr>
          <w:lang w:val="sq-AL"/>
        </w:rPr>
        <w:t>ë</w:t>
      </w:r>
      <w:r w:rsidRPr="00DC5ED7" w:rsidR="00DD2EB9">
        <w:rPr>
          <w:lang w:val="sq-AL"/>
        </w:rPr>
        <w:t>n e tyre n</w:t>
      </w:r>
      <w:r w:rsidRPr="00DC5ED7" w:rsidR="007674A4">
        <w:rPr>
          <w:lang w:val="sq-AL"/>
        </w:rPr>
        <w:t>ë</w:t>
      </w:r>
      <w:r w:rsidRPr="00DC5ED7" w:rsidR="00DD2EB9">
        <w:rPr>
          <w:lang w:val="sq-AL"/>
        </w:rPr>
        <w:t xml:space="preserve">n autoritetin e </w:t>
      </w:r>
      <w:r w:rsidRPr="00DC5ED7" w:rsidR="00DD2EB9">
        <w:rPr>
          <w:i/>
          <w:lang w:val="sq-AL"/>
        </w:rPr>
        <w:t>Padron</w:t>
      </w:r>
      <w:r w:rsidRPr="00DC5ED7" w:rsidR="007674A4">
        <w:rPr>
          <w:i/>
          <w:lang w:val="sq-AL"/>
        </w:rPr>
        <w:t>ë</w:t>
      </w:r>
      <w:r w:rsidRPr="00DC5ED7" w:rsidR="00DD2EB9">
        <w:rPr>
          <w:i/>
          <w:lang w:val="sq-AL"/>
        </w:rPr>
        <w:t xml:space="preserve">ve </w:t>
      </w:r>
      <w:r w:rsidRPr="00DC5ED7" w:rsidR="00DD2EB9">
        <w:rPr>
          <w:lang w:val="sq-AL"/>
        </w:rPr>
        <w:t>dhe drejtor</w:t>
      </w:r>
      <w:r w:rsidRPr="00DC5ED7" w:rsidR="007674A4">
        <w:rPr>
          <w:lang w:val="sq-AL"/>
        </w:rPr>
        <w:t>ë</w:t>
      </w:r>
      <w:r w:rsidRPr="00DC5ED7" w:rsidR="00DD2EB9">
        <w:rPr>
          <w:lang w:val="sq-AL"/>
        </w:rPr>
        <w:t>ve katolik</w:t>
      </w:r>
      <w:r w:rsidRPr="00DC5ED7" w:rsidR="007674A4">
        <w:rPr>
          <w:lang w:val="sq-AL"/>
        </w:rPr>
        <w:t>ë</w:t>
      </w:r>
      <w:r w:rsidRPr="00DC5ED7" w:rsidR="00DD2EB9">
        <w:rPr>
          <w:lang w:val="sq-AL"/>
        </w:rPr>
        <w:t>, nd</w:t>
      </w:r>
      <w:r w:rsidRPr="00DC5ED7" w:rsidR="007674A4">
        <w:rPr>
          <w:lang w:val="sq-AL"/>
        </w:rPr>
        <w:t>ë</w:t>
      </w:r>
      <w:r w:rsidRPr="00DC5ED7" w:rsidR="00DD2EB9">
        <w:rPr>
          <w:lang w:val="sq-AL"/>
        </w:rPr>
        <w:t>rkoh</w:t>
      </w:r>
      <w:r w:rsidRPr="00DC5ED7" w:rsidR="007674A4">
        <w:rPr>
          <w:lang w:val="sq-AL"/>
        </w:rPr>
        <w:t>ë</w:t>
      </w:r>
      <w:r w:rsidRPr="00DC5ED7" w:rsidR="00DD2EB9">
        <w:rPr>
          <w:lang w:val="sq-AL"/>
        </w:rPr>
        <w:t xml:space="preserve"> q</w:t>
      </w:r>
      <w:r w:rsidRPr="00DC5ED7" w:rsidR="007674A4">
        <w:rPr>
          <w:lang w:val="sq-AL"/>
        </w:rPr>
        <w:t>ë</w:t>
      </w:r>
      <w:r w:rsidRPr="00DC5ED7" w:rsidR="00DD2EB9">
        <w:rPr>
          <w:lang w:val="sq-AL"/>
        </w:rPr>
        <w:t xml:space="preserve"> vetëm nj</w:t>
      </w:r>
      <w:r w:rsidRPr="00DC5ED7" w:rsidR="007674A4">
        <w:rPr>
          <w:lang w:val="sq-AL"/>
        </w:rPr>
        <w:t>ë</w:t>
      </w:r>
      <w:r w:rsidRPr="00DC5ED7" w:rsidR="00DD2EB9">
        <w:rPr>
          <w:lang w:val="sq-AL"/>
        </w:rPr>
        <w:t xml:space="preserve"> num</w:t>
      </w:r>
      <w:r w:rsidRPr="00DC5ED7" w:rsidR="007674A4">
        <w:rPr>
          <w:lang w:val="sq-AL"/>
        </w:rPr>
        <w:t>ë</w:t>
      </w:r>
      <w:r w:rsidRPr="00DC5ED7" w:rsidR="00DD2EB9">
        <w:rPr>
          <w:lang w:val="sq-AL"/>
        </w:rPr>
        <w:t>r i vog</w:t>
      </w:r>
      <w:r w:rsidRPr="00DC5ED7" w:rsidR="007674A4">
        <w:rPr>
          <w:lang w:val="sq-AL"/>
        </w:rPr>
        <w:t>ë</w:t>
      </w:r>
      <w:r w:rsidRPr="00DC5ED7" w:rsidR="00DD2EB9">
        <w:rPr>
          <w:lang w:val="sq-AL"/>
        </w:rPr>
        <w:t>l prej tyre kontrolloheshin nga besimet e tjera apo, më rrallë, nga disa grupime jo fetare.</w:t>
      </w:r>
    </w:p>
    <w:p w:rsidRPr="00DC5ED7" w:rsidR="00EB737A" w:rsidP="00EB737A" w:rsidRDefault="00EB737A">
      <w:pPr>
        <w:pStyle w:val="ECHRPara"/>
        <w:keepNext/>
        <w:keepLines/>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34</w:t>
      </w:r>
      <w:r w:rsidRPr="00DC5ED7">
        <w:rPr>
          <w:lang w:val="sq-AL"/>
        </w:rPr>
        <w:fldChar w:fldCharType="end"/>
      </w:r>
      <w:r w:rsidRPr="00DC5ED7">
        <w:rPr>
          <w:lang w:val="sq-AL"/>
        </w:rPr>
        <w:t>.  </w:t>
      </w:r>
      <w:r w:rsidRPr="00DC5ED7" w:rsidR="00DD2EB9">
        <w:rPr>
          <w:lang w:val="sq-AL"/>
        </w:rPr>
        <w:t>Gjyqtari vuri n</w:t>
      </w:r>
      <w:r w:rsidRPr="00DC5ED7" w:rsidR="007674A4">
        <w:rPr>
          <w:lang w:val="sq-AL"/>
        </w:rPr>
        <w:t>ë</w:t>
      </w:r>
      <w:r w:rsidRPr="00DC5ED7" w:rsidR="00DD2EB9">
        <w:rPr>
          <w:lang w:val="sq-AL"/>
        </w:rPr>
        <w:t xml:space="preserve"> dukje se, koh</w:t>
      </w:r>
      <w:r w:rsidRPr="00DC5ED7" w:rsidR="007674A4">
        <w:rPr>
          <w:lang w:val="sq-AL"/>
        </w:rPr>
        <w:t>ë</w:t>
      </w:r>
      <w:r w:rsidRPr="00DC5ED7" w:rsidR="00DD2EB9">
        <w:rPr>
          <w:lang w:val="sq-AL"/>
        </w:rPr>
        <w:t>t e fundit, dhe pas m</w:t>
      </w:r>
      <w:r w:rsidRPr="00DC5ED7" w:rsidR="007674A4">
        <w:rPr>
          <w:lang w:val="sq-AL"/>
        </w:rPr>
        <w:t>ë</w:t>
      </w:r>
      <w:r w:rsidRPr="00DC5ED7" w:rsidR="00DD2EB9">
        <w:rPr>
          <w:lang w:val="sq-AL"/>
        </w:rPr>
        <w:t xml:space="preserve"> shum</w:t>
      </w:r>
      <w:r w:rsidRPr="00DC5ED7" w:rsidR="007674A4">
        <w:rPr>
          <w:lang w:val="sq-AL"/>
        </w:rPr>
        <w:t>ë</w:t>
      </w:r>
      <w:r w:rsidRPr="00DC5ED7" w:rsidR="00DD2EB9">
        <w:rPr>
          <w:lang w:val="sq-AL"/>
        </w:rPr>
        <w:t xml:space="preserve"> se nj</w:t>
      </w:r>
      <w:r w:rsidRPr="00DC5ED7" w:rsidR="007674A4">
        <w:rPr>
          <w:lang w:val="sq-AL"/>
        </w:rPr>
        <w:t>ë</w:t>
      </w:r>
      <w:r w:rsidRPr="00DC5ED7" w:rsidR="00DD2EB9">
        <w:rPr>
          <w:lang w:val="sq-AL"/>
        </w:rPr>
        <w:t xml:space="preserve"> shekulli e gjysm</w:t>
      </w:r>
      <w:r w:rsidRPr="00DC5ED7" w:rsidR="007674A4">
        <w:rPr>
          <w:lang w:val="sq-AL"/>
        </w:rPr>
        <w:t>ë</w:t>
      </w:r>
      <w:r w:rsidRPr="00DC5ED7" w:rsidR="00DD2EB9">
        <w:rPr>
          <w:lang w:val="sq-AL"/>
        </w:rPr>
        <w:t xml:space="preserve"> funksionimi, sistemi arsimor kishte gjetur m</w:t>
      </w:r>
      <w:r w:rsidRPr="00DC5ED7" w:rsidR="007674A4">
        <w:rPr>
          <w:lang w:val="sq-AL"/>
        </w:rPr>
        <w:t>ë</w:t>
      </w:r>
      <w:r w:rsidRPr="00DC5ED7" w:rsidR="00DD2EB9">
        <w:rPr>
          <w:lang w:val="sq-AL"/>
        </w:rPr>
        <w:t xml:space="preserve"> në fund shprehje, t</w:t>
      </w:r>
      <w:r w:rsidRPr="00DC5ED7" w:rsidR="007674A4">
        <w:rPr>
          <w:lang w:val="sq-AL"/>
        </w:rPr>
        <w:t>ë</w:t>
      </w:r>
      <w:r w:rsidRPr="00DC5ED7" w:rsidR="00DD2EB9">
        <w:rPr>
          <w:lang w:val="sq-AL"/>
        </w:rPr>
        <w:t xml:space="preserve"> paktën pjes</w:t>
      </w:r>
      <w:r w:rsidRPr="00DC5ED7" w:rsidR="007674A4">
        <w:rPr>
          <w:lang w:val="sq-AL"/>
        </w:rPr>
        <w:t>ë</w:t>
      </w:r>
      <w:r w:rsidRPr="00DC5ED7" w:rsidR="00DD2EB9">
        <w:rPr>
          <w:lang w:val="sq-AL"/>
        </w:rPr>
        <w:t>risht, n</w:t>
      </w:r>
      <w:r w:rsidRPr="00DC5ED7" w:rsidR="007674A4">
        <w:rPr>
          <w:lang w:val="sq-AL"/>
        </w:rPr>
        <w:t>ë</w:t>
      </w:r>
      <w:r w:rsidRPr="00DC5ED7" w:rsidR="00DD2EB9">
        <w:rPr>
          <w:lang w:val="sq-AL"/>
        </w:rPr>
        <w:t xml:space="preserve"> nj</w:t>
      </w:r>
      <w:r w:rsidRPr="00DC5ED7" w:rsidR="007674A4">
        <w:rPr>
          <w:lang w:val="sq-AL"/>
        </w:rPr>
        <w:t>ë</w:t>
      </w:r>
      <w:r w:rsidRPr="00DC5ED7" w:rsidR="00DD2EB9">
        <w:rPr>
          <w:lang w:val="sq-AL"/>
        </w:rPr>
        <w:t xml:space="preserve"> ligj (Ligji i vitit 1998 për arsimin</w:t>
      </w:r>
      <w:r w:rsidRPr="00DC5ED7">
        <w:rPr>
          <w:lang w:val="sq-AL"/>
        </w:rPr>
        <w:t xml:space="preserve"> – </w:t>
      </w:r>
      <w:r w:rsidR="005517A9">
        <w:rPr>
          <w:i/>
          <w:lang w:val="sq-AL"/>
        </w:rPr>
        <w:t>E</w:t>
      </w:r>
      <w:r w:rsidRPr="00DC5ED7">
        <w:rPr>
          <w:i/>
          <w:lang w:val="sq-AL"/>
        </w:rPr>
        <w:t>ducation Act 1998</w:t>
      </w:r>
      <w:r w:rsidRPr="00DC5ED7">
        <w:rPr>
          <w:lang w:val="sq-AL"/>
        </w:rPr>
        <w:t xml:space="preserve">), </w:t>
      </w:r>
      <w:r w:rsidRPr="00DC5ED7" w:rsidR="00DD2EB9">
        <w:rPr>
          <w:lang w:val="sq-AL"/>
        </w:rPr>
        <w:t>nd</w:t>
      </w:r>
      <w:r w:rsidRPr="00DC5ED7" w:rsidR="007674A4">
        <w:rPr>
          <w:lang w:val="sq-AL"/>
        </w:rPr>
        <w:t>ë</w:t>
      </w:r>
      <w:r w:rsidRPr="00DC5ED7" w:rsidR="00DD2EB9">
        <w:rPr>
          <w:lang w:val="sq-AL"/>
        </w:rPr>
        <w:t>rkoh</w:t>
      </w:r>
      <w:r w:rsidRPr="00DC5ED7" w:rsidR="007674A4">
        <w:rPr>
          <w:lang w:val="sq-AL"/>
        </w:rPr>
        <w:t>ë</w:t>
      </w:r>
      <w:r w:rsidRPr="00DC5ED7" w:rsidR="00DD2EB9">
        <w:rPr>
          <w:lang w:val="sq-AL"/>
        </w:rPr>
        <w:t xml:space="preserve"> q</w:t>
      </w:r>
      <w:r w:rsidRPr="00DC5ED7" w:rsidR="007674A4">
        <w:rPr>
          <w:lang w:val="sq-AL"/>
        </w:rPr>
        <w:t>ë</w:t>
      </w:r>
      <w:r w:rsidRPr="00DC5ED7" w:rsidR="00DD2EB9">
        <w:rPr>
          <w:lang w:val="sq-AL"/>
        </w:rPr>
        <w:t xml:space="preserve"> m</w:t>
      </w:r>
      <w:r w:rsidRPr="00DC5ED7" w:rsidR="007674A4">
        <w:rPr>
          <w:lang w:val="sq-AL"/>
        </w:rPr>
        <w:t>ë</w:t>
      </w:r>
      <w:r w:rsidRPr="00DC5ED7" w:rsidR="00DD2EB9">
        <w:rPr>
          <w:lang w:val="sq-AL"/>
        </w:rPr>
        <w:t xml:space="preserve"> parë ai përcaktohej nga Rregullorja e vitit 1965 si edhe nga disa letra, qarkore dhe </w:t>
      </w:r>
      <w:r w:rsidRPr="00DC5ED7" w:rsidR="007674A4">
        <w:rPr>
          <w:lang w:val="sq-AL"/>
        </w:rPr>
        <w:t>shkresa ministrore.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35</w:t>
      </w:r>
      <w:r w:rsidRPr="00DC5ED7">
        <w:rPr>
          <w:lang w:val="sq-AL"/>
        </w:rPr>
        <w:fldChar w:fldCharType="end"/>
      </w:r>
      <w:r w:rsidRPr="00DC5ED7">
        <w:rPr>
          <w:lang w:val="sq-AL"/>
        </w:rPr>
        <w:t>.  </w:t>
      </w:r>
      <w:r w:rsidRPr="00DC5ED7" w:rsidR="007674A4">
        <w:rPr>
          <w:lang w:val="sq-AL"/>
        </w:rPr>
        <w:t xml:space="preserve">Për sa u përkiste elementeve që dilnin nga Rregullorja e vitit 1965, gjyqtari </w:t>
      </w:r>
      <w:r w:rsidRPr="00DC5ED7">
        <w:rPr>
          <w:lang w:val="sq-AL"/>
        </w:rPr>
        <w:t>Hardiman d</w:t>
      </w:r>
      <w:r w:rsidRPr="00DC5ED7" w:rsidR="007674A4">
        <w:rPr>
          <w:lang w:val="sq-AL"/>
        </w:rPr>
        <w:t>ek</w:t>
      </w:r>
      <w:r w:rsidRPr="00DC5ED7">
        <w:rPr>
          <w:lang w:val="sq-AL"/>
        </w:rPr>
        <w:t>lar</w:t>
      </w:r>
      <w:r w:rsidRPr="00DC5ED7" w:rsidR="007674A4">
        <w:rPr>
          <w:lang w:val="sq-AL"/>
        </w:rPr>
        <w:t>oi</w:t>
      </w:r>
      <w:r w:rsidRPr="00DC5ED7">
        <w:rPr>
          <w:lang w:val="sq-AL"/>
        </w:rPr>
        <w:t>:</w:t>
      </w:r>
    </w:p>
    <w:p w:rsidRPr="00DC5ED7" w:rsidR="00EB737A" w:rsidP="00EB737A" w:rsidRDefault="00623E9C">
      <w:pPr>
        <w:pStyle w:val="ECHRParaQuote"/>
        <w:rPr>
          <w:lang w:val="sq-AL" w:eastAsia="en-US"/>
        </w:rPr>
      </w:pPr>
      <w:r w:rsidRPr="00DC5ED7">
        <w:rPr>
          <w:lang w:val="sq-AL" w:eastAsia="en-US"/>
        </w:rPr>
        <w:t>“M</w:t>
      </w:r>
      <w:r w:rsidRPr="00DC5ED7" w:rsidR="00EB737A">
        <w:rPr>
          <w:lang w:val="sq-AL" w:eastAsia="en-US"/>
        </w:rPr>
        <w:t>inistr</w:t>
      </w:r>
      <w:r w:rsidRPr="00DC5ED7">
        <w:rPr>
          <w:lang w:val="sq-AL" w:eastAsia="en-US"/>
        </w:rPr>
        <w:t>i i vendoste rregullat që duhej të</w:t>
      </w:r>
      <w:r w:rsidRPr="00DC5ED7" w:rsidR="00EB737A">
        <w:rPr>
          <w:lang w:val="sq-AL" w:eastAsia="en-US"/>
        </w:rPr>
        <w:t xml:space="preserve"> </w:t>
      </w:r>
      <w:r w:rsidRPr="00DC5ED7">
        <w:rPr>
          <w:lang w:val="sq-AL" w:eastAsia="en-US"/>
        </w:rPr>
        <w:t>zbatoheshin për shkollat kombëtare, por fjala ishte për rregulla të përgjithshme që nuk e lejonin atë të përcaktonte imtësisht veprimtaritë e secilit mësues.</w:t>
      </w:r>
      <w:r w:rsidR="00943091">
        <w:rPr>
          <w:lang w:val="sq-AL" w:eastAsia="en-US"/>
        </w:rPr>
        <w:t xml:space="preserve"> </w:t>
      </w:r>
      <w:r w:rsidRPr="00DC5ED7">
        <w:rPr>
          <w:lang w:val="sq-AL" w:eastAsia="en-US"/>
        </w:rPr>
        <w:t>Inspektimet e tij nëpër institucionet shkollore kishin të bënin me shërbimet arsimore, me përjashtim t</w:t>
      </w:r>
      <w:r w:rsidRPr="00DC5ED7" w:rsidR="00BE7ABC">
        <w:rPr>
          <w:lang w:val="sq-AL" w:eastAsia="en-US"/>
        </w:rPr>
        <w:t>ë</w:t>
      </w:r>
      <w:r w:rsidRPr="00DC5ED7">
        <w:rPr>
          <w:lang w:val="sq-AL" w:eastAsia="en-US"/>
        </w:rPr>
        <w:t xml:space="preserve"> atyre që kishin të bënin me fushën e mësimit fetar, por nuk shkonin më tej. </w:t>
      </w:r>
      <w:r w:rsidRPr="00DC5ED7" w:rsidR="00B96834">
        <w:rPr>
          <w:lang w:val="sq-AL" w:eastAsia="en-US"/>
        </w:rPr>
        <w:t xml:space="preserve">Ministri </w:t>
      </w:r>
      <w:r w:rsidRPr="00DC5ED7" w:rsidR="00EB737A">
        <w:rPr>
          <w:lang w:val="sq-AL" w:eastAsia="en-US"/>
        </w:rPr>
        <w:t xml:space="preserve">(...) </w:t>
      </w:r>
      <w:r w:rsidRPr="00DC5ED7" w:rsidR="00B96834">
        <w:rPr>
          <w:lang w:val="sq-AL" w:eastAsia="en-US"/>
        </w:rPr>
        <w:t>nuk e kishte as kontrollin e drejtpërdrejtë mbi shkollat, as pushtetin e madh që rrjedh andej, sepse “ndërmjet shtetit dhe fëmij</w:t>
      </w:r>
      <w:r w:rsidRPr="00DC5ED7" w:rsidR="00BE7ABC">
        <w:rPr>
          <w:lang w:val="sq-AL" w:eastAsia="en-US"/>
        </w:rPr>
        <w:t>ë</w:t>
      </w:r>
      <w:r w:rsidRPr="00DC5ED7" w:rsidR="00B96834">
        <w:rPr>
          <w:lang w:val="sq-AL" w:eastAsia="en-US"/>
        </w:rPr>
        <w:t>s ishin t</w:t>
      </w:r>
      <w:r w:rsidRPr="00DC5ED7" w:rsidR="00BE7ABC">
        <w:rPr>
          <w:lang w:val="sq-AL" w:eastAsia="en-US"/>
        </w:rPr>
        <w:t>ë</w:t>
      </w:r>
      <w:r w:rsidRPr="00DC5ED7" w:rsidR="00B96834">
        <w:rPr>
          <w:lang w:val="sq-AL" w:eastAsia="en-US"/>
        </w:rPr>
        <w:t xml:space="preserve"> vendosur në mes drejtori ose komiteti apo këshilli drejtues”. Gjithashtu, ai nuk e emëronte as e mbik</w:t>
      </w:r>
      <w:r w:rsidRPr="00DC5ED7" w:rsidR="00BE7ABC">
        <w:rPr>
          <w:lang w:val="sq-AL" w:eastAsia="en-US"/>
        </w:rPr>
        <w:t>ë</w:t>
      </w:r>
      <w:r w:rsidRPr="00DC5ED7" w:rsidR="00B96834">
        <w:rPr>
          <w:lang w:val="sq-AL" w:eastAsia="en-US"/>
        </w:rPr>
        <w:t>qyrte drejtpërdrejt drejtorin ose m</w:t>
      </w:r>
      <w:r w:rsidRPr="00DC5ED7" w:rsidR="00BE7ABC">
        <w:rPr>
          <w:lang w:val="sq-AL" w:eastAsia="en-US"/>
        </w:rPr>
        <w:t>ë</w:t>
      </w:r>
      <w:r w:rsidRPr="00DC5ED7" w:rsidR="00B96834">
        <w:rPr>
          <w:lang w:val="sq-AL" w:eastAsia="en-US"/>
        </w:rPr>
        <w:t>suesin. Faktikisht, aty qe vet</w:t>
      </w:r>
      <w:r w:rsidRPr="00DC5ED7" w:rsidR="00BE7ABC">
        <w:rPr>
          <w:lang w:val="sq-AL" w:eastAsia="en-US"/>
        </w:rPr>
        <w:t>ë</w:t>
      </w:r>
      <w:r w:rsidRPr="00DC5ED7" w:rsidR="00B96834">
        <w:rPr>
          <w:lang w:val="sq-AL" w:eastAsia="en-US"/>
        </w:rPr>
        <w:t xml:space="preserve"> thelbi i “sistemit </w:t>
      </w:r>
      <w:r w:rsidRPr="00DC5ED7" w:rsidR="0099506A">
        <w:rPr>
          <w:lang w:val="sq-AL" w:eastAsia="en-US"/>
        </w:rPr>
        <w:t>drejtues”. Tek elementet q</w:t>
      </w:r>
      <w:r w:rsidRPr="00DC5ED7" w:rsidR="00BE7ABC">
        <w:rPr>
          <w:lang w:val="sq-AL" w:eastAsia="en-US"/>
        </w:rPr>
        <w:t>ë</w:t>
      </w:r>
      <w:r w:rsidRPr="00DC5ED7" w:rsidR="0099506A">
        <w:rPr>
          <w:lang w:val="sq-AL" w:eastAsia="en-US"/>
        </w:rPr>
        <w:t xml:space="preserve"> i jan</w:t>
      </w:r>
      <w:r w:rsidRPr="00DC5ED7" w:rsidR="00BE7ABC">
        <w:rPr>
          <w:lang w:val="sq-AL" w:eastAsia="en-US"/>
        </w:rPr>
        <w:t>ë</w:t>
      </w:r>
      <w:r w:rsidRPr="00DC5ED7" w:rsidR="0099506A">
        <w:rPr>
          <w:lang w:val="sq-AL" w:eastAsia="en-US"/>
        </w:rPr>
        <w:t xml:space="preserve"> parashtruar Gjykatës, un</w:t>
      </w:r>
      <w:r w:rsidRPr="00DC5ED7" w:rsidR="00BE7ABC">
        <w:rPr>
          <w:lang w:val="sq-AL" w:eastAsia="en-US"/>
        </w:rPr>
        <w:t>ë</w:t>
      </w:r>
      <w:r w:rsidRPr="00DC5ED7" w:rsidR="0099506A">
        <w:rPr>
          <w:lang w:val="sq-AL" w:eastAsia="en-US"/>
        </w:rPr>
        <w:t xml:space="preserve"> nuk shoh kurrfarë mund</w:t>
      </w:r>
      <w:r w:rsidRPr="00DC5ED7" w:rsidR="00BE7ABC">
        <w:rPr>
          <w:lang w:val="sq-AL" w:eastAsia="en-US"/>
        </w:rPr>
        <w:t>ë</w:t>
      </w:r>
      <w:r w:rsidRPr="00DC5ED7" w:rsidR="0099506A">
        <w:rPr>
          <w:lang w:val="sq-AL" w:eastAsia="en-US"/>
        </w:rPr>
        <w:t>sie q</w:t>
      </w:r>
      <w:r w:rsidRPr="00DC5ED7" w:rsidR="00BE7ABC">
        <w:rPr>
          <w:lang w:val="sq-AL" w:eastAsia="en-US"/>
        </w:rPr>
        <w:t>ë</w:t>
      </w:r>
      <w:r w:rsidRPr="00DC5ED7" w:rsidR="0099506A">
        <w:rPr>
          <w:lang w:val="sq-AL" w:eastAsia="en-US"/>
        </w:rPr>
        <w:t xml:space="preserve"> ministri t</w:t>
      </w:r>
      <w:r w:rsidRPr="00DC5ED7" w:rsidR="00BE7ABC">
        <w:rPr>
          <w:lang w:val="sq-AL" w:eastAsia="en-US"/>
        </w:rPr>
        <w:t>ë</w:t>
      </w:r>
      <w:r w:rsidRPr="00DC5ED7" w:rsidR="0099506A">
        <w:rPr>
          <w:lang w:val="sq-AL" w:eastAsia="en-US"/>
        </w:rPr>
        <w:t xml:space="preserve"> krijonte nj</w:t>
      </w:r>
      <w:r w:rsidRPr="00DC5ED7" w:rsidR="00BE7ABC">
        <w:rPr>
          <w:lang w:val="sq-AL" w:eastAsia="en-US"/>
        </w:rPr>
        <w:t>ë</w:t>
      </w:r>
      <w:r w:rsidRPr="00DC5ED7" w:rsidR="0099506A">
        <w:rPr>
          <w:lang w:val="sq-AL" w:eastAsia="en-US"/>
        </w:rPr>
        <w:t xml:space="preserve"> gjykim personal rreth nj</w:t>
      </w:r>
      <w:r w:rsidRPr="00DC5ED7" w:rsidR="00BE7ABC">
        <w:rPr>
          <w:lang w:val="sq-AL" w:eastAsia="en-US"/>
        </w:rPr>
        <w:t>ë</w:t>
      </w:r>
      <w:r w:rsidRPr="00DC5ED7" w:rsidR="0099506A">
        <w:rPr>
          <w:lang w:val="sq-AL" w:eastAsia="en-US"/>
        </w:rPr>
        <w:t>rit apo tjetrin nga k</w:t>
      </w:r>
      <w:r w:rsidRPr="00DC5ED7" w:rsidR="00BE7ABC">
        <w:rPr>
          <w:lang w:val="sq-AL" w:eastAsia="en-US"/>
        </w:rPr>
        <w:t>ë</w:t>
      </w:r>
      <w:r w:rsidRPr="00DC5ED7" w:rsidR="0099506A">
        <w:rPr>
          <w:lang w:val="sq-AL" w:eastAsia="en-US"/>
        </w:rPr>
        <w:t>ta dy persona. Për m</w:t>
      </w:r>
      <w:r w:rsidRPr="00DC5ED7" w:rsidR="00BE7ABC">
        <w:rPr>
          <w:lang w:val="sq-AL" w:eastAsia="en-US"/>
        </w:rPr>
        <w:t>ë</w:t>
      </w:r>
      <w:r w:rsidRPr="00DC5ED7" w:rsidR="0099506A">
        <w:rPr>
          <w:lang w:val="sq-AL" w:eastAsia="en-US"/>
        </w:rPr>
        <w:t xml:space="preserve"> tepër, prindërit q</w:t>
      </w:r>
      <w:r w:rsidRPr="00DC5ED7" w:rsidR="00BE7ABC">
        <w:rPr>
          <w:lang w:val="sq-AL" w:eastAsia="en-US"/>
        </w:rPr>
        <w:t>ë</w:t>
      </w:r>
      <w:r w:rsidRPr="00DC5ED7" w:rsidR="0099506A">
        <w:rPr>
          <w:lang w:val="sq-AL" w:eastAsia="en-US"/>
        </w:rPr>
        <w:t xml:space="preserve"> jan</w:t>
      </w:r>
      <w:r w:rsidRPr="00DC5ED7" w:rsidR="00BE7ABC">
        <w:rPr>
          <w:lang w:val="sq-AL" w:eastAsia="en-US"/>
        </w:rPr>
        <w:t>ë</w:t>
      </w:r>
      <w:r w:rsidRPr="00DC5ED7" w:rsidR="0099506A">
        <w:rPr>
          <w:lang w:val="sq-AL" w:eastAsia="en-US"/>
        </w:rPr>
        <w:t xml:space="preserve"> ankuar p</w:t>
      </w:r>
      <w:r w:rsidRPr="00DC5ED7" w:rsidR="00BE7ABC">
        <w:rPr>
          <w:lang w:val="sq-AL" w:eastAsia="en-US"/>
        </w:rPr>
        <w:t>ë</w:t>
      </w:r>
      <w:r w:rsidRPr="00DC5ED7" w:rsidR="0099506A">
        <w:rPr>
          <w:lang w:val="sq-AL" w:eastAsia="en-US"/>
        </w:rPr>
        <w:t>r t</w:t>
      </w:r>
      <w:r w:rsidRPr="00DC5ED7" w:rsidR="00BE7ABC">
        <w:rPr>
          <w:lang w:val="sq-AL" w:eastAsia="en-US"/>
        </w:rPr>
        <w:t>ë</w:t>
      </w:r>
      <w:r w:rsidRPr="00DC5ED7" w:rsidR="0099506A">
        <w:rPr>
          <w:lang w:val="sq-AL" w:eastAsia="en-US"/>
        </w:rPr>
        <w:t xml:space="preserve"> paditurin e parë duket se kan</w:t>
      </w:r>
      <w:r w:rsidRPr="00DC5ED7" w:rsidR="00BE7ABC">
        <w:rPr>
          <w:lang w:val="sq-AL" w:eastAsia="en-US"/>
        </w:rPr>
        <w:t>ë</w:t>
      </w:r>
      <w:r w:rsidRPr="00DC5ED7" w:rsidR="0099506A">
        <w:rPr>
          <w:lang w:val="sq-AL" w:eastAsia="en-US"/>
        </w:rPr>
        <w:t xml:space="preserve"> gjykuar n</w:t>
      </w:r>
      <w:r w:rsidRPr="00DC5ED7" w:rsidR="00BE7ABC">
        <w:rPr>
          <w:lang w:val="sq-AL" w:eastAsia="en-US"/>
        </w:rPr>
        <w:t>ë</w:t>
      </w:r>
      <w:r w:rsidRPr="00DC5ED7" w:rsidR="0099506A">
        <w:rPr>
          <w:lang w:val="sq-AL" w:eastAsia="en-US"/>
        </w:rPr>
        <w:t xml:space="preserve"> bazë të intuitës q</w:t>
      </w:r>
      <w:r w:rsidRPr="00DC5ED7" w:rsidR="00BE7ABC">
        <w:rPr>
          <w:lang w:val="sq-AL" w:eastAsia="en-US"/>
        </w:rPr>
        <w:t>ë</w:t>
      </w:r>
      <w:r w:rsidRPr="00DC5ED7" w:rsidR="0099506A">
        <w:rPr>
          <w:lang w:val="sq-AL" w:eastAsia="en-US"/>
        </w:rPr>
        <w:t xml:space="preserve"> ai i cili e kishte autoritetin e drejtpërdrejt</w:t>
      </w:r>
      <w:r w:rsidRPr="00DC5ED7" w:rsidR="00BE7ABC">
        <w:rPr>
          <w:lang w:val="sq-AL" w:eastAsia="en-US"/>
        </w:rPr>
        <w:t>ë</w:t>
      </w:r>
      <w:r w:rsidRPr="00DC5ED7" w:rsidR="0099506A">
        <w:rPr>
          <w:lang w:val="sq-AL" w:eastAsia="en-US"/>
        </w:rPr>
        <w:t xml:space="preserve"> p</w:t>
      </w:r>
      <w:r w:rsidRPr="00DC5ED7" w:rsidR="00BE7ABC">
        <w:rPr>
          <w:lang w:val="sq-AL" w:eastAsia="en-US"/>
        </w:rPr>
        <w:t>ë</w:t>
      </w:r>
      <w:r w:rsidRPr="00DC5ED7" w:rsidR="0099506A">
        <w:rPr>
          <w:lang w:val="sq-AL" w:eastAsia="en-US"/>
        </w:rPr>
        <w:t>r ta pranuar ankimin e tyre ishte drejtori, i emëruar prej klerit e edhe vet</w:t>
      </w:r>
      <w:r w:rsidRPr="00DC5ED7" w:rsidR="00BE7ABC">
        <w:rPr>
          <w:lang w:val="sq-AL" w:eastAsia="en-US"/>
        </w:rPr>
        <w:t>ë</w:t>
      </w:r>
      <w:r w:rsidRPr="00DC5ED7" w:rsidR="0099506A">
        <w:rPr>
          <w:lang w:val="sq-AL" w:eastAsia="en-US"/>
        </w:rPr>
        <w:t xml:space="preserve"> pjesëtar i klerit. Sipas elementeve që i jan</w:t>
      </w:r>
      <w:r w:rsidRPr="00DC5ED7" w:rsidR="00BE7ABC">
        <w:rPr>
          <w:lang w:val="sq-AL" w:eastAsia="en-US"/>
        </w:rPr>
        <w:t>ë</w:t>
      </w:r>
      <w:r w:rsidRPr="00DC5ED7" w:rsidR="0099506A">
        <w:rPr>
          <w:lang w:val="sq-AL" w:eastAsia="en-US"/>
        </w:rPr>
        <w:t xml:space="preserve"> parashtruar Gjykatës, asnjë ankes</w:t>
      </w:r>
      <w:r w:rsidRPr="00DC5ED7" w:rsidR="00BE7ABC">
        <w:rPr>
          <w:lang w:val="sq-AL" w:eastAsia="en-US"/>
        </w:rPr>
        <w:t>ë</w:t>
      </w:r>
      <w:r w:rsidRPr="00DC5ED7" w:rsidR="0099506A">
        <w:rPr>
          <w:lang w:val="sq-AL" w:eastAsia="en-US"/>
        </w:rPr>
        <w:t xml:space="preserve"> nuk i është drejtuar ministrit apo ndonj</w:t>
      </w:r>
      <w:r w:rsidRPr="00DC5ED7" w:rsidR="00BE7ABC">
        <w:rPr>
          <w:lang w:val="sq-AL" w:eastAsia="en-US"/>
        </w:rPr>
        <w:t>ë</w:t>
      </w:r>
      <w:r w:rsidRPr="00DC5ED7" w:rsidR="0099506A">
        <w:rPr>
          <w:lang w:val="sq-AL" w:eastAsia="en-US"/>
        </w:rPr>
        <w:t xml:space="preserve"> organi tjet</w:t>
      </w:r>
      <w:r w:rsidRPr="00DC5ED7" w:rsidR="00BE7ABC">
        <w:rPr>
          <w:lang w:val="sq-AL" w:eastAsia="en-US"/>
        </w:rPr>
        <w:t>ë</w:t>
      </w:r>
      <w:r w:rsidRPr="00DC5ED7" w:rsidR="0099506A">
        <w:rPr>
          <w:lang w:val="sq-AL" w:eastAsia="en-US"/>
        </w:rPr>
        <w:t>r shtetëror. Çështja ësht</w:t>
      </w:r>
      <w:r w:rsidRPr="00DC5ED7" w:rsidR="00BE7ABC">
        <w:rPr>
          <w:lang w:val="sq-AL" w:eastAsia="en-US"/>
        </w:rPr>
        <w:t>ë</w:t>
      </w:r>
      <w:r w:rsidRPr="00DC5ED7" w:rsidR="0099506A">
        <w:rPr>
          <w:lang w:val="sq-AL" w:eastAsia="en-US"/>
        </w:rPr>
        <w:t xml:space="preserve"> zgjidhur, si të thuash, </w:t>
      </w:r>
      <w:r w:rsidRPr="00DC5ED7" w:rsidR="00DC71AA">
        <w:rPr>
          <w:lang w:val="sq-AL" w:eastAsia="en-US"/>
        </w:rPr>
        <w:t>“brendapërbrenda”, n</w:t>
      </w:r>
      <w:r w:rsidRPr="00DC5ED7" w:rsidR="00BE7ABC">
        <w:rPr>
          <w:lang w:val="sq-AL" w:eastAsia="en-US"/>
        </w:rPr>
        <w:t>ë</w:t>
      </w:r>
      <w:r w:rsidRPr="00DC5ED7" w:rsidR="00DC71AA">
        <w:rPr>
          <w:lang w:val="sq-AL" w:eastAsia="en-US"/>
        </w:rPr>
        <w:t xml:space="preserve"> përputhje me zgjedhjen e autor</w:t>
      </w:r>
      <w:r w:rsidRPr="00DC5ED7" w:rsidR="00BE7ABC">
        <w:rPr>
          <w:lang w:val="sq-AL" w:eastAsia="en-US"/>
        </w:rPr>
        <w:t>ë</w:t>
      </w:r>
      <w:r w:rsidRPr="00DC5ED7" w:rsidR="00DC71AA">
        <w:rPr>
          <w:lang w:val="sq-AL" w:eastAsia="en-US"/>
        </w:rPr>
        <w:t>ve t</w:t>
      </w:r>
      <w:r w:rsidRPr="00DC5ED7" w:rsidR="00BE7ABC">
        <w:rPr>
          <w:lang w:val="sq-AL" w:eastAsia="en-US"/>
        </w:rPr>
        <w:t>ë</w:t>
      </w:r>
      <w:r w:rsidRPr="00DC5ED7" w:rsidR="00DC71AA">
        <w:rPr>
          <w:lang w:val="sq-AL" w:eastAsia="en-US"/>
        </w:rPr>
        <w:t xml:space="preserve"> ankes</w:t>
      </w:r>
      <w:r w:rsidRPr="00DC5ED7" w:rsidR="00BE7ABC">
        <w:rPr>
          <w:lang w:val="sq-AL" w:eastAsia="en-US"/>
        </w:rPr>
        <w:t>ë</w:t>
      </w:r>
      <w:r w:rsidRPr="00DC5ED7" w:rsidR="00DC71AA">
        <w:rPr>
          <w:lang w:val="sq-AL" w:eastAsia="en-US"/>
        </w:rPr>
        <w:t>s. E gjitha kjo ka shpën</w:t>
      </w:r>
      <w:r w:rsidRPr="00DC5ED7" w:rsidR="00BE7ABC">
        <w:rPr>
          <w:lang w:val="sq-AL" w:eastAsia="en-US"/>
        </w:rPr>
        <w:t>ë</w:t>
      </w:r>
      <w:r w:rsidRPr="00DC5ED7" w:rsidR="00DC71AA">
        <w:rPr>
          <w:lang w:val="sq-AL" w:eastAsia="en-US"/>
        </w:rPr>
        <w:t xml:space="preserve"> m</w:t>
      </w:r>
      <w:r w:rsidRPr="00DC5ED7" w:rsidR="00BE7ABC">
        <w:rPr>
          <w:lang w:val="sq-AL" w:eastAsia="en-US"/>
        </w:rPr>
        <w:t>ë</w:t>
      </w:r>
      <w:r w:rsidRPr="00DC5ED7" w:rsidR="00DC71AA">
        <w:rPr>
          <w:lang w:val="sq-AL" w:eastAsia="en-US"/>
        </w:rPr>
        <w:t xml:space="preserve"> n</w:t>
      </w:r>
      <w:r w:rsidRPr="00DC5ED7" w:rsidR="00BE7ABC">
        <w:rPr>
          <w:lang w:val="sq-AL" w:eastAsia="en-US"/>
        </w:rPr>
        <w:t>ë</w:t>
      </w:r>
      <w:r w:rsidRPr="00DC5ED7" w:rsidR="00DC71AA">
        <w:rPr>
          <w:lang w:val="sq-AL" w:eastAsia="en-US"/>
        </w:rPr>
        <w:t xml:space="preserve"> fund n</w:t>
      </w:r>
      <w:r w:rsidRPr="00DC5ED7" w:rsidR="00BE7ABC">
        <w:rPr>
          <w:lang w:val="sq-AL" w:eastAsia="en-US"/>
        </w:rPr>
        <w:t>ë</w:t>
      </w:r>
      <w:r w:rsidRPr="00DC5ED7" w:rsidR="00DC71AA">
        <w:rPr>
          <w:lang w:val="sq-AL" w:eastAsia="en-US"/>
        </w:rPr>
        <w:t xml:space="preserve"> dorëheqjen e vullnetshme [të L. H.], pastaj n</w:t>
      </w:r>
      <w:r w:rsidRPr="00DC5ED7" w:rsidR="00BE7ABC">
        <w:rPr>
          <w:lang w:val="sq-AL" w:eastAsia="en-US"/>
        </w:rPr>
        <w:t>ë</w:t>
      </w:r>
      <w:r w:rsidRPr="00DC5ED7" w:rsidR="00DC71AA">
        <w:rPr>
          <w:lang w:val="sq-AL" w:eastAsia="en-US"/>
        </w:rPr>
        <w:t xml:space="preserve"> rekrutimin e tij n</w:t>
      </w:r>
      <w:r w:rsidRPr="00DC5ED7" w:rsidR="00BE7ABC">
        <w:rPr>
          <w:lang w:val="sq-AL" w:eastAsia="en-US"/>
        </w:rPr>
        <w:t>ë</w:t>
      </w:r>
      <w:r w:rsidRPr="00DC5ED7" w:rsidR="00DC71AA">
        <w:rPr>
          <w:lang w:val="sq-AL" w:eastAsia="en-US"/>
        </w:rPr>
        <w:t xml:space="preserve"> nj</w:t>
      </w:r>
      <w:r w:rsidRPr="00DC5ED7" w:rsidR="00BE7ABC">
        <w:rPr>
          <w:lang w:val="sq-AL" w:eastAsia="en-US"/>
        </w:rPr>
        <w:t>ë</w:t>
      </w:r>
      <w:r w:rsidRPr="00DC5ED7" w:rsidR="00DC71AA">
        <w:rPr>
          <w:lang w:val="sq-AL" w:eastAsia="en-US"/>
        </w:rPr>
        <w:t xml:space="preserve"> shkoll</w:t>
      </w:r>
      <w:r w:rsidRPr="00DC5ED7" w:rsidR="00BE7ABC">
        <w:rPr>
          <w:lang w:val="sq-AL" w:eastAsia="en-US"/>
        </w:rPr>
        <w:t>ë</w:t>
      </w:r>
      <w:r w:rsidRPr="00DC5ED7" w:rsidR="00DC71AA">
        <w:rPr>
          <w:lang w:val="sq-AL" w:eastAsia="en-US"/>
        </w:rPr>
        <w:t xml:space="preserve"> tjetër të rrethinave.</w:t>
      </w:r>
    </w:p>
    <w:p w:rsidRPr="00DC5ED7" w:rsidR="00EB737A" w:rsidP="00EB737A" w:rsidRDefault="00DC71AA">
      <w:pPr>
        <w:pStyle w:val="ECHRParaQuote"/>
        <w:rPr>
          <w:lang w:val="sq-AL" w:eastAsia="en-US"/>
        </w:rPr>
      </w:pPr>
      <w:r w:rsidRPr="00DC5ED7">
        <w:rPr>
          <w:lang w:val="sq-AL" w:eastAsia="en-US"/>
        </w:rPr>
        <w:t>Të gjitha elementet q</w:t>
      </w:r>
      <w:r w:rsidRPr="00DC5ED7" w:rsidR="00BE7ABC">
        <w:rPr>
          <w:lang w:val="sq-AL" w:eastAsia="en-US"/>
        </w:rPr>
        <w:t>ë</w:t>
      </w:r>
      <w:r w:rsidRPr="00DC5ED7">
        <w:rPr>
          <w:lang w:val="sq-AL" w:eastAsia="en-US"/>
        </w:rPr>
        <w:t xml:space="preserve"> priren drejt distancimit të ministrit dhe t</w:t>
      </w:r>
      <w:r w:rsidRPr="00DC5ED7" w:rsidR="00BE7ABC">
        <w:rPr>
          <w:lang w:val="sq-AL" w:eastAsia="en-US"/>
        </w:rPr>
        <w:t>ë</w:t>
      </w:r>
      <w:r w:rsidRPr="00DC5ED7">
        <w:rPr>
          <w:lang w:val="sq-AL" w:eastAsia="en-US"/>
        </w:rPr>
        <w:t xml:space="preserve"> autoriteteve shtetërore nga drejtimi i shkoll</w:t>
      </w:r>
      <w:r w:rsidRPr="00DC5ED7" w:rsidR="00BE7ABC">
        <w:rPr>
          <w:lang w:val="sq-AL" w:eastAsia="en-US"/>
        </w:rPr>
        <w:t>ë</w:t>
      </w:r>
      <w:r w:rsidRPr="00DC5ED7">
        <w:rPr>
          <w:lang w:val="sq-AL" w:eastAsia="en-US"/>
        </w:rPr>
        <w:t>s dhe nga kontrolli i ushtruar mbi t</w:t>
      </w:r>
      <w:r w:rsidRPr="00DC5ED7" w:rsidR="00BE7ABC">
        <w:rPr>
          <w:lang w:val="sq-AL" w:eastAsia="en-US"/>
        </w:rPr>
        <w:t>ë</w:t>
      </w:r>
      <w:r w:rsidRPr="00DC5ED7">
        <w:rPr>
          <w:lang w:val="sq-AL" w:eastAsia="en-US"/>
        </w:rPr>
        <w:t xml:space="preserve"> paditurin e parë</w:t>
      </w:r>
      <w:r w:rsidR="00943091">
        <w:rPr>
          <w:lang w:val="sq-AL" w:eastAsia="en-US"/>
        </w:rPr>
        <w:t xml:space="preserve"> </w:t>
      </w:r>
      <w:r w:rsidRPr="00DC5ED7">
        <w:rPr>
          <w:lang w:val="sq-AL" w:eastAsia="en-US"/>
        </w:rPr>
        <w:t>rrjedhin drejtp</w:t>
      </w:r>
      <w:r w:rsidRPr="00DC5ED7" w:rsidR="00BE7ABC">
        <w:rPr>
          <w:lang w:val="sq-AL" w:eastAsia="en-US"/>
        </w:rPr>
        <w:t>ë</w:t>
      </w:r>
      <w:r w:rsidRPr="00DC5ED7">
        <w:rPr>
          <w:lang w:val="sq-AL" w:eastAsia="en-US"/>
        </w:rPr>
        <w:t>rdrejt nga sistemi arsimor, i vendosur prej shum</w:t>
      </w:r>
      <w:r w:rsidRPr="00DC5ED7" w:rsidR="00BE7ABC">
        <w:rPr>
          <w:lang w:val="sq-AL" w:eastAsia="en-US"/>
        </w:rPr>
        <w:t>ë</w:t>
      </w:r>
      <w:r w:rsidRPr="00DC5ED7">
        <w:rPr>
          <w:lang w:val="sq-AL" w:eastAsia="en-US"/>
        </w:rPr>
        <w:t xml:space="preserve"> koh</w:t>
      </w:r>
      <w:r w:rsidRPr="00DC5ED7" w:rsidR="00BE7ABC">
        <w:rPr>
          <w:lang w:val="sq-AL" w:eastAsia="en-US"/>
        </w:rPr>
        <w:t>ë</w:t>
      </w:r>
      <w:r w:rsidRPr="00DC5ED7">
        <w:rPr>
          <w:lang w:val="sq-AL" w:eastAsia="en-US"/>
        </w:rPr>
        <w:t>sh, i p</w:t>
      </w:r>
      <w:r w:rsidRPr="00DC5ED7" w:rsidR="00BE7ABC">
        <w:rPr>
          <w:lang w:val="sq-AL" w:eastAsia="en-US"/>
        </w:rPr>
        <w:t>ë</w:t>
      </w:r>
      <w:r w:rsidRPr="00DC5ED7">
        <w:rPr>
          <w:lang w:val="sq-AL" w:eastAsia="en-US"/>
        </w:rPr>
        <w:t>rshkruar k</w:t>
      </w:r>
      <w:r w:rsidRPr="00DC5ED7" w:rsidR="00BE7ABC">
        <w:rPr>
          <w:lang w:val="sq-AL" w:eastAsia="en-US"/>
        </w:rPr>
        <w:t>ë</w:t>
      </w:r>
      <w:r w:rsidRPr="00DC5ED7">
        <w:rPr>
          <w:lang w:val="sq-AL" w:eastAsia="en-US"/>
        </w:rPr>
        <w:t>tu m</w:t>
      </w:r>
      <w:r w:rsidRPr="00DC5ED7" w:rsidR="00BE7ABC">
        <w:rPr>
          <w:lang w:val="sq-AL" w:eastAsia="en-US"/>
        </w:rPr>
        <w:t>ë</w:t>
      </w:r>
      <w:r w:rsidRPr="00DC5ED7">
        <w:rPr>
          <w:lang w:val="sq-AL" w:eastAsia="en-US"/>
        </w:rPr>
        <w:t xml:space="preserve"> sipër dhe i sanksionuar nga Kushtetuta, n</w:t>
      </w:r>
      <w:r w:rsidRPr="00DC5ED7" w:rsidR="00BE7ABC">
        <w:rPr>
          <w:lang w:val="sq-AL" w:eastAsia="en-US"/>
        </w:rPr>
        <w:t>ë</w:t>
      </w:r>
      <w:r w:rsidRPr="00DC5ED7">
        <w:rPr>
          <w:lang w:val="sq-AL" w:eastAsia="en-US"/>
        </w:rPr>
        <w:t xml:space="preserve"> t</w:t>
      </w:r>
      <w:r w:rsidRPr="00DC5ED7" w:rsidR="00BE7ABC">
        <w:rPr>
          <w:lang w:val="sq-AL" w:eastAsia="en-US"/>
        </w:rPr>
        <w:t>ë</w:t>
      </w:r>
      <w:r w:rsidRPr="00DC5ED7">
        <w:rPr>
          <w:lang w:val="sq-AL" w:eastAsia="en-US"/>
        </w:rPr>
        <w:t xml:space="preserve"> cilin ministri financon dhe, n</w:t>
      </w:r>
      <w:r w:rsidRPr="00DC5ED7" w:rsidR="00BE7ABC">
        <w:rPr>
          <w:lang w:val="sq-AL" w:eastAsia="en-US"/>
        </w:rPr>
        <w:t>ë</w:t>
      </w:r>
      <w:r w:rsidRPr="00DC5ED7">
        <w:rPr>
          <w:lang w:val="sq-AL" w:eastAsia="en-US"/>
        </w:rPr>
        <w:t xml:space="preserve"> nj</w:t>
      </w:r>
      <w:r w:rsidRPr="00DC5ED7" w:rsidR="00BE7ABC">
        <w:rPr>
          <w:lang w:val="sq-AL" w:eastAsia="en-US"/>
        </w:rPr>
        <w:t>ë</w:t>
      </w:r>
      <w:r w:rsidRPr="00DC5ED7">
        <w:rPr>
          <w:lang w:val="sq-AL" w:eastAsia="en-US"/>
        </w:rPr>
        <w:t>farë mase, përcakton rregullat, por n</w:t>
      </w:r>
      <w:r w:rsidRPr="00DC5ED7" w:rsidR="00BE7ABC">
        <w:rPr>
          <w:lang w:val="sq-AL" w:eastAsia="en-US"/>
        </w:rPr>
        <w:t>ë</w:t>
      </w:r>
      <w:r w:rsidRPr="00DC5ED7">
        <w:rPr>
          <w:lang w:val="sq-AL" w:eastAsia="en-US"/>
        </w:rPr>
        <w:t xml:space="preserve"> t</w:t>
      </w:r>
      <w:r w:rsidRPr="00DC5ED7" w:rsidR="00BE7ABC">
        <w:rPr>
          <w:lang w:val="sq-AL" w:eastAsia="en-US"/>
        </w:rPr>
        <w:t>ë</w:t>
      </w:r>
      <w:r w:rsidRPr="00DC5ED7">
        <w:rPr>
          <w:lang w:val="sq-AL" w:eastAsia="en-US"/>
        </w:rPr>
        <w:t xml:space="preserve"> cilin institucionet arsimore dhe m</w:t>
      </w:r>
      <w:r w:rsidRPr="00DC5ED7" w:rsidR="00BE7ABC">
        <w:rPr>
          <w:lang w:val="sq-AL" w:eastAsia="en-US"/>
        </w:rPr>
        <w:t>ë</w:t>
      </w:r>
      <w:r w:rsidRPr="00DC5ED7">
        <w:rPr>
          <w:lang w:val="sq-AL" w:eastAsia="en-US"/>
        </w:rPr>
        <w:t>suesit mbik</w:t>
      </w:r>
      <w:r w:rsidRPr="00DC5ED7" w:rsidR="00BE7ABC">
        <w:rPr>
          <w:lang w:val="sq-AL" w:eastAsia="en-US"/>
        </w:rPr>
        <w:t>ë</w:t>
      </w:r>
      <w:r w:rsidRPr="00DC5ED7">
        <w:rPr>
          <w:lang w:val="sq-AL" w:eastAsia="en-US"/>
        </w:rPr>
        <w:t xml:space="preserve">qyren nga drejtorët dhe nga </w:t>
      </w:r>
      <w:r w:rsidRPr="00DC5ED7">
        <w:rPr>
          <w:i/>
          <w:lang w:val="sq-AL" w:eastAsia="en-US"/>
        </w:rPr>
        <w:t>Padron</w:t>
      </w:r>
      <w:r w:rsidRPr="00DC5ED7" w:rsidR="00BE7ABC">
        <w:rPr>
          <w:i/>
          <w:lang w:val="sq-AL" w:eastAsia="en-US"/>
        </w:rPr>
        <w:t>ë</w:t>
      </w:r>
      <w:r w:rsidRPr="00DC5ED7">
        <w:rPr>
          <w:i/>
          <w:lang w:val="sq-AL" w:eastAsia="en-US"/>
        </w:rPr>
        <w:t xml:space="preserve">t </w:t>
      </w:r>
      <w:r w:rsidRPr="00DC5ED7" w:rsidR="00BE7ABC">
        <w:rPr>
          <w:lang w:val="sq-AL" w:eastAsia="en-US"/>
        </w:rPr>
        <w:t>kishtarë. Gjykatës nuk i kërkohet as ta miratojë, as ta kritikojë këtë sistem; ajo vetëm mund të marrë shënim për ekzistencën tij dhe për faktin se ai ia heq haptazi ministrit dhe shtetit të drejtën e një kontrolli të drejtpërdrejtë mbi institucionet shkollore, mësuesit dhe nxënësit.”</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36</w:t>
      </w:r>
      <w:r w:rsidRPr="00DC5ED7">
        <w:rPr>
          <w:lang w:val="sq-AL"/>
        </w:rPr>
        <w:fldChar w:fldCharType="end"/>
      </w:r>
      <w:r w:rsidRPr="00DC5ED7">
        <w:rPr>
          <w:lang w:val="sq-AL"/>
        </w:rPr>
        <w:t>.  </w:t>
      </w:r>
      <w:r w:rsidRPr="00DC5ED7" w:rsidR="00BE7ABC">
        <w:rPr>
          <w:lang w:val="sq-AL"/>
        </w:rPr>
        <w:t>Gjyqtari</w:t>
      </w:r>
      <w:r w:rsidRPr="00DC5ED7">
        <w:rPr>
          <w:lang w:val="sq-AL"/>
        </w:rPr>
        <w:t xml:space="preserve"> Hardiman </w:t>
      </w:r>
      <w:r w:rsidRPr="00DC5ED7" w:rsidR="00BE7ABC">
        <w:rPr>
          <w:lang w:val="sq-AL"/>
        </w:rPr>
        <w:t>vërejti gjithashtu se fakti i abuzimit seksual me nj</w:t>
      </w:r>
      <w:r w:rsidRPr="00DC5ED7" w:rsidR="00D56426">
        <w:rPr>
          <w:lang w:val="sq-AL"/>
        </w:rPr>
        <w:t>ë</w:t>
      </w:r>
      <w:r w:rsidRPr="00DC5ED7" w:rsidR="00BE7ABC">
        <w:rPr>
          <w:lang w:val="sq-AL"/>
        </w:rPr>
        <w:t xml:space="preserve"> nx</w:t>
      </w:r>
      <w:r w:rsidRPr="00DC5ED7" w:rsidR="00D56426">
        <w:rPr>
          <w:lang w:val="sq-AL"/>
        </w:rPr>
        <w:t>ë</w:t>
      </w:r>
      <w:r w:rsidRPr="00DC5ED7" w:rsidR="00BE7ABC">
        <w:rPr>
          <w:lang w:val="sq-AL"/>
        </w:rPr>
        <w:t>n</w:t>
      </w:r>
      <w:r w:rsidRPr="00DC5ED7" w:rsidR="00D56426">
        <w:rPr>
          <w:lang w:val="sq-AL"/>
        </w:rPr>
        <w:t>ë</w:t>
      </w:r>
      <w:r w:rsidRPr="00DC5ED7" w:rsidR="00BE7ABC">
        <w:rPr>
          <w:lang w:val="sq-AL"/>
        </w:rPr>
        <w:t>s përb</w:t>
      </w:r>
      <w:r w:rsidRPr="00DC5ED7" w:rsidR="00D56426">
        <w:rPr>
          <w:lang w:val="sq-AL"/>
        </w:rPr>
        <w:t>ë</w:t>
      </w:r>
      <w:r w:rsidRPr="00DC5ED7" w:rsidR="00BE7ABC">
        <w:rPr>
          <w:lang w:val="sq-AL"/>
        </w:rPr>
        <w:t>nte vetë mohimin e detyrimeve profesionale të L. H., por ai shtoi se m</w:t>
      </w:r>
      <w:r w:rsidRPr="00DC5ED7" w:rsidR="00D56426">
        <w:rPr>
          <w:lang w:val="sq-AL"/>
        </w:rPr>
        <w:t>ë</w:t>
      </w:r>
      <w:r w:rsidRPr="00DC5ED7" w:rsidR="00BE7ABC">
        <w:rPr>
          <w:lang w:val="sq-AL"/>
        </w:rPr>
        <w:t xml:space="preserve"> </w:t>
      </w:r>
      <w:r w:rsidRPr="00DC5ED7">
        <w:rPr>
          <w:lang w:val="sq-AL"/>
        </w:rPr>
        <w:t xml:space="preserve">1973 </w:t>
      </w:r>
      <w:r w:rsidRPr="00DC5ED7" w:rsidR="002F0A2D">
        <w:rPr>
          <w:lang w:val="sq-AL"/>
        </w:rPr>
        <w:t>“një akt i till</w:t>
      </w:r>
      <w:r w:rsidRPr="00DC5ED7" w:rsidR="00D56426">
        <w:rPr>
          <w:lang w:val="sq-AL"/>
        </w:rPr>
        <w:t>ë</w:t>
      </w:r>
      <w:r w:rsidRPr="00DC5ED7" w:rsidR="002F0A2D">
        <w:rPr>
          <w:lang w:val="sq-AL"/>
        </w:rPr>
        <w:t xml:space="preserve"> ishte i rrall</w:t>
      </w:r>
      <w:r w:rsidRPr="00DC5ED7" w:rsidR="00D56426">
        <w:rPr>
          <w:lang w:val="sq-AL"/>
        </w:rPr>
        <w:t>ë</w:t>
      </w:r>
      <w:r w:rsidRPr="00DC5ED7" w:rsidR="002F0A2D">
        <w:rPr>
          <w:lang w:val="sq-AL"/>
        </w:rPr>
        <w:t>, përb</w:t>
      </w:r>
      <w:r w:rsidRPr="00DC5ED7" w:rsidR="00D56426">
        <w:rPr>
          <w:lang w:val="sq-AL"/>
        </w:rPr>
        <w:t>ë</w:t>
      </w:r>
      <w:r w:rsidRPr="00DC5ED7" w:rsidR="002F0A2D">
        <w:rPr>
          <w:lang w:val="sq-AL"/>
        </w:rPr>
        <w:t>nte një subjekt tabu dhe sigurisht që nuk paraqitej sikur përfaq</w:t>
      </w:r>
      <w:r w:rsidRPr="00DC5ED7" w:rsidR="00D56426">
        <w:rPr>
          <w:lang w:val="sq-AL"/>
        </w:rPr>
        <w:t>ë</w:t>
      </w:r>
      <w:r w:rsidRPr="00DC5ED7" w:rsidR="002F0A2D">
        <w:rPr>
          <w:lang w:val="sq-AL"/>
        </w:rPr>
        <w:t>sonte një rrezik t</w:t>
      </w:r>
      <w:r w:rsidRPr="00DC5ED7" w:rsidR="00D56426">
        <w:rPr>
          <w:lang w:val="sq-AL"/>
        </w:rPr>
        <w:t>ë</w:t>
      </w:r>
      <w:r w:rsidRPr="00DC5ED7" w:rsidR="002F0A2D">
        <w:rPr>
          <w:lang w:val="sq-AL"/>
        </w:rPr>
        <w:t xml:space="preserve"> zakonshëm e të parashikueshëm i cili ishte i pandashëm nga frekuentimi i një institucioni shkollor”. Ai e gjykoi </w:t>
      </w:r>
      <w:r w:rsidRPr="00DC5ED7" w:rsidR="0085155D">
        <w:rPr>
          <w:lang w:val="sq-AL"/>
        </w:rPr>
        <w:t>si “për t</w:t>
      </w:r>
      <w:r w:rsidR="00943091">
        <w:rPr>
          <w:lang w:val="sq-AL"/>
        </w:rPr>
        <w:t>’</w:t>
      </w:r>
      <w:r w:rsidRPr="00DC5ED7" w:rsidR="0085155D">
        <w:rPr>
          <w:lang w:val="sq-AL"/>
        </w:rPr>
        <w:t>u shënuar” faktin q</w:t>
      </w:r>
      <w:r w:rsidRPr="00DC5ED7" w:rsidR="00D56426">
        <w:rPr>
          <w:lang w:val="sq-AL"/>
        </w:rPr>
        <w:t>ë</w:t>
      </w:r>
      <w:r w:rsidRPr="00DC5ED7" w:rsidR="0085155D">
        <w:rPr>
          <w:lang w:val="sq-AL"/>
        </w:rPr>
        <w:t xml:space="preserve"> viktima nuk kishte nisur ndjekje penale kundër </w:t>
      </w:r>
      <w:r w:rsidRPr="00DC5ED7" w:rsidR="0085155D">
        <w:rPr>
          <w:i/>
          <w:lang w:val="sq-AL"/>
        </w:rPr>
        <w:t>Padronit</w:t>
      </w:r>
      <w:r w:rsidRPr="00DC5ED7" w:rsidR="0085155D">
        <w:rPr>
          <w:lang w:val="sq-AL"/>
        </w:rPr>
        <w:t xml:space="preserve">, dioqezës ipeshkëv i së cilës ai ishte, pasardhësve ose trashëgimtarëve të tij, </w:t>
      </w:r>
      <w:r w:rsidRPr="00DC5ED7" w:rsidR="00D56426">
        <w:rPr>
          <w:lang w:val="sq-AL"/>
        </w:rPr>
        <w:t>kujdestarëve (dhe pronarëve të shkollës) që i administronin pronat e dioqezës së Cork-ut e Ross-it, drejtorit ose trashëgimtarëve apo pasardhësve të këtyre personave.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37</w:t>
      </w:r>
      <w:r w:rsidRPr="00DC5ED7">
        <w:rPr>
          <w:lang w:val="sq-AL"/>
        </w:rPr>
        <w:fldChar w:fldCharType="end"/>
      </w:r>
      <w:r w:rsidRPr="00DC5ED7">
        <w:rPr>
          <w:lang w:val="sq-AL"/>
        </w:rPr>
        <w:t>.  </w:t>
      </w:r>
      <w:r w:rsidRPr="00DC5ED7" w:rsidR="00D56426">
        <w:rPr>
          <w:lang w:val="sq-AL"/>
        </w:rPr>
        <w:t xml:space="preserve">Gjyqtari </w:t>
      </w:r>
      <w:r w:rsidRPr="00DC5ED7">
        <w:rPr>
          <w:lang w:val="sq-AL"/>
        </w:rPr>
        <w:t xml:space="preserve">Hardiman </w:t>
      </w:r>
      <w:r w:rsidRPr="00DC5ED7" w:rsidR="009E3E1F">
        <w:rPr>
          <w:lang w:val="sq-AL"/>
        </w:rPr>
        <w:t>nxori p</w:t>
      </w:r>
      <w:r w:rsidRPr="00DC5ED7" w:rsidR="00166D43">
        <w:rPr>
          <w:lang w:val="sq-AL"/>
        </w:rPr>
        <w:t>ë</w:t>
      </w:r>
      <w:r w:rsidRPr="00DC5ED7" w:rsidR="009E3E1F">
        <w:rPr>
          <w:lang w:val="sq-AL"/>
        </w:rPr>
        <w:t xml:space="preserve">rfundimin se, duke pasur parasysh kriterin </w:t>
      </w:r>
      <w:r w:rsidRPr="00DC5ED7" w:rsidR="00166D43">
        <w:rPr>
          <w:lang w:val="sq-AL"/>
        </w:rPr>
        <w:t>që ishte në zbatim në fushën e përgjegjësisë për veprimin e tjetërkujt si edhe modalitetet e sipërpërmendura të kontrollit e të drejtimit të shkollave kombëtare, të paditurit publikë nuk ngarkoheshin dot me përgjegjësi ndaj paditëses për dëmet që i ishin shkaktuar asaj. Ai çmoi veçanërisht se, edhe sikur të zgjidhej forma e përgjithshme e përgjegjësisë për veprimin e tjetërkujt së cil</w:t>
      </w:r>
      <w:r w:rsidRPr="00DC5ED7" w:rsidR="009047E6">
        <w:rPr>
          <w:lang w:val="sq-AL"/>
        </w:rPr>
        <w:t>ë</w:t>
      </w:r>
      <w:r w:rsidRPr="00DC5ED7" w:rsidR="00166D43">
        <w:rPr>
          <w:lang w:val="sq-AL"/>
        </w:rPr>
        <w:t>s i ishte referuar padit</w:t>
      </w:r>
      <w:r w:rsidRPr="00DC5ED7" w:rsidR="009047E6">
        <w:rPr>
          <w:lang w:val="sq-AL"/>
        </w:rPr>
        <w:t>ë</w:t>
      </w:r>
      <w:r w:rsidRPr="00DC5ED7" w:rsidR="00166D43">
        <w:rPr>
          <w:lang w:val="sq-AL"/>
        </w:rPr>
        <w:t>sja, mungesa e nj</w:t>
      </w:r>
      <w:r w:rsidRPr="00DC5ED7" w:rsidR="009047E6">
        <w:rPr>
          <w:lang w:val="sq-AL"/>
        </w:rPr>
        <w:t>ë</w:t>
      </w:r>
      <w:r w:rsidRPr="00DC5ED7" w:rsidR="00166D43">
        <w:rPr>
          <w:lang w:val="sq-AL"/>
        </w:rPr>
        <w:t xml:space="preserve"> kontrolli t</w:t>
      </w:r>
      <w:r w:rsidRPr="00DC5ED7" w:rsidR="009047E6">
        <w:rPr>
          <w:lang w:val="sq-AL"/>
        </w:rPr>
        <w:t>ë</w:t>
      </w:r>
      <w:r w:rsidRPr="00DC5ED7" w:rsidR="00166D43">
        <w:rPr>
          <w:lang w:val="sq-AL"/>
        </w:rPr>
        <w:t xml:space="preserve"> drejtpërdrejtë t</w:t>
      </w:r>
      <w:r w:rsidRPr="00DC5ED7" w:rsidR="009047E6">
        <w:rPr>
          <w:lang w:val="sq-AL"/>
        </w:rPr>
        <w:t>ë</w:t>
      </w:r>
      <w:r w:rsidRPr="00DC5ED7" w:rsidR="00166D43">
        <w:rPr>
          <w:lang w:val="sq-AL"/>
        </w:rPr>
        <w:t xml:space="preserve"> ministrit mbi L. H., përderisa nj</w:t>
      </w:r>
      <w:r w:rsidRPr="00DC5ED7" w:rsidR="009047E6">
        <w:rPr>
          <w:lang w:val="sq-AL"/>
        </w:rPr>
        <w:t>ë</w:t>
      </w:r>
      <w:r w:rsidRPr="00DC5ED7" w:rsidR="00166D43">
        <w:rPr>
          <w:lang w:val="sq-AL"/>
        </w:rPr>
        <w:t xml:space="preserve"> kontroll i tillë i ishte l</w:t>
      </w:r>
      <w:r w:rsidRPr="00DC5ED7" w:rsidR="009047E6">
        <w:rPr>
          <w:lang w:val="sq-AL"/>
        </w:rPr>
        <w:t>ë</w:t>
      </w:r>
      <w:r w:rsidRPr="00DC5ED7" w:rsidR="00166D43">
        <w:rPr>
          <w:lang w:val="sq-AL"/>
        </w:rPr>
        <w:t>në n</w:t>
      </w:r>
      <w:r w:rsidRPr="00DC5ED7" w:rsidR="009047E6">
        <w:rPr>
          <w:lang w:val="sq-AL"/>
        </w:rPr>
        <w:t>ë</w:t>
      </w:r>
      <w:r w:rsidRPr="00DC5ED7" w:rsidR="00166D43">
        <w:rPr>
          <w:lang w:val="sq-AL"/>
        </w:rPr>
        <w:t xml:space="preserve"> dor</w:t>
      </w:r>
      <w:r w:rsidRPr="00DC5ED7" w:rsidR="009047E6">
        <w:rPr>
          <w:lang w:val="sq-AL"/>
        </w:rPr>
        <w:t>ë</w:t>
      </w:r>
      <w:r w:rsidRPr="00DC5ED7" w:rsidR="00166D43">
        <w:rPr>
          <w:lang w:val="sq-AL"/>
        </w:rPr>
        <w:t xml:space="preserve"> q</w:t>
      </w:r>
      <w:r w:rsidRPr="00DC5ED7" w:rsidR="009047E6">
        <w:rPr>
          <w:lang w:val="sq-AL"/>
        </w:rPr>
        <w:t>ë</w:t>
      </w:r>
      <w:r w:rsidRPr="00DC5ED7" w:rsidR="00166D43">
        <w:rPr>
          <w:lang w:val="sq-AL"/>
        </w:rPr>
        <w:t xml:space="preserve"> prej shum</w:t>
      </w:r>
      <w:r w:rsidRPr="00DC5ED7" w:rsidR="009047E6">
        <w:rPr>
          <w:lang w:val="sq-AL"/>
        </w:rPr>
        <w:t>ë</w:t>
      </w:r>
      <w:r w:rsidRPr="00DC5ED7" w:rsidR="00166D43">
        <w:rPr>
          <w:lang w:val="sq-AL"/>
        </w:rPr>
        <w:t xml:space="preserve"> koh</w:t>
      </w:r>
      <w:r w:rsidRPr="00DC5ED7" w:rsidR="009047E6">
        <w:rPr>
          <w:lang w:val="sq-AL"/>
        </w:rPr>
        <w:t>ë</w:t>
      </w:r>
      <w:r w:rsidRPr="00DC5ED7" w:rsidR="00166D43">
        <w:rPr>
          <w:lang w:val="sq-AL"/>
        </w:rPr>
        <w:t xml:space="preserve">sh drejtorit dhe </w:t>
      </w:r>
      <w:r w:rsidRPr="00DC5ED7" w:rsidR="00166D43">
        <w:rPr>
          <w:i/>
          <w:lang w:val="sq-AL"/>
        </w:rPr>
        <w:t>Padronit</w:t>
      </w:r>
      <w:r w:rsidRPr="00DC5ED7" w:rsidR="00166D43">
        <w:rPr>
          <w:lang w:val="sq-AL"/>
        </w:rPr>
        <w:t>, nuk lejonte kurrfarë v</w:t>
      </w:r>
      <w:r w:rsidRPr="00DC5ED7" w:rsidR="009047E6">
        <w:rPr>
          <w:lang w:val="sq-AL"/>
        </w:rPr>
        <w:t>ë</w:t>
      </w:r>
      <w:r w:rsidRPr="00DC5ED7" w:rsidR="00166D43">
        <w:rPr>
          <w:lang w:val="sq-AL"/>
        </w:rPr>
        <w:t>nieje n</w:t>
      </w:r>
      <w:r w:rsidRPr="00DC5ED7" w:rsidR="009047E6">
        <w:rPr>
          <w:lang w:val="sq-AL"/>
        </w:rPr>
        <w:t>ë</w:t>
      </w:r>
      <w:r w:rsidRPr="00DC5ED7" w:rsidR="00166D43">
        <w:rPr>
          <w:lang w:val="sq-AL"/>
        </w:rPr>
        <w:t xml:space="preserve"> pikëpyetje t</w:t>
      </w:r>
      <w:r w:rsidRPr="00DC5ED7" w:rsidR="009047E6">
        <w:rPr>
          <w:lang w:val="sq-AL"/>
        </w:rPr>
        <w:t>ë</w:t>
      </w:r>
      <w:r w:rsidRPr="00DC5ED7" w:rsidR="00166D43">
        <w:rPr>
          <w:lang w:val="sq-AL"/>
        </w:rPr>
        <w:t xml:space="preserve"> p</w:t>
      </w:r>
      <w:r w:rsidRPr="00DC5ED7" w:rsidR="009047E6">
        <w:rPr>
          <w:lang w:val="sq-AL"/>
        </w:rPr>
        <w:t>ë</w:t>
      </w:r>
      <w:r w:rsidRPr="00DC5ED7" w:rsidR="00166D43">
        <w:rPr>
          <w:lang w:val="sq-AL"/>
        </w:rPr>
        <w:t>rgjegj</w:t>
      </w:r>
      <w:r w:rsidRPr="00DC5ED7" w:rsidR="009047E6">
        <w:rPr>
          <w:lang w:val="sq-AL"/>
        </w:rPr>
        <w:t>ë</w:t>
      </w:r>
      <w:r w:rsidRPr="00DC5ED7" w:rsidR="00166D43">
        <w:rPr>
          <w:lang w:val="sq-AL"/>
        </w:rPr>
        <w:t>sisë s</w:t>
      </w:r>
      <w:r w:rsidRPr="00DC5ED7" w:rsidR="009047E6">
        <w:rPr>
          <w:lang w:val="sq-AL"/>
        </w:rPr>
        <w:t>ë</w:t>
      </w:r>
      <w:r w:rsidRPr="00DC5ED7" w:rsidR="00166D43">
        <w:rPr>
          <w:lang w:val="sq-AL"/>
        </w:rPr>
        <w:t xml:space="preserve"> ministrit. Sipas gjyqtarit, </w:t>
      </w:r>
      <w:r w:rsidRPr="00DC5ED7" w:rsidR="009047E6">
        <w:rPr>
          <w:lang w:val="sq-AL"/>
        </w:rPr>
        <w:t>lidhja midis</w:t>
      </w:r>
      <w:r w:rsidRPr="00DC5ED7" w:rsidR="00166D43">
        <w:rPr>
          <w:lang w:val="sq-AL"/>
        </w:rPr>
        <w:t xml:space="preserve"> </w:t>
      </w:r>
      <w:r w:rsidRPr="00DC5ED7">
        <w:rPr>
          <w:lang w:val="sq-AL"/>
        </w:rPr>
        <w:t xml:space="preserve">L.H. </w:t>
      </w:r>
      <w:r w:rsidRPr="00DC5ED7" w:rsidR="00166D43">
        <w:rPr>
          <w:lang w:val="sq-AL"/>
        </w:rPr>
        <w:t>dhe shtetit</w:t>
      </w:r>
      <w:r w:rsidRPr="00DC5ED7">
        <w:rPr>
          <w:lang w:val="sq-AL"/>
        </w:rPr>
        <w:t xml:space="preserve"> – </w:t>
      </w:r>
      <w:r w:rsidRPr="00DC5ED7" w:rsidR="009047E6">
        <w:rPr>
          <w:lang w:val="sq-AL"/>
        </w:rPr>
        <w:t>të cilët ndodheshin në një “marrëdhënie trekëndëshe me Kishën”</w:t>
      </w:r>
      <w:r w:rsidRPr="00DC5ED7">
        <w:rPr>
          <w:lang w:val="sq-AL"/>
        </w:rPr>
        <w:t xml:space="preserve"> – </w:t>
      </w:r>
      <w:r w:rsidRPr="00DC5ED7" w:rsidR="009047E6">
        <w:rPr>
          <w:lang w:val="sq-AL"/>
        </w:rPr>
        <w:t xml:space="preserve">ishte tërësisht </w:t>
      </w:r>
      <w:r w:rsidRPr="00DC5ED7">
        <w:rPr>
          <w:i/>
          <w:lang w:val="sq-AL"/>
        </w:rPr>
        <w:t>sui generis</w:t>
      </w:r>
      <w:r w:rsidRPr="00DC5ED7">
        <w:rPr>
          <w:lang w:val="sq-AL"/>
        </w:rPr>
        <w:t xml:space="preserve"> </w:t>
      </w:r>
      <w:r w:rsidRPr="00DC5ED7" w:rsidR="009047E6">
        <w:rPr>
          <w:lang w:val="sq-AL"/>
        </w:rPr>
        <w:t>dhe vinte si rezultat i përvojës historike unike të Irlandës. Gjyqtari u shpreh si vijon lidhur me drejtorin</w:t>
      </w:r>
      <w:r w:rsidRPr="00DC5ED7">
        <w:rPr>
          <w:lang w:val="sq-AL"/>
        </w:rPr>
        <w:t>:</w:t>
      </w:r>
    </w:p>
    <w:p w:rsidRPr="00DC5ED7" w:rsidR="00EB737A" w:rsidP="00EB737A" w:rsidRDefault="009047E6">
      <w:pPr>
        <w:pStyle w:val="ECHRParaQuote"/>
        <w:rPr>
          <w:lang w:val="sq-AL" w:eastAsia="en-US"/>
        </w:rPr>
      </w:pPr>
      <w:r w:rsidRPr="00DC5ED7">
        <w:rPr>
          <w:lang w:val="sq-AL" w:eastAsia="en-US"/>
        </w:rPr>
        <w:t xml:space="preserve">“ai ishte përfaqësuesi i </w:t>
      </w:r>
      <w:r w:rsidRPr="00DC5ED7">
        <w:rPr>
          <w:i/>
          <w:lang w:val="sq-AL" w:eastAsia="en-US"/>
        </w:rPr>
        <w:t>Padronit</w:t>
      </w:r>
      <w:r w:rsidRPr="00DC5ED7">
        <w:rPr>
          <w:lang w:val="sq-AL" w:eastAsia="en-US"/>
        </w:rPr>
        <w:t>, domethënë i një autoriteti të ndryshëm nga ministri, dhe ai nuk e ka informuar këtë të fundit për asnjë vështirësi ose ankesë lidhur me [L. H.]. Ministri është gjendur kështu përpara faktit të kryer për sa i përket dorëheqjes së të interesuarit dhe emërimit të tij në një post si mësues në një institucion tjetër. Ai ishte punonjës jo i ministrit, por i Kishës Katolike, pra me fjalë të tjera i autoritetit në interesin e të cilit ministri ishte mënjanuar nga drejtimi i shkollës.”</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38</w:t>
      </w:r>
      <w:r w:rsidRPr="00DC5ED7">
        <w:rPr>
          <w:lang w:val="sq-AL"/>
        </w:rPr>
        <w:fldChar w:fldCharType="end"/>
      </w:r>
      <w:r w:rsidRPr="00DC5ED7">
        <w:rPr>
          <w:lang w:val="sq-AL"/>
        </w:rPr>
        <w:t>.  </w:t>
      </w:r>
      <w:r w:rsidRPr="00DC5ED7" w:rsidR="009047E6">
        <w:rPr>
          <w:lang w:val="sq-AL"/>
        </w:rPr>
        <w:t>Gjyqtari</w:t>
      </w:r>
      <w:r w:rsidRPr="00DC5ED7">
        <w:rPr>
          <w:lang w:val="sq-AL"/>
        </w:rPr>
        <w:t xml:space="preserve"> Hardiman </w:t>
      </w:r>
      <w:r w:rsidRPr="00DC5ED7" w:rsidR="009047E6">
        <w:rPr>
          <w:lang w:val="sq-AL"/>
        </w:rPr>
        <w:t>komentoi dy nga argumentet e paraqitura nga paditësja në kërkesëpadinë e saj fillestare për të cilat ai “nuk</w:t>
      </w:r>
      <w:r w:rsidRPr="00DC5ED7" w:rsidR="007A1407">
        <w:rPr>
          <w:lang w:val="sq-AL"/>
        </w:rPr>
        <w:t xml:space="preserve"> kishte dhënë përgjigje”.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39</w:t>
      </w:r>
      <w:r w:rsidRPr="00DC5ED7">
        <w:rPr>
          <w:lang w:val="sq-AL"/>
        </w:rPr>
        <w:fldChar w:fldCharType="end"/>
      </w:r>
      <w:r w:rsidRPr="00DC5ED7">
        <w:rPr>
          <w:lang w:val="sq-AL"/>
        </w:rPr>
        <w:t>.  </w:t>
      </w:r>
      <w:r w:rsidRPr="00DC5ED7" w:rsidR="007A1407">
        <w:rPr>
          <w:lang w:val="sq-AL"/>
        </w:rPr>
        <w:t>Për sa i përkiste pretendimit për pakujdesi, të drejtuar kundër shtetit, ai bëri vërejtjet e mëposhtme</w:t>
      </w:r>
      <w:r w:rsidRPr="00DC5ED7">
        <w:rPr>
          <w:lang w:val="sq-AL"/>
        </w:rPr>
        <w:t>:</w:t>
      </w:r>
    </w:p>
    <w:p w:rsidRPr="00DC5ED7" w:rsidR="00EB737A" w:rsidP="00EB737A" w:rsidRDefault="007A1407">
      <w:pPr>
        <w:pStyle w:val="ECHRParaQuote"/>
        <w:rPr>
          <w:lang w:val="sq-AL" w:eastAsia="en-US"/>
        </w:rPr>
      </w:pPr>
      <w:r w:rsidRPr="00DC5ED7">
        <w:rPr>
          <w:lang w:val="sq-AL" w:eastAsia="en-US"/>
        </w:rPr>
        <w:t>“</w:t>
      </w:r>
      <w:r w:rsidRPr="00DC5ED7" w:rsidR="00EB737A">
        <w:rPr>
          <w:lang w:val="sq-AL" w:eastAsia="en-US"/>
        </w:rPr>
        <w:t xml:space="preserve">(...) </w:t>
      </w:r>
      <w:r w:rsidRPr="00DC5ED7">
        <w:rPr>
          <w:lang w:val="sq-AL" w:eastAsia="en-US"/>
        </w:rPr>
        <w:t>Ky është një pretendim që do t</w:t>
      </w:r>
      <w:r w:rsidRPr="00DC5ED7" w:rsidR="00954C8A">
        <w:rPr>
          <w:lang w:val="sq-AL" w:eastAsia="en-US"/>
        </w:rPr>
        <w:t>ë</w:t>
      </w:r>
      <w:r w:rsidRPr="00DC5ED7">
        <w:rPr>
          <w:lang w:val="sq-AL" w:eastAsia="en-US"/>
        </w:rPr>
        <w:t xml:space="preserve"> ishte m</w:t>
      </w:r>
      <w:r w:rsidRPr="00DC5ED7" w:rsidR="00954C8A">
        <w:rPr>
          <w:lang w:val="sq-AL" w:eastAsia="en-US"/>
        </w:rPr>
        <w:t>ë</w:t>
      </w:r>
      <w:r w:rsidRPr="00DC5ED7">
        <w:rPr>
          <w:lang w:val="sq-AL" w:eastAsia="en-US"/>
        </w:rPr>
        <w:t xml:space="preserve"> e udhës t</w:t>
      </w:r>
      <w:r w:rsidRPr="00DC5ED7" w:rsidR="00954C8A">
        <w:rPr>
          <w:lang w:val="sq-AL" w:eastAsia="en-US"/>
        </w:rPr>
        <w:t>ë</w:t>
      </w:r>
      <w:r w:rsidRPr="00DC5ED7">
        <w:rPr>
          <w:lang w:val="sq-AL" w:eastAsia="en-US"/>
        </w:rPr>
        <w:t xml:space="preserve"> drejtohej kundër drejtorit. Pikërisht ai e kishte fuqinë për t</w:t>
      </w:r>
      <w:r w:rsidRPr="00DC5ED7" w:rsidR="00954C8A">
        <w:rPr>
          <w:lang w:val="sq-AL" w:eastAsia="en-US"/>
        </w:rPr>
        <w:t>ë</w:t>
      </w:r>
      <w:r w:rsidRPr="00DC5ED7">
        <w:rPr>
          <w:lang w:val="sq-AL" w:eastAsia="en-US"/>
        </w:rPr>
        <w:t xml:space="preserve"> vendosur masa dhe procedura t</w:t>
      </w:r>
      <w:r w:rsidRPr="00DC5ED7" w:rsidR="00954C8A">
        <w:rPr>
          <w:lang w:val="sq-AL" w:eastAsia="en-US"/>
        </w:rPr>
        <w:t>ë</w:t>
      </w:r>
      <w:r w:rsidRPr="00DC5ED7">
        <w:rPr>
          <w:lang w:val="sq-AL" w:eastAsia="en-US"/>
        </w:rPr>
        <w:t xml:space="preserve"> përshtatshme për t</w:t>
      </w:r>
      <w:r w:rsidRPr="00DC5ED7" w:rsidR="00954C8A">
        <w:rPr>
          <w:lang w:val="sq-AL" w:eastAsia="en-US"/>
        </w:rPr>
        <w:t>ë</w:t>
      </w:r>
      <w:r w:rsidRPr="00DC5ED7">
        <w:rPr>
          <w:lang w:val="sq-AL" w:eastAsia="en-US"/>
        </w:rPr>
        <w:t xml:space="preserve"> drejtuar funksionimin e shkoll</w:t>
      </w:r>
      <w:r w:rsidRPr="00DC5ED7" w:rsidR="00954C8A">
        <w:rPr>
          <w:lang w:val="sq-AL" w:eastAsia="en-US"/>
        </w:rPr>
        <w:t>ë</w:t>
      </w:r>
      <w:r w:rsidRPr="00DC5ED7">
        <w:rPr>
          <w:lang w:val="sq-AL" w:eastAsia="en-US"/>
        </w:rPr>
        <w:t>s. Ësht</w:t>
      </w:r>
      <w:r w:rsidRPr="00DC5ED7" w:rsidR="00954C8A">
        <w:rPr>
          <w:lang w:val="sq-AL" w:eastAsia="en-US"/>
        </w:rPr>
        <w:t>ë</w:t>
      </w:r>
      <w:r w:rsidRPr="00DC5ED7">
        <w:rPr>
          <w:lang w:val="sq-AL" w:eastAsia="en-US"/>
        </w:rPr>
        <w:t xml:space="preserve"> e vështirë t</w:t>
      </w:r>
      <w:r w:rsidRPr="00DC5ED7" w:rsidR="00954C8A">
        <w:rPr>
          <w:lang w:val="sq-AL" w:eastAsia="en-US"/>
        </w:rPr>
        <w:t>ë</w:t>
      </w:r>
      <w:r w:rsidRPr="00DC5ED7">
        <w:rPr>
          <w:lang w:val="sq-AL" w:eastAsia="en-US"/>
        </w:rPr>
        <w:t xml:space="preserve"> mundë t</w:t>
      </w:r>
      <w:r w:rsidRPr="00DC5ED7" w:rsidR="00954C8A">
        <w:rPr>
          <w:lang w:val="sq-AL" w:eastAsia="en-US"/>
        </w:rPr>
        <w:t>ë</w:t>
      </w:r>
      <w:r w:rsidRPr="00DC5ED7">
        <w:rPr>
          <w:lang w:val="sq-AL" w:eastAsia="en-US"/>
        </w:rPr>
        <w:t xml:space="preserve"> ngarkohet me përgjegjësi ministri q</w:t>
      </w:r>
      <w:r w:rsidRPr="00DC5ED7" w:rsidR="00954C8A">
        <w:rPr>
          <w:lang w:val="sq-AL" w:eastAsia="en-US"/>
        </w:rPr>
        <w:t>ë</w:t>
      </w:r>
      <w:r w:rsidRPr="00DC5ED7">
        <w:rPr>
          <w:lang w:val="sq-AL" w:eastAsia="en-US"/>
        </w:rPr>
        <w:t xml:space="preserve"> nuk u paska “dh</w:t>
      </w:r>
      <w:r w:rsidRPr="00DC5ED7" w:rsidR="00954C8A">
        <w:rPr>
          <w:lang w:val="sq-AL" w:eastAsia="en-US"/>
        </w:rPr>
        <w:t>ë</w:t>
      </w:r>
      <w:r w:rsidRPr="00DC5ED7">
        <w:rPr>
          <w:lang w:val="sq-AL" w:eastAsia="en-US"/>
        </w:rPr>
        <w:t>n</w:t>
      </w:r>
      <w:r w:rsidRPr="00DC5ED7" w:rsidR="00954C8A">
        <w:rPr>
          <w:lang w:val="sq-AL" w:eastAsia="en-US"/>
        </w:rPr>
        <w:t>ë</w:t>
      </w:r>
      <w:r w:rsidRPr="00DC5ED7">
        <w:rPr>
          <w:lang w:val="sq-AL" w:eastAsia="en-US"/>
        </w:rPr>
        <w:t xml:space="preserve"> fund” disa veprimeve për të cilat ai nuk kishte kurrfarë dyshimi se ekzistonin.”</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40</w:t>
      </w:r>
      <w:r w:rsidRPr="00DC5ED7">
        <w:rPr>
          <w:lang w:val="sq-AL"/>
        </w:rPr>
        <w:fldChar w:fldCharType="end"/>
      </w:r>
      <w:r w:rsidRPr="00DC5ED7">
        <w:rPr>
          <w:lang w:val="sq-AL"/>
        </w:rPr>
        <w:t>.  </w:t>
      </w:r>
      <w:r w:rsidRPr="00DC5ED7" w:rsidR="007A1407">
        <w:rPr>
          <w:lang w:val="sq-AL"/>
        </w:rPr>
        <w:t xml:space="preserve">Për sa i përket </w:t>
      </w:r>
      <w:r w:rsidRPr="00DC5ED7" w:rsidR="00954C8A">
        <w:rPr>
          <w:lang w:val="sq-AL"/>
        </w:rPr>
        <w:t>ankesës lidhur me detyrimin që neni 42 i Kushtetutës i caktonte shtetit për të siguruar një arsim fillor si edhe me masat e marra për përmbushjen e këtij detyrimi, gjyqtari Hardiman u shpreh kështu</w:t>
      </w:r>
      <w:r w:rsidRPr="00DC5ED7">
        <w:rPr>
          <w:lang w:val="sq-AL"/>
        </w:rPr>
        <w:t>:</w:t>
      </w:r>
    </w:p>
    <w:p w:rsidRPr="00DC5ED7" w:rsidR="00EB737A" w:rsidP="00EB737A" w:rsidRDefault="00954C8A">
      <w:pPr>
        <w:pStyle w:val="ECHRParaQuote"/>
        <w:rPr>
          <w:lang w:val="sq-AL"/>
        </w:rPr>
      </w:pPr>
      <w:r w:rsidRPr="00DC5ED7">
        <w:rPr>
          <w:lang w:val="sq-AL"/>
        </w:rPr>
        <w:t>“Unë e kam analizuar tashmë përmbajtjen e nenit 42, nga i cili del se ministri, n</w:t>
      </w:r>
      <w:r w:rsidRPr="00DC5ED7" w:rsidR="00EF4EC6">
        <w:rPr>
          <w:lang w:val="sq-AL"/>
        </w:rPr>
        <w:t>ë</w:t>
      </w:r>
      <w:r w:rsidRPr="00DC5ED7">
        <w:rPr>
          <w:lang w:val="sq-AL"/>
        </w:rPr>
        <w:t xml:space="preserve"> rastin e kësaj shkolle komb</w:t>
      </w:r>
      <w:r w:rsidRPr="00DC5ED7" w:rsidR="00EF4EC6">
        <w:rPr>
          <w:lang w:val="sq-AL"/>
        </w:rPr>
        <w:t>ë</w:t>
      </w:r>
      <w:r w:rsidRPr="00DC5ED7">
        <w:rPr>
          <w:lang w:val="sq-AL"/>
        </w:rPr>
        <w:t>tare, kufizohej në përkrahjen dhe subvencionimin e nismave të personave privatë e juridikë (n</w:t>
      </w:r>
      <w:r w:rsidRPr="00DC5ED7" w:rsidR="00EF4EC6">
        <w:rPr>
          <w:lang w:val="sq-AL"/>
        </w:rPr>
        <w:t>ë</w:t>
      </w:r>
      <w:r w:rsidRPr="00DC5ED7">
        <w:rPr>
          <w:lang w:val="sq-AL"/>
        </w:rPr>
        <w:t xml:space="preserve"> rastin konkret, t</w:t>
      </w:r>
      <w:r w:rsidRPr="00DC5ED7" w:rsidR="00EF4EC6">
        <w:rPr>
          <w:lang w:val="sq-AL"/>
        </w:rPr>
        <w:t>ë</w:t>
      </w:r>
      <w:r w:rsidRPr="00DC5ED7">
        <w:rPr>
          <w:lang w:val="sq-AL"/>
        </w:rPr>
        <w:t xml:space="preserve"> Kishës Katolike) duke ua l</w:t>
      </w:r>
      <w:r w:rsidRPr="00DC5ED7" w:rsidR="00EF4EC6">
        <w:rPr>
          <w:lang w:val="sq-AL"/>
        </w:rPr>
        <w:t>ë</w:t>
      </w:r>
      <w:r w:rsidRPr="00DC5ED7">
        <w:rPr>
          <w:lang w:val="sq-AL"/>
        </w:rPr>
        <w:t>n</w:t>
      </w:r>
      <w:r w:rsidRPr="00DC5ED7" w:rsidR="00EF4EC6">
        <w:rPr>
          <w:lang w:val="sq-AL"/>
        </w:rPr>
        <w:t>ë</w:t>
      </w:r>
      <w:r w:rsidRPr="00DC5ED7">
        <w:rPr>
          <w:lang w:val="sq-AL"/>
        </w:rPr>
        <w:t xml:space="preserve"> atyre kujdesin për drejtimin e institucionit. Kështu, siç e ka v</w:t>
      </w:r>
      <w:r w:rsidRPr="00DC5ED7" w:rsidR="00EF4EC6">
        <w:rPr>
          <w:lang w:val="sq-AL"/>
        </w:rPr>
        <w:t>ë</w:t>
      </w:r>
      <w:r w:rsidRPr="00DC5ED7">
        <w:rPr>
          <w:lang w:val="sq-AL"/>
        </w:rPr>
        <w:t>n</w:t>
      </w:r>
      <w:r w:rsidRPr="00DC5ED7" w:rsidR="00EF4EC6">
        <w:rPr>
          <w:lang w:val="sq-AL"/>
        </w:rPr>
        <w:t>ë</w:t>
      </w:r>
      <w:r w:rsidRPr="00DC5ED7">
        <w:rPr>
          <w:lang w:val="sq-AL"/>
        </w:rPr>
        <w:t xml:space="preserve"> n</w:t>
      </w:r>
      <w:r w:rsidRPr="00DC5ED7" w:rsidR="00EF4EC6">
        <w:rPr>
          <w:lang w:val="sq-AL"/>
        </w:rPr>
        <w:t>ë</w:t>
      </w:r>
      <w:r w:rsidRPr="00DC5ED7">
        <w:rPr>
          <w:lang w:val="sq-AL"/>
        </w:rPr>
        <w:t xml:space="preserve"> dukje gjyqtari </w:t>
      </w:r>
      <w:r w:rsidRPr="00DC5ED7" w:rsidR="00EB737A">
        <w:rPr>
          <w:lang w:val="sq-AL"/>
        </w:rPr>
        <w:t xml:space="preserve">Kenny </w:t>
      </w:r>
      <w:r w:rsidRPr="00DC5ED7">
        <w:rPr>
          <w:lang w:val="sq-AL"/>
        </w:rPr>
        <w:t>në çështjen</w:t>
      </w:r>
      <w:r w:rsidRPr="00DC5ED7" w:rsidR="00EB737A">
        <w:rPr>
          <w:lang w:val="sq-AL"/>
        </w:rPr>
        <w:t xml:space="preserve"> </w:t>
      </w:r>
      <w:r w:rsidRPr="00DC5ED7" w:rsidR="00EB737A">
        <w:rPr>
          <w:i/>
          <w:lang w:val="sq-AL"/>
        </w:rPr>
        <w:t>Crowley v. Ireland</w:t>
      </w:r>
      <w:r w:rsidRPr="00DC5ED7" w:rsidR="00EB737A">
        <w:rPr>
          <w:lang w:val="sq-AL"/>
        </w:rPr>
        <w:t xml:space="preserve"> ([1980] IR 102), </w:t>
      </w:r>
      <w:r w:rsidRPr="00DC5ED7" w:rsidR="00EF4EC6">
        <w:rPr>
          <w:lang w:val="sq-AL"/>
        </w:rPr>
        <w:t>ministrit i është hequr e drejta për çdolloj kontrolli mbi arsimin, për shkak të ndërvendosjes së Padronit dhe të drejtorit të shkollës midis tij dhe fëmijëve. Këta të fundit, dhe sidomos drejtori, kanë kontakte shumë më të ngushta e të shpeshta me shkollën sesa ministri apo Ministria.</w:t>
      </w:r>
    </w:p>
    <w:p w:rsidRPr="00DC5ED7" w:rsidR="00EB737A" w:rsidP="00EB737A" w:rsidRDefault="00EF4EC6">
      <w:pPr>
        <w:pStyle w:val="ECHRParaQuote"/>
        <w:rPr>
          <w:lang w:val="sq-AL" w:eastAsia="en-US"/>
        </w:rPr>
      </w:pPr>
      <w:r w:rsidRPr="00DC5ED7">
        <w:rPr>
          <w:lang w:val="sq-AL"/>
        </w:rPr>
        <w:t xml:space="preserve">Unë çmoj se dispozitat e nenit </w:t>
      </w:r>
      <w:r w:rsidRPr="00DC5ED7" w:rsidR="00EB737A">
        <w:rPr>
          <w:lang w:val="sq-AL"/>
        </w:rPr>
        <w:t xml:space="preserve">42 § 4 </w:t>
      </w:r>
      <w:r w:rsidRPr="00DC5ED7">
        <w:rPr>
          <w:lang w:val="sq-AL"/>
        </w:rPr>
        <w:t>nuk mund të interpretohen sikur kërkojnë nga ministri që ky të bëjë më shumë sesa “[të] përpiqet t</w:t>
      </w:r>
      <w:r w:rsidR="00943091">
        <w:rPr>
          <w:lang w:val="sq-AL"/>
        </w:rPr>
        <w:t>’</w:t>
      </w:r>
      <w:r w:rsidRPr="00DC5ED7">
        <w:rPr>
          <w:lang w:val="sq-AL"/>
        </w:rPr>
        <w:t>i subvencionoj</w:t>
      </w:r>
      <w:r w:rsidRPr="00DC5ED7" w:rsidR="005D539A">
        <w:rPr>
          <w:lang w:val="sq-AL"/>
        </w:rPr>
        <w:t>ë</w:t>
      </w:r>
      <w:r w:rsidRPr="00DC5ED7">
        <w:rPr>
          <w:lang w:val="sq-AL"/>
        </w:rPr>
        <w:t xml:space="preserve"> e t</w:t>
      </w:r>
      <w:r w:rsidR="00943091">
        <w:rPr>
          <w:lang w:val="sq-AL"/>
        </w:rPr>
        <w:t>’</w:t>
      </w:r>
      <w:r w:rsidRPr="00DC5ED7">
        <w:rPr>
          <w:lang w:val="sq-AL"/>
        </w:rPr>
        <w:t>i përkrahë brenda kufijve të arsyeshëm nismat n</w:t>
      </w:r>
      <w:r w:rsidRPr="00DC5ED7" w:rsidR="005D539A">
        <w:rPr>
          <w:lang w:val="sq-AL"/>
        </w:rPr>
        <w:t>ë</w:t>
      </w:r>
      <w:r w:rsidRPr="00DC5ED7">
        <w:rPr>
          <w:lang w:val="sq-AL"/>
        </w:rPr>
        <w:t xml:space="preserve"> fush</w:t>
      </w:r>
      <w:r w:rsidRPr="00DC5ED7" w:rsidR="005D539A">
        <w:rPr>
          <w:lang w:val="sq-AL"/>
        </w:rPr>
        <w:t>ë</w:t>
      </w:r>
      <w:r w:rsidRPr="00DC5ED7">
        <w:rPr>
          <w:lang w:val="sq-AL"/>
        </w:rPr>
        <w:t>n e arsimit, qofshin ato t</w:t>
      </w:r>
      <w:r w:rsidRPr="00DC5ED7" w:rsidR="005D539A">
        <w:rPr>
          <w:lang w:val="sq-AL"/>
        </w:rPr>
        <w:t>ë</w:t>
      </w:r>
      <w:r w:rsidRPr="00DC5ED7">
        <w:rPr>
          <w:lang w:val="sq-AL"/>
        </w:rPr>
        <w:t xml:space="preserve"> marra nga persona privat</w:t>
      </w:r>
      <w:r w:rsidRPr="00DC5ED7" w:rsidR="005D539A">
        <w:rPr>
          <w:lang w:val="sq-AL"/>
        </w:rPr>
        <w:t>ë</w:t>
      </w:r>
      <w:r w:rsidRPr="00DC5ED7">
        <w:rPr>
          <w:lang w:val="sq-AL"/>
        </w:rPr>
        <w:t xml:space="preserve"> apo persona juridik</w:t>
      </w:r>
      <w:r w:rsidRPr="00DC5ED7" w:rsidR="005D539A">
        <w:rPr>
          <w:lang w:val="sq-AL"/>
        </w:rPr>
        <w:t>ë</w:t>
      </w:r>
      <w:r w:rsidRPr="00DC5ED7">
        <w:rPr>
          <w:lang w:val="sq-AL"/>
        </w:rPr>
        <w:t>”, për “[të] sigur[uar] nj</w:t>
      </w:r>
      <w:r w:rsidRPr="00DC5ED7" w:rsidR="005D539A">
        <w:rPr>
          <w:lang w:val="sq-AL"/>
        </w:rPr>
        <w:t>ë</w:t>
      </w:r>
      <w:r w:rsidRPr="00DC5ED7">
        <w:rPr>
          <w:lang w:val="sq-AL"/>
        </w:rPr>
        <w:t xml:space="preserve"> arsim fillor falas” </w:t>
      </w:r>
      <w:r w:rsidRPr="00DC5ED7" w:rsidR="00EB737A">
        <w:rPr>
          <w:lang w:val="sq-AL" w:eastAsia="en-US"/>
        </w:rPr>
        <w:t xml:space="preserve">(...) </w:t>
      </w:r>
      <w:r w:rsidRPr="00DC5ED7" w:rsidR="005D539A">
        <w:rPr>
          <w:lang w:val="sq-AL" w:eastAsia="en-US"/>
        </w:rPr>
        <w:t xml:space="preserve">Për mendimin sim, Kushtetuta parashikon në mënyrë të posaçme, jo një delegim, por një kalim të së drejtës për drejtimin konkret të shkollave në favor të interesave që përfaqësohen nga </w:t>
      </w:r>
      <w:r w:rsidRPr="00DC5ED7" w:rsidR="005D539A">
        <w:rPr>
          <w:i/>
          <w:lang w:val="sq-AL" w:eastAsia="en-US"/>
        </w:rPr>
        <w:t>Padroni</w:t>
      </w:r>
      <w:r w:rsidRPr="00DC5ED7" w:rsidR="005D539A">
        <w:rPr>
          <w:lang w:val="sq-AL" w:eastAsia="en-US"/>
        </w:rPr>
        <w:t xml:space="preserve"> dhe drejtori.”</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41</w:t>
      </w:r>
      <w:r w:rsidRPr="00DC5ED7">
        <w:rPr>
          <w:lang w:val="sq-AL"/>
        </w:rPr>
        <w:fldChar w:fldCharType="end"/>
      </w:r>
      <w:r w:rsidRPr="00DC5ED7">
        <w:rPr>
          <w:lang w:val="sq-AL"/>
        </w:rPr>
        <w:t>.  </w:t>
      </w:r>
      <w:r w:rsidRPr="00DC5ED7" w:rsidR="005D539A">
        <w:rPr>
          <w:lang w:val="sq-AL"/>
        </w:rPr>
        <w:t>Gjyqtari</w:t>
      </w:r>
      <w:r w:rsidRPr="00DC5ED7">
        <w:rPr>
          <w:lang w:val="sq-AL"/>
        </w:rPr>
        <w:t xml:space="preserve"> Hardiman </w:t>
      </w:r>
      <w:r w:rsidRPr="00DC5ED7" w:rsidR="005D539A">
        <w:rPr>
          <w:lang w:val="sq-AL"/>
        </w:rPr>
        <w:t>përfundoi duke theksuar se në atë vendim asgjë nuk mund të interpretohej si një vënie në pikëpyetje e përgjegjësisë së Kishës dhe se kjo gjë ishte gjithsesi e pamundur, përderisa autoritetet katolike nuk ishin dëgjuar nga Gjykata e Lartë, ngaqë nuk ishin paditur nga paditësja</w:t>
      </w:r>
      <w:r w:rsidRPr="00DC5ED7">
        <w:rPr>
          <w:lang w:val="sq-AL"/>
        </w:rPr>
        <w:t>.</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42</w:t>
      </w:r>
      <w:r w:rsidRPr="00DC5ED7">
        <w:rPr>
          <w:lang w:val="sq-AL"/>
        </w:rPr>
        <w:fldChar w:fldCharType="end"/>
      </w:r>
      <w:r w:rsidRPr="00DC5ED7">
        <w:rPr>
          <w:lang w:val="sq-AL"/>
        </w:rPr>
        <w:t>.  </w:t>
      </w:r>
      <w:r w:rsidRPr="00DC5ED7" w:rsidR="005D539A">
        <w:rPr>
          <w:lang w:val="sq-AL"/>
        </w:rPr>
        <w:t xml:space="preserve">Gjyqtari </w:t>
      </w:r>
      <w:r w:rsidRPr="00DC5ED7">
        <w:rPr>
          <w:lang w:val="sq-AL"/>
        </w:rPr>
        <w:t xml:space="preserve">Fenelly, </w:t>
      </w:r>
      <w:r w:rsidRPr="00DC5ED7" w:rsidR="005D539A">
        <w:rPr>
          <w:lang w:val="sq-AL"/>
        </w:rPr>
        <w:t>i cili b</w:t>
      </w:r>
      <w:r w:rsidRPr="00DC5ED7" w:rsidR="009308EB">
        <w:rPr>
          <w:lang w:val="sq-AL"/>
        </w:rPr>
        <w:t>ë</w:t>
      </w:r>
      <w:r w:rsidRPr="00DC5ED7" w:rsidR="005D539A">
        <w:rPr>
          <w:lang w:val="sq-AL"/>
        </w:rPr>
        <w:t>nte pjes</w:t>
      </w:r>
      <w:r w:rsidRPr="00DC5ED7" w:rsidR="009308EB">
        <w:rPr>
          <w:lang w:val="sq-AL"/>
        </w:rPr>
        <w:t>ë</w:t>
      </w:r>
      <w:r w:rsidRPr="00DC5ED7" w:rsidR="005D539A">
        <w:rPr>
          <w:lang w:val="sq-AL"/>
        </w:rPr>
        <w:t xml:space="preserve"> te shumica, vuri fillimisht n</w:t>
      </w:r>
      <w:r w:rsidRPr="00DC5ED7" w:rsidR="009308EB">
        <w:rPr>
          <w:lang w:val="sq-AL"/>
        </w:rPr>
        <w:t>ë</w:t>
      </w:r>
      <w:r w:rsidRPr="00DC5ED7" w:rsidR="005D539A">
        <w:rPr>
          <w:lang w:val="sq-AL"/>
        </w:rPr>
        <w:t xml:space="preserve"> dukje se </w:t>
      </w:r>
      <w:r w:rsidRPr="00DC5ED7" w:rsidR="00290818">
        <w:rPr>
          <w:lang w:val="sq-AL"/>
        </w:rPr>
        <w:t>gj</w:t>
      </w:r>
      <w:r w:rsidRPr="00DC5ED7" w:rsidR="009308EB">
        <w:rPr>
          <w:lang w:val="sq-AL"/>
        </w:rPr>
        <w:t>ë</w:t>
      </w:r>
      <w:r w:rsidRPr="00DC5ED7" w:rsidR="00290818">
        <w:rPr>
          <w:lang w:val="sq-AL"/>
        </w:rPr>
        <w:t>ma e shfryt</w:t>
      </w:r>
      <w:r w:rsidRPr="00DC5ED7" w:rsidR="009308EB">
        <w:rPr>
          <w:lang w:val="sq-AL"/>
        </w:rPr>
        <w:t>ë</w:t>
      </w:r>
      <w:r w:rsidRPr="00DC5ED7" w:rsidR="00290818">
        <w:rPr>
          <w:lang w:val="sq-AL"/>
        </w:rPr>
        <w:t>zimit prej m</w:t>
      </w:r>
      <w:r w:rsidRPr="00DC5ED7" w:rsidR="009308EB">
        <w:rPr>
          <w:lang w:val="sq-AL"/>
        </w:rPr>
        <w:t>ë</w:t>
      </w:r>
      <w:r w:rsidRPr="00DC5ED7" w:rsidR="00290818">
        <w:rPr>
          <w:lang w:val="sq-AL"/>
        </w:rPr>
        <w:t>suesve t</w:t>
      </w:r>
      <w:r w:rsidRPr="00DC5ED7" w:rsidR="009308EB">
        <w:rPr>
          <w:lang w:val="sq-AL"/>
        </w:rPr>
        <w:t>ë</w:t>
      </w:r>
      <w:r w:rsidRPr="00DC5ED7" w:rsidR="00290818">
        <w:rPr>
          <w:lang w:val="sq-AL"/>
        </w:rPr>
        <w:t xml:space="preserve"> autoritetit t</w:t>
      </w:r>
      <w:r w:rsidRPr="00DC5ED7" w:rsidR="009308EB">
        <w:rPr>
          <w:lang w:val="sq-AL"/>
        </w:rPr>
        <w:t>ë</w:t>
      </w:r>
      <w:r w:rsidRPr="00DC5ED7" w:rsidR="00290818">
        <w:rPr>
          <w:lang w:val="sq-AL"/>
        </w:rPr>
        <w:t xml:space="preserve"> tyre mbi f</w:t>
      </w:r>
      <w:r w:rsidRPr="00DC5ED7" w:rsidR="009308EB">
        <w:rPr>
          <w:lang w:val="sq-AL"/>
        </w:rPr>
        <w:t>ë</w:t>
      </w:r>
      <w:r w:rsidRPr="00DC5ED7" w:rsidR="00290818">
        <w:rPr>
          <w:lang w:val="sq-AL"/>
        </w:rPr>
        <w:t>mij</w:t>
      </w:r>
      <w:r w:rsidRPr="00DC5ED7" w:rsidR="009308EB">
        <w:rPr>
          <w:lang w:val="sq-AL"/>
        </w:rPr>
        <w:t>ë</w:t>
      </w:r>
      <w:r w:rsidRPr="00DC5ED7" w:rsidR="00290818">
        <w:rPr>
          <w:lang w:val="sq-AL"/>
        </w:rPr>
        <w:t xml:space="preserve">t </w:t>
      </w:r>
      <w:r w:rsidRPr="00DC5ED7" w:rsidR="00656555">
        <w:rPr>
          <w:lang w:val="sq-AL"/>
        </w:rPr>
        <w:t>për t</w:t>
      </w:r>
      <w:r w:rsidRPr="00DC5ED7" w:rsidR="009308EB">
        <w:rPr>
          <w:lang w:val="sq-AL"/>
        </w:rPr>
        <w:t>ë</w:t>
      </w:r>
      <w:r w:rsidRPr="00DC5ED7" w:rsidR="00656555">
        <w:rPr>
          <w:lang w:val="sq-AL"/>
        </w:rPr>
        <w:t xml:space="preserve"> abuzuar me ta seksualisht e kishte tronditur shoq</w:t>
      </w:r>
      <w:r w:rsidRPr="00DC5ED7" w:rsidR="009308EB">
        <w:rPr>
          <w:lang w:val="sq-AL"/>
        </w:rPr>
        <w:t>ë</w:t>
      </w:r>
      <w:r w:rsidRPr="00DC5ED7" w:rsidR="00656555">
        <w:rPr>
          <w:lang w:val="sq-AL"/>
        </w:rPr>
        <w:t>rin</w:t>
      </w:r>
      <w:r w:rsidRPr="00DC5ED7" w:rsidR="009308EB">
        <w:rPr>
          <w:lang w:val="sq-AL"/>
        </w:rPr>
        <w:t>ë</w:t>
      </w:r>
      <w:r w:rsidRPr="00DC5ED7" w:rsidR="00656555">
        <w:rPr>
          <w:lang w:val="sq-AL"/>
        </w:rPr>
        <w:t xml:space="preserve"> deri n</w:t>
      </w:r>
      <w:r w:rsidRPr="00DC5ED7" w:rsidR="009308EB">
        <w:rPr>
          <w:lang w:val="sq-AL"/>
        </w:rPr>
        <w:t>ë</w:t>
      </w:r>
      <w:r w:rsidRPr="00DC5ED7" w:rsidR="00656555">
        <w:rPr>
          <w:lang w:val="sq-AL"/>
        </w:rPr>
        <w:t xml:space="preserve"> themelet e saj. Ai v</w:t>
      </w:r>
      <w:r w:rsidRPr="00DC5ED7" w:rsidR="009308EB">
        <w:rPr>
          <w:lang w:val="sq-AL"/>
        </w:rPr>
        <w:t>ë</w:t>
      </w:r>
      <w:r w:rsidRPr="00DC5ED7" w:rsidR="00656555">
        <w:rPr>
          <w:lang w:val="sq-AL"/>
        </w:rPr>
        <w:t>rejti se kishte shum</w:t>
      </w:r>
      <w:r w:rsidRPr="00DC5ED7" w:rsidR="009308EB">
        <w:rPr>
          <w:lang w:val="sq-AL"/>
        </w:rPr>
        <w:t>ë</w:t>
      </w:r>
      <w:r w:rsidRPr="00DC5ED7" w:rsidR="00656555">
        <w:rPr>
          <w:lang w:val="sq-AL"/>
        </w:rPr>
        <w:t xml:space="preserve"> vite q</w:t>
      </w:r>
      <w:r w:rsidRPr="00DC5ED7" w:rsidR="009308EB">
        <w:rPr>
          <w:lang w:val="sq-AL"/>
        </w:rPr>
        <w:t>ë</w:t>
      </w:r>
      <w:r w:rsidRPr="00DC5ED7" w:rsidR="00656555">
        <w:rPr>
          <w:lang w:val="sq-AL"/>
        </w:rPr>
        <w:t xml:space="preserve"> juridiksionet penale dhe Gjykata e Lart</w:t>
      </w:r>
      <w:r w:rsidRPr="00DC5ED7" w:rsidR="009308EB">
        <w:rPr>
          <w:lang w:val="sq-AL"/>
        </w:rPr>
        <w:t>ë</w:t>
      </w:r>
      <w:r w:rsidRPr="00DC5ED7" w:rsidR="00656555">
        <w:rPr>
          <w:lang w:val="sq-AL"/>
        </w:rPr>
        <w:t xml:space="preserve"> po shqyrtonin raste dhune seksuale dhe se ishte p</w:t>
      </w:r>
      <w:r w:rsidRPr="00DC5ED7" w:rsidR="009308EB">
        <w:rPr>
          <w:lang w:val="sq-AL"/>
        </w:rPr>
        <w:t>ë</w:t>
      </w:r>
      <w:r w:rsidRPr="00DC5ED7" w:rsidR="00656555">
        <w:rPr>
          <w:lang w:val="sq-AL"/>
        </w:rPr>
        <w:t>r t</w:t>
      </w:r>
      <w:r w:rsidR="00943091">
        <w:rPr>
          <w:lang w:val="sq-AL"/>
        </w:rPr>
        <w:t>’</w:t>
      </w:r>
      <w:r w:rsidRPr="00DC5ED7" w:rsidR="00656555">
        <w:rPr>
          <w:lang w:val="sq-AL"/>
        </w:rPr>
        <w:t>u habitur që juridiksionit të lart</w:t>
      </w:r>
      <w:r w:rsidRPr="00DC5ED7" w:rsidR="009308EB">
        <w:rPr>
          <w:lang w:val="sq-AL"/>
        </w:rPr>
        <w:t>ë</w:t>
      </w:r>
      <w:r w:rsidRPr="00DC5ED7" w:rsidR="00656555">
        <w:rPr>
          <w:lang w:val="sq-AL"/>
        </w:rPr>
        <w:t xml:space="preserve"> t</w:t>
      </w:r>
      <w:r w:rsidR="00943091">
        <w:rPr>
          <w:lang w:val="sq-AL"/>
        </w:rPr>
        <w:t>’</w:t>
      </w:r>
      <w:r w:rsidRPr="00DC5ED7" w:rsidR="00656555">
        <w:rPr>
          <w:lang w:val="sq-AL"/>
        </w:rPr>
        <w:t>i drejtoheshin për her</w:t>
      </w:r>
      <w:r w:rsidRPr="00DC5ED7" w:rsidR="009308EB">
        <w:rPr>
          <w:lang w:val="sq-AL"/>
        </w:rPr>
        <w:t>ë</w:t>
      </w:r>
      <w:r w:rsidRPr="00DC5ED7" w:rsidR="00656555">
        <w:rPr>
          <w:lang w:val="sq-AL"/>
        </w:rPr>
        <w:t xml:space="preserve"> t</w:t>
      </w:r>
      <w:r w:rsidRPr="00DC5ED7" w:rsidR="009308EB">
        <w:rPr>
          <w:lang w:val="sq-AL"/>
        </w:rPr>
        <w:t>ë</w:t>
      </w:r>
      <w:r w:rsidRPr="00DC5ED7" w:rsidR="00656555">
        <w:rPr>
          <w:lang w:val="sq-AL"/>
        </w:rPr>
        <w:t xml:space="preserve"> parë për pika lidhur me përgjegj</w:t>
      </w:r>
      <w:r w:rsidRPr="00DC5ED7" w:rsidR="009308EB">
        <w:rPr>
          <w:lang w:val="sq-AL"/>
        </w:rPr>
        <w:t>ë</w:t>
      </w:r>
      <w:r w:rsidRPr="00DC5ED7" w:rsidR="00656555">
        <w:rPr>
          <w:lang w:val="sq-AL"/>
        </w:rPr>
        <w:t>sin</w:t>
      </w:r>
      <w:r w:rsidRPr="00DC5ED7" w:rsidR="009308EB">
        <w:rPr>
          <w:lang w:val="sq-AL"/>
        </w:rPr>
        <w:t>ë</w:t>
      </w:r>
      <w:r w:rsidRPr="00DC5ED7" w:rsidR="00656555">
        <w:rPr>
          <w:lang w:val="sq-AL"/>
        </w:rPr>
        <w:t xml:space="preserve"> e institucioneve, duke p</w:t>
      </w:r>
      <w:r w:rsidRPr="00DC5ED7" w:rsidR="009308EB">
        <w:rPr>
          <w:lang w:val="sq-AL"/>
        </w:rPr>
        <w:t>ë</w:t>
      </w:r>
      <w:r w:rsidRPr="00DC5ED7" w:rsidR="00656555">
        <w:rPr>
          <w:lang w:val="sq-AL"/>
        </w:rPr>
        <w:t>rfshir</w:t>
      </w:r>
      <w:r w:rsidRPr="00DC5ED7" w:rsidR="009308EB">
        <w:rPr>
          <w:lang w:val="sq-AL"/>
        </w:rPr>
        <w:t>ë</w:t>
      </w:r>
      <w:r w:rsidRPr="00DC5ED7" w:rsidR="00656555">
        <w:rPr>
          <w:lang w:val="sq-AL"/>
        </w:rPr>
        <w:t xml:space="preserve"> edhe at</w:t>
      </w:r>
      <w:r w:rsidRPr="00DC5ED7" w:rsidR="009308EB">
        <w:rPr>
          <w:lang w:val="sq-AL"/>
        </w:rPr>
        <w:t>ë</w:t>
      </w:r>
      <w:r w:rsidRPr="00DC5ED7" w:rsidR="00656555">
        <w:rPr>
          <w:lang w:val="sq-AL"/>
        </w:rPr>
        <w:t xml:space="preserve"> t</w:t>
      </w:r>
      <w:r w:rsidRPr="00DC5ED7" w:rsidR="009308EB">
        <w:rPr>
          <w:lang w:val="sq-AL"/>
        </w:rPr>
        <w:t>ë</w:t>
      </w:r>
      <w:r w:rsidRPr="00DC5ED7" w:rsidR="00656555">
        <w:rPr>
          <w:lang w:val="sq-AL"/>
        </w:rPr>
        <w:t xml:space="preserve"> shtetit, p</w:t>
      </w:r>
      <w:r w:rsidRPr="00DC5ED7" w:rsidR="009308EB">
        <w:rPr>
          <w:lang w:val="sq-AL"/>
        </w:rPr>
        <w:t>ë</w:t>
      </w:r>
      <w:r w:rsidRPr="00DC5ED7" w:rsidR="00656555">
        <w:rPr>
          <w:lang w:val="sq-AL"/>
        </w:rPr>
        <w:t>r abuzime seksuale t</w:t>
      </w:r>
      <w:r w:rsidRPr="00DC5ED7" w:rsidR="009308EB">
        <w:rPr>
          <w:lang w:val="sq-AL"/>
        </w:rPr>
        <w:t>ë</w:t>
      </w:r>
      <w:r w:rsidRPr="00DC5ED7" w:rsidR="00656555">
        <w:rPr>
          <w:lang w:val="sq-AL"/>
        </w:rPr>
        <w:t xml:space="preserve"> kryera nga nj</w:t>
      </w:r>
      <w:r w:rsidRPr="00DC5ED7" w:rsidR="009308EB">
        <w:rPr>
          <w:lang w:val="sq-AL"/>
        </w:rPr>
        <w:t>ë</w:t>
      </w:r>
      <w:r w:rsidRPr="00DC5ED7" w:rsidR="00656555">
        <w:rPr>
          <w:lang w:val="sq-AL"/>
        </w:rPr>
        <w:t xml:space="preserve"> mësues mbi nx</w:t>
      </w:r>
      <w:r w:rsidRPr="00DC5ED7" w:rsidR="009308EB">
        <w:rPr>
          <w:lang w:val="sq-AL"/>
        </w:rPr>
        <w:t>ë</w:t>
      </w:r>
      <w:r w:rsidRPr="00DC5ED7" w:rsidR="00656555">
        <w:rPr>
          <w:lang w:val="sq-AL"/>
        </w:rPr>
        <w:t>n</w:t>
      </w:r>
      <w:r w:rsidRPr="00DC5ED7" w:rsidR="009308EB">
        <w:rPr>
          <w:lang w:val="sq-AL"/>
        </w:rPr>
        <w:t>ë</w:t>
      </w:r>
      <w:r w:rsidRPr="00DC5ED7" w:rsidR="00656555">
        <w:rPr>
          <w:lang w:val="sq-AL"/>
        </w:rPr>
        <w:t>s t</w:t>
      </w:r>
      <w:r w:rsidRPr="00DC5ED7" w:rsidR="009308EB">
        <w:rPr>
          <w:lang w:val="sq-AL"/>
        </w:rPr>
        <w:t>ë</w:t>
      </w:r>
      <w:r w:rsidRPr="00DC5ED7" w:rsidR="00656555">
        <w:rPr>
          <w:lang w:val="sq-AL"/>
        </w:rPr>
        <w:t xml:space="preserve"> nj</w:t>
      </w:r>
      <w:r w:rsidRPr="00DC5ED7" w:rsidR="009308EB">
        <w:rPr>
          <w:lang w:val="sq-AL"/>
        </w:rPr>
        <w:t>ë</w:t>
      </w:r>
      <w:r w:rsidRPr="00DC5ED7" w:rsidR="00656555">
        <w:rPr>
          <w:lang w:val="sq-AL"/>
        </w:rPr>
        <w:t xml:space="preserve"> shkolle komb</w:t>
      </w:r>
      <w:r w:rsidRPr="00DC5ED7" w:rsidR="009308EB">
        <w:rPr>
          <w:lang w:val="sq-AL"/>
        </w:rPr>
        <w:t>ë</w:t>
      </w:r>
      <w:r w:rsidRPr="00DC5ED7" w:rsidR="00656555">
        <w:rPr>
          <w:lang w:val="sq-AL"/>
        </w:rPr>
        <w:t>tare.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43</w:t>
      </w:r>
      <w:r w:rsidRPr="00DC5ED7">
        <w:rPr>
          <w:lang w:val="sq-AL"/>
        </w:rPr>
        <w:fldChar w:fldCharType="end"/>
      </w:r>
      <w:r w:rsidRPr="00DC5ED7">
        <w:rPr>
          <w:lang w:val="sq-AL"/>
        </w:rPr>
        <w:t>.  </w:t>
      </w:r>
      <w:r w:rsidRPr="00DC5ED7" w:rsidR="005D539A">
        <w:rPr>
          <w:lang w:val="sq-AL"/>
        </w:rPr>
        <w:t xml:space="preserve">Gjyqtari </w:t>
      </w:r>
      <w:r w:rsidRPr="00DC5ED7">
        <w:rPr>
          <w:lang w:val="sq-AL"/>
        </w:rPr>
        <w:t xml:space="preserve">Fennelly </w:t>
      </w:r>
      <w:r w:rsidRPr="00DC5ED7" w:rsidR="00656555">
        <w:rPr>
          <w:lang w:val="sq-AL"/>
        </w:rPr>
        <w:t>paraqiti gjithashtu me holl</w:t>
      </w:r>
      <w:r w:rsidRPr="00DC5ED7" w:rsidR="009308EB">
        <w:rPr>
          <w:lang w:val="sq-AL"/>
        </w:rPr>
        <w:t>ë</w:t>
      </w:r>
      <w:r w:rsidRPr="00DC5ED7" w:rsidR="00656555">
        <w:rPr>
          <w:lang w:val="sq-AL"/>
        </w:rPr>
        <w:t>si historikun e shkollave komb</w:t>
      </w:r>
      <w:r w:rsidRPr="00DC5ED7" w:rsidR="009308EB">
        <w:rPr>
          <w:lang w:val="sq-AL"/>
        </w:rPr>
        <w:t>ë</w:t>
      </w:r>
      <w:r w:rsidRPr="00DC5ED7" w:rsidR="00656555">
        <w:rPr>
          <w:lang w:val="sq-AL"/>
        </w:rPr>
        <w:t>tare dhe p</w:t>
      </w:r>
      <w:r w:rsidRPr="00DC5ED7" w:rsidR="009308EB">
        <w:rPr>
          <w:lang w:val="sq-AL"/>
        </w:rPr>
        <w:t>ë</w:t>
      </w:r>
      <w:r w:rsidRPr="00DC5ED7" w:rsidR="00656555">
        <w:rPr>
          <w:lang w:val="sq-AL"/>
        </w:rPr>
        <w:t>rshkroi situat</w:t>
      </w:r>
      <w:r w:rsidRPr="00DC5ED7" w:rsidR="009308EB">
        <w:rPr>
          <w:lang w:val="sq-AL"/>
        </w:rPr>
        <w:t>ë</w:t>
      </w:r>
      <w:r w:rsidRPr="00DC5ED7" w:rsidR="00656555">
        <w:rPr>
          <w:lang w:val="sq-AL"/>
        </w:rPr>
        <w:t>n juridike q</w:t>
      </w:r>
      <w:r w:rsidRPr="00DC5ED7" w:rsidR="009308EB">
        <w:rPr>
          <w:lang w:val="sq-AL"/>
        </w:rPr>
        <w:t>ë</w:t>
      </w:r>
      <w:r w:rsidRPr="00DC5ED7" w:rsidR="00656555">
        <w:rPr>
          <w:lang w:val="sq-AL"/>
        </w:rPr>
        <w:t xml:space="preserve"> vinte si rezultat i tyre, duke sakt</w:t>
      </w:r>
      <w:r w:rsidRPr="00DC5ED7" w:rsidR="009308EB">
        <w:rPr>
          <w:lang w:val="sq-AL"/>
        </w:rPr>
        <w:t>ë</w:t>
      </w:r>
      <w:r w:rsidRPr="00DC5ED7" w:rsidR="00656555">
        <w:rPr>
          <w:lang w:val="sq-AL"/>
        </w:rPr>
        <w:t xml:space="preserve">suar se ky sistem </w:t>
      </w:r>
      <w:r w:rsidRPr="00DC5ED7" w:rsidR="009308EB">
        <w:rPr>
          <w:lang w:val="sq-AL"/>
        </w:rPr>
        <w:t>kishte mbijetuar edhe pas shpalljes së pavarësisë më 1922 e miratimit të Kushtetutës më 1937. Ai i pranoi konkluzionet e ekspertit sipas të cilave nuk bëhej fjalë për një sistem shkollor shtetëror, por më shumë për një “sistem t</w:t>
      </w:r>
      <w:r w:rsidRPr="00DC5ED7" w:rsidR="00AD7D50">
        <w:rPr>
          <w:lang w:val="sq-AL"/>
        </w:rPr>
        <w:t>ë</w:t>
      </w:r>
      <w:r w:rsidRPr="00DC5ED7" w:rsidR="009308EB">
        <w:rPr>
          <w:lang w:val="sq-AL"/>
        </w:rPr>
        <w:t xml:space="preserve"> mbështetur nga shteti”. Ai vuri n</w:t>
      </w:r>
      <w:r w:rsidRPr="00DC5ED7" w:rsidR="00AD7D50">
        <w:rPr>
          <w:lang w:val="sq-AL"/>
        </w:rPr>
        <w:t>ë</w:t>
      </w:r>
      <w:r w:rsidRPr="00DC5ED7" w:rsidR="009308EB">
        <w:rPr>
          <w:lang w:val="sq-AL"/>
        </w:rPr>
        <w:t xml:space="preserve"> dukje se ndarja e pushteteve ishte shum</w:t>
      </w:r>
      <w:r w:rsidRPr="00DC5ED7" w:rsidR="00AD7D50">
        <w:rPr>
          <w:lang w:val="sq-AL"/>
        </w:rPr>
        <w:t>ë</w:t>
      </w:r>
      <w:r w:rsidRPr="00DC5ED7" w:rsidR="009308EB">
        <w:rPr>
          <w:lang w:val="sq-AL"/>
        </w:rPr>
        <w:t xml:space="preserve"> e qartë midis shtetit (i cili siguronte financimin dhe hartonte programet shkollore) dhe drejtorit (i cili ishte i ngarkuar me drejtimin e përditsh</w:t>
      </w:r>
      <w:r w:rsidRPr="00DC5ED7" w:rsidR="00AD7D50">
        <w:rPr>
          <w:lang w:val="sq-AL"/>
        </w:rPr>
        <w:t>ë</w:t>
      </w:r>
      <w:r w:rsidRPr="00DC5ED7" w:rsidR="009308EB">
        <w:rPr>
          <w:lang w:val="sq-AL"/>
        </w:rPr>
        <w:t>m t</w:t>
      </w:r>
      <w:r w:rsidRPr="00DC5ED7" w:rsidR="00AD7D50">
        <w:rPr>
          <w:lang w:val="sq-AL"/>
        </w:rPr>
        <w:t>ë</w:t>
      </w:r>
      <w:r w:rsidRPr="00DC5ED7" w:rsidR="009308EB">
        <w:rPr>
          <w:lang w:val="sq-AL"/>
        </w:rPr>
        <w:t xml:space="preserve"> institucionit e sidomos me emërimin dhe me shkarkimin e m</w:t>
      </w:r>
      <w:r w:rsidRPr="00DC5ED7" w:rsidR="00AD7D50">
        <w:rPr>
          <w:lang w:val="sq-AL"/>
        </w:rPr>
        <w:t>ë</w:t>
      </w:r>
      <w:r w:rsidRPr="00DC5ED7" w:rsidR="009308EB">
        <w:rPr>
          <w:lang w:val="sq-AL"/>
        </w:rPr>
        <w:t>suesve), duke shtuar se vullneti i feve t</w:t>
      </w:r>
      <w:r w:rsidRPr="00DC5ED7" w:rsidR="00AD7D50">
        <w:rPr>
          <w:lang w:val="sq-AL"/>
        </w:rPr>
        <w:t>ë</w:t>
      </w:r>
      <w:r w:rsidRPr="00DC5ED7" w:rsidR="009308EB">
        <w:rPr>
          <w:lang w:val="sq-AL"/>
        </w:rPr>
        <w:t xml:space="preserve"> ndryshme p</w:t>
      </w:r>
      <w:r w:rsidRPr="00DC5ED7" w:rsidR="00AD7D50">
        <w:rPr>
          <w:lang w:val="sq-AL"/>
        </w:rPr>
        <w:t>ë</w:t>
      </w:r>
      <w:r w:rsidRPr="00DC5ED7" w:rsidR="009308EB">
        <w:rPr>
          <w:lang w:val="sq-AL"/>
        </w:rPr>
        <w:t>r t</w:t>
      </w:r>
      <w:r w:rsidRPr="00DC5ED7" w:rsidR="00AD7D50">
        <w:rPr>
          <w:lang w:val="sq-AL"/>
        </w:rPr>
        <w:t>ë</w:t>
      </w:r>
      <w:r w:rsidRPr="00DC5ED7" w:rsidR="009308EB">
        <w:rPr>
          <w:lang w:val="sq-AL"/>
        </w:rPr>
        <w:t xml:space="preserve"> ruajtur e mbrojtur arsimin e tyre fetar kishte b</w:t>
      </w:r>
      <w:r w:rsidRPr="00DC5ED7" w:rsidR="00AD7D50">
        <w:rPr>
          <w:lang w:val="sq-AL"/>
        </w:rPr>
        <w:t>ë</w:t>
      </w:r>
      <w:r w:rsidRPr="00DC5ED7" w:rsidR="009308EB">
        <w:rPr>
          <w:lang w:val="sq-AL"/>
        </w:rPr>
        <w:t>rë q</w:t>
      </w:r>
      <w:r w:rsidRPr="00DC5ED7" w:rsidR="00AD7D50">
        <w:rPr>
          <w:lang w:val="sq-AL"/>
        </w:rPr>
        <w:t>ë</w:t>
      </w:r>
      <w:r w:rsidRPr="00DC5ED7" w:rsidR="009308EB">
        <w:rPr>
          <w:lang w:val="sq-AL"/>
        </w:rPr>
        <w:t xml:space="preserve"> shkollat komb</w:t>
      </w:r>
      <w:r w:rsidRPr="00DC5ED7" w:rsidR="00AD7D50">
        <w:rPr>
          <w:lang w:val="sq-AL"/>
        </w:rPr>
        <w:t>ë</w:t>
      </w:r>
      <w:r w:rsidRPr="00DC5ED7" w:rsidR="009308EB">
        <w:rPr>
          <w:lang w:val="sq-AL"/>
        </w:rPr>
        <w:t>tare t</w:t>
      </w:r>
      <w:r w:rsidRPr="00DC5ED7" w:rsidR="00AD7D50">
        <w:rPr>
          <w:lang w:val="sq-AL"/>
        </w:rPr>
        <w:t>ë</w:t>
      </w:r>
      <w:r w:rsidRPr="00DC5ED7" w:rsidR="009308EB">
        <w:rPr>
          <w:lang w:val="sq-AL"/>
        </w:rPr>
        <w:t xml:space="preserve"> zhvilloheshin mbi nj</w:t>
      </w:r>
      <w:r w:rsidRPr="00DC5ED7" w:rsidR="00AD7D50">
        <w:rPr>
          <w:lang w:val="sq-AL"/>
        </w:rPr>
        <w:t>ë</w:t>
      </w:r>
      <w:r w:rsidRPr="00DC5ED7" w:rsidR="009308EB">
        <w:rPr>
          <w:lang w:val="sq-AL"/>
        </w:rPr>
        <w:t xml:space="preserve"> baz</w:t>
      </w:r>
      <w:r w:rsidRPr="00DC5ED7" w:rsidR="00AD7D50">
        <w:rPr>
          <w:lang w:val="sq-AL"/>
        </w:rPr>
        <w:t>ë</w:t>
      </w:r>
      <w:r w:rsidRPr="00DC5ED7" w:rsidR="009308EB">
        <w:rPr>
          <w:lang w:val="sq-AL"/>
        </w:rPr>
        <w:t xml:space="preserve"> fetare.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44</w:t>
      </w:r>
      <w:r w:rsidRPr="00DC5ED7">
        <w:rPr>
          <w:lang w:val="sq-AL"/>
        </w:rPr>
        <w:fldChar w:fldCharType="end"/>
      </w:r>
      <w:r w:rsidRPr="00DC5ED7">
        <w:rPr>
          <w:lang w:val="sq-AL"/>
        </w:rPr>
        <w:t>.  </w:t>
      </w:r>
      <w:r w:rsidRPr="00DC5ED7" w:rsidR="005D539A">
        <w:rPr>
          <w:lang w:val="sq-AL"/>
        </w:rPr>
        <w:t xml:space="preserve">Gjyqtari </w:t>
      </w:r>
      <w:r w:rsidRPr="00DC5ED7">
        <w:rPr>
          <w:lang w:val="sq-AL"/>
        </w:rPr>
        <w:t xml:space="preserve">Fennelly </w:t>
      </w:r>
      <w:r w:rsidRPr="00DC5ED7" w:rsidR="009308EB">
        <w:rPr>
          <w:lang w:val="sq-AL"/>
        </w:rPr>
        <w:t>çmoi se inspektorët p</w:t>
      </w:r>
      <w:r w:rsidRPr="00DC5ED7" w:rsidR="00AD7D50">
        <w:rPr>
          <w:lang w:val="sq-AL"/>
        </w:rPr>
        <w:t>ë</w:t>
      </w:r>
      <w:r w:rsidRPr="00DC5ED7" w:rsidR="009308EB">
        <w:rPr>
          <w:lang w:val="sq-AL"/>
        </w:rPr>
        <w:t>rb</w:t>
      </w:r>
      <w:r w:rsidRPr="00DC5ED7" w:rsidR="00AD7D50">
        <w:rPr>
          <w:lang w:val="sq-AL"/>
        </w:rPr>
        <w:t>ë</w:t>
      </w:r>
      <w:r w:rsidRPr="00DC5ED7" w:rsidR="009308EB">
        <w:rPr>
          <w:lang w:val="sq-AL"/>
        </w:rPr>
        <w:t>nin nj</w:t>
      </w:r>
      <w:r w:rsidRPr="00DC5ED7" w:rsidR="00AD7D50">
        <w:rPr>
          <w:lang w:val="sq-AL"/>
        </w:rPr>
        <w:t>ë</w:t>
      </w:r>
      <w:r w:rsidRPr="00DC5ED7" w:rsidR="009308EB">
        <w:rPr>
          <w:lang w:val="sq-AL"/>
        </w:rPr>
        <w:t xml:space="preserve"> element tejet t</w:t>
      </w:r>
      <w:r w:rsidRPr="00DC5ED7" w:rsidR="00AD7D50">
        <w:rPr>
          <w:lang w:val="sq-AL"/>
        </w:rPr>
        <w:t>ë</w:t>
      </w:r>
      <w:r w:rsidRPr="00DC5ED7" w:rsidR="009308EB">
        <w:rPr>
          <w:lang w:val="sq-AL"/>
        </w:rPr>
        <w:t xml:space="preserve"> r</w:t>
      </w:r>
      <w:r w:rsidRPr="00DC5ED7" w:rsidR="00AD7D50">
        <w:rPr>
          <w:lang w:val="sq-AL"/>
        </w:rPr>
        <w:t>ë</w:t>
      </w:r>
      <w:r w:rsidRPr="00DC5ED7" w:rsidR="009308EB">
        <w:rPr>
          <w:lang w:val="sq-AL"/>
        </w:rPr>
        <w:t>nd</w:t>
      </w:r>
      <w:r w:rsidRPr="00DC5ED7" w:rsidR="00AD7D50">
        <w:rPr>
          <w:lang w:val="sq-AL"/>
        </w:rPr>
        <w:t>ë</w:t>
      </w:r>
      <w:r w:rsidRPr="00DC5ED7" w:rsidR="009308EB">
        <w:rPr>
          <w:lang w:val="sq-AL"/>
        </w:rPr>
        <w:t>sishëm t</w:t>
      </w:r>
      <w:r w:rsidRPr="00DC5ED7" w:rsidR="00AD7D50">
        <w:rPr>
          <w:lang w:val="sq-AL"/>
        </w:rPr>
        <w:t>ë</w:t>
      </w:r>
      <w:r w:rsidRPr="00DC5ED7" w:rsidR="009308EB">
        <w:rPr>
          <w:lang w:val="sq-AL"/>
        </w:rPr>
        <w:t xml:space="preserve"> sistemit t</w:t>
      </w:r>
      <w:r w:rsidRPr="00DC5ED7" w:rsidR="00AD7D50">
        <w:rPr>
          <w:lang w:val="sq-AL"/>
        </w:rPr>
        <w:t>ë</w:t>
      </w:r>
      <w:r w:rsidRPr="00DC5ED7" w:rsidR="009308EB">
        <w:rPr>
          <w:lang w:val="sq-AL"/>
        </w:rPr>
        <w:t xml:space="preserve"> mbik</w:t>
      </w:r>
      <w:r w:rsidRPr="00DC5ED7" w:rsidR="00AD7D50">
        <w:rPr>
          <w:lang w:val="sq-AL"/>
        </w:rPr>
        <w:t>ë</w:t>
      </w:r>
      <w:r w:rsidRPr="00DC5ED7" w:rsidR="009308EB">
        <w:rPr>
          <w:lang w:val="sq-AL"/>
        </w:rPr>
        <w:t>qyrjes dhe t</w:t>
      </w:r>
      <w:r w:rsidRPr="00DC5ED7" w:rsidR="00AD7D50">
        <w:rPr>
          <w:lang w:val="sq-AL"/>
        </w:rPr>
        <w:t>ë</w:t>
      </w:r>
      <w:r w:rsidRPr="00DC5ED7" w:rsidR="009308EB">
        <w:rPr>
          <w:lang w:val="sq-AL"/>
        </w:rPr>
        <w:t xml:space="preserve"> ruajtjes s</w:t>
      </w:r>
      <w:r w:rsidRPr="00DC5ED7" w:rsidR="00AD7D50">
        <w:rPr>
          <w:lang w:val="sq-AL"/>
        </w:rPr>
        <w:t>ë</w:t>
      </w:r>
      <w:r w:rsidRPr="00DC5ED7" w:rsidR="009308EB">
        <w:rPr>
          <w:lang w:val="sq-AL"/>
        </w:rPr>
        <w:t xml:space="preserve"> normave nga shteti, i cili e lejonte ministrin q</w:t>
      </w:r>
      <w:r w:rsidRPr="00DC5ED7" w:rsidR="00AD7D50">
        <w:rPr>
          <w:lang w:val="sq-AL"/>
        </w:rPr>
        <w:t>ë</w:t>
      </w:r>
      <w:r w:rsidRPr="00DC5ED7" w:rsidR="009308EB">
        <w:rPr>
          <w:lang w:val="sq-AL"/>
        </w:rPr>
        <w:t xml:space="preserve"> t</w:t>
      </w:r>
      <w:r w:rsidRPr="00DC5ED7" w:rsidR="00AD7D50">
        <w:rPr>
          <w:lang w:val="sq-AL"/>
        </w:rPr>
        <w:t>ë</w:t>
      </w:r>
      <w:r w:rsidRPr="00DC5ED7" w:rsidR="009308EB">
        <w:rPr>
          <w:lang w:val="sq-AL"/>
        </w:rPr>
        <w:t xml:space="preserve"> siguronte cil</w:t>
      </w:r>
      <w:r w:rsidRPr="00DC5ED7" w:rsidR="00AD7D50">
        <w:rPr>
          <w:lang w:val="sq-AL"/>
        </w:rPr>
        <w:t>ë</w:t>
      </w:r>
      <w:r w:rsidRPr="00DC5ED7" w:rsidR="009308EB">
        <w:rPr>
          <w:lang w:val="sq-AL"/>
        </w:rPr>
        <w:t>sin</w:t>
      </w:r>
      <w:r w:rsidRPr="00DC5ED7" w:rsidR="00AD7D50">
        <w:rPr>
          <w:lang w:val="sq-AL"/>
        </w:rPr>
        <w:t>ë</w:t>
      </w:r>
      <w:r w:rsidRPr="00DC5ED7" w:rsidR="009308EB">
        <w:rPr>
          <w:lang w:val="sq-AL"/>
        </w:rPr>
        <w:t xml:space="preserve"> e sistemit. Ai vuri gjithsesi n</w:t>
      </w:r>
      <w:r w:rsidRPr="00DC5ED7" w:rsidR="00AD7D50">
        <w:rPr>
          <w:lang w:val="sq-AL"/>
        </w:rPr>
        <w:t>ë</w:t>
      </w:r>
      <w:r w:rsidRPr="00DC5ED7" w:rsidR="009308EB">
        <w:rPr>
          <w:lang w:val="sq-AL"/>
        </w:rPr>
        <w:t xml:space="preserve"> dukje se sistemi i</w:t>
      </w:r>
      <w:r w:rsidRPr="00DC5ED7" w:rsidR="00AD7D50">
        <w:rPr>
          <w:lang w:val="sq-AL"/>
        </w:rPr>
        <w:t xml:space="preserve"> </w:t>
      </w:r>
      <w:r w:rsidRPr="00DC5ED7" w:rsidR="009308EB">
        <w:rPr>
          <w:lang w:val="sq-AL"/>
        </w:rPr>
        <w:t>inspektimit nuk e ndryshonte ndarjen e p</w:t>
      </w:r>
      <w:r w:rsidRPr="00DC5ED7" w:rsidR="00AD7D50">
        <w:rPr>
          <w:lang w:val="sq-AL"/>
        </w:rPr>
        <w:t>ë</w:t>
      </w:r>
      <w:r w:rsidRPr="00DC5ED7" w:rsidR="009308EB">
        <w:rPr>
          <w:lang w:val="sq-AL"/>
        </w:rPr>
        <w:t>rgjegj</w:t>
      </w:r>
      <w:r w:rsidRPr="00DC5ED7" w:rsidR="00AD7D50">
        <w:rPr>
          <w:lang w:val="sq-AL"/>
        </w:rPr>
        <w:t>ë</w:t>
      </w:r>
      <w:r w:rsidRPr="00DC5ED7" w:rsidR="009308EB">
        <w:rPr>
          <w:lang w:val="sq-AL"/>
        </w:rPr>
        <w:t>sive ndërmjet shtetit dhe drejtorit, përderisa inspektorët nuk e kishin fuqin</w:t>
      </w:r>
      <w:r w:rsidRPr="00DC5ED7" w:rsidR="00AD7D50">
        <w:rPr>
          <w:lang w:val="sq-AL"/>
        </w:rPr>
        <w:t>ë</w:t>
      </w:r>
      <w:r w:rsidRPr="00DC5ED7" w:rsidR="009308EB">
        <w:rPr>
          <w:lang w:val="sq-AL"/>
        </w:rPr>
        <w:t xml:space="preserve"> për t</w:t>
      </w:r>
      <w:r w:rsidR="00943091">
        <w:rPr>
          <w:lang w:val="sq-AL"/>
        </w:rPr>
        <w:t>’</w:t>
      </w:r>
      <w:r w:rsidRPr="00DC5ED7" w:rsidR="009308EB">
        <w:rPr>
          <w:lang w:val="sq-AL"/>
        </w:rPr>
        <w:t>u dh</w:t>
      </w:r>
      <w:r w:rsidRPr="00DC5ED7" w:rsidR="00AD7D50">
        <w:rPr>
          <w:lang w:val="sq-AL"/>
        </w:rPr>
        <w:t>ë</w:t>
      </w:r>
      <w:r w:rsidRPr="00DC5ED7" w:rsidR="009308EB">
        <w:rPr>
          <w:lang w:val="sq-AL"/>
        </w:rPr>
        <w:t>n</w:t>
      </w:r>
      <w:r w:rsidRPr="00DC5ED7" w:rsidR="00AD7D50">
        <w:rPr>
          <w:lang w:val="sq-AL"/>
        </w:rPr>
        <w:t>ë</w:t>
      </w:r>
      <w:r w:rsidRPr="00DC5ED7" w:rsidR="009308EB">
        <w:rPr>
          <w:lang w:val="sq-AL"/>
        </w:rPr>
        <w:t xml:space="preserve"> m</w:t>
      </w:r>
      <w:r w:rsidRPr="00DC5ED7" w:rsidR="00AD7D50">
        <w:rPr>
          <w:lang w:val="sq-AL"/>
        </w:rPr>
        <w:t>ë</w:t>
      </w:r>
      <w:r w:rsidRPr="00DC5ED7" w:rsidR="009308EB">
        <w:rPr>
          <w:lang w:val="sq-AL"/>
        </w:rPr>
        <w:t xml:space="preserve">suesve </w:t>
      </w:r>
      <w:r w:rsidRPr="00DC5ED7" w:rsidR="00AD7D50">
        <w:rPr>
          <w:lang w:val="sq-AL"/>
        </w:rPr>
        <w:t xml:space="preserve">udhëzime </w:t>
      </w:r>
      <w:r w:rsidRPr="00DC5ED7" w:rsidR="009308EB">
        <w:rPr>
          <w:lang w:val="sq-AL"/>
        </w:rPr>
        <w:t>p</w:t>
      </w:r>
      <w:r w:rsidRPr="00DC5ED7" w:rsidR="00AD7D50">
        <w:rPr>
          <w:lang w:val="sq-AL"/>
        </w:rPr>
        <w:t>ë</w:t>
      </w:r>
      <w:r w:rsidRPr="00DC5ED7" w:rsidR="009308EB">
        <w:rPr>
          <w:lang w:val="sq-AL"/>
        </w:rPr>
        <w:t>r p</w:t>
      </w:r>
      <w:r w:rsidRPr="00DC5ED7" w:rsidR="00AD7D50">
        <w:rPr>
          <w:lang w:val="sq-AL"/>
        </w:rPr>
        <w:t>ë</w:t>
      </w:r>
      <w:r w:rsidRPr="00DC5ED7" w:rsidR="009308EB">
        <w:rPr>
          <w:lang w:val="sq-AL"/>
        </w:rPr>
        <w:t>rmbushjen e funksioneve t</w:t>
      </w:r>
      <w:r w:rsidRPr="00DC5ED7" w:rsidR="00AD7D50">
        <w:rPr>
          <w:lang w:val="sq-AL"/>
        </w:rPr>
        <w:t>ë</w:t>
      </w:r>
      <w:r w:rsidRPr="00DC5ED7" w:rsidR="009308EB">
        <w:rPr>
          <w:lang w:val="sq-AL"/>
        </w:rPr>
        <w:t xml:space="preserve"> tyre. </w:t>
      </w:r>
      <w:r w:rsidRPr="00DC5ED7" w:rsidR="00AD7D50">
        <w:rPr>
          <w:lang w:val="sq-AL"/>
        </w:rPr>
        <w:t>Ai saktësoi se Rregullorja e vitit 1965 e pasqyronte k</w:t>
      </w:r>
      <w:r w:rsidRPr="00DC5ED7" w:rsidR="004C2CED">
        <w:rPr>
          <w:lang w:val="sq-AL"/>
        </w:rPr>
        <w:t>ë</w:t>
      </w:r>
      <w:r w:rsidRPr="00DC5ED7" w:rsidR="00AD7D50">
        <w:rPr>
          <w:lang w:val="sq-AL"/>
        </w:rPr>
        <w:t>t</w:t>
      </w:r>
      <w:r w:rsidRPr="00DC5ED7" w:rsidR="004C2CED">
        <w:rPr>
          <w:lang w:val="sq-AL"/>
        </w:rPr>
        <w:t>ë</w:t>
      </w:r>
      <w:r w:rsidRPr="00DC5ED7" w:rsidR="00AD7D50">
        <w:rPr>
          <w:lang w:val="sq-AL"/>
        </w:rPr>
        <w:t xml:space="preserve"> ndarje t</w:t>
      </w:r>
      <w:r w:rsidRPr="00DC5ED7" w:rsidR="004C2CED">
        <w:rPr>
          <w:lang w:val="sq-AL"/>
        </w:rPr>
        <w:t>ë</w:t>
      </w:r>
      <w:r w:rsidRPr="00DC5ED7" w:rsidR="00AD7D50">
        <w:rPr>
          <w:lang w:val="sq-AL"/>
        </w:rPr>
        <w:t xml:space="preserve"> përgjegjësive midis Kishës dhe autoriteteve t</w:t>
      </w:r>
      <w:r w:rsidRPr="00DC5ED7" w:rsidR="004C2CED">
        <w:rPr>
          <w:lang w:val="sq-AL"/>
        </w:rPr>
        <w:t>ë</w:t>
      </w:r>
      <w:r w:rsidRPr="00DC5ED7" w:rsidR="00AD7D50">
        <w:rPr>
          <w:lang w:val="sq-AL"/>
        </w:rPr>
        <w:t xml:space="preserve"> shtetit. Sipas tij, ndonëse sot shteti po tregohej m</w:t>
      </w:r>
      <w:r w:rsidRPr="00DC5ED7" w:rsidR="004C2CED">
        <w:rPr>
          <w:lang w:val="sq-AL"/>
        </w:rPr>
        <w:t>ë</w:t>
      </w:r>
      <w:r w:rsidRPr="00DC5ED7" w:rsidR="00AD7D50">
        <w:rPr>
          <w:lang w:val="sq-AL"/>
        </w:rPr>
        <w:t xml:space="preserve"> nd</w:t>
      </w:r>
      <w:r w:rsidRPr="00DC5ED7" w:rsidR="004C2CED">
        <w:rPr>
          <w:lang w:val="sq-AL"/>
        </w:rPr>
        <w:t>ë</w:t>
      </w:r>
      <w:r w:rsidRPr="00DC5ED7" w:rsidR="00AD7D50">
        <w:rPr>
          <w:lang w:val="sq-AL"/>
        </w:rPr>
        <w:t>rhyr</w:t>
      </w:r>
      <w:r w:rsidRPr="00DC5ED7" w:rsidR="004C2CED">
        <w:rPr>
          <w:lang w:val="sq-AL"/>
        </w:rPr>
        <w:t>ë</w:t>
      </w:r>
      <w:r w:rsidRPr="00DC5ED7" w:rsidR="00AD7D50">
        <w:rPr>
          <w:lang w:val="sq-AL"/>
        </w:rPr>
        <w:t>s, drejtimi i përditshëm i nj</w:t>
      </w:r>
      <w:r w:rsidRPr="00DC5ED7" w:rsidR="004C2CED">
        <w:rPr>
          <w:lang w:val="sq-AL"/>
        </w:rPr>
        <w:t>ë</w:t>
      </w:r>
      <w:r w:rsidRPr="00DC5ED7" w:rsidR="00AD7D50">
        <w:rPr>
          <w:lang w:val="sq-AL"/>
        </w:rPr>
        <w:t xml:space="preserve"> institucioni vazhdonte të ishte n</w:t>
      </w:r>
      <w:r w:rsidRPr="00DC5ED7" w:rsidR="004C2CED">
        <w:rPr>
          <w:lang w:val="sq-AL"/>
        </w:rPr>
        <w:t>ë</w:t>
      </w:r>
      <w:r w:rsidRPr="00DC5ED7" w:rsidR="00AD7D50">
        <w:rPr>
          <w:lang w:val="sq-AL"/>
        </w:rPr>
        <w:t xml:space="preserve"> dorën e drejtorit. Gjyqtari nxori p</w:t>
      </w:r>
      <w:r w:rsidRPr="00DC5ED7" w:rsidR="004C2CED">
        <w:rPr>
          <w:lang w:val="sq-AL"/>
        </w:rPr>
        <w:t>ë</w:t>
      </w:r>
      <w:r w:rsidRPr="00DC5ED7" w:rsidR="00AD7D50">
        <w:rPr>
          <w:lang w:val="sq-AL"/>
        </w:rPr>
        <w:t>r rrjedhoj</w:t>
      </w:r>
      <w:r w:rsidRPr="00DC5ED7" w:rsidR="004C2CED">
        <w:rPr>
          <w:lang w:val="sq-AL"/>
        </w:rPr>
        <w:t>ë</w:t>
      </w:r>
      <w:r w:rsidRPr="00DC5ED7" w:rsidR="00AD7D50">
        <w:rPr>
          <w:lang w:val="sq-AL"/>
        </w:rPr>
        <w:t xml:space="preserve"> përfundimin se shteti nuk ishte përgjegj</w:t>
      </w:r>
      <w:r w:rsidRPr="00DC5ED7" w:rsidR="004C2CED">
        <w:rPr>
          <w:lang w:val="sq-AL"/>
        </w:rPr>
        <w:t>ë</w:t>
      </w:r>
      <w:r w:rsidRPr="00DC5ED7" w:rsidR="00AD7D50">
        <w:rPr>
          <w:lang w:val="sq-AL"/>
        </w:rPr>
        <w:t>s për veprimet e L. H. dhe, për t</w:t>
      </w:r>
      <w:r w:rsidRPr="00DC5ED7" w:rsidR="004C2CED">
        <w:rPr>
          <w:lang w:val="sq-AL"/>
        </w:rPr>
        <w:t>ë</w:t>
      </w:r>
      <w:r w:rsidRPr="00DC5ED7" w:rsidR="00AD7D50">
        <w:rPr>
          <w:lang w:val="sq-AL"/>
        </w:rPr>
        <w:t xml:space="preserve"> njëjtat arsye, as për faktin q</w:t>
      </w:r>
      <w:r w:rsidRPr="00DC5ED7" w:rsidR="004C2CED">
        <w:rPr>
          <w:lang w:val="sq-AL"/>
        </w:rPr>
        <w:t>ë</w:t>
      </w:r>
      <w:r w:rsidRPr="00DC5ED7" w:rsidR="00AD7D50">
        <w:rPr>
          <w:lang w:val="sq-AL"/>
        </w:rPr>
        <w:t xml:space="preserve"> drejtori nuk ua kishte b</w:t>
      </w:r>
      <w:r w:rsidRPr="00DC5ED7" w:rsidR="004C2CED">
        <w:rPr>
          <w:lang w:val="sq-AL"/>
        </w:rPr>
        <w:t>ë</w:t>
      </w:r>
      <w:r w:rsidRPr="00DC5ED7" w:rsidR="00AD7D50">
        <w:rPr>
          <w:lang w:val="sq-AL"/>
        </w:rPr>
        <w:t>r</w:t>
      </w:r>
      <w:r w:rsidRPr="00DC5ED7" w:rsidR="004C2CED">
        <w:rPr>
          <w:lang w:val="sq-AL"/>
        </w:rPr>
        <w:t>ë</w:t>
      </w:r>
      <w:r w:rsidRPr="00DC5ED7" w:rsidR="00AD7D50">
        <w:rPr>
          <w:lang w:val="sq-AL"/>
        </w:rPr>
        <w:t xml:space="preserve"> t</w:t>
      </w:r>
      <w:r w:rsidRPr="00DC5ED7" w:rsidR="004C2CED">
        <w:rPr>
          <w:lang w:val="sq-AL"/>
        </w:rPr>
        <w:t>ë</w:t>
      </w:r>
      <w:r w:rsidRPr="00DC5ED7" w:rsidR="00AD7D50">
        <w:rPr>
          <w:lang w:val="sq-AL"/>
        </w:rPr>
        <w:t xml:space="preserve"> ditur autoriteteve publike ankes</w:t>
      </w:r>
      <w:r w:rsidRPr="00DC5ED7" w:rsidR="004C2CED">
        <w:rPr>
          <w:lang w:val="sq-AL"/>
        </w:rPr>
        <w:t>ë</w:t>
      </w:r>
      <w:r w:rsidRPr="00DC5ED7" w:rsidR="00AD7D50">
        <w:rPr>
          <w:lang w:val="sq-AL"/>
        </w:rPr>
        <w:t>n e paraqitur kund</w:t>
      </w:r>
      <w:r w:rsidRPr="00DC5ED7" w:rsidR="004C2CED">
        <w:rPr>
          <w:lang w:val="sq-AL"/>
        </w:rPr>
        <w:t>ë</w:t>
      </w:r>
      <w:r w:rsidRPr="00DC5ED7" w:rsidR="00AD7D50">
        <w:rPr>
          <w:lang w:val="sq-AL"/>
        </w:rPr>
        <w:t>r L. H. m</w:t>
      </w:r>
      <w:r w:rsidRPr="00DC5ED7" w:rsidR="004C2CED">
        <w:rPr>
          <w:lang w:val="sq-AL"/>
        </w:rPr>
        <w:t>ë</w:t>
      </w:r>
      <w:r w:rsidRPr="00DC5ED7" w:rsidR="00AD7D50">
        <w:rPr>
          <w:lang w:val="sq-AL"/>
        </w:rPr>
        <w:t xml:space="preserve"> 1971. Për mendimin e tij, nga nj</w:t>
      </w:r>
      <w:r w:rsidRPr="00DC5ED7" w:rsidR="004C2CED">
        <w:rPr>
          <w:lang w:val="sq-AL"/>
        </w:rPr>
        <w:t>ë</w:t>
      </w:r>
      <w:r w:rsidRPr="00DC5ED7" w:rsidR="00AD7D50">
        <w:rPr>
          <w:lang w:val="sq-AL"/>
        </w:rPr>
        <w:t xml:space="preserve"> pikëpamje juridike, L. H. ishte i punësuar jo nga shteti, por nga drejtori. Ndon</w:t>
      </w:r>
      <w:r w:rsidRPr="00DC5ED7" w:rsidR="004C2CED">
        <w:rPr>
          <w:lang w:val="sq-AL"/>
        </w:rPr>
        <w:t>ë</w:t>
      </w:r>
      <w:r w:rsidRPr="00DC5ED7" w:rsidR="00AD7D50">
        <w:rPr>
          <w:lang w:val="sq-AL"/>
        </w:rPr>
        <w:t>se duke e pranuar që i interesuari duhej t</w:t>
      </w:r>
      <w:r w:rsidRPr="00DC5ED7" w:rsidR="004C2CED">
        <w:rPr>
          <w:lang w:val="sq-AL"/>
        </w:rPr>
        <w:t>ë</w:t>
      </w:r>
      <w:r w:rsidRPr="00DC5ED7" w:rsidR="00AD7D50">
        <w:rPr>
          <w:lang w:val="sq-AL"/>
        </w:rPr>
        <w:t xml:space="preserve"> kishte kualifikimet e përcaktuara nga ministri dhe t</w:t>
      </w:r>
      <w:r w:rsidRPr="00DC5ED7" w:rsidR="004C2CED">
        <w:rPr>
          <w:lang w:val="sq-AL"/>
        </w:rPr>
        <w:t>ë</w:t>
      </w:r>
      <w:r w:rsidRPr="00DC5ED7" w:rsidR="00AD7D50">
        <w:rPr>
          <w:lang w:val="sq-AL"/>
        </w:rPr>
        <w:t xml:space="preserve"> respektonte dispozitat e Rregullores s</w:t>
      </w:r>
      <w:r w:rsidRPr="00DC5ED7" w:rsidR="004C2CED">
        <w:rPr>
          <w:lang w:val="sq-AL"/>
        </w:rPr>
        <w:t>ë</w:t>
      </w:r>
      <w:r w:rsidRPr="00DC5ED7" w:rsidR="00AD7D50">
        <w:rPr>
          <w:lang w:val="sq-AL"/>
        </w:rPr>
        <w:t xml:space="preserve"> vitit 1965, dhe </w:t>
      </w:r>
      <w:r w:rsidRPr="00DC5ED7" w:rsidR="004C2CED">
        <w:rPr>
          <w:lang w:val="sq-AL"/>
        </w:rPr>
        <w:t>që</w:t>
      </w:r>
      <w:r w:rsidRPr="00DC5ED7" w:rsidR="00AD7D50">
        <w:rPr>
          <w:lang w:val="sq-AL"/>
        </w:rPr>
        <w:t xml:space="preserve"> shteti </w:t>
      </w:r>
      <w:r w:rsidRPr="00DC5ED7" w:rsidR="004C2CED">
        <w:rPr>
          <w:lang w:val="sq-AL"/>
        </w:rPr>
        <w:t xml:space="preserve">i </w:t>
      </w:r>
      <w:r w:rsidRPr="00DC5ED7" w:rsidR="00AD7D50">
        <w:rPr>
          <w:lang w:val="sq-AL"/>
        </w:rPr>
        <w:t>kishte n</w:t>
      </w:r>
      <w:r w:rsidRPr="00DC5ED7" w:rsidR="004C2CED">
        <w:rPr>
          <w:lang w:val="sq-AL"/>
        </w:rPr>
        <w:t>ë</w:t>
      </w:r>
      <w:r w:rsidRPr="00DC5ED7" w:rsidR="00AD7D50">
        <w:rPr>
          <w:lang w:val="sq-AL"/>
        </w:rPr>
        <w:t xml:space="preserve"> dor</w:t>
      </w:r>
      <w:r w:rsidRPr="00DC5ED7" w:rsidR="004C2CED">
        <w:rPr>
          <w:lang w:val="sq-AL"/>
        </w:rPr>
        <w:t>ë</w:t>
      </w:r>
      <w:r w:rsidRPr="00DC5ED7" w:rsidR="00AD7D50">
        <w:rPr>
          <w:lang w:val="sq-AL"/>
        </w:rPr>
        <w:t xml:space="preserve"> disa kompetenca disiplinore n</w:t>
      </w:r>
      <w:r w:rsidRPr="00DC5ED7" w:rsidR="004C2CED">
        <w:rPr>
          <w:lang w:val="sq-AL"/>
        </w:rPr>
        <w:t>ë</w:t>
      </w:r>
      <w:r w:rsidRPr="00DC5ED7" w:rsidR="00AD7D50">
        <w:rPr>
          <w:lang w:val="sq-AL"/>
        </w:rPr>
        <w:t xml:space="preserve"> k</w:t>
      </w:r>
      <w:r w:rsidRPr="00DC5ED7" w:rsidR="004C2CED">
        <w:rPr>
          <w:lang w:val="sq-AL"/>
        </w:rPr>
        <w:t>ë</w:t>
      </w:r>
      <w:r w:rsidRPr="00DC5ED7" w:rsidR="00AD7D50">
        <w:rPr>
          <w:lang w:val="sq-AL"/>
        </w:rPr>
        <w:t xml:space="preserve">to drejtime, gjyqtari vërejti </w:t>
      </w:r>
      <w:r w:rsidRPr="00DC5ED7" w:rsidR="004C2CED">
        <w:rPr>
          <w:lang w:val="sq-AL"/>
        </w:rPr>
        <w:t>se L. H. nuk ishte rekrutuar nga shteti e se shteti nuk e kishte fuqinë për ta hequr atë.</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45</w:t>
      </w:r>
      <w:r w:rsidRPr="00DC5ED7">
        <w:rPr>
          <w:lang w:val="sq-AL"/>
        </w:rPr>
        <w:fldChar w:fldCharType="end"/>
      </w:r>
      <w:r w:rsidRPr="00DC5ED7">
        <w:rPr>
          <w:lang w:val="sq-AL"/>
        </w:rPr>
        <w:t>.  </w:t>
      </w:r>
      <w:r w:rsidRPr="00DC5ED7" w:rsidR="004C2CED">
        <w:rPr>
          <w:lang w:val="sq-AL"/>
        </w:rPr>
        <w:t xml:space="preserve">Duke iu referuar pretendimit të parashtruar nga paditësja në kërkesën e saj të ankimit lidhur me përgjegjësinë e shtetit për arsye të mosnjoftimit nga drejtori të ankesës së vitit 1971, gjyqtari </w:t>
      </w:r>
      <w:r w:rsidRPr="00DC5ED7">
        <w:rPr>
          <w:lang w:val="sq-AL"/>
        </w:rPr>
        <w:t xml:space="preserve">Fennelly </w:t>
      </w:r>
      <w:r w:rsidRPr="00DC5ED7" w:rsidR="004C2CED">
        <w:rPr>
          <w:lang w:val="sq-AL"/>
        </w:rPr>
        <w:t>doli në përfundimin e mëposhtëm</w:t>
      </w:r>
      <w:r w:rsidRPr="00DC5ED7">
        <w:rPr>
          <w:lang w:val="sq-AL"/>
        </w:rPr>
        <w:t xml:space="preserve">: </w:t>
      </w:r>
      <w:r w:rsidRPr="00DC5ED7" w:rsidR="004C2CED">
        <w:rPr>
          <w:lang w:val="sq-AL"/>
        </w:rPr>
        <w:t>“për të njëjtën arsye, dhe për aq kohë sa kjo të jetë e nevojshme që të saktësohet, shteti nuk mund të ngarkohet me përgjegjësi për arsye të mosnjoftimit nga [drejtori] të ankesës së formuluar më 1971. [Drejtori] nuk ishte i punësuari i të paditurit të dytë”.</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46</w:t>
      </w:r>
      <w:r w:rsidRPr="00DC5ED7">
        <w:rPr>
          <w:lang w:val="sq-AL"/>
        </w:rPr>
        <w:fldChar w:fldCharType="end"/>
      </w:r>
      <w:r w:rsidRPr="00DC5ED7">
        <w:rPr>
          <w:lang w:val="sq-AL"/>
        </w:rPr>
        <w:t>.  </w:t>
      </w:r>
      <w:r w:rsidRPr="00DC5ED7" w:rsidR="004C2CED">
        <w:rPr>
          <w:lang w:val="sq-AL"/>
        </w:rPr>
        <w:t>Gjyqtari</w:t>
      </w:r>
      <w:r w:rsidRPr="00DC5ED7">
        <w:rPr>
          <w:lang w:val="sq-AL"/>
        </w:rPr>
        <w:t xml:space="preserve"> Geoghegan </w:t>
      </w:r>
      <w:r w:rsidRPr="00DC5ED7" w:rsidR="004C2CED">
        <w:rPr>
          <w:lang w:val="sq-AL"/>
        </w:rPr>
        <w:t>paraqiti nj</w:t>
      </w:r>
      <w:r w:rsidRPr="00DC5ED7" w:rsidR="00E3011A">
        <w:rPr>
          <w:lang w:val="sq-AL"/>
        </w:rPr>
        <w:t>ë</w:t>
      </w:r>
      <w:r w:rsidRPr="00DC5ED7" w:rsidR="004C2CED">
        <w:rPr>
          <w:lang w:val="sq-AL"/>
        </w:rPr>
        <w:t xml:space="preserve"> mendim </w:t>
      </w:r>
      <w:r w:rsidRPr="00DC5ED7" w:rsidR="00FC4351">
        <w:rPr>
          <w:lang w:val="sq-AL"/>
        </w:rPr>
        <w:t>kund</w:t>
      </w:r>
      <w:r w:rsidRPr="00DC5ED7" w:rsidR="00E3011A">
        <w:rPr>
          <w:lang w:val="sq-AL"/>
        </w:rPr>
        <w:t>ë</w:t>
      </w:r>
      <w:r w:rsidRPr="00DC5ED7" w:rsidR="00FC4351">
        <w:rPr>
          <w:lang w:val="sq-AL"/>
        </w:rPr>
        <w:t>rshtues. Ndon</w:t>
      </w:r>
      <w:r w:rsidRPr="00DC5ED7" w:rsidR="00E3011A">
        <w:rPr>
          <w:lang w:val="sq-AL"/>
        </w:rPr>
        <w:t>ë</w:t>
      </w:r>
      <w:r w:rsidRPr="00DC5ED7" w:rsidR="00FC4351">
        <w:rPr>
          <w:lang w:val="sq-AL"/>
        </w:rPr>
        <w:t>se duke e pranuar q</w:t>
      </w:r>
      <w:r w:rsidRPr="00DC5ED7" w:rsidR="00E3011A">
        <w:rPr>
          <w:lang w:val="sq-AL"/>
        </w:rPr>
        <w:t>ë</w:t>
      </w:r>
      <w:r w:rsidRPr="00DC5ED7" w:rsidR="00FC4351">
        <w:rPr>
          <w:lang w:val="sq-AL"/>
        </w:rPr>
        <w:t xml:space="preserve"> as Ministria, as inspektor</w:t>
      </w:r>
      <w:r w:rsidRPr="00DC5ED7" w:rsidR="00E3011A">
        <w:rPr>
          <w:lang w:val="sq-AL"/>
        </w:rPr>
        <w:t>ë</w:t>
      </w:r>
      <w:r w:rsidRPr="00DC5ED7" w:rsidR="00FC4351">
        <w:rPr>
          <w:lang w:val="sq-AL"/>
        </w:rPr>
        <w:t>t nuk kishin pasur dijeni p</w:t>
      </w:r>
      <w:r w:rsidRPr="00DC5ED7" w:rsidR="00E3011A">
        <w:rPr>
          <w:lang w:val="sq-AL"/>
        </w:rPr>
        <w:t>ë</w:t>
      </w:r>
      <w:r w:rsidRPr="00DC5ED7" w:rsidR="00FC4351">
        <w:rPr>
          <w:lang w:val="sq-AL"/>
        </w:rPr>
        <w:t>r abuzimet, ai vuri n</w:t>
      </w:r>
      <w:r w:rsidRPr="00DC5ED7" w:rsidR="00E3011A">
        <w:rPr>
          <w:lang w:val="sq-AL"/>
        </w:rPr>
        <w:t>ë</w:t>
      </w:r>
      <w:r w:rsidRPr="00DC5ED7" w:rsidR="00FC4351">
        <w:rPr>
          <w:lang w:val="sq-AL"/>
        </w:rPr>
        <w:t xml:space="preserve"> dukje se n</w:t>
      </w:r>
      <w:r w:rsidRPr="00DC5ED7" w:rsidR="00E3011A">
        <w:rPr>
          <w:lang w:val="sq-AL"/>
        </w:rPr>
        <w:t>ë</w:t>
      </w:r>
      <w:r w:rsidRPr="00DC5ED7" w:rsidR="00FC4351">
        <w:rPr>
          <w:lang w:val="sq-AL"/>
        </w:rPr>
        <w:t xml:space="preserve"> praktik</w:t>
      </w:r>
      <w:r w:rsidRPr="00DC5ED7" w:rsidR="00E3011A">
        <w:rPr>
          <w:lang w:val="sq-AL"/>
        </w:rPr>
        <w:t>ë</w:t>
      </w:r>
      <w:r w:rsidRPr="00DC5ED7" w:rsidR="00FC4351">
        <w:rPr>
          <w:lang w:val="sq-AL"/>
        </w:rPr>
        <w:t xml:space="preserve"> pjesa m</w:t>
      </w:r>
      <w:r w:rsidRPr="00DC5ED7" w:rsidR="00E3011A">
        <w:rPr>
          <w:lang w:val="sq-AL"/>
        </w:rPr>
        <w:t>ë</w:t>
      </w:r>
      <w:r w:rsidRPr="00DC5ED7" w:rsidR="00FC4351">
        <w:rPr>
          <w:lang w:val="sq-AL"/>
        </w:rPr>
        <w:t xml:space="preserve"> e madhe e arsimit fillor në Irlandë merrte trajt</w:t>
      </w:r>
      <w:r w:rsidRPr="00DC5ED7" w:rsidR="00E3011A">
        <w:rPr>
          <w:lang w:val="sq-AL"/>
        </w:rPr>
        <w:t>ë</w:t>
      </w:r>
      <w:r w:rsidRPr="00DC5ED7" w:rsidR="00FC4351">
        <w:rPr>
          <w:lang w:val="sq-AL"/>
        </w:rPr>
        <w:t>n e nj</w:t>
      </w:r>
      <w:r w:rsidRPr="00DC5ED7" w:rsidR="00E3011A">
        <w:rPr>
          <w:lang w:val="sq-AL"/>
        </w:rPr>
        <w:t>ë</w:t>
      </w:r>
      <w:r w:rsidRPr="00DC5ED7" w:rsidR="00FC4351">
        <w:rPr>
          <w:lang w:val="sq-AL"/>
        </w:rPr>
        <w:t xml:space="preserve"> nd</w:t>
      </w:r>
      <w:r w:rsidRPr="00DC5ED7" w:rsidR="00E3011A">
        <w:rPr>
          <w:lang w:val="sq-AL"/>
        </w:rPr>
        <w:t>ë</w:t>
      </w:r>
      <w:r w:rsidRPr="00DC5ED7" w:rsidR="00FC4351">
        <w:rPr>
          <w:lang w:val="sq-AL"/>
        </w:rPr>
        <w:t>rmarrjeje t</w:t>
      </w:r>
      <w:r w:rsidRPr="00DC5ED7" w:rsidR="00E3011A">
        <w:rPr>
          <w:lang w:val="sq-AL"/>
        </w:rPr>
        <w:t>ë</w:t>
      </w:r>
      <w:r w:rsidRPr="00DC5ED7" w:rsidR="00FC4351">
        <w:rPr>
          <w:lang w:val="sq-AL"/>
        </w:rPr>
        <w:t xml:space="preserve"> p</w:t>
      </w:r>
      <w:r w:rsidRPr="00DC5ED7" w:rsidR="00E3011A">
        <w:rPr>
          <w:lang w:val="sq-AL"/>
        </w:rPr>
        <w:t>ë</w:t>
      </w:r>
      <w:r w:rsidRPr="00DC5ED7" w:rsidR="00FC4351">
        <w:rPr>
          <w:lang w:val="sq-AL"/>
        </w:rPr>
        <w:t>rbashk</w:t>
      </w:r>
      <w:r w:rsidRPr="00DC5ED7" w:rsidR="00E3011A">
        <w:rPr>
          <w:lang w:val="sq-AL"/>
        </w:rPr>
        <w:t>ë</w:t>
      </w:r>
      <w:r w:rsidRPr="00DC5ED7" w:rsidR="00FC4351">
        <w:rPr>
          <w:lang w:val="sq-AL"/>
        </w:rPr>
        <w:t>t midis Kish</w:t>
      </w:r>
      <w:r w:rsidRPr="00DC5ED7" w:rsidR="00E3011A">
        <w:rPr>
          <w:lang w:val="sq-AL"/>
        </w:rPr>
        <w:t>ë</w:t>
      </w:r>
      <w:r w:rsidRPr="00DC5ED7" w:rsidR="00FC4351">
        <w:rPr>
          <w:lang w:val="sq-AL"/>
        </w:rPr>
        <w:t>s dhe shtetit, dhe ai çmoi se, n</w:t>
      </w:r>
      <w:r w:rsidRPr="00DC5ED7" w:rsidR="00E3011A">
        <w:rPr>
          <w:lang w:val="sq-AL"/>
        </w:rPr>
        <w:t>ë</w:t>
      </w:r>
      <w:r w:rsidRPr="00DC5ED7" w:rsidR="00FC4351">
        <w:rPr>
          <w:lang w:val="sq-AL"/>
        </w:rPr>
        <w:t xml:space="preserve"> kontekstin e k</w:t>
      </w:r>
      <w:r w:rsidRPr="00DC5ED7" w:rsidR="00E3011A">
        <w:rPr>
          <w:lang w:val="sq-AL"/>
        </w:rPr>
        <w:t>ësaj mar</w:t>
      </w:r>
      <w:r w:rsidRPr="00DC5ED7" w:rsidR="00FC4351">
        <w:rPr>
          <w:lang w:val="sq-AL"/>
        </w:rPr>
        <w:t>r</w:t>
      </w:r>
      <w:r w:rsidRPr="00DC5ED7" w:rsidR="00E3011A">
        <w:rPr>
          <w:lang w:val="sq-AL"/>
        </w:rPr>
        <w:t>ë</w:t>
      </w:r>
      <w:r w:rsidRPr="00DC5ED7" w:rsidR="00FC4351">
        <w:rPr>
          <w:lang w:val="sq-AL"/>
        </w:rPr>
        <w:t>dh</w:t>
      </w:r>
      <w:r w:rsidRPr="00DC5ED7" w:rsidR="00E3011A">
        <w:rPr>
          <w:lang w:val="sq-AL"/>
        </w:rPr>
        <w:t>ë</w:t>
      </w:r>
      <w:r w:rsidRPr="00DC5ED7" w:rsidR="00FC4351">
        <w:rPr>
          <w:lang w:val="sq-AL"/>
        </w:rPr>
        <w:t>nieje, nd</w:t>
      </w:r>
      <w:r w:rsidRPr="00DC5ED7" w:rsidR="00E3011A">
        <w:rPr>
          <w:lang w:val="sq-AL"/>
        </w:rPr>
        <w:t>ë</w:t>
      </w:r>
      <w:r w:rsidRPr="00DC5ED7" w:rsidR="00FC4351">
        <w:rPr>
          <w:lang w:val="sq-AL"/>
        </w:rPr>
        <w:t>rmjet shtetit dhe ndodhis</w:t>
      </w:r>
      <w:r w:rsidRPr="00DC5ED7" w:rsidR="00E3011A">
        <w:rPr>
          <w:lang w:val="sq-AL"/>
        </w:rPr>
        <w:t>ë</w:t>
      </w:r>
      <w:r w:rsidRPr="00DC5ED7" w:rsidR="00FC4351">
        <w:rPr>
          <w:lang w:val="sq-AL"/>
        </w:rPr>
        <w:t xml:space="preserve"> s</w:t>
      </w:r>
      <w:r w:rsidRPr="00DC5ED7" w:rsidR="00E3011A">
        <w:rPr>
          <w:lang w:val="sq-AL"/>
        </w:rPr>
        <w:t>ë</w:t>
      </w:r>
      <w:r w:rsidRPr="00DC5ED7" w:rsidR="00FC4351">
        <w:rPr>
          <w:lang w:val="sq-AL"/>
        </w:rPr>
        <w:t xml:space="preserve"> rrezikut ekzistonte nj</w:t>
      </w:r>
      <w:r w:rsidRPr="00DC5ED7" w:rsidR="00E3011A">
        <w:rPr>
          <w:lang w:val="sq-AL"/>
        </w:rPr>
        <w:t>ë</w:t>
      </w:r>
      <w:r w:rsidRPr="00DC5ED7" w:rsidR="00FC4351">
        <w:rPr>
          <w:lang w:val="sq-AL"/>
        </w:rPr>
        <w:t xml:space="preserve"> lidhje e mjaftueshme për ta ngarkuar me përgjegj</w:t>
      </w:r>
      <w:r w:rsidRPr="00DC5ED7" w:rsidR="00E3011A">
        <w:rPr>
          <w:lang w:val="sq-AL"/>
        </w:rPr>
        <w:t>ë</w:t>
      </w:r>
      <w:r w:rsidRPr="00DC5ED7" w:rsidR="00FC4351">
        <w:rPr>
          <w:lang w:val="sq-AL"/>
        </w:rPr>
        <w:t>si shtetin, duke pasur parasysh sidomos rolin e luajtur nga inspektorët. Ai i shqyrtoi me holl</w:t>
      </w:r>
      <w:r w:rsidRPr="00DC5ED7" w:rsidR="00E3011A">
        <w:rPr>
          <w:lang w:val="sq-AL"/>
        </w:rPr>
        <w:t>ë</w:t>
      </w:r>
      <w:r w:rsidRPr="00DC5ED7" w:rsidR="00FC4351">
        <w:rPr>
          <w:lang w:val="sq-AL"/>
        </w:rPr>
        <w:t>si deponimet e inspektorëve shkollor</w:t>
      </w:r>
      <w:r w:rsidRPr="00DC5ED7" w:rsidR="00E3011A">
        <w:rPr>
          <w:lang w:val="sq-AL"/>
        </w:rPr>
        <w:t>ë</w:t>
      </w:r>
      <w:r w:rsidRPr="00DC5ED7" w:rsidR="00FC4351">
        <w:rPr>
          <w:lang w:val="sq-AL"/>
        </w:rPr>
        <w:t xml:space="preserve"> dhe elementet lidhur me rolin e tyre, duke v</w:t>
      </w:r>
      <w:r w:rsidRPr="00DC5ED7" w:rsidR="00E3011A">
        <w:rPr>
          <w:lang w:val="sq-AL"/>
        </w:rPr>
        <w:t>ë</w:t>
      </w:r>
      <w:r w:rsidRPr="00DC5ED7" w:rsidR="00FC4351">
        <w:rPr>
          <w:lang w:val="sq-AL"/>
        </w:rPr>
        <w:t>n</w:t>
      </w:r>
      <w:r w:rsidRPr="00DC5ED7" w:rsidR="00E3011A">
        <w:rPr>
          <w:lang w:val="sq-AL"/>
        </w:rPr>
        <w:t>ë</w:t>
      </w:r>
      <w:r w:rsidRPr="00DC5ED7" w:rsidR="00FC4351">
        <w:rPr>
          <w:lang w:val="sq-AL"/>
        </w:rPr>
        <w:t xml:space="preserve"> re veçan</w:t>
      </w:r>
      <w:r w:rsidRPr="00DC5ED7" w:rsidR="00E3011A">
        <w:rPr>
          <w:lang w:val="sq-AL"/>
        </w:rPr>
        <w:t>ë</w:t>
      </w:r>
      <w:r w:rsidRPr="00DC5ED7" w:rsidR="00FC4351">
        <w:rPr>
          <w:lang w:val="sq-AL"/>
        </w:rPr>
        <w:t xml:space="preserve">risht </w:t>
      </w:r>
      <w:r w:rsidRPr="00DC5ED7" w:rsidR="00194037">
        <w:rPr>
          <w:lang w:val="sq-AL"/>
        </w:rPr>
        <w:t>që, n</w:t>
      </w:r>
      <w:r w:rsidRPr="00DC5ED7" w:rsidR="00E3011A">
        <w:rPr>
          <w:lang w:val="sq-AL"/>
        </w:rPr>
        <w:t>ë</w:t>
      </w:r>
      <w:r w:rsidRPr="00DC5ED7" w:rsidR="00194037">
        <w:rPr>
          <w:lang w:val="sq-AL"/>
        </w:rPr>
        <w:t xml:space="preserve"> </w:t>
      </w:r>
      <w:r w:rsidRPr="00DC5ED7" w:rsidR="00E3011A">
        <w:rPr>
          <w:lang w:val="sq-AL"/>
        </w:rPr>
        <w:t>qoftë</w:t>
      </w:r>
      <w:r w:rsidRPr="00DC5ED7" w:rsidR="00194037">
        <w:rPr>
          <w:lang w:val="sq-AL"/>
        </w:rPr>
        <w:t xml:space="preserve"> se një pohim sulmi seksual ndaj një nx</w:t>
      </w:r>
      <w:r w:rsidRPr="00DC5ED7" w:rsidR="00E3011A">
        <w:rPr>
          <w:lang w:val="sq-AL"/>
        </w:rPr>
        <w:t>ë</w:t>
      </w:r>
      <w:r w:rsidRPr="00DC5ED7" w:rsidR="00194037">
        <w:rPr>
          <w:lang w:val="sq-AL"/>
        </w:rPr>
        <w:t>n</w:t>
      </w:r>
      <w:r w:rsidRPr="00DC5ED7" w:rsidR="00E3011A">
        <w:rPr>
          <w:lang w:val="sq-AL"/>
        </w:rPr>
        <w:t>ë</w:t>
      </w:r>
      <w:r w:rsidRPr="00DC5ED7" w:rsidR="00194037">
        <w:rPr>
          <w:lang w:val="sq-AL"/>
        </w:rPr>
        <w:t xml:space="preserve">si </w:t>
      </w:r>
      <w:r w:rsidRPr="00DC5ED7" w:rsidR="00E3011A">
        <w:rPr>
          <w:lang w:val="sq-AL"/>
        </w:rPr>
        <w:t xml:space="preserve">shkolle kombëtare </w:t>
      </w:r>
      <w:r w:rsidRPr="00DC5ED7" w:rsidR="00194037">
        <w:rPr>
          <w:lang w:val="sq-AL"/>
        </w:rPr>
        <w:t xml:space="preserve">nga </w:t>
      </w:r>
      <w:r w:rsidRPr="00DC5ED7" w:rsidR="00E3011A">
        <w:rPr>
          <w:lang w:val="sq-AL"/>
        </w:rPr>
        <w:t xml:space="preserve">ana e një mësuesi gjykohej si i bazuar në përfundim të një hetimi të çelur nga ministria, kjo gjë mund të shpinte ose në heqjen e </w:t>
      </w:r>
      <w:r w:rsidRPr="00DC5ED7" w:rsidR="00BE6377">
        <w:rPr>
          <w:lang w:val="sq-AL"/>
        </w:rPr>
        <w:t>njohjes</w:t>
      </w:r>
      <w:r w:rsidRPr="00DC5ED7" w:rsidR="00E3011A">
        <w:rPr>
          <w:lang w:val="sq-AL"/>
        </w:rPr>
        <w:t>, ose në një hetim policor me pasojë heqjen e lejes së mësimdhënies për mësuesin në fjalë, në qoftë se policia e çmonte si të përligjur ankesën.</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47</w:t>
      </w:r>
      <w:r w:rsidRPr="00DC5ED7">
        <w:rPr>
          <w:lang w:val="sq-AL"/>
        </w:rPr>
        <w:fldChar w:fldCharType="end"/>
      </w:r>
      <w:r w:rsidRPr="00DC5ED7">
        <w:rPr>
          <w:lang w:val="sq-AL"/>
        </w:rPr>
        <w:t>.  </w:t>
      </w:r>
      <w:r w:rsidRPr="00DC5ED7" w:rsidR="008818D0">
        <w:rPr>
          <w:lang w:val="sq-AL"/>
        </w:rPr>
        <w:t>Me një vendim të</w:t>
      </w:r>
      <w:r w:rsidRPr="00DC5ED7">
        <w:rPr>
          <w:lang w:val="sq-AL"/>
        </w:rPr>
        <w:t xml:space="preserve"> 9 ma</w:t>
      </w:r>
      <w:r w:rsidRPr="00DC5ED7" w:rsidR="008818D0">
        <w:rPr>
          <w:lang w:val="sq-AL"/>
        </w:rPr>
        <w:t>jit</w:t>
      </w:r>
      <w:r w:rsidRPr="00DC5ED7">
        <w:rPr>
          <w:lang w:val="sq-AL"/>
        </w:rPr>
        <w:t xml:space="preserve"> 2009, </w:t>
      </w:r>
      <w:r w:rsidRPr="00DC5ED7" w:rsidR="008818D0">
        <w:rPr>
          <w:lang w:val="sq-AL"/>
        </w:rPr>
        <w:t>Gjykata e Lartë e shfuqizoi vendimin që e dënonte paditësen të paguante kostot dhe shpenzimet, duke vënë në dukje se nuk kundërshtohej fakti që bëhej fjalë për një çështje të koklavitur pilot, dhe vendosi që në suazën e padisë civile kundër të</w:t>
      </w:r>
      <w:r w:rsidRPr="00DC5ED7" w:rsidR="00E23B41">
        <w:rPr>
          <w:lang w:val="sq-AL"/>
        </w:rPr>
        <w:t xml:space="preserve"> padi</w:t>
      </w:r>
      <w:r w:rsidRPr="00DC5ED7" w:rsidR="008818D0">
        <w:rPr>
          <w:lang w:val="sq-AL"/>
        </w:rPr>
        <w:t>turve publikë palët do t</w:t>
      </w:r>
      <w:r w:rsidR="00943091">
        <w:rPr>
          <w:lang w:val="sq-AL"/>
        </w:rPr>
        <w:t>’</w:t>
      </w:r>
      <w:r w:rsidRPr="00DC5ED7" w:rsidR="008818D0">
        <w:rPr>
          <w:lang w:val="sq-AL"/>
        </w:rPr>
        <w:t>i merrnin vetë përsipër shpenzimet e tyre përkatëse.</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48</w:t>
      </w:r>
      <w:r w:rsidRPr="00DC5ED7">
        <w:rPr>
          <w:lang w:val="sq-AL"/>
        </w:rPr>
        <w:fldChar w:fldCharType="end"/>
      </w:r>
      <w:r w:rsidRPr="00DC5ED7">
        <w:rPr>
          <w:lang w:val="sq-AL"/>
        </w:rPr>
        <w:t>.  </w:t>
      </w:r>
      <w:r w:rsidRPr="00DC5ED7" w:rsidR="008818D0">
        <w:rPr>
          <w:lang w:val="sq-AL"/>
        </w:rPr>
        <w:t>Paditësja u përfaqësua nga një avokat gjatë gjithë procedurës civile, por nuk përfitoi nga ndihma ligjore.</w:t>
      </w:r>
    </w:p>
    <w:p w:rsidRPr="00DC5ED7" w:rsidR="00EB737A" w:rsidP="00EB737A" w:rsidRDefault="00EB737A">
      <w:pPr>
        <w:pStyle w:val="ECHRHeading1"/>
        <w:rPr>
          <w:lang w:val="sq-AL"/>
        </w:rPr>
      </w:pPr>
      <w:r w:rsidRPr="00DC5ED7">
        <w:rPr>
          <w:lang w:val="sq-AL"/>
        </w:rPr>
        <w:t>II.  </w:t>
      </w:r>
      <w:r w:rsidRPr="00DC5ED7" w:rsidR="008818D0">
        <w:rPr>
          <w:lang w:val="sq-AL"/>
        </w:rPr>
        <w:t>E DREJTA DHE PRAKTIKA E BRENDSHME PËRKATËSE</w:t>
      </w:r>
    </w:p>
    <w:p w:rsidRPr="00DC5ED7" w:rsidR="00EB737A" w:rsidP="00EB737A" w:rsidRDefault="00EB737A">
      <w:pPr>
        <w:pStyle w:val="ECHRHeading2"/>
        <w:rPr>
          <w:lang w:val="sq-AL"/>
        </w:rPr>
      </w:pPr>
      <w:r w:rsidRPr="00DC5ED7">
        <w:rPr>
          <w:lang w:val="sq-AL"/>
        </w:rPr>
        <w:t>A.  </w:t>
      </w:r>
      <w:r w:rsidRPr="00DC5ED7" w:rsidR="008818D0">
        <w:rPr>
          <w:lang w:val="sq-AL"/>
        </w:rPr>
        <w:t>Arsimi fillor në Irlandë</w:t>
      </w:r>
    </w:p>
    <w:p w:rsidRPr="00DC5ED7" w:rsidR="00EB737A" w:rsidP="00EB737A" w:rsidRDefault="00EB737A">
      <w:pPr>
        <w:pStyle w:val="ECHRHeading3"/>
        <w:rPr>
          <w:lang w:val="sq-AL"/>
        </w:rPr>
      </w:pPr>
      <w:r w:rsidRPr="00DC5ED7">
        <w:rPr>
          <w:lang w:val="sq-AL"/>
        </w:rPr>
        <w:t>1.  </w:t>
      </w:r>
      <w:r w:rsidRPr="00DC5ED7" w:rsidR="008818D0">
        <w:rPr>
          <w:lang w:val="sq-AL"/>
        </w:rPr>
        <w:t>K</w:t>
      </w:r>
      <w:r w:rsidRPr="00DC5ED7">
        <w:rPr>
          <w:lang w:val="sq-AL"/>
        </w:rPr>
        <w:t>onte</w:t>
      </w:r>
      <w:r w:rsidRPr="00DC5ED7" w:rsidR="008818D0">
        <w:rPr>
          <w:lang w:val="sq-AL"/>
        </w:rPr>
        <w:t>ks</w:t>
      </w:r>
      <w:r w:rsidRPr="00DC5ED7">
        <w:rPr>
          <w:lang w:val="sq-AL"/>
        </w:rPr>
        <w:t>t</w:t>
      </w:r>
      <w:r w:rsidRPr="00DC5ED7" w:rsidR="008818D0">
        <w:rPr>
          <w:lang w:val="sq-AL"/>
        </w:rPr>
        <w:t>i</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49</w:t>
      </w:r>
      <w:r w:rsidRPr="00DC5ED7">
        <w:rPr>
          <w:lang w:val="sq-AL"/>
        </w:rPr>
        <w:fldChar w:fldCharType="end"/>
      </w:r>
      <w:r w:rsidRPr="00DC5ED7">
        <w:rPr>
          <w:lang w:val="sq-AL"/>
        </w:rPr>
        <w:t>.  </w:t>
      </w:r>
      <w:r w:rsidRPr="00DC5ED7" w:rsidR="00E23B41">
        <w:rPr>
          <w:lang w:val="sq-AL"/>
        </w:rPr>
        <w:t xml:space="preserve">Gjykata i referohet përshkrimit që i është bërë në çështjen në fjalë historisë dhe strukturës së sistemit të arsimit fillor të bazuar te shkollat kombëtare nga ana e Gjykatës së Lartë </w:t>
      </w:r>
      <w:r w:rsidRPr="00DC5ED7">
        <w:rPr>
          <w:lang w:val="sq-AL"/>
        </w:rPr>
        <w:t>(</w:t>
      </w:r>
      <w:r w:rsidRPr="00DC5ED7">
        <w:rPr>
          <w:i/>
          <w:lang w:val="sq-AL"/>
        </w:rPr>
        <w:t>O</w:t>
      </w:r>
      <w:r w:rsidR="00943091">
        <w:rPr>
          <w:i/>
          <w:lang w:val="sq-AL"/>
        </w:rPr>
        <w:t>’</w:t>
      </w:r>
      <w:r w:rsidRPr="00DC5ED7">
        <w:rPr>
          <w:i/>
          <w:lang w:val="sq-AL"/>
        </w:rPr>
        <w:t>Keeffe v. Hickey</w:t>
      </w:r>
      <w:r w:rsidRPr="00DC5ED7">
        <w:rPr>
          <w:lang w:val="sq-AL"/>
        </w:rPr>
        <w:t xml:space="preserve">, [2008] IESC 72), </w:t>
      </w:r>
      <w:r w:rsidRPr="00DC5ED7" w:rsidR="00E23B41">
        <w:rPr>
          <w:lang w:val="sq-AL"/>
        </w:rPr>
        <w:t>veçanërisht nga gjyqtarët Hardiman e</w:t>
      </w:r>
      <w:r w:rsidRPr="00DC5ED7">
        <w:rPr>
          <w:lang w:val="sq-AL"/>
        </w:rPr>
        <w:t xml:space="preserve"> Fennelly (paragra</w:t>
      </w:r>
      <w:r w:rsidRPr="00DC5ED7" w:rsidR="00E23B41">
        <w:rPr>
          <w:lang w:val="sq-AL"/>
        </w:rPr>
        <w:t>fët 30-35 e</w:t>
      </w:r>
      <w:r w:rsidRPr="00DC5ED7">
        <w:rPr>
          <w:lang w:val="sq-AL"/>
        </w:rPr>
        <w:t xml:space="preserve"> 42-44 </w:t>
      </w:r>
      <w:r w:rsidRPr="00DC5ED7" w:rsidR="00E23B41">
        <w:rPr>
          <w:lang w:val="sq-AL"/>
        </w:rPr>
        <w:t>të mësipërm</w:t>
      </w:r>
      <w:r w:rsidRPr="00DC5ED7">
        <w:rPr>
          <w:lang w:val="sq-AL"/>
        </w:rPr>
        <w:t>).</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50</w:t>
      </w:r>
      <w:r w:rsidRPr="00DC5ED7">
        <w:rPr>
          <w:lang w:val="sq-AL"/>
        </w:rPr>
        <w:fldChar w:fldCharType="end"/>
      </w:r>
      <w:r w:rsidRPr="00DC5ED7">
        <w:rPr>
          <w:lang w:val="sq-AL"/>
        </w:rPr>
        <w:t>.  </w:t>
      </w:r>
      <w:r w:rsidRPr="00DC5ED7" w:rsidR="00717D27">
        <w:rPr>
          <w:lang w:val="sq-AL"/>
        </w:rPr>
        <w:t>Neni</w:t>
      </w:r>
      <w:r w:rsidRPr="00DC5ED7">
        <w:rPr>
          <w:lang w:val="sq-AL"/>
        </w:rPr>
        <w:t xml:space="preserve"> 4 </w:t>
      </w:r>
      <w:r w:rsidRPr="00DC5ED7" w:rsidR="00717D27">
        <w:rPr>
          <w:lang w:val="sq-AL"/>
        </w:rPr>
        <w:t>i Ligjit t</w:t>
      </w:r>
      <w:r w:rsidRPr="00DC5ED7" w:rsidR="008F2F62">
        <w:rPr>
          <w:lang w:val="sq-AL"/>
        </w:rPr>
        <w:t>ë</w:t>
      </w:r>
      <w:r w:rsidRPr="00DC5ED7" w:rsidR="00717D27">
        <w:rPr>
          <w:lang w:val="sq-AL"/>
        </w:rPr>
        <w:t xml:space="preserve"> vitit </w:t>
      </w:r>
      <w:r w:rsidRPr="00DC5ED7">
        <w:rPr>
          <w:lang w:val="sq-AL"/>
        </w:rPr>
        <w:t xml:space="preserve">1926 </w:t>
      </w:r>
      <w:r w:rsidRPr="00DC5ED7" w:rsidR="00717D27">
        <w:rPr>
          <w:lang w:val="sq-AL"/>
        </w:rPr>
        <w:t xml:space="preserve">për shkollimin </w:t>
      </w:r>
      <w:r w:rsidRPr="00DC5ED7">
        <w:rPr>
          <w:lang w:val="sq-AL"/>
        </w:rPr>
        <w:t>(</w:t>
      </w:r>
      <w:r w:rsidRPr="00DC5ED7">
        <w:rPr>
          <w:i/>
          <w:lang w:val="sq-AL"/>
        </w:rPr>
        <w:t>School Attendance Act 1926</w:t>
      </w:r>
      <w:r w:rsidRPr="00DC5ED7">
        <w:rPr>
          <w:lang w:val="sq-AL"/>
        </w:rPr>
        <w:t xml:space="preserve">) </w:t>
      </w:r>
      <w:r w:rsidRPr="00DC5ED7" w:rsidR="00717D27">
        <w:rPr>
          <w:lang w:val="sq-AL"/>
        </w:rPr>
        <w:t>i detyronte prindërit q</w:t>
      </w:r>
      <w:r w:rsidRPr="00DC5ED7" w:rsidR="008F2F62">
        <w:rPr>
          <w:lang w:val="sq-AL"/>
        </w:rPr>
        <w:t>ë</w:t>
      </w:r>
      <w:r w:rsidRPr="00DC5ED7" w:rsidR="00717D27">
        <w:rPr>
          <w:lang w:val="sq-AL"/>
        </w:rPr>
        <w:t xml:space="preserve"> t</w:t>
      </w:r>
      <w:r w:rsidR="00943091">
        <w:rPr>
          <w:lang w:val="sq-AL"/>
        </w:rPr>
        <w:t>’</w:t>
      </w:r>
      <w:r w:rsidRPr="00DC5ED7" w:rsidR="00717D27">
        <w:rPr>
          <w:lang w:val="sq-AL"/>
        </w:rPr>
        <w:t>i shkollonin f</w:t>
      </w:r>
      <w:r w:rsidRPr="00DC5ED7" w:rsidR="008F2F62">
        <w:rPr>
          <w:lang w:val="sq-AL"/>
        </w:rPr>
        <w:t>ë</w:t>
      </w:r>
      <w:r w:rsidRPr="00DC5ED7" w:rsidR="00717D27">
        <w:rPr>
          <w:lang w:val="sq-AL"/>
        </w:rPr>
        <w:t>mij</w:t>
      </w:r>
      <w:r w:rsidRPr="00DC5ED7" w:rsidR="008F2F62">
        <w:rPr>
          <w:lang w:val="sq-AL"/>
        </w:rPr>
        <w:t>ë</w:t>
      </w:r>
      <w:r w:rsidRPr="00DC5ED7" w:rsidR="00717D27">
        <w:rPr>
          <w:lang w:val="sq-AL"/>
        </w:rPr>
        <w:t>t e tyre në një shkoll</w:t>
      </w:r>
      <w:r w:rsidRPr="00DC5ED7" w:rsidR="008F2F62">
        <w:rPr>
          <w:lang w:val="sq-AL"/>
        </w:rPr>
        <w:t>ë</w:t>
      </w:r>
      <w:r w:rsidRPr="00DC5ED7" w:rsidR="00717D27">
        <w:rPr>
          <w:lang w:val="sq-AL"/>
        </w:rPr>
        <w:t xml:space="preserve"> komb</w:t>
      </w:r>
      <w:r w:rsidRPr="00DC5ED7" w:rsidR="008F2F62">
        <w:rPr>
          <w:lang w:val="sq-AL"/>
        </w:rPr>
        <w:t>ë</w:t>
      </w:r>
      <w:r w:rsidRPr="00DC5ED7" w:rsidR="00717D27">
        <w:rPr>
          <w:lang w:val="sq-AL"/>
        </w:rPr>
        <w:t>tare ose në nj</w:t>
      </w:r>
      <w:r w:rsidRPr="00DC5ED7" w:rsidR="008F2F62">
        <w:rPr>
          <w:lang w:val="sq-AL"/>
        </w:rPr>
        <w:t>ë</w:t>
      </w:r>
      <w:r w:rsidRPr="00DC5ED7" w:rsidR="00717D27">
        <w:rPr>
          <w:lang w:val="sq-AL"/>
        </w:rPr>
        <w:t xml:space="preserve"> institucion tjet</w:t>
      </w:r>
      <w:r w:rsidRPr="00DC5ED7" w:rsidR="008F2F62">
        <w:rPr>
          <w:lang w:val="sq-AL"/>
        </w:rPr>
        <w:t>ë</w:t>
      </w:r>
      <w:r w:rsidRPr="00DC5ED7" w:rsidR="00717D27">
        <w:rPr>
          <w:lang w:val="sq-AL"/>
        </w:rPr>
        <w:t>r shkollor t</w:t>
      </w:r>
      <w:r w:rsidRPr="00DC5ED7" w:rsidR="008F2F62">
        <w:rPr>
          <w:lang w:val="sq-AL"/>
        </w:rPr>
        <w:t>ë</w:t>
      </w:r>
      <w:r w:rsidRPr="00DC5ED7" w:rsidR="00717D27">
        <w:rPr>
          <w:lang w:val="sq-AL"/>
        </w:rPr>
        <w:t xml:space="preserve"> p</w:t>
      </w:r>
      <w:r w:rsidRPr="00DC5ED7" w:rsidR="008F2F62">
        <w:rPr>
          <w:lang w:val="sq-AL"/>
        </w:rPr>
        <w:t>ë</w:t>
      </w:r>
      <w:r w:rsidRPr="00DC5ED7" w:rsidR="00717D27">
        <w:rPr>
          <w:lang w:val="sq-AL"/>
        </w:rPr>
        <w:t>rshtatsh</w:t>
      </w:r>
      <w:r w:rsidRPr="00DC5ED7" w:rsidR="008F2F62">
        <w:rPr>
          <w:lang w:val="sq-AL"/>
        </w:rPr>
        <w:t>ë</w:t>
      </w:r>
      <w:r w:rsidRPr="00DC5ED7" w:rsidR="00717D27">
        <w:rPr>
          <w:lang w:val="sq-AL"/>
        </w:rPr>
        <w:t>m, me p</w:t>
      </w:r>
      <w:r w:rsidRPr="00DC5ED7" w:rsidR="008F2F62">
        <w:rPr>
          <w:lang w:val="sq-AL"/>
        </w:rPr>
        <w:t>ë</w:t>
      </w:r>
      <w:r w:rsidRPr="00DC5ED7" w:rsidR="00717D27">
        <w:rPr>
          <w:lang w:val="sq-AL"/>
        </w:rPr>
        <w:t>rjashtim t</w:t>
      </w:r>
      <w:r w:rsidRPr="00DC5ED7" w:rsidR="008F2F62">
        <w:rPr>
          <w:lang w:val="sq-AL"/>
        </w:rPr>
        <w:t>ë</w:t>
      </w:r>
      <w:r w:rsidRPr="00DC5ED7" w:rsidR="00717D27">
        <w:rPr>
          <w:lang w:val="sq-AL"/>
        </w:rPr>
        <w:t xml:space="preserve"> rasteve kur ata mund t</w:t>
      </w:r>
      <w:r w:rsidRPr="00DC5ED7" w:rsidR="008F2F62">
        <w:rPr>
          <w:lang w:val="sq-AL"/>
        </w:rPr>
        <w:t>ë</w:t>
      </w:r>
      <w:r w:rsidRPr="00DC5ED7" w:rsidR="00717D27">
        <w:rPr>
          <w:lang w:val="sq-AL"/>
        </w:rPr>
        <w:t xml:space="preserve"> </w:t>
      </w:r>
      <w:r w:rsidRPr="00DC5ED7" w:rsidR="008F2F62">
        <w:rPr>
          <w:lang w:val="sq-AL"/>
        </w:rPr>
        <w:t>nxirrnin një justifikim të vlefshëm, për shembull që fëmija në fjalë po merrte gjetiu një arsim fillor të kënaqshëm, që ai nuk kishte qasje në një shkollë kombëtare që përputhej me bindjen fetare të prindërve të tij apo që, për çfarëdo arsye tjetër të mjaftueshme, ai nuk mund të shkollohej. Deri më</w:t>
      </w:r>
      <w:r w:rsidRPr="00DC5ED7">
        <w:rPr>
          <w:lang w:val="sq-AL"/>
        </w:rPr>
        <w:t xml:space="preserve"> 1969, </w:t>
      </w:r>
      <w:r w:rsidRPr="00DC5ED7" w:rsidR="008F2F62">
        <w:rPr>
          <w:lang w:val="sq-AL"/>
        </w:rPr>
        <w:t>të gjithë fëmijët ndërmjet moshës gjashtë dhe katërmbëdhjetë vjeç duhet të shkolloheshin me kohë të plotë, kurse më vonë mosha e përfundimit të shkollimit të detyrueshëm u çua në gjashtëmbëdhjetë vjeç. Arsimi fillor në Irlandë është falas për të gjithë që në shekullin XIX.</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51</w:t>
      </w:r>
      <w:r w:rsidRPr="00DC5ED7">
        <w:rPr>
          <w:lang w:val="sq-AL"/>
        </w:rPr>
        <w:fldChar w:fldCharType="end"/>
      </w:r>
      <w:r w:rsidRPr="00DC5ED7">
        <w:rPr>
          <w:lang w:val="sq-AL"/>
        </w:rPr>
        <w:t>.  </w:t>
      </w:r>
      <w:r w:rsidRPr="00DC5ED7" w:rsidR="008F2F62">
        <w:rPr>
          <w:lang w:val="sq-AL"/>
        </w:rPr>
        <w:t>Shumica d</w:t>
      </w:r>
      <w:r w:rsidRPr="00DC5ED7" w:rsidR="00A60197">
        <w:rPr>
          <w:lang w:val="sq-AL"/>
        </w:rPr>
        <w:t>ë</w:t>
      </w:r>
      <w:r w:rsidRPr="00DC5ED7" w:rsidR="008F2F62">
        <w:rPr>
          <w:lang w:val="sq-AL"/>
        </w:rPr>
        <w:t>rrmuese e f</w:t>
      </w:r>
      <w:r w:rsidRPr="00DC5ED7" w:rsidR="00A60197">
        <w:rPr>
          <w:lang w:val="sq-AL"/>
        </w:rPr>
        <w:t>ë</w:t>
      </w:r>
      <w:r w:rsidRPr="00DC5ED7" w:rsidR="008F2F62">
        <w:rPr>
          <w:lang w:val="sq-AL"/>
        </w:rPr>
        <w:t>mij</w:t>
      </w:r>
      <w:r w:rsidRPr="00DC5ED7" w:rsidR="00A60197">
        <w:rPr>
          <w:lang w:val="sq-AL"/>
        </w:rPr>
        <w:t>ë</w:t>
      </w:r>
      <w:r w:rsidRPr="00DC5ED7" w:rsidR="008F2F62">
        <w:rPr>
          <w:lang w:val="sq-AL"/>
        </w:rPr>
        <w:t>ve n</w:t>
      </w:r>
      <w:r w:rsidRPr="00DC5ED7" w:rsidR="00A60197">
        <w:rPr>
          <w:lang w:val="sq-AL"/>
        </w:rPr>
        <w:t>ë</w:t>
      </w:r>
      <w:r w:rsidRPr="00DC5ED7" w:rsidR="008F2F62">
        <w:rPr>
          <w:lang w:val="sq-AL"/>
        </w:rPr>
        <w:t xml:space="preserve"> moshë p</w:t>
      </w:r>
      <w:r w:rsidRPr="00DC5ED7" w:rsidR="00A60197">
        <w:rPr>
          <w:lang w:val="sq-AL"/>
        </w:rPr>
        <w:t>ë</w:t>
      </w:r>
      <w:r w:rsidRPr="00DC5ED7" w:rsidR="008F2F62">
        <w:rPr>
          <w:lang w:val="sq-AL"/>
        </w:rPr>
        <w:t>r t</w:t>
      </w:r>
      <w:r w:rsidRPr="00DC5ED7" w:rsidR="00A60197">
        <w:rPr>
          <w:lang w:val="sq-AL"/>
        </w:rPr>
        <w:t>ë</w:t>
      </w:r>
      <w:r w:rsidRPr="00DC5ED7" w:rsidR="008F2F62">
        <w:rPr>
          <w:lang w:val="sq-AL"/>
        </w:rPr>
        <w:t xml:space="preserve"> ndjekur shkollën fillore shkolloheshin n</w:t>
      </w:r>
      <w:r w:rsidRPr="00DC5ED7" w:rsidR="00A60197">
        <w:rPr>
          <w:lang w:val="sq-AL"/>
        </w:rPr>
        <w:t>ë</w:t>
      </w:r>
      <w:r w:rsidRPr="00DC5ED7" w:rsidR="008F2F62">
        <w:rPr>
          <w:lang w:val="sq-AL"/>
        </w:rPr>
        <w:t xml:space="preserve"> “shkolla komb</w:t>
      </w:r>
      <w:r w:rsidRPr="00DC5ED7" w:rsidR="00A60197">
        <w:rPr>
          <w:lang w:val="sq-AL"/>
        </w:rPr>
        <w:t>ë</w:t>
      </w:r>
      <w:r w:rsidRPr="00DC5ED7" w:rsidR="008F2F62">
        <w:rPr>
          <w:lang w:val="sq-AL"/>
        </w:rPr>
        <w:t>tare”</w:t>
      </w:r>
      <w:r w:rsidRPr="00DC5ED7" w:rsidR="00575707">
        <w:rPr>
          <w:lang w:val="sq-AL"/>
        </w:rPr>
        <w:t>, institucione arsimi fillor t</w:t>
      </w:r>
      <w:r w:rsidRPr="00DC5ED7" w:rsidR="00A60197">
        <w:rPr>
          <w:lang w:val="sq-AL"/>
        </w:rPr>
        <w:t>ë</w:t>
      </w:r>
      <w:r w:rsidRPr="00DC5ED7" w:rsidR="00575707">
        <w:rPr>
          <w:lang w:val="sq-AL"/>
        </w:rPr>
        <w:t xml:space="preserve"> financuara nga shteti e n</w:t>
      </w:r>
      <w:r w:rsidRPr="00DC5ED7" w:rsidR="00A60197">
        <w:rPr>
          <w:lang w:val="sq-AL"/>
        </w:rPr>
        <w:t>ë</w:t>
      </w:r>
      <w:r w:rsidRPr="00DC5ED7" w:rsidR="00575707">
        <w:rPr>
          <w:lang w:val="sq-AL"/>
        </w:rPr>
        <w:t>n administrim fetar. Sipas raporteve t</w:t>
      </w:r>
      <w:r w:rsidRPr="00DC5ED7" w:rsidR="00A60197">
        <w:rPr>
          <w:lang w:val="sq-AL"/>
        </w:rPr>
        <w:t>ë</w:t>
      </w:r>
      <w:r w:rsidRPr="00DC5ED7" w:rsidR="00575707">
        <w:rPr>
          <w:lang w:val="sq-AL"/>
        </w:rPr>
        <w:t xml:space="preserve"> hartuara nga Ministria, ky vend numëronte </w:t>
      </w:r>
      <w:r w:rsidRPr="00DC5ED7">
        <w:rPr>
          <w:lang w:val="sq-AL"/>
        </w:rPr>
        <w:t xml:space="preserve">3 776 </w:t>
      </w:r>
      <w:r w:rsidRPr="00DC5ED7" w:rsidR="00575707">
        <w:rPr>
          <w:lang w:val="sq-AL"/>
        </w:rPr>
        <w:t>shkolla komb</w:t>
      </w:r>
      <w:r w:rsidRPr="00DC5ED7" w:rsidR="00A60197">
        <w:rPr>
          <w:lang w:val="sq-AL"/>
        </w:rPr>
        <w:t>ë</w:t>
      </w:r>
      <w:r w:rsidRPr="00DC5ED7" w:rsidR="00575707">
        <w:rPr>
          <w:lang w:val="sq-AL"/>
        </w:rPr>
        <w:t>tare më</w:t>
      </w:r>
      <w:r w:rsidRPr="00DC5ED7">
        <w:rPr>
          <w:lang w:val="sq-AL"/>
        </w:rPr>
        <w:t xml:space="preserve"> 1972-1973 </w:t>
      </w:r>
      <w:r w:rsidRPr="00DC5ED7" w:rsidR="00575707">
        <w:rPr>
          <w:lang w:val="sq-AL"/>
        </w:rPr>
        <w:t>dhe</w:t>
      </w:r>
      <w:r w:rsidRPr="00DC5ED7">
        <w:rPr>
          <w:lang w:val="sq-AL"/>
        </w:rPr>
        <w:t xml:space="preserve"> 3 688 </w:t>
      </w:r>
      <w:r w:rsidRPr="00DC5ED7" w:rsidR="00575707">
        <w:rPr>
          <w:lang w:val="sq-AL"/>
        </w:rPr>
        <w:t>më</w:t>
      </w:r>
      <w:r w:rsidRPr="00DC5ED7">
        <w:rPr>
          <w:lang w:val="sq-AL"/>
        </w:rPr>
        <w:t xml:space="preserve"> 1973-1974. </w:t>
      </w:r>
      <w:r w:rsidRPr="00DC5ED7" w:rsidR="00575707">
        <w:rPr>
          <w:lang w:val="sq-AL"/>
        </w:rPr>
        <w:t>Nga statistikat e Ministrisë p</w:t>
      </w:r>
      <w:r w:rsidRPr="00DC5ED7" w:rsidR="00A60197">
        <w:rPr>
          <w:lang w:val="sq-AL"/>
        </w:rPr>
        <w:t>ë</w:t>
      </w:r>
      <w:r w:rsidRPr="00DC5ED7" w:rsidR="00575707">
        <w:rPr>
          <w:lang w:val="sq-AL"/>
        </w:rPr>
        <w:t>r vitin 1973, del se shkollat komb</w:t>
      </w:r>
      <w:r w:rsidRPr="00DC5ED7" w:rsidR="00A60197">
        <w:rPr>
          <w:lang w:val="sq-AL"/>
        </w:rPr>
        <w:t>ë</w:t>
      </w:r>
      <w:r w:rsidRPr="00DC5ED7" w:rsidR="00575707">
        <w:rPr>
          <w:lang w:val="sq-AL"/>
        </w:rPr>
        <w:t>tare p</w:t>
      </w:r>
      <w:r w:rsidRPr="00DC5ED7" w:rsidR="00A60197">
        <w:rPr>
          <w:lang w:val="sq-AL"/>
        </w:rPr>
        <w:t>ë</w:t>
      </w:r>
      <w:r w:rsidRPr="00DC5ED7" w:rsidR="00575707">
        <w:rPr>
          <w:lang w:val="sq-AL"/>
        </w:rPr>
        <w:t>rbënin n</w:t>
      </w:r>
      <w:r w:rsidRPr="00DC5ED7" w:rsidR="00A60197">
        <w:rPr>
          <w:lang w:val="sq-AL"/>
        </w:rPr>
        <w:t>ë</w:t>
      </w:r>
      <w:r w:rsidRPr="00DC5ED7" w:rsidR="00575707">
        <w:rPr>
          <w:lang w:val="sq-AL"/>
        </w:rPr>
        <w:t xml:space="preserve"> atë koh</w:t>
      </w:r>
      <w:r w:rsidRPr="00DC5ED7" w:rsidR="00A60197">
        <w:rPr>
          <w:lang w:val="sq-AL"/>
        </w:rPr>
        <w:t>ë</w:t>
      </w:r>
      <w:r w:rsidRPr="00DC5ED7" w:rsidR="00575707">
        <w:rPr>
          <w:lang w:val="sq-AL"/>
        </w:rPr>
        <w:t xml:space="preserve"> 94</w:t>
      </w:r>
      <w:r w:rsidRPr="00DC5ED7">
        <w:rPr>
          <w:lang w:val="sq-AL"/>
        </w:rPr>
        <w:t xml:space="preserve">% </w:t>
      </w:r>
      <w:r w:rsidRPr="00DC5ED7" w:rsidR="00575707">
        <w:rPr>
          <w:lang w:val="sq-AL"/>
        </w:rPr>
        <w:t>t</w:t>
      </w:r>
      <w:r w:rsidRPr="00DC5ED7" w:rsidR="00A60197">
        <w:rPr>
          <w:lang w:val="sq-AL"/>
        </w:rPr>
        <w:t>ë</w:t>
      </w:r>
      <w:r w:rsidRPr="00DC5ED7" w:rsidR="00575707">
        <w:rPr>
          <w:lang w:val="sq-AL"/>
        </w:rPr>
        <w:t xml:space="preserve"> institucioneve t</w:t>
      </w:r>
      <w:r w:rsidRPr="00DC5ED7" w:rsidR="00A60197">
        <w:rPr>
          <w:lang w:val="sq-AL"/>
        </w:rPr>
        <w:t>ë</w:t>
      </w:r>
      <w:r w:rsidRPr="00DC5ED7" w:rsidR="00575707">
        <w:rPr>
          <w:lang w:val="sq-AL"/>
        </w:rPr>
        <w:t xml:space="preserve"> arsimit fillor</w:t>
      </w:r>
      <w:r w:rsidRPr="00DC5ED7">
        <w:rPr>
          <w:lang w:val="sq-AL"/>
        </w:rPr>
        <w:t xml:space="preserve">. </w:t>
      </w:r>
      <w:r w:rsidRPr="00DC5ED7" w:rsidR="00575707">
        <w:rPr>
          <w:lang w:val="sq-AL"/>
        </w:rPr>
        <w:t>Sipas nj</w:t>
      </w:r>
      <w:r w:rsidRPr="00DC5ED7" w:rsidR="00A60197">
        <w:rPr>
          <w:lang w:val="sq-AL"/>
        </w:rPr>
        <w:t>ë</w:t>
      </w:r>
      <w:r w:rsidRPr="00DC5ED7" w:rsidR="00575707">
        <w:rPr>
          <w:lang w:val="sq-AL"/>
        </w:rPr>
        <w:t xml:space="preserve"> raporti t</w:t>
      </w:r>
      <w:r w:rsidRPr="00DC5ED7" w:rsidR="00A60197">
        <w:rPr>
          <w:lang w:val="sq-AL"/>
        </w:rPr>
        <w:t>ë</w:t>
      </w:r>
      <w:r w:rsidRPr="00DC5ED7" w:rsidR="00575707">
        <w:rPr>
          <w:lang w:val="sq-AL"/>
        </w:rPr>
        <w:t xml:space="preserve"> vitit </w:t>
      </w:r>
      <w:r w:rsidRPr="00DC5ED7">
        <w:rPr>
          <w:lang w:val="sq-AL"/>
        </w:rPr>
        <w:t xml:space="preserve">1965 </w:t>
      </w:r>
      <w:r w:rsidRPr="00DC5ED7" w:rsidR="00575707">
        <w:rPr>
          <w:lang w:val="sq-AL"/>
        </w:rPr>
        <w:t>me titull “Raport p</w:t>
      </w:r>
      <w:r w:rsidRPr="00DC5ED7" w:rsidR="00A60197">
        <w:rPr>
          <w:lang w:val="sq-AL"/>
        </w:rPr>
        <w:t>ë</w:t>
      </w:r>
      <w:r w:rsidRPr="00DC5ED7" w:rsidR="00575707">
        <w:rPr>
          <w:lang w:val="sq-AL"/>
        </w:rPr>
        <w:t>r investimet n</w:t>
      </w:r>
      <w:r w:rsidRPr="00DC5ED7" w:rsidR="00A60197">
        <w:rPr>
          <w:lang w:val="sq-AL"/>
        </w:rPr>
        <w:t>ë</w:t>
      </w:r>
      <w:r w:rsidRPr="00DC5ED7" w:rsidR="00575707">
        <w:rPr>
          <w:lang w:val="sq-AL"/>
        </w:rPr>
        <w:t xml:space="preserve"> fushën e arsimit”</w:t>
      </w:r>
      <w:r w:rsidRPr="00DC5ED7">
        <w:rPr>
          <w:lang w:val="sq-AL"/>
        </w:rPr>
        <w:t xml:space="preserve"> (</w:t>
      </w:r>
      <w:r w:rsidRPr="00DC5ED7">
        <w:rPr>
          <w:i/>
          <w:lang w:val="sq-AL"/>
        </w:rPr>
        <w:t>Investment in Education Report</w:t>
      </w:r>
      <w:r w:rsidRPr="00DC5ED7">
        <w:rPr>
          <w:lang w:val="sq-AL"/>
        </w:rPr>
        <w:t>)</w:t>
      </w:r>
      <w:r w:rsidRPr="00DC5ED7" w:rsidR="00575707">
        <w:rPr>
          <w:lang w:val="sq-AL"/>
        </w:rPr>
        <w:t xml:space="preserve">, i cili i referohej vitit shkollor </w:t>
      </w:r>
      <w:r w:rsidRPr="00DC5ED7">
        <w:rPr>
          <w:lang w:val="sq-AL"/>
        </w:rPr>
        <w:t xml:space="preserve">1962-1963, </w:t>
      </w:r>
      <w:r w:rsidRPr="00DC5ED7" w:rsidR="00575707">
        <w:rPr>
          <w:lang w:val="sq-AL"/>
        </w:rPr>
        <w:t>Kisha Katolike administronte 91</w:t>
      </w:r>
      <w:r w:rsidRPr="00DC5ED7">
        <w:rPr>
          <w:lang w:val="sq-AL"/>
        </w:rPr>
        <w:t xml:space="preserve">% </w:t>
      </w:r>
      <w:r w:rsidRPr="00DC5ED7" w:rsidR="00575707">
        <w:rPr>
          <w:lang w:val="sq-AL"/>
        </w:rPr>
        <w:t>t</w:t>
      </w:r>
      <w:r w:rsidRPr="00DC5ED7" w:rsidR="00A60197">
        <w:rPr>
          <w:lang w:val="sq-AL"/>
        </w:rPr>
        <w:t>ë</w:t>
      </w:r>
      <w:r w:rsidRPr="00DC5ED7" w:rsidR="00575707">
        <w:rPr>
          <w:lang w:val="sq-AL"/>
        </w:rPr>
        <w:t xml:space="preserve"> shkollave komb</w:t>
      </w:r>
      <w:r w:rsidRPr="00DC5ED7" w:rsidR="00A60197">
        <w:rPr>
          <w:lang w:val="sq-AL"/>
        </w:rPr>
        <w:t>ë</w:t>
      </w:r>
      <w:r w:rsidRPr="00DC5ED7" w:rsidR="00575707">
        <w:rPr>
          <w:lang w:val="sq-AL"/>
        </w:rPr>
        <w:t>tare ku ndodheshin 97,6</w:t>
      </w:r>
      <w:r w:rsidRPr="00DC5ED7">
        <w:rPr>
          <w:lang w:val="sq-AL"/>
        </w:rPr>
        <w:t xml:space="preserve">% </w:t>
      </w:r>
      <w:r w:rsidRPr="00DC5ED7" w:rsidR="00575707">
        <w:rPr>
          <w:lang w:val="sq-AL"/>
        </w:rPr>
        <w:t>t</w:t>
      </w:r>
      <w:r w:rsidRPr="00DC5ED7" w:rsidR="00A60197">
        <w:rPr>
          <w:lang w:val="sq-AL"/>
        </w:rPr>
        <w:t>ë</w:t>
      </w:r>
      <w:r w:rsidRPr="00DC5ED7" w:rsidR="00575707">
        <w:rPr>
          <w:lang w:val="sq-AL"/>
        </w:rPr>
        <w:t xml:space="preserve"> nx</w:t>
      </w:r>
      <w:r w:rsidRPr="00DC5ED7" w:rsidR="00A60197">
        <w:rPr>
          <w:lang w:val="sq-AL"/>
        </w:rPr>
        <w:t>ë</w:t>
      </w:r>
      <w:r w:rsidRPr="00DC5ED7" w:rsidR="00575707">
        <w:rPr>
          <w:lang w:val="sq-AL"/>
        </w:rPr>
        <w:t>nësve q</w:t>
      </w:r>
      <w:r w:rsidRPr="00DC5ED7" w:rsidR="00A60197">
        <w:rPr>
          <w:lang w:val="sq-AL"/>
        </w:rPr>
        <w:t>ë</w:t>
      </w:r>
      <w:r w:rsidRPr="00DC5ED7" w:rsidR="00575707">
        <w:rPr>
          <w:lang w:val="sq-AL"/>
        </w:rPr>
        <w:t xml:space="preserve"> frekuentonin k</w:t>
      </w:r>
      <w:r w:rsidRPr="00DC5ED7" w:rsidR="00A60197">
        <w:rPr>
          <w:lang w:val="sq-AL"/>
        </w:rPr>
        <w:t>ë</w:t>
      </w:r>
      <w:r w:rsidRPr="00DC5ED7" w:rsidR="00575707">
        <w:rPr>
          <w:lang w:val="sq-AL"/>
        </w:rPr>
        <w:t>t</w:t>
      </w:r>
      <w:r w:rsidRPr="00DC5ED7" w:rsidR="00A60197">
        <w:rPr>
          <w:lang w:val="sq-AL"/>
        </w:rPr>
        <w:t>ë</w:t>
      </w:r>
      <w:r w:rsidRPr="00DC5ED7" w:rsidR="00575707">
        <w:rPr>
          <w:lang w:val="sq-AL"/>
        </w:rPr>
        <w:t xml:space="preserve"> lloj institucionesh, nd</w:t>
      </w:r>
      <w:r w:rsidRPr="00DC5ED7" w:rsidR="00A60197">
        <w:rPr>
          <w:lang w:val="sq-AL"/>
        </w:rPr>
        <w:t>ë</w:t>
      </w:r>
      <w:r w:rsidRPr="00DC5ED7" w:rsidR="00575707">
        <w:rPr>
          <w:lang w:val="sq-AL"/>
        </w:rPr>
        <w:t>rsa përqindjet për Kishën Protestante ishin përkatësisht 9</w:t>
      </w:r>
      <w:r w:rsidRPr="00DC5ED7">
        <w:rPr>
          <w:lang w:val="sq-AL"/>
        </w:rPr>
        <w:t xml:space="preserve">% </w:t>
      </w:r>
      <w:r w:rsidRPr="00DC5ED7" w:rsidR="00575707">
        <w:rPr>
          <w:lang w:val="sq-AL"/>
        </w:rPr>
        <w:t>dhe 2,4</w:t>
      </w:r>
      <w:r w:rsidRPr="00DC5ED7">
        <w:rPr>
          <w:lang w:val="sq-AL"/>
        </w:rPr>
        <w:t xml:space="preserve">%. </w:t>
      </w:r>
      <w:r w:rsidRPr="00DC5ED7" w:rsidR="00575707">
        <w:rPr>
          <w:lang w:val="sq-AL"/>
        </w:rPr>
        <w:t xml:space="preserve">Një raport i hartuar më </w:t>
      </w:r>
      <w:r w:rsidRPr="00DC5ED7">
        <w:rPr>
          <w:lang w:val="sq-AL"/>
        </w:rPr>
        <w:t xml:space="preserve">2011 </w:t>
      </w:r>
      <w:r w:rsidRPr="00DC5ED7" w:rsidR="00575707">
        <w:rPr>
          <w:lang w:val="sq-AL"/>
        </w:rPr>
        <w:t>nga Ministria tregon se rreth 96</w:t>
      </w:r>
      <w:r w:rsidRPr="00DC5ED7">
        <w:rPr>
          <w:lang w:val="sq-AL"/>
        </w:rPr>
        <w:t xml:space="preserve">% </w:t>
      </w:r>
      <w:r w:rsidRPr="00DC5ED7" w:rsidR="00575707">
        <w:rPr>
          <w:lang w:val="sq-AL"/>
        </w:rPr>
        <w:t>t</w:t>
      </w:r>
      <w:r w:rsidRPr="00DC5ED7" w:rsidR="00A60197">
        <w:rPr>
          <w:lang w:val="sq-AL"/>
        </w:rPr>
        <w:t>ë</w:t>
      </w:r>
      <w:r w:rsidRPr="00DC5ED7" w:rsidR="00575707">
        <w:rPr>
          <w:lang w:val="sq-AL"/>
        </w:rPr>
        <w:t xml:space="preserve"> shkollave fillore vazhdonin t</w:t>
      </w:r>
      <w:r w:rsidRPr="00DC5ED7" w:rsidR="00A60197">
        <w:rPr>
          <w:lang w:val="sq-AL"/>
        </w:rPr>
        <w:t>ë</w:t>
      </w:r>
      <w:r w:rsidRPr="00DC5ED7" w:rsidR="00575707">
        <w:rPr>
          <w:lang w:val="sq-AL"/>
        </w:rPr>
        <w:t xml:space="preserve"> ishin asokohe n</w:t>
      </w:r>
      <w:r w:rsidRPr="00DC5ED7" w:rsidR="00A60197">
        <w:rPr>
          <w:lang w:val="sq-AL"/>
        </w:rPr>
        <w:t>ë</w:t>
      </w:r>
      <w:r w:rsidRPr="00DC5ED7" w:rsidR="00575707">
        <w:rPr>
          <w:lang w:val="sq-AL"/>
        </w:rPr>
        <w:t>n patronazh e administrim fetar (nga t</w:t>
      </w:r>
      <w:r w:rsidRPr="00DC5ED7" w:rsidR="00A60197">
        <w:rPr>
          <w:lang w:val="sq-AL"/>
        </w:rPr>
        <w:t>ë</w:t>
      </w:r>
      <w:r w:rsidRPr="00DC5ED7" w:rsidR="00575707">
        <w:rPr>
          <w:lang w:val="sq-AL"/>
        </w:rPr>
        <w:t xml:space="preserve"> cilat 89,65</w:t>
      </w:r>
      <w:r w:rsidRPr="00DC5ED7">
        <w:rPr>
          <w:lang w:val="sq-AL"/>
        </w:rPr>
        <w:t xml:space="preserve">% </w:t>
      </w:r>
      <w:r w:rsidRPr="00DC5ED7" w:rsidR="00575707">
        <w:rPr>
          <w:lang w:val="sq-AL"/>
        </w:rPr>
        <w:t>n</w:t>
      </w:r>
      <w:r w:rsidRPr="00DC5ED7" w:rsidR="00A60197">
        <w:rPr>
          <w:lang w:val="sq-AL"/>
        </w:rPr>
        <w:t>ë</w:t>
      </w:r>
      <w:r w:rsidRPr="00DC5ED7" w:rsidR="00575707">
        <w:rPr>
          <w:lang w:val="sq-AL"/>
        </w:rPr>
        <w:t>n patronazh e administrim katolik).</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52</w:t>
      </w:r>
      <w:r w:rsidRPr="00DC5ED7">
        <w:rPr>
          <w:lang w:val="sq-AL"/>
        </w:rPr>
        <w:fldChar w:fldCharType="end"/>
      </w:r>
      <w:r w:rsidRPr="00DC5ED7">
        <w:rPr>
          <w:lang w:val="sq-AL"/>
        </w:rPr>
        <w:t>.  </w:t>
      </w:r>
      <w:r w:rsidRPr="00DC5ED7" w:rsidR="00A60197">
        <w:rPr>
          <w:lang w:val="sq-AL"/>
        </w:rPr>
        <w:t>Më</w:t>
      </w:r>
      <w:r w:rsidRPr="00DC5ED7">
        <w:rPr>
          <w:lang w:val="sq-AL"/>
        </w:rPr>
        <w:t xml:space="preserve"> 1963-1964, 192 </w:t>
      </w:r>
      <w:r w:rsidRPr="00DC5ED7" w:rsidR="00A60197">
        <w:rPr>
          <w:lang w:val="sq-AL"/>
        </w:rPr>
        <w:t xml:space="preserve">shkolla fillore me pagesë dhe jo të subvencionuara nga shteti kishin rreth </w:t>
      </w:r>
      <w:r w:rsidRPr="00DC5ED7">
        <w:rPr>
          <w:lang w:val="sq-AL"/>
        </w:rPr>
        <w:t xml:space="preserve">21 000 </w:t>
      </w:r>
      <w:r w:rsidRPr="00DC5ED7" w:rsidR="00A60197">
        <w:rPr>
          <w:lang w:val="sq-AL"/>
        </w:rPr>
        <w:t>fëmijë</w:t>
      </w:r>
      <w:r w:rsidRPr="00DC5ED7">
        <w:rPr>
          <w:lang w:val="sq-AL"/>
        </w:rPr>
        <w:t xml:space="preserve">, </w:t>
      </w:r>
      <w:r w:rsidRPr="00DC5ED7" w:rsidR="00A60197">
        <w:rPr>
          <w:lang w:val="sq-AL"/>
        </w:rPr>
        <w:t>ose</w:t>
      </w:r>
      <w:r w:rsidRPr="00DC5ED7">
        <w:rPr>
          <w:lang w:val="sq-AL"/>
        </w:rPr>
        <w:t xml:space="preserve"> 4 </w:t>
      </w:r>
      <w:r w:rsidRPr="00DC5ED7" w:rsidR="00A60197">
        <w:rPr>
          <w:lang w:val="sq-AL"/>
        </w:rPr>
        <w:t>deri në 4,5</w:t>
      </w:r>
      <w:r w:rsidRPr="00DC5ED7">
        <w:rPr>
          <w:lang w:val="sq-AL"/>
        </w:rPr>
        <w:t xml:space="preserve">% </w:t>
      </w:r>
      <w:r w:rsidRPr="00DC5ED7" w:rsidR="00A60197">
        <w:rPr>
          <w:lang w:val="sq-AL"/>
        </w:rPr>
        <w:t xml:space="preserve">të të gjithë nxënësve të institucioneve të arsimit fillor. Këto institucione ndodheshin kryesisht në zona urbane, dhe një pjesë e madhe e tyre në </w:t>
      </w:r>
      <w:r w:rsidRPr="00DC5ED7">
        <w:rPr>
          <w:lang w:val="sq-AL"/>
        </w:rPr>
        <w:t>Dublin.</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53</w:t>
      </w:r>
      <w:r w:rsidRPr="00DC5ED7">
        <w:rPr>
          <w:lang w:val="sq-AL"/>
        </w:rPr>
        <w:fldChar w:fldCharType="end"/>
      </w:r>
      <w:r w:rsidRPr="00DC5ED7">
        <w:rPr>
          <w:lang w:val="sq-AL"/>
        </w:rPr>
        <w:t>.  </w:t>
      </w:r>
      <w:r w:rsidRPr="00DC5ED7" w:rsidR="00A60197">
        <w:rPr>
          <w:lang w:val="sq-AL"/>
        </w:rPr>
        <w:t>“Raporti i Komisionit t</w:t>
      </w:r>
      <w:r w:rsidRPr="00DC5ED7" w:rsidR="00CB6323">
        <w:rPr>
          <w:lang w:val="sq-AL"/>
        </w:rPr>
        <w:t>ë</w:t>
      </w:r>
      <w:r w:rsidRPr="00DC5ED7" w:rsidR="00A60197">
        <w:rPr>
          <w:lang w:val="sq-AL"/>
        </w:rPr>
        <w:t xml:space="preserve"> Institucioneve Shkollore rreth kritereve të rishikuara për ngritjen e shkollave të reja fillore” </w:t>
      </w:r>
      <w:r w:rsidRPr="00DC5ED7">
        <w:rPr>
          <w:lang w:val="sq-AL"/>
        </w:rPr>
        <w:t>(</w:t>
      </w:r>
      <w:r w:rsidRPr="00DC5ED7">
        <w:rPr>
          <w:i/>
          <w:lang w:val="sq-AL"/>
        </w:rPr>
        <w:t>Commission on School Accommodation</w:t>
      </w:r>
      <w:r w:rsidR="00943091">
        <w:rPr>
          <w:i/>
          <w:lang w:val="sq-AL"/>
        </w:rPr>
        <w:t>’</w:t>
      </w:r>
      <w:r w:rsidRPr="00DC5ED7">
        <w:rPr>
          <w:i/>
          <w:lang w:val="sq-AL"/>
        </w:rPr>
        <w:t>s Report on the Revised Criteria for the Establishment of New Primary Schools</w:t>
      </w:r>
      <w:r w:rsidRPr="00DC5ED7">
        <w:rPr>
          <w:lang w:val="sq-AL"/>
        </w:rPr>
        <w:t xml:space="preserve">), </w:t>
      </w:r>
      <w:r w:rsidRPr="00DC5ED7" w:rsidR="00A60197">
        <w:rPr>
          <w:lang w:val="sq-AL"/>
        </w:rPr>
        <w:t>i botuar n</w:t>
      </w:r>
      <w:r w:rsidRPr="00DC5ED7" w:rsidR="00CB6323">
        <w:rPr>
          <w:lang w:val="sq-AL"/>
        </w:rPr>
        <w:t>ë</w:t>
      </w:r>
      <w:r w:rsidRPr="00DC5ED7" w:rsidR="00A60197">
        <w:rPr>
          <w:lang w:val="sq-AL"/>
        </w:rPr>
        <w:t xml:space="preserve"> shkurt </w:t>
      </w:r>
      <w:r w:rsidRPr="00DC5ED7">
        <w:rPr>
          <w:lang w:val="sq-AL"/>
        </w:rPr>
        <w:t xml:space="preserve">2011, </w:t>
      </w:r>
      <w:r w:rsidRPr="00DC5ED7" w:rsidR="00A60197">
        <w:rPr>
          <w:lang w:val="sq-AL"/>
        </w:rPr>
        <w:t>pohon se</w:t>
      </w:r>
      <w:r w:rsidRPr="00DC5ED7">
        <w:rPr>
          <w:lang w:val="sq-AL"/>
        </w:rPr>
        <w:t xml:space="preserve">, </w:t>
      </w:r>
      <w:r w:rsidRPr="00DC5ED7" w:rsidR="00A60197">
        <w:rPr>
          <w:lang w:val="sq-AL"/>
        </w:rPr>
        <w:t>deri n</w:t>
      </w:r>
      <w:r w:rsidRPr="00DC5ED7" w:rsidR="00CB6323">
        <w:rPr>
          <w:lang w:val="sq-AL"/>
        </w:rPr>
        <w:t>ë</w:t>
      </w:r>
      <w:r w:rsidRPr="00DC5ED7" w:rsidR="00A60197">
        <w:rPr>
          <w:lang w:val="sq-AL"/>
        </w:rPr>
        <w:t xml:space="preserve"> vitet </w:t>
      </w:r>
      <w:r w:rsidRPr="00DC5ED7">
        <w:rPr>
          <w:lang w:val="sq-AL"/>
        </w:rPr>
        <w:t xml:space="preserve">1970, </w:t>
      </w:r>
      <w:r w:rsidRPr="00DC5ED7" w:rsidR="00A60197">
        <w:rPr>
          <w:lang w:val="sq-AL"/>
        </w:rPr>
        <w:t>shkolla komb</w:t>
      </w:r>
      <w:r w:rsidRPr="00DC5ED7" w:rsidR="00CB6323">
        <w:rPr>
          <w:lang w:val="sq-AL"/>
        </w:rPr>
        <w:t>ë</w:t>
      </w:r>
      <w:r w:rsidRPr="00DC5ED7" w:rsidR="00A60197">
        <w:rPr>
          <w:lang w:val="sq-AL"/>
        </w:rPr>
        <w:t>tare lokale p</w:t>
      </w:r>
      <w:r w:rsidRPr="00DC5ED7" w:rsidR="00CB6323">
        <w:rPr>
          <w:lang w:val="sq-AL"/>
        </w:rPr>
        <w:t>ë</w:t>
      </w:r>
      <w:r w:rsidRPr="00DC5ED7" w:rsidR="00A60197">
        <w:rPr>
          <w:lang w:val="sq-AL"/>
        </w:rPr>
        <w:t>rb</w:t>
      </w:r>
      <w:r w:rsidRPr="00DC5ED7" w:rsidR="00CB6323">
        <w:rPr>
          <w:lang w:val="sq-AL"/>
        </w:rPr>
        <w:t>ë</w:t>
      </w:r>
      <w:r w:rsidRPr="00DC5ED7" w:rsidR="00A60197">
        <w:rPr>
          <w:lang w:val="sq-AL"/>
        </w:rPr>
        <w:t>nte p</w:t>
      </w:r>
      <w:r w:rsidRPr="00DC5ED7" w:rsidR="00CB6323">
        <w:rPr>
          <w:lang w:val="sq-AL"/>
        </w:rPr>
        <w:t>ë</w:t>
      </w:r>
      <w:r w:rsidRPr="00DC5ED7" w:rsidR="00A60197">
        <w:rPr>
          <w:lang w:val="sq-AL"/>
        </w:rPr>
        <w:t>r prind</w:t>
      </w:r>
      <w:r w:rsidRPr="00DC5ED7" w:rsidR="00CB6323">
        <w:rPr>
          <w:lang w:val="sq-AL"/>
        </w:rPr>
        <w:t>ë</w:t>
      </w:r>
      <w:r w:rsidRPr="00DC5ED7" w:rsidR="00A60197">
        <w:rPr>
          <w:lang w:val="sq-AL"/>
        </w:rPr>
        <w:t>rit mund</w:t>
      </w:r>
      <w:r w:rsidRPr="00DC5ED7" w:rsidR="00CB6323">
        <w:rPr>
          <w:lang w:val="sq-AL"/>
        </w:rPr>
        <w:t>ë</w:t>
      </w:r>
      <w:r w:rsidRPr="00DC5ED7" w:rsidR="00A60197">
        <w:rPr>
          <w:lang w:val="sq-AL"/>
        </w:rPr>
        <w:t>sin</w:t>
      </w:r>
      <w:r w:rsidRPr="00DC5ED7" w:rsidR="00CB6323">
        <w:rPr>
          <w:lang w:val="sq-AL"/>
        </w:rPr>
        <w:t>ë</w:t>
      </w:r>
      <w:r w:rsidRPr="00DC5ED7" w:rsidR="00A60197">
        <w:rPr>
          <w:lang w:val="sq-AL"/>
        </w:rPr>
        <w:t xml:space="preserve"> e vetme efektive p</w:t>
      </w:r>
      <w:r w:rsidRPr="00DC5ED7" w:rsidR="00CB6323">
        <w:rPr>
          <w:lang w:val="sq-AL"/>
        </w:rPr>
        <w:t>ë</w:t>
      </w:r>
      <w:r w:rsidRPr="00DC5ED7" w:rsidR="00A60197">
        <w:rPr>
          <w:lang w:val="sq-AL"/>
        </w:rPr>
        <w:t>r t</w:t>
      </w:r>
      <w:r w:rsidRPr="00DC5ED7" w:rsidR="00CB6323">
        <w:rPr>
          <w:lang w:val="sq-AL"/>
        </w:rPr>
        <w:t>ë</w:t>
      </w:r>
      <w:r w:rsidRPr="00DC5ED7" w:rsidR="00A60197">
        <w:rPr>
          <w:lang w:val="sq-AL"/>
        </w:rPr>
        <w:t xml:space="preserve"> zgjedhur.</w:t>
      </w:r>
      <w:r w:rsidRPr="00DC5ED7">
        <w:rPr>
          <w:lang w:val="sq-AL"/>
        </w:rPr>
        <w:t xml:space="preserve"> </w:t>
      </w:r>
      <w:r w:rsidRPr="00DC5ED7" w:rsidR="00A60197">
        <w:rPr>
          <w:lang w:val="sq-AL"/>
        </w:rPr>
        <w:t>Ky raport b</w:t>
      </w:r>
      <w:r w:rsidRPr="00DC5ED7" w:rsidR="00CB6323">
        <w:rPr>
          <w:lang w:val="sq-AL"/>
        </w:rPr>
        <w:t>ë</w:t>
      </w:r>
      <w:r w:rsidRPr="00DC5ED7" w:rsidR="00A60197">
        <w:rPr>
          <w:lang w:val="sq-AL"/>
        </w:rPr>
        <w:t>n fjal</w:t>
      </w:r>
      <w:r w:rsidRPr="00DC5ED7" w:rsidR="00CB6323">
        <w:rPr>
          <w:lang w:val="sq-AL"/>
        </w:rPr>
        <w:t>ë</w:t>
      </w:r>
      <w:r w:rsidRPr="00DC5ED7" w:rsidR="00A60197">
        <w:rPr>
          <w:lang w:val="sq-AL"/>
        </w:rPr>
        <w:t xml:space="preserve"> p</w:t>
      </w:r>
      <w:r w:rsidRPr="00DC5ED7" w:rsidR="00CB6323">
        <w:rPr>
          <w:lang w:val="sq-AL"/>
        </w:rPr>
        <w:t>ë</w:t>
      </w:r>
      <w:r w:rsidRPr="00DC5ED7" w:rsidR="00A60197">
        <w:rPr>
          <w:lang w:val="sq-AL"/>
        </w:rPr>
        <w:t>r ekzistenc</w:t>
      </w:r>
      <w:r w:rsidRPr="00DC5ED7" w:rsidR="00CB6323">
        <w:rPr>
          <w:lang w:val="sq-AL"/>
        </w:rPr>
        <w:t>ë</w:t>
      </w:r>
      <w:r w:rsidRPr="00DC5ED7" w:rsidR="00A60197">
        <w:rPr>
          <w:lang w:val="sq-AL"/>
        </w:rPr>
        <w:t>n</w:t>
      </w:r>
      <w:r w:rsidRPr="00DC5ED7" w:rsidR="00CB6323">
        <w:rPr>
          <w:lang w:val="sq-AL"/>
        </w:rPr>
        <w:t>, në fund të viteve 1970, të disa elementeve që lajmëronin ndryshime, si për shembull krijimi më 1978 i shkollës së parë me fe të ndryshme dhe një rritje e numrit të shkollave ndërfetare ose me fe të ndryshme në gjuhën irlandeze</w:t>
      </w:r>
      <w:r w:rsidRPr="00DC5ED7">
        <w:rPr>
          <w:lang w:val="sq-AL"/>
        </w:rPr>
        <w:t>.</w:t>
      </w:r>
    </w:p>
    <w:p w:rsidRPr="00DC5ED7" w:rsidR="00EB737A" w:rsidP="00EB737A" w:rsidRDefault="00EB737A">
      <w:pPr>
        <w:pStyle w:val="ECHRHeading3"/>
        <w:rPr>
          <w:lang w:val="sq-AL"/>
        </w:rPr>
      </w:pPr>
      <w:r w:rsidRPr="00DC5ED7">
        <w:rPr>
          <w:lang w:val="sq-AL"/>
        </w:rPr>
        <w:t>2.  </w:t>
      </w:r>
      <w:r w:rsidRPr="00DC5ED7" w:rsidR="00CB6323">
        <w:rPr>
          <w:lang w:val="sq-AL"/>
        </w:rPr>
        <w:t>Kushtetuta e vitit</w:t>
      </w:r>
      <w:r w:rsidRPr="00DC5ED7">
        <w:rPr>
          <w:lang w:val="sq-AL"/>
        </w:rPr>
        <w:t xml:space="preserve"> 1937</w:t>
      </w:r>
    </w:p>
    <w:p w:rsidRPr="00DC5ED7" w:rsidR="00EB737A"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54</w:t>
      </w:r>
      <w:r w:rsidRPr="00DC5ED7">
        <w:rPr>
          <w:lang w:val="sq-AL"/>
        </w:rPr>
        <w:fldChar w:fldCharType="end"/>
      </w:r>
      <w:r w:rsidRPr="00DC5ED7">
        <w:rPr>
          <w:lang w:val="sq-AL"/>
        </w:rPr>
        <w:t>.  </w:t>
      </w:r>
      <w:r w:rsidRPr="00DC5ED7" w:rsidR="00CB6323">
        <w:rPr>
          <w:lang w:val="sq-AL"/>
        </w:rPr>
        <w:t>Neni</w:t>
      </w:r>
      <w:r w:rsidRPr="00DC5ED7">
        <w:rPr>
          <w:lang w:val="sq-AL"/>
        </w:rPr>
        <w:t xml:space="preserve"> 42, </w:t>
      </w:r>
      <w:r w:rsidRPr="00DC5ED7" w:rsidR="00CB6323">
        <w:rPr>
          <w:lang w:val="sq-AL"/>
        </w:rPr>
        <w:t>me titull “Arsimi”, shprehet si vijon</w:t>
      </w:r>
      <w:r w:rsidRPr="00DC5ED7">
        <w:rPr>
          <w:lang w:val="sq-AL"/>
        </w:rPr>
        <w:t>:</w:t>
      </w:r>
    </w:p>
    <w:p w:rsidRPr="00DC5ED7" w:rsidR="00EB737A" w:rsidP="00EB737A" w:rsidRDefault="00CB6323">
      <w:pPr>
        <w:pStyle w:val="ECHRParaQuote"/>
        <w:rPr>
          <w:lang w:val="sq-AL" w:eastAsia="en-US"/>
        </w:rPr>
      </w:pPr>
      <w:r w:rsidRPr="00DC5ED7">
        <w:rPr>
          <w:lang w:val="sq-AL" w:eastAsia="en-US"/>
        </w:rPr>
        <w:t>“</w:t>
      </w:r>
      <w:r w:rsidRPr="00DC5ED7" w:rsidR="00EB737A">
        <w:rPr>
          <w:lang w:val="sq-AL" w:eastAsia="en-US"/>
        </w:rPr>
        <w:t>1.  </w:t>
      </w:r>
      <w:r w:rsidRPr="00DC5ED7">
        <w:rPr>
          <w:lang w:val="sq-AL" w:eastAsia="en-US"/>
        </w:rPr>
        <w:t>Shteti e pranon q</w:t>
      </w:r>
      <w:r w:rsidRPr="00DC5ED7" w:rsidR="00BE6377">
        <w:rPr>
          <w:lang w:val="sq-AL" w:eastAsia="en-US"/>
        </w:rPr>
        <w:t>ë</w:t>
      </w:r>
      <w:r w:rsidRPr="00DC5ED7">
        <w:rPr>
          <w:lang w:val="sq-AL" w:eastAsia="en-US"/>
        </w:rPr>
        <w:t xml:space="preserve"> edukues i par</w:t>
      </w:r>
      <w:r w:rsidRPr="00DC5ED7" w:rsidR="00BE6377">
        <w:rPr>
          <w:lang w:val="sq-AL" w:eastAsia="en-US"/>
        </w:rPr>
        <w:t>ë</w:t>
      </w:r>
      <w:r w:rsidRPr="00DC5ED7">
        <w:rPr>
          <w:lang w:val="sq-AL" w:eastAsia="en-US"/>
        </w:rPr>
        <w:t xml:space="preserve"> e i natyrsh</w:t>
      </w:r>
      <w:r w:rsidRPr="00DC5ED7" w:rsidR="00BE6377">
        <w:rPr>
          <w:lang w:val="sq-AL" w:eastAsia="en-US"/>
        </w:rPr>
        <w:t>ë</w:t>
      </w:r>
      <w:r w:rsidRPr="00DC5ED7">
        <w:rPr>
          <w:lang w:val="sq-AL" w:eastAsia="en-US"/>
        </w:rPr>
        <w:t>m i f</w:t>
      </w:r>
      <w:r w:rsidRPr="00DC5ED7" w:rsidR="00BE6377">
        <w:rPr>
          <w:lang w:val="sq-AL" w:eastAsia="en-US"/>
        </w:rPr>
        <w:t>ë</w:t>
      </w:r>
      <w:r w:rsidRPr="00DC5ED7">
        <w:rPr>
          <w:lang w:val="sq-AL" w:eastAsia="en-US"/>
        </w:rPr>
        <w:t>mij</w:t>
      </w:r>
      <w:r w:rsidRPr="00DC5ED7" w:rsidR="00BE6377">
        <w:rPr>
          <w:lang w:val="sq-AL" w:eastAsia="en-US"/>
        </w:rPr>
        <w:t>ë</w:t>
      </w:r>
      <w:r w:rsidRPr="00DC5ED7">
        <w:rPr>
          <w:lang w:val="sq-AL" w:eastAsia="en-US"/>
        </w:rPr>
        <w:t>s ësht</w:t>
      </w:r>
      <w:r w:rsidRPr="00DC5ED7" w:rsidR="00BE6377">
        <w:rPr>
          <w:lang w:val="sq-AL" w:eastAsia="en-US"/>
        </w:rPr>
        <w:t>ë</w:t>
      </w:r>
      <w:r w:rsidRPr="00DC5ED7">
        <w:rPr>
          <w:lang w:val="sq-AL" w:eastAsia="en-US"/>
        </w:rPr>
        <w:t xml:space="preserve"> Familja dhe ai e garanton respektimin e s</w:t>
      </w:r>
      <w:r w:rsidRPr="00DC5ED7" w:rsidR="00BE6377">
        <w:rPr>
          <w:lang w:val="sq-AL" w:eastAsia="en-US"/>
        </w:rPr>
        <w:t>ë</w:t>
      </w:r>
      <w:r w:rsidRPr="00DC5ED7">
        <w:rPr>
          <w:lang w:val="sq-AL" w:eastAsia="en-US"/>
        </w:rPr>
        <w:t xml:space="preserve"> drejt</w:t>
      </w:r>
      <w:r w:rsidRPr="00DC5ED7" w:rsidR="00BE6377">
        <w:rPr>
          <w:lang w:val="sq-AL" w:eastAsia="en-US"/>
        </w:rPr>
        <w:t>ë</w:t>
      </w:r>
      <w:r w:rsidRPr="00DC5ED7">
        <w:rPr>
          <w:lang w:val="sq-AL" w:eastAsia="en-US"/>
        </w:rPr>
        <w:t>s dhe t</w:t>
      </w:r>
      <w:r w:rsidRPr="00DC5ED7" w:rsidR="00BE6377">
        <w:rPr>
          <w:lang w:val="sq-AL" w:eastAsia="en-US"/>
        </w:rPr>
        <w:t>ë</w:t>
      </w:r>
      <w:r w:rsidRPr="00DC5ED7">
        <w:rPr>
          <w:lang w:val="sq-AL" w:eastAsia="en-US"/>
        </w:rPr>
        <w:t xml:space="preserve"> detyrës s</w:t>
      </w:r>
      <w:r w:rsidRPr="00DC5ED7" w:rsidR="00BE6377">
        <w:rPr>
          <w:lang w:val="sq-AL" w:eastAsia="en-US"/>
        </w:rPr>
        <w:t>ë</w:t>
      </w:r>
      <w:r w:rsidRPr="00DC5ED7">
        <w:rPr>
          <w:lang w:val="sq-AL" w:eastAsia="en-US"/>
        </w:rPr>
        <w:t xml:space="preserve"> patjet</w:t>
      </w:r>
      <w:r w:rsidRPr="00DC5ED7" w:rsidR="00BE6377">
        <w:rPr>
          <w:lang w:val="sq-AL" w:eastAsia="en-US"/>
        </w:rPr>
        <w:t>ë</w:t>
      </w:r>
      <w:r w:rsidRPr="00DC5ED7">
        <w:rPr>
          <w:lang w:val="sq-AL" w:eastAsia="en-US"/>
        </w:rPr>
        <w:t>rsueshme t</w:t>
      </w:r>
      <w:r w:rsidRPr="00DC5ED7" w:rsidR="00BE6377">
        <w:rPr>
          <w:lang w:val="sq-AL" w:eastAsia="en-US"/>
        </w:rPr>
        <w:t>ë</w:t>
      </w:r>
      <w:r w:rsidRPr="00DC5ED7">
        <w:rPr>
          <w:lang w:val="sq-AL" w:eastAsia="en-US"/>
        </w:rPr>
        <w:t xml:space="preserve"> prind</w:t>
      </w:r>
      <w:r w:rsidRPr="00DC5ED7" w:rsidR="00BE6377">
        <w:rPr>
          <w:lang w:val="sq-AL" w:eastAsia="en-US"/>
        </w:rPr>
        <w:t>ë</w:t>
      </w:r>
      <w:r w:rsidRPr="00DC5ED7">
        <w:rPr>
          <w:lang w:val="sq-AL" w:eastAsia="en-US"/>
        </w:rPr>
        <w:t>rve për të siguruar, sipas mund</w:t>
      </w:r>
      <w:r w:rsidRPr="00DC5ED7" w:rsidR="00BE6377">
        <w:rPr>
          <w:lang w:val="sq-AL" w:eastAsia="en-US"/>
        </w:rPr>
        <w:t>ë</w:t>
      </w:r>
      <w:r w:rsidRPr="00DC5ED7">
        <w:rPr>
          <w:lang w:val="sq-AL" w:eastAsia="en-US"/>
        </w:rPr>
        <w:t>sive t</w:t>
      </w:r>
      <w:r w:rsidRPr="00DC5ED7" w:rsidR="00BE6377">
        <w:rPr>
          <w:lang w:val="sq-AL" w:eastAsia="en-US"/>
        </w:rPr>
        <w:t>ë</w:t>
      </w:r>
      <w:r w:rsidRPr="00DC5ED7">
        <w:rPr>
          <w:lang w:val="sq-AL" w:eastAsia="en-US"/>
        </w:rPr>
        <w:t xml:space="preserve"> tyre, edukimin fetar e moral, intelektual, fizik dhe shoqëror t</w:t>
      </w:r>
      <w:r w:rsidRPr="00DC5ED7" w:rsidR="00BE6377">
        <w:rPr>
          <w:lang w:val="sq-AL" w:eastAsia="en-US"/>
        </w:rPr>
        <w:t>ë</w:t>
      </w:r>
      <w:r w:rsidRPr="00DC5ED7">
        <w:rPr>
          <w:lang w:val="sq-AL" w:eastAsia="en-US"/>
        </w:rPr>
        <w:t xml:space="preserve"> f</w:t>
      </w:r>
      <w:r w:rsidRPr="00DC5ED7" w:rsidR="00BE6377">
        <w:rPr>
          <w:lang w:val="sq-AL" w:eastAsia="en-US"/>
        </w:rPr>
        <w:t>ë</w:t>
      </w:r>
      <w:r w:rsidRPr="00DC5ED7">
        <w:rPr>
          <w:lang w:val="sq-AL" w:eastAsia="en-US"/>
        </w:rPr>
        <w:t>mij</w:t>
      </w:r>
      <w:r w:rsidRPr="00DC5ED7" w:rsidR="00BE6377">
        <w:rPr>
          <w:lang w:val="sq-AL" w:eastAsia="en-US"/>
        </w:rPr>
        <w:t>ë</w:t>
      </w:r>
      <w:r w:rsidRPr="00DC5ED7">
        <w:rPr>
          <w:lang w:val="sq-AL" w:eastAsia="en-US"/>
        </w:rPr>
        <w:t>ve t</w:t>
      </w:r>
      <w:r w:rsidRPr="00DC5ED7" w:rsidR="00BE6377">
        <w:rPr>
          <w:lang w:val="sq-AL" w:eastAsia="en-US"/>
        </w:rPr>
        <w:t>ë</w:t>
      </w:r>
      <w:r w:rsidRPr="00DC5ED7">
        <w:rPr>
          <w:lang w:val="sq-AL" w:eastAsia="en-US"/>
        </w:rPr>
        <w:t xml:space="preserve"> tyre.</w:t>
      </w:r>
    </w:p>
    <w:p w:rsidRPr="00DC5ED7" w:rsidR="00EB737A" w:rsidP="00EB737A" w:rsidRDefault="00EB737A">
      <w:pPr>
        <w:pStyle w:val="ECHRParaQuote"/>
        <w:rPr>
          <w:lang w:val="sq-AL" w:eastAsia="en-US"/>
        </w:rPr>
      </w:pPr>
      <w:r w:rsidRPr="00DC5ED7">
        <w:rPr>
          <w:lang w:val="sq-AL" w:eastAsia="en-US"/>
        </w:rPr>
        <w:t>2.  </w:t>
      </w:r>
      <w:r w:rsidRPr="00DC5ED7" w:rsidR="00BE6377">
        <w:rPr>
          <w:lang w:val="sq-AL" w:eastAsia="en-US"/>
        </w:rPr>
        <w:t>Prindërit janë të lirë ta sigurojnë këtë edukim në vatrën e tyre, në shkolla private ose në shkolla të njohura ose të ngritura nga shteti.</w:t>
      </w:r>
    </w:p>
    <w:p w:rsidRPr="00DC5ED7" w:rsidR="00EB737A" w:rsidP="00EB737A" w:rsidRDefault="00EB737A">
      <w:pPr>
        <w:pStyle w:val="ECHRParaQuote"/>
        <w:rPr>
          <w:lang w:val="sq-AL" w:eastAsia="en-US"/>
        </w:rPr>
      </w:pPr>
      <w:r w:rsidRPr="00DC5ED7">
        <w:rPr>
          <w:lang w:val="sq-AL" w:eastAsia="en-US"/>
        </w:rPr>
        <w:t>3.  1) </w:t>
      </w:r>
      <w:r w:rsidRPr="00DC5ED7" w:rsidR="00BE6377">
        <w:rPr>
          <w:lang w:val="sq-AL" w:eastAsia="en-US"/>
        </w:rPr>
        <w:t>Shteti nuk i detyron prindërit që t</w:t>
      </w:r>
      <w:r w:rsidR="00943091">
        <w:rPr>
          <w:lang w:val="sq-AL" w:eastAsia="en-US"/>
        </w:rPr>
        <w:t>’</w:t>
      </w:r>
      <w:r w:rsidRPr="00DC5ED7" w:rsidR="00BE6377">
        <w:rPr>
          <w:lang w:val="sq-AL" w:eastAsia="en-US"/>
        </w:rPr>
        <w:t>i shkollojnë fëmijët e vet kundër ndërgjegjes së tyre apo parapëlqimit të tyre të drejtë nëpër shkolla të ngritura prej tij apo në një kategori të veçantë institucionesh të caktuar prej tij</w:t>
      </w:r>
      <w:r w:rsidRPr="00DC5ED7">
        <w:rPr>
          <w:lang w:val="sq-AL" w:eastAsia="en-US"/>
        </w:rPr>
        <w:t>.</w:t>
      </w:r>
    </w:p>
    <w:p w:rsidRPr="00DC5ED7" w:rsidR="00EB737A" w:rsidP="00EB737A" w:rsidRDefault="00EB737A">
      <w:pPr>
        <w:pStyle w:val="ECHRParaQuote"/>
        <w:rPr>
          <w:lang w:val="sq-AL" w:eastAsia="en-US"/>
        </w:rPr>
      </w:pPr>
      <w:r w:rsidRPr="00DC5ED7">
        <w:rPr>
          <w:lang w:val="sq-AL" w:eastAsia="en-US"/>
        </w:rPr>
        <w:t>2) </w:t>
      </w:r>
      <w:r w:rsidRPr="00DC5ED7" w:rsidR="00BE6377">
        <w:rPr>
          <w:lang w:val="sq-AL" w:eastAsia="en-US"/>
        </w:rPr>
        <w:t>Megjithatë, si rojtar i s</w:t>
      </w:r>
      <w:r w:rsidRPr="00DC5ED7" w:rsidR="00A519D4">
        <w:rPr>
          <w:lang w:val="sq-AL" w:eastAsia="en-US"/>
        </w:rPr>
        <w:t>ë</w:t>
      </w:r>
      <w:r w:rsidRPr="00DC5ED7" w:rsidR="00BE6377">
        <w:rPr>
          <w:lang w:val="sq-AL" w:eastAsia="en-US"/>
        </w:rPr>
        <w:t xml:space="preserve"> mir</w:t>
      </w:r>
      <w:r w:rsidRPr="00DC5ED7" w:rsidR="00A519D4">
        <w:rPr>
          <w:lang w:val="sq-AL" w:eastAsia="en-US"/>
        </w:rPr>
        <w:t>ë</w:t>
      </w:r>
      <w:r w:rsidRPr="00DC5ED7" w:rsidR="00BE6377">
        <w:rPr>
          <w:lang w:val="sq-AL" w:eastAsia="en-US"/>
        </w:rPr>
        <w:t>s s</w:t>
      </w:r>
      <w:r w:rsidRPr="00DC5ED7" w:rsidR="00A519D4">
        <w:rPr>
          <w:lang w:val="sq-AL" w:eastAsia="en-US"/>
        </w:rPr>
        <w:t>ë</w:t>
      </w:r>
      <w:r w:rsidRPr="00DC5ED7" w:rsidR="00BE6377">
        <w:rPr>
          <w:lang w:val="sq-AL" w:eastAsia="en-US"/>
        </w:rPr>
        <w:t xml:space="preserve"> përbashkët, shteti kërkon q</w:t>
      </w:r>
      <w:r w:rsidRPr="00DC5ED7" w:rsidR="00A519D4">
        <w:rPr>
          <w:lang w:val="sq-AL" w:eastAsia="en-US"/>
        </w:rPr>
        <w:t>ë</w:t>
      </w:r>
      <w:r w:rsidRPr="00DC5ED7" w:rsidR="00BE6377">
        <w:rPr>
          <w:lang w:val="sq-AL" w:eastAsia="en-US"/>
        </w:rPr>
        <w:t xml:space="preserve"> f</w:t>
      </w:r>
      <w:r w:rsidRPr="00DC5ED7" w:rsidR="00A519D4">
        <w:rPr>
          <w:lang w:val="sq-AL" w:eastAsia="en-US"/>
        </w:rPr>
        <w:t>ë</w:t>
      </w:r>
      <w:r w:rsidRPr="00DC5ED7" w:rsidR="00BE6377">
        <w:rPr>
          <w:lang w:val="sq-AL" w:eastAsia="en-US"/>
        </w:rPr>
        <w:t>mij</w:t>
      </w:r>
      <w:r w:rsidRPr="00DC5ED7" w:rsidR="00A519D4">
        <w:rPr>
          <w:lang w:val="sq-AL" w:eastAsia="en-US"/>
        </w:rPr>
        <w:t>ë</w:t>
      </w:r>
      <w:r w:rsidRPr="00DC5ED7" w:rsidR="00BE6377">
        <w:rPr>
          <w:lang w:val="sq-AL" w:eastAsia="en-US"/>
        </w:rPr>
        <w:t>t t</w:t>
      </w:r>
      <w:r w:rsidRPr="00DC5ED7" w:rsidR="00A519D4">
        <w:rPr>
          <w:lang w:val="sq-AL" w:eastAsia="en-US"/>
        </w:rPr>
        <w:t>ë</w:t>
      </w:r>
      <w:r w:rsidRPr="00DC5ED7" w:rsidR="00BE6377">
        <w:rPr>
          <w:lang w:val="sq-AL" w:eastAsia="en-US"/>
        </w:rPr>
        <w:t xml:space="preserve"> marrin </w:t>
      </w:r>
      <w:r w:rsidRPr="00DC5ED7" w:rsidR="00CE0A01">
        <w:rPr>
          <w:lang w:val="sq-AL" w:eastAsia="en-US"/>
        </w:rPr>
        <w:t>sadopak edukatë morale, intelektuale e shoq</w:t>
      </w:r>
      <w:r w:rsidRPr="00DC5ED7" w:rsidR="00A519D4">
        <w:rPr>
          <w:lang w:val="sq-AL" w:eastAsia="en-US"/>
        </w:rPr>
        <w:t>ë</w:t>
      </w:r>
      <w:r w:rsidRPr="00DC5ED7" w:rsidR="00CE0A01">
        <w:rPr>
          <w:lang w:val="sq-AL" w:eastAsia="en-US"/>
        </w:rPr>
        <w:t xml:space="preserve">rore, e cila </w:t>
      </w:r>
      <w:r w:rsidRPr="00DC5ED7" w:rsidR="00A519D4">
        <w:rPr>
          <w:lang w:val="sq-AL" w:eastAsia="en-US"/>
        </w:rPr>
        <w:t>ë</w:t>
      </w:r>
      <w:r w:rsidRPr="00DC5ED7" w:rsidR="00CE0A01">
        <w:rPr>
          <w:lang w:val="sq-AL" w:eastAsia="en-US"/>
        </w:rPr>
        <w:t>sht</w:t>
      </w:r>
      <w:r w:rsidRPr="00DC5ED7" w:rsidR="00A519D4">
        <w:rPr>
          <w:lang w:val="sq-AL" w:eastAsia="en-US"/>
        </w:rPr>
        <w:t>ë</w:t>
      </w:r>
      <w:r w:rsidRPr="00DC5ED7" w:rsidR="00CE0A01">
        <w:rPr>
          <w:lang w:val="sq-AL" w:eastAsia="en-US"/>
        </w:rPr>
        <w:t xml:space="preserve"> e udh</w:t>
      </w:r>
      <w:r w:rsidRPr="00DC5ED7" w:rsidR="00A519D4">
        <w:rPr>
          <w:lang w:val="sq-AL" w:eastAsia="en-US"/>
        </w:rPr>
        <w:t>ë</w:t>
      </w:r>
      <w:r w:rsidRPr="00DC5ED7" w:rsidR="00CE0A01">
        <w:rPr>
          <w:lang w:val="sq-AL" w:eastAsia="en-US"/>
        </w:rPr>
        <w:t>s q</w:t>
      </w:r>
      <w:r w:rsidRPr="00DC5ED7" w:rsidR="00A519D4">
        <w:rPr>
          <w:lang w:val="sq-AL" w:eastAsia="en-US"/>
        </w:rPr>
        <w:t>ë</w:t>
      </w:r>
      <w:r w:rsidRPr="00DC5ED7" w:rsidR="00CE0A01">
        <w:rPr>
          <w:lang w:val="sq-AL" w:eastAsia="en-US"/>
        </w:rPr>
        <w:t xml:space="preserve"> t</w:t>
      </w:r>
      <w:r w:rsidR="00943091">
        <w:rPr>
          <w:lang w:val="sq-AL" w:eastAsia="en-US"/>
        </w:rPr>
        <w:t>’</w:t>
      </w:r>
      <w:r w:rsidRPr="00DC5ED7" w:rsidR="00CE0A01">
        <w:rPr>
          <w:lang w:val="sq-AL" w:eastAsia="en-US"/>
        </w:rPr>
        <w:t>u p</w:t>
      </w:r>
      <w:r w:rsidRPr="00DC5ED7" w:rsidR="00A519D4">
        <w:rPr>
          <w:lang w:val="sq-AL" w:eastAsia="en-US"/>
        </w:rPr>
        <w:t>ë</w:t>
      </w:r>
      <w:r w:rsidRPr="00DC5ED7" w:rsidR="00CE0A01">
        <w:rPr>
          <w:lang w:val="sq-AL" w:eastAsia="en-US"/>
        </w:rPr>
        <w:t>rshtatet rrethanave</w:t>
      </w:r>
      <w:r w:rsidRPr="00DC5ED7">
        <w:rPr>
          <w:lang w:val="sq-AL" w:eastAsia="en-US"/>
        </w:rPr>
        <w:t>.</w:t>
      </w:r>
    </w:p>
    <w:p w:rsidRPr="00DC5ED7" w:rsidR="00EB737A" w:rsidP="00EB737A" w:rsidRDefault="00EB737A">
      <w:pPr>
        <w:pStyle w:val="ECHRParaQuote"/>
        <w:rPr>
          <w:lang w:val="sq-AL" w:eastAsia="en-US"/>
        </w:rPr>
      </w:pPr>
      <w:r w:rsidRPr="00DC5ED7">
        <w:rPr>
          <w:lang w:val="sq-AL" w:eastAsia="en-US"/>
        </w:rPr>
        <w:t>4.  </w:t>
      </w:r>
      <w:r w:rsidRPr="00DC5ED7" w:rsidR="00CE0A01">
        <w:rPr>
          <w:lang w:val="sq-AL" w:eastAsia="en-US"/>
        </w:rPr>
        <w:t>Shteti siguron nj</w:t>
      </w:r>
      <w:r w:rsidRPr="00DC5ED7" w:rsidR="00A519D4">
        <w:rPr>
          <w:lang w:val="sq-AL" w:eastAsia="en-US"/>
        </w:rPr>
        <w:t>ë</w:t>
      </w:r>
      <w:r w:rsidRPr="00DC5ED7" w:rsidR="00CE0A01">
        <w:rPr>
          <w:lang w:val="sq-AL" w:eastAsia="en-US"/>
        </w:rPr>
        <w:t xml:space="preserve"> arsim fillor falas dhe përpiqet q</w:t>
      </w:r>
      <w:r w:rsidRPr="00DC5ED7" w:rsidR="00A519D4">
        <w:rPr>
          <w:lang w:val="sq-AL" w:eastAsia="en-US"/>
        </w:rPr>
        <w:t>ë</w:t>
      </w:r>
      <w:r w:rsidRPr="00DC5ED7" w:rsidR="00CE0A01">
        <w:rPr>
          <w:lang w:val="sq-AL" w:eastAsia="en-US"/>
        </w:rPr>
        <w:t xml:space="preserve"> t</w:t>
      </w:r>
      <w:r w:rsidR="00943091">
        <w:rPr>
          <w:lang w:val="sq-AL" w:eastAsia="en-US"/>
        </w:rPr>
        <w:t>’</w:t>
      </w:r>
      <w:r w:rsidRPr="00DC5ED7" w:rsidR="00CE0A01">
        <w:rPr>
          <w:lang w:val="sq-AL" w:eastAsia="en-US"/>
        </w:rPr>
        <w:t>i subvencionoj</w:t>
      </w:r>
      <w:r w:rsidRPr="00DC5ED7" w:rsidR="00A519D4">
        <w:rPr>
          <w:lang w:val="sq-AL" w:eastAsia="en-US"/>
        </w:rPr>
        <w:t>ë</w:t>
      </w:r>
      <w:r w:rsidRPr="00DC5ED7" w:rsidR="00CE0A01">
        <w:rPr>
          <w:lang w:val="sq-AL" w:eastAsia="en-US"/>
        </w:rPr>
        <w:t xml:space="preserve"> e t</w:t>
      </w:r>
      <w:r w:rsidR="00943091">
        <w:rPr>
          <w:lang w:val="sq-AL" w:eastAsia="en-US"/>
        </w:rPr>
        <w:t>’</w:t>
      </w:r>
      <w:r w:rsidRPr="00DC5ED7" w:rsidR="00CE0A01">
        <w:rPr>
          <w:lang w:val="sq-AL" w:eastAsia="en-US"/>
        </w:rPr>
        <w:t>i p</w:t>
      </w:r>
      <w:r w:rsidRPr="00DC5ED7" w:rsidR="00A519D4">
        <w:rPr>
          <w:lang w:val="sq-AL" w:eastAsia="en-US"/>
        </w:rPr>
        <w:t>ë</w:t>
      </w:r>
      <w:r w:rsidRPr="00DC5ED7" w:rsidR="00CE0A01">
        <w:rPr>
          <w:lang w:val="sq-AL" w:eastAsia="en-US"/>
        </w:rPr>
        <w:t>rkrah</w:t>
      </w:r>
      <w:r w:rsidRPr="00DC5ED7" w:rsidR="00A519D4">
        <w:rPr>
          <w:lang w:val="sq-AL" w:eastAsia="en-US"/>
        </w:rPr>
        <w:t>ë</w:t>
      </w:r>
      <w:r w:rsidRPr="00DC5ED7" w:rsidR="00CE0A01">
        <w:rPr>
          <w:lang w:val="sq-AL" w:eastAsia="en-US"/>
        </w:rPr>
        <w:t xml:space="preserve"> brenda kufijve t</w:t>
      </w:r>
      <w:r w:rsidRPr="00DC5ED7" w:rsidR="00A519D4">
        <w:rPr>
          <w:lang w:val="sq-AL" w:eastAsia="en-US"/>
        </w:rPr>
        <w:t>ë</w:t>
      </w:r>
      <w:r w:rsidRPr="00DC5ED7" w:rsidR="00CE0A01">
        <w:rPr>
          <w:lang w:val="sq-AL" w:eastAsia="en-US"/>
        </w:rPr>
        <w:t xml:space="preserve"> arsyes nismat n</w:t>
      </w:r>
      <w:r w:rsidRPr="00DC5ED7" w:rsidR="00A519D4">
        <w:rPr>
          <w:lang w:val="sq-AL" w:eastAsia="en-US"/>
        </w:rPr>
        <w:t>ë</w:t>
      </w:r>
      <w:r w:rsidRPr="00DC5ED7" w:rsidR="00CE0A01">
        <w:rPr>
          <w:lang w:val="sq-AL" w:eastAsia="en-US"/>
        </w:rPr>
        <w:t xml:space="preserve"> fush</w:t>
      </w:r>
      <w:r w:rsidRPr="00DC5ED7" w:rsidR="00A519D4">
        <w:rPr>
          <w:lang w:val="sq-AL" w:eastAsia="en-US"/>
        </w:rPr>
        <w:t>ë</w:t>
      </w:r>
      <w:r w:rsidRPr="00DC5ED7" w:rsidR="00CE0A01">
        <w:rPr>
          <w:lang w:val="sq-AL" w:eastAsia="en-US"/>
        </w:rPr>
        <w:t>n e arsimit, qofshin ato t</w:t>
      </w:r>
      <w:r w:rsidRPr="00DC5ED7" w:rsidR="00A519D4">
        <w:rPr>
          <w:lang w:val="sq-AL" w:eastAsia="en-US"/>
        </w:rPr>
        <w:t>ë</w:t>
      </w:r>
      <w:r w:rsidRPr="00DC5ED7" w:rsidR="00CE0A01">
        <w:rPr>
          <w:lang w:val="sq-AL" w:eastAsia="en-US"/>
        </w:rPr>
        <w:t xml:space="preserve"> marra nga persona privatë apo nga persona juridik</w:t>
      </w:r>
      <w:r w:rsidRPr="00DC5ED7" w:rsidR="00A519D4">
        <w:rPr>
          <w:lang w:val="sq-AL" w:eastAsia="en-US"/>
        </w:rPr>
        <w:t>ë</w:t>
      </w:r>
      <w:r w:rsidRPr="00DC5ED7" w:rsidR="00CE0A01">
        <w:rPr>
          <w:lang w:val="sq-AL" w:eastAsia="en-US"/>
        </w:rPr>
        <w:t>. Nëse e lyp e mira publike, ai ngre struktura ose institucione t</w:t>
      </w:r>
      <w:r w:rsidRPr="00DC5ED7" w:rsidR="00A519D4">
        <w:rPr>
          <w:lang w:val="sq-AL" w:eastAsia="en-US"/>
        </w:rPr>
        <w:t>ë</w:t>
      </w:r>
      <w:r w:rsidRPr="00DC5ED7" w:rsidR="00CE0A01">
        <w:rPr>
          <w:lang w:val="sq-AL" w:eastAsia="en-US"/>
        </w:rPr>
        <w:t xml:space="preserve"> tjera arsimore, duke respektuar gjithsesi t</w:t>
      </w:r>
      <w:r w:rsidRPr="00DC5ED7" w:rsidR="00A519D4">
        <w:rPr>
          <w:lang w:val="sq-AL" w:eastAsia="en-US"/>
        </w:rPr>
        <w:t>ë</w:t>
      </w:r>
      <w:r w:rsidRPr="00DC5ED7" w:rsidR="00CE0A01">
        <w:rPr>
          <w:lang w:val="sq-AL" w:eastAsia="en-US"/>
        </w:rPr>
        <w:t xml:space="preserve"> drejtat e prindërve, veçan</w:t>
      </w:r>
      <w:r w:rsidRPr="00DC5ED7" w:rsidR="00A519D4">
        <w:rPr>
          <w:lang w:val="sq-AL" w:eastAsia="en-US"/>
        </w:rPr>
        <w:t>ë</w:t>
      </w:r>
      <w:r w:rsidRPr="00DC5ED7" w:rsidR="00CE0A01">
        <w:rPr>
          <w:lang w:val="sq-AL" w:eastAsia="en-US"/>
        </w:rPr>
        <w:t>risht n</w:t>
      </w:r>
      <w:r w:rsidRPr="00DC5ED7" w:rsidR="00A519D4">
        <w:rPr>
          <w:lang w:val="sq-AL" w:eastAsia="en-US"/>
        </w:rPr>
        <w:t>ë</w:t>
      </w:r>
      <w:r w:rsidRPr="00DC5ED7" w:rsidR="00CE0A01">
        <w:rPr>
          <w:lang w:val="sq-AL" w:eastAsia="en-US"/>
        </w:rPr>
        <w:t xml:space="preserve"> fush</w:t>
      </w:r>
      <w:r w:rsidRPr="00DC5ED7" w:rsidR="00A519D4">
        <w:rPr>
          <w:lang w:val="sq-AL" w:eastAsia="en-US"/>
        </w:rPr>
        <w:t>ë</w:t>
      </w:r>
      <w:r w:rsidRPr="00DC5ED7" w:rsidR="00CE0A01">
        <w:rPr>
          <w:lang w:val="sq-AL" w:eastAsia="en-US"/>
        </w:rPr>
        <w:t>n e formimit fetar e moral</w:t>
      </w:r>
      <w:r w:rsidRPr="00DC5ED7">
        <w:rPr>
          <w:lang w:val="sq-AL" w:eastAsia="en-US"/>
        </w:rPr>
        <w:t>.</w:t>
      </w:r>
    </w:p>
    <w:p w:rsidRPr="00DC5ED7" w:rsidR="00EB737A" w:rsidP="00EB737A" w:rsidRDefault="00EB737A">
      <w:pPr>
        <w:pStyle w:val="ECHRParaQuote"/>
        <w:rPr>
          <w:lang w:val="sq-AL" w:eastAsia="en-US"/>
        </w:rPr>
      </w:pPr>
      <w:r w:rsidRPr="00DC5ED7">
        <w:rPr>
          <w:lang w:val="sq-AL" w:eastAsia="en-US"/>
        </w:rPr>
        <w:t>5.  </w:t>
      </w:r>
      <w:r w:rsidRPr="00DC5ED7" w:rsidR="00CE0A01">
        <w:rPr>
          <w:lang w:val="sq-AL" w:eastAsia="en-US"/>
        </w:rPr>
        <w:t>Në rastet e jasht</w:t>
      </w:r>
      <w:r w:rsidRPr="00DC5ED7" w:rsidR="00A519D4">
        <w:rPr>
          <w:lang w:val="sq-AL" w:eastAsia="en-US"/>
        </w:rPr>
        <w:t>ë</w:t>
      </w:r>
      <w:r w:rsidRPr="00DC5ED7" w:rsidR="00CE0A01">
        <w:rPr>
          <w:lang w:val="sq-AL" w:eastAsia="en-US"/>
        </w:rPr>
        <w:t>zakonshme kur, për arsye fizike ose morale, prind</w:t>
      </w:r>
      <w:r w:rsidRPr="00DC5ED7" w:rsidR="00A519D4">
        <w:rPr>
          <w:lang w:val="sq-AL" w:eastAsia="en-US"/>
        </w:rPr>
        <w:t>ë</w:t>
      </w:r>
      <w:r w:rsidRPr="00DC5ED7" w:rsidR="00CE0A01">
        <w:rPr>
          <w:lang w:val="sq-AL" w:eastAsia="en-US"/>
        </w:rPr>
        <w:t>rit nuk i përmbushin detyrat e veta ndaj f</w:t>
      </w:r>
      <w:r w:rsidRPr="00DC5ED7" w:rsidR="00A519D4">
        <w:rPr>
          <w:lang w:val="sq-AL" w:eastAsia="en-US"/>
        </w:rPr>
        <w:t>ë</w:t>
      </w:r>
      <w:r w:rsidRPr="00DC5ED7" w:rsidR="00CE0A01">
        <w:rPr>
          <w:lang w:val="sq-AL" w:eastAsia="en-US"/>
        </w:rPr>
        <w:t>mij</w:t>
      </w:r>
      <w:r w:rsidRPr="00DC5ED7" w:rsidR="00A519D4">
        <w:rPr>
          <w:lang w:val="sq-AL" w:eastAsia="en-US"/>
        </w:rPr>
        <w:t>ë</w:t>
      </w:r>
      <w:r w:rsidRPr="00DC5ED7" w:rsidR="00CE0A01">
        <w:rPr>
          <w:lang w:val="sq-AL" w:eastAsia="en-US"/>
        </w:rPr>
        <w:t>ve t</w:t>
      </w:r>
      <w:r w:rsidRPr="00DC5ED7" w:rsidR="00A519D4">
        <w:rPr>
          <w:lang w:val="sq-AL" w:eastAsia="en-US"/>
        </w:rPr>
        <w:t>ë</w:t>
      </w:r>
      <w:r w:rsidRPr="00DC5ED7" w:rsidR="00CE0A01">
        <w:rPr>
          <w:lang w:val="sq-AL" w:eastAsia="en-US"/>
        </w:rPr>
        <w:t xml:space="preserve"> tyre, shteti, si rojtar i s</w:t>
      </w:r>
      <w:r w:rsidRPr="00DC5ED7" w:rsidR="00A519D4">
        <w:rPr>
          <w:lang w:val="sq-AL" w:eastAsia="en-US"/>
        </w:rPr>
        <w:t>ë</w:t>
      </w:r>
      <w:r w:rsidRPr="00DC5ED7" w:rsidR="00CE0A01">
        <w:rPr>
          <w:lang w:val="sq-AL" w:eastAsia="en-US"/>
        </w:rPr>
        <w:t xml:space="preserve"> mir</w:t>
      </w:r>
      <w:r w:rsidRPr="00DC5ED7" w:rsidR="00A519D4">
        <w:rPr>
          <w:lang w:val="sq-AL" w:eastAsia="en-US"/>
        </w:rPr>
        <w:t>ë</w:t>
      </w:r>
      <w:r w:rsidRPr="00DC5ED7" w:rsidR="00CE0A01">
        <w:rPr>
          <w:lang w:val="sq-AL" w:eastAsia="en-US"/>
        </w:rPr>
        <w:t>s s</w:t>
      </w:r>
      <w:r w:rsidRPr="00DC5ED7" w:rsidR="00A519D4">
        <w:rPr>
          <w:lang w:val="sq-AL" w:eastAsia="en-US"/>
        </w:rPr>
        <w:t>ë</w:t>
      </w:r>
      <w:r w:rsidRPr="00DC5ED7" w:rsidR="00CE0A01">
        <w:rPr>
          <w:lang w:val="sq-AL" w:eastAsia="en-US"/>
        </w:rPr>
        <w:t xml:space="preserve"> përbashk</w:t>
      </w:r>
      <w:r w:rsidRPr="00DC5ED7" w:rsidR="00A519D4">
        <w:rPr>
          <w:lang w:val="sq-AL" w:eastAsia="en-US"/>
        </w:rPr>
        <w:t>ë</w:t>
      </w:r>
      <w:r w:rsidRPr="00DC5ED7" w:rsidR="00CE0A01">
        <w:rPr>
          <w:lang w:val="sq-AL" w:eastAsia="en-US"/>
        </w:rPr>
        <w:t xml:space="preserve">t, përpiqet </w:t>
      </w:r>
      <w:r w:rsidRPr="00DC5ED7" w:rsidR="00A519D4">
        <w:rPr>
          <w:lang w:val="sq-AL" w:eastAsia="en-US"/>
        </w:rPr>
        <w:t>me mjete të përshtatshme që t</w:t>
      </w:r>
      <w:r w:rsidR="00943091">
        <w:rPr>
          <w:lang w:val="sq-AL" w:eastAsia="en-US"/>
        </w:rPr>
        <w:t>’</w:t>
      </w:r>
      <w:r w:rsidRPr="00DC5ED7" w:rsidR="00A519D4">
        <w:rPr>
          <w:lang w:val="sq-AL" w:eastAsia="en-US"/>
        </w:rPr>
        <w:t>u zërë vendin prindërve, por gjithmonë duke respektuar të drejtat e natyrshme dhe të paparashkrueshme të fëmijës.”</w:t>
      </w:r>
    </w:p>
    <w:p w:rsidR="00943091" w:rsidP="00EB737A" w:rsidRDefault="00EB737A">
      <w:pPr>
        <w:pStyle w:val="ECHRPara"/>
        <w:rPr>
          <w:lang w:val="sq-AL"/>
        </w:rPr>
      </w:pPr>
      <w:r w:rsidRPr="00DC5ED7">
        <w:rPr>
          <w:lang w:val="sq-AL"/>
        </w:rPr>
        <w:fldChar w:fldCharType="begin"/>
      </w:r>
      <w:r w:rsidRPr="00DC5ED7">
        <w:rPr>
          <w:lang w:val="sq-AL"/>
        </w:rPr>
        <w:instrText xml:space="preserve"> SEQ level0 \*arabic </w:instrText>
      </w:r>
      <w:r w:rsidRPr="00DC5ED7">
        <w:rPr>
          <w:lang w:val="sq-AL"/>
        </w:rPr>
        <w:fldChar w:fldCharType="separate"/>
      </w:r>
      <w:r w:rsidR="00013F9B">
        <w:rPr>
          <w:noProof/>
          <w:lang w:val="sq-AL"/>
        </w:rPr>
        <w:t>55</w:t>
      </w:r>
      <w:r w:rsidRPr="00DC5ED7">
        <w:rPr>
          <w:lang w:val="sq-AL"/>
        </w:rPr>
        <w:fldChar w:fldCharType="end"/>
      </w:r>
      <w:r w:rsidRPr="00DC5ED7">
        <w:rPr>
          <w:lang w:val="sq-AL"/>
        </w:rPr>
        <w:t>.  </w:t>
      </w:r>
      <w:r w:rsidRPr="00DC5ED7" w:rsidR="00A519D4">
        <w:rPr>
          <w:lang w:val="sq-AL"/>
        </w:rPr>
        <w:t>Në çështjen</w:t>
      </w:r>
      <w:r w:rsidRPr="00DC5ED7">
        <w:rPr>
          <w:lang w:val="sq-AL"/>
        </w:rPr>
        <w:t xml:space="preserve"> </w:t>
      </w:r>
      <w:r w:rsidRPr="00DC5ED7">
        <w:rPr>
          <w:i/>
          <w:lang w:val="sq-AL"/>
        </w:rPr>
        <w:t>Mc Eneaney v. the Minister for Education</w:t>
      </w:r>
      <w:r w:rsidRPr="00DC5ED7">
        <w:rPr>
          <w:lang w:val="sq-AL"/>
        </w:rPr>
        <w:t xml:space="preserve"> ([1941] IR 430), </w:t>
      </w:r>
      <w:r w:rsidRPr="00DC5ED7" w:rsidR="00A519D4">
        <w:rPr>
          <w:lang w:val="sq-AL"/>
        </w:rPr>
        <w:t>Gjykata e Lartë vuri n</w:t>
      </w:r>
      <w:r w:rsidRPr="00DC5ED7" w:rsidR="00DC7E92">
        <w:rPr>
          <w:lang w:val="sq-AL"/>
        </w:rPr>
        <w:t>ë</w:t>
      </w:r>
      <w:r w:rsidRPr="00DC5ED7" w:rsidR="00A519D4">
        <w:rPr>
          <w:lang w:val="sq-AL"/>
        </w:rPr>
        <w:t xml:space="preserve"> dukje se “q</w:t>
      </w:r>
      <w:r w:rsidRPr="00DC5ED7" w:rsidR="00DC7E92">
        <w:rPr>
          <w:lang w:val="sq-AL"/>
        </w:rPr>
        <w:t>ë</w:t>
      </w:r>
      <w:r w:rsidRPr="00DC5ED7" w:rsidR="00A519D4">
        <w:rPr>
          <w:lang w:val="sq-AL"/>
        </w:rPr>
        <w:t xml:space="preserve"> prej m</w:t>
      </w:r>
      <w:r w:rsidRPr="00DC5ED7" w:rsidR="00DC7E92">
        <w:rPr>
          <w:lang w:val="sq-AL"/>
        </w:rPr>
        <w:t>ë</w:t>
      </w:r>
      <w:r w:rsidRPr="00DC5ED7" w:rsidR="00A519D4">
        <w:rPr>
          <w:lang w:val="sq-AL"/>
        </w:rPr>
        <w:t xml:space="preserve"> shum</w:t>
      </w:r>
      <w:r w:rsidRPr="00DC5ED7" w:rsidR="00DC7E92">
        <w:rPr>
          <w:lang w:val="sq-AL"/>
        </w:rPr>
        <w:t>ë</w:t>
      </w:r>
      <w:r w:rsidRPr="00DC5ED7" w:rsidR="00A519D4">
        <w:rPr>
          <w:lang w:val="sq-AL"/>
        </w:rPr>
        <w:t xml:space="preserve"> se nj</w:t>
      </w:r>
      <w:r w:rsidRPr="00DC5ED7" w:rsidR="00DC7E92">
        <w:rPr>
          <w:lang w:val="sq-AL"/>
        </w:rPr>
        <w:t>ë</w:t>
      </w:r>
      <w:r w:rsidRPr="00DC5ED7" w:rsidR="00A519D4">
        <w:rPr>
          <w:lang w:val="sq-AL"/>
        </w:rPr>
        <w:t xml:space="preserve"> shekulli, organizimi i nj</w:t>
      </w:r>
      <w:r w:rsidRPr="00DC5ED7" w:rsidR="00DC7E92">
        <w:rPr>
          <w:lang w:val="sq-AL"/>
        </w:rPr>
        <w:t>ë</w:t>
      </w:r>
      <w:r w:rsidRPr="00DC5ED7" w:rsidR="00A519D4">
        <w:rPr>
          <w:lang w:val="sq-AL"/>
        </w:rPr>
        <w:t xml:space="preserve"> arsimi fillor falas njihe[j] si nj</w:t>
      </w:r>
      <w:r w:rsidRPr="00DC5ED7" w:rsidR="00DC7E92">
        <w:rPr>
          <w:lang w:val="sq-AL"/>
        </w:rPr>
        <w:t>ë</w:t>
      </w:r>
      <w:r w:rsidRPr="00DC5ED7" w:rsidR="00A519D4">
        <w:rPr>
          <w:lang w:val="sq-AL"/>
        </w:rPr>
        <w:t xml:space="preserve"> detyrim kombëtar”. Juridiksioni i lartë saktësoi m</w:t>
      </w:r>
      <w:r w:rsidRPr="00DC5ED7" w:rsidR="00DC7E92">
        <w:rPr>
          <w:lang w:val="sq-AL"/>
        </w:rPr>
        <w:t>ë</w:t>
      </w:r>
      <w:r w:rsidRPr="00DC5ED7" w:rsidR="00A519D4">
        <w:rPr>
          <w:lang w:val="sq-AL"/>
        </w:rPr>
        <w:t xml:space="preserve"> von</w:t>
      </w:r>
      <w:r w:rsidRPr="00DC5ED7" w:rsidR="00DC7E92">
        <w:rPr>
          <w:lang w:val="sq-AL"/>
        </w:rPr>
        <w:t>ë</w:t>
      </w:r>
      <w:r w:rsidRPr="00DC5ED7" w:rsidR="00A519D4">
        <w:rPr>
          <w:lang w:val="sq-AL"/>
        </w:rPr>
        <w:t xml:space="preserve"> </w:t>
      </w:r>
      <w:r w:rsidRPr="00DC5ED7">
        <w:rPr>
          <w:lang w:val="sq-AL"/>
        </w:rPr>
        <w:t>(</w:t>
      </w:r>
      <w:r w:rsidRPr="00DC5ED7">
        <w:rPr>
          <w:i/>
          <w:lang w:val="sq-AL"/>
        </w:rPr>
        <w:t>Crowley v. Ireland</w:t>
      </w:r>
      <w:r w:rsidRPr="00DC5ED7">
        <w:rPr>
          <w:lang w:val="sq-AL"/>
        </w:rPr>
        <w:t xml:space="preserve"> [1980] IR 102) </w:t>
      </w:r>
      <w:r w:rsidRPr="00DC5ED7" w:rsidR="00A519D4">
        <w:rPr>
          <w:lang w:val="sq-AL"/>
        </w:rPr>
        <w:t xml:space="preserve">se neni </w:t>
      </w:r>
      <w:r w:rsidRPr="00DC5ED7">
        <w:rPr>
          <w:lang w:val="sq-AL"/>
        </w:rPr>
        <w:t xml:space="preserve">42 § 4 </w:t>
      </w:r>
      <w:r w:rsidRPr="00DC5ED7" w:rsidR="00A519D4">
        <w:rPr>
          <w:lang w:val="sq-AL"/>
        </w:rPr>
        <w:t>u jepte fëmij</w:t>
      </w:r>
      <w:r w:rsidRPr="00DC5ED7" w:rsidR="00DC7E92">
        <w:rPr>
          <w:lang w:val="sq-AL"/>
        </w:rPr>
        <w:t>ë</w:t>
      </w:r>
      <w:r w:rsidRPr="00DC5ED7" w:rsidR="00A519D4">
        <w:rPr>
          <w:lang w:val="sq-AL"/>
        </w:rPr>
        <w:t>ve t</w:t>
      </w:r>
      <w:r w:rsidRPr="00DC5ED7" w:rsidR="00DC7E92">
        <w:rPr>
          <w:lang w:val="sq-AL"/>
        </w:rPr>
        <w:t>ë</w:t>
      </w:r>
      <w:r w:rsidRPr="00DC5ED7" w:rsidR="00A519D4">
        <w:rPr>
          <w:lang w:val="sq-AL"/>
        </w:rPr>
        <w:t xml:space="preserve"> drejtën për t</w:t>
      </w:r>
      <w:r w:rsidRPr="00DC5ED7" w:rsidR="00DC7E92">
        <w:rPr>
          <w:lang w:val="sq-AL"/>
        </w:rPr>
        <w:t>ë</w:t>
      </w:r>
      <w:r w:rsidRPr="00DC5ED7" w:rsidR="00A519D4">
        <w:rPr>
          <w:lang w:val="sq-AL"/>
        </w:rPr>
        <w:t xml:space="preserve"> përfituar nj</w:t>
      </w:r>
      <w:r w:rsidRPr="00DC5ED7" w:rsidR="00DC7E92">
        <w:rPr>
          <w:lang w:val="sq-AL"/>
        </w:rPr>
        <w:t>ë</w:t>
      </w:r>
      <w:r w:rsidRPr="00DC5ED7" w:rsidR="00A519D4">
        <w:rPr>
          <w:lang w:val="sq-AL"/>
        </w:rPr>
        <w:t xml:space="preserve"> arsim fillor falas dhe se termi “siguron” përb</w:t>
      </w:r>
      <w:r w:rsidRPr="00DC5ED7" w:rsidR="00DC7E92">
        <w:rPr>
          <w:lang w:val="sq-AL"/>
        </w:rPr>
        <w:t>ë</w:t>
      </w:r>
      <w:r w:rsidRPr="00DC5ED7" w:rsidR="00A519D4">
        <w:rPr>
          <w:lang w:val="sq-AL"/>
        </w:rPr>
        <w:t>nte për shtetin detyrim jo q</w:t>
      </w:r>
      <w:r w:rsidRPr="00DC5ED7" w:rsidR="00DC7E92">
        <w:rPr>
          <w:lang w:val="sq-AL"/>
        </w:rPr>
        <w:t>ë</w:t>
      </w:r>
      <w:r w:rsidRPr="00DC5ED7" w:rsidR="00A519D4">
        <w:rPr>
          <w:lang w:val="sq-AL"/>
        </w:rPr>
        <w:t xml:space="preserve"> t</w:t>
      </w:r>
      <w:r w:rsidR="00943091">
        <w:rPr>
          <w:lang w:val="sq-AL"/>
        </w:rPr>
        <w:t>’</w:t>
      </w:r>
      <w:r w:rsidRPr="00DC5ED7" w:rsidR="00A519D4">
        <w:rPr>
          <w:lang w:val="sq-AL"/>
        </w:rPr>
        <w:t>i edukonte vet</w:t>
      </w:r>
      <w:r w:rsidRPr="00DC5ED7" w:rsidR="00DC7E92">
        <w:rPr>
          <w:lang w:val="sq-AL"/>
        </w:rPr>
        <w:t>ë</w:t>
      </w:r>
      <w:r w:rsidRPr="00DC5ED7" w:rsidR="00A519D4">
        <w:rPr>
          <w:lang w:val="sq-AL"/>
        </w:rPr>
        <w:t xml:space="preserve"> f</w:t>
      </w:r>
      <w:r w:rsidRPr="00DC5ED7" w:rsidR="00DC7E92">
        <w:rPr>
          <w:lang w:val="sq-AL"/>
        </w:rPr>
        <w:t>ë</w:t>
      </w:r>
      <w:r w:rsidRPr="00DC5ED7" w:rsidR="00A519D4">
        <w:rPr>
          <w:lang w:val="sq-AL"/>
        </w:rPr>
        <w:t>mij</w:t>
      </w:r>
      <w:r w:rsidRPr="00DC5ED7" w:rsidR="00DC7E92">
        <w:rPr>
          <w:lang w:val="sq-AL"/>
        </w:rPr>
        <w:t>ë</w:t>
      </w:r>
      <w:r w:rsidRPr="00DC5ED7" w:rsidR="00A519D4">
        <w:rPr>
          <w:lang w:val="sq-AL"/>
        </w:rPr>
        <w:t>t, por q</w:t>
      </w:r>
      <w:r w:rsidRPr="00DC5ED7" w:rsidR="00DC7E92">
        <w:rPr>
          <w:lang w:val="sq-AL"/>
        </w:rPr>
        <w:t>ë</w:t>
      </w:r>
      <w:r w:rsidRPr="00DC5ED7" w:rsidR="00A519D4">
        <w:rPr>
          <w:lang w:val="sq-AL"/>
        </w:rPr>
        <w:t xml:space="preserve"> t</w:t>
      </w:r>
      <w:r w:rsidRPr="00DC5ED7" w:rsidR="00DC7E92">
        <w:rPr>
          <w:lang w:val="sq-AL"/>
        </w:rPr>
        <w:t>ë</w:t>
      </w:r>
      <w:r w:rsidRPr="00DC5ED7" w:rsidR="00A519D4">
        <w:rPr>
          <w:lang w:val="sq-AL"/>
        </w:rPr>
        <w:t xml:space="preserve"> kujdesej q</w:t>
      </w:r>
      <w:r w:rsidRPr="00DC5ED7" w:rsidR="00DC7E92">
        <w:rPr>
          <w:lang w:val="sq-AL"/>
        </w:rPr>
        <w:t>ë</w:t>
      </w:r>
      <w:r w:rsidRPr="00DC5ED7" w:rsidR="00A519D4">
        <w:rPr>
          <w:lang w:val="sq-AL"/>
        </w:rPr>
        <w:t xml:space="preserve"> atyre t</w:t>
      </w:r>
      <w:r w:rsidR="00943091">
        <w:rPr>
          <w:lang w:val="sq-AL"/>
        </w:rPr>
        <w:t>’</w:t>
      </w:r>
      <w:r w:rsidRPr="00DC5ED7" w:rsidR="00A519D4">
        <w:rPr>
          <w:lang w:val="sq-AL"/>
        </w:rPr>
        <w:t>u jepej nj</w:t>
      </w:r>
      <w:r w:rsidRPr="00DC5ED7" w:rsidR="00DC7E92">
        <w:rPr>
          <w:lang w:val="sq-AL"/>
        </w:rPr>
        <w:t>ë</w:t>
      </w:r>
      <w:r w:rsidRPr="00DC5ED7" w:rsidR="00A519D4">
        <w:rPr>
          <w:lang w:val="sq-AL"/>
        </w:rPr>
        <w:t xml:space="preserve"> arsim i përshtatshëm.</w:t>
      </w:r>
    </w:p>
    <w:p w:rsidRPr="00DC5ED7" w:rsidR="00EB737A" w:rsidP="00EB737A" w:rsidRDefault="00EB737A">
      <w:pPr>
        <w:pStyle w:val="ECHRHeading3"/>
        <w:rPr>
          <w:lang w:val="sq-AL"/>
        </w:rPr>
      </w:pPr>
      <w:r w:rsidRPr="00DC5ED7">
        <w:rPr>
          <w:lang w:val="sq-AL"/>
        </w:rPr>
        <w:t>3.  L</w:t>
      </w:r>
      <w:r w:rsidRPr="00DC5ED7" w:rsidR="00DC7E92">
        <w:rPr>
          <w:lang w:val="sq-AL"/>
        </w:rPr>
        <w:t>egjislacioni përkatës</w:t>
      </w:r>
    </w:p>
    <w:p w:rsidRPr="00BC0952" w:rsidR="00EB737A" w:rsidP="00EB737A" w:rsidRDefault="00EB737A">
      <w:pPr>
        <w:pStyle w:val="ECHRPara"/>
        <w:rPr>
          <w:lang w:val="sq-AL"/>
        </w:rPr>
      </w:pPr>
      <w:r w:rsidRPr="00BC0952">
        <w:rPr>
          <w:lang w:val="sq-AL"/>
        </w:rPr>
        <w:fldChar w:fldCharType="begin"/>
      </w:r>
      <w:r w:rsidRPr="00BC0952">
        <w:rPr>
          <w:lang w:val="sq-AL"/>
        </w:rPr>
        <w:instrText xml:space="preserve"> SEQ level0 \*arabic </w:instrText>
      </w:r>
      <w:r w:rsidRPr="00BC0952">
        <w:rPr>
          <w:lang w:val="sq-AL"/>
        </w:rPr>
        <w:fldChar w:fldCharType="separate"/>
      </w:r>
      <w:r w:rsidR="00013F9B">
        <w:rPr>
          <w:noProof/>
          <w:lang w:val="sq-AL"/>
        </w:rPr>
        <w:t>56</w:t>
      </w:r>
      <w:r w:rsidRPr="00BC0952">
        <w:rPr>
          <w:lang w:val="sq-AL"/>
        </w:rPr>
        <w:fldChar w:fldCharType="end"/>
      </w:r>
      <w:r w:rsidRPr="00BC0952">
        <w:rPr>
          <w:lang w:val="sq-AL"/>
        </w:rPr>
        <w:t>.  </w:t>
      </w:r>
      <w:r w:rsidRPr="00BC0952" w:rsidR="00D11801">
        <w:rPr>
          <w:lang w:val="sq-AL"/>
        </w:rPr>
        <w:t>Ligji i vitit</w:t>
      </w:r>
      <w:r w:rsidRPr="00BC0952">
        <w:rPr>
          <w:lang w:val="sq-AL"/>
        </w:rPr>
        <w:t xml:space="preserve"> 1908 </w:t>
      </w:r>
      <w:r w:rsidRPr="00BC0952" w:rsidR="00D11801">
        <w:rPr>
          <w:lang w:val="sq-AL"/>
        </w:rPr>
        <w:t xml:space="preserve">për fëmijët </w:t>
      </w:r>
      <w:r w:rsidRPr="00BC0952">
        <w:rPr>
          <w:lang w:val="sq-AL"/>
        </w:rPr>
        <w:t>(</w:t>
      </w:r>
      <w:r w:rsidRPr="00BC0952">
        <w:rPr>
          <w:i/>
          <w:lang w:val="sq-AL"/>
        </w:rPr>
        <w:t>Children Act 1908</w:t>
      </w:r>
      <w:r w:rsidRPr="00BC0952">
        <w:rPr>
          <w:lang w:val="sq-AL"/>
        </w:rPr>
        <w:t xml:space="preserve">), </w:t>
      </w:r>
      <w:r w:rsidRPr="00BC0952" w:rsidR="00D11801">
        <w:rPr>
          <w:lang w:val="sq-AL"/>
        </w:rPr>
        <w:t xml:space="preserve">i cili përcaktonte se si mbroheshin fëmijët, parashikonte që një fëmijë viktimë abuzimesh në gjirin e familjes së vet mund të merrej në ngarkim nga shteti. Ligji i vitit 1998 për arsimin </w:t>
      </w:r>
      <w:r w:rsidRPr="00BC0952">
        <w:rPr>
          <w:lang w:val="sq-AL"/>
        </w:rPr>
        <w:t>(</w:t>
      </w:r>
      <w:r w:rsidRPr="00BC0952">
        <w:rPr>
          <w:i/>
          <w:iCs/>
          <w:lang w:val="sq-AL"/>
        </w:rPr>
        <w:t>Education Act 1998</w:t>
      </w:r>
      <w:r w:rsidRPr="00BC0952">
        <w:rPr>
          <w:iCs/>
          <w:lang w:val="sq-AL"/>
        </w:rPr>
        <w:t xml:space="preserve"> – </w:t>
      </w:r>
      <w:r w:rsidRPr="00BC0952" w:rsidR="00D11801">
        <w:rPr>
          <w:iCs/>
          <w:lang w:val="sq-AL"/>
        </w:rPr>
        <w:t xml:space="preserve">“Ligji i vitit </w:t>
      </w:r>
      <w:r w:rsidRPr="00BC0952">
        <w:rPr>
          <w:iCs/>
          <w:lang w:val="sq-AL"/>
        </w:rPr>
        <w:t>1998</w:t>
      </w:r>
      <w:r w:rsidRPr="00BC0952" w:rsidR="00D11801">
        <w:rPr>
          <w:iCs/>
          <w:lang w:val="sq-AL"/>
        </w:rPr>
        <w:t>”</w:t>
      </w:r>
      <w:r w:rsidRPr="00BC0952">
        <w:rPr>
          <w:lang w:val="sq-AL"/>
        </w:rPr>
        <w:t>)</w:t>
      </w:r>
      <w:r w:rsidRPr="00BC0952" w:rsidR="00D11801">
        <w:rPr>
          <w:lang w:val="sq-AL"/>
        </w:rPr>
        <w:t xml:space="preserve"> qe teksti i parë ligjvënës pas krijimit të shtetit irlandez i cili i trajtoi në mënyrë shteruese çështjet e arsimit. Ai i vendosi mbi një bazë ligjore tiparet e sistemit të arsimit fillor (financim publik/administrim privat)</w:t>
      </w:r>
      <w:r w:rsidRPr="00BC0952" w:rsidR="005629DE">
        <w:rPr>
          <w:lang w:val="sq-AL"/>
        </w:rPr>
        <w:t xml:space="preserve"> pa kryer asnjë ndryshim strukturor themelor për kët</w:t>
      </w:r>
      <w:r w:rsidR="00BC0952">
        <w:rPr>
          <w:lang w:val="sq-AL"/>
        </w:rPr>
        <w:t>ë</w:t>
      </w:r>
      <w:r w:rsidRPr="00BC0952" w:rsidR="005629DE">
        <w:rPr>
          <w:lang w:val="sq-AL"/>
        </w:rPr>
        <w:t xml:space="preserve"> qëllim.</w:t>
      </w:r>
    </w:p>
    <w:p w:rsidRPr="00BC0952" w:rsidR="00EB737A" w:rsidP="00EB737A" w:rsidRDefault="00EB737A">
      <w:pPr>
        <w:pStyle w:val="ECHRHeading3"/>
        <w:rPr>
          <w:lang w:val="sq-AL"/>
        </w:rPr>
      </w:pPr>
      <w:r w:rsidRPr="00BC0952">
        <w:rPr>
          <w:lang w:val="sq-AL"/>
        </w:rPr>
        <w:t>4.  </w:t>
      </w:r>
      <w:r w:rsidRPr="00BC0952" w:rsidR="005629DE">
        <w:rPr>
          <w:lang w:val="sq-AL"/>
        </w:rPr>
        <w:t xml:space="preserve">Rregullorja e shkollave kombëtare </w:t>
      </w:r>
      <w:r w:rsidRPr="00BC0952">
        <w:rPr>
          <w:lang w:val="sq-AL"/>
        </w:rPr>
        <w:t>(</w:t>
      </w:r>
      <w:r w:rsidRPr="00BC0952">
        <w:rPr>
          <w:i w:val="0"/>
          <w:lang w:val="sq-AL"/>
        </w:rPr>
        <w:t>Rules for National Schools</w:t>
      </w:r>
      <w:r w:rsidRPr="00BC0952">
        <w:rPr>
          <w:lang w:val="sq-AL"/>
        </w:rPr>
        <w:t xml:space="preserve"> – </w:t>
      </w:r>
      <w:r w:rsidRPr="00BC0952" w:rsidR="005629DE">
        <w:rPr>
          <w:lang w:val="sq-AL"/>
        </w:rPr>
        <w:t>“Rregullorja e vitit</w:t>
      </w:r>
      <w:r w:rsidRPr="00BC0952">
        <w:rPr>
          <w:lang w:val="sq-AL"/>
        </w:rPr>
        <w:t xml:space="preserve"> 1965</w:t>
      </w:r>
      <w:r w:rsidRPr="00BC0952" w:rsidR="005629DE">
        <w:rPr>
          <w:lang w:val="sq-AL"/>
        </w:rPr>
        <w:t>”) dhe qarkoret e zbatueshme ministrore</w:t>
      </w:r>
    </w:p>
    <w:p w:rsidRPr="00BC0952" w:rsidR="00EB737A" w:rsidP="00EB737A" w:rsidRDefault="00EB737A">
      <w:pPr>
        <w:pStyle w:val="ECHRPara"/>
        <w:rPr>
          <w:lang w:val="sq-AL"/>
        </w:rPr>
      </w:pPr>
      <w:r w:rsidRPr="00BC0952">
        <w:rPr>
          <w:lang w:val="sq-AL"/>
        </w:rPr>
        <w:fldChar w:fldCharType="begin"/>
      </w:r>
      <w:r w:rsidRPr="00BC0952">
        <w:rPr>
          <w:lang w:val="sq-AL"/>
        </w:rPr>
        <w:instrText xml:space="preserve"> SEQ level0 \*arabic </w:instrText>
      </w:r>
      <w:r w:rsidRPr="00BC0952">
        <w:rPr>
          <w:lang w:val="sq-AL"/>
        </w:rPr>
        <w:fldChar w:fldCharType="separate"/>
      </w:r>
      <w:r w:rsidR="00013F9B">
        <w:rPr>
          <w:noProof/>
          <w:lang w:val="sq-AL"/>
        </w:rPr>
        <w:t>57</w:t>
      </w:r>
      <w:r w:rsidRPr="00BC0952">
        <w:rPr>
          <w:lang w:val="sq-AL"/>
        </w:rPr>
        <w:fldChar w:fldCharType="end"/>
      </w:r>
      <w:r w:rsidRPr="00BC0952">
        <w:rPr>
          <w:lang w:val="sq-AL"/>
        </w:rPr>
        <w:t>.  </w:t>
      </w:r>
      <w:r w:rsidRPr="00BC0952" w:rsidR="005629DE">
        <w:rPr>
          <w:lang w:val="sq-AL"/>
        </w:rPr>
        <w:t>Deri në miratimin e Rregullores së vitit 1965 nga Ministria, për shkollat komb</w:t>
      </w:r>
      <w:r w:rsidR="00BC0952">
        <w:rPr>
          <w:lang w:val="sq-AL"/>
        </w:rPr>
        <w:t>ë</w:t>
      </w:r>
      <w:r w:rsidRPr="00BC0952" w:rsidR="005629DE">
        <w:rPr>
          <w:lang w:val="sq-AL"/>
        </w:rPr>
        <w:t>tare u zbatuan rregullat që ishin n</w:t>
      </w:r>
      <w:r w:rsidR="00BC0952">
        <w:rPr>
          <w:lang w:val="sq-AL"/>
        </w:rPr>
        <w:t>ë</w:t>
      </w:r>
      <w:r w:rsidRPr="00BC0952" w:rsidR="005629DE">
        <w:rPr>
          <w:lang w:val="sq-AL"/>
        </w:rPr>
        <w:t xml:space="preserve"> fuqi përpara pavar</w:t>
      </w:r>
      <w:r w:rsidR="00BC0952">
        <w:rPr>
          <w:lang w:val="sq-AL"/>
        </w:rPr>
        <w:t>ë</w:t>
      </w:r>
      <w:r w:rsidRPr="00BC0952" w:rsidR="005629DE">
        <w:rPr>
          <w:lang w:val="sq-AL"/>
        </w:rPr>
        <w:t>sisë së vitit 1922</w:t>
      </w:r>
      <w:r w:rsidRPr="00BC0952">
        <w:rPr>
          <w:lang w:val="sq-AL"/>
        </w:rPr>
        <w:t xml:space="preserve">. </w:t>
      </w:r>
      <w:r w:rsidRPr="00BC0952" w:rsidR="005629DE">
        <w:rPr>
          <w:lang w:val="sq-AL"/>
        </w:rPr>
        <w:t>Ndon</w:t>
      </w:r>
      <w:r w:rsidR="00BC0952">
        <w:rPr>
          <w:lang w:val="sq-AL"/>
        </w:rPr>
        <w:t>ë</w:t>
      </w:r>
      <w:r w:rsidRPr="00BC0952" w:rsidR="005629DE">
        <w:rPr>
          <w:lang w:val="sq-AL"/>
        </w:rPr>
        <w:t>se nuk b</w:t>
      </w:r>
      <w:r w:rsidR="00BC0952">
        <w:rPr>
          <w:lang w:val="sq-AL"/>
        </w:rPr>
        <w:t>ë</w:t>
      </w:r>
      <w:r w:rsidRPr="00BC0952" w:rsidR="005629DE">
        <w:rPr>
          <w:lang w:val="sq-AL"/>
        </w:rPr>
        <w:t>het fjalë as për ndonjë tekst ligjvën</w:t>
      </w:r>
      <w:r w:rsidR="00BC0952">
        <w:rPr>
          <w:lang w:val="sq-AL"/>
        </w:rPr>
        <w:t>ë</w:t>
      </w:r>
      <w:r w:rsidRPr="00BC0952" w:rsidR="005629DE">
        <w:rPr>
          <w:lang w:val="sq-AL"/>
        </w:rPr>
        <w:t>s, as për ndonj</w:t>
      </w:r>
      <w:r w:rsidR="00BC0952">
        <w:rPr>
          <w:lang w:val="sq-AL"/>
        </w:rPr>
        <w:t>ë</w:t>
      </w:r>
      <w:r w:rsidRPr="00BC0952" w:rsidR="005629DE">
        <w:rPr>
          <w:lang w:val="sq-AL"/>
        </w:rPr>
        <w:t xml:space="preserve"> dekret vënieje n</w:t>
      </w:r>
      <w:r w:rsidR="00BC0952">
        <w:rPr>
          <w:lang w:val="sq-AL"/>
        </w:rPr>
        <w:t>ë</w:t>
      </w:r>
      <w:r w:rsidRPr="00BC0952" w:rsidR="005629DE">
        <w:rPr>
          <w:lang w:val="sq-AL"/>
        </w:rPr>
        <w:t xml:space="preserve"> zbatim, kjo rregullore ka fuqi ligjore dhe është pjesë e regjimit të zbatueshëm ligjor</w:t>
      </w:r>
      <w:r w:rsidRPr="00BC0952">
        <w:rPr>
          <w:lang w:val="sq-AL"/>
        </w:rPr>
        <w:t xml:space="preserve"> (</w:t>
      </w:r>
      <w:r w:rsidRPr="00BC0952">
        <w:rPr>
          <w:i/>
          <w:lang w:val="sq-AL"/>
        </w:rPr>
        <w:t>Brown v. Board of Management of Rathfarnham Parish National School</w:t>
      </w:r>
      <w:r w:rsidRPr="00BC0952">
        <w:rPr>
          <w:lang w:val="sq-AL"/>
        </w:rPr>
        <w:t xml:space="preserve"> [2006] IEHC 178). </w:t>
      </w:r>
      <w:r w:rsidRPr="00BC0952" w:rsidR="005629DE">
        <w:rPr>
          <w:lang w:val="sq-AL"/>
        </w:rPr>
        <w:t>Përveç k</w:t>
      </w:r>
      <w:r w:rsidR="00BC0952">
        <w:rPr>
          <w:lang w:val="sq-AL"/>
        </w:rPr>
        <w:t>ë</w:t>
      </w:r>
      <w:r w:rsidRPr="00BC0952" w:rsidR="005629DE">
        <w:rPr>
          <w:lang w:val="sq-AL"/>
        </w:rPr>
        <w:t xml:space="preserve">saj, </w:t>
      </w:r>
      <w:r w:rsidRPr="00BC0952" w:rsidR="00BC0952">
        <w:rPr>
          <w:lang w:val="sq-AL"/>
        </w:rPr>
        <w:t>Ministria u jepte zgjidhje çështjeve q</w:t>
      </w:r>
      <w:r w:rsidR="00BC0952">
        <w:rPr>
          <w:lang w:val="sq-AL"/>
        </w:rPr>
        <w:t>ë</w:t>
      </w:r>
      <w:r w:rsidRPr="00BC0952" w:rsidR="00BC0952">
        <w:rPr>
          <w:lang w:val="sq-AL"/>
        </w:rPr>
        <w:t xml:space="preserve"> ishin nën kompetencën e saj me anë shkresash, qarkoresh dhe tekstesh t</w:t>
      </w:r>
      <w:r w:rsidR="00BC0952">
        <w:rPr>
          <w:lang w:val="sq-AL"/>
        </w:rPr>
        <w:t>ë</w:t>
      </w:r>
      <w:r w:rsidRPr="00BC0952" w:rsidR="00BC0952">
        <w:rPr>
          <w:lang w:val="sq-AL"/>
        </w:rPr>
        <w:t xml:space="preserve"> tjera zyrtare ministrore. Ministri kishte fuqi t</w:t>
      </w:r>
      <w:r w:rsidR="00943091">
        <w:rPr>
          <w:lang w:val="sq-AL"/>
        </w:rPr>
        <w:t>’</w:t>
      </w:r>
      <w:r w:rsidRPr="00BC0952" w:rsidR="00BC0952">
        <w:rPr>
          <w:lang w:val="sq-AL"/>
        </w:rPr>
        <w:t>ia hiqte nj</w:t>
      </w:r>
      <w:r w:rsidR="00BC0952">
        <w:rPr>
          <w:lang w:val="sq-AL"/>
        </w:rPr>
        <w:t>ë</w:t>
      </w:r>
      <w:r w:rsidRPr="00BC0952" w:rsidR="00BC0952">
        <w:rPr>
          <w:lang w:val="sq-AL"/>
        </w:rPr>
        <w:t>simin nj</w:t>
      </w:r>
      <w:r w:rsidR="00BC0952">
        <w:rPr>
          <w:lang w:val="sq-AL"/>
        </w:rPr>
        <w:t>ë</w:t>
      </w:r>
      <w:r w:rsidRPr="00BC0952" w:rsidR="00BC0952">
        <w:rPr>
          <w:lang w:val="sq-AL"/>
        </w:rPr>
        <w:t xml:space="preserve"> shkolle apo lejen për t</w:t>
      </w:r>
      <w:r w:rsidR="00BC0952">
        <w:rPr>
          <w:lang w:val="sq-AL"/>
        </w:rPr>
        <w:t>ë</w:t>
      </w:r>
      <w:r w:rsidRPr="00BC0952" w:rsidR="00BC0952">
        <w:rPr>
          <w:lang w:val="sq-AL"/>
        </w:rPr>
        <w:t xml:space="preserve"> dhën</w:t>
      </w:r>
      <w:r w:rsidR="00BC0952">
        <w:rPr>
          <w:lang w:val="sq-AL"/>
        </w:rPr>
        <w:t>ë</w:t>
      </w:r>
      <w:r w:rsidRPr="00BC0952" w:rsidR="00BC0952">
        <w:rPr>
          <w:lang w:val="sq-AL"/>
        </w:rPr>
        <w:t xml:space="preserve"> mësim nj</w:t>
      </w:r>
      <w:r w:rsidR="00BC0952">
        <w:rPr>
          <w:lang w:val="sq-AL"/>
        </w:rPr>
        <w:t>ë</w:t>
      </w:r>
      <w:r w:rsidRPr="00BC0952" w:rsidR="00BC0952">
        <w:rPr>
          <w:lang w:val="sq-AL"/>
        </w:rPr>
        <w:t xml:space="preserve"> m</w:t>
      </w:r>
      <w:r w:rsidR="00BC0952">
        <w:rPr>
          <w:lang w:val="sq-AL"/>
        </w:rPr>
        <w:t>ë</w:t>
      </w:r>
      <w:r w:rsidRPr="00BC0952" w:rsidR="00BC0952">
        <w:rPr>
          <w:lang w:val="sq-AL"/>
        </w:rPr>
        <w:t>suesi n</w:t>
      </w:r>
      <w:r w:rsidR="00BC0952">
        <w:rPr>
          <w:lang w:val="sq-AL"/>
        </w:rPr>
        <w:t>ë</w:t>
      </w:r>
      <w:r w:rsidRPr="00BC0952" w:rsidR="00BC0952">
        <w:rPr>
          <w:lang w:val="sq-AL"/>
        </w:rPr>
        <w:t xml:space="preserve"> rast mosrespektimi të Rregullores së vitit </w:t>
      </w:r>
      <w:r w:rsidRPr="00BC0952">
        <w:rPr>
          <w:lang w:val="sq-AL"/>
        </w:rPr>
        <w:t>1965 (</w:t>
      </w:r>
      <w:r w:rsidRPr="00BC0952" w:rsidR="00BC0952">
        <w:rPr>
          <w:lang w:val="sq-AL"/>
        </w:rPr>
        <w:t>nenet 30 e</w:t>
      </w:r>
      <w:r w:rsidRPr="00BC0952">
        <w:rPr>
          <w:lang w:val="sq-AL"/>
        </w:rPr>
        <w:t xml:space="preserve"> 108 </w:t>
      </w:r>
      <w:r w:rsidRPr="00BC0952" w:rsidR="00BC0952">
        <w:rPr>
          <w:lang w:val="sq-AL"/>
        </w:rPr>
        <w:t xml:space="preserve">të Rregullores së </w:t>
      </w:r>
      <w:r w:rsidR="00BC0952">
        <w:rPr>
          <w:lang w:val="sq-AL"/>
        </w:rPr>
        <w:t>lart</w:t>
      </w:r>
      <w:r w:rsidRPr="00BC0952" w:rsidR="00BC0952">
        <w:rPr>
          <w:lang w:val="sq-AL"/>
        </w:rPr>
        <w:t>përmendur</w:t>
      </w:r>
      <w:r w:rsidRPr="00BC0952">
        <w:rPr>
          <w:lang w:val="sq-AL"/>
        </w:rPr>
        <w:t>).</w:t>
      </w:r>
    </w:p>
    <w:p w:rsidRPr="00CC0DC5" w:rsidR="00EB737A" w:rsidP="00EB737A" w:rsidRDefault="00EB737A">
      <w:pPr>
        <w:pStyle w:val="ECHRHeading3"/>
        <w:rPr>
          <w:lang w:val="sq-AL"/>
        </w:rPr>
      </w:pPr>
      <w:r w:rsidRPr="00CC0DC5">
        <w:rPr>
          <w:lang w:val="sq-AL"/>
        </w:rPr>
        <w:t>5.  </w:t>
      </w:r>
      <w:r w:rsidRPr="00CC0DC5" w:rsidR="00BC0952">
        <w:rPr>
          <w:lang w:val="sq-AL"/>
        </w:rPr>
        <w:t>Drejtorët dhe komitetet drejtuese</w:t>
      </w:r>
    </w:p>
    <w:p w:rsidRPr="00CC0DC5" w:rsidR="00EB737A" w:rsidP="00EB737A" w:rsidRDefault="00EB737A">
      <w:pPr>
        <w:pStyle w:val="ECHRPara"/>
        <w:rPr>
          <w:lang w:val="sq-AL"/>
        </w:rPr>
      </w:pPr>
      <w:r w:rsidRPr="00CC0DC5">
        <w:rPr>
          <w:lang w:val="sq-AL"/>
        </w:rPr>
        <w:fldChar w:fldCharType="begin"/>
      </w:r>
      <w:r w:rsidRPr="00CC0DC5">
        <w:rPr>
          <w:lang w:val="sq-AL"/>
        </w:rPr>
        <w:instrText xml:space="preserve"> SEQ level0 \*arabic </w:instrText>
      </w:r>
      <w:r w:rsidRPr="00CC0DC5">
        <w:rPr>
          <w:lang w:val="sq-AL"/>
        </w:rPr>
        <w:fldChar w:fldCharType="separate"/>
      </w:r>
      <w:r w:rsidR="00013F9B">
        <w:rPr>
          <w:noProof/>
          <w:lang w:val="sq-AL"/>
        </w:rPr>
        <w:t>58</w:t>
      </w:r>
      <w:r w:rsidRPr="00CC0DC5">
        <w:rPr>
          <w:lang w:val="sq-AL"/>
        </w:rPr>
        <w:fldChar w:fldCharType="end"/>
      </w:r>
      <w:r w:rsidRPr="00CC0DC5">
        <w:rPr>
          <w:lang w:val="sq-AL"/>
        </w:rPr>
        <w:t>.  </w:t>
      </w:r>
      <w:r w:rsidRPr="00CC0DC5" w:rsidR="00BC0952">
        <w:rPr>
          <w:lang w:val="sq-AL"/>
        </w:rPr>
        <w:t>Neni</w:t>
      </w:r>
      <w:r w:rsidRPr="00CC0DC5">
        <w:rPr>
          <w:lang w:val="sq-AL"/>
        </w:rPr>
        <w:t xml:space="preserve"> 15 </w:t>
      </w:r>
      <w:r w:rsidRPr="00CC0DC5" w:rsidR="00BC0952">
        <w:rPr>
          <w:lang w:val="sq-AL"/>
        </w:rPr>
        <w:t>i Rregullores përcaktonte që drejtori ishte i ngarkuar me administrimin e drejtpërdrejtë të shkollës, me em</w:t>
      </w:r>
      <w:r w:rsidR="00CC0DC5">
        <w:rPr>
          <w:lang w:val="sq-AL"/>
        </w:rPr>
        <w:t>ë</w:t>
      </w:r>
      <w:r w:rsidRPr="00CC0DC5" w:rsidR="00BC0952">
        <w:rPr>
          <w:lang w:val="sq-AL"/>
        </w:rPr>
        <w:t>rimin dhe me shkarkimin e tyre, me kusht q</w:t>
      </w:r>
      <w:r w:rsidR="00CC0DC5">
        <w:rPr>
          <w:lang w:val="sq-AL"/>
        </w:rPr>
        <w:t>ë</w:t>
      </w:r>
      <w:r w:rsidRPr="00CC0DC5" w:rsidR="00BC0952">
        <w:rPr>
          <w:lang w:val="sq-AL"/>
        </w:rPr>
        <w:t xml:space="preserve"> ky i fundit të miratohej nga ministri. Drejtori duhej t</w:t>
      </w:r>
      <w:r w:rsidR="00CC0DC5">
        <w:rPr>
          <w:lang w:val="sq-AL"/>
        </w:rPr>
        <w:t>ë</w:t>
      </w:r>
      <w:r w:rsidRPr="00CC0DC5" w:rsidR="00BC0952">
        <w:rPr>
          <w:lang w:val="sq-AL"/>
        </w:rPr>
        <w:t xml:space="preserve"> shkonte rregullisht n</w:t>
      </w:r>
      <w:r w:rsidR="00CC0DC5">
        <w:rPr>
          <w:lang w:val="sq-AL"/>
        </w:rPr>
        <w:t>ë</w:t>
      </w:r>
      <w:r w:rsidRPr="00CC0DC5" w:rsidR="00BC0952">
        <w:rPr>
          <w:lang w:val="sq-AL"/>
        </w:rPr>
        <w:t xml:space="preserve"> institucionin që drejtonte dhe të kujdesej për respektimin e Rregullores së vitit </w:t>
      </w:r>
      <w:r w:rsidRPr="00CC0DC5">
        <w:rPr>
          <w:lang w:val="sq-AL"/>
        </w:rPr>
        <w:t>1965 (</w:t>
      </w:r>
      <w:r w:rsidRPr="00CC0DC5" w:rsidR="00BC0952">
        <w:rPr>
          <w:lang w:val="sq-AL"/>
        </w:rPr>
        <w:t>neni</w:t>
      </w:r>
      <w:r w:rsidRPr="00CC0DC5">
        <w:rPr>
          <w:lang w:val="sq-AL"/>
        </w:rPr>
        <w:t xml:space="preserve"> 16 </w:t>
      </w:r>
      <w:r w:rsidRPr="00CC0DC5" w:rsidR="00BC0952">
        <w:rPr>
          <w:lang w:val="sq-AL"/>
        </w:rPr>
        <w:t>i Rregullores së lartpërmendur</w:t>
      </w:r>
      <w:r w:rsidRPr="00CC0DC5">
        <w:rPr>
          <w:lang w:val="sq-AL"/>
        </w:rPr>
        <w:t xml:space="preserve">). </w:t>
      </w:r>
      <w:r w:rsidRPr="00CC0DC5" w:rsidR="00B81AED">
        <w:rPr>
          <w:lang w:val="sq-AL"/>
        </w:rPr>
        <w:t>Nën autoritetin e drejtorit, kryem</w:t>
      </w:r>
      <w:r w:rsidR="00CC0DC5">
        <w:rPr>
          <w:lang w:val="sq-AL"/>
        </w:rPr>
        <w:t>ë</w:t>
      </w:r>
      <w:r w:rsidRPr="00CC0DC5" w:rsidR="00B81AED">
        <w:rPr>
          <w:lang w:val="sq-AL"/>
        </w:rPr>
        <w:t>suesi ishte p</w:t>
      </w:r>
      <w:r w:rsidR="00CC0DC5">
        <w:rPr>
          <w:lang w:val="sq-AL"/>
        </w:rPr>
        <w:t>ë</w:t>
      </w:r>
      <w:r w:rsidRPr="00CC0DC5" w:rsidR="00B81AED">
        <w:rPr>
          <w:lang w:val="sq-AL"/>
        </w:rPr>
        <w:t>rgjegj</w:t>
      </w:r>
      <w:r w:rsidR="00CC0DC5">
        <w:rPr>
          <w:lang w:val="sq-AL"/>
        </w:rPr>
        <w:t>ë</w:t>
      </w:r>
      <w:r w:rsidRPr="00CC0DC5" w:rsidR="00B81AED">
        <w:rPr>
          <w:lang w:val="sq-AL"/>
        </w:rPr>
        <w:t>s p</w:t>
      </w:r>
      <w:r w:rsidR="00CC0DC5">
        <w:rPr>
          <w:lang w:val="sq-AL"/>
        </w:rPr>
        <w:t>ë</w:t>
      </w:r>
      <w:r w:rsidRPr="00CC0DC5" w:rsidR="00B81AED">
        <w:rPr>
          <w:lang w:val="sq-AL"/>
        </w:rPr>
        <w:t>r disiplin</w:t>
      </w:r>
      <w:r w:rsidR="00CC0DC5">
        <w:rPr>
          <w:lang w:val="sq-AL"/>
        </w:rPr>
        <w:t>ë</w:t>
      </w:r>
      <w:r w:rsidRPr="00CC0DC5" w:rsidR="00B81AED">
        <w:rPr>
          <w:lang w:val="sq-AL"/>
        </w:rPr>
        <w:t>n, për mbik</w:t>
      </w:r>
      <w:r w:rsidR="00CC0DC5">
        <w:rPr>
          <w:lang w:val="sq-AL"/>
        </w:rPr>
        <w:t>ë</w:t>
      </w:r>
      <w:r w:rsidRPr="00CC0DC5" w:rsidR="00B81AED">
        <w:rPr>
          <w:lang w:val="sq-AL"/>
        </w:rPr>
        <w:t>qyrjen e m</w:t>
      </w:r>
      <w:r w:rsidR="00CC0DC5">
        <w:rPr>
          <w:lang w:val="sq-AL"/>
        </w:rPr>
        <w:t>ë</w:t>
      </w:r>
      <w:r w:rsidRPr="00CC0DC5" w:rsidR="00B81AED">
        <w:rPr>
          <w:lang w:val="sq-AL"/>
        </w:rPr>
        <w:t>suesve t</w:t>
      </w:r>
      <w:r w:rsidR="00CC0DC5">
        <w:rPr>
          <w:lang w:val="sq-AL"/>
        </w:rPr>
        <w:t>ë</w:t>
      </w:r>
      <w:r w:rsidRPr="00CC0DC5" w:rsidR="00B81AED">
        <w:rPr>
          <w:lang w:val="sq-AL"/>
        </w:rPr>
        <w:t xml:space="preserve"> tjerë dhe t</w:t>
      </w:r>
      <w:r w:rsidR="00CC0DC5">
        <w:rPr>
          <w:lang w:val="sq-AL"/>
        </w:rPr>
        <w:t>ë</w:t>
      </w:r>
      <w:r w:rsidRPr="00CC0DC5" w:rsidR="00B81AED">
        <w:rPr>
          <w:lang w:val="sq-AL"/>
        </w:rPr>
        <w:t xml:space="preserve"> t</w:t>
      </w:r>
      <w:r w:rsidR="00CC0DC5">
        <w:rPr>
          <w:lang w:val="sq-AL"/>
        </w:rPr>
        <w:t>ë</w:t>
      </w:r>
      <w:r w:rsidRPr="00CC0DC5" w:rsidR="00B81AED">
        <w:rPr>
          <w:lang w:val="sq-AL"/>
        </w:rPr>
        <w:t xml:space="preserve"> gjitha çështjeve t</w:t>
      </w:r>
      <w:r w:rsidR="00CC0DC5">
        <w:rPr>
          <w:lang w:val="sq-AL"/>
        </w:rPr>
        <w:t>ë</w:t>
      </w:r>
      <w:r w:rsidRPr="00CC0DC5" w:rsidR="00B81AED">
        <w:rPr>
          <w:lang w:val="sq-AL"/>
        </w:rPr>
        <w:t xml:space="preserve"> tjera t</w:t>
      </w:r>
      <w:r w:rsidR="00CC0DC5">
        <w:rPr>
          <w:lang w:val="sq-AL"/>
        </w:rPr>
        <w:t>ë</w:t>
      </w:r>
      <w:r w:rsidRPr="00CC0DC5" w:rsidR="00B81AED">
        <w:rPr>
          <w:lang w:val="sq-AL"/>
        </w:rPr>
        <w:t xml:space="preserve"> lidhura me veprimtaritë shkollore </w:t>
      </w:r>
      <w:r w:rsidRPr="00CC0DC5">
        <w:rPr>
          <w:lang w:val="sq-AL"/>
        </w:rPr>
        <w:t>(</w:t>
      </w:r>
      <w:r w:rsidRPr="00CC0DC5" w:rsidR="00B81AED">
        <w:rPr>
          <w:lang w:val="sq-AL"/>
        </w:rPr>
        <w:t>neni</w:t>
      </w:r>
      <w:r w:rsidRPr="00CC0DC5">
        <w:rPr>
          <w:lang w:val="sq-AL"/>
        </w:rPr>
        <w:t xml:space="preserve"> 13 § 4 </w:t>
      </w:r>
      <w:r w:rsidRPr="00CC0DC5" w:rsidR="00B81AED">
        <w:rPr>
          <w:lang w:val="sq-AL"/>
        </w:rPr>
        <w:t>i Rregullores</w:t>
      </w:r>
      <w:r w:rsidRPr="00CC0DC5">
        <w:rPr>
          <w:lang w:val="sq-AL"/>
        </w:rPr>
        <w:t>).</w:t>
      </w:r>
    </w:p>
    <w:p w:rsidRPr="00CC0DC5" w:rsidR="00EB737A" w:rsidP="00EB737A" w:rsidRDefault="00EB737A">
      <w:pPr>
        <w:pStyle w:val="ECHRPara"/>
        <w:rPr>
          <w:lang w:val="sq-AL"/>
        </w:rPr>
      </w:pPr>
      <w:r w:rsidRPr="00CC0DC5">
        <w:rPr>
          <w:lang w:val="sq-AL"/>
        </w:rPr>
        <w:fldChar w:fldCharType="begin"/>
      </w:r>
      <w:r w:rsidRPr="00CC0DC5">
        <w:rPr>
          <w:lang w:val="sq-AL"/>
        </w:rPr>
        <w:instrText xml:space="preserve"> SEQ level0 \*arabic </w:instrText>
      </w:r>
      <w:r w:rsidRPr="00CC0DC5">
        <w:rPr>
          <w:lang w:val="sq-AL"/>
        </w:rPr>
        <w:fldChar w:fldCharType="separate"/>
      </w:r>
      <w:r w:rsidR="00013F9B">
        <w:rPr>
          <w:noProof/>
          <w:lang w:val="sq-AL"/>
        </w:rPr>
        <w:t>59</w:t>
      </w:r>
      <w:r w:rsidRPr="00CC0DC5">
        <w:rPr>
          <w:lang w:val="sq-AL"/>
        </w:rPr>
        <w:fldChar w:fldCharType="end"/>
      </w:r>
      <w:r w:rsidRPr="00CC0DC5">
        <w:rPr>
          <w:lang w:val="sq-AL"/>
        </w:rPr>
        <w:t>.  </w:t>
      </w:r>
      <w:r w:rsidRPr="00CC0DC5" w:rsidR="00B81AED">
        <w:rPr>
          <w:lang w:val="sq-AL"/>
        </w:rPr>
        <w:t>Neni</w:t>
      </w:r>
      <w:r w:rsidRPr="00CC0DC5">
        <w:rPr>
          <w:lang w:val="sq-AL"/>
        </w:rPr>
        <w:t xml:space="preserve"> 121 </w:t>
      </w:r>
      <w:r w:rsidRPr="00CC0DC5" w:rsidR="00B81AED">
        <w:rPr>
          <w:lang w:val="sq-AL"/>
        </w:rPr>
        <w:t xml:space="preserve">i Rregullores së </w:t>
      </w:r>
      <w:r w:rsidRPr="00CC0DC5" w:rsidR="00FC6DEC">
        <w:rPr>
          <w:lang w:val="sq-AL"/>
        </w:rPr>
        <w:t xml:space="preserve">vitit </w:t>
      </w:r>
      <w:r w:rsidRPr="00CC0DC5">
        <w:rPr>
          <w:lang w:val="sq-AL"/>
        </w:rPr>
        <w:t xml:space="preserve">1965 </w:t>
      </w:r>
      <w:r w:rsidRPr="00CC0DC5" w:rsidR="00FC6DEC">
        <w:rPr>
          <w:lang w:val="sq-AL"/>
        </w:rPr>
        <w:t>parashtronte rregullat e sjelljes t</w:t>
      </w:r>
      <w:r w:rsidR="00CC0DC5">
        <w:rPr>
          <w:lang w:val="sq-AL"/>
        </w:rPr>
        <w:t>ë</w:t>
      </w:r>
      <w:r w:rsidRPr="00CC0DC5" w:rsidR="00FC6DEC">
        <w:rPr>
          <w:lang w:val="sq-AL"/>
        </w:rPr>
        <w:t xml:space="preserve"> cilave duhej t</w:t>
      </w:r>
      <w:r w:rsidR="00943091">
        <w:rPr>
          <w:lang w:val="sq-AL"/>
        </w:rPr>
        <w:t>’</w:t>
      </w:r>
      <w:r w:rsidRPr="00CC0DC5" w:rsidR="00FC6DEC">
        <w:rPr>
          <w:lang w:val="sq-AL"/>
        </w:rPr>
        <w:t>u përmbaheshin m</w:t>
      </w:r>
      <w:r w:rsidR="00CC0DC5">
        <w:rPr>
          <w:lang w:val="sq-AL"/>
        </w:rPr>
        <w:t>ë</w:t>
      </w:r>
      <w:r w:rsidRPr="00CC0DC5" w:rsidR="00FC6DEC">
        <w:rPr>
          <w:lang w:val="sq-AL"/>
        </w:rPr>
        <w:t>suesit. Këta t</w:t>
      </w:r>
      <w:r w:rsidR="00CC0DC5">
        <w:rPr>
          <w:lang w:val="sq-AL"/>
        </w:rPr>
        <w:t>ë</w:t>
      </w:r>
      <w:r w:rsidRPr="00CC0DC5" w:rsidR="00FC6DEC">
        <w:rPr>
          <w:lang w:val="sq-AL"/>
        </w:rPr>
        <w:t xml:space="preserve"> fundit duhej veçan</w:t>
      </w:r>
      <w:r w:rsidR="00CC0DC5">
        <w:rPr>
          <w:lang w:val="sq-AL"/>
        </w:rPr>
        <w:t>ë</w:t>
      </w:r>
      <w:r w:rsidRPr="00CC0DC5" w:rsidR="00FC6DEC">
        <w:rPr>
          <w:lang w:val="sq-AL"/>
        </w:rPr>
        <w:t>risht t</w:t>
      </w:r>
      <w:r w:rsidR="00CC0DC5">
        <w:rPr>
          <w:lang w:val="sq-AL"/>
        </w:rPr>
        <w:t>ë</w:t>
      </w:r>
      <w:r w:rsidRPr="00CC0DC5" w:rsidR="00FC6DEC">
        <w:rPr>
          <w:lang w:val="sq-AL"/>
        </w:rPr>
        <w:t xml:space="preserve"> vepro</w:t>
      </w:r>
      <w:r w:rsidR="00CC0DC5">
        <w:rPr>
          <w:lang w:val="sq-AL"/>
        </w:rPr>
        <w:t>n</w:t>
      </w:r>
      <w:r w:rsidRPr="00CC0DC5" w:rsidR="00FC6DEC">
        <w:rPr>
          <w:lang w:val="sq-AL"/>
        </w:rPr>
        <w:t>in me frym</w:t>
      </w:r>
      <w:r w:rsidR="00CC0DC5">
        <w:rPr>
          <w:lang w:val="sq-AL"/>
        </w:rPr>
        <w:t>ë</w:t>
      </w:r>
      <w:r w:rsidRPr="00CC0DC5" w:rsidR="00FC6DEC">
        <w:rPr>
          <w:lang w:val="sq-AL"/>
        </w:rPr>
        <w:t xml:space="preserve"> bindjeje ndaj ligjit, t</w:t>
      </w:r>
      <w:r w:rsidR="00943091">
        <w:rPr>
          <w:lang w:val="sq-AL"/>
        </w:rPr>
        <w:t>’</w:t>
      </w:r>
      <w:r w:rsidRPr="00CC0DC5" w:rsidR="00FC6DEC">
        <w:rPr>
          <w:lang w:val="sq-AL"/>
        </w:rPr>
        <w:t>u kushtonin vëmendjen m</w:t>
      </w:r>
      <w:r w:rsidR="00CC0DC5">
        <w:rPr>
          <w:lang w:val="sq-AL"/>
        </w:rPr>
        <w:t>ë</w:t>
      </w:r>
      <w:r w:rsidRPr="00CC0DC5" w:rsidR="00FC6DEC">
        <w:rPr>
          <w:lang w:val="sq-AL"/>
        </w:rPr>
        <w:t xml:space="preserve"> t</w:t>
      </w:r>
      <w:r w:rsidR="00CC0DC5">
        <w:rPr>
          <w:lang w:val="sq-AL"/>
        </w:rPr>
        <w:t>ë</w:t>
      </w:r>
      <w:r w:rsidRPr="00CC0DC5" w:rsidR="00FC6DEC">
        <w:rPr>
          <w:lang w:val="sq-AL"/>
        </w:rPr>
        <w:t xml:space="preserve"> madhe moralit dhe sjelljes s</w:t>
      </w:r>
      <w:r w:rsidR="00CC0DC5">
        <w:rPr>
          <w:lang w:val="sq-AL"/>
        </w:rPr>
        <w:t>ë</w:t>
      </w:r>
      <w:r w:rsidRPr="00CC0DC5" w:rsidR="00FC6DEC">
        <w:rPr>
          <w:lang w:val="sq-AL"/>
        </w:rPr>
        <w:t xml:space="preserve"> p</w:t>
      </w:r>
      <w:r w:rsidR="00CC0DC5">
        <w:rPr>
          <w:lang w:val="sq-AL"/>
        </w:rPr>
        <w:t>ë</w:t>
      </w:r>
      <w:r w:rsidRPr="00CC0DC5" w:rsidR="00FC6DEC">
        <w:rPr>
          <w:lang w:val="sq-AL"/>
        </w:rPr>
        <w:t>rgjithshme t</w:t>
      </w:r>
      <w:r w:rsidR="00CC0DC5">
        <w:rPr>
          <w:lang w:val="sq-AL"/>
        </w:rPr>
        <w:t>ë</w:t>
      </w:r>
      <w:r w:rsidRPr="00CC0DC5" w:rsidR="00FC6DEC">
        <w:rPr>
          <w:lang w:val="sq-AL"/>
        </w:rPr>
        <w:t xml:space="preserve"> nx</w:t>
      </w:r>
      <w:r w:rsidR="00CC0DC5">
        <w:rPr>
          <w:lang w:val="sq-AL"/>
        </w:rPr>
        <w:t>ë</w:t>
      </w:r>
      <w:r w:rsidRPr="00CC0DC5" w:rsidR="00FC6DEC">
        <w:rPr>
          <w:lang w:val="sq-AL"/>
        </w:rPr>
        <w:t>n</w:t>
      </w:r>
      <w:r w:rsidR="00CC0DC5">
        <w:rPr>
          <w:lang w:val="sq-AL"/>
        </w:rPr>
        <w:t>ë</w:t>
      </w:r>
      <w:r w:rsidRPr="00CC0DC5" w:rsidR="00FC6DEC">
        <w:rPr>
          <w:lang w:val="sq-AL"/>
        </w:rPr>
        <w:t>sve të tyre, t</w:t>
      </w:r>
      <w:r w:rsidR="00CC0DC5">
        <w:rPr>
          <w:lang w:val="sq-AL"/>
        </w:rPr>
        <w:t>ë</w:t>
      </w:r>
      <w:r w:rsidRPr="00CC0DC5" w:rsidR="00FC6DEC">
        <w:rPr>
          <w:lang w:val="sq-AL"/>
        </w:rPr>
        <w:t xml:space="preserve"> merrnin t</w:t>
      </w:r>
      <w:r w:rsidR="00CC0DC5">
        <w:rPr>
          <w:lang w:val="sq-AL"/>
        </w:rPr>
        <w:t>ë</w:t>
      </w:r>
      <w:r w:rsidRPr="00CC0DC5" w:rsidR="00FC6DEC">
        <w:rPr>
          <w:lang w:val="sq-AL"/>
        </w:rPr>
        <w:t xml:space="preserve"> gjitha masat e arsyeshme paraprake për t</w:t>
      </w:r>
      <w:r w:rsidR="00CC0DC5">
        <w:rPr>
          <w:lang w:val="sq-AL"/>
        </w:rPr>
        <w:t>ë</w:t>
      </w:r>
      <w:r w:rsidRPr="00CC0DC5" w:rsidR="00FC6DEC">
        <w:rPr>
          <w:lang w:val="sq-AL"/>
        </w:rPr>
        <w:t xml:space="preserve"> garantuar sigurin</w:t>
      </w:r>
      <w:r w:rsidR="00CC0DC5">
        <w:rPr>
          <w:lang w:val="sq-AL"/>
        </w:rPr>
        <w:t>ë</w:t>
      </w:r>
      <w:r w:rsidRPr="00CC0DC5" w:rsidR="00FC6DEC">
        <w:rPr>
          <w:lang w:val="sq-AL"/>
        </w:rPr>
        <w:t xml:space="preserve"> e nx</w:t>
      </w:r>
      <w:r w:rsidR="00CC0DC5">
        <w:rPr>
          <w:lang w:val="sq-AL"/>
        </w:rPr>
        <w:t>ë</w:t>
      </w:r>
      <w:r w:rsidRPr="00CC0DC5" w:rsidR="00FC6DEC">
        <w:rPr>
          <w:lang w:val="sq-AL"/>
        </w:rPr>
        <w:t>n</w:t>
      </w:r>
      <w:r w:rsidR="00CC0DC5">
        <w:rPr>
          <w:lang w:val="sq-AL"/>
        </w:rPr>
        <w:t>ë</w:t>
      </w:r>
      <w:r w:rsidRPr="00CC0DC5" w:rsidR="00FC6DEC">
        <w:rPr>
          <w:lang w:val="sq-AL"/>
        </w:rPr>
        <w:t>sve dhe t</w:t>
      </w:r>
      <w:r w:rsidR="00CC0DC5">
        <w:rPr>
          <w:lang w:val="sq-AL"/>
        </w:rPr>
        <w:t>ë</w:t>
      </w:r>
      <w:r w:rsidRPr="00CC0DC5" w:rsidR="00FC6DEC">
        <w:rPr>
          <w:lang w:val="sq-AL"/>
        </w:rPr>
        <w:t xml:space="preserve"> vepronin n</w:t>
      </w:r>
      <w:r w:rsidR="00CC0DC5">
        <w:rPr>
          <w:lang w:val="sq-AL"/>
        </w:rPr>
        <w:t>ë</w:t>
      </w:r>
      <w:r w:rsidRPr="00CC0DC5" w:rsidR="00FC6DEC">
        <w:rPr>
          <w:lang w:val="sq-AL"/>
        </w:rPr>
        <w:t xml:space="preserve"> përputhje me t</w:t>
      </w:r>
      <w:r w:rsidR="00CC0DC5">
        <w:rPr>
          <w:lang w:val="sq-AL"/>
        </w:rPr>
        <w:t>ë</w:t>
      </w:r>
      <w:r w:rsidRPr="00CC0DC5" w:rsidR="00FC6DEC">
        <w:rPr>
          <w:lang w:val="sq-AL"/>
        </w:rPr>
        <w:t xml:space="preserve"> gjitha udh</w:t>
      </w:r>
      <w:r w:rsidR="00CC0DC5">
        <w:rPr>
          <w:lang w:val="sq-AL"/>
        </w:rPr>
        <w:t>ë</w:t>
      </w:r>
      <w:r w:rsidRPr="00CC0DC5" w:rsidR="00FC6DEC">
        <w:rPr>
          <w:lang w:val="sq-AL"/>
        </w:rPr>
        <w:t>zimet e ligjshme të drejtorit.</w:t>
      </w:r>
      <w:r w:rsidRPr="00CC0DC5">
        <w:rPr>
          <w:lang w:val="sq-AL"/>
        </w:rPr>
        <w:t xml:space="preserve"> </w:t>
      </w:r>
      <w:r w:rsidRPr="00CC0DC5" w:rsidR="00FC6DEC">
        <w:rPr>
          <w:lang w:val="sq-AL"/>
        </w:rPr>
        <w:t>Neni</w:t>
      </w:r>
      <w:r w:rsidRPr="00CC0DC5">
        <w:rPr>
          <w:lang w:val="sq-AL"/>
        </w:rPr>
        <w:t xml:space="preserve"> 130 </w:t>
      </w:r>
      <w:r w:rsidRPr="00CC0DC5" w:rsidR="00FC6DEC">
        <w:rPr>
          <w:lang w:val="sq-AL"/>
        </w:rPr>
        <w:t xml:space="preserve">i Rregullores </w:t>
      </w:r>
      <w:r w:rsidRPr="00CC0DC5" w:rsidR="00C71FA3">
        <w:rPr>
          <w:lang w:val="sq-AL"/>
        </w:rPr>
        <w:t>u kërkonte mësuesve që të kujdeseshin për aftësimin dhe për mirëqenien e përgjithshme të nxën</w:t>
      </w:r>
      <w:r w:rsidR="00CC0DC5">
        <w:rPr>
          <w:lang w:val="sq-AL"/>
        </w:rPr>
        <w:t>ë</w:t>
      </w:r>
      <w:r w:rsidRPr="00CC0DC5" w:rsidR="00C71FA3">
        <w:rPr>
          <w:lang w:val="sq-AL"/>
        </w:rPr>
        <w:t>sve të tyre, të silleshin ndaj tyre me butësi e rreptësi, e t</w:t>
      </w:r>
      <w:r w:rsidR="00943091">
        <w:rPr>
          <w:lang w:val="sq-AL"/>
        </w:rPr>
        <w:t>’</w:t>
      </w:r>
      <w:r w:rsidRPr="00CC0DC5" w:rsidR="00C71FA3">
        <w:rPr>
          <w:lang w:val="sq-AL"/>
        </w:rPr>
        <w:t xml:space="preserve">i drejtonin ata </w:t>
      </w:r>
      <w:r w:rsidRPr="00CC0DC5" w:rsidR="00CC0DC5">
        <w:rPr>
          <w:lang w:val="sq-AL"/>
        </w:rPr>
        <w:t>përmes ndjenjave dhe arsyes, e jo duke i trajtuar ata me egërsi e vrazhdësi.</w:t>
      </w:r>
    </w:p>
    <w:p w:rsidRPr="005324FC" w:rsidR="00EB737A" w:rsidP="00EB737A" w:rsidRDefault="00EB737A">
      <w:pPr>
        <w:pStyle w:val="ECHRPara"/>
        <w:rPr>
          <w:lang w:val="sq-AL"/>
        </w:rPr>
      </w:pPr>
      <w:r w:rsidRPr="00CC0DC5">
        <w:rPr>
          <w:lang w:val="sq-AL"/>
        </w:rPr>
        <w:fldChar w:fldCharType="begin"/>
      </w:r>
      <w:r w:rsidRPr="00CC0DC5">
        <w:rPr>
          <w:lang w:val="sq-AL"/>
        </w:rPr>
        <w:instrText xml:space="preserve"> SEQ level0 \*arabic </w:instrText>
      </w:r>
      <w:r w:rsidRPr="00CC0DC5">
        <w:rPr>
          <w:lang w:val="sq-AL"/>
        </w:rPr>
        <w:fldChar w:fldCharType="separate"/>
      </w:r>
      <w:r w:rsidR="00013F9B">
        <w:rPr>
          <w:noProof/>
          <w:lang w:val="sq-AL"/>
        </w:rPr>
        <w:t>60</w:t>
      </w:r>
      <w:r w:rsidRPr="00CC0DC5">
        <w:rPr>
          <w:lang w:val="sq-AL"/>
        </w:rPr>
        <w:fldChar w:fldCharType="end"/>
      </w:r>
      <w:r w:rsidRPr="00CC0DC5">
        <w:rPr>
          <w:lang w:val="sq-AL"/>
        </w:rPr>
        <w:t>.  </w:t>
      </w:r>
      <w:r w:rsidRPr="00CC0DC5" w:rsidR="00CC0DC5">
        <w:rPr>
          <w:lang w:val="sq-AL"/>
        </w:rPr>
        <w:t xml:space="preserve">Shumica e shkollave fillore kanë tani një komitet drejtues. Përpara miratimit të Ligjit të vitit </w:t>
      </w:r>
      <w:r w:rsidRPr="00CC0DC5">
        <w:rPr>
          <w:lang w:val="sq-AL"/>
        </w:rPr>
        <w:t xml:space="preserve">1998, </w:t>
      </w:r>
      <w:r w:rsidRPr="00CC0DC5" w:rsidR="00CC0DC5">
        <w:rPr>
          <w:lang w:val="sq-AL"/>
        </w:rPr>
        <w:t xml:space="preserve">i cili e sanksionoi ekzistencën e tyre, komitetet drejtuese udhëhiqeshin nga një qarkore ministrore </w:t>
      </w:r>
      <w:r w:rsidRPr="00CC0DC5">
        <w:rPr>
          <w:lang w:val="sq-AL"/>
        </w:rPr>
        <w:t>(n</w:t>
      </w:r>
      <w:r w:rsidRPr="00CC0DC5" w:rsidR="00CC0DC5">
        <w:rPr>
          <w:lang w:val="sq-AL"/>
        </w:rPr>
        <w:t>r.</w:t>
      </w:r>
      <w:r w:rsidRPr="00CC0DC5">
        <w:rPr>
          <w:lang w:val="sq-AL"/>
        </w:rPr>
        <w:t xml:space="preserve"> 16/76). </w:t>
      </w:r>
      <w:r w:rsidRPr="00CC0DC5" w:rsidR="00CC0DC5">
        <w:rPr>
          <w:lang w:val="sq-AL"/>
        </w:rPr>
        <w:t xml:space="preserve">Sipas nenit </w:t>
      </w:r>
      <w:r w:rsidRPr="00CC0DC5">
        <w:rPr>
          <w:lang w:val="sq-AL"/>
        </w:rPr>
        <w:t xml:space="preserve">14 </w:t>
      </w:r>
      <w:r w:rsidRPr="00CC0DC5" w:rsidR="00CC0DC5">
        <w:rPr>
          <w:lang w:val="sq-AL"/>
        </w:rPr>
        <w:t xml:space="preserve">të Ligjit të vitit </w:t>
      </w:r>
      <w:r w:rsidRPr="00CC0DC5">
        <w:rPr>
          <w:lang w:val="sq-AL"/>
        </w:rPr>
        <w:t xml:space="preserve">1998, </w:t>
      </w:r>
      <w:r w:rsidRPr="00CC0DC5" w:rsidR="00CC0DC5">
        <w:rPr>
          <w:lang w:val="sq-AL"/>
        </w:rPr>
        <w:t>i takon</w:t>
      </w:r>
      <w:r w:rsidRPr="00CC0DC5">
        <w:rPr>
          <w:lang w:val="sq-AL"/>
        </w:rPr>
        <w:t xml:space="preserve"> </w:t>
      </w:r>
      <w:r w:rsidRPr="00CC0DC5">
        <w:rPr>
          <w:i/>
          <w:lang w:val="sq-AL"/>
        </w:rPr>
        <w:t>Pa</w:t>
      </w:r>
      <w:r w:rsidRPr="00CC0DC5" w:rsidR="00CC0DC5">
        <w:rPr>
          <w:i/>
          <w:lang w:val="sq-AL"/>
        </w:rPr>
        <w:t>d</w:t>
      </w:r>
      <w:r w:rsidRPr="00CC0DC5">
        <w:rPr>
          <w:i/>
          <w:lang w:val="sq-AL"/>
        </w:rPr>
        <w:t>ron</w:t>
      </w:r>
      <w:r w:rsidRPr="00CC0DC5" w:rsidR="00CC0DC5">
        <w:rPr>
          <w:i/>
          <w:lang w:val="sq-AL"/>
        </w:rPr>
        <w:t>it</w:t>
      </w:r>
      <w:r w:rsidRPr="00CC0DC5">
        <w:rPr>
          <w:lang w:val="sq-AL"/>
        </w:rPr>
        <w:t xml:space="preserve"> </w:t>
      </w:r>
      <w:r w:rsidRPr="00CC0DC5" w:rsidR="00CC0DC5">
        <w:rPr>
          <w:lang w:val="sq-AL"/>
        </w:rPr>
        <w:t xml:space="preserve">që, </w:t>
      </w:r>
      <w:r w:rsidR="00CC0DC5">
        <w:rPr>
          <w:lang w:val="sq-AL"/>
        </w:rPr>
        <w:t>brenda mundësive dhe n</w:t>
      </w:r>
      <w:r w:rsidR="005324FC">
        <w:rPr>
          <w:lang w:val="sq-AL"/>
        </w:rPr>
        <w:t>ë</w:t>
      </w:r>
      <w:r w:rsidR="00CC0DC5">
        <w:rPr>
          <w:lang w:val="sq-AL"/>
        </w:rPr>
        <w:t xml:space="preserve"> përputhje me “parimin e partneritetit”</w:t>
      </w:r>
      <w:r w:rsidR="00837427">
        <w:rPr>
          <w:lang w:val="sq-AL"/>
        </w:rPr>
        <w:t xml:space="preserve">, </w:t>
      </w:r>
      <w:r w:rsidRPr="00CC0DC5" w:rsidR="00837427">
        <w:rPr>
          <w:lang w:val="sq-AL"/>
        </w:rPr>
        <w:t>të krijojë</w:t>
      </w:r>
      <w:r w:rsidR="00837427">
        <w:rPr>
          <w:lang w:val="sq-AL"/>
        </w:rPr>
        <w:t xml:space="preserve"> një komitet përb</w:t>
      </w:r>
      <w:r w:rsidR="005324FC">
        <w:rPr>
          <w:lang w:val="sq-AL"/>
        </w:rPr>
        <w:t>ë</w:t>
      </w:r>
      <w:r w:rsidR="00837427">
        <w:rPr>
          <w:lang w:val="sq-AL"/>
        </w:rPr>
        <w:t>rja e të cilit duhet të caktohet n</w:t>
      </w:r>
      <w:r w:rsidR="005324FC">
        <w:rPr>
          <w:lang w:val="sq-AL"/>
        </w:rPr>
        <w:t>ë</w:t>
      </w:r>
      <w:r w:rsidR="00837427">
        <w:rPr>
          <w:lang w:val="sq-AL"/>
        </w:rPr>
        <w:t xml:space="preserve"> marrëveshje midis ministrit dhe partnerëve n</w:t>
      </w:r>
      <w:r w:rsidR="005324FC">
        <w:rPr>
          <w:lang w:val="sq-AL"/>
        </w:rPr>
        <w:t>ë</w:t>
      </w:r>
      <w:r w:rsidR="00837427">
        <w:rPr>
          <w:lang w:val="sq-AL"/>
        </w:rPr>
        <w:t xml:space="preserve"> fushën e arsimit. Komitetet janë persona juridikë me trashëgimi të përhershme, të cil</w:t>
      </w:r>
      <w:r w:rsidR="005324FC">
        <w:rPr>
          <w:lang w:val="sq-AL"/>
        </w:rPr>
        <w:t>ë</w:t>
      </w:r>
      <w:r w:rsidR="00837427">
        <w:rPr>
          <w:lang w:val="sq-AL"/>
        </w:rPr>
        <w:t xml:space="preserve">t </w:t>
      </w:r>
      <w:r w:rsidR="005324FC">
        <w:rPr>
          <w:lang w:val="sq-AL"/>
        </w:rPr>
        <w:t>kanë aftësinë për të vepruar si palë</w:t>
      </w:r>
      <w:r w:rsidRPr="005324FC">
        <w:rPr>
          <w:lang w:val="sq-AL"/>
        </w:rPr>
        <w:t>.</w:t>
      </w:r>
    </w:p>
    <w:p w:rsidRPr="003D6F29" w:rsidR="00EB737A" w:rsidP="00EB737A" w:rsidRDefault="00EB737A">
      <w:pPr>
        <w:pStyle w:val="ECHRHeading3"/>
        <w:rPr>
          <w:lang w:val="sq-AL"/>
        </w:rPr>
      </w:pPr>
      <w:r w:rsidRPr="003D6F29">
        <w:rPr>
          <w:lang w:val="sq-AL"/>
        </w:rPr>
        <w:t>6.  </w:t>
      </w:r>
      <w:r w:rsidRPr="003D6F29" w:rsidR="005324FC">
        <w:rPr>
          <w:lang w:val="sq-AL"/>
        </w:rPr>
        <w:t>I</w:t>
      </w:r>
      <w:r w:rsidRPr="003D6F29">
        <w:rPr>
          <w:lang w:val="sq-AL"/>
        </w:rPr>
        <w:t>nspe</w:t>
      </w:r>
      <w:r w:rsidRPr="003D6F29" w:rsidR="005324FC">
        <w:rPr>
          <w:lang w:val="sq-AL"/>
        </w:rPr>
        <w:t>k</w:t>
      </w:r>
      <w:r w:rsidRPr="003D6F29">
        <w:rPr>
          <w:lang w:val="sq-AL"/>
        </w:rPr>
        <w:t>t</w:t>
      </w:r>
      <w:r w:rsidRPr="003D6F29" w:rsidR="005324FC">
        <w:rPr>
          <w:lang w:val="sq-AL"/>
        </w:rPr>
        <w:t>orët</w:t>
      </w:r>
    </w:p>
    <w:p w:rsidRPr="003D6F29" w:rsidR="00EB737A" w:rsidP="00EB737A" w:rsidRDefault="00EB737A">
      <w:pPr>
        <w:pStyle w:val="ECHRPara"/>
        <w:rPr>
          <w:lang w:val="sq-AL"/>
        </w:rPr>
      </w:pPr>
      <w:r w:rsidRPr="003D6F29">
        <w:rPr>
          <w:lang w:val="sq-AL"/>
        </w:rPr>
        <w:fldChar w:fldCharType="begin"/>
      </w:r>
      <w:r w:rsidRPr="003D6F29">
        <w:rPr>
          <w:lang w:val="sq-AL"/>
        </w:rPr>
        <w:instrText xml:space="preserve"> SEQ level0 \*arabic </w:instrText>
      </w:r>
      <w:r w:rsidRPr="003D6F29">
        <w:rPr>
          <w:lang w:val="sq-AL"/>
        </w:rPr>
        <w:fldChar w:fldCharType="separate"/>
      </w:r>
      <w:r w:rsidR="00013F9B">
        <w:rPr>
          <w:noProof/>
          <w:lang w:val="sq-AL"/>
        </w:rPr>
        <w:t>61</w:t>
      </w:r>
      <w:r w:rsidRPr="003D6F29">
        <w:rPr>
          <w:lang w:val="sq-AL"/>
        </w:rPr>
        <w:fldChar w:fldCharType="end"/>
      </w:r>
      <w:r w:rsidRPr="003D6F29">
        <w:rPr>
          <w:lang w:val="sq-AL"/>
        </w:rPr>
        <w:t>.  </w:t>
      </w:r>
      <w:r w:rsidRPr="003D6F29" w:rsidR="005324FC">
        <w:rPr>
          <w:lang w:val="sq-AL"/>
        </w:rPr>
        <w:t xml:space="preserve">Rregullorja e vitit </w:t>
      </w:r>
      <w:r w:rsidRPr="003D6F29">
        <w:rPr>
          <w:lang w:val="sq-AL"/>
        </w:rPr>
        <w:t xml:space="preserve">1965 </w:t>
      </w:r>
      <w:r w:rsidRPr="003D6F29" w:rsidR="00CA65CD">
        <w:rPr>
          <w:lang w:val="sq-AL"/>
        </w:rPr>
        <w:t>parashikonte për ministrin dhe personat e autorizuar prej tij (inspektorët) mund</w:t>
      </w:r>
      <w:r w:rsidR="003D6F29">
        <w:rPr>
          <w:lang w:val="sq-AL"/>
        </w:rPr>
        <w:t>ë</w:t>
      </w:r>
      <w:r w:rsidRPr="003D6F29" w:rsidR="00CA65CD">
        <w:rPr>
          <w:lang w:val="sq-AL"/>
        </w:rPr>
        <w:t>sinë që t</w:t>
      </w:r>
      <w:r w:rsidR="003D6F29">
        <w:rPr>
          <w:lang w:val="sq-AL"/>
        </w:rPr>
        <w:t>ë</w:t>
      </w:r>
      <w:r w:rsidRPr="003D6F29" w:rsidR="00CA65CD">
        <w:rPr>
          <w:lang w:val="sq-AL"/>
        </w:rPr>
        <w:t xml:space="preserve"> shkonin për inspektime nëpër shkolla kurdo q</w:t>
      </w:r>
      <w:r w:rsidR="003D6F29">
        <w:rPr>
          <w:lang w:val="sq-AL"/>
        </w:rPr>
        <w:t>ë</w:t>
      </w:r>
      <w:r w:rsidRPr="003D6F29" w:rsidR="00CA65CD">
        <w:rPr>
          <w:lang w:val="sq-AL"/>
        </w:rPr>
        <w:t xml:space="preserve"> ta shihnin t</w:t>
      </w:r>
      <w:r w:rsidR="003D6F29">
        <w:rPr>
          <w:lang w:val="sq-AL"/>
        </w:rPr>
        <w:t>ë</w:t>
      </w:r>
      <w:r w:rsidRPr="003D6F29" w:rsidR="00CA65CD">
        <w:rPr>
          <w:lang w:val="sq-AL"/>
        </w:rPr>
        <w:t xml:space="preserve"> nevojshme (neni </w:t>
      </w:r>
      <w:r w:rsidRPr="003D6F29">
        <w:rPr>
          <w:lang w:val="sq-AL"/>
        </w:rPr>
        <w:t xml:space="preserve">11 </w:t>
      </w:r>
      <w:r w:rsidRPr="003D6F29" w:rsidR="00CA65CD">
        <w:rPr>
          <w:lang w:val="sq-AL"/>
        </w:rPr>
        <w:t>i Rregullores</w:t>
      </w:r>
      <w:r w:rsidRPr="003D6F29">
        <w:rPr>
          <w:lang w:val="sq-AL"/>
        </w:rPr>
        <w:t xml:space="preserve">). </w:t>
      </w:r>
      <w:r w:rsidRPr="003D6F29" w:rsidR="00CA65CD">
        <w:rPr>
          <w:lang w:val="sq-AL"/>
        </w:rPr>
        <w:t xml:space="preserve">Sipas nenit </w:t>
      </w:r>
      <w:r w:rsidRPr="003D6F29">
        <w:rPr>
          <w:lang w:val="sq-AL"/>
        </w:rPr>
        <w:t xml:space="preserve">161, </w:t>
      </w:r>
      <w:r w:rsidRPr="003D6F29" w:rsidR="00CA65CD">
        <w:rPr>
          <w:lang w:val="sq-AL"/>
        </w:rPr>
        <w:t>inspektorët ishin n</w:t>
      </w:r>
      <w:r w:rsidR="003D6F29">
        <w:rPr>
          <w:lang w:val="sq-AL"/>
        </w:rPr>
        <w:t>ë</w:t>
      </w:r>
      <w:r w:rsidRPr="003D6F29" w:rsidR="00CA65CD">
        <w:rPr>
          <w:lang w:val="sq-AL"/>
        </w:rPr>
        <w:t>pun</w:t>
      </w:r>
      <w:r w:rsidR="003D6F29">
        <w:rPr>
          <w:lang w:val="sq-AL"/>
        </w:rPr>
        <w:t>ë</w:t>
      </w:r>
      <w:r w:rsidRPr="003D6F29" w:rsidR="00CA65CD">
        <w:rPr>
          <w:lang w:val="sq-AL"/>
        </w:rPr>
        <w:t>s t</w:t>
      </w:r>
      <w:r w:rsidR="003D6F29">
        <w:rPr>
          <w:lang w:val="sq-AL"/>
        </w:rPr>
        <w:t>ë</w:t>
      </w:r>
      <w:r w:rsidRPr="003D6F29" w:rsidR="00CA65CD">
        <w:rPr>
          <w:lang w:val="sq-AL"/>
        </w:rPr>
        <w:t xml:space="preserve"> ministrit t</w:t>
      </w:r>
      <w:r w:rsidR="003D6F29">
        <w:rPr>
          <w:lang w:val="sq-AL"/>
        </w:rPr>
        <w:t>ë</w:t>
      </w:r>
      <w:r w:rsidRPr="003D6F29" w:rsidR="00CA65CD">
        <w:rPr>
          <w:lang w:val="sq-AL"/>
        </w:rPr>
        <w:t xml:space="preserve"> cil</w:t>
      </w:r>
      <w:r w:rsidR="003D6F29">
        <w:rPr>
          <w:lang w:val="sq-AL"/>
        </w:rPr>
        <w:t>ë</w:t>
      </w:r>
      <w:r w:rsidRPr="003D6F29" w:rsidR="00CA65CD">
        <w:rPr>
          <w:lang w:val="sq-AL"/>
        </w:rPr>
        <w:t>t duhet t</w:t>
      </w:r>
      <w:r w:rsidR="00943091">
        <w:rPr>
          <w:lang w:val="sq-AL"/>
        </w:rPr>
        <w:t>’</w:t>
      </w:r>
      <w:r w:rsidRPr="003D6F29" w:rsidR="00CA65CD">
        <w:rPr>
          <w:lang w:val="sq-AL"/>
        </w:rPr>
        <w:t>i shpinin deri tek ai informacionet e nevojshme për nj</w:t>
      </w:r>
      <w:r w:rsidR="003D6F29">
        <w:rPr>
          <w:lang w:val="sq-AL"/>
        </w:rPr>
        <w:t>ë</w:t>
      </w:r>
      <w:r w:rsidRPr="003D6F29" w:rsidR="00CA65CD">
        <w:rPr>
          <w:lang w:val="sq-AL"/>
        </w:rPr>
        <w:t xml:space="preserve"> administrim efektiv të sistemit.</w:t>
      </w:r>
      <w:r w:rsidRPr="003D6F29">
        <w:rPr>
          <w:lang w:val="sq-AL"/>
        </w:rPr>
        <w:t xml:space="preserve"> </w:t>
      </w:r>
      <w:r w:rsidRPr="003D6F29" w:rsidR="00CA65CD">
        <w:rPr>
          <w:lang w:val="sq-AL"/>
        </w:rPr>
        <w:t>Ata duhej të tërhiqnin vëmendjen e drejtorëve dhe të m</w:t>
      </w:r>
      <w:r w:rsidR="003D6F29">
        <w:rPr>
          <w:lang w:val="sq-AL"/>
        </w:rPr>
        <w:t>ë</w:t>
      </w:r>
      <w:r w:rsidRPr="003D6F29" w:rsidR="00CA65CD">
        <w:rPr>
          <w:lang w:val="sq-AL"/>
        </w:rPr>
        <w:t>suesve për çdolloj shkelje t</w:t>
      </w:r>
      <w:r w:rsidR="003D6F29">
        <w:rPr>
          <w:lang w:val="sq-AL"/>
        </w:rPr>
        <w:t>ë</w:t>
      </w:r>
      <w:r w:rsidRPr="003D6F29" w:rsidR="00CA65CD">
        <w:rPr>
          <w:lang w:val="sq-AL"/>
        </w:rPr>
        <w:t xml:space="preserve"> rregullave. </w:t>
      </w:r>
      <w:r w:rsidRPr="003D6F29" w:rsidR="00F33F7F">
        <w:rPr>
          <w:lang w:val="sq-AL"/>
        </w:rPr>
        <w:t>Ata kishin t</w:t>
      </w:r>
      <w:r w:rsidR="003D6F29">
        <w:rPr>
          <w:lang w:val="sq-AL"/>
        </w:rPr>
        <w:t>ë</w:t>
      </w:r>
      <w:r w:rsidRPr="003D6F29" w:rsidR="00F33F7F">
        <w:rPr>
          <w:lang w:val="sq-AL"/>
        </w:rPr>
        <w:t xml:space="preserve"> drejtën për t</w:t>
      </w:r>
      <w:r w:rsidR="003D6F29">
        <w:rPr>
          <w:lang w:val="sq-AL"/>
        </w:rPr>
        <w:t>ë</w:t>
      </w:r>
      <w:r w:rsidRPr="003D6F29" w:rsidR="00F33F7F">
        <w:rPr>
          <w:lang w:val="sq-AL"/>
        </w:rPr>
        <w:t xml:space="preserve"> komunikuar me drejtorin lidhur me gjendjen e përgjithshme t</w:t>
      </w:r>
      <w:r w:rsidR="003D6F29">
        <w:rPr>
          <w:lang w:val="sq-AL"/>
        </w:rPr>
        <w:t>ë</w:t>
      </w:r>
      <w:r w:rsidRPr="003D6F29" w:rsidR="00F33F7F">
        <w:rPr>
          <w:lang w:val="sq-AL"/>
        </w:rPr>
        <w:t xml:space="preserve"> institucionit “ose me çfarëdo ç</w:t>
      </w:r>
      <w:r w:rsidR="003D6F29">
        <w:rPr>
          <w:lang w:val="sq-AL"/>
        </w:rPr>
        <w:t>ë</w:t>
      </w:r>
      <w:r w:rsidRPr="003D6F29" w:rsidR="00F33F7F">
        <w:rPr>
          <w:lang w:val="sq-AL"/>
        </w:rPr>
        <w:t>shtje tjetër q</w:t>
      </w:r>
      <w:r w:rsidR="003D6F29">
        <w:rPr>
          <w:lang w:val="sq-AL"/>
        </w:rPr>
        <w:t>ë</w:t>
      </w:r>
      <w:r w:rsidRPr="003D6F29" w:rsidR="00F33F7F">
        <w:rPr>
          <w:lang w:val="sq-AL"/>
        </w:rPr>
        <w:t xml:space="preserve"> kërkonte vëmendjen e drejtorit” si edhe për t</w:t>
      </w:r>
      <w:r w:rsidR="003D6F29">
        <w:rPr>
          <w:lang w:val="sq-AL"/>
        </w:rPr>
        <w:t>ë</w:t>
      </w:r>
      <w:r w:rsidRPr="003D6F29" w:rsidR="00F33F7F">
        <w:rPr>
          <w:lang w:val="sq-AL"/>
        </w:rPr>
        <w:t xml:space="preserve"> “b</w:t>
      </w:r>
      <w:r w:rsidR="003D6F29">
        <w:rPr>
          <w:lang w:val="sq-AL"/>
        </w:rPr>
        <w:t>ë</w:t>
      </w:r>
      <w:r w:rsidRPr="003D6F29" w:rsidR="00F33F7F">
        <w:rPr>
          <w:lang w:val="sq-AL"/>
        </w:rPr>
        <w:t>r</w:t>
      </w:r>
      <w:r w:rsidR="003D6F29">
        <w:rPr>
          <w:lang w:val="sq-AL"/>
        </w:rPr>
        <w:t>ë</w:t>
      </w:r>
      <w:r w:rsidRPr="003D6F29" w:rsidR="00F33F7F">
        <w:rPr>
          <w:lang w:val="sq-AL"/>
        </w:rPr>
        <w:t xml:space="preserve"> çdolloj sugjerimi q</w:t>
      </w:r>
      <w:r w:rsidR="003D6F29">
        <w:rPr>
          <w:lang w:val="sq-AL"/>
        </w:rPr>
        <w:t>ë</w:t>
      </w:r>
      <w:r w:rsidRPr="003D6F29" w:rsidR="00F33F7F">
        <w:rPr>
          <w:lang w:val="sq-AL"/>
        </w:rPr>
        <w:t xml:space="preserve"> mund ta gjykonin t</w:t>
      </w:r>
      <w:r w:rsidR="003D6F29">
        <w:rPr>
          <w:lang w:val="sq-AL"/>
        </w:rPr>
        <w:t>ë</w:t>
      </w:r>
      <w:r w:rsidRPr="003D6F29" w:rsidR="00F33F7F">
        <w:rPr>
          <w:lang w:val="sq-AL"/>
        </w:rPr>
        <w:t xml:space="preserve"> nevojshëm”. Ata ishin t</w:t>
      </w:r>
      <w:r w:rsidR="003D6F29">
        <w:rPr>
          <w:lang w:val="sq-AL"/>
        </w:rPr>
        <w:t>ë</w:t>
      </w:r>
      <w:r w:rsidRPr="003D6F29" w:rsidR="00F33F7F">
        <w:rPr>
          <w:lang w:val="sq-AL"/>
        </w:rPr>
        <w:t xml:space="preserve"> detyruar q</w:t>
      </w:r>
      <w:r w:rsidR="003D6F29">
        <w:rPr>
          <w:lang w:val="sq-AL"/>
        </w:rPr>
        <w:t>ë</w:t>
      </w:r>
      <w:r w:rsidRPr="003D6F29" w:rsidR="00F33F7F">
        <w:rPr>
          <w:lang w:val="sq-AL"/>
        </w:rPr>
        <w:t xml:space="preserve"> të kryenin vizita t</w:t>
      </w:r>
      <w:r w:rsidR="003D6F29">
        <w:rPr>
          <w:lang w:val="sq-AL"/>
        </w:rPr>
        <w:t>ë</w:t>
      </w:r>
      <w:r w:rsidRPr="003D6F29" w:rsidR="00F33F7F">
        <w:rPr>
          <w:lang w:val="sq-AL"/>
        </w:rPr>
        <w:t xml:space="preserve"> shpeshta pa paralajmërim nëpër shkollat e sektorit të tyre, si edhe vizita t</w:t>
      </w:r>
      <w:r w:rsidR="003D6F29">
        <w:rPr>
          <w:lang w:val="sq-AL"/>
        </w:rPr>
        <w:t>ë</w:t>
      </w:r>
      <w:r w:rsidRPr="003D6F29" w:rsidR="00F33F7F">
        <w:rPr>
          <w:lang w:val="sq-AL"/>
        </w:rPr>
        <w:t xml:space="preserve"> detyrueshme një herë n</w:t>
      </w:r>
      <w:r w:rsidR="003D6F29">
        <w:rPr>
          <w:lang w:val="sq-AL"/>
        </w:rPr>
        <w:t>ë</w:t>
      </w:r>
      <w:r w:rsidRPr="003D6F29" w:rsidR="00F33F7F">
        <w:rPr>
          <w:lang w:val="sq-AL"/>
        </w:rPr>
        <w:t xml:space="preserve"> vit për të vlerësuar punën e m</w:t>
      </w:r>
      <w:r w:rsidR="003D6F29">
        <w:rPr>
          <w:lang w:val="sq-AL"/>
        </w:rPr>
        <w:t>ë</w:t>
      </w:r>
      <w:r w:rsidRPr="003D6F29" w:rsidR="00F33F7F">
        <w:rPr>
          <w:lang w:val="sq-AL"/>
        </w:rPr>
        <w:t>suesve. Qarkorja nr.</w:t>
      </w:r>
      <w:r w:rsidRPr="003D6F29">
        <w:rPr>
          <w:lang w:val="sq-AL"/>
        </w:rPr>
        <w:t xml:space="preserve"> 16/59 </w:t>
      </w:r>
      <w:r w:rsidRPr="003D6F29" w:rsidR="00F33F7F">
        <w:rPr>
          <w:lang w:val="sq-AL"/>
        </w:rPr>
        <w:t>u jepte inspektorëve udh</w:t>
      </w:r>
      <w:r w:rsidR="003D6F29">
        <w:rPr>
          <w:lang w:val="sq-AL"/>
        </w:rPr>
        <w:t>ë</w:t>
      </w:r>
      <w:r w:rsidRPr="003D6F29" w:rsidR="00F33F7F">
        <w:rPr>
          <w:lang w:val="sq-AL"/>
        </w:rPr>
        <w:t>zimet e përgjithshme për rolin e tyre n</w:t>
      </w:r>
      <w:r w:rsidR="003D6F29">
        <w:rPr>
          <w:lang w:val="sq-AL"/>
        </w:rPr>
        <w:t>ë</w:t>
      </w:r>
      <w:r w:rsidRPr="003D6F29" w:rsidR="00F33F7F">
        <w:rPr>
          <w:lang w:val="sq-AL"/>
        </w:rPr>
        <w:t xml:space="preserve"> raport me drejtorët e me m</w:t>
      </w:r>
      <w:r w:rsidR="003D6F29">
        <w:rPr>
          <w:lang w:val="sq-AL"/>
        </w:rPr>
        <w:t>ë</w:t>
      </w:r>
      <w:r w:rsidRPr="003D6F29" w:rsidR="00F33F7F">
        <w:rPr>
          <w:lang w:val="sq-AL"/>
        </w:rPr>
        <w:t>suesit, për modalitetet e inspektimeve t</w:t>
      </w:r>
      <w:r w:rsidR="003D6F29">
        <w:rPr>
          <w:lang w:val="sq-AL"/>
        </w:rPr>
        <w:t>ë</w:t>
      </w:r>
      <w:r w:rsidRPr="003D6F29" w:rsidR="00F33F7F">
        <w:rPr>
          <w:lang w:val="sq-AL"/>
        </w:rPr>
        <w:t xml:space="preserve"> paparalajm</w:t>
      </w:r>
      <w:r w:rsidR="003D6F29">
        <w:rPr>
          <w:lang w:val="sq-AL"/>
        </w:rPr>
        <w:t>ë</w:t>
      </w:r>
      <w:r w:rsidRPr="003D6F29" w:rsidR="00F33F7F">
        <w:rPr>
          <w:lang w:val="sq-AL"/>
        </w:rPr>
        <w:t>ruara e t</w:t>
      </w:r>
      <w:r w:rsidR="003D6F29">
        <w:rPr>
          <w:lang w:val="sq-AL"/>
        </w:rPr>
        <w:t>ë</w:t>
      </w:r>
      <w:r w:rsidRPr="003D6F29" w:rsidR="00F33F7F">
        <w:rPr>
          <w:lang w:val="sq-AL"/>
        </w:rPr>
        <w:t xml:space="preserve"> përgjithshme </w:t>
      </w:r>
      <w:r w:rsidRPr="003D6F29" w:rsidR="00ED4E1F">
        <w:rPr>
          <w:lang w:val="sq-AL"/>
        </w:rPr>
        <w:t>dhe për vlerësimin e pun</w:t>
      </w:r>
      <w:r w:rsidR="003D6F29">
        <w:rPr>
          <w:lang w:val="sq-AL"/>
        </w:rPr>
        <w:t>ë</w:t>
      </w:r>
      <w:r w:rsidRPr="003D6F29" w:rsidR="00ED4E1F">
        <w:rPr>
          <w:lang w:val="sq-AL"/>
        </w:rPr>
        <w:t>s së m</w:t>
      </w:r>
      <w:r w:rsidR="003D6F29">
        <w:rPr>
          <w:lang w:val="sq-AL"/>
        </w:rPr>
        <w:t>ë</w:t>
      </w:r>
      <w:r w:rsidRPr="003D6F29" w:rsidR="00ED4E1F">
        <w:rPr>
          <w:lang w:val="sq-AL"/>
        </w:rPr>
        <w:t>suesve.</w:t>
      </w:r>
    </w:p>
    <w:p w:rsidRPr="003D6F29" w:rsidR="00EB737A" w:rsidP="00EB737A" w:rsidRDefault="00EB737A">
      <w:pPr>
        <w:pStyle w:val="ECHRHeading3"/>
        <w:rPr>
          <w:lang w:val="sq-AL"/>
        </w:rPr>
      </w:pPr>
      <w:r w:rsidRPr="003D6F29">
        <w:rPr>
          <w:lang w:val="sq-AL"/>
        </w:rPr>
        <w:t>7.  </w:t>
      </w:r>
      <w:r w:rsidRPr="003D6F29" w:rsidR="00ED4E1F">
        <w:rPr>
          <w:lang w:val="sq-AL"/>
        </w:rPr>
        <w:t>Ankesat</w:t>
      </w:r>
    </w:p>
    <w:p w:rsidRPr="00B54F1A" w:rsidR="00EB737A" w:rsidP="00EB737A" w:rsidRDefault="00EB737A">
      <w:pPr>
        <w:pStyle w:val="ECHRPara"/>
        <w:rPr>
          <w:lang w:val="sq-AL"/>
        </w:rPr>
      </w:pPr>
      <w:r w:rsidRPr="00B54F1A">
        <w:rPr>
          <w:lang w:val="sq-AL"/>
        </w:rPr>
        <w:fldChar w:fldCharType="begin"/>
      </w:r>
      <w:r w:rsidRPr="00B54F1A">
        <w:rPr>
          <w:lang w:val="sq-AL"/>
        </w:rPr>
        <w:instrText xml:space="preserve"> SEQ level0 \*arabic </w:instrText>
      </w:r>
      <w:r w:rsidRPr="00B54F1A">
        <w:rPr>
          <w:lang w:val="sq-AL"/>
        </w:rPr>
        <w:fldChar w:fldCharType="separate"/>
      </w:r>
      <w:r w:rsidR="00013F9B">
        <w:rPr>
          <w:noProof/>
          <w:lang w:val="sq-AL"/>
        </w:rPr>
        <w:t>62</w:t>
      </w:r>
      <w:r w:rsidRPr="00B54F1A">
        <w:rPr>
          <w:lang w:val="sq-AL"/>
        </w:rPr>
        <w:fldChar w:fldCharType="end"/>
      </w:r>
      <w:r w:rsidRPr="00B54F1A">
        <w:rPr>
          <w:lang w:val="sq-AL"/>
        </w:rPr>
        <w:t>.  </w:t>
      </w:r>
      <w:r w:rsidRPr="00B54F1A" w:rsidR="00ED4E1F">
        <w:rPr>
          <w:lang w:val="sq-AL"/>
        </w:rPr>
        <w:t>Procedurën që duhej ndjekur n</w:t>
      </w:r>
      <w:r w:rsidRPr="00B54F1A" w:rsidR="003D6F29">
        <w:rPr>
          <w:lang w:val="sq-AL"/>
        </w:rPr>
        <w:t>ë</w:t>
      </w:r>
      <w:r w:rsidRPr="00B54F1A" w:rsidR="00ED4E1F">
        <w:rPr>
          <w:lang w:val="sq-AL"/>
        </w:rPr>
        <w:t xml:space="preserve"> rast ankese t</w:t>
      </w:r>
      <w:r w:rsidRPr="00B54F1A" w:rsidR="003D6F29">
        <w:rPr>
          <w:lang w:val="sq-AL"/>
        </w:rPr>
        <w:t>ë</w:t>
      </w:r>
      <w:r w:rsidRPr="00B54F1A" w:rsidR="00ED4E1F">
        <w:rPr>
          <w:lang w:val="sq-AL"/>
        </w:rPr>
        <w:t xml:space="preserve"> drejtuar kund</w:t>
      </w:r>
      <w:r w:rsidRPr="00B54F1A" w:rsidR="003D6F29">
        <w:rPr>
          <w:lang w:val="sq-AL"/>
        </w:rPr>
        <w:t>ë</w:t>
      </w:r>
      <w:r w:rsidRPr="00B54F1A" w:rsidR="00ED4E1F">
        <w:rPr>
          <w:lang w:val="sq-AL"/>
        </w:rPr>
        <w:t>r nj</w:t>
      </w:r>
      <w:r w:rsidRPr="00B54F1A" w:rsidR="003D6F29">
        <w:rPr>
          <w:lang w:val="sq-AL"/>
        </w:rPr>
        <w:t>ë</w:t>
      </w:r>
      <w:r w:rsidRPr="00B54F1A" w:rsidR="00ED4E1F">
        <w:rPr>
          <w:lang w:val="sq-AL"/>
        </w:rPr>
        <w:t xml:space="preserve"> mësuesi e përshkruante një direktivë e</w:t>
      </w:r>
      <w:r w:rsidRPr="00B54F1A">
        <w:rPr>
          <w:lang w:val="sq-AL"/>
        </w:rPr>
        <w:t xml:space="preserve"> 6 ma</w:t>
      </w:r>
      <w:r w:rsidRPr="00B54F1A" w:rsidR="00ED4E1F">
        <w:rPr>
          <w:lang w:val="sq-AL"/>
        </w:rPr>
        <w:t>jit</w:t>
      </w:r>
      <w:r w:rsidRPr="00B54F1A">
        <w:rPr>
          <w:lang w:val="sq-AL"/>
        </w:rPr>
        <w:t xml:space="preserve"> 1970. </w:t>
      </w:r>
      <w:r w:rsidRPr="00B54F1A" w:rsidR="00ED4E1F">
        <w:rPr>
          <w:lang w:val="sq-AL"/>
        </w:rPr>
        <w:t>Ankuesi duhej t</w:t>
      </w:r>
      <w:r w:rsidRPr="00B54F1A" w:rsidR="003D6F29">
        <w:rPr>
          <w:lang w:val="sq-AL"/>
        </w:rPr>
        <w:t>ë</w:t>
      </w:r>
      <w:r w:rsidRPr="00B54F1A" w:rsidR="00ED4E1F">
        <w:rPr>
          <w:lang w:val="sq-AL"/>
        </w:rPr>
        <w:t xml:space="preserve"> informohej se ankesa i p</w:t>
      </w:r>
      <w:r w:rsidRPr="00B54F1A" w:rsidR="003D6F29">
        <w:rPr>
          <w:lang w:val="sq-AL"/>
        </w:rPr>
        <w:t>ë</w:t>
      </w:r>
      <w:r w:rsidRPr="00B54F1A" w:rsidR="00ED4E1F">
        <w:rPr>
          <w:lang w:val="sq-AL"/>
        </w:rPr>
        <w:t>rkiste n</w:t>
      </w:r>
      <w:r w:rsidRPr="00B54F1A" w:rsidR="003D6F29">
        <w:rPr>
          <w:lang w:val="sq-AL"/>
        </w:rPr>
        <w:t>ë</w:t>
      </w:r>
      <w:r w:rsidRPr="00B54F1A" w:rsidR="00ED4E1F">
        <w:rPr>
          <w:lang w:val="sq-AL"/>
        </w:rPr>
        <w:t xml:space="preserve"> radhe të parë kompetenc</w:t>
      </w:r>
      <w:r w:rsidRPr="00B54F1A" w:rsidR="003D6F29">
        <w:rPr>
          <w:lang w:val="sq-AL"/>
        </w:rPr>
        <w:t>ë</w:t>
      </w:r>
      <w:r w:rsidRPr="00B54F1A" w:rsidR="00ED4E1F">
        <w:rPr>
          <w:lang w:val="sq-AL"/>
        </w:rPr>
        <w:t>s s</w:t>
      </w:r>
      <w:r w:rsidRPr="00B54F1A" w:rsidR="003D6F29">
        <w:rPr>
          <w:lang w:val="sq-AL"/>
        </w:rPr>
        <w:t>ë</w:t>
      </w:r>
      <w:r w:rsidRPr="00B54F1A" w:rsidR="00ED4E1F">
        <w:rPr>
          <w:lang w:val="sq-AL"/>
        </w:rPr>
        <w:t xml:space="preserve"> drejtorit dhe ai ftohej q</w:t>
      </w:r>
      <w:r w:rsidRPr="00B54F1A" w:rsidR="003D6F29">
        <w:rPr>
          <w:lang w:val="sq-AL"/>
        </w:rPr>
        <w:t>ë</w:t>
      </w:r>
      <w:r w:rsidRPr="00B54F1A" w:rsidR="00ED4E1F">
        <w:rPr>
          <w:lang w:val="sq-AL"/>
        </w:rPr>
        <w:t xml:space="preserve"> t</w:t>
      </w:r>
      <w:r w:rsidRPr="00B54F1A" w:rsidR="003D6F29">
        <w:rPr>
          <w:lang w:val="sq-AL"/>
        </w:rPr>
        <w:t>ë</w:t>
      </w:r>
      <w:r w:rsidRPr="00B54F1A" w:rsidR="00ED4E1F">
        <w:rPr>
          <w:lang w:val="sq-AL"/>
        </w:rPr>
        <w:t xml:space="preserve"> saktësonte nëse ia kishte b</w:t>
      </w:r>
      <w:r w:rsidRPr="00B54F1A" w:rsidR="003D6F29">
        <w:rPr>
          <w:lang w:val="sq-AL"/>
        </w:rPr>
        <w:t>ë</w:t>
      </w:r>
      <w:r w:rsidRPr="00B54F1A" w:rsidR="00ED4E1F">
        <w:rPr>
          <w:lang w:val="sq-AL"/>
        </w:rPr>
        <w:t>rë at</w:t>
      </w:r>
      <w:r w:rsidRPr="00B54F1A" w:rsidR="003D6F29">
        <w:rPr>
          <w:lang w:val="sq-AL"/>
        </w:rPr>
        <w:t>ë</w:t>
      </w:r>
      <w:r w:rsidRPr="00B54F1A" w:rsidR="00ED4E1F">
        <w:rPr>
          <w:lang w:val="sq-AL"/>
        </w:rPr>
        <w:t xml:space="preserve"> t</w:t>
      </w:r>
      <w:r w:rsidRPr="00B54F1A" w:rsidR="003D6F29">
        <w:rPr>
          <w:lang w:val="sq-AL"/>
        </w:rPr>
        <w:t>ë</w:t>
      </w:r>
      <w:r w:rsidRPr="00B54F1A" w:rsidR="00ED4E1F">
        <w:rPr>
          <w:lang w:val="sq-AL"/>
        </w:rPr>
        <w:t xml:space="preserve"> ditur atij. Drejtori duhej t</w:t>
      </w:r>
      <w:r w:rsidRPr="00B54F1A" w:rsidR="003D6F29">
        <w:rPr>
          <w:lang w:val="sq-AL"/>
        </w:rPr>
        <w:t>ë</w:t>
      </w:r>
      <w:r w:rsidRPr="00B54F1A" w:rsidR="00ED4E1F">
        <w:rPr>
          <w:lang w:val="sq-AL"/>
        </w:rPr>
        <w:t xml:space="preserve"> mblidhte v</w:t>
      </w:r>
      <w:r w:rsidRPr="00B54F1A" w:rsidR="003D6F29">
        <w:rPr>
          <w:lang w:val="sq-AL"/>
        </w:rPr>
        <w:t>ë</w:t>
      </w:r>
      <w:r w:rsidRPr="00B54F1A" w:rsidR="00ED4E1F">
        <w:rPr>
          <w:lang w:val="sq-AL"/>
        </w:rPr>
        <w:t>rejtjet e m</w:t>
      </w:r>
      <w:r w:rsidRPr="00B54F1A" w:rsidR="003D6F29">
        <w:rPr>
          <w:lang w:val="sq-AL"/>
        </w:rPr>
        <w:t>ë</w:t>
      </w:r>
      <w:r w:rsidRPr="00B54F1A" w:rsidR="00ED4E1F">
        <w:rPr>
          <w:lang w:val="sq-AL"/>
        </w:rPr>
        <w:t>suesit për t</w:t>
      </w:r>
      <w:r w:rsidRPr="00B54F1A" w:rsidR="003D6F29">
        <w:rPr>
          <w:lang w:val="sq-AL"/>
        </w:rPr>
        <w:t>ë</w:t>
      </w:r>
      <w:r w:rsidRPr="00B54F1A" w:rsidR="00ED4E1F">
        <w:rPr>
          <w:lang w:val="sq-AL"/>
        </w:rPr>
        <w:t xml:space="preserve"> cilin b</w:t>
      </w:r>
      <w:r w:rsidRPr="00B54F1A" w:rsidR="003D6F29">
        <w:rPr>
          <w:lang w:val="sq-AL"/>
        </w:rPr>
        <w:t>ë</w:t>
      </w:r>
      <w:r w:rsidRPr="00B54F1A" w:rsidR="00ED4E1F">
        <w:rPr>
          <w:lang w:val="sq-AL"/>
        </w:rPr>
        <w:t>hej fjal</w:t>
      </w:r>
      <w:r w:rsidRPr="00B54F1A" w:rsidR="003D6F29">
        <w:rPr>
          <w:lang w:val="sq-AL"/>
        </w:rPr>
        <w:t>ë</w:t>
      </w:r>
      <w:r w:rsidRPr="00B54F1A" w:rsidR="00ED4E1F">
        <w:rPr>
          <w:lang w:val="sq-AL"/>
        </w:rPr>
        <w:t xml:space="preserve"> dhe t</w:t>
      </w:r>
      <w:r w:rsidR="00943091">
        <w:rPr>
          <w:lang w:val="sq-AL"/>
        </w:rPr>
        <w:t>’</w:t>
      </w:r>
      <w:r w:rsidRPr="00B54F1A" w:rsidR="00ED4E1F">
        <w:rPr>
          <w:lang w:val="sq-AL"/>
        </w:rPr>
        <w:t>ia përcillte ato ministrisë t</w:t>
      </w:r>
      <w:r w:rsidRPr="00B54F1A" w:rsidR="003D6F29">
        <w:rPr>
          <w:lang w:val="sq-AL"/>
        </w:rPr>
        <w:t>ë</w:t>
      </w:r>
      <w:r w:rsidRPr="00B54F1A" w:rsidR="00ED4E1F">
        <w:rPr>
          <w:lang w:val="sq-AL"/>
        </w:rPr>
        <w:t xml:space="preserve"> shoq</w:t>
      </w:r>
      <w:r w:rsidRPr="00B54F1A" w:rsidR="003D6F29">
        <w:rPr>
          <w:lang w:val="sq-AL"/>
        </w:rPr>
        <w:t>ë</w:t>
      </w:r>
      <w:r w:rsidRPr="00B54F1A" w:rsidR="00ED4E1F">
        <w:rPr>
          <w:lang w:val="sq-AL"/>
        </w:rPr>
        <w:t>ruara me mendimin e tij për at</w:t>
      </w:r>
      <w:r w:rsidRPr="00B54F1A" w:rsidR="003D6F29">
        <w:rPr>
          <w:lang w:val="sq-AL"/>
        </w:rPr>
        <w:t>ë</w:t>
      </w:r>
      <w:r w:rsidRPr="00B54F1A" w:rsidR="00ED4E1F">
        <w:rPr>
          <w:lang w:val="sq-AL"/>
        </w:rPr>
        <w:t xml:space="preserve"> çështje.</w:t>
      </w:r>
      <w:r w:rsidR="00943091">
        <w:rPr>
          <w:lang w:val="sq-AL"/>
        </w:rPr>
        <w:t xml:space="preserve"> </w:t>
      </w:r>
      <w:r w:rsidRPr="00B54F1A" w:rsidR="00ED4E1F">
        <w:rPr>
          <w:lang w:val="sq-AL"/>
        </w:rPr>
        <w:t>Vendimin n</w:t>
      </w:r>
      <w:r w:rsidRPr="00B54F1A" w:rsidR="003D6F29">
        <w:rPr>
          <w:lang w:val="sq-AL"/>
        </w:rPr>
        <w:t>ë</w:t>
      </w:r>
      <w:r w:rsidRPr="00B54F1A" w:rsidR="00ED4E1F">
        <w:rPr>
          <w:lang w:val="sq-AL"/>
        </w:rPr>
        <w:t>se nevojitej apo jo nj</w:t>
      </w:r>
      <w:r w:rsidRPr="00B54F1A" w:rsidR="003D6F29">
        <w:rPr>
          <w:lang w:val="sq-AL"/>
        </w:rPr>
        <w:t>ë</w:t>
      </w:r>
      <w:r w:rsidRPr="00B54F1A" w:rsidR="00ED4E1F">
        <w:rPr>
          <w:lang w:val="sq-AL"/>
        </w:rPr>
        <w:t xml:space="preserve"> hetim e merrte pastaj z</w:t>
      </w:r>
      <w:r w:rsidRPr="00B54F1A" w:rsidR="003D6F29">
        <w:rPr>
          <w:lang w:val="sq-AL"/>
        </w:rPr>
        <w:t>ë</w:t>
      </w:r>
      <w:r w:rsidRPr="00B54F1A" w:rsidR="00ED4E1F">
        <w:rPr>
          <w:lang w:val="sq-AL"/>
        </w:rPr>
        <w:t xml:space="preserve">vendëskryeinspektori pranë ministrit. Nëse </w:t>
      </w:r>
      <w:r w:rsidRPr="00B54F1A" w:rsidR="003D6F29">
        <w:rPr>
          <w:lang w:val="sq-AL"/>
        </w:rPr>
        <w:t>po</w:t>
      </w:r>
      <w:r w:rsidRPr="00B54F1A" w:rsidR="00ED4E1F">
        <w:rPr>
          <w:lang w:val="sq-AL"/>
        </w:rPr>
        <w:t xml:space="preserve">, </w:t>
      </w:r>
      <w:r w:rsidRPr="00B54F1A" w:rsidR="003D6F29">
        <w:rPr>
          <w:lang w:val="sq-AL"/>
        </w:rPr>
        <w:t xml:space="preserve">inspektori duhej të merrte në pyetje drejtorin, mësuesin dhe prindërit në fjalë. Në qoftë se hetimi dilte në përfundime të pafavorshme për mësuesin, neni </w:t>
      </w:r>
      <w:r w:rsidRPr="00B54F1A">
        <w:rPr>
          <w:lang w:val="sq-AL"/>
        </w:rPr>
        <w:t xml:space="preserve">108 </w:t>
      </w:r>
      <w:r w:rsidRPr="00B54F1A" w:rsidR="003D6F29">
        <w:rPr>
          <w:lang w:val="sq-AL"/>
        </w:rPr>
        <w:t xml:space="preserve">i Rregullores së vitit </w:t>
      </w:r>
      <w:r w:rsidRPr="00B54F1A">
        <w:rPr>
          <w:lang w:val="sq-AL"/>
        </w:rPr>
        <w:t xml:space="preserve">1965 </w:t>
      </w:r>
      <w:r w:rsidRPr="00B54F1A" w:rsidR="003D6F29">
        <w:rPr>
          <w:lang w:val="sq-AL"/>
        </w:rPr>
        <w:t xml:space="preserve">e autorizonte ministrin të merrte masa kundër të interesuarit atëherë kur ai ishte sjellë keq ose nuk kishte respektuar Rregulloren e vitit </w:t>
      </w:r>
      <w:r w:rsidRPr="00B54F1A">
        <w:rPr>
          <w:lang w:val="sq-AL"/>
        </w:rPr>
        <w:t xml:space="preserve">1965. </w:t>
      </w:r>
      <w:r w:rsidRPr="00B54F1A" w:rsidR="003D6F29">
        <w:rPr>
          <w:lang w:val="sq-AL"/>
        </w:rPr>
        <w:t>Ministri mund të ngrinte padi kundër mësuesit, t</w:t>
      </w:r>
      <w:r w:rsidR="00943091">
        <w:rPr>
          <w:lang w:val="sq-AL"/>
        </w:rPr>
        <w:t>’</w:t>
      </w:r>
      <w:r w:rsidRPr="00B54F1A" w:rsidR="003D6F29">
        <w:rPr>
          <w:lang w:val="sq-AL"/>
        </w:rPr>
        <w:t>i hiqte atij lejen për mësimdhënie dhe/ose t</w:t>
      </w:r>
      <w:r w:rsidR="00943091">
        <w:rPr>
          <w:lang w:val="sq-AL"/>
        </w:rPr>
        <w:t>’</w:t>
      </w:r>
      <w:r w:rsidRPr="00B54F1A" w:rsidR="003D6F29">
        <w:rPr>
          <w:lang w:val="sq-AL"/>
        </w:rPr>
        <w:t>ia pezullonte/ulte pagën. Siç u tregua më lart, drejtori mund ta shkarkonte një mësues, me kusht që të merrej miratimi i ministrit.</w:t>
      </w:r>
    </w:p>
    <w:p w:rsidRPr="00B54F1A" w:rsidR="00EB737A" w:rsidP="00EB737A" w:rsidRDefault="00EB737A">
      <w:pPr>
        <w:pStyle w:val="ECHRHeading2"/>
        <w:rPr>
          <w:lang w:val="sq-AL"/>
        </w:rPr>
      </w:pPr>
      <w:r w:rsidRPr="00B54F1A">
        <w:rPr>
          <w:lang w:val="sq-AL"/>
        </w:rPr>
        <w:t>B.  </w:t>
      </w:r>
      <w:r w:rsidRPr="00B54F1A" w:rsidR="00B54F1A">
        <w:rPr>
          <w:lang w:val="sq-AL"/>
        </w:rPr>
        <w:t>E drejta penale dhe aspektet e lidhura me të</w:t>
      </w:r>
    </w:p>
    <w:p w:rsidRPr="003A422A" w:rsidR="00EB737A" w:rsidP="00EB737A" w:rsidRDefault="00EB737A">
      <w:pPr>
        <w:pStyle w:val="ECHRPara"/>
        <w:rPr>
          <w:lang w:val="sq-AL"/>
        </w:rPr>
      </w:pPr>
      <w:r w:rsidRPr="003A422A">
        <w:rPr>
          <w:lang w:val="sq-AL"/>
        </w:rPr>
        <w:fldChar w:fldCharType="begin"/>
      </w:r>
      <w:r w:rsidRPr="003A422A">
        <w:rPr>
          <w:lang w:val="sq-AL"/>
        </w:rPr>
        <w:instrText xml:space="preserve"> SEQ level0 \*arabic </w:instrText>
      </w:r>
      <w:r w:rsidRPr="003A422A">
        <w:rPr>
          <w:lang w:val="sq-AL"/>
        </w:rPr>
        <w:fldChar w:fldCharType="separate"/>
      </w:r>
      <w:r w:rsidR="00013F9B">
        <w:rPr>
          <w:noProof/>
          <w:lang w:val="sq-AL"/>
        </w:rPr>
        <w:t>63</w:t>
      </w:r>
      <w:r w:rsidRPr="003A422A">
        <w:rPr>
          <w:lang w:val="sq-AL"/>
        </w:rPr>
        <w:fldChar w:fldCharType="end"/>
      </w:r>
      <w:r w:rsidRPr="003A422A">
        <w:rPr>
          <w:lang w:val="sq-AL"/>
        </w:rPr>
        <w:t>.  </w:t>
      </w:r>
      <w:r w:rsidRPr="003A422A" w:rsidR="00B54F1A">
        <w:rPr>
          <w:lang w:val="sq-AL"/>
        </w:rPr>
        <w:t>Abuzimi seksual me të mitur ndëshkohej nga nenet 50 e</w:t>
      </w:r>
      <w:r w:rsidRPr="003A422A">
        <w:rPr>
          <w:lang w:val="sq-AL"/>
        </w:rPr>
        <w:t xml:space="preserve"> 51 </w:t>
      </w:r>
      <w:r w:rsidRPr="003A422A" w:rsidR="00B54F1A">
        <w:rPr>
          <w:lang w:val="sq-AL"/>
        </w:rPr>
        <w:t xml:space="preserve">të Ligjit </w:t>
      </w:r>
      <w:r w:rsidRPr="003A422A">
        <w:rPr>
          <w:lang w:val="sq-AL"/>
        </w:rPr>
        <w:t>(</w:t>
      </w:r>
      <w:r w:rsidRPr="003A422A" w:rsidR="00B54F1A">
        <w:rPr>
          <w:lang w:val="sq-AL"/>
        </w:rPr>
        <w:t>të ndryshuar</w:t>
      </w:r>
      <w:r w:rsidRPr="003A422A">
        <w:rPr>
          <w:lang w:val="sq-AL"/>
        </w:rPr>
        <w:t xml:space="preserve">) </w:t>
      </w:r>
      <w:r w:rsidRPr="003A422A" w:rsidR="00B54F1A">
        <w:rPr>
          <w:lang w:val="sq-AL"/>
        </w:rPr>
        <w:t>të vitit</w:t>
      </w:r>
      <w:r w:rsidRPr="003A422A">
        <w:rPr>
          <w:lang w:val="sq-AL"/>
        </w:rPr>
        <w:t xml:space="preserve"> 1861 </w:t>
      </w:r>
      <w:r w:rsidRPr="003A422A" w:rsidR="00B54F1A">
        <w:rPr>
          <w:lang w:val="sq-AL"/>
        </w:rPr>
        <w:t xml:space="preserve">për veprat penale ndaj personit </w:t>
      </w:r>
      <w:r w:rsidRPr="003A422A">
        <w:rPr>
          <w:i/>
          <w:lang w:val="sq-AL"/>
        </w:rPr>
        <w:t>(Offences Against the Person Act 1861</w:t>
      </w:r>
      <w:r w:rsidRPr="003A422A">
        <w:rPr>
          <w:lang w:val="sq-AL"/>
        </w:rPr>
        <w:t xml:space="preserve">). </w:t>
      </w:r>
      <w:r w:rsidRPr="003A422A" w:rsidR="00B54F1A">
        <w:rPr>
          <w:lang w:val="sq-AL"/>
        </w:rPr>
        <w:t xml:space="preserve">Ligji i vitit </w:t>
      </w:r>
      <w:r w:rsidRPr="003A422A">
        <w:rPr>
          <w:lang w:val="sq-AL"/>
        </w:rPr>
        <w:t xml:space="preserve">1935 </w:t>
      </w:r>
      <w:r w:rsidRPr="003A422A" w:rsidR="00B54F1A">
        <w:rPr>
          <w:lang w:val="sq-AL"/>
        </w:rPr>
        <w:t xml:space="preserve">për ndryshimin e së drejtës penale </w:t>
      </w:r>
      <w:r w:rsidRPr="003A422A">
        <w:rPr>
          <w:lang w:val="sq-AL"/>
        </w:rPr>
        <w:t>(</w:t>
      </w:r>
      <w:r w:rsidRPr="003A422A">
        <w:rPr>
          <w:i/>
          <w:lang w:val="sq-AL"/>
        </w:rPr>
        <w:t>Criminal Law (Amendment) Act 1935</w:t>
      </w:r>
      <w:r w:rsidRPr="003A422A">
        <w:rPr>
          <w:lang w:val="sq-AL"/>
        </w:rPr>
        <w:t xml:space="preserve">) </w:t>
      </w:r>
      <w:r w:rsidRPr="003A422A" w:rsidR="00B54F1A">
        <w:rPr>
          <w:lang w:val="sq-AL"/>
        </w:rPr>
        <w:t>kishte si qëllim futjen e dispozitave të reja mbrojtëse për vajzat e reja dhe ndryshimin e legjislacionit lidhur me veprat penale me karakter seksual.</w:t>
      </w:r>
      <w:r w:rsidRPr="003A422A">
        <w:rPr>
          <w:lang w:val="sq-AL"/>
        </w:rPr>
        <w:t xml:space="preserve"> </w:t>
      </w:r>
      <w:r w:rsidRPr="003A422A" w:rsidR="00B54F1A">
        <w:rPr>
          <w:lang w:val="sq-AL"/>
        </w:rPr>
        <w:t>Nenet 1 e</w:t>
      </w:r>
      <w:r w:rsidRPr="003A422A">
        <w:rPr>
          <w:lang w:val="sq-AL"/>
        </w:rPr>
        <w:t xml:space="preserve"> 2 </w:t>
      </w:r>
      <w:r w:rsidRPr="003A422A" w:rsidR="00B54F1A">
        <w:rPr>
          <w:lang w:val="sq-AL"/>
        </w:rPr>
        <w:t xml:space="preserve">të Ligjit të vitit </w:t>
      </w:r>
      <w:r w:rsidRPr="003A422A">
        <w:rPr>
          <w:lang w:val="sq-AL"/>
        </w:rPr>
        <w:t xml:space="preserve">1935 </w:t>
      </w:r>
      <w:r w:rsidRPr="003A422A" w:rsidR="00B54F1A">
        <w:rPr>
          <w:lang w:val="sq-AL"/>
        </w:rPr>
        <w:t>kanë futur veprën penale të cenimit të nderit ndaj një të miture nën 15 vjeç dhe ndaj një të miture midis 15 e 17 vjeç. Neni 14 i këtij ligji shprehet kështu</w:t>
      </w:r>
      <w:r w:rsidRPr="003A422A">
        <w:rPr>
          <w:lang w:val="sq-AL"/>
        </w:rPr>
        <w:t>:</w:t>
      </w:r>
    </w:p>
    <w:p w:rsidRPr="003A422A" w:rsidR="00EB737A" w:rsidP="00EB737A" w:rsidRDefault="00B54F1A">
      <w:pPr>
        <w:pStyle w:val="ECHRParaQuote"/>
        <w:rPr>
          <w:lang w:val="sq-AL"/>
        </w:rPr>
      </w:pPr>
      <w:r w:rsidRPr="003A422A">
        <w:rPr>
          <w:lang w:val="sq-AL"/>
        </w:rPr>
        <w:t>“</w:t>
      </w:r>
      <w:r w:rsidRPr="003A422A" w:rsidR="00EB737A">
        <w:rPr>
          <w:lang w:val="sq-AL"/>
        </w:rPr>
        <w:t>14.  </w:t>
      </w:r>
      <w:r w:rsidRPr="003A422A" w:rsidR="00850B7A">
        <w:rPr>
          <w:lang w:val="sq-AL"/>
        </w:rPr>
        <w:t>Cilido që akuzohet për cenim të nderit ndaj nj</w:t>
      </w:r>
      <w:r w:rsidR="003A422A">
        <w:rPr>
          <w:lang w:val="sq-AL"/>
        </w:rPr>
        <w:t>ë</w:t>
      </w:r>
      <w:r w:rsidRPr="003A422A" w:rsidR="00850B7A">
        <w:rPr>
          <w:lang w:val="sq-AL"/>
        </w:rPr>
        <w:t xml:space="preserve"> personi nën moshën pesëmbëdhjet</w:t>
      </w:r>
      <w:r w:rsidR="003A422A">
        <w:rPr>
          <w:lang w:val="sq-AL"/>
        </w:rPr>
        <w:t>ë</w:t>
      </w:r>
      <w:r w:rsidRPr="003A422A" w:rsidR="00850B7A">
        <w:rPr>
          <w:lang w:val="sq-AL"/>
        </w:rPr>
        <w:t xml:space="preserve"> vjeç nuk mund t</w:t>
      </w:r>
      <w:r w:rsidR="003A422A">
        <w:rPr>
          <w:lang w:val="sq-AL"/>
        </w:rPr>
        <w:t>ë</w:t>
      </w:r>
      <w:r w:rsidRPr="003A422A" w:rsidR="00850B7A">
        <w:rPr>
          <w:lang w:val="sq-AL"/>
        </w:rPr>
        <w:t xml:space="preserve"> mbrohet duke provuar se ky person e ka pranuar me </w:t>
      </w:r>
      <w:r w:rsidRPr="003A422A" w:rsidR="00165B79">
        <w:rPr>
          <w:lang w:val="sq-AL"/>
        </w:rPr>
        <w:t>d</w:t>
      </w:r>
      <w:r w:rsidR="003A422A">
        <w:rPr>
          <w:lang w:val="sq-AL"/>
        </w:rPr>
        <w:t>ë</w:t>
      </w:r>
      <w:r w:rsidRPr="003A422A" w:rsidR="00165B79">
        <w:rPr>
          <w:lang w:val="sq-AL"/>
        </w:rPr>
        <w:t>shir</w:t>
      </w:r>
      <w:r w:rsidR="003A422A">
        <w:rPr>
          <w:lang w:val="sq-AL"/>
        </w:rPr>
        <w:t>ë</w:t>
      </w:r>
      <w:r w:rsidRPr="003A422A" w:rsidR="00165B79">
        <w:rPr>
          <w:lang w:val="sq-AL"/>
        </w:rPr>
        <w:t>n e vet</w:t>
      </w:r>
      <w:r w:rsidRPr="003A422A" w:rsidR="00850B7A">
        <w:rPr>
          <w:lang w:val="sq-AL"/>
        </w:rPr>
        <w:t xml:space="preserve"> </w:t>
      </w:r>
      <w:r w:rsidRPr="003A422A" w:rsidR="00165B79">
        <w:rPr>
          <w:lang w:val="sq-AL"/>
        </w:rPr>
        <w:t>atë veprim</w:t>
      </w:r>
      <w:r w:rsidRPr="003A422A" w:rsidR="00850B7A">
        <w:rPr>
          <w:lang w:val="sq-AL"/>
        </w:rPr>
        <w:t xml:space="preserve"> q</w:t>
      </w:r>
      <w:r w:rsidR="003A422A">
        <w:rPr>
          <w:lang w:val="sq-AL"/>
        </w:rPr>
        <w:t>ë</w:t>
      </w:r>
      <w:r w:rsidRPr="003A422A" w:rsidR="00850B7A">
        <w:rPr>
          <w:lang w:val="sq-AL"/>
        </w:rPr>
        <w:t xml:space="preserve"> quhet se p</w:t>
      </w:r>
      <w:r w:rsidR="003A422A">
        <w:rPr>
          <w:lang w:val="sq-AL"/>
        </w:rPr>
        <w:t>ë</w:t>
      </w:r>
      <w:r w:rsidRPr="003A422A" w:rsidR="00850B7A">
        <w:rPr>
          <w:lang w:val="sq-AL"/>
        </w:rPr>
        <w:t>rb</w:t>
      </w:r>
      <w:r w:rsidR="003A422A">
        <w:rPr>
          <w:lang w:val="sq-AL"/>
        </w:rPr>
        <w:t>ë</w:t>
      </w:r>
      <w:r w:rsidRPr="003A422A" w:rsidR="00850B7A">
        <w:rPr>
          <w:lang w:val="sq-AL"/>
        </w:rPr>
        <w:t>n nj</w:t>
      </w:r>
      <w:r w:rsidR="003A422A">
        <w:rPr>
          <w:lang w:val="sq-AL"/>
        </w:rPr>
        <w:t>ë</w:t>
      </w:r>
      <w:r w:rsidRPr="003A422A" w:rsidR="00850B7A">
        <w:rPr>
          <w:lang w:val="sq-AL"/>
        </w:rPr>
        <w:t xml:space="preserve"> cenim t</w:t>
      </w:r>
      <w:r w:rsidR="003A422A">
        <w:rPr>
          <w:lang w:val="sq-AL"/>
        </w:rPr>
        <w:t>ë</w:t>
      </w:r>
      <w:r w:rsidRPr="003A422A" w:rsidR="00850B7A">
        <w:rPr>
          <w:lang w:val="sq-AL"/>
        </w:rPr>
        <w:t xml:space="preserve"> nderit.”</w:t>
      </w:r>
    </w:p>
    <w:p w:rsidRPr="00410CB4" w:rsidR="00EB737A" w:rsidP="00EB737A" w:rsidRDefault="00165B79">
      <w:pPr>
        <w:pStyle w:val="ECHRPara"/>
        <w:rPr>
          <w:lang w:val="sq-AL"/>
        </w:rPr>
      </w:pPr>
      <w:r w:rsidRPr="00410CB4">
        <w:rPr>
          <w:lang w:val="sq-AL"/>
        </w:rPr>
        <w:t>Për rrjedhojë, një e mitur nën dymb</w:t>
      </w:r>
      <w:r w:rsidRPr="00410CB4" w:rsidR="003A422A">
        <w:rPr>
          <w:lang w:val="sq-AL"/>
        </w:rPr>
        <w:t>ë</w:t>
      </w:r>
      <w:r w:rsidRPr="00410CB4">
        <w:rPr>
          <w:lang w:val="sq-AL"/>
        </w:rPr>
        <w:t>dhjet</w:t>
      </w:r>
      <w:r w:rsidRPr="00410CB4" w:rsidR="003A422A">
        <w:rPr>
          <w:lang w:val="sq-AL"/>
        </w:rPr>
        <w:t>ë</w:t>
      </w:r>
      <w:r w:rsidRPr="00410CB4">
        <w:rPr>
          <w:lang w:val="sq-AL"/>
        </w:rPr>
        <w:t xml:space="preserve"> vjeç nuk mund t</w:t>
      </w:r>
      <w:r w:rsidRPr="00410CB4" w:rsidR="003A422A">
        <w:rPr>
          <w:lang w:val="sq-AL"/>
        </w:rPr>
        <w:t>ë</w:t>
      </w:r>
      <w:r w:rsidRPr="00410CB4">
        <w:rPr>
          <w:lang w:val="sq-AL"/>
        </w:rPr>
        <w:t xml:space="preserve"> pranoj</w:t>
      </w:r>
      <w:r w:rsidRPr="00410CB4" w:rsidR="003A422A">
        <w:rPr>
          <w:lang w:val="sq-AL"/>
        </w:rPr>
        <w:t>ë</w:t>
      </w:r>
      <w:r w:rsidRPr="00410CB4">
        <w:rPr>
          <w:lang w:val="sq-AL"/>
        </w:rPr>
        <w:t xml:space="preserve"> me dëshirën e vet asnjë trajt</w:t>
      </w:r>
      <w:r w:rsidRPr="00410CB4" w:rsidR="003A422A">
        <w:rPr>
          <w:lang w:val="sq-AL"/>
        </w:rPr>
        <w:t>ë</w:t>
      </w:r>
      <w:r w:rsidRPr="00410CB4">
        <w:rPr>
          <w:lang w:val="sq-AL"/>
        </w:rPr>
        <w:t xml:space="preserve"> marr</w:t>
      </w:r>
      <w:r w:rsidRPr="00410CB4" w:rsidR="003A422A">
        <w:rPr>
          <w:lang w:val="sq-AL"/>
        </w:rPr>
        <w:t>ë</w:t>
      </w:r>
      <w:r w:rsidRPr="00410CB4">
        <w:rPr>
          <w:lang w:val="sq-AL"/>
        </w:rPr>
        <w:t>dh</w:t>
      </w:r>
      <w:r w:rsidRPr="00410CB4" w:rsidR="003A422A">
        <w:rPr>
          <w:lang w:val="sq-AL"/>
        </w:rPr>
        <w:t>ë</w:t>
      </w:r>
      <w:r w:rsidRPr="00410CB4">
        <w:rPr>
          <w:lang w:val="sq-AL"/>
        </w:rPr>
        <w:t>nieje trupore dhe çdo marr</w:t>
      </w:r>
      <w:r w:rsidRPr="00410CB4" w:rsidR="003A422A">
        <w:rPr>
          <w:lang w:val="sq-AL"/>
        </w:rPr>
        <w:t>ë</w:t>
      </w:r>
      <w:r w:rsidRPr="00410CB4">
        <w:rPr>
          <w:lang w:val="sq-AL"/>
        </w:rPr>
        <w:t>dh</w:t>
      </w:r>
      <w:r w:rsidRPr="00410CB4" w:rsidR="003A422A">
        <w:rPr>
          <w:lang w:val="sq-AL"/>
        </w:rPr>
        <w:t>ë</w:t>
      </w:r>
      <w:r w:rsidRPr="00410CB4">
        <w:rPr>
          <w:lang w:val="sq-AL"/>
        </w:rPr>
        <w:t>nie e këtij lloji përb</w:t>
      </w:r>
      <w:r w:rsidRPr="00410CB4" w:rsidR="003A422A">
        <w:rPr>
          <w:lang w:val="sq-AL"/>
        </w:rPr>
        <w:t>ë</w:t>
      </w:r>
      <w:r w:rsidRPr="00410CB4">
        <w:rPr>
          <w:lang w:val="sq-AL"/>
        </w:rPr>
        <w:t>n (dhe p</w:t>
      </w:r>
      <w:r w:rsidRPr="00410CB4" w:rsidR="003A422A">
        <w:rPr>
          <w:lang w:val="sq-AL"/>
        </w:rPr>
        <w:t>ë</w:t>
      </w:r>
      <w:r w:rsidRPr="00410CB4">
        <w:rPr>
          <w:lang w:val="sq-AL"/>
        </w:rPr>
        <w:t>rb</w:t>
      </w:r>
      <w:r w:rsidRPr="00410CB4" w:rsidR="003A422A">
        <w:rPr>
          <w:lang w:val="sq-AL"/>
        </w:rPr>
        <w:t>ë</w:t>
      </w:r>
      <w:r w:rsidRPr="00410CB4">
        <w:rPr>
          <w:lang w:val="sq-AL"/>
        </w:rPr>
        <w:t>nte n</w:t>
      </w:r>
      <w:r w:rsidRPr="00410CB4" w:rsidR="003A422A">
        <w:rPr>
          <w:lang w:val="sq-AL"/>
        </w:rPr>
        <w:t>ë</w:t>
      </w:r>
      <w:r w:rsidRPr="00410CB4">
        <w:rPr>
          <w:lang w:val="sq-AL"/>
        </w:rPr>
        <w:t xml:space="preserve"> koh</w:t>
      </w:r>
      <w:r w:rsidRPr="00410CB4" w:rsidR="003A422A">
        <w:rPr>
          <w:lang w:val="sq-AL"/>
        </w:rPr>
        <w:t>ë</w:t>
      </w:r>
      <w:r w:rsidRPr="00410CB4">
        <w:rPr>
          <w:lang w:val="sq-AL"/>
        </w:rPr>
        <w:t>n e ngjarjeve) nj</w:t>
      </w:r>
      <w:r w:rsidRPr="00410CB4" w:rsidR="003A422A">
        <w:rPr>
          <w:lang w:val="sq-AL"/>
        </w:rPr>
        <w:t>ë</w:t>
      </w:r>
      <w:r w:rsidRPr="00410CB4">
        <w:rPr>
          <w:lang w:val="sq-AL"/>
        </w:rPr>
        <w:t xml:space="preserve"> krim. Veprime t</w:t>
      </w:r>
      <w:r w:rsidRPr="00410CB4" w:rsidR="003A422A">
        <w:rPr>
          <w:lang w:val="sq-AL"/>
        </w:rPr>
        <w:t>ë</w:t>
      </w:r>
      <w:r w:rsidRPr="00410CB4">
        <w:rPr>
          <w:lang w:val="sq-AL"/>
        </w:rPr>
        <w:t xml:space="preserve"> tilla p</w:t>
      </w:r>
      <w:r w:rsidRPr="00410CB4" w:rsidR="003A422A">
        <w:rPr>
          <w:lang w:val="sq-AL"/>
        </w:rPr>
        <w:t>ë</w:t>
      </w:r>
      <w:r w:rsidRPr="00410CB4">
        <w:rPr>
          <w:lang w:val="sq-AL"/>
        </w:rPr>
        <w:t>rb</w:t>
      </w:r>
      <w:r w:rsidRPr="00410CB4" w:rsidR="003A422A">
        <w:rPr>
          <w:lang w:val="sq-AL"/>
        </w:rPr>
        <w:t>ë</w:t>
      </w:r>
      <w:r w:rsidRPr="00410CB4">
        <w:rPr>
          <w:lang w:val="sq-AL"/>
        </w:rPr>
        <w:t>jn</w:t>
      </w:r>
      <w:r w:rsidRPr="00410CB4" w:rsidR="003A422A">
        <w:rPr>
          <w:lang w:val="sq-AL"/>
        </w:rPr>
        <w:t>ë</w:t>
      </w:r>
      <w:r w:rsidRPr="00410CB4">
        <w:rPr>
          <w:lang w:val="sq-AL"/>
        </w:rPr>
        <w:t xml:space="preserve"> jo vet</w:t>
      </w:r>
      <w:r w:rsidRPr="00410CB4" w:rsidR="003A422A">
        <w:rPr>
          <w:lang w:val="sq-AL"/>
        </w:rPr>
        <w:t>ë</w:t>
      </w:r>
      <w:r w:rsidRPr="00410CB4">
        <w:rPr>
          <w:lang w:val="sq-AL"/>
        </w:rPr>
        <w:t>m veprat penale t</w:t>
      </w:r>
      <w:r w:rsidRPr="00410CB4" w:rsidR="003A422A">
        <w:rPr>
          <w:lang w:val="sq-AL"/>
        </w:rPr>
        <w:t>ë</w:t>
      </w:r>
      <w:r w:rsidRPr="00410CB4">
        <w:rPr>
          <w:lang w:val="sq-AL"/>
        </w:rPr>
        <w:t xml:space="preserve"> sip</w:t>
      </w:r>
      <w:r w:rsidRPr="00410CB4" w:rsidR="003A422A">
        <w:rPr>
          <w:lang w:val="sq-AL"/>
        </w:rPr>
        <w:t>ë</w:t>
      </w:r>
      <w:r w:rsidRPr="00410CB4">
        <w:rPr>
          <w:lang w:val="sq-AL"/>
        </w:rPr>
        <w:t>rp</w:t>
      </w:r>
      <w:r w:rsidRPr="00410CB4" w:rsidR="003A422A">
        <w:rPr>
          <w:lang w:val="sq-AL"/>
        </w:rPr>
        <w:t>ë</w:t>
      </w:r>
      <w:r w:rsidRPr="00410CB4">
        <w:rPr>
          <w:lang w:val="sq-AL"/>
        </w:rPr>
        <w:t xml:space="preserve">rmendura </w:t>
      </w:r>
      <w:r w:rsidRPr="00410CB4" w:rsidR="003A422A">
        <w:rPr>
          <w:lang w:val="sq-AL"/>
        </w:rPr>
        <w:t>të parashikuara nga ligji, por edhe ushtrime të thjeshta</w:t>
      </w:r>
      <w:r w:rsidRPr="00410CB4">
        <w:rPr>
          <w:lang w:val="sq-AL"/>
        </w:rPr>
        <w:t xml:space="preserve"> </w:t>
      </w:r>
      <w:r w:rsidRPr="00410CB4" w:rsidR="003A422A">
        <w:rPr>
          <w:lang w:val="sq-AL"/>
        </w:rPr>
        <w:t>dhune</w:t>
      </w:r>
      <w:r w:rsidRPr="00410CB4" w:rsidR="00EB737A">
        <w:rPr>
          <w:lang w:val="sq-AL"/>
        </w:rPr>
        <w:t xml:space="preserve"> (</w:t>
      </w:r>
      <w:r w:rsidRPr="00410CB4" w:rsidR="00EB737A">
        <w:rPr>
          <w:i/>
          <w:lang w:val="sq-AL"/>
        </w:rPr>
        <w:t>ordinary assault</w:t>
      </w:r>
      <w:r w:rsidRPr="00410CB4" w:rsidR="00EB737A">
        <w:rPr>
          <w:lang w:val="sq-AL"/>
        </w:rPr>
        <w:t>).</w:t>
      </w:r>
    </w:p>
    <w:p w:rsidRPr="00474304" w:rsidR="00EB737A" w:rsidP="00EB737A" w:rsidRDefault="00EB737A">
      <w:pPr>
        <w:pStyle w:val="ECHRPara"/>
        <w:rPr>
          <w:lang w:val="sq-AL"/>
        </w:rPr>
      </w:pPr>
      <w:r w:rsidRPr="00474304">
        <w:rPr>
          <w:lang w:val="sq-AL"/>
        </w:rPr>
        <w:fldChar w:fldCharType="begin"/>
      </w:r>
      <w:r w:rsidRPr="00474304">
        <w:rPr>
          <w:lang w:val="sq-AL"/>
        </w:rPr>
        <w:instrText xml:space="preserve"> SEQ level0 \*arabic </w:instrText>
      </w:r>
      <w:r w:rsidRPr="00474304">
        <w:rPr>
          <w:lang w:val="sq-AL"/>
        </w:rPr>
        <w:fldChar w:fldCharType="separate"/>
      </w:r>
      <w:r w:rsidR="00013F9B">
        <w:rPr>
          <w:noProof/>
          <w:lang w:val="sq-AL"/>
        </w:rPr>
        <w:t>64</w:t>
      </w:r>
      <w:r w:rsidRPr="00474304">
        <w:rPr>
          <w:lang w:val="sq-AL"/>
        </w:rPr>
        <w:fldChar w:fldCharType="end"/>
      </w:r>
      <w:r w:rsidRPr="00474304">
        <w:rPr>
          <w:lang w:val="sq-AL"/>
        </w:rPr>
        <w:t>.  </w:t>
      </w:r>
      <w:r w:rsidRPr="00474304" w:rsidR="00410CB4">
        <w:rPr>
          <w:lang w:val="sq-AL"/>
        </w:rPr>
        <w:t xml:space="preserve">E drejta irlandeze nuk parashikonte afat parashkrimi për veprat penale që i nënshtroheshin një procesi përballë një jurie </w:t>
      </w:r>
      <w:r w:rsidRPr="00474304">
        <w:rPr>
          <w:lang w:val="sq-AL"/>
        </w:rPr>
        <w:t>(</w:t>
      </w:r>
      <w:r w:rsidRPr="00474304">
        <w:rPr>
          <w:i/>
          <w:lang w:val="sq-AL"/>
        </w:rPr>
        <w:t>indictable offences</w:t>
      </w:r>
      <w:r w:rsidRPr="00474304" w:rsidR="00410CB4">
        <w:rPr>
          <w:lang w:val="sq-AL"/>
        </w:rPr>
        <w:t>)</w:t>
      </w:r>
      <w:r w:rsidRPr="00474304">
        <w:rPr>
          <w:lang w:val="sq-AL"/>
        </w:rPr>
        <w:t xml:space="preserve">; </w:t>
      </w:r>
      <w:r w:rsidRPr="00474304" w:rsidR="00410CB4">
        <w:rPr>
          <w:lang w:val="sq-AL"/>
        </w:rPr>
        <w:t>autori i një vepre të tillë mund të ndiqej pra penalisht deri në fund të jetës së tij.</w:t>
      </w:r>
    </w:p>
    <w:p w:rsidRPr="00474304" w:rsidR="00EB737A" w:rsidP="00EB737A" w:rsidRDefault="00EB737A">
      <w:pPr>
        <w:pStyle w:val="ECHRPara"/>
        <w:rPr>
          <w:lang w:val="sq-AL"/>
        </w:rPr>
      </w:pPr>
      <w:r w:rsidRPr="00474304">
        <w:rPr>
          <w:lang w:val="sq-AL"/>
        </w:rPr>
        <w:fldChar w:fldCharType="begin"/>
      </w:r>
      <w:r w:rsidRPr="00474304">
        <w:rPr>
          <w:lang w:val="sq-AL"/>
        </w:rPr>
        <w:instrText xml:space="preserve"> SEQ level0 \*arabic </w:instrText>
      </w:r>
      <w:r w:rsidRPr="00474304">
        <w:rPr>
          <w:lang w:val="sq-AL"/>
        </w:rPr>
        <w:fldChar w:fldCharType="separate"/>
      </w:r>
      <w:r w:rsidR="00013F9B">
        <w:rPr>
          <w:noProof/>
          <w:lang w:val="sq-AL"/>
        </w:rPr>
        <w:t>65</w:t>
      </w:r>
      <w:r w:rsidRPr="00474304">
        <w:rPr>
          <w:lang w:val="sq-AL"/>
        </w:rPr>
        <w:fldChar w:fldCharType="end"/>
      </w:r>
      <w:r w:rsidRPr="00474304">
        <w:rPr>
          <w:lang w:val="sq-AL"/>
        </w:rPr>
        <w:t>.  </w:t>
      </w:r>
      <w:r w:rsidRPr="00474304" w:rsidR="00410CB4">
        <w:rPr>
          <w:lang w:val="sq-AL"/>
        </w:rPr>
        <w:t xml:space="preserve">Viktima e një dëmi të shkaktuar nga një krim i dhunshëm mund të kërkojë zhdëmtim në suazën e regjimit të dëmshpërblimit të viktimave të cenimeve ndaj personave që vijnë si pasojë veprash penale </w:t>
      </w:r>
      <w:r w:rsidRPr="00474304">
        <w:rPr>
          <w:lang w:val="sq-AL"/>
        </w:rPr>
        <w:t>(</w:t>
      </w:r>
      <w:r w:rsidRPr="00474304" w:rsidR="00410CB4">
        <w:rPr>
          <w:lang w:val="sq-AL"/>
        </w:rPr>
        <w:t>“</w:t>
      </w:r>
      <w:r w:rsidRPr="00474304">
        <w:rPr>
          <w:i/>
          <w:lang w:val="sq-AL"/>
        </w:rPr>
        <w:t>Scheme of Compensation for Personal Injuries Criminally Inflicted</w:t>
      </w:r>
      <w:r w:rsidRPr="00474304" w:rsidR="00410CB4">
        <w:rPr>
          <w:lang w:val="sq-AL"/>
        </w:rPr>
        <w:t>”</w:t>
      </w:r>
      <w:r w:rsidRPr="00474304">
        <w:rPr>
          <w:lang w:val="sq-AL"/>
        </w:rPr>
        <w:t xml:space="preserve">). </w:t>
      </w:r>
      <w:r w:rsidRPr="00474304" w:rsidR="00410CB4">
        <w:rPr>
          <w:lang w:val="sq-AL"/>
        </w:rPr>
        <w:t>Ky regjim administrohet nga Komisioni për Zhd</w:t>
      </w:r>
      <w:r w:rsidR="00474304">
        <w:rPr>
          <w:lang w:val="sq-AL"/>
        </w:rPr>
        <w:t>ë</w:t>
      </w:r>
      <w:r w:rsidRPr="00474304" w:rsidR="00410CB4">
        <w:rPr>
          <w:lang w:val="sq-AL"/>
        </w:rPr>
        <w:t>mtim t</w:t>
      </w:r>
      <w:r w:rsidR="00474304">
        <w:rPr>
          <w:lang w:val="sq-AL"/>
        </w:rPr>
        <w:t>ë</w:t>
      </w:r>
      <w:r w:rsidRPr="00474304" w:rsidR="00410CB4">
        <w:rPr>
          <w:lang w:val="sq-AL"/>
        </w:rPr>
        <w:t xml:space="preserve"> Viktimave t</w:t>
      </w:r>
      <w:r w:rsidR="00474304">
        <w:rPr>
          <w:lang w:val="sq-AL"/>
        </w:rPr>
        <w:t>ë</w:t>
      </w:r>
      <w:r w:rsidRPr="00474304" w:rsidR="00410CB4">
        <w:rPr>
          <w:lang w:val="sq-AL"/>
        </w:rPr>
        <w:t xml:space="preserve"> Dëmeve </w:t>
      </w:r>
      <w:r w:rsidRPr="00474304" w:rsidR="009D1A19">
        <w:rPr>
          <w:lang w:val="sq-AL"/>
        </w:rPr>
        <w:t xml:space="preserve">si Pasojë e Veprave Penale </w:t>
      </w:r>
      <w:r w:rsidRPr="00474304">
        <w:rPr>
          <w:lang w:val="sq-AL"/>
        </w:rPr>
        <w:t>(</w:t>
      </w:r>
      <w:r w:rsidRPr="00474304">
        <w:rPr>
          <w:i/>
          <w:iCs/>
          <w:lang w:val="sq-AL"/>
        </w:rPr>
        <w:t>Criminal Injuries Compensation Tribunal</w:t>
      </w:r>
      <w:r w:rsidRPr="00474304">
        <w:rPr>
          <w:lang w:val="sq-AL"/>
        </w:rPr>
        <w:t xml:space="preserve"> – </w:t>
      </w:r>
      <w:r w:rsidRPr="00474304" w:rsidR="009D1A19">
        <w:rPr>
          <w:lang w:val="sq-AL"/>
        </w:rPr>
        <w:t>“</w:t>
      </w:r>
      <w:r w:rsidRPr="00474304">
        <w:rPr>
          <w:lang w:val="sq-AL"/>
        </w:rPr>
        <w:t>CICT</w:t>
      </w:r>
      <w:r w:rsidRPr="00474304" w:rsidR="009D1A19">
        <w:rPr>
          <w:lang w:val="sq-AL"/>
        </w:rPr>
        <w:t>”</w:t>
      </w:r>
      <w:r w:rsidRPr="00474304">
        <w:rPr>
          <w:lang w:val="sq-AL"/>
        </w:rPr>
        <w:t xml:space="preserve">). </w:t>
      </w:r>
      <w:r w:rsidRPr="00474304" w:rsidR="009D1A19">
        <w:rPr>
          <w:lang w:val="sq-AL"/>
        </w:rPr>
        <w:t>Afati i paraqitjes së kërkesës është zakonisht brenda tre muajsh, por ai mund t</w:t>
      </w:r>
      <w:r w:rsidR="00474304">
        <w:rPr>
          <w:lang w:val="sq-AL"/>
        </w:rPr>
        <w:t>ë</w:t>
      </w:r>
      <w:r w:rsidRPr="00474304" w:rsidR="009D1A19">
        <w:rPr>
          <w:lang w:val="sq-AL"/>
        </w:rPr>
        <w:t xml:space="preserve"> shtyhet. Ajo mund t</w:t>
      </w:r>
      <w:r w:rsidR="00474304">
        <w:rPr>
          <w:lang w:val="sq-AL"/>
        </w:rPr>
        <w:t>ë</w:t>
      </w:r>
      <w:r w:rsidRPr="00474304" w:rsidR="009D1A19">
        <w:rPr>
          <w:lang w:val="sq-AL"/>
        </w:rPr>
        <w:t xml:space="preserve"> apelohet, dhe n</w:t>
      </w:r>
      <w:r w:rsidR="00474304">
        <w:rPr>
          <w:lang w:val="sq-AL"/>
        </w:rPr>
        <w:t>ë</w:t>
      </w:r>
      <w:r w:rsidRPr="00474304" w:rsidR="009D1A19">
        <w:rPr>
          <w:lang w:val="sq-AL"/>
        </w:rPr>
        <w:t xml:space="preserve"> k</w:t>
      </w:r>
      <w:r w:rsidR="00474304">
        <w:rPr>
          <w:lang w:val="sq-AL"/>
        </w:rPr>
        <w:t>ë</w:t>
      </w:r>
      <w:r w:rsidRPr="00474304" w:rsidR="009D1A19">
        <w:rPr>
          <w:lang w:val="sq-AL"/>
        </w:rPr>
        <w:t>të rast vendimi merret nga një seksion i CICT-së në përfundim t</w:t>
      </w:r>
      <w:r w:rsidR="00474304">
        <w:rPr>
          <w:lang w:val="sq-AL"/>
        </w:rPr>
        <w:t>ë</w:t>
      </w:r>
      <w:r w:rsidRPr="00474304" w:rsidR="009D1A19">
        <w:rPr>
          <w:lang w:val="sq-AL"/>
        </w:rPr>
        <w:t xml:space="preserve"> nj</w:t>
      </w:r>
      <w:r w:rsidR="00474304">
        <w:rPr>
          <w:lang w:val="sq-AL"/>
        </w:rPr>
        <w:t>ë</w:t>
      </w:r>
      <w:r w:rsidRPr="00474304" w:rsidR="009D1A19">
        <w:rPr>
          <w:lang w:val="sq-AL"/>
        </w:rPr>
        <w:t xml:space="preserve"> seance me dyer t</w:t>
      </w:r>
      <w:r w:rsidR="00474304">
        <w:rPr>
          <w:lang w:val="sq-AL"/>
        </w:rPr>
        <w:t>ë</w:t>
      </w:r>
      <w:r w:rsidRPr="00474304" w:rsidR="009D1A19">
        <w:rPr>
          <w:lang w:val="sq-AL"/>
        </w:rPr>
        <w:t xml:space="preserve"> mbyllura. Vendimi i apelit ësht</w:t>
      </w:r>
      <w:r w:rsidR="00474304">
        <w:rPr>
          <w:lang w:val="sq-AL"/>
        </w:rPr>
        <w:t>ë</w:t>
      </w:r>
      <w:r w:rsidRPr="00474304" w:rsidR="009D1A19">
        <w:rPr>
          <w:lang w:val="sq-AL"/>
        </w:rPr>
        <w:t xml:space="preserve"> i form</w:t>
      </w:r>
      <w:r w:rsidR="00474304">
        <w:rPr>
          <w:lang w:val="sq-AL"/>
        </w:rPr>
        <w:t>ë</w:t>
      </w:r>
      <w:r w:rsidRPr="00474304" w:rsidR="009D1A19">
        <w:rPr>
          <w:lang w:val="sq-AL"/>
        </w:rPr>
        <w:t>s së prerë. Zhd</w:t>
      </w:r>
      <w:r w:rsidR="00474304">
        <w:rPr>
          <w:lang w:val="sq-AL"/>
        </w:rPr>
        <w:t>ë</w:t>
      </w:r>
      <w:r w:rsidRPr="00474304" w:rsidR="009D1A19">
        <w:rPr>
          <w:lang w:val="sq-AL"/>
        </w:rPr>
        <w:t>mtimi, i cili paguhet falas, mbulon shpenzimet dhe humbjet e viktim</w:t>
      </w:r>
      <w:r w:rsidR="00474304">
        <w:rPr>
          <w:lang w:val="sq-AL"/>
        </w:rPr>
        <w:t>ë</w:t>
      </w:r>
      <w:r w:rsidRPr="00474304" w:rsidR="009D1A19">
        <w:rPr>
          <w:lang w:val="sq-AL"/>
        </w:rPr>
        <w:t>s</w:t>
      </w:r>
      <w:r w:rsidRPr="00474304" w:rsidR="00AC6F84">
        <w:rPr>
          <w:lang w:val="sq-AL"/>
        </w:rPr>
        <w:t xml:space="preserve"> (shpenzime dhe fatura t</w:t>
      </w:r>
      <w:r w:rsidR="00474304">
        <w:rPr>
          <w:lang w:val="sq-AL"/>
        </w:rPr>
        <w:t>ë</w:t>
      </w:r>
      <w:r w:rsidRPr="00474304" w:rsidR="00AC6F84">
        <w:rPr>
          <w:lang w:val="sq-AL"/>
        </w:rPr>
        <w:t xml:space="preserve"> paguara, pa shërbimet sociale dhe pagat e marra gjatë pushimit për arsye shëndetësore). Deri më 1986, ai përfshinte gjithashtu edhe nj</w:t>
      </w:r>
      <w:r w:rsidR="00474304">
        <w:rPr>
          <w:lang w:val="sq-AL"/>
        </w:rPr>
        <w:t>ë</w:t>
      </w:r>
      <w:r w:rsidRPr="00474304" w:rsidR="00AC6F84">
        <w:rPr>
          <w:lang w:val="sq-AL"/>
        </w:rPr>
        <w:t xml:space="preserve"> shum</w:t>
      </w:r>
      <w:r w:rsidR="00474304">
        <w:rPr>
          <w:lang w:val="sq-AL"/>
        </w:rPr>
        <w:t>ë</w:t>
      </w:r>
      <w:r w:rsidRPr="00474304" w:rsidR="00AC6F84">
        <w:rPr>
          <w:lang w:val="sq-AL"/>
        </w:rPr>
        <w:t xml:space="preserve"> për d</w:t>
      </w:r>
      <w:r w:rsidR="00474304">
        <w:rPr>
          <w:lang w:val="sq-AL"/>
        </w:rPr>
        <w:t>ë</w:t>
      </w:r>
      <w:r w:rsidRPr="00474304" w:rsidR="00AC6F84">
        <w:rPr>
          <w:lang w:val="sq-AL"/>
        </w:rPr>
        <w:t>min moral.</w:t>
      </w:r>
    </w:p>
    <w:p w:rsidRPr="00474304" w:rsidR="00EB737A" w:rsidP="00EB737A" w:rsidRDefault="00EB737A">
      <w:pPr>
        <w:pStyle w:val="ECHRHeading2"/>
        <w:rPr>
          <w:lang w:val="sq-AL"/>
        </w:rPr>
      </w:pPr>
      <w:r w:rsidRPr="00474304">
        <w:rPr>
          <w:lang w:val="sq-AL"/>
        </w:rPr>
        <w:t>C.  </w:t>
      </w:r>
      <w:r w:rsidRPr="00474304" w:rsidR="00AC6F84">
        <w:rPr>
          <w:lang w:val="sq-AL"/>
        </w:rPr>
        <w:t>E drejta civile dhe aspektet e lidhura me të</w:t>
      </w:r>
    </w:p>
    <w:p w:rsidRPr="00474304" w:rsidR="00EB737A" w:rsidP="00EB737A" w:rsidRDefault="00EB737A">
      <w:pPr>
        <w:pStyle w:val="ECHRPara"/>
        <w:rPr>
          <w:lang w:val="sq-AL"/>
        </w:rPr>
      </w:pPr>
      <w:r w:rsidRPr="00474304">
        <w:rPr>
          <w:lang w:val="sq-AL"/>
        </w:rPr>
        <w:fldChar w:fldCharType="begin"/>
      </w:r>
      <w:r w:rsidRPr="00474304">
        <w:rPr>
          <w:lang w:val="sq-AL"/>
        </w:rPr>
        <w:instrText xml:space="preserve"> SEQ level0 \*arabic </w:instrText>
      </w:r>
      <w:r w:rsidRPr="00474304">
        <w:rPr>
          <w:lang w:val="sq-AL"/>
        </w:rPr>
        <w:fldChar w:fldCharType="separate"/>
      </w:r>
      <w:r w:rsidR="00013F9B">
        <w:rPr>
          <w:noProof/>
          <w:lang w:val="sq-AL"/>
        </w:rPr>
        <w:t>66</w:t>
      </w:r>
      <w:r w:rsidRPr="00474304">
        <w:rPr>
          <w:lang w:val="sq-AL"/>
        </w:rPr>
        <w:fldChar w:fldCharType="end"/>
      </w:r>
      <w:r w:rsidRPr="00474304">
        <w:rPr>
          <w:lang w:val="sq-AL"/>
        </w:rPr>
        <w:t>.  </w:t>
      </w:r>
      <w:r w:rsidRPr="00474304" w:rsidR="00734B45">
        <w:rPr>
          <w:lang w:val="sq-AL"/>
        </w:rPr>
        <w:t>Një kund</w:t>
      </w:r>
      <w:r w:rsidR="00474304">
        <w:rPr>
          <w:lang w:val="sq-AL"/>
        </w:rPr>
        <w:t>ë</w:t>
      </w:r>
      <w:r w:rsidRPr="00474304" w:rsidR="00734B45">
        <w:rPr>
          <w:lang w:val="sq-AL"/>
        </w:rPr>
        <w:t xml:space="preserve">rvajtje civile </w:t>
      </w:r>
      <w:r w:rsidRPr="00474304">
        <w:rPr>
          <w:lang w:val="sq-AL"/>
        </w:rPr>
        <w:t>(</w:t>
      </w:r>
      <w:r w:rsidRPr="00474304">
        <w:rPr>
          <w:i/>
          <w:lang w:val="sq-AL"/>
        </w:rPr>
        <w:t>tort</w:t>
      </w:r>
      <w:r w:rsidRPr="00474304">
        <w:rPr>
          <w:lang w:val="sq-AL"/>
        </w:rPr>
        <w:t xml:space="preserve">) </w:t>
      </w:r>
      <w:r w:rsidRPr="00474304" w:rsidR="00734B45">
        <w:rPr>
          <w:lang w:val="sq-AL"/>
        </w:rPr>
        <w:t>ësht</w:t>
      </w:r>
      <w:r w:rsidR="00474304">
        <w:rPr>
          <w:lang w:val="sq-AL"/>
        </w:rPr>
        <w:t>ë</w:t>
      </w:r>
      <w:r w:rsidRPr="00474304" w:rsidR="00734B45">
        <w:rPr>
          <w:lang w:val="sq-AL"/>
        </w:rPr>
        <w:t xml:space="preserve"> nj</w:t>
      </w:r>
      <w:r w:rsidR="00474304">
        <w:rPr>
          <w:lang w:val="sq-AL"/>
        </w:rPr>
        <w:t>ë</w:t>
      </w:r>
      <w:r w:rsidRPr="00474304" w:rsidR="00734B45">
        <w:rPr>
          <w:lang w:val="sq-AL"/>
        </w:rPr>
        <w:t xml:space="preserve"> veprim i çfar</w:t>
      </w:r>
      <w:r w:rsidR="00474304">
        <w:rPr>
          <w:lang w:val="sq-AL"/>
        </w:rPr>
        <w:t>ë</w:t>
      </w:r>
      <w:r w:rsidRPr="00474304" w:rsidR="00734B45">
        <w:rPr>
          <w:lang w:val="sq-AL"/>
        </w:rPr>
        <w:t>dosh</w:t>
      </w:r>
      <w:r w:rsidR="00474304">
        <w:rPr>
          <w:lang w:val="sq-AL"/>
        </w:rPr>
        <w:t>ë</w:t>
      </w:r>
      <w:r w:rsidRPr="00474304" w:rsidR="00734B45">
        <w:rPr>
          <w:lang w:val="sq-AL"/>
        </w:rPr>
        <w:t>m i njeriut që i shkakton një d</w:t>
      </w:r>
      <w:r w:rsidR="00474304">
        <w:rPr>
          <w:lang w:val="sq-AL"/>
        </w:rPr>
        <w:t>ë</w:t>
      </w:r>
      <w:r w:rsidRPr="00474304" w:rsidR="00734B45">
        <w:rPr>
          <w:lang w:val="sq-AL"/>
        </w:rPr>
        <w:t>m nj</w:t>
      </w:r>
      <w:r w:rsidR="00474304">
        <w:rPr>
          <w:lang w:val="sq-AL"/>
        </w:rPr>
        <w:t>ë</w:t>
      </w:r>
      <w:r w:rsidRPr="00474304" w:rsidR="00734B45">
        <w:rPr>
          <w:lang w:val="sq-AL"/>
        </w:rPr>
        <w:t xml:space="preserve"> tjetri, duke e ngarkuar k</w:t>
      </w:r>
      <w:r w:rsidR="00474304">
        <w:rPr>
          <w:lang w:val="sq-AL"/>
        </w:rPr>
        <w:t>ë</w:t>
      </w:r>
      <w:r w:rsidRPr="00474304" w:rsidR="00734B45">
        <w:rPr>
          <w:lang w:val="sq-AL"/>
        </w:rPr>
        <w:t>shtu me p</w:t>
      </w:r>
      <w:r w:rsidR="00474304">
        <w:rPr>
          <w:lang w:val="sq-AL"/>
        </w:rPr>
        <w:t>ë</w:t>
      </w:r>
      <w:r w:rsidRPr="00474304" w:rsidR="00734B45">
        <w:rPr>
          <w:lang w:val="sq-AL"/>
        </w:rPr>
        <w:t>rgjegj</w:t>
      </w:r>
      <w:r w:rsidR="00474304">
        <w:rPr>
          <w:lang w:val="sq-AL"/>
        </w:rPr>
        <w:t>ë</w:t>
      </w:r>
      <w:r w:rsidRPr="00474304" w:rsidR="00734B45">
        <w:rPr>
          <w:lang w:val="sq-AL"/>
        </w:rPr>
        <w:t>si për kund</w:t>
      </w:r>
      <w:r w:rsidR="00474304">
        <w:rPr>
          <w:lang w:val="sq-AL"/>
        </w:rPr>
        <w:t>ë</w:t>
      </w:r>
      <w:r w:rsidRPr="00474304" w:rsidR="00734B45">
        <w:rPr>
          <w:lang w:val="sq-AL"/>
        </w:rPr>
        <w:t>rvajtje autorin e tij. Kund</w:t>
      </w:r>
      <w:r w:rsidR="00474304">
        <w:rPr>
          <w:lang w:val="sq-AL"/>
        </w:rPr>
        <w:t>ë</w:t>
      </w:r>
      <w:r w:rsidRPr="00474304" w:rsidR="00734B45">
        <w:rPr>
          <w:lang w:val="sq-AL"/>
        </w:rPr>
        <w:t>rvajtja për pakujdesi k</w:t>
      </w:r>
      <w:r w:rsidR="00474304">
        <w:rPr>
          <w:lang w:val="sq-AL"/>
        </w:rPr>
        <w:t>ë</w:t>
      </w:r>
      <w:r w:rsidRPr="00474304" w:rsidR="00734B45">
        <w:rPr>
          <w:lang w:val="sq-AL"/>
        </w:rPr>
        <w:t>rkon q</w:t>
      </w:r>
      <w:r w:rsidR="00474304">
        <w:rPr>
          <w:lang w:val="sq-AL"/>
        </w:rPr>
        <w:t>ë</w:t>
      </w:r>
      <w:r w:rsidRPr="00474304" w:rsidR="00734B45">
        <w:rPr>
          <w:lang w:val="sq-AL"/>
        </w:rPr>
        <w:t xml:space="preserve"> t</w:t>
      </w:r>
      <w:r w:rsidR="00474304">
        <w:rPr>
          <w:lang w:val="sq-AL"/>
        </w:rPr>
        <w:t>ë</w:t>
      </w:r>
      <w:r w:rsidRPr="00474304" w:rsidR="00734B45">
        <w:rPr>
          <w:lang w:val="sq-AL"/>
        </w:rPr>
        <w:t xml:space="preserve"> provohet se i padituri kishte nj</w:t>
      </w:r>
      <w:r w:rsidR="00474304">
        <w:rPr>
          <w:lang w:val="sq-AL"/>
        </w:rPr>
        <w:t>ë</w:t>
      </w:r>
      <w:r w:rsidRPr="00474304" w:rsidR="00734B45">
        <w:rPr>
          <w:lang w:val="sq-AL"/>
        </w:rPr>
        <w:t xml:space="preserve"> detyr</w:t>
      </w:r>
      <w:r w:rsidR="00474304">
        <w:rPr>
          <w:lang w:val="sq-AL"/>
        </w:rPr>
        <w:t>ë</w:t>
      </w:r>
      <w:r w:rsidRPr="00474304" w:rsidR="00734B45">
        <w:rPr>
          <w:lang w:val="sq-AL"/>
        </w:rPr>
        <w:t xml:space="preserve"> p</w:t>
      </w:r>
      <w:r w:rsidR="00474304">
        <w:rPr>
          <w:lang w:val="sq-AL"/>
        </w:rPr>
        <w:t>ë</w:t>
      </w:r>
      <w:r w:rsidRPr="00474304" w:rsidR="00734B45">
        <w:rPr>
          <w:lang w:val="sq-AL"/>
        </w:rPr>
        <w:t xml:space="preserve">rkujdesjeje </w:t>
      </w:r>
      <w:r w:rsidRPr="00474304">
        <w:rPr>
          <w:lang w:val="sq-AL"/>
        </w:rPr>
        <w:t>(</w:t>
      </w:r>
      <w:r w:rsidRPr="00474304">
        <w:rPr>
          <w:i/>
          <w:lang w:val="sq-AL"/>
        </w:rPr>
        <w:t>duty of care</w:t>
      </w:r>
      <w:r w:rsidRPr="00474304">
        <w:rPr>
          <w:lang w:val="sq-AL"/>
        </w:rPr>
        <w:t xml:space="preserve">) </w:t>
      </w:r>
      <w:r w:rsidRPr="00474304" w:rsidR="00734B45">
        <w:rPr>
          <w:lang w:val="sq-AL"/>
        </w:rPr>
        <w:t>ndaj padit</w:t>
      </w:r>
      <w:r w:rsidR="00474304">
        <w:rPr>
          <w:lang w:val="sq-AL"/>
        </w:rPr>
        <w:t>ë</w:t>
      </w:r>
      <w:r w:rsidRPr="00474304" w:rsidR="00734B45">
        <w:rPr>
          <w:lang w:val="sq-AL"/>
        </w:rPr>
        <w:t xml:space="preserve">sit </w:t>
      </w:r>
      <w:r w:rsidRPr="00474304">
        <w:rPr>
          <w:lang w:val="sq-AL"/>
        </w:rPr>
        <w:t>(</w:t>
      </w:r>
      <w:r w:rsidRPr="00474304" w:rsidR="00734B45">
        <w:rPr>
          <w:lang w:val="sq-AL"/>
        </w:rPr>
        <w:t>çka nënkupton q</w:t>
      </w:r>
      <w:r w:rsidR="00474304">
        <w:rPr>
          <w:lang w:val="sq-AL"/>
        </w:rPr>
        <w:t>ë</w:t>
      </w:r>
      <w:r w:rsidRPr="00474304" w:rsidR="00734B45">
        <w:rPr>
          <w:lang w:val="sq-AL"/>
        </w:rPr>
        <w:t xml:space="preserve"> t</w:t>
      </w:r>
      <w:r w:rsidR="00474304">
        <w:rPr>
          <w:lang w:val="sq-AL"/>
        </w:rPr>
        <w:t>ë</w:t>
      </w:r>
      <w:r w:rsidRPr="00474304" w:rsidR="00734B45">
        <w:rPr>
          <w:lang w:val="sq-AL"/>
        </w:rPr>
        <w:t xml:space="preserve"> v</w:t>
      </w:r>
      <w:r w:rsidR="00474304">
        <w:rPr>
          <w:lang w:val="sq-AL"/>
        </w:rPr>
        <w:t>ë</w:t>
      </w:r>
      <w:r w:rsidRPr="00474304" w:rsidR="00734B45">
        <w:rPr>
          <w:lang w:val="sq-AL"/>
        </w:rPr>
        <w:t>rtetohet se midis pal</w:t>
      </w:r>
      <w:r w:rsidR="00474304">
        <w:rPr>
          <w:lang w:val="sq-AL"/>
        </w:rPr>
        <w:t>ë</w:t>
      </w:r>
      <w:r w:rsidRPr="00474304" w:rsidR="00734B45">
        <w:rPr>
          <w:lang w:val="sq-AL"/>
        </w:rPr>
        <w:t>ve ka pasur një marr</w:t>
      </w:r>
      <w:r w:rsidR="00474304">
        <w:rPr>
          <w:lang w:val="sq-AL"/>
        </w:rPr>
        <w:t>ë</w:t>
      </w:r>
      <w:r w:rsidRPr="00474304" w:rsidR="00734B45">
        <w:rPr>
          <w:lang w:val="sq-AL"/>
        </w:rPr>
        <w:t>dh</w:t>
      </w:r>
      <w:r w:rsidR="00474304">
        <w:rPr>
          <w:lang w:val="sq-AL"/>
        </w:rPr>
        <w:t>ë</w:t>
      </w:r>
      <w:r w:rsidRPr="00474304" w:rsidR="00734B45">
        <w:rPr>
          <w:lang w:val="sq-AL"/>
        </w:rPr>
        <w:t>nie mjaft t</w:t>
      </w:r>
      <w:r w:rsidR="00474304">
        <w:rPr>
          <w:lang w:val="sq-AL"/>
        </w:rPr>
        <w:t>ë</w:t>
      </w:r>
      <w:r w:rsidRPr="00474304" w:rsidR="00734B45">
        <w:rPr>
          <w:lang w:val="sq-AL"/>
        </w:rPr>
        <w:t xml:space="preserve"> af</w:t>
      </w:r>
      <w:r w:rsidR="00474304">
        <w:rPr>
          <w:lang w:val="sq-AL"/>
        </w:rPr>
        <w:t>ë</w:t>
      </w:r>
      <w:r w:rsidRPr="00474304" w:rsidR="00734B45">
        <w:rPr>
          <w:lang w:val="sq-AL"/>
        </w:rPr>
        <w:t>rt n</w:t>
      </w:r>
      <w:r w:rsidR="00474304">
        <w:rPr>
          <w:lang w:val="sq-AL"/>
        </w:rPr>
        <w:t>ë</w:t>
      </w:r>
      <w:r w:rsidRPr="00474304" w:rsidR="00734B45">
        <w:rPr>
          <w:lang w:val="sq-AL"/>
        </w:rPr>
        <w:t xml:space="preserve"> m</w:t>
      </w:r>
      <w:r w:rsidR="00474304">
        <w:rPr>
          <w:lang w:val="sq-AL"/>
        </w:rPr>
        <w:t>ë</w:t>
      </w:r>
      <w:r w:rsidRPr="00474304" w:rsidR="00734B45">
        <w:rPr>
          <w:lang w:val="sq-AL"/>
        </w:rPr>
        <w:t>nyr</w:t>
      </w:r>
      <w:r w:rsidR="00474304">
        <w:rPr>
          <w:lang w:val="sq-AL"/>
        </w:rPr>
        <w:t>ë</w:t>
      </w:r>
      <w:r w:rsidRPr="00474304" w:rsidR="00734B45">
        <w:rPr>
          <w:lang w:val="sq-AL"/>
        </w:rPr>
        <w:t xml:space="preserve"> që nj</w:t>
      </w:r>
      <w:r w:rsidR="00474304">
        <w:rPr>
          <w:lang w:val="sq-AL"/>
        </w:rPr>
        <w:t>ë</w:t>
      </w:r>
      <w:r w:rsidRPr="00474304" w:rsidR="00734B45">
        <w:rPr>
          <w:lang w:val="sq-AL"/>
        </w:rPr>
        <w:t>ra nga pal</w:t>
      </w:r>
      <w:r w:rsidR="00474304">
        <w:rPr>
          <w:lang w:val="sq-AL"/>
        </w:rPr>
        <w:t>ë</w:t>
      </w:r>
      <w:r w:rsidRPr="00474304" w:rsidR="00734B45">
        <w:rPr>
          <w:lang w:val="sq-AL"/>
        </w:rPr>
        <w:t>t t</w:t>
      </w:r>
      <w:r w:rsidR="00474304">
        <w:rPr>
          <w:lang w:val="sq-AL"/>
        </w:rPr>
        <w:t>ë</w:t>
      </w:r>
      <w:r w:rsidRPr="00474304" w:rsidR="00734B45">
        <w:rPr>
          <w:lang w:val="sq-AL"/>
        </w:rPr>
        <w:t xml:space="preserve"> kishte detyrim q</w:t>
      </w:r>
      <w:r w:rsidR="00474304">
        <w:rPr>
          <w:lang w:val="sq-AL"/>
        </w:rPr>
        <w:t>ë</w:t>
      </w:r>
      <w:r w:rsidRPr="00474304" w:rsidR="00734B45">
        <w:rPr>
          <w:lang w:val="sq-AL"/>
        </w:rPr>
        <w:t xml:space="preserve"> ta ushtronte p</w:t>
      </w:r>
      <w:r w:rsidR="00474304">
        <w:rPr>
          <w:lang w:val="sq-AL"/>
        </w:rPr>
        <w:t>ë</w:t>
      </w:r>
      <w:r w:rsidRPr="00474304" w:rsidR="00734B45">
        <w:rPr>
          <w:lang w:val="sq-AL"/>
        </w:rPr>
        <w:t>rkujdesjen e saj ndaj tjetr</w:t>
      </w:r>
      <w:r w:rsidR="00474304">
        <w:rPr>
          <w:lang w:val="sq-AL"/>
        </w:rPr>
        <w:t>ë</w:t>
      </w:r>
      <w:r w:rsidRPr="00474304" w:rsidR="00734B45">
        <w:rPr>
          <w:lang w:val="sq-AL"/>
        </w:rPr>
        <w:t>s), se ky detyrim nuk ësht</w:t>
      </w:r>
      <w:r w:rsidR="00474304">
        <w:rPr>
          <w:lang w:val="sq-AL"/>
        </w:rPr>
        <w:t>ë</w:t>
      </w:r>
      <w:r w:rsidRPr="00474304" w:rsidR="00474304">
        <w:rPr>
          <w:lang w:val="sq-AL"/>
        </w:rPr>
        <w:t xml:space="preserve"> respektuar dhe se ky mosrespektim</w:t>
      </w:r>
      <w:r w:rsidRPr="00474304" w:rsidR="00734B45">
        <w:rPr>
          <w:lang w:val="sq-AL"/>
        </w:rPr>
        <w:t xml:space="preserve"> </w:t>
      </w:r>
      <w:r w:rsidRPr="00474304" w:rsidR="00474304">
        <w:rPr>
          <w:lang w:val="sq-AL"/>
        </w:rPr>
        <w:t>ka shkaktuar nj</w:t>
      </w:r>
      <w:r w:rsidR="00474304">
        <w:rPr>
          <w:lang w:val="sq-AL"/>
        </w:rPr>
        <w:t>ë</w:t>
      </w:r>
      <w:r w:rsidRPr="00474304" w:rsidR="00474304">
        <w:rPr>
          <w:lang w:val="sq-AL"/>
        </w:rPr>
        <w:t xml:space="preserve"> d</w:t>
      </w:r>
      <w:r w:rsidR="00474304">
        <w:rPr>
          <w:lang w:val="sq-AL"/>
        </w:rPr>
        <w:t>ë</w:t>
      </w:r>
      <w:r w:rsidRPr="00474304" w:rsidR="00474304">
        <w:rPr>
          <w:lang w:val="sq-AL"/>
        </w:rPr>
        <w:t xml:space="preserve">m </w:t>
      </w:r>
      <w:r w:rsidRPr="00474304">
        <w:rPr>
          <w:lang w:val="sq-AL"/>
        </w:rPr>
        <w:t>(</w:t>
      </w:r>
      <w:r w:rsidRPr="00474304" w:rsidR="00474304">
        <w:rPr>
          <w:lang w:val="sq-AL"/>
        </w:rPr>
        <w:t>shih</w:t>
      </w:r>
      <w:r w:rsidRPr="00474304">
        <w:rPr>
          <w:lang w:val="sq-AL"/>
        </w:rPr>
        <w:t>, p</w:t>
      </w:r>
      <w:r w:rsidRPr="00474304" w:rsidR="00474304">
        <w:rPr>
          <w:lang w:val="sq-AL"/>
        </w:rPr>
        <w:t>ë</w:t>
      </w:r>
      <w:r w:rsidRPr="00474304">
        <w:rPr>
          <w:lang w:val="sq-AL"/>
        </w:rPr>
        <w:t xml:space="preserve">r </w:t>
      </w:r>
      <w:r w:rsidRPr="00474304" w:rsidR="00474304">
        <w:rPr>
          <w:lang w:val="sq-AL"/>
        </w:rPr>
        <w:t>shembull</w:t>
      </w:r>
      <w:r w:rsidRPr="00474304">
        <w:rPr>
          <w:lang w:val="sq-AL"/>
        </w:rPr>
        <w:t xml:space="preserve">, </w:t>
      </w:r>
      <w:r w:rsidRPr="00474304">
        <w:rPr>
          <w:i/>
          <w:lang w:val="sq-AL"/>
        </w:rPr>
        <w:t>Beatty v. The Rent Tribunal</w:t>
      </w:r>
      <w:r w:rsidRPr="00474304">
        <w:rPr>
          <w:lang w:val="sq-AL"/>
        </w:rPr>
        <w:t>, [2005] IESC 66).</w:t>
      </w:r>
    </w:p>
    <w:p w:rsidRPr="00C2667E" w:rsidR="00EB737A" w:rsidP="00EB737A" w:rsidRDefault="00EB737A">
      <w:pPr>
        <w:pStyle w:val="ECHRPara"/>
        <w:keepNext/>
        <w:keepLines/>
        <w:rPr>
          <w:lang w:val="sq-AL"/>
        </w:rPr>
      </w:pPr>
      <w:r w:rsidRPr="00C2667E">
        <w:rPr>
          <w:lang w:val="sq-AL"/>
        </w:rPr>
        <w:fldChar w:fldCharType="begin"/>
      </w:r>
      <w:r w:rsidRPr="00C2667E">
        <w:rPr>
          <w:lang w:val="sq-AL"/>
        </w:rPr>
        <w:instrText xml:space="preserve"> SEQ level0 \*arabic </w:instrText>
      </w:r>
      <w:r w:rsidRPr="00C2667E">
        <w:rPr>
          <w:lang w:val="sq-AL"/>
        </w:rPr>
        <w:fldChar w:fldCharType="separate"/>
      </w:r>
      <w:r w:rsidR="00013F9B">
        <w:rPr>
          <w:noProof/>
          <w:lang w:val="sq-AL"/>
        </w:rPr>
        <w:t>67</w:t>
      </w:r>
      <w:r w:rsidRPr="00C2667E">
        <w:rPr>
          <w:lang w:val="sq-AL"/>
        </w:rPr>
        <w:fldChar w:fldCharType="end"/>
      </w:r>
      <w:r w:rsidRPr="00C2667E">
        <w:rPr>
          <w:lang w:val="sq-AL"/>
        </w:rPr>
        <w:t>.  </w:t>
      </w:r>
      <w:r w:rsidRPr="00C2667E" w:rsidR="00474304">
        <w:rPr>
          <w:lang w:val="sq-AL"/>
        </w:rPr>
        <w:t>Përgjegjësia për veprimin e tjetërkujt është ngarkimi me përgjegjësi i një personi fizik ose juridik i cili nuk ka shkaktuar asnjë dëm e mund të mos ketë kryer asnjë faj, por i cili ka një marrëdhënie juridike të veçantë me atë që e ka shkaktuar dëmin me fajin e vet, qoftë edhe me pakujdesinë e vet. Marrëdhëniet juridike që mund të ngarkojnë me përgjegjësi për veprimet e tjetërkujt e përfshijnë marrëdhënien midis punëdhënësit e punëmarrësit.</w:t>
      </w:r>
    </w:p>
    <w:p w:rsidRPr="00C2667E" w:rsidR="00EB737A" w:rsidP="00EB737A" w:rsidRDefault="00EB737A">
      <w:pPr>
        <w:pStyle w:val="ECHRPara"/>
        <w:rPr>
          <w:lang w:val="sq-AL"/>
        </w:rPr>
      </w:pPr>
      <w:r w:rsidRPr="00C2667E">
        <w:rPr>
          <w:lang w:val="sq-AL"/>
        </w:rPr>
        <w:fldChar w:fldCharType="begin"/>
      </w:r>
      <w:r w:rsidRPr="00C2667E">
        <w:rPr>
          <w:lang w:val="sq-AL"/>
        </w:rPr>
        <w:instrText xml:space="preserve"> SEQ level0 \*arabic </w:instrText>
      </w:r>
      <w:r w:rsidRPr="00C2667E">
        <w:rPr>
          <w:lang w:val="sq-AL"/>
        </w:rPr>
        <w:fldChar w:fldCharType="separate"/>
      </w:r>
      <w:r w:rsidR="00013F9B">
        <w:rPr>
          <w:noProof/>
          <w:lang w:val="sq-AL"/>
        </w:rPr>
        <w:t>68</w:t>
      </w:r>
      <w:r w:rsidRPr="00C2667E">
        <w:rPr>
          <w:lang w:val="sq-AL"/>
        </w:rPr>
        <w:fldChar w:fldCharType="end"/>
      </w:r>
      <w:r w:rsidRPr="00C2667E">
        <w:rPr>
          <w:lang w:val="sq-AL"/>
        </w:rPr>
        <w:t>.  </w:t>
      </w:r>
      <w:r w:rsidRPr="00C2667E" w:rsidR="007D4124">
        <w:rPr>
          <w:lang w:val="sq-AL"/>
        </w:rPr>
        <w:t>Një shtetas mund t</w:t>
      </w:r>
      <w:r w:rsidR="00943091">
        <w:rPr>
          <w:lang w:val="sq-AL"/>
        </w:rPr>
        <w:t>’</w:t>
      </w:r>
      <w:r w:rsidRPr="00C2667E" w:rsidR="007D4124">
        <w:rPr>
          <w:lang w:val="sq-AL"/>
        </w:rPr>
        <w:t>i referohet edhe Kushtetut</w:t>
      </w:r>
      <w:r w:rsidR="00C2667E">
        <w:rPr>
          <w:lang w:val="sq-AL"/>
        </w:rPr>
        <w:t>ë</w:t>
      </w:r>
      <w:r w:rsidRPr="00C2667E" w:rsidR="007D4124">
        <w:rPr>
          <w:lang w:val="sq-AL"/>
        </w:rPr>
        <w:t xml:space="preserve">s kur </w:t>
      </w:r>
      <w:r w:rsidR="00C2667E">
        <w:rPr>
          <w:lang w:val="sq-AL"/>
        </w:rPr>
        <w:t>ë</w:t>
      </w:r>
      <w:r w:rsidRPr="00C2667E" w:rsidR="007D4124">
        <w:rPr>
          <w:lang w:val="sq-AL"/>
        </w:rPr>
        <w:t>sht</w:t>
      </w:r>
      <w:r w:rsidR="00C2667E">
        <w:rPr>
          <w:lang w:val="sq-AL"/>
        </w:rPr>
        <w:t>ë</w:t>
      </w:r>
      <w:r w:rsidRPr="00C2667E" w:rsidR="007D4124">
        <w:rPr>
          <w:lang w:val="sq-AL"/>
        </w:rPr>
        <w:t xml:space="preserve"> fjala p</w:t>
      </w:r>
      <w:r w:rsidR="00C2667E">
        <w:rPr>
          <w:lang w:val="sq-AL"/>
        </w:rPr>
        <w:t>ë</w:t>
      </w:r>
      <w:r w:rsidRPr="00C2667E" w:rsidR="007D4124">
        <w:rPr>
          <w:lang w:val="sq-AL"/>
        </w:rPr>
        <w:t>r t</w:t>
      </w:r>
      <w:r w:rsidR="00943091">
        <w:rPr>
          <w:lang w:val="sq-AL"/>
        </w:rPr>
        <w:t>’</w:t>
      </w:r>
      <w:r w:rsidRPr="00C2667E" w:rsidR="007D4124">
        <w:rPr>
          <w:lang w:val="sq-AL"/>
        </w:rPr>
        <w:t>i k</w:t>
      </w:r>
      <w:r w:rsidR="00C2667E">
        <w:rPr>
          <w:lang w:val="sq-AL"/>
        </w:rPr>
        <w:t>ë</w:t>
      </w:r>
      <w:r w:rsidRPr="00C2667E" w:rsidR="007D4124">
        <w:rPr>
          <w:lang w:val="sq-AL"/>
        </w:rPr>
        <w:t>rkuar d</w:t>
      </w:r>
      <w:r w:rsidR="00C2667E">
        <w:rPr>
          <w:lang w:val="sq-AL"/>
        </w:rPr>
        <w:t>ë</w:t>
      </w:r>
      <w:r w:rsidRPr="00C2667E" w:rsidR="007D4124">
        <w:rPr>
          <w:lang w:val="sq-AL"/>
        </w:rPr>
        <w:t>mshp</w:t>
      </w:r>
      <w:r w:rsidR="00C2667E">
        <w:rPr>
          <w:lang w:val="sq-AL"/>
        </w:rPr>
        <w:t>ë</w:t>
      </w:r>
      <w:r w:rsidRPr="00C2667E" w:rsidR="007D4124">
        <w:rPr>
          <w:lang w:val="sq-AL"/>
        </w:rPr>
        <w:t>rblim nj</w:t>
      </w:r>
      <w:r w:rsidR="00C2667E">
        <w:rPr>
          <w:lang w:val="sq-AL"/>
        </w:rPr>
        <w:t>ë</w:t>
      </w:r>
      <w:r w:rsidRPr="00C2667E" w:rsidR="007D4124">
        <w:rPr>
          <w:lang w:val="sq-AL"/>
        </w:rPr>
        <w:t xml:space="preserve"> individi për shkelje t</w:t>
      </w:r>
      <w:r w:rsidR="00C2667E">
        <w:rPr>
          <w:lang w:val="sq-AL"/>
        </w:rPr>
        <w:t>ë</w:t>
      </w:r>
      <w:r w:rsidRPr="00C2667E" w:rsidR="007D4124">
        <w:rPr>
          <w:lang w:val="sq-AL"/>
        </w:rPr>
        <w:t xml:space="preserve"> të drejtave të tij kushtetuese. Në çështjen </w:t>
      </w:r>
      <w:r w:rsidRPr="00C2667E">
        <w:rPr>
          <w:i/>
          <w:lang w:val="sq-AL"/>
        </w:rPr>
        <w:t>Meskell v. CIE</w:t>
      </w:r>
      <w:r w:rsidRPr="00C2667E">
        <w:rPr>
          <w:lang w:val="sq-AL"/>
        </w:rPr>
        <w:t xml:space="preserve"> ([1973] IR 121), </w:t>
      </w:r>
      <w:r w:rsidRPr="00C2667E" w:rsidR="00C2667E">
        <w:rPr>
          <w:lang w:val="sq-AL"/>
        </w:rPr>
        <w:t>Gjykata e Lartë ka deklaruar</w:t>
      </w:r>
      <w:r w:rsidRPr="00C2667E">
        <w:rPr>
          <w:lang w:val="sq-AL"/>
        </w:rPr>
        <w:t>:</w:t>
      </w:r>
    </w:p>
    <w:p w:rsidRPr="00C2667E" w:rsidR="00EB737A" w:rsidP="00EB737A" w:rsidRDefault="00C2667E">
      <w:pPr>
        <w:pStyle w:val="ECHRParaQuote"/>
        <w:rPr>
          <w:lang w:val="sq-AL"/>
        </w:rPr>
      </w:pPr>
      <w:r w:rsidRPr="00C2667E">
        <w:rPr>
          <w:lang w:val="sq-AL"/>
        </w:rPr>
        <w:t>“</w:t>
      </w:r>
      <w:r w:rsidRPr="00C2667E" w:rsidR="00EB737A">
        <w:rPr>
          <w:lang w:val="sq-AL"/>
        </w:rPr>
        <w:t xml:space="preserve">(...) </w:t>
      </w:r>
      <w:r w:rsidRPr="00C2667E">
        <w:rPr>
          <w:lang w:val="sq-AL"/>
        </w:rPr>
        <w:t>cilido i cili ka pësuar nj</w:t>
      </w:r>
      <w:r>
        <w:rPr>
          <w:lang w:val="sq-AL"/>
        </w:rPr>
        <w:t>ë</w:t>
      </w:r>
      <w:r w:rsidRPr="00C2667E">
        <w:rPr>
          <w:lang w:val="sq-AL"/>
        </w:rPr>
        <w:t xml:space="preserve"> dëm për arsye t</w:t>
      </w:r>
      <w:r>
        <w:rPr>
          <w:lang w:val="sq-AL"/>
        </w:rPr>
        <w:t>ë</w:t>
      </w:r>
      <w:r w:rsidRPr="00C2667E">
        <w:rPr>
          <w:lang w:val="sq-AL"/>
        </w:rPr>
        <w:t xml:space="preserve"> një shkeljeje ose t</w:t>
      </w:r>
      <w:r>
        <w:rPr>
          <w:lang w:val="sq-AL"/>
        </w:rPr>
        <w:t>ë</w:t>
      </w:r>
      <w:r w:rsidRPr="00C2667E">
        <w:rPr>
          <w:lang w:val="sq-AL"/>
        </w:rPr>
        <w:t xml:space="preserve"> një mohimi t</w:t>
      </w:r>
      <w:r>
        <w:rPr>
          <w:lang w:val="sq-AL"/>
        </w:rPr>
        <w:t>ë</w:t>
      </w:r>
      <w:r w:rsidRPr="00C2667E">
        <w:rPr>
          <w:lang w:val="sq-AL"/>
        </w:rPr>
        <w:t xml:space="preserve"> nj</w:t>
      </w:r>
      <w:r>
        <w:rPr>
          <w:lang w:val="sq-AL"/>
        </w:rPr>
        <w:t>ë</w:t>
      </w:r>
      <w:r w:rsidRPr="00C2667E">
        <w:rPr>
          <w:lang w:val="sq-AL"/>
        </w:rPr>
        <w:t xml:space="preserve"> t</w:t>
      </w:r>
      <w:r>
        <w:rPr>
          <w:lang w:val="sq-AL"/>
        </w:rPr>
        <w:t>ë</w:t>
      </w:r>
      <w:r w:rsidRPr="00C2667E">
        <w:rPr>
          <w:lang w:val="sq-AL"/>
        </w:rPr>
        <w:t xml:space="preserve"> drejte kushtetuese mund t</w:t>
      </w:r>
      <w:r w:rsidR="00943091">
        <w:rPr>
          <w:lang w:val="sq-AL"/>
        </w:rPr>
        <w:t>’</w:t>
      </w:r>
      <w:r w:rsidRPr="00C2667E">
        <w:rPr>
          <w:lang w:val="sq-AL"/>
        </w:rPr>
        <w:t>u k</w:t>
      </w:r>
      <w:r>
        <w:rPr>
          <w:lang w:val="sq-AL"/>
        </w:rPr>
        <w:t>ë</w:t>
      </w:r>
      <w:r w:rsidRPr="00C2667E">
        <w:rPr>
          <w:lang w:val="sq-AL"/>
        </w:rPr>
        <w:t>rkoj</w:t>
      </w:r>
      <w:r>
        <w:rPr>
          <w:lang w:val="sq-AL"/>
        </w:rPr>
        <w:t>ë</w:t>
      </w:r>
      <w:r w:rsidRPr="00C2667E">
        <w:rPr>
          <w:lang w:val="sq-AL"/>
        </w:rPr>
        <w:t xml:space="preserve"> zhdëmtim personit ose personave q</w:t>
      </w:r>
      <w:r>
        <w:rPr>
          <w:lang w:val="sq-AL"/>
        </w:rPr>
        <w:t>ë</w:t>
      </w:r>
      <w:r w:rsidRPr="00C2667E">
        <w:rPr>
          <w:lang w:val="sq-AL"/>
        </w:rPr>
        <w:t xml:space="preserve"> e kan</w:t>
      </w:r>
      <w:r>
        <w:rPr>
          <w:lang w:val="sq-AL"/>
        </w:rPr>
        <w:t>ë</w:t>
      </w:r>
      <w:r w:rsidRPr="00C2667E">
        <w:rPr>
          <w:lang w:val="sq-AL"/>
        </w:rPr>
        <w:t xml:space="preserve"> shkelur t</w:t>
      </w:r>
      <w:r>
        <w:rPr>
          <w:lang w:val="sq-AL"/>
        </w:rPr>
        <w:t>ë</w:t>
      </w:r>
      <w:r w:rsidRPr="00C2667E">
        <w:rPr>
          <w:lang w:val="sq-AL"/>
        </w:rPr>
        <w:t xml:space="preserve"> drejt</w:t>
      </w:r>
      <w:r>
        <w:rPr>
          <w:lang w:val="sq-AL"/>
        </w:rPr>
        <w:t>ë</w:t>
      </w:r>
      <w:r w:rsidRPr="00C2667E">
        <w:rPr>
          <w:lang w:val="sq-AL"/>
        </w:rPr>
        <w:t>n n</w:t>
      </w:r>
      <w:r>
        <w:rPr>
          <w:lang w:val="sq-AL"/>
        </w:rPr>
        <w:t>ë</w:t>
      </w:r>
      <w:r w:rsidRPr="00C2667E">
        <w:rPr>
          <w:lang w:val="sq-AL"/>
        </w:rPr>
        <w:t xml:space="preserve"> fjalë.”</w:t>
      </w:r>
    </w:p>
    <w:p w:rsidRPr="00C2667E" w:rsidR="00EB737A" w:rsidP="00EB737A" w:rsidRDefault="00C2667E">
      <w:pPr>
        <w:pStyle w:val="ECHRPara"/>
        <w:rPr>
          <w:lang w:val="sq-AL"/>
        </w:rPr>
      </w:pPr>
      <w:r w:rsidRPr="00C2667E">
        <w:rPr>
          <w:lang w:val="sq-AL"/>
        </w:rPr>
        <w:t>Gjyqtarët e lejojn</w:t>
      </w:r>
      <w:r>
        <w:rPr>
          <w:lang w:val="sq-AL"/>
        </w:rPr>
        <w:t>ë</w:t>
      </w:r>
      <w:r w:rsidRPr="00C2667E">
        <w:rPr>
          <w:lang w:val="sq-AL"/>
        </w:rPr>
        <w:t xml:space="preserve"> një argument t</w:t>
      </w:r>
      <w:r>
        <w:rPr>
          <w:lang w:val="sq-AL"/>
        </w:rPr>
        <w:t>ë</w:t>
      </w:r>
      <w:r w:rsidRPr="00C2667E">
        <w:rPr>
          <w:lang w:val="sq-AL"/>
        </w:rPr>
        <w:t xml:space="preserve"> till</w:t>
      </w:r>
      <w:r>
        <w:rPr>
          <w:lang w:val="sq-AL"/>
        </w:rPr>
        <w:t>ë</w:t>
      </w:r>
      <w:r w:rsidRPr="00C2667E">
        <w:rPr>
          <w:lang w:val="sq-AL"/>
        </w:rPr>
        <w:t xml:space="preserve"> kushtetutshm</w:t>
      </w:r>
      <w:r>
        <w:rPr>
          <w:lang w:val="sq-AL"/>
        </w:rPr>
        <w:t>ë</w:t>
      </w:r>
      <w:r w:rsidRPr="00C2667E">
        <w:rPr>
          <w:lang w:val="sq-AL"/>
        </w:rPr>
        <w:t>rie vet</w:t>
      </w:r>
      <w:r>
        <w:rPr>
          <w:lang w:val="sq-AL"/>
        </w:rPr>
        <w:t>ë</w:t>
      </w:r>
      <w:r w:rsidRPr="00C2667E">
        <w:rPr>
          <w:lang w:val="sq-AL"/>
        </w:rPr>
        <w:t>m kur ësht</w:t>
      </w:r>
      <w:r>
        <w:rPr>
          <w:lang w:val="sq-AL"/>
        </w:rPr>
        <w:t>ë</w:t>
      </w:r>
      <w:r w:rsidRPr="00C2667E">
        <w:rPr>
          <w:lang w:val="sq-AL"/>
        </w:rPr>
        <w:t xml:space="preserve"> fjala për t</w:t>
      </w:r>
      <w:r>
        <w:rPr>
          <w:lang w:val="sq-AL"/>
        </w:rPr>
        <w:t>ë</w:t>
      </w:r>
      <w:r w:rsidRPr="00C2667E">
        <w:rPr>
          <w:lang w:val="sq-AL"/>
        </w:rPr>
        <w:t xml:space="preserve"> plot</w:t>
      </w:r>
      <w:r>
        <w:rPr>
          <w:lang w:val="sq-AL"/>
        </w:rPr>
        <w:t>ë</w:t>
      </w:r>
      <w:r w:rsidRPr="00C2667E">
        <w:rPr>
          <w:lang w:val="sq-AL"/>
        </w:rPr>
        <w:t>suar ndonjë mangësi t</w:t>
      </w:r>
      <w:r>
        <w:rPr>
          <w:lang w:val="sq-AL"/>
        </w:rPr>
        <w:t>ë</w:t>
      </w:r>
      <w:r w:rsidRPr="00C2667E">
        <w:rPr>
          <w:lang w:val="sq-AL"/>
        </w:rPr>
        <w:t xml:space="preserve"> s</w:t>
      </w:r>
      <w:r>
        <w:rPr>
          <w:lang w:val="sq-AL"/>
        </w:rPr>
        <w:t>ë</w:t>
      </w:r>
      <w:r w:rsidRPr="00C2667E">
        <w:rPr>
          <w:lang w:val="sq-AL"/>
        </w:rPr>
        <w:t xml:space="preserve"> drejtës s</w:t>
      </w:r>
      <w:r>
        <w:rPr>
          <w:lang w:val="sq-AL"/>
        </w:rPr>
        <w:t>ë</w:t>
      </w:r>
      <w:r w:rsidRPr="00C2667E">
        <w:rPr>
          <w:lang w:val="sq-AL"/>
        </w:rPr>
        <w:t xml:space="preserve"> përgjegjësisë civile.</w:t>
      </w:r>
    </w:p>
    <w:p w:rsidRPr="00C2667E" w:rsidR="00EB737A" w:rsidP="00EB737A" w:rsidRDefault="00EB737A">
      <w:pPr>
        <w:pStyle w:val="ECHRHeading2"/>
        <w:rPr>
          <w:lang w:val="sq-AL"/>
        </w:rPr>
      </w:pPr>
      <w:r w:rsidRPr="00C2667E">
        <w:rPr>
          <w:lang w:val="sq-AL"/>
        </w:rPr>
        <w:t>D.  </w:t>
      </w:r>
      <w:r w:rsidRPr="00C2667E" w:rsidR="00C2667E">
        <w:rPr>
          <w:lang w:val="sq-AL"/>
        </w:rPr>
        <w:t>Hetimet publike dhe zhvillimet p</w:t>
      </w:r>
      <w:r w:rsidR="00C2667E">
        <w:rPr>
          <w:lang w:val="sq-AL"/>
        </w:rPr>
        <w:t>ë</w:t>
      </w:r>
      <w:r w:rsidRPr="00C2667E" w:rsidR="00C2667E">
        <w:rPr>
          <w:lang w:val="sq-AL"/>
        </w:rPr>
        <w:t>rkat</w:t>
      </w:r>
      <w:r w:rsidR="00C2667E">
        <w:rPr>
          <w:lang w:val="sq-AL"/>
        </w:rPr>
        <w:t>ë</w:t>
      </w:r>
      <w:r w:rsidRPr="00C2667E" w:rsidR="00C2667E">
        <w:rPr>
          <w:lang w:val="sq-AL"/>
        </w:rPr>
        <w:t>se n</w:t>
      </w:r>
      <w:r w:rsidR="00C2667E">
        <w:rPr>
          <w:lang w:val="sq-AL"/>
        </w:rPr>
        <w:t>ë</w:t>
      </w:r>
      <w:r w:rsidRPr="00C2667E" w:rsidR="00C2667E">
        <w:rPr>
          <w:lang w:val="sq-AL"/>
        </w:rPr>
        <w:t xml:space="preserve"> fushën e mbrojtjes së f</w:t>
      </w:r>
      <w:r w:rsidR="00C2667E">
        <w:rPr>
          <w:lang w:val="sq-AL"/>
        </w:rPr>
        <w:t>ë</w:t>
      </w:r>
      <w:r w:rsidRPr="00C2667E" w:rsidR="00C2667E">
        <w:rPr>
          <w:lang w:val="sq-AL"/>
        </w:rPr>
        <w:t>mij</w:t>
      </w:r>
      <w:r w:rsidR="00C2667E">
        <w:rPr>
          <w:lang w:val="sq-AL"/>
        </w:rPr>
        <w:t>ë</w:t>
      </w:r>
      <w:r w:rsidRPr="00C2667E" w:rsidR="00C2667E">
        <w:rPr>
          <w:lang w:val="sq-AL"/>
        </w:rPr>
        <w:t>ve</w:t>
      </w:r>
    </w:p>
    <w:p w:rsidRPr="00C2667E" w:rsidR="00EB737A" w:rsidP="00EB737A" w:rsidRDefault="00EB737A">
      <w:pPr>
        <w:pStyle w:val="ECHRHeading3"/>
        <w:rPr>
          <w:lang w:val="sq-AL"/>
        </w:rPr>
      </w:pPr>
      <w:r w:rsidRPr="00C2667E">
        <w:rPr>
          <w:lang w:val="sq-AL"/>
        </w:rPr>
        <w:t>1.  </w:t>
      </w:r>
      <w:r w:rsidRPr="00C2667E" w:rsidR="00C2667E">
        <w:rPr>
          <w:lang w:val="sq-AL"/>
        </w:rPr>
        <w:t>Raporti</w:t>
      </w:r>
      <w:r w:rsidRPr="00C2667E">
        <w:rPr>
          <w:lang w:val="sq-AL"/>
        </w:rPr>
        <w:t xml:space="preserve"> Carrigan </w:t>
      </w:r>
      <w:r w:rsidRPr="00C2667E" w:rsidR="00C2667E">
        <w:rPr>
          <w:lang w:val="sq-AL"/>
        </w:rPr>
        <w:t>i vitit</w:t>
      </w:r>
      <w:r w:rsidRPr="00C2667E">
        <w:rPr>
          <w:lang w:val="sq-AL"/>
        </w:rPr>
        <w:t xml:space="preserve"> 1931</w:t>
      </w:r>
    </w:p>
    <w:p w:rsidRPr="003526B8" w:rsidR="00EB737A" w:rsidP="00EB737A" w:rsidRDefault="00EB737A">
      <w:pPr>
        <w:pStyle w:val="ECHRPara"/>
        <w:rPr>
          <w:lang w:val="sq-AL"/>
        </w:rPr>
      </w:pPr>
      <w:r w:rsidRPr="00C2667E">
        <w:rPr>
          <w:lang w:val="sq-AL"/>
        </w:rPr>
        <w:fldChar w:fldCharType="begin"/>
      </w:r>
      <w:r w:rsidRPr="00C2667E">
        <w:rPr>
          <w:lang w:val="sq-AL"/>
        </w:rPr>
        <w:instrText xml:space="preserve"> SEQ level0 \*arabic </w:instrText>
      </w:r>
      <w:r w:rsidRPr="00C2667E">
        <w:rPr>
          <w:lang w:val="sq-AL"/>
        </w:rPr>
        <w:fldChar w:fldCharType="separate"/>
      </w:r>
      <w:r w:rsidR="00013F9B">
        <w:rPr>
          <w:noProof/>
          <w:lang w:val="sq-AL"/>
        </w:rPr>
        <w:t>69</w:t>
      </w:r>
      <w:r w:rsidRPr="00C2667E">
        <w:rPr>
          <w:lang w:val="sq-AL"/>
        </w:rPr>
        <w:fldChar w:fldCharType="end"/>
      </w:r>
      <w:r w:rsidRPr="00C2667E">
        <w:rPr>
          <w:lang w:val="sq-AL"/>
        </w:rPr>
        <w:t>.  </w:t>
      </w:r>
      <w:r w:rsidRPr="00C2667E" w:rsidR="00C2667E">
        <w:rPr>
          <w:lang w:val="sq-AL"/>
        </w:rPr>
        <w:t xml:space="preserve">I krijuar më </w:t>
      </w:r>
      <w:r w:rsidRPr="00C2667E">
        <w:rPr>
          <w:lang w:val="sq-AL"/>
        </w:rPr>
        <w:t xml:space="preserve">1930, </w:t>
      </w:r>
      <w:r w:rsidRPr="00C2667E" w:rsidR="00C2667E">
        <w:rPr>
          <w:lang w:val="sq-AL"/>
        </w:rPr>
        <w:t>K</w:t>
      </w:r>
      <w:r w:rsidRPr="00C2667E">
        <w:rPr>
          <w:lang w:val="sq-AL"/>
        </w:rPr>
        <w:t>o</w:t>
      </w:r>
      <w:r w:rsidRPr="00C2667E" w:rsidR="00C2667E">
        <w:rPr>
          <w:lang w:val="sq-AL"/>
        </w:rPr>
        <w:t>mis</w:t>
      </w:r>
      <w:r w:rsidRPr="00C2667E">
        <w:rPr>
          <w:lang w:val="sq-AL"/>
        </w:rPr>
        <w:t>ion</w:t>
      </w:r>
      <w:r w:rsidRPr="00C2667E" w:rsidR="00C2667E">
        <w:rPr>
          <w:lang w:val="sq-AL"/>
        </w:rPr>
        <w:t>i</w:t>
      </w:r>
      <w:r w:rsidRPr="00C2667E">
        <w:rPr>
          <w:lang w:val="sq-AL"/>
        </w:rPr>
        <w:t xml:space="preserve"> Carrigan </w:t>
      </w:r>
      <w:r w:rsidRPr="00C2667E" w:rsidR="00C2667E">
        <w:rPr>
          <w:lang w:val="sq-AL"/>
        </w:rPr>
        <w:t>u ngarkua q</w:t>
      </w:r>
      <w:r w:rsidR="00C2667E">
        <w:rPr>
          <w:lang w:val="sq-AL"/>
        </w:rPr>
        <w:t>ë</w:t>
      </w:r>
      <w:r w:rsidRPr="00C2667E" w:rsidR="00C2667E">
        <w:rPr>
          <w:lang w:val="sq-AL"/>
        </w:rPr>
        <w:t xml:space="preserve"> të studionte mund</w:t>
      </w:r>
      <w:r w:rsidR="00C2667E">
        <w:rPr>
          <w:lang w:val="sq-AL"/>
        </w:rPr>
        <w:t>ë</w:t>
      </w:r>
      <w:r w:rsidRPr="00C2667E" w:rsidR="00C2667E">
        <w:rPr>
          <w:lang w:val="sq-AL"/>
        </w:rPr>
        <w:t>sin</w:t>
      </w:r>
      <w:r w:rsidR="00C2667E">
        <w:rPr>
          <w:lang w:val="sq-AL"/>
        </w:rPr>
        <w:t>ë</w:t>
      </w:r>
      <w:r w:rsidRPr="00C2667E" w:rsidR="00C2667E">
        <w:rPr>
          <w:lang w:val="sq-AL"/>
        </w:rPr>
        <w:t xml:space="preserve"> për t</w:t>
      </w:r>
      <w:r w:rsidR="00943091">
        <w:rPr>
          <w:lang w:val="sq-AL"/>
        </w:rPr>
        <w:t>’</w:t>
      </w:r>
      <w:r w:rsidRPr="00C2667E" w:rsidR="00C2667E">
        <w:rPr>
          <w:lang w:val="sq-AL"/>
        </w:rPr>
        <w:t>i ndryshuar disa ligje penale dhe për t</w:t>
      </w:r>
      <w:r w:rsidR="00C2667E">
        <w:rPr>
          <w:lang w:val="sq-AL"/>
        </w:rPr>
        <w:t>ë</w:t>
      </w:r>
      <w:r w:rsidRPr="00C2667E" w:rsidR="00C2667E">
        <w:rPr>
          <w:lang w:val="sq-AL"/>
        </w:rPr>
        <w:t xml:space="preserve"> formuluar propozime p</w:t>
      </w:r>
      <w:r w:rsidR="00C2667E">
        <w:rPr>
          <w:lang w:val="sq-AL"/>
        </w:rPr>
        <w:t>ë</w:t>
      </w:r>
      <w:r w:rsidRPr="00C2667E" w:rsidR="00C2667E">
        <w:rPr>
          <w:lang w:val="sq-AL"/>
        </w:rPr>
        <w:t>r t</w:t>
      </w:r>
      <w:r w:rsidR="00C2667E">
        <w:rPr>
          <w:lang w:val="sq-AL"/>
        </w:rPr>
        <w:t>ë</w:t>
      </w:r>
      <w:r w:rsidRPr="00C2667E" w:rsidR="00C2667E">
        <w:rPr>
          <w:lang w:val="sq-AL"/>
        </w:rPr>
        <w:t xml:space="preserve"> zgjidhur </w:t>
      </w:r>
      <w:r w:rsidR="003526B8">
        <w:rPr>
          <w:lang w:val="sq-AL"/>
        </w:rPr>
        <w:t>“</w:t>
      </w:r>
      <w:r w:rsidRPr="00C2667E" w:rsidR="00C2667E">
        <w:rPr>
          <w:lang w:val="sq-AL"/>
        </w:rPr>
        <w:t xml:space="preserve">problemin </w:t>
      </w:r>
      <w:r w:rsidR="003526B8">
        <w:rPr>
          <w:lang w:val="sq-AL"/>
        </w:rPr>
        <w:t>e prostitucionit të të rinjve”. Ai mbajti shtatëmbëdhjetë seanca, gjatë të cilave dëgjoi njëzet e nëntë dëshmitarë dhe shqyrtoi vërejtje me shkrim.</w:t>
      </w:r>
    </w:p>
    <w:p w:rsidRPr="004C73BB" w:rsidR="00EB737A" w:rsidP="00EB737A" w:rsidRDefault="00EB737A">
      <w:pPr>
        <w:pStyle w:val="ECHRPara"/>
        <w:rPr>
          <w:lang w:val="sq-AL"/>
        </w:rPr>
      </w:pPr>
      <w:r w:rsidRPr="004C73BB">
        <w:rPr>
          <w:lang w:val="sq-AL"/>
        </w:rPr>
        <w:fldChar w:fldCharType="begin"/>
      </w:r>
      <w:r w:rsidRPr="004C73BB">
        <w:rPr>
          <w:lang w:val="sq-AL"/>
        </w:rPr>
        <w:instrText xml:space="preserve"> SEQ level0 \*arabic </w:instrText>
      </w:r>
      <w:r w:rsidRPr="004C73BB">
        <w:rPr>
          <w:lang w:val="sq-AL"/>
        </w:rPr>
        <w:fldChar w:fldCharType="separate"/>
      </w:r>
      <w:r w:rsidR="00013F9B">
        <w:rPr>
          <w:noProof/>
          <w:lang w:val="sq-AL"/>
        </w:rPr>
        <w:t>70</w:t>
      </w:r>
      <w:r w:rsidRPr="004C73BB">
        <w:rPr>
          <w:lang w:val="sq-AL"/>
        </w:rPr>
        <w:fldChar w:fldCharType="end"/>
      </w:r>
      <w:r w:rsidRPr="004C73BB">
        <w:rPr>
          <w:lang w:val="sq-AL"/>
        </w:rPr>
        <w:t>.  </w:t>
      </w:r>
      <w:r w:rsidRPr="004C73BB" w:rsidR="00D113FF">
        <w:rPr>
          <w:lang w:val="sq-AL"/>
        </w:rPr>
        <w:t>Më</w:t>
      </w:r>
      <w:r w:rsidRPr="004C73BB">
        <w:rPr>
          <w:lang w:val="sq-AL"/>
        </w:rPr>
        <w:t xml:space="preserve"> 20 </w:t>
      </w:r>
      <w:r w:rsidRPr="004C73BB" w:rsidR="00D113FF">
        <w:rPr>
          <w:lang w:val="sq-AL"/>
        </w:rPr>
        <w:t>gush</w:t>
      </w:r>
      <w:r w:rsidRPr="004C73BB">
        <w:rPr>
          <w:lang w:val="sq-AL"/>
        </w:rPr>
        <w:t xml:space="preserve">t 1931, </w:t>
      </w:r>
      <w:r w:rsidRPr="004C73BB" w:rsidR="00D113FF">
        <w:rPr>
          <w:lang w:val="sq-AL"/>
        </w:rPr>
        <w:t>Komisioni i paraqiti ministrit t</w:t>
      </w:r>
      <w:r w:rsidRPr="004C73BB" w:rsidR="000E6222">
        <w:rPr>
          <w:lang w:val="sq-AL"/>
        </w:rPr>
        <w:t>ë</w:t>
      </w:r>
      <w:r w:rsidRPr="004C73BB" w:rsidR="00D113FF">
        <w:rPr>
          <w:lang w:val="sq-AL"/>
        </w:rPr>
        <w:t xml:space="preserve"> Drejt</w:t>
      </w:r>
      <w:r w:rsidRPr="004C73BB" w:rsidR="000E6222">
        <w:rPr>
          <w:lang w:val="sq-AL"/>
        </w:rPr>
        <w:t>ë</w:t>
      </w:r>
      <w:r w:rsidRPr="004C73BB" w:rsidR="00D113FF">
        <w:rPr>
          <w:lang w:val="sq-AL"/>
        </w:rPr>
        <w:t>sisë një raport përfundimtar. Ai propozonte aty një varg reformash sociale e legjislative lidhur, nd</w:t>
      </w:r>
      <w:r w:rsidRPr="004C73BB" w:rsidR="000E6222">
        <w:rPr>
          <w:lang w:val="sq-AL"/>
        </w:rPr>
        <w:t>ë</w:t>
      </w:r>
      <w:r w:rsidRPr="004C73BB" w:rsidR="00D113FF">
        <w:rPr>
          <w:lang w:val="sq-AL"/>
        </w:rPr>
        <w:t>r t</w:t>
      </w:r>
      <w:r w:rsidRPr="004C73BB" w:rsidR="000E6222">
        <w:rPr>
          <w:lang w:val="sq-AL"/>
        </w:rPr>
        <w:t>ë</w:t>
      </w:r>
      <w:r w:rsidRPr="004C73BB" w:rsidR="00D113FF">
        <w:rPr>
          <w:lang w:val="sq-AL"/>
        </w:rPr>
        <w:t xml:space="preserve"> tjera, me krimet seksuale ndaj të miturve</w:t>
      </w:r>
      <w:r w:rsidRPr="004C73BB">
        <w:rPr>
          <w:lang w:val="sq-AL"/>
        </w:rPr>
        <w:t>.</w:t>
      </w:r>
    </w:p>
    <w:p w:rsidRPr="004C73BB" w:rsidR="00EB737A" w:rsidP="00EB737A" w:rsidRDefault="00EB737A">
      <w:pPr>
        <w:pStyle w:val="ECHRPara"/>
        <w:rPr>
          <w:lang w:val="sq-AL"/>
        </w:rPr>
      </w:pPr>
      <w:r w:rsidRPr="004C73BB">
        <w:rPr>
          <w:lang w:val="sq-AL"/>
        </w:rPr>
        <w:fldChar w:fldCharType="begin"/>
      </w:r>
      <w:r w:rsidRPr="004C73BB">
        <w:rPr>
          <w:lang w:val="sq-AL"/>
        </w:rPr>
        <w:instrText xml:space="preserve"> SEQ level0 \*arabic </w:instrText>
      </w:r>
      <w:r w:rsidRPr="004C73BB">
        <w:rPr>
          <w:lang w:val="sq-AL"/>
        </w:rPr>
        <w:fldChar w:fldCharType="separate"/>
      </w:r>
      <w:r w:rsidR="00013F9B">
        <w:rPr>
          <w:noProof/>
          <w:lang w:val="sq-AL"/>
        </w:rPr>
        <w:t>71</w:t>
      </w:r>
      <w:r w:rsidRPr="004C73BB">
        <w:rPr>
          <w:lang w:val="sq-AL"/>
        </w:rPr>
        <w:fldChar w:fldCharType="end"/>
      </w:r>
      <w:r w:rsidRPr="004C73BB">
        <w:rPr>
          <w:lang w:val="sq-AL"/>
        </w:rPr>
        <w:t>.  </w:t>
      </w:r>
      <w:r w:rsidRPr="004C73BB" w:rsidR="00D113FF">
        <w:rPr>
          <w:lang w:val="sq-AL"/>
        </w:rPr>
        <w:t>Prefekti i policis</w:t>
      </w:r>
      <w:r w:rsidRPr="004C73BB" w:rsidR="000E6222">
        <w:rPr>
          <w:lang w:val="sq-AL"/>
        </w:rPr>
        <w:t>ë</w:t>
      </w:r>
      <w:r w:rsidRPr="004C73BB" w:rsidR="00D113FF">
        <w:rPr>
          <w:lang w:val="sq-AL"/>
        </w:rPr>
        <w:t xml:space="preserve"> qe një d</w:t>
      </w:r>
      <w:r w:rsidRPr="004C73BB" w:rsidR="000E6222">
        <w:rPr>
          <w:lang w:val="sq-AL"/>
        </w:rPr>
        <w:t>ë</w:t>
      </w:r>
      <w:r w:rsidRPr="004C73BB" w:rsidR="00D113FF">
        <w:rPr>
          <w:lang w:val="sq-AL"/>
        </w:rPr>
        <w:t>shmitar me r</w:t>
      </w:r>
      <w:r w:rsidRPr="004C73BB" w:rsidR="000E6222">
        <w:rPr>
          <w:lang w:val="sq-AL"/>
        </w:rPr>
        <w:t>ë</w:t>
      </w:r>
      <w:r w:rsidRPr="004C73BB" w:rsidR="00D113FF">
        <w:rPr>
          <w:lang w:val="sq-AL"/>
        </w:rPr>
        <w:t>nd</w:t>
      </w:r>
      <w:r w:rsidRPr="004C73BB" w:rsidR="000E6222">
        <w:rPr>
          <w:lang w:val="sq-AL"/>
        </w:rPr>
        <w:t>ë</w:t>
      </w:r>
      <w:r w:rsidRPr="004C73BB" w:rsidR="00D113FF">
        <w:rPr>
          <w:lang w:val="sq-AL"/>
        </w:rPr>
        <w:t>si përpara Komisionit. Përpara se t</w:t>
      </w:r>
      <w:r w:rsidRPr="004C73BB" w:rsidR="000E6222">
        <w:rPr>
          <w:lang w:val="sq-AL"/>
        </w:rPr>
        <w:t>ë</w:t>
      </w:r>
      <w:r w:rsidRPr="004C73BB" w:rsidR="00D113FF">
        <w:rPr>
          <w:lang w:val="sq-AL"/>
        </w:rPr>
        <w:t xml:space="preserve"> paraqitej, ai kishte parashtruar informacione statistikore t</w:t>
      </w:r>
      <w:r w:rsidRPr="004C73BB" w:rsidR="000E6222">
        <w:rPr>
          <w:lang w:val="sq-AL"/>
        </w:rPr>
        <w:t>ë</w:t>
      </w:r>
      <w:r w:rsidRPr="004C73BB" w:rsidR="00D113FF">
        <w:rPr>
          <w:lang w:val="sq-AL"/>
        </w:rPr>
        <w:t xml:space="preserve"> nxjerra nga përgjigjet p</w:t>
      </w:r>
      <w:r w:rsidRPr="004C73BB" w:rsidR="000E6222">
        <w:rPr>
          <w:lang w:val="sq-AL"/>
        </w:rPr>
        <w:t>ë</w:t>
      </w:r>
      <w:r w:rsidRPr="004C73BB" w:rsidR="00D113FF">
        <w:rPr>
          <w:lang w:val="sq-AL"/>
        </w:rPr>
        <w:t>r nj</w:t>
      </w:r>
      <w:r w:rsidRPr="004C73BB" w:rsidR="000E6222">
        <w:rPr>
          <w:lang w:val="sq-AL"/>
        </w:rPr>
        <w:t>ë</w:t>
      </w:r>
      <w:r w:rsidRPr="004C73BB" w:rsidR="00D113FF">
        <w:rPr>
          <w:lang w:val="sq-AL"/>
        </w:rPr>
        <w:t xml:space="preserve"> qarkore q</w:t>
      </w:r>
      <w:r w:rsidRPr="004C73BB" w:rsidR="000E6222">
        <w:rPr>
          <w:lang w:val="sq-AL"/>
        </w:rPr>
        <w:t>ë</w:t>
      </w:r>
      <w:r w:rsidRPr="004C73BB" w:rsidR="00D113FF">
        <w:rPr>
          <w:lang w:val="sq-AL"/>
        </w:rPr>
        <w:t xml:space="preserve"> u kishte d</w:t>
      </w:r>
      <w:r w:rsidRPr="004C73BB" w:rsidR="000E6222">
        <w:rPr>
          <w:lang w:val="sq-AL"/>
        </w:rPr>
        <w:t>ë</w:t>
      </w:r>
      <w:r w:rsidRPr="004C73BB" w:rsidR="00D113FF">
        <w:rPr>
          <w:lang w:val="sq-AL"/>
        </w:rPr>
        <w:t>rguar më shum</w:t>
      </w:r>
      <w:r w:rsidRPr="004C73BB" w:rsidR="000E6222">
        <w:rPr>
          <w:lang w:val="sq-AL"/>
        </w:rPr>
        <w:t>ë</w:t>
      </w:r>
      <w:r w:rsidRPr="004C73BB" w:rsidR="00D113FF">
        <w:rPr>
          <w:lang w:val="sq-AL"/>
        </w:rPr>
        <w:t xml:space="preserve"> se 800 postave policore lidhur me procedimet e nisura nd</w:t>
      </w:r>
      <w:r w:rsidRPr="004C73BB" w:rsidR="000E6222">
        <w:rPr>
          <w:lang w:val="sq-AL"/>
        </w:rPr>
        <w:t>ë</w:t>
      </w:r>
      <w:r w:rsidRPr="004C73BB" w:rsidR="00D113FF">
        <w:rPr>
          <w:lang w:val="sq-AL"/>
        </w:rPr>
        <w:t>rmjet viteve 1924 e 1930 për vepra penale me karakter seksual, sidomos me ato për “cenim t</w:t>
      </w:r>
      <w:r w:rsidRPr="004C73BB" w:rsidR="000E6222">
        <w:rPr>
          <w:lang w:val="sq-AL"/>
        </w:rPr>
        <w:t>ë</w:t>
      </w:r>
      <w:r w:rsidRPr="004C73BB" w:rsidR="00D113FF">
        <w:rPr>
          <w:lang w:val="sq-AL"/>
        </w:rPr>
        <w:t xml:space="preserve"> nderit, marrëdh</w:t>
      </w:r>
      <w:r w:rsidRPr="004C73BB" w:rsidR="000E6222">
        <w:rPr>
          <w:lang w:val="sq-AL"/>
        </w:rPr>
        <w:t>ë</w:t>
      </w:r>
      <w:r w:rsidRPr="004C73BB" w:rsidR="00D113FF">
        <w:rPr>
          <w:lang w:val="sq-AL"/>
        </w:rPr>
        <w:t>nie trupore ose përdhunim” të kryera ndaj vajzave n</w:t>
      </w:r>
      <w:r w:rsidRPr="004C73BB" w:rsidR="000E6222">
        <w:rPr>
          <w:lang w:val="sq-AL"/>
        </w:rPr>
        <w:t>ë</w:t>
      </w:r>
      <w:r w:rsidRPr="004C73BB" w:rsidR="00D113FF">
        <w:rPr>
          <w:lang w:val="sq-AL"/>
        </w:rPr>
        <w:t>n mosh</w:t>
      </w:r>
      <w:r w:rsidRPr="004C73BB" w:rsidR="000E6222">
        <w:rPr>
          <w:lang w:val="sq-AL"/>
        </w:rPr>
        <w:t>ë</w:t>
      </w:r>
      <w:r w:rsidRPr="004C73BB" w:rsidR="00D113FF">
        <w:rPr>
          <w:lang w:val="sq-AL"/>
        </w:rPr>
        <w:t>n dhjet</w:t>
      </w:r>
      <w:r w:rsidRPr="004C73BB" w:rsidR="000E6222">
        <w:rPr>
          <w:lang w:val="sq-AL"/>
        </w:rPr>
        <w:t>ë</w:t>
      </w:r>
      <w:r w:rsidRPr="004C73BB" w:rsidR="00D113FF">
        <w:rPr>
          <w:lang w:val="sq-AL"/>
        </w:rPr>
        <w:t xml:space="preserve"> vjeç, midis dhjet</w:t>
      </w:r>
      <w:r w:rsidRPr="004C73BB" w:rsidR="000E6222">
        <w:rPr>
          <w:lang w:val="sq-AL"/>
        </w:rPr>
        <w:t>ë</w:t>
      </w:r>
      <w:r w:rsidRPr="004C73BB" w:rsidR="00D113FF">
        <w:rPr>
          <w:lang w:val="sq-AL"/>
        </w:rPr>
        <w:t xml:space="preserve"> e tremb</w:t>
      </w:r>
      <w:r w:rsidRPr="004C73BB" w:rsidR="000E6222">
        <w:rPr>
          <w:lang w:val="sq-AL"/>
        </w:rPr>
        <w:t>ë</w:t>
      </w:r>
      <w:r w:rsidRPr="004C73BB" w:rsidR="00D113FF">
        <w:rPr>
          <w:lang w:val="sq-AL"/>
        </w:rPr>
        <w:t>dhjet</w:t>
      </w:r>
      <w:r w:rsidRPr="004C73BB" w:rsidR="000E6222">
        <w:rPr>
          <w:lang w:val="sq-AL"/>
        </w:rPr>
        <w:t>ë</w:t>
      </w:r>
      <w:r w:rsidRPr="004C73BB" w:rsidR="00D113FF">
        <w:rPr>
          <w:lang w:val="sq-AL"/>
        </w:rPr>
        <w:t xml:space="preserve"> vjeç, midis tremb</w:t>
      </w:r>
      <w:r w:rsidRPr="004C73BB" w:rsidR="000E6222">
        <w:rPr>
          <w:lang w:val="sq-AL"/>
        </w:rPr>
        <w:t>ë</w:t>
      </w:r>
      <w:r w:rsidRPr="004C73BB" w:rsidR="00D113FF">
        <w:rPr>
          <w:lang w:val="sq-AL"/>
        </w:rPr>
        <w:t>dhjet</w:t>
      </w:r>
      <w:r w:rsidRPr="004C73BB" w:rsidR="000E6222">
        <w:rPr>
          <w:lang w:val="sq-AL"/>
        </w:rPr>
        <w:t>ë</w:t>
      </w:r>
      <w:r w:rsidRPr="004C73BB" w:rsidR="00D113FF">
        <w:rPr>
          <w:lang w:val="sq-AL"/>
        </w:rPr>
        <w:t xml:space="preserve"> e gjasht</w:t>
      </w:r>
      <w:r w:rsidRPr="004C73BB" w:rsidR="000E6222">
        <w:rPr>
          <w:lang w:val="sq-AL"/>
        </w:rPr>
        <w:t>ë</w:t>
      </w:r>
      <w:r w:rsidRPr="004C73BB" w:rsidR="00D113FF">
        <w:rPr>
          <w:lang w:val="sq-AL"/>
        </w:rPr>
        <w:t>mb</w:t>
      </w:r>
      <w:r w:rsidRPr="004C73BB" w:rsidR="000E6222">
        <w:rPr>
          <w:lang w:val="sq-AL"/>
        </w:rPr>
        <w:t>ë</w:t>
      </w:r>
      <w:r w:rsidRPr="004C73BB" w:rsidR="00D113FF">
        <w:rPr>
          <w:lang w:val="sq-AL"/>
        </w:rPr>
        <w:t>dhjet</w:t>
      </w:r>
      <w:r w:rsidRPr="004C73BB" w:rsidR="000E6222">
        <w:rPr>
          <w:lang w:val="sq-AL"/>
        </w:rPr>
        <w:t>ë</w:t>
      </w:r>
      <w:r w:rsidRPr="004C73BB" w:rsidR="00D113FF">
        <w:rPr>
          <w:lang w:val="sq-AL"/>
        </w:rPr>
        <w:t xml:space="preserve"> vjeç, midis </w:t>
      </w:r>
      <w:r w:rsidRPr="004C73BB" w:rsidR="000E6222">
        <w:rPr>
          <w:lang w:val="sq-AL"/>
        </w:rPr>
        <w:t>gjashtëmbëdhjetë e tetëmbëdhjetë vjeç, si edhe mbi tetëmbëdhjetë vjeç. Përpara Komisionit, ai bëri një analizë të hollësishme të këtyre statistikave, duke vënë sidomos në dukje se ekzistonte “nj</w:t>
      </w:r>
      <w:r w:rsidR="004C73BB">
        <w:rPr>
          <w:lang w:val="sq-AL"/>
        </w:rPr>
        <w:t>ë</w:t>
      </w:r>
      <w:r w:rsidRPr="004C73BB" w:rsidR="000E6222">
        <w:rPr>
          <w:lang w:val="sq-AL"/>
        </w:rPr>
        <w:t xml:space="preserve"> num</w:t>
      </w:r>
      <w:r w:rsidR="004C73BB">
        <w:rPr>
          <w:lang w:val="sq-AL"/>
        </w:rPr>
        <w:t>ë</w:t>
      </w:r>
      <w:r w:rsidRPr="004C73BB" w:rsidR="000E6222">
        <w:rPr>
          <w:lang w:val="sq-AL"/>
        </w:rPr>
        <w:t>r alarmues, n</w:t>
      </w:r>
      <w:r w:rsidR="004C73BB">
        <w:rPr>
          <w:lang w:val="sq-AL"/>
        </w:rPr>
        <w:t>ë</w:t>
      </w:r>
      <w:r w:rsidRPr="004C73BB" w:rsidR="000E6222">
        <w:rPr>
          <w:lang w:val="sq-AL"/>
        </w:rPr>
        <w:t xml:space="preserve"> rritje t</w:t>
      </w:r>
      <w:r w:rsidR="004C73BB">
        <w:rPr>
          <w:lang w:val="sq-AL"/>
        </w:rPr>
        <w:t>ë</w:t>
      </w:r>
      <w:r w:rsidRPr="004C73BB" w:rsidR="000E6222">
        <w:rPr>
          <w:lang w:val="sq-AL"/>
        </w:rPr>
        <w:t xml:space="preserve"> vazhdueshme, veprash penale me karakter seksual, veçanërisht sulmesh seksuale ndaj t</w:t>
      </w:r>
      <w:r w:rsidR="004C73BB">
        <w:rPr>
          <w:lang w:val="sq-AL"/>
        </w:rPr>
        <w:t>ë</w:t>
      </w:r>
      <w:r w:rsidRPr="004C73BB" w:rsidR="000E6222">
        <w:rPr>
          <w:lang w:val="sq-AL"/>
        </w:rPr>
        <w:t xml:space="preserve"> miturve, vajza e djem, gjasht</w:t>
      </w:r>
      <w:r w:rsidR="004C73BB">
        <w:rPr>
          <w:lang w:val="sq-AL"/>
        </w:rPr>
        <w:t>ë</w:t>
      </w:r>
      <w:r w:rsidRPr="004C73BB" w:rsidR="000E6222">
        <w:rPr>
          <w:lang w:val="sq-AL"/>
        </w:rPr>
        <w:t>mb</w:t>
      </w:r>
      <w:r w:rsidR="004C73BB">
        <w:rPr>
          <w:lang w:val="sq-AL"/>
        </w:rPr>
        <w:t>ë</w:t>
      </w:r>
      <w:r w:rsidRPr="004C73BB" w:rsidR="000E6222">
        <w:rPr>
          <w:lang w:val="sq-AL"/>
        </w:rPr>
        <w:t>dhjet</w:t>
      </w:r>
      <w:r w:rsidR="004C73BB">
        <w:rPr>
          <w:lang w:val="sq-AL"/>
        </w:rPr>
        <w:t>ë</w:t>
      </w:r>
      <w:r w:rsidRPr="004C73BB" w:rsidR="000E6222">
        <w:rPr>
          <w:lang w:val="sq-AL"/>
        </w:rPr>
        <w:t>vjeçar</w:t>
      </w:r>
      <w:r w:rsidR="004C73BB">
        <w:rPr>
          <w:lang w:val="sq-AL"/>
        </w:rPr>
        <w:t>ë</w:t>
      </w:r>
      <w:r w:rsidRPr="004C73BB" w:rsidR="000E6222">
        <w:rPr>
          <w:lang w:val="sq-AL"/>
        </w:rPr>
        <w:t xml:space="preserve"> e m</w:t>
      </w:r>
      <w:r w:rsidR="004C73BB">
        <w:rPr>
          <w:lang w:val="sq-AL"/>
        </w:rPr>
        <w:t>ë</w:t>
      </w:r>
      <w:r w:rsidRPr="004C73BB" w:rsidR="000E6222">
        <w:rPr>
          <w:lang w:val="sq-AL"/>
        </w:rPr>
        <w:t xml:space="preserve"> pak, shumica e t</w:t>
      </w:r>
      <w:r w:rsidR="004C73BB">
        <w:rPr>
          <w:lang w:val="sq-AL"/>
        </w:rPr>
        <w:t>ë</w:t>
      </w:r>
      <w:r w:rsidRPr="004C73BB" w:rsidR="000E6222">
        <w:rPr>
          <w:lang w:val="sq-AL"/>
        </w:rPr>
        <w:t xml:space="preserve"> cilave kishin t</w:t>
      </w:r>
      <w:r w:rsidR="004C73BB">
        <w:rPr>
          <w:lang w:val="sq-AL"/>
        </w:rPr>
        <w:t>ë</w:t>
      </w:r>
      <w:r w:rsidRPr="004C73BB" w:rsidR="000E6222">
        <w:rPr>
          <w:lang w:val="sq-AL"/>
        </w:rPr>
        <w:t xml:space="preserve"> b</w:t>
      </w:r>
      <w:r w:rsidR="004C73BB">
        <w:rPr>
          <w:lang w:val="sq-AL"/>
        </w:rPr>
        <w:t>ë</w:t>
      </w:r>
      <w:r w:rsidRPr="004C73BB" w:rsidR="000E6222">
        <w:rPr>
          <w:lang w:val="sq-AL"/>
        </w:rPr>
        <w:t>nin me f</w:t>
      </w:r>
      <w:r w:rsidR="004C73BB">
        <w:rPr>
          <w:lang w:val="sq-AL"/>
        </w:rPr>
        <w:t>ë</w:t>
      </w:r>
      <w:r w:rsidRPr="004C73BB" w:rsidR="000E6222">
        <w:rPr>
          <w:lang w:val="sq-AL"/>
        </w:rPr>
        <w:t>mij</w:t>
      </w:r>
      <w:r w:rsidR="004C73BB">
        <w:rPr>
          <w:lang w:val="sq-AL"/>
        </w:rPr>
        <w:t>ë</w:t>
      </w:r>
      <w:r w:rsidRPr="004C73BB" w:rsidR="000E6222">
        <w:rPr>
          <w:lang w:val="sq-AL"/>
        </w:rPr>
        <w:t xml:space="preserve"> n</w:t>
      </w:r>
      <w:r w:rsidR="004C73BB">
        <w:rPr>
          <w:lang w:val="sq-AL"/>
        </w:rPr>
        <w:t>ë</w:t>
      </w:r>
      <w:r w:rsidRPr="004C73BB" w:rsidR="000E6222">
        <w:rPr>
          <w:lang w:val="sq-AL"/>
        </w:rPr>
        <w:t>n dhjet</w:t>
      </w:r>
      <w:r w:rsidR="004C73BB">
        <w:rPr>
          <w:lang w:val="sq-AL"/>
        </w:rPr>
        <w:t>ë</w:t>
      </w:r>
      <w:r w:rsidRPr="004C73BB" w:rsidR="000E6222">
        <w:rPr>
          <w:lang w:val="sq-AL"/>
        </w:rPr>
        <w:t xml:space="preserve"> vjeç”. Ai vuri n</w:t>
      </w:r>
      <w:r w:rsidR="004C73BB">
        <w:rPr>
          <w:lang w:val="sq-AL"/>
        </w:rPr>
        <w:t>ë</w:t>
      </w:r>
      <w:r w:rsidRPr="004C73BB" w:rsidR="000E6222">
        <w:rPr>
          <w:lang w:val="sq-AL"/>
        </w:rPr>
        <w:t xml:space="preserve"> dukje se n</w:t>
      </w:r>
      <w:r w:rsidR="004C73BB">
        <w:rPr>
          <w:lang w:val="sq-AL"/>
        </w:rPr>
        <w:t>ë</w:t>
      </w:r>
      <w:r w:rsidRPr="004C73BB" w:rsidR="000E6222">
        <w:rPr>
          <w:lang w:val="sq-AL"/>
        </w:rPr>
        <w:t xml:space="preserve"> at</w:t>
      </w:r>
      <w:r w:rsidR="004C73BB">
        <w:rPr>
          <w:lang w:val="sq-AL"/>
        </w:rPr>
        <w:t>ë</w:t>
      </w:r>
      <w:r w:rsidRPr="004C73BB" w:rsidR="000E6222">
        <w:rPr>
          <w:lang w:val="sq-AL"/>
        </w:rPr>
        <w:t xml:space="preserve"> koh</w:t>
      </w:r>
      <w:r w:rsidR="004C73BB">
        <w:rPr>
          <w:lang w:val="sq-AL"/>
        </w:rPr>
        <w:t>ë</w:t>
      </w:r>
      <w:r w:rsidRPr="004C73BB" w:rsidR="000E6222">
        <w:rPr>
          <w:lang w:val="sq-AL"/>
        </w:rPr>
        <w:t xml:space="preserve"> ndiqeshin penalisht m</w:t>
      </w:r>
      <w:r w:rsidR="004C73BB">
        <w:rPr>
          <w:lang w:val="sq-AL"/>
        </w:rPr>
        <w:t>ë</w:t>
      </w:r>
      <w:r w:rsidRPr="004C73BB" w:rsidR="000E6222">
        <w:rPr>
          <w:lang w:val="sq-AL"/>
        </w:rPr>
        <w:t xml:space="preserve"> pak se 15% e veprave me karakter seksual, çka shpjegohej sipas tij me arsye t</w:t>
      </w:r>
      <w:r w:rsidR="004C73BB">
        <w:rPr>
          <w:lang w:val="sq-AL"/>
        </w:rPr>
        <w:t>ë</w:t>
      </w:r>
      <w:r w:rsidRPr="004C73BB" w:rsidR="000E6222">
        <w:rPr>
          <w:lang w:val="sq-AL"/>
        </w:rPr>
        <w:t xml:space="preserve"> ndryshme, sidomos me ngurrimet e prindërve p</w:t>
      </w:r>
      <w:r w:rsidR="004C73BB">
        <w:rPr>
          <w:lang w:val="sq-AL"/>
        </w:rPr>
        <w:t>ë</w:t>
      </w:r>
      <w:r w:rsidRPr="004C73BB" w:rsidR="000E6222">
        <w:rPr>
          <w:lang w:val="sq-AL"/>
        </w:rPr>
        <w:t>r t</w:t>
      </w:r>
      <w:r w:rsidR="00943091">
        <w:rPr>
          <w:lang w:val="sq-AL"/>
        </w:rPr>
        <w:t>’</w:t>
      </w:r>
      <w:r w:rsidRPr="004C73BB" w:rsidR="000E6222">
        <w:rPr>
          <w:lang w:val="sq-AL"/>
        </w:rPr>
        <w:t>i ndjekur veprime t</w:t>
      </w:r>
      <w:r w:rsidR="004C73BB">
        <w:rPr>
          <w:lang w:val="sq-AL"/>
        </w:rPr>
        <w:t>ë</w:t>
      </w:r>
      <w:r w:rsidRPr="004C73BB" w:rsidR="000E6222">
        <w:rPr>
          <w:lang w:val="sq-AL"/>
        </w:rPr>
        <w:t xml:space="preserve"> tilla.</w:t>
      </w:r>
    </w:p>
    <w:p w:rsidRPr="006A167E" w:rsidR="00EB737A" w:rsidP="00EB737A" w:rsidRDefault="00EB737A">
      <w:pPr>
        <w:pStyle w:val="ECHRPara"/>
        <w:rPr>
          <w:lang w:val="sq-AL"/>
        </w:rPr>
      </w:pPr>
      <w:r w:rsidRPr="006A167E">
        <w:rPr>
          <w:lang w:val="sq-AL"/>
        </w:rPr>
        <w:fldChar w:fldCharType="begin"/>
      </w:r>
      <w:r w:rsidRPr="006A167E">
        <w:rPr>
          <w:lang w:val="sq-AL"/>
        </w:rPr>
        <w:instrText xml:space="preserve"> SEQ level0 \*arabic </w:instrText>
      </w:r>
      <w:r w:rsidRPr="006A167E">
        <w:rPr>
          <w:lang w:val="sq-AL"/>
        </w:rPr>
        <w:fldChar w:fldCharType="separate"/>
      </w:r>
      <w:r w:rsidR="00013F9B">
        <w:rPr>
          <w:noProof/>
          <w:lang w:val="sq-AL"/>
        </w:rPr>
        <w:t>72</w:t>
      </w:r>
      <w:r w:rsidRPr="006A167E">
        <w:rPr>
          <w:lang w:val="sq-AL"/>
        </w:rPr>
        <w:fldChar w:fldCharType="end"/>
      </w:r>
      <w:r w:rsidRPr="006A167E">
        <w:rPr>
          <w:lang w:val="sq-AL"/>
        </w:rPr>
        <w:t>.  </w:t>
      </w:r>
      <w:r w:rsidRPr="006A167E" w:rsidR="000E6222">
        <w:rPr>
          <w:lang w:val="sq-AL"/>
        </w:rPr>
        <w:t>Në përputhje me mendimin e Ministrisë s</w:t>
      </w:r>
      <w:r w:rsidRPr="006A167E" w:rsidR="004C73BB">
        <w:rPr>
          <w:lang w:val="sq-AL"/>
        </w:rPr>
        <w:t>ë</w:t>
      </w:r>
      <w:r w:rsidRPr="006A167E" w:rsidR="000E6222">
        <w:rPr>
          <w:lang w:val="sq-AL"/>
        </w:rPr>
        <w:t xml:space="preserve"> Drejt</w:t>
      </w:r>
      <w:r w:rsidRPr="006A167E" w:rsidR="004C73BB">
        <w:rPr>
          <w:lang w:val="sq-AL"/>
        </w:rPr>
        <w:t>ë</w:t>
      </w:r>
      <w:r w:rsidRPr="006A167E" w:rsidR="000E6222">
        <w:rPr>
          <w:lang w:val="sq-AL"/>
        </w:rPr>
        <w:t>sisë (i cili figuron n</w:t>
      </w:r>
      <w:r w:rsidRPr="006A167E" w:rsidR="004C73BB">
        <w:rPr>
          <w:lang w:val="sq-AL"/>
        </w:rPr>
        <w:t>ë</w:t>
      </w:r>
      <w:r w:rsidRPr="006A167E" w:rsidR="000E6222">
        <w:rPr>
          <w:lang w:val="sq-AL"/>
        </w:rPr>
        <w:t xml:space="preserve"> memorandumin bashk</w:t>
      </w:r>
      <w:r w:rsidRPr="006A167E" w:rsidR="004C73BB">
        <w:rPr>
          <w:lang w:val="sq-AL"/>
        </w:rPr>
        <w:t>ë</w:t>
      </w:r>
      <w:r w:rsidRPr="006A167E" w:rsidR="000E6222">
        <w:rPr>
          <w:lang w:val="sq-AL"/>
        </w:rPr>
        <w:t>ngjitur me raportin), as elementet e paraqitura p</w:t>
      </w:r>
      <w:r w:rsidRPr="006A167E" w:rsidR="004C73BB">
        <w:rPr>
          <w:lang w:val="sq-AL"/>
        </w:rPr>
        <w:t>ë</w:t>
      </w:r>
      <w:r w:rsidRPr="006A167E" w:rsidR="000E6222">
        <w:rPr>
          <w:lang w:val="sq-AL"/>
        </w:rPr>
        <w:t xml:space="preserve">rpara Komisionit Carrigan, </w:t>
      </w:r>
      <w:r w:rsidRPr="006A167E" w:rsidR="00E8306D">
        <w:rPr>
          <w:lang w:val="sq-AL"/>
        </w:rPr>
        <w:t>as raporti i k</w:t>
      </w:r>
      <w:r w:rsidRPr="006A167E" w:rsidR="004C73BB">
        <w:rPr>
          <w:lang w:val="sq-AL"/>
        </w:rPr>
        <w:t>ë</w:t>
      </w:r>
      <w:r w:rsidRPr="006A167E" w:rsidR="00E8306D">
        <w:rPr>
          <w:lang w:val="sq-AL"/>
        </w:rPr>
        <w:t>tij t</w:t>
      </w:r>
      <w:r w:rsidRPr="006A167E" w:rsidR="004C73BB">
        <w:rPr>
          <w:lang w:val="sq-AL"/>
        </w:rPr>
        <w:t>ë</w:t>
      </w:r>
      <w:r w:rsidRPr="006A167E" w:rsidR="00E8306D">
        <w:rPr>
          <w:lang w:val="sq-AL"/>
        </w:rPr>
        <w:t xml:space="preserve"> fundit nuk u botuan. Në mendimin e saj, Ministria e Drejt</w:t>
      </w:r>
      <w:r w:rsidRPr="006A167E" w:rsidR="004C73BB">
        <w:rPr>
          <w:lang w:val="sq-AL"/>
        </w:rPr>
        <w:t>ë</w:t>
      </w:r>
      <w:r w:rsidRPr="006A167E" w:rsidR="00E8306D">
        <w:rPr>
          <w:lang w:val="sq-AL"/>
        </w:rPr>
        <w:t>sisë e kritikonte raportin n</w:t>
      </w:r>
      <w:r w:rsidRPr="006A167E" w:rsidR="004C73BB">
        <w:rPr>
          <w:lang w:val="sq-AL"/>
        </w:rPr>
        <w:t>ë</w:t>
      </w:r>
      <w:r w:rsidRPr="006A167E" w:rsidR="00E8306D">
        <w:rPr>
          <w:lang w:val="sq-AL"/>
        </w:rPr>
        <w:t xml:space="preserve"> disa drejtime dhe çmonte se p</w:t>
      </w:r>
      <w:r w:rsidRPr="006A167E" w:rsidR="004C73BB">
        <w:rPr>
          <w:lang w:val="sq-AL"/>
        </w:rPr>
        <w:t>ë</w:t>
      </w:r>
      <w:r w:rsidRPr="006A167E" w:rsidR="00E8306D">
        <w:rPr>
          <w:lang w:val="sq-AL"/>
        </w:rPr>
        <w:t>rfundimi i qart</w:t>
      </w:r>
      <w:r w:rsidRPr="006A167E" w:rsidR="004C73BB">
        <w:rPr>
          <w:lang w:val="sq-AL"/>
        </w:rPr>
        <w:t>ë</w:t>
      </w:r>
      <w:r w:rsidRPr="006A167E" w:rsidR="00E8306D">
        <w:rPr>
          <w:lang w:val="sq-AL"/>
        </w:rPr>
        <w:t xml:space="preserve"> q</w:t>
      </w:r>
      <w:r w:rsidRPr="006A167E" w:rsidR="004C73BB">
        <w:rPr>
          <w:lang w:val="sq-AL"/>
        </w:rPr>
        <w:t>ë</w:t>
      </w:r>
      <w:r w:rsidRPr="006A167E" w:rsidR="00E8306D">
        <w:rPr>
          <w:lang w:val="sq-AL"/>
        </w:rPr>
        <w:t xml:space="preserve"> mund t</w:t>
      </w:r>
      <w:r w:rsidRPr="006A167E" w:rsidR="004C73BB">
        <w:rPr>
          <w:lang w:val="sq-AL"/>
        </w:rPr>
        <w:t>ë</w:t>
      </w:r>
      <w:r w:rsidRPr="006A167E" w:rsidR="00E8306D">
        <w:rPr>
          <w:lang w:val="sq-AL"/>
        </w:rPr>
        <w:t xml:space="preserve"> nxirrej prej tij ishte se n</w:t>
      </w:r>
      <w:r w:rsidRPr="006A167E" w:rsidR="004C73BB">
        <w:rPr>
          <w:lang w:val="sq-AL"/>
        </w:rPr>
        <w:t>ë</w:t>
      </w:r>
      <w:r w:rsidRPr="006A167E" w:rsidR="00E8306D">
        <w:rPr>
          <w:lang w:val="sq-AL"/>
        </w:rPr>
        <w:t xml:space="preserve"> Irland</w:t>
      </w:r>
      <w:r w:rsidRPr="006A167E" w:rsidR="004C73BB">
        <w:rPr>
          <w:lang w:val="sq-AL"/>
        </w:rPr>
        <w:t>ë</w:t>
      </w:r>
      <w:r w:rsidRPr="006A167E" w:rsidR="00E8306D">
        <w:rPr>
          <w:lang w:val="sq-AL"/>
        </w:rPr>
        <w:t xml:space="preserve"> mungonin fare kuptimi i zakonshëm i nderit dhe ndikimi i fesë</w:t>
      </w:r>
      <w:r w:rsidRPr="006A167E" w:rsidR="000E6222">
        <w:rPr>
          <w:lang w:val="sq-AL"/>
        </w:rPr>
        <w:t>,</w:t>
      </w:r>
      <w:r w:rsidRPr="006A167E" w:rsidR="00E8306D">
        <w:rPr>
          <w:lang w:val="sq-AL"/>
        </w:rPr>
        <w:t xml:space="preserve"> dhe se zgjidhjen e vetme e p</w:t>
      </w:r>
      <w:r w:rsidRPr="006A167E" w:rsidR="004C73BB">
        <w:rPr>
          <w:lang w:val="sq-AL"/>
        </w:rPr>
        <w:t>ë</w:t>
      </w:r>
      <w:r w:rsidRPr="006A167E" w:rsidR="00E8306D">
        <w:rPr>
          <w:lang w:val="sq-AL"/>
        </w:rPr>
        <w:t>rb</w:t>
      </w:r>
      <w:r w:rsidRPr="006A167E" w:rsidR="004C73BB">
        <w:rPr>
          <w:lang w:val="sq-AL"/>
        </w:rPr>
        <w:t>ë</w:t>
      </w:r>
      <w:r w:rsidRPr="006A167E" w:rsidR="00E8306D">
        <w:rPr>
          <w:lang w:val="sq-AL"/>
        </w:rPr>
        <w:t>nte veprimi i policis</w:t>
      </w:r>
      <w:r w:rsidRPr="006A167E" w:rsidR="004C73BB">
        <w:rPr>
          <w:lang w:val="sq-AL"/>
        </w:rPr>
        <w:t>ë</w:t>
      </w:r>
      <w:r w:rsidRPr="006A167E" w:rsidR="00E8306D">
        <w:rPr>
          <w:lang w:val="sq-AL"/>
        </w:rPr>
        <w:t>. Raporti shkaktoi nj</w:t>
      </w:r>
      <w:r w:rsidRPr="006A167E" w:rsidR="004C73BB">
        <w:rPr>
          <w:lang w:val="sq-AL"/>
        </w:rPr>
        <w:t>ë</w:t>
      </w:r>
      <w:r w:rsidRPr="006A167E" w:rsidR="00E8306D">
        <w:rPr>
          <w:lang w:val="sq-AL"/>
        </w:rPr>
        <w:t xml:space="preserve"> debat në gjirin e komisionit parlamentar. Në veprim u vun</w:t>
      </w:r>
      <w:r w:rsidRPr="006A167E" w:rsidR="004C73BB">
        <w:rPr>
          <w:lang w:val="sq-AL"/>
        </w:rPr>
        <w:t>ë</w:t>
      </w:r>
      <w:r w:rsidRPr="006A167E" w:rsidR="00E8306D">
        <w:rPr>
          <w:lang w:val="sq-AL"/>
        </w:rPr>
        <w:t xml:space="preserve"> disa rekomandime, sidomos p</w:t>
      </w:r>
      <w:r w:rsidRPr="006A167E" w:rsidR="004C73BB">
        <w:rPr>
          <w:lang w:val="sq-AL"/>
        </w:rPr>
        <w:t>ë</w:t>
      </w:r>
      <w:r w:rsidRPr="006A167E" w:rsidR="00E8306D">
        <w:rPr>
          <w:lang w:val="sq-AL"/>
        </w:rPr>
        <w:t>rmes miratimit t</w:t>
      </w:r>
      <w:r w:rsidRPr="006A167E" w:rsidR="004C73BB">
        <w:rPr>
          <w:lang w:val="sq-AL"/>
        </w:rPr>
        <w:t>ë</w:t>
      </w:r>
      <w:r w:rsidRPr="006A167E" w:rsidR="00E8306D">
        <w:rPr>
          <w:lang w:val="sq-AL"/>
        </w:rPr>
        <w:t xml:space="preserve"> Ligjit t</w:t>
      </w:r>
      <w:r w:rsidRPr="006A167E" w:rsidR="004C73BB">
        <w:rPr>
          <w:lang w:val="sq-AL"/>
        </w:rPr>
        <w:t>ë</w:t>
      </w:r>
      <w:r w:rsidRPr="006A167E" w:rsidR="00E8306D">
        <w:rPr>
          <w:lang w:val="sq-AL"/>
        </w:rPr>
        <w:t xml:space="preserve"> vitit 1935 p</w:t>
      </w:r>
      <w:r w:rsidRPr="006A167E" w:rsidR="004C73BB">
        <w:rPr>
          <w:lang w:val="sq-AL"/>
        </w:rPr>
        <w:t>ë</w:t>
      </w:r>
      <w:r w:rsidRPr="006A167E" w:rsidR="00E8306D">
        <w:rPr>
          <w:lang w:val="sq-AL"/>
        </w:rPr>
        <w:t>r ndryshimin e s</w:t>
      </w:r>
      <w:r w:rsidRPr="006A167E" w:rsidR="004C73BB">
        <w:rPr>
          <w:lang w:val="sq-AL"/>
        </w:rPr>
        <w:t>ë</w:t>
      </w:r>
      <w:r w:rsidRPr="006A167E" w:rsidR="00E8306D">
        <w:rPr>
          <w:lang w:val="sq-AL"/>
        </w:rPr>
        <w:t xml:space="preserve"> drejt</w:t>
      </w:r>
      <w:r w:rsidRPr="006A167E" w:rsidR="004C73BB">
        <w:rPr>
          <w:lang w:val="sq-AL"/>
        </w:rPr>
        <w:t>ë</w:t>
      </w:r>
      <w:r w:rsidRPr="006A167E" w:rsidR="00E8306D">
        <w:rPr>
          <w:lang w:val="sq-AL"/>
        </w:rPr>
        <w:t xml:space="preserve">s penale </w:t>
      </w:r>
      <w:r w:rsidRPr="006A167E">
        <w:rPr>
          <w:lang w:val="sq-AL"/>
        </w:rPr>
        <w:t>(paragra</w:t>
      </w:r>
      <w:r w:rsidRPr="006A167E" w:rsidR="00E8306D">
        <w:rPr>
          <w:lang w:val="sq-AL"/>
        </w:rPr>
        <w:t>fi</w:t>
      </w:r>
      <w:r w:rsidRPr="006A167E">
        <w:rPr>
          <w:lang w:val="sq-AL"/>
        </w:rPr>
        <w:t xml:space="preserve"> 63 </w:t>
      </w:r>
      <w:r w:rsidRPr="006A167E" w:rsidR="00E8306D">
        <w:rPr>
          <w:lang w:val="sq-AL"/>
        </w:rPr>
        <w:t>i m</w:t>
      </w:r>
      <w:r w:rsidRPr="006A167E" w:rsidR="004C73BB">
        <w:rPr>
          <w:lang w:val="sq-AL"/>
        </w:rPr>
        <w:t>ë</w:t>
      </w:r>
      <w:r w:rsidRPr="006A167E" w:rsidR="00E8306D">
        <w:rPr>
          <w:lang w:val="sq-AL"/>
        </w:rPr>
        <w:t>sip</w:t>
      </w:r>
      <w:r w:rsidRPr="006A167E" w:rsidR="004C73BB">
        <w:rPr>
          <w:lang w:val="sq-AL"/>
        </w:rPr>
        <w:t>ë</w:t>
      </w:r>
      <w:r w:rsidRPr="006A167E" w:rsidR="00E8306D">
        <w:rPr>
          <w:lang w:val="sq-AL"/>
        </w:rPr>
        <w:t>rm</w:t>
      </w:r>
      <w:r w:rsidRPr="006A167E">
        <w:rPr>
          <w:lang w:val="sq-AL"/>
        </w:rPr>
        <w:t xml:space="preserve">). </w:t>
      </w:r>
      <w:r w:rsidRPr="006A167E" w:rsidR="00E8306D">
        <w:rPr>
          <w:lang w:val="sq-AL"/>
        </w:rPr>
        <w:t>Dosjet e Ministris</w:t>
      </w:r>
      <w:r w:rsidRPr="006A167E" w:rsidR="004C73BB">
        <w:rPr>
          <w:lang w:val="sq-AL"/>
        </w:rPr>
        <w:t>ë</w:t>
      </w:r>
      <w:r w:rsidRPr="006A167E" w:rsidR="00E8306D">
        <w:rPr>
          <w:lang w:val="sq-AL"/>
        </w:rPr>
        <w:t xml:space="preserve"> s</w:t>
      </w:r>
      <w:r w:rsidRPr="006A167E" w:rsidR="004C73BB">
        <w:rPr>
          <w:lang w:val="sq-AL"/>
        </w:rPr>
        <w:t>ë</w:t>
      </w:r>
      <w:r w:rsidRPr="006A167E" w:rsidR="00E8306D">
        <w:rPr>
          <w:lang w:val="sq-AL"/>
        </w:rPr>
        <w:t xml:space="preserve"> Drejt</w:t>
      </w:r>
      <w:r w:rsidRPr="006A167E" w:rsidR="004C73BB">
        <w:rPr>
          <w:lang w:val="sq-AL"/>
        </w:rPr>
        <w:t>ë</w:t>
      </w:r>
      <w:r w:rsidRPr="006A167E" w:rsidR="00E8306D">
        <w:rPr>
          <w:lang w:val="sq-AL"/>
        </w:rPr>
        <w:t>sisë lidhur me k</w:t>
      </w:r>
      <w:r w:rsidRPr="006A167E" w:rsidR="004C73BB">
        <w:rPr>
          <w:lang w:val="sq-AL"/>
        </w:rPr>
        <w:t>ë</w:t>
      </w:r>
      <w:r w:rsidRPr="006A167E" w:rsidR="00E8306D">
        <w:rPr>
          <w:lang w:val="sq-AL"/>
        </w:rPr>
        <w:t>t</w:t>
      </w:r>
      <w:r w:rsidRPr="006A167E" w:rsidR="004C73BB">
        <w:rPr>
          <w:lang w:val="sq-AL"/>
        </w:rPr>
        <w:t>ë</w:t>
      </w:r>
      <w:r w:rsidRPr="006A167E" w:rsidR="00E8306D">
        <w:rPr>
          <w:lang w:val="sq-AL"/>
        </w:rPr>
        <w:t xml:space="preserve"> raport u </w:t>
      </w:r>
      <w:r w:rsidRPr="006A167E" w:rsidR="004C73BB">
        <w:rPr>
          <w:lang w:val="sq-AL"/>
        </w:rPr>
        <w:t>bot</w:t>
      </w:r>
      <w:r w:rsidRPr="006A167E" w:rsidR="00E8306D">
        <w:rPr>
          <w:lang w:val="sq-AL"/>
        </w:rPr>
        <w:t>uan më</w:t>
      </w:r>
      <w:r w:rsidRPr="006A167E" w:rsidR="004C73BB">
        <w:rPr>
          <w:lang w:val="sq-AL"/>
        </w:rPr>
        <w:t xml:space="preserve"> </w:t>
      </w:r>
      <w:r w:rsidRPr="006A167E">
        <w:rPr>
          <w:lang w:val="sq-AL"/>
        </w:rPr>
        <w:t xml:space="preserve">1991 </w:t>
      </w:r>
      <w:r w:rsidRPr="006A167E" w:rsidR="004C73BB">
        <w:rPr>
          <w:lang w:val="sq-AL"/>
        </w:rPr>
        <w:t xml:space="preserve">dhe disa dokumente të tjera arkivore u bënë publike më </w:t>
      </w:r>
      <w:r w:rsidRPr="006A167E">
        <w:rPr>
          <w:lang w:val="sq-AL"/>
        </w:rPr>
        <w:t>1999.</w:t>
      </w:r>
    </w:p>
    <w:p w:rsidRPr="006A167E" w:rsidR="00EB737A" w:rsidP="00EB737A" w:rsidRDefault="00EB737A">
      <w:pPr>
        <w:pStyle w:val="ECHRHeading3"/>
        <w:rPr>
          <w:lang w:val="sq-AL"/>
        </w:rPr>
      </w:pPr>
      <w:r w:rsidRPr="006A167E">
        <w:rPr>
          <w:lang w:val="sq-AL"/>
        </w:rPr>
        <w:t>2.  </w:t>
      </w:r>
      <w:r w:rsidRPr="006A167E" w:rsidR="004C73BB">
        <w:rPr>
          <w:lang w:val="sq-AL"/>
        </w:rPr>
        <w:t xml:space="preserve">Shkollat e </w:t>
      </w:r>
      <w:r w:rsidRPr="006A167E" w:rsidR="00CA0684">
        <w:rPr>
          <w:lang w:val="sq-AL"/>
        </w:rPr>
        <w:t>ri</w:t>
      </w:r>
      <w:r w:rsidRPr="006A167E" w:rsidR="004C73BB">
        <w:rPr>
          <w:lang w:val="sq-AL"/>
        </w:rPr>
        <w:t>edukimit (</w:t>
      </w:r>
      <w:r w:rsidRPr="006A167E">
        <w:rPr>
          <w:i w:val="0"/>
          <w:lang w:val="sq-AL"/>
        </w:rPr>
        <w:t>reformatory schools</w:t>
      </w:r>
      <w:r w:rsidRPr="006A167E" w:rsidR="004C73BB">
        <w:rPr>
          <w:lang w:val="sq-AL"/>
        </w:rPr>
        <w:t>) dhe shkollat profesionale p</w:t>
      </w:r>
      <w:r w:rsidRPr="006A167E" w:rsidR="00CA0684">
        <w:rPr>
          <w:lang w:val="sq-AL"/>
        </w:rPr>
        <w:t>ë</w:t>
      </w:r>
      <w:r w:rsidRPr="006A167E" w:rsidR="004C73BB">
        <w:rPr>
          <w:lang w:val="sq-AL"/>
        </w:rPr>
        <w:t>r f</w:t>
      </w:r>
      <w:r w:rsidRPr="006A167E" w:rsidR="00CA0684">
        <w:rPr>
          <w:lang w:val="sq-AL"/>
        </w:rPr>
        <w:t>ë</w:t>
      </w:r>
      <w:r w:rsidRPr="006A167E" w:rsidR="004C73BB">
        <w:rPr>
          <w:lang w:val="sq-AL"/>
        </w:rPr>
        <w:t>mij</w:t>
      </w:r>
      <w:r w:rsidRPr="006A167E" w:rsidR="00CA0684">
        <w:rPr>
          <w:lang w:val="sq-AL"/>
        </w:rPr>
        <w:t>ë</w:t>
      </w:r>
      <w:r w:rsidRPr="006A167E" w:rsidR="004C73BB">
        <w:rPr>
          <w:lang w:val="sq-AL"/>
        </w:rPr>
        <w:t xml:space="preserve"> jetim</w:t>
      </w:r>
      <w:r w:rsidRPr="006A167E" w:rsidR="00CA0684">
        <w:rPr>
          <w:lang w:val="sq-AL"/>
        </w:rPr>
        <w:t>ë</w:t>
      </w:r>
      <w:r w:rsidRPr="006A167E" w:rsidR="004C73BB">
        <w:rPr>
          <w:lang w:val="sq-AL"/>
        </w:rPr>
        <w:t>, t</w:t>
      </w:r>
      <w:r w:rsidRPr="006A167E" w:rsidR="00CA0684">
        <w:rPr>
          <w:lang w:val="sq-AL"/>
        </w:rPr>
        <w:t>ë</w:t>
      </w:r>
      <w:r w:rsidRPr="006A167E" w:rsidR="004C73BB">
        <w:rPr>
          <w:lang w:val="sq-AL"/>
        </w:rPr>
        <w:t xml:space="preserve"> braktisur ose t</w:t>
      </w:r>
      <w:r w:rsidRPr="006A167E" w:rsidR="00CA0684">
        <w:rPr>
          <w:lang w:val="sq-AL"/>
        </w:rPr>
        <w:t>ë</w:t>
      </w:r>
      <w:r w:rsidRPr="006A167E" w:rsidR="004C73BB">
        <w:rPr>
          <w:lang w:val="sq-AL"/>
        </w:rPr>
        <w:t xml:space="preserve"> mbetur pa p</w:t>
      </w:r>
      <w:r w:rsidRPr="006A167E" w:rsidR="00CA0684">
        <w:rPr>
          <w:lang w:val="sq-AL"/>
        </w:rPr>
        <w:t>ë</w:t>
      </w:r>
      <w:r w:rsidRPr="006A167E" w:rsidR="004C73BB">
        <w:rPr>
          <w:lang w:val="sq-AL"/>
        </w:rPr>
        <w:t>rkrahje</w:t>
      </w:r>
      <w:r w:rsidRPr="006A167E">
        <w:rPr>
          <w:lang w:val="sq-AL"/>
        </w:rPr>
        <w:t xml:space="preserve"> (</w:t>
      </w:r>
      <w:r w:rsidRPr="006A167E">
        <w:rPr>
          <w:i w:val="0"/>
          <w:lang w:val="sq-AL"/>
        </w:rPr>
        <w:t>industrial schools</w:t>
      </w:r>
      <w:r w:rsidRPr="006A167E">
        <w:rPr>
          <w:lang w:val="sq-AL"/>
        </w:rPr>
        <w:t>)</w:t>
      </w:r>
    </w:p>
    <w:p w:rsidRPr="006A167E" w:rsidR="00EB737A" w:rsidP="00EB737A" w:rsidRDefault="00EB737A">
      <w:pPr>
        <w:pStyle w:val="ECHRPara"/>
        <w:rPr>
          <w:lang w:val="sq-AL"/>
        </w:rPr>
      </w:pPr>
      <w:r w:rsidRPr="006A167E">
        <w:rPr>
          <w:lang w:val="sq-AL"/>
        </w:rPr>
        <w:fldChar w:fldCharType="begin"/>
      </w:r>
      <w:r w:rsidRPr="006A167E">
        <w:rPr>
          <w:lang w:val="sq-AL"/>
        </w:rPr>
        <w:instrText xml:space="preserve"> SEQ level0 \*arabic </w:instrText>
      </w:r>
      <w:r w:rsidRPr="006A167E">
        <w:rPr>
          <w:lang w:val="sq-AL"/>
        </w:rPr>
        <w:fldChar w:fldCharType="separate"/>
      </w:r>
      <w:r w:rsidR="00013F9B">
        <w:rPr>
          <w:noProof/>
          <w:lang w:val="sq-AL"/>
        </w:rPr>
        <w:t>73</w:t>
      </w:r>
      <w:r w:rsidRPr="006A167E">
        <w:rPr>
          <w:lang w:val="sq-AL"/>
        </w:rPr>
        <w:fldChar w:fldCharType="end"/>
      </w:r>
      <w:r w:rsidRPr="006A167E">
        <w:rPr>
          <w:lang w:val="sq-AL"/>
        </w:rPr>
        <w:t>.  </w:t>
      </w:r>
      <w:r w:rsidRPr="006A167E" w:rsidR="004C73BB">
        <w:rPr>
          <w:lang w:val="sq-AL"/>
        </w:rPr>
        <w:t>Të ashtuquajturat</w:t>
      </w:r>
      <w:r w:rsidRPr="006A167E">
        <w:rPr>
          <w:lang w:val="sq-AL"/>
        </w:rPr>
        <w:t xml:space="preserve"> </w:t>
      </w:r>
      <w:r w:rsidRPr="006A167E">
        <w:rPr>
          <w:i/>
          <w:lang w:val="sq-AL"/>
        </w:rPr>
        <w:t xml:space="preserve">reformatory schools </w:t>
      </w:r>
      <w:r w:rsidRPr="006A167E" w:rsidR="004C73BB">
        <w:rPr>
          <w:lang w:val="sq-AL"/>
        </w:rPr>
        <w:t>u shfaqën n</w:t>
      </w:r>
      <w:r w:rsidRPr="006A167E" w:rsidR="00CA0684">
        <w:rPr>
          <w:lang w:val="sq-AL"/>
        </w:rPr>
        <w:t>ë</w:t>
      </w:r>
      <w:r w:rsidRPr="006A167E" w:rsidR="004C73BB">
        <w:rPr>
          <w:lang w:val="sq-AL"/>
        </w:rPr>
        <w:t xml:space="preserve"> vitet </w:t>
      </w:r>
      <w:r w:rsidRPr="006A167E">
        <w:rPr>
          <w:lang w:val="sq-AL"/>
        </w:rPr>
        <w:t>1850</w:t>
      </w:r>
      <w:r w:rsidRPr="006A167E" w:rsidR="004C73BB">
        <w:rPr>
          <w:lang w:val="sq-AL"/>
        </w:rPr>
        <w:t xml:space="preserve">, kurse ato </w:t>
      </w:r>
      <w:r w:rsidRPr="006A167E">
        <w:rPr>
          <w:i/>
          <w:lang w:val="sq-AL"/>
        </w:rPr>
        <w:t>industrial schools</w:t>
      </w:r>
      <w:r w:rsidRPr="006A167E">
        <w:rPr>
          <w:lang w:val="sq-AL"/>
        </w:rPr>
        <w:t xml:space="preserve"> </w:t>
      </w:r>
      <w:r w:rsidRPr="006A167E" w:rsidR="004C73BB">
        <w:rPr>
          <w:lang w:val="sq-AL"/>
        </w:rPr>
        <w:t>n</w:t>
      </w:r>
      <w:r w:rsidRPr="006A167E" w:rsidR="00CA0684">
        <w:rPr>
          <w:lang w:val="sq-AL"/>
        </w:rPr>
        <w:t>ë</w:t>
      </w:r>
      <w:r w:rsidRPr="006A167E" w:rsidR="004C73BB">
        <w:rPr>
          <w:lang w:val="sq-AL"/>
        </w:rPr>
        <w:t xml:space="preserve"> vitet</w:t>
      </w:r>
      <w:r w:rsidRPr="006A167E">
        <w:rPr>
          <w:lang w:val="sq-AL"/>
        </w:rPr>
        <w:t xml:space="preserve"> 1860. </w:t>
      </w:r>
      <w:r w:rsidRPr="006A167E" w:rsidR="004C73BB">
        <w:rPr>
          <w:lang w:val="sq-AL"/>
        </w:rPr>
        <w:t>Në shumic</w:t>
      </w:r>
      <w:r w:rsidRPr="006A167E" w:rsidR="00CA0684">
        <w:rPr>
          <w:lang w:val="sq-AL"/>
        </w:rPr>
        <w:t>ë</w:t>
      </w:r>
      <w:r w:rsidRPr="006A167E" w:rsidR="004C73BB">
        <w:rPr>
          <w:lang w:val="sq-AL"/>
        </w:rPr>
        <w:t xml:space="preserve">n e tyre, ato administroheshin nga autoritetet fetare dhe financoheshin me fonde publike. Në </w:t>
      </w:r>
      <w:r w:rsidRPr="006A167E">
        <w:rPr>
          <w:i/>
          <w:lang w:val="sq-AL"/>
        </w:rPr>
        <w:t>reformatory schools</w:t>
      </w:r>
      <w:r w:rsidRPr="006A167E">
        <w:rPr>
          <w:lang w:val="sq-AL"/>
        </w:rPr>
        <w:t xml:space="preserve">, </w:t>
      </w:r>
      <w:r w:rsidRPr="006A167E" w:rsidR="004C73BB">
        <w:rPr>
          <w:lang w:val="sq-AL"/>
        </w:rPr>
        <w:t>numri i t</w:t>
      </w:r>
      <w:r w:rsidRPr="006A167E" w:rsidR="00CA0684">
        <w:rPr>
          <w:lang w:val="sq-AL"/>
        </w:rPr>
        <w:t>ë</w:t>
      </w:r>
      <w:r w:rsidRPr="006A167E" w:rsidR="004C73BB">
        <w:rPr>
          <w:lang w:val="sq-AL"/>
        </w:rPr>
        <w:t xml:space="preserve"> cilave mbeti shum</w:t>
      </w:r>
      <w:r w:rsidRPr="006A167E" w:rsidR="00CA0684">
        <w:rPr>
          <w:lang w:val="sq-AL"/>
        </w:rPr>
        <w:t>ë</w:t>
      </w:r>
      <w:r w:rsidRPr="006A167E" w:rsidR="004C73BB">
        <w:rPr>
          <w:lang w:val="sq-AL"/>
        </w:rPr>
        <w:t xml:space="preserve"> i kufizuar, vendoseshin </w:t>
      </w:r>
      <w:r w:rsidRPr="006A167E" w:rsidR="00CA0684">
        <w:rPr>
          <w:lang w:val="sq-AL"/>
        </w:rPr>
        <w:t xml:space="preserve">të rinj rrugaçë. Por nga ana tjetër, kishte nja pesëdhjetë </w:t>
      </w:r>
      <w:r w:rsidRPr="006A167E">
        <w:rPr>
          <w:i/>
          <w:lang w:val="sq-AL"/>
        </w:rPr>
        <w:t>industrial schools</w:t>
      </w:r>
      <w:r w:rsidRPr="006A167E">
        <w:rPr>
          <w:lang w:val="sq-AL"/>
        </w:rPr>
        <w:t xml:space="preserve">. </w:t>
      </w:r>
      <w:r w:rsidRPr="006A167E" w:rsidR="00CA0684">
        <w:rPr>
          <w:lang w:val="sq-AL"/>
        </w:rPr>
        <w:t xml:space="preserve">Përveç shërbimeve të arsimimit, këto shkolla u siguronin nxënësve të tyre strehim, veshje e ushqim </w:t>
      </w:r>
      <w:r w:rsidRPr="006A167E">
        <w:rPr>
          <w:lang w:val="sq-AL"/>
        </w:rPr>
        <w:t>(</w:t>
      </w:r>
      <w:r w:rsidRPr="006A167E" w:rsidR="00CA0684">
        <w:rPr>
          <w:lang w:val="sq-AL"/>
        </w:rPr>
        <w:t>neni</w:t>
      </w:r>
      <w:r w:rsidRPr="006A167E">
        <w:rPr>
          <w:lang w:val="sq-AL"/>
        </w:rPr>
        <w:t xml:space="preserve"> 44 </w:t>
      </w:r>
      <w:r w:rsidRPr="006A167E" w:rsidR="00CA0684">
        <w:rPr>
          <w:lang w:val="sq-AL"/>
        </w:rPr>
        <w:t xml:space="preserve">i Ligjit të vitit </w:t>
      </w:r>
      <w:r w:rsidRPr="006A167E">
        <w:rPr>
          <w:lang w:val="sq-AL"/>
        </w:rPr>
        <w:t xml:space="preserve">1908 </w:t>
      </w:r>
      <w:r w:rsidRPr="006A167E" w:rsidR="00CA0684">
        <w:rPr>
          <w:lang w:val="sq-AL"/>
        </w:rPr>
        <w:t>për fëmijët</w:t>
      </w:r>
      <w:r w:rsidRPr="006A167E">
        <w:rPr>
          <w:lang w:val="sq-AL"/>
        </w:rPr>
        <w:t xml:space="preserve">). </w:t>
      </w:r>
      <w:r w:rsidRPr="006A167E" w:rsidR="00CA0684">
        <w:rPr>
          <w:lang w:val="sq-AL"/>
        </w:rPr>
        <w:t>Nga viti</w:t>
      </w:r>
      <w:r w:rsidRPr="006A167E">
        <w:rPr>
          <w:lang w:val="sq-AL"/>
        </w:rPr>
        <w:t xml:space="preserve"> 1936 </w:t>
      </w:r>
      <w:r w:rsidRPr="006A167E" w:rsidR="00CA0684">
        <w:rPr>
          <w:lang w:val="sq-AL"/>
        </w:rPr>
        <w:t>deri më</w:t>
      </w:r>
      <w:r w:rsidRPr="006A167E">
        <w:rPr>
          <w:lang w:val="sq-AL"/>
        </w:rPr>
        <w:t xml:space="preserve"> 1970, </w:t>
      </w:r>
      <w:r w:rsidRPr="006A167E" w:rsidR="00CA0684">
        <w:rPr>
          <w:lang w:val="sq-AL"/>
        </w:rPr>
        <w:t xml:space="preserve">në shkolla të tilla u mbyllën gjithsej </w:t>
      </w:r>
      <w:r w:rsidRPr="006A167E">
        <w:rPr>
          <w:lang w:val="sq-AL"/>
        </w:rPr>
        <w:t xml:space="preserve">170 000 </w:t>
      </w:r>
      <w:r w:rsidRPr="006A167E" w:rsidR="00CA0684">
        <w:rPr>
          <w:lang w:val="sq-AL"/>
        </w:rPr>
        <w:t xml:space="preserve">fëmijë e adoleshentë </w:t>
      </w:r>
      <w:r w:rsidRPr="006A167E">
        <w:rPr>
          <w:lang w:val="sq-AL"/>
        </w:rPr>
        <w:t>(</w:t>
      </w:r>
      <w:r w:rsidRPr="006A167E" w:rsidR="00CA0684">
        <w:rPr>
          <w:lang w:val="sq-AL"/>
        </w:rPr>
        <w:t>ose rreth 1,2% të grupmoshës në fjalë</w:t>
      </w:r>
      <w:r w:rsidRPr="006A167E">
        <w:rPr>
          <w:lang w:val="sq-AL"/>
        </w:rPr>
        <w:t xml:space="preserve">). </w:t>
      </w:r>
      <w:r w:rsidRPr="006A167E" w:rsidR="00CA0684">
        <w:rPr>
          <w:lang w:val="sq-AL"/>
        </w:rPr>
        <w:t>Koha mesatare e qëndrimit aty ishte shtatë vjet. Për shumicën dërrmuese t</w:t>
      </w:r>
      <w:r w:rsidR="006A167E">
        <w:rPr>
          <w:lang w:val="sq-AL"/>
        </w:rPr>
        <w:t>ë</w:t>
      </w:r>
      <w:r w:rsidRPr="006A167E" w:rsidR="00CA0684">
        <w:rPr>
          <w:lang w:val="sq-AL"/>
        </w:rPr>
        <w:t xml:space="preserve"> nx</w:t>
      </w:r>
      <w:r w:rsidR="006A167E">
        <w:rPr>
          <w:lang w:val="sq-AL"/>
        </w:rPr>
        <w:t>ë</w:t>
      </w:r>
      <w:r w:rsidRPr="006A167E" w:rsidR="00CA0684">
        <w:rPr>
          <w:lang w:val="sq-AL"/>
        </w:rPr>
        <w:t>nësve, mbyllja n</w:t>
      </w:r>
      <w:r w:rsidR="006A167E">
        <w:rPr>
          <w:lang w:val="sq-AL"/>
        </w:rPr>
        <w:t>ë</w:t>
      </w:r>
      <w:r w:rsidRPr="006A167E" w:rsidR="00CA0684">
        <w:rPr>
          <w:lang w:val="sq-AL"/>
        </w:rPr>
        <w:t xml:space="preserve"> k</w:t>
      </w:r>
      <w:r w:rsidR="006A167E">
        <w:rPr>
          <w:lang w:val="sq-AL"/>
        </w:rPr>
        <w:t>ë</w:t>
      </w:r>
      <w:r w:rsidRPr="006A167E" w:rsidR="00CA0684">
        <w:rPr>
          <w:lang w:val="sq-AL"/>
        </w:rPr>
        <w:t xml:space="preserve">to institucione përligjej me gjendjen </w:t>
      </w:r>
      <w:r w:rsidRPr="006A167E" w:rsidR="0050303C">
        <w:rPr>
          <w:lang w:val="sq-AL"/>
        </w:rPr>
        <w:t>e tyre n</w:t>
      </w:r>
      <w:r w:rsidR="006A167E">
        <w:rPr>
          <w:lang w:val="sq-AL"/>
        </w:rPr>
        <w:t>ë</w:t>
      </w:r>
      <w:r w:rsidRPr="006A167E" w:rsidR="0050303C">
        <w:rPr>
          <w:lang w:val="sq-AL"/>
        </w:rPr>
        <w:t xml:space="preserve"> “nevojë”, nd</w:t>
      </w:r>
      <w:r w:rsidR="006A167E">
        <w:rPr>
          <w:lang w:val="sq-AL"/>
        </w:rPr>
        <w:t>ë</w:t>
      </w:r>
      <w:r w:rsidRPr="006A167E" w:rsidR="0050303C">
        <w:rPr>
          <w:lang w:val="sq-AL"/>
        </w:rPr>
        <w:t>rkoh</w:t>
      </w:r>
      <w:r w:rsidR="006A167E">
        <w:rPr>
          <w:lang w:val="sq-AL"/>
        </w:rPr>
        <w:t>ë</w:t>
      </w:r>
      <w:r w:rsidRPr="006A167E" w:rsidR="0050303C">
        <w:rPr>
          <w:lang w:val="sq-AL"/>
        </w:rPr>
        <w:t xml:space="preserve"> q</w:t>
      </w:r>
      <w:r w:rsidR="006A167E">
        <w:rPr>
          <w:lang w:val="sq-AL"/>
        </w:rPr>
        <w:t>ë</w:t>
      </w:r>
      <w:r w:rsidRPr="006A167E" w:rsidR="0050303C">
        <w:rPr>
          <w:lang w:val="sq-AL"/>
        </w:rPr>
        <w:t xml:space="preserve"> dy arsyet e tjera m</w:t>
      </w:r>
      <w:r w:rsidR="006A167E">
        <w:rPr>
          <w:lang w:val="sq-AL"/>
        </w:rPr>
        <w:t>ë</w:t>
      </w:r>
      <w:r w:rsidRPr="006A167E" w:rsidR="0050303C">
        <w:rPr>
          <w:lang w:val="sq-AL"/>
        </w:rPr>
        <w:t xml:space="preserve"> t</w:t>
      </w:r>
      <w:r w:rsidR="006A167E">
        <w:rPr>
          <w:lang w:val="sq-AL"/>
        </w:rPr>
        <w:t>ë</w:t>
      </w:r>
      <w:r w:rsidRPr="006A167E" w:rsidR="0050303C">
        <w:rPr>
          <w:lang w:val="sq-AL"/>
        </w:rPr>
        <w:t xml:space="preserve"> zakonshme ishin kryerja e nj</w:t>
      </w:r>
      <w:r w:rsidR="006A167E">
        <w:rPr>
          <w:lang w:val="sq-AL"/>
        </w:rPr>
        <w:t>ë</w:t>
      </w:r>
      <w:r w:rsidRPr="006A167E" w:rsidR="0050303C">
        <w:rPr>
          <w:lang w:val="sq-AL"/>
        </w:rPr>
        <w:t xml:space="preserve"> vepre penale dhe mungesa e zellit në shkollë. Të tria këto arsye nënkuptonin nj</w:t>
      </w:r>
      <w:r w:rsidR="006A167E">
        <w:rPr>
          <w:lang w:val="sq-AL"/>
        </w:rPr>
        <w:t>ë</w:t>
      </w:r>
      <w:r w:rsidRPr="006A167E" w:rsidR="0050303C">
        <w:rPr>
          <w:lang w:val="sq-AL"/>
        </w:rPr>
        <w:t xml:space="preserve"> vendim të gjykat</w:t>
      </w:r>
      <w:r w:rsidR="006A167E">
        <w:rPr>
          <w:lang w:val="sq-AL"/>
        </w:rPr>
        <w:t>ë</w:t>
      </w:r>
      <w:r w:rsidRPr="006A167E" w:rsidR="0050303C">
        <w:rPr>
          <w:lang w:val="sq-AL"/>
        </w:rPr>
        <w:t>s s</w:t>
      </w:r>
      <w:r w:rsidR="006A167E">
        <w:rPr>
          <w:lang w:val="sq-AL"/>
        </w:rPr>
        <w:t>ë</w:t>
      </w:r>
      <w:r w:rsidRPr="006A167E" w:rsidR="0050303C">
        <w:rPr>
          <w:lang w:val="sq-AL"/>
        </w:rPr>
        <w:t xml:space="preserve"> rrethit. Neni</w:t>
      </w:r>
      <w:r w:rsidRPr="006A167E">
        <w:rPr>
          <w:lang w:val="sq-AL"/>
        </w:rPr>
        <w:t xml:space="preserve"> 7 </w:t>
      </w:r>
      <w:r w:rsidRPr="006A167E" w:rsidR="0050303C">
        <w:rPr>
          <w:lang w:val="sq-AL"/>
        </w:rPr>
        <w:t xml:space="preserve">i Rregullores së vitit </w:t>
      </w:r>
      <w:r w:rsidRPr="006A167E">
        <w:rPr>
          <w:lang w:val="sq-AL"/>
        </w:rPr>
        <w:t xml:space="preserve">1933 </w:t>
      </w:r>
      <w:r w:rsidRPr="006A167E" w:rsidR="0050303C">
        <w:rPr>
          <w:lang w:val="sq-AL"/>
        </w:rPr>
        <w:t xml:space="preserve">për </w:t>
      </w:r>
      <w:r w:rsidRPr="006A167E">
        <w:rPr>
          <w:i/>
          <w:lang w:val="sq-AL"/>
        </w:rPr>
        <w:t xml:space="preserve">industrial </w:t>
      </w:r>
      <w:r w:rsidRPr="006A167E" w:rsidR="0050303C">
        <w:rPr>
          <w:i/>
          <w:lang w:val="sq-AL"/>
        </w:rPr>
        <w:t>s</w:t>
      </w:r>
      <w:r w:rsidRPr="006A167E">
        <w:rPr>
          <w:i/>
          <w:lang w:val="sq-AL"/>
        </w:rPr>
        <w:t xml:space="preserve">chools </w:t>
      </w:r>
      <w:r w:rsidRPr="006A167E">
        <w:rPr>
          <w:lang w:val="sq-AL"/>
        </w:rPr>
        <w:t>(</w:t>
      </w:r>
      <w:r w:rsidRPr="006A167E">
        <w:rPr>
          <w:i/>
          <w:lang w:val="sq-AL"/>
        </w:rPr>
        <w:t>Rules and Regulations for Industrial Schools 1933</w:t>
      </w:r>
      <w:r w:rsidRPr="006A167E">
        <w:rPr>
          <w:lang w:val="sq-AL"/>
        </w:rPr>
        <w:t xml:space="preserve">) </w:t>
      </w:r>
      <w:r w:rsidRPr="006A167E" w:rsidR="0050303C">
        <w:rPr>
          <w:lang w:val="sq-AL"/>
        </w:rPr>
        <w:t xml:space="preserve">përcaktonte </w:t>
      </w:r>
      <w:r w:rsidRPr="006A167E" w:rsidR="006A167E">
        <w:rPr>
          <w:lang w:val="sq-AL"/>
        </w:rPr>
        <w:t>se arsimi i përgjithshëm q</w:t>
      </w:r>
      <w:r w:rsidR="006A167E">
        <w:rPr>
          <w:lang w:val="sq-AL"/>
        </w:rPr>
        <w:t>ë</w:t>
      </w:r>
      <w:r w:rsidRPr="006A167E" w:rsidR="006A167E">
        <w:rPr>
          <w:lang w:val="sq-AL"/>
        </w:rPr>
        <w:t xml:space="preserve"> u jepej nx</w:t>
      </w:r>
      <w:r w:rsidR="006A167E">
        <w:rPr>
          <w:lang w:val="sq-AL"/>
        </w:rPr>
        <w:t>ë</w:t>
      </w:r>
      <w:r w:rsidRPr="006A167E" w:rsidR="006A167E">
        <w:rPr>
          <w:lang w:val="sq-AL"/>
        </w:rPr>
        <w:t>n</w:t>
      </w:r>
      <w:r w:rsidR="006A167E">
        <w:rPr>
          <w:lang w:val="sq-AL"/>
        </w:rPr>
        <w:t>ë</w:t>
      </w:r>
      <w:r w:rsidRPr="006A167E" w:rsidR="006A167E">
        <w:rPr>
          <w:lang w:val="sq-AL"/>
        </w:rPr>
        <w:t>sve duhej t</w:t>
      </w:r>
      <w:r w:rsidR="006A167E">
        <w:rPr>
          <w:lang w:val="sq-AL"/>
        </w:rPr>
        <w:t>ë</w:t>
      </w:r>
      <w:r w:rsidRPr="006A167E" w:rsidR="006A167E">
        <w:rPr>
          <w:lang w:val="sq-AL"/>
        </w:rPr>
        <w:t xml:space="preserve"> ishte n</w:t>
      </w:r>
      <w:r w:rsidR="006A167E">
        <w:rPr>
          <w:lang w:val="sq-AL"/>
        </w:rPr>
        <w:t>ë</w:t>
      </w:r>
      <w:r w:rsidRPr="006A167E" w:rsidR="006A167E">
        <w:rPr>
          <w:lang w:val="sq-AL"/>
        </w:rPr>
        <w:t xml:space="preserve"> përputhje me programin e shkollave komb</w:t>
      </w:r>
      <w:r w:rsidR="006A167E">
        <w:rPr>
          <w:lang w:val="sq-AL"/>
        </w:rPr>
        <w:t>ë</w:t>
      </w:r>
      <w:r w:rsidRPr="006A167E" w:rsidR="006A167E">
        <w:rPr>
          <w:lang w:val="sq-AL"/>
        </w:rPr>
        <w:t>tare dhe propozonte nj</w:t>
      </w:r>
      <w:r w:rsidR="006A167E">
        <w:rPr>
          <w:lang w:val="sq-AL"/>
        </w:rPr>
        <w:t>ë</w:t>
      </w:r>
      <w:r w:rsidRPr="006A167E" w:rsidR="006A167E">
        <w:rPr>
          <w:lang w:val="sq-AL"/>
        </w:rPr>
        <w:t xml:space="preserve"> num</w:t>
      </w:r>
      <w:r w:rsidR="006A167E">
        <w:rPr>
          <w:lang w:val="sq-AL"/>
        </w:rPr>
        <w:t>ë</w:t>
      </w:r>
      <w:r w:rsidRPr="006A167E" w:rsidR="006A167E">
        <w:rPr>
          <w:lang w:val="sq-AL"/>
        </w:rPr>
        <w:t>r or</w:t>
      </w:r>
      <w:r w:rsidR="006A167E">
        <w:rPr>
          <w:lang w:val="sq-AL"/>
        </w:rPr>
        <w:t>ë</w:t>
      </w:r>
      <w:r w:rsidRPr="006A167E" w:rsidR="006A167E">
        <w:rPr>
          <w:lang w:val="sq-AL"/>
        </w:rPr>
        <w:t>sh q</w:t>
      </w:r>
      <w:r w:rsidR="006A167E">
        <w:rPr>
          <w:lang w:val="sq-AL"/>
        </w:rPr>
        <w:t>ë</w:t>
      </w:r>
      <w:r w:rsidRPr="006A167E" w:rsidR="006A167E">
        <w:rPr>
          <w:lang w:val="sq-AL"/>
        </w:rPr>
        <w:t xml:space="preserve"> duhej t</w:t>
      </w:r>
      <w:r w:rsidR="00943091">
        <w:rPr>
          <w:lang w:val="sq-AL"/>
        </w:rPr>
        <w:t>’</w:t>
      </w:r>
      <w:r w:rsidRPr="006A167E" w:rsidR="006A167E">
        <w:rPr>
          <w:lang w:val="sq-AL"/>
        </w:rPr>
        <w:t>u kushtoheshin arsimit t</w:t>
      </w:r>
      <w:r w:rsidR="006A167E">
        <w:rPr>
          <w:lang w:val="sq-AL"/>
        </w:rPr>
        <w:t>ë</w:t>
      </w:r>
      <w:r w:rsidRPr="006A167E" w:rsidR="006A167E">
        <w:rPr>
          <w:lang w:val="sq-AL"/>
        </w:rPr>
        <w:t xml:space="preserve"> përgjithshëm dhe përgatitjes profesionale.</w:t>
      </w:r>
    </w:p>
    <w:p w:rsidRPr="006A167E" w:rsidR="00EB737A" w:rsidP="00EB737A" w:rsidRDefault="00EB737A">
      <w:pPr>
        <w:pStyle w:val="ECHRHeading3"/>
        <w:rPr>
          <w:lang w:val="sq-AL"/>
        </w:rPr>
      </w:pPr>
      <w:r w:rsidRPr="006A167E">
        <w:rPr>
          <w:lang w:val="sq-AL"/>
        </w:rPr>
        <w:t>3.  </w:t>
      </w:r>
      <w:r w:rsidRPr="006A167E" w:rsidR="006A167E">
        <w:rPr>
          <w:lang w:val="sq-AL"/>
        </w:rPr>
        <w:t>Raportet</w:t>
      </w:r>
      <w:r w:rsidRPr="006A167E">
        <w:rPr>
          <w:lang w:val="sq-AL"/>
        </w:rPr>
        <w:t xml:space="preserve"> Cussen e Kennedy </w:t>
      </w:r>
      <w:r w:rsidRPr="006A167E" w:rsidR="006A167E">
        <w:rPr>
          <w:lang w:val="sq-AL"/>
        </w:rPr>
        <w:t>për</w:t>
      </w:r>
      <w:r w:rsidRPr="006A167E">
        <w:rPr>
          <w:lang w:val="sq-AL"/>
        </w:rPr>
        <w:t xml:space="preserve"> </w:t>
      </w:r>
      <w:r w:rsidRPr="006A167E">
        <w:rPr>
          <w:i w:val="0"/>
          <w:lang w:val="sq-AL"/>
        </w:rPr>
        <w:t>reformatory schools</w:t>
      </w:r>
      <w:r w:rsidRPr="006A167E">
        <w:rPr>
          <w:lang w:val="sq-AL"/>
        </w:rPr>
        <w:t xml:space="preserve"> e</w:t>
      </w:r>
      <w:r w:rsidRPr="006A167E" w:rsidR="006A167E">
        <w:rPr>
          <w:lang w:val="sq-AL"/>
        </w:rPr>
        <w:t xml:space="preserve"> për</w:t>
      </w:r>
      <w:r w:rsidRPr="006A167E">
        <w:rPr>
          <w:lang w:val="sq-AL"/>
        </w:rPr>
        <w:t xml:space="preserve"> </w:t>
      </w:r>
      <w:r w:rsidRPr="006A167E">
        <w:rPr>
          <w:i w:val="0"/>
          <w:lang w:val="sq-AL"/>
        </w:rPr>
        <w:t>industrial schools</w:t>
      </w:r>
    </w:p>
    <w:p w:rsidRPr="006A167E" w:rsidR="00EB737A" w:rsidP="00EB737A" w:rsidRDefault="00EB737A">
      <w:pPr>
        <w:pStyle w:val="ECHRPara"/>
        <w:rPr>
          <w:lang w:val="sq-AL"/>
        </w:rPr>
      </w:pPr>
      <w:r w:rsidRPr="006A167E">
        <w:rPr>
          <w:lang w:val="sq-AL"/>
        </w:rPr>
        <w:fldChar w:fldCharType="begin"/>
      </w:r>
      <w:r w:rsidRPr="006A167E">
        <w:rPr>
          <w:lang w:val="sq-AL"/>
        </w:rPr>
        <w:instrText xml:space="preserve"> SEQ level0 \*arabic </w:instrText>
      </w:r>
      <w:r w:rsidRPr="006A167E">
        <w:rPr>
          <w:lang w:val="sq-AL"/>
        </w:rPr>
        <w:fldChar w:fldCharType="separate"/>
      </w:r>
      <w:r w:rsidR="00013F9B">
        <w:rPr>
          <w:noProof/>
          <w:lang w:val="sq-AL"/>
        </w:rPr>
        <w:t>74</w:t>
      </w:r>
      <w:r w:rsidRPr="006A167E">
        <w:rPr>
          <w:lang w:val="sq-AL"/>
        </w:rPr>
        <w:fldChar w:fldCharType="end"/>
      </w:r>
      <w:r w:rsidRPr="006A167E">
        <w:rPr>
          <w:lang w:val="sq-AL"/>
        </w:rPr>
        <w:t>.  </w:t>
      </w:r>
      <w:r w:rsidR="006A167E">
        <w:rPr>
          <w:lang w:val="sq-AL"/>
        </w:rPr>
        <w:t xml:space="preserve">I hartuar me kërkesën e shtetit, Raporti </w:t>
      </w:r>
      <w:r w:rsidRPr="006A167E">
        <w:rPr>
          <w:lang w:val="sq-AL"/>
        </w:rPr>
        <w:t xml:space="preserve">Cussen </w:t>
      </w:r>
      <w:r w:rsidR="006A167E">
        <w:rPr>
          <w:lang w:val="sq-AL"/>
        </w:rPr>
        <w:t xml:space="preserve">për funksionimin e </w:t>
      </w:r>
      <w:r w:rsidRPr="006A167E">
        <w:rPr>
          <w:i/>
          <w:lang w:val="sq-AL"/>
        </w:rPr>
        <w:t xml:space="preserve">reformatory schools </w:t>
      </w:r>
      <w:r w:rsidRPr="006A167E">
        <w:rPr>
          <w:lang w:val="sq-AL"/>
        </w:rPr>
        <w:t>e</w:t>
      </w:r>
      <w:r w:rsidR="006A167E">
        <w:rPr>
          <w:lang w:val="sq-AL"/>
        </w:rPr>
        <w:t xml:space="preserve"> të</w:t>
      </w:r>
      <w:r w:rsidRPr="006A167E">
        <w:rPr>
          <w:lang w:val="sq-AL"/>
        </w:rPr>
        <w:t xml:space="preserve"> </w:t>
      </w:r>
      <w:r w:rsidRPr="006A167E">
        <w:rPr>
          <w:i/>
          <w:lang w:val="sq-AL"/>
        </w:rPr>
        <w:t>industrial schools</w:t>
      </w:r>
      <w:r w:rsidRPr="006A167E">
        <w:rPr>
          <w:lang w:val="sq-AL"/>
        </w:rPr>
        <w:t xml:space="preserve">, </w:t>
      </w:r>
      <w:r w:rsidR="006A167E">
        <w:rPr>
          <w:lang w:val="sq-AL"/>
        </w:rPr>
        <w:t>i botuar më</w:t>
      </w:r>
      <w:r w:rsidRPr="006A167E">
        <w:rPr>
          <w:lang w:val="sq-AL"/>
        </w:rPr>
        <w:t xml:space="preserve"> 1936, </w:t>
      </w:r>
      <w:r w:rsidR="006A167E">
        <w:rPr>
          <w:lang w:val="sq-AL"/>
        </w:rPr>
        <w:t>e la n</w:t>
      </w:r>
      <w:r w:rsidR="00D317A0">
        <w:rPr>
          <w:lang w:val="sq-AL"/>
        </w:rPr>
        <w:t>ë</w:t>
      </w:r>
      <w:r w:rsidR="006A167E">
        <w:rPr>
          <w:lang w:val="sq-AL"/>
        </w:rPr>
        <w:t xml:space="preserve"> fuqi sistemin ekzistues me kusht q</w:t>
      </w:r>
      <w:r w:rsidR="00D317A0">
        <w:rPr>
          <w:lang w:val="sq-AL"/>
        </w:rPr>
        <w:t>ë</w:t>
      </w:r>
      <w:r w:rsidR="006A167E">
        <w:rPr>
          <w:lang w:val="sq-AL"/>
        </w:rPr>
        <w:t xml:space="preserve"> t</w:t>
      </w:r>
      <w:r w:rsidR="00D317A0">
        <w:rPr>
          <w:lang w:val="sq-AL"/>
        </w:rPr>
        <w:t>ë</w:t>
      </w:r>
      <w:r w:rsidR="006A167E">
        <w:rPr>
          <w:lang w:val="sq-AL"/>
        </w:rPr>
        <w:t xml:space="preserve"> viheshin n</w:t>
      </w:r>
      <w:r w:rsidR="00D317A0">
        <w:rPr>
          <w:lang w:val="sq-AL"/>
        </w:rPr>
        <w:t>ë</w:t>
      </w:r>
      <w:r w:rsidR="006A167E">
        <w:rPr>
          <w:lang w:val="sq-AL"/>
        </w:rPr>
        <w:t xml:space="preserve"> jetë </w:t>
      </w:r>
      <w:r w:rsidRPr="006A167E">
        <w:rPr>
          <w:lang w:val="sq-AL"/>
        </w:rPr>
        <w:t xml:space="preserve">51 </w:t>
      </w:r>
      <w:r w:rsidR="006A167E">
        <w:rPr>
          <w:lang w:val="sq-AL"/>
        </w:rPr>
        <w:t>k</w:t>
      </w:r>
      <w:r w:rsidRPr="006A167E">
        <w:rPr>
          <w:lang w:val="sq-AL"/>
        </w:rPr>
        <w:t>on</w:t>
      </w:r>
      <w:r w:rsidR="006A167E">
        <w:rPr>
          <w:lang w:val="sq-AL"/>
        </w:rPr>
        <w:t>k</w:t>
      </w:r>
      <w:r w:rsidRPr="006A167E">
        <w:rPr>
          <w:lang w:val="sq-AL"/>
        </w:rPr>
        <w:t>lu</w:t>
      </w:r>
      <w:r w:rsidR="006A167E">
        <w:rPr>
          <w:lang w:val="sq-AL"/>
        </w:rPr>
        <w:t>z</w:t>
      </w:r>
      <w:r w:rsidRPr="006A167E">
        <w:rPr>
          <w:lang w:val="sq-AL"/>
        </w:rPr>
        <w:t>ion</w:t>
      </w:r>
      <w:r w:rsidR="006A167E">
        <w:rPr>
          <w:lang w:val="sq-AL"/>
        </w:rPr>
        <w:t>e</w:t>
      </w:r>
      <w:r w:rsidRPr="006A167E">
        <w:rPr>
          <w:lang w:val="sq-AL"/>
        </w:rPr>
        <w:t xml:space="preserve"> </w:t>
      </w:r>
      <w:r w:rsidR="006A167E">
        <w:rPr>
          <w:lang w:val="sq-AL"/>
        </w:rPr>
        <w:t>dhe rekomandime</w:t>
      </w:r>
      <w:r w:rsidRPr="006A167E">
        <w:rPr>
          <w:lang w:val="sq-AL"/>
        </w:rPr>
        <w:t xml:space="preserve">. </w:t>
      </w:r>
      <w:r w:rsidR="006A167E">
        <w:rPr>
          <w:lang w:val="sq-AL"/>
        </w:rPr>
        <w:t>Ky sistem vazhdoi praktikisht pa asnjë ndryshim deri sa u krye nj</w:t>
      </w:r>
      <w:r w:rsidR="00D317A0">
        <w:rPr>
          <w:lang w:val="sq-AL"/>
        </w:rPr>
        <w:t>ë</w:t>
      </w:r>
      <w:r w:rsidR="006A167E">
        <w:rPr>
          <w:lang w:val="sq-AL"/>
        </w:rPr>
        <w:t xml:space="preserve"> studim i ri lidhur me t</w:t>
      </w:r>
      <w:r w:rsidR="00D317A0">
        <w:rPr>
          <w:lang w:val="sq-AL"/>
        </w:rPr>
        <w:t>ë</w:t>
      </w:r>
      <w:r w:rsidR="006A167E">
        <w:rPr>
          <w:lang w:val="sq-AL"/>
        </w:rPr>
        <w:t xml:space="preserve"> njëjtat institucione nga ana e nj</w:t>
      </w:r>
      <w:r w:rsidR="00D317A0">
        <w:rPr>
          <w:lang w:val="sq-AL"/>
        </w:rPr>
        <w:t>ë</w:t>
      </w:r>
      <w:r w:rsidR="006A167E">
        <w:rPr>
          <w:lang w:val="sq-AL"/>
        </w:rPr>
        <w:t xml:space="preserve"> komisioni t</w:t>
      </w:r>
      <w:r w:rsidR="00D317A0">
        <w:rPr>
          <w:lang w:val="sq-AL"/>
        </w:rPr>
        <w:t>ë</w:t>
      </w:r>
      <w:r w:rsidR="006A167E">
        <w:rPr>
          <w:lang w:val="sq-AL"/>
        </w:rPr>
        <w:t xml:space="preserve"> ngritur nga shteti e t</w:t>
      </w:r>
      <w:r w:rsidR="00D317A0">
        <w:rPr>
          <w:lang w:val="sq-AL"/>
        </w:rPr>
        <w:t>ë</w:t>
      </w:r>
      <w:r w:rsidR="006A167E">
        <w:rPr>
          <w:lang w:val="sq-AL"/>
        </w:rPr>
        <w:t xml:space="preserve"> kryesuar nga gjyqtari </w:t>
      </w:r>
      <w:r w:rsidRPr="006A167E">
        <w:rPr>
          <w:lang w:val="sq-AL"/>
        </w:rPr>
        <w:t xml:space="preserve">Eileen Kennedy. </w:t>
      </w:r>
      <w:r w:rsidR="006A167E">
        <w:rPr>
          <w:lang w:val="sq-AL"/>
        </w:rPr>
        <w:t xml:space="preserve">Raporti </w:t>
      </w:r>
      <w:r w:rsidRPr="006A167E">
        <w:rPr>
          <w:lang w:val="sq-AL"/>
        </w:rPr>
        <w:t xml:space="preserve">Kennedy </w:t>
      </w:r>
      <w:r w:rsidR="006A167E">
        <w:rPr>
          <w:lang w:val="sq-AL"/>
        </w:rPr>
        <w:t>u botua më</w:t>
      </w:r>
      <w:r w:rsidRPr="006A167E">
        <w:rPr>
          <w:lang w:val="sq-AL"/>
        </w:rPr>
        <w:t xml:space="preserve"> 1970, </w:t>
      </w:r>
      <w:r w:rsidR="00D317A0">
        <w:rPr>
          <w:lang w:val="sq-AL"/>
        </w:rPr>
        <w:t xml:space="preserve">ndërkohë që sistemi i </w:t>
      </w:r>
      <w:r w:rsidRPr="006A167E">
        <w:rPr>
          <w:i/>
          <w:lang w:val="sq-AL"/>
        </w:rPr>
        <w:t xml:space="preserve">reformatory schools </w:t>
      </w:r>
      <w:r w:rsidR="00D317A0">
        <w:rPr>
          <w:lang w:val="sq-AL"/>
        </w:rPr>
        <w:t xml:space="preserve">dhe i </w:t>
      </w:r>
      <w:r w:rsidRPr="006A167E">
        <w:rPr>
          <w:i/>
          <w:lang w:val="sq-AL"/>
        </w:rPr>
        <w:t>industrial schools</w:t>
      </w:r>
      <w:r w:rsidRPr="006A167E">
        <w:rPr>
          <w:lang w:val="sq-AL"/>
        </w:rPr>
        <w:t xml:space="preserve"> </w:t>
      </w:r>
      <w:r w:rsidR="00D317A0">
        <w:rPr>
          <w:lang w:val="sq-AL"/>
        </w:rPr>
        <w:t>kishte marrë tashmë të tatëpjetën. Ai rekomandonte mbylljen e disa institucioneve dhe bënte disa propozime të tjera për ndryshim. Ai vinte veçanërisht në dukje se sistemi i inspektimit ishte krejtësisht jo efikas dhe kërkonte krijimin e një organi zyrtar të pavarur e të aftë për të garantuar normat më të larta në fushën e mbrojtjes së fëmijëve dhe për të ushtruar sidomos një funksion mbikëqyrjeje, si edhe ngritjen e disa mekanizmave të tjera sinjalizues.</w:t>
      </w:r>
    </w:p>
    <w:p w:rsidRPr="00D317A0" w:rsidR="00EB737A" w:rsidP="00EB737A" w:rsidRDefault="00EB737A">
      <w:pPr>
        <w:pStyle w:val="ECHRHeading3"/>
        <w:rPr>
          <w:lang w:val="sq-AL"/>
        </w:rPr>
      </w:pPr>
      <w:r w:rsidRPr="00D317A0">
        <w:rPr>
          <w:lang w:val="sq-AL"/>
        </w:rPr>
        <w:t>4.  </w:t>
      </w:r>
      <w:r w:rsidRPr="00D317A0" w:rsidR="00D317A0">
        <w:rPr>
          <w:lang w:val="sq-AL"/>
        </w:rPr>
        <w:t>Raporti</w:t>
      </w:r>
      <w:r w:rsidRPr="00D317A0">
        <w:rPr>
          <w:lang w:val="sq-AL"/>
        </w:rPr>
        <w:t xml:space="preserve"> Ryan </w:t>
      </w:r>
      <w:r w:rsidRPr="00D317A0" w:rsidR="00D317A0">
        <w:rPr>
          <w:lang w:val="sq-AL"/>
        </w:rPr>
        <w:t>për</w:t>
      </w:r>
      <w:r w:rsidRPr="00D317A0">
        <w:rPr>
          <w:lang w:val="sq-AL"/>
        </w:rPr>
        <w:t xml:space="preserve"> </w:t>
      </w:r>
      <w:r w:rsidRPr="00D317A0">
        <w:rPr>
          <w:i w:val="0"/>
          <w:lang w:val="sq-AL"/>
        </w:rPr>
        <w:t>reformatory schools</w:t>
      </w:r>
      <w:r w:rsidRPr="00D317A0">
        <w:rPr>
          <w:lang w:val="sq-AL"/>
        </w:rPr>
        <w:t xml:space="preserve"> e</w:t>
      </w:r>
      <w:r w:rsidRPr="00D317A0" w:rsidR="00D317A0">
        <w:rPr>
          <w:lang w:val="sq-AL"/>
        </w:rPr>
        <w:t xml:space="preserve"> për </w:t>
      </w:r>
      <w:r w:rsidRPr="00D317A0">
        <w:rPr>
          <w:i w:val="0"/>
          <w:lang w:val="sq-AL"/>
        </w:rPr>
        <w:t>industrial schools</w:t>
      </w:r>
    </w:p>
    <w:p w:rsidRPr="00D317A0" w:rsidR="00EB737A" w:rsidP="00EB737A" w:rsidRDefault="00EB737A">
      <w:pPr>
        <w:pStyle w:val="ECHRPara"/>
        <w:rPr>
          <w:lang w:val="sq-AL"/>
        </w:rPr>
      </w:pPr>
      <w:r w:rsidRPr="00D317A0">
        <w:rPr>
          <w:lang w:val="sq-AL"/>
        </w:rPr>
        <w:fldChar w:fldCharType="begin"/>
      </w:r>
      <w:r w:rsidRPr="00D317A0">
        <w:rPr>
          <w:lang w:val="sq-AL"/>
        </w:rPr>
        <w:instrText xml:space="preserve"> SEQ level0 \*arabic </w:instrText>
      </w:r>
      <w:r w:rsidRPr="00D317A0">
        <w:rPr>
          <w:lang w:val="sq-AL"/>
        </w:rPr>
        <w:fldChar w:fldCharType="separate"/>
      </w:r>
      <w:r w:rsidR="00013F9B">
        <w:rPr>
          <w:noProof/>
          <w:lang w:val="sq-AL"/>
        </w:rPr>
        <w:t>75</w:t>
      </w:r>
      <w:r w:rsidRPr="00D317A0">
        <w:rPr>
          <w:lang w:val="sq-AL"/>
        </w:rPr>
        <w:fldChar w:fldCharType="end"/>
      </w:r>
      <w:r w:rsidRPr="00D317A0">
        <w:rPr>
          <w:lang w:val="sq-AL"/>
        </w:rPr>
        <w:t>.  </w:t>
      </w:r>
      <w:r w:rsidRPr="00D317A0" w:rsidR="00D317A0">
        <w:rPr>
          <w:lang w:val="sq-AL"/>
        </w:rPr>
        <w:t>Si pasoj</w:t>
      </w:r>
      <w:r w:rsidR="00D317A0">
        <w:rPr>
          <w:lang w:val="sq-AL"/>
        </w:rPr>
        <w:t>ë</w:t>
      </w:r>
      <w:r w:rsidRPr="00D317A0" w:rsidR="00D317A0">
        <w:rPr>
          <w:lang w:val="sq-AL"/>
        </w:rPr>
        <w:t xml:space="preserve"> e disa zbulimeve e debateve publike n</w:t>
      </w:r>
      <w:r w:rsidR="00D317A0">
        <w:rPr>
          <w:lang w:val="sq-AL"/>
        </w:rPr>
        <w:t>ë</w:t>
      </w:r>
      <w:r w:rsidRPr="00D317A0" w:rsidR="00D317A0">
        <w:rPr>
          <w:lang w:val="sq-AL"/>
        </w:rPr>
        <w:t xml:space="preserve"> fundin e viteve </w:t>
      </w:r>
      <w:r w:rsidRPr="00D317A0">
        <w:rPr>
          <w:lang w:val="sq-AL"/>
        </w:rPr>
        <w:t xml:space="preserve">1980 </w:t>
      </w:r>
      <w:r w:rsidRPr="00D317A0" w:rsidR="00D317A0">
        <w:rPr>
          <w:lang w:val="sq-AL"/>
        </w:rPr>
        <w:t>dhe n</w:t>
      </w:r>
      <w:r w:rsidR="00D317A0">
        <w:rPr>
          <w:lang w:val="sq-AL"/>
        </w:rPr>
        <w:t>ë</w:t>
      </w:r>
      <w:r w:rsidRPr="00D317A0" w:rsidR="00D317A0">
        <w:rPr>
          <w:lang w:val="sq-AL"/>
        </w:rPr>
        <w:t xml:space="preserve"> fillim e viteve </w:t>
      </w:r>
      <w:r w:rsidRPr="00D317A0">
        <w:rPr>
          <w:lang w:val="sq-AL"/>
        </w:rPr>
        <w:t xml:space="preserve">1990 </w:t>
      </w:r>
      <w:r w:rsidRPr="00D317A0" w:rsidR="00D317A0">
        <w:rPr>
          <w:lang w:val="sq-AL"/>
        </w:rPr>
        <w:t>lidhur</w:t>
      </w:r>
      <w:r w:rsidRPr="00D317A0">
        <w:rPr>
          <w:lang w:val="sq-AL"/>
        </w:rPr>
        <w:t xml:space="preserve">, </w:t>
      </w:r>
      <w:r w:rsidRPr="00D317A0" w:rsidR="00D317A0">
        <w:rPr>
          <w:lang w:val="sq-AL"/>
        </w:rPr>
        <w:t>veçan</w:t>
      </w:r>
      <w:r w:rsidR="00D317A0">
        <w:rPr>
          <w:lang w:val="sq-AL"/>
        </w:rPr>
        <w:t>ë</w:t>
      </w:r>
      <w:r w:rsidRPr="00D317A0" w:rsidR="00D317A0">
        <w:rPr>
          <w:lang w:val="sq-AL"/>
        </w:rPr>
        <w:t>risht</w:t>
      </w:r>
      <w:r w:rsidRPr="00D317A0">
        <w:rPr>
          <w:lang w:val="sq-AL"/>
        </w:rPr>
        <w:t xml:space="preserve">, </w:t>
      </w:r>
      <w:r w:rsidRPr="00D317A0" w:rsidR="00D317A0">
        <w:rPr>
          <w:lang w:val="sq-AL"/>
        </w:rPr>
        <w:t>me abuzime t</w:t>
      </w:r>
      <w:r w:rsidR="00D317A0">
        <w:rPr>
          <w:lang w:val="sq-AL"/>
        </w:rPr>
        <w:t>ë</w:t>
      </w:r>
      <w:r w:rsidRPr="00D317A0" w:rsidR="00D317A0">
        <w:rPr>
          <w:lang w:val="sq-AL"/>
        </w:rPr>
        <w:t xml:space="preserve"> kryera nga pjes</w:t>
      </w:r>
      <w:r w:rsidR="00D317A0">
        <w:rPr>
          <w:lang w:val="sq-AL"/>
        </w:rPr>
        <w:t>ë</w:t>
      </w:r>
      <w:r w:rsidRPr="00D317A0" w:rsidR="00D317A0">
        <w:rPr>
          <w:lang w:val="sq-AL"/>
        </w:rPr>
        <w:t>tar</w:t>
      </w:r>
      <w:r w:rsidR="00D317A0">
        <w:rPr>
          <w:lang w:val="sq-AL"/>
        </w:rPr>
        <w:t>ë</w:t>
      </w:r>
      <w:r w:rsidRPr="00D317A0" w:rsidR="00D317A0">
        <w:rPr>
          <w:lang w:val="sq-AL"/>
        </w:rPr>
        <w:t xml:space="preserve"> t</w:t>
      </w:r>
      <w:r w:rsidR="00D317A0">
        <w:rPr>
          <w:lang w:val="sq-AL"/>
        </w:rPr>
        <w:t>ë</w:t>
      </w:r>
      <w:r w:rsidRPr="00D317A0" w:rsidR="00D317A0">
        <w:rPr>
          <w:lang w:val="sq-AL"/>
        </w:rPr>
        <w:t xml:space="preserve"> klerit ndaj f</w:t>
      </w:r>
      <w:r w:rsidR="00D317A0">
        <w:rPr>
          <w:lang w:val="sq-AL"/>
        </w:rPr>
        <w:t>ë</w:t>
      </w:r>
      <w:r w:rsidRPr="00D317A0" w:rsidR="00D317A0">
        <w:rPr>
          <w:lang w:val="sq-AL"/>
        </w:rPr>
        <w:t>mij</w:t>
      </w:r>
      <w:r w:rsidR="00D317A0">
        <w:rPr>
          <w:lang w:val="sq-AL"/>
        </w:rPr>
        <w:t>ë</w:t>
      </w:r>
      <w:r w:rsidRPr="00D317A0" w:rsidR="00D317A0">
        <w:rPr>
          <w:lang w:val="sq-AL"/>
        </w:rPr>
        <w:t>ve n</w:t>
      </w:r>
      <w:r w:rsidR="00D317A0">
        <w:rPr>
          <w:lang w:val="sq-AL"/>
        </w:rPr>
        <w:t>ë</w:t>
      </w:r>
      <w:r w:rsidRPr="00D317A0" w:rsidR="00D317A0">
        <w:rPr>
          <w:lang w:val="sq-AL"/>
        </w:rPr>
        <w:t xml:space="preserve"> Irlandë, kryeministri botoi m</w:t>
      </w:r>
      <w:r w:rsidR="00D317A0">
        <w:rPr>
          <w:lang w:val="sq-AL"/>
        </w:rPr>
        <w:t>ë</w:t>
      </w:r>
      <w:r w:rsidRPr="00D317A0" w:rsidR="00D317A0">
        <w:rPr>
          <w:lang w:val="sq-AL"/>
        </w:rPr>
        <w:t xml:space="preserve"> </w:t>
      </w:r>
      <w:r w:rsidRPr="00D317A0">
        <w:rPr>
          <w:lang w:val="sq-AL"/>
        </w:rPr>
        <w:t>11 ma</w:t>
      </w:r>
      <w:r w:rsidRPr="00D317A0" w:rsidR="00D317A0">
        <w:rPr>
          <w:lang w:val="sq-AL"/>
        </w:rPr>
        <w:t>j</w:t>
      </w:r>
      <w:r w:rsidRPr="00D317A0">
        <w:rPr>
          <w:lang w:val="sq-AL"/>
        </w:rPr>
        <w:t xml:space="preserve"> 1999 </w:t>
      </w:r>
      <w:r w:rsidRPr="00D317A0" w:rsidR="00D317A0">
        <w:rPr>
          <w:lang w:val="sq-AL"/>
        </w:rPr>
        <w:t>deklaratën e mëposhtme me shkrim</w:t>
      </w:r>
      <w:r w:rsidRPr="00D317A0">
        <w:rPr>
          <w:lang w:val="sq-AL"/>
        </w:rPr>
        <w:t>:</w:t>
      </w:r>
    </w:p>
    <w:p w:rsidRPr="00B35AED" w:rsidR="00EB737A" w:rsidP="00EB737A" w:rsidRDefault="00D317A0">
      <w:pPr>
        <w:pStyle w:val="ECHRParaQuote"/>
        <w:rPr>
          <w:lang w:val="sq-AL"/>
        </w:rPr>
      </w:pPr>
      <w:r w:rsidRPr="00B35AED">
        <w:rPr>
          <w:lang w:val="sq-AL"/>
        </w:rPr>
        <w:t>“Në em</w:t>
      </w:r>
      <w:r w:rsidR="00B35AED">
        <w:rPr>
          <w:lang w:val="sq-AL"/>
        </w:rPr>
        <w:t>ë</w:t>
      </w:r>
      <w:r w:rsidRPr="00B35AED">
        <w:rPr>
          <w:lang w:val="sq-AL"/>
        </w:rPr>
        <w:t>r t</w:t>
      </w:r>
      <w:r w:rsidR="00B35AED">
        <w:rPr>
          <w:lang w:val="sq-AL"/>
        </w:rPr>
        <w:t>ë</w:t>
      </w:r>
      <w:r w:rsidRPr="00B35AED">
        <w:rPr>
          <w:lang w:val="sq-AL"/>
        </w:rPr>
        <w:t xml:space="preserve"> shtetit dhe të të gjithë qytetar</w:t>
      </w:r>
      <w:r w:rsidR="00B35AED">
        <w:rPr>
          <w:lang w:val="sq-AL"/>
        </w:rPr>
        <w:t>ë</w:t>
      </w:r>
      <w:r w:rsidRPr="00B35AED">
        <w:rPr>
          <w:lang w:val="sq-AL"/>
        </w:rPr>
        <w:t>ve</w:t>
      </w:r>
      <w:r w:rsidRPr="00B35AED" w:rsidR="00B35AED">
        <w:rPr>
          <w:lang w:val="sq-AL"/>
        </w:rPr>
        <w:t>, qeveria d</w:t>
      </w:r>
      <w:r w:rsidR="00B35AED">
        <w:rPr>
          <w:lang w:val="sq-AL"/>
        </w:rPr>
        <w:t>ë</w:t>
      </w:r>
      <w:r w:rsidRPr="00B35AED" w:rsidR="00B35AED">
        <w:rPr>
          <w:lang w:val="sq-AL"/>
        </w:rPr>
        <w:t>shiron t</w:t>
      </w:r>
      <w:r w:rsidR="00943091">
        <w:rPr>
          <w:lang w:val="sq-AL"/>
        </w:rPr>
        <w:t>’</w:t>
      </w:r>
      <w:r w:rsidRPr="00B35AED" w:rsidR="00B35AED">
        <w:rPr>
          <w:lang w:val="sq-AL"/>
        </w:rPr>
        <w:t>u k</w:t>
      </w:r>
      <w:r w:rsidR="00B35AED">
        <w:rPr>
          <w:lang w:val="sq-AL"/>
        </w:rPr>
        <w:t>ë</w:t>
      </w:r>
      <w:r w:rsidRPr="00B35AED" w:rsidR="00B35AED">
        <w:rPr>
          <w:lang w:val="sq-AL"/>
        </w:rPr>
        <w:t>rkoj</w:t>
      </w:r>
      <w:r w:rsidR="00B35AED">
        <w:rPr>
          <w:lang w:val="sq-AL"/>
        </w:rPr>
        <w:t>ë</w:t>
      </w:r>
      <w:r w:rsidRPr="00B35AED" w:rsidR="00B35AED">
        <w:rPr>
          <w:lang w:val="sq-AL"/>
        </w:rPr>
        <w:t xml:space="preserve"> ndjesë sinqerisht, ndonëse me tepër vonesë, viktimave t</w:t>
      </w:r>
      <w:r w:rsidR="00B35AED">
        <w:rPr>
          <w:lang w:val="sq-AL"/>
        </w:rPr>
        <w:t>ë</w:t>
      </w:r>
      <w:r w:rsidRPr="00B35AED" w:rsidR="00B35AED">
        <w:rPr>
          <w:lang w:val="sq-AL"/>
        </w:rPr>
        <w:t xml:space="preserve"> keqtrajtimeve ndaj f</w:t>
      </w:r>
      <w:r w:rsidR="00B35AED">
        <w:rPr>
          <w:lang w:val="sq-AL"/>
        </w:rPr>
        <w:t>ë</w:t>
      </w:r>
      <w:r w:rsidRPr="00B35AED" w:rsidR="00B35AED">
        <w:rPr>
          <w:lang w:val="sq-AL"/>
        </w:rPr>
        <w:t>mij</w:t>
      </w:r>
      <w:r w:rsidR="00B35AED">
        <w:rPr>
          <w:lang w:val="sq-AL"/>
        </w:rPr>
        <w:t>ë</w:t>
      </w:r>
      <w:r w:rsidRPr="00B35AED" w:rsidR="00B35AED">
        <w:rPr>
          <w:lang w:val="sq-AL"/>
        </w:rPr>
        <w:t>ve p</w:t>
      </w:r>
      <w:r w:rsidR="00B35AED">
        <w:rPr>
          <w:lang w:val="sq-AL"/>
        </w:rPr>
        <w:t>ë</w:t>
      </w:r>
      <w:r w:rsidRPr="00B35AED" w:rsidR="00B35AED">
        <w:rPr>
          <w:lang w:val="sq-AL"/>
        </w:rPr>
        <w:t>r paaft</w:t>
      </w:r>
      <w:r w:rsidR="00B35AED">
        <w:rPr>
          <w:lang w:val="sq-AL"/>
        </w:rPr>
        <w:t>ë</w:t>
      </w:r>
      <w:r w:rsidRPr="00B35AED" w:rsidR="00B35AED">
        <w:rPr>
          <w:lang w:val="sq-AL"/>
        </w:rPr>
        <w:t>sin</w:t>
      </w:r>
      <w:r w:rsidR="00B35AED">
        <w:rPr>
          <w:lang w:val="sq-AL"/>
        </w:rPr>
        <w:t>ë</w:t>
      </w:r>
      <w:r w:rsidRPr="00B35AED" w:rsidR="00B35AED">
        <w:rPr>
          <w:lang w:val="sq-AL"/>
        </w:rPr>
        <w:t xml:space="preserve"> ton</w:t>
      </w:r>
      <w:r w:rsidR="00B35AED">
        <w:rPr>
          <w:lang w:val="sq-AL"/>
        </w:rPr>
        <w:t>ë</w:t>
      </w:r>
      <w:r w:rsidRPr="00B35AED" w:rsidR="00B35AED">
        <w:rPr>
          <w:lang w:val="sq-AL"/>
        </w:rPr>
        <w:t xml:space="preserve"> kolektive për t</w:t>
      </w:r>
      <w:r w:rsidR="00B35AED">
        <w:rPr>
          <w:lang w:val="sq-AL"/>
        </w:rPr>
        <w:t>ë</w:t>
      </w:r>
      <w:r w:rsidRPr="00B35AED" w:rsidR="00B35AED">
        <w:rPr>
          <w:lang w:val="sq-AL"/>
        </w:rPr>
        <w:t xml:space="preserve"> ndërhyrë, p</w:t>
      </w:r>
      <w:r w:rsidR="00B35AED">
        <w:rPr>
          <w:lang w:val="sq-AL"/>
        </w:rPr>
        <w:t>ë</w:t>
      </w:r>
      <w:r w:rsidRPr="00B35AED" w:rsidR="00B35AED">
        <w:rPr>
          <w:lang w:val="sq-AL"/>
        </w:rPr>
        <w:t>r t</w:t>
      </w:r>
      <w:r w:rsidR="00B35AED">
        <w:rPr>
          <w:lang w:val="sq-AL"/>
        </w:rPr>
        <w:t>ë</w:t>
      </w:r>
      <w:r w:rsidRPr="00B35AED" w:rsidR="00B35AED">
        <w:rPr>
          <w:lang w:val="sq-AL"/>
        </w:rPr>
        <w:t xml:space="preserve"> zbuluar vuajtjet e tyre dhe p</w:t>
      </w:r>
      <w:r w:rsidR="00B35AED">
        <w:rPr>
          <w:lang w:val="sq-AL"/>
        </w:rPr>
        <w:t>ë</w:t>
      </w:r>
      <w:r w:rsidRPr="00B35AED" w:rsidR="00B35AED">
        <w:rPr>
          <w:lang w:val="sq-AL"/>
        </w:rPr>
        <w:t>r t</w:t>
      </w:r>
      <w:r w:rsidR="00943091">
        <w:rPr>
          <w:lang w:val="sq-AL"/>
        </w:rPr>
        <w:t>’</w:t>
      </w:r>
      <w:r w:rsidRPr="00B35AED" w:rsidR="00B35AED">
        <w:rPr>
          <w:lang w:val="sq-AL"/>
        </w:rPr>
        <w:t>u ardhur n</w:t>
      </w:r>
      <w:r w:rsidR="00B35AED">
        <w:rPr>
          <w:lang w:val="sq-AL"/>
        </w:rPr>
        <w:t>ë</w:t>
      </w:r>
      <w:r w:rsidRPr="00B35AED" w:rsidR="00B35AED">
        <w:rPr>
          <w:lang w:val="sq-AL"/>
        </w:rPr>
        <w:t xml:space="preserve"> ndihmë.”</w:t>
      </w:r>
    </w:p>
    <w:p w:rsidRPr="003B4E0A" w:rsidR="00EB737A" w:rsidP="00EB737A" w:rsidRDefault="00EB737A">
      <w:pPr>
        <w:pStyle w:val="ECHRPara"/>
        <w:rPr>
          <w:lang w:val="sq-AL"/>
        </w:rPr>
      </w:pPr>
      <w:r w:rsidRPr="003B4E0A">
        <w:rPr>
          <w:lang w:val="sq-AL"/>
        </w:rPr>
        <w:fldChar w:fldCharType="begin"/>
      </w:r>
      <w:r w:rsidRPr="003B4E0A">
        <w:rPr>
          <w:lang w:val="sq-AL"/>
        </w:rPr>
        <w:instrText xml:space="preserve"> SEQ level0 \*arabic </w:instrText>
      </w:r>
      <w:r w:rsidRPr="003B4E0A">
        <w:rPr>
          <w:lang w:val="sq-AL"/>
        </w:rPr>
        <w:fldChar w:fldCharType="separate"/>
      </w:r>
      <w:r w:rsidR="00013F9B">
        <w:rPr>
          <w:noProof/>
          <w:lang w:val="sq-AL"/>
        </w:rPr>
        <w:t>76</w:t>
      </w:r>
      <w:r w:rsidRPr="003B4E0A">
        <w:rPr>
          <w:lang w:val="sq-AL"/>
        </w:rPr>
        <w:fldChar w:fldCharType="end"/>
      </w:r>
      <w:r w:rsidRPr="003B4E0A">
        <w:rPr>
          <w:lang w:val="sq-AL"/>
        </w:rPr>
        <w:t>.  </w:t>
      </w:r>
      <w:r w:rsidRPr="003B4E0A" w:rsidR="00B35AED">
        <w:rPr>
          <w:lang w:val="sq-AL"/>
        </w:rPr>
        <w:t xml:space="preserve">Ligji për krijimin e Komisionit Hetimor për Keqtrajtimet ndaj Fëmijëve </w:t>
      </w:r>
      <w:r w:rsidRPr="003B4E0A">
        <w:rPr>
          <w:lang w:val="sq-AL"/>
        </w:rPr>
        <w:t>(</w:t>
      </w:r>
      <w:r w:rsidRPr="003B4E0A">
        <w:rPr>
          <w:i/>
          <w:lang w:val="sq-AL"/>
        </w:rPr>
        <w:t>Commission to Inquire into Child Abuse Act 2000</w:t>
      </w:r>
      <w:r w:rsidRPr="003B4E0A">
        <w:rPr>
          <w:lang w:val="sq-AL"/>
        </w:rPr>
        <w:t xml:space="preserve">) </w:t>
      </w:r>
      <w:r w:rsidRPr="003B4E0A" w:rsidR="00B35AED">
        <w:rPr>
          <w:lang w:val="sq-AL"/>
        </w:rPr>
        <w:t xml:space="preserve">u miratua më </w:t>
      </w:r>
      <w:r w:rsidRPr="003B4E0A">
        <w:rPr>
          <w:lang w:val="sq-AL"/>
        </w:rPr>
        <w:t xml:space="preserve">2000, </w:t>
      </w:r>
      <w:r w:rsidRPr="003B4E0A" w:rsidR="00B35AED">
        <w:rPr>
          <w:lang w:val="sq-AL"/>
        </w:rPr>
        <w:t xml:space="preserve">pastaj pësoi ndryshime më </w:t>
      </w:r>
      <w:r w:rsidRPr="003B4E0A">
        <w:rPr>
          <w:lang w:val="sq-AL"/>
        </w:rPr>
        <w:t xml:space="preserve">2005. </w:t>
      </w:r>
      <w:r w:rsidRPr="003B4E0A" w:rsidR="00B35AED">
        <w:rPr>
          <w:lang w:val="sq-AL"/>
        </w:rPr>
        <w:t xml:space="preserve">Një komision (i quajtur më vonë me emrin “Komisioni Ryan”) kreu hetime dhe bëri një raport rreth çështjes së abuzimeve (sidomos me karakter seksual) të kryera ndaj fëmijëve kryesisht në </w:t>
      </w:r>
      <w:r w:rsidRPr="003B4E0A" w:rsidR="00B35AED">
        <w:rPr>
          <w:i/>
          <w:lang w:val="sq-AL"/>
        </w:rPr>
        <w:t>re</w:t>
      </w:r>
      <w:r w:rsidRPr="003B4E0A">
        <w:rPr>
          <w:i/>
          <w:lang w:val="sq-AL"/>
        </w:rPr>
        <w:t>formatory schools</w:t>
      </w:r>
      <w:r w:rsidRPr="003B4E0A">
        <w:rPr>
          <w:lang w:val="sq-AL"/>
        </w:rPr>
        <w:t xml:space="preserve"> </w:t>
      </w:r>
      <w:r w:rsidRPr="003B4E0A" w:rsidR="00B35AED">
        <w:rPr>
          <w:lang w:val="sq-AL"/>
        </w:rPr>
        <w:t>e në</w:t>
      </w:r>
      <w:r w:rsidRPr="003B4E0A">
        <w:rPr>
          <w:lang w:val="sq-AL"/>
        </w:rPr>
        <w:t xml:space="preserve"> </w:t>
      </w:r>
      <w:r w:rsidRPr="003B4E0A">
        <w:rPr>
          <w:i/>
          <w:lang w:val="sq-AL"/>
        </w:rPr>
        <w:t>industrial schools</w:t>
      </w:r>
      <w:r w:rsidRPr="003B4E0A">
        <w:rPr>
          <w:lang w:val="sq-AL"/>
        </w:rPr>
        <w:t xml:space="preserve">. </w:t>
      </w:r>
      <w:r w:rsidRPr="003B4E0A" w:rsidR="00B35AED">
        <w:rPr>
          <w:lang w:val="sq-AL"/>
        </w:rPr>
        <w:t>Meqenëse numri i</w:t>
      </w:r>
      <w:r w:rsidRPr="003B4E0A">
        <w:rPr>
          <w:lang w:val="sq-AL"/>
        </w:rPr>
        <w:t xml:space="preserve"> </w:t>
      </w:r>
      <w:r w:rsidRPr="003B4E0A">
        <w:rPr>
          <w:i/>
          <w:lang w:val="sq-AL"/>
        </w:rPr>
        <w:t>reformatory schools</w:t>
      </w:r>
      <w:r w:rsidRPr="003B4E0A">
        <w:rPr>
          <w:lang w:val="sq-AL"/>
        </w:rPr>
        <w:t xml:space="preserve"> </w:t>
      </w:r>
      <w:r w:rsidRPr="003B4E0A" w:rsidR="00B35AED">
        <w:rPr>
          <w:lang w:val="sq-AL"/>
        </w:rPr>
        <w:t xml:space="preserve">ishte relativisht i kufizuar, punimet e komisionit u përqendruan kryesisht tek </w:t>
      </w:r>
      <w:r w:rsidRPr="003B4E0A">
        <w:rPr>
          <w:i/>
          <w:lang w:val="sq-AL"/>
        </w:rPr>
        <w:t>industrial schools</w:t>
      </w:r>
      <w:r w:rsidRPr="003B4E0A">
        <w:rPr>
          <w:lang w:val="sq-AL"/>
        </w:rPr>
        <w:t>.</w:t>
      </w:r>
    </w:p>
    <w:p w:rsidRPr="00C40FD3" w:rsidR="00EB737A" w:rsidP="00EB737A" w:rsidRDefault="00EB737A">
      <w:pPr>
        <w:pStyle w:val="ECHRPara"/>
        <w:rPr>
          <w:lang w:val="sq-AL"/>
        </w:rPr>
      </w:pPr>
      <w:r w:rsidRPr="00C40FD3">
        <w:rPr>
          <w:lang w:val="sq-AL"/>
        </w:rPr>
        <w:fldChar w:fldCharType="begin"/>
      </w:r>
      <w:r w:rsidRPr="00C40FD3">
        <w:rPr>
          <w:lang w:val="sq-AL"/>
        </w:rPr>
        <w:instrText xml:space="preserve"> SEQ level0 \*arabic </w:instrText>
      </w:r>
      <w:r w:rsidRPr="00C40FD3">
        <w:rPr>
          <w:lang w:val="sq-AL"/>
        </w:rPr>
        <w:fldChar w:fldCharType="separate"/>
      </w:r>
      <w:r w:rsidR="00013F9B">
        <w:rPr>
          <w:noProof/>
          <w:lang w:val="sq-AL"/>
        </w:rPr>
        <w:t>77</w:t>
      </w:r>
      <w:r w:rsidRPr="00C40FD3">
        <w:rPr>
          <w:lang w:val="sq-AL"/>
        </w:rPr>
        <w:fldChar w:fldCharType="end"/>
      </w:r>
      <w:r w:rsidRPr="00C40FD3">
        <w:rPr>
          <w:lang w:val="sq-AL"/>
        </w:rPr>
        <w:t>.  </w:t>
      </w:r>
      <w:r w:rsidRPr="00C40FD3" w:rsidR="003B4E0A">
        <w:rPr>
          <w:lang w:val="sq-AL"/>
        </w:rPr>
        <w:t xml:space="preserve">Mandati i Komisionit mbulonte në thelb periudhën nga vitet </w:t>
      </w:r>
      <w:r w:rsidRPr="00C40FD3">
        <w:rPr>
          <w:lang w:val="sq-AL"/>
        </w:rPr>
        <w:t xml:space="preserve">1930 </w:t>
      </w:r>
      <w:r w:rsidRPr="00C40FD3" w:rsidR="003B4E0A">
        <w:rPr>
          <w:lang w:val="sq-AL"/>
        </w:rPr>
        <w:t>deri në vitet</w:t>
      </w:r>
      <w:r w:rsidRPr="00C40FD3">
        <w:rPr>
          <w:lang w:val="sq-AL"/>
        </w:rPr>
        <w:t xml:space="preserve"> 1970, </w:t>
      </w:r>
      <w:r w:rsidRPr="00C40FD3" w:rsidR="003B4E0A">
        <w:rPr>
          <w:lang w:val="sq-AL"/>
        </w:rPr>
        <w:t>ose intervalin ndërmjet raporteve Cussen e</w:t>
      </w:r>
      <w:r w:rsidRPr="00C40FD3">
        <w:rPr>
          <w:lang w:val="sq-AL"/>
        </w:rPr>
        <w:t xml:space="preserve"> Kennedy. </w:t>
      </w:r>
      <w:r w:rsidRPr="00C40FD3" w:rsidR="003B4E0A">
        <w:rPr>
          <w:lang w:val="sq-AL"/>
        </w:rPr>
        <w:t xml:space="preserve">Për nëntë vjet, Komisioni mblodhi elemente që përfshinin një dokumentacion i vëllimshëm, ekspertiza dhe deponimet e rreth </w:t>
      </w:r>
      <w:r w:rsidRPr="00C40FD3">
        <w:rPr>
          <w:lang w:val="sq-AL"/>
        </w:rPr>
        <w:t xml:space="preserve">1 500 </w:t>
      </w:r>
      <w:r w:rsidRPr="00C40FD3" w:rsidR="003B4E0A">
        <w:rPr>
          <w:lang w:val="sq-AL"/>
        </w:rPr>
        <w:t>ankuesve</w:t>
      </w:r>
      <w:r w:rsidRPr="00C40FD3">
        <w:rPr>
          <w:lang w:val="sq-AL"/>
        </w:rPr>
        <w:t xml:space="preserve">. </w:t>
      </w:r>
      <w:r w:rsidRPr="00C40FD3" w:rsidR="003B4E0A">
        <w:rPr>
          <w:lang w:val="sq-AL"/>
        </w:rPr>
        <w:t>Dëgjimi i dëshmitar</w:t>
      </w:r>
      <w:r w:rsidRPr="00C40FD3" w:rsidR="00375C57">
        <w:rPr>
          <w:lang w:val="sq-AL"/>
        </w:rPr>
        <w:t>ë</w:t>
      </w:r>
      <w:r w:rsidRPr="00C40FD3" w:rsidR="003B4E0A">
        <w:rPr>
          <w:lang w:val="sq-AL"/>
        </w:rPr>
        <w:t xml:space="preserve">ve që dëshironin nisjen e një hetimi rreth pretendimeve të tyre u bë nga “Komiteti </w:t>
      </w:r>
      <w:r w:rsidRPr="00C40FD3" w:rsidR="00375C57">
        <w:rPr>
          <w:lang w:val="sq-AL"/>
        </w:rPr>
        <w:t xml:space="preserve">Hetimor” </w:t>
      </w:r>
      <w:r w:rsidRPr="00C40FD3">
        <w:rPr>
          <w:lang w:val="sq-AL"/>
        </w:rPr>
        <w:t>(</w:t>
      </w:r>
      <w:r w:rsidRPr="00C40FD3">
        <w:rPr>
          <w:i/>
          <w:lang w:val="sq-AL"/>
        </w:rPr>
        <w:t>Investigation Committee</w:t>
      </w:r>
      <w:r w:rsidRPr="00C40FD3">
        <w:rPr>
          <w:lang w:val="sq-AL"/>
        </w:rPr>
        <w:t>)</w:t>
      </w:r>
      <w:r w:rsidRPr="00C40FD3" w:rsidR="00375C57">
        <w:rPr>
          <w:lang w:val="sq-AL"/>
        </w:rPr>
        <w:t xml:space="preserve">, ndërkohë që “Komiteti i Dëshmive në Mirëbesim” </w:t>
      </w:r>
      <w:r w:rsidRPr="00C40FD3">
        <w:rPr>
          <w:lang w:val="sq-AL"/>
        </w:rPr>
        <w:t>(</w:t>
      </w:r>
      <w:r w:rsidRPr="00C40FD3">
        <w:rPr>
          <w:i/>
          <w:lang w:val="sq-AL"/>
        </w:rPr>
        <w:t>Confidential Committee</w:t>
      </w:r>
      <w:r w:rsidRPr="00C40FD3">
        <w:rPr>
          <w:lang w:val="sq-AL"/>
        </w:rPr>
        <w:t xml:space="preserve">) </w:t>
      </w:r>
      <w:r w:rsidRPr="00C40FD3" w:rsidR="00375C57">
        <w:rPr>
          <w:lang w:val="sq-AL"/>
        </w:rPr>
        <w:t>u dha dëshmitarëve rastin që të rrëfenin në një rreth të ngushtë për abuzimet që kishin pësuar. Deponimet e bëra përpara këtij komiteti të fundit nuk çuan kështu në veprime gjyqësore.</w:t>
      </w:r>
    </w:p>
    <w:p w:rsidRPr="00C40FD3" w:rsidR="00EB737A" w:rsidP="00EB737A" w:rsidRDefault="00EB737A">
      <w:pPr>
        <w:pStyle w:val="ECHRPara"/>
        <w:rPr>
          <w:lang w:val="sq-AL"/>
        </w:rPr>
      </w:pPr>
      <w:r w:rsidRPr="00C40FD3">
        <w:rPr>
          <w:lang w:val="sq-AL"/>
        </w:rPr>
        <w:fldChar w:fldCharType="begin"/>
      </w:r>
      <w:r w:rsidRPr="00C40FD3">
        <w:rPr>
          <w:lang w:val="sq-AL"/>
        </w:rPr>
        <w:instrText xml:space="preserve"> SEQ level0 \*arabic </w:instrText>
      </w:r>
      <w:r w:rsidRPr="00C40FD3">
        <w:rPr>
          <w:lang w:val="sq-AL"/>
        </w:rPr>
        <w:fldChar w:fldCharType="separate"/>
      </w:r>
      <w:r w:rsidR="00013F9B">
        <w:rPr>
          <w:noProof/>
          <w:lang w:val="sq-AL"/>
        </w:rPr>
        <w:t>78</w:t>
      </w:r>
      <w:r w:rsidRPr="00C40FD3">
        <w:rPr>
          <w:lang w:val="sq-AL"/>
        </w:rPr>
        <w:fldChar w:fldCharType="end"/>
      </w:r>
      <w:r w:rsidRPr="00C40FD3">
        <w:rPr>
          <w:lang w:val="sq-AL"/>
        </w:rPr>
        <w:t>.  </w:t>
      </w:r>
      <w:r w:rsidRPr="00C40FD3" w:rsidR="00375C57">
        <w:rPr>
          <w:lang w:val="sq-AL"/>
        </w:rPr>
        <w:t>Komisioni e paraqiti raportin e tij (“Raporti Ryan”) në maj 2009. Ai doli n</w:t>
      </w:r>
      <w:r w:rsidR="00C40FD3">
        <w:rPr>
          <w:lang w:val="sq-AL"/>
        </w:rPr>
        <w:t>ë</w:t>
      </w:r>
      <w:r w:rsidRPr="00C40FD3" w:rsidR="00375C57">
        <w:rPr>
          <w:lang w:val="sq-AL"/>
        </w:rPr>
        <w:t xml:space="preserve"> përfundimin </w:t>
      </w:r>
      <w:r w:rsidRPr="00C40FD3" w:rsidR="006C6054">
        <w:rPr>
          <w:lang w:val="sq-AL"/>
        </w:rPr>
        <w:t xml:space="preserve">se, nëpër </w:t>
      </w:r>
      <w:r w:rsidRPr="00C40FD3" w:rsidR="006C6054">
        <w:rPr>
          <w:i/>
          <w:lang w:val="sq-AL"/>
        </w:rPr>
        <w:t>reformatory schools</w:t>
      </w:r>
      <w:r w:rsidRPr="00C40FD3" w:rsidR="006C6054">
        <w:rPr>
          <w:lang w:val="sq-AL"/>
        </w:rPr>
        <w:t xml:space="preserve"> e </w:t>
      </w:r>
      <w:r w:rsidRPr="00C40FD3" w:rsidR="006C6054">
        <w:rPr>
          <w:i/>
          <w:lang w:val="sq-AL"/>
        </w:rPr>
        <w:t>industrial schools</w:t>
      </w:r>
      <w:r w:rsidRPr="00C40FD3" w:rsidR="006C6054">
        <w:rPr>
          <w:lang w:val="sq-AL"/>
        </w:rPr>
        <w:t>, ndaj fëmij</w:t>
      </w:r>
      <w:r w:rsidR="00C40FD3">
        <w:rPr>
          <w:lang w:val="sq-AL"/>
        </w:rPr>
        <w:t>ë</w:t>
      </w:r>
      <w:r w:rsidRPr="00C40FD3" w:rsidR="006C6054">
        <w:rPr>
          <w:lang w:val="sq-AL"/>
        </w:rPr>
        <w:t>ve ishin kryer, n</w:t>
      </w:r>
      <w:r w:rsidR="00C40FD3">
        <w:rPr>
          <w:lang w:val="sq-AL"/>
        </w:rPr>
        <w:t>ë</w:t>
      </w:r>
      <w:r w:rsidRPr="00C40FD3" w:rsidR="006C6054">
        <w:rPr>
          <w:lang w:val="sq-AL"/>
        </w:rPr>
        <w:t xml:space="preserve"> nj</w:t>
      </w:r>
      <w:r w:rsidR="00C40FD3">
        <w:rPr>
          <w:lang w:val="sq-AL"/>
        </w:rPr>
        <w:t>ë</w:t>
      </w:r>
      <w:r w:rsidRPr="00C40FD3" w:rsidR="006C6054">
        <w:rPr>
          <w:lang w:val="sq-AL"/>
        </w:rPr>
        <w:t xml:space="preserve"> shkall</w:t>
      </w:r>
      <w:r w:rsidR="00C40FD3">
        <w:rPr>
          <w:lang w:val="sq-AL"/>
        </w:rPr>
        <w:t>ë</w:t>
      </w:r>
      <w:r w:rsidRPr="00C40FD3" w:rsidR="006C6054">
        <w:rPr>
          <w:lang w:val="sq-AL"/>
        </w:rPr>
        <w:t xml:space="preserve"> t</w:t>
      </w:r>
      <w:r w:rsidR="00C40FD3">
        <w:rPr>
          <w:lang w:val="sq-AL"/>
        </w:rPr>
        <w:t>ë</w:t>
      </w:r>
      <w:r w:rsidRPr="00C40FD3" w:rsidR="006C6054">
        <w:rPr>
          <w:lang w:val="sq-AL"/>
        </w:rPr>
        <w:t xml:space="preserve"> gjerë e n</w:t>
      </w:r>
      <w:r w:rsidR="00C40FD3">
        <w:rPr>
          <w:lang w:val="sq-AL"/>
        </w:rPr>
        <w:t>ë</w:t>
      </w:r>
      <w:r w:rsidRPr="00C40FD3" w:rsidR="006C6054">
        <w:rPr>
          <w:lang w:val="sq-AL"/>
        </w:rPr>
        <w:t xml:space="preserve"> m</w:t>
      </w:r>
      <w:r w:rsidR="00C40FD3">
        <w:rPr>
          <w:lang w:val="sq-AL"/>
        </w:rPr>
        <w:t>ë</w:t>
      </w:r>
      <w:r w:rsidRPr="00C40FD3" w:rsidR="006C6054">
        <w:rPr>
          <w:lang w:val="sq-AL"/>
        </w:rPr>
        <w:t>nyr</w:t>
      </w:r>
      <w:r w:rsidR="00C40FD3">
        <w:rPr>
          <w:lang w:val="sq-AL"/>
        </w:rPr>
        <w:t>ë</w:t>
      </w:r>
      <w:r w:rsidRPr="00C40FD3" w:rsidR="006C6054">
        <w:rPr>
          <w:lang w:val="sq-AL"/>
        </w:rPr>
        <w:t xml:space="preserve"> kronike, abuzime fizike t</w:t>
      </w:r>
      <w:r w:rsidR="00C40FD3">
        <w:rPr>
          <w:lang w:val="sq-AL"/>
        </w:rPr>
        <w:t>ë</w:t>
      </w:r>
      <w:r w:rsidRPr="00C40FD3" w:rsidR="006C6054">
        <w:rPr>
          <w:lang w:val="sq-AL"/>
        </w:rPr>
        <w:t xml:space="preserve"> r</w:t>
      </w:r>
      <w:r w:rsidR="00C40FD3">
        <w:rPr>
          <w:lang w:val="sq-AL"/>
        </w:rPr>
        <w:t>ë</w:t>
      </w:r>
      <w:r w:rsidRPr="00C40FD3" w:rsidR="006C6054">
        <w:rPr>
          <w:lang w:val="sq-AL"/>
        </w:rPr>
        <w:t>nda, sidomos me karakter seksual, kryesisht nga pjesëtar</w:t>
      </w:r>
      <w:r w:rsidR="00C40FD3">
        <w:rPr>
          <w:lang w:val="sq-AL"/>
        </w:rPr>
        <w:t>ë</w:t>
      </w:r>
      <w:r w:rsidRPr="00C40FD3" w:rsidR="006C6054">
        <w:rPr>
          <w:lang w:val="sq-AL"/>
        </w:rPr>
        <w:t xml:space="preserve"> t</w:t>
      </w:r>
      <w:r w:rsidR="00C40FD3">
        <w:rPr>
          <w:lang w:val="sq-AL"/>
        </w:rPr>
        <w:t>ë</w:t>
      </w:r>
      <w:r w:rsidRPr="00C40FD3" w:rsidR="006C6054">
        <w:rPr>
          <w:lang w:val="sq-AL"/>
        </w:rPr>
        <w:t xml:space="preserve"> klerit. Sipas raportit, përballë k</w:t>
      </w:r>
      <w:r w:rsidR="00C40FD3">
        <w:rPr>
          <w:lang w:val="sq-AL"/>
        </w:rPr>
        <w:t>ë</w:t>
      </w:r>
      <w:r w:rsidRPr="00C40FD3" w:rsidR="006C6054">
        <w:rPr>
          <w:lang w:val="sq-AL"/>
        </w:rPr>
        <w:t>tyre ç</w:t>
      </w:r>
      <w:r w:rsidR="00C40FD3">
        <w:rPr>
          <w:lang w:val="sq-AL"/>
        </w:rPr>
        <w:t>ë</w:t>
      </w:r>
      <w:r w:rsidRPr="00C40FD3" w:rsidR="006C6054">
        <w:rPr>
          <w:lang w:val="sq-AL"/>
        </w:rPr>
        <w:t>shtjeve autoritetet fetare ishin përpjekur që t</w:t>
      </w:r>
      <w:r w:rsidR="00943091">
        <w:rPr>
          <w:lang w:val="sq-AL"/>
        </w:rPr>
        <w:t>’</w:t>
      </w:r>
      <w:r w:rsidRPr="00C40FD3" w:rsidR="006C6054">
        <w:rPr>
          <w:lang w:val="sq-AL"/>
        </w:rPr>
        <w:t>i mbronin kongregacionet dhe ta zvogëlonin n</w:t>
      </w:r>
      <w:r w:rsidR="00C40FD3">
        <w:rPr>
          <w:lang w:val="sq-AL"/>
        </w:rPr>
        <w:t>ë</w:t>
      </w:r>
      <w:r w:rsidRPr="00C40FD3" w:rsidR="006C6054">
        <w:rPr>
          <w:lang w:val="sq-AL"/>
        </w:rPr>
        <w:t xml:space="preserve"> minimum rrezikun e kallëzimeve publike, por duke e lajmëruar policin</w:t>
      </w:r>
      <w:r w:rsidR="00C40FD3">
        <w:rPr>
          <w:lang w:val="sq-AL"/>
        </w:rPr>
        <w:t>ë</w:t>
      </w:r>
      <w:r w:rsidRPr="00C40FD3" w:rsidR="006C6054">
        <w:rPr>
          <w:lang w:val="sq-AL"/>
        </w:rPr>
        <w:t xml:space="preserve"> lidhur me ankesat për abuzime seksuale ndaj nx</w:t>
      </w:r>
      <w:r w:rsidR="00C40FD3">
        <w:rPr>
          <w:lang w:val="sq-AL"/>
        </w:rPr>
        <w:t>ë</w:t>
      </w:r>
      <w:r w:rsidRPr="00C40FD3" w:rsidR="006C6054">
        <w:rPr>
          <w:lang w:val="sq-AL"/>
        </w:rPr>
        <w:t>n</w:t>
      </w:r>
      <w:r w:rsidR="00C40FD3">
        <w:rPr>
          <w:lang w:val="sq-AL"/>
        </w:rPr>
        <w:t>ë</w:t>
      </w:r>
      <w:r w:rsidRPr="00C40FD3" w:rsidR="006C6054">
        <w:rPr>
          <w:lang w:val="sq-AL"/>
        </w:rPr>
        <w:t>sve</w:t>
      </w:r>
      <w:r w:rsidRPr="00C40FD3" w:rsidR="00D77BD9">
        <w:rPr>
          <w:lang w:val="sq-AL"/>
        </w:rPr>
        <w:t xml:space="preserve"> sa her</w:t>
      </w:r>
      <w:r w:rsidR="00C40FD3">
        <w:rPr>
          <w:lang w:val="sq-AL"/>
        </w:rPr>
        <w:t>ë</w:t>
      </w:r>
      <w:r w:rsidRPr="00C40FD3" w:rsidR="00D77BD9">
        <w:rPr>
          <w:lang w:val="sq-AL"/>
        </w:rPr>
        <w:t xml:space="preserve"> që p</w:t>
      </w:r>
      <w:r w:rsidR="00C40FD3">
        <w:rPr>
          <w:lang w:val="sq-AL"/>
        </w:rPr>
        <w:t>ë</w:t>
      </w:r>
      <w:r w:rsidRPr="00C40FD3" w:rsidR="00D77BD9">
        <w:rPr>
          <w:lang w:val="sq-AL"/>
        </w:rPr>
        <w:t>r ato ngjarje mund t</w:t>
      </w:r>
      <w:r w:rsidR="00C40FD3">
        <w:rPr>
          <w:lang w:val="sq-AL"/>
        </w:rPr>
        <w:t>ë</w:t>
      </w:r>
      <w:r w:rsidRPr="00C40FD3" w:rsidR="00D77BD9">
        <w:rPr>
          <w:lang w:val="sq-AL"/>
        </w:rPr>
        <w:t xml:space="preserve"> ngarkoheshin me faj laikë. Në deponimin e tij përpara Komitetit Hetimor, sekretari i përgjithshëm i Ministrisë kishte shprehur keqardhjen e tij për sa u përkiste rasteve t</w:t>
      </w:r>
      <w:r w:rsidR="00C40FD3">
        <w:rPr>
          <w:lang w:val="sq-AL"/>
        </w:rPr>
        <w:t>ë</w:t>
      </w:r>
      <w:r w:rsidRPr="00C40FD3" w:rsidR="00D77BD9">
        <w:rPr>
          <w:lang w:val="sq-AL"/>
        </w:rPr>
        <w:t xml:space="preserve"> r</w:t>
      </w:r>
      <w:r w:rsidR="00C40FD3">
        <w:rPr>
          <w:lang w:val="sq-AL"/>
        </w:rPr>
        <w:t>ë</w:t>
      </w:r>
      <w:r w:rsidRPr="00C40FD3" w:rsidR="00D77BD9">
        <w:rPr>
          <w:lang w:val="sq-AL"/>
        </w:rPr>
        <w:t>nda t</w:t>
      </w:r>
      <w:r w:rsidR="00C40FD3">
        <w:rPr>
          <w:lang w:val="sq-AL"/>
        </w:rPr>
        <w:t>ë</w:t>
      </w:r>
      <w:r w:rsidRPr="00C40FD3" w:rsidR="00D77BD9">
        <w:rPr>
          <w:lang w:val="sq-AL"/>
        </w:rPr>
        <w:t xml:space="preserve"> mospërmbushjes s</w:t>
      </w:r>
      <w:r w:rsidR="00C40FD3">
        <w:rPr>
          <w:lang w:val="sq-AL"/>
        </w:rPr>
        <w:t>ë</w:t>
      </w:r>
      <w:r w:rsidRPr="00C40FD3" w:rsidR="00D77BD9">
        <w:rPr>
          <w:lang w:val="sq-AL"/>
        </w:rPr>
        <w:t xml:space="preserve"> detyrimeve t</w:t>
      </w:r>
      <w:r w:rsidR="00C40FD3">
        <w:rPr>
          <w:lang w:val="sq-AL"/>
        </w:rPr>
        <w:t>ë</w:t>
      </w:r>
      <w:r w:rsidRPr="00C40FD3" w:rsidR="00D77BD9">
        <w:rPr>
          <w:lang w:val="sq-AL"/>
        </w:rPr>
        <w:t xml:space="preserve"> Ministris</w:t>
      </w:r>
      <w:r w:rsidR="00C40FD3">
        <w:rPr>
          <w:lang w:val="sq-AL"/>
        </w:rPr>
        <w:t>ë</w:t>
      </w:r>
      <w:r w:rsidRPr="00C40FD3" w:rsidR="00D77BD9">
        <w:rPr>
          <w:lang w:val="sq-AL"/>
        </w:rPr>
        <w:t xml:space="preserve"> ndaj nx</w:t>
      </w:r>
      <w:r w:rsidR="00C40FD3">
        <w:rPr>
          <w:lang w:val="sq-AL"/>
        </w:rPr>
        <w:t>ë</w:t>
      </w:r>
      <w:r w:rsidRPr="00C40FD3" w:rsidR="00D77BD9">
        <w:rPr>
          <w:lang w:val="sq-AL"/>
        </w:rPr>
        <w:t>n</w:t>
      </w:r>
      <w:r w:rsidR="00C40FD3">
        <w:rPr>
          <w:lang w:val="sq-AL"/>
        </w:rPr>
        <w:t>ë</w:t>
      </w:r>
      <w:r w:rsidRPr="00C40FD3" w:rsidR="00D77BD9">
        <w:rPr>
          <w:lang w:val="sq-AL"/>
        </w:rPr>
        <w:t>sve t</w:t>
      </w:r>
      <w:r w:rsidR="00C40FD3">
        <w:rPr>
          <w:lang w:val="sq-AL"/>
        </w:rPr>
        <w:t>ë</w:t>
      </w:r>
      <w:r w:rsidRPr="00C40FD3" w:rsidR="00D77BD9">
        <w:rPr>
          <w:lang w:val="sq-AL"/>
        </w:rPr>
        <w:t xml:space="preserve"> </w:t>
      </w:r>
      <w:r w:rsidRPr="00C40FD3">
        <w:rPr>
          <w:i/>
          <w:lang w:val="sq-AL"/>
        </w:rPr>
        <w:t>reformatory schools</w:t>
      </w:r>
      <w:r w:rsidRPr="00C40FD3">
        <w:rPr>
          <w:lang w:val="sq-AL"/>
        </w:rPr>
        <w:t xml:space="preserve"> </w:t>
      </w:r>
      <w:r w:rsidRPr="00C40FD3" w:rsidR="00D77BD9">
        <w:rPr>
          <w:lang w:val="sq-AL"/>
        </w:rPr>
        <w:t>dhe të</w:t>
      </w:r>
      <w:r w:rsidRPr="00C40FD3">
        <w:rPr>
          <w:lang w:val="sq-AL"/>
        </w:rPr>
        <w:t xml:space="preserve"> </w:t>
      </w:r>
      <w:r w:rsidRPr="00C40FD3">
        <w:rPr>
          <w:i/>
          <w:lang w:val="sq-AL"/>
        </w:rPr>
        <w:t>industrial schools</w:t>
      </w:r>
      <w:r w:rsidRPr="00C40FD3">
        <w:rPr>
          <w:lang w:val="sq-AL"/>
        </w:rPr>
        <w:t xml:space="preserve">, </w:t>
      </w:r>
      <w:r w:rsidRPr="00C40FD3" w:rsidR="00D77BD9">
        <w:rPr>
          <w:lang w:val="sq-AL"/>
        </w:rPr>
        <w:t>duke e pranuar se, sado q</w:t>
      </w:r>
      <w:r w:rsidR="00C40FD3">
        <w:rPr>
          <w:lang w:val="sq-AL"/>
        </w:rPr>
        <w:t>ë</w:t>
      </w:r>
      <w:r w:rsidRPr="00C40FD3" w:rsidR="00D77BD9">
        <w:rPr>
          <w:lang w:val="sq-AL"/>
        </w:rPr>
        <w:t xml:space="preserve"> pronar</w:t>
      </w:r>
      <w:r w:rsidR="00C40FD3">
        <w:rPr>
          <w:lang w:val="sq-AL"/>
        </w:rPr>
        <w:t>ë</w:t>
      </w:r>
      <w:r w:rsidRPr="00C40FD3" w:rsidR="00D77BD9">
        <w:rPr>
          <w:lang w:val="sq-AL"/>
        </w:rPr>
        <w:t>t dhe administrator</w:t>
      </w:r>
      <w:r w:rsidR="00C40FD3">
        <w:rPr>
          <w:lang w:val="sq-AL"/>
        </w:rPr>
        <w:t>ë</w:t>
      </w:r>
      <w:r w:rsidRPr="00C40FD3" w:rsidR="00D77BD9">
        <w:rPr>
          <w:lang w:val="sq-AL"/>
        </w:rPr>
        <w:t>t e k</w:t>
      </w:r>
      <w:r w:rsidR="00C40FD3">
        <w:rPr>
          <w:lang w:val="sq-AL"/>
        </w:rPr>
        <w:t>ë</w:t>
      </w:r>
      <w:r w:rsidRPr="00C40FD3" w:rsidR="00D77BD9">
        <w:rPr>
          <w:lang w:val="sq-AL"/>
        </w:rPr>
        <w:t>tyre institucioneve ishin persona privatë, nuk mund t</w:t>
      </w:r>
      <w:r w:rsidR="00C40FD3">
        <w:rPr>
          <w:lang w:val="sq-AL"/>
        </w:rPr>
        <w:t>ë</w:t>
      </w:r>
      <w:r w:rsidRPr="00C40FD3" w:rsidR="00D77BD9">
        <w:rPr>
          <w:lang w:val="sq-AL"/>
        </w:rPr>
        <w:t xml:space="preserve"> mohohej që i takonte </w:t>
      </w:r>
      <w:r w:rsidRPr="00C40FD3" w:rsidR="008C6C55">
        <w:rPr>
          <w:lang w:val="sq-AL"/>
        </w:rPr>
        <w:t xml:space="preserve">shtetit </w:t>
      </w:r>
      <w:r w:rsidRPr="00C40FD3" w:rsidR="00D77BD9">
        <w:rPr>
          <w:lang w:val="sq-AL"/>
        </w:rPr>
        <w:t>t</w:t>
      </w:r>
      <w:r w:rsidR="00C40FD3">
        <w:rPr>
          <w:lang w:val="sq-AL"/>
        </w:rPr>
        <w:t>ë</w:t>
      </w:r>
      <w:r w:rsidRPr="00C40FD3" w:rsidR="00D77BD9">
        <w:rPr>
          <w:lang w:val="sq-AL"/>
        </w:rPr>
        <w:t xml:space="preserve"> kujdesej p</w:t>
      </w:r>
      <w:r w:rsidR="00C40FD3">
        <w:rPr>
          <w:lang w:val="sq-AL"/>
        </w:rPr>
        <w:t>ë</w:t>
      </w:r>
      <w:r w:rsidRPr="00C40FD3" w:rsidR="00D77BD9">
        <w:rPr>
          <w:lang w:val="sq-AL"/>
        </w:rPr>
        <w:t>r karakterin e p</w:t>
      </w:r>
      <w:r w:rsidR="00C40FD3">
        <w:rPr>
          <w:lang w:val="sq-AL"/>
        </w:rPr>
        <w:t>ë</w:t>
      </w:r>
      <w:r w:rsidRPr="00C40FD3" w:rsidR="00D77BD9">
        <w:rPr>
          <w:lang w:val="sq-AL"/>
        </w:rPr>
        <w:t>rshtatsh</w:t>
      </w:r>
      <w:r w:rsidR="00C40FD3">
        <w:rPr>
          <w:lang w:val="sq-AL"/>
        </w:rPr>
        <w:t>ë</w:t>
      </w:r>
      <w:r w:rsidRPr="00C40FD3" w:rsidR="00D77BD9">
        <w:rPr>
          <w:lang w:val="sq-AL"/>
        </w:rPr>
        <w:t>m t</w:t>
      </w:r>
      <w:r w:rsidR="00C40FD3">
        <w:rPr>
          <w:lang w:val="sq-AL"/>
        </w:rPr>
        <w:t>ë</w:t>
      </w:r>
      <w:r w:rsidRPr="00C40FD3" w:rsidR="00D77BD9">
        <w:rPr>
          <w:lang w:val="sq-AL"/>
        </w:rPr>
        <w:t xml:space="preserve"> përkujdesjeve për f</w:t>
      </w:r>
      <w:r w:rsidR="00C40FD3">
        <w:rPr>
          <w:lang w:val="sq-AL"/>
        </w:rPr>
        <w:t>ë</w:t>
      </w:r>
      <w:r w:rsidRPr="00C40FD3" w:rsidR="00D77BD9">
        <w:rPr>
          <w:lang w:val="sq-AL"/>
        </w:rPr>
        <w:t>mij</w:t>
      </w:r>
      <w:r w:rsidR="00C40FD3">
        <w:rPr>
          <w:lang w:val="sq-AL"/>
        </w:rPr>
        <w:t>ë</w:t>
      </w:r>
      <w:r w:rsidRPr="00C40FD3" w:rsidR="00D77BD9">
        <w:rPr>
          <w:lang w:val="sq-AL"/>
        </w:rPr>
        <w:t>t dhe se Ministria nuk kishte siguruar nj</w:t>
      </w:r>
      <w:r w:rsidR="00C40FD3">
        <w:rPr>
          <w:lang w:val="sq-AL"/>
        </w:rPr>
        <w:t>ë</w:t>
      </w:r>
      <w:r w:rsidRPr="00C40FD3" w:rsidR="00D77BD9">
        <w:rPr>
          <w:lang w:val="sq-AL"/>
        </w:rPr>
        <w:t xml:space="preserve"> </w:t>
      </w:r>
      <w:r w:rsidRPr="00C40FD3" w:rsidR="008C6C55">
        <w:rPr>
          <w:lang w:val="sq-AL"/>
        </w:rPr>
        <w:t>nivel t</w:t>
      </w:r>
      <w:r w:rsidR="00C40FD3">
        <w:rPr>
          <w:lang w:val="sq-AL"/>
        </w:rPr>
        <w:t>ë</w:t>
      </w:r>
      <w:r w:rsidRPr="00C40FD3" w:rsidR="008C6C55">
        <w:rPr>
          <w:lang w:val="sq-AL"/>
        </w:rPr>
        <w:t xml:space="preserve"> k</w:t>
      </w:r>
      <w:r w:rsidR="00C40FD3">
        <w:rPr>
          <w:lang w:val="sq-AL"/>
        </w:rPr>
        <w:t>ë</w:t>
      </w:r>
      <w:r w:rsidRPr="00C40FD3" w:rsidR="008C6C55">
        <w:rPr>
          <w:lang w:val="sq-AL"/>
        </w:rPr>
        <w:t>naqsh</w:t>
      </w:r>
      <w:r w:rsidR="00C40FD3">
        <w:rPr>
          <w:lang w:val="sq-AL"/>
        </w:rPr>
        <w:t>ë</w:t>
      </w:r>
      <w:r w:rsidRPr="00C40FD3" w:rsidR="008C6C55">
        <w:rPr>
          <w:lang w:val="sq-AL"/>
        </w:rPr>
        <w:t>m përkujdesjesh. Ministri kishte shtuar se rrall</w:t>
      </w:r>
      <w:r w:rsidR="00C40FD3">
        <w:rPr>
          <w:lang w:val="sq-AL"/>
        </w:rPr>
        <w:t>ë</w:t>
      </w:r>
      <w:r w:rsidRPr="00C40FD3" w:rsidR="008C6C55">
        <w:rPr>
          <w:lang w:val="sq-AL"/>
        </w:rPr>
        <w:t xml:space="preserve"> kishte qëlluar që ankesat për keqtrajtime ndaj f</w:t>
      </w:r>
      <w:r w:rsidR="00C40FD3">
        <w:rPr>
          <w:lang w:val="sq-AL"/>
        </w:rPr>
        <w:t>ë</w:t>
      </w:r>
      <w:r w:rsidRPr="00C40FD3" w:rsidR="008C6C55">
        <w:rPr>
          <w:lang w:val="sq-AL"/>
        </w:rPr>
        <w:t>mij</w:t>
      </w:r>
      <w:r w:rsidR="00C40FD3">
        <w:rPr>
          <w:lang w:val="sq-AL"/>
        </w:rPr>
        <w:t>ë</w:t>
      </w:r>
      <w:r w:rsidRPr="00C40FD3" w:rsidR="008C6C55">
        <w:rPr>
          <w:lang w:val="sq-AL"/>
        </w:rPr>
        <w:t>ve nga ana e pjesëtar</w:t>
      </w:r>
      <w:r w:rsidR="00C40FD3">
        <w:rPr>
          <w:lang w:val="sq-AL"/>
        </w:rPr>
        <w:t>ë</w:t>
      </w:r>
      <w:r w:rsidRPr="00C40FD3" w:rsidR="008C6C55">
        <w:rPr>
          <w:lang w:val="sq-AL"/>
        </w:rPr>
        <w:t>ve t</w:t>
      </w:r>
      <w:r w:rsidR="00C40FD3">
        <w:rPr>
          <w:lang w:val="sq-AL"/>
        </w:rPr>
        <w:t>ë</w:t>
      </w:r>
      <w:r w:rsidRPr="00C40FD3" w:rsidR="008C6C55">
        <w:rPr>
          <w:lang w:val="sq-AL"/>
        </w:rPr>
        <w:t xml:space="preserve"> klerit t</w:t>
      </w:r>
      <w:r w:rsidR="00C40FD3">
        <w:rPr>
          <w:lang w:val="sq-AL"/>
        </w:rPr>
        <w:t>ë</w:t>
      </w:r>
      <w:r w:rsidRPr="00C40FD3" w:rsidR="008C6C55">
        <w:rPr>
          <w:lang w:val="sq-AL"/>
        </w:rPr>
        <w:t xml:space="preserve"> kishin mb</w:t>
      </w:r>
      <w:r w:rsidR="00C40FD3">
        <w:rPr>
          <w:lang w:val="sq-AL"/>
        </w:rPr>
        <w:t>ë</w:t>
      </w:r>
      <w:r w:rsidRPr="00C40FD3" w:rsidR="008C6C55">
        <w:rPr>
          <w:lang w:val="sq-AL"/>
        </w:rPr>
        <w:t>rritur deri n</w:t>
      </w:r>
      <w:r w:rsidR="00C40FD3">
        <w:rPr>
          <w:lang w:val="sq-AL"/>
        </w:rPr>
        <w:t>ë</w:t>
      </w:r>
      <w:r w:rsidRPr="00C40FD3" w:rsidR="008C6C55">
        <w:rPr>
          <w:lang w:val="sq-AL"/>
        </w:rPr>
        <w:t xml:space="preserve"> ministri, e cila nuk i kishte ndjekur ashtu siç duhej ato raste për t</w:t>
      </w:r>
      <w:r w:rsidR="00C40FD3">
        <w:rPr>
          <w:lang w:val="sq-AL"/>
        </w:rPr>
        <w:t>ë</w:t>
      </w:r>
      <w:r w:rsidRPr="00C40FD3" w:rsidR="008C6C55">
        <w:rPr>
          <w:lang w:val="sq-AL"/>
        </w:rPr>
        <w:t xml:space="preserve"> cilat i ishin drejtuar asaj.</w:t>
      </w:r>
    </w:p>
    <w:p w:rsidRPr="00C40FD3" w:rsidR="00EB737A" w:rsidP="00EB737A" w:rsidRDefault="00EB737A">
      <w:pPr>
        <w:pStyle w:val="ECHRPara"/>
        <w:rPr>
          <w:lang w:val="sq-AL"/>
        </w:rPr>
      </w:pPr>
      <w:r w:rsidRPr="00C40FD3">
        <w:rPr>
          <w:lang w:val="sq-AL"/>
        </w:rPr>
        <w:fldChar w:fldCharType="begin"/>
      </w:r>
      <w:r w:rsidRPr="00C40FD3">
        <w:rPr>
          <w:lang w:val="sq-AL"/>
        </w:rPr>
        <w:instrText xml:space="preserve"> SEQ level0 \*arabic </w:instrText>
      </w:r>
      <w:r w:rsidRPr="00C40FD3">
        <w:rPr>
          <w:lang w:val="sq-AL"/>
        </w:rPr>
        <w:fldChar w:fldCharType="separate"/>
      </w:r>
      <w:r w:rsidR="00013F9B">
        <w:rPr>
          <w:noProof/>
          <w:lang w:val="sq-AL"/>
        </w:rPr>
        <w:t>79</w:t>
      </w:r>
      <w:r w:rsidRPr="00C40FD3">
        <w:rPr>
          <w:lang w:val="sq-AL"/>
        </w:rPr>
        <w:fldChar w:fldCharType="end"/>
      </w:r>
      <w:r w:rsidRPr="00C40FD3">
        <w:rPr>
          <w:lang w:val="sq-AL"/>
        </w:rPr>
        <w:t>.  </w:t>
      </w:r>
      <w:r w:rsidRPr="00C40FD3" w:rsidR="008C6C55">
        <w:rPr>
          <w:lang w:val="sq-AL"/>
        </w:rPr>
        <w:t>Kapitulli</w:t>
      </w:r>
      <w:r w:rsidRPr="00C40FD3">
        <w:rPr>
          <w:lang w:val="sq-AL"/>
        </w:rPr>
        <w:t xml:space="preserve"> 14 </w:t>
      </w:r>
      <w:r w:rsidRPr="00C40FD3" w:rsidR="008C6C55">
        <w:rPr>
          <w:lang w:val="sq-AL"/>
        </w:rPr>
        <w:t>i v</w:t>
      </w:r>
      <w:r w:rsidR="00C40FD3">
        <w:rPr>
          <w:lang w:val="sq-AL"/>
        </w:rPr>
        <w:t>ë</w:t>
      </w:r>
      <w:r w:rsidRPr="00C40FD3" w:rsidR="008C6C55">
        <w:rPr>
          <w:lang w:val="sq-AL"/>
        </w:rPr>
        <w:t>llimit</w:t>
      </w:r>
      <w:r w:rsidRPr="00C40FD3">
        <w:rPr>
          <w:lang w:val="sq-AL"/>
        </w:rPr>
        <w:t xml:space="preserve"> I (</w:t>
      </w:r>
      <w:r w:rsidRPr="00C40FD3" w:rsidR="008C6C55">
        <w:rPr>
          <w:lang w:val="sq-AL"/>
        </w:rPr>
        <w:t xml:space="preserve">“kapitulli </w:t>
      </w:r>
      <w:r w:rsidRPr="00C40FD3">
        <w:rPr>
          <w:lang w:val="sq-AL"/>
        </w:rPr>
        <w:t>Brander</w:t>
      </w:r>
      <w:r w:rsidRPr="00C40FD3" w:rsidR="008C6C55">
        <w:rPr>
          <w:lang w:val="sq-AL"/>
        </w:rPr>
        <w:t>”</w:t>
      </w:r>
      <w:r w:rsidRPr="00C40FD3">
        <w:rPr>
          <w:lang w:val="sq-AL"/>
        </w:rPr>
        <w:t xml:space="preserve">) </w:t>
      </w:r>
      <w:r w:rsidRPr="00C40FD3" w:rsidR="008C6C55">
        <w:rPr>
          <w:lang w:val="sq-AL"/>
        </w:rPr>
        <w:t>kishte të b</w:t>
      </w:r>
      <w:r w:rsidR="00C40FD3">
        <w:rPr>
          <w:lang w:val="sq-AL"/>
        </w:rPr>
        <w:t>ë</w:t>
      </w:r>
      <w:r w:rsidRPr="00C40FD3" w:rsidR="008C6C55">
        <w:rPr>
          <w:lang w:val="sq-AL"/>
        </w:rPr>
        <w:t>nte me udh</w:t>
      </w:r>
      <w:r w:rsidR="00C40FD3">
        <w:rPr>
          <w:lang w:val="sq-AL"/>
        </w:rPr>
        <w:t>ë</w:t>
      </w:r>
      <w:r w:rsidRPr="00C40FD3" w:rsidR="008C6C55">
        <w:rPr>
          <w:lang w:val="sq-AL"/>
        </w:rPr>
        <w:t>n e p</w:t>
      </w:r>
      <w:r w:rsidR="00C40FD3">
        <w:rPr>
          <w:lang w:val="sq-AL"/>
        </w:rPr>
        <w:t>ë</w:t>
      </w:r>
      <w:r w:rsidRPr="00C40FD3" w:rsidR="008C6C55">
        <w:rPr>
          <w:lang w:val="sq-AL"/>
        </w:rPr>
        <w:t>rshkuar nga nj</w:t>
      </w:r>
      <w:r w:rsidR="00C40FD3">
        <w:rPr>
          <w:lang w:val="sq-AL"/>
        </w:rPr>
        <w:t>ë</w:t>
      </w:r>
      <w:r w:rsidRPr="00C40FD3" w:rsidR="008C6C55">
        <w:rPr>
          <w:lang w:val="sq-AL"/>
        </w:rPr>
        <w:t xml:space="preserve"> “autor </w:t>
      </w:r>
      <w:r w:rsidRPr="00C40FD3" w:rsidR="00C40FD3">
        <w:rPr>
          <w:lang w:val="sq-AL"/>
        </w:rPr>
        <w:t>dhun</w:t>
      </w:r>
      <w:r w:rsidRPr="00C40FD3" w:rsidR="008C6C55">
        <w:rPr>
          <w:lang w:val="sq-AL"/>
        </w:rPr>
        <w:t>imesh seksuale e fizike n</w:t>
      </w:r>
      <w:r w:rsidR="00C40FD3">
        <w:rPr>
          <w:lang w:val="sq-AL"/>
        </w:rPr>
        <w:t>ë</w:t>
      </w:r>
      <w:r w:rsidRPr="00C40FD3" w:rsidR="008C6C55">
        <w:rPr>
          <w:lang w:val="sq-AL"/>
        </w:rPr>
        <w:t xml:space="preserve"> seri”, nj</w:t>
      </w:r>
      <w:r w:rsidR="00C40FD3">
        <w:rPr>
          <w:lang w:val="sq-AL"/>
        </w:rPr>
        <w:t>ë</w:t>
      </w:r>
      <w:r w:rsidRPr="00C40FD3" w:rsidR="008C6C55">
        <w:rPr>
          <w:lang w:val="sq-AL"/>
        </w:rPr>
        <w:t xml:space="preserve"> m</w:t>
      </w:r>
      <w:r w:rsidR="00C40FD3">
        <w:rPr>
          <w:lang w:val="sq-AL"/>
        </w:rPr>
        <w:t>ë</w:t>
      </w:r>
      <w:r w:rsidRPr="00C40FD3" w:rsidR="008C6C55">
        <w:rPr>
          <w:lang w:val="sq-AL"/>
        </w:rPr>
        <w:t>sues laik i cili kishte punuar n</w:t>
      </w:r>
      <w:r w:rsidR="00C40FD3">
        <w:rPr>
          <w:lang w:val="sq-AL"/>
        </w:rPr>
        <w:t>ë</w:t>
      </w:r>
      <w:r w:rsidRPr="00C40FD3" w:rsidR="008C6C55">
        <w:rPr>
          <w:lang w:val="sq-AL"/>
        </w:rPr>
        <w:t xml:space="preserve"> nja dhjet</w:t>
      </w:r>
      <w:r w:rsidR="00C40FD3">
        <w:rPr>
          <w:lang w:val="sq-AL"/>
        </w:rPr>
        <w:t>ë</w:t>
      </w:r>
      <w:r w:rsidRPr="00C40FD3" w:rsidR="008C6C55">
        <w:rPr>
          <w:lang w:val="sq-AL"/>
        </w:rPr>
        <w:t xml:space="preserve"> institucione (nga t</w:t>
      </w:r>
      <w:r w:rsidR="00C40FD3">
        <w:rPr>
          <w:lang w:val="sq-AL"/>
        </w:rPr>
        <w:t>ë</w:t>
      </w:r>
      <w:r w:rsidRPr="00C40FD3" w:rsidR="008C6C55">
        <w:rPr>
          <w:lang w:val="sq-AL"/>
        </w:rPr>
        <w:t xml:space="preserve"> cilat gjasht</w:t>
      </w:r>
      <w:r w:rsidR="00C40FD3">
        <w:rPr>
          <w:lang w:val="sq-AL"/>
        </w:rPr>
        <w:t>ë</w:t>
      </w:r>
      <w:r w:rsidRPr="00C40FD3" w:rsidR="008C6C55">
        <w:rPr>
          <w:lang w:val="sq-AL"/>
        </w:rPr>
        <w:t xml:space="preserve"> shkolla komb</w:t>
      </w:r>
      <w:r w:rsidR="00C40FD3">
        <w:rPr>
          <w:lang w:val="sq-AL"/>
        </w:rPr>
        <w:t>ë</w:t>
      </w:r>
      <w:r w:rsidRPr="00C40FD3" w:rsidR="008C6C55">
        <w:rPr>
          <w:lang w:val="sq-AL"/>
        </w:rPr>
        <w:t>tare) për dyzet vjet deri n</w:t>
      </w:r>
      <w:r w:rsidR="00C40FD3">
        <w:rPr>
          <w:lang w:val="sq-AL"/>
        </w:rPr>
        <w:t>ë</w:t>
      </w:r>
      <w:r w:rsidRPr="00C40FD3" w:rsidR="008C6C55">
        <w:rPr>
          <w:lang w:val="sq-AL"/>
        </w:rPr>
        <w:t xml:space="preserve"> daljen e tij n</w:t>
      </w:r>
      <w:r w:rsidR="00C40FD3">
        <w:rPr>
          <w:lang w:val="sq-AL"/>
        </w:rPr>
        <w:t>ë</w:t>
      </w:r>
      <w:r w:rsidRPr="00C40FD3" w:rsidR="008C6C55">
        <w:rPr>
          <w:lang w:val="sq-AL"/>
        </w:rPr>
        <w:t xml:space="preserve"> pension m</w:t>
      </w:r>
      <w:r w:rsidR="00C40FD3">
        <w:rPr>
          <w:lang w:val="sq-AL"/>
        </w:rPr>
        <w:t>ë</w:t>
      </w:r>
      <w:r w:rsidRPr="00C40FD3" w:rsidR="008C6C55">
        <w:rPr>
          <w:lang w:val="sq-AL"/>
        </w:rPr>
        <w:t xml:space="preserve"> 1980, përpara se t</w:t>
      </w:r>
      <w:r w:rsidR="00C40FD3">
        <w:rPr>
          <w:lang w:val="sq-AL"/>
        </w:rPr>
        <w:t>ë</w:t>
      </w:r>
      <w:r w:rsidRPr="00C40FD3" w:rsidR="008C6C55">
        <w:rPr>
          <w:lang w:val="sq-AL"/>
        </w:rPr>
        <w:t xml:space="preserve"> shpallej fajtor për shum</w:t>
      </w:r>
      <w:r w:rsidR="00C40FD3">
        <w:rPr>
          <w:lang w:val="sq-AL"/>
        </w:rPr>
        <w:t>ë</w:t>
      </w:r>
      <w:r w:rsidRPr="00C40FD3" w:rsidR="008C6C55">
        <w:rPr>
          <w:lang w:val="sq-AL"/>
        </w:rPr>
        <w:t xml:space="preserve"> akuza abuzimesh seksuale t</w:t>
      </w:r>
      <w:r w:rsidR="00C40FD3">
        <w:rPr>
          <w:lang w:val="sq-AL"/>
        </w:rPr>
        <w:t>ë</w:t>
      </w:r>
      <w:r w:rsidRPr="00C40FD3" w:rsidR="008C6C55">
        <w:rPr>
          <w:lang w:val="sq-AL"/>
        </w:rPr>
        <w:t xml:space="preserve"> kryera ndaj nx</w:t>
      </w:r>
      <w:r w:rsidR="00C40FD3">
        <w:rPr>
          <w:lang w:val="sq-AL"/>
        </w:rPr>
        <w:t>ë</w:t>
      </w:r>
      <w:r w:rsidRPr="00C40FD3" w:rsidR="008C6C55">
        <w:rPr>
          <w:lang w:val="sq-AL"/>
        </w:rPr>
        <w:t xml:space="preserve">nësve. Sipas raportit, </w:t>
      </w:r>
      <w:r w:rsidRPr="00C40FD3" w:rsidR="001D6998">
        <w:rPr>
          <w:lang w:val="sq-AL"/>
        </w:rPr>
        <w:t>kur disa prind</w:t>
      </w:r>
      <w:r w:rsidR="00C40FD3">
        <w:rPr>
          <w:lang w:val="sq-AL"/>
        </w:rPr>
        <w:t>ë</w:t>
      </w:r>
      <w:r w:rsidRPr="00C40FD3" w:rsidR="001D6998">
        <w:rPr>
          <w:lang w:val="sq-AL"/>
        </w:rPr>
        <w:t>r ishin përpjekur q</w:t>
      </w:r>
      <w:r w:rsidR="00C40FD3">
        <w:rPr>
          <w:lang w:val="sq-AL"/>
        </w:rPr>
        <w:t>ë</w:t>
      </w:r>
      <w:r w:rsidRPr="00C40FD3" w:rsidR="001D6998">
        <w:rPr>
          <w:lang w:val="sq-AL"/>
        </w:rPr>
        <w:t xml:space="preserve"> ta denonconin sjelljen e tij n</w:t>
      </w:r>
      <w:r w:rsidR="00C40FD3">
        <w:rPr>
          <w:lang w:val="sq-AL"/>
        </w:rPr>
        <w:t>ë</w:t>
      </w:r>
      <w:r w:rsidRPr="00C40FD3" w:rsidR="001D6998">
        <w:rPr>
          <w:lang w:val="sq-AL"/>
        </w:rPr>
        <w:t xml:space="preserve"> vitet 1960 e 1970, i interesuari ishte mbrojtur nga autoritetet e dioqez</w:t>
      </w:r>
      <w:r w:rsidR="00C40FD3">
        <w:rPr>
          <w:lang w:val="sq-AL"/>
        </w:rPr>
        <w:t>ë</w:t>
      </w:r>
      <w:r w:rsidRPr="00C40FD3" w:rsidR="001D6998">
        <w:rPr>
          <w:lang w:val="sq-AL"/>
        </w:rPr>
        <w:t>s dhe t</w:t>
      </w:r>
      <w:r w:rsidR="00C40FD3">
        <w:rPr>
          <w:lang w:val="sq-AL"/>
        </w:rPr>
        <w:t>ë</w:t>
      </w:r>
      <w:r w:rsidRPr="00C40FD3" w:rsidR="001D6998">
        <w:rPr>
          <w:lang w:val="sq-AL"/>
        </w:rPr>
        <w:t xml:space="preserve"> institucioneve n</w:t>
      </w:r>
      <w:r w:rsidR="00C40FD3">
        <w:rPr>
          <w:lang w:val="sq-AL"/>
        </w:rPr>
        <w:t>ë</w:t>
      </w:r>
      <w:r w:rsidRPr="00C40FD3" w:rsidR="001D6998">
        <w:rPr>
          <w:lang w:val="sq-AL"/>
        </w:rPr>
        <w:t xml:space="preserve"> fjalë, e kishte kaluar nga një shkoll</w:t>
      </w:r>
      <w:r w:rsidR="00C40FD3">
        <w:rPr>
          <w:lang w:val="sq-AL"/>
        </w:rPr>
        <w:t>ë</w:t>
      </w:r>
      <w:r w:rsidRPr="00C40FD3" w:rsidR="001D6998">
        <w:rPr>
          <w:lang w:val="sq-AL"/>
        </w:rPr>
        <w:t xml:space="preserve"> n</w:t>
      </w:r>
      <w:r w:rsidR="00C40FD3">
        <w:rPr>
          <w:lang w:val="sq-AL"/>
        </w:rPr>
        <w:t>ë</w:t>
      </w:r>
      <w:r w:rsidRPr="00C40FD3" w:rsidR="001D6998">
        <w:rPr>
          <w:lang w:val="sq-AL"/>
        </w:rPr>
        <w:t xml:space="preserve"> tjetr</w:t>
      </w:r>
      <w:r w:rsidR="00C40FD3">
        <w:rPr>
          <w:lang w:val="sq-AL"/>
        </w:rPr>
        <w:t>ë</w:t>
      </w:r>
      <w:r w:rsidRPr="00C40FD3" w:rsidR="001D6998">
        <w:rPr>
          <w:lang w:val="sq-AL"/>
        </w:rPr>
        <w:t>n. Nga raporti dilte se ankesat i ishin përcjell</w:t>
      </w:r>
      <w:r w:rsidR="00C40FD3">
        <w:rPr>
          <w:lang w:val="sq-AL"/>
        </w:rPr>
        <w:t>ë</w:t>
      </w:r>
      <w:r w:rsidRPr="00C40FD3" w:rsidR="001D6998">
        <w:rPr>
          <w:lang w:val="sq-AL"/>
        </w:rPr>
        <w:t xml:space="preserve"> policisë n</w:t>
      </w:r>
      <w:r w:rsidR="00C40FD3">
        <w:rPr>
          <w:lang w:val="sq-AL"/>
        </w:rPr>
        <w:t>ë</w:t>
      </w:r>
      <w:r w:rsidRPr="00C40FD3" w:rsidR="001D6998">
        <w:rPr>
          <w:lang w:val="sq-AL"/>
        </w:rPr>
        <w:t xml:space="preserve"> vitet 1960 dhe se Ministria nuk i kishte marr</w:t>
      </w:r>
      <w:r w:rsidR="00C40FD3">
        <w:rPr>
          <w:lang w:val="sq-AL"/>
        </w:rPr>
        <w:t>ë</w:t>
      </w:r>
      <w:r w:rsidRPr="00C40FD3" w:rsidR="001D6998">
        <w:rPr>
          <w:lang w:val="sq-AL"/>
        </w:rPr>
        <w:t xml:space="preserve"> parasysh ato q</w:t>
      </w:r>
      <w:r w:rsidR="00C40FD3">
        <w:rPr>
          <w:lang w:val="sq-AL"/>
        </w:rPr>
        <w:t>ë</w:t>
      </w:r>
      <w:r w:rsidRPr="00C40FD3" w:rsidR="001D6998">
        <w:rPr>
          <w:lang w:val="sq-AL"/>
        </w:rPr>
        <w:t xml:space="preserve"> i ishin drejtuar asaj n</w:t>
      </w:r>
      <w:r w:rsidR="00C40FD3">
        <w:rPr>
          <w:lang w:val="sq-AL"/>
        </w:rPr>
        <w:t>ë</w:t>
      </w:r>
      <w:r w:rsidRPr="00C40FD3" w:rsidR="001D6998">
        <w:rPr>
          <w:lang w:val="sq-AL"/>
        </w:rPr>
        <w:t xml:space="preserve"> fillim t</w:t>
      </w:r>
      <w:r w:rsidR="00C40FD3">
        <w:rPr>
          <w:lang w:val="sq-AL"/>
        </w:rPr>
        <w:t>ë</w:t>
      </w:r>
      <w:r w:rsidRPr="00C40FD3" w:rsidR="001D6998">
        <w:rPr>
          <w:lang w:val="sq-AL"/>
        </w:rPr>
        <w:t xml:space="preserve"> viteve 1980, çka përb</w:t>
      </w:r>
      <w:r w:rsidR="00C40FD3">
        <w:rPr>
          <w:lang w:val="sq-AL"/>
        </w:rPr>
        <w:t>ë</w:t>
      </w:r>
      <w:r w:rsidRPr="00C40FD3" w:rsidR="001D6998">
        <w:rPr>
          <w:lang w:val="sq-AL"/>
        </w:rPr>
        <w:t>nte, siç e kishte pranuar edhe Ministria përpara Komisionit, nj</w:t>
      </w:r>
      <w:r w:rsidR="00C40FD3">
        <w:rPr>
          <w:lang w:val="sq-AL"/>
        </w:rPr>
        <w:t>ë</w:t>
      </w:r>
      <w:r w:rsidRPr="00C40FD3" w:rsidR="001D6998">
        <w:rPr>
          <w:lang w:val="sq-AL"/>
        </w:rPr>
        <w:t xml:space="preserve"> qëndrim t</w:t>
      </w:r>
      <w:r w:rsidR="00C40FD3">
        <w:rPr>
          <w:lang w:val="sq-AL"/>
        </w:rPr>
        <w:t>ë</w:t>
      </w:r>
      <w:r w:rsidRPr="00C40FD3" w:rsidR="001D6998">
        <w:rPr>
          <w:lang w:val="sq-AL"/>
        </w:rPr>
        <w:t xml:space="preserve"> pajustifikueshëm, qoft</w:t>
      </w:r>
      <w:r w:rsidR="00C40FD3">
        <w:rPr>
          <w:lang w:val="sq-AL"/>
        </w:rPr>
        <w:t>ë</w:t>
      </w:r>
      <w:r w:rsidRPr="00C40FD3" w:rsidR="001D6998">
        <w:rPr>
          <w:lang w:val="sq-AL"/>
        </w:rPr>
        <w:t xml:space="preserve"> edhe me kriteret e asaj kohe. Sipas raportit, hetimi kishte nxjerr</w:t>
      </w:r>
      <w:r w:rsidR="00C40FD3">
        <w:rPr>
          <w:lang w:val="sq-AL"/>
        </w:rPr>
        <w:t>ë</w:t>
      </w:r>
      <w:r w:rsidRPr="00C40FD3" w:rsidR="001D6998">
        <w:rPr>
          <w:lang w:val="sq-AL"/>
        </w:rPr>
        <w:t xml:space="preserve"> n</w:t>
      </w:r>
      <w:r w:rsidR="00C40FD3">
        <w:rPr>
          <w:lang w:val="sq-AL"/>
        </w:rPr>
        <w:t>ë</w:t>
      </w:r>
      <w:r w:rsidRPr="00C40FD3" w:rsidR="001D6998">
        <w:rPr>
          <w:lang w:val="sq-AL"/>
        </w:rPr>
        <w:t xml:space="preserve"> dritë jo vet</w:t>
      </w:r>
      <w:r w:rsidR="00C40FD3">
        <w:rPr>
          <w:lang w:val="sq-AL"/>
        </w:rPr>
        <w:t>ë</w:t>
      </w:r>
      <w:r w:rsidRPr="00C40FD3" w:rsidR="001D6998">
        <w:rPr>
          <w:lang w:val="sq-AL"/>
        </w:rPr>
        <w:t>m fakte q</w:t>
      </w:r>
      <w:r w:rsidR="00C40FD3">
        <w:rPr>
          <w:lang w:val="sq-AL"/>
        </w:rPr>
        <w:t>ë</w:t>
      </w:r>
      <w:r w:rsidRPr="00C40FD3" w:rsidR="001D6998">
        <w:rPr>
          <w:lang w:val="sq-AL"/>
        </w:rPr>
        <w:t xml:space="preserve"> n</w:t>
      </w:r>
      <w:r w:rsidR="00C40FD3">
        <w:rPr>
          <w:lang w:val="sq-AL"/>
        </w:rPr>
        <w:t>ë</w:t>
      </w:r>
      <w:r w:rsidRPr="00C40FD3" w:rsidR="001D6998">
        <w:rPr>
          <w:lang w:val="sq-AL"/>
        </w:rPr>
        <w:t xml:space="preserve"> vetvete ishin të neveritshme, por</w:t>
      </w:r>
      <w:r w:rsidRPr="00C40FD3" w:rsidR="008C6C55">
        <w:rPr>
          <w:lang w:val="sq-AL"/>
        </w:rPr>
        <w:t xml:space="preserve"> </w:t>
      </w:r>
      <w:r w:rsidRPr="00C40FD3" w:rsidR="001D6998">
        <w:rPr>
          <w:lang w:val="sq-AL"/>
        </w:rPr>
        <w:t>edhe “leht</w:t>
      </w:r>
      <w:r w:rsidR="00C40FD3">
        <w:rPr>
          <w:lang w:val="sq-AL"/>
        </w:rPr>
        <w:t>ë</w:t>
      </w:r>
      <w:r w:rsidRPr="00C40FD3" w:rsidR="001D6998">
        <w:rPr>
          <w:lang w:val="sq-AL"/>
        </w:rPr>
        <w:t>sin</w:t>
      </w:r>
      <w:r w:rsidR="00C40FD3">
        <w:rPr>
          <w:lang w:val="sq-AL"/>
        </w:rPr>
        <w:t>ë</w:t>
      </w:r>
      <w:r w:rsidRPr="00C40FD3" w:rsidR="001D6998">
        <w:rPr>
          <w:lang w:val="sq-AL"/>
        </w:rPr>
        <w:t xml:space="preserve"> me t</w:t>
      </w:r>
      <w:r w:rsidR="00C40FD3">
        <w:rPr>
          <w:lang w:val="sq-AL"/>
        </w:rPr>
        <w:t>ë</w:t>
      </w:r>
      <w:r w:rsidRPr="00C40FD3" w:rsidR="001D6998">
        <w:rPr>
          <w:lang w:val="sq-AL"/>
        </w:rPr>
        <w:t xml:space="preserve"> cil</w:t>
      </w:r>
      <w:r w:rsidR="00C40FD3">
        <w:rPr>
          <w:lang w:val="sq-AL"/>
        </w:rPr>
        <w:t>ë</w:t>
      </w:r>
      <w:r w:rsidRPr="00C40FD3" w:rsidR="001D6998">
        <w:rPr>
          <w:lang w:val="sq-AL"/>
        </w:rPr>
        <w:t>n mund t</w:t>
      </w:r>
      <w:r w:rsidR="00C40FD3">
        <w:rPr>
          <w:lang w:val="sq-AL"/>
        </w:rPr>
        <w:t>ë</w:t>
      </w:r>
      <w:r w:rsidRPr="00C40FD3" w:rsidR="001D6998">
        <w:rPr>
          <w:lang w:val="sq-AL"/>
        </w:rPr>
        <w:t xml:space="preserve"> vepronin </w:t>
      </w:r>
      <w:r w:rsidRPr="00C40FD3" w:rsidR="00816259">
        <w:rPr>
          <w:lang w:val="sq-AL"/>
        </w:rPr>
        <w:t>pretarët seksualë n</w:t>
      </w:r>
      <w:r w:rsidR="00C40FD3">
        <w:rPr>
          <w:lang w:val="sq-AL"/>
        </w:rPr>
        <w:t>ë</w:t>
      </w:r>
      <w:r w:rsidRPr="00C40FD3" w:rsidR="00816259">
        <w:rPr>
          <w:lang w:val="sq-AL"/>
        </w:rPr>
        <w:t xml:space="preserve"> gjirin e sistemit arsimor t</w:t>
      </w:r>
      <w:r w:rsidR="00C40FD3">
        <w:rPr>
          <w:lang w:val="sq-AL"/>
        </w:rPr>
        <w:t>ë</w:t>
      </w:r>
      <w:r w:rsidRPr="00C40FD3" w:rsidR="00816259">
        <w:rPr>
          <w:lang w:val="sq-AL"/>
        </w:rPr>
        <w:t xml:space="preserve"> shtetit, pa pasur p</w:t>
      </w:r>
      <w:r w:rsidR="00C40FD3">
        <w:rPr>
          <w:lang w:val="sq-AL"/>
        </w:rPr>
        <w:t>ë</w:t>
      </w:r>
      <w:r w:rsidRPr="00C40FD3" w:rsidR="00816259">
        <w:rPr>
          <w:lang w:val="sq-AL"/>
        </w:rPr>
        <w:t>rse t</w:t>
      </w:r>
      <w:r w:rsidR="00943091">
        <w:rPr>
          <w:lang w:val="sq-AL"/>
        </w:rPr>
        <w:t>’</w:t>
      </w:r>
      <w:r w:rsidRPr="00C40FD3" w:rsidR="00816259">
        <w:rPr>
          <w:lang w:val="sq-AL"/>
        </w:rPr>
        <w:t>i druheshin as kallëzimit, as nd</w:t>
      </w:r>
      <w:r w:rsidR="00C40FD3">
        <w:rPr>
          <w:lang w:val="sq-AL"/>
        </w:rPr>
        <w:t>ë</w:t>
      </w:r>
      <w:r w:rsidRPr="00C40FD3" w:rsidR="00816259">
        <w:rPr>
          <w:lang w:val="sq-AL"/>
        </w:rPr>
        <w:t>shkimit”.</w:t>
      </w:r>
    </w:p>
    <w:p w:rsidRPr="007A5C38" w:rsidR="00EB737A" w:rsidP="00EB737A" w:rsidRDefault="00EB737A">
      <w:pPr>
        <w:pStyle w:val="ECHRPara"/>
        <w:rPr>
          <w:lang w:val="sq-AL"/>
        </w:rPr>
      </w:pPr>
      <w:r w:rsidRPr="007A5C38">
        <w:rPr>
          <w:lang w:val="sq-AL"/>
        </w:rPr>
        <w:fldChar w:fldCharType="begin"/>
      </w:r>
      <w:r w:rsidRPr="007A5C38">
        <w:rPr>
          <w:lang w:val="sq-AL"/>
        </w:rPr>
        <w:instrText xml:space="preserve"> SEQ level0 \*arabic </w:instrText>
      </w:r>
      <w:r w:rsidRPr="007A5C38">
        <w:rPr>
          <w:lang w:val="sq-AL"/>
        </w:rPr>
        <w:fldChar w:fldCharType="separate"/>
      </w:r>
      <w:r w:rsidR="00013F9B">
        <w:rPr>
          <w:noProof/>
          <w:lang w:val="sq-AL"/>
        </w:rPr>
        <w:t>80</w:t>
      </w:r>
      <w:r w:rsidRPr="007A5C38">
        <w:rPr>
          <w:lang w:val="sq-AL"/>
        </w:rPr>
        <w:fldChar w:fldCharType="end"/>
      </w:r>
      <w:r w:rsidRPr="007A5C38">
        <w:rPr>
          <w:lang w:val="sq-AL"/>
        </w:rPr>
        <w:t>.  </w:t>
      </w:r>
      <w:r w:rsidRPr="007A5C38" w:rsidR="00816259">
        <w:rPr>
          <w:lang w:val="sq-AL"/>
        </w:rPr>
        <w:t>Vëllimi</w:t>
      </w:r>
      <w:r w:rsidRPr="007A5C38">
        <w:rPr>
          <w:lang w:val="sq-AL"/>
        </w:rPr>
        <w:t xml:space="preserve"> III </w:t>
      </w:r>
      <w:r w:rsidRPr="007A5C38" w:rsidR="00816259">
        <w:rPr>
          <w:lang w:val="sq-AL"/>
        </w:rPr>
        <w:t>përb</w:t>
      </w:r>
      <w:r w:rsidRPr="007A5C38" w:rsidR="00C40FD3">
        <w:rPr>
          <w:lang w:val="sq-AL"/>
        </w:rPr>
        <w:t>ë</w:t>
      </w:r>
      <w:r w:rsidRPr="007A5C38" w:rsidR="00816259">
        <w:rPr>
          <w:lang w:val="sq-AL"/>
        </w:rPr>
        <w:t>hej nga raporti i Komitetit t</w:t>
      </w:r>
      <w:r w:rsidRPr="007A5C38" w:rsidR="00C40FD3">
        <w:rPr>
          <w:lang w:val="sq-AL"/>
        </w:rPr>
        <w:t>ë</w:t>
      </w:r>
      <w:r w:rsidRPr="007A5C38" w:rsidR="00816259">
        <w:rPr>
          <w:lang w:val="sq-AL"/>
        </w:rPr>
        <w:t xml:space="preserve"> Dëshmive n</w:t>
      </w:r>
      <w:r w:rsidRPr="007A5C38" w:rsidR="00C40FD3">
        <w:rPr>
          <w:lang w:val="sq-AL"/>
        </w:rPr>
        <w:t>ë</w:t>
      </w:r>
      <w:r w:rsidRPr="007A5C38" w:rsidR="00816259">
        <w:rPr>
          <w:lang w:val="sq-AL"/>
        </w:rPr>
        <w:t xml:space="preserve"> Mirëbesim, i cili kishte d</w:t>
      </w:r>
      <w:r w:rsidRPr="007A5C38" w:rsidR="00C40FD3">
        <w:rPr>
          <w:lang w:val="sq-AL"/>
        </w:rPr>
        <w:t>ë</w:t>
      </w:r>
      <w:r w:rsidRPr="007A5C38" w:rsidR="00816259">
        <w:rPr>
          <w:lang w:val="sq-AL"/>
        </w:rPr>
        <w:t xml:space="preserve">gjuar deklarimet e </w:t>
      </w:r>
      <w:r w:rsidRPr="007A5C38">
        <w:rPr>
          <w:lang w:val="sq-AL"/>
        </w:rPr>
        <w:t>1 090 person</w:t>
      </w:r>
      <w:r w:rsidRPr="007A5C38" w:rsidR="00816259">
        <w:rPr>
          <w:lang w:val="sq-AL"/>
        </w:rPr>
        <w:t>ave lidhur me abuzimet e kryera nd</w:t>
      </w:r>
      <w:r w:rsidRPr="007A5C38" w:rsidR="00C40FD3">
        <w:rPr>
          <w:lang w:val="sq-AL"/>
        </w:rPr>
        <w:t>ë</w:t>
      </w:r>
      <w:r w:rsidRPr="007A5C38" w:rsidR="00816259">
        <w:rPr>
          <w:lang w:val="sq-AL"/>
        </w:rPr>
        <w:t>rmjet viteve 1930 e</w:t>
      </w:r>
      <w:r w:rsidRPr="007A5C38">
        <w:rPr>
          <w:lang w:val="sq-AL"/>
        </w:rPr>
        <w:t xml:space="preserve"> 1990 </w:t>
      </w:r>
      <w:r w:rsidRPr="007A5C38" w:rsidR="00816259">
        <w:rPr>
          <w:lang w:val="sq-AL"/>
        </w:rPr>
        <w:t>në</w:t>
      </w:r>
      <w:r w:rsidRPr="007A5C38">
        <w:rPr>
          <w:lang w:val="sq-AL"/>
        </w:rPr>
        <w:t xml:space="preserve"> 216 institu</w:t>
      </w:r>
      <w:r w:rsidRPr="007A5C38" w:rsidR="00816259">
        <w:rPr>
          <w:lang w:val="sq-AL"/>
        </w:rPr>
        <w:t>c</w:t>
      </w:r>
      <w:r w:rsidRPr="007A5C38">
        <w:rPr>
          <w:lang w:val="sq-AL"/>
        </w:rPr>
        <w:t>ion</w:t>
      </w:r>
      <w:r w:rsidRPr="007A5C38" w:rsidR="00816259">
        <w:rPr>
          <w:lang w:val="sq-AL"/>
        </w:rPr>
        <w:t>e</w:t>
      </w:r>
      <w:r w:rsidRPr="007A5C38">
        <w:rPr>
          <w:lang w:val="sq-AL"/>
        </w:rPr>
        <w:t xml:space="preserve">, </w:t>
      </w:r>
      <w:r w:rsidRPr="007A5C38" w:rsidR="00816259">
        <w:rPr>
          <w:lang w:val="sq-AL"/>
        </w:rPr>
        <w:t xml:space="preserve">kryesisht </w:t>
      </w:r>
      <w:r w:rsidRPr="007A5C38">
        <w:rPr>
          <w:i/>
          <w:lang w:val="sq-AL"/>
        </w:rPr>
        <w:t>reformatory schools</w:t>
      </w:r>
      <w:r w:rsidRPr="007A5C38">
        <w:rPr>
          <w:lang w:val="sq-AL"/>
        </w:rPr>
        <w:t xml:space="preserve"> </w:t>
      </w:r>
      <w:r w:rsidRPr="007A5C38" w:rsidR="00816259">
        <w:rPr>
          <w:lang w:val="sq-AL"/>
        </w:rPr>
        <w:t>e</w:t>
      </w:r>
      <w:r w:rsidRPr="007A5C38">
        <w:rPr>
          <w:lang w:val="sq-AL"/>
        </w:rPr>
        <w:t xml:space="preserve"> </w:t>
      </w:r>
      <w:r w:rsidRPr="007A5C38">
        <w:rPr>
          <w:i/>
          <w:lang w:val="sq-AL"/>
        </w:rPr>
        <w:t>industrial schools</w:t>
      </w:r>
      <w:r w:rsidRPr="007A5C38">
        <w:rPr>
          <w:lang w:val="sq-AL"/>
        </w:rPr>
        <w:t xml:space="preserve">, </w:t>
      </w:r>
      <w:r w:rsidRPr="007A5C38" w:rsidR="00816259">
        <w:rPr>
          <w:lang w:val="sq-AL"/>
        </w:rPr>
        <w:t>por edhe n</w:t>
      </w:r>
      <w:r w:rsidRPr="007A5C38" w:rsidR="00C40FD3">
        <w:rPr>
          <w:lang w:val="sq-AL"/>
        </w:rPr>
        <w:t>ë</w:t>
      </w:r>
      <w:r w:rsidRPr="007A5C38" w:rsidR="00816259">
        <w:rPr>
          <w:lang w:val="sq-AL"/>
        </w:rPr>
        <w:t xml:space="preserve"> disa shkolla komb</w:t>
      </w:r>
      <w:r w:rsidRPr="007A5C38" w:rsidR="00C40FD3">
        <w:rPr>
          <w:lang w:val="sq-AL"/>
        </w:rPr>
        <w:t>ë</w:t>
      </w:r>
      <w:r w:rsidRPr="007A5C38" w:rsidR="00816259">
        <w:rPr>
          <w:lang w:val="sq-AL"/>
        </w:rPr>
        <w:t>tare. Komisioni kishte d</w:t>
      </w:r>
      <w:r w:rsidRPr="007A5C38" w:rsidR="00C40FD3">
        <w:rPr>
          <w:lang w:val="sq-AL"/>
        </w:rPr>
        <w:t>ë</w:t>
      </w:r>
      <w:r w:rsidRPr="007A5C38" w:rsidR="00816259">
        <w:rPr>
          <w:lang w:val="sq-AL"/>
        </w:rPr>
        <w:t>gjuar</w:t>
      </w:r>
      <w:r w:rsidRPr="007A5C38">
        <w:rPr>
          <w:lang w:val="sq-AL"/>
        </w:rPr>
        <w:t xml:space="preserve"> 82 </w:t>
      </w:r>
      <w:r w:rsidRPr="007A5C38" w:rsidR="00816259">
        <w:rPr>
          <w:lang w:val="sq-AL"/>
        </w:rPr>
        <w:t>rr</w:t>
      </w:r>
      <w:r w:rsidRPr="007A5C38" w:rsidR="00C40FD3">
        <w:rPr>
          <w:lang w:val="sq-AL"/>
        </w:rPr>
        <w:t>ë</w:t>
      </w:r>
      <w:r w:rsidRPr="007A5C38" w:rsidR="00816259">
        <w:rPr>
          <w:lang w:val="sq-AL"/>
        </w:rPr>
        <w:t>fime, t</w:t>
      </w:r>
      <w:r w:rsidRPr="007A5C38" w:rsidR="00C40FD3">
        <w:rPr>
          <w:lang w:val="sq-AL"/>
        </w:rPr>
        <w:t>ë</w:t>
      </w:r>
      <w:r w:rsidRPr="007A5C38" w:rsidR="00816259">
        <w:rPr>
          <w:lang w:val="sq-AL"/>
        </w:rPr>
        <w:t xml:space="preserve"> b</w:t>
      </w:r>
      <w:r w:rsidRPr="007A5C38" w:rsidR="00C40FD3">
        <w:rPr>
          <w:lang w:val="sq-AL"/>
        </w:rPr>
        <w:t>ë</w:t>
      </w:r>
      <w:r w:rsidRPr="007A5C38" w:rsidR="00816259">
        <w:rPr>
          <w:lang w:val="sq-AL"/>
        </w:rPr>
        <w:t xml:space="preserve">ra nga </w:t>
      </w:r>
      <w:r w:rsidRPr="007A5C38">
        <w:rPr>
          <w:lang w:val="sq-AL"/>
        </w:rPr>
        <w:t xml:space="preserve">70 </w:t>
      </w:r>
      <w:r w:rsidRPr="007A5C38" w:rsidR="00816259">
        <w:rPr>
          <w:lang w:val="sq-AL"/>
        </w:rPr>
        <w:t>d</w:t>
      </w:r>
      <w:r w:rsidRPr="007A5C38" w:rsidR="00C40FD3">
        <w:rPr>
          <w:lang w:val="sq-AL"/>
        </w:rPr>
        <w:t>ë</w:t>
      </w:r>
      <w:r w:rsidRPr="007A5C38" w:rsidR="00816259">
        <w:rPr>
          <w:lang w:val="sq-AL"/>
        </w:rPr>
        <w:t>shmitarë, p</w:t>
      </w:r>
      <w:r w:rsidRPr="007A5C38" w:rsidR="00C40FD3">
        <w:rPr>
          <w:lang w:val="sq-AL"/>
        </w:rPr>
        <w:t>ë</w:t>
      </w:r>
      <w:r w:rsidRPr="007A5C38" w:rsidR="00816259">
        <w:rPr>
          <w:lang w:val="sq-AL"/>
        </w:rPr>
        <w:t>r keqtrajtime q</w:t>
      </w:r>
      <w:r w:rsidRPr="007A5C38" w:rsidR="00C40FD3">
        <w:rPr>
          <w:lang w:val="sq-AL"/>
        </w:rPr>
        <w:t>ë</w:t>
      </w:r>
      <w:r w:rsidRPr="007A5C38" w:rsidR="00816259">
        <w:rPr>
          <w:lang w:val="sq-AL"/>
        </w:rPr>
        <w:t xml:space="preserve"> kishin ndodhur n</w:t>
      </w:r>
      <w:r w:rsidRPr="007A5C38" w:rsidR="00C40FD3">
        <w:rPr>
          <w:lang w:val="sq-AL"/>
        </w:rPr>
        <w:t>ë</w:t>
      </w:r>
      <w:r w:rsidRPr="007A5C38" w:rsidR="00816259">
        <w:rPr>
          <w:lang w:val="sq-AL"/>
        </w:rPr>
        <w:t xml:space="preserve"> </w:t>
      </w:r>
      <w:r w:rsidRPr="007A5C38">
        <w:rPr>
          <w:lang w:val="sq-AL"/>
        </w:rPr>
        <w:t>73 </w:t>
      </w:r>
      <w:r w:rsidRPr="007A5C38" w:rsidR="00816259">
        <w:rPr>
          <w:lang w:val="sq-AL"/>
        </w:rPr>
        <w:t>institucione arsimi fillor e t</w:t>
      </w:r>
      <w:r w:rsidRPr="007A5C38" w:rsidR="00C40FD3">
        <w:rPr>
          <w:lang w:val="sq-AL"/>
        </w:rPr>
        <w:t>ë</w:t>
      </w:r>
      <w:r w:rsidRPr="007A5C38" w:rsidR="00816259">
        <w:rPr>
          <w:lang w:val="sq-AL"/>
        </w:rPr>
        <w:t xml:space="preserve"> ul</w:t>
      </w:r>
      <w:r w:rsidRPr="007A5C38" w:rsidR="00C40FD3">
        <w:rPr>
          <w:lang w:val="sq-AL"/>
        </w:rPr>
        <w:t>ë</w:t>
      </w:r>
      <w:r w:rsidRPr="007A5C38" w:rsidR="00816259">
        <w:rPr>
          <w:lang w:val="sq-AL"/>
        </w:rPr>
        <w:t>t</w:t>
      </w:r>
      <w:r w:rsidRPr="007A5C38">
        <w:rPr>
          <w:lang w:val="sq-AL"/>
        </w:rPr>
        <w:t xml:space="preserve">; </w:t>
      </w:r>
      <w:r w:rsidRPr="007A5C38" w:rsidR="00816259">
        <w:rPr>
          <w:lang w:val="sq-AL"/>
        </w:rPr>
        <w:t>n</w:t>
      </w:r>
      <w:r w:rsidRPr="007A5C38" w:rsidR="00C40FD3">
        <w:rPr>
          <w:lang w:val="sq-AL"/>
        </w:rPr>
        <w:t>ë</w:t>
      </w:r>
      <w:r w:rsidRPr="007A5C38" w:rsidR="00816259">
        <w:rPr>
          <w:lang w:val="sq-AL"/>
        </w:rPr>
        <w:t xml:space="preserve"> shumic</w:t>
      </w:r>
      <w:r w:rsidRPr="007A5C38" w:rsidR="00C40FD3">
        <w:rPr>
          <w:lang w:val="sq-AL"/>
        </w:rPr>
        <w:t>ë</w:t>
      </w:r>
      <w:r w:rsidRPr="007A5C38" w:rsidR="00816259">
        <w:rPr>
          <w:lang w:val="sq-AL"/>
        </w:rPr>
        <w:t>n e rasteve, fjala ishte p</w:t>
      </w:r>
      <w:r w:rsidRPr="007A5C38" w:rsidR="00C40FD3">
        <w:rPr>
          <w:lang w:val="sq-AL"/>
        </w:rPr>
        <w:t>ë</w:t>
      </w:r>
      <w:r w:rsidRPr="007A5C38" w:rsidR="00816259">
        <w:rPr>
          <w:lang w:val="sq-AL"/>
        </w:rPr>
        <w:t>r fëmij</w:t>
      </w:r>
      <w:r w:rsidRPr="007A5C38" w:rsidR="00C40FD3">
        <w:rPr>
          <w:lang w:val="sq-AL"/>
        </w:rPr>
        <w:t>ë</w:t>
      </w:r>
      <w:r w:rsidRPr="007A5C38" w:rsidR="00816259">
        <w:rPr>
          <w:lang w:val="sq-AL"/>
        </w:rPr>
        <w:t xml:space="preserve"> q</w:t>
      </w:r>
      <w:r w:rsidRPr="007A5C38" w:rsidR="00C40FD3">
        <w:rPr>
          <w:lang w:val="sq-AL"/>
        </w:rPr>
        <w:t>ë</w:t>
      </w:r>
      <w:r w:rsidRPr="007A5C38" w:rsidR="00816259">
        <w:rPr>
          <w:lang w:val="sq-AL"/>
        </w:rPr>
        <w:t xml:space="preserve"> ishin larguar nga shkolla p</w:t>
      </w:r>
      <w:r w:rsidRPr="007A5C38" w:rsidR="00C40FD3">
        <w:rPr>
          <w:lang w:val="sq-AL"/>
        </w:rPr>
        <w:t>ë</w:t>
      </w:r>
      <w:r w:rsidRPr="007A5C38" w:rsidR="00816259">
        <w:rPr>
          <w:lang w:val="sq-AL"/>
        </w:rPr>
        <w:t>rpara ose gjat</w:t>
      </w:r>
      <w:r w:rsidRPr="007A5C38" w:rsidR="00C40FD3">
        <w:rPr>
          <w:lang w:val="sq-AL"/>
        </w:rPr>
        <w:t>ë</w:t>
      </w:r>
      <w:r w:rsidRPr="007A5C38" w:rsidR="00816259">
        <w:rPr>
          <w:lang w:val="sq-AL"/>
        </w:rPr>
        <w:t xml:space="preserve"> viteve </w:t>
      </w:r>
      <w:r w:rsidRPr="007A5C38">
        <w:rPr>
          <w:lang w:val="sq-AL"/>
        </w:rPr>
        <w:t xml:space="preserve">1970. </w:t>
      </w:r>
      <w:r w:rsidRPr="007A5C38" w:rsidR="00816259">
        <w:rPr>
          <w:lang w:val="sq-AL"/>
        </w:rPr>
        <w:t>Sipas raportit,</w:t>
      </w:r>
      <w:r w:rsidRPr="007A5C38" w:rsidR="00C40FD3">
        <w:rPr>
          <w:lang w:val="sq-AL"/>
        </w:rPr>
        <w:t xml:space="preserve"> më shumë se gjysma e dëshmitarëve kishin folur për dhunime me natyrë seksuale, ankesa u ishin paraqitur që në atë kohë veçanërisht policisë e ministrisë, dhe disa dëshmitarë kishin theksuar karakterin publik, e që nuk linte pra vend për dyshime</w:t>
      </w:r>
      <w:r w:rsidRPr="007A5C38">
        <w:rPr>
          <w:lang w:val="sq-AL"/>
        </w:rPr>
        <w:t xml:space="preserve">, </w:t>
      </w:r>
      <w:r w:rsidRPr="007A5C38" w:rsidR="00C40FD3">
        <w:rPr>
          <w:lang w:val="sq-AL"/>
        </w:rPr>
        <w:t>të abuzimeve seksuale.</w:t>
      </w:r>
    </w:p>
    <w:p w:rsidRPr="007A5C38" w:rsidR="00EB737A" w:rsidP="00EB737A" w:rsidRDefault="00EB737A">
      <w:pPr>
        <w:pStyle w:val="ECHRPara"/>
        <w:rPr>
          <w:lang w:val="sq-AL"/>
        </w:rPr>
      </w:pPr>
      <w:r w:rsidRPr="007A5C38">
        <w:rPr>
          <w:lang w:val="sq-AL"/>
        </w:rPr>
        <w:fldChar w:fldCharType="begin"/>
      </w:r>
      <w:r w:rsidRPr="007A5C38">
        <w:rPr>
          <w:lang w:val="sq-AL"/>
        </w:rPr>
        <w:instrText xml:space="preserve"> SEQ level0 \*arabic </w:instrText>
      </w:r>
      <w:r w:rsidRPr="007A5C38">
        <w:rPr>
          <w:lang w:val="sq-AL"/>
        </w:rPr>
        <w:fldChar w:fldCharType="separate"/>
      </w:r>
      <w:r w:rsidR="00013F9B">
        <w:rPr>
          <w:noProof/>
          <w:lang w:val="sq-AL"/>
        </w:rPr>
        <w:t>81</w:t>
      </w:r>
      <w:r w:rsidRPr="007A5C38">
        <w:rPr>
          <w:lang w:val="sq-AL"/>
        </w:rPr>
        <w:fldChar w:fldCharType="end"/>
      </w:r>
      <w:r w:rsidRPr="007A5C38">
        <w:rPr>
          <w:lang w:val="sq-AL"/>
        </w:rPr>
        <w:t>.  </w:t>
      </w:r>
      <w:r w:rsidRPr="007A5C38" w:rsidR="00814F8B">
        <w:rPr>
          <w:lang w:val="sq-AL"/>
        </w:rPr>
        <w:t xml:space="preserve">Kapitulli </w:t>
      </w:r>
      <w:r w:rsidRPr="007A5C38">
        <w:rPr>
          <w:lang w:val="sq-AL"/>
        </w:rPr>
        <w:t xml:space="preserve">1 </w:t>
      </w:r>
      <w:r w:rsidRPr="007A5C38" w:rsidR="00814F8B">
        <w:rPr>
          <w:lang w:val="sq-AL"/>
        </w:rPr>
        <w:t>i vëllimit</w:t>
      </w:r>
      <w:r w:rsidRPr="007A5C38">
        <w:rPr>
          <w:lang w:val="sq-AL"/>
        </w:rPr>
        <w:t xml:space="preserve"> IV </w:t>
      </w:r>
      <w:r w:rsidRPr="007A5C38" w:rsidR="00814F8B">
        <w:rPr>
          <w:lang w:val="sq-AL"/>
        </w:rPr>
        <w:t>kishte të b</w:t>
      </w:r>
      <w:r w:rsidRPr="007A5C38" w:rsidR="002E137D">
        <w:rPr>
          <w:lang w:val="sq-AL"/>
        </w:rPr>
        <w:t>ë</w:t>
      </w:r>
      <w:r w:rsidRPr="007A5C38" w:rsidR="00814F8B">
        <w:rPr>
          <w:lang w:val="sq-AL"/>
        </w:rPr>
        <w:t xml:space="preserve">nte me Ministrinë, e cila, sipas Ligjit të vitit </w:t>
      </w:r>
      <w:r w:rsidRPr="007A5C38">
        <w:rPr>
          <w:lang w:val="sq-AL"/>
        </w:rPr>
        <w:t xml:space="preserve">1908 </w:t>
      </w:r>
      <w:r w:rsidRPr="007A5C38" w:rsidR="00814F8B">
        <w:rPr>
          <w:lang w:val="sq-AL"/>
        </w:rPr>
        <w:t>për f</w:t>
      </w:r>
      <w:r w:rsidRPr="007A5C38" w:rsidR="002E137D">
        <w:rPr>
          <w:lang w:val="sq-AL"/>
        </w:rPr>
        <w:t>ë</w:t>
      </w:r>
      <w:r w:rsidRPr="007A5C38" w:rsidR="00814F8B">
        <w:rPr>
          <w:lang w:val="sq-AL"/>
        </w:rPr>
        <w:t>mij</w:t>
      </w:r>
      <w:r w:rsidRPr="007A5C38" w:rsidR="002E137D">
        <w:rPr>
          <w:lang w:val="sq-AL"/>
        </w:rPr>
        <w:t>ë</w:t>
      </w:r>
      <w:r w:rsidRPr="007A5C38" w:rsidR="00814F8B">
        <w:rPr>
          <w:lang w:val="sq-AL"/>
        </w:rPr>
        <w:t>t, ishte juridikisht përgjegj</w:t>
      </w:r>
      <w:r w:rsidRPr="007A5C38" w:rsidR="002E137D">
        <w:rPr>
          <w:lang w:val="sq-AL"/>
        </w:rPr>
        <w:t>ë</w:t>
      </w:r>
      <w:r w:rsidRPr="007A5C38" w:rsidR="00814F8B">
        <w:rPr>
          <w:lang w:val="sq-AL"/>
        </w:rPr>
        <w:t xml:space="preserve">se për fëmijët e dërguar në </w:t>
      </w:r>
      <w:r w:rsidRPr="007A5C38">
        <w:rPr>
          <w:i/>
          <w:lang w:val="sq-AL"/>
        </w:rPr>
        <w:t>reformatory schools</w:t>
      </w:r>
      <w:r w:rsidRPr="007A5C38">
        <w:rPr>
          <w:lang w:val="sq-AL"/>
        </w:rPr>
        <w:t xml:space="preserve"> </w:t>
      </w:r>
      <w:r w:rsidRPr="007A5C38" w:rsidR="00814F8B">
        <w:rPr>
          <w:lang w:val="sq-AL"/>
        </w:rPr>
        <w:t>dhe në</w:t>
      </w:r>
      <w:r w:rsidRPr="007A5C38">
        <w:rPr>
          <w:lang w:val="sq-AL"/>
        </w:rPr>
        <w:t xml:space="preserve"> </w:t>
      </w:r>
      <w:r w:rsidRPr="007A5C38">
        <w:rPr>
          <w:i/>
          <w:lang w:val="sq-AL"/>
        </w:rPr>
        <w:t>industrial schools</w:t>
      </w:r>
      <w:r w:rsidRPr="007A5C38">
        <w:rPr>
          <w:lang w:val="sq-AL"/>
        </w:rPr>
        <w:t xml:space="preserve">. </w:t>
      </w:r>
      <w:r w:rsidRPr="007A5C38" w:rsidR="00814F8B">
        <w:rPr>
          <w:lang w:val="sq-AL"/>
        </w:rPr>
        <w:t>Komisioni dilte n</w:t>
      </w:r>
      <w:r w:rsidRPr="007A5C38" w:rsidR="002E137D">
        <w:rPr>
          <w:lang w:val="sq-AL"/>
        </w:rPr>
        <w:t>ë</w:t>
      </w:r>
      <w:r w:rsidRPr="007A5C38" w:rsidR="00814F8B">
        <w:rPr>
          <w:lang w:val="sq-AL"/>
        </w:rPr>
        <w:t xml:space="preserve"> p</w:t>
      </w:r>
      <w:r w:rsidRPr="007A5C38" w:rsidR="002E137D">
        <w:rPr>
          <w:lang w:val="sq-AL"/>
        </w:rPr>
        <w:t>ë</w:t>
      </w:r>
      <w:r w:rsidRPr="007A5C38" w:rsidR="00814F8B">
        <w:rPr>
          <w:lang w:val="sq-AL"/>
        </w:rPr>
        <w:t>rfundimin se pamjaftueshm</w:t>
      </w:r>
      <w:r w:rsidRPr="007A5C38" w:rsidR="002E137D">
        <w:rPr>
          <w:lang w:val="sq-AL"/>
        </w:rPr>
        <w:t>ë</w:t>
      </w:r>
      <w:r w:rsidRPr="007A5C38" w:rsidR="00814F8B">
        <w:rPr>
          <w:lang w:val="sq-AL"/>
        </w:rPr>
        <w:t>ria e informacioneve që kishte Ministria ishte pasojë e karakterit të pap</w:t>
      </w:r>
      <w:r w:rsidRPr="007A5C38" w:rsidR="002E137D">
        <w:rPr>
          <w:lang w:val="sq-AL"/>
        </w:rPr>
        <w:t>ë</w:t>
      </w:r>
      <w:r w:rsidRPr="007A5C38" w:rsidR="00814F8B">
        <w:rPr>
          <w:lang w:val="sq-AL"/>
        </w:rPr>
        <w:t>rshtatsh</w:t>
      </w:r>
      <w:r w:rsidRPr="007A5C38" w:rsidR="002E137D">
        <w:rPr>
          <w:lang w:val="sq-AL"/>
        </w:rPr>
        <w:t>ë</w:t>
      </w:r>
      <w:r w:rsidRPr="007A5C38" w:rsidR="00814F8B">
        <w:rPr>
          <w:lang w:val="sq-AL"/>
        </w:rPr>
        <w:t>m të sistemit t</w:t>
      </w:r>
      <w:r w:rsidRPr="007A5C38" w:rsidR="002E137D">
        <w:rPr>
          <w:lang w:val="sq-AL"/>
        </w:rPr>
        <w:t>ë</w:t>
      </w:r>
      <w:r w:rsidRPr="007A5C38" w:rsidR="00814F8B">
        <w:rPr>
          <w:lang w:val="sq-AL"/>
        </w:rPr>
        <w:t xml:space="preserve"> inspektimit të ngritur prej saj. Ai shtonte se funksionar</w:t>
      </w:r>
      <w:r w:rsidRPr="007A5C38" w:rsidR="002E137D">
        <w:rPr>
          <w:lang w:val="sq-AL"/>
        </w:rPr>
        <w:t>ë</w:t>
      </w:r>
      <w:r w:rsidRPr="007A5C38" w:rsidR="00814F8B">
        <w:rPr>
          <w:lang w:val="sq-AL"/>
        </w:rPr>
        <w:t>t e Ministrisë ishin t</w:t>
      </w:r>
      <w:r w:rsidRPr="007A5C38" w:rsidR="002E137D">
        <w:rPr>
          <w:lang w:val="sq-AL"/>
        </w:rPr>
        <w:t>ë</w:t>
      </w:r>
      <w:r w:rsidRPr="007A5C38" w:rsidR="00814F8B">
        <w:rPr>
          <w:lang w:val="sq-AL"/>
        </w:rPr>
        <w:t xml:space="preserve"> vetëdijshëm për ekzistencën e abuzimeve dhe se ata duhej t</w:t>
      </w:r>
      <w:r w:rsidR="00943091">
        <w:rPr>
          <w:lang w:val="sq-AL"/>
        </w:rPr>
        <w:t>’</w:t>
      </w:r>
      <w:r w:rsidRPr="007A5C38" w:rsidR="00814F8B">
        <w:rPr>
          <w:lang w:val="sq-AL"/>
        </w:rPr>
        <w:t>i kishin p</w:t>
      </w:r>
      <w:r w:rsidRPr="007A5C38" w:rsidR="002E137D">
        <w:rPr>
          <w:lang w:val="sq-AL"/>
        </w:rPr>
        <w:t>ë</w:t>
      </w:r>
      <w:r w:rsidRPr="007A5C38" w:rsidR="00814F8B">
        <w:rPr>
          <w:lang w:val="sq-AL"/>
        </w:rPr>
        <w:t>rdorur m</w:t>
      </w:r>
      <w:r w:rsidRPr="007A5C38" w:rsidR="002E137D">
        <w:rPr>
          <w:lang w:val="sq-AL"/>
        </w:rPr>
        <w:t>ë</w:t>
      </w:r>
      <w:r w:rsidRPr="007A5C38" w:rsidR="00814F8B">
        <w:rPr>
          <w:lang w:val="sq-AL"/>
        </w:rPr>
        <w:t xml:space="preserve"> shumë, n</w:t>
      </w:r>
      <w:r w:rsidRPr="007A5C38" w:rsidR="002E137D">
        <w:rPr>
          <w:lang w:val="sq-AL"/>
        </w:rPr>
        <w:t>ë</w:t>
      </w:r>
      <w:r w:rsidRPr="007A5C38" w:rsidR="00814F8B">
        <w:rPr>
          <w:lang w:val="sq-AL"/>
        </w:rPr>
        <w:t xml:space="preserve"> interesin e f</w:t>
      </w:r>
      <w:r w:rsidRPr="007A5C38" w:rsidR="002E137D">
        <w:rPr>
          <w:lang w:val="sq-AL"/>
        </w:rPr>
        <w:t>ë</w:t>
      </w:r>
      <w:r w:rsidRPr="007A5C38" w:rsidR="00814F8B">
        <w:rPr>
          <w:lang w:val="sq-AL"/>
        </w:rPr>
        <w:t>mij</w:t>
      </w:r>
      <w:r w:rsidRPr="007A5C38" w:rsidR="002E137D">
        <w:rPr>
          <w:lang w:val="sq-AL"/>
        </w:rPr>
        <w:t>ë</w:t>
      </w:r>
      <w:r w:rsidRPr="007A5C38" w:rsidR="00814F8B">
        <w:rPr>
          <w:lang w:val="sq-AL"/>
        </w:rPr>
        <w:t xml:space="preserve">ve, </w:t>
      </w:r>
      <w:r w:rsidRPr="007A5C38" w:rsidR="004643E8">
        <w:rPr>
          <w:lang w:val="sq-AL"/>
        </w:rPr>
        <w:t>kompetencat e gjera juridike që ata kishin ndaj institucioneve n</w:t>
      </w:r>
      <w:r w:rsidRPr="007A5C38" w:rsidR="002E137D">
        <w:rPr>
          <w:lang w:val="sq-AL"/>
        </w:rPr>
        <w:t>ë</w:t>
      </w:r>
      <w:r w:rsidRPr="007A5C38" w:rsidR="004643E8">
        <w:rPr>
          <w:lang w:val="sq-AL"/>
        </w:rPr>
        <w:t xml:space="preserve"> fjalë, sidomos at</w:t>
      </w:r>
      <w:r w:rsidRPr="007A5C38" w:rsidR="002E137D">
        <w:rPr>
          <w:lang w:val="sq-AL"/>
        </w:rPr>
        <w:t>ë</w:t>
      </w:r>
      <w:r w:rsidRPr="007A5C38" w:rsidR="004643E8">
        <w:rPr>
          <w:lang w:val="sq-AL"/>
        </w:rPr>
        <w:t xml:space="preserve"> p</w:t>
      </w:r>
      <w:r w:rsidRPr="007A5C38" w:rsidR="002E137D">
        <w:rPr>
          <w:lang w:val="sq-AL"/>
        </w:rPr>
        <w:t>ë</w:t>
      </w:r>
      <w:r w:rsidRPr="007A5C38" w:rsidR="004643E8">
        <w:rPr>
          <w:lang w:val="sq-AL"/>
        </w:rPr>
        <w:t>r shkarkimin e drejtor</w:t>
      </w:r>
      <w:r w:rsidRPr="007A5C38" w:rsidR="002E137D">
        <w:rPr>
          <w:lang w:val="sq-AL"/>
        </w:rPr>
        <w:t>ë</w:t>
      </w:r>
      <w:r w:rsidRPr="007A5C38" w:rsidR="004643E8">
        <w:rPr>
          <w:lang w:val="sq-AL"/>
        </w:rPr>
        <w:t>ve. Mir</w:t>
      </w:r>
      <w:r w:rsidRPr="007A5C38" w:rsidR="002E137D">
        <w:rPr>
          <w:lang w:val="sq-AL"/>
        </w:rPr>
        <w:t>ë</w:t>
      </w:r>
      <w:r w:rsidRPr="007A5C38" w:rsidR="004643E8">
        <w:rPr>
          <w:lang w:val="sq-AL"/>
        </w:rPr>
        <w:t>po, sipas Komisionit, Ministria nuk ishte p</w:t>
      </w:r>
      <w:r w:rsidRPr="007A5C38" w:rsidR="002E137D">
        <w:rPr>
          <w:lang w:val="sq-AL"/>
        </w:rPr>
        <w:t>ë</w:t>
      </w:r>
      <w:r w:rsidRPr="007A5C38" w:rsidR="004643E8">
        <w:rPr>
          <w:lang w:val="sq-AL"/>
        </w:rPr>
        <w:t>rpjekur t</w:t>
      </w:r>
      <w:r w:rsidRPr="007A5C38" w:rsidR="002E137D">
        <w:rPr>
          <w:lang w:val="sq-AL"/>
        </w:rPr>
        <w:t>ë</w:t>
      </w:r>
      <w:r w:rsidRPr="007A5C38" w:rsidR="004643E8">
        <w:rPr>
          <w:lang w:val="sq-AL"/>
        </w:rPr>
        <w:t xml:space="preserve"> diktonte as ndryshimin m</w:t>
      </w:r>
      <w:r w:rsidRPr="007A5C38" w:rsidR="002E137D">
        <w:rPr>
          <w:lang w:val="sq-AL"/>
        </w:rPr>
        <w:t>ë</w:t>
      </w:r>
      <w:r w:rsidRPr="007A5C38" w:rsidR="004643E8">
        <w:rPr>
          <w:lang w:val="sq-AL"/>
        </w:rPr>
        <w:t xml:space="preserve"> t</w:t>
      </w:r>
      <w:r w:rsidRPr="007A5C38" w:rsidR="002E137D">
        <w:rPr>
          <w:lang w:val="sq-AL"/>
        </w:rPr>
        <w:t>ë</w:t>
      </w:r>
      <w:r w:rsidRPr="007A5C38" w:rsidR="004643E8">
        <w:rPr>
          <w:lang w:val="sq-AL"/>
        </w:rPr>
        <w:t xml:space="preserve"> vog</w:t>
      </w:r>
      <w:r w:rsidRPr="007A5C38" w:rsidR="002E137D">
        <w:rPr>
          <w:lang w:val="sq-AL"/>
        </w:rPr>
        <w:t>ë</w:t>
      </w:r>
      <w:r w:rsidRPr="007A5C38" w:rsidR="004643E8">
        <w:rPr>
          <w:lang w:val="sq-AL"/>
        </w:rPr>
        <w:t>l për ta p</w:t>
      </w:r>
      <w:r w:rsidRPr="007A5C38" w:rsidR="002E137D">
        <w:rPr>
          <w:lang w:val="sq-AL"/>
        </w:rPr>
        <w:t>ë</w:t>
      </w:r>
      <w:r w:rsidRPr="007A5C38" w:rsidR="004643E8">
        <w:rPr>
          <w:lang w:val="sq-AL"/>
        </w:rPr>
        <w:t>rmir</w:t>
      </w:r>
      <w:r w:rsidRPr="007A5C38" w:rsidR="002E137D">
        <w:rPr>
          <w:lang w:val="sq-AL"/>
        </w:rPr>
        <w:t>ë</w:t>
      </w:r>
      <w:r w:rsidRPr="007A5C38" w:rsidR="004643E8">
        <w:rPr>
          <w:lang w:val="sq-AL"/>
        </w:rPr>
        <w:t>suar fatin e nx</w:t>
      </w:r>
      <w:r w:rsidRPr="007A5C38" w:rsidR="002E137D">
        <w:rPr>
          <w:lang w:val="sq-AL"/>
        </w:rPr>
        <w:t>ë</w:t>
      </w:r>
      <w:r w:rsidRPr="007A5C38" w:rsidR="004643E8">
        <w:rPr>
          <w:lang w:val="sq-AL"/>
        </w:rPr>
        <w:t>n</w:t>
      </w:r>
      <w:r w:rsidRPr="007A5C38" w:rsidR="002E137D">
        <w:rPr>
          <w:lang w:val="sq-AL"/>
        </w:rPr>
        <w:t>ë</w:t>
      </w:r>
      <w:r w:rsidRPr="007A5C38" w:rsidR="004643E8">
        <w:rPr>
          <w:lang w:val="sq-AL"/>
        </w:rPr>
        <w:t>sve të këtyre shkollave. Ai u shpreh si vijon lidhur me këtë ç</w:t>
      </w:r>
      <w:r w:rsidRPr="007A5C38" w:rsidR="002E137D">
        <w:rPr>
          <w:lang w:val="sq-AL"/>
        </w:rPr>
        <w:t>ë</w:t>
      </w:r>
      <w:r w:rsidRPr="007A5C38" w:rsidR="004643E8">
        <w:rPr>
          <w:lang w:val="sq-AL"/>
        </w:rPr>
        <w:t>shtje:</w:t>
      </w:r>
    </w:p>
    <w:p w:rsidRPr="007A5C38" w:rsidR="00EB737A" w:rsidP="00EB737A" w:rsidRDefault="002E137D">
      <w:pPr>
        <w:pStyle w:val="ECHRParaQuote"/>
        <w:rPr>
          <w:lang w:val="sq-AL"/>
        </w:rPr>
      </w:pPr>
      <w:r w:rsidRPr="007A5C38">
        <w:rPr>
          <w:lang w:val="sq-AL"/>
        </w:rPr>
        <w:t>“</w:t>
      </w:r>
      <w:r w:rsidRPr="007A5C38" w:rsidR="00EB737A">
        <w:rPr>
          <w:lang w:val="sq-AL"/>
        </w:rPr>
        <w:t>[</w:t>
      </w:r>
      <w:r w:rsidRPr="007A5C38">
        <w:rPr>
          <w:lang w:val="sq-AL"/>
        </w:rPr>
        <w:t>m</w:t>
      </w:r>
      <w:r w:rsidRPr="007A5C38" w:rsidR="00EB737A">
        <w:rPr>
          <w:lang w:val="sq-AL"/>
        </w:rPr>
        <w:t>]</w:t>
      </w:r>
      <w:r w:rsidRPr="007A5C38">
        <w:rPr>
          <w:lang w:val="sq-AL"/>
        </w:rPr>
        <w:t>adje (...) mangësit</w:t>
      </w:r>
      <w:r w:rsidRPr="007A5C38" w:rsidR="00AD21E0">
        <w:rPr>
          <w:lang w:val="sq-AL"/>
        </w:rPr>
        <w:t>ë</w:t>
      </w:r>
      <w:r w:rsidRPr="007A5C38">
        <w:rPr>
          <w:lang w:val="sq-AL"/>
        </w:rPr>
        <w:t xml:space="preserve"> e Ministrisë n</w:t>
      </w:r>
      <w:r w:rsidRPr="007A5C38" w:rsidR="00AD21E0">
        <w:rPr>
          <w:lang w:val="sq-AL"/>
        </w:rPr>
        <w:t>ë</w:t>
      </w:r>
      <w:r w:rsidRPr="007A5C38">
        <w:rPr>
          <w:lang w:val="sq-AL"/>
        </w:rPr>
        <w:t xml:space="preserve"> k</w:t>
      </w:r>
      <w:r w:rsidRPr="007A5C38" w:rsidR="00AD21E0">
        <w:rPr>
          <w:lang w:val="sq-AL"/>
        </w:rPr>
        <w:t>ë</w:t>
      </w:r>
      <w:r w:rsidRPr="007A5C38">
        <w:rPr>
          <w:lang w:val="sq-AL"/>
        </w:rPr>
        <w:t>t</w:t>
      </w:r>
      <w:r w:rsidRPr="007A5C38" w:rsidR="00AD21E0">
        <w:rPr>
          <w:lang w:val="sq-AL"/>
        </w:rPr>
        <w:t>ë</w:t>
      </w:r>
      <w:r w:rsidRPr="007A5C38">
        <w:rPr>
          <w:lang w:val="sq-AL"/>
        </w:rPr>
        <w:t xml:space="preserve"> drejtim mund t</w:t>
      </w:r>
      <w:r w:rsidRPr="007A5C38" w:rsidR="00AD21E0">
        <w:rPr>
          <w:lang w:val="sq-AL"/>
        </w:rPr>
        <w:t>ë</w:t>
      </w:r>
      <w:r w:rsidRPr="007A5C38">
        <w:rPr>
          <w:lang w:val="sq-AL"/>
        </w:rPr>
        <w:t xml:space="preserve"> shihe</w:t>
      </w:r>
      <w:r w:rsidRPr="007A5C38" w:rsidR="00EB737A">
        <w:rPr>
          <w:lang w:val="sq-AL"/>
        </w:rPr>
        <w:t xml:space="preserve">n </w:t>
      </w:r>
      <w:r w:rsidRPr="007A5C38">
        <w:rPr>
          <w:lang w:val="sq-AL"/>
        </w:rPr>
        <w:t>si shenja e nj</w:t>
      </w:r>
      <w:r w:rsidRPr="007A5C38" w:rsidR="00AD21E0">
        <w:rPr>
          <w:lang w:val="sq-AL"/>
        </w:rPr>
        <w:t>ë</w:t>
      </w:r>
      <w:r w:rsidRPr="007A5C38">
        <w:rPr>
          <w:lang w:val="sq-AL"/>
        </w:rPr>
        <w:t xml:space="preserve"> pranimi t</w:t>
      </w:r>
      <w:r w:rsidRPr="007A5C38" w:rsidR="00AD21E0">
        <w:rPr>
          <w:lang w:val="sq-AL"/>
        </w:rPr>
        <w:t>ë</w:t>
      </w:r>
      <w:r w:rsidRPr="007A5C38">
        <w:rPr>
          <w:lang w:val="sq-AL"/>
        </w:rPr>
        <w:t xml:space="preserve"> heshtur të sundimit dhe të kontrollit t</w:t>
      </w:r>
      <w:r w:rsidRPr="007A5C38" w:rsidR="00AD21E0">
        <w:rPr>
          <w:lang w:val="sq-AL"/>
        </w:rPr>
        <w:t>ë</w:t>
      </w:r>
      <w:r w:rsidRPr="007A5C38">
        <w:rPr>
          <w:lang w:val="sq-AL"/>
        </w:rPr>
        <w:t xml:space="preserve"> </w:t>
      </w:r>
      <w:r w:rsidRPr="007A5C38" w:rsidR="00AD21E0">
        <w:rPr>
          <w:lang w:val="sq-AL"/>
        </w:rPr>
        <w:t>kongregacioneve mbi sistemin nga ana e shtetit. Sekretari i përgjithshëm [ka deklaruar] se Ministria kishte treguar një “nderim t</w:t>
      </w:r>
      <w:r w:rsidR="007A5C38">
        <w:rPr>
          <w:lang w:val="sq-AL"/>
        </w:rPr>
        <w:t>ë</w:t>
      </w:r>
      <w:r w:rsidRPr="007A5C38" w:rsidR="00AD21E0">
        <w:rPr>
          <w:lang w:val="sq-AL"/>
        </w:rPr>
        <w:t xml:space="preserve"> skajsh</w:t>
      </w:r>
      <w:r w:rsidR="007A5C38">
        <w:rPr>
          <w:lang w:val="sq-AL"/>
        </w:rPr>
        <w:t>ë</w:t>
      </w:r>
      <w:r w:rsidRPr="007A5C38" w:rsidR="00AD21E0">
        <w:rPr>
          <w:lang w:val="sq-AL"/>
        </w:rPr>
        <w:t>m” ndaj kongregacioneve fetare. Ky qëndrim i përulur ka penguar çdolloj ndryshimi dhe ësht</w:t>
      </w:r>
      <w:r w:rsidR="007A5C38">
        <w:rPr>
          <w:lang w:val="sq-AL"/>
        </w:rPr>
        <w:t>ë</w:t>
      </w:r>
      <w:r w:rsidRPr="007A5C38" w:rsidR="00AD21E0">
        <w:rPr>
          <w:lang w:val="sq-AL"/>
        </w:rPr>
        <w:t xml:space="preserve"> dashur nj</w:t>
      </w:r>
      <w:r w:rsidR="007A5C38">
        <w:rPr>
          <w:lang w:val="sq-AL"/>
        </w:rPr>
        <w:t>ë</w:t>
      </w:r>
      <w:r w:rsidRPr="007A5C38" w:rsidR="00AD21E0">
        <w:rPr>
          <w:lang w:val="sq-AL"/>
        </w:rPr>
        <w:t xml:space="preserve"> ndërhyrje e pavarur, e materializuar me botimin e Raportit Kennedy më 1970, për t</w:t>
      </w:r>
      <w:r w:rsidR="007A5C38">
        <w:rPr>
          <w:lang w:val="sq-AL"/>
        </w:rPr>
        <w:t>ë</w:t>
      </w:r>
      <w:r w:rsidRPr="007A5C38" w:rsidR="00AD21E0">
        <w:rPr>
          <w:lang w:val="sq-AL"/>
        </w:rPr>
        <w:t xml:space="preserve"> arritur në çrrënjosjen e nj</w:t>
      </w:r>
      <w:r w:rsidR="007A5C38">
        <w:rPr>
          <w:lang w:val="sq-AL"/>
        </w:rPr>
        <w:t>ë</w:t>
      </w:r>
      <w:r w:rsidRPr="007A5C38" w:rsidR="00AD21E0">
        <w:rPr>
          <w:lang w:val="sq-AL"/>
        </w:rPr>
        <w:t xml:space="preserve"> sistemi të per</w:t>
      </w:r>
      <w:r w:rsidR="007A5C38">
        <w:rPr>
          <w:lang w:val="sq-AL"/>
        </w:rPr>
        <w:t>ë</w:t>
      </w:r>
      <w:r w:rsidRPr="007A5C38" w:rsidR="00AD21E0">
        <w:rPr>
          <w:lang w:val="sq-AL"/>
        </w:rPr>
        <w:t>nduar.”</w:t>
      </w:r>
    </w:p>
    <w:p w:rsidRPr="00BF6CBC" w:rsidR="00EB737A" w:rsidP="00EB737A" w:rsidRDefault="00EB737A">
      <w:pPr>
        <w:pStyle w:val="ECHRPara"/>
        <w:rPr>
          <w:lang w:val="sq-AL"/>
        </w:rPr>
      </w:pPr>
      <w:r w:rsidRPr="00654222">
        <w:rPr>
          <w:lang w:val="sq-AL"/>
        </w:rPr>
        <w:fldChar w:fldCharType="begin"/>
      </w:r>
      <w:r w:rsidRPr="00654222">
        <w:rPr>
          <w:lang w:val="sq-AL"/>
        </w:rPr>
        <w:instrText xml:space="preserve"> SEQ level0 \*arabic </w:instrText>
      </w:r>
      <w:r w:rsidRPr="00654222">
        <w:rPr>
          <w:lang w:val="sq-AL"/>
        </w:rPr>
        <w:fldChar w:fldCharType="separate"/>
      </w:r>
      <w:r w:rsidR="00013F9B">
        <w:rPr>
          <w:noProof/>
          <w:lang w:val="sq-AL"/>
        </w:rPr>
        <w:t>82</w:t>
      </w:r>
      <w:r w:rsidRPr="00654222">
        <w:rPr>
          <w:lang w:val="sq-AL"/>
        </w:rPr>
        <w:fldChar w:fldCharType="end"/>
      </w:r>
      <w:r w:rsidRPr="00654222">
        <w:rPr>
          <w:lang w:val="sq-AL"/>
        </w:rPr>
        <w:t>.  </w:t>
      </w:r>
      <w:r w:rsidRPr="00654222" w:rsidR="00AD21E0">
        <w:rPr>
          <w:lang w:val="sq-AL"/>
        </w:rPr>
        <w:t>Vëllimi</w:t>
      </w:r>
      <w:r w:rsidRPr="00654222">
        <w:rPr>
          <w:lang w:val="sq-AL"/>
        </w:rPr>
        <w:t xml:space="preserve"> V </w:t>
      </w:r>
      <w:r w:rsidRPr="00654222" w:rsidR="007A5C38">
        <w:rPr>
          <w:lang w:val="sq-AL"/>
        </w:rPr>
        <w:t xml:space="preserve">përmbante konkretisht kopje ekspertizash. Disa ankues i kishin kërkuar një profesori historie të Irlandës, profesorit </w:t>
      </w:r>
      <w:r w:rsidRPr="00654222">
        <w:rPr>
          <w:lang w:val="sq-AL"/>
        </w:rPr>
        <w:t xml:space="preserve">Ferriter, </w:t>
      </w:r>
      <w:r w:rsidRPr="00654222" w:rsidR="007A5C38">
        <w:rPr>
          <w:lang w:val="sq-AL"/>
        </w:rPr>
        <w:t>që t</w:t>
      </w:r>
      <w:r w:rsidR="00943091">
        <w:rPr>
          <w:lang w:val="sq-AL"/>
        </w:rPr>
        <w:t>’</w:t>
      </w:r>
      <w:r w:rsidRPr="00654222" w:rsidR="007A5C38">
        <w:rPr>
          <w:lang w:val="sq-AL"/>
        </w:rPr>
        <w:t>i për</w:t>
      </w:r>
      <w:r w:rsidR="00BF6CBC">
        <w:rPr>
          <w:lang w:val="sq-AL"/>
        </w:rPr>
        <w:t>gji</w:t>
      </w:r>
      <w:r w:rsidRPr="00654222" w:rsidR="007A5C38">
        <w:rPr>
          <w:lang w:val="sq-AL"/>
        </w:rPr>
        <w:t xml:space="preserve">gjej argumentit sipas të cilit shteti qenkësh informuar në nivel politik për rastet e abuzimeve fizike ndaj të miturve vetëm në vitet </w:t>
      </w:r>
      <w:r w:rsidRPr="00654222">
        <w:rPr>
          <w:lang w:val="sq-AL"/>
        </w:rPr>
        <w:t xml:space="preserve">1970 </w:t>
      </w:r>
      <w:r w:rsidRPr="00654222" w:rsidR="007A5C38">
        <w:rPr>
          <w:lang w:val="sq-AL"/>
        </w:rPr>
        <w:t>dhe për rastet e abuzimeve seksua</w:t>
      </w:r>
      <w:r w:rsidR="00BF6CBC">
        <w:rPr>
          <w:lang w:val="sq-AL"/>
        </w:rPr>
        <w:t>l</w:t>
      </w:r>
      <w:r w:rsidRPr="00654222" w:rsidR="007A5C38">
        <w:rPr>
          <w:lang w:val="sq-AL"/>
        </w:rPr>
        <w:t xml:space="preserve">e ndaj të miturve vetëm në vitet 1980. Komisioni e mori studimin e profesorit </w:t>
      </w:r>
      <w:r w:rsidRPr="00654222">
        <w:rPr>
          <w:lang w:val="sq-AL"/>
        </w:rPr>
        <w:t xml:space="preserve">Ferriter </w:t>
      </w:r>
      <w:r w:rsidRPr="00654222" w:rsidR="007A5C38">
        <w:rPr>
          <w:lang w:val="sq-AL"/>
        </w:rPr>
        <w:t>për llogarinë e tij dhe e vendosi atë në aneksin e raportit të vet. Profesori</w:t>
      </w:r>
      <w:r w:rsidRPr="00654222">
        <w:rPr>
          <w:lang w:val="sq-AL"/>
        </w:rPr>
        <w:t xml:space="preserve"> Ferriter </w:t>
      </w:r>
      <w:r w:rsidRPr="00654222" w:rsidR="007A5C38">
        <w:rPr>
          <w:lang w:val="sq-AL"/>
        </w:rPr>
        <w:t xml:space="preserve">i vendoste ngjarjet e përmendura përpara Komisionit </w:t>
      </w:r>
      <w:r w:rsidRPr="00654222">
        <w:rPr>
          <w:lang w:val="sq-AL"/>
        </w:rPr>
        <w:t xml:space="preserve">Ryan </w:t>
      </w:r>
      <w:r w:rsidRPr="00654222" w:rsidR="007A5C38">
        <w:rPr>
          <w:lang w:val="sq-AL"/>
        </w:rPr>
        <w:t xml:space="preserve">në kontekstin e tyre historik. Ai e cilësonte Raportin </w:t>
      </w:r>
      <w:r w:rsidRPr="00654222">
        <w:rPr>
          <w:lang w:val="sq-AL"/>
        </w:rPr>
        <w:t>Carrigan (</w:t>
      </w:r>
      <w:r w:rsidRPr="00654222" w:rsidR="007A5C38">
        <w:rPr>
          <w:lang w:val="sq-AL"/>
        </w:rPr>
        <w:t>të vitit</w:t>
      </w:r>
      <w:r w:rsidRPr="00654222">
        <w:rPr>
          <w:lang w:val="sq-AL"/>
        </w:rPr>
        <w:t xml:space="preserve"> 1931) </w:t>
      </w:r>
      <w:r w:rsidRPr="00654222" w:rsidR="007A5C38">
        <w:rPr>
          <w:lang w:val="sq-AL"/>
        </w:rPr>
        <w:t>si “etapë t</w:t>
      </w:r>
      <w:r w:rsidR="00654222">
        <w:rPr>
          <w:lang w:val="sq-AL"/>
        </w:rPr>
        <w:t>ë</w:t>
      </w:r>
      <w:r w:rsidRPr="00654222" w:rsidR="007A5C38">
        <w:rPr>
          <w:lang w:val="sq-AL"/>
        </w:rPr>
        <w:t xml:space="preserve"> shënuar” n</w:t>
      </w:r>
      <w:r w:rsidR="00654222">
        <w:rPr>
          <w:lang w:val="sq-AL"/>
        </w:rPr>
        <w:t>ë</w:t>
      </w:r>
      <w:r w:rsidRPr="00654222" w:rsidR="007A5C38">
        <w:rPr>
          <w:lang w:val="sq-AL"/>
        </w:rPr>
        <w:t xml:space="preserve"> grumbullimin e informacioneve mbi përqindjen e ndjekjes penale t</w:t>
      </w:r>
      <w:r w:rsidR="00654222">
        <w:rPr>
          <w:lang w:val="sq-AL"/>
        </w:rPr>
        <w:t>ë</w:t>
      </w:r>
      <w:r w:rsidRPr="00654222" w:rsidR="007A5C38">
        <w:rPr>
          <w:lang w:val="sq-AL"/>
        </w:rPr>
        <w:t xml:space="preserve"> veprave me karakter seksual n</w:t>
      </w:r>
      <w:r w:rsidR="00654222">
        <w:rPr>
          <w:lang w:val="sq-AL"/>
        </w:rPr>
        <w:t>ë</w:t>
      </w:r>
      <w:r w:rsidRPr="00654222" w:rsidR="007A5C38">
        <w:rPr>
          <w:lang w:val="sq-AL"/>
        </w:rPr>
        <w:t xml:space="preserve"> Irland</w:t>
      </w:r>
      <w:r w:rsidR="00654222">
        <w:rPr>
          <w:lang w:val="sq-AL"/>
        </w:rPr>
        <w:t>ë</w:t>
      </w:r>
      <w:r w:rsidRPr="00654222" w:rsidR="007A5C38">
        <w:rPr>
          <w:lang w:val="sq-AL"/>
        </w:rPr>
        <w:t xml:space="preserve">. </w:t>
      </w:r>
      <w:r w:rsidRPr="00654222" w:rsidR="00654222">
        <w:rPr>
          <w:lang w:val="sq-AL"/>
        </w:rPr>
        <w:t>Ai parashtronte dhe analizonte edhe të dh</w:t>
      </w:r>
      <w:r w:rsidR="00654222">
        <w:rPr>
          <w:lang w:val="sq-AL"/>
        </w:rPr>
        <w:t>ë</w:t>
      </w:r>
      <w:r w:rsidRPr="00654222" w:rsidR="00654222">
        <w:rPr>
          <w:lang w:val="sq-AL"/>
        </w:rPr>
        <w:t>na statistikore rreth k</w:t>
      </w:r>
      <w:r w:rsidR="00654222">
        <w:rPr>
          <w:lang w:val="sq-AL"/>
        </w:rPr>
        <w:t>ë</w:t>
      </w:r>
      <w:r w:rsidRPr="00654222" w:rsidR="00654222">
        <w:rPr>
          <w:lang w:val="sq-AL"/>
        </w:rPr>
        <w:t>tyre ndjekjeve, t</w:t>
      </w:r>
      <w:r w:rsidR="00654222">
        <w:rPr>
          <w:lang w:val="sq-AL"/>
        </w:rPr>
        <w:t>ë</w:t>
      </w:r>
      <w:r w:rsidRPr="00654222" w:rsidR="00654222">
        <w:rPr>
          <w:lang w:val="sq-AL"/>
        </w:rPr>
        <w:t xml:space="preserve"> nxjerra nga arkivat e juridiksioneve penale, lidhur me periudh</w:t>
      </w:r>
      <w:r w:rsidR="00654222">
        <w:rPr>
          <w:lang w:val="sq-AL"/>
        </w:rPr>
        <w:t>ë</w:t>
      </w:r>
      <w:r w:rsidRPr="00654222" w:rsidR="00654222">
        <w:rPr>
          <w:lang w:val="sq-AL"/>
        </w:rPr>
        <w:t>n nga vitet 1930 deri n</w:t>
      </w:r>
      <w:r w:rsidR="00654222">
        <w:rPr>
          <w:lang w:val="sq-AL"/>
        </w:rPr>
        <w:t>ë</w:t>
      </w:r>
      <w:r w:rsidRPr="00654222" w:rsidR="00654222">
        <w:rPr>
          <w:lang w:val="sq-AL"/>
        </w:rPr>
        <w:t xml:space="preserve"> vitet</w:t>
      </w:r>
      <w:r w:rsidRPr="00654222">
        <w:rPr>
          <w:lang w:val="sq-AL"/>
        </w:rPr>
        <w:t xml:space="preserve"> 1960. </w:t>
      </w:r>
      <w:r w:rsidRPr="00654222" w:rsidR="00654222">
        <w:rPr>
          <w:lang w:val="sq-AL"/>
        </w:rPr>
        <w:t>Prej tyre dilte q</w:t>
      </w:r>
      <w:r w:rsidR="00654222">
        <w:rPr>
          <w:lang w:val="sq-AL"/>
        </w:rPr>
        <w:t>ë</w:t>
      </w:r>
      <w:r w:rsidRPr="00654222" w:rsidR="00654222">
        <w:rPr>
          <w:lang w:val="sq-AL"/>
        </w:rPr>
        <w:t xml:space="preserve"> policia i kishte ndjekur me vendosmëri pedofil</w:t>
      </w:r>
      <w:r w:rsidR="00654222">
        <w:rPr>
          <w:lang w:val="sq-AL"/>
        </w:rPr>
        <w:t>ë</w:t>
      </w:r>
      <w:r w:rsidRPr="00654222" w:rsidR="00654222">
        <w:rPr>
          <w:lang w:val="sq-AL"/>
        </w:rPr>
        <w:t>t, por q</w:t>
      </w:r>
      <w:r w:rsidR="00654222">
        <w:rPr>
          <w:lang w:val="sq-AL"/>
        </w:rPr>
        <w:t>ë</w:t>
      </w:r>
      <w:r w:rsidRPr="00654222" w:rsidR="00654222">
        <w:rPr>
          <w:lang w:val="sq-AL"/>
        </w:rPr>
        <w:t>, meqenëse n</w:t>
      </w:r>
      <w:r w:rsidR="00654222">
        <w:rPr>
          <w:lang w:val="sq-AL"/>
        </w:rPr>
        <w:t>ë</w:t>
      </w:r>
      <w:r w:rsidRPr="00654222" w:rsidR="00654222">
        <w:rPr>
          <w:lang w:val="sq-AL"/>
        </w:rPr>
        <w:t xml:space="preserve"> realitet shumica e veprave penale me karakter seksual nuk ishin sinjalizuar, ato kishin p</w:t>
      </w:r>
      <w:r w:rsidR="00654222">
        <w:rPr>
          <w:lang w:val="sq-AL"/>
        </w:rPr>
        <w:t>ë</w:t>
      </w:r>
      <w:r w:rsidRPr="00654222" w:rsidR="00654222">
        <w:rPr>
          <w:lang w:val="sq-AL"/>
        </w:rPr>
        <w:t>rb</w:t>
      </w:r>
      <w:r w:rsidR="00654222">
        <w:rPr>
          <w:lang w:val="sq-AL"/>
        </w:rPr>
        <w:t>ë</w:t>
      </w:r>
      <w:r w:rsidRPr="00654222" w:rsidR="00654222">
        <w:rPr>
          <w:lang w:val="sq-AL"/>
        </w:rPr>
        <w:t>r</w:t>
      </w:r>
      <w:r w:rsidR="00654222">
        <w:rPr>
          <w:lang w:val="sq-AL"/>
        </w:rPr>
        <w:t>ë</w:t>
      </w:r>
      <w:r w:rsidRPr="00654222" w:rsidR="00654222">
        <w:rPr>
          <w:lang w:val="sq-AL"/>
        </w:rPr>
        <w:t xml:space="preserve"> sipas t</w:t>
      </w:r>
      <w:r w:rsidR="00654222">
        <w:rPr>
          <w:lang w:val="sq-AL"/>
        </w:rPr>
        <w:t>ë</w:t>
      </w:r>
      <w:r w:rsidRPr="00654222" w:rsidR="00654222">
        <w:rPr>
          <w:lang w:val="sq-AL"/>
        </w:rPr>
        <w:t xml:space="preserve"> gjitha gjasave nj</w:t>
      </w:r>
      <w:r w:rsidR="00654222">
        <w:rPr>
          <w:lang w:val="sq-AL"/>
        </w:rPr>
        <w:t>ë</w:t>
      </w:r>
      <w:r w:rsidRPr="00654222" w:rsidR="00654222">
        <w:rPr>
          <w:lang w:val="sq-AL"/>
        </w:rPr>
        <w:t xml:space="preserve"> problem t</w:t>
      </w:r>
      <w:r w:rsidR="00654222">
        <w:rPr>
          <w:lang w:val="sq-AL"/>
        </w:rPr>
        <w:t>ë</w:t>
      </w:r>
      <w:r w:rsidRPr="00654222" w:rsidR="00654222">
        <w:rPr>
          <w:lang w:val="sq-AL"/>
        </w:rPr>
        <w:t xml:space="preserve"> r</w:t>
      </w:r>
      <w:r w:rsidR="00654222">
        <w:rPr>
          <w:lang w:val="sq-AL"/>
        </w:rPr>
        <w:t>ë</w:t>
      </w:r>
      <w:r w:rsidRPr="00654222" w:rsidR="00654222">
        <w:rPr>
          <w:lang w:val="sq-AL"/>
        </w:rPr>
        <w:t>ndë përgjat</w:t>
      </w:r>
      <w:r w:rsidR="00654222">
        <w:rPr>
          <w:lang w:val="sq-AL"/>
        </w:rPr>
        <w:t>ë</w:t>
      </w:r>
      <w:r w:rsidRPr="00654222" w:rsidR="00654222">
        <w:rPr>
          <w:lang w:val="sq-AL"/>
        </w:rPr>
        <w:t xml:space="preserve"> gjithë shekullit XX n</w:t>
      </w:r>
      <w:r w:rsidR="00654222">
        <w:rPr>
          <w:lang w:val="sq-AL"/>
        </w:rPr>
        <w:t>ë</w:t>
      </w:r>
      <w:r w:rsidRPr="00654222" w:rsidR="00654222">
        <w:rPr>
          <w:lang w:val="sq-AL"/>
        </w:rPr>
        <w:t xml:space="preserve"> Irlandë. Profesori</w:t>
      </w:r>
      <w:r w:rsidRPr="00654222">
        <w:rPr>
          <w:lang w:val="sq-AL"/>
        </w:rPr>
        <w:t xml:space="preserve"> Ferriter </w:t>
      </w:r>
      <w:r w:rsidRPr="00654222" w:rsidR="00654222">
        <w:rPr>
          <w:lang w:val="sq-AL"/>
        </w:rPr>
        <w:t>vinte pastaj n</w:t>
      </w:r>
      <w:r w:rsidR="00654222">
        <w:rPr>
          <w:lang w:val="sq-AL"/>
        </w:rPr>
        <w:t>ë</w:t>
      </w:r>
      <w:r w:rsidRPr="00654222" w:rsidR="00654222">
        <w:rPr>
          <w:lang w:val="sq-AL"/>
        </w:rPr>
        <w:t xml:space="preserve"> dukje se arkivat e juridiksioneve penale linin t</w:t>
      </w:r>
      <w:r w:rsidR="00654222">
        <w:rPr>
          <w:lang w:val="sq-AL"/>
        </w:rPr>
        <w:t>ë</w:t>
      </w:r>
      <w:r w:rsidRPr="00654222" w:rsidR="00654222">
        <w:rPr>
          <w:lang w:val="sq-AL"/>
        </w:rPr>
        <w:t xml:space="preserve"> kuptohej </w:t>
      </w:r>
      <w:r w:rsidR="00654222">
        <w:rPr>
          <w:lang w:val="sq-AL"/>
        </w:rPr>
        <w:t>“nj</w:t>
      </w:r>
      <w:r w:rsidR="00BF6CBC">
        <w:rPr>
          <w:lang w:val="sq-AL"/>
        </w:rPr>
        <w:t>ë</w:t>
      </w:r>
      <w:r w:rsidR="00654222">
        <w:rPr>
          <w:lang w:val="sq-AL"/>
        </w:rPr>
        <w:t xml:space="preserve"> shkall</w:t>
      </w:r>
      <w:r w:rsidR="00BF6CBC">
        <w:rPr>
          <w:lang w:val="sq-AL"/>
        </w:rPr>
        <w:t>ë</w:t>
      </w:r>
      <w:r w:rsidR="00654222">
        <w:rPr>
          <w:lang w:val="sq-AL"/>
        </w:rPr>
        <w:t xml:space="preserve"> e lart</w:t>
      </w:r>
      <w:r w:rsidR="00BF6CBC">
        <w:rPr>
          <w:lang w:val="sq-AL"/>
        </w:rPr>
        <w:t>ë</w:t>
      </w:r>
      <w:r w:rsidR="00654222">
        <w:rPr>
          <w:lang w:val="sq-AL"/>
        </w:rPr>
        <w:t xml:space="preserve"> dhe e vazhdueshme veprash penale me karakter seksual q</w:t>
      </w:r>
      <w:r w:rsidR="00BF6CBC">
        <w:rPr>
          <w:lang w:val="sq-AL"/>
        </w:rPr>
        <w:t>ë</w:t>
      </w:r>
      <w:r w:rsidR="00654222">
        <w:rPr>
          <w:lang w:val="sq-AL"/>
        </w:rPr>
        <w:t xml:space="preserve"> synonin f</w:t>
      </w:r>
      <w:r w:rsidR="00BF6CBC">
        <w:rPr>
          <w:lang w:val="sq-AL"/>
        </w:rPr>
        <w:t>ë</w:t>
      </w:r>
      <w:r w:rsidR="00654222">
        <w:rPr>
          <w:lang w:val="sq-AL"/>
        </w:rPr>
        <w:t>mij</w:t>
      </w:r>
      <w:r w:rsidR="00BF6CBC">
        <w:rPr>
          <w:lang w:val="sq-AL"/>
        </w:rPr>
        <w:t>ë</w:t>
      </w:r>
      <w:r w:rsidR="00654222">
        <w:rPr>
          <w:lang w:val="sq-AL"/>
        </w:rPr>
        <w:t xml:space="preserve"> n</w:t>
      </w:r>
      <w:r w:rsidR="00BF6CBC">
        <w:rPr>
          <w:lang w:val="sq-AL"/>
        </w:rPr>
        <w:t>ë</w:t>
      </w:r>
      <w:r w:rsidR="00654222">
        <w:rPr>
          <w:lang w:val="sq-AL"/>
        </w:rPr>
        <w:t xml:space="preserve"> mosh</w:t>
      </w:r>
      <w:r w:rsidR="00BF6CBC">
        <w:rPr>
          <w:lang w:val="sq-AL"/>
        </w:rPr>
        <w:t>ë</w:t>
      </w:r>
      <w:r w:rsidR="00654222">
        <w:rPr>
          <w:lang w:val="sq-AL"/>
        </w:rPr>
        <w:t xml:space="preserve"> t</w:t>
      </w:r>
      <w:r w:rsidR="00BF6CBC">
        <w:rPr>
          <w:lang w:val="sq-AL"/>
        </w:rPr>
        <w:t>ë</w:t>
      </w:r>
      <w:r w:rsidR="00654222">
        <w:rPr>
          <w:lang w:val="sq-AL"/>
        </w:rPr>
        <w:t xml:space="preserve"> re (djem e vajza)”. Sipas tij, ndonëse n</w:t>
      </w:r>
      <w:r w:rsidR="00BF6CBC">
        <w:rPr>
          <w:lang w:val="sq-AL"/>
        </w:rPr>
        <w:t>ë</w:t>
      </w:r>
      <w:r w:rsidR="00654222">
        <w:rPr>
          <w:lang w:val="sq-AL"/>
        </w:rPr>
        <w:t xml:space="preserve"> shumic</w:t>
      </w:r>
      <w:r w:rsidR="00BF6CBC">
        <w:rPr>
          <w:lang w:val="sq-AL"/>
        </w:rPr>
        <w:t>ë</w:t>
      </w:r>
      <w:r w:rsidR="00654222">
        <w:rPr>
          <w:lang w:val="sq-AL"/>
        </w:rPr>
        <w:t xml:space="preserve">n e rasteve mediet </w:t>
      </w:r>
      <w:r w:rsidR="00521C3A">
        <w:rPr>
          <w:lang w:val="sq-AL"/>
        </w:rPr>
        <w:t>nuk kishin raportuar p</w:t>
      </w:r>
      <w:r w:rsidR="00BF6CBC">
        <w:rPr>
          <w:lang w:val="sq-AL"/>
        </w:rPr>
        <w:t>ë</w:t>
      </w:r>
      <w:r w:rsidR="00521C3A">
        <w:rPr>
          <w:lang w:val="sq-AL"/>
        </w:rPr>
        <w:t>r k</w:t>
      </w:r>
      <w:r w:rsidR="00BF6CBC">
        <w:rPr>
          <w:lang w:val="sq-AL"/>
        </w:rPr>
        <w:t>ë</w:t>
      </w:r>
      <w:r w:rsidR="00521C3A">
        <w:rPr>
          <w:lang w:val="sq-AL"/>
        </w:rPr>
        <w:t>to çështje, prapëseprapë policia kishte qen</w:t>
      </w:r>
      <w:r w:rsidR="00BF6CBC">
        <w:rPr>
          <w:lang w:val="sq-AL"/>
        </w:rPr>
        <w:t>ë</w:t>
      </w:r>
      <w:r w:rsidR="00521C3A">
        <w:rPr>
          <w:lang w:val="sq-AL"/>
        </w:rPr>
        <w:t xml:space="preserve"> n</w:t>
      </w:r>
      <w:r w:rsidR="00BF6CBC">
        <w:rPr>
          <w:lang w:val="sq-AL"/>
        </w:rPr>
        <w:t>ë</w:t>
      </w:r>
      <w:r w:rsidR="00521C3A">
        <w:rPr>
          <w:lang w:val="sq-AL"/>
        </w:rPr>
        <w:t xml:space="preserve"> at</w:t>
      </w:r>
      <w:r w:rsidR="00BF6CBC">
        <w:rPr>
          <w:lang w:val="sq-AL"/>
        </w:rPr>
        <w:t>ë</w:t>
      </w:r>
      <w:r w:rsidR="00521C3A">
        <w:rPr>
          <w:lang w:val="sq-AL"/>
        </w:rPr>
        <w:t xml:space="preserve"> kohë e mirinformuar për ekzistenc</w:t>
      </w:r>
      <w:r w:rsidR="00BF6CBC">
        <w:rPr>
          <w:lang w:val="sq-AL"/>
        </w:rPr>
        <w:t>ë</w:t>
      </w:r>
      <w:r w:rsidR="00521C3A">
        <w:rPr>
          <w:lang w:val="sq-AL"/>
        </w:rPr>
        <w:t>n e k</w:t>
      </w:r>
      <w:r w:rsidR="00BF6CBC">
        <w:rPr>
          <w:lang w:val="sq-AL"/>
        </w:rPr>
        <w:t>ë</w:t>
      </w:r>
      <w:r w:rsidR="00521C3A">
        <w:rPr>
          <w:lang w:val="sq-AL"/>
        </w:rPr>
        <w:t>tyre veprave penale.</w:t>
      </w:r>
    </w:p>
    <w:p w:rsidRPr="00BF6CBC" w:rsidR="00EB737A" w:rsidP="00EB737A" w:rsidRDefault="00EB737A">
      <w:pPr>
        <w:pStyle w:val="ECHRPara"/>
        <w:rPr>
          <w:lang w:val="sq-AL"/>
        </w:rPr>
      </w:pPr>
      <w:r w:rsidRPr="00C9407B">
        <w:rPr>
          <w:lang w:val="sq-AL"/>
        </w:rPr>
        <w:fldChar w:fldCharType="begin"/>
      </w:r>
      <w:r w:rsidRPr="00C9407B">
        <w:rPr>
          <w:lang w:val="sq-AL"/>
        </w:rPr>
        <w:instrText xml:space="preserve"> SEQ level0 \*arabic </w:instrText>
      </w:r>
      <w:r w:rsidRPr="00C9407B">
        <w:rPr>
          <w:lang w:val="sq-AL"/>
        </w:rPr>
        <w:fldChar w:fldCharType="separate"/>
      </w:r>
      <w:r w:rsidR="00013F9B">
        <w:rPr>
          <w:noProof/>
          <w:lang w:val="sq-AL"/>
        </w:rPr>
        <w:t>83</w:t>
      </w:r>
      <w:r w:rsidRPr="00C9407B">
        <w:rPr>
          <w:lang w:val="sq-AL"/>
        </w:rPr>
        <w:fldChar w:fldCharType="end"/>
      </w:r>
      <w:r w:rsidRPr="00C9407B">
        <w:rPr>
          <w:lang w:val="sq-AL"/>
        </w:rPr>
        <w:t>.  </w:t>
      </w:r>
      <w:r w:rsidRPr="00C9407B" w:rsidR="00521C3A">
        <w:rPr>
          <w:lang w:val="sq-AL"/>
        </w:rPr>
        <w:t>Në v</w:t>
      </w:r>
      <w:r w:rsidR="00BF6CBC">
        <w:rPr>
          <w:lang w:val="sq-AL"/>
        </w:rPr>
        <w:t>ë</w:t>
      </w:r>
      <w:r w:rsidRPr="00C9407B" w:rsidR="00521C3A">
        <w:rPr>
          <w:lang w:val="sq-AL"/>
        </w:rPr>
        <w:t>llimin</w:t>
      </w:r>
      <w:r w:rsidRPr="00C9407B">
        <w:rPr>
          <w:lang w:val="sq-AL"/>
        </w:rPr>
        <w:t xml:space="preserve"> V </w:t>
      </w:r>
      <w:r w:rsidRPr="00C9407B" w:rsidR="00521C3A">
        <w:rPr>
          <w:lang w:val="sq-AL"/>
        </w:rPr>
        <w:t>ndodhej n</w:t>
      </w:r>
      <w:r w:rsidR="00BF6CBC">
        <w:rPr>
          <w:lang w:val="sq-AL"/>
        </w:rPr>
        <w:t>ë</w:t>
      </w:r>
      <w:r w:rsidRPr="00C9407B" w:rsidR="00521C3A">
        <w:rPr>
          <w:lang w:val="sq-AL"/>
        </w:rPr>
        <w:t xml:space="preserve"> aneks nj</w:t>
      </w:r>
      <w:r w:rsidR="00BF6CBC">
        <w:rPr>
          <w:lang w:val="sq-AL"/>
        </w:rPr>
        <w:t>ë</w:t>
      </w:r>
      <w:r w:rsidRPr="00C9407B" w:rsidR="00521C3A">
        <w:rPr>
          <w:lang w:val="sq-AL"/>
        </w:rPr>
        <w:t xml:space="preserve"> raport k</w:t>
      </w:r>
      <w:r w:rsidR="00BF6CBC">
        <w:rPr>
          <w:lang w:val="sq-AL"/>
        </w:rPr>
        <w:t>ë</w:t>
      </w:r>
      <w:r w:rsidRPr="00C9407B" w:rsidR="00521C3A">
        <w:rPr>
          <w:lang w:val="sq-AL"/>
        </w:rPr>
        <w:t xml:space="preserve">rkimor që ishte hartuar nga </w:t>
      </w:r>
      <w:r w:rsidRPr="00C9407B" w:rsidR="00C9407B">
        <w:rPr>
          <w:lang w:val="sq-AL"/>
        </w:rPr>
        <w:t>Z</w:t>
      </w:r>
      <w:r w:rsidRPr="00C9407B">
        <w:rPr>
          <w:lang w:val="sq-AL"/>
        </w:rPr>
        <w:t xml:space="preserve">. Rollinson, </w:t>
      </w:r>
      <w:r w:rsidRPr="00C9407B" w:rsidR="00521C3A">
        <w:rPr>
          <w:lang w:val="sq-AL"/>
        </w:rPr>
        <w:t>me k</w:t>
      </w:r>
      <w:r w:rsidR="00BF6CBC">
        <w:rPr>
          <w:lang w:val="sq-AL"/>
        </w:rPr>
        <w:t>ë</w:t>
      </w:r>
      <w:r w:rsidRPr="00C9407B" w:rsidR="00521C3A">
        <w:rPr>
          <w:lang w:val="sq-AL"/>
        </w:rPr>
        <w:t xml:space="preserve">rkesën e vetë Komisionit </w:t>
      </w:r>
      <w:r w:rsidRPr="00C9407B">
        <w:rPr>
          <w:lang w:val="sq-AL"/>
        </w:rPr>
        <w:t>Ryan, e</w:t>
      </w:r>
      <w:r w:rsidRPr="00C9407B" w:rsidR="00521C3A">
        <w:rPr>
          <w:lang w:val="sq-AL"/>
        </w:rPr>
        <w:t xml:space="preserve"> q</w:t>
      </w:r>
      <w:r w:rsidR="00BF6CBC">
        <w:rPr>
          <w:lang w:val="sq-AL"/>
        </w:rPr>
        <w:t>ë</w:t>
      </w:r>
      <w:r w:rsidRPr="00C9407B" w:rsidR="00521C3A">
        <w:rPr>
          <w:lang w:val="sq-AL"/>
        </w:rPr>
        <w:t xml:space="preserve"> titullohej “Mbrojtja e fëmijëve nëp</w:t>
      </w:r>
      <w:r w:rsidR="00BF6CBC">
        <w:rPr>
          <w:lang w:val="sq-AL"/>
        </w:rPr>
        <w:t>ë</w:t>
      </w:r>
      <w:r w:rsidRPr="00C9407B" w:rsidR="00521C3A">
        <w:rPr>
          <w:lang w:val="sq-AL"/>
        </w:rPr>
        <w:t>r konvikte n</w:t>
      </w:r>
      <w:r w:rsidR="00BF6CBC">
        <w:rPr>
          <w:lang w:val="sq-AL"/>
        </w:rPr>
        <w:t>ë</w:t>
      </w:r>
      <w:r w:rsidRPr="00C9407B" w:rsidR="00521C3A">
        <w:rPr>
          <w:lang w:val="sq-AL"/>
        </w:rPr>
        <w:t xml:space="preserve"> Angli, 1948</w:t>
      </w:r>
      <w:r w:rsidRPr="00C9407B" w:rsidR="00521C3A">
        <w:rPr>
          <w:lang w:val="sq-AL"/>
        </w:rPr>
        <w:noBreakHyphen/>
        <w:t>1975</w:t>
      </w:r>
      <w:r w:rsidRPr="00C9407B">
        <w:rPr>
          <w:lang w:val="sq-AL"/>
        </w:rPr>
        <w:t>: Histori</w:t>
      </w:r>
      <w:r w:rsidRPr="00C9407B" w:rsidR="00C9407B">
        <w:rPr>
          <w:lang w:val="sq-AL"/>
        </w:rPr>
        <w:t xml:space="preserve"> e përshkrim” </w:t>
      </w:r>
      <w:r w:rsidRPr="00C9407B">
        <w:rPr>
          <w:lang w:val="sq-AL"/>
        </w:rPr>
        <w:t>(</w:t>
      </w:r>
      <w:r w:rsidRPr="00C9407B">
        <w:rPr>
          <w:i/>
          <w:lang w:val="sq-AL"/>
        </w:rPr>
        <w:t>Residential C</w:t>
      </w:r>
      <w:r w:rsidRPr="00C9407B" w:rsidR="00C9407B">
        <w:rPr>
          <w:i/>
          <w:lang w:val="sq-AL"/>
        </w:rPr>
        <w:t>hild Care in England, 1948-1975</w:t>
      </w:r>
      <w:r w:rsidRPr="00C9407B">
        <w:rPr>
          <w:i/>
          <w:lang w:val="sq-AL"/>
        </w:rPr>
        <w:t>: A History And Report</w:t>
      </w:r>
      <w:r w:rsidRPr="00C9407B">
        <w:rPr>
          <w:lang w:val="sq-AL"/>
        </w:rPr>
        <w:t xml:space="preserve">), </w:t>
      </w:r>
      <w:r w:rsidRPr="00C9407B" w:rsidR="00C9407B">
        <w:rPr>
          <w:lang w:val="sq-AL"/>
        </w:rPr>
        <w:t>i cili p</w:t>
      </w:r>
      <w:r w:rsidR="00BF6CBC">
        <w:rPr>
          <w:lang w:val="sq-AL"/>
        </w:rPr>
        <w:t>ë</w:t>
      </w:r>
      <w:r w:rsidRPr="00C9407B" w:rsidR="00C9407B">
        <w:rPr>
          <w:lang w:val="sq-AL"/>
        </w:rPr>
        <w:t>rshkruante historikun e sistemit t</w:t>
      </w:r>
      <w:r w:rsidR="00BF6CBC">
        <w:rPr>
          <w:lang w:val="sq-AL"/>
        </w:rPr>
        <w:t>ë</w:t>
      </w:r>
      <w:r w:rsidRPr="00C9407B" w:rsidR="00C9407B">
        <w:rPr>
          <w:lang w:val="sq-AL"/>
        </w:rPr>
        <w:t xml:space="preserve"> konvikteve n</w:t>
      </w:r>
      <w:r w:rsidR="00BF6CBC">
        <w:rPr>
          <w:lang w:val="sq-AL"/>
        </w:rPr>
        <w:t>ë</w:t>
      </w:r>
      <w:r w:rsidRPr="00C9407B" w:rsidR="00C9407B">
        <w:rPr>
          <w:lang w:val="sq-AL"/>
        </w:rPr>
        <w:t xml:space="preserve"> Angli gjat</w:t>
      </w:r>
      <w:r w:rsidR="00BF6CBC">
        <w:rPr>
          <w:lang w:val="sq-AL"/>
        </w:rPr>
        <w:t>ë</w:t>
      </w:r>
      <w:r w:rsidRPr="00C9407B" w:rsidR="00C9407B">
        <w:rPr>
          <w:lang w:val="sq-AL"/>
        </w:rPr>
        <w:t xml:space="preserve"> periudh</w:t>
      </w:r>
      <w:r w:rsidR="00BF6CBC">
        <w:rPr>
          <w:lang w:val="sq-AL"/>
        </w:rPr>
        <w:t>ë</w:t>
      </w:r>
      <w:r w:rsidRPr="00C9407B" w:rsidR="00C9407B">
        <w:rPr>
          <w:lang w:val="sq-AL"/>
        </w:rPr>
        <w:t xml:space="preserve">s nga viti </w:t>
      </w:r>
      <w:r w:rsidRPr="00C9407B">
        <w:rPr>
          <w:lang w:val="sq-AL"/>
        </w:rPr>
        <w:t xml:space="preserve">1948 </w:t>
      </w:r>
      <w:r w:rsidRPr="00C9407B" w:rsidR="00C9407B">
        <w:rPr>
          <w:lang w:val="sq-AL"/>
        </w:rPr>
        <w:t>deri m</w:t>
      </w:r>
      <w:r w:rsidR="00BF6CBC">
        <w:rPr>
          <w:lang w:val="sq-AL"/>
        </w:rPr>
        <w:t>ë</w:t>
      </w:r>
      <w:r w:rsidRPr="00C9407B">
        <w:rPr>
          <w:lang w:val="sq-AL"/>
        </w:rPr>
        <w:t xml:space="preserve"> 1975. </w:t>
      </w:r>
      <w:r w:rsidRPr="00C9407B" w:rsidR="00C9407B">
        <w:rPr>
          <w:lang w:val="sq-AL"/>
        </w:rPr>
        <w:t xml:space="preserve">Në kapitullin me titull </w:t>
      </w:r>
      <w:r w:rsidR="00C9407B">
        <w:rPr>
          <w:lang w:val="sq-AL"/>
        </w:rPr>
        <w:t>“Abuzimet”, Z. Rollinson v</w:t>
      </w:r>
      <w:r w:rsidR="00BF6CBC">
        <w:rPr>
          <w:lang w:val="sq-AL"/>
        </w:rPr>
        <w:t>ë</w:t>
      </w:r>
      <w:r w:rsidR="00C9407B">
        <w:rPr>
          <w:lang w:val="sq-AL"/>
        </w:rPr>
        <w:t>rente se përpara mesit t</w:t>
      </w:r>
      <w:r w:rsidR="00BF6CBC">
        <w:rPr>
          <w:lang w:val="sq-AL"/>
        </w:rPr>
        <w:t>ë</w:t>
      </w:r>
      <w:r w:rsidR="00C9407B">
        <w:rPr>
          <w:lang w:val="sq-AL"/>
        </w:rPr>
        <w:t xml:space="preserve"> viteve 1980 “profesionist</w:t>
      </w:r>
      <w:r w:rsidR="00BF6CBC">
        <w:rPr>
          <w:lang w:val="sq-AL"/>
        </w:rPr>
        <w:t>ë</w:t>
      </w:r>
      <w:r w:rsidR="00C9407B">
        <w:rPr>
          <w:lang w:val="sq-AL"/>
        </w:rPr>
        <w:t>t dhe t</w:t>
      </w:r>
      <w:r w:rsidR="00BF6CBC">
        <w:rPr>
          <w:lang w:val="sq-AL"/>
        </w:rPr>
        <w:t>ë</w:t>
      </w:r>
      <w:r w:rsidR="00C9407B">
        <w:rPr>
          <w:lang w:val="sq-AL"/>
        </w:rPr>
        <w:t xml:space="preserve"> rriturit </w:t>
      </w:r>
      <w:r w:rsidR="00BF6CBC">
        <w:rPr>
          <w:lang w:val="sq-AL"/>
        </w:rPr>
        <w:t>ishin pak të vetëdijshëm për nocionin ose mundësinë e abuzimeve” dhe se ishte “thelbësore që të shmangeshin kurthi dhe teprimet e mundshme” të gjykimit të kësaj periudhe si të perënduar me kutin e normave të tanishme.</w:t>
      </w:r>
    </w:p>
    <w:p w:rsidRPr="005C74C3" w:rsidR="00EB737A" w:rsidP="00EB737A" w:rsidRDefault="00EB737A">
      <w:pPr>
        <w:pStyle w:val="ECHRPara"/>
        <w:rPr>
          <w:lang w:val="sq-AL"/>
        </w:rPr>
      </w:pPr>
      <w:r w:rsidRPr="005C74C3">
        <w:rPr>
          <w:lang w:val="sq-AL"/>
        </w:rPr>
        <w:fldChar w:fldCharType="begin"/>
      </w:r>
      <w:r w:rsidRPr="005C74C3">
        <w:rPr>
          <w:lang w:val="sq-AL"/>
        </w:rPr>
        <w:instrText xml:space="preserve"> SEQ level0 \*arabic </w:instrText>
      </w:r>
      <w:r w:rsidRPr="005C74C3">
        <w:rPr>
          <w:lang w:val="sq-AL"/>
        </w:rPr>
        <w:fldChar w:fldCharType="separate"/>
      </w:r>
      <w:r w:rsidR="00013F9B">
        <w:rPr>
          <w:noProof/>
          <w:lang w:val="sq-AL"/>
        </w:rPr>
        <w:t>84</w:t>
      </w:r>
      <w:r w:rsidRPr="005C74C3">
        <w:rPr>
          <w:lang w:val="sq-AL"/>
        </w:rPr>
        <w:fldChar w:fldCharType="end"/>
      </w:r>
      <w:r w:rsidRPr="005C74C3">
        <w:rPr>
          <w:lang w:val="sq-AL"/>
        </w:rPr>
        <w:t>.  </w:t>
      </w:r>
      <w:r w:rsidRPr="005C74C3" w:rsidR="00BF6CBC">
        <w:rPr>
          <w:lang w:val="sq-AL"/>
        </w:rPr>
        <w:t>Raporti</w:t>
      </w:r>
      <w:r w:rsidRPr="005C74C3">
        <w:rPr>
          <w:lang w:val="sq-AL"/>
        </w:rPr>
        <w:t xml:space="preserve"> Ryan </w:t>
      </w:r>
      <w:r w:rsidRPr="005C74C3" w:rsidR="00BF6CBC">
        <w:rPr>
          <w:lang w:val="sq-AL"/>
        </w:rPr>
        <w:t>për</w:t>
      </w:r>
      <w:r w:rsidRPr="005C74C3" w:rsidR="008B2936">
        <w:rPr>
          <w:lang w:val="sq-AL"/>
        </w:rPr>
        <w:t>m</w:t>
      </w:r>
      <w:r w:rsidRPr="005C74C3" w:rsidR="00BF6CBC">
        <w:rPr>
          <w:lang w:val="sq-AL"/>
        </w:rPr>
        <w:t>bante disa rekomandime. Sipas autor</w:t>
      </w:r>
      <w:r w:rsidRPr="005C74C3" w:rsidR="008B2936">
        <w:rPr>
          <w:lang w:val="sq-AL"/>
        </w:rPr>
        <w:t>ë</w:t>
      </w:r>
      <w:r w:rsidRPr="005C74C3" w:rsidR="00BF6CBC">
        <w:rPr>
          <w:lang w:val="sq-AL"/>
        </w:rPr>
        <w:t>ve, para s</w:t>
      </w:r>
      <w:r w:rsidRPr="005C74C3" w:rsidR="008B2936">
        <w:rPr>
          <w:lang w:val="sq-AL"/>
        </w:rPr>
        <w:t>ë</w:t>
      </w:r>
      <w:r w:rsidRPr="005C74C3" w:rsidR="00BF6CBC">
        <w:rPr>
          <w:lang w:val="sq-AL"/>
        </w:rPr>
        <w:t xml:space="preserve"> gjithash kishte r</w:t>
      </w:r>
      <w:r w:rsidRPr="005C74C3" w:rsidR="008B2936">
        <w:rPr>
          <w:lang w:val="sq-AL"/>
        </w:rPr>
        <w:t>ë</w:t>
      </w:r>
      <w:r w:rsidRPr="005C74C3" w:rsidR="00BF6CBC">
        <w:rPr>
          <w:lang w:val="sq-AL"/>
        </w:rPr>
        <w:t>nd</w:t>
      </w:r>
      <w:r w:rsidRPr="005C74C3" w:rsidR="008B2936">
        <w:rPr>
          <w:lang w:val="sq-AL"/>
        </w:rPr>
        <w:t>ë</w:t>
      </w:r>
      <w:r w:rsidRPr="005C74C3" w:rsidR="00BF6CBC">
        <w:rPr>
          <w:lang w:val="sq-AL"/>
        </w:rPr>
        <w:t>si q</w:t>
      </w:r>
      <w:r w:rsidRPr="005C74C3" w:rsidR="008B2936">
        <w:rPr>
          <w:lang w:val="sq-AL"/>
        </w:rPr>
        <w:t>ë</w:t>
      </w:r>
      <w:r w:rsidRPr="005C74C3" w:rsidR="00BF6CBC">
        <w:rPr>
          <w:lang w:val="sq-AL"/>
        </w:rPr>
        <w:t xml:space="preserve"> shteti ta pranonte se keqtrajtimet ndaj f</w:t>
      </w:r>
      <w:r w:rsidRPr="005C74C3" w:rsidR="008B2936">
        <w:rPr>
          <w:lang w:val="sq-AL"/>
        </w:rPr>
        <w:t>ë</w:t>
      </w:r>
      <w:r w:rsidRPr="005C74C3" w:rsidR="00BF6CBC">
        <w:rPr>
          <w:lang w:val="sq-AL"/>
        </w:rPr>
        <w:t>mij</w:t>
      </w:r>
      <w:r w:rsidRPr="005C74C3" w:rsidR="008B2936">
        <w:rPr>
          <w:lang w:val="sq-AL"/>
        </w:rPr>
        <w:t>ë</w:t>
      </w:r>
      <w:r w:rsidRPr="005C74C3" w:rsidR="00BF6CBC">
        <w:rPr>
          <w:lang w:val="sq-AL"/>
        </w:rPr>
        <w:t>ve kishin ardhur si rezultat i mang</w:t>
      </w:r>
      <w:r w:rsidRPr="005C74C3" w:rsidR="008B2936">
        <w:rPr>
          <w:lang w:val="sq-AL"/>
        </w:rPr>
        <w:t>ë</w:t>
      </w:r>
      <w:r w:rsidRPr="005C74C3" w:rsidR="00BF6CBC">
        <w:rPr>
          <w:lang w:val="sq-AL"/>
        </w:rPr>
        <w:t>sive t</w:t>
      </w:r>
      <w:r w:rsidRPr="005C74C3" w:rsidR="008B2936">
        <w:rPr>
          <w:lang w:val="sq-AL"/>
        </w:rPr>
        <w:t>ë</w:t>
      </w:r>
      <w:r w:rsidRPr="005C74C3" w:rsidR="00BF6CBC">
        <w:rPr>
          <w:lang w:val="sq-AL"/>
        </w:rPr>
        <w:t xml:space="preserve"> sistemeve dhe t</w:t>
      </w:r>
      <w:r w:rsidRPr="005C74C3" w:rsidR="008B2936">
        <w:rPr>
          <w:lang w:val="sq-AL"/>
        </w:rPr>
        <w:t>ë</w:t>
      </w:r>
      <w:r w:rsidRPr="005C74C3" w:rsidR="00BF6CBC">
        <w:rPr>
          <w:lang w:val="sq-AL"/>
        </w:rPr>
        <w:t xml:space="preserve"> politikave, t</w:t>
      </w:r>
      <w:r w:rsidRPr="005C74C3" w:rsidR="008B2936">
        <w:rPr>
          <w:lang w:val="sq-AL"/>
        </w:rPr>
        <w:t>ë</w:t>
      </w:r>
      <w:r w:rsidRPr="005C74C3" w:rsidR="00BF6CBC">
        <w:rPr>
          <w:lang w:val="sq-AL"/>
        </w:rPr>
        <w:t xml:space="preserve"> instancave udh</w:t>
      </w:r>
      <w:r w:rsidRPr="005C74C3" w:rsidR="008B2936">
        <w:rPr>
          <w:lang w:val="sq-AL"/>
        </w:rPr>
        <w:t>ë</w:t>
      </w:r>
      <w:r w:rsidRPr="005C74C3" w:rsidR="00BF6CBC">
        <w:rPr>
          <w:lang w:val="sq-AL"/>
        </w:rPr>
        <w:t>heqëse e administruese, si edhe t</w:t>
      </w:r>
      <w:r w:rsidRPr="005C74C3" w:rsidR="008B2936">
        <w:rPr>
          <w:lang w:val="sq-AL"/>
        </w:rPr>
        <w:t>ë</w:t>
      </w:r>
      <w:r w:rsidRPr="005C74C3" w:rsidR="00BF6CBC">
        <w:rPr>
          <w:lang w:val="sq-AL"/>
        </w:rPr>
        <w:t xml:space="preserve"> personelit drejtues n</w:t>
      </w:r>
      <w:r w:rsidRPr="005C74C3" w:rsidR="008B2936">
        <w:rPr>
          <w:lang w:val="sq-AL"/>
        </w:rPr>
        <w:t>ë</w:t>
      </w:r>
      <w:r w:rsidRPr="005C74C3" w:rsidR="00BF6CBC">
        <w:rPr>
          <w:lang w:val="sq-AL"/>
        </w:rPr>
        <w:t>për</w:t>
      </w:r>
      <w:r w:rsidRPr="005C74C3">
        <w:rPr>
          <w:lang w:val="sq-AL"/>
        </w:rPr>
        <w:t xml:space="preserve"> r</w:t>
      </w:r>
      <w:r w:rsidRPr="005C74C3">
        <w:rPr>
          <w:i/>
          <w:lang w:val="sq-AL"/>
        </w:rPr>
        <w:t>eformatory schools</w:t>
      </w:r>
      <w:r w:rsidRPr="005C74C3">
        <w:rPr>
          <w:lang w:val="sq-AL"/>
        </w:rPr>
        <w:t xml:space="preserve"> </w:t>
      </w:r>
      <w:r w:rsidRPr="005C74C3" w:rsidR="00BF6CBC">
        <w:rPr>
          <w:lang w:val="sq-AL"/>
        </w:rPr>
        <w:t>e</w:t>
      </w:r>
      <w:r w:rsidRPr="005C74C3">
        <w:rPr>
          <w:lang w:val="sq-AL"/>
        </w:rPr>
        <w:t xml:space="preserve"> </w:t>
      </w:r>
      <w:r w:rsidRPr="005C74C3">
        <w:rPr>
          <w:i/>
          <w:lang w:val="sq-AL"/>
        </w:rPr>
        <w:t>industrial schools</w:t>
      </w:r>
      <w:r w:rsidRPr="005C74C3">
        <w:rPr>
          <w:lang w:val="sq-AL"/>
        </w:rPr>
        <w:t xml:space="preserve">. </w:t>
      </w:r>
      <w:r w:rsidRPr="005C74C3" w:rsidR="008B2936">
        <w:rPr>
          <w:lang w:val="sq-AL"/>
        </w:rPr>
        <w:t>Një varg tjetër rekomandimesh ishin formuluar lidhur me hartimin dhe mbikëqyrjen e politikave dhe shërbimeve të shtetit për fëmijët, me mekanizmat e përcaktimit të përgjegjësive dhe me nevojën e inspektimeve të përshtatshme e të pavarura të të gjitha shërbimeve për fëmijët, si edhe të vënies së plotë në jetë të raportit me titull “Në radhë të parë fëmijët: vija udhëheqëse kombëtare për mbrojtjen dhe mirëqenien e fëmijëve”</w:t>
      </w:r>
      <w:r w:rsidRPr="005C74C3">
        <w:rPr>
          <w:lang w:val="sq-AL"/>
        </w:rPr>
        <w:t xml:space="preserve"> (</w:t>
      </w:r>
      <w:r w:rsidRPr="005C74C3">
        <w:rPr>
          <w:i/>
          <w:lang w:val="sq-AL"/>
        </w:rPr>
        <w:t>Children First : National Guidelines for the Protection and Welfare of Children</w:t>
      </w:r>
      <w:r w:rsidRPr="005C74C3">
        <w:rPr>
          <w:lang w:val="sq-AL"/>
        </w:rPr>
        <w:t xml:space="preserve"> – paragra</w:t>
      </w:r>
      <w:r w:rsidRPr="005C74C3" w:rsidR="008B2936">
        <w:rPr>
          <w:lang w:val="sq-AL"/>
        </w:rPr>
        <w:t>fi</w:t>
      </w:r>
      <w:r w:rsidRPr="005C74C3">
        <w:rPr>
          <w:lang w:val="sq-AL"/>
        </w:rPr>
        <w:t xml:space="preserve"> 89 </w:t>
      </w:r>
      <w:r w:rsidRPr="005C74C3" w:rsidR="008B2936">
        <w:rPr>
          <w:lang w:val="sq-AL"/>
        </w:rPr>
        <w:t>i më</w:t>
      </w:r>
      <w:r w:rsidR="005664A4">
        <w:rPr>
          <w:lang w:val="sq-AL"/>
        </w:rPr>
        <w:t>poshtë</w:t>
      </w:r>
      <w:r w:rsidRPr="005C74C3" w:rsidR="008B2936">
        <w:rPr>
          <w:lang w:val="sq-AL"/>
        </w:rPr>
        <w:t>m</w:t>
      </w:r>
      <w:r w:rsidRPr="005C74C3">
        <w:rPr>
          <w:lang w:val="sq-AL"/>
        </w:rPr>
        <w:t>).</w:t>
      </w:r>
    </w:p>
    <w:p w:rsidRPr="005C74C3" w:rsidR="00EB737A" w:rsidP="00EB737A" w:rsidRDefault="00EB737A">
      <w:pPr>
        <w:pStyle w:val="ECHRHeading3"/>
        <w:rPr>
          <w:lang w:val="sq-AL"/>
        </w:rPr>
      </w:pPr>
      <w:r w:rsidRPr="005C74C3">
        <w:rPr>
          <w:lang w:val="sq-AL"/>
        </w:rPr>
        <w:t>5.  </w:t>
      </w:r>
      <w:r w:rsidRPr="005C74C3" w:rsidR="008B2936">
        <w:rPr>
          <w:lang w:val="sq-AL"/>
        </w:rPr>
        <w:t>Raportet e mëvonshme lidhur me abuzimet seksuale</w:t>
      </w:r>
    </w:p>
    <w:p w:rsidRPr="005C74C3" w:rsidR="00EB737A" w:rsidP="00EB737A" w:rsidRDefault="00EB737A">
      <w:pPr>
        <w:pStyle w:val="ECHRPara"/>
        <w:rPr>
          <w:lang w:val="sq-AL"/>
        </w:rPr>
      </w:pPr>
      <w:r w:rsidRPr="005C74C3">
        <w:rPr>
          <w:lang w:val="sq-AL"/>
        </w:rPr>
        <w:fldChar w:fldCharType="begin"/>
      </w:r>
      <w:r w:rsidRPr="005C74C3">
        <w:rPr>
          <w:lang w:val="sq-AL"/>
        </w:rPr>
        <w:instrText xml:space="preserve"> SEQ level0 \*arabic </w:instrText>
      </w:r>
      <w:r w:rsidRPr="005C74C3">
        <w:rPr>
          <w:lang w:val="sq-AL"/>
        </w:rPr>
        <w:fldChar w:fldCharType="separate"/>
      </w:r>
      <w:r w:rsidR="00013F9B">
        <w:rPr>
          <w:noProof/>
          <w:lang w:val="sq-AL"/>
        </w:rPr>
        <w:t>85</w:t>
      </w:r>
      <w:r w:rsidRPr="005C74C3">
        <w:rPr>
          <w:lang w:val="sq-AL"/>
        </w:rPr>
        <w:fldChar w:fldCharType="end"/>
      </w:r>
      <w:r w:rsidRPr="005C74C3">
        <w:rPr>
          <w:lang w:val="sq-AL"/>
        </w:rPr>
        <w:t>.  </w:t>
      </w:r>
      <w:r w:rsidRPr="005C74C3" w:rsidR="00196354">
        <w:rPr>
          <w:lang w:val="sq-AL"/>
        </w:rPr>
        <w:t>Mënyra se si reagoi Kisha Katolike ndaj pretendimeve p</w:t>
      </w:r>
      <w:r w:rsidR="005C74C3">
        <w:rPr>
          <w:lang w:val="sq-AL"/>
        </w:rPr>
        <w:t>ë</w:t>
      </w:r>
      <w:r w:rsidRPr="005C74C3" w:rsidR="00196354">
        <w:rPr>
          <w:lang w:val="sq-AL"/>
        </w:rPr>
        <w:t>r abuzime seksuale t</w:t>
      </w:r>
      <w:r w:rsidR="005C74C3">
        <w:rPr>
          <w:lang w:val="sq-AL"/>
        </w:rPr>
        <w:t>ë</w:t>
      </w:r>
      <w:r w:rsidRPr="005C74C3" w:rsidR="00196354">
        <w:rPr>
          <w:lang w:val="sq-AL"/>
        </w:rPr>
        <w:t xml:space="preserve"> kryera ndaj fëmij</w:t>
      </w:r>
      <w:r w:rsidR="005C74C3">
        <w:rPr>
          <w:lang w:val="sq-AL"/>
        </w:rPr>
        <w:t>ë</w:t>
      </w:r>
      <w:r w:rsidRPr="005C74C3" w:rsidR="00196354">
        <w:rPr>
          <w:lang w:val="sq-AL"/>
        </w:rPr>
        <w:t>ve nga pjesëtar</w:t>
      </w:r>
      <w:r w:rsidR="005C74C3">
        <w:rPr>
          <w:lang w:val="sq-AL"/>
        </w:rPr>
        <w:t>ë</w:t>
      </w:r>
      <w:r w:rsidRPr="005C74C3" w:rsidR="00196354">
        <w:rPr>
          <w:lang w:val="sq-AL"/>
        </w:rPr>
        <w:t xml:space="preserve"> t</w:t>
      </w:r>
      <w:r w:rsidR="005C74C3">
        <w:rPr>
          <w:lang w:val="sq-AL"/>
        </w:rPr>
        <w:t>ë</w:t>
      </w:r>
      <w:r w:rsidRPr="005C74C3" w:rsidR="00196354">
        <w:rPr>
          <w:lang w:val="sq-AL"/>
        </w:rPr>
        <w:t xml:space="preserve"> klerit u kritikua n</w:t>
      </w:r>
      <w:r w:rsidR="005C74C3">
        <w:rPr>
          <w:lang w:val="sq-AL"/>
        </w:rPr>
        <w:t>ë</w:t>
      </w:r>
      <w:r w:rsidRPr="005C74C3" w:rsidR="00196354">
        <w:rPr>
          <w:lang w:val="sq-AL"/>
        </w:rPr>
        <w:t xml:space="preserve"> nj</w:t>
      </w:r>
      <w:r w:rsidR="005C74C3">
        <w:rPr>
          <w:lang w:val="sq-AL"/>
        </w:rPr>
        <w:t>ë</w:t>
      </w:r>
      <w:r w:rsidRPr="005C74C3" w:rsidR="00196354">
        <w:rPr>
          <w:lang w:val="sq-AL"/>
        </w:rPr>
        <w:t xml:space="preserve"> varg hetimesh e raportesh publike t</w:t>
      </w:r>
      <w:r w:rsidR="005C74C3">
        <w:rPr>
          <w:lang w:val="sq-AL"/>
        </w:rPr>
        <w:t>ë</w:t>
      </w:r>
      <w:r w:rsidRPr="005C74C3" w:rsidR="00196354">
        <w:rPr>
          <w:lang w:val="sq-AL"/>
        </w:rPr>
        <w:t xml:space="preserve"> m</w:t>
      </w:r>
      <w:r w:rsidR="005C74C3">
        <w:rPr>
          <w:lang w:val="sq-AL"/>
        </w:rPr>
        <w:t>ë</w:t>
      </w:r>
      <w:r w:rsidRPr="005C74C3" w:rsidR="00196354">
        <w:rPr>
          <w:lang w:val="sq-AL"/>
        </w:rPr>
        <w:t>vonshme.</w:t>
      </w:r>
    </w:p>
    <w:p w:rsidRPr="005C74C3" w:rsidR="00EB737A" w:rsidP="00EB737A" w:rsidRDefault="00EB737A">
      <w:pPr>
        <w:pStyle w:val="ECHRPara"/>
        <w:rPr>
          <w:lang w:val="sq-AL"/>
        </w:rPr>
      </w:pPr>
      <w:r w:rsidRPr="005C74C3">
        <w:rPr>
          <w:lang w:val="sq-AL"/>
        </w:rPr>
        <w:fldChar w:fldCharType="begin"/>
      </w:r>
      <w:r w:rsidRPr="005C74C3">
        <w:rPr>
          <w:lang w:val="sq-AL"/>
        </w:rPr>
        <w:instrText xml:space="preserve"> SEQ level0 \*arabic </w:instrText>
      </w:r>
      <w:r w:rsidRPr="005C74C3">
        <w:rPr>
          <w:lang w:val="sq-AL"/>
        </w:rPr>
        <w:fldChar w:fldCharType="separate"/>
      </w:r>
      <w:r w:rsidR="00013F9B">
        <w:rPr>
          <w:noProof/>
          <w:lang w:val="sq-AL"/>
        </w:rPr>
        <w:t>86</w:t>
      </w:r>
      <w:r w:rsidRPr="005C74C3">
        <w:rPr>
          <w:lang w:val="sq-AL"/>
        </w:rPr>
        <w:fldChar w:fldCharType="end"/>
      </w:r>
      <w:r w:rsidRPr="005C74C3">
        <w:rPr>
          <w:lang w:val="sq-AL"/>
        </w:rPr>
        <w:t>.  </w:t>
      </w:r>
      <w:r w:rsidRPr="005C74C3" w:rsidR="00196354">
        <w:rPr>
          <w:lang w:val="sq-AL"/>
        </w:rPr>
        <w:t>Raporti</w:t>
      </w:r>
      <w:r w:rsidRPr="005C74C3">
        <w:rPr>
          <w:lang w:val="sq-AL"/>
        </w:rPr>
        <w:t xml:space="preserve"> Ferns </w:t>
      </w:r>
      <w:r w:rsidRPr="005C74C3" w:rsidR="00196354">
        <w:rPr>
          <w:lang w:val="sq-AL"/>
        </w:rPr>
        <w:t>i vitit</w:t>
      </w:r>
      <w:r w:rsidRPr="005C74C3">
        <w:rPr>
          <w:lang w:val="sq-AL"/>
        </w:rPr>
        <w:t xml:space="preserve"> 2005 </w:t>
      </w:r>
      <w:r w:rsidRPr="005C74C3" w:rsidR="00196354">
        <w:rPr>
          <w:lang w:val="sq-AL"/>
        </w:rPr>
        <w:t>num</w:t>
      </w:r>
      <w:r w:rsidR="005C74C3">
        <w:rPr>
          <w:lang w:val="sq-AL"/>
        </w:rPr>
        <w:t>ë</w:t>
      </w:r>
      <w:r w:rsidRPr="005C74C3" w:rsidR="00196354">
        <w:rPr>
          <w:lang w:val="sq-AL"/>
        </w:rPr>
        <w:t>ronte m</w:t>
      </w:r>
      <w:r w:rsidR="005C74C3">
        <w:rPr>
          <w:lang w:val="sq-AL"/>
        </w:rPr>
        <w:t>ë</w:t>
      </w:r>
      <w:r w:rsidRPr="005C74C3" w:rsidR="00196354">
        <w:rPr>
          <w:lang w:val="sq-AL"/>
        </w:rPr>
        <w:t xml:space="preserve"> shumë se nj</w:t>
      </w:r>
      <w:r w:rsidR="005C74C3">
        <w:rPr>
          <w:lang w:val="sq-AL"/>
        </w:rPr>
        <w:t>ë</w:t>
      </w:r>
      <w:r w:rsidRPr="005C74C3" w:rsidR="00196354">
        <w:rPr>
          <w:lang w:val="sq-AL"/>
        </w:rPr>
        <w:t>qind ankesa për abuzime seksuale t</w:t>
      </w:r>
      <w:r w:rsidR="005C74C3">
        <w:rPr>
          <w:lang w:val="sq-AL"/>
        </w:rPr>
        <w:t>ë</w:t>
      </w:r>
      <w:r w:rsidRPr="005C74C3" w:rsidR="00196354">
        <w:rPr>
          <w:lang w:val="sq-AL"/>
        </w:rPr>
        <w:t xml:space="preserve"> paraqitura nd</w:t>
      </w:r>
      <w:r w:rsidR="005C74C3">
        <w:rPr>
          <w:lang w:val="sq-AL"/>
        </w:rPr>
        <w:t>ë</w:t>
      </w:r>
      <w:r w:rsidRPr="005C74C3" w:rsidR="00196354">
        <w:rPr>
          <w:lang w:val="sq-AL"/>
        </w:rPr>
        <w:t>rmjet viteve 1962 e</w:t>
      </w:r>
      <w:r w:rsidRPr="005C74C3">
        <w:rPr>
          <w:lang w:val="sq-AL"/>
        </w:rPr>
        <w:t xml:space="preserve"> 2002 </w:t>
      </w:r>
      <w:r w:rsidRPr="005C74C3" w:rsidR="00196354">
        <w:rPr>
          <w:lang w:val="sq-AL"/>
        </w:rPr>
        <w:t>kund</w:t>
      </w:r>
      <w:r w:rsidR="005C74C3">
        <w:rPr>
          <w:lang w:val="sq-AL"/>
        </w:rPr>
        <w:t>ë</w:t>
      </w:r>
      <w:r w:rsidRPr="005C74C3" w:rsidR="00196354">
        <w:rPr>
          <w:lang w:val="sq-AL"/>
        </w:rPr>
        <w:t>r njëzet e nj</w:t>
      </w:r>
      <w:r w:rsidR="005C74C3">
        <w:rPr>
          <w:lang w:val="sq-AL"/>
        </w:rPr>
        <w:t>ë</w:t>
      </w:r>
      <w:r w:rsidRPr="005C74C3" w:rsidR="00196354">
        <w:rPr>
          <w:lang w:val="sq-AL"/>
        </w:rPr>
        <w:t xml:space="preserve"> prift</w:t>
      </w:r>
      <w:r w:rsidR="005C74C3">
        <w:rPr>
          <w:lang w:val="sq-AL"/>
        </w:rPr>
        <w:t>ë</w:t>
      </w:r>
      <w:r w:rsidRPr="005C74C3" w:rsidR="00196354">
        <w:rPr>
          <w:lang w:val="sq-AL"/>
        </w:rPr>
        <w:t>rinjve t</w:t>
      </w:r>
      <w:r w:rsidR="005C74C3">
        <w:rPr>
          <w:lang w:val="sq-AL"/>
        </w:rPr>
        <w:t>ë</w:t>
      </w:r>
      <w:r w:rsidRPr="005C74C3" w:rsidR="00196354">
        <w:rPr>
          <w:lang w:val="sq-AL"/>
        </w:rPr>
        <w:t xml:space="preserve"> dioqez</w:t>
      </w:r>
      <w:r w:rsidR="005C74C3">
        <w:rPr>
          <w:lang w:val="sq-AL"/>
        </w:rPr>
        <w:t>ë</w:t>
      </w:r>
      <w:r w:rsidRPr="005C74C3" w:rsidR="00196354">
        <w:rPr>
          <w:lang w:val="sq-AL"/>
        </w:rPr>
        <w:t xml:space="preserve">s së </w:t>
      </w:r>
      <w:r w:rsidRPr="005C74C3">
        <w:rPr>
          <w:lang w:val="sq-AL"/>
        </w:rPr>
        <w:t>Ferns</w:t>
      </w:r>
      <w:r w:rsidRPr="005C74C3" w:rsidR="00196354">
        <w:rPr>
          <w:lang w:val="sq-AL"/>
        </w:rPr>
        <w:t>it</w:t>
      </w:r>
      <w:r w:rsidRPr="005C74C3">
        <w:rPr>
          <w:lang w:val="sq-AL"/>
        </w:rPr>
        <w:t xml:space="preserve">. </w:t>
      </w:r>
      <w:r w:rsidRPr="005C74C3" w:rsidR="00196354">
        <w:rPr>
          <w:lang w:val="sq-AL"/>
        </w:rPr>
        <w:t>Ai e kritikonte qëndrimin e Kish</w:t>
      </w:r>
      <w:r w:rsidR="005C74C3">
        <w:rPr>
          <w:lang w:val="sq-AL"/>
        </w:rPr>
        <w:t>ë</w:t>
      </w:r>
      <w:r w:rsidRPr="005C74C3" w:rsidR="00196354">
        <w:rPr>
          <w:lang w:val="sq-AL"/>
        </w:rPr>
        <w:t>s, por p</w:t>
      </w:r>
      <w:r w:rsidR="005C74C3">
        <w:rPr>
          <w:lang w:val="sq-AL"/>
        </w:rPr>
        <w:t>ë</w:t>
      </w:r>
      <w:r w:rsidRPr="005C74C3" w:rsidR="00196354">
        <w:rPr>
          <w:lang w:val="sq-AL"/>
        </w:rPr>
        <w:t>rmendte vetëm pak ankesa t</w:t>
      </w:r>
      <w:r w:rsidR="005C74C3">
        <w:rPr>
          <w:lang w:val="sq-AL"/>
        </w:rPr>
        <w:t>ë</w:t>
      </w:r>
      <w:r w:rsidRPr="005C74C3" w:rsidR="00196354">
        <w:rPr>
          <w:lang w:val="sq-AL"/>
        </w:rPr>
        <w:t xml:space="preserve"> paraqitura pran</w:t>
      </w:r>
      <w:r w:rsidR="005C74C3">
        <w:rPr>
          <w:lang w:val="sq-AL"/>
        </w:rPr>
        <w:t>ë</w:t>
      </w:r>
      <w:r w:rsidRPr="005C74C3" w:rsidR="00196354">
        <w:rPr>
          <w:lang w:val="sq-AL"/>
        </w:rPr>
        <w:t xml:space="preserve"> autoriteteve t</w:t>
      </w:r>
      <w:r w:rsidR="005C74C3">
        <w:rPr>
          <w:lang w:val="sq-AL"/>
        </w:rPr>
        <w:t>ë</w:t>
      </w:r>
      <w:r w:rsidRPr="005C74C3" w:rsidR="00196354">
        <w:rPr>
          <w:lang w:val="sq-AL"/>
        </w:rPr>
        <w:t xml:space="preserve"> shtetit p</w:t>
      </w:r>
      <w:r w:rsidR="005C74C3">
        <w:rPr>
          <w:lang w:val="sq-AL"/>
        </w:rPr>
        <w:t>ë</w:t>
      </w:r>
      <w:r w:rsidRPr="005C74C3" w:rsidR="00196354">
        <w:rPr>
          <w:lang w:val="sq-AL"/>
        </w:rPr>
        <w:t>rpara ose gjat</w:t>
      </w:r>
      <w:r w:rsidR="005C74C3">
        <w:rPr>
          <w:lang w:val="sq-AL"/>
        </w:rPr>
        <w:t>ë</w:t>
      </w:r>
      <w:r w:rsidRPr="005C74C3" w:rsidR="00196354">
        <w:rPr>
          <w:lang w:val="sq-AL"/>
        </w:rPr>
        <w:t xml:space="preserve"> viteve </w:t>
      </w:r>
      <w:r w:rsidRPr="005C74C3">
        <w:rPr>
          <w:lang w:val="sq-AL"/>
        </w:rPr>
        <w:t>1970.</w:t>
      </w:r>
    </w:p>
    <w:p w:rsidRPr="000D024B" w:rsidR="00EB737A" w:rsidP="00EB737A" w:rsidRDefault="00EB737A">
      <w:pPr>
        <w:pStyle w:val="ECHRPara"/>
        <w:rPr>
          <w:lang w:val="sq-AL"/>
        </w:rPr>
      </w:pPr>
      <w:r w:rsidRPr="000D024B">
        <w:rPr>
          <w:lang w:val="sq-AL"/>
        </w:rPr>
        <w:fldChar w:fldCharType="begin"/>
      </w:r>
      <w:r w:rsidRPr="000D024B">
        <w:rPr>
          <w:lang w:val="sq-AL"/>
        </w:rPr>
        <w:instrText xml:space="preserve"> SEQ level0 \*arabic </w:instrText>
      </w:r>
      <w:r w:rsidRPr="000D024B">
        <w:rPr>
          <w:lang w:val="sq-AL"/>
        </w:rPr>
        <w:fldChar w:fldCharType="separate"/>
      </w:r>
      <w:r w:rsidR="00013F9B">
        <w:rPr>
          <w:noProof/>
          <w:lang w:val="sq-AL"/>
        </w:rPr>
        <w:t>87</w:t>
      </w:r>
      <w:r w:rsidRPr="000D024B">
        <w:rPr>
          <w:lang w:val="sq-AL"/>
        </w:rPr>
        <w:fldChar w:fldCharType="end"/>
      </w:r>
      <w:r w:rsidRPr="000D024B">
        <w:rPr>
          <w:lang w:val="sq-AL"/>
        </w:rPr>
        <w:t>.  </w:t>
      </w:r>
      <w:r w:rsidRPr="000D024B" w:rsidR="00196354">
        <w:rPr>
          <w:lang w:val="sq-AL"/>
        </w:rPr>
        <w:t>Raporti</w:t>
      </w:r>
      <w:r w:rsidRPr="000D024B">
        <w:rPr>
          <w:lang w:val="sq-AL"/>
        </w:rPr>
        <w:t xml:space="preserve"> Murphy </w:t>
      </w:r>
      <w:r w:rsidRPr="000D024B" w:rsidR="00196354">
        <w:rPr>
          <w:lang w:val="sq-AL"/>
        </w:rPr>
        <w:t>i vitit</w:t>
      </w:r>
      <w:r w:rsidRPr="000D024B">
        <w:rPr>
          <w:lang w:val="sq-AL"/>
        </w:rPr>
        <w:t xml:space="preserve"> 2009 </w:t>
      </w:r>
      <w:r w:rsidRPr="000D024B" w:rsidR="00196354">
        <w:rPr>
          <w:lang w:val="sq-AL"/>
        </w:rPr>
        <w:t>analizonte m</w:t>
      </w:r>
      <w:r w:rsidRPr="000D024B" w:rsidR="005C74C3">
        <w:rPr>
          <w:lang w:val="sq-AL"/>
        </w:rPr>
        <w:t>ë</w:t>
      </w:r>
      <w:r w:rsidRPr="000D024B" w:rsidR="00196354">
        <w:rPr>
          <w:lang w:val="sq-AL"/>
        </w:rPr>
        <w:t>nyr</w:t>
      </w:r>
      <w:r w:rsidRPr="000D024B" w:rsidR="005C74C3">
        <w:rPr>
          <w:lang w:val="sq-AL"/>
        </w:rPr>
        <w:t>ë</w:t>
      </w:r>
      <w:r w:rsidRPr="000D024B" w:rsidR="00196354">
        <w:rPr>
          <w:lang w:val="sq-AL"/>
        </w:rPr>
        <w:t>n se si Kisha dhe shteti i kishin trajtuar ankesat për dhunime ndaj f</w:t>
      </w:r>
      <w:r w:rsidRPr="000D024B" w:rsidR="005C74C3">
        <w:rPr>
          <w:lang w:val="sq-AL"/>
        </w:rPr>
        <w:t>ë</w:t>
      </w:r>
      <w:r w:rsidRPr="000D024B" w:rsidR="00196354">
        <w:rPr>
          <w:lang w:val="sq-AL"/>
        </w:rPr>
        <w:t>mij</w:t>
      </w:r>
      <w:r w:rsidRPr="000D024B" w:rsidR="005C74C3">
        <w:rPr>
          <w:lang w:val="sq-AL"/>
        </w:rPr>
        <w:t>ë</w:t>
      </w:r>
      <w:r w:rsidRPr="000D024B" w:rsidR="00196354">
        <w:rPr>
          <w:lang w:val="sq-AL"/>
        </w:rPr>
        <w:t>ve të paraqitura midis viteve 1975 e</w:t>
      </w:r>
      <w:r w:rsidRPr="000D024B">
        <w:rPr>
          <w:lang w:val="sq-AL"/>
        </w:rPr>
        <w:t xml:space="preserve"> 2004 </w:t>
      </w:r>
      <w:r w:rsidRPr="000D024B" w:rsidR="00196354">
        <w:rPr>
          <w:lang w:val="sq-AL"/>
        </w:rPr>
        <w:t>kund</w:t>
      </w:r>
      <w:r w:rsidRPr="000D024B" w:rsidR="005C74C3">
        <w:rPr>
          <w:lang w:val="sq-AL"/>
        </w:rPr>
        <w:t>ë</w:t>
      </w:r>
      <w:r w:rsidRPr="000D024B" w:rsidR="00196354">
        <w:rPr>
          <w:lang w:val="sq-AL"/>
        </w:rPr>
        <w:t>r disa pjesëtar</w:t>
      </w:r>
      <w:r w:rsidRPr="000D024B" w:rsidR="005C74C3">
        <w:rPr>
          <w:lang w:val="sq-AL"/>
        </w:rPr>
        <w:t>ë</w:t>
      </w:r>
      <w:r w:rsidRPr="000D024B" w:rsidR="00196354">
        <w:rPr>
          <w:lang w:val="sq-AL"/>
        </w:rPr>
        <w:t>ve t</w:t>
      </w:r>
      <w:r w:rsidRPr="000D024B" w:rsidR="005C74C3">
        <w:rPr>
          <w:lang w:val="sq-AL"/>
        </w:rPr>
        <w:t>ë</w:t>
      </w:r>
      <w:r w:rsidRPr="000D024B" w:rsidR="00196354">
        <w:rPr>
          <w:lang w:val="sq-AL"/>
        </w:rPr>
        <w:t xml:space="preserve"> klerit të arkidioqezës së </w:t>
      </w:r>
      <w:r w:rsidRPr="000D024B">
        <w:rPr>
          <w:lang w:val="sq-AL"/>
        </w:rPr>
        <w:t>Dublin</w:t>
      </w:r>
      <w:r w:rsidRPr="000D024B" w:rsidR="00196354">
        <w:rPr>
          <w:lang w:val="sq-AL"/>
        </w:rPr>
        <w:t>it</w:t>
      </w:r>
      <w:r w:rsidRPr="000D024B">
        <w:rPr>
          <w:lang w:val="sq-AL"/>
        </w:rPr>
        <w:t xml:space="preserve">. </w:t>
      </w:r>
      <w:r w:rsidRPr="000D024B" w:rsidR="00196354">
        <w:rPr>
          <w:lang w:val="sq-AL"/>
        </w:rPr>
        <w:t>Ai vinte re se abuzimet seksuale t</w:t>
      </w:r>
      <w:r w:rsidRPr="000D024B" w:rsidR="005C74C3">
        <w:rPr>
          <w:lang w:val="sq-AL"/>
        </w:rPr>
        <w:t>ë</w:t>
      </w:r>
      <w:r w:rsidRPr="000D024B" w:rsidR="00196354">
        <w:rPr>
          <w:lang w:val="sq-AL"/>
        </w:rPr>
        <w:t xml:space="preserve"> kryera nga klerikë ndaj f</w:t>
      </w:r>
      <w:r w:rsidRPr="000D024B" w:rsidR="005C74C3">
        <w:rPr>
          <w:lang w:val="sq-AL"/>
        </w:rPr>
        <w:t>ë</w:t>
      </w:r>
      <w:r w:rsidRPr="000D024B" w:rsidR="00196354">
        <w:rPr>
          <w:lang w:val="sq-AL"/>
        </w:rPr>
        <w:t>mij</w:t>
      </w:r>
      <w:r w:rsidRPr="000D024B" w:rsidR="005C74C3">
        <w:rPr>
          <w:lang w:val="sq-AL"/>
        </w:rPr>
        <w:t>ë</w:t>
      </w:r>
      <w:r w:rsidRPr="000D024B" w:rsidR="00196354">
        <w:rPr>
          <w:lang w:val="sq-AL"/>
        </w:rPr>
        <w:t>ve kishin qen</w:t>
      </w:r>
      <w:r w:rsidRPr="000D024B" w:rsidR="005C74C3">
        <w:rPr>
          <w:lang w:val="sq-AL"/>
        </w:rPr>
        <w:t>ë</w:t>
      </w:r>
      <w:r w:rsidRPr="000D024B" w:rsidR="00196354">
        <w:rPr>
          <w:lang w:val="sq-AL"/>
        </w:rPr>
        <w:t xml:space="preserve"> t</w:t>
      </w:r>
      <w:r w:rsidRPr="000D024B" w:rsidR="005C74C3">
        <w:rPr>
          <w:lang w:val="sq-AL"/>
        </w:rPr>
        <w:t>ë</w:t>
      </w:r>
      <w:r w:rsidRPr="000D024B" w:rsidR="00196354">
        <w:rPr>
          <w:lang w:val="sq-AL"/>
        </w:rPr>
        <w:t xml:space="preserve"> zakonshme gjat</w:t>
      </w:r>
      <w:r w:rsidRPr="000D024B" w:rsidR="005C74C3">
        <w:rPr>
          <w:lang w:val="sq-AL"/>
        </w:rPr>
        <w:t>ë</w:t>
      </w:r>
      <w:r w:rsidRPr="000D024B" w:rsidR="00196354">
        <w:rPr>
          <w:lang w:val="sq-AL"/>
        </w:rPr>
        <w:t xml:space="preserve"> periudh</w:t>
      </w:r>
      <w:r w:rsidRPr="000D024B" w:rsidR="005C74C3">
        <w:rPr>
          <w:lang w:val="sq-AL"/>
        </w:rPr>
        <w:t>ë</w:t>
      </w:r>
      <w:r w:rsidRPr="000D024B" w:rsidR="00196354">
        <w:rPr>
          <w:lang w:val="sq-AL"/>
        </w:rPr>
        <w:t>s s</w:t>
      </w:r>
      <w:r w:rsidRPr="000D024B" w:rsidR="005C74C3">
        <w:rPr>
          <w:lang w:val="sq-AL"/>
        </w:rPr>
        <w:t>ë</w:t>
      </w:r>
      <w:r w:rsidRPr="000D024B" w:rsidR="00196354">
        <w:rPr>
          <w:lang w:val="sq-AL"/>
        </w:rPr>
        <w:t xml:space="preserve"> marr</w:t>
      </w:r>
      <w:r w:rsidRPr="000D024B" w:rsidR="005C74C3">
        <w:rPr>
          <w:lang w:val="sq-AL"/>
        </w:rPr>
        <w:t>ë</w:t>
      </w:r>
      <w:r w:rsidRPr="000D024B" w:rsidR="00196354">
        <w:rPr>
          <w:lang w:val="sq-AL"/>
        </w:rPr>
        <w:t xml:space="preserve"> në studim. Ai e cil</w:t>
      </w:r>
      <w:r w:rsidRPr="000D024B" w:rsidR="005C74C3">
        <w:rPr>
          <w:lang w:val="sq-AL"/>
        </w:rPr>
        <w:t>ë</w:t>
      </w:r>
      <w:r w:rsidRPr="000D024B" w:rsidR="00196354">
        <w:rPr>
          <w:lang w:val="sq-AL"/>
        </w:rPr>
        <w:t>sonte si t</w:t>
      </w:r>
      <w:r w:rsidRPr="000D024B" w:rsidR="005C74C3">
        <w:rPr>
          <w:lang w:val="sq-AL"/>
        </w:rPr>
        <w:t>ë</w:t>
      </w:r>
      <w:r w:rsidRPr="000D024B" w:rsidR="00196354">
        <w:rPr>
          <w:lang w:val="sq-AL"/>
        </w:rPr>
        <w:t xml:space="preserve"> jasht</w:t>
      </w:r>
      <w:r w:rsidRPr="000D024B" w:rsidR="005C74C3">
        <w:rPr>
          <w:lang w:val="sq-AL"/>
        </w:rPr>
        <w:t>ë</w:t>
      </w:r>
      <w:r w:rsidRPr="000D024B" w:rsidR="00196354">
        <w:rPr>
          <w:lang w:val="sq-AL"/>
        </w:rPr>
        <w:t>zakonshme vones</w:t>
      </w:r>
      <w:r w:rsidRPr="000D024B" w:rsidR="005C74C3">
        <w:rPr>
          <w:lang w:val="sq-AL"/>
        </w:rPr>
        <w:t xml:space="preserve">ën që kishte procesi ligjvënës deri në fillimin e viteve </w:t>
      </w:r>
      <w:r w:rsidRPr="000D024B">
        <w:rPr>
          <w:lang w:val="sq-AL"/>
        </w:rPr>
        <w:t xml:space="preserve">1990 </w:t>
      </w:r>
      <w:r w:rsidRPr="000D024B" w:rsidR="005C74C3">
        <w:rPr>
          <w:lang w:val="sq-AL"/>
        </w:rPr>
        <w:t xml:space="preserve">ndërkohë që nevoja e një legjislacioni në fushën e mbrojtjes së fëmijëve ishte pranuar qartësisht që në fillimin e viteve </w:t>
      </w:r>
      <w:r w:rsidRPr="000D024B">
        <w:rPr>
          <w:lang w:val="sq-AL"/>
        </w:rPr>
        <w:t>1970.</w:t>
      </w:r>
    </w:p>
    <w:p w:rsidRPr="000D024B" w:rsidR="00EB737A" w:rsidP="00EB737A" w:rsidRDefault="00EB737A">
      <w:pPr>
        <w:pStyle w:val="ECHRPara"/>
        <w:keepNext/>
        <w:keepLines/>
        <w:rPr>
          <w:lang w:val="sq-AL"/>
        </w:rPr>
      </w:pPr>
      <w:r w:rsidRPr="000D024B">
        <w:rPr>
          <w:lang w:val="sq-AL"/>
        </w:rPr>
        <w:fldChar w:fldCharType="begin"/>
      </w:r>
      <w:r w:rsidRPr="000D024B">
        <w:rPr>
          <w:lang w:val="sq-AL"/>
        </w:rPr>
        <w:instrText xml:space="preserve"> SEQ level0 \*arabic </w:instrText>
      </w:r>
      <w:r w:rsidRPr="000D024B">
        <w:rPr>
          <w:lang w:val="sq-AL"/>
        </w:rPr>
        <w:fldChar w:fldCharType="separate"/>
      </w:r>
      <w:r w:rsidR="00013F9B">
        <w:rPr>
          <w:noProof/>
          <w:lang w:val="sq-AL"/>
        </w:rPr>
        <w:t>88</w:t>
      </w:r>
      <w:r w:rsidRPr="000D024B">
        <w:rPr>
          <w:lang w:val="sq-AL"/>
        </w:rPr>
        <w:fldChar w:fldCharType="end"/>
      </w:r>
      <w:r w:rsidRPr="000D024B">
        <w:rPr>
          <w:lang w:val="sq-AL"/>
        </w:rPr>
        <w:t>.  </w:t>
      </w:r>
      <w:r w:rsidRPr="000D024B" w:rsidR="005C74C3">
        <w:rPr>
          <w:lang w:val="sq-AL"/>
        </w:rPr>
        <w:t>Më</w:t>
      </w:r>
      <w:r w:rsidRPr="000D024B">
        <w:rPr>
          <w:lang w:val="sq-AL"/>
        </w:rPr>
        <w:t xml:space="preserve"> 1996, </w:t>
      </w:r>
      <w:r w:rsidRPr="000D024B" w:rsidR="005C74C3">
        <w:rPr>
          <w:lang w:val="sq-AL"/>
        </w:rPr>
        <w:t>ipeshkvijtë irlandezë miratuan nj</w:t>
      </w:r>
      <w:r w:rsidRPr="000D024B" w:rsidR="000D024B">
        <w:rPr>
          <w:lang w:val="sq-AL"/>
        </w:rPr>
        <w:t>ë</w:t>
      </w:r>
      <w:r w:rsidRPr="000D024B" w:rsidR="005C74C3">
        <w:rPr>
          <w:lang w:val="sq-AL"/>
        </w:rPr>
        <w:t xml:space="preserve"> dokument reference me titull “Dhunimet seksuale ndaj f</w:t>
      </w:r>
      <w:r w:rsidRPr="000D024B" w:rsidR="000D024B">
        <w:rPr>
          <w:lang w:val="sq-AL"/>
        </w:rPr>
        <w:t>ë</w:t>
      </w:r>
      <w:r w:rsidRPr="000D024B" w:rsidR="005C74C3">
        <w:rPr>
          <w:lang w:val="sq-AL"/>
        </w:rPr>
        <w:t>mij</w:t>
      </w:r>
      <w:r w:rsidRPr="000D024B" w:rsidR="000D024B">
        <w:rPr>
          <w:lang w:val="sq-AL"/>
        </w:rPr>
        <w:t>ë</w:t>
      </w:r>
      <w:r w:rsidRPr="000D024B" w:rsidR="005C74C3">
        <w:rPr>
          <w:lang w:val="sq-AL"/>
        </w:rPr>
        <w:t>ve: parime udh</w:t>
      </w:r>
      <w:r w:rsidRPr="000D024B" w:rsidR="000D024B">
        <w:rPr>
          <w:lang w:val="sq-AL"/>
        </w:rPr>
        <w:t>ë</w:t>
      </w:r>
      <w:r w:rsidRPr="000D024B" w:rsidR="005C74C3">
        <w:rPr>
          <w:lang w:val="sq-AL"/>
        </w:rPr>
        <w:t>heq</w:t>
      </w:r>
      <w:r w:rsidRPr="000D024B" w:rsidR="000D024B">
        <w:rPr>
          <w:lang w:val="sq-AL"/>
        </w:rPr>
        <w:t>ë</w:t>
      </w:r>
      <w:r w:rsidRPr="000D024B" w:rsidR="005C74C3">
        <w:rPr>
          <w:lang w:val="sq-AL"/>
        </w:rPr>
        <w:t>se për nj</w:t>
      </w:r>
      <w:r w:rsidRPr="000D024B" w:rsidR="000D024B">
        <w:rPr>
          <w:lang w:val="sq-AL"/>
        </w:rPr>
        <w:t>ë</w:t>
      </w:r>
      <w:r w:rsidRPr="000D024B" w:rsidR="005C74C3">
        <w:rPr>
          <w:lang w:val="sq-AL"/>
        </w:rPr>
        <w:t xml:space="preserve"> përgjigje t</w:t>
      </w:r>
      <w:r w:rsidRPr="000D024B" w:rsidR="000D024B">
        <w:rPr>
          <w:lang w:val="sq-AL"/>
        </w:rPr>
        <w:t>ë</w:t>
      </w:r>
      <w:r w:rsidRPr="000D024B" w:rsidR="005C74C3">
        <w:rPr>
          <w:lang w:val="sq-AL"/>
        </w:rPr>
        <w:t xml:space="preserve"> Kish</w:t>
      </w:r>
      <w:r w:rsidRPr="000D024B" w:rsidR="000D024B">
        <w:rPr>
          <w:lang w:val="sq-AL"/>
        </w:rPr>
        <w:t>ë</w:t>
      </w:r>
      <w:r w:rsidRPr="000D024B" w:rsidR="005C74C3">
        <w:rPr>
          <w:lang w:val="sq-AL"/>
        </w:rPr>
        <w:t>s”</w:t>
      </w:r>
      <w:r w:rsidRPr="000D024B">
        <w:rPr>
          <w:lang w:val="sq-AL"/>
        </w:rPr>
        <w:t xml:space="preserve"> (</w:t>
      </w:r>
      <w:r w:rsidRPr="000D024B">
        <w:rPr>
          <w:i/>
          <w:lang w:val="sq-AL"/>
        </w:rPr>
        <w:t>Child Sexual Abuse: Framework for a Church Response</w:t>
      </w:r>
      <w:r w:rsidRPr="000D024B">
        <w:rPr>
          <w:lang w:val="sq-AL"/>
        </w:rPr>
        <w:t xml:space="preserve">). </w:t>
      </w:r>
      <w:r w:rsidRPr="000D024B" w:rsidR="005C74C3">
        <w:rPr>
          <w:lang w:val="sq-AL"/>
        </w:rPr>
        <w:t>Raporti</w:t>
      </w:r>
      <w:r w:rsidRPr="000D024B">
        <w:rPr>
          <w:lang w:val="sq-AL"/>
        </w:rPr>
        <w:t xml:space="preserve"> Cloyne </w:t>
      </w:r>
      <w:r w:rsidRPr="000D024B" w:rsidR="005C74C3">
        <w:rPr>
          <w:lang w:val="sq-AL"/>
        </w:rPr>
        <w:t>i vitit</w:t>
      </w:r>
      <w:r w:rsidRPr="000D024B">
        <w:rPr>
          <w:lang w:val="sq-AL"/>
        </w:rPr>
        <w:t xml:space="preserve"> 2011 </w:t>
      </w:r>
      <w:r w:rsidRPr="000D024B" w:rsidR="005C74C3">
        <w:rPr>
          <w:lang w:val="sq-AL"/>
        </w:rPr>
        <w:t>shqyrtonte m</w:t>
      </w:r>
      <w:r w:rsidRPr="000D024B" w:rsidR="000D024B">
        <w:rPr>
          <w:lang w:val="sq-AL"/>
        </w:rPr>
        <w:t>ë</w:t>
      </w:r>
      <w:r w:rsidRPr="000D024B" w:rsidR="005C74C3">
        <w:rPr>
          <w:lang w:val="sq-AL"/>
        </w:rPr>
        <w:t>nyr</w:t>
      </w:r>
      <w:r w:rsidRPr="000D024B" w:rsidR="000D024B">
        <w:rPr>
          <w:lang w:val="sq-AL"/>
        </w:rPr>
        <w:t>ë</w:t>
      </w:r>
      <w:r w:rsidRPr="000D024B" w:rsidR="005C74C3">
        <w:rPr>
          <w:lang w:val="sq-AL"/>
        </w:rPr>
        <w:t>n se si kishin reaguar autoritetet e Kish</w:t>
      </w:r>
      <w:r w:rsidRPr="000D024B" w:rsidR="000D024B">
        <w:rPr>
          <w:lang w:val="sq-AL"/>
        </w:rPr>
        <w:t>ë</w:t>
      </w:r>
      <w:r w:rsidRPr="000D024B" w:rsidR="005C74C3">
        <w:rPr>
          <w:lang w:val="sq-AL"/>
        </w:rPr>
        <w:t>s katolike ndaj ankesave p</w:t>
      </w:r>
      <w:r w:rsidRPr="000D024B" w:rsidR="000D024B">
        <w:rPr>
          <w:lang w:val="sq-AL"/>
        </w:rPr>
        <w:t>ë</w:t>
      </w:r>
      <w:r w:rsidRPr="000D024B" w:rsidR="005C74C3">
        <w:rPr>
          <w:lang w:val="sq-AL"/>
        </w:rPr>
        <w:t>r abuzime seksuale t</w:t>
      </w:r>
      <w:r w:rsidRPr="000D024B" w:rsidR="000D024B">
        <w:rPr>
          <w:lang w:val="sq-AL"/>
        </w:rPr>
        <w:t>ë</w:t>
      </w:r>
      <w:r w:rsidRPr="000D024B" w:rsidR="005C74C3">
        <w:rPr>
          <w:lang w:val="sq-AL"/>
        </w:rPr>
        <w:t xml:space="preserve"> kryera nga pjes</w:t>
      </w:r>
      <w:r w:rsidRPr="000D024B" w:rsidR="000D024B">
        <w:rPr>
          <w:lang w:val="sq-AL"/>
        </w:rPr>
        <w:t>ë</w:t>
      </w:r>
      <w:r w:rsidRPr="000D024B" w:rsidR="005C74C3">
        <w:rPr>
          <w:lang w:val="sq-AL"/>
        </w:rPr>
        <w:t>tar</w:t>
      </w:r>
      <w:r w:rsidRPr="000D024B" w:rsidR="000D024B">
        <w:rPr>
          <w:lang w:val="sq-AL"/>
        </w:rPr>
        <w:t>ë</w:t>
      </w:r>
      <w:r w:rsidRPr="000D024B" w:rsidR="005C74C3">
        <w:rPr>
          <w:lang w:val="sq-AL"/>
        </w:rPr>
        <w:t xml:space="preserve"> të klerit, t</w:t>
      </w:r>
      <w:r w:rsidRPr="000D024B" w:rsidR="000D024B">
        <w:rPr>
          <w:lang w:val="sq-AL"/>
        </w:rPr>
        <w:t>ë</w:t>
      </w:r>
      <w:r w:rsidRPr="000D024B" w:rsidR="005C74C3">
        <w:rPr>
          <w:lang w:val="sq-AL"/>
        </w:rPr>
        <w:t xml:space="preserve"> cilat u ishin paraqitur atyre pas miratimit t</w:t>
      </w:r>
      <w:r w:rsidRPr="000D024B" w:rsidR="000D024B">
        <w:rPr>
          <w:lang w:val="sq-AL"/>
        </w:rPr>
        <w:t>ë</w:t>
      </w:r>
      <w:r w:rsidRPr="000D024B" w:rsidR="005C74C3">
        <w:rPr>
          <w:lang w:val="sq-AL"/>
        </w:rPr>
        <w:t xml:space="preserve"> k</w:t>
      </w:r>
      <w:r w:rsidRPr="000D024B" w:rsidR="000D024B">
        <w:rPr>
          <w:lang w:val="sq-AL"/>
        </w:rPr>
        <w:t>ë</w:t>
      </w:r>
      <w:r w:rsidRPr="000D024B" w:rsidR="005C74C3">
        <w:rPr>
          <w:lang w:val="sq-AL"/>
        </w:rPr>
        <w:t>tij dokumenti reference, në nj</w:t>
      </w:r>
      <w:r w:rsidRPr="000D024B" w:rsidR="000D024B">
        <w:rPr>
          <w:lang w:val="sq-AL"/>
        </w:rPr>
        <w:t>ë</w:t>
      </w:r>
      <w:r w:rsidRPr="000D024B" w:rsidR="005C74C3">
        <w:rPr>
          <w:lang w:val="sq-AL"/>
        </w:rPr>
        <w:t xml:space="preserve"> koh</w:t>
      </w:r>
      <w:r w:rsidRPr="000D024B" w:rsidR="000D024B">
        <w:rPr>
          <w:lang w:val="sq-AL"/>
        </w:rPr>
        <w:t>ë</w:t>
      </w:r>
      <w:r w:rsidRPr="000D024B" w:rsidR="005C74C3">
        <w:rPr>
          <w:lang w:val="sq-AL"/>
        </w:rPr>
        <w:t xml:space="preserve"> pra kur mund t</w:t>
      </w:r>
      <w:r w:rsidRPr="000D024B" w:rsidR="000D024B">
        <w:rPr>
          <w:lang w:val="sq-AL"/>
        </w:rPr>
        <w:t>ë</w:t>
      </w:r>
      <w:r w:rsidRPr="000D024B" w:rsidR="005C74C3">
        <w:rPr>
          <w:lang w:val="sq-AL"/>
        </w:rPr>
        <w:t xml:space="preserve"> mendohej me t</w:t>
      </w:r>
      <w:r w:rsidRPr="000D024B" w:rsidR="000D024B">
        <w:rPr>
          <w:lang w:val="sq-AL"/>
        </w:rPr>
        <w:t>ë</w:t>
      </w:r>
      <w:r w:rsidRPr="000D024B" w:rsidR="005C74C3">
        <w:rPr>
          <w:lang w:val="sq-AL"/>
        </w:rPr>
        <w:t xml:space="preserve"> drejt</w:t>
      </w:r>
      <w:r w:rsidRPr="000D024B" w:rsidR="000D024B">
        <w:rPr>
          <w:lang w:val="sq-AL"/>
        </w:rPr>
        <w:t>ë</w:t>
      </w:r>
      <w:r w:rsidRPr="000D024B" w:rsidR="005C74C3">
        <w:rPr>
          <w:lang w:val="sq-AL"/>
        </w:rPr>
        <w:t xml:space="preserve"> se ato ishin t</w:t>
      </w:r>
      <w:r w:rsidRPr="000D024B" w:rsidR="000D024B">
        <w:rPr>
          <w:lang w:val="sq-AL"/>
        </w:rPr>
        <w:t>ë</w:t>
      </w:r>
      <w:r w:rsidRPr="000D024B" w:rsidR="005C74C3">
        <w:rPr>
          <w:lang w:val="sq-AL"/>
        </w:rPr>
        <w:t xml:space="preserve"> vet</w:t>
      </w:r>
      <w:r w:rsidRPr="000D024B" w:rsidR="000D024B">
        <w:rPr>
          <w:lang w:val="sq-AL"/>
        </w:rPr>
        <w:t>ë</w:t>
      </w:r>
      <w:r w:rsidRPr="000D024B" w:rsidR="005C74C3">
        <w:rPr>
          <w:lang w:val="sq-AL"/>
        </w:rPr>
        <w:t>dijshme p</w:t>
      </w:r>
      <w:r w:rsidRPr="000D024B" w:rsidR="000D024B">
        <w:rPr>
          <w:lang w:val="sq-AL"/>
        </w:rPr>
        <w:t>ë</w:t>
      </w:r>
      <w:r w:rsidRPr="000D024B" w:rsidR="005C74C3">
        <w:rPr>
          <w:lang w:val="sq-AL"/>
        </w:rPr>
        <w:t>r p</w:t>
      </w:r>
      <w:r w:rsidRPr="000D024B" w:rsidR="000D024B">
        <w:rPr>
          <w:lang w:val="sq-AL"/>
        </w:rPr>
        <w:t>ë</w:t>
      </w:r>
      <w:r w:rsidRPr="000D024B" w:rsidR="005C74C3">
        <w:rPr>
          <w:lang w:val="sq-AL"/>
        </w:rPr>
        <w:t>rmasat e k</w:t>
      </w:r>
      <w:r w:rsidRPr="000D024B" w:rsidR="000D024B">
        <w:rPr>
          <w:lang w:val="sq-AL"/>
        </w:rPr>
        <w:t>ë</w:t>
      </w:r>
      <w:r w:rsidRPr="000D024B" w:rsidR="005C74C3">
        <w:rPr>
          <w:lang w:val="sq-AL"/>
        </w:rPr>
        <w:t>tij problemi dhe p</w:t>
      </w:r>
      <w:r w:rsidRPr="000D024B" w:rsidR="000D024B">
        <w:rPr>
          <w:lang w:val="sq-AL"/>
        </w:rPr>
        <w:t>ë</w:t>
      </w:r>
      <w:r w:rsidRPr="000D024B" w:rsidR="005C74C3">
        <w:rPr>
          <w:lang w:val="sq-AL"/>
        </w:rPr>
        <w:t>r m</w:t>
      </w:r>
      <w:r w:rsidRPr="000D024B" w:rsidR="000D024B">
        <w:rPr>
          <w:lang w:val="sq-AL"/>
        </w:rPr>
        <w:t>ë</w:t>
      </w:r>
      <w:r w:rsidRPr="000D024B" w:rsidR="005C74C3">
        <w:rPr>
          <w:lang w:val="sq-AL"/>
        </w:rPr>
        <w:t>nyr</w:t>
      </w:r>
      <w:r w:rsidRPr="000D024B" w:rsidR="000D024B">
        <w:rPr>
          <w:lang w:val="sq-AL"/>
        </w:rPr>
        <w:t>ë</w:t>
      </w:r>
      <w:r w:rsidRPr="000D024B" w:rsidR="005C74C3">
        <w:rPr>
          <w:lang w:val="sq-AL"/>
        </w:rPr>
        <w:t>n m</w:t>
      </w:r>
      <w:r w:rsidRPr="000D024B" w:rsidR="000D024B">
        <w:rPr>
          <w:lang w:val="sq-AL"/>
        </w:rPr>
        <w:t>ë</w:t>
      </w:r>
      <w:r w:rsidRPr="000D024B" w:rsidR="005C74C3">
        <w:rPr>
          <w:lang w:val="sq-AL"/>
        </w:rPr>
        <w:t xml:space="preserve"> t</w:t>
      </w:r>
      <w:r w:rsidRPr="000D024B" w:rsidR="000D024B">
        <w:rPr>
          <w:lang w:val="sq-AL"/>
        </w:rPr>
        <w:t>ë</w:t>
      </w:r>
      <w:r w:rsidRPr="000D024B" w:rsidR="005C74C3">
        <w:rPr>
          <w:lang w:val="sq-AL"/>
        </w:rPr>
        <w:t xml:space="preserve"> p</w:t>
      </w:r>
      <w:r w:rsidRPr="000D024B" w:rsidR="000D024B">
        <w:rPr>
          <w:lang w:val="sq-AL"/>
        </w:rPr>
        <w:t>ë</w:t>
      </w:r>
      <w:r w:rsidRPr="000D024B" w:rsidR="005C74C3">
        <w:rPr>
          <w:lang w:val="sq-AL"/>
        </w:rPr>
        <w:t>rshtatshme p</w:t>
      </w:r>
      <w:r w:rsidRPr="000D024B" w:rsidR="000D024B">
        <w:rPr>
          <w:lang w:val="sq-AL"/>
        </w:rPr>
        <w:t>ë</w:t>
      </w:r>
      <w:r w:rsidRPr="000D024B" w:rsidR="005C74C3">
        <w:rPr>
          <w:lang w:val="sq-AL"/>
        </w:rPr>
        <w:t>r t</w:t>
      </w:r>
      <w:r w:rsidR="00943091">
        <w:rPr>
          <w:lang w:val="sq-AL"/>
        </w:rPr>
        <w:t>’</w:t>
      </w:r>
      <w:r w:rsidRPr="000D024B" w:rsidR="005C74C3">
        <w:rPr>
          <w:lang w:val="sq-AL"/>
        </w:rPr>
        <w:t>i dh</w:t>
      </w:r>
      <w:r w:rsidRPr="000D024B" w:rsidR="000D024B">
        <w:rPr>
          <w:lang w:val="sq-AL"/>
        </w:rPr>
        <w:t>ë</w:t>
      </w:r>
      <w:r w:rsidRPr="000D024B" w:rsidR="005C74C3">
        <w:rPr>
          <w:lang w:val="sq-AL"/>
        </w:rPr>
        <w:t>n</w:t>
      </w:r>
      <w:r w:rsidRPr="000D024B" w:rsidR="000D024B">
        <w:rPr>
          <w:lang w:val="sq-AL"/>
        </w:rPr>
        <w:t>ë</w:t>
      </w:r>
      <w:r w:rsidRPr="000D024B" w:rsidR="005C74C3">
        <w:rPr>
          <w:lang w:val="sq-AL"/>
        </w:rPr>
        <w:t xml:space="preserve"> atij përgjigje. </w:t>
      </w:r>
      <w:r w:rsidRPr="000D024B" w:rsidR="000D024B">
        <w:rPr>
          <w:lang w:val="sq-AL"/>
        </w:rPr>
        <w:t>Raporti ishte tejet kritik ndaj qëndrimit të Kishës, edhe gjatë periudhës pas botimit të dokumentit të lartpërmendur.</w:t>
      </w:r>
    </w:p>
    <w:p w:rsidRPr="0009363E" w:rsidR="00EB737A" w:rsidP="00EB737A" w:rsidRDefault="00EB737A">
      <w:pPr>
        <w:pStyle w:val="ECHRHeading3"/>
        <w:rPr>
          <w:lang w:val="sq-AL"/>
        </w:rPr>
      </w:pPr>
      <w:r w:rsidRPr="000D024B">
        <w:rPr>
          <w:lang w:val="sq-AL"/>
        </w:rPr>
        <w:t>6.  </w:t>
      </w:r>
      <w:r w:rsidRPr="000D024B" w:rsidR="000D024B">
        <w:rPr>
          <w:lang w:val="sq-AL"/>
        </w:rPr>
        <w:t>Zhvillime të tjera në fushën e mbrojtjes së fëmijëve</w:t>
      </w:r>
    </w:p>
    <w:p w:rsidRPr="005664A4" w:rsidR="00EB737A" w:rsidP="00EB737A" w:rsidRDefault="00EB737A">
      <w:pPr>
        <w:pStyle w:val="ECHRPara"/>
        <w:rPr>
          <w:lang w:val="sq-AL"/>
        </w:rPr>
      </w:pPr>
      <w:r w:rsidRPr="005664A4">
        <w:rPr>
          <w:lang w:val="sq-AL"/>
        </w:rPr>
        <w:fldChar w:fldCharType="begin"/>
      </w:r>
      <w:r w:rsidRPr="005664A4">
        <w:rPr>
          <w:lang w:val="sq-AL"/>
        </w:rPr>
        <w:instrText xml:space="preserve"> SEQ level0 \*arabic </w:instrText>
      </w:r>
      <w:r w:rsidRPr="005664A4">
        <w:rPr>
          <w:lang w:val="sq-AL"/>
        </w:rPr>
        <w:fldChar w:fldCharType="separate"/>
      </w:r>
      <w:r w:rsidR="00013F9B">
        <w:rPr>
          <w:noProof/>
          <w:lang w:val="sq-AL"/>
        </w:rPr>
        <w:t>89</w:t>
      </w:r>
      <w:r w:rsidRPr="005664A4">
        <w:rPr>
          <w:lang w:val="sq-AL"/>
        </w:rPr>
        <w:fldChar w:fldCharType="end"/>
      </w:r>
      <w:r w:rsidRPr="005664A4">
        <w:rPr>
          <w:lang w:val="sq-AL"/>
        </w:rPr>
        <w:t>.  </w:t>
      </w:r>
      <w:r w:rsidRPr="005664A4" w:rsidR="000D024B">
        <w:rPr>
          <w:lang w:val="sq-AL"/>
        </w:rPr>
        <w:t>Në n</w:t>
      </w:r>
      <w:r w:rsidR="007254E5">
        <w:rPr>
          <w:lang w:val="sq-AL"/>
        </w:rPr>
        <w:t>ë</w:t>
      </w:r>
      <w:r w:rsidRPr="005664A4" w:rsidR="000D024B">
        <w:rPr>
          <w:lang w:val="sq-AL"/>
        </w:rPr>
        <w:t>ntor</w:t>
      </w:r>
      <w:r w:rsidRPr="005664A4">
        <w:rPr>
          <w:lang w:val="sq-AL"/>
        </w:rPr>
        <w:t xml:space="preserve"> 1991, </w:t>
      </w:r>
      <w:r w:rsidRPr="005664A4" w:rsidR="000D024B">
        <w:rPr>
          <w:lang w:val="sq-AL"/>
        </w:rPr>
        <w:t>Ministria nxori disa direktiva lidhur me procedurat q</w:t>
      </w:r>
      <w:r w:rsidR="007254E5">
        <w:rPr>
          <w:lang w:val="sq-AL"/>
        </w:rPr>
        <w:t>ë</w:t>
      </w:r>
      <w:r w:rsidRPr="005664A4" w:rsidR="000D024B">
        <w:rPr>
          <w:lang w:val="sq-AL"/>
        </w:rPr>
        <w:t xml:space="preserve"> duhej t</w:t>
      </w:r>
      <w:r w:rsidR="007254E5">
        <w:rPr>
          <w:lang w:val="sq-AL"/>
        </w:rPr>
        <w:t>ë</w:t>
      </w:r>
      <w:r w:rsidRPr="005664A4" w:rsidR="000D024B">
        <w:rPr>
          <w:lang w:val="sq-AL"/>
        </w:rPr>
        <w:t xml:space="preserve"> ndiqeshin për trajtimin e p</w:t>
      </w:r>
      <w:r w:rsidRPr="005664A4" w:rsidR="00415E67">
        <w:rPr>
          <w:lang w:val="sq-AL"/>
        </w:rPr>
        <w:t>oh</w:t>
      </w:r>
      <w:r w:rsidRPr="005664A4" w:rsidR="000D024B">
        <w:rPr>
          <w:lang w:val="sq-AL"/>
        </w:rPr>
        <w:t xml:space="preserve">imeve </w:t>
      </w:r>
      <w:r w:rsidRPr="005664A4" w:rsidR="00415E67">
        <w:rPr>
          <w:lang w:val="sq-AL"/>
        </w:rPr>
        <w:t>ose dyshimeve për keqtrajtime f</w:t>
      </w:r>
      <w:r w:rsidR="007254E5">
        <w:rPr>
          <w:lang w:val="sq-AL"/>
        </w:rPr>
        <w:t>ë</w:t>
      </w:r>
      <w:r w:rsidRPr="005664A4" w:rsidR="00415E67">
        <w:rPr>
          <w:lang w:val="sq-AL"/>
        </w:rPr>
        <w:t>mij</w:t>
      </w:r>
      <w:r w:rsidR="007254E5">
        <w:rPr>
          <w:lang w:val="sq-AL"/>
        </w:rPr>
        <w:t>ë</w:t>
      </w:r>
      <w:r w:rsidRPr="005664A4" w:rsidR="00415E67">
        <w:rPr>
          <w:lang w:val="sq-AL"/>
        </w:rPr>
        <w:t xml:space="preserve">sh </w:t>
      </w:r>
      <w:r w:rsidRPr="005664A4">
        <w:rPr>
          <w:lang w:val="sq-AL"/>
        </w:rPr>
        <w:t>(</w:t>
      </w:r>
      <w:r w:rsidRPr="005664A4" w:rsidR="00415E67">
        <w:rPr>
          <w:lang w:val="sq-AL"/>
        </w:rPr>
        <w:t xml:space="preserve">qarkorja nr. </w:t>
      </w:r>
      <w:r w:rsidRPr="005664A4">
        <w:rPr>
          <w:lang w:val="sq-AL"/>
        </w:rPr>
        <w:t xml:space="preserve">16/91). </w:t>
      </w:r>
      <w:r w:rsidRPr="005664A4" w:rsidR="00415E67">
        <w:rPr>
          <w:lang w:val="sq-AL"/>
        </w:rPr>
        <w:t xml:space="preserve">Këto direktiva u përditësuan më </w:t>
      </w:r>
      <w:r w:rsidRPr="005664A4">
        <w:rPr>
          <w:lang w:val="sq-AL"/>
        </w:rPr>
        <w:t>2001 (</w:t>
      </w:r>
      <w:r w:rsidRPr="005664A4" w:rsidR="00415E67">
        <w:rPr>
          <w:lang w:val="sq-AL"/>
        </w:rPr>
        <w:t>nën titullin “Mbrojtja e f</w:t>
      </w:r>
      <w:r w:rsidR="007254E5">
        <w:rPr>
          <w:lang w:val="sq-AL"/>
        </w:rPr>
        <w:t>ë</w:t>
      </w:r>
      <w:r w:rsidRPr="005664A4" w:rsidR="00415E67">
        <w:rPr>
          <w:lang w:val="sq-AL"/>
        </w:rPr>
        <w:t>mij</w:t>
      </w:r>
      <w:r w:rsidR="007254E5">
        <w:rPr>
          <w:lang w:val="sq-AL"/>
        </w:rPr>
        <w:t>ë</w:t>
      </w:r>
      <w:r w:rsidRPr="005664A4" w:rsidR="00415E67">
        <w:rPr>
          <w:lang w:val="sq-AL"/>
        </w:rPr>
        <w:t>ve – Direktiva dhe procedura” (</w:t>
      </w:r>
      <w:r w:rsidRPr="005664A4">
        <w:rPr>
          <w:i/>
          <w:lang w:val="sq-AL"/>
        </w:rPr>
        <w:t>Child Protection – Guidelines and Procedures</w:t>
      </w:r>
      <w:r w:rsidRPr="005664A4">
        <w:rPr>
          <w:lang w:val="sq-AL"/>
        </w:rPr>
        <w:t xml:space="preserve">), </w:t>
      </w:r>
      <w:r w:rsidRPr="005664A4" w:rsidR="00415E67">
        <w:rPr>
          <w:lang w:val="sq-AL"/>
        </w:rPr>
        <w:t>pastaj m</w:t>
      </w:r>
      <w:r w:rsidR="007254E5">
        <w:rPr>
          <w:lang w:val="sq-AL"/>
        </w:rPr>
        <w:t>ë</w:t>
      </w:r>
      <w:r w:rsidRPr="005664A4">
        <w:rPr>
          <w:lang w:val="sq-AL"/>
        </w:rPr>
        <w:t xml:space="preserve"> 2006 (</w:t>
      </w:r>
      <w:r w:rsidRPr="005664A4" w:rsidR="00415E67">
        <w:rPr>
          <w:lang w:val="sq-AL"/>
        </w:rPr>
        <w:t>në dokumentin me titull “Direktiva dhe procedura n</w:t>
      </w:r>
      <w:r w:rsidR="007254E5">
        <w:rPr>
          <w:lang w:val="sq-AL"/>
        </w:rPr>
        <w:t>ë</w:t>
      </w:r>
      <w:r w:rsidRPr="005664A4" w:rsidR="00415E67">
        <w:rPr>
          <w:lang w:val="sq-AL"/>
        </w:rPr>
        <w:t xml:space="preserve"> fush</w:t>
      </w:r>
      <w:r w:rsidR="007254E5">
        <w:rPr>
          <w:lang w:val="sq-AL"/>
        </w:rPr>
        <w:t>ë</w:t>
      </w:r>
      <w:r w:rsidRPr="005664A4" w:rsidR="00415E67">
        <w:rPr>
          <w:lang w:val="sq-AL"/>
        </w:rPr>
        <w:t>n e mbrojtjes s</w:t>
      </w:r>
      <w:r w:rsidR="007254E5">
        <w:rPr>
          <w:lang w:val="sq-AL"/>
        </w:rPr>
        <w:t>ë</w:t>
      </w:r>
      <w:r w:rsidRPr="005664A4" w:rsidR="00415E67">
        <w:rPr>
          <w:lang w:val="sq-AL"/>
        </w:rPr>
        <w:t xml:space="preserve"> f</w:t>
      </w:r>
      <w:r w:rsidR="007254E5">
        <w:rPr>
          <w:lang w:val="sq-AL"/>
        </w:rPr>
        <w:t>ë</w:t>
      </w:r>
      <w:r w:rsidRPr="005664A4" w:rsidR="00415E67">
        <w:rPr>
          <w:lang w:val="sq-AL"/>
        </w:rPr>
        <w:t>mij</w:t>
      </w:r>
      <w:r w:rsidR="007254E5">
        <w:rPr>
          <w:lang w:val="sq-AL"/>
        </w:rPr>
        <w:t>ë</w:t>
      </w:r>
      <w:r w:rsidRPr="005664A4" w:rsidR="00415E67">
        <w:rPr>
          <w:lang w:val="sq-AL"/>
        </w:rPr>
        <w:t>ve n</w:t>
      </w:r>
      <w:r w:rsidR="007254E5">
        <w:rPr>
          <w:lang w:val="sq-AL"/>
        </w:rPr>
        <w:t>ë</w:t>
      </w:r>
      <w:r w:rsidRPr="005664A4" w:rsidR="00415E67">
        <w:rPr>
          <w:lang w:val="sq-AL"/>
        </w:rPr>
        <w:t xml:space="preserve"> institucionet e arsimit fillor” (</w:t>
      </w:r>
      <w:r w:rsidRPr="005664A4">
        <w:rPr>
          <w:i/>
          <w:lang w:val="sq-AL"/>
        </w:rPr>
        <w:t>Child Protection Guidelines and Procedures for Primary Schools</w:t>
      </w:r>
      <w:r w:rsidRPr="005664A4">
        <w:rPr>
          <w:lang w:val="sq-AL"/>
        </w:rPr>
        <w:t xml:space="preserve">). </w:t>
      </w:r>
      <w:r w:rsidRPr="005664A4" w:rsidR="00415E67">
        <w:rPr>
          <w:lang w:val="sq-AL"/>
        </w:rPr>
        <w:t>Më</w:t>
      </w:r>
      <w:r w:rsidRPr="005664A4">
        <w:rPr>
          <w:lang w:val="sq-AL"/>
        </w:rPr>
        <w:t xml:space="preserve"> 1999, </w:t>
      </w:r>
      <w:r w:rsidRPr="005664A4" w:rsidR="00415E67">
        <w:rPr>
          <w:lang w:val="sq-AL"/>
        </w:rPr>
        <w:t>shteti miratoi mekanizmin e parë të p</w:t>
      </w:r>
      <w:r w:rsidR="007254E5">
        <w:rPr>
          <w:lang w:val="sq-AL"/>
        </w:rPr>
        <w:t>ë</w:t>
      </w:r>
      <w:r w:rsidRPr="005664A4" w:rsidR="00415E67">
        <w:rPr>
          <w:lang w:val="sq-AL"/>
        </w:rPr>
        <w:t>rgjithsh</w:t>
      </w:r>
      <w:r w:rsidR="007254E5">
        <w:rPr>
          <w:lang w:val="sq-AL"/>
        </w:rPr>
        <w:t>ë</w:t>
      </w:r>
      <w:r w:rsidRPr="005664A4" w:rsidR="00415E67">
        <w:rPr>
          <w:lang w:val="sq-AL"/>
        </w:rPr>
        <w:t>m p</w:t>
      </w:r>
      <w:r w:rsidR="007254E5">
        <w:rPr>
          <w:lang w:val="sq-AL"/>
        </w:rPr>
        <w:t>ë</w:t>
      </w:r>
      <w:r w:rsidRPr="005664A4" w:rsidR="00415E67">
        <w:rPr>
          <w:lang w:val="sq-AL"/>
        </w:rPr>
        <w:t>r mbrojtjen e f</w:t>
      </w:r>
      <w:r w:rsidR="007254E5">
        <w:rPr>
          <w:lang w:val="sq-AL"/>
        </w:rPr>
        <w:t>ë</w:t>
      </w:r>
      <w:r w:rsidRPr="005664A4" w:rsidR="00415E67">
        <w:rPr>
          <w:lang w:val="sq-AL"/>
        </w:rPr>
        <w:t>mij</w:t>
      </w:r>
      <w:r w:rsidR="007254E5">
        <w:rPr>
          <w:lang w:val="sq-AL"/>
        </w:rPr>
        <w:t>ë</w:t>
      </w:r>
      <w:r w:rsidRPr="005664A4" w:rsidR="00415E67">
        <w:rPr>
          <w:lang w:val="sq-AL"/>
        </w:rPr>
        <w:t>ve (“Në radhë të parë fëmijët: vija udhëheqëse kombëtare për mbrojtjen dhe mirëqenien e fëmijëve”</w:t>
      </w:r>
      <w:r w:rsidRPr="005664A4" w:rsidR="005664A4">
        <w:rPr>
          <w:lang w:val="sq-AL"/>
        </w:rPr>
        <w:t xml:space="preserve"> </w:t>
      </w:r>
      <w:r w:rsidRPr="005664A4">
        <w:rPr>
          <w:lang w:val="sq-AL"/>
        </w:rPr>
        <w:t xml:space="preserve">– </w:t>
      </w:r>
      <w:r w:rsidRPr="005664A4" w:rsidR="005664A4">
        <w:rPr>
          <w:i/>
          <w:lang w:val="sq-AL"/>
        </w:rPr>
        <w:t>Children First:</w:t>
      </w:r>
      <w:r w:rsidRPr="005664A4">
        <w:rPr>
          <w:i/>
          <w:lang w:val="sq-AL"/>
        </w:rPr>
        <w:t xml:space="preserve"> National Guidelines for the Protection and Welfare of Children</w:t>
      </w:r>
      <w:r w:rsidRPr="005664A4">
        <w:rPr>
          <w:lang w:val="sq-AL"/>
        </w:rPr>
        <w:t>)</w:t>
      </w:r>
      <w:r w:rsidRPr="005664A4" w:rsidR="005664A4">
        <w:rPr>
          <w:lang w:val="sq-AL"/>
        </w:rPr>
        <w:t>. Këto direktiva duhej ta lehtësonin zbulimin dhe sinjalizimin e abuzimeve q</w:t>
      </w:r>
      <w:r w:rsidR="007254E5">
        <w:rPr>
          <w:lang w:val="sq-AL"/>
        </w:rPr>
        <w:t>ë</w:t>
      </w:r>
      <w:r w:rsidRPr="005664A4" w:rsidR="005664A4">
        <w:rPr>
          <w:lang w:val="sq-AL"/>
        </w:rPr>
        <w:t xml:space="preserve"> kishin t</w:t>
      </w:r>
      <w:r w:rsidR="007254E5">
        <w:rPr>
          <w:lang w:val="sq-AL"/>
        </w:rPr>
        <w:t>ë</w:t>
      </w:r>
      <w:r w:rsidRPr="005664A4" w:rsidR="005664A4">
        <w:rPr>
          <w:lang w:val="sq-AL"/>
        </w:rPr>
        <w:t xml:space="preserve"> b</w:t>
      </w:r>
      <w:r w:rsidR="007254E5">
        <w:rPr>
          <w:lang w:val="sq-AL"/>
        </w:rPr>
        <w:t>ë</w:t>
      </w:r>
      <w:r w:rsidRPr="005664A4" w:rsidR="005664A4">
        <w:rPr>
          <w:lang w:val="sq-AL"/>
        </w:rPr>
        <w:t>nin me f</w:t>
      </w:r>
      <w:r w:rsidR="007254E5">
        <w:rPr>
          <w:lang w:val="sq-AL"/>
        </w:rPr>
        <w:t>ë</w:t>
      </w:r>
      <w:r w:rsidRPr="005664A4" w:rsidR="005664A4">
        <w:rPr>
          <w:lang w:val="sq-AL"/>
        </w:rPr>
        <w:t>mij</w:t>
      </w:r>
      <w:r w:rsidR="007254E5">
        <w:rPr>
          <w:lang w:val="sq-AL"/>
        </w:rPr>
        <w:t>ë</w:t>
      </w:r>
      <w:r w:rsidRPr="005664A4" w:rsidR="005664A4">
        <w:rPr>
          <w:lang w:val="sq-AL"/>
        </w:rPr>
        <w:t xml:space="preserve"> si edhe t</w:t>
      </w:r>
      <w:r w:rsidR="00943091">
        <w:rPr>
          <w:lang w:val="sq-AL"/>
        </w:rPr>
        <w:t>’</w:t>
      </w:r>
      <w:r w:rsidRPr="005664A4" w:rsidR="005664A4">
        <w:rPr>
          <w:lang w:val="sq-AL"/>
        </w:rPr>
        <w:t>i p</w:t>
      </w:r>
      <w:r w:rsidR="007254E5">
        <w:rPr>
          <w:lang w:val="sq-AL"/>
        </w:rPr>
        <w:t>ë</w:t>
      </w:r>
      <w:r w:rsidRPr="005664A4" w:rsidR="005664A4">
        <w:rPr>
          <w:lang w:val="sq-AL"/>
        </w:rPr>
        <w:t>rmir</w:t>
      </w:r>
      <w:r w:rsidR="007254E5">
        <w:rPr>
          <w:lang w:val="sq-AL"/>
        </w:rPr>
        <w:t>ë</w:t>
      </w:r>
      <w:r w:rsidRPr="005664A4" w:rsidR="005664A4">
        <w:rPr>
          <w:lang w:val="sq-AL"/>
        </w:rPr>
        <w:t>sonin praktikat profesionale n</w:t>
      </w:r>
      <w:r w:rsidR="007254E5">
        <w:rPr>
          <w:lang w:val="sq-AL"/>
        </w:rPr>
        <w:t>ë</w:t>
      </w:r>
      <w:r w:rsidRPr="005664A4" w:rsidR="005664A4">
        <w:rPr>
          <w:lang w:val="sq-AL"/>
        </w:rPr>
        <w:t xml:space="preserve"> organizatat q</w:t>
      </w:r>
      <w:r w:rsidR="007254E5">
        <w:rPr>
          <w:lang w:val="sq-AL"/>
        </w:rPr>
        <w:t>ë</w:t>
      </w:r>
      <w:r w:rsidRPr="005664A4" w:rsidR="005664A4">
        <w:rPr>
          <w:lang w:val="sq-AL"/>
        </w:rPr>
        <w:t xml:space="preserve"> u ofronin shërbime f</w:t>
      </w:r>
      <w:r w:rsidR="007254E5">
        <w:rPr>
          <w:lang w:val="sq-AL"/>
        </w:rPr>
        <w:t>ë</w:t>
      </w:r>
      <w:r w:rsidRPr="005664A4" w:rsidR="005664A4">
        <w:rPr>
          <w:lang w:val="sq-AL"/>
        </w:rPr>
        <w:t>mij</w:t>
      </w:r>
      <w:r w:rsidR="007254E5">
        <w:rPr>
          <w:lang w:val="sq-AL"/>
        </w:rPr>
        <w:t>ë</w:t>
      </w:r>
      <w:r w:rsidRPr="005664A4" w:rsidR="005664A4">
        <w:rPr>
          <w:lang w:val="sq-AL"/>
        </w:rPr>
        <w:t>ve dhe familjeve. Që prej asaj kohe, ato kan</w:t>
      </w:r>
      <w:r w:rsidR="007254E5">
        <w:rPr>
          <w:lang w:val="sq-AL"/>
        </w:rPr>
        <w:t>ë</w:t>
      </w:r>
      <w:r w:rsidRPr="005664A4" w:rsidR="005664A4">
        <w:rPr>
          <w:lang w:val="sq-AL"/>
        </w:rPr>
        <w:t xml:space="preserve"> qen</w:t>
      </w:r>
      <w:r w:rsidR="007254E5">
        <w:rPr>
          <w:lang w:val="sq-AL"/>
        </w:rPr>
        <w:t>ë</w:t>
      </w:r>
      <w:r w:rsidRPr="005664A4" w:rsidR="005664A4">
        <w:rPr>
          <w:lang w:val="sq-AL"/>
        </w:rPr>
        <w:t xml:space="preserve"> objekt për disa p</w:t>
      </w:r>
      <w:r w:rsidR="007254E5">
        <w:rPr>
          <w:lang w:val="sq-AL"/>
        </w:rPr>
        <w:t>ë</w:t>
      </w:r>
      <w:r w:rsidRPr="005664A4" w:rsidR="005664A4">
        <w:rPr>
          <w:lang w:val="sq-AL"/>
        </w:rPr>
        <w:t>rdit</w:t>
      </w:r>
      <w:r w:rsidR="007254E5">
        <w:rPr>
          <w:lang w:val="sq-AL"/>
        </w:rPr>
        <w:t>ë</w:t>
      </w:r>
      <w:r w:rsidRPr="005664A4" w:rsidR="005664A4">
        <w:rPr>
          <w:lang w:val="sq-AL"/>
        </w:rPr>
        <w:t>sime, i fundit prej t</w:t>
      </w:r>
      <w:r w:rsidR="007254E5">
        <w:rPr>
          <w:lang w:val="sq-AL"/>
        </w:rPr>
        <w:t>ë</w:t>
      </w:r>
      <w:r w:rsidRPr="005664A4" w:rsidR="005664A4">
        <w:rPr>
          <w:lang w:val="sq-AL"/>
        </w:rPr>
        <w:t xml:space="preserve"> cilave i p</w:t>
      </w:r>
      <w:r w:rsidR="007254E5">
        <w:rPr>
          <w:lang w:val="sq-AL"/>
        </w:rPr>
        <w:t>ë</w:t>
      </w:r>
      <w:r w:rsidRPr="005664A4" w:rsidR="005664A4">
        <w:rPr>
          <w:lang w:val="sq-AL"/>
        </w:rPr>
        <w:t xml:space="preserve">rket vitit </w:t>
      </w:r>
      <w:r w:rsidRPr="005664A4">
        <w:rPr>
          <w:lang w:val="sq-AL"/>
        </w:rPr>
        <w:t xml:space="preserve">2011. </w:t>
      </w:r>
      <w:r w:rsidRPr="005664A4" w:rsidR="005664A4">
        <w:rPr>
          <w:lang w:val="sq-AL"/>
        </w:rPr>
        <w:t>Qeveria ka botuar m</w:t>
      </w:r>
      <w:r w:rsidR="007254E5">
        <w:rPr>
          <w:lang w:val="sq-AL"/>
        </w:rPr>
        <w:t>ë</w:t>
      </w:r>
      <w:r w:rsidRPr="005664A4" w:rsidR="005664A4">
        <w:rPr>
          <w:lang w:val="sq-AL"/>
        </w:rPr>
        <w:t xml:space="preserve"> </w:t>
      </w:r>
      <w:r w:rsidRPr="005664A4">
        <w:rPr>
          <w:lang w:val="sq-AL"/>
        </w:rPr>
        <w:t xml:space="preserve">2012 </w:t>
      </w:r>
      <w:r w:rsidRPr="005664A4" w:rsidR="005664A4">
        <w:rPr>
          <w:lang w:val="sq-AL"/>
        </w:rPr>
        <w:t>projektligjin “Në radhë të parë fëmijët</w:t>
      </w:r>
      <w:r w:rsidR="005664A4">
        <w:rPr>
          <w:lang w:val="sq-AL"/>
        </w:rPr>
        <w:t>” me qëllim q</w:t>
      </w:r>
      <w:r w:rsidR="007254E5">
        <w:rPr>
          <w:lang w:val="sq-AL"/>
        </w:rPr>
        <w:t>ë</w:t>
      </w:r>
      <w:r w:rsidR="005664A4">
        <w:rPr>
          <w:lang w:val="sq-AL"/>
        </w:rPr>
        <w:t xml:space="preserve"> t</w:t>
      </w:r>
      <w:r w:rsidR="007254E5">
        <w:rPr>
          <w:lang w:val="sq-AL"/>
        </w:rPr>
        <w:t>ë</w:t>
      </w:r>
      <w:r w:rsidR="005664A4">
        <w:rPr>
          <w:lang w:val="sq-AL"/>
        </w:rPr>
        <w:t xml:space="preserve"> garantoj</w:t>
      </w:r>
      <w:r w:rsidR="007254E5">
        <w:rPr>
          <w:lang w:val="sq-AL"/>
        </w:rPr>
        <w:t>ë</w:t>
      </w:r>
      <w:r w:rsidR="005664A4">
        <w:rPr>
          <w:lang w:val="sq-AL"/>
        </w:rPr>
        <w:t xml:space="preserve"> zbatimin e tyre efektiv.</w:t>
      </w:r>
    </w:p>
    <w:p w:rsidRPr="007254E5" w:rsidR="00EB737A" w:rsidP="00EB737A" w:rsidRDefault="00EB737A">
      <w:pPr>
        <w:pStyle w:val="ECHRPara"/>
        <w:rPr>
          <w:lang w:val="sq-AL"/>
        </w:rPr>
      </w:pPr>
      <w:r w:rsidRPr="002E0F26">
        <w:rPr>
          <w:lang w:val="sq-AL"/>
        </w:rPr>
        <w:fldChar w:fldCharType="begin"/>
      </w:r>
      <w:r w:rsidRPr="002E0F26">
        <w:rPr>
          <w:lang w:val="sq-AL"/>
        </w:rPr>
        <w:instrText xml:space="preserve"> SEQ level0 \*arabic </w:instrText>
      </w:r>
      <w:r w:rsidRPr="002E0F26">
        <w:rPr>
          <w:lang w:val="sq-AL"/>
        </w:rPr>
        <w:fldChar w:fldCharType="separate"/>
      </w:r>
      <w:r w:rsidR="00013F9B">
        <w:rPr>
          <w:noProof/>
          <w:lang w:val="sq-AL"/>
        </w:rPr>
        <w:t>90</w:t>
      </w:r>
      <w:r w:rsidRPr="002E0F26">
        <w:rPr>
          <w:lang w:val="sq-AL"/>
        </w:rPr>
        <w:fldChar w:fldCharType="end"/>
      </w:r>
      <w:r w:rsidRPr="002E0F26">
        <w:rPr>
          <w:lang w:val="sq-AL"/>
        </w:rPr>
        <w:t>.  </w:t>
      </w:r>
      <w:r w:rsidRPr="002E0F26" w:rsidR="005664A4">
        <w:rPr>
          <w:lang w:val="sq-AL"/>
        </w:rPr>
        <w:t>Më</w:t>
      </w:r>
      <w:r w:rsidRPr="002E0F26">
        <w:rPr>
          <w:lang w:val="sq-AL"/>
        </w:rPr>
        <w:t xml:space="preserve"> 2002 </w:t>
      </w:r>
      <w:r w:rsidRPr="002E0F26" w:rsidR="005664A4">
        <w:rPr>
          <w:lang w:val="sq-AL"/>
        </w:rPr>
        <w:t>ësht</w:t>
      </w:r>
      <w:r w:rsidR="007254E5">
        <w:rPr>
          <w:lang w:val="sq-AL"/>
        </w:rPr>
        <w:t>ë</w:t>
      </w:r>
      <w:r w:rsidRPr="002E0F26" w:rsidR="005664A4">
        <w:rPr>
          <w:lang w:val="sq-AL"/>
        </w:rPr>
        <w:t xml:space="preserve"> krijuar funksioni i ombudsmanit </w:t>
      </w:r>
      <w:r w:rsidRPr="002E0F26" w:rsidR="002E0F26">
        <w:rPr>
          <w:lang w:val="sq-AL"/>
        </w:rPr>
        <w:t>p</w:t>
      </w:r>
      <w:r w:rsidR="007254E5">
        <w:rPr>
          <w:lang w:val="sq-AL"/>
        </w:rPr>
        <w:t>ë</w:t>
      </w:r>
      <w:r w:rsidRPr="002E0F26" w:rsidR="002E0F26">
        <w:rPr>
          <w:lang w:val="sq-AL"/>
        </w:rPr>
        <w:t>r f</w:t>
      </w:r>
      <w:r w:rsidR="007254E5">
        <w:rPr>
          <w:lang w:val="sq-AL"/>
        </w:rPr>
        <w:t>ë</w:t>
      </w:r>
      <w:r w:rsidRPr="002E0F26" w:rsidR="002E0F26">
        <w:rPr>
          <w:lang w:val="sq-AL"/>
        </w:rPr>
        <w:t>mij</w:t>
      </w:r>
      <w:r w:rsidR="007254E5">
        <w:rPr>
          <w:lang w:val="sq-AL"/>
        </w:rPr>
        <w:t>ë</w:t>
      </w:r>
      <w:r w:rsidRPr="002E0F26" w:rsidR="002E0F26">
        <w:rPr>
          <w:lang w:val="sq-AL"/>
        </w:rPr>
        <w:t xml:space="preserve">t </w:t>
      </w:r>
      <w:r w:rsidRPr="002E0F26">
        <w:rPr>
          <w:lang w:val="sq-AL"/>
        </w:rPr>
        <w:t>(</w:t>
      </w:r>
      <w:r w:rsidRPr="002E0F26">
        <w:rPr>
          <w:i/>
          <w:lang w:val="sq-AL"/>
        </w:rPr>
        <w:t>Ombudsman for Children</w:t>
      </w:r>
      <w:r w:rsidRPr="002E0F26">
        <w:rPr>
          <w:lang w:val="sq-AL"/>
        </w:rPr>
        <w:t xml:space="preserve">), </w:t>
      </w:r>
      <w:r w:rsidRPr="002E0F26" w:rsidR="002E0F26">
        <w:rPr>
          <w:lang w:val="sq-AL"/>
        </w:rPr>
        <w:t>q</w:t>
      </w:r>
      <w:r w:rsidR="007254E5">
        <w:rPr>
          <w:lang w:val="sq-AL"/>
        </w:rPr>
        <w:t>ë</w:t>
      </w:r>
      <w:r w:rsidRPr="002E0F26" w:rsidR="002E0F26">
        <w:rPr>
          <w:lang w:val="sq-AL"/>
        </w:rPr>
        <w:t xml:space="preserve"> mendohet se e sensibilizon publikun e gjer</w:t>
      </w:r>
      <w:r w:rsidR="007254E5">
        <w:rPr>
          <w:lang w:val="sq-AL"/>
        </w:rPr>
        <w:t>ë</w:t>
      </w:r>
      <w:r w:rsidRPr="002E0F26" w:rsidR="002E0F26">
        <w:rPr>
          <w:lang w:val="sq-AL"/>
        </w:rPr>
        <w:t xml:space="preserve"> p</w:t>
      </w:r>
      <w:r w:rsidR="007254E5">
        <w:rPr>
          <w:lang w:val="sq-AL"/>
        </w:rPr>
        <w:t>ë</w:t>
      </w:r>
      <w:r w:rsidRPr="002E0F26" w:rsidR="002E0F26">
        <w:rPr>
          <w:lang w:val="sq-AL"/>
        </w:rPr>
        <w:t>r të drejtat e fëmijëve. Kan</w:t>
      </w:r>
      <w:r w:rsidR="007254E5">
        <w:rPr>
          <w:lang w:val="sq-AL"/>
        </w:rPr>
        <w:t>ë</w:t>
      </w:r>
      <w:r w:rsidRPr="002E0F26" w:rsidR="002E0F26">
        <w:rPr>
          <w:lang w:val="sq-AL"/>
        </w:rPr>
        <w:t xml:space="preserve"> lindur disa vepra t</w:t>
      </w:r>
      <w:r w:rsidR="007254E5">
        <w:rPr>
          <w:lang w:val="sq-AL"/>
        </w:rPr>
        <w:t>ë</w:t>
      </w:r>
      <w:r w:rsidRPr="002E0F26" w:rsidR="002E0F26">
        <w:rPr>
          <w:lang w:val="sq-AL"/>
        </w:rPr>
        <w:t xml:space="preserve"> reja penale specifike, sidomos ajo e v</w:t>
      </w:r>
      <w:r w:rsidR="007254E5">
        <w:rPr>
          <w:lang w:val="sq-AL"/>
        </w:rPr>
        <w:t>ë</w:t>
      </w:r>
      <w:r w:rsidRPr="002E0F26" w:rsidR="002E0F26">
        <w:rPr>
          <w:lang w:val="sq-AL"/>
        </w:rPr>
        <w:t>nies n</w:t>
      </w:r>
      <w:r w:rsidR="007254E5">
        <w:rPr>
          <w:lang w:val="sq-AL"/>
        </w:rPr>
        <w:t>ë</w:t>
      </w:r>
      <w:r w:rsidRPr="002E0F26" w:rsidR="002E0F26">
        <w:rPr>
          <w:lang w:val="sq-AL"/>
        </w:rPr>
        <w:t xml:space="preserve"> rrezik t</w:t>
      </w:r>
      <w:r w:rsidR="007254E5">
        <w:rPr>
          <w:lang w:val="sq-AL"/>
        </w:rPr>
        <w:t>ë</w:t>
      </w:r>
      <w:r w:rsidRPr="002E0F26" w:rsidR="002E0F26">
        <w:rPr>
          <w:lang w:val="sq-AL"/>
        </w:rPr>
        <w:t xml:space="preserve"> nj</w:t>
      </w:r>
      <w:r w:rsidR="007254E5">
        <w:rPr>
          <w:lang w:val="sq-AL"/>
        </w:rPr>
        <w:t>ë</w:t>
      </w:r>
      <w:r w:rsidRPr="002E0F26" w:rsidR="002E0F26">
        <w:rPr>
          <w:lang w:val="sq-AL"/>
        </w:rPr>
        <w:t xml:space="preserve"> f</w:t>
      </w:r>
      <w:r w:rsidR="007254E5">
        <w:rPr>
          <w:lang w:val="sq-AL"/>
        </w:rPr>
        <w:t>ë</w:t>
      </w:r>
      <w:r w:rsidRPr="002E0F26" w:rsidR="002E0F26">
        <w:rPr>
          <w:lang w:val="sq-AL"/>
        </w:rPr>
        <w:t xml:space="preserve">mije nga pakujdesia </w:t>
      </w:r>
      <w:r w:rsidRPr="002E0F26">
        <w:rPr>
          <w:lang w:val="sq-AL"/>
        </w:rPr>
        <w:t>(</w:t>
      </w:r>
      <w:r w:rsidRPr="002E0F26" w:rsidR="002E0F26">
        <w:rPr>
          <w:lang w:val="sq-AL"/>
        </w:rPr>
        <w:t>neni</w:t>
      </w:r>
      <w:r w:rsidRPr="002E0F26">
        <w:rPr>
          <w:lang w:val="sq-AL"/>
        </w:rPr>
        <w:t xml:space="preserve"> 176 </w:t>
      </w:r>
      <w:r w:rsidRPr="002E0F26" w:rsidR="002E0F26">
        <w:rPr>
          <w:lang w:val="sq-AL"/>
        </w:rPr>
        <w:t>i Ligjit t</w:t>
      </w:r>
      <w:r w:rsidR="007254E5">
        <w:rPr>
          <w:lang w:val="sq-AL"/>
        </w:rPr>
        <w:t>ë</w:t>
      </w:r>
      <w:r w:rsidRPr="002E0F26" w:rsidR="002E0F26">
        <w:rPr>
          <w:lang w:val="sq-AL"/>
        </w:rPr>
        <w:t xml:space="preserve"> vitit</w:t>
      </w:r>
      <w:r w:rsidRPr="002E0F26">
        <w:rPr>
          <w:lang w:val="sq-AL"/>
        </w:rPr>
        <w:t xml:space="preserve"> 2006 </w:t>
      </w:r>
      <w:r w:rsidRPr="002E0F26" w:rsidR="002E0F26">
        <w:rPr>
          <w:lang w:val="sq-AL"/>
        </w:rPr>
        <w:t>për drejt</w:t>
      </w:r>
      <w:r w:rsidR="007254E5">
        <w:rPr>
          <w:lang w:val="sq-AL"/>
        </w:rPr>
        <w:t>ë</w:t>
      </w:r>
      <w:r w:rsidRPr="002E0F26" w:rsidR="002E0F26">
        <w:rPr>
          <w:lang w:val="sq-AL"/>
        </w:rPr>
        <w:t>sin</w:t>
      </w:r>
      <w:r w:rsidR="007254E5">
        <w:rPr>
          <w:lang w:val="sq-AL"/>
        </w:rPr>
        <w:t>ë</w:t>
      </w:r>
      <w:r w:rsidRPr="002E0F26" w:rsidR="002E0F26">
        <w:rPr>
          <w:lang w:val="sq-AL"/>
        </w:rPr>
        <w:t xml:space="preserve"> penale</w:t>
      </w:r>
      <w:r w:rsidRPr="002E0F26">
        <w:rPr>
          <w:lang w:val="sq-AL"/>
        </w:rPr>
        <w:t xml:space="preserve"> – </w:t>
      </w:r>
      <w:r w:rsidRPr="002E0F26">
        <w:rPr>
          <w:i/>
          <w:lang w:val="sq-AL"/>
        </w:rPr>
        <w:t>Criminal Justice Act 2006</w:t>
      </w:r>
      <w:r w:rsidRPr="002E0F26">
        <w:rPr>
          <w:lang w:val="sq-AL"/>
        </w:rPr>
        <w:t xml:space="preserve">). </w:t>
      </w:r>
      <w:r w:rsidRPr="002E0F26" w:rsidR="002E0F26">
        <w:rPr>
          <w:lang w:val="sq-AL"/>
        </w:rPr>
        <w:t>Jan</w:t>
      </w:r>
      <w:r w:rsidR="007254E5">
        <w:rPr>
          <w:lang w:val="sq-AL"/>
        </w:rPr>
        <w:t>ë</w:t>
      </w:r>
      <w:r w:rsidRPr="002E0F26" w:rsidR="002E0F26">
        <w:rPr>
          <w:lang w:val="sq-AL"/>
        </w:rPr>
        <w:t xml:space="preserve"> krijuar regjime t</w:t>
      </w:r>
      <w:r w:rsidR="007254E5">
        <w:rPr>
          <w:lang w:val="sq-AL"/>
        </w:rPr>
        <w:t>ë</w:t>
      </w:r>
      <w:r w:rsidRPr="002E0F26" w:rsidR="002E0F26">
        <w:rPr>
          <w:lang w:val="sq-AL"/>
        </w:rPr>
        <w:t xml:space="preserve"> ndryshme zhdëmtimi, kryesisht n</w:t>
      </w:r>
      <w:r w:rsidR="007254E5">
        <w:rPr>
          <w:lang w:val="sq-AL"/>
        </w:rPr>
        <w:t>ë</w:t>
      </w:r>
      <w:r w:rsidRPr="002E0F26" w:rsidR="002E0F26">
        <w:rPr>
          <w:lang w:val="sq-AL"/>
        </w:rPr>
        <w:t xml:space="preserve"> favor t</w:t>
      </w:r>
      <w:r w:rsidR="007254E5">
        <w:rPr>
          <w:lang w:val="sq-AL"/>
        </w:rPr>
        <w:t>ë</w:t>
      </w:r>
      <w:r w:rsidRPr="002E0F26" w:rsidR="002E0F26">
        <w:rPr>
          <w:lang w:val="sq-AL"/>
        </w:rPr>
        <w:t xml:space="preserve"> viktimave t</w:t>
      </w:r>
      <w:r w:rsidR="007254E5">
        <w:rPr>
          <w:lang w:val="sq-AL"/>
        </w:rPr>
        <w:t>ë</w:t>
      </w:r>
      <w:r w:rsidRPr="002E0F26" w:rsidR="002E0F26">
        <w:rPr>
          <w:lang w:val="sq-AL"/>
        </w:rPr>
        <w:t xml:space="preserve"> abuzimeve t</w:t>
      </w:r>
      <w:r w:rsidR="007254E5">
        <w:rPr>
          <w:lang w:val="sq-AL"/>
        </w:rPr>
        <w:t>ë</w:t>
      </w:r>
      <w:r w:rsidRPr="002E0F26" w:rsidR="002E0F26">
        <w:rPr>
          <w:lang w:val="sq-AL"/>
        </w:rPr>
        <w:t xml:space="preserve"> kryera n</w:t>
      </w:r>
      <w:r w:rsidR="007254E5">
        <w:rPr>
          <w:lang w:val="sq-AL"/>
        </w:rPr>
        <w:t>ë</w:t>
      </w:r>
      <w:r w:rsidRPr="002E0F26" w:rsidR="002E0F26">
        <w:rPr>
          <w:lang w:val="sq-AL"/>
        </w:rPr>
        <w:t xml:space="preserve"> </w:t>
      </w:r>
      <w:r w:rsidRPr="002E0F26">
        <w:rPr>
          <w:i/>
          <w:lang w:val="sq-AL"/>
        </w:rPr>
        <w:t>reformatory schools</w:t>
      </w:r>
      <w:r w:rsidRPr="002E0F26">
        <w:rPr>
          <w:lang w:val="sq-AL"/>
        </w:rPr>
        <w:t xml:space="preserve"> </w:t>
      </w:r>
      <w:r w:rsidRPr="002E0F26" w:rsidR="002E0F26">
        <w:rPr>
          <w:lang w:val="sq-AL"/>
        </w:rPr>
        <w:t>dhe n</w:t>
      </w:r>
      <w:r w:rsidR="007254E5">
        <w:rPr>
          <w:lang w:val="sq-AL"/>
        </w:rPr>
        <w:t>ë</w:t>
      </w:r>
      <w:r w:rsidRPr="002E0F26">
        <w:rPr>
          <w:lang w:val="sq-AL"/>
        </w:rPr>
        <w:t xml:space="preserve"> </w:t>
      </w:r>
      <w:r w:rsidRPr="002E0F26">
        <w:rPr>
          <w:i/>
          <w:lang w:val="sq-AL"/>
        </w:rPr>
        <w:t>industrial schools</w:t>
      </w:r>
      <w:r w:rsidRPr="002E0F26">
        <w:rPr>
          <w:lang w:val="sq-AL"/>
        </w:rPr>
        <w:t xml:space="preserve">. </w:t>
      </w:r>
      <w:r w:rsidRPr="002E0F26" w:rsidR="002E0F26">
        <w:rPr>
          <w:lang w:val="sq-AL"/>
        </w:rPr>
        <w:t xml:space="preserve">Referendumi i vitit </w:t>
      </w:r>
      <w:r w:rsidRPr="002E0F26">
        <w:rPr>
          <w:lang w:val="sq-AL"/>
        </w:rPr>
        <w:t xml:space="preserve">2012 </w:t>
      </w:r>
      <w:r w:rsidRPr="002E0F26" w:rsidR="002E0F26">
        <w:rPr>
          <w:lang w:val="sq-AL"/>
        </w:rPr>
        <w:t xml:space="preserve">për </w:t>
      </w:r>
      <w:r w:rsidR="002E0F26">
        <w:rPr>
          <w:lang w:val="sq-AL"/>
        </w:rPr>
        <w:t>“</w:t>
      </w:r>
      <w:r w:rsidRPr="002E0F26" w:rsidR="002E0F26">
        <w:rPr>
          <w:lang w:val="sq-AL"/>
        </w:rPr>
        <w:t>të drejtat e f</w:t>
      </w:r>
      <w:r w:rsidR="007254E5">
        <w:rPr>
          <w:lang w:val="sq-AL"/>
        </w:rPr>
        <w:t>ë</w:t>
      </w:r>
      <w:r w:rsidRPr="002E0F26" w:rsidR="002E0F26">
        <w:rPr>
          <w:lang w:val="sq-AL"/>
        </w:rPr>
        <w:t>mij</w:t>
      </w:r>
      <w:r w:rsidR="007254E5">
        <w:rPr>
          <w:lang w:val="sq-AL"/>
        </w:rPr>
        <w:t>ë</w:t>
      </w:r>
      <w:r w:rsidRPr="002E0F26" w:rsidR="002E0F26">
        <w:rPr>
          <w:lang w:val="sq-AL"/>
        </w:rPr>
        <w:t>ve</w:t>
      </w:r>
      <w:r w:rsidR="002E0F26">
        <w:rPr>
          <w:lang w:val="sq-AL"/>
        </w:rPr>
        <w:t>” ka çuar n</w:t>
      </w:r>
      <w:r w:rsidR="007254E5">
        <w:rPr>
          <w:lang w:val="sq-AL"/>
        </w:rPr>
        <w:t>ë</w:t>
      </w:r>
      <w:r w:rsidR="002E0F26">
        <w:rPr>
          <w:lang w:val="sq-AL"/>
        </w:rPr>
        <w:t xml:space="preserve"> miratimin e amendamentit 31</w:t>
      </w:r>
      <w:r w:rsidRPr="002E0F26" w:rsidR="002E0F26">
        <w:rPr>
          <w:lang w:val="sq-AL"/>
        </w:rPr>
        <w:t xml:space="preserve"> </w:t>
      </w:r>
      <w:r w:rsidR="002E0F26">
        <w:rPr>
          <w:lang w:val="sq-AL"/>
        </w:rPr>
        <w:t>t</w:t>
      </w:r>
      <w:r w:rsidR="007254E5">
        <w:rPr>
          <w:lang w:val="sq-AL"/>
        </w:rPr>
        <w:t>ë</w:t>
      </w:r>
      <w:r w:rsidR="002E0F26">
        <w:rPr>
          <w:lang w:val="sq-AL"/>
        </w:rPr>
        <w:t xml:space="preserve"> Kushtetut</w:t>
      </w:r>
      <w:r w:rsidR="007254E5">
        <w:rPr>
          <w:lang w:val="sq-AL"/>
        </w:rPr>
        <w:t>ë</w:t>
      </w:r>
      <w:r w:rsidR="002E0F26">
        <w:rPr>
          <w:lang w:val="sq-AL"/>
        </w:rPr>
        <w:t xml:space="preserve">s, i cili parashikon </w:t>
      </w:r>
      <w:r w:rsidR="007254E5">
        <w:rPr>
          <w:lang w:val="sq-AL"/>
        </w:rPr>
        <w:t>që në nenin 42 të kësaj</w:t>
      </w:r>
      <w:r w:rsidR="002E0F26">
        <w:rPr>
          <w:lang w:val="sq-AL"/>
        </w:rPr>
        <w:t xml:space="preserve"> </w:t>
      </w:r>
      <w:r w:rsidR="007254E5">
        <w:rPr>
          <w:lang w:val="sq-AL"/>
        </w:rPr>
        <w:t>të fundit të futen disa dispozita lidhur me të drejtat dhe me mbrojtjen e fëmijëve. Për arsye të disa procedurave të papërfunduara, ky amendament nuk ka hyrë ende në fuqi.</w:t>
      </w:r>
    </w:p>
    <w:p w:rsidRPr="00CC10DD" w:rsidR="00EB737A" w:rsidP="00EB737A" w:rsidRDefault="00EB737A">
      <w:pPr>
        <w:pStyle w:val="ECHRHeading1"/>
        <w:rPr>
          <w:lang w:val="sq-AL"/>
        </w:rPr>
      </w:pPr>
      <w:r w:rsidRPr="00CC10DD">
        <w:rPr>
          <w:lang w:val="sq-AL"/>
        </w:rPr>
        <w:t>III.  </w:t>
      </w:r>
      <w:r w:rsidRPr="00CC10DD" w:rsidR="0068038C">
        <w:rPr>
          <w:lang w:val="sq-AL"/>
        </w:rPr>
        <w:t>E DREJTA DHE PRAKTIKA NDËRKOMBËTARE PËRKATËSE</w:t>
      </w:r>
    </w:p>
    <w:p w:rsidRPr="00CC10DD" w:rsidR="00EB737A" w:rsidP="00EB737A" w:rsidRDefault="00EB737A">
      <w:pPr>
        <w:pStyle w:val="ECHRHeading2"/>
        <w:rPr>
          <w:lang w:val="sq-AL"/>
        </w:rPr>
      </w:pPr>
      <w:r w:rsidRPr="00CC10DD">
        <w:rPr>
          <w:lang w:val="sq-AL"/>
        </w:rPr>
        <w:t>A.  </w:t>
      </w:r>
      <w:r w:rsidRPr="00CC10DD" w:rsidR="0068038C">
        <w:rPr>
          <w:lang w:val="sq-AL"/>
        </w:rPr>
        <w:t>K</w:t>
      </w:r>
      <w:r w:rsidR="00CC10DD">
        <w:rPr>
          <w:lang w:val="sq-AL"/>
        </w:rPr>
        <w:t>ë</w:t>
      </w:r>
      <w:r w:rsidRPr="00CC10DD" w:rsidR="0068038C">
        <w:rPr>
          <w:lang w:val="sq-AL"/>
        </w:rPr>
        <w:t>shilli i Evropës</w:t>
      </w:r>
    </w:p>
    <w:p w:rsidRPr="00CC10DD" w:rsidR="00EB737A" w:rsidP="00EB737A" w:rsidRDefault="00EB737A">
      <w:pPr>
        <w:pStyle w:val="ECHRPara"/>
        <w:rPr>
          <w:lang w:val="sq-AL"/>
        </w:rPr>
      </w:pPr>
      <w:r w:rsidRPr="00CC10DD">
        <w:rPr>
          <w:lang w:val="sq-AL"/>
        </w:rPr>
        <w:fldChar w:fldCharType="begin"/>
      </w:r>
      <w:r w:rsidRPr="00CC10DD">
        <w:rPr>
          <w:lang w:val="sq-AL"/>
        </w:rPr>
        <w:instrText xml:space="preserve"> SEQ level0 \*arabic </w:instrText>
      </w:r>
      <w:r w:rsidRPr="00CC10DD">
        <w:rPr>
          <w:lang w:val="sq-AL"/>
        </w:rPr>
        <w:fldChar w:fldCharType="separate"/>
      </w:r>
      <w:r w:rsidR="00013F9B">
        <w:rPr>
          <w:noProof/>
          <w:lang w:val="sq-AL"/>
        </w:rPr>
        <w:t>91</w:t>
      </w:r>
      <w:r w:rsidRPr="00CC10DD">
        <w:rPr>
          <w:lang w:val="sq-AL"/>
        </w:rPr>
        <w:fldChar w:fldCharType="end"/>
      </w:r>
      <w:r w:rsidRPr="00CC10DD">
        <w:rPr>
          <w:lang w:val="sq-AL"/>
        </w:rPr>
        <w:t>.  </w:t>
      </w:r>
      <w:r w:rsidRPr="00CC10DD" w:rsidR="0068038C">
        <w:rPr>
          <w:lang w:val="sq-AL"/>
        </w:rPr>
        <w:t>Asambleja Parlamentare e Këshillit t</w:t>
      </w:r>
      <w:r w:rsidR="00CC10DD">
        <w:rPr>
          <w:lang w:val="sq-AL"/>
        </w:rPr>
        <w:t>ë</w:t>
      </w:r>
      <w:r w:rsidRPr="00CC10DD" w:rsidR="0068038C">
        <w:rPr>
          <w:lang w:val="sq-AL"/>
        </w:rPr>
        <w:t xml:space="preserve"> Evropës (“APKE”) i ka formuluar rekomandimet e saj t</w:t>
      </w:r>
      <w:r w:rsidR="00CC10DD">
        <w:rPr>
          <w:lang w:val="sq-AL"/>
        </w:rPr>
        <w:t>ë</w:t>
      </w:r>
      <w:r w:rsidRPr="00CC10DD" w:rsidR="0068038C">
        <w:rPr>
          <w:lang w:val="sq-AL"/>
        </w:rPr>
        <w:t xml:space="preserve"> para lidhur me mbrojtjen e f</w:t>
      </w:r>
      <w:r w:rsidR="00CC10DD">
        <w:rPr>
          <w:lang w:val="sq-AL"/>
        </w:rPr>
        <w:t>ë</w:t>
      </w:r>
      <w:r w:rsidRPr="00CC10DD" w:rsidR="0068038C">
        <w:rPr>
          <w:lang w:val="sq-AL"/>
        </w:rPr>
        <w:t>mij</w:t>
      </w:r>
      <w:r w:rsidR="00CC10DD">
        <w:rPr>
          <w:lang w:val="sq-AL"/>
        </w:rPr>
        <w:t>ë</w:t>
      </w:r>
      <w:r w:rsidRPr="00CC10DD" w:rsidR="0068038C">
        <w:rPr>
          <w:lang w:val="sq-AL"/>
        </w:rPr>
        <w:t>ve n</w:t>
      </w:r>
      <w:r w:rsidR="00CC10DD">
        <w:rPr>
          <w:lang w:val="sq-AL"/>
        </w:rPr>
        <w:t>ë</w:t>
      </w:r>
      <w:r w:rsidRPr="00CC10DD" w:rsidR="0068038C">
        <w:rPr>
          <w:lang w:val="sq-AL"/>
        </w:rPr>
        <w:t xml:space="preserve"> vitin 1969, n</w:t>
      </w:r>
      <w:r w:rsidR="00CC10DD">
        <w:rPr>
          <w:lang w:val="sq-AL"/>
        </w:rPr>
        <w:t>ë</w:t>
      </w:r>
      <w:r w:rsidRPr="00CC10DD" w:rsidR="0068038C">
        <w:rPr>
          <w:lang w:val="sq-AL"/>
        </w:rPr>
        <w:t xml:space="preserve"> Rekomandimin e saj 561 me titull “Mbrojtja e t</w:t>
      </w:r>
      <w:r w:rsidR="00CC10DD">
        <w:rPr>
          <w:lang w:val="sq-AL"/>
        </w:rPr>
        <w:t>ë</w:t>
      </w:r>
      <w:r w:rsidRPr="00CC10DD" w:rsidR="0068038C">
        <w:rPr>
          <w:lang w:val="sq-AL"/>
        </w:rPr>
        <w:t xml:space="preserve"> miturve nga keqtrajtimet”. Ndon</w:t>
      </w:r>
      <w:r w:rsidR="00CC10DD">
        <w:rPr>
          <w:lang w:val="sq-AL"/>
        </w:rPr>
        <w:t>ë</w:t>
      </w:r>
      <w:r w:rsidRPr="00CC10DD" w:rsidR="0068038C">
        <w:rPr>
          <w:lang w:val="sq-AL"/>
        </w:rPr>
        <w:t>se ky tekst ka t</w:t>
      </w:r>
      <w:r w:rsidR="00CC10DD">
        <w:rPr>
          <w:lang w:val="sq-AL"/>
        </w:rPr>
        <w:t>ë</w:t>
      </w:r>
      <w:r w:rsidRPr="00CC10DD" w:rsidR="0068038C">
        <w:rPr>
          <w:lang w:val="sq-AL"/>
        </w:rPr>
        <w:t xml:space="preserve"> b</w:t>
      </w:r>
      <w:r w:rsidR="00CC10DD">
        <w:rPr>
          <w:lang w:val="sq-AL"/>
        </w:rPr>
        <w:t>ë</w:t>
      </w:r>
      <w:r w:rsidRPr="00CC10DD" w:rsidR="0068038C">
        <w:rPr>
          <w:lang w:val="sq-AL"/>
        </w:rPr>
        <w:t>j</w:t>
      </w:r>
      <w:r w:rsidR="00CC10DD">
        <w:rPr>
          <w:lang w:val="sq-AL"/>
        </w:rPr>
        <w:t>ë</w:t>
      </w:r>
      <w:r w:rsidRPr="00CC10DD" w:rsidR="0068038C">
        <w:rPr>
          <w:lang w:val="sq-AL"/>
        </w:rPr>
        <w:t xml:space="preserve"> n</w:t>
      </w:r>
      <w:r w:rsidR="00CC10DD">
        <w:rPr>
          <w:lang w:val="sq-AL"/>
        </w:rPr>
        <w:t>ë</w:t>
      </w:r>
      <w:r w:rsidRPr="00CC10DD" w:rsidR="0068038C">
        <w:rPr>
          <w:lang w:val="sq-AL"/>
        </w:rPr>
        <w:t xml:space="preserve"> thelb me dhunimet e f</w:t>
      </w:r>
      <w:r w:rsidR="00CC10DD">
        <w:rPr>
          <w:lang w:val="sq-AL"/>
        </w:rPr>
        <w:t>ë</w:t>
      </w:r>
      <w:r w:rsidRPr="00CC10DD" w:rsidR="0068038C">
        <w:rPr>
          <w:lang w:val="sq-AL"/>
        </w:rPr>
        <w:t>mij</w:t>
      </w:r>
      <w:r w:rsidR="00CC10DD">
        <w:rPr>
          <w:lang w:val="sq-AL"/>
        </w:rPr>
        <w:t>ë</w:t>
      </w:r>
      <w:r w:rsidRPr="00CC10DD" w:rsidR="0068038C">
        <w:rPr>
          <w:lang w:val="sq-AL"/>
        </w:rPr>
        <w:t>ve n</w:t>
      </w:r>
      <w:r w:rsidR="00CC10DD">
        <w:rPr>
          <w:lang w:val="sq-AL"/>
        </w:rPr>
        <w:t>ë</w:t>
      </w:r>
      <w:r w:rsidRPr="00CC10DD" w:rsidR="0068038C">
        <w:rPr>
          <w:lang w:val="sq-AL"/>
        </w:rPr>
        <w:t xml:space="preserve"> gjirin e familjes s</w:t>
      </w:r>
      <w:r w:rsidR="00CC10DD">
        <w:rPr>
          <w:lang w:val="sq-AL"/>
        </w:rPr>
        <w:t>ë</w:t>
      </w:r>
      <w:r w:rsidRPr="00CC10DD" w:rsidR="0068038C">
        <w:rPr>
          <w:lang w:val="sq-AL"/>
        </w:rPr>
        <w:t xml:space="preserve"> tyre, APKE-ja i fton aty shtetet që “t</w:t>
      </w:r>
      <w:r w:rsidR="00CC10DD">
        <w:rPr>
          <w:lang w:val="sq-AL"/>
        </w:rPr>
        <w:t>ë</w:t>
      </w:r>
      <w:r w:rsidRPr="00CC10DD" w:rsidR="0068038C">
        <w:rPr>
          <w:lang w:val="sq-AL"/>
        </w:rPr>
        <w:t xml:space="preserve"> marrin masat e nevojshme n</w:t>
      </w:r>
      <w:r w:rsidR="00CC10DD">
        <w:rPr>
          <w:lang w:val="sq-AL"/>
        </w:rPr>
        <w:t>ë</w:t>
      </w:r>
      <w:r w:rsidRPr="00CC10DD" w:rsidR="0068038C">
        <w:rPr>
          <w:lang w:val="sq-AL"/>
        </w:rPr>
        <w:t xml:space="preserve"> m</w:t>
      </w:r>
      <w:r w:rsidR="00CC10DD">
        <w:rPr>
          <w:lang w:val="sq-AL"/>
        </w:rPr>
        <w:t>ë</w:t>
      </w:r>
      <w:r w:rsidRPr="00CC10DD" w:rsidR="0068038C">
        <w:rPr>
          <w:lang w:val="sq-AL"/>
        </w:rPr>
        <w:t>nyr</w:t>
      </w:r>
      <w:r w:rsidR="00CC10DD">
        <w:rPr>
          <w:lang w:val="sq-AL"/>
        </w:rPr>
        <w:t>ë</w:t>
      </w:r>
      <w:r w:rsidRPr="00CC10DD" w:rsidR="0068038C">
        <w:rPr>
          <w:lang w:val="sq-AL"/>
        </w:rPr>
        <w:t xml:space="preserve"> q</w:t>
      </w:r>
      <w:r w:rsidR="00CC10DD">
        <w:rPr>
          <w:lang w:val="sq-AL"/>
        </w:rPr>
        <w:t>ë</w:t>
      </w:r>
      <w:r w:rsidRPr="00CC10DD" w:rsidR="0068038C">
        <w:rPr>
          <w:lang w:val="sq-AL"/>
        </w:rPr>
        <w:t xml:space="preserve"> ministrit</w:t>
      </w:r>
      <w:r w:rsidR="00CC10DD">
        <w:rPr>
          <w:lang w:val="sq-AL"/>
        </w:rPr>
        <w:t>ë</w:t>
      </w:r>
      <w:r w:rsidRPr="00CC10DD" w:rsidR="0068038C">
        <w:rPr>
          <w:lang w:val="sq-AL"/>
        </w:rPr>
        <w:t xml:space="preserve"> dhe shërbimet kompetente t</w:t>
      </w:r>
      <w:r w:rsidR="00CC10DD">
        <w:rPr>
          <w:lang w:val="sq-AL"/>
        </w:rPr>
        <w:t>ë</w:t>
      </w:r>
      <w:r w:rsidRPr="00CC10DD" w:rsidR="0068038C">
        <w:rPr>
          <w:lang w:val="sq-AL"/>
        </w:rPr>
        <w:t xml:space="preserve"> jen</w:t>
      </w:r>
      <w:r w:rsidR="00CC10DD">
        <w:rPr>
          <w:lang w:val="sq-AL"/>
        </w:rPr>
        <w:t>ë</w:t>
      </w:r>
      <w:r w:rsidRPr="00CC10DD" w:rsidR="0068038C">
        <w:rPr>
          <w:lang w:val="sq-AL"/>
        </w:rPr>
        <w:t xml:space="preserve"> t</w:t>
      </w:r>
      <w:r w:rsidR="00CC10DD">
        <w:rPr>
          <w:lang w:val="sq-AL"/>
        </w:rPr>
        <w:t>ë</w:t>
      </w:r>
      <w:r w:rsidRPr="00CC10DD" w:rsidR="0068038C">
        <w:rPr>
          <w:lang w:val="sq-AL"/>
        </w:rPr>
        <w:t xml:space="preserve"> vetëdijshme për seriozitetin dhe p</w:t>
      </w:r>
      <w:r w:rsidR="00CC10DD">
        <w:rPr>
          <w:lang w:val="sq-AL"/>
        </w:rPr>
        <w:t>ë</w:t>
      </w:r>
      <w:r w:rsidRPr="00CC10DD" w:rsidR="0068038C">
        <w:rPr>
          <w:lang w:val="sq-AL"/>
        </w:rPr>
        <w:t>r përmasat e problemit t</w:t>
      </w:r>
      <w:r w:rsidR="00CC10DD">
        <w:rPr>
          <w:lang w:val="sq-AL"/>
        </w:rPr>
        <w:t>ë</w:t>
      </w:r>
      <w:r w:rsidRPr="00CC10DD" w:rsidR="0068038C">
        <w:rPr>
          <w:lang w:val="sq-AL"/>
        </w:rPr>
        <w:t xml:space="preserve"> f</w:t>
      </w:r>
      <w:r w:rsidR="00CC10DD">
        <w:rPr>
          <w:lang w:val="sq-AL"/>
        </w:rPr>
        <w:t>ë</w:t>
      </w:r>
      <w:r w:rsidRPr="00CC10DD" w:rsidR="0068038C">
        <w:rPr>
          <w:lang w:val="sq-AL"/>
        </w:rPr>
        <w:t>mij</w:t>
      </w:r>
      <w:r w:rsidR="00CC10DD">
        <w:rPr>
          <w:lang w:val="sq-AL"/>
        </w:rPr>
        <w:t>ë</w:t>
      </w:r>
      <w:r w:rsidRPr="00CC10DD" w:rsidR="0068038C">
        <w:rPr>
          <w:lang w:val="sq-AL"/>
        </w:rPr>
        <w:t>ve t</w:t>
      </w:r>
      <w:r w:rsidR="00CC10DD">
        <w:rPr>
          <w:lang w:val="sq-AL"/>
        </w:rPr>
        <w:t>ë</w:t>
      </w:r>
      <w:r w:rsidRPr="00CC10DD" w:rsidR="0068038C">
        <w:rPr>
          <w:lang w:val="sq-AL"/>
        </w:rPr>
        <w:t xml:space="preserve"> keqtrajtuar fizikisht ose moralisht” e, përveç kësaj, t</w:t>
      </w:r>
      <w:r w:rsidR="00943091">
        <w:rPr>
          <w:lang w:val="sq-AL"/>
        </w:rPr>
        <w:t>’</w:t>
      </w:r>
      <w:r w:rsidRPr="00CC10DD" w:rsidR="0068038C">
        <w:rPr>
          <w:lang w:val="sq-AL"/>
        </w:rPr>
        <w:t>u k</w:t>
      </w:r>
      <w:r w:rsidR="00CC10DD">
        <w:rPr>
          <w:lang w:val="sq-AL"/>
        </w:rPr>
        <w:t>ë</w:t>
      </w:r>
      <w:r w:rsidRPr="00CC10DD" w:rsidR="0068038C">
        <w:rPr>
          <w:lang w:val="sq-AL"/>
        </w:rPr>
        <w:t>rkojn</w:t>
      </w:r>
      <w:r w:rsidR="00CC10DD">
        <w:rPr>
          <w:lang w:val="sq-AL"/>
        </w:rPr>
        <w:t>ë</w:t>
      </w:r>
      <w:r w:rsidRPr="00CC10DD" w:rsidR="0068038C">
        <w:rPr>
          <w:lang w:val="sq-AL"/>
        </w:rPr>
        <w:t xml:space="preserve"> shërbimeve zyrtare p</w:t>
      </w:r>
      <w:r w:rsidR="00CC10DD">
        <w:rPr>
          <w:lang w:val="sq-AL"/>
        </w:rPr>
        <w:t>ë</w:t>
      </w:r>
      <w:r w:rsidRPr="00CC10DD" w:rsidR="0068038C">
        <w:rPr>
          <w:lang w:val="sq-AL"/>
        </w:rPr>
        <w:t>rgjegjëse p</w:t>
      </w:r>
      <w:r w:rsidR="00CC10DD">
        <w:rPr>
          <w:lang w:val="sq-AL"/>
        </w:rPr>
        <w:t>ë</w:t>
      </w:r>
      <w:r w:rsidRPr="00CC10DD" w:rsidR="0068038C">
        <w:rPr>
          <w:lang w:val="sq-AL"/>
        </w:rPr>
        <w:t>r fatin e f</w:t>
      </w:r>
      <w:r w:rsidR="00CC10DD">
        <w:rPr>
          <w:lang w:val="sq-AL"/>
        </w:rPr>
        <w:t>ë</w:t>
      </w:r>
      <w:r w:rsidRPr="00CC10DD" w:rsidR="0068038C">
        <w:rPr>
          <w:lang w:val="sq-AL"/>
        </w:rPr>
        <w:t>mij</w:t>
      </w:r>
      <w:r w:rsidR="00CC10DD">
        <w:rPr>
          <w:lang w:val="sq-AL"/>
        </w:rPr>
        <w:t>ë</w:t>
      </w:r>
      <w:r w:rsidRPr="00CC10DD" w:rsidR="0068038C">
        <w:rPr>
          <w:lang w:val="sq-AL"/>
        </w:rPr>
        <w:t>ve t</w:t>
      </w:r>
      <w:r w:rsidR="00CC10DD">
        <w:rPr>
          <w:lang w:val="sq-AL"/>
        </w:rPr>
        <w:t>ë</w:t>
      </w:r>
      <w:r w:rsidRPr="00CC10DD" w:rsidR="0068038C">
        <w:rPr>
          <w:lang w:val="sq-AL"/>
        </w:rPr>
        <w:t xml:space="preserve"> keqtrajtuar q</w:t>
      </w:r>
      <w:r w:rsidR="00CC10DD">
        <w:rPr>
          <w:lang w:val="sq-AL"/>
        </w:rPr>
        <w:t>ë</w:t>
      </w:r>
      <w:r w:rsidRPr="00CC10DD" w:rsidR="0068038C">
        <w:rPr>
          <w:lang w:val="sq-AL"/>
        </w:rPr>
        <w:t xml:space="preserve"> ta bashk</w:t>
      </w:r>
      <w:r w:rsidR="00CC10DD">
        <w:rPr>
          <w:lang w:val="sq-AL"/>
        </w:rPr>
        <w:t>ë</w:t>
      </w:r>
      <w:r w:rsidRPr="00CC10DD" w:rsidR="0068038C">
        <w:rPr>
          <w:lang w:val="sq-AL"/>
        </w:rPr>
        <w:t>rendojn</w:t>
      </w:r>
      <w:r w:rsidR="00CC10DD">
        <w:rPr>
          <w:lang w:val="sq-AL"/>
        </w:rPr>
        <w:t>ë</w:t>
      </w:r>
      <w:r w:rsidRPr="00CC10DD" w:rsidR="0068038C">
        <w:rPr>
          <w:lang w:val="sq-AL"/>
        </w:rPr>
        <w:t>, me sa t</w:t>
      </w:r>
      <w:r w:rsidR="00CC10DD">
        <w:rPr>
          <w:lang w:val="sq-AL"/>
        </w:rPr>
        <w:t>ë</w:t>
      </w:r>
      <w:r w:rsidRPr="00CC10DD" w:rsidR="0068038C">
        <w:rPr>
          <w:lang w:val="sq-AL"/>
        </w:rPr>
        <w:t xml:space="preserve"> jet</w:t>
      </w:r>
      <w:r w:rsidR="00CC10DD">
        <w:rPr>
          <w:lang w:val="sq-AL"/>
        </w:rPr>
        <w:t>ë</w:t>
      </w:r>
      <w:r w:rsidRPr="00CC10DD" w:rsidR="0068038C">
        <w:rPr>
          <w:lang w:val="sq-AL"/>
        </w:rPr>
        <w:t xml:space="preserve"> e mundur, veprimtarin</w:t>
      </w:r>
      <w:r w:rsidR="00CC10DD">
        <w:rPr>
          <w:lang w:val="sq-AL"/>
        </w:rPr>
        <w:t>ë</w:t>
      </w:r>
      <w:r w:rsidRPr="00CC10DD" w:rsidR="0068038C">
        <w:rPr>
          <w:lang w:val="sq-AL"/>
        </w:rPr>
        <w:t xml:space="preserve"> e tyre me pun</w:t>
      </w:r>
      <w:r w:rsidR="00CC10DD">
        <w:rPr>
          <w:lang w:val="sq-AL"/>
        </w:rPr>
        <w:t>ë</w:t>
      </w:r>
      <w:r w:rsidRPr="00CC10DD" w:rsidR="0068038C">
        <w:rPr>
          <w:lang w:val="sq-AL"/>
        </w:rPr>
        <w:t>n e nd</w:t>
      </w:r>
      <w:r w:rsidR="00CC10DD">
        <w:rPr>
          <w:lang w:val="sq-AL"/>
        </w:rPr>
        <w:t>ë</w:t>
      </w:r>
      <w:r w:rsidRPr="00CC10DD" w:rsidR="0068038C">
        <w:rPr>
          <w:lang w:val="sq-AL"/>
        </w:rPr>
        <w:t>rmarr</w:t>
      </w:r>
      <w:r w:rsidR="00CC10DD">
        <w:rPr>
          <w:lang w:val="sq-AL"/>
        </w:rPr>
        <w:t>ë</w:t>
      </w:r>
      <w:r w:rsidRPr="00CC10DD" w:rsidR="0068038C">
        <w:rPr>
          <w:lang w:val="sq-AL"/>
        </w:rPr>
        <w:t xml:space="preserve"> n</w:t>
      </w:r>
      <w:r w:rsidR="00CC10DD">
        <w:rPr>
          <w:lang w:val="sq-AL"/>
        </w:rPr>
        <w:t>ë</w:t>
      </w:r>
      <w:r w:rsidRPr="00CC10DD" w:rsidR="0068038C">
        <w:rPr>
          <w:lang w:val="sq-AL"/>
        </w:rPr>
        <w:t xml:space="preserve"> k</w:t>
      </w:r>
      <w:r w:rsidR="00CC10DD">
        <w:rPr>
          <w:lang w:val="sq-AL"/>
        </w:rPr>
        <w:t>ë</w:t>
      </w:r>
      <w:r w:rsidRPr="00CC10DD" w:rsidR="0068038C">
        <w:rPr>
          <w:lang w:val="sq-AL"/>
        </w:rPr>
        <w:t>t</w:t>
      </w:r>
      <w:r w:rsidR="00CC10DD">
        <w:rPr>
          <w:lang w:val="sq-AL"/>
        </w:rPr>
        <w:t>ë</w:t>
      </w:r>
      <w:r w:rsidRPr="00CC10DD" w:rsidR="0068038C">
        <w:rPr>
          <w:lang w:val="sq-AL"/>
        </w:rPr>
        <w:t xml:space="preserve"> fushë nga disa organizata private”. Rekomandimi nr. </w:t>
      </w:r>
      <w:r w:rsidRPr="00CC10DD">
        <w:rPr>
          <w:lang w:val="sq-AL"/>
        </w:rPr>
        <w:t xml:space="preserve">R(79)17 </w:t>
      </w:r>
      <w:r w:rsidRPr="00CC10DD" w:rsidR="0068038C">
        <w:rPr>
          <w:lang w:val="sq-AL"/>
        </w:rPr>
        <w:t>i Komitetit t</w:t>
      </w:r>
      <w:r w:rsidR="00CC10DD">
        <w:rPr>
          <w:lang w:val="sq-AL"/>
        </w:rPr>
        <w:t>ë</w:t>
      </w:r>
      <w:r w:rsidRPr="00CC10DD" w:rsidR="0068038C">
        <w:rPr>
          <w:lang w:val="sq-AL"/>
        </w:rPr>
        <w:t xml:space="preserve"> Ministrave </w:t>
      </w:r>
      <w:r w:rsidRPr="00CC10DD" w:rsidR="00CC10DD">
        <w:rPr>
          <w:lang w:val="sq-AL"/>
        </w:rPr>
        <w:t>për mbrojtjen e f</w:t>
      </w:r>
      <w:r w:rsidR="00CC10DD">
        <w:rPr>
          <w:lang w:val="sq-AL"/>
        </w:rPr>
        <w:t>ë</w:t>
      </w:r>
      <w:r w:rsidRPr="00CC10DD" w:rsidR="00CC10DD">
        <w:rPr>
          <w:lang w:val="sq-AL"/>
        </w:rPr>
        <w:t>mijëve kund</w:t>
      </w:r>
      <w:r w:rsidR="00CC10DD">
        <w:rPr>
          <w:lang w:val="sq-AL"/>
        </w:rPr>
        <w:t>ë</w:t>
      </w:r>
      <w:r w:rsidRPr="00CC10DD" w:rsidR="00CC10DD">
        <w:rPr>
          <w:lang w:val="sq-AL"/>
        </w:rPr>
        <w:t>r keqtrajtimeve e plot</w:t>
      </w:r>
      <w:r w:rsidR="00CC10DD">
        <w:rPr>
          <w:lang w:val="sq-AL"/>
        </w:rPr>
        <w:t>ë</w:t>
      </w:r>
      <w:r w:rsidRPr="00CC10DD" w:rsidR="00CC10DD">
        <w:rPr>
          <w:lang w:val="sq-AL"/>
        </w:rPr>
        <w:t>son atë t</w:t>
      </w:r>
      <w:r w:rsidR="00CC10DD">
        <w:rPr>
          <w:lang w:val="sq-AL"/>
        </w:rPr>
        <w:t>ë</w:t>
      </w:r>
      <w:r w:rsidRPr="00CC10DD" w:rsidR="00CC10DD">
        <w:rPr>
          <w:lang w:val="sq-AL"/>
        </w:rPr>
        <w:t xml:space="preserve"> APKE-së dhe u k</w:t>
      </w:r>
      <w:r w:rsidR="00CC10DD">
        <w:rPr>
          <w:lang w:val="sq-AL"/>
        </w:rPr>
        <w:t>ë</w:t>
      </w:r>
      <w:r w:rsidRPr="00CC10DD" w:rsidR="00CC10DD">
        <w:rPr>
          <w:lang w:val="sq-AL"/>
        </w:rPr>
        <w:t>rkon qeverive q</w:t>
      </w:r>
      <w:r w:rsidR="00CC10DD">
        <w:rPr>
          <w:lang w:val="sq-AL"/>
        </w:rPr>
        <w:t>ë</w:t>
      </w:r>
      <w:r w:rsidRPr="00CC10DD" w:rsidR="00CC10DD">
        <w:rPr>
          <w:lang w:val="sq-AL"/>
        </w:rPr>
        <w:t xml:space="preserve"> t</w:t>
      </w:r>
      <w:r w:rsidR="00CC10DD">
        <w:rPr>
          <w:lang w:val="sq-AL"/>
        </w:rPr>
        <w:t>ë</w:t>
      </w:r>
      <w:r w:rsidRPr="00CC10DD" w:rsidR="00CC10DD">
        <w:rPr>
          <w:lang w:val="sq-AL"/>
        </w:rPr>
        <w:t xml:space="preserve"> marrin çdolloj mase t</w:t>
      </w:r>
      <w:r w:rsidR="00CC10DD">
        <w:rPr>
          <w:lang w:val="sq-AL"/>
        </w:rPr>
        <w:t>ë</w:t>
      </w:r>
      <w:r w:rsidRPr="00CC10DD" w:rsidR="00CC10DD">
        <w:rPr>
          <w:lang w:val="sq-AL"/>
        </w:rPr>
        <w:t xml:space="preserve"> dobishme p</w:t>
      </w:r>
      <w:r w:rsidR="00CC10DD">
        <w:rPr>
          <w:lang w:val="sq-AL"/>
        </w:rPr>
        <w:t>ë</w:t>
      </w:r>
      <w:r w:rsidRPr="00CC10DD" w:rsidR="00CC10DD">
        <w:rPr>
          <w:lang w:val="sq-AL"/>
        </w:rPr>
        <w:t>r t</w:t>
      </w:r>
      <w:r w:rsidR="00CC10DD">
        <w:rPr>
          <w:lang w:val="sq-AL"/>
        </w:rPr>
        <w:t>ë</w:t>
      </w:r>
      <w:r w:rsidRPr="00CC10DD" w:rsidR="00CC10DD">
        <w:rPr>
          <w:lang w:val="sq-AL"/>
        </w:rPr>
        <w:t xml:space="preserve"> siguruar mbrojtjen e f</w:t>
      </w:r>
      <w:r w:rsidR="00CC10DD">
        <w:rPr>
          <w:lang w:val="sq-AL"/>
        </w:rPr>
        <w:t>ë</w:t>
      </w:r>
      <w:r w:rsidRPr="00CC10DD" w:rsidR="00CC10DD">
        <w:rPr>
          <w:lang w:val="sq-AL"/>
        </w:rPr>
        <w:t>mij</w:t>
      </w:r>
      <w:r w:rsidR="00CC10DD">
        <w:rPr>
          <w:lang w:val="sq-AL"/>
        </w:rPr>
        <w:t>ë</w:t>
      </w:r>
      <w:r w:rsidRPr="00CC10DD" w:rsidR="00CC10DD">
        <w:rPr>
          <w:lang w:val="sq-AL"/>
        </w:rPr>
        <w:t>ve t</w:t>
      </w:r>
      <w:r w:rsidR="00CC10DD">
        <w:rPr>
          <w:lang w:val="sq-AL"/>
        </w:rPr>
        <w:t>ë</w:t>
      </w:r>
      <w:r w:rsidRPr="00CC10DD" w:rsidR="00CC10DD">
        <w:rPr>
          <w:lang w:val="sq-AL"/>
        </w:rPr>
        <w:t xml:space="preserve"> keqtrajtuar, “kur k</w:t>
      </w:r>
      <w:r w:rsidR="00CC10DD">
        <w:rPr>
          <w:lang w:val="sq-AL"/>
        </w:rPr>
        <w:t>ë</w:t>
      </w:r>
      <w:r w:rsidRPr="00CC10DD" w:rsidR="00CC10DD">
        <w:rPr>
          <w:lang w:val="sq-AL"/>
        </w:rPr>
        <w:t>to veprime apo mangësi shkaktohen nga persona q</w:t>
      </w:r>
      <w:r w:rsidR="00CC10DD">
        <w:rPr>
          <w:lang w:val="sq-AL"/>
        </w:rPr>
        <w:t>ë</w:t>
      </w:r>
      <w:r w:rsidRPr="00CC10DD" w:rsidR="00CC10DD">
        <w:rPr>
          <w:lang w:val="sq-AL"/>
        </w:rPr>
        <w:t xml:space="preserve"> kan</w:t>
      </w:r>
      <w:r w:rsidR="00CC10DD">
        <w:rPr>
          <w:lang w:val="sq-AL"/>
        </w:rPr>
        <w:t>ë</w:t>
      </w:r>
      <w:r w:rsidRPr="00CC10DD" w:rsidR="00CC10DD">
        <w:rPr>
          <w:lang w:val="sq-AL"/>
        </w:rPr>
        <w:t xml:space="preserve"> kujdestarinë e f</w:t>
      </w:r>
      <w:r w:rsidR="00CC10DD">
        <w:rPr>
          <w:lang w:val="sq-AL"/>
        </w:rPr>
        <w:t>ë</w:t>
      </w:r>
      <w:r w:rsidRPr="00CC10DD" w:rsidR="00CC10DD">
        <w:rPr>
          <w:lang w:val="sq-AL"/>
        </w:rPr>
        <w:t>mij</w:t>
      </w:r>
      <w:r w:rsidR="00CC10DD">
        <w:rPr>
          <w:lang w:val="sq-AL"/>
        </w:rPr>
        <w:t>ë</w:t>
      </w:r>
      <w:r w:rsidRPr="00CC10DD" w:rsidR="00CC10DD">
        <w:rPr>
          <w:lang w:val="sq-AL"/>
        </w:rPr>
        <w:t>s apo n</w:t>
      </w:r>
      <w:r w:rsidR="00CC10DD">
        <w:rPr>
          <w:lang w:val="sq-AL"/>
        </w:rPr>
        <w:t>ë</w:t>
      </w:r>
      <w:r w:rsidRPr="00CC10DD" w:rsidR="00CC10DD">
        <w:rPr>
          <w:lang w:val="sq-AL"/>
        </w:rPr>
        <w:t>n autoritetin e t</w:t>
      </w:r>
      <w:r w:rsidR="00CC10DD">
        <w:rPr>
          <w:lang w:val="sq-AL"/>
        </w:rPr>
        <w:t>ë</w:t>
      </w:r>
      <w:r w:rsidRPr="00CC10DD" w:rsidR="00CC10DD">
        <w:rPr>
          <w:lang w:val="sq-AL"/>
        </w:rPr>
        <w:t xml:space="preserve"> cil</w:t>
      </w:r>
      <w:r w:rsidR="00CC10DD">
        <w:rPr>
          <w:lang w:val="sq-AL"/>
        </w:rPr>
        <w:t>ë</w:t>
      </w:r>
      <w:r w:rsidRPr="00CC10DD" w:rsidR="00CC10DD">
        <w:rPr>
          <w:lang w:val="sq-AL"/>
        </w:rPr>
        <w:t xml:space="preserve">ve ai </w:t>
      </w:r>
      <w:r w:rsidR="00CC10DD">
        <w:rPr>
          <w:lang w:val="sq-AL"/>
        </w:rPr>
        <w:t>ë</w:t>
      </w:r>
      <w:r w:rsidRPr="00CC10DD" w:rsidR="00CC10DD">
        <w:rPr>
          <w:lang w:val="sq-AL"/>
        </w:rPr>
        <w:t>sht</w:t>
      </w:r>
      <w:r w:rsidR="00CC10DD">
        <w:rPr>
          <w:lang w:val="sq-AL"/>
        </w:rPr>
        <w:t>ë</w:t>
      </w:r>
      <w:r w:rsidRPr="00CC10DD" w:rsidR="00CC10DD">
        <w:rPr>
          <w:lang w:val="sq-AL"/>
        </w:rPr>
        <w:t xml:space="preserve"> vendosur n</w:t>
      </w:r>
      <w:r w:rsidR="00CC10DD">
        <w:rPr>
          <w:lang w:val="sq-AL"/>
        </w:rPr>
        <w:t>ë</w:t>
      </w:r>
      <w:r w:rsidRPr="00CC10DD" w:rsidR="00CC10DD">
        <w:rPr>
          <w:lang w:val="sq-AL"/>
        </w:rPr>
        <w:t xml:space="preserve"> m</w:t>
      </w:r>
      <w:r w:rsidR="00CC10DD">
        <w:rPr>
          <w:lang w:val="sq-AL"/>
        </w:rPr>
        <w:t>ë</w:t>
      </w:r>
      <w:r w:rsidRPr="00CC10DD" w:rsidR="00CC10DD">
        <w:rPr>
          <w:lang w:val="sq-AL"/>
        </w:rPr>
        <w:t>nyr</w:t>
      </w:r>
      <w:r w:rsidR="00CC10DD">
        <w:rPr>
          <w:lang w:val="sq-AL"/>
        </w:rPr>
        <w:t>ë</w:t>
      </w:r>
      <w:r w:rsidRPr="00CC10DD" w:rsidR="00CC10DD">
        <w:rPr>
          <w:lang w:val="sq-AL"/>
        </w:rPr>
        <w:t xml:space="preserve"> t</w:t>
      </w:r>
      <w:r w:rsidR="00CC10DD">
        <w:rPr>
          <w:lang w:val="sq-AL"/>
        </w:rPr>
        <w:t>ë</w:t>
      </w:r>
      <w:r w:rsidRPr="00CC10DD" w:rsidR="00CC10DD">
        <w:rPr>
          <w:lang w:val="sq-AL"/>
        </w:rPr>
        <w:t xml:space="preserve"> përkohshme ose t</w:t>
      </w:r>
      <w:r w:rsidR="00CC10DD">
        <w:rPr>
          <w:lang w:val="sq-AL"/>
        </w:rPr>
        <w:t>ë</w:t>
      </w:r>
      <w:r w:rsidRPr="00CC10DD" w:rsidR="00CC10DD">
        <w:rPr>
          <w:lang w:val="sq-AL"/>
        </w:rPr>
        <w:t xml:space="preserve"> përhershme”.</w:t>
      </w:r>
    </w:p>
    <w:p w:rsidRPr="00E0575D" w:rsidR="00EB737A" w:rsidP="00EB737A" w:rsidRDefault="00EB737A">
      <w:pPr>
        <w:pStyle w:val="ECHRPara"/>
        <w:rPr>
          <w:lang w:val="sq-AL"/>
        </w:rPr>
      </w:pPr>
      <w:r w:rsidRPr="00E0575D">
        <w:rPr>
          <w:lang w:val="sq-AL"/>
        </w:rPr>
        <w:fldChar w:fldCharType="begin"/>
      </w:r>
      <w:r w:rsidRPr="00E0575D">
        <w:rPr>
          <w:lang w:val="sq-AL"/>
        </w:rPr>
        <w:instrText xml:space="preserve"> SEQ level0 \*arabic </w:instrText>
      </w:r>
      <w:r w:rsidRPr="00E0575D">
        <w:rPr>
          <w:lang w:val="sq-AL"/>
        </w:rPr>
        <w:fldChar w:fldCharType="separate"/>
      </w:r>
      <w:r w:rsidR="00013F9B">
        <w:rPr>
          <w:noProof/>
          <w:lang w:val="sq-AL"/>
        </w:rPr>
        <w:t>92</w:t>
      </w:r>
      <w:r w:rsidRPr="00E0575D">
        <w:rPr>
          <w:lang w:val="sq-AL"/>
        </w:rPr>
        <w:fldChar w:fldCharType="end"/>
      </w:r>
      <w:r w:rsidRPr="00E0575D">
        <w:rPr>
          <w:lang w:val="sq-AL"/>
        </w:rPr>
        <w:t>.  </w:t>
      </w:r>
      <w:r w:rsidRPr="00E0575D" w:rsidR="00CC10DD">
        <w:rPr>
          <w:lang w:val="sq-AL"/>
        </w:rPr>
        <w:t xml:space="preserve">Karta Sociale Evropiane e vitit </w:t>
      </w:r>
      <w:r w:rsidRPr="00E0575D">
        <w:rPr>
          <w:lang w:val="sq-AL"/>
        </w:rPr>
        <w:t xml:space="preserve">1961 </w:t>
      </w:r>
      <w:r w:rsidRPr="00E0575D" w:rsidR="00CC10DD">
        <w:rPr>
          <w:lang w:val="sq-AL"/>
        </w:rPr>
        <w:t xml:space="preserve">përcakton në nenin </w:t>
      </w:r>
      <w:r w:rsidRPr="00E0575D">
        <w:rPr>
          <w:lang w:val="sq-AL"/>
        </w:rPr>
        <w:t xml:space="preserve">7 </w:t>
      </w:r>
      <w:r w:rsidRPr="00E0575D" w:rsidR="00CC10DD">
        <w:rPr>
          <w:lang w:val="sq-AL"/>
        </w:rPr>
        <w:t>të saj se fëmijët dhe adoleshentët kanë të drejtë për një mbrojtje të posaçme nga rreziqet fizike dhe morale që paraqiten për ta.</w:t>
      </w:r>
    </w:p>
    <w:p w:rsidRPr="00E0575D" w:rsidR="00EB737A" w:rsidP="00EB737A" w:rsidRDefault="00EB737A">
      <w:pPr>
        <w:pStyle w:val="ECHRHeading2"/>
        <w:rPr>
          <w:lang w:val="sq-AL"/>
        </w:rPr>
      </w:pPr>
      <w:r w:rsidRPr="00E0575D">
        <w:rPr>
          <w:lang w:val="sq-AL"/>
        </w:rPr>
        <w:t>B.  </w:t>
      </w:r>
      <w:r w:rsidRPr="00E0575D" w:rsidR="00CC10DD">
        <w:rPr>
          <w:lang w:val="sq-AL"/>
        </w:rPr>
        <w:t>Kombet e Bashkuara</w:t>
      </w:r>
    </w:p>
    <w:p w:rsidRPr="00E0575D" w:rsidR="00EB737A" w:rsidP="00EB737A" w:rsidRDefault="00EB737A">
      <w:pPr>
        <w:pStyle w:val="ECHRPara"/>
        <w:rPr>
          <w:lang w:val="sq-AL"/>
        </w:rPr>
      </w:pPr>
      <w:r w:rsidRPr="00E0575D">
        <w:rPr>
          <w:lang w:val="sq-AL"/>
        </w:rPr>
        <w:fldChar w:fldCharType="begin"/>
      </w:r>
      <w:r w:rsidRPr="00E0575D">
        <w:rPr>
          <w:lang w:val="sq-AL"/>
        </w:rPr>
        <w:instrText xml:space="preserve"> SEQ level0 \*arabic </w:instrText>
      </w:r>
      <w:r w:rsidRPr="00E0575D">
        <w:rPr>
          <w:lang w:val="sq-AL"/>
        </w:rPr>
        <w:fldChar w:fldCharType="separate"/>
      </w:r>
      <w:r w:rsidR="00013F9B">
        <w:rPr>
          <w:noProof/>
          <w:lang w:val="sq-AL"/>
        </w:rPr>
        <w:t>93</w:t>
      </w:r>
      <w:r w:rsidRPr="00E0575D">
        <w:rPr>
          <w:lang w:val="sq-AL"/>
        </w:rPr>
        <w:fldChar w:fldCharType="end"/>
      </w:r>
      <w:r w:rsidRPr="00E0575D">
        <w:rPr>
          <w:lang w:val="sq-AL"/>
        </w:rPr>
        <w:t>.  </w:t>
      </w:r>
      <w:r w:rsidRPr="00E0575D" w:rsidR="00CC10DD">
        <w:rPr>
          <w:lang w:val="sq-AL"/>
        </w:rPr>
        <w:t>E miratuar nga Lidhja e Kombeve m</w:t>
      </w:r>
      <w:r w:rsidRPr="00E0575D" w:rsidR="00EF1D6C">
        <w:rPr>
          <w:lang w:val="sq-AL"/>
        </w:rPr>
        <w:t>ë</w:t>
      </w:r>
      <w:r w:rsidRPr="00E0575D" w:rsidR="00CC10DD">
        <w:rPr>
          <w:lang w:val="sq-AL"/>
        </w:rPr>
        <w:t xml:space="preserve"> </w:t>
      </w:r>
      <w:r w:rsidRPr="00E0575D">
        <w:rPr>
          <w:lang w:val="sq-AL"/>
        </w:rPr>
        <w:t xml:space="preserve">1924, </w:t>
      </w:r>
      <w:r w:rsidRPr="00E0575D" w:rsidR="00CC10DD">
        <w:rPr>
          <w:lang w:val="sq-AL"/>
        </w:rPr>
        <w:t>Deklarata e Gjenev</w:t>
      </w:r>
      <w:r w:rsidRPr="00E0575D" w:rsidR="00EF1D6C">
        <w:rPr>
          <w:lang w:val="sq-AL"/>
        </w:rPr>
        <w:t>ë</w:t>
      </w:r>
      <w:r w:rsidRPr="00E0575D" w:rsidR="00CC10DD">
        <w:rPr>
          <w:lang w:val="sq-AL"/>
        </w:rPr>
        <w:t xml:space="preserve">s </w:t>
      </w:r>
      <w:r w:rsidRPr="00E0575D" w:rsidR="000D7596">
        <w:rPr>
          <w:lang w:val="sq-AL"/>
        </w:rPr>
        <w:t>për t</w:t>
      </w:r>
      <w:r w:rsidRPr="00E0575D" w:rsidR="00EF1D6C">
        <w:rPr>
          <w:lang w:val="sq-AL"/>
        </w:rPr>
        <w:t>ë</w:t>
      </w:r>
      <w:r w:rsidRPr="00E0575D" w:rsidR="000D7596">
        <w:rPr>
          <w:lang w:val="sq-AL"/>
        </w:rPr>
        <w:t xml:space="preserve"> Drejtat e Fëmij</w:t>
      </w:r>
      <w:r w:rsidRPr="00E0575D" w:rsidR="00EF1D6C">
        <w:rPr>
          <w:lang w:val="sq-AL"/>
        </w:rPr>
        <w:t>ë</w:t>
      </w:r>
      <w:r w:rsidRPr="00E0575D" w:rsidR="000D7596">
        <w:rPr>
          <w:lang w:val="sq-AL"/>
        </w:rPr>
        <w:t>ve, e cila sanksionon pes</w:t>
      </w:r>
      <w:r w:rsidRPr="00E0575D" w:rsidR="00EF1D6C">
        <w:rPr>
          <w:lang w:val="sq-AL"/>
        </w:rPr>
        <w:t>ë</w:t>
      </w:r>
      <w:r w:rsidRPr="00E0575D" w:rsidR="000D7596">
        <w:rPr>
          <w:lang w:val="sq-AL"/>
        </w:rPr>
        <w:t xml:space="preserve"> parime mbro</w:t>
      </w:r>
      <w:r w:rsidRPr="00E0575D" w:rsidR="00EF1D6C">
        <w:rPr>
          <w:lang w:val="sq-AL"/>
        </w:rPr>
        <w:t>j</w:t>
      </w:r>
      <w:r w:rsidRPr="00E0575D" w:rsidR="000D7596">
        <w:rPr>
          <w:lang w:val="sq-AL"/>
        </w:rPr>
        <w:t>tjeje, thekson n</w:t>
      </w:r>
      <w:r w:rsidRPr="00E0575D" w:rsidR="00EF1D6C">
        <w:rPr>
          <w:lang w:val="sq-AL"/>
        </w:rPr>
        <w:t>ë</w:t>
      </w:r>
      <w:r w:rsidRPr="00E0575D" w:rsidR="000D7596">
        <w:rPr>
          <w:lang w:val="sq-AL"/>
        </w:rPr>
        <w:t xml:space="preserve"> hyrjen e saj se njerëzimi duhet t</w:t>
      </w:r>
      <w:r w:rsidR="00943091">
        <w:rPr>
          <w:lang w:val="sq-AL"/>
        </w:rPr>
        <w:t>’</w:t>
      </w:r>
      <w:r w:rsidRPr="00E0575D" w:rsidR="000D7596">
        <w:rPr>
          <w:lang w:val="sq-AL"/>
        </w:rPr>
        <w:t>i japë f</w:t>
      </w:r>
      <w:r w:rsidRPr="00E0575D" w:rsidR="00EF1D6C">
        <w:rPr>
          <w:lang w:val="sq-AL"/>
        </w:rPr>
        <w:t>ë</w:t>
      </w:r>
      <w:r w:rsidRPr="00E0575D" w:rsidR="000D7596">
        <w:rPr>
          <w:lang w:val="sq-AL"/>
        </w:rPr>
        <w:t>mij</w:t>
      </w:r>
      <w:r w:rsidRPr="00E0575D" w:rsidR="00EF1D6C">
        <w:rPr>
          <w:lang w:val="sq-AL"/>
        </w:rPr>
        <w:t>ë</w:t>
      </w:r>
      <w:r w:rsidRPr="00E0575D" w:rsidR="000D7596">
        <w:rPr>
          <w:lang w:val="sq-AL"/>
        </w:rPr>
        <w:t>s “m</w:t>
      </w:r>
      <w:r w:rsidRPr="00E0575D" w:rsidR="00EF1D6C">
        <w:rPr>
          <w:lang w:val="sq-AL"/>
        </w:rPr>
        <w:t>ë</w:t>
      </w:r>
      <w:r w:rsidRPr="00E0575D" w:rsidR="000D7596">
        <w:rPr>
          <w:lang w:val="sq-AL"/>
        </w:rPr>
        <w:t xml:space="preserve"> të mirën e tij”. Më </w:t>
      </w:r>
      <w:r w:rsidRPr="00E0575D">
        <w:rPr>
          <w:lang w:val="sq-AL"/>
        </w:rPr>
        <w:t xml:space="preserve">1959, </w:t>
      </w:r>
      <w:r w:rsidRPr="00E0575D" w:rsidR="000D7596">
        <w:rPr>
          <w:lang w:val="sq-AL"/>
        </w:rPr>
        <w:t>Asambleja e Përgjithshme e Kombeve të Bashkuara miratoi me votim nj</w:t>
      </w:r>
      <w:r w:rsidRPr="00E0575D" w:rsidR="00EF1D6C">
        <w:rPr>
          <w:lang w:val="sq-AL"/>
        </w:rPr>
        <w:t>ë</w:t>
      </w:r>
      <w:r w:rsidRPr="00E0575D" w:rsidR="000D7596">
        <w:rPr>
          <w:lang w:val="sq-AL"/>
        </w:rPr>
        <w:t>z</w:t>
      </w:r>
      <w:r w:rsidRPr="00E0575D" w:rsidR="00EF1D6C">
        <w:rPr>
          <w:lang w:val="sq-AL"/>
        </w:rPr>
        <w:t>ë</w:t>
      </w:r>
      <w:r w:rsidRPr="00E0575D" w:rsidR="000D7596">
        <w:rPr>
          <w:lang w:val="sq-AL"/>
        </w:rPr>
        <w:t>ri Deklaratën e t</w:t>
      </w:r>
      <w:r w:rsidRPr="00E0575D" w:rsidR="00EF1D6C">
        <w:rPr>
          <w:lang w:val="sq-AL"/>
        </w:rPr>
        <w:t>ë</w:t>
      </w:r>
      <w:r w:rsidRPr="00E0575D" w:rsidR="000D7596">
        <w:rPr>
          <w:lang w:val="sq-AL"/>
        </w:rPr>
        <w:t xml:space="preserve"> Drejtave t</w:t>
      </w:r>
      <w:r w:rsidRPr="00E0575D" w:rsidR="00EF1D6C">
        <w:rPr>
          <w:lang w:val="sq-AL"/>
        </w:rPr>
        <w:t>ë</w:t>
      </w:r>
      <w:r w:rsidRPr="00E0575D" w:rsidR="000D7596">
        <w:rPr>
          <w:lang w:val="sq-AL"/>
        </w:rPr>
        <w:t xml:space="preserve"> Fëmij</w:t>
      </w:r>
      <w:r w:rsidRPr="00E0575D" w:rsidR="00EF1D6C">
        <w:rPr>
          <w:lang w:val="sq-AL"/>
        </w:rPr>
        <w:t>ë</w:t>
      </w:r>
      <w:r w:rsidRPr="00E0575D" w:rsidR="000D7596">
        <w:rPr>
          <w:lang w:val="sq-AL"/>
        </w:rPr>
        <w:t>s, e cila e zgjeronte rrezen e veprimit të Deklaratës s</w:t>
      </w:r>
      <w:r w:rsidRPr="00E0575D" w:rsidR="00EF1D6C">
        <w:rPr>
          <w:lang w:val="sq-AL"/>
        </w:rPr>
        <w:t>ë</w:t>
      </w:r>
      <w:r w:rsidRPr="00E0575D" w:rsidR="000D7596">
        <w:rPr>
          <w:lang w:val="sq-AL"/>
        </w:rPr>
        <w:t xml:space="preserve"> vitit 1924. Deklarata e vitit </w:t>
      </w:r>
      <w:r w:rsidRPr="00E0575D">
        <w:rPr>
          <w:lang w:val="sq-AL"/>
        </w:rPr>
        <w:t xml:space="preserve">1959 </w:t>
      </w:r>
      <w:r w:rsidRPr="00E0575D" w:rsidR="000D7596">
        <w:rPr>
          <w:lang w:val="sq-AL"/>
        </w:rPr>
        <w:t>parashtron n</w:t>
      </w:r>
      <w:r w:rsidRPr="00E0575D" w:rsidR="00EF1D6C">
        <w:rPr>
          <w:lang w:val="sq-AL"/>
        </w:rPr>
        <w:t>ë</w:t>
      </w:r>
      <w:r w:rsidRPr="00E0575D" w:rsidR="000D7596">
        <w:rPr>
          <w:lang w:val="sq-AL"/>
        </w:rPr>
        <w:t xml:space="preserve"> hyrjen e saj parimin e p</w:t>
      </w:r>
      <w:r w:rsidRPr="00E0575D" w:rsidR="00EF1D6C">
        <w:rPr>
          <w:lang w:val="sq-AL"/>
        </w:rPr>
        <w:t>ë</w:t>
      </w:r>
      <w:r w:rsidRPr="00E0575D" w:rsidR="000D7596">
        <w:rPr>
          <w:lang w:val="sq-AL"/>
        </w:rPr>
        <w:t>rgjithshëm sipas t</w:t>
      </w:r>
      <w:r w:rsidRPr="00E0575D" w:rsidR="00EF1D6C">
        <w:rPr>
          <w:lang w:val="sq-AL"/>
        </w:rPr>
        <w:t>ë</w:t>
      </w:r>
      <w:r w:rsidRPr="00E0575D" w:rsidR="000D7596">
        <w:rPr>
          <w:lang w:val="sq-AL"/>
        </w:rPr>
        <w:t xml:space="preserve"> cilit fëmija, p</w:t>
      </w:r>
      <w:r w:rsidRPr="00E0575D" w:rsidR="00EF1D6C">
        <w:rPr>
          <w:lang w:val="sq-AL"/>
        </w:rPr>
        <w:t>ë</w:t>
      </w:r>
      <w:r w:rsidRPr="00E0575D" w:rsidR="000D7596">
        <w:rPr>
          <w:lang w:val="sq-AL"/>
        </w:rPr>
        <w:t>r arsye t</w:t>
      </w:r>
      <w:r w:rsidRPr="00E0575D" w:rsidR="00EF1D6C">
        <w:rPr>
          <w:lang w:val="sq-AL"/>
        </w:rPr>
        <w:t>ë</w:t>
      </w:r>
      <w:r w:rsidRPr="00E0575D" w:rsidR="000D7596">
        <w:rPr>
          <w:lang w:val="sq-AL"/>
        </w:rPr>
        <w:t xml:space="preserve"> munges</w:t>
      </w:r>
      <w:r w:rsidRPr="00E0575D" w:rsidR="00EF1D6C">
        <w:rPr>
          <w:lang w:val="sq-AL"/>
        </w:rPr>
        <w:t>ë</w:t>
      </w:r>
      <w:r w:rsidRPr="00E0575D" w:rsidR="000D7596">
        <w:rPr>
          <w:lang w:val="sq-AL"/>
        </w:rPr>
        <w:t>s s</w:t>
      </w:r>
      <w:r w:rsidRPr="00E0575D" w:rsidR="00EF1D6C">
        <w:rPr>
          <w:lang w:val="sq-AL"/>
        </w:rPr>
        <w:t>ë</w:t>
      </w:r>
      <w:r w:rsidRPr="00E0575D" w:rsidR="000D7596">
        <w:rPr>
          <w:lang w:val="sq-AL"/>
        </w:rPr>
        <w:t xml:space="preserve"> pjekuris</w:t>
      </w:r>
      <w:r w:rsidRPr="00E0575D" w:rsidR="00EF1D6C">
        <w:rPr>
          <w:lang w:val="sq-AL"/>
        </w:rPr>
        <w:t>ë</w:t>
      </w:r>
      <w:r w:rsidRPr="00E0575D" w:rsidR="000D7596">
        <w:rPr>
          <w:lang w:val="sq-AL"/>
        </w:rPr>
        <w:t xml:space="preserve"> s</w:t>
      </w:r>
      <w:r w:rsidRPr="00E0575D" w:rsidR="00EF1D6C">
        <w:rPr>
          <w:lang w:val="sq-AL"/>
        </w:rPr>
        <w:t>ë</w:t>
      </w:r>
      <w:r w:rsidRPr="00E0575D" w:rsidR="000D7596">
        <w:rPr>
          <w:lang w:val="sq-AL"/>
        </w:rPr>
        <w:t xml:space="preserve"> tij fizike dhe mendore, ka nevoj</w:t>
      </w:r>
      <w:r w:rsidRPr="00E0575D" w:rsidR="00EF1D6C">
        <w:rPr>
          <w:lang w:val="sq-AL"/>
        </w:rPr>
        <w:t>ë</w:t>
      </w:r>
      <w:r w:rsidRPr="00E0575D" w:rsidR="000D7596">
        <w:rPr>
          <w:lang w:val="sq-AL"/>
        </w:rPr>
        <w:t xml:space="preserve"> p</w:t>
      </w:r>
      <w:r w:rsidRPr="00E0575D" w:rsidR="00EF1D6C">
        <w:rPr>
          <w:lang w:val="sq-AL"/>
        </w:rPr>
        <w:t>ë</w:t>
      </w:r>
      <w:r w:rsidRPr="00E0575D" w:rsidR="000D7596">
        <w:rPr>
          <w:lang w:val="sq-AL"/>
        </w:rPr>
        <w:t>r nj</w:t>
      </w:r>
      <w:r w:rsidRPr="00E0575D" w:rsidR="00EF1D6C">
        <w:rPr>
          <w:lang w:val="sq-AL"/>
        </w:rPr>
        <w:t>ë</w:t>
      </w:r>
      <w:r w:rsidRPr="00E0575D" w:rsidR="000D7596">
        <w:rPr>
          <w:lang w:val="sq-AL"/>
        </w:rPr>
        <w:t xml:space="preserve"> mbrojtje t</w:t>
      </w:r>
      <w:r w:rsidRPr="00E0575D" w:rsidR="00EF1D6C">
        <w:rPr>
          <w:lang w:val="sq-AL"/>
        </w:rPr>
        <w:t>ë</w:t>
      </w:r>
      <w:r w:rsidRPr="00E0575D" w:rsidR="000D7596">
        <w:rPr>
          <w:lang w:val="sq-AL"/>
        </w:rPr>
        <w:t xml:space="preserve"> posaçme dhe përkujdesje t</w:t>
      </w:r>
      <w:r w:rsidRPr="00E0575D" w:rsidR="00EF1D6C">
        <w:rPr>
          <w:lang w:val="sq-AL"/>
        </w:rPr>
        <w:t>ë</w:t>
      </w:r>
      <w:r w:rsidRPr="00E0575D" w:rsidR="000D7596">
        <w:rPr>
          <w:lang w:val="sq-AL"/>
        </w:rPr>
        <w:t xml:space="preserve"> posaçme. Parimi nr. 2 p</w:t>
      </w:r>
      <w:r w:rsidRPr="00E0575D" w:rsidR="00EF1D6C">
        <w:rPr>
          <w:lang w:val="sq-AL"/>
        </w:rPr>
        <w:t>ë</w:t>
      </w:r>
      <w:r w:rsidRPr="00E0575D" w:rsidR="000D7596">
        <w:rPr>
          <w:lang w:val="sq-AL"/>
        </w:rPr>
        <w:t>rcakton se f</w:t>
      </w:r>
      <w:r w:rsidRPr="00E0575D" w:rsidR="00EF1D6C">
        <w:rPr>
          <w:lang w:val="sq-AL"/>
        </w:rPr>
        <w:t>ë</w:t>
      </w:r>
      <w:r w:rsidRPr="00E0575D" w:rsidR="000D7596">
        <w:rPr>
          <w:lang w:val="sq-AL"/>
        </w:rPr>
        <w:t>mija duhet t</w:t>
      </w:r>
      <w:r w:rsidRPr="00E0575D" w:rsidR="00EF1D6C">
        <w:rPr>
          <w:lang w:val="sq-AL"/>
        </w:rPr>
        <w:t>ë</w:t>
      </w:r>
      <w:r w:rsidRPr="00E0575D" w:rsidR="000D7596">
        <w:rPr>
          <w:lang w:val="sq-AL"/>
        </w:rPr>
        <w:t xml:space="preserve"> g</w:t>
      </w:r>
      <w:r w:rsidRPr="00E0575D" w:rsidR="00EF1D6C">
        <w:rPr>
          <w:lang w:val="sq-AL"/>
        </w:rPr>
        <w:t>ë</w:t>
      </w:r>
      <w:r w:rsidRPr="00E0575D" w:rsidR="000D7596">
        <w:rPr>
          <w:lang w:val="sq-AL"/>
        </w:rPr>
        <w:t>zoj</w:t>
      </w:r>
      <w:r w:rsidRPr="00E0575D" w:rsidR="00EF1D6C">
        <w:rPr>
          <w:lang w:val="sq-AL"/>
        </w:rPr>
        <w:t>ë</w:t>
      </w:r>
      <w:r w:rsidRPr="00E0575D" w:rsidR="000D7596">
        <w:rPr>
          <w:lang w:val="sq-AL"/>
        </w:rPr>
        <w:t xml:space="preserve"> nj</w:t>
      </w:r>
      <w:r w:rsidRPr="00E0575D" w:rsidR="00EF1D6C">
        <w:rPr>
          <w:lang w:val="sq-AL"/>
        </w:rPr>
        <w:t>ë</w:t>
      </w:r>
      <w:r w:rsidRPr="00E0575D" w:rsidR="000D7596">
        <w:rPr>
          <w:lang w:val="sq-AL"/>
        </w:rPr>
        <w:t xml:space="preserve"> mbrojtje t</w:t>
      </w:r>
      <w:r w:rsidRPr="00E0575D" w:rsidR="00EF1D6C">
        <w:rPr>
          <w:lang w:val="sq-AL"/>
        </w:rPr>
        <w:t>ë</w:t>
      </w:r>
      <w:r w:rsidRPr="00E0575D" w:rsidR="000D7596">
        <w:rPr>
          <w:lang w:val="sq-AL"/>
        </w:rPr>
        <w:t xml:space="preserve"> posaçme dhe se atij duhet t</w:t>
      </w:r>
      <w:r w:rsidR="00943091">
        <w:rPr>
          <w:lang w:val="sq-AL"/>
        </w:rPr>
        <w:t>’</w:t>
      </w:r>
      <w:r w:rsidRPr="00E0575D" w:rsidR="000D7596">
        <w:rPr>
          <w:lang w:val="sq-AL"/>
        </w:rPr>
        <w:t>i krijohen mundësi dhe lehtësi, me q</w:t>
      </w:r>
      <w:r w:rsidRPr="00E0575D" w:rsidR="00EF1D6C">
        <w:rPr>
          <w:lang w:val="sq-AL"/>
        </w:rPr>
        <w:t>ë</w:t>
      </w:r>
      <w:r w:rsidRPr="00E0575D" w:rsidR="000D7596">
        <w:rPr>
          <w:lang w:val="sq-AL"/>
        </w:rPr>
        <w:t>llim që t</w:t>
      </w:r>
      <w:r w:rsidRPr="00E0575D" w:rsidR="00EF1D6C">
        <w:rPr>
          <w:lang w:val="sq-AL"/>
        </w:rPr>
        <w:t>ë</w:t>
      </w:r>
      <w:r w:rsidRPr="00E0575D" w:rsidR="000D7596">
        <w:rPr>
          <w:lang w:val="sq-AL"/>
        </w:rPr>
        <w:t xml:space="preserve"> jet</w:t>
      </w:r>
      <w:r w:rsidRPr="00E0575D" w:rsidR="00EF1D6C">
        <w:rPr>
          <w:lang w:val="sq-AL"/>
        </w:rPr>
        <w:t>ë</w:t>
      </w:r>
      <w:r w:rsidRPr="00E0575D" w:rsidR="000D7596">
        <w:rPr>
          <w:lang w:val="sq-AL"/>
        </w:rPr>
        <w:t xml:space="preserve"> n</w:t>
      </w:r>
      <w:r w:rsidRPr="00E0575D" w:rsidR="00EF1D6C">
        <w:rPr>
          <w:lang w:val="sq-AL"/>
        </w:rPr>
        <w:t>ë</w:t>
      </w:r>
      <w:r w:rsidRPr="00E0575D" w:rsidR="000D7596">
        <w:rPr>
          <w:lang w:val="sq-AL"/>
        </w:rPr>
        <w:t xml:space="preserve"> gjendje për t</w:t>
      </w:r>
      <w:r w:rsidR="00943091">
        <w:rPr>
          <w:lang w:val="sq-AL"/>
        </w:rPr>
        <w:t>’</w:t>
      </w:r>
      <w:r w:rsidRPr="00E0575D" w:rsidR="000D7596">
        <w:rPr>
          <w:lang w:val="sq-AL"/>
        </w:rPr>
        <w:t>u zhvilluar n</w:t>
      </w:r>
      <w:r w:rsidRPr="00E0575D" w:rsidR="00EF1D6C">
        <w:rPr>
          <w:lang w:val="sq-AL"/>
        </w:rPr>
        <w:t>ë</w:t>
      </w:r>
      <w:r w:rsidRPr="00E0575D" w:rsidR="000D7596">
        <w:rPr>
          <w:lang w:val="sq-AL"/>
        </w:rPr>
        <w:t xml:space="preserve"> nj</w:t>
      </w:r>
      <w:r w:rsidRPr="00E0575D" w:rsidR="00EF1D6C">
        <w:rPr>
          <w:lang w:val="sq-AL"/>
        </w:rPr>
        <w:t>ë</w:t>
      </w:r>
      <w:r w:rsidRPr="00E0575D" w:rsidR="000D7596">
        <w:rPr>
          <w:lang w:val="sq-AL"/>
        </w:rPr>
        <w:t xml:space="preserve"> m</w:t>
      </w:r>
      <w:r w:rsidRPr="00E0575D" w:rsidR="00EF1D6C">
        <w:rPr>
          <w:lang w:val="sq-AL"/>
        </w:rPr>
        <w:t>ë</w:t>
      </w:r>
      <w:r w:rsidRPr="00E0575D" w:rsidR="000D7596">
        <w:rPr>
          <w:lang w:val="sq-AL"/>
        </w:rPr>
        <w:t>nyr</w:t>
      </w:r>
      <w:r w:rsidRPr="00E0575D" w:rsidR="00EF1D6C">
        <w:rPr>
          <w:lang w:val="sq-AL"/>
        </w:rPr>
        <w:t>ë</w:t>
      </w:r>
      <w:r w:rsidRPr="00E0575D" w:rsidR="000D7596">
        <w:rPr>
          <w:lang w:val="sq-AL"/>
        </w:rPr>
        <w:t xml:space="preserve"> t</w:t>
      </w:r>
      <w:r w:rsidRPr="00E0575D" w:rsidR="00EF1D6C">
        <w:rPr>
          <w:lang w:val="sq-AL"/>
        </w:rPr>
        <w:t>ë</w:t>
      </w:r>
      <w:r w:rsidRPr="00E0575D" w:rsidR="000D7596">
        <w:rPr>
          <w:lang w:val="sq-AL"/>
        </w:rPr>
        <w:t xml:space="preserve"> shëndetshme e normale n</w:t>
      </w:r>
      <w:r w:rsidRPr="00E0575D" w:rsidR="00EF1D6C">
        <w:rPr>
          <w:lang w:val="sq-AL"/>
        </w:rPr>
        <w:t>ë</w:t>
      </w:r>
      <w:r w:rsidRPr="00E0575D" w:rsidR="000D7596">
        <w:rPr>
          <w:lang w:val="sq-AL"/>
        </w:rPr>
        <w:t xml:space="preserve"> rrafshin fizik, mendor, moral, shpirtëro e shoqëror, n</w:t>
      </w:r>
      <w:r w:rsidRPr="00E0575D" w:rsidR="00EF1D6C">
        <w:rPr>
          <w:lang w:val="sq-AL"/>
        </w:rPr>
        <w:t>ë</w:t>
      </w:r>
      <w:r w:rsidRPr="00E0575D" w:rsidR="000D7596">
        <w:rPr>
          <w:lang w:val="sq-AL"/>
        </w:rPr>
        <w:t xml:space="preserve"> kushte lirie dhe dinjiteti</w:t>
      </w:r>
      <w:r w:rsidRPr="00E0575D">
        <w:rPr>
          <w:lang w:val="sq-AL"/>
        </w:rPr>
        <w:t xml:space="preserve">, </w:t>
      </w:r>
      <w:r w:rsidRPr="00E0575D" w:rsidR="000D7596">
        <w:rPr>
          <w:lang w:val="sq-AL"/>
        </w:rPr>
        <w:t>ku konsiderata përcaktuese duhet t</w:t>
      </w:r>
      <w:r w:rsidRPr="00E0575D" w:rsidR="00EF1D6C">
        <w:rPr>
          <w:lang w:val="sq-AL"/>
        </w:rPr>
        <w:t>ë</w:t>
      </w:r>
      <w:r w:rsidRPr="00E0575D" w:rsidR="000D7596">
        <w:rPr>
          <w:lang w:val="sq-AL"/>
        </w:rPr>
        <w:t xml:space="preserve"> jet</w:t>
      </w:r>
      <w:r w:rsidRPr="00E0575D" w:rsidR="00EF1D6C">
        <w:rPr>
          <w:lang w:val="sq-AL"/>
        </w:rPr>
        <w:t>ë</w:t>
      </w:r>
      <w:r w:rsidRPr="00E0575D" w:rsidR="000D7596">
        <w:rPr>
          <w:lang w:val="sq-AL"/>
        </w:rPr>
        <w:t xml:space="preserve"> </w:t>
      </w:r>
      <w:r w:rsidRPr="00E0575D" w:rsidR="00EF1D6C">
        <w:rPr>
          <w:lang w:val="sq-AL"/>
        </w:rPr>
        <w:t>interesi më i lartë i fëmijës. Sipas parimit 8, fëmija duhet që, në të gjitha rrethanat, të jetë ndër të parët të cilit t</w:t>
      </w:r>
      <w:r w:rsidR="00943091">
        <w:rPr>
          <w:lang w:val="sq-AL"/>
        </w:rPr>
        <w:t>’</w:t>
      </w:r>
      <w:r w:rsidRPr="00E0575D" w:rsidR="00EF1D6C">
        <w:rPr>
          <w:lang w:val="sq-AL"/>
        </w:rPr>
        <w:t>i jepet mbrojtje e ndihmë.</w:t>
      </w:r>
      <w:r w:rsidRPr="00E0575D">
        <w:rPr>
          <w:lang w:val="sq-AL"/>
        </w:rPr>
        <w:t xml:space="preserve"> </w:t>
      </w:r>
      <w:r w:rsidRPr="00E0575D" w:rsidR="00EF1D6C">
        <w:rPr>
          <w:lang w:val="sq-AL"/>
        </w:rPr>
        <w:t>Sipas parimit</w:t>
      </w:r>
      <w:r w:rsidRPr="00E0575D">
        <w:rPr>
          <w:lang w:val="sq-AL"/>
        </w:rPr>
        <w:t xml:space="preserve"> 9, </w:t>
      </w:r>
      <w:r w:rsidRPr="00E0575D" w:rsidR="00EF1D6C">
        <w:rPr>
          <w:lang w:val="sq-AL"/>
        </w:rPr>
        <w:t>fëmija duhet të mbrohet nga çdo trajtë pakujdesie, egërsie dhe shfrytëzimi</w:t>
      </w:r>
      <w:r w:rsidRPr="00E0575D">
        <w:rPr>
          <w:lang w:val="sq-AL"/>
        </w:rPr>
        <w:t>.</w:t>
      </w:r>
    </w:p>
    <w:p w:rsidRPr="00E0575D" w:rsidR="00EB737A" w:rsidP="00EB737A" w:rsidRDefault="00EB737A">
      <w:pPr>
        <w:pStyle w:val="ECHRPara"/>
        <w:rPr>
          <w:lang w:val="sq-AL"/>
        </w:rPr>
      </w:pPr>
      <w:r w:rsidRPr="00E0575D">
        <w:rPr>
          <w:lang w:val="sq-AL"/>
        </w:rPr>
        <w:fldChar w:fldCharType="begin"/>
      </w:r>
      <w:r w:rsidRPr="00E0575D">
        <w:rPr>
          <w:lang w:val="sq-AL"/>
        </w:rPr>
        <w:instrText xml:space="preserve"> SEQ level0 \*arabic </w:instrText>
      </w:r>
      <w:r w:rsidRPr="00E0575D">
        <w:rPr>
          <w:lang w:val="sq-AL"/>
        </w:rPr>
        <w:fldChar w:fldCharType="separate"/>
      </w:r>
      <w:r w:rsidR="00013F9B">
        <w:rPr>
          <w:noProof/>
          <w:lang w:val="sq-AL"/>
        </w:rPr>
        <w:t>94</w:t>
      </w:r>
      <w:r w:rsidRPr="00E0575D">
        <w:rPr>
          <w:lang w:val="sq-AL"/>
        </w:rPr>
        <w:fldChar w:fldCharType="end"/>
      </w:r>
      <w:r w:rsidRPr="00E0575D">
        <w:rPr>
          <w:lang w:val="sq-AL"/>
        </w:rPr>
        <w:t>.  </w:t>
      </w:r>
      <w:r w:rsidRPr="00E0575D" w:rsidR="00EF1D6C">
        <w:rPr>
          <w:lang w:val="sq-AL"/>
        </w:rPr>
        <w:t xml:space="preserve">Deklarata Universale e të Drejtave të Njeriut </w:t>
      </w:r>
      <w:r w:rsidRPr="00E0575D">
        <w:rPr>
          <w:lang w:val="sq-AL"/>
        </w:rPr>
        <w:t>(DUD</w:t>
      </w:r>
      <w:r w:rsidRPr="00E0575D" w:rsidR="00EF1D6C">
        <w:rPr>
          <w:lang w:val="sq-AL"/>
        </w:rPr>
        <w:t>Nj</w:t>
      </w:r>
      <w:r w:rsidRPr="00E0575D">
        <w:rPr>
          <w:lang w:val="sq-AL"/>
        </w:rPr>
        <w:t xml:space="preserve">) </w:t>
      </w:r>
      <w:r w:rsidRPr="00E0575D" w:rsidR="00EF1D6C">
        <w:rPr>
          <w:lang w:val="sq-AL"/>
        </w:rPr>
        <w:t>e vitit</w:t>
      </w:r>
      <w:r w:rsidRPr="00E0575D">
        <w:rPr>
          <w:lang w:val="sq-AL"/>
        </w:rPr>
        <w:t xml:space="preserve"> 1948 </w:t>
      </w:r>
      <w:r w:rsidRPr="00E0575D" w:rsidR="00EF1D6C">
        <w:rPr>
          <w:lang w:val="sq-AL"/>
        </w:rPr>
        <w:t xml:space="preserve">përmban dy dispozita </w:t>
      </w:r>
      <w:r w:rsidRPr="00E0575D" w:rsidR="002C5AEB">
        <w:rPr>
          <w:lang w:val="sq-AL"/>
        </w:rPr>
        <w:t>që</w:t>
      </w:r>
      <w:r w:rsidRPr="00E0575D" w:rsidR="00EF1D6C">
        <w:rPr>
          <w:lang w:val="sq-AL"/>
        </w:rPr>
        <w:t xml:space="preserve"> u referohen shprehimisht fëmij</w:t>
      </w:r>
      <w:r w:rsidRPr="00E0575D" w:rsidR="002C5AEB">
        <w:rPr>
          <w:lang w:val="sq-AL"/>
        </w:rPr>
        <w:t>ë</w:t>
      </w:r>
      <w:r w:rsidRPr="00E0575D" w:rsidR="00EF1D6C">
        <w:rPr>
          <w:lang w:val="sq-AL"/>
        </w:rPr>
        <w:t xml:space="preserve">ve, konkretisht nenin </w:t>
      </w:r>
      <w:r w:rsidRPr="00E0575D">
        <w:rPr>
          <w:lang w:val="sq-AL"/>
        </w:rPr>
        <w:t xml:space="preserve">25, </w:t>
      </w:r>
      <w:r w:rsidRPr="00E0575D" w:rsidR="002C5AEB">
        <w:rPr>
          <w:lang w:val="sq-AL"/>
        </w:rPr>
        <w:t xml:space="preserve">i cili parashikon për ta një ndihmë e një shërbim të posaçëm, dhe nenin </w:t>
      </w:r>
      <w:r w:rsidRPr="00E0575D">
        <w:rPr>
          <w:lang w:val="sq-AL"/>
        </w:rPr>
        <w:t xml:space="preserve">26, </w:t>
      </w:r>
      <w:r w:rsidRPr="00E0575D" w:rsidR="002C5AEB">
        <w:rPr>
          <w:lang w:val="sq-AL"/>
        </w:rPr>
        <w:t>i cili sanksionon të drejtën për arsim fillor falas. Ajo i përmend një për një të gjitha të drejtat e njeriut që gjejnë zbatim për të gjitha qeniet njerëzore, veçanërisht të drejtën për të mos iu nënshtruar trajtimeve mizore, çnjerëzore ose poshtëruese.</w:t>
      </w:r>
    </w:p>
    <w:p w:rsidRPr="00E0575D" w:rsidR="00EB737A" w:rsidP="00EB737A" w:rsidRDefault="00EB737A">
      <w:pPr>
        <w:pStyle w:val="ECHRPara"/>
        <w:rPr>
          <w:lang w:val="sq-AL"/>
        </w:rPr>
      </w:pPr>
      <w:r w:rsidRPr="00E0575D">
        <w:rPr>
          <w:lang w:val="sq-AL"/>
        </w:rPr>
        <w:fldChar w:fldCharType="begin"/>
      </w:r>
      <w:r w:rsidRPr="00E0575D">
        <w:rPr>
          <w:lang w:val="sq-AL"/>
        </w:rPr>
        <w:instrText xml:space="preserve"> SEQ level0 \*arabic </w:instrText>
      </w:r>
      <w:r w:rsidRPr="00E0575D">
        <w:rPr>
          <w:lang w:val="sq-AL"/>
        </w:rPr>
        <w:fldChar w:fldCharType="separate"/>
      </w:r>
      <w:r w:rsidR="00013F9B">
        <w:rPr>
          <w:noProof/>
          <w:lang w:val="sq-AL"/>
        </w:rPr>
        <w:t>95</w:t>
      </w:r>
      <w:r w:rsidRPr="00E0575D">
        <w:rPr>
          <w:lang w:val="sq-AL"/>
        </w:rPr>
        <w:fldChar w:fldCharType="end"/>
      </w:r>
      <w:r w:rsidRPr="00E0575D">
        <w:rPr>
          <w:lang w:val="sq-AL"/>
        </w:rPr>
        <w:t>.  </w:t>
      </w:r>
      <w:r w:rsidRPr="00E0575D" w:rsidR="002C5AEB">
        <w:rPr>
          <w:lang w:val="sq-AL"/>
        </w:rPr>
        <w:t>Në baz</w:t>
      </w:r>
      <w:r w:rsidRPr="00E0575D" w:rsidR="00422890">
        <w:rPr>
          <w:lang w:val="sq-AL"/>
        </w:rPr>
        <w:t>ë</w:t>
      </w:r>
      <w:r w:rsidRPr="00E0575D" w:rsidR="002C5AEB">
        <w:rPr>
          <w:lang w:val="sq-AL"/>
        </w:rPr>
        <w:t xml:space="preserve"> t</w:t>
      </w:r>
      <w:r w:rsidRPr="00E0575D" w:rsidR="00422890">
        <w:rPr>
          <w:lang w:val="sq-AL"/>
        </w:rPr>
        <w:t>ë</w:t>
      </w:r>
      <w:r w:rsidRPr="00E0575D" w:rsidR="002C5AEB">
        <w:rPr>
          <w:lang w:val="sq-AL"/>
        </w:rPr>
        <w:t xml:space="preserve"> nenit </w:t>
      </w:r>
      <w:r w:rsidRPr="00E0575D">
        <w:rPr>
          <w:lang w:val="sq-AL"/>
        </w:rPr>
        <w:t xml:space="preserve">24 </w:t>
      </w:r>
      <w:r w:rsidRPr="00E0575D" w:rsidR="002C5AEB">
        <w:rPr>
          <w:lang w:val="sq-AL"/>
        </w:rPr>
        <w:t>të Paktit Ndërkomb</w:t>
      </w:r>
      <w:r w:rsidRPr="00E0575D" w:rsidR="00422890">
        <w:rPr>
          <w:lang w:val="sq-AL"/>
        </w:rPr>
        <w:t>ë</w:t>
      </w:r>
      <w:r w:rsidRPr="00E0575D" w:rsidR="002C5AEB">
        <w:rPr>
          <w:lang w:val="sq-AL"/>
        </w:rPr>
        <w:t xml:space="preserve">tar për të Drejtat Civile dhe Politike </w:t>
      </w:r>
      <w:r w:rsidRPr="00E0575D">
        <w:rPr>
          <w:lang w:val="sq-AL"/>
        </w:rPr>
        <w:t>(P</w:t>
      </w:r>
      <w:r w:rsidRPr="00E0575D" w:rsidR="002C5AEB">
        <w:rPr>
          <w:lang w:val="sq-AL"/>
        </w:rPr>
        <w:t>N</w:t>
      </w:r>
      <w:r w:rsidRPr="00E0575D">
        <w:rPr>
          <w:lang w:val="sq-AL"/>
        </w:rPr>
        <w:t xml:space="preserve">DCP), </w:t>
      </w:r>
      <w:r w:rsidRPr="00E0575D" w:rsidR="002C5AEB">
        <w:rPr>
          <w:lang w:val="sq-AL"/>
        </w:rPr>
        <w:t>“çdo fëmij</w:t>
      </w:r>
      <w:r w:rsidRPr="00E0575D" w:rsidR="00422890">
        <w:rPr>
          <w:lang w:val="sq-AL"/>
        </w:rPr>
        <w:t>ë</w:t>
      </w:r>
      <w:r w:rsidRPr="00E0575D" w:rsidR="002C5AEB">
        <w:rPr>
          <w:lang w:val="sq-AL"/>
        </w:rPr>
        <w:t xml:space="preserve">, pa kurrfarë diskriminimi </w:t>
      </w:r>
      <w:r w:rsidRPr="00E0575D">
        <w:rPr>
          <w:lang w:val="sq-AL"/>
        </w:rPr>
        <w:t xml:space="preserve">(...), </w:t>
      </w:r>
      <w:r w:rsidRPr="00E0575D" w:rsidR="002C5AEB">
        <w:rPr>
          <w:lang w:val="sq-AL"/>
        </w:rPr>
        <w:t>ka t</w:t>
      </w:r>
      <w:r w:rsidRPr="00E0575D" w:rsidR="00422890">
        <w:rPr>
          <w:lang w:val="sq-AL"/>
        </w:rPr>
        <w:t>ë</w:t>
      </w:r>
      <w:r w:rsidRPr="00E0575D" w:rsidR="002C5AEB">
        <w:rPr>
          <w:lang w:val="sq-AL"/>
        </w:rPr>
        <w:t xml:space="preserve"> drejtë</w:t>
      </w:r>
      <w:r w:rsidRPr="00E0575D">
        <w:rPr>
          <w:lang w:val="sq-AL"/>
        </w:rPr>
        <w:t xml:space="preserve">, </w:t>
      </w:r>
      <w:r w:rsidRPr="00E0575D" w:rsidR="002C5AEB">
        <w:rPr>
          <w:lang w:val="sq-AL"/>
        </w:rPr>
        <w:t>nga ana e familjes s</w:t>
      </w:r>
      <w:r w:rsidRPr="00E0575D" w:rsidR="00422890">
        <w:rPr>
          <w:lang w:val="sq-AL"/>
        </w:rPr>
        <w:t>ë</w:t>
      </w:r>
      <w:r w:rsidRPr="00E0575D" w:rsidR="002C5AEB">
        <w:rPr>
          <w:lang w:val="sq-AL"/>
        </w:rPr>
        <w:t xml:space="preserve"> tij, e shoq</w:t>
      </w:r>
      <w:r w:rsidRPr="00E0575D" w:rsidR="00422890">
        <w:rPr>
          <w:lang w:val="sq-AL"/>
        </w:rPr>
        <w:t>ë</w:t>
      </w:r>
      <w:r w:rsidRPr="00E0575D" w:rsidR="002C5AEB">
        <w:rPr>
          <w:lang w:val="sq-AL"/>
        </w:rPr>
        <w:t>ris</w:t>
      </w:r>
      <w:r w:rsidRPr="00E0575D" w:rsidR="00422890">
        <w:rPr>
          <w:lang w:val="sq-AL"/>
        </w:rPr>
        <w:t>ë</w:t>
      </w:r>
      <w:r w:rsidRPr="00E0575D" w:rsidR="002C5AEB">
        <w:rPr>
          <w:lang w:val="sq-AL"/>
        </w:rPr>
        <w:t xml:space="preserve"> dhe e shtetit, për masat mbrojtëse q</w:t>
      </w:r>
      <w:r w:rsidRPr="00E0575D" w:rsidR="00422890">
        <w:rPr>
          <w:lang w:val="sq-AL"/>
        </w:rPr>
        <w:t>ë</w:t>
      </w:r>
      <w:r w:rsidRPr="00E0575D" w:rsidR="002C5AEB">
        <w:rPr>
          <w:lang w:val="sq-AL"/>
        </w:rPr>
        <w:t xml:space="preserve"> kërkon gjendja e tij prej të mituri”. Neni 2 i Paktit Nd</w:t>
      </w:r>
      <w:r w:rsidRPr="00E0575D" w:rsidR="00422890">
        <w:rPr>
          <w:lang w:val="sq-AL"/>
        </w:rPr>
        <w:t>ë</w:t>
      </w:r>
      <w:r w:rsidRPr="00E0575D" w:rsidR="002C5AEB">
        <w:rPr>
          <w:lang w:val="sq-AL"/>
        </w:rPr>
        <w:t>rkomb</w:t>
      </w:r>
      <w:r w:rsidRPr="00E0575D" w:rsidR="00422890">
        <w:rPr>
          <w:lang w:val="sq-AL"/>
        </w:rPr>
        <w:t>ë</w:t>
      </w:r>
      <w:r w:rsidRPr="00E0575D" w:rsidR="002C5AEB">
        <w:rPr>
          <w:lang w:val="sq-AL"/>
        </w:rPr>
        <w:t>tar për të Drejtat Ekonomike</w:t>
      </w:r>
      <w:r w:rsidRPr="00E0575D" w:rsidR="00422890">
        <w:rPr>
          <w:lang w:val="sq-AL"/>
        </w:rPr>
        <w:t xml:space="preserve">, Shoqërore dhe Kulturore </w:t>
      </w:r>
      <w:r w:rsidRPr="00E0575D">
        <w:rPr>
          <w:lang w:val="sq-AL"/>
        </w:rPr>
        <w:t>(P</w:t>
      </w:r>
      <w:r w:rsidRPr="00E0575D" w:rsidR="00422890">
        <w:rPr>
          <w:lang w:val="sq-AL"/>
        </w:rPr>
        <w:t>N</w:t>
      </w:r>
      <w:r w:rsidRPr="00E0575D">
        <w:rPr>
          <w:lang w:val="sq-AL"/>
        </w:rPr>
        <w:t>DES</w:t>
      </w:r>
      <w:r w:rsidRPr="00E0575D" w:rsidR="00422890">
        <w:rPr>
          <w:lang w:val="sq-AL"/>
        </w:rPr>
        <w:t>hK</w:t>
      </w:r>
      <w:r w:rsidRPr="00E0575D">
        <w:rPr>
          <w:lang w:val="sq-AL"/>
        </w:rPr>
        <w:t xml:space="preserve">) </w:t>
      </w:r>
      <w:r w:rsidRPr="00E0575D" w:rsidR="00422890">
        <w:rPr>
          <w:lang w:val="sq-AL"/>
        </w:rPr>
        <w:t xml:space="preserve">i detyron shtetet që të veprojnë, edhe përmes miratimit të masave legjislative, me qëllim që të sigurojnë në mënyrë progresive ushtrimin e plotë të të drejtave të njohura në Pakt. Neni </w:t>
      </w:r>
      <w:r w:rsidRPr="00E0575D">
        <w:rPr>
          <w:lang w:val="sq-AL"/>
        </w:rPr>
        <w:t xml:space="preserve">10 </w:t>
      </w:r>
      <w:r w:rsidRPr="00E0575D" w:rsidR="00422890">
        <w:rPr>
          <w:lang w:val="sq-AL"/>
        </w:rPr>
        <w:t>i këtij pakti përcakton se duhet të merren masa të posaçme mbrojtjeje dhe ndihme në favor të të gjithë fëmijëve dhe adoleshentëve. Neni</w:t>
      </w:r>
      <w:r w:rsidRPr="00E0575D">
        <w:rPr>
          <w:lang w:val="sq-AL"/>
        </w:rPr>
        <w:t xml:space="preserve"> 12 </w:t>
      </w:r>
      <w:r w:rsidRPr="00E0575D" w:rsidR="00422890">
        <w:rPr>
          <w:lang w:val="sq-AL"/>
        </w:rPr>
        <w:t>parashikon për çdo person të drejtën “për t</w:t>
      </w:r>
      <w:r w:rsidRPr="00E0575D" w:rsidR="00E0575D">
        <w:rPr>
          <w:lang w:val="sq-AL"/>
        </w:rPr>
        <w:t>ë</w:t>
      </w:r>
      <w:r w:rsidRPr="00E0575D" w:rsidR="00422890">
        <w:rPr>
          <w:lang w:val="sq-AL"/>
        </w:rPr>
        <w:t xml:space="preserve"> g</w:t>
      </w:r>
      <w:r w:rsidRPr="00E0575D" w:rsidR="00E0575D">
        <w:rPr>
          <w:lang w:val="sq-AL"/>
        </w:rPr>
        <w:t>ë</w:t>
      </w:r>
      <w:r w:rsidRPr="00E0575D" w:rsidR="00422890">
        <w:rPr>
          <w:lang w:val="sq-AL"/>
        </w:rPr>
        <w:t xml:space="preserve">zuar </w:t>
      </w:r>
      <w:r w:rsidRPr="00E0575D" w:rsidR="00FA3D55">
        <w:rPr>
          <w:lang w:val="sq-AL"/>
        </w:rPr>
        <w:t xml:space="preserve">një </w:t>
      </w:r>
      <w:r w:rsidRPr="00E0575D" w:rsidR="00422890">
        <w:rPr>
          <w:lang w:val="sq-AL"/>
        </w:rPr>
        <w:t>gjendje</w:t>
      </w:r>
      <w:r w:rsidRPr="00E0575D" w:rsidR="00FA3D55">
        <w:rPr>
          <w:lang w:val="sq-AL"/>
        </w:rPr>
        <w:t xml:space="preserve"> shëndeti</w:t>
      </w:r>
      <w:r w:rsidRPr="00E0575D" w:rsidR="00422890">
        <w:rPr>
          <w:lang w:val="sq-AL"/>
        </w:rPr>
        <w:t xml:space="preserve"> fizik e mendor </w:t>
      </w:r>
      <w:r w:rsidRPr="00E0575D" w:rsidR="00FA3D55">
        <w:rPr>
          <w:lang w:val="sq-AL"/>
        </w:rPr>
        <w:t>sa më t</w:t>
      </w:r>
      <w:r w:rsidRPr="00E0575D" w:rsidR="00E0575D">
        <w:rPr>
          <w:lang w:val="sq-AL"/>
        </w:rPr>
        <w:t>ë</w:t>
      </w:r>
      <w:r w:rsidRPr="00E0575D" w:rsidR="00FA3D55">
        <w:rPr>
          <w:lang w:val="sq-AL"/>
        </w:rPr>
        <w:t xml:space="preserve"> mirë q</w:t>
      </w:r>
      <w:r w:rsidRPr="00E0575D" w:rsidR="00E0575D">
        <w:rPr>
          <w:lang w:val="sq-AL"/>
        </w:rPr>
        <w:t>ë</w:t>
      </w:r>
      <w:r w:rsidRPr="00E0575D" w:rsidR="00FA3D55">
        <w:rPr>
          <w:lang w:val="sq-AL"/>
        </w:rPr>
        <w:t xml:space="preserve"> ai </w:t>
      </w:r>
      <w:r w:rsidRPr="00E0575D" w:rsidR="00E0575D">
        <w:rPr>
          <w:lang w:val="sq-AL"/>
        </w:rPr>
        <w:t>ë</w:t>
      </w:r>
      <w:r w:rsidRPr="00E0575D" w:rsidR="00FA3D55">
        <w:rPr>
          <w:lang w:val="sq-AL"/>
        </w:rPr>
        <w:t>sht</w:t>
      </w:r>
      <w:r w:rsidRPr="00E0575D" w:rsidR="00E0575D">
        <w:rPr>
          <w:lang w:val="sq-AL"/>
        </w:rPr>
        <w:t>ë</w:t>
      </w:r>
      <w:r w:rsidRPr="00E0575D" w:rsidR="00FA3D55">
        <w:rPr>
          <w:lang w:val="sq-AL"/>
        </w:rPr>
        <w:t xml:space="preserve"> i aft</w:t>
      </w:r>
      <w:r w:rsidRPr="00E0575D" w:rsidR="00E0575D">
        <w:rPr>
          <w:lang w:val="sq-AL"/>
        </w:rPr>
        <w:t>ë</w:t>
      </w:r>
      <w:r w:rsidRPr="00E0575D" w:rsidR="00FA3D55">
        <w:rPr>
          <w:lang w:val="sq-AL"/>
        </w:rPr>
        <w:t xml:space="preserve"> t</w:t>
      </w:r>
      <w:r w:rsidRPr="00E0575D" w:rsidR="00E0575D">
        <w:rPr>
          <w:lang w:val="sq-AL"/>
        </w:rPr>
        <w:t>ë</w:t>
      </w:r>
      <w:r w:rsidRPr="00E0575D" w:rsidR="00FA3D55">
        <w:rPr>
          <w:lang w:val="sq-AL"/>
        </w:rPr>
        <w:t xml:space="preserve"> mbërrijë” dhe p</w:t>
      </w:r>
      <w:r w:rsidRPr="00E0575D" w:rsidR="00E0575D">
        <w:rPr>
          <w:lang w:val="sq-AL"/>
        </w:rPr>
        <w:t>ë</w:t>
      </w:r>
      <w:r w:rsidRPr="00E0575D" w:rsidR="00FA3D55">
        <w:rPr>
          <w:lang w:val="sq-AL"/>
        </w:rPr>
        <w:t>rfshin nj</w:t>
      </w:r>
      <w:r w:rsidRPr="00E0575D" w:rsidR="00E0575D">
        <w:rPr>
          <w:lang w:val="sq-AL"/>
        </w:rPr>
        <w:t>ë</w:t>
      </w:r>
      <w:r w:rsidRPr="00E0575D" w:rsidR="00FA3D55">
        <w:rPr>
          <w:lang w:val="sq-AL"/>
        </w:rPr>
        <w:t xml:space="preserve"> dispozit</w:t>
      </w:r>
      <w:r w:rsidRPr="00E0575D" w:rsidR="00E0575D">
        <w:rPr>
          <w:lang w:val="sq-AL"/>
        </w:rPr>
        <w:t>ë</w:t>
      </w:r>
      <w:r w:rsidRPr="00E0575D" w:rsidR="00FA3D55">
        <w:rPr>
          <w:lang w:val="sq-AL"/>
        </w:rPr>
        <w:t xml:space="preserve"> t</w:t>
      </w:r>
      <w:r w:rsidRPr="00E0575D" w:rsidR="00E0575D">
        <w:rPr>
          <w:lang w:val="sq-AL"/>
        </w:rPr>
        <w:t>ë</w:t>
      </w:r>
      <w:r w:rsidRPr="00E0575D" w:rsidR="00FA3D55">
        <w:rPr>
          <w:lang w:val="sq-AL"/>
        </w:rPr>
        <w:t xml:space="preserve"> posaçme e cila i detyron shtetet q</w:t>
      </w:r>
      <w:r w:rsidRPr="00E0575D" w:rsidR="00E0575D">
        <w:rPr>
          <w:lang w:val="sq-AL"/>
        </w:rPr>
        <w:t>ë</w:t>
      </w:r>
      <w:r w:rsidRPr="00E0575D" w:rsidR="00FA3D55">
        <w:rPr>
          <w:lang w:val="sq-AL"/>
        </w:rPr>
        <w:t xml:space="preserve"> t</w:t>
      </w:r>
      <w:r w:rsidRPr="00E0575D" w:rsidR="00E0575D">
        <w:rPr>
          <w:lang w:val="sq-AL"/>
        </w:rPr>
        <w:t>ë</w:t>
      </w:r>
      <w:r w:rsidRPr="00E0575D" w:rsidR="00FA3D55">
        <w:rPr>
          <w:lang w:val="sq-AL"/>
        </w:rPr>
        <w:t xml:space="preserve"> marrin masat e nevojshme p</w:t>
      </w:r>
      <w:r w:rsidRPr="00E0575D" w:rsidR="00E0575D">
        <w:rPr>
          <w:lang w:val="sq-AL"/>
        </w:rPr>
        <w:t>ë</w:t>
      </w:r>
      <w:r w:rsidRPr="00E0575D" w:rsidR="00FA3D55">
        <w:rPr>
          <w:lang w:val="sq-AL"/>
        </w:rPr>
        <w:t>r t</w:t>
      </w:r>
      <w:r w:rsidRPr="00E0575D" w:rsidR="00E0575D">
        <w:rPr>
          <w:lang w:val="sq-AL"/>
        </w:rPr>
        <w:t>ë</w:t>
      </w:r>
      <w:r w:rsidRPr="00E0575D" w:rsidR="00FA3D55">
        <w:rPr>
          <w:lang w:val="sq-AL"/>
        </w:rPr>
        <w:t xml:space="preserve"> siguruar zhvillimin e sh</w:t>
      </w:r>
      <w:r w:rsidRPr="00E0575D" w:rsidR="00E0575D">
        <w:rPr>
          <w:lang w:val="sq-AL"/>
        </w:rPr>
        <w:t>ë</w:t>
      </w:r>
      <w:r w:rsidRPr="00E0575D" w:rsidR="00FA3D55">
        <w:rPr>
          <w:lang w:val="sq-AL"/>
        </w:rPr>
        <w:t>ndetsh</w:t>
      </w:r>
      <w:r w:rsidRPr="00E0575D" w:rsidR="00E0575D">
        <w:rPr>
          <w:lang w:val="sq-AL"/>
        </w:rPr>
        <w:t>ë</w:t>
      </w:r>
      <w:r w:rsidRPr="00E0575D" w:rsidR="00FA3D55">
        <w:rPr>
          <w:lang w:val="sq-AL"/>
        </w:rPr>
        <w:t>m t</w:t>
      </w:r>
      <w:r w:rsidRPr="00E0575D" w:rsidR="00E0575D">
        <w:rPr>
          <w:lang w:val="sq-AL"/>
        </w:rPr>
        <w:t>ë</w:t>
      </w:r>
      <w:r w:rsidRPr="00E0575D" w:rsidR="00FA3D55">
        <w:rPr>
          <w:lang w:val="sq-AL"/>
        </w:rPr>
        <w:t xml:space="preserve"> f</w:t>
      </w:r>
      <w:r w:rsidRPr="00E0575D" w:rsidR="00E0575D">
        <w:rPr>
          <w:lang w:val="sq-AL"/>
        </w:rPr>
        <w:t>ë</w:t>
      </w:r>
      <w:r w:rsidRPr="00E0575D" w:rsidR="00FA3D55">
        <w:rPr>
          <w:lang w:val="sq-AL"/>
        </w:rPr>
        <w:t>mij</w:t>
      </w:r>
      <w:r w:rsidRPr="00E0575D" w:rsidR="00E0575D">
        <w:rPr>
          <w:lang w:val="sq-AL"/>
        </w:rPr>
        <w:t>ë</w:t>
      </w:r>
      <w:r w:rsidRPr="00E0575D" w:rsidR="00FA3D55">
        <w:rPr>
          <w:lang w:val="sq-AL"/>
        </w:rPr>
        <w:t>s. Të dyja paktet jan</w:t>
      </w:r>
      <w:r w:rsidRPr="00E0575D" w:rsidR="00E0575D">
        <w:rPr>
          <w:lang w:val="sq-AL"/>
        </w:rPr>
        <w:t>ë</w:t>
      </w:r>
      <w:r w:rsidRPr="00E0575D" w:rsidR="00FA3D55">
        <w:rPr>
          <w:lang w:val="sq-AL"/>
        </w:rPr>
        <w:t xml:space="preserve"> çelur p</w:t>
      </w:r>
      <w:r w:rsidRPr="00E0575D" w:rsidR="00E0575D">
        <w:rPr>
          <w:lang w:val="sq-AL"/>
        </w:rPr>
        <w:t>ë</w:t>
      </w:r>
      <w:r w:rsidRPr="00E0575D" w:rsidR="00FA3D55">
        <w:rPr>
          <w:lang w:val="sq-AL"/>
        </w:rPr>
        <w:t>r nënshkrim nga ana e shteteve m</w:t>
      </w:r>
      <w:r w:rsidRPr="00E0575D" w:rsidR="00E0575D">
        <w:rPr>
          <w:lang w:val="sq-AL"/>
        </w:rPr>
        <w:t>ë</w:t>
      </w:r>
      <w:r w:rsidRPr="00E0575D" w:rsidR="00FA3D55">
        <w:rPr>
          <w:lang w:val="sq-AL"/>
        </w:rPr>
        <w:t xml:space="preserve"> 1966</w:t>
      </w:r>
      <w:r w:rsidRPr="00E0575D">
        <w:rPr>
          <w:lang w:val="sq-AL"/>
        </w:rPr>
        <w:t xml:space="preserve">; </w:t>
      </w:r>
      <w:r w:rsidRPr="00E0575D" w:rsidR="00FA3D55">
        <w:rPr>
          <w:lang w:val="sq-AL"/>
        </w:rPr>
        <w:t>ato jan</w:t>
      </w:r>
      <w:r w:rsidRPr="00E0575D" w:rsidR="00E0575D">
        <w:rPr>
          <w:lang w:val="sq-AL"/>
        </w:rPr>
        <w:t>ë</w:t>
      </w:r>
      <w:r w:rsidRPr="00E0575D" w:rsidR="00FA3D55">
        <w:rPr>
          <w:lang w:val="sq-AL"/>
        </w:rPr>
        <w:t xml:space="preserve"> n</w:t>
      </w:r>
      <w:r w:rsidRPr="00E0575D" w:rsidR="00E0575D">
        <w:rPr>
          <w:lang w:val="sq-AL"/>
        </w:rPr>
        <w:t>ë</w:t>
      </w:r>
      <w:r w:rsidRPr="00E0575D" w:rsidR="00FA3D55">
        <w:rPr>
          <w:lang w:val="sq-AL"/>
        </w:rPr>
        <w:t>nshkruar nga Irlanda p</w:t>
      </w:r>
      <w:r w:rsidRPr="00E0575D" w:rsidR="00E0575D">
        <w:rPr>
          <w:lang w:val="sq-AL"/>
        </w:rPr>
        <w:t>ë</w:t>
      </w:r>
      <w:r w:rsidRPr="00E0575D" w:rsidR="00FA3D55">
        <w:rPr>
          <w:lang w:val="sq-AL"/>
        </w:rPr>
        <w:t>rkat</w:t>
      </w:r>
      <w:r w:rsidRPr="00E0575D" w:rsidR="00E0575D">
        <w:rPr>
          <w:lang w:val="sq-AL"/>
        </w:rPr>
        <w:t>ë</w:t>
      </w:r>
      <w:r w:rsidRPr="00E0575D" w:rsidR="00FA3D55">
        <w:rPr>
          <w:lang w:val="sq-AL"/>
        </w:rPr>
        <w:t>sisht m</w:t>
      </w:r>
      <w:r w:rsidRPr="00E0575D" w:rsidR="00E0575D">
        <w:rPr>
          <w:lang w:val="sq-AL"/>
        </w:rPr>
        <w:t>ë</w:t>
      </w:r>
      <w:r w:rsidRPr="00E0575D" w:rsidR="00FA3D55">
        <w:rPr>
          <w:lang w:val="sq-AL"/>
        </w:rPr>
        <w:t xml:space="preserve"> </w:t>
      </w:r>
      <w:r w:rsidRPr="00E0575D">
        <w:rPr>
          <w:lang w:val="sq-AL"/>
        </w:rPr>
        <w:t xml:space="preserve">1973 </w:t>
      </w:r>
      <w:r w:rsidRPr="00E0575D" w:rsidR="00FA3D55">
        <w:rPr>
          <w:lang w:val="sq-AL"/>
        </w:rPr>
        <w:t>dhe m</w:t>
      </w:r>
      <w:r w:rsidRPr="00E0575D" w:rsidR="00E0575D">
        <w:rPr>
          <w:lang w:val="sq-AL"/>
        </w:rPr>
        <w:t>ë</w:t>
      </w:r>
      <w:r w:rsidRPr="00E0575D" w:rsidR="00FA3D55">
        <w:rPr>
          <w:lang w:val="sq-AL"/>
        </w:rPr>
        <w:t xml:space="preserve"> </w:t>
      </w:r>
      <w:r w:rsidRPr="00E0575D">
        <w:rPr>
          <w:lang w:val="sq-AL"/>
        </w:rPr>
        <w:t>1989.</w:t>
      </w:r>
    </w:p>
    <w:p w:rsidRPr="00E0575D" w:rsidR="00EB737A" w:rsidP="00EB737A" w:rsidRDefault="00EB737A">
      <w:pPr>
        <w:pStyle w:val="ECHRPara"/>
        <w:rPr>
          <w:lang w:val="sq-AL"/>
        </w:rPr>
      </w:pPr>
      <w:r w:rsidRPr="00E0575D">
        <w:rPr>
          <w:lang w:val="sq-AL"/>
        </w:rPr>
        <w:fldChar w:fldCharType="begin"/>
      </w:r>
      <w:r w:rsidRPr="00E0575D">
        <w:rPr>
          <w:lang w:val="sq-AL"/>
        </w:rPr>
        <w:instrText xml:space="preserve"> SEQ level0 \*arabic </w:instrText>
      </w:r>
      <w:r w:rsidRPr="00E0575D">
        <w:rPr>
          <w:lang w:val="sq-AL"/>
        </w:rPr>
        <w:fldChar w:fldCharType="separate"/>
      </w:r>
      <w:r w:rsidR="00013F9B">
        <w:rPr>
          <w:noProof/>
          <w:lang w:val="sq-AL"/>
        </w:rPr>
        <w:t>96</w:t>
      </w:r>
      <w:r w:rsidRPr="00E0575D">
        <w:rPr>
          <w:lang w:val="sq-AL"/>
        </w:rPr>
        <w:fldChar w:fldCharType="end"/>
      </w:r>
      <w:r w:rsidRPr="00E0575D">
        <w:rPr>
          <w:lang w:val="sq-AL"/>
        </w:rPr>
        <w:t>.  </w:t>
      </w:r>
      <w:r w:rsidRPr="00E0575D" w:rsidR="00FA3D55">
        <w:rPr>
          <w:lang w:val="sq-AL"/>
        </w:rPr>
        <w:t>Hyrja e Konventës Nd</w:t>
      </w:r>
      <w:r w:rsidRPr="00E0575D" w:rsidR="00E0575D">
        <w:rPr>
          <w:lang w:val="sq-AL"/>
        </w:rPr>
        <w:t>ë</w:t>
      </w:r>
      <w:r w:rsidRPr="00E0575D" w:rsidR="00FA3D55">
        <w:rPr>
          <w:lang w:val="sq-AL"/>
        </w:rPr>
        <w:t>rkomb</w:t>
      </w:r>
      <w:r w:rsidRPr="00E0575D" w:rsidR="00E0575D">
        <w:rPr>
          <w:lang w:val="sq-AL"/>
        </w:rPr>
        <w:t>ë</w:t>
      </w:r>
      <w:r w:rsidRPr="00E0575D" w:rsidR="00FA3D55">
        <w:rPr>
          <w:lang w:val="sq-AL"/>
        </w:rPr>
        <w:t>tare t</w:t>
      </w:r>
      <w:r w:rsidRPr="00E0575D" w:rsidR="00E0575D">
        <w:rPr>
          <w:lang w:val="sq-AL"/>
        </w:rPr>
        <w:t>ë</w:t>
      </w:r>
      <w:r w:rsidRPr="00E0575D" w:rsidR="00FA3D55">
        <w:rPr>
          <w:lang w:val="sq-AL"/>
        </w:rPr>
        <w:t xml:space="preserve"> vitit </w:t>
      </w:r>
      <w:r w:rsidRPr="00E0575D">
        <w:rPr>
          <w:lang w:val="sq-AL"/>
        </w:rPr>
        <w:t xml:space="preserve">1989 </w:t>
      </w:r>
      <w:r w:rsidRPr="00E0575D" w:rsidR="00FA3D55">
        <w:rPr>
          <w:lang w:val="sq-AL"/>
        </w:rPr>
        <w:t>për t</w:t>
      </w:r>
      <w:r w:rsidRPr="00E0575D" w:rsidR="00E0575D">
        <w:rPr>
          <w:lang w:val="sq-AL"/>
        </w:rPr>
        <w:t>ë</w:t>
      </w:r>
      <w:r w:rsidRPr="00E0575D" w:rsidR="00FA3D55">
        <w:rPr>
          <w:lang w:val="sq-AL"/>
        </w:rPr>
        <w:t xml:space="preserve"> Drejtat e Fëmij</w:t>
      </w:r>
      <w:r w:rsidRPr="00E0575D" w:rsidR="00E0575D">
        <w:rPr>
          <w:lang w:val="sq-AL"/>
        </w:rPr>
        <w:t>ë</w:t>
      </w:r>
      <w:r w:rsidRPr="00E0575D" w:rsidR="00FA3D55">
        <w:rPr>
          <w:lang w:val="sq-AL"/>
        </w:rPr>
        <w:t>s u referohet veçan</w:t>
      </w:r>
      <w:r w:rsidRPr="00E0575D" w:rsidR="00E0575D">
        <w:rPr>
          <w:lang w:val="sq-AL"/>
        </w:rPr>
        <w:t>ë</w:t>
      </w:r>
      <w:r w:rsidRPr="00E0575D" w:rsidR="00FA3D55">
        <w:rPr>
          <w:lang w:val="sq-AL"/>
        </w:rPr>
        <w:t>risht dispozitave t</w:t>
      </w:r>
      <w:r w:rsidRPr="00E0575D" w:rsidR="00E0575D">
        <w:rPr>
          <w:lang w:val="sq-AL"/>
        </w:rPr>
        <w:t>ë</w:t>
      </w:r>
      <w:r w:rsidRPr="00E0575D" w:rsidR="00FA3D55">
        <w:rPr>
          <w:lang w:val="sq-AL"/>
        </w:rPr>
        <w:t xml:space="preserve"> ndryshme n</w:t>
      </w:r>
      <w:r w:rsidRPr="00E0575D" w:rsidR="00E0575D">
        <w:rPr>
          <w:lang w:val="sq-AL"/>
        </w:rPr>
        <w:t>ë</w:t>
      </w:r>
      <w:r w:rsidRPr="00E0575D" w:rsidR="00FA3D55">
        <w:rPr>
          <w:lang w:val="sq-AL"/>
        </w:rPr>
        <w:t xml:space="preserve"> fush</w:t>
      </w:r>
      <w:r w:rsidRPr="00E0575D" w:rsidR="00E0575D">
        <w:rPr>
          <w:lang w:val="sq-AL"/>
        </w:rPr>
        <w:t>ë</w:t>
      </w:r>
      <w:r w:rsidRPr="00E0575D" w:rsidR="00FA3D55">
        <w:rPr>
          <w:lang w:val="sq-AL"/>
        </w:rPr>
        <w:t>n e mbro</w:t>
      </w:r>
      <w:r w:rsidR="00E0575D">
        <w:rPr>
          <w:lang w:val="sq-AL"/>
        </w:rPr>
        <w:t>j</w:t>
      </w:r>
      <w:r w:rsidRPr="00E0575D" w:rsidR="00FA3D55">
        <w:rPr>
          <w:lang w:val="sq-AL"/>
        </w:rPr>
        <w:t>tjes s</w:t>
      </w:r>
      <w:r w:rsidRPr="00E0575D" w:rsidR="00E0575D">
        <w:rPr>
          <w:lang w:val="sq-AL"/>
        </w:rPr>
        <w:t>ë</w:t>
      </w:r>
      <w:r w:rsidRPr="00E0575D" w:rsidR="00FA3D55">
        <w:rPr>
          <w:lang w:val="sq-AL"/>
        </w:rPr>
        <w:t xml:space="preserve"> f</w:t>
      </w:r>
      <w:r w:rsidRPr="00E0575D" w:rsidR="00E0575D">
        <w:rPr>
          <w:lang w:val="sq-AL"/>
        </w:rPr>
        <w:t>ë</w:t>
      </w:r>
      <w:r w:rsidRPr="00E0575D" w:rsidR="00FA3D55">
        <w:rPr>
          <w:lang w:val="sq-AL"/>
        </w:rPr>
        <w:t>mij</w:t>
      </w:r>
      <w:r w:rsidRPr="00E0575D" w:rsidR="00E0575D">
        <w:rPr>
          <w:lang w:val="sq-AL"/>
        </w:rPr>
        <w:t>ë</w:t>
      </w:r>
      <w:r w:rsidRPr="00E0575D" w:rsidR="00FA3D55">
        <w:rPr>
          <w:lang w:val="sq-AL"/>
        </w:rPr>
        <w:t>ve t</w:t>
      </w:r>
      <w:r w:rsidRPr="00E0575D" w:rsidR="00E0575D">
        <w:rPr>
          <w:lang w:val="sq-AL"/>
        </w:rPr>
        <w:t>ë</w:t>
      </w:r>
      <w:r w:rsidRPr="00E0575D" w:rsidR="00FA3D55">
        <w:rPr>
          <w:lang w:val="sq-AL"/>
        </w:rPr>
        <w:t xml:space="preserve"> cilat figurojn</w:t>
      </w:r>
      <w:r w:rsidRPr="00E0575D" w:rsidR="00E0575D">
        <w:rPr>
          <w:lang w:val="sq-AL"/>
        </w:rPr>
        <w:t>ë</w:t>
      </w:r>
      <w:r w:rsidRPr="00E0575D" w:rsidR="00FA3D55">
        <w:rPr>
          <w:lang w:val="sq-AL"/>
        </w:rPr>
        <w:t xml:space="preserve"> n</w:t>
      </w:r>
      <w:r w:rsidRPr="00E0575D" w:rsidR="00E0575D">
        <w:rPr>
          <w:lang w:val="sq-AL"/>
        </w:rPr>
        <w:t>ë</w:t>
      </w:r>
      <w:r w:rsidRPr="00E0575D" w:rsidR="00FA3D55">
        <w:rPr>
          <w:lang w:val="sq-AL"/>
        </w:rPr>
        <w:t xml:space="preserve"> deklaratat </w:t>
      </w:r>
      <w:r w:rsidRPr="00E0575D" w:rsidR="00E0575D">
        <w:rPr>
          <w:lang w:val="sq-AL"/>
        </w:rPr>
        <w:t>e viteve 1924 e</w:t>
      </w:r>
      <w:r w:rsidRPr="00E0575D">
        <w:rPr>
          <w:lang w:val="sq-AL"/>
        </w:rPr>
        <w:t xml:space="preserve"> 1959, </w:t>
      </w:r>
      <w:r w:rsidRPr="00E0575D" w:rsidR="00E0575D">
        <w:rPr>
          <w:lang w:val="sq-AL"/>
        </w:rPr>
        <w:t xml:space="preserve">në </w:t>
      </w:r>
      <w:r w:rsidRPr="00E0575D">
        <w:rPr>
          <w:lang w:val="sq-AL"/>
        </w:rPr>
        <w:t>DUD</w:t>
      </w:r>
      <w:r w:rsidRPr="00E0575D" w:rsidR="00E0575D">
        <w:rPr>
          <w:lang w:val="sq-AL"/>
        </w:rPr>
        <w:t>Nj</w:t>
      </w:r>
      <w:r w:rsidRPr="00E0575D">
        <w:rPr>
          <w:lang w:val="sq-AL"/>
        </w:rPr>
        <w:t xml:space="preserve"> </w:t>
      </w:r>
      <w:r w:rsidRPr="00E0575D" w:rsidR="00E0575D">
        <w:rPr>
          <w:lang w:val="sq-AL"/>
        </w:rPr>
        <w:t>dhe në</w:t>
      </w:r>
      <w:r w:rsidRPr="00E0575D">
        <w:rPr>
          <w:lang w:val="sq-AL"/>
        </w:rPr>
        <w:t xml:space="preserve"> P</w:t>
      </w:r>
      <w:r w:rsidRPr="00E0575D" w:rsidR="00E0575D">
        <w:rPr>
          <w:lang w:val="sq-AL"/>
        </w:rPr>
        <w:t>N</w:t>
      </w:r>
      <w:r w:rsidRPr="00E0575D">
        <w:rPr>
          <w:lang w:val="sq-AL"/>
        </w:rPr>
        <w:t xml:space="preserve">DCP. </w:t>
      </w:r>
      <w:r w:rsidRPr="00E0575D" w:rsidR="00E0575D">
        <w:rPr>
          <w:lang w:val="sq-AL"/>
        </w:rPr>
        <w:t xml:space="preserve">Sipas nenit </w:t>
      </w:r>
      <w:r w:rsidRPr="00E0575D">
        <w:rPr>
          <w:lang w:val="sq-AL"/>
        </w:rPr>
        <w:t xml:space="preserve">19 </w:t>
      </w:r>
      <w:r w:rsidRPr="00E0575D" w:rsidR="00E0575D">
        <w:rPr>
          <w:lang w:val="sq-AL"/>
        </w:rPr>
        <w:t xml:space="preserve">të kësaj konvente, shtetet palë duhet ta mbrojnë fëmijën kundër çdolloj forme keqtrajtimi nga prindërit e tij ose nga cilido person tjetër të cilit ai i është besuar, si edhe të vendosin </w:t>
      </w:r>
      <w:r w:rsidR="00E0575D">
        <w:rPr>
          <w:lang w:val="sq-AL"/>
        </w:rPr>
        <w:t>program</w:t>
      </w:r>
      <w:r w:rsidRPr="00E0575D" w:rsidR="00E0575D">
        <w:rPr>
          <w:lang w:val="sq-AL"/>
        </w:rPr>
        <w:t>e shoqërore të përshtatshme për parandalimin e abuzimeve dhe trajtimin e viktimave.</w:t>
      </w:r>
    </w:p>
    <w:p w:rsidRPr="0009363E" w:rsidR="00EB737A" w:rsidP="00EB737A" w:rsidRDefault="00E0575D">
      <w:pPr>
        <w:pStyle w:val="ECHRTitle1"/>
        <w:rPr>
          <w:lang w:val="sq-AL"/>
        </w:rPr>
      </w:pPr>
      <w:r w:rsidRPr="0009363E">
        <w:rPr>
          <w:lang w:val="sq-AL"/>
        </w:rPr>
        <w:t>LIGJI</w:t>
      </w:r>
    </w:p>
    <w:p w:rsidRPr="007D7D65" w:rsidR="00EB737A" w:rsidP="00EB737A" w:rsidRDefault="00EB737A">
      <w:pPr>
        <w:pStyle w:val="ECHRPara"/>
        <w:rPr>
          <w:lang w:val="sq-AL"/>
        </w:rPr>
      </w:pPr>
      <w:r w:rsidRPr="007D7D65">
        <w:rPr>
          <w:lang w:val="sq-AL"/>
        </w:rPr>
        <w:fldChar w:fldCharType="begin"/>
      </w:r>
      <w:r w:rsidRPr="007D7D65">
        <w:rPr>
          <w:lang w:val="sq-AL"/>
        </w:rPr>
        <w:instrText xml:space="preserve"> SEQ level0 \*arabic </w:instrText>
      </w:r>
      <w:r w:rsidRPr="007D7D65">
        <w:rPr>
          <w:lang w:val="sq-AL"/>
        </w:rPr>
        <w:fldChar w:fldCharType="separate"/>
      </w:r>
      <w:r w:rsidR="00013F9B">
        <w:rPr>
          <w:noProof/>
          <w:lang w:val="sq-AL"/>
        </w:rPr>
        <w:t>97</w:t>
      </w:r>
      <w:r w:rsidRPr="007D7D65">
        <w:rPr>
          <w:lang w:val="sq-AL"/>
        </w:rPr>
        <w:fldChar w:fldCharType="end"/>
      </w:r>
      <w:r w:rsidRPr="007D7D65">
        <w:rPr>
          <w:lang w:val="sq-AL"/>
        </w:rPr>
        <w:t>.  </w:t>
      </w:r>
      <w:r w:rsidRPr="007D7D65" w:rsidR="00A624F9">
        <w:rPr>
          <w:lang w:val="sq-AL"/>
        </w:rPr>
        <w:t>Paditësja mbron mendimin se shteti nuk e ka mbrojtur nga abuzimet seksuale që ka pësuar prej nj</w:t>
      </w:r>
      <w:r w:rsidRPr="007D7D65" w:rsidR="00DF3F1E">
        <w:rPr>
          <w:lang w:val="sq-AL"/>
        </w:rPr>
        <w:t>ë</w:t>
      </w:r>
      <w:r w:rsidRPr="007D7D65" w:rsidR="00A624F9">
        <w:rPr>
          <w:lang w:val="sq-AL"/>
        </w:rPr>
        <w:t xml:space="preserve"> mësuesi brenda mureve t</w:t>
      </w:r>
      <w:r w:rsidRPr="007D7D65" w:rsidR="00DF3F1E">
        <w:rPr>
          <w:lang w:val="sq-AL"/>
        </w:rPr>
        <w:t>ë</w:t>
      </w:r>
      <w:r w:rsidRPr="007D7D65" w:rsidR="00A624F9">
        <w:rPr>
          <w:lang w:val="sq-AL"/>
        </w:rPr>
        <w:t xml:space="preserve"> shkoll</w:t>
      </w:r>
      <w:r w:rsidRPr="007D7D65" w:rsidR="00DF3F1E">
        <w:rPr>
          <w:lang w:val="sq-AL"/>
        </w:rPr>
        <w:t>ë</w:t>
      </w:r>
      <w:r w:rsidRPr="007D7D65" w:rsidR="00A624F9">
        <w:rPr>
          <w:lang w:val="sq-AL"/>
        </w:rPr>
        <w:t>s s</w:t>
      </w:r>
      <w:r w:rsidRPr="007D7D65" w:rsidR="00DF3F1E">
        <w:rPr>
          <w:lang w:val="sq-AL"/>
        </w:rPr>
        <w:t>ë</w:t>
      </w:r>
      <w:r w:rsidRPr="007D7D65" w:rsidR="00A624F9">
        <w:rPr>
          <w:lang w:val="sq-AL"/>
        </w:rPr>
        <w:t xml:space="preserve"> saj kombëtare dhe shton se nuk kishte pasur asnj</w:t>
      </w:r>
      <w:r w:rsidRPr="007D7D65" w:rsidR="00DF3F1E">
        <w:rPr>
          <w:lang w:val="sq-AL"/>
        </w:rPr>
        <w:t>ë</w:t>
      </w:r>
      <w:r w:rsidRPr="007D7D65" w:rsidR="00A624F9">
        <w:rPr>
          <w:lang w:val="sq-AL"/>
        </w:rPr>
        <w:t xml:space="preserve"> mund</w:t>
      </w:r>
      <w:r w:rsidRPr="007D7D65" w:rsidR="00DF3F1E">
        <w:rPr>
          <w:lang w:val="sq-AL"/>
        </w:rPr>
        <w:t>ë</w:t>
      </w:r>
      <w:r w:rsidRPr="007D7D65" w:rsidR="00A624F9">
        <w:rPr>
          <w:lang w:val="sq-AL"/>
        </w:rPr>
        <w:t>si ankimi efektiv kund</w:t>
      </w:r>
      <w:r w:rsidRPr="007D7D65" w:rsidR="00DF3F1E">
        <w:rPr>
          <w:lang w:val="sq-AL"/>
        </w:rPr>
        <w:t>ë</w:t>
      </w:r>
      <w:r w:rsidRPr="007D7D65" w:rsidR="00A624F9">
        <w:rPr>
          <w:lang w:val="sq-AL"/>
        </w:rPr>
        <w:t>r shtetit p</w:t>
      </w:r>
      <w:r w:rsidRPr="007D7D65" w:rsidR="00DF3F1E">
        <w:rPr>
          <w:lang w:val="sq-AL"/>
        </w:rPr>
        <w:t>ë</w:t>
      </w:r>
      <w:r w:rsidRPr="007D7D65" w:rsidR="00A624F9">
        <w:rPr>
          <w:lang w:val="sq-AL"/>
        </w:rPr>
        <w:t>r k</w:t>
      </w:r>
      <w:r w:rsidRPr="007D7D65" w:rsidR="00DF3F1E">
        <w:rPr>
          <w:lang w:val="sq-AL"/>
        </w:rPr>
        <w:t>ë</w:t>
      </w:r>
      <w:r w:rsidRPr="007D7D65" w:rsidR="00A624F9">
        <w:rPr>
          <w:lang w:val="sq-AL"/>
        </w:rPr>
        <w:t>t</w:t>
      </w:r>
      <w:r w:rsidRPr="007D7D65" w:rsidR="00DF3F1E">
        <w:rPr>
          <w:lang w:val="sq-AL"/>
        </w:rPr>
        <w:t>ë</w:t>
      </w:r>
      <w:r w:rsidRPr="007D7D65" w:rsidR="00A624F9">
        <w:rPr>
          <w:lang w:val="sq-AL"/>
        </w:rPr>
        <w:t xml:space="preserve"> q</w:t>
      </w:r>
      <w:r w:rsidRPr="007D7D65" w:rsidR="00DF3F1E">
        <w:rPr>
          <w:lang w:val="sq-AL"/>
        </w:rPr>
        <w:t>ë</w:t>
      </w:r>
      <w:r w:rsidRPr="007D7D65" w:rsidR="00A624F9">
        <w:rPr>
          <w:lang w:val="sq-AL"/>
        </w:rPr>
        <w:t xml:space="preserve">llim. Ajo i referohet nenit </w:t>
      </w:r>
      <w:r w:rsidRPr="007D7D65">
        <w:rPr>
          <w:lang w:val="sq-AL"/>
        </w:rPr>
        <w:t xml:space="preserve">3, </w:t>
      </w:r>
      <w:r w:rsidRPr="007D7D65" w:rsidR="00A624F9">
        <w:rPr>
          <w:lang w:val="sq-AL"/>
        </w:rPr>
        <w:t>t</w:t>
      </w:r>
      <w:r w:rsidRPr="007D7D65" w:rsidR="00DF3F1E">
        <w:rPr>
          <w:lang w:val="sq-AL"/>
        </w:rPr>
        <w:t>ë</w:t>
      </w:r>
      <w:r w:rsidRPr="007D7D65" w:rsidR="00A624F9">
        <w:rPr>
          <w:lang w:val="sq-AL"/>
        </w:rPr>
        <w:t xml:space="preserve"> marrë veçmas dhe i bashk</w:t>
      </w:r>
      <w:r w:rsidRPr="007D7D65" w:rsidR="00DF3F1E">
        <w:rPr>
          <w:lang w:val="sq-AL"/>
        </w:rPr>
        <w:t xml:space="preserve">uar me nenin </w:t>
      </w:r>
      <w:r w:rsidRPr="007D7D65">
        <w:rPr>
          <w:lang w:val="sq-AL"/>
        </w:rPr>
        <w:t xml:space="preserve">13, </w:t>
      </w:r>
      <w:r w:rsidRPr="007D7D65" w:rsidR="00DF3F1E">
        <w:rPr>
          <w:lang w:val="sq-AL"/>
        </w:rPr>
        <w:t xml:space="preserve">si edhe nenit </w:t>
      </w:r>
      <w:r w:rsidRPr="007D7D65">
        <w:rPr>
          <w:lang w:val="sq-AL"/>
        </w:rPr>
        <w:t>8 e</w:t>
      </w:r>
      <w:r w:rsidRPr="007D7D65" w:rsidR="00DF3F1E">
        <w:rPr>
          <w:lang w:val="sq-AL"/>
        </w:rPr>
        <w:t xml:space="preserve"> nenit </w:t>
      </w:r>
      <w:r w:rsidRPr="007D7D65">
        <w:rPr>
          <w:lang w:val="sq-AL"/>
        </w:rPr>
        <w:t xml:space="preserve">2 </w:t>
      </w:r>
      <w:r w:rsidRPr="007D7D65" w:rsidR="00DF3F1E">
        <w:rPr>
          <w:lang w:val="sq-AL"/>
        </w:rPr>
        <w:t>të</w:t>
      </w:r>
      <w:r w:rsidRPr="007D7D65">
        <w:rPr>
          <w:lang w:val="sq-AL"/>
        </w:rPr>
        <w:t xml:space="preserve"> Proto</w:t>
      </w:r>
      <w:r w:rsidRPr="007D7D65" w:rsidR="00DF3F1E">
        <w:rPr>
          <w:lang w:val="sq-AL"/>
        </w:rPr>
        <w:t>k</w:t>
      </w:r>
      <w:r w:rsidRPr="007D7D65">
        <w:rPr>
          <w:lang w:val="sq-AL"/>
        </w:rPr>
        <w:t>ol</w:t>
      </w:r>
      <w:r w:rsidRPr="007D7D65" w:rsidR="00DF3F1E">
        <w:rPr>
          <w:lang w:val="sq-AL"/>
        </w:rPr>
        <w:t>lit nr.</w:t>
      </w:r>
      <w:r w:rsidRPr="007D7D65">
        <w:rPr>
          <w:lang w:val="sq-AL"/>
        </w:rPr>
        <w:t xml:space="preserve"> 1, </w:t>
      </w:r>
      <w:r w:rsidRPr="007D7D65" w:rsidR="00DF3F1E">
        <w:rPr>
          <w:lang w:val="sq-AL"/>
        </w:rPr>
        <w:t xml:space="preserve">të marrë veç e veç dhe të bashkuar me nenin </w:t>
      </w:r>
      <w:r w:rsidRPr="007D7D65">
        <w:rPr>
          <w:lang w:val="sq-AL"/>
        </w:rPr>
        <w:t xml:space="preserve">14 </w:t>
      </w:r>
      <w:r w:rsidRPr="007D7D65" w:rsidR="00DF3F1E">
        <w:rPr>
          <w:lang w:val="sq-AL"/>
        </w:rPr>
        <w:t>të Konventës</w:t>
      </w:r>
      <w:r w:rsidRPr="007D7D65">
        <w:rPr>
          <w:lang w:val="sq-AL"/>
        </w:rPr>
        <w:t>.</w:t>
      </w:r>
    </w:p>
    <w:p w:rsidRPr="007D7D65" w:rsidR="00EB737A" w:rsidP="00EB737A" w:rsidRDefault="00EB737A">
      <w:pPr>
        <w:pStyle w:val="ECHRPara"/>
        <w:rPr>
          <w:lang w:val="sq-AL"/>
        </w:rPr>
      </w:pPr>
      <w:r w:rsidRPr="007D7D65">
        <w:rPr>
          <w:lang w:val="sq-AL"/>
        </w:rPr>
        <w:t>(...)</w:t>
      </w:r>
    </w:p>
    <w:p w:rsidRPr="007D7D65" w:rsidR="00EB737A" w:rsidP="00EB737A" w:rsidRDefault="00EB737A">
      <w:pPr>
        <w:pStyle w:val="ECHRHeading1"/>
        <w:rPr>
          <w:lang w:val="sq-AL"/>
        </w:rPr>
      </w:pPr>
      <w:r w:rsidRPr="007D7D65">
        <w:rPr>
          <w:lang w:val="sq-AL"/>
        </w:rPr>
        <w:t>II.  </w:t>
      </w:r>
      <w:r w:rsidRPr="007D7D65" w:rsidR="00DF3F1E">
        <w:rPr>
          <w:lang w:val="sq-AL"/>
        </w:rPr>
        <w:t xml:space="preserve">RRETH SHKELJES SË PRETENDUAR TË NENIT </w:t>
      </w:r>
      <w:r w:rsidRPr="007D7D65">
        <w:rPr>
          <w:lang w:val="sq-AL"/>
        </w:rPr>
        <w:t xml:space="preserve">3 </w:t>
      </w:r>
      <w:r w:rsidRPr="007D7D65" w:rsidR="00DF3F1E">
        <w:rPr>
          <w:lang w:val="sq-AL"/>
        </w:rPr>
        <w:t>TË KONVENTËS NË ANËN E TIJ MATERIALE</w:t>
      </w:r>
    </w:p>
    <w:p w:rsidRPr="007D7D65" w:rsidR="00EB737A" w:rsidP="00EB737A" w:rsidRDefault="00EB737A">
      <w:pPr>
        <w:pStyle w:val="ECHRPara"/>
        <w:rPr>
          <w:lang w:val="sq-AL"/>
        </w:rPr>
      </w:pPr>
      <w:r w:rsidRPr="007D7D65">
        <w:rPr>
          <w:lang w:val="sq-AL"/>
        </w:rPr>
        <w:fldChar w:fldCharType="begin"/>
      </w:r>
      <w:r w:rsidRPr="007D7D65">
        <w:rPr>
          <w:lang w:val="sq-AL"/>
        </w:rPr>
        <w:instrText xml:space="preserve"> SEQ level0 \*arabic \r122</w:instrText>
      </w:r>
      <w:r w:rsidRPr="007D7D65">
        <w:rPr>
          <w:lang w:val="sq-AL"/>
        </w:rPr>
        <w:fldChar w:fldCharType="separate"/>
      </w:r>
      <w:r w:rsidR="00013F9B">
        <w:rPr>
          <w:noProof/>
          <w:lang w:val="sq-AL"/>
        </w:rPr>
        <w:t>122</w:t>
      </w:r>
      <w:r w:rsidRPr="007D7D65">
        <w:rPr>
          <w:lang w:val="sq-AL"/>
        </w:rPr>
        <w:fldChar w:fldCharType="end"/>
      </w:r>
      <w:r w:rsidRPr="007D7D65">
        <w:rPr>
          <w:lang w:val="sq-AL"/>
        </w:rPr>
        <w:t>.  </w:t>
      </w:r>
      <w:r w:rsidRPr="007D7D65" w:rsidR="00DF3F1E">
        <w:rPr>
          <w:lang w:val="sq-AL"/>
        </w:rPr>
        <w:t>Neni</w:t>
      </w:r>
      <w:r w:rsidRPr="007D7D65">
        <w:rPr>
          <w:lang w:val="sq-AL"/>
        </w:rPr>
        <w:t xml:space="preserve"> 3 </w:t>
      </w:r>
      <w:r w:rsidRPr="007D7D65" w:rsidR="00DF3F1E">
        <w:rPr>
          <w:lang w:val="sq-AL"/>
        </w:rPr>
        <w:t>i Konventës lexohet kështu</w:t>
      </w:r>
      <w:r w:rsidRPr="007D7D65">
        <w:rPr>
          <w:lang w:val="sq-AL"/>
        </w:rPr>
        <w:t>:</w:t>
      </w:r>
    </w:p>
    <w:p w:rsidRPr="007D7D65" w:rsidR="00EB737A" w:rsidP="00EB737A" w:rsidRDefault="00DF3F1E">
      <w:pPr>
        <w:pStyle w:val="ECHRParaQuote"/>
        <w:rPr>
          <w:lang w:val="sq-AL" w:eastAsia="en-US"/>
        </w:rPr>
      </w:pPr>
      <w:r w:rsidRPr="007D7D65">
        <w:rPr>
          <w:lang w:val="sq-AL" w:eastAsia="en-US"/>
        </w:rPr>
        <w:t>“Askush nuk mund t</w:t>
      </w:r>
      <w:r w:rsidR="00943091">
        <w:rPr>
          <w:lang w:val="sq-AL" w:eastAsia="en-US"/>
        </w:rPr>
        <w:t>’</w:t>
      </w:r>
      <w:r w:rsidRPr="007D7D65">
        <w:rPr>
          <w:lang w:val="sq-AL" w:eastAsia="en-US"/>
        </w:rPr>
        <w:t>i nënshtrohet torturës, as dënimeve ose trajtimeve çnjerëzore ose poshtëruese.”</w:t>
      </w:r>
    </w:p>
    <w:p w:rsidRPr="007D7D65" w:rsidR="00EB737A" w:rsidP="00EB737A" w:rsidRDefault="00EB737A">
      <w:pPr>
        <w:pStyle w:val="ECHRHeading2"/>
        <w:rPr>
          <w:lang w:val="sq-AL"/>
        </w:rPr>
      </w:pPr>
      <w:r w:rsidRPr="007D7D65">
        <w:rPr>
          <w:lang w:val="sq-AL"/>
        </w:rPr>
        <w:t>A.  T</w:t>
      </w:r>
      <w:r w:rsidRPr="007D7D65" w:rsidR="00DF3F1E">
        <w:rPr>
          <w:lang w:val="sq-AL"/>
        </w:rPr>
        <w:t>ezat e palëve</w:t>
      </w:r>
    </w:p>
    <w:p w:rsidRPr="007D7D65" w:rsidR="00EB737A" w:rsidP="00EB737A" w:rsidRDefault="00EB737A">
      <w:pPr>
        <w:pStyle w:val="ECHRHeading3"/>
        <w:rPr>
          <w:lang w:val="sq-AL"/>
        </w:rPr>
      </w:pPr>
      <w:r w:rsidRPr="007D7D65">
        <w:rPr>
          <w:lang w:val="sq-AL"/>
        </w:rPr>
        <w:t>1.  </w:t>
      </w:r>
      <w:r w:rsidRPr="007D7D65" w:rsidR="00DF3F1E">
        <w:rPr>
          <w:lang w:val="sq-AL"/>
        </w:rPr>
        <w:t>Paditësja</w:t>
      </w:r>
    </w:p>
    <w:p w:rsidRPr="007D7D65" w:rsidR="00EB737A" w:rsidP="00EB737A" w:rsidRDefault="00EB737A">
      <w:pPr>
        <w:pStyle w:val="ECHRPara"/>
        <w:rPr>
          <w:lang w:val="sq-AL"/>
        </w:rPr>
      </w:pPr>
      <w:r w:rsidRPr="007D7D65">
        <w:rPr>
          <w:lang w:val="sq-AL"/>
        </w:rPr>
        <w:fldChar w:fldCharType="begin"/>
      </w:r>
      <w:r w:rsidRPr="007D7D65">
        <w:rPr>
          <w:lang w:val="sq-AL"/>
        </w:rPr>
        <w:instrText xml:space="preserve"> SEQ level0 \*arabic </w:instrText>
      </w:r>
      <w:r w:rsidRPr="007D7D65">
        <w:rPr>
          <w:lang w:val="sq-AL"/>
        </w:rPr>
        <w:fldChar w:fldCharType="separate"/>
      </w:r>
      <w:r w:rsidR="00013F9B">
        <w:rPr>
          <w:noProof/>
          <w:lang w:val="sq-AL"/>
        </w:rPr>
        <w:t>123</w:t>
      </w:r>
      <w:r w:rsidRPr="007D7D65">
        <w:rPr>
          <w:lang w:val="sq-AL"/>
        </w:rPr>
        <w:fldChar w:fldCharType="end"/>
      </w:r>
      <w:r w:rsidRPr="007D7D65">
        <w:rPr>
          <w:lang w:val="sq-AL"/>
        </w:rPr>
        <w:t>.  </w:t>
      </w:r>
      <w:r w:rsidRPr="007D7D65" w:rsidR="00DF3F1E">
        <w:rPr>
          <w:lang w:val="sq-AL"/>
        </w:rPr>
        <w:t>Paditësja ankohet në thelb se shteti, në shkelje të detyrimit pozitiv që i bie atij sipas nenit 3, nuk ka krijuar një suazë t</w:t>
      </w:r>
      <w:r w:rsidR="007D7D65">
        <w:rPr>
          <w:lang w:val="sq-AL"/>
        </w:rPr>
        <w:t>ë</w:t>
      </w:r>
      <w:r w:rsidRPr="007D7D65" w:rsidR="00DF3F1E">
        <w:rPr>
          <w:lang w:val="sq-AL"/>
        </w:rPr>
        <w:t xml:space="preserve"> përshtatshme juridike e cila do t</w:t>
      </w:r>
      <w:r w:rsidR="00943091">
        <w:rPr>
          <w:lang w:val="sq-AL"/>
        </w:rPr>
        <w:t>’</w:t>
      </w:r>
      <w:r w:rsidRPr="007D7D65" w:rsidR="00DF3F1E">
        <w:rPr>
          <w:lang w:val="sq-AL"/>
        </w:rPr>
        <w:t>i kishte lejuar atij q</w:t>
      </w:r>
      <w:r w:rsidR="007D7D65">
        <w:rPr>
          <w:lang w:val="sq-AL"/>
        </w:rPr>
        <w:t>ë</w:t>
      </w:r>
      <w:r w:rsidRPr="007D7D65" w:rsidR="00DF3F1E">
        <w:rPr>
          <w:lang w:val="sq-AL"/>
        </w:rPr>
        <w:t xml:space="preserve"> t</w:t>
      </w:r>
      <w:r w:rsidR="00943091">
        <w:rPr>
          <w:lang w:val="sq-AL"/>
        </w:rPr>
        <w:t>’</w:t>
      </w:r>
      <w:r w:rsidRPr="007D7D65" w:rsidR="00DF3F1E">
        <w:rPr>
          <w:lang w:val="sq-AL"/>
        </w:rPr>
        <w:t>i mbronte fëmijët nga abuzimet seksuale – që përb</w:t>
      </w:r>
      <w:r w:rsidR="007D7D65">
        <w:rPr>
          <w:lang w:val="sq-AL"/>
        </w:rPr>
        <w:t>ë</w:t>
      </w:r>
      <w:r w:rsidRPr="007D7D65" w:rsidR="00DF3F1E">
        <w:rPr>
          <w:lang w:val="sq-AL"/>
        </w:rPr>
        <w:t>nin nj</w:t>
      </w:r>
      <w:r w:rsidR="007D7D65">
        <w:rPr>
          <w:lang w:val="sq-AL"/>
        </w:rPr>
        <w:t>ë</w:t>
      </w:r>
      <w:r w:rsidRPr="007D7D65" w:rsidR="00DF3F1E">
        <w:rPr>
          <w:lang w:val="sq-AL"/>
        </w:rPr>
        <w:t xml:space="preserve"> rrezik p</w:t>
      </w:r>
      <w:r w:rsidR="007D7D65">
        <w:rPr>
          <w:lang w:val="sq-AL"/>
        </w:rPr>
        <w:t>ë</w:t>
      </w:r>
      <w:r w:rsidRPr="007D7D65" w:rsidR="00DF3F1E">
        <w:rPr>
          <w:lang w:val="sq-AL"/>
        </w:rPr>
        <w:t>r t</w:t>
      </w:r>
      <w:r w:rsidR="007D7D65">
        <w:rPr>
          <w:lang w:val="sq-AL"/>
        </w:rPr>
        <w:t>ë</w:t>
      </w:r>
      <w:r w:rsidRPr="007D7D65" w:rsidR="00DF3F1E">
        <w:rPr>
          <w:lang w:val="sq-AL"/>
        </w:rPr>
        <w:t xml:space="preserve"> cilin ai ishte ose duhej të ishte n</w:t>
      </w:r>
      <w:r w:rsidR="007D7D65">
        <w:rPr>
          <w:lang w:val="sq-AL"/>
        </w:rPr>
        <w:t>ë</w:t>
      </w:r>
      <w:r w:rsidRPr="007D7D65" w:rsidR="00DF3F1E">
        <w:rPr>
          <w:lang w:val="sq-AL"/>
        </w:rPr>
        <w:t xml:space="preserve"> dijeni </w:t>
      </w:r>
      <w:r w:rsidRPr="007D7D65" w:rsidR="003F05BF">
        <w:rPr>
          <w:lang w:val="sq-AL"/>
        </w:rPr>
        <w:t>–</w:t>
      </w:r>
      <w:r w:rsidRPr="007D7D65" w:rsidR="00DF3F1E">
        <w:rPr>
          <w:lang w:val="sq-AL"/>
        </w:rPr>
        <w:t xml:space="preserve"> </w:t>
      </w:r>
      <w:r w:rsidRPr="007D7D65" w:rsidR="003F05BF">
        <w:rPr>
          <w:lang w:val="sq-AL"/>
        </w:rPr>
        <w:t>dhe e cila do ta kishte kompensuar mospjesëmarrjen e tij n</w:t>
      </w:r>
      <w:r w:rsidR="007D7D65">
        <w:rPr>
          <w:lang w:val="sq-AL"/>
        </w:rPr>
        <w:t>ë</w:t>
      </w:r>
      <w:r w:rsidRPr="007D7D65" w:rsidR="003F05BF">
        <w:rPr>
          <w:lang w:val="sq-AL"/>
        </w:rPr>
        <w:t xml:space="preserve"> administrimin e shkollave komb</w:t>
      </w:r>
      <w:r w:rsidR="007D7D65">
        <w:rPr>
          <w:lang w:val="sq-AL"/>
        </w:rPr>
        <w:t>ë</w:t>
      </w:r>
      <w:r w:rsidRPr="007D7D65" w:rsidR="003F05BF">
        <w:rPr>
          <w:lang w:val="sq-AL"/>
        </w:rPr>
        <w:t>tare. Ajo v</w:t>
      </w:r>
      <w:r w:rsidR="007D7D65">
        <w:rPr>
          <w:lang w:val="sq-AL"/>
        </w:rPr>
        <w:t>ë</w:t>
      </w:r>
      <w:r w:rsidRPr="007D7D65" w:rsidR="003F05BF">
        <w:rPr>
          <w:lang w:val="sq-AL"/>
        </w:rPr>
        <w:t xml:space="preserve"> n</w:t>
      </w:r>
      <w:r w:rsidR="007D7D65">
        <w:rPr>
          <w:lang w:val="sq-AL"/>
        </w:rPr>
        <w:t>ë</w:t>
      </w:r>
      <w:r w:rsidRPr="007D7D65" w:rsidR="003F05BF">
        <w:rPr>
          <w:lang w:val="sq-AL"/>
        </w:rPr>
        <w:t xml:space="preserve"> dukje se për aktor</w:t>
      </w:r>
      <w:r w:rsidR="007D7D65">
        <w:rPr>
          <w:lang w:val="sq-AL"/>
        </w:rPr>
        <w:t>ë</w:t>
      </w:r>
      <w:r w:rsidRPr="007D7D65" w:rsidR="003F05BF">
        <w:rPr>
          <w:lang w:val="sq-AL"/>
        </w:rPr>
        <w:t>t e përfshirë n</w:t>
      </w:r>
      <w:r w:rsidR="007D7D65">
        <w:rPr>
          <w:lang w:val="sq-AL"/>
        </w:rPr>
        <w:t>ë</w:t>
      </w:r>
      <w:r w:rsidRPr="007D7D65" w:rsidR="003F05BF">
        <w:rPr>
          <w:lang w:val="sq-AL"/>
        </w:rPr>
        <w:t xml:space="preserve"> k</w:t>
      </w:r>
      <w:r w:rsidR="007D7D65">
        <w:rPr>
          <w:lang w:val="sq-AL"/>
        </w:rPr>
        <w:t>ë</w:t>
      </w:r>
      <w:r w:rsidRPr="007D7D65" w:rsidR="003F05BF">
        <w:rPr>
          <w:lang w:val="sq-AL"/>
        </w:rPr>
        <w:t>t</w:t>
      </w:r>
      <w:r w:rsidR="007D7D65">
        <w:rPr>
          <w:lang w:val="sq-AL"/>
        </w:rPr>
        <w:t>ë</w:t>
      </w:r>
      <w:r w:rsidRPr="007D7D65" w:rsidR="003F05BF">
        <w:rPr>
          <w:lang w:val="sq-AL"/>
        </w:rPr>
        <w:t xml:space="preserve"> çështje nuk kishte as detyrime juridike, as udhëzime t</w:t>
      </w:r>
      <w:r w:rsidR="007D7D65">
        <w:rPr>
          <w:lang w:val="sq-AL"/>
        </w:rPr>
        <w:t>ë</w:t>
      </w:r>
      <w:r w:rsidRPr="007D7D65" w:rsidR="003F05BF">
        <w:rPr>
          <w:lang w:val="sq-AL"/>
        </w:rPr>
        <w:t xml:space="preserve"> qarta ose t</w:t>
      </w:r>
      <w:r w:rsidR="007D7D65">
        <w:rPr>
          <w:lang w:val="sq-AL"/>
        </w:rPr>
        <w:t>ë</w:t>
      </w:r>
      <w:r w:rsidRPr="007D7D65" w:rsidR="003F05BF">
        <w:rPr>
          <w:lang w:val="sq-AL"/>
        </w:rPr>
        <w:t xml:space="preserve"> përshtatshme, t</w:t>
      </w:r>
      <w:r w:rsidR="007D7D65">
        <w:rPr>
          <w:lang w:val="sq-AL"/>
        </w:rPr>
        <w:t>ë</w:t>
      </w:r>
      <w:r w:rsidRPr="007D7D65" w:rsidR="003F05BF">
        <w:rPr>
          <w:lang w:val="sq-AL"/>
        </w:rPr>
        <w:t xml:space="preserve"> tilla q</w:t>
      </w:r>
      <w:r w:rsidR="007D7D65">
        <w:rPr>
          <w:lang w:val="sq-AL"/>
        </w:rPr>
        <w:t>ë</w:t>
      </w:r>
      <w:r w:rsidRPr="007D7D65" w:rsidR="003F05BF">
        <w:rPr>
          <w:lang w:val="sq-AL"/>
        </w:rPr>
        <w:t xml:space="preserve"> t</w:t>
      </w:r>
      <w:r w:rsidR="007D7D65">
        <w:rPr>
          <w:lang w:val="sq-AL"/>
        </w:rPr>
        <w:t>ë</w:t>
      </w:r>
      <w:r w:rsidRPr="007D7D65" w:rsidR="003F05BF">
        <w:rPr>
          <w:lang w:val="sq-AL"/>
        </w:rPr>
        <w:t xml:space="preserve"> garantonin se ata do ta mbikëqyrnin situat</w:t>
      </w:r>
      <w:r w:rsidR="007D7D65">
        <w:rPr>
          <w:lang w:val="sq-AL"/>
        </w:rPr>
        <w:t>ë</w:t>
      </w:r>
      <w:r w:rsidRPr="007D7D65" w:rsidR="003F05BF">
        <w:rPr>
          <w:lang w:val="sq-AL"/>
        </w:rPr>
        <w:t>n e f</w:t>
      </w:r>
      <w:r w:rsidR="007D7D65">
        <w:rPr>
          <w:lang w:val="sq-AL"/>
        </w:rPr>
        <w:t>ë</w:t>
      </w:r>
      <w:r w:rsidRPr="007D7D65" w:rsidR="003F05BF">
        <w:rPr>
          <w:lang w:val="sq-AL"/>
        </w:rPr>
        <w:t>mij</w:t>
      </w:r>
      <w:r w:rsidR="007D7D65">
        <w:rPr>
          <w:lang w:val="sq-AL"/>
        </w:rPr>
        <w:t>ë</w:t>
      </w:r>
      <w:r w:rsidRPr="007D7D65" w:rsidR="003F05BF">
        <w:rPr>
          <w:lang w:val="sq-AL"/>
        </w:rPr>
        <w:t>ve dhe do t</w:t>
      </w:r>
      <w:r w:rsidR="00943091">
        <w:rPr>
          <w:lang w:val="sq-AL"/>
        </w:rPr>
        <w:t>’</w:t>
      </w:r>
      <w:r w:rsidRPr="007D7D65" w:rsidR="003F05BF">
        <w:rPr>
          <w:lang w:val="sq-AL"/>
        </w:rPr>
        <w:t>i trajtonin ankesat eventuale p</w:t>
      </w:r>
      <w:r w:rsidR="007D7D65">
        <w:rPr>
          <w:lang w:val="sq-AL"/>
        </w:rPr>
        <w:t>ë</w:t>
      </w:r>
      <w:r w:rsidRPr="007D7D65" w:rsidR="003F05BF">
        <w:rPr>
          <w:lang w:val="sq-AL"/>
        </w:rPr>
        <w:t>r keqtrajtime – veçanërisht p</w:t>
      </w:r>
      <w:r w:rsidR="007D7D65">
        <w:rPr>
          <w:lang w:val="sq-AL"/>
        </w:rPr>
        <w:t>ë</w:t>
      </w:r>
      <w:r w:rsidRPr="007D7D65" w:rsidR="003F05BF">
        <w:rPr>
          <w:lang w:val="sq-AL"/>
        </w:rPr>
        <w:t>r abuzime seksuale – me efektivitetin e duhur. Ajo çmon se nenet 3 dhe 8, si edhe neni 2 i Protokollit nr. 1, të marr</w:t>
      </w:r>
      <w:r w:rsidRPr="007D7D65" w:rsidR="00604857">
        <w:rPr>
          <w:lang w:val="sq-AL"/>
        </w:rPr>
        <w:t>ë</w:t>
      </w:r>
      <w:r w:rsidRPr="007D7D65" w:rsidR="003F05BF">
        <w:rPr>
          <w:lang w:val="sq-AL"/>
        </w:rPr>
        <w:t xml:space="preserve"> s</w:t>
      </w:r>
      <w:r w:rsidR="007D7D65">
        <w:rPr>
          <w:lang w:val="sq-AL"/>
        </w:rPr>
        <w:t>ë</w:t>
      </w:r>
      <w:r w:rsidRPr="007D7D65" w:rsidR="003F05BF">
        <w:rPr>
          <w:lang w:val="sq-AL"/>
        </w:rPr>
        <w:t xml:space="preserve"> bashku, e </w:t>
      </w:r>
      <w:r w:rsidRPr="007D7D65" w:rsidR="00604857">
        <w:rPr>
          <w:lang w:val="sq-AL"/>
        </w:rPr>
        <w:t>shtrëng</w:t>
      </w:r>
      <w:r w:rsidRPr="007D7D65" w:rsidR="003F05BF">
        <w:rPr>
          <w:lang w:val="sq-AL"/>
        </w:rPr>
        <w:t>ojn</w:t>
      </w:r>
      <w:r w:rsidR="007D7D65">
        <w:rPr>
          <w:lang w:val="sq-AL"/>
        </w:rPr>
        <w:t>ë</w:t>
      </w:r>
      <w:r w:rsidRPr="007D7D65" w:rsidR="003F05BF">
        <w:rPr>
          <w:lang w:val="sq-AL"/>
        </w:rPr>
        <w:t xml:space="preserve"> shtetin q</w:t>
      </w:r>
      <w:r w:rsidR="007D7D65">
        <w:rPr>
          <w:lang w:val="sq-AL"/>
        </w:rPr>
        <w:t>ë</w:t>
      </w:r>
      <w:r w:rsidRPr="007D7D65" w:rsidR="003F05BF">
        <w:rPr>
          <w:lang w:val="sq-AL"/>
        </w:rPr>
        <w:t xml:space="preserve"> ta organizoj</w:t>
      </w:r>
      <w:r w:rsidR="007D7D65">
        <w:rPr>
          <w:lang w:val="sq-AL"/>
        </w:rPr>
        <w:t>ë</w:t>
      </w:r>
      <w:r w:rsidRPr="007D7D65" w:rsidR="003F05BF">
        <w:rPr>
          <w:lang w:val="sq-AL"/>
        </w:rPr>
        <w:t xml:space="preserve"> sistemin e </w:t>
      </w:r>
      <w:r w:rsidRPr="007D7D65" w:rsidR="00604857">
        <w:rPr>
          <w:lang w:val="sq-AL"/>
        </w:rPr>
        <w:t>vet</w:t>
      </w:r>
      <w:r w:rsidRPr="007D7D65" w:rsidR="003F05BF">
        <w:rPr>
          <w:lang w:val="sq-AL"/>
        </w:rPr>
        <w:t xml:space="preserve"> arsimor n</w:t>
      </w:r>
      <w:r w:rsidR="007D7D65">
        <w:rPr>
          <w:lang w:val="sq-AL"/>
        </w:rPr>
        <w:t>ë</w:t>
      </w:r>
      <w:r w:rsidRPr="007D7D65" w:rsidR="003F05BF">
        <w:rPr>
          <w:lang w:val="sq-AL"/>
        </w:rPr>
        <w:t xml:space="preserve"> m</w:t>
      </w:r>
      <w:r w:rsidR="007D7D65">
        <w:rPr>
          <w:lang w:val="sq-AL"/>
        </w:rPr>
        <w:t>ë</w:t>
      </w:r>
      <w:r w:rsidRPr="007D7D65" w:rsidR="003F05BF">
        <w:rPr>
          <w:lang w:val="sq-AL"/>
        </w:rPr>
        <w:t>nyr</w:t>
      </w:r>
      <w:r w:rsidR="007D7D65">
        <w:rPr>
          <w:lang w:val="sq-AL"/>
        </w:rPr>
        <w:t>ë</w:t>
      </w:r>
      <w:r w:rsidRPr="007D7D65" w:rsidR="003F05BF">
        <w:rPr>
          <w:lang w:val="sq-AL"/>
        </w:rPr>
        <w:t xml:space="preserve"> t</w:t>
      </w:r>
      <w:r w:rsidR="007D7D65">
        <w:rPr>
          <w:lang w:val="sq-AL"/>
        </w:rPr>
        <w:t>ë</w:t>
      </w:r>
      <w:r w:rsidRPr="007D7D65" w:rsidR="003F05BF">
        <w:rPr>
          <w:lang w:val="sq-AL"/>
        </w:rPr>
        <w:t xml:space="preserve"> till</w:t>
      </w:r>
      <w:r w:rsidR="007D7D65">
        <w:rPr>
          <w:lang w:val="sq-AL"/>
        </w:rPr>
        <w:t>ë</w:t>
      </w:r>
      <w:r w:rsidRPr="007D7D65" w:rsidR="003F05BF">
        <w:rPr>
          <w:lang w:val="sq-AL"/>
        </w:rPr>
        <w:t xml:space="preserve"> që ta p</w:t>
      </w:r>
      <w:r w:rsidR="007D7D65">
        <w:rPr>
          <w:lang w:val="sq-AL"/>
        </w:rPr>
        <w:t>ë</w:t>
      </w:r>
      <w:r w:rsidRPr="007D7D65" w:rsidR="003F05BF">
        <w:rPr>
          <w:lang w:val="sq-AL"/>
        </w:rPr>
        <w:t>rmbush</w:t>
      </w:r>
      <w:r w:rsidR="007D7D65">
        <w:rPr>
          <w:lang w:val="sq-AL"/>
        </w:rPr>
        <w:t>ë</w:t>
      </w:r>
      <w:r w:rsidRPr="007D7D65" w:rsidR="003F05BF">
        <w:rPr>
          <w:lang w:val="sq-AL"/>
        </w:rPr>
        <w:t xml:space="preserve"> detyrimin e tij për t</w:t>
      </w:r>
      <w:r w:rsidR="00943091">
        <w:rPr>
          <w:lang w:val="sq-AL"/>
        </w:rPr>
        <w:t>’</w:t>
      </w:r>
      <w:r w:rsidRPr="007D7D65" w:rsidR="003F05BF">
        <w:rPr>
          <w:lang w:val="sq-AL"/>
        </w:rPr>
        <w:t>i mbrojtur f</w:t>
      </w:r>
      <w:r w:rsidR="007D7D65">
        <w:rPr>
          <w:lang w:val="sq-AL"/>
        </w:rPr>
        <w:t>ë</w:t>
      </w:r>
      <w:r w:rsidRPr="007D7D65" w:rsidR="003F05BF">
        <w:rPr>
          <w:lang w:val="sq-AL"/>
        </w:rPr>
        <w:t>mij</w:t>
      </w:r>
      <w:r w:rsidR="007D7D65">
        <w:rPr>
          <w:lang w:val="sq-AL"/>
        </w:rPr>
        <w:t>ë</w:t>
      </w:r>
      <w:r w:rsidRPr="007D7D65" w:rsidR="003F05BF">
        <w:rPr>
          <w:lang w:val="sq-AL"/>
        </w:rPr>
        <w:t>t,</w:t>
      </w:r>
      <w:r w:rsidRPr="007D7D65" w:rsidR="00604857">
        <w:rPr>
          <w:lang w:val="sq-AL"/>
        </w:rPr>
        <w:t xml:space="preserve"> detyrim v</w:t>
      </w:r>
      <w:r w:rsidR="007D7D65">
        <w:rPr>
          <w:lang w:val="sq-AL"/>
        </w:rPr>
        <w:t>ë</w:t>
      </w:r>
      <w:r w:rsidRPr="007D7D65" w:rsidR="00604857">
        <w:rPr>
          <w:lang w:val="sq-AL"/>
        </w:rPr>
        <w:t>nia n</w:t>
      </w:r>
      <w:r w:rsidR="007D7D65">
        <w:rPr>
          <w:lang w:val="sq-AL"/>
        </w:rPr>
        <w:t>ë</w:t>
      </w:r>
      <w:r w:rsidRPr="007D7D65" w:rsidR="00604857">
        <w:rPr>
          <w:lang w:val="sq-AL"/>
        </w:rPr>
        <w:t xml:space="preserve"> jet</w:t>
      </w:r>
      <w:r w:rsidR="007D7D65">
        <w:rPr>
          <w:lang w:val="sq-AL"/>
        </w:rPr>
        <w:t>ë</w:t>
      </w:r>
      <w:r w:rsidRPr="007D7D65" w:rsidR="00604857">
        <w:rPr>
          <w:lang w:val="sq-AL"/>
        </w:rPr>
        <w:t xml:space="preserve"> e t</w:t>
      </w:r>
      <w:r w:rsidR="007D7D65">
        <w:rPr>
          <w:lang w:val="sq-AL"/>
        </w:rPr>
        <w:t>ë</w:t>
      </w:r>
      <w:r w:rsidRPr="007D7D65" w:rsidR="00604857">
        <w:rPr>
          <w:lang w:val="sq-AL"/>
        </w:rPr>
        <w:t xml:space="preserve"> cilit u lehtësuaka nga neni 42 i Kushtetut</w:t>
      </w:r>
      <w:r w:rsidR="007D7D65">
        <w:rPr>
          <w:lang w:val="sq-AL"/>
        </w:rPr>
        <w:t>ë</w:t>
      </w:r>
      <w:r w:rsidRPr="007D7D65" w:rsidR="00604857">
        <w:rPr>
          <w:lang w:val="sq-AL"/>
        </w:rPr>
        <w:t>s por që nuk u diktuaka nga kjo dispozitë.</w:t>
      </w:r>
    </w:p>
    <w:p w:rsidRPr="007D7D65" w:rsidR="00EB737A" w:rsidP="00EB737A" w:rsidRDefault="00EB737A">
      <w:pPr>
        <w:pStyle w:val="ECHRPara"/>
        <w:rPr>
          <w:lang w:val="sq-AL"/>
        </w:rPr>
      </w:pPr>
      <w:r w:rsidRPr="007D7D65">
        <w:rPr>
          <w:lang w:val="sq-AL"/>
        </w:rPr>
        <w:fldChar w:fldCharType="begin"/>
      </w:r>
      <w:r w:rsidRPr="007D7D65">
        <w:rPr>
          <w:lang w:val="sq-AL"/>
        </w:rPr>
        <w:instrText xml:space="preserve"> SEQ level0 \*arabic </w:instrText>
      </w:r>
      <w:r w:rsidRPr="007D7D65">
        <w:rPr>
          <w:lang w:val="sq-AL"/>
        </w:rPr>
        <w:fldChar w:fldCharType="separate"/>
      </w:r>
      <w:r w:rsidR="00013F9B">
        <w:rPr>
          <w:noProof/>
          <w:lang w:val="sq-AL"/>
        </w:rPr>
        <w:t>124</w:t>
      </w:r>
      <w:r w:rsidRPr="007D7D65">
        <w:rPr>
          <w:lang w:val="sq-AL"/>
        </w:rPr>
        <w:fldChar w:fldCharType="end"/>
      </w:r>
      <w:r w:rsidRPr="007D7D65">
        <w:rPr>
          <w:lang w:val="sq-AL"/>
        </w:rPr>
        <w:t>.  </w:t>
      </w:r>
      <w:r w:rsidRPr="007D7D65" w:rsidR="00604857">
        <w:rPr>
          <w:lang w:val="sq-AL"/>
        </w:rPr>
        <w:t xml:space="preserve">Duke përmendur çështjen </w:t>
      </w:r>
      <w:r w:rsidRPr="007D7D65">
        <w:rPr>
          <w:i/>
          <w:lang w:val="sq-AL"/>
        </w:rPr>
        <w:t>McEn</w:t>
      </w:r>
      <w:r w:rsidRPr="007D7D65" w:rsidR="00604857">
        <w:rPr>
          <w:i/>
          <w:lang w:val="sq-AL"/>
        </w:rPr>
        <w:t>eaney e</w:t>
      </w:r>
      <w:r w:rsidRPr="007D7D65">
        <w:rPr>
          <w:i/>
          <w:lang w:val="sq-AL"/>
        </w:rPr>
        <w:t xml:space="preserve"> Crowley</w:t>
      </w:r>
      <w:r w:rsidRPr="007D7D65">
        <w:rPr>
          <w:lang w:val="sq-AL"/>
        </w:rPr>
        <w:t xml:space="preserve"> (paragra</w:t>
      </w:r>
      <w:r w:rsidRPr="007D7D65" w:rsidR="00604857">
        <w:rPr>
          <w:lang w:val="sq-AL"/>
        </w:rPr>
        <w:t>fi</w:t>
      </w:r>
      <w:r w:rsidRPr="007D7D65">
        <w:rPr>
          <w:lang w:val="sq-AL"/>
        </w:rPr>
        <w:t xml:space="preserve"> 55 </w:t>
      </w:r>
      <w:r w:rsidRPr="007D7D65" w:rsidR="00604857">
        <w:rPr>
          <w:lang w:val="sq-AL"/>
        </w:rPr>
        <w:t>i mësipërm</w:t>
      </w:r>
      <w:r w:rsidRPr="007D7D65">
        <w:rPr>
          <w:lang w:val="sq-AL"/>
        </w:rPr>
        <w:t xml:space="preserve">), </w:t>
      </w:r>
      <w:r w:rsidRPr="007D7D65" w:rsidR="003969AB">
        <w:rPr>
          <w:lang w:val="sq-AL"/>
        </w:rPr>
        <w:t>padit</w:t>
      </w:r>
      <w:r w:rsidR="007D7D65">
        <w:rPr>
          <w:lang w:val="sq-AL"/>
        </w:rPr>
        <w:t>ë</w:t>
      </w:r>
      <w:r w:rsidRPr="007D7D65" w:rsidR="003969AB">
        <w:rPr>
          <w:lang w:val="sq-AL"/>
        </w:rPr>
        <w:t>sja vëren se n</w:t>
      </w:r>
      <w:r w:rsidR="007D7D65">
        <w:rPr>
          <w:lang w:val="sq-AL"/>
        </w:rPr>
        <w:t>ë</w:t>
      </w:r>
      <w:r w:rsidRPr="007D7D65" w:rsidR="003969AB">
        <w:rPr>
          <w:lang w:val="sq-AL"/>
        </w:rPr>
        <w:t xml:space="preserve"> Irlandë, ashtu si n</w:t>
      </w:r>
      <w:r w:rsidR="007D7D65">
        <w:rPr>
          <w:lang w:val="sq-AL"/>
        </w:rPr>
        <w:t>ë</w:t>
      </w:r>
      <w:r w:rsidRPr="007D7D65" w:rsidR="003969AB">
        <w:rPr>
          <w:lang w:val="sq-AL"/>
        </w:rPr>
        <w:t xml:space="preserve"> çdo demokraci t</w:t>
      </w:r>
      <w:r w:rsidR="007D7D65">
        <w:rPr>
          <w:lang w:val="sq-AL"/>
        </w:rPr>
        <w:t>ë</w:t>
      </w:r>
      <w:r w:rsidRPr="007D7D65" w:rsidR="003969AB">
        <w:rPr>
          <w:lang w:val="sq-AL"/>
        </w:rPr>
        <w:t xml:space="preserve"> p</w:t>
      </w:r>
      <w:r w:rsidR="007D7D65">
        <w:rPr>
          <w:lang w:val="sq-AL"/>
        </w:rPr>
        <w:t>ë</w:t>
      </w:r>
      <w:r w:rsidRPr="007D7D65" w:rsidR="003969AB">
        <w:rPr>
          <w:lang w:val="sq-AL"/>
        </w:rPr>
        <w:t>rparuar, organizimi i arsimit ësht</w:t>
      </w:r>
      <w:r w:rsidR="007D7D65">
        <w:rPr>
          <w:lang w:val="sq-AL"/>
        </w:rPr>
        <w:t>ë</w:t>
      </w:r>
      <w:r w:rsidRPr="007D7D65" w:rsidR="003969AB">
        <w:rPr>
          <w:lang w:val="sq-AL"/>
        </w:rPr>
        <w:t xml:space="preserve"> një detyrim komb</w:t>
      </w:r>
      <w:r w:rsidR="007D7D65">
        <w:rPr>
          <w:lang w:val="sq-AL"/>
        </w:rPr>
        <w:t>ë</w:t>
      </w:r>
      <w:r w:rsidRPr="007D7D65" w:rsidR="003969AB">
        <w:rPr>
          <w:lang w:val="sq-AL"/>
        </w:rPr>
        <w:t>tar. Ajo mbron mendimin se neni 42 i Kushtetut</w:t>
      </w:r>
      <w:r w:rsidR="007D7D65">
        <w:rPr>
          <w:lang w:val="sq-AL"/>
        </w:rPr>
        <w:t>ë</w:t>
      </w:r>
      <w:r w:rsidRPr="007D7D65" w:rsidR="003969AB">
        <w:rPr>
          <w:lang w:val="sq-AL"/>
        </w:rPr>
        <w:t>s i lejonte shtetit q</w:t>
      </w:r>
      <w:r w:rsidR="007D7D65">
        <w:rPr>
          <w:lang w:val="sq-AL"/>
        </w:rPr>
        <w:t>ë</w:t>
      </w:r>
      <w:r w:rsidRPr="007D7D65" w:rsidR="003969AB">
        <w:rPr>
          <w:lang w:val="sq-AL"/>
        </w:rPr>
        <w:t xml:space="preserve"> ta siguronte vet</w:t>
      </w:r>
      <w:r w:rsidR="007D7D65">
        <w:rPr>
          <w:lang w:val="sq-AL"/>
        </w:rPr>
        <w:t>ë</w:t>
      </w:r>
      <w:r w:rsidRPr="007D7D65" w:rsidR="003969AB">
        <w:rPr>
          <w:lang w:val="sq-AL"/>
        </w:rPr>
        <w:t xml:space="preserve"> arsimin dhe se prandaj ai pask</w:t>
      </w:r>
      <w:r w:rsidR="007D7D65">
        <w:rPr>
          <w:lang w:val="sq-AL"/>
        </w:rPr>
        <w:t>ë</w:t>
      </w:r>
      <w:r w:rsidRPr="007D7D65" w:rsidR="003969AB">
        <w:rPr>
          <w:lang w:val="sq-AL"/>
        </w:rPr>
        <w:t>sh mundur dhe qenk</w:t>
      </w:r>
      <w:r w:rsidR="007D7D65">
        <w:rPr>
          <w:lang w:val="sq-AL"/>
        </w:rPr>
        <w:t>ë</w:t>
      </w:r>
      <w:r w:rsidRPr="007D7D65" w:rsidR="003969AB">
        <w:rPr>
          <w:lang w:val="sq-AL"/>
        </w:rPr>
        <w:t>sh dashur t</w:t>
      </w:r>
      <w:r w:rsidR="007D7D65">
        <w:rPr>
          <w:lang w:val="sq-AL"/>
        </w:rPr>
        <w:t>ë</w:t>
      </w:r>
      <w:r w:rsidRPr="007D7D65" w:rsidR="003969AB">
        <w:rPr>
          <w:lang w:val="sq-AL"/>
        </w:rPr>
        <w:t xml:space="preserve"> zgjidhte që të vepronte ashtu. Ajo ësht</w:t>
      </w:r>
      <w:r w:rsidR="007D7D65">
        <w:rPr>
          <w:lang w:val="sq-AL"/>
        </w:rPr>
        <w:t>ë</w:t>
      </w:r>
      <w:r w:rsidRPr="007D7D65" w:rsidR="003969AB">
        <w:rPr>
          <w:lang w:val="sq-AL"/>
        </w:rPr>
        <w:t xml:space="preserve"> madje e mendimit se, edhe sikur shteti t</w:t>
      </w:r>
      <w:r w:rsidR="00943091">
        <w:rPr>
          <w:lang w:val="sq-AL"/>
        </w:rPr>
        <w:t>’</w:t>
      </w:r>
      <w:r w:rsidRPr="007D7D65" w:rsidR="003969AB">
        <w:rPr>
          <w:lang w:val="sq-AL"/>
        </w:rPr>
        <w:t xml:space="preserve">ua </w:t>
      </w:r>
      <w:r w:rsidRPr="007D7D65" w:rsidR="002759DF">
        <w:rPr>
          <w:lang w:val="sq-AL"/>
        </w:rPr>
        <w:t>kishte ngarkuar këtë detyrim subjekteve private, modeli i shkollave komb</w:t>
      </w:r>
      <w:r w:rsidR="007D7D65">
        <w:rPr>
          <w:lang w:val="sq-AL"/>
        </w:rPr>
        <w:t>ë</w:t>
      </w:r>
      <w:r w:rsidRPr="007D7D65" w:rsidR="002759DF">
        <w:rPr>
          <w:lang w:val="sq-AL"/>
        </w:rPr>
        <w:t>tare pask</w:t>
      </w:r>
      <w:r w:rsidR="007D7D65">
        <w:rPr>
          <w:lang w:val="sq-AL"/>
        </w:rPr>
        <w:t>ë</w:t>
      </w:r>
      <w:r w:rsidRPr="007D7D65" w:rsidR="002759DF">
        <w:rPr>
          <w:lang w:val="sq-AL"/>
        </w:rPr>
        <w:t>sh mundur dhe qenk</w:t>
      </w:r>
      <w:r w:rsidR="007D7D65">
        <w:rPr>
          <w:lang w:val="sq-AL"/>
        </w:rPr>
        <w:t>ë</w:t>
      </w:r>
      <w:r w:rsidRPr="007D7D65" w:rsidR="002759DF">
        <w:rPr>
          <w:lang w:val="sq-AL"/>
        </w:rPr>
        <w:t>sh dashur t</w:t>
      </w:r>
      <w:r w:rsidR="007D7D65">
        <w:rPr>
          <w:lang w:val="sq-AL"/>
        </w:rPr>
        <w:t>ë</w:t>
      </w:r>
      <w:r w:rsidRPr="007D7D65" w:rsidR="002759DF">
        <w:rPr>
          <w:lang w:val="sq-AL"/>
        </w:rPr>
        <w:t xml:space="preserve"> shoq</w:t>
      </w:r>
      <w:r w:rsidR="007D7D65">
        <w:rPr>
          <w:lang w:val="sq-AL"/>
        </w:rPr>
        <w:t>ë</w:t>
      </w:r>
      <w:r w:rsidRPr="007D7D65" w:rsidR="002759DF">
        <w:rPr>
          <w:lang w:val="sq-AL"/>
        </w:rPr>
        <w:t>rohej me m</w:t>
      </w:r>
      <w:r w:rsidR="007D7D65">
        <w:rPr>
          <w:lang w:val="sq-AL"/>
        </w:rPr>
        <w:t>ë</w:t>
      </w:r>
      <w:r w:rsidRPr="007D7D65" w:rsidR="002759DF">
        <w:rPr>
          <w:lang w:val="sq-AL"/>
        </w:rPr>
        <w:t xml:space="preserve"> shum</w:t>
      </w:r>
      <w:r w:rsidR="007D7D65">
        <w:rPr>
          <w:lang w:val="sq-AL"/>
        </w:rPr>
        <w:t>ë</w:t>
      </w:r>
      <w:r w:rsidRPr="007D7D65" w:rsidR="002759DF">
        <w:rPr>
          <w:lang w:val="sq-AL"/>
        </w:rPr>
        <w:t xml:space="preserve"> rregulla për mbrojtjen e f</w:t>
      </w:r>
      <w:r w:rsidR="007D7D65">
        <w:rPr>
          <w:lang w:val="sq-AL"/>
        </w:rPr>
        <w:t>ë</w:t>
      </w:r>
      <w:r w:rsidRPr="007D7D65" w:rsidR="002759DF">
        <w:rPr>
          <w:lang w:val="sq-AL"/>
        </w:rPr>
        <w:t>mij</w:t>
      </w:r>
      <w:r w:rsidR="007D7D65">
        <w:rPr>
          <w:lang w:val="sq-AL"/>
        </w:rPr>
        <w:t>ë</w:t>
      </w:r>
      <w:r w:rsidRPr="007D7D65" w:rsidR="002759DF">
        <w:rPr>
          <w:lang w:val="sq-AL"/>
        </w:rPr>
        <w:t xml:space="preserve">ve. Duke iu referuar çështjes </w:t>
      </w:r>
      <w:r w:rsidRPr="007D7D65">
        <w:rPr>
          <w:i/>
          <w:lang w:val="sq-AL"/>
        </w:rPr>
        <w:t xml:space="preserve">Costello-Roberts </w:t>
      </w:r>
      <w:r w:rsidRPr="007D7D65" w:rsidR="002759DF">
        <w:rPr>
          <w:i/>
          <w:lang w:val="sq-AL"/>
        </w:rPr>
        <w:t>k</w:t>
      </w:r>
      <w:r w:rsidRPr="007D7D65">
        <w:rPr>
          <w:i/>
          <w:lang w:val="sq-AL"/>
        </w:rPr>
        <w:t>. </w:t>
      </w:r>
      <w:r w:rsidRPr="007D7D65" w:rsidR="002759DF">
        <w:rPr>
          <w:i/>
          <w:lang w:val="sq-AL"/>
        </w:rPr>
        <w:t>Mbretërisë së Bashkuar</w:t>
      </w:r>
      <w:r w:rsidRPr="007D7D65">
        <w:rPr>
          <w:lang w:val="sq-AL"/>
        </w:rPr>
        <w:t xml:space="preserve">, </w:t>
      </w:r>
      <w:r w:rsidRPr="007D7D65" w:rsidR="002759DF">
        <w:rPr>
          <w:lang w:val="sq-AL"/>
        </w:rPr>
        <w:t>ajo argumenton se, sidoqoft</w:t>
      </w:r>
      <w:r w:rsidR="007D7D65">
        <w:rPr>
          <w:lang w:val="sq-AL"/>
        </w:rPr>
        <w:t>ë</w:t>
      </w:r>
      <w:r w:rsidRPr="007D7D65" w:rsidR="002759DF">
        <w:rPr>
          <w:lang w:val="sq-AL"/>
        </w:rPr>
        <w:t>, nj</w:t>
      </w:r>
      <w:r w:rsidR="007D7D65">
        <w:rPr>
          <w:lang w:val="sq-AL"/>
        </w:rPr>
        <w:t>ë</w:t>
      </w:r>
      <w:r w:rsidRPr="007D7D65" w:rsidR="002759DF">
        <w:rPr>
          <w:lang w:val="sq-AL"/>
        </w:rPr>
        <w:t xml:space="preserve"> shtet nuk mund t</w:t>
      </w:r>
      <w:r w:rsidR="00943091">
        <w:rPr>
          <w:lang w:val="sq-AL"/>
        </w:rPr>
        <w:t>’</w:t>
      </w:r>
      <w:r w:rsidRPr="007D7D65" w:rsidR="002759DF">
        <w:rPr>
          <w:lang w:val="sq-AL"/>
        </w:rPr>
        <w:t>u shmanget detyrimeve të tij p</w:t>
      </w:r>
      <w:r w:rsidR="007D7D65">
        <w:rPr>
          <w:lang w:val="sq-AL"/>
        </w:rPr>
        <w:t>ë</w:t>
      </w:r>
      <w:r w:rsidRPr="007D7D65" w:rsidR="002759DF">
        <w:rPr>
          <w:lang w:val="sq-AL"/>
        </w:rPr>
        <w:t>r mbrojtje q</w:t>
      </w:r>
      <w:r w:rsidR="007D7D65">
        <w:rPr>
          <w:lang w:val="sq-AL"/>
        </w:rPr>
        <w:t>ë</w:t>
      </w:r>
      <w:r w:rsidRPr="007D7D65" w:rsidR="002759DF">
        <w:rPr>
          <w:lang w:val="sq-AL"/>
        </w:rPr>
        <w:t xml:space="preserve"> rrjedhin nga Konventa duke ia deleguar përgjegjësitë e tij n</w:t>
      </w:r>
      <w:r w:rsidR="007D7D65">
        <w:rPr>
          <w:lang w:val="sq-AL"/>
        </w:rPr>
        <w:t>ë</w:t>
      </w:r>
      <w:r w:rsidRPr="007D7D65" w:rsidR="002759DF">
        <w:rPr>
          <w:lang w:val="sq-AL"/>
        </w:rPr>
        <w:t xml:space="preserve"> fush</w:t>
      </w:r>
      <w:r w:rsidR="007D7D65">
        <w:rPr>
          <w:lang w:val="sq-AL"/>
        </w:rPr>
        <w:t>ë</w:t>
      </w:r>
      <w:r w:rsidRPr="007D7D65" w:rsidR="002759DF">
        <w:rPr>
          <w:lang w:val="sq-AL"/>
        </w:rPr>
        <w:t>n e arsimit fillor një subjekti privat. Së fundi, ajo shton se shteti nuk mund t</w:t>
      </w:r>
      <w:r w:rsidR="007D7D65">
        <w:rPr>
          <w:lang w:val="sq-AL"/>
        </w:rPr>
        <w:t>ë</w:t>
      </w:r>
      <w:r w:rsidRPr="007D7D65" w:rsidR="002759DF">
        <w:rPr>
          <w:lang w:val="sq-AL"/>
        </w:rPr>
        <w:t xml:space="preserve"> shfaj</w:t>
      </w:r>
      <w:r w:rsidR="007D7D65">
        <w:rPr>
          <w:lang w:val="sq-AL"/>
        </w:rPr>
        <w:t>ë</w:t>
      </w:r>
      <w:r w:rsidRPr="007D7D65" w:rsidR="002759DF">
        <w:rPr>
          <w:lang w:val="sq-AL"/>
        </w:rPr>
        <w:t>sohet duke th</w:t>
      </w:r>
      <w:r w:rsidR="007D7D65">
        <w:rPr>
          <w:lang w:val="sq-AL"/>
        </w:rPr>
        <w:t>ë</w:t>
      </w:r>
      <w:r w:rsidRPr="007D7D65" w:rsidR="002759DF">
        <w:rPr>
          <w:lang w:val="sq-AL"/>
        </w:rPr>
        <w:t>n</w:t>
      </w:r>
      <w:r w:rsidR="007D7D65">
        <w:rPr>
          <w:lang w:val="sq-AL"/>
        </w:rPr>
        <w:t>ë</w:t>
      </w:r>
      <w:r w:rsidRPr="007D7D65" w:rsidR="002759DF">
        <w:rPr>
          <w:lang w:val="sq-AL"/>
        </w:rPr>
        <w:t xml:space="preserve"> se ajo kishte edhe mund</w:t>
      </w:r>
      <w:r w:rsidR="007D7D65">
        <w:rPr>
          <w:lang w:val="sq-AL"/>
        </w:rPr>
        <w:t>ë</w:t>
      </w:r>
      <w:r w:rsidRPr="007D7D65" w:rsidR="002759DF">
        <w:rPr>
          <w:lang w:val="sq-AL"/>
        </w:rPr>
        <w:t>si t</w:t>
      </w:r>
      <w:r w:rsidR="007D7D65">
        <w:rPr>
          <w:lang w:val="sq-AL"/>
        </w:rPr>
        <w:t>ë</w:t>
      </w:r>
      <w:r w:rsidRPr="007D7D65" w:rsidR="002759DF">
        <w:rPr>
          <w:lang w:val="sq-AL"/>
        </w:rPr>
        <w:t xml:space="preserve"> tjera zgjedhjeje për t</w:t>
      </w:r>
      <w:r w:rsidR="00943091">
        <w:rPr>
          <w:lang w:val="sq-AL"/>
        </w:rPr>
        <w:t>’</w:t>
      </w:r>
      <w:r w:rsidRPr="007D7D65" w:rsidR="002759DF">
        <w:rPr>
          <w:lang w:val="sq-AL"/>
        </w:rPr>
        <w:t>u arsimuar</w:t>
      </w:r>
      <w:r w:rsidRPr="007D7D65" w:rsidR="007174A0">
        <w:rPr>
          <w:lang w:val="sq-AL"/>
        </w:rPr>
        <w:t xml:space="preserve">, çka sipas saj </w:t>
      </w:r>
      <w:r w:rsidR="007D7D65">
        <w:rPr>
          <w:lang w:val="sq-AL"/>
        </w:rPr>
        <w:t>ë</w:t>
      </w:r>
      <w:r w:rsidRPr="007D7D65" w:rsidR="007174A0">
        <w:rPr>
          <w:lang w:val="sq-AL"/>
        </w:rPr>
        <w:t>shtë gjithsesi e pasaktë.</w:t>
      </w:r>
    </w:p>
    <w:p w:rsidRPr="00395264" w:rsidR="00EB737A" w:rsidP="00EB737A" w:rsidRDefault="00EB737A">
      <w:pPr>
        <w:pStyle w:val="ECHRPara"/>
        <w:rPr>
          <w:lang w:val="sq-AL"/>
        </w:rPr>
      </w:pPr>
      <w:r w:rsidRPr="00395264">
        <w:rPr>
          <w:lang w:val="sq-AL"/>
        </w:rPr>
        <w:fldChar w:fldCharType="begin"/>
      </w:r>
      <w:r w:rsidRPr="00395264">
        <w:rPr>
          <w:lang w:val="sq-AL"/>
        </w:rPr>
        <w:instrText xml:space="preserve"> SEQ level0 \*arabic </w:instrText>
      </w:r>
      <w:r w:rsidRPr="00395264">
        <w:rPr>
          <w:lang w:val="sq-AL"/>
        </w:rPr>
        <w:fldChar w:fldCharType="separate"/>
      </w:r>
      <w:r w:rsidR="00013F9B">
        <w:rPr>
          <w:noProof/>
          <w:lang w:val="sq-AL"/>
        </w:rPr>
        <w:t>125</w:t>
      </w:r>
      <w:r w:rsidRPr="00395264">
        <w:rPr>
          <w:lang w:val="sq-AL"/>
        </w:rPr>
        <w:fldChar w:fldCharType="end"/>
      </w:r>
      <w:r w:rsidRPr="00395264">
        <w:rPr>
          <w:lang w:val="sq-AL"/>
        </w:rPr>
        <w:t>.  </w:t>
      </w:r>
      <w:r w:rsidRPr="00395264" w:rsidR="007174A0">
        <w:rPr>
          <w:lang w:val="sq-AL"/>
        </w:rPr>
        <w:t>Padit</w:t>
      </w:r>
      <w:r w:rsidRPr="00395264" w:rsidR="007D7D65">
        <w:rPr>
          <w:lang w:val="sq-AL"/>
        </w:rPr>
        <w:t>ë</w:t>
      </w:r>
      <w:r w:rsidRPr="00395264" w:rsidR="007174A0">
        <w:rPr>
          <w:lang w:val="sq-AL"/>
        </w:rPr>
        <w:t>sja u referohet disa dokumenteve, veçan</w:t>
      </w:r>
      <w:r w:rsidRPr="00395264" w:rsidR="007D7D65">
        <w:rPr>
          <w:lang w:val="sq-AL"/>
        </w:rPr>
        <w:t>ë</w:t>
      </w:r>
      <w:r w:rsidRPr="00395264" w:rsidR="007174A0">
        <w:rPr>
          <w:lang w:val="sq-AL"/>
        </w:rPr>
        <w:t>risht raporteve Carrigan e</w:t>
      </w:r>
      <w:r w:rsidRPr="00395264">
        <w:rPr>
          <w:lang w:val="sq-AL"/>
        </w:rPr>
        <w:t xml:space="preserve"> Ryan, </w:t>
      </w:r>
      <w:r w:rsidRPr="00395264" w:rsidR="007174A0">
        <w:rPr>
          <w:lang w:val="sq-AL"/>
        </w:rPr>
        <w:t>për të mb</w:t>
      </w:r>
      <w:r w:rsidRPr="00395264" w:rsidR="007D7D65">
        <w:rPr>
          <w:lang w:val="sq-AL"/>
        </w:rPr>
        <w:t>ë</w:t>
      </w:r>
      <w:r w:rsidRPr="00395264" w:rsidR="007174A0">
        <w:rPr>
          <w:lang w:val="sq-AL"/>
        </w:rPr>
        <w:t>shtetur pretendimin e saj sipas t</w:t>
      </w:r>
      <w:r w:rsidRPr="00395264" w:rsidR="007D7D65">
        <w:rPr>
          <w:lang w:val="sq-AL"/>
        </w:rPr>
        <w:t>ë</w:t>
      </w:r>
      <w:r w:rsidRPr="00395264" w:rsidR="007174A0">
        <w:rPr>
          <w:lang w:val="sq-AL"/>
        </w:rPr>
        <w:t xml:space="preserve"> cilit shteti kishte ose duhej t</w:t>
      </w:r>
      <w:r w:rsidRPr="00395264" w:rsidR="007D7D65">
        <w:rPr>
          <w:lang w:val="sq-AL"/>
        </w:rPr>
        <w:t>ë</w:t>
      </w:r>
      <w:r w:rsidRPr="00395264" w:rsidR="007174A0">
        <w:rPr>
          <w:lang w:val="sq-AL"/>
        </w:rPr>
        <w:t xml:space="preserve"> kishte pasur dijeni për rrezikun e abuzimeve lidhur me nx</w:t>
      </w:r>
      <w:r w:rsidRPr="00395264" w:rsidR="007D7D65">
        <w:rPr>
          <w:lang w:val="sq-AL"/>
        </w:rPr>
        <w:t>ë</w:t>
      </w:r>
      <w:r w:rsidRPr="00395264" w:rsidR="007174A0">
        <w:rPr>
          <w:lang w:val="sq-AL"/>
        </w:rPr>
        <w:t>n</w:t>
      </w:r>
      <w:r w:rsidRPr="00395264" w:rsidR="007D7D65">
        <w:rPr>
          <w:lang w:val="sq-AL"/>
        </w:rPr>
        <w:t>ë</w:t>
      </w:r>
      <w:r w:rsidRPr="00395264" w:rsidR="007174A0">
        <w:rPr>
          <w:lang w:val="sq-AL"/>
        </w:rPr>
        <w:t>sit e shkollave komb</w:t>
      </w:r>
      <w:r w:rsidRPr="00395264" w:rsidR="007D7D65">
        <w:rPr>
          <w:lang w:val="sq-AL"/>
        </w:rPr>
        <w:t>ë</w:t>
      </w:r>
      <w:r w:rsidRPr="00395264" w:rsidR="007174A0">
        <w:rPr>
          <w:lang w:val="sq-AL"/>
        </w:rPr>
        <w:t>tare. Ajo thekson se Raporti Ryan ësht</w:t>
      </w:r>
      <w:r w:rsidRPr="00395264" w:rsidR="007D7D65">
        <w:rPr>
          <w:lang w:val="sq-AL"/>
        </w:rPr>
        <w:t>ë</w:t>
      </w:r>
      <w:r w:rsidRPr="00395264" w:rsidR="007174A0">
        <w:rPr>
          <w:lang w:val="sq-AL"/>
        </w:rPr>
        <w:t xml:space="preserve"> botuar pas nëntë vitesh hetim dhe pas shpalljes së vendimit të Gjykatës s</w:t>
      </w:r>
      <w:r w:rsidRPr="00395264" w:rsidR="007D7D65">
        <w:rPr>
          <w:lang w:val="sq-AL"/>
        </w:rPr>
        <w:t>ë</w:t>
      </w:r>
      <w:r w:rsidRPr="00395264" w:rsidR="007174A0">
        <w:rPr>
          <w:lang w:val="sq-AL"/>
        </w:rPr>
        <w:t xml:space="preserve"> Lartë në suaz</w:t>
      </w:r>
      <w:r w:rsidRPr="00395264" w:rsidR="007D7D65">
        <w:rPr>
          <w:lang w:val="sq-AL"/>
        </w:rPr>
        <w:t>ë</w:t>
      </w:r>
      <w:r w:rsidRPr="00395264" w:rsidR="007174A0">
        <w:rPr>
          <w:lang w:val="sq-AL"/>
        </w:rPr>
        <w:t>n e padis</w:t>
      </w:r>
      <w:r w:rsidRPr="00395264" w:rsidR="007D7D65">
        <w:rPr>
          <w:lang w:val="sq-AL"/>
        </w:rPr>
        <w:t>ë</w:t>
      </w:r>
      <w:r w:rsidRPr="00395264" w:rsidR="007174A0">
        <w:rPr>
          <w:lang w:val="sq-AL"/>
        </w:rPr>
        <w:t xml:space="preserve"> s</w:t>
      </w:r>
      <w:r w:rsidRPr="00395264" w:rsidR="007D7D65">
        <w:rPr>
          <w:lang w:val="sq-AL"/>
        </w:rPr>
        <w:t>ë</w:t>
      </w:r>
      <w:r w:rsidRPr="00395264" w:rsidR="007174A0">
        <w:rPr>
          <w:lang w:val="sq-AL"/>
        </w:rPr>
        <w:t xml:space="preserve"> nisur prej saj n</w:t>
      </w:r>
      <w:r w:rsidRPr="00395264" w:rsidR="007D7D65">
        <w:rPr>
          <w:lang w:val="sq-AL"/>
        </w:rPr>
        <w:t>ë</w:t>
      </w:r>
      <w:r w:rsidRPr="00395264" w:rsidR="007174A0">
        <w:rPr>
          <w:lang w:val="sq-AL"/>
        </w:rPr>
        <w:t xml:space="preserve"> rrug</w:t>
      </w:r>
      <w:r w:rsidRPr="00395264" w:rsidR="007D7D65">
        <w:rPr>
          <w:lang w:val="sq-AL"/>
        </w:rPr>
        <w:t>ë</w:t>
      </w:r>
      <w:r w:rsidRPr="00395264" w:rsidR="007174A0">
        <w:rPr>
          <w:lang w:val="sq-AL"/>
        </w:rPr>
        <w:t xml:space="preserve"> civile. Ajo mbron përveç k</w:t>
      </w:r>
      <w:r w:rsidRPr="00395264" w:rsidR="007D7D65">
        <w:rPr>
          <w:lang w:val="sq-AL"/>
        </w:rPr>
        <w:t>ë</w:t>
      </w:r>
      <w:r w:rsidRPr="00395264" w:rsidR="007174A0">
        <w:rPr>
          <w:lang w:val="sq-AL"/>
        </w:rPr>
        <w:t>saj mendimin se shteti ishte ose duhej t</w:t>
      </w:r>
      <w:r w:rsidRPr="00395264" w:rsidR="007D7D65">
        <w:rPr>
          <w:lang w:val="sq-AL"/>
        </w:rPr>
        <w:t>ë</w:t>
      </w:r>
      <w:r w:rsidRPr="00395264" w:rsidR="007174A0">
        <w:rPr>
          <w:lang w:val="sq-AL"/>
        </w:rPr>
        <w:t xml:space="preserve"> ishte i vetëdijsh</w:t>
      </w:r>
      <w:r w:rsidRPr="00395264" w:rsidR="007D7D65">
        <w:rPr>
          <w:lang w:val="sq-AL"/>
        </w:rPr>
        <w:t>ë</w:t>
      </w:r>
      <w:r w:rsidRPr="00395264" w:rsidR="007174A0">
        <w:rPr>
          <w:lang w:val="sq-AL"/>
        </w:rPr>
        <w:t>m për mungesën e masave t</w:t>
      </w:r>
      <w:r w:rsidRPr="00395264" w:rsidR="007D7D65">
        <w:rPr>
          <w:lang w:val="sq-AL"/>
        </w:rPr>
        <w:t>ë</w:t>
      </w:r>
      <w:r w:rsidRPr="00395264" w:rsidR="007174A0">
        <w:rPr>
          <w:lang w:val="sq-AL"/>
        </w:rPr>
        <w:t xml:space="preserve"> p</w:t>
      </w:r>
      <w:r w:rsidRPr="00395264" w:rsidR="007D7D65">
        <w:rPr>
          <w:lang w:val="sq-AL"/>
        </w:rPr>
        <w:t>ë</w:t>
      </w:r>
      <w:r w:rsidRPr="00395264" w:rsidR="007174A0">
        <w:rPr>
          <w:lang w:val="sq-AL"/>
        </w:rPr>
        <w:t>rshtatshme mbrojt</w:t>
      </w:r>
      <w:r w:rsidRPr="00395264" w:rsidR="007D7D65">
        <w:rPr>
          <w:lang w:val="sq-AL"/>
        </w:rPr>
        <w:t>ë</w:t>
      </w:r>
      <w:r w:rsidRPr="00395264" w:rsidR="007174A0">
        <w:rPr>
          <w:lang w:val="sq-AL"/>
        </w:rPr>
        <w:t>se për t</w:t>
      </w:r>
      <w:r w:rsidRPr="00395264" w:rsidR="007D7D65">
        <w:rPr>
          <w:lang w:val="sq-AL"/>
        </w:rPr>
        <w:t>ë</w:t>
      </w:r>
      <w:r w:rsidRPr="00395264" w:rsidR="007174A0">
        <w:rPr>
          <w:lang w:val="sq-AL"/>
        </w:rPr>
        <w:t xml:space="preserve"> shmangur abuzime t</w:t>
      </w:r>
      <w:r w:rsidRPr="00395264" w:rsidR="007D7D65">
        <w:rPr>
          <w:lang w:val="sq-AL"/>
        </w:rPr>
        <w:t>ë</w:t>
      </w:r>
      <w:r w:rsidRPr="00395264" w:rsidR="007174A0">
        <w:rPr>
          <w:lang w:val="sq-AL"/>
        </w:rPr>
        <w:t xml:space="preserve"> tilla, sidomos t</w:t>
      </w:r>
      <w:r w:rsidRPr="00395264" w:rsidR="007D7D65">
        <w:rPr>
          <w:lang w:val="sq-AL"/>
        </w:rPr>
        <w:t>ë</w:t>
      </w:r>
      <w:r w:rsidRPr="00395264" w:rsidR="007174A0">
        <w:rPr>
          <w:lang w:val="sq-AL"/>
        </w:rPr>
        <w:t xml:space="preserve"> mekanizmave t</w:t>
      </w:r>
      <w:r w:rsidRPr="00395264" w:rsidR="007D7D65">
        <w:rPr>
          <w:lang w:val="sq-AL"/>
        </w:rPr>
        <w:t>ë</w:t>
      </w:r>
      <w:r w:rsidRPr="00395264" w:rsidR="007174A0">
        <w:rPr>
          <w:lang w:val="sq-AL"/>
        </w:rPr>
        <w:t xml:space="preserve"> duhur t</w:t>
      </w:r>
      <w:r w:rsidRPr="00395264" w:rsidR="007D7D65">
        <w:rPr>
          <w:lang w:val="sq-AL"/>
        </w:rPr>
        <w:t>ë</w:t>
      </w:r>
      <w:r w:rsidRPr="00395264" w:rsidR="007174A0">
        <w:rPr>
          <w:lang w:val="sq-AL"/>
        </w:rPr>
        <w:t xml:space="preserve"> mbik</w:t>
      </w:r>
      <w:r w:rsidRPr="00395264" w:rsidR="007D7D65">
        <w:rPr>
          <w:lang w:val="sq-AL"/>
        </w:rPr>
        <w:t>ë</w:t>
      </w:r>
      <w:r w:rsidRPr="00395264" w:rsidR="007174A0">
        <w:rPr>
          <w:lang w:val="sq-AL"/>
        </w:rPr>
        <w:t>qyrjes dhe të sinjalizimit. Me pak fjal</w:t>
      </w:r>
      <w:r w:rsidRPr="00395264" w:rsidR="007D7D65">
        <w:rPr>
          <w:lang w:val="sq-AL"/>
        </w:rPr>
        <w:t>ë</w:t>
      </w:r>
      <w:r w:rsidRPr="00395264" w:rsidR="007174A0">
        <w:rPr>
          <w:lang w:val="sq-AL"/>
        </w:rPr>
        <w:t>, ajo ësht</w:t>
      </w:r>
      <w:r w:rsidRPr="00395264" w:rsidR="007D7D65">
        <w:rPr>
          <w:lang w:val="sq-AL"/>
        </w:rPr>
        <w:t>ë</w:t>
      </w:r>
      <w:r w:rsidRPr="00395264" w:rsidR="007174A0">
        <w:rPr>
          <w:lang w:val="sq-AL"/>
        </w:rPr>
        <w:t xml:space="preserve"> e mendimit se kryerja e abuzimeve nx</w:t>
      </w:r>
      <w:r w:rsidRPr="00395264" w:rsidR="007D7D65">
        <w:rPr>
          <w:lang w:val="sq-AL"/>
        </w:rPr>
        <w:t>ë</w:t>
      </w:r>
      <w:r w:rsidRPr="00395264" w:rsidR="007174A0">
        <w:rPr>
          <w:lang w:val="sq-AL"/>
        </w:rPr>
        <w:t>n</w:t>
      </w:r>
      <w:r w:rsidRPr="00395264" w:rsidR="007D7D65">
        <w:rPr>
          <w:lang w:val="sq-AL"/>
        </w:rPr>
        <w:t>ë</w:t>
      </w:r>
      <w:r w:rsidRPr="00395264" w:rsidR="007174A0">
        <w:rPr>
          <w:lang w:val="sq-AL"/>
        </w:rPr>
        <w:t>sve t</w:t>
      </w:r>
      <w:r w:rsidRPr="00395264" w:rsidR="007D7D65">
        <w:rPr>
          <w:lang w:val="sq-AL"/>
        </w:rPr>
        <w:t>ë</w:t>
      </w:r>
      <w:r w:rsidRPr="00395264" w:rsidR="007174A0">
        <w:rPr>
          <w:lang w:val="sq-AL"/>
        </w:rPr>
        <w:t xml:space="preserve"> shkolluar n</w:t>
      </w:r>
      <w:r w:rsidRPr="00395264" w:rsidR="007D7D65">
        <w:rPr>
          <w:lang w:val="sq-AL"/>
        </w:rPr>
        <w:t>ë</w:t>
      </w:r>
      <w:r w:rsidRPr="00395264" w:rsidR="007174A0">
        <w:rPr>
          <w:lang w:val="sq-AL"/>
        </w:rPr>
        <w:t xml:space="preserve"> shkollat komb</w:t>
      </w:r>
      <w:r w:rsidRPr="00395264" w:rsidR="007D7D65">
        <w:rPr>
          <w:lang w:val="sq-AL"/>
        </w:rPr>
        <w:t>ë</w:t>
      </w:r>
      <w:r w:rsidRPr="00395264" w:rsidR="007174A0">
        <w:rPr>
          <w:lang w:val="sq-AL"/>
        </w:rPr>
        <w:t>tare ësht</w:t>
      </w:r>
      <w:r w:rsidRPr="00395264" w:rsidR="007D7D65">
        <w:rPr>
          <w:lang w:val="sq-AL"/>
        </w:rPr>
        <w:t>ë</w:t>
      </w:r>
      <w:r w:rsidRPr="00395264" w:rsidR="007174A0">
        <w:rPr>
          <w:lang w:val="sq-AL"/>
        </w:rPr>
        <w:t xml:space="preserve"> leht</w:t>
      </w:r>
      <w:r w:rsidRPr="00395264" w:rsidR="007D7D65">
        <w:rPr>
          <w:lang w:val="sq-AL"/>
        </w:rPr>
        <w:t>ë</w:t>
      </w:r>
      <w:r w:rsidRPr="00395264" w:rsidR="007174A0">
        <w:rPr>
          <w:lang w:val="sq-AL"/>
        </w:rPr>
        <w:t>suar nga bashk</w:t>
      </w:r>
      <w:r w:rsidRPr="00395264" w:rsidR="007D7D65">
        <w:rPr>
          <w:lang w:val="sq-AL"/>
        </w:rPr>
        <w:t>ë</w:t>
      </w:r>
      <w:r w:rsidRPr="00395264" w:rsidR="007174A0">
        <w:rPr>
          <w:lang w:val="sq-AL"/>
        </w:rPr>
        <w:t>veprimi i modelit t</w:t>
      </w:r>
      <w:r w:rsidRPr="00395264" w:rsidR="007D7D65">
        <w:rPr>
          <w:lang w:val="sq-AL"/>
        </w:rPr>
        <w:t>ë</w:t>
      </w:r>
      <w:r w:rsidRPr="00395264" w:rsidR="007174A0">
        <w:rPr>
          <w:lang w:val="sq-AL"/>
        </w:rPr>
        <w:t xml:space="preserve"> </w:t>
      </w:r>
      <w:r w:rsidRPr="00395264" w:rsidR="007D7D65">
        <w:rPr>
          <w:lang w:val="sq-AL"/>
        </w:rPr>
        <w:t xml:space="preserve">arsimit fillor të bazuar te </w:t>
      </w:r>
      <w:r w:rsidRPr="00395264" w:rsidR="007174A0">
        <w:rPr>
          <w:lang w:val="sq-AL"/>
        </w:rPr>
        <w:t>shkolla</w:t>
      </w:r>
      <w:r w:rsidRPr="00395264" w:rsidR="007D7D65">
        <w:rPr>
          <w:lang w:val="sq-AL"/>
        </w:rPr>
        <w:t>t</w:t>
      </w:r>
      <w:r w:rsidRPr="00395264" w:rsidR="007174A0">
        <w:rPr>
          <w:lang w:val="sq-AL"/>
        </w:rPr>
        <w:t xml:space="preserve"> komb</w:t>
      </w:r>
      <w:r w:rsidRPr="00395264" w:rsidR="007D7D65">
        <w:rPr>
          <w:lang w:val="sq-AL"/>
        </w:rPr>
        <w:t>ë</w:t>
      </w:r>
      <w:r w:rsidRPr="00395264" w:rsidR="007174A0">
        <w:rPr>
          <w:lang w:val="sq-AL"/>
        </w:rPr>
        <w:t>tare</w:t>
      </w:r>
      <w:r w:rsidRPr="00395264" w:rsidR="007D7D65">
        <w:rPr>
          <w:lang w:val="sq-AL"/>
        </w:rPr>
        <w:t xml:space="preserve"> me mungesën e masave efektive që do të kishin mundur t</w:t>
      </w:r>
      <w:r w:rsidR="00943091">
        <w:rPr>
          <w:lang w:val="sq-AL"/>
        </w:rPr>
        <w:t>’</w:t>
      </w:r>
      <w:r w:rsidRPr="00395264" w:rsidR="007D7D65">
        <w:rPr>
          <w:lang w:val="sq-AL"/>
        </w:rPr>
        <w:t>i parandalonin dhe t</w:t>
      </w:r>
      <w:r w:rsidR="00943091">
        <w:rPr>
          <w:lang w:val="sq-AL"/>
        </w:rPr>
        <w:t>’</w:t>
      </w:r>
      <w:r w:rsidRPr="00395264" w:rsidR="007D7D65">
        <w:rPr>
          <w:lang w:val="sq-AL"/>
        </w:rPr>
        <w:t>i zbulonin abuzimet seksuale.</w:t>
      </w:r>
    </w:p>
    <w:p w:rsidRPr="00297FBB" w:rsidR="00EB737A" w:rsidP="00EB737A" w:rsidRDefault="00EB737A">
      <w:pPr>
        <w:pStyle w:val="ECHRPara"/>
        <w:rPr>
          <w:lang w:val="sq-AL"/>
        </w:rPr>
      </w:pPr>
      <w:r w:rsidRPr="00297FBB">
        <w:rPr>
          <w:lang w:val="sq-AL"/>
        </w:rPr>
        <w:fldChar w:fldCharType="begin"/>
      </w:r>
      <w:r w:rsidRPr="00297FBB">
        <w:rPr>
          <w:lang w:val="sq-AL"/>
        </w:rPr>
        <w:instrText xml:space="preserve"> SEQ level0 \*arabic </w:instrText>
      </w:r>
      <w:r w:rsidRPr="00297FBB">
        <w:rPr>
          <w:lang w:val="sq-AL"/>
        </w:rPr>
        <w:fldChar w:fldCharType="separate"/>
      </w:r>
      <w:r w:rsidR="00013F9B">
        <w:rPr>
          <w:noProof/>
          <w:lang w:val="sq-AL"/>
        </w:rPr>
        <w:t>126</w:t>
      </w:r>
      <w:r w:rsidRPr="00297FBB">
        <w:rPr>
          <w:lang w:val="sq-AL"/>
        </w:rPr>
        <w:fldChar w:fldCharType="end"/>
      </w:r>
      <w:r w:rsidRPr="00297FBB">
        <w:rPr>
          <w:lang w:val="sq-AL"/>
        </w:rPr>
        <w:t>.  </w:t>
      </w:r>
      <w:r w:rsidRPr="00297FBB" w:rsidR="007D7D65">
        <w:rPr>
          <w:lang w:val="sq-AL"/>
        </w:rPr>
        <w:t>Paditësja çmon se masat e p</w:t>
      </w:r>
      <w:r w:rsidRPr="00297FBB" w:rsidR="00395264">
        <w:rPr>
          <w:lang w:val="sq-AL"/>
        </w:rPr>
        <w:t>ë</w:t>
      </w:r>
      <w:r w:rsidRPr="00297FBB" w:rsidR="007D7D65">
        <w:rPr>
          <w:lang w:val="sq-AL"/>
        </w:rPr>
        <w:t>rmendura nga Qeveria ishin t</w:t>
      </w:r>
      <w:r w:rsidRPr="00297FBB" w:rsidR="00395264">
        <w:rPr>
          <w:lang w:val="sq-AL"/>
        </w:rPr>
        <w:t>ë</w:t>
      </w:r>
      <w:r w:rsidRPr="00297FBB" w:rsidR="007D7D65">
        <w:rPr>
          <w:lang w:val="sq-AL"/>
        </w:rPr>
        <w:t xml:space="preserve"> pamjaftueshme dhe se n</w:t>
      </w:r>
      <w:r w:rsidRPr="00297FBB" w:rsidR="00395264">
        <w:rPr>
          <w:lang w:val="sq-AL"/>
        </w:rPr>
        <w:t>ë</w:t>
      </w:r>
      <w:r w:rsidRPr="00297FBB" w:rsidR="007D7D65">
        <w:rPr>
          <w:lang w:val="sq-AL"/>
        </w:rPr>
        <w:t xml:space="preserve"> fakt ato e v</w:t>
      </w:r>
      <w:r w:rsidRPr="00297FBB" w:rsidR="00395264">
        <w:rPr>
          <w:lang w:val="sq-AL"/>
        </w:rPr>
        <w:t>ë</w:t>
      </w:r>
      <w:r w:rsidRPr="00297FBB" w:rsidR="007D7D65">
        <w:rPr>
          <w:lang w:val="sq-AL"/>
        </w:rPr>
        <w:t>rtetojn</w:t>
      </w:r>
      <w:r w:rsidRPr="00297FBB" w:rsidR="00395264">
        <w:rPr>
          <w:lang w:val="sq-AL"/>
        </w:rPr>
        <w:t>ë</w:t>
      </w:r>
      <w:r w:rsidRPr="00297FBB" w:rsidR="007D7D65">
        <w:rPr>
          <w:lang w:val="sq-AL"/>
        </w:rPr>
        <w:t xml:space="preserve"> munges</w:t>
      </w:r>
      <w:r w:rsidRPr="00297FBB" w:rsidR="00395264">
        <w:rPr>
          <w:lang w:val="sq-AL"/>
        </w:rPr>
        <w:t>ë</w:t>
      </w:r>
      <w:r w:rsidRPr="00297FBB" w:rsidR="007D7D65">
        <w:rPr>
          <w:lang w:val="sq-AL"/>
        </w:rPr>
        <w:t>n e kontrollit për t</w:t>
      </w:r>
      <w:r w:rsidRPr="00297FBB" w:rsidR="00395264">
        <w:rPr>
          <w:lang w:val="sq-AL"/>
        </w:rPr>
        <w:t>ë</w:t>
      </w:r>
      <w:r w:rsidRPr="00297FBB" w:rsidR="007D7D65">
        <w:rPr>
          <w:lang w:val="sq-AL"/>
        </w:rPr>
        <w:t xml:space="preserve"> cilën ajo e qorton shtetin. Ajo shpjegon se Rregullorja e vitit </w:t>
      </w:r>
      <w:r w:rsidRPr="00297FBB">
        <w:rPr>
          <w:lang w:val="sq-AL"/>
        </w:rPr>
        <w:t xml:space="preserve">1965 </w:t>
      </w:r>
      <w:r w:rsidRPr="00297FBB" w:rsidR="007D7D65">
        <w:rPr>
          <w:lang w:val="sq-AL"/>
        </w:rPr>
        <w:t>dhe qarkoret nuk ishin as ligje, as tekste p</w:t>
      </w:r>
      <w:r w:rsidRPr="00297FBB" w:rsidR="00395264">
        <w:rPr>
          <w:lang w:val="sq-AL"/>
        </w:rPr>
        <w:t>ë</w:t>
      </w:r>
      <w:r w:rsidRPr="00297FBB" w:rsidR="007D7D65">
        <w:rPr>
          <w:lang w:val="sq-AL"/>
        </w:rPr>
        <w:t>r v</w:t>
      </w:r>
      <w:r w:rsidRPr="00297FBB" w:rsidR="00395264">
        <w:rPr>
          <w:lang w:val="sq-AL"/>
        </w:rPr>
        <w:t>ë</w:t>
      </w:r>
      <w:r w:rsidRPr="00297FBB" w:rsidR="007D7D65">
        <w:rPr>
          <w:lang w:val="sq-AL"/>
        </w:rPr>
        <w:t>nie n</w:t>
      </w:r>
      <w:r w:rsidRPr="00297FBB" w:rsidR="00395264">
        <w:rPr>
          <w:lang w:val="sq-AL"/>
        </w:rPr>
        <w:t>ë</w:t>
      </w:r>
      <w:r w:rsidRPr="00297FBB" w:rsidR="007D7D65">
        <w:rPr>
          <w:lang w:val="sq-AL"/>
        </w:rPr>
        <w:t xml:space="preserve"> zbatim, se ato nuk kishin nj</w:t>
      </w:r>
      <w:r w:rsidRPr="00297FBB" w:rsidR="00395264">
        <w:rPr>
          <w:lang w:val="sq-AL"/>
        </w:rPr>
        <w:t>ë</w:t>
      </w:r>
      <w:r w:rsidRPr="00297FBB" w:rsidR="007D7D65">
        <w:rPr>
          <w:lang w:val="sq-AL"/>
        </w:rPr>
        <w:t xml:space="preserve"> bazë të caktuar ligjore, q</w:t>
      </w:r>
      <w:r w:rsidRPr="00297FBB" w:rsidR="00395264">
        <w:rPr>
          <w:lang w:val="sq-AL"/>
        </w:rPr>
        <w:t>ë</w:t>
      </w:r>
      <w:r w:rsidRPr="00297FBB" w:rsidR="007D7D65">
        <w:rPr>
          <w:lang w:val="sq-AL"/>
        </w:rPr>
        <w:t xml:space="preserve"> ato ishin aq t</w:t>
      </w:r>
      <w:r w:rsidRPr="00297FBB" w:rsidR="00395264">
        <w:rPr>
          <w:lang w:val="sq-AL"/>
        </w:rPr>
        <w:t>ë</w:t>
      </w:r>
      <w:r w:rsidRPr="00297FBB" w:rsidR="007D7D65">
        <w:rPr>
          <w:lang w:val="sq-AL"/>
        </w:rPr>
        <w:t xml:space="preserve"> shumta e me tepri saqë ishte e v</w:t>
      </w:r>
      <w:r w:rsidRPr="00297FBB" w:rsidR="00395264">
        <w:rPr>
          <w:lang w:val="sq-AL"/>
        </w:rPr>
        <w:t>ë</w:t>
      </w:r>
      <w:r w:rsidRPr="00297FBB" w:rsidR="007D7D65">
        <w:rPr>
          <w:lang w:val="sq-AL"/>
        </w:rPr>
        <w:t>shtir</w:t>
      </w:r>
      <w:r w:rsidRPr="00297FBB" w:rsidR="00395264">
        <w:rPr>
          <w:lang w:val="sq-AL"/>
        </w:rPr>
        <w:t>ë</w:t>
      </w:r>
      <w:r w:rsidRPr="00297FBB" w:rsidR="007D7D65">
        <w:rPr>
          <w:lang w:val="sq-AL"/>
        </w:rPr>
        <w:t xml:space="preserve"> t</w:t>
      </w:r>
      <w:r w:rsidRPr="00297FBB" w:rsidR="00395264">
        <w:rPr>
          <w:lang w:val="sq-AL"/>
        </w:rPr>
        <w:t>ë</w:t>
      </w:r>
      <w:r w:rsidRPr="00297FBB" w:rsidR="007D7D65">
        <w:rPr>
          <w:lang w:val="sq-AL"/>
        </w:rPr>
        <w:t xml:space="preserve"> p</w:t>
      </w:r>
      <w:r w:rsidRPr="00297FBB" w:rsidR="00395264">
        <w:rPr>
          <w:lang w:val="sq-AL"/>
        </w:rPr>
        <w:t>ë</w:t>
      </w:r>
      <w:r w:rsidRPr="00297FBB" w:rsidR="007D7D65">
        <w:rPr>
          <w:lang w:val="sq-AL"/>
        </w:rPr>
        <w:t>rcaktoje se deri në çfar</w:t>
      </w:r>
      <w:r w:rsidRPr="00297FBB" w:rsidR="00395264">
        <w:rPr>
          <w:lang w:val="sq-AL"/>
        </w:rPr>
        <w:t>ë</w:t>
      </w:r>
      <w:r w:rsidRPr="00297FBB" w:rsidR="007D7D65">
        <w:rPr>
          <w:lang w:val="sq-AL"/>
        </w:rPr>
        <w:t xml:space="preserve"> mase ato ishin ende n</w:t>
      </w:r>
      <w:r w:rsidRPr="00297FBB" w:rsidR="00395264">
        <w:rPr>
          <w:lang w:val="sq-AL"/>
        </w:rPr>
        <w:t>ë</w:t>
      </w:r>
      <w:r w:rsidRPr="00297FBB" w:rsidR="007D7D65">
        <w:rPr>
          <w:lang w:val="sq-AL"/>
        </w:rPr>
        <w:t xml:space="preserve"> fuqi</w:t>
      </w:r>
      <w:r w:rsidRPr="00297FBB" w:rsidR="00395264">
        <w:rPr>
          <w:lang w:val="sq-AL"/>
        </w:rPr>
        <w:t xml:space="preserve"> dhe që ato nuk ishin lehtësisht të kuptueshme për publikun. Paditësja shton se këto instrumente nuk p</w:t>
      </w:r>
      <w:r w:rsidR="00297FBB">
        <w:rPr>
          <w:lang w:val="sq-AL"/>
        </w:rPr>
        <w:t>ë</w:t>
      </w:r>
      <w:r w:rsidRPr="00297FBB" w:rsidR="00395264">
        <w:rPr>
          <w:lang w:val="sq-AL"/>
        </w:rPr>
        <w:t>rmbanin kurrfarë referimi ndaj abuzimeve seksuale dhe se ato nuk parashikonin n</w:t>
      </w:r>
      <w:r w:rsidR="00297FBB">
        <w:rPr>
          <w:lang w:val="sq-AL"/>
        </w:rPr>
        <w:t>ë</w:t>
      </w:r>
      <w:r w:rsidRPr="00297FBB" w:rsidR="00395264">
        <w:rPr>
          <w:lang w:val="sq-AL"/>
        </w:rPr>
        <w:t xml:space="preserve"> k</w:t>
      </w:r>
      <w:r w:rsidR="00297FBB">
        <w:rPr>
          <w:lang w:val="sq-AL"/>
        </w:rPr>
        <w:t>ë</w:t>
      </w:r>
      <w:r w:rsidRPr="00297FBB" w:rsidR="00395264">
        <w:rPr>
          <w:lang w:val="sq-AL"/>
        </w:rPr>
        <w:t>t</w:t>
      </w:r>
      <w:r w:rsidR="00297FBB">
        <w:rPr>
          <w:lang w:val="sq-AL"/>
        </w:rPr>
        <w:t>ë</w:t>
      </w:r>
      <w:r w:rsidRPr="00297FBB" w:rsidR="00395264">
        <w:rPr>
          <w:lang w:val="sq-AL"/>
        </w:rPr>
        <w:t xml:space="preserve"> drejtim jo vet</w:t>
      </w:r>
      <w:r w:rsidR="00297FBB">
        <w:rPr>
          <w:lang w:val="sq-AL"/>
        </w:rPr>
        <w:t>ë</w:t>
      </w:r>
      <w:r w:rsidRPr="00297FBB" w:rsidR="00395264">
        <w:rPr>
          <w:lang w:val="sq-AL"/>
        </w:rPr>
        <w:t>m asnjë procedur</w:t>
      </w:r>
      <w:r w:rsidR="00297FBB">
        <w:rPr>
          <w:lang w:val="sq-AL"/>
        </w:rPr>
        <w:t>ë</w:t>
      </w:r>
      <w:r w:rsidRPr="00297FBB" w:rsidR="00395264">
        <w:rPr>
          <w:lang w:val="sq-AL"/>
        </w:rPr>
        <w:t xml:space="preserve"> p</w:t>
      </w:r>
      <w:r w:rsidR="00297FBB">
        <w:rPr>
          <w:lang w:val="sq-AL"/>
        </w:rPr>
        <w:t>ë</w:t>
      </w:r>
      <w:r w:rsidRPr="00297FBB" w:rsidR="00395264">
        <w:rPr>
          <w:lang w:val="sq-AL"/>
        </w:rPr>
        <w:t>r paraqitje ankese, por edhe asnjë detyrim shtrëngues mbikëqyrjeje, hetimi apo sinjalizimi p</w:t>
      </w:r>
      <w:r w:rsidR="00297FBB">
        <w:rPr>
          <w:lang w:val="sq-AL"/>
        </w:rPr>
        <w:t>ë</w:t>
      </w:r>
      <w:r w:rsidRPr="00297FBB" w:rsidR="00395264">
        <w:rPr>
          <w:lang w:val="sq-AL"/>
        </w:rPr>
        <w:t>r ndonj</w:t>
      </w:r>
      <w:r w:rsidR="00297FBB">
        <w:rPr>
          <w:lang w:val="sq-AL"/>
        </w:rPr>
        <w:t>ë</w:t>
      </w:r>
      <w:r w:rsidRPr="00297FBB" w:rsidR="00395264">
        <w:rPr>
          <w:lang w:val="sq-AL"/>
        </w:rPr>
        <w:t xml:space="preserve"> autoritet shtetëror. Për mendimin e saj, ato ishin pra gjithsesi t</w:t>
      </w:r>
      <w:r w:rsidR="00297FBB">
        <w:rPr>
          <w:lang w:val="sq-AL"/>
        </w:rPr>
        <w:t>ë</w:t>
      </w:r>
      <w:r w:rsidRPr="00297FBB" w:rsidR="00395264">
        <w:rPr>
          <w:lang w:val="sq-AL"/>
        </w:rPr>
        <w:t xml:space="preserve"> paefektshme. Padit</w:t>
      </w:r>
      <w:r w:rsidR="00297FBB">
        <w:rPr>
          <w:lang w:val="sq-AL"/>
        </w:rPr>
        <w:t>ë</w:t>
      </w:r>
      <w:r w:rsidRPr="00297FBB" w:rsidR="00395264">
        <w:rPr>
          <w:lang w:val="sq-AL"/>
        </w:rPr>
        <w:t>sja v</w:t>
      </w:r>
      <w:r w:rsidR="00297FBB">
        <w:rPr>
          <w:lang w:val="sq-AL"/>
        </w:rPr>
        <w:t>ë</w:t>
      </w:r>
      <w:r w:rsidRPr="00297FBB" w:rsidR="00395264">
        <w:rPr>
          <w:lang w:val="sq-AL"/>
        </w:rPr>
        <w:t xml:space="preserve"> n</w:t>
      </w:r>
      <w:r w:rsidR="00297FBB">
        <w:rPr>
          <w:lang w:val="sq-AL"/>
        </w:rPr>
        <w:t>ë</w:t>
      </w:r>
      <w:r w:rsidRPr="00297FBB" w:rsidR="00395264">
        <w:rPr>
          <w:lang w:val="sq-AL"/>
        </w:rPr>
        <w:t xml:space="preserve"> dukje nga ana tjet</w:t>
      </w:r>
      <w:r w:rsidR="00297FBB">
        <w:rPr>
          <w:lang w:val="sq-AL"/>
        </w:rPr>
        <w:t>ë</w:t>
      </w:r>
      <w:r w:rsidRPr="00297FBB" w:rsidR="00395264">
        <w:rPr>
          <w:lang w:val="sq-AL"/>
        </w:rPr>
        <w:t>r se, p</w:t>
      </w:r>
      <w:r w:rsidR="00297FBB">
        <w:rPr>
          <w:lang w:val="sq-AL"/>
        </w:rPr>
        <w:t>ë</w:t>
      </w:r>
      <w:r w:rsidRPr="00297FBB" w:rsidR="00395264">
        <w:rPr>
          <w:lang w:val="sq-AL"/>
        </w:rPr>
        <w:t>r prind</w:t>
      </w:r>
      <w:r w:rsidR="00297FBB">
        <w:rPr>
          <w:lang w:val="sq-AL"/>
        </w:rPr>
        <w:t>ë</w:t>
      </w:r>
      <w:r w:rsidRPr="00297FBB" w:rsidR="00395264">
        <w:rPr>
          <w:lang w:val="sq-AL"/>
        </w:rPr>
        <w:t>rit, personi pik</w:t>
      </w:r>
      <w:r w:rsidR="00297FBB">
        <w:rPr>
          <w:lang w:val="sq-AL"/>
        </w:rPr>
        <w:t>ë</w:t>
      </w:r>
      <w:r w:rsidRPr="00297FBB" w:rsidR="00395264">
        <w:rPr>
          <w:lang w:val="sq-AL"/>
        </w:rPr>
        <w:t xml:space="preserve"> referimi mbetej drejtori.</w:t>
      </w:r>
      <w:r w:rsidRPr="00297FBB" w:rsidR="00297FBB">
        <w:rPr>
          <w:lang w:val="sq-AL"/>
        </w:rPr>
        <w:t xml:space="preserve"> Ajo mbron mendimin se pak rënd</w:t>
      </w:r>
      <w:r w:rsidR="00297FBB">
        <w:rPr>
          <w:lang w:val="sq-AL"/>
        </w:rPr>
        <w:t>ë</w:t>
      </w:r>
      <w:r w:rsidRPr="00297FBB" w:rsidR="00297FBB">
        <w:rPr>
          <w:lang w:val="sq-AL"/>
        </w:rPr>
        <w:t>si ka që t</w:t>
      </w:r>
      <w:r w:rsidR="00297FBB">
        <w:rPr>
          <w:lang w:val="sq-AL"/>
        </w:rPr>
        <w:t>ë</w:t>
      </w:r>
      <w:r w:rsidRPr="00297FBB" w:rsidR="00297FBB">
        <w:rPr>
          <w:lang w:val="sq-AL"/>
        </w:rPr>
        <w:t xml:space="preserve"> bëhet dallimi n</w:t>
      </w:r>
      <w:r w:rsidR="00297FBB">
        <w:rPr>
          <w:lang w:val="sq-AL"/>
        </w:rPr>
        <w:t>ë</w:t>
      </w:r>
      <w:r w:rsidRPr="00297FBB" w:rsidR="00297FBB">
        <w:rPr>
          <w:lang w:val="sq-AL"/>
        </w:rPr>
        <w:t>se shteti e paska ndjekur ose jo një ankes</w:t>
      </w:r>
      <w:r w:rsidR="00297FBB">
        <w:rPr>
          <w:lang w:val="sq-AL"/>
        </w:rPr>
        <w:t>ë</w:t>
      </w:r>
      <w:r w:rsidRPr="00297FBB" w:rsidR="00297FBB">
        <w:rPr>
          <w:lang w:val="sq-AL"/>
        </w:rPr>
        <w:t xml:space="preserve"> q</w:t>
      </w:r>
      <w:r w:rsidR="00297FBB">
        <w:rPr>
          <w:lang w:val="sq-AL"/>
        </w:rPr>
        <w:t>ë</w:t>
      </w:r>
      <w:r w:rsidRPr="00297FBB" w:rsidR="00297FBB">
        <w:rPr>
          <w:lang w:val="sq-AL"/>
        </w:rPr>
        <w:t xml:space="preserve"> i qenk</w:t>
      </w:r>
      <w:r w:rsidR="00297FBB">
        <w:rPr>
          <w:lang w:val="sq-AL"/>
        </w:rPr>
        <w:t>ë</w:t>
      </w:r>
      <w:r w:rsidRPr="00297FBB" w:rsidR="00297FBB">
        <w:rPr>
          <w:lang w:val="sq-AL"/>
        </w:rPr>
        <w:t>sh paraqitur, përderisa, sipas saj, mungesa e çdolloj mekanizmi zbulimi e sinjalizimi b</w:t>
      </w:r>
      <w:r w:rsidR="00297FBB">
        <w:rPr>
          <w:lang w:val="sq-AL"/>
        </w:rPr>
        <w:t>ë</w:t>
      </w:r>
      <w:r w:rsidRPr="00297FBB" w:rsidR="00297FBB">
        <w:rPr>
          <w:lang w:val="sq-AL"/>
        </w:rPr>
        <w:t>nte që ankesat t</w:t>
      </w:r>
      <w:r w:rsidR="00297FBB">
        <w:rPr>
          <w:lang w:val="sq-AL"/>
        </w:rPr>
        <w:t>ë</w:t>
      </w:r>
      <w:r w:rsidRPr="00297FBB" w:rsidR="00297FBB">
        <w:rPr>
          <w:lang w:val="sq-AL"/>
        </w:rPr>
        <w:t xml:space="preserve"> mos i përcilleshin fare shtetit.</w:t>
      </w:r>
    </w:p>
    <w:p w:rsidRPr="0059344E" w:rsidR="00EB737A" w:rsidP="00EB737A" w:rsidRDefault="00EB737A">
      <w:pPr>
        <w:pStyle w:val="ECHRPara"/>
        <w:rPr>
          <w:lang w:val="sq-AL"/>
        </w:rPr>
      </w:pPr>
      <w:r w:rsidRPr="0059344E">
        <w:rPr>
          <w:lang w:val="sq-AL"/>
        </w:rPr>
        <w:fldChar w:fldCharType="begin"/>
      </w:r>
      <w:r w:rsidRPr="0059344E">
        <w:rPr>
          <w:lang w:val="sq-AL"/>
        </w:rPr>
        <w:instrText xml:space="preserve"> SEQ level0 \*arabic </w:instrText>
      </w:r>
      <w:r w:rsidRPr="0059344E">
        <w:rPr>
          <w:lang w:val="sq-AL"/>
        </w:rPr>
        <w:fldChar w:fldCharType="separate"/>
      </w:r>
      <w:r w:rsidR="00013F9B">
        <w:rPr>
          <w:noProof/>
          <w:lang w:val="sq-AL"/>
        </w:rPr>
        <w:t>127</w:t>
      </w:r>
      <w:r w:rsidRPr="0059344E">
        <w:rPr>
          <w:lang w:val="sq-AL"/>
        </w:rPr>
        <w:fldChar w:fldCharType="end"/>
      </w:r>
      <w:r w:rsidRPr="0059344E">
        <w:rPr>
          <w:lang w:val="sq-AL"/>
        </w:rPr>
        <w:t>.  </w:t>
      </w:r>
      <w:r w:rsidRPr="0059344E" w:rsidR="00297FBB">
        <w:rPr>
          <w:lang w:val="sq-AL"/>
        </w:rPr>
        <w:t>Paditësja është madje e mendimit se sistemi i inspektimit paskësh mundur t</w:t>
      </w:r>
      <w:r w:rsidR="00943091">
        <w:rPr>
          <w:lang w:val="sq-AL"/>
        </w:rPr>
        <w:t>’</w:t>
      </w:r>
      <w:r w:rsidRPr="0059344E" w:rsidR="00297FBB">
        <w:rPr>
          <w:lang w:val="sq-AL"/>
        </w:rPr>
        <w:t>i mbronte fëmijët nga abuzimet, por se nuk ka ndodhur ashtu. Sipas saj, ky sistem synonte që të garantonte cilësinë e arsimit, por jo që të kontrollonte sjelljen e mësuesve apo që të mblidhte ankesat lidhur me abuzime eventuale. Për rrjedhojë, prindërit qenkë</w:t>
      </w:r>
      <w:r w:rsidRPr="0059344E" w:rsidR="002D55DB">
        <w:rPr>
          <w:lang w:val="sq-AL"/>
        </w:rPr>
        <w:t>shin ndier t</w:t>
      </w:r>
      <w:r w:rsidRPr="0059344E" w:rsidR="00AB2D75">
        <w:rPr>
          <w:lang w:val="sq-AL"/>
        </w:rPr>
        <w:t>ë</w:t>
      </w:r>
      <w:r w:rsidRPr="0059344E" w:rsidR="002D55DB">
        <w:rPr>
          <w:lang w:val="sq-AL"/>
        </w:rPr>
        <w:t xml:space="preserve"> detyruar që t</w:t>
      </w:r>
      <w:r w:rsidR="00943091">
        <w:rPr>
          <w:lang w:val="sq-AL"/>
        </w:rPr>
        <w:t>’</w:t>
      </w:r>
      <w:r w:rsidRPr="0059344E" w:rsidR="002D55DB">
        <w:rPr>
          <w:lang w:val="sq-AL"/>
        </w:rPr>
        <w:t xml:space="preserve">ia drejtonin ankesat e tyre drejtorit, </w:t>
      </w:r>
      <w:r w:rsidRPr="0059344E" w:rsidR="002114AA">
        <w:rPr>
          <w:lang w:val="sq-AL"/>
        </w:rPr>
        <w:t xml:space="preserve">çka </w:t>
      </w:r>
      <w:r w:rsidRPr="0059344E" w:rsidR="00AB2D75">
        <w:rPr>
          <w:lang w:val="sq-AL"/>
        </w:rPr>
        <w:t>direktiva e 6 majit 1970 ua paskësh</w:t>
      </w:r>
      <w:r w:rsidRPr="0059344E" w:rsidR="002114AA">
        <w:rPr>
          <w:lang w:val="sq-AL"/>
        </w:rPr>
        <w:t xml:space="preserve"> urdhëruar</w:t>
      </w:r>
      <w:r w:rsidRPr="0059344E" w:rsidR="002D55DB">
        <w:rPr>
          <w:lang w:val="sq-AL"/>
        </w:rPr>
        <w:t xml:space="preserve"> </w:t>
      </w:r>
      <w:r w:rsidRPr="0059344E" w:rsidR="00AB2D75">
        <w:rPr>
          <w:lang w:val="sq-AL"/>
        </w:rPr>
        <w:t xml:space="preserve">atyre për më tepër </w:t>
      </w:r>
      <w:r w:rsidRPr="0059344E" w:rsidR="002114AA">
        <w:rPr>
          <w:lang w:val="sq-AL"/>
        </w:rPr>
        <w:t>që ta b</w:t>
      </w:r>
      <w:r w:rsidRPr="0059344E" w:rsidR="00AB2D75">
        <w:rPr>
          <w:lang w:val="sq-AL"/>
        </w:rPr>
        <w:t>ë</w:t>
      </w:r>
      <w:r w:rsidRPr="0059344E" w:rsidR="002114AA">
        <w:rPr>
          <w:lang w:val="sq-AL"/>
        </w:rPr>
        <w:t xml:space="preserve">nin </w:t>
      </w:r>
      <w:r w:rsidRPr="0059344E">
        <w:rPr>
          <w:lang w:val="sq-AL"/>
        </w:rPr>
        <w:t xml:space="preserve">. </w:t>
      </w:r>
      <w:r w:rsidRPr="0059344E" w:rsidR="00AB2D75">
        <w:rPr>
          <w:lang w:val="sq-AL"/>
        </w:rPr>
        <w:t xml:space="preserve">Paditësja vë në dukje se prindërit nuk kishin asnjë kontakt me inspektorët, as teorikisht, as praktikisht, dhe se asnjëra nga vijat udhëheqëse apo nga qarkoret e zbatueshme nuk i përmendte kontakte të tilla. Për mendimin e saj, mangësitë e sistemit të inspektimit dalin veçanërisht nga Raporti </w:t>
      </w:r>
      <w:r w:rsidRPr="0059344E">
        <w:rPr>
          <w:lang w:val="sq-AL"/>
        </w:rPr>
        <w:t xml:space="preserve">Ryan, </w:t>
      </w:r>
      <w:r w:rsidRPr="0059344E" w:rsidR="00AB2D75">
        <w:rPr>
          <w:lang w:val="sq-AL"/>
        </w:rPr>
        <w:t xml:space="preserve">nga një krahasim me direktivat e hollësishme në fushën e mbrojtjes së fëmijëve të miratuara që prej asaj kohe, si edhe nga faktet e çështjes në fjalë. Për sa i përket kësaj pike të fundit, që nga mesi i viteve 1960, qenkëshin regjistruar rreth 400 akuza për abuzime të kryera nga L.H. në shkollën kombëtare të </w:t>
      </w:r>
      <w:r w:rsidRPr="0059344E">
        <w:rPr>
          <w:lang w:val="sq-AL"/>
        </w:rPr>
        <w:t>Dunderrow</w:t>
      </w:r>
      <w:r w:rsidRPr="0059344E" w:rsidR="00AB2D75">
        <w:rPr>
          <w:lang w:val="sq-AL"/>
        </w:rPr>
        <w:t>-it</w:t>
      </w:r>
      <w:r w:rsidRPr="0059344E">
        <w:rPr>
          <w:lang w:val="sq-AL"/>
        </w:rPr>
        <w:t xml:space="preserve">; </w:t>
      </w:r>
      <w:r w:rsidRPr="0059344E" w:rsidR="00AB2D75">
        <w:rPr>
          <w:lang w:val="sq-AL"/>
        </w:rPr>
        <w:t>asnjë nga këto abuzime nuk i qenkësh sinjalizuar ndonjë inspektori</w:t>
      </w:r>
      <w:r w:rsidRPr="0059344E">
        <w:rPr>
          <w:lang w:val="sq-AL"/>
        </w:rPr>
        <w:t>.</w:t>
      </w:r>
    </w:p>
    <w:p w:rsidRPr="0059344E" w:rsidR="00EB737A" w:rsidP="00EB737A" w:rsidRDefault="00EB737A">
      <w:pPr>
        <w:pStyle w:val="ECHRPara"/>
        <w:rPr>
          <w:lang w:val="sq-AL"/>
        </w:rPr>
      </w:pPr>
      <w:r w:rsidRPr="0059344E">
        <w:rPr>
          <w:lang w:val="sq-AL"/>
        </w:rPr>
        <w:fldChar w:fldCharType="begin"/>
      </w:r>
      <w:r w:rsidRPr="0059344E">
        <w:rPr>
          <w:lang w:val="sq-AL"/>
        </w:rPr>
        <w:instrText xml:space="preserve"> SEQ level0 \*arabic </w:instrText>
      </w:r>
      <w:r w:rsidRPr="0059344E">
        <w:rPr>
          <w:lang w:val="sq-AL"/>
        </w:rPr>
        <w:fldChar w:fldCharType="separate"/>
      </w:r>
      <w:r w:rsidR="00013F9B">
        <w:rPr>
          <w:noProof/>
          <w:lang w:val="sq-AL"/>
        </w:rPr>
        <w:t>128</w:t>
      </w:r>
      <w:r w:rsidRPr="0059344E">
        <w:rPr>
          <w:lang w:val="sq-AL"/>
        </w:rPr>
        <w:fldChar w:fldCharType="end"/>
      </w:r>
      <w:r w:rsidRPr="0059344E">
        <w:rPr>
          <w:lang w:val="sq-AL"/>
        </w:rPr>
        <w:t>.  </w:t>
      </w:r>
      <w:r w:rsidRPr="0059344E" w:rsidR="00F33951">
        <w:rPr>
          <w:lang w:val="sq-AL"/>
        </w:rPr>
        <w:t>Në m</w:t>
      </w:r>
      <w:r w:rsidR="0059344E">
        <w:rPr>
          <w:lang w:val="sq-AL"/>
        </w:rPr>
        <w:t>ë</w:t>
      </w:r>
      <w:r w:rsidRPr="0059344E" w:rsidR="00F33951">
        <w:rPr>
          <w:lang w:val="sq-AL"/>
        </w:rPr>
        <w:t>nyr</w:t>
      </w:r>
      <w:r w:rsidR="0059344E">
        <w:rPr>
          <w:lang w:val="sq-AL"/>
        </w:rPr>
        <w:t>ë</w:t>
      </w:r>
      <w:r w:rsidRPr="0059344E" w:rsidR="00F33951">
        <w:rPr>
          <w:lang w:val="sq-AL"/>
        </w:rPr>
        <w:t xml:space="preserve"> m</w:t>
      </w:r>
      <w:r w:rsidR="0059344E">
        <w:rPr>
          <w:lang w:val="sq-AL"/>
        </w:rPr>
        <w:t>ë</w:t>
      </w:r>
      <w:r w:rsidRPr="0059344E" w:rsidR="00F33951">
        <w:rPr>
          <w:lang w:val="sq-AL"/>
        </w:rPr>
        <w:t xml:space="preserve"> të përgjithshme, padit</w:t>
      </w:r>
      <w:r w:rsidR="0059344E">
        <w:rPr>
          <w:lang w:val="sq-AL"/>
        </w:rPr>
        <w:t>ë</w:t>
      </w:r>
      <w:r w:rsidRPr="0059344E" w:rsidR="00F33951">
        <w:rPr>
          <w:lang w:val="sq-AL"/>
        </w:rPr>
        <w:t>sja n</w:t>
      </w:r>
      <w:r w:rsidR="0059344E">
        <w:rPr>
          <w:lang w:val="sq-AL"/>
        </w:rPr>
        <w:t>ë</w:t>
      </w:r>
      <w:r w:rsidRPr="0059344E" w:rsidR="00F33951">
        <w:rPr>
          <w:lang w:val="sq-AL"/>
        </w:rPr>
        <w:t>nvizon at</w:t>
      </w:r>
      <w:r w:rsidR="0059344E">
        <w:rPr>
          <w:lang w:val="sq-AL"/>
        </w:rPr>
        <w:t>ë</w:t>
      </w:r>
      <w:r w:rsidRPr="0059344E" w:rsidR="00F33951">
        <w:rPr>
          <w:lang w:val="sq-AL"/>
        </w:rPr>
        <w:t xml:space="preserve"> çka ajo e cil</w:t>
      </w:r>
      <w:r w:rsidR="0059344E">
        <w:rPr>
          <w:lang w:val="sq-AL"/>
        </w:rPr>
        <w:t>ë</w:t>
      </w:r>
      <w:r w:rsidRPr="0059344E" w:rsidR="00F33951">
        <w:rPr>
          <w:lang w:val="sq-AL"/>
        </w:rPr>
        <w:t>son si kund</w:t>
      </w:r>
      <w:r w:rsidR="0059344E">
        <w:rPr>
          <w:lang w:val="sq-AL"/>
        </w:rPr>
        <w:t>ë</w:t>
      </w:r>
      <w:r w:rsidRPr="0059344E" w:rsidR="00F33951">
        <w:rPr>
          <w:lang w:val="sq-AL"/>
        </w:rPr>
        <w:t>rshti trondit</w:t>
      </w:r>
      <w:r w:rsidR="0059344E">
        <w:rPr>
          <w:lang w:val="sq-AL"/>
        </w:rPr>
        <w:t>ë</w:t>
      </w:r>
      <w:r w:rsidRPr="0059344E" w:rsidR="00F33951">
        <w:rPr>
          <w:lang w:val="sq-AL"/>
        </w:rPr>
        <w:t>se ndërmjet përpjekjeve q</w:t>
      </w:r>
      <w:r w:rsidR="0059344E">
        <w:rPr>
          <w:lang w:val="sq-AL"/>
        </w:rPr>
        <w:t>ë</w:t>
      </w:r>
      <w:r w:rsidRPr="0059344E" w:rsidR="00F33951">
        <w:rPr>
          <w:lang w:val="sq-AL"/>
        </w:rPr>
        <w:t xml:space="preserve"> shteti paska b</w:t>
      </w:r>
      <w:r w:rsidR="0059344E">
        <w:rPr>
          <w:lang w:val="sq-AL"/>
        </w:rPr>
        <w:t>ë</w:t>
      </w:r>
      <w:r w:rsidRPr="0059344E" w:rsidR="00F33951">
        <w:rPr>
          <w:lang w:val="sq-AL"/>
        </w:rPr>
        <w:t>r</w:t>
      </w:r>
      <w:r w:rsidR="0059344E">
        <w:rPr>
          <w:lang w:val="sq-AL"/>
        </w:rPr>
        <w:t>ë</w:t>
      </w:r>
      <w:r w:rsidRPr="0059344E" w:rsidR="00F33951">
        <w:rPr>
          <w:lang w:val="sq-AL"/>
        </w:rPr>
        <w:t xml:space="preserve"> p</w:t>
      </w:r>
      <w:r w:rsidR="0059344E">
        <w:rPr>
          <w:lang w:val="sq-AL"/>
        </w:rPr>
        <w:t>ë</w:t>
      </w:r>
      <w:r w:rsidRPr="0059344E" w:rsidR="00F33951">
        <w:rPr>
          <w:lang w:val="sq-AL"/>
        </w:rPr>
        <w:t>r t</w:t>
      </w:r>
      <w:r w:rsidR="00943091">
        <w:rPr>
          <w:lang w:val="sq-AL"/>
        </w:rPr>
        <w:t>’</w:t>
      </w:r>
      <w:r w:rsidRPr="0059344E" w:rsidR="00F33951">
        <w:rPr>
          <w:lang w:val="sq-AL"/>
        </w:rPr>
        <w:t>i bindur juridiksionet e brendshme se ai nuk ushtronte asnjë kontroll, se ai nuk kishte asnj</w:t>
      </w:r>
      <w:r w:rsidR="0059344E">
        <w:rPr>
          <w:lang w:val="sq-AL"/>
        </w:rPr>
        <w:t>ë</w:t>
      </w:r>
      <w:r w:rsidRPr="0059344E" w:rsidR="00F33951">
        <w:rPr>
          <w:lang w:val="sq-AL"/>
        </w:rPr>
        <w:t xml:space="preserve"> informacion, se ai nuk luante asnjë rol lidhur me administrimin e shkollave ose me sjelljen a me prirjet e mbrapshta t</w:t>
      </w:r>
      <w:r w:rsidR="0059344E">
        <w:rPr>
          <w:lang w:val="sq-AL"/>
        </w:rPr>
        <w:t>ë</w:t>
      </w:r>
      <w:r w:rsidRPr="0059344E" w:rsidR="00F33951">
        <w:rPr>
          <w:lang w:val="sq-AL"/>
        </w:rPr>
        <w:t xml:space="preserve"> m</w:t>
      </w:r>
      <w:r w:rsidR="0059344E">
        <w:rPr>
          <w:lang w:val="sq-AL"/>
        </w:rPr>
        <w:t>ë</w:t>
      </w:r>
      <w:r w:rsidRPr="0059344E" w:rsidR="00F33951">
        <w:rPr>
          <w:lang w:val="sq-AL"/>
        </w:rPr>
        <w:t>suesve dhe se ata q</w:t>
      </w:r>
      <w:r w:rsidR="0059344E">
        <w:rPr>
          <w:lang w:val="sq-AL"/>
        </w:rPr>
        <w:t>ë</w:t>
      </w:r>
      <w:r w:rsidRPr="0059344E" w:rsidR="00F33951">
        <w:rPr>
          <w:lang w:val="sq-AL"/>
        </w:rPr>
        <w:t xml:space="preserve"> ishin plot</w:t>
      </w:r>
      <w:r w:rsidR="0059344E">
        <w:rPr>
          <w:lang w:val="sq-AL"/>
        </w:rPr>
        <w:t>ë</w:t>
      </w:r>
      <w:r w:rsidRPr="0059344E" w:rsidR="00F33951">
        <w:rPr>
          <w:lang w:val="sq-AL"/>
        </w:rPr>
        <w:t>sisht p</w:t>
      </w:r>
      <w:r w:rsidR="0059344E">
        <w:rPr>
          <w:lang w:val="sq-AL"/>
        </w:rPr>
        <w:t>ë</w:t>
      </w:r>
      <w:r w:rsidRPr="0059344E" w:rsidR="00F33951">
        <w:rPr>
          <w:lang w:val="sq-AL"/>
        </w:rPr>
        <w:t>rgjegj</w:t>
      </w:r>
      <w:r w:rsidR="0059344E">
        <w:rPr>
          <w:lang w:val="sq-AL"/>
        </w:rPr>
        <w:t>ë</w:t>
      </w:r>
      <w:r w:rsidRPr="0059344E" w:rsidR="00F33951">
        <w:rPr>
          <w:lang w:val="sq-AL"/>
        </w:rPr>
        <w:t>s në k</w:t>
      </w:r>
      <w:r w:rsidR="0059344E">
        <w:rPr>
          <w:lang w:val="sq-AL"/>
        </w:rPr>
        <w:t>ë</w:t>
      </w:r>
      <w:r w:rsidRPr="0059344E" w:rsidR="00F33951">
        <w:rPr>
          <w:lang w:val="sq-AL"/>
        </w:rPr>
        <w:t>t</w:t>
      </w:r>
      <w:r w:rsidR="0059344E">
        <w:rPr>
          <w:lang w:val="sq-AL"/>
        </w:rPr>
        <w:t>ë</w:t>
      </w:r>
      <w:r w:rsidRPr="0059344E" w:rsidR="00F33951">
        <w:rPr>
          <w:lang w:val="sq-AL"/>
        </w:rPr>
        <w:t xml:space="preserve"> drejtim ishin </w:t>
      </w:r>
      <w:r w:rsidRPr="0059344E" w:rsidR="00F33951">
        <w:rPr>
          <w:i/>
          <w:lang w:val="sq-AL"/>
        </w:rPr>
        <w:t>Padronët</w:t>
      </w:r>
      <w:r w:rsidRPr="0059344E" w:rsidR="00F33951">
        <w:rPr>
          <w:lang w:val="sq-AL"/>
        </w:rPr>
        <w:t>/drejtorët, nga njëra an</w:t>
      </w:r>
      <w:r w:rsidR="0059344E">
        <w:rPr>
          <w:lang w:val="sq-AL"/>
        </w:rPr>
        <w:t>ë</w:t>
      </w:r>
      <w:r w:rsidRPr="0059344E" w:rsidR="00F33951">
        <w:rPr>
          <w:lang w:val="sq-AL"/>
        </w:rPr>
        <w:t xml:space="preserve">, dhe </w:t>
      </w:r>
      <w:r w:rsidRPr="0059344E" w:rsidR="0059344E">
        <w:rPr>
          <w:lang w:val="sq-AL"/>
        </w:rPr>
        <w:t>qëndrimit t</w:t>
      </w:r>
      <w:r w:rsidR="0059344E">
        <w:rPr>
          <w:lang w:val="sq-AL"/>
        </w:rPr>
        <w:t>ë</w:t>
      </w:r>
      <w:r w:rsidRPr="0059344E" w:rsidR="0059344E">
        <w:rPr>
          <w:lang w:val="sq-AL"/>
        </w:rPr>
        <w:t xml:space="preserve"> qeveris</w:t>
      </w:r>
      <w:r w:rsidR="0059344E">
        <w:rPr>
          <w:lang w:val="sq-AL"/>
        </w:rPr>
        <w:t>ë</w:t>
      </w:r>
      <w:r w:rsidRPr="0059344E" w:rsidR="0059344E">
        <w:rPr>
          <w:lang w:val="sq-AL"/>
        </w:rPr>
        <w:t xml:space="preserve"> s</w:t>
      </w:r>
      <w:r w:rsidR="0059344E">
        <w:rPr>
          <w:lang w:val="sq-AL"/>
        </w:rPr>
        <w:t>ë</w:t>
      </w:r>
      <w:r w:rsidRPr="0059344E" w:rsidR="0059344E">
        <w:rPr>
          <w:lang w:val="sq-AL"/>
        </w:rPr>
        <w:t xml:space="preserve"> paditur duke pohuar përpara Gjykat</w:t>
      </w:r>
      <w:r w:rsidR="0059344E">
        <w:rPr>
          <w:lang w:val="sq-AL"/>
        </w:rPr>
        <w:t>ë</w:t>
      </w:r>
      <w:r w:rsidRPr="0059344E" w:rsidR="0059344E">
        <w:rPr>
          <w:lang w:val="sq-AL"/>
        </w:rPr>
        <w:t>s se ekzistuaka nj</w:t>
      </w:r>
      <w:r w:rsidR="0059344E">
        <w:rPr>
          <w:lang w:val="sq-AL"/>
        </w:rPr>
        <w:t>ë</w:t>
      </w:r>
      <w:r w:rsidRPr="0059344E" w:rsidR="0059344E">
        <w:rPr>
          <w:lang w:val="sq-AL"/>
        </w:rPr>
        <w:t xml:space="preserve"> kuadër i qart</w:t>
      </w:r>
      <w:r w:rsidR="0059344E">
        <w:rPr>
          <w:lang w:val="sq-AL"/>
        </w:rPr>
        <w:t>ë</w:t>
      </w:r>
      <w:r w:rsidRPr="0059344E" w:rsidR="0059344E">
        <w:rPr>
          <w:lang w:val="sq-AL"/>
        </w:rPr>
        <w:t xml:space="preserve"> juridik mbrojtjeje prej shtetit, nga ana tjet</w:t>
      </w:r>
      <w:r w:rsidR="0059344E">
        <w:rPr>
          <w:lang w:val="sq-AL"/>
        </w:rPr>
        <w:t>ë</w:t>
      </w:r>
      <w:r w:rsidRPr="0059344E" w:rsidR="0059344E">
        <w:rPr>
          <w:lang w:val="sq-AL"/>
        </w:rPr>
        <w:t>r.</w:t>
      </w:r>
    </w:p>
    <w:p w:rsidRPr="0009363E" w:rsidR="00EB737A" w:rsidP="00EB737A" w:rsidRDefault="00EB737A">
      <w:pPr>
        <w:pStyle w:val="ECHRPara"/>
        <w:rPr>
          <w:lang w:val="sq-AL"/>
        </w:rPr>
      </w:pPr>
      <w:r w:rsidRPr="0059344E">
        <w:rPr>
          <w:lang w:val="sq-AL"/>
        </w:rPr>
        <w:fldChar w:fldCharType="begin"/>
      </w:r>
      <w:r w:rsidRPr="0059344E">
        <w:rPr>
          <w:lang w:val="sq-AL"/>
        </w:rPr>
        <w:instrText xml:space="preserve"> SEQ level0 \*arabic </w:instrText>
      </w:r>
      <w:r w:rsidRPr="0059344E">
        <w:rPr>
          <w:lang w:val="sq-AL"/>
        </w:rPr>
        <w:fldChar w:fldCharType="separate"/>
      </w:r>
      <w:r w:rsidR="00013F9B">
        <w:rPr>
          <w:noProof/>
          <w:lang w:val="sq-AL"/>
        </w:rPr>
        <w:t>129</w:t>
      </w:r>
      <w:r w:rsidRPr="0059344E">
        <w:rPr>
          <w:lang w:val="sq-AL"/>
        </w:rPr>
        <w:fldChar w:fldCharType="end"/>
      </w:r>
      <w:r w:rsidRPr="0059344E">
        <w:rPr>
          <w:lang w:val="sq-AL"/>
        </w:rPr>
        <w:t>.  </w:t>
      </w:r>
      <w:r w:rsidRPr="0059344E" w:rsidR="0059344E">
        <w:rPr>
          <w:lang w:val="sq-AL"/>
        </w:rPr>
        <w:t>Së fundi, duke iu referuar kriterit t</w:t>
      </w:r>
      <w:r w:rsidR="0059344E">
        <w:rPr>
          <w:lang w:val="sq-AL"/>
        </w:rPr>
        <w:t>ë</w:t>
      </w:r>
      <w:r w:rsidRPr="0059344E" w:rsidR="0059344E">
        <w:rPr>
          <w:lang w:val="sq-AL"/>
        </w:rPr>
        <w:t xml:space="preserve"> lidhjes shkak dhe pasoj</w:t>
      </w:r>
      <w:r w:rsidR="0059344E">
        <w:rPr>
          <w:lang w:val="sq-AL"/>
        </w:rPr>
        <w:t>ë</w:t>
      </w:r>
      <w:r w:rsidRPr="0059344E" w:rsidR="0059344E">
        <w:rPr>
          <w:lang w:val="sq-AL"/>
        </w:rPr>
        <w:t xml:space="preserve"> i cili qenk</w:t>
      </w:r>
      <w:r w:rsidR="0059344E">
        <w:rPr>
          <w:lang w:val="sq-AL"/>
        </w:rPr>
        <w:t>ë</w:t>
      </w:r>
      <w:r w:rsidRPr="0059344E" w:rsidR="0059344E">
        <w:rPr>
          <w:lang w:val="sq-AL"/>
        </w:rPr>
        <w:t>sh parashtruar n</w:t>
      </w:r>
      <w:r w:rsidR="0059344E">
        <w:rPr>
          <w:lang w:val="sq-AL"/>
        </w:rPr>
        <w:t>ë</w:t>
      </w:r>
      <w:r w:rsidRPr="0059344E" w:rsidR="0059344E">
        <w:rPr>
          <w:lang w:val="sq-AL"/>
        </w:rPr>
        <w:t xml:space="preserve"> çështjen</w:t>
      </w:r>
      <w:r w:rsidRPr="0059344E">
        <w:rPr>
          <w:lang w:val="sq-AL"/>
        </w:rPr>
        <w:t xml:space="preserve"> </w:t>
      </w:r>
      <w:r w:rsidRPr="0059344E">
        <w:rPr>
          <w:i/>
          <w:lang w:val="sq-AL"/>
        </w:rPr>
        <w:t xml:space="preserve">E. </w:t>
      </w:r>
      <w:r w:rsidRPr="0059344E" w:rsidR="0059344E">
        <w:rPr>
          <w:i/>
          <w:lang w:val="sq-AL"/>
        </w:rPr>
        <w:t>me të tjerë k</w:t>
      </w:r>
      <w:r w:rsidRPr="0059344E">
        <w:rPr>
          <w:i/>
          <w:lang w:val="sq-AL"/>
        </w:rPr>
        <w:t xml:space="preserve">. </w:t>
      </w:r>
      <w:r w:rsidRPr="0059344E" w:rsidR="002759DF">
        <w:rPr>
          <w:i/>
          <w:lang w:val="sq-AL"/>
        </w:rPr>
        <w:t>Mbretërisë së Bashkuar</w:t>
      </w:r>
      <w:r w:rsidRPr="0059344E">
        <w:rPr>
          <w:lang w:val="sq-AL"/>
        </w:rPr>
        <w:t xml:space="preserve"> (</w:t>
      </w:r>
      <w:r w:rsidRPr="0059344E" w:rsidR="0059344E">
        <w:rPr>
          <w:lang w:val="sq-AL"/>
        </w:rPr>
        <w:t>e cituar m</w:t>
      </w:r>
      <w:r w:rsidR="0059344E">
        <w:rPr>
          <w:lang w:val="sq-AL"/>
        </w:rPr>
        <w:t>ë</w:t>
      </w:r>
      <w:r w:rsidRPr="0059344E" w:rsidR="0059344E">
        <w:rPr>
          <w:lang w:val="sq-AL"/>
        </w:rPr>
        <w:t xml:space="preserve"> lart</w:t>
      </w:r>
      <w:r w:rsidRPr="0059344E">
        <w:rPr>
          <w:lang w:val="sq-AL"/>
        </w:rPr>
        <w:t xml:space="preserve">, §§ 98–100), </w:t>
      </w:r>
      <w:r w:rsidRPr="0059344E" w:rsidR="0059344E">
        <w:rPr>
          <w:lang w:val="sq-AL"/>
        </w:rPr>
        <w:t>padit</w:t>
      </w:r>
      <w:r w:rsidR="0059344E">
        <w:rPr>
          <w:lang w:val="sq-AL"/>
        </w:rPr>
        <w:t>ë</w:t>
      </w:r>
      <w:r w:rsidRPr="0059344E" w:rsidR="0059344E">
        <w:rPr>
          <w:lang w:val="sq-AL"/>
        </w:rPr>
        <w:t>sja mbron mendimin se ekzistenca e nj</w:t>
      </w:r>
      <w:r w:rsidR="0059344E">
        <w:rPr>
          <w:lang w:val="sq-AL"/>
        </w:rPr>
        <w:t>ë</w:t>
      </w:r>
      <w:r w:rsidRPr="0059344E" w:rsidR="0059344E">
        <w:rPr>
          <w:lang w:val="sq-AL"/>
        </w:rPr>
        <w:t xml:space="preserve"> mekanizmi efektiv sinjalizimi do t</w:t>
      </w:r>
      <w:r w:rsidR="0059344E">
        <w:rPr>
          <w:lang w:val="sq-AL"/>
        </w:rPr>
        <w:t>ë</w:t>
      </w:r>
      <w:r w:rsidRPr="0059344E" w:rsidR="0059344E">
        <w:rPr>
          <w:lang w:val="sq-AL"/>
        </w:rPr>
        <w:t xml:space="preserve"> kishte shkaktuar një p</w:t>
      </w:r>
      <w:r w:rsidR="0059344E">
        <w:rPr>
          <w:lang w:val="sq-AL"/>
        </w:rPr>
        <w:t>ë</w:t>
      </w:r>
      <w:r w:rsidRPr="0059344E" w:rsidR="0059344E">
        <w:rPr>
          <w:lang w:val="sq-AL"/>
        </w:rPr>
        <w:t>rcjellje t</w:t>
      </w:r>
      <w:r w:rsidR="0059344E">
        <w:rPr>
          <w:lang w:val="sq-AL"/>
        </w:rPr>
        <w:t>ë</w:t>
      </w:r>
      <w:r w:rsidRPr="0059344E" w:rsidR="0059344E">
        <w:rPr>
          <w:lang w:val="sq-AL"/>
        </w:rPr>
        <w:t xml:space="preserve"> ankes</w:t>
      </w:r>
      <w:r w:rsidR="0059344E">
        <w:rPr>
          <w:lang w:val="sq-AL"/>
        </w:rPr>
        <w:t>ë</w:t>
      </w:r>
      <w:r w:rsidRPr="0059344E" w:rsidR="0059344E">
        <w:rPr>
          <w:lang w:val="sq-AL"/>
        </w:rPr>
        <w:t>s s</w:t>
      </w:r>
      <w:r w:rsidR="0059344E">
        <w:rPr>
          <w:lang w:val="sq-AL"/>
        </w:rPr>
        <w:t>ë</w:t>
      </w:r>
      <w:r w:rsidRPr="0059344E" w:rsidR="0059344E">
        <w:rPr>
          <w:lang w:val="sq-AL"/>
        </w:rPr>
        <w:t xml:space="preserve"> vitit 1971</w:t>
      </w:r>
      <w:r w:rsidRPr="0059344E">
        <w:rPr>
          <w:lang w:val="sq-AL"/>
        </w:rPr>
        <w:t xml:space="preserve">; </w:t>
      </w:r>
      <w:r w:rsidR="0059344E">
        <w:rPr>
          <w:lang w:val="sq-AL"/>
        </w:rPr>
        <w:t>sipas saj, do të kishte pasur kështu së paku një “shans real” që të ishin shmangur abuzimet e vitit 1973.</w:t>
      </w:r>
    </w:p>
    <w:p w:rsidRPr="00676F6D" w:rsidR="00EB737A" w:rsidP="00EB737A" w:rsidRDefault="00EB737A">
      <w:pPr>
        <w:pStyle w:val="ECHRHeading3"/>
        <w:rPr>
          <w:lang w:val="sq-AL"/>
        </w:rPr>
      </w:pPr>
      <w:r w:rsidRPr="00676F6D">
        <w:rPr>
          <w:lang w:val="sq-AL"/>
        </w:rPr>
        <w:t>2.  </w:t>
      </w:r>
      <w:r w:rsidRPr="00676F6D" w:rsidR="007A0288">
        <w:rPr>
          <w:lang w:val="sq-AL"/>
        </w:rPr>
        <w:t>Qeveria</w:t>
      </w:r>
    </w:p>
    <w:p w:rsidRPr="004052D9" w:rsidR="00EB737A" w:rsidP="00EB737A" w:rsidRDefault="00EB737A">
      <w:pPr>
        <w:pStyle w:val="ECHRPara"/>
        <w:rPr>
          <w:lang w:val="sq-AL"/>
        </w:rPr>
      </w:pPr>
      <w:r w:rsidRPr="00676F6D">
        <w:rPr>
          <w:lang w:val="sq-AL"/>
        </w:rPr>
        <w:fldChar w:fldCharType="begin"/>
      </w:r>
      <w:r w:rsidRPr="00676F6D">
        <w:rPr>
          <w:lang w:val="sq-AL"/>
        </w:rPr>
        <w:instrText xml:space="preserve"> SEQ level0 \*arabic </w:instrText>
      </w:r>
      <w:r w:rsidRPr="00676F6D">
        <w:rPr>
          <w:lang w:val="sq-AL"/>
        </w:rPr>
        <w:fldChar w:fldCharType="separate"/>
      </w:r>
      <w:r w:rsidR="00013F9B">
        <w:rPr>
          <w:noProof/>
          <w:lang w:val="sq-AL"/>
        </w:rPr>
        <w:t>130</w:t>
      </w:r>
      <w:r w:rsidRPr="00676F6D">
        <w:rPr>
          <w:lang w:val="sq-AL"/>
        </w:rPr>
        <w:fldChar w:fldCharType="end"/>
      </w:r>
      <w:r w:rsidRPr="00676F6D">
        <w:rPr>
          <w:lang w:val="sq-AL"/>
        </w:rPr>
        <w:t>.  </w:t>
      </w:r>
      <w:r w:rsidRPr="00676F6D" w:rsidR="00676F6D">
        <w:rPr>
          <w:lang w:val="sq-AL"/>
        </w:rPr>
        <w:t>Qeveria pajtohet me p</w:t>
      </w:r>
      <w:r w:rsidR="00676F6D">
        <w:rPr>
          <w:lang w:val="sq-AL"/>
        </w:rPr>
        <w:t>ë</w:t>
      </w:r>
      <w:r w:rsidRPr="00676F6D" w:rsidR="00676F6D">
        <w:rPr>
          <w:lang w:val="sq-AL"/>
        </w:rPr>
        <w:t>rshkrimin e b</w:t>
      </w:r>
      <w:r w:rsidR="00676F6D">
        <w:rPr>
          <w:lang w:val="sq-AL"/>
        </w:rPr>
        <w:t>ë</w:t>
      </w:r>
      <w:r w:rsidRPr="00676F6D" w:rsidR="00676F6D">
        <w:rPr>
          <w:lang w:val="sq-AL"/>
        </w:rPr>
        <w:t>r</w:t>
      </w:r>
      <w:r w:rsidR="00676F6D">
        <w:rPr>
          <w:lang w:val="sq-AL"/>
        </w:rPr>
        <w:t>ë</w:t>
      </w:r>
      <w:r w:rsidRPr="00676F6D" w:rsidR="00676F6D">
        <w:rPr>
          <w:lang w:val="sq-AL"/>
        </w:rPr>
        <w:t xml:space="preserve"> nga Gjykata e Lart</w:t>
      </w:r>
      <w:r w:rsidR="00676F6D">
        <w:rPr>
          <w:lang w:val="sq-AL"/>
        </w:rPr>
        <w:t>ë</w:t>
      </w:r>
      <w:r w:rsidRPr="00676F6D" w:rsidR="00676F6D">
        <w:rPr>
          <w:lang w:val="sq-AL"/>
        </w:rPr>
        <w:t xml:space="preserve"> p</w:t>
      </w:r>
      <w:r w:rsidR="00676F6D">
        <w:rPr>
          <w:lang w:val="sq-AL"/>
        </w:rPr>
        <w:t>ë</w:t>
      </w:r>
      <w:r w:rsidRPr="00676F6D" w:rsidR="00676F6D">
        <w:rPr>
          <w:lang w:val="sq-AL"/>
        </w:rPr>
        <w:t>r zhvillimin e p</w:t>
      </w:r>
      <w:r w:rsidR="00676F6D">
        <w:rPr>
          <w:lang w:val="sq-AL"/>
        </w:rPr>
        <w:t>ë</w:t>
      </w:r>
      <w:r w:rsidRPr="00676F6D" w:rsidR="00676F6D">
        <w:rPr>
          <w:lang w:val="sq-AL"/>
        </w:rPr>
        <w:t>r strukturën e sistemit irlandez t</w:t>
      </w:r>
      <w:r w:rsidR="00676F6D">
        <w:rPr>
          <w:lang w:val="sq-AL"/>
        </w:rPr>
        <w:t>ë</w:t>
      </w:r>
      <w:r w:rsidRPr="00676F6D" w:rsidR="00676F6D">
        <w:rPr>
          <w:lang w:val="sq-AL"/>
        </w:rPr>
        <w:t xml:space="preserve"> arsimit fillor, duke sakt</w:t>
      </w:r>
      <w:r w:rsidR="00676F6D">
        <w:rPr>
          <w:lang w:val="sq-AL"/>
        </w:rPr>
        <w:t>ë</w:t>
      </w:r>
      <w:r w:rsidRPr="00676F6D" w:rsidR="00676F6D">
        <w:rPr>
          <w:lang w:val="sq-AL"/>
        </w:rPr>
        <w:t>suar se ky sistem ekzistonte tashm</w:t>
      </w:r>
      <w:r w:rsidR="00676F6D">
        <w:rPr>
          <w:lang w:val="sq-AL"/>
        </w:rPr>
        <w:t>ë</w:t>
      </w:r>
      <w:r w:rsidRPr="00676F6D" w:rsidR="00676F6D">
        <w:rPr>
          <w:lang w:val="sq-AL"/>
        </w:rPr>
        <w:t xml:space="preserve"> n</w:t>
      </w:r>
      <w:r w:rsidR="00676F6D">
        <w:rPr>
          <w:lang w:val="sq-AL"/>
        </w:rPr>
        <w:t>ë</w:t>
      </w:r>
      <w:r w:rsidRPr="00676F6D" w:rsidR="00676F6D">
        <w:rPr>
          <w:lang w:val="sq-AL"/>
        </w:rPr>
        <w:t xml:space="preserve"> çastin e krijimit të shtetit irlandez më 1922 dhe se ai ësht</w:t>
      </w:r>
      <w:r w:rsidR="00676F6D">
        <w:rPr>
          <w:lang w:val="sq-AL"/>
        </w:rPr>
        <w:t>ë</w:t>
      </w:r>
      <w:r w:rsidRPr="00676F6D" w:rsidR="00676F6D">
        <w:rPr>
          <w:lang w:val="sq-AL"/>
        </w:rPr>
        <w:t xml:space="preserve"> sanksionuar nga neni 42 i Kushtetut</w:t>
      </w:r>
      <w:r w:rsidR="00676F6D">
        <w:rPr>
          <w:lang w:val="sq-AL"/>
        </w:rPr>
        <w:t>ë</w:t>
      </w:r>
      <w:r w:rsidRPr="00676F6D" w:rsidR="00676F6D">
        <w:rPr>
          <w:lang w:val="sq-AL"/>
        </w:rPr>
        <w:t>s irlandeze, i miratuar me referendum m</w:t>
      </w:r>
      <w:r w:rsidR="00676F6D">
        <w:rPr>
          <w:lang w:val="sq-AL"/>
        </w:rPr>
        <w:t>ë</w:t>
      </w:r>
      <w:r w:rsidRPr="00676F6D" w:rsidR="00676F6D">
        <w:rPr>
          <w:lang w:val="sq-AL"/>
        </w:rPr>
        <w:t xml:space="preserve"> 1937. Ajo shpjegon se shkolla komb</w:t>
      </w:r>
      <w:r w:rsidR="00676F6D">
        <w:rPr>
          <w:lang w:val="sq-AL"/>
        </w:rPr>
        <w:t>ë</w:t>
      </w:r>
      <w:r w:rsidRPr="00676F6D" w:rsidR="00676F6D">
        <w:rPr>
          <w:lang w:val="sq-AL"/>
        </w:rPr>
        <w:t xml:space="preserve">tare e </w:t>
      </w:r>
      <w:r w:rsidRPr="00676F6D">
        <w:rPr>
          <w:lang w:val="sq-AL"/>
        </w:rPr>
        <w:t>Dunderrow</w:t>
      </w:r>
      <w:r w:rsidRPr="00676F6D" w:rsidR="00676F6D">
        <w:rPr>
          <w:lang w:val="sq-AL"/>
        </w:rPr>
        <w:t>-it mbahej, administrohej e drejtohej pra nga Kisha Katolike dhe përfaq</w:t>
      </w:r>
      <w:r w:rsidR="00676F6D">
        <w:rPr>
          <w:lang w:val="sq-AL"/>
        </w:rPr>
        <w:t>ë</w:t>
      </w:r>
      <w:r w:rsidRPr="00676F6D" w:rsidR="00676F6D">
        <w:rPr>
          <w:lang w:val="sq-AL"/>
        </w:rPr>
        <w:t>suesit e saj. Ajo çmon se L.H. nuk ishte i pun</w:t>
      </w:r>
      <w:r w:rsidR="00676F6D">
        <w:rPr>
          <w:lang w:val="sq-AL"/>
        </w:rPr>
        <w:t>ë</w:t>
      </w:r>
      <w:r w:rsidRPr="00676F6D" w:rsidR="00676F6D">
        <w:rPr>
          <w:lang w:val="sq-AL"/>
        </w:rPr>
        <w:t>suari i shtetit por ai i drejtorit, i cili e drejtonte shkoll</w:t>
      </w:r>
      <w:r w:rsidR="00676F6D">
        <w:rPr>
          <w:lang w:val="sq-AL"/>
        </w:rPr>
        <w:t>ë</w:t>
      </w:r>
      <w:r w:rsidRPr="00676F6D" w:rsidR="00676F6D">
        <w:rPr>
          <w:lang w:val="sq-AL"/>
        </w:rPr>
        <w:t>n n</w:t>
      </w:r>
      <w:r w:rsidR="00676F6D">
        <w:rPr>
          <w:lang w:val="sq-AL"/>
        </w:rPr>
        <w:t>ë</w:t>
      </w:r>
      <w:r w:rsidRPr="00676F6D" w:rsidR="00676F6D">
        <w:rPr>
          <w:lang w:val="sq-AL"/>
        </w:rPr>
        <w:t xml:space="preserve"> em</w:t>
      </w:r>
      <w:r w:rsidR="00676F6D">
        <w:rPr>
          <w:lang w:val="sq-AL"/>
        </w:rPr>
        <w:t>ë</w:t>
      </w:r>
      <w:r w:rsidRPr="00676F6D" w:rsidR="00676F6D">
        <w:rPr>
          <w:lang w:val="sq-AL"/>
        </w:rPr>
        <w:t>r t</w:t>
      </w:r>
      <w:r w:rsidR="00676F6D">
        <w:rPr>
          <w:lang w:val="sq-AL"/>
        </w:rPr>
        <w:t>ë</w:t>
      </w:r>
      <w:r w:rsidRPr="00676F6D" w:rsidR="00676F6D">
        <w:rPr>
          <w:lang w:val="sq-AL"/>
        </w:rPr>
        <w:t xml:space="preserve"> </w:t>
      </w:r>
      <w:r w:rsidRPr="00676F6D" w:rsidR="00676F6D">
        <w:rPr>
          <w:i/>
          <w:lang w:val="sq-AL"/>
        </w:rPr>
        <w:t>Padronit</w:t>
      </w:r>
      <w:r w:rsidRPr="00676F6D" w:rsidR="00676F6D">
        <w:rPr>
          <w:lang w:val="sq-AL"/>
        </w:rPr>
        <w:t>. Sipas saj, aty nuk ishte fjala për nj</w:t>
      </w:r>
      <w:r w:rsidR="00676F6D">
        <w:rPr>
          <w:lang w:val="sq-AL"/>
        </w:rPr>
        <w:t>ë</w:t>
      </w:r>
      <w:r w:rsidRPr="00676F6D" w:rsidR="00676F6D">
        <w:rPr>
          <w:lang w:val="sq-AL"/>
        </w:rPr>
        <w:t xml:space="preserve"> dallim t</w:t>
      </w:r>
      <w:r w:rsidR="00676F6D">
        <w:rPr>
          <w:lang w:val="sq-AL"/>
        </w:rPr>
        <w:t>ë</w:t>
      </w:r>
      <w:r w:rsidRPr="00676F6D" w:rsidR="00676F6D">
        <w:rPr>
          <w:lang w:val="sq-AL"/>
        </w:rPr>
        <w:t xml:space="preserve"> thjeshtë teknik e burokratik, por pik</w:t>
      </w:r>
      <w:r w:rsidR="00676F6D">
        <w:rPr>
          <w:lang w:val="sq-AL"/>
        </w:rPr>
        <w:t>ë</w:t>
      </w:r>
      <w:r w:rsidRPr="00676F6D" w:rsidR="00676F6D">
        <w:rPr>
          <w:lang w:val="sq-AL"/>
        </w:rPr>
        <w:t>risht p</w:t>
      </w:r>
      <w:r w:rsidR="00676F6D">
        <w:rPr>
          <w:lang w:val="sq-AL"/>
        </w:rPr>
        <w:t>ë</w:t>
      </w:r>
      <w:r w:rsidRPr="00676F6D" w:rsidR="00676F6D">
        <w:rPr>
          <w:lang w:val="sq-AL"/>
        </w:rPr>
        <w:t xml:space="preserve">r një </w:t>
      </w:r>
      <w:r w:rsidR="00676F6D">
        <w:rPr>
          <w:lang w:val="sq-AL"/>
        </w:rPr>
        <w:t>“kalim” real t</w:t>
      </w:r>
      <w:r w:rsidR="004052D9">
        <w:rPr>
          <w:lang w:val="sq-AL"/>
        </w:rPr>
        <w:t>ë</w:t>
      </w:r>
      <w:r w:rsidR="00676F6D">
        <w:rPr>
          <w:lang w:val="sq-AL"/>
        </w:rPr>
        <w:t xml:space="preserve"> s</w:t>
      </w:r>
      <w:r w:rsidR="004052D9">
        <w:rPr>
          <w:lang w:val="sq-AL"/>
        </w:rPr>
        <w:t>ë</w:t>
      </w:r>
      <w:r w:rsidR="00676F6D">
        <w:rPr>
          <w:lang w:val="sq-AL"/>
        </w:rPr>
        <w:t xml:space="preserve"> drejtës s</w:t>
      </w:r>
      <w:r w:rsidR="004052D9">
        <w:rPr>
          <w:lang w:val="sq-AL"/>
        </w:rPr>
        <w:t>ë</w:t>
      </w:r>
      <w:r w:rsidR="00676F6D">
        <w:rPr>
          <w:lang w:val="sq-AL"/>
        </w:rPr>
        <w:t xml:space="preserve"> pronësisë </w:t>
      </w:r>
      <w:r w:rsidR="00932768">
        <w:rPr>
          <w:lang w:val="sq-AL"/>
        </w:rPr>
        <w:t>dhe t</w:t>
      </w:r>
      <w:r w:rsidR="004052D9">
        <w:rPr>
          <w:lang w:val="sq-AL"/>
        </w:rPr>
        <w:t>ë</w:t>
      </w:r>
      <w:r w:rsidR="00932768">
        <w:rPr>
          <w:lang w:val="sq-AL"/>
        </w:rPr>
        <w:t xml:space="preserve"> administrimit t</w:t>
      </w:r>
      <w:r w:rsidR="004052D9">
        <w:rPr>
          <w:lang w:val="sq-AL"/>
        </w:rPr>
        <w:t>ë</w:t>
      </w:r>
      <w:r w:rsidR="00932768">
        <w:rPr>
          <w:lang w:val="sq-AL"/>
        </w:rPr>
        <w:t xml:space="preserve"> shkollave tek instancat fetare.</w:t>
      </w:r>
      <w:r w:rsidR="00676F6D">
        <w:rPr>
          <w:lang w:val="sq-AL"/>
        </w:rPr>
        <w:t xml:space="preserve"> </w:t>
      </w:r>
      <w:r w:rsidR="00932768">
        <w:rPr>
          <w:lang w:val="sq-AL"/>
        </w:rPr>
        <w:t>Duke pohuar se kjo situat</w:t>
      </w:r>
      <w:r w:rsidR="004052D9">
        <w:rPr>
          <w:lang w:val="sq-AL"/>
        </w:rPr>
        <w:t>ë</w:t>
      </w:r>
      <w:r w:rsidR="00932768">
        <w:rPr>
          <w:lang w:val="sq-AL"/>
        </w:rPr>
        <w:t xml:space="preserve"> u leverdis jo vet</w:t>
      </w:r>
      <w:r w:rsidR="004052D9">
        <w:rPr>
          <w:lang w:val="sq-AL"/>
        </w:rPr>
        <w:t>ë</w:t>
      </w:r>
      <w:r w:rsidR="00932768">
        <w:rPr>
          <w:lang w:val="sq-AL"/>
        </w:rPr>
        <w:t>m fes</w:t>
      </w:r>
      <w:r w:rsidR="004052D9">
        <w:rPr>
          <w:lang w:val="sq-AL"/>
        </w:rPr>
        <w:t>ë</w:t>
      </w:r>
      <w:r w:rsidR="00932768">
        <w:rPr>
          <w:lang w:val="sq-AL"/>
        </w:rPr>
        <w:t xml:space="preserve"> sunduese por edhe feve q</w:t>
      </w:r>
      <w:r w:rsidR="004052D9">
        <w:rPr>
          <w:lang w:val="sq-AL"/>
        </w:rPr>
        <w:t>ë</w:t>
      </w:r>
      <w:r w:rsidR="00932768">
        <w:rPr>
          <w:lang w:val="sq-AL"/>
        </w:rPr>
        <w:t xml:space="preserve"> p</w:t>
      </w:r>
      <w:r w:rsidR="004052D9">
        <w:rPr>
          <w:lang w:val="sq-AL"/>
        </w:rPr>
        <w:t>ë</w:t>
      </w:r>
      <w:r w:rsidR="00932768">
        <w:rPr>
          <w:lang w:val="sq-AL"/>
        </w:rPr>
        <w:t>rb</w:t>
      </w:r>
      <w:r w:rsidR="004052D9">
        <w:rPr>
          <w:lang w:val="sq-AL"/>
        </w:rPr>
        <w:t>ë</w:t>
      </w:r>
      <w:r w:rsidR="00932768">
        <w:rPr>
          <w:lang w:val="sq-AL"/>
        </w:rPr>
        <w:t>jn</w:t>
      </w:r>
      <w:r w:rsidR="004052D9">
        <w:rPr>
          <w:lang w:val="sq-AL"/>
        </w:rPr>
        <w:t>ë</w:t>
      </w:r>
      <w:r w:rsidR="00932768">
        <w:rPr>
          <w:lang w:val="sq-AL"/>
        </w:rPr>
        <w:t xml:space="preserve"> pakica dhe se ajo përkon me vullnetin e popullit irlandez, Qeveria ësht</w:t>
      </w:r>
      <w:r w:rsidR="004052D9">
        <w:rPr>
          <w:lang w:val="sq-AL"/>
        </w:rPr>
        <w:t>ë</w:t>
      </w:r>
      <w:r w:rsidR="00932768">
        <w:rPr>
          <w:lang w:val="sq-AL"/>
        </w:rPr>
        <w:t xml:space="preserve"> e mendimit se nuk i takon Gjykat</w:t>
      </w:r>
      <w:r w:rsidR="004052D9">
        <w:rPr>
          <w:lang w:val="sq-AL"/>
        </w:rPr>
        <w:t>ë</w:t>
      </w:r>
      <w:r w:rsidR="00932768">
        <w:rPr>
          <w:lang w:val="sq-AL"/>
        </w:rPr>
        <w:t>s q</w:t>
      </w:r>
      <w:r w:rsidR="004052D9">
        <w:rPr>
          <w:lang w:val="sq-AL"/>
        </w:rPr>
        <w:t>ë</w:t>
      </w:r>
      <w:r w:rsidR="00932768">
        <w:rPr>
          <w:lang w:val="sq-AL"/>
        </w:rPr>
        <w:t xml:space="preserve"> t</w:t>
      </w:r>
      <w:r w:rsidR="00943091">
        <w:rPr>
          <w:lang w:val="sq-AL"/>
        </w:rPr>
        <w:t>’</w:t>
      </w:r>
      <w:r w:rsidR="00932768">
        <w:rPr>
          <w:lang w:val="sq-AL"/>
        </w:rPr>
        <w:t>i riorganizoj</w:t>
      </w:r>
      <w:r w:rsidR="004052D9">
        <w:rPr>
          <w:lang w:val="sq-AL"/>
        </w:rPr>
        <w:t>ë</w:t>
      </w:r>
      <w:r w:rsidR="00932768">
        <w:rPr>
          <w:lang w:val="sq-AL"/>
        </w:rPr>
        <w:t xml:space="preserve"> ato marr</w:t>
      </w:r>
      <w:r w:rsidR="004052D9">
        <w:rPr>
          <w:lang w:val="sq-AL"/>
        </w:rPr>
        <w:t>ë</w:t>
      </w:r>
      <w:r w:rsidR="00932768">
        <w:rPr>
          <w:lang w:val="sq-AL"/>
        </w:rPr>
        <w:t>dh</w:t>
      </w:r>
      <w:r w:rsidR="004052D9">
        <w:rPr>
          <w:lang w:val="sq-AL"/>
        </w:rPr>
        <w:t>ë</w:t>
      </w:r>
      <w:r w:rsidR="00932768">
        <w:rPr>
          <w:lang w:val="sq-AL"/>
        </w:rPr>
        <w:t>nie q</w:t>
      </w:r>
      <w:r w:rsidR="004052D9">
        <w:rPr>
          <w:lang w:val="sq-AL"/>
        </w:rPr>
        <w:t>ë</w:t>
      </w:r>
      <w:r w:rsidR="00932768">
        <w:rPr>
          <w:lang w:val="sq-AL"/>
        </w:rPr>
        <w:t xml:space="preserve"> q</w:t>
      </w:r>
      <w:r w:rsidR="004052D9">
        <w:rPr>
          <w:lang w:val="sq-AL"/>
        </w:rPr>
        <w:t>ë</w:t>
      </w:r>
      <w:r w:rsidR="00932768">
        <w:rPr>
          <w:lang w:val="sq-AL"/>
        </w:rPr>
        <w:t>ndrojn</w:t>
      </w:r>
      <w:r w:rsidR="004052D9">
        <w:rPr>
          <w:lang w:val="sq-AL"/>
        </w:rPr>
        <w:t>ë</w:t>
      </w:r>
      <w:r w:rsidR="00932768">
        <w:rPr>
          <w:lang w:val="sq-AL"/>
        </w:rPr>
        <w:t xml:space="preserve"> n</w:t>
      </w:r>
      <w:r w:rsidR="004052D9">
        <w:rPr>
          <w:lang w:val="sq-AL"/>
        </w:rPr>
        <w:t>ë</w:t>
      </w:r>
      <w:r w:rsidR="00932768">
        <w:rPr>
          <w:lang w:val="sq-AL"/>
        </w:rPr>
        <w:t xml:space="preserve"> themel t</w:t>
      </w:r>
      <w:r w:rsidR="004052D9">
        <w:rPr>
          <w:lang w:val="sq-AL"/>
        </w:rPr>
        <w:t>ë</w:t>
      </w:r>
      <w:r w:rsidR="00932768">
        <w:rPr>
          <w:lang w:val="sq-AL"/>
        </w:rPr>
        <w:t xml:space="preserve"> nj</w:t>
      </w:r>
      <w:r w:rsidR="004052D9">
        <w:rPr>
          <w:lang w:val="sq-AL"/>
        </w:rPr>
        <w:t>ë</w:t>
      </w:r>
      <w:r w:rsidR="00932768">
        <w:rPr>
          <w:lang w:val="sq-AL"/>
        </w:rPr>
        <w:t xml:space="preserve"> pjese t</w:t>
      </w:r>
      <w:r w:rsidR="004052D9">
        <w:rPr>
          <w:lang w:val="sq-AL"/>
        </w:rPr>
        <w:t>ë</w:t>
      </w:r>
      <w:r w:rsidR="00932768">
        <w:rPr>
          <w:lang w:val="sq-AL"/>
        </w:rPr>
        <w:t xml:space="preserve"> rëndësishme t</w:t>
      </w:r>
      <w:r w:rsidR="004052D9">
        <w:rPr>
          <w:lang w:val="sq-AL"/>
        </w:rPr>
        <w:t>ë</w:t>
      </w:r>
      <w:r w:rsidR="00932768">
        <w:rPr>
          <w:lang w:val="sq-AL"/>
        </w:rPr>
        <w:t xml:space="preserve"> sistemit t</w:t>
      </w:r>
      <w:r w:rsidR="004052D9">
        <w:rPr>
          <w:lang w:val="sq-AL"/>
        </w:rPr>
        <w:t>ë</w:t>
      </w:r>
      <w:r w:rsidR="00932768">
        <w:rPr>
          <w:lang w:val="sq-AL"/>
        </w:rPr>
        <w:t xml:space="preserve"> arsimit fillor irlandez. Për mendimin e saj, ideja se, n</w:t>
      </w:r>
      <w:r w:rsidR="004052D9">
        <w:rPr>
          <w:lang w:val="sq-AL"/>
        </w:rPr>
        <w:t>ë</w:t>
      </w:r>
      <w:r w:rsidR="00932768">
        <w:rPr>
          <w:lang w:val="sq-AL"/>
        </w:rPr>
        <w:t xml:space="preserve"> nj</w:t>
      </w:r>
      <w:r w:rsidR="004052D9">
        <w:rPr>
          <w:lang w:val="sq-AL"/>
        </w:rPr>
        <w:t>ë</w:t>
      </w:r>
      <w:r w:rsidR="00932768">
        <w:rPr>
          <w:lang w:val="sq-AL"/>
        </w:rPr>
        <w:t xml:space="preserve"> demokraci t</w:t>
      </w:r>
      <w:r w:rsidR="004052D9">
        <w:rPr>
          <w:lang w:val="sq-AL"/>
        </w:rPr>
        <w:t>ë</w:t>
      </w:r>
      <w:r w:rsidR="00932768">
        <w:rPr>
          <w:lang w:val="sq-AL"/>
        </w:rPr>
        <w:t xml:space="preserve"> përparuar, arsimi fillor p</w:t>
      </w:r>
      <w:r w:rsidR="004052D9">
        <w:rPr>
          <w:lang w:val="sq-AL"/>
        </w:rPr>
        <w:t>ë</w:t>
      </w:r>
      <w:r w:rsidR="00932768">
        <w:rPr>
          <w:lang w:val="sq-AL"/>
        </w:rPr>
        <w:t>rb</w:t>
      </w:r>
      <w:r w:rsidR="004052D9">
        <w:rPr>
          <w:lang w:val="sq-AL"/>
        </w:rPr>
        <w:t>ë</w:t>
      </w:r>
      <w:r w:rsidR="00932768">
        <w:rPr>
          <w:lang w:val="sq-AL"/>
        </w:rPr>
        <w:t>n nj</w:t>
      </w:r>
      <w:r w:rsidR="004052D9">
        <w:rPr>
          <w:lang w:val="sq-AL"/>
        </w:rPr>
        <w:t>ë</w:t>
      </w:r>
      <w:r w:rsidR="00932768">
        <w:rPr>
          <w:lang w:val="sq-AL"/>
        </w:rPr>
        <w:t xml:space="preserve"> sipërmarrje komb</w:t>
      </w:r>
      <w:r w:rsidR="004052D9">
        <w:rPr>
          <w:lang w:val="sq-AL"/>
        </w:rPr>
        <w:t>ë</w:t>
      </w:r>
      <w:r w:rsidR="00932768">
        <w:rPr>
          <w:lang w:val="sq-AL"/>
        </w:rPr>
        <w:t>tare e cila duhet t</w:t>
      </w:r>
      <w:r w:rsidR="004052D9">
        <w:rPr>
          <w:lang w:val="sq-AL"/>
        </w:rPr>
        <w:t>ë</w:t>
      </w:r>
      <w:r w:rsidR="00932768">
        <w:rPr>
          <w:lang w:val="sq-AL"/>
        </w:rPr>
        <w:t xml:space="preserve"> administrohet tërësisht nga shteti </w:t>
      </w:r>
      <w:r w:rsidR="004052D9">
        <w:rPr>
          <w:lang w:val="sq-AL"/>
        </w:rPr>
        <w:t>bën pjesë në një perspektivë ideologjike të veçantë që nuk është e thënë të përqafohet nga të gjitha shtetet kontraktuese e që me siguri nuk përqafohet nga Irlanda. Qeveria shton se nuk ka asnjë legjislacion që ta detyrojë një nxënës që të shkojë në një shkollë kombëtare, meqenëse sipas saj ligji parashikon edhe mundësi të tjera shkollimi.</w:t>
      </w:r>
    </w:p>
    <w:p w:rsidRPr="00EF49F7" w:rsidR="00EB737A" w:rsidP="00EB737A" w:rsidRDefault="00EB737A">
      <w:pPr>
        <w:pStyle w:val="ECHRPara"/>
        <w:keepNext/>
        <w:keepLines/>
        <w:rPr>
          <w:lang w:val="sq-AL"/>
        </w:rPr>
      </w:pPr>
      <w:r w:rsidRPr="00EF49F7">
        <w:rPr>
          <w:lang w:val="sq-AL"/>
        </w:rPr>
        <w:fldChar w:fldCharType="begin"/>
      </w:r>
      <w:r w:rsidRPr="00EF49F7">
        <w:rPr>
          <w:lang w:val="sq-AL"/>
        </w:rPr>
        <w:instrText xml:space="preserve"> SEQ level0 \*arabic </w:instrText>
      </w:r>
      <w:r w:rsidRPr="00EF49F7">
        <w:rPr>
          <w:lang w:val="sq-AL"/>
        </w:rPr>
        <w:fldChar w:fldCharType="separate"/>
      </w:r>
      <w:r w:rsidR="00013F9B">
        <w:rPr>
          <w:noProof/>
          <w:lang w:val="sq-AL"/>
        </w:rPr>
        <w:t>131</w:t>
      </w:r>
      <w:r w:rsidRPr="00EF49F7">
        <w:rPr>
          <w:lang w:val="sq-AL"/>
        </w:rPr>
        <w:fldChar w:fldCharType="end"/>
      </w:r>
      <w:r w:rsidRPr="00EF49F7">
        <w:rPr>
          <w:lang w:val="sq-AL"/>
        </w:rPr>
        <w:t>.  </w:t>
      </w:r>
      <w:r w:rsidRPr="00EF49F7" w:rsidR="004052D9">
        <w:rPr>
          <w:lang w:val="sq-AL"/>
        </w:rPr>
        <w:t>Për sa i përket themelit t</w:t>
      </w:r>
      <w:r w:rsidR="00EF49F7">
        <w:rPr>
          <w:lang w:val="sq-AL"/>
        </w:rPr>
        <w:t>ë</w:t>
      </w:r>
      <w:r w:rsidRPr="00EF49F7" w:rsidR="004052D9">
        <w:rPr>
          <w:lang w:val="sq-AL"/>
        </w:rPr>
        <w:t xml:space="preserve"> nj</w:t>
      </w:r>
      <w:r w:rsidR="00EF49F7">
        <w:rPr>
          <w:lang w:val="sq-AL"/>
        </w:rPr>
        <w:t>ë</w:t>
      </w:r>
      <w:r w:rsidRPr="00EF49F7" w:rsidR="004052D9">
        <w:rPr>
          <w:lang w:val="sq-AL"/>
        </w:rPr>
        <w:t xml:space="preserve"> </w:t>
      </w:r>
      <w:r w:rsidRPr="00EF49F7" w:rsidR="00D315B4">
        <w:rPr>
          <w:lang w:val="sq-AL"/>
        </w:rPr>
        <w:t>pretendimi t</w:t>
      </w:r>
      <w:r w:rsidR="00EF49F7">
        <w:rPr>
          <w:lang w:val="sq-AL"/>
        </w:rPr>
        <w:t>ë</w:t>
      </w:r>
      <w:r w:rsidRPr="00EF49F7" w:rsidR="00D315B4">
        <w:rPr>
          <w:lang w:val="sq-AL"/>
        </w:rPr>
        <w:t xml:space="preserve"> nxjerr</w:t>
      </w:r>
      <w:r w:rsidR="00EF49F7">
        <w:rPr>
          <w:lang w:val="sq-AL"/>
        </w:rPr>
        <w:t>ë</w:t>
      </w:r>
      <w:r w:rsidRPr="00EF49F7" w:rsidR="00D315B4">
        <w:rPr>
          <w:lang w:val="sq-AL"/>
        </w:rPr>
        <w:t xml:space="preserve"> nga një mospërmbushje ndaj nj</w:t>
      </w:r>
      <w:r w:rsidR="00EF49F7">
        <w:rPr>
          <w:lang w:val="sq-AL"/>
        </w:rPr>
        <w:t>ë</w:t>
      </w:r>
      <w:r w:rsidRPr="00EF49F7" w:rsidR="00D315B4">
        <w:rPr>
          <w:lang w:val="sq-AL"/>
        </w:rPr>
        <w:t xml:space="preserve"> detyrimi për mbrojtje i cili rrjedh nga neni </w:t>
      </w:r>
      <w:r w:rsidRPr="00EF49F7">
        <w:rPr>
          <w:lang w:val="sq-AL"/>
        </w:rPr>
        <w:t xml:space="preserve">3, </w:t>
      </w:r>
      <w:r w:rsidRPr="00EF49F7" w:rsidR="00D315B4">
        <w:rPr>
          <w:lang w:val="sq-AL"/>
        </w:rPr>
        <w:t>Qeveria mbron mendimin se shteti nuk ngarkohet dot me p</w:t>
      </w:r>
      <w:r w:rsidR="00EF49F7">
        <w:rPr>
          <w:lang w:val="sq-AL"/>
        </w:rPr>
        <w:t>ë</w:t>
      </w:r>
      <w:r w:rsidRPr="00EF49F7" w:rsidR="00D315B4">
        <w:rPr>
          <w:lang w:val="sq-AL"/>
        </w:rPr>
        <w:t>rgjegj</w:t>
      </w:r>
      <w:r w:rsidR="00EF49F7">
        <w:rPr>
          <w:lang w:val="sq-AL"/>
        </w:rPr>
        <w:t>ë</w:t>
      </w:r>
      <w:r w:rsidRPr="00EF49F7" w:rsidR="00D315B4">
        <w:rPr>
          <w:lang w:val="sq-AL"/>
        </w:rPr>
        <w:t xml:space="preserve">si. Sipas saj, kjo çështje nuk krahasohet dot me çështjen </w:t>
      </w:r>
      <w:r w:rsidRPr="00EF49F7">
        <w:rPr>
          <w:i/>
          <w:lang w:val="sq-AL"/>
        </w:rPr>
        <w:t xml:space="preserve">Van der Mussele </w:t>
      </w:r>
      <w:r w:rsidRPr="00EF49F7" w:rsidR="00D315B4">
        <w:rPr>
          <w:i/>
          <w:lang w:val="sq-AL"/>
        </w:rPr>
        <w:t>k</w:t>
      </w:r>
      <w:r w:rsidRPr="00EF49F7">
        <w:rPr>
          <w:i/>
          <w:lang w:val="sq-AL"/>
        </w:rPr>
        <w:t>. Belg</w:t>
      </w:r>
      <w:r w:rsidRPr="00EF49F7" w:rsidR="00D315B4">
        <w:rPr>
          <w:i/>
          <w:lang w:val="sq-AL"/>
        </w:rPr>
        <w:t>j</w:t>
      </w:r>
      <w:r w:rsidRPr="00EF49F7">
        <w:rPr>
          <w:i/>
          <w:lang w:val="sq-AL"/>
        </w:rPr>
        <w:t>i</w:t>
      </w:r>
      <w:r w:rsidRPr="00EF49F7" w:rsidR="00D315B4">
        <w:rPr>
          <w:i/>
          <w:lang w:val="sq-AL"/>
        </w:rPr>
        <w:t>kës</w:t>
      </w:r>
      <w:r w:rsidRPr="00EF49F7">
        <w:rPr>
          <w:lang w:val="sq-AL"/>
        </w:rPr>
        <w:t xml:space="preserve"> (23 </w:t>
      </w:r>
      <w:r w:rsidRPr="00EF49F7" w:rsidR="00D315B4">
        <w:rPr>
          <w:lang w:val="sq-AL"/>
        </w:rPr>
        <w:t>nëntor</w:t>
      </w:r>
      <w:r w:rsidRPr="00EF49F7">
        <w:rPr>
          <w:lang w:val="sq-AL"/>
        </w:rPr>
        <w:t xml:space="preserve"> 1983, s</w:t>
      </w:r>
      <w:r w:rsidRPr="00EF49F7" w:rsidR="00D315B4">
        <w:rPr>
          <w:lang w:val="sq-AL"/>
        </w:rPr>
        <w:t>e</w:t>
      </w:r>
      <w:r w:rsidRPr="00EF49F7">
        <w:rPr>
          <w:lang w:val="sq-AL"/>
        </w:rPr>
        <w:t>ri</w:t>
      </w:r>
      <w:r w:rsidRPr="00EF49F7" w:rsidR="00D315B4">
        <w:rPr>
          <w:lang w:val="sq-AL"/>
        </w:rPr>
        <w:t>a</w:t>
      </w:r>
      <w:r w:rsidRPr="00EF49F7">
        <w:rPr>
          <w:lang w:val="sq-AL"/>
        </w:rPr>
        <w:t xml:space="preserve"> A n</w:t>
      </w:r>
      <w:r w:rsidRPr="00EF49F7" w:rsidR="00D315B4">
        <w:rPr>
          <w:lang w:val="sq-AL"/>
        </w:rPr>
        <w:t>r.</w:t>
      </w:r>
      <w:r w:rsidRPr="00EF49F7">
        <w:rPr>
          <w:lang w:val="sq-AL"/>
        </w:rPr>
        <w:t xml:space="preserve"> 70)</w:t>
      </w:r>
      <w:r w:rsidRPr="00EF49F7" w:rsidR="00D315B4">
        <w:rPr>
          <w:lang w:val="sq-AL"/>
        </w:rPr>
        <w:t>, sepse në kët</w:t>
      </w:r>
      <w:r w:rsidR="00EF49F7">
        <w:rPr>
          <w:lang w:val="sq-AL"/>
        </w:rPr>
        <w:t>ë</w:t>
      </w:r>
      <w:r w:rsidRPr="00EF49F7" w:rsidR="00D315B4">
        <w:rPr>
          <w:lang w:val="sq-AL"/>
        </w:rPr>
        <w:t xml:space="preserve"> çështje nuk b</w:t>
      </w:r>
      <w:r w:rsidR="00EF49F7">
        <w:rPr>
          <w:lang w:val="sq-AL"/>
        </w:rPr>
        <w:t>ë</w:t>
      </w:r>
      <w:r w:rsidRPr="00EF49F7" w:rsidR="00D315B4">
        <w:rPr>
          <w:lang w:val="sq-AL"/>
        </w:rPr>
        <w:t>het fjal</w:t>
      </w:r>
      <w:r w:rsidR="00EF49F7">
        <w:rPr>
          <w:lang w:val="sq-AL"/>
        </w:rPr>
        <w:t>ë</w:t>
      </w:r>
      <w:r w:rsidRPr="00EF49F7" w:rsidR="00D315B4">
        <w:rPr>
          <w:lang w:val="sq-AL"/>
        </w:rPr>
        <w:t xml:space="preserve"> p</w:t>
      </w:r>
      <w:r w:rsidR="00EF49F7">
        <w:rPr>
          <w:lang w:val="sq-AL"/>
        </w:rPr>
        <w:t>ë</w:t>
      </w:r>
      <w:r w:rsidRPr="00EF49F7" w:rsidR="00D315B4">
        <w:rPr>
          <w:lang w:val="sq-AL"/>
        </w:rPr>
        <w:t>r ndonj</w:t>
      </w:r>
      <w:r w:rsidR="00EF49F7">
        <w:rPr>
          <w:lang w:val="sq-AL"/>
        </w:rPr>
        <w:t>ë</w:t>
      </w:r>
      <w:r w:rsidRPr="00EF49F7" w:rsidR="00D315B4">
        <w:rPr>
          <w:lang w:val="sq-AL"/>
        </w:rPr>
        <w:t xml:space="preserve"> “delegim” detyrimesh, përderisa neni </w:t>
      </w:r>
      <w:r w:rsidRPr="00EF49F7">
        <w:rPr>
          <w:lang w:val="sq-AL"/>
        </w:rPr>
        <w:t xml:space="preserve">2 </w:t>
      </w:r>
      <w:r w:rsidRPr="00EF49F7" w:rsidR="00D315B4">
        <w:rPr>
          <w:lang w:val="sq-AL"/>
        </w:rPr>
        <w:t xml:space="preserve">i Protokollit nr. </w:t>
      </w:r>
      <w:r w:rsidRPr="00EF49F7">
        <w:rPr>
          <w:lang w:val="sq-AL"/>
        </w:rPr>
        <w:t xml:space="preserve">1 </w:t>
      </w:r>
      <w:r w:rsidRPr="00EF49F7" w:rsidR="00D315B4">
        <w:rPr>
          <w:lang w:val="sq-AL"/>
        </w:rPr>
        <w:t>thjesht u k</w:t>
      </w:r>
      <w:r w:rsidR="00EF49F7">
        <w:rPr>
          <w:lang w:val="sq-AL"/>
        </w:rPr>
        <w:t>ë</w:t>
      </w:r>
      <w:r w:rsidRPr="00EF49F7" w:rsidR="00D315B4">
        <w:rPr>
          <w:lang w:val="sq-AL"/>
        </w:rPr>
        <w:t>rkon shteteve q</w:t>
      </w:r>
      <w:r w:rsidR="00EF49F7">
        <w:rPr>
          <w:lang w:val="sq-AL"/>
        </w:rPr>
        <w:t>ë</w:t>
      </w:r>
      <w:r w:rsidRPr="00EF49F7" w:rsidR="00D315B4">
        <w:rPr>
          <w:lang w:val="sq-AL"/>
        </w:rPr>
        <w:t xml:space="preserve"> t</w:t>
      </w:r>
      <w:r w:rsidR="00EF49F7">
        <w:rPr>
          <w:lang w:val="sq-AL"/>
        </w:rPr>
        <w:t>ë</w:t>
      </w:r>
      <w:r w:rsidRPr="00EF49F7" w:rsidR="00D315B4">
        <w:rPr>
          <w:lang w:val="sq-AL"/>
        </w:rPr>
        <w:t xml:space="preserve"> kujdesen që askujt t</w:t>
      </w:r>
      <w:r w:rsidR="00EF49F7">
        <w:rPr>
          <w:lang w:val="sq-AL"/>
        </w:rPr>
        <w:t>ë</w:t>
      </w:r>
      <w:r w:rsidRPr="00EF49F7" w:rsidR="00D315B4">
        <w:rPr>
          <w:lang w:val="sq-AL"/>
        </w:rPr>
        <w:t xml:space="preserve"> mos i mohohet e drejta për </w:t>
      </w:r>
      <w:r w:rsidR="000E41CC">
        <w:rPr>
          <w:lang w:val="sq-AL"/>
        </w:rPr>
        <w:t>arsimim</w:t>
      </w:r>
      <w:r w:rsidRPr="00EF49F7" w:rsidR="00D315B4">
        <w:rPr>
          <w:lang w:val="sq-AL"/>
        </w:rPr>
        <w:t>. Qeveria çmon se rasti i çështjes n</w:t>
      </w:r>
      <w:r w:rsidR="00EF49F7">
        <w:rPr>
          <w:lang w:val="sq-AL"/>
        </w:rPr>
        <w:t>ë</w:t>
      </w:r>
      <w:r w:rsidRPr="00EF49F7" w:rsidR="00D315B4">
        <w:rPr>
          <w:lang w:val="sq-AL"/>
        </w:rPr>
        <w:t xml:space="preserve"> fjal</w:t>
      </w:r>
      <w:r w:rsidR="00EF49F7">
        <w:rPr>
          <w:lang w:val="sq-AL"/>
        </w:rPr>
        <w:t>ë</w:t>
      </w:r>
      <w:r w:rsidRPr="00EF49F7" w:rsidR="00D315B4">
        <w:rPr>
          <w:lang w:val="sq-AL"/>
        </w:rPr>
        <w:t xml:space="preserve"> ka dallim edhe me çështjen</w:t>
      </w:r>
      <w:r w:rsidRPr="00EF49F7" w:rsidR="00EF49F7">
        <w:rPr>
          <w:lang w:val="sq-AL"/>
        </w:rPr>
        <w:t xml:space="preserve"> </w:t>
      </w:r>
      <w:r w:rsidRPr="00EF49F7">
        <w:rPr>
          <w:i/>
          <w:lang w:val="sq-AL"/>
        </w:rPr>
        <w:t>Costello-Roberts</w:t>
      </w:r>
      <w:r w:rsidRPr="00EF49F7">
        <w:rPr>
          <w:lang w:val="sq-AL"/>
        </w:rPr>
        <w:t xml:space="preserve"> </w:t>
      </w:r>
      <w:r w:rsidRPr="00EF49F7" w:rsidR="00EF49F7">
        <w:rPr>
          <w:lang w:val="sq-AL"/>
        </w:rPr>
        <w:t>ngaq</w:t>
      </w:r>
      <w:r w:rsidR="00EF49F7">
        <w:rPr>
          <w:lang w:val="sq-AL"/>
        </w:rPr>
        <w:t>ë</w:t>
      </w:r>
      <w:r w:rsidRPr="00EF49F7" w:rsidR="00EF49F7">
        <w:rPr>
          <w:lang w:val="sq-AL"/>
        </w:rPr>
        <w:t xml:space="preserve"> nd</w:t>
      </w:r>
      <w:r w:rsidR="00EF49F7">
        <w:rPr>
          <w:lang w:val="sq-AL"/>
        </w:rPr>
        <w:t>ë</w:t>
      </w:r>
      <w:r w:rsidRPr="00EF49F7" w:rsidR="00EF49F7">
        <w:rPr>
          <w:lang w:val="sq-AL"/>
        </w:rPr>
        <w:t>shkimet trupore n</w:t>
      </w:r>
      <w:r w:rsidR="00EF49F7">
        <w:rPr>
          <w:lang w:val="sq-AL"/>
        </w:rPr>
        <w:t>ë</w:t>
      </w:r>
      <w:r w:rsidRPr="00EF49F7" w:rsidR="00EF49F7">
        <w:rPr>
          <w:lang w:val="sq-AL"/>
        </w:rPr>
        <w:t xml:space="preserve"> at</w:t>
      </w:r>
      <w:r w:rsidR="00EF49F7">
        <w:rPr>
          <w:lang w:val="sq-AL"/>
        </w:rPr>
        <w:t>ë</w:t>
      </w:r>
      <w:r w:rsidRPr="00EF49F7" w:rsidR="00EF49F7">
        <w:rPr>
          <w:lang w:val="sq-AL"/>
        </w:rPr>
        <w:t xml:space="preserve"> çështje ishin pjes</w:t>
      </w:r>
      <w:r w:rsidR="00EF49F7">
        <w:rPr>
          <w:lang w:val="sq-AL"/>
        </w:rPr>
        <w:t>ë</w:t>
      </w:r>
      <w:r w:rsidRPr="00EF49F7" w:rsidR="00EF49F7">
        <w:rPr>
          <w:lang w:val="sq-AL"/>
        </w:rPr>
        <w:t xml:space="preserve"> p</w:t>
      </w:r>
      <w:r w:rsidR="00EF49F7">
        <w:rPr>
          <w:lang w:val="sq-AL"/>
        </w:rPr>
        <w:t>ë</w:t>
      </w:r>
      <w:r w:rsidRPr="00EF49F7" w:rsidR="00EF49F7">
        <w:rPr>
          <w:lang w:val="sq-AL"/>
        </w:rPr>
        <w:t>rb</w:t>
      </w:r>
      <w:r w:rsidR="00EF49F7">
        <w:rPr>
          <w:lang w:val="sq-AL"/>
        </w:rPr>
        <w:t>ë</w:t>
      </w:r>
      <w:r w:rsidRPr="00EF49F7" w:rsidR="00EF49F7">
        <w:rPr>
          <w:lang w:val="sq-AL"/>
        </w:rPr>
        <w:t>r</w:t>
      </w:r>
      <w:r w:rsidR="00EF49F7">
        <w:rPr>
          <w:lang w:val="sq-AL"/>
        </w:rPr>
        <w:t>ë</w:t>
      </w:r>
      <w:r w:rsidRPr="00EF49F7" w:rsidR="00EF49F7">
        <w:rPr>
          <w:lang w:val="sq-AL"/>
        </w:rPr>
        <w:t>se e sistemit disiplinor dhe i takonin n</w:t>
      </w:r>
      <w:r w:rsidR="00EF49F7">
        <w:rPr>
          <w:lang w:val="sq-AL"/>
        </w:rPr>
        <w:t>ë</w:t>
      </w:r>
      <w:r w:rsidRPr="00EF49F7" w:rsidR="00EF49F7">
        <w:rPr>
          <w:lang w:val="sq-AL"/>
        </w:rPr>
        <w:t xml:space="preserve"> k</w:t>
      </w:r>
      <w:r w:rsidR="00EF49F7">
        <w:rPr>
          <w:lang w:val="sq-AL"/>
        </w:rPr>
        <w:t>ë</w:t>
      </w:r>
      <w:r w:rsidRPr="00EF49F7" w:rsidR="00EF49F7">
        <w:rPr>
          <w:lang w:val="sq-AL"/>
        </w:rPr>
        <w:t>t</w:t>
      </w:r>
      <w:r w:rsidR="00EF49F7">
        <w:rPr>
          <w:lang w:val="sq-AL"/>
        </w:rPr>
        <w:t>ë</w:t>
      </w:r>
      <w:r w:rsidRPr="00EF49F7" w:rsidR="00EF49F7">
        <w:rPr>
          <w:lang w:val="sq-AL"/>
        </w:rPr>
        <w:t xml:space="preserve"> m</w:t>
      </w:r>
      <w:r w:rsidR="00EF49F7">
        <w:rPr>
          <w:lang w:val="sq-AL"/>
        </w:rPr>
        <w:t>ë</w:t>
      </w:r>
      <w:r w:rsidRPr="00EF49F7" w:rsidR="00EF49F7">
        <w:rPr>
          <w:lang w:val="sq-AL"/>
        </w:rPr>
        <w:t>nyr</w:t>
      </w:r>
      <w:r w:rsidR="00EF49F7">
        <w:rPr>
          <w:lang w:val="sq-AL"/>
        </w:rPr>
        <w:t>ë</w:t>
      </w:r>
      <w:r w:rsidRPr="00EF49F7" w:rsidR="00EF49F7">
        <w:rPr>
          <w:lang w:val="sq-AL"/>
        </w:rPr>
        <w:t xml:space="preserve"> fushës s</w:t>
      </w:r>
      <w:r w:rsidR="00EF49F7">
        <w:rPr>
          <w:lang w:val="sq-AL"/>
        </w:rPr>
        <w:t>ë</w:t>
      </w:r>
      <w:r w:rsidRPr="00EF49F7" w:rsidR="00EF49F7">
        <w:rPr>
          <w:lang w:val="sq-AL"/>
        </w:rPr>
        <w:t xml:space="preserve"> arsimit, ndërsa, sipas saj, sjellja e L.H. n</w:t>
      </w:r>
      <w:r w:rsidR="00EF49F7">
        <w:rPr>
          <w:lang w:val="sq-AL"/>
        </w:rPr>
        <w:t>ë</w:t>
      </w:r>
      <w:r w:rsidRPr="00EF49F7" w:rsidR="00EF49F7">
        <w:rPr>
          <w:lang w:val="sq-AL"/>
        </w:rPr>
        <w:t xml:space="preserve"> ç</w:t>
      </w:r>
      <w:r w:rsidR="00EF49F7">
        <w:rPr>
          <w:lang w:val="sq-AL"/>
        </w:rPr>
        <w:t>ë</w:t>
      </w:r>
      <w:r w:rsidRPr="00EF49F7" w:rsidR="00EF49F7">
        <w:rPr>
          <w:lang w:val="sq-AL"/>
        </w:rPr>
        <w:t>shtjen n</w:t>
      </w:r>
      <w:r w:rsidR="00EF49F7">
        <w:rPr>
          <w:lang w:val="sq-AL"/>
        </w:rPr>
        <w:t>ë</w:t>
      </w:r>
      <w:r w:rsidRPr="00EF49F7" w:rsidR="00EF49F7">
        <w:rPr>
          <w:lang w:val="sq-AL"/>
        </w:rPr>
        <w:t xml:space="preserve"> fjal</w:t>
      </w:r>
      <w:r w:rsidR="00EF49F7">
        <w:rPr>
          <w:lang w:val="sq-AL"/>
        </w:rPr>
        <w:t>ë</w:t>
      </w:r>
      <w:r w:rsidRPr="00EF49F7" w:rsidR="00EF49F7">
        <w:rPr>
          <w:lang w:val="sq-AL"/>
        </w:rPr>
        <w:t xml:space="preserve"> përb</w:t>
      </w:r>
      <w:r w:rsidR="00EF49F7">
        <w:rPr>
          <w:lang w:val="sq-AL"/>
        </w:rPr>
        <w:t>ë</w:t>
      </w:r>
      <w:r w:rsidRPr="00EF49F7" w:rsidR="00EF49F7">
        <w:rPr>
          <w:lang w:val="sq-AL"/>
        </w:rPr>
        <w:t xml:space="preserve">n </w:t>
      </w:r>
      <w:r w:rsidR="00EF49F7">
        <w:rPr>
          <w:lang w:val="sq-AL"/>
        </w:rPr>
        <w:t>“vetë mohimin” e rolit të një mësuesi. Përgjegjësia e shtetit për vepra penale që nuk kanë lidhje me detyrën e tij për të njohur të drejtat e përkufizuara në Konventë u kufizuaka kështu vetëm me një detyrim operativ mbrojtjeje</w:t>
      </w:r>
      <w:r w:rsidRPr="00EF49F7" w:rsidR="00EF49F7">
        <w:rPr>
          <w:lang w:val="sq-AL"/>
        </w:rPr>
        <w:t xml:space="preserve"> </w:t>
      </w:r>
      <w:r w:rsidRPr="00EF49F7">
        <w:rPr>
          <w:lang w:val="sq-AL"/>
        </w:rPr>
        <w:t>(</w:t>
      </w:r>
      <w:r w:rsidRPr="00EF49F7">
        <w:rPr>
          <w:i/>
          <w:lang w:val="sq-AL"/>
        </w:rPr>
        <w:t xml:space="preserve">Osman </w:t>
      </w:r>
      <w:r w:rsidR="00EF49F7">
        <w:rPr>
          <w:i/>
          <w:lang w:val="sq-AL"/>
        </w:rPr>
        <w:t>k</w:t>
      </w:r>
      <w:r w:rsidRPr="00EF49F7">
        <w:rPr>
          <w:i/>
          <w:lang w:val="sq-AL"/>
        </w:rPr>
        <w:t>. </w:t>
      </w:r>
      <w:r w:rsidRPr="00EF49F7" w:rsidR="002759DF">
        <w:rPr>
          <w:i/>
          <w:lang w:val="sq-AL"/>
        </w:rPr>
        <w:t>Mbretërisë së Bashkuar</w:t>
      </w:r>
      <w:r w:rsidRPr="00EF49F7">
        <w:rPr>
          <w:lang w:val="sq-AL"/>
        </w:rPr>
        <w:t xml:space="preserve">, 28 </w:t>
      </w:r>
      <w:r w:rsidR="00EF49F7">
        <w:rPr>
          <w:lang w:val="sq-AL"/>
        </w:rPr>
        <w:t>tetor</w:t>
      </w:r>
      <w:r w:rsidRPr="00EF49F7">
        <w:rPr>
          <w:lang w:val="sq-AL"/>
        </w:rPr>
        <w:t xml:space="preserve"> 1998, </w:t>
      </w:r>
      <w:r w:rsidRPr="005517A9">
        <w:rPr>
          <w:i/>
          <w:lang w:val="sq-AL"/>
        </w:rPr>
        <w:t>Recueil des arr</w:t>
      </w:r>
      <w:r w:rsidRPr="005517A9" w:rsidR="0009363E">
        <w:rPr>
          <w:i/>
          <w:lang w:val="sq-AL"/>
        </w:rPr>
        <w:t>ê</w:t>
      </w:r>
      <w:r w:rsidRPr="005517A9">
        <w:rPr>
          <w:i/>
          <w:lang w:val="sq-AL"/>
        </w:rPr>
        <w:t>ts et décisions</w:t>
      </w:r>
      <w:r w:rsidR="00EF49F7">
        <w:rPr>
          <w:lang w:val="sq-AL"/>
        </w:rPr>
        <w:t xml:space="preserve"> 1998</w:t>
      </w:r>
      <w:r w:rsidR="00EF49F7">
        <w:rPr>
          <w:lang w:val="sq-AL"/>
        </w:rPr>
        <w:noBreakHyphen/>
        <w:t>VIII)</w:t>
      </w:r>
      <w:r w:rsidRPr="00EF49F7">
        <w:rPr>
          <w:lang w:val="sq-AL"/>
        </w:rPr>
        <w:t xml:space="preserve">; </w:t>
      </w:r>
      <w:r w:rsidR="00EF49F7">
        <w:rPr>
          <w:lang w:val="sq-AL"/>
        </w:rPr>
        <w:t xml:space="preserve">mirëpo asgjë nuk treguaka që shteti të ketë pasur dijeni apo të jetë dashur që në mënyrë të arsyeshme të kishte dijeni më </w:t>
      </w:r>
      <w:r w:rsidRPr="00EF49F7">
        <w:rPr>
          <w:lang w:val="sq-AL"/>
        </w:rPr>
        <w:t xml:space="preserve">1973 </w:t>
      </w:r>
      <w:r w:rsidR="00EF49F7">
        <w:rPr>
          <w:lang w:val="sq-AL"/>
        </w:rPr>
        <w:t>për ndonjë rrezik real që një mësues të abuzonte me një nxënës ose që L.H. të abuzonte me paditësen</w:t>
      </w:r>
      <w:r w:rsidRPr="00EF49F7">
        <w:rPr>
          <w:lang w:val="sq-AL"/>
        </w:rPr>
        <w:t>.</w:t>
      </w:r>
    </w:p>
    <w:p w:rsidRPr="0041783B" w:rsidR="00EB737A" w:rsidP="00EB737A" w:rsidRDefault="00EB737A">
      <w:pPr>
        <w:pStyle w:val="ECHRPara"/>
        <w:rPr>
          <w:lang w:val="sq-AL"/>
        </w:rPr>
      </w:pPr>
      <w:r w:rsidRPr="0041783B">
        <w:rPr>
          <w:lang w:val="sq-AL"/>
        </w:rPr>
        <w:fldChar w:fldCharType="begin"/>
      </w:r>
      <w:r w:rsidRPr="0041783B">
        <w:rPr>
          <w:lang w:val="sq-AL"/>
        </w:rPr>
        <w:instrText xml:space="preserve"> SEQ level0 \*arabic </w:instrText>
      </w:r>
      <w:r w:rsidRPr="0041783B">
        <w:rPr>
          <w:lang w:val="sq-AL"/>
        </w:rPr>
        <w:fldChar w:fldCharType="separate"/>
      </w:r>
      <w:r w:rsidR="00013F9B">
        <w:rPr>
          <w:noProof/>
          <w:lang w:val="sq-AL"/>
        </w:rPr>
        <w:t>132</w:t>
      </w:r>
      <w:r w:rsidRPr="0041783B">
        <w:rPr>
          <w:lang w:val="sq-AL"/>
        </w:rPr>
        <w:fldChar w:fldCharType="end"/>
      </w:r>
      <w:r w:rsidRPr="0041783B">
        <w:rPr>
          <w:lang w:val="sq-AL"/>
        </w:rPr>
        <w:t>.  </w:t>
      </w:r>
      <w:r w:rsidRPr="0041783B" w:rsidR="00EF49F7">
        <w:rPr>
          <w:lang w:val="sq-AL"/>
        </w:rPr>
        <w:t>Lidhur me at</w:t>
      </w:r>
      <w:r w:rsidR="0041783B">
        <w:rPr>
          <w:lang w:val="sq-AL"/>
        </w:rPr>
        <w:t>ë</w:t>
      </w:r>
      <w:r w:rsidRPr="0041783B" w:rsidR="00EF49F7">
        <w:rPr>
          <w:lang w:val="sq-AL"/>
        </w:rPr>
        <w:t xml:space="preserve"> q</w:t>
      </w:r>
      <w:r w:rsidR="0041783B">
        <w:rPr>
          <w:lang w:val="sq-AL"/>
        </w:rPr>
        <w:t>ë</w:t>
      </w:r>
      <w:r w:rsidRPr="0041783B" w:rsidR="00EF49F7">
        <w:rPr>
          <w:lang w:val="sq-AL"/>
        </w:rPr>
        <w:t xml:space="preserve"> shteti dinte n</w:t>
      </w:r>
      <w:r w:rsidR="0041783B">
        <w:rPr>
          <w:lang w:val="sq-AL"/>
        </w:rPr>
        <w:t>ë</w:t>
      </w:r>
      <w:r w:rsidRPr="0041783B" w:rsidR="00EF49F7">
        <w:rPr>
          <w:lang w:val="sq-AL"/>
        </w:rPr>
        <w:t xml:space="preserve"> t</w:t>
      </w:r>
      <w:r w:rsidR="0041783B">
        <w:rPr>
          <w:lang w:val="sq-AL"/>
        </w:rPr>
        <w:t>ë</w:t>
      </w:r>
      <w:r w:rsidRPr="0041783B" w:rsidR="00EF49F7">
        <w:rPr>
          <w:lang w:val="sq-AL"/>
        </w:rPr>
        <w:t xml:space="preserve"> v</w:t>
      </w:r>
      <w:r w:rsidR="0041783B">
        <w:rPr>
          <w:lang w:val="sq-AL"/>
        </w:rPr>
        <w:t>ë</w:t>
      </w:r>
      <w:r w:rsidRPr="0041783B" w:rsidR="00EF49F7">
        <w:rPr>
          <w:lang w:val="sq-AL"/>
        </w:rPr>
        <w:t>rtetë, Qeveria v</w:t>
      </w:r>
      <w:r w:rsidR="0041783B">
        <w:rPr>
          <w:lang w:val="sq-AL"/>
        </w:rPr>
        <w:t>ë</w:t>
      </w:r>
      <w:r w:rsidRPr="0041783B" w:rsidR="00EF49F7">
        <w:rPr>
          <w:lang w:val="sq-AL"/>
        </w:rPr>
        <w:t>ren se as dokumentet e paraqitura</w:t>
      </w:r>
      <w:r w:rsidRPr="0041783B" w:rsidR="0041783B">
        <w:rPr>
          <w:lang w:val="sq-AL"/>
        </w:rPr>
        <w:t xml:space="preserve"> gjat</w:t>
      </w:r>
      <w:r w:rsidR="0041783B">
        <w:rPr>
          <w:lang w:val="sq-AL"/>
        </w:rPr>
        <w:t>ë</w:t>
      </w:r>
      <w:r w:rsidRPr="0041783B" w:rsidR="0041783B">
        <w:rPr>
          <w:lang w:val="sq-AL"/>
        </w:rPr>
        <w:t xml:space="preserve"> parashtrimit t</w:t>
      </w:r>
      <w:r w:rsidR="0041783B">
        <w:rPr>
          <w:lang w:val="sq-AL"/>
        </w:rPr>
        <w:t>ë</w:t>
      </w:r>
      <w:r w:rsidRPr="0041783B" w:rsidR="0041783B">
        <w:rPr>
          <w:lang w:val="sq-AL"/>
        </w:rPr>
        <w:t xml:space="preserve"> provave shkresore, as deponimi i inspektorit të shkoll</w:t>
      </w:r>
      <w:r w:rsidR="0041783B">
        <w:rPr>
          <w:lang w:val="sq-AL"/>
        </w:rPr>
        <w:t>ë</w:t>
      </w:r>
      <w:r w:rsidRPr="0041783B" w:rsidR="0041783B">
        <w:rPr>
          <w:lang w:val="sq-AL"/>
        </w:rPr>
        <w:t>s komb</w:t>
      </w:r>
      <w:r w:rsidR="0041783B">
        <w:rPr>
          <w:lang w:val="sq-AL"/>
        </w:rPr>
        <w:t>ë</w:t>
      </w:r>
      <w:r w:rsidRPr="0041783B" w:rsidR="0041783B">
        <w:rPr>
          <w:lang w:val="sq-AL"/>
        </w:rPr>
        <w:t>tare t</w:t>
      </w:r>
      <w:r w:rsidR="0041783B">
        <w:rPr>
          <w:lang w:val="sq-AL"/>
        </w:rPr>
        <w:t>ë</w:t>
      </w:r>
      <w:r w:rsidRPr="0041783B" w:rsidR="0041783B">
        <w:rPr>
          <w:lang w:val="sq-AL"/>
        </w:rPr>
        <w:t xml:space="preserve"> </w:t>
      </w:r>
      <w:r w:rsidRPr="0041783B">
        <w:rPr>
          <w:lang w:val="sq-AL"/>
        </w:rPr>
        <w:t>Dunderrow</w:t>
      </w:r>
      <w:r w:rsidRPr="0041783B" w:rsidR="0041783B">
        <w:rPr>
          <w:lang w:val="sq-AL"/>
        </w:rPr>
        <w:t>-it</w:t>
      </w:r>
      <w:r w:rsidRPr="0041783B">
        <w:rPr>
          <w:lang w:val="sq-AL"/>
        </w:rPr>
        <w:t xml:space="preserve"> </w:t>
      </w:r>
      <w:r w:rsidRPr="0041783B" w:rsidR="0041783B">
        <w:rPr>
          <w:lang w:val="sq-AL"/>
        </w:rPr>
        <w:t>në</w:t>
      </w:r>
      <w:r w:rsidRPr="0041783B">
        <w:rPr>
          <w:lang w:val="sq-AL"/>
        </w:rPr>
        <w:t xml:space="preserve"> </w:t>
      </w:r>
      <w:r w:rsidRPr="0041783B">
        <w:rPr>
          <w:i/>
          <w:lang w:val="sq-AL"/>
        </w:rPr>
        <w:t>High Court</w:t>
      </w:r>
      <w:r w:rsidRPr="0041783B">
        <w:rPr>
          <w:lang w:val="sq-AL"/>
        </w:rPr>
        <w:t xml:space="preserve"> </w:t>
      </w:r>
      <w:r w:rsidRPr="0041783B" w:rsidR="0041783B">
        <w:rPr>
          <w:lang w:val="sq-AL"/>
        </w:rPr>
        <w:t>nuk tregojn</w:t>
      </w:r>
      <w:r w:rsidR="0041783B">
        <w:rPr>
          <w:lang w:val="sq-AL"/>
        </w:rPr>
        <w:t>ë</w:t>
      </w:r>
      <w:r w:rsidRPr="0041783B" w:rsidR="0041783B">
        <w:rPr>
          <w:lang w:val="sq-AL"/>
        </w:rPr>
        <w:t xml:space="preserve"> kund q</w:t>
      </w:r>
      <w:r w:rsidR="0041783B">
        <w:rPr>
          <w:lang w:val="sq-AL"/>
        </w:rPr>
        <w:t>ë</w:t>
      </w:r>
      <w:r w:rsidRPr="0041783B" w:rsidR="0041783B">
        <w:rPr>
          <w:lang w:val="sq-AL"/>
        </w:rPr>
        <w:t xml:space="preserve"> autoriteteve shtetërore t</w:t>
      </w:r>
      <w:r w:rsidR="00943091">
        <w:rPr>
          <w:lang w:val="sq-AL"/>
        </w:rPr>
        <w:t>’</w:t>
      </w:r>
      <w:r w:rsidRPr="0041783B" w:rsidR="0041783B">
        <w:rPr>
          <w:lang w:val="sq-AL"/>
        </w:rPr>
        <w:t>u jet</w:t>
      </w:r>
      <w:r w:rsidR="0041783B">
        <w:rPr>
          <w:lang w:val="sq-AL"/>
        </w:rPr>
        <w:t>ë</w:t>
      </w:r>
      <w:r w:rsidRPr="0041783B" w:rsidR="0041783B">
        <w:rPr>
          <w:lang w:val="sq-AL"/>
        </w:rPr>
        <w:t xml:space="preserve"> drejtuar ndonj</w:t>
      </w:r>
      <w:r w:rsidR="0041783B">
        <w:rPr>
          <w:lang w:val="sq-AL"/>
        </w:rPr>
        <w:t>ë</w:t>
      </w:r>
      <w:r w:rsidRPr="0041783B" w:rsidR="0041783B">
        <w:rPr>
          <w:lang w:val="sq-AL"/>
        </w:rPr>
        <w:t>herë ndonj</w:t>
      </w:r>
      <w:r w:rsidR="0041783B">
        <w:rPr>
          <w:lang w:val="sq-AL"/>
        </w:rPr>
        <w:t>ë</w:t>
      </w:r>
      <w:r w:rsidRPr="0041783B" w:rsidR="0041783B">
        <w:rPr>
          <w:lang w:val="sq-AL"/>
        </w:rPr>
        <w:t xml:space="preserve"> ankesë lidhur me sjelljen e </w:t>
      </w:r>
      <w:r w:rsidRPr="0041783B">
        <w:rPr>
          <w:lang w:val="sq-AL"/>
        </w:rPr>
        <w:t>L.H.</w:t>
      </w:r>
    </w:p>
    <w:p w:rsidRPr="00B4789B" w:rsidR="00EB737A" w:rsidP="00EB737A" w:rsidRDefault="00EB737A">
      <w:pPr>
        <w:pStyle w:val="ECHRPara"/>
        <w:rPr>
          <w:lang w:val="sq-AL"/>
        </w:rPr>
      </w:pPr>
      <w:r w:rsidRPr="0041783B">
        <w:rPr>
          <w:lang w:val="sq-AL"/>
        </w:rPr>
        <w:fldChar w:fldCharType="begin"/>
      </w:r>
      <w:r w:rsidRPr="0041783B">
        <w:rPr>
          <w:lang w:val="sq-AL"/>
        </w:rPr>
        <w:instrText xml:space="preserve"> SEQ level0 \*arabic </w:instrText>
      </w:r>
      <w:r w:rsidRPr="0041783B">
        <w:rPr>
          <w:lang w:val="sq-AL"/>
        </w:rPr>
        <w:fldChar w:fldCharType="separate"/>
      </w:r>
      <w:r w:rsidR="00013F9B">
        <w:rPr>
          <w:noProof/>
          <w:lang w:val="sq-AL"/>
        </w:rPr>
        <w:t>133</w:t>
      </w:r>
      <w:r w:rsidRPr="0041783B">
        <w:rPr>
          <w:lang w:val="sq-AL"/>
        </w:rPr>
        <w:fldChar w:fldCharType="end"/>
      </w:r>
      <w:r w:rsidRPr="0041783B">
        <w:rPr>
          <w:lang w:val="sq-AL"/>
        </w:rPr>
        <w:t>.  </w:t>
      </w:r>
      <w:r w:rsidR="0041783B">
        <w:rPr>
          <w:lang w:val="sq-AL"/>
        </w:rPr>
        <w:t>Ajo ësht</w:t>
      </w:r>
      <w:r w:rsidR="00B4789B">
        <w:rPr>
          <w:lang w:val="sq-AL"/>
        </w:rPr>
        <w:t>ë</w:t>
      </w:r>
      <w:r w:rsidR="0041783B">
        <w:rPr>
          <w:lang w:val="sq-AL"/>
        </w:rPr>
        <w:t xml:space="preserve"> e mendimit se </w:t>
      </w:r>
      <w:r w:rsidR="004532C3">
        <w:rPr>
          <w:lang w:val="sq-AL"/>
        </w:rPr>
        <w:t>as</w:t>
      </w:r>
      <w:r w:rsidR="0041783B">
        <w:rPr>
          <w:lang w:val="sq-AL"/>
        </w:rPr>
        <w:t xml:space="preserve"> mund t</w:t>
      </w:r>
      <w:r w:rsidR="00B4789B">
        <w:rPr>
          <w:lang w:val="sq-AL"/>
        </w:rPr>
        <w:t>ë</w:t>
      </w:r>
      <w:r w:rsidR="0041783B">
        <w:rPr>
          <w:lang w:val="sq-AL"/>
        </w:rPr>
        <w:t xml:space="preserve"> pretendohet aq m</w:t>
      </w:r>
      <w:r w:rsidR="00B4789B">
        <w:rPr>
          <w:lang w:val="sq-AL"/>
        </w:rPr>
        <w:t>ë</w:t>
      </w:r>
      <w:r w:rsidR="0041783B">
        <w:rPr>
          <w:lang w:val="sq-AL"/>
        </w:rPr>
        <w:t xml:space="preserve"> shum</w:t>
      </w:r>
      <w:r w:rsidR="00B4789B">
        <w:rPr>
          <w:lang w:val="sq-AL"/>
        </w:rPr>
        <w:t>ë</w:t>
      </w:r>
      <w:r w:rsidR="0041783B">
        <w:rPr>
          <w:lang w:val="sq-AL"/>
        </w:rPr>
        <w:t xml:space="preserve"> q</w:t>
      </w:r>
      <w:r w:rsidR="00B4789B">
        <w:rPr>
          <w:lang w:val="sq-AL"/>
        </w:rPr>
        <w:t>ë</w:t>
      </w:r>
      <w:r w:rsidR="0041783B">
        <w:rPr>
          <w:lang w:val="sq-AL"/>
        </w:rPr>
        <w:t xml:space="preserve"> shteti </w:t>
      </w:r>
      <w:r w:rsidR="00CF211A">
        <w:rPr>
          <w:lang w:val="sq-AL"/>
        </w:rPr>
        <w:t>qenk</w:t>
      </w:r>
      <w:r w:rsidR="00B4789B">
        <w:rPr>
          <w:lang w:val="sq-AL"/>
        </w:rPr>
        <w:t>ë</w:t>
      </w:r>
      <w:r w:rsidR="00CF211A">
        <w:rPr>
          <w:lang w:val="sq-AL"/>
        </w:rPr>
        <w:t>sh dashur t</w:t>
      </w:r>
      <w:r w:rsidR="00B4789B">
        <w:rPr>
          <w:lang w:val="sq-AL"/>
        </w:rPr>
        <w:t>ë</w:t>
      </w:r>
      <w:r w:rsidR="00CF211A">
        <w:rPr>
          <w:lang w:val="sq-AL"/>
        </w:rPr>
        <w:t xml:space="preserve"> ishte i vetëdijshëm p</w:t>
      </w:r>
      <w:r w:rsidR="00B4789B">
        <w:rPr>
          <w:lang w:val="sq-AL"/>
        </w:rPr>
        <w:t>ë</w:t>
      </w:r>
      <w:r w:rsidR="00CF211A">
        <w:rPr>
          <w:lang w:val="sq-AL"/>
        </w:rPr>
        <w:t>r nj</w:t>
      </w:r>
      <w:r w:rsidR="00B4789B">
        <w:rPr>
          <w:lang w:val="sq-AL"/>
        </w:rPr>
        <w:t>ë</w:t>
      </w:r>
      <w:r w:rsidR="00CF211A">
        <w:rPr>
          <w:lang w:val="sq-AL"/>
        </w:rPr>
        <w:t xml:space="preserve"> rrezik q</w:t>
      </w:r>
      <w:r w:rsidR="00B4789B">
        <w:rPr>
          <w:lang w:val="sq-AL"/>
        </w:rPr>
        <w:t>ë</w:t>
      </w:r>
      <w:r w:rsidR="00CF211A">
        <w:rPr>
          <w:lang w:val="sq-AL"/>
        </w:rPr>
        <w:t xml:space="preserve"> disa m</w:t>
      </w:r>
      <w:r w:rsidR="00B4789B">
        <w:rPr>
          <w:lang w:val="sq-AL"/>
        </w:rPr>
        <w:t>ë</w:t>
      </w:r>
      <w:r w:rsidR="00CF211A">
        <w:rPr>
          <w:lang w:val="sq-AL"/>
        </w:rPr>
        <w:t>sues të kryenin abuzime seksuale ndaj f</w:t>
      </w:r>
      <w:r w:rsidR="00B4789B">
        <w:rPr>
          <w:lang w:val="sq-AL"/>
        </w:rPr>
        <w:t>ë</w:t>
      </w:r>
      <w:r w:rsidR="00CF211A">
        <w:rPr>
          <w:lang w:val="sq-AL"/>
        </w:rPr>
        <w:t>mij</w:t>
      </w:r>
      <w:r w:rsidR="00B4789B">
        <w:rPr>
          <w:lang w:val="sq-AL"/>
        </w:rPr>
        <w:t>ë</w:t>
      </w:r>
      <w:r w:rsidR="00CF211A">
        <w:rPr>
          <w:lang w:val="sq-AL"/>
        </w:rPr>
        <w:t>ve n</w:t>
      </w:r>
      <w:r w:rsidR="00B4789B">
        <w:rPr>
          <w:lang w:val="sq-AL"/>
        </w:rPr>
        <w:t>ë</w:t>
      </w:r>
      <w:r w:rsidR="00CF211A">
        <w:rPr>
          <w:lang w:val="sq-AL"/>
        </w:rPr>
        <w:t xml:space="preserve"> gjirin e shkollave komb</w:t>
      </w:r>
      <w:r w:rsidR="00B4789B">
        <w:rPr>
          <w:lang w:val="sq-AL"/>
        </w:rPr>
        <w:t>ë</w:t>
      </w:r>
      <w:r w:rsidR="00CF211A">
        <w:rPr>
          <w:lang w:val="sq-AL"/>
        </w:rPr>
        <w:t>tare n</w:t>
      </w:r>
      <w:r w:rsidR="00B4789B">
        <w:rPr>
          <w:lang w:val="sq-AL"/>
        </w:rPr>
        <w:t>ë</w:t>
      </w:r>
      <w:r w:rsidR="00CF211A">
        <w:rPr>
          <w:lang w:val="sq-AL"/>
        </w:rPr>
        <w:t xml:space="preserve"> vitet 1970. Për mendimin e saj, </w:t>
      </w:r>
      <w:r w:rsidR="004532C3">
        <w:rPr>
          <w:lang w:val="sq-AL"/>
        </w:rPr>
        <w:t>ka r</w:t>
      </w:r>
      <w:r w:rsidR="00B4789B">
        <w:rPr>
          <w:lang w:val="sq-AL"/>
        </w:rPr>
        <w:t>ë</w:t>
      </w:r>
      <w:r w:rsidR="004532C3">
        <w:rPr>
          <w:lang w:val="sq-AL"/>
        </w:rPr>
        <w:t>nd</w:t>
      </w:r>
      <w:r w:rsidR="00B4789B">
        <w:rPr>
          <w:lang w:val="sq-AL"/>
        </w:rPr>
        <w:t>ë</w:t>
      </w:r>
      <w:r w:rsidR="004532C3">
        <w:rPr>
          <w:lang w:val="sq-AL"/>
        </w:rPr>
        <w:t>si themelore q</w:t>
      </w:r>
      <w:r w:rsidR="00B4789B">
        <w:rPr>
          <w:lang w:val="sq-AL"/>
        </w:rPr>
        <w:t>ë</w:t>
      </w:r>
      <w:r w:rsidR="004532C3">
        <w:rPr>
          <w:lang w:val="sq-AL"/>
        </w:rPr>
        <w:t xml:space="preserve"> t</w:t>
      </w:r>
      <w:r w:rsidR="00B4789B">
        <w:rPr>
          <w:lang w:val="sq-AL"/>
        </w:rPr>
        <w:t>ë</w:t>
      </w:r>
      <w:r w:rsidR="004532C3">
        <w:rPr>
          <w:lang w:val="sq-AL"/>
        </w:rPr>
        <w:t xml:space="preserve"> shqyrtohet jo nga pozitat e sotme pika lidhur me dijeninë q</w:t>
      </w:r>
      <w:r w:rsidR="00B4789B">
        <w:rPr>
          <w:lang w:val="sq-AL"/>
        </w:rPr>
        <w:t>ë</w:t>
      </w:r>
      <w:r w:rsidR="00332CE8">
        <w:rPr>
          <w:lang w:val="sq-AL"/>
        </w:rPr>
        <w:t xml:space="preserve"> me</w:t>
      </w:r>
      <w:r w:rsidR="004532C3">
        <w:rPr>
          <w:lang w:val="sq-AL"/>
        </w:rPr>
        <w:t>nd</w:t>
      </w:r>
      <w:r w:rsidR="00332CE8">
        <w:rPr>
          <w:lang w:val="sq-AL"/>
        </w:rPr>
        <w:t>ohet</w:t>
      </w:r>
      <w:r w:rsidR="004532C3">
        <w:rPr>
          <w:lang w:val="sq-AL"/>
        </w:rPr>
        <w:t xml:space="preserve"> t</w:t>
      </w:r>
      <w:r w:rsidR="00B4789B">
        <w:rPr>
          <w:lang w:val="sq-AL"/>
        </w:rPr>
        <w:t>ë</w:t>
      </w:r>
      <w:r w:rsidR="004532C3">
        <w:rPr>
          <w:lang w:val="sq-AL"/>
        </w:rPr>
        <w:t xml:space="preserve"> kishte shteti.</w:t>
      </w:r>
      <w:r w:rsidR="008A04F9">
        <w:rPr>
          <w:lang w:val="sq-AL"/>
        </w:rPr>
        <w:t xml:space="preserve"> </w:t>
      </w:r>
      <w:r w:rsidR="00332CE8">
        <w:rPr>
          <w:lang w:val="sq-AL"/>
        </w:rPr>
        <w:t>Mirëpo, më 1973, perceptimi i rrezikut për abuzime lidhur me f</w:t>
      </w:r>
      <w:r w:rsidR="00B4789B">
        <w:rPr>
          <w:lang w:val="sq-AL"/>
        </w:rPr>
        <w:t>ë</w:t>
      </w:r>
      <w:r w:rsidR="00332CE8">
        <w:rPr>
          <w:lang w:val="sq-AL"/>
        </w:rPr>
        <w:t>mij</w:t>
      </w:r>
      <w:r w:rsidR="00B4789B">
        <w:rPr>
          <w:lang w:val="sq-AL"/>
        </w:rPr>
        <w:t>ë</w:t>
      </w:r>
      <w:r w:rsidR="00332CE8">
        <w:rPr>
          <w:lang w:val="sq-AL"/>
        </w:rPr>
        <w:t xml:space="preserve"> nuk paska ekzistuar praktikisht fare dhe konteksti i fillimeve t</w:t>
      </w:r>
      <w:r w:rsidR="00B4789B">
        <w:rPr>
          <w:lang w:val="sq-AL"/>
        </w:rPr>
        <w:t>ë</w:t>
      </w:r>
      <w:r w:rsidR="00332CE8">
        <w:rPr>
          <w:lang w:val="sq-AL"/>
        </w:rPr>
        <w:t xml:space="preserve"> viteve 1970 nuk u vlerësuaka dot n</w:t>
      </w:r>
      <w:r w:rsidR="00B4789B">
        <w:rPr>
          <w:lang w:val="sq-AL"/>
        </w:rPr>
        <w:t>ë</w:t>
      </w:r>
      <w:r w:rsidR="00332CE8">
        <w:rPr>
          <w:lang w:val="sq-AL"/>
        </w:rPr>
        <w:t xml:space="preserve"> m</w:t>
      </w:r>
      <w:r w:rsidR="00B4789B">
        <w:rPr>
          <w:lang w:val="sq-AL"/>
        </w:rPr>
        <w:t>ë</w:t>
      </w:r>
      <w:r w:rsidR="00332CE8">
        <w:rPr>
          <w:lang w:val="sq-AL"/>
        </w:rPr>
        <w:t>nyr</w:t>
      </w:r>
      <w:r w:rsidR="00B4789B">
        <w:rPr>
          <w:lang w:val="sq-AL"/>
        </w:rPr>
        <w:t>ë</w:t>
      </w:r>
      <w:r w:rsidR="00332CE8">
        <w:rPr>
          <w:lang w:val="sq-AL"/>
        </w:rPr>
        <w:t xml:space="preserve"> retrospektive me kutin e dijes dhe t</w:t>
      </w:r>
      <w:r w:rsidR="00B4789B">
        <w:rPr>
          <w:lang w:val="sq-AL"/>
        </w:rPr>
        <w:t>ë</w:t>
      </w:r>
      <w:r w:rsidR="00332CE8">
        <w:rPr>
          <w:lang w:val="sq-AL"/>
        </w:rPr>
        <w:t xml:space="preserve"> kërkesave m</w:t>
      </w:r>
      <w:r w:rsidR="00B4789B">
        <w:rPr>
          <w:lang w:val="sq-AL"/>
        </w:rPr>
        <w:t>ë</w:t>
      </w:r>
      <w:r w:rsidR="00332CE8">
        <w:rPr>
          <w:lang w:val="sq-AL"/>
        </w:rPr>
        <w:t xml:space="preserve"> t</w:t>
      </w:r>
      <w:r w:rsidR="00B4789B">
        <w:rPr>
          <w:lang w:val="sq-AL"/>
        </w:rPr>
        <w:t>ë</w:t>
      </w:r>
      <w:r w:rsidR="00332CE8">
        <w:rPr>
          <w:lang w:val="sq-AL"/>
        </w:rPr>
        <w:t xml:space="preserve"> larta t</w:t>
      </w:r>
      <w:r w:rsidR="00B4789B">
        <w:rPr>
          <w:lang w:val="sq-AL"/>
        </w:rPr>
        <w:t>ë</w:t>
      </w:r>
      <w:r w:rsidR="00332CE8">
        <w:rPr>
          <w:lang w:val="sq-AL"/>
        </w:rPr>
        <w:t xml:space="preserve"> sotme. Puna qenka kryesisht q</w:t>
      </w:r>
      <w:r w:rsidR="00B4789B">
        <w:rPr>
          <w:lang w:val="sq-AL"/>
        </w:rPr>
        <w:t>ë</w:t>
      </w:r>
      <w:r w:rsidR="00332CE8">
        <w:rPr>
          <w:lang w:val="sq-AL"/>
        </w:rPr>
        <w:t xml:space="preserve"> t</w:t>
      </w:r>
      <w:r w:rsidR="00B4789B">
        <w:rPr>
          <w:lang w:val="sq-AL"/>
        </w:rPr>
        <w:t>ë</w:t>
      </w:r>
      <w:r w:rsidR="00332CE8">
        <w:rPr>
          <w:lang w:val="sq-AL"/>
        </w:rPr>
        <w:t xml:space="preserve"> përcaktohet se cila mund t</w:t>
      </w:r>
      <w:r w:rsidR="00B4789B">
        <w:rPr>
          <w:lang w:val="sq-AL"/>
        </w:rPr>
        <w:t>ë</w:t>
      </w:r>
      <w:r w:rsidR="00332CE8">
        <w:rPr>
          <w:lang w:val="sq-AL"/>
        </w:rPr>
        <w:t xml:space="preserve"> ishte, n</w:t>
      </w:r>
      <w:r w:rsidR="00B4789B">
        <w:rPr>
          <w:lang w:val="sq-AL"/>
        </w:rPr>
        <w:t>ë</w:t>
      </w:r>
      <w:r w:rsidR="00332CE8">
        <w:rPr>
          <w:lang w:val="sq-AL"/>
        </w:rPr>
        <w:t xml:space="preserve"> Irland</w:t>
      </w:r>
      <w:r w:rsidR="00B4789B">
        <w:rPr>
          <w:lang w:val="sq-AL"/>
        </w:rPr>
        <w:t>ë</w:t>
      </w:r>
      <w:r w:rsidR="00332CE8">
        <w:rPr>
          <w:lang w:val="sq-AL"/>
        </w:rPr>
        <w:t>n e viteve 1970, shkalla e perceptimit t</w:t>
      </w:r>
      <w:r w:rsidR="00B4789B">
        <w:rPr>
          <w:lang w:val="sq-AL"/>
        </w:rPr>
        <w:t>ë</w:t>
      </w:r>
      <w:r w:rsidR="00332CE8">
        <w:rPr>
          <w:lang w:val="sq-AL"/>
        </w:rPr>
        <w:t xml:space="preserve"> rrezikut q</w:t>
      </w:r>
      <w:r w:rsidR="00B4789B">
        <w:rPr>
          <w:lang w:val="sq-AL"/>
        </w:rPr>
        <w:t>ë</w:t>
      </w:r>
      <w:r w:rsidR="00332CE8">
        <w:rPr>
          <w:lang w:val="sq-AL"/>
        </w:rPr>
        <w:t xml:space="preserve"> disa m</w:t>
      </w:r>
      <w:r w:rsidR="00B4789B">
        <w:rPr>
          <w:lang w:val="sq-AL"/>
        </w:rPr>
        <w:t>ë</w:t>
      </w:r>
      <w:r w:rsidR="00332CE8">
        <w:rPr>
          <w:lang w:val="sq-AL"/>
        </w:rPr>
        <w:t>sues t</w:t>
      </w:r>
      <w:r w:rsidR="00B4789B">
        <w:rPr>
          <w:lang w:val="sq-AL"/>
        </w:rPr>
        <w:t>ë</w:t>
      </w:r>
      <w:r w:rsidR="00332CE8">
        <w:rPr>
          <w:lang w:val="sq-AL"/>
        </w:rPr>
        <w:t xml:space="preserve"> kryenin abuzime seksuale ndaj f</w:t>
      </w:r>
      <w:r w:rsidR="00B4789B">
        <w:rPr>
          <w:lang w:val="sq-AL"/>
        </w:rPr>
        <w:t>ë</w:t>
      </w:r>
      <w:r w:rsidR="00332CE8">
        <w:rPr>
          <w:lang w:val="sq-AL"/>
        </w:rPr>
        <w:t>mij</w:t>
      </w:r>
      <w:r w:rsidR="00B4789B">
        <w:rPr>
          <w:lang w:val="sq-AL"/>
        </w:rPr>
        <w:t>ë</w:t>
      </w:r>
      <w:r w:rsidR="00332CE8">
        <w:rPr>
          <w:lang w:val="sq-AL"/>
        </w:rPr>
        <w:t>ve nëp</w:t>
      </w:r>
      <w:r w:rsidR="00B4789B">
        <w:rPr>
          <w:lang w:val="sq-AL"/>
        </w:rPr>
        <w:t>ë</w:t>
      </w:r>
      <w:r w:rsidR="00332CE8">
        <w:rPr>
          <w:lang w:val="sq-AL"/>
        </w:rPr>
        <w:t>r shkollat fillore. P</w:t>
      </w:r>
      <w:r w:rsidR="00B4789B">
        <w:rPr>
          <w:lang w:val="sq-AL"/>
        </w:rPr>
        <w:t>ë</w:t>
      </w:r>
      <w:r w:rsidR="00332CE8">
        <w:rPr>
          <w:lang w:val="sq-AL"/>
        </w:rPr>
        <w:t>r mendimin e Qeverisë, kjo shkall</w:t>
      </w:r>
      <w:r w:rsidR="00B4789B">
        <w:rPr>
          <w:lang w:val="sq-AL"/>
        </w:rPr>
        <w:t>ë</w:t>
      </w:r>
      <w:r w:rsidR="00332CE8">
        <w:rPr>
          <w:lang w:val="sq-AL"/>
        </w:rPr>
        <w:t xml:space="preserve"> perceptimi ishte zero. Madje gjyqtari</w:t>
      </w:r>
      <w:r w:rsidRPr="00EC796B" w:rsidR="00EC796B">
        <w:rPr>
          <w:lang w:val="sq-AL"/>
        </w:rPr>
        <w:t xml:space="preserve"> </w:t>
      </w:r>
      <w:r w:rsidRPr="00EC796B">
        <w:rPr>
          <w:lang w:val="sq-AL"/>
        </w:rPr>
        <w:t xml:space="preserve">Hardiman </w:t>
      </w:r>
      <w:r w:rsidRPr="00EC796B" w:rsidR="00EC796B">
        <w:rPr>
          <w:lang w:val="sq-AL"/>
        </w:rPr>
        <w:t>e paska shpjeguar se mentaliteti n</w:t>
      </w:r>
      <w:r w:rsidR="00B4789B">
        <w:rPr>
          <w:lang w:val="sq-AL"/>
        </w:rPr>
        <w:t>ë</w:t>
      </w:r>
      <w:r w:rsidRPr="00EC796B" w:rsidR="00EC796B">
        <w:rPr>
          <w:lang w:val="sq-AL"/>
        </w:rPr>
        <w:t xml:space="preserve"> vitet 1970 ishte i ndryshëm, çka shpjeguaka se p</w:t>
      </w:r>
      <w:r w:rsidR="00B4789B">
        <w:rPr>
          <w:lang w:val="sq-AL"/>
        </w:rPr>
        <w:t>ë</w:t>
      </w:r>
      <w:r w:rsidRPr="00EC796B" w:rsidR="00EC796B">
        <w:rPr>
          <w:lang w:val="sq-AL"/>
        </w:rPr>
        <w:t>rse asnj</w:t>
      </w:r>
      <w:r w:rsidR="00B4789B">
        <w:rPr>
          <w:lang w:val="sq-AL"/>
        </w:rPr>
        <w:t>ë</w:t>
      </w:r>
      <w:r w:rsidRPr="00EC796B" w:rsidR="00EC796B">
        <w:rPr>
          <w:lang w:val="sq-AL"/>
        </w:rPr>
        <w:t xml:space="preserve"> prind nuk u ishte ankuar drejtp</w:t>
      </w:r>
      <w:r w:rsidR="00B4789B">
        <w:rPr>
          <w:lang w:val="sq-AL"/>
        </w:rPr>
        <w:t>ë</w:t>
      </w:r>
      <w:r w:rsidRPr="00EC796B" w:rsidR="00EC796B">
        <w:rPr>
          <w:lang w:val="sq-AL"/>
        </w:rPr>
        <w:t>rdrejt autoriteteve të shtetit n</w:t>
      </w:r>
      <w:r w:rsidR="00B4789B">
        <w:rPr>
          <w:lang w:val="sq-AL"/>
        </w:rPr>
        <w:t>ë</w:t>
      </w:r>
      <w:r w:rsidRPr="00EC796B" w:rsidR="00EC796B">
        <w:rPr>
          <w:lang w:val="sq-AL"/>
        </w:rPr>
        <w:t xml:space="preserve"> koh</w:t>
      </w:r>
      <w:r w:rsidR="00B4789B">
        <w:rPr>
          <w:lang w:val="sq-AL"/>
        </w:rPr>
        <w:t>ë</w:t>
      </w:r>
      <w:r w:rsidRPr="00EC796B" w:rsidR="00EC796B">
        <w:rPr>
          <w:lang w:val="sq-AL"/>
        </w:rPr>
        <w:t>n e ngjarjeve.</w:t>
      </w:r>
      <w:r w:rsidR="00EC796B">
        <w:rPr>
          <w:lang w:val="sq-AL"/>
        </w:rPr>
        <w:t xml:space="preserve"> Qeveria i referohet gjithashtu raportit kërkimor me titull </w:t>
      </w:r>
      <w:r w:rsidRPr="00C9407B" w:rsidR="00EC796B">
        <w:rPr>
          <w:lang w:val="sq-AL"/>
        </w:rPr>
        <w:t>“Mbrojtja e fëmijëve nëp</w:t>
      </w:r>
      <w:r w:rsidR="00EC796B">
        <w:rPr>
          <w:lang w:val="sq-AL"/>
        </w:rPr>
        <w:t>ë</w:t>
      </w:r>
      <w:r w:rsidRPr="00C9407B" w:rsidR="00EC796B">
        <w:rPr>
          <w:lang w:val="sq-AL"/>
        </w:rPr>
        <w:t>r konvikte n</w:t>
      </w:r>
      <w:r w:rsidR="00EC796B">
        <w:rPr>
          <w:lang w:val="sq-AL"/>
        </w:rPr>
        <w:t>ë</w:t>
      </w:r>
      <w:r w:rsidRPr="00C9407B" w:rsidR="00EC796B">
        <w:rPr>
          <w:lang w:val="sq-AL"/>
        </w:rPr>
        <w:t xml:space="preserve"> Angli, 1948</w:t>
      </w:r>
      <w:r w:rsidRPr="00C9407B" w:rsidR="00EC796B">
        <w:rPr>
          <w:lang w:val="sq-AL"/>
        </w:rPr>
        <w:noBreakHyphen/>
        <w:t>1975: Histori e përshkrim”</w:t>
      </w:r>
      <w:r w:rsidR="00EC796B">
        <w:rPr>
          <w:lang w:val="sq-AL"/>
        </w:rPr>
        <w:t>, i cili gjendej i bashk</w:t>
      </w:r>
      <w:r w:rsidR="00B4789B">
        <w:rPr>
          <w:lang w:val="sq-AL"/>
        </w:rPr>
        <w:t>ë</w:t>
      </w:r>
      <w:r w:rsidR="00EC796B">
        <w:rPr>
          <w:lang w:val="sq-AL"/>
        </w:rPr>
        <w:t xml:space="preserve">ngjitur me Raportin </w:t>
      </w:r>
      <w:r w:rsidRPr="00EC796B">
        <w:rPr>
          <w:lang w:val="sq-AL"/>
        </w:rPr>
        <w:t xml:space="preserve">Ryan. </w:t>
      </w:r>
      <w:r w:rsidR="00EC796B">
        <w:rPr>
          <w:lang w:val="sq-AL"/>
        </w:rPr>
        <w:t>Ajo v</w:t>
      </w:r>
      <w:r w:rsidR="00B4789B">
        <w:rPr>
          <w:lang w:val="sq-AL"/>
        </w:rPr>
        <w:t>ë</w:t>
      </w:r>
      <w:r w:rsidR="00EC796B">
        <w:rPr>
          <w:lang w:val="sq-AL"/>
        </w:rPr>
        <w:t xml:space="preserve"> n</w:t>
      </w:r>
      <w:r w:rsidR="00B4789B">
        <w:rPr>
          <w:lang w:val="sq-AL"/>
        </w:rPr>
        <w:t>ë</w:t>
      </w:r>
      <w:r w:rsidR="00EC796B">
        <w:rPr>
          <w:lang w:val="sq-AL"/>
        </w:rPr>
        <w:t xml:space="preserve"> dukje se vet</w:t>
      </w:r>
      <w:r w:rsidR="00B4789B">
        <w:rPr>
          <w:lang w:val="sq-AL"/>
        </w:rPr>
        <w:t>ë</w:t>
      </w:r>
      <w:r w:rsidR="00EC796B">
        <w:rPr>
          <w:lang w:val="sq-AL"/>
        </w:rPr>
        <w:t xml:space="preserve"> padit</w:t>
      </w:r>
      <w:r w:rsidR="00B4789B">
        <w:rPr>
          <w:lang w:val="sq-AL"/>
        </w:rPr>
        <w:t>ë</w:t>
      </w:r>
      <w:r w:rsidR="00EC796B">
        <w:rPr>
          <w:lang w:val="sq-AL"/>
        </w:rPr>
        <w:t>sja nuk ka paraqitur përpara juridiksioneve t</w:t>
      </w:r>
      <w:r w:rsidR="00B4789B">
        <w:rPr>
          <w:lang w:val="sq-AL"/>
        </w:rPr>
        <w:t>ë</w:t>
      </w:r>
      <w:r w:rsidR="00EC796B">
        <w:rPr>
          <w:lang w:val="sq-AL"/>
        </w:rPr>
        <w:t xml:space="preserve"> brendshme asnjë element prove lidhur me shkall</w:t>
      </w:r>
      <w:r w:rsidR="00B4789B">
        <w:rPr>
          <w:lang w:val="sq-AL"/>
        </w:rPr>
        <w:t>ë</w:t>
      </w:r>
      <w:r w:rsidR="00EC796B">
        <w:rPr>
          <w:lang w:val="sq-AL"/>
        </w:rPr>
        <w:t>n e perceptimit të rrezikut të lartpërmendur n</w:t>
      </w:r>
      <w:r w:rsidR="00B4789B">
        <w:rPr>
          <w:lang w:val="sq-AL"/>
        </w:rPr>
        <w:t>ë</w:t>
      </w:r>
      <w:r w:rsidR="00EC796B">
        <w:rPr>
          <w:lang w:val="sq-AL"/>
        </w:rPr>
        <w:t xml:space="preserve"> vitet</w:t>
      </w:r>
      <w:r w:rsidRPr="00EC796B" w:rsidR="00EC796B">
        <w:rPr>
          <w:lang w:val="sq-AL"/>
        </w:rPr>
        <w:t xml:space="preserve"> </w:t>
      </w:r>
      <w:r w:rsidRPr="00EC796B">
        <w:rPr>
          <w:lang w:val="sq-AL"/>
        </w:rPr>
        <w:t xml:space="preserve">1970, </w:t>
      </w:r>
      <w:r w:rsidRPr="00EC796B" w:rsidR="00EC796B">
        <w:rPr>
          <w:lang w:val="sq-AL"/>
        </w:rPr>
        <w:t>dhe se n</w:t>
      </w:r>
      <w:r w:rsidR="00B4789B">
        <w:rPr>
          <w:lang w:val="sq-AL"/>
        </w:rPr>
        <w:t>ë</w:t>
      </w:r>
      <w:r w:rsidRPr="00EC796B" w:rsidR="00EC796B">
        <w:rPr>
          <w:lang w:val="sq-AL"/>
        </w:rPr>
        <w:t xml:space="preserve"> t</w:t>
      </w:r>
      <w:r w:rsidR="00B4789B">
        <w:rPr>
          <w:lang w:val="sq-AL"/>
        </w:rPr>
        <w:t>ë</w:t>
      </w:r>
      <w:r w:rsidRPr="00EC796B" w:rsidR="00EC796B">
        <w:rPr>
          <w:lang w:val="sq-AL"/>
        </w:rPr>
        <w:t xml:space="preserve"> </w:t>
      </w:r>
      <w:r w:rsidR="00EC796B">
        <w:rPr>
          <w:lang w:val="sq-AL"/>
        </w:rPr>
        <w:t>vërtetë vet</w:t>
      </w:r>
      <w:r w:rsidR="00B4789B">
        <w:rPr>
          <w:lang w:val="sq-AL"/>
        </w:rPr>
        <w:t>ë</w:t>
      </w:r>
      <w:r w:rsidR="00EC796B">
        <w:rPr>
          <w:lang w:val="sq-AL"/>
        </w:rPr>
        <w:t xml:space="preserve"> eksperti i s</w:t>
      </w:r>
      <w:r w:rsidR="00B4789B">
        <w:rPr>
          <w:lang w:val="sq-AL"/>
        </w:rPr>
        <w:t>ë</w:t>
      </w:r>
      <w:r w:rsidR="00EC796B">
        <w:rPr>
          <w:lang w:val="sq-AL"/>
        </w:rPr>
        <w:t xml:space="preserve"> interesuar</w:t>
      </w:r>
      <w:r w:rsidR="00B4789B">
        <w:rPr>
          <w:lang w:val="sq-AL"/>
        </w:rPr>
        <w:t>ë</w:t>
      </w:r>
      <w:r w:rsidR="00EC796B">
        <w:rPr>
          <w:lang w:val="sq-AL"/>
        </w:rPr>
        <w:t>s (</w:t>
      </w:r>
      <w:r w:rsidRPr="00EC796B">
        <w:rPr>
          <w:lang w:val="sq-AL"/>
        </w:rPr>
        <w:t>profes</w:t>
      </w:r>
      <w:r w:rsidR="00EC796B">
        <w:rPr>
          <w:lang w:val="sq-AL"/>
        </w:rPr>
        <w:t>ori</w:t>
      </w:r>
      <w:r w:rsidRPr="00EC796B">
        <w:rPr>
          <w:lang w:val="sq-AL"/>
        </w:rPr>
        <w:t xml:space="preserve"> Ferguson) </w:t>
      </w:r>
      <w:r w:rsidR="00EC796B">
        <w:rPr>
          <w:lang w:val="sq-AL"/>
        </w:rPr>
        <w:t>ka çmuar se asgj</w:t>
      </w:r>
      <w:r w:rsidR="00B4789B">
        <w:rPr>
          <w:lang w:val="sq-AL"/>
        </w:rPr>
        <w:t>ë</w:t>
      </w:r>
      <w:r w:rsidR="00EC796B">
        <w:rPr>
          <w:lang w:val="sq-AL"/>
        </w:rPr>
        <w:t xml:space="preserve"> nuk e vërtetonte nevoj</w:t>
      </w:r>
      <w:r w:rsidR="00B4789B">
        <w:rPr>
          <w:lang w:val="sq-AL"/>
        </w:rPr>
        <w:t>ë</w:t>
      </w:r>
      <w:r w:rsidR="00EC796B">
        <w:rPr>
          <w:lang w:val="sq-AL"/>
        </w:rPr>
        <w:t>n për strategji parandaluese n</w:t>
      </w:r>
      <w:r w:rsidR="00B4789B">
        <w:rPr>
          <w:lang w:val="sq-AL"/>
        </w:rPr>
        <w:t>ë</w:t>
      </w:r>
      <w:r w:rsidR="00EC796B">
        <w:rPr>
          <w:lang w:val="sq-AL"/>
        </w:rPr>
        <w:t xml:space="preserve"> fillimin e viteve </w:t>
      </w:r>
      <w:r w:rsidRPr="00EC796B">
        <w:rPr>
          <w:lang w:val="sq-AL"/>
        </w:rPr>
        <w:t xml:space="preserve">1970. </w:t>
      </w:r>
      <w:r w:rsidR="00EC796B">
        <w:rPr>
          <w:lang w:val="sq-AL"/>
        </w:rPr>
        <w:t>Për sa i përket raportit</w:t>
      </w:r>
      <w:r w:rsidRPr="00B4789B" w:rsidR="00EC796B">
        <w:rPr>
          <w:lang w:val="sq-AL"/>
        </w:rPr>
        <w:t xml:space="preserve"> </w:t>
      </w:r>
      <w:r w:rsidRPr="00B4789B">
        <w:rPr>
          <w:lang w:val="sq-AL"/>
        </w:rPr>
        <w:t xml:space="preserve">Carrigan, </w:t>
      </w:r>
      <w:r w:rsidRPr="00B4789B" w:rsidR="00EC796B">
        <w:rPr>
          <w:lang w:val="sq-AL"/>
        </w:rPr>
        <w:t>ai nuk i sh</w:t>
      </w:r>
      <w:r w:rsidR="00B4789B">
        <w:rPr>
          <w:lang w:val="sq-AL"/>
        </w:rPr>
        <w:t>ë</w:t>
      </w:r>
      <w:r w:rsidRPr="00B4789B" w:rsidR="00EC796B">
        <w:rPr>
          <w:lang w:val="sq-AL"/>
        </w:rPr>
        <w:t>rbyeka për asgj</w:t>
      </w:r>
      <w:r w:rsidR="00B4789B">
        <w:rPr>
          <w:lang w:val="sq-AL"/>
        </w:rPr>
        <w:t>ë</w:t>
      </w:r>
      <w:r w:rsidRPr="00B4789B" w:rsidR="00EC796B">
        <w:rPr>
          <w:lang w:val="sq-AL"/>
        </w:rPr>
        <w:t xml:space="preserve"> padit</w:t>
      </w:r>
      <w:r w:rsidR="00B4789B">
        <w:rPr>
          <w:lang w:val="sq-AL"/>
        </w:rPr>
        <w:t>ë</w:t>
      </w:r>
      <w:r w:rsidRPr="00B4789B" w:rsidR="00EC796B">
        <w:rPr>
          <w:lang w:val="sq-AL"/>
        </w:rPr>
        <w:t>se</w:t>
      </w:r>
      <w:r w:rsidRPr="00B4789B">
        <w:rPr>
          <w:lang w:val="sq-AL"/>
        </w:rPr>
        <w:t xml:space="preserve">: </w:t>
      </w:r>
      <w:r w:rsidRPr="00B4789B" w:rsidR="00EC796B">
        <w:rPr>
          <w:lang w:val="sq-AL"/>
        </w:rPr>
        <w:t>sigurisht q</w:t>
      </w:r>
      <w:r w:rsidR="00B4789B">
        <w:rPr>
          <w:lang w:val="sq-AL"/>
        </w:rPr>
        <w:t>ë</w:t>
      </w:r>
      <w:r w:rsidRPr="00B4789B" w:rsidR="00EC796B">
        <w:rPr>
          <w:lang w:val="sq-AL"/>
        </w:rPr>
        <w:t xml:space="preserve"> aty paska disa elemente q</w:t>
      </w:r>
      <w:r w:rsidR="00B4789B">
        <w:rPr>
          <w:lang w:val="sq-AL"/>
        </w:rPr>
        <w:t>ë</w:t>
      </w:r>
      <w:r w:rsidRPr="00B4789B" w:rsidR="00EC796B">
        <w:rPr>
          <w:lang w:val="sq-AL"/>
        </w:rPr>
        <w:t xml:space="preserve"> tregojn</w:t>
      </w:r>
      <w:r w:rsidR="00B4789B">
        <w:rPr>
          <w:lang w:val="sq-AL"/>
        </w:rPr>
        <w:t>ë</w:t>
      </w:r>
      <w:r w:rsidRPr="00B4789B" w:rsidR="00EC796B">
        <w:rPr>
          <w:lang w:val="sq-AL"/>
        </w:rPr>
        <w:t xml:space="preserve"> se veprat penale me karakter seksual ishin n</w:t>
      </w:r>
      <w:r w:rsidR="00B4789B">
        <w:rPr>
          <w:lang w:val="sq-AL"/>
        </w:rPr>
        <w:t>ë</w:t>
      </w:r>
      <w:r w:rsidRPr="00B4789B" w:rsidR="00EC796B">
        <w:rPr>
          <w:lang w:val="sq-AL"/>
        </w:rPr>
        <w:t xml:space="preserve"> rritje dhe se policia i ndiqte n</w:t>
      </w:r>
      <w:r w:rsidR="00B4789B">
        <w:rPr>
          <w:lang w:val="sq-AL"/>
        </w:rPr>
        <w:t>ë</w:t>
      </w:r>
      <w:r w:rsidRPr="00B4789B" w:rsidR="00EC796B">
        <w:rPr>
          <w:lang w:val="sq-AL"/>
        </w:rPr>
        <w:t xml:space="preserve"> m</w:t>
      </w:r>
      <w:r w:rsidR="00B4789B">
        <w:rPr>
          <w:lang w:val="sq-AL"/>
        </w:rPr>
        <w:t>ë</w:t>
      </w:r>
      <w:r w:rsidRPr="00B4789B" w:rsidR="00EC796B">
        <w:rPr>
          <w:lang w:val="sq-AL"/>
        </w:rPr>
        <w:t>nyr</w:t>
      </w:r>
      <w:r w:rsidR="00B4789B">
        <w:rPr>
          <w:lang w:val="sq-AL"/>
        </w:rPr>
        <w:t>ë</w:t>
      </w:r>
      <w:r w:rsidRPr="00B4789B" w:rsidR="00EC796B">
        <w:rPr>
          <w:lang w:val="sq-AL"/>
        </w:rPr>
        <w:t xml:space="preserve"> aktive </w:t>
      </w:r>
      <w:r w:rsidRPr="00B4789B" w:rsidR="00B4789B">
        <w:rPr>
          <w:lang w:val="sq-AL"/>
        </w:rPr>
        <w:t>veprat e k</w:t>
      </w:r>
      <w:r w:rsidR="00B4789B">
        <w:rPr>
          <w:lang w:val="sq-AL"/>
        </w:rPr>
        <w:t>ë</w:t>
      </w:r>
      <w:r w:rsidRPr="00B4789B" w:rsidR="00B4789B">
        <w:rPr>
          <w:lang w:val="sq-AL"/>
        </w:rPr>
        <w:t>tilla penale të kryera ndaj disa vajzave t</w:t>
      </w:r>
      <w:r w:rsidR="00B4789B">
        <w:rPr>
          <w:lang w:val="sq-AL"/>
        </w:rPr>
        <w:t>ë</w:t>
      </w:r>
      <w:r w:rsidRPr="00B4789B" w:rsidR="00B4789B">
        <w:rPr>
          <w:lang w:val="sq-AL"/>
        </w:rPr>
        <w:t xml:space="preserve"> reja, mirëpo asgj</w:t>
      </w:r>
      <w:r w:rsidR="00B4789B">
        <w:rPr>
          <w:lang w:val="sq-AL"/>
        </w:rPr>
        <w:t>ë</w:t>
      </w:r>
      <w:r w:rsidRPr="00B4789B" w:rsidR="00B4789B">
        <w:rPr>
          <w:lang w:val="sq-AL"/>
        </w:rPr>
        <w:t xml:space="preserve"> nuk shtynte të mendohej se nj</w:t>
      </w:r>
      <w:r w:rsidR="00B4789B">
        <w:rPr>
          <w:lang w:val="sq-AL"/>
        </w:rPr>
        <w:t>ë</w:t>
      </w:r>
      <w:r w:rsidRPr="00B4789B" w:rsidR="00B4789B">
        <w:rPr>
          <w:lang w:val="sq-AL"/>
        </w:rPr>
        <w:t xml:space="preserve"> m</w:t>
      </w:r>
      <w:r w:rsidR="00B4789B">
        <w:rPr>
          <w:lang w:val="sq-AL"/>
        </w:rPr>
        <w:t>ë</w:t>
      </w:r>
      <w:r w:rsidRPr="00B4789B" w:rsidR="00B4789B">
        <w:rPr>
          <w:lang w:val="sq-AL"/>
        </w:rPr>
        <w:t>sues mund t</w:t>
      </w:r>
      <w:r w:rsidR="00B4789B">
        <w:rPr>
          <w:lang w:val="sq-AL"/>
        </w:rPr>
        <w:t>ë</w:t>
      </w:r>
      <w:r w:rsidRPr="00B4789B" w:rsidR="00B4789B">
        <w:rPr>
          <w:lang w:val="sq-AL"/>
        </w:rPr>
        <w:t xml:space="preserve"> p</w:t>
      </w:r>
      <w:r w:rsidR="00B4789B">
        <w:rPr>
          <w:lang w:val="sq-AL"/>
        </w:rPr>
        <w:t>ë</w:t>
      </w:r>
      <w:r w:rsidRPr="00B4789B" w:rsidR="00B4789B">
        <w:rPr>
          <w:lang w:val="sq-AL"/>
        </w:rPr>
        <w:t>rb</w:t>
      </w:r>
      <w:r w:rsidR="00B4789B">
        <w:rPr>
          <w:lang w:val="sq-AL"/>
        </w:rPr>
        <w:t>ë</w:t>
      </w:r>
      <w:r w:rsidRPr="00B4789B" w:rsidR="00B4789B">
        <w:rPr>
          <w:lang w:val="sq-AL"/>
        </w:rPr>
        <w:t>nte ndonj</w:t>
      </w:r>
      <w:r w:rsidR="00B4789B">
        <w:rPr>
          <w:lang w:val="sq-AL"/>
        </w:rPr>
        <w:t>ë</w:t>
      </w:r>
      <w:r w:rsidRPr="00B4789B" w:rsidR="00B4789B">
        <w:rPr>
          <w:lang w:val="sq-AL"/>
        </w:rPr>
        <w:t xml:space="preserve"> kërc</w:t>
      </w:r>
      <w:r w:rsidR="00B4789B">
        <w:rPr>
          <w:lang w:val="sq-AL"/>
        </w:rPr>
        <w:t>ë</w:t>
      </w:r>
      <w:r w:rsidRPr="00B4789B" w:rsidR="00B4789B">
        <w:rPr>
          <w:lang w:val="sq-AL"/>
        </w:rPr>
        <w:t>nim për nj</w:t>
      </w:r>
      <w:r w:rsidR="00B4789B">
        <w:rPr>
          <w:lang w:val="sq-AL"/>
        </w:rPr>
        <w:t>ë</w:t>
      </w:r>
      <w:r w:rsidRPr="00B4789B" w:rsidR="00B4789B">
        <w:rPr>
          <w:lang w:val="sq-AL"/>
        </w:rPr>
        <w:t xml:space="preserve"> vajz</w:t>
      </w:r>
      <w:r w:rsidR="00B4789B">
        <w:rPr>
          <w:lang w:val="sq-AL"/>
        </w:rPr>
        <w:t>ë të re brenda mureve të një shkolle. Ndonëse duke e pranuar që Ministria nuk e kishte trajtuar me korrektësi një ankesë ku përflitej Z. Brander, Qeveri mbron mendimin se mbi bazën e vetëm këtij incidenti nuk mund të pandehet që shteti kishte dijeni në vitet 1970 për një rrezik të përgjithshëm abuzimesh seksuale lidhur me fëmijët që ndodheshin në mjedis shkollor. Sapo është bërë i vetëdijshëm për ekzistencën dhe përmasat e problemeve, shteti paska miratuar disa direktiva për t</w:t>
      </w:r>
      <w:r w:rsidR="00943091">
        <w:rPr>
          <w:lang w:val="sq-AL"/>
        </w:rPr>
        <w:t>’</w:t>
      </w:r>
      <w:r w:rsidR="00B4789B">
        <w:rPr>
          <w:lang w:val="sq-AL"/>
        </w:rPr>
        <w:t>u dhënë atyre fund.</w:t>
      </w:r>
    </w:p>
    <w:p w:rsidRPr="00486AAF" w:rsidR="00EB737A" w:rsidP="00EB737A" w:rsidRDefault="00EB737A">
      <w:pPr>
        <w:pStyle w:val="ECHRPara"/>
        <w:rPr>
          <w:lang w:val="sq-AL"/>
        </w:rPr>
      </w:pPr>
      <w:r w:rsidRPr="00486AAF">
        <w:rPr>
          <w:lang w:val="sq-AL"/>
        </w:rPr>
        <w:fldChar w:fldCharType="begin"/>
      </w:r>
      <w:r w:rsidRPr="00486AAF">
        <w:rPr>
          <w:lang w:val="sq-AL"/>
        </w:rPr>
        <w:instrText xml:space="preserve"> SEQ level0 \*arabic </w:instrText>
      </w:r>
      <w:r w:rsidRPr="00486AAF">
        <w:rPr>
          <w:lang w:val="sq-AL"/>
        </w:rPr>
        <w:fldChar w:fldCharType="separate"/>
      </w:r>
      <w:r w:rsidR="00013F9B">
        <w:rPr>
          <w:noProof/>
          <w:lang w:val="sq-AL"/>
        </w:rPr>
        <w:t>134</w:t>
      </w:r>
      <w:r w:rsidRPr="00486AAF">
        <w:rPr>
          <w:lang w:val="sq-AL"/>
        </w:rPr>
        <w:fldChar w:fldCharType="end"/>
      </w:r>
      <w:r w:rsidRPr="00486AAF">
        <w:rPr>
          <w:lang w:val="sq-AL"/>
        </w:rPr>
        <w:t>.  </w:t>
      </w:r>
      <w:r w:rsidRPr="00486AAF" w:rsidR="00C64757">
        <w:rPr>
          <w:lang w:val="sq-AL"/>
        </w:rPr>
        <w:t>Qeveria shton se, gjithsesi, e drejta e brendshme i parashikonte disa mekanizma efektivë mbrojtjeje, për aq sa ç</w:t>
      </w:r>
      <w:r w:rsidR="00943091">
        <w:rPr>
          <w:lang w:val="sq-AL"/>
        </w:rPr>
        <w:t>’</w:t>
      </w:r>
      <w:r w:rsidRPr="00486AAF" w:rsidR="00C64757">
        <w:rPr>
          <w:lang w:val="sq-AL"/>
        </w:rPr>
        <w:t>ishte rreziku që mund të perceptohej në atë kohë. Ajo vë në dukje se veprimet e kryera nga L.H. përbënin vepra penale dhe se në të vërtetë, sapo iu përcollën ankesat policisë në mesin e viteve 1990, u zhvillua një hetim penal shterues i cili çoi në dënimin dhe në burgosjen e L.H. Sipas saj, e drejta e përgjegjësisë civile e mundësonte ngritjen e një padie civile kundër L.H. dhe autoriteteve fetare.</w:t>
      </w:r>
    </w:p>
    <w:p w:rsidRPr="00773796" w:rsidR="00EB737A" w:rsidP="00EB737A" w:rsidRDefault="00EB737A">
      <w:pPr>
        <w:pStyle w:val="ECHRPara"/>
        <w:rPr>
          <w:lang w:val="sq-AL"/>
        </w:rPr>
      </w:pPr>
      <w:r w:rsidRPr="00773796">
        <w:rPr>
          <w:lang w:val="sq-AL"/>
        </w:rPr>
        <w:fldChar w:fldCharType="begin"/>
      </w:r>
      <w:r w:rsidRPr="00773796">
        <w:rPr>
          <w:lang w:val="sq-AL"/>
        </w:rPr>
        <w:instrText xml:space="preserve"> SEQ level0 \*arabic </w:instrText>
      </w:r>
      <w:r w:rsidRPr="00773796">
        <w:rPr>
          <w:lang w:val="sq-AL"/>
        </w:rPr>
        <w:fldChar w:fldCharType="separate"/>
      </w:r>
      <w:r w:rsidR="00013F9B">
        <w:rPr>
          <w:noProof/>
          <w:lang w:val="sq-AL"/>
        </w:rPr>
        <w:t>135</w:t>
      </w:r>
      <w:r w:rsidRPr="00773796">
        <w:rPr>
          <w:lang w:val="sq-AL"/>
        </w:rPr>
        <w:fldChar w:fldCharType="end"/>
      </w:r>
      <w:r w:rsidRPr="00773796">
        <w:rPr>
          <w:lang w:val="sq-AL"/>
        </w:rPr>
        <w:t>.  </w:t>
      </w:r>
      <w:r w:rsidRPr="00773796" w:rsidR="00C64757">
        <w:rPr>
          <w:lang w:val="sq-AL"/>
        </w:rPr>
        <w:t>Qeveria</w:t>
      </w:r>
      <w:r w:rsidRPr="00773796" w:rsidR="00FD0DD4">
        <w:rPr>
          <w:lang w:val="sq-AL"/>
        </w:rPr>
        <w:t xml:space="preserve"> çmon se edhe Rregullorja e vitit 1965 e ofronte njëfarë mbrojtjeje. Sipas saj, ky tekst përb</w:t>
      </w:r>
      <w:r w:rsidRPr="00773796" w:rsidR="00486AAF">
        <w:rPr>
          <w:lang w:val="sq-AL"/>
        </w:rPr>
        <w:t>ë</w:t>
      </w:r>
      <w:r w:rsidRPr="00773796" w:rsidR="00FD0DD4">
        <w:rPr>
          <w:lang w:val="sq-AL"/>
        </w:rPr>
        <w:t>nte nj</w:t>
      </w:r>
      <w:r w:rsidRPr="00773796" w:rsidR="00486AAF">
        <w:rPr>
          <w:lang w:val="sq-AL"/>
        </w:rPr>
        <w:t>ë</w:t>
      </w:r>
      <w:r w:rsidRPr="00773796" w:rsidR="00FD0DD4">
        <w:rPr>
          <w:lang w:val="sq-AL"/>
        </w:rPr>
        <w:t xml:space="preserve"> instrument juridik q</w:t>
      </w:r>
      <w:r w:rsidRPr="00773796" w:rsidR="00486AAF">
        <w:rPr>
          <w:lang w:val="sq-AL"/>
        </w:rPr>
        <w:t>ë</w:t>
      </w:r>
      <w:r w:rsidRPr="00773796" w:rsidR="00FD0DD4">
        <w:rPr>
          <w:lang w:val="sq-AL"/>
        </w:rPr>
        <w:t xml:space="preserve"> mund t</w:t>
      </w:r>
      <w:r w:rsidR="00943091">
        <w:rPr>
          <w:lang w:val="sq-AL"/>
        </w:rPr>
        <w:t>’</w:t>
      </w:r>
      <w:r w:rsidRPr="00773796" w:rsidR="00FD0DD4">
        <w:rPr>
          <w:lang w:val="sq-AL"/>
        </w:rPr>
        <w:t>i kundërvihej çdo m</w:t>
      </w:r>
      <w:r w:rsidRPr="00773796" w:rsidR="00486AAF">
        <w:rPr>
          <w:lang w:val="sq-AL"/>
        </w:rPr>
        <w:t>ë</w:t>
      </w:r>
      <w:r w:rsidRPr="00773796" w:rsidR="00FD0DD4">
        <w:rPr>
          <w:lang w:val="sq-AL"/>
        </w:rPr>
        <w:t>suesi a drejtori dhe aty ishte e shpjeguar me qartësi se si t</w:t>
      </w:r>
      <w:r w:rsidRPr="00773796" w:rsidR="00486AAF">
        <w:rPr>
          <w:lang w:val="sq-AL"/>
        </w:rPr>
        <w:t>ë</w:t>
      </w:r>
      <w:r w:rsidRPr="00773796" w:rsidR="00FD0DD4">
        <w:rPr>
          <w:lang w:val="sq-AL"/>
        </w:rPr>
        <w:t xml:space="preserve"> paraqitej e të trajtohej nj</w:t>
      </w:r>
      <w:r w:rsidRPr="00773796" w:rsidR="00486AAF">
        <w:rPr>
          <w:lang w:val="sq-AL"/>
        </w:rPr>
        <w:t>ë</w:t>
      </w:r>
      <w:r w:rsidRPr="00773796" w:rsidR="00FD0DD4">
        <w:rPr>
          <w:lang w:val="sq-AL"/>
        </w:rPr>
        <w:t xml:space="preserve"> ankes</w:t>
      </w:r>
      <w:r w:rsidRPr="00773796" w:rsidR="00486AAF">
        <w:rPr>
          <w:lang w:val="sq-AL"/>
        </w:rPr>
        <w:t>ë</w:t>
      </w:r>
      <w:r w:rsidRPr="00773796" w:rsidR="00FD0DD4">
        <w:rPr>
          <w:lang w:val="sq-AL"/>
        </w:rPr>
        <w:t>. Qeveria u referohet n</w:t>
      </w:r>
      <w:r w:rsidRPr="00773796" w:rsidR="00486AAF">
        <w:rPr>
          <w:lang w:val="sq-AL"/>
        </w:rPr>
        <w:t>ë</w:t>
      </w:r>
      <w:r w:rsidRPr="00773796" w:rsidR="00FD0DD4">
        <w:rPr>
          <w:lang w:val="sq-AL"/>
        </w:rPr>
        <w:t xml:space="preserve"> veçanti neneve</w:t>
      </w:r>
      <w:r w:rsidR="00943091">
        <w:rPr>
          <w:lang w:val="sq-AL"/>
        </w:rPr>
        <w:t xml:space="preserve"> </w:t>
      </w:r>
      <w:r w:rsidRPr="00773796" w:rsidR="00FD0DD4">
        <w:rPr>
          <w:lang w:val="sq-AL"/>
        </w:rPr>
        <w:t>121 e</w:t>
      </w:r>
      <w:r w:rsidRPr="00773796">
        <w:rPr>
          <w:lang w:val="sq-AL"/>
        </w:rPr>
        <w:t xml:space="preserve"> 130 </w:t>
      </w:r>
      <w:r w:rsidRPr="00773796" w:rsidR="00FD0DD4">
        <w:rPr>
          <w:lang w:val="sq-AL"/>
        </w:rPr>
        <w:t>të Rregullores, që parashtronin rregullat e sjelljes t</w:t>
      </w:r>
      <w:r w:rsidRPr="00773796" w:rsidR="00486AAF">
        <w:rPr>
          <w:lang w:val="sq-AL"/>
        </w:rPr>
        <w:t>ë</w:t>
      </w:r>
      <w:r w:rsidRPr="00773796" w:rsidR="00FD0DD4">
        <w:rPr>
          <w:lang w:val="sq-AL"/>
        </w:rPr>
        <w:t xml:space="preserve"> cilave duhej t</w:t>
      </w:r>
      <w:r w:rsidR="00943091">
        <w:rPr>
          <w:lang w:val="sq-AL"/>
        </w:rPr>
        <w:t>’</w:t>
      </w:r>
      <w:r w:rsidRPr="00773796" w:rsidR="00FD0DD4">
        <w:rPr>
          <w:lang w:val="sq-AL"/>
        </w:rPr>
        <w:t>u përmbaheshin m</w:t>
      </w:r>
      <w:r w:rsidRPr="00773796" w:rsidR="00486AAF">
        <w:rPr>
          <w:lang w:val="sq-AL"/>
        </w:rPr>
        <w:t>ë</w:t>
      </w:r>
      <w:r w:rsidRPr="00773796" w:rsidR="00FD0DD4">
        <w:rPr>
          <w:lang w:val="sq-AL"/>
        </w:rPr>
        <w:t xml:space="preserve">suesit, si edhe nenit </w:t>
      </w:r>
      <w:r w:rsidRPr="00773796">
        <w:rPr>
          <w:lang w:val="sq-AL"/>
        </w:rPr>
        <w:t xml:space="preserve">108 </w:t>
      </w:r>
      <w:r w:rsidRPr="00773796" w:rsidR="00FD0DD4">
        <w:rPr>
          <w:lang w:val="sq-AL"/>
        </w:rPr>
        <w:t>të Rregullores dhe direktiv</w:t>
      </w:r>
      <w:r w:rsidRPr="00773796" w:rsidR="00486AAF">
        <w:rPr>
          <w:lang w:val="sq-AL"/>
        </w:rPr>
        <w:t>ë</w:t>
      </w:r>
      <w:r w:rsidRPr="00773796" w:rsidR="00FD0DD4">
        <w:rPr>
          <w:lang w:val="sq-AL"/>
        </w:rPr>
        <w:t xml:space="preserve">s së </w:t>
      </w:r>
      <w:r w:rsidRPr="00773796">
        <w:rPr>
          <w:lang w:val="sq-AL"/>
        </w:rPr>
        <w:t>6 ma</w:t>
      </w:r>
      <w:r w:rsidRPr="00773796" w:rsidR="00FD0DD4">
        <w:rPr>
          <w:lang w:val="sq-AL"/>
        </w:rPr>
        <w:t>jit</w:t>
      </w:r>
      <w:r w:rsidRPr="00773796">
        <w:rPr>
          <w:lang w:val="sq-AL"/>
        </w:rPr>
        <w:t xml:space="preserve"> 1970, </w:t>
      </w:r>
      <w:r w:rsidRPr="00773796" w:rsidR="00FD0DD4">
        <w:rPr>
          <w:lang w:val="sq-AL"/>
        </w:rPr>
        <w:t>lidhur me mekanizmat q</w:t>
      </w:r>
      <w:r w:rsidRPr="00773796" w:rsidR="00486AAF">
        <w:rPr>
          <w:lang w:val="sq-AL"/>
        </w:rPr>
        <w:t>ë</w:t>
      </w:r>
      <w:r w:rsidRPr="00773796" w:rsidR="00FD0DD4">
        <w:rPr>
          <w:lang w:val="sq-AL"/>
        </w:rPr>
        <w:t xml:space="preserve"> mundësonin sanksionimin e m</w:t>
      </w:r>
      <w:r w:rsidRPr="00773796" w:rsidR="00486AAF">
        <w:rPr>
          <w:lang w:val="sq-AL"/>
        </w:rPr>
        <w:t>ë</w:t>
      </w:r>
      <w:r w:rsidRPr="00773796" w:rsidR="00FD0DD4">
        <w:rPr>
          <w:lang w:val="sq-AL"/>
        </w:rPr>
        <w:t>suesve t</w:t>
      </w:r>
      <w:r w:rsidRPr="00773796" w:rsidR="00486AAF">
        <w:rPr>
          <w:lang w:val="sq-AL"/>
        </w:rPr>
        <w:t>ë</w:t>
      </w:r>
      <w:r w:rsidRPr="00773796" w:rsidR="00FD0DD4">
        <w:rPr>
          <w:lang w:val="sq-AL"/>
        </w:rPr>
        <w:t xml:space="preserve"> cil</w:t>
      </w:r>
      <w:r w:rsidRPr="00773796" w:rsidR="00486AAF">
        <w:rPr>
          <w:lang w:val="sq-AL"/>
        </w:rPr>
        <w:t>ë</w:t>
      </w:r>
      <w:r w:rsidRPr="00773796" w:rsidR="00FD0DD4">
        <w:rPr>
          <w:lang w:val="sq-AL"/>
        </w:rPr>
        <w:t>t kishin pasur sjellje t</w:t>
      </w:r>
      <w:r w:rsidRPr="00773796" w:rsidR="00486AAF">
        <w:rPr>
          <w:lang w:val="sq-AL"/>
        </w:rPr>
        <w:t>ë</w:t>
      </w:r>
      <w:r w:rsidRPr="00773796" w:rsidR="00FD0DD4">
        <w:rPr>
          <w:lang w:val="sq-AL"/>
        </w:rPr>
        <w:t xml:space="preserve"> keqe. Ajo shton se inspektorët kishin konkretisht për detyrë q</w:t>
      </w:r>
      <w:r w:rsidRPr="00773796" w:rsidR="00486AAF">
        <w:rPr>
          <w:lang w:val="sq-AL"/>
        </w:rPr>
        <w:t>ë</w:t>
      </w:r>
      <w:r w:rsidRPr="00773796" w:rsidR="00FD0DD4">
        <w:rPr>
          <w:lang w:val="sq-AL"/>
        </w:rPr>
        <w:t xml:space="preserve"> t</w:t>
      </w:r>
      <w:r w:rsidR="00943091">
        <w:rPr>
          <w:lang w:val="sq-AL"/>
        </w:rPr>
        <w:t>’</w:t>
      </w:r>
      <w:r w:rsidRPr="00773796" w:rsidR="00FD0DD4">
        <w:rPr>
          <w:lang w:val="sq-AL"/>
        </w:rPr>
        <w:t>i raportonin ministrit rreth cilësisë s</w:t>
      </w:r>
      <w:r w:rsidRPr="00773796" w:rsidR="00486AAF">
        <w:rPr>
          <w:lang w:val="sq-AL"/>
        </w:rPr>
        <w:t>ë</w:t>
      </w:r>
      <w:r w:rsidRPr="00773796" w:rsidR="00FD0DD4">
        <w:rPr>
          <w:lang w:val="sq-AL"/>
        </w:rPr>
        <w:t xml:space="preserve"> sistemit, e veçanërisht rreth respektimit të Rregullores s</w:t>
      </w:r>
      <w:r w:rsidRPr="00773796" w:rsidR="00486AAF">
        <w:rPr>
          <w:lang w:val="sq-AL"/>
        </w:rPr>
        <w:t>ë</w:t>
      </w:r>
      <w:r w:rsidRPr="00773796" w:rsidR="00FD0DD4">
        <w:rPr>
          <w:lang w:val="sq-AL"/>
        </w:rPr>
        <w:t xml:space="preserve"> vitit </w:t>
      </w:r>
      <w:r w:rsidRPr="00773796">
        <w:rPr>
          <w:lang w:val="sq-AL"/>
        </w:rPr>
        <w:t xml:space="preserve">1965, </w:t>
      </w:r>
      <w:r w:rsidRPr="00773796" w:rsidR="00FD0DD4">
        <w:rPr>
          <w:lang w:val="sq-AL"/>
        </w:rPr>
        <w:t>si edhe t</w:t>
      </w:r>
      <w:r w:rsidRPr="00773796" w:rsidR="00486AAF">
        <w:rPr>
          <w:lang w:val="sq-AL"/>
        </w:rPr>
        <w:t>ë</w:t>
      </w:r>
      <w:r w:rsidRPr="00773796" w:rsidR="00FD0DD4">
        <w:rPr>
          <w:lang w:val="sq-AL"/>
        </w:rPr>
        <w:t xml:space="preserve"> garantonin nj</w:t>
      </w:r>
      <w:r w:rsidRPr="00773796" w:rsidR="00486AAF">
        <w:rPr>
          <w:lang w:val="sq-AL"/>
        </w:rPr>
        <w:t>ë</w:t>
      </w:r>
      <w:r w:rsidRPr="00773796" w:rsidR="00FD0DD4">
        <w:rPr>
          <w:lang w:val="sq-AL"/>
        </w:rPr>
        <w:t xml:space="preserve"> “norm</w:t>
      </w:r>
      <w:r w:rsidRPr="00773796" w:rsidR="00486AAF">
        <w:rPr>
          <w:lang w:val="sq-AL"/>
        </w:rPr>
        <w:t>ë</w:t>
      </w:r>
      <w:r w:rsidRPr="00773796" w:rsidR="00FD0DD4">
        <w:rPr>
          <w:lang w:val="sq-AL"/>
        </w:rPr>
        <w:t xml:space="preserve"> </w:t>
      </w:r>
      <w:r w:rsidRPr="00773796" w:rsidR="00906DF7">
        <w:rPr>
          <w:lang w:val="sq-AL"/>
        </w:rPr>
        <w:t>t</w:t>
      </w:r>
      <w:r w:rsidRPr="00773796" w:rsidR="00486AAF">
        <w:rPr>
          <w:lang w:val="sq-AL"/>
        </w:rPr>
        <w:t>ë</w:t>
      </w:r>
      <w:r w:rsidRPr="00773796" w:rsidR="00906DF7">
        <w:rPr>
          <w:lang w:val="sq-AL"/>
        </w:rPr>
        <w:t xml:space="preserve"> kënaqshme m</w:t>
      </w:r>
      <w:r w:rsidRPr="00773796" w:rsidR="00486AAF">
        <w:rPr>
          <w:lang w:val="sq-AL"/>
        </w:rPr>
        <w:t>ë</w:t>
      </w:r>
      <w:r w:rsidRPr="00773796" w:rsidR="00906DF7">
        <w:rPr>
          <w:lang w:val="sq-AL"/>
        </w:rPr>
        <w:t>simdh</w:t>
      </w:r>
      <w:r w:rsidRPr="00773796" w:rsidR="00486AAF">
        <w:rPr>
          <w:lang w:val="sq-AL"/>
        </w:rPr>
        <w:t>ë</w:t>
      </w:r>
      <w:r w:rsidRPr="00773796" w:rsidR="00906DF7">
        <w:rPr>
          <w:lang w:val="sq-AL"/>
        </w:rPr>
        <w:t>nieje” n</w:t>
      </w:r>
      <w:r w:rsidRPr="00773796" w:rsidR="00486AAF">
        <w:rPr>
          <w:lang w:val="sq-AL"/>
        </w:rPr>
        <w:t>ë</w:t>
      </w:r>
      <w:r w:rsidRPr="00773796" w:rsidR="00906DF7">
        <w:rPr>
          <w:lang w:val="sq-AL"/>
        </w:rPr>
        <w:t xml:space="preserve"> t</w:t>
      </w:r>
      <w:r w:rsidRPr="00773796" w:rsidR="00486AAF">
        <w:rPr>
          <w:lang w:val="sq-AL"/>
        </w:rPr>
        <w:t>ë</w:t>
      </w:r>
      <w:r w:rsidRPr="00773796" w:rsidR="00906DF7">
        <w:rPr>
          <w:lang w:val="sq-AL"/>
        </w:rPr>
        <w:t xml:space="preserve"> gjitha institucionet e arsimit fillor. Ajo thekson nga ana tjet</w:t>
      </w:r>
      <w:r w:rsidRPr="00773796" w:rsidR="00486AAF">
        <w:rPr>
          <w:lang w:val="sq-AL"/>
        </w:rPr>
        <w:t>ë</w:t>
      </w:r>
      <w:r w:rsidRPr="00773796" w:rsidR="00906DF7">
        <w:rPr>
          <w:lang w:val="sq-AL"/>
        </w:rPr>
        <w:t>r se drejtor</w:t>
      </w:r>
      <w:r w:rsidRPr="00773796" w:rsidR="00486AAF">
        <w:rPr>
          <w:lang w:val="sq-AL"/>
        </w:rPr>
        <w:t>ë</w:t>
      </w:r>
      <w:r w:rsidRPr="00773796" w:rsidR="00906DF7">
        <w:rPr>
          <w:lang w:val="sq-AL"/>
        </w:rPr>
        <w:t>t, m</w:t>
      </w:r>
      <w:r w:rsidRPr="00773796" w:rsidR="00486AAF">
        <w:rPr>
          <w:lang w:val="sq-AL"/>
        </w:rPr>
        <w:t>ë</w:t>
      </w:r>
      <w:r w:rsidRPr="00773796" w:rsidR="00906DF7">
        <w:rPr>
          <w:lang w:val="sq-AL"/>
        </w:rPr>
        <w:t>suesit dhe prindërit kishin secili rolin e vet n</w:t>
      </w:r>
      <w:r w:rsidRPr="00773796" w:rsidR="00486AAF">
        <w:rPr>
          <w:lang w:val="sq-AL"/>
        </w:rPr>
        <w:t>ë</w:t>
      </w:r>
      <w:r w:rsidRPr="00773796" w:rsidR="00906DF7">
        <w:rPr>
          <w:lang w:val="sq-AL"/>
        </w:rPr>
        <w:t xml:space="preserve"> fush</w:t>
      </w:r>
      <w:r w:rsidRPr="00773796" w:rsidR="00486AAF">
        <w:rPr>
          <w:lang w:val="sq-AL"/>
        </w:rPr>
        <w:t>ë</w:t>
      </w:r>
      <w:r w:rsidRPr="00773796" w:rsidR="00906DF7">
        <w:rPr>
          <w:lang w:val="sq-AL"/>
        </w:rPr>
        <w:t>n e mbrojtjes s</w:t>
      </w:r>
      <w:r w:rsidRPr="00773796" w:rsidR="00486AAF">
        <w:rPr>
          <w:lang w:val="sq-AL"/>
        </w:rPr>
        <w:t>ë</w:t>
      </w:r>
      <w:r w:rsidRPr="00773796" w:rsidR="00906DF7">
        <w:rPr>
          <w:lang w:val="sq-AL"/>
        </w:rPr>
        <w:t xml:space="preserve"> f</w:t>
      </w:r>
      <w:r w:rsidRPr="00773796" w:rsidR="00486AAF">
        <w:rPr>
          <w:lang w:val="sq-AL"/>
        </w:rPr>
        <w:t>ë</w:t>
      </w:r>
      <w:r w:rsidRPr="00773796" w:rsidR="00906DF7">
        <w:rPr>
          <w:lang w:val="sq-AL"/>
        </w:rPr>
        <w:t>mij</w:t>
      </w:r>
      <w:r w:rsidRPr="00773796" w:rsidR="00486AAF">
        <w:rPr>
          <w:lang w:val="sq-AL"/>
        </w:rPr>
        <w:t>ë</w:t>
      </w:r>
      <w:r w:rsidRPr="00773796" w:rsidR="00906DF7">
        <w:rPr>
          <w:lang w:val="sq-AL"/>
        </w:rPr>
        <w:t>ve dhe se kompetencën për t</w:t>
      </w:r>
      <w:r w:rsidR="00943091">
        <w:rPr>
          <w:lang w:val="sq-AL"/>
        </w:rPr>
        <w:t>’</w:t>
      </w:r>
      <w:r w:rsidRPr="00773796" w:rsidR="00906DF7">
        <w:rPr>
          <w:lang w:val="sq-AL"/>
        </w:rPr>
        <w:t>i drejtuar nj</w:t>
      </w:r>
      <w:r w:rsidRPr="00773796" w:rsidR="00486AAF">
        <w:rPr>
          <w:lang w:val="sq-AL"/>
        </w:rPr>
        <w:t>ë</w:t>
      </w:r>
      <w:r w:rsidRPr="00773796" w:rsidR="00906DF7">
        <w:rPr>
          <w:lang w:val="sq-AL"/>
        </w:rPr>
        <w:t xml:space="preserve"> ankes</w:t>
      </w:r>
      <w:r w:rsidRPr="00773796" w:rsidR="00486AAF">
        <w:rPr>
          <w:lang w:val="sq-AL"/>
        </w:rPr>
        <w:t>ë</w:t>
      </w:r>
      <w:r w:rsidRPr="00773796" w:rsidR="00906DF7">
        <w:rPr>
          <w:lang w:val="sq-AL"/>
        </w:rPr>
        <w:t xml:space="preserve"> drejtpërdrejt nj</w:t>
      </w:r>
      <w:r w:rsidRPr="00773796" w:rsidR="00486AAF">
        <w:rPr>
          <w:lang w:val="sq-AL"/>
        </w:rPr>
        <w:t>ë</w:t>
      </w:r>
      <w:r w:rsidRPr="00773796" w:rsidR="00906DF7">
        <w:rPr>
          <w:lang w:val="sq-AL"/>
        </w:rPr>
        <w:t xml:space="preserve"> inspektori, ministrit, ministrisë ose policis</w:t>
      </w:r>
      <w:r w:rsidRPr="00773796" w:rsidR="00486AAF">
        <w:rPr>
          <w:lang w:val="sq-AL"/>
        </w:rPr>
        <w:t>ë</w:t>
      </w:r>
      <w:r w:rsidRPr="00773796" w:rsidR="00906DF7">
        <w:rPr>
          <w:lang w:val="sq-AL"/>
        </w:rPr>
        <w:t xml:space="preserve"> e kishin t</w:t>
      </w:r>
      <w:r w:rsidRPr="00773796" w:rsidR="00486AAF">
        <w:rPr>
          <w:lang w:val="sq-AL"/>
        </w:rPr>
        <w:t>ë</w:t>
      </w:r>
      <w:r w:rsidRPr="00773796" w:rsidR="00906DF7">
        <w:rPr>
          <w:lang w:val="sq-AL"/>
        </w:rPr>
        <w:t xml:space="preserve"> gjithë, por se askush nuk e pask</w:t>
      </w:r>
      <w:r w:rsidRPr="00773796" w:rsidR="00486AAF">
        <w:rPr>
          <w:lang w:val="sq-AL"/>
        </w:rPr>
        <w:t>ë</w:t>
      </w:r>
      <w:r w:rsidRPr="00773796" w:rsidR="00906DF7">
        <w:rPr>
          <w:lang w:val="sq-AL"/>
        </w:rPr>
        <w:t>sh b</w:t>
      </w:r>
      <w:r w:rsidRPr="00773796" w:rsidR="00486AAF">
        <w:rPr>
          <w:lang w:val="sq-AL"/>
        </w:rPr>
        <w:t>ë</w:t>
      </w:r>
      <w:r w:rsidRPr="00773796" w:rsidR="00906DF7">
        <w:rPr>
          <w:lang w:val="sq-AL"/>
        </w:rPr>
        <w:t>rë nj</w:t>
      </w:r>
      <w:r w:rsidRPr="00773796" w:rsidR="00486AAF">
        <w:rPr>
          <w:lang w:val="sq-AL"/>
        </w:rPr>
        <w:t>ë</w:t>
      </w:r>
      <w:r w:rsidRPr="00773796" w:rsidR="00906DF7">
        <w:rPr>
          <w:lang w:val="sq-AL"/>
        </w:rPr>
        <w:t xml:space="preserve"> gj</w:t>
      </w:r>
      <w:r w:rsidRPr="00773796" w:rsidR="00486AAF">
        <w:rPr>
          <w:lang w:val="sq-AL"/>
        </w:rPr>
        <w:t>ë</w:t>
      </w:r>
      <w:r w:rsidRPr="00773796" w:rsidR="00906DF7">
        <w:rPr>
          <w:lang w:val="sq-AL"/>
        </w:rPr>
        <w:t xml:space="preserve"> të tillë n</w:t>
      </w:r>
      <w:r w:rsidRPr="00773796" w:rsidR="00486AAF">
        <w:rPr>
          <w:lang w:val="sq-AL"/>
        </w:rPr>
        <w:t>ë</w:t>
      </w:r>
      <w:r w:rsidRPr="00773796" w:rsidR="00906DF7">
        <w:rPr>
          <w:lang w:val="sq-AL"/>
        </w:rPr>
        <w:t xml:space="preserve"> rastin e paditëses. Sipas saj, nj</w:t>
      </w:r>
      <w:r w:rsidRPr="00773796" w:rsidR="00486AAF">
        <w:rPr>
          <w:lang w:val="sq-AL"/>
        </w:rPr>
        <w:t>ë</w:t>
      </w:r>
      <w:r w:rsidRPr="00773796" w:rsidR="00906DF7">
        <w:rPr>
          <w:lang w:val="sq-AL"/>
        </w:rPr>
        <w:t xml:space="preserve"> ankesë e tillë do të kishte çuar n</w:t>
      </w:r>
      <w:r w:rsidRPr="00773796" w:rsidR="00486AAF">
        <w:rPr>
          <w:lang w:val="sq-AL"/>
        </w:rPr>
        <w:t>ë</w:t>
      </w:r>
      <w:r w:rsidRPr="00773796" w:rsidR="00906DF7">
        <w:rPr>
          <w:lang w:val="sq-AL"/>
        </w:rPr>
        <w:t xml:space="preserve"> hetime e gjurmime t</w:t>
      </w:r>
      <w:r w:rsidRPr="00773796" w:rsidR="00486AAF">
        <w:rPr>
          <w:lang w:val="sq-AL"/>
        </w:rPr>
        <w:t>ë</w:t>
      </w:r>
      <w:r w:rsidRPr="00773796" w:rsidR="00906DF7">
        <w:rPr>
          <w:lang w:val="sq-AL"/>
        </w:rPr>
        <w:t xml:space="preserve"> përshtatshme dhe, në rast nevoje, </w:t>
      </w:r>
      <w:r w:rsidRPr="00773796" w:rsidR="00486AAF">
        <w:rPr>
          <w:lang w:val="sq-AL"/>
        </w:rPr>
        <w:t>në një sanksion, për shembull në heqjen e lejes së mësimdhënies për mësuesin në fjalë nga ana e ministrit. Problemi i vërtetë në rastin e kësaj çështjeje qëndruaka në mospërdorimin në atë kohë të procedurave ekzistuese. Kështu, ankesa e parë lidhur me L.H. i qenka drejtuar drejtorit dhe jo ndonjë autoriteti të shtetit.</w:t>
      </w:r>
    </w:p>
    <w:p w:rsidRPr="00773796" w:rsidR="00EB737A" w:rsidP="00EB737A" w:rsidRDefault="00EB737A">
      <w:pPr>
        <w:pStyle w:val="ECHRPara"/>
        <w:rPr>
          <w:lang w:val="sq-AL"/>
        </w:rPr>
      </w:pPr>
      <w:r w:rsidRPr="00773796">
        <w:rPr>
          <w:lang w:val="sq-AL"/>
        </w:rPr>
        <w:fldChar w:fldCharType="begin"/>
      </w:r>
      <w:r w:rsidRPr="00773796">
        <w:rPr>
          <w:lang w:val="sq-AL"/>
        </w:rPr>
        <w:instrText xml:space="preserve"> SEQ level0 \*arabic </w:instrText>
      </w:r>
      <w:r w:rsidRPr="00773796">
        <w:rPr>
          <w:lang w:val="sq-AL"/>
        </w:rPr>
        <w:fldChar w:fldCharType="separate"/>
      </w:r>
      <w:r w:rsidR="00013F9B">
        <w:rPr>
          <w:noProof/>
          <w:lang w:val="sq-AL"/>
        </w:rPr>
        <w:t>136</w:t>
      </w:r>
      <w:r w:rsidRPr="00773796">
        <w:rPr>
          <w:lang w:val="sq-AL"/>
        </w:rPr>
        <w:fldChar w:fldCharType="end"/>
      </w:r>
      <w:r w:rsidRPr="00773796">
        <w:rPr>
          <w:lang w:val="sq-AL"/>
        </w:rPr>
        <w:t>.  </w:t>
      </w:r>
      <w:r w:rsidRPr="00773796" w:rsidR="00486AAF">
        <w:rPr>
          <w:lang w:val="sq-AL"/>
        </w:rPr>
        <w:t>Me pak fjal</w:t>
      </w:r>
      <w:r w:rsidRPr="00773796" w:rsidR="00C10388">
        <w:rPr>
          <w:lang w:val="sq-AL"/>
        </w:rPr>
        <w:t>ë</w:t>
      </w:r>
      <w:r w:rsidRPr="00773796" w:rsidR="00486AAF">
        <w:rPr>
          <w:lang w:val="sq-AL"/>
        </w:rPr>
        <w:t xml:space="preserve">, </w:t>
      </w:r>
      <w:r w:rsidRPr="00773796" w:rsidR="00C64757">
        <w:rPr>
          <w:lang w:val="sq-AL"/>
        </w:rPr>
        <w:t xml:space="preserve">Qeveria </w:t>
      </w:r>
      <w:r w:rsidRPr="00773796" w:rsidR="00486AAF">
        <w:rPr>
          <w:lang w:val="sq-AL"/>
        </w:rPr>
        <w:t>del n</w:t>
      </w:r>
      <w:r w:rsidRPr="00773796" w:rsidR="00C10388">
        <w:rPr>
          <w:lang w:val="sq-AL"/>
        </w:rPr>
        <w:t>ë</w:t>
      </w:r>
      <w:r w:rsidRPr="00773796" w:rsidR="00486AAF">
        <w:rPr>
          <w:lang w:val="sq-AL"/>
        </w:rPr>
        <w:t xml:space="preserve"> përfundimin se n</w:t>
      </w:r>
      <w:r w:rsidRPr="00773796" w:rsidR="00C10388">
        <w:rPr>
          <w:lang w:val="sq-AL"/>
        </w:rPr>
        <w:t>ë</w:t>
      </w:r>
      <w:r w:rsidRPr="00773796" w:rsidR="00486AAF">
        <w:rPr>
          <w:lang w:val="sq-AL"/>
        </w:rPr>
        <w:t xml:space="preserve"> koh</w:t>
      </w:r>
      <w:r w:rsidRPr="00773796" w:rsidR="00C10388">
        <w:rPr>
          <w:lang w:val="sq-AL"/>
        </w:rPr>
        <w:t>ë</w:t>
      </w:r>
      <w:r w:rsidRPr="00773796" w:rsidR="00486AAF">
        <w:rPr>
          <w:lang w:val="sq-AL"/>
        </w:rPr>
        <w:t>n e ngjarjeve ekzistonin garanci ndaj çdolloj rreziku p</w:t>
      </w:r>
      <w:r w:rsidRPr="00773796" w:rsidR="00C10388">
        <w:rPr>
          <w:lang w:val="sq-AL"/>
        </w:rPr>
        <w:t>ë</w:t>
      </w:r>
      <w:r w:rsidRPr="00773796" w:rsidR="00486AAF">
        <w:rPr>
          <w:lang w:val="sq-AL"/>
        </w:rPr>
        <w:t>r t</w:t>
      </w:r>
      <w:r w:rsidRPr="00773796" w:rsidR="00C10388">
        <w:rPr>
          <w:lang w:val="sq-AL"/>
        </w:rPr>
        <w:t>ë</w:t>
      </w:r>
      <w:r w:rsidRPr="00773796" w:rsidR="00486AAF">
        <w:rPr>
          <w:lang w:val="sq-AL"/>
        </w:rPr>
        <w:t xml:space="preserve"> cilin shteti duhej t</w:t>
      </w:r>
      <w:r w:rsidRPr="00773796" w:rsidR="00C10388">
        <w:rPr>
          <w:lang w:val="sq-AL"/>
        </w:rPr>
        <w:t>ë</w:t>
      </w:r>
      <w:r w:rsidRPr="00773796" w:rsidR="00486AAF">
        <w:rPr>
          <w:lang w:val="sq-AL"/>
        </w:rPr>
        <w:t xml:space="preserve"> kishte dijeni, dhe se shtrirja e kësaj dijenie duhet t</w:t>
      </w:r>
      <w:r w:rsidRPr="00773796" w:rsidR="00C10388">
        <w:rPr>
          <w:lang w:val="sq-AL"/>
        </w:rPr>
        <w:t>ë</w:t>
      </w:r>
      <w:r w:rsidRPr="00773796" w:rsidR="00486AAF">
        <w:rPr>
          <w:lang w:val="sq-AL"/>
        </w:rPr>
        <w:t xml:space="preserve"> vlerësohet nga pikëpamja e viteve 1970, pa përfituar nga pamja prej pozitave t</w:t>
      </w:r>
      <w:r w:rsidRPr="00773796" w:rsidR="00C10388">
        <w:rPr>
          <w:lang w:val="sq-AL"/>
        </w:rPr>
        <w:t>ë</w:t>
      </w:r>
      <w:r w:rsidRPr="00773796" w:rsidR="00486AAF">
        <w:rPr>
          <w:lang w:val="sq-AL"/>
        </w:rPr>
        <w:t xml:space="preserve"> sotme dhe, sidomos, pa e gjykuar nj</w:t>
      </w:r>
      <w:r w:rsidRPr="00773796" w:rsidR="00C10388">
        <w:rPr>
          <w:lang w:val="sq-AL"/>
        </w:rPr>
        <w:t>ë</w:t>
      </w:r>
      <w:r w:rsidRPr="00773796" w:rsidR="00486AAF">
        <w:rPr>
          <w:lang w:val="sq-AL"/>
        </w:rPr>
        <w:t xml:space="preserve"> kontekst t</w:t>
      </w:r>
      <w:r w:rsidRPr="00773796" w:rsidR="00C10388">
        <w:rPr>
          <w:lang w:val="sq-AL"/>
        </w:rPr>
        <w:t>ë</w:t>
      </w:r>
      <w:r w:rsidRPr="00773796" w:rsidR="00486AAF">
        <w:rPr>
          <w:lang w:val="sq-AL"/>
        </w:rPr>
        <w:t xml:space="preserve"> para dyzet vjet</w:t>
      </w:r>
      <w:r w:rsidRPr="00773796" w:rsidR="00C10388">
        <w:rPr>
          <w:lang w:val="sq-AL"/>
        </w:rPr>
        <w:t>ë</w:t>
      </w:r>
      <w:r w:rsidRPr="00773796" w:rsidR="00486AAF">
        <w:rPr>
          <w:lang w:val="sq-AL"/>
        </w:rPr>
        <w:t>ve</w:t>
      </w:r>
      <w:r w:rsidRPr="00773796" w:rsidR="00C10388">
        <w:rPr>
          <w:lang w:val="sq-AL"/>
        </w:rPr>
        <w:t xml:space="preserve"> përmes prizmit të dijenive dhe të normave të sotme.</w:t>
      </w:r>
    </w:p>
    <w:p w:rsidRPr="00773796" w:rsidR="00EB737A" w:rsidP="00EB737A" w:rsidRDefault="00EB737A">
      <w:pPr>
        <w:pStyle w:val="ECHRHeading2"/>
        <w:rPr>
          <w:lang w:val="sq-AL"/>
        </w:rPr>
      </w:pPr>
      <w:r w:rsidRPr="00773796">
        <w:rPr>
          <w:lang w:val="sq-AL"/>
        </w:rPr>
        <w:t>B.  </w:t>
      </w:r>
      <w:r w:rsidRPr="00773796" w:rsidR="00C10388">
        <w:rPr>
          <w:lang w:val="sq-AL"/>
        </w:rPr>
        <w:t>Vërejtjet e palëve të treta</w:t>
      </w:r>
    </w:p>
    <w:p w:rsidRPr="00773796" w:rsidR="00EB737A" w:rsidP="00EB737A" w:rsidRDefault="00EB737A">
      <w:pPr>
        <w:pStyle w:val="ECHRHeading3"/>
        <w:rPr>
          <w:lang w:val="sq-AL"/>
        </w:rPr>
      </w:pPr>
      <w:r w:rsidRPr="00773796">
        <w:rPr>
          <w:lang w:val="sq-AL"/>
        </w:rPr>
        <w:t>1.  </w:t>
      </w:r>
      <w:r w:rsidRPr="00773796" w:rsidR="00C10388">
        <w:rPr>
          <w:lang w:val="sq-AL"/>
        </w:rPr>
        <w:t xml:space="preserve">Komisioni Irlandez i të Drejtave të Njeriut </w:t>
      </w:r>
      <w:r w:rsidRPr="00773796">
        <w:rPr>
          <w:lang w:val="sq-AL"/>
        </w:rPr>
        <w:t>(</w:t>
      </w:r>
      <w:r w:rsidRPr="00773796">
        <w:rPr>
          <w:i w:val="0"/>
          <w:lang w:val="sq-AL"/>
        </w:rPr>
        <w:t xml:space="preserve">Irish Human Rights Commission – </w:t>
      </w:r>
      <w:r w:rsidRPr="00773796" w:rsidR="00C10388">
        <w:rPr>
          <w:i w:val="0"/>
          <w:lang w:val="sq-AL"/>
        </w:rPr>
        <w:t>“</w:t>
      </w:r>
      <w:r w:rsidRPr="00773796">
        <w:rPr>
          <w:i w:val="0"/>
          <w:lang w:val="sq-AL"/>
        </w:rPr>
        <w:t>IHRC</w:t>
      </w:r>
      <w:r w:rsidRPr="00773796" w:rsidR="00C10388">
        <w:rPr>
          <w:i w:val="0"/>
          <w:lang w:val="sq-AL"/>
        </w:rPr>
        <w:t>”</w:t>
      </w:r>
      <w:r w:rsidRPr="00773796">
        <w:rPr>
          <w:lang w:val="sq-AL"/>
        </w:rPr>
        <w:t>)</w:t>
      </w:r>
    </w:p>
    <w:p w:rsidRPr="00773796" w:rsidR="00EB737A" w:rsidP="00EB737A" w:rsidRDefault="00EB737A">
      <w:pPr>
        <w:pStyle w:val="ECHRPara"/>
        <w:rPr>
          <w:lang w:val="sq-AL"/>
        </w:rPr>
      </w:pPr>
      <w:r w:rsidRPr="00773796">
        <w:rPr>
          <w:lang w:val="sq-AL"/>
        </w:rPr>
        <w:fldChar w:fldCharType="begin"/>
      </w:r>
      <w:r w:rsidRPr="00773796">
        <w:rPr>
          <w:lang w:val="sq-AL"/>
        </w:rPr>
        <w:instrText xml:space="preserve"> SEQ level0 \*arabic </w:instrText>
      </w:r>
      <w:r w:rsidRPr="00773796">
        <w:rPr>
          <w:lang w:val="sq-AL"/>
        </w:rPr>
        <w:fldChar w:fldCharType="separate"/>
      </w:r>
      <w:r w:rsidR="00013F9B">
        <w:rPr>
          <w:noProof/>
          <w:lang w:val="sq-AL"/>
        </w:rPr>
        <w:t>137</w:t>
      </w:r>
      <w:r w:rsidRPr="00773796">
        <w:rPr>
          <w:lang w:val="sq-AL"/>
        </w:rPr>
        <w:fldChar w:fldCharType="end"/>
      </w:r>
      <w:r w:rsidRPr="00773796" w:rsidR="00C10388">
        <w:rPr>
          <w:lang w:val="sq-AL"/>
        </w:rPr>
        <w:t>.  </w:t>
      </w:r>
      <w:r w:rsidRPr="00773796">
        <w:rPr>
          <w:lang w:val="sq-AL"/>
        </w:rPr>
        <w:t>IHRC</w:t>
      </w:r>
      <w:r w:rsidRPr="00773796" w:rsidR="00C10388">
        <w:rPr>
          <w:lang w:val="sq-AL"/>
        </w:rPr>
        <w:t>-ja u krijua për nxitjen dhe mbrojtjen e t</w:t>
      </w:r>
      <w:r w:rsidR="00773796">
        <w:rPr>
          <w:lang w:val="sq-AL"/>
        </w:rPr>
        <w:t>ë</w:t>
      </w:r>
      <w:r w:rsidRPr="00773796" w:rsidR="00C10388">
        <w:rPr>
          <w:lang w:val="sq-AL"/>
        </w:rPr>
        <w:t xml:space="preserve"> drejtave t</w:t>
      </w:r>
      <w:r w:rsidR="00773796">
        <w:rPr>
          <w:lang w:val="sq-AL"/>
        </w:rPr>
        <w:t>ë</w:t>
      </w:r>
      <w:r w:rsidRPr="00773796" w:rsidR="00C10388">
        <w:rPr>
          <w:lang w:val="sq-AL"/>
        </w:rPr>
        <w:t xml:space="preserve"> njeriut t</w:t>
      </w:r>
      <w:r w:rsidR="00773796">
        <w:rPr>
          <w:lang w:val="sq-AL"/>
        </w:rPr>
        <w:t>ë</w:t>
      </w:r>
      <w:r w:rsidRPr="00773796" w:rsidR="00C10388">
        <w:rPr>
          <w:lang w:val="sq-AL"/>
        </w:rPr>
        <w:t xml:space="preserve"> çdo personi n</w:t>
      </w:r>
      <w:r w:rsidR="00773796">
        <w:rPr>
          <w:lang w:val="sq-AL"/>
        </w:rPr>
        <w:t>ë</w:t>
      </w:r>
      <w:r w:rsidRPr="00773796" w:rsidR="00C10388">
        <w:rPr>
          <w:lang w:val="sq-AL"/>
        </w:rPr>
        <w:t xml:space="preserve"> Irlandë përmes nj</w:t>
      </w:r>
      <w:r w:rsidR="00773796">
        <w:rPr>
          <w:lang w:val="sq-AL"/>
        </w:rPr>
        <w:t>ë</w:t>
      </w:r>
      <w:r w:rsidRPr="00773796" w:rsidR="00C10388">
        <w:rPr>
          <w:lang w:val="sq-AL"/>
        </w:rPr>
        <w:t xml:space="preserve"> ligji t</w:t>
      </w:r>
      <w:r w:rsidR="00773796">
        <w:rPr>
          <w:lang w:val="sq-AL"/>
        </w:rPr>
        <w:t>ë</w:t>
      </w:r>
      <w:r w:rsidRPr="00773796" w:rsidR="00C10388">
        <w:rPr>
          <w:lang w:val="sq-AL"/>
        </w:rPr>
        <w:t xml:space="preserve"> vitit </w:t>
      </w:r>
      <w:r w:rsidRPr="00773796">
        <w:rPr>
          <w:lang w:val="sq-AL"/>
        </w:rPr>
        <w:t xml:space="preserve">2000 </w:t>
      </w:r>
      <w:r w:rsidRPr="00773796" w:rsidR="00C10388">
        <w:rPr>
          <w:lang w:val="sq-AL"/>
        </w:rPr>
        <w:t xml:space="preserve">i cili pasonte “Marrëveshjen e së Premtes së Zezë” </w:t>
      </w:r>
      <w:r w:rsidRPr="00773796">
        <w:rPr>
          <w:lang w:val="sq-AL"/>
        </w:rPr>
        <w:t>(</w:t>
      </w:r>
      <w:r w:rsidRPr="00773796">
        <w:rPr>
          <w:i/>
          <w:lang w:val="sq-AL"/>
        </w:rPr>
        <w:t>Good Friday Agreement</w:t>
      </w:r>
      <w:r w:rsidRPr="00773796">
        <w:rPr>
          <w:lang w:val="sq-AL"/>
        </w:rPr>
        <w:t xml:space="preserve">) </w:t>
      </w:r>
      <w:r w:rsidRPr="00773796" w:rsidR="00C10388">
        <w:rPr>
          <w:lang w:val="sq-AL"/>
        </w:rPr>
        <w:t>të vitit</w:t>
      </w:r>
      <w:r w:rsidRPr="00773796">
        <w:rPr>
          <w:lang w:val="sq-AL"/>
        </w:rPr>
        <w:t xml:space="preserve"> 1998. </w:t>
      </w:r>
      <w:r w:rsidRPr="00773796" w:rsidR="00C10388">
        <w:rPr>
          <w:lang w:val="sq-AL"/>
        </w:rPr>
        <w:t>Ai ka marrë pjesë edhe m</w:t>
      </w:r>
      <w:r w:rsidR="00773796">
        <w:rPr>
          <w:lang w:val="sq-AL"/>
        </w:rPr>
        <w:t>ë</w:t>
      </w:r>
      <w:r w:rsidRPr="00773796" w:rsidR="00C10388">
        <w:rPr>
          <w:lang w:val="sq-AL"/>
        </w:rPr>
        <w:t xml:space="preserve"> par</w:t>
      </w:r>
      <w:r w:rsidR="00773796">
        <w:rPr>
          <w:lang w:val="sq-AL"/>
        </w:rPr>
        <w:t>ë</w:t>
      </w:r>
      <w:r w:rsidRPr="00773796" w:rsidR="00C10388">
        <w:rPr>
          <w:lang w:val="sq-AL"/>
        </w:rPr>
        <w:t xml:space="preserve"> si pal</w:t>
      </w:r>
      <w:r w:rsidR="00773796">
        <w:rPr>
          <w:lang w:val="sq-AL"/>
        </w:rPr>
        <w:t>ë</w:t>
      </w:r>
      <w:r w:rsidRPr="00773796" w:rsidR="00C10388">
        <w:rPr>
          <w:lang w:val="sq-AL"/>
        </w:rPr>
        <w:t xml:space="preserve"> e tretë n</w:t>
      </w:r>
      <w:r w:rsidR="00773796">
        <w:rPr>
          <w:lang w:val="sq-AL"/>
        </w:rPr>
        <w:t>ë</w:t>
      </w:r>
      <w:r w:rsidRPr="00773796" w:rsidR="00C10388">
        <w:rPr>
          <w:lang w:val="sq-AL"/>
        </w:rPr>
        <w:t xml:space="preserve"> disa procedura përpara Gjykat</w:t>
      </w:r>
      <w:r w:rsidR="00773796">
        <w:rPr>
          <w:lang w:val="sq-AL"/>
        </w:rPr>
        <w:t>ë</w:t>
      </w:r>
      <w:r w:rsidRPr="00773796" w:rsidR="00C10388">
        <w:rPr>
          <w:lang w:val="sq-AL"/>
        </w:rPr>
        <w:t>s.</w:t>
      </w:r>
    </w:p>
    <w:p w:rsidRPr="00773796" w:rsidR="00EB737A" w:rsidP="00EB737A" w:rsidRDefault="00EB737A">
      <w:pPr>
        <w:pStyle w:val="ECHRPara"/>
        <w:rPr>
          <w:lang w:val="sq-AL"/>
        </w:rPr>
      </w:pPr>
      <w:r w:rsidRPr="00773796">
        <w:rPr>
          <w:lang w:val="sq-AL"/>
        </w:rPr>
        <w:fldChar w:fldCharType="begin"/>
      </w:r>
      <w:r w:rsidRPr="00773796">
        <w:rPr>
          <w:lang w:val="sq-AL"/>
        </w:rPr>
        <w:instrText xml:space="preserve"> SEQ level0 \*arabic </w:instrText>
      </w:r>
      <w:r w:rsidRPr="00773796">
        <w:rPr>
          <w:lang w:val="sq-AL"/>
        </w:rPr>
        <w:fldChar w:fldCharType="separate"/>
      </w:r>
      <w:r w:rsidR="00013F9B">
        <w:rPr>
          <w:noProof/>
          <w:lang w:val="sq-AL"/>
        </w:rPr>
        <w:t>138</w:t>
      </w:r>
      <w:r w:rsidRPr="00773796">
        <w:rPr>
          <w:lang w:val="sq-AL"/>
        </w:rPr>
        <w:fldChar w:fldCharType="end"/>
      </w:r>
      <w:r w:rsidRPr="00773796">
        <w:rPr>
          <w:lang w:val="sq-AL"/>
        </w:rPr>
        <w:t>.  </w:t>
      </w:r>
      <w:r w:rsidRPr="00773796" w:rsidR="00C10388">
        <w:rPr>
          <w:lang w:val="sq-AL"/>
        </w:rPr>
        <w:t>IHRC-ja vë veçanërisht n</w:t>
      </w:r>
      <w:r w:rsidR="00773796">
        <w:rPr>
          <w:lang w:val="sq-AL"/>
        </w:rPr>
        <w:t>ë</w:t>
      </w:r>
      <w:r w:rsidRPr="00773796" w:rsidR="00C10388">
        <w:rPr>
          <w:lang w:val="sq-AL"/>
        </w:rPr>
        <w:t xml:space="preserve"> dukje se shtete</w:t>
      </w:r>
      <w:r w:rsidRPr="00773796" w:rsidR="00141D34">
        <w:rPr>
          <w:lang w:val="sq-AL"/>
        </w:rPr>
        <w:t>ve u bien disa detyrime pozitive në fush</w:t>
      </w:r>
      <w:r w:rsidR="00773796">
        <w:rPr>
          <w:lang w:val="sq-AL"/>
        </w:rPr>
        <w:t>ë</w:t>
      </w:r>
      <w:r w:rsidRPr="00773796" w:rsidR="00141D34">
        <w:rPr>
          <w:lang w:val="sq-AL"/>
        </w:rPr>
        <w:t>n e parandalimit t</w:t>
      </w:r>
      <w:r w:rsidR="00773796">
        <w:rPr>
          <w:lang w:val="sq-AL"/>
        </w:rPr>
        <w:t>ë</w:t>
      </w:r>
      <w:r w:rsidRPr="00773796" w:rsidR="00141D34">
        <w:rPr>
          <w:lang w:val="sq-AL"/>
        </w:rPr>
        <w:t xml:space="preserve"> trajtimeve q</w:t>
      </w:r>
      <w:r w:rsidR="00773796">
        <w:rPr>
          <w:lang w:val="sq-AL"/>
        </w:rPr>
        <w:t>ë</w:t>
      </w:r>
      <w:r w:rsidRPr="00773796" w:rsidR="00141D34">
        <w:rPr>
          <w:lang w:val="sq-AL"/>
        </w:rPr>
        <w:t xml:space="preserve"> jan</w:t>
      </w:r>
      <w:r w:rsidR="00773796">
        <w:rPr>
          <w:lang w:val="sq-AL"/>
        </w:rPr>
        <w:t>ë</w:t>
      </w:r>
      <w:r w:rsidRPr="00773796" w:rsidR="00141D34">
        <w:rPr>
          <w:lang w:val="sq-AL"/>
        </w:rPr>
        <w:t xml:space="preserve"> n</w:t>
      </w:r>
      <w:r w:rsidR="00773796">
        <w:rPr>
          <w:lang w:val="sq-AL"/>
        </w:rPr>
        <w:t>ë</w:t>
      </w:r>
      <w:r w:rsidRPr="00773796" w:rsidR="00141D34">
        <w:rPr>
          <w:lang w:val="sq-AL"/>
        </w:rPr>
        <w:t xml:space="preserve"> kundërshtim me nenin 3. Çdo shtet paska k</w:t>
      </w:r>
      <w:r w:rsidR="00773796">
        <w:rPr>
          <w:lang w:val="sq-AL"/>
        </w:rPr>
        <w:t>ë</w:t>
      </w:r>
      <w:r w:rsidRPr="00773796" w:rsidR="00141D34">
        <w:rPr>
          <w:lang w:val="sq-AL"/>
        </w:rPr>
        <w:t>shtu detyr</w:t>
      </w:r>
      <w:r w:rsidR="00773796">
        <w:rPr>
          <w:lang w:val="sq-AL"/>
        </w:rPr>
        <w:t>ë</w:t>
      </w:r>
      <w:r w:rsidRPr="00773796" w:rsidR="00141D34">
        <w:rPr>
          <w:lang w:val="sq-AL"/>
        </w:rPr>
        <w:t>n e përgjithshme q</w:t>
      </w:r>
      <w:r w:rsidR="00773796">
        <w:rPr>
          <w:lang w:val="sq-AL"/>
        </w:rPr>
        <w:t>ë</w:t>
      </w:r>
      <w:r w:rsidRPr="00773796" w:rsidR="00141D34">
        <w:rPr>
          <w:lang w:val="sq-AL"/>
        </w:rPr>
        <w:t xml:space="preserve"> ta strukturoj</w:t>
      </w:r>
      <w:r w:rsidR="00773796">
        <w:rPr>
          <w:lang w:val="sq-AL"/>
        </w:rPr>
        <w:t>ë</w:t>
      </w:r>
      <w:r w:rsidRPr="00773796" w:rsidR="00141D34">
        <w:rPr>
          <w:lang w:val="sq-AL"/>
        </w:rPr>
        <w:t xml:space="preserve"> sistemin e vet t</w:t>
      </w:r>
      <w:r w:rsidR="00773796">
        <w:rPr>
          <w:lang w:val="sq-AL"/>
        </w:rPr>
        <w:t>ë</w:t>
      </w:r>
      <w:r w:rsidRPr="00773796" w:rsidR="00141D34">
        <w:rPr>
          <w:lang w:val="sq-AL"/>
        </w:rPr>
        <w:t xml:space="preserve"> arsimit fillor n</w:t>
      </w:r>
      <w:r w:rsidR="00773796">
        <w:rPr>
          <w:lang w:val="sq-AL"/>
        </w:rPr>
        <w:t>ë</w:t>
      </w:r>
      <w:r w:rsidRPr="00773796" w:rsidR="00141D34">
        <w:rPr>
          <w:lang w:val="sq-AL"/>
        </w:rPr>
        <w:t xml:space="preserve"> mënyr</w:t>
      </w:r>
      <w:r w:rsidR="00773796">
        <w:rPr>
          <w:lang w:val="sq-AL"/>
        </w:rPr>
        <w:t>ë</w:t>
      </w:r>
      <w:r w:rsidRPr="00773796" w:rsidR="00141D34">
        <w:rPr>
          <w:lang w:val="sq-AL"/>
        </w:rPr>
        <w:t xml:space="preserve"> t</w:t>
      </w:r>
      <w:r w:rsidR="00773796">
        <w:rPr>
          <w:lang w:val="sq-AL"/>
        </w:rPr>
        <w:t>ë</w:t>
      </w:r>
      <w:r w:rsidRPr="00773796" w:rsidR="00141D34">
        <w:rPr>
          <w:lang w:val="sq-AL"/>
        </w:rPr>
        <w:t xml:space="preserve"> till</w:t>
      </w:r>
      <w:r w:rsidR="00773796">
        <w:rPr>
          <w:lang w:val="sq-AL"/>
        </w:rPr>
        <w:t>ë</w:t>
      </w:r>
      <w:r w:rsidRPr="00773796" w:rsidR="00141D34">
        <w:rPr>
          <w:lang w:val="sq-AL"/>
        </w:rPr>
        <w:t xml:space="preserve"> që t</w:t>
      </w:r>
      <w:r w:rsidR="00773796">
        <w:rPr>
          <w:lang w:val="sq-AL"/>
        </w:rPr>
        <w:t>ë</w:t>
      </w:r>
      <w:r w:rsidRPr="00773796" w:rsidR="00141D34">
        <w:rPr>
          <w:lang w:val="sq-AL"/>
        </w:rPr>
        <w:t xml:space="preserve"> siguroj</w:t>
      </w:r>
      <w:r w:rsidR="00773796">
        <w:rPr>
          <w:lang w:val="sq-AL"/>
        </w:rPr>
        <w:t>ë</w:t>
      </w:r>
      <w:r w:rsidRPr="00773796" w:rsidR="00141D34">
        <w:rPr>
          <w:lang w:val="sq-AL"/>
        </w:rPr>
        <w:t xml:space="preserve"> mbrojtjen e f</w:t>
      </w:r>
      <w:r w:rsidR="00773796">
        <w:rPr>
          <w:lang w:val="sq-AL"/>
        </w:rPr>
        <w:t>ë</w:t>
      </w:r>
      <w:r w:rsidRPr="00773796" w:rsidR="00141D34">
        <w:rPr>
          <w:lang w:val="sq-AL"/>
        </w:rPr>
        <w:t>mij</w:t>
      </w:r>
      <w:r w:rsidR="00773796">
        <w:rPr>
          <w:lang w:val="sq-AL"/>
        </w:rPr>
        <w:t>ë</w:t>
      </w:r>
      <w:r w:rsidRPr="00773796" w:rsidR="00141D34">
        <w:rPr>
          <w:lang w:val="sq-AL"/>
        </w:rPr>
        <w:t>ve dhe ai nuk mund t</w:t>
      </w:r>
      <w:r w:rsidR="00943091">
        <w:rPr>
          <w:lang w:val="sq-AL"/>
        </w:rPr>
        <w:t>’</w:t>
      </w:r>
      <w:r w:rsidRPr="00773796" w:rsidR="00141D34">
        <w:rPr>
          <w:lang w:val="sq-AL"/>
        </w:rPr>
        <w:t>iu shmangka detyrimeve t</w:t>
      </w:r>
      <w:r w:rsidR="00773796">
        <w:rPr>
          <w:lang w:val="sq-AL"/>
        </w:rPr>
        <w:t>ë</w:t>
      </w:r>
      <w:r w:rsidRPr="00773796" w:rsidR="00141D34">
        <w:rPr>
          <w:lang w:val="sq-AL"/>
        </w:rPr>
        <w:t xml:space="preserve"> tij rreth kësaj pike duke ia deleguar disa funksione t</w:t>
      </w:r>
      <w:r w:rsidR="00773796">
        <w:rPr>
          <w:lang w:val="sq-AL"/>
        </w:rPr>
        <w:t>ë</w:t>
      </w:r>
      <w:r w:rsidRPr="00773796" w:rsidR="00141D34">
        <w:rPr>
          <w:lang w:val="sq-AL"/>
        </w:rPr>
        <w:t xml:space="preserve"> shërbimit publik një organizmi privat. Në k</w:t>
      </w:r>
      <w:r w:rsidR="00773796">
        <w:rPr>
          <w:lang w:val="sq-AL"/>
        </w:rPr>
        <w:t>ë</w:t>
      </w:r>
      <w:r w:rsidRPr="00773796" w:rsidR="00141D34">
        <w:rPr>
          <w:lang w:val="sq-AL"/>
        </w:rPr>
        <w:t>t</w:t>
      </w:r>
      <w:r w:rsidR="00773796">
        <w:rPr>
          <w:lang w:val="sq-AL"/>
        </w:rPr>
        <w:t>ë</w:t>
      </w:r>
      <w:r w:rsidRPr="00773796" w:rsidR="00141D34">
        <w:rPr>
          <w:lang w:val="sq-AL"/>
        </w:rPr>
        <w:t xml:space="preserve"> vështrim, u shtruaka një pyetje serioze lidhur me pik</w:t>
      </w:r>
      <w:r w:rsidR="00773796">
        <w:rPr>
          <w:lang w:val="sq-AL"/>
        </w:rPr>
        <w:t>ë</w:t>
      </w:r>
      <w:r w:rsidRPr="00773796" w:rsidR="00141D34">
        <w:rPr>
          <w:lang w:val="sq-AL"/>
        </w:rPr>
        <w:t>n n</w:t>
      </w:r>
      <w:r w:rsidR="00773796">
        <w:rPr>
          <w:lang w:val="sq-AL"/>
        </w:rPr>
        <w:t>ë</w:t>
      </w:r>
      <w:r w:rsidRPr="00773796" w:rsidR="00141D34">
        <w:rPr>
          <w:lang w:val="sq-AL"/>
        </w:rPr>
        <w:t>se shteti i paditur e kishte ruajtur apo jo nj</w:t>
      </w:r>
      <w:r w:rsidR="00773796">
        <w:rPr>
          <w:lang w:val="sq-AL"/>
        </w:rPr>
        <w:t>ë</w:t>
      </w:r>
      <w:r w:rsidRPr="00773796" w:rsidR="00141D34">
        <w:rPr>
          <w:lang w:val="sq-AL"/>
        </w:rPr>
        <w:t xml:space="preserve"> nivel t</w:t>
      </w:r>
      <w:r w:rsidR="00773796">
        <w:rPr>
          <w:lang w:val="sq-AL"/>
        </w:rPr>
        <w:t>ë</w:t>
      </w:r>
      <w:r w:rsidRPr="00773796" w:rsidR="00141D34">
        <w:rPr>
          <w:lang w:val="sq-AL"/>
        </w:rPr>
        <w:t xml:space="preserve"> mjaftuesh</w:t>
      </w:r>
      <w:r w:rsidR="00773796">
        <w:rPr>
          <w:lang w:val="sq-AL"/>
        </w:rPr>
        <w:t>ë</w:t>
      </w:r>
      <w:r w:rsidRPr="00773796" w:rsidR="00141D34">
        <w:rPr>
          <w:lang w:val="sq-AL"/>
        </w:rPr>
        <w:t>m kontrolli mbi shkollat komb</w:t>
      </w:r>
      <w:r w:rsidR="00773796">
        <w:rPr>
          <w:lang w:val="sq-AL"/>
        </w:rPr>
        <w:t>ë</w:t>
      </w:r>
      <w:r w:rsidRPr="00773796" w:rsidR="00141D34">
        <w:rPr>
          <w:lang w:val="sq-AL"/>
        </w:rPr>
        <w:t>tare t</w:t>
      </w:r>
      <w:r w:rsidR="00773796">
        <w:rPr>
          <w:lang w:val="sq-AL"/>
        </w:rPr>
        <w:t>ë</w:t>
      </w:r>
      <w:r w:rsidRPr="00773796" w:rsidR="00141D34">
        <w:rPr>
          <w:lang w:val="sq-AL"/>
        </w:rPr>
        <w:t xml:space="preserve"> financuara me fonde publike p</w:t>
      </w:r>
      <w:r w:rsidR="00773796">
        <w:rPr>
          <w:lang w:val="sq-AL"/>
        </w:rPr>
        <w:t>ë</w:t>
      </w:r>
      <w:r w:rsidRPr="00773796" w:rsidR="00141D34">
        <w:rPr>
          <w:lang w:val="sq-AL"/>
        </w:rPr>
        <w:t>r t</w:t>
      </w:r>
      <w:r w:rsidR="00773796">
        <w:rPr>
          <w:lang w:val="sq-AL"/>
        </w:rPr>
        <w:t>ë</w:t>
      </w:r>
      <w:r w:rsidRPr="00773796" w:rsidR="00141D34">
        <w:rPr>
          <w:lang w:val="sq-AL"/>
        </w:rPr>
        <w:t xml:space="preserve"> garantuar respektimin e të drejtave t</w:t>
      </w:r>
      <w:r w:rsidR="00773796">
        <w:rPr>
          <w:lang w:val="sq-AL"/>
        </w:rPr>
        <w:t>ë</w:t>
      </w:r>
      <w:r w:rsidRPr="00773796" w:rsidR="00141D34">
        <w:rPr>
          <w:lang w:val="sq-AL"/>
        </w:rPr>
        <w:t xml:space="preserve"> mbrojtura nga Konventa. Nga ana tjet</w:t>
      </w:r>
      <w:r w:rsidR="00773796">
        <w:rPr>
          <w:lang w:val="sq-AL"/>
        </w:rPr>
        <w:t>ë</w:t>
      </w:r>
      <w:r w:rsidRPr="00773796" w:rsidR="00141D34">
        <w:rPr>
          <w:lang w:val="sq-AL"/>
        </w:rPr>
        <w:t>r, statusit juridik të Rregullores s</w:t>
      </w:r>
      <w:r w:rsidR="00773796">
        <w:rPr>
          <w:lang w:val="sq-AL"/>
        </w:rPr>
        <w:t>ë</w:t>
      </w:r>
      <w:r w:rsidRPr="00773796" w:rsidR="00141D34">
        <w:rPr>
          <w:lang w:val="sq-AL"/>
        </w:rPr>
        <w:t xml:space="preserve"> vitit 1965 i paska munguar qartësia</w:t>
      </w:r>
      <w:r w:rsidRPr="00773796" w:rsidR="00A5415C">
        <w:rPr>
          <w:lang w:val="sq-AL"/>
        </w:rPr>
        <w:t>, madje po ashtu si edhe dispozitave t</w:t>
      </w:r>
      <w:r w:rsidR="00773796">
        <w:rPr>
          <w:lang w:val="sq-AL"/>
        </w:rPr>
        <w:t>ë</w:t>
      </w:r>
      <w:r w:rsidRPr="00773796" w:rsidR="00A5415C">
        <w:rPr>
          <w:lang w:val="sq-AL"/>
        </w:rPr>
        <w:t xml:space="preserve"> saj për rolin e inspektor</w:t>
      </w:r>
      <w:r w:rsidR="00773796">
        <w:rPr>
          <w:lang w:val="sq-AL"/>
        </w:rPr>
        <w:t>ë</w:t>
      </w:r>
      <w:r w:rsidRPr="00773796" w:rsidR="00A5415C">
        <w:rPr>
          <w:lang w:val="sq-AL"/>
        </w:rPr>
        <w:t>ve lidhur me sjelljen e m</w:t>
      </w:r>
      <w:r w:rsidR="00773796">
        <w:rPr>
          <w:lang w:val="sq-AL"/>
        </w:rPr>
        <w:t>ë</w:t>
      </w:r>
      <w:r w:rsidRPr="00773796" w:rsidR="00A5415C">
        <w:rPr>
          <w:lang w:val="sq-AL"/>
        </w:rPr>
        <w:t>suesve. IHRC-ja shton se, sado q</w:t>
      </w:r>
      <w:r w:rsidR="00773796">
        <w:rPr>
          <w:lang w:val="sq-AL"/>
        </w:rPr>
        <w:t>ë</w:t>
      </w:r>
      <w:r w:rsidRPr="00773796" w:rsidR="00A5415C">
        <w:rPr>
          <w:lang w:val="sq-AL"/>
        </w:rPr>
        <w:t xml:space="preserve"> Rregullorja e p</w:t>
      </w:r>
      <w:r w:rsidR="00773796">
        <w:rPr>
          <w:lang w:val="sq-AL"/>
        </w:rPr>
        <w:t>ë</w:t>
      </w:r>
      <w:r w:rsidRPr="00773796" w:rsidR="00A5415C">
        <w:rPr>
          <w:lang w:val="sq-AL"/>
        </w:rPr>
        <w:t>rmendte v</w:t>
      </w:r>
      <w:r w:rsidR="00773796">
        <w:rPr>
          <w:lang w:val="sq-AL"/>
        </w:rPr>
        <w:t>ë</w:t>
      </w:r>
      <w:r w:rsidRPr="00773796" w:rsidR="00A5415C">
        <w:rPr>
          <w:lang w:val="sq-AL"/>
        </w:rPr>
        <w:t>rtet nj</w:t>
      </w:r>
      <w:r w:rsidR="00773796">
        <w:rPr>
          <w:lang w:val="sq-AL"/>
        </w:rPr>
        <w:t>ë</w:t>
      </w:r>
      <w:r w:rsidRPr="00773796" w:rsidR="00A5415C">
        <w:rPr>
          <w:lang w:val="sq-AL"/>
        </w:rPr>
        <w:t xml:space="preserve"> “sjellje t</w:t>
      </w:r>
      <w:r w:rsidR="00773796">
        <w:rPr>
          <w:lang w:val="sq-AL"/>
        </w:rPr>
        <w:t>ë</w:t>
      </w:r>
      <w:r w:rsidRPr="00773796" w:rsidR="00A5415C">
        <w:rPr>
          <w:lang w:val="sq-AL"/>
        </w:rPr>
        <w:t xml:space="preserve"> papërshtatshme” t</w:t>
      </w:r>
      <w:r w:rsidR="00773796">
        <w:rPr>
          <w:lang w:val="sq-AL"/>
        </w:rPr>
        <w:t>ë</w:t>
      </w:r>
      <w:r w:rsidRPr="00773796" w:rsidR="00A5415C">
        <w:rPr>
          <w:lang w:val="sq-AL"/>
        </w:rPr>
        <w:t xml:space="preserve"> m</w:t>
      </w:r>
      <w:r w:rsidR="00773796">
        <w:rPr>
          <w:lang w:val="sq-AL"/>
        </w:rPr>
        <w:t>ë</w:t>
      </w:r>
      <w:r w:rsidRPr="00773796" w:rsidR="00A5415C">
        <w:rPr>
          <w:lang w:val="sq-AL"/>
        </w:rPr>
        <w:t>suesve, ajo nuk e përkufizonte k</w:t>
      </w:r>
      <w:r w:rsidR="00773796">
        <w:rPr>
          <w:lang w:val="sq-AL"/>
        </w:rPr>
        <w:t>ë</w:t>
      </w:r>
      <w:r w:rsidRPr="00773796" w:rsidR="00A5415C">
        <w:rPr>
          <w:lang w:val="sq-AL"/>
        </w:rPr>
        <w:t>t</w:t>
      </w:r>
      <w:r w:rsidR="00773796">
        <w:rPr>
          <w:lang w:val="sq-AL"/>
        </w:rPr>
        <w:t>ë</w:t>
      </w:r>
      <w:r w:rsidRPr="00773796" w:rsidR="00A5415C">
        <w:rPr>
          <w:lang w:val="sq-AL"/>
        </w:rPr>
        <w:t xml:space="preserve"> nocion, as nuk parashikonte ndonj</w:t>
      </w:r>
      <w:r w:rsidR="00773796">
        <w:rPr>
          <w:lang w:val="sq-AL"/>
        </w:rPr>
        <w:t>ë</w:t>
      </w:r>
      <w:r w:rsidRPr="00773796" w:rsidR="00A5415C">
        <w:rPr>
          <w:lang w:val="sq-AL"/>
        </w:rPr>
        <w:t xml:space="preserve"> procedurë për t</w:t>
      </w:r>
      <w:r w:rsidR="00943091">
        <w:rPr>
          <w:lang w:val="sq-AL"/>
        </w:rPr>
        <w:t>’</w:t>
      </w:r>
      <w:r w:rsidRPr="00773796" w:rsidR="00A5415C">
        <w:rPr>
          <w:lang w:val="sq-AL"/>
        </w:rPr>
        <w:t>iu përgjigjur këtij lloji problemesh. Duke qenë i mendimit se shkollat private me pagesë dhe m</w:t>
      </w:r>
      <w:r w:rsidR="00773796">
        <w:rPr>
          <w:lang w:val="sq-AL"/>
        </w:rPr>
        <w:t>ë</w:t>
      </w:r>
      <w:r w:rsidRPr="00773796" w:rsidR="00A5415C">
        <w:rPr>
          <w:lang w:val="sq-AL"/>
        </w:rPr>
        <w:t>simdh</w:t>
      </w:r>
      <w:r w:rsidR="00773796">
        <w:rPr>
          <w:lang w:val="sq-AL"/>
        </w:rPr>
        <w:t>ë</w:t>
      </w:r>
      <w:r w:rsidRPr="00773796" w:rsidR="00A5415C">
        <w:rPr>
          <w:lang w:val="sq-AL"/>
        </w:rPr>
        <w:t>nia në banesë nuk ishin zgjidhje t</w:t>
      </w:r>
      <w:r w:rsidR="00773796">
        <w:rPr>
          <w:lang w:val="sq-AL"/>
        </w:rPr>
        <w:t>ë</w:t>
      </w:r>
      <w:r w:rsidRPr="00773796" w:rsidR="00A5415C">
        <w:rPr>
          <w:lang w:val="sq-AL"/>
        </w:rPr>
        <w:t xml:space="preserve"> mundshme p</w:t>
      </w:r>
      <w:r w:rsidR="00773796">
        <w:rPr>
          <w:lang w:val="sq-AL"/>
        </w:rPr>
        <w:t>ë</w:t>
      </w:r>
      <w:r w:rsidRPr="00773796" w:rsidR="00A5415C">
        <w:rPr>
          <w:lang w:val="sq-AL"/>
        </w:rPr>
        <w:t>r shumic</w:t>
      </w:r>
      <w:r w:rsidR="00773796">
        <w:rPr>
          <w:lang w:val="sq-AL"/>
        </w:rPr>
        <w:t>ë</w:t>
      </w:r>
      <w:r w:rsidRPr="00773796" w:rsidR="00A5415C">
        <w:rPr>
          <w:lang w:val="sq-AL"/>
        </w:rPr>
        <w:t>n dërrmuese t</w:t>
      </w:r>
      <w:r w:rsidR="00773796">
        <w:rPr>
          <w:lang w:val="sq-AL"/>
        </w:rPr>
        <w:t>ë</w:t>
      </w:r>
      <w:r w:rsidRPr="00773796" w:rsidR="00A5415C">
        <w:rPr>
          <w:lang w:val="sq-AL"/>
        </w:rPr>
        <w:t xml:space="preserve"> prindërve irlandezë, IHRC-ja argumenton se detyrimi p</w:t>
      </w:r>
      <w:r w:rsidR="00773796">
        <w:rPr>
          <w:lang w:val="sq-AL"/>
        </w:rPr>
        <w:t>ë</w:t>
      </w:r>
      <w:r w:rsidRPr="00773796" w:rsidR="00A5415C">
        <w:rPr>
          <w:lang w:val="sq-AL"/>
        </w:rPr>
        <w:t>r ta arsimuar çdo f</w:t>
      </w:r>
      <w:r w:rsidR="00773796">
        <w:rPr>
          <w:lang w:val="sq-AL"/>
        </w:rPr>
        <w:t>ë</w:t>
      </w:r>
      <w:r w:rsidRPr="00773796" w:rsidR="00A5415C">
        <w:rPr>
          <w:lang w:val="sq-AL"/>
        </w:rPr>
        <w:t>mij</w:t>
      </w:r>
      <w:r w:rsidR="00773796">
        <w:rPr>
          <w:lang w:val="sq-AL"/>
        </w:rPr>
        <w:t>ë</w:t>
      </w:r>
      <w:r w:rsidRPr="00773796" w:rsidR="00A5415C">
        <w:rPr>
          <w:lang w:val="sq-AL"/>
        </w:rPr>
        <w:t xml:space="preserve"> n</w:t>
      </w:r>
      <w:r w:rsidR="00773796">
        <w:rPr>
          <w:lang w:val="sq-AL"/>
        </w:rPr>
        <w:t>ë</w:t>
      </w:r>
      <w:r w:rsidRPr="00773796" w:rsidR="00A5415C">
        <w:rPr>
          <w:lang w:val="sq-AL"/>
        </w:rPr>
        <w:t xml:space="preserve"> mosh</w:t>
      </w:r>
      <w:r w:rsidR="00773796">
        <w:rPr>
          <w:lang w:val="sq-AL"/>
        </w:rPr>
        <w:t>ë</w:t>
      </w:r>
      <w:r w:rsidRPr="00773796" w:rsidR="00DF0F19">
        <w:rPr>
          <w:lang w:val="sq-AL"/>
        </w:rPr>
        <w:t xml:space="preserve"> arsimi fillor i paska detyruar </w:t>
      </w:r>
      <w:r w:rsidRPr="00773796" w:rsidR="00DF0F19">
        <w:rPr>
          <w:i/>
          <w:lang w:val="sq-AL"/>
        </w:rPr>
        <w:t>de facto</w:t>
      </w:r>
      <w:r w:rsidRPr="00773796" w:rsidR="00DF0F19">
        <w:rPr>
          <w:lang w:val="sq-AL"/>
        </w:rPr>
        <w:t xml:space="preserve"> prind</w:t>
      </w:r>
      <w:r w:rsidR="00773796">
        <w:rPr>
          <w:lang w:val="sq-AL"/>
        </w:rPr>
        <w:t>ë</w:t>
      </w:r>
      <w:r w:rsidRPr="00773796" w:rsidR="00DF0F19">
        <w:rPr>
          <w:lang w:val="sq-AL"/>
        </w:rPr>
        <w:t>rit q</w:t>
      </w:r>
      <w:r w:rsidR="00773796">
        <w:rPr>
          <w:lang w:val="sq-AL"/>
        </w:rPr>
        <w:t>ë</w:t>
      </w:r>
      <w:r w:rsidRPr="00773796" w:rsidR="00DF0F19">
        <w:rPr>
          <w:lang w:val="sq-AL"/>
        </w:rPr>
        <w:t xml:space="preserve"> t</w:t>
      </w:r>
      <w:r w:rsidR="00943091">
        <w:rPr>
          <w:lang w:val="sq-AL"/>
        </w:rPr>
        <w:t>’</w:t>
      </w:r>
      <w:r w:rsidRPr="00773796" w:rsidR="00DF0F19">
        <w:rPr>
          <w:lang w:val="sq-AL"/>
        </w:rPr>
        <w:t>i d</w:t>
      </w:r>
      <w:r w:rsidR="00773796">
        <w:rPr>
          <w:lang w:val="sq-AL"/>
        </w:rPr>
        <w:t>ë</w:t>
      </w:r>
      <w:r w:rsidRPr="00773796" w:rsidR="00DF0F19">
        <w:rPr>
          <w:lang w:val="sq-AL"/>
        </w:rPr>
        <w:t>rgonin f</w:t>
      </w:r>
      <w:r w:rsidR="00773796">
        <w:rPr>
          <w:lang w:val="sq-AL"/>
        </w:rPr>
        <w:t>ë</w:t>
      </w:r>
      <w:r w:rsidRPr="00773796" w:rsidR="00DF0F19">
        <w:rPr>
          <w:lang w:val="sq-AL"/>
        </w:rPr>
        <w:t>mij</w:t>
      </w:r>
      <w:r w:rsidR="00773796">
        <w:rPr>
          <w:lang w:val="sq-AL"/>
        </w:rPr>
        <w:t>ë</w:t>
      </w:r>
      <w:r w:rsidRPr="00773796" w:rsidR="00DF0F19">
        <w:rPr>
          <w:lang w:val="sq-AL"/>
        </w:rPr>
        <w:t>t e tyre në shkolla komb</w:t>
      </w:r>
      <w:r w:rsidR="00773796">
        <w:rPr>
          <w:lang w:val="sq-AL"/>
        </w:rPr>
        <w:t>ë</w:t>
      </w:r>
      <w:r w:rsidRPr="00773796" w:rsidR="00DF0F19">
        <w:rPr>
          <w:lang w:val="sq-AL"/>
        </w:rPr>
        <w:t>tare, përndryshe ata paskan rrezikuar t</w:t>
      </w:r>
      <w:r w:rsidR="00773796">
        <w:rPr>
          <w:lang w:val="sq-AL"/>
        </w:rPr>
        <w:t>ë</w:t>
      </w:r>
      <w:r w:rsidRPr="00773796" w:rsidR="00DF0F19">
        <w:rPr>
          <w:lang w:val="sq-AL"/>
        </w:rPr>
        <w:t xml:space="preserve"> b</w:t>
      </w:r>
      <w:r w:rsidR="00773796">
        <w:rPr>
          <w:lang w:val="sq-AL"/>
        </w:rPr>
        <w:t>ë</w:t>
      </w:r>
      <w:r w:rsidRPr="00773796" w:rsidR="00DF0F19">
        <w:rPr>
          <w:lang w:val="sq-AL"/>
        </w:rPr>
        <w:t>hen objekt ndjekjesh penale, gjobash ose heqjeje t</w:t>
      </w:r>
      <w:r w:rsidR="00773796">
        <w:rPr>
          <w:lang w:val="sq-AL"/>
        </w:rPr>
        <w:t>ë</w:t>
      </w:r>
      <w:r w:rsidRPr="00773796" w:rsidR="00DF0F19">
        <w:rPr>
          <w:lang w:val="sq-AL"/>
        </w:rPr>
        <w:t xml:space="preserve"> f</w:t>
      </w:r>
      <w:r w:rsidR="00773796">
        <w:rPr>
          <w:lang w:val="sq-AL"/>
        </w:rPr>
        <w:t>ë</w:t>
      </w:r>
      <w:r w:rsidRPr="00773796" w:rsidR="00DF0F19">
        <w:rPr>
          <w:lang w:val="sq-AL"/>
        </w:rPr>
        <w:t>mij</w:t>
      </w:r>
      <w:r w:rsidR="00773796">
        <w:rPr>
          <w:lang w:val="sq-AL"/>
        </w:rPr>
        <w:t>ë</w:t>
      </w:r>
      <w:r w:rsidRPr="00773796" w:rsidR="00DF0F19">
        <w:rPr>
          <w:lang w:val="sq-AL"/>
        </w:rPr>
        <w:t>ve të tyre.</w:t>
      </w:r>
      <w:r w:rsidRPr="00773796" w:rsidR="00A5415C">
        <w:rPr>
          <w:lang w:val="sq-AL"/>
        </w:rPr>
        <w:t xml:space="preserve"> </w:t>
      </w:r>
      <w:r w:rsidRPr="00773796" w:rsidR="00DF0F19">
        <w:rPr>
          <w:lang w:val="sq-AL"/>
        </w:rPr>
        <w:t>Si përfundim, IHRC-ja çmon se administrator</w:t>
      </w:r>
      <w:r w:rsidR="00773796">
        <w:rPr>
          <w:lang w:val="sq-AL"/>
        </w:rPr>
        <w:t>ë</w:t>
      </w:r>
      <w:r w:rsidRPr="00773796" w:rsidR="00DF0F19">
        <w:rPr>
          <w:lang w:val="sq-AL"/>
        </w:rPr>
        <w:t>t e shkollave t</w:t>
      </w:r>
      <w:r w:rsidR="00773796">
        <w:rPr>
          <w:lang w:val="sq-AL"/>
        </w:rPr>
        <w:t>ë</w:t>
      </w:r>
      <w:r w:rsidRPr="00773796" w:rsidR="00DF0F19">
        <w:rPr>
          <w:lang w:val="sq-AL"/>
        </w:rPr>
        <w:t xml:space="preserve"> zakonshme komb</w:t>
      </w:r>
      <w:r w:rsidR="00773796">
        <w:rPr>
          <w:lang w:val="sq-AL"/>
        </w:rPr>
        <w:t>ë</w:t>
      </w:r>
      <w:r w:rsidRPr="00773796" w:rsidR="00DF0F19">
        <w:rPr>
          <w:lang w:val="sq-AL"/>
        </w:rPr>
        <w:t>tare, n</w:t>
      </w:r>
      <w:r w:rsidR="00773796">
        <w:rPr>
          <w:lang w:val="sq-AL"/>
        </w:rPr>
        <w:t>ë</w:t>
      </w:r>
      <w:r w:rsidRPr="00773796" w:rsidR="00DF0F19">
        <w:rPr>
          <w:lang w:val="sq-AL"/>
        </w:rPr>
        <w:t xml:space="preserve"> t</w:t>
      </w:r>
      <w:r w:rsidR="00773796">
        <w:rPr>
          <w:lang w:val="sq-AL"/>
        </w:rPr>
        <w:t>ë</w:t>
      </w:r>
      <w:r w:rsidRPr="00773796" w:rsidR="00DF0F19">
        <w:rPr>
          <w:lang w:val="sq-AL"/>
        </w:rPr>
        <w:t xml:space="preserve"> cilat përfundonin n</w:t>
      </w:r>
      <w:r w:rsidR="00773796">
        <w:rPr>
          <w:lang w:val="sq-AL"/>
        </w:rPr>
        <w:t>ë</w:t>
      </w:r>
      <w:r w:rsidRPr="00773796" w:rsidR="00DF0F19">
        <w:rPr>
          <w:lang w:val="sq-AL"/>
        </w:rPr>
        <w:t xml:space="preserve"> m</w:t>
      </w:r>
      <w:r w:rsidR="00773796">
        <w:rPr>
          <w:lang w:val="sq-AL"/>
        </w:rPr>
        <w:t>ë</w:t>
      </w:r>
      <w:r w:rsidRPr="00773796" w:rsidR="00DF0F19">
        <w:rPr>
          <w:lang w:val="sq-AL"/>
        </w:rPr>
        <w:t>nyr</w:t>
      </w:r>
      <w:r w:rsidR="00773796">
        <w:rPr>
          <w:lang w:val="sq-AL"/>
        </w:rPr>
        <w:t>ë</w:t>
      </w:r>
      <w:r w:rsidRPr="00773796" w:rsidR="00DF0F19">
        <w:rPr>
          <w:lang w:val="sq-AL"/>
        </w:rPr>
        <w:t xml:space="preserve"> t</w:t>
      </w:r>
      <w:r w:rsidR="00773796">
        <w:rPr>
          <w:lang w:val="sq-AL"/>
        </w:rPr>
        <w:t>ë</w:t>
      </w:r>
      <w:r w:rsidRPr="00773796" w:rsidR="00DF0F19">
        <w:rPr>
          <w:lang w:val="sq-AL"/>
        </w:rPr>
        <w:t xml:space="preserve"> pashmangshme sipas tij pjesa m</w:t>
      </w:r>
      <w:r w:rsidR="00773796">
        <w:rPr>
          <w:lang w:val="sq-AL"/>
        </w:rPr>
        <w:t>ë</w:t>
      </w:r>
      <w:r w:rsidRPr="00773796" w:rsidR="00DF0F19">
        <w:rPr>
          <w:lang w:val="sq-AL"/>
        </w:rPr>
        <w:t xml:space="preserve"> e madhe e f</w:t>
      </w:r>
      <w:r w:rsidR="00773796">
        <w:rPr>
          <w:lang w:val="sq-AL"/>
        </w:rPr>
        <w:t>ë</w:t>
      </w:r>
      <w:r w:rsidRPr="00773796" w:rsidR="00DF0F19">
        <w:rPr>
          <w:lang w:val="sq-AL"/>
        </w:rPr>
        <w:t>mij</w:t>
      </w:r>
      <w:r w:rsidR="00773796">
        <w:rPr>
          <w:lang w:val="sq-AL"/>
        </w:rPr>
        <w:t>ë</w:t>
      </w:r>
      <w:r w:rsidRPr="00773796" w:rsidR="00DF0F19">
        <w:rPr>
          <w:lang w:val="sq-AL"/>
        </w:rPr>
        <w:t xml:space="preserve">ve irlandezë, kishin </w:t>
      </w:r>
      <w:r w:rsidRPr="00773796" w:rsidR="00773796">
        <w:rPr>
          <w:lang w:val="sq-AL"/>
        </w:rPr>
        <w:t>n</w:t>
      </w:r>
      <w:r w:rsidR="00773796">
        <w:rPr>
          <w:lang w:val="sq-AL"/>
        </w:rPr>
        <w:t>ë</w:t>
      </w:r>
      <w:r w:rsidRPr="00773796" w:rsidR="00773796">
        <w:rPr>
          <w:lang w:val="sq-AL"/>
        </w:rPr>
        <w:t xml:space="preserve"> dor</w:t>
      </w:r>
      <w:r w:rsidR="00773796">
        <w:rPr>
          <w:lang w:val="sq-AL"/>
        </w:rPr>
        <w:t>ë</w:t>
      </w:r>
      <w:r w:rsidRPr="00773796" w:rsidR="00773796">
        <w:rPr>
          <w:lang w:val="sq-AL"/>
        </w:rPr>
        <w:t xml:space="preserve"> </w:t>
      </w:r>
      <w:r w:rsidRPr="00773796" w:rsidR="00DF0F19">
        <w:rPr>
          <w:lang w:val="sq-AL"/>
        </w:rPr>
        <w:t>shum</w:t>
      </w:r>
      <w:r w:rsidR="00773796">
        <w:rPr>
          <w:lang w:val="sq-AL"/>
        </w:rPr>
        <w:t>ë</w:t>
      </w:r>
      <w:r w:rsidRPr="00773796" w:rsidR="00DF0F19">
        <w:rPr>
          <w:lang w:val="sq-AL"/>
        </w:rPr>
        <w:t xml:space="preserve"> pak </w:t>
      </w:r>
      <w:r w:rsidRPr="00773796" w:rsidR="00773796">
        <w:rPr>
          <w:lang w:val="sq-AL"/>
        </w:rPr>
        <w:t>t</w:t>
      </w:r>
      <w:r w:rsidR="00773796">
        <w:rPr>
          <w:lang w:val="sq-AL"/>
        </w:rPr>
        <w:t>ë</w:t>
      </w:r>
      <w:r w:rsidRPr="00773796" w:rsidR="00773796">
        <w:rPr>
          <w:lang w:val="sq-AL"/>
        </w:rPr>
        <w:t xml:space="preserve"> dh</w:t>
      </w:r>
      <w:r w:rsidR="00773796">
        <w:rPr>
          <w:lang w:val="sq-AL"/>
        </w:rPr>
        <w:t>ë</w:t>
      </w:r>
      <w:r w:rsidRPr="00773796" w:rsidR="00773796">
        <w:rPr>
          <w:lang w:val="sq-AL"/>
        </w:rPr>
        <w:t>na për t</w:t>
      </w:r>
      <w:r w:rsidR="00943091">
        <w:rPr>
          <w:lang w:val="sq-AL"/>
        </w:rPr>
        <w:t>’</w:t>
      </w:r>
      <w:r w:rsidRPr="00773796" w:rsidR="00773796">
        <w:rPr>
          <w:lang w:val="sq-AL"/>
        </w:rPr>
        <w:t>i trajtuar pohimet apo dyshimet p</w:t>
      </w:r>
      <w:r w:rsidR="00773796">
        <w:rPr>
          <w:lang w:val="sq-AL"/>
        </w:rPr>
        <w:t>ë</w:t>
      </w:r>
      <w:r w:rsidRPr="00773796" w:rsidR="00773796">
        <w:rPr>
          <w:lang w:val="sq-AL"/>
        </w:rPr>
        <w:t>r abuzime, se asgj</w:t>
      </w:r>
      <w:r w:rsidR="00773796">
        <w:rPr>
          <w:lang w:val="sq-AL"/>
        </w:rPr>
        <w:t>ë</w:t>
      </w:r>
      <w:r w:rsidRPr="00773796" w:rsidR="00773796">
        <w:rPr>
          <w:lang w:val="sq-AL"/>
        </w:rPr>
        <w:t xml:space="preserve"> nuk i detyronte institucionet shkollore për t</w:t>
      </w:r>
      <w:r w:rsidR="00943091">
        <w:rPr>
          <w:lang w:val="sq-AL"/>
        </w:rPr>
        <w:t>’</w:t>
      </w:r>
      <w:r w:rsidRPr="00773796" w:rsidR="00773796">
        <w:rPr>
          <w:lang w:val="sq-AL"/>
        </w:rPr>
        <w:t>ia raportuar k</w:t>
      </w:r>
      <w:r w:rsidR="00773796">
        <w:rPr>
          <w:lang w:val="sq-AL"/>
        </w:rPr>
        <w:t>ë</w:t>
      </w:r>
      <w:r w:rsidRPr="00773796" w:rsidR="00773796">
        <w:rPr>
          <w:lang w:val="sq-AL"/>
        </w:rPr>
        <w:t>to pohime a dyshime ministrisë ose policisë, se shërbimet sociale kishin kompetenca t</w:t>
      </w:r>
      <w:r w:rsidR="00773796">
        <w:rPr>
          <w:lang w:val="sq-AL"/>
        </w:rPr>
        <w:t>ë</w:t>
      </w:r>
      <w:r w:rsidRPr="00773796" w:rsidR="00773796">
        <w:rPr>
          <w:lang w:val="sq-AL"/>
        </w:rPr>
        <w:t xml:space="preserve"> kufizuara për t</w:t>
      </w:r>
      <w:r w:rsidR="00773796">
        <w:rPr>
          <w:lang w:val="sq-AL"/>
        </w:rPr>
        <w:t>ë</w:t>
      </w:r>
      <w:r w:rsidRPr="00773796" w:rsidR="00773796">
        <w:rPr>
          <w:lang w:val="sq-AL"/>
        </w:rPr>
        <w:t xml:space="preserve"> trajtuar k</w:t>
      </w:r>
      <w:r w:rsidR="00773796">
        <w:rPr>
          <w:lang w:val="sq-AL"/>
        </w:rPr>
        <w:t>ë</w:t>
      </w:r>
      <w:r w:rsidRPr="00773796" w:rsidR="00773796">
        <w:rPr>
          <w:lang w:val="sq-AL"/>
        </w:rPr>
        <w:t>t</w:t>
      </w:r>
      <w:r w:rsidR="00773796">
        <w:rPr>
          <w:lang w:val="sq-AL"/>
        </w:rPr>
        <w:t>ë</w:t>
      </w:r>
      <w:r w:rsidRPr="00773796" w:rsidR="00773796">
        <w:rPr>
          <w:lang w:val="sq-AL"/>
        </w:rPr>
        <w:t xml:space="preserve"> lloj pohimesh apo dyshimesh dhe, s</w:t>
      </w:r>
      <w:r w:rsidR="00773796">
        <w:rPr>
          <w:lang w:val="sq-AL"/>
        </w:rPr>
        <w:t>ë</w:t>
      </w:r>
      <w:r w:rsidRPr="00773796" w:rsidR="00773796">
        <w:rPr>
          <w:lang w:val="sq-AL"/>
        </w:rPr>
        <w:t xml:space="preserve"> fundi, se f</w:t>
      </w:r>
      <w:r w:rsidR="00773796">
        <w:rPr>
          <w:lang w:val="sq-AL"/>
        </w:rPr>
        <w:t>ë</w:t>
      </w:r>
      <w:r w:rsidRPr="00773796" w:rsidR="00773796">
        <w:rPr>
          <w:lang w:val="sq-AL"/>
        </w:rPr>
        <w:t>mij</w:t>
      </w:r>
      <w:r w:rsidR="00773796">
        <w:rPr>
          <w:lang w:val="sq-AL"/>
        </w:rPr>
        <w:t>ë</w:t>
      </w:r>
      <w:r w:rsidRPr="00773796" w:rsidR="00773796">
        <w:rPr>
          <w:lang w:val="sq-AL"/>
        </w:rPr>
        <w:t>t e prind</w:t>
      </w:r>
      <w:r w:rsidR="00773796">
        <w:rPr>
          <w:lang w:val="sq-AL"/>
        </w:rPr>
        <w:t>ë</w:t>
      </w:r>
      <w:r w:rsidRPr="00773796" w:rsidR="00773796">
        <w:rPr>
          <w:lang w:val="sq-AL"/>
        </w:rPr>
        <w:t>rit gjendeshin p</w:t>
      </w:r>
      <w:r w:rsidR="00773796">
        <w:rPr>
          <w:lang w:val="sq-AL"/>
        </w:rPr>
        <w:t>ë</w:t>
      </w:r>
      <w:r w:rsidRPr="00773796" w:rsidR="00773796">
        <w:rPr>
          <w:lang w:val="sq-AL"/>
        </w:rPr>
        <w:t>rball</w:t>
      </w:r>
      <w:r w:rsidR="00773796">
        <w:rPr>
          <w:lang w:val="sq-AL"/>
        </w:rPr>
        <w:t>ë</w:t>
      </w:r>
      <w:r w:rsidRPr="00773796" w:rsidR="00773796">
        <w:rPr>
          <w:lang w:val="sq-AL"/>
        </w:rPr>
        <w:t xml:space="preserve"> v</w:t>
      </w:r>
      <w:r w:rsidR="00773796">
        <w:rPr>
          <w:lang w:val="sq-AL"/>
        </w:rPr>
        <w:t>ë</w:t>
      </w:r>
      <w:r w:rsidRPr="00773796" w:rsidR="00773796">
        <w:rPr>
          <w:lang w:val="sq-AL"/>
        </w:rPr>
        <w:t>shtir</w:t>
      </w:r>
      <w:r w:rsidR="00773796">
        <w:rPr>
          <w:lang w:val="sq-AL"/>
        </w:rPr>
        <w:t>ë</w:t>
      </w:r>
      <w:r w:rsidRPr="00773796" w:rsidR="00773796">
        <w:rPr>
          <w:lang w:val="sq-AL"/>
        </w:rPr>
        <w:t>sish p</w:t>
      </w:r>
      <w:r w:rsidR="00773796">
        <w:rPr>
          <w:lang w:val="sq-AL"/>
        </w:rPr>
        <w:t>ë</w:t>
      </w:r>
      <w:r w:rsidRPr="00773796" w:rsidR="00773796">
        <w:rPr>
          <w:lang w:val="sq-AL"/>
        </w:rPr>
        <w:t>r të paraqitur ankesa t</w:t>
      </w:r>
      <w:r w:rsidR="00773796">
        <w:rPr>
          <w:lang w:val="sq-AL"/>
        </w:rPr>
        <w:t>ë</w:t>
      </w:r>
      <w:r w:rsidRPr="00773796" w:rsidR="00773796">
        <w:rPr>
          <w:lang w:val="sq-AL"/>
        </w:rPr>
        <w:t xml:space="preserve"> tilla.</w:t>
      </w:r>
    </w:p>
    <w:p w:rsidRPr="008C605E" w:rsidR="00EB737A" w:rsidP="00EB737A" w:rsidRDefault="00EB737A">
      <w:pPr>
        <w:pStyle w:val="ECHRHeading3"/>
        <w:rPr>
          <w:lang w:val="sq-AL"/>
        </w:rPr>
      </w:pPr>
      <w:r w:rsidRPr="008C605E">
        <w:rPr>
          <w:lang w:val="sq-AL"/>
        </w:rPr>
        <w:t>2.  </w:t>
      </w:r>
      <w:r w:rsidRPr="008C605E" w:rsidR="00773796">
        <w:rPr>
          <w:lang w:val="sq-AL"/>
        </w:rPr>
        <w:t>Qendra Evropiane për Ligj e Drejt</w:t>
      </w:r>
      <w:r w:rsidRPr="008C605E" w:rsidR="00D5785F">
        <w:rPr>
          <w:lang w:val="sq-AL"/>
        </w:rPr>
        <w:t>ë</w:t>
      </w:r>
      <w:r w:rsidRPr="008C605E" w:rsidR="00773796">
        <w:rPr>
          <w:lang w:val="sq-AL"/>
        </w:rPr>
        <w:t>si</w:t>
      </w:r>
      <w:r w:rsidRPr="008C605E" w:rsidR="00D5785F">
        <w:rPr>
          <w:lang w:val="sq-AL"/>
        </w:rPr>
        <w:t xml:space="preserve"> </w:t>
      </w:r>
      <w:r w:rsidRPr="008C605E">
        <w:rPr>
          <w:lang w:val="sq-AL"/>
        </w:rPr>
        <w:t>(</w:t>
      </w:r>
      <w:r w:rsidRPr="008C605E">
        <w:rPr>
          <w:i w:val="0"/>
          <w:lang w:val="sq-AL"/>
        </w:rPr>
        <w:t xml:space="preserve">European Centre for Law and Justice – </w:t>
      </w:r>
      <w:r w:rsidRPr="008C605E" w:rsidR="00D5785F">
        <w:rPr>
          <w:i w:val="0"/>
          <w:lang w:val="sq-AL"/>
        </w:rPr>
        <w:t>“</w:t>
      </w:r>
      <w:r w:rsidRPr="008C605E">
        <w:rPr>
          <w:i w:val="0"/>
          <w:lang w:val="sq-AL"/>
        </w:rPr>
        <w:t>ECLJ</w:t>
      </w:r>
      <w:r w:rsidRPr="008C605E" w:rsidR="00D5785F">
        <w:rPr>
          <w:i w:val="0"/>
          <w:lang w:val="sq-AL"/>
        </w:rPr>
        <w:t>”</w:t>
      </w:r>
      <w:r w:rsidRPr="008C605E">
        <w:rPr>
          <w:lang w:val="sq-AL"/>
        </w:rPr>
        <w:t>)</w:t>
      </w:r>
    </w:p>
    <w:p w:rsidRPr="008C605E" w:rsidR="00EB737A" w:rsidP="00EB737A" w:rsidRDefault="00EB737A">
      <w:pPr>
        <w:pStyle w:val="ECHRPara"/>
        <w:rPr>
          <w:lang w:val="sq-AL"/>
        </w:rPr>
      </w:pPr>
      <w:r w:rsidRPr="008C605E">
        <w:rPr>
          <w:lang w:val="sq-AL"/>
        </w:rPr>
        <w:fldChar w:fldCharType="begin"/>
      </w:r>
      <w:r w:rsidRPr="008C605E">
        <w:rPr>
          <w:lang w:val="sq-AL"/>
        </w:rPr>
        <w:instrText xml:space="preserve"> SEQ level0 \*arabic </w:instrText>
      </w:r>
      <w:r w:rsidRPr="008C605E">
        <w:rPr>
          <w:lang w:val="sq-AL"/>
        </w:rPr>
        <w:fldChar w:fldCharType="separate"/>
      </w:r>
      <w:r w:rsidR="00013F9B">
        <w:rPr>
          <w:noProof/>
          <w:lang w:val="sq-AL"/>
        </w:rPr>
        <w:t>139</w:t>
      </w:r>
      <w:r w:rsidRPr="008C605E">
        <w:rPr>
          <w:lang w:val="sq-AL"/>
        </w:rPr>
        <w:fldChar w:fldCharType="end"/>
      </w:r>
      <w:r w:rsidRPr="008C605E">
        <w:rPr>
          <w:lang w:val="sq-AL"/>
        </w:rPr>
        <w:t>.  ECLJ</w:t>
      </w:r>
      <w:r w:rsidRPr="008C605E" w:rsidR="00D5785F">
        <w:rPr>
          <w:lang w:val="sq-AL"/>
        </w:rPr>
        <w:t>-ja</w:t>
      </w:r>
      <w:r w:rsidRPr="008C605E">
        <w:rPr>
          <w:lang w:val="sq-AL"/>
        </w:rPr>
        <w:t xml:space="preserve"> </w:t>
      </w:r>
      <w:r w:rsidRPr="008C605E" w:rsidR="00D5785F">
        <w:rPr>
          <w:lang w:val="sq-AL"/>
        </w:rPr>
        <w:t>e paraqet veten si nj</w:t>
      </w:r>
      <w:r w:rsidR="008C605E">
        <w:rPr>
          <w:lang w:val="sq-AL"/>
        </w:rPr>
        <w:t>ë</w:t>
      </w:r>
      <w:r w:rsidRPr="008C605E" w:rsidR="00D5785F">
        <w:rPr>
          <w:lang w:val="sq-AL"/>
        </w:rPr>
        <w:t xml:space="preserve"> organizatë joqeveritare që i kushtohet n</w:t>
      </w:r>
      <w:r w:rsidR="008C605E">
        <w:rPr>
          <w:lang w:val="sq-AL"/>
        </w:rPr>
        <w:t>ë</w:t>
      </w:r>
      <w:r w:rsidRPr="008C605E" w:rsidR="00D5785F">
        <w:rPr>
          <w:lang w:val="sq-AL"/>
        </w:rPr>
        <w:t xml:space="preserve"> thelb mbrojtjes s</w:t>
      </w:r>
      <w:r w:rsidR="008C605E">
        <w:rPr>
          <w:lang w:val="sq-AL"/>
        </w:rPr>
        <w:t>ë</w:t>
      </w:r>
      <w:r w:rsidRPr="008C605E" w:rsidR="00D5785F">
        <w:rPr>
          <w:lang w:val="sq-AL"/>
        </w:rPr>
        <w:t xml:space="preserve"> lirisë fetare. Ajo ka marr</w:t>
      </w:r>
      <w:r w:rsidR="008C605E">
        <w:rPr>
          <w:lang w:val="sq-AL"/>
        </w:rPr>
        <w:t>ë</w:t>
      </w:r>
      <w:r w:rsidRPr="008C605E" w:rsidR="00D5785F">
        <w:rPr>
          <w:lang w:val="sq-AL"/>
        </w:rPr>
        <w:t xml:space="preserve"> pjes</w:t>
      </w:r>
      <w:r w:rsidR="008C605E">
        <w:rPr>
          <w:lang w:val="sq-AL"/>
        </w:rPr>
        <w:t>ë</w:t>
      </w:r>
      <w:r w:rsidRPr="008C605E" w:rsidR="00D5785F">
        <w:rPr>
          <w:lang w:val="sq-AL"/>
        </w:rPr>
        <w:t xml:space="preserve"> edhe m</w:t>
      </w:r>
      <w:r w:rsidR="008C605E">
        <w:rPr>
          <w:lang w:val="sq-AL"/>
        </w:rPr>
        <w:t>ë</w:t>
      </w:r>
      <w:r w:rsidRPr="008C605E" w:rsidR="00D5785F">
        <w:rPr>
          <w:lang w:val="sq-AL"/>
        </w:rPr>
        <w:t xml:space="preserve"> parë si pal</w:t>
      </w:r>
      <w:r w:rsidR="008C605E">
        <w:rPr>
          <w:lang w:val="sq-AL"/>
        </w:rPr>
        <w:t>ë</w:t>
      </w:r>
      <w:r w:rsidRPr="008C605E" w:rsidR="00D5785F">
        <w:rPr>
          <w:lang w:val="sq-AL"/>
        </w:rPr>
        <w:t xml:space="preserve"> e tretë n</w:t>
      </w:r>
      <w:r w:rsidR="008C605E">
        <w:rPr>
          <w:lang w:val="sq-AL"/>
        </w:rPr>
        <w:t>ë</w:t>
      </w:r>
      <w:r w:rsidRPr="008C605E" w:rsidR="00D5785F">
        <w:rPr>
          <w:lang w:val="sq-AL"/>
        </w:rPr>
        <w:t xml:space="preserve"> procedura përpara Gjykat</w:t>
      </w:r>
      <w:r w:rsidR="008C605E">
        <w:rPr>
          <w:lang w:val="sq-AL"/>
        </w:rPr>
        <w:t>ë</w:t>
      </w:r>
      <w:r w:rsidRPr="008C605E" w:rsidR="00D5785F">
        <w:rPr>
          <w:lang w:val="sq-AL"/>
        </w:rPr>
        <w:t>s. Në ç</w:t>
      </w:r>
      <w:r w:rsidR="008C605E">
        <w:rPr>
          <w:lang w:val="sq-AL"/>
        </w:rPr>
        <w:t>ë</w:t>
      </w:r>
      <w:r w:rsidRPr="008C605E" w:rsidR="00D5785F">
        <w:rPr>
          <w:lang w:val="sq-AL"/>
        </w:rPr>
        <w:t>shtjen n</w:t>
      </w:r>
      <w:r w:rsidR="008C605E">
        <w:rPr>
          <w:lang w:val="sq-AL"/>
        </w:rPr>
        <w:t>ë</w:t>
      </w:r>
      <w:r w:rsidRPr="008C605E" w:rsidR="00D5785F">
        <w:rPr>
          <w:lang w:val="sq-AL"/>
        </w:rPr>
        <w:t xml:space="preserve"> fjal</w:t>
      </w:r>
      <w:r w:rsidR="008C605E">
        <w:rPr>
          <w:lang w:val="sq-AL"/>
        </w:rPr>
        <w:t>ë</w:t>
      </w:r>
      <w:r w:rsidRPr="008C605E" w:rsidR="00D5785F">
        <w:rPr>
          <w:lang w:val="sq-AL"/>
        </w:rPr>
        <w:t>, ajo përqendrohet n</w:t>
      </w:r>
      <w:r w:rsidR="008C605E">
        <w:rPr>
          <w:lang w:val="sq-AL"/>
        </w:rPr>
        <w:t>ë</w:t>
      </w:r>
      <w:r w:rsidRPr="008C605E" w:rsidR="00D5785F">
        <w:rPr>
          <w:lang w:val="sq-AL"/>
        </w:rPr>
        <w:t xml:space="preserve"> pikën n</w:t>
      </w:r>
      <w:r w:rsidR="008C605E">
        <w:rPr>
          <w:lang w:val="sq-AL"/>
        </w:rPr>
        <w:t>ë</w:t>
      </w:r>
      <w:r w:rsidRPr="008C605E" w:rsidR="00D5785F">
        <w:rPr>
          <w:lang w:val="sq-AL"/>
        </w:rPr>
        <w:t>se shteti mund t</w:t>
      </w:r>
      <w:r w:rsidR="008C605E">
        <w:rPr>
          <w:lang w:val="sq-AL"/>
        </w:rPr>
        <w:t>ë</w:t>
      </w:r>
      <w:r w:rsidRPr="008C605E" w:rsidR="00D5785F">
        <w:rPr>
          <w:lang w:val="sq-AL"/>
        </w:rPr>
        <w:t xml:space="preserve"> ngarkohet ose jo me përgjegjësi p</w:t>
      </w:r>
      <w:r w:rsidR="008C605E">
        <w:rPr>
          <w:lang w:val="sq-AL"/>
        </w:rPr>
        <w:t>ë</w:t>
      </w:r>
      <w:r w:rsidRPr="008C605E" w:rsidR="00D5785F">
        <w:rPr>
          <w:lang w:val="sq-AL"/>
        </w:rPr>
        <w:t xml:space="preserve">r </w:t>
      </w:r>
      <w:r w:rsidRPr="008C605E" w:rsidR="008C605E">
        <w:rPr>
          <w:lang w:val="sq-AL"/>
        </w:rPr>
        <w:t>shkak t</w:t>
      </w:r>
      <w:r w:rsidR="008C605E">
        <w:rPr>
          <w:lang w:val="sq-AL"/>
        </w:rPr>
        <w:t>ë</w:t>
      </w:r>
      <w:r w:rsidRPr="008C605E" w:rsidR="008C605E">
        <w:rPr>
          <w:lang w:val="sq-AL"/>
        </w:rPr>
        <w:t xml:space="preserve"> abuzimeve t</w:t>
      </w:r>
      <w:r w:rsidR="008C605E">
        <w:rPr>
          <w:lang w:val="sq-AL"/>
        </w:rPr>
        <w:t>ë</w:t>
      </w:r>
      <w:r w:rsidRPr="008C605E" w:rsidR="008C605E">
        <w:rPr>
          <w:lang w:val="sq-AL"/>
        </w:rPr>
        <w:t xml:space="preserve"> kryera nga L.H. ndaj paditëses.</w:t>
      </w:r>
    </w:p>
    <w:p w:rsidRPr="00767618" w:rsidR="00EB737A" w:rsidP="00EB737A" w:rsidRDefault="00EB737A">
      <w:pPr>
        <w:pStyle w:val="ECHRPara"/>
        <w:rPr>
          <w:lang w:val="sq-AL"/>
        </w:rPr>
      </w:pPr>
      <w:r w:rsidRPr="00767618">
        <w:rPr>
          <w:lang w:val="sq-AL"/>
        </w:rPr>
        <w:fldChar w:fldCharType="begin"/>
      </w:r>
      <w:r w:rsidRPr="00767618">
        <w:rPr>
          <w:lang w:val="sq-AL"/>
        </w:rPr>
        <w:instrText xml:space="preserve"> SEQ level0 \*arabic </w:instrText>
      </w:r>
      <w:r w:rsidRPr="00767618">
        <w:rPr>
          <w:lang w:val="sq-AL"/>
        </w:rPr>
        <w:fldChar w:fldCharType="separate"/>
      </w:r>
      <w:r w:rsidR="00013F9B">
        <w:rPr>
          <w:noProof/>
          <w:lang w:val="sq-AL"/>
        </w:rPr>
        <w:t>140</w:t>
      </w:r>
      <w:r w:rsidRPr="00767618">
        <w:rPr>
          <w:lang w:val="sq-AL"/>
        </w:rPr>
        <w:fldChar w:fldCharType="end"/>
      </w:r>
      <w:r w:rsidRPr="00767618">
        <w:rPr>
          <w:lang w:val="sq-AL"/>
        </w:rPr>
        <w:t>.  </w:t>
      </w:r>
      <w:r w:rsidRPr="00767618" w:rsidR="008C605E">
        <w:rPr>
          <w:lang w:val="sq-AL"/>
        </w:rPr>
        <w:t>ECLJ-ja shpjegon se, që prej krijimit të sistemit arsimor, roli i shtetit kufizohet në sigurimin e financimit të tij dhe në kontrollin e cilësisë së programeve dhe të mësimdhënies. Ky sistem nuk nënkuptuaka kurrfarë marrëdhënieje hierarkike midis shtetit, n</w:t>
      </w:r>
      <w:r w:rsidRPr="00767618" w:rsidR="00BE5817">
        <w:rPr>
          <w:lang w:val="sq-AL"/>
        </w:rPr>
        <w:t>ë</w:t>
      </w:r>
      <w:r w:rsidRPr="00767618" w:rsidR="008C605E">
        <w:rPr>
          <w:lang w:val="sq-AL"/>
        </w:rPr>
        <w:t xml:space="preserve"> njër</w:t>
      </w:r>
      <w:r w:rsidRPr="00767618" w:rsidR="00BE5817">
        <w:rPr>
          <w:lang w:val="sq-AL"/>
        </w:rPr>
        <w:t>ë</w:t>
      </w:r>
      <w:r w:rsidRPr="00767618" w:rsidR="008C605E">
        <w:rPr>
          <w:lang w:val="sq-AL"/>
        </w:rPr>
        <w:t>n anë, dhe institucioneve e m</w:t>
      </w:r>
      <w:r w:rsidRPr="00767618" w:rsidR="00BE5817">
        <w:rPr>
          <w:lang w:val="sq-AL"/>
        </w:rPr>
        <w:t>ë</w:t>
      </w:r>
      <w:r w:rsidRPr="00767618" w:rsidR="008C605E">
        <w:rPr>
          <w:lang w:val="sq-AL"/>
        </w:rPr>
        <w:t>suesve, n</w:t>
      </w:r>
      <w:r w:rsidRPr="00767618" w:rsidR="00BE5817">
        <w:rPr>
          <w:lang w:val="sq-AL"/>
        </w:rPr>
        <w:t>ë</w:t>
      </w:r>
      <w:r w:rsidRPr="00767618" w:rsidR="008C605E">
        <w:rPr>
          <w:lang w:val="sq-AL"/>
        </w:rPr>
        <w:t xml:space="preserve"> an</w:t>
      </w:r>
      <w:r w:rsidRPr="00767618" w:rsidR="00BE5817">
        <w:rPr>
          <w:lang w:val="sq-AL"/>
        </w:rPr>
        <w:t>ë</w:t>
      </w:r>
      <w:r w:rsidRPr="00767618" w:rsidR="008C605E">
        <w:rPr>
          <w:lang w:val="sq-AL"/>
        </w:rPr>
        <w:t>n tjet</w:t>
      </w:r>
      <w:r w:rsidRPr="00767618" w:rsidR="00BE5817">
        <w:rPr>
          <w:lang w:val="sq-AL"/>
        </w:rPr>
        <w:t>ë</w:t>
      </w:r>
      <w:r w:rsidRPr="00767618" w:rsidR="008C605E">
        <w:rPr>
          <w:lang w:val="sq-AL"/>
        </w:rPr>
        <w:t>r, dhe nuk lejuaka q</w:t>
      </w:r>
      <w:r w:rsidRPr="00767618" w:rsidR="00BE5817">
        <w:rPr>
          <w:lang w:val="sq-AL"/>
        </w:rPr>
        <w:t>ë</w:t>
      </w:r>
      <w:r w:rsidRPr="00767618" w:rsidR="008C605E">
        <w:rPr>
          <w:lang w:val="sq-AL"/>
        </w:rPr>
        <w:t xml:space="preserve"> t</w:t>
      </w:r>
      <w:r w:rsidRPr="00767618" w:rsidR="00BE5817">
        <w:rPr>
          <w:lang w:val="sq-AL"/>
        </w:rPr>
        <w:t>ë</w:t>
      </w:r>
      <w:r w:rsidRPr="00767618" w:rsidR="008C605E">
        <w:rPr>
          <w:lang w:val="sq-AL"/>
        </w:rPr>
        <w:t xml:space="preserve"> sh</w:t>
      </w:r>
      <w:r w:rsidRPr="00767618" w:rsidR="00BE5817">
        <w:rPr>
          <w:lang w:val="sq-AL"/>
        </w:rPr>
        <w:t>ë</w:t>
      </w:r>
      <w:r w:rsidRPr="00767618" w:rsidR="008C605E">
        <w:rPr>
          <w:lang w:val="sq-AL"/>
        </w:rPr>
        <w:t>rbej</w:t>
      </w:r>
      <w:r w:rsidRPr="00767618" w:rsidR="00BE5817">
        <w:rPr>
          <w:lang w:val="sq-AL"/>
        </w:rPr>
        <w:t xml:space="preserve">ë si bazë juridike e ndonjë </w:t>
      </w:r>
      <w:r w:rsidRPr="00767618" w:rsidR="008C605E">
        <w:rPr>
          <w:lang w:val="sq-AL"/>
        </w:rPr>
        <w:t>farë detyrimi që këto të dytat ta mbajn</w:t>
      </w:r>
      <w:r w:rsidRPr="00767618" w:rsidR="00BE5817">
        <w:rPr>
          <w:lang w:val="sq-AL"/>
        </w:rPr>
        <w:t>ë</w:t>
      </w:r>
      <w:r w:rsidRPr="00767618" w:rsidR="008C605E">
        <w:rPr>
          <w:lang w:val="sq-AL"/>
        </w:rPr>
        <w:t xml:space="preserve"> t</w:t>
      </w:r>
      <w:r w:rsidRPr="00767618" w:rsidR="00BE5817">
        <w:rPr>
          <w:lang w:val="sq-AL"/>
        </w:rPr>
        <w:t>ë</w:t>
      </w:r>
      <w:r w:rsidRPr="00767618" w:rsidR="008C605E">
        <w:rPr>
          <w:lang w:val="sq-AL"/>
        </w:rPr>
        <w:t xml:space="preserve"> informuar t</w:t>
      </w:r>
      <w:r w:rsidRPr="00767618" w:rsidR="00BE5817">
        <w:rPr>
          <w:lang w:val="sq-AL"/>
        </w:rPr>
        <w:t>ë</w:t>
      </w:r>
      <w:r w:rsidRPr="00767618" w:rsidR="008C605E">
        <w:rPr>
          <w:lang w:val="sq-AL"/>
        </w:rPr>
        <w:t xml:space="preserve"> parin. Për m</w:t>
      </w:r>
      <w:r w:rsidRPr="00767618" w:rsidR="00BE5817">
        <w:rPr>
          <w:lang w:val="sq-AL"/>
        </w:rPr>
        <w:t>ë</w:t>
      </w:r>
      <w:r w:rsidRPr="00767618" w:rsidR="008C605E">
        <w:rPr>
          <w:lang w:val="sq-AL"/>
        </w:rPr>
        <w:t xml:space="preserve"> tepër, neni 2 i Protokollit nr. 1 nuk kërkuaka nga shteti q</w:t>
      </w:r>
      <w:r w:rsidRPr="00767618" w:rsidR="00BE5817">
        <w:rPr>
          <w:lang w:val="sq-AL"/>
        </w:rPr>
        <w:t>ë</w:t>
      </w:r>
      <w:r w:rsidRPr="00767618" w:rsidR="008C605E">
        <w:rPr>
          <w:lang w:val="sq-AL"/>
        </w:rPr>
        <w:t xml:space="preserve"> </w:t>
      </w:r>
      <w:r w:rsidRPr="00767618" w:rsidR="00BE5817">
        <w:rPr>
          <w:lang w:val="sq-AL"/>
        </w:rPr>
        <w:t>ky</w:t>
      </w:r>
      <w:r w:rsidRPr="00767618" w:rsidR="008C605E">
        <w:rPr>
          <w:lang w:val="sq-AL"/>
        </w:rPr>
        <w:t xml:space="preserve"> të </w:t>
      </w:r>
      <w:r w:rsidRPr="00767618" w:rsidR="00BE5817">
        <w:rPr>
          <w:lang w:val="sq-AL"/>
        </w:rPr>
        <w:t>kujdeset vetë</w:t>
      </w:r>
      <w:r w:rsidRPr="00767618" w:rsidR="008C605E">
        <w:rPr>
          <w:lang w:val="sq-AL"/>
        </w:rPr>
        <w:t xml:space="preserve"> drejtpërdrejt </w:t>
      </w:r>
      <w:r w:rsidRPr="00767618" w:rsidR="00BE5817">
        <w:rPr>
          <w:lang w:val="sq-AL"/>
        </w:rPr>
        <w:t xml:space="preserve">për </w:t>
      </w:r>
      <w:r w:rsidRPr="00767618" w:rsidR="008C605E">
        <w:rPr>
          <w:lang w:val="sq-AL"/>
        </w:rPr>
        <w:t>administrimin e institucioneve shkollore, deri n</w:t>
      </w:r>
      <w:r w:rsidRPr="00767618" w:rsidR="00BE5817">
        <w:rPr>
          <w:lang w:val="sq-AL"/>
        </w:rPr>
        <w:t>ë</w:t>
      </w:r>
      <w:r w:rsidRPr="00767618" w:rsidR="008C605E">
        <w:rPr>
          <w:lang w:val="sq-AL"/>
        </w:rPr>
        <w:t xml:space="preserve"> atë pikë sa të marrë përsipër </w:t>
      </w:r>
      <w:r w:rsidRPr="00767618" w:rsidR="00BE5817">
        <w:rPr>
          <w:lang w:val="sq-AL"/>
        </w:rPr>
        <w:t>të gjitha çështjet disiplinore.</w:t>
      </w:r>
    </w:p>
    <w:p w:rsidRPr="00767618" w:rsidR="00EB737A" w:rsidP="00EB737A" w:rsidRDefault="00EB737A">
      <w:pPr>
        <w:pStyle w:val="ECHRPara"/>
        <w:rPr>
          <w:lang w:val="sq-AL"/>
        </w:rPr>
      </w:pPr>
      <w:r w:rsidRPr="00767618">
        <w:rPr>
          <w:lang w:val="sq-AL"/>
        </w:rPr>
        <w:fldChar w:fldCharType="begin"/>
      </w:r>
      <w:r w:rsidRPr="00767618">
        <w:rPr>
          <w:lang w:val="sq-AL"/>
        </w:rPr>
        <w:instrText xml:space="preserve"> SEQ level0 \*arabic </w:instrText>
      </w:r>
      <w:r w:rsidRPr="00767618">
        <w:rPr>
          <w:lang w:val="sq-AL"/>
        </w:rPr>
        <w:fldChar w:fldCharType="separate"/>
      </w:r>
      <w:r w:rsidR="00013F9B">
        <w:rPr>
          <w:noProof/>
          <w:lang w:val="sq-AL"/>
        </w:rPr>
        <w:t>141</w:t>
      </w:r>
      <w:r w:rsidRPr="00767618">
        <w:rPr>
          <w:lang w:val="sq-AL"/>
        </w:rPr>
        <w:fldChar w:fldCharType="end"/>
      </w:r>
      <w:r w:rsidRPr="00767618">
        <w:rPr>
          <w:lang w:val="sq-AL"/>
        </w:rPr>
        <w:t>.  </w:t>
      </w:r>
      <w:r w:rsidRPr="00767618" w:rsidR="00F71A30">
        <w:rPr>
          <w:lang w:val="sq-AL"/>
        </w:rPr>
        <w:t>Për sa i p</w:t>
      </w:r>
      <w:r w:rsidR="00767618">
        <w:rPr>
          <w:lang w:val="sq-AL"/>
        </w:rPr>
        <w:t>ë</w:t>
      </w:r>
      <w:r w:rsidRPr="00767618" w:rsidR="00F71A30">
        <w:rPr>
          <w:lang w:val="sq-AL"/>
        </w:rPr>
        <w:t>rket pik</w:t>
      </w:r>
      <w:r w:rsidR="00767618">
        <w:rPr>
          <w:lang w:val="sq-AL"/>
        </w:rPr>
        <w:t>ë</w:t>
      </w:r>
      <w:r w:rsidRPr="00767618" w:rsidR="00F71A30">
        <w:rPr>
          <w:lang w:val="sq-AL"/>
        </w:rPr>
        <w:t>s n</w:t>
      </w:r>
      <w:r w:rsidR="00767618">
        <w:rPr>
          <w:lang w:val="sq-AL"/>
        </w:rPr>
        <w:t>ë</w:t>
      </w:r>
      <w:r w:rsidRPr="00767618" w:rsidR="00F71A30">
        <w:rPr>
          <w:lang w:val="sq-AL"/>
        </w:rPr>
        <w:t>se, megjithatë, shteti e ka p</w:t>
      </w:r>
      <w:r w:rsidR="00767618">
        <w:rPr>
          <w:lang w:val="sq-AL"/>
        </w:rPr>
        <w:t>ë</w:t>
      </w:r>
      <w:r w:rsidRPr="00767618" w:rsidR="00F71A30">
        <w:rPr>
          <w:lang w:val="sq-AL"/>
        </w:rPr>
        <w:t>rmbushur detyrimin e tij pozitiv p</w:t>
      </w:r>
      <w:r w:rsidR="00767618">
        <w:rPr>
          <w:lang w:val="sq-AL"/>
        </w:rPr>
        <w:t>ë</w:t>
      </w:r>
      <w:r w:rsidRPr="00767618" w:rsidR="00F71A30">
        <w:rPr>
          <w:lang w:val="sq-AL"/>
        </w:rPr>
        <w:t>r t</w:t>
      </w:r>
      <w:r w:rsidR="00767618">
        <w:rPr>
          <w:lang w:val="sq-AL"/>
        </w:rPr>
        <w:t>ë</w:t>
      </w:r>
      <w:r w:rsidRPr="00767618" w:rsidR="00F71A30">
        <w:rPr>
          <w:lang w:val="sq-AL"/>
        </w:rPr>
        <w:t xml:space="preserve"> penguar trajtime q</w:t>
      </w:r>
      <w:r w:rsidR="00767618">
        <w:rPr>
          <w:lang w:val="sq-AL"/>
        </w:rPr>
        <w:t>ë</w:t>
      </w:r>
      <w:r w:rsidRPr="00767618" w:rsidR="00F71A30">
        <w:rPr>
          <w:lang w:val="sq-AL"/>
        </w:rPr>
        <w:t xml:space="preserve"> bien n</w:t>
      </w:r>
      <w:r w:rsidR="00767618">
        <w:rPr>
          <w:lang w:val="sq-AL"/>
        </w:rPr>
        <w:t>ë</w:t>
      </w:r>
      <w:r w:rsidRPr="00767618" w:rsidR="00F71A30">
        <w:rPr>
          <w:lang w:val="sq-AL"/>
        </w:rPr>
        <w:t xml:space="preserve"> kund</w:t>
      </w:r>
      <w:r w:rsidR="00767618">
        <w:rPr>
          <w:lang w:val="sq-AL"/>
        </w:rPr>
        <w:t>ë</w:t>
      </w:r>
      <w:r w:rsidRPr="00767618" w:rsidR="00F71A30">
        <w:rPr>
          <w:lang w:val="sq-AL"/>
        </w:rPr>
        <w:t>rshtim me nenin 3, ECLJ-ja çmon se n</w:t>
      </w:r>
      <w:r w:rsidR="00767618">
        <w:rPr>
          <w:lang w:val="sq-AL"/>
        </w:rPr>
        <w:t>ë</w:t>
      </w:r>
      <w:r w:rsidRPr="00767618" w:rsidR="00F71A30">
        <w:rPr>
          <w:lang w:val="sq-AL"/>
        </w:rPr>
        <w:t xml:space="preserve"> fillimin e viteve 1970 shteti nuk ishte i detyruar </w:t>
      </w:r>
      <w:r w:rsidRPr="00767618" w:rsidR="00767618">
        <w:rPr>
          <w:lang w:val="sq-AL"/>
        </w:rPr>
        <w:t>t</w:t>
      </w:r>
      <w:r w:rsidR="00767618">
        <w:rPr>
          <w:lang w:val="sq-AL"/>
        </w:rPr>
        <w:t>ë</w:t>
      </w:r>
      <w:r w:rsidRPr="00767618" w:rsidR="00767618">
        <w:rPr>
          <w:lang w:val="sq-AL"/>
        </w:rPr>
        <w:t xml:space="preserve"> merrte masa t</w:t>
      </w:r>
      <w:r w:rsidR="00767618">
        <w:rPr>
          <w:lang w:val="sq-AL"/>
        </w:rPr>
        <w:t>ë</w:t>
      </w:r>
      <w:r w:rsidRPr="00767618" w:rsidR="00767618">
        <w:rPr>
          <w:lang w:val="sq-AL"/>
        </w:rPr>
        <w:t xml:space="preserve"> tjera përveç asaj q</w:t>
      </w:r>
      <w:r w:rsidR="00767618">
        <w:rPr>
          <w:lang w:val="sq-AL"/>
        </w:rPr>
        <w:t>ë</w:t>
      </w:r>
      <w:r w:rsidRPr="00767618" w:rsidR="00767618">
        <w:rPr>
          <w:lang w:val="sq-AL"/>
        </w:rPr>
        <w:t xml:space="preserve"> t</w:t>
      </w:r>
      <w:r w:rsidR="00767618">
        <w:rPr>
          <w:lang w:val="sq-AL"/>
        </w:rPr>
        <w:t>ë</w:t>
      </w:r>
      <w:r w:rsidRPr="00767618" w:rsidR="00767618">
        <w:rPr>
          <w:lang w:val="sq-AL"/>
        </w:rPr>
        <w:t xml:space="preserve"> ofronte procedura penale dhe civile.</w:t>
      </w:r>
    </w:p>
    <w:p w:rsidRPr="00E21CFD" w:rsidR="00EB737A" w:rsidP="00EB737A" w:rsidRDefault="00EB737A">
      <w:pPr>
        <w:pStyle w:val="ECHRPara"/>
        <w:rPr>
          <w:lang w:val="sq-AL"/>
        </w:rPr>
      </w:pPr>
      <w:r w:rsidRPr="00E21CFD">
        <w:rPr>
          <w:lang w:val="sq-AL"/>
        </w:rPr>
        <w:fldChar w:fldCharType="begin"/>
      </w:r>
      <w:r w:rsidRPr="00E21CFD">
        <w:rPr>
          <w:lang w:val="sq-AL"/>
        </w:rPr>
        <w:instrText xml:space="preserve"> SEQ level0 \*arabic </w:instrText>
      </w:r>
      <w:r w:rsidRPr="00E21CFD">
        <w:rPr>
          <w:lang w:val="sq-AL"/>
        </w:rPr>
        <w:fldChar w:fldCharType="separate"/>
      </w:r>
      <w:r w:rsidR="00013F9B">
        <w:rPr>
          <w:noProof/>
          <w:lang w:val="sq-AL"/>
        </w:rPr>
        <w:t>142</w:t>
      </w:r>
      <w:r w:rsidRPr="00E21CFD">
        <w:rPr>
          <w:lang w:val="sq-AL"/>
        </w:rPr>
        <w:fldChar w:fldCharType="end"/>
      </w:r>
      <w:r w:rsidRPr="00E21CFD">
        <w:rPr>
          <w:lang w:val="sq-AL"/>
        </w:rPr>
        <w:t>.  </w:t>
      </w:r>
      <w:r w:rsidRPr="00E21CFD" w:rsidR="00647DEF">
        <w:rPr>
          <w:lang w:val="sq-AL"/>
        </w:rPr>
        <w:t xml:space="preserve">Duke qenë e mendimit se, në bazë të së drejtës së brendshme dhe të Konventës, shtetit nuk i binte asnjë detyrim për të marrë përsipër administrimin e përditshëm të sistemit të arsimit fillor, </w:t>
      </w:r>
      <w:r w:rsidRPr="00E21CFD">
        <w:rPr>
          <w:lang w:val="sq-AL"/>
        </w:rPr>
        <w:t>ECLJ</w:t>
      </w:r>
      <w:r w:rsidRPr="00E21CFD" w:rsidR="00647DEF">
        <w:rPr>
          <w:lang w:val="sq-AL"/>
        </w:rPr>
        <w:t>-ja e gjykon si të pamundur që shteti të mbahet përgjegjës për veprimet e kryera nga një mësues i një shkolle fillore, në qoftë se atij nuk i diktohet një përgjegjësi objektive. Ajo shton se natyra private dhe fetare e instancave drejtuese të institucioneve shkollore as nuk e ka penguar kurrë parandalimin apo shkëshillimin e abuzimeve, as nuk e ka përjashtuar zbatimin e ligjit.</w:t>
      </w:r>
    </w:p>
    <w:p w:rsidRPr="00E21CFD" w:rsidR="00EB737A" w:rsidP="00EB737A" w:rsidRDefault="00EB737A">
      <w:pPr>
        <w:pStyle w:val="ECHRHeading2"/>
        <w:rPr>
          <w:lang w:val="sq-AL"/>
        </w:rPr>
      </w:pPr>
      <w:r w:rsidRPr="00E21CFD">
        <w:rPr>
          <w:lang w:val="sq-AL"/>
        </w:rPr>
        <w:t>C.  </w:t>
      </w:r>
      <w:r w:rsidRPr="00E21CFD" w:rsidR="00647DEF">
        <w:rPr>
          <w:lang w:val="sq-AL"/>
        </w:rPr>
        <w:t>Vlerësimi i Gjykatës</w:t>
      </w:r>
    </w:p>
    <w:p w:rsidRPr="00E21CFD" w:rsidR="00EB737A" w:rsidP="00EB737A" w:rsidRDefault="00EB737A">
      <w:pPr>
        <w:pStyle w:val="ECHRPara"/>
        <w:rPr>
          <w:lang w:val="sq-AL"/>
        </w:rPr>
      </w:pPr>
      <w:r w:rsidRPr="00E21CFD">
        <w:rPr>
          <w:lang w:val="sq-AL"/>
        </w:rPr>
        <w:fldChar w:fldCharType="begin"/>
      </w:r>
      <w:r w:rsidRPr="00E21CFD">
        <w:rPr>
          <w:lang w:val="sq-AL"/>
        </w:rPr>
        <w:instrText xml:space="preserve"> SEQ level0 \*arabic </w:instrText>
      </w:r>
      <w:r w:rsidRPr="00E21CFD">
        <w:rPr>
          <w:lang w:val="sq-AL"/>
        </w:rPr>
        <w:fldChar w:fldCharType="separate"/>
      </w:r>
      <w:r w:rsidR="00013F9B">
        <w:rPr>
          <w:noProof/>
          <w:lang w:val="sq-AL"/>
        </w:rPr>
        <w:t>143</w:t>
      </w:r>
      <w:r w:rsidRPr="00E21CFD">
        <w:rPr>
          <w:lang w:val="sq-AL"/>
        </w:rPr>
        <w:fldChar w:fldCharType="end"/>
      </w:r>
      <w:r w:rsidRPr="00E21CFD">
        <w:rPr>
          <w:lang w:val="sq-AL"/>
        </w:rPr>
        <w:t>.  </w:t>
      </w:r>
      <w:r w:rsidRPr="00E21CFD" w:rsidR="00647DEF">
        <w:rPr>
          <w:lang w:val="sq-AL"/>
        </w:rPr>
        <w:t xml:space="preserve">Ngjarjet rëndësore të kësaj çështjeje i takojnë vitit </w:t>
      </w:r>
      <w:r w:rsidRPr="00E21CFD">
        <w:rPr>
          <w:lang w:val="sq-AL"/>
        </w:rPr>
        <w:t xml:space="preserve">1973. </w:t>
      </w:r>
      <w:r w:rsidRPr="00E21CFD" w:rsidR="00647DEF">
        <w:rPr>
          <w:lang w:val="sq-AL"/>
        </w:rPr>
        <w:t xml:space="preserve">Siç e thekson Qeveria, </w:t>
      </w:r>
      <w:r w:rsidRPr="00E21CFD" w:rsidR="00193249">
        <w:rPr>
          <w:lang w:val="sq-AL"/>
        </w:rPr>
        <w:t>pikën lidhur me përgjegj</w:t>
      </w:r>
      <w:r w:rsidR="00E21CFD">
        <w:rPr>
          <w:lang w:val="sq-AL"/>
        </w:rPr>
        <w:t>ë</w:t>
      </w:r>
      <w:r w:rsidRPr="00E21CFD" w:rsidR="00193249">
        <w:rPr>
          <w:lang w:val="sq-AL"/>
        </w:rPr>
        <w:t>sin</w:t>
      </w:r>
      <w:r w:rsidR="00E21CFD">
        <w:rPr>
          <w:lang w:val="sq-AL"/>
        </w:rPr>
        <w:t>ë</w:t>
      </w:r>
      <w:r w:rsidRPr="00E21CFD" w:rsidR="00193249">
        <w:rPr>
          <w:lang w:val="sq-AL"/>
        </w:rPr>
        <w:t xml:space="preserve"> eventuale t</w:t>
      </w:r>
      <w:r w:rsidR="00E21CFD">
        <w:rPr>
          <w:lang w:val="sq-AL"/>
        </w:rPr>
        <w:t>ë</w:t>
      </w:r>
      <w:r w:rsidRPr="00E21CFD" w:rsidR="00193249">
        <w:rPr>
          <w:lang w:val="sq-AL"/>
        </w:rPr>
        <w:t xml:space="preserve"> shtetit lidhur me to </w:t>
      </w:r>
      <w:r w:rsidRPr="00E21CFD" w:rsidR="00647DEF">
        <w:rPr>
          <w:lang w:val="sq-AL"/>
        </w:rPr>
        <w:t xml:space="preserve">Gjykata </w:t>
      </w:r>
      <w:r w:rsidRPr="00E21CFD" w:rsidR="00193249">
        <w:rPr>
          <w:lang w:val="sq-AL"/>
        </w:rPr>
        <w:t>duhet ta vlerësojë me kutin e rrethanave dhe t</w:t>
      </w:r>
      <w:r w:rsidR="00E21CFD">
        <w:rPr>
          <w:lang w:val="sq-AL"/>
        </w:rPr>
        <w:t>ë</w:t>
      </w:r>
      <w:r w:rsidRPr="00E21CFD" w:rsidR="00193249">
        <w:rPr>
          <w:lang w:val="sq-AL"/>
        </w:rPr>
        <w:t xml:space="preserve"> normave t</w:t>
      </w:r>
      <w:r w:rsidR="00E21CFD">
        <w:rPr>
          <w:lang w:val="sq-AL"/>
        </w:rPr>
        <w:t>ë</w:t>
      </w:r>
      <w:r w:rsidRPr="00E21CFD" w:rsidR="00193249">
        <w:rPr>
          <w:lang w:val="sq-AL"/>
        </w:rPr>
        <w:t xml:space="preserve"> vitit 1973 e, sidomos, t</w:t>
      </w:r>
      <w:r w:rsidR="00E21CFD">
        <w:rPr>
          <w:lang w:val="sq-AL"/>
        </w:rPr>
        <w:t>ë</w:t>
      </w:r>
      <w:r w:rsidRPr="00E21CFD" w:rsidR="00193249">
        <w:rPr>
          <w:lang w:val="sq-AL"/>
        </w:rPr>
        <w:t xml:space="preserve"> l</w:t>
      </w:r>
      <w:r w:rsidR="00E21CFD">
        <w:rPr>
          <w:lang w:val="sq-AL"/>
        </w:rPr>
        <w:t>ë</w:t>
      </w:r>
      <w:r w:rsidRPr="00E21CFD" w:rsidR="00193249">
        <w:rPr>
          <w:lang w:val="sq-AL"/>
        </w:rPr>
        <w:t>rë mënjan</w:t>
      </w:r>
      <w:r w:rsidR="00E21CFD">
        <w:rPr>
          <w:lang w:val="sq-AL"/>
        </w:rPr>
        <w:t>ë</w:t>
      </w:r>
      <w:r w:rsidRPr="00E21CFD" w:rsidR="00193249">
        <w:rPr>
          <w:lang w:val="sq-AL"/>
        </w:rPr>
        <w:t xml:space="preserve"> nd</w:t>
      </w:r>
      <w:r w:rsidR="00E21CFD">
        <w:rPr>
          <w:lang w:val="sq-AL"/>
        </w:rPr>
        <w:t>ë</w:t>
      </w:r>
      <w:r w:rsidRPr="00E21CFD" w:rsidR="00193249">
        <w:rPr>
          <w:lang w:val="sq-AL"/>
        </w:rPr>
        <w:t>rgjegj</w:t>
      </w:r>
      <w:r w:rsidR="00E21CFD">
        <w:rPr>
          <w:lang w:val="sq-AL"/>
        </w:rPr>
        <w:t>ë</w:t>
      </w:r>
      <w:r w:rsidRPr="00E21CFD" w:rsidR="00193249">
        <w:rPr>
          <w:lang w:val="sq-AL"/>
        </w:rPr>
        <w:t>simin e shkaktuar n</w:t>
      </w:r>
      <w:r w:rsidR="00E21CFD">
        <w:rPr>
          <w:lang w:val="sq-AL"/>
        </w:rPr>
        <w:t>ë</w:t>
      </w:r>
      <w:r w:rsidRPr="00E21CFD" w:rsidR="00193249">
        <w:rPr>
          <w:lang w:val="sq-AL"/>
        </w:rPr>
        <w:t xml:space="preserve"> shoq</w:t>
      </w:r>
      <w:r w:rsidR="00E21CFD">
        <w:rPr>
          <w:lang w:val="sq-AL"/>
        </w:rPr>
        <w:t>ë</w:t>
      </w:r>
      <w:r w:rsidRPr="00E21CFD" w:rsidR="00193249">
        <w:rPr>
          <w:lang w:val="sq-AL"/>
        </w:rPr>
        <w:t>rin</w:t>
      </w:r>
      <w:r w:rsidR="00E21CFD">
        <w:rPr>
          <w:lang w:val="sq-AL"/>
        </w:rPr>
        <w:t>ë</w:t>
      </w:r>
      <w:r w:rsidRPr="00E21CFD" w:rsidR="00193249">
        <w:rPr>
          <w:lang w:val="sq-AL"/>
        </w:rPr>
        <w:t xml:space="preserve"> e sotme nga debatet e fundit rreth kësaj teme, p</w:t>
      </w:r>
      <w:r w:rsidR="00E21CFD">
        <w:rPr>
          <w:lang w:val="sq-AL"/>
        </w:rPr>
        <w:t>ë</w:t>
      </w:r>
      <w:r w:rsidRPr="00E21CFD" w:rsidR="00193249">
        <w:rPr>
          <w:lang w:val="sq-AL"/>
        </w:rPr>
        <w:t>rfshir</w:t>
      </w:r>
      <w:r w:rsidR="00E21CFD">
        <w:rPr>
          <w:lang w:val="sq-AL"/>
        </w:rPr>
        <w:t>ë</w:t>
      </w:r>
      <w:r w:rsidRPr="00E21CFD" w:rsidR="00193249">
        <w:rPr>
          <w:lang w:val="sq-AL"/>
        </w:rPr>
        <w:t xml:space="preserve"> edhe në Irlandë </w:t>
      </w:r>
      <w:r w:rsidRPr="00E21CFD">
        <w:rPr>
          <w:lang w:val="sq-AL"/>
        </w:rPr>
        <w:t>(paragra</w:t>
      </w:r>
      <w:r w:rsidRPr="00E21CFD" w:rsidR="00193249">
        <w:rPr>
          <w:lang w:val="sq-AL"/>
        </w:rPr>
        <w:t>fët</w:t>
      </w:r>
      <w:r w:rsidRPr="00E21CFD">
        <w:rPr>
          <w:lang w:val="sq-AL"/>
        </w:rPr>
        <w:t xml:space="preserve"> 73-88 </w:t>
      </w:r>
      <w:r w:rsidRPr="00E21CFD" w:rsidR="00604857">
        <w:rPr>
          <w:lang w:val="sq-AL"/>
        </w:rPr>
        <w:t>të mësipërm</w:t>
      </w:r>
      <w:r w:rsidRPr="00E21CFD">
        <w:rPr>
          <w:lang w:val="sq-AL"/>
        </w:rPr>
        <w:t xml:space="preserve">), </w:t>
      </w:r>
      <w:r w:rsidRPr="00E21CFD" w:rsidR="00193249">
        <w:rPr>
          <w:lang w:val="sq-AL"/>
        </w:rPr>
        <w:t>për rrezikun e abuzimeve seksuale ndaj të cilave jan</w:t>
      </w:r>
      <w:r w:rsidR="00E21CFD">
        <w:rPr>
          <w:lang w:val="sq-AL"/>
        </w:rPr>
        <w:t>ë</w:t>
      </w:r>
      <w:r w:rsidRPr="00E21CFD" w:rsidR="00193249">
        <w:rPr>
          <w:lang w:val="sq-AL"/>
        </w:rPr>
        <w:t xml:space="preserve"> t</w:t>
      </w:r>
      <w:r w:rsidR="00E21CFD">
        <w:rPr>
          <w:lang w:val="sq-AL"/>
        </w:rPr>
        <w:t>ë</w:t>
      </w:r>
      <w:r w:rsidRPr="00E21CFD" w:rsidR="00193249">
        <w:rPr>
          <w:lang w:val="sq-AL"/>
        </w:rPr>
        <w:t xml:space="preserve"> ekspozuar t</w:t>
      </w:r>
      <w:r w:rsidR="00E21CFD">
        <w:rPr>
          <w:lang w:val="sq-AL"/>
        </w:rPr>
        <w:t>ë</w:t>
      </w:r>
      <w:r w:rsidRPr="00E21CFD" w:rsidR="00193249">
        <w:rPr>
          <w:lang w:val="sq-AL"/>
        </w:rPr>
        <w:t xml:space="preserve"> miturit brenda nj</w:t>
      </w:r>
      <w:r w:rsidR="00E21CFD">
        <w:rPr>
          <w:lang w:val="sq-AL"/>
        </w:rPr>
        <w:t>ë</w:t>
      </w:r>
      <w:r w:rsidRPr="00E21CFD" w:rsidR="00193249">
        <w:rPr>
          <w:lang w:val="sq-AL"/>
        </w:rPr>
        <w:t xml:space="preserve"> konteksti arsimor.</w:t>
      </w:r>
    </w:p>
    <w:p w:rsidRPr="001E408E" w:rsidR="00EB737A" w:rsidP="00EB737A" w:rsidRDefault="00EB737A">
      <w:pPr>
        <w:pStyle w:val="ECHRHeading3"/>
        <w:rPr>
          <w:lang w:val="sq-AL"/>
        </w:rPr>
      </w:pPr>
      <w:r w:rsidRPr="001E408E">
        <w:rPr>
          <w:lang w:val="sq-AL"/>
        </w:rPr>
        <w:t>1.  </w:t>
      </w:r>
      <w:r w:rsidRPr="001E408E" w:rsidR="00193249">
        <w:rPr>
          <w:lang w:val="sq-AL"/>
        </w:rPr>
        <w:t>Detyrimi pozitiv i shtetit në diskutim</w:t>
      </w:r>
    </w:p>
    <w:p w:rsidRPr="001E408E" w:rsidR="00EB737A" w:rsidP="00EB737A" w:rsidRDefault="00EB737A">
      <w:pPr>
        <w:pStyle w:val="ECHRPara"/>
        <w:rPr>
          <w:lang w:val="sq-AL"/>
        </w:rPr>
      </w:pPr>
      <w:r w:rsidRPr="001E408E">
        <w:rPr>
          <w:lang w:val="sq-AL"/>
        </w:rPr>
        <w:fldChar w:fldCharType="begin"/>
      </w:r>
      <w:r w:rsidRPr="001E408E">
        <w:rPr>
          <w:lang w:val="sq-AL"/>
        </w:rPr>
        <w:instrText xml:space="preserve"> SEQ level0 \*arabic </w:instrText>
      </w:r>
      <w:r w:rsidRPr="001E408E">
        <w:rPr>
          <w:lang w:val="sq-AL"/>
        </w:rPr>
        <w:fldChar w:fldCharType="separate"/>
      </w:r>
      <w:r w:rsidR="00013F9B">
        <w:rPr>
          <w:noProof/>
          <w:lang w:val="sq-AL"/>
        </w:rPr>
        <w:t>144</w:t>
      </w:r>
      <w:r w:rsidRPr="001E408E">
        <w:rPr>
          <w:lang w:val="sq-AL"/>
        </w:rPr>
        <w:fldChar w:fldCharType="end"/>
      </w:r>
      <w:r w:rsidRPr="001E408E">
        <w:rPr>
          <w:lang w:val="sq-AL"/>
        </w:rPr>
        <w:t xml:space="preserve">.  </w:t>
      </w:r>
      <w:r w:rsidRPr="001E408E" w:rsidR="00193249">
        <w:rPr>
          <w:lang w:val="sq-AL"/>
        </w:rPr>
        <w:t xml:space="preserve">Gjykata rikujton se neni </w:t>
      </w:r>
      <w:r w:rsidRPr="001E408E">
        <w:rPr>
          <w:lang w:val="sq-AL"/>
        </w:rPr>
        <w:t xml:space="preserve">3 </w:t>
      </w:r>
      <w:r w:rsidRPr="001E408E" w:rsidR="00193249">
        <w:rPr>
          <w:lang w:val="sq-AL"/>
        </w:rPr>
        <w:t>sanksionon nj</w:t>
      </w:r>
      <w:r w:rsidRPr="001E408E" w:rsidR="00E21CFD">
        <w:rPr>
          <w:lang w:val="sq-AL"/>
        </w:rPr>
        <w:t>ë</w:t>
      </w:r>
      <w:r w:rsidRPr="001E408E" w:rsidR="00193249">
        <w:rPr>
          <w:lang w:val="sq-AL"/>
        </w:rPr>
        <w:t xml:space="preserve"> nga vlerat themelore t</w:t>
      </w:r>
      <w:r w:rsidRPr="001E408E" w:rsidR="00E21CFD">
        <w:rPr>
          <w:lang w:val="sq-AL"/>
        </w:rPr>
        <w:t>ë</w:t>
      </w:r>
      <w:r w:rsidRPr="001E408E" w:rsidR="00193249">
        <w:rPr>
          <w:lang w:val="sq-AL"/>
        </w:rPr>
        <w:t xml:space="preserve"> shoq</w:t>
      </w:r>
      <w:r w:rsidRPr="001E408E" w:rsidR="00E21CFD">
        <w:rPr>
          <w:lang w:val="sq-AL"/>
        </w:rPr>
        <w:t>ë</w:t>
      </w:r>
      <w:r w:rsidRPr="001E408E" w:rsidR="00193249">
        <w:rPr>
          <w:lang w:val="sq-AL"/>
        </w:rPr>
        <w:t xml:space="preserve">rive demokratike. </w:t>
      </w:r>
      <w:r w:rsidRPr="001E408E" w:rsidR="00C760DE">
        <w:rPr>
          <w:lang w:val="sq-AL"/>
        </w:rPr>
        <w:t>Ai i ndalon absolutisht torturën e d</w:t>
      </w:r>
      <w:r w:rsidRPr="001E408E" w:rsidR="00E21CFD">
        <w:rPr>
          <w:lang w:val="sq-AL"/>
        </w:rPr>
        <w:t>ë</w:t>
      </w:r>
      <w:r w:rsidRPr="001E408E" w:rsidR="00C760DE">
        <w:rPr>
          <w:lang w:val="sq-AL"/>
        </w:rPr>
        <w:t>nimet apo trajtimet çnjer</w:t>
      </w:r>
      <w:r w:rsidRPr="001E408E" w:rsidR="00E21CFD">
        <w:rPr>
          <w:lang w:val="sq-AL"/>
        </w:rPr>
        <w:t>ë</w:t>
      </w:r>
      <w:r w:rsidRPr="001E408E" w:rsidR="00C760DE">
        <w:rPr>
          <w:lang w:val="sq-AL"/>
        </w:rPr>
        <w:t>zore ose posht</w:t>
      </w:r>
      <w:r w:rsidRPr="001E408E" w:rsidR="00E21CFD">
        <w:rPr>
          <w:lang w:val="sq-AL"/>
        </w:rPr>
        <w:t>ë</w:t>
      </w:r>
      <w:r w:rsidRPr="001E408E" w:rsidR="00C760DE">
        <w:rPr>
          <w:lang w:val="sq-AL"/>
        </w:rPr>
        <w:t xml:space="preserve">ruese. I bashkuar me nenin </w:t>
      </w:r>
      <w:r w:rsidRPr="001E408E">
        <w:rPr>
          <w:lang w:val="sq-AL"/>
        </w:rPr>
        <w:t xml:space="preserve">3, </w:t>
      </w:r>
      <w:r w:rsidRPr="001E408E" w:rsidR="00C760DE">
        <w:rPr>
          <w:lang w:val="sq-AL"/>
        </w:rPr>
        <w:t>detyrimi q</w:t>
      </w:r>
      <w:r w:rsidRPr="001E408E" w:rsidR="00E21CFD">
        <w:rPr>
          <w:lang w:val="sq-AL"/>
        </w:rPr>
        <w:t>ë</w:t>
      </w:r>
      <w:r w:rsidRPr="001E408E" w:rsidR="00C760DE">
        <w:rPr>
          <w:lang w:val="sq-AL"/>
        </w:rPr>
        <w:t xml:space="preserve"> neni </w:t>
      </w:r>
      <w:r w:rsidRPr="001E408E">
        <w:rPr>
          <w:lang w:val="sq-AL"/>
        </w:rPr>
        <w:t xml:space="preserve">1 </w:t>
      </w:r>
      <w:r w:rsidRPr="001E408E" w:rsidR="00C760DE">
        <w:rPr>
          <w:lang w:val="sq-AL"/>
        </w:rPr>
        <w:t>i Konvent</w:t>
      </w:r>
      <w:r w:rsidRPr="001E408E" w:rsidR="00E21CFD">
        <w:rPr>
          <w:lang w:val="sq-AL"/>
        </w:rPr>
        <w:t>ë</w:t>
      </w:r>
      <w:r w:rsidRPr="001E408E" w:rsidR="00C760DE">
        <w:rPr>
          <w:lang w:val="sq-AL"/>
        </w:rPr>
        <w:t>s u dikton Palëve të Larta Kontraktuese për t</w:t>
      </w:r>
      <w:r w:rsidR="00943091">
        <w:rPr>
          <w:lang w:val="sq-AL"/>
        </w:rPr>
        <w:t>’</w:t>
      </w:r>
      <w:r w:rsidRPr="001E408E" w:rsidR="00C760DE">
        <w:rPr>
          <w:lang w:val="sq-AL"/>
        </w:rPr>
        <w:t>i garantuar cili</w:t>
      </w:r>
      <w:r w:rsidRPr="001E408E" w:rsidR="00E21CFD">
        <w:rPr>
          <w:lang w:val="sq-AL"/>
        </w:rPr>
        <w:t>td</w:t>
      </w:r>
      <w:r w:rsidRPr="001E408E" w:rsidR="00C760DE">
        <w:rPr>
          <w:lang w:val="sq-AL"/>
        </w:rPr>
        <w:t>o person q</w:t>
      </w:r>
      <w:r w:rsidRPr="001E408E" w:rsidR="00E21CFD">
        <w:rPr>
          <w:lang w:val="sq-AL"/>
        </w:rPr>
        <w:t>ë</w:t>
      </w:r>
      <w:r w:rsidRPr="001E408E" w:rsidR="00C760DE">
        <w:rPr>
          <w:lang w:val="sq-AL"/>
        </w:rPr>
        <w:t xml:space="preserve"> ndodhet n</w:t>
      </w:r>
      <w:r w:rsidRPr="001E408E" w:rsidR="00E21CFD">
        <w:rPr>
          <w:lang w:val="sq-AL"/>
        </w:rPr>
        <w:t>ë</w:t>
      </w:r>
      <w:r w:rsidRPr="001E408E" w:rsidR="00C760DE">
        <w:rPr>
          <w:lang w:val="sq-AL"/>
        </w:rPr>
        <w:t>n juridiksionin e tyre t</w:t>
      </w:r>
      <w:r w:rsidRPr="001E408E" w:rsidR="00E21CFD">
        <w:rPr>
          <w:lang w:val="sq-AL"/>
        </w:rPr>
        <w:t>ë</w:t>
      </w:r>
      <w:r w:rsidRPr="001E408E" w:rsidR="00C760DE">
        <w:rPr>
          <w:lang w:val="sq-AL"/>
        </w:rPr>
        <w:t xml:space="preserve"> drejtat dhe lirit</w:t>
      </w:r>
      <w:r w:rsidRPr="001E408E" w:rsidR="00E21CFD">
        <w:rPr>
          <w:lang w:val="sq-AL"/>
        </w:rPr>
        <w:t>ë</w:t>
      </w:r>
      <w:r w:rsidRPr="001E408E" w:rsidR="00C760DE">
        <w:rPr>
          <w:lang w:val="sq-AL"/>
        </w:rPr>
        <w:t xml:space="preserve"> e sanksionuara prej Konventës i urdh</w:t>
      </w:r>
      <w:r w:rsidRPr="001E408E" w:rsidR="00E21CFD">
        <w:rPr>
          <w:lang w:val="sq-AL"/>
        </w:rPr>
        <w:t>ë</w:t>
      </w:r>
      <w:r w:rsidRPr="001E408E" w:rsidR="00C760DE">
        <w:rPr>
          <w:lang w:val="sq-AL"/>
        </w:rPr>
        <w:t>ron ato q</w:t>
      </w:r>
      <w:r w:rsidRPr="001E408E" w:rsidR="00E21CFD">
        <w:rPr>
          <w:lang w:val="sq-AL"/>
        </w:rPr>
        <w:t>ë</w:t>
      </w:r>
      <w:r w:rsidRPr="001E408E" w:rsidR="00C760DE">
        <w:rPr>
          <w:lang w:val="sq-AL"/>
        </w:rPr>
        <w:t xml:space="preserve"> të marrin masa t</w:t>
      </w:r>
      <w:r w:rsidRPr="001E408E" w:rsidR="00E21CFD">
        <w:rPr>
          <w:lang w:val="sq-AL"/>
        </w:rPr>
        <w:t>ë</w:t>
      </w:r>
      <w:r w:rsidRPr="001E408E" w:rsidR="00C760DE">
        <w:rPr>
          <w:lang w:val="sq-AL"/>
        </w:rPr>
        <w:t xml:space="preserve"> tilla q</w:t>
      </w:r>
      <w:r w:rsidRPr="001E408E" w:rsidR="00E21CFD">
        <w:rPr>
          <w:lang w:val="sq-AL"/>
        </w:rPr>
        <w:t>ë</w:t>
      </w:r>
      <w:r w:rsidRPr="001E408E" w:rsidR="00C760DE">
        <w:rPr>
          <w:lang w:val="sq-AL"/>
        </w:rPr>
        <w:t xml:space="preserve"> të mos lejojnë që personat e sip</w:t>
      </w:r>
      <w:r w:rsidRPr="001E408E" w:rsidR="00E21CFD">
        <w:rPr>
          <w:lang w:val="sq-AL"/>
        </w:rPr>
        <w:t>ë</w:t>
      </w:r>
      <w:r w:rsidRPr="001E408E" w:rsidR="00C760DE">
        <w:rPr>
          <w:lang w:val="sq-AL"/>
        </w:rPr>
        <w:t>rp</w:t>
      </w:r>
      <w:r w:rsidRPr="001E408E" w:rsidR="00E21CFD">
        <w:rPr>
          <w:lang w:val="sq-AL"/>
        </w:rPr>
        <w:t>ë</w:t>
      </w:r>
      <w:r w:rsidRPr="001E408E" w:rsidR="00C760DE">
        <w:rPr>
          <w:lang w:val="sq-AL"/>
        </w:rPr>
        <w:t>rmendur t</w:t>
      </w:r>
      <w:r w:rsidR="00943091">
        <w:rPr>
          <w:lang w:val="sq-AL"/>
        </w:rPr>
        <w:t>’</w:t>
      </w:r>
      <w:r w:rsidRPr="001E408E" w:rsidR="00C760DE">
        <w:rPr>
          <w:lang w:val="sq-AL"/>
        </w:rPr>
        <w:t>u n</w:t>
      </w:r>
      <w:r w:rsidRPr="001E408E" w:rsidR="00E21CFD">
        <w:rPr>
          <w:lang w:val="sq-AL"/>
        </w:rPr>
        <w:t>ë</w:t>
      </w:r>
      <w:r w:rsidRPr="001E408E" w:rsidR="00C760DE">
        <w:rPr>
          <w:lang w:val="sq-AL"/>
        </w:rPr>
        <w:t>nshtrohen torturave ose d</w:t>
      </w:r>
      <w:r w:rsidRPr="001E408E" w:rsidR="00E21CFD">
        <w:rPr>
          <w:lang w:val="sq-AL"/>
        </w:rPr>
        <w:t>ë</w:t>
      </w:r>
      <w:r w:rsidRPr="001E408E" w:rsidR="00C760DE">
        <w:rPr>
          <w:lang w:val="sq-AL"/>
        </w:rPr>
        <w:t>nimeve apo trajtimeve çnjer</w:t>
      </w:r>
      <w:r w:rsidRPr="001E408E" w:rsidR="00E21CFD">
        <w:rPr>
          <w:lang w:val="sq-AL"/>
        </w:rPr>
        <w:t>ë</w:t>
      </w:r>
      <w:r w:rsidRPr="001E408E" w:rsidR="00C760DE">
        <w:rPr>
          <w:lang w:val="sq-AL"/>
        </w:rPr>
        <w:t>zore ose posht</w:t>
      </w:r>
      <w:r w:rsidRPr="001E408E" w:rsidR="00E21CFD">
        <w:rPr>
          <w:lang w:val="sq-AL"/>
        </w:rPr>
        <w:t>ë</w:t>
      </w:r>
      <w:r w:rsidRPr="001E408E" w:rsidR="00C760DE">
        <w:rPr>
          <w:lang w:val="sq-AL"/>
        </w:rPr>
        <w:t>ruese, qoft</w:t>
      </w:r>
      <w:r w:rsidRPr="001E408E" w:rsidR="00E21CFD">
        <w:rPr>
          <w:lang w:val="sq-AL"/>
        </w:rPr>
        <w:t>ë</w:t>
      </w:r>
      <w:r w:rsidRPr="001E408E" w:rsidR="00C760DE">
        <w:rPr>
          <w:lang w:val="sq-AL"/>
        </w:rPr>
        <w:t xml:space="preserve"> edhe të </w:t>
      </w:r>
      <w:r w:rsidRPr="001E408E" w:rsidR="005C59EC">
        <w:rPr>
          <w:lang w:val="sq-AL"/>
        </w:rPr>
        <w:t>shkaktuara nga individë. Ësht</w:t>
      </w:r>
      <w:r w:rsidRPr="001E408E" w:rsidR="00E21CFD">
        <w:rPr>
          <w:lang w:val="sq-AL"/>
        </w:rPr>
        <w:t>ë</w:t>
      </w:r>
      <w:r w:rsidRPr="001E408E" w:rsidR="005C59EC">
        <w:rPr>
          <w:lang w:val="sq-AL"/>
        </w:rPr>
        <w:t xml:space="preserve"> e udh</w:t>
      </w:r>
      <w:r w:rsidRPr="001E408E" w:rsidR="00E21CFD">
        <w:rPr>
          <w:lang w:val="sq-AL"/>
        </w:rPr>
        <w:t>ë</w:t>
      </w:r>
      <w:r w:rsidRPr="001E408E" w:rsidR="005C59EC">
        <w:rPr>
          <w:lang w:val="sq-AL"/>
        </w:rPr>
        <w:t>s që ky detyrim t</w:t>
      </w:r>
      <w:r w:rsidRPr="001E408E" w:rsidR="00E21CFD">
        <w:rPr>
          <w:lang w:val="sq-AL"/>
        </w:rPr>
        <w:t>ë</w:t>
      </w:r>
      <w:r w:rsidRPr="001E408E" w:rsidR="005C59EC">
        <w:rPr>
          <w:lang w:val="sq-AL"/>
        </w:rPr>
        <w:t xml:space="preserve"> interpretohet n</w:t>
      </w:r>
      <w:r w:rsidRPr="001E408E" w:rsidR="00E21CFD">
        <w:rPr>
          <w:lang w:val="sq-AL"/>
        </w:rPr>
        <w:t>ë</w:t>
      </w:r>
      <w:r w:rsidRPr="001E408E" w:rsidR="005C59EC">
        <w:rPr>
          <w:lang w:val="sq-AL"/>
        </w:rPr>
        <w:t xml:space="preserve"> mënyr</w:t>
      </w:r>
      <w:r w:rsidRPr="001E408E" w:rsidR="00E21CFD">
        <w:rPr>
          <w:lang w:val="sq-AL"/>
        </w:rPr>
        <w:t>ë</w:t>
      </w:r>
      <w:r w:rsidRPr="001E408E" w:rsidR="005C59EC">
        <w:rPr>
          <w:lang w:val="sq-AL"/>
        </w:rPr>
        <w:t xml:space="preserve"> t</w:t>
      </w:r>
      <w:r w:rsidRPr="001E408E" w:rsidR="00E21CFD">
        <w:rPr>
          <w:lang w:val="sq-AL"/>
        </w:rPr>
        <w:t>ë</w:t>
      </w:r>
      <w:r w:rsidRPr="001E408E" w:rsidR="005C59EC">
        <w:rPr>
          <w:lang w:val="sq-AL"/>
        </w:rPr>
        <w:t xml:space="preserve"> till</w:t>
      </w:r>
      <w:r w:rsidRPr="001E408E" w:rsidR="00E21CFD">
        <w:rPr>
          <w:lang w:val="sq-AL"/>
        </w:rPr>
        <w:t>ë</w:t>
      </w:r>
      <w:r w:rsidRPr="001E408E" w:rsidR="005C59EC">
        <w:rPr>
          <w:lang w:val="sq-AL"/>
        </w:rPr>
        <w:t xml:space="preserve"> që autoriteteve t</w:t>
      </w:r>
      <w:r w:rsidRPr="001E408E" w:rsidR="00E21CFD">
        <w:rPr>
          <w:lang w:val="sq-AL"/>
        </w:rPr>
        <w:t>ë</w:t>
      </w:r>
      <w:r w:rsidRPr="001E408E" w:rsidR="005C59EC">
        <w:rPr>
          <w:lang w:val="sq-AL"/>
        </w:rPr>
        <w:t xml:space="preserve"> mos u ngarkohet nj</w:t>
      </w:r>
      <w:r w:rsidRPr="001E408E" w:rsidR="00E21CFD">
        <w:rPr>
          <w:lang w:val="sq-AL"/>
        </w:rPr>
        <w:t>ë</w:t>
      </w:r>
      <w:r w:rsidRPr="001E408E" w:rsidR="005C59EC">
        <w:rPr>
          <w:lang w:val="sq-AL"/>
        </w:rPr>
        <w:t xml:space="preserve"> barr</w:t>
      </w:r>
      <w:r w:rsidRPr="001E408E" w:rsidR="00E21CFD">
        <w:rPr>
          <w:lang w:val="sq-AL"/>
        </w:rPr>
        <w:t>ë</w:t>
      </w:r>
      <w:r w:rsidRPr="001E408E" w:rsidR="005C59EC">
        <w:rPr>
          <w:lang w:val="sq-AL"/>
        </w:rPr>
        <w:t xml:space="preserve"> e tepruar, duke pasur sidomos parasysh paparashikueshm</w:t>
      </w:r>
      <w:r w:rsidRPr="001E408E" w:rsidR="00E21CFD">
        <w:rPr>
          <w:lang w:val="sq-AL"/>
        </w:rPr>
        <w:t>ë</w:t>
      </w:r>
      <w:r w:rsidRPr="001E408E" w:rsidR="005C59EC">
        <w:rPr>
          <w:lang w:val="sq-AL"/>
        </w:rPr>
        <w:t>rin</w:t>
      </w:r>
      <w:r w:rsidRPr="001E408E" w:rsidR="00E21CFD">
        <w:rPr>
          <w:lang w:val="sq-AL"/>
        </w:rPr>
        <w:t>ë</w:t>
      </w:r>
      <w:r w:rsidRPr="001E408E" w:rsidR="005C59EC">
        <w:rPr>
          <w:lang w:val="sq-AL"/>
        </w:rPr>
        <w:t xml:space="preserve"> e sjelljes njer</w:t>
      </w:r>
      <w:r w:rsidRPr="001E408E" w:rsidR="00E21CFD">
        <w:rPr>
          <w:lang w:val="sq-AL"/>
        </w:rPr>
        <w:t>ë</w:t>
      </w:r>
      <w:r w:rsidRPr="001E408E" w:rsidR="005C59EC">
        <w:rPr>
          <w:lang w:val="sq-AL"/>
        </w:rPr>
        <w:t>zore si edhe zgjidhjet operative q</w:t>
      </w:r>
      <w:r w:rsidRPr="001E408E" w:rsidR="00E21CFD">
        <w:rPr>
          <w:lang w:val="sq-AL"/>
        </w:rPr>
        <w:t>ë</w:t>
      </w:r>
      <w:r w:rsidRPr="001E408E" w:rsidR="005C59EC">
        <w:rPr>
          <w:lang w:val="sq-AL"/>
        </w:rPr>
        <w:t xml:space="preserve"> duhet t</w:t>
      </w:r>
      <w:r w:rsidRPr="001E408E" w:rsidR="00E21CFD">
        <w:rPr>
          <w:lang w:val="sq-AL"/>
        </w:rPr>
        <w:t>ë</w:t>
      </w:r>
      <w:r w:rsidRPr="001E408E" w:rsidR="005C59EC">
        <w:rPr>
          <w:lang w:val="sq-AL"/>
        </w:rPr>
        <w:t xml:space="preserve"> b</w:t>
      </w:r>
      <w:r w:rsidRPr="001E408E" w:rsidR="00E21CFD">
        <w:rPr>
          <w:lang w:val="sq-AL"/>
        </w:rPr>
        <w:t>ë</w:t>
      </w:r>
      <w:r w:rsidRPr="001E408E" w:rsidR="005C59EC">
        <w:rPr>
          <w:lang w:val="sq-AL"/>
        </w:rPr>
        <w:t>hen sipas p</w:t>
      </w:r>
      <w:r w:rsidRPr="001E408E" w:rsidR="00E21CFD">
        <w:rPr>
          <w:lang w:val="sq-AL"/>
        </w:rPr>
        <w:t>ë</w:t>
      </w:r>
      <w:r w:rsidRPr="001E408E" w:rsidR="005C59EC">
        <w:rPr>
          <w:lang w:val="sq-AL"/>
        </w:rPr>
        <w:t>rpar</w:t>
      </w:r>
      <w:r w:rsidRPr="001E408E" w:rsidR="00E21CFD">
        <w:rPr>
          <w:lang w:val="sq-AL"/>
        </w:rPr>
        <w:t>ë</w:t>
      </w:r>
      <w:r w:rsidRPr="001E408E" w:rsidR="005C59EC">
        <w:rPr>
          <w:lang w:val="sq-AL"/>
        </w:rPr>
        <w:t>sive e mund</w:t>
      </w:r>
      <w:r w:rsidRPr="001E408E" w:rsidR="00E21CFD">
        <w:rPr>
          <w:lang w:val="sq-AL"/>
        </w:rPr>
        <w:t>ë</w:t>
      </w:r>
      <w:r w:rsidRPr="001E408E" w:rsidR="005C59EC">
        <w:rPr>
          <w:lang w:val="sq-AL"/>
        </w:rPr>
        <w:t>sive reale. Për kët</w:t>
      </w:r>
      <w:r w:rsidRPr="001E408E" w:rsidR="00E21CFD">
        <w:rPr>
          <w:lang w:val="sq-AL"/>
        </w:rPr>
        <w:t>ë</w:t>
      </w:r>
      <w:r w:rsidRPr="001E408E" w:rsidR="005C59EC">
        <w:rPr>
          <w:lang w:val="sq-AL"/>
        </w:rPr>
        <w:t xml:space="preserve"> arsye, jo çdo rrezik keqtrajtimi i detyron autoritetet, n</w:t>
      </w:r>
      <w:r w:rsidRPr="001E408E" w:rsidR="00E21CFD">
        <w:rPr>
          <w:lang w:val="sq-AL"/>
        </w:rPr>
        <w:t>ë</w:t>
      </w:r>
      <w:r w:rsidRPr="001E408E" w:rsidR="005C59EC">
        <w:rPr>
          <w:lang w:val="sq-AL"/>
        </w:rPr>
        <w:t xml:space="preserve"> v</w:t>
      </w:r>
      <w:r w:rsidRPr="001E408E" w:rsidR="00E21CFD">
        <w:rPr>
          <w:lang w:val="sq-AL"/>
        </w:rPr>
        <w:t>ë</w:t>
      </w:r>
      <w:r w:rsidRPr="001E408E" w:rsidR="005C59EC">
        <w:rPr>
          <w:lang w:val="sq-AL"/>
        </w:rPr>
        <w:t>shtrimin e Konvent</w:t>
      </w:r>
      <w:r w:rsidRPr="001E408E" w:rsidR="00E21CFD">
        <w:rPr>
          <w:lang w:val="sq-AL"/>
        </w:rPr>
        <w:t>ë</w:t>
      </w:r>
      <w:r w:rsidRPr="001E408E" w:rsidR="005C59EC">
        <w:rPr>
          <w:lang w:val="sq-AL"/>
        </w:rPr>
        <w:t>s, q</w:t>
      </w:r>
      <w:r w:rsidRPr="001E408E" w:rsidR="00E21CFD">
        <w:rPr>
          <w:lang w:val="sq-AL"/>
        </w:rPr>
        <w:t>ë</w:t>
      </w:r>
      <w:r w:rsidRPr="001E408E" w:rsidR="005C59EC">
        <w:rPr>
          <w:lang w:val="sq-AL"/>
        </w:rPr>
        <w:t xml:space="preserve"> t</w:t>
      </w:r>
      <w:r w:rsidRPr="001E408E" w:rsidR="00E21CFD">
        <w:rPr>
          <w:lang w:val="sq-AL"/>
        </w:rPr>
        <w:t>ë</w:t>
      </w:r>
      <w:r w:rsidRPr="001E408E" w:rsidR="005C59EC">
        <w:rPr>
          <w:lang w:val="sq-AL"/>
        </w:rPr>
        <w:t xml:space="preserve"> marrin masa konkrete për t</w:t>
      </w:r>
      <w:r w:rsidRPr="001E408E" w:rsidR="00E21CFD">
        <w:rPr>
          <w:lang w:val="sq-AL"/>
        </w:rPr>
        <w:t>ë</w:t>
      </w:r>
      <w:r w:rsidRPr="001E408E" w:rsidR="005C59EC">
        <w:rPr>
          <w:lang w:val="sq-AL"/>
        </w:rPr>
        <w:t xml:space="preserve"> parandaluar kryerjen e tij. Megjithatë, masat e duhura duhet që t</w:t>
      </w:r>
      <w:r w:rsidRPr="001E408E" w:rsidR="00E21CFD">
        <w:rPr>
          <w:lang w:val="sq-AL"/>
        </w:rPr>
        <w:t>ë</w:t>
      </w:r>
      <w:r w:rsidRPr="001E408E" w:rsidR="005C59EC">
        <w:rPr>
          <w:lang w:val="sq-AL"/>
        </w:rPr>
        <w:t xml:space="preserve"> pakt</w:t>
      </w:r>
      <w:r w:rsidRPr="001E408E" w:rsidR="00E21CFD">
        <w:rPr>
          <w:lang w:val="sq-AL"/>
        </w:rPr>
        <w:t>ë</w:t>
      </w:r>
      <w:r w:rsidRPr="001E408E" w:rsidR="005C59EC">
        <w:rPr>
          <w:lang w:val="sq-AL"/>
        </w:rPr>
        <w:t>n t</w:t>
      </w:r>
      <w:r w:rsidRPr="001E408E" w:rsidR="00E21CFD">
        <w:rPr>
          <w:lang w:val="sq-AL"/>
        </w:rPr>
        <w:t>ë</w:t>
      </w:r>
      <w:r w:rsidRPr="001E408E" w:rsidR="005C59EC">
        <w:rPr>
          <w:lang w:val="sq-AL"/>
        </w:rPr>
        <w:t xml:space="preserve"> mund</w:t>
      </w:r>
      <w:r w:rsidRPr="001E408E" w:rsidR="00E21CFD">
        <w:rPr>
          <w:lang w:val="sq-AL"/>
        </w:rPr>
        <w:t>ë</w:t>
      </w:r>
      <w:r w:rsidRPr="001E408E" w:rsidR="005C59EC">
        <w:rPr>
          <w:lang w:val="sq-AL"/>
        </w:rPr>
        <w:t>sojn</w:t>
      </w:r>
      <w:r w:rsidRPr="001E408E" w:rsidR="00E21CFD">
        <w:rPr>
          <w:lang w:val="sq-AL"/>
        </w:rPr>
        <w:t>ë</w:t>
      </w:r>
      <w:r w:rsidRPr="001E408E" w:rsidR="005C59EC">
        <w:rPr>
          <w:lang w:val="sq-AL"/>
        </w:rPr>
        <w:t xml:space="preserve"> nj</w:t>
      </w:r>
      <w:r w:rsidRPr="001E408E" w:rsidR="00E21CFD">
        <w:rPr>
          <w:lang w:val="sq-AL"/>
        </w:rPr>
        <w:t>ë</w:t>
      </w:r>
      <w:r w:rsidRPr="001E408E" w:rsidR="005C59EC">
        <w:rPr>
          <w:lang w:val="sq-AL"/>
        </w:rPr>
        <w:t xml:space="preserve"> mbrojtje t</w:t>
      </w:r>
      <w:r w:rsidRPr="001E408E" w:rsidR="00E21CFD">
        <w:rPr>
          <w:lang w:val="sq-AL"/>
        </w:rPr>
        <w:t>ë</w:t>
      </w:r>
      <w:r w:rsidRPr="001E408E" w:rsidR="005C59EC">
        <w:rPr>
          <w:lang w:val="sq-AL"/>
        </w:rPr>
        <w:t xml:space="preserve"> efektshme, sidomos </w:t>
      </w:r>
      <w:r w:rsidRPr="001E408E" w:rsidR="00E90FE3">
        <w:rPr>
          <w:lang w:val="sq-AL"/>
        </w:rPr>
        <w:t>të</w:t>
      </w:r>
      <w:r w:rsidRPr="001E408E" w:rsidR="005C59EC">
        <w:rPr>
          <w:lang w:val="sq-AL"/>
        </w:rPr>
        <w:t xml:space="preserve"> f</w:t>
      </w:r>
      <w:r w:rsidRPr="001E408E" w:rsidR="00E21CFD">
        <w:rPr>
          <w:lang w:val="sq-AL"/>
        </w:rPr>
        <w:t>ë</w:t>
      </w:r>
      <w:r w:rsidRPr="001E408E" w:rsidR="005C59EC">
        <w:rPr>
          <w:lang w:val="sq-AL"/>
        </w:rPr>
        <w:t>mij</w:t>
      </w:r>
      <w:r w:rsidRPr="001E408E" w:rsidR="00E21CFD">
        <w:rPr>
          <w:lang w:val="sq-AL"/>
        </w:rPr>
        <w:t>ë</w:t>
      </w:r>
      <w:r w:rsidRPr="001E408E" w:rsidR="00E90FE3">
        <w:rPr>
          <w:lang w:val="sq-AL"/>
        </w:rPr>
        <w:t>ve</w:t>
      </w:r>
      <w:r w:rsidRPr="001E408E" w:rsidR="005C59EC">
        <w:rPr>
          <w:lang w:val="sq-AL"/>
        </w:rPr>
        <w:t xml:space="preserve"> dhe </w:t>
      </w:r>
      <w:r w:rsidRPr="001E408E" w:rsidR="00E90FE3">
        <w:rPr>
          <w:lang w:val="sq-AL"/>
        </w:rPr>
        <w:t xml:space="preserve">të </w:t>
      </w:r>
      <w:r w:rsidRPr="001E408E" w:rsidR="005C59EC">
        <w:rPr>
          <w:lang w:val="sq-AL"/>
        </w:rPr>
        <w:t>persona</w:t>
      </w:r>
      <w:r w:rsidRPr="001E408E" w:rsidR="00E90FE3">
        <w:rPr>
          <w:lang w:val="sq-AL"/>
        </w:rPr>
        <w:t>ve të</w:t>
      </w:r>
      <w:r w:rsidRPr="001E408E" w:rsidR="005C59EC">
        <w:rPr>
          <w:lang w:val="sq-AL"/>
        </w:rPr>
        <w:t xml:space="preserve"> tjer</w:t>
      </w:r>
      <w:r w:rsidRPr="001E408E" w:rsidR="00E21CFD">
        <w:rPr>
          <w:lang w:val="sq-AL"/>
        </w:rPr>
        <w:t>ë</w:t>
      </w:r>
      <w:r w:rsidRPr="001E408E" w:rsidR="005C59EC">
        <w:rPr>
          <w:lang w:val="sq-AL"/>
        </w:rPr>
        <w:t xml:space="preserve"> të cenueshëm</w:t>
      </w:r>
      <w:r w:rsidRPr="001E408E" w:rsidR="00E90FE3">
        <w:rPr>
          <w:lang w:val="sq-AL"/>
        </w:rPr>
        <w:t xml:space="preserve">, </w:t>
      </w:r>
      <w:r w:rsidRPr="001E408E" w:rsidR="005C59EC">
        <w:rPr>
          <w:lang w:val="sq-AL"/>
        </w:rPr>
        <w:t>e t</w:t>
      </w:r>
      <w:r w:rsidRPr="001E408E" w:rsidR="00E21CFD">
        <w:rPr>
          <w:lang w:val="sq-AL"/>
        </w:rPr>
        <w:t>ë</w:t>
      </w:r>
      <w:r w:rsidRPr="001E408E" w:rsidR="005C59EC">
        <w:rPr>
          <w:lang w:val="sq-AL"/>
        </w:rPr>
        <w:t xml:space="preserve"> p</w:t>
      </w:r>
      <w:r w:rsidRPr="001E408E" w:rsidR="00E21CFD">
        <w:rPr>
          <w:lang w:val="sq-AL"/>
        </w:rPr>
        <w:t>ë</w:t>
      </w:r>
      <w:r w:rsidRPr="001E408E" w:rsidR="005C59EC">
        <w:rPr>
          <w:lang w:val="sq-AL"/>
        </w:rPr>
        <w:t>rfshijn</w:t>
      </w:r>
      <w:r w:rsidRPr="001E408E" w:rsidR="00E21CFD">
        <w:rPr>
          <w:lang w:val="sq-AL"/>
        </w:rPr>
        <w:t>ë</w:t>
      </w:r>
      <w:r w:rsidRPr="001E408E" w:rsidR="005C59EC">
        <w:rPr>
          <w:lang w:val="sq-AL"/>
        </w:rPr>
        <w:t xml:space="preserve"> masa t</w:t>
      </w:r>
      <w:r w:rsidRPr="001E408E" w:rsidR="00E21CFD">
        <w:rPr>
          <w:lang w:val="sq-AL"/>
        </w:rPr>
        <w:t>ë</w:t>
      </w:r>
      <w:r w:rsidRPr="001E408E" w:rsidR="005C59EC">
        <w:rPr>
          <w:lang w:val="sq-AL"/>
        </w:rPr>
        <w:t xml:space="preserve"> arsyeshme </w:t>
      </w:r>
      <w:r w:rsidRPr="001E408E" w:rsidR="00E90FE3">
        <w:rPr>
          <w:lang w:val="sq-AL"/>
        </w:rPr>
        <w:t>për moslejim keqtrajtimesh p</w:t>
      </w:r>
      <w:r w:rsidRPr="001E408E" w:rsidR="00E21CFD">
        <w:rPr>
          <w:lang w:val="sq-AL"/>
        </w:rPr>
        <w:t>ë</w:t>
      </w:r>
      <w:r w:rsidRPr="001E408E" w:rsidR="00E90FE3">
        <w:rPr>
          <w:lang w:val="sq-AL"/>
        </w:rPr>
        <w:t>r t</w:t>
      </w:r>
      <w:r w:rsidRPr="001E408E" w:rsidR="00E21CFD">
        <w:rPr>
          <w:lang w:val="sq-AL"/>
        </w:rPr>
        <w:t>ë</w:t>
      </w:r>
      <w:r w:rsidRPr="001E408E" w:rsidR="00E90FE3">
        <w:rPr>
          <w:lang w:val="sq-AL"/>
        </w:rPr>
        <w:t xml:space="preserve"> cilat autoritetet kanë pasur ose duhet t</w:t>
      </w:r>
      <w:r w:rsidRPr="001E408E" w:rsidR="00E21CFD">
        <w:rPr>
          <w:lang w:val="sq-AL"/>
        </w:rPr>
        <w:t>ë</w:t>
      </w:r>
      <w:r w:rsidRPr="001E408E" w:rsidR="00E90FE3">
        <w:rPr>
          <w:lang w:val="sq-AL"/>
        </w:rPr>
        <w:t xml:space="preserve"> kishin pasur dijeni </w:t>
      </w:r>
      <w:r w:rsidRPr="001E408E">
        <w:rPr>
          <w:lang w:val="sq-AL"/>
        </w:rPr>
        <w:t>(</w:t>
      </w:r>
      <w:r w:rsidRPr="001E408E" w:rsidR="00E90FE3">
        <w:rPr>
          <w:i/>
          <w:lang w:val="sq-AL"/>
        </w:rPr>
        <w:t>X e</w:t>
      </w:r>
      <w:r w:rsidRPr="001E408E">
        <w:rPr>
          <w:i/>
          <w:lang w:val="sq-AL"/>
        </w:rPr>
        <w:t xml:space="preserve"> Y </w:t>
      </w:r>
      <w:r w:rsidRPr="001E408E" w:rsidR="00E90FE3">
        <w:rPr>
          <w:i/>
          <w:lang w:val="sq-AL"/>
        </w:rPr>
        <w:t>k</w:t>
      </w:r>
      <w:r w:rsidRPr="001E408E">
        <w:rPr>
          <w:i/>
          <w:lang w:val="sq-AL"/>
        </w:rPr>
        <w:t xml:space="preserve">. </w:t>
      </w:r>
      <w:r w:rsidRPr="001E408E" w:rsidR="00E90FE3">
        <w:rPr>
          <w:i/>
          <w:lang w:val="sq-AL"/>
        </w:rPr>
        <w:t>Vendeve të Ulëta</w:t>
      </w:r>
      <w:r w:rsidRPr="001E408E">
        <w:rPr>
          <w:i/>
          <w:lang w:val="sq-AL"/>
        </w:rPr>
        <w:t>,</w:t>
      </w:r>
      <w:r w:rsidRPr="001E408E">
        <w:rPr>
          <w:lang w:val="sq-AL"/>
        </w:rPr>
        <w:t xml:space="preserve"> 26 mars 1985, §§ 21–27, </w:t>
      </w:r>
      <w:r w:rsidRPr="001E408E" w:rsidR="00D315B4">
        <w:rPr>
          <w:lang w:val="sq-AL"/>
        </w:rPr>
        <w:t xml:space="preserve">seria A nr. </w:t>
      </w:r>
      <w:r w:rsidRPr="001E408E">
        <w:rPr>
          <w:lang w:val="sq-AL"/>
        </w:rPr>
        <w:t xml:space="preserve">91, </w:t>
      </w:r>
      <w:r w:rsidRPr="001E408E">
        <w:rPr>
          <w:i/>
          <w:lang w:val="sq-AL"/>
        </w:rPr>
        <w:t>A. </w:t>
      </w:r>
      <w:r w:rsidRPr="001E408E" w:rsidR="00E90FE3">
        <w:rPr>
          <w:i/>
          <w:lang w:val="sq-AL"/>
        </w:rPr>
        <w:t>k</w:t>
      </w:r>
      <w:r w:rsidRPr="001E408E">
        <w:rPr>
          <w:i/>
          <w:lang w:val="sq-AL"/>
        </w:rPr>
        <w:t xml:space="preserve">. </w:t>
      </w:r>
      <w:r w:rsidRPr="001E408E" w:rsidR="002759DF">
        <w:rPr>
          <w:i/>
          <w:lang w:val="sq-AL"/>
        </w:rPr>
        <w:t>Mbretërisë së Bashkuar</w:t>
      </w:r>
      <w:r w:rsidRPr="001E408E">
        <w:rPr>
          <w:lang w:val="sq-AL"/>
        </w:rPr>
        <w:t xml:space="preserve">, § 22, 23 </w:t>
      </w:r>
      <w:r w:rsidRPr="001E408E" w:rsidR="00E90FE3">
        <w:rPr>
          <w:lang w:val="sq-AL"/>
        </w:rPr>
        <w:t>shtator</w:t>
      </w:r>
      <w:r w:rsidRPr="001E408E">
        <w:rPr>
          <w:lang w:val="sq-AL"/>
        </w:rPr>
        <w:t xml:space="preserve"> 1998, </w:t>
      </w:r>
      <w:r w:rsidRPr="005517A9">
        <w:rPr>
          <w:i/>
          <w:lang w:val="sq-AL"/>
        </w:rPr>
        <w:t>Recueil</w:t>
      </w:r>
      <w:r w:rsidRPr="001E408E">
        <w:rPr>
          <w:i/>
          <w:lang w:val="sq-AL"/>
        </w:rPr>
        <w:t xml:space="preserve"> </w:t>
      </w:r>
      <w:r w:rsidRPr="001E408E">
        <w:rPr>
          <w:lang w:val="sq-AL"/>
        </w:rPr>
        <w:t>1998</w:t>
      </w:r>
      <w:r w:rsidRPr="001E408E">
        <w:rPr>
          <w:lang w:val="sq-AL"/>
        </w:rPr>
        <w:noBreakHyphen/>
        <w:t xml:space="preserve">VI, </w:t>
      </w:r>
      <w:r w:rsidRPr="001E408E">
        <w:rPr>
          <w:i/>
          <w:lang w:val="sq-AL"/>
        </w:rPr>
        <w:t xml:space="preserve">Z </w:t>
      </w:r>
      <w:r w:rsidRPr="001E408E" w:rsidR="00E90FE3">
        <w:rPr>
          <w:i/>
          <w:lang w:val="sq-AL"/>
        </w:rPr>
        <w:t>me të tjerë k</w:t>
      </w:r>
      <w:r w:rsidRPr="001E408E">
        <w:rPr>
          <w:i/>
          <w:lang w:val="sq-AL"/>
        </w:rPr>
        <w:t xml:space="preserve">. </w:t>
      </w:r>
      <w:r w:rsidRPr="001E408E" w:rsidR="002759DF">
        <w:rPr>
          <w:i/>
          <w:lang w:val="sq-AL"/>
        </w:rPr>
        <w:t>Mbretërisë së Bashkuar</w:t>
      </w:r>
      <w:r w:rsidRPr="001E408E">
        <w:rPr>
          <w:lang w:val="sq-AL"/>
        </w:rPr>
        <w:t xml:space="preserve">, </w:t>
      </w:r>
      <w:r w:rsidRPr="001E408E" w:rsidR="00E90FE3">
        <w:rPr>
          <w:lang w:val="sq-AL"/>
        </w:rPr>
        <w:t>i cituar më lart</w:t>
      </w:r>
      <w:r w:rsidRPr="001E408E">
        <w:rPr>
          <w:lang w:val="sq-AL"/>
        </w:rPr>
        <w:t xml:space="preserve">, §§ 74-75, </w:t>
      </w:r>
      <w:r w:rsidRPr="001E408E">
        <w:rPr>
          <w:i/>
          <w:lang w:val="sq-AL"/>
        </w:rPr>
        <w:t xml:space="preserve">D.P. e J.C. </w:t>
      </w:r>
      <w:r w:rsidRPr="001E408E" w:rsidR="00E90FE3">
        <w:rPr>
          <w:i/>
          <w:lang w:val="sq-AL"/>
        </w:rPr>
        <w:t>k</w:t>
      </w:r>
      <w:r w:rsidRPr="001E408E">
        <w:rPr>
          <w:i/>
          <w:lang w:val="sq-AL"/>
        </w:rPr>
        <w:t xml:space="preserve">. </w:t>
      </w:r>
      <w:r w:rsidRPr="001E408E" w:rsidR="002759DF">
        <w:rPr>
          <w:i/>
          <w:lang w:val="sq-AL"/>
        </w:rPr>
        <w:t>Mbretërisë së Bashkuar</w:t>
      </w:r>
      <w:r w:rsidRPr="001E408E">
        <w:rPr>
          <w:lang w:val="sq-AL"/>
        </w:rPr>
        <w:t>, n</w:t>
      </w:r>
      <w:r w:rsidRPr="001E408E" w:rsidR="00E90FE3">
        <w:rPr>
          <w:lang w:val="sq-AL"/>
        </w:rPr>
        <w:t>r.</w:t>
      </w:r>
      <w:r w:rsidRPr="001E408E">
        <w:rPr>
          <w:lang w:val="sq-AL"/>
        </w:rPr>
        <w:t xml:space="preserve"> 38719/97, § 109, 10 </w:t>
      </w:r>
      <w:r w:rsidRPr="001E408E" w:rsidR="00E90FE3">
        <w:rPr>
          <w:lang w:val="sq-AL"/>
        </w:rPr>
        <w:t>tetor</w:t>
      </w:r>
      <w:r w:rsidRPr="001E408E">
        <w:rPr>
          <w:lang w:val="sq-AL"/>
        </w:rPr>
        <w:t xml:space="preserve"> 2002, </w:t>
      </w:r>
      <w:r w:rsidRPr="001E408E" w:rsidR="00E90FE3">
        <w:rPr>
          <w:lang w:val="sq-AL"/>
        </w:rPr>
        <w:t>dhe</w:t>
      </w:r>
      <w:r w:rsidRPr="001E408E">
        <w:rPr>
          <w:lang w:val="sq-AL"/>
        </w:rPr>
        <w:t xml:space="preserve"> </w:t>
      </w:r>
      <w:r w:rsidRPr="001E408E">
        <w:rPr>
          <w:i/>
          <w:lang w:val="sq-AL"/>
        </w:rPr>
        <w:t xml:space="preserve">M.C. </w:t>
      </w:r>
      <w:r w:rsidRPr="001E408E" w:rsidR="00E90FE3">
        <w:rPr>
          <w:i/>
          <w:lang w:val="sq-AL"/>
        </w:rPr>
        <w:t>k</w:t>
      </w:r>
      <w:r w:rsidRPr="001E408E">
        <w:rPr>
          <w:i/>
          <w:lang w:val="sq-AL"/>
        </w:rPr>
        <w:t>. Bul</w:t>
      </w:r>
      <w:r w:rsidRPr="001E408E" w:rsidR="00E90FE3">
        <w:rPr>
          <w:i/>
          <w:lang w:val="sq-AL"/>
        </w:rPr>
        <w:t>l</w:t>
      </w:r>
      <w:r w:rsidRPr="001E408E">
        <w:rPr>
          <w:i/>
          <w:lang w:val="sq-AL"/>
        </w:rPr>
        <w:t>gari</w:t>
      </w:r>
      <w:r w:rsidRPr="001E408E" w:rsidR="00E90FE3">
        <w:rPr>
          <w:i/>
          <w:lang w:val="sq-AL"/>
        </w:rPr>
        <w:t>së</w:t>
      </w:r>
      <w:r w:rsidRPr="001E408E">
        <w:rPr>
          <w:lang w:val="sq-AL"/>
        </w:rPr>
        <w:t>,</w:t>
      </w:r>
      <w:r w:rsidRPr="001E408E">
        <w:rPr>
          <w:i/>
          <w:lang w:val="sq-AL"/>
        </w:rPr>
        <w:t xml:space="preserve"> </w:t>
      </w:r>
      <w:r w:rsidRPr="001E408E">
        <w:rPr>
          <w:lang w:val="sq-AL"/>
        </w:rPr>
        <w:t>n</w:t>
      </w:r>
      <w:r w:rsidRPr="001E408E" w:rsidR="00E90FE3">
        <w:rPr>
          <w:lang w:val="sq-AL"/>
        </w:rPr>
        <w:t>r.</w:t>
      </w:r>
      <w:r w:rsidRPr="001E408E">
        <w:rPr>
          <w:lang w:val="sq-AL"/>
        </w:rPr>
        <w:t xml:space="preserve"> 39272/98, § 149, </w:t>
      </w:r>
      <w:r w:rsidRPr="001E408E" w:rsidR="00E90FE3">
        <w:rPr>
          <w:lang w:val="sq-AL"/>
        </w:rPr>
        <w:t>Gj</w:t>
      </w:r>
      <w:r w:rsidRPr="001E408E">
        <w:rPr>
          <w:lang w:val="sq-AL"/>
        </w:rPr>
        <w:t>ED</w:t>
      </w:r>
      <w:r w:rsidRPr="001E408E" w:rsidR="00E90FE3">
        <w:rPr>
          <w:lang w:val="sq-AL"/>
        </w:rPr>
        <w:t>Nj</w:t>
      </w:r>
      <w:r w:rsidRPr="001E408E">
        <w:rPr>
          <w:lang w:val="sq-AL"/>
        </w:rPr>
        <w:t xml:space="preserve"> 2003</w:t>
      </w:r>
      <w:r w:rsidRPr="001E408E">
        <w:rPr>
          <w:lang w:val="sq-AL"/>
        </w:rPr>
        <w:noBreakHyphen/>
        <w:t>XII).</w:t>
      </w:r>
    </w:p>
    <w:p w:rsidRPr="004F4B3E" w:rsidR="00EB737A" w:rsidP="00EB737A" w:rsidRDefault="00EB737A">
      <w:pPr>
        <w:pStyle w:val="ECHRPara"/>
        <w:rPr>
          <w:lang w:val="sq-AL"/>
        </w:rPr>
      </w:pPr>
      <w:r w:rsidRPr="004F4B3E">
        <w:rPr>
          <w:lang w:val="sq-AL"/>
        </w:rPr>
        <w:fldChar w:fldCharType="begin"/>
      </w:r>
      <w:r w:rsidRPr="004F4B3E">
        <w:rPr>
          <w:lang w:val="sq-AL"/>
        </w:rPr>
        <w:instrText xml:space="preserve"> SEQ level0 \*arabic </w:instrText>
      </w:r>
      <w:r w:rsidRPr="004F4B3E">
        <w:rPr>
          <w:lang w:val="sq-AL"/>
        </w:rPr>
        <w:fldChar w:fldCharType="separate"/>
      </w:r>
      <w:r w:rsidR="00013F9B">
        <w:rPr>
          <w:noProof/>
          <w:lang w:val="sq-AL"/>
        </w:rPr>
        <w:t>145</w:t>
      </w:r>
      <w:r w:rsidRPr="004F4B3E">
        <w:rPr>
          <w:lang w:val="sq-AL"/>
        </w:rPr>
        <w:fldChar w:fldCharType="end"/>
      </w:r>
      <w:r w:rsidRPr="004F4B3E">
        <w:rPr>
          <w:lang w:val="sq-AL"/>
        </w:rPr>
        <w:t>.  </w:t>
      </w:r>
      <w:r w:rsidRPr="004F4B3E" w:rsidR="00E21CFD">
        <w:rPr>
          <w:lang w:val="sq-AL"/>
        </w:rPr>
        <w:t>Për m</w:t>
      </w:r>
      <w:r w:rsidRPr="004F4B3E" w:rsidR="001E408E">
        <w:rPr>
          <w:lang w:val="sq-AL"/>
        </w:rPr>
        <w:t>ë</w:t>
      </w:r>
      <w:r w:rsidRPr="004F4B3E" w:rsidR="00E21CFD">
        <w:rPr>
          <w:lang w:val="sq-AL"/>
        </w:rPr>
        <w:t xml:space="preserve"> tepër, konteksti i sistemit t</w:t>
      </w:r>
      <w:r w:rsidRPr="004F4B3E" w:rsidR="001E408E">
        <w:rPr>
          <w:lang w:val="sq-AL"/>
        </w:rPr>
        <w:t>ë</w:t>
      </w:r>
      <w:r w:rsidRPr="004F4B3E" w:rsidR="00E21CFD">
        <w:rPr>
          <w:lang w:val="sq-AL"/>
        </w:rPr>
        <w:t xml:space="preserve"> arsimit fillor, sfond i k</w:t>
      </w:r>
      <w:r w:rsidRPr="004F4B3E" w:rsidR="001E408E">
        <w:rPr>
          <w:lang w:val="sq-AL"/>
        </w:rPr>
        <w:t>ë</w:t>
      </w:r>
      <w:r w:rsidRPr="004F4B3E" w:rsidR="00E21CFD">
        <w:rPr>
          <w:lang w:val="sq-AL"/>
        </w:rPr>
        <w:t>saj çështjeje, e p</w:t>
      </w:r>
      <w:r w:rsidRPr="004F4B3E" w:rsidR="001E408E">
        <w:rPr>
          <w:lang w:val="sq-AL"/>
        </w:rPr>
        <w:t>ë</w:t>
      </w:r>
      <w:r w:rsidRPr="004F4B3E" w:rsidR="00E21CFD">
        <w:rPr>
          <w:lang w:val="sq-AL"/>
        </w:rPr>
        <w:t>rcakton n</w:t>
      </w:r>
      <w:r w:rsidRPr="004F4B3E" w:rsidR="001E408E">
        <w:rPr>
          <w:lang w:val="sq-AL"/>
        </w:rPr>
        <w:t>ë</w:t>
      </w:r>
      <w:r w:rsidRPr="004F4B3E" w:rsidR="00E21CFD">
        <w:rPr>
          <w:lang w:val="sq-AL"/>
        </w:rPr>
        <w:t xml:space="preserve"> një mas</w:t>
      </w:r>
      <w:r w:rsidRPr="004F4B3E" w:rsidR="001E408E">
        <w:rPr>
          <w:lang w:val="sq-AL"/>
        </w:rPr>
        <w:t>ë</w:t>
      </w:r>
      <w:r w:rsidRPr="004F4B3E" w:rsidR="00E21CFD">
        <w:rPr>
          <w:lang w:val="sq-AL"/>
        </w:rPr>
        <w:t xml:space="preserve"> t</w:t>
      </w:r>
      <w:r w:rsidRPr="004F4B3E" w:rsidR="001E408E">
        <w:rPr>
          <w:lang w:val="sq-AL"/>
        </w:rPr>
        <w:t>ë</w:t>
      </w:r>
      <w:r w:rsidRPr="004F4B3E" w:rsidR="00E21CFD">
        <w:rPr>
          <w:lang w:val="sq-AL"/>
        </w:rPr>
        <w:t xml:space="preserve"> gjer</w:t>
      </w:r>
      <w:r w:rsidRPr="004F4B3E" w:rsidR="001E408E">
        <w:rPr>
          <w:lang w:val="sq-AL"/>
        </w:rPr>
        <w:t>ë naty</w:t>
      </w:r>
      <w:r w:rsidRPr="004F4B3E" w:rsidR="00E21CFD">
        <w:rPr>
          <w:lang w:val="sq-AL"/>
        </w:rPr>
        <w:t>r</w:t>
      </w:r>
      <w:r w:rsidRPr="004F4B3E" w:rsidR="001E408E">
        <w:rPr>
          <w:lang w:val="sq-AL"/>
        </w:rPr>
        <w:t>ë</w:t>
      </w:r>
      <w:r w:rsidRPr="004F4B3E" w:rsidR="00E21CFD">
        <w:rPr>
          <w:lang w:val="sq-AL"/>
        </w:rPr>
        <w:t>n dhe r</w:t>
      </w:r>
      <w:r w:rsidRPr="004F4B3E" w:rsidR="001E408E">
        <w:rPr>
          <w:lang w:val="sq-AL"/>
        </w:rPr>
        <w:t>ë</w:t>
      </w:r>
      <w:r w:rsidRPr="004F4B3E" w:rsidR="00E21CFD">
        <w:rPr>
          <w:lang w:val="sq-AL"/>
        </w:rPr>
        <w:t>ndësin</w:t>
      </w:r>
      <w:r w:rsidRPr="004F4B3E" w:rsidR="001E408E">
        <w:rPr>
          <w:lang w:val="sq-AL"/>
        </w:rPr>
        <w:t>ë</w:t>
      </w:r>
      <w:r w:rsidRPr="004F4B3E" w:rsidR="00E21CFD">
        <w:rPr>
          <w:lang w:val="sq-AL"/>
        </w:rPr>
        <w:t xml:space="preserve"> e k</w:t>
      </w:r>
      <w:r w:rsidRPr="004F4B3E" w:rsidR="001E408E">
        <w:rPr>
          <w:lang w:val="sq-AL"/>
        </w:rPr>
        <w:t>ë</w:t>
      </w:r>
      <w:r w:rsidRPr="004F4B3E" w:rsidR="00E21CFD">
        <w:rPr>
          <w:lang w:val="sq-AL"/>
        </w:rPr>
        <w:t>tij detyrimi. Nga jurisprudenca e Gjykat</w:t>
      </w:r>
      <w:r w:rsidRPr="004F4B3E" w:rsidR="001E408E">
        <w:rPr>
          <w:lang w:val="sq-AL"/>
        </w:rPr>
        <w:t>ë</w:t>
      </w:r>
      <w:r w:rsidRPr="004F4B3E" w:rsidR="00E21CFD">
        <w:rPr>
          <w:lang w:val="sq-AL"/>
        </w:rPr>
        <w:t>s del me qartësi se detyrimi pozitiv p</w:t>
      </w:r>
      <w:r w:rsidRPr="004F4B3E" w:rsidR="001E408E">
        <w:rPr>
          <w:lang w:val="sq-AL"/>
        </w:rPr>
        <w:t>ë</w:t>
      </w:r>
      <w:r w:rsidRPr="004F4B3E" w:rsidR="00E21CFD">
        <w:rPr>
          <w:lang w:val="sq-AL"/>
        </w:rPr>
        <w:t>r mbrojtje merr nj</w:t>
      </w:r>
      <w:r w:rsidRPr="004F4B3E" w:rsidR="001E408E">
        <w:rPr>
          <w:lang w:val="sq-AL"/>
        </w:rPr>
        <w:t>ë</w:t>
      </w:r>
      <w:r w:rsidRPr="004F4B3E" w:rsidR="00E21CFD">
        <w:rPr>
          <w:lang w:val="sq-AL"/>
        </w:rPr>
        <w:t xml:space="preserve"> peshë krejt t</w:t>
      </w:r>
      <w:r w:rsidRPr="004F4B3E" w:rsidR="001E408E">
        <w:rPr>
          <w:lang w:val="sq-AL"/>
        </w:rPr>
        <w:t>ë</w:t>
      </w:r>
      <w:r w:rsidRPr="004F4B3E" w:rsidR="00E21CFD">
        <w:rPr>
          <w:lang w:val="sq-AL"/>
        </w:rPr>
        <w:t xml:space="preserve"> veçant</w:t>
      </w:r>
      <w:r w:rsidRPr="004F4B3E" w:rsidR="001E408E">
        <w:rPr>
          <w:lang w:val="sq-AL"/>
        </w:rPr>
        <w:t>ë</w:t>
      </w:r>
      <w:r w:rsidRPr="004F4B3E" w:rsidR="00E21CFD">
        <w:rPr>
          <w:lang w:val="sq-AL"/>
        </w:rPr>
        <w:t xml:space="preserve"> n</w:t>
      </w:r>
      <w:r w:rsidRPr="004F4B3E" w:rsidR="001E408E">
        <w:rPr>
          <w:lang w:val="sq-AL"/>
        </w:rPr>
        <w:t>ë</w:t>
      </w:r>
      <w:r w:rsidRPr="004F4B3E" w:rsidR="00E21CFD">
        <w:rPr>
          <w:lang w:val="sq-AL"/>
        </w:rPr>
        <w:t xml:space="preserve"> kuadrin e nj</w:t>
      </w:r>
      <w:r w:rsidRPr="004F4B3E" w:rsidR="001E408E">
        <w:rPr>
          <w:lang w:val="sq-AL"/>
        </w:rPr>
        <w:t>ë</w:t>
      </w:r>
      <w:r w:rsidRPr="004F4B3E" w:rsidR="00E21CFD">
        <w:rPr>
          <w:lang w:val="sq-AL"/>
        </w:rPr>
        <w:t xml:space="preserve"> sh</w:t>
      </w:r>
      <w:r w:rsidRPr="004F4B3E" w:rsidR="001E408E">
        <w:rPr>
          <w:lang w:val="sq-AL"/>
        </w:rPr>
        <w:t>ë</w:t>
      </w:r>
      <w:r w:rsidRPr="004F4B3E" w:rsidR="00E21CFD">
        <w:rPr>
          <w:lang w:val="sq-AL"/>
        </w:rPr>
        <w:t>rbimi publik kaq t</w:t>
      </w:r>
      <w:r w:rsidRPr="004F4B3E" w:rsidR="001E408E">
        <w:rPr>
          <w:lang w:val="sq-AL"/>
        </w:rPr>
        <w:t>ë</w:t>
      </w:r>
      <w:r w:rsidRPr="004F4B3E" w:rsidR="00E21CFD">
        <w:rPr>
          <w:lang w:val="sq-AL"/>
        </w:rPr>
        <w:t xml:space="preserve"> r</w:t>
      </w:r>
      <w:r w:rsidRPr="004F4B3E" w:rsidR="001E408E">
        <w:rPr>
          <w:lang w:val="sq-AL"/>
        </w:rPr>
        <w:t>ë</w:t>
      </w:r>
      <w:r w:rsidRPr="004F4B3E" w:rsidR="00E21CFD">
        <w:rPr>
          <w:lang w:val="sq-AL"/>
        </w:rPr>
        <w:t>nd</w:t>
      </w:r>
      <w:r w:rsidRPr="004F4B3E" w:rsidR="001E408E">
        <w:rPr>
          <w:lang w:val="sq-AL"/>
        </w:rPr>
        <w:t>ë</w:t>
      </w:r>
      <w:r w:rsidRPr="004F4B3E" w:rsidR="00E21CFD">
        <w:rPr>
          <w:lang w:val="sq-AL"/>
        </w:rPr>
        <w:t>sishëm sa arsimi fillor, meqen</w:t>
      </w:r>
      <w:r w:rsidRPr="004F4B3E" w:rsidR="001E408E">
        <w:rPr>
          <w:lang w:val="sq-AL"/>
        </w:rPr>
        <w:t>ë</w:t>
      </w:r>
      <w:r w:rsidRPr="004F4B3E" w:rsidR="00E21CFD">
        <w:rPr>
          <w:lang w:val="sq-AL"/>
        </w:rPr>
        <w:t>se autoritetet shkollore jan</w:t>
      </w:r>
      <w:r w:rsidRPr="004F4B3E" w:rsidR="001E408E">
        <w:rPr>
          <w:lang w:val="sq-AL"/>
        </w:rPr>
        <w:t>ë</w:t>
      </w:r>
      <w:r w:rsidRPr="004F4B3E" w:rsidR="00E21CFD">
        <w:rPr>
          <w:lang w:val="sq-AL"/>
        </w:rPr>
        <w:t xml:space="preserve"> t</w:t>
      </w:r>
      <w:r w:rsidRPr="004F4B3E" w:rsidR="001E408E">
        <w:rPr>
          <w:lang w:val="sq-AL"/>
        </w:rPr>
        <w:t>ë</w:t>
      </w:r>
      <w:r w:rsidRPr="004F4B3E" w:rsidR="00E21CFD">
        <w:rPr>
          <w:lang w:val="sq-AL"/>
        </w:rPr>
        <w:t xml:space="preserve"> detyruara q</w:t>
      </w:r>
      <w:r w:rsidRPr="004F4B3E" w:rsidR="001E408E">
        <w:rPr>
          <w:lang w:val="sq-AL"/>
        </w:rPr>
        <w:t>ë</w:t>
      </w:r>
      <w:r w:rsidRPr="004F4B3E" w:rsidR="00E21CFD">
        <w:rPr>
          <w:lang w:val="sq-AL"/>
        </w:rPr>
        <w:t xml:space="preserve"> t</w:t>
      </w:r>
      <w:r w:rsidR="00943091">
        <w:rPr>
          <w:lang w:val="sq-AL"/>
        </w:rPr>
        <w:t>’</w:t>
      </w:r>
      <w:r w:rsidRPr="004F4B3E" w:rsidR="00E21CFD">
        <w:rPr>
          <w:lang w:val="sq-AL"/>
        </w:rPr>
        <w:t>i mbrojn</w:t>
      </w:r>
      <w:r w:rsidRPr="004F4B3E" w:rsidR="001E408E">
        <w:rPr>
          <w:lang w:val="sq-AL"/>
        </w:rPr>
        <w:t>ë</w:t>
      </w:r>
      <w:r w:rsidRPr="004F4B3E" w:rsidR="00E21CFD">
        <w:rPr>
          <w:lang w:val="sq-AL"/>
        </w:rPr>
        <w:t xml:space="preserve"> sh</w:t>
      </w:r>
      <w:r w:rsidRPr="004F4B3E" w:rsidR="001E408E">
        <w:rPr>
          <w:lang w:val="sq-AL"/>
        </w:rPr>
        <w:t>ë</w:t>
      </w:r>
      <w:r w:rsidRPr="004F4B3E" w:rsidR="00E21CFD">
        <w:rPr>
          <w:lang w:val="sq-AL"/>
        </w:rPr>
        <w:t>ndetin e mirëqenien e nx</w:t>
      </w:r>
      <w:r w:rsidRPr="004F4B3E" w:rsidR="001E408E">
        <w:rPr>
          <w:lang w:val="sq-AL"/>
        </w:rPr>
        <w:t>ë</w:t>
      </w:r>
      <w:r w:rsidRPr="004F4B3E" w:rsidR="00E21CFD">
        <w:rPr>
          <w:lang w:val="sq-AL"/>
        </w:rPr>
        <w:t>n</w:t>
      </w:r>
      <w:r w:rsidRPr="004F4B3E" w:rsidR="001E408E">
        <w:rPr>
          <w:lang w:val="sq-AL"/>
        </w:rPr>
        <w:t>ë</w:t>
      </w:r>
      <w:r w:rsidRPr="004F4B3E" w:rsidR="00E21CFD">
        <w:rPr>
          <w:lang w:val="sq-AL"/>
        </w:rPr>
        <w:t>sve dhe, n</w:t>
      </w:r>
      <w:r w:rsidRPr="004F4B3E" w:rsidR="001E408E">
        <w:rPr>
          <w:lang w:val="sq-AL"/>
        </w:rPr>
        <w:t>ë</w:t>
      </w:r>
      <w:r w:rsidRPr="004F4B3E" w:rsidR="00E21CFD">
        <w:rPr>
          <w:lang w:val="sq-AL"/>
        </w:rPr>
        <w:t xml:space="preserve"> veçanti, t</w:t>
      </w:r>
      <w:r w:rsidRPr="004F4B3E" w:rsidR="001E408E">
        <w:rPr>
          <w:lang w:val="sq-AL"/>
        </w:rPr>
        <w:t>ë</w:t>
      </w:r>
      <w:r w:rsidRPr="004F4B3E" w:rsidR="00E21CFD">
        <w:rPr>
          <w:lang w:val="sq-AL"/>
        </w:rPr>
        <w:t xml:space="preserve"> fëmij</w:t>
      </w:r>
      <w:r w:rsidRPr="004F4B3E" w:rsidR="001E408E">
        <w:rPr>
          <w:lang w:val="sq-AL"/>
        </w:rPr>
        <w:t>ë</w:t>
      </w:r>
      <w:r w:rsidRPr="004F4B3E" w:rsidR="00E21CFD">
        <w:rPr>
          <w:lang w:val="sq-AL"/>
        </w:rPr>
        <w:t>ve n</w:t>
      </w:r>
      <w:r w:rsidRPr="004F4B3E" w:rsidR="001E408E">
        <w:rPr>
          <w:lang w:val="sq-AL"/>
        </w:rPr>
        <w:t>ë</w:t>
      </w:r>
      <w:r w:rsidRPr="004F4B3E" w:rsidR="00E21CFD">
        <w:rPr>
          <w:lang w:val="sq-AL"/>
        </w:rPr>
        <w:t xml:space="preserve"> mosh</w:t>
      </w:r>
      <w:r w:rsidRPr="004F4B3E" w:rsidR="001E408E">
        <w:rPr>
          <w:lang w:val="sq-AL"/>
        </w:rPr>
        <w:t>ë</w:t>
      </w:r>
      <w:r w:rsidRPr="004F4B3E" w:rsidR="00E21CFD">
        <w:rPr>
          <w:lang w:val="sq-AL"/>
        </w:rPr>
        <w:t xml:space="preserve"> t</w:t>
      </w:r>
      <w:r w:rsidRPr="004F4B3E" w:rsidR="001E408E">
        <w:rPr>
          <w:lang w:val="sq-AL"/>
        </w:rPr>
        <w:t>ë</w:t>
      </w:r>
      <w:r w:rsidRPr="004F4B3E" w:rsidR="00E21CFD">
        <w:rPr>
          <w:lang w:val="sq-AL"/>
        </w:rPr>
        <w:t xml:space="preserve"> re që jan</w:t>
      </w:r>
      <w:r w:rsidRPr="004F4B3E" w:rsidR="001E408E">
        <w:rPr>
          <w:lang w:val="sq-AL"/>
        </w:rPr>
        <w:t>ë</w:t>
      </w:r>
      <w:r w:rsidRPr="004F4B3E" w:rsidR="00E21CFD">
        <w:rPr>
          <w:lang w:val="sq-AL"/>
        </w:rPr>
        <w:t xml:space="preserve"> veçan</w:t>
      </w:r>
      <w:r w:rsidRPr="004F4B3E" w:rsidR="001E408E">
        <w:rPr>
          <w:lang w:val="sq-AL"/>
        </w:rPr>
        <w:t>ë</w:t>
      </w:r>
      <w:r w:rsidRPr="004F4B3E" w:rsidR="00E21CFD">
        <w:rPr>
          <w:lang w:val="sq-AL"/>
        </w:rPr>
        <w:t>risht t</w:t>
      </w:r>
      <w:r w:rsidRPr="004F4B3E" w:rsidR="001E408E">
        <w:rPr>
          <w:lang w:val="sq-AL"/>
        </w:rPr>
        <w:t>ë</w:t>
      </w:r>
      <w:r w:rsidRPr="004F4B3E" w:rsidR="00E21CFD">
        <w:rPr>
          <w:lang w:val="sq-AL"/>
        </w:rPr>
        <w:t xml:space="preserve"> cenueshëm e q</w:t>
      </w:r>
      <w:r w:rsidRPr="004F4B3E" w:rsidR="001E408E">
        <w:rPr>
          <w:lang w:val="sq-AL"/>
        </w:rPr>
        <w:t>ë</w:t>
      </w:r>
      <w:r w:rsidRPr="004F4B3E" w:rsidR="00E21CFD">
        <w:rPr>
          <w:lang w:val="sq-AL"/>
        </w:rPr>
        <w:t xml:space="preserve"> ndodhen n</w:t>
      </w:r>
      <w:r w:rsidRPr="004F4B3E" w:rsidR="001E408E">
        <w:rPr>
          <w:lang w:val="sq-AL"/>
        </w:rPr>
        <w:t>ë</w:t>
      </w:r>
      <w:r w:rsidRPr="004F4B3E" w:rsidR="00E21CFD">
        <w:rPr>
          <w:lang w:val="sq-AL"/>
        </w:rPr>
        <w:t>n kontrollin ekskluziv t</w:t>
      </w:r>
      <w:r w:rsidRPr="004F4B3E" w:rsidR="001E408E">
        <w:rPr>
          <w:lang w:val="sq-AL"/>
        </w:rPr>
        <w:t>ë</w:t>
      </w:r>
      <w:r w:rsidRPr="004F4B3E" w:rsidR="00E21CFD">
        <w:rPr>
          <w:lang w:val="sq-AL"/>
        </w:rPr>
        <w:t xml:space="preserve"> k</w:t>
      </w:r>
      <w:r w:rsidRPr="004F4B3E" w:rsidR="001E408E">
        <w:rPr>
          <w:lang w:val="sq-AL"/>
        </w:rPr>
        <w:t>ë</w:t>
      </w:r>
      <w:r w:rsidRPr="004F4B3E" w:rsidR="00E21CFD">
        <w:rPr>
          <w:lang w:val="sq-AL"/>
        </w:rPr>
        <w:t>tyre autoriteteve</w:t>
      </w:r>
      <w:r w:rsidRPr="004F4B3E">
        <w:rPr>
          <w:lang w:val="sq-AL"/>
        </w:rPr>
        <w:t xml:space="preserve"> (</w:t>
      </w:r>
      <w:r w:rsidRPr="004F4B3E">
        <w:rPr>
          <w:i/>
          <w:lang w:val="sq-AL"/>
        </w:rPr>
        <w:t xml:space="preserve">Grzelak </w:t>
      </w:r>
      <w:r w:rsidRPr="004F4B3E" w:rsidR="00E21CFD">
        <w:rPr>
          <w:i/>
          <w:lang w:val="sq-AL"/>
        </w:rPr>
        <w:t>k</w:t>
      </w:r>
      <w:r w:rsidRPr="004F4B3E">
        <w:rPr>
          <w:i/>
          <w:lang w:val="sq-AL"/>
        </w:rPr>
        <w:t>. Polo</w:t>
      </w:r>
      <w:r w:rsidRPr="004F4B3E" w:rsidR="00E21CFD">
        <w:rPr>
          <w:i/>
          <w:lang w:val="sq-AL"/>
        </w:rPr>
        <w:t>nisë</w:t>
      </w:r>
      <w:r w:rsidRPr="004F4B3E">
        <w:rPr>
          <w:lang w:val="sq-AL"/>
        </w:rPr>
        <w:t>, n</w:t>
      </w:r>
      <w:r w:rsidRPr="004F4B3E" w:rsidR="00E21CFD">
        <w:rPr>
          <w:lang w:val="sq-AL"/>
        </w:rPr>
        <w:t>r.</w:t>
      </w:r>
      <w:r w:rsidRPr="004F4B3E">
        <w:rPr>
          <w:lang w:val="sq-AL"/>
        </w:rPr>
        <w:t xml:space="preserve"> 7710/02, § 87, 15 </w:t>
      </w:r>
      <w:r w:rsidRPr="004F4B3E" w:rsidR="001E408E">
        <w:rPr>
          <w:lang w:val="sq-AL"/>
        </w:rPr>
        <w:t>qershor</w:t>
      </w:r>
      <w:r w:rsidRPr="004F4B3E">
        <w:rPr>
          <w:lang w:val="sq-AL"/>
        </w:rPr>
        <w:t xml:space="preserve"> 2010, </w:t>
      </w:r>
      <w:r w:rsidRPr="004F4B3E" w:rsidR="001E408E">
        <w:rPr>
          <w:lang w:val="sq-AL"/>
        </w:rPr>
        <w:t>dhe</w:t>
      </w:r>
      <w:r w:rsidRPr="004F4B3E">
        <w:rPr>
          <w:lang w:val="sq-AL"/>
        </w:rPr>
        <w:t xml:space="preserve"> </w:t>
      </w:r>
      <w:r w:rsidRPr="004F4B3E" w:rsidR="001E408E">
        <w:rPr>
          <w:i/>
          <w:lang w:val="sq-AL"/>
        </w:rPr>
        <w:t>Ilbeyi Kemaloğlu e</w:t>
      </w:r>
      <w:r w:rsidRPr="004F4B3E">
        <w:rPr>
          <w:i/>
          <w:lang w:val="sq-AL"/>
        </w:rPr>
        <w:t xml:space="preserve"> Meriye Kemaloğlu </w:t>
      </w:r>
      <w:r w:rsidRPr="004F4B3E" w:rsidR="001E408E">
        <w:rPr>
          <w:i/>
          <w:lang w:val="sq-AL"/>
        </w:rPr>
        <w:t>k</w:t>
      </w:r>
      <w:r w:rsidRPr="004F4B3E">
        <w:rPr>
          <w:i/>
          <w:lang w:val="sq-AL"/>
        </w:rPr>
        <w:t>. Turq</w:t>
      </w:r>
      <w:r w:rsidRPr="004F4B3E" w:rsidR="001E408E">
        <w:rPr>
          <w:i/>
          <w:lang w:val="sq-AL"/>
        </w:rPr>
        <w:t>isë</w:t>
      </w:r>
      <w:r w:rsidRPr="004F4B3E">
        <w:rPr>
          <w:lang w:val="sq-AL"/>
        </w:rPr>
        <w:t xml:space="preserve">, </w:t>
      </w:r>
      <w:r w:rsidRPr="004F4B3E" w:rsidR="001E408E">
        <w:rPr>
          <w:lang w:val="sq-AL"/>
        </w:rPr>
        <w:t>nr.</w:t>
      </w:r>
      <w:r w:rsidRPr="004F4B3E">
        <w:rPr>
          <w:lang w:val="sq-AL"/>
        </w:rPr>
        <w:t xml:space="preserve"> 19986/06, § 35, 10 </w:t>
      </w:r>
      <w:r w:rsidRPr="004F4B3E" w:rsidR="001E408E">
        <w:rPr>
          <w:lang w:val="sq-AL"/>
        </w:rPr>
        <w:t>pril</w:t>
      </w:r>
      <w:r w:rsidRPr="004F4B3E">
        <w:rPr>
          <w:lang w:val="sq-AL"/>
        </w:rPr>
        <w:t>l 2012).</w:t>
      </w:r>
    </w:p>
    <w:p w:rsidRPr="004F4B3E" w:rsidR="00EB737A" w:rsidP="00EB737A" w:rsidRDefault="00EB737A">
      <w:pPr>
        <w:pStyle w:val="ECHRPara"/>
        <w:rPr>
          <w:lang w:val="sq-AL"/>
        </w:rPr>
      </w:pPr>
      <w:r w:rsidRPr="004F4B3E">
        <w:rPr>
          <w:lang w:val="sq-AL"/>
        </w:rPr>
        <w:fldChar w:fldCharType="begin"/>
      </w:r>
      <w:r w:rsidRPr="004F4B3E">
        <w:rPr>
          <w:lang w:val="sq-AL"/>
        </w:rPr>
        <w:instrText xml:space="preserve"> SEQ level0 \*arabic </w:instrText>
      </w:r>
      <w:r w:rsidRPr="004F4B3E">
        <w:rPr>
          <w:lang w:val="sq-AL"/>
        </w:rPr>
        <w:fldChar w:fldCharType="separate"/>
      </w:r>
      <w:r w:rsidR="00013F9B">
        <w:rPr>
          <w:noProof/>
          <w:lang w:val="sq-AL"/>
        </w:rPr>
        <w:t>146</w:t>
      </w:r>
      <w:r w:rsidRPr="004F4B3E">
        <w:rPr>
          <w:lang w:val="sq-AL"/>
        </w:rPr>
        <w:fldChar w:fldCharType="end"/>
      </w:r>
      <w:r w:rsidRPr="004F4B3E">
        <w:rPr>
          <w:lang w:val="sq-AL"/>
        </w:rPr>
        <w:t>.  </w:t>
      </w:r>
      <w:r w:rsidRPr="004F4B3E" w:rsidR="001E408E">
        <w:rPr>
          <w:lang w:val="sq-AL"/>
        </w:rPr>
        <w:t>Pra, duke pasur parasysh karakterin themelor të të drejtave të garantuara nga neni</w:t>
      </w:r>
      <w:r w:rsidRPr="004F4B3E">
        <w:rPr>
          <w:lang w:val="sq-AL"/>
        </w:rPr>
        <w:t xml:space="preserve"> 3 </w:t>
      </w:r>
      <w:r w:rsidRPr="004F4B3E" w:rsidR="001E408E">
        <w:rPr>
          <w:lang w:val="sq-AL"/>
        </w:rPr>
        <w:t>dhe cenueshmërinë e veçantë të fëmijëve, autoritetet publike kanë detyrimin, i cili është i pandashëm nga misioni i tyre, që t</w:t>
      </w:r>
      <w:r w:rsidR="00943091">
        <w:rPr>
          <w:lang w:val="sq-AL"/>
        </w:rPr>
        <w:t>’</w:t>
      </w:r>
      <w:r w:rsidRPr="004F4B3E" w:rsidR="001E408E">
        <w:rPr>
          <w:lang w:val="sq-AL"/>
        </w:rPr>
        <w:t>i mbrojnë ata nga keqtrajtimet, sidomos në kontekstin e arsimit fillor, duke miratuar masa e garanci të posaçme</w:t>
      </w:r>
      <w:r w:rsidRPr="004F4B3E" w:rsidR="007C2A74">
        <w:rPr>
          <w:lang w:val="sq-AL"/>
        </w:rPr>
        <w:t xml:space="preserve"> nëse është nevoja</w:t>
      </w:r>
      <w:r w:rsidRPr="004F4B3E" w:rsidR="001E408E">
        <w:rPr>
          <w:lang w:val="sq-AL"/>
        </w:rPr>
        <w:t>.</w:t>
      </w:r>
    </w:p>
    <w:p w:rsidRPr="00B0346B" w:rsidR="00EB737A" w:rsidP="00EB737A" w:rsidRDefault="00EB737A">
      <w:pPr>
        <w:pStyle w:val="ECHRPara"/>
        <w:rPr>
          <w:lang w:val="sq-AL"/>
        </w:rPr>
      </w:pPr>
      <w:r w:rsidRPr="00B0346B">
        <w:rPr>
          <w:lang w:val="sq-AL"/>
        </w:rPr>
        <w:fldChar w:fldCharType="begin"/>
      </w:r>
      <w:r w:rsidRPr="00B0346B">
        <w:rPr>
          <w:lang w:val="sq-AL"/>
        </w:rPr>
        <w:instrText xml:space="preserve"> SEQ level0 \*arabic </w:instrText>
      </w:r>
      <w:r w:rsidRPr="00B0346B">
        <w:rPr>
          <w:lang w:val="sq-AL"/>
        </w:rPr>
        <w:fldChar w:fldCharType="separate"/>
      </w:r>
      <w:r w:rsidR="00013F9B">
        <w:rPr>
          <w:noProof/>
          <w:lang w:val="sq-AL"/>
        </w:rPr>
        <w:t>147</w:t>
      </w:r>
      <w:r w:rsidRPr="00B0346B">
        <w:rPr>
          <w:lang w:val="sq-AL"/>
        </w:rPr>
        <w:fldChar w:fldCharType="end"/>
      </w:r>
      <w:r w:rsidRPr="00B0346B">
        <w:rPr>
          <w:lang w:val="sq-AL"/>
        </w:rPr>
        <w:t>.  </w:t>
      </w:r>
      <w:r w:rsidRPr="00B0346B" w:rsidR="007C2A74">
        <w:rPr>
          <w:lang w:val="sq-AL"/>
        </w:rPr>
        <w:t>Ky është për më tepër një detyrim i cili diktohej tashmë edhe në vitin 1973, në kohën kur kanë ndodhur ngjarjet përkatëse të çështjes në fjalë.</w:t>
      </w:r>
    </w:p>
    <w:p w:rsidRPr="00B0346B" w:rsidR="00EB737A" w:rsidP="00EB737A" w:rsidRDefault="007C2A74">
      <w:pPr>
        <w:pStyle w:val="ECHRPara"/>
        <w:rPr>
          <w:lang w:val="sq-AL"/>
        </w:rPr>
      </w:pPr>
      <w:r w:rsidRPr="00B0346B">
        <w:rPr>
          <w:lang w:val="sq-AL"/>
        </w:rPr>
        <w:t xml:space="preserve">Vargu i instrumenteve ndërkombëtare që ekzistonin përpara kësaj periudhe dhe që përmblidhen nga paragrafi </w:t>
      </w:r>
      <w:r w:rsidRPr="00B0346B" w:rsidR="00EB737A">
        <w:rPr>
          <w:lang w:val="sq-AL"/>
        </w:rPr>
        <w:t xml:space="preserve">91 </w:t>
      </w:r>
      <w:r w:rsidRPr="00B0346B">
        <w:rPr>
          <w:lang w:val="sq-AL"/>
        </w:rPr>
        <w:t>deri në atë</w:t>
      </w:r>
      <w:r w:rsidRPr="00B0346B" w:rsidR="00EB737A">
        <w:rPr>
          <w:lang w:val="sq-AL"/>
        </w:rPr>
        <w:t xml:space="preserve"> 95 </w:t>
      </w:r>
      <w:r w:rsidRPr="00B0346B">
        <w:rPr>
          <w:lang w:val="sq-AL"/>
        </w:rPr>
        <w:t xml:space="preserve">e nënvizonin nevojën që shtetet të marrin masa të posaçme në fushën e mbrojtjes së fëmijëve. Gjykata mban shënim në veçanti për </w:t>
      </w:r>
      <w:r w:rsidRPr="00B0346B" w:rsidR="00EB737A">
        <w:rPr>
          <w:lang w:val="sq-AL"/>
        </w:rPr>
        <w:t>P</w:t>
      </w:r>
      <w:r w:rsidRPr="00B0346B">
        <w:rPr>
          <w:lang w:val="sq-AL"/>
        </w:rPr>
        <w:t>N</w:t>
      </w:r>
      <w:r w:rsidRPr="00B0346B" w:rsidR="00EB737A">
        <w:rPr>
          <w:lang w:val="sq-AL"/>
        </w:rPr>
        <w:t>DCP</w:t>
      </w:r>
      <w:r w:rsidRPr="00B0346B">
        <w:rPr>
          <w:lang w:val="sq-AL"/>
        </w:rPr>
        <w:t>-në dhe për PNDEShK</w:t>
      </w:r>
      <w:r w:rsidRPr="00B0346B" w:rsidR="000E41CC">
        <w:rPr>
          <w:lang w:val="sq-AL"/>
        </w:rPr>
        <w:t>-në</w:t>
      </w:r>
      <w:r w:rsidRPr="00B0346B" w:rsidR="00EB737A">
        <w:rPr>
          <w:lang w:val="sq-AL"/>
        </w:rPr>
        <w:t xml:space="preserve">, </w:t>
      </w:r>
      <w:r w:rsidRPr="00B0346B" w:rsidR="000E41CC">
        <w:rPr>
          <w:lang w:val="sq-AL"/>
        </w:rPr>
        <w:t xml:space="preserve">që të dy të çelur për nënshkrim më </w:t>
      </w:r>
      <w:r w:rsidRPr="00B0346B" w:rsidR="00EB737A">
        <w:rPr>
          <w:lang w:val="sq-AL"/>
        </w:rPr>
        <w:t xml:space="preserve">1966 </w:t>
      </w:r>
      <w:r w:rsidRPr="00B0346B" w:rsidR="000E41CC">
        <w:rPr>
          <w:lang w:val="sq-AL"/>
        </w:rPr>
        <w:t xml:space="preserve">e të nënshkruar nga Irlanda që më </w:t>
      </w:r>
      <w:r w:rsidRPr="00B0346B" w:rsidR="00EB737A">
        <w:rPr>
          <w:lang w:val="sq-AL"/>
        </w:rPr>
        <w:t xml:space="preserve">1973, </w:t>
      </w:r>
      <w:r w:rsidRPr="00B0346B" w:rsidR="000E41CC">
        <w:rPr>
          <w:lang w:val="sq-AL"/>
        </w:rPr>
        <w:t xml:space="preserve">ndonëse kjo i nënshkroi vetëm më </w:t>
      </w:r>
      <w:r w:rsidRPr="00B0346B" w:rsidR="00EB737A">
        <w:rPr>
          <w:lang w:val="sq-AL"/>
        </w:rPr>
        <w:t>1989 (paragra</w:t>
      </w:r>
      <w:r w:rsidRPr="00B0346B" w:rsidR="000E41CC">
        <w:rPr>
          <w:lang w:val="sq-AL"/>
        </w:rPr>
        <w:t>fi</w:t>
      </w:r>
      <w:r w:rsidRPr="00B0346B" w:rsidR="00EB737A">
        <w:rPr>
          <w:lang w:val="sq-AL"/>
        </w:rPr>
        <w:t xml:space="preserve"> 95 </w:t>
      </w:r>
      <w:r w:rsidRPr="00B0346B" w:rsidR="00604857">
        <w:rPr>
          <w:lang w:val="sq-AL"/>
        </w:rPr>
        <w:t>i mësipërm</w:t>
      </w:r>
      <w:r w:rsidRPr="00B0346B" w:rsidR="00EB737A">
        <w:rPr>
          <w:lang w:val="sq-AL"/>
        </w:rPr>
        <w:t>).</w:t>
      </w:r>
    </w:p>
    <w:p w:rsidRPr="00B0346B" w:rsidR="00EB737A" w:rsidP="00EB737A" w:rsidRDefault="000E41CC">
      <w:pPr>
        <w:pStyle w:val="ECHRPara"/>
        <w:rPr>
          <w:lang w:val="sq-AL"/>
        </w:rPr>
      </w:pPr>
      <w:r w:rsidRPr="00B0346B">
        <w:rPr>
          <w:lang w:val="sq-AL"/>
        </w:rPr>
        <w:t>Përveç kësaj, Gjykata ka pohuar q</w:t>
      </w:r>
      <w:r w:rsidRPr="00B0346B" w:rsidR="00717412">
        <w:rPr>
          <w:lang w:val="sq-AL"/>
        </w:rPr>
        <w:t>ë</w:t>
      </w:r>
      <w:r w:rsidRPr="00B0346B">
        <w:rPr>
          <w:lang w:val="sq-AL"/>
        </w:rPr>
        <w:t xml:space="preserve"> n</w:t>
      </w:r>
      <w:r w:rsidRPr="00B0346B" w:rsidR="004F4B3E">
        <w:rPr>
          <w:lang w:val="sq-AL"/>
        </w:rPr>
        <w:t>ë</w:t>
      </w:r>
      <w:r w:rsidRPr="00B0346B">
        <w:rPr>
          <w:lang w:val="sq-AL"/>
        </w:rPr>
        <w:t xml:space="preserve"> vendimin e saj të pestë, dhe e ka bërë këtë në kontekstin e nenit </w:t>
      </w:r>
      <w:r w:rsidRPr="00B0346B" w:rsidR="00EB737A">
        <w:rPr>
          <w:lang w:val="sq-AL"/>
        </w:rPr>
        <w:t xml:space="preserve">2 </w:t>
      </w:r>
      <w:r w:rsidRPr="00B0346B">
        <w:rPr>
          <w:lang w:val="sq-AL"/>
        </w:rPr>
        <w:t xml:space="preserve">të Protokollit nr. </w:t>
      </w:r>
      <w:r w:rsidRPr="00B0346B" w:rsidR="00EB737A">
        <w:rPr>
          <w:lang w:val="sq-AL"/>
        </w:rPr>
        <w:t xml:space="preserve">1 </w:t>
      </w:r>
      <w:r w:rsidRPr="00B0346B">
        <w:rPr>
          <w:lang w:val="sq-AL"/>
        </w:rPr>
        <w:t>lidhur me të drejtën për arsimim, se Konventa mund t</w:t>
      </w:r>
      <w:r w:rsidR="00943091">
        <w:rPr>
          <w:lang w:val="sq-AL"/>
        </w:rPr>
        <w:t>’</w:t>
      </w:r>
      <w:r w:rsidRPr="00B0346B" w:rsidR="00717412">
        <w:rPr>
          <w:lang w:val="sq-AL"/>
        </w:rPr>
        <w:t>u diktonte shteteve</w:t>
      </w:r>
      <w:r w:rsidRPr="00B0346B">
        <w:rPr>
          <w:lang w:val="sq-AL"/>
        </w:rPr>
        <w:t xml:space="preserve"> detyrime pozitive </w:t>
      </w:r>
      <w:r w:rsidRPr="00B0346B" w:rsidR="00EB737A">
        <w:rPr>
          <w:lang w:val="sq-AL"/>
        </w:rPr>
        <w:t>(</w:t>
      </w:r>
      <w:r w:rsidRPr="00B0346B" w:rsidR="00717412">
        <w:rPr>
          <w:i/>
          <w:lang w:val="sq-AL"/>
        </w:rPr>
        <w:t>Çështja “lidhur me disa aspekte të regjimit gjuhësor të mësimdhënies në Belgjikë”</w:t>
      </w:r>
      <w:r w:rsidRPr="00B0346B" w:rsidR="00EB737A">
        <w:rPr>
          <w:i/>
          <w:lang w:val="sq-AL"/>
        </w:rPr>
        <w:t xml:space="preserve"> </w:t>
      </w:r>
      <w:r w:rsidRPr="00B0346B" w:rsidR="00717412">
        <w:rPr>
          <w:i/>
          <w:lang w:val="sq-AL"/>
        </w:rPr>
        <w:t>k. Belgjikës</w:t>
      </w:r>
      <w:r w:rsidRPr="00B0346B" w:rsidR="00EB737A">
        <w:rPr>
          <w:i/>
          <w:lang w:val="sq-AL"/>
        </w:rPr>
        <w:t xml:space="preserve"> </w:t>
      </w:r>
      <w:r w:rsidRPr="00B0346B" w:rsidR="00EB737A">
        <w:rPr>
          <w:lang w:val="sq-AL"/>
        </w:rPr>
        <w:t>(</w:t>
      </w:r>
      <w:r w:rsidRPr="00B0346B" w:rsidR="00717412">
        <w:rPr>
          <w:lang w:val="sq-AL"/>
        </w:rPr>
        <w:t>themeli</w:t>
      </w:r>
      <w:r w:rsidRPr="00B0346B" w:rsidR="00EB737A">
        <w:rPr>
          <w:lang w:val="sq-AL"/>
        </w:rPr>
        <w:t xml:space="preserve">), 23 </w:t>
      </w:r>
      <w:r w:rsidRPr="00B0346B" w:rsidR="00717412">
        <w:rPr>
          <w:lang w:val="sq-AL"/>
        </w:rPr>
        <w:t>korrik</w:t>
      </w:r>
      <w:r w:rsidRPr="00B0346B" w:rsidR="00EB737A">
        <w:rPr>
          <w:lang w:val="sq-AL"/>
        </w:rPr>
        <w:t xml:space="preserve"> 1968, § 3, </w:t>
      </w:r>
      <w:r w:rsidRPr="00B0346B" w:rsidR="00D315B4">
        <w:rPr>
          <w:lang w:val="sq-AL"/>
        </w:rPr>
        <w:t xml:space="preserve">seria A nr. </w:t>
      </w:r>
      <w:r w:rsidRPr="00B0346B" w:rsidR="00EB737A">
        <w:rPr>
          <w:lang w:val="sq-AL"/>
        </w:rPr>
        <w:t xml:space="preserve">6). </w:t>
      </w:r>
      <w:r w:rsidRPr="00B0346B" w:rsidR="00717412">
        <w:rPr>
          <w:lang w:val="sq-AL"/>
        </w:rPr>
        <w:t xml:space="preserve">Formulimi që ajo ka përdorur në çështjen </w:t>
      </w:r>
      <w:r w:rsidRPr="00B0346B" w:rsidR="00EB737A">
        <w:rPr>
          <w:i/>
          <w:lang w:val="sq-AL"/>
        </w:rPr>
        <w:t xml:space="preserve">Marckx </w:t>
      </w:r>
      <w:r w:rsidRPr="00B0346B" w:rsidR="00717412">
        <w:rPr>
          <w:i/>
          <w:lang w:val="sq-AL"/>
        </w:rPr>
        <w:t>k. Belgjikës</w:t>
      </w:r>
      <w:r w:rsidRPr="00B0346B" w:rsidR="00EB737A">
        <w:rPr>
          <w:lang w:val="sq-AL"/>
        </w:rPr>
        <w:t xml:space="preserve"> (13 </w:t>
      </w:r>
      <w:r w:rsidRPr="00B0346B" w:rsidR="00717412">
        <w:rPr>
          <w:lang w:val="sq-AL"/>
        </w:rPr>
        <w:t>qershor</w:t>
      </w:r>
      <w:r w:rsidRPr="00B0346B" w:rsidR="00EB737A">
        <w:rPr>
          <w:lang w:val="sq-AL"/>
        </w:rPr>
        <w:t xml:space="preserve"> 1979, § 31, </w:t>
      </w:r>
      <w:r w:rsidRPr="00B0346B" w:rsidR="00D315B4">
        <w:rPr>
          <w:lang w:val="sq-AL"/>
        </w:rPr>
        <w:t xml:space="preserve">seria A nr. </w:t>
      </w:r>
      <w:r w:rsidRPr="00B0346B" w:rsidR="00EB737A">
        <w:rPr>
          <w:lang w:val="sq-AL"/>
        </w:rPr>
        <w:t xml:space="preserve">31) </w:t>
      </w:r>
      <w:r w:rsidRPr="00B0346B" w:rsidR="00717412">
        <w:rPr>
          <w:lang w:val="sq-AL"/>
        </w:rPr>
        <w:t>për të përshkruar detyrimin pozitiv që i bie shtetit n</w:t>
      </w:r>
      <w:r w:rsidRPr="00B0346B" w:rsidR="004F4B3E">
        <w:rPr>
          <w:lang w:val="sq-AL"/>
        </w:rPr>
        <w:t>ë</w:t>
      </w:r>
      <w:r w:rsidRPr="00B0346B" w:rsidR="00717412">
        <w:rPr>
          <w:lang w:val="sq-AL"/>
        </w:rPr>
        <w:t xml:space="preserve"> bazë t</w:t>
      </w:r>
      <w:r w:rsidRPr="00B0346B" w:rsidR="004F4B3E">
        <w:rPr>
          <w:lang w:val="sq-AL"/>
        </w:rPr>
        <w:t>ë</w:t>
      </w:r>
      <w:r w:rsidRPr="00B0346B" w:rsidR="00717412">
        <w:rPr>
          <w:lang w:val="sq-AL"/>
        </w:rPr>
        <w:t xml:space="preserve"> nenit </w:t>
      </w:r>
      <w:r w:rsidRPr="00B0346B" w:rsidR="00EB737A">
        <w:rPr>
          <w:lang w:val="sq-AL"/>
        </w:rPr>
        <w:t xml:space="preserve">8 </w:t>
      </w:r>
      <w:r w:rsidRPr="00B0346B" w:rsidR="00717412">
        <w:rPr>
          <w:lang w:val="sq-AL"/>
        </w:rPr>
        <w:t>për të garantuar integrimin e një fëmije n</w:t>
      </w:r>
      <w:r w:rsidRPr="00B0346B" w:rsidR="004F4B3E">
        <w:rPr>
          <w:lang w:val="sq-AL"/>
        </w:rPr>
        <w:t>ë</w:t>
      </w:r>
      <w:r w:rsidRPr="00B0346B" w:rsidR="00717412">
        <w:rPr>
          <w:lang w:val="sq-AL"/>
        </w:rPr>
        <w:t xml:space="preserve"> familjen e vet është rimarrë shpesh</w:t>
      </w:r>
      <w:r w:rsidRPr="00B0346B" w:rsidR="00EB737A">
        <w:rPr>
          <w:lang w:val="sq-AL"/>
        </w:rPr>
        <w:t xml:space="preserve"> (</w:t>
      </w:r>
      <w:r w:rsidRPr="00B0346B" w:rsidR="00717412">
        <w:rPr>
          <w:lang w:val="sq-AL"/>
        </w:rPr>
        <w:t>sidomos n</w:t>
      </w:r>
      <w:r w:rsidRPr="00B0346B" w:rsidR="004F4B3E">
        <w:rPr>
          <w:lang w:val="sq-AL"/>
        </w:rPr>
        <w:t>ë</w:t>
      </w:r>
      <w:r w:rsidRPr="00B0346B" w:rsidR="00717412">
        <w:rPr>
          <w:lang w:val="sq-AL"/>
        </w:rPr>
        <w:t xml:space="preserve"> çështjen </w:t>
      </w:r>
      <w:r w:rsidRPr="00B0346B" w:rsidR="00EB737A">
        <w:rPr>
          <w:i/>
          <w:lang w:val="sq-AL"/>
        </w:rPr>
        <w:t xml:space="preserve">Airey </w:t>
      </w:r>
      <w:r w:rsidRPr="00B0346B" w:rsidR="00717412">
        <w:rPr>
          <w:i/>
          <w:lang w:val="sq-AL"/>
        </w:rPr>
        <w:t>k</w:t>
      </w:r>
      <w:r w:rsidRPr="00B0346B" w:rsidR="00EB737A">
        <w:rPr>
          <w:i/>
          <w:lang w:val="sq-AL"/>
        </w:rPr>
        <w:t>. Irland</w:t>
      </w:r>
      <w:r w:rsidRPr="00B0346B" w:rsidR="00717412">
        <w:rPr>
          <w:i/>
          <w:lang w:val="sq-AL"/>
        </w:rPr>
        <w:t>ës</w:t>
      </w:r>
      <w:r w:rsidRPr="00B0346B" w:rsidR="00EB737A">
        <w:rPr>
          <w:lang w:val="sq-AL"/>
        </w:rPr>
        <w:t xml:space="preserve">, 9 </w:t>
      </w:r>
      <w:r w:rsidRPr="00B0346B" w:rsidR="00717412">
        <w:rPr>
          <w:lang w:val="sq-AL"/>
        </w:rPr>
        <w:t>tetor</w:t>
      </w:r>
      <w:r w:rsidRPr="00B0346B" w:rsidR="00EB737A">
        <w:rPr>
          <w:lang w:val="sq-AL"/>
        </w:rPr>
        <w:t xml:space="preserve"> 1979, § 25, </w:t>
      </w:r>
      <w:r w:rsidRPr="00B0346B" w:rsidR="00D315B4">
        <w:rPr>
          <w:lang w:val="sq-AL"/>
        </w:rPr>
        <w:t xml:space="preserve">seria A nr. </w:t>
      </w:r>
      <w:r w:rsidRPr="00B0346B" w:rsidR="00EB737A">
        <w:rPr>
          <w:lang w:val="sq-AL"/>
        </w:rPr>
        <w:t xml:space="preserve">32). </w:t>
      </w:r>
      <w:r w:rsidRPr="00B0346B" w:rsidR="00717412">
        <w:rPr>
          <w:lang w:val="sq-AL"/>
        </w:rPr>
        <w:t>Nga ana tjetër, një gjë kjo veçanërisht r</w:t>
      </w:r>
      <w:r w:rsidRPr="00B0346B" w:rsidR="004F4B3E">
        <w:rPr>
          <w:lang w:val="sq-AL"/>
        </w:rPr>
        <w:t>ë</w:t>
      </w:r>
      <w:r w:rsidRPr="00B0346B" w:rsidR="00717412">
        <w:rPr>
          <w:lang w:val="sq-AL"/>
        </w:rPr>
        <w:t>nd</w:t>
      </w:r>
      <w:r w:rsidRPr="00B0346B" w:rsidR="004F4B3E">
        <w:rPr>
          <w:lang w:val="sq-AL"/>
        </w:rPr>
        <w:t>ë</w:t>
      </w:r>
      <w:r w:rsidRPr="00B0346B" w:rsidR="00717412">
        <w:rPr>
          <w:lang w:val="sq-AL"/>
        </w:rPr>
        <w:t>sore për çështjen në fjalë,</w:t>
      </w:r>
      <w:r w:rsidRPr="00B0346B" w:rsidR="00967D4C">
        <w:rPr>
          <w:lang w:val="sq-AL"/>
        </w:rPr>
        <w:t xml:space="preserve"> Gjykata ka çmuar n</w:t>
      </w:r>
      <w:r w:rsidRPr="00B0346B" w:rsidR="004F4B3E">
        <w:rPr>
          <w:lang w:val="sq-AL"/>
        </w:rPr>
        <w:t>ë</w:t>
      </w:r>
      <w:r w:rsidRPr="00B0346B" w:rsidR="00967D4C">
        <w:rPr>
          <w:lang w:val="sq-AL"/>
        </w:rPr>
        <w:t xml:space="preserve"> vendimin e saj pilot </w:t>
      </w:r>
      <w:r w:rsidRPr="00B0346B" w:rsidR="00967D4C">
        <w:rPr>
          <w:i/>
          <w:lang w:val="sq-AL"/>
        </w:rPr>
        <w:t>X e</w:t>
      </w:r>
      <w:r w:rsidRPr="00B0346B" w:rsidR="00EB737A">
        <w:rPr>
          <w:i/>
          <w:lang w:val="sq-AL"/>
        </w:rPr>
        <w:t xml:space="preserve"> Y </w:t>
      </w:r>
      <w:r w:rsidRPr="00B0346B" w:rsidR="00967D4C">
        <w:rPr>
          <w:i/>
          <w:lang w:val="sq-AL"/>
        </w:rPr>
        <w:t>k</w:t>
      </w:r>
      <w:r w:rsidRPr="00B0346B" w:rsidR="00EB737A">
        <w:rPr>
          <w:i/>
          <w:lang w:val="sq-AL"/>
        </w:rPr>
        <w:t xml:space="preserve">. </w:t>
      </w:r>
      <w:r w:rsidRPr="00B0346B" w:rsidR="00967D4C">
        <w:rPr>
          <w:i/>
          <w:lang w:val="sq-AL"/>
        </w:rPr>
        <w:t>Vendeve të Ulëta</w:t>
      </w:r>
      <w:r w:rsidRPr="00B0346B" w:rsidR="00EB737A">
        <w:rPr>
          <w:lang w:val="sq-AL"/>
        </w:rPr>
        <w:t xml:space="preserve"> (</w:t>
      </w:r>
      <w:r w:rsidRPr="00B0346B" w:rsidR="00967D4C">
        <w:rPr>
          <w:lang w:val="sq-AL"/>
        </w:rPr>
        <w:t>të</w:t>
      </w:r>
      <w:r w:rsidRPr="00B0346B" w:rsidR="00E90FE3">
        <w:rPr>
          <w:lang w:val="sq-AL"/>
        </w:rPr>
        <w:t xml:space="preserve"> cituar më lart</w:t>
      </w:r>
      <w:r w:rsidRPr="00B0346B" w:rsidR="00EB737A">
        <w:rPr>
          <w:lang w:val="sq-AL"/>
        </w:rPr>
        <w:t xml:space="preserve">), </w:t>
      </w:r>
      <w:r w:rsidRPr="00B0346B" w:rsidR="00967D4C">
        <w:rPr>
          <w:lang w:val="sq-AL"/>
        </w:rPr>
        <w:t>se mungesa e legjislacionit penal për nd</w:t>
      </w:r>
      <w:r w:rsidRPr="00B0346B" w:rsidR="004F4B3E">
        <w:rPr>
          <w:lang w:val="sq-AL"/>
        </w:rPr>
        <w:t>ë</w:t>
      </w:r>
      <w:r w:rsidRPr="00B0346B" w:rsidR="00967D4C">
        <w:rPr>
          <w:lang w:val="sq-AL"/>
        </w:rPr>
        <w:t xml:space="preserve">shkimin e </w:t>
      </w:r>
      <w:r w:rsidRPr="00B0346B" w:rsidR="008870FE">
        <w:rPr>
          <w:lang w:val="sq-AL"/>
        </w:rPr>
        <w:t>ngacm</w:t>
      </w:r>
      <w:r w:rsidRPr="00B0346B" w:rsidR="00967D4C">
        <w:rPr>
          <w:lang w:val="sq-AL"/>
        </w:rPr>
        <w:t>imeve seksuale t</w:t>
      </w:r>
      <w:r w:rsidRPr="00B0346B" w:rsidR="004F4B3E">
        <w:rPr>
          <w:lang w:val="sq-AL"/>
        </w:rPr>
        <w:t>ë</w:t>
      </w:r>
      <w:r w:rsidRPr="00B0346B" w:rsidR="00967D4C">
        <w:rPr>
          <w:lang w:val="sq-AL"/>
        </w:rPr>
        <w:t xml:space="preserve"> b</w:t>
      </w:r>
      <w:r w:rsidRPr="00B0346B" w:rsidR="004F4B3E">
        <w:rPr>
          <w:lang w:val="sq-AL"/>
        </w:rPr>
        <w:t>ë</w:t>
      </w:r>
      <w:r w:rsidRPr="00B0346B" w:rsidR="00967D4C">
        <w:rPr>
          <w:lang w:val="sq-AL"/>
        </w:rPr>
        <w:t>ra ndaj nj</w:t>
      </w:r>
      <w:r w:rsidRPr="00B0346B" w:rsidR="004F4B3E">
        <w:rPr>
          <w:lang w:val="sq-AL"/>
        </w:rPr>
        <w:t>ë</w:t>
      </w:r>
      <w:r w:rsidRPr="00B0346B" w:rsidR="00967D4C">
        <w:rPr>
          <w:lang w:val="sq-AL"/>
        </w:rPr>
        <w:t xml:space="preserve"> adoleshenteje </w:t>
      </w:r>
      <w:r w:rsidRPr="00B0346B" w:rsidR="008870FE">
        <w:rPr>
          <w:lang w:val="sq-AL"/>
        </w:rPr>
        <w:t>me t</w:t>
      </w:r>
      <w:r w:rsidRPr="00B0346B" w:rsidR="004F4B3E">
        <w:rPr>
          <w:lang w:val="sq-AL"/>
        </w:rPr>
        <w:t>ë</w:t>
      </w:r>
      <w:r w:rsidRPr="00B0346B" w:rsidR="008870FE">
        <w:rPr>
          <w:lang w:val="sq-AL"/>
        </w:rPr>
        <w:t xml:space="preserve"> meta mendore e përligjte nxjerrjen e përfundimit se shteti nuk e kishte respektuar detyrimin pozitiv për t</w:t>
      </w:r>
      <w:r w:rsidRPr="00B0346B" w:rsidR="004F4B3E">
        <w:rPr>
          <w:lang w:val="sq-AL"/>
        </w:rPr>
        <w:t>ë</w:t>
      </w:r>
      <w:r w:rsidRPr="00B0346B" w:rsidR="008870FE">
        <w:rPr>
          <w:lang w:val="sq-AL"/>
        </w:rPr>
        <w:t xml:space="preserve"> mbrojtur t</w:t>
      </w:r>
      <w:r w:rsidRPr="00B0346B" w:rsidR="004F4B3E">
        <w:rPr>
          <w:lang w:val="sq-AL"/>
        </w:rPr>
        <w:t>ë</w:t>
      </w:r>
      <w:r w:rsidRPr="00B0346B" w:rsidR="008870FE">
        <w:rPr>
          <w:lang w:val="sq-AL"/>
        </w:rPr>
        <w:t xml:space="preserve"> drejtat e viktim</w:t>
      </w:r>
      <w:r w:rsidRPr="00B0346B" w:rsidR="004F4B3E">
        <w:rPr>
          <w:lang w:val="sq-AL"/>
        </w:rPr>
        <w:t>ë</w:t>
      </w:r>
      <w:r w:rsidRPr="00B0346B" w:rsidR="008870FE">
        <w:rPr>
          <w:lang w:val="sq-AL"/>
        </w:rPr>
        <w:t>s q</w:t>
      </w:r>
      <w:r w:rsidRPr="00B0346B" w:rsidR="004F4B3E">
        <w:rPr>
          <w:lang w:val="sq-AL"/>
        </w:rPr>
        <w:t>ë</w:t>
      </w:r>
      <w:r w:rsidRPr="00B0346B" w:rsidR="008870FE">
        <w:rPr>
          <w:lang w:val="sq-AL"/>
        </w:rPr>
        <w:t xml:space="preserve"> rrjedhin nga neni </w:t>
      </w:r>
      <w:r w:rsidRPr="00B0346B" w:rsidR="00EB737A">
        <w:rPr>
          <w:lang w:val="sq-AL"/>
        </w:rPr>
        <w:t xml:space="preserve">8. </w:t>
      </w:r>
      <w:r w:rsidRPr="00B0346B" w:rsidR="008870FE">
        <w:rPr>
          <w:lang w:val="sq-AL"/>
        </w:rPr>
        <w:t>Për të dal</w:t>
      </w:r>
      <w:r w:rsidRPr="00B0346B" w:rsidR="004F4B3E">
        <w:rPr>
          <w:lang w:val="sq-AL"/>
        </w:rPr>
        <w:t>ë</w:t>
      </w:r>
      <w:r w:rsidRPr="00B0346B" w:rsidR="008870FE">
        <w:rPr>
          <w:lang w:val="sq-AL"/>
        </w:rPr>
        <w:t xml:space="preserve"> n</w:t>
      </w:r>
      <w:r w:rsidRPr="00B0346B" w:rsidR="004F4B3E">
        <w:rPr>
          <w:lang w:val="sq-AL"/>
        </w:rPr>
        <w:t>ë</w:t>
      </w:r>
      <w:r w:rsidRPr="00B0346B" w:rsidR="008870FE">
        <w:rPr>
          <w:lang w:val="sq-AL"/>
        </w:rPr>
        <w:t xml:space="preserve"> k</w:t>
      </w:r>
      <w:r w:rsidRPr="00B0346B" w:rsidR="004F4B3E">
        <w:rPr>
          <w:lang w:val="sq-AL"/>
        </w:rPr>
        <w:t>ë</w:t>
      </w:r>
      <w:r w:rsidRPr="00B0346B" w:rsidR="008870FE">
        <w:rPr>
          <w:lang w:val="sq-AL"/>
        </w:rPr>
        <w:t>të përfundim, Gjykata e ka hedhur poshtë argumentin e Qeverisë lidhur me karakterin “e jasht</w:t>
      </w:r>
      <w:r w:rsidRPr="00B0346B" w:rsidR="004F4B3E">
        <w:rPr>
          <w:lang w:val="sq-AL"/>
        </w:rPr>
        <w:t>ë</w:t>
      </w:r>
      <w:r w:rsidRPr="00B0346B" w:rsidR="008870FE">
        <w:rPr>
          <w:lang w:val="sq-AL"/>
        </w:rPr>
        <w:t>zakonsh</w:t>
      </w:r>
      <w:r w:rsidRPr="00B0346B" w:rsidR="004F4B3E">
        <w:rPr>
          <w:lang w:val="sq-AL"/>
        </w:rPr>
        <w:t>ë</w:t>
      </w:r>
      <w:r w:rsidRPr="00B0346B" w:rsidR="008870FE">
        <w:rPr>
          <w:lang w:val="sq-AL"/>
        </w:rPr>
        <w:t>m” t</w:t>
      </w:r>
      <w:r w:rsidRPr="00B0346B" w:rsidR="004F4B3E">
        <w:rPr>
          <w:lang w:val="sq-AL"/>
        </w:rPr>
        <w:t>ë</w:t>
      </w:r>
      <w:r w:rsidRPr="00B0346B" w:rsidR="008870FE">
        <w:rPr>
          <w:lang w:val="sq-AL"/>
        </w:rPr>
        <w:t xml:space="preserve"> ngjarjeve t</w:t>
      </w:r>
      <w:r w:rsidRPr="00B0346B" w:rsidR="004F4B3E">
        <w:rPr>
          <w:lang w:val="sq-AL"/>
        </w:rPr>
        <w:t>ë</w:t>
      </w:r>
      <w:r w:rsidRPr="00B0346B" w:rsidR="008870FE">
        <w:rPr>
          <w:lang w:val="sq-AL"/>
        </w:rPr>
        <w:t xml:space="preserve"> asaj çështjeje dhe me paparashikueshmërinë e mangësisë legjislative q</w:t>
      </w:r>
      <w:r w:rsidRPr="00B0346B" w:rsidR="004F4B3E">
        <w:rPr>
          <w:lang w:val="sq-AL"/>
        </w:rPr>
        <w:t>ë</w:t>
      </w:r>
      <w:r w:rsidRPr="00B0346B" w:rsidR="008870FE">
        <w:rPr>
          <w:lang w:val="sq-AL"/>
        </w:rPr>
        <w:t xml:space="preserve"> ato kishin nxjerr</w:t>
      </w:r>
      <w:r w:rsidRPr="00B0346B" w:rsidR="004F4B3E">
        <w:rPr>
          <w:lang w:val="sq-AL"/>
        </w:rPr>
        <w:t>ë</w:t>
      </w:r>
      <w:r w:rsidRPr="00B0346B" w:rsidR="008870FE">
        <w:rPr>
          <w:lang w:val="sq-AL"/>
        </w:rPr>
        <w:t xml:space="preserve"> n</w:t>
      </w:r>
      <w:r w:rsidRPr="00B0346B" w:rsidR="004F4B3E">
        <w:rPr>
          <w:lang w:val="sq-AL"/>
        </w:rPr>
        <w:t>ë</w:t>
      </w:r>
      <w:r w:rsidRPr="00B0346B" w:rsidR="008870FE">
        <w:rPr>
          <w:lang w:val="sq-AL"/>
        </w:rPr>
        <w:t xml:space="preserve"> pah, duke çmuar se shteti i paditur ishte dashur të ishte i vetëdijshëm për rrezikun e abuzimeve seksuale që mund t</w:t>
      </w:r>
      <w:r w:rsidRPr="00B0346B" w:rsidR="004F4B3E">
        <w:rPr>
          <w:lang w:val="sq-AL"/>
        </w:rPr>
        <w:t>ë</w:t>
      </w:r>
      <w:r w:rsidRPr="00B0346B" w:rsidR="008870FE">
        <w:rPr>
          <w:lang w:val="sq-AL"/>
        </w:rPr>
        <w:t xml:space="preserve"> kishte për adoleshentet me t</w:t>
      </w:r>
      <w:r w:rsidRPr="00B0346B" w:rsidR="004F4B3E">
        <w:rPr>
          <w:lang w:val="sq-AL"/>
        </w:rPr>
        <w:t>ë</w:t>
      </w:r>
      <w:r w:rsidRPr="00B0346B" w:rsidR="008870FE">
        <w:rPr>
          <w:lang w:val="sq-AL"/>
        </w:rPr>
        <w:t xml:space="preserve"> meta mendore n</w:t>
      </w:r>
      <w:r w:rsidRPr="00B0346B" w:rsidR="004F4B3E">
        <w:rPr>
          <w:lang w:val="sq-AL"/>
        </w:rPr>
        <w:t>ë</w:t>
      </w:r>
      <w:r w:rsidRPr="00B0346B" w:rsidR="008870FE">
        <w:rPr>
          <w:lang w:val="sq-AL"/>
        </w:rPr>
        <w:t xml:space="preserve"> </w:t>
      </w:r>
      <w:r w:rsidRPr="00B0346B" w:rsidR="00153EB0">
        <w:rPr>
          <w:lang w:val="sq-AL"/>
        </w:rPr>
        <w:t>streh</w:t>
      </w:r>
      <w:r w:rsidRPr="00B0346B" w:rsidR="004F4B3E">
        <w:rPr>
          <w:lang w:val="sq-AL"/>
        </w:rPr>
        <w:t>ë</w:t>
      </w:r>
      <w:r w:rsidRPr="00B0346B" w:rsidR="00153EB0">
        <w:rPr>
          <w:lang w:val="sq-AL"/>
        </w:rPr>
        <w:t>t private për f</w:t>
      </w:r>
      <w:r w:rsidRPr="00B0346B" w:rsidR="004F4B3E">
        <w:rPr>
          <w:lang w:val="sq-AL"/>
        </w:rPr>
        <w:t>ë</w:t>
      </w:r>
      <w:r w:rsidRPr="00B0346B" w:rsidR="00153EB0">
        <w:rPr>
          <w:lang w:val="sq-AL"/>
        </w:rPr>
        <w:t>mij</w:t>
      </w:r>
      <w:r w:rsidRPr="00B0346B" w:rsidR="004F4B3E">
        <w:rPr>
          <w:lang w:val="sq-AL"/>
        </w:rPr>
        <w:t>ë</w:t>
      </w:r>
      <w:r w:rsidRPr="00B0346B" w:rsidR="00153EB0">
        <w:rPr>
          <w:lang w:val="sq-AL"/>
        </w:rPr>
        <w:t xml:space="preserve"> e se ai ishte dashur t</w:t>
      </w:r>
      <w:r w:rsidRPr="00B0346B" w:rsidR="004F4B3E">
        <w:rPr>
          <w:lang w:val="sq-AL"/>
        </w:rPr>
        <w:t>ë</w:t>
      </w:r>
      <w:r w:rsidRPr="00B0346B" w:rsidR="00153EB0">
        <w:rPr>
          <w:lang w:val="sq-AL"/>
        </w:rPr>
        <w:t xml:space="preserve"> b</w:t>
      </w:r>
      <w:r w:rsidRPr="00B0346B" w:rsidR="004F4B3E">
        <w:rPr>
          <w:lang w:val="sq-AL"/>
        </w:rPr>
        <w:t>ë</w:t>
      </w:r>
      <w:r w:rsidRPr="00B0346B" w:rsidR="00153EB0">
        <w:rPr>
          <w:lang w:val="sq-AL"/>
        </w:rPr>
        <w:t>nte ligje për të mos lejuar që të ndodhte nj</w:t>
      </w:r>
      <w:r w:rsidRPr="00B0346B" w:rsidR="004F4B3E">
        <w:rPr>
          <w:lang w:val="sq-AL"/>
        </w:rPr>
        <w:t>ë</w:t>
      </w:r>
      <w:r w:rsidRPr="00B0346B" w:rsidR="00153EB0">
        <w:rPr>
          <w:lang w:val="sq-AL"/>
        </w:rPr>
        <w:t xml:space="preserve"> gj</w:t>
      </w:r>
      <w:r w:rsidRPr="00B0346B" w:rsidR="004F4B3E">
        <w:rPr>
          <w:lang w:val="sq-AL"/>
        </w:rPr>
        <w:t>ë</w:t>
      </w:r>
      <w:r w:rsidRPr="00B0346B" w:rsidR="00153EB0">
        <w:rPr>
          <w:lang w:val="sq-AL"/>
        </w:rPr>
        <w:t xml:space="preserve"> e till</w:t>
      </w:r>
      <w:r w:rsidRPr="00B0346B" w:rsidR="004F4B3E">
        <w:rPr>
          <w:lang w:val="sq-AL"/>
        </w:rPr>
        <w:t>ë</w:t>
      </w:r>
      <w:r w:rsidRPr="00B0346B" w:rsidR="00153EB0">
        <w:rPr>
          <w:lang w:val="sq-AL"/>
        </w:rPr>
        <w:t>. Këto ç</w:t>
      </w:r>
      <w:r w:rsidRPr="00B0346B" w:rsidR="004F4B3E">
        <w:rPr>
          <w:lang w:val="sq-AL"/>
        </w:rPr>
        <w:t>ë</w:t>
      </w:r>
      <w:r w:rsidRPr="00B0346B" w:rsidR="00153EB0">
        <w:rPr>
          <w:lang w:val="sq-AL"/>
        </w:rPr>
        <w:t>shtje kishin t</w:t>
      </w:r>
      <w:r w:rsidRPr="00B0346B" w:rsidR="004F4B3E">
        <w:rPr>
          <w:lang w:val="sq-AL"/>
        </w:rPr>
        <w:t>ë</w:t>
      </w:r>
      <w:r w:rsidRPr="00B0346B" w:rsidR="00153EB0">
        <w:rPr>
          <w:lang w:val="sq-AL"/>
        </w:rPr>
        <w:t xml:space="preserve"> b</w:t>
      </w:r>
      <w:r w:rsidRPr="00B0346B" w:rsidR="004F4B3E">
        <w:rPr>
          <w:lang w:val="sq-AL"/>
        </w:rPr>
        <w:t>ë</w:t>
      </w:r>
      <w:r w:rsidRPr="00B0346B" w:rsidR="00153EB0">
        <w:rPr>
          <w:lang w:val="sq-AL"/>
        </w:rPr>
        <w:t>nin me ngjarje t</w:t>
      </w:r>
      <w:r w:rsidRPr="00B0346B" w:rsidR="004F4B3E">
        <w:rPr>
          <w:lang w:val="sq-AL"/>
        </w:rPr>
        <w:t>ë</w:t>
      </w:r>
      <w:r w:rsidRPr="00B0346B" w:rsidR="00153EB0">
        <w:rPr>
          <w:lang w:val="sq-AL"/>
        </w:rPr>
        <w:t xml:space="preserve"> ndodhura m</w:t>
      </w:r>
      <w:r w:rsidRPr="00B0346B" w:rsidR="004F4B3E">
        <w:rPr>
          <w:lang w:val="sq-AL"/>
        </w:rPr>
        <w:t>ë</w:t>
      </w:r>
      <w:r w:rsidRPr="00B0346B" w:rsidR="00153EB0">
        <w:rPr>
          <w:lang w:val="sq-AL"/>
        </w:rPr>
        <w:t xml:space="preserve"> par</w:t>
      </w:r>
      <w:r w:rsidRPr="00B0346B" w:rsidR="004F4B3E">
        <w:rPr>
          <w:lang w:val="sq-AL"/>
        </w:rPr>
        <w:t>ë</w:t>
      </w:r>
      <w:r w:rsidRPr="00B0346B" w:rsidR="00153EB0">
        <w:rPr>
          <w:lang w:val="sq-AL"/>
        </w:rPr>
        <w:t xml:space="preserve"> ose n</w:t>
      </w:r>
      <w:r w:rsidRPr="00B0346B" w:rsidR="004F4B3E">
        <w:rPr>
          <w:lang w:val="sq-AL"/>
        </w:rPr>
        <w:t>ë</w:t>
      </w:r>
      <w:r w:rsidRPr="00B0346B" w:rsidR="00153EB0">
        <w:rPr>
          <w:lang w:val="sq-AL"/>
        </w:rPr>
        <w:t xml:space="preserve"> të njëjtën koh</w:t>
      </w:r>
      <w:r w:rsidRPr="00B0346B" w:rsidR="004F4B3E">
        <w:rPr>
          <w:lang w:val="sq-AL"/>
        </w:rPr>
        <w:t>ë</w:t>
      </w:r>
      <w:r w:rsidRPr="00B0346B" w:rsidR="00153EB0">
        <w:rPr>
          <w:lang w:val="sq-AL"/>
        </w:rPr>
        <w:t xml:space="preserve"> me ato të kësaj padie</w:t>
      </w:r>
      <w:r w:rsidRPr="00B0346B" w:rsidR="00EB737A">
        <w:rPr>
          <w:lang w:val="sq-AL"/>
        </w:rPr>
        <w:t>.</w:t>
      </w:r>
    </w:p>
    <w:p w:rsidRPr="00BF0DA7" w:rsidR="00EB737A" w:rsidP="00EB737A" w:rsidRDefault="00153EB0">
      <w:pPr>
        <w:pStyle w:val="ECHRPara"/>
        <w:rPr>
          <w:i/>
          <w:lang w:val="sq-AL"/>
        </w:rPr>
      </w:pPr>
      <w:r w:rsidRPr="00BF0DA7">
        <w:rPr>
          <w:lang w:val="sq-AL"/>
        </w:rPr>
        <w:t>Sigurisht, Gjykata i ka përcaktuar me saktësi q</w:t>
      </w:r>
      <w:r w:rsidRPr="00BF0DA7" w:rsidR="004F4B3E">
        <w:rPr>
          <w:lang w:val="sq-AL"/>
        </w:rPr>
        <w:t>ë</w:t>
      </w:r>
      <w:r w:rsidRPr="00BF0DA7">
        <w:rPr>
          <w:lang w:val="sq-AL"/>
        </w:rPr>
        <w:t xml:space="preserve"> nga ajo kohë edhe rrezen e veprimit, edhe natyr</w:t>
      </w:r>
      <w:r w:rsidRPr="00BF0DA7" w:rsidR="004F4B3E">
        <w:rPr>
          <w:lang w:val="sq-AL"/>
        </w:rPr>
        <w:t>ë</w:t>
      </w:r>
      <w:r w:rsidRPr="00BF0DA7">
        <w:rPr>
          <w:lang w:val="sq-AL"/>
        </w:rPr>
        <w:t>n e detyrimeve pozitive të shtetit. Megjithatë</w:t>
      </w:r>
      <w:r w:rsidRPr="00BF0DA7" w:rsidR="004F4B3E">
        <w:rPr>
          <w:lang w:val="sq-AL"/>
        </w:rPr>
        <w:t xml:space="preserve">, në çdo rast fjala për të ka qenë thjesht që të qartësonte jurisprudencën e saj, e cila mbetet e zbatueshme për ngjarjet e mëparshme por pa ngritur kurrfarë pikëpyetjeje prapaveprimi </w:t>
      </w:r>
      <w:r w:rsidRPr="00BF0DA7" w:rsidR="00EB737A">
        <w:rPr>
          <w:lang w:val="sq-AL"/>
        </w:rPr>
        <w:t>(</w:t>
      </w:r>
      <w:r w:rsidRPr="00BF0DA7" w:rsidR="00EB737A">
        <w:rPr>
          <w:i/>
          <w:lang w:val="sq-AL"/>
        </w:rPr>
        <w:t xml:space="preserve">Varnava </w:t>
      </w:r>
      <w:r w:rsidRPr="00BF0DA7" w:rsidR="00E90FE3">
        <w:rPr>
          <w:i/>
          <w:lang w:val="sq-AL"/>
        </w:rPr>
        <w:t>me të tjerë k</w:t>
      </w:r>
      <w:r w:rsidRPr="00BF0DA7" w:rsidR="00EB737A">
        <w:rPr>
          <w:i/>
          <w:lang w:val="sq-AL"/>
        </w:rPr>
        <w:t>. Turq</w:t>
      </w:r>
      <w:r w:rsidRPr="00BF0DA7" w:rsidR="004F4B3E">
        <w:rPr>
          <w:i/>
          <w:lang w:val="sq-AL"/>
        </w:rPr>
        <w:t>isë</w:t>
      </w:r>
      <w:r w:rsidRPr="00BF0DA7" w:rsidR="00EB737A">
        <w:rPr>
          <w:lang w:val="sq-AL"/>
        </w:rPr>
        <w:t xml:space="preserve"> [</w:t>
      </w:r>
      <w:r w:rsidRPr="00BF0DA7" w:rsidR="004F4B3E">
        <w:rPr>
          <w:lang w:val="sq-AL"/>
        </w:rPr>
        <w:t>DhM</w:t>
      </w:r>
      <w:r w:rsidRPr="00BF0DA7" w:rsidR="00EB737A">
        <w:rPr>
          <w:lang w:val="sq-AL"/>
        </w:rPr>
        <w:t xml:space="preserve">], </w:t>
      </w:r>
      <w:r w:rsidRPr="00BF0DA7" w:rsidR="001E408E">
        <w:rPr>
          <w:lang w:val="sq-AL"/>
        </w:rPr>
        <w:t>nr.</w:t>
      </w:r>
      <w:r w:rsidRPr="00BF0DA7" w:rsidR="00EB737A">
        <w:rPr>
          <w:lang w:val="sq-AL"/>
        </w:rPr>
        <w:t xml:space="preserve"> 16064/90, 16065/90, 16066/90, 16068/90, 16069/90, 16070/90, 16071/90, 16072/90 </w:t>
      </w:r>
      <w:r w:rsidRPr="00BF0DA7" w:rsidR="001E408E">
        <w:rPr>
          <w:lang w:val="sq-AL"/>
        </w:rPr>
        <w:t>dhe</w:t>
      </w:r>
      <w:r w:rsidRPr="00BF0DA7" w:rsidR="00EB737A">
        <w:rPr>
          <w:lang w:val="sq-AL"/>
        </w:rPr>
        <w:t xml:space="preserve"> 16073/90, § 140, </w:t>
      </w:r>
      <w:r w:rsidRPr="00BF0DA7" w:rsidR="00E90FE3">
        <w:rPr>
          <w:lang w:val="sq-AL"/>
        </w:rPr>
        <w:t>GjEDNj</w:t>
      </w:r>
      <w:r w:rsidRPr="00BF0DA7" w:rsidR="00EB737A">
        <w:rPr>
          <w:lang w:val="sq-AL"/>
        </w:rPr>
        <w:t xml:space="preserve"> 2009).</w:t>
      </w:r>
    </w:p>
    <w:p w:rsidRPr="00BF0DA7" w:rsidR="00EB737A" w:rsidP="00EB737A" w:rsidRDefault="00EB737A">
      <w:pPr>
        <w:pStyle w:val="ECHRPara"/>
        <w:rPr>
          <w:i/>
          <w:lang w:val="sq-AL"/>
        </w:rPr>
      </w:pPr>
      <w:r w:rsidRPr="00BF0DA7">
        <w:rPr>
          <w:lang w:val="sq-AL"/>
        </w:rPr>
        <w:fldChar w:fldCharType="begin"/>
      </w:r>
      <w:r w:rsidRPr="00BF0DA7">
        <w:rPr>
          <w:lang w:val="sq-AL"/>
        </w:rPr>
        <w:instrText xml:space="preserve"> SEQ level0 \*arabic </w:instrText>
      </w:r>
      <w:r w:rsidRPr="00BF0DA7">
        <w:rPr>
          <w:lang w:val="sq-AL"/>
        </w:rPr>
        <w:fldChar w:fldCharType="separate"/>
      </w:r>
      <w:r w:rsidR="00013F9B">
        <w:rPr>
          <w:noProof/>
          <w:lang w:val="sq-AL"/>
        </w:rPr>
        <w:t>148</w:t>
      </w:r>
      <w:r w:rsidRPr="00BF0DA7">
        <w:rPr>
          <w:lang w:val="sq-AL"/>
        </w:rPr>
        <w:fldChar w:fldCharType="end"/>
      </w:r>
      <w:r w:rsidRPr="00BF0DA7">
        <w:rPr>
          <w:lang w:val="sq-AL"/>
        </w:rPr>
        <w:t>.  </w:t>
      </w:r>
      <w:r w:rsidRPr="00BF0DA7" w:rsidR="004F4B3E">
        <w:rPr>
          <w:lang w:val="sq-AL"/>
        </w:rPr>
        <w:t>Për sa i përket përmbajtjes së detyrimit pozitiv për mbrojtje, Gjykata rikujton se parandalimi i veprimeve të rënda, t</w:t>
      </w:r>
      <w:r w:rsidRPr="00BF0DA7" w:rsidR="00B0346B">
        <w:rPr>
          <w:lang w:val="sq-AL"/>
        </w:rPr>
        <w:t>ë</w:t>
      </w:r>
      <w:r w:rsidRPr="00BF0DA7" w:rsidR="004F4B3E">
        <w:rPr>
          <w:lang w:val="sq-AL"/>
        </w:rPr>
        <w:t xml:space="preserve"> tilla si këto në çështjen në fjalë,</w:t>
      </w:r>
      <w:r w:rsidR="00943091">
        <w:rPr>
          <w:lang w:val="sq-AL"/>
        </w:rPr>
        <w:t xml:space="preserve"> </w:t>
      </w:r>
      <w:r w:rsidRPr="00BF0DA7" w:rsidR="00080A89">
        <w:rPr>
          <w:lang w:val="sq-AL"/>
        </w:rPr>
        <w:t>b</w:t>
      </w:r>
      <w:r w:rsidRPr="00BF0DA7" w:rsidR="00B0346B">
        <w:rPr>
          <w:lang w:val="sq-AL"/>
        </w:rPr>
        <w:t>ë</w:t>
      </w:r>
      <w:r w:rsidRPr="00BF0DA7" w:rsidR="00080A89">
        <w:rPr>
          <w:lang w:val="sq-AL"/>
        </w:rPr>
        <w:t>het medoemos përmes vendosjes s</w:t>
      </w:r>
      <w:r w:rsidRPr="00BF0DA7" w:rsidR="00B0346B">
        <w:rPr>
          <w:lang w:val="sq-AL"/>
        </w:rPr>
        <w:t>ë</w:t>
      </w:r>
      <w:r w:rsidRPr="00BF0DA7" w:rsidR="00080A89">
        <w:rPr>
          <w:lang w:val="sq-AL"/>
        </w:rPr>
        <w:t xml:space="preserve"> nj</w:t>
      </w:r>
      <w:r w:rsidRPr="00BF0DA7" w:rsidR="00B0346B">
        <w:rPr>
          <w:lang w:val="sq-AL"/>
        </w:rPr>
        <w:t>ë</w:t>
      </w:r>
      <w:r w:rsidRPr="00BF0DA7" w:rsidR="00080A89">
        <w:rPr>
          <w:lang w:val="sq-AL"/>
        </w:rPr>
        <w:t xml:space="preserve"> legjislacioni penal efikas t</w:t>
      </w:r>
      <w:r w:rsidRPr="00BF0DA7" w:rsidR="00B0346B">
        <w:rPr>
          <w:lang w:val="sq-AL"/>
        </w:rPr>
        <w:t>ë</w:t>
      </w:r>
      <w:r w:rsidRPr="00BF0DA7" w:rsidR="00080A89">
        <w:rPr>
          <w:lang w:val="sq-AL"/>
        </w:rPr>
        <w:t xml:space="preserve"> mb</w:t>
      </w:r>
      <w:r w:rsidRPr="00BF0DA7" w:rsidR="00B0346B">
        <w:rPr>
          <w:lang w:val="sq-AL"/>
        </w:rPr>
        <w:t>ë</w:t>
      </w:r>
      <w:r w:rsidRPr="00BF0DA7" w:rsidR="00080A89">
        <w:rPr>
          <w:lang w:val="sq-AL"/>
        </w:rPr>
        <w:t>shtetur n</w:t>
      </w:r>
      <w:r w:rsidRPr="00BF0DA7" w:rsidR="00B0346B">
        <w:rPr>
          <w:lang w:val="sq-AL"/>
        </w:rPr>
        <w:t>ë</w:t>
      </w:r>
      <w:r w:rsidRPr="00BF0DA7" w:rsidR="00080A89">
        <w:rPr>
          <w:lang w:val="sq-AL"/>
        </w:rPr>
        <w:t xml:space="preserve"> nj</w:t>
      </w:r>
      <w:r w:rsidRPr="00BF0DA7" w:rsidR="00B0346B">
        <w:rPr>
          <w:lang w:val="sq-AL"/>
        </w:rPr>
        <w:t>ë</w:t>
      </w:r>
      <w:r w:rsidRPr="00BF0DA7" w:rsidR="00080A89">
        <w:rPr>
          <w:lang w:val="sq-AL"/>
        </w:rPr>
        <w:t xml:space="preserve"> mekanizëm të tillë që e siguron respektimin e tij </w:t>
      </w:r>
      <w:r w:rsidRPr="00BF0DA7">
        <w:rPr>
          <w:lang w:val="sq-AL"/>
        </w:rPr>
        <w:t>(</w:t>
      </w:r>
      <w:r w:rsidRPr="00BF0DA7" w:rsidR="00080A89">
        <w:rPr>
          <w:i/>
          <w:lang w:val="sq-AL"/>
        </w:rPr>
        <w:t>X e</w:t>
      </w:r>
      <w:r w:rsidRPr="00BF0DA7">
        <w:rPr>
          <w:i/>
          <w:lang w:val="sq-AL"/>
        </w:rPr>
        <w:t xml:space="preserve"> Y </w:t>
      </w:r>
      <w:r w:rsidRPr="00BF0DA7" w:rsidR="00080A89">
        <w:rPr>
          <w:i/>
          <w:lang w:val="sq-AL"/>
        </w:rPr>
        <w:t>k</w:t>
      </w:r>
      <w:r w:rsidRPr="00BF0DA7">
        <w:rPr>
          <w:i/>
          <w:lang w:val="sq-AL"/>
        </w:rPr>
        <w:t xml:space="preserve">. </w:t>
      </w:r>
      <w:r w:rsidRPr="00BF0DA7" w:rsidR="00080A89">
        <w:rPr>
          <w:i/>
          <w:lang w:val="sq-AL"/>
        </w:rPr>
        <w:t>Vendeve të Ulëta</w:t>
      </w:r>
      <w:r w:rsidRPr="00BF0DA7">
        <w:rPr>
          <w:lang w:val="sq-AL"/>
        </w:rPr>
        <w:t xml:space="preserve">, </w:t>
      </w:r>
      <w:r w:rsidRPr="00BF0DA7" w:rsidR="00E90FE3">
        <w:rPr>
          <w:lang w:val="sq-AL"/>
        </w:rPr>
        <w:t>i cituar më lart</w:t>
      </w:r>
      <w:r w:rsidRPr="00BF0DA7" w:rsidR="00080A89">
        <w:rPr>
          <w:lang w:val="sq-AL"/>
        </w:rPr>
        <w:t>, § 27</w:t>
      </w:r>
      <w:r w:rsidRPr="00BF0DA7">
        <w:rPr>
          <w:lang w:val="sq-AL"/>
        </w:rPr>
        <w:t xml:space="preserve">; </w:t>
      </w:r>
      <w:r w:rsidRPr="00BF0DA7" w:rsidR="00080A89">
        <w:rPr>
          <w:lang w:val="sq-AL"/>
        </w:rPr>
        <w:t>shih gjithashtu</w:t>
      </w:r>
      <w:r w:rsidRPr="00BF0DA7">
        <w:rPr>
          <w:lang w:val="sq-AL"/>
        </w:rPr>
        <w:t>, p</w:t>
      </w:r>
      <w:r w:rsidRPr="00BF0DA7" w:rsidR="00080A89">
        <w:rPr>
          <w:lang w:val="sq-AL"/>
        </w:rPr>
        <w:t>ë</w:t>
      </w:r>
      <w:r w:rsidRPr="00BF0DA7">
        <w:rPr>
          <w:lang w:val="sq-AL"/>
        </w:rPr>
        <w:t xml:space="preserve">r </w:t>
      </w:r>
      <w:r w:rsidRPr="00BF0DA7" w:rsidR="00080A89">
        <w:rPr>
          <w:lang w:val="sq-AL"/>
        </w:rPr>
        <w:t>shembull</w:t>
      </w:r>
      <w:r w:rsidRPr="00BF0DA7">
        <w:rPr>
          <w:lang w:val="sq-AL"/>
        </w:rPr>
        <w:t>,</w:t>
      </w:r>
      <w:r w:rsidRPr="00BF0DA7">
        <w:rPr>
          <w:i/>
          <w:lang w:val="sq-AL"/>
        </w:rPr>
        <w:t xml:space="preserve"> Beganović </w:t>
      </w:r>
      <w:r w:rsidRPr="00BF0DA7" w:rsidR="00080A89">
        <w:rPr>
          <w:i/>
          <w:lang w:val="sq-AL"/>
        </w:rPr>
        <w:t>k</w:t>
      </w:r>
      <w:r w:rsidRPr="00BF0DA7">
        <w:rPr>
          <w:i/>
          <w:lang w:val="sq-AL"/>
        </w:rPr>
        <w:t xml:space="preserve">. </w:t>
      </w:r>
      <w:r w:rsidRPr="00BF0DA7" w:rsidR="00080A89">
        <w:rPr>
          <w:i/>
          <w:lang w:val="sq-AL"/>
        </w:rPr>
        <w:t>K</w:t>
      </w:r>
      <w:r w:rsidRPr="00BF0DA7">
        <w:rPr>
          <w:i/>
          <w:lang w:val="sq-AL"/>
        </w:rPr>
        <w:t>roa</w:t>
      </w:r>
      <w:r w:rsidRPr="00BF0DA7" w:rsidR="00080A89">
        <w:rPr>
          <w:i/>
          <w:lang w:val="sq-AL"/>
        </w:rPr>
        <w:t>cisë</w:t>
      </w:r>
      <w:r w:rsidRPr="00BF0DA7">
        <w:rPr>
          <w:lang w:val="sq-AL"/>
        </w:rPr>
        <w:t xml:space="preserve">, </w:t>
      </w:r>
      <w:r w:rsidRPr="00BF0DA7" w:rsidR="001E408E">
        <w:rPr>
          <w:lang w:val="sq-AL"/>
        </w:rPr>
        <w:t>nr.</w:t>
      </w:r>
      <w:r w:rsidRPr="00BF0DA7">
        <w:rPr>
          <w:lang w:val="sq-AL"/>
        </w:rPr>
        <w:t xml:space="preserve"> 46423/06, § 71, 25 </w:t>
      </w:r>
      <w:r w:rsidRPr="00BF0DA7" w:rsidR="00080A89">
        <w:rPr>
          <w:lang w:val="sq-AL"/>
        </w:rPr>
        <w:t>qershor</w:t>
      </w:r>
      <w:r w:rsidRPr="00BF0DA7">
        <w:rPr>
          <w:lang w:val="sq-AL"/>
        </w:rPr>
        <w:t xml:space="preserve"> 2009, </w:t>
      </w:r>
      <w:r w:rsidRPr="00BF0DA7">
        <w:rPr>
          <w:i/>
          <w:lang w:val="sq-AL"/>
        </w:rPr>
        <w:t xml:space="preserve">Mahmut Kaya </w:t>
      </w:r>
      <w:r w:rsidRPr="00BF0DA7" w:rsidR="00080A89">
        <w:rPr>
          <w:i/>
          <w:lang w:val="sq-AL"/>
        </w:rPr>
        <w:t>k</w:t>
      </w:r>
      <w:r w:rsidRPr="00BF0DA7">
        <w:rPr>
          <w:i/>
          <w:lang w:val="sq-AL"/>
        </w:rPr>
        <w:t>. Turq</w:t>
      </w:r>
      <w:r w:rsidRPr="00BF0DA7" w:rsidR="00080A89">
        <w:rPr>
          <w:i/>
          <w:lang w:val="sq-AL"/>
        </w:rPr>
        <w:t>isë</w:t>
      </w:r>
      <w:r w:rsidRPr="00BF0DA7">
        <w:rPr>
          <w:lang w:val="sq-AL"/>
        </w:rPr>
        <w:t xml:space="preserve">, </w:t>
      </w:r>
      <w:r w:rsidRPr="00BF0DA7" w:rsidR="001E408E">
        <w:rPr>
          <w:lang w:val="sq-AL"/>
        </w:rPr>
        <w:t>nr.</w:t>
      </w:r>
      <w:r w:rsidRPr="00BF0DA7">
        <w:rPr>
          <w:lang w:val="sq-AL"/>
        </w:rPr>
        <w:t xml:space="preserve"> 22535/93, § 115, </w:t>
      </w:r>
      <w:r w:rsidRPr="00BF0DA7" w:rsidR="00E90FE3">
        <w:rPr>
          <w:lang w:val="sq-AL"/>
        </w:rPr>
        <w:t>GjEDNj</w:t>
      </w:r>
      <w:r w:rsidRPr="00BF0DA7">
        <w:rPr>
          <w:lang w:val="sq-AL"/>
        </w:rPr>
        <w:t xml:space="preserve"> 2000</w:t>
      </w:r>
      <w:r w:rsidRPr="00BF0DA7">
        <w:rPr>
          <w:lang w:val="sq-AL"/>
        </w:rPr>
        <w:noBreakHyphen/>
        <w:t xml:space="preserve">III, </w:t>
      </w:r>
      <w:r w:rsidRPr="00BF0DA7" w:rsidR="00080A89">
        <w:rPr>
          <w:lang w:val="sq-AL"/>
        </w:rPr>
        <w:t>dhe</w:t>
      </w:r>
      <w:r w:rsidRPr="00BF0DA7">
        <w:rPr>
          <w:i/>
          <w:lang w:val="sq-AL"/>
        </w:rPr>
        <w:t xml:space="preserve"> M.C. </w:t>
      </w:r>
      <w:r w:rsidRPr="00BF0DA7" w:rsidR="00080A89">
        <w:rPr>
          <w:i/>
          <w:lang w:val="sq-AL"/>
        </w:rPr>
        <w:t>k</w:t>
      </w:r>
      <w:r w:rsidRPr="00BF0DA7">
        <w:rPr>
          <w:i/>
          <w:lang w:val="sq-AL"/>
        </w:rPr>
        <w:t>. Bul</w:t>
      </w:r>
      <w:r w:rsidRPr="00BF0DA7" w:rsidR="00080A89">
        <w:rPr>
          <w:i/>
          <w:lang w:val="sq-AL"/>
        </w:rPr>
        <w:t>l</w:t>
      </w:r>
      <w:r w:rsidRPr="00BF0DA7">
        <w:rPr>
          <w:i/>
          <w:lang w:val="sq-AL"/>
        </w:rPr>
        <w:t>gari</w:t>
      </w:r>
      <w:r w:rsidRPr="00BF0DA7" w:rsidR="00080A89">
        <w:rPr>
          <w:i/>
          <w:lang w:val="sq-AL"/>
        </w:rPr>
        <w:t>së</w:t>
      </w:r>
      <w:r w:rsidRPr="00BF0DA7">
        <w:rPr>
          <w:i/>
          <w:lang w:val="sq-AL"/>
        </w:rPr>
        <w:t>,</w:t>
      </w:r>
      <w:r w:rsidRPr="00BF0DA7">
        <w:rPr>
          <w:lang w:val="sq-AL"/>
        </w:rPr>
        <w:t xml:space="preserve"> </w:t>
      </w:r>
      <w:r w:rsidRPr="00BF0DA7" w:rsidR="00E90FE3">
        <w:rPr>
          <w:lang w:val="sq-AL"/>
        </w:rPr>
        <w:t>i cituar më lart</w:t>
      </w:r>
      <w:r w:rsidRPr="00BF0DA7">
        <w:rPr>
          <w:lang w:val="sq-AL"/>
        </w:rPr>
        <w:t xml:space="preserve">, § 150). </w:t>
      </w:r>
      <w:r w:rsidRPr="00BF0DA7" w:rsidR="00080A89">
        <w:rPr>
          <w:lang w:val="sq-AL"/>
        </w:rPr>
        <w:t>Është me rëndësi të shtohet se natyra e abuzimeve seksuale ndaj të miturve</w:t>
      </w:r>
      <w:r w:rsidRPr="00BF0DA7">
        <w:rPr>
          <w:lang w:val="sq-AL"/>
        </w:rPr>
        <w:t xml:space="preserve">, </w:t>
      </w:r>
      <w:r w:rsidRPr="00BF0DA7" w:rsidR="00080A89">
        <w:rPr>
          <w:lang w:val="sq-AL"/>
        </w:rPr>
        <w:t xml:space="preserve">sidomos kur </w:t>
      </w:r>
      <w:r w:rsidRPr="00BF0DA7">
        <w:rPr>
          <w:lang w:val="sq-AL"/>
        </w:rPr>
        <w:t>aut</w:t>
      </w:r>
      <w:r w:rsidRPr="00BF0DA7" w:rsidR="00080A89">
        <w:rPr>
          <w:lang w:val="sq-AL"/>
        </w:rPr>
        <w:t>ori i k</w:t>
      </w:r>
      <w:r w:rsidRPr="00BF0DA7" w:rsidR="00B0346B">
        <w:rPr>
          <w:lang w:val="sq-AL"/>
        </w:rPr>
        <w:t>ë</w:t>
      </w:r>
      <w:r w:rsidRPr="00BF0DA7" w:rsidR="00080A89">
        <w:rPr>
          <w:lang w:val="sq-AL"/>
        </w:rPr>
        <w:t>tyre abuzimeve q</w:t>
      </w:r>
      <w:r w:rsidRPr="00BF0DA7" w:rsidR="00B0346B">
        <w:rPr>
          <w:lang w:val="sq-AL"/>
        </w:rPr>
        <w:t>ë</w:t>
      </w:r>
      <w:r w:rsidRPr="00BF0DA7" w:rsidR="00080A89">
        <w:rPr>
          <w:lang w:val="sq-AL"/>
        </w:rPr>
        <w:t>ndron n</w:t>
      </w:r>
      <w:r w:rsidRPr="00BF0DA7" w:rsidR="00B0346B">
        <w:rPr>
          <w:lang w:val="sq-AL"/>
        </w:rPr>
        <w:t>ë</w:t>
      </w:r>
      <w:r w:rsidRPr="00BF0DA7" w:rsidR="00080A89">
        <w:rPr>
          <w:lang w:val="sq-AL"/>
        </w:rPr>
        <w:t xml:space="preserve"> pozita autoriteti n</w:t>
      </w:r>
      <w:r w:rsidRPr="00BF0DA7" w:rsidR="00B0346B">
        <w:rPr>
          <w:lang w:val="sq-AL"/>
        </w:rPr>
        <w:t>ë</w:t>
      </w:r>
      <w:r w:rsidRPr="00BF0DA7" w:rsidR="00080A89">
        <w:rPr>
          <w:lang w:val="sq-AL"/>
        </w:rPr>
        <w:t xml:space="preserve"> raport me f</w:t>
      </w:r>
      <w:r w:rsidRPr="00BF0DA7" w:rsidR="00B0346B">
        <w:rPr>
          <w:lang w:val="sq-AL"/>
        </w:rPr>
        <w:t>ë</w:t>
      </w:r>
      <w:r w:rsidRPr="00BF0DA7" w:rsidR="00080A89">
        <w:rPr>
          <w:lang w:val="sq-AL"/>
        </w:rPr>
        <w:t>mij</w:t>
      </w:r>
      <w:r w:rsidRPr="00BF0DA7" w:rsidR="00B0346B">
        <w:rPr>
          <w:lang w:val="sq-AL"/>
        </w:rPr>
        <w:t>ë</w:t>
      </w:r>
      <w:r w:rsidRPr="00BF0DA7" w:rsidR="00080A89">
        <w:rPr>
          <w:lang w:val="sq-AL"/>
        </w:rPr>
        <w:t>n, bën që ekzistenca e mekanizmave të nevojshëm zbulues e sinjalizues të p</w:t>
      </w:r>
      <w:r w:rsidRPr="00BF0DA7" w:rsidR="00B0346B">
        <w:rPr>
          <w:lang w:val="sq-AL"/>
        </w:rPr>
        <w:t>ë</w:t>
      </w:r>
      <w:r w:rsidRPr="00BF0DA7" w:rsidR="00080A89">
        <w:rPr>
          <w:lang w:val="sq-AL"/>
        </w:rPr>
        <w:t>rbëjë një kusht themelor për zbatimin efektiv t</w:t>
      </w:r>
      <w:r w:rsidRPr="00BF0DA7" w:rsidR="00B0346B">
        <w:rPr>
          <w:lang w:val="sq-AL"/>
        </w:rPr>
        <w:t>ë</w:t>
      </w:r>
      <w:r w:rsidRPr="00BF0DA7" w:rsidR="00080A89">
        <w:rPr>
          <w:lang w:val="sq-AL"/>
        </w:rPr>
        <w:t xml:space="preserve"> ligjeve të zbatueshme penale</w:t>
      </w:r>
      <w:r w:rsidRPr="00BF0DA7">
        <w:rPr>
          <w:lang w:val="sq-AL"/>
        </w:rPr>
        <w:t xml:space="preserve"> (</w:t>
      </w:r>
      <w:r w:rsidRPr="00BF0DA7">
        <w:rPr>
          <w:i/>
          <w:lang w:val="sq-AL"/>
        </w:rPr>
        <w:t xml:space="preserve">Juppala </w:t>
      </w:r>
      <w:r w:rsidRPr="00BF0DA7" w:rsidR="00080A89">
        <w:rPr>
          <w:i/>
          <w:lang w:val="sq-AL"/>
        </w:rPr>
        <w:t>k</w:t>
      </w:r>
      <w:r w:rsidRPr="00BF0DA7">
        <w:rPr>
          <w:i/>
          <w:lang w:val="sq-AL"/>
        </w:rPr>
        <w:t>. Finland</w:t>
      </w:r>
      <w:r w:rsidRPr="00BF0DA7" w:rsidR="00080A89">
        <w:rPr>
          <w:i/>
          <w:lang w:val="sq-AL"/>
        </w:rPr>
        <w:t>ës</w:t>
      </w:r>
      <w:r w:rsidRPr="00BF0DA7">
        <w:rPr>
          <w:lang w:val="sq-AL"/>
        </w:rPr>
        <w:t xml:space="preserve">, </w:t>
      </w:r>
      <w:r w:rsidRPr="00BF0DA7" w:rsidR="001E408E">
        <w:rPr>
          <w:lang w:val="sq-AL"/>
        </w:rPr>
        <w:t>nr.</w:t>
      </w:r>
      <w:r w:rsidRPr="00BF0DA7">
        <w:rPr>
          <w:lang w:val="sq-AL"/>
        </w:rPr>
        <w:t xml:space="preserve"> 18620/03, § 42, 2 </w:t>
      </w:r>
      <w:r w:rsidRPr="00BF0DA7" w:rsidR="00080A89">
        <w:rPr>
          <w:lang w:val="sq-AL"/>
        </w:rPr>
        <w:t>dhjetor</w:t>
      </w:r>
      <w:r w:rsidRPr="00BF0DA7">
        <w:rPr>
          <w:lang w:val="sq-AL"/>
        </w:rPr>
        <w:t xml:space="preserve"> 2008). </w:t>
      </w:r>
      <w:r w:rsidRPr="00BF0DA7" w:rsidR="00080A89">
        <w:rPr>
          <w:lang w:val="sq-AL"/>
        </w:rPr>
        <w:t>Gjykata d</w:t>
      </w:r>
      <w:r w:rsidRPr="00BF0DA7" w:rsidR="00B0346B">
        <w:rPr>
          <w:lang w:val="sq-AL"/>
        </w:rPr>
        <w:t>ë</w:t>
      </w:r>
      <w:r w:rsidRPr="00BF0DA7" w:rsidR="00080A89">
        <w:rPr>
          <w:lang w:val="sq-AL"/>
        </w:rPr>
        <w:t>shiron të saktësoj</w:t>
      </w:r>
      <w:r w:rsidRPr="00BF0DA7" w:rsidR="00B0346B">
        <w:rPr>
          <w:lang w:val="sq-AL"/>
        </w:rPr>
        <w:t>ë</w:t>
      </w:r>
      <w:r w:rsidRPr="00BF0DA7" w:rsidR="00080A89">
        <w:rPr>
          <w:lang w:val="sq-AL"/>
        </w:rPr>
        <w:t xml:space="preserve"> që, ashtu sikurse edhe Qeveria, ajo çmon se </w:t>
      </w:r>
      <w:r w:rsidRPr="00BF0DA7" w:rsidR="00B0346B">
        <w:rPr>
          <w:lang w:val="sq-AL"/>
        </w:rPr>
        <w:t xml:space="preserve">asgjë nga elementet e paraqitura përpara saj nuk tregon ndonjë mospërmbushje operative të detyrimit për ta mbrojtur të paditurën </w:t>
      </w:r>
      <w:r w:rsidRPr="00BF0DA7">
        <w:rPr>
          <w:lang w:val="sq-AL"/>
        </w:rPr>
        <w:t>(</w:t>
      </w:r>
      <w:r w:rsidRPr="00BF0DA7">
        <w:rPr>
          <w:i/>
          <w:lang w:val="sq-AL"/>
        </w:rPr>
        <w:t xml:space="preserve">Osman </w:t>
      </w:r>
      <w:r w:rsidRPr="00BF0DA7" w:rsidR="00B0346B">
        <w:rPr>
          <w:i/>
          <w:lang w:val="sq-AL"/>
        </w:rPr>
        <w:t>k</w:t>
      </w:r>
      <w:r w:rsidRPr="00BF0DA7">
        <w:rPr>
          <w:i/>
          <w:lang w:val="sq-AL"/>
        </w:rPr>
        <w:t>. </w:t>
      </w:r>
      <w:r w:rsidRPr="00BF0DA7" w:rsidR="002759DF">
        <w:rPr>
          <w:i/>
          <w:lang w:val="sq-AL"/>
        </w:rPr>
        <w:t>Mbretërisë së Bashkuar</w:t>
      </w:r>
      <w:r w:rsidRPr="00BF0DA7">
        <w:rPr>
          <w:lang w:val="sq-AL"/>
        </w:rPr>
        <w:t xml:space="preserve">, </w:t>
      </w:r>
      <w:r w:rsidRPr="00BF0DA7" w:rsidR="00E90FE3">
        <w:rPr>
          <w:lang w:val="sq-AL"/>
        </w:rPr>
        <w:t>i cituar më lart</w:t>
      </w:r>
      <w:r w:rsidRPr="00BF0DA7" w:rsidR="00B0346B">
        <w:rPr>
          <w:lang w:val="sq-AL"/>
        </w:rPr>
        <w:t>, §§ 115-116)</w:t>
      </w:r>
      <w:r w:rsidRPr="00BF0DA7">
        <w:rPr>
          <w:lang w:val="sq-AL"/>
        </w:rPr>
        <w:t xml:space="preserve">: </w:t>
      </w:r>
      <w:r w:rsidRPr="00BF0DA7" w:rsidR="00B0346B">
        <w:rPr>
          <w:lang w:val="sq-AL"/>
        </w:rPr>
        <w:t>deri në çastin kur ankesat lidhur me L.H. u sollën në vëmendjen e autoriteteve shtetërore më 1995, shteti nuk e dinte as nuk kishte sesi ta dinte që ky mësues i veçantë, L.H., përbënte një kërcënim për këtë nxënëse të veçantë, paditësen.</w:t>
      </w:r>
    </w:p>
    <w:p w:rsidRPr="00BF0DA7" w:rsidR="00EB737A" w:rsidP="00EB737A" w:rsidRDefault="00EB737A">
      <w:pPr>
        <w:pStyle w:val="ECHRPara"/>
        <w:rPr>
          <w:lang w:val="sq-AL"/>
        </w:rPr>
      </w:pPr>
      <w:r w:rsidRPr="00BF0DA7">
        <w:rPr>
          <w:lang w:val="sq-AL"/>
        </w:rPr>
        <w:fldChar w:fldCharType="begin"/>
      </w:r>
      <w:r w:rsidRPr="00BF0DA7">
        <w:rPr>
          <w:lang w:val="sq-AL"/>
        </w:rPr>
        <w:instrText xml:space="preserve"> SEQ level0 \*arabic </w:instrText>
      </w:r>
      <w:r w:rsidRPr="00BF0DA7">
        <w:rPr>
          <w:lang w:val="sq-AL"/>
        </w:rPr>
        <w:fldChar w:fldCharType="separate"/>
      </w:r>
      <w:r w:rsidR="00013F9B">
        <w:rPr>
          <w:noProof/>
          <w:lang w:val="sq-AL"/>
        </w:rPr>
        <w:t>149</w:t>
      </w:r>
      <w:r w:rsidRPr="00BF0DA7">
        <w:rPr>
          <w:lang w:val="sq-AL"/>
        </w:rPr>
        <w:fldChar w:fldCharType="end"/>
      </w:r>
      <w:r w:rsidRPr="00BF0DA7">
        <w:rPr>
          <w:lang w:val="sq-AL"/>
        </w:rPr>
        <w:t>.  </w:t>
      </w:r>
      <w:r w:rsidRPr="00BF0DA7" w:rsidR="001D4E8E">
        <w:rPr>
          <w:lang w:val="sq-AL"/>
        </w:rPr>
        <w:t xml:space="preserve">Gjykata rikujton gjithashtu se nuk është aspak nevoja </w:t>
      </w:r>
      <w:r w:rsidRPr="00BF0DA7" w:rsidR="0016399D">
        <w:rPr>
          <w:lang w:val="sq-AL"/>
        </w:rPr>
        <w:t xml:space="preserve">që </w:t>
      </w:r>
      <w:r w:rsidRPr="00BF0DA7" w:rsidR="001D4E8E">
        <w:rPr>
          <w:lang w:val="sq-AL"/>
        </w:rPr>
        <w:t xml:space="preserve">të vërtetohet </w:t>
      </w:r>
      <w:r w:rsidRPr="00BF0DA7" w:rsidR="0016399D">
        <w:rPr>
          <w:lang w:val="sq-AL"/>
        </w:rPr>
        <w:t>se pa mang</w:t>
      </w:r>
      <w:r w:rsidR="00BF0DA7">
        <w:rPr>
          <w:lang w:val="sq-AL"/>
        </w:rPr>
        <w:t>ë</w:t>
      </w:r>
      <w:r w:rsidRPr="00BF0DA7" w:rsidR="0016399D">
        <w:rPr>
          <w:lang w:val="sq-AL"/>
        </w:rPr>
        <w:t>sin</w:t>
      </w:r>
      <w:r w:rsidR="00BF0DA7">
        <w:rPr>
          <w:lang w:val="sq-AL"/>
        </w:rPr>
        <w:t>ë</w:t>
      </w:r>
      <w:r w:rsidRPr="00BF0DA7" w:rsidR="0016399D">
        <w:rPr>
          <w:lang w:val="sq-AL"/>
        </w:rPr>
        <w:t xml:space="preserve"> e shtetit keqtrajtimet nuk do t</w:t>
      </w:r>
      <w:r w:rsidR="00BF0DA7">
        <w:rPr>
          <w:lang w:val="sq-AL"/>
        </w:rPr>
        <w:t>ë</w:t>
      </w:r>
      <w:r w:rsidRPr="00BF0DA7" w:rsidR="0016399D">
        <w:rPr>
          <w:lang w:val="sq-AL"/>
        </w:rPr>
        <w:t xml:space="preserve"> kishin ndodhur. Mosmiratimi i masave të arsyeshme të cilat do të kishin pasur nj</w:t>
      </w:r>
      <w:r w:rsidR="00BF0DA7">
        <w:rPr>
          <w:lang w:val="sq-AL"/>
        </w:rPr>
        <w:t>ë</w:t>
      </w:r>
      <w:r w:rsidRPr="00BF0DA7" w:rsidR="0016399D">
        <w:rPr>
          <w:lang w:val="sq-AL"/>
        </w:rPr>
        <w:t xml:space="preserve"> shans real për ta ndryshuar rrjedhën e ngjarjeve ose për ta zbutur dëmin e shkaktuar mjafton për ta ngarkuar me përgjegjësi shtetin </w:t>
      </w:r>
      <w:r w:rsidRPr="00BF0DA7">
        <w:rPr>
          <w:lang w:val="sq-AL"/>
        </w:rPr>
        <w:t>(</w:t>
      </w:r>
      <w:r w:rsidRPr="00BF0DA7">
        <w:rPr>
          <w:i/>
          <w:lang w:val="sq-AL"/>
        </w:rPr>
        <w:t xml:space="preserve">E. </w:t>
      </w:r>
      <w:r w:rsidRPr="00BF0DA7" w:rsidR="00E90FE3">
        <w:rPr>
          <w:i/>
          <w:lang w:val="sq-AL"/>
        </w:rPr>
        <w:t>me të tjerë k</w:t>
      </w:r>
      <w:r w:rsidRPr="00BF0DA7">
        <w:rPr>
          <w:i/>
          <w:lang w:val="sq-AL"/>
        </w:rPr>
        <w:t>. </w:t>
      </w:r>
      <w:r w:rsidRPr="00BF0DA7" w:rsidR="002759DF">
        <w:rPr>
          <w:i/>
          <w:lang w:val="sq-AL"/>
        </w:rPr>
        <w:t>Mbretërisë së Bashkuar</w:t>
      </w:r>
      <w:r w:rsidRPr="00BF0DA7">
        <w:rPr>
          <w:lang w:val="sq-AL"/>
        </w:rPr>
        <w:t xml:space="preserve">, </w:t>
      </w:r>
      <w:r w:rsidRPr="00BF0DA7" w:rsidR="00E90FE3">
        <w:rPr>
          <w:lang w:val="sq-AL"/>
        </w:rPr>
        <w:t>i cituar më lart</w:t>
      </w:r>
      <w:r w:rsidRPr="00BF0DA7">
        <w:rPr>
          <w:lang w:val="sq-AL"/>
        </w:rPr>
        <w:t>, § 99).</w:t>
      </w:r>
    </w:p>
    <w:p w:rsidRPr="00BF0DA7" w:rsidR="00EB737A" w:rsidP="00EB737A" w:rsidRDefault="00EB737A">
      <w:pPr>
        <w:pStyle w:val="ECHRPara"/>
        <w:rPr>
          <w:lang w:val="sq-AL"/>
        </w:rPr>
      </w:pPr>
      <w:r w:rsidRPr="00BF0DA7">
        <w:rPr>
          <w:lang w:val="sq-AL"/>
        </w:rPr>
        <w:fldChar w:fldCharType="begin"/>
      </w:r>
      <w:r w:rsidRPr="00BF0DA7">
        <w:rPr>
          <w:lang w:val="sq-AL"/>
        </w:rPr>
        <w:instrText xml:space="preserve"> SEQ level0 \*arabic </w:instrText>
      </w:r>
      <w:r w:rsidRPr="00BF0DA7">
        <w:rPr>
          <w:lang w:val="sq-AL"/>
        </w:rPr>
        <w:fldChar w:fldCharType="separate"/>
      </w:r>
      <w:r w:rsidR="00013F9B">
        <w:rPr>
          <w:noProof/>
          <w:lang w:val="sq-AL"/>
        </w:rPr>
        <w:t>150</w:t>
      </w:r>
      <w:r w:rsidRPr="00BF0DA7">
        <w:rPr>
          <w:lang w:val="sq-AL"/>
        </w:rPr>
        <w:fldChar w:fldCharType="end"/>
      </w:r>
      <w:r w:rsidRPr="00BF0DA7">
        <w:rPr>
          <w:lang w:val="sq-AL"/>
        </w:rPr>
        <w:t>.  </w:t>
      </w:r>
      <w:r w:rsidRPr="00BF0DA7" w:rsidR="0016399D">
        <w:rPr>
          <w:lang w:val="sq-AL"/>
        </w:rPr>
        <w:t>Siç e thekson paditësja, ësht</w:t>
      </w:r>
      <w:r w:rsidR="00BF0DA7">
        <w:rPr>
          <w:lang w:val="sq-AL"/>
        </w:rPr>
        <w:t>ë</w:t>
      </w:r>
      <w:r w:rsidRPr="00BF0DA7" w:rsidR="0016399D">
        <w:rPr>
          <w:lang w:val="sq-AL"/>
        </w:rPr>
        <w:t xml:space="preserve"> e vërtetë që një shtet nuk u shmanget dot detyrimeve të tij ndaj të miturve q</w:t>
      </w:r>
      <w:r w:rsidR="00BF0DA7">
        <w:rPr>
          <w:lang w:val="sq-AL"/>
        </w:rPr>
        <w:t>ë</w:t>
      </w:r>
      <w:r w:rsidRPr="00BF0DA7" w:rsidR="0016399D">
        <w:rPr>
          <w:lang w:val="sq-AL"/>
        </w:rPr>
        <w:t xml:space="preserve"> shkollohen n</w:t>
      </w:r>
      <w:r w:rsidR="00BF0DA7">
        <w:rPr>
          <w:lang w:val="sq-AL"/>
        </w:rPr>
        <w:t>ë</w:t>
      </w:r>
      <w:r w:rsidRPr="00BF0DA7" w:rsidR="0016399D">
        <w:rPr>
          <w:lang w:val="sq-AL"/>
        </w:rPr>
        <w:t xml:space="preserve"> institucionet e arsimit fillor duke ua deleguar</w:t>
      </w:r>
      <w:r w:rsidRPr="00BF0DA7" w:rsidR="007C707E">
        <w:rPr>
          <w:lang w:val="sq-AL"/>
        </w:rPr>
        <w:t xml:space="preserve"> detyrimet e sipërpërmendura disa organizmave private apo disa individ</w:t>
      </w:r>
      <w:r w:rsidR="00BF0DA7">
        <w:rPr>
          <w:lang w:val="sq-AL"/>
        </w:rPr>
        <w:t>ë</w:t>
      </w:r>
      <w:r w:rsidRPr="00BF0DA7" w:rsidR="007C707E">
        <w:rPr>
          <w:lang w:val="sq-AL"/>
        </w:rPr>
        <w:t xml:space="preserve">ve </w:t>
      </w:r>
      <w:r w:rsidRPr="00BF0DA7">
        <w:rPr>
          <w:lang w:val="sq-AL"/>
        </w:rPr>
        <w:t>(</w:t>
      </w:r>
      <w:r w:rsidRPr="00BF0DA7">
        <w:rPr>
          <w:i/>
          <w:lang w:val="sq-AL"/>
        </w:rPr>
        <w:t xml:space="preserve">Costello-Roberts </w:t>
      </w:r>
      <w:r w:rsidRPr="00BF0DA7" w:rsidR="007C707E">
        <w:rPr>
          <w:i/>
          <w:lang w:val="sq-AL"/>
        </w:rPr>
        <w:t>k</w:t>
      </w:r>
      <w:r w:rsidRPr="00BF0DA7">
        <w:rPr>
          <w:i/>
          <w:lang w:val="sq-AL"/>
        </w:rPr>
        <w:t xml:space="preserve">. </w:t>
      </w:r>
      <w:r w:rsidRPr="00BF0DA7" w:rsidR="002759DF">
        <w:rPr>
          <w:i/>
          <w:lang w:val="sq-AL"/>
        </w:rPr>
        <w:t>Mbretërisë së Bashkuar</w:t>
      </w:r>
      <w:r w:rsidRPr="00BF0DA7">
        <w:rPr>
          <w:lang w:val="sq-AL"/>
        </w:rPr>
        <w:t xml:space="preserve">, </w:t>
      </w:r>
      <w:r w:rsidRPr="00BF0DA7" w:rsidR="00E90FE3">
        <w:rPr>
          <w:lang w:val="sq-AL"/>
        </w:rPr>
        <w:t>i cituar më lart</w:t>
      </w:r>
      <w:r w:rsidRPr="00BF0DA7" w:rsidR="007C707E">
        <w:rPr>
          <w:lang w:val="sq-AL"/>
        </w:rPr>
        <w:t>, § 27</w:t>
      </w:r>
      <w:r w:rsidRPr="00BF0DA7">
        <w:rPr>
          <w:lang w:val="sq-AL"/>
        </w:rPr>
        <w:t xml:space="preserve">; </w:t>
      </w:r>
      <w:r w:rsidRPr="00BF0DA7" w:rsidR="007C707E">
        <w:rPr>
          <w:lang w:val="sq-AL"/>
        </w:rPr>
        <w:t>shih gjithashtu</w:t>
      </w:r>
      <w:r w:rsidRPr="00BF0DA7">
        <w:rPr>
          <w:lang w:val="sq-AL"/>
        </w:rPr>
        <w:t xml:space="preserve">, </w:t>
      </w:r>
      <w:r w:rsidRPr="00BF0DA7">
        <w:rPr>
          <w:i/>
          <w:lang w:val="sq-AL"/>
        </w:rPr>
        <w:t>mutatis mutandis</w:t>
      </w:r>
      <w:r w:rsidRPr="00BF0DA7">
        <w:rPr>
          <w:lang w:val="sq-AL"/>
        </w:rPr>
        <w:t xml:space="preserve">, </w:t>
      </w:r>
      <w:r w:rsidRPr="00BF0DA7">
        <w:rPr>
          <w:i/>
          <w:lang w:val="sq-AL"/>
        </w:rPr>
        <w:t xml:space="preserve">Storck </w:t>
      </w:r>
      <w:r w:rsidRPr="00BF0DA7" w:rsidR="007C707E">
        <w:rPr>
          <w:i/>
          <w:lang w:val="sq-AL"/>
        </w:rPr>
        <w:t>k</w:t>
      </w:r>
      <w:r w:rsidRPr="00BF0DA7">
        <w:rPr>
          <w:i/>
          <w:lang w:val="sq-AL"/>
        </w:rPr>
        <w:t xml:space="preserve">. </w:t>
      </w:r>
      <w:r w:rsidRPr="00BF0DA7" w:rsidR="007C707E">
        <w:rPr>
          <w:i/>
          <w:lang w:val="sq-AL"/>
        </w:rPr>
        <w:t>Gjermanisë</w:t>
      </w:r>
      <w:r w:rsidRPr="00BF0DA7">
        <w:rPr>
          <w:lang w:val="sq-AL"/>
        </w:rPr>
        <w:t xml:space="preserve">, </w:t>
      </w:r>
      <w:r w:rsidRPr="00BF0DA7" w:rsidR="001E408E">
        <w:rPr>
          <w:lang w:val="sq-AL"/>
        </w:rPr>
        <w:t>nr.</w:t>
      </w:r>
      <w:r w:rsidRPr="00BF0DA7">
        <w:rPr>
          <w:lang w:val="sq-AL"/>
        </w:rPr>
        <w:t xml:space="preserve"> 61603/00, § 102, </w:t>
      </w:r>
      <w:r w:rsidRPr="00BF0DA7" w:rsidR="00E90FE3">
        <w:rPr>
          <w:lang w:val="sq-AL"/>
        </w:rPr>
        <w:t>GjEDNj</w:t>
      </w:r>
      <w:r w:rsidRPr="00BF0DA7">
        <w:rPr>
          <w:lang w:val="sq-AL"/>
        </w:rPr>
        <w:t xml:space="preserve"> 2005</w:t>
      </w:r>
      <w:r w:rsidRPr="00BF0DA7">
        <w:rPr>
          <w:lang w:val="sq-AL"/>
        </w:rPr>
        <w:noBreakHyphen/>
        <w:t xml:space="preserve">V). </w:t>
      </w:r>
      <w:r w:rsidRPr="00BF0DA7" w:rsidR="007C707E">
        <w:rPr>
          <w:lang w:val="sq-AL"/>
        </w:rPr>
        <w:t>Megjithatë, nga kjo nuk duhet të nxirret si përfundim, siç e b</w:t>
      </w:r>
      <w:r w:rsidR="00BF0DA7">
        <w:rPr>
          <w:lang w:val="sq-AL"/>
        </w:rPr>
        <w:t>ë</w:t>
      </w:r>
      <w:r w:rsidRPr="00BF0DA7" w:rsidR="007C707E">
        <w:rPr>
          <w:lang w:val="sq-AL"/>
        </w:rPr>
        <w:t>n Qeveria, se kjo çështje i rivë në pikëpyetje ruajtjen e modelit të administrimit jo publik të arsimit fillor dhe zgjedhjet ideologjike ku mbështetet ai. Në çështjen n</w:t>
      </w:r>
      <w:r w:rsidR="00BF0DA7">
        <w:rPr>
          <w:lang w:val="sq-AL"/>
        </w:rPr>
        <w:t>ë</w:t>
      </w:r>
      <w:r w:rsidRPr="00BF0DA7" w:rsidR="007C707E">
        <w:rPr>
          <w:lang w:val="sq-AL"/>
        </w:rPr>
        <w:t xml:space="preserve"> fjalë, puna është m</w:t>
      </w:r>
      <w:r w:rsidR="00BF0DA7">
        <w:rPr>
          <w:lang w:val="sq-AL"/>
        </w:rPr>
        <w:t>ë</w:t>
      </w:r>
      <w:r w:rsidRPr="00BF0DA7" w:rsidR="007C707E">
        <w:rPr>
          <w:lang w:val="sq-AL"/>
        </w:rPr>
        <w:t xml:space="preserve"> tepër q</w:t>
      </w:r>
      <w:r w:rsidR="00BF0DA7">
        <w:rPr>
          <w:lang w:val="sq-AL"/>
        </w:rPr>
        <w:t>ë</w:t>
      </w:r>
      <w:r w:rsidRPr="00BF0DA7" w:rsidR="007C707E">
        <w:rPr>
          <w:lang w:val="sq-AL"/>
        </w:rPr>
        <w:t xml:space="preserve"> të përcaktohet n</w:t>
      </w:r>
      <w:r w:rsidR="00BF0DA7">
        <w:rPr>
          <w:lang w:val="sq-AL"/>
        </w:rPr>
        <w:t>ë</w:t>
      </w:r>
      <w:r w:rsidRPr="00BF0DA7" w:rsidR="007C707E">
        <w:rPr>
          <w:lang w:val="sq-AL"/>
        </w:rPr>
        <w:t>se sistemi i ruajtur n</w:t>
      </w:r>
      <w:r w:rsidR="00BF0DA7">
        <w:rPr>
          <w:lang w:val="sq-AL"/>
        </w:rPr>
        <w:t>ë</w:t>
      </w:r>
      <w:r w:rsidRPr="00BF0DA7" w:rsidR="007C707E">
        <w:rPr>
          <w:lang w:val="sq-AL"/>
        </w:rPr>
        <w:t xml:space="preserve"> k</w:t>
      </w:r>
      <w:r w:rsidR="00BF0DA7">
        <w:rPr>
          <w:lang w:val="sq-AL"/>
        </w:rPr>
        <w:t>ë</w:t>
      </w:r>
      <w:r w:rsidRPr="00BF0DA7" w:rsidR="007C707E">
        <w:rPr>
          <w:lang w:val="sq-AL"/>
        </w:rPr>
        <w:t>të mënyrë përmbante apo jo mekanizma të mjaftueshëm për mbrojtje të fëmijëve.</w:t>
      </w:r>
    </w:p>
    <w:p w:rsidRPr="009D6FBD" w:rsidR="00EB737A" w:rsidP="00EB737A" w:rsidRDefault="00EB737A">
      <w:pPr>
        <w:pStyle w:val="ECHRPara"/>
        <w:rPr>
          <w:lang w:val="sq-AL"/>
        </w:rPr>
      </w:pPr>
      <w:r w:rsidRPr="00BF0DA7">
        <w:rPr>
          <w:lang w:val="sq-AL"/>
        </w:rPr>
        <w:fldChar w:fldCharType="begin"/>
      </w:r>
      <w:r w:rsidRPr="00BF0DA7">
        <w:rPr>
          <w:lang w:val="sq-AL"/>
        </w:rPr>
        <w:instrText xml:space="preserve"> SEQ level0 \*arabic </w:instrText>
      </w:r>
      <w:r w:rsidRPr="00BF0DA7">
        <w:rPr>
          <w:lang w:val="sq-AL"/>
        </w:rPr>
        <w:fldChar w:fldCharType="separate"/>
      </w:r>
      <w:r w:rsidR="00013F9B">
        <w:rPr>
          <w:noProof/>
          <w:lang w:val="sq-AL"/>
        </w:rPr>
        <w:t>151</w:t>
      </w:r>
      <w:r w:rsidRPr="00BF0DA7">
        <w:rPr>
          <w:lang w:val="sq-AL"/>
        </w:rPr>
        <w:fldChar w:fldCharType="end"/>
      </w:r>
      <w:r w:rsidRPr="00BF0DA7">
        <w:rPr>
          <w:lang w:val="sq-AL"/>
        </w:rPr>
        <w:t>.  </w:t>
      </w:r>
      <w:r w:rsidRPr="00BF0DA7" w:rsidR="007C707E">
        <w:rPr>
          <w:lang w:val="sq-AL"/>
        </w:rPr>
        <w:t xml:space="preserve">Së fundi, Qeveria duket </w:t>
      </w:r>
      <w:r w:rsidRPr="00BF0DA7" w:rsidR="00BF0DA7">
        <w:rPr>
          <w:lang w:val="sq-AL"/>
        </w:rPr>
        <w:t>që</w:t>
      </w:r>
      <w:r w:rsidRPr="00BF0DA7" w:rsidR="007C707E">
        <w:rPr>
          <w:lang w:val="sq-AL"/>
        </w:rPr>
        <w:t xml:space="preserve"> është e mendimit </w:t>
      </w:r>
      <w:r w:rsidRPr="00BF0DA7" w:rsidR="00BF0DA7">
        <w:rPr>
          <w:lang w:val="sq-AL"/>
        </w:rPr>
        <w:t>se zgjedhja e paditëses për t</w:t>
      </w:r>
      <w:r w:rsidR="00BF0DA7">
        <w:rPr>
          <w:lang w:val="sq-AL"/>
        </w:rPr>
        <w:t>ë</w:t>
      </w:r>
      <w:r w:rsidRPr="00BF0DA7" w:rsidR="00BF0DA7">
        <w:rPr>
          <w:lang w:val="sq-AL"/>
        </w:rPr>
        <w:t xml:space="preserve"> ndjekur shkollën kombëtare të </w:t>
      </w:r>
      <w:r w:rsidRPr="00BF0DA7">
        <w:rPr>
          <w:lang w:val="sq-AL"/>
        </w:rPr>
        <w:t>Dunderrow</w:t>
      </w:r>
      <w:r w:rsidRPr="00BF0DA7" w:rsidR="00BF0DA7">
        <w:rPr>
          <w:lang w:val="sq-AL"/>
        </w:rPr>
        <w:t>-it</w:t>
      </w:r>
      <w:r w:rsidRPr="00BF0DA7">
        <w:rPr>
          <w:lang w:val="sq-AL"/>
        </w:rPr>
        <w:t xml:space="preserve"> </w:t>
      </w:r>
      <w:r w:rsidRPr="00BF0DA7" w:rsidR="00BF0DA7">
        <w:rPr>
          <w:lang w:val="sq-AL"/>
        </w:rPr>
        <w:t>e ka shkarkuar shtetin nga detyrimet e tij sipas Konventës. Gjykata çmon megjithatë se paditësja, si shumica dërrmuese e f</w:t>
      </w:r>
      <w:r w:rsidR="00BF0DA7">
        <w:rPr>
          <w:lang w:val="sq-AL"/>
        </w:rPr>
        <w:t>ë</w:t>
      </w:r>
      <w:r w:rsidRPr="00BF0DA7" w:rsidR="00BF0DA7">
        <w:rPr>
          <w:lang w:val="sq-AL"/>
        </w:rPr>
        <w:t>mij</w:t>
      </w:r>
      <w:r w:rsidR="00BF0DA7">
        <w:rPr>
          <w:lang w:val="sq-AL"/>
        </w:rPr>
        <w:t>ë</w:t>
      </w:r>
      <w:r w:rsidRPr="00BF0DA7" w:rsidR="00BF0DA7">
        <w:rPr>
          <w:lang w:val="sq-AL"/>
        </w:rPr>
        <w:t>ve n</w:t>
      </w:r>
      <w:r w:rsidR="00BF0DA7">
        <w:rPr>
          <w:lang w:val="sq-AL"/>
        </w:rPr>
        <w:t>ë</w:t>
      </w:r>
      <w:r w:rsidRPr="00BF0DA7" w:rsidR="00BF0DA7">
        <w:rPr>
          <w:lang w:val="sq-AL"/>
        </w:rPr>
        <w:t xml:space="preserve"> moshë arsimi fillor, </w:t>
      </w:r>
      <w:r w:rsidR="00BF0DA7">
        <w:rPr>
          <w:lang w:val="sq-AL"/>
        </w:rPr>
        <w:t>nuk kishte tjetër “zgjidhje realiste dhe të pranueshme” përveçse</w:t>
      </w:r>
      <w:r w:rsidRPr="00BF0DA7" w:rsidR="00BF0DA7">
        <w:rPr>
          <w:lang w:val="sq-AL"/>
        </w:rPr>
        <w:t xml:space="preserve"> </w:t>
      </w:r>
      <w:r w:rsidR="00BF0DA7">
        <w:rPr>
          <w:lang w:val="sq-AL"/>
        </w:rPr>
        <w:t>të frekuentonte shkoll</w:t>
      </w:r>
      <w:r w:rsidR="00702698">
        <w:rPr>
          <w:lang w:val="sq-AL"/>
        </w:rPr>
        <w:t>ë</w:t>
      </w:r>
      <w:r w:rsidR="00BF0DA7">
        <w:rPr>
          <w:lang w:val="sq-AL"/>
        </w:rPr>
        <w:t>n e atyshme komb</w:t>
      </w:r>
      <w:r w:rsidR="00702698">
        <w:rPr>
          <w:lang w:val="sq-AL"/>
        </w:rPr>
        <w:t>ë</w:t>
      </w:r>
      <w:r w:rsidR="00BF0DA7">
        <w:rPr>
          <w:lang w:val="sq-AL"/>
        </w:rPr>
        <w:t xml:space="preserve">tare </w:t>
      </w:r>
      <w:r w:rsidRPr="00BF0DA7">
        <w:rPr>
          <w:lang w:val="sq-AL"/>
        </w:rPr>
        <w:t>(</w:t>
      </w:r>
      <w:r w:rsidR="00BF0DA7">
        <w:rPr>
          <w:i/>
          <w:lang w:val="sq-AL"/>
        </w:rPr>
        <w:t>Campbell e</w:t>
      </w:r>
      <w:r w:rsidRPr="00BF0DA7">
        <w:rPr>
          <w:i/>
          <w:lang w:val="sq-AL"/>
        </w:rPr>
        <w:t xml:space="preserve"> Cosans </w:t>
      </w:r>
      <w:r w:rsidR="00BF0DA7">
        <w:rPr>
          <w:i/>
          <w:lang w:val="sq-AL"/>
        </w:rPr>
        <w:t>k</w:t>
      </w:r>
      <w:r w:rsidRPr="00BF0DA7">
        <w:rPr>
          <w:i/>
          <w:lang w:val="sq-AL"/>
        </w:rPr>
        <w:t>. </w:t>
      </w:r>
      <w:r w:rsidRPr="00BF0DA7" w:rsidR="002759DF">
        <w:rPr>
          <w:i/>
          <w:lang w:val="sq-AL"/>
        </w:rPr>
        <w:t>Mbretërisë së Bashkuar</w:t>
      </w:r>
      <w:r w:rsidRPr="00BF0DA7">
        <w:rPr>
          <w:lang w:val="sq-AL"/>
        </w:rPr>
        <w:t xml:space="preserve">, 25 </w:t>
      </w:r>
      <w:r w:rsidR="00BF0DA7">
        <w:rPr>
          <w:lang w:val="sq-AL"/>
        </w:rPr>
        <w:t>shkurt</w:t>
      </w:r>
      <w:r w:rsidRPr="00BF0DA7">
        <w:rPr>
          <w:lang w:val="sq-AL"/>
        </w:rPr>
        <w:t xml:space="preserve"> 1982, § 8, </w:t>
      </w:r>
      <w:r w:rsidRPr="00BF0DA7" w:rsidR="00D315B4">
        <w:rPr>
          <w:lang w:val="sq-AL"/>
        </w:rPr>
        <w:t xml:space="preserve">seria A nr. </w:t>
      </w:r>
      <w:r w:rsidRPr="00BF0DA7">
        <w:rPr>
          <w:lang w:val="sq-AL"/>
        </w:rPr>
        <w:t xml:space="preserve">48). </w:t>
      </w:r>
      <w:r w:rsidR="00A572A9">
        <w:rPr>
          <w:lang w:val="sq-AL"/>
        </w:rPr>
        <w:t>Arsimi fillor ishte i detyrueshëm</w:t>
      </w:r>
      <w:r w:rsidRPr="00A572A9" w:rsidR="00A572A9">
        <w:rPr>
          <w:lang w:val="sq-AL"/>
        </w:rPr>
        <w:t xml:space="preserve"> </w:t>
      </w:r>
      <w:r w:rsidRPr="00A572A9">
        <w:rPr>
          <w:lang w:val="sq-AL"/>
        </w:rPr>
        <w:t>(</w:t>
      </w:r>
      <w:r w:rsidRPr="00A572A9" w:rsidR="00A572A9">
        <w:rPr>
          <w:lang w:val="sq-AL"/>
        </w:rPr>
        <w:t>në zbatim të neneve 4 e</w:t>
      </w:r>
      <w:r w:rsidRPr="00A572A9">
        <w:rPr>
          <w:lang w:val="sq-AL"/>
        </w:rPr>
        <w:t xml:space="preserve"> 17 </w:t>
      </w:r>
      <w:r w:rsidRPr="00A572A9" w:rsidR="00A572A9">
        <w:rPr>
          <w:lang w:val="sq-AL"/>
        </w:rPr>
        <w:t xml:space="preserve">të Ligjit të vitit </w:t>
      </w:r>
      <w:r w:rsidRPr="00A572A9">
        <w:rPr>
          <w:lang w:val="sq-AL"/>
        </w:rPr>
        <w:t xml:space="preserve">1926 </w:t>
      </w:r>
      <w:r w:rsidRPr="00A572A9" w:rsidR="00A572A9">
        <w:rPr>
          <w:lang w:val="sq-AL"/>
        </w:rPr>
        <w:t>për shkollimin</w:t>
      </w:r>
      <w:r w:rsidRPr="00A572A9">
        <w:rPr>
          <w:lang w:val="sq-AL"/>
        </w:rPr>
        <w:t xml:space="preserve">), </w:t>
      </w:r>
      <w:r w:rsidRPr="00A572A9" w:rsidR="00A572A9">
        <w:rPr>
          <w:lang w:val="sq-AL"/>
        </w:rPr>
        <w:t>dhe të rrallë ishin ata prindër që i kishin burimet e nevojshme q</w:t>
      </w:r>
      <w:r w:rsidR="00702698">
        <w:rPr>
          <w:lang w:val="sq-AL"/>
        </w:rPr>
        <w:t>ë</w:t>
      </w:r>
      <w:r w:rsidRPr="00A572A9" w:rsidR="00A572A9">
        <w:rPr>
          <w:lang w:val="sq-AL"/>
        </w:rPr>
        <w:t xml:space="preserve"> të mund të zgjidhnin dy opsionet e tjera për shkollim </w:t>
      </w:r>
      <w:r w:rsidRPr="00A572A9">
        <w:rPr>
          <w:lang w:val="sq-AL"/>
        </w:rPr>
        <w:t>(</w:t>
      </w:r>
      <w:r w:rsidRPr="00A572A9" w:rsidR="00A572A9">
        <w:rPr>
          <w:lang w:val="sq-AL"/>
        </w:rPr>
        <w:t>mësimdh</w:t>
      </w:r>
      <w:r w:rsidR="00702698">
        <w:rPr>
          <w:lang w:val="sq-AL"/>
        </w:rPr>
        <w:t>ë</w:t>
      </w:r>
      <w:r w:rsidR="00A572A9">
        <w:rPr>
          <w:lang w:val="sq-AL"/>
        </w:rPr>
        <w:t>nie</w:t>
      </w:r>
      <w:r w:rsidRPr="00A572A9" w:rsidR="00A572A9">
        <w:rPr>
          <w:lang w:val="sq-AL"/>
        </w:rPr>
        <w:t xml:space="preserve"> n</w:t>
      </w:r>
      <w:r w:rsidR="00702698">
        <w:rPr>
          <w:lang w:val="sq-AL"/>
        </w:rPr>
        <w:t>ë</w:t>
      </w:r>
      <w:r w:rsidRPr="00A572A9" w:rsidR="00A572A9">
        <w:rPr>
          <w:lang w:val="sq-AL"/>
        </w:rPr>
        <w:t xml:space="preserve"> banes</w:t>
      </w:r>
      <w:r w:rsidR="00A572A9">
        <w:rPr>
          <w:lang w:val="sq-AL"/>
        </w:rPr>
        <w:t>ë ose regjistrim n</w:t>
      </w:r>
      <w:r w:rsidR="00702698">
        <w:rPr>
          <w:lang w:val="sq-AL"/>
        </w:rPr>
        <w:t>ë</w:t>
      </w:r>
      <w:r w:rsidR="00A572A9">
        <w:rPr>
          <w:lang w:val="sq-AL"/>
        </w:rPr>
        <w:t xml:space="preserve"> nj</w:t>
      </w:r>
      <w:r w:rsidR="00702698">
        <w:rPr>
          <w:lang w:val="sq-AL"/>
        </w:rPr>
        <w:t>ë</w:t>
      </w:r>
      <w:r w:rsidR="00A572A9">
        <w:rPr>
          <w:lang w:val="sq-AL"/>
        </w:rPr>
        <w:t xml:space="preserve"> nga shkollat e rralla fillore me pagesë, me ecejaket që mund t</w:t>
      </w:r>
      <w:r w:rsidR="00702698">
        <w:rPr>
          <w:lang w:val="sq-AL"/>
        </w:rPr>
        <w:t>ë</w:t>
      </w:r>
      <w:r w:rsidR="00A572A9">
        <w:rPr>
          <w:lang w:val="sq-AL"/>
        </w:rPr>
        <w:t xml:space="preserve"> shkaktonte kjo gjë), nd</w:t>
      </w:r>
      <w:r w:rsidR="00702698">
        <w:rPr>
          <w:lang w:val="sq-AL"/>
        </w:rPr>
        <w:t>ë</w:t>
      </w:r>
      <w:r w:rsidR="00A572A9">
        <w:rPr>
          <w:lang w:val="sq-AL"/>
        </w:rPr>
        <w:t>rkoh</w:t>
      </w:r>
      <w:r w:rsidR="00702698">
        <w:rPr>
          <w:lang w:val="sq-AL"/>
        </w:rPr>
        <w:t>ë</w:t>
      </w:r>
      <w:r w:rsidR="00A572A9">
        <w:rPr>
          <w:lang w:val="sq-AL"/>
        </w:rPr>
        <w:t xml:space="preserve"> që shkollat komb</w:t>
      </w:r>
      <w:r w:rsidR="00702698">
        <w:rPr>
          <w:lang w:val="sq-AL"/>
        </w:rPr>
        <w:t>ë</w:t>
      </w:r>
      <w:r w:rsidR="00A572A9">
        <w:rPr>
          <w:lang w:val="sq-AL"/>
        </w:rPr>
        <w:t>tare ishin pa pages</w:t>
      </w:r>
      <w:r w:rsidR="00702698">
        <w:rPr>
          <w:lang w:val="sq-AL"/>
        </w:rPr>
        <w:t>ë</w:t>
      </w:r>
      <w:r w:rsidR="00A572A9">
        <w:rPr>
          <w:lang w:val="sq-AL"/>
        </w:rPr>
        <w:t xml:space="preserve"> dhe e mbulonin</w:t>
      </w:r>
      <w:r w:rsidR="00943091">
        <w:rPr>
          <w:lang w:val="sq-AL"/>
        </w:rPr>
        <w:t xml:space="preserve"> </w:t>
      </w:r>
      <w:r w:rsidR="00A572A9">
        <w:rPr>
          <w:lang w:val="sq-AL"/>
        </w:rPr>
        <w:t>t</w:t>
      </w:r>
      <w:r w:rsidR="00702698">
        <w:rPr>
          <w:lang w:val="sq-AL"/>
        </w:rPr>
        <w:t>ë</w:t>
      </w:r>
      <w:r w:rsidR="00A572A9">
        <w:rPr>
          <w:lang w:val="sq-AL"/>
        </w:rPr>
        <w:t xml:space="preserve"> gjithë territorin.</w:t>
      </w:r>
      <w:r w:rsidRPr="00A572A9">
        <w:rPr>
          <w:lang w:val="sq-AL"/>
        </w:rPr>
        <w:t xml:space="preserve"> </w:t>
      </w:r>
      <w:r w:rsidR="0078174F">
        <w:rPr>
          <w:lang w:val="sq-AL"/>
        </w:rPr>
        <w:t>Në famullinë e paditëses kishte kat</w:t>
      </w:r>
      <w:r w:rsidR="009D6FBD">
        <w:rPr>
          <w:lang w:val="sq-AL"/>
        </w:rPr>
        <w:t>ë</w:t>
      </w:r>
      <w:r w:rsidR="0078174F">
        <w:rPr>
          <w:lang w:val="sq-AL"/>
        </w:rPr>
        <w:t xml:space="preserve">r të tilla dhe asgjë nuk </w:t>
      </w:r>
      <w:r w:rsidR="009D6FBD">
        <w:rPr>
          <w:lang w:val="sq-AL"/>
        </w:rPr>
        <w:t>ë</w:t>
      </w:r>
      <w:r w:rsidR="0078174F">
        <w:rPr>
          <w:lang w:val="sq-AL"/>
        </w:rPr>
        <w:t>shtë thënë lidhur me larg</w:t>
      </w:r>
      <w:r w:rsidR="009D6FBD">
        <w:rPr>
          <w:lang w:val="sq-AL"/>
        </w:rPr>
        <w:t>ë</w:t>
      </w:r>
      <w:r w:rsidR="0078174F">
        <w:rPr>
          <w:lang w:val="sq-AL"/>
        </w:rPr>
        <w:t>sin</w:t>
      </w:r>
      <w:r w:rsidR="009D6FBD">
        <w:rPr>
          <w:lang w:val="sq-AL"/>
        </w:rPr>
        <w:t>ë</w:t>
      </w:r>
      <w:r w:rsidR="0078174F">
        <w:rPr>
          <w:lang w:val="sq-AL"/>
        </w:rPr>
        <w:t xml:space="preserve"> në të cil</w:t>
      </w:r>
      <w:r w:rsidR="009D6FBD">
        <w:rPr>
          <w:lang w:val="sq-AL"/>
        </w:rPr>
        <w:t>ë</w:t>
      </w:r>
      <w:r w:rsidR="0078174F">
        <w:rPr>
          <w:lang w:val="sq-AL"/>
        </w:rPr>
        <w:t>n ndodhej shkolla m</w:t>
      </w:r>
      <w:r w:rsidR="009D6FBD">
        <w:rPr>
          <w:lang w:val="sq-AL"/>
        </w:rPr>
        <w:t>ë</w:t>
      </w:r>
      <w:r w:rsidR="0078174F">
        <w:rPr>
          <w:lang w:val="sq-AL"/>
        </w:rPr>
        <w:t xml:space="preserve"> e afërt me pagesë.</w:t>
      </w:r>
      <w:r w:rsidRPr="0078174F" w:rsidR="0078174F">
        <w:rPr>
          <w:lang w:val="sq-AL"/>
        </w:rPr>
        <w:t xml:space="preserve"> </w:t>
      </w:r>
      <w:r w:rsidR="009D6FBD">
        <w:rPr>
          <w:lang w:val="sq-AL"/>
        </w:rPr>
        <w:t>Sidoqoftë, shteti nuk ka sesi të përjashtohet nga detyrimi i tij pozitiv për mbrojtjen e një fëmije thjesht për arsye të zgjedhjes së bërë nga ky i fundit midis opsioneve për arsimim të lejuara nga shteti</w:t>
      </w:r>
      <w:r w:rsidRPr="009D6FBD">
        <w:rPr>
          <w:lang w:val="sq-AL"/>
        </w:rPr>
        <w:t xml:space="preserve">: </w:t>
      </w:r>
      <w:r w:rsidR="009D6FBD">
        <w:rPr>
          <w:lang w:val="sq-AL"/>
        </w:rPr>
        <w:t>shkollë kombëtare, shkollë me pagesë ose mësimdhënie në banesë</w:t>
      </w:r>
      <w:r w:rsidRPr="009D6FBD">
        <w:rPr>
          <w:lang w:val="sq-AL"/>
        </w:rPr>
        <w:t xml:space="preserve"> (</w:t>
      </w:r>
      <w:r w:rsidRPr="009D6FBD">
        <w:rPr>
          <w:i/>
          <w:lang w:val="sq-AL"/>
        </w:rPr>
        <w:t>Costello-Roberts</w:t>
      </w:r>
      <w:r w:rsidRPr="009D6FBD">
        <w:rPr>
          <w:lang w:val="sq-AL"/>
        </w:rPr>
        <w:t xml:space="preserve">, </w:t>
      </w:r>
      <w:r w:rsidRPr="009D6FBD" w:rsidR="00E90FE3">
        <w:rPr>
          <w:lang w:val="sq-AL"/>
        </w:rPr>
        <w:t>i cituar më lart</w:t>
      </w:r>
      <w:r w:rsidRPr="009D6FBD">
        <w:rPr>
          <w:lang w:val="sq-AL"/>
        </w:rPr>
        <w:t>, § 27).</w:t>
      </w:r>
    </w:p>
    <w:p w:rsidRPr="002B4A2F" w:rsidR="00EB737A" w:rsidP="00EB737A" w:rsidRDefault="00EB737A">
      <w:pPr>
        <w:pStyle w:val="ECHRPara"/>
        <w:rPr>
          <w:lang w:val="sq-AL"/>
        </w:rPr>
      </w:pPr>
      <w:r w:rsidRPr="002B4A2F">
        <w:rPr>
          <w:lang w:val="sq-AL"/>
        </w:rPr>
        <w:fldChar w:fldCharType="begin"/>
      </w:r>
      <w:r w:rsidRPr="002B4A2F">
        <w:rPr>
          <w:lang w:val="sq-AL"/>
        </w:rPr>
        <w:instrText xml:space="preserve"> SEQ level0 \*arabic </w:instrText>
      </w:r>
      <w:r w:rsidRPr="002B4A2F">
        <w:rPr>
          <w:lang w:val="sq-AL"/>
        </w:rPr>
        <w:fldChar w:fldCharType="separate"/>
      </w:r>
      <w:r w:rsidR="00013F9B">
        <w:rPr>
          <w:noProof/>
          <w:lang w:val="sq-AL"/>
        </w:rPr>
        <w:t>152</w:t>
      </w:r>
      <w:r w:rsidRPr="002B4A2F">
        <w:rPr>
          <w:lang w:val="sq-AL"/>
        </w:rPr>
        <w:fldChar w:fldCharType="end"/>
      </w:r>
      <w:r w:rsidRPr="002B4A2F">
        <w:rPr>
          <w:lang w:val="sq-AL"/>
        </w:rPr>
        <w:t>.  </w:t>
      </w:r>
      <w:r w:rsidRPr="002B4A2F" w:rsidR="002B4A2F">
        <w:rPr>
          <w:lang w:val="sq-AL"/>
        </w:rPr>
        <w:t>Me pak fjalë, pyetja q</w:t>
      </w:r>
      <w:r w:rsidR="002B4A2F">
        <w:rPr>
          <w:lang w:val="sq-AL"/>
        </w:rPr>
        <w:t>ë</w:t>
      </w:r>
      <w:r w:rsidRPr="002B4A2F" w:rsidR="002B4A2F">
        <w:rPr>
          <w:lang w:val="sq-AL"/>
        </w:rPr>
        <w:t xml:space="preserve"> shtrohet në k</w:t>
      </w:r>
      <w:r w:rsidR="002B4A2F">
        <w:rPr>
          <w:lang w:val="sq-AL"/>
        </w:rPr>
        <w:t>ë</w:t>
      </w:r>
      <w:r w:rsidRPr="002B4A2F" w:rsidR="002B4A2F">
        <w:rPr>
          <w:lang w:val="sq-AL"/>
        </w:rPr>
        <w:t>të çështje është n</w:t>
      </w:r>
      <w:r w:rsidR="002B4A2F">
        <w:rPr>
          <w:lang w:val="sq-AL"/>
        </w:rPr>
        <w:t>ë</w:t>
      </w:r>
      <w:r w:rsidRPr="002B4A2F" w:rsidR="002B4A2F">
        <w:rPr>
          <w:lang w:val="sq-AL"/>
        </w:rPr>
        <w:t>se kuadri legjislativ i krijuar nga shteti, e n</w:t>
      </w:r>
      <w:r w:rsidR="002B4A2F">
        <w:rPr>
          <w:lang w:val="sq-AL"/>
        </w:rPr>
        <w:t>ë</w:t>
      </w:r>
      <w:r w:rsidRPr="002B4A2F" w:rsidR="002B4A2F">
        <w:rPr>
          <w:lang w:val="sq-AL"/>
        </w:rPr>
        <w:t xml:space="preserve"> veçanti mekanizmat e tij zbulues e sinjalizues, u ofronin apo jo fëmij</w:t>
      </w:r>
      <w:r w:rsidR="002B4A2F">
        <w:rPr>
          <w:lang w:val="sq-AL"/>
        </w:rPr>
        <w:t>ë</w:t>
      </w:r>
      <w:r w:rsidRPr="002B4A2F" w:rsidR="002B4A2F">
        <w:rPr>
          <w:lang w:val="sq-AL"/>
        </w:rPr>
        <w:t>ve që shkolloheshin nëpër shkollat komb</w:t>
      </w:r>
      <w:r w:rsidR="002B4A2F">
        <w:rPr>
          <w:lang w:val="sq-AL"/>
        </w:rPr>
        <w:t>ë</w:t>
      </w:r>
      <w:r w:rsidRPr="002B4A2F" w:rsidR="002B4A2F">
        <w:rPr>
          <w:lang w:val="sq-AL"/>
        </w:rPr>
        <w:t>tare një mbrojtje efektive nga rreziqet për abuzime seksuale për t</w:t>
      </w:r>
      <w:r w:rsidR="002B4A2F">
        <w:rPr>
          <w:lang w:val="sq-AL"/>
        </w:rPr>
        <w:t>ë</w:t>
      </w:r>
      <w:r w:rsidRPr="002B4A2F" w:rsidR="002B4A2F">
        <w:rPr>
          <w:lang w:val="sq-AL"/>
        </w:rPr>
        <w:t xml:space="preserve"> cilat mund të thuhej se autoritetet kishin ose duhej të kishin dijeni më 1973</w:t>
      </w:r>
      <w:r w:rsidRPr="002B4A2F">
        <w:rPr>
          <w:lang w:val="sq-AL"/>
        </w:rPr>
        <w:t>.</w:t>
      </w:r>
    </w:p>
    <w:p w:rsidRPr="00840B8C" w:rsidR="00EB737A" w:rsidP="00EB737A" w:rsidRDefault="00EB737A">
      <w:pPr>
        <w:pStyle w:val="ECHRHeading3"/>
        <w:rPr>
          <w:lang w:val="sq-AL"/>
        </w:rPr>
      </w:pPr>
      <w:r w:rsidRPr="00840B8C">
        <w:rPr>
          <w:lang w:val="sq-AL"/>
        </w:rPr>
        <w:t>2.  </w:t>
      </w:r>
      <w:r w:rsidRPr="00840B8C" w:rsidR="00422B45">
        <w:rPr>
          <w:lang w:val="sq-AL"/>
        </w:rPr>
        <w:t>A është përmbushur detyrimi pozitiv</w:t>
      </w:r>
      <w:r w:rsidRPr="00840B8C">
        <w:rPr>
          <w:lang w:val="sq-AL"/>
        </w:rPr>
        <w:t>?</w:t>
      </w:r>
    </w:p>
    <w:p w:rsidRPr="00840B8C" w:rsidR="00EB737A" w:rsidP="00EB737A" w:rsidRDefault="00EB737A">
      <w:pPr>
        <w:pStyle w:val="ECHRPara"/>
        <w:rPr>
          <w:lang w:val="sq-AL"/>
        </w:rPr>
      </w:pPr>
      <w:r w:rsidRPr="00840B8C">
        <w:rPr>
          <w:lang w:val="sq-AL"/>
        </w:rPr>
        <w:fldChar w:fldCharType="begin"/>
      </w:r>
      <w:r w:rsidRPr="00840B8C">
        <w:rPr>
          <w:lang w:val="sq-AL"/>
        </w:rPr>
        <w:instrText xml:space="preserve"> SEQ level0 \*arabic </w:instrText>
      </w:r>
      <w:r w:rsidRPr="00840B8C">
        <w:rPr>
          <w:lang w:val="sq-AL"/>
        </w:rPr>
        <w:fldChar w:fldCharType="separate"/>
      </w:r>
      <w:r w:rsidR="00013F9B">
        <w:rPr>
          <w:noProof/>
          <w:lang w:val="sq-AL"/>
        </w:rPr>
        <w:t>153</w:t>
      </w:r>
      <w:r w:rsidRPr="00840B8C">
        <w:rPr>
          <w:lang w:val="sq-AL"/>
        </w:rPr>
        <w:fldChar w:fldCharType="end"/>
      </w:r>
      <w:r w:rsidRPr="00840B8C">
        <w:rPr>
          <w:lang w:val="sq-AL"/>
        </w:rPr>
        <w:t>.  </w:t>
      </w:r>
      <w:r w:rsidRPr="00840B8C" w:rsidR="009551F1">
        <w:rPr>
          <w:lang w:val="sq-AL"/>
        </w:rPr>
        <w:t xml:space="preserve">Askush nuk e kundërshton që paditësja ka pësuar abuzime seksuale nga ana e L.H. më </w:t>
      </w:r>
      <w:r w:rsidRPr="00840B8C">
        <w:rPr>
          <w:lang w:val="sq-AL"/>
        </w:rPr>
        <w:t xml:space="preserve">1973. </w:t>
      </w:r>
      <w:r w:rsidRPr="00840B8C" w:rsidR="009551F1">
        <w:rPr>
          <w:lang w:val="sq-AL"/>
        </w:rPr>
        <w:t xml:space="preserve">Për më tepër, </w:t>
      </w:r>
      <w:r w:rsidRPr="00840B8C">
        <w:rPr>
          <w:lang w:val="sq-AL"/>
        </w:rPr>
        <w:t xml:space="preserve">L.H. </w:t>
      </w:r>
      <w:r w:rsidRPr="00840B8C" w:rsidR="009551F1">
        <w:rPr>
          <w:lang w:val="sq-AL"/>
        </w:rPr>
        <w:t xml:space="preserve">e pranoi vetë fajësinë e tij për disa akuza abuzimesh seksuale </w:t>
      </w:r>
      <w:r w:rsidRPr="00840B8C" w:rsidR="005805D4">
        <w:rPr>
          <w:lang w:val="sq-AL"/>
        </w:rPr>
        <w:t xml:space="preserve">me nxënës të së njëjtës shkollë kombëtare. </w:t>
      </w:r>
      <w:r w:rsidRPr="00840B8C" w:rsidR="00A96F95">
        <w:rPr>
          <w:lang w:val="sq-AL"/>
        </w:rPr>
        <w:t>Ai nuk p</w:t>
      </w:r>
      <w:r w:rsidRPr="00840B8C" w:rsidR="005805D4">
        <w:rPr>
          <w:lang w:val="sq-AL"/>
        </w:rPr>
        <w:t xml:space="preserve">araqiti asnjë mbrojtje në kuadrin e padisë civile të nisur nga paditësja dhe Gjykata e Lartë e pranoi që ai kishte abuzuar me të interesuarën. Përveç kësaj, Gjykata ka mendimin se këto keqtrajtime kanë të bëjnë me nenin 3 të Konventës, çka madje nuk kundërshtohet. Më saktësisht, në moshën nëntëvjeçare, ndaj paditëses u kryen nja njëzet herë brenda një periudhe prej rreth gjashtë muajsh abuzime seksuale nga ana e L.H., i cili në cilësinë e tij si mësues dhe si kryemësues i shkollës të së interesuarës ndodhej në një pozitë autoriteti e kontrolli në marrëdhënie me të </w:t>
      </w:r>
      <w:r w:rsidRPr="00840B8C">
        <w:rPr>
          <w:lang w:val="sq-AL"/>
        </w:rPr>
        <w:t>(</w:t>
      </w:r>
      <w:r w:rsidRPr="00840B8C" w:rsidR="005805D4">
        <w:rPr>
          <w:lang w:val="sq-AL"/>
        </w:rPr>
        <w:t>shih, për sh</w:t>
      </w:r>
      <w:r w:rsidRPr="00840B8C" w:rsidR="00A96F95">
        <w:rPr>
          <w:lang w:val="sq-AL"/>
        </w:rPr>
        <w:t>e</w:t>
      </w:r>
      <w:r w:rsidRPr="00840B8C" w:rsidR="005805D4">
        <w:rPr>
          <w:lang w:val="sq-AL"/>
        </w:rPr>
        <w:t>mbull</w:t>
      </w:r>
      <w:r w:rsidRPr="00840B8C">
        <w:rPr>
          <w:lang w:val="sq-AL"/>
        </w:rPr>
        <w:t xml:space="preserve">, </w:t>
      </w:r>
      <w:r w:rsidRPr="00840B8C">
        <w:rPr>
          <w:i/>
          <w:lang w:val="sq-AL"/>
        </w:rPr>
        <w:t xml:space="preserve">E. </w:t>
      </w:r>
      <w:r w:rsidRPr="00840B8C" w:rsidR="00E90FE3">
        <w:rPr>
          <w:i/>
          <w:lang w:val="sq-AL"/>
        </w:rPr>
        <w:t>me të tjerë k</w:t>
      </w:r>
      <w:r w:rsidRPr="00840B8C">
        <w:rPr>
          <w:i/>
          <w:lang w:val="sq-AL"/>
        </w:rPr>
        <w:t xml:space="preserve">. </w:t>
      </w:r>
      <w:r w:rsidRPr="00840B8C" w:rsidR="002759DF">
        <w:rPr>
          <w:i/>
          <w:lang w:val="sq-AL"/>
        </w:rPr>
        <w:t>Mbretërisë së Bashkuar</w:t>
      </w:r>
      <w:r w:rsidRPr="00840B8C">
        <w:rPr>
          <w:lang w:val="sq-AL"/>
        </w:rPr>
        <w:t xml:space="preserve">, </w:t>
      </w:r>
      <w:r w:rsidRPr="00840B8C" w:rsidR="00E90FE3">
        <w:rPr>
          <w:lang w:val="sq-AL"/>
        </w:rPr>
        <w:t>i cituar më lart</w:t>
      </w:r>
      <w:r w:rsidRPr="00840B8C">
        <w:rPr>
          <w:lang w:val="sq-AL"/>
        </w:rPr>
        <w:t>, § 89).</w:t>
      </w:r>
    </w:p>
    <w:p w:rsidRPr="00840B8C" w:rsidR="00EB737A" w:rsidP="00EB737A" w:rsidRDefault="00EB737A">
      <w:pPr>
        <w:pStyle w:val="ECHRPara"/>
        <w:rPr>
          <w:lang w:val="sq-AL"/>
        </w:rPr>
      </w:pPr>
      <w:r w:rsidRPr="00840B8C">
        <w:rPr>
          <w:lang w:val="sq-AL"/>
        </w:rPr>
        <w:fldChar w:fldCharType="begin"/>
      </w:r>
      <w:r w:rsidRPr="00840B8C">
        <w:rPr>
          <w:lang w:val="sq-AL"/>
        </w:rPr>
        <w:instrText xml:space="preserve"> SEQ level0 \*arabic </w:instrText>
      </w:r>
      <w:r w:rsidRPr="00840B8C">
        <w:rPr>
          <w:lang w:val="sq-AL"/>
        </w:rPr>
        <w:fldChar w:fldCharType="separate"/>
      </w:r>
      <w:r w:rsidR="00013F9B">
        <w:rPr>
          <w:noProof/>
          <w:lang w:val="sq-AL"/>
        </w:rPr>
        <w:t>154</w:t>
      </w:r>
      <w:r w:rsidRPr="00840B8C">
        <w:rPr>
          <w:lang w:val="sq-AL"/>
        </w:rPr>
        <w:fldChar w:fldCharType="end"/>
      </w:r>
      <w:r w:rsidRPr="00840B8C">
        <w:rPr>
          <w:lang w:val="sq-AL"/>
        </w:rPr>
        <w:t>.  </w:t>
      </w:r>
      <w:r w:rsidRPr="00840B8C" w:rsidR="00A96F95">
        <w:rPr>
          <w:lang w:val="sq-AL"/>
        </w:rPr>
        <w:t>Po ashtu, midis palëve nuk ka kundërshtime të mëdha lidhur me strukturën e sistemit irlandez të arsimit fillor, ndonëse paditësja dhe Qeveria kanë mendime që nuk pajtohen lidhur me pikën se çfarë përgjegjësie i ngarkonin shtetit në këtë drejtim e drejta e brendshme dhe Konventa.</w:t>
      </w:r>
    </w:p>
    <w:p w:rsidRPr="00266580" w:rsidR="00EB737A" w:rsidP="00EB737A" w:rsidRDefault="00EB737A">
      <w:pPr>
        <w:pStyle w:val="ECHRPara"/>
        <w:rPr>
          <w:lang w:val="sq-AL"/>
        </w:rPr>
      </w:pPr>
      <w:r w:rsidRPr="00266580">
        <w:rPr>
          <w:lang w:val="sq-AL"/>
        </w:rPr>
        <w:fldChar w:fldCharType="begin"/>
      </w:r>
      <w:r w:rsidRPr="00266580">
        <w:rPr>
          <w:lang w:val="sq-AL"/>
        </w:rPr>
        <w:instrText xml:space="preserve"> SEQ level0 \*arabic </w:instrText>
      </w:r>
      <w:r w:rsidRPr="00266580">
        <w:rPr>
          <w:lang w:val="sq-AL"/>
        </w:rPr>
        <w:fldChar w:fldCharType="separate"/>
      </w:r>
      <w:r w:rsidR="00013F9B">
        <w:rPr>
          <w:noProof/>
          <w:lang w:val="sq-AL"/>
        </w:rPr>
        <w:t>155</w:t>
      </w:r>
      <w:r w:rsidRPr="00266580">
        <w:rPr>
          <w:lang w:val="sq-AL"/>
        </w:rPr>
        <w:fldChar w:fldCharType="end"/>
      </w:r>
      <w:r w:rsidRPr="00266580">
        <w:rPr>
          <w:lang w:val="sq-AL"/>
        </w:rPr>
        <w:t>.  </w:t>
      </w:r>
      <w:r w:rsidRPr="00266580" w:rsidR="00A96F95">
        <w:rPr>
          <w:lang w:val="sq-AL"/>
        </w:rPr>
        <w:t>Rolet përkatëse të institucioneve fetare dhe t</w:t>
      </w:r>
      <w:r w:rsidRPr="00266580" w:rsidR="00840B8C">
        <w:rPr>
          <w:lang w:val="sq-AL"/>
        </w:rPr>
        <w:t>ë</w:t>
      </w:r>
      <w:r w:rsidRPr="00266580" w:rsidR="00A96F95">
        <w:rPr>
          <w:lang w:val="sq-AL"/>
        </w:rPr>
        <w:t xml:space="preserve"> shtetit n</w:t>
      </w:r>
      <w:r w:rsidRPr="00266580" w:rsidR="00840B8C">
        <w:rPr>
          <w:lang w:val="sq-AL"/>
        </w:rPr>
        <w:t>ë</w:t>
      </w:r>
      <w:r w:rsidRPr="00266580" w:rsidR="00A96F95">
        <w:rPr>
          <w:lang w:val="sq-AL"/>
        </w:rPr>
        <w:t xml:space="preserve"> fush</w:t>
      </w:r>
      <w:r w:rsidRPr="00266580" w:rsidR="00840B8C">
        <w:rPr>
          <w:lang w:val="sq-AL"/>
        </w:rPr>
        <w:t>ë</w:t>
      </w:r>
      <w:r w:rsidRPr="00266580" w:rsidR="00A96F95">
        <w:rPr>
          <w:lang w:val="sq-AL"/>
        </w:rPr>
        <w:t>n e arsimit fillor kan</w:t>
      </w:r>
      <w:r w:rsidRPr="00266580" w:rsidR="00840B8C">
        <w:rPr>
          <w:lang w:val="sq-AL"/>
        </w:rPr>
        <w:t>ë</w:t>
      </w:r>
      <w:r w:rsidRPr="00266580" w:rsidR="00A96F95">
        <w:rPr>
          <w:lang w:val="sq-AL"/>
        </w:rPr>
        <w:t xml:space="preserve"> ndryshuar shum</w:t>
      </w:r>
      <w:r w:rsidRPr="00266580" w:rsidR="00840B8C">
        <w:rPr>
          <w:lang w:val="sq-AL"/>
        </w:rPr>
        <w:t>ë</w:t>
      </w:r>
      <w:r w:rsidRPr="00266580" w:rsidR="00A96F95">
        <w:rPr>
          <w:lang w:val="sq-AL"/>
        </w:rPr>
        <w:t xml:space="preserve"> pak n</w:t>
      </w:r>
      <w:r w:rsidRPr="00266580" w:rsidR="00840B8C">
        <w:rPr>
          <w:lang w:val="sq-AL"/>
        </w:rPr>
        <w:t>ë</w:t>
      </w:r>
      <w:r w:rsidRPr="00266580" w:rsidR="00A96F95">
        <w:rPr>
          <w:lang w:val="sq-AL"/>
        </w:rPr>
        <w:t xml:space="preserve"> Irland</w:t>
      </w:r>
      <w:r w:rsidRPr="00266580" w:rsidR="00840B8C">
        <w:rPr>
          <w:lang w:val="sq-AL"/>
        </w:rPr>
        <w:t>ë</w:t>
      </w:r>
      <w:r w:rsidRPr="00266580" w:rsidR="00A96F95">
        <w:rPr>
          <w:lang w:val="sq-AL"/>
        </w:rPr>
        <w:t xml:space="preserve"> q</w:t>
      </w:r>
      <w:r w:rsidRPr="00266580" w:rsidR="00840B8C">
        <w:rPr>
          <w:lang w:val="sq-AL"/>
        </w:rPr>
        <w:t>ë</w:t>
      </w:r>
      <w:r w:rsidRPr="00266580" w:rsidR="00A96F95">
        <w:rPr>
          <w:lang w:val="sq-AL"/>
        </w:rPr>
        <w:t xml:space="preserve"> prej fillimit të shekullit XIX</w:t>
      </w:r>
      <w:r w:rsidRPr="00266580">
        <w:rPr>
          <w:lang w:val="sq-AL"/>
        </w:rPr>
        <w:t xml:space="preserve">: </w:t>
      </w:r>
      <w:r w:rsidRPr="00266580" w:rsidR="00A96F95">
        <w:rPr>
          <w:lang w:val="sq-AL"/>
        </w:rPr>
        <w:t xml:space="preserve">arsimi fillor </w:t>
      </w:r>
      <w:r w:rsidRPr="00266580" w:rsidR="00A96F95">
        <w:rPr>
          <w:i/>
          <w:lang w:val="sq-AL"/>
        </w:rPr>
        <w:t>sigurohej</w:t>
      </w:r>
      <w:r w:rsidRPr="00266580" w:rsidR="00A96F95">
        <w:rPr>
          <w:lang w:val="sq-AL"/>
        </w:rPr>
        <w:t xml:space="preserve"> nga shteti </w:t>
      </w:r>
      <w:r w:rsidRPr="00266580">
        <w:rPr>
          <w:lang w:val="sq-AL"/>
        </w:rPr>
        <w:t>(</w:t>
      </w:r>
      <w:r w:rsidRPr="00266580" w:rsidR="00A96F95">
        <w:rPr>
          <w:lang w:val="sq-AL"/>
        </w:rPr>
        <w:t>i cili përcaktonte programet, u jepte mësuesve lejet e m</w:t>
      </w:r>
      <w:r w:rsidRPr="00266580" w:rsidR="00840B8C">
        <w:rPr>
          <w:lang w:val="sq-AL"/>
        </w:rPr>
        <w:t>ë</w:t>
      </w:r>
      <w:r w:rsidRPr="00266580" w:rsidR="00A96F95">
        <w:rPr>
          <w:lang w:val="sq-AL"/>
        </w:rPr>
        <w:t>simdh</w:t>
      </w:r>
      <w:r w:rsidRPr="00266580" w:rsidR="00840B8C">
        <w:rPr>
          <w:lang w:val="sq-AL"/>
        </w:rPr>
        <w:t>ë</w:t>
      </w:r>
      <w:r w:rsidRPr="00266580" w:rsidR="00A96F95">
        <w:rPr>
          <w:lang w:val="sq-AL"/>
        </w:rPr>
        <w:t>nies dhe financonte institucionet shkollore), por n</w:t>
      </w:r>
      <w:r w:rsidRPr="00266580" w:rsidR="00840B8C">
        <w:rPr>
          <w:lang w:val="sq-AL"/>
        </w:rPr>
        <w:t>ë</w:t>
      </w:r>
      <w:r w:rsidRPr="00266580" w:rsidR="00A96F95">
        <w:rPr>
          <w:lang w:val="sq-AL"/>
        </w:rPr>
        <w:t xml:space="preserve"> thelb </w:t>
      </w:r>
      <w:r w:rsidRPr="00266580" w:rsidR="00A96F95">
        <w:rPr>
          <w:i/>
          <w:lang w:val="sq-AL"/>
        </w:rPr>
        <w:t>jepej</w:t>
      </w:r>
      <w:r w:rsidRPr="00266580" w:rsidR="00A96F95">
        <w:rPr>
          <w:lang w:val="sq-AL"/>
        </w:rPr>
        <w:t xml:space="preserve"> nga shkollat komb</w:t>
      </w:r>
      <w:r w:rsidRPr="00266580" w:rsidR="00840B8C">
        <w:rPr>
          <w:lang w:val="sq-AL"/>
        </w:rPr>
        <w:t>ë</w:t>
      </w:r>
      <w:r w:rsidRPr="00266580" w:rsidR="00A96F95">
        <w:rPr>
          <w:lang w:val="sq-AL"/>
        </w:rPr>
        <w:t>tare. Këto t</w:t>
      </w:r>
      <w:r w:rsidRPr="00266580" w:rsidR="00840B8C">
        <w:rPr>
          <w:lang w:val="sq-AL"/>
        </w:rPr>
        <w:t>ë</w:t>
      </w:r>
      <w:r w:rsidRPr="00266580" w:rsidR="00A96F95">
        <w:rPr>
          <w:lang w:val="sq-AL"/>
        </w:rPr>
        <w:t xml:space="preserve"> fundit kishin organe </w:t>
      </w:r>
      <w:r w:rsidRPr="00266580" w:rsidR="009660C9">
        <w:rPr>
          <w:lang w:val="sq-AL"/>
        </w:rPr>
        <w:t>fetare për pronarë (</w:t>
      </w:r>
      <w:r w:rsidRPr="00266580" w:rsidR="009660C9">
        <w:rPr>
          <w:i/>
          <w:lang w:val="sq-AL"/>
        </w:rPr>
        <w:t>Padronët</w:t>
      </w:r>
      <w:r w:rsidRPr="00266580" w:rsidR="009660C9">
        <w:rPr>
          <w:lang w:val="sq-AL"/>
        </w:rPr>
        <w:t xml:space="preserve">) dhe për administratorë (drejtorët). Siç e ka theksuar gjyqtari </w:t>
      </w:r>
      <w:r w:rsidRPr="00266580">
        <w:rPr>
          <w:lang w:val="sq-AL"/>
        </w:rPr>
        <w:t xml:space="preserve">Hardiman, </w:t>
      </w:r>
      <w:r w:rsidRPr="00266580" w:rsidR="009660C9">
        <w:rPr>
          <w:lang w:val="sq-AL"/>
        </w:rPr>
        <w:t>administrimi i shkollave komb</w:t>
      </w:r>
      <w:r w:rsidRPr="00266580" w:rsidR="00840B8C">
        <w:rPr>
          <w:lang w:val="sq-AL"/>
        </w:rPr>
        <w:t>ë</w:t>
      </w:r>
      <w:r w:rsidRPr="00266580" w:rsidR="009660C9">
        <w:rPr>
          <w:lang w:val="sq-AL"/>
        </w:rPr>
        <w:t>tare nga institucione fetare nuk vinte thjesht nga nj</w:t>
      </w:r>
      <w:r w:rsidRPr="00266580" w:rsidR="00840B8C">
        <w:rPr>
          <w:lang w:val="sq-AL"/>
        </w:rPr>
        <w:t>ë</w:t>
      </w:r>
      <w:r w:rsidRPr="00266580" w:rsidR="009660C9">
        <w:rPr>
          <w:lang w:val="sq-AL"/>
        </w:rPr>
        <w:t xml:space="preserve"> leje që u kishte dh</w:t>
      </w:r>
      <w:r w:rsidRPr="00266580" w:rsidR="00840B8C">
        <w:rPr>
          <w:lang w:val="sq-AL"/>
        </w:rPr>
        <w:t>ë</w:t>
      </w:r>
      <w:r w:rsidRPr="00266580" w:rsidR="009660C9">
        <w:rPr>
          <w:lang w:val="sq-AL"/>
        </w:rPr>
        <w:t>n</w:t>
      </w:r>
      <w:r w:rsidRPr="00266580" w:rsidR="00840B8C">
        <w:rPr>
          <w:lang w:val="sq-AL"/>
        </w:rPr>
        <w:t>ë</w:t>
      </w:r>
      <w:r w:rsidRPr="00266580" w:rsidR="009660C9">
        <w:rPr>
          <w:lang w:val="sq-AL"/>
        </w:rPr>
        <w:t xml:space="preserve"> atyre shteti për të marrë pjesë n</w:t>
      </w:r>
      <w:r w:rsidRPr="00266580" w:rsidR="00840B8C">
        <w:rPr>
          <w:lang w:val="sq-AL"/>
        </w:rPr>
        <w:t>ë</w:t>
      </w:r>
      <w:r w:rsidRPr="00266580" w:rsidR="009660C9">
        <w:rPr>
          <w:lang w:val="sq-AL"/>
        </w:rPr>
        <w:t xml:space="preserve"> </w:t>
      </w:r>
      <w:r w:rsidRPr="00266580" w:rsidR="005F02AC">
        <w:rPr>
          <w:lang w:val="sq-AL"/>
        </w:rPr>
        <w:t>or</w:t>
      </w:r>
      <w:r w:rsidRPr="00266580" w:rsidR="009660C9">
        <w:rPr>
          <w:lang w:val="sq-AL"/>
        </w:rPr>
        <w:t>ganizimin e arsimit fillor, por nga një “kalim t</w:t>
      </w:r>
      <w:r w:rsidRPr="00266580" w:rsidR="00840B8C">
        <w:rPr>
          <w:lang w:val="sq-AL"/>
        </w:rPr>
        <w:t>ë</w:t>
      </w:r>
      <w:r w:rsidRPr="00266580" w:rsidR="009660C9">
        <w:rPr>
          <w:lang w:val="sq-AL"/>
        </w:rPr>
        <w:t xml:space="preserve"> drejte” nga ana e shtetit për administrimin e k</w:t>
      </w:r>
      <w:r w:rsidRPr="00266580" w:rsidR="00840B8C">
        <w:rPr>
          <w:lang w:val="sq-AL"/>
        </w:rPr>
        <w:t>ë</w:t>
      </w:r>
      <w:r w:rsidRPr="00266580" w:rsidR="009660C9">
        <w:rPr>
          <w:lang w:val="sq-AL"/>
        </w:rPr>
        <w:t>tyre shkollave n</w:t>
      </w:r>
      <w:r w:rsidRPr="00266580" w:rsidR="00840B8C">
        <w:rPr>
          <w:lang w:val="sq-AL"/>
        </w:rPr>
        <w:t>ë</w:t>
      </w:r>
      <w:r w:rsidRPr="00266580" w:rsidR="009660C9">
        <w:rPr>
          <w:lang w:val="sq-AL"/>
        </w:rPr>
        <w:t xml:space="preserve"> favor të institucioneve fetare dhe të interesave q</w:t>
      </w:r>
      <w:r w:rsidRPr="00266580" w:rsidR="00840B8C">
        <w:rPr>
          <w:lang w:val="sq-AL"/>
        </w:rPr>
        <w:t>ë</w:t>
      </w:r>
      <w:r w:rsidRPr="00266580" w:rsidR="009660C9">
        <w:rPr>
          <w:lang w:val="sq-AL"/>
        </w:rPr>
        <w:t xml:space="preserve"> ato përfaqësonin, përderisa k</w:t>
      </w:r>
      <w:r w:rsidRPr="00266580" w:rsidR="00840B8C">
        <w:rPr>
          <w:lang w:val="sq-AL"/>
        </w:rPr>
        <w:t>ë</w:t>
      </w:r>
      <w:r w:rsidRPr="00266580" w:rsidR="009660C9">
        <w:rPr>
          <w:lang w:val="sq-AL"/>
        </w:rPr>
        <w:t xml:space="preserve">to institucione </w:t>
      </w:r>
      <w:r w:rsidRPr="00266580" w:rsidR="00175E94">
        <w:rPr>
          <w:lang w:val="sq-AL"/>
        </w:rPr>
        <w:t>viheshin n</w:t>
      </w:r>
      <w:r w:rsidRPr="00266580" w:rsidR="00840B8C">
        <w:rPr>
          <w:lang w:val="sq-AL"/>
        </w:rPr>
        <w:t>ë</w:t>
      </w:r>
      <w:r w:rsidRPr="00266580" w:rsidR="00175E94">
        <w:rPr>
          <w:lang w:val="sq-AL"/>
        </w:rPr>
        <w:t xml:space="preserve"> mes nd</w:t>
      </w:r>
      <w:r w:rsidRPr="00266580" w:rsidR="00840B8C">
        <w:rPr>
          <w:lang w:val="sq-AL"/>
        </w:rPr>
        <w:t>ë</w:t>
      </w:r>
      <w:r w:rsidRPr="00266580" w:rsidR="00175E94">
        <w:rPr>
          <w:lang w:val="sq-AL"/>
        </w:rPr>
        <w:t>rmjet tij dhe f</w:t>
      </w:r>
      <w:r w:rsidRPr="00266580" w:rsidR="00840B8C">
        <w:rPr>
          <w:lang w:val="sq-AL"/>
        </w:rPr>
        <w:t>ë</w:t>
      </w:r>
      <w:r w:rsidRPr="00266580" w:rsidR="00175E94">
        <w:rPr>
          <w:lang w:val="sq-AL"/>
        </w:rPr>
        <w:t>mij</w:t>
      </w:r>
      <w:r w:rsidRPr="00266580" w:rsidR="00840B8C">
        <w:rPr>
          <w:lang w:val="sq-AL"/>
        </w:rPr>
        <w:t>ë</w:t>
      </w:r>
      <w:r w:rsidRPr="00266580" w:rsidR="00175E94">
        <w:rPr>
          <w:lang w:val="sq-AL"/>
        </w:rPr>
        <w:t>ve. Ministri i Arsimit mënjanohej k</w:t>
      </w:r>
      <w:r w:rsidRPr="00266580" w:rsidR="00840B8C">
        <w:rPr>
          <w:lang w:val="sq-AL"/>
        </w:rPr>
        <w:t>ë</w:t>
      </w:r>
      <w:r w:rsidRPr="00266580" w:rsidR="00175E94">
        <w:rPr>
          <w:lang w:val="sq-AL"/>
        </w:rPr>
        <w:t>shtu nga administrimi dhe mbikëqyrja e drejtp</w:t>
      </w:r>
      <w:r w:rsidRPr="00266580" w:rsidR="00840B8C">
        <w:rPr>
          <w:lang w:val="sq-AL"/>
        </w:rPr>
        <w:t>ë</w:t>
      </w:r>
      <w:r w:rsidRPr="00266580" w:rsidR="00175E94">
        <w:rPr>
          <w:lang w:val="sq-AL"/>
        </w:rPr>
        <w:t>rdrejt</w:t>
      </w:r>
      <w:r w:rsidRPr="00266580" w:rsidR="00840B8C">
        <w:rPr>
          <w:lang w:val="sq-AL"/>
        </w:rPr>
        <w:t>ë</w:t>
      </w:r>
      <w:r w:rsidRPr="00266580" w:rsidR="00175E94">
        <w:rPr>
          <w:lang w:val="sq-AL"/>
        </w:rPr>
        <w:t xml:space="preserve"> dhe e përditshme e shkollave komb</w:t>
      </w:r>
      <w:r w:rsidRPr="00266580" w:rsidR="00840B8C">
        <w:rPr>
          <w:lang w:val="sq-AL"/>
        </w:rPr>
        <w:t>ë</w:t>
      </w:r>
      <w:r w:rsidRPr="00266580" w:rsidR="00175E94">
        <w:rPr>
          <w:lang w:val="sq-AL"/>
        </w:rPr>
        <w:t xml:space="preserve">tare </w:t>
      </w:r>
      <w:r w:rsidRPr="00266580">
        <w:rPr>
          <w:lang w:val="sq-AL"/>
        </w:rPr>
        <w:t>(paragra</w:t>
      </w:r>
      <w:r w:rsidRPr="00266580" w:rsidR="00175E94">
        <w:rPr>
          <w:lang w:val="sq-AL"/>
        </w:rPr>
        <w:t>fët 35 e</w:t>
      </w:r>
      <w:r w:rsidRPr="00266580">
        <w:rPr>
          <w:lang w:val="sq-AL"/>
        </w:rPr>
        <w:t xml:space="preserve"> 40 </w:t>
      </w:r>
      <w:r w:rsidRPr="00266580" w:rsidR="00604857">
        <w:rPr>
          <w:lang w:val="sq-AL"/>
        </w:rPr>
        <w:t>të mësipërm</w:t>
      </w:r>
      <w:r w:rsidRPr="00266580">
        <w:rPr>
          <w:lang w:val="sq-AL"/>
        </w:rPr>
        <w:t xml:space="preserve">). </w:t>
      </w:r>
      <w:r w:rsidRPr="00266580" w:rsidR="00175E94">
        <w:rPr>
          <w:lang w:val="sq-AL"/>
        </w:rPr>
        <w:t>Siç e kan</w:t>
      </w:r>
      <w:r w:rsidRPr="00266580" w:rsidR="00840B8C">
        <w:rPr>
          <w:lang w:val="sq-AL"/>
        </w:rPr>
        <w:t>ë</w:t>
      </w:r>
      <w:r w:rsidRPr="00266580" w:rsidR="00175E94">
        <w:rPr>
          <w:lang w:val="sq-AL"/>
        </w:rPr>
        <w:t xml:space="preserve"> v</w:t>
      </w:r>
      <w:r w:rsidRPr="00266580" w:rsidR="00840B8C">
        <w:rPr>
          <w:lang w:val="sq-AL"/>
        </w:rPr>
        <w:t>ë</w:t>
      </w:r>
      <w:r w:rsidRPr="00266580" w:rsidR="00175E94">
        <w:rPr>
          <w:lang w:val="sq-AL"/>
        </w:rPr>
        <w:t>n</w:t>
      </w:r>
      <w:r w:rsidRPr="00266580" w:rsidR="00840B8C">
        <w:rPr>
          <w:lang w:val="sq-AL"/>
        </w:rPr>
        <w:t>ë</w:t>
      </w:r>
      <w:r w:rsidRPr="00266580" w:rsidR="00175E94">
        <w:rPr>
          <w:lang w:val="sq-AL"/>
        </w:rPr>
        <w:t xml:space="preserve"> n</w:t>
      </w:r>
      <w:r w:rsidRPr="00266580" w:rsidR="00840B8C">
        <w:rPr>
          <w:lang w:val="sq-AL"/>
        </w:rPr>
        <w:t>ë</w:t>
      </w:r>
      <w:r w:rsidRPr="00266580" w:rsidR="00175E94">
        <w:rPr>
          <w:lang w:val="sq-AL"/>
        </w:rPr>
        <w:t xml:space="preserve"> dukje gjyqtarët Hardiman e</w:t>
      </w:r>
      <w:r w:rsidRPr="00266580">
        <w:rPr>
          <w:lang w:val="sq-AL"/>
        </w:rPr>
        <w:t xml:space="preserve"> Fennelly </w:t>
      </w:r>
      <w:r w:rsidRPr="00266580" w:rsidR="00175E94">
        <w:rPr>
          <w:lang w:val="sq-AL"/>
        </w:rPr>
        <w:t>gjat</w:t>
      </w:r>
      <w:r w:rsidRPr="00266580" w:rsidR="00840B8C">
        <w:rPr>
          <w:lang w:val="sq-AL"/>
        </w:rPr>
        <w:t>ë</w:t>
      </w:r>
      <w:r w:rsidRPr="00266580" w:rsidR="00175E94">
        <w:rPr>
          <w:lang w:val="sq-AL"/>
        </w:rPr>
        <w:t xml:space="preserve"> procedurës p</w:t>
      </w:r>
      <w:r w:rsidRPr="00266580" w:rsidR="00840B8C">
        <w:rPr>
          <w:lang w:val="sq-AL"/>
        </w:rPr>
        <w:t>ë</w:t>
      </w:r>
      <w:r w:rsidRPr="00266580" w:rsidR="00175E94">
        <w:rPr>
          <w:lang w:val="sq-AL"/>
        </w:rPr>
        <w:t>rpara Gjykat</w:t>
      </w:r>
      <w:r w:rsidRPr="00266580" w:rsidR="00840B8C">
        <w:rPr>
          <w:lang w:val="sq-AL"/>
        </w:rPr>
        <w:t>ë</w:t>
      </w:r>
      <w:r w:rsidRPr="00266580" w:rsidR="00175E94">
        <w:rPr>
          <w:lang w:val="sq-AL"/>
        </w:rPr>
        <w:t>s së Lartë, institucionet fetare kishin shprehur d</w:t>
      </w:r>
      <w:r w:rsidRPr="00266580" w:rsidR="00840B8C">
        <w:rPr>
          <w:lang w:val="sq-AL"/>
        </w:rPr>
        <w:t>ë</w:t>
      </w:r>
      <w:r w:rsidRPr="00266580" w:rsidR="00175E94">
        <w:rPr>
          <w:lang w:val="sq-AL"/>
        </w:rPr>
        <w:t>shir</w:t>
      </w:r>
      <w:r w:rsidRPr="00266580" w:rsidR="00840B8C">
        <w:rPr>
          <w:lang w:val="sq-AL"/>
        </w:rPr>
        <w:t>ë</w:t>
      </w:r>
      <w:r w:rsidRPr="00266580" w:rsidR="00175E94">
        <w:rPr>
          <w:lang w:val="sq-AL"/>
        </w:rPr>
        <w:t>n e madhe për ta ruajtur modelin e arsimit fillor t</w:t>
      </w:r>
      <w:r w:rsidRPr="00266580" w:rsidR="00840B8C">
        <w:rPr>
          <w:lang w:val="sq-AL"/>
        </w:rPr>
        <w:t>ë</w:t>
      </w:r>
      <w:r w:rsidRPr="00266580" w:rsidR="00175E94">
        <w:rPr>
          <w:lang w:val="sq-AL"/>
        </w:rPr>
        <w:t xml:space="preserve"> bazuar te shkollat komb</w:t>
      </w:r>
      <w:r w:rsidRPr="00266580" w:rsidR="00840B8C">
        <w:rPr>
          <w:lang w:val="sq-AL"/>
        </w:rPr>
        <w:t>ë</w:t>
      </w:r>
      <w:r w:rsidRPr="00266580" w:rsidR="00175E94">
        <w:rPr>
          <w:lang w:val="sq-AL"/>
        </w:rPr>
        <w:t>tare dhe ndikimin e tyre mbi at</w:t>
      </w:r>
      <w:r w:rsidRPr="00266580" w:rsidR="00840B8C">
        <w:rPr>
          <w:lang w:val="sq-AL"/>
        </w:rPr>
        <w:t>ë</w:t>
      </w:r>
      <w:r w:rsidRPr="00266580" w:rsidR="00175E94">
        <w:rPr>
          <w:lang w:val="sq-AL"/>
        </w:rPr>
        <w:t xml:space="preserve"> sistem. Meqenëse q</w:t>
      </w:r>
      <w:r w:rsidRPr="00266580" w:rsidR="00840B8C">
        <w:rPr>
          <w:lang w:val="sq-AL"/>
        </w:rPr>
        <w:t>ë</w:t>
      </w:r>
      <w:r w:rsidRPr="00266580" w:rsidR="00175E94">
        <w:rPr>
          <w:lang w:val="sq-AL"/>
        </w:rPr>
        <w:t>llimi i ndjekur prej tyre ishte q</w:t>
      </w:r>
      <w:r w:rsidRPr="00266580" w:rsidR="00840B8C">
        <w:rPr>
          <w:lang w:val="sq-AL"/>
        </w:rPr>
        <w:t>ë</w:t>
      </w:r>
      <w:r w:rsidRPr="00266580" w:rsidR="00175E94">
        <w:rPr>
          <w:lang w:val="sq-AL"/>
        </w:rPr>
        <w:t xml:space="preserve"> n</w:t>
      </w:r>
      <w:r w:rsidRPr="00266580" w:rsidR="00840B8C">
        <w:rPr>
          <w:lang w:val="sq-AL"/>
        </w:rPr>
        <w:t>ë</w:t>
      </w:r>
      <w:r w:rsidRPr="00266580" w:rsidR="00175E94">
        <w:rPr>
          <w:lang w:val="sq-AL"/>
        </w:rPr>
        <w:t>për shkolla t</w:t>
      </w:r>
      <w:r w:rsidRPr="00266580" w:rsidR="00840B8C">
        <w:rPr>
          <w:lang w:val="sq-AL"/>
        </w:rPr>
        <w:t>ë</w:t>
      </w:r>
      <w:r w:rsidRPr="00266580" w:rsidR="00175E94">
        <w:rPr>
          <w:lang w:val="sq-AL"/>
        </w:rPr>
        <w:t xml:space="preserve"> pasqyrohej etika e tyre, sistemi i shkollave komb</w:t>
      </w:r>
      <w:r w:rsidRPr="00266580" w:rsidR="00840B8C">
        <w:rPr>
          <w:lang w:val="sq-AL"/>
        </w:rPr>
        <w:t>ë</w:t>
      </w:r>
      <w:r w:rsidRPr="00266580" w:rsidR="00175E94">
        <w:rPr>
          <w:lang w:val="sq-AL"/>
        </w:rPr>
        <w:t>tare mori si përfundim nj</w:t>
      </w:r>
      <w:r w:rsidRPr="00266580" w:rsidR="00840B8C">
        <w:rPr>
          <w:lang w:val="sq-AL"/>
        </w:rPr>
        <w:t>ë</w:t>
      </w:r>
      <w:r w:rsidRPr="00266580" w:rsidR="00175E94">
        <w:rPr>
          <w:lang w:val="sq-AL"/>
        </w:rPr>
        <w:t xml:space="preserve"> karakter </w:t>
      </w:r>
      <w:r w:rsidRPr="00266580" w:rsidR="005F02AC">
        <w:rPr>
          <w:lang w:val="sq-AL"/>
        </w:rPr>
        <w:t xml:space="preserve">në </w:t>
      </w:r>
      <w:r w:rsidRPr="00266580" w:rsidR="00175E94">
        <w:rPr>
          <w:lang w:val="sq-AL"/>
        </w:rPr>
        <w:t>thelb fetar. Për rrjedhoj</w:t>
      </w:r>
      <w:r w:rsidRPr="00266580" w:rsidR="00840B8C">
        <w:rPr>
          <w:lang w:val="sq-AL"/>
        </w:rPr>
        <w:t>ë</w:t>
      </w:r>
      <w:r w:rsidRPr="00266580" w:rsidR="00175E94">
        <w:rPr>
          <w:lang w:val="sq-AL"/>
        </w:rPr>
        <w:t>, shkolla komb</w:t>
      </w:r>
      <w:r w:rsidRPr="00266580" w:rsidR="00840B8C">
        <w:rPr>
          <w:lang w:val="sq-AL"/>
        </w:rPr>
        <w:t>ë</w:t>
      </w:r>
      <w:r w:rsidRPr="00266580" w:rsidR="00175E94">
        <w:rPr>
          <w:lang w:val="sq-AL"/>
        </w:rPr>
        <w:t xml:space="preserve">tare e administruar nga Kisha Katolike </w:t>
      </w:r>
      <w:r w:rsidRPr="00266580" w:rsidR="00840B8C">
        <w:rPr>
          <w:lang w:val="sq-AL"/>
        </w:rPr>
        <w:t xml:space="preserve">kishte në përgjithësi një drejtor katolik (zakonisht priftin e famullisë së atyshme) si edhe mësues e nxënës katolikë </w:t>
      </w:r>
      <w:r w:rsidRPr="00266580">
        <w:rPr>
          <w:lang w:val="sq-AL"/>
        </w:rPr>
        <w:t>(</w:t>
      </w:r>
      <w:r w:rsidRPr="00266580" w:rsidR="00840B8C">
        <w:rPr>
          <w:lang w:val="sq-AL"/>
        </w:rPr>
        <w:t>shih vërejtjet e gjyqtarëve Hardiman e</w:t>
      </w:r>
      <w:r w:rsidRPr="00266580">
        <w:rPr>
          <w:lang w:val="sq-AL"/>
        </w:rPr>
        <w:t xml:space="preserve"> Fennelly </w:t>
      </w:r>
      <w:r w:rsidRPr="00266580" w:rsidR="00840B8C">
        <w:rPr>
          <w:lang w:val="sq-AL"/>
        </w:rPr>
        <w:t xml:space="preserve">në paragrafët </w:t>
      </w:r>
      <w:r w:rsidRPr="00266580">
        <w:rPr>
          <w:lang w:val="sq-AL"/>
        </w:rPr>
        <w:t xml:space="preserve">31-32 </w:t>
      </w:r>
      <w:r w:rsidRPr="00266580" w:rsidR="00840B8C">
        <w:rPr>
          <w:lang w:val="sq-AL"/>
        </w:rPr>
        <w:t>dhe</w:t>
      </w:r>
      <w:r w:rsidRPr="00266580">
        <w:rPr>
          <w:lang w:val="sq-AL"/>
        </w:rPr>
        <w:t xml:space="preserve"> 43 </w:t>
      </w:r>
      <w:r w:rsidRPr="00266580" w:rsidR="00604857">
        <w:rPr>
          <w:lang w:val="sq-AL"/>
        </w:rPr>
        <w:t>të mësipërm</w:t>
      </w:r>
      <w:r w:rsidRPr="00266580">
        <w:rPr>
          <w:lang w:val="sq-AL"/>
        </w:rPr>
        <w:t>).</w:t>
      </w:r>
    </w:p>
    <w:p w:rsidRPr="00266580" w:rsidR="00EB737A" w:rsidP="00EB737A" w:rsidRDefault="00EB737A">
      <w:pPr>
        <w:pStyle w:val="ECHRPara"/>
        <w:rPr>
          <w:lang w:val="sq-AL"/>
        </w:rPr>
      </w:pPr>
      <w:r w:rsidRPr="00266580">
        <w:rPr>
          <w:lang w:val="sq-AL"/>
        </w:rPr>
        <w:fldChar w:fldCharType="begin"/>
      </w:r>
      <w:r w:rsidRPr="00266580">
        <w:rPr>
          <w:lang w:val="sq-AL"/>
        </w:rPr>
        <w:instrText xml:space="preserve"> SEQ level0 \*arabic </w:instrText>
      </w:r>
      <w:r w:rsidRPr="00266580">
        <w:rPr>
          <w:lang w:val="sq-AL"/>
        </w:rPr>
        <w:fldChar w:fldCharType="separate"/>
      </w:r>
      <w:r w:rsidR="00013F9B">
        <w:rPr>
          <w:noProof/>
          <w:lang w:val="sq-AL"/>
        </w:rPr>
        <w:t>156</w:t>
      </w:r>
      <w:r w:rsidRPr="00266580">
        <w:rPr>
          <w:lang w:val="sq-AL"/>
        </w:rPr>
        <w:fldChar w:fldCharType="end"/>
      </w:r>
      <w:r w:rsidRPr="00266580">
        <w:rPr>
          <w:lang w:val="sq-AL"/>
        </w:rPr>
        <w:t>.  </w:t>
      </w:r>
      <w:r w:rsidRPr="00266580" w:rsidR="00840B8C">
        <w:rPr>
          <w:lang w:val="sq-AL"/>
        </w:rPr>
        <w:t xml:space="preserve">Ky model i shkollave kombëtare vazhdoi edhe pas pavarësisë më </w:t>
      </w:r>
      <w:r w:rsidRPr="00266580">
        <w:rPr>
          <w:lang w:val="sq-AL"/>
        </w:rPr>
        <w:t xml:space="preserve">1922, </w:t>
      </w:r>
      <w:r w:rsidRPr="00266580" w:rsidR="00840B8C">
        <w:rPr>
          <w:lang w:val="sq-AL"/>
        </w:rPr>
        <w:t xml:space="preserve">pastaj u sanksionua nga neni </w:t>
      </w:r>
      <w:r w:rsidRPr="00266580">
        <w:rPr>
          <w:lang w:val="sq-AL"/>
        </w:rPr>
        <w:t xml:space="preserve">42 § 4 </w:t>
      </w:r>
      <w:r w:rsidRPr="00266580" w:rsidR="00840B8C">
        <w:rPr>
          <w:lang w:val="sq-AL"/>
        </w:rPr>
        <w:t xml:space="preserve">i Kushtetutës së miratuar më </w:t>
      </w:r>
      <w:r w:rsidRPr="00266580">
        <w:rPr>
          <w:lang w:val="sq-AL"/>
        </w:rPr>
        <w:t xml:space="preserve">1937, </w:t>
      </w:r>
      <w:r w:rsidRPr="00266580" w:rsidR="00840B8C">
        <w:rPr>
          <w:lang w:val="sq-AL"/>
        </w:rPr>
        <w:t>i cili e la në fuqi dhe e lehtësoi funksionimin e tyre. Në fillimin e viteve</w:t>
      </w:r>
      <w:r w:rsidRPr="00266580">
        <w:rPr>
          <w:lang w:val="sq-AL"/>
        </w:rPr>
        <w:t xml:space="preserve"> 1970, </w:t>
      </w:r>
      <w:r w:rsidRPr="00266580" w:rsidR="00840B8C">
        <w:rPr>
          <w:lang w:val="sq-AL"/>
        </w:rPr>
        <w:t>shkollat kombëtare përbënin 94</w:t>
      </w:r>
      <w:r w:rsidRPr="00266580">
        <w:rPr>
          <w:lang w:val="sq-AL"/>
        </w:rPr>
        <w:t xml:space="preserve">% </w:t>
      </w:r>
      <w:r w:rsidRPr="00266580" w:rsidR="00840B8C">
        <w:rPr>
          <w:lang w:val="sq-AL"/>
        </w:rPr>
        <w:t>të të gjitha institucioneve të arsimit fillor. Kisha Katolike kishte dhe administronte asokohe</w:t>
      </w:r>
      <w:r w:rsidR="00943091">
        <w:rPr>
          <w:lang w:val="sq-AL"/>
        </w:rPr>
        <w:t xml:space="preserve"> </w:t>
      </w:r>
      <w:r w:rsidRPr="00266580" w:rsidR="00840B8C">
        <w:rPr>
          <w:lang w:val="sq-AL"/>
        </w:rPr>
        <w:t>91</w:t>
      </w:r>
      <w:r w:rsidRPr="00266580">
        <w:rPr>
          <w:lang w:val="sq-AL"/>
        </w:rPr>
        <w:t xml:space="preserve">% </w:t>
      </w:r>
      <w:r w:rsidRPr="00266580" w:rsidR="00840B8C">
        <w:rPr>
          <w:lang w:val="sq-AL"/>
        </w:rPr>
        <w:t>të këtyre institucioneve</w:t>
      </w:r>
      <w:r w:rsidRPr="00266580">
        <w:rPr>
          <w:lang w:val="sq-AL"/>
        </w:rPr>
        <w:t xml:space="preserve">; </w:t>
      </w:r>
      <w:r w:rsidRPr="00266580" w:rsidR="00840B8C">
        <w:rPr>
          <w:lang w:val="sq-AL"/>
        </w:rPr>
        <w:t>përqindja e fëmijëve në moshë arsimi fillor të cilët shkonin në shkollat kombëtare të drejtuara nga Kisha Katolike ishte sipas të gjitha gjasave edhe më e lartë.</w:t>
      </w:r>
    </w:p>
    <w:p w:rsidRPr="00266580" w:rsidR="00EB737A" w:rsidP="00EB737A" w:rsidRDefault="00EB737A">
      <w:pPr>
        <w:pStyle w:val="ECHRPara"/>
        <w:rPr>
          <w:lang w:val="sq-AL"/>
        </w:rPr>
      </w:pPr>
      <w:r w:rsidRPr="00266580">
        <w:rPr>
          <w:lang w:val="sq-AL"/>
        </w:rPr>
        <w:fldChar w:fldCharType="begin"/>
      </w:r>
      <w:r w:rsidRPr="00266580">
        <w:rPr>
          <w:lang w:val="sq-AL"/>
        </w:rPr>
        <w:instrText xml:space="preserve"> SEQ level0 \*arabic </w:instrText>
      </w:r>
      <w:r w:rsidRPr="00266580">
        <w:rPr>
          <w:lang w:val="sq-AL"/>
        </w:rPr>
        <w:fldChar w:fldCharType="separate"/>
      </w:r>
      <w:r w:rsidR="00013F9B">
        <w:rPr>
          <w:noProof/>
          <w:lang w:val="sq-AL"/>
        </w:rPr>
        <w:t>157</w:t>
      </w:r>
      <w:r w:rsidRPr="00266580">
        <w:rPr>
          <w:lang w:val="sq-AL"/>
        </w:rPr>
        <w:fldChar w:fldCharType="end"/>
      </w:r>
      <w:r w:rsidRPr="00266580">
        <w:rPr>
          <w:lang w:val="sq-AL"/>
        </w:rPr>
        <w:t>.  </w:t>
      </w:r>
      <w:r w:rsidRPr="00266580" w:rsidR="005F02AC">
        <w:rPr>
          <w:lang w:val="sq-AL"/>
        </w:rPr>
        <w:t>Kështu, n</w:t>
      </w:r>
      <w:r w:rsidR="00266580">
        <w:rPr>
          <w:lang w:val="sq-AL"/>
        </w:rPr>
        <w:t>ë</w:t>
      </w:r>
      <w:r w:rsidRPr="00266580" w:rsidR="005F02AC">
        <w:rPr>
          <w:lang w:val="sq-AL"/>
        </w:rPr>
        <w:t xml:space="preserve"> fillimin e viteve </w:t>
      </w:r>
      <w:r w:rsidRPr="00266580">
        <w:rPr>
          <w:lang w:val="sq-AL"/>
        </w:rPr>
        <w:t xml:space="preserve">1970, </w:t>
      </w:r>
      <w:r w:rsidRPr="00266580" w:rsidR="005F02AC">
        <w:rPr>
          <w:lang w:val="sq-AL"/>
        </w:rPr>
        <w:t>shumica d</w:t>
      </w:r>
      <w:r w:rsidR="00266580">
        <w:rPr>
          <w:lang w:val="sq-AL"/>
        </w:rPr>
        <w:t>ë</w:t>
      </w:r>
      <w:r w:rsidRPr="00266580" w:rsidR="005F02AC">
        <w:rPr>
          <w:lang w:val="sq-AL"/>
        </w:rPr>
        <w:t>rrmuese e f</w:t>
      </w:r>
      <w:r w:rsidR="00266580">
        <w:rPr>
          <w:lang w:val="sq-AL"/>
        </w:rPr>
        <w:t>ë</w:t>
      </w:r>
      <w:r w:rsidRPr="00266580" w:rsidR="005F02AC">
        <w:rPr>
          <w:lang w:val="sq-AL"/>
        </w:rPr>
        <w:t>mij</w:t>
      </w:r>
      <w:r w:rsidR="00266580">
        <w:rPr>
          <w:lang w:val="sq-AL"/>
        </w:rPr>
        <w:t>ë</w:t>
      </w:r>
      <w:r w:rsidRPr="00266580" w:rsidR="005F02AC">
        <w:rPr>
          <w:lang w:val="sq-AL"/>
        </w:rPr>
        <w:t>ve irlandezë, ashti si edhe padit</w:t>
      </w:r>
      <w:r w:rsidR="00266580">
        <w:rPr>
          <w:lang w:val="sq-AL"/>
        </w:rPr>
        <w:t>ë</w:t>
      </w:r>
      <w:r w:rsidRPr="00266580" w:rsidR="005F02AC">
        <w:rPr>
          <w:lang w:val="sq-AL"/>
        </w:rPr>
        <w:t>sja, arsimoheshin n</w:t>
      </w:r>
      <w:r w:rsidR="00266580">
        <w:rPr>
          <w:lang w:val="sq-AL"/>
        </w:rPr>
        <w:t>ë</w:t>
      </w:r>
      <w:r w:rsidRPr="00266580" w:rsidR="005F02AC">
        <w:rPr>
          <w:lang w:val="sq-AL"/>
        </w:rPr>
        <w:t xml:space="preserve"> shkoll</w:t>
      </w:r>
      <w:r w:rsidR="00266580">
        <w:rPr>
          <w:lang w:val="sq-AL"/>
        </w:rPr>
        <w:t>ë</w:t>
      </w:r>
      <w:r w:rsidRPr="00266580" w:rsidR="005F02AC">
        <w:rPr>
          <w:lang w:val="sq-AL"/>
        </w:rPr>
        <w:t>n e tyre komb</w:t>
      </w:r>
      <w:r w:rsidR="00266580">
        <w:rPr>
          <w:lang w:val="sq-AL"/>
        </w:rPr>
        <w:t>ë</w:t>
      </w:r>
      <w:r w:rsidRPr="00266580" w:rsidR="005F02AC">
        <w:rPr>
          <w:lang w:val="sq-AL"/>
        </w:rPr>
        <w:t>tare vendore deri n</w:t>
      </w:r>
      <w:r w:rsidR="00266580">
        <w:rPr>
          <w:lang w:val="sq-AL"/>
        </w:rPr>
        <w:t>ë</w:t>
      </w:r>
      <w:r w:rsidRPr="00266580" w:rsidR="005F02AC">
        <w:rPr>
          <w:lang w:val="sq-AL"/>
        </w:rPr>
        <w:t xml:space="preserve"> moshën dymb</w:t>
      </w:r>
      <w:r w:rsidR="00266580">
        <w:rPr>
          <w:lang w:val="sq-AL"/>
        </w:rPr>
        <w:t>ë</w:t>
      </w:r>
      <w:r w:rsidRPr="00266580" w:rsidR="005F02AC">
        <w:rPr>
          <w:lang w:val="sq-AL"/>
        </w:rPr>
        <w:t>dhjetë ose trembëdhjet</w:t>
      </w:r>
      <w:r w:rsidR="00266580">
        <w:rPr>
          <w:lang w:val="sq-AL"/>
        </w:rPr>
        <w:t>ë</w:t>
      </w:r>
      <w:r w:rsidRPr="00266580" w:rsidR="005F02AC">
        <w:rPr>
          <w:lang w:val="sq-AL"/>
        </w:rPr>
        <w:t xml:space="preserve"> vjeç. Siç e kan</w:t>
      </w:r>
      <w:r w:rsidR="00266580">
        <w:rPr>
          <w:lang w:val="sq-AL"/>
        </w:rPr>
        <w:t>ë</w:t>
      </w:r>
      <w:r w:rsidRPr="00266580" w:rsidR="005F02AC">
        <w:rPr>
          <w:lang w:val="sq-AL"/>
        </w:rPr>
        <w:t xml:space="preserve"> v</w:t>
      </w:r>
      <w:r w:rsidR="00266580">
        <w:rPr>
          <w:lang w:val="sq-AL"/>
        </w:rPr>
        <w:t>ë</w:t>
      </w:r>
      <w:r w:rsidRPr="00266580" w:rsidR="005F02AC">
        <w:rPr>
          <w:lang w:val="sq-AL"/>
        </w:rPr>
        <w:t>në në dukje gjyqtarët Hardiman e</w:t>
      </w:r>
      <w:r w:rsidRPr="00266580">
        <w:rPr>
          <w:lang w:val="sq-AL"/>
        </w:rPr>
        <w:t xml:space="preserve"> Fennelly </w:t>
      </w:r>
      <w:r w:rsidRPr="00266580" w:rsidR="005F02AC">
        <w:rPr>
          <w:lang w:val="sq-AL"/>
        </w:rPr>
        <w:t>gjatë procedurës p</w:t>
      </w:r>
      <w:r w:rsidR="00266580">
        <w:rPr>
          <w:lang w:val="sq-AL"/>
        </w:rPr>
        <w:t>ë</w:t>
      </w:r>
      <w:r w:rsidRPr="00266580" w:rsidR="005F02AC">
        <w:rPr>
          <w:lang w:val="sq-AL"/>
        </w:rPr>
        <w:t>rpara Gjykat</w:t>
      </w:r>
      <w:r w:rsidR="00266580">
        <w:rPr>
          <w:lang w:val="sq-AL"/>
        </w:rPr>
        <w:t>ë</w:t>
      </w:r>
      <w:r w:rsidRPr="00266580" w:rsidR="005F02AC">
        <w:rPr>
          <w:lang w:val="sq-AL"/>
        </w:rPr>
        <w:t>s së Lartë, shkollat komb</w:t>
      </w:r>
      <w:r w:rsidR="00266580">
        <w:rPr>
          <w:lang w:val="sq-AL"/>
        </w:rPr>
        <w:t>ë</w:t>
      </w:r>
      <w:r w:rsidRPr="00266580" w:rsidR="005F02AC">
        <w:rPr>
          <w:lang w:val="sq-AL"/>
        </w:rPr>
        <w:t>tare ishin institucione arsimore q</w:t>
      </w:r>
      <w:r w:rsidR="00266580">
        <w:rPr>
          <w:lang w:val="sq-AL"/>
        </w:rPr>
        <w:t>ë</w:t>
      </w:r>
      <w:r w:rsidRPr="00266580" w:rsidR="005F02AC">
        <w:rPr>
          <w:lang w:val="sq-AL"/>
        </w:rPr>
        <w:t xml:space="preserve"> mbaheshin e administroheshin nga nj</w:t>
      </w:r>
      <w:r w:rsidR="00266580">
        <w:rPr>
          <w:lang w:val="sq-AL"/>
        </w:rPr>
        <w:t>ë</w:t>
      </w:r>
      <w:r w:rsidRPr="00266580" w:rsidR="005F02AC">
        <w:rPr>
          <w:lang w:val="sq-AL"/>
        </w:rPr>
        <w:t xml:space="preserve"> subjekt privat dhe sipas interesave t</w:t>
      </w:r>
      <w:r w:rsidR="00266580">
        <w:rPr>
          <w:lang w:val="sq-AL"/>
        </w:rPr>
        <w:t>ë</w:t>
      </w:r>
      <w:r w:rsidRPr="00266580" w:rsidR="005F02AC">
        <w:rPr>
          <w:lang w:val="sq-AL"/>
        </w:rPr>
        <w:t xml:space="preserve"> k</w:t>
      </w:r>
      <w:r w:rsidR="00266580">
        <w:rPr>
          <w:lang w:val="sq-AL"/>
        </w:rPr>
        <w:t>ë</w:t>
      </w:r>
      <w:r w:rsidRPr="00266580" w:rsidR="005F02AC">
        <w:rPr>
          <w:lang w:val="sq-AL"/>
        </w:rPr>
        <w:t>tij të fundit, pa kurrfar</w:t>
      </w:r>
      <w:r w:rsidR="00266580">
        <w:rPr>
          <w:lang w:val="sq-AL"/>
        </w:rPr>
        <w:t>ë</w:t>
      </w:r>
      <w:r w:rsidRPr="00266580" w:rsidR="005F02AC">
        <w:rPr>
          <w:lang w:val="sq-AL"/>
        </w:rPr>
        <w:t xml:space="preserve"> kontrolli nga shteti. Ky subjekt privat ushtronte për m</w:t>
      </w:r>
      <w:r w:rsidR="00266580">
        <w:rPr>
          <w:lang w:val="sq-AL"/>
        </w:rPr>
        <w:t>ë</w:t>
      </w:r>
      <w:r w:rsidRPr="00266580" w:rsidR="005F02AC">
        <w:rPr>
          <w:lang w:val="sq-AL"/>
        </w:rPr>
        <w:t xml:space="preserve"> tep</w:t>
      </w:r>
      <w:r w:rsidR="00266580">
        <w:rPr>
          <w:lang w:val="sq-AL"/>
        </w:rPr>
        <w:t>ë</w:t>
      </w:r>
      <w:r w:rsidRPr="00266580" w:rsidR="005F02AC">
        <w:rPr>
          <w:lang w:val="sq-AL"/>
        </w:rPr>
        <w:t>r nj</w:t>
      </w:r>
      <w:r w:rsidR="00266580">
        <w:rPr>
          <w:lang w:val="sq-AL"/>
        </w:rPr>
        <w:t>ë</w:t>
      </w:r>
      <w:r w:rsidRPr="00266580" w:rsidR="005F02AC">
        <w:rPr>
          <w:lang w:val="sq-AL"/>
        </w:rPr>
        <w:t xml:space="preserve"> ndikim t</w:t>
      </w:r>
      <w:r w:rsidR="00266580">
        <w:rPr>
          <w:lang w:val="sq-AL"/>
        </w:rPr>
        <w:t>ë</w:t>
      </w:r>
      <w:r w:rsidRPr="00266580" w:rsidR="005F02AC">
        <w:rPr>
          <w:lang w:val="sq-AL"/>
        </w:rPr>
        <w:t xml:space="preserve"> konsiderueshëm, veçan</w:t>
      </w:r>
      <w:r w:rsidR="00266580">
        <w:rPr>
          <w:lang w:val="sq-AL"/>
        </w:rPr>
        <w:t>ë</w:t>
      </w:r>
      <w:r w:rsidRPr="00266580" w:rsidR="005F02AC">
        <w:rPr>
          <w:lang w:val="sq-AL"/>
        </w:rPr>
        <w:t>risht mbi nx</w:t>
      </w:r>
      <w:r w:rsidR="00266580">
        <w:rPr>
          <w:lang w:val="sq-AL"/>
        </w:rPr>
        <w:t>ë</w:t>
      </w:r>
      <w:r w:rsidRPr="00266580" w:rsidR="005F02AC">
        <w:rPr>
          <w:lang w:val="sq-AL"/>
        </w:rPr>
        <w:t>n</w:t>
      </w:r>
      <w:r w:rsidR="00266580">
        <w:rPr>
          <w:lang w:val="sq-AL"/>
        </w:rPr>
        <w:t>ë</w:t>
      </w:r>
      <w:r w:rsidRPr="00266580" w:rsidR="005F02AC">
        <w:rPr>
          <w:lang w:val="sq-AL"/>
        </w:rPr>
        <w:t>sit dhe prindërit e tyre, dhe ishte i vendosur q</w:t>
      </w:r>
      <w:r w:rsidR="00266580">
        <w:rPr>
          <w:lang w:val="sq-AL"/>
        </w:rPr>
        <w:t>ë</w:t>
      </w:r>
      <w:r w:rsidRPr="00266580" w:rsidR="005F02AC">
        <w:rPr>
          <w:lang w:val="sq-AL"/>
        </w:rPr>
        <w:t xml:space="preserve"> ta ruante pozit</w:t>
      </w:r>
      <w:r w:rsidR="00266580">
        <w:rPr>
          <w:lang w:val="sq-AL"/>
        </w:rPr>
        <w:t>ë</w:t>
      </w:r>
      <w:r w:rsidRPr="00266580" w:rsidR="005F02AC">
        <w:rPr>
          <w:lang w:val="sq-AL"/>
        </w:rPr>
        <w:t>n e vet.</w:t>
      </w:r>
    </w:p>
    <w:p w:rsidRPr="00266580" w:rsidR="00EB737A" w:rsidP="00EB737A" w:rsidRDefault="00EB737A">
      <w:pPr>
        <w:pStyle w:val="ECHRPara"/>
        <w:rPr>
          <w:lang w:val="sq-AL"/>
        </w:rPr>
      </w:pPr>
      <w:r w:rsidRPr="00266580">
        <w:rPr>
          <w:lang w:val="sq-AL"/>
        </w:rPr>
        <w:fldChar w:fldCharType="begin"/>
      </w:r>
      <w:r w:rsidRPr="00266580">
        <w:rPr>
          <w:lang w:val="sq-AL"/>
        </w:rPr>
        <w:instrText xml:space="preserve"> SEQ level0 \*arabic </w:instrText>
      </w:r>
      <w:r w:rsidRPr="00266580">
        <w:rPr>
          <w:lang w:val="sq-AL"/>
        </w:rPr>
        <w:fldChar w:fldCharType="separate"/>
      </w:r>
      <w:r w:rsidR="00013F9B">
        <w:rPr>
          <w:noProof/>
          <w:lang w:val="sq-AL"/>
        </w:rPr>
        <w:t>158</w:t>
      </w:r>
      <w:r w:rsidRPr="00266580">
        <w:rPr>
          <w:lang w:val="sq-AL"/>
        </w:rPr>
        <w:fldChar w:fldCharType="end"/>
      </w:r>
      <w:r w:rsidRPr="00266580">
        <w:rPr>
          <w:lang w:val="sq-AL"/>
        </w:rPr>
        <w:t>.  </w:t>
      </w:r>
      <w:r w:rsidRPr="00266580" w:rsidR="005F02AC">
        <w:rPr>
          <w:lang w:val="sq-AL"/>
        </w:rPr>
        <w:t>Ky model arsimi fillor duket se nuk ka pasur ndonj</w:t>
      </w:r>
      <w:r w:rsidR="00266580">
        <w:rPr>
          <w:lang w:val="sq-AL"/>
        </w:rPr>
        <w:t>ë</w:t>
      </w:r>
      <w:r w:rsidRPr="00266580" w:rsidR="005F02AC">
        <w:rPr>
          <w:lang w:val="sq-AL"/>
        </w:rPr>
        <w:t xml:space="preserve"> t</w:t>
      </w:r>
      <w:r w:rsidR="00266580">
        <w:rPr>
          <w:lang w:val="sq-AL"/>
        </w:rPr>
        <w:t>ë</w:t>
      </w:r>
      <w:r w:rsidRPr="00266580" w:rsidR="005F02AC">
        <w:rPr>
          <w:lang w:val="sq-AL"/>
        </w:rPr>
        <w:t xml:space="preserve"> barasvlersh</w:t>
      </w:r>
      <w:r w:rsidR="00266580">
        <w:rPr>
          <w:lang w:val="sq-AL"/>
        </w:rPr>
        <w:t>ë</w:t>
      </w:r>
      <w:r w:rsidRPr="00266580" w:rsidR="005F02AC">
        <w:rPr>
          <w:lang w:val="sq-AL"/>
        </w:rPr>
        <w:t>m me të n</w:t>
      </w:r>
      <w:r w:rsidR="00266580">
        <w:rPr>
          <w:lang w:val="sq-AL"/>
        </w:rPr>
        <w:t>ë</w:t>
      </w:r>
      <w:r w:rsidRPr="00266580" w:rsidR="005F02AC">
        <w:rPr>
          <w:lang w:val="sq-AL"/>
        </w:rPr>
        <w:t xml:space="preserve"> Evropë. Duke e marrë parasysh veç</w:t>
      </w:r>
      <w:r w:rsidR="00266580">
        <w:rPr>
          <w:lang w:val="sq-AL"/>
        </w:rPr>
        <w:t>or</w:t>
      </w:r>
      <w:r w:rsidRPr="00266580" w:rsidR="005F02AC">
        <w:rPr>
          <w:lang w:val="sq-AL"/>
        </w:rPr>
        <w:t>in</w:t>
      </w:r>
      <w:r w:rsidR="00266580">
        <w:rPr>
          <w:lang w:val="sq-AL"/>
        </w:rPr>
        <w:t>ë</w:t>
      </w:r>
      <w:r w:rsidRPr="00266580" w:rsidR="005F02AC">
        <w:rPr>
          <w:lang w:val="sq-AL"/>
        </w:rPr>
        <w:t xml:space="preserve"> e tij, Gjykata e Lart</w:t>
      </w:r>
      <w:r w:rsidR="00266580">
        <w:rPr>
          <w:lang w:val="sq-AL"/>
        </w:rPr>
        <w:t>ë</w:t>
      </w:r>
      <w:r w:rsidRPr="00266580" w:rsidR="005F02AC">
        <w:rPr>
          <w:lang w:val="sq-AL"/>
        </w:rPr>
        <w:t xml:space="preserve"> e ka cilësuar k</w:t>
      </w:r>
      <w:r w:rsidR="00266580">
        <w:rPr>
          <w:lang w:val="sq-AL"/>
        </w:rPr>
        <w:t>ë</w:t>
      </w:r>
      <w:r w:rsidRPr="00266580" w:rsidR="005F02AC">
        <w:rPr>
          <w:lang w:val="sq-AL"/>
        </w:rPr>
        <w:t>të sistem si t</w:t>
      </w:r>
      <w:r w:rsidR="00266580">
        <w:rPr>
          <w:lang w:val="sq-AL"/>
        </w:rPr>
        <w:t>ë</w:t>
      </w:r>
      <w:r w:rsidRPr="00266580" w:rsidR="005F02AC">
        <w:rPr>
          <w:lang w:val="sq-AL"/>
        </w:rPr>
        <w:t xml:space="preserve">rësisht </w:t>
      </w:r>
      <w:r w:rsidRPr="00266580">
        <w:rPr>
          <w:i/>
          <w:lang w:val="sq-AL"/>
        </w:rPr>
        <w:t>sui generis</w:t>
      </w:r>
      <w:r w:rsidRPr="00266580">
        <w:rPr>
          <w:lang w:val="sq-AL"/>
        </w:rPr>
        <w:t xml:space="preserve">, </w:t>
      </w:r>
      <w:r w:rsidRPr="00266580" w:rsidR="005F02AC">
        <w:rPr>
          <w:lang w:val="sq-AL"/>
        </w:rPr>
        <w:t>fryt i përvoj</w:t>
      </w:r>
      <w:r w:rsidR="00266580">
        <w:rPr>
          <w:lang w:val="sq-AL"/>
        </w:rPr>
        <w:t>ë</w:t>
      </w:r>
      <w:r w:rsidRPr="00266580" w:rsidR="005F02AC">
        <w:rPr>
          <w:lang w:val="sq-AL"/>
        </w:rPr>
        <w:t>s historike t</w:t>
      </w:r>
      <w:r w:rsidR="00266580">
        <w:rPr>
          <w:lang w:val="sq-AL"/>
        </w:rPr>
        <w:t>ë</w:t>
      </w:r>
      <w:r w:rsidRPr="00266580" w:rsidR="005F02AC">
        <w:rPr>
          <w:lang w:val="sq-AL"/>
        </w:rPr>
        <w:t xml:space="preserve"> pashoqe t</w:t>
      </w:r>
      <w:r w:rsidR="00266580">
        <w:rPr>
          <w:lang w:val="sq-AL"/>
        </w:rPr>
        <w:t>ë</w:t>
      </w:r>
      <w:r w:rsidRPr="00266580" w:rsidR="005F02AC">
        <w:rPr>
          <w:lang w:val="sq-AL"/>
        </w:rPr>
        <w:t xml:space="preserve"> Irlandës</w:t>
      </w:r>
      <w:r w:rsidRPr="00266580">
        <w:rPr>
          <w:lang w:val="sq-AL"/>
        </w:rPr>
        <w:t>.</w:t>
      </w:r>
    </w:p>
    <w:p w:rsidRPr="00266580" w:rsidR="00EB737A" w:rsidP="00EB737A" w:rsidRDefault="00EB737A">
      <w:pPr>
        <w:pStyle w:val="ECHRPara"/>
        <w:rPr>
          <w:lang w:val="sq-AL"/>
        </w:rPr>
      </w:pPr>
      <w:r w:rsidRPr="00266580">
        <w:rPr>
          <w:lang w:val="sq-AL"/>
        </w:rPr>
        <w:fldChar w:fldCharType="begin"/>
      </w:r>
      <w:r w:rsidRPr="00266580">
        <w:rPr>
          <w:lang w:val="sq-AL"/>
        </w:rPr>
        <w:instrText xml:space="preserve"> SEQ level0 \*arabic </w:instrText>
      </w:r>
      <w:r w:rsidRPr="00266580">
        <w:rPr>
          <w:lang w:val="sq-AL"/>
        </w:rPr>
        <w:fldChar w:fldCharType="separate"/>
      </w:r>
      <w:r w:rsidR="00013F9B">
        <w:rPr>
          <w:noProof/>
          <w:lang w:val="sq-AL"/>
        </w:rPr>
        <w:t>159</w:t>
      </w:r>
      <w:r w:rsidRPr="00266580">
        <w:rPr>
          <w:lang w:val="sq-AL"/>
        </w:rPr>
        <w:fldChar w:fldCharType="end"/>
      </w:r>
      <w:r w:rsidRPr="00266580">
        <w:rPr>
          <w:lang w:val="sq-AL"/>
        </w:rPr>
        <w:t>.  </w:t>
      </w:r>
      <w:r w:rsidRPr="00266580" w:rsidR="005F02AC">
        <w:rPr>
          <w:lang w:val="sq-AL"/>
        </w:rPr>
        <w:t>Nga nj</w:t>
      </w:r>
      <w:r w:rsidR="00266580">
        <w:rPr>
          <w:lang w:val="sq-AL"/>
        </w:rPr>
        <w:t>ë</w:t>
      </w:r>
      <w:r w:rsidRPr="00266580" w:rsidR="005F02AC">
        <w:rPr>
          <w:lang w:val="sq-AL"/>
        </w:rPr>
        <w:t>ra anë, shteti e ruante k</w:t>
      </w:r>
      <w:r w:rsidR="00266580">
        <w:rPr>
          <w:lang w:val="sq-AL"/>
        </w:rPr>
        <w:t>ë</w:t>
      </w:r>
      <w:r w:rsidRPr="00266580" w:rsidR="005F02AC">
        <w:rPr>
          <w:lang w:val="sq-AL"/>
        </w:rPr>
        <w:t>të model arsimor unik dhe, nga ana tjet</w:t>
      </w:r>
      <w:r w:rsidR="00266580">
        <w:rPr>
          <w:lang w:val="sq-AL"/>
        </w:rPr>
        <w:t>ë</w:t>
      </w:r>
      <w:r w:rsidRPr="00266580" w:rsidR="005F02AC">
        <w:rPr>
          <w:lang w:val="sq-AL"/>
        </w:rPr>
        <w:t>r, ai kishte dijeni, nga zbatimi i ligjeve t</w:t>
      </w:r>
      <w:r w:rsidR="00266580">
        <w:rPr>
          <w:lang w:val="sq-AL"/>
        </w:rPr>
        <w:t>ë</w:t>
      </w:r>
      <w:r w:rsidRPr="00266580" w:rsidR="005F02AC">
        <w:rPr>
          <w:lang w:val="sq-AL"/>
        </w:rPr>
        <w:t xml:space="preserve"> tij penale n</w:t>
      </w:r>
      <w:r w:rsidR="00266580">
        <w:rPr>
          <w:lang w:val="sq-AL"/>
        </w:rPr>
        <w:t>ë</w:t>
      </w:r>
      <w:r w:rsidRPr="00266580" w:rsidR="005F02AC">
        <w:rPr>
          <w:lang w:val="sq-AL"/>
        </w:rPr>
        <w:t xml:space="preserve"> k</w:t>
      </w:r>
      <w:r w:rsidR="00266580">
        <w:rPr>
          <w:lang w:val="sq-AL"/>
        </w:rPr>
        <w:t>ë</w:t>
      </w:r>
      <w:r w:rsidRPr="00266580" w:rsidR="005F02AC">
        <w:rPr>
          <w:lang w:val="sq-AL"/>
        </w:rPr>
        <w:t xml:space="preserve">të fushë, </w:t>
      </w:r>
      <w:r w:rsidRPr="00266580" w:rsidR="000E010D">
        <w:rPr>
          <w:lang w:val="sq-AL"/>
        </w:rPr>
        <w:t>për nivelin e kriminalitetit me karakter seksual q</w:t>
      </w:r>
      <w:r w:rsidR="00266580">
        <w:rPr>
          <w:lang w:val="sq-AL"/>
        </w:rPr>
        <w:t>ë</w:t>
      </w:r>
      <w:r w:rsidRPr="00266580" w:rsidR="000E010D">
        <w:rPr>
          <w:lang w:val="sq-AL"/>
        </w:rPr>
        <w:t xml:space="preserve"> prekte f</w:t>
      </w:r>
      <w:r w:rsidR="00266580">
        <w:rPr>
          <w:lang w:val="sq-AL"/>
        </w:rPr>
        <w:t>ë</w:t>
      </w:r>
      <w:r w:rsidRPr="00266580" w:rsidR="000E010D">
        <w:rPr>
          <w:lang w:val="sq-AL"/>
        </w:rPr>
        <w:t>mij</w:t>
      </w:r>
      <w:r w:rsidR="00266580">
        <w:rPr>
          <w:lang w:val="sq-AL"/>
        </w:rPr>
        <w:t>ë</w:t>
      </w:r>
      <w:r w:rsidRPr="00266580" w:rsidR="000E010D">
        <w:rPr>
          <w:lang w:val="sq-AL"/>
        </w:rPr>
        <w:t xml:space="preserve"> t</w:t>
      </w:r>
      <w:r w:rsidR="00266580">
        <w:rPr>
          <w:lang w:val="sq-AL"/>
        </w:rPr>
        <w:t>ë</w:t>
      </w:r>
      <w:r w:rsidRPr="00266580" w:rsidR="000E010D">
        <w:rPr>
          <w:lang w:val="sq-AL"/>
        </w:rPr>
        <w:t xml:space="preserve"> mitur.</w:t>
      </w:r>
    </w:p>
    <w:p w:rsidRPr="00BC7C74" w:rsidR="00EB737A" w:rsidP="00EB737A" w:rsidRDefault="00EB737A">
      <w:pPr>
        <w:pStyle w:val="ECHRPara"/>
        <w:rPr>
          <w:lang w:val="sq-AL"/>
        </w:rPr>
      </w:pPr>
      <w:r w:rsidRPr="00BC7C74">
        <w:rPr>
          <w:lang w:val="sq-AL"/>
        </w:rPr>
        <w:fldChar w:fldCharType="begin"/>
      </w:r>
      <w:r w:rsidRPr="00BC7C74">
        <w:rPr>
          <w:lang w:val="sq-AL"/>
        </w:rPr>
        <w:instrText xml:space="preserve"> SEQ level0 \*arabic </w:instrText>
      </w:r>
      <w:r w:rsidRPr="00BC7C74">
        <w:rPr>
          <w:lang w:val="sq-AL"/>
        </w:rPr>
        <w:fldChar w:fldCharType="separate"/>
      </w:r>
      <w:r w:rsidR="00013F9B">
        <w:rPr>
          <w:noProof/>
          <w:lang w:val="sq-AL"/>
        </w:rPr>
        <w:t>160</w:t>
      </w:r>
      <w:r w:rsidRPr="00BC7C74">
        <w:rPr>
          <w:lang w:val="sq-AL"/>
        </w:rPr>
        <w:fldChar w:fldCharType="end"/>
      </w:r>
      <w:r w:rsidRPr="00BC7C74">
        <w:rPr>
          <w:lang w:val="sq-AL"/>
        </w:rPr>
        <w:t>.  </w:t>
      </w:r>
      <w:r w:rsidRPr="00BC7C74" w:rsidR="000E010D">
        <w:rPr>
          <w:lang w:val="sq-AL"/>
        </w:rPr>
        <w:t xml:space="preserve">Pas shpalljes së pavarësisë më </w:t>
      </w:r>
      <w:r w:rsidRPr="00BC7C74">
        <w:rPr>
          <w:lang w:val="sq-AL"/>
        </w:rPr>
        <w:t xml:space="preserve">1922, </w:t>
      </w:r>
      <w:r w:rsidRPr="00BC7C74" w:rsidR="000E010D">
        <w:rPr>
          <w:lang w:val="sq-AL"/>
        </w:rPr>
        <w:t>ai kishte ruajtur ose miratuar rishtas disa dispozita legjislative që i cil</w:t>
      </w:r>
      <w:r w:rsidRPr="00BC7C74" w:rsidR="00266580">
        <w:rPr>
          <w:lang w:val="sq-AL"/>
        </w:rPr>
        <w:t>ë</w:t>
      </w:r>
      <w:r w:rsidRPr="00BC7C74" w:rsidR="000E010D">
        <w:rPr>
          <w:lang w:val="sq-AL"/>
        </w:rPr>
        <w:t>sonin posaç</w:t>
      </w:r>
      <w:r w:rsidRPr="00BC7C74" w:rsidR="00266580">
        <w:rPr>
          <w:lang w:val="sq-AL"/>
        </w:rPr>
        <w:t>ë</w:t>
      </w:r>
      <w:r w:rsidRPr="00BC7C74" w:rsidR="000E010D">
        <w:rPr>
          <w:lang w:val="sq-AL"/>
        </w:rPr>
        <w:t>risht si vepra penale abuzimet seksuale me të mitur, për shembull nenet 50 e</w:t>
      </w:r>
      <w:r w:rsidRPr="00BC7C74">
        <w:rPr>
          <w:lang w:val="sq-AL"/>
        </w:rPr>
        <w:t xml:space="preserve"> 51 </w:t>
      </w:r>
      <w:r w:rsidRPr="00BC7C74" w:rsidR="000E010D">
        <w:rPr>
          <w:lang w:val="sq-AL"/>
        </w:rPr>
        <w:t>t</w:t>
      </w:r>
      <w:r w:rsidRPr="00BC7C74" w:rsidR="00266580">
        <w:rPr>
          <w:lang w:val="sq-AL"/>
        </w:rPr>
        <w:t>ë</w:t>
      </w:r>
      <w:r w:rsidRPr="00BC7C74" w:rsidR="000E010D">
        <w:rPr>
          <w:lang w:val="sq-AL"/>
        </w:rPr>
        <w:t xml:space="preserve"> Ligjit </w:t>
      </w:r>
      <w:r w:rsidRPr="00BC7C74">
        <w:rPr>
          <w:lang w:val="sq-AL"/>
        </w:rPr>
        <w:t>(</w:t>
      </w:r>
      <w:r w:rsidRPr="00BC7C74" w:rsidR="000E010D">
        <w:rPr>
          <w:lang w:val="sq-AL"/>
        </w:rPr>
        <w:t>t</w:t>
      </w:r>
      <w:r w:rsidRPr="00BC7C74" w:rsidR="00266580">
        <w:rPr>
          <w:lang w:val="sq-AL"/>
        </w:rPr>
        <w:t>ë</w:t>
      </w:r>
      <w:r w:rsidRPr="00BC7C74" w:rsidR="000E010D">
        <w:rPr>
          <w:lang w:val="sq-AL"/>
        </w:rPr>
        <w:t xml:space="preserve"> ndryshuar</w:t>
      </w:r>
      <w:r w:rsidRPr="00BC7C74">
        <w:rPr>
          <w:lang w:val="sq-AL"/>
        </w:rPr>
        <w:t xml:space="preserve">) </w:t>
      </w:r>
      <w:r w:rsidRPr="00BC7C74" w:rsidR="000E010D">
        <w:rPr>
          <w:lang w:val="sq-AL"/>
        </w:rPr>
        <w:t>të vitit</w:t>
      </w:r>
      <w:r w:rsidRPr="00BC7C74">
        <w:rPr>
          <w:lang w:val="sq-AL"/>
        </w:rPr>
        <w:t xml:space="preserve"> 1861 </w:t>
      </w:r>
      <w:r w:rsidRPr="00BC7C74" w:rsidR="000E010D">
        <w:rPr>
          <w:lang w:val="sq-AL"/>
        </w:rPr>
        <w:t xml:space="preserve">për veprat penale ndaj personave dhe Ligjin e vitit </w:t>
      </w:r>
      <w:r w:rsidRPr="00BC7C74">
        <w:rPr>
          <w:lang w:val="sq-AL"/>
        </w:rPr>
        <w:t xml:space="preserve">1935 </w:t>
      </w:r>
      <w:r w:rsidRPr="00BC7C74" w:rsidR="000E010D">
        <w:rPr>
          <w:lang w:val="sq-AL"/>
        </w:rPr>
        <w:t>për ndryshimin e së drejtës penale</w:t>
      </w:r>
      <w:r w:rsidRPr="00BC7C74">
        <w:rPr>
          <w:lang w:val="sq-AL"/>
        </w:rPr>
        <w:t xml:space="preserve">. </w:t>
      </w:r>
      <w:r w:rsidRPr="00BC7C74" w:rsidR="000E010D">
        <w:rPr>
          <w:lang w:val="sq-AL"/>
        </w:rPr>
        <w:t>Veprime të tilla p</w:t>
      </w:r>
      <w:r w:rsidRPr="00BC7C74" w:rsidR="00266580">
        <w:rPr>
          <w:lang w:val="sq-AL"/>
        </w:rPr>
        <w:t>ë</w:t>
      </w:r>
      <w:r w:rsidRPr="00BC7C74" w:rsidR="000E010D">
        <w:rPr>
          <w:lang w:val="sq-AL"/>
        </w:rPr>
        <w:t>rb</w:t>
      </w:r>
      <w:r w:rsidRPr="00BC7C74" w:rsidR="00266580">
        <w:rPr>
          <w:lang w:val="sq-AL"/>
        </w:rPr>
        <w:t>ë</w:t>
      </w:r>
      <w:r w:rsidRPr="00BC7C74" w:rsidR="000E010D">
        <w:rPr>
          <w:lang w:val="sq-AL"/>
        </w:rPr>
        <w:t>nin gjithashtu edhe vepra penale cenimi të nderit dhe dhunimi t</w:t>
      </w:r>
      <w:r w:rsidRPr="00BC7C74" w:rsidR="00266580">
        <w:rPr>
          <w:lang w:val="sq-AL"/>
        </w:rPr>
        <w:t>ë</w:t>
      </w:r>
      <w:r w:rsidRPr="00BC7C74" w:rsidR="000E010D">
        <w:rPr>
          <w:lang w:val="sq-AL"/>
        </w:rPr>
        <w:t xml:space="preserve"> zakonsh</w:t>
      </w:r>
      <w:r w:rsidRPr="00BC7C74" w:rsidR="00266580">
        <w:rPr>
          <w:lang w:val="sq-AL"/>
        </w:rPr>
        <w:t>ë</w:t>
      </w:r>
      <w:r w:rsidRPr="00BC7C74" w:rsidR="000E010D">
        <w:rPr>
          <w:lang w:val="sq-AL"/>
        </w:rPr>
        <w:t>m, të përcaktuara n</w:t>
      </w:r>
      <w:r w:rsidRPr="00BC7C74" w:rsidR="00266580">
        <w:rPr>
          <w:lang w:val="sq-AL"/>
        </w:rPr>
        <w:t>ë</w:t>
      </w:r>
      <w:r w:rsidRPr="00BC7C74" w:rsidR="000E010D">
        <w:rPr>
          <w:lang w:val="sq-AL"/>
        </w:rPr>
        <w:t xml:space="preserve"> </w:t>
      </w:r>
      <w:r w:rsidRPr="00BC7C74">
        <w:rPr>
          <w:i/>
          <w:lang w:val="sq-AL"/>
        </w:rPr>
        <w:t>common law</w:t>
      </w:r>
      <w:r w:rsidRPr="00BC7C74">
        <w:rPr>
          <w:lang w:val="sq-AL"/>
        </w:rPr>
        <w:t>.</w:t>
      </w:r>
    </w:p>
    <w:p w:rsidRPr="00EB4C44" w:rsidR="00EB737A" w:rsidP="00EB737A" w:rsidRDefault="00EB737A">
      <w:pPr>
        <w:pStyle w:val="ECHRPara"/>
        <w:rPr>
          <w:lang w:val="sq-AL"/>
        </w:rPr>
      </w:pPr>
      <w:r w:rsidRPr="00EB4C44">
        <w:rPr>
          <w:lang w:val="sq-AL"/>
        </w:rPr>
        <w:fldChar w:fldCharType="begin"/>
      </w:r>
      <w:r w:rsidRPr="00EB4C44">
        <w:rPr>
          <w:lang w:val="sq-AL"/>
        </w:rPr>
        <w:instrText xml:space="preserve"> SEQ level0 \*arabic </w:instrText>
      </w:r>
      <w:r w:rsidRPr="00EB4C44">
        <w:rPr>
          <w:lang w:val="sq-AL"/>
        </w:rPr>
        <w:fldChar w:fldCharType="separate"/>
      </w:r>
      <w:r w:rsidR="00013F9B">
        <w:rPr>
          <w:noProof/>
          <w:lang w:val="sq-AL"/>
        </w:rPr>
        <w:t>161</w:t>
      </w:r>
      <w:r w:rsidRPr="00EB4C44">
        <w:rPr>
          <w:lang w:val="sq-AL"/>
        </w:rPr>
        <w:fldChar w:fldCharType="end"/>
      </w:r>
      <w:r w:rsidRPr="00EB4C44">
        <w:rPr>
          <w:lang w:val="sq-AL"/>
        </w:rPr>
        <w:t>.  </w:t>
      </w:r>
      <w:r w:rsidRPr="00EB4C44" w:rsidR="000E010D">
        <w:rPr>
          <w:lang w:val="sq-AL"/>
        </w:rPr>
        <w:t>Përveç k</w:t>
      </w:r>
      <w:r w:rsidRPr="00EB4C44" w:rsidR="00266580">
        <w:rPr>
          <w:lang w:val="sq-AL"/>
        </w:rPr>
        <w:t>ë</w:t>
      </w:r>
      <w:r w:rsidRPr="00EB4C44" w:rsidR="000E010D">
        <w:rPr>
          <w:lang w:val="sq-AL"/>
        </w:rPr>
        <w:t>saj, elementet e paraqitura përpara Gjykatës tregojn</w:t>
      </w:r>
      <w:r w:rsidRPr="00EB4C44" w:rsidR="00266580">
        <w:rPr>
          <w:lang w:val="sq-AL"/>
        </w:rPr>
        <w:t>ë</w:t>
      </w:r>
      <w:r w:rsidRPr="00EB4C44" w:rsidR="000E010D">
        <w:rPr>
          <w:lang w:val="sq-AL"/>
        </w:rPr>
        <w:t xml:space="preserve"> se para viteve </w:t>
      </w:r>
      <w:r w:rsidRPr="00EB4C44">
        <w:rPr>
          <w:lang w:val="sq-AL"/>
        </w:rPr>
        <w:t xml:space="preserve">1970 </w:t>
      </w:r>
      <w:r w:rsidRPr="00EB4C44" w:rsidR="00266580">
        <w:rPr>
          <w:lang w:val="sq-AL"/>
        </w:rPr>
        <w:t>ndjekjet penale për abuzime seksuale të kryera ndaj fëmijësh ishin mbajtur në një nivel të qëndrueshëm. Gjykata shënon n</w:t>
      </w:r>
      <w:r w:rsidRPr="00EB4C44" w:rsidR="00BC7C74">
        <w:rPr>
          <w:lang w:val="sq-AL"/>
        </w:rPr>
        <w:t>ë</w:t>
      </w:r>
      <w:r w:rsidRPr="00EB4C44" w:rsidR="00266580">
        <w:rPr>
          <w:lang w:val="sq-AL"/>
        </w:rPr>
        <w:t xml:space="preserve"> veçanti statistikat e hollësishme q</w:t>
      </w:r>
      <w:r w:rsidRPr="00EB4C44" w:rsidR="00BC7C74">
        <w:rPr>
          <w:lang w:val="sq-AL"/>
        </w:rPr>
        <w:t>ë</w:t>
      </w:r>
      <w:r w:rsidRPr="00EB4C44" w:rsidR="00266580">
        <w:rPr>
          <w:lang w:val="sq-AL"/>
        </w:rPr>
        <w:t xml:space="preserve"> prefekti i policis</w:t>
      </w:r>
      <w:r w:rsidRPr="00EB4C44" w:rsidR="00BC7C74">
        <w:rPr>
          <w:lang w:val="sq-AL"/>
        </w:rPr>
        <w:t>ë</w:t>
      </w:r>
      <w:r w:rsidRPr="00EB4C44" w:rsidR="00266580">
        <w:rPr>
          <w:lang w:val="sq-AL"/>
        </w:rPr>
        <w:t xml:space="preserve"> i ka dh</w:t>
      </w:r>
      <w:r w:rsidRPr="00EB4C44" w:rsidR="00BC7C74">
        <w:rPr>
          <w:lang w:val="sq-AL"/>
        </w:rPr>
        <w:t>ë</w:t>
      </w:r>
      <w:r w:rsidRPr="00EB4C44" w:rsidR="00266580">
        <w:rPr>
          <w:lang w:val="sq-AL"/>
        </w:rPr>
        <w:t>n</w:t>
      </w:r>
      <w:r w:rsidRPr="00EB4C44" w:rsidR="00BC7C74">
        <w:rPr>
          <w:lang w:val="sq-AL"/>
        </w:rPr>
        <w:t>ë</w:t>
      </w:r>
      <w:r w:rsidRPr="00EB4C44" w:rsidR="00266580">
        <w:rPr>
          <w:lang w:val="sq-AL"/>
        </w:rPr>
        <w:t xml:space="preserve"> Komisionit </w:t>
      </w:r>
      <w:r w:rsidRPr="00EB4C44">
        <w:rPr>
          <w:lang w:val="sq-AL"/>
        </w:rPr>
        <w:t xml:space="preserve">Carrigan </w:t>
      </w:r>
      <w:r w:rsidRPr="00EB4C44" w:rsidR="00266580">
        <w:rPr>
          <w:lang w:val="sq-AL"/>
        </w:rPr>
        <w:t>që m</w:t>
      </w:r>
      <w:r w:rsidRPr="00EB4C44" w:rsidR="00BC7C74">
        <w:rPr>
          <w:lang w:val="sq-AL"/>
        </w:rPr>
        <w:t>ë</w:t>
      </w:r>
      <w:r w:rsidRPr="00EB4C44">
        <w:rPr>
          <w:lang w:val="sq-AL"/>
        </w:rPr>
        <w:t xml:space="preserve"> 1931 (paragra</w:t>
      </w:r>
      <w:r w:rsidRPr="00EB4C44" w:rsidR="00266580">
        <w:rPr>
          <w:lang w:val="sq-AL"/>
        </w:rPr>
        <w:t>fi</w:t>
      </w:r>
      <w:r w:rsidRPr="00EB4C44">
        <w:rPr>
          <w:lang w:val="sq-AL"/>
        </w:rPr>
        <w:t xml:space="preserve"> 71 </w:t>
      </w:r>
      <w:r w:rsidRPr="00EB4C44" w:rsidR="00604857">
        <w:rPr>
          <w:lang w:val="sq-AL"/>
        </w:rPr>
        <w:t>i mësipërm</w:t>
      </w:r>
      <w:r w:rsidRPr="00EB4C44">
        <w:rPr>
          <w:lang w:val="sq-AL"/>
        </w:rPr>
        <w:t xml:space="preserve">). </w:t>
      </w:r>
      <w:r w:rsidRPr="00EB4C44" w:rsidR="00266580">
        <w:rPr>
          <w:lang w:val="sq-AL"/>
        </w:rPr>
        <w:t>Mbi bazën e informacioneve të mbledhura pran</w:t>
      </w:r>
      <w:r w:rsidRPr="00EB4C44" w:rsidR="00BC7C74">
        <w:rPr>
          <w:lang w:val="sq-AL"/>
        </w:rPr>
        <w:t>ë</w:t>
      </w:r>
      <w:r w:rsidRPr="00EB4C44" w:rsidR="00266580">
        <w:rPr>
          <w:lang w:val="sq-AL"/>
        </w:rPr>
        <w:t xml:space="preserve"> </w:t>
      </w:r>
      <w:r w:rsidRPr="00EB4C44">
        <w:rPr>
          <w:lang w:val="sq-AL"/>
        </w:rPr>
        <w:t>800 post</w:t>
      </w:r>
      <w:r w:rsidRPr="00EB4C44" w:rsidR="00266580">
        <w:rPr>
          <w:lang w:val="sq-AL"/>
        </w:rPr>
        <w:t>ash</w:t>
      </w:r>
      <w:r w:rsidRPr="00EB4C44">
        <w:rPr>
          <w:lang w:val="sq-AL"/>
        </w:rPr>
        <w:t xml:space="preserve"> polic</w:t>
      </w:r>
      <w:r w:rsidRPr="00EB4C44" w:rsidR="00266580">
        <w:rPr>
          <w:lang w:val="sq-AL"/>
        </w:rPr>
        <w:t>i</w:t>
      </w:r>
      <w:r w:rsidRPr="00EB4C44">
        <w:rPr>
          <w:lang w:val="sq-AL"/>
        </w:rPr>
        <w:t xml:space="preserve">e, </w:t>
      </w:r>
      <w:r w:rsidRPr="00EB4C44" w:rsidR="00266580">
        <w:rPr>
          <w:lang w:val="sq-AL"/>
        </w:rPr>
        <w:t>prefekti kishte vën</w:t>
      </w:r>
      <w:r w:rsidRPr="00EB4C44" w:rsidR="00BC7C74">
        <w:rPr>
          <w:lang w:val="sq-AL"/>
        </w:rPr>
        <w:t>ë</w:t>
      </w:r>
      <w:r w:rsidRPr="00EB4C44" w:rsidR="00266580">
        <w:rPr>
          <w:lang w:val="sq-AL"/>
        </w:rPr>
        <w:t xml:space="preserve"> re e nj</w:t>
      </w:r>
      <w:r w:rsidRPr="00EB4C44" w:rsidR="00BC7C74">
        <w:rPr>
          <w:lang w:val="sq-AL"/>
        </w:rPr>
        <w:t>ë</w:t>
      </w:r>
      <w:r w:rsidRPr="00EB4C44" w:rsidR="00266580">
        <w:rPr>
          <w:lang w:val="sq-AL"/>
        </w:rPr>
        <w:t xml:space="preserve"> numri alarmues veprash penale me karakter seksual n</w:t>
      </w:r>
      <w:r w:rsidRPr="00EB4C44" w:rsidR="00BC7C74">
        <w:rPr>
          <w:lang w:val="sq-AL"/>
        </w:rPr>
        <w:t>ë</w:t>
      </w:r>
      <w:r w:rsidRPr="00EB4C44" w:rsidR="00266580">
        <w:rPr>
          <w:lang w:val="sq-AL"/>
        </w:rPr>
        <w:t xml:space="preserve"> Irlandë, shum</w:t>
      </w:r>
      <w:r w:rsidRPr="00EB4C44" w:rsidR="00BC7C74">
        <w:rPr>
          <w:lang w:val="sq-AL"/>
        </w:rPr>
        <w:t>ë</w:t>
      </w:r>
      <w:r w:rsidRPr="00EB4C44" w:rsidR="00266580">
        <w:rPr>
          <w:lang w:val="sq-AL"/>
        </w:rPr>
        <w:t xml:space="preserve"> nga t</w:t>
      </w:r>
      <w:r w:rsidRPr="00EB4C44" w:rsidR="00BC7C74">
        <w:rPr>
          <w:lang w:val="sq-AL"/>
        </w:rPr>
        <w:t>ë</w:t>
      </w:r>
      <w:r w:rsidRPr="00EB4C44" w:rsidR="00266580">
        <w:rPr>
          <w:lang w:val="sq-AL"/>
        </w:rPr>
        <w:t xml:space="preserve"> cilat kishin t</w:t>
      </w:r>
      <w:r w:rsidRPr="00EB4C44" w:rsidR="00BC7C74">
        <w:rPr>
          <w:lang w:val="sq-AL"/>
        </w:rPr>
        <w:t>ë</w:t>
      </w:r>
      <w:r w:rsidRPr="00EB4C44" w:rsidR="00266580">
        <w:rPr>
          <w:lang w:val="sq-AL"/>
        </w:rPr>
        <w:t xml:space="preserve"> b</w:t>
      </w:r>
      <w:r w:rsidRPr="00EB4C44" w:rsidR="00BC7C74">
        <w:rPr>
          <w:lang w:val="sq-AL"/>
        </w:rPr>
        <w:t>ë</w:t>
      </w:r>
      <w:r w:rsidRPr="00EB4C44" w:rsidR="00266580">
        <w:rPr>
          <w:lang w:val="sq-AL"/>
        </w:rPr>
        <w:t>nin me t</w:t>
      </w:r>
      <w:r w:rsidRPr="00EB4C44" w:rsidR="00BC7C74">
        <w:rPr>
          <w:lang w:val="sq-AL"/>
        </w:rPr>
        <w:t>ë</w:t>
      </w:r>
      <w:r w:rsidRPr="00EB4C44" w:rsidR="00266580">
        <w:rPr>
          <w:lang w:val="sq-AL"/>
        </w:rPr>
        <w:t xml:space="preserve"> mitur, sidomos me fëmijë n</w:t>
      </w:r>
      <w:r w:rsidRPr="00EB4C44" w:rsidR="00BC7C74">
        <w:rPr>
          <w:lang w:val="sq-AL"/>
        </w:rPr>
        <w:t>ë</w:t>
      </w:r>
      <w:r w:rsidRPr="00EB4C44" w:rsidR="00266580">
        <w:rPr>
          <w:lang w:val="sq-AL"/>
        </w:rPr>
        <w:t>n mosh</w:t>
      </w:r>
      <w:r w:rsidRPr="00EB4C44" w:rsidR="00BC7C74">
        <w:rPr>
          <w:lang w:val="sq-AL"/>
        </w:rPr>
        <w:t>ë</w:t>
      </w:r>
      <w:r w:rsidRPr="00EB4C44" w:rsidR="00266580">
        <w:rPr>
          <w:lang w:val="sq-AL"/>
        </w:rPr>
        <w:t>n dhjet</w:t>
      </w:r>
      <w:r w:rsidRPr="00EB4C44" w:rsidR="00BC7C74">
        <w:rPr>
          <w:lang w:val="sq-AL"/>
        </w:rPr>
        <w:t>ë</w:t>
      </w:r>
      <w:r w:rsidRPr="00EB4C44" w:rsidR="00266580">
        <w:rPr>
          <w:lang w:val="sq-AL"/>
        </w:rPr>
        <w:t xml:space="preserve"> vjeç. Ai kishte v</w:t>
      </w:r>
      <w:r w:rsidRPr="00EB4C44" w:rsidR="00BC7C74">
        <w:rPr>
          <w:lang w:val="sq-AL"/>
        </w:rPr>
        <w:t>ë</w:t>
      </w:r>
      <w:r w:rsidRPr="00EB4C44" w:rsidR="00266580">
        <w:rPr>
          <w:lang w:val="sq-AL"/>
        </w:rPr>
        <w:t>në n</w:t>
      </w:r>
      <w:r w:rsidRPr="00EB4C44" w:rsidR="00BC7C74">
        <w:rPr>
          <w:lang w:val="sq-AL"/>
        </w:rPr>
        <w:t>ë</w:t>
      </w:r>
      <w:r w:rsidRPr="00EB4C44" w:rsidR="00266580">
        <w:rPr>
          <w:lang w:val="sq-AL"/>
        </w:rPr>
        <w:t xml:space="preserve"> dukje se, n</w:t>
      </w:r>
      <w:r w:rsidRPr="00EB4C44" w:rsidR="00BC7C74">
        <w:rPr>
          <w:lang w:val="sq-AL"/>
        </w:rPr>
        <w:t>ë</w:t>
      </w:r>
      <w:r w:rsidRPr="00EB4C44" w:rsidR="00266580">
        <w:rPr>
          <w:lang w:val="sq-AL"/>
        </w:rPr>
        <w:t xml:space="preserve"> të vërtetë, vetëm nj</w:t>
      </w:r>
      <w:r w:rsidRPr="00EB4C44" w:rsidR="00BC7C74">
        <w:rPr>
          <w:lang w:val="sq-AL"/>
        </w:rPr>
        <w:t>ë</w:t>
      </w:r>
      <w:r w:rsidRPr="00EB4C44" w:rsidR="00266580">
        <w:rPr>
          <w:lang w:val="sq-AL"/>
        </w:rPr>
        <w:t xml:space="preserve"> pjesë e veprave të kryera b</w:t>
      </w:r>
      <w:r w:rsidRPr="00EB4C44" w:rsidR="00BC7C74">
        <w:rPr>
          <w:lang w:val="sq-AL"/>
        </w:rPr>
        <w:t>ë</w:t>
      </w:r>
      <w:r w:rsidRPr="00EB4C44" w:rsidR="00266580">
        <w:rPr>
          <w:lang w:val="sq-AL"/>
        </w:rPr>
        <w:t>heshin objekt për ndjekje penale. Duke vendosur nj</w:t>
      </w:r>
      <w:r w:rsidRPr="00EB4C44" w:rsidR="00BC7C74">
        <w:rPr>
          <w:lang w:val="sq-AL"/>
        </w:rPr>
        <w:t>ë</w:t>
      </w:r>
      <w:r w:rsidRPr="00EB4C44" w:rsidR="00266580">
        <w:rPr>
          <w:lang w:val="sq-AL"/>
        </w:rPr>
        <w:t xml:space="preserve"> lidhje shkakësore midis shpeshtësisë s</w:t>
      </w:r>
      <w:r w:rsidRPr="00EB4C44" w:rsidR="00BC7C74">
        <w:rPr>
          <w:lang w:val="sq-AL"/>
        </w:rPr>
        <w:t>ë</w:t>
      </w:r>
      <w:r w:rsidRPr="00EB4C44" w:rsidR="00266580">
        <w:rPr>
          <w:lang w:val="sq-AL"/>
        </w:rPr>
        <w:t xml:space="preserve"> sulmeve q</w:t>
      </w:r>
      <w:r w:rsidRPr="00EB4C44" w:rsidR="00BC7C74">
        <w:rPr>
          <w:lang w:val="sq-AL"/>
        </w:rPr>
        <w:t>ë</w:t>
      </w:r>
      <w:r w:rsidRPr="00EB4C44" w:rsidR="00266580">
        <w:rPr>
          <w:lang w:val="sq-AL"/>
        </w:rPr>
        <w:t xml:space="preserve"> synonin t</w:t>
      </w:r>
      <w:r w:rsidRPr="00EB4C44" w:rsidR="00BC7C74">
        <w:rPr>
          <w:lang w:val="sq-AL"/>
        </w:rPr>
        <w:t>ë</w:t>
      </w:r>
      <w:r w:rsidRPr="00EB4C44" w:rsidR="00266580">
        <w:rPr>
          <w:lang w:val="sq-AL"/>
        </w:rPr>
        <w:t xml:space="preserve"> mitur dhe ndjenjës s</w:t>
      </w:r>
      <w:r w:rsidRPr="00EB4C44" w:rsidR="00BC7C74">
        <w:rPr>
          <w:lang w:val="sq-AL"/>
        </w:rPr>
        <w:t>ë</w:t>
      </w:r>
      <w:r w:rsidRPr="00EB4C44" w:rsidR="00266580">
        <w:rPr>
          <w:lang w:val="sq-AL"/>
        </w:rPr>
        <w:t xml:space="preserve"> pa</w:t>
      </w:r>
      <w:r w:rsidRPr="00EB4C44" w:rsidR="00380EAE">
        <w:rPr>
          <w:lang w:val="sq-AL"/>
        </w:rPr>
        <w:t>n</w:t>
      </w:r>
      <w:r w:rsidRPr="00EB4C44" w:rsidR="00266580">
        <w:rPr>
          <w:lang w:val="sq-AL"/>
        </w:rPr>
        <w:t>d</w:t>
      </w:r>
      <w:r w:rsidRPr="00EB4C44" w:rsidR="00380EAE">
        <w:rPr>
          <w:lang w:val="sq-AL"/>
        </w:rPr>
        <w:t>ëshkue</w:t>
      </w:r>
      <w:r w:rsidRPr="00EB4C44" w:rsidR="00266580">
        <w:rPr>
          <w:lang w:val="sq-AL"/>
        </w:rPr>
        <w:t xml:space="preserve">shmërisë </w:t>
      </w:r>
      <w:r w:rsidRPr="00EB4C44" w:rsidR="00380EAE">
        <w:rPr>
          <w:lang w:val="sq-AL"/>
        </w:rPr>
        <w:t>të autorëve të k</w:t>
      </w:r>
      <w:r w:rsidRPr="00EB4C44" w:rsidR="00BC7C74">
        <w:rPr>
          <w:lang w:val="sq-AL"/>
        </w:rPr>
        <w:t>ë</w:t>
      </w:r>
      <w:r w:rsidRPr="00EB4C44" w:rsidR="00380EAE">
        <w:rPr>
          <w:lang w:val="sq-AL"/>
        </w:rPr>
        <w:t>tyre veprave, Komisioni Carrigan</w:t>
      </w:r>
      <w:r w:rsidRPr="00EB4C44">
        <w:rPr>
          <w:lang w:val="sq-AL"/>
        </w:rPr>
        <w:t xml:space="preserve"> </w:t>
      </w:r>
      <w:r w:rsidRPr="00EB4C44" w:rsidR="00380EAE">
        <w:rPr>
          <w:lang w:val="sq-AL"/>
        </w:rPr>
        <w:t>kishte rekomanduar n</w:t>
      </w:r>
      <w:r w:rsidRPr="00EB4C44" w:rsidR="00BC7C74">
        <w:rPr>
          <w:lang w:val="sq-AL"/>
        </w:rPr>
        <w:t>ë</w:t>
      </w:r>
      <w:r w:rsidRPr="00EB4C44" w:rsidR="00380EAE">
        <w:rPr>
          <w:lang w:val="sq-AL"/>
        </w:rPr>
        <w:t xml:space="preserve"> raportin e tij</w:t>
      </w:r>
      <w:r w:rsidR="00943091">
        <w:rPr>
          <w:lang w:val="sq-AL"/>
        </w:rPr>
        <w:t xml:space="preserve"> </w:t>
      </w:r>
      <w:r w:rsidRPr="00EB4C44" w:rsidR="00380EAE">
        <w:rPr>
          <w:lang w:val="sq-AL"/>
        </w:rPr>
        <w:t>ndryshime ligjore dhe sanksione m</w:t>
      </w:r>
      <w:r w:rsidRPr="00EB4C44" w:rsidR="00BC7C74">
        <w:rPr>
          <w:lang w:val="sq-AL"/>
        </w:rPr>
        <w:t>ë</w:t>
      </w:r>
      <w:r w:rsidRPr="00EB4C44" w:rsidR="00380EAE">
        <w:rPr>
          <w:lang w:val="sq-AL"/>
        </w:rPr>
        <w:t xml:space="preserve"> t</w:t>
      </w:r>
      <w:r w:rsidRPr="00EB4C44" w:rsidR="00BC7C74">
        <w:rPr>
          <w:lang w:val="sq-AL"/>
        </w:rPr>
        <w:t>ë</w:t>
      </w:r>
      <w:r w:rsidRPr="00EB4C44" w:rsidR="00380EAE">
        <w:rPr>
          <w:lang w:val="sq-AL"/>
        </w:rPr>
        <w:t xml:space="preserve"> ashpra, çka kishte çuar konkretisht n</w:t>
      </w:r>
      <w:r w:rsidRPr="00EB4C44" w:rsidR="00BC7C74">
        <w:rPr>
          <w:lang w:val="sq-AL"/>
        </w:rPr>
        <w:t>ë</w:t>
      </w:r>
      <w:r w:rsidRPr="00EB4C44" w:rsidR="00380EAE">
        <w:rPr>
          <w:lang w:val="sq-AL"/>
        </w:rPr>
        <w:t xml:space="preserve"> miratimin e Ligjit të vitit </w:t>
      </w:r>
      <w:r w:rsidRPr="00EB4C44">
        <w:rPr>
          <w:lang w:val="sq-AL"/>
        </w:rPr>
        <w:t xml:space="preserve">1935 </w:t>
      </w:r>
      <w:r w:rsidRPr="00EB4C44" w:rsidR="00380EAE">
        <w:rPr>
          <w:lang w:val="sq-AL"/>
        </w:rPr>
        <w:t>i cili, nd</w:t>
      </w:r>
      <w:r w:rsidRPr="00EB4C44" w:rsidR="00BC7C74">
        <w:rPr>
          <w:lang w:val="sq-AL"/>
        </w:rPr>
        <w:t>ë</w:t>
      </w:r>
      <w:r w:rsidRPr="00EB4C44" w:rsidR="00380EAE">
        <w:rPr>
          <w:lang w:val="sq-AL"/>
        </w:rPr>
        <w:t>r t</w:t>
      </w:r>
      <w:r w:rsidRPr="00EB4C44" w:rsidR="00BC7C74">
        <w:rPr>
          <w:lang w:val="sq-AL"/>
        </w:rPr>
        <w:t>ë</w:t>
      </w:r>
      <w:r w:rsidRPr="00EB4C44" w:rsidR="00380EAE">
        <w:rPr>
          <w:lang w:val="sq-AL"/>
        </w:rPr>
        <w:t xml:space="preserve"> tjera, fuste n</w:t>
      </w:r>
      <w:r w:rsidRPr="00EB4C44" w:rsidR="00BC7C74">
        <w:rPr>
          <w:lang w:val="sq-AL"/>
        </w:rPr>
        <w:t>ë</w:t>
      </w:r>
      <w:r w:rsidRPr="00EB4C44" w:rsidR="00380EAE">
        <w:rPr>
          <w:lang w:val="sq-AL"/>
        </w:rPr>
        <w:t xml:space="preserve"> të drejtën irlandeze disa vepra penale me karakter seksual q</w:t>
      </w:r>
      <w:r w:rsidRPr="00EB4C44" w:rsidR="00BC7C74">
        <w:rPr>
          <w:lang w:val="sq-AL"/>
        </w:rPr>
        <w:t>ë</w:t>
      </w:r>
      <w:r w:rsidRPr="00EB4C44" w:rsidR="00380EAE">
        <w:rPr>
          <w:lang w:val="sq-AL"/>
        </w:rPr>
        <w:t xml:space="preserve"> synonin vajza t</w:t>
      </w:r>
      <w:r w:rsidRPr="00EB4C44" w:rsidR="00BC7C74">
        <w:rPr>
          <w:lang w:val="sq-AL"/>
        </w:rPr>
        <w:t>ë</w:t>
      </w:r>
      <w:r w:rsidRPr="00EB4C44" w:rsidR="00380EAE">
        <w:rPr>
          <w:lang w:val="sq-AL"/>
        </w:rPr>
        <w:t xml:space="preserve"> reja.</w:t>
      </w:r>
      <w:r w:rsidRPr="00EB4C44">
        <w:rPr>
          <w:lang w:val="sq-AL"/>
        </w:rPr>
        <w:t xml:space="preserve"> </w:t>
      </w:r>
      <w:r w:rsidRPr="00EB4C44" w:rsidR="00380EAE">
        <w:rPr>
          <w:lang w:val="sq-AL"/>
        </w:rPr>
        <w:t>Nga ana tjetër, n</w:t>
      </w:r>
      <w:r w:rsidRPr="00EB4C44" w:rsidR="00BC7C74">
        <w:rPr>
          <w:lang w:val="sq-AL"/>
        </w:rPr>
        <w:t>ë</w:t>
      </w:r>
      <w:r w:rsidRPr="00EB4C44" w:rsidR="00380EAE">
        <w:rPr>
          <w:lang w:val="sq-AL"/>
        </w:rPr>
        <w:t xml:space="preserve"> nj</w:t>
      </w:r>
      <w:r w:rsidRPr="00EB4C44" w:rsidR="00BC7C74">
        <w:rPr>
          <w:lang w:val="sq-AL"/>
        </w:rPr>
        <w:t>ë</w:t>
      </w:r>
      <w:r w:rsidRPr="00EB4C44" w:rsidR="00380EAE">
        <w:rPr>
          <w:lang w:val="sq-AL"/>
        </w:rPr>
        <w:t xml:space="preserve"> studim të kryer n</w:t>
      </w:r>
      <w:r w:rsidRPr="00EB4C44" w:rsidR="00BC7C74">
        <w:rPr>
          <w:lang w:val="sq-AL"/>
        </w:rPr>
        <w:t>ë</w:t>
      </w:r>
      <w:r w:rsidRPr="00EB4C44" w:rsidR="00380EAE">
        <w:rPr>
          <w:lang w:val="sq-AL"/>
        </w:rPr>
        <w:t xml:space="preserve">n drejtimin e Komisionit </w:t>
      </w:r>
      <w:r w:rsidRPr="00EB4C44">
        <w:rPr>
          <w:lang w:val="sq-AL"/>
        </w:rPr>
        <w:t xml:space="preserve">Ryan </w:t>
      </w:r>
      <w:r w:rsidRPr="00EB4C44" w:rsidR="00380EAE">
        <w:rPr>
          <w:lang w:val="sq-AL"/>
        </w:rPr>
        <w:t>dhe t</w:t>
      </w:r>
      <w:r w:rsidRPr="00EB4C44" w:rsidR="00BC7C74">
        <w:rPr>
          <w:lang w:val="sq-AL"/>
        </w:rPr>
        <w:t>ë</w:t>
      </w:r>
      <w:r w:rsidRPr="00EB4C44" w:rsidR="00380EAE">
        <w:rPr>
          <w:lang w:val="sq-AL"/>
        </w:rPr>
        <w:t xml:space="preserve"> bashkëngjitur te raporti i k</w:t>
      </w:r>
      <w:r w:rsidRPr="00EB4C44" w:rsidR="00BC7C74">
        <w:rPr>
          <w:lang w:val="sq-AL"/>
        </w:rPr>
        <w:t>ë</w:t>
      </w:r>
      <w:r w:rsidRPr="00EB4C44" w:rsidR="00380EAE">
        <w:rPr>
          <w:lang w:val="sq-AL"/>
        </w:rPr>
        <w:t>tij t</w:t>
      </w:r>
      <w:r w:rsidRPr="00EB4C44" w:rsidR="00BC7C74">
        <w:rPr>
          <w:lang w:val="sq-AL"/>
        </w:rPr>
        <w:t>ë</w:t>
      </w:r>
      <w:r w:rsidRPr="00EB4C44" w:rsidR="00380EAE">
        <w:rPr>
          <w:lang w:val="sq-AL"/>
        </w:rPr>
        <w:t xml:space="preserve"> fundit </w:t>
      </w:r>
      <w:r w:rsidRPr="00EB4C44">
        <w:rPr>
          <w:lang w:val="sq-AL"/>
        </w:rPr>
        <w:t>(paragra</w:t>
      </w:r>
      <w:r w:rsidRPr="00EB4C44" w:rsidR="00380EAE">
        <w:rPr>
          <w:lang w:val="sq-AL"/>
        </w:rPr>
        <w:t>fi</w:t>
      </w:r>
      <w:r w:rsidRPr="00EB4C44">
        <w:rPr>
          <w:lang w:val="sq-AL"/>
        </w:rPr>
        <w:t xml:space="preserve"> 82 </w:t>
      </w:r>
      <w:r w:rsidRPr="00EB4C44" w:rsidR="00604857">
        <w:rPr>
          <w:lang w:val="sq-AL"/>
        </w:rPr>
        <w:t>i mësipërm</w:t>
      </w:r>
      <w:r w:rsidRPr="00EB4C44">
        <w:rPr>
          <w:lang w:val="sq-AL"/>
        </w:rPr>
        <w:t>), profes</w:t>
      </w:r>
      <w:r w:rsidRPr="00EB4C44" w:rsidR="00380EAE">
        <w:rPr>
          <w:lang w:val="sq-AL"/>
        </w:rPr>
        <w:t>ori</w:t>
      </w:r>
      <w:r w:rsidRPr="00EB4C44">
        <w:rPr>
          <w:lang w:val="sq-AL"/>
        </w:rPr>
        <w:t xml:space="preserve"> Ferriter </w:t>
      </w:r>
      <w:r w:rsidRPr="00EB4C44" w:rsidR="00380EAE">
        <w:rPr>
          <w:lang w:val="sq-AL"/>
        </w:rPr>
        <w:t>kishte bërë analizën e t</w:t>
      </w:r>
      <w:r w:rsidRPr="00EB4C44" w:rsidR="00BC7C74">
        <w:rPr>
          <w:lang w:val="sq-AL"/>
        </w:rPr>
        <w:t>ë</w:t>
      </w:r>
      <w:r w:rsidRPr="00EB4C44" w:rsidR="00380EAE">
        <w:rPr>
          <w:lang w:val="sq-AL"/>
        </w:rPr>
        <w:t xml:space="preserve"> dh</w:t>
      </w:r>
      <w:r w:rsidRPr="00EB4C44" w:rsidR="00BC7C74">
        <w:rPr>
          <w:lang w:val="sq-AL"/>
        </w:rPr>
        <w:t>ë</w:t>
      </w:r>
      <w:r w:rsidRPr="00EB4C44" w:rsidR="00380EAE">
        <w:rPr>
          <w:lang w:val="sq-AL"/>
        </w:rPr>
        <w:t>nave statistikore lidhur me ndjekjet, t</w:t>
      </w:r>
      <w:r w:rsidRPr="00EB4C44" w:rsidR="00BC7C74">
        <w:rPr>
          <w:lang w:val="sq-AL"/>
        </w:rPr>
        <w:t>ë</w:t>
      </w:r>
      <w:r w:rsidRPr="00EB4C44" w:rsidR="00380EAE">
        <w:rPr>
          <w:lang w:val="sq-AL"/>
        </w:rPr>
        <w:t xml:space="preserve"> nxjerra nga arkivat e juridiksioneve penale, për periudh</w:t>
      </w:r>
      <w:r w:rsidRPr="00EB4C44" w:rsidR="00BC7C74">
        <w:rPr>
          <w:lang w:val="sq-AL"/>
        </w:rPr>
        <w:t>ë</w:t>
      </w:r>
      <w:r w:rsidRPr="00EB4C44" w:rsidR="00380EAE">
        <w:rPr>
          <w:lang w:val="sq-AL"/>
        </w:rPr>
        <w:t xml:space="preserve">n midis Raportit </w:t>
      </w:r>
      <w:r w:rsidRPr="00EB4C44">
        <w:rPr>
          <w:lang w:val="sq-AL"/>
        </w:rPr>
        <w:t xml:space="preserve">Carrigan </w:t>
      </w:r>
      <w:r w:rsidRPr="00EB4C44" w:rsidR="00380EAE">
        <w:rPr>
          <w:lang w:val="sq-AL"/>
        </w:rPr>
        <w:t xml:space="preserve">dhe viteve </w:t>
      </w:r>
      <w:r w:rsidRPr="00EB4C44">
        <w:rPr>
          <w:lang w:val="sq-AL"/>
        </w:rPr>
        <w:t xml:space="preserve">1960. </w:t>
      </w:r>
      <w:r w:rsidRPr="00EB4C44" w:rsidR="00380EAE">
        <w:rPr>
          <w:lang w:val="sq-AL"/>
        </w:rPr>
        <w:t>Ai kishte dalë konkretisht n</w:t>
      </w:r>
      <w:r w:rsidRPr="00EB4C44" w:rsidR="00BC7C74">
        <w:rPr>
          <w:lang w:val="sq-AL"/>
        </w:rPr>
        <w:t>ë</w:t>
      </w:r>
      <w:r w:rsidRPr="00EB4C44" w:rsidR="00380EAE">
        <w:rPr>
          <w:lang w:val="sq-AL"/>
        </w:rPr>
        <w:t xml:space="preserve"> përfundimin se k</w:t>
      </w:r>
      <w:r w:rsidRPr="00EB4C44" w:rsidR="00BC7C74">
        <w:rPr>
          <w:lang w:val="sq-AL"/>
        </w:rPr>
        <w:t>ë</w:t>
      </w:r>
      <w:r w:rsidRPr="00EB4C44" w:rsidR="00380EAE">
        <w:rPr>
          <w:lang w:val="sq-AL"/>
        </w:rPr>
        <w:t>to dokumente tregonin nj</w:t>
      </w:r>
      <w:r w:rsidRPr="00EB4C44" w:rsidR="00BC7C74">
        <w:rPr>
          <w:lang w:val="sq-AL"/>
        </w:rPr>
        <w:t>ë</w:t>
      </w:r>
      <w:r w:rsidRPr="00EB4C44" w:rsidR="00380EAE">
        <w:rPr>
          <w:lang w:val="sq-AL"/>
        </w:rPr>
        <w:t xml:space="preserve"> nivel të lartë kriminaliteti me karakter seksual që prekte fëmijët n</w:t>
      </w:r>
      <w:r w:rsidRPr="00EB4C44" w:rsidR="00BC7C74">
        <w:rPr>
          <w:lang w:val="sq-AL"/>
        </w:rPr>
        <w:t>ë</w:t>
      </w:r>
      <w:r w:rsidRPr="00EB4C44" w:rsidR="00380EAE">
        <w:rPr>
          <w:lang w:val="sq-AL"/>
        </w:rPr>
        <w:t xml:space="preserve"> mosh</w:t>
      </w:r>
      <w:r w:rsidRPr="00EB4C44" w:rsidR="00BC7C74">
        <w:rPr>
          <w:lang w:val="sq-AL"/>
        </w:rPr>
        <w:t>ë</w:t>
      </w:r>
      <w:r w:rsidRPr="00EB4C44" w:rsidR="00380EAE">
        <w:rPr>
          <w:lang w:val="sq-AL"/>
        </w:rPr>
        <w:t xml:space="preserve"> t</w:t>
      </w:r>
      <w:r w:rsidRPr="00EB4C44" w:rsidR="00BC7C74">
        <w:rPr>
          <w:lang w:val="sq-AL"/>
        </w:rPr>
        <w:t>ë</w:t>
      </w:r>
      <w:r w:rsidRPr="00EB4C44" w:rsidR="00380EAE">
        <w:rPr>
          <w:lang w:val="sq-AL"/>
        </w:rPr>
        <w:t xml:space="preserve"> re (djem e vajza). Së fundi, Raporti </w:t>
      </w:r>
      <w:r w:rsidRPr="00EB4C44">
        <w:rPr>
          <w:lang w:val="sq-AL"/>
        </w:rPr>
        <w:t xml:space="preserve">Ryan </w:t>
      </w:r>
      <w:r w:rsidRPr="00EB4C44" w:rsidR="00BC7C74">
        <w:rPr>
          <w:lang w:val="sq-AL"/>
        </w:rPr>
        <w:t xml:space="preserve">kishte nxjerrë gjithashtu në pah ekzistencën e ankesave të paraqitura pranë autoriteteve të shtetit përpara dhe gjatë viteve </w:t>
      </w:r>
      <w:r w:rsidRPr="00EB4C44">
        <w:rPr>
          <w:lang w:val="sq-AL"/>
        </w:rPr>
        <w:t xml:space="preserve">1970 </w:t>
      </w:r>
      <w:r w:rsidRPr="00EB4C44" w:rsidR="00BC7C74">
        <w:rPr>
          <w:lang w:val="sq-AL"/>
        </w:rPr>
        <w:t xml:space="preserve">lidhur me abuzime seksuale me të mitur të kryera nga të rritur </w:t>
      </w:r>
      <w:r w:rsidRPr="00EB4C44">
        <w:rPr>
          <w:lang w:val="sq-AL"/>
        </w:rPr>
        <w:t>(paragra</w:t>
      </w:r>
      <w:r w:rsidRPr="00EB4C44" w:rsidR="00BC7C74">
        <w:rPr>
          <w:lang w:val="sq-AL"/>
        </w:rPr>
        <w:t>fët</w:t>
      </w:r>
      <w:r w:rsidRPr="00EB4C44">
        <w:rPr>
          <w:lang w:val="sq-AL"/>
        </w:rPr>
        <w:t xml:space="preserve"> 78-81 </w:t>
      </w:r>
      <w:r w:rsidRPr="00EB4C44" w:rsidR="00604857">
        <w:rPr>
          <w:lang w:val="sq-AL"/>
        </w:rPr>
        <w:t>të mësipërm</w:t>
      </w:r>
      <w:r w:rsidRPr="00EB4C44">
        <w:rPr>
          <w:lang w:val="sq-AL"/>
        </w:rPr>
        <w:t xml:space="preserve">). </w:t>
      </w:r>
      <w:r w:rsidRPr="00EB4C44" w:rsidR="00BC7C74">
        <w:rPr>
          <w:lang w:val="sq-AL"/>
        </w:rPr>
        <w:t>Ndonëse ky raport kishte të bënte kryesisht me</w:t>
      </w:r>
      <w:r w:rsidRPr="00EB4C44">
        <w:rPr>
          <w:lang w:val="sq-AL"/>
        </w:rPr>
        <w:t xml:space="preserve"> </w:t>
      </w:r>
      <w:r w:rsidRPr="00EB4C44">
        <w:rPr>
          <w:i/>
          <w:lang w:val="sq-AL"/>
        </w:rPr>
        <w:t>industrial schools</w:t>
      </w:r>
      <w:r w:rsidRPr="00EB4C44">
        <w:rPr>
          <w:lang w:val="sq-AL"/>
        </w:rPr>
        <w:t xml:space="preserve">, </w:t>
      </w:r>
      <w:r w:rsidRPr="00EB4C44" w:rsidR="00BC7C74">
        <w:rPr>
          <w:lang w:val="sq-AL"/>
        </w:rPr>
        <w:t xml:space="preserve">ku mësimi ishte i ndryshëm nga ai që jepej në shkollat kombëtare dhe konviktorët e të cilave ishin të izoluar nga familja e tyre dhe nga shoqëria (për një përshkrim të këtyre shkollave, shih paragrafin </w:t>
      </w:r>
      <w:r w:rsidRPr="00EB4C44">
        <w:rPr>
          <w:lang w:val="sq-AL"/>
        </w:rPr>
        <w:t xml:space="preserve">73 </w:t>
      </w:r>
      <w:r w:rsidRPr="00EB4C44" w:rsidR="00BC7C74">
        <w:rPr>
          <w:lang w:val="sq-AL"/>
        </w:rPr>
        <w:t>të</w:t>
      </w:r>
      <w:r w:rsidRPr="00EB4C44" w:rsidR="00604857">
        <w:rPr>
          <w:lang w:val="sq-AL"/>
        </w:rPr>
        <w:t xml:space="preserve"> mësipërm</w:t>
      </w:r>
      <w:r w:rsidRPr="00EB4C44">
        <w:rPr>
          <w:lang w:val="sq-AL"/>
        </w:rPr>
        <w:t xml:space="preserve">), </w:t>
      </w:r>
      <w:r w:rsidRPr="00EB4C44" w:rsidR="00BC7C74">
        <w:rPr>
          <w:lang w:val="sq-AL"/>
        </w:rPr>
        <w:t>këto ankesa të para përbënin megjithatë sinjalizime ndaj shtetit për abuzime seksuale të kryera nga të rritur mbi të mitur në një kontekst arsimor</w:t>
      </w:r>
      <w:r w:rsidRPr="00EB4C44">
        <w:rPr>
          <w:lang w:val="sq-AL"/>
        </w:rPr>
        <w:t xml:space="preserve">. </w:t>
      </w:r>
      <w:r w:rsidRPr="00EB4C44" w:rsidR="00BC7C74">
        <w:rPr>
          <w:lang w:val="sq-AL"/>
        </w:rPr>
        <w:t xml:space="preserve">Sidoqoftë, disa nga ankesat e drejtuara ndaj shtetit përpara dhe gjatë viteve </w:t>
      </w:r>
      <w:r w:rsidRPr="00EB4C44">
        <w:rPr>
          <w:lang w:val="sq-AL"/>
        </w:rPr>
        <w:t xml:space="preserve">1970 </w:t>
      </w:r>
      <w:r w:rsidRPr="00EB4C44" w:rsidR="00BC7C74">
        <w:rPr>
          <w:lang w:val="sq-AL"/>
        </w:rPr>
        <w:t xml:space="preserve">të cilat përmendeshin në vëllimin </w:t>
      </w:r>
      <w:r w:rsidRPr="00EB4C44">
        <w:rPr>
          <w:lang w:val="sq-AL"/>
        </w:rPr>
        <w:t xml:space="preserve">III </w:t>
      </w:r>
      <w:r w:rsidRPr="00EB4C44" w:rsidR="00BC7C74">
        <w:rPr>
          <w:lang w:val="sq-AL"/>
        </w:rPr>
        <w:t xml:space="preserve">të Raportit </w:t>
      </w:r>
      <w:r w:rsidRPr="00EB4C44">
        <w:rPr>
          <w:lang w:val="sq-AL"/>
        </w:rPr>
        <w:t xml:space="preserve">Ryan </w:t>
      </w:r>
      <w:r w:rsidRPr="00EB4C44" w:rsidR="00BC7C74">
        <w:rPr>
          <w:lang w:val="sq-AL"/>
        </w:rPr>
        <w:t xml:space="preserve">kishin të bënin me ngjarje të ndodhura nëpër shkolla kombëtare </w:t>
      </w:r>
      <w:r w:rsidRPr="00EB4C44">
        <w:rPr>
          <w:lang w:val="sq-AL"/>
        </w:rPr>
        <w:t>(paragra</w:t>
      </w:r>
      <w:r w:rsidRPr="00EB4C44" w:rsidR="00BC7C74">
        <w:rPr>
          <w:lang w:val="sq-AL"/>
        </w:rPr>
        <w:t>fi</w:t>
      </w:r>
      <w:r w:rsidRPr="00EB4C44">
        <w:rPr>
          <w:lang w:val="sq-AL"/>
        </w:rPr>
        <w:t xml:space="preserve"> 80 </w:t>
      </w:r>
      <w:r w:rsidRPr="00EB4C44" w:rsidR="00604857">
        <w:rPr>
          <w:lang w:val="sq-AL"/>
        </w:rPr>
        <w:t>i mësipërm</w:t>
      </w:r>
      <w:r w:rsidRPr="00EB4C44">
        <w:rPr>
          <w:lang w:val="sq-AL"/>
        </w:rPr>
        <w:t>).</w:t>
      </w:r>
    </w:p>
    <w:p w:rsidRPr="00EB4C44" w:rsidR="00EB737A" w:rsidP="00EB737A" w:rsidRDefault="00EB737A">
      <w:pPr>
        <w:pStyle w:val="ECHRPara"/>
        <w:rPr>
          <w:lang w:val="sq-AL"/>
        </w:rPr>
      </w:pPr>
      <w:r w:rsidRPr="00EB4C44">
        <w:rPr>
          <w:lang w:val="sq-AL"/>
        </w:rPr>
        <w:fldChar w:fldCharType="begin"/>
      </w:r>
      <w:r w:rsidRPr="00EB4C44">
        <w:rPr>
          <w:lang w:val="sq-AL"/>
        </w:rPr>
        <w:instrText xml:space="preserve"> SEQ level0 \*arabic </w:instrText>
      </w:r>
      <w:r w:rsidRPr="00EB4C44">
        <w:rPr>
          <w:lang w:val="sq-AL"/>
        </w:rPr>
        <w:fldChar w:fldCharType="separate"/>
      </w:r>
      <w:r w:rsidR="00013F9B">
        <w:rPr>
          <w:noProof/>
          <w:lang w:val="sq-AL"/>
        </w:rPr>
        <w:t>162</w:t>
      </w:r>
      <w:r w:rsidRPr="00EB4C44">
        <w:rPr>
          <w:lang w:val="sq-AL"/>
        </w:rPr>
        <w:fldChar w:fldCharType="end"/>
      </w:r>
      <w:r w:rsidRPr="00EB4C44">
        <w:rPr>
          <w:lang w:val="sq-AL"/>
        </w:rPr>
        <w:t>.  </w:t>
      </w:r>
      <w:r w:rsidRPr="00EB4C44" w:rsidR="00BC7C74">
        <w:rPr>
          <w:lang w:val="sq-AL"/>
        </w:rPr>
        <w:t>Shteti ishte pra n</w:t>
      </w:r>
      <w:r w:rsidRPr="00EB4C44" w:rsidR="001D334B">
        <w:rPr>
          <w:lang w:val="sq-AL"/>
        </w:rPr>
        <w:t>ë</w:t>
      </w:r>
      <w:r w:rsidRPr="00EB4C44" w:rsidR="00BC7C74">
        <w:rPr>
          <w:lang w:val="sq-AL"/>
        </w:rPr>
        <w:t xml:space="preserve"> dijeni për përmasat e problemit t</w:t>
      </w:r>
      <w:r w:rsidRPr="00EB4C44" w:rsidR="001D334B">
        <w:rPr>
          <w:lang w:val="sq-AL"/>
        </w:rPr>
        <w:t>ë</w:t>
      </w:r>
      <w:r w:rsidRPr="00EB4C44" w:rsidR="00BC7C74">
        <w:rPr>
          <w:lang w:val="sq-AL"/>
        </w:rPr>
        <w:t xml:space="preserve"> veprave penale me karakter seksual t</w:t>
      </w:r>
      <w:r w:rsidRPr="00EB4C44" w:rsidR="001D334B">
        <w:rPr>
          <w:lang w:val="sq-AL"/>
        </w:rPr>
        <w:t>ë</w:t>
      </w:r>
      <w:r w:rsidRPr="00EB4C44" w:rsidR="00BC7C74">
        <w:rPr>
          <w:lang w:val="sq-AL"/>
        </w:rPr>
        <w:t xml:space="preserve"> kryera nga t</w:t>
      </w:r>
      <w:r w:rsidRPr="00EB4C44" w:rsidR="001D334B">
        <w:rPr>
          <w:lang w:val="sq-AL"/>
        </w:rPr>
        <w:t>ë</w:t>
      </w:r>
      <w:r w:rsidRPr="00EB4C44" w:rsidR="00BC7C74">
        <w:rPr>
          <w:lang w:val="sq-AL"/>
        </w:rPr>
        <w:t xml:space="preserve"> rritur ndaj </w:t>
      </w:r>
      <w:r w:rsidRPr="00EB4C44" w:rsidR="00A06893">
        <w:rPr>
          <w:lang w:val="sq-AL"/>
        </w:rPr>
        <w:t>t</w:t>
      </w:r>
      <w:r w:rsidRPr="00EB4C44" w:rsidR="001D334B">
        <w:rPr>
          <w:lang w:val="sq-AL"/>
        </w:rPr>
        <w:t>ë</w:t>
      </w:r>
      <w:r w:rsidRPr="00EB4C44" w:rsidR="00A06893">
        <w:rPr>
          <w:lang w:val="sq-AL"/>
        </w:rPr>
        <w:t xml:space="preserve"> miturve. Për rrjedhoj</w:t>
      </w:r>
      <w:r w:rsidRPr="00EB4C44" w:rsidR="001D334B">
        <w:rPr>
          <w:lang w:val="sq-AL"/>
        </w:rPr>
        <w:t>ë</w:t>
      </w:r>
      <w:r w:rsidRPr="00EB4C44" w:rsidR="00A06893">
        <w:rPr>
          <w:lang w:val="sq-AL"/>
        </w:rPr>
        <w:t>, meqen</w:t>
      </w:r>
      <w:r w:rsidRPr="00EB4C44" w:rsidR="001D334B">
        <w:rPr>
          <w:lang w:val="sq-AL"/>
        </w:rPr>
        <w:t>ë</w:t>
      </w:r>
      <w:r w:rsidRPr="00EB4C44" w:rsidR="00A06893">
        <w:rPr>
          <w:lang w:val="sq-AL"/>
        </w:rPr>
        <w:t>se ai e braktiste kontrollin e arsimit t</w:t>
      </w:r>
      <w:r w:rsidRPr="00EB4C44" w:rsidR="001D334B">
        <w:rPr>
          <w:lang w:val="sq-AL"/>
        </w:rPr>
        <w:t>ë</w:t>
      </w:r>
      <w:r w:rsidRPr="00EB4C44" w:rsidR="00A06893">
        <w:rPr>
          <w:lang w:val="sq-AL"/>
        </w:rPr>
        <w:t xml:space="preserve"> nj</w:t>
      </w:r>
      <w:r w:rsidRPr="00EB4C44" w:rsidR="001D334B">
        <w:rPr>
          <w:lang w:val="sq-AL"/>
        </w:rPr>
        <w:t>ë</w:t>
      </w:r>
      <w:r w:rsidRPr="00EB4C44" w:rsidR="00A06893">
        <w:rPr>
          <w:lang w:val="sq-AL"/>
        </w:rPr>
        <w:t xml:space="preserve"> shumice mjaft të madhe f</w:t>
      </w:r>
      <w:r w:rsidRPr="00EB4C44" w:rsidR="001D334B">
        <w:rPr>
          <w:lang w:val="sq-AL"/>
        </w:rPr>
        <w:t>ë</w:t>
      </w:r>
      <w:r w:rsidRPr="00EB4C44" w:rsidR="00A06893">
        <w:rPr>
          <w:lang w:val="sq-AL"/>
        </w:rPr>
        <w:t>mij</w:t>
      </w:r>
      <w:r w:rsidRPr="00EB4C44" w:rsidR="001D334B">
        <w:rPr>
          <w:lang w:val="sq-AL"/>
        </w:rPr>
        <w:t>ë</w:t>
      </w:r>
      <w:r w:rsidRPr="00EB4C44" w:rsidR="00A06893">
        <w:rPr>
          <w:lang w:val="sq-AL"/>
        </w:rPr>
        <w:t>sh n</w:t>
      </w:r>
      <w:r w:rsidRPr="00EB4C44" w:rsidR="001D334B">
        <w:rPr>
          <w:lang w:val="sq-AL"/>
        </w:rPr>
        <w:t>ë</w:t>
      </w:r>
      <w:r w:rsidRPr="00EB4C44" w:rsidR="00A06893">
        <w:rPr>
          <w:lang w:val="sq-AL"/>
        </w:rPr>
        <w:t xml:space="preserve"> moshë të re n</w:t>
      </w:r>
      <w:r w:rsidRPr="00EB4C44" w:rsidR="001D334B">
        <w:rPr>
          <w:lang w:val="sq-AL"/>
        </w:rPr>
        <w:t>ë</w:t>
      </w:r>
      <w:r w:rsidRPr="00EB4C44" w:rsidR="00A06893">
        <w:rPr>
          <w:lang w:val="sq-AL"/>
        </w:rPr>
        <w:t xml:space="preserve"> duar instancash jo publike, ai duhej t</w:t>
      </w:r>
      <w:r w:rsidRPr="00EB4C44" w:rsidR="001D334B">
        <w:rPr>
          <w:lang w:val="sq-AL"/>
        </w:rPr>
        <w:t>ë</w:t>
      </w:r>
      <w:r w:rsidRPr="00EB4C44" w:rsidR="00A06893">
        <w:rPr>
          <w:lang w:val="sq-AL"/>
        </w:rPr>
        <w:t xml:space="preserve"> kishte pasur gjithashtu dijeni, duke pasur parasysh detyrimin e tij t</w:t>
      </w:r>
      <w:r w:rsidRPr="00EB4C44" w:rsidR="001D334B">
        <w:rPr>
          <w:lang w:val="sq-AL"/>
        </w:rPr>
        <w:t>ë</w:t>
      </w:r>
      <w:r w:rsidRPr="00EB4C44" w:rsidR="00A06893">
        <w:rPr>
          <w:lang w:val="sq-AL"/>
        </w:rPr>
        <w:t xml:space="preserve"> n</w:t>
      </w:r>
      <w:r w:rsidRPr="00EB4C44" w:rsidR="001D334B">
        <w:rPr>
          <w:lang w:val="sq-AL"/>
        </w:rPr>
        <w:t>ë</w:t>
      </w:r>
      <w:r w:rsidRPr="00EB4C44" w:rsidR="00A06893">
        <w:rPr>
          <w:lang w:val="sq-AL"/>
        </w:rPr>
        <w:t>nkuptuar p</w:t>
      </w:r>
      <w:r w:rsidRPr="00EB4C44" w:rsidR="001D334B">
        <w:rPr>
          <w:lang w:val="sq-AL"/>
        </w:rPr>
        <w:t>ë</w:t>
      </w:r>
      <w:r w:rsidRPr="00EB4C44" w:rsidR="00A06893">
        <w:rPr>
          <w:lang w:val="sq-AL"/>
        </w:rPr>
        <w:t>r mbrojtje t</w:t>
      </w:r>
      <w:r w:rsidRPr="00EB4C44" w:rsidR="001D334B">
        <w:rPr>
          <w:lang w:val="sq-AL"/>
        </w:rPr>
        <w:t>ë</w:t>
      </w:r>
      <w:r w:rsidRPr="00EB4C44" w:rsidR="00A06893">
        <w:rPr>
          <w:lang w:val="sq-AL"/>
        </w:rPr>
        <w:t xml:space="preserve"> f</w:t>
      </w:r>
      <w:r w:rsidRPr="00EB4C44" w:rsidR="001D334B">
        <w:rPr>
          <w:lang w:val="sq-AL"/>
        </w:rPr>
        <w:t>ë</w:t>
      </w:r>
      <w:r w:rsidRPr="00EB4C44" w:rsidR="00A06893">
        <w:rPr>
          <w:lang w:val="sq-AL"/>
        </w:rPr>
        <w:t>mij</w:t>
      </w:r>
      <w:r w:rsidRPr="00EB4C44" w:rsidR="001D334B">
        <w:rPr>
          <w:lang w:val="sq-AL"/>
        </w:rPr>
        <w:t>ë</w:t>
      </w:r>
      <w:r w:rsidRPr="00EB4C44" w:rsidR="00A06893">
        <w:rPr>
          <w:lang w:val="sq-AL"/>
        </w:rPr>
        <w:t>ve n</w:t>
      </w:r>
      <w:r w:rsidRPr="00EB4C44" w:rsidR="001D334B">
        <w:rPr>
          <w:lang w:val="sq-AL"/>
        </w:rPr>
        <w:t>ë</w:t>
      </w:r>
      <w:r w:rsidRPr="00EB4C44" w:rsidR="00A06893">
        <w:rPr>
          <w:lang w:val="sq-AL"/>
        </w:rPr>
        <w:t xml:space="preserve"> k</w:t>
      </w:r>
      <w:r w:rsidRPr="00EB4C44" w:rsidR="001D334B">
        <w:rPr>
          <w:lang w:val="sq-AL"/>
        </w:rPr>
        <w:t>ë</w:t>
      </w:r>
      <w:r w:rsidRPr="00EB4C44" w:rsidR="00A06893">
        <w:rPr>
          <w:lang w:val="sq-AL"/>
        </w:rPr>
        <w:t>të kontekst, q</w:t>
      </w:r>
      <w:r w:rsidRPr="00EB4C44" w:rsidR="001D334B">
        <w:rPr>
          <w:lang w:val="sq-AL"/>
        </w:rPr>
        <w:t>ë</w:t>
      </w:r>
      <w:r w:rsidRPr="00EB4C44" w:rsidR="00A06893">
        <w:rPr>
          <w:lang w:val="sq-AL"/>
        </w:rPr>
        <w:t xml:space="preserve"> mungesa e nj</w:t>
      </w:r>
      <w:r w:rsidRPr="00EB4C44" w:rsidR="001D334B">
        <w:rPr>
          <w:lang w:val="sq-AL"/>
        </w:rPr>
        <w:t>ë</w:t>
      </w:r>
      <w:r w:rsidRPr="00EB4C44" w:rsidR="00A06893">
        <w:rPr>
          <w:lang w:val="sq-AL"/>
        </w:rPr>
        <w:t xml:space="preserve"> kuadri t</w:t>
      </w:r>
      <w:r w:rsidRPr="00EB4C44" w:rsidR="001D334B">
        <w:rPr>
          <w:lang w:val="sq-AL"/>
        </w:rPr>
        <w:t>ë</w:t>
      </w:r>
      <w:r w:rsidRPr="00EB4C44" w:rsidR="00A06893">
        <w:rPr>
          <w:lang w:val="sq-AL"/>
        </w:rPr>
        <w:t xml:space="preserve"> përshtatsh</w:t>
      </w:r>
      <w:r w:rsidRPr="00EB4C44" w:rsidR="001D334B">
        <w:rPr>
          <w:lang w:val="sq-AL"/>
        </w:rPr>
        <w:t>ë</w:t>
      </w:r>
      <w:r w:rsidRPr="00EB4C44" w:rsidR="00A06893">
        <w:rPr>
          <w:lang w:val="sq-AL"/>
        </w:rPr>
        <w:t>m mbrojtjeje krijonte rreziqe potenciale p</w:t>
      </w:r>
      <w:r w:rsidRPr="00EB4C44" w:rsidR="001D334B">
        <w:rPr>
          <w:lang w:val="sq-AL"/>
        </w:rPr>
        <w:t>ë</w:t>
      </w:r>
      <w:r w:rsidRPr="00EB4C44" w:rsidR="00A06893">
        <w:rPr>
          <w:lang w:val="sq-AL"/>
        </w:rPr>
        <w:t>r sigurin</w:t>
      </w:r>
      <w:r w:rsidRPr="00EB4C44" w:rsidR="001D334B">
        <w:rPr>
          <w:lang w:val="sq-AL"/>
        </w:rPr>
        <w:t>ë</w:t>
      </w:r>
      <w:r w:rsidRPr="00EB4C44" w:rsidR="00A06893">
        <w:rPr>
          <w:lang w:val="sq-AL"/>
        </w:rPr>
        <w:t xml:space="preserve"> e tyre. Ai duhej ta kishte shmangur k</w:t>
      </w:r>
      <w:r w:rsidRPr="00EB4C44" w:rsidR="001D334B">
        <w:rPr>
          <w:lang w:val="sq-AL"/>
        </w:rPr>
        <w:t>ë</w:t>
      </w:r>
      <w:r w:rsidRPr="00EB4C44" w:rsidR="00A06893">
        <w:rPr>
          <w:lang w:val="sq-AL"/>
        </w:rPr>
        <w:t>t</w:t>
      </w:r>
      <w:r w:rsidRPr="00EB4C44" w:rsidR="001D334B">
        <w:rPr>
          <w:lang w:val="sq-AL"/>
        </w:rPr>
        <w:t>ë</w:t>
      </w:r>
      <w:r w:rsidRPr="00EB4C44" w:rsidR="00A06893">
        <w:rPr>
          <w:lang w:val="sq-AL"/>
        </w:rPr>
        <w:t xml:space="preserve"> rrezik duke miratuar masa dhe garanci t</w:t>
      </w:r>
      <w:r w:rsidRPr="00EB4C44" w:rsidR="001D334B">
        <w:rPr>
          <w:lang w:val="sq-AL"/>
        </w:rPr>
        <w:t>ë</w:t>
      </w:r>
      <w:r w:rsidRPr="00EB4C44" w:rsidR="00A06893">
        <w:rPr>
          <w:lang w:val="sq-AL"/>
        </w:rPr>
        <w:t xml:space="preserve"> p</w:t>
      </w:r>
      <w:r w:rsidRPr="00EB4C44" w:rsidR="001D334B">
        <w:rPr>
          <w:lang w:val="sq-AL"/>
        </w:rPr>
        <w:t>ërshta</w:t>
      </w:r>
      <w:r w:rsidRPr="00EB4C44" w:rsidR="00A06893">
        <w:rPr>
          <w:lang w:val="sq-AL"/>
        </w:rPr>
        <w:t>tshme. Kështu ai duhej t</w:t>
      </w:r>
      <w:r w:rsidRPr="00EB4C44" w:rsidR="001D334B">
        <w:rPr>
          <w:lang w:val="sq-AL"/>
        </w:rPr>
        <w:t>ë</w:t>
      </w:r>
      <w:r w:rsidRPr="00EB4C44" w:rsidR="00A06893">
        <w:rPr>
          <w:lang w:val="sq-AL"/>
        </w:rPr>
        <w:t xml:space="preserve"> kishte krijuar m</w:t>
      </w:r>
      <w:r w:rsidRPr="00EB4C44" w:rsidR="001D334B">
        <w:rPr>
          <w:lang w:val="sq-AL"/>
        </w:rPr>
        <w:t>ë</w:t>
      </w:r>
      <w:r w:rsidRPr="00EB4C44" w:rsidR="00A06893">
        <w:rPr>
          <w:lang w:val="sq-AL"/>
        </w:rPr>
        <w:t xml:space="preserve"> s</w:t>
      </w:r>
      <w:r w:rsidRPr="00EB4C44" w:rsidR="001D334B">
        <w:rPr>
          <w:lang w:val="sq-AL"/>
        </w:rPr>
        <w:t>ë</w:t>
      </w:r>
      <w:r w:rsidRPr="00EB4C44" w:rsidR="00A06893">
        <w:rPr>
          <w:lang w:val="sq-AL"/>
        </w:rPr>
        <w:t xml:space="preserve"> paku mekanizma efektivë zbulimi e sinjalizimi t</w:t>
      </w:r>
      <w:r w:rsidRPr="00EB4C44" w:rsidR="001D334B">
        <w:rPr>
          <w:lang w:val="sq-AL"/>
        </w:rPr>
        <w:t>ë</w:t>
      </w:r>
      <w:r w:rsidRPr="00EB4C44" w:rsidR="00A06893">
        <w:rPr>
          <w:lang w:val="sq-AL"/>
        </w:rPr>
        <w:t xml:space="preserve"> keqtrajtimeve eventuale përkat</w:t>
      </w:r>
      <w:r w:rsidRPr="00EB4C44" w:rsidR="001D334B">
        <w:rPr>
          <w:lang w:val="sq-AL"/>
        </w:rPr>
        <w:t>ë</w:t>
      </w:r>
      <w:r w:rsidRPr="00EB4C44" w:rsidR="00A06893">
        <w:rPr>
          <w:lang w:val="sq-AL"/>
        </w:rPr>
        <w:t>sisht nga nj</w:t>
      </w:r>
      <w:r w:rsidRPr="00EB4C44" w:rsidR="001D334B">
        <w:rPr>
          <w:lang w:val="sq-AL"/>
        </w:rPr>
        <w:t>ë</w:t>
      </w:r>
      <w:r w:rsidRPr="00EB4C44" w:rsidR="00A06893">
        <w:rPr>
          <w:lang w:val="sq-AL"/>
        </w:rPr>
        <w:t xml:space="preserve"> organ </w:t>
      </w:r>
      <w:r w:rsidRPr="00EB4C44" w:rsidR="001D334B">
        <w:rPr>
          <w:lang w:val="sq-AL"/>
        </w:rPr>
        <w:t>i</w:t>
      </w:r>
      <w:r w:rsidRPr="00EB4C44" w:rsidR="00A06893">
        <w:rPr>
          <w:lang w:val="sq-AL"/>
        </w:rPr>
        <w:t xml:space="preserve"> kontrolluar prej shtetit </w:t>
      </w:r>
      <w:r w:rsidRPr="00EB4C44" w:rsidR="001D334B">
        <w:rPr>
          <w:lang w:val="sq-AL"/>
        </w:rPr>
        <w:t xml:space="preserve">dhe ndaj një organi të tillë, meqenëse procedura të tilla janë themelore për vënien në zbatim të ligjeve penale, për parandalimin e keqtrajtimeve dhe, më në përgjithësi, për përmbushjen e detyrimit pozitiv për mbrojtje që i takon shtetit </w:t>
      </w:r>
      <w:r w:rsidRPr="00EB4C44">
        <w:rPr>
          <w:lang w:val="sq-AL"/>
        </w:rPr>
        <w:t>(paragra</w:t>
      </w:r>
      <w:r w:rsidRPr="00EB4C44" w:rsidR="001D334B">
        <w:rPr>
          <w:lang w:val="sq-AL"/>
        </w:rPr>
        <w:t>fi</w:t>
      </w:r>
      <w:r w:rsidRPr="00EB4C44">
        <w:rPr>
          <w:lang w:val="sq-AL"/>
        </w:rPr>
        <w:t xml:space="preserve"> 148 </w:t>
      </w:r>
      <w:r w:rsidRPr="00EB4C44" w:rsidR="00604857">
        <w:rPr>
          <w:lang w:val="sq-AL"/>
        </w:rPr>
        <w:t>i mësipërm</w:t>
      </w:r>
      <w:r w:rsidRPr="00EB4C44">
        <w:rPr>
          <w:lang w:val="sq-AL"/>
        </w:rPr>
        <w:t>).</w:t>
      </w:r>
    </w:p>
    <w:p w:rsidRPr="00EB4C44" w:rsidR="00EB737A" w:rsidP="00EB737A" w:rsidRDefault="00EB737A">
      <w:pPr>
        <w:pStyle w:val="ECHRPara"/>
        <w:rPr>
          <w:lang w:val="sq-AL"/>
        </w:rPr>
      </w:pPr>
      <w:r w:rsidRPr="00EB4C44">
        <w:rPr>
          <w:lang w:val="sq-AL"/>
        </w:rPr>
        <w:fldChar w:fldCharType="begin"/>
      </w:r>
      <w:r w:rsidRPr="00EB4C44">
        <w:rPr>
          <w:lang w:val="sq-AL"/>
        </w:rPr>
        <w:instrText xml:space="preserve"> SEQ level0 \*arabic </w:instrText>
      </w:r>
      <w:r w:rsidRPr="00EB4C44">
        <w:rPr>
          <w:lang w:val="sq-AL"/>
        </w:rPr>
        <w:fldChar w:fldCharType="separate"/>
      </w:r>
      <w:r w:rsidR="00013F9B">
        <w:rPr>
          <w:noProof/>
          <w:lang w:val="sq-AL"/>
        </w:rPr>
        <w:t>163</w:t>
      </w:r>
      <w:r w:rsidRPr="00EB4C44">
        <w:rPr>
          <w:lang w:val="sq-AL"/>
        </w:rPr>
        <w:fldChar w:fldCharType="end"/>
      </w:r>
      <w:r w:rsidRPr="00EB4C44">
        <w:rPr>
          <w:lang w:val="sq-AL"/>
        </w:rPr>
        <w:t>.  </w:t>
      </w:r>
      <w:r w:rsidRPr="00EB4C44" w:rsidR="00BB72E1">
        <w:rPr>
          <w:lang w:val="sq-AL"/>
        </w:rPr>
        <w:t>Qeveria i referohet fillimisht procedur</w:t>
      </w:r>
      <w:r w:rsidR="00EB4C44">
        <w:rPr>
          <w:lang w:val="sq-AL"/>
        </w:rPr>
        <w:t>ë</w:t>
      </w:r>
      <w:r w:rsidRPr="00EB4C44" w:rsidR="00BB72E1">
        <w:rPr>
          <w:lang w:val="sq-AL"/>
        </w:rPr>
        <w:t>s s</w:t>
      </w:r>
      <w:r w:rsidR="00EB4C44">
        <w:rPr>
          <w:lang w:val="sq-AL"/>
        </w:rPr>
        <w:t>ë</w:t>
      </w:r>
      <w:r w:rsidRPr="00EB4C44" w:rsidR="00BB72E1">
        <w:rPr>
          <w:lang w:val="sq-AL"/>
        </w:rPr>
        <w:t xml:space="preserve"> sinjalizimit të parashtruar në Rregulloren e vitit </w:t>
      </w:r>
      <w:r w:rsidRPr="00EB4C44">
        <w:rPr>
          <w:lang w:val="sq-AL"/>
        </w:rPr>
        <w:t xml:space="preserve">1965 </w:t>
      </w:r>
      <w:r w:rsidRPr="00EB4C44" w:rsidR="00BB72E1">
        <w:rPr>
          <w:lang w:val="sq-AL"/>
        </w:rPr>
        <w:t>dhe n</w:t>
      </w:r>
      <w:r w:rsidR="00EB4C44">
        <w:rPr>
          <w:lang w:val="sq-AL"/>
        </w:rPr>
        <w:t>ë</w:t>
      </w:r>
      <w:r w:rsidRPr="00EB4C44" w:rsidR="00BB72E1">
        <w:rPr>
          <w:lang w:val="sq-AL"/>
        </w:rPr>
        <w:t xml:space="preserve"> Direktiv</w:t>
      </w:r>
      <w:r w:rsidR="00EB4C44">
        <w:rPr>
          <w:lang w:val="sq-AL"/>
        </w:rPr>
        <w:t>ë</w:t>
      </w:r>
      <w:r w:rsidRPr="00EB4C44" w:rsidR="00BB72E1">
        <w:rPr>
          <w:lang w:val="sq-AL"/>
        </w:rPr>
        <w:t xml:space="preserve">n e </w:t>
      </w:r>
      <w:r w:rsidRPr="00EB4C44">
        <w:rPr>
          <w:lang w:val="sq-AL"/>
        </w:rPr>
        <w:t>6 ma</w:t>
      </w:r>
      <w:r w:rsidRPr="00EB4C44" w:rsidR="00BB72E1">
        <w:rPr>
          <w:lang w:val="sq-AL"/>
        </w:rPr>
        <w:t>jit</w:t>
      </w:r>
      <w:r w:rsidRPr="00EB4C44">
        <w:rPr>
          <w:lang w:val="sq-AL"/>
        </w:rPr>
        <w:t xml:space="preserve"> 1970 (paragra</w:t>
      </w:r>
      <w:r w:rsidRPr="00EB4C44" w:rsidR="00BB72E1">
        <w:rPr>
          <w:lang w:val="sq-AL"/>
        </w:rPr>
        <w:t>fi</w:t>
      </w:r>
      <w:r w:rsidRPr="00EB4C44">
        <w:rPr>
          <w:lang w:val="sq-AL"/>
        </w:rPr>
        <w:t xml:space="preserve"> 62 </w:t>
      </w:r>
      <w:r w:rsidRPr="00EB4C44" w:rsidR="00604857">
        <w:rPr>
          <w:lang w:val="sq-AL"/>
        </w:rPr>
        <w:t>i mësipërm</w:t>
      </w:r>
      <w:r w:rsidRPr="00EB4C44">
        <w:rPr>
          <w:lang w:val="sq-AL"/>
        </w:rPr>
        <w:t xml:space="preserve">). </w:t>
      </w:r>
      <w:r w:rsidRPr="00EB4C44" w:rsidR="00BB72E1">
        <w:rPr>
          <w:lang w:val="sq-AL"/>
        </w:rPr>
        <w:t>Megjithatë, asnj</w:t>
      </w:r>
      <w:r w:rsidR="00EB4C44">
        <w:rPr>
          <w:lang w:val="sq-AL"/>
        </w:rPr>
        <w:t>ë</w:t>
      </w:r>
      <w:r w:rsidRPr="00EB4C44" w:rsidR="00BB72E1">
        <w:rPr>
          <w:lang w:val="sq-AL"/>
        </w:rPr>
        <w:t xml:space="preserve"> nga dokumentet e paraqitura përpara Gjykat</w:t>
      </w:r>
      <w:r w:rsidR="00EB4C44">
        <w:rPr>
          <w:lang w:val="sq-AL"/>
        </w:rPr>
        <w:t>ë</w:t>
      </w:r>
      <w:r w:rsidRPr="00EB4C44" w:rsidR="00BB72E1">
        <w:rPr>
          <w:lang w:val="sq-AL"/>
        </w:rPr>
        <w:t>s nuk tregon që për nj</w:t>
      </w:r>
      <w:r w:rsidR="00EB4C44">
        <w:rPr>
          <w:lang w:val="sq-AL"/>
        </w:rPr>
        <w:t>ë</w:t>
      </w:r>
      <w:r w:rsidRPr="00EB4C44" w:rsidR="00BB72E1">
        <w:rPr>
          <w:lang w:val="sq-AL"/>
        </w:rPr>
        <w:t xml:space="preserve"> autoritet t</w:t>
      </w:r>
      <w:r w:rsidR="00EB4C44">
        <w:rPr>
          <w:lang w:val="sq-AL"/>
        </w:rPr>
        <w:t>ë</w:t>
      </w:r>
      <w:r w:rsidRPr="00EB4C44" w:rsidR="00BB72E1">
        <w:rPr>
          <w:lang w:val="sq-AL"/>
        </w:rPr>
        <w:t xml:space="preserve"> çfarëdosh</w:t>
      </w:r>
      <w:r w:rsidR="00EB4C44">
        <w:rPr>
          <w:lang w:val="sq-AL"/>
        </w:rPr>
        <w:t>ë</w:t>
      </w:r>
      <w:r w:rsidRPr="00EB4C44" w:rsidR="00BB72E1">
        <w:rPr>
          <w:lang w:val="sq-AL"/>
        </w:rPr>
        <w:t>m të shtetit t</w:t>
      </w:r>
      <w:r w:rsidR="00EB4C44">
        <w:rPr>
          <w:lang w:val="sq-AL"/>
        </w:rPr>
        <w:t>ë</w:t>
      </w:r>
      <w:r w:rsidRPr="00EB4C44" w:rsidR="00BB72E1">
        <w:rPr>
          <w:lang w:val="sq-AL"/>
        </w:rPr>
        <w:t xml:space="preserve"> kishte ndonj</w:t>
      </w:r>
      <w:r w:rsidR="00EB4C44">
        <w:rPr>
          <w:lang w:val="sq-AL"/>
        </w:rPr>
        <w:t>ë</w:t>
      </w:r>
      <w:r w:rsidRPr="00EB4C44" w:rsidR="00BB72E1">
        <w:rPr>
          <w:lang w:val="sq-AL"/>
        </w:rPr>
        <w:t xml:space="preserve"> detyrim për të mbik</w:t>
      </w:r>
      <w:r w:rsidR="00EB4C44">
        <w:rPr>
          <w:lang w:val="sq-AL"/>
        </w:rPr>
        <w:t>ë</w:t>
      </w:r>
      <w:r w:rsidRPr="00EB4C44" w:rsidR="00BB72E1">
        <w:rPr>
          <w:lang w:val="sq-AL"/>
        </w:rPr>
        <w:t>qyrur m</w:t>
      </w:r>
      <w:r w:rsidR="00EB4C44">
        <w:rPr>
          <w:lang w:val="sq-AL"/>
        </w:rPr>
        <w:t>ë</w:t>
      </w:r>
      <w:r w:rsidRPr="00EB4C44" w:rsidR="00BB72E1">
        <w:rPr>
          <w:lang w:val="sq-AL"/>
        </w:rPr>
        <w:t>nyrën se si i trajtonin m</w:t>
      </w:r>
      <w:r w:rsidR="00EB4C44">
        <w:rPr>
          <w:lang w:val="sq-AL"/>
        </w:rPr>
        <w:t>ë</w:t>
      </w:r>
      <w:r w:rsidRPr="00EB4C44" w:rsidR="00BB72E1">
        <w:rPr>
          <w:lang w:val="sq-AL"/>
        </w:rPr>
        <w:t>suesit nx</w:t>
      </w:r>
      <w:r w:rsidR="00EB4C44">
        <w:rPr>
          <w:lang w:val="sq-AL"/>
        </w:rPr>
        <w:t>ë</w:t>
      </w:r>
      <w:r w:rsidRPr="00EB4C44" w:rsidR="00BB72E1">
        <w:rPr>
          <w:lang w:val="sq-AL"/>
        </w:rPr>
        <w:t>n</w:t>
      </w:r>
      <w:r w:rsidR="00EB4C44">
        <w:rPr>
          <w:lang w:val="sq-AL"/>
        </w:rPr>
        <w:t>ë</w:t>
      </w:r>
      <w:r w:rsidRPr="00EB4C44" w:rsidR="00BB72E1">
        <w:rPr>
          <w:lang w:val="sq-AL"/>
        </w:rPr>
        <w:t>sit e tyre apo q</w:t>
      </w:r>
      <w:r w:rsidR="00EB4C44">
        <w:rPr>
          <w:lang w:val="sq-AL"/>
        </w:rPr>
        <w:t>ë</w:t>
      </w:r>
      <w:r w:rsidRPr="00EB4C44" w:rsidR="00BB72E1">
        <w:rPr>
          <w:lang w:val="sq-AL"/>
        </w:rPr>
        <w:t xml:space="preserve"> të ishte parashikuar ndonj</w:t>
      </w:r>
      <w:r w:rsidR="00EB4C44">
        <w:rPr>
          <w:lang w:val="sq-AL"/>
        </w:rPr>
        <w:t>ë</w:t>
      </w:r>
      <w:r w:rsidRPr="00EB4C44" w:rsidR="00BB72E1">
        <w:rPr>
          <w:lang w:val="sq-AL"/>
        </w:rPr>
        <w:t xml:space="preserve"> procedurë e till</w:t>
      </w:r>
      <w:r w:rsidR="00EB4C44">
        <w:rPr>
          <w:lang w:val="sq-AL"/>
        </w:rPr>
        <w:t>ë</w:t>
      </w:r>
      <w:r w:rsidRPr="00EB4C44" w:rsidR="00BB72E1">
        <w:rPr>
          <w:lang w:val="sq-AL"/>
        </w:rPr>
        <w:t xml:space="preserve"> q</w:t>
      </w:r>
      <w:r w:rsidR="00EB4C44">
        <w:rPr>
          <w:lang w:val="sq-AL"/>
        </w:rPr>
        <w:t>ë</w:t>
      </w:r>
      <w:r w:rsidRPr="00EB4C44" w:rsidR="00BB72E1">
        <w:rPr>
          <w:lang w:val="sq-AL"/>
        </w:rPr>
        <w:t xml:space="preserve"> ta nxiste nj</w:t>
      </w:r>
      <w:r w:rsidR="00EB4C44">
        <w:rPr>
          <w:lang w:val="sq-AL"/>
        </w:rPr>
        <w:t>ë</w:t>
      </w:r>
      <w:r w:rsidRPr="00EB4C44" w:rsidR="00BB72E1">
        <w:rPr>
          <w:lang w:val="sq-AL"/>
        </w:rPr>
        <w:t xml:space="preserve"> f</w:t>
      </w:r>
      <w:r w:rsidR="00EB4C44">
        <w:rPr>
          <w:lang w:val="sq-AL"/>
        </w:rPr>
        <w:t>ë</w:t>
      </w:r>
      <w:r w:rsidRPr="00EB4C44" w:rsidR="00BB72E1">
        <w:rPr>
          <w:lang w:val="sq-AL"/>
        </w:rPr>
        <w:t>mij</w:t>
      </w:r>
      <w:r w:rsidR="00EB4C44">
        <w:rPr>
          <w:lang w:val="sq-AL"/>
        </w:rPr>
        <w:t>ë</w:t>
      </w:r>
      <w:r w:rsidRPr="00EB4C44" w:rsidR="00BB72E1">
        <w:rPr>
          <w:lang w:val="sq-AL"/>
        </w:rPr>
        <w:t xml:space="preserve"> a nj</w:t>
      </w:r>
      <w:r w:rsidR="00EB4C44">
        <w:rPr>
          <w:lang w:val="sq-AL"/>
        </w:rPr>
        <w:t>ë</w:t>
      </w:r>
      <w:r w:rsidRPr="00EB4C44" w:rsidR="00BB72E1">
        <w:rPr>
          <w:lang w:val="sq-AL"/>
        </w:rPr>
        <w:t xml:space="preserve"> prind për t</w:t>
      </w:r>
      <w:r w:rsidR="00943091">
        <w:rPr>
          <w:lang w:val="sq-AL"/>
        </w:rPr>
        <w:t>’</w:t>
      </w:r>
      <w:r w:rsidRPr="00EB4C44" w:rsidR="00BB72E1">
        <w:rPr>
          <w:lang w:val="sq-AL"/>
        </w:rPr>
        <w:t>iu drejtuar drejtpërdrejt nj</w:t>
      </w:r>
      <w:r w:rsidR="00EB4C44">
        <w:rPr>
          <w:lang w:val="sq-AL"/>
        </w:rPr>
        <w:t>ë</w:t>
      </w:r>
      <w:r w:rsidRPr="00EB4C44" w:rsidR="00BB72E1">
        <w:rPr>
          <w:lang w:val="sq-AL"/>
        </w:rPr>
        <w:t xml:space="preserve"> autoriteti shtetëror për të denoncuar keqtrajtime. Përkundrazi, vet</w:t>
      </w:r>
      <w:r w:rsidR="00EB4C44">
        <w:rPr>
          <w:lang w:val="sq-AL"/>
        </w:rPr>
        <w:t>ë</w:t>
      </w:r>
      <w:r w:rsidRPr="00EB4C44" w:rsidR="00BB72E1">
        <w:rPr>
          <w:lang w:val="sq-AL"/>
        </w:rPr>
        <w:t xml:space="preserve"> teksti i Direktiv</w:t>
      </w:r>
      <w:r w:rsidR="00EB4C44">
        <w:rPr>
          <w:lang w:val="sq-AL"/>
        </w:rPr>
        <w:t>ë</w:t>
      </w:r>
      <w:r w:rsidRPr="00EB4C44" w:rsidR="00BB72E1">
        <w:rPr>
          <w:lang w:val="sq-AL"/>
        </w:rPr>
        <w:t xml:space="preserve">s së 6 majit </w:t>
      </w:r>
      <w:r w:rsidRPr="00EB4C44">
        <w:rPr>
          <w:lang w:val="sq-AL"/>
        </w:rPr>
        <w:t xml:space="preserve">1970 </w:t>
      </w:r>
      <w:r w:rsidRPr="00EB4C44" w:rsidR="00BB72E1">
        <w:rPr>
          <w:lang w:val="sq-AL"/>
        </w:rPr>
        <w:t>t</w:t>
      </w:r>
      <w:r w:rsidR="00EB4C44">
        <w:rPr>
          <w:lang w:val="sq-AL"/>
        </w:rPr>
        <w:t>ë</w:t>
      </w:r>
      <w:r w:rsidRPr="00EB4C44" w:rsidR="00BB72E1">
        <w:rPr>
          <w:lang w:val="sq-AL"/>
        </w:rPr>
        <w:t xml:space="preserve"> përmendur nga Qeveria i orientonte shprehimisht personat q</w:t>
      </w:r>
      <w:r w:rsidR="00EB4C44">
        <w:rPr>
          <w:lang w:val="sq-AL"/>
        </w:rPr>
        <w:t>ë</w:t>
      </w:r>
      <w:r w:rsidRPr="00EB4C44" w:rsidR="00BB72E1">
        <w:rPr>
          <w:lang w:val="sq-AL"/>
        </w:rPr>
        <w:t xml:space="preserve"> dëshironin të a</w:t>
      </w:r>
      <w:r w:rsidR="00EB4C44">
        <w:rPr>
          <w:lang w:val="sq-AL"/>
        </w:rPr>
        <w:t>n</w:t>
      </w:r>
      <w:r w:rsidRPr="00EB4C44" w:rsidR="00BB72E1">
        <w:rPr>
          <w:lang w:val="sq-AL"/>
        </w:rPr>
        <w:t>koheshin për m</w:t>
      </w:r>
      <w:r w:rsidR="00EB4C44">
        <w:rPr>
          <w:lang w:val="sq-AL"/>
        </w:rPr>
        <w:t>ë</w:t>
      </w:r>
      <w:r w:rsidRPr="00EB4C44" w:rsidR="00BB72E1">
        <w:rPr>
          <w:lang w:val="sq-AL"/>
        </w:rPr>
        <w:t>suesit drejt drejtorit, me fjal</w:t>
      </w:r>
      <w:r w:rsidR="00EB4C44">
        <w:rPr>
          <w:lang w:val="sq-AL"/>
        </w:rPr>
        <w:t>ë</w:t>
      </w:r>
      <w:r w:rsidRPr="00EB4C44" w:rsidR="00BB72E1">
        <w:rPr>
          <w:lang w:val="sq-AL"/>
        </w:rPr>
        <w:t xml:space="preserve"> të tjera drejt nj</w:t>
      </w:r>
      <w:r w:rsidR="00EB4C44">
        <w:rPr>
          <w:lang w:val="sq-AL"/>
        </w:rPr>
        <w:t>ë</w:t>
      </w:r>
      <w:r w:rsidRPr="00EB4C44" w:rsidR="00BB72E1">
        <w:rPr>
          <w:lang w:val="sq-AL"/>
        </w:rPr>
        <w:t xml:space="preserve"> autoriteti jo publik e me karakter fetar. </w:t>
      </w:r>
      <w:r w:rsidRPr="00EB4C44" w:rsidR="00EB4C44">
        <w:rPr>
          <w:lang w:val="sq-AL"/>
        </w:rPr>
        <w:t>Kështu p</w:t>
      </w:r>
      <w:r w:rsidRPr="00EB4C44" w:rsidR="00BB72E1">
        <w:rPr>
          <w:lang w:val="sq-AL"/>
        </w:rPr>
        <w:t>ra, çdo prind</w:t>
      </w:r>
      <w:r w:rsidRPr="00EB4C44" w:rsidR="00EB4C44">
        <w:rPr>
          <w:lang w:val="sq-AL"/>
        </w:rPr>
        <w:t>i</w:t>
      </w:r>
      <w:r w:rsidRPr="00EB4C44" w:rsidR="00BB72E1">
        <w:rPr>
          <w:lang w:val="sq-AL"/>
        </w:rPr>
        <w:t xml:space="preserve"> q</w:t>
      </w:r>
      <w:r w:rsidR="00EB4C44">
        <w:rPr>
          <w:lang w:val="sq-AL"/>
        </w:rPr>
        <w:t>ë</w:t>
      </w:r>
      <w:r w:rsidRPr="00EB4C44" w:rsidR="00BB72E1">
        <w:rPr>
          <w:lang w:val="sq-AL"/>
        </w:rPr>
        <w:t xml:space="preserve"> mund të ketë pasur ndër mend që t</w:t>
      </w:r>
      <w:r w:rsidR="00EB4C44">
        <w:rPr>
          <w:lang w:val="sq-AL"/>
        </w:rPr>
        <w:t>ë</w:t>
      </w:r>
      <w:r w:rsidRPr="00EB4C44" w:rsidR="00BB72E1">
        <w:rPr>
          <w:lang w:val="sq-AL"/>
        </w:rPr>
        <w:t xml:space="preserve"> mos kalonte përmes drejtorit (</w:t>
      </w:r>
      <w:r w:rsidRPr="00EB4C44" w:rsidR="00EB4C44">
        <w:rPr>
          <w:lang w:val="sq-AL"/>
        </w:rPr>
        <w:t>përgjithësisht nj</w:t>
      </w:r>
      <w:r w:rsidR="00EB4C44">
        <w:rPr>
          <w:lang w:val="sq-AL"/>
        </w:rPr>
        <w:t>ë</w:t>
      </w:r>
      <w:r w:rsidRPr="00EB4C44" w:rsidR="00EB4C44">
        <w:rPr>
          <w:lang w:val="sq-AL"/>
        </w:rPr>
        <w:t xml:space="preserve"> prift vendas, si n</w:t>
      </w:r>
      <w:r w:rsidR="00EB4C44">
        <w:rPr>
          <w:lang w:val="sq-AL"/>
        </w:rPr>
        <w:t>ë</w:t>
      </w:r>
      <w:r w:rsidRPr="00EB4C44" w:rsidR="00EB4C44">
        <w:rPr>
          <w:lang w:val="sq-AL"/>
        </w:rPr>
        <w:t xml:space="preserve"> çështjen n</w:t>
      </w:r>
      <w:r w:rsidR="00EB4C44">
        <w:rPr>
          <w:lang w:val="sq-AL"/>
        </w:rPr>
        <w:t>ë</w:t>
      </w:r>
      <w:r w:rsidRPr="00EB4C44" w:rsidR="00EB4C44">
        <w:rPr>
          <w:lang w:val="sq-AL"/>
        </w:rPr>
        <w:t xml:space="preserve"> fjalë) për të paraqitur ankesë pranë nj</w:t>
      </w:r>
      <w:r w:rsidR="00EB4C44">
        <w:rPr>
          <w:lang w:val="sq-AL"/>
        </w:rPr>
        <w:t>ë</w:t>
      </w:r>
      <w:r w:rsidRPr="00EB4C44" w:rsidR="00EB4C44">
        <w:rPr>
          <w:lang w:val="sq-AL"/>
        </w:rPr>
        <w:t xml:space="preserve"> autoriteti të shtetit, rregullat e zbatueshme ia paskan shk</w:t>
      </w:r>
      <w:r w:rsidR="00EB4C44">
        <w:rPr>
          <w:lang w:val="sq-AL"/>
        </w:rPr>
        <w:t>ë</w:t>
      </w:r>
      <w:r w:rsidRPr="00EB4C44" w:rsidR="00EB4C44">
        <w:rPr>
          <w:lang w:val="sq-AL"/>
        </w:rPr>
        <w:t>shilluar q</w:t>
      </w:r>
      <w:r w:rsidR="00EB4C44">
        <w:rPr>
          <w:lang w:val="sq-AL"/>
        </w:rPr>
        <w:t>ë</w:t>
      </w:r>
      <w:r w:rsidRPr="00EB4C44" w:rsidR="00EB4C44">
        <w:rPr>
          <w:lang w:val="sq-AL"/>
        </w:rPr>
        <w:t xml:space="preserve"> të vepronte ashtu.</w:t>
      </w:r>
    </w:p>
    <w:p w:rsidRPr="00BD6757" w:rsidR="00EB737A" w:rsidP="00EB737A" w:rsidRDefault="00EB737A">
      <w:pPr>
        <w:pStyle w:val="ECHRPara"/>
        <w:rPr>
          <w:lang w:val="sq-AL"/>
        </w:rPr>
      </w:pPr>
      <w:r w:rsidRPr="00EB4C44">
        <w:rPr>
          <w:lang w:val="sq-AL"/>
        </w:rPr>
        <w:fldChar w:fldCharType="begin"/>
      </w:r>
      <w:r w:rsidRPr="00EB4C44">
        <w:rPr>
          <w:lang w:val="sq-AL"/>
        </w:rPr>
        <w:instrText xml:space="preserve"> SEQ level0 \*arabic </w:instrText>
      </w:r>
      <w:r w:rsidRPr="00EB4C44">
        <w:rPr>
          <w:lang w:val="sq-AL"/>
        </w:rPr>
        <w:fldChar w:fldCharType="separate"/>
      </w:r>
      <w:r w:rsidR="00013F9B">
        <w:rPr>
          <w:noProof/>
          <w:lang w:val="sq-AL"/>
        </w:rPr>
        <w:t>164</w:t>
      </w:r>
      <w:r w:rsidRPr="00EB4C44">
        <w:rPr>
          <w:lang w:val="sq-AL"/>
        </w:rPr>
        <w:fldChar w:fldCharType="end"/>
      </w:r>
      <w:r w:rsidRPr="00EB4C44">
        <w:rPr>
          <w:lang w:val="sq-AL"/>
        </w:rPr>
        <w:t>.  </w:t>
      </w:r>
      <w:r w:rsidRPr="00EB4C44" w:rsidR="00EB4C44">
        <w:rPr>
          <w:lang w:val="sq-AL"/>
        </w:rPr>
        <w:t xml:space="preserve">Qeveria përmend pastaj sistemin e inspektorëve shkollorë, të përcaktuar nga Rregullorja e vitit </w:t>
      </w:r>
      <w:r w:rsidRPr="00EB4C44">
        <w:rPr>
          <w:lang w:val="sq-AL"/>
        </w:rPr>
        <w:t xml:space="preserve">1965 </w:t>
      </w:r>
      <w:r w:rsidRPr="00EB4C44" w:rsidR="00EB4C44">
        <w:rPr>
          <w:lang w:val="sq-AL"/>
        </w:rPr>
        <w:t xml:space="preserve">si edhe nga qarkorja </w:t>
      </w:r>
      <w:r w:rsidRPr="00EB4C44" w:rsidR="001E408E">
        <w:rPr>
          <w:lang w:val="sq-AL"/>
        </w:rPr>
        <w:t>nr.</w:t>
      </w:r>
      <w:r w:rsidRPr="00EB4C44">
        <w:rPr>
          <w:lang w:val="sq-AL"/>
        </w:rPr>
        <w:t xml:space="preserve"> 16/59 (paragra</w:t>
      </w:r>
      <w:r w:rsidRPr="00EB4C44" w:rsidR="00EB4C44">
        <w:rPr>
          <w:lang w:val="sq-AL"/>
        </w:rPr>
        <w:t>fi</w:t>
      </w:r>
      <w:r w:rsidRPr="00EB4C44">
        <w:rPr>
          <w:lang w:val="sq-AL"/>
        </w:rPr>
        <w:t xml:space="preserve"> 61 </w:t>
      </w:r>
      <w:r w:rsidRPr="00EB4C44" w:rsidR="00604857">
        <w:rPr>
          <w:lang w:val="sq-AL"/>
        </w:rPr>
        <w:t>i mësipërm</w:t>
      </w:r>
      <w:r w:rsidRPr="00EB4C44">
        <w:rPr>
          <w:lang w:val="sq-AL"/>
        </w:rPr>
        <w:t xml:space="preserve">). </w:t>
      </w:r>
      <w:r w:rsidR="00EB4C44">
        <w:rPr>
          <w:lang w:val="sq-AL"/>
        </w:rPr>
        <w:t>Lidhur me këtë, Gjykata vë në dukje se misioni i parë i inspektorëve ishte q</w:t>
      </w:r>
      <w:r w:rsidR="00BD6757">
        <w:rPr>
          <w:lang w:val="sq-AL"/>
        </w:rPr>
        <w:t>ë</w:t>
      </w:r>
      <w:r w:rsidR="00EB4C44">
        <w:rPr>
          <w:lang w:val="sq-AL"/>
        </w:rPr>
        <w:t xml:space="preserve"> të mbikëqyrnin shërbimet arsimore dhe t</w:t>
      </w:r>
      <w:r w:rsidR="00943091">
        <w:rPr>
          <w:lang w:val="sq-AL"/>
        </w:rPr>
        <w:t>’</w:t>
      </w:r>
      <w:r w:rsidR="00EB4C44">
        <w:rPr>
          <w:lang w:val="sq-AL"/>
        </w:rPr>
        <w:t>i raportonin p</w:t>
      </w:r>
      <w:r w:rsidR="00BD6757">
        <w:rPr>
          <w:lang w:val="sq-AL"/>
        </w:rPr>
        <w:t>ë</w:t>
      </w:r>
      <w:r w:rsidR="00EB4C44">
        <w:rPr>
          <w:lang w:val="sq-AL"/>
        </w:rPr>
        <w:t>r k</w:t>
      </w:r>
      <w:r w:rsidR="00BD6757">
        <w:rPr>
          <w:lang w:val="sq-AL"/>
        </w:rPr>
        <w:t>ë</w:t>
      </w:r>
      <w:r w:rsidR="00EB4C44">
        <w:rPr>
          <w:lang w:val="sq-AL"/>
        </w:rPr>
        <w:t>të qëllim ministrit.</w:t>
      </w:r>
      <w:r w:rsidRPr="00EB4C44" w:rsidR="00EB4C44">
        <w:rPr>
          <w:lang w:val="sq-AL"/>
        </w:rPr>
        <w:t xml:space="preserve"> N</w:t>
      </w:r>
      <w:r w:rsidR="00EB4C44">
        <w:rPr>
          <w:lang w:val="sq-AL"/>
        </w:rPr>
        <w:t>ë instrumentet e përmendura nga Qeveria nuk vihet n</w:t>
      </w:r>
      <w:r w:rsidR="00BD6757">
        <w:rPr>
          <w:lang w:val="sq-AL"/>
        </w:rPr>
        <w:t>ë</w:t>
      </w:r>
      <w:r w:rsidR="00EB4C44">
        <w:rPr>
          <w:lang w:val="sq-AL"/>
        </w:rPr>
        <w:t xml:space="preserve"> dukje askund q</w:t>
      </w:r>
      <w:r w:rsidR="00BD6757">
        <w:rPr>
          <w:lang w:val="sq-AL"/>
        </w:rPr>
        <w:t>ë</w:t>
      </w:r>
      <w:r w:rsidR="00EB4C44">
        <w:rPr>
          <w:lang w:val="sq-AL"/>
        </w:rPr>
        <w:t xml:space="preserve"> inspektor</w:t>
      </w:r>
      <w:r w:rsidR="00BD6757">
        <w:rPr>
          <w:lang w:val="sq-AL"/>
        </w:rPr>
        <w:t>ë</w:t>
      </w:r>
      <w:r w:rsidR="00EB4C44">
        <w:rPr>
          <w:lang w:val="sq-AL"/>
        </w:rPr>
        <w:t>t duhej t</w:t>
      </w:r>
      <w:r w:rsidR="00BD6757">
        <w:rPr>
          <w:lang w:val="sq-AL"/>
        </w:rPr>
        <w:t>ë</w:t>
      </w:r>
      <w:r w:rsidR="00EB4C44">
        <w:rPr>
          <w:lang w:val="sq-AL"/>
        </w:rPr>
        <w:t xml:space="preserve"> interesoheshin për m</w:t>
      </w:r>
      <w:r w:rsidR="00BD6757">
        <w:rPr>
          <w:lang w:val="sq-AL"/>
        </w:rPr>
        <w:t>ë</w:t>
      </w:r>
      <w:r w:rsidR="00EB4C44">
        <w:rPr>
          <w:lang w:val="sq-AL"/>
        </w:rPr>
        <w:t>nyrën se si m</w:t>
      </w:r>
      <w:r w:rsidR="00BD6757">
        <w:rPr>
          <w:lang w:val="sq-AL"/>
        </w:rPr>
        <w:t>ë</w:t>
      </w:r>
      <w:r w:rsidR="00EB4C44">
        <w:rPr>
          <w:lang w:val="sq-AL"/>
        </w:rPr>
        <w:t>suesit i trajtonin nx</w:t>
      </w:r>
      <w:r w:rsidR="00BD6757">
        <w:rPr>
          <w:lang w:val="sq-AL"/>
        </w:rPr>
        <w:t>ë</w:t>
      </w:r>
      <w:r w:rsidR="00EB4C44">
        <w:rPr>
          <w:lang w:val="sq-AL"/>
        </w:rPr>
        <w:t>n</w:t>
      </w:r>
      <w:r w:rsidR="00BD6757">
        <w:rPr>
          <w:lang w:val="sq-AL"/>
        </w:rPr>
        <w:t>ë</w:t>
      </w:r>
      <w:r w:rsidR="00EB4C44">
        <w:rPr>
          <w:lang w:val="sq-AL"/>
        </w:rPr>
        <w:t>sit e tyre dhe t</w:t>
      </w:r>
      <w:r w:rsidR="00BD6757">
        <w:rPr>
          <w:lang w:val="sq-AL"/>
        </w:rPr>
        <w:t>ë</w:t>
      </w:r>
      <w:r w:rsidR="00EB4C44">
        <w:rPr>
          <w:lang w:val="sq-AL"/>
        </w:rPr>
        <w:t xml:space="preserve"> kryenin gjurmime për k</w:t>
      </w:r>
      <w:r w:rsidR="00BD6757">
        <w:rPr>
          <w:lang w:val="sq-AL"/>
        </w:rPr>
        <w:t>ë</w:t>
      </w:r>
      <w:r w:rsidR="00EB4C44">
        <w:rPr>
          <w:lang w:val="sq-AL"/>
        </w:rPr>
        <w:t>të qëllim, q</w:t>
      </w:r>
      <w:r w:rsidR="00BD6757">
        <w:rPr>
          <w:lang w:val="sq-AL"/>
        </w:rPr>
        <w:t>ë</w:t>
      </w:r>
      <w:r w:rsidR="00EB4C44">
        <w:rPr>
          <w:lang w:val="sq-AL"/>
        </w:rPr>
        <w:t xml:space="preserve"> f</w:t>
      </w:r>
      <w:r w:rsidR="00BD6757">
        <w:rPr>
          <w:lang w:val="sq-AL"/>
        </w:rPr>
        <w:t>ë</w:t>
      </w:r>
      <w:r w:rsidR="00EB4C44">
        <w:rPr>
          <w:lang w:val="sq-AL"/>
        </w:rPr>
        <w:t>mij</w:t>
      </w:r>
      <w:r w:rsidR="00BD6757">
        <w:rPr>
          <w:lang w:val="sq-AL"/>
        </w:rPr>
        <w:t>ë</w:t>
      </w:r>
      <w:r w:rsidR="00EB4C44">
        <w:rPr>
          <w:lang w:val="sq-AL"/>
        </w:rPr>
        <w:t>t dhe prindërit mund t</w:t>
      </w:r>
      <w:r w:rsidR="00943091">
        <w:rPr>
          <w:lang w:val="sq-AL"/>
        </w:rPr>
        <w:t>’</w:t>
      </w:r>
      <w:r w:rsidR="00EB4C44">
        <w:rPr>
          <w:lang w:val="sq-AL"/>
        </w:rPr>
        <w:t>i ankoheshin drejtpërdrejt nj</w:t>
      </w:r>
      <w:r w:rsidR="00BD6757">
        <w:rPr>
          <w:lang w:val="sq-AL"/>
        </w:rPr>
        <w:t>ë</w:t>
      </w:r>
      <w:r w:rsidR="00EB4C44">
        <w:rPr>
          <w:lang w:val="sq-AL"/>
        </w:rPr>
        <w:t xml:space="preserve"> inspektori, q</w:t>
      </w:r>
      <w:r w:rsidR="00BD6757">
        <w:rPr>
          <w:lang w:val="sq-AL"/>
        </w:rPr>
        <w:t>ë</w:t>
      </w:r>
      <w:r w:rsidR="00EB4C44">
        <w:rPr>
          <w:lang w:val="sq-AL"/>
        </w:rPr>
        <w:t xml:space="preserve"> prindërit duhej të informoheshin </w:t>
      </w:r>
      <w:r w:rsidR="002626A8">
        <w:rPr>
          <w:lang w:val="sq-AL"/>
        </w:rPr>
        <w:t>q</w:t>
      </w:r>
      <w:r w:rsidR="00BD6757">
        <w:rPr>
          <w:lang w:val="sq-AL"/>
        </w:rPr>
        <w:t>ë</w:t>
      </w:r>
      <w:r w:rsidR="002626A8">
        <w:rPr>
          <w:lang w:val="sq-AL"/>
        </w:rPr>
        <w:t xml:space="preserve"> m</w:t>
      </w:r>
      <w:r w:rsidR="00BD6757">
        <w:rPr>
          <w:lang w:val="sq-AL"/>
        </w:rPr>
        <w:t>ë</w:t>
      </w:r>
      <w:r w:rsidR="002626A8">
        <w:rPr>
          <w:lang w:val="sq-AL"/>
        </w:rPr>
        <w:t xml:space="preserve"> parë për vizitën e nj</w:t>
      </w:r>
      <w:r w:rsidR="00BD6757">
        <w:rPr>
          <w:lang w:val="sq-AL"/>
        </w:rPr>
        <w:t>ë</w:t>
      </w:r>
      <w:r w:rsidR="002626A8">
        <w:rPr>
          <w:lang w:val="sq-AL"/>
        </w:rPr>
        <w:t xml:space="preserve"> inspektori apo që kishte mundësi ndërveprimi të drejtpërdrejtë midis nj</w:t>
      </w:r>
      <w:r w:rsidR="00BD6757">
        <w:rPr>
          <w:lang w:val="sq-AL"/>
        </w:rPr>
        <w:t>ë</w:t>
      </w:r>
      <w:r w:rsidR="002626A8">
        <w:rPr>
          <w:lang w:val="sq-AL"/>
        </w:rPr>
        <w:t xml:space="preserve"> inspektori dhe nx</w:t>
      </w:r>
      <w:r w:rsidR="00BD6757">
        <w:rPr>
          <w:lang w:val="sq-AL"/>
        </w:rPr>
        <w:t>ë</w:t>
      </w:r>
      <w:r w:rsidR="002626A8">
        <w:rPr>
          <w:lang w:val="sq-AL"/>
        </w:rPr>
        <w:t>nësve</w:t>
      </w:r>
      <w:r w:rsidR="00943091">
        <w:rPr>
          <w:lang w:val="sq-AL"/>
        </w:rPr>
        <w:t xml:space="preserve"> </w:t>
      </w:r>
      <w:r w:rsidR="002626A8">
        <w:rPr>
          <w:lang w:val="sq-AL"/>
        </w:rPr>
        <w:t>dhe/ose prindërve t</w:t>
      </w:r>
      <w:r w:rsidR="00BD6757">
        <w:rPr>
          <w:lang w:val="sq-AL"/>
        </w:rPr>
        <w:t>ë</w:t>
      </w:r>
      <w:r w:rsidR="002626A8">
        <w:rPr>
          <w:lang w:val="sq-AL"/>
        </w:rPr>
        <w:t xml:space="preserve"> tyre.</w:t>
      </w:r>
      <w:r w:rsidRPr="002626A8" w:rsidR="002626A8">
        <w:rPr>
          <w:lang w:val="sq-AL"/>
        </w:rPr>
        <w:t xml:space="preserve"> </w:t>
      </w:r>
      <w:r w:rsidR="002626A8">
        <w:rPr>
          <w:lang w:val="sq-AL"/>
        </w:rPr>
        <w:t>Larg</w:t>
      </w:r>
      <w:r w:rsidR="00BD6757">
        <w:rPr>
          <w:lang w:val="sq-AL"/>
        </w:rPr>
        <w:t>ë</w:t>
      </w:r>
      <w:r w:rsidR="002626A8">
        <w:rPr>
          <w:lang w:val="sq-AL"/>
        </w:rPr>
        <w:t>sia kohore nd</w:t>
      </w:r>
      <w:r w:rsidR="00BD6757">
        <w:rPr>
          <w:lang w:val="sq-AL"/>
        </w:rPr>
        <w:t>ë</w:t>
      </w:r>
      <w:r w:rsidR="002626A8">
        <w:rPr>
          <w:lang w:val="sq-AL"/>
        </w:rPr>
        <w:t>rmjet vizitave t</w:t>
      </w:r>
      <w:r w:rsidR="00BD6757">
        <w:rPr>
          <w:lang w:val="sq-AL"/>
        </w:rPr>
        <w:t>ë</w:t>
      </w:r>
      <w:r w:rsidR="002626A8">
        <w:rPr>
          <w:lang w:val="sq-AL"/>
        </w:rPr>
        <w:t xml:space="preserve"> inspektorëve</w:t>
      </w:r>
      <w:r w:rsidRPr="002626A8" w:rsidR="002626A8">
        <w:rPr>
          <w:lang w:val="sq-AL"/>
        </w:rPr>
        <w:t xml:space="preserve"> </w:t>
      </w:r>
      <w:r w:rsidRPr="002626A8">
        <w:rPr>
          <w:lang w:val="sq-AL"/>
        </w:rPr>
        <w:t>(paragra</w:t>
      </w:r>
      <w:r w:rsidRPr="002626A8" w:rsidR="002626A8">
        <w:rPr>
          <w:lang w:val="sq-AL"/>
        </w:rPr>
        <w:t>fi</w:t>
      </w:r>
      <w:r w:rsidRPr="002626A8">
        <w:rPr>
          <w:lang w:val="sq-AL"/>
        </w:rPr>
        <w:t xml:space="preserve"> 61 </w:t>
      </w:r>
      <w:r w:rsidRPr="002626A8" w:rsidR="00604857">
        <w:rPr>
          <w:lang w:val="sq-AL"/>
        </w:rPr>
        <w:t>i mësipërm</w:t>
      </w:r>
      <w:r w:rsidRPr="002626A8">
        <w:rPr>
          <w:lang w:val="sq-AL"/>
        </w:rPr>
        <w:t xml:space="preserve">) </w:t>
      </w:r>
      <w:r w:rsidRPr="002626A8" w:rsidR="002626A8">
        <w:rPr>
          <w:lang w:val="sq-AL"/>
        </w:rPr>
        <w:t>shpie detyrimisht n</w:t>
      </w:r>
      <w:r w:rsidR="00BD6757">
        <w:rPr>
          <w:lang w:val="sq-AL"/>
        </w:rPr>
        <w:t>ë</w:t>
      </w:r>
      <w:r w:rsidR="002626A8">
        <w:rPr>
          <w:lang w:val="sq-AL"/>
        </w:rPr>
        <w:t xml:space="preserve"> përfundimin se k</w:t>
      </w:r>
      <w:r w:rsidR="00BD6757">
        <w:rPr>
          <w:lang w:val="sq-AL"/>
        </w:rPr>
        <w:t>ë</w:t>
      </w:r>
      <w:r w:rsidR="002626A8">
        <w:rPr>
          <w:lang w:val="sq-AL"/>
        </w:rPr>
        <w:t>ta t</w:t>
      </w:r>
      <w:r w:rsidR="00BD6757">
        <w:rPr>
          <w:lang w:val="sq-AL"/>
        </w:rPr>
        <w:t>ë</w:t>
      </w:r>
      <w:r w:rsidR="002626A8">
        <w:rPr>
          <w:lang w:val="sq-AL"/>
        </w:rPr>
        <w:t xml:space="preserve"> fundit gjendeshin n</w:t>
      </w:r>
      <w:r w:rsidR="00BD6757">
        <w:rPr>
          <w:lang w:val="sq-AL"/>
        </w:rPr>
        <w:t>ë</w:t>
      </w:r>
      <w:r w:rsidR="002626A8">
        <w:rPr>
          <w:lang w:val="sq-AL"/>
        </w:rPr>
        <w:t xml:space="preserve"> terren vetëm n</w:t>
      </w:r>
      <w:r w:rsidR="00BD6757">
        <w:rPr>
          <w:lang w:val="sq-AL"/>
        </w:rPr>
        <w:t>ë</w:t>
      </w:r>
      <w:r w:rsidR="002626A8">
        <w:rPr>
          <w:lang w:val="sq-AL"/>
        </w:rPr>
        <w:t xml:space="preserve"> mënyrë episodike. Përveç kësaj, Qeveria nuk ka parashtruar asnjë informacion për ankesa q</w:t>
      </w:r>
      <w:r w:rsidR="00BD6757">
        <w:rPr>
          <w:lang w:val="sq-AL"/>
        </w:rPr>
        <w:t>ë</w:t>
      </w:r>
      <w:r w:rsidR="002626A8">
        <w:rPr>
          <w:lang w:val="sq-AL"/>
        </w:rPr>
        <w:t xml:space="preserve"> t</w:t>
      </w:r>
      <w:r w:rsidR="00943091">
        <w:rPr>
          <w:lang w:val="sq-AL"/>
        </w:rPr>
        <w:t>’</w:t>
      </w:r>
      <w:r w:rsidR="002626A8">
        <w:rPr>
          <w:lang w:val="sq-AL"/>
        </w:rPr>
        <w:t>i jen</w:t>
      </w:r>
      <w:r w:rsidR="00BD6757">
        <w:rPr>
          <w:lang w:val="sq-AL"/>
        </w:rPr>
        <w:t>ë</w:t>
      </w:r>
      <w:r w:rsidR="002626A8">
        <w:rPr>
          <w:lang w:val="sq-AL"/>
        </w:rPr>
        <w:t xml:space="preserve"> drejtuar ndonj</w:t>
      </w:r>
      <w:r w:rsidR="00BD6757">
        <w:rPr>
          <w:lang w:val="sq-AL"/>
        </w:rPr>
        <w:t>ë</w:t>
      </w:r>
      <w:r w:rsidR="002626A8">
        <w:rPr>
          <w:lang w:val="sq-AL"/>
        </w:rPr>
        <w:t xml:space="preserve"> inspektori lidhur me keqtrajtime t</w:t>
      </w:r>
      <w:r w:rsidR="00BD6757">
        <w:rPr>
          <w:lang w:val="sq-AL"/>
        </w:rPr>
        <w:t>ë</w:t>
      </w:r>
      <w:r w:rsidR="002626A8">
        <w:rPr>
          <w:lang w:val="sq-AL"/>
        </w:rPr>
        <w:t xml:space="preserve"> shkaktuara nga nj</w:t>
      </w:r>
      <w:r w:rsidR="00BD6757">
        <w:rPr>
          <w:lang w:val="sq-AL"/>
        </w:rPr>
        <w:t>ë</w:t>
      </w:r>
      <w:r w:rsidR="002626A8">
        <w:rPr>
          <w:lang w:val="sq-AL"/>
        </w:rPr>
        <w:t xml:space="preserve"> mësues ndaj nj</w:t>
      </w:r>
      <w:r w:rsidR="00BD6757">
        <w:rPr>
          <w:lang w:val="sq-AL"/>
        </w:rPr>
        <w:t>ë</w:t>
      </w:r>
      <w:r w:rsidR="002626A8">
        <w:rPr>
          <w:lang w:val="sq-AL"/>
        </w:rPr>
        <w:t xml:space="preserve"> nxënësi. Siç e ka theksuar gjyqtari</w:t>
      </w:r>
      <w:r w:rsidRPr="002626A8" w:rsidR="002626A8">
        <w:rPr>
          <w:lang w:val="sq-AL"/>
        </w:rPr>
        <w:t xml:space="preserve"> </w:t>
      </w:r>
      <w:r w:rsidRPr="002626A8">
        <w:rPr>
          <w:lang w:val="sq-AL"/>
        </w:rPr>
        <w:t xml:space="preserve">Hardiman </w:t>
      </w:r>
      <w:r w:rsidRPr="002626A8" w:rsidR="002626A8">
        <w:rPr>
          <w:lang w:val="sq-AL"/>
        </w:rPr>
        <w:t>gjat</w:t>
      </w:r>
      <w:r w:rsidR="00BD6757">
        <w:rPr>
          <w:lang w:val="sq-AL"/>
        </w:rPr>
        <w:t>ë</w:t>
      </w:r>
      <w:r w:rsidRPr="002626A8" w:rsidR="002626A8">
        <w:rPr>
          <w:lang w:val="sq-AL"/>
        </w:rPr>
        <w:t xml:space="preserve"> procedur</w:t>
      </w:r>
      <w:r w:rsidR="00BD6757">
        <w:rPr>
          <w:lang w:val="sq-AL"/>
        </w:rPr>
        <w:t>ë</w:t>
      </w:r>
      <w:r w:rsidRPr="002626A8" w:rsidR="002626A8">
        <w:rPr>
          <w:lang w:val="sq-AL"/>
        </w:rPr>
        <w:t>s përpara Gjykatës së Lartë, inspektimet e kryera nga ministri (n</w:t>
      </w:r>
      <w:r w:rsidR="00BD6757">
        <w:rPr>
          <w:lang w:val="sq-AL"/>
        </w:rPr>
        <w:t>ë</w:t>
      </w:r>
      <w:r w:rsidRPr="002626A8" w:rsidR="002626A8">
        <w:rPr>
          <w:lang w:val="sq-AL"/>
        </w:rPr>
        <w:t>përmjet inspektorëve) kishin të b</w:t>
      </w:r>
      <w:r w:rsidR="00BD6757">
        <w:rPr>
          <w:lang w:val="sq-AL"/>
        </w:rPr>
        <w:t>ë</w:t>
      </w:r>
      <w:r w:rsidRPr="002626A8" w:rsidR="002626A8">
        <w:rPr>
          <w:lang w:val="sq-AL"/>
        </w:rPr>
        <w:t>nin me nivelin e sh</w:t>
      </w:r>
      <w:r w:rsidR="00BD6757">
        <w:rPr>
          <w:lang w:val="sq-AL"/>
        </w:rPr>
        <w:t>ë</w:t>
      </w:r>
      <w:r w:rsidRPr="002626A8" w:rsidR="002626A8">
        <w:rPr>
          <w:lang w:val="sq-AL"/>
        </w:rPr>
        <w:t>rbimeve t</w:t>
      </w:r>
      <w:r w:rsidR="00BD6757">
        <w:rPr>
          <w:lang w:val="sq-AL"/>
        </w:rPr>
        <w:t>ë</w:t>
      </w:r>
      <w:r w:rsidRPr="002626A8" w:rsidR="002626A8">
        <w:rPr>
          <w:lang w:val="sq-AL"/>
        </w:rPr>
        <w:t xml:space="preserve"> m</w:t>
      </w:r>
      <w:r w:rsidR="00BD6757">
        <w:rPr>
          <w:lang w:val="sq-AL"/>
        </w:rPr>
        <w:t>ë</w:t>
      </w:r>
      <w:r w:rsidRPr="002626A8" w:rsidR="002626A8">
        <w:rPr>
          <w:lang w:val="sq-AL"/>
        </w:rPr>
        <w:t>simdh</w:t>
      </w:r>
      <w:r w:rsidR="00BD6757">
        <w:rPr>
          <w:lang w:val="sq-AL"/>
        </w:rPr>
        <w:t>ë</w:t>
      </w:r>
      <w:r w:rsidRPr="002626A8" w:rsidR="002626A8">
        <w:rPr>
          <w:lang w:val="sq-AL"/>
        </w:rPr>
        <w:t>nies n</w:t>
      </w:r>
      <w:r w:rsidR="00BD6757">
        <w:rPr>
          <w:lang w:val="sq-AL"/>
        </w:rPr>
        <w:t>ë</w:t>
      </w:r>
      <w:r w:rsidRPr="002626A8" w:rsidR="002626A8">
        <w:rPr>
          <w:lang w:val="sq-AL"/>
        </w:rPr>
        <w:t xml:space="preserve"> institucionet shkollore, por nuk shkonin m</w:t>
      </w:r>
      <w:r w:rsidR="00BD6757">
        <w:rPr>
          <w:lang w:val="sq-AL"/>
        </w:rPr>
        <w:t>ë</w:t>
      </w:r>
      <w:r w:rsidR="002626A8">
        <w:rPr>
          <w:lang w:val="sq-AL"/>
        </w:rPr>
        <w:t xml:space="preserve"> tutje. Ministri nuk i kishte shkollat n</w:t>
      </w:r>
      <w:r w:rsidR="00BD6757">
        <w:rPr>
          <w:lang w:val="sq-AL"/>
        </w:rPr>
        <w:t>ë</w:t>
      </w:r>
      <w:r w:rsidR="002626A8">
        <w:rPr>
          <w:lang w:val="sq-AL"/>
        </w:rPr>
        <w:t xml:space="preserve">n kontrollin e tij të drejtpërdrejtë, sepse </w:t>
      </w:r>
      <w:r w:rsidR="00BD6757">
        <w:rPr>
          <w:lang w:val="sq-AL"/>
        </w:rPr>
        <w:t>ndërmjet</w:t>
      </w:r>
      <w:r w:rsidR="002626A8">
        <w:rPr>
          <w:lang w:val="sq-AL"/>
        </w:rPr>
        <w:t xml:space="preserve"> shtetit dhe f</w:t>
      </w:r>
      <w:r w:rsidR="00BD6757">
        <w:rPr>
          <w:lang w:val="sq-AL"/>
        </w:rPr>
        <w:t>ë</w:t>
      </w:r>
      <w:r w:rsidR="002626A8">
        <w:rPr>
          <w:lang w:val="sq-AL"/>
        </w:rPr>
        <w:t>mij</w:t>
      </w:r>
      <w:r w:rsidR="00BD6757">
        <w:rPr>
          <w:lang w:val="sq-AL"/>
        </w:rPr>
        <w:t>ë</w:t>
      </w:r>
      <w:r w:rsidR="002626A8">
        <w:rPr>
          <w:lang w:val="sq-AL"/>
        </w:rPr>
        <w:t xml:space="preserve">s </w:t>
      </w:r>
      <w:r w:rsidR="00BD6757">
        <w:rPr>
          <w:lang w:val="sq-AL"/>
        </w:rPr>
        <w:t>ndodhej i vënë në mes një autoritet jo publik, drejtori</w:t>
      </w:r>
      <w:r w:rsidRPr="00BD6757" w:rsidR="00BD6757">
        <w:rPr>
          <w:lang w:val="sq-AL"/>
        </w:rPr>
        <w:t xml:space="preserve"> </w:t>
      </w:r>
      <w:r w:rsidRPr="00BD6757">
        <w:rPr>
          <w:lang w:val="sq-AL"/>
        </w:rPr>
        <w:t>(paragra</w:t>
      </w:r>
      <w:r w:rsidR="00BD6757">
        <w:rPr>
          <w:lang w:val="sq-AL"/>
        </w:rPr>
        <w:t>fi</w:t>
      </w:r>
      <w:r w:rsidRPr="00BD6757">
        <w:rPr>
          <w:lang w:val="sq-AL"/>
        </w:rPr>
        <w:t xml:space="preserve"> 35 </w:t>
      </w:r>
      <w:r w:rsidRPr="00BD6757" w:rsidR="00604857">
        <w:rPr>
          <w:lang w:val="sq-AL"/>
        </w:rPr>
        <w:t>i mësipërm</w:t>
      </w:r>
      <w:r w:rsidRPr="00BD6757">
        <w:rPr>
          <w:lang w:val="sq-AL"/>
        </w:rPr>
        <w:t>).</w:t>
      </w:r>
    </w:p>
    <w:p w:rsidRPr="007B4C71" w:rsidR="00EB737A" w:rsidP="00EB737A" w:rsidRDefault="00EB737A">
      <w:pPr>
        <w:pStyle w:val="ECHRPara"/>
        <w:rPr>
          <w:lang w:val="sq-AL"/>
        </w:rPr>
      </w:pPr>
      <w:r w:rsidRPr="007B4C71">
        <w:rPr>
          <w:lang w:val="sq-AL"/>
        </w:rPr>
        <w:fldChar w:fldCharType="begin"/>
      </w:r>
      <w:r w:rsidRPr="007B4C71">
        <w:rPr>
          <w:lang w:val="sq-AL"/>
        </w:rPr>
        <w:instrText xml:space="preserve"> SEQ level0 \*arabic </w:instrText>
      </w:r>
      <w:r w:rsidRPr="007B4C71">
        <w:rPr>
          <w:lang w:val="sq-AL"/>
        </w:rPr>
        <w:fldChar w:fldCharType="separate"/>
      </w:r>
      <w:r w:rsidR="00013F9B">
        <w:rPr>
          <w:noProof/>
          <w:lang w:val="sq-AL"/>
        </w:rPr>
        <w:t>165</w:t>
      </w:r>
      <w:r w:rsidRPr="007B4C71">
        <w:rPr>
          <w:lang w:val="sq-AL"/>
        </w:rPr>
        <w:fldChar w:fldCharType="end"/>
      </w:r>
      <w:r w:rsidRPr="007B4C71">
        <w:rPr>
          <w:lang w:val="sq-AL"/>
        </w:rPr>
        <w:t>.  </w:t>
      </w:r>
      <w:r w:rsidRPr="007B4C71" w:rsidR="00BD6757">
        <w:rPr>
          <w:lang w:val="sq-AL"/>
        </w:rPr>
        <w:t>Prandaj Gjykata çmon se mekanizmat e përmendur nga Qeveria nuk e mundësonin vendosjen e një marrëdhënieje mbrojtjeje efektive midis autoriteteve të shtetit dhe fëmijëve që shkolloheshin në institucionet e arsimit fillor dhe/ose prindërve të tyre, çka është e logjikshme duke pasur parasysh ndarjen e pazakontë të përgjegjësive në modelin e ngritur mbi bazën e shkollave kombëtare.</w:t>
      </w:r>
    </w:p>
    <w:p w:rsidRPr="007B4C71" w:rsidR="00EB737A" w:rsidP="00EB737A" w:rsidRDefault="00EB737A">
      <w:pPr>
        <w:pStyle w:val="ECHRPara"/>
        <w:keepNext/>
        <w:keepLines/>
        <w:rPr>
          <w:lang w:val="sq-AL"/>
        </w:rPr>
      </w:pPr>
      <w:r w:rsidRPr="007B4C71">
        <w:rPr>
          <w:lang w:val="sq-AL"/>
        </w:rPr>
        <w:fldChar w:fldCharType="begin"/>
      </w:r>
      <w:r w:rsidRPr="007B4C71">
        <w:rPr>
          <w:lang w:val="sq-AL"/>
        </w:rPr>
        <w:instrText xml:space="preserve"> SEQ level0 \*arabic </w:instrText>
      </w:r>
      <w:r w:rsidRPr="007B4C71">
        <w:rPr>
          <w:lang w:val="sq-AL"/>
        </w:rPr>
        <w:fldChar w:fldCharType="separate"/>
      </w:r>
      <w:r w:rsidR="00013F9B">
        <w:rPr>
          <w:noProof/>
          <w:lang w:val="sq-AL"/>
        </w:rPr>
        <w:t>166</w:t>
      </w:r>
      <w:r w:rsidRPr="007B4C71">
        <w:rPr>
          <w:lang w:val="sq-AL"/>
        </w:rPr>
        <w:fldChar w:fldCharType="end"/>
      </w:r>
      <w:r w:rsidRPr="007B4C71">
        <w:rPr>
          <w:lang w:val="sq-AL"/>
        </w:rPr>
        <w:t>.  </w:t>
      </w:r>
      <w:r w:rsidRPr="007B4C71" w:rsidR="00D60D74">
        <w:rPr>
          <w:lang w:val="sq-AL"/>
        </w:rPr>
        <w:t>Për mendimin e Gjykatës, ngjarjet e çështjes n</w:t>
      </w:r>
      <w:r w:rsidR="007B4C71">
        <w:rPr>
          <w:lang w:val="sq-AL"/>
        </w:rPr>
        <w:t>ë</w:t>
      </w:r>
      <w:r w:rsidRPr="007B4C71" w:rsidR="00D60D74">
        <w:rPr>
          <w:lang w:val="sq-AL"/>
        </w:rPr>
        <w:t xml:space="preserve"> fjalë jan</w:t>
      </w:r>
      <w:r w:rsidR="007B4C71">
        <w:rPr>
          <w:lang w:val="sq-AL"/>
        </w:rPr>
        <w:t>ë</w:t>
      </w:r>
      <w:r w:rsidRPr="007B4C71" w:rsidR="00D60D74">
        <w:rPr>
          <w:lang w:val="sq-AL"/>
        </w:rPr>
        <w:t xml:space="preserve"> nj</w:t>
      </w:r>
      <w:r w:rsidR="007B4C71">
        <w:rPr>
          <w:lang w:val="sq-AL"/>
        </w:rPr>
        <w:t>ë</w:t>
      </w:r>
      <w:r w:rsidRPr="007B4C71" w:rsidR="00D60D74">
        <w:rPr>
          <w:lang w:val="sq-AL"/>
        </w:rPr>
        <w:t xml:space="preserve"> ilustrim i pasojave të k</w:t>
      </w:r>
      <w:r w:rsidR="007B4C71">
        <w:rPr>
          <w:lang w:val="sq-AL"/>
        </w:rPr>
        <w:t>ë</w:t>
      </w:r>
      <w:r w:rsidRPr="007B4C71" w:rsidR="00D60D74">
        <w:rPr>
          <w:lang w:val="sq-AL"/>
        </w:rPr>
        <w:t>saj mungese mbrojtjeje dhe tregojn</w:t>
      </w:r>
      <w:r w:rsidR="007B4C71">
        <w:rPr>
          <w:lang w:val="sq-AL"/>
        </w:rPr>
        <w:t>ë</w:t>
      </w:r>
      <w:r w:rsidRPr="007B4C71" w:rsidR="00D60D74">
        <w:rPr>
          <w:lang w:val="sq-AL"/>
        </w:rPr>
        <w:t xml:space="preserve"> se krijimi i nj</w:t>
      </w:r>
      <w:r w:rsidR="007B4C71">
        <w:rPr>
          <w:lang w:val="sq-AL"/>
        </w:rPr>
        <w:t>ë</w:t>
      </w:r>
      <w:r w:rsidRPr="007B4C71" w:rsidR="00D60D74">
        <w:rPr>
          <w:lang w:val="sq-AL"/>
        </w:rPr>
        <w:t xml:space="preserve"> kuadri efektiv rregullash mbro</w:t>
      </w:r>
      <w:r w:rsidR="007B4C71">
        <w:rPr>
          <w:lang w:val="sq-AL"/>
        </w:rPr>
        <w:t>j</w:t>
      </w:r>
      <w:r w:rsidRPr="007B4C71" w:rsidR="00D60D74">
        <w:rPr>
          <w:lang w:val="sq-AL"/>
        </w:rPr>
        <w:t xml:space="preserve">tjeje përpara vitit 1973 </w:t>
      </w:r>
      <w:r w:rsidRPr="007B4C71" w:rsidR="00BD51D1">
        <w:rPr>
          <w:lang w:val="sq-AL"/>
        </w:rPr>
        <w:t>“nga nj</w:t>
      </w:r>
      <w:r w:rsidR="007B4C71">
        <w:rPr>
          <w:lang w:val="sq-AL"/>
        </w:rPr>
        <w:t>ë</w:t>
      </w:r>
      <w:r w:rsidRPr="007B4C71" w:rsidR="00BD51D1">
        <w:rPr>
          <w:lang w:val="sq-AL"/>
        </w:rPr>
        <w:t xml:space="preserve"> pikëpamje e arsyeshme, pa dyshim që [</w:t>
      </w:r>
      <w:r w:rsidRPr="007B4C71" w:rsidR="00D60D74">
        <w:rPr>
          <w:lang w:val="sq-AL"/>
        </w:rPr>
        <w:t>do ta kishte</w:t>
      </w:r>
      <w:r w:rsidRPr="007B4C71" w:rsidR="00BD51D1">
        <w:rPr>
          <w:lang w:val="sq-AL"/>
        </w:rPr>
        <w:t>] parandaluar ose t</w:t>
      </w:r>
      <w:r w:rsidR="007B4C71">
        <w:rPr>
          <w:lang w:val="sq-AL"/>
        </w:rPr>
        <w:t>ë</w:t>
      </w:r>
      <w:r w:rsidRPr="007B4C71" w:rsidR="00BD51D1">
        <w:rPr>
          <w:lang w:val="sq-AL"/>
        </w:rPr>
        <w:t xml:space="preserve"> paktën zvo</w:t>
      </w:r>
      <w:r w:rsidR="007B4C71">
        <w:rPr>
          <w:lang w:val="sq-AL"/>
        </w:rPr>
        <w:t>gë</w:t>
      </w:r>
      <w:r w:rsidRPr="007B4C71" w:rsidR="00BD51D1">
        <w:rPr>
          <w:lang w:val="sq-AL"/>
        </w:rPr>
        <w:t>luar n</w:t>
      </w:r>
      <w:r w:rsidR="007B4C71">
        <w:rPr>
          <w:lang w:val="sq-AL"/>
        </w:rPr>
        <w:t>ë</w:t>
      </w:r>
      <w:r w:rsidRPr="007B4C71" w:rsidR="00BD51D1">
        <w:rPr>
          <w:lang w:val="sq-AL"/>
        </w:rPr>
        <w:t xml:space="preserve"> minimum rrezikun ose d</w:t>
      </w:r>
      <w:r w:rsidR="007B4C71">
        <w:rPr>
          <w:lang w:val="sq-AL"/>
        </w:rPr>
        <w:t>ë</w:t>
      </w:r>
      <w:r w:rsidRPr="007B4C71" w:rsidR="00BD51D1">
        <w:rPr>
          <w:lang w:val="sq-AL"/>
        </w:rPr>
        <w:t xml:space="preserve">min e pësuar” </w:t>
      </w:r>
      <w:r w:rsidRPr="007B4C71">
        <w:rPr>
          <w:lang w:val="sq-AL"/>
        </w:rPr>
        <w:t>(</w:t>
      </w:r>
      <w:r w:rsidRPr="007B4C71">
        <w:rPr>
          <w:i/>
          <w:lang w:val="sq-AL"/>
        </w:rPr>
        <w:t xml:space="preserve">E. </w:t>
      </w:r>
      <w:r w:rsidRPr="007B4C71" w:rsidR="00E90FE3">
        <w:rPr>
          <w:i/>
          <w:lang w:val="sq-AL"/>
        </w:rPr>
        <w:t>me të tjerë k</w:t>
      </w:r>
      <w:r w:rsidRPr="007B4C71">
        <w:rPr>
          <w:i/>
          <w:lang w:val="sq-AL"/>
        </w:rPr>
        <w:t xml:space="preserve">. </w:t>
      </w:r>
      <w:r w:rsidRPr="007B4C71" w:rsidR="002759DF">
        <w:rPr>
          <w:i/>
          <w:lang w:val="sq-AL"/>
        </w:rPr>
        <w:t>Mbretërisë së Bashkuar</w:t>
      </w:r>
      <w:r w:rsidRPr="007B4C71">
        <w:rPr>
          <w:lang w:val="sq-AL"/>
        </w:rPr>
        <w:t xml:space="preserve">, </w:t>
      </w:r>
      <w:r w:rsidRPr="007B4C71" w:rsidR="00E90FE3">
        <w:rPr>
          <w:lang w:val="sq-AL"/>
        </w:rPr>
        <w:t>i cituar më lart</w:t>
      </w:r>
      <w:r w:rsidRPr="007B4C71">
        <w:rPr>
          <w:lang w:val="sq-AL"/>
        </w:rPr>
        <w:t xml:space="preserve">, § 100). </w:t>
      </w:r>
      <w:r w:rsidRPr="007B4C71" w:rsidR="00BD51D1">
        <w:rPr>
          <w:lang w:val="sq-AL"/>
        </w:rPr>
        <w:t>Që prej fillimit të viteve 1960, n</w:t>
      </w:r>
      <w:r w:rsidR="007B4C71">
        <w:rPr>
          <w:lang w:val="sq-AL"/>
        </w:rPr>
        <w:t>ë</w:t>
      </w:r>
      <w:r w:rsidRPr="007B4C71" w:rsidR="00BD51D1">
        <w:rPr>
          <w:lang w:val="sq-AL"/>
        </w:rPr>
        <w:t xml:space="preserve"> shkoll</w:t>
      </w:r>
      <w:r w:rsidR="007B4C71">
        <w:rPr>
          <w:lang w:val="sq-AL"/>
        </w:rPr>
        <w:t>ë</w:t>
      </w:r>
      <w:r w:rsidRPr="007B4C71" w:rsidR="00BD51D1">
        <w:rPr>
          <w:lang w:val="sq-AL"/>
        </w:rPr>
        <w:t>n komb</w:t>
      </w:r>
      <w:r w:rsidR="007B4C71">
        <w:rPr>
          <w:lang w:val="sq-AL"/>
        </w:rPr>
        <w:t>ë</w:t>
      </w:r>
      <w:r w:rsidRPr="007B4C71" w:rsidR="00BD51D1">
        <w:rPr>
          <w:lang w:val="sq-AL"/>
        </w:rPr>
        <w:t>tare të Dunderrow-it jan</w:t>
      </w:r>
      <w:r w:rsidR="007B4C71">
        <w:rPr>
          <w:lang w:val="sq-AL"/>
        </w:rPr>
        <w:t>ë</w:t>
      </w:r>
      <w:r w:rsidRPr="007B4C71" w:rsidR="00BD51D1">
        <w:rPr>
          <w:lang w:val="sq-AL"/>
        </w:rPr>
        <w:t xml:space="preserve"> regjistruar më shum</w:t>
      </w:r>
      <w:r w:rsidR="007B4C71">
        <w:rPr>
          <w:lang w:val="sq-AL"/>
        </w:rPr>
        <w:t>ë</w:t>
      </w:r>
      <w:r w:rsidRPr="007B4C71" w:rsidR="00BD51D1">
        <w:rPr>
          <w:lang w:val="sq-AL"/>
        </w:rPr>
        <w:t xml:space="preserve"> se 400 incidente abuzimesh për faj të </w:t>
      </w:r>
      <w:r w:rsidRPr="007B4C71">
        <w:rPr>
          <w:lang w:val="sq-AL"/>
        </w:rPr>
        <w:t xml:space="preserve">L.H. </w:t>
      </w:r>
      <w:r w:rsidRPr="007B4C71" w:rsidR="00BD51D1">
        <w:rPr>
          <w:lang w:val="sq-AL"/>
        </w:rPr>
        <w:t>Ankesa lidhur me të interesuarin iu drejtuan m</w:t>
      </w:r>
      <w:r w:rsidR="007B4C71">
        <w:rPr>
          <w:lang w:val="sq-AL"/>
        </w:rPr>
        <w:t>ë</w:t>
      </w:r>
      <w:r w:rsidRPr="007B4C71" w:rsidR="00BD51D1">
        <w:rPr>
          <w:lang w:val="sq-AL"/>
        </w:rPr>
        <w:t xml:space="preserve"> 1971 e</w:t>
      </w:r>
      <w:r w:rsidRPr="007B4C71">
        <w:rPr>
          <w:lang w:val="sq-AL"/>
        </w:rPr>
        <w:t xml:space="preserve"> 1973 </w:t>
      </w:r>
      <w:r w:rsidRPr="007B4C71" w:rsidR="00BD51D1">
        <w:rPr>
          <w:lang w:val="sq-AL"/>
        </w:rPr>
        <w:t>klerikut q</w:t>
      </w:r>
      <w:r w:rsidR="007B4C71">
        <w:rPr>
          <w:lang w:val="sq-AL"/>
        </w:rPr>
        <w:t>ë</w:t>
      </w:r>
      <w:r w:rsidRPr="007B4C71" w:rsidR="00BD51D1">
        <w:rPr>
          <w:lang w:val="sq-AL"/>
        </w:rPr>
        <w:t xml:space="preserve"> ishte n</w:t>
      </w:r>
      <w:r w:rsidR="007B4C71">
        <w:rPr>
          <w:lang w:val="sq-AL"/>
        </w:rPr>
        <w:t>ë</w:t>
      </w:r>
      <w:r w:rsidRPr="007B4C71" w:rsidR="00BD51D1">
        <w:rPr>
          <w:lang w:val="sq-AL"/>
        </w:rPr>
        <w:t xml:space="preserve"> funksionet e drejtorit por, siç e përcaktoi m</w:t>
      </w:r>
      <w:r w:rsidR="007B4C71">
        <w:rPr>
          <w:lang w:val="sq-AL"/>
        </w:rPr>
        <w:t>ë</w:t>
      </w:r>
      <w:r w:rsidRPr="007B4C71" w:rsidR="00BD51D1">
        <w:rPr>
          <w:lang w:val="sq-AL"/>
        </w:rPr>
        <w:t xml:space="preserve"> von</w:t>
      </w:r>
      <w:r w:rsidR="007B4C71">
        <w:rPr>
          <w:lang w:val="sq-AL"/>
        </w:rPr>
        <w:t>ë</w:t>
      </w:r>
      <w:r w:rsidRPr="007B4C71" w:rsidR="00BD51D1">
        <w:rPr>
          <w:lang w:val="sq-AL"/>
        </w:rPr>
        <w:t xml:space="preserve"> Gjykata e Lartë, ky nuk njoftoi asnjë autoritet t</w:t>
      </w:r>
      <w:r w:rsidR="007B4C71">
        <w:rPr>
          <w:lang w:val="sq-AL"/>
        </w:rPr>
        <w:t>ë</w:t>
      </w:r>
      <w:r w:rsidRPr="007B4C71" w:rsidR="00BD51D1">
        <w:rPr>
          <w:lang w:val="sq-AL"/>
        </w:rPr>
        <w:t xml:space="preserve"> shtetit. Inspektori i caktuar n</w:t>
      </w:r>
      <w:r w:rsidR="007B4C71">
        <w:rPr>
          <w:lang w:val="sq-AL"/>
        </w:rPr>
        <w:t>ë</w:t>
      </w:r>
      <w:r w:rsidRPr="007B4C71" w:rsidR="00BD51D1">
        <w:rPr>
          <w:lang w:val="sq-AL"/>
        </w:rPr>
        <w:t xml:space="preserve"> at</w:t>
      </w:r>
      <w:r w:rsidR="007B4C71">
        <w:rPr>
          <w:lang w:val="sq-AL"/>
        </w:rPr>
        <w:t>ë</w:t>
      </w:r>
      <w:r w:rsidRPr="007B4C71" w:rsidR="00BD51D1">
        <w:rPr>
          <w:lang w:val="sq-AL"/>
        </w:rPr>
        <w:t xml:space="preserve"> shkoll</w:t>
      </w:r>
      <w:r w:rsidR="007B4C71">
        <w:rPr>
          <w:lang w:val="sq-AL"/>
        </w:rPr>
        <w:t>ë</w:t>
      </w:r>
      <w:r w:rsidRPr="007B4C71" w:rsidR="00BD51D1">
        <w:rPr>
          <w:lang w:val="sq-AL"/>
        </w:rPr>
        <w:t xml:space="preserve"> kreu gjasht</w:t>
      </w:r>
      <w:r w:rsidR="007B4C71">
        <w:rPr>
          <w:lang w:val="sq-AL"/>
        </w:rPr>
        <w:t>ë</w:t>
      </w:r>
      <w:r w:rsidRPr="007B4C71" w:rsidR="00BD51D1">
        <w:rPr>
          <w:lang w:val="sq-AL"/>
        </w:rPr>
        <w:t xml:space="preserve"> vizita midis viteve 1969 e 1973; atij nuk iu bë kurrë asnjë ankesë lidhur me L.H. Në të vërtetë, asnjë autoritet i shtetit nuk u informua për ankesa lidhur me sjelljet e L.H. përpara se ky i fundit t</w:t>
      </w:r>
      <w:r w:rsidR="007B4C71">
        <w:rPr>
          <w:lang w:val="sq-AL"/>
        </w:rPr>
        <w:t>ë</w:t>
      </w:r>
      <w:r w:rsidRPr="007B4C71" w:rsidR="00BD51D1">
        <w:rPr>
          <w:lang w:val="sq-AL"/>
        </w:rPr>
        <w:t xml:space="preserve"> dilte n</w:t>
      </w:r>
      <w:r w:rsidR="007B4C71">
        <w:rPr>
          <w:lang w:val="sq-AL"/>
        </w:rPr>
        <w:t>ë</w:t>
      </w:r>
      <w:r w:rsidRPr="007B4C71" w:rsidR="00BD51D1">
        <w:rPr>
          <w:lang w:val="sq-AL"/>
        </w:rPr>
        <w:t xml:space="preserve"> pension m</w:t>
      </w:r>
      <w:r w:rsidR="007B4C71">
        <w:rPr>
          <w:lang w:val="sq-AL"/>
        </w:rPr>
        <w:t>ë</w:t>
      </w:r>
      <w:r w:rsidRPr="007B4C71" w:rsidR="00BD51D1">
        <w:rPr>
          <w:lang w:val="sq-AL"/>
        </w:rPr>
        <w:t xml:space="preserve"> 1995. Një mekanizëm zbulimi e sinjalizimi i cili mundëson përjetësimin e nj</w:t>
      </w:r>
      <w:r w:rsidR="007B4C71">
        <w:rPr>
          <w:lang w:val="sq-AL"/>
        </w:rPr>
        <w:t>ë</w:t>
      </w:r>
      <w:r w:rsidRPr="007B4C71" w:rsidR="00BD51D1">
        <w:rPr>
          <w:lang w:val="sq-AL"/>
        </w:rPr>
        <w:t xml:space="preserve"> sjelljeje kaq t</w:t>
      </w:r>
      <w:r w:rsidR="007B4C71">
        <w:rPr>
          <w:lang w:val="sq-AL"/>
        </w:rPr>
        <w:t>ë</w:t>
      </w:r>
      <w:r w:rsidRPr="007B4C71" w:rsidR="00BD51D1">
        <w:rPr>
          <w:lang w:val="sq-AL"/>
        </w:rPr>
        <w:t xml:space="preserve"> dënueshme </w:t>
      </w:r>
      <w:r w:rsidRPr="007B4C71" w:rsidR="007B4C71">
        <w:rPr>
          <w:lang w:val="sq-AL"/>
        </w:rPr>
        <w:t>për nj</w:t>
      </w:r>
      <w:r w:rsidR="007B4C71">
        <w:rPr>
          <w:lang w:val="sq-AL"/>
        </w:rPr>
        <w:t>ë</w:t>
      </w:r>
      <w:r w:rsidRPr="007B4C71" w:rsidR="007B4C71">
        <w:rPr>
          <w:lang w:val="sq-AL"/>
        </w:rPr>
        <w:t xml:space="preserve"> periudh</w:t>
      </w:r>
      <w:r w:rsidR="007B4C71">
        <w:rPr>
          <w:lang w:val="sq-AL"/>
        </w:rPr>
        <w:t>ë</w:t>
      </w:r>
      <w:r w:rsidRPr="007B4C71" w:rsidR="007B4C71">
        <w:rPr>
          <w:lang w:val="sq-AL"/>
        </w:rPr>
        <w:t xml:space="preserve"> kaq t</w:t>
      </w:r>
      <w:r w:rsidR="007B4C71">
        <w:rPr>
          <w:lang w:val="sq-AL"/>
        </w:rPr>
        <w:t>ë</w:t>
      </w:r>
      <w:r w:rsidRPr="007B4C71" w:rsidR="007B4C71">
        <w:rPr>
          <w:lang w:val="sq-AL"/>
        </w:rPr>
        <w:t xml:space="preserve"> gjatë nuk mund t</w:t>
      </w:r>
      <w:r w:rsidR="007B4C71">
        <w:rPr>
          <w:lang w:val="sq-AL"/>
        </w:rPr>
        <w:t>ë</w:t>
      </w:r>
      <w:r w:rsidRPr="007B4C71" w:rsidR="007B4C71">
        <w:rPr>
          <w:lang w:val="sq-AL"/>
        </w:rPr>
        <w:t xml:space="preserve"> shihet përveçse si jo i efektshëm </w:t>
      </w:r>
      <w:r w:rsidRPr="007B4C71">
        <w:rPr>
          <w:lang w:val="sq-AL"/>
        </w:rPr>
        <w:t>(</w:t>
      </w:r>
      <w:r w:rsidRPr="007B4C71" w:rsidR="007B4C71">
        <w:rPr>
          <w:i/>
          <w:lang w:val="sq-AL"/>
        </w:rPr>
        <w:t>C.A.S. e</w:t>
      </w:r>
      <w:r w:rsidRPr="007B4C71">
        <w:rPr>
          <w:i/>
          <w:lang w:val="sq-AL"/>
        </w:rPr>
        <w:t xml:space="preserve"> C.S. </w:t>
      </w:r>
      <w:r w:rsidRPr="007B4C71" w:rsidR="007B4C71">
        <w:rPr>
          <w:i/>
          <w:lang w:val="sq-AL"/>
        </w:rPr>
        <w:t>k. R</w:t>
      </w:r>
      <w:r w:rsidRPr="007B4C71">
        <w:rPr>
          <w:i/>
          <w:lang w:val="sq-AL"/>
        </w:rPr>
        <w:t>umani</w:t>
      </w:r>
      <w:r w:rsidRPr="007B4C71" w:rsidR="007B4C71">
        <w:rPr>
          <w:i/>
          <w:lang w:val="sq-AL"/>
        </w:rPr>
        <w:t>së</w:t>
      </w:r>
      <w:r w:rsidRPr="007B4C71">
        <w:rPr>
          <w:lang w:val="sq-AL"/>
        </w:rPr>
        <w:t xml:space="preserve">, </w:t>
      </w:r>
      <w:r w:rsidRPr="007B4C71" w:rsidR="001E408E">
        <w:rPr>
          <w:lang w:val="sq-AL"/>
        </w:rPr>
        <w:t>nr.</w:t>
      </w:r>
      <w:r w:rsidRPr="007B4C71">
        <w:rPr>
          <w:lang w:val="sq-AL"/>
        </w:rPr>
        <w:t xml:space="preserve"> 26692/05, § 83, 20 mars 2012). </w:t>
      </w:r>
      <w:r w:rsidRPr="007B4C71" w:rsidR="007B4C71">
        <w:rPr>
          <w:lang w:val="sq-AL"/>
        </w:rPr>
        <w:t>Është e arsyeshme të hamendësohet që, n</w:t>
      </w:r>
      <w:r w:rsidR="007B4C71">
        <w:rPr>
          <w:lang w:val="sq-AL"/>
        </w:rPr>
        <w:t>ë</w:t>
      </w:r>
      <w:r w:rsidRPr="007B4C71" w:rsidR="007B4C71">
        <w:rPr>
          <w:lang w:val="sq-AL"/>
        </w:rPr>
        <w:t>se do të ishin marrë masa të duhura pas ankes</w:t>
      </w:r>
      <w:r w:rsidR="007B4C71">
        <w:rPr>
          <w:lang w:val="sq-AL"/>
        </w:rPr>
        <w:t>ë</w:t>
      </w:r>
      <w:r w:rsidRPr="007B4C71" w:rsidR="007B4C71">
        <w:rPr>
          <w:lang w:val="sq-AL"/>
        </w:rPr>
        <w:t>s s</w:t>
      </w:r>
      <w:r w:rsidR="007B4C71">
        <w:rPr>
          <w:lang w:val="sq-AL"/>
        </w:rPr>
        <w:t>ë</w:t>
      </w:r>
      <w:r w:rsidRPr="007B4C71" w:rsidR="007B4C71">
        <w:rPr>
          <w:lang w:val="sq-AL"/>
        </w:rPr>
        <w:t xml:space="preserve"> vitit </w:t>
      </w:r>
      <w:r w:rsidRPr="007B4C71">
        <w:rPr>
          <w:lang w:val="sq-AL"/>
        </w:rPr>
        <w:t>1971</w:t>
      </w:r>
      <w:r w:rsidRPr="007B4C71" w:rsidR="007B4C71">
        <w:rPr>
          <w:lang w:val="sq-AL"/>
        </w:rPr>
        <w:t>, paditësja e çështjes n</w:t>
      </w:r>
      <w:r w:rsidR="007B4C71">
        <w:rPr>
          <w:lang w:val="sq-AL"/>
        </w:rPr>
        <w:t>ë</w:t>
      </w:r>
      <w:r w:rsidRPr="007B4C71" w:rsidR="007B4C71">
        <w:rPr>
          <w:lang w:val="sq-AL"/>
        </w:rPr>
        <w:t xml:space="preserve"> fjalë nuk do të kishte qen</w:t>
      </w:r>
      <w:r w:rsidR="007B4C71">
        <w:rPr>
          <w:lang w:val="sq-AL"/>
        </w:rPr>
        <w:t>ë</w:t>
      </w:r>
      <w:r w:rsidRPr="007B4C71" w:rsidR="007B4C71">
        <w:rPr>
          <w:lang w:val="sq-AL"/>
        </w:rPr>
        <w:t xml:space="preserve"> e detyruar t</w:t>
      </w:r>
      <w:r w:rsidR="00943091">
        <w:rPr>
          <w:lang w:val="sq-AL"/>
        </w:rPr>
        <w:t>’</w:t>
      </w:r>
      <w:r w:rsidRPr="007B4C71" w:rsidR="007B4C71">
        <w:rPr>
          <w:lang w:val="sq-AL"/>
        </w:rPr>
        <w:t>u nënshtrohej përsëri dy vjet m</w:t>
      </w:r>
      <w:r w:rsidR="007B4C71">
        <w:rPr>
          <w:lang w:val="sq-AL"/>
        </w:rPr>
        <w:t>ë</w:t>
      </w:r>
      <w:r w:rsidRPr="007B4C71" w:rsidR="007B4C71">
        <w:rPr>
          <w:lang w:val="sq-AL"/>
        </w:rPr>
        <w:t xml:space="preserve"> von</w:t>
      </w:r>
      <w:r w:rsidR="007B4C71">
        <w:rPr>
          <w:lang w:val="sq-AL"/>
        </w:rPr>
        <w:t>ë</w:t>
      </w:r>
      <w:r w:rsidRPr="007B4C71" w:rsidR="007B4C71">
        <w:rPr>
          <w:lang w:val="sq-AL"/>
        </w:rPr>
        <w:t xml:space="preserve"> e n</w:t>
      </w:r>
      <w:r w:rsidR="007B4C71">
        <w:rPr>
          <w:lang w:val="sq-AL"/>
        </w:rPr>
        <w:t>ë</w:t>
      </w:r>
      <w:r w:rsidRPr="007B4C71" w:rsidR="007B4C71">
        <w:rPr>
          <w:lang w:val="sq-AL"/>
        </w:rPr>
        <w:t xml:space="preserve"> të njëjtën shkoll</w:t>
      </w:r>
      <w:r w:rsidR="007B4C71">
        <w:rPr>
          <w:lang w:val="sq-AL"/>
        </w:rPr>
        <w:t>ë</w:t>
      </w:r>
      <w:r w:rsidRPr="007B4C71" w:rsidR="007B4C71">
        <w:rPr>
          <w:lang w:val="sq-AL"/>
        </w:rPr>
        <w:t xml:space="preserve"> abuzimeve nga ana e t</w:t>
      </w:r>
      <w:r w:rsidR="007B4C71">
        <w:rPr>
          <w:lang w:val="sq-AL"/>
        </w:rPr>
        <w:t>ë</w:t>
      </w:r>
      <w:r w:rsidRPr="007B4C71" w:rsidR="007B4C71">
        <w:rPr>
          <w:lang w:val="sq-AL"/>
        </w:rPr>
        <w:t xml:space="preserve"> njëjtit m</w:t>
      </w:r>
      <w:r w:rsidR="007B4C71">
        <w:rPr>
          <w:lang w:val="sq-AL"/>
        </w:rPr>
        <w:t>ë</w:t>
      </w:r>
      <w:r w:rsidRPr="007B4C71" w:rsidR="007B4C71">
        <w:rPr>
          <w:lang w:val="sq-AL"/>
        </w:rPr>
        <w:t>sues.</w:t>
      </w:r>
    </w:p>
    <w:p w:rsidRPr="00015398" w:rsidR="00EB737A" w:rsidP="00EB737A" w:rsidRDefault="00EB737A">
      <w:pPr>
        <w:pStyle w:val="ECHRPara"/>
        <w:rPr>
          <w:lang w:val="sq-AL"/>
        </w:rPr>
      </w:pPr>
      <w:r w:rsidRPr="00015398">
        <w:rPr>
          <w:lang w:val="sq-AL"/>
        </w:rPr>
        <w:fldChar w:fldCharType="begin"/>
      </w:r>
      <w:r w:rsidRPr="00015398">
        <w:rPr>
          <w:lang w:val="sq-AL"/>
        </w:rPr>
        <w:instrText xml:space="preserve"> SEQ level0 \*arabic </w:instrText>
      </w:r>
      <w:r w:rsidRPr="00015398">
        <w:rPr>
          <w:lang w:val="sq-AL"/>
        </w:rPr>
        <w:fldChar w:fldCharType="separate"/>
      </w:r>
      <w:r w:rsidR="00013F9B">
        <w:rPr>
          <w:noProof/>
          <w:lang w:val="sq-AL"/>
        </w:rPr>
        <w:t>167</w:t>
      </w:r>
      <w:r w:rsidRPr="00015398">
        <w:rPr>
          <w:lang w:val="sq-AL"/>
        </w:rPr>
        <w:fldChar w:fldCharType="end"/>
      </w:r>
      <w:r w:rsidRPr="00015398">
        <w:rPr>
          <w:lang w:val="sq-AL"/>
        </w:rPr>
        <w:t>.  </w:t>
      </w:r>
      <w:r w:rsidRPr="00015398" w:rsidR="003D4301">
        <w:rPr>
          <w:lang w:val="sq-AL"/>
        </w:rPr>
        <w:t xml:space="preserve">Së fundi, letra e profesorit </w:t>
      </w:r>
      <w:r w:rsidRPr="00015398">
        <w:rPr>
          <w:lang w:val="sq-AL"/>
        </w:rPr>
        <w:t xml:space="preserve">Ferguson, </w:t>
      </w:r>
      <w:r w:rsidRPr="00015398" w:rsidR="003D4301">
        <w:rPr>
          <w:lang w:val="sq-AL"/>
        </w:rPr>
        <w:t>e p</w:t>
      </w:r>
      <w:r w:rsidRPr="00015398" w:rsidR="008D7A47">
        <w:rPr>
          <w:lang w:val="sq-AL"/>
        </w:rPr>
        <w:t>ë</w:t>
      </w:r>
      <w:r w:rsidRPr="00015398" w:rsidR="003D4301">
        <w:rPr>
          <w:lang w:val="sq-AL"/>
        </w:rPr>
        <w:t>rmendur nga Qeveria, nuk ishte nj</w:t>
      </w:r>
      <w:r w:rsidRPr="00015398" w:rsidR="008D7A47">
        <w:rPr>
          <w:lang w:val="sq-AL"/>
        </w:rPr>
        <w:t>ë</w:t>
      </w:r>
      <w:r w:rsidRPr="00015398" w:rsidR="003D4301">
        <w:rPr>
          <w:lang w:val="sq-AL"/>
        </w:rPr>
        <w:t xml:space="preserve"> raport hetimi i </w:t>
      </w:r>
      <w:r w:rsidRPr="00015398" w:rsidR="008D7A47">
        <w:rPr>
          <w:lang w:val="sq-AL"/>
        </w:rPr>
        <w:t>hartuar prej</w:t>
      </w:r>
      <w:r w:rsidRPr="00015398" w:rsidR="003D4301">
        <w:rPr>
          <w:lang w:val="sq-AL"/>
        </w:rPr>
        <w:t xml:space="preserve"> një ekspert</w:t>
      </w:r>
      <w:r w:rsidRPr="00015398" w:rsidR="008D7A47">
        <w:rPr>
          <w:lang w:val="sq-AL"/>
        </w:rPr>
        <w:t>,</w:t>
      </w:r>
      <w:r w:rsidRPr="00015398" w:rsidR="003D4301">
        <w:rPr>
          <w:lang w:val="sq-AL"/>
        </w:rPr>
        <w:t xml:space="preserve"> por m</w:t>
      </w:r>
      <w:r w:rsidRPr="00015398" w:rsidR="008D7A47">
        <w:rPr>
          <w:lang w:val="sq-AL"/>
        </w:rPr>
        <w:t>ë</w:t>
      </w:r>
      <w:r w:rsidRPr="00015398" w:rsidR="003D4301">
        <w:rPr>
          <w:lang w:val="sq-AL"/>
        </w:rPr>
        <w:t xml:space="preserve"> shum</w:t>
      </w:r>
      <w:r w:rsidRPr="00015398" w:rsidR="008D7A47">
        <w:rPr>
          <w:lang w:val="sq-AL"/>
        </w:rPr>
        <w:t>ë</w:t>
      </w:r>
      <w:r w:rsidRPr="00015398" w:rsidR="003D4301">
        <w:rPr>
          <w:lang w:val="sq-AL"/>
        </w:rPr>
        <w:t xml:space="preserve"> një mendim </w:t>
      </w:r>
      <w:r w:rsidRPr="00015398" w:rsidR="008D7A47">
        <w:rPr>
          <w:lang w:val="sq-AL"/>
        </w:rPr>
        <w:t>paragjyqësor i cili merrte pra gjithashtu parasysh në mënyrë të pashmangshme disa pika të tilla si shanset e një ankimi për sukses dhe shpenzimet lidhur me të</w:t>
      </w:r>
      <w:r w:rsidRPr="00015398">
        <w:rPr>
          <w:lang w:val="sq-AL"/>
        </w:rPr>
        <w:t xml:space="preserve">. </w:t>
      </w:r>
      <w:r w:rsidRPr="00015398" w:rsidR="008D7A47">
        <w:rPr>
          <w:lang w:val="sq-AL"/>
        </w:rPr>
        <w:t xml:space="preserve">Për sa u takon vërejtjeve të profesorit </w:t>
      </w:r>
      <w:r w:rsidRPr="00015398">
        <w:rPr>
          <w:lang w:val="sq-AL"/>
        </w:rPr>
        <w:t xml:space="preserve">Rollison, </w:t>
      </w:r>
      <w:r w:rsidRPr="00015398" w:rsidR="008D7A47">
        <w:rPr>
          <w:lang w:val="sq-AL"/>
        </w:rPr>
        <w:t>nga të cilat kërkon të nxjerrë po ashtu përfitim Qeveria, ato kishin të bënin me shkallën e perceptimit të rrezikut për abuzime seksuale në Mbretërinë e Bashkuar, ndërsa pyetja e ngritur para Gjykatës kërkon një vlerësim të posaçëm për Irlandën.</w:t>
      </w:r>
    </w:p>
    <w:p w:rsidRPr="00015398" w:rsidR="00EB737A" w:rsidP="00EB737A" w:rsidRDefault="00EB737A">
      <w:pPr>
        <w:pStyle w:val="ECHRPara"/>
        <w:rPr>
          <w:lang w:val="sq-AL"/>
        </w:rPr>
      </w:pPr>
      <w:r w:rsidRPr="00015398">
        <w:rPr>
          <w:lang w:val="sq-AL"/>
        </w:rPr>
        <w:fldChar w:fldCharType="begin"/>
      </w:r>
      <w:r w:rsidRPr="00015398">
        <w:rPr>
          <w:lang w:val="sq-AL"/>
        </w:rPr>
        <w:instrText xml:space="preserve"> SEQ level0 \*arabic </w:instrText>
      </w:r>
      <w:r w:rsidRPr="00015398">
        <w:rPr>
          <w:lang w:val="sq-AL"/>
        </w:rPr>
        <w:fldChar w:fldCharType="separate"/>
      </w:r>
      <w:r w:rsidR="00013F9B">
        <w:rPr>
          <w:noProof/>
          <w:lang w:val="sq-AL"/>
        </w:rPr>
        <w:t>168</w:t>
      </w:r>
      <w:r w:rsidRPr="00015398">
        <w:rPr>
          <w:lang w:val="sq-AL"/>
        </w:rPr>
        <w:fldChar w:fldCharType="end"/>
      </w:r>
      <w:r w:rsidRPr="00015398">
        <w:rPr>
          <w:lang w:val="sq-AL"/>
        </w:rPr>
        <w:t>.  </w:t>
      </w:r>
      <w:r w:rsidRPr="00015398" w:rsidR="008D7A47">
        <w:rPr>
          <w:lang w:val="sq-AL"/>
        </w:rPr>
        <w:t>Si përfundim, Gjykata çmon se kjo çështje nuk ka të b</w:t>
      </w:r>
      <w:r w:rsidR="00015398">
        <w:rPr>
          <w:lang w:val="sq-AL"/>
        </w:rPr>
        <w:t>ë</w:t>
      </w:r>
      <w:r w:rsidRPr="00015398" w:rsidR="008D7A47">
        <w:rPr>
          <w:lang w:val="sq-AL"/>
        </w:rPr>
        <w:t>j</w:t>
      </w:r>
      <w:r w:rsidR="00015398">
        <w:rPr>
          <w:lang w:val="sq-AL"/>
        </w:rPr>
        <w:t>ë</w:t>
      </w:r>
      <w:r w:rsidRPr="00015398" w:rsidR="008D7A47">
        <w:rPr>
          <w:lang w:val="sq-AL"/>
        </w:rPr>
        <w:t xml:space="preserve"> drejtpërdrejt me përgjegj</w:t>
      </w:r>
      <w:r w:rsidR="00015398">
        <w:rPr>
          <w:lang w:val="sq-AL"/>
        </w:rPr>
        <w:t>ë</w:t>
      </w:r>
      <w:r w:rsidRPr="00015398" w:rsidR="008D7A47">
        <w:rPr>
          <w:lang w:val="sq-AL"/>
        </w:rPr>
        <w:t>sin</w:t>
      </w:r>
      <w:r w:rsidR="00015398">
        <w:rPr>
          <w:lang w:val="sq-AL"/>
        </w:rPr>
        <w:t>ë</w:t>
      </w:r>
      <w:r w:rsidRPr="00015398" w:rsidR="008D7A47">
        <w:rPr>
          <w:lang w:val="sq-AL"/>
        </w:rPr>
        <w:t xml:space="preserve"> e L.H., të nj</w:t>
      </w:r>
      <w:r w:rsidR="00015398">
        <w:rPr>
          <w:lang w:val="sq-AL"/>
        </w:rPr>
        <w:t>ë</w:t>
      </w:r>
      <w:r w:rsidRPr="00015398" w:rsidR="008D7A47">
        <w:rPr>
          <w:lang w:val="sq-AL"/>
        </w:rPr>
        <w:t xml:space="preserve"> drejtori ose </w:t>
      </w:r>
      <w:r w:rsidRPr="00015398" w:rsidR="008D7A47">
        <w:rPr>
          <w:i/>
          <w:lang w:val="sq-AL"/>
        </w:rPr>
        <w:t xml:space="preserve">Padroni </w:t>
      </w:r>
      <w:r w:rsidRPr="00015398" w:rsidR="008D7A47">
        <w:rPr>
          <w:lang w:val="sq-AL"/>
        </w:rPr>
        <w:t>kishtar, të nj</w:t>
      </w:r>
      <w:r w:rsidR="00015398">
        <w:rPr>
          <w:lang w:val="sq-AL"/>
        </w:rPr>
        <w:t>ë</w:t>
      </w:r>
      <w:r w:rsidRPr="00015398" w:rsidR="008D7A47">
        <w:rPr>
          <w:lang w:val="sq-AL"/>
        </w:rPr>
        <w:t xml:space="preserve"> prindi apo të nj</w:t>
      </w:r>
      <w:r w:rsidR="00015398">
        <w:rPr>
          <w:lang w:val="sq-AL"/>
        </w:rPr>
        <w:t>ë</w:t>
      </w:r>
      <w:r w:rsidRPr="00015398" w:rsidR="008D7A47">
        <w:rPr>
          <w:lang w:val="sq-AL"/>
        </w:rPr>
        <w:t xml:space="preserve"> personi tjet</w:t>
      </w:r>
      <w:r w:rsidR="00015398">
        <w:rPr>
          <w:lang w:val="sq-AL"/>
        </w:rPr>
        <w:t>ë</w:t>
      </w:r>
      <w:r w:rsidRPr="00015398" w:rsidR="008D7A47">
        <w:rPr>
          <w:lang w:val="sq-AL"/>
        </w:rPr>
        <w:t>r të çfarëdoshëm për abuzimet seksuale të pësuara nga paditësja më 1973, por m</w:t>
      </w:r>
      <w:r w:rsidR="00015398">
        <w:rPr>
          <w:lang w:val="sq-AL"/>
        </w:rPr>
        <w:t>ë</w:t>
      </w:r>
      <w:r w:rsidRPr="00015398" w:rsidR="008D7A47">
        <w:rPr>
          <w:lang w:val="sq-AL"/>
        </w:rPr>
        <w:t xml:space="preserve"> shum</w:t>
      </w:r>
      <w:r w:rsidR="00015398">
        <w:rPr>
          <w:lang w:val="sq-AL"/>
        </w:rPr>
        <w:t>ë</w:t>
      </w:r>
      <w:r w:rsidRPr="00015398" w:rsidR="008D7A47">
        <w:rPr>
          <w:lang w:val="sq-AL"/>
        </w:rPr>
        <w:t xml:space="preserve"> me përgjegj</w:t>
      </w:r>
      <w:r w:rsidR="00015398">
        <w:rPr>
          <w:lang w:val="sq-AL"/>
        </w:rPr>
        <w:t>ë</w:t>
      </w:r>
      <w:r w:rsidRPr="00015398" w:rsidR="008D7A47">
        <w:rPr>
          <w:lang w:val="sq-AL"/>
        </w:rPr>
        <w:t>sin</w:t>
      </w:r>
      <w:r w:rsidR="00015398">
        <w:rPr>
          <w:lang w:val="sq-AL"/>
        </w:rPr>
        <w:t>ë</w:t>
      </w:r>
      <w:r w:rsidRPr="00015398" w:rsidR="008D7A47">
        <w:rPr>
          <w:lang w:val="sq-AL"/>
        </w:rPr>
        <w:t xml:space="preserve"> e një shteti.</w:t>
      </w:r>
      <w:r w:rsidRPr="00015398" w:rsidR="00EA36AC">
        <w:rPr>
          <w:lang w:val="sq-AL"/>
        </w:rPr>
        <w:t xml:space="preserve"> Më saktësisht, puna për Gjykatën është që të shqyrtojë n</w:t>
      </w:r>
      <w:r w:rsidR="00015398">
        <w:rPr>
          <w:lang w:val="sq-AL"/>
        </w:rPr>
        <w:t>ë</w:t>
      </w:r>
      <w:r w:rsidRPr="00015398" w:rsidR="00EA36AC">
        <w:rPr>
          <w:lang w:val="sq-AL"/>
        </w:rPr>
        <w:t>se, n</w:t>
      </w:r>
      <w:r w:rsidR="00015398">
        <w:rPr>
          <w:lang w:val="sq-AL"/>
        </w:rPr>
        <w:t>ë</w:t>
      </w:r>
      <w:r w:rsidRPr="00015398" w:rsidR="00EA36AC">
        <w:rPr>
          <w:lang w:val="sq-AL"/>
        </w:rPr>
        <w:t xml:space="preserve"> koh</w:t>
      </w:r>
      <w:r w:rsidR="00015398">
        <w:rPr>
          <w:lang w:val="sq-AL"/>
        </w:rPr>
        <w:t>ën e ngja</w:t>
      </w:r>
      <w:r w:rsidRPr="00015398" w:rsidR="00EA36AC">
        <w:rPr>
          <w:lang w:val="sq-AL"/>
        </w:rPr>
        <w:t>rjeve, shteti i paditur ishte dashur t</w:t>
      </w:r>
      <w:r w:rsidR="00015398">
        <w:rPr>
          <w:lang w:val="sq-AL"/>
        </w:rPr>
        <w:t>ë</w:t>
      </w:r>
      <w:r w:rsidRPr="00015398" w:rsidR="00EA36AC">
        <w:rPr>
          <w:lang w:val="sq-AL"/>
        </w:rPr>
        <w:t xml:space="preserve"> kishte dijeni për rrezikun ndaj të miturve si paditësja për t</w:t>
      </w:r>
      <w:r w:rsidR="00015398">
        <w:rPr>
          <w:lang w:val="sq-AL"/>
        </w:rPr>
        <w:t>ë</w:t>
      </w:r>
      <w:r w:rsidRPr="00015398" w:rsidR="00EA36AC">
        <w:rPr>
          <w:lang w:val="sq-AL"/>
        </w:rPr>
        <w:t xml:space="preserve"> qen</w:t>
      </w:r>
      <w:r w:rsidR="00015398">
        <w:rPr>
          <w:lang w:val="sq-AL"/>
        </w:rPr>
        <w:t>ë</w:t>
      </w:r>
      <w:r w:rsidRPr="00015398" w:rsidR="00EA36AC">
        <w:rPr>
          <w:lang w:val="sq-AL"/>
        </w:rPr>
        <w:t xml:space="preserve"> viktima abuzimesh seksuale në një shkoll</w:t>
      </w:r>
      <w:r w:rsidR="00015398">
        <w:rPr>
          <w:lang w:val="sq-AL"/>
        </w:rPr>
        <w:t>ë</w:t>
      </w:r>
      <w:r w:rsidRPr="00015398" w:rsidR="00EA36AC">
        <w:rPr>
          <w:lang w:val="sq-AL"/>
        </w:rPr>
        <w:t xml:space="preserve"> komb</w:t>
      </w:r>
      <w:r w:rsidR="00015398">
        <w:rPr>
          <w:lang w:val="sq-AL"/>
        </w:rPr>
        <w:t>ë</w:t>
      </w:r>
      <w:r w:rsidRPr="00015398" w:rsidR="00EA36AC">
        <w:rPr>
          <w:lang w:val="sq-AL"/>
        </w:rPr>
        <w:t>tare dhe n</w:t>
      </w:r>
      <w:r w:rsidR="00015398">
        <w:rPr>
          <w:lang w:val="sq-AL"/>
        </w:rPr>
        <w:t>ë</w:t>
      </w:r>
      <w:r w:rsidRPr="00015398" w:rsidR="00EA36AC">
        <w:rPr>
          <w:lang w:val="sq-AL"/>
        </w:rPr>
        <w:t>se ai, përmes sistemit t</w:t>
      </w:r>
      <w:r w:rsidR="00015398">
        <w:rPr>
          <w:lang w:val="sq-AL"/>
        </w:rPr>
        <w:t>ë</w:t>
      </w:r>
      <w:r w:rsidRPr="00015398" w:rsidR="00EA36AC">
        <w:rPr>
          <w:lang w:val="sq-AL"/>
        </w:rPr>
        <w:t xml:space="preserve"> tij juridik, u ofronte f</w:t>
      </w:r>
      <w:r w:rsidR="00015398">
        <w:rPr>
          <w:lang w:val="sq-AL"/>
        </w:rPr>
        <w:t>ë</w:t>
      </w:r>
      <w:r w:rsidRPr="00015398" w:rsidR="00EA36AC">
        <w:rPr>
          <w:lang w:val="sq-AL"/>
        </w:rPr>
        <w:t>mij</w:t>
      </w:r>
      <w:r w:rsidR="00015398">
        <w:rPr>
          <w:lang w:val="sq-AL"/>
        </w:rPr>
        <w:t>ë</w:t>
      </w:r>
      <w:r w:rsidRPr="00015398" w:rsidR="00EA36AC">
        <w:rPr>
          <w:lang w:val="sq-AL"/>
        </w:rPr>
        <w:t>ve nj</w:t>
      </w:r>
      <w:r w:rsidR="00015398">
        <w:rPr>
          <w:lang w:val="sq-AL"/>
        </w:rPr>
        <w:t>ë</w:t>
      </w:r>
      <w:r w:rsidRPr="00015398" w:rsidR="00EA36AC">
        <w:rPr>
          <w:lang w:val="sq-AL"/>
        </w:rPr>
        <w:t xml:space="preserve"> mbrojtje të mjaftueshme nga trajtime t</w:t>
      </w:r>
      <w:r w:rsidR="00015398">
        <w:rPr>
          <w:lang w:val="sq-AL"/>
        </w:rPr>
        <w:t>ë</w:t>
      </w:r>
      <w:r w:rsidRPr="00015398" w:rsidR="00EA36AC">
        <w:rPr>
          <w:lang w:val="sq-AL"/>
        </w:rPr>
        <w:t xml:space="preserve"> tilla.</w:t>
      </w:r>
    </w:p>
    <w:p w:rsidRPr="00015398" w:rsidR="00EB737A" w:rsidP="00EB737A" w:rsidRDefault="00EA36AC">
      <w:pPr>
        <w:pStyle w:val="ECHRPara"/>
        <w:rPr>
          <w:lang w:val="sq-AL"/>
        </w:rPr>
      </w:pPr>
      <w:r w:rsidRPr="00015398">
        <w:rPr>
          <w:lang w:val="sq-AL"/>
        </w:rPr>
        <w:t>Gjykata ka dal</w:t>
      </w:r>
      <w:r w:rsidR="00015398">
        <w:rPr>
          <w:lang w:val="sq-AL"/>
        </w:rPr>
        <w:t>ë</w:t>
      </w:r>
      <w:r w:rsidRPr="00015398">
        <w:rPr>
          <w:lang w:val="sq-AL"/>
        </w:rPr>
        <w:t xml:space="preserve"> në përfundimin se mbrojtja e f</w:t>
      </w:r>
      <w:r w:rsidR="00015398">
        <w:rPr>
          <w:lang w:val="sq-AL"/>
        </w:rPr>
        <w:t>ë</w:t>
      </w:r>
      <w:r w:rsidRPr="00015398">
        <w:rPr>
          <w:lang w:val="sq-AL"/>
        </w:rPr>
        <w:t>mij</w:t>
      </w:r>
      <w:r w:rsidR="00015398">
        <w:rPr>
          <w:lang w:val="sq-AL"/>
        </w:rPr>
        <w:t>ë</w:t>
      </w:r>
      <w:r w:rsidRPr="00015398">
        <w:rPr>
          <w:lang w:val="sq-AL"/>
        </w:rPr>
        <w:t>ve nga keqtrajtimet përb</w:t>
      </w:r>
      <w:r w:rsidR="00015398">
        <w:rPr>
          <w:lang w:val="sq-AL"/>
        </w:rPr>
        <w:t>ë</w:t>
      </w:r>
      <w:r w:rsidRPr="00015398">
        <w:rPr>
          <w:lang w:val="sq-AL"/>
        </w:rPr>
        <w:t>nte q</w:t>
      </w:r>
      <w:r w:rsidR="00015398">
        <w:rPr>
          <w:lang w:val="sq-AL"/>
        </w:rPr>
        <w:t>ë</w:t>
      </w:r>
      <w:r w:rsidRPr="00015398">
        <w:rPr>
          <w:lang w:val="sq-AL"/>
        </w:rPr>
        <w:t xml:space="preserve"> n</w:t>
      </w:r>
      <w:r w:rsidR="00015398">
        <w:rPr>
          <w:lang w:val="sq-AL"/>
        </w:rPr>
        <w:t>ë</w:t>
      </w:r>
      <w:r w:rsidRPr="00015398">
        <w:rPr>
          <w:lang w:val="sq-AL"/>
        </w:rPr>
        <w:t xml:space="preserve"> vitet 1970 për autoritetet publike nj</w:t>
      </w:r>
      <w:r w:rsidR="00015398">
        <w:rPr>
          <w:lang w:val="sq-AL"/>
        </w:rPr>
        <w:t>ë</w:t>
      </w:r>
      <w:r w:rsidRPr="00015398">
        <w:rPr>
          <w:lang w:val="sq-AL"/>
        </w:rPr>
        <w:t xml:space="preserve"> detyrim pozitiv t</w:t>
      </w:r>
      <w:r w:rsidR="00015398">
        <w:rPr>
          <w:lang w:val="sq-AL"/>
        </w:rPr>
        <w:t>ë</w:t>
      </w:r>
      <w:r w:rsidRPr="00015398">
        <w:rPr>
          <w:lang w:val="sq-AL"/>
        </w:rPr>
        <w:t xml:space="preserve"> pandashëm nga misioni i tyre. Ky detyrim merrte për m</w:t>
      </w:r>
      <w:r w:rsidR="00015398">
        <w:rPr>
          <w:lang w:val="sq-AL"/>
        </w:rPr>
        <w:t>ë</w:t>
      </w:r>
      <w:r w:rsidRPr="00015398">
        <w:rPr>
          <w:lang w:val="sq-AL"/>
        </w:rPr>
        <w:t xml:space="preserve"> tepër një rëndësi themelore në kontekstin e arsimit fillor. Mirëpo ky detyrim nuk është plotësuar përderisa shteti irlandez, për të cilin duhet menduar se ishte i informuar për ekzistenc</w:t>
      </w:r>
      <w:r w:rsidR="00015398">
        <w:rPr>
          <w:lang w:val="sq-AL"/>
        </w:rPr>
        <w:t>ë</w:t>
      </w:r>
      <w:r w:rsidRPr="00015398">
        <w:rPr>
          <w:lang w:val="sq-AL"/>
        </w:rPr>
        <w:t>n e abuzimeve seksuale të kryera nga persona të rritur ndaj f</w:t>
      </w:r>
      <w:r w:rsidR="00015398">
        <w:rPr>
          <w:lang w:val="sq-AL"/>
        </w:rPr>
        <w:t>ë</w:t>
      </w:r>
      <w:r w:rsidRPr="00015398">
        <w:rPr>
          <w:lang w:val="sq-AL"/>
        </w:rPr>
        <w:t>mij</w:t>
      </w:r>
      <w:r w:rsidR="00015398">
        <w:rPr>
          <w:lang w:val="sq-AL"/>
        </w:rPr>
        <w:t>ë</w:t>
      </w:r>
      <w:r w:rsidRPr="00015398">
        <w:rPr>
          <w:lang w:val="sq-AL"/>
        </w:rPr>
        <w:t>ve duke pasur sidomos parasysh numrin e madh t</w:t>
      </w:r>
      <w:r w:rsidR="00015398">
        <w:rPr>
          <w:lang w:val="sq-AL"/>
        </w:rPr>
        <w:t>ë</w:t>
      </w:r>
      <w:r w:rsidRPr="00015398">
        <w:rPr>
          <w:lang w:val="sq-AL"/>
        </w:rPr>
        <w:t xml:space="preserve"> ndjekjeve penale të nisura për ngjarje të tilla, ka vazhduar megjithatë t</w:t>
      </w:r>
      <w:r w:rsidR="00943091">
        <w:rPr>
          <w:lang w:val="sq-AL"/>
        </w:rPr>
        <w:t>’</w:t>
      </w:r>
      <w:r w:rsidRPr="00015398">
        <w:rPr>
          <w:lang w:val="sq-AL"/>
        </w:rPr>
        <w:t>ia besoj</w:t>
      </w:r>
      <w:r w:rsidR="00015398">
        <w:rPr>
          <w:lang w:val="sq-AL"/>
        </w:rPr>
        <w:t>ë</w:t>
      </w:r>
      <w:r w:rsidRPr="00015398">
        <w:rPr>
          <w:lang w:val="sq-AL"/>
        </w:rPr>
        <w:t xml:space="preserve"> administrimin e arsimit fillor që u jepej nj</w:t>
      </w:r>
      <w:r w:rsidR="00015398">
        <w:rPr>
          <w:lang w:val="sq-AL"/>
        </w:rPr>
        <w:t>ë</w:t>
      </w:r>
      <w:r w:rsidRPr="00015398">
        <w:rPr>
          <w:lang w:val="sq-AL"/>
        </w:rPr>
        <w:t xml:space="preserve"> shumice të gjerë f</w:t>
      </w:r>
      <w:r w:rsidR="00015398">
        <w:rPr>
          <w:lang w:val="sq-AL"/>
        </w:rPr>
        <w:t>ë</w:t>
      </w:r>
      <w:r w:rsidRPr="00015398">
        <w:rPr>
          <w:lang w:val="sq-AL"/>
        </w:rPr>
        <w:t>mij</w:t>
      </w:r>
      <w:r w:rsidR="00015398">
        <w:rPr>
          <w:lang w:val="sq-AL"/>
        </w:rPr>
        <w:t>ë</w:t>
      </w:r>
      <w:r w:rsidRPr="00015398">
        <w:rPr>
          <w:lang w:val="sq-AL"/>
        </w:rPr>
        <w:t>sh irlandezë n</w:t>
      </w:r>
      <w:r w:rsidR="00015398">
        <w:rPr>
          <w:lang w:val="sq-AL"/>
        </w:rPr>
        <w:t>ë</w:t>
      </w:r>
      <w:r w:rsidRPr="00015398">
        <w:rPr>
          <w:lang w:val="sq-AL"/>
        </w:rPr>
        <w:t xml:space="preserve"> mosh</w:t>
      </w:r>
      <w:r w:rsidR="00015398">
        <w:rPr>
          <w:lang w:val="sq-AL"/>
        </w:rPr>
        <w:t>ë</w:t>
      </w:r>
      <w:r w:rsidRPr="00015398">
        <w:rPr>
          <w:lang w:val="sq-AL"/>
        </w:rPr>
        <w:t xml:space="preserve"> të re disa ins</w:t>
      </w:r>
      <w:r w:rsidR="00015398">
        <w:rPr>
          <w:lang w:val="sq-AL"/>
        </w:rPr>
        <w:t>t</w:t>
      </w:r>
      <w:r w:rsidRPr="00015398">
        <w:rPr>
          <w:lang w:val="sq-AL"/>
        </w:rPr>
        <w:t xml:space="preserve">itucioneve jo publike </w:t>
      </w:r>
      <w:r w:rsidRPr="00015398" w:rsidR="00EB737A">
        <w:rPr>
          <w:lang w:val="sq-AL"/>
        </w:rPr>
        <w:t>(</w:t>
      </w:r>
      <w:r w:rsidRPr="00015398">
        <w:rPr>
          <w:lang w:val="sq-AL"/>
        </w:rPr>
        <w:t>shkollave komb</w:t>
      </w:r>
      <w:r w:rsidR="00015398">
        <w:rPr>
          <w:lang w:val="sq-AL"/>
        </w:rPr>
        <w:t>ë</w:t>
      </w:r>
      <w:r w:rsidRPr="00015398">
        <w:rPr>
          <w:lang w:val="sq-AL"/>
        </w:rPr>
        <w:t>tare) pa ngritur nj</w:t>
      </w:r>
      <w:r w:rsidR="00015398">
        <w:rPr>
          <w:lang w:val="sq-AL"/>
        </w:rPr>
        <w:t>ë</w:t>
      </w:r>
      <w:r w:rsidRPr="00015398">
        <w:rPr>
          <w:lang w:val="sq-AL"/>
        </w:rPr>
        <w:t xml:space="preserve"> mekanizëm kontrolli publik t</w:t>
      </w:r>
      <w:r w:rsidR="00015398">
        <w:rPr>
          <w:lang w:val="sq-AL"/>
        </w:rPr>
        <w:t>ë</w:t>
      </w:r>
      <w:r w:rsidRPr="00015398">
        <w:rPr>
          <w:lang w:val="sq-AL"/>
        </w:rPr>
        <w:t xml:space="preserve"> </w:t>
      </w:r>
      <w:r w:rsidRPr="00015398" w:rsidR="00015398">
        <w:rPr>
          <w:lang w:val="sq-AL"/>
        </w:rPr>
        <w:t>përshtatshëm për</w:t>
      </w:r>
      <w:r w:rsidRPr="00015398">
        <w:rPr>
          <w:lang w:val="sq-AL"/>
        </w:rPr>
        <w:t xml:space="preserve"> ta shmang</w:t>
      </w:r>
      <w:r w:rsidRPr="00015398" w:rsidR="00015398">
        <w:rPr>
          <w:lang w:val="sq-AL"/>
        </w:rPr>
        <w:t>ur</w:t>
      </w:r>
      <w:r w:rsidRPr="00015398">
        <w:rPr>
          <w:lang w:val="sq-AL"/>
        </w:rPr>
        <w:t xml:space="preserve"> rrezikun e kryerjes s</w:t>
      </w:r>
      <w:r w:rsidR="00015398">
        <w:rPr>
          <w:lang w:val="sq-AL"/>
        </w:rPr>
        <w:t>ë</w:t>
      </w:r>
      <w:r w:rsidRPr="00015398">
        <w:rPr>
          <w:lang w:val="sq-AL"/>
        </w:rPr>
        <w:t xml:space="preserve"> abuzimeve të tilla.</w:t>
      </w:r>
      <w:r w:rsidRPr="00015398" w:rsidR="00015398">
        <w:rPr>
          <w:lang w:val="sq-AL"/>
        </w:rPr>
        <w:t xml:space="preserve"> Përkundrazi, ankuesit potencialë largoheshin nga autoritetet e shtetit dhe drejtoheshin te drejtorët, t</w:t>
      </w:r>
      <w:r w:rsidR="00015398">
        <w:rPr>
          <w:lang w:val="sq-AL"/>
        </w:rPr>
        <w:t>ë</w:t>
      </w:r>
      <w:r w:rsidRPr="00015398" w:rsidR="00015398">
        <w:rPr>
          <w:lang w:val="sq-AL"/>
        </w:rPr>
        <w:t xml:space="preserve"> cil</w:t>
      </w:r>
      <w:r w:rsidR="00015398">
        <w:rPr>
          <w:lang w:val="sq-AL"/>
        </w:rPr>
        <w:t>ë</w:t>
      </w:r>
      <w:r w:rsidRPr="00015398" w:rsidR="00015398">
        <w:rPr>
          <w:lang w:val="sq-AL"/>
        </w:rPr>
        <w:t xml:space="preserve">t vareshin nga autoritete fetare jo publike </w:t>
      </w:r>
      <w:r w:rsidRPr="00015398" w:rsidR="00EB737A">
        <w:rPr>
          <w:lang w:val="sq-AL"/>
        </w:rPr>
        <w:t>(paragra</w:t>
      </w:r>
      <w:r w:rsidRPr="00015398" w:rsidR="00015398">
        <w:rPr>
          <w:lang w:val="sq-AL"/>
        </w:rPr>
        <w:t>fi</w:t>
      </w:r>
      <w:r w:rsidRPr="00015398" w:rsidR="00EB737A">
        <w:rPr>
          <w:lang w:val="sq-AL"/>
        </w:rPr>
        <w:t xml:space="preserve"> 163 </w:t>
      </w:r>
      <w:r w:rsidRPr="00015398" w:rsidR="00604857">
        <w:rPr>
          <w:lang w:val="sq-AL"/>
        </w:rPr>
        <w:t>i mësipërm</w:t>
      </w:r>
      <w:r w:rsidRPr="00015398" w:rsidR="00EB737A">
        <w:rPr>
          <w:lang w:val="sq-AL"/>
        </w:rPr>
        <w:t xml:space="preserve">). </w:t>
      </w:r>
      <w:r w:rsidRPr="00015398" w:rsidR="00015398">
        <w:rPr>
          <w:lang w:val="sq-AL"/>
        </w:rPr>
        <w:t>Ky sistem ka sjell</w:t>
      </w:r>
      <w:r w:rsidR="00015398">
        <w:rPr>
          <w:lang w:val="sq-AL"/>
        </w:rPr>
        <w:t>ë</w:t>
      </w:r>
      <w:r w:rsidRPr="00015398" w:rsidR="00015398">
        <w:rPr>
          <w:lang w:val="sq-AL"/>
        </w:rPr>
        <w:t xml:space="preserve"> si pasojë n</w:t>
      </w:r>
      <w:r w:rsidR="00015398">
        <w:rPr>
          <w:lang w:val="sq-AL"/>
        </w:rPr>
        <w:t>ë</w:t>
      </w:r>
      <w:r w:rsidRPr="00015398" w:rsidR="00015398">
        <w:rPr>
          <w:lang w:val="sq-AL"/>
        </w:rPr>
        <w:t xml:space="preserve"> çështjen n</w:t>
      </w:r>
      <w:r w:rsidR="00015398">
        <w:rPr>
          <w:lang w:val="sq-AL"/>
        </w:rPr>
        <w:t>ë</w:t>
      </w:r>
      <w:r w:rsidRPr="00015398" w:rsidR="00015398">
        <w:rPr>
          <w:lang w:val="sq-AL"/>
        </w:rPr>
        <w:t xml:space="preserve"> fjalë q</w:t>
      </w:r>
      <w:r w:rsidR="00015398">
        <w:rPr>
          <w:lang w:val="sq-AL"/>
        </w:rPr>
        <w:t>ë</w:t>
      </w:r>
      <w:r w:rsidRPr="00015398" w:rsidR="00015398">
        <w:rPr>
          <w:lang w:val="sq-AL"/>
        </w:rPr>
        <w:t xml:space="preserve"> drejtori, nj</w:t>
      </w:r>
      <w:r w:rsidR="00015398">
        <w:rPr>
          <w:lang w:val="sq-AL"/>
        </w:rPr>
        <w:t>ë</w:t>
      </w:r>
      <w:r w:rsidRPr="00015398" w:rsidR="00015398">
        <w:rPr>
          <w:lang w:val="sq-AL"/>
        </w:rPr>
        <w:t xml:space="preserve"> autoritet jo publik, nuk i ndoqi fare ankesat e para për abuzime seksuale t</w:t>
      </w:r>
      <w:r w:rsidR="00015398">
        <w:rPr>
          <w:lang w:val="sq-AL"/>
        </w:rPr>
        <w:t>ë</w:t>
      </w:r>
      <w:r w:rsidRPr="00015398" w:rsidR="00015398">
        <w:rPr>
          <w:lang w:val="sq-AL"/>
        </w:rPr>
        <w:t xml:space="preserve"> drejtuara kundër L.H., q</w:t>
      </w:r>
      <w:r w:rsidR="00015398">
        <w:rPr>
          <w:lang w:val="sq-AL"/>
        </w:rPr>
        <w:t>ë</w:t>
      </w:r>
      <w:r w:rsidRPr="00015398" w:rsidR="00015398">
        <w:rPr>
          <w:lang w:val="sq-AL"/>
        </w:rPr>
        <w:t xml:space="preserve"> ky i fundit mundi edhe m</w:t>
      </w:r>
      <w:r w:rsidR="00015398">
        <w:rPr>
          <w:lang w:val="sq-AL"/>
        </w:rPr>
        <w:t>ë</w:t>
      </w:r>
      <w:r w:rsidRPr="00015398" w:rsidR="00015398">
        <w:rPr>
          <w:lang w:val="sq-AL"/>
        </w:rPr>
        <w:t xml:space="preserve"> pas të abuzonte me paditësen dhe, n</w:t>
      </w:r>
      <w:r w:rsidR="00015398">
        <w:rPr>
          <w:lang w:val="sq-AL"/>
        </w:rPr>
        <w:t>ë</w:t>
      </w:r>
      <w:r w:rsidRPr="00015398" w:rsidR="00015398">
        <w:rPr>
          <w:lang w:val="sq-AL"/>
        </w:rPr>
        <w:t xml:space="preserve"> m</w:t>
      </w:r>
      <w:r w:rsidR="00015398">
        <w:rPr>
          <w:lang w:val="sq-AL"/>
        </w:rPr>
        <w:t>ë</w:t>
      </w:r>
      <w:r w:rsidRPr="00015398" w:rsidR="00015398">
        <w:rPr>
          <w:lang w:val="sq-AL"/>
        </w:rPr>
        <w:t>nyr</w:t>
      </w:r>
      <w:r w:rsidR="00015398">
        <w:rPr>
          <w:lang w:val="sq-AL"/>
        </w:rPr>
        <w:t>ë</w:t>
      </w:r>
      <w:r w:rsidRPr="00015398" w:rsidR="00015398">
        <w:rPr>
          <w:lang w:val="sq-AL"/>
        </w:rPr>
        <w:t xml:space="preserve"> m</w:t>
      </w:r>
      <w:r w:rsidR="00015398">
        <w:rPr>
          <w:lang w:val="sq-AL"/>
        </w:rPr>
        <w:t>ë</w:t>
      </w:r>
      <w:r w:rsidRPr="00015398" w:rsidR="00015398">
        <w:rPr>
          <w:lang w:val="sq-AL"/>
        </w:rPr>
        <w:t xml:space="preserve"> të gjerë, q</w:t>
      </w:r>
      <w:r w:rsidR="00015398">
        <w:rPr>
          <w:lang w:val="sq-AL"/>
        </w:rPr>
        <w:t>ë</w:t>
      </w:r>
      <w:r w:rsidRPr="00015398" w:rsidR="00015398">
        <w:rPr>
          <w:lang w:val="sq-AL"/>
        </w:rPr>
        <w:t xml:space="preserve"> ai mundi të kryejë për një periudh</w:t>
      </w:r>
      <w:r w:rsidR="00015398">
        <w:rPr>
          <w:lang w:val="sq-AL"/>
        </w:rPr>
        <w:t>ë</w:t>
      </w:r>
      <w:r w:rsidRPr="00015398" w:rsidR="00015398">
        <w:rPr>
          <w:lang w:val="sq-AL"/>
        </w:rPr>
        <w:t xml:space="preserve"> të gjatë sulme të rënda seksuale ndaj shum</w:t>
      </w:r>
      <w:r w:rsidR="00015398">
        <w:rPr>
          <w:lang w:val="sq-AL"/>
        </w:rPr>
        <w:t>ë</w:t>
      </w:r>
      <w:r w:rsidRPr="00015398" w:rsidR="00015398">
        <w:rPr>
          <w:lang w:val="sq-AL"/>
        </w:rPr>
        <w:t xml:space="preserve"> nx</w:t>
      </w:r>
      <w:r w:rsidR="00015398">
        <w:rPr>
          <w:lang w:val="sq-AL"/>
        </w:rPr>
        <w:t>ë</w:t>
      </w:r>
      <w:r w:rsidRPr="00015398" w:rsidR="00015398">
        <w:rPr>
          <w:lang w:val="sq-AL"/>
        </w:rPr>
        <w:t>nësish t</w:t>
      </w:r>
      <w:r w:rsidR="00015398">
        <w:rPr>
          <w:lang w:val="sq-AL"/>
        </w:rPr>
        <w:t>ë</w:t>
      </w:r>
      <w:r w:rsidRPr="00015398" w:rsidR="00015398">
        <w:rPr>
          <w:lang w:val="sq-AL"/>
        </w:rPr>
        <w:t xml:space="preserve"> tjerë n</w:t>
      </w:r>
      <w:r w:rsidR="00015398">
        <w:rPr>
          <w:lang w:val="sq-AL"/>
        </w:rPr>
        <w:t>ë</w:t>
      </w:r>
      <w:r w:rsidRPr="00015398" w:rsidR="00015398">
        <w:rPr>
          <w:lang w:val="sq-AL"/>
        </w:rPr>
        <w:t xml:space="preserve"> të nj</w:t>
      </w:r>
      <w:r w:rsidR="00015398">
        <w:rPr>
          <w:lang w:val="sq-AL"/>
        </w:rPr>
        <w:t>ë</w:t>
      </w:r>
      <w:r w:rsidRPr="00015398" w:rsidR="00015398">
        <w:rPr>
          <w:lang w:val="sq-AL"/>
        </w:rPr>
        <w:t>jtën shkoll</w:t>
      </w:r>
      <w:r w:rsidR="00015398">
        <w:rPr>
          <w:lang w:val="sq-AL"/>
        </w:rPr>
        <w:t>ë</w:t>
      </w:r>
      <w:r w:rsidRPr="00015398" w:rsidR="00015398">
        <w:rPr>
          <w:lang w:val="sq-AL"/>
        </w:rPr>
        <w:t xml:space="preserve"> komb</w:t>
      </w:r>
      <w:r w:rsidR="00015398">
        <w:rPr>
          <w:lang w:val="sq-AL"/>
        </w:rPr>
        <w:t>ë</w:t>
      </w:r>
      <w:r w:rsidRPr="00015398" w:rsidR="00015398">
        <w:rPr>
          <w:lang w:val="sq-AL"/>
        </w:rPr>
        <w:t>tare.</w:t>
      </w:r>
    </w:p>
    <w:p w:rsidRPr="002C798A" w:rsidR="00EB737A" w:rsidP="00EB737A" w:rsidRDefault="00EB737A">
      <w:pPr>
        <w:pStyle w:val="ECHRPara"/>
        <w:rPr>
          <w:lang w:val="sq-AL"/>
        </w:rPr>
      </w:pPr>
      <w:r w:rsidRPr="00015398">
        <w:rPr>
          <w:lang w:val="sq-AL"/>
        </w:rPr>
        <w:fldChar w:fldCharType="begin"/>
      </w:r>
      <w:r w:rsidRPr="00015398">
        <w:rPr>
          <w:lang w:val="sq-AL"/>
        </w:rPr>
        <w:instrText xml:space="preserve"> SEQ level0 \*arabic </w:instrText>
      </w:r>
      <w:r w:rsidRPr="00015398">
        <w:rPr>
          <w:lang w:val="sq-AL"/>
        </w:rPr>
        <w:fldChar w:fldCharType="separate"/>
      </w:r>
      <w:r w:rsidR="00013F9B">
        <w:rPr>
          <w:noProof/>
          <w:lang w:val="sq-AL"/>
        </w:rPr>
        <w:t>169</w:t>
      </w:r>
      <w:r w:rsidRPr="00015398">
        <w:rPr>
          <w:lang w:val="sq-AL"/>
        </w:rPr>
        <w:fldChar w:fldCharType="end"/>
      </w:r>
      <w:r w:rsidRPr="00015398">
        <w:rPr>
          <w:lang w:val="sq-AL"/>
        </w:rPr>
        <w:t>.  </w:t>
      </w:r>
      <w:r w:rsidRPr="00015398" w:rsidR="00015398">
        <w:rPr>
          <w:lang w:val="sq-AL"/>
        </w:rPr>
        <w:t>Në k</w:t>
      </w:r>
      <w:r w:rsidR="00015398">
        <w:rPr>
          <w:lang w:val="sq-AL"/>
        </w:rPr>
        <w:t>ë</w:t>
      </w:r>
      <w:r w:rsidRPr="00015398" w:rsidR="00015398">
        <w:rPr>
          <w:lang w:val="sq-AL"/>
        </w:rPr>
        <w:t xml:space="preserve">to kushte, </w:t>
      </w:r>
      <w:r w:rsidR="00015398">
        <w:rPr>
          <w:lang w:val="sq-AL"/>
        </w:rPr>
        <w:t>është e udh</w:t>
      </w:r>
      <w:r w:rsidR="001C5ECE">
        <w:rPr>
          <w:lang w:val="sq-AL"/>
        </w:rPr>
        <w:t>ë</w:t>
      </w:r>
      <w:r w:rsidR="00015398">
        <w:rPr>
          <w:lang w:val="sq-AL"/>
        </w:rPr>
        <w:t>s të mendohet se shteti nuk e ka përmbushur detyrimin e tij pozitiv p</w:t>
      </w:r>
      <w:r w:rsidR="001C5ECE">
        <w:rPr>
          <w:lang w:val="sq-AL"/>
        </w:rPr>
        <w:t>ë</w:t>
      </w:r>
      <w:r w:rsidR="00015398">
        <w:rPr>
          <w:lang w:val="sq-AL"/>
        </w:rPr>
        <w:t>r ta mbrojtur paditësen e çështjes n</w:t>
      </w:r>
      <w:r w:rsidR="001C5ECE">
        <w:rPr>
          <w:lang w:val="sq-AL"/>
        </w:rPr>
        <w:t>ë</w:t>
      </w:r>
      <w:r w:rsidR="00015398">
        <w:rPr>
          <w:lang w:val="sq-AL"/>
        </w:rPr>
        <w:t xml:space="preserve"> fjalë nga abuzimet seksuale t</w:t>
      </w:r>
      <w:r w:rsidR="001C5ECE">
        <w:rPr>
          <w:lang w:val="sq-AL"/>
        </w:rPr>
        <w:t>ë</w:t>
      </w:r>
      <w:r w:rsidR="00015398">
        <w:rPr>
          <w:lang w:val="sq-AL"/>
        </w:rPr>
        <w:t xml:space="preserve"> p</w:t>
      </w:r>
      <w:r w:rsidR="001C5ECE">
        <w:rPr>
          <w:lang w:val="sq-AL"/>
        </w:rPr>
        <w:t>ë</w:t>
      </w:r>
      <w:r w:rsidR="00015398">
        <w:rPr>
          <w:lang w:val="sq-AL"/>
        </w:rPr>
        <w:t>suara prej saj më 1973, n</w:t>
      </w:r>
      <w:r w:rsidR="001C5ECE">
        <w:rPr>
          <w:lang w:val="sq-AL"/>
        </w:rPr>
        <w:t>ë</w:t>
      </w:r>
      <w:r w:rsidR="00015398">
        <w:rPr>
          <w:lang w:val="sq-AL"/>
        </w:rPr>
        <w:t xml:space="preserve"> koh</w:t>
      </w:r>
      <w:r w:rsidR="001C5ECE">
        <w:rPr>
          <w:lang w:val="sq-AL"/>
        </w:rPr>
        <w:t>ë</w:t>
      </w:r>
      <w:r w:rsidR="00015398">
        <w:rPr>
          <w:lang w:val="sq-AL"/>
        </w:rPr>
        <w:t>n kur ajo frekuentonte shkoll</w:t>
      </w:r>
      <w:r w:rsidR="001C5ECE">
        <w:rPr>
          <w:lang w:val="sq-AL"/>
        </w:rPr>
        <w:t>ë</w:t>
      </w:r>
      <w:r w:rsidR="00015398">
        <w:rPr>
          <w:lang w:val="sq-AL"/>
        </w:rPr>
        <w:t>n komb</w:t>
      </w:r>
      <w:r w:rsidR="001C5ECE">
        <w:rPr>
          <w:lang w:val="sq-AL"/>
        </w:rPr>
        <w:t>ë</w:t>
      </w:r>
      <w:r w:rsidR="00015398">
        <w:rPr>
          <w:lang w:val="sq-AL"/>
        </w:rPr>
        <w:t>tare t</w:t>
      </w:r>
      <w:r w:rsidR="001C5ECE">
        <w:rPr>
          <w:lang w:val="sq-AL"/>
        </w:rPr>
        <w:t>ë</w:t>
      </w:r>
      <w:r w:rsidR="00015398">
        <w:rPr>
          <w:lang w:val="sq-AL"/>
        </w:rPr>
        <w:t xml:space="preserve"> </w:t>
      </w:r>
      <w:r w:rsidRPr="00015398">
        <w:rPr>
          <w:lang w:val="sq-AL"/>
        </w:rPr>
        <w:t>Dunderrow</w:t>
      </w:r>
      <w:r w:rsidR="00015398">
        <w:rPr>
          <w:lang w:val="sq-AL"/>
        </w:rPr>
        <w:t>-it</w:t>
      </w:r>
      <w:r w:rsidRPr="00015398">
        <w:rPr>
          <w:lang w:val="sq-AL"/>
        </w:rPr>
        <w:t xml:space="preserve">. </w:t>
      </w:r>
      <w:r w:rsidR="00015398">
        <w:rPr>
          <w:lang w:val="sq-AL"/>
        </w:rPr>
        <w:t>Pra, ka pasur shkelje t</w:t>
      </w:r>
      <w:r w:rsidR="001C5ECE">
        <w:rPr>
          <w:lang w:val="sq-AL"/>
        </w:rPr>
        <w:t>ë</w:t>
      </w:r>
      <w:r w:rsidR="00015398">
        <w:rPr>
          <w:lang w:val="sq-AL"/>
        </w:rPr>
        <w:t xml:space="preserve"> t</w:t>
      </w:r>
      <w:r w:rsidR="001C5ECE">
        <w:rPr>
          <w:lang w:val="sq-AL"/>
        </w:rPr>
        <w:t>ë</w:t>
      </w:r>
      <w:r w:rsidR="00015398">
        <w:rPr>
          <w:lang w:val="sq-AL"/>
        </w:rPr>
        <w:t xml:space="preserve"> drejtave të </w:t>
      </w:r>
      <w:r w:rsidR="002C798A">
        <w:rPr>
          <w:lang w:val="sq-AL"/>
        </w:rPr>
        <w:t>s</w:t>
      </w:r>
      <w:r w:rsidR="00015398">
        <w:rPr>
          <w:lang w:val="sq-AL"/>
        </w:rPr>
        <w:t>ë interesuarës t</w:t>
      </w:r>
      <w:r w:rsidR="001C5ECE">
        <w:rPr>
          <w:lang w:val="sq-AL"/>
        </w:rPr>
        <w:t>ë</w:t>
      </w:r>
      <w:r w:rsidR="00015398">
        <w:rPr>
          <w:lang w:val="sq-AL"/>
        </w:rPr>
        <w:t xml:space="preserve"> cilat rrjedhin nga neni 3 i Konventës. Për rrjedhojë, Gjykata e rrëzon prapësim</w:t>
      </w:r>
      <w:r w:rsidR="002C798A">
        <w:rPr>
          <w:lang w:val="sq-AL"/>
        </w:rPr>
        <w:t>in</w:t>
      </w:r>
      <w:r w:rsidR="00015398">
        <w:rPr>
          <w:lang w:val="sq-AL"/>
        </w:rPr>
        <w:t xml:space="preserve"> paraprak t</w:t>
      </w:r>
      <w:r w:rsidR="001C5ECE">
        <w:rPr>
          <w:lang w:val="sq-AL"/>
        </w:rPr>
        <w:t>ë</w:t>
      </w:r>
      <w:r w:rsidR="00015398">
        <w:rPr>
          <w:lang w:val="sq-AL"/>
        </w:rPr>
        <w:t xml:space="preserve"> Qeverisë</w:t>
      </w:r>
      <w:r w:rsidR="002C798A">
        <w:rPr>
          <w:lang w:val="sq-AL"/>
        </w:rPr>
        <w:t xml:space="preserve"> lidhur me pretendimin se kërkesa është haptazi e pabazuar.</w:t>
      </w:r>
    </w:p>
    <w:p w:rsidRPr="00744F51" w:rsidR="00EB737A" w:rsidP="00EB737A" w:rsidRDefault="00EB737A">
      <w:pPr>
        <w:pStyle w:val="ECHRHeading1"/>
        <w:rPr>
          <w:caps/>
          <w:lang w:val="sq-AL"/>
        </w:rPr>
      </w:pPr>
      <w:r w:rsidRPr="00744F51">
        <w:rPr>
          <w:lang w:val="sq-AL"/>
        </w:rPr>
        <w:t>III</w:t>
      </w:r>
      <w:r w:rsidRPr="00744F51">
        <w:rPr>
          <w:caps/>
          <w:lang w:val="sq-AL"/>
        </w:rPr>
        <w:t>.  </w:t>
      </w:r>
      <w:r w:rsidRPr="00744F51" w:rsidR="002C798A">
        <w:rPr>
          <w:caps/>
          <w:lang w:val="sq-AL"/>
        </w:rPr>
        <w:t>RRETH SHKELJES SË PRETENDUAR TË NENIT 3 TË KONVENTËS NË ANËN E TIJ PROCEDURALE</w:t>
      </w:r>
    </w:p>
    <w:p w:rsidRPr="00744F51" w:rsidR="00EB737A" w:rsidP="00EB737A" w:rsidRDefault="00EB737A">
      <w:pPr>
        <w:pStyle w:val="ECHRPara"/>
        <w:rPr>
          <w:lang w:val="sq-AL"/>
        </w:rPr>
      </w:pPr>
      <w:r w:rsidRPr="00744F51">
        <w:rPr>
          <w:lang w:val="sq-AL"/>
        </w:rPr>
        <w:fldChar w:fldCharType="begin"/>
      </w:r>
      <w:r w:rsidRPr="00744F51">
        <w:rPr>
          <w:lang w:val="sq-AL"/>
        </w:rPr>
        <w:instrText xml:space="preserve"> SEQ level0 \*arabic </w:instrText>
      </w:r>
      <w:r w:rsidRPr="00744F51">
        <w:rPr>
          <w:lang w:val="sq-AL"/>
        </w:rPr>
        <w:fldChar w:fldCharType="separate"/>
      </w:r>
      <w:r w:rsidR="00013F9B">
        <w:rPr>
          <w:noProof/>
          <w:lang w:val="sq-AL"/>
        </w:rPr>
        <w:t>170</w:t>
      </w:r>
      <w:r w:rsidRPr="00744F51">
        <w:rPr>
          <w:lang w:val="sq-AL"/>
        </w:rPr>
        <w:fldChar w:fldCharType="end"/>
      </w:r>
      <w:r w:rsidRPr="00744F51">
        <w:rPr>
          <w:lang w:val="sq-AL"/>
        </w:rPr>
        <w:t>.  </w:t>
      </w:r>
      <w:r w:rsidRPr="00744F51" w:rsidR="002C798A">
        <w:rPr>
          <w:lang w:val="sq-AL"/>
        </w:rPr>
        <w:t>Padit</w:t>
      </w:r>
      <w:r w:rsidRPr="00744F51" w:rsidR="0071670F">
        <w:rPr>
          <w:lang w:val="sq-AL"/>
        </w:rPr>
        <w:t>ë</w:t>
      </w:r>
      <w:r w:rsidRPr="00744F51" w:rsidR="002C798A">
        <w:rPr>
          <w:lang w:val="sq-AL"/>
        </w:rPr>
        <w:t>sja mbron mendimin se shteti</w:t>
      </w:r>
      <w:r w:rsidRPr="00744F51" w:rsidR="00183A90">
        <w:rPr>
          <w:lang w:val="sq-AL"/>
        </w:rPr>
        <w:t>, për m</w:t>
      </w:r>
      <w:r w:rsidRPr="00744F51" w:rsidR="0071670F">
        <w:rPr>
          <w:lang w:val="sq-AL"/>
        </w:rPr>
        <w:t>ë</w:t>
      </w:r>
      <w:r w:rsidRPr="00744F51" w:rsidR="00183A90">
        <w:rPr>
          <w:lang w:val="sq-AL"/>
        </w:rPr>
        <w:t xml:space="preserve"> tepër, nuk ka kryer nj</w:t>
      </w:r>
      <w:r w:rsidRPr="00744F51" w:rsidR="0071670F">
        <w:rPr>
          <w:lang w:val="sq-AL"/>
        </w:rPr>
        <w:t>ë</w:t>
      </w:r>
      <w:r w:rsidRPr="00744F51" w:rsidR="00183A90">
        <w:rPr>
          <w:lang w:val="sq-AL"/>
        </w:rPr>
        <w:t xml:space="preserve"> hetim t</w:t>
      </w:r>
      <w:r w:rsidRPr="00744F51" w:rsidR="0071670F">
        <w:rPr>
          <w:lang w:val="sq-AL"/>
        </w:rPr>
        <w:t>ë</w:t>
      </w:r>
      <w:r w:rsidRPr="00744F51" w:rsidR="00183A90">
        <w:rPr>
          <w:lang w:val="sq-AL"/>
        </w:rPr>
        <w:t xml:space="preserve"> përshtatshëm rreth nj</w:t>
      </w:r>
      <w:r w:rsidRPr="00744F51" w:rsidR="0071670F">
        <w:rPr>
          <w:lang w:val="sq-AL"/>
        </w:rPr>
        <w:t>ë</w:t>
      </w:r>
      <w:r w:rsidRPr="00744F51" w:rsidR="00183A90">
        <w:rPr>
          <w:lang w:val="sq-AL"/>
        </w:rPr>
        <w:t xml:space="preserve"> pohimi t</w:t>
      </w:r>
      <w:r w:rsidRPr="00744F51" w:rsidR="0071670F">
        <w:rPr>
          <w:lang w:val="sq-AL"/>
        </w:rPr>
        <w:t>ë</w:t>
      </w:r>
      <w:r w:rsidRPr="00744F51" w:rsidR="00183A90">
        <w:rPr>
          <w:lang w:val="sq-AL"/>
        </w:rPr>
        <w:t xml:space="preserve"> besueshëm për keqtrajtime ose nuk ka ofruar nj</w:t>
      </w:r>
      <w:r w:rsidRPr="00744F51" w:rsidR="0071670F">
        <w:rPr>
          <w:lang w:val="sq-AL"/>
        </w:rPr>
        <w:t>ë</w:t>
      </w:r>
      <w:r w:rsidRPr="00744F51" w:rsidR="00183A90">
        <w:rPr>
          <w:lang w:val="sq-AL"/>
        </w:rPr>
        <w:t xml:space="preserve"> rrug</w:t>
      </w:r>
      <w:r w:rsidRPr="00744F51" w:rsidR="0071670F">
        <w:rPr>
          <w:lang w:val="sq-AL"/>
        </w:rPr>
        <w:t>ë</w:t>
      </w:r>
      <w:r w:rsidRPr="00744F51" w:rsidR="00183A90">
        <w:rPr>
          <w:lang w:val="sq-AL"/>
        </w:rPr>
        <w:t xml:space="preserve"> të përshtatshme gjyq</w:t>
      </w:r>
      <w:r w:rsidRPr="00744F51" w:rsidR="0071670F">
        <w:rPr>
          <w:lang w:val="sq-AL"/>
        </w:rPr>
        <w:t>ë</w:t>
      </w:r>
      <w:r w:rsidRPr="00744F51" w:rsidR="00183A90">
        <w:rPr>
          <w:lang w:val="sq-AL"/>
        </w:rPr>
        <w:t>sore q</w:t>
      </w:r>
      <w:r w:rsidRPr="00744F51" w:rsidR="0071670F">
        <w:rPr>
          <w:lang w:val="sq-AL"/>
        </w:rPr>
        <w:t>ë</w:t>
      </w:r>
      <w:r w:rsidRPr="00744F51" w:rsidR="00183A90">
        <w:rPr>
          <w:lang w:val="sq-AL"/>
        </w:rPr>
        <w:t xml:space="preserve"> të mundësonte dh</w:t>
      </w:r>
      <w:r w:rsidRPr="00744F51" w:rsidR="0071670F">
        <w:rPr>
          <w:lang w:val="sq-AL"/>
        </w:rPr>
        <w:t>ë</w:t>
      </w:r>
      <w:r w:rsidRPr="00744F51" w:rsidR="00183A90">
        <w:rPr>
          <w:lang w:val="sq-AL"/>
        </w:rPr>
        <w:t>nien e nj</w:t>
      </w:r>
      <w:r w:rsidRPr="00744F51" w:rsidR="0071670F">
        <w:rPr>
          <w:lang w:val="sq-AL"/>
        </w:rPr>
        <w:t>ë</w:t>
      </w:r>
      <w:r w:rsidRPr="00744F51" w:rsidR="00183A90">
        <w:rPr>
          <w:lang w:val="sq-AL"/>
        </w:rPr>
        <w:t xml:space="preserve"> përgjigjeje lidhur me të. Sipas saj, mungesa e nj</w:t>
      </w:r>
      <w:r w:rsidRPr="00744F51" w:rsidR="0071670F">
        <w:rPr>
          <w:lang w:val="sq-AL"/>
        </w:rPr>
        <w:t>ë</w:t>
      </w:r>
      <w:r w:rsidRPr="00744F51" w:rsidR="00183A90">
        <w:rPr>
          <w:lang w:val="sq-AL"/>
        </w:rPr>
        <w:t xml:space="preserve"> mekanizmi efektiv zbulimi e sinjalizimi ka b</w:t>
      </w:r>
      <w:r w:rsidRPr="00744F51" w:rsidR="0071670F">
        <w:rPr>
          <w:lang w:val="sq-AL"/>
        </w:rPr>
        <w:t>ë</w:t>
      </w:r>
      <w:r w:rsidRPr="00744F51" w:rsidR="00183A90">
        <w:rPr>
          <w:lang w:val="sq-AL"/>
        </w:rPr>
        <w:t>rë q</w:t>
      </w:r>
      <w:r w:rsidRPr="00744F51" w:rsidR="0071670F">
        <w:rPr>
          <w:lang w:val="sq-AL"/>
        </w:rPr>
        <w:t>ë</w:t>
      </w:r>
      <w:r w:rsidRPr="00744F51" w:rsidR="00183A90">
        <w:rPr>
          <w:lang w:val="sq-AL"/>
        </w:rPr>
        <w:t xml:space="preserve"> ankesa e saj e vitit 1971 lidhur me L.H. të mos ndiqej fare dhe q</w:t>
      </w:r>
      <w:r w:rsidRPr="00744F51" w:rsidR="0071670F">
        <w:rPr>
          <w:lang w:val="sq-AL"/>
        </w:rPr>
        <w:t>ë</w:t>
      </w:r>
      <w:r w:rsidRPr="00744F51" w:rsidR="00183A90">
        <w:rPr>
          <w:lang w:val="sq-AL"/>
        </w:rPr>
        <w:t xml:space="preserve"> nisja e nj</w:t>
      </w:r>
      <w:r w:rsidRPr="00744F51" w:rsidR="0071670F">
        <w:rPr>
          <w:lang w:val="sq-AL"/>
        </w:rPr>
        <w:t>ë</w:t>
      </w:r>
      <w:r w:rsidRPr="00744F51" w:rsidR="00183A90">
        <w:rPr>
          <w:lang w:val="sq-AL"/>
        </w:rPr>
        <w:t xml:space="preserve"> hetimi penal dhe d</w:t>
      </w:r>
      <w:r w:rsidRPr="00744F51" w:rsidR="0071670F">
        <w:rPr>
          <w:lang w:val="sq-AL"/>
        </w:rPr>
        <w:t>ë</w:t>
      </w:r>
      <w:r w:rsidRPr="00744F51" w:rsidR="00183A90">
        <w:rPr>
          <w:lang w:val="sq-AL"/>
        </w:rPr>
        <w:t>nimi i k</w:t>
      </w:r>
      <w:r w:rsidRPr="00744F51" w:rsidR="0071670F">
        <w:rPr>
          <w:lang w:val="sq-AL"/>
        </w:rPr>
        <w:t>ë</w:t>
      </w:r>
      <w:r w:rsidRPr="00744F51" w:rsidR="00183A90">
        <w:rPr>
          <w:lang w:val="sq-AL"/>
        </w:rPr>
        <w:t>tij të fundit jan</w:t>
      </w:r>
      <w:r w:rsidRPr="00744F51" w:rsidR="0071670F">
        <w:rPr>
          <w:lang w:val="sq-AL"/>
        </w:rPr>
        <w:t>ë</w:t>
      </w:r>
      <w:r w:rsidRPr="00744F51" w:rsidR="00183A90">
        <w:rPr>
          <w:lang w:val="sq-AL"/>
        </w:rPr>
        <w:t xml:space="preserve"> vonuar k</w:t>
      </w:r>
      <w:r w:rsidRPr="00744F51" w:rsidR="0071670F">
        <w:rPr>
          <w:lang w:val="sq-AL"/>
        </w:rPr>
        <w:t>ë</w:t>
      </w:r>
      <w:r w:rsidRPr="00744F51" w:rsidR="00183A90">
        <w:rPr>
          <w:lang w:val="sq-AL"/>
        </w:rPr>
        <w:t>shtu n</w:t>
      </w:r>
      <w:r w:rsidRPr="00744F51" w:rsidR="0071670F">
        <w:rPr>
          <w:lang w:val="sq-AL"/>
        </w:rPr>
        <w:t>ë</w:t>
      </w:r>
      <w:r w:rsidRPr="00744F51" w:rsidR="00183A90">
        <w:rPr>
          <w:lang w:val="sq-AL"/>
        </w:rPr>
        <w:t xml:space="preserve"> m</w:t>
      </w:r>
      <w:r w:rsidRPr="00744F51" w:rsidR="0071670F">
        <w:rPr>
          <w:lang w:val="sq-AL"/>
        </w:rPr>
        <w:t>ë</w:t>
      </w:r>
      <w:r w:rsidRPr="00744F51" w:rsidR="00183A90">
        <w:rPr>
          <w:lang w:val="sq-AL"/>
        </w:rPr>
        <w:t>nyrë të konsiderueshme</w:t>
      </w:r>
      <w:r w:rsidRPr="00744F51">
        <w:rPr>
          <w:lang w:val="sq-AL"/>
        </w:rPr>
        <w:t>.</w:t>
      </w:r>
    </w:p>
    <w:p w:rsidRPr="00744F51" w:rsidR="00EB737A" w:rsidP="00EB737A" w:rsidRDefault="00EB737A">
      <w:pPr>
        <w:pStyle w:val="ECHRPara"/>
        <w:rPr>
          <w:lang w:val="sq-AL"/>
        </w:rPr>
      </w:pPr>
      <w:r w:rsidRPr="00744F51">
        <w:rPr>
          <w:lang w:val="sq-AL"/>
        </w:rPr>
        <w:fldChar w:fldCharType="begin"/>
      </w:r>
      <w:r w:rsidRPr="00744F51">
        <w:rPr>
          <w:lang w:val="sq-AL"/>
        </w:rPr>
        <w:instrText xml:space="preserve"> SEQ level0 \*arabic </w:instrText>
      </w:r>
      <w:r w:rsidRPr="00744F51">
        <w:rPr>
          <w:lang w:val="sq-AL"/>
        </w:rPr>
        <w:fldChar w:fldCharType="separate"/>
      </w:r>
      <w:r w:rsidR="00013F9B">
        <w:rPr>
          <w:noProof/>
          <w:lang w:val="sq-AL"/>
        </w:rPr>
        <w:t>171</w:t>
      </w:r>
      <w:r w:rsidRPr="00744F51">
        <w:rPr>
          <w:lang w:val="sq-AL"/>
        </w:rPr>
        <w:fldChar w:fldCharType="end"/>
      </w:r>
      <w:r w:rsidRPr="00744F51">
        <w:rPr>
          <w:lang w:val="sq-AL"/>
        </w:rPr>
        <w:t>.  </w:t>
      </w:r>
      <w:r w:rsidRPr="00744F51" w:rsidR="00183A90">
        <w:rPr>
          <w:lang w:val="sq-AL"/>
        </w:rPr>
        <w:t>Qeveria v</w:t>
      </w:r>
      <w:r w:rsidRPr="00744F51" w:rsidR="0071670F">
        <w:rPr>
          <w:lang w:val="sq-AL"/>
        </w:rPr>
        <w:t>ë</w:t>
      </w:r>
      <w:r w:rsidRPr="00744F51" w:rsidR="00183A90">
        <w:rPr>
          <w:lang w:val="sq-AL"/>
        </w:rPr>
        <w:t xml:space="preserve"> n</w:t>
      </w:r>
      <w:r w:rsidRPr="00744F51" w:rsidR="0071670F">
        <w:rPr>
          <w:lang w:val="sq-AL"/>
        </w:rPr>
        <w:t>ë</w:t>
      </w:r>
      <w:r w:rsidRPr="00744F51" w:rsidR="00183A90">
        <w:rPr>
          <w:lang w:val="sq-AL"/>
        </w:rPr>
        <w:t xml:space="preserve"> dukje se m</w:t>
      </w:r>
      <w:r w:rsidRPr="00744F51" w:rsidR="0071670F">
        <w:rPr>
          <w:lang w:val="sq-AL"/>
        </w:rPr>
        <w:t>ë</w:t>
      </w:r>
      <w:r w:rsidRPr="00744F51" w:rsidR="00183A90">
        <w:rPr>
          <w:lang w:val="sq-AL"/>
        </w:rPr>
        <w:t xml:space="preserve"> 1973 kishte procedura t</w:t>
      </w:r>
      <w:r w:rsidRPr="00744F51" w:rsidR="0071670F">
        <w:rPr>
          <w:lang w:val="sq-AL"/>
        </w:rPr>
        <w:t>ë</w:t>
      </w:r>
      <w:r w:rsidRPr="00744F51" w:rsidR="00183A90">
        <w:rPr>
          <w:lang w:val="sq-AL"/>
        </w:rPr>
        <w:t xml:space="preserve"> mjaftueshme, por nj</w:t>
      </w:r>
      <w:r w:rsidRPr="00744F51" w:rsidR="0071670F">
        <w:rPr>
          <w:lang w:val="sq-AL"/>
        </w:rPr>
        <w:t>ë</w:t>
      </w:r>
      <w:r w:rsidRPr="00744F51" w:rsidR="00183A90">
        <w:rPr>
          <w:lang w:val="sq-AL"/>
        </w:rPr>
        <w:t xml:space="preserve"> organi shtetëror iu drejtua ankes</w:t>
      </w:r>
      <w:r w:rsidRPr="00744F51" w:rsidR="0071670F">
        <w:rPr>
          <w:lang w:val="sq-AL"/>
        </w:rPr>
        <w:t>ë</w:t>
      </w:r>
      <w:r w:rsidRPr="00744F51" w:rsidR="00183A90">
        <w:rPr>
          <w:lang w:val="sq-AL"/>
        </w:rPr>
        <w:t xml:space="preserve"> vetëm m</w:t>
      </w:r>
      <w:r w:rsidRPr="00744F51" w:rsidR="0071670F">
        <w:rPr>
          <w:lang w:val="sq-AL"/>
        </w:rPr>
        <w:t>ë</w:t>
      </w:r>
      <w:r w:rsidRPr="00744F51" w:rsidR="00183A90">
        <w:rPr>
          <w:lang w:val="sq-AL"/>
        </w:rPr>
        <w:t xml:space="preserve"> 1995. Sipas saj, shteti i ka plotësuar pastaj detyrimet e tij procedurale</w:t>
      </w:r>
      <w:r w:rsidRPr="00744F51">
        <w:rPr>
          <w:lang w:val="sq-AL"/>
        </w:rPr>
        <w:t xml:space="preserve">: </w:t>
      </w:r>
      <w:r w:rsidRPr="00744F51" w:rsidR="00183A90">
        <w:rPr>
          <w:lang w:val="sq-AL"/>
        </w:rPr>
        <w:t>policia ka b</w:t>
      </w:r>
      <w:r w:rsidRPr="00744F51" w:rsidR="0071670F">
        <w:rPr>
          <w:lang w:val="sq-AL"/>
        </w:rPr>
        <w:t>ë</w:t>
      </w:r>
      <w:r w:rsidRPr="00744F51" w:rsidR="00183A90">
        <w:rPr>
          <w:lang w:val="sq-AL"/>
        </w:rPr>
        <w:t xml:space="preserve">rë gjurmime, L.H. është dënuar, paditësja është zhdëmtuar nga </w:t>
      </w:r>
      <w:r w:rsidRPr="00744F51">
        <w:rPr>
          <w:lang w:val="sq-AL"/>
        </w:rPr>
        <w:t>CICT</w:t>
      </w:r>
      <w:r w:rsidRPr="00744F51" w:rsidR="00183A90">
        <w:rPr>
          <w:lang w:val="sq-AL"/>
        </w:rPr>
        <w:t>-ja</w:t>
      </w:r>
      <w:r w:rsidRPr="00744F51">
        <w:rPr>
          <w:lang w:val="sq-AL"/>
        </w:rPr>
        <w:t xml:space="preserve">, </w:t>
      </w:r>
      <w:r w:rsidRPr="00744F51" w:rsidR="0071670F">
        <w:rPr>
          <w:lang w:val="sq-AL"/>
        </w:rPr>
        <w:t xml:space="preserve">ajo e ka fituar gjyqin në kuadër të procedurës të nisur në rrugë civile kundër </w:t>
      </w:r>
      <w:r w:rsidRPr="00744F51">
        <w:rPr>
          <w:lang w:val="sq-AL"/>
        </w:rPr>
        <w:t xml:space="preserve">L.H. </w:t>
      </w:r>
      <w:r w:rsidRPr="00744F51" w:rsidR="0071670F">
        <w:rPr>
          <w:lang w:val="sq-AL"/>
        </w:rPr>
        <w:t>e, nëse padia e saj civile kundër shtetit për pakujdesi është rrëzuar, kjo gjë ka ndodhur vetëm për shkak pamjaftueshmërie provash.</w:t>
      </w:r>
    </w:p>
    <w:p w:rsidRPr="00744F51" w:rsidR="00EB737A" w:rsidP="00EB737A" w:rsidRDefault="00EB737A">
      <w:pPr>
        <w:pStyle w:val="ECHRPara"/>
        <w:rPr>
          <w:lang w:val="sq-AL"/>
        </w:rPr>
      </w:pPr>
      <w:r w:rsidRPr="00744F51">
        <w:rPr>
          <w:lang w:val="sq-AL"/>
        </w:rPr>
        <w:fldChar w:fldCharType="begin"/>
      </w:r>
      <w:r w:rsidRPr="00744F51">
        <w:rPr>
          <w:lang w:val="sq-AL"/>
        </w:rPr>
        <w:instrText xml:space="preserve"> SEQ level0 \*arabic </w:instrText>
      </w:r>
      <w:r w:rsidRPr="00744F51">
        <w:rPr>
          <w:lang w:val="sq-AL"/>
        </w:rPr>
        <w:fldChar w:fldCharType="separate"/>
      </w:r>
      <w:r w:rsidR="00013F9B">
        <w:rPr>
          <w:noProof/>
          <w:lang w:val="sq-AL"/>
        </w:rPr>
        <w:t>172</w:t>
      </w:r>
      <w:r w:rsidRPr="00744F51">
        <w:rPr>
          <w:lang w:val="sq-AL"/>
        </w:rPr>
        <w:fldChar w:fldCharType="end"/>
      </w:r>
      <w:r w:rsidRPr="00744F51">
        <w:rPr>
          <w:lang w:val="sq-AL"/>
        </w:rPr>
        <w:t>.  </w:t>
      </w:r>
      <w:r w:rsidRPr="00744F51" w:rsidR="0071670F">
        <w:rPr>
          <w:lang w:val="sq-AL"/>
        </w:rPr>
        <w:t xml:space="preserve">Gjykata rikujton parimet e parashtruara në vendimin e saj </w:t>
      </w:r>
      <w:r w:rsidRPr="00744F51" w:rsidR="0071670F">
        <w:rPr>
          <w:i/>
          <w:lang w:val="sq-AL"/>
        </w:rPr>
        <w:t>C.A.S. e</w:t>
      </w:r>
      <w:r w:rsidRPr="00744F51">
        <w:rPr>
          <w:i/>
          <w:lang w:val="sq-AL"/>
        </w:rPr>
        <w:t xml:space="preserve"> C.S. </w:t>
      </w:r>
      <w:r w:rsidRPr="00744F51" w:rsidR="0071670F">
        <w:rPr>
          <w:i/>
          <w:lang w:val="sq-AL"/>
        </w:rPr>
        <w:t>k</w:t>
      </w:r>
      <w:r w:rsidRPr="00744F51">
        <w:rPr>
          <w:i/>
          <w:lang w:val="sq-AL"/>
        </w:rPr>
        <w:t>. Rumani</w:t>
      </w:r>
      <w:r w:rsidRPr="00744F51" w:rsidR="0071670F">
        <w:rPr>
          <w:i/>
          <w:lang w:val="sq-AL"/>
        </w:rPr>
        <w:t>së</w:t>
      </w:r>
      <w:r w:rsidRPr="00744F51">
        <w:rPr>
          <w:lang w:val="sq-AL"/>
        </w:rPr>
        <w:t xml:space="preserve"> (</w:t>
      </w:r>
      <w:r w:rsidRPr="00744F51" w:rsidR="0071670F">
        <w:rPr>
          <w:lang w:val="sq-AL"/>
        </w:rPr>
        <w:t>të</w:t>
      </w:r>
      <w:r w:rsidRPr="00744F51" w:rsidR="00E90FE3">
        <w:rPr>
          <w:lang w:val="sq-AL"/>
        </w:rPr>
        <w:t xml:space="preserve"> cituar më lart</w:t>
      </w:r>
      <w:r w:rsidRPr="00744F51">
        <w:rPr>
          <w:lang w:val="sq-AL"/>
        </w:rPr>
        <w:t xml:space="preserve">, §§ 68-70) </w:t>
      </w:r>
      <w:r w:rsidRPr="00744F51" w:rsidR="0071670F">
        <w:rPr>
          <w:lang w:val="sq-AL"/>
        </w:rPr>
        <w:t xml:space="preserve">sipas të cilave, kur ka pohime për keqtrajtime ndaj individëve, neni </w:t>
      </w:r>
      <w:r w:rsidRPr="00744F51">
        <w:rPr>
          <w:lang w:val="sq-AL"/>
        </w:rPr>
        <w:t xml:space="preserve">3 </w:t>
      </w:r>
      <w:r w:rsidRPr="00744F51" w:rsidR="0071670F">
        <w:rPr>
          <w:lang w:val="sq-AL"/>
        </w:rPr>
        <w:t>i detyron autoritetet që të kryejnë një hetim zyrtar efektiv të tillë që të mundësojë vërtetimin e fakteve të çështjes dhe të çojë në identifikimin dhe në dënimin e përgjegjësve. Ky hetim duhet të kryhet në pavarësi të plotë, pa vonesë dhe me një shpejtësi të arsyeshme. Viktima duhet të jetë në gjendje që të marrë pjesë në mënyrë efektive në të.</w:t>
      </w:r>
    </w:p>
    <w:p w:rsidRPr="00744F51" w:rsidR="00EB737A" w:rsidP="00EB737A" w:rsidRDefault="00EB737A">
      <w:pPr>
        <w:pStyle w:val="ECHRPara"/>
        <w:rPr>
          <w:lang w:val="sq-AL"/>
        </w:rPr>
      </w:pPr>
      <w:r w:rsidRPr="00744F51">
        <w:rPr>
          <w:lang w:val="sq-AL"/>
        </w:rPr>
        <w:fldChar w:fldCharType="begin"/>
      </w:r>
      <w:r w:rsidRPr="00744F51">
        <w:rPr>
          <w:lang w:val="sq-AL"/>
        </w:rPr>
        <w:instrText xml:space="preserve"> SEQ level0 \*arabic </w:instrText>
      </w:r>
      <w:r w:rsidRPr="00744F51">
        <w:rPr>
          <w:lang w:val="sq-AL"/>
        </w:rPr>
        <w:fldChar w:fldCharType="separate"/>
      </w:r>
      <w:r w:rsidR="00013F9B">
        <w:rPr>
          <w:noProof/>
          <w:lang w:val="sq-AL"/>
        </w:rPr>
        <w:t>173</w:t>
      </w:r>
      <w:r w:rsidRPr="00744F51">
        <w:rPr>
          <w:lang w:val="sq-AL"/>
        </w:rPr>
        <w:fldChar w:fldCharType="end"/>
      </w:r>
      <w:r w:rsidRPr="00744F51">
        <w:rPr>
          <w:lang w:val="sq-AL"/>
        </w:rPr>
        <w:t>.  </w:t>
      </w:r>
      <w:r w:rsidRPr="00744F51" w:rsidR="00B368B2">
        <w:rPr>
          <w:lang w:val="sq-AL"/>
        </w:rPr>
        <w:t xml:space="preserve">Gjykata ka </w:t>
      </w:r>
      <w:r w:rsidRPr="00744F51" w:rsidR="00923C23">
        <w:rPr>
          <w:lang w:val="sq-AL"/>
        </w:rPr>
        <w:t>s</w:t>
      </w:r>
      <w:r w:rsidRPr="00744F51" w:rsidR="00B368B2">
        <w:rPr>
          <w:lang w:val="sq-AL"/>
        </w:rPr>
        <w:t>hqyrtuar k</w:t>
      </w:r>
      <w:r w:rsidR="00744F51">
        <w:rPr>
          <w:lang w:val="sq-AL"/>
        </w:rPr>
        <w:t>ë</w:t>
      </w:r>
      <w:r w:rsidRPr="00744F51" w:rsidR="00B368B2">
        <w:rPr>
          <w:lang w:val="sq-AL"/>
        </w:rPr>
        <w:t>tu m</w:t>
      </w:r>
      <w:r w:rsidR="00744F51">
        <w:rPr>
          <w:lang w:val="sq-AL"/>
        </w:rPr>
        <w:t>ë</w:t>
      </w:r>
      <w:r w:rsidRPr="00744F51" w:rsidR="00B368B2">
        <w:rPr>
          <w:lang w:val="sq-AL"/>
        </w:rPr>
        <w:t xml:space="preserve"> sipër pikën e ekzistencës së mekanizmave të përshtatshëm të zbulimit e të sinjalizimit n</w:t>
      </w:r>
      <w:r w:rsidR="00744F51">
        <w:rPr>
          <w:lang w:val="sq-AL"/>
        </w:rPr>
        <w:t>ë</w:t>
      </w:r>
      <w:r w:rsidRPr="00744F51" w:rsidR="00B368B2">
        <w:rPr>
          <w:lang w:val="sq-AL"/>
        </w:rPr>
        <w:t xml:space="preserve"> kuadrin e detyri</w:t>
      </w:r>
      <w:r w:rsidR="005517A9">
        <w:rPr>
          <w:lang w:val="sq-AL"/>
        </w:rPr>
        <w:t>m</w:t>
      </w:r>
      <w:r w:rsidRPr="00744F51" w:rsidR="00B368B2">
        <w:rPr>
          <w:lang w:val="sq-AL"/>
        </w:rPr>
        <w:t>eve pozitive që rrjedhin për shtetin nga ana materiale e nenit 3 të Konventës. Detyrimet procedurale hyjn</w:t>
      </w:r>
      <w:r w:rsidR="00744F51">
        <w:rPr>
          <w:lang w:val="sq-AL"/>
        </w:rPr>
        <w:t>ë</w:t>
      </w:r>
      <w:r w:rsidRPr="00744F51" w:rsidR="00B368B2">
        <w:rPr>
          <w:lang w:val="sq-AL"/>
        </w:rPr>
        <w:t xml:space="preserve"> n</w:t>
      </w:r>
      <w:r w:rsidR="00744F51">
        <w:rPr>
          <w:lang w:val="sq-AL"/>
        </w:rPr>
        <w:t>ë</w:t>
      </w:r>
      <w:r w:rsidRPr="00744F51" w:rsidR="00B368B2">
        <w:rPr>
          <w:lang w:val="sq-AL"/>
        </w:rPr>
        <w:t xml:space="preserve"> veprim sapo q</w:t>
      </w:r>
      <w:r w:rsidR="00744F51">
        <w:rPr>
          <w:lang w:val="sq-AL"/>
        </w:rPr>
        <w:t>ë</w:t>
      </w:r>
      <w:r w:rsidRPr="00744F51" w:rsidR="00B368B2">
        <w:rPr>
          <w:lang w:val="sq-AL"/>
        </w:rPr>
        <w:t xml:space="preserve"> çështja ësht</w:t>
      </w:r>
      <w:r w:rsidR="00744F51">
        <w:rPr>
          <w:lang w:val="sq-AL"/>
        </w:rPr>
        <w:t>ë</w:t>
      </w:r>
      <w:r w:rsidRPr="00744F51" w:rsidR="00B368B2">
        <w:rPr>
          <w:lang w:val="sq-AL"/>
        </w:rPr>
        <w:t xml:space="preserve"> sjellë n</w:t>
      </w:r>
      <w:r w:rsidR="00744F51">
        <w:rPr>
          <w:lang w:val="sq-AL"/>
        </w:rPr>
        <w:t>ë</w:t>
      </w:r>
      <w:r w:rsidRPr="00744F51" w:rsidR="00B368B2">
        <w:rPr>
          <w:lang w:val="sq-AL"/>
        </w:rPr>
        <w:t xml:space="preserve"> vëmendje të autoriteteve </w:t>
      </w:r>
      <w:r w:rsidRPr="00744F51">
        <w:rPr>
          <w:lang w:val="sq-AL"/>
        </w:rPr>
        <w:t>(</w:t>
      </w:r>
      <w:r w:rsidRPr="00744F51" w:rsidR="00B368B2">
        <w:rPr>
          <w:i/>
          <w:lang w:val="sq-AL"/>
        </w:rPr>
        <w:t>C.A.S. e</w:t>
      </w:r>
      <w:r w:rsidRPr="00744F51">
        <w:rPr>
          <w:i/>
          <w:lang w:val="sq-AL"/>
        </w:rPr>
        <w:t xml:space="preserve"> C.S. </w:t>
      </w:r>
      <w:r w:rsidRPr="00744F51" w:rsidR="00B368B2">
        <w:rPr>
          <w:i/>
          <w:lang w:val="sq-AL"/>
        </w:rPr>
        <w:t>k</w:t>
      </w:r>
      <w:r w:rsidRPr="00744F51">
        <w:rPr>
          <w:i/>
          <w:lang w:val="sq-AL"/>
        </w:rPr>
        <w:t>. Rumani</w:t>
      </w:r>
      <w:r w:rsidRPr="00744F51" w:rsidR="00B368B2">
        <w:rPr>
          <w:i/>
          <w:lang w:val="sq-AL"/>
        </w:rPr>
        <w:t>së</w:t>
      </w:r>
      <w:r w:rsidRPr="00744F51">
        <w:rPr>
          <w:lang w:val="sq-AL"/>
        </w:rPr>
        <w:t xml:space="preserve">, </w:t>
      </w:r>
      <w:r w:rsidRPr="00744F51" w:rsidR="00E90FE3">
        <w:rPr>
          <w:lang w:val="sq-AL"/>
        </w:rPr>
        <w:t>i cituar më lart</w:t>
      </w:r>
      <w:r w:rsidRPr="00744F51">
        <w:rPr>
          <w:lang w:val="sq-AL"/>
        </w:rPr>
        <w:t xml:space="preserve">, § 70, </w:t>
      </w:r>
      <w:r w:rsidRPr="00744F51" w:rsidR="00B368B2">
        <w:rPr>
          <w:lang w:val="sq-AL"/>
        </w:rPr>
        <w:t>me referenca të tjera</w:t>
      </w:r>
      <w:r w:rsidRPr="00744F51">
        <w:rPr>
          <w:lang w:val="sq-AL"/>
        </w:rPr>
        <w:t xml:space="preserve">). </w:t>
      </w:r>
      <w:r w:rsidRPr="00744F51" w:rsidR="00B368B2">
        <w:rPr>
          <w:lang w:val="sq-AL"/>
        </w:rPr>
        <w:t>Në çështjen në fjalë, Gjykata v</w:t>
      </w:r>
      <w:r w:rsidR="00744F51">
        <w:rPr>
          <w:lang w:val="sq-AL"/>
        </w:rPr>
        <w:t>ë</w:t>
      </w:r>
      <w:r w:rsidRPr="00744F51" w:rsidR="00B368B2">
        <w:rPr>
          <w:lang w:val="sq-AL"/>
        </w:rPr>
        <w:t xml:space="preserve"> n</w:t>
      </w:r>
      <w:r w:rsidR="00744F51">
        <w:rPr>
          <w:lang w:val="sq-AL"/>
        </w:rPr>
        <w:t>ë</w:t>
      </w:r>
      <w:r w:rsidRPr="00744F51" w:rsidR="00B368B2">
        <w:rPr>
          <w:lang w:val="sq-AL"/>
        </w:rPr>
        <w:t xml:space="preserve"> dukje se paraqitja </w:t>
      </w:r>
      <w:r w:rsidRPr="00744F51" w:rsidR="00923C23">
        <w:rPr>
          <w:lang w:val="sq-AL"/>
        </w:rPr>
        <w:t>më 1995 pran</w:t>
      </w:r>
      <w:r w:rsidR="00744F51">
        <w:rPr>
          <w:lang w:val="sq-AL"/>
        </w:rPr>
        <w:t>ë</w:t>
      </w:r>
      <w:r w:rsidRPr="00744F51" w:rsidR="00923C23">
        <w:rPr>
          <w:lang w:val="sq-AL"/>
        </w:rPr>
        <w:t xml:space="preserve"> shërbimeve policore e një ankese të drejtuar kundër L.H. për abuzime seksuale ndaj nj</w:t>
      </w:r>
      <w:r w:rsidR="00744F51">
        <w:rPr>
          <w:lang w:val="sq-AL"/>
        </w:rPr>
        <w:t>ë</w:t>
      </w:r>
      <w:r w:rsidRPr="00744F51" w:rsidR="00923C23">
        <w:rPr>
          <w:lang w:val="sq-AL"/>
        </w:rPr>
        <w:t xml:space="preserve"> nx</w:t>
      </w:r>
      <w:r w:rsidR="00744F51">
        <w:rPr>
          <w:lang w:val="sq-AL"/>
        </w:rPr>
        <w:t>ë</w:t>
      </w:r>
      <w:r w:rsidRPr="00744F51" w:rsidR="00923C23">
        <w:rPr>
          <w:lang w:val="sq-AL"/>
        </w:rPr>
        <w:t>nësi t</w:t>
      </w:r>
      <w:r w:rsidR="00744F51">
        <w:rPr>
          <w:lang w:val="sq-AL"/>
        </w:rPr>
        <w:t>ë</w:t>
      </w:r>
      <w:r w:rsidRPr="00744F51" w:rsidR="00923C23">
        <w:rPr>
          <w:lang w:val="sq-AL"/>
        </w:rPr>
        <w:t xml:space="preserve"> shkoll</w:t>
      </w:r>
      <w:r w:rsidR="00744F51">
        <w:rPr>
          <w:lang w:val="sq-AL"/>
        </w:rPr>
        <w:t>ë</w:t>
      </w:r>
      <w:r w:rsidRPr="00744F51" w:rsidR="00923C23">
        <w:rPr>
          <w:lang w:val="sq-AL"/>
        </w:rPr>
        <w:t>s komb</w:t>
      </w:r>
      <w:r w:rsidR="00744F51">
        <w:rPr>
          <w:lang w:val="sq-AL"/>
        </w:rPr>
        <w:t>ë</w:t>
      </w:r>
      <w:r w:rsidRPr="00744F51" w:rsidR="00923C23">
        <w:rPr>
          <w:lang w:val="sq-AL"/>
        </w:rPr>
        <w:t xml:space="preserve">tare të </w:t>
      </w:r>
      <w:r w:rsidRPr="00744F51">
        <w:rPr>
          <w:lang w:val="sq-AL"/>
        </w:rPr>
        <w:t>Dunderrow</w:t>
      </w:r>
      <w:r w:rsidRPr="00744F51" w:rsidR="00923C23">
        <w:rPr>
          <w:lang w:val="sq-AL"/>
        </w:rPr>
        <w:t>-it çoi menj</w:t>
      </w:r>
      <w:r w:rsidR="00744F51">
        <w:rPr>
          <w:lang w:val="sq-AL"/>
        </w:rPr>
        <w:t>ë</w:t>
      </w:r>
      <w:r w:rsidRPr="00744F51" w:rsidR="00923C23">
        <w:rPr>
          <w:lang w:val="sq-AL"/>
        </w:rPr>
        <w:t>herë n</w:t>
      </w:r>
      <w:r w:rsidR="00744F51">
        <w:rPr>
          <w:lang w:val="sq-AL"/>
        </w:rPr>
        <w:t>ë</w:t>
      </w:r>
      <w:r w:rsidRPr="00744F51" w:rsidR="00923C23">
        <w:rPr>
          <w:lang w:val="sq-AL"/>
        </w:rPr>
        <w:t xml:space="preserve"> fillimin e nj</w:t>
      </w:r>
      <w:r w:rsidR="00744F51">
        <w:rPr>
          <w:lang w:val="sq-AL"/>
        </w:rPr>
        <w:t>ë</w:t>
      </w:r>
      <w:r w:rsidRPr="00744F51" w:rsidR="00923C23">
        <w:rPr>
          <w:lang w:val="sq-AL"/>
        </w:rPr>
        <w:t xml:space="preserve"> hetimi. E kontaktuar n</w:t>
      </w:r>
      <w:r w:rsidR="00744F51">
        <w:rPr>
          <w:lang w:val="sq-AL"/>
        </w:rPr>
        <w:t>ë</w:t>
      </w:r>
      <w:r w:rsidRPr="00744F51" w:rsidR="00923C23">
        <w:rPr>
          <w:lang w:val="sq-AL"/>
        </w:rPr>
        <w:t xml:space="preserve"> k</w:t>
      </w:r>
      <w:r w:rsidR="00744F51">
        <w:rPr>
          <w:lang w:val="sq-AL"/>
        </w:rPr>
        <w:t>ë</w:t>
      </w:r>
      <w:r w:rsidRPr="00744F51" w:rsidR="00923C23">
        <w:rPr>
          <w:lang w:val="sq-AL"/>
        </w:rPr>
        <w:t>të kuadër, paditësja b</w:t>
      </w:r>
      <w:r w:rsidR="00744F51">
        <w:rPr>
          <w:lang w:val="sq-AL"/>
        </w:rPr>
        <w:t>ë</w:t>
      </w:r>
      <w:r w:rsidRPr="00744F51" w:rsidR="00923C23">
        <w:rPr>
          <w:lang w:val="sq-AL"/>
        </w:rPr>
        <w:t>ri nj</w:t>
      </w:r>
      <w:r w:rsidR="00744F51">
        <w:rPr>
          <w:lang w:val="sq-AL"/>
        </w:rPr>
        <w:t>ë</w:t>
      </w:r>
      <w:r w:rsidRPr="00744F51" w:rsidR="00923C23">
        <w:rPr>
          <w:lang w:val="sq-AL"/>
        </w:rPr>
        <w:t xml:space="preserve"> deponim n</w:t>
      </w:r>
      <w:r w:rsidR="00744F51">
        <w:rPr>
          <w:lang w:val="sq-AL"/>
        </w:rPr>
        <w:t>ë</w:t>
      </w:r>
      <w:r w:rsidRPr="00744F51" w:rsidR="00923C23">
        <w:rPr>
          <w:lang w:val="sq-AL"/>
        </w:rPr>
        <w:t xml:space="preserve"> fillim të vitit 1997. Atë e adresuan përveç k</w:t>
      </w:r>
      <w:r w:rsidR="00744F51">
        <w:rPr>
          <w:lang w:val="sq-AL"/>
        </w:rPr>
        <w:t>ë</w:t>
      </w:r>
      <w:r w:rsidRPr="00744F51" w:rsidR="00923C23">
        <w:rPr>
          <w:lang w:val="sq-AL"/>
        </w:rPr>
        <w:t>saj te nj</w:t>
      </w:r>
      <w:r w:rsidR="00744F51">
        <w:rPr>
          <w:lang w:val="sq-AL"/>
        </w:rPr>
        <w:t>ë</w:t>
      </w:r>
      <w:r w:rsidRPr="00744F51" w:rsidR="00923C23">
        <w:rPr>
          <w:lang w:val="sq-AL"/>
        </w:rPr>
        <w:t xml:space="preserve"> sh</w:t>
      </w:r>
      <w:r w:rsidR="00744F51">
        <w:rPr>
          <w:lang w:val="sq-AL"/>
        </w:rPr>
        <w:t>ë</w:t>
      </w:r>
      <w:r w:rsidRPr="00744F51" w:rsidR="00923C23">
        <w:rPr>
          <w:lang w:val="sq-AL"/>
        </w:rPr>
        <w:t xml:space="preserve">rbim përkrahjeje psikologjike </w:t>
      </w:r>
      <w:r w:rsidRPr="00744F51">
        <w:rPr>
          <w:lang w:val="sq-AL"/>
        </w:rPr>
        <w:t>(</w:t>
      </w:r>
      <w:r w:rsidRPr="00744F51" w:rsidR="00923C23">
        <w:rPr>
          <w:lang w:val="sq-AL"/>
        </w:rPr>
        <w:t xml:space="preserve">shih, për shembull, </w:t>
      </w:r>
      <w:r w:rsidRPr="00744F51" w:rsidR="00923C23">
        <w:rPr>
          <w:i/>
          <w:lang w:val="sq-AL"/>
        </w:rPr>
        <w:t>C.A.S. e</w:t>
      </w:r>
      <w:r w:rsidRPr="00744F51">
        <w:rPr>
          <w:i/>
          <w:lang w:val="sq-AL"/>
        </w:rPr>
        <w:t xml:space="preserve"> C.S. </w:t>
      </w:r>
      <w:r w:rsidRPr="00744F51" w:rsidR="00923C23">
        <w:rPr>
          <w:i/>
          <w:lang w:val="sq-AL"/>
        </w:rPr>
        <w:t>k. R</w:t>
      </w:r>
      <w:r w:rsidRPr="00744F51">
        <w:rPr>
          <w:i/>
          <w:lang w:val="sq-AL"/>
        </w:rPr>
        <w:t>umani</w:t>
      </w:r>
      <w:r w:rsidRPr="00744F51" w:rsidR="00923C23">
        <w:rPr>
          <w:i/>
          <w:lang w:val="sq-AL"/>
        </w:rPr>
        <w:t>së</w:t>
      </w:r>
      <w:r w:rsidRPr="00744F51">
        <w:rPr>
          <w:lang w:val="sq-AL"/>
        </w:rPr>
        <w:t xml:space="preserve">, </w:t>
      </w:r>
      <w:r w:rsidRPr="00744F51" w:rsidR="00E90FE3">
        <w:rPr>
          <w:lang w:val="sq-AL"/>
        </w:rPr>
        <w:t>vendim</w:t>
      </w:r>
      <w:r w:rsidRPr="00744F51">
        <w:rPr>
          <w:lang w:val="sq-AL"/>
        </w:rPr>
        <w:t xml:space="preserve"> </w:t>
      </w:r>
      <w:r w:rsidRPr="00744F51" w:rsidR="00E90FE3">
        <w:rPr>
          <w:lang w:val="sq-AL"/>
        </w:rPr>
        <w:t>i cituar më lart</w:t>
      </w:r>
      <w:r w:rsidRPr="00744F51">
        <w:rPr>
          <w:lang w:val="sq-AL"/>
        </w:rPr>
        <w:t xml:space="preserve">, § 82). </w:t>
      </w:r>
      <w:r w:rsidRPr="00744F51" w:rsidR="00923C23">
        <w:rPr>
          <w:lang w:val="sq-AL"/>
        </w:rPr>
        <w:t xml:space="preserve">Kundër </w:t>
      </w:r>
      <w:r w:rsidRPr="00744F51">
        <w:rPr>
          <w:lang w:val="sq-AL"/>
        </w:rPr>
        <w:t xml:space="preserve">L.H. </w:t>
      </w:r>
      <w:r w:rsidRPr="00744F51" w:rsidR="00923C23">
        <w:rPr>
          <w:lang w:val="sq-AL"/>
        </w:rPr>
        <w:t xml:space="preserve">u ngritën </w:t>
      </w:r>
      <w:r w:rsidRPr="00744F51">
        <w:rPr>
          <w:lang w:val="sq-AL"/>
        </w:rPr>
        <w:t xml:space="preserve">386 </w:t>
      </w:r>
      <w:r w:rsidRPr="00744F51" w:rsidR="00923C23">
        <w:rPr>
          <w:lang w:val="sq-AL"/>
        </w:rPr>
        <w:t xml:space="preserve">akuza për abuzime </w:t>
      </w:r>
      <w:r w:rsidR="00744F51">
        <w:rPr>
          <w:lang w:val="sq-AL"/>
        </w:rPr>
        <w:t>s</w:t>
      </w:r>
      <w:r w:rsidRPr="00744F51" w:rsidR="00923C23">
        <w:rPr>
          <w:lang w:val="sq-AL"/>
        </w:rPr>
        <w:t xml:space="preserve">eksuale </w:t>
      </w:r>
      <w:r w:rsidRPr="00744F51" w:rsidR="00332BDF">
        <w:rPr>
          <w:lang w:val="sq-AL"/>
        </w:rPr>
        <w:t>q</w:t>
      </w:r>
      <w:r w:rsidR="00744F51">
        <w:rPr>
          <w:lang w:val="sq-AL"/>
        </w:rPr>
        <w:t>ë</w:t>
      </w:r>
      <w:r w:rsidRPr="00744F51" w:rsidR="00332BDF">
        <w:rPr>
          <w:lang w:val="sq-AL"/>
        </w:rPr>
        <w:t xml:space="preserve"> mendo</w:t>
      </w:r>
      <w:r w:rsidR="00744F51">
        <w:rPr>
          <w:lang w:val="sq-AL"/>
        </w:rPr>
        <w:t>h</w:t>
      </w:r>
      <w:r w:rsidRPr="00744F51" w:rsidR="00332BDF">
        <w:rPr>
          <w:lang w:val="sq-AL"/>
        </w:rPr>
        <w:t>e</w:t>
      </w:r>
      <w:r w:rsidR="00744F51">
        <w:rPr>
          <w:lang w:val="sq-AL"/>
        </w:rPr>
        <w:t>j</w:t>
      </w:r>
      <w:r w:rsidRPr="00744F51" w:rsidR="00332BDF">
        <w:rPr>
          <w:lang w:val="sq-AL"/>
        </w:rPr>
        <w:t xml:space="preserve"> se ishin kryer ndaj 21 nx</w:t>
      </w:r>
      <w:r w:rsidR="00744F51">
        <w:rPr>
          <w:lang w:val="sq-AL"/>
        </w:rPr>
        <w:t>ë</w:t>
      </w:r>
      <w:r w:rsidRPr="00744F51" w:rsidR="00332BDF">
        <w:rPr>
          <w:lang w:val="sq-AL"/>
        </w:rPr>
        <w:t>n</w:t>
      </w:r>
      <w:r w:rsidR="00744F51">
        <w:rPr>
          <w:lang w:val="sq-AL"/>
        </w:rPr>
        <w:t>ë</w:t>
      </w:r>
      <w:r w:rsidRPr="00744F51" w:rsidR="00332BDF">
        <w:rPr>
          <w:lang w:val="sq-AL"/>
        </w:rPr>
        <w:t>sve të shkoll</w:t>
      </w:r>
      <w:r w:rsidR="00744F51">
        <w:rPr>
          <w:lang w:val="sq-AL"/>
        </w:rPr>
        <w:t>ë</w:t>
      </w:r>
      <w:r w:rsidRPr="00744F51" w:rsidR="00332BDF">
        <w:rPr>
          <w:lang w:val="sq-AL"/>
        </w:rPr>
        <w:t>s komb</w:t>
      </w:r>
      <w:r w:rsidR="00744F51">
        <w:rPr>
          <w:lang w:val="sq-AL"/>
        </w:rPr>
        <w:t>ë</w:t>
      </w:r>
      <w:r w:rsidRPr="00744F51" w:rsidR="00332BDF">
        <w:rPr>
          <w:lang w:val="sq-AL"/>
        </w:rPr>
        <w:t>tare t</w:t>
      </w:r>
      <w:r w:rsidR="00744F51">
        <w:rPr>
          <w:lang w:val="sq-AL"/>
        </w:rPr>
        <w:t>ë</w:t>
      </w:r>
      <w:r w:rsidRPr="00744F51" w:rsidR="00332BDF">
        <w:rPr>
          <w:lang w:val="sq-AL"/>
        </w:rPr>
        <w:t xml:space="preserve"> </w:t>
      </w:r>
      <w:r w:rsidRPr="00744F51">
        <w:rPr>
          <w:lang w:val="sq-AL"/>
        </w:rPr>
        <w:t>Dunderrow</w:t>
      </w:r>
      <w:r w:rsidRPr="00744F51" w:rsidR="00332BDF">
        <w:rPr>
          <w:lang w:val="sq-AL"/>
        </w:rPr>
        <w:t>-it</w:t>
      </w:r>
      <w:r w:rsidRPr="00744F51">
        <w:rPr>
          <w:lang w:val="sq-AL"/>
        </w:rPr>
        <w:t xml:space="preserve">. </w:t>
      </w:r>
      <w:r w:rsidRPr="00744F51" w:rsidR="00332BDF">
        <w:rPr>
          <w:lang w:val="sq-AL"/>
        </w:rPr>
        <w:t>Ai e pranoi faj</w:t>
      </w:r>
      <w:r w:rsidR="00744F51">
        <w:rPr>
          <w:lang w:val="sq-AL"/>
        </w:rPr>
        <w:t>ë</w:t>
      </w:r>
      <w:r w:rsidRPr="00744F51" w:rsidR="00332BDF">
        <w:rPr>
          <w:lang w:val="sq-AL"/>
        </w:rPr>
        <w:t>sin</w:t>
      </w:r>
      <w:r w:rsidR="00744F51">
        <w:rPr>
          <w:lang w:val="sq-AL"/>
        </w:rPr>
        <w:t>ë</w:t>
      </w:r>
      <w:r w:rsidRPr="00744F51" w:rsidR="00332BDF">
        <w:rPr>
          <w:lang w:val="sq-AL"/>
        </w:rPr>
        <w:t xml:space="preserve"> e tij për </w:t>
      </w:r>
      <w:r w:rsidRPr="00744F51">
        <w:rPr>
          <w:lang w:val="sq-AL"/>
        </w:rPr>
        <w:t xml:space="preserve">21 </w:t>
      </w:r>
      <w:r w:rsidRPr="00744F51" w:rsidR="00332BDF">
        <w:rPr>
          <w:lang w:val="sq-AL"/>
        </w:rPr>
        <w:t>akuza t</w:t>
      </w:r>
      <w:r w:rsidR="00744F51">
        <w:rPr>
          <w:lang w:val="sq-AL"/>
        </w:rPr>
        <w:t>ë</w:t>
      </w:r>
      <w:r w:rsidRPr="00744F51" w:rsidR="00332BDF">
        <w:rPr>
          <w:lang w:val="sq-AL"/>
        </w:rPr>
        <w:t xml:space="preserve"> përgjith</w:t>
      </w:r>
      <w:r w:rsidR="00744F51">
        <w:rPr>
          <w:lang w:val="sq-AL"/>
        </w:rPr>
        <w:t>ë</w:t>
      </w:r>
      <w:r w:rsidRPr="00744F51" w:rsidR="00332BDF">
        <w:rPr>
          <w:lang w:val="sq-AL"/>
        </w:rPr>
        <w:t>suara p</w:t>
      </w:r>
      <w:r w:rsidR="00744F51">
        <w:rPr>
          <w:lang w:val="sq-AL"/>
        </w:rPr>
        <w:t>ë</w:t>
      </w:r>
      <w:r w:rsidRPr="00744F51" w:rsidR="00332BDF">
        <w:rPr>
          <w:lang w:val="sq-AL"/>
        </w:rPr>
        <w:t>r secil</w:t>
      </w:r>
      <w:r w:rsidR="00744F51">
        <w:rPr>
          <w:lang w:val="sq-AL"/>
        </w:rPr>
        <w:t>ë</w:t>
      </w:r>
      <w:r w:rsidRPr="00744F51" w:rsidR="00332BDF">
        <w:rPr>
          <w:lang w:val="sq-AL"/>
        </w:rPr>
        <w:t>n viktim</w:t>
      </w:r>
      <w:r w:rsidR="00744F51">
        <w:rPr>
          <w:lang w:val="sq-AL"/>
        </w:rPr>
        <w:t>ë</w:t>
      </w:r>
      <w:r w:rsidRPr="00744F51" w:rsidR="00332BDF">
        <w:rPr>
          <w:lang w:val="sq-AL"/>
        </w:rPr>
        <w:t>, pastaj u dënua dhe u vu n</w:t>
      </w:r>
      <w:r w:rsidR="00744F51">
        <w:rPr>
          <w:lang w:val="sq-AL"/>
        </w:rPr>
        <w:t>ë</w:t>
      </w:r>
      <w:r w:rsidRPr="00744F51" w:rsidR="00332BDF">
        <w:rPr>
          <w:lang w:val="sq-AL"/>
        </w:rPr>
        <w:t xml:space="preserve"> burgim. Vërejtjet e pal</w:t>
      </w:r>
      <w:r w:rsidR="00744F51">
        <w:rPr>
          <w:lang w:val="sq-AL"/>
        </w:rPr>
        <w:t>ë</w:t>
      </w:r>
      <w:r w:rsidRPr="00744F51" w:rsidR="00332BDF">
        <w:rPr>
          <w:lang w:val="sq-AL"/>
        </w:rPr>
        <w:t>ve nuk mundësojn</w:t>
      </w:r>
      <w:r w:rsidR="00744F51">
        <w:rPr>
          <w:lang w:val="sq-AL"/>
        </w:rPr>
        <w:t>ë</w:t>
      </w:r>
      <w:r w:rsidRPr="00744F51" w:rsidR="00332BDF">
        <w:rPr>
          <w:lang w:val="sq-AL"/>
        </w:rPr>
        <w:t xml:space="preserve"> q</w:t>
      </w:r>
      <w:r w:rsidR="00744F51">
        <w:rPr>
          <w:lang w:val="sq-AL"/>
        </w:rPr>
        <w:t>ë</w:t>
      </w:r>
      <w:r w:rsidRPr="00744F51" w:rsidR="00332BDF">
        <w:rPr>
          <w:lang w:val="sq-AL"/>
        </w:rPr>
        <w:t xml:space="preserve"> t</w:t>
      </w:r>
      <w:r w:rsidR="00744F51">
        <w:rPr>
          <w:lang w:val="sq-AL"/>
        </w:rPr>
        <w:t>ë</w:t>
      </w:r>
      <w:r w:rsidRPr="00744F51" w:rsidR="00332BDF">
        <w:rPr>
          <w:lang w:val="sq-AL"/>
        </w:rPr>
        <w:t xml:space="preserve"> përcaktohet n</w:t>
      </w:r>
      <w:r w:rsidR="00744F51">
        <w:rPr>
          <w:lang w:val="sq-AL"/>
        </w:rPr>
        <w:t>ë</w:t>
      </w:r>
      <w:r w:rsidRPr="00744F51" w:rsidR="00332BDF">
        <w:rPr>
          <w:lang w:val="sq-AL"/>
        </w:rPr>
        <w:t>se rasti i padit</w:t>
      </w:r>
      <w:r w:rsidR="00744F51">
        <w:rPr>
          <w:lang w:val="sq-AL"/>
        </w:rPr>
        <w:t>ë</w:t>
      </w:r>
      <w:r w:rsidRPr="00744F51" w:rsidR="00332BDF">
        <w:rPr>
          <w:lang w:val="sq-AL"/>
        </w:rPr>
        <w:t>ses përfshihej n</w:t>
      </w:r>
      <w:r w:rsidR="00744F51">
        <w:rPr>
          <w:lang w:val="sq-AL"/>
        </w:rPr>
        <w:t>ë</w:t>
      </w:r>
      <w:r w:rsidRPr="00744F51" w:rsidR="00332BDF">
        <w:rPr>
          <w:lang w:val="sq-AL"/>
        </w:rPr>
        <w:t xml:space="preserve"> ato akuza. Sidoqoftë, e interesuara nuk protestoi kund</w:t>
      </w:r>
      <w:r w:rsidR="00744F51">
        <w:rPr>
          <w:lang w:val="sq-AL"/>
        </w:rPr>
        <w:t>ë</w:t>
      </w:r>
      <w:r w:rsidRPr="00744F51" w:rsidR="00332BDF">
        <w:rPr>
          <w:lang w:val="sq-AL"/>
        </w:rPr>
        <w:t>r lejes q</w:t>
      </w:r>
      <w:r w:rsidR="00744F51">
        <w:rPr>
          <w:lang w:val="sq-AL"/>
        </w:rPr>
        <w:t>ë</w:t>
      </w:r>
      <w:r w:rsidRPr="00744F51" w:rsidR="00332BDF">
        <w:rPr>
          <w:lang w:val="sq-AL"/>
        </w:rPr>
        <w:t xml:space="preserve"> iu dha L.H. për të pranuar faj</w:t>
      </w:r>
      <w:r w:rsidR="00744F51">
        <w:rPr>
          <w:lang w:val="sq-AL"/>
        </w:rPr>
        <w:t>ë</w:t>
      </w:r>
      <w:r w:rsidRPr="00744F51" w:rsidR="00332BDF">
        <w:rPr>
          <w:lang w:val="sq-AL"/>
        </w:rPr>
        <w:t>sin</w:t>
      </w:r>
      <w:r w:rsidR="00744F51">
        <w:rPr>
          <w:lang w:val="sq-AL"/>
        </w:rPr>
        <w:t>ë</w:t>
      </w:r>
      <w:r w:rsidRPr="00744F51" w:rsidR="00332BDF">
        <w:rPr>
          <w:lang w:val="sq-AL"/>
        </w:rPr>
        <w:t xml:space="preserve"> e vet për akuza përfaqësuese dhe nuk e kundërshtoi d</w:t>
      </w:r>
      <w:r w:rsidR="00744F51">
        <w:rPr>
          <w:lang w:val="sq-AL"/>
        </w:rPr>
        <w:t>ë</w:t>
      </w:r>
      <w:r w:rsidRPr="00744F51" w:rsidR="00332BDF">
        <w:rPr>
          <w:lang w:val="sq-AL"/>
        </w:rPr>
        <w:t>nimin e shpallur ndaj tij. Për sa u përket pikave lidhur me pamund</w:t>
      </w:r>
      <w:r w:rsidR="00744F51">
        <w:rPr>
          <w:lang w:val="sq-AL"/>
        </w:rPr>
        <w:t>ë</w:t>
      </w:r>
      <w:r w:rsidRPr="00744F51" w:rsidR="00332BDF">
        <w:rPr>
          <w:lang w:val="sq-AL"/>
        </w:rPr>
        <w:t>sin</w:t>
      </w:r>
      <w:r w:rsidR="00744F51">
        <w:rPr>
          <w:lang w:val="sq-AL"/>
        </w:rPr>
        <w:t>ë</w:t>
      </w:r>
      <w:r w:rsidRPr="00744F51" w:rsidR="00332BDF">
        <w:rPr>
          <w:lang w:val="sq-AL"/>
        </w:rPr>
        <w:t xml:space="preserve"> për të b</w:t>
      </w:r>
      <w:r w:rsidR="00744F51">
        <w:rPr>
          <w:lang w:val="sq-AL"/>
        </w:rPr>
        <w:t>ë</w:t>
      </w:r>
      <w:r w:rsidRPr="00744F51" w:rsidR="00332BDF">
        <w:rPr>
          <w:lang w:val="sq-AL"/>
        </w:rPr>
        <w:t>rë q</w:t>
      </w:r>
      <w:r w:rsidR="00744F51">
        <w:rPr>
          <w:lang w:val="sq-AL"/>
        </w:rPr>
        <w:t>ë</w:t>
      </w:r>
      <w:r w:rsidRPr="00744F51" w:rsidR="00332BDF">
        <w:rPr>
          <w:lang w:val="sq-AL"/>
        </w:rPr>
        <w:t xml:space="preserve"> të pranohej nj</w:t>
      </w:r>
      <w:r w:rsidR="00744F51">
        <w:rPr>
          <w:lang w:val="sq-AL"/>
        </w:rPr>
        <w:t>ë</w:t>
      </w:r>
      <w:r w:rsidRPr="00744F51" w:rsidR="00332BDF">
        <w:rPr>
          <w:lang w:val="sq-AL"/>
        </w:rPr>
        <w:t xml:space="preserve"> mospërmbushje e detyrimit për mbrojtje nga ana e shtetit dhe për t</w:t>
      </w:r>
      <w:r w:rsidR="00943091">
        <w:rPr>
          <w:lang w:val="sq-AL"/>
        </w:rPr>
        <w:t>’</w:t>
      </w:r>
      <w:r w:rsidRPr="00744F51" w:rsidR="00332BDF">
        <w:rPr>
          <w:lang w:val="sq-AL"/>
        </w:rPr>
        <w:t>u d</w:t>
      </w:r>
      <w:r w:rsidR="00744F51">
        <w:rPr>
          <w:lang w:val="sq-AL"/>
        </w:rPr>
        <w:t>ë</w:t>
      </w:r>
      <w:r w:rsidRPr="00744F51" w:rsidR="00332BDF">
        <w:rPr>
          <w:lang w:val="sq-AL"/>
        </w:rPr>
        <w:t>mshp</w:t>
      </w:r>
      <w:r w:rsidR="00744F51">
        <w:rPr>
          <w:lang w:val="sq-AL"/>
        </w:rPr>
        <w:t>ë</w:t>
      </w:r>
      <w:r w:rsidRPr="00744F51" w:rsidR="00332BDF">
        <w:rPr>
          <w:lang w:val="sq-AL"/>
        </w:rPr>
        <w:t>rblyer p</w:t>
      </w:r>
      <w:r w:rsidR="00744F51">
        <w:rPr>
          <w:lang w:val="sq-AL"/>
        </w:rPr>
        <w:t>ë</w:t>
      </w:r>
      <w:r w:rsidRPr="00744F51" w:rsidR="00332BDF">
        <w:rPr>
          <w:lang w:val="sq-AL"/>
        </w:rPr>
        <w:t>r k</w:t>
      </w:r>
      <w:r w:rsidR="00744F51">
        <w:rPr>
          <w:lang w:val="sq-AL"/>
        </w:rPr>
        <w:t>ë</w:t>
      </w:r>
      <w:r w:rsidRPr="00744F51" w:rsidR="00332BDF">
        <w:rPr>
          <w:lang w:val="sq-AL"/>
        </w:rPr>
        <w:t>t</w:t>
      </w:r>
      <w:r w:rsidR="00744F51">
        <w:rPr>
          <w:lang w:val="sq-AL"/>
        </w:rPr>
        <w:t>ë</w:t>
      </w:r>
      <w:r w:rsidRPr="00744F51" w:rsidR="00332BDF">
        <w:rPr>
          <w:lang w:val="sq-AL"/>
        </w:rPr>
        <w:t xml:space="preserve"> arsye, është e udh</w:t>
      </w:r>
      <w:r w:rsidR="00744F51">
        <w:rPr>
          <w:lang w:val="sq-AL"/>
        </w:rPr>
        <w:t>ë</w:t>
      </w:r>
      <w:r w:rsidRPr="00744F51" w:rsidR="00332BDF">
        <w:rPr>
          <w:lang w:val="sq-AL"/>
        </w:rPr>
        <w:t>s që ato t</w:t>
      </w:r>
      <w:r w:rsidR="00744F51">
        <w:rPr>
          <w:lang w:val="sq-AL"/>
        </w:rPr>
        <w:t>ë</w:t>
      </w:r>
      <w:r w:rsidRPr="00744F51" w:rsidR="00332BDF">
        <w:rPr>
          <w:lang w:val="sq-AL"/>
        </w:rPr>
        <w:t xml:space="preserve"> shqyrtohen në k</w:t>
      </w:r>
      <w:r w:rsidR="00744F51">
        <w:rPr>
          <w:lang w:val="sq-AL"/>
        </w:rPr>
        <w:t>ë</w:t>
      </w:r>
      <w:r w:rsidRPr="00744F51" w:rsidR="00332BDF">
        <w:rPr>
          <w:lang w:val="sq-AL"/>
        </w:rPr>
        <w:t>ndv</w:t>
      </w:r>
      <w:r w:rsidR="00744F51">
        <w:rPr>
          <w:lang w:val="sq-AL"/>
        </w:rPr>
        <w:t>ë</w:t>
      </w:r>
      <w:r w:rsidRPr="00744F51" w:rsidR="00332BDF">
        <w:rPr>
          <w:lang w:val="sq-AL"/>
        </w:rPr>
        <w:t xml:space="preserve">shtrimin e nenit </w:t>
      </w:r>
      <w:r w:rsidRPr="00744F51">
        <w:rPr>
          <w:lang w:val="sq-AL"/>
        </w:rPr>
        <w:t xml:space="preserve">13 </w:t>
      </w:r>
      <w:r w:rsidRPr="00744F51" w:rsidR="00332BDF">
        <w:rPr>
          <w:lang w:val="sq-AL"/>
        </w:rPr>
        <w:t>t</w:t>
      </w:r>
      <w:r w:rsidR="00744F51">
        <w:rPr>
          <w:lang w:val="sq-AL"/>
        </w:rPr>
        <w:t>ë</w:t>
      </w:r>
      <w:r w:rsidRPr="00744F51" w:rsidR="00332BDF">
        <w:rPr>
          <w:lang w:val="sq-AL"/>
        </w:rPr>
        <w:t xml:space="preserve"> bashkuar me nenin </w:t>
      </w:r>
      <w:r w:rsidRPr="00744F51">
        <w:rPr>
          <w:lang w:val="sq-AL"/>
        </w:rPr>
        <w:t xml:space="preserve">3 </w:t>
      </w:r>
      <w:r w:rsidRPr="00744F51" w:rsidR="00332BDF">
        <w:rPr>
          <w:lang w:val="sq-AL"/>
        </w:rPr>
        <w:t>të Konventës</w:t>
      </w:r>
      <w:r w:rsidRPr="00744F51">
        <w:rPr>
          <w:lang w:val="sq-AL"/>
        </w:rPr>
        <w:t>.</w:t>
      </w:r>
    </w:p>
    <w:p w:rsidRPr="00744F51" w:rsidR="00EB737A" w:rsidP="00EB737A" w:rsidRDefault="00EB737A">
      <w:pPr>
        <w:pStyle w:val="ECHRPara"/>
        <w:rPr>
          <w:lang w:val="sq-AL"/>
        </w:rPr>
      </w:pPr>
      <w:r w:rsidRPr="00744F51">
        <w:rPr>
          <w:lang w:val="sq-AL"/>
        </w:rPr>
        <w:fldChar w:fldCharType="begin"/>
      </w:r>
      <w:r w:rsidRPr="00744F51">
        <w:rPr>
          <w:lang w:val="sq-AL"/>
        </w:rPr>
        <w:instrText xml:space="preserve"> SEQ level0 \*arabic </w:instrText>
      </w:r>
      <w:r w:rsidRPr="00744F51">
        <w:rPr>
          <w:lang w:val="sq-AL"/>
        </w:rPr>
        <w:fldChar w:fldCharType="separate"/>
      </w:r>
      <w:r w:rsidR="00013F9B">
        <w:rPr>
          <w:noProof/>
          <w:lang w:val="sq-AL"/>
        </w:rPr>
        <w:t>174</w:t>
      </w:r>
      <w:r w:rsidRPr="00744F51">
        <w:rPr>
          <w:lang w:val="sq-AL"/>
        </w:rPr>
        <w:fldChar w:fldCharType="end"/>
      </w:r>
      <w:r w:rsidRPr="00744F51">
        <w:rPr>
          <w:lang w:val="sq-AL"/>
        </w:rPr>
        <w:t>.  </w:t>
      </w:r>
      <w:r w:rsidRPr="00744F51" w:rsidR="00332BDF">
        <w:rPr>
          <w:lang w:val="sq-AL"/>
        </w:rPr>
        <w:t>Për arsyet q</w:t>
      </w:r>
      <w:r w:rsidR="00744F51">
        <w:rPr>
          <w:lang w:val="sq-AL"/>
        </w:rPr>
        <w:t>ë</w:t>
      </w:r>
      <w:r w:rsidRPr="00744F51" w:rsidR="00332BDF">
        <w:rPr>
          <w:lang w:val="sq-AL"/>
        </w:rPr>
        <w:t xml:space="preserve"> paraprijn</w:t>
      </w:r>
      <w:r w:rsidR="00744F51">
        <w:rPr>
          <w:lang w:val="sq-AL"/>
        </w:rPr>
        <w:t>ë</w:t>
      </w:r>
      <w:r w:rsidRPr="00744F51" w:rsidR="00332BDF">
        <w:rPr>
          <w:lang w:val="sq-AL"/>
        </w:rPr>
        <w:t>, Gjykata çmon se nuk ka pasur shkelje të detyrimeve procedurale që i takonin shtetit mbi baz</w:t>
      </w:r>
      <w:r w:rsidR="00744F51">
        <w:rPr>
          <w:lang w:val="sq-AL"/>
        </w:rPr>
        <w:t>ë</w:t>
      </w:r>
      <w:r w:rsidRPr="00744F51" w:rsidR="00332BDF">
        <w:rPr>
          <w:lang w:val="sq-AL"/>
        </w:rPr>
        <w:t>n e nenit 3 t</w:t>
      </w:r>
      <w:r w:rsidR="00744F51">
        <w:rPr>
          <w:lang w:val="sq-AL"/>
        </w:rPr>
        <w:t>ë</w:t>
      </w:r>
      <w:r w:rsidRPr="00744F51" w:rsidR="00332BDF">
        <w:rPr>
          <w:lang w:val="sq-AL"/>
        </w:rPr>
        <w:t xml:space="preserve"> Konventës</w:t>
      </w:r>
      <w:r w:rsidRPr="00744F51">
        <w:rPr>
          <w:lang w:val="sq-AL"/>
        </w:rPr>
        <w:t>.</w:t>
      </w:r>
    </w:p>
    <w:p w:rsidRPr="00BF6DEB" w:rsidR="00EB737A" w:rsidP="00EB737A" w:rsidRDefault="00EB737A">
      <w:pPr>
        <w:pStyle w:val="ECHRHeading1"/>
        <w:rPr>
          <w:lang w:val="sq-AL"/>
        </w:rPr>
      </w:pPr>
      <w:r w:rsidRPr="00BF6DEB">
        <w:rPr>
          <w:lang w:val="sq-AL"/>
        </w:rPr>
        <w:t>IV</w:t>
      </w:r>
      <w:r w:rsidRPr="00BF6DEB">
        <w:rPr>
          <w:caps/>
          <w:lang w:val="sq-AL"/>
        </w:rPr>
        <w:t>.  </w:t>
      </w:r>
      <w:r w:rsidRPr="00BF6DEB" w:rsidR="00744F51">
        <w:rPr>
          <w:caps/>
          <w:lang w:val="sq-AL"/>
        </w:rPr>
        <w:t>RRETH SHKELJES SË PRETENDUAR TË NENIT 13 TË BASHKUAR ME NENIN 3 TË KONVENTËS NË ANËN E TIJ MATERIALE</w:t>
      </w:r>
    </w:p>
    <w:p w:rsidRPr="00BF6DEB" w:rsidR="00EB737A" w:rsidP="00EB737A" w:rsidRDefault="00EB737A">
      <w:pPr>
        <w:pStyle w:val="ECHRPara"/>
        <w:rPr>
          <w:lang w:val="sq-AL"/>
        </w:rPr>
      </w:pPr>
      <w:r w:rsidRPr="00BF6DEB">
        <w:rPr>
          <w:lang w:val="sq-AL"/>
        </w:rPr>
        <w:fldChar w:fldCharType="begin"/>
      </w:r>
      <w:r w:rsidRPr="00BF6DEB">
        <w:rPr>
          <w:lang w:val="sq-AL"/>
        </w:rPr>
        <w:instrText xml:space="preserve"> SEQ level0 \*arabic </w:instrText>
      </w:r>
      <w:r w:rsidRPr="00BF6DEB">
        <w:rPr>
          <w:lang w:val="sq-AL"/>
        </w:rPr>
        <w:fldChar w:fldCharType="separate"/>
      </w:r>
      <w:r w:rsidR="00013F9B">
        <w:rPr>
          <w:noProof/>
          <w:lang w:val="sq-AL"/>
        </w:rPr>
        <w:t>175</w:t>
      </w:r>
      <w:r w:rsidRPr="00BF6DEB">
        <w:rPr>
          <w:lang w:val="sq-AL"/>
        </w:rPr>
        <w:fldChar w:fldCharType="end"/>
      </w:r>
      <w:r w:rsidRPr="00BF6DEB">
        <w:rPr>
          <w:lang w:val="sq-AL"/>
        </w:rPr>
        <w:t>.  </w:t>
      </w:r>
      <w:r w:rsidRPr="00BF6DEB" w:rsidR="00744F51">
        <w:rPr>
          <w:lang w:val="sq-AL"/>
        </w:rPr>
        <w:t xml:space="preserve">Pjesa përkatëse e nenit </w:t>
      </w:r>
      <w:r w:rsidRPr="00BF6DEB">
        <w:rPr>
          <w:lang w:val="sq-AL"/>
        </w:rPr>
        <w:t xml:space="preserve">13 </w:t>
      </w:r>
      <w:r w:rsidRPr="00BF6DEB" w:rsidR="00744F51">
        <w:rPr>
          <w:lang w:val="sq-AL"/>
        </w:rPr>
        <w:t>lexohet kështu</w:t>
      </w:r>
      <w:r w:rsidRPr="00BF6DEB">
        <w:rPr>
          <w:lang w:val="sq-AL"/>
        </w:rPr>
        <w:t>:</w:t>
      </w:r>
    </w:p>
    <w:p w:rsidRPr="00BF6DEB" w:rsidR="00EB737A" w:rsidP="00EB737A" w:rsidRDefault="00744F51">
      <w:pPr>
        <w:pStyle w:val="ECHRParaQuote"/>
        <w:rPr>
          <w:lang w:val="sq-AL"/>
        </w:rPr>
      </w:pPr>
      <w:r w:rsidRPr="00BF6DEB">
        <w:rPr>
          <w:lang w:val="sq-AL"/>
        </w:rPr>
        <w:t>“Çdokush, të cilit i janë shkelur të drejtat dhe liritë e njohura në (...) Konventë, ka të drejtë të bëjë ankim efektiv tek një organ i vendit të tij, edhe kur shkelja është kryer nga persona që veprojnë në përmbushje të funksioneve të tyre zyrtare.”</w:t>
      </w:r>
    </w:p>
    <w:p w:rsidRPr="00BF6DEB" w:rsidR="00EB737A" w:rsidP="00EB737A" w:rsidRDefault="00EB737A">
      <w:pPr>
        <w:pStyle w:val="ECHRPara"/>
        <w:rPr>
          <w:lang w:val="sq-AL"/>
        </w:rPr>
      </w:pPr>
      <w:r w:rsidRPr="00BF6DEB">
        <w:rPr>
          <w:lang w:val="sq-AL"/>
        </w:rPr>
        <w:fldChar w:fldCharType="begin"/>
      </w:r>
      <w:r w:rsidRPr="00BF6DEB">
        <w:rPr>
          <w:lang w:val="sq-AL"/>
        </w:rPr>
        <w:instrText xml:space="preserve"> SEQ level0 \*arabic </w:instrText>
      </w:r>
      <w:r w:rsidRPr="00BF6DEB">
        <w:rPr>
          <w:lang w:val="sq-AL"/>
        </w:rPr>
        <w:fldChar w:fldCharType="separate"/>
      </w:r>
      <w:r w:rsidR="00013F9B">
        <w:rPr>
          <w:noProof/>
          <w:lang w:val="sq-AL"/>
        </w:rPr>
        <w:t>176</w:t>
      </w:r>
      <w:r w:rsidRPr="00BF6DEB">
        <w:rPr>
          <w:lang w:val="sq-AL"/>
        </w:rPr>
        <w:fldChar w:fldCharType="end"/>
      </w:r>
      <w:r w:rsidRPr="00BF6DEB">
        <w:rPr>
          <w:lang w:val="sq-AL"/>
        </w:rPr>
        <w:t>.  </w:t>
      </w:r>
      <w:r w:rsidRPr="00BF6DEB" w:rsidR="00744F51">
        <w:rPr>
          <w:lang w:val="sq-AL"/>
        </w:rPr>
        <w:t>Paditësja ankohet se nuk i është krijuar asnj</w:t>
      </w:r>
      <w:r w:rsidR="00BF6DEB">
        <w:rPr>
          <w:lang w:val="sq-AL"/>
        </w:rPr>
        <w:t>ë</w:t>
      </w:r>
      <w:r w:rsidRPr="00BF6DEB" w:rsidR="00744F51">
        <w:rPr>
          <w:lang w:val="sq-AL"/>
        </w:rPr>
        <w:t xml:space="preserve"> mundësi p</w:t>
      </w:r>
      <w:r w:rsidR="00BF6DEB">
        <w:rPr>
          <w:lang w:val="sq-AL"/>
        </w:rPr>
        <w:t>ë</w:t>
      </w:r>
      <w:r w:rsidRPr="00BF6DEB" w:rsidR="00744F51">
        <w:rPr>
          <w:lang w:val="sq-AL"/>
        </w:rPr>
        <w:t>r ankim efektiv t</w:t>
      </w:r>
      <w:r w:rsidR="00BF6DEB">
        <w:rPr>
          <w:lang w:val="sq-AL"/>
        </w:rPr>
        <w:t>ë</w:t>
      </w:r>
      <w:r w:rsidRPr="00BF6DEB" w:rsidR="00744F51">
        <w:rPr>
          <w:lang w:val="sq-AL"/>
        </w:rPr>
        <w:t xml:space="preserve"> brendsh</w:t>
      </w:r>
      <w:r w:rsidR="00BF6DEB">
        <w:rPr>
          <w:lang w:val="sq-AL"/>
        </w:rPr>
        <w:t>ë</w:t>
      </w:r>
      <w:r w:rsidRPr="00BF6DEB" w:rsidR="00744F51">
        <w:rPr>
          <w:lang w:val="sq-AL"/>
        </w:rPr>
        <w:t>m për të denoncuar mospërmbushjen nga shteti t</w:t>
      </w:r>
      <w:r w:rsidR="00BF6DEB">
        <w:rPr>
          <w:lang w:val="sq-AL"/>
        </w:rPr>
        <w:t>ë</w:t>
      </w:r>
      <w:r w:rsidRPr="00BF6DEB" w:rsidR="00744F51">
        <w:rPr>
          <w:lang w:val="sq-AL"/>
        </w:rPr>
        <w:t xml:space="preserve"> detyrimit të tij për ta mbrojtur at</w:t>
      </w:r>
      <w:r w:rsidR="00BF6DEB">
        <w:rPr>
          <w:lang w:val="sq-AL"/>
        </w:rPr>
        <w:t>ë</w:t>
      </w:r>
      <w:r w:rsidRPr="00BF6DEB" w:rsidR="00744F51">
        <w:rPr>
          <w:lang w:val="sq-AL"/>
        </w:rPr>
        <w:t xml:space="preserve"> nga abuzime seksuale. Qeveria mbron nga ana e saj mendimin t</w:t>
      </w:r>
      <w:r w:rsidR="00BF6DEB">
        <w:rPr>
          <w:lang w:val="sq-AL"/>
        </w:rPr>
        <w:t>ë</w:t>
      </w:r>
      <w:r w:rsidRPr="00BF6DEB" w:rsidR="00744F51">
        <w:rPr>
          <w:lang w:val="sq-AL"/>
        </w:rPr>
        <w:t xml:space="preserve"> drejtat për ankime efektive mund të ushtroheshin si kund</w:t>
      </w:r>
      <w:r w:rsidR="00BF6DEB">
        <w:rPr>
          <w:lang w:val="sq-AL"/>
        </w:rPr>
        <w:t>ë</w:t>
      </w:r>
      <w:r w:rsidRPr="00BF6DEB" w:rsidR="00744F51">
        <w:rPr>
          <w:lang w:val="sq-AL"/>
        </w:rPr>
        <w:t>r shtetit ashtu edhe kundër aktorëve jo publikë.</w:t>
      </w:r>
    </w:p>
    <w:p w:rsidRPr="008729EF" w:rsidR="00EB737A" w:rsidP="00EB737A" w:rsidRDefault="00EB737A">
      <w:pPr>
        <w:pStyle w:val="ECHRPara"/>
        <w:rPr>
          <w:lang w:val="sq-AL"/>
        </w:rPr>
      </w:pPr>
      <w:r w:rsidRPr="008729EF">
        <w:rPr>
          <w:lang w:val="sq-AL"/>
        </w:rPr>
        <w:fldChar w:fldCharType="begin"/>
      </w:r>
      <w:r w:rsidRPr="008729EF">
        <w:rPr>
          <w:lang w:val="sq-AL"/>
        </w:rPr>
        <w:instrText xml:space="preserve"> SEQ level0 \*arabic </w:instrText>
      </w:r>
      <w:r w:rsidRPr="008729EF">
        <w:rPr>
          <w:lang w:val="sq-AL"/>
        </w:rPr>
        <w:fldChar w:fldCharType="separate"/>
      </w:r>
      <w:r w:rsidR="00013F9B">
        <w:rPr>
          <w:noProof/>
          <w:lang w:val="sq-AL"/>
        </w:rPr>
        <w:t>177</w:t>
      </w:r>
      <w:r w:rsidRPr="008729EF">
        <w:rPr>
          <w:lang w:val="sq-AL"/>
        </w:rPr>
        <w:fldChar w:fldCharType="end"/>
      </w:r>
      <w:r w:rsidRPr="008729EF">
        <w:rPr>
          <w:lang w:val="sq-AL"/>
        </w:rPr>
        <w:t>.  </w:t>
      </w:r>
      <w:r w:rsidRPr="008729EF" w:rsidR="00744F51">
        <w:rPr>
          <w:lang w:val="sq-AL"/>
        </w:rPr>
        <w:t>Gjykata rikujton, siç e ka b</w:t>
      </w:r>
      <w:r w:rsidRPr="008729EF" w:rsidR="00BF6DEB">
        <w:rPr>
          <w:lang w:val="sq-AL"/>
        </w:rPr>
        <w:t>ë</w:t>
      </w:r>
      <w:r w:rsidRPr="008729EF" w:rsidR="00744F51">
        <w:rPr>
          <w:lang w:val="sq-AL"/>
        </w:rPr>
        <w:t>rë n</w:t>
      </w:r>
      <w:r w:rsidRPr="008729EF" w:rsidR="00BF6DEB">
        <w:rPr>
          <w:lang w:val="sq-AL"/>
        </w:rPr>
        <w:t>ë</w:t>
      </w:r>
      <w:r w:rsidRPr="008729EF" w:rsidR="00744F51">
        <w:rPr>
          <w:lang w:val="sq-AL"/>
        </w:rPr>
        <w:t xml:space="preserve"> </w:t>
      </w:r>
      <w:r w:rsidRPr="008729EF">
        <w:rPr>
          <w:lang w:val="sq-AL"/>
        </w:rPr>
        <w:t>paragra</w:t>
      </w:r>
      <w:r w:rsidRPr="008729EF" w:rsidR="00744F51">
        <w:rPr>
          <w:lang w:val="sq-AL"/>
        </w:rPr>
        <w:t>fin</w:t>
      </w:r>
      <w:r w:rsidRPr="008729EF">
        <w:rPr>
          <w:lang w:val="sq-AL"/>
        </w:rPr>
        <w:t xml:space="preserve"> 115 </w:t>
      </w:r>
      <w:r w:rsidRPr="008729EF" w:rsidR="00604857">
        <w:rPr>
          <w:lang w:val="sq-AL"/>
        </w:rPr>
        <w:t>të mësipërm</w:t>
      </w:r>
      <w:r w:rsidRPr="008729EF">
        <w:rPr>
          <w:lang w:val="sq-AL"/>
        </w:rPr>
        <w:t xml:space="preserve">, </w:t>
      </w:r>
      <w:r w:rsidRPr="008729EF" w:rsidR="00744F51">
        <w:rPr>
          <w:lang w:val="sq-AL"/>
        </w:rPr>
        <w:t>se</w:t>
      </w:r>
      <w:r w:rsidRPr="008729EF">
        <w:rPr>
          <w:lang w:val="sq-AL"/>
        </w:rPr>
        <w:t xml:space="preserve">, </w:t>
      </w:r>
      <w:r w:rsidRPr="008729EF" w:rsidR="00744F51">
        <w:rPr>
          <w:lang w:val="sq-AL"/>
        </w:rPr>
        <w:t>n</w:t>
      </w:r>
      <w:r w:rsidRPr="008729EF" w:rsidR="00BF6DEB">
        <w:rPr>
          <w:lang w:val="sq-AL"/>
        </w:rPr>
        <w:t>ë</w:t>
      </w:r>
      <w:r w:rsidRPr="008729EF" w:rsidR="00744F51">
        <w:rPr>
          <w:lang w:val="sq-AL"/>
        </w:rPr>
        <w:t xml:space="preserve"> një ç</w:t>
      </w:r>
      <w:r w:rsidRPr="008729EF" w:rsidR="00BF6DEB">
        <w:rPr>
          <w:lang w:val="sq-AL"/>
        </w:rPr>
        <w:t>ë</w:t>
      </w:r>
      <w:r w:rsidRPr="008729EF" w:rsidR="00744F51">
        <w:rPr>
          <w:lang w:val="sq-AL"/>
        </w:rPr>
        <w:t xml:space="preserve">shtje si kjo, neni </w:t>
      </w:r>
      <w:r w:rsidRPr="008729EF">
        <w:rPr>
          <w:lang w:val="sq-AL"/>
        </w:rPr>
        <w:t xml:space="preserve">13 </w:t>
      </w:r>
      <w:r w:rsidRPr="008729EF" w:rsidR="00744F51">
        <w:rPr>
          <w:lang w:val="sq-AL"/>
        </w:rPr>
        <w:t>k</w:t>
      </w:r>
      <w:r w:rsidRPr="008729EF" w:rsidR="00BF6DEB">
        <w:rPr>
          <w:lang w:val="sq-AL"/>
        </w:rPr>
        <w:t>ë</w:t>
      </w:r>
      <w:r w:rsidRPr="008729EF" w:rsidR="00744F51">
        <w:rPr>
          <w:lang w:val="sq-AL"/>
        </w:rPr>
        <w:t>rkon nj</w:t>
      </w:r>
      <w:r w:rsidRPr="008729EF" w:rsidR="00BF6DEB">
        <w:rPr>
          <w:lang w:val="sq-AL"/>
        </w:rPr>
        <w:t>ë</w:t>
      </w:r>
      <w:r w:rsidRPr="008729EF" w:rsidR="00744F51">
        <w:rPr>
          <w:lang w:val="sq-AL"/>
        </w:rPr>
        <w:t xml:space="preserve"> mekanizëm q</w:t>
      </w:r>
      <w:r w:rsidRPr="008729EF" w:rsidR="00BF6DEB">
        <w:rPr>
          <w:lang w:val="sq-AL"/>
        </w:rPr>
        <w:t>ë</w:t>
      </w:r>
      <w:r w:rsidRPr="008729EF" w:rsidR="00744F51">
        <w:rPr>
          <w:lang w:val="sq-AL"/>
        </w:rPr>
        <w:t xml:space="preserve"> e lejon t</w:t>
      </w:r>
      <w:r w:rsidRPr="008729EF" w:rsidR="00BF6DEB">
        <w:rPr>
          <w:lang w:val="sq-AL"/>
        </w:rPr>
        <w:t>ë</w:t>
      </w:r>
      <w:r w:rsidRPr="008729EF" w:rsidR="00744F51">
        <w:rPr>
          <w:lang w:val="sq-AL"/>
        </w:rPr>
        <w:t xml:space="preserve"> v</w:t>
      </w:r>
      <w:r w:rsidRPr="008729EF" w:rsidR="00BF6DEB">
        <w:rPr>
          <w:lang w:val="sq-AL"/>
        </w:rPr>
        <w:t>ë</w:t>
      </w:r>
      <w:r w:rsidRPr="008729EF" w:rsidR="00744F51">
        <w:rPr>
          <w:lang w:val="sq-AL"/>
        </w:rPr>
        <w:t xml:space="preserve">rtetohet, nëse </w:t>
      </w:r>
      <w:r w:rsidRPr="008729EF" w:rsidR="00BF6DEB">
        <w:rPr>
          <w:lang w:val="sq-AL"/>
        </w:rPr>
        <w:t>ë</w:t>
      </w:r>
      <w:r w:rsidRPr="008729EF" w:rsidR="00744F51">
        <w:rPr>
          <w:lang w:val="sq-AL"/>
        </w:rPr>
        <w:t>sht</w:t>
      </w:r>
      <w:r w:rsidRPr="008729EF" w:rsidR="00BF6DEB">
        <w:rPr>
          <w:lang w:val="sq-AL"/>
        </w:rPr>
        <w:t>ë</w:t>
      </w:r>
      <w:r w:rsidRPr="008729EF" w:rsidR="00744F51">
        <w:rPr>
          <w:lang w:val="sq-AL"/>
        </w:rPr>
        <w:t xml:space="preserve"> rasti, </w:t>
      </w:r>
      <w:r w:rsidRPr="008729EF" w:rsidR="00BF6DEB">
        <w:rPr>
          <w:lang w:val="sq-AL"/>
        </w:rPr>
        <w:t xml:space="preserve">përgjegjësinë e agjentëve ose të organeve të shtetit për veprime ose mosveprime që përbëjnë shkelje të të drejtave të sanksionuara nga Konventa, dhe se një zhdëmtim i dëmit moral që rrjedh nga shkelja duhet që të bëjë pjesë parimisht në regjimin e krijuar për dëmshpërblim </w:t>
      </w:r>
      <w:r w:rsidRPr="008729EF">
        <w:rPr>
          <w:lang w:val="sq-AL"/>
        </w:rPr>
        <w:t>(</w:t>
      </w:r>
      <w:r w:rsidRPr="008729EF">
        <w:rPr>
          <w:i/>
          <w:lang w:val="sq-AL"/>
        </w:rPr>
        <w:t xml:space="preserve">Z </w:t>
      </w:r>
      <w:r w:rsidRPr="008729EF" w:rsidR="00E90FE3">
        <w:rPr>
          <w:i/>
          <w:lang w:val="sq-AL"/>
        </w:rPr>
        <w:t>me të tjerë k</w:t>
      </w:r>
      <w:r w:rsidRPr="008729EF">
        <w:rPr>
          <w:i/>
          <w:lang w:val="sq-AL"/>
        </w:rPr>
        <w:t xml:space="preserve">. </w:t>
      </w:r>
      <w:r w:rsidRPr="008729EF" w:rsidR="002759DF">
        <w:rPr>
          <w:i/>
          <w:lang w:val="sq-AL"/>
        </w:rPr>
        <w:t>Mbretërisë së Bashkuar</w:t>
      </w:r>
      <w:r w:rsidRPr="008729EF">
        <w:rPr>
          <w:lang w:val="sq-AL"/>
        </w:rPr>
        <w:t xml:space="preserve">, </w:t>
      </w:r>
      <w:r w:rsidRPr="008729EF" w:rsidR="00E90FE3">
        <w:rPr>
          <w:lang w:val="sq-AL"/>
        </w:rPr>
        <w:t>i cituar më lart</w:t>
      </w:r>
      <w:r w:rsidRPr="008729EF">
        <w:rPr>
          <w:lang w:val="sq-AL"/>
        </w:rPr>
        <w:t xml:space="preserve">, § 109). </w:t>
      </w:r>
      <w:r w:rsidRPr="008729EF" w:rsidR="00BF6DEB">
        <w:rPr>
          <w:lang w:val="sq-AL"/>
        </w:rPr>
        <w:t>Gjykata u referohet gjithashtu jurisprudencës dhe parimeve përkatëse të parashtruara në paragrafët 107 e</w:t>
      </w:r>
      <w:r w:rsidRPr="008729EF">
        <w:rPr>
          <w:lang w:val="sq-AL"/>
        </w:rPr>
        <w:t xml:space="preserve"> 108 </w:t>
      </w:r>
      <w:r w:rsidRPr="008729EF" w:rsidR="00BF6DEB">
        <w:rPr>
          <w:lang w:val="sq-AL"/>
        </w:rPr>
        <w:t>të vendimit të saj</w:t>
      </w:r>
      <w:r w:rsidRPr="008729EF">
        <w:rPr>
          <w:lang w:val="sq-AL"/>
        </w:rPr>
        <w:t xml:space="preserve"> </w:t>
      </w:r>
      <w:r w:rsidRPr="008729EF">
        <w:rPr>
          <w:i/>
          <w:lang w:val="sq-AL"/>
        </w:rPr>
        <w:t xml:space="preserve">McFarlane </w:t>
      </w:r>
      <w:r w:rsidRPr="008729EF" w:rsidR="00BF6DEB">
        <w:rPr>
          <w:i/>
          <w:lang w:val="sq-AL"/>
        </w:rPr>
        <w:t>k</w:t>
      </w:r>
      <w:r w:rsidRPr="008729EF">
        <w:rPr>
          <w:i/>
          <w:lang w:val="sq-AL"/>
        </w:rPr>
        <w:t>. Irland</w:t>
      </w:r>
      <w:r w:rsidRPr="008729EF" w:rsidR="00BF6DEB">
        <w:rPr>
          <w:i/>
          <w:lang w:val="sq-AL"/>
        </w:rPr>
        <w:t>ës</w:t>
      </w:r>
      <w:r w:rsidRPr="008729EF">
        <w:rPr>
          <w:i/>
          <w:lang w:val="sq-AL"/>
        </w:rPr>
        <w:t xml:space="preserve"> </w:t>
      </w:r>
      <w:r w:rsidRPr="008729EF">
        <w:rPr>
          <w:lang w:val="sq-AL"/>
        </w:rPr>
        <w:t>([</w:t>
      </w:r>
      <w:r w:rsidRPr="008729EF" w:rsidR="004F4B3E">
        <w:rPr>
          <w:lang w:val="sq-AL"/>
        </w:rPr>
        <w:t>DhM</w:t>
      </w:r>
      <w:r w:rsidRPr="008729EF">
        <w:rPr>
          <w:lang w:val="sq-AL"/>
        </w:rPr>
        <w:t xml:space="preserve">], </w:t>
      </w:r>
      <w:r w:rsidRPr="008729EF" w:rsidR="001E408E">
        <w:rPr>
          <w:lang w:val="sq-AL"/>
        </w:rPr>
        <w:t>nr.</w:t>
      </w:r>
      <w:r w:rsidRPr="008729EF">
        <w:rPr>
          <w:lang w:val="sq-AL"/>
        </w:rPr>
        <w:t> 31333/06, §§ 107-120, 10 </w:t>
      </w:r>
      <w:r w:rsidRPr="008729EF" w:rsidR="00BF6DEB">
        <w:rPr>
          <w:lang w:val="sq-AL"/>
        </w:rPr>
        <w:t>shtator</w:t>
      </w:r>
      <w:r w:rsidRPr="008729EF">
        <w:rPr>
          <w:lang w:val="sq-AL"/>
        </w:rPr>
        <w:t xml:space="preserve"> 2010). </w:t>
      </w:r>
      <w:r w:rsidRPr="008729EF" w:rsidR="00BF6DEB">
        <w:rPr>
          <w:lang w:val="sq-AL"/>
        </w:rPr>
        <w:t>Në veçanti, ajo e ka për detyrë të përcaktojë, në dritën e vërejtjeve të palëve, nëse mundësitë e përmendura për ankim ishin efektive dhe të disponueshme si teorikisht ashtu edhe praktikisht, domethënë të hapura dhe të tilla që t</w:t>
      </w:r>
      <w:r w:rsidR="00943091">
        <w:rPr>
          <w:lang w:val="sq-AL"/>
        </w:rPr>
        <w:t>’</w:t>
      </w:r>
      <w:r w:rsidRPr="008729EF" w:rsidR="00BF6DEB">
        <w:rPr>
          <w:lang w:val="sq-AL"/>
        </w:rPr>
        <w:t xml:space="preserve">i jepnin paditëses perspektiva të arsyeshme për zhdëmtimin e pretendimeve të saj. Ajo nënvizon nga ana tjetër rëndësinë që ka mundësia për ta zhvilluar ankimin në një sistem të bazuar njëherësh edhe në </w:t>
      </w:r>
      <w:r w:rsidRPr="008729EF">
        <w:rPr>
          <w:i/>
          <w:lang w:val="sq-AL"/>
        </w:rPr>
        <w:t>common law</w:t>
      </w:r>
      <w:r w:rsidRPr="008729EF">
        <w:rPr>
          <w:lang w:val="sq-AL"/>
        </w:rPr>
        <w:t xml:space="preserve"> </w:t>
      </w:r>
      <w:r w:rsidRPr="008729EF" w:rsidR="00BF6DEB">
        <w:rPr>
          <w:lang w:val="sq-AL"/>
        </w:rPr>
        <w:t xml:space="preserve">edhe në një kushtetutë të shkruar </w:t>
      </w:r>
      <w:r w:rsidRPr="008729EF">
        <w:rPr>
          <w:lang w:val="sq-AL"/>
        </w:rPr>
        <w:t>(</w:t>
      </w:r>
      <w:r w:rsidRPr="008729EF" w:rsidR="00BF6DEB">
        <w:rPr>
          <w:lang w:val="sq-AL"/>
        </w:rPr>
        <w:t>shih, në veçanti</w:t>
      </w:r>
      <w:r w:rsidRPr="008729EF">
        <w:rPr>
          <w:lang w:val="sq-AL"/>
        </w:rPr>
        <w:t xml:space="preserve">, </w:t>
      </w:r>
      <w:r w:rsidRPr="008729EF">
        <w:rPr>
          <w:i/>
          <w:lang w:val="sq-AL"/>
        </w:rPr>
        <w:t xml:space="preserve">D. </w:t>
      </w:r>
      <w:r w:rsidRPr="008729EF" w:rsidR="00BF6DEB">
        <w:rPr>
          <w:i/>
          <w:lang w:val="sq-AL"/>
        </w:rPr>
        <w:t>k</w:t>
      </w:r>
      <w:r w:rsidRPr="008729EF">
        <w:rPr>
          <w:i/>
          <w:lang w:val="sq-AL"/>
        </w:rPr>
        <w:t>. Irland</w:t>
      </w:r>
      <w:r w:rsidRPr="008729EF" w:rsidR="00BF6DEB">
        <w:rPr>
          <w:i/>
          <w:lang w:val="sq-AL"/>
        </w:rPr>
        <w:t>ës</w:t>
      </w:r>
      <w:r w:rsidRPr="008729EF">
        <w:rPr>
          <w:i/>
          <w:lang w:val="sq-AL"/>
        </w:rPr>
        <w:t xml:space="preserve"> </w:t>
      </w:r>
      <w:r w:rsidRPr="008729EF">
        <w:rPr>
          <w:lang w:val="sq-AL"/>
        </w:rPr>
        <w:t>(</w:t>
      </w:r>
      <w:r w:rsidRPr="0009363E" w:rsidR="00BF6DEB">
        <w:rPr>
          <w:lang w:val="sq-AL"/>
        </w:rPr>
        <w:t>vend</w:t>
      </w:r>
      <w:r w:rsidRPr="0009363E">
        <w:rPr>
          <w:lang w:val="sq-AL"/>
        </w:rPr>
        <w:t>.</w:t>
      </w:r>
      <w:r w:rsidRPr="0009363E" w:rsidR="00BF6DEB">
        <w:rPr>
          <w:lang w:val="sq-AL"/>
        </w:rPr>
        <w:t xml:space="preserve"> pran</w:t>
      </w:r>
      <w:r w:rsidRPr="008729EF" w:rsidR="00BF6DEB">
        <w:rPr>
          <w:lang w:val="sq-AL"/>
        </w:rPr>
        <w:t>.</w:t>
      </w:r>
      <w:r w:rsidRPr="008729EF">
        <w:rPr>
          <w:lang w:val="sq-AL"/>
        </w:rPr>
        <w:t xml:space="preserve">), </w:t>
      </w:r>
      <w:r w:rsidRPr="008729EF" w:rsidR="001E408E">
        <w:rPr>
          <w:lang w:val="sq-AL"/>
        </w:rPr>
        <w:t>nr.</w:t>
      </w:r>
      <w:r w:rsidRPr="008729EF">
        <w:rPr>
          <w:lang w:val="sq-AL"/>
        </w:rPr>
        <w:t xml:space="preserve"> 26499/02, § 85, 27 </w:t>
      </w:r>
      <w:r w:rsidRPr="008729EF" w:rsidR="00BF6DEB">
        <w:rPr>
          <w:lang w:val="sq-AL"/>
        </w:rPr>
        <w:t>qershor</w:t>
      </w:r>
      <w:r w:rsidRPr="008729EF">
        <w:rPr>
          <w:lang w:val="sq-AL"/>
        </w:rPr>
        <w:t xml:space="preserve"> 2006).</w:t>
      </w:r>
    </w:p>
    <w:p w:rsidRPr="008729EF" w:rsidR="00EB737A" w:rsidP="00EB737A" w:rsidRDefault="00EB737A">
      <w:pPr>
        <w:pStyle w:val="ECHRHeading2"/>
        <w:rPr>
          <w:lang w:val="sq-AL"/>
        </w:rPr>
      </w:pPr>
      <w:r w:rsidRPr="008729EF">
        <w:rPr>
          <w:lang w:val="sq-AL"/>
        </w:rPr>
        <w:t>A.  </w:t>
      </w:r>
      <w:r w:rsidRPr="008729EF" w:rsidR="00F75885">
        <w:rPr>
          <w:lang w:val="sq-AL"/>
        </w:rPr>
        <w:t>Rrugët e ankimit civil kundër instancave jo publike</w:t>
      </w:r>
    </w:p>
    <w:p w:rsidRPr="008729EF" w:rsidR="00EB737A" w:rsidP="00EB737A" w:rsidRDefault="00EB737A">
      <w:pPr>
        <w:pStyle w:val="ECHRPara"/>
        <w:rPr>
          <w:lang w:val="sq-AL"/>
        </w:rPr>
      </w:pPr>
      <w:r w:rsidRPr="008729EF">
        <w:rPr>
          <w:lang w:val="sq-AL"/>
        </w:rPr>
        <w:fldChar w:fldCharType="begin"/>
      </w:r>
      <w:r w:rsidRPr="008729EF">
        <w:rPr>
          <w:lang w:val="sq-AL"/>
        </w:rPr>
        <w:instrText xml:space="preserve"> SEQ level0 \*arabic </w:instrText>
      </w:r>
      <w:r w:rsidRPr="008729EF">
        <w:rPr>
          <w:lang w:val="sq-AL"/>
        </w:rPr>
        <w:fldChar w:fldCharType="separate"/>
      </w:r>
      <w:r w:rsidR="00013F9B">
        <w:rPr>
          <w:noProof/>
          <w:lang w:val="sq-AL"/>
        </w:rPr>
        <w:t>178</w:t>
      </w:r>
      <w:r w:rsidRPr="008729EF">
        <w:rPr>
          <w:lang w:val="sq-AL"/>
        </w:rPr>
        <w:fldChar w:fldCharType="end"/>
      </w:r>
      <w:r w:rsidRPr="008729EF">
        <w:rPr>
          <w:lang w:val="sq-AL"/>
        </w:rPr>
        <w:t>.  </w:t>
      </w:r>
      <w:r w:rsidRPr="008729EF" w:rsidR="00962CFA">
        <w:rPr>
          <w:lang w:val="sq-AL"/>
        </w:rPr>
        <w:t xml:space="preserve">Qeveria mbron mendimin se paditësja qenka dashur të ngrinte padi kundër </w:t>
      </w:r>
      <w:r w:rsidRPr="008729EF" w:rsidR="00962CFA">
        <w:rPr>
          <w:i/>
          <w:lang w:val="sq-AL"/>
        </w:rPr>
        <w:t xml:space="preserve">Padronit </w:t>
      </w:r>
      <w:r w:rsidRPr="008729EF" w:rsidR="00962CFA">
        <w:rPr>
          <w:lang w:val="sq-AL"/>
        </w:rPr>
        <w:t xml:space="preserve">të tanishëm dhe/ose të vjetër të shkollës, dioqezës ku ky ishte ipeshkëv, drejtorit dhe/ose drejtorit </w:t>
      </w:r>
      <w:r w:rsidRPr="008729EF" w:rsidR="00962CFA">
        <w:rPr>
          <w:i/>
          <w:lang w:val="sq-AL"/>
        </w:rPr>
        <w:t>de facto</w:t>
      </w:r>
      <w:r w:rsidRPr="008729EF" w:rsidR="00962CFA">
        <w:rPr>
          <w:lang w:val="sq-AL"/>
        </w:rPr>
        <w:t xml:space="preserve"> ose pasardhësve a trashëgimtarëve të këtyre personave. Ajo thekson lidhur me këtë se, gjatë procedurës përpara Gjykatës së Lartë, gjyqtari</w:t>
      </w:r>
      <w:r w:rsidR="00943091">
        <w:rPr>
          <w:lang w:val="sq-AL"/>
        </w:rPr>
        <w:t xml:space="preserve"> </w:t>
      </w:r>
      <w:r w:rsidRPr="008729EF">
        <w:rPr>
          <w:lang w:val="sq-AL"/>
        </w:rPr>
        <w:t xml:space="preserve">Hardiman </w:t>
      </w:r>
      <w:r w:rsidRPr="008729EF" w:rsidR="00962CFA">
        <w:rPr>
          <w:lang w:val="sq-AL"/>
        </w:rPr>
        <w:t>e ka gjykuar si “për t</w:t>
      </w:r>
      <w:r w:rsidR="00943091">
        <w:rPr>
          <w:lang w:val="sq-AL"/>
        </w:rPr>
        <w:t>’</w:t>
      </w:r>
      <w:r w:rsidRPr="008729EF" w:rsidR="00962CFA">
        <w:rPr>
          <w:lang w:val="sq-AL"/>
        </w:rPr>
        <w:t>u shënuar” q</w:t>
      </w:r>
      <w:r w:rsidR="008729EF">
        <w:rPr>
          <w:lang w:val="sq-AL"/>
        </w:rPr>
        <w:t>ë</w:t>
      </w:r>
      <w:r w:rsidRPr="008729EF" w:rsidR="00962CFA">
        <w:rPr>
          <w:lang w:val="sq-AL"/>
        </w:rPr>
        <w:t xml:space="preserve"> e interesuara nuk e kishte b</w:t>
      </w:r>
      <w:r w:rsidR="008729EF">
        <w:rPr>
          <w:lang w:val="sq-AL"/>
        </w:rPr>
        <w:t>ë</w:t>
      </w:r>
      <w:r w:rsidRPr="008729EF" w:rsidR="00962CFA">
        <w:rPr>
          <w:lang w:val="sq-AL"/>
        </w:rPr>
        <w:t>rë këtë. Pa i dëmtuar vërejtjet e saj fillestare ku pohonte se nevojitej nj</w:t>
      </w:r>
      <w:r w:rsidR="008729EF">
        <w:rPr>
          <w:lang w:val="sq-AL"/>
        </w:rPr>
        <w:t>ë</w:t>
      </w:r>
      <w:r w:rsidRPr="008729EF" w:rsidR="00962CFA">
        <w:rPr>
          <w:lang w:val="sq-AL"/>
        </w:rPr>
        <w:t xml:space="preserve"> mjet ankimi kund</w:t>
      </w:r>
      <w:r w:rsidR="008729EF">
        <w:rPr>
          <w:lang w:val="sq-AL"/>
        </w:rPr>
        <w:t>ë</w:t>
      </w:r>
      <w:r w:rsidRPr="008729EF" w:rsidR="00962CFA">
        <w:rPr>
          <w:lang w:val="sq-AL"/>
        </w:rPr>
        <w:t xml:space="preserve">r shtetit, paditësja </w:t>
      </w:r>
      <w:r w:rsidRPr="008729EF" w:rsidR="00162CCA">
        <w:rPr>
          <w:lang w:val="sq-AL"/>
        </w:rPr>
        <w:t xml:space="preserve">parashtron se </w:t>
      </w:r>
      <w:r w:rsidRPr="008729EF" w:rsidR="00162CCA">
        <w:rPr>
          <w:i/>
          <w:lang w:val="sq-AL"/>
        </w:rPr>
        <w:t xml:space="preserve">Padroni </w:t>
      </w:r>
      <w:r w:rsidRPr="008729EF" w:rsidR="00162CCA">
        <w:rPr>
          <w:lang w:val="sq-AL"/>
        </w:rPr>
        <w:t>dhe drejtori kishin vdekur n</w:t>
      </w:r>
      <w:r w:rsidR="008729EF">
        <w:rPr>
          <w:lang w:val="sq-AL"/>
        </w:rPr>
        <w:t>ë</w:t>
      </w:r>
      <w:r w:rsidRPr="008729EF" w:rsidR="00162CCA">
        <w:rPr>
          <w:lang w:val="sq-AL"/>
        </w:rPr>
        <w:t xml:space="preserve"> koh</w:t>
      </w:r>
      <w:r w:rsidR="008729EF">
        <w:rPr>
          <w:lang w:val="sq-AL"/>
        </w:rPr>
        <w:t>ë</w:t>
      </w:r>
      <w:r w:rsidRPr="008729EF" w:rsidR="00162CCA">
        <w:rPr>
          <w:lang w:val="sq-AL"/>
        </w:rPr>
        <w:t>n e paraqitjes s</w:t>
      </w:r>
      <w:r w:rsidR="008729EF">
        <w:rPr>
          <w:lang w:val="sq-AL"/>
        </w:rPr>
        <w:t>ë</w:t>
      </w:r>
      <w:r w:rsidRPr="008729EF" w:rsidR="00162CCA">
        <w:rPr>
          <w:lang w:val="sq-AL"/>
        </w:rPr>
        <w:t xml:space="preserve"> padisë së saj civile, se ipeshkvi i tanish</w:t>
      </w:r>
      <w:r w:rsidR="008729EF">
        <w:rPr>
          <w:lang w:val="sq-AL"/>
        </w:rPr>
        <w:t>ë</w:t>
      </w:r>
      <w:r w:rsidRPr="008729EF" w:rsidR="00162CCA">
        <w:rPr>
          <w:lang w:val="sq-AL"/>
        </w:rPr>
        <w:t>m kishte hedhur poshtë çdolloj përgjegjësie në përgjigje të letrës s</w:t>
      </w:r>
      <w:r w:rsidR="008729EF">
        <w:rPr>
          <w:lang w:val="sq-AL"/>
        </w:rPr>
        <w:t>ë</w:t>
      </w:r>
      <w:r w:rsidRPr="008729EF" w:rsidR="00162CCA">
        <w:rPr>
          <w:lang w:val="sq-AL"/>
        </w:rPr>
        <w:t xml:space="preserve"> saj paragjyq</w:t>
      </w:r>
      <w:r w:rsidR="008729EF">
        <w:rPr>
          <w:lang w:val="sq-AL"/>
        </w:rPr>
        <w:t>ë</w:t>
      </w:r>
      <w:r w:rsidRPr="008729EF" w:rsidR="00162CCA">
        <w:rPr>
          <w:lang w:val="sq-AL"/>
        </w:rPr>
        <w:t>sore dhe se për k</w:t>
      </w:r>
      <w:r w:rsidR="008729EF">
        <w:rPr>
          <w:lang w:val="sq-AL"/>
        </w:rPr>
        <w:t>ë</w:t>
      </w:r>
      <w:r w:rsidRPr="008729EF" w:rsidR="00162CCA">
        <w:rPr>
          <w:lang w:val="sq-AL"/>
        </w:rPr>
        <w:t>të ai e kishte t</w:t>
      </w:r>
      <w:r w:rsidR="008729EF">
        <w:rPr>
          <w:lang w:val="sq-AL"/>
        </w:rPr>
        <w:t>ë</w:t>
      </w:r>
      <w:r w:rsidRPr="008729EF" w:rsidR="00162CCA">
        <w:rPr>
          <w:lang w:val="sq-AL"/>
        </w:rPr>
        <w:t xml:space="preserve"> drejtën n</w:t>
      </w:r>
      <w:r w:rsidR="008729EF">
        <w:rPr>
          <w:lang w:val="sq-AL"/>
        </w:rPr>
        <w:t>ë</w:t>
      </w:r>
      <w:r w:rsidRPr="008729EF" w:rsidR="00162CCA">
        <w:rPr>
          <w:lang w:val="sq-AL"/>
        </w:rPr>
        <w:t xml:space="preserve"> anën e tij përderisa, duke mos qen</w:t>
      </w:r>
      <w:r w:rsidR="008729EF">
        <w:rPr>
          <w:lang w:val="sq-AL"/>
        </w:rPr>
        <w:t>ë</w:t>
      </w:r>
      <w:r w:rsidRPr="008729EF" w:rsidR="00162CCA">
        <w:rPr>
          <w:lang w:val="sq-AL"/>
        </w:rPr>
        <w:t xml:space="preserve"> nj</w:t>
      </w:r>
      <w:r w:rsidR="008729EF">
        <w:rPr>
          <w:lang w:val="sq-AL"/>
        </w:rPr>
        <w:t>ë</w:t>
      </w:r>
      <w:r w:rsidRPr="008729EF" w:rsidR="00162CCA">
        <w:rPr>
          <w:lang w:val="sq-AL"/>
        </w:rPr>
        <w:t xml:space="preserve"> person juridik me trashëgimi të përjetshme, ai nuk mund t</w:t>
      </w:r>
      <w:r w:rsidR="008729EF">
        <w:rPr>
          <w:lang w:val="sq-AL"/>
        </w:rPr>
        <w:t>ë</w:t>
      </w:r>
      <w:r w:rsidRPr="008729EF" w:rsidR="00162CCA">
        <w:rPr>
          <w:lang w:val="sq-AL"/>
        </w:rPr>
        <w:t xml:space="preserve"> ndiqej n</w:t>
      </w:r>
      <w:r w:rsidR="008729EF">
        <w:rPr>
          <w:lang w:val="sq-AL"/>
        </w:rPr>
        <w:t>ë</w:t>
      </w:r>
      <w:r w:rsidRPr="008729EF" w:rsidR="00162CCA">
        <w:rPr>
          <w:lang w:val="sq-AL"/>
        </w:rPr>
        <w:t xml:space="preserve"> k</w:t>
      </w:r>
      <w:r w:rsidR="008729EF">
        <w:rPr>
          <w:lang w:val="sq-AL"/>
        </w:rPr>
        <w:t>ë</w:t>
      </w:r>
      <w:r w:rsidRPr="008729EF" w:rsidR="00162CCA">
        <w:rPr>
          <w:lang w:val="sq-AL"/>
        </w:rPr>
        <w:t>të rast.</w:t>
      </w:r>
    </w:p>
    <w:p w:rsidRPr="008729EF" w:rsidR="00EB737A" w:rsidP="00EB737A" w:rsidRDefault="00EB737A">
      <w:pPr>
        <w:pStyle w:val="ECHRPara"/>
        <w:rPr>
          <w:lang w:val="sq-AL"/>
        </w:rPr>
      </w:pPr>
      <w:r w:rsidRPr="008729EF">
        <w:rPr>
          <w:lang w:val="sq-AL"/>
        </w:rPr>
        <w:fldChar w:fldCharType="begin"/>
      </w:r>
      <w:r w:rsidRPr="008729EF">
        <w:rPr>
          <w:lang w:val="sq-AL"/>
        </w:rPr>
        <w:instrText xml:space="preserve"> SEQ level0 \*arabic </w:instrText>
      </w:r>
      <w:r w:rsidRPr="008729EF">
        <w:rPr>
          <w:lang w:val="sq-AL"/>
        </w:rPr>
        <w:fldChar w:fldCharType="separate"/>
      </w:r>
      <w:r w:rsidR="00013F9B">
        <w:rPr>
          <w:noProof/>
          <w:lang w:val="sq-AL"/>
        </w:rPr>
        <w:t>179</w:t>
      </w:r>
      <w:r w:rsidRPr="008729EF">
        <w:rPr>
          <w:lang w:val="sq-AL"/>
        </w:rPr>
        <w:fldChar w:fldCharType="end"/>
      </w:r>
      <w:r w:rsidRPr="008729EF">
        <w:rPr>
          <w:lang w:val="sq-AL"/>
        </w:rPr>
        <w:t>.  </w:t>
      </w:r>
      <w:r w:rsidRPr="008729EF" w:rsidR="00162CCA">
        <w:rPr>
          <w:lang w:val="sq-AL"/>
        </w:rPr>
        <w:t>Meqen</w:t>
      </w:r>
      <w:r w:rsidR="008729EF">
        <w:rPr>
          <w:lang w:val="sq-AL"/>
        </w:rPr>
        <w:t>ë</w:t>
      </w:r>
      <w:r w:rsidRPr="008729EF" w:rsidR="00162CCA">
        <w:rPr>
          <w:lang w:val="sq-AL"/>
        </w:rPr>
        <w:t>se Gjykata ka dal</w:t>
      </w:r>
      <w:r w:rsidR="008729EF">
        <w:rPr>
          <w:lang w:val="sq-AL"/>
        </w:rPr>
        <w:t>ë</w:t>
      </w:r>
      <w:r w:rsidRPr="008729EF" w:rsidR="00162CCA">
        <w:rPr>
          <w:lang w:val="sq-AL"/>
        </w:rPr>
        <w:t xml:space="preserve"> n</w:t>
      </w:r>
      <w:r w:rsidR="008729EF">
        <w:rPr>
          <w:lang w:val="sq-AL"/>
        </w:rPr>
        <w:t>ë</w:t>
      </w:r>
      <w:r w:rsidRPr="008729EF" w:rsidR="00162CCA">
        <w:rPr>
          <w:lang w:val="sq-AL"/>
        </w:rPr>
        <w:t xml:space="preserve"> përfundimin se padit</w:t>
      </w:r>
      <w:r w:rsidR="008729EF">
        <w:rPr>
          <w:lang w:val="sq-AL"/>
        </w:rPr>
        <w:t>ë</w:t>
      </w:r>
      <w:r w:rsidRPr="008729EF" w:rsidR="00162CCA">
        <w:rPr>
          <w:lang w:val="sq-AL"/>
        </w:rPr>
        <w:t>sja ishte dashur të kishte nj</w:t>
      </w:r>
      <w:r w:rsidR="008729EF">
        <w:rPr>
          <w:lang w:val="sq-AL"/>
        </w:rPr>
        <w:t>ë</w:t>
      </w:r>
      <w:r w:rsidRPr="008729EF" w:rsidR="00162CCA">
        <w:rPr>
          <w:lang w:val="sq-AL"/>
        </w:rPr>
        <w:t xml:space="preserve"> mundësi ankimi q</w:t>
      </w:r>
      <w:r w:rsidR="008729EF">
        <w:rPr>
          <w:lang w:val="sq-AL"/>
        </w:rPr>
        <w:t>ë</w:t>
      </w:r>
      <w:r w:rsidRPr="008729EF" w:rsidR="00162CCA">
        <w:rPr>
          <w:lang w:val="sq-AL"/>
        </w:rPr>
        <w:t xml:space="preserve"> të lejonte përcaktimin e nj</w:t>
      </w:r>
      <w:r w:rsidR="008729EF">
        <w:rPr>
          <w:lang w:val="sq-AL"/>
        </w:rPr>
        <w:t>ë</w:t>
      </w:r>
      <w:r w:rsidRPr="008729EF" w:rsidR="00162CCA">
        <w:rPr>
          <w:lang w:val="sq-AL"/>
        </w:rPr>
        <w:t xml:space="preserve"> përgjegj</w:t>
      </w:r>
      <w:r w:rsidR="008729EF">
        <w:rPr>
          <w:lang w:val="sq-AL"/>
        </w:rPr>
        <w:t>ë</w:t>
      </w:r>
      <w:r w:rsidRPr="008729EF" w:rsidR="00162CCA">
        <w:rPr>
          <w:lang w:val="sq-AL"/>
        </w:rPr>
        <w:t>sie eventuale t</w:t>
      </w:r>
      <w:r w:rsidR="008729EF">
        <w:rPr>
          <w:lang w:val="sq-AL"/>
        </w:rPr>
        <w:t>ë</w:t>
      </w:r>
      <w:r w:rsidRPr="008729EF" w:rsidR="00162CCA">
        <w:rPr>
          <w:lang w:val="sq-AL"/>
        </w:rPr>
        <w:t xml:space="preserve"> shtetit, ajo çmon se procedurat e përmendura civile, t</w:t>
      </w:r>
      <w:r w:rsidR="008729EF">
        <w:rPr>
          <w:lang w:val="sq-AL"/>
        </w:rPr>
        <w:t>ë</w:t>
      </w:r>
      <w:r w:rsidRPr="008729EF" w:rsidR="00162CCA">
        <w:rPr>
          <w:lang w:val="sq-AL"/>
        </w:rPr>
        <w:t xml:space="preserve"> cilat kishin të b</w:t>
      </w:r>
      <w:r w:rsidR="008729EF">
        <w:rPr>
          <w:lang w:val="sq-AL"/>
        </w:rPr>
        <w:t>ë</w:t>
      </w:r>
      <w:r w:rsidRPr="008729EF" w:rsidR="00162CCA">
        <w:rPr>
          <w:lang w:val="sq-AL"/>
        </w:rPr>
        <w:t>nin me persona t</w:t>
      </w:r>
      <w:r w:rsidR="008729EF">
        <w:rPr>
          <w:lang w:val="sq-AL"/>
        </w:rPr>
        <w:t>ë</w:t>
      </w:r>
      <w:r w:rsidRPr="008729EF" w:rsidR="00162CCA">
        <w:rPr>
          <w:lang w:val="sq-AL"/>
        </w:rPr>
        <w:t xml:space="preserve"> tjerë dhe me instanca jo publike, duhet të konsiderohen si jo efektive n</w:t>
      </w:r>
      <w:r w:rsidR="008729EF">
        <w:rPr>
          <w:lang w:val="sq-AL"/>
        </w:rPr>
        <w:t>ë</w:t>
      </w:r>
      <w:r w:rsidRPr="008729EF" w:rsidR="00162CCA">
        <w:rPr>
          <w:lang w:val="sq-AL"/>
        </w:rPr>
        <w:t xml:space="preserve"> çështjen n</w:t>
      </w:r>
      <w:r w:rsidR="008729EF">
        <w:rPr>
          <w:lang w:val="sq-AL"/>
        </w:rPr>
        <w:t>ë</w:t>
      </w:r>
      <w:r w:rsidRPr="008729EF" w:rsidR="00162CCA">
        <w:rPr>
          <w:lang w:val="sq-AL"/>
        </w:rPr>
        <w:t xml:space="preserve"> fjalë, pavar</w:t>
      </w:r>
      <w:r w:rsidR="008729EF">
        <w:rPr>
          <w:lang w:val="sq-AL"/>
        </w:rPr>
        <w:t>ë</w:t>
      </w:r>
      <w:r w:rsidRPr="008729EF" w:rsidR="00162CCA">
        <w:rPr>
          <w:lang w:val="sq-AL"/>
        </w:rPr>
        <w:t>sisht nga perspektivat e tyre për sukses (për sa i përket padive kund</w:t>
      </w:r>
      <w:r w:rsidR="008729EF">
        <w:rPr>
          <w:lang w:val="sq-AL"/>
        </w:rPr>
        <w:t>ë</w:t>
      </w:r>
      <w:r w:rsidRPr="008729EF" w:rsidR="00162CCA">
        <w:rPr>
          <w:lang w:val="sq-AL"/>
        </w:rPr>
        <w:t xml:space="preserve">r </w:t>
      </w:r>
      <w:r w:rsidRPr="008729EF" w:rsidR="00162CCA">
        <w:rPr>
          <w:i/>
          <w:lang w:val="sq-AL"/>
        </w:rPr>
        <w:t xml:space="preserve">Padronit </w:t>
      </w:r>
      <w:r w:rsidRPr="008729EF" w:rsidR="00162CCA">
        <w:rPr>
          <w:lang w:val="sq-AL"/>
        </w:rPr>
        <w:t xml:space="preserve">dhe drejtorit) dhe nga shanset për </w:t>
      </w:r>
      <w:r w:rsidRPr="008729EF" w:rsidR="008729EF">
        <w:rPr>
          <w:lang w:val="sq-AL"/>
        </w:rPr>
        <w:t>t</w:t>
      </w:r>
      <w:r w:rsidR="00943091">
        <w:rPr>
          <w:lang w:val="sq-AL"/>
        </w:rPr>
        <w:t>’</w:t>
      </w:r>
      <w:r w:rsidRPr="008729EF" w:rsidR="008729EF">
        <w:rPr>
          <w:lang w:val="sq-AL"/>
        </w:rPr>
        <w:t>i marrë</w:t>
      </w:r>
      <w:r w:rsidRPr="008729EF" w:rsidR="00162CCA">
        <w:rPr>
          <w:lang w:val="sq-AL"/>
        </w:rPr>
        <w:t xml:space="preserve"> </w:t>
      </w:r>
      <w:r w:rsidRPr="008729EF" w:rsidR="008729EF">
        <w:rPr>
          <w:lang w:val="sq-AL"/>
        </w:rPr>
        <w:t>d</w:t>
      </w:r>
      <w:r w:rsidR="008729EF">
        <w:rPr>
          <w:lang w:val="sq-AL"/>
        </w:rPr>
        <w:t>ë</w:t>
      </w:r>
      <w:r w:rsidRPr="008729EF" w:rsidR="008729EF">
        <w:rPr>
          <w:lang w:val="sq-AL"/>
        </w:rPr>
        <w:t>mshpërblimet dhe interesat e dh</w:t>
      </w:r>
      <w:r w:rsidR="008729EF">
        <w:rPr>
          <w:lang w:val="sq-AL"/>
        </w:rPr>
        <w:t>ë</w:t>
      </w:r>
      <w:r w:rsidRPr="008729EF" w:rsidR="008729EF">
        <w:rPr>
          <w:lang w:val="sq-AL"/>
        </w:rPr>
        <w:t>na n</w:t>
      </w:r>
      <w:r w:rsidR="008729EF">
        <w:rPr>
          <w:lang w:val="sq-AL"/>
        </w:rPr>
        <w:t>ë</w:t>
      </w:r>
      <w:r w:rsidRPr="008729EF" w:rsidR="008729EF">
        <w:rPr>
          <w:lang w:val="sq-AL"/>
        </w:rPr>
        <w:t xml:space="preserve"> k</w:t>
      </w:r>
      <w:r w:rsidR="008729EF">
        <w:rPr>
          <w:lang w:val="sq-AL"/>
        </w:rPr>
        <w:t>ë</w:t>
      </w:r>
      <w:r w:rsidRPr="008729EF" w:rsidR="008729EF">
        <w:rPr>
          <w:lang w:val="sq-AL"/>
        </w:rPr>
        <w:t>t</w:t>
      </w:r>
      <w:r w:rsidR="008729EF">
        <w:rPr>
          <w:lang w:val="sq-AL"/>
        </w:rPr>
        <w:t>ë</w:t>
      </w:r>
      <w:r w:rsidRPr="008729EF" w:rsidR="008729EF">
        <w:rPr>
          <w:lang w:val="sq-AL"/>
        </w:rPr>
        <w:t xml:space="preserve"> suazë (lidhur me padin</w:t>
      </w:r>
      <w:r w:rsidR="008729EF">
        <w:rPr>
          <w:lang w:val="sq-AL"/>
        </w:rPr>
        <w:t>ë</w:t>
      </w:r>
      <w:r w:rsidRPr="008729EF" w:rsidR="008729EF">
        <w:rPr>
          <w:lang w:val="sq-AL"/>
        </w:rPr>
        <w:t xml:space="preserve"> civile kundër L.H.). Po ashtu, sado q</w:t>
      </w:r>
      <w:r w:rsidR="008729EF">
        <w:rPr>
          <w:lang w:val="sq-AL"/>
        </w:rPr>
        <w:t>ë</w:t>
      </w:r>
      <w:r w:rsidRPr="008729EF" w:rsidR="008729EF">
        <w:rPr>
          <w:lang w:val="sq-AL"/>
        </w:rPr>
        <w:t xml:space="preserve"> d</w:t>
      </w:r>
      <w:r w:rsidR="008729EF">
        <w:rPr>
          <w:lang w:val="sq-AL"/>
        </w:rPr>
        <w:t>ë</w:t>
      </w:r>
      <w:r w:rsidRPr="008729EF" w:rsidR="008729EF">
        <w:rPr>
          <w:lang w:val="sq-AL"/>
        </w:rPr>
        <w:t>nimi i L.H., i përmendur gjithashtu nga Qeveria, ësht</w:t>
      </w:r>
      <w:r w:rsidR="008729EF">
        <w:rPr>
          <w:lang w:val="sq-AL"/>
        </w:rPr>
        <w:t>ë</w:t>
      </w:r>
      <w:r w:rsidRPr="008729EF" w:rsidR="008729EF">
        <w:rPr>
          <w:lang w:val="sq-AL"/>
        </w:rPr>
        <w:t xml:space="preserve"> diçka qendrore për anën procedurale të nenit 3, ai nuk mund t</w:t>
      </w:r>
      <w:r w:rsidR="008729EF">
        <w:rPr>
          <w:lang w:val="sq-AL"/>
        </w:rPr>
        <w:t>ë</w:t>
      </w:r>
      <w:r w:rsidRPr="008729EF" w:rsidR="008729EF">
        <w:rPr>
          <w:lang w:val="sq-AL"/>
        </w:rPr>
        <w:t xml:space="preserve"> barazohet me nj</w:t>
      </w:r>
      <w:r w:rsidR="008729EF">
        <w:rPr>
          <w:lang w:val="sq-AL"/>
        </w:rPr>
        <w:t>ë</w:t>
      </w:r>
      <w:r w:rsidRPr="008729EF" w:rsidR="008729EF">
        <w:rPr>
          <w:lang w:val="sq-AL"/>
        </w:rPr>
        <w:t xml:space="preserve"> mundësi efektive ankimi për paditë</w:t>
      </w:r>
      <w:r w:rsidR="008729EF">
        <w:rPr>
          <w:lang w:val="sq-AL"/>
        </w:rPr>
        <w:t>s</w:t>
      </w:r>
      <w:r w:rsidRPr="008729EF" w:rsidR="008729EF">
        <w:rPr>
          <w:lang w:val="sq-AL"/>
        </w:rPr>
        <w:t>en n</w:t>
      </w:r>
      <w:r w:rsidR="008729EF">
        <w:rPr>
          <w:lang w:val="sq-AL"/>
        </w:rPr>
        <w:t>ë</w:t>
      </w:r>
      <w:r w:rsidRPr="008729EF" w:rsidR="008729EF">
        <w:rPr>
          <w:lang w:val="sq-AL"/>
        </w:rPr>
        <w:t xml:space="preserve"> kuptimin e nenit 13 t</w:t>
      </w:r>
      <w:r w:rsidR="008729EF">
        <w:rPr>
          <w:lang w:val="sq-AL"/>
        </w:rPr>
        <w:t>ë</w:t>
      </w:r>
      <w:r w:rsidRPr="008729EF" w:rsidR="008729EF">
        <w:rPr>
          <w:lang w:val="sq-AL"/>
        </w:rPr>
        <w:t xml:space="preserve"> Konventës.</w:t>
      </w:r>
    </w:p>
    <w:p w:rsidRPr="00EF649F" w:rsidR="00EB737A" w:rsidP="00EB737A" w:rsidRDefault="00EB737A">
      <w:pPr>
        <w:pStyle w:val="ECHRHeading2"/>
        <w:rPr>
          <w:lang w:val="sq-AL"/>
        </w:rPr>
      </w:pPr>
      <w:r w:rsidRPr="00EF649F">
        <w:rPr>
          <w:lang w:val="sq-AL"/>
        </w:rPr>
        <w:t>B.  </w:t>
      </w:r>
      <w:r w:rsidRPr="00EF649F" w:rsidR="008729EF">
        <w:rPr>
          <w:lang w:val="sq-AL"/>
        </w:rPr>
        <w:t>Rrugët për ankime civile kundër shtetit</w:t>
      </w:r>
    </w:p>
    <w:p w:rsidRPr="00EF649F" w:rsidR="00EB737A" w:rsidP="00EB737A" w:rsidRDefault="00EB737A">
      <w:pPr>
        <w:pStyle w:val="ECHRHeading3"/>
        <w:rPr>
          <w:lang w:val="sq-AL"/>
        </w:rPr>
      </w:pPr>
      <w:r w:rsidRPr="00EF649F">
        <w:rPr>
          <w:lang w:val="sq-AL"/>
        </w:rPr>
        <w:t>1.  T</w:t>
      </w:r>
      <w:r w:rsidRPr="00EF649F" w:rsidR="008729EF">
        <w:rPr>
          <w:lang w:val="sq-AL"/>
        </w:rPr>
        <w:t>ezat e palëve</w:t>
      </w:r>
    </w:p>
    <w:p w:rsidRPr="00EF649F" w:rsidR="00EB737A" w:rsidP="00EB737A" w:rsidRDefault="00EB737A">
      <w:pPr>
        <w:pStyle w:val="ECHRPara"/>
        <w:rPr>
          <w:lang w:val="sq-AL"/>
        </w:rPr>
      </w:pPr>
      <w:r w:rsidRPr="00EF649F">
        <w:rPr>
          <w:lang w:val="sq-AL"/>
        </w:rPr>
        <w:fldChar w:fldCharType="begin"/>
      </w:r>
      <w:r w:rsidRPr="00EF649F">
        <w:rPr>
          <w:lang w:val="sq-AL"/>
        </w:rPr>
        <w:instrText xml:space="preserve"> SEQ level0 \*arabic </w:instrText>
      </w:r>
      <w:r w:rsidRPr="00EF649F">
        <w:rPr>
          <w:lang w:val="sq-AL"/>
        </w:rPr>
        <w:fldChar w:fldCharType="separate"/>
      </w:r>
      <w:r w:rsidR="00013F9B">
        <w:rPr>
          <w:noProof/>
          <w:lang w:val="sq-AL"/>
        </w:rPr>
        <w:t>180</w:t>
      </w:r>
      <w:r w:rsidRPr="00EF649F">
        <w:rPr>
          <w:lang w:val="sq-AL"/>
        </w:rPr>
        <w:fldChar w:fldCharType="end"/>
      </w:r>
      <w:r w:rsidRPr="00EF649F">
        <w:rPr>
          <w:lang w:val="sq-AL"/>
        </w:rPr>
        <w:t>.  </w:t>
      </w:r>
      <w:r w:rsidRPr="00EF649F" w:rsidR="008729EF">
        <w:rPr>
          <w:lang w:val="sq-AL"/>
        </w:rPr>
        <w:t>Qeveria mbron mendimin se padit</w:t>
      </w:r>
      <w:r w:rsidR="00EF649F">
        <w:rPr>
          <w:lang w:val="sq-AL"/>
        </w:rPr>
        <w:t>ë</w:t>
      </w:r>
      <w:r w:rsidRPr="00EF649F" w:rsidR="008729EF">
        <w:rPr>
          <w:lang w:val="sq-AL"/>
        </w:rPr>
        <w:t>sja ishte dashur t</w:t>
      </w:r>
      <w:r w:rsidR="00EF649F">
        <w:rPr>
          <w:lang w:val="sq-AL"/>
        </w:rPr>
        <w:t>ë</w:t>
      </w:r>
      <w:r w:rsidRPr="00EF649F" w:rsidR="008729EF">
        <w:rPr>
          <w:lang w:val="sq-AL"/>
        </w:rPr>
        <w:t xml:space="preserve"> k</w:t>
      </w:r>
      <w:r w:rsidR="00EF649F">
        <w:rPr>
          <w:lang w:val="sq-AL"/>
        </w:rPr>
        <w:t>ë</w:t>
      </w:r>
      <w:r w:rsidRPr="00EF649F" w:rsidR="008729EF">
        <w:rPr>
          <w:lang w:val="sq-AL"/>
        </w:rPr>
        <w:t xml:space="preserve">rkonte </w:t>
      </w:r>
      <w:r w:rsidRPr="00EF649F" w:rsidR="00EC0193">
        <w:rPr>
          <w:lang w:val="sq-AL"/>
        </w:rPr>
        <w:t xml:space="preserve">mbajtje </w:t>
      </w:r>
      <w:r w:rsidRPr="00EF649F" w:rsidR="008729EF">
        <w:rPr>
          <w:lang w:val="sq-AL"/>
        </w:rPr>
        <w:t>përgjegj</w:t>
      </w:r>
      <w:r w:rsidR="00EF649F">
        <w:rPr>
          <w:lang w:val="sq-AL"/>
        </w:rPr>
        <w:t>ë</w:t>
      </w:r>
      <w:r w:rsidRPr="00EF649F" w:rsidR="008729EF">
        <w:rPr>
          <w:lang w:val="sq-AL"/>
        </w:rPr>
        <w:t>si</w:t>
      </w:r>
      <w:r w:rsidRPr="00EF649F" w:rsidR="00EC0193">
        <w:rPr>
          <w:lang w:val="sq-AL"/>
        </w:rPr>
        <w:t>e nga</w:t>
      </w:r>
      <w:r w:rsidRPr="00EF649F" w:rsidR="008729EF">
        <w:rPr>
          <w:lang w:val="sq-AL"/>
        </w:rPr>
        <w:t xml:space="preserve"> shtetit për veprimet e </w:t>
      </w:r>
      <w:r w:rsidRPr="00EF649F" w:rsidR="008729EF">
        <w:rPr>
          <w:i/>
          <w:lang w:val="sq-AL"/>
        </w:rPr>
        <w:t>Padronit</w:t>
      </w:r>
      <w:r w:rsidRPr="00EF649F" w:rsidR="008729EF">
        <w:rPr>
          <w:lang w:val="sq-AL"/>
        </w:rPr>
        <w:t xml:space="preserve"> dhe/ose </w:t>
      </w:r>
      <w:r w:rsidRPr="00EF649F" w:rsidR="00EC0193">
        <w:rPr>
          <w:lang w:val="sq-AL"/>
        </w:rPr>
        <w:t xml:space="preserve">të </w:t>
      </w:r>
      <w:r w:rsidRPr="00EF649F" w:rsidR="008729EF">
        <w:rPr>
          <w:lang w:val="sq-AL"/>
        </w:rPr>
        <w:t xml:space="preserve">drejtorit. </w:t>
      </w:r>
      <w:r w:rsidRPr="00EF649F" w:rsidR="00EC0193">
        <w:rPr>
          <w:lang w:val="sq-AL"/>
        </w:rPr>
        <w:t>Nga ana tjetër, ajo përmend kryesisht dy rrug</w:t>
      </w:r>
      <w:r w:rsidR="00EF649F">
        <w:rPr>
          <w:lang w:val="sq-AL"/>
        </w:rPr>
        <w:t>ë</w:t>
      </w:r>
      <w:r w:rsidRPr="00EF649F" w:rsidR="00EC0193">
        <w:rPr>
          <w:lang w:val="sq-AL"/>
        </w:rPr>
        <w:t xml:space="preserve"> të tjera ankimi. E para paska qen</w:t>
      </w:r>
      <w:r w:rsidR="00EF649F">
        <w:rPr>
          <w:lang w:val="sq-AL"/>
        </w:rPr>
        <w:t>ë</w:t>
      </w:r>
      <w:r w:rsidRPr="00EF649F" w:rsidR="00EC0193">
        <w:rPr>
          <w:lang w:val="sq-AL"/>
        </w:rPr>
        <w:t xml:space="preserve"> që paditësja të niste nj</w:t>
      </w:r>
      <w:r w:rsidR="00EF649F">
        <w:rPr>
          <w:lang w:val="sq-AL"/>
        </w:rPr>
        <w:t>ë</w:t>
      </w:r>
      <w:r w:rsidRPr="00EF649F" w:rsidR="00EC0193">
        <w:rPr>
          <w:lang w:val="sq-AL"/>
        </w:rPr>
        <w:t xml:space="preserve"> procedurë ku të konstatohej se sistemi i arsimit fillor i parashikuar nga neni 42 i Kushtetutës kishte përb</w:t>
      </w:r>
      <w:r w:rsidR="00EF649F">
        <w:rPr>
          <w:lang w:val="sq-AL"/>
        </w:rPr>
        <w:t>ë</w:t>
      </w:r>
      <w:r w:rsidRPr="00EF649F" w:rsidR="00EC0193">
        <w:rPr>
          <w:lang w:val="sq-AL"/>
        </w:rPr>
        <w:t>rë shkelje të së drejtës së saj për paprekshm</w:t>
      </w:r>
      <w:r w:rsidR="00EF649F">
        <w:rPr>
          <w:lang w:val="sq-AL"/>
        </w:rPr>
        <w:t>ë</w:t>
      </w:r>
      <w:r w:rsidRPr="00EF649F" w:rsidR="00EC0193">
        <w:rPr>
          <w:lang w:val="sq-AL"/>
        </w:rPr>
        <w:t>ri fizike, të garantuar në m</w:t>
      </w:r>
      <w:r w:rsidR="00EF649F">
        <w:rPr>
          <w:lang w:val="sq-AL"/>
        </w:rPr>
        <w:t>ë</w:t>
      </w:r>
      <w:r w:rsidRPr="00EF649F" w:rsidR="00EC0193">
        <w:rPr>
          <w:lang w:val="sq-AL"/>
        </w:rPr>
        <w:t>nyrë të heshtur nga Kushtetuta (padi për p</w:t>
      </w:r>
      <w:r w:rsidR="00EF649F">
        <w:rPr>
          <w:lang w:val="sq-AL"/>
        </w:rPr>
        <w:t>ë</w:t>
      </w:r>
      <w:r w:rsidRPr="00EF649F" w:rsidR="00EC0193">
        <w:rPr>
          <w:lang w:val="sq-AL"/>
        </w:rPr>
        <w:t>rgjegjësi kushtetuese). E dyta paska qen</w:t>
      </w:r>
      <w:r w:rsidR="00EF649F">
        <w:rPr>
          <w:lang w:val="sq-AL"/>
        </w:rPr>
        <w:t>ë</w:t>
      </w:r>
      <w:r w:rsidRPr="00EF649F" w:rsidR="00EC0193">
        <w:rPr>
          <w:lang w:val="sq-AL"/>
        </w:rPr>
        <w:t xml:space="preserve"> </w:t>
      </w:r>
      <w:r w:rsidRPr="00EF649F" w:rsidR="00A72E01">
        <w:rPr>
          <w:lang w:val="sq-AL"/>
        </w:rPr>
        <w:t>që e interesuara të ndiqte pretendimin e saj për pakujdesi n</w:t>
      </w:r>
      <w:r w:rsidR="00EF649F">
        <w:rPr>
          <w:lang w:val="sq-AL"/>
        </w:rPr>
        <w:t>ë</w:t>
      </w:r>
      <w:r w:rsidRPr="00EF649F" w:rsidR="00A72E01">
        <w:rPr>
          <w:lang w:val="sq-AL"/>
        </w:rPr>
        <w:t xml:space="preserve"> Gjykat</w:t>
      </w:r>
      <w:r w:rsidR="00EF649F">
        <w:rPr>
          <w:lang w:val="sq-AL"/>
        </w:rPr>
        <w:t>ë</w:t>
      </w:r>
      <w:r w:rsidRPr="00EF649F" w:rsidR="00A72E01">
        <w:rPr>
          <w:lang w:val="sq-AL"/>
        </w:rPr>
        <w:t>n e Lartë duke mbrojtur mendimin se shteti nuk e kishte organizuar strukturën e sistemit të arsimit fillor n</w:t>
      </w:r>
      <w:r w:rsidR="00EF649F">
        <w:rPr>
          <w:lang w:val="sq-AL"/>
        </w:rPr>
        <w:t>ë</w:t>
      </w:r>
      <w:r w:rsidRPr="00EF649F" w:rsidR="00A72E01">
        <w:rPr>
          <w:lang w:val="sq-AL"/>
        </w:rPr>
        <w:t xml:space="preserve"> mënyrë të tillë q</w:t>
      </w:r>
      <w:r w:rsidR="00EF649F">
        <w:rPr>
          <w:lang w:val="sq-AL"/>
        </w:rPr>
        <w:t>ë</w:t>
      </w:r>
      <w:r w:rsidRPr="00EF649F" w:rsidR="00A72E01">
        <w:rPr>
          <w:lang w:val="sq-AL"/>
        </w:rPr>
        <w:t xml:space="preserve"> ta mbronte atë nga abuzimet, një argumentim i cili përkuaka me at</w:t>
      </w:r>
      <w:r w:rsidR="00EF649F">
        <w:rPr>
          <w:lang w:val="sq-AL"/>
        </w:rPr>
        <w:t>ë</w:t>
      </w:r>
      <w:r w:rsidRPr="00EF649F" w:rsidR="00A72E01">
        <w:rPr>
          <w:lang w:val="sq-AL"/>
        </w:rPr>
        <w:t xml:space="preserve"> të shtjelluar prej saj në k</w:t>
      </w:r>
      <w:r w:rsidR="00EF649F">
        <w:rPr>
          <w:lang w:val="sq-AL"/>
        </w:rPr>
        <w:t>ë</w:t>
      </w:r>
      <w:r w:rsidRPr="00EF649F" w:rsidR="00A72E01">
        <w:rPr>
          <w:lang w:val="sq-AL"/>
        </w:rPr>
        <w:t>ndv</w:t>
      </w:r>
      <w:r w:rsidR="00EF649F">
        <w:rPr>
          <w:lang w:val="sq-AL"/>
        </w:rPr>
        <w:t>ë</w:t>
      </w:r>
      <w:r w:rsidRPr="00EF649F" w:rsidR="00A72E01">
        <w:rPr>
          <w:lang w:val="sq-AL"/>
        </w:rPr>
        <w:t>shtrimin e nenit 3 të Konventës</w:t>
      </w:r>
      <w:r w:rsidRPr="00EF649F">
        <w:rPr>
          <w:lang w:val="sq-AL"/>
        </w:rPr>
        <w:t xml:space="preserve">. </w:t>
      </w:r>
      <w:r w:rsidRPr="00EF649F" w:rsidR="00A72E01">
        <w:rPr>
          <w:lang w:val="sq-AL"/>
        </w:rPr>
        <w:t>Qeveria vë n</w:t>
      </w:r>
      <w:r w:rsidR="00EF649F">
        <w:rPr>
          <w:lang w:val="sq-AL"/>
        </w:rPr>
        <w:t>ë</w:t>
      </w:r>
      <w:r w:rsidRPr="00EF649F" w:rsidR="00A72E01">
        <w:rPr>
          <w:lang w:val="sq-AL"/>
        </w:rPr>
        <w:t xml:space="preserve"> dukje se arsyeja për të cil</w:t>
      </w:r>
      <w:r w:rsidR="00EF649F">
        <w:rPr>
          <w:lang w:val="sq-AL"/>
        </w:rPr>
        <w:t>ë</w:t>
      </w:r>
      <w:r w:rsidRPr="00EF649F" w:rsidR="00A72E01">
        <w:rPr>
          <w:lang w:val="sq-AL"/>
        </w:rPr>
        <w:t xml:space="preserve">n </w:t>
      </w:r>
      <w:r w:rsidRPr="00EF649F">
        <w:rPr>
          <w:i/>
          <w:lang w:val="sq-AL"/>
        </w:rPr>
        <w:t>High Court</w:t>
      </w:r>
      <w:r w:rsidRPr="00EF649F">
        <w:rPr>
          <w:lang w:val="sq-AL"/>
        </w:rPr>
        <w:t xml:space="preserve"> </w:t>
      </w:r>
      <w:r w:rsidRPr="00EF649F" w:rsidR="00A72E01">
        <w:rPr>
          <w:lang w:val="sq-AL"/>
        </w:rPr>
        <w:t>e kishte rrëzuar k</w:t>
      </w:r>
      <w:r w:rsidR="00EF649F">
        <w:rPr>
          <w:lang w:val="sq-AL"/>
        </w:rPr>
        <w:t>ë</w:t>
      </w:r>
      <w:r w:rsidRPr="00EF649F" w:rsidR="00A72E01">
        <w:rPr>
          <w:lang w:val="sq-AL"/>
        </w:rPr>
        <w:t>rkesën e paditëses me nj</w:t>
      </w:r>
      <w:r w:rsidR="00EF649F">
        <w:rPr>
          <w:lang w:val="sq-AL"/>
        </w:rPr>
        <w:t>ë</w:t>
      </w:r>
      <w:r w:rsidRPr="00EF649F" w:rsidR="00A72E01">
        <w:rPr>
          <w:lang w:val="sq-AL"/>
        </w:rPr>
        <w:t xml:space="preserve"> vendim të thjeshtuar (urdh</w:t>
      </w:r>
      <w:r w:rsidR="00EF649F">
        <w:rPr>
          <w:lang w:val="sq-AL"/>
        </w:rPr>
        <w:t>ë</w:t>
      </w:r>
      <w:r w:rsidRPr="00EF649F" w:rsidR="00A72E01">
        <w:rPr>
          <w:lang w:val="sq-AL"/>
        </w:rPr>
        <w:t>r p</w:t>
      </w:r>
      <w:r w:rsidR="00EF649F">
        <w:rPr>
          <w:lang w:val="sq-AL"/>
        </w:rPr>
        <w:t>ë</w:t>
      </w:r>
      <w:r w:rsidRPr="00EF649F" w:rsidR="00A72E01">
        <w:rPr>
          <w:lang w:val="sq-AL"/>
        </w:rPr>
        <w:t>r pushim çështjeje) ishte se e interesuara nuk kishte paraqitur asnj</w:t>
      </w:r>
      <w:r w:rsidR="00EF649F">
        <w:rPr>
          <w:lang w:val="sq-AL"/>
        </w:rPr>
        <w:t>ë</w:t>
      </w:r>
      <w:r w:rsidRPr="00EF649F" w:rsidR="00A72E01">
        <w:rPr>
          <w:lang w:val="sq-AL"/>
        </w:rPr>
        <w:t xml:space="preserve"> provë. Ajo shton se vet</w:t>
      </w:r>
      <w:r w:rsidR="00EF649F">
        <w:rPr>
          <w:lang w:val="sq-AL"/>
        </w:rPr>
        <w:t>ë</w:t>
      </w:r>
      <w:r w:rsidRPr="00EF649F" w:rsidR="00A72E01">
        <w:rPr>
          <w:lang w:val="sq-AL"/>
        </w:rPr>
        <w:t xml:space="preserve"> eksperti i paditëses </w:t>
      </w:r>
      <w:r w:rsidRPr="00EF649F">
        <w:rPr>
          <w:lang w:val="sq-AL"/>
        </w:rPr>
        <w:t>(</w:t>
      </w:r>
      <w:r w:rsidRPr="00EF649F" w:rsidR="00A72E01">
        <w:rPr>
          <w:lang w:val="sq-AL"/>
        </w:rPr>
        <w:t xml:space="preserve">profesori </w:t>
      </w:r>
      <w:r w:rsidRPr="00EF649F">
        <w:rPr>
          <w:lang w:val="sq-AL"/>
        </w:rPr>
        <w:t>Ferguson, paragra</w:t>
      </w:r>
      <w:r w:rsidRPr="00EF649F" w:rsidR="00A72E01">
        <w:rPr>
          <w:lang w:val="sq-AL"/>
        </w:rPr>
        <w:t>fi</w:t>
      </w:r>
      <w:r w:rsidRPr="00EF649F">
        <w:rPr>
          <w:lang w:val="sq-AL"/>
        </w:rPr>
        <w:t xml:space="preserve"> 24 </w:t>
      </w:r>
      <w:r w:rsidRPr="00EF649F" w:rsidR="00604857">
        <w:rPr>
          <w:lang w:val="sq-AL"/>
        </w:rPr>
        <w:t>i mësipërm</w:t>
      </w:r>
      <w:r w:rsidRPr="00EF649F">
        <w:rPr>
          <w:lang w:val="sq-AL"/>
        </w:rPr>
        <w:t xml:space="preserve">), </w:t>
      </w:r>
      <w:r w:rsidRPr="00EF649F" w:rsidR="00A72E01">
        <w:rPr>
          <w:lang w:val="sq-AL"/>
        </w:rPr>
        <w:t>duke çmuar se dijenia e shtetit për rrezikun n</w:t>
      </w:r>
      <w:r w:rsidR="00EF649F">
        <w:rPr>
          <w:lang w:val="sq-AL"/>
        </w:rPr>
        <w:t>ë</w:t>
      </w:r>
      <w:r w:rsidRPr="00EF649F" w:rsidR="00A72E01">
        <w:rPr>
          <w:lang w:val="sq-AL"/>
        </w:rPr>
        <w:t xml:space="preserve"> fjal</w:t>
      </w:r>
      <w:r w:rsidR="00EF649F">
        <w:rPr>
          <w:lang w:val="sq-AL"/>
        </w:rPr>
        <w:t>ë</w:t>
      </w:r>
      <w:r w:rsidRPr="00EF649F" w:rsidR="00A72E01">
        <w:rPr>
          <w:lang w:val="sq-AL"/>
        </w:rPr>
        <w:t xml:space="preserve"> nuk ishte e mjaftueshme, nuk ia kishte k</w:t>
      </w:r>
      <w:r w:rsidR="00EF649F">
        <w:rPr>
          <w:lang w:val="sq-AL"/>
        </w:rPr>
        <w:t>ë</w:t>
      </w:r>
      <w:r w:rsidRPr="00EF649F" w:rsidR="00A72E01">
        <w:rPr>
          <w:lang w:val="sq-AL"/>
        </w:rPr>
        <w:t>shilluar asaj q</w:t>
      </w:r>
      <w:r w:rsidR="00EF649F">
        <w:rPr>
          <w:lang w:val="sq-AL"/>
        </w:rPr>
        <w:t>ë</w:t>
      </w:r>
      <w:r w:rsidRPr="00EF649F" w:rsidR="00A72E01">
        <w:rPr>
          <w:lang w:val="sq-AL"/>
        </w:rPr>
        <w:t xml:space="preserve"> t</w:t>
      </w:r>
      <w:r w:rsidR="00EF649F">
        <w:rPr>
          <w:lang w:val="sq-AL"/>
        </w:rPr>
        <w:t>ë</w:t>
      </w:r>
      <w:r w:rsidRPr="00EF649F" w:rsidR="00A72E01">
        <w:rPr>
          <w:lang w:val="sq-AL"/>
        </w:rPr>
        <w:t xml:space="preserve"> shkonte përpara drejtësisë. Ajo e çmon k</w:t>
      </w:r>
      <w:r w:rsidR="00EF649F">
        <w:rPr>
          <w:lang w:val="sq-AL"/>
        </w:rPr>
        <w:t>ë</w:t>
      </w:r>
      <w:r w:rsidRPr="00EF649F" w:rsidR="00A72E01">
        <w:rPr>
          <w:lang w:val="sq-AL"/>
        </w:rPr>
        <w:t>shtu si diçka hipokrite nga ana e paditëses q</w:t>
      </w:r>
      <w:r w:rsidR="00EF649F">
        <w:rPr>
          <w:lang w:val="sq-AL"/>
        </w:rPr>
        <w:t>ë</w:t>
      </w:r>
      <w:r w:rsidRPr="00EF649F" w:rsidR="00A72E01">
        <w:rPr>
          <w:lang w:val="sq-AL"/>
        </w:rPr>
        <w:t xml:space="preserve"> t</w:t>
      </w:r>
      <w:r w:rsidR="00EF649F">
        <w:rPr>
          <w:lang w:val="sq-AL"/>
        </w:rPr>
        <w:t>ë</w:t>
      </w:r>
      <w:r w:rsidRPr="00EF649F" w:rsidR="00A72E01">
        <w:rPr>
          <w:lang w:val="sq-AL"/>
        </w:rPr>
        <w:t xml:space="preserve"> fshihet pas urdhrit për pushim ç</w:t>
      </w:r>
      <w:r w:rsidR="00EF649F">
        <w:rPr>
          <w:lang w:val="sq-AL"/>
        </w:rPr>
        <w:t>ë</w:t>
      </w:r>
      <w:r w:rsidRPr="00EF649F" w:rsidR="00A72E01">
        <w:rPr>
          <w:lang w:val="sq-AL"/>
        </w:rPr>
        <w:t>shtjeje, pasoj</w:t>
      </w:r>
      <w:r w:rsidR="00EF649F">
        <w:rPr>
          <w:lang w:val="sq-AL"/>
        </w:rPr>
        <w:t>ë</w:t>
      </w:r>
      <w:r w:rsidRPr="00EF649F" w:rsidR="00A72E01">
        <w:rPr>
          <w:lang w:val="sq-AL"/>
        </w:rPr>
        <w:t xml:space="preserve"> e </w:t>
      </w:r>
      <w:r w:rsidRPr="00EF649F" w:rsidR="00EF649F">
        <w:rPr>
          <w:lang w:val="sq-AL"/>
        </w:rPr>
        <w:t>mang</w:t>
      </w:r>
      <w:r w:rsidR="00EF649F">
        <w:rPr>
          <w:lang w:val="sq-AL"/>
        </w:rPr>
        <w:t>ë</w:t>
      </w:r>
      <w:r w:rsidRPr="00EF649F" w:rsidR="00EF649F">
        <w:rPr>
          <w:lang w:val="sq-AL"/>
        </w:rPr>
        <w:t>sive të veta n</w:t>
      </w:r>
      <w:r w:rsidR="00EF649F">
        <w:rPr>
          <w:lang w:val="sq-AL"/>
        </w:rPr>
        <w:t>ë</w:t>
      </w:r>
      <w:r w:rsidRPr="00EF649F" w:rsidR="00EF649F">
        <w:rPr>
          <w:lang w:val="sq-AL"/>
        </w:rPr>
        <w:t xml:space="preserve"> fush</w:t>
      </w:r>
      <w:r w:rsidR="00EF649F">
        <w:rPr>
          <w:lang w:val="sq-AL"/>
        </w:rPr>
        <w:t>ë</w:t>
      </w:r>
      <w:r w:rsidRPr="00EF649F" w:rsidR="00EF649F">
        <w:rPr>
          <w:lang w:val="sq-AL"/>
        </w:rPr>
        <w:t>n e provave, për të përligjur vendimin e saj p</w:t>
      </w:r>
      <w:r w:rsidR="00EF649F">
        <w:rPr>
          <w:lang w:val="sq-AL"/>
        </w:rPr>
        <w:t>ë</w:t>
      </w:r>
      <w:r w:rsidRPr="00EF649F" w:rsidR="00EF649F">
        <w:rPr>
          <w:lang w:val="sq-AL"/>
        </w:rPr>
        <w:t>r të mos ndjekur k</w:t>
      </w:r>
      <w:r w:rsidR="00EF649F">
        <w:rPr>
          <w:lang w:val="sq-AL"/>
        </w:rPr>
        <w:t>ë</w:t>
      </w:r>
      <w:r w:rsidRPr="00EF649F" w:rsidR="00EF649F">
        <w:rPr>
          <w:lang w:val="sq-AL"/>
        </w:rPr>
        <w:t>të rrugë. Sipas saj, ekziston gjithsesi një jurisprudencë e brendshme e cila tregon se nj</w:t>
      </w:r>
      <w:r w:rsidR="00EF649F">
        <w:rPr>
          <w:lang w:val="sq-AL"/>
        </w:rPr>
        <w:t>ë</w:t>
      </w:r>
      <w:r w:rsidRPr="00EF649F" w:rsidR="00EF649F">
        <w:rPr>
          <w:lang w:val="sq-AL"/>
        </w:rPr>
        <w:t xml:space="preserve"> urdh</w:t>
      </w:r>
      <w:r w:rsidR="00EF649F">
        <w:rPr>
          <w:lang w:val="sq-AL"/>
        </w:rPr>
        <w:t>ë</w:t>
      </w:r>
      <w:r w:rsidRPr="00EF649F" w:rsidR="00EF649F">
        <w:rPr>
          <w:lang w:val="sq-AL"/>
        </w:rPr>
        <w:t>r p</w:t>
      </w:r>
      <w:r w:rsidR="00EF649F">
        <w:rPr>
          <w:lang w:val="sq-AL"/>
        </w:rPr>
        <w:t>ë</w:t>
      </w:r>
      <w:r w:rsidRPr="00EF649F" w:rsidR="00EF649F">
        <w:rPr>
          <w:lang w:val="sq-AL"/>
        </w:rPr>
        <w:t>r pushim ç</w:t>
      </w:r>
      <w:r w:rsidR="00EF649F">
        <w:rPr>
          <w:lang w:val="sq-AL"/>
        </w:rPr>
        <w:t>ë</w:t>
      </w:r>
      <w:r w:rsidRPr="00EF649F" w:rsidR="00EF649F">
        <w:rPr>
          <w:lang w:val="sq-AL"/>
        </w:rPr>
        <w:t>shtjeje për shkak pamjaftueshm</w:t>
      </w:r>
      <w:r w:rsidR="00EF649F">
        <w:rPr>
          <w:lang w:val="sq-AL"/>
        </w:rPr>
        <w:t>ë</w:t>
      </w:r>
      <w:r w:rsidRPr="00EF649F" w:rsidR="00EF649F">
        <w:rPr>
          <w:lang w:val="sq-AL"/>
        </w:rPr>
        <w:t>rie provash mund t</w:t>
      </w:r>
      <w:r w:rsidR="00EF649F">
        <w:rPr>
          <w:lang w:val="sq-AL"/>
        </w:rPr>
        <w:t>ë</w:t>
      </w:r>
      <w:r w:rsidRPr="00EF649F" w:rsidR="00EF649F">
        <w:rPr>
          <w:lang w:val="sq-AL"/>
        </w:rPr>
        <w:t xml:space="preserve"> ankimohet dhe se padit</w:t>
      </w:r>
      <w:r w:rsidR="00EF649F">
        <w:rPr>
          <w:lang w:val="sq-AL"/>
        </w:rPr>
        <w:t>ë</w:t>
      </w:r>
      <w:r w:rsidRPr="00EF649F" w:rsidR="00EF649F">
        <w:rPr>
          <w:lang w:val="sq-AL"/>
        </w:rPr>
        <w:t>sja paska mundur p</w:t>
      </w:r>
      <w:r w:rsidR="00EF649F">
        <w:rPr>
          <w:lang w:val="sq-AL"/>
        </w:rPr>
        <w:t>ë</w:t>
      </w:r>
      <w:r w:rsidRPr="00EF649F" w:rsidR="00EF649F">
        <w:rPr>
          <w:lang w:val="sq-AL"/>
        </w:rPr>
        <w:t>rveç k</w:t>
      </w:r>
      <w:r w:rsidR="00EF649F">
        <w:rPr>
          <w:lang w:val="sq-AL"/>
        </w:rPr>
        <w:t>ë</w:t>
      </w:r>
      <w:r w:rsidRPr="00EF649F" w:rsidR="00EF649F">
        <w:rPr>
          <w:lang w:val="sq-AL"/>
        </w:rPr>
        <w:t xml:space="preserve">saj ta kundërshtonte urdhrin e </w:t>
      </w:r>
      <w:r w:rsidRPr="00EF649F">
        <w:rPr>
          <w:i/>
          <w:lang w:val="sq-AL"/>
        </w:rPr>
        <w:t>High Court</w:t>
      </w:r>
      <w:r w:rsidRPr="00EF649F">
        <w:rPr>
          <w:lang w:val="sq-AL"/>
        </w:rPr>
        <w:t xml:space="preserve"> </w:t>
      </w:r>
      <w:r w:rsidRPr="00EF649F" w:rsidR="00EF649F">
        <w:rPr>
          <w:lang w:val="sq-AL"/>
        </w:rPr>
        <w:t>duke nxjerr</w:t>
      </w:r>
      <w:r w:rsidR="00EF649F">
        <w:rPr>
          <w:lang w:val="sq-AL"/>
        </w:rPr>
        <w:t>ë</w:t>
      </w:r>
      <w:r w:rsidRPr="00EF649F" w:rsidR="00EF649F">
        <w:rPr>
          <w:lang w:val="sq-AL"/>
        </w:rPr>
        <w:t xml:space="preserve"> pretendimin se arsyetimi p</w:t>
      </w:r>
      <w:r w:rsidR="00EF649F">
        <w:rPr>
          <w:lang w:val="sq-AL"/>
        </w:rPr>
        <w:t>ë</w:t>
      </w:r>
      <w:r w:rsidRPr="00EF649F" w:rsidR="00EF649F">
        <w:rPr>
          <w:lang w:val="sq-AL"/>
        </w:rPr>
        <w:t>r k</w:t>
      </w:r>
      <w:r w:rsidR="00EF649F">
        <w:rPr>
          <w:lang w:val="sq-AL"/>
        </w:rPr>
        <w:t>ë</w:t>
      </w:r>
      <w:r w:rsidRPr="00EF649F" w:rsidR="00EF649F">
        <w:rPr>
          <w:lang w:val="sq-AL"/>
        </w:rPr>
        <w:t>të nuk ishte fort i qartë e nuk i përgjigjej n</w:t>
      </w:r>
      <w:r w:rsidR="00EF649F">
        <w:rPr>
          <w:lang w:val="sq-AL"/>
        </w:rPr>
        <w:t>ë</w:t>
      </w:r>
      <w:r w:rsidRPr="00EF649F" w:rsidR="00EF649F">
        <w:rPr>
          <w:lang w:val="sq-AL"/>
        </w:rPr>
        <w:t xml:space="preserve"> m</w:t>
      </w:r>
      <w:r w:rsidR="00EF649F">
        <w:rPr>
          <w:lang w:val="sq-AL"/>
        </w:rPr>
        <w:t>ë</w:t>
      </w:r>
      <w:r w:rsidRPr="00EF649F" w:rsidR="00EF649F">
        <w:rPr>
          <w:lang w:val="sq-AL"/>
        </w:rPr>
        <w:t>nyrë të posaçme argumentit të saj t</w:t>
      </w:r>
      <w:r w:rsidR="00EF649F">
        <w:rPr>
          <w:lang w:val="sq-AL"/>
        </w:rPr>
        <w:t>ë</w:t>
      </w:r>
      <w:r w:rsidRPr="00EF649F" w:rsidR="00EF649F">
        <w:rPr>
          <w:lang w:val="sq-AL"/>
        </w:rPr>
        <w:t xml:space="preserve"> bazuar te pakujdesia.</w:t>
      </w:r>
    </w:p>
    <w:p w:rsidRPr="009647E8" w:rsidR="00EB737A" w:rsidP="00EB737A" w:rsidRDefault="00EB737A">
      <w:pPr>
        <w:pStyle w:val="ECHRPara"/>
        <w:rPr>
          <w:lang w:val="sq-AL"/>
        </w:rPr>
      </w:pPr>
      <w:r w:rsidRPr="009647E8">
        <w:rPr>
          <w:lang w:val="sq-AL"/>
        </w:rPr>
        <w:fldChar w:fldCharType="begin"/>
      </w:r>
      <w:r w:rsidRPr="009647E8">
        <w:rPr>
          <w:lang w:val="sq-AL"/>
        </w:rPr>
        <w:instrText xml:space="preserve"> SEQ level0 \*arabic </w:instrText>
      </w:r>
      <w:r w:rsidRPr="009647E8">
        <w:rPr>
          <w:lang w:val="sq-AL"/>
        </w:rPr>
        <w:fldChar w:fldCharType="separate"/>
      </w:r>
      <w:r w:rsidR="00013F9B">
        <w:rPr>
          <w:noProof/>
          <w:lang w:val="sq-AL"/>
        </w:rPr>
        <w:t>181</w:t>
      </w:r>
      <w:r w:rsidRPr="009647E8">
        <w:rPr>
          <w:lang w:val="sq-AL"/>
        </w:rPr>
        <w:fldChar w:fldCharType="end"/>
      </w:r>
      <w:r w:rsidRPr="009647E8">
        <w:rPr>
          <w:lang w:val="sq-AL"/>
        </w:rPr>
        <w:t>.  </w:t>
      </w:r>
      <w:r w:rsidRPr="009647E8" w:rsidR="00EF649F">
        <w:rPr>
          <w:lang w:val="sq-AL"/>
        </w:rPr>
        <w:t>Paditësja përgjigjet se ajo e ka v</w:t>
      </w:r>
      <w:r w:rsidRPr="009647E8" w:rsidR="00DB3DF3">
        <w:rPr>
          <w:lang w:val="sq-AL"/>
        </w:rPr>
        <w:t>ë</w:t>
      </w:r>
      <w:r w:rsidRPr="009647E8" w:rsidR="00EF649F">
        <w:rPr>
          <w:lang w:val="sq-AL"/>
        </w:rPr>
        <w:t>n</w:t>
      </w:r>
      <w:r w:rsidRPr="009647E8" w:rsidR="00DB3DF3">
        <w:rPr>
          <w:lang w:val="sq-AL"/>
        </w:rPr>
        <w:t>ë</w:t>
      </w:r>
      <w:r w:rsidRPr="009647E8" w:rsidR="00EF649F">
        <w:rPr>
          <w:lang w:val="sq-AL"/>
        </w:rPr>
        <w:t xml:space="preserve"> pik</w:t>
      </w:r>
      <w:r w:rsidRPr="009647E8" w:rsidR="00DB3DF3">
        <w:rPr>
          <w:lang w:val="sq-AL"/>
        </w:rPr>
        <w:t>ë</w:t>
      </w:r>
      <w:r w:rsidRPr="009647E8" w:rsidR="00EF649F">
        <w:rPr>
          <w:lang w:val="sq-AL"/>
        </w:rPr>
        <w:t>risht n</w:t>
      </w:r>
      <w:r w:rsidRPr="009647E8" w:rsidR="00DB3DF3">
        <w:rPr>
          <w:lang w:val="sq-AL"/>
        </w:rPr>
        <w:t>ë</w:t>
      </w:r>
      <w:r w:rsidRPr="009647E8" w:rsidR="00EF649F">
        <w:rPr>
          <w:lang w:val="sq-AL"/>
        </w:rPr>
        <w:t xml:space="preserve"> pik</w:t>
      </w:r>
      <w:r w:rsidRPr="009647E8" w:rsidR="00DB3DF3">
        <w:rPr>
          <w:lang w:val="sq-AL"/>
        </w:rPr>
        <w:t>ë</w:t>
      </w:r>
      <w:r w:rsidRPr="009647E8" w:rsidR="00EF649F">
        <w:rPr>
          <w:lang w:val="sq-AL"/>
        </w:rPr>
        <w:t>pyetje përgjegj</w:t>
      </w:r>
      <w:r w:rsidRPr="009647E8" w:rsidR="00DB3DF3">
        <w:rPr>
          <w:lang w:val="sq-AL"/>
        </w:rPr>
        <w:t>ë</w:t>
      </w:r>
      <w:r w:rsidRPr="009647E8" w:rsidR="00EF649F">
        <w:rPr>
          <w:lang w:val="sq-AL"/>
        </w:rPr>
        <w:t>sin</w:t>
      </w:r>
      <w:r w:rsidRPr="009647E8" w:rsidR="00DB3DF3">
        <w:rPr>
          <w:lang w:val="sq-AL"/>
        </w:rPr>
        <w:t>ë</w:t>
      </w:r>
      <w:r w:rsidRPr="009647E8" w:rsidR="00EF649F">
        <w:rPr>
          <w:lang w:val="sq-AL"/>
        </w:rPr>
        <w:t xml:space="preserve"> e shtetit për veprimet e </w:t>
      </w:r>
      <w:r w:rsidRPr="009647E8" w:rsidR="00EF649F">
        <w:rPr>
          <w:i/>
          <w:lang w:val="sq-AL"/>
        </w:rPr>
        <w:t xml:space="preserve">Padronit </w:t>
      </w:r>
      <w:r w:rsidRPr="009647E8" w:rsidR="00EF649F">
        <w:rPr>
          <w:lang w:val="sq-AL"/>
        </w:rPr>
        <w:t>dhe/ose të drejtorit n</w:t>
      </w:r>
      <w:r w:rsidRPr="009647E8" w:rsidR="00DB3DF3">
        <w:rPr>
          <w:lang w:val="sq-AL"/>
        </w:rPr>
        <w:t>ë</w:t>
      </w:r>
      <w:r w:rsidRPr="009647E8" w:rsidR="00EF649F">
        <w:rPr>
          <w:lang w:val="sq-AL"/>
        </w:rPr>
        <w:t xml:space="preserve"> kuadrin e padisë s</w:t>
      </w:r>
      <w:r w:rsidRPr="009647E8" w:rsidR="00DB3DF3">
        <w:rPr>
          <w:lang w:val="sq-AL"/>
        </w:rPr>
        <w:t>ë</w:t>
      </w:r>
      <w:r w:rsidRPr="009647E8" w:rsidR="00EF649F">
        <w:rPr>
          <w:lang w:val="sq-AL"/>
        </w:rPr>
        <w:t xml:space="preserve"> saj pran</w:t>
      </w:r>
      <w:r w:rsidRPr="009647E8" w:rsidR="00DB3DF3">
        <w:rPr>
          <w:lang w:val="sq-AL"/>
        </w:rPr>
        <w:t>ë</w:t>
      </w:r>
      <w:r w:rsidRPr="009647E8" w:rsidR="00EF649F">
        <w:rPr>
          <w:lang w:val="sq-AL"/>
        </w:rPr>
        <w:t xml:space="preserve"> juridiksioneve të brendshme. Nga ana tjetër, ajo e kundërshton efektivitetin e dy ankimeve të tjera kundër shtetit </w:t>
      </w:r>
      <w:r w:rsidRPr="009647E8" w:rsidR="00277959">
        <w:rPr>
          <w:lang w:val="sq-AL"/>
        </w:rPr>
        <w:t>q</w:t>
      </w:r>
      <w:r w:rsidRPr="009647E8" w:rsidR="00DB3DF3">
        <w:rPr>
          <w:lang w:val="sq-AL"/>
        </w:rPr>
        <w:t>ë</w:t>
      </w:r>
      <w:r w:rsidRPr="009647E8" w:rsidR="00277959">
        <w:rPr>
          <w:lang w:val="sq-AL"/>
        </w:rPr>
        <w:t xml:space="preserve"> përmenden nga Qeveria. Sipas saj, rr</w:t>
      </w:r>
      <w:r w:rsidRPr="009647E8" w:rsidR="00DB3DF3">
        <w:rPr>
          <w:lang w:val="sq-AL"/>
        </w:rPr>
        <w:t>ë</w:t>
      </w:r>
      <w:r w:rsidRPr="009647E8" w:rsidR="00277959">
        <w:rPr>
          <w:lang w:val="sq-AL"/>
        </w:rPr>
        <w:t xml:space="preserve">zimi nga </w:t>
      </w:r>
      <w:r w:rsidRPr="009647E8">
        <w:rPr>
          <w:i/>
          <w:lang w:val="sq-AL"/>
        </w:rPr>
        <w:t>High Court</w:t>
      </w:r>
      <w:r w:rsidRPr="009647E8">
        <w:rPr>
          <w:lang w:val="sq-AL"/>
        </w:rPr>
        <w:t xml:space="preserve"> </w:t>
      </w:r>
      <w:r w:rsidRPr="009647E8" w:rsidR="00277959">
        <w:rPr>
          <w:lang w:val="sq-AL"/>
        </w:rPr>
        <w:t>i argumentit të saj lidhur me përgjegj</w:t>
      </w:r>
      <w:r w:rsidRPr="009647E8" w:rsidR="00DB3DF3">
        <w:rPr>
          <w:lang w:val="sq-AL"/>
        </w:rPr>
        <w:t>ë</w:t>
      </w:r>
      <w:r w:rsidRPr="009647E8" w:rsidR="00277959">
        <w:rPr>
          <w:lang w:val="sq-AL"/>
        </w:rPr>
        <w:t>sin</w:t>
      </w:r>
      <w:r w:rsidRPr="009647E8" w:rsidR="00DB3DF3">
        <w:rPr>
          <w:lang w:val="sq-AL"/>
        </w:rPr>
        <w:t>ë</w:t>
      </w:r>
      <w:r w:rsidRPr="009647E8" w:rsidR="00277959">
        <w:rPr>
          <w:lang w:val="sq-AL"/>
        </w:rPr>
        <w:t xml:space="preserve"> kushtetuese nuk mund të ankimohej. Shteti e siguruaka n</w:t>
      </w:r>
      <w:r w:rsidRPr="009647E8" w:rsidR="00DB3DF3">
        <w:rPr>
          <w:lang w:val="sq-AL"/>
        </w:rPr>
        <w:t>ë</w:t>
      </w:r>
      <w:r w:rsidRPr="009647E8" w:rsidR="00277959">
        <w:rPr>
          <w:lang w:val="sq-AL"/>
        </w:rPr>
        <w:t xml:space="preserve"> fakt respektimin e së drejtës për paprekshm</w:t>
      </w:r>
      <w:r w:rsidRPr="009647E8" w:rsidR="00DB3DF3">
        <w:rPr>
          <w:lang w:val="sq-AL"/>
        </w:rPr>
        <w:t>ë</w:t>
      </w:r>
      <w:r w:rsidRPr="009647E8" w:rsidR="00277959">
        <w:rPr>
          <w:lang w:val="sq-AL"/>
        </w:rPr>
        <w:t>rin</w:t>
      </w:r>
      <w:r w:rsidRPr="009647E8" w:rsidR="00DB3DF3">
        <w:rPr>
          <w:lang w:val="sq-AL"/>
        </w:rPr>
        <w:t>ë</w:t>
      </w:r>
      <w:r w:rsidRPr="009647E8" w:rsidR="00277959">
        <w:rPr>
          <w:lang w:val="sq-AL"/>
        </w:rPr>
        <w:t xml:space="preserve"> fizike t</w:t>
      </w:r>
      <w:r w:rsidRPr="009647E8" w:rsidR="00DB3DF3">
        <w:rPr>
          <w:lang w:val="sq-AL"/>
        </w:rPr>
        <w:t>ë</w:t>
      </w:r>
      <w:r w:rsidRPr="009647E8" w:rsidR="00277959">
        <w:rPr>
          <w:lang w:val="sq-AL"/>
        </w:rPr>
        <w:t xml:space="preserve"> njohur n</w:t>
      </w:r>
      <w:r w:rsidRPr="009647E8" w:rsidR="00DB3DF3">
        <w:rPr>
          <w:lang w:val="sq-AL"/>
        </w:rPr>
        <w:t>ë</w:t>
      </w:r>
      <w:r w:rsidRPr="009647E8" w:rsidR="00277959">
        <w:rPr>
          <w:lang w:val="sq-AL"/>
        </w:rPr>
        <w:t xml:space="preserve"> mënyrë të heshtur në Kushtetutë nëpërmjet regjimit të përgjegjësisë civile</w:t>
      </w:r>
      <w:r w:rsidRPr="009647E8">
        <w:rPr>
          <w:lang w:val="sq-AL"/>
        </w:rPr>
        <w:t xml:space="preserve">; </w:t>
      </w:r>
      <w:r w:rsidRPr="009647E8" w:rsidR="00277959">
        <w:rPr>
          <w:lang w:val="sq-AL"/>
        </w:rPr>
        <w:t>pra nuk paska ndonj</w:t>
      </w:r>
      <w:r w:rsidRPr="009647E8" w:rsidR="00DB3DF3">
        <w:rPr>
          <w:lang w:val="sq-AL"/>
        </w:rPr>
        <w:t>ë</w:t>
      </w:r>
      <w:r w:rsidRPr="009647E8" w:rsidR="00277959">
        <w:rPr>
          <w:lang w:val="sq-AL"/>
        </w:rPr>
        <w:t xml:space="preserve"> procedurë të posaçme q</w:t>
      </w:r>
      <w:r w:rsidRPr="009647E8" w:rsidR="00DB3DF3">
        <w:rPr>
          <w:lang w:val="sq-AL"/>
        </w:rPr>
        <w:t>ë</w:t>
      </w:r>
      <w:r w:rsidRPr="009647E8" w:rsidR="00277959">
        <w:rPr>
          <w:lang w:val="sq-AL"/>
        </w:rPr>
        <w:t xml:space="preserve"> mundëson t</w:t>
      </w:r>
      <w:r w:rsidRPr="009647E8" w:rsidR="00DB3DF3">
        <w:rPr>
          <w:lang w:val="sq-AL"/>
        </w:rPr>
        <w:t>ë</w:t>
      </w:r>
      <w:r w:rsidRPr="009647E8" w:rsidR="00277959">
        <w:rPr>
          <w:lang w:val="sq-AL"/>
        </w:rPr>
        <w:t xml:space="preserve"> fitohet zhd</w:t>
      </w:r>
      <w:r w:rsidRPr="009647E8" w:rsidR="00DB3DF3">
        <w:rPr>
          <w:lang w:val="sq-AL"/>
        </w:rPr>
        <w:t>ë</w:t>
      </w:r>
      <w:r w:rsidRPr="009647E8" w:rsidR="00277959">
        <w:rPr>
          <w:lang w:val="sq-AL"/>
        </w:rPr>
        <w:t>mtim për nj</w:t>
      </w:r>
      <w:r w:rsidRPr="009647E8" w:rsidR="00DB3DF3">
        <w:rPr>
          <w:lang w:val="sq-AL"/>
        </w:rPr>
        <w:t>ë</w:t>
      </w:r>
      <w:r w:rsidRPr="009647E8" w:rsidR="00277959">
        <w:rPr>
          <w:lang w:val="sq-AL"/>
        </w:rPr>
        <w:t xml:space="preserve"> dëm q</w:t>
      </w:r>
      <w:r w:rsidRPr="009647E8" w:rsidR="00DB3DF3">
        <w:rPr>
          <w:lang w:val="sq-AL"/>
        </w:rPr>
        <w:t>ë</w:t>
      </w:r>
      <w:r w:rsidRPr="009647E8" w:rsidR="00277959">
        <w:rPr>
          <w:lang w:val="sq-AL"/>
        </w:rPr>
        <w:t xml:space="preserve"> rrjedh nga një shkelje e k</w:t>
      </w:r>
      <w:r w:rsidRPr="009647E8" w:rsidR="00DB3DF3">
        <w:rPr>
          <w:lang w:val="sq-AL"/>
        </w:rPr>
        <w:t>ë</w:t>
      </w:r>
      <w:r w:rsidRPr="009647E8" w:rsidR="00277959">
        <w:rPr>
          <w:lang w:val="sq-AL"/>
        </w:rPr>
        <w:t>saj të drejte. Po ashtu, padia për pakujdesi paska qen</w:t>
      </w:r>
      <w:r w:rsidRPr="009647E8" w:rsidR="00DB3DF3">
        <w:rPr>
          <w:lang w:val="sq-AL"/>
        </w:rPr>
        <w:t>ë</w:t>
      </w:r>
      <w:r w:rsidRPr="009647E8" w:rsidR="00277959">
        <w:rPr>
          <w:lang w:val="sq-AL"/>
        </w:rPr>
        <w:t xml:space="preserve"> pa efektivitet. Sipas padit</w:t>
      </w:r>
      <w:r w:rsidRPr="009647E8" w:rsidR="00DB3DF3">
        <w:rPr>
          <w:lang w:val="sq-AL"/>
        </w:rPr>
        <w:t>ë</w:t>
      </w:r>
      <w:r w:rsidRPr="009647E8" w:rsidR="00277959">
        <w:rPr>
          <w:lang w:val="sq-AL"/>
        </w:rPr>
        <w:t>ses, ndon</w:t>
      </w:r>
      <w:r w:rsidRPr="009647E8" w:rsidR="00DB3DF3">
        <w:rPr>
          <w:lang w:val="sq-AL"/>
        </w:rPr>
        <w:t>ë</w:t>
      </w:r>
      <w:r w:rsidRPr="009647E8" w:rsidR="00277959">
        <w:rPr>
          <w:lang w:val="sq-AL"/>
        </w:rPr>
        <w:t>se urdhri p</w:t>
      </w:r>
      <w:r w:rsidRPr="009647E8" w:rsidR="00DB3DF3">
        <w:rPr>
          <w:lang w:val="sq-AL"/>
        </w:rPr>
        <w:t>ë</w:t>
      </w:r>
      <w:r w:rsidRPr="009647E8" w:rsidR="00277959">
        <w:rPr>
          <w:lang w:val="sq-AL"/>
        </w:rPr>
        <w:t>r pushim ç</w:t>
      </w:r>
      <w:r w:rsidRPr="009647E8" w:rsidR="00DB3DF3">
        <w:rPr>
          <w:lang w:val="sq-AL"/>
        </w:rPr>
        <w:t>ë</w:t>
      </w:r>
      <w:r w:rsidRPr="009647E8" w:rsidR="00277959">
        <w:rPr>
          <w:lang w:val="sq-AL"/>
        </w:rPr>
        <w:t>shtjeje i dh</w:t>
      </w:r>
      <w:r w:rsidRPr="009647E8" w:rsidR="00DB3DF3">
        <w:rPr>
          <w:lang w:val="sq-AL"/>
        </w:rPr>
        <w:t>ë</w:t>
      </w:r>
      <w:r w:rsidRPr="009647E8" w:rsidR="00277959">
        <w:rPr>
          <w:lang w:val="sq-AL"/>
        </w:rPr>
        <w:t>n</w:t>
      </w:r>
      <w:r w:rsidRPr="009647E8" w:rsidR="00DB3DF3">
        <w:rPr>
          <w:lang w:val="sq-AL"/>
        </w:rPr>
        <w:t>ë</w:t>
      </w:r>
      <w:r w:rsidRPr="009647E8" w:rsidR="00277959">
        <w:rPr>
          <w:lang w:val="sq-AL"/>
        </w:rPr>
        <w:t xml:space="preserve"> kundër saj n</w:t>
      </w:r>
      <w:r w:rsidRPr="009647E8" w:rsidR="00DB3DF3">
        <w:rPr>
          <w:lang w:val="sq-AL"/>
        </w:rPr>
        <w:t>ë</w:t>
      </w:r>
      <w:r w:rsidRPr="009647E8" w:rsidR="00277959">
        <w:rPr>
          <w:lang w:val="sq-AL"/>
        </w:rPr>
        <w:t xml:space="preserve"> shkall</w:t>
      </w:r>
      <w:r w:rsidRPr="009647E8" w:rsidR="00DB3DF3">
        <w:rPr>
          <w:lang w:val="sq-AL"/>
        </w:rPr>
        <w:t>ë</w:t>
      </w:r>
      <w:r w:rsidRPr="009647E8" w:rsidR="00277959">
        <w:rPr>
          <w:lang w:val="sq-AL"/>
        </w:rPr>
        <w:t xml:space="preserve"> të parë nuk ishte i arsyetuar, prej tij dilte qartazi se elementet q</w:t>
      </w:r>
      <w:r w:rsidRPr="009647E8" w:rsidR="00DB3DF3">
        <w:rPr>
          <w:lang w:val="sq-AL"/>
        </w:rPr>
        <w:t>ë</w:t>
      </w:r>
      <w:r w:rsidRPr="009647E8" w:rsidR="00277959">
        <w:rPr>
          <w:lang w:val="sq-AL"/>
        </w:rPr>
        <w:t xml:space="preserve"> kishte parashtruar ajo nuk kishin lejuar q</w:t>
      </w:r>
      <w:r w:rsidRPr="009647E8" w:rsidR="00DB3DF3">
        <w:rPr>
          <w:lang w:val="sq-AL"/>
        </w:rPr>
        <w:t>ë</w:t>
      </w:r>
      <w:r w:rsidRPr="009647E8" w:rsidR="00277959">
        <w:rPr>
          <w:lang w:val="sq-AL"/>
        </w:rPr>
        <w:t xml:space="preserve"> të v</w:t>
      </w:r>
      <w:r w:rsidRPr="009647E8" w:rsidR="00DB3DF3">
        <w:rPr>
          <w:lang w:val="sq-AL"/>
        </w:rPr>
        <w:t>ë</w:t>
      </w:r>
      <w:r w:rsidRPr="009647E8" w:rsidR="00277959">
        <w:rPr>
          <w:lang w:val="sq-AL"/>
        </w:rPr>
        <w:t>rtetohej q</w:t>
      </w:r>
      <w:r w:rsidRPr="009647E8" w:rsidR="00DB3DF3">
        <w:rPr>
          <w:lang w:val="sq-AL"/>
        </w:rPr>
        <w:t>ë</w:t>
      </w:r>
      <w:r w:rsidRPr="009647E8" w:rsidR="00277959">
        <w:rPr>
          <w:lang w:val="sq-AL"/>
        </w:rPr>
        <w:t xml:space="preserve"> pretendimet e saj p</w:t>
      </w:r>
      <w:r w:rsidRPr="009647E8" w:rsidR="00DB3DF3">
        <w:rPr>
          <w:lang w:val="sq-AL"/>
        </w:rPr>
        <w:t>ë</w:t>
      </w:r>
      <w:r w:rsidRPr="009647E8" w:rsidR="00277959">
        <w:rPr>
          <w:lang w:val="sq-AL"/>
        </w:rPr>
        <w:t>r pakujdesi ishin të bazuara. E interesuara shton se, sidoqoftë, ajo nuk i kishte burimet e nevojshme për të kryer gjurmimet e duhura</w:t>
      </w:r>
      <w:r w:rsidRPr="009647E8" w:rsidR="00DB3DF3">
        <w:rPr>
          <w:lang w:val="sq-AL"/>
        </w:rPr>
        <w:t xml:space="preserve">, përmasat e të cilave qenka treguar nga mjetet e stërmëdha të përdorura më pas nga shteti në kuadrin e punimeve të Komisionit </w:t>
      </w:r>
      <w:r w:rsidRPr="009647E8">
        <w:rPr>
          <w:lang w:val="sq-AL"/>
        </w:rPr>
        <w:t>Ryan (paragra</w:t>
      </w:r>
      <w:r w:rsidRPr="009647E8" w:rsidR="00DB3DF3">
        <w:rPr>
          <w:lang w:val="sq-AL"/>
        </w:rPr>
        <w:t>fi</w:t>
      </w:r>
      <w:r w:rsidRPr="009647E8">
        <w:rPr>
          <w:lang w:val="sq-AL"/>
        </w:rPr>
        <w:t xml:space="preserve"> 77 </w:t>
      </w:r>
      <w:r w:rsidRPr="009647E8" w:rsidR="00604857">
        <w:rPr>
          <w:lang w:val="sq-AL"/>
        </w:rPr>
        <w:t>i mësipërm</w:t>
      </w:r>
      <w:r w:rsidRPr="009647E8">
        <w:rPr>
          <w:lang w:val="sq-AL"/>
        </w:rPr>
        <w:t xml:space="preserve">). </w:t>
      </w:r>
      <w:r w:rsidRPr="009647E8" w:rsidR="00DB3DF3">
        <w:rPr>
          <w:lang w:val="sq-AL"/>
        </w:rPr>
        <w:t xml:space="preserve">Sipas saj, një ankim kundër konstatimit të formuluar nga </w:t>
      </w:r>
      <w:r w:rsidRPr="009647E8">
        <w:rPr>
          <w:i/>
          <w:lang w:val="sq-AL"/>
        </w:rPr>
        <w:t>High Court</w:t>
      </w:r>
      <w:r w:rsidRPr="009647E8">
        <w:rPr>
          <w:lang w:val="sq-AL"/>
        </w:rPr>
        <w:t xml:space="preserve"> </w:t>
      </w:r>
      <w:r w:rsidRPr="009647E8" w:rsidR="00DB3DF3">
        <w:rPr>
          <w:lang w:val="sq-AL"/>
        </w:rPr>
        <w:t>lidhur me provat e paraqitura nuk do të kishte pasur asnjë shans për sukses, pavarësisht nëse do të ishte zbatuar ose jo jurisprudenca e përmendur nga Qeveria</w:t>
      </w:r>
      <w:r w:rsidRPr="009647E8">
        <w:rPr>
          <w:lang w:val="sq-AL"/>
        </w:rPr>
        <w:t>.</w:t>
      </w:r>
    </w:p>
    <w:p w:rsidRPr="009647E8" w:rsidR="00EB737A" w:rsidP="00EB737A" w:rsidRDefault="00EB737A">
      <w:pPr>
        <w:pStyle w:val="ECHRHeading3"/>
        <w:rPr>
          <w:lang w:val="sq-AL"/>
        </w:rPr>
      </w:pPr>
      <w:r w:rsidRPr="009647E8">
        <w:rPr>
          <w:lang w:val="sq-AL"/>
        </w:rPr>
        <w:t>2.  </w:t>
      </w:r>
      <w:r w:rsidRPr="009647E8" w:rsidR="00DB3DF3">
        <w:rPr>
          <w:lang w:val="sq-AL"/>
        </w:rPr>
        <w:t xml:space="preserve">Vërejtjet e </w:t>
      </w:r>
      <w:r w:rsidRPr="009647E8">
        <w:rPr>
          <w:lang w:val="sq-AL"/>
        </w:rPr>
        <w:t>IHRC</w:t>
      </w:r>
      <w:r w:rsidRPr="009647E8" w:rsidR="00DB3DF3">
        <w:rPr>
          <w:lang w:val="sq-AL"/>
        </w:rPr>
        <w:t>-së</w:t>
      </w:r>
    </w:p>
    <w:p w:rsidRPr="009647E8" w:rsidR="00EB737A" w:rsidP="00EB737A" w:rsidRDefault="00EB737A">
      <w:pPr>
        <w:pStyle w:val="ECHRPara"/>
        <w:rPr>
          <w:lang w:val="sq-AL"/>
        </w:rPr>
      </w:pPr>
      <w:r w:rsidRPr="009647E8">
        <w:rPr>
          <w:lang w:val="sq-AL"/>
        </w:rPr>
        <w:fldChar w:fldCharType="begin"/>
      </w:r>
      <w:r w:rsidRPr="009647E8">
        <w:rPr>
          <w:lang w:val="sq-AL"/>
        </w:rPr>
        <w:instrText xml:space="preserve"> SEQ level0 \*arabic </w:instrText>
      </w:r>
      <w:r w:rsidRPr="009647E8">
        <w:rPr>
          <w:lang w:val="sq-AL"/>
        </w:rPr>
        <w:fldChar w:fldCharType="separate"/>
      </w:r>
      <w:r w:rsidR="00013F9B">
        <w:rPr>
          <w:noProof/>
          <w:lang w:val="sq-AL"/>
        </w:rPr>
        <w:t>182</w:t>
      </w:r>
      <w:r w:rsidRPr="009647E8">
        <w:rPr>
          <w:lang w:val="sq-AL"/>
        </w:rPr>
        <w:fldChar w:fldCharType="end"/>
      </w:r>
      <w:r w:rsidRPr="009647E8">
        <w:rPr>
          <w:lang w:val="sq-AL"/>
        </w:rPr>
        <w:t>.  IHRC</w:t>
      </w:r>
      <w:r w:rsidRPr="009647E8" w:rsidR="00DB3DF3">
        <w:rPr>
          <w:lang w:val="sq-AL"/>
        </w:rPr>
        <w:t>-ja çmon se padia p</w:t>
      </w:r>
      <w:r w:rsidR="009647E8">
        <w:rPr>
          <w:lang w:val="sq-AL"/>
        </w:rPr>
        <w:t>ë</w:t>
      </w:r>
      <w:r w:rsidRPr="009647E8" w:rsidR="00DB3DF3">
        <w:rPr>
          <w:lang w:val="sq-AL"/>
        </w:rPr>
        <w:t>r përgjegj</w:t>
      </w:r>
      <w:r w:rsidR="009647E8">
        <w:rPr>
          <w:lang w:val="sq-AL"/>
        </w:rPr>
        <w:t>ë</w:t>
      </w:r>
      <w:r w:rsidRPr="009647E8" w:rsidR="00DB3DF3">
        <w:rPr>
          <w:lang w:val="sq-AL"/>
        </w:rPr>
        <w:t>si kushtetuese nuk është efektive. Ai shpjegon veçan</w:t>
      </w:r>
      <w:r w:rsidR="009647E8">
        <w:rPr>
          <w:lang w:val="sq-AL"/>
        </w:rPr>
        <w:t>ë</w:t>
      </w:r>
      <w:r w:rsidRPr="009647E8" w:rsidR="00DB3DF3">
        <w:rPr>
          <w:lang w:val="sq-AL"/>
        </w:rPr>
        <w:t>risht se, sado që gjykatat e kan</w:t>
      </w:r>
      <w:r w:rsidR="009647E8">
        <w:rPr>
          <w:lang w:val="sq-AL"/>
        </w:rPr>
        <w:t>ë</w:t>
      </w:r>
      <w:r w:rsidRPr="009647E8" w:rsidR="00DB3DF3">
        <w:rPr>
          <w:lang w:val="sq-AL"/>
        </w:rPr>
        <w:t xml:space="preserve"> pranuar teorikisht idenë e b</w:t>
      </w:r>
      <w:r w:rsidR="009647E8">
        <w:rPr>
          <w:lang w:val="sq-AL"/>
        </w:rPr>
        <w:t>ë</w:t>
      </w:r>
      <w:r w:rsidRPr="009647E8" w:rsidR="00DB3DF3">
        <w:rPr>
          <w:lang w:val="sq-AL"/>
        </w:rPr>
        <w:t>rjes s</w:t>
      </w:r>
      <w:r w:rsidR="009647E8">
        <w:rPr>
          <w:lang w:val="sq-AL"/>
        </w:rPr>
        <w:t>ë</w:t>
      </w:r>
      <w:r w:rsidRPr="009647E8" w:rsidR="00DB3DF3">
        <w:rPr>
          <w:lang w:val="sq-AL"/>
        </w:rPr>
        <w:t xml:space="preserve"> ankimeve të posaçme për pretendime shkeljesh të t</w:t>
      </w:r>
      <w:r w:rsidR="009647E8">
        <w:rPr>
          <w:lang w:val="sq-AL"/>
        </w:rPr>
        <w:t>ë</w:t>
      </w:r>
      <w:r w:rsidRPr="009647E8" w:rsidR="00DB3DF3">
        <w:rPr>
          <w:lang w:val="sq-AL"/>
        </w:rPr>
        <w:t xml:space="preserve"> drejtave kushtetuese </w:t>
      </w:r>
      <w:r w:rsidRPr="009647E8">
        <w:rPr>
          <w:lang w:val="sq-AL"/>
        </w:rPr>
        <w:t>(</w:t>
      </w:r>
      <w:r w:rsidRPr="009647E8">
        <w:rPr>
          <w:i/>
          <w:lang w:val="sq-AL"/>
        </w:rPr>
        <w:t>Byrne v. Ireland</w:t>
      </w:r>
      <w:r w:rsidRPr="009647E8">
        <w:rPr>
          <w:lang w:val="sq-AL"/>
        </w:rPr>
        <w:t xml:space="preserve"> [1972] IR 241, </w:t>
      </w:r>
      <w:r w:rsidRPr="009647E8" w:rsidR="00DB3DF3">
        <w:rPr>
          <w:lang w:val="sq-AL"/>
        </w:rPr>
        <w:t>f</w:t>
      </w:r>
      <w:r w:rsidRPr="009647E8">
        <w:rPr>
          <w:lang w:val="sq-AL"/>
        </w:rPr>
        <w:t xml:space="preserve">. 281, </w:t>
      </w:r>
      <w:r w:rsidRPr="009647E8" w:rsidR="00DB3DF3">
        <w:rPr>
          <w:lang w:val="sq-AL"/>
        </w:rPr>
        <w:t>dhe</w:t>
      </w:r>
      <w:r w:rsidRPr="009647E8">
        <w:rPr>
          <w:lang w:val="sq-AL"/>
        </w:rPr>
        <w:t xml:space="preserve"> </w:t>
      </w:r>
      <w:r w:rsidRPr="009647E8">
        <w:rPr>
          <w:i/>
          <w:lang w:val="sq-AL"/>
        </w:rPr>
        <w:t>Meskill v. Ireland</w:t>
      </w:r>
      <w:r w:rsidRPr="009647E8">
        <w:rPr>
          <w:lang w:val="sq-AL"/>
        </w:rPr>
        <w:t xml:space="preserve"> [1973] IR 121), </w:t>
      </w:r>
      <w:r w:rsidRPr="009647E8" w:rsidR="00DB3DF3">
        <w:rPr>
          <w:lang w:val="sq-AL"/>
        </w:rPr>
        <w:t>po të nj</w:t>
      </w:r>
      <w:r w:rsidR="009647E8">
        <w:rPr>
          <w:lang w:val="sq-AL"/>
        </w:rPr>
        <w:t>ë</w:t>
      </w:r>
      <w:r w:rsidRPr="009647E8" w:rsidR="00DB3DF3">
        <w:rPr>
          <w:lang w:val="sq-AL"/>
        </w:rPr>
        <w:t>jtat gjykata priren që ta shmangin z</w:t>
      </w:r>
      <w:r w:rsidR="009647E8">
        <w:rPr>
          <w:lang w:val="sq-AL"/>
        </w:rPr>
        <w:t>ë</w:t>
      </w:r>
      <w:r w:rsidRPr="009647E8" w:rsidR="00DB3DF3">
        <w:rPr>
          <w:lang w:val="sq-AL"/>
        </w:rPr>
        <w:t xml:space="preserve">vendësimin e ankimeve të parashikuara tashmë nga ligji dhe nga </w:t>
      </w:r>
      <w:r w:rsidRPr="009647E8">
        <w:rPr>
          <w:i/>
          <w:lang w:val="sq-AL"/>
        </w:rPr>
        <w:t>common law</w:t>
      </w:r>
      <w:r w:rsidRPr="009647E8">
        <w:rPr>
          <w:lang w:val="sq-AL"/>
        </w:rPr>
        <w:t xml:space="preserve"> </w:t>
      </w:r>
      <w:r w:rsidRPr="009647E8" w:rsidR="00DB3DF3">
        <w:rPr>
          <w:lang w:val="sq-AL"/>
        </w:rPr>
        <w:t>me nj</w:t>
      </w:r>
      <w:r w:rsidR="009647E8">
        <w:rPr>
          <w:lang w:val="sq-AL"/>
        </w:rPr>
        <w:t>ë</w:t>
      </w:r>
      <w:r w:rsidRPr="009647E8" w:rsidR="00DB3DF3">
        <w:rPr>
          <w:lang w:val="sq-AL"/>
        </w:rPr>
        <w:t xml:space="preserve"> regjim m</w:t>
      </w:r>
      <w:r w:rsidR="009647E8">
        <w:rPr>
          <w:lang w:val="sq-AL"/>
        </w:rPr>
        <w:t>ë</w:t>
      </w:r>
      <w:r w:rsidRPr="009647E8" w:rsidR="00DB3DF3">
        <w:rPr>
          <w:lang w:val="sq-AL"/>
        </w:rPr>
        <w:t xml:space="preserve"> vete procedurash kushtetuese</w:t>
      </w:r>
      <w:r w:rsidRPr="009647E8">
        <w:rPr>
          <w:lang w:val="sq-AL"/>
        </w:rPr>
        <w:t xml:space="preserve">; </w:t>
      </w:r>
      <w:r w:rsidR="009647E8">
        <w:rPr>
          <w:lang w:val="sq-AL"/>
        </w:rPr>
        <w:t>juridiksio</w:t>
      </w:r>
      <w:r w:rsidRPr="009647E8" w:rsidR="00A54813">
        <w:rPr>
          <w:lang w:val="sq-AL"/>
        </w:rPr>
        <w:t>net q</w:t>
      </w:r>
      <w:r w:rsidR="009647E8">
        <w:rPr>
          <w:lang w:val="sq-AL"/>
        </w:rPr>
        <w:t>ë</w:t>
      </w:r>
      <w:r w:rsidRPr="009647E8" w:rsidR="00A54813">
        <w:rPr>
          <w:lang w:val="sq-AL"/>
        </w:rPr>
        <w:t xml:space="preserve"> marrin vendime n</w:t>
      </w:r>
      <w:r w:rsidR="009647E8">
        <w:rPr>
          <w:lang w:val="sq-AL"/>
        </w:rPr>
        <w:t>ë</w:t>
      </w:r>
      <w:r w:rsidRPr="009647E8" w:rsidR="00A54813">
        <w:rPr>
          <w:lang w:val="sq-AL"/>
        </w:rPr>
        <w:t xml:space="preserve"> fushën kushtetuese p</w:t>
      </w:r>
      <w:r w:rsidR="009647E8">
        <w:rPr>
          <w:lang w:val="sq-AL"/>
        </w:rPr>
        <w:t>ë</w:t>
      </w:r>
      <w:r w:rsidRPr="009647E8" w:rsidR="00A54813">
        <w:rPr>
          <w:lang w:val="sq-AL"/>
        </w:rPr>
        <w:t>rdorkan pra rrug</w:t>
      </w:r>
      <w:r w:rsidR="009647E8">
        <w:rPr>
          <w:lang w:val="sq-AL"/>
        </w:rPr>
        <w:t>ë</w:t>
      </w:r>
      <w:r w:rsidRPr="009647E8" w:rsidR="00A54813">
        <w:rPr>
          <w:lang w:val="sq-AL"/>
        </w:rPr>
        <w:t>t ekzistuese p</w:t>
      </w:r>
      <w:r w:rsidR="009647E8">
        <w:rPr>
          <w:lang w:val="sq-AL"/>
        </w:rPr>
        <w:t>ë</w:t>
      </w:r>
      <w:r w:rsidRPr="009647E8" w:rsidR="00A54813">
        <w:rPr>
          <w:lang w:val="sq-AL"/>
        </w:rPr>
        <w:t>r ankim</w:t>
      </w:r>
      <w:r w:rsidRPr="009647E8">
        <w:rPr>
          <w:lang w:val="sq-AL"/>
        </w:rPr>
        <w:t xml:space="preserve">, </w:t>
      </w:r>
      <w:r w:rsidRPr="009647E8" w:rsidR="00A54813">
        <w:rPr>
          <w:lang w:val="sq-AL"/>
        </w:rPr>
        <w:t xml:space="preserve">sidomos ato që ofrohen nga e drejta e përgjegjësisë civile </w:t>
      </w:r>
      <w:r w:rsidRPr="009647E8">
        <w:rPr>
          <w:lang w:val="sq-AL"/>
        </w:rPr>
        <w:t>(</w:t>
      </w:r>
      <w:r w:rsidRPr="009647E8">
        <w:rPr>
          <w:i/>
          <w:lang w:val="sq-AL"/>
        </w:rPr>
        <w:t>W v. Ireland</w:t>
      </w:r>
      <w:r w:rsidRPr="009647E8" w:rsidR="001E408E">
        <w:rPr>
          <w:lang w:val="sq-AL"/>
        </w:rPr>
        <w:t xml:space="preserve"> (nr</w:t>
      </w:r>
      <w:r w:rsidRPr="009647E8">
        <w:rPr>
          <w:lang w:val="sq-AL"/>
        </w:rPr>
        <w:t>. 2) ([1999] 2 IR 141). P</w:t>
      </w:r>
      <w:r w:rsidRPr="009647E8" w:rsidR="00A54813">
        <w:rPr>
          <w:lang w:val="sq-AL"/>
        </w:rPr>
        <w:t>ër mendimin e</w:t>
      </w:r>
      <w:r w:rsidRPr="009647E8">
        <w:rPr>
          <w:lang w:val="sq-AL"/>
        </w:rPr>
        <w:t xml:space="preserve"> IHRC</w:t>
      </w:r>
      <w:r w:rsidRPr="009647E8" w:rsidR="00A54813">
        <w:rPr>
          <w:lang w:val="sq-AL"/>
        </w:rPr>
        <w:t>-së</w:t>
      </w:r>
      <w:r w:rsidRPr="009647E8">
        <w:rPr>
          <w:lang w:val="sq-AL"/>
        </w:rPr>
        <w:t>,</w:t>
      </w:r>
      <w:r w:rsidRPr="009647E8" w:rsidR="00A54813">
        <w:rPr>
          <w:lang w:val="sq-AL"/>
        </w:rPr>
        <w:t xml:space="preserve"> pik</w:t>
      </w:r>
      <w:r w:rsidR="009647E8">
        <w:rPr>
          <w:lang w:val="sq-AL"/>
        </w:rPr>
        <w:t>ë</w:t>
      </w:r>
      <w:r w:rsidRPr="009647E8" w:rsidR="00A54813">
        <w:rPr>
          <w:lang w:val="sq-AL"/>
        </w:rPr>
        <w:t>risht k</w:t>
      </w:r>
      <w:r w:rsidR="009647E8">
        <w:rPr>
          <w:lang w:val="sq-AL"/>
        </w:rPr>
        <w:t>ë</w:t>
      </w:r>
      <w:r w:rsidRPr="009647E8" w:rsidR="00A54813">
        <w:rPr>
          <w:lang w:val="sq-AL"/>
        </w:rPr>
        <w:t>shtu ka ndodhur n</w:t>
      </w:r>
      <w:r w:rsidR="009647E8">
        <w:rPr>
          <w:lang w:val="sq-AL"/>
        </w:rPr>
        <w:t>ë</w:t>
      </w:r>
      <w:r w:rsidRPr="009647E8" w:rsidR="00A54813">
        <w:rPr>
          <w:lang w:val="sq-AL"/>
        </w:rPr>
        <w:t xml:space="preserve"> çështjen n</w:t>
      </w:r>
      <w:r w:rsidR="009647E8">
        <w:rPr>
          <w:lang w:val="sq-AL"/>
        </w:rPr>
        <w:t>ë</w:t>
      </w:r>
      <w:r w:rsidRPr="009647E8" w:rsidR="00A54813">
        <w:rPr>
          <w:lang w:val="sq-AL"/>
        </w:rPr>
        <w:t xml:space="preserve"> fjalë, përderisa ka mjaftuar që, për ta mënjanuar argumentin lidhur me përgjegj</w:t>
      </w:r>
      <w:r w:rsidR="009647E8">
        <w:rPr>
          <w:lang w:val="sq-AL"/>
        </w:rPr>
        <w:t>ë</w:t>
      </w:r>
      <w:r w:rsidRPr="009647E8" w:rsidR="00A54813">
        <w:rPr>
          <w:lang w:val="sq-AL"/>
        </w:rPr>
        <w:t>sin</w:t>
      </w:r>
      <w:r w:rsidR="009647E8">
        <w:rPr>
          <w:lang w:val="sq-AL"/>
        </w:rPr>
        <w:t>ë</w:t>
      </w:r>
      <w:r w:rsidRPr="009647E8" w:rsidR="00A54813">
        <w:rPr>
          <w:lang w:val="sq-AL"/>
        </w:rPr>
        <w:t xml:space="preserve"> kushtetuese kundër shtetit, t</w:t>
      </w:r>
      <w:r w:rsidR="009647E8">
        <w:rPr>
          <w:lang w:val="sq-AL"/>
        </w:rPr>
        <w:t>ë</w:t>
      </w:r>
      <w:r w:rsidRPr="009647E8" w:rsidR="00A54813">
        <w:rPr>
          <w:lang w:val="sq-AL"/>
        </w:rPr>
        <w:t xml:space="preserve"> riorientohej padit</w:t>
      </w:r>
      <w:r w:rsidR="009647E8">
        <w:rPr>
          <w:lang w:val="sq-AL"/>
        </w:rPr>
        <w:t>ë</w:t>
      </w:r>
      <w:r w:rsidRPr="009647E8" w:rsidR="00A54813">
        <w:rPr>
          <w:lang w:val="sq-AL"/>
        </w:rPr>
        <w:t>sja drejt një ankimi për përgjegj</w:t>
      </w:r>
      <w:r w:rsidR="009647E8">
        <w:rPr>
          <w:lang w:val="sq-AL"/>
        </w:rPr>
        <w:t>ë</w:t>
      </w:r>
      <w:r w:rsidRPr="009647E8" w:rsidR="00A54813">
        <w:rPr>
          <w:lang w:val="sq-AL"/>
        </w:rPr>
        <w:t>si civile për shkelje të të drejtave t</w:t>
      </w:r>
      <w:r w:rsidR="009647E8">
        <w:rPr>
          <w:lang w:val="sq-AL"/>
        </w:rPr>
        <w:t>ë</w:t>
      </w:r>
      <w:r w:rsidRPr="009647E8" w:rsidR="00A54813">
        <w:rPr>
          <w:lang w:val="sq-AL"/>
        </w:rPr>
        <w:t xml:space="preserve"> saj për paprekshm</w:t>
      </w:r>
      <w:r w:rsidR="009647E8">
        <w:rPr>
          <w:lang w:val="sq-AL"/>
        </w:rPr>
        <w:t>ë</w:t>
      </w:r>
      <w:r w:rsidRPr="009647E8" w:rsidR="00A54813">
        <w:rPr>
          <w:lang w:val="sq-AL"/>
        </w:rPr>
        <w:t>rin</w:t>
      </w:r>
      <w:r w:rsidR="009647E8">
        <w:rPr>
          <w:lang w:val="sq-AL"/>
        </w:rPr>
        <w:t>ë</w:t>
      </w:r>
      <w:r w:rsidRPr="009647E8" w:rsidR="00A54813">
        <w:rPr>
          <w:lang w:val="sq-AL"/>
        </w:rPr>
        <w:t xml:space="preserve"> fizike/për jetën private. </w:t>
      </w:r>
      <w:r w:rsidRPr="009647E8">
        <w:rPr>
          <w:lang w:val="sq-AL"/>
        </w:rPr>
        <w:t>IHRC</w:t>
      </w:r>
      <w:r w:rsidRPr="009647E8" w:rsidR="00A54813">
        <w:rPr>
          <w:lang w:val="sq-AL"/>
        </w:rPr>
        <w:t>-ja çmon megjithatë se kategorit</w:t>
      </w:r>
      <w:r w:rsidR="009647E8">
        <w:rPr>
          <w:lang w:val="sq-AL"/>
        </w:rPr>
        <w:t>ë</w:t>
      </w:r>
      <w:r w:rsidRPr="009647E8" w:rsidR="00A54813">
        <w:rPr>
          <w:lang w:val="sq-AL"/>
        </w:rPr>
        <w:t xml:space="preserve"> e së drejtës s</w:t>
      </w:r>
      <w:r w:rsidR="009647E8">
        <w:rPr>
          <w:lang w:val="sq-AL"/>
        </w:rPr>
        <w:t>ë</w:t>
      </w:r>
      <w:r w:rsidRPr="009647E8" w:rsidR="00A54813">
        <w:rPr>
          <w:lang w:val="sq-AL"/>
        </w:rPr>
        <w:t xml:space="preserve"> përgjegjësisë civile (pakujdesi/përgjegj</w:t>
      </w:r>
      <w:r w:rsidR="009647E8">
        <w:rPr>
          <w:lang w:val="sq-AL"/>
        </w:rPr>
        <w:t>ë</w:t>
      </w:r>
      <w:r w:rsidRPr="009647E8" w:rsidR="00A54813">
        <w:rPr>
          <w:lang w:val="sq-AL"/>
        </w:rPr>
        <w:t>si për veprimet e tjet</w:t>
      </w:r>
      <w:r w:rsidR="009647E8">
        <w:rPr>
          <w:lang w:val="sq-AL"/>
        </w:rPr>
        <w:t>ë</w:t>
      </w:r>
      <w:r w:rsidRPr="009647E8" w:rsidR="00A54813">
        <w:rPr>
          <w:lang w:val="sq-AL"/>
        </w:rPr>
        <w:t>rkujt)</w:t>
      </w:r>
      <w:r w:rsidRPr="009647E8">
        <w:rPr>
          <w:lang w:val="sq-AL"/>
        </w:rPr>
        <w:t xml:space="preserve"> </w:t>
      </w:r>
      <w:r w:rsidRPr="009647E8" w:rsidR="00A54813">
        <w:rPr>
          <w:lang w:val="sq-AL"/>
        </w:rPr>
        <w:t>vet</w:t>
      </w:r>
      <w:r w:rsidR="009647E8">
        <w:rPr>
          <w:lang w:val="sq-AL"/>
        </w:rPr>
        <w:t>ë</w:t>
      </w:r>
      <w:r w:rsidRPr="009647E8" w:rsidR="00A54813">
        <w:rPr>
          <w:lang w:val="sq-AL"/>
        </w:rPr>
        <w:t>m sa u përcaktojn</w:t>
      </w:r>
      <w:r w:rsidR="009647E8">
        <w:rPr>
          <w:lang w:val="sq-AL"/>
        </w:rPr>
        <w:t>ë</w:t>
      </w:r>
      <w:r w:rsidRPr="009647E8" w:rsidR="00A54813">
        <w:rPr>
          <w:lang w:val="sq-AL"/>
        </w:rPr>
        <w:t xml:space="preserve"> kufijtë detyrimeve/përgjegj</w:t>
      </w:r>
      <w:r w:rsidR="009647E8">
        <w:rPr>
          <w:lang w:val="sq-AL"/>
        </w:rPr>
        <w:t>ë</w:t>
      </w:r>
      <w:r w:rsidRPr="009647E8" w:rsidR="00A54813">
        <w:rPr>
          <w:lang w:val="sq-AL"/>
        </w:rPr>
        <w:t>sive të shtetit, pa u interesuar për detyrën mbase m</w:t>
      </w:r>
      <w:r w:rsidR="009647E8">
        <w:rPr>
          <w:lang w:val="sq-AL"/>
        </w:rPr>
        <w:t>ë</w:t>
      </w:r>
      <w:r w:rsidRPr="009647E8" w:rsidR="00A54813">
        <w:rPr>
          <w:lang w:val="sq-AL"/>
        </w:rPr>
        <w:t xml:space="preserve"> të përgjithshme q</w:t>
      </w:r>
      <w:r w:rsidR="009647E8">
        <w:rPr>
          <w:lang w:val="sq-AL"/>
        </w:rPr>
        <w:t>ë</w:t>
      </w:r>
      <w:r w:rsidRPr="009647E8" w:rsidR="00A54813">
        <w:rPr>
          <w:lang w:val="sq-AL"/>
        </w:rPr>
        <w:t xml:space="preserve"> i takon sipas tij k</w:t>
      </w:r>
      <w:r w:rsidR="009647E8">
        <w:rPr>
          <w:lang w:val="sq-AL"/>
        </w:rPr>
        <w:t>ë</w:t>
      </w:r>
      <w:r w:rsidRPr="009647E8" w:rsidR="00A54813">
        <w:rPr>
          <w:lang w:val="sq-AL"/>
        </w:rPr>
        <w:t>tij të fundit p</w:t>
      </w:r>
      <w:r w:rsidR="009647E8">
        <w:rPr>
          <w:lang w:val="sq-AL"/>
        </w:rPr>
        <w:t>ë</w:t>
      </w:r>
      <w:r w:rsidRPr="009647E8" w:rsidR="00A54813">
        <w:rPr>
          <w:lang w:val="sq-AL"/>
        </w:rPr>
        <w:t>r t</w:t>
      </w:r>
      <w:r w:rsidR="00943091">
        <w:rPr>
          <w:lang w:val="sq-AL"/>
        </w:rPr>
        <w:t>’</w:t>
      </w:r>
      <w:r w:rsidRPr="009647E8" w:rsidR="00A54813">
        <w:rPr>
          <w:lang w:val="sq-AL"/>
        </w:rPr>
        <w:t>i garantuar të drejtat e f</w:t>
      </w:r>
      <w:r w:rsidR="009647E8">
        <w:rPr>
          <w:lang w:val="sq-AL"/>
        </w:rPr>
        <w:t>ë</w:t>
      </w:r>
      <w:r w:rsidRPr="009647E8" w:rsidR="00A54813">
        <w:rPr>
          <w:lang w:val="sq-AL"/>
        </w:rPr>
        <w:t>mij</w:t>
      </w:r>
      <w:r w:rsidR="009647E8">
        <w:rPr>
          <w:lang w:val="sq-AL"/>
        </w:rPr>
        <w:t>ë</w:t>
      </w:r>
      <w:r w:rsidRPr="009647E8" w:rsidR="00A54813">
        <w:rPr>
          <w:lang w:val="sq-AL"/>
        </w:rPr>
        <w:t>ve n</w:t>
      </w:r>
      <w:r w:rsidR="009647E8">
        <w:rPr>
          <w:lang w:val="sq-AL"/>
        </w:rPr>
        <w:t>ë</w:t>
      </w:r>
      <w:r w:rsidRPr="009647E8" w:rsidR="00A54813">
        <w:rPr>
          <w:lang w:val="sq-AL"/>
        </w:rPr>
        <w:t xml:space="preserve"> gjirin e sistemit të arsimit publik. </w:t>
      </w:r>
      <w:r w:rsidRPr="009647E8">
        <w:rPr>
          <w:lang w:val="sq-AL"/>
        </w:rPr>
        <w:t>P</w:t>
      </w:r>
      <w:r w:rsidRPr="009647E8" w:rsidR="00A54813">
        <w:rPr>
          <w:lang w:val="sq-AL"/>
        </w:rPr>
        <w:t xml:space="preserve">ër mendimin e </w:t>
      </w:r>
      <w:r w:rsidRPr="009647E8">
        <w:rPr>
          <w:lang w:val="sq-AL"/>
        </w:rPr>
        <w:t>IHRC</w:t>
      </w:r>
      <w:r w:rsidRPr="009647E8" w:rsidR="00A54813">
        <w:rPr>
          <w:lang w:val="sq-AL"/>
        </w:rPr>
        <w:t>-së</w:t>
      </w:r>
      <w:r w:rsidRPr="009647E8">
        <w:rPr>
          <w:lang w:val="sq-AL"/>
        </w:rPr>
        <w:t xml:space="preserve">, </w:t>
      </w:r>
      <w:r w:rsidRPr="009647E8" w:rsidR="00204584">
        <w:rPr>
          <w:lang w:val="sq-AL"/>
        </w:rPr>
        <w:t>kjo ngre p</w:t>
      </w:r>
      <w:r w:rsidR="009647E8">
        <w:rPr>
          <w:lang w:val="sq-AL"/>
        </w:rPr>
        <w:t>ë</w:t>
      </w:r>
      <w:r w:rsidRPr="009647E8" w:rsidR="00204584">
        <w:rPr>
          <w:lang w:val="sq-AL"/>
        </w:rPr>
        <w:t>r rrjedhoj</w:t>
      </w:r>
      <w:r w:rsidR="009647E8">
        <w:rPr>
          <w:lang w:val="sq-AL"/>
        </w:rPr>
        <w:t>ë</w:t>
      </w:r>
      <w:r w:rsidRPr="009647E8" w:rsidR="00204584">
        <w:rPr>
          <w:lang w:val="sq-AL"/>
        </w:rPr>
        <w:t xml:space="preserve"> pyetjen n</w:t>
      </w:r>
      <w:r w:rsidR="009647E8">
        <w:rPr>
          <w:lang w:val="sq-AL"/>
        </w:rPr>
        <w:t>ë</w:t>
      </w:r>
      <w:r w:rsidRPr="009647E8" w:rsidR="00204584">
        <w:rPr>
          <w:lang w:val="sq-AL"/>
        </w:rPr>
        <w:t>se padia p</w:t>
      </w:r>
      <w:r w:rsidR="009647E8">
        <w:rPr>
          <w:lang w:val="sq-AL"/>
        </w:rPr>
        <w:t>ë</w:t>
      </w:r>
      <w:r w:rsidRPr="009647E8" w:rsidR="00204584">
        <w:rPr>
          <w:lang w:val="sq-AL"/>
        </w:rPr>
        <w:t>r p</w:t>
      </w:r>
      <w:r w:rsidR="009647E8">
        <w:rPr>
          <w:lang w:val="sq-AL"/>
        </w:rPr>
        <w:t>ë</w:t>
      </w:r>
      <w:r w:rsidRPr="009647E8" w:rsidR="00204584">
        <w:rPr>
          <w:lang w:val="sq-AL"/>
        </w:rPr>
        <w:t>rgjegj</w:t>
      </w:r>
      <w:r w:rsidR="009647E8">
        <w:rPr>
          <w:lang w:val="sq-AL"/>
        </w:rPr>
        <w:t>ë</w:t>
      </w:r>
      <w:r w:rsidRPr="009647E8" w:rsidR="00204584">
        <w:rPr>
          <w:lang w:val="sq-AL"/>
        </w:rPr>
        <w:t>si civile p</w:t>
      </w:r>
      <w:r w:rsidR="009647E8">
        <w:rPr>
          <w:lang w:val="sq-AL"/>
        </w:rPr>
        <w:t>ë</w:t>
      </w:r>
      <w:r w:rsidRPr="009647E8" w:rsidR="00204584">
        <w:rPr>
          <w:lang w:val="sq-AL"/>
        </w:rPr>
        <w:t>rb</w:t>
      </w:r>
      <w:r w:rsidR="009647E8">
        <w:rPr>
          <w:lang w:val="sq-AL"/>
        </w:rPr>
        <w:t>ë</w:t>
      </w:r>
      <w:r w:rsidRPr="009647E8" w:rsidR="00204584">
        <w:rPr>
          <w:lang w:val="sq-AL"/>
        </w:rPr>
        <w:t>nte apo jo nj</w:t>
      </w:r>
      <w:r w:rsidR="009647E8">
        <w:rPr>
          <w:lang w:val="sq-AL"/>
        </w:rPr>
        <w:t>ë</w:t>
      </w:r>
      <w:r w:rsidRPr="009647E8" w:rsidR="00204584">
        <w:rPr>
          <w:lang w:val="sq-AL"/>
        </w:rPr>
        <w:t xml:space="preserve"> rrug</w:t>
      </w:r>
      <w:r w:rsidR="009647E8">
        <w:rPr>
          <w:lang w:val="sq-AL"/>
        </w:rPr>
        <w:t>ë</w:t>
      </w:r>
      <w:r w:rsidRPr="009647E8" w:rsidR="00204584">
        <w:rPr>
          <w:lang w:val="sq-AL"/>
        </w:rPr>
        <w:t xml:space="preserve"> të till</w:t>
      </w:r>
      <w:r w:rsidR="009647E8">
        <w:rPr>
          <w:lang w:val="sq-AL"/>
        </w:rPr>
        <w:t>ë</w:t>
      </w:r>
      <w:r w:rsidRPr="009647E8" w:rsidR="00204584">
        <w:rPr>
          <w:lang w:val="sq-AL"/>
        </w:rPr>
        <w:t xml:space="preserve"> q</w:t>
      </w:r>
      <w:r w:rsidR="009647E8">
        <w:rPr>
          <w:lang w:val="sq-AL"/>
        </w:rPr>
        <w:t>ë</w:t>
      </w:r>
      <w:r w:rsidRPr="009647E8" w:rsidR="00204584">
        <w:rPr>
          <w:lang w:val="sq-AL"/>
        </w:rPr>
        <w:t xml:space="preserve"> të mundësonte sigurimin e mbrojtjes s</w:t>
      </w:r>
      <w:r w:rsidR="009647E8">
        <w:rPr>
          <w:lang w:val="sq-AL"/>
        </w:rPr>
        <w:t>ë</w:t>
      </w:r>
      <w:r w:rsidRPr="009647E8" w:rsidR="00204584">
        <w:rPr>
          <w:lang w:val="sq-AL"/>
        </w:rPr>
        <w:t xml:space="preserve"> të drejtave kushtetuese themelore t</w:t>
      </w:r>
      <w:r w:rsidR="009647E8">
        <w:rPr>
          <w:lang w:val="sq-AL"/>
        </w:rPr>
        <w:t>ë</w:t>
      </w:r>
      <w:r w:rsidRPr="009647E8" w:rsidR="00204584">
        <w:rPr>
          <w:lang w:val="sq-AL"/>
        </w:rPr>
        <w:t xml:space="preserve"> paditëses, qoft</w:t>
      </w:r>
      <w:r w:rsidR="009647E8">
        <w:rPr>
          <w:lang w:val="sq-AL"/>
        </w:rPr>
        <w:t>ë</w:t>
      </w:r>
      <w:r w:rsidRPr="009647E8" w:rsidR="00204584">
        <w:rPr>
          <w:lang w:val="sq-AL"/>
        </w:rPr>
        <w:t xml:space="preserve"> edhe vet</w:t>
      </w:r>
      <w:r w:rsidR="009647E8">
        <w:rPr>
          <w:lang w:val="sq-AL"/>
        </w:rPr>
        <w:t>ë</w:t>
      </w:r>
      <w:r w:rsidRPr="009647E8" w:rsidR="00204584">
        <w:rPr>
          <w:lang w:val="sq-AL"/>
        </w:rPr>
        <w:t>m për arsyen se ky ankim sipas t</w:t>
      </w:r>
      <w:r w:rsidR="009647E8">
        <w:rPr>
          <w:lang w:val="sq-AL"/>
        </w:rPr>
        <w:t>ë</w:t>
      </w:r>
      <w:r w:rsidRPr="009647E8" w:rsidR="00204584">
        <w:rPr>
          <w:lang w:val="sq-AL"/>
        </w:rPr>
        <w:t xml:space="preserve"> drejtës private e vinte theksin te sjellja e shtetit dhe jo te t</w:t>
      </w:r>
      <w:r w:rsidR="009647E8">
        <w:rPr>
          <w:lang w:val="sq-AL"/>
        </w:rPr>
        <w:t>ë</w:t>
      </w:r>
      <w:r w:rsidRPr="009647E8" w:rsidR="00204584">
        <w:rPr>
          <w:lang w:val="sq-AL"/>
        </w:rPr>
        <w:t xml:space="preserve"> drejtat e së interesuar</w:t>
      </w:r>
      <w:r w:rsidR="009647E8">
        <w:rPr>
          <w:lang w:val="sq-AL"/>
        </w:rPr>
        <w:t>ë</w:t>
      </w:r>
      <w:r w:rsidRPr="009647E8" w:rsidR="00204584">
        <w:rPr>
          <w:lang w:val="sq-AL"/>
        </w:rPr>
        <w:t>s.</w:t>
      </w:r>
    </w:p>
    <w:p w:rsidRPr="009647E8" w:rsidR="00EB737A" w:rsidP="00EB737A" w:rsidRDefault="00EB737A">
      <w:pPr>
        <w:pStyle w:val="ECHRHeading3"/>
        <w:rPr>
          <w:lang w:val="sq-AL"/>
        </w:rPr>
      </w:pPr>
      <w:r w:rsidRPr="009647E8">
        <w:rPr>
          <w:lang w:val="sq-AL"/>
        </w:rPr>
        <w:t>3.  </w:t>
      </w:r>
      <w:r w:rsidRPr="009647E8" w:rsidR="00204584">
        <w:rPr>
          <w:lang w:val="sq-AL"/>
        </w:rPr>
        <w:t>Vlerësimi i Gjykat</w:t>
      </w:r>
      <w:r w:rsidR="009647E8">
        <w:rPr>
          <w:lang w:val="sq-AL"/>
        </w:rPr>
        <w:t>ë</w:t>
      </w:r>
      <w:r w:rsidRPr="009647E8" w:rsidR="00204584">
        <w:rPr>
          <w:lang w:val="sq-AL"/>
        </w:rPr>
        <w:t>s</w:t>
      </w:r>
    </w:p>
    <w:p w:rsidRPr="009647E8" w:rsidR="00EB737A" w:rsidP="00EB737A" w:rsidRDefault="00EB737A">
      <w:pPr>
        <w:pStyle w:val="ECHRPara"/>
        <w:rPr>
          <w:lang w:val="sq-AL"/>
        </w:rPr>
      </w:pPr>
      <w:r w:rsidRPr="009647E8">
        <w:rPr>
          <w:lang w:val="sq-AL"/>
        </w:rPr>
        <w:fldChar w:fldCharType="begin"/>
      </w:r>
      <w:r w:rsidRPr="009647E8">
        <w:rPr>
          <w:lang w:val="sq-AL"/>
        </w:rPr>
        <w:instrText xml:space="preserve"> SEQ level0 \*arabic </w:instrText>
      </w:r>
      <w:r w:rsidRPr="009647E8">
        <w:rPr>
          <w:lang w:val="sq-AL"/>
        </w:rPr>
        <w:fldChar w:fldCharType="separate"/>
      </w:r>
      <w:r w:rsidR="00013F9B">
        <w:rPr>
          <w:noProof/>
          <w:lang w:val="sq-AL"/>
        </w:rPr>
        <w:t>183</w:t>
      </w:r>
      <w:r w:rsidRPr="009647E8">
        <w:rPr>
          <w:lang w:val="sq-AL"/>
        </w:rPr>
        <w:fldChar w:fldCharType="end"/>
      </w:r>
      <w:r w:rsidRPr="009647E8">
        <w:rPr>
          <w:lang w:val="sq-AL"/>
        </w:rPr>
        <w:t>.  </w:t>
      </w:r>
      <w:r w:rsidRPr="009647E8" w:rsidR="00204584">
        <w:rPr>
          <w:lang w:val="sq-AL"/>
        </w:rPr>
        <w:t>Gjykata çmon se Qeveria nuk e ka v</w:t>
      </w:r>
      <w:r w:rsidR="009647E8">
        <w:rPr>
          <w:lang w:val="sq-AL"/>
        </w:rPr>
        <w:t>ë</w:t>
      </w:r>
      <w:r w:rsidRPr="009647E8" w:rsidR="00204584">
        <w:rPr>
          <w:lang w:val="sq-AL"/>
        </w:rPr>
        <w:t>rtetuar efektivitetin n</w:t>
      </w:r>
      <w:r w:rsidR="009647E8">
        <w:rPr>
          <w:lang w:val="sq-AL"/>
        </w:rPr>
        <w:t>ë</w:t>
      </w:r>
      <w:r w:rsidRPr="009647E8" w:rsidR="00204584">
        <w:rPr>
          <w:lang w:val="sq-AL"/>
        </w:rPr>
        <w:t xml:space="preserve"> çështjen n</w:t>
      </w:r>
      <w:r w:rsidR="009647E8">
        <w:rPr>
          <w:lang w:val="sq-AL"/>
        </w:rPr>
        <w:t>ë</w:t>
      </w:r>
      <w:r w:rsidRPr="009647E8" w:rsidR="00204584">
        <w:rPr>
          <w:lang w:val="sq-AL"/>
        </w:rPr>
        <w:t xml:space="preserve"> fjal</w:t>
      </w:r>
      <w:r w:rsidR="009647E8">
        <w:rPr>
          <w:lang w:val="sq-AL"/>
        </w:rPr>
        <w:t>ë</w:t>
      </w:r>
      <w:r w:rsidRPr="009647E8" w:rsidR="00204584">
        <w:rPr>
          <w:lang w:val="sq-AL"/>
        </w:rPr>
        <w:t xml:space="preserve"> për asnjë nga mund</w:t>
      </w:r>
      <w:r w:rsidR="009647E8">
        <w:rPr>
          <w:lang w:val="sq-AL"/>
        </w:rPr>
        <w:t>ë</w:t>
      </w:r>
      <w:r w:rsidRPr="009647E8" w:rsidR="00204584">
        <w:rPr>
          <w:lang w:val="sq-AL"/>
        </w:rPr>
        <w:t>sit</w:t>
      </w:r>
      <w:r w:rsidR="009647E8">
        <w:rPr>
          <w:lang w:val="sq-AL"/>
        </w:rPr>
        <w:t>ë</w:t>
      </w:r>
      <w:r w:rsidRPr="009647E8" w:rsidR="00204584">
        <w:rPr>
          <w:lang w:val="sq-AL"/>
        </w:rPr>
        <w:t xml:space="preserve"> e ankimit kundër shtetit q</w:t>
      </w:r>
      <w:r w:rsidR="009647E8">
        <w:rPr>
          <w:lang w:val="sq-AL"/>
        </w:rPr>
        <w:t>ë</w:t>
      </w:r>
      <w:r w:rsidRPr="009647E8" w:rsidR="00204584">
        <w:rPr>
          <w:lang w:val="sq-AL"/>
        </w:rPr>
        <w:t xml:space="preserve"> p</w:t>
      </w:r>
      <w:r w:rsidR="009647E8">
        <w:rPr>
          <w:lang w:val="sq-AL"/>
        </w:rPr>
        <w:t>ë</w:t>
      </w:r>
      <w:r w:rsidRPr="009647E8" w:rsidR="00204584">
        <w:rPr>
          <w:lang w:val="sq-AL"/>
        </w:rPr>
        <w:t>rmenden prej saj.</w:t>
      </w:r>
    </w:p>
    <w:p w:rsidRPr="00EA2390" w:rsidR="00EB737A" w:rsidP="00EB737A" w:rsidRDefault="00EB737A">
      <w:pPr>
        <w:pStyle w:val="ECHRPara"/>
        <w:rPr>
          <w:lang w:val="sq-AL"/>
        </w:rPr>
      </w:pPr>
      <w:r w:rsidRPr="00EA2390">
        <w:rPr>
          <w:lang w:val="sq-AL"/>
        </w:rPr>
        <w:fldChar w:fldCharType="begin"/>
      </w:r>
      <w:r w:rsidRPr="00EA2390">
        <w:rPr>
          <w:lang w:val="sq-AL"/>
        </w:rPr>
        <w:instrText xml:space="preserve"> SEQ level0 \*arabic </w:instrText>
      </w:r>
      <w:r w:rsidRPr="00EA2390">
        <w:rPr>
          <w:lang w:val="sq-AL"/>
        </w:rPr>
        <w:fldChar w:fldCharType="separate"/>
      </w:r>
      <w:r w:rsidR="00013F9B">
        <w:rPr>
          <w:noProof/>
          <w:lang w:val="sq-AL"/>
        </w:rPr>
        <w:t>184</w:t>
      </w:r>
      <w:r w:rsidRPr="00EA2390">
        <w:rPr>
          <w:lang w:val="sq-AL"/>
        </w:rPr>
        <w:fldChar w:fldCharType="end"/>
      </w:r>
      <w:r w:rsidRPr="00EA2390">
        <w:rPr>
          <w:lang w:val="sq-AL"/>
        </w:rPr>
        <w:t>.  </w:t>
      </w:r>
      <w:r w:rsidRPr="00EA2390" w:rsidR="00204584">
        <w:rPr>
          <w:lang w:val="sq-AL"/>
        </w:rPr>
        <w:t>Së pari, Gjykata e Lartë ka nxjerr</w:t>
      </w:r>
      <w:r w:rsidRPr="00EA2390" w:rsidR="009647E8">
        <w:rPr>
          <w:lang w:val="sq-AL"/>
        </w:rPr>
        <w:t>ë</w:t>
      </w:r>
      <w:r w:rsidRPr="00EA2390" w:rsidR="00204584">
        <w:rPr>
          <w:lang w:val="sq-AL"/>
        </w:rPr>
        <w:t xml:space="preserve"> p</w:t>
      </w:r>
      <w:r w:rsidRPr="00EA2390" w:rsidR="009647E8">
        <w:rPr>
          <w:lang w:val="sq-AL"/>
        </w:rPr>
        <w:t>ë</w:t>
      </w:r>
      <w:r w:rsidRPr="00EA2390" w:rsidR="00204584">
        <w:rPr>
          <w:lang w:val="sq-AL"/>
        </w:rPr>
        <w:t>rfundimin se shteti nuk mund t</w:t>
      </w:r>
      <w:r w:rsidRPr="00EA2390" w:rsidR="009647E8">
        <w:rPr>
          <w:lang w:val="sq-AL"/>
        </w:rPr>
        <w:t>ë</w:t>
      </w:r>
      <w:r w:rsidRPr="00EA2390" w:rsidR="00204584">
        <w:rPr>
          <w:lang w:val="sq-AL"/>
        </w:rPr>
        <w:t xml:space="preserve"> mbahej si përgjegj</w:t>
      </w:r>
      <w:r w:rsidRPr="00EA2390" w:rsidR="009647E8">
        <w:rPr>
          <w:lang w:val="sq-AL"/>
        </w:rPr>
        <w:t>ë</w:t>
      </w:r>
      <w:r w:rsidRPr="00EA2390" w:rsidR="00204584">
        <w:rPr>
          <w:lang w:val="sq-AL"/>
        </w:rPr>
        <w:t>s për veprimet e L.H., i cili ishte nj</w:t>
      </w:r>
      <w:r w:rsidRPr="00EA2390" w:rsidR="009647E8">
        <w:rPr>
          <w:lang w:val="sq-AL"/>
        </w:rPr>
        <w:t>ë</w:t>
      </w:r>
      <w:r w:rsidRPr="00EA2390" w:rsidR="00204584">
        <w:rPr>
          <w:lang w:val="sq-AL"/>
        </w:rPr>
        <w:t xml:space="preserve"> m</w:t>
      </w:r>
      <w:r w:rsidRPr="00EA2390" w:rsidR="009647E8">
        <w:rPr>
          <w:lang w:val="sq-AL"/>
        </w:rPr>
        <w:t>ë</w:t>
      </w:r>
      <w:r w:rsidRPr="00EA2390" w:rsidR="00204584">
        <w:rPr>
          <w:lang w:val="sq-AL"/>
        </w:rPr>
        <w:t xml:space="preserve">sues laik i paguar me fonde publike. Prandaj duhet pranuar se </w:t>
      </w:r>
      <w:r w:rsidRPr="00EA2390" w:rsidR="009647E8">
        <w:rPr>
          <w:lang w:val="sq-AL"/>
        </w:rPr>
        <w:t>gjasa</w:t>
      </w:r>
      <w:r w:rsidRPr="00EA2390" w:rsidR="00204584">
        <w:rPr>
          <w:lang w:val="sq-AL"/>
        </w:rPr>
        <w:t xml:space="preserve"> </w:t>
      </w:r>
      <w:r w:rsidRPr="00EA2390" w:rsidR="009647E8">
        <w:rPr>
          <w:lang w:val="sq-AL"/>
        </w:rPr>
        <w:t xml:space="preserve">që ajo të njihte ndonjë përgjegjësi të çfarëdoshme të shtetit për veprimet e </w:t>
      </w:r>
      <w:r w:rsidRPr="00EA2390" w:rsidR="009647E8">
        <w:rPr>
          <w:i/>
          <w:lang w:val="sq-AL"/>
        </w:rPr>
        <w:t xml:space="preserve">Padronit </w:t>
      </w:r>
      <w:r w:rsidRPr="00EA2390" w:rsidR="009647E8">
        <w:rPr>
          <w:lang w:val="sq-AL"/>
        </w:rPr>
        <w:t xml:space="preserve">dhe/ose të drejtorit, të cilët ishin klerikë jo të punësuar prej tij, ishte edhe më e vogël. Madje, gjyqtari </w:t>
      </w:r>
      <w:r w:rsidRPr="00EA2390">
        <w:rPr>
          <w:lang w:val="sq-AL"/>
        </w:rPr>
        <w:t xml:space="preserve">Fennelly </w:t>
      </w:r>
      <w:r w:rsidRPr="00EA2390" w:rsidR="009647E8">
        <w:rPr>
          <w:lang w:val="sq-AL"/>
        </w:rPr>
        <w:t>ka vënë në dukje se, përderisa drejtori nuk ishte nëpunësi i shtetit, përgjegjësia për veprimet e tij nuk mund t</w:t>
      </w:r>
      <w:r w:rsidR="00943091">
        <w:rPr>
          <w:lang w:val="sq-AL"/>
        </w:rPr>
        <w:t>’</w:t>
      </w:r>
      <w:r w:rsidRPr="00EA2390" w:rsidR="009647E8">
        <w:rPr>
          <w:lang w:val="sq-AL"/>
        </w:rPr>
        <w:t xml:space="preserve">i hidhej këtij të fundit </w:t>
      </w:r>
      <w:r w:rsidRPr="00EA2390">
        <w:rPr>
          <w:lang w:val="sq-AL"/>
        </w:rPr>
        <w:t>(paragra</w:t>
      </w:r>
      <w:r w:rsidRPr="00EA2390" w:rsidR="009647E8">
        <w:rPr>
          <w:lang w:val="sq-AL"/>
        </w:rPr>
        <w:t>fi</w:t>
      </w:r>
      <w:r w:rsidRPr="00EA2390">
        <w:rPr>
          <w:lang w:val="sq-AL"/>
        </w:rPr>
        <w:t xml:space="preserve"> 45 </w:t>
      </w:r>
      <w:r w:rsidRPr="00EA2390" w:rsidR="00604857">
        <w:rPr>
          <w:lang w:val="sq-AL"/>
        </w:rPr>
        <w:t>i mësipërm</w:t>
      </w:r>
      <w:r w:rsidRPr="00EA2390">
        <w:rPr>
          <w:lang w:val="sq-AL"/>
        </w:rPr>
        <w:t>).</w:t>
      </w:r>
    </w:p>
    <w:p w:rsidRPr="00DC38AC" w:rsidR="00EB737A" w:rsidP="00EB737A" w:rsidRDefault="00EB737A">
      <w:pPr>
        <w:pStyle w:val="ECHRPara"/>
        <w:rPr>
          <w:lang w:val="sq-AL"/>
        </w:rPr>
      </w:pPr>
      <w:r w:rsidRPr="00DC38AC">
        <w:rPr>
          <w:lang w:val="sq-AL"/>
        </w:rPr>
        <w:fldChar w:fldCharType="begin"/>
      </w:r>
      <w:r w:rsidRPr="00DC38AC">
        <w:rPr>
          <w:lang w:val="sq-AL"/>
        </w:rPr>
        <w:instrText xml:space="preserve"> SEQ level0 \*arabic </w:instrText>
      </w:r>
      <w:r w:rsidRPr="00DC38AC">
        <w:rPr>
          <w:lang w:val="sq-AL"/>
        </w:rPr>
        <w:fldChar w:fldCharType="separate"/>
      </w:r>
      <w:r w:rsidR="00013F9B">
        <w:rPr>
          <w:noProof/>
          <w:lang w:val="sq-AL"/>
        </w:rPr>
        <w:t>185</w:t>
      </w:r>
      <w:r w:rsidRPr="00DC38AC">
        <w:rPr>
          <w:lang w:val="sq-AL"/>
        </w:rPr>
        <w:fldChar w:fldCharType="end"/>
      </w:r>
      <w:r w:rsidRPr="00DC38AC">
        <w:rPr>
          <w:lang w:val="sq-AL"/>
        </w:rPr>
        <w:t>.  </w:t>
      </w:r>
      <w:r w:rsidRPr="00DC38AC" w:rsidR="009647E8">
        <w:rPr>
          <w:lang w:val="sq-AL"/>
        </w:rPr>
        <w:t>Së dyti, për të b</w:t>
      </w:r>
      <w:r w:rsidRPr="00DC38AC" w:rsidR="00EA2390">
        <w:rPr>
          <w:lang w:val="sq-AL"/>
        </w:rPr>
        <w:t>ë</w:t>
      </w:r>
      <w:r w:rsidRPr="00DC38AC" w:rsidR="009647E8">
        <w:rPr>
          <w:lang w:val="sq-AL"/>
        </w:rPr>
        <w:t>rë q</w:t>
      </w:r>
      <w:r w:rsidRPr="00DC38AC" w:rsidR="00EA2390">
        <w:rPr>
          <w:lang w:val="sq-AL"/>
        </w:rPr>
        <w:t>ë</w:t>
      </w:r>
      <w:r w:rsidRPr="00DC38AC" w:rsidR="009647E8">
        <w:rPr>
          <w:lang w:val="sq-AL"/>
        </w:rPr>
        <w:t xml:space="preserve"> t</w:t>
      </w:r>
      <w:r w:rsidRPr="00DC38AC" w:rsidR="00EA2390">
        <w:rPr>
          <w:lang w:val="sq-AL"/>
        </w:rPr>
        <w:t>ë</w:t>
      </w:r>
      <w:r w:rsidRPr="00DC38AC" w:rsidR="009647E8">
        <w:rPr>
          <w:lang w:val="sq-AL"/>
        </w:rPr>
        <w:t xml:space="preserve"> njihej n</w:t>
      </w:r>
      <w:r w:rsidRPr="00DC38AC" w:rsidR="00EA2390">
        <w:rPr>
          <w:lang w:val="sq-AL"/>
        </w:rPr>
        <w:t>ë</w:t>
      </w:r>
      <w:r w:rsidRPr="00DC38AC" w:rsidR="009647E8">
        <w:rPr>
          <w:lang w:val="sq-AL"/>
        </w:rPr>
        <w:t xml:space="preserve"> rrugë gjyqësore nj</w:t>
      </w:r>
      <w:r w:rsidRPr="00DC38AC" w:rsidR="00EA2390">
        <w:rPr>
          <w:lang w:val="sq-AL"/>
        </w:rPr>
        <w:t>ë</w:t>
      </w:r>
      <w:r w:rsidRPr="00DC38AC" w:rsidR="009647E8">
        <w:rPr>
          <w:lang w:val="sq-AL"/>
        </w:rPr>
        <w:t xml:space="preserve"> pakujdesi e drejtp</w:t>
      </w:r>
      <w:r w:rsidRPr="00DC38AC" w:rsidR="00EA2390">
        <w:rPr>
          <w:lang w:val="sq-AL"/>
        </w:rPr>
        <w:t>ë</w:t>
      </w:r>
      <w:r w:rsidRPr="00DC38AC" w:rsidR="009647E8">
        <w:rPr>
          <w:lang w:val="sq-AL"/>
        </w:rPr>
        <w:t>rdrejtë e shtetit, do të ishte dashur t</w:t>
      </w:r>
      <w:r w:rsidRPr="00DC38AC" w:rsidR="00EA2390">
        <w:rPr>
          <w:lang w:val="sq-AL"/>
        </w:rPr>
        <w:t>ë</w:t>
      </w:r>
      <w:r w:rsidRPr="00DC38AC" w:rsidR="009647E8">
        <w:rPr>
          <w:lang w:val="sq-AL"/>
        </w:rPr>
        <w:t xml:space="preserve"> provohej konkretisht ekzistenca e nj</w:t>
      </w:r>
      <w:r w:rsidRPr="00DC38AC" w:rsidR="00EA2390">
        <w:rPr>
          <w:lang w:val="sq-AL"/>
        </w:rPr>
        <w:t>ë</w:t>
      </w:r>
      <w:r w:rsidRPr="00DC38AC" w:rsidR="009647E8">
        <w:rPr>
          <w:lang w:val="sq-AL"/>
        </w:rPr>
        <w:t xml:space="preserve"> detyre t</w:t>
      </w:r>
      <w:r w:rsidRPr="00DC38AC" w:rsidR="00EA2390">
        <w:rPr>
          <w:lang w:val="sq-AL"/>
        </w:rPr>
        <w:t>ë</w:t>
      </w:r>
      <w:r w:rsidRPr="00DC38AC" w:rsidR="009647E8">
        <w:rPr>
          <w:lang w:val="sq-AL"/>
        </w:rPr>
        <w:t xml:space="preserve"> shtetit për kujdes ndaj paditëses </w:t>
      </w:r>
      <w:r w:rsidRPr="00DC38AC">
        <w:rPr>
          <w:lang w:val="sq-AL"/>
        </w:rPr>
        <w:t>(paragra</w:t>
      </w:r>
      <w:r w:rsidRPr="00DC38AC" w:rsidR="009647E8">
        <w:rPr>
          <w:lang w:val="sq-AL"/>
        </w:rPr>
        <w:t>fi</w:t>
      </w:r>
      <w:r w:rsidRPr="00DC38AC">
        <w:rPr>
          <w:lang w:val="sq-AL"/>
        </w:rPr>
        <w:t xml:space="preserve"> 66 </w:t>
      </w:r>
      <w:r w:rsidRPr="00DC38AC" w:rsidR="00604857">
        <w:rPr>
          <w:lang w:val="sq-AL"/>
        </w:rPr>
        <w:t>i mësipërm</w:t>
      </w:r>
      <w:r w:rsidRPr="00DC38AC">
        <w:rPr>
          <w:lang w:val="sq-AL"/>
        </w:rPr>
        <w:t xml:space="preserve">). </w:t>
      </w:r>
      <w:r w:rsidRPr="00DC38AC" w:rsidR="009647E8">
        <w:rPr>
          <w:lang w:val="sq-AL"/>
        </w:rPr>
        <w:t>Mirëpo ekzistenca e nj</w:t>
      </w:r>
      <w:r w:rsidRPr="00DC38AC" w:rsidR="00EA2390">
        <w:rPr>
          <w:lang w:val="sq-AL"/>
        </w:rPr>
        <w:t>ë</w:t>
      </w:r>
      <w:r w:rsidRPr="00DC38AC" w:rsidR="009647E8">
        <w:rPr>
          <w:lang w:val="sq-AL"/>
        </w:rPr>
        <w:t xml:space="preserve"> detyre të tillë për kujdes duket e papajtueshme me ndër</w:t>
      </w:r>
      <w:r w:rsidRPr="00DC38AC" w:rsidR="00EA2390">
        <w:rPr>
          <w:lang w:val="sq-AL"/>
        </w:rPr>
        <w:t xml:space="preserve">vënien e drejtorëve kishtarë midis fëmijëve dhe shtetit dhe me largimin e këtij të fundit nga mbikëqyrja e shkollave kombëtare </w:t>
      </w:r>
      <w:r w:rsidRPr="00DC38AC">
        <w:rPr>
          <w:lang w:val="sq-AL"/>
        </w:rPr>
        <w:t>(</w:t>
      </w:r>
      <w:r w:rsidRPr="00DC38AC" w:rsidR="00EA2390">
        <w:rPr>
          <w:lang w:val="sq-AL"/>
        </w:rPr>
        <w:t xml:space="preserve">shih për këtë vërejtjet e gjyqtarit </w:t>
      </w:r>
      <w:r w:rsidRPr="00DC38AC">
        <w:rPr>
          <w:lang w:val="sq-AL"/>
        </w:rPr>
        <w:t xml:space="preserve">Hardiman </w:t>
      </w:r>
      <w:r w:rsidRPr="00DC38AC" w:rsidR="00EA2390">
        <w:rPr>
          <w:lang w:val="sq-AL"/>
        </w:rPr>
        <w:t>në</w:t>
      </w:r>
      <w:r w:rsidRPr="00DC38AC">
        <w:rPr>
          <w:lang w:val="sq-AL"/>
        </w:rPr>
        <w:t xml:space="preserve"> paragra</w:t>
      </w:r>
      <w:r w:rsidRPr="00DC38AC" w:rsidR="00EA2390">
        <w:rPr>
          <w:lang w:val="sq-AL"/>
        </w:rPr>
        <w:t>fët 35 e</w:t>
      </w:r>
      <w:r w:rsidRPr="00DC38AC">
        <w:rPr>
          <w:lang w:val="sq-AL"/>
        </w:rPr>
        <w:t xml:space="preserve"> 39 </w:t>
      </w:r>
      <w:r w:rsidRPr="00DC38AC" w:rsidR="00604857">
        <w:rPr>
          <w:lang w:val="sq-AL"/>
        </w:rPr>
        <w:t>të mësipërm</w:t>
      </w:r>
      <w:r w:rsidRPr="00DC38AC">
        <w:rPr>
          <w:lang w:val="sq-AL"/>
        </w:rPr>
        <w:t>).</w:t>
      </w:r>
    </w:p>
    <w:p w:rsidRPr="00DC38AC" w:rsidR="00EB737A" w:rsidP="00EB737A" w:rsidRDefault="00EB737A">
      <w:pPr>
        <w:pStyle w:val="ECHRPara"/>
        <w:rPr>
          <w:lang w:val="sq-AL"/>
        </w:rPr>
      </w:pPr>
      <w:r w:rsidRPr="00DC38AC">
        <w:rPr>
          <w:lang w:val="sq-AL"/>
        </w:rPr>
        <w:fldChar w:fldCharType="begin"/>
      </w:r>
      <w:r w:rsidRPr="00DC38AC">
        <w:rPr>
          <w:lang w:val="sq-AL"/>
        </w:rPr>
        <w:instrText xml:space="preserve"> SEQ level0 \*arabic </w:instrText>
      </w:r>
      <w:r w:rsidRPr="00DC38AC">
        <w:rPr>
          <w:lang w:val="sq-AL"/>
        </w:rPr>
        <w:fldChar w:fldCharType="separate"/>
      </w:r>
      <w:r w:rsidR="00013F9B">
        <w:rPr>
          <w:noProof/>
          <w:lang w:val="sq-AL"/>
        </w:rPr>
        <w:t>186</w:t>
      </w:r>
      <w:r w:rsidRPr="00DC38AC">
        <w:rPr>
          <w:lang w:val="sq-AL"/>
        </w:rPr>
        <w:fldChar w:fldCharType="end"/>
      </w:r>
      <w:r w:rsidRPr="00DC38AC">
        <w:rPr>
          <w:lang w:val="sq-AL"/>
        </w:rPr>
        <w:t>.  </w:t>
      </w:r>
      <w:r w:rsidRPr="00DC38AC" w:rsidR="00EA2390">
        <w:rPr>
          <w:lang w:val="sq-AL"/>
        </w:rPr>
        <w:t>Së treti, Qeveria mbron mendimin se padit</w:t>
      </w:r>
      <w:r w:rsidR="00DC38AC">
        <w:rPr>
          <w:lang w:val="sq-AL"/>
        </w:rPr>
        <w:t>ë</w:t>
      </w:r>
      <w:r w:rsidRPr="00DC38AC" w:rsidR="00EA2390">
        <w:rPr>
          <w:lang w:val="sq-AL"/>
        </w:rPr>
        <w:t>sja qenka dashur t</w:t>
      </w:r>
      <w:r w:rsidR="00DC38AC">
        <w:rPr>
          <w:lang w:val="sq-AL"/>
        </w:rPr>
        <w:t>ë</w:t>
      </w:r>
      <w:r w:rsidRPr="00DC38AC" w:rsidR="00EA2390">
        <w:rPr>
          <w:lang w:val="sq-AL"/>
        </w:rPr>
        <w:t xml:space="preserve"> vinte n</w:t>
      </w:r>
      <w:r w:rsidR="00DC38AC">
        <w:rPr>
          <w:lang w:val="sq-AL"/>
        </w:rPr>
        <w:t>ë</w:t>
      </w:r>
      <w:r w:rsidRPr="00DC38AC" w:rsidR="00EA2390">
        <w:rPr>
          <w:lang w:val="sq-AL"/>
        </w:rPr>
        <w:t xml:space="preserve"> pik</w:t>
      </w:r>
      <w:r w:rsidR="00DC38AC">
        <w:rPr>
          <w:lang w:val="sq-AL"/>
        </w:rPr>
        <w:t>ë</w:t>
      </w:r>
      <w:r w:rsidRPr="00DC38AC" w:rsidR="00EA2390">
        <w:rPr>
          <w:lang w:val="sq-AL"/>
        </w:rPr>
        <w:t>pyetje pran</w:t>
      </w:r>
      <w:r w:rsidR="00DC38AC">
        <w:rPr>
          <w:lang w:val="sq-AL"/>
        </w:rPr>
        <w:t>ë</w:t>
      </w:r>
      <w:r w:rsidRPr="00DC38AC" w:rsidR="00EA2390">
        <w:rPr>
          <w:lang w:val="sq-AL"/>
        </w:rPr>
        <w:t xml:space="preserve"> Gjykat</w:t>
      </w:r>
      <w:r w:rsidR="00DC38AC">
        <w:rPr>
          <w:lang w:val="sq-AL"/>
        </w:rPr>
        <w:t>ë</w:t>
      </w:r>
      <w:r w:rsidRPr="00DC38AC" w:rsidR="00EA2390">
        <w:rPr>
          <w:lang w:val="sq-AL"/>
        </w:rPr>
        <w:t>s s</w:t>
      </w:r>
      <w:r w:rsidR="00DC38AC">
        <w:rPr>
          <w:lang w:val="sq-AL"/>
        </w:rPr>
        <w:t>ë</w:t>
      </w:r>
      <w:r w:rsidRPr="00DC38AC" w:rsidR="00EA2390">
        <w:rPr>
          <w:lang w:val="sq-AL"/>
        </w:rPr>
        <w:t xml:space="preserve"> Lartë përgjegj</w:t>
      </w:r>
      <w:r w:rsidR="00DC38AC">
        <w:rPr>
          <w:lang w:val="sq-AL"/>
        </w:rPr>
        <w:t>ë</w:t>
      </w:r>
      <w:r w:rsidRPr="00DC38AC" w:rsidR="00EA2390">
        <w:rPr>
          <w:lang w:val="sq-AL"/>
        </w:rPr>
        <w:t>sin</w:t>
      </w:r>
      <w:r w:rsidR="00DC38AC">
        <w:rPr>
          <w:lang w:val="sq-AL"/>
        </w:rPr>
        <w:t>ë</w:t>
      </w:r>
      <w:r w:rsidRPr="00DC38AC" w:rsidR="00EA2390">
        <w:rPr>
          <w:lang w:val="sq-AL"/>
        </w:rPr>
        <w:t xml:space="preserve"> kushtetuese t</w:t>
      </w:r>
      <w:r w:rsidR="00DC38AC">
        <w:rPr>
          <w:lang w:val="sq-AL"/>
        </w:rPr>
        <w:t>ë</w:t>
      </w:r>
      <w:r w:rsidRPr="00DC38AC" w:rsidR="00EA2390">
        <w:rPr>
          <w:lang w:val="sq-AL"/>
        </w:rPr>
        <w:t xml:space="preserve"> shtetit </w:t>
      </w:r>
      <w:r w:rsidRPr="00DC38AC">
        <w:rPr>
          <w:lang w:val="sq-AL"/>
        </w:rPr>
        <w:t>(paragra</w:t>
      </w:r>
      <w:r w:rsidRPr="00DC38AC" w:rsidR="00EA2390">
        <w:rPr>
          <w:lang w:val="sq-AL"/>
        </w:rPr>
        <w:t>fi</w:t>
      </w:r>
      <w:r w:rsidRPr="00DC38AC">
        <w:rPr>
          <w:lang w:val="sq-AL"/>
        </w:rPr>
        <w:t xml:space="preserve"> 180 </w:t>
      </w:r>
      <w:r w:rsidRPr="00DC38AC" w:rsidR="00604857">
        <w:rPr>
          <w:lang w:val="sq-AL"/>
        </w:rPr>
        <w:t>i mësipërm</w:t>
      </w:r>
      <w:r w:rsidRPr="00DC38AC">
        <w:rPr>
          <w:lang w:val="sq-AL"/>
        </w:rPr>
        <w:t xml:space="preserve">). </w:t>
      </w:r>
      <w:r w:rsidRPr="00DC38AC" w:rsidR="00EA2390">
        <w:rPr>
          <w:lang w:val="sq-AL"/>
        </w:rPr>
        <w:t>Megjithatë, edhe sikur t</w:t>
      </w:r>
      <w:r w:rsidR="00DC38AC">
        <w:rPr>
          <w:lang w:val="sq-AL"/>
        </w:rPr>
        <w:t>ë</w:t>
      </w:r>
      <w:r w:rsidRPr="00DC38AC" w:rsidR="00EA2390">
        <w:rPr>
          <w:lang w:val="sq-AL"/>
        </w:rPr>
        <w:t xml:space="preserve"> hamend</w:t>
      </w:r>
      <w:r w:rsidR="00DC38AC">
        <w:rPr>
          <w:lang w:val="sq-AL"/>
        </w:rPr>
        <w:t>ë</w:t>
      </w:r>
      <w:r w:rsidRPr="00DC38AC" w:rsidR="00EA2390">
        <w:rPr>
          <w:lang w:val="sq-AL"/>
        </w:rPr>
        <w:t>sohet që Gjykata e Lart</w:t>
      </w:r>
      <w:r w:rsidR="00DC38AC">
        <w:rPr>
          <w:lang w:val="sq-AL"/>
        </w:rPr>
        <w:t>ë</w:t>
      </w:r>
      <w:r w:rsidRPr="00DC38AC" w:rsidR="00EA2390">
        <w:rPr>
          <w:lang w:val="sq-AL"/>
        </w:rPr>
        <w:t xml:space="preserve"> t</w:t>
      </w:r>
      <w:r w:rsidR="00DC38AC">
        <w:rPr>
          <w:lang w:val="sq-AL"/>
        </w:rPr>
        <w:t>ë</w:t>
      </w:r>
      <w:r w:rsidRPr="00DC38AC" w:rsidR="00EA2390">
        <w:rPr>
          <w:lang w:val="sq-AL"/>
        </w:rPr>
        <w:t xml:space="preserve"> mos e kishte kthyer t</w:t>
      </w:r>
      <w:r w:rsidR="00DC38AC">
        <w:rPr>
          <w:lang w:val="sq-AL"/>
        </w:rPr>
        <w:t>ë</w:t>
      </w:r>
      <w:r w:rsidRPr="00DC38AC" w:rsidR="00EA2390">
        <w:rPr>
          <w:lang w:val="sq-AL"/>
        </w:rPr>
        <w:t xml:space="preserve"> interesuarën drejt mund</w:t>
      </w:r>
      <w:r w:rsidR="00DC38AC">
        <w:rPr>
          <w:lang w:val="sq-AL"/>
        </w:rPr>
        <w:t>ë</w:t>
      </w:r>
      <w:r w:rsidRPr="00DC38AC" w:rsidR="00EA2390">
        <w:rPr>
          <w:lang w:val="sq-AL"/>
        </w:rPr>
        <w:t>sive ekzistuese p</w:t>
      </w:r>
      <w:r w:rsidR="00DC38AC">
        <w:rPr>
          <w:lang w:val="sq-AL"/>
        </w:rPr>
        <w:t>ë</w:t>
      </w:r>
      <w:r w:rsidRPr="00DC38AC" w:rsidR="00EA2390">
        <w:rPr>
          <w:lang w:val="sq-AL"/>
        </w:rPr>
        <w:t>r ankim n</w:t>
      </w:r>
      <w:r w:rsidR="00DC38AC">
        <w:rPr>
          <w:lang w:val="sq-AL"/>
        </w:rPr>
        <w:t>ë</w:t>
      </w:r>
      <w:r w:rsidRPr="00DC38AC" w:rsidR="00EA2390">
        <w:rPr>
          <w:lang w:val="sq-AL"/>
        </w:rPr>
        <w:t xml:space="preserve"> fush</w:t>
      </w:r>
      <w:r w:rsidR="00DC38AC">
        <w:rPr>
          <w:lang w:val="sq-AL"/>
        </w:rPr>
        <w:t>ë</w:t>
      </w:r>
      <w:r w:rsidRPr="00DC38AC" w:rsidR="00EA2390">
        <w:rPr>
          <w:lang w:val="sq-AL"/>
        </w:rPr>
        <w:t>n e p</w:t>
      </w:r>
      <w:r w:rsidR="00DC38AC">
        <w:rPr>
          <w:lang w:val="sq-AL"/>
        </w:rPr>
        <w:t>ë</w:t>
      </w:r>
      <w:r w:rsidRPr="00DC38AC" w:rsidR="00EA2390">
        <w:rPr>
          <w:lang w:val="sq-AL"/>
        </w:rPr>
        <w:t>rgjegj</w:t>
      </w:r>
      <w:r w:rsidR="00DC38AC">
        <w:rPr>
          <w:lang w:val="sq-AL"/>
        </w:rPr>
        <w:t>ë</w:t>
      </w:r>
      <w:r w:rsidRPr="00DC38AC" w:rsidR="00EA2390">
        <w:rPr>
          <w:lang w:val="sq-AL"/>
        </w:rPr>
        <w:t>sisë civile siç ka b</w:t>
      </w:r>
      <w:r w:rsidR="00DC38AC">
        <w:rPr>
          <w:lang w:val="sq-AL"/>
        </w:rPr>
        <w:t>ë</w:t>
      </w:r>
      <w:r w:rsidRPr="00DC38AC" w:rsidR="00EA2390">
        <w:rPr>
          <w:lang w:val="sq-AL"/>
        </w:rPr>
        <w:t xml:space="preserve">rë </w:t>
      </w:r>
      <w:r w:rsidRPr="00DC38AC">
        <w:rPr>
          <w:i/>
          <w:lang w:val="sq-AL"/>
        </w:rPr>
        <w:t>High Court</w:t>
      </w:r>
      <w:r w:rsidRPr="00DC38AC">
        <w:rPr>
          <w:lang w:val="sq-AL"/>
        </w:rPr>
        <w:t xml:space="preserve">, </w:t>
      </w:r>
      <w:r w:rsidRPr="00DC38AC" w:rsidR="00EA2390">
        <w:rPr>
          <w:lang w:val="sq-AL"/>
        </w:rPr>
        <w:t>prap</w:t>
      </w:r>
      <w:r w:rsidR="00DC38AC">
        <w:rPr>
          <w:lang w:val="sq-AL"/>
        </w:rPr>
        <w:t>ë</w:t>
      </w:r>
      <w:r w:rsidRPr="00DC38AC" w:rsidR="00EA2390">
        <w:rPr>
          <w:lang w:val="sq-AL"/>
        </w:rPr>
        <w:t>seprapë Qeveria nuk e ka v</w:t>
      </w:r>
      <w:r w:rsidR="00DC38AC">
        <w:rPr>
          <w:lang w:val="sq-AL"/>
        </w:rPr>
        <w:t>ë</w:t>
      </w:r>
      <w:r w:rsidRPr="00DC38AC" w:rsidR="00EA2390">
        <w:rPr>
          <w:lang w:val="sq-AL"/>
        </w:rPr>
        <w:t xml:space="preserve">rtetuar, </w:t>
      </w:r>
      <w:r w:rsidRPr="00DC38AC" w:rsidR="00DC38AC">
        <w:rPr>
          <w:lang w:val="sq-AL"/>
        </w:rPr>
        <w:t>mbi baza jurispr</w:t>
      </w:r>
      <w:r w:rsidR="00DC38AC">
        <w:rPr>
          <w:lang w:val="sq-AL"/>
        </w:rPr>
        <w:t>u</w:t>
      </w:r>
      <w:r w:rsidRPr="00DC38AC" w:rsidR="00DC38AC">
        <w:rPr>
          <w:lang w:val="sq-AL"/>
        </w:rPr>
        <w:t>dence p</w:t>
      </w:r>
      <w:r w:rsidR="00DC38AC">
        <w:rPr>
          <w:lang w:val="sq-AL"/>
        </w:rPr>
        <w:t>ë</w:t>
      </w:r>
      <w:r w:rsidRPr="00DC38AC" w:rsidR="00DC38AC">
        <w:rPr>
          <w:lang w:val="sq-AL"/>
        </w:rPr>
        <w:t>rk</w:t>
      </w:r>
      <w:r w:rsidR="00DC38AC">
        <w:rPr>
          <w:lang w:val="sq-AL"/>
        </w:rPr>
        <w:t>a</w:t>
      </w:r>
      <w:r w:rsidRPr="00DC38AC" w:rsidR="00DC38AC">
        <w:rPr>
          <w:lang w:val="sq-AL"/>
        </w:rPr>
        <w:t>t</w:t>
      </w:r>
      <w:r w:rsidR="00DC38AC">
        <w:rPr>
          <w:lang w:val="sq-AL"/>
        </w:rPr>
        <w:t>ë</w:t>
      </w:r>
      <w:r w:rsidRPr="00DC38AC" w:rsidR="00DC38AC">
        <w:rPr>
          <w:lang w:val="sq-AL"/>
        </w:rPr>
        <w:t>se, se si do të kishte qen</w:t>
      </w:r>
      <w:r w:rsidR="00DC38AC">
        <w:rPr>
          <w:lang w:val="sq-AL"/>
        </w:rPr>
        <w:t>ë</w:t>
      </w:r>
      <w:r w:rsidRPr="00DC38AC" w:rsidR="00DC38AC">
        <w:rPr>
          <w:lang w:val="sq-AL"/>
        </w:rPr>
        <w:t xml:space="preserve"> e mundur q</w:t>
      </w:r>
      <w:r w:rsidR="00DC38AC">
        <w:rPr>
          <w:lang w:val="sq-AL"/>
        </w:rPr>
        <w:t>ë</w:t>
      </w:r>
      <w:r w:rsidRPr="00DC38AC" w:rsidR="00DC38AC">
        <w:rPr>
          <w:lang w:val="sq-AL"/>
        </w:rPr>
        <w:t xml:space="preserve"> shteti të mbahej si përgjegj</w:t>
      </w:r>
      <w:r w:rsidR="00DC38AC">
        <w:rPr>
          <w:lang w:val="sq-AL"/>
        </w:rPr>
        <w:t>ë</w:t>
      </w:r>
      <w:r w:rsidRPr="00DC38AC" w:rsidR="00DC38AC">
        <w:rPr>
          <w:lang w:val="sq-AL"/>
        </w:rPr>
        <w:t>s për nj</w:t>
      </w:r>
      <w:r w:rsidR="00DC38AC">
        <w:rPr>
          <w:lang w:val="sq-AL"/>
        </w:rPr>
        <w:t>ë</w:t>
      </w:r>
      <w:r w:rsidRPr="00DC38AC" w:rsidR="00DC38AC">
        <w:rPr>
          <w:lang w:val="sq-AL"/>
        </w:rPr>
        <w:t xml:space="preserve"> shkelje të së drejtës kushtetuese për paprekshm</w:t>
      </w:r>
      <w:r w:rsidR="00DC38AC">
        <w:rPr>
          <w:lang w:val="sq-AL"/>
        </w:rPr>
        <w:t>ë</w:t>
      </w:r>
      <w:r w:rsidRPr="00DC38AC" w:rsidR="00DC38AC">
        <w:rPr>
          <w:lang w:val="sq-AL"/>
        </w:rPr>
        <w:t>rin</w:t>
      </w:r>
      <w:r w:rsidR="00DC38AC">
        <w:rPr>
          <w:lang w:val="sq-AL"/>
        </w:rPr>
        <w:t>ë</w:t>
      </w:r>
      <w:r w:rsidRPr="00DC38AC" w:rsidR="00DC38AC">
        <w:rPr>
          <w:lang w:val="sq-AL"/>
        </w:rPr>
        <w:t xml:space="preserve"> fizike t</w:t>
      </w:r>
      <w:r w:rsidR="00DC38AC">
        <w:rPr>
          <w:lang w:val="sq-AL"/>
        </w:rPr>
        <w:t>ë</w:t>
      </w:r>
      <w:r w:rsidRPr="00DC38AC" w:rsidR="00DC38AC">
        <w:rPr>
          <w:lang w:val="sq-AL"/>
        </w:rPr>
        <w:t xml:space="preserve"> s</w:t>
      </w:r>
      <w:r w:rsidR="00DC38AC">
        <w:rPr>
          <w:lang w:val="sq-AL"/>
        </w:rPr>
        <w:t>ë</w:t>
      </w:r>
      <w:r w:rsidRPr="00DC38AC" w:rsidR="00DC38AC">
        <w:rPr>
          <w:lang w:val="sq-AL"/>
        </w:rPr>
        <w:t xml:space="preserve"> interesuarës për shkak t</w:t>
      </w:r>
      <w:r w:rsidR="00DC38AC">
        <w:rPr>
          <w:lang w:val="sq-AL"/>
        </w:rPr>
        <w:t>ë</w:t>
      </w:r>
      <w:r w:rsidRPr="00DC38AC" w:rsidR="00DC38AC">
        <w:rPr>
          <w:lang w:val="sq-AL"/>
        </w:rPr>
        <w:t xml:space="preserve"> nj</w:t>
      </w:r>
      <w:r w:rsidR="00DC38AC">
        <w:rPr>
          <w:lang w:val="sq-AL"/>
        </w:rPr>
        <w:t>ë</w:t>
      </w:r>
      <w:r w:rsidRPr="00DC38AC" w:rsidR="00DC38AC">
        <w:rPr>
          <w:lang w:val="sq-AL"/>
        </w:rPr>
        <w:t xml:space="preserve"> sistemi që ishte parashikuar shprehimisht nga neni 42 i Kushtetutës</w:t>
      </w:r>
      <w:r w:rsidRPr="00DC38AC">
        <w:rPr>
          <w:lang w:val="sq-AL"/>
        </w:rPr>
        <w:t xml:space="preserve">. </w:t>
      </w:r>
      <w:r w:rsidRPr="00DC38AC" w:rsidR="00DC38AC">
        <w:rPr>
          <w:lang w:val="sq-AL"/>
        </w:rPr>
        <w:t>Pavarësisht n</w:t>
      </w:r>
      <w:r w:rsidR="00DC38AC">
        <w:rPr>
          <w:lang w:val="sq-AL"/>
        </w:rPr>
        <w:t>ë</w:t>
      </w:r>
      <w:r w:rsidRPr="00DC38AC" w:rsidR="00DC38AC">
        <w:rPr>
          <w:lang w:val="sq-AL"/>
        </w:rPr>
        <w:t>se ky argument është përdorur ose jo n</w:t>
      </w:r>
      <w:r w:rsidR="00DC38AC">
        <w:rPr>
          <w:lang w:val="sq-AL"/>
        </w:rPr>
        <w:t>ë</w:t>
      </w:r>
      <w:r w:rsidRPr="00DC38AC" w:rsidR="00DC38AC">
        <w:rPr>
          <w:lang w:val="sq-AL"/>
        </w:rPr>
        <w:t xml:space="preserve"> m</w:t>
      </w:r>
      <w:r w:rsidR="00DC38AC">
        <w:rPr>
          <w:lang w:val="sq-AL"/>
        </w:rPr>
        <w:t>ë</w:t>
      </w:r>
      <w:r w:rsidRPr="00DC38AC" w:rsidR="00DC38AC">
        <w:rPr>
          <w:lang w:val="sq-AL"/>
        </w:rPr>
        <w:t>nyrë të vlefshme pran</w:t>
      </w:r>
      <w:r w:rsidR="00DC38AC">
        <w:rPr>
          <w:lang w:val="sq-AL"/>
        </w:rPr>
        <w:t>ë Gjyka</w:t>
      </w:r>
      <w:r w:rsidRPr="00DC38AC" w:rsidR="00DC38AC">
        <w:rPr>
          <w:lang w:val="sq-AL"/>
        </w:rPr>
        <w:t>t</w:t>
      </w:r>
      <w:r w:rsidR="00DC38AC">
        <w:rPr>
          <w:lang w:val="sq-AL"/>
        </w:rPr>
        <w:t>ë</w:t>
      </w:r>
      <w:r w:rsidRPr="00DC38AC" w:rsidR="00DC38AC">
        <w:rPr>
          <w:lang w:val="sq-AL"/>
        </w:rPr>
        <w:t>s s</w:t>
      </w:r>
      <w:r w:rsidR="00DC38AC">
        <w:rPr>
          <w:lang w:val="sq-AL"/>
        </w:rPr>
        <w:t>ë</w:t>
      </w:r>
      <w:r w:rsidRPr="00DC38AC" w:rsidR="00DC38AC">
        <w:rPr>
          <w:lang w:val="sq-AL"/>
        </w:rPr>
        <w:t xml:space="preserve"> Lartë, p</w:t>
      </w:r>
      <w:r w:rsidR="00DC38AC">
        <w:rPr>
          <w:lang w:val="sq-AL"/>
        </w:rPr>
        <w:t>ë</w:t>
      </w:r>
      <w:r w:rsidRPr="00DC38AC" w:rsidR="00DC38AC">
        <w:rPr>
          <w:lang w:val="sq-AL"/>
        </w:rPr>
        <w:t xml:space="preserve">rmbajtja e tij është hedhur gjithsesi poshtë nga gjyqtari </w:t>
      </w:r>
      <w:r w:rsidRPr="00DC38AC">
        <w:rPr>
          <w:lang w:val="sq-AL"/>
        </w:rPr>
        <w:t xml:space="preserve">Hardiman </w:t>
      </w:r>
      <w:r w:rsidRPr="00DC38AC" w:rsidR="00DC38AC">
        <w:rPr>
          <w:lang w:val="sq-AL"/>
        </w:rPr>
        <w:t xml:space="preserve">i po </w:t>
      </w:r>
      <w:r w:rsidR="00DC38AC">
        <w:rPr>
          <w:lang w:val="sq-AL"/>
        </w:rPr>
        <w:t>të njëjtit juridiksion</w:t>
      </w:r>
      <w:r w:rsidRPr="00DC38AC" w:rsidR="00DC38AC">
        <w:rPr>
          <w:lang w:val="sq-AL"/>
        </w:rPr>
        <w:t xml:space="preserve"> </w:t>
      </w:r>
      <w:r w:rsidRPr="00DC38AC">
        <w:rPr>
          <w:lang w:val="sq-AL"/>
        </w:rPr>
        <w:t>(paragra</w:t>
      </w:r>
      <w:r w:rsidRPr="00DC38AC" w:rsidR="00DC38AC">
        <w:rPr>
          <w:lang w:val="sq-AL"/>
        </w:rPr>
        <w:t>fi</w:t>
      </w:r>
      <w:r w:rsidRPr="00DC38AC">
        <w:rPr>
          <w:lang w:val="sq-AL"/>
        </w:rPr>
        <w:t xml:space="preserve"> 40 </w:t>
      </w:r>
      <w:r w:rsidRPr="00DC38AC" w:rsidR="00604857">
        <w:rPr>
          <w:lang w:val="sq-AL"/>
        </w:rPr>
        <w:t>i mësipërm</w:t>
      </w:r>
      <w:r w:rsidRPr="00DC38AC">
        <w:rPr>
          <w:lang w:val="sq-AL"/>
        </w:rPr>
        <w:t>).</w:t>
      </w:r>
    </w:p>
    <w:p w:rsidRPr="00A73407" w:rsidR="00EB737A" w:rsidP="00EB737A" w:rsidRDefault="00EB737A">
      <w:pPr>
        <w:pStyle w:val="ECHRHeading2"/>
        <w:rPr>
          <w:lang w:val="sq-AL"/>
        </w:rPr>
      </w:pPr>
      <w:r w:rsidRPr="00A73407">
        <w:rPr>
          <w:lang w:val="sq-AL"/>
        </w:rPr>
        <w:t>C.  </w:t>
      </w:r>
      <w:r w:rsidRPr="00A73407" w:rsidR="00DC38AC">
        <w:rPr>
          <w:lang w:val="sq-AL"/>
        </w:rPr>
        <w:t>Konkluzioni i Gjykatës</w:t>
      </w:r>
    </w:p>
    <w:p w:rsidRPr="00A73407" w:rsidR="00EB737A" w:rsidP="00EB737A" w:rsidRDefault="00EB737A">
      <w:pPr>
        <w:pStyle w:val="ECHRPara"/>
        <w:rPr>
          <w:lang w:val="sq-AL"/>
        </w:rPr>
      </w:pPr>
      <w:r w:rsidRPr="00A73407">
        <w:rPr>
          <w:lang w:val="sq-AL"/>
        </w:rPr>
        <w:fldChar w:fldCharType="begin"/>
      </w:r>
      <w:r w:rsidRPr="00A73407">
        <w:rPr>
          <w:lang w:val="sq-AL"/>
        </w:rPr>
        <w:instrText xml:space="preserve"> SEQ level0 \*arabic </w:instrText>
      </w:r>
      <w:r w:rsidRPr="00A73407">
        <w:rPr>
          <w:lang w:val="sq-AL"/>
        </w:rPr>
        <w:fldChar w:fldCharType="separate"/>
      </w:r>
      <w:r w:rsidR="00013F9B">
        <w:rPr>
          <w:noProof/>
          <w:lang w:val="sq-AL"/>
        </w:rPr>
        <w:t>187</w:t>
      </w:r>
      <w:r w:rsidRPr="00A73407">
        <w:rPr>
          <w:lang w:val="sq-AL"/>
        </w:rPr>
        <w:fldChar w:fldCharType="end"/>
      </w:r>
      <w:r w:rsidRPr="00A73407">
        <w:rPr>
          <w:lang w:val="sq-AL"/>
        </w:rPr>
        <w:t>.  </w:t>
      </w:r>
      <w:r w:rsidRPr="00A73407" w:rsidR="00DC38AC">
        <w:rPr>
          <w:lang w:val="sq-AL"/>
        </w:rPr>
        <w:t>Për arsyet që paraprijnë, Gjykata çmon se nuk ësht</w:t>
      </w:r>
      <w:r w:rsidR="00A73407">
        <w:rPr>
          <w:lang w:val="sq-AL"/>
        </w:rPr>
        <w:t>ë</w:t>
      </w:r>
      <w:r w:rsidRPr="00A73407" w:rsidR="00DC38AC">
        <w:rPr>
          <w:lang w:val="sq-AL"/>
        </w:rPr>
        <w:t xml:space="preserve"> vërtetuar që paditësja të kishte një mundësi ankimi efektiv të brendshëm për të gjetur zgjidhje </w:t>
      </w:r>
      <w:r w:rsidRPr="00A73407" w:rsidR="00A73407">
        <w:rPr>
          <w:lang w:val="sq-AL"/>
        </w:rPr>
        <w:t>lidhur me</w:t>
      </w:r>
      <w:r w:rsidRPr="00A73407" w:rsidR="00DC38AC">
        <w:rPr>
          <w:lang w:val="sq-AL"/>
        </w:rPr>
        <w:t xml:space="preserve"> pretendimet e saj </w:t>
      </w:r>
      <w:r w:rsidRPr="00A73407" w:rsidR="00A73407">
        <w:rPr>
          <w:lang w:val="sq-AL"/>
        </w:rPr>
        <w:t>për shkelje t</w:t>
      </w:r>
      <w:r w:rsidR="00A73407">
        <w:rPr>
          <w:lang w:val="sq-AL"/>
        </w:rPr>
        <w:t>ë</w:t>
      </w:r>
      <w:r w:rsidRPr="00A73407" w:rsidR="00A73407">
        <w:rPr>
          <w:lang w:val="sq-AL"/>
        </w:rPr>
        <w:t xml:space="preserve"> nenit 3 të Konventës n</w:t>
      </w:r>
      <w:r w:rsidR="00A73407">
        <w:rPr>
          <w:lang w:val="sq-AL"/>
        </w:rPr>
        <w:t>ë</w:t>
      </w:r>
      <w:r w:rsidRPr="00A73407" w:rsidR="00A73407">
        <w:rPr>
          <w:lang w:val="sq-AL"/>
        </w:rPr>
        <w:t xml:space="preserve"> an</w:t>
      </w:r>
      <w:r w:rsidR="00A73407">
        <w:rPr>
          <w:lang w:val="sq-AL"/>
        </w:rPr>
        <w:t>ë</w:t>
      </w:r>
      <w:r w:rsidRPr="00A73407" w:rsidR="00A73407">
        <w:rPr>
          <w:lang w:val="sq-AL"/>
        </w:rPr>
        <w:t>n e tij materiale. Prandaj, ka pasur shkelje të nenit 13 t</w:t>
      </w:r>
      <w:r w:rsidR="00A73407">
        <w:rPr>
          <w:lang w:val="sq-AL"/>
        </w:rPr>
        <w:t>ë</w:t>
      </w:r>
      <w:r w:rsidRPr="00A73407" w:rsidR="00A73407">
        <w:rPr>
          <w:lang w:val="sq-AL"/>
        </w:rPr>
        <w:t xml:space="preserve"> Konventës. Gjykata e rrëzon për rrjedhoj</w:t>
      </w:r>
      <w:r w:rsidR="00A73407">
        <w:rPr>
          <w:lang w:val="sq-AL"/>
        </w:rPr>
        <w:t>ë</w:t>
      </w:r>
      <w:r w:rsidRPr="00A73407" w:rsidR="00A73407">
        <w:rPr>
          <w:lang w:val="sq-AL"/>
        </w:rPr>
        <w:t xml:space="preserve"> k</w:t>
      </w:r>
      <w:r w:rsidR="00A73407">
        <w:rPr>
          <w:lang w:val="sq-AL"/>
        </w:rPr>
        <w:t>ë</w:t>
      </w:r>
      <w:r w:rsidRPr="00A73407" w:rsidR="00A73407">
        <w:rPr>
          <w:lang w:val="sq-AL"/>
        </w:rPr>
        <w:t>rkesën p</w:t>
      </w:r>
      <w:r w:rsidR="00A73407">
        <w:rPr>
          <w:lang w:val="sq-AL"/>
        </w:rPr>
        <w:t>ë</w:t>
      </w:r>
      <w:r w:rsidRPr="00A73407" w:rsidR="00A73407">
        <w:rPr>
          <w:lang w:val="sq-AL"/>
        </w:rPr>
        <w:t>r prap</w:t>
      </w:r>
      <w:r w:rsidR="00A73407">
        <w:rPr>
          <w:lang w:val="sq-AL"/>
        </w:rPr>
        <w:t>ë</w:t>
      </w:r>
      <w:r w:rsidRPr="00A73407" w:rsidR="00A73407">
        <w:rPr>
          <w:lang w:val="sq-AL"/>
        </w:rPr>
        <w:t>sim paraprak t</w:t>
      </w:r>
      <w:r w:rsidR="00A73407">
        <w:rPr>
          <w:lang w:val="sq-AL"/>
        </w:rPr>
        <w:t>ë</w:t>
      </w:r>
      <w:r w:rsidRPr="00A73407" w:rsidR="00A73407">
        <w:rPr>
          <w:lang w:val="sq-AL"/>
        </w:rPr>
        <w:t xml:space="preserve"> Qeveris</w:t>
      </w:r>
      <w:r w:rsidR="00A73407">
        <w:rPr>
          <w:lang w:val="sq-AL"/>
        </w:rPr>
        <w:t>ë</w:t>
      </w:r>
      <w:r w:rsidRPr="00A73407" w:rsidR="00A73407">
        <w:rPr>
          <w:lang w:val="sq-AL"/>
        </w:rPr>
        <w:t xml:space="preserve"> t</w:t>
      </w:r>
      <w:r w:rsidR="00A73407">
        <w:rPr>
          <w:lang w:val="sq-AL"/>
        </w:rPr>
        <w:t>ë</w:t>
      </w:r>
      <w:r w:rsidRPr="00A73407" w:rsidR="00A73407">
        <w:rPr>
          <w:lang w:val="sq-AL"/>
        </w:rPr>
        <w:t xml:space="preserve"> b</w:t>
      </w:r>
      <w:r w:rsidR="00A73407">
        <w:rPr>
          <w:lang w:val="sq-AL"/>
        </w:rPr>
        <w:t>ë</w:t>
      </w:r>
      <w:r w:rsidRPr="00A73407" w:rsidR="00A73407">
        <w:rPr>
          <w:lang w:val="sq-AL"/>
        </w:rPr>
        <w:t xml:space="preserve">rë për </w:t>
      </w:r>
      <w:r w:rsidR="000F7C11">
        <w:rPr>
          <w:lang w:val="sq-AL"/>
        </w:rPr>
        <w:t>mungesë</w:t>
      </w:r>
      <w:r w:rsidRPr="00A73407" w:rsidR="00A73407">
        <w:rPr>
          <w:lang w:val="sq-AL"/>
        </w:rPr>
        <w:t xml:space="preserve"> t</w:t>
      </w:r>
      <w:r w:rsidR="00A73407">
        <w:rPr>
          <w:lang w:val="sq-AL"/>
        </w:rPr>
        <w:t>ë</w:t>
      </w:r>
      <w:r w:rsidRPr="00A73407" w:rsidR="00A73407">
        <w:rPr>
          <w:lang w:val="sq-AL"/>
        </w:rPr>
        <w:t xml:space="preserve"> hapur </w:t>
      </w:r>
      <w:r w:rsidR="000F7C11">
        <w:rPr>
          <w:lang w:val="sq-AL"/>
        </w:rPr>
        <w:t xml:space="preserve">themelësie </w:t>
      </w:r>
      <w:r w:rsidRPr="00A73407" w:rsidR="00A73407">
        <w:rPr>
          <w:lang w:val="sq-AL"/>
        </w:rPr>
        <w:t>t</w:t>
      </w:r>
      <w:r w:rsidR="00A73407">
        <w:rPr>
          <w:lang w:val="sq-AL"/>
        </w:rPr>
        <w:t>ë</w:t>
      </w:r>
      <w:r w:rsidRPr="00A73407" w:rsidR="00A73407">
        <w:rPr>
          <w:lang w:val="sq-AL"/>
        </w:rPr>
        <w:t xml:space="preserve"> k</w:t>
      </w:r>
      <w:r w:rsidR="00A73407">
        <w:rPr>
          <w:lang w:val="sq-AL"/>
        </w:rPr>
        <w:t>ë</w:t>
      </w:r>
      <w:r w:rsidRPr="00A73407" w:rsidR="00A73407">
        <w:rPr>
          <w:lang w:val="sq-AL"/>
        </w:rPr>
        <w:t>tij pretendimi.</w:t>
      </w:r>
    </w:p>
    <w:p w:rsidRPr="0009363E" w:rsidR="00EB737A" w:rsidP="00EB737A" w:rsidRDefault="00EB737A">
      <w:pPr>
        <w:pStyle w:val="ECHRPara"/>
        <w:rPr>
          <w:lang w:val="sq-AL"/>
        </w:rPr>
      </w:pPr>
      <w:r w:rsidRPr="0009363E">
        <w:rPr>
          <w:lang w:val="sq-AL"/>
        </w:rPr>
        <w:t>(...)</w:t>
      </w:r>
    </w:p>
    <w:p w:rsidRPr="00534759" w:rsidR="00EB737A" w:rsidP="00EB737A" w:rsidRDefault="00EB737A">
      <w:pPr>
        <w:pStyle w:val="ECHRHeading1"/>
        <w:rPr>
          <w:lang w:val="sq-AL"/>
        </w:rPr>
      </w:pPr>
      <w:r w:rsidRPr="00534759">
        <w:rPr>
          <w:lang w:val="sq-AL"/>
        </w:rPr>
        <w:t>VI.  </w:t>
      </w:r>
      <w:r w:rsidRPr="00534759" w:rsidR="00A73407">
        <w:rPr>
          <w:lang w:val="sq-AL"/>
        </w:rPr>
        <w:t xml:space="preserve">RRETH ZBATIMIT TË NENIT </w:t>
      </w:r>
      <w:r w:rsidRPr="00534759">
        <w:rPr>
          <w:lang w:val="sq-AL"/>
        </w:rPr>
        <w:t xml:space="preserve">41 </w:t>
      </w:r>
      <w:r w:rsidRPr="00534759" w:rsidR="00A73407">
        <w:rPr>
          <w:lang w:val="sq-AL"/>
        </w:rPr>
        <w:t>TË KONVENTËS</w:t>
      </w:r>
    </w:p>
    <w:p w:rsidRPr="00534759" w:rsidR="00EB737A" w:rsidP="00EB737A" w:rsidRDefault="00EB737A">
      <w:pPr>
        <w:pStyle w:val="ECHRPara"/>
        <w:keepNext/>
        <w:keepLines/>
        <w:rPr>
          <w:lang w:val="sq-AL"/>
        </w:rPr>
      </w:pPr>
      <w:r w:rsidRPr="00534759">
        <w:rPr>
          <w:lang w:val="sq-AL"/>
        </w:rPr>
        <w:fldChar w:fldCharType="begin"/>
      </w:r>
      <w:r w:rsidRPr="00534759">
        <w:rPr>
          <w:lang w:val="sq-AL"/>
        </w:rPr>
        <w:instrText xml:space="preserve"> SEQ level0 \*arabic \r196</w:instrText>
      </w:r>
      <w:r w:rsidRPr="00534759">
        <w:rPr>
          <w:lang w:val="sq-AL"/>
        </w:rPr>
        <w:fldChar w:fldCharType="separate"/>
      </w:r>
      <w:r w:rsidR="00013F9B">
        <w:rPr>
          <w:noProof/>
          <w:lang w:val="sq-AL"/>
        </w:rPr>
        <w:t>196</w:t>
      </w:r>
      <w:r w:rsidRPr="00534759">
        <w:rPr>
          <w:lang w:val="sq-AL"/>
        </w:rPr>
        <w:fldChar w:fldCharType="end"/>
      </w:r>
      <w:r w:rsidRPr="00534759">
        <w:rPr>
          <w:lang w:val="sq-AL"/>
        </w:rPr>
        <w:t>.  </w:t>
      </w:r>
      <w:r w:rsidRPr="00534759" w:rsidR="00A73407">
        <w:rPr>
          <w:lang w:val="sq-AL"/>
        </w:rPr>
        <w:t xml:space="preserve">Sipas nenit </w:t>
      </w:r>
      <w:r w:rsidRPr="00534759">
        <w:rPr>
          <w:lang w:val="sq-AL"/>
        </w:rPr>
        <w:t xml:space="preserve">41 </w:t>
      </w:r>
      <w:r w:rsidRPr="00534759" w:rsidR="00A73407">
        <w:rPr>
          <w:lang w:val="sq-AL"/>
        </w:rPr>
        <w:t>t</w:t>
      </w:r>
      <w:r w:rsidR="00534759">
        <w:rPr>
          <w:lang w:val="sq-AL"/>
        </w:rPr>
        <w:t>ë</w:t>
      </w:r>
      <w:r w:rsidRPr="00534759" w:rsidR="00A73407">
        <w:rPr>
          <w:lang w:val="sq-AL"/>
        </w:rPr>
        <w:t xml:space="preserve"> Konventës</w:t>
      </w:r>
      <w:r w:rsidRPr="00534759">
        <w:rPr>
          <w:lang w:val="sq-AL"/>
        </w:rPr>
        <w:t>,</w:t>
      </w:r>
    </w:p>
    <w:p w:rsidRPr="00534759" w:rsidR="00EB737A" w:rsidP="00EB737A" w:rsidRDefault="00A73407">
      <w:pPr>
        <w:pStyle w:val="ECHRParaQuote"/>
        <w:keepNext/>
        <w:keepLines/>
        <w:rPr>
          <w:lang w:val="sq-AL"/>
        </w:rPr>
      </w:pPr>
      <w:r w:rsidRPr="00534759">
        <w:rPr>
          <w:lang w:val="sq-AL"/>
        </w:rPr>
        <w:t>“Kur Gjykata konstaton shkelje të Konventës ose të protokolleve të saj, dhe e drejta e brendshme e Palës së Lartë Kontraktuese mundëson vetëm ndreqjen e pjesshme të pasojave të shkaktuara nga shkelja, Gjykata, kur është e nevojshme, i akordon shpërblim të drejtë palës së dëmtuar.”</w:t>
      </w:r>
    </w:p>
    <w:p w:rsidRPr="00534759" w:rsidR="00EB737A" w:rsidP="00EB737A" w:rsidRDefault="00EB737A">
      <w:pPr>
        <w:pStyle w:val="ECHRHeading2"/>
        <w:rPr>
          <w:lang w:val="sq-AL"/>
        </w:rPr>
      </w:pPr>
      <w:r w:rsidRPr="00534759">
        <w:rPr>
          <w:lang w:val="sq-AL"/>
        </w:rPr>
        <w:t>A.  D</w:t>
      </w:r>
      <w:r w:rsidRPr="00534759" w:rsidR="00A73407">
        <w:rPr>
          <w:lang w:val="sq-AL"/>
        </w:rPr>
        <w:t>ëmi</w:t>
      </w:r>
    </w:p>
    <w:p w:rsidRPr="00534759" w:rsidR="00EB737A" w:rsidP="00EB737A" w:rsidRDefault="00EB737A">
      <w:pPr>
        <w:pStyle w:val="ECHRHeading3"/>
        <w:rPr>
          <w:lang w:val="sq-AL"/>
        </w:rPr>
      </w:pPr>
      <w:r w:rsidRPr="00534759">
        <w:rPr>
          <w:lang w:val="sq-AL"/>
        </w:rPr>
        <w:t>1.  T</w:t>
      </w:r>
      <w:r w:rsidRPr="00534759" w:rsidR="00A73407">
        <w:rPr>
          <w:lang w:val="sq-AL"/>
        </w:rPr>
        <w:t>ezat e palëve</w:t>
      </w:r>
    </w:p>
    <w:p w:rsidRPr="003A2C88" w:rsidR="00EB737A" w:rsidP="00EB737A" w:rsidRDefault="00EB737A">
      <w:pPr>
        <w:pStyle w:val="ECHRPara"/>
        <w:rPr>
          <w:b/>
          <w:bCs/>
          <w:lang w:val="sq-AL"/>
        </w:rPr>
      </w:pPr>
      <w:r w:rsidRPr="003A2C88">
        <w:rPr>
          <w:lang w:val="sq-AL"/>
        </w:rPr>
        <w:fldChar w:fldCharType="begin"/>
      </w:r>
      <w:r w:rsidRPr="003A2C88">
        <w:rPr>
          <w:lang w:val="sq-AL"/>
        </w:rPr>
        <w:instrText xml:space="preserve"> SEQ level0 \*arabic </w:instrText>
      </w:r>
      <w:r w:rsidRPr="003A2C88">
        <w:rPr>
          <w:lang w:val="sq-AL"/>
        </w:rPr>
        <w:fldChar w:fldCharType="separate"/>
      </w:r>
      <w:r w:rsidR="00013F9B">
        <w:rPr>
          <w:noProof/>
          <w:lang w:val="sq-AL"/>
        </w:rPr>
        <w:t>197</w:t>
      </w:r>
      <w:r w:rsidRPr="003A2C88">
        <w:rPr>
          <w:lang w:val="sq-AL"/>
        </w:rPr>
        <w:fldChar w:fldCharType="end"/>
      </w:r>
      <w:r w:rsidRPr="003A2C88">
        <w:rPr>
          <w:lang w:val="sq-AL"/>
        </w:rPr>
        <w:t>.  </w:t>
      </w:r>
      <w:r w:rsidRPr="003A2C88" w:rsidR="00A73407">
        <w:rPr>
          <w:lang w:val="sq-AL"/>
        </w:rPr>
        <w:t>Paditësja k</w:t>
      </w:r>
      <w:r w:rsidRPr="003A2C88" w:rsidR="00534759">
        <w:rPr>
          <w:lang w:val="sq-AL"/>
        </w:rPr>
        <w:t>ë</w:t>
      </w:r>
      <w:r w:rsidRPr="003A2C88" w:rsidR="00A73407">
        <w:rPr>
          <w:lang w:val="sq-AL"/>
        </w:rPr>
        <w:t xml:space="preserve">rkon </w:t>
      </w:r>
      <w:r w:rsidRPr="003A2C88">
        <w:rPr>
          <w:lang w:val="sq-AL"/>
        </w:rPr>
        <w:t xml:space="preserve">223 000 EUR </w:t>
      </w:r>
      <w:r w:rsidRPr="003A2C88" w:rsidR="00A73407">
        <w:rPr>
          <w:lang w:val="sq-AL"/>
        </w:rPr>
        <w:t>për d</w:t>
      </w:r>
      <w:r w:rsidRPr="003A2C88" w:rsidR="00534759">
        <w:rPr>
          <w:lang w:val="sq-AL"/>
        </w:rPr>
        <w:t>ë</w:t>
      </w:r>
      <w:r w:rsidRPr="003A2C88" w:rsidR="00A73407">
        <w:rPr>
          <w:lang w:val="sq-AL"/>
        </w:rPr>
        <w:t xml:space="preserve">min moral, </w:t>
      </w:r>
      <w:r w:rsidRPr="003A2C88" w:rsidR="00C87D4A">
        <w:rPr>
          <w:lang w:val="sq-AL"/>
        </w:rPr>
        <w:t>çka përkon me shum</w:t>
      </w:r>
      <w:r w:rsidRPr="003A2C88" w:rsidR="00534759">
        <w:rPr>
          <w:lang w:val="sq-AL"/>
        </w:rPr>
        <w:t>ë</w:t>
      </w:r>
      <w:r w:rsidRPr="003A2C88" w:rsidR="00C87D4A">
        <w:rPr>
          <w:lang w:val="sq-AL"/>
        </w:rPr>
        <w:t xml:space="preserve">n prej </w:t>
      </w:r>
      <w:r w:rsidRPr="003A2C88">
        <w:rPr>
          <w:lang w:val="sq-AL"/>
        </w:rPr>
        <w:t xml:space="preserve">250 000 EUR </w:t>
      </w:r>
      <w:r w:rsidRPr="003A2C88" w:rsidR="00C87D4A">
        <w:rPr>
          <w:lang w:val="sq-AL"/>
        </w:rPr>
        <w:t>q</w:t>
      </w:r>
      <w:r w:rsidRPr="003A2C88" w:rsidR="00534759">
        <w:rPr>
          <w:lang w:val="sq-AL"/>
        </w:rPr>
        <w:t>ë</w:t>
      </w:r>
      <w:r w:rsidRPr="003A2C88" w:rsidR="00C87D4A">
        <w:rPr>
          <w:lang w:val="sq-AL"/>
        </w:rPr>
        <w:t xml:space="preserve"> i ka dh</w:t>
      </w:r>
      <w:r w:rsidRPr="003A2C88" w:rsidR="00534759">
        <w:rPr>
          <w:lang w:val="sq-AL"/>
        </w:rPr>
        <w:t>ë</w:t>
      </w:r>
      <w:r w:rsidRPr="003A2C88" w:rsidR="00C87D4A">
        <w:rPr>
          <w:lang w:val="sq-AL"/>
        </w:rPr>
        <w:t>n</w:t>
      </w:r>
      <w:r w:rsidRPr="003A2C88" w:rsidR="00534759">
        <w:rPr>
          <w:lang w:val="sq-AL"/>
        </w:rPr>
        <w:t>ë</w:t>
      </w:r>
      <w:r w:rsidRPr="003A2C88" w:rsidR="00C87D4A">
        <w:rPr>
          <w:lang w:val="sq-AL"/>
        </w:rPr>
        <w:t xml:space="preserve"> asaj </w:t>
      </w:r>
      <w:r w:rsidRPr="003A2C88">
        <w:rPr>
          <w:i/>
          <w:lang w:val="sq-AL"/>
        </w:rPr>
        <w:t>High Court</w:t>
      </w:r>
      <w:r w:rsidRPr="003A2C88">
        <w:rPr>
          <w:lang w:val="sq-AL"/>
        </w:rPr>
        <w:t xml:space="preserve"> </w:t>
      </w:r>
      <w:r w:rsidRPr="003A2C88" w:rsidR="00C87D4A">
        <w:rPr>
          <w:lang w:val="sq-AL"/>
        </w:rPr>
        <w:t>si d</w:t>
      </w:r>
      <w:r w:rsidRPr="003A2C88" w:rsidR="00534759">
        <w:rPr>
          <w:lang w:val="sq-AL"/>
        </w:rPr>
        <w:t>ë</w:t>
      </w:r>
      <w:r w:rsidRPr="003A2C88" w:rsidR="00C87D4A">
        <w:rPr>
          <w:lang w:val="sq-AL"/>
        </w:rPr>
        <w:t>mshp</w:t>
      </w:r>
      <w:r w:rsidRPr="003A2C88" w:rsidR="00534759">
        <w:rPr>
          <w:lang w:val="sq-AL"/>
        </w:rPr>
        <w:t>ë</w:t>
      </w:r>
      <w:r w:rsidRPr="003A2C88" w:rsidR="00C87D4A">
        <w:rPr>
          <w:lang w:val="sq-AL"/>
        </w:rPr>
        <w:t>rblime t</w:t>
      </w:r>
      <w:r w:rsidRPr="003A2C88" w:rsidR="00534759">
        <w:rPr>
          <w:lang w:val="sq-AL"/>
        </w:rPr>
        <w:t>ë</w:t>
      </w:r>
      <w:r w:rsidRPr="003A2C88" w:rsidR="00C87D4A">
        <w:rPr>
          <w:lang w:val="sq-AL"/>
        </w:rPr>
        <w:t xml:space="preserve"> p</w:t>
      </w:r>
      <w:r w:rsidRPr="003A2C88" w:rsidR="00534759">
        <w:rPr>
          <w:lang w:val="sq-AL"/>
        </w:rPr>
        <w:t>ë</w:t>
      </w:r>
      <w:r w:rsidRPr="003A2C88" w:rsidR="00C87D4A">
        <w:rPr>
          <w:lang w:val="sq-AL"/>
        </w:rPr>
        <w:t>rgjithshme dhe d</w:t>
      </w:r>
      <w:r w:rsidRPr="003A2C88" w:rsidR="00534759">
        <w:rPr>
          <w:lang w:val="sq-AL"/>
        </w:rPr>
        <w:t>ë</w:t>
      </w:r>
      <w:r w:rsidRPr="003A2C88" w:rsidR="00C87D4A">
        <w:rPr>
          <w:lang w:val="sq-AL"/>
        </w:rPr>
        <w:t>mshp</w:t>
      </w:r>
      <w:r w:rsidRPr="003A2C88" w:rsidR="00534759">
        <w:rPr>
          <w:lang w:val="sq-AL"/>
        </w:rPr>
        <w:t>ë</w:t>
      </w:r>
      <w:r w:rsidRPr="003A2C88" w:rsidR="00C87D4A">
        <w:rPr>
          <w:lang w:val="sq-AL"/>
        </w:rPr>
        <w:t>rblime të shtuara, me zbritje – n</w:t>
      </w:r>
      <w:r w:rsidRPr="003A2C88" w:rsidR="00534759">
        <w:rPr>
          <w:lang w:val="sq-AL"/>
        </w:rPr>
        <w:t>ë</w:t>
      </w:r>
      <w:r w:rsidRPr="003A2C88" w:rsidR="00C87D4A">
        <w:rPr>
          <w:lang w:val="sq-AL"/>
        </w:rPr>
        <w:t xml:space="preserve"> rast se shteti nuk k</w:t>
      </w:r>
      <w:r w:rsidRPr="003A2C88" w:rsidR="00534759">
        <w:rPr>
          <w:lang w:val="sq-AL"/>
        </w:rPr>
        <w:t>ë</w:t>
      </w:r>
      <w:r w:rsidRPr="003A2C88" w:rsidR="00C87D4A">
        <w:rPr>
          <w:lang w:val="sq-AL"/>
        </w:rPr>
        <w:t>rkon rimbursim për k</w:t>
      </w:r>
      <w:r w:rsidRPr="003A2C88" w:rsidR="00534759">
        <w:rPr>
          <w:lang w:val="sq-AL"/>
        </w:rPr>
        <w:t>ë</w:t>
      </w:r>
      <w:r w:rsidRPr="003A2C88" w:rsidR="00C87D4A">
        <w:rPr>
          <w:lang w:val="sq-AL"/>
        </w:rPr>
        <w:t>të – t</w:t>
      </w:r>
      <w:r w:rsidRPr="003A2C88" w:rsidR="00534759">
        <w:rPr>
          <w:lang w:val="sq-AL"/>
        </w:rPr>
        <w:t>ë</w:t>
      </w:r>
      <w:r w:rsidRPr="003A2C88" w:rsidR="00C87D4A">
        <w:rPr>
          <w:lang w:val="sq-AL"/>
        </w:rPr>
        <w:t xml:space="preserve"> shum</w:t>
      </w:r>
      <w:r w:rsidRPr="003A2C88" w:rsidR="00534759">
        <w:rPr>
          <w:lang w:val="sq-AL"/>
        </w:rPr>
        <w:t>ë</w:t>
      </w:r>
      <w:r w:rsidRPr="003A2C88" w:rsidR="00C87D4A">
        <w:rPr>
          <w:lang w:val="sq-AL"/>
        </w:rPr>
        <w:t xml:space="preserve">s prej </w:t>
      </w:r>
      <w:r w:rsidRPr="003A2C88">
        <w:rPr>
          <w:lang w:val="sq-AL"/>
        </w:rPr>
        <w:t xml:space="preserve">27 000 EUR </w:t>
      </w:r>
      <w:r w:rsidRPr="003A2C88" w:rsidR="00C87D4A">
        <w:rPr>
          <w:lang w:val="sq-AL"/>
        </w:rPr>
        <w:t>q</w:t>
      </w:r>
      <w:r w:rsidRPr="003A2C88" w:rsidR="00534759">
        <w:rPr>
          <w:lang w:val="sq-AL"/>
        </w:rPr>
        <w:t>ë</w:t>
      </w:r>
      <w:r w:rsidRPr="003A2C88" w:rsidR="00C87D4A">
        <w:rPr>
          <w:lang w:val="sq-AL"/>
        </w:rPr>
        <w:t xml:space="preserve"> ajo e ka marrë nga </w:t>
      </w:r>
      <w:r w:rsidRPr="003A2C88">
        <w:rPr>
          <w:lang w:val="sq-AL"/>
        </w:rPr>
        <w:t>CICT</w:t>
      </w:r>
      <w:r w:rsidRPr="003A2C88" w:rsidR="00C87D4A">
        <w:rPr>
          <w:lang w:val="sq-AL"/>
        </w:rPr>
        <w:t>-ja p</w:t>
      </w:r>
      <w:r w:rsidRPr="003A2C88" w:rsidR="00534759">
        <w:rPr>
          <w:lang w:val="sq-AL"/>
        </w:rPr>
        <w:t>ë</w:t>
      </w:r>
      <w:r w:rsidRPr="003A2C88" w:rsidR="00C87D4A">
        <w:rPr>
          <w:lang w:val="sq-AL"/>
        </w:rPr>
        <w:t>r d</w:t>
      </w:r>
      <w:r w:rsidRPr="003A2C88" w:rsidR="00534759">
        <w:rPr>
          <w:lang w:val="sq-AL"/>
        </w:rPr>
        <w:t>ë</w:t>
      </w:r>
      <w:r w:rsidRPr="003A2C88" w:rsidR="00C87D4A">
        <w:rPr>
          <w:lang w:val="sq-AL"/>
        </w:rPr>
        <w:t>min e saj moral.</w:t>
      </w:r>
      <w:r w:rsidRPr="003A2C88">
        <w:rPr>
          <w:lang w:val="sq-AL"/>
        </w:rPr>
        <w:t xml:space="preserve"> </w:t>
      </w:r>
      <w:r w:rsidRPr="003A2C88" w:rsidR="00C87D4A">
        <w:rPr>
          <w:lang w:val="sq-AL"/>
        </w:rPr>
        <w:t>Ajo u referohet elementeve mjek</w:t>
      </w:r>
      <w:r w:rsidRPr="003A2C88" w:rsidR="00534759">
        <w:rPr>
          <w:lang w:val="sq-AL"/>
        </w:rPr>
        <w:t>ë</w:t>
      </w:r>
      <w:r w:rsidRPr="003A2C88" w:rsidR="00C87D4A">
        <w:rPr>
          <w:lang w:val="sq-AL"/>
        </w:rPr>
        <w:t>sore dhe psikiatrike t</w:t>
      </w:r>
      <w:r w:rsidRPr="003A2C88" w:rsidR="00534759">
        <w:rPr>
          <w:lang w:val="sq-AL"/>
        </w:rPr>
        <w:t>ë</w:t>
      </w:r>
      <w:r w:rsidRPr="003A2C88" w:rsidR="00C87D4A">
        <w:rPr>
          <w:lang w:val="sq-AL"/>
        </w:rPr>
        <w:t xml:space="preserve"> paraqitura prej saj n</w:t>
      </w:r>
      <w:r w:rsidRPr="003A2C88" w:rsidR="00534759">
        <w:rPr>
          <w:lang w:val="sq-AL"/>
        </w:rPr>
        <w:t>ë</w:t>
      </w:r>
      <w:r w:rsidRPr="003A2C88" w:rsidR="00C87D4A">
        <w:rPr>
          <w:lang w:val="sq-AL"/>
        </w:rPr>
        <w:t xml:space="preserve"> </w:t>
      </w:r>
      <w:r w:rsidRPr="003A2C88">
        <w:rPr>
          <w:i/>
          <w:lang w:val="sq-AL"/>
        </w:rPr>
        <w:t>High Court</w:t>
      </w:r>
      <w:r w:rsidRPr="003A2C88">
        <w:rPr>
          <w:lang w:val="sq-AL"/>
        </w:rPr>
        <w:t xml:space="preserve"> </w:t>
      </w:r>
      <w:r w:rsidRPr="003A2C88" w:rsidR="00C87D4A">
        <w:rPr>
          <w:lang w:val="sq-AL"/>
        </w:rPr>
        <w:t>për t</w:t>
      </w:r>
      <w:r w:rsidRPr="003A2C88" w:rsidR="00534759">
        <w:rPr>
          <w:lang w:val="sq-AL"/>
        </w:rPr>
        <w:t>ë</w:t>
      </w:r>
      <w:r w:rsidRPr="003A2C88" w:rsidR="00C87D4A">
        <w:rPr>
          <w:lang w:val="sq-AL"/>
        </w:rPr>
        <w:t xml:space="preserve"> v</w:t>
      </w:r>
      <w:r w:rsidRPr="003A2C88" w:rsidR="00534759">
        <w:rPr>
          <w:lang w:val="sq-AL"/>
        </w:rPr>
        <w:t>ë</w:t>
      </w:r>
      <w:r w:rsidRPr="003A2C88" w:rsidR="00C87D4A">
        <w:rPr>
          <w:lang w:val="sq-AL"/>
        </w:rPr>
        <w:t>rtetuar ndikimin q</w:t>
      </w:r>
      <w:r w:rsidRPr="003A2C88" w:rsidR="00534759">
        <w:rPr>
          <w:lang w:val="sq-AL"/>
        </w:rPr>
        <w:t>ë</w:t>
      </w:r>
      <w:r w:rsidRPr="003A2C88" w:rsidR="00C87D4A">
        <w:rPr>
          <w:lang w:val="sq-AL"/>
        </w:rPr>
        <w:t xml:space="preserve"> kan</w:t>
      </w:r>
      <w:r w:rsidRPr="003A2C88" w:rsidR="00534759">
        <w:rPr>
          <w:lang w:val="sq-AL"/>
        </w:rPr>
        <w:t>ë</w:t>
      </w:r>
      <w:r w:rsidRPr="003A2C88" w:rsidR="00C87D4A">
        <w:rPr>
          <w:lang w:val="sq-AL"/>
        </w:rPr>
        <w:t xml:space="preserve"> pasur mbi të abuzimet seksuale t</w:t>
      </w:r>
      <w:r w:rsidRPr="003A2C88" w:rsidR="00534759">
        <w:rPr>
          <w:lang w:val="sq-AL"/>
        </w:rPr>
        <w:t>ë</w:t>
      </w:r>
      <w:r w:rsidRPr="003A2C88" w:rsidR="00C87D4A">
        <w:rPr>
          <w:lang w:val="sq-AL"/>
        </w:rPr>
        <w:t xml:space="preserve"> kryera nga L.H. Duke pasur parasysh natyr</w:t>
      </w:r>
      <w:r w:rsidRPr="003A2C88" w:rsidR="00534759">
        <w:rPr>
          <w:lang w:val="sq-AL"/>
        </w:rPr>
        <w:t>ë</w:t>
      </w:r>
      <w:r w:rsidRPr="003A2C88" w:rsidR="00C87D4A">
        <w:rPr>
          <w:lang w:val="sq-AL"/>
        </w:rPr>
        <w:t>n, koh</w:t>
      </w:r>
      <w:r w:rsidRPr="003A2C88" w:rsidR="00534759">
        <w:rPr>
          <w:lang w:val="sq-AL"/>
        </w:rPr>
        <w:t>ë</w:t>
      </w:r>
      <w:r w:rsidRPr="003A2C88" w:rsidR="00C87D4A">
        <w:rPr>
          <w:lang w:val="sq-AL"/>
        </w:rPr>
        <w:t>zgjatjen dhe pasojat e k</w:t>
      </w:r>
      <w:r w:rsidRPr="003A2C88" w:rsidR="00534759">
        <w:rPr>
          <w:lang w:val="sq-AL"/>
        </w:rPr>
        <w:t>ë</w:t>
      </w:r>
      <w:r w:rsidRPr="003A2C88" w:rsidR="00C87D4A">
        <w:rPr>
          <w:lang w:val="sq-AL"/>
        </w:rPr>
        <w:t>tyre abuzimeve, paditësja çmon se shkelja e nenit 3 duhet të mbahet si tejet e r</w:t>
      </w:r>
      <w:r w:rsidRPr="003A2C88" w:rsidR="00534759">
        <w:rPr>
          <w:lang w:val="sq-AL"/>
        </w:rPr>
        <w:t>ë</w:t>
      </w:r>
      <w:r w:rsidRPr="003A2C88" w:rsidR="00C87D4A">
        <w:rPr>
          <w:lang w:val="sq-AL"/>
        </w:rPr>
        <w:t>ndë. Ajo k</w:t>
      </w:r>
      <w:r w:rsidRPr="003A2C88" w:rsidR="00534759">
        <w:rPr>
          <w:lang w:val="sq-AL"/>
        </w:rPr>
        <w:t>ë</w:t>
      </w:r>
      <w:r w:rsidRPr="003A2C88" w:rsidR="00C87D4A">
        <w:rPr>
          <w:lang w:val="sq-AL"/>
        </w:rPr>
        <w:t xml:space="preserve">rkon gjithashtu </w:t>
      </w:r>
      <w:r w:rsidRPr="003A2C88">
        <w:rPr>
          <w:lang w:val="sq-AL"/>
        </w:rPr>
        <w:t xml:space="preserve">5 104 EUR </w:t>
      </w:r>
      <w:r w:rsidRPr="003A2C88" w:rsidR="00C87D4A">
        <w:rPr>
          <w:lang w:val="sq-AL"/>
        </w:rPr>
        <w:t>për dëm moral, ose shum</w:t>
      </w:r>
      <w:r w:rsidRPr="003A2C88" w:rsidR="00534759">
        <w:rPr>
          <w:lang w:val="sq-AL"/>
        </w:rPr>
        <w:t>ë</w:t>
      </w:r>
      <w:r w:rsidRPr="003A2C88" w:rsidR="00C87D4A">
        <w:rPr>
          <w:lang w:val="sq-AL"/>
        </w:rPr>
        <w:t>n q</w:t>
      </w:r>
      <w:r w:rsidRPr="003A2C88" w:rsidR="00534759">
        <w:rPr>
          <w:lang w:val="sq-AL"/>
        </w:rPr>
        <w:t>ë</w:t>
      </w:r>
      <w:r w:rsidRPr="003A2C88" w:rsidR="00C87D4A">
        <w:rPr>
          <w:lang w:val="sq-AL"/>
        </w:rPr>
        <w:t xml:space="preserve"> ajo ka k</w:t>
      </w:r>
      <w:r w:rsidRPr="003A2C88" w:rsidR="00534759">
        <w:rPr>
          <w:lang w:val="sq-AL"/>
        </w:rPr>
        <w:t>ë</w:t>
      </w:r>
      <w:r w:rsidRPr="003A2C88" w:rsidR="00C87D4A">
        <w:rPr>
          <w:lang w:val="sq-AL"/>
        </w:rPr>
        <w:t xml:space="preserve">rkuar, </w:t>
      </w:r>
      <w:r w:rsidRPr="003A2C88" w:rsidR="00534759">
        <w:rPr>
          <w:lang w:val="sq-AL"/>
        </w:rPr>
        <w:t xml:space="preserve">kundrejt dokumenteve përkatëse, dhe fituar si dëmshpërblime të posaçme në kuadrin e procedurës në </w:t>
      </w:r>
      <w:r w:rsidRPr="003A2C88">
        <w:rPr>
          <w:i/>
          <w:lang w:val="sq-AL"/>
        </w:rPr>
        <w:t>High Court</w:t>
      </w:r>
      <w:r w:rsidRPr="003A2C88">
        <w:rPr>
          <w:lang w:val="sq-AL"/>
        </w:rPr>
        <w:t xml:space="preserve">. </w:t>
      </w:r>
      <w:r w:rsidRPr="003A2C88" w:rsidR="00534759">
        <w:rPr>
          <w:lang w:val="sq-AL"/>
        </w:rPr>
        <w:t xml:space="preserve">Kjo shumë mendohet të mbulojë qoftë shpenzimet e kaluara, qoftë ato të ardhme, lidhur me abuzimet seksuale që ajo ka pësuar, konkretisht shpenzimet mjekësore, shpenzimet e udhëtimit dhe shpenzime të tjera anësore. Paditësja e pranon që shuma e dhënë nga </w:t>
      </w:r>
      <w:r w:rsidRPr="003A2C88">
        <w:rPr>
          <w:lang w:val="sq-AL"/>
        </w:rPr>
        <w:t>CICT</w:t>
      </w:r>
      <w:r w:rsidRPr="003A2C88" w:rsidR="00534759">
        <w:rPr>
          <w:lang w:val="sq-AL"/>
        </w:rPr>
        <w:t xml:space="preserve">-ja dhe shuma që ajo ka marrë tashmë nga </w:t>
      </w:r>
      <w:r w:rsidRPr="003A2C88">
        <w:rPr>
          <w:lang w:val="sq-AL"/>
        </w:rPr>
        <w:t xml:space="preserve">L.H. </w:t>
      </w:r>
      <w:r w:rsidRPr="003A2C88" w:rsidR="00534759">
        <w:rPr>
          <w:lang w:val="sq-AL"/>
        </w:rPr>
        <w:t>përbëjnë një zhdëmtim të pjesshëm</w:t>
      </w:r>
      <w:r w:rsidRPr="003A2C88">
        <w:rPr>
          <w:lang w:val="sq-AL"/>
        </w:rPr>
        <w:t>.</w:t>
      </w:r>
    </w:p>
    <w:p w:rsidRPr="003A2C88" w:rsidR="00EB737A" w:rsidP="00EB737A" w:rsidRDefault="00EB737A">
      <w:pPr>
        <w:pStyle w:val="ECHRPara"/>
        <w:rPr>
          <w:lang w:val="sq-AL"/>
        </w:rPr>
      </w:pPr>
      <w:r w:rsidRPr="003A2C88">
        <w:rPr>
          <w:lang w:val="sq-AL"/>
        </w:rPr>
        <w:fldChar w:fldCharType="begin"/>
      </w:r>
      <w:r w:rsidRPr="003A2C88">
        <w:rPr>
          <w:lang w:val="sq-AL"/>
        </w:rPr>
        <w:instrText xml:space="preserve"> SEQ level0 \*arabic </w:instrText>
      </w:r>
      <w:r w:rsidRPr="003A2C88">
        <w:rPr>
          <w:lang w:val="sq-AL"/>
        </w:rPr>
        <w:fldChar w:fldCharType="separate"/>
      </w:r>
      <w:r w:rsidR="00013F9B">
        <w:rPr>
          <w:noProof/>
          <w:lang w:val="sq-AL"/>
        </w:rPr>
        <w:t>198</w:t>
      </w:r>
      <w:r w:rsidRPr="003A2C88">
        <w:rPr>
          <w:lang w:val="sq-AL"/>
        </w:rPr>
        <w:fldChar w:fldCharType="end"/>
      </w:r>
      <w:r w:rsidRPr="003A2C88">
        <w:rPr>
          <w:lang w:val="sq-AL"/>
        </w:rPr>
        <w:t>.  </w:t>
      </w:r>
      <w:r w:rsidRPr="003A2C88" w:rsidR="000A41A6">
        <w:rPr>
          <w:lang w:val="sq-AL"/>
        </w:rPr>
        <w:t>Qeveria mbron mendimin se kërkesat e paditëses për d</w:t>
      </w:r>
      <w:r w:rsidR="003A2C88">
        <w:rPr>
          <w:lang w:val="sq-AL"/>
        </w:rPr>
        <w:t>ë</w:t>
      </w:r>
      <w:r w:rsidRPr="003A2C88" w:rsidR="000A41A6">
        <w:rPr>
          <w:lang w:val="sq-AL"/>
        </w:rPr>
        <w:t>min material e at</w:t>
      </w:r>
      <w:r w:rsidR="003A2C88">
        <w:rPr>
          <w:lang w:val="sq-AL"/>
        </w:rPr>
        <w:t>ë</w:t>
      </w:r>
      <w:r w:rsidRPr="003A2C88" w:rsidR="000A41A6">
        <w:rPr>
          <w:lang w:val="sq-AL"/>
        </w:rPr>
        <w:t xml:space="preserve"> moral nuk jan</w:t>
      </w:r>
      <w:r w:rsidR="003A2C88">
        <w:rPr>
          <w:lang w:val="sq-AL"/>
        </w:rPr>
        <w:t>ë</w:t>
      </w:r>
      <w:r w:rsidRPr="003A2C88" w:rsidR="000A41A6">
        <w:rPr>
          <w:lang w:val="sq-AL"/>
        </w:rPr>
        <w:t xml:space="preserve"> arsyetuar n</w:t>
      </w:r>
      <w:r w:rsidR="003A2C88">
        <w:rPr>
          <w:lang w:val="sq-AL"/>
        </w:rPr>
        <w:t>ë</w:t>
      </w:r>
      <w:r w:rsidRPr="003A2C88" w:rsidR="000A41A6">
        <w:rPr>
          <w:lang w:val="sq-AL"/>
        </w:rPr>
        <w:t xml:space="preserve"> m</w:t>
      </w:r>
      <w:r w:rsidR="003A2C88">
        <w:rPr>
          <w:lang w:val="sq-AL"/>
        </w:rPr>
        <w:t>ë</w:t>
      </w:r>
      <w:r w:rsidRPr="003A2C88" w:rsidR="000A41A6">
        <w:rPr>
          <w:lang w:val="sq-AL"/>
        </w:rPr>
        <w:t>nyr</w:t>
      </w:r>
      <w:r w:rsidR="003A2C88">
        <w:rPr>
          <w:lang w:val="sq-AL"/>
        </w:rPr>
        <w:t>ë</w:t>
      </w:r>
      <w:r w:rsidRPr="003A2C88" w:rsidR="000A41A6">
        <w:rPr>
          <w:lang w:val="sq-AL"/>
        </w:rPr>
        <w:t xml:space="preserve"> korrekte e nuk jan</w:t>
      </w:r>
      <w:r w:rsidR="003A2C88">
        <w:rPr>
          <w:lang w:val="sq-AL"/>
        </w:rPr>
        <w:t>ë</w:t>
      </w:r>
      <w:r w:rsidRPr="003A2C88" w:rsidR="000A41A6">
        <w:rPr>
          <w:lang w:val="sq-AL"/>
        </w:rPr>
        <w:t xml:space="preserve"> shoq</w:t>
      </w:r>
      <w:r w:rsidR="003A2C88">
        <w:rPr>
          <w:lang w:val="sq-AL"/>
        </w:rPr>
        <w:t>ë</w:t>
      </w:r>
      <w:r w:rsidRPr="003A2C88" w:rsidR="000A41A6">
        <w:rPr>
          <w:lang w:val="sq-AL"/>
        </w:rPr>
        <w:t>ruar me dokumente t</w:t>
      </w:r>
      <w:r w:rsidR="003A2C88">
        <w:rPr>
          <w:lang w:val="sq-AL"/>
        </w:rPr>
        <w:t>ë</w:t>
      </w:r>
      <w:r w:rsidRPr="003A2C88" w:rsidR="000A41A6">
        <w:rPr>
          <w:lang w:val="sq-AL"/>
        </w:rPr>
        <w:t xml:space="preserve"> mjaftueshme përkat</w:t>
      </w:r>
      <w:r w:rsidR="003A2C88">
        <w:rPr>
          <w:lang w:val="sq-AL"/>
        </w:rPr>
        <w:t>ë</w:t>
      </w:r>
      <w:r w:rsidRPr="003A2C88" w:rsidR="000A41A6">
        <w:rPr>
          <w:lang w:val="sq-AL"/>
        </w:rPr>
        <w:t>se, dhe ajo nuk sheh asnjë lidhje shkak</w:t>
      </w:r>
      <w:r w:rsidR="003A2C88">
        <w:rPr>
          <w:lang w:val="sq-AL"/>
        </w:rPr>
        <w:t>ë</w:t>
      </w:r>
      <w:r w:rsidRPr="003A2C88" w:rsidR="000A41A6">
        <w:rPr>
          <w:lang w:val="sq-AL"/>
        </w:rPr>
        <w:t>sore midis shkeljes s</w:t>
      </w:r>
      <w:r w:rsidR="003A2C88">
        <w:rPr>
          <w:lang w:val="sq-AL"/>
        </w:rPr>
        <w:t>ë</w:t>
      </w:r>
      <w:r w:rsidRPr="003A2C88" w:rsidR="000A41A6">
        <w:rPr>
          <w:lang w:val="sq-AL"/>
        </w:rPr>
        <w:t xml:space="preserve"> p</w:t>
      </w:r>
      <w:r w:rsidR="003A2C88">
        <w:rPr>
          <w:lang w:val="sq-AL"/>
        </w:rPr>
        <w:t>ësuar dhe</w:t>
      </w:r>
      <w:r w:rsidRPr="003A2C88" w:rsidR="000A41A6">
        <w:rPr>
          <w:lang w:val="sq-AL"/>
        </w:rPr>
        <w:t xml:space="preserve"> ndonj</w:t>
      </w:r>
      <w:r w:rsidR="003A2C88">
        <w:rPr>
          <w:lang w:val="sq-AL"/>
        </w:rPr>
        <w:t>ë</w:t>
      </w:r>
      <w:r w:rsidRPr="003A2C88" w:rsidR="000A41A6">
        <w:rPr>
          <w:lang w:val="sq-AL"/>
        </w:rPr>
        <w:t xml:space="preserve"> d</w:t>
      </w:r>
      <w:r w:rsidR="003A2C88">
        <w:rPr>
          <w:lang w:val="sq-AL"/>
        </w:rPr>
        <w:t>ë</w:t>
      </w:r>
      <w:r w:rsidRPr="003A2C88" w:rsidR="000A41A6">
        <w:rPr>
          <w:lang w:val="sq-AL"/>
        </w:rPr>
        <w:t>mi t</w:t>
      </w:r>
      <w:r w:rsidR="003A2C88">
        <w:rPr>
          <w:lang w:val="sq-AL"/>
        </w:rPr>
        <w:t>ë</w:t>
      </w:r>
      <w:r w:rsidRPr="003A2C88" w:rsidR="000A41A6">
        <w:rPr>
          <w:lang w:val="sq-AL"/>
        </w:rPr>
        <w:t xml:space="preserve"> çfar</w:t>
      </w:r>
      <w:r w:rsidR="003A2C88">
        <w:rPr>
          <w:lang w:val="sq-AL"/>
        </w:rPr>
        <w:t>ë</w:t>
      </w:r>
      <w:r w:rsidRPr="003A2C88" w:rsidR="000A41A6">
        <w:rPr>
          <w:lang w:val="sq-AL"/>
        </w:rPr>
        <w:t>dosh</w:t>
      </w:r>
      <w:r w:rsidR="003A2C88">
        <w:rPr>
          <w:lang w:val="sq-AL"/>
        </w:rPr>
        <w:t>ë</w:t>
      </w:r>
      <w:r w:rsidRPr="003A2C88" w:rsidR="000A41A6">
        <w:rPr>
          <w:lang w:val="sq-AL"/>
        </w:rPr>
        <w:t>m. Pa propozuar ndonj</w:t>
      </w:r>
      <w:r w:rsidR="003A2C88">
        <w:rPr>
          <w:lang w:val="sq-AL"/>
        </w:rPr>
        <w:t>ë</w:t>
      </w:r>
      <w:r w:rsidRPr="003A2C88" w:rsidR="000A41A6">
        <w:rPr>
          <w:lang w:val="sq-AL"/>
        </w:rPr>
        <w:t xml:space="preserve"> shum</w:t>
      </w:r>
      <w:r w:rsidR="003A2C88">
        <w:rPr>
          <w:lang w:val="sq-AL"/>
        </w:rPr>
        <w:t>ë</w:t>
      </w:r>
      <w:r w:rsidRPr="003A2C88" w:rsidR="000A41A6">
        <w:rPr>
          <w:lang w:val="sq-AL"/>
        </w:rPr>
        <w:t xml:space="preserve"> t</w:t>
      </w:r>
      <w:r w:rsidR="003A2C88">
        <w:rPr>
          <w:lang w:val="sq-AL"/>
        </w:rPr>
        <w:t>ë</w:t>
      </w:r>
      <w:r w:rsidRPr="003A2C88" w:rsidR="000A41A6">
        <w:rPr>
          <w:lang w:val="sq-AL"/>
        </w:rPr>
        <w:t xml:space="preserve"> caktuar q</w:t>
      </w:r>
      <w:r w:rsidR="003A2C88">
        <w:rPr>
          <w:lang w:val="sq-AL"/>
        </w:rPr>
        <w:t>ë</w:t>
      </w:r>
      <w:r w:rsidRPr="003A2C88" w:rsidR="000A41A6">
        <w:rPr>
          <w:lang w:val="sq-AL"/>
        </w:rPr>
        <w:t xml:space="preserve"> t</w:t>
      </w:r>
      <w:r w:rsidR="003A2C88">
        <w:rPr>
          <w:lang w:val="sq-AL"/>
        </w:rPr>
        <w:t>ë</w:t>
      </w:r>
      <w:r w:rsidRPr="003A2C88" w:rsidR="000A41A6">
        <w:rPr>
          <w:lang w:val="sq-AL"/>
        </w:rPr>
        <w:t xml:space="preserve"> jepet p</w:t>
      </w:r>
      <w:r w:rsidR="003A2C88">
        <w:rPr>
          <w:lang w:val="sq-AL"/>
        </w:rPr>
        <w:t>ë</w:t>
      </w:r>
      <w:r w:rsidRPr="003A2C88" w:rsidR="000A41A6">
        <w:rPr>
          <w:lang w:val="sq-AL"/>
        </w:rPr>
        <w:t>r d</w:t>
      </w:r>
      <w:r w:rsidR="003A2C88">
        <w:rPr>
          <w:lang w:val="sq-AL"/>
        </w:rPr>
        <w:t>ë</w:t>
      </w:r>
      <w:r w:rsidRPr="003A2C88" w:rsidR="000A41A6">
        <w:rPr>
          <w:lang w:val="sq-AL"/>
        </w:rPr>
        <w:t>min moral, ajo çmon se përçapja e paditëses ku, për të përligjur pretendimin e saj, p</w:t>
      </w:r>
      <w:r w:rsidR="003A2C88">
        <w:rPr>
          <w:lang w:val="sq-AL"/>
        </w:rPr>
        <w:t>ë</w:t>
      </w:r>
      <w:r w:rsidRPr="003A2C88" w:rsidR="000A41A6">
        <w:rPr>
          <w:lang w:val="sq-AL"/>
        </w:rPr>
        <w:t>rmendet thjesht elementi që përkon me d</w:t>
      </w:r>
      <w:r w:rsidR="003A2C88">
        <w:rPr>
          <w:lang w:val="sq-AL"/>
        </w:rPr>
        <w:t>ë</w:t>
      </w:r>
      <w:r w:rsidRPr="003A2C88" w:rsidR="000A41A6">
        <w:rPr>
          <w:lang w:val="sq-AL"/>
        </w:rPr>
        <w:t>min moral t</w:t>
      </w:r>
      <w:r w:rsidR="003A2C88">
        <w:rPr>
          <w:lang w:val="sq-AL"/>
        </w:rPr>
        <w:t>ë</w:t>
      </w:r>
      <w:r w:rsidRPr="003A2C88" w:rsidR="000A41A6">
        <w:rPr>
          <w:lang w:val="sq-AL"/>
        </w:rPr>
        <w:t xml:space="preserve"> shum</w:t>
      </w:r>
      <w:r w:rsidR="003A2C88">
        <w:rPr>
          <w:lang w:val="sq-AL"/>
        </w:rPr>
        <w:t>ë</w:t>
      </w:r>
      <w:r w:rsidRPr="003A2C88" w:rsidR="000A41A6">
        <w:rPr>
          <w:lang w:val="sq-AL"/>
        </w:rPr>
        <w:t>s s</w:t>
      </w:r>
      <w:r w:rsidR="003A2C88">
        <w:rPr>
          <w:lang w:val="sq-AL"/>
        </w:rPr>
        <w:t>ë</w:t>
      </w:r>
      <w:r w:rsidRPr="003A2C88" w:rsidR="000A41A6">
        <w:rPr>
          <w:lang w:val="sq-AL"/>
        </w:rPr>
        <w:t xml:space="preserve"> dh</w:t>
      </w:r>
      <w:r w:rsidR="003A2C88">
        <w:rPr>
          <w:lang w:val="sq-AL"/>
        </w:rPr>
        <w:t>ë</w:t>
      </w:r>
      <w:r w:rsidRPr="003A2C88" w:rsidR="000A41A6">
        <w:rPr>
          <w:lang w:val="sq-AL"/>
        </w:rPr>
        <w:t>n</w:t>
      </w:r>
      <w:r w:rsidR="003A2C88">
        <w:rPr>
          <w:lang w:val="sq-AL"/>
        </w:rPr>
        <w:t>ë</w:t>
      </w:r>
      <w:r w:rsidRPr="003A2C88" w:rsidR="000A41A6">
        <w:rPr>
          <w:lang w:val="sq-AL"/>
        </w:rPr>
        <w:t xml:space="preserve"> nga </w:t>
      </w:r>
      <w:r w:rsidRPr="003A2C88">
        <w:rPr>
          <w:i/>
          <w:lang w:val="sq-AL"/>
        </w:rPr>
        <w:t xml:space="preserve">High Court </w:t>
      </w:r>
      <w:r w:rsidRPr="003A2C88" w:rsidR="000A41A6">
        <w:rPr>
          <w:lang w:val="sq-AL"/>
        </w:rPr>
        <w:t xml:space="preserve">është njëherazi pa lidhje </w:t>
      </w:r>
      <w:r w:rsidRPr="003A2C88">
        <w:rPr>
          <w:lang w:val="sq-AL"/>
        </w:rPr>
        <w:t>(</w:t>
      </w:r>
      <w:r w:rsidRPr="003A2C88" w:rsidR="000A41A6">
        <w:rPr>
          <w:lang w:val="sq-AL"/>
        </w:rPr>
        <w:t>ngaq</w:t>
      </w:r>
      <w:r w:rsidR="003A2C88">
        <w:rPr>
          <w:lang w:val="sq-AL"/>
        </w:rPr>
        <w:t>ë</w:t>
      </w:r>
      <w:r w:rsidRPr="003A2C88" w:rsidR="000A41A6">
        <w:rPr>
          <w:lang w:val="sq-AL"/>
        </w:rPr>
        <w:t xml:space="preserve"> shuma n</w:t>
      </w:r>
      <w:r w:rsidR="003A2C88">
        <w:rPr>
          <w:lang w:val="sq-AL"/>
        </w:rPr>
        <w:t>ë</w:t>
      </w:r>
      <w:r w:rsidRPr="003A2C88" w:rsidR="000A41A6">
        <w:rPr>
          <w:lang w:val="sq-AL"/>
        </w:rPr>
        <w:t xml:space="preserve"> fjal</w:t>
      </w:r>
      <w:r w:rsidR="003A2C88">
        <w:rPr>
          <w:lang w:val="sq-AL"/>
        </w:rPr>
        <w:t>ë</w:t>
      </w:r>
      <w:r w:rsidRPr="003A2C88" w:rsidR="000A41A6">
        <w:rPr>
          <w:lang w:val="sq-AL"/>
        </w:rPr>
        <w:t xml:space="preserve"> ka t</w:t>
      </w:r>
      <w:r w:rsidR="003A2C88">
        <w:rPr>
          <w:lang w:val="sq-AL"/>
        </w:rPr>
        <w:t>ë</w:t>
      </w:r>
      <w:r w:rsidRPr="003A2C88" w:rsidR="000A41A6">
        <w:rPr>
          <w:lang w:val="sq-AL"/>
        </w:rPr>
        <w:t xml:space="preserve"> b</w:t>
      </w:r>
      <w:r w:rsidR="003A2C88">
        <w:rPr>
          <w:lang w:val="sq-AL"/>
        </w:rPr>
        <w:t>ë</w:t>
      </w:r>
      <w:r w:rsidRPr="003A2C88" w:rsidR="000A41A6">
        <w:rPr>
          <w:lang w:val="sq-AL"/>
        </w:rPr>
        <w:t>j</w:t>
      </w:r>
      <w:r w:rsidR="003A2C88">
        <w:rPr>
          <w:lang w:val="sq-AL"/>
        </w:rPr>
        <w:t>ë</w:t>
      </w:r>
      <w:r w:rsidRPr="003A2C88" w:rsidR="000A41A6">
        <w:rPr>
          <w:lang w:val="sq-AL"/>
        </w:rPr>
        <w:t xml:space="preserve"> me veprimet e </w:t>
      </w:r>
      <w:r w:rsidRPr="003A2C88">
        <w:rPr>
          <w:lang w:val="sq-AL"/>
        </w:rPr>
        <w:t xml:space="preserve">L.H. </w:t>
      </w:r>
      <w:r w:rsidRPr="003A2C88" w:rsidR="000A41A6">
        <w:rPr>
          <w:lang w:val="sq-AL"/>
        </w:rPr>
        <w:t>dhe jo me ato të shtetit</w:t>
      </w:r>
      <w:r w:rsidRPr="003A2C88">
        <w:rPr>
          <w:lang w:val="sq-AL"/>
        </w:rPr>
        <w:t xml:space="preserve">) </w:t>
      </w:r>
      <w:r w:rsidRPr="003A2C88" w:rsidR="000A41A6">
        <w:rPr>
          <w:lang w:val="sq-AL"/>
        </w:rPr>
        <w:t xml:space="preserve">dhe e pamjaftueshme </w:t>
      </w:r>
      <w:r w:rsidRPr="003A2C88">
        <w:rPr>
          <w:lang w:val="sq-AL"/>
        </w:rPr>
        <w:t>(</w:t>
      </w:r>
      <w:r w:rsidRPr="003A2C88" w:rsidR="000A41A6">
        <w:rPr>
          <w:lang w:val="sq-AL"/>
        </w:rPr>
        <w:t xml:space="preserve">meqë </w:t>
      </w:r>
      <w:r w:rsidRPr="003A2C88">
        <w:rPr>
          <w:lang w:val="sq-AL"/>
        </w:rPr>
        <w:t xml:space="preserve">L.H. </w:t>
      </w:r>
      <w:r w:rsidRPr="003A2C88" w:rsidR="000A41A6">
        <w:rPr>
          <w:lang w:val="sq-AL"/>
        </w:rPr>
        <w:t>nuk e ka kundërshtuar fare shum</w:t>
      </w:r>
      <w:r w:rsidR="003A2C88">
        <w:rPr>
          <w:lang w:val="sq-AL"/>
        </w:rPr>
        <w:t>ë</w:t>
      </w:r>
      <w:r w:rsidRPr="003A2C88" w:rsidR="000A41A6">
        <w:rPr>
          <w:lang w:val="sq-AL"/>
        </w:rPr>
        <w:t>n e dh</w:t>
      </w:r>
      <w:r w:rsidR="003A2C88">
        <w:rPr>
          <w:lang w:val="sq-AL"/>
        </w:rPr>
        <w:t>ë</w:t>
      </w:r>
      <w:r w:rsidRPr="003A2C88" w:rsidR="000A41A6">
        <w:rPr>
          <w:lang w:val="sq-AL"/>
        </w:rPr>
        <w:t>n</w:t>
      </w:r>
      <w:r w:rsidR="003A2C88">
        <w:rPr>
          <w:lang w:val="sq-AL"/>
        </w:rPr>
        <w:t>ë</w:t>
      </w:r>
      <w:r w:rsidRPr="003A2C88" w:rsidR="000A41A6">
        <w:rPr>
          <w:lang w:val="sq-AL"/>
        </w:rPr>
        <w:t xml:space="preserve"> nga </w:t>
      </w:r>
      <w:r w:rsidRPr="003A2C88">
        <w:rPr>
          <w:i/>
          <w:lang w:val="sq-AL"/>
        </w:rPr>
        <w:t>High Court</w:t>
      </w:r>
      <w:r w:rsidRPr="003A2C88">
        <w:rPr>
          <w:lang w:val="sq-AL"/>
        </w:rPr>
        <w:t xml:space="preserve">). </w:t>
      </w:r>
      <w:r w:rsidRPr="003A2C88" w:rsidR="003A2C88">
        <w:rPr>
          <w:lang w:val="sq-AL"/>
        </w:rPr>
        <w:t>Ajo shpjegon se paditësja i ka marr</w:t>
      </w:r>
      <w:r w:rsidR="003A2C88">
        <w:rPr>
          <w:lang w:val="sq-AL"/>
        </w:rPr>
        <w:t>ë</w:t>
      </w:r>
      <w:r w:rsidRPr="003A2C88" w:rsidR="003A2C88">
        <w:rPr>
          <w:lang w:val="sq-AL"/>
        </w:rPr>
        <w:t xml:space="preserve"> tashm</w:t>
      </w:r>
      <w:r w:rsidR="003A2C88">
        <w:rPr>
          <w:lang w:val="sq-AL"/>
        </w:rPr>
        <w:t>ë</w:t>
      </w:r>
      <w:r w:rsidRPr="003A2C88" w:rsidR="003A2C88">
        <w:rPr>
          <w:lang w:val="sq-AL"/>
        </w:rPr>
        <w:t xml:space="preserve"> disa pagesa, se ajo ka n</w:t>
      </w:r>
      <w:r w:rsidR="003A2C88">
        <w:rPr>
          <w:lang w:val="sq-AL"/>
        </w:rPr>
        <w:t>ë</w:t>
      </w:r>
      <w:r w:rsidRPr="003A2C88" w:rsidR="003A2C88">
        <w:rPr>
          <w:lang w:val="sq-AL"/>
        </w:rPr>
        <w:t xml:space="preserve"> dispozicion t</w:t>
      </w:r>
      <w:r w:rsidR="003A2C88">
        <w:rPr>
          <w:lang w:val="sq-AL"/>
        </w:rPr>
        <w:t>ë</w:t>
      </w:r>
      <w:r w:rsidRPr="003A2C88" w:rsidR="003A2C88">
        <w:rPr>
          <w:lang w:val="sq-AL"/>
        </w:rPr>
        <w:t xml:space="preserve"> saj nj</w:t>
      </w:r>
      <w:r w:rsidR="003A2C88">
        <w:rPr>
          <w:lang w:val="sq-AL"/>
        </w:rPr>
        <w:t>ë</w:t>
      </w:r>
      <w:r w:rsidRPr="003A2C88" w:rsidR="003A2C88">
        <w:rPr>
          <w:lang w:val="sq-AL"/>
        </w:rPr>
        <w:t xml:space="preserve"> varg mekanizmash përmbarimi kundër </w:t>
      </w:r>
      <w:r w:rsidRPr="003A2C88">
        <w:rPr>
          <w:lang w:val="sq-AL"/>
        </w:rPr>
        <w:t xml:space="preserve">L.H., </w:t>
      </w:r>
      <w:r w:rsidRPr="003A2C88" w:rsidR="003A2C88">
        <w:rPr>
          <w:lang w:val="sq-AL"/>
        </w:rPr>
        <w:t>dhe se shteti nuk është përgjegj</w:t>
      </w:r>
      <w:r w:rsidR="003A2C88">
        <w:rPr>
          <w:lang w:val="sq-AL"/>
        </w:rPr>
        <w:t>ë</w:t>
      </w:r>
      <w:r w:rsidRPr="003A2C88" w:rsidR="003A2C88">
        <w:rPr>
          <w:lang w:val="sq-AL"/>
        </w:rPr>
        <w:t xml:space="preserve">s për financat e </w:t>
      </w:r>
      <w:r w:rsidRPr="003A2C88">
        <w:rPr>
          <w:lang w:val="sq-AL"/>
        </w:rPr>
        <w:t xml:space="preserve">L.H. </w:t>
      </w:r>
      <w:r w:rsidRPr="003A2C88" w:rsidR="003A2C88">
        <w:rPr>
          <w:lang w:val="sq-AL"/>
        </w:rPr>
        <w:t>Ajo thekson se shuma e dh</w:t>
      </w:r>
      <w:r w:rsidR="003A2C88">
        <w:rPr>
          <w:lang w:val="sq-AL"/>
        </w:rPr>
        <w:t>ë</w:t>
      </w:r>
      <w:r w:rsidRPr="003A2C88" w:rsidR="003A2C88">
        <w:rPr>
          <w:lang w:val="sq-AL"/>
        </w:rPr>
        <w:t>n</w:t>
      </w:r>
      <w:r w:rsidR="003A2C88">
        <w:rPr>
          <w:lang w:val="sq-AL"/>
        </w:rPr>
        <w:t>ë</w:t>
      </w:r>
      <w:r w:rsidRPr="003A2C88" w:rsidR="003A2C88">
        <w:rPr>
          <w:lang w:val="sq-AL"/>
        </w:rPr>
        <w:t xml:space="preserve"> nga </w:t>
      </w:r>
      <w:r w:rsidRPr="003A2C88">
        <w:rPr>
          <w:lang w:val="sq-AL"/>
        </w:rPr>
        <w:t>CICT</w:t>
      </w:r>
      <w:r w:rsidRPr="003A2C88" w:rsidR="003A2C88">
        <w:rPr>
          <w:lang w:val="sq-AL"/>
        </w:rPr>
        <w:t>-ja</w:t>
      </w:r>
      <w:r w:rsidRPr="003A2C88">
        <w:rPr>
          <w:lang w:val="sq-AL"/>
        </w:rPr>
        <w:t xml:space="preserve"> </w:t>
      </w:r>
      <w:r w:rsidRPr="003A2C88" w:rsidR="003A2C88">
        <w:rPr>
          <w:lang w:val="sq-AL"/>
        </w:rPr>
        <w:t>është marrë nga fonde publike dhe v</w:t>
      </w:r>
      <w:r w:rsidR="003A2C88">
        <w:rPr>
          <w:lang w:val="sq-AL"/>
        </w:rPr>
        <w:t>ë</w:t>
      </w:r>
      <w:r w:rsidRPr="003A2C88" w:rsidR="003A2C88">
        <w:rPr>
          <w:lang w:val="sq-AL"/>
        </w:rPr>
        <w:t xml:space="preserve"> n</w:t>
      </w:r>
      <w:r w:rsidR="003A2C88">
        <w:rPr>
          <w:lang w:val="sq-AL"/>
        </w:rPr>
        <w:t>ë</w:t>
      </w:r>
      <w:r w:rsidRPr="003A2C88" w:rsidR="003A2C88">
        <w:rPr>
          <w:lang w:val="sq-AL"/>
        </w:rPr>
        <w:t xml:space="preserve"> dukje se paditësja e ka pranuar q</w:t>
      </w:r>
      <w:r w:rsidR="003A2C88">
        <w:rPr>
          <w:lang w:val="sq-AL"/>
        </w:rPr>
        <w:t>ë</w:t>
      </w:r>
      <w:r w:rsidRPr="003A2C88" w:rsidR="003A2C88">
        <w:rPr>
          <w:lang w:val="sq-AL"/>
        </w:rPr>
        <w:t xml:space="preserve"> ky zhdëmtim duhej të merrej parasysh n</w:t>
      </w:r>
      <w:r w:rsidR="003A2C88">
        <w:rPr>
          <w:lang w:val="sq-AL"/>
        </w:rPr>
        <w:t>ë</w:t>
      </w:r>
      <w:r w:rsidRPr="003A2C88" w:rsidR="003A2C88">
        <w:rPr>
          <w:lang w:val="sq-AL"/>
        </w:rPr>
        <w:t xml:space="preserve"> kuadrin e dhënies eventuale t</w:t>
      </w:r>
      <w:r w:rsidR="003A2C88">
        <w:rPr>
          <w:lang w:val="sq-AL"/>
        </w:rPr>
        <w:t>ë</w:t>
      </w:r>
      <w:r w:rsidRPr="003A2C88" w:rsidR="003A2C88">
        <w:rPr>
          <w:lang w:val="sq-AL"/>
        </w:rPr>
        <w:t xml:space="preserve"> nj</w:t>
      </w:r>
      <w:r w:rsidR="003A2C88">
        <w:rPr>
          <w:lang w:val="sq-AL"/>
        </w:rPr>
        <w:t>ë</w:t>
      </w:r>
      <w:r w:rsidRPr="003A2C88" w:rsidR="003A2C88">
        <w:rPr>
          <w:lang w:val="sq-AL"/>
        </w:rPr>
        <w:t xml:space="preserve"> shpërblimi t</w:t>
      </w:r>
      <w:r w:rsidR="003A2C88">
        <w:rPr>
          <w:lang w:val="sq-AL"/>
        </w:rPr>
        <w:t>ë</w:t>
      </w:r>
      <w:r w:rsidRPr="003A2C88" w:rsidR="003A2C88">
        <w:rPr>
          <w:lang w:val="sq-AL"/>
        </w:rPr>
        <w:t xml:space="preserve"> drejtë. Nga ana tjetër, ajo e kritikon faktin q</w:t>
      </w:r>
      <w:r w:rsidR="003A2C88">
        <w:rPr>
          <w:lang w:val="sq-AL"/>
        </w:rPr>
        <w:t>ë</w:t>
      </w:r>
      <w:r w:rsidRPr="003A2C88" w:rsidR="003A2C88">
        <w:rPr>
          <w:lang w:val="sq-AL"/>
        </w:rPr>
        <w:t xml:space="preserve"> paditësja e bazon k</w:t>
      </w:r>
      <w:r w:rsidR="003A2C88">
        <w:rPr>
          <w:lang w:val="sq-AL"/>
        </w:rPr>
        <w:t>ë</w:t>
      </w:r>
      <w:r w:rsidRPr="003A2C88" w:rsidR="003A2C88">
        <w:rPr>
          <w:lang w:val="sq-AL"/>
        </w:rPr>
        <w:t>rkes</w:t>
      </w:r>
      <w:r w:rsidR="003A2C88">
        <w:rPr>
          <w:lang w:val="sq-AL"/>
        </w:rPr>
        <w:t>ë</w:t>
      </w:r>
      <w:r w:rsidRPr="003A2C88" w:rsidR="003A2C88">
        <w:rPr>
          <w:lang w:val="sq-AL"/>
        </w:rPr>
        <w:t>n e saj p</w:t>
      </w:r>
      <w:r w:rsidR="003A2C88">
        <w:rPr>
          <w:lang w:val="sq-AL"/>
        </w:rPr>
        <w:t>ë</w:t>
      </w:r>
      <w:r w:rsidRPr="003A2C88" w:rsidR="003A2C88">
        <w:rPr>
          <w:lang w:val="sq-AL"/>
        </w:rPr>
        <w:t>r d</w:t>
      </w:r>
      <w:r w:rsidR="003A2C88">
        <w:rPr>
          <w:lang w:val="sq-AL"/>
        </w:rPr>
        <w:t>ë</w:t>
      </w:r>
      <w:r w:rsidRPr="003A2C88" w:rsidR="003A2C88">
        <w:rPr>
          <w:lang w:val="sq-AL"/>
        </w:rPr>
        <w:t>m material te shuma e dh</w:t>
      </w:r>
      <w:r w:rsidR="003A2C88">
        <w:rPr>
          <w:lang w:val="sq-AL"/>
        </w:rPr>
        <w:t>ë</w:t>
      </w:r>
      <w:r w:rsidRPr="003A2C88" w:rsidR="003A2C88">
        <w:rPr>
          <w:lang w:val="sq-AL"/>
        </w:rPr>
        <w:t>n</w:t>
      </w:r>
      <w:r w:rsidR="003A2C88">
        <w:rPr>
          <w:lang w:val="sq-AL"/>
        </w:rPr>
        <w:t>ë</w:t>
      </w:r>
      <w:r w:rsidRPr="003A2C88" w:rsidR="003A2C88">
        <w:rPr>
          <w:lang w:val="sq-AL"/>
        </w:rPr>
        <w:t xml:space="preserve"> nga </w:t>
      </w:r>
      <w:r w:rsidRPr="003A2C88">
        <w:rPr>
          <w:i/>
          <w:lang w:val="sq-AL"/>
        </w:rPr>
        <w:t>High Court</w:t>
      </w:r>
      <w:r w:rsidRPr="003A2C88">
        <w:rPr>
          <w:lang w:val="sq-AL"/>
        </w:rPr>
        <w:t xml:space="preserve"> </w:t>
      </w:r>
      <w:r w:rsidRPr="003A2C88" w:rsidR="003A2C88">
        <w:rPr>
          <w:lang w:val="sq-AL"/>
        </w:rPr>
        <w:t>si d</w:t>
      </w:r>
      <w:r w:rsidR="003A2C88">
        <w:rPr>
          <w:lang w:val="sq-AL"/>
        </w:rPr>
        <w:t>ë</w:t>
      </w:r>
      <w:r w:rsidRPr="003A2C88" w:rsidR="003A2C88">
        <w:rPr>
          <w:lang w:val="sq-AL"/>
        </w:rPr>
        <w:t>mshp</w:t>
      </w:r>
      <w:r w:rsidR="003A2C88">
        <w:rPr>
          <w:lang w:val="sq-AL"/>
        </w:rPr>
        <w:t>ë</w:t>
      </w:r>
      <w:r w:rsidRPr="003A2C88" w:rsidR="003A2C88">
        <w:rPr>
          <w:lang w:val="sq-AL"/>
        </w:rPr>
        <w:t>rblime t</w:t>
      </w:r>
      <w:r w:rsidR="003A2C88">
        <w:rPr>
          <w:lang w:val="sq-AL"/>
        </w:rPr>
        <w:t>ë</w:t>
      </w:r>
      <w:r w:rsidRPr="003A2C88" w:rsidR="003A2C88">
        <w:rPr>
          <w:lang w:val="sq-AL"/>
        </w:rPr>
        <w:t xml:space="preserve"> posaçme</w:t>
      </w:r>
      <w:r w:rsidRPr="003A2C88">
        <w:rPr>
          <w:lang w:val="sq-AL"/>
        </w:rPr>
        <w:t>.</w:t>
      </w:r>
    </w:p>
    <w:p w:rsidRPr="003A2C88" w:rsidR="00EB737A" w:rsidP="00EB737A" w:rsidRDefault="00EB737A">
      <w:pPr>
        <w:pStyle w:val="ECHRHeading3"/>
        <w:rPr>
          <w:lang w:val="sq-AL"/>
        </w:rPr>
      </w:pPr>
      <w:r w:rsidRPr="003A2C88">
        <w:rPr>
          <w:lang w:val="sq-AL"/>
        </w:rPr>
        <w:t>2.  </w:t>
      </w:r>
      <w:r w:rsidRPr="003A2C88" w:rsidR="003A2C88">
        <w:rPr>
          <w:lang w:val="sq-AL"/>
        </w:rPr>
        <w:t>Vler</w:t>
      </w:r>
      <w:r w:rsidR="003A2C88">
        <w:rPr>
          <w:lang w:val="sq-AL"/>
        </w:rPr>
        <w:t>ë</w:t>
      </w:r>
      <w:r w:rsidRPr="003A2C88" w:rsidR="003A2C88">
        <w:rPr>
          <w:lang w:val="sq-AL"/>
        </w:rPr>
        <w:t>simi i Gjykatës</w:t>
      </w:r>
    </w:p>
    <w:p w:rsidRPr="00E87B60" w:rsidR="00EB737A" w:rsidP="00EB737A" w:rsidRDefault="00EB737A">
      <w:pPr>
        <w:pStyle w:val="ECHRPara"/>
        <w:rPr>
          <w:lang w:val="sq-AL"/>
        </w:rPr>
      </w:pPr>
      <w:r w:rsidRPr="00E87B60">
        <w:rPr>
          <w:lang w:val="sq-AL"/>
        </w:rPr>
        <w:fldChar w:fldCharType="begin"/>
      </w:r>
      <w:r w:rsidRPr="00E87B60">
        <w:rPr>
          <w:lang w:val="sq-AL"/>
        </w:rPr>
        <w:instrText xml:space="preserve"> SEQ level0 \*arabic </w:instrText>
      </w:r>
      <w:r w:rsidRPr="00E87B60">
        <w:rPr>
          <w:lang w:val="sq-AL"/>
        </w:rPr>
        <w:fldChar w:fldCharType="separate"/>
      </w:r>
      <w:r w:rsidR="00013F9B">
        <w:rPr>
          <w:noProof/>
          <w:lang w:val="sq-AL"/>
        </w:rPr>
        <w:t>199</w:t>
      </w:r>
      <w:r w:rsidRPr="00E87B60">
        <w:rPr>
          <w:lang w:val="sq-AL"/>
        </w:rPr>
        <w:fldChar w:fldCharType="end"/>
      </w:r>
      <w:r w:rsidRPr="00E87B60">
        <w:rPr>
          <w:lang w:val="sq-AL"/>
        </w:rPr>
        <w:t>.  </w:t>
      </w:r>
      <w:r w:rsidRPr="00E87B60" w:rsidR="003A2C88">
        <w:rPr>
          <w:lang w:val="sq-AL"/>
        </w:rPr>
        <w:t>Gjykata rikujton se neni 41 i jep asaj t</w:t>
      </w:r>
      <w:r w:rsidR="00E87B60">
        <w:rPr>
          <w:lang w:val="sq-AL"/>
        </w:rPr>
        <w:t>ë</w:t>
      </w:r>
      <w:r w:rsidRPr="00E87B60" w:rsidR="003A2C88">
        <w:rPr>
          <w:lang w:val="sq-AL"/>
        </w:rPr>
        <w:t xml:space="preserve"> drejtën që t</w:t>
      </w:r>
      <w:r w:rsidR="00943091">
        <w:rPr>
          <w:lang w:val="sq-AL"/>
        </w:rPr>
        <w:t>’</w:t>
      </w:r>
      <w:r w:rsidRPr="00E87B60" w:rsidR="003A2C88">
        <w:rPr>
          <w:lang w:val="sq-AL"/>
        </w:rPr>
        <w:t>i caktoj</w:t>
      </w:r>
      <w:r w:rsidR="00E87B60">
        <w:rPr>
          <w:lang w:val="sq-AL"/>
        </w:rPr>
        <w:t>ë</w:t>
      </w:r>
      <w:r w:rsidRPr="00E87B60" w:rsidR="003A2C88">
        <w:rPr>
          <w:lang w:val="sq-AL"/>
        </w:rPr>
        <w:t xml:space="preserve"> palës s</w:t>
      </w:r>
      <w:r w:rsidR="00E87B60">
        <w:rPr>
          <w:lang w:val="sq-AL"/>
        </w:rPr>
        <w:t>ë</w:t>
      </w:r>
      <w:r w:rsidRPr="00E87B60" w:rsidR="003A2C88">
        <w:rPr>
          <w:lang w:val="sq-AL"/>
        </w:rPr>
        <w:t xml:space="preserve"> dëmtuar, n</w:t>
      </w:r>
      <w:r w:rsidR="00E87B60">
        <w:rPr>
          <w:lang w:val="sq-AL"/>
        </w:rPr>
        <w:t>ë</w:t>
      </w:r>
      <w:r w:rsidRPr="00E87B60" w:rsidR="003A2C88">
        <w:rPr>
          <w:lang w:val="sq-AL"/>
        </w:rPr>
        <w:t xml:space="preserve">se </w:t>
      </w:r>
      <w:r w:rsidR="00E87B60">
        <w:rPr>
          <w:lang w:val="sq-AL"/>
        </w:rPr>
        <w:t>ë</w:t>
      </w:r>
      <w:r w:rsidRPr="00E87B60" w:rsidR="003A2C88">
        <w:rPr>
          <w:lang w:val="sq-AL"/>
        </w:rPr>
        <w:t>shtë nevoja, at</w:t>
      </w:r>
      <w:r w:rsidR="00E87B60">
        <w:rPr>
          <w:lang w:val="sq-AL"/>
        </w:rPr>
        <w:t>ë</w:t>
      </w:r>
      <w:r w:rsidRPr="00E87B60" w:rsidR="003A2C88">
        <w:rPr>
          <w:lang w:val="sq-AL"/>
        </w:rPr>
        <w:t xml:space="preserve"> shp</w:t>
      </w:r>
      <w:r w:rsidR="00E87B60">
        <w:rPr>
          <w:lang w:val="sq-AL"/>
        </w:rPr>
        <w:t>ë</w:t>
      </w:r>
      <w:r w:rsidRPr="00E87B60" w:rsidR="003A2C88">
        <w:rPr>
          <w:lang w:val="sq-AL"/>
        </w:rPr>
        <w:t>rblim q</w:t>
      </w:r>
      <w:r w:rsidR="00E87B60">
        <w:rPr>
          <w:lang w:val="sq-AL"/>
        </w:rPr>
        <w:t>ë</w:t>
      </w:r>
      <w:r w:rsidRPr="00E87B60" w:rsidR="003A2C88">
        <w:rPr>
          <w:lang w:val="sq-AL"/>
        </w:rPr>
        <w:t xml:space="preserve"> i duket si m</w:t>
      </w:r>
      <w:r w:rsidR="00E87B60">
        <w:rPr>
          <w:lang w:val="sq-AL"/>
        </w:rPr>
        <w:t>ë</w:t>
      </w:r>
      <w:r w:rsidRPr="00E87B60" w:rsidR="003A2C88">
        <w:rPr>
          <w:lang w:val="sq-AL"/>
        </w:rPr>
        <w:t xml:space="preserve"> i p</w:t>
      </w:r>
      <w:r w:rsidR="00E87B60">
        <w:rPr>
          <w:lang w:val="sq-AL"/>
        </w:rPr>
        <w:t>ë</w:t>
      </w:r>
      <w:r w:rsidRPr="00E87B60" w:rsidR="003A2C88">
        <w:rPr>
          <w:lang w:val="sq-AL"/>
        </w:rPr>
        <w:t>rshtatsh</w:t>
      </w:r>
      <w:r w:rsidR="00E87B60">
        <w:rPr>
          <w:lang w:val="sq-AL"/>
        </w:rPr>
        <w:t>ë</w:t>
      </w:r>
      <w:r w:rsidRPr="00E87B60" w:rsidR="003A2C88">
        <w:rPr>
          <w:lang w:val="sq-AL"/>
        </w:rPr>
        <w:t>m.</w:t>
      </w:r>
    </w:p>
    <w:p w:rsidRPr="00326F4C" w:rsidR="00EB737A" w:rsidP="00EB737A" w:rsidRDefault="00EB737A">
      <w:pPr>
        <w:pStyle w:val="ECHRPara"/>
        <w:rPr>
          <w:lang w:val="sq-AL"/>
        </w:rPr>
      </w:pPr>
      <w:r w:rsidRPr="00326F4C">
        <w:rPr>
          <w:lang w:val="sq-AL"/>
        </w:rPr>
        <w:fldChar w:fldCharType="begin"/>
      </w:r>
      <w:r w:rsidRPr="00326F4C">
        <w:rPr>
          <w:lang w:val="sq-AL"/>
        </w:rPr>
        <w:instrText xml:space="preserve"> SEQ level0 \*arabic </w:instrText>
      </w:r>
      <w:r w:rsidRPr="00326F4C">
        <w:rPr>
          <w:lang w:val="sq-AL"/>
        </w:rPr>
        <w:fldChar w:fldCharType="separate"/>
      </w:r>
      <w:r w:rsidR="00013F9B">
        <w:rPr>
          <w:noProof/>
          <w:lang w:val="sq-AL"/>
        </w:rPr>
        <w:t>200</w:t>
      </w:r>
      <w:r w:rsidRPr="00326F4C">
        <w:rPr>
          <w:lang w:val="sq-AL"/>
        </w:rPr>
        <w:fldChar w:fldCharType="end"/>
      </w:r>
      <w:r w:rsidRPr="00326F4C">
        <w:rPr>
          <w:lang w:val="sq-AL"/>
        </w:rPr>
        <w:t>.  </w:t>
      </w:r>
      <w:r w:rsidRPr="00326F4C" w:rsidR="003A2C88">
        <w:rPr>
          <w:lang w:val="sq-AL"/>
        </w:rPr>
        <w:t>Kur Gjykata del n</w:t>
      </w:r>
      <w:r w:rsidRPr="00326F4C" w:rsidR="00E87B60">
        <w:rPr>
          <w:lang w:val="sq-AL"/>
        </w:rPr>
        <w:t>ë</w:t>
      </w:r>
      <w:r w:rsidRPr="00326F4C" w:rsidR="003A2C88">
        <w:rPr>
          <w:lang w:val="sq-AL"/>
        </w:rPr>
        <w:t xml:space="preserve"> p</w:t>
      </w:r>
      <w:r w:rsidRPr="00326F4C" w:rsidR="00E87B60">
        <w:rPr>
          <w:lang w:val="sq-AL"/>
        </w:rPr>
        <w:t>ë</w:t>
      </w:r>
      <w:r w:rsidRPr="00326F4C" w:rsidR="003A2C88">
        <w:rPr>
          <w:lang w:val="sq-AL"/>
        </w:rPr>
        <w:t>rfundimin se nj</w:t>
      </w:r>
      <w:r w:rsidRPr="00326F4C" w:rsidR="00E87B60">
        <w:rPr>
          <w:lang w:val="sq-AL"/>
        </w:rPr>
        <w:t>ë</w:t>
      </w:r>
      <w:r w:rsidRPr="00326F4C" w:rsidR="003A2C88">
        <w:rPr>
          <w:lang w:val="sq-AL"/>
        </w:rPr>
        <w:t xml:space="preserve"> e dejtë e rëndësishme e mbrojtur nga Konventa ka qen</w:t>
      </w:r>
      <w:r w:rsidRPr="00326F4C" w:rsidR="00E87B60">
        <w:rPr>
          <w:lang w:val="sq-AL"/>
        </w:rPr>
        <w:t>ë</w:t>
      </w:r>
      <w:r w:rsidRPr="00326F4C" w:rsidR="003A2C88">
        <w:rPr>
          <w:lang w:val="sq-AL"/>
        </w:rPr>
        <w:t xml:space="preserve"> objekt i nj</w:t>
      </w:r>
      <w:r w:rsidRPr="00326F4C" w:rsidR="00E87B60">
        <w:rPr>
          <w:lang w:val="sq-AL"/>
        </w:rPr>
        <w:t>ë</w:t>
      </w:r>
      <w:r w:rsidRPr="00326F4C" w:rsidR="003A2C88">
        <w:rPr>
          <w:lang w:val="sq-AL"/>
        </w:rPr>
        <w:t xml:space="preserve"> shkeljeje q</w:t>
      </w:r>
      <w:r w:rsidRPr="00326F4C" w:rsidR="00E87B60">
        <w:rPr>
          <w:lang w:val="sq-AL"/>
        </w:rPr>
        <w:t>ë</w:t>
      </w:r>
      <w:r w:rsidRPr="00326F4C" w:rsidR="003A2C88">
        <w:rPr>
          <w:lang w:val="sq-AL"/>
        </w:rPr>
        <w:t xml:space="preserve"> ka shkaktuar </w:t>
      </w:r>
      <w:r w:rsidRPr="00326F4C" w:rsidR="00E87B60">
        <w:rPr>
          <w:lang w:val="sq-AL"/>
        </w:rPr>
        <w:t xml:space="preserve">dhembje e vuajtje të mëdha, ajo mund të vendosë që të japë një zhdëmtim për dëmin moral </w:t>
      </w:r>
      <w:r w:rsidRPr="00326F4C">
        <w:rPr>
          <w:lang w:val="sq-AL"/>
        </w:rPr>
        <w:t>(</w:t>
      </w:r>
      <w:r w:rsidRPr="00326F4C" w:rsidR="00E87B60">
        <w:rPr>
          <w:lang w:val="sq-AL"/>
        </w:rPr>
        <w:t>shih, për shembull</w:t>
      </w:r>
      <w:r w:rsidRPr="00326F4C">
        <w:rPr>
          <w:lang w:val="sq-AL"/>
        </w:rPr>
        <w:t xml:space="preserve">, </w:t>
      </w:r>
      <w:r w:rsidRPr="00326F4C">
        <w:rPr>
          <w:i/>
          <w:lang w:val="sq-AL"/>
        </w:rPr>
        <w:t xml:space="preserve">El Masri </w:t>
      </w:r>
      <w:r w:rsidRPr="00326F4C" w:rsidR="00E87B60">
        <w:rPr>
          <w:i/>
          <w:lang w:val="sq-AL"/>
        </w:rPr>
        <w:t>k</w:t>
      </w:r>
      <w:r w:rsidRPr="00326F4C">
        <w:rPr>
          <w:i/>
          <w:lang w:val="sq-AL"/>
        </w:rPr>
        <w:t>. </w:t>
      </w:r>
      <w:r w:rsidRPr="00326F4C" w:rsidR="00E87B60">
        <w:rPr>
          <w:i/>
          <w:lang w:val="sq-AL"/>
        </w:rPr>
        <w:t>ish-Republikës Jugosllave të Maqedonisë</w:t>
      </w:r>
      <w:r w:rsidRPr="00326F4C">
        <w:rPr>
          <w:i/>
          <w:lang w:val="sq-AL"/>
        </w:rPr>
        <w:t xml:space="preserve"> </w:t>
      </w:r>
      <w:r w:rsidRPr="00326F4C">
        <w:rPr>
          <w:lang w:val="sq-AL"/>
        </w:rPr>
        <w:t>[</w:t>
      </w:r>
      <w:r w:rsidRPr="00326F4C" w:rsidR="004F4B3E">
        <w:rPr>
          <w:lang w:val="sq-AL"/>
        </w:rPr>
        <w:t>DhM</w:t>
      </w:r>
      <w:r w:rsidRPr="00326F4C">
        <w:rPr>
          <w:lang w:val="sq-AL"/>
        </w:rPr>
        <w:t xml:space="preserve">], </w:t>
      </w:r>
      <w:r w:rsidRPr="00326F4C" w:rsidR="001E408E">
        <w:rPr>
          <w:lang w:val="sq-AL"/>
        </w:rPr>
        <w:t>nr.</w:t>
      </w:r>
      <w:r w:rsidRPr="00326F4C">
        <w:rPr>
          <w:lang w:val="sq-AL"/>
        </w:rPr>
        <w:t xml:space="preserve"> 39630/09, § 269, </w:t>
      </w:r>
      <w:r w:rsidRPr="00326F4C" w:rsidR="00E90FE3">
        <w:rPr>
          <w:lang w:val="sq-AL"/>
        </w:rPr>
        <w:t>GjEDNj</w:t>
      </w:r>
      <w:r w:rsidRPr="00326F4C">
        <w:rPr>
          <w:lang w:val="sq-AL"/>
        </w:rPr>
        <w:t xml:space="preserve"> 2012).</w:t>
      </w:r>
    </w:p>
    <w:p w:rsidRPr="001567AD" w:rsidR="00EB737A" w:rsidP="00EB737A" w:rsidRDefault="00EB737A">
      <w:pPr>
        <w:pStyle w:val="ECHRPara"/>
        <w:rPr>
          <w:lang w:val="sq-AL"/>
        </w:rPr>
      </w:pPr>
      <w:r w:rsidRPr="001567AD">
        <w:rPr>
          <w:lang w:val="sq-AL"/>
        </w:rPr>
        <w:fldChar w:fldCharType="begin"/>
      </w:r>
      <w:r w:rsidRPr="001567AD">
        <w:rPr>
          <w:lang w:val="sq-AL"/>
        </w:rPr>
        <w:instrText xml:space="preserve"> SEQ level0 \*arabic </w:instrText>
      </w:r>
      <w:r w:rsidRPr="001567AD">
        <w:rPr>
          <w:lang w:val="sq-AL"/>
        </w:rPr>
        <w:fldChar w:fldCharType="separate"/>
      </w:r>
      <w:r w:rsidR="00013F9B">
        <w:rPr>
          <w:noProof/>
          <w:lang w:val="sq-AL"/>
        </w:rPr>
        <w:t>201</w:t>
      </w:r>
      <w:r w:rsidRPr="001567AD">
        <w:rPr>
          <w:lang w:val="sq-AL"/>
        </w:rPr>
        <w:fldChar w:fldCharType="end"/>
      </w:r>
      <w:r w:rsidRPr="001567AD">
        <w:rPr>
          <w:lang w:val="sq-AL"/>
        </w:rPr>
        <w:t>.  </w:t>
      </w:r>
      <w:r w:rsidRPr="001567AD" w:rsidR="00E87B60">
        <w:rPr>
          <w:lang w:val="sq-AL"/>
        </w:rPr>
        <w:t>Për sa i përket dëmit material, duhet q</w:t>
      </w:r>
      <w:r w:rsidRPr="001567AD" w:rsidR="00326F4C">
        <w:rPr>
          <w:lang w:val="sq-AL"/>
        </w:rPr>
        <w:t>ë</w:t>
      </w:r>
      <w:r w:rsidRPr="001567AD" w:rsidR="00E87B60">
        <w:rPr>
          <w:lang w:val="sq-AL"/>
        </w:rPr>
        <w:t xml:space="preserve"> të ketë nj</w:t>
      </w:r>
      <w:r w:rsidRPr="001567AD" w:rsidR="00326F4C">
        <w:rPr>
          <w:lang w:val="sq-AL"/>
        </w:rPr>
        <w:t>ë</w:t>
      </w:r>
      <w:r w:rsidRPr="001567AD" w:rsidR="00E87B60">
        <w:rPr>
          <w:lang w:val="sq-AL"/>
        </w:rPr>
        <w:t xml:space="preserve"> lidhje t</w:t>
      </w:r>
      <w:r w:rsidRPr="001567AD" w:rsidR="00326F4C">
        <w:rPr>
          <w:lang w:val="sq-AL"/>
        </w:rPr>
        <w:t>ë</w:t>
      </w:r>
      <w:r w:rsidRPr="001567AD" w:rsidR="00E87B60">
        <w:rPr>
          <w:lang w:val="sq-AL"/>
        </w:rPr>
        <w:t xml:space="preserve"> hapur shkak</w:t>
      </w:r>
      <w:r w:rsidRPr="001567AD" w:rsidR="00326F4C">
        <w:rPr>
          <w:lang w:val="sq-AL"/>
        </w:rPr>
        <w:t>ë</w:t>
      </w:r>
      <w:r w:rsidRPr="001567AD" w:rsidR="00E87B60">
        <w:rPr>
          <w:lang w:val="sq-AL"/>
        </w:rPr>
        <w:t>sore midis d</w:t>
      </w:r>
      <w:r w:rsidRPr="001567AD" w:rsidR="00326F4C">
        <w:rPr>
          <w:lang w:val="sq-AL"/>
        </w:rPr>
        <w:t>ë</w:t>
      </w:r>
      <w:r w:rsidRPr="001567AD" w:rsidR="00E87B60">
        <w:rPr>
          <w:lang w:val="sq-AL"/>
        </w:rPr>
        <w:t>mit t</w:t>
      </w:r>
      <w:r w:rsidRPr="001567AD" w:rsidR="00326F4C">
        <w:rPr>
          <w:lang w:val="sq-AL"/>
        </w:rPr>
        <w:t>ë</w:t>
      </w:r>
      <w:r w:rsidRPr="001567AD" w:rsidR="00E87B60">
        <w:rPr>
          <w:lang w:val="sq-AL"/>
        </w:rPr>
        <w:t xml:space="preserve"> pretenduar nga paditësi dhe shkeljes s</w:t>
      </w:r>
      <w:r w:rsidRPr="001567AD" w:rsidR="00326F4C">
        <w:rPr>
          <w:lang w:val="sq-AL"/>
        </w:rPr>
        <w:t>ë</w:t>
      </w:r>
      <w:r w:rsidRPr="001567AD" w:rsidR="00E87B60">
        <w:rPr>
          <w:lang w:val="sq-AL"/>
        </w:rPr>
        <w:t xml:space="preserve"> Konventës. Një përllogaritje e saktë e shumave t</w:t>
      </w:r>
      <w:r w:rsidRPr="001567AD" w:rsidR="00326F4C">
        <w:rPr>
          <w:lang w:val="sq-AL"/>
        </w:rPr>
        <w:t>ë</w:t>
      </w:r>
      <w:r w:rsidRPr="001567AD" w:rsidR="00E87B60">
        <w:rPr>
          <w:lang w:val="sq-AL"/>
        </w:rPr>
        <w:t xml:space="preserve"> nevojshme për zhdëmtimin e plotë </w:t>
      </w:r>
      <w:r w:rsidRPr="001567AD">
        <w:rPr>
          <w:lang w:val="sq-AL"/>
        </w:rPr>
        <w:t>(</w:t>
      </w:r>
      <w:r w:rsidRPr="001567AD">
        <w:rPr>
          <w:i/>
          <w:lang w:val="sq-AL"/>
        </w:rPr>
        <w:t>restitutio in integrum</w:t>
      </w:r>
      <w:r w:rsidRPr="001567AD">
        <w:rPr>
          <w:lang w:val="sq-AL"/>
        </w:rPr>
        <w:t xml:space="preserve">) </w:t>
      </w:r>
      <w:r w:rsidRPr="001567AD" w:rsidR="00E87B60">
        <w:rPr>
          <w:lang w:val="sq-AL"/>
        </w:rPr>
        <w:t>mund të bjer</w:t>
      </w:r>
      <w:r w:rsidRPr="001567AD" w:rsidR="00326F4C">
        <w:rPr>
          <w:lang w:val="sq-AL"/>
        </w:rPr>
        <w:t>ë</w:t>
      </w:r>
      <w:r w:rsidRPr="001567AD" w:rsidR="00E87B60">
        <w:rPr>
          <w:lang w:val="sq-AL"/>
        </w:rPr>
        <w:t xml:space="preserve"> ndesh me karakterin n</w:t>
      </w:r>
      <w:r w:rsidRPr="001567AD" w:rsidR="00326F4C">
        <w:rPr>
          <w:lang w:val="sq-AL"/>
        </w:rPr>
        <w:t>ë</w:t>
      </w:r>
      <w:r w:rsidRPr="001567AD" w:rsidR="00E87B60">
        <w:rPr>
          <w:lang w:val="sq-AL"/>
        </w:rPr>
        <w:t xml:space="preserve"> thelb t</w:t>
      </w:r>
      <w:r w:rsidRPr="001567AD" w:rsidR="00326F4C">
        <w:rPr>
          <w:lang w:val="sq-AL"/>
        </w:rPr>
        <w:t>ë</w:t>
      </w:r>
      <w:r w:rsidRPr="001567AD" w:rsidR="00E87B60">
        <w:rPr>
          <w:lang w:val="sq-AL"/>
        </w:rPr>
        <w:t xml:space="preserve"> pasigurt t</w:t>
      </w:r>
      <w:r w:rsidRPr="001567AD" w:rsidR="00326F4C">
        <w:rPr>
          <w:lang w:val="sq-AL"/>
        </w:rPr>
        <w:t>ë</w:t>
      </w:r>
      <w:r w:rsidRPr="001567AD" w:rsidR="00E87B60">
        <w:rPr>
          <w:lang w:val="sq-AL"/>
        </w:rPr>
        <w:t xml:space="preserve"> dëmit që rrjedh nga shkelja, por megjithatë nj</w:t>
      </w:r>
      <w:r w:rsidRPr="001567AD" w:rsidR="00326F4C">
        <w:rPr>
          <w:lang w:val="sq-AL"/>
        </w:rPr>
        <w:t>ë</w:t>
      </w:r>
      <w:r w:rsidRPr="001567AD" w:rsidR="00E87B60">
        <w:rPr>
          <w:lang w:val="sq-AL"/>
        </w:rPr>
        <w:t xml:space="preserve"> d</w:t>
      </w:r>
      <w:r w:rsidRPr="001567AD" w:rsidR="00326F4C">
        <w:rPr>
          <w:lang w:val="sq-AL"/>
        </w:rPr>
        <w:t>ë</w:t>
      </w:r>
      <w:r w:rsidRPr="001567AD" w:rsidR="00E87B60">
        <w:rPr>
          <w:lang w:val="sq-AL"/>
        </w:rPr>
        <w:t>mshp</w:t>
      </w:r>
      <w:r w:rsidRPr="001567AD" w:rsidR="00326F4C">
        <w:rPr>
          <w:lang w:val="sq-AL"/>
        </w:rPr>
        <w:t>ë</w:t>
      </w:r>
      <w:r w:rsidRPr="001567AD" w:rsidR="00E87B60">
        <w:rPr>
          <w:lang w:val="sq-AL"/>
        </w:rPr>
        <w:t>rblim mund t</w:t>
      </w:r>
      <w:r w:rsidRPr="001567AD" w:rsidR="00326F4C">
        <w:rPr>
          <w:lang w:val="sq-AL"/>
        </w:rPr>
        <w:t>ë</w:t>
      </w:r>
      <w:r w:rsidRPr="001567AD" w:rsidR="00E87B60">
        <w:rPr>
          <w:lang w:val="sq-AL"/>
        </w:rPr>
        <w:t xml:space="preserve"> jepet. Ajo q</w:t>
      </w:r>
      <w:r w:rsidRPr="001567AD" w:rsidR="00326F4C">
        <w:rPr>
          <w:lang w:val="sq-AL"/>
        </w:rPr>
        <w:t>ë</w:t>
      </w:r>
      <w:r w:rsidRPr="001567AD" w:rsidR="00E87B60">
        <w:rPr>
          <w:lang w:val="sq-AL"/>
        </w:rPr>
        <w:t xml:space="preserve"> duhet të përcaktohet n</w:t>
      </w:r>
      <w:r w:rsidRPr="001567AD" w:rsidR="00326F4C">
        <w:rPr>
          <w:lang w:val="sq-AL"/>
        </w:rPr>
        <w:t>ë</w:t>
      </w:r>
      <w:r w:rsidRPr="001567AD" w:rsidR="00E87B60">
        <w:rPr>
          <w:lang w:val="sq-AL"/>
        </w:rPr>
        <w:t xml:space="preserve"> nj</w:t>
      </w:r>
      <w:r w:rsidRPr="001567AD" w:rsidR="00326F4C">
        <w:rPr>
          <w:lang w:val="sq-AL"/>
        </w:rPr>
        <w:t>ë</w:t>
      </w:r>
      <w:r w:rsidRPr="001567AD" w:rsidR="00E87B60">
        <w:rPr>
          <w:lang w:val="sq-AL"/>
        </w:rPr>
        <w:t xml:space="preserve"> rast të till</w:t>
      </w:r>
      <w:r w:rsidRPr="001567AD" w:rsidR="00326F4C">
        <w:rPr>
          <w:lang w:val="sq-AL"/>
        </w:rPr>
        <w:t>ë</w:t>
      </w:r>
      <w:r w:rsidRPr="001567AD" w:rsidR="00E87B60">
        <w:rPr>
          <w:lang w:val="sq-AL"/>
        </w:rPr>
        <w:t xml:space="preserve"> ësht</w:t>
      </w:r>
      <w:r w:rsidRPr="001567AD" w:rsidR="00326F4C">
        <w:rPr>
          <w:lang w:val="sq-AL"/>
        </w:rPr>
        <w:t>ë</w:t>
      </w:r>
      <w:r w:rsidRPr="001567AD" w:rsidR="00E87B60">
        <w:rPr>
          <w:lang w:val="sq-AL"/>
        </w:rPr>
        <w:t xml:space="preserve"> niveli i shpërblimit të drejtë q</w:t>
      </w:r>
      <w:r w:rsidRPr="001567AD" w:rsidR="00326F4C">
        <w:rPr>
          <w:lang w:val="sq-AL"/>
        </w:rPr>
        <w:t>ë</w:t>
      </w:r>
      <w:r w:rsidRPr="001567AD" w:rsidR="00E87B60">
        <w:rPr>
          <w:lang w:val="sq-AL"/>
        </w:rPr>
        <w:t xml:space="preserve"> duhet t</w:t>
      </w:r>
      <w:r w:rsidR="00943091">
        <w:rPr>
          <w:lang w:val="sq-AL"/>
        </w:rPr>
        <w:t>’</w:t>
      </w:r>
      <w:r w:rsidRPr="001567AD" w:rsidR="00E87B60">
        <w:rPr>
          <w:lang w:val="sq-AL"/>
        </w:rPr>
        <w:t>i jepet secilit padit</w:t>
      </w:r>
      <w:r w:rsidRPr="001567AD" w:rsidR="00326F4C">
        <w:rPr>
          <w:lang w:val="sq-AL"/>
        </w:rPr>
        <w:t>ë</w:t>
      </w:r>
      <w:r w:rsidRPr="001567AD" w:rsidR="00E87B60">
        <w:rPr>
          <w:lang w:val="sq-AL"/>
        </w:rPr>
        <w:t>s për humbjet e veta materiale</w:t>
      </w:r>
      <w:r w:rsidRPr="001567AD" w:rsidR="00326F4C">
        <w:rPr>
          <w:lang w:val="sq-AL"/>
        </w:rPr>
        <w:t xml:space="preserve">, qoftë të kaluara, qoftë të ardhme, dhe Gjykata gëzon në këtë fushë një kompetencë për vlerësim të cilën ajo e përdor në varësi të asaj që ajo e çmon si të drejtë </w:t>
      </w:r>
      <w:r w:rsidRPr="001567AD">
        <w:rPr>
          <w:lang w:val="sq-AL"/>
        </w:rPr>
        <w:t>(</w:t>
      </w:r>
      <w:r w:rsidRPr="001567AD">
        <w:rPr>
          <w:i/>
          <w:lang w:val="sq-AL"/>
        </w:rPr>
        <w:t xml:space="preserve">E. </w:t>
      </w:r>
      <w:r w:rsidRPr="001567AD" w:rsidR="00E90FE3">
        <w:rPr>
          <w:i/>
          <w:lang w:val="sq-AL"/>
        </w:rPr>
        <w:t>me të tjerë k</w:t>
      </w:r>
      <w:r w:rsidRPr="001567AD">
        <w:rPr>
          <w:i/>
          <w:lang w:val="sq-AL"/>
        </w:rPr>
        <w:t xml:space="preserve">. </w:t>
      </w:r>
      <w:r w:rsidRPr="001567AD" w:rsidR="002759DF">
        <w:rPr>
          <w:i/>
          <w:lang w:val="sq-AL"/>
        </w:rPr>
        <w:t>Mbretërisë së Bashkuar</w:t>
      </w:r>
      <w:r w:rsidRPr="001567AD">
        <w:rPr>
          <w:lang w:val="sq-AL"/>
        </w:rPr>
        <w:t xml:space="preserve">, </w:t>
      </w:r>
      <w:r w:rsidRPr="001567AD" w:rsidR="00E90FE3">
        <w:rPr>
          <w:lang w:val="sq-AL"/>
        </w:rPr>
        <w:t>i cituar më lart</w:t>
      </w:r>
      <w:r w:rsidRPr="001567AD">
        <w:rPr>
          <w:lang w:val="sq-AL"/>
        </w:rPr>
        <w:t>, §§ 120-121).</w:t>
      </w:r>
    </w:p>
    <w:p w:rsidRPr="001567AD" w:rsidR="00EB737A" w:rsidP="00EB737A" w:rsidRDefault="00EB737A">
      <w:pPr>
        <w:pStyle w:val="ECHRPara"/>
        <w:rPr>
          <w:lang w:val="sq-AL"/>
        </w:rPr>
      </w:pPr>
      <w:r w:rsidRPr="001567AD">
        <w:rPr>
          <w:lang w:val="sq-AL"/>
        </w:rPr>
        <w:fldChar w:fldCharType="begin"/>
      </w:r>
      <w:r w:rsidRPr="001567AD">
        <w:rPr>
          <w:lang w:val="sq-AL"/>
        </w:rPr>
        <w:instrText xml:space="preserve"> SEQ level0 \*arabic </w:instrText>
      </w:r>
      <w:r w:rsidRPr="001567AD">
        <w:rPr>
          <w:lang w:val="sq-AL"/>
        </w:rPr>
        <w:fldChar w:fldCharType="separate"/>
      </w:r>
      <w:r w:rsidR="00013F9B">
        <w:rPr>
          <w:noProof/>
          <w:lang w:val="sq-AL"/>
        </w:rPr>
        <w:t>202</w:t>
      </w:r>
      <w:r w:rsidRPr="001567AD">
        <w:rPr>
          <w:lang w:val="sq-AL"/>
        </w:rPr>
        <w:fldChar w:fldCharType="end"/>
      </w:r>
      <w:r w:rsidRPr="001567AD">
        <w:rPr>
          <w:lang w:val="sq-AL"/>
        </w:rPr>
        <w:t>.  </w:t>
      </w:r>
      <w:r w:rsidRPr="001567AD" w:rsidR="006C1622">
        <w:rPr>
          <w:lang w:val="sq-AL"/>
        </w:rPr>
        <w:t>Gjykata i ka mbajtur sh</w:t>
      </w:r>
      <w:r w:rsidR="001567AD">
        <w:rPr>
          <w:lang w:val="sq-AL"/>
        </w:rPr>
        <w:t>ë</w:t>
      </w:r>
      <w:r w:rsidRPr="001567AD" w:rsidR="006C1622">
        <w:rPr>
          <w:lang w:val="sq-AL"/>
        </w:rPr>
        <w:t>nim elementet e prov</w:t>
      </w:r>
      <w:r w:rsidR="001567AD">
        <w:rPr>
          <w:lang w:val="sq-AL"/>
        </w:rPr>
        <w:t>ë</w:t>
      </w:r>
      <w:r w:rsidRPr="001567AD" w:rsidR="006C1622">
        <w:rPr>
          <w:lang w:val="sq-AL"/>
        </w:rPr>
        <w:t>s q</w:t>
      </w:r>
      <w:r w:rsidR="001567AD">
        <w:rPr>
          <w:lang w:val="sq-AL"/>
        </w:rPr>
        <w:t>ë</w:t>
      </w:r>
      <w:r w:rsidRPr="001567AD" w:rsidR="006C1622">
        <w:rPr>
          <w:lang w:val="sq-AL"/>
        </w:rPr>
        <w:t xml:space="preserve"> ka pranuar </w:t>
      </w:r>
      <w:r w:rsidRPr="001567AD">
        <w:rPr>
          <w:i/>
          <w:lang w:val="sq-AL"/>
        </w:rPr>
        <w:t>High Court</w:t>
      </w:r>
      <w:r w:rsidRPr="001567AD">
        <w:rPr>
          <w:lang w:val="sq-AL"/>
        </w:rPr>
        <w:t xml:space="preserve"> </w:t>
      </w:r>
      <w:r w:rsidRPr="001567AD" w:rsidR="006C1622">
        <w:rPr>
          <w:lang w:val="sq-AL"/>
        </w:rPr>
        <w:t>për sa u përket humbjeve t</w:t>
      </w:r>
      <w:r w:rsidR="001567AD">
        <w:rPr>
          <w:lang w:val="sq-AL"/>
        </w:rPr>
        <w:t>ë</w:t>
      </w:r>
      <w:r w:rsidRPr="001567AD" w:rsidR="006C1622">
        <w:rPr>
          <w:lang w:val="sq-AL"/>
        </w:rPr>
        <w:t xml:space="preserve"> shkuara e t</w:t>
      </w:r>
      <w:r w:rsidR="001567AD">
        <w:rPr>
          <w:lang w:val="sq-AL"/>
        </w:rPr>
        <w:t>ë</w:t>
      </w:r>
      <w:r w:rsidRPr="001567AD" w:rsidR="006C1622">
        <w:rPr>
          <w:lang w:val="sq-AL"/>
        </w:rPr>
        <w:t xml:space="preserve"> ardhme materiale të paditëses </w:t>
      </w:r>
      <w:r w:rsidRPr="001567AD">
        <w:rPr>
          <w:lang w:val="sq-AL"/>
        </w:rPr>
        <w:t>(</w:t>
      </w:r>
      <w:r w:rsidRPr="001567AD" w:rsidR="006C1622">
        <w:rPr>
          <w:lang w:val="sq-AL"/>
        </w:rPr>
        <w:t>ku k</w:t>
      </w:r>
      <w:r w:rsidR="001567AD">
        <w:rPr>
          <w:lang w:val="sq-AL"/>
        </w:rPr>
        <w:t>ë</w:t>
      </w:r>
      <w:r w:rsidRPr="001567AD" w:rsidR="006C1622">
        <w:rPr>
          <w:lang w:val="sq-AL"/>
        </w:rPr>
        <w:t>to p</w:t>
      </w:r>
      <w:r w:rsidR="001567AD">
        <w:rPr>
          <w:lang w:val="sq-AL"/>
        </w:rPr>
        <w:t>ë</w:t>
      </w:r>
      <w:r w:rsidRPr="001567AD" w:rsidR="006C1622">
        <w:rPr>
          <w:lang w:val="sq-AL"/>
        </w:rPr>
        <w:t>rb</w:t>
      </w:r>
      <w:r w:rsidR="001567AD">
        <w:rPr>
          <w:lang w:val="sq-AL"/>
        </w:rPr>
        <w:t>ë</w:t>
      </w:r>
      <w:r w:rsidRPr="001567AD" w:rsidR="006C1622">
        <w:rPr>
          <w:lang w:val="sq-AL"/>
        </w:rPr>
        <w:t>heshin n</w:t>
      </w:r>
      <w:r w:rsidR="001567AD">
        <w:rPr>
          <w:lang w:val="sq-AL"/>
        </w:rPr>
        <w:t>ë</w:t>
      </w:r>
      <w:r w:rsidRPr="001567AD" w:rsidR="006C1622">
        <w:rPr>
          <w:lang w:val="sq-AL"/>
        </w:rPr>
        <w:t xml:space="preserve"> thelb nga shpenzimet e shkuara e t</w:t>
      </w:r>
      <w:r w:rsidR="001567AD">
        <w:rPr>
          <w:lang w:val="sq-AL"/>
        </w:rPr>
        <w:t>ë</w:t>
      </w:r>
      <w:r w:rsidRPr="001567AD" w:rsidR="006C1622">
        <w:rPr>
          <w:lang w:val="sq-AL"/>
        </w:rPr>
        <w:t xml:space="preserve"> ardhme lidhur me trajtimet mjek</w:t>
      </w:r>
      <w:r w:rsidR="001567AD">
        <w:rPr>
          <w:lang w:val="sq-AL"/>
        </w:rPr>
        <w:t>ë</w:t>
      </w:r>
      <w:r w:rsidRPr="001567AD" w:rsidR="006C1622">
        <w:rPr>
          <w:lang w:val="sq-AL"/>
        </w:rPr>
        <w:t>sore ose psikiatrike</w:t>
      </w:r>
      <w:r w:rsidRPr="001567AD">
        <w:rPr>
          <w:lang w:val="sq-AL"/>
        </w:rPr>
        <w:t xml:space="preserve">) </w:t>
      </w:r>
      <w:r w:rsidRPr="001567AD" w:rsidR="006C1622">
        <w:rPr>
          <w:lang w:val="sq-AL"/>
        </w:rPr>
        <w:t>si edhe shum</w:t>
      </w:r>
      <w:r w:rsidR="001567AD">
        <w:rPr>
          <w:lang w:val="sq-AL"/>
        </w:rPr>
        <w:t>ë</w:t>
      </w:r>
      <w:r w:rsidRPr="001567AD" w:rsidR="006C1622">
        <w:rPr>
          <w:lang w:val="sq-AL"/>
        </w:rPr>
        <w:t xml:space="preserve">n prej </w:t>
      </w:r>
      <w:r w:rsidRPr="001567AD">
        <w:rPr>
          <w:lang w:val="sq-AL"/>
        </w:rPr>
        <w:t xml:space="preserve">5 104 EUR </w:t>
      </w:r>
      <w:r w:rsidRPr="001567AD" w:rsidR="006C1622">
        <w:rPr>
          <w:lang w:val="sq-AL"/>
        </w:rPr>
        <w:t>q</w:t>
      </w:r>
      <w:r w:rsidR="001567AD">
        <w:rPr>
          <w:lang w:val="sq-AL"/>
        </w:rPr>
        <w:t>ë</w:t>
      </w:r>
      <w:r w:rsidRPr="001567AD" w:rsidR="006C1622">
        <w:rPr>
          <w:lang w:val="sq-AL"/>
        </w:rPr>
        <w:t xml:space="preserve"> i ësht</w:t>
      </w:r>
      <w:r w:rsidR="001567AD">
        <w:rPr>
          <w:lang w:val="sq-AL"/>
        </w:rPr>
        <w:t>ë</w:t>
      </w:r>
      <w:r w:rsidRPr="001567AD" w:rsidR="006C1622">
        <w:rPr>
          <w:lang w:val="sq-AL"/>
        </w:rPr>
        <w:t xml:space="preserve"> caktuar asaj p</w:t>
      </w:r>
      <w:r w:rsidR="001567AD">
        <w:rPr>
          <w:lang w:val="sq-AL"/>
        </w:rPr>
        <w:t>ë</w:t>
      </w:r>
      <w:r w:rsidRPr="001567AD" w:rsidR="006C1622">
        <w:rPr>
          <w:lang w:val="sq-AL"/>
        </w:rPr>
        <w:t>r k</w:t>
      </w:r>
      <w:r w:rsidR="001567AD">
        <w:rPr>
          <w:lang w:val="sq-AL"/>
        </w:rPr>
        <w:t>ë</w:t>
      </w:r>
      <w:r w:rsidRPr="001567AD" w:rsidR="006C1622">
        <w:rPr>
          <w:lang w:val="sq-AL"/>
        </w:rPr>
        <w:t>të q</w:t>
      </w:r>
      <w:r w:rsidR="001567AD">
        <w:rPr>
          <w:lang w:val="sq-AL"/>
        </w:rPr>
        <w:t>ë</w:t>
      </w:r>
      <w:r w:rsidRPr="001567AD" w:rsidR="006C1622">
        <w:rPr>
          <w:lang w:val="sq-AL"/>
        </w:rPr>
        <w:t>llim</w:t>
      </w:r>
      <w:r w:rsidRPr="001567AD">
        <w:rPr>
          <w:lang w:val="sq-AL"/>
        </w:rPr>
        <w:t xml:space="preserve">. </w:t>
      </w:r>
      <w:r w:rsidRPr="001567AD" w:rsidR="006C1622">
        <w:rPr>
          <w:lang w:val="sq-AL"/>
        </w:rPr>
        <w:t>Përveç k</w:t>
      </w:r>
      <w:r w:rsidR="001567AD">
        <w:rPr>
          <w:lang w:val="sq-AL"/>
        </w:rPr>
        <w:t>ë</w:t>
      </w:r>
      <w:r w:rsidRPr="001567AD" w:rsidR="006C1622">
        <w:rPr>
          <w:lang w:val="sq-AL"/>
        </w:rPr>
        <w:t>saj, duke pasur para</w:t>
      </w:r>
      <w:r w:rsidR="005517A9">
        <w:rPr>
          <w:lang w:val="sq-AL"/>
        </w:rPr>
        <w:t>s</w:t>
      </w:r>
      <w:r w:rsidRPr="001567AD" w:rsidR="006C1622">
        <w:rPr>
          <w:lang w:val="sq-AL"/>
        </w:rPr>
        <w:t>ysh natyr</w:t>
      </w:r>
      <w:r w:rsidR="001567AD">
        <w:rPr>
          <w:lang w:val="sq-AL"/>
        </w:rPr>
        <w:t>ë</w:t>
      </w:r>
      <w:r w:rsidRPr="001567AD" w:rsidR="006C1622">
        <w:rPr>
          <w:lang w:val="sq-AL"/>
        </w:rPr>
        <w:t>n dhe seriozitetin e keqtrajtimeve viktim</w:t>
      </w:r>
      <w:r w:rsidR="001567AD">
        <w:rPr>
          <w:lang w:val="sq-AL"/>
        </w:rPr>
        <w:t>ë</w:t>
      </w:r>
      <w:r w:rsidRPr="001567AD" w:rsidR="006C1622">
        <w:rPr>
          <w:lang w:val="sq-AL"/>
        </w:rPr>
        <w:t xml:space="preserve"> e të cilave ka qen</w:t>
      </w:r>
      <w:r w:rsidR="001567AD">
        <w:rPr>
          <w:lang w:val="sq-AL"/>
        </w:rPr>
        <w:t>ë</w:t>
      </w:r>
      <w:r w:rsidRPr="001567AD" w:rsidR="006C1622">
        <w:rPr>
          <w:lang w:val="sq-AL"/>
        </w:rPr>
        <w:t xml:space="preserve"> ajo, Gjykata çmon se e interesuara ka pësuar nj</w:t>
      </w:r>
      <w:r w:rsidR="001567AD">
        <w:rPr>
          <w:lang w:val="sq-AL"/>
        </w:rPr>
        <w:t>ë</w:t>
      </w:r>
      <w:r w:rsidRPr="001567AD" w:rsidR="006C1622">
        <w:rPr>
          <w:lang w:val="sq-AL"/>
        </w:rPr>
        <w:t xml:space="preserve"> dëm moral i cili nuk mund t</w:t>
      </w:r>
      <w:r w:rsidR="001567AD">
        <w:rPr>
          <w:lang w:val="sq-AL"/>
        </w:rPr>
        <w:t>ë</w:t>
      </w:r>
      <w:r w:rsidRPr="001567AD" w:rsidR="006C1622">
        <w:rPr>
          <w:lang w:val="sq-AL"/>
        </w:rPr>
        <w:t xml:space="preserve"> kompensohet n</w:t>
      </w:r>
      <w:r w:rsidR="001567AD">
        <w:rPr>
          <w:lang w:val="sq-AL"/>
        </w:rPr>
        <w:t>ë</w:t>
      </w:r>
      <w:r w:rsidRPr="001567AD" w:rsidR="006C1622">
        <w:rPr>
          <w:lang w:val="sq-AL"/>
        </w:rPr>
        <w:t xml:space="preserve"> m</w:t>
      </w:r>
      <w:r w:rsidR="001567AD">
        <w:rPr>
          <w:lang w:val="sq-AL"/>
        </w:rPr>
        <w:t>ë</w:t>
      </w:r>
      <w:r w:rsidRPr="001567AD" w:rsidR="006C1622">
        <w:rPr>
          <w:lang w:val="sq-AL"/>
        </w:rPr>
        <w:t>nyr</w:t>
      </w:r>
      <w:r w:rsidR="001567AD">
        <w:rPr>
          <w:lang w:val="sq-AL"/>
        </w:rPr>
        <w:t>ë</w:t>
      </w:r>
      <w:r w:rsidRPr="001567AD" w:rsidR="006C1622">
        <w:rPr>
          <w:lang w:val="sq-AL"/>
        </w:rPr>
        <w:t xml:space="preserve"> të mjaftueshme me konstatimin e nj</w:t>
      </w:r>
      <w:r w:rsidR="001567AD">
        <w:rPr>
          <w:lang w:val="sq-AL"/>
        </w:rPr>
        <w:t>ë</w:t>
      </w:r>
      <w:r w:rsidRPr="001567AD" w:rsidR="006C1622">
        <w:rPr>
          <w:lang w:val="sq-AL"/>
        </w:rPr>
        <w:t xml:space="preserve"> shkeljeje të Konventës.</w:t>
      </w:r>
      <w:r w:rsidRPr="001567AD" w:rsidR="002E41E5">
        <w:rPr>
          <w:lang w:val="sq-AL"/>
        </w:rPr>
        <w:t xml:space="preserve"> Duke e pranuar se ësht</w:t>
      </w:r>
      <w:r w:rsidR="001567AD">
        <w:rPr>
          <w:lang w:val="sq-AL"/>
        </w:rPr>
        <w:t>ë</w:t>
      </w:r>
      <w:r w:rsidRPr="001567AD" w:rsidR="002E41E5">
        <w:rPr>
          <w:lang w:val="sq-AL"/>
        </w:rPr>
        <w:t xml:space="preserve"> me vend q</w:t>
      </w:r>
      <w:r w:rsidR="001567AD">
        <w:rPr>
          <w:lang w:val="sq-AL"/>
        </w:rPr>
        <w:t>ë</w:t>
      </w:r>
      <w:r w:rsidRPr="001567AD" w:rsidR="002E41E5">
        <w:rPr>
          <w:lang w:val="sq-AL"/>
        </w:rPr>
        <w:t xml:space="preserve"> t</w:t>
      </w:r>
      <w:r w:rsidR="001567AD">
        <w:rPr>
          <w:lang w:val="sq-AL"/>
        </w:rPr>
        <w:t>ë</w:t>
      </w:r>
      <w:r w:rsidRPr="001567AD" w:rsidR="002E41E5">
        <w:rPr>
          <w:lang w:val="sq-AL"/>
        </w:rPr>
        <w:t xml:space="preserve"> b</w:t>
      </w:r>
      <w:r w:rsidR="001567AD">
        <w:rPr>
          <w:lang w:val="sq-AL"/>
        </w:rPr>
        <w:t>ë</w:t>
      </w:r>
      <w:r w:rsidRPr="001567AD" w:rsidR="002E41E5">
        <w:rPr>
          <w:lang w:val="sq-AL"/>
        </w:rPr>
        <w:t>het dallimi midis zhd</w:t>
      </w:r>
      <w:r w:rsidR="001567AD">
        <w:rPr>
          <w:lang w:val="sq-AL"/>
        </w:rPr>
        <w:t>ë</w:t>
      </w:r>
      <w:r w:rsidRPr="001567AD" w:rsidR="002E41E5">
        <w:rPr>
          <w:lang w:val="sq-AL"/>
        </w:rPr>
        <w:t>mtimit q</w:t>
      </w:r>
      <w:r w:rsidR="001567AD">
        <w:rPr>
          <w:lang w:val="sq-AL"/>
        </w:rPr>
        <w:t>ë</w:t>
      </w:r>
      <w:r w:rsidRPr="001567AD" w:rsidR="002E41E5">
        <w:rPr>
          <w:lang w:val="sq-AL"/>
        </w:rPr>
        <w:t xml:space="preserve"> duhet të jepet n</w:t>
      </w:r>
      <w:r w:rsidR="001567AD">
        <w:rPr>
          <w:lang w:val="sq-AL"/>
        </w:rPr>
        <w:t>ë</w:t>
      </w:r>
      <w:r w:rsidRPr="001567AD" w:rsidR="002E41E5">
        <w:rPr>
          <w:lang w:val="sq-AL"/>
        </w:rPr>
        <w:t xml:space="preserve"> kuad</w:t>
      </w:r>
      <w:r w:rsidR="001567AD">
        <w:rPr>
          <w:lang w:val="sq-AL"/>
        </w:rPr>
        <w:t>ë</w:t>
      </w:r>
      <w:r w:rsidRPr="001567AD" w:rsidR="002E41E5">
        <w:rPr>
          <w:lang w:val="sq-AL"/>
        </w:rPr>
        <w:t>r t</w:t>
      </w:r>
      <w:r w:rsidR="001567AD">
        <w:rPr>
          <w:lang w:val="sq-AL"/>
        </w:rPr>
        <w:t>ë</w:t>
      </w:r>
      <w:r w:rsidRPr="001567AD" w:rsidR="002E41E5">
        <w:rPr>
          <w:lang w:val="sq-AL"/>
        </w:rPr>
        <w:t xml:space="preserve"> k</w:t>
      </w:r>
      <w:r w:rsidR="001567AD">
        <w:rPr>
          <w:lang w:val="sq-AL"/>
        </w:rPr>
        <w:t>ë</w:t>
      </w:r>
      <w:r w:rsidRPr="001567AD" w:rsidR="002E41E5">
        <w:rPr>
          <w:lang w:val="sq-AL"/>
        </w:rPr>
        <w:t>saj padie, e cila ka si bosht përgjegj</w:t>
      </w:r>
      <w:r w:rsidR="001567AD">
        <w:rPr>
          <w:lang w:val="sq-AL"/>
        </w:rPr>
        <w:t>ë</w:t>
      </w:r>
      <w:r w:rsidRPr="001567AD" w:rsidR="002E41E5">
        <w:rPr>
          <w:lang w:val="sq-AL"/>
        </w:rPr>
        <w:t>sin</w:t>
      </w:r>
      <w:r w:rsidR="001567AD">
        <w:rPr>
          <w:lang w:val="sq-AL"/>
        </w:rPr>
        <w:t>ë</w:t>
      </w:r>
      <w:r w:rsidRPr="001567AD" w:rsidR="002E41E5">
        <w:rPr>
          <w:lang w:val="sq-AL"/>
        </w:rPr>
        <w:t xml:space="preserve"> e shtetit, dhe shumave t</w:t>
      </w:r>
      <w:r w:rsidR="001567AD">
        <w:rPr>
          <w:lang w:val="sq-AL"/>
        </w:rPr>
        <w:t>ë</w:t>
      </w:r>
      <w:r w:rsidRPr="001567AD" w:rsidR="002E41E5">
        <w:rPr>
          <w:lang w:val="sq-AL"/>
        </w:rPr>
        <w:t xml:space="preserve"> caktuara n</w:t>
      </w:r>
      <w:r w:rsidR="001567AD">
        <w:rPr>
          <w:lang w:val="sq-AL"/>
        </w:rPr>
        <w:t>ë</w:t>
      </w:r>
      <w:r w:rsidRPr="001567AD" w:rsidR="002E41E5">
        <w:rPr>
          <w:lang w:val="sq-AL"/>
        </w:rPr>
        <w:t xml:space="preserve"> përfundim të procedurës së brendshme, t</w:t>
      </w:r>
      <w:r w:rsidR="001567AD">
        <w:rPr>
          <w:lang w:val="sq-AL"/>
        </w:rPr>
        <w:t>ë</w:t>
      </w:r>
      <w:r w:rsidRPr="001567AD" w:rsidR="002E41E5">
        <w:rPr>
          <w:lang w:val="sq-AL"/>
        </w:rPr>
        <w:t xml:space="preserve"> cilat nuk kishin t</w:t>
      </w:r>
      <w:r w:rsidR="001567AD">
        <w:rPr>
          <w:lang w:val="sq-AL"/>
        </w:rPr>
        <w:t>ë</w:t>
      </w:r>
      <w:r w:rsidRPr="001567AD" w:rsidR="002E41E5">
        <w:rPr>
          <w:lang w:val="sq-AL"/>
        </w:rPr>
        <w:t xml:space="preserve"> b</w:t>
      </w:r>
      <w:r w:rsidR="001567AD">
        <w:rPr>
          <w:lang w:val="sq-AL"/>
        </w:rPr>
        <w:t>ë</w:t>
      </w:r>
      <w:r w:rsidRPr="001567AD" w:rsidR="002E41E5">
        <w:rPr>
          <w:lang w:val="sq-AL"/>
        </w:rPr>
        <w:t>nin me k</w:t>
      </w:r>
      <w:r w:rsidR="001567AD">
        <w:rPr>
          <w:lang w:val="sq-AL"/>
        </w:rPr>
        <w:t>ë</w:t>
      </w:r>
      <w:r w:rsidRPr="001567AD" w:rsidR="002E41E5">
        <w:rPr>
          <w:lang w:val="sq-AL"/>
        </w:rPr>
        <w:t>të pikë, Gjykata çmon se çdo shum</w:t>
      </w:r>
      <w:r w:rsidR="001567AD">
        <w:rPr>
          <w:lang w:val="sq-AL"/>
        </w:rPr>
        <w:t>ë</w:t>
      </w:r>
      <w:r w:rsidRPr="001567AD" w:rsidR="002E41E5">
        <w:rPr>
          <w:lang w:val="sq-AL"/>
        </w:rPr>
        <w:t xml:space="preserve"> e dh</w:t>
      </w:r>
      <w:r w:rsidR="001567AD">
        <w:rPr>
          <w:lang w:val="sq-AL"/>
        </w:rPr>
        <w:t>ë</w:t>
      </w:r>
      <w:r w:rsidRPr="001567AD" w:rsidR="002E41E5">
        <w:rPr>
          <w:lang w:val="sq-AL"/>
        </w:rPr>
        <w:t>n</w:t>
      </w:r>
      <w:r w:rsidR="001567AD">
        <w:rPr>
          <w:lang w:val="sq-AL"/>
        </w:rPr>
        <w:t>ë</w:t>
      </w:r>
      <w:r w:rsidRPr="001567AD" w:rsidR="002E41E5">
        <w:rPr>
          <w:lang w:val="sq-AL"/>
        </w:rPr>
        <w:t xml:space="preserve"> në baz</w:t>
      </w:r>
      <w:r w:rsidR="001567AD">
        <w:rPr>
          <w:lang w:val="sq-AL"/>
        </w:rPr>
        <w:t>ë</w:t>
      </w:r>
      <w:r w:rsidRPr="001567AD" w:rsidR="002E41E5">
        <w:rPr>
          <w:lang w:val="sq-AL"/>
        </w:rPr>
        <w:t xml:space="preserve"> të nenit 41 duhet ta marrë n</w:t>
      </w:r>
      <w:r w:rsidR="001567AD">
        <w:rPr>
          <w:lang w:val="sq-AL"/>
        </w:rPr>
        <w:t>ë</w:t>
      </w:r>
      <w:r w:rsidRPr="001567AD" w:rsidR="002E41E5">
        <w:rPr>
          <w:lang w:val="sq-AL"/>
        </w:rPr>
        <w:t xml:space="preserve"> konsideratë zhd</w:t>
      </w:r>
      <w:r w:rsidR="001567AD">
        <w:rPr>
          <w:lang w:val="sq-AL"/>
        </w:rPr>
        <w:t>ë</w:t>
      </w:r>
      <w:r w:rsidRPr="001567AD" w:rsidR="002E41E5">
        <w:rPr>
          <w:lang w:val="sq-AL"/>
        </w:rPr>
        <w:t xml:space="preserve">mtimin e caktuar nga </w:t>
      </w:r>
      <w:r w:rsidRPr="001567AD">
        <w:rPr>
          <w:i/>
          <w:lang w:val="sq-AL"/>
        </w:rPr>
        <w:t>High Court</w:t>
      </w:r>
      <w:r w:rsidRPr="001567AD">
        <w:rPr>
          <w:lang w:val="sq-AL"/>
        </w:rPr>
        <w:t xml:space="preserve"> (</w:t>
      </w:r>
      <w:r w:rsidRPr="001567AD" w:rsidR="002E41E5">
        <w:rPr>
          <w:lang w:val="sq-AL"/>
        </w:rPr>
        <w:t xml:space="preserve">gjithsej </w:t>
      </w:r>
      <w:r w:rsidRPr="001567AD">
        <w:rPr>
          <w:lang w:val="sq-AL"/>
        </w:rPr>
        <w:t xml:space="preserve">305 104 EUR), </w:t>
      </w:r>
      <w:r w:rsidRPr="001567AD" w:rsidR="002E41E5">
        <w:rPr>
          <w:lang w:val="sq-AL"/>
        </w:rPr>
        <w:t>si edhe shum</w:t>
      </w:r>
      <w:r w:rsidR="001567AD">
        <w:rPr>
          <w:lang w:val="sq-AL"/>
        </w:rPr>
        <w:t>ë</w:t>
      </w:r>
      <w:r w:rsidRPr="001567AD" w:rsidR="002E41E5">
        <w:rPr>
          <w:lang w:val="sq-AL"/>
        </w:rPr>
        <w:t>n e paguar tashm</w:t>
      </w:r>
      <w:r w:rsidR="001567AD">
        <w:rPr>
          <w:lang w:val="sq-AL"/>
        </w:rPr>
        <w:t>ë</w:t>
      </w:r>
      <w:r w:rsidRPr="001567AD" w:rsidR="002E41E5">
        <w:rPr>
          <w:lang w:val="sq-AL"/>
        </w:rPr>
        <w:t xml:space="preserve"> ose q</w:t>
      </w:r>
      <w:r w:rsidR="001567AD">
        <w:rPr>
          <w:lang w:val="sq-AL"/>
        </w:rPr>
        <w:t>ë</w:t>
      </w:r>
      <w:r w:rsidRPr="001567AD" w:rsidR="002E41E5">
        <w:rPr>
          <w:lang w:val="sq-AL"/>
        </w:rPr>
        <w:t xml:space="preserve"> </w:t>
      </w:r>
      <w:r w:rsidR="001567AD">
        <w:rPr>
          <w:lang w:val="sq-AL"/>
        </w:rPr>
        <w:t>ë</w:t>
      </w:r>
      <w:r w:rsidRPr="001567AD" w:rsidR="002E41E5">
        <w:rPr>
          <w:lang w:val="sq-AL"/>
        </w:rPr>
        <w:t>shtë p</w:t>
      </w:r>
      <w:r w:rsidR="001567AD">
        <w:rPr>
          <w:lang w:val="sq-AL"/>
        </w:rPr>
        <w:t>ë</w:t>
      </w:r>
      <w:r w:rsidRPr="001567AD" w:rsidR="002E41E5">
        <w:rPr>
          <w:lang w:val="sq-AL"/>
        </w:rPr>
        <w:t>r t</w:t>
      </w:r>
      <w:r w:rsidR="00943091">
        <w:rPr>
          <w:lang w:val="sq-AL"/>
        </w:rPr>
        <w:t>’</w:t>
      </w:r>
      <w:r w:rsidRPr="001567AD" w:rsidR="002E41E5">
        <w:rPr>
          <w:lang w:val="sq-AL"/>
        </w:rPr>
        <w:t>u paguar ende nga L.H. mbi k</w:t>
      </w:r>
      <w:r w:rsidR="001567AD">
        <w:rPr>
          <w:lang w:val="sq-AL"/>
        </w:rPr>
        <w:t>ë</w:t>
      </w:r>
      <w:r w:rsidRPr="001567AD" w:rsidR="002E41E5">
        <w:rPr>
          <w:lang w:val="sq-AL"/>
        </w:rPr>
        <w:t>të shum</w:t>
      </w:r>
      <w:r w:rsidR="001567AD">
        <w:rPr>
          <w:lang w:val="sq-AL"/>
        </w:rPr>
        <w:t>ë</w:t>
      </w:r>
      <w:r w:rsidRPr="001567AD" w:rsidR="002E41E5">
        <w:rPr>
          <w:lang w:val="sq-AL"/>
        </w:rPr>
        <w:t>.</w:t>
      </w:r>
      <w:r w:rsidRPr="001567AD">
        <w:rPr>
          <w:lang w:val="sq-AL"/>
        </w:rPr>
        <w:t xml:space="preserve"> </w:t>
      </w:r>
      <w:r w:rsidRPr="001567AD" w:rsidR="002E41E5">
        <w:rPr>
          <w:lang w:val="sq-AL"/>
        </w:rPr>
        <w:t>Është gjithashtu e udh</w:t>
      </w:r>
      <w:r w:rsidR="001567AD">
        <w:rPr>
          <w:lang w:val="sq-AL"/>
        </w:rPr>
        <w:t>ë</w:t>
      </w:r>
      <w:r w:rsidRPr="001567AD" w:rsidR="002E41E5">
        <w:rPr>
          <w:lang w:val="sq-AL"/>
        </w:rPr>
        <w:t>s t</w:t>
      </w:r>
      <w:r w:rsidR="001567AD">
        <w:rPr>
          <w:lang w:val="sq-AL"/>
        </w:rPr>
        <w:t>ë</w:t>
      </w:r>
      <w:r w:rsidRPr="001567AD" w:rsidR="002E41E5">
        <w:rPr>
          <w:lang w:val="sq-AL"/>
        </w:rPr>
        <w:t xml:space="preserve"> merret parasysh zhd</w:t>
      </w:r>
      <w:r w:rsidR="001567AD">
        <w:rPr>
          <w:lang w:val="sq-AL"/>
        </w:rPr>
        <w:t>ë</w:t>
      </w:r>
      <w:r w:rsidRPr="001567AD" w:rsidR="002E41E5">
        <w:rPr>
          <w:lang w:val="sq-AL"/>
        </w:rPr>
        <w:t>mtimi q</w:t>
      </w:r>
      <w:r w:rsidR="001567AD">
        <w:rPr>
          <w:lang w:val="sq-AL"/>
        </w:rPr>
        <w:t>ë</w:t>
      </w:r>
      <w:r w:rsidRPr="001567AD" w:rsidR="002E41E5">
        <w:rPr>
          <w:lang w:val="sq-AL"/>
        </w:rPr>
        <w:t xml:space="preserve"> i është caktuar paditëses nga </w:t>
      </w:r>
      <w:r w:rsidRPr="001567AD">
        <w:rPr>
          <w:lang w:val="sq-AL"/>
        </w:rPr>
        <w:t>CICT</w:t>
      </w:r>
      <w:r w:rsidRPr="001567AD" w:rsidR="002E41E5">
        <w:rPr>
          <w:lang w:val="sq-AL"/>
        </w:rPr>
        <w:t>-ja</w:t>
      </w:r>
      <w:r w:rsidRPr="001567AD">
        <w:rPr>
          <w:lang w:val="sq-AL"/>
        </w:rPr>
        <w:t xml:space="preserve"> (53 962,24 EUR), </w:t>
      </w:r>
      <w:r w:rsidRPr="001567AD" w:rsidR="002E41E5">
        <w:rPr>
          <w:lang w:val="sq-AL"/>
        </w:rPr>
        <w:t>n</w:t>
      </w:r>
      <w:r w:rsidR="001567AD">
        <w:rPr>
          <w:lang w:val="sq-AL"/>
        </w:rPr>
        <w:t>ë</w:t>
      </w:r>
      <w:r w:rsidRPr="001567AD" w:rsidR="002E41E5">
        <w:rPr>
          <w:lang w:val="sq-AL"/>
        </w:rPr>
        <w:t xml:space="preserve"> qoft</w:t>
      </w:r>
      <w:r w:rsidR="001567AD">
        <w:rPr>
          <w:lang w:val="sq-AL"/>
        </w:rPr>
        <w:t>ë</w:t>
      </w:r>
      <w:r w:rsidRPr="001567AD" w:rsidR="002E41E5">
        <w:rPr>
          <w:lang w:val="sq-AL"/>
        </w:rPr>
        <w:t xml:space="preserve"> se shteti nuk e k</w:t>
      </w:r>
      <w:r w:rsidR="001567AD">
        <w:rPr>
          <w:lang w:val="sq-AL"/>
        </w:rPr>
        <w:t>ë</w:t>
      </w:r>
      <w:r w:rsidRPr="001567AD" w:rsidR="002E41E5">
        <w:rPr>
          <w:lang w:val="sq-AL"/>
        </w:rPr>
        <w:t>rkon rimbursimin e tij</w:t>
      </w:r>
      <w:r w:rsidRPr="001567AD">
        <w:rPr>
          <w:lang w:val="sq-AL"/>
        </w:rPr>
        <w:t xml:space="preserve">. </w:t>
      </w:r>
      <w:r w:rsidRPr="001567AD" w:rsidR="002E41E5">
        <w:rPr>
          <w:lang w:val="sq-AL"/>
        </w:rPr>
        <w:t>Të dyja k</w:t>
      </w:r>
      <w:r w:rsidR="001567AD">
        <w:rPr>
          <w:lang w:val="sq-AL"/>
        </w:rPr>
        <w:t>ë</w:t>
      </w:r>
      <w:r w:rsidRPr="001567AD" w:rsidR="002E41E5">
        <w:rPr>
          <w:lang w:val="sq-AL"/>
        </w:rPr>
        <w:t>to shuma përmbajnë elemente që i përgjigjen d</w:t>
      </w:r>
      <w:r w:rsidR="001567AD">
        <w:rPr>
          <w:lang w:val="sq-AL"/>
        </w:rPr>
        <w:t>ë</w:t>
      </w:r>
      <w:r w:rsidRPr="001567AD" w:rsidR="002E41E5">
        <w:rPr>
          <w:lang w:val="sq-AL"/>
        </w:rPr>
        <w:t>mit material dhe d</w:t>
      </w:r>
      <w:r w:rsidR="001567AD">
        <w:rPr>
          <w:lang w:val="sq-AL"/>
        </w:rPr>
        <w:t>ë</w:t>
      </w:r>
      <w:r w:rsidRPr="001567AD" w:rsidR="002E41E5">
        <w:rPr>
          <w:lang w:val="sq-AL"/>
        </w:rPr>
        <w:t>mit moral</w:t>
      </w:r>
      <w:r w:rsidRPr="001567AD">
        <w:rPr>
          <w:lang w:val="sq-AL"/>
        </w:rPr>
        <w:t>.</w:t>
      </w:r>
    </w:p>
    <w:p w:rsidRPr="001567AD" w:rsidR="00EB737A" w:rsidP="00EB737A" w:rsidRDefault="00EB737A">
      <w:pPr>
        <w:pStyle w:val="ECHRPara"/>
        <w:rPr>
          <w:lang w:val="sq-AL"/>
        </w:rPr>
      </w:pPr>
      <w:r w:rsidRPr="001567AD">
        <w:rPr>
          <w:lang w:val="sq-AL"/>
        </w:rPr>
        <w:fldChar w:fldCharType="begin"/>
      </w:r>
      <w:r w:rsidRPr="001567AD">
        <w:rPr>
          <w:lang w:val="sq-AL"/>
        </w:rPr>
        <w:instrText xml:space="preserve"> SEQ level0 \*arabic </w:instrText>
      </w:r>
      <w:r w:rsidRPr="001567AD">
        <w:rPr>
          <w:lang w:val="sq-AL"/>
        </w:rPr>
        <w:fldChar w:fldCharType="separate"/>
      </w:r>
      <w:r w:rsidR="00013F9B">
        <w:rPr>
          <w:noProof/>
          <w:lang w:val="sq-AL"/>
        </w:rPr>
        <w:t>203</w:t>
      </w:r>
      <w:r w:rsidRPr="001567AD">
        <w:rPr>
          <w:lang w:val="sq-AL"/>
        </w:rPr>
        <w:fldChar w:fldCharType="end"/>
      </w:r>
      <w:r w:rsidRPr="001567AD">
        <w:rPr>
          <w:lang w:val="sq-AL"/>
        </w:rPr>
        <w:t>.  </w:t>
      </w:r>
      <w:r w:rsidRPr="001567AD" w:rsidR="002E41E5">
        <w:rPr>
          <w:lang w:val="sq-AL"/>
        </w:rPr>
        <w:t>Duke pasur parasysh shumat e marra deri tani nga padit</w:t>
      </w:r>
      <w:r w:rsidR="001567AD">
        <w:rPr>
          <w:lang w:val="sq-AL"/>
        </w:rPr>
        <w:t>ë</w:t>
      </w:r>
      <w:r w:rsidRPr="001567AD" w:rsidR="002E41E5">
        <w:rPr>
          <w:lang w:val="sq-AL"/>
        </w:rPr>
        <w:t>sja si d</w:t>
      </w:r>
      <w:r w:rsidR="001567AD">
        <w:rPr>
          <w:lang w:val="sq-AL"/>
        </w:rPr>
        <w:t>ë</w:t>
      </w:r>
      <w:r w:rsidRPr="001567AD" w:rsidR="002E41E5">
        <w:rPr>
          <w:lang w:val="sq-AL"/>
        </w:rPr>
        <w:t>mshp</w:t>
      </w:r>
      <w:r w:rsidR="001567AD">
        <w:rPr>
          <w:lang w:val="sq-AL"/>
        </w:rPr>
        <w:t>ë</w:t>
      </w:r>
      <w:r w:rsidRPr="001567AD" w:rsidR="002E41E5">
        <w:rPr>
          <w:lang w:val="sq-AL"/>
        </w:rPr>
        <w:t>rblim dhe pasigurinë p</w:t>
      </w:r>
      <w:r w:rsidR="001567AD">
        <w:rPr>
          <w:lang w:val="sq-AL"/>
        </w:rPr>
        <w:t>ë</w:t>
      </w:r>
      <w:r w:rsidRPr="001567AD" w:rsidR="002E41E5">
        <w:rPr>
          <w:lang w:val="sq-AL"/>
        </w:rPr>
        <w:t>r sa i p</w:t>
      </w:r>
      <w:r w:rsidR="001567AD">
        <w:rPr>
          <w:lang w:val="sq-AL"/>
        </w:rPr>
        <w:t>ë</w:t>
      </w:r>
      <w:r w:rsidRPr="001567AD" w:rsidR="002E41E5">
        <w:rPr>
          <w:lang w:val="sq-AL"/>
        </w:rPr>
        <w:t>rket çdolloj pagese t</w:t>
      </w:r>
      <w:r w:rsidR="001567AD">
        <w:rPr>
          <w:lang w:val="sq-AL"/>
        </w:rPr>
        <w:t>ë</w:t>
      </w:r>
      <w:r w:rsidRPr="001567AD" w:rsidR="002E41E5">
        <w:rPr>
          <w:lang w:val="sq-AL"/>
        </w:rPr>
        <w:t xml:space="preserve"> ardhme nga L.H., Gjykata vendos q</w:t>
      </w:r>
      <w:r w:rsidR="001567AD">
        <w:rPr>
          <w:lang w:val="sq-AL"/>
        </w:rPr>
        <w:t>ë</w:t>
      </w:r>
      <w:r w:rsidRPr="001567AD" w:rsidR="002E41E5">
        <w:rPr>
          <w:lang w:val="sq-AL"/>
        </w:rPr>
        <w:t xml:space="preserve"> t</w:t>
      </w:r>
      <w:r w:rsidR="00943091">
        <w:rPr>
          <w:lang w:val="sq-AL"/>
        </w:rPr>
        <w:t>’</w:t>
      </w:r>
      <w:r w:rsidRPr="001567AD" w:rsidR="002E41E5">
        <w:rPr>
          <w:lang w:val="sq-AL"/>
        </w:rPr>
        <w:t>i caktoj</w:t>
      </w:r>
      <w:r w:rsidR="001567AD">
        <w:rPr>
          <w:lang w:val="sq-AL"/>
        </w:rPr>
        <w:t>ë</w:t>
      </w:r>
      <w:r w:rsidRPr="001567AD" w:rsidR="002E41E5">
        <w:rPr>
          <w:lang w:val="sq-AL"/>
        </w:rPr>
        <w:t xml:space="preserve"> t</w:t>
      </w:r>
      <w:r w:rsidR="001567AD">
        <w:rPr>
          <w:lang w:val="sq-AL"/>
        </w:rPr>
        <w:t>ë</w:t>
      </w:r>
      <w:r w:rsidRPr="001567AD" w:rsidR="002E41E5">
        <w:rPr>
          <w:lang w:val="sq-AL"/>
        </w:rPr>
        <w:t xml:space="preserve"> interesuarës nj</w:t>
      </w:r>
      <w:r w:rsidR="001567AD">
        <w:rPr>
          <w:lang w:val="sq-AL"/>
        </w:rPr>
        <w:t>ë</w:t>
      </w:r>
      <w:r w:rsidRPr="001567AD" w:rsidR="002E41E5">
        <w:rPr>
          <w:lang w:val="sq-AL"/>
        </w:rPr>
        <w:t xml:space="preserve"> shum</w:t>
      </w:r>
      <w:r w:rsidR="001567AD">
        <w:rPr>
          <w:lang w:val="sq-AL"/>
        </w:rPr>
        <w:t>ë</w:t>
      </w:r>
      <w:r w:rsidRPr="001567AD" w:rsidR="002E41E5">
        <w:rPr>
          <w:lang w:val="sq-AL"/>
        </w:rPr>
        <w:t xml:space="preserve"> të përgjithshme p</w:t>
      </w:r>
      <w:r w:rsidR="001567AD">
        <w:rPr>
          <w:lang w:val="sq-AL"/>
        </w:rPr>
        <w:t>ë</w:t>
      </w:r>
      <w:r w:rsidRPr="001567AD" w:rsidR="002E41E5">
        <w:rPr>
          <w:lang w:val="sq-AL"/>
        </w:rPr>
        <w:t>r t</w:t>
      </w:r>
      <w:r w:rsidR="001567AD">
        <w:rPr>
          <w:lang w:val="sq-AL"/>
        </w:rPr>
        <w:t>ë</w:t>
      </w:r>
      <w:r w:rsidRPr="001567AD" w:rsidR="002E41E5">
        <w:rPr>
          <w:lang w:val="sq-AL"/>
        </w:rPr>
        <w:t xml:space="preserve"> kompensuar edhe humbjet e saj materiale</w:t>
      </w:r>
      <w:r w:rsidRPr="001567AD" w:rsidR="001567AD">
        <w:rPr>
          <w:lang w:val="sq-AL"/>
        </w:rPr>
        <w:t>, edhe d</w:t>
      </w:r>
      <w:r w:rsidR="001567AD">
        <w:rPr>
          <w:lang w:val="sq-AL"/>
        </w:rPr>
        <w:t>ë</w:t>
      </w:r>
      <w:r w:rsidRPr="001567AD" w:rsidR="001567AD">
        <w:rPr>
          <w:lang w:val="sq-AL"/>
        </w:rPr>
        <w:t>min e saj moral. Duke vendosur me paan</w:t>
      </w:r>
      <w:r w:rsidR="001567AD">
        <w:rPr>
          <w:lang w:val="sq-AL"/>
        </w:rPr>
        <w:t>ë</w:t>
      </w:r>
      <w:r w:rsidRPr="001567AD" w:rsidR="001567AD">
        <w:rPr>
          <w:lang w:val="sq-AL"/>
        </w:rPr>
        <w:t>si, ajo i cakton pra padit</w:t>
      </w:r>
      <w:r w:rsidR="001567AD">
        <w:rPr>
          <w:lang w:val="sq-AL"/>
        </w:rPr>
        <w:t>ë</w:t>
      </w:r>
      <w:r w:rsidRPr="001567AD" w:rsidR="001567AD">
        <w:rPr>
          <w:lang w:val="sq-AL"/>
        </w:rPr>
        <w:t>ses nj</w:t>
      </w:r>
      <w:r w:rsidR="001567AD">
        <w:rPr>
          <w:lang w:val="sq-AL"/>
        </w:rPr>
        <w:t>ë</w:t>
      </w:r>
      <w:r w:rsidRPr="001567AD" w:rsidR="001567AD">
        <w:rPr>
          <w:lang w:val="sq-AL"/>
        </w:rPr>
        <w:t xml:space="preserve"> shum</w:t>
      </w:r>
      <w:r w:rsidR="001567AD">
        <w:rPr>
          <w:lang w:val="sq-AL"/>
        </w:rPr>
        <w:t>ë</w:t>
      </w:r>
      <w:r w:rsidRPr="001567AD" w:rsidR="001567AD">
        <w:rPr>
          <w:lang w:val="sq-AL"/>
        </w:rPr>
        <w:t xml:space="preserve"> prej </w:t>
      </w:r>
      <w:r w:rsidRPr="001567AD">
        <w:rPr>
          <w:lang w:val="sq-AL"/>
        </w:rPr>
        <w:t xml:space="preserve">30 000 EUR </w:t>
      </w:r>
      <w:r w:rsidRPr="001567AD" w:rsidR="001567AD">
        <w:rPr>
          <w:lang w:val="sq-AL"/>
        </w:rPr>
        <w:t>për d</w:t>
      </w:r>
      <w:r w:rsidR="001567AD">
        <w:rPr>
          <w:lang w:val="sq-AL"/>
        </w:rPr>
        <w:t>ë</w:t>
      </w:r>
      <w:r w:rsidRPr="001567AD" w:rsidR="001567AD">
        <w:rPr>
          <w:lang w:val="sq-AL"/>
        </w:rPr>
        <w:t>m material dhe p</w:t>
      </w:r>
      <w:r w:rsidR="001567AD">
        <w:rPr>
          <w:lang w:val="sq-AL"/>
        </w:rPr>
        <w:t>ë</w:t>
      </w:r>
      <w:r w:rsidRPr="001567AD" w:rsidR="001567AD">
        <w:rPr>
          <w:lang w:val="sq-AL"/>
        </w:rPr>
        <w:t>r d</w:t>
      </w:r>
      <w:r w:rsidR="001567AD">
        <w:rPr>
          <w:lang w:val="sq-AL"/>
        </w:rPr>
        <w:t>ë</w:t>
      </w:r>
      <w:r w:rsidRPr="001567AD" w:rsidR="001567AD">
        <w:rPr>
          <w:lang w:val="sq-AL"/>
        </w:rPr>
        <w:t>m moral, plus çdo shumë që mund të duhet si tatim apo si taksë mbi këtë vlerë</w:t>
      </w:r>
      <w:r w:rsidRPr="001567AD">
        <w:rPr>
          <w:lang w:val="sq-AL"/>
        </w:rPr>
        <w:t>.</w:t>
      </w:r>
    </w:p>
    <w:p w:rsidRPr="00AE137D" w:rsidR="00EB737A" w:rsidP="00EB737A" w:rsidRDefault="00EB737A">
      <w:pPr>
        <w:pStyle w:val="ECHRPara"/>
        <w:rPr>
          <w:lang w:val="fr-FR"/>
        </w:rPr>
      </w:pPr>
      <w:r w:rsidRPr="00AE137D">
        <w:rPr>
          <w:lang w:val="fr-FR"/>
        </w:rPr>
        <w:t>(...)</w:t>
      </w:r>
    </w:p>
    <w:p w:rsidRPr="00974510" w:rsidR="00EB737A" w:rsidP="00EB737A" w:rsidRDefault="001567AD">
      <w:pPr>
        <w:pStyle w:val="ECHRTitle1"/>
      </w:pPr>
      <w:r w:rsidRPr="00EA0C05">
        <w:rPr>
          <w:lang w:val="sq-AL"/>
        </w:rPr>
        <w:t>PËR KËTO ARSYE, GJYKATA,</w:t>
      </w:r>
    </w:p>
    <w:p w:rsidRPr="00974510" w:rsidR="00EB737A" w:rsidP="00EB737A" w:rsidRDefault="00EB737A">
      <w:pPr>
        <w:pStyle w:val="JuList"/>
      </w:pPr>
      <w:r>
        <w:rPr>
          <w:lang w:eastAsia="en-US"/>
        </w:rPr>
        <w:t>(...)</w:t>
      </w:r>
    </w:p>
    <w:p w:rsidRPr="00974510" w:rsidR="00EB737A" w:rsidP="00EB737A" w:rsidRDefault="00EB737A">
      <w:pPr>
        <w:pStyle w:val="JuLista"/>
      </w:pPr>
    </w:p>
    <w:p w:rsidRPr="000F7C11" w:rsidR="00EB737A" w:rsidP="00EB737A" w:rsidRDefault="00EB737A">
      <w:pPr>
        <w:pStyle w:val="JuList"/>
        <w:rPr>
          <w:lang w:val="sq-AL" w:eastAsia="en-US"/>
        </w:rPr>
      </w:pPr>
      <w:r w:rsidRPr="00974510">
        <w:rPr>
          <w:lang w:eastAsia="en-US"/>
        </w:rPr>
        <w:t>3.  </w:t>
      </w:r>
      <w:r w:rsidRPr="000F7C11" w:rsidR="000F7C11">
        <w:rPr>
          <w:i/>
          <w:lang w:val="sq-AL" w:eastAsia="en-US"/>
        </w:rPr>
        <w:t>Thotë</w:t>
      </w:r>
      <w:r w:rsidRPr="000F7C11">
        <w:rPr>
          <w:lang w:val="sq-AL" w:eastAsia="en-US"/>
        </w:rPr>
        <w:t xml:space="preserve">, </w:t>
      </w:r>
      <w:r w:rsidRPr="000F7C11" w:rsidR="000F7C11">
        <w:rPr>
          <w:lang w:val="sq-AL" w:eastAsia="en-US"/>
        </w:rPr>
        <w:t>me njëmb</w:t>
      </w:r>
      <w:r w:rsidR="000F7C11">
        <w:rPr>
          <w:lang w:val="sq-AL" w:eastAsia="en-US"/>
        </w:rPr>
        <w:t>ë</w:t>
      </w:r>
      <w:r w:rsidRPr="000F7C11" w:rsidR="000F7C11">
        <w:rPr>
          <w:lang w:val="sq-AL" w:eastAsia="en-US"/>
        </w:rPr>
        <w:t>dhjet</w:t>
      </w:r>
      <w:r w:rsidR="000F7C11">
        <w:rPr>
          <w:lang w:val="sq-AL" w:eastAsia="en-US"/>
        </w:rPr>
        <w:t>ë</w:t>
      </w:r>
      <w:r w:rsidRPr="000F7C11" w:rsidR="000F7C11">
        <w:rPr>
          <w:lang w:val="sq-AL" w:eastAsia="en-US"/>
        </w:rPr>
        <w:t xml:space="preserve"> vota n</w:t>
      </w:r>
      <w:r w:rsidR="000F7C11">
        <w:rPr>
          <w:lang w:val="sq-AL" w:eastAsia="en-US"/>
        </w:rPr>
        <w:t>ë</w:t>
      </w:r>
      <w:r w:rsidRPr="000F7C11" w:rsidR="000F7C11">
        <w:rPr>
          <w:lang w:val="sq-AL" w:eastAsia="en-US"/>
        </w:rPr>
        <w:t xml:space="preserve"> favor dhe gjasht</w:t>
      </w:r>
      <w:r w:rsidR="000F7C11">
        <w:rPr>
          <w:lang w:val="sq-AL" w:eastAsia="en-US"/>
        </w:rPr>
        <w:t>ë</w:t>
      </w:r>
      <w:r w:rsidRPr="000F7C11" w:rsidR="000F7C11">
        <w:rPr>
          <w:lang w:val="sq-AL" w:eastAsia="en-US"/>
        </w:rPr>
        <w:t xml:space="preserve"> kund</w:t>
      </w:r>
      <w:r w:rsidR="000F7C11">
        <w:rPr>
          <w:lang w:val="sq-AL" w:eastAsia="en-US"/>
        </w:rPr>
        <w:t>ë</w:t>
      </w:r>
      <w:r w:rsidRPr="000F7C11" w:rsidR="000F7C11">
        <w:rPr>
          <w:lang w:val="sq-AL" w:eastAsia="en-US"/>
        </w:rPr>
        <w:t>r, se ka pasur shkelje t</w:t>
      </w:r>
      <w:r w:rsidR="000F7C11">
        <w:rPr>
          <w:lang w:val="sq-AL" w:eastAsia="en-US"/>
        </w:rPr>
        <w:t>ë</w:t>
      </w:r>
      <w:r w:rsidRPr="000F7C11" w:rsidR="000F7C11">
        <w:rPr>
          <w:lang w:val="sq-AL" w:eastAsia="en-US"/>
        </w:rPr>
        <w:t xml:space="preserve"> ne</w:t>
      </w:r>
      <w:r w:rsidR="000F7C11">
        <w:rPr>
          <w:lang w:val="sq-AL" w:eastAsia="en-US"/>
        </w:rPr>
        <w:t>n</w:t>
      </w:r>
      <w:r w:rsidRPr="000F7C11" w:rsidR="000F7C11">
        <w:rPr>
          <w:lang w:val="sq-AL" w:eastAsia="en-US"/>
        </w:rPr>
        <w:t>it 3 t</w:t>
      </w:r>
      <w:r w:rsidR="000F7C11">
        <w:rPr>
          <w:lang w:val="sq-AL" w:eastAsia="en-US"/>
        </w:rPr>
        <w:t>ë</w:t>
      </w:r>
      <w:r w:rsidRPr="000F7C11" w:rsidR="000F7C11">
        <w:rPr>
          <w:lang w:val="sq-AL" w:eastAsia="en-US"/>
        </w:rPr>
        <w:t xml:space="preserve"> Konventës n</w:t>
      </w:r>
      <w:r w:rsidR="000F7C11">
        <w:rPr>
          <w:lang w:val="sq-AL" w:eastAsia="en-US"/>
        </w:rPr>
        <w:t>ë</w:t>
      </w:r>
      <w:r w:rsidRPr="000F7C11" w:rsidR="000F7C11">
        <w:rPr>
          <w:lang w:val="sq-AL" w:eastAsia="en-US"/>
        </w:rPr>
        <w:t xml:space="preserve"> anën e tij materiale p</w:t>
      </w:r>
      <w:r w:rsidR="000F7C11">
        <w:rPr>
          <w:lang w:val="sq-AL" w:eastAsia="en-US"/>
        </w:rPr>
        <w:t>ë</w:t>
      </w:r>
      <w:r w:rsidRPr="000F7C11" w:rsidR="000F7C11">
        <w:rPr>
          <w:lang w:val="sq-AL" w:eastAsia="en-US"/>
        </w:rPr>
        <w:t>r arsye t</w:t>
      </w:r>
      <w:r w:rsidR="000F7C11">
        <w:rPr>
          <w:lang w:val="sq-AL" w:eastAsia="en-US"/>
        </w:rPr>
        <w:t>ë</w:t>
      </w:r>
      <w:r w:rsidRPr="000F7C11" w:rsidR="000F7C11">
        <w:rPr>
          <w:lang w:val="sq-AL" w:eastAsia="en-US"/>
        </w:rPr>
        <w:t xml:space="preserve"> nj</w:t>
      </w:r>
      <w:r w:rsidR="000F7C11">
        <w:rPr>
          <w:lang w:val="sq-AL" w:eastAsia="en-US"/>
        </w:rPr>
        <w:t>ë</w:t>
      </w:r>
      <w:r w:rsidRPr="000F7C11" w:rsidR="000F7C11">
        <w:rPr>
          <w:lang w:val="sq-AL" w:eastAsia="en-US"/>
        </w:rPr>
        <w:t xml:space="preserve"> mosp</w:t>
      </w:r>
      <w:r w:rsidR="000F7C11">
        <w:rPr>
          <w:lang w:val="sq-AL" w:eastAsia="en-US"/>
        </w:rPr>
        <w:t>ë</w:t>
      </w:r>
      <w:r w:rsidRPr="000F7C11" w:rsidR="000F7C11">
        <w:rPr>
          <w:lang w:val="sq-AL" w:eastAsia="en-US"/>
        </w:rPr>
        <w:t>rmbushjeje nga shteti të detyrimit të tij për ta mbrojtur padit</w:t>
      </w:r>
      <w:r w:rsidR="000F7C11">
        <w:rPr>
          <w:lang w:val="sq-AL" w:eastAsia="en-US"/>
        </w:rPr>
        <w:t>ë</w:t>
      </w:r>
      <w:r w:rsidRPr="000F7C11" w:rsidR="000F7C11">
        <w:rPr>
          <w:lang w:val="sq-AL" w:eastAsia="en-US"/>
        </w:rPr>
        <w:t xml:space="preserve">sen, dhe e </w:t>
      </w:r>
      <w:r w:rsidRPr="000F7C11" w:rsidR="000F7C11">
        <w:rPr>
          <w:i/>
          <w:lang w:val="sq-AL" w:eastAsia="en-US"/>
        </w:rPr>
        <w:t xml:space="preserve">rrëzon </w:t>
      </w:r>
      <w:r w:rsidRPr="000F7C11" w:rsidR="000F7C11">
        <w:rPr>
          <w:lang w:val="sq-AL" w:eastAsia="en-US"/>
        </w:rPr>
        <w:t>për rrjedhoj</w:t>
      </w:r>
      <w:r w:rsidR="000F7C11">
        <w:rPr>
          <w:lang w:val="sq-AL" w:eastAsia="en-US"/>
        </w:rPr>
        <w:t>ë</w:t>
      </w:r>
      <w:r w:rsidRPr="000F7C11" w:rsidR="000F7C11">
        <w:rPr>
          <w:lang w:val="sq-AL" w:eastAsia="en-US"/>
        </w:rPr>
        <w:t xml:space="preserve"> prap</w:t>
      </w:r>
      <w:r w:rsidR="000F7C11">
        <w:rPr>
          <w:lang w:val="sq-AL" w:eastAsia="en-US"/>
        </w:rPr>
        <w:t>ë</w:t>
      </w:r>
      <w:r w:rsidRPr="000F7C11" w:rsidR="000F7C11">
        <w:rPr>
          <w:lang w:val="sq-AL" w:eastAsia="en-US"/>
        </w:rPr>
        <w:t>simin e Qeverisë për munges</w:t>
      </w:r>
      <w:r w:rsidR="000F7C11">
        <w:rPr>
          <w:lang w:val="sq-AL" w:eastAsia="en-US"/>
        </w:rPr>
        <w:t>ë</w:t>
      </w:r>
      <w:r w:rsidRPr="000F7C11" w:rsidR="000F7C11">
        <w:rPr>
          <w:lang w:val="sq-AL" w:eastAsia="en-US"/>
        </w:rPr>
        <w:t xml:space="preserve"> t</w:t>
      </w:r>
      <w:r w:rsidR="000F7C11">
        <w:rPr>
          <w:lang w:val="sq-AL" w:eastAsia="en-US"/>
        </w:rPr>
        <w:t>ë</w:t>
      </w:r>
      <w:r w:rsidRPr="000F7C11" w:rsidR="000F7C11">
        <w:rPr>
          <w:lang w:val="sq-AL" w:eastAsia="en-US"/>
        </w:rPr>
        <w:t xml:space="preserve"> hapur themel</w:t>
      </w:r>
      <w:r w:rsidR="000F7C11">
        <w:rPr>
          <w:lang w:val="sq-AL" w:eastAsia="en-US"/>
        </w:rPr>
        <w:t>ë</w:t>
      </w:r>
      <w:r w:rsidRPr="000F7C11" w:rsidR="000F7C11">
        <w:rPr>
          <w:lang w:val="sq-AL" w:eastAsia="en-US"/>
        </w:rPr>
        <w:t>sie t</w:t>
      </w:r>
      <w:r w:rsidR="000F7C11">
        <w:rPr>
          <w:lang w:val="sq-AL" w:eastAsia="en-US"/>
        </w:rPr>
        <w:t>ë</w:t>
      </w:r>
      <w:r w:rsidRPr="000F7C11" w:rsidR="000F7C11">
        <w:rPr>
          <w:lang w:val="sq-AL" w:eastAsia="en-US"/>
        </w:rPr>
        <w:t xml:space="preserve"> k</w:t>
      </w:r>
      <w:r w:rsidR="000F7C11">
        <w:rPr>
          <w:lang w:val="sq-AL" w:eastAsia="en-US"/>
        </w:rPr>
        <w:t>ë</w:t>
      </w:r>
      <w:r w:rsidRPr="000F7C11" w:rsidR="000F7C11">
        <w:rPr>
          <w:lang w:val="sq-AL" w:eastAsia="en-US"/>
        </w:rPr>
        <w:t>tij pretendimi</w:t>
      </w:r>
      <w:r w:rsidRPr="000F7C11">
        <w:rPr>
          <w:lang w:val="sq-AL" w:eastAsia="en-US"/>
        </w:rPr>
        <w:t>;</w:t>
      </w:r>
    </w:p>
    <w:p w:rsidRPr="000F7C11" w:rsidR="00EB737A" w:rsidP="00EB737A" w:rsidRDefault="00EB737A">
      <w:pPr>
        <w:pStyle w:val="JuList"/>
        <w:rPr>
          <w:lang w:val="sq-AL" w:eastAsia="en-US"/>
        </w:rPr>
      </w:pPr>
    </w:p>
    <w:p w:rsidRPr="00974510" w:rsidR="00EB737A" w:rsidP="00EB737A" w:rsidRDefault="00EB737A">
      <w:pPr>
        <w:pStyle w:val="JuList"/>
        <w:rPr>
          <w:lang w:eastAsia="en-US"/>
        </w:rPr>
      </w:pPr>
      <w:r w:rsidRPr="00974510">
        <w:rPr>
          <w:lang w:eastAsia="en-US"/>
        </w:rPr>
        <w:t>4.  </w:t>
      </w:r>
      <w:r w:rsidRPr="000F7C11" w:rsidR="000F7C11">
        <w:rPr>
          <w:i/>
          <w:lang w:val="sq-AL" w:eastAsia="en-US"/>
        </w:rPr>
        <w:t>Thotë</w:t>
      </w:r>
      <w:r w:rsidRPr="000F7C11" w:rsidR="000F7C11">
        <w:rPr>
          <w:lang w:val="sq-AL" w:eastAsia="en-US"/>
        </w:rPr>
        <w:t>, me njëmb</w:t>
      </w:r>
      <w:r w:rsidR="000F7C11">
        <w:rPr>
          <w:lang w:val="sq-AL" w:eastAsia="en-US"/>
        </w:rPr>
        <w:t>ë</w:t>
      </w:r>
      <w:r w:rsidRPr="000F7C11" w:rsidR="000F7C11">
        <w:rPr>
          <w:lang w:val="sq-AL" w:eastAsia="en-US"/>
        </w:rPr>
        <w:t>dhjet</w:t>
      </w:r>
      <w:r w:rsidR="000F7C11">
        <w:rPr>
          <w:lang w:val="sq-AL" w:eastAsia="en-US"/>
        </w:rPr>
        <w:t>ë</w:t>
      </w:r>
      <w:r w:rsidRPr="000F7C11" w:rsidR="000F7C11">
        <w:rPr>
          <w:lang w:val="sq-AL" w:eastAsia="en-US"/>
        </w:rPr>
        <w:t xml:space="preserve"> vota n</w:t>
      </w:r>
      <w:r w:rsidR="000F7C11">
        <w:rPr>
          <w:lang w:val="sq-AL" w:eastAsia="en-US"/>
        </w:rPr>
        <w:t>ë</w:t>
      </w:r>
      <w:r w:rsidRPr="000F7C11" w:rsidR="000F7C11">
        <w:rPr>
          <w:lang w:val="sq-AL" w:eastAsia="en-US"/>
        </w:rPr>
        <w:t xml:space="preserve"> favor dhe gjasht</w:t>
      </w:r>
      <w:r w:rsidR="000F7C11">
        <w:rPr>
          <w:lang w:val="sq-AL" w:eastAsia="en-US"/>
        </w:rPr>
        <w:t>ë</w:t>
      </w:r>
      <w:r w:rsidRPr="000F7C11" w:rsidR="000F7C11">
        <w:rPr>
          <w:lang w:val="sq-AL" w:eastAsia="en-US"/>
        </w:rPr>
        <w:t xml:space="preserve"> kund</w:t>
      </w:r>
      <w:r w:rsidR="000F7C11">
        <w:rPr>
          <w:lang w:val="sq-AL" w:eastAsia="en-US"/>
        </w:rPr>
        <w:t>ë</w:t>
      </w:r>
      <w:r w:rsidRPr="000F7C11" w:rsidR="000F7C11">
        <w:rPr>
          <w:lang w:val="sq-AL" w:eastAsia="en-US"/>
        </w:rPr>
        <w:t>r, se ka pasur shkelje t</w:t>
      </w:r>
      <w:r w:rsidR="000F7C11">
        <w:rPr>
          <w:lang w:val="sq-AL" w:eastAsia="en-US"/>
        </w:rPr>
        <w:t>ë</w:t>
      </w:r>
      <w:r w:rsidRPr="000F7C11" w:rsidR="000F7C11">
        <w:rPr>
          <w:lang w:val="sq-AL" w:eastAsia="en-US"/>
        </w:rPr>
        <w:t xml:space="preserve"> ne</w:t>
      </w:r>
      <w:r w:rsidR="000F7C11">
        <w:rPr>
          <w:lang w:val="sq-AL" w:eastAsia="en-US"/>
        </w:rPr>
        <w:t>n</w:t>
      </w:r>
      <w:r w:rsidRPr="000F7C11" w:rsidR="000F7C11">
        <w:rPr>
          <w:lang w:val="sq-AL" w:eastAsia="en-US"/>
        </w:rPr>
        <w:t xml:space="preserve">it </w:t>
      </w:r>
      <w:r w:rsidR="000F7C11">
        <w:rPr>
          <w:lang w:val="sq-AL" w:eastAsia="en-US"/>
        </w:rPr>
        <w:t>1</w:t>
      </w:r>
      <w:r w:rsidRPr="000F7C11" w:rsidR="000F7C11">
        <w:rPr>
          <w:lang w:val="sq-AL" w:eastAsia="en-US"/>
        </w:rPr>
        <w:t xml:space="preserve">3 </w:t>
      </w:r>
      <w:r w:rsidR="000F7C11">
        <w:rPr>
          <w:lang w:val="sq-AL" w:eastAsia="en-US"/>
        </w:rPr>
        <w:t xml:space="preserve">të bashkuar me nenin 3 </w:t>
      </w:r>
      <w:r w:rsidRPr="000F7C11" w:rsidR="000F7C11">
        <w:rPr>
          <w:lang w:val="sq-AL" w:eastAsia="en-US"/>
        </w:rPr>
        <w:t>t</w:t>
      </w:r>
      <w:r w:rsidR="000F7C11">
        <w:rPr>
          <w:lang w:val="sq-AL" w:eastAsia="en-US"/>
        </w:rPr>
        <w:t>ë</w:t>
      </w:r>
      <w:r w:rsidRPr="000F7C11" w:rsidR="000F7C11">
        <w:rPr>
          <w:lang w:val="sq-AL" w:eastAsia="en-US"/>
        </w:rPr>
        <w:t xml:space="preserve"> Konventës n</w:t>
      </w:r>
      <w:r w:rsidR="000F7C11">
        <w:rPr>
          <w:lang w:val="sq-AL" w:eastAsia="en-US"/>
        </w:rPr>
        <w:t>ë</w:t>
      </w:r>
      <w:r w:rsidRPr="000F7C11" w:rsidR="000F7C11">
        <w:rPr>
          <w:lang w:val="sq-AL" w:eastAsia="en-US"/>
        </w:rPr>
        <w:t xml:space="preserve"> anën e tij materiale p</w:t>
      </w:r>
      <w:r w:rsidR="000F7C11">
        <w:rPr>
          <w:lang w:val="sq-AL" w:eastAsia="en-US"/>
        </w:rPr>
        <w:t>ë</w:t>
      </w:r>
      <w:r w:rsidRPr="000F7C11" w:rsidR="000F7C11">
        <w:rPr>
          <w:lang w:val="sq-AL" w:eastAsia="en-US"/>
        </w:rPr>
        <w:t>r arsye t</w:t>
      </w:r>
      <w:r w:rsidR="000F7C11">
        <w:rPr>
          <w:lang w:val="sq-AL" w:eastAsia="en-US"/>
        </w:rPr>
        <w:t>ë</w:t>
      </w:r>
      <w:r w:rsidRPr="000F7C11" w:rsidR="000F7C11">
        <w:rPr>
          <w:lang w:val="sq-AL" w:eastAsia="en-US"/>
        </w:rPr>
        <w:t xml:space="preserve"> </w:t>
      </w:r>
      <w:r w:rsidR="000F7C11">
        <w:rPr>
          <w:lang w:val="sq-AL" w:eastAsia="en-US"/>
        </w:rPr>
        <w:t>pamundësisë për një ankim efektiv i cili do ta kishte lejuar paditësen q</w:t>
      </w:r>
      <w:r w:rsidR="00913ACC">
        <w:rPr>
          <w:lang w:val="sq-AL" w:eastAsia="en-US"/>
        </w:rPr>
        <w:t>ë</w:t>
      </w:r>
      <w:r w:rsidR="000F7C11">
        <w:rPr>
          <w:lang w:val="sq-AL" w:eastAsia="en-US"/>
        </w:rPr>
        <w:t xml:space="preserve"> ta kundërshtonte mospërmbushjen nga shteti t</w:t>
      </w:r>
      <w:r w:rsidR="00913ACC">
        <w:rPr>
          <w:lang w:val="sq-AL" w:eastAsia="en-US"/>
        </w:rPr>
        <w:t>ë</w:t>
      </w:r>
      <w:r w:rsidR="000F7C11">
        <w:rPr>
          <w:lang w:val="sq-AL" w:eastAsia="en-US"/>
        </w:rPr>
        <w:t xml:space="preserve"> detyrimit t</w:t>
      </w:r>
      <w:r w:rsidR="00913ACC">
        <w:rPr>
          <w:lang w:val="sq-AL" w:eastAsia="en-US"/>
        </w:rPr>
        <w:t>ë</w:t>
      </w:r>
      <w:r w:rsidR="000F7C11">
        <w:rPr>
          <w:lang w:val="sq-AL" w:eastAsia="en-US"/>
        </w:rPr>
        <w:t xml:space="preserve"> tij p</w:t>
      </w:r>
      <w:r w:rsidR="00913ACC">
        <w:rPr>
          <w:lang w:val="sq-AL" w:eastAsia="en-US"/>
        </w:rPr>
        <w:t>ë</w:t>
      </w:r>
      <w:r w:rsidR="000F7C11">
        <w:rPr>
          <w:lang w:val="sq-AL" w:eastAsia="en-US"/>
        </w:rPr>
        <w:t xml:space="preserve">r mbrojtje, dhe </w:t>
      </w:r>
      <w:r w:rsidRPr="000F7C11" w:rsidR="00913ACC">
        <w:rPr>
          <w:lang w:val="sq-AL" w:eastAsia="en-US"/>
        </w:rPr>
        <w:t xml:space="preserve">e </w:t>
      </w:r>
      <w:r w:rsidRPr="000F7C11" w:rsidR="00913ACC">
        <w:rPr>
          <w:i/>
          <w:lang w:val="sq-AL" w:eastAsia="en-US"/>
        </w:rPr>
        <w:t xml:space="preserve">rrëzon </w:t>
      </w:r>
      <w:r w:rsidRPr="000F7C11" w:rsidR="00913ACC">
        <w:rPr>
          <w:lang w:val="sq-AL" w:eastAsia="en-US"/>
        </w:rPr>
        <w:t>për rrjedhoj</w:t>
      </w:r>
      <w:r w:rsidR="00913ACC">
        <w:rPr>
          <w:lang w:val="sq-AL" w:eastAsia="en-US"/>
        </w:rPr>
        <w:t>ë</w:t>
      </w:r>
      <w:r w:rsidRPr="000F7C11" w:rsidR="00913ACC">
        <w:rPr>
          <w:lang w:val="sq-AL" w:eastAsia="en-US"/>
        </w:rPr>
        <w:t xml:space="preserve"> prap</w:t>
      </w:r>
      <w:r w:rsidR="00913ACC">
        <w:rPr>
          <w:lang w:val="sq-AL" w:eastAsia="en-US"/>
        </w:rPr>
        <w:t>ë</w:t>
      </w:r>
      <w:r w:rsidRPr="000F7C11" w:rsidR="00913ACC">
        <w:rPr>
          <w:lang w:val="sq-AL" w:eastAsia="en-US"/>
        </w:rPr>
        <w:t>simin e Qeverisë për munges</w:t>
      </w:r>
      <w:r w:rsidR="00913ACC">
        <w:rPr>
          <w:lang w:val="sq-AL" w:eastAsia="en-US"/>
        </w:rPr>
        <w:t>ë</w:t>
      </w:r>
      <w:r w:rsidRPr="000F7C11" w:rsidR="00913ACC">
        <w:rPr>
          <w:lang w:val="sq-AL" w:eastAsia="en-US"/>
        </w:rPr>
        <w:t xml:space="preserve"> t</w:t>
      </w:r>
      <w:r w:rsidR="00913ACC">
        <w:rPr>
          <w:lang w:val="sq-AL" w:eastAsia="en-US"/>
        </w:rPr>
        <w:t>ë</w:t>
      </w:r>
      <w:r w:rsidRPr="000F7C11" w:rsidR="00913ACC">
        <w:rPr>
          <w:lang w:val="sq-AL" w:eastAsia="en-US"/>
        </w:rPr>
        <w:t xml:space="preserve"> hapur themel</w:t>
      </w:r>
      <w:r w:rsidR="00913ACC">
        <w:rPr>
          <w:lang w:val="sq-AL" w:eastAsia="en-US"/>
        </w:rPr>
        <w:t>ë</w:t>
      </w:r>
      <w:r w:rsidRPr="000F7C11" w:rsidR="00913ACC">
        <w:rPr>
          <w:lang w:val="sq-AL" w:eastAsia="en-US"/>
        </w:rPr>
        <w:t>sie t</w:t>
      </w:r>
      <w:r w:rsidR="00913ACC">
        <w:rPr>
          <w:lang w:val="sq-AL" w:eastAsia="en-US"/>
        </w:rPr>
        <w:t>ë</w:t>
      </w:r>
      <w:r w:rsidRPr="000F7C11" w:rsidR="00913ACC">
        <w:rPr>
          <w:lang w:val="sq-AL" w:eastAsia="en-US"/>
        </w:rPr>
        <w:t xml:space="preserve"> k</w:t>
      </w:r>
      <w:r w:rsidR="00913ACC">
        <w:rPr>
          <w:lang w:val="sq-AL" w:eastAsia="en-US"/>
        </w:rPr>
        <w:t>ë</w:t>
      </w:r>
      <w:r w:rsidRPr="000F7C11" w:rsidR="00913ACC">
        <w:rPr>
          <w:lang w:val="sq-AL" w:eastAsia="en-US"/>
        </w:rPr>
        <w:t>tij pretendimi;</w:t>
      </w:r>
    </w:p>
    <w:p w:rsidRPr="00974510" w:rsidR="00EB737A" w:rsidP="00EB737A" w:rsidRDefault="00EB737A">
      <w:pPr>
        <w:pStyle w:val="JuList"/>
        <w:rPr>
          <w:lang w:eastAsia="en-US"/>
        </w:rPr>
      </w:pPr>
    </w:p>
    <w:p w:rsidRPr="00974510" w:rsidR="00EB737A" w:rsidP="00EB737A" w:rsidRDefault="00EB737A">
      <w:pPr>
        <w:pStyle w:val="JuList"/>
        <w:rPr>
          <w:lang w:eastAsia="en-US"/>
        </w:rPr>
      </w:pPr>
      <w:r w:rsidRPr="00974510">
        <w:rPr>
          <w:lang w:eastAsia="en-US"/>
        </w:rPr>
        <w:t>5.  </w:t>
      </w:r>
      <w:r w:rsidRPr="000F7C11" w:rsidR="00913ACC">
        <w:rPr>
          <w:i/>
          <w:lang w:val="sq-AL" w:eastAsia="en-US"/>
        </w:rPr>
        <w:t>Thotë</w:t>
      </w:r>
      <w:r w:rsidRPr="000F7C11" w:rsidR="00913ACC">
        <w:rPr>
          <w:lang w:val="sq-AL" w:eastAsia="en-US"/>
        </w:rPr>
        <w:t xml:space="preserve">, </w:t>
      </w:r>
      <w:r w:rsidR="00913ACC">
        <w:rPr>
          <w:lang w:val="sq-AL" w:eastAsia="en-US"/>
        </w:rPr>
        <w:t>njëzëri, se nuk ka pasur shkelje të nenit 3 të Konventës në anën e saj procedurale</w:t>
      </w:r>
      <w:r w:rsidRPr="00974510">
        <w:rPr>
          <w:lang w:eastAsia="en-US"/>
        </w:rPr>
        <w:t>;</w:t>
      </w:r>
    </w:p>
    <w:p w:rsidRPr="00974510" w:rsidR="00EB737A" w:rsidP="00EB737A" w:rsidRDefault="00EB737A">
      <w:pPr>
        <w:pStyle w:val="JuList"/>
        <w:rPr>
          <w:lang w:eastAsia="en-US"/>
        </w:rPr>
      </w:pPr>
    </w:p>
    <w:p w:rsidRPr="00974510" w:rsidR="00EB737A" w:rsidP="00EB737A" w:rsidRDefault="00EB737A">
      <w:pPr>
        <w:pStyle w:val="JuList"/>
        <w:rPr>
          <w:lang w:eastAsia="en-US"/>
        </w:rPr>
      </w:pPr>
      <w:r>
        <w:rPr>
          <w:lang w:eastAsia="en-US"/>
        </w:rPr>
        <w:t>(...)</w:t>
      </w:r>
    </w:p>
    <w:p w:rsidRPr="005517A9" w:rsidR="00EB737A" w:rsidP="00EB737A" w:rsidRDefault="00EB737A">
      <w:pPr>
        <w:pStyle w:val="JuList"/>
        <w:rPr>
          <w:lang w:val="sq-AL" w:eastAsia="en-US"/>
        </w:rPr>
      </w:pPr>
    </w:p>
    <w:p w:rsidRPr="005517A9" w:rsidR="00EB737A" w:rsidP="00EB737A" w:rsidRDefault="00EB737A">
      <w:pPr>
        <w:pStyle w:val="JuList"/>
        <w:rPr>
          <w:lang w:val="sq-AL" w:eastAsia="en-US"/>
        </w:rPr>
      </w:pPr>
      <w:r w:rsidRPr="005517A9">
        <w:rPr>
          <w:lang w:val="sq-AL" w:eastAsia="en-US"/>
        </w:rPr>
        <w:t>7.  </w:t>
      </w:r>
      <w:r w:rsidRPr="005517A9" w:rsidR="00913ACC">
        <w:rPr>
          <w:i/>
          <w:lang w:val="sq-AL" w:eastAsia="en-US"/>
        </w:rPr>
        <w:t>Thotë</w:t>
      </w:r>
      <w:r w:rsidRPr="005517A9" w:rsidR="00913ACC">
        <w:rPr>
          <w:lang w:val="sq-AL" w:eastAsia="en-US"/>
        </w:rPr>
        <w:t>, me njëmbëdhjetë vota në favor dhe gjashtë kundër,</w:t>
      </w:r>
    </w:p>
    <w:p w:rsidRPr="005517A9" w:rsidR="00EB737A" w:rsidP="00EB737A" w:rsidRDefault="00EB737A">
      <w:pPr>
        <w:pStyle w:val="JuLista"/>
        <w:rPr>
          <w:lang w:val="sq-AL" w:eastAsia="en-US"/>
        </w:rPr>
      </w:pPr>
      <w:r w:rsidRPr="005517A9">
        <w:rPr>
          <w:lang w:val="sq-AL" w:eastAsia="en-US"/>
        </w:rPr>
        <w:t>a)  </w:t>
      </w:r>
      <w:r w:rsidRPr="005517A9" w:rsidR="00913ACC">
        <w:rPr>
          <w:lang w:val="sq-AL" w:eastAsia="en-US"/>
        </w:rPr>
        <w:t>se shteti i paditur duhet t</w:t>
      </w:r>
      <w:r w:rsidR="00943091">
        <w:rPr>
          <w:lang w:val="sq-AL" w:eastAsia="en-US"/>
        </w:rPr>
        <w:t>’</w:t>
      </w:r>
      <w:r w:rsidRPr="005517A9" w:rsidR="00913ACC">
        <w:rPr>
          <w:lang w:val="sq-AL" w:eastAsia="en-US"/>
        </w:rPr>
        <w:t>i paguajë paditëses, brenda tre muajsh, shumat e mëposhtme</w:t>
      </w:r>
      <w:r w:rsidRPr="005517A9">
        <w:rPr>
          <w:lang w:val="sq-AL" w:eastAsia="en-US"/>
        </w:rPr>
        <w:t>:</w:t>
      </w:r>
    </w:p>
    <w:p w:rsidRPr="005517A9" w:rsidR="00EB737A" w:rsidP="00EB737A" w:rsidRDefault="00EB737A">
      <w:pPr>
        <w:pStyle w:val="JuListi"/>
        <w:rPr>
          <w:lang w:val="sq-AL" w:eastAsia="en-US"/>
        </w:rPr>
      </w:pPr>
      <w:r w:rsidRPr="005517A9">
        <w:rPr>
          <w:lang w:val="sq-AL" w:eastAsia="en-US"/>
        </w:rPr>
        <w:t>i.  30 000 EUR (tr</w:t>
      </w:r>
      <w:r w:rsidRPr="005517A9" w:rsidR="00913ACC">
        <w:rPr>
          <w:lang w:val="sq-AL" w:eastAsia="en-US"/>
        </w:rPr>
        <w:t>idhjetë mijë euro</w:t>
      </w:r>
      <w:r w:rsidRPr="005517A9">
        <w:rPr>
          <w:lang w:val="sq-AL" w:eastAsia="en-US"/>
        </w:rPr>
        <w:t xml:space="preserve">), </w:t>
      </w:r>
      <w:r w:rsidRPr="005517A9" w:rsidR="00913ACC">
        <w:rPr>
          <w:lang w:val="sq-AL"/>
        </w:rPr>
        <w:t>plus çdo shumë që mund të duhet si tatim a si taksë mbi këtë vlerë, për dëm material e moral</w:t>
      </w:r>
      <w:r w:rsidRPr="005517A9">
        <w:rPr>
          <w:lang w:val="sq-AL" w:eastAsia="en-US"/>
        </w:rPr>
        <w:t>; (...)</w:t>
      </w:r>
    </w:p>
    <w:p w:rsidRPr="005517A9" w:rsidR="00EB737A" w:rsidP="00EB737A" w:rsidRDefault="00EB737A">
      <w:pPr>
        <w:pStyle w:val="JuLista"/>
        <w:rPr>
          <w:lang w:val="sq-AL" w:eastAsia="en-US"/>
        </w:rPr>
      </w:pPr>
    </w:p>
    <w:p w:rsidRPr="005517A9" w:rsidR="00EB737A" w:rsidP="00EB737A" w:rsidRDefault="00EB737A">
      <w:pPr>
        <w:pStyle w:val="JuParaLast"/>
        <w:rPr>
          <w:lang w:val="sq-AL" w:eastAsia="en-US"/>
        </w:rPr>
      </w:pPr>
      <w:r w:rsidRPr="005517A9">
        <w:rPr>
          <w:lang w:val="sq-AL"/>
        </w:rPr>
        <w:t xml:space="preserve">I hartuar në frëngjisht dhe në anglisht, pastaj i shpallur në seancë publike në Pallatin e të Drejtave të Njeriut, në Strasburg, më </w:t>
      </w:r>
      <w:r w:rsidRPr="005517A9">
        <w:rPr>
          <w:lang w:val="sq-AL" w:eastAsia="en-US"/>
        </w:rPr>
        <w:t>28 janar 2014.</w:t>
      </w:r>
    </w:p>
    <w:p w:rsidRPr="005517A9" w:rsidR="00EB737A" w:rsidP="00EB737A" w:rsidRDefault="00EB737A">
      <w:pPr>
        <w:pStyle w:val="JuSigned"/>
        <w:rPr>
          <w:lang w:val="sq-AL"/>
        </w:rPr>
      </w:pPr>
      <w:r w:rsidRPr="005517A9">
        <w:rPr>
          <w:lang w:val="sq-AL"/>
        </w:rPr>
        <w:t>Michael O</w:t>
      </w:r>
      <w:r w:rsidR="00943091">
        <w:rPr>
          <w:lang w:val="sq-AL"/>
        </w:rPr>
        <w:t>’</w:t>
      </w:r>
      <w:r w:rsidRPr="005517A9">
        <w:rPr>
          <w:lang w:val="sq-AL"/>
        </w:rPr>
        <w:t>Boyle</w:t>
      </w:r>
      <w:r w:rsidRPr="005517A9">
        <w:rPr>
          <w:lang w:val="sq-AL"/>
        </w:rPr>
        <w:tab/>
        <w:t>Dean Spielmann</w:t>
      </w:r>
      <w:r w:rsidRPr="005517A9">
        <w:rPr>
          <w:lang w:val="sq-AL"/>
        </w:rPr>
        <w:br/>
      </w:r>
      <w:r w:rsidRPr="005517A9">
        <w:rPr>
          <w:lang w:val="sq-AL"/>
        </w:rPr>
        <w:tab/>
        <w:t>Zëvendëssekretar</w:t>
      </w:r>
      <w:r w:rsidRPr="005517A9">
        <w:rPr>
          <w:lang w:val="sq-AL"/>
        </w:rPr>
        <w:tab/>
        <w:t>Kryetar</w:t>
      </w:r>
    </w:p>
    <w:p w:rsidRPr="006B104B" w:rsidR="00EB737A" w:rsidP="00EB737A" w:rsidRDefault="00EB737A">
      <w:pPr>
        <w:pStyle w:val="JuParaLast"/>
        <w:spacing w:before="360"/>
      </w:pPr>
      <w:r w:rsidRPr="00F40AAD">
        <w:rPr>
          <w:lang w:val="sq-AL"/>
        </w:rPr>
        <w:t>Këtij vendimi i bashkëngjitet, në përputhje me nenet 45 § 2 të Konventës dhe 74 § 2 të Rregullores, paraqitja e mendimeve më vete të mëposhtme:</w:t>
      </w:r>
    </w:p>
    <w:p w:rsidRPr="00EB737A" w:rsidR="00EB737A" w:rsidP="00EB737A" w:rsidRDefault="00EB737A">
      <w:pPr>
        <w:pStyle w:val="ECHRPara"/>
        <w:rPr>
          <w:lang w:val="en-GB"/>
        </w:rPr>
      </w:pPr>
      <w:r w:rsidRPr="00EB737A">
        <w:rPr>
          <w:lang w:val="en-GB"/>
        </w:rPr>
        <w:t>–  </w:t>
      </w:r>
      <w:r w:rsidRPr="00F40AAD">
        <w:rPr>
          <w:lang w:val="sq-AL"/>
        </w:rPr>
        <w:t>mendim pajtues i gjyqtare</w:t>
      </w:r>
      <w:r>
        <w:rPr>
          <w:lang w:val="sq-AL"/>
        </w:rPr>
        <w:t>s</w:t>
      </w:r>
      <w:r w:rsidRPr="00F40AAD">
        <w:rPr>
          <w:lang w:val="sq-AL"/>
        </w:rPr>
        <w:t xml:space="preserve"> </w:t>
      </w:r>
      <w:r w:rsidRPr="00EB737A">
        <w:rPr>
          <w:lang w:val="en-GB"/>
        </w:rPr>
        <w:t>Ziemele;</w:t>
      </w:r>
    </w:p>
    <w:p w:rsidRPr="00BD77F7" w:rsidR="00EB737A" w:rsidP="00EB737A" w:rsidRDefault="00EB737A">
      <w:pPr>
        <w:pStyle w:val="ECHRPara"/>
      </w:pPr>
      <w:r w:rsidRPr="00EB737A">
        <w:rPr>
          <w:lang w:val="en-GB"/>
        </w:rPr>
        <w:t>–  </w:t>
      </w:r>
      <w:r w:rsidRPr="00F40AAD">
        <w:rPr>
          <w:lang w:val="sq-AL"/>
        </w:rPr>
        <w:t xml:space="preserve">mendim </w:t>
      </w:r>
      <w:r>
        <w:rPr>
          <w:lang w:val="sq-AL"/>
        </w:rPr>
        <w:t xml:space="preserve">i përbashkët </w:t>
      </w:r>
      <w:r w:rsidRPr="00F40AAD">
        <w:rPr>
          <w:lang w:val="sq-AL"/>
        </w:rPr>
        <w:t>pjesërisht kundërshtues</w:t>
      </w:r>
      <w:r>
        <w:rPr>
          <w:lang w:val="sq-AL"/>
        </w:rPr>
        <w:t xml:space="preserve"> i gjyqtarëve </w:t>
      </w:r>
      <w:r w:rsidRPr="00EB737A">
        <w:rPr>
          <w:lang w:val="en-GB"/>
        </w:rPr>
        <w:t>Zupančič, Gyulumyan, Kalaydjieva, De Gaetano e Wojtyczek; dhe</w:t>
      </w:r>
    </w:p>
    <w:p w:rsidR="00EB737A" w:rsidP="00EB737A" w:rsidRDefault="00EB737A">
      <w:pPr>
        <w:pStyle w:val="ECHRPara"/>
        <w:rPr>
          <w:lang w:val="x-none"/>
        </w:rPr>
      </w:pPr>
      <w:r w:rsidRPr="00D532B5">
        <w:t>–  </w:t>
      </w:r>
      <w:r w:rsidRPr="00F40AAD">
        <w:rPr>
          <w:lang w:val="sq-AL"/>
        </w:rPr>
        <w:t>mendim pjesërisht kundërshtues</w:t>
      </w:r>
      <w:r>
        <w:rPr>
          <w:lang w:val="sq-AL"/>
        </w:rPr>
        <w:t xml:space="preserve"> i gjyqtarit</w:t>
      </w:r>
      <w:r w:rsidRPr="00D532B5">
        <w:t xml:space="preserve"> </w:t>
      </w:r>
      <w:r w:rsidRPr="00974510">
        <w:rPr>
          <w:lang w:val="x-none"/>
        </w:rPr>
        <w:t>Charleton</w:t>
      </w:r>
      <w:r w:rsidRPr="00D532B5">
        <w:t>.</w:t>
      </w:r>
    </w:p>
    <w:p w:rsidR="00EB737A" w:rsidP="00EB737A" w:rsidRDefault="00EB737A">
      <w:pPr>
        <w:pStyle w:val="ECHRPara"/>
        <w:rPr>
          <w:lang w:val="x-none"/>
        </w:rPr>
      </w:pPr>
    </w:p>
    <w:p w:rsidR="00EB737A" w:rsidP="00EB737A" w:rsidRDefault="00EB737A">
      <w:pPr>
        <w:pStyle w:val="JuInitialled"/>
      </w:pPr>
      <w:r w:rsidRPr="00127077">
        <w:t>D.S.</w:t>
      </w:r>
      <w:r w:rsidRPr="00127077">
        <w:br/>
        <w:t>M.O</w:t>
      </w:r>
      <w:r w:rsidR="00943091">
        <w:t>’</w:t>
      </w:r>
      <w:r w:rsidRPr="00127077">
        <w:t>B.</w:t>
      </w:r>
    </w:p>
    <w:p w:rsidRPr="00A672A1" w:rsidR="009C1C49" w:rsidP="009C1C49" w:rsidRDefault="009C1C49">
      <w:pPr>
        <w:pStyle w:val="JuInitialled"/>
        <w:jc w:val="both"/>
        <w:rPr>
          <w:szCs w:val="24"/>
          <w:lang w:val="sq-AL"/>
        </w:rPr>
      </w:pPr>
      <w:r w:rsidRPr="00A672A1">
        <w:rPr>
          <w:szCs w:val="24"/>
          <w:lang w:val="sq-AL"/>
        </w:rPr>
        <w:t>Mendimet e pakicës nuk janë përkthyer, por ato gjenden në anglishtdhe/ose në frëngjisht në versionet zyrtare të gjykimit, dhe mund të lexohen në bazën e të dhënave të Gjykatës HUDOC</w:t>
      </w:r>
    </w:p>
    <w:p w:rsidR="00943091" w:rsidP="009C1C49" w:rsidRDefault="00EB737A">
      <w:pPr>
        <w:pStyle w:val="OpiPara"/>
        <w:ind w:firstLine="0"/>
        <w:rPr>
          <w:sz w:val="20"/>
          <w:lang w:val="sq-AL" w:eastAsia="fr-FR"/>
        </w:rPr>
      </w:pPr>
      <w:r>
        <w:rPr>
          <w:i/>
          <w:lang w:val="sq-AL"/>
        </w:rPr>
        <w:br w:type="page"/>
      </w:r>
      <w:r w:rsidRPr="004455C1" w:rsidR="009C1C49">
        <w:rPr>
          <w:b/>
          <w:bCs/>
          <w:sz w:val="20"/>
          <w:lang w:val="sq-AL" w:eastAsia="fr-FR"/>
        </w:rPr>
        <w:t xml:space="preserve">© Këshilli i Evropës/Gjykata Evropiane e të Drejtave të Njeriut, </w:t>
      </w:r>
      <w:r w:rsidR="009C1C49">
        <w:rPr>
          <w:b/>
          <w:bCs/>
          <w:sz w:val="20"/>
          <w:lang w:val="sq-AL" w:eastAsia="fr-FR"/>
        </w:rPr>
        <w:t>2014</w:t>
      </w:r>
      <w:r w:rsidRPr="004455C1" w:rsidR="009C1C49">
        <w:rPr>
          <w:sz w:val="20"/>
          <w:lang w:val="sq-AL" w:eastAsia="fr-FR"/>
        </w:rPr>
        <w:t>.</w:t>
      </w:r>
    </w:p>
    <w:p w:rsidRPr="004455C1" w:rsidR="009C1C49" w:rsidP="009C1C49" w:rsidRDefault="009C1C49">
      <w:pPr>
        <w:jc w:val="both"/>
        <w:rPr>
          <w:sz w:val="20"/>
          <w:lang w:val="sq-AL"/>
        </w:rPr>
      </w:pPr>
      <w:r w:rsidRPr="004455C1">
        <w:rPr>
          <w:sz w:val="20"/>
          <w:lang w:val="sq-AL"/>
        </w:rPr>
        <w:t>Gjuhët zyrtare të Gjykatës Evropiane të të Drejtave të Njeriut janë anglishtja dhe frëngjishtja.</w:t>
      </w:r>
      <w:r w:rsidR="00943091">
        <w:rPr>
          <w:sz w:val="20"/>
          <w:lang w:val="sq-AL"/>
        </w:rPr>
        <w:t xml:space="preserve"> </w:t>
      </w:r>
      <w:r w:rsidRPr="004455C1">
        <w:rPr>
          <w:sz w:val="20"/>
          <w:lang w:val="sq-AL"/>
        </w:rPr>
        <w:t>Ky përkthim është bërë me mbështetjen e Fondit të Mirëbesimit për të Drejtat e Njeriut të Këshillit të Evropës (</w:t>
      </w:r>
      <w:hyperlink w:history="1" r:id="rId12">
        <w:r w:rsidRPr="004455C1">
          <w:rPr>
            <w:color w:val="0000FF"/>
            <w:sz w:val="20"/>
            <w:u w:val="single"/>
            <w:lang w:val="sq-AL"/>
          </w:rPr>
          <w:t>www.coe.int/humanrightstrustfund</w:t>
        </w:r>
      </w:hyperlink>
      <w:r w:rsidRPr="004455C1">
        <w:rPr>
          <w:sz w:val="20"/>
          <w:lang w:val="sq-AL"/>
        </w:rPr>
        <w:t>). Ai nuk e kushtëzon Gjykatën dhe kjo e fundit nuk pranon asnjë përgjegjësi për sa i përket cilësisë së tij. Ai mund të shkarkohet nga HUDOC, baza e të dhënave e jurisprudencës së Gjykatës Evropiane të të Drejtave të Njeriut (</w:t>
      </w:r>
      <w:hyperlink w:history="1" r:id="rId13">
        <w:r w:rsidRPr="004455C1">
          <w:rPr>
            <w:color w:val="0000FF"/>
            <w:sz w:val="20"/>
            <w:u w:val="single"/>
            <w:lang w:val="sq-AL"/>
          </w:rPr>
          <w:t>http://hudoc.echr.coe.int</w:t>
        </w:r>
      </w:hyperlink>
      <w:r w:rsidRPr="004455C1">
        <w:rPr>
          <w:sz w:val="20"/>
          <w:lang w:val="sq-AL"/>
        </w:rPr>
        <w:t xml:space="preserve">), ose nga çdo bazë tjetër të dhënash me të cilën HUDOC e ka ndarë atë. Ai mund të riprodhohet për qëllime jo tregtare, me kusht që titulli i çështjes të citohet i plotë dhe të shoqërohet me shënimin e mësipërm lidhur me të drejtën e autorit, si edhe me referimin ndaj Fondit të Mirëbesimit për të Drejtat e Njeriut. Cilido që kërkon ta përdorë këtë përkthim në tërësi ose pjesërisht për qëllime tregtare, është i lutur të njoftojë në adresën e mëposhtme: </w:t>
      </w:r>
      <w:hyperlink w:history="1" r:id="rId14">
        <w:r w:rsidRPr="004455C1">
          <w:rPr>
            <w:color w:val="0000FF"/>
            <w:sz w:val="20"/>
            <w:u w:val="single"/>
            <w:lang w:val="sq-AL"/>
          </w:rPr>
          <w:t>publishing@echr.coe.int</w:t>
        </w:r>
      </w:hyperlink>
      <w:r w:rsidRPr="004455C1">
        <w:rPr>
          <w:sz w:val="20"/>
          <w:lang w:val="sq-AL"/>
        </w:rPr>
        <w:t>.</w:t>
      </w:r>
    </w:p>
    <w:p w:rsidRPr="004455C1" w:rsidR="009C1C49" w:rsidP="009C1C49" w:rsidRDefault="009C1C49">
      <w:pPr>
        <w:jc w:val="both"/>
        <w:rPr>
          <w:sz w:val="20"/>
          <w:lang w:val="sq-AL"/>
        </w:rPr>
      </w:pPr>
    </w:p>
    <w:p w:rsidRPr="004455C1" w:rsidR="009C1C49" w:rsidP="009C1C49" w:rsidRDefault="009C1C49">
      <w:pPr>
        <w:ind w:right="65"/>
        <w:jc w:val="both"/>
        <w:rPr>
          <w:b/>
          <w:sz w:val="20"/>
          <w:lang w:val="en-GB"/>
        </w:rPr>
      </w:pPr>
      <w:r w:rsidRPr="004455C1">
        <w:rPr>
          <w:b/>
          <w:sz w:val="20"/>
          <w:lang w:val="en-GB"/>
        </w:rPr>
        <w:t xml:space="preserve">© Council of Europe/European Court of Human Rights, </w:t>
      </w:r>
      <w:r>
        <w:rPr>
          <w:b/>
          <w:sz w:val="20"/>
          <w:lang w:val="en-GB"/>
        </w:rPr>
        <w:t>2014</w:t>
      </w:r>
    </w:p>
    <w:p w:rsidRPr="004455C1" w:rsidR="009C1C49" w:rsidP="009C1C49" w:rsidRDefault="009C1C49">
      <w:pPr>
        <w:ind w:right="65"/>
        <w:jc w:val="both"/>
        <w:rPr>
          <w:sz w:val="20"/>
          <w:lang w:val="en-GB"/>
        </w:rPr>
      </w:pPr>
      <w:r w:rsidRPr="004455C1">
        <w:rPr>
          <w:sz w:val="20"/>
          <w:lang w:val="en-GB"/>
        </w:rPr>
        <w:t>The official languages of the European Court of Human Rights are English and French. This translation was commissioned with the support of the Human Rights Trust Fund of the Council of Europe (</w:t>
      </w:r>
      <w:hyperlink w:tooltip="http://www.coe.int/humanrightstrustfund" w:history="1" r:id="rId15">
        <w:r w:rsidRPr="004455C1">
          <w:rPr>
            <w:bCs/>
            <w:color w:val="0000FF"/>
            <w:sz w:val="20"/>
            <w:u w:val="single"/>
            <w:lang w:val="en-GB"/>
          </w:rPr>
          <w:t>www.coe.int/humanrightstrustfund</w:t>
        </w:r>
      </w:hyperlink>
      <w:r w:rsidRPr="004455C1">
        <w:rPr>
          <w:sz w:val="20"/>
          <w:lang w:val="en-GB"/>
        </w:rPr>
        <w:t>). It does not bind the Court, nor does the Court take any responsibility for the quality thereof. It may be downloaded from the HUDOC case-law database of the European Court of Human Rights (</w:t>
      </w:r>
      <w:hyperlink w:tooltip="http://hudoc.echr.coe.int/" w:history="1" r:id="rId16">
        <w:r w:rsidRPr="004455C1">
          <w:rPr>
            <w:color w:val="0000FF"/>
            <w:sz w:val="20"/>
            <w:u w:val="single"/>
            <w:lang w:val="en-GB"/>
          </w:rPr>
          <w:t>http://hudoc.echr.coe.int</w:t>
        </w:r>
      </w:hyperlink>
      <w:r w:rsidRPr="004455C1">
        <w:rPr>
          <w:sz w:val="20"/>
          <w:lang w:val="en-GB"/>
        </w:rPr>
        <w:t xml:space="preserve">) or from any other database with which the Court has shared it. It may be reproduced for non-commercial purposes on condition that the full title of the case is cited, together with the above copyright indication and reference to the Human Rights Trust Fund. If it is intended to use any part of this translation for commercial purposes, please contact </w:t>
      </w:r>
      <w:hyperlink w:tooltip="mailto:publishing@echr.coe.int" w:history="1" r:id="rId17">
        <w:r w:rsidRPr="004455C1">
          <w:rPr>
            <w:color w:val="0000FF"/>
            <w:sz w:val="20"/>
            <w:u w:val="single"/>
            <w:lang w:val="en-GB"/>
          </w:rPr>
          <w:t>publishing@echr.coe.int</w:t>
        </w:r>
      </w:hyperlink>
      <w:r w:rsidRPr="004455C1">
        <w:rPr>
          <w:sz w:val="20"/>
          <w:lang w:val="en-GB"/>
        </w:rPr>
        <w:t>.</w:t>
      </w:r>
    </w:p>
    <w:p w:rsidRPr="004455C1" w:rsidR="009C1C49" w:rsidP="009C1C49" w:rsidRDefault="009C1C49">
      <w:pPr>
        <w:ind w:right="65"/>
        <w:jc w:val="both"/>
        <w:rPr>
          <w:b/>
          <w:sz w:val="20"/>
          <w:lang w:val="en-GB"/>
        </w:rPr>
      </w:pPr>
    </w:p>
    <w:p w:rsidRPr="004455C1" w:rsidR="009C1C49" w:rsidP="009C1C49" w:rsidRDefault="009C1C49">
      <w:pPr>
        <w:ind w:right="65"/>
        <w:jc w:val="both"/>
        <w:rPr>
          <w:b/>
          <w:sz w:val="20"/>
        </w:rPr>
      </w:pPr>
      <w:r w:rsidRPr="004455C1">
        <w:rPr>
          <w:b/>
          <w:sz w:val="20"/>
        </w:rPr>
        <w:t>© Conseil de l</w:t>
      </w:r>
      <w:r w:rsidR="00943091">
        <w:rPr>
          <w:b/>
          <w:sz w:val="20"/>
        </w:rPr>
        <w:t>’</w:t>
      </w:r>
      <w:r w:rsidRPr="004455C1">
        <w:rPr>
          <w:b/>
          <w:sz w:val="20"/>
        </w:rPr>
        <w:t>Europe/Cour européenne des droits de l</w:t>
      </w:r>
      <w:r w:rsidR="00943091">
        <w:rPr>
          <w:b/>
          <w:sz w:val="20"/>
        </w:rPr>
        <w:t>’</w:t>
      </w:r>
      <w:r w:rsidRPr="004455C1">
        <w:rPr>
          <w:b/>
          <w:sz w:val="20"/>
        </w:rPr>
        <w:t xml:space="preserve">homme, </w:t>
      </w:r>
      <w:r>
        <w:rPr>
          <w:b/>
          <w:sz w:val="20"/>
        </w:rPr>
        <w:t>2014</w:t>
      </w:r>
    </w:p>
    <w:p w:rsidRPr="004455C1" w:rsidR="009C1C49" w:rsidP="009C1C49" w:rsidRDefault="009C1C49">
      <w:pPr>
        <w:ind w:right="65"/>
        <w:jc w:val="both"/>
        <w:rPr>
          <w:sz w:val="20"/>
        </w:rPr>
      </w:pPr>
      <w:r w:rsidRPr="004455C1">
        <w:rPr>
          <w:sz w:val="20"/>
        </w:rPr>
        <w:t>Les langues officielles de la Cour européenne des droits de l</w:t>
      </w:r>
      <w:r w:rsidR="00943091">
        <w:rPr>
          <w:sz w:val="20"/>
        </w:rPr>
        <w:t>’</w:t>
      </w:r>
      <w:r w:rsidRPr="004455C1">
        <w:rPr>
          <w:sz w:val="20"/>
        </w:rPr>
        <w:t>homme sont le français et l</w:t>
      </w:r>
      <w:r w:rsidR="00943091">
        <w:rPr>
          <w:sz w:val="20"/>
        </w:rPr>
        <w:t>’</w:t>
      </w:r>
      <w:r w:rsidRPr="004455C1">
        <w:rPr>
          <w:sz w:val="20"/>
        </w:rPr>
        <w:t>anglais. La présente traduction a été effectuée avec le soutien du Fonds fiduciaire pour les droits de l</w:t>
      </w:r>
      <w:r w:rsidR="00943091">
        <w:rPr>
          <w:sz w:val="20"/>
        </w:rPr>
        <w:t>’</w:t>
      </w:r>
      <w:r w:rsidRPr="004455C1">
        <w:rPr>
          <w:sz w:val="20"/>
        </w:rPr>
        <w:t>homme du Conseil de l</w:t>
      </w:r>
      <w:r w:rsidR="00943091">
        <w:rPr>
          <w:sz w:val="20"/>
        </w:rPr>
        <w:t>’</w:t>
      </w:r>
      <w:r w:rsidRPr="004455C1">
        <w:rPr>
          <w:sz w:val="20"/>
        </w:rPr>
        <w:t>Europe (</w:t>
      </w:r>
      <w:hyperlink w:tooltip="http://www.coe.int/humanrightstrustfund" w:history="1" r:id="rId18">
        <w:r w:rsidRPr="004455C1">
          <w:rPr>
            <w:bCs/>
            <w:color w:val="0000FF"/>
            <w:sz w:val="20"/>
            <w:u w:val="single"/>
          </w:rPr>
          <w:t>www.coe.int/humanrightstrustfund</w:t>
        </w:r>
      </w:hyperlink>
      <w:r w:rsidRPr="004455C1">
        <w:rPr>
          <w:sz w:val="20"/>
        </w:rPr>
        <w:t>). Elle ne lie pas la Cour, et celle-ci décline toute responsabilité quant à sa qualité. Elle peut être téléchargée à partir de HUDOC, la base de jurisprudence de la Cour européenne des droits de l</w:t>
      </w:r>
      <w:r w:rsidR="00943091">
        <w:rPr>
          <w:sz w:val="20"/>
        </w:rPr>
        <w:t>’</w:t>
      </w:r>
      <w:r w:rsidRPr="004455C1">
        <w:rPr>
          <w:sz w:val="20"/>
        </w:rPr>
        <w:t>homme (</w:t>
      </w:r>
      <w:hyperlink w:tooltip="http://hudoc.echr.coe.int/" w:history="1" r:id="rId19">
        <w:r w:rsidRPr="004455C1">
          <w:rPr>
            <w:color w:val="0000FF"/>
            <w:sz w:val="20"/>
            <w:u w:val="single"/>
          </w:rPr>
          <w:t>http://hudoc.echr.coe.int</w:t>
        </w:r>
      </w:hyperlink>
      <w:r w:rsidRPr="004455C1">
        <w:rPr>
          <w:sz w:val="20"/>
        </w:rPr>
        <w:t>), ou de toute autre base de données à laquelle HUDOC l</w:t>
      </w:r>
      <w:r w:rsidR="00943091">
        <w:rPr>
          <w:sz w:val="20"/>
        </w:rPr>
        <w:t>’</w:t>
      </w:r>
      <w:r w:rsidRPr="004455C1">
        <w:rPr>
          <w:sz w:val="20"/>
        </w:rPr>
        <w:t>a communiquée. Elle peut être reproduite à des fins non commerciales, sous réserve que le titre de l</w:t>
      </w:r>
      <w:r w:rsidR="00943091">
        <w:rPr>
          <w:sz w:val="20"/>
        </w:rPr>
        <w:t>’</w:t>
      </w:r>
      <w:r w:rsidRPr="004455C1">
        <w:rPr>
          <w:sz w:val="20"/>
        </w:rPr>
        <w:t>affaire soit cité en entier et s</w:t>
      </w:r>
      <w:r w:rsidR="00943091">
        <w:rPr>
          <w:sz w:val="20"/>
        </w:rPr>
        <w:t>’</w:t>
      </w:r>
      <w:r w:rsidRPr="004455C1">
        <w:rPr>
          <w:sz w:val="20"/>
        </w:rPr>
        <w:t>accompagne de l</w:t>
      </w:r>
      <w:r w:rsidR="00943091">
        <w:rPr>
          <w:sz w:val="20"/>
        </w:rPr>
        <w:t>’</w:t>
      </w:r>
      <w:r w:rsidRPr="004455C1">
        <w:rPr>
          <w:sz w:val="20"/>
        </w:rPr>
        <w:t>indication de copyright ci-dessus ainsi que de la référence au Fonds fiduciaire pour les droits de l</w:t>
      </w:r>
      <w:r w:rsidR="00943091">
        <w:rPr>
          <w:sz w:val="20"/>
        </w:rPr>
        <w:t>’</w:t>
      </w:r>
      <w:r w:rsidRPr="004455C1">
        <w:rPr>
          <w:sz w:val="20"/>
        </w:rPr>
        <w:t>homme. Toute personne souhaitant se servir de tout ou partie de la présente traduction à des fins commerciales est invitée à le signaler à l</w:t>
      </w:r>
      <w:r w:rsidR="00943091">
        <w:rPr>
          <w:sz w:val="20"/>
        </w:rPr>
        <w:t>’</w:t>
      </w:r>
      <w:r w:rsidRPr="004455C1">
        <w:rPr>
          <w:sz w:val="20"/>
        </w:rPr>
        <w:t xml:space="preserve">adresse suivante : </w:t>
      </w:r>
      <w:hyperlink w:tooltip="mailto:publishing@echr.coe.int" w:history="1" r:id="rId20">
        <w:r w:rsidRPr="004455C1">
          <w:rPr>
            <w:color w:val="0000FF"/>
            <w:sz w:val="20"/>
            <w:u w:val="single"/>
          </w:rPr>
          <w:t>publishing@echr.coe.int</w:t>
        </w:r>
      </w:hyperlink>
      <w:r w:rsidRPr="004455C1">
        <w:rPr>
          <w:sz w:val="20"/>
        </w:rPr>
        <w:t>.</w:t>
      </w:r>
    </w:p>
    <w:p w:rsidR="00EB737A" w:rsidP="00EB737A" w:rsidRDefault="00EB737A">
      <w:pPr>
        <w:pStyle w:val="ECHRPara"/>
        <w:rPr>
          <w:lang w:val="fr-FR"/>
        </w:rPr>
      </w:pPr>
    </w:p>
    <w:p w:rsidRPr="00AE137D" w:rsidR="00EB737A" w:rsidP="00EB737A" w:rsidRDefault="00EB737A">
      <w:pPr>
        <w:pStyle w:val="ECHRPara"/>
        <w:rPr>
          <w:lang w:val="fr-FR"/>
        </w:rPr>
      </w:pPr>
    </w:p>
    <w:p w:rsidR="00EB737A" w:rsidRDefault="00EB737A"/>
    <w:sectPr w:rsidR="00EB737A" w:rsidSect="00EB737A">
      <w:headerReference w:type="even" r:id="rId21"/>
      <w:headerReference w:type="default" r:id="rId22"/>
      <w:pgSz w:w="11906" w:h="16838" w:code="9"/>
      <w:pgMar w:top="2274" w:right="2274" w:bottom="2274" w:left="2274" w:header="1701" w:footer="720" w:gutter="0"/>
      <w:pgNumType w:start="3"/>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DFB" w:rsidRDefault="00E66DFB">
      <w:r>
        <w:separator/>
      </w:r>
    </w:p>
  </w:endnote>
  <w:endnote w:type="continuationSeparator" w:id="0">
    <w:p w:rsidR="00E66DFB" w:rsidRDefault="00E6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DFB" w:rsidRDefault="00E66DFB">
      <w:r>
        <w:separator/>
      </w:r>
    </w:p>
  </w:footnote>
  <w:footnote w:type="continuationSeparator" w:id="0">
    <w:p w:rsidR="00E66DFB" w:rsidRDefault="00E6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71" w:rsidRPr="00A45145" w:rsidRDefault="009C1C49" w:rsidP="00EB737A">
    <w:pPr>
      <w:jc w:val="center"/>
    </w:pPr>
    <w:r>
      <w:rPr>
        <w:noProof/>
        <w:lang w:val="en-US" w:eastAsia="ja-JP"/>
      </w:rPr>
      <w:drawing>
        <wp:inline distT="0" distB="0" distL="0" distR="0" wp14:anchorId="6F175D13" wp14:editId="6E5A9B0F">
          <wp:extent cx="2943225" cy="1209675"/>
          <wp:effectExtent l="0" t="0" r="9525" b="0"/>
          <wp:docPr id="1" name="Picture 64"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1_Graphics&amp;Web\Court_Graphic_Charter\2013\ECHR_Stationery\Documents\Cover_Page\ECHR_CoverpageCS6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1209675"/>
                  </a:xfrm>
                  <a:prstGeom prst="rect">
                    <a:avLst/>
                  </a:prstGeom>
                  <a:noFill/>
                  <a:ln>
                    <a:noFill/>
                  </a:ln>
                </pic:spPr>
              </pic:pic>
            </a:graphicData>
          </a:graphic>
        </wp:inline>
      </w:drawing>
    </w:r>
  </w:p>
  <w:p w:rsidR="00FB5B71" w:rsidRPr="009669F1" w:rsidRDefault="00FB5B71" w:rsidP="00EB737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71" w:rsidRPr="00013F9B" w:rsidRDefault="009C1C49" w:rsidP="009C1C49">
    <w:pPr>
      <w:pStyle w:val="Header"/>
      <w:jc w:val="center"/>
    </w:pPr>
    <w:r>
      <w:rPr>
        <w:noProof/>
        <w:lang w:val="en-US" w:eastAsia="ja-JP"/>
      </w:rPr>
      <w:drawing>
        <wp:inline distT="0" distB="0" distL="0" distR="0" wp14:anchorId="7FE879B1" wp14:editId="1491859F">
          <wp:extent cx="2943225" cy="1209675"/>
          <wp:effectExtent l="0" t="0" r="9525" b="0"/>
          <wp:docPr id="2" name="Picture 64"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1_Graphics&amp;Web\Court_Graphic_Charter\2013\ECHR_Stationery\Documents\Cover_Page\ECHR_CoverpageCS6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12096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71" w:rsidRDefault="00FB5B71" w:rsidP="00E66DF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FB5B71" w:rsidRPr="006C5B9E" w:rsidRDefault="00FB5B71" w:rsidP="00013F9B">
    <w:pPr>
      <w:pStyle w:val="ECHRHeader"/>
      <w:ind w:right="360" w:firstLine="360"/>
    </w:pPr>
    <w:r w:rsidRPr="006C5B9E">
      <w:tab/>
    </w:r>
    <w:r>
      <w:rPr>
        <w:noProof/>
      </w:rPr>
      <w:t>VENDIMI</w:t>
    </w:r>
    <w:r w:rsidRPr="006C5B9E">
      <w:t xml:space="preserve"> </w:t>
    </w:r>
    <w:r>
      <w:t>O'KEEFFE k. IRLANDËS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B71" w:rsidRDefault="00FB5B71" w:rsidP="00E66DF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43091">
      <w:rPr>
        <w:rStyle w:val="PageNumber"/>
        <w:noProof/>
      </w:rPr>
      <w:t>4</w:t>
    </w:r>
    <w:r>
      <w:rPr>
        <w:rStyle w:val="PageNumber"/>
      </w:rPr>
      <w:fldChar w:fldCharType="end"/>
    </w:r>
  </w:p>
  <w:p w:rsidR="00FB5B71" w:rsidRPr="00686A6F" w:rsidRDefault="00FB5B71" w:rsidP="00013F9B">
    <w:pPr>
      <w:pStyle w:val="ECHRHeader"/>
      <w:ind w:right="360" w:firstLine="360"/>
    </w:pPr>
    <w:r>
      <w:tab/>
    </w:r>
    <w:r>
      <w:rPr>
        <w:noProof/>
      </w:rPr>
      <w:t>VENDIMI</w:t>
    </w:r>
    <w:r w:rsidRPr="006C5B9E">
      <w:t xml:space="preserve"> </w:t>
    </w:r>
    <w:r>
      <w:t>O'KEEFFE k. IRLANDËS</w:t>
    </w:r>
    <w:r w:rsidRPr="006C5B9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3B2DDC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9F036FA"/>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E7673D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16C03E4C"/>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71AC39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2683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EE78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B0B5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621AB6"/>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6CDA5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65E98"/>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291966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517BA8"/>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5694DA8"/>
    <w:multiLevelType w:val="multilevel"/>
    <w:tmpl w:val="08090023"/>
    <w:styleLink w:val="ArticleSection"/>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15:restartNumberingAfterBreak="0">
    <w:nsid w:val="5C88144F"/>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cs="Times New Roman" w:hint="default"/>
        <w:b/>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7E956DB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5"/>
  </w:num>
  <w:num w:numId="15">
    <w:abstractNumId w:val="1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7A"/>
    <w:rsid w:val="00013F9B"/>
    <w:rsid w:val="00015398"/>
    <w:rsid w:val="00080A89"/>
    <w:rsid w:val="0009363E"/>
    <w:rsid w:val="000A41A6"/>
    <w:rsid w:val="000D024B"/>
    <w:rsid w:val="000D7596"/>
    <w:rsid w:val="000E010D"/>
    <w:rsid w:val="000E41CC"/>
    <w:rsid w:val="000E6222"/>
    <w:rsid w:val="000F7C11"/>
    <w:rsid w:val="00121621"/>
    <w:rsid w:val="00141D34"/>
    <w:rsid w:val="00153EB0"/>
    <w:rsid w:val="001567AD"/>
    <w:rsid w:val="00162CCA"/>
    <w:rsid w:val="0016399D"/>
    <w:rsid w:val="00165B79"/>
    <w:rsid w:val="00166D43"/>
    <w:rsid w:val="00175E94"/>
    <w:rsid w:val="00183A90"/>
    <w:rsid w:val="00193249"/>
    <w:rsid w:val="00194037"/>
    <w:rsid w:val="00196354"/>
    <w:rsid w:val="001C5ECE"/>
    <w:rsid w:val="001D334B"/>
    <w:rsid w:val="001D4E8E"/>
    <w:rsid w:val="001D6998"/>
    <w:rsid w:val="001E408E"/>
    <w:rsid w:val="00204584"/>
    <w:rsid w:val="002114AA"/>
    <w:rsid w:val="00237C50"/>
    <w:rsid w:val="002626A8"/>
    <w:rsid w:val="00266580"/>
    <w:rsid w:val="002759DF"/>
    <w:rsid w:val="00277959"/>
    <w:rsid w:val="00290818"/>
    <w:rsid w:val="00297FBB"/>
    <w:rsid w:val="002A58F7"/>
    <w:rsid w:val="002B4A2F"/>
    <w:rsid w:val="002C5AEB"/>
    <w:rsid w:val="002C798A"/>
    <w:rsid w:val="002D3D85"/>
    <w:rsid w:val="002D55DB"/>
    <w:rsid w:val="002E0F26"/>
    <w:rsid w:val="002E137D"/>
    <w:rsid w:val="002E41E5"/>
    <w:rsid w:val="002F0A2D"/>
    <w:rsid w:val="00326F4C"/>
    <w:rsid w:val="00332BDF"/>
    <w:rsid w:val="00332CE8"/>
    <w:rsid w:val="003526B8"/>
    <w:rsid w:val="00375C57"/>
    <w:rsid w:val="00380EAE"/>
    <w:rsid w:val="00395264"/>
    <w:rsid w:val="003969AB"/>
    <w:rsid w:val="003A2C88"/>
    <w:rsid w:val="003A4146"/>
    <w:rsid w:val="003A422A"/>
    <w:rsid w:val="003B30E7"/>
    <w:rsid w:val="003B4E0A"/>
    <w:rsid w:val="003D4301"/>
    <w:rsid w:val="003D6F29"/>
    <w:rsid w:val="003F05BF"/>
    <w:rsid w:val="004052D9"/>
    <w:rsid w:val="00410CB4"/>
    <w:rsid w:val="00415E67"/>
    <w:rsid w:val="0041783B"/>
    <w:rsid w:val="00422890"/>
    <w:rsid w:val="00422B45"/>
    <w:rsid w:val="004532C3"/>
    <w:rsid w:val="004643E8"/>
    <w:rsid w:val="00474304"/>
    <w:rsid w:val="00482114"/>
    <w:rsid w:val="00486AAF"/>
    <w:rsid w:val="004B61F3"/>
    <w:rsid w:val="004C2CED"/>
    <w:rsid w:val="004C73BB"/>
    <w:rsid w:val="004D7306"/>
    <w:rsid w:val="004F4B3E"/>
    <w:rsid w:val="0050303C"/>
    <w:rsid w:val="005100CB"/>
    <w:rsid w:val="00521C3A"/>
    <w:rsid w:val="005324FC"/>
    <w:rsid w:val="00534759"/>
    <w:rsid w:val="005517A9"/>
    <w:rsid w:val="005629DE"/>
    <w:rsid w:val="005653BF"/>
    <w:rsid w:val="005664A4"/>
    <w:rsid w:val="00575707"/>
    <w:rsid w:val="005805D4"/>
    <w:rsid w:val="0059344E"/>
    <w:rsid w:val="005B1181"/>
    <w:rsid w:val="005C59EC"/>
    <w:rsid w:val="005C74C3"/>
    <w:rsid w:val="005D539A"/>
    <w:rsid w:val="005F02AC"/>
    <w:rsid w:val="00604857"/>
    <w:rsid w:val="00623E9C"/>
    <w:rsid w:val="00647DEF"/>
    <w:rsid w:val="0065173D"/>
    <w:rsid w:val="00654222"/>
    <w:rsid w:val="00656555"/>
    <w:rsid w:val="00676F6D"/>
    <w:rsid w:val="0068038C"/>
    <w:rsid w:val="006A167E"/>
    <w:rsid w:val="006C1622"/>
    <w:rsid w:val="006C6054"/>
    <w:rsid w:val="00702698"/>
    <w:rsid w:val="0071670F"/>
    <w:rsid w:val="0071713C"/>
    <w:rsid w:val="00717412"/>
    <w:rsid w:val="007174A0"/>
    <w:rsid w:val="00717D27"/>
    <w:rsid w:val="007254E5"/>
    <w:rsid w:val="00734B45"/>
    <w:rsid w:val="00744F51"/>
    <w:rsid w:val="007674A4"/>
    <w:rsid w:val="00767618"/>
    <w:rsid w:val="00773796"/>
    <w:rsid w:val="0078174F"/>
    <w:rsid w:val="007A0288"/>
    <w:rsid w:val="007A1407"/>
    <w:rsid w:val="007A5C38"/>
    <w:rsid w:val="007B4C71"/>
    <w:rsid w:val="007C2A74"/>
    <w:rsid w:val="007C707E"/>
    <w:rsid w:val="007D4124"/>
    <w:rsid w:val="007D7D65"/>
    <w:rsid w:val="00814F8B"/>
    <w:rsid w:val="00816259"/>
    <w:rsid w:val="00837427"/>
    <w:rsid w:val="00840B8C"/>
    <w:rsid w:val="008501AE"/>
    <w:rsid w:val="00850B7A"/>
    <w:rsid w:val="0085155D"/>
    <w:rsid w:val="008729EF"/>
    <w:rsid w:val="008818D0"/>
    <w:rsid w:val="008870FE"/>
    <w:rsid w:val="008A04F9"/>
    <w:rsid w:val="008B2936"/>
    <w:rsid w:val="008C605E"/>
    <w:rsid w:val="008C6C55"/>
    <w:rsid w:val="008D7A47"/>
    <w:rsid w:val="008F2F62"/>
    <w:rsid w:val="009047E6"/>
    <w:rsid w:val="00906DF7"/>
    <w:rsid w:val="00913ACC"/>
    <w:rsid w:val="00923C23"/>
    <w:rsid w:val="009308EB"/>
    <w:rsid w:val="00932768"/>
    <w:rsid w:val="00943091"/>
    <w:rsid w:val="00954C8A"/>
    <w:rsid w:val="009551F1"/>
    <w:rsid w:val="00962CFA"/>
    <w:rsid w:val="009647E8"/>
    <w:rsid w:val="009660C9"/>
    <w:rsid w:val="00967D4C"/>
    <w:rsid w:val="0099506A"/>
    <w:rsid w:val="009C1C49"/>
    <w:rsid w:val="009D1A19"/>
    <w:rsid w:val="009D6FBD"/>
    <w:rsid w:val="009E3E1F"/>
    <w:rsid w:val="00A06893"/>
    <w:rsid w:val="00A16469"/>
    <w:rsid w:val="00A519D4"/>
    <w:rsid w:val="00A5415C"/>
    <w:rsid w:val="00A54813"/>
    <w:rsid w:val="00A572A9"/>
    <w:rsid w:val="00A60197"/>
    <w:rsid w:val="00A624F9"/>
    <w:rsid w:val="00A67960"/>
    <w:rsid w:val="00A72E01"/>
    <w:rsid w:val="00A73407"/>
    <w:rsid w:val="00A96F95"/>
    <w:rsid w:val="00AB2D75"/>
    <w:rsid w:val="00AC6F84"/>
    <w:rsid w:val="00AD21E0"/>
    <w:rsid w:val="00AD7D50"/>
    <w:rsid w:val="00AF4A83"/>
    <w:rsid w:val="00B0346B"/>
    <w:rsid w:val="00B35AED"/>
    <w:rsid w:val="00B368B2"/>
    <w:rsid w:val="00B4789B"/>
    <w:rsid w:val="00B54F1A"/>
    <w:rsid w:val="00B70EEC"/>
    <w:rsid w:val="00B81AED"/>
    <w:rsid w:val="00B96834"/>
    <w:rsid w:val="00BB4EE0"/>
    <w:rsid w:val="00BB72E1"/>
    <w:rsid w:val="00BC0952"/>
    <w:rsid w:val="00BC7C74"/>
    <w:rsid w:val="00BD3AD1"/>
    <w:rsid w:val="00BD51D1"/>
    <w:rsid w:val="00BD6757"/>
    <w:rsid w:val="00BE5817"/>
    <w:rsid w:val="00BE6377"/>
    <w:rsid w:val="00BE7ABC"/>
    <w:rsid w:val="00BF0DA7"/>
    <w:rsid w:val="00BF2D17"/>
    <w:rsid w:val="00BF6CBC"/>
    <w:rsid w:val="00BF6DEB"/>
    <w:rsid w:val="00C10388"/>
    <w:rsid w:val="00C15D6E"/>
    <w:rsid w:val="00C2667E"/>
    <w:rsid w:val="00C40FD3"/>
    <w:rsid w:val="00C64757"/>
    <w:rsid w:val="00C71FA3"/>
    <w:rsid w:val="00C760DE"/>
    <w:rsid w:val="00C87D4A"/>
    <w:rsid w:val="00C9407B"/>
    <w:rsid w:val="00CA0684"/>
    <w:rsid w:val="00CA65CD"/>
    <w:rsid w:val="00CB6323"/>
    <w:rsid w:val="00CC0DC5"/>
    <w:rsid w:val="00CC10DD"/>
    <w:rsid w:val="00CE0A01"/>
    <w:rsid w:val="00CF211A"/>
    <w:rsid w:val="00D113FF"/>
    <w:rsid w:val="00D11801"/>
    <w:rsid w:val="00D315B4"/>
    <w:rsid w:val="00D317A0"/>
    <w:rsid w:val="00D56426"/>
    <w:rsid w:val="00D5785F"/>
    <w:rsid w:val="00D60D74"/>
    <w:rsid w:val="00D75E86"/>
    <w:rsid w:val="00D77BD9"/>
    <w:rsid w:val="00D902CA"/>
    <w:rsid w:val="00DB3DF3"/>
    <w:rsid w:val="00DC38AC"/>
    <w:rsid w:val="00DC5ED7"/>
    <w:rsid w:val="00DC71AA"/>
    <w:rsid w:val="00DC7E92"/>
    <w:rsid w:val="00DD2EB9"/>
    <w:rsid w:val="00DF0F19"/>
    <w:rsid w:val="00DF3F1E"/>
    <w:rsid w:val="00E0575D"/>
    <w:rsid w:val="00E071D2"/>
    <w:rsid w:val="00E15856"/>
    <w:rsid w:val="00E21CFD"/>
    <w:rsid w:val="00E23B41"/>
    <w:rsid w:val="00E3011A"/>
    <w:rsid w:val="00E66DFB"/>
    <w:rsid w:val="00E81ABE"/>
    <w:rsid w:val="00E8306D"/>
    <w:rsid w:val="00E87B60"/>
    <w:rsid w:val="00E90FE3"/>
    <w:rsid w:val="00EA2390"/>
    <w:rsid w:val="00EA36AC"/>
    <w:rsid w:val="00EB4C44"/>
    <w:rsid w:val="00EB737A"/>
    <w:rsid w:val="00EC0193"/>
    <w:rsid w:val="00EC796B"/>
    <w:rsid w:val="00ED4E1F"/>
    <w:rsid w:val="00EF1D6C"/>
    <w:rsid w:val="00EF49F7"/>
    <w:rsid w:val="00EF4EC6"/>
    <w:rsid w:val="00EF649F"/>
    <w:rsid w:val="00F273EB"/>
    <w:rsid w:val="00F31E9C"/>
    <w:rsid w:val="00F33951"/>
    <w:rsid w:val="00F33F7F"/>
    <w:rsid w:val="00F4705B"/>
    <w:rsid w:val="00F71A30"/>
    <w:rsid w:val="00F75885"/>
    <w:rsid w:val="00FA3D55"/>
    <w:rsid w:val="00FB5B71"/>
    <w:rsid w:val="00FC2841"/>
    <w:rsid w:val="00FC3B97"/>
    <w:rsid w:val="00FC4351"/>
    <w:rsid w:val="00FC6DEC"/>
    <w:rsid w:val="00FD054F"/>
    <w:rsid w:val="00FD0DD4"/>
    <w:rsid w:val="00FF29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37A"/>
    <w:pPr>
      <w:suppressAutoHyphens/>
    </w:pPr>
    <w:rPr>
      <w:sz w:val="24"/>
      <w:lang w:val="fr-FR" w:eastAsia="fr-FR"/>
    </w:rPr>
  </w:style>
  <w:style w:type="paragraph" w:styleId="Heading1">
    <w:name w:val="heading 1"/>
    <w:basedOn w:val="Normal"/>
    <w:next w:val="Normal"/>
    <w:link w:val="Heading1Char"/>
    <w:qFormat/>
    <w:rsid w:val="00EB737A"/>
    <w:pPr>
      <w:keepNext/>
      <w:numPr>
        <w:numId w:val="13"/>
      </w:numPr>
      <w:spacing w:before="360" w:after="240"/>
      <w:jc w:val="center"/>
      <w:outlineLvl w:val="0"/>
    </w:pPr>
    <w:rPr>
      <w:b/>
      <w:sz w:val="28"/>
    </w:rPr>
  </w:style>
  <w:style w:type="paragraph" w:styleId="Heading2">
    <w:name w:val="heading 2"/>
    <w:basedOn w:val="Normal"/>
    <w:next w:val="Normal"/>
    <w:link w:val="Heading2Char"/>
    <w:qFormat/>
    <w:rsid w:val="00EB737A"/>
    <w:pPr>
      <w:keepNext/>
      <w:numPr>
        <w:ilvl w:val="1"/>
        <w:numId w:val="13"/>
      </w:numPr>
      <w:spacing w:before="240" w:after="120"/>
      <w:outlineLvl w:val="1"/>
    </w:pPr>
    <w:rPr>
      <w:b/>
    </w:rPr>
  </w:style>
  <w:style w:type="paragraph" w:styleId="Heading3">
    <w:name w:val="heading 3"/>
    <w:basedOn w:val="Normal"/>
    <w:next w:val="Normal"/>
    <w:link w:val="Heading3Char"/>
    <w:qFormat/>
    <w:rsid w:val="00EB737A"/>
    <w:pPr>
      <w:keepNext/>
      <w:numPr>
        <w:ilvl w:val="2"/>
        <w:numId w:val="13"/>
      </w:numPr>
      <w:spacing w:before="120" w:after="60"/>
      <w:outlineLvl w:val="2"/>
    </w:pPr>
    <w:rPr>
      <w:i/>
    </w:rPr>
  </w:style>
  <w:style w:type="paragraph" w:styleId="Heading4">
    <w:name w:val="heading 4"/>
    <w:basedOn w:val="Normal"/>
    <w:next w:val="Normal"/>
    <w:link w:val="Heading4Char"/>
    <w:qFormat/>
    <w:rsid w:val="00EB737A"/>
    <w:pPr>
      <w:keepNext/>
      <w:numPr>
        <w:ilvl w:val="3"/>
        <w:numId w:val="13"/>
      </w:numPr>
      <w:spacing w:before="240" w:after="60"/>
      <w:outlineLvl w:val="3"/>
    </w:pPr>
    <w:rPr>
      <w:b/>
      <w:bCs/>
      <w:sz w:val="28"/>
      <w:szCs w:val="28"/>
    </w:rPr>
  </w:style>
  <w:style w:type="paragraph" w:styleId="Heading5">
    <w:name w:val="heading 5"/>
    <w:basedOn w:val="Normal"/>
    <w:next w:val="Normal"/>
    <w:link w:val="Heading5Char"/>
    <w:qFormat/>
    <w:rsid w:val="00EB737A"/>
    <w:pPr>
      <w:suppressAutoHyphens w:val="0"/>
      <w:spacing w:before="200"/>
      <w:jc w:val="both"/>
      <w:outlineLvl w:val="4"/>
    </w:pPr>
    <w:rPr>
      <w:b/>
      <w:bCs/>
      <w:color w:val="808080"/>
      <w:sz w:val="22"/>
      <w:szCs w:val="22"/>
    </w:rPr>
  </w:style>
  <w:style w:type="paragraph" w:styleId="Heading6">
    <w:name w:val="heading 6"/>
    <w:basedOn w:val="Normal"/>
    <w:next w:val="Normal"/>
    <w:link w:val="Heading6Char"/>
    <w:qFormat/>
    <w:rsid w:val="00EB737A"/>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EB737A"/>
    <w:pPr>
      <w:suppressAutoHyphens w:val="0"/>
      <w:jc w:val="both"/>
      <w:outlineLvl w:val="6"/>
    </w:pPr>
    <w:rPr>
      <w:i/>
      <w:iCs/>
      <w:sz w:val="22"/>
      <w:szCs w:val="22"/>
    </w:rPr>
  </w:style>
  <w:style w:type="paragraph" w:styleId="Heading8">
    <w:name w:val="heading 8"/>
    <w:basedOn w:val="Normal"/>
    <w:next w:val="Normal"/>
    <w:link w:val="Heading8Char"/>
    <w:qFormat/>
    <w:rsid w:val="00EB737A"/>
    <w:pPr>
      <w:suppressAutoHyphens w:val="0"/>
      <w:jc w:val="both"/>
      <w:outlineLvl w:val="7"/>
    </w:pPr>
    <w:rPr>
      <w:sz w:val="20"/>
    </w:rPr>
  </w:style>
  <w:style w:type="paragraph" w:styleId="Heading9">
    <w:name w:val="heading 9"/>
    <w:basedOn w:val="Normal"/>
    <w:next w:val="Normal"/>
    <w:link w:val="Heading9Char"/>
    <w:qFormat/>
    <w:rsid w:val="00EB737A"/>
    <w:pPr>
      <w:suppressAutoHyphens w:val="0"/>
      <w:jc w:val="both"/>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HRPara">
    <w:name w:val="ECHR_Para"/>
    <w:aliases w:val="Ju_Para"/>
    <w:basedOn w:val="Normal"/>
    <w:link w:val="JuParaCar"/>
    <w:rsid w:val="00EB737A"/>
    <w:pPr>
      <w:suppressAutoHyphens w:val="0"/>
      <w:ind w:firstLine="284"/>
      <w:jc w:val="both"/>
    </w:pPr>
    <w:rPr>
      <w:lang w:val="en-US" w:eastAsia="en-US"/>
    </w:rPr>
  </w:style>
  <w:style w:type="character" w:customStyle="1" w:styleId="JuParaCar">
    <w:name w:val="Ju_Para Car"/>
    <w:link w:val="ECHRPara"/>
    <w:locked/>
    <w:rsid w:val="00EB737A"/>
    <w:rPr>
      <w:sz w:val="24"/>
      <w:lang w:val="en-US" w:eastAsia="en-US" w:bidi="ar-SA"/>
    </w:rPr>
  </w:style>
  <w:style w:type="paragraph" w:customStyle="1" w:styleId="ECHRHeading1">
    <w:name w:val="ECHR_Heading_1"/>
    <w:aliases w:val="Ju_H_I_Roman"/>
    <w:basedOn w:val="Heading1"/>
    <w:next w:val="ECHRPara"/>
    <w:rsid w:val="00EB737A"/>
    <w:pPr>
      <w:keepLines/>
      <w:numPr>
        <w:numId w:val="0"/>
      </w:numPr>
      <w:tabs>
        <w:tab w:val="left" w:pos="357"/>
      </w:tabs>
      <w:suppressAutoHyphens w:val="0"/>
      <w:ind w:left="357" w:hanging="357"/>
      <w:jc w:val="both"/>
    </w:pPr>
    <w:rPr>
      <w:b w:val="0"/>
      <w:bCs/>
      <w:sz w:val="24"/>
      <w:szCs w:val="28"/>
    </w:rPr>
  </w:style>
  <w:style w:type="paragraph" w:customStyle="1" w:styleId="ECHRTitle1">
    <w:name w:val="ECHR_Title_1"/>
    <w:aliases w:val="Ju_H_Head"/>
    <w:basedOn w:val="Normal"/>
    <w:next w:val="ECHRPara"/>
    <w:rsid w:val="00EB737A"/>
    <w:pPr>
      <w:keepNext/>
      <w:keepLines/>
      <w:suppressAutoHyphens w:val="0"/>
      <w:spacing w:before="720" w:after="240"/>
      <w:jc w:val="both"/>
      <w:outlineLvl w:val="0"/>
    </w:pPr>
    <w:rPr>
      <w:sz w:val="28"/>
      <w:szCs w:val="22"/>
    </w:rPr>
  </w:style>
  <w:style w:type="paragraph" w:styleId="Footer">
    <w:name w:val="footer"/>
    <w:basedOn w:val="Normal"/>
    <w:link w:val="FooterChar"/>
    <w:rsid w:val="00EB737A"/>
    <w:pPr>
      <w:tabs>
        <w:tab w:val="center" w:pos="3686"/>
        <w:tab w:val="right" w:pos="7371"/>
      </w:tabs>
    </w:pPr>
    <w:rPr>
      <w:sz w:val="18"/>
    </w:rPr>
  </w:style>
  <w:style w:type="character" w:customStyle="1" w:styleId="JuNames">
    <w:name w:val="Ju_Names"/>
    <w:rsid w:val="00EB737A"/>
    <w:rPr>
      <w:rFonts w:ascii="Times New Roman" w:hAnsi="Times New Roman" w:cs="Times New Roman"/>
      <w:smallCaps/>
    </w:rPr>
  </w:style>
  <w:style w:type="paragraph" w:customStyle="1" w:styleId="ECHRHeading2">
    <w:name w:val="ECHR_Heading_2"/>
    <w:aliases w:val="Ju_H_A"/>
    <w:basedOn w:val="Heading2"/>
    <w:next w:val="ECHRPara"/>
    <w:rsid w:val="00EB737A"/>
    <w:pPr>
      <w:keepLines/>
      <w:numPr>
        <w:ilvl w:val="0"/>
        <w:numId w:val="0"/>
      </w:numPr>
      <w:tabs>
        <w:tab w:val="left" w:pos="584"/>
      </w:tabs>
      <w:suppressAutoHyphens w:val="0"/>
      <w:spacing w:before="360" w:after="240"/>
      <w:ind w:left="584" w:hanging="352"/>
      <w:jc w:val="both"/>
    </w:pPr>
    <w:rPr>
      <w:bCs/>
      <w:szCs w:val="26"/>
    </w:rPr>
  </w:style>
  <w:style w:type="paragraph" w:customStyle="1" w:styleId="ECHRParaQuote">
    <w:name w:val="ECHR_Para_Quote"/>
    <w:aliases w:val="Ju_Quot"/>
    <w:basedOn w:val="Normal"/>
    <w:rsid w:val="00EB737A"/>
    <w:pPr>
      <w:suppressAutoHyphens w:val="0"/>
      <w:spacing w:before="120" w:after="120"/>
      <w:ind w:left="425" w:firstLine="142"/>
      <w:jc w:val="both"/>
    </w:pPr>
    <w:rPr>
      <w:sz w:val="20"/>
      <w:szCs w:val="22"/>
    </w:rPr>
  </w:style>
  <w:style w:type="paragraph" w:customStyle="1" w:styleId="JuSigned">
    <w:name w:val="Ju_Signed"/>
    <w:basedOn w:val="Normal"/>
    <w:next w:val="JuParaLast"/>
    <w:rsid w:val="00EB737A"/>
    <w:pPr>
      <w:tabs>
        <w:tab w:val="center" w:pos="851"/>
        <w:tab w:val="center" w:pos="6407"/>
      </w:tabs>
      <w:suppressAutoHyphens w:val="0"/>
      <w:spacing w:before="720"/>
    </w:pPr>
    <w:rPr>
      <w:szCs w:val="22"/>
    </w:rPr>
  </w:style>
  <w:style w:type="paragraph" w:customStyle="1" w:styleId="JuParaLast">
    <w:name w:val="Ju_Para_Last"/>
    <w:basedOn w:val="Normal"/>
    <w:next w:val="ECHRPara"/>
    <w:rsid w:val="00EB737A"/>
    <w:pPr>
      <w:keepNext/>
      <w:keepLines/>
      <w:suppressAutoHyphens w:val="0"/>
      <w:spacing w:before="240"/>
      <w:ind w:firstLine="284"/>
      <w:jc w:val="both"/>
    </w:pPr>
    <w:rPr>
      <w:szCs w:val="22"/>
    </w:rPr>
  </w:style>
  <w:style w:type="paragraph" w:customStyle="1" w:styleId="JuCase">
    <w:name w:val="Ju_Case"/>
    <w:basedOn w:val="ECHRPara"/>
    <w:next w:val="ECHRPara"/>
    <w:rsid w:val="00EB737A"/>
    <w:rPr>
      <w:b/>
    </w:rPr>
  </w:style>
  <w:style w:type="paragraph" w:customStyle="1" w:styleId="JuList">
    <w:name w:val="Ju_List"/>
    <w:basedOn w:val="Normal"/>
    <w:link w:val="JuListChar"/>
    <w:rsid w:val="00EB737A"/>
    <w:pPr>
      <w:suppressAutoHyphens w:val="0"/>
      <w:ind w:left="340" w:hanging="340"/>
      <w:jc w:val="both"/>
    </w:pPr>
    <w:rPr>
      <w:szCs w:val="22"/>
    </w:rPr>
  </w:style>
  <w:style w:type="paragraph" w:customStyle="1" w:styleId="ECHRHeading3">
    <w:name w:val="ECHR_Heading_3"/>
    <w:aliases w:val="Ju_H_1."/>
    <w:basedOn w:val="Heading3"/>
    <w:next w:val="ECHRPara"/>
    <w:link w:val="JuH1Char"/>
    <w:rsid w:val="00EB737A"/>
    <w:pPr>
      <w:keepLines/>
      <w:numPr>
        <w:ilvl w:val="0"/>
        <w:numId w:val="0"/>
      </w:numPr>
      <w:tabs>
        <w:tab w:val="left" w:pos="731"/>
      </w:tabs>
      <w:suppressAutoHyphens w:val="0"/>
      <w:spacing w:before="240" w:after="120"/>
      <w:ind w:left="732" w:hanging="301"/>
      <w:jc w:val="both"/>
    </w:pPr>
    <w:rPr>
      <w:bCs/>
      <w:szCs w:val="22"/>
    </w:rPr>
  </w:style>
  <w:style w:type="paragraph" w:styleId="CommentText">
    <w:name w:val="annotation text"/>
    <w:basedOn w:val="Normal"/>
    <w:link w:val="CommentTextChar"/>
    <w:semiHidden/>
    <w:rsid w:val="00EB737A"/>
    <w:rPr>
      <w:sz w:val="20"/>
    </w:rPr>
  </w:style>
  <w:style w:type="paragraph" w:styleId="CommentSubject">
    <w:name w:val="annotation subject"/>
    <w:basedOn w:val="CommentText"/>
    <w:next w:val="CommentText"/>
    <w:link w:val="CommentSubjectChar"/>
    <w:semiHidden/>
    <w:rsid w:val="00EB737A"/>
    <w:rPr>
      <w:b/>
      <w:bCs/>
    </w:rPr>
  </w:style>
  <w:style w:type="paragraph" w:customStyle="1" w:styleId="JuCourt">
    <w:name w:val="Ju_Court"/>
    <w:basedOn w:val="Normal"/>
    <w:next w:val="Normal"/>
    <w:rsid w:val="00EB737A"/>
    <w:pPr>
      <w:tabs>
        <w:tab w:val="left" w:pos="907"/>
        <w:tab w:val="left" w:pos="1701"/>
        <w:tab w:val="right" w:pos="7371"/>
      </w:tabs>
      <w:suppressAutoHyphens w:val="0"/>
      <w:spacing w:before="240"/>
      <w:ind w:left="397" w:hanging="397"/>
    </w:pPr>
    <w:rPr>
      <w:szCs w:val="22"/>
    </w:rPr>
  </w:style>
  <w:style w:type="paragraph" w:styleId="FootnoteText">
    <w:name w:val="footnote text"/>
    <w:basedOn w:val="Normal"/>
    <w:link w:val="FootnoteTextChar"/>
    <w:semiHidden/>
    <w:rsid w:val="00EB737A"/>
    <w:pPr>
      <w:jc w:val="both"/>
    </w:pPr>
    <w:rPr>
      <w:sz w:val="20"/>
    </w:rPr>
  </w:style>
  <w:style w:type="character" w:styleId="FootnoteReference">
    <w:name w:val="footnote reference"/>
    <w:semiHidden/>
    <w:rsid w:val="00EB737A"/>
    <w:rPr>
      <w:rFonts w:ascii="Times New Roman" w:hAnsi="Times New Roman" w:cs="Times New Roman"/>
      <w:vertAlign w:val="superscript"/>
    </w:rPr>
  </w:style>
  <w:style w:type="paragraph" w:styleId="Header">
    <w:name w:val="header"/>
    <w:basedOn w:val="Normal"/>
    <w:link w:val="HeaderChar"/>
    <w:rsid w:val="00EB737A"/>
    <w:pPr>
      <w:tabs>
        <w:tab w:val="center" w:pos="3686"/>
        <w:tab w:val="right" w:pos="7371"/>
      </w:tabs>
    </w:pPr>
    <w:rPr>
      <w:sz w:val="18"/>
    </w:rPr>
  </w:style>
  <w:style w:type="character" w:styleId="PageNumber">
    <w:name w:val="page number"/>
    <w:rsid w:val="00EB737A"/>
    <w:rPr>
      <w:rFonts w:ascii="Times New Roman" w:hAnsi="Times New Roman" w:cs="Times New Roman"/>
      <w:sz w:val="18"/>
    </w:rPr>
  </w:style>
  <w:style w:type="paragraph" w:customStyle="1" w:styleId="JuLista">
    <w:name w:val="Ju_List_a"/>
    <w:basedOn w:val="JuList"/>
    <w:rsid w:val="00EB737A"/>
    <w:pPr>
      <w:ind w:left="346" w:firstLine="0"/>
    </w:pPr>
  </w:style>
  <w:style w:type="paragraph" w:customStyle="1" w:styleId="JuListi">
    <w:name w:val="Ju_List_i"/>
    <w:basedOn w:val="Normal"/>
    <w:next w:val="JuLista"/>
    <w:rsid w:val="00EB737A"/>
    <w:pPr>
      <w:suppressAutoHyphens w:val="0"/>
      <w:ind w:left="794"/>
      <w:jc w:val="both"/>
    </w:pPr>
    <w:rPr>
      <w:szCs w:val="22"/>
    </w:rPr>
  </w:style>
  <w:style w:type="character" w:styleId="CommentReference">
    <w:name w:val="annotation reference"/>
    <w:semiHidden/>
    <w:rsid w:val="00EB737A"/>
    <w:rPr>
      <w:rFonts w:ascii="Times New Roman" w:hAnsi="Times New Roman" w:cs="Times New Roman"/>
      <w:sz w:val="16"/>
      <w:szCs w:val="16"/>
    </w:rPr>
  </w:style>
  <w:style w:type="paragraph" w:customStyle="1" w:styleId="JuInitialled">
    <w:name w:val="Ju_Initialled"/>
    <w:basedOn w:val="Normal"/>
    <w:rsid w:val="00EB737A"/>
    <w:pPr>
      <w:tabs>
        <w:tab w:val="center" w:pos="6407"/>
      </w:tabs>
      <w:suppressAutoHyphens w:val="0"/>
      <w:spacing w:before="720"/>
      <w:jc w:val="right"/>
    </w:pPr>
    <w:rPr>
      <w:szCs w:val="22"/>
    </w:rPr>
  </w:style>
  <w:style w:type="paragraph" w:styleId="BalloonText">
    <w:name w:val="Balloon Text"/>
    <w:basedOn w:val="Normal"/>
    <w:link w:val="BalloonTextChar"/>
    <w:semiHidden/>
    <w:rsid w:val="00EB737A"/>
    <w:rPr>
      <w:rFonts w:ascii="Tahoma" w:hAnsi="Tahoma" w:cs="Tahoma"/>
      <w:sz w:val="16"/>
      <w:szCs w:val="16"/>
    </w:rPr>
  </w:style>
  <w:style w:type="character" w:styleId="EndnoteReference">
    <w:name w:val="endnote reference"/>
    <w:semiHidden/>
    <w:rsid w:val="00EB737A"/>
    <w:rPr>
      <w:rFonts w:ascii="Times New Roman" w:hAnsi="Times New Roman" w:cs="Times New Roman"/>
      <w:vertAlign w:val="superscript"/>
    </w:rPr>
  </w:style>
  <w:style w:type="paragraph" w:styleId="EndnoteText">
    <w:name w:val="endnote text"/>
    <w:basedOn w:val="Normal"/>
    <w:link w:val="EndnoteTextChar"/>
    <w:semiHidden/>
    <w:rsid w:val="00EB737A"/>
    <w:rPr>
      <w:sz w:val="20"/>
    </w:rPr>
  </w:style>
  <w:style w:type="character" w:styleId="FollowedHyperlink">
    <w:name w:val="FollowedHyperlink"/>
    <w:rsid w:val="00EB737A"/>
    <w:rPr>
      <w:rFonts w:ascii="Times New Roman" w:hAnsi="Times New Roman" w:cs="Times New Roman"/>
      <w:color w:val="800080"/>
      <w:u w:val="single"/>
    </w:rPr>
  </w:style>
  <w:style w:type="character" w:styleId="Hyperlink">
    <w:name w:val="Hyperlink"/>
    <w:rsid w:val="00EB737A"/>
    <w:rPr>
      <w:rFonts w:ascii="Times New Roman" w:hAnsi="Times New Roman" w:cs="Times New Roman"/>
      <w:color w:val="0000FF"/>
      <w:u w:val="single"/>
    </w:rPr>
  </w:style>
  <w:style w:type="character" w:styleId="Strong">
    <w:name w:val="Strong"/>
    <w:qFormat/>
    <w:rsid w:val="00EB737A"/>
    <w:rPr>
      <w:b/>
    </w:rPr>
  </w:style>
  <w:style w:type="paragraph" w:styleId="DocumentMap">
    <w:name w:val="Document Map"/>
    <w:basedOn w:val="Normal"/>
    <w:link w:val="DocumentMapChar"/>
    <w:semiHidden/>
    <w:rsid w:val="00EB737A"/>
    <w:pPr>
      <w:shd w:val="clear" w:color="auto" w:fill="000080"/>
    </w:pPr>
    <w:rPr>
      <w:rFonts w:ascii="Tahoma" w:hAnsi="Tahoma" w:cs="Tahoma"/>
      <w:sz w:val="20"/>
    </w:rPr>
  </w:style>
  <w:style w:type="paragraph" w:styleId="ListBullet">
    <w:name w:val="List Bullet"/>
    <w:basedOn w:val="NormalTimesNewRoman"/>
    <w:rsid w:val="00EB737A"/>
    <w:pPr>
      <w:numPr>
        <w:numId w:val="1"/>
      </w:numPr>
    </w:pPr>
  </w:style>
  <w:style w:type="character" w:customStyle="1" w:styleId="Heading1Char">
    <w:name w:val="Heading 1 Char"/>
    <w:link w:val="Heading1"/>
    <w:locked/>
    <w:rsid w:val="00EB737A"/>
    <w:rPr>
      <w:b/>
      <w:sz w:val="28"/>
      <w:lang w:val="fr-FR" w:eastAsia="fr-FR" w:bidi="ar-SA"/>
    </w:rPr>
  </w:style>
  <w:style w:type="character" w:customStyle="1" w:styleId="Heading2Char">
    <w:name w:val="Heading 2 Char"/>
    <w:link w:val="Heading2"/>
    <w:locked/>
    <w:rsid w:val="00EB737A"/>
    <w:rPr>
      <w:b/>
      <w:sz w:val="24"/>
      <w:lang w:val="fr-FR" w:eastAsia="fr-FR" w:bidi="ar-SA"/>
    </w:rPr>
  </w:style>
  <w:style w:type="character" w:customStyle="1" w:styleId="Heading3Char">
    <w:name w:val="Heading 3 Char"/>
    <w:link w:val="Heading3"/>
    <w:locked/>
    <w:rsid w:val="00EB737A"/>
    <w:rPr>
      <w:i/>
      <w:sz w:val="24"/>
      <w:lang w:val="fr-FR" w:eastAsia="fr-FR" w:bidi="ar-SA"/>
    </w:rPr>
  </w:style>
  <w:style w:type="character" w:customStyle="1" w:styleId="Heading4Char">
    <w:name w:val="Heading 4 Char"/>
    <w:link w:val="Heading4"/>
    <w:locked/>
    <w:rsid w:val="00EB737A"/>
    <w:rPr>
      <w:b/>
      <w:bCs/>
      <w:sz w:val="28"/>
      <w:szCs w:val="28"/>
      <w:lang w:val="fr-FR" w:eastAsia="fr-FR" w:bidi="ar-SA"/>
    </w:rPr>
  </w:style>
  <w:style w:type="character" w:customStyle="1" w:styleId="Heading5Char">
    <w:name w:val="Heading 5 Char"/>
    <w:link w:val="Heading5"/>
    <w:locked/>
    <w:rsid w:val="00EB737A"/>
    <w:rPr>
      <w:b/>
      <w:bCs/>
      <w:color w:val="808080"/>
      <w:sz w:val="22"/>
      <w:szCs w:val="22"/>
      <w:lang w:val="fr-FR" w:eastAsia="fr-FR" w:bidi="ar-SA"/>
    </w:rPr>
  </w:style>
  <w:style w:type="character" w:customStyle="1" w:styleId="Heading6Char">
    <w:name w:val="Heading 6 Char"/>
    <w:link w:val="Heading6"/>
    <w:locked/>
    <w:rsid w:val="00EB737A"/>
    <w:rPr>
      <w:b/>
      <w:bCs/>
      <w:sz w:val="22"/>
      <w:szCs w:val="22"/>
      <w:lang w:val="fr-FR" w:eastAsia="fr-FR" w:bidi="ar-SA"/>
    </w:rPr>
  </w:style>
  <w:style w:type="character" w:customStyle="1" w:styleId="Heading7Char">
    <w:name w:val="Heading 7 Char"/>
    <w:link w:val="Heading7"/>
    <w:locked/>
    <w:rsid w:val="00EB737A"/>
    <w:rPr>
      <w:i/>
      <w:iCs/>
      <w:sz w:val="22"/>
      <w:szCs w:val="22"/>
      <w:lang w:val="fr-FR" w:eastAsia="fr-FR" w:bidi="ar-SA"/>
    </w:rPr>
  </w:style>
  <w:style w:type="character" w:customStyle="1" w:styleId="Heading8Char">
    <w:name w:val="Heading 8 Char"/>
    <w:link w:val="Heading8"/>
    <w:locked/>
    <w:rsid w:val="00EB737A"/>
    <w:rPr>
      <w:lang w:val="fr-FR" w:eastAsia="fr-FR" w:bidi="ar-SA"/>
    </w:rPr>
  </w:style>
  <w:style w:type="character" w:customStyle="1" w:styleId="Heading9Char">
    <w:name w:val="Heading 9 Char"/>
    <w:link w:val="Heading9"/>
    <w:locked/>
    <w:rsid w:val="00EB737A"/>
    <w:rPr>
      <w:i/>
      <w:iCs/>
      <w:spacing w:val="5"/>
      <w:lang w:val="fr-FR" w:eastAsia="fr-FR" w:bidi="ar-SA"/>
    </w:rPr>
  </w:style>
  <w:style w:type="character" w:customStyle="1" w:styleId="BalloonTextChar">
    <w:name w:val="Balloon Text Char"/>
    <w:link w:val="BalloonText"/>
    <w:semiHidden/>
    <w:locked/>
    <w:rsid w:val="00EB737A"/>
    <w:rPr>
      <w:rFonts w:ascii="Tahoma" w:hAnsi="Tahoma" w:cs="Tahoma"/>
      <w:sz w:val="16"/>
      <w:szCs w:val="16"/>
      <w:lang w:val="fr-FR" w:eastAsia="fr-FR" w:bidi="ar-SA"/>
    </w:rPr>
  </w:style>
  <w:style w:type="character" w:styleId="BookTitle">
    <w:name w:val="Book Title"/>
    <w:qFormat/>
    <w:rsid w:val="00EB737A"/>
    <w:rPr>
      <w:i/>
      <w:smallCaps/>
      <w:spacing w:val="5"/>
    </w:rPr>
  </w:style>
  <w:style w:type="paragraph" w:styleId="NoSpacing">
    <w:name w:val="No Spacing"/>
    <w:basedOn w:val="Normal"/>
    <w:link w:val="NoSpacingChar"/>
    <w:qFormat/>
    <w:rsid w:val="00EB737A"/>
    <w:pPr>
      <w:suppressAutoHyphens w:val="0"/>
      <w:jc w:val="both"/>
    </w:pPr>
    <w:rPr>
      <w:sz w:val="22"/>
      <w:szCs w:val="22"/>
    </w:rPr>
  </w:style>
  <w:style w:type="character" w:customStyle="1" w:styleId="NoSpacingChar">
    <w:name w:val="No Spacing Char"/>
    <w:link w:val="NoSpacing"/>
    <w:locked/>
    <w:rsid w:val="00EB737A"/>
    <w:rPr>
      <w:sz w:val="22"/>
      <w:szCs w:val="22"/>
      <w:lang w:val="fr-FR" w:eastAsia="fr-FR" w:bidi="ar-SA"/>
    </w:rPr>
  </w:style>
  <w:style w:type="paragraph" w:styleId="Title">
    <w:name w:val="Title"/>
    <w:basedOn w:val="Normal"/>
    <w:next w:val="Normal"/>
    <w:link w:val="TitleChar"/>
    <w:qFormat/>
    <w:rsid w:val="00EB737A"/>
    <w:pPr>
      <w:pBdr>
        <w:bottom w:val="single" w:sz="4" w:space="1" w:color="auto"/>
      </w:pBdr>
      <w:suppressAutoHyphens w:val="0"/>
      <w:jc w:val="both"/>
    </w:pPr>
    <w:rPr>
      <w:spacing w:val="5"/>
      <w:sz w:val="52"/>
      <w:szCs w:val="52"/>
    </w:rPr>
  </w:style>
  <w:style w:type="character" w:customStyle="1" w:styleId="TitleChar">
    <w:name w:val="Title Char"/>
    <w:link w:val="Title"/>
    <w:locked/>
    <w:rsid w:val="00EB737A"/>
    <w:rPr>
      <w:spacing w:val="5"/>
      <w:sz w:val="52"/>
      <w:szCs w:val="52"/>
      <w:lang w:val="fr-FR" w:eastAsia="fr-FR" w:bidi="ar-SA"/>
    </w:rPr>
  </w:style>
  <w:style w:type="paragraph" w:styleId="Subtitle">
    <w:name w:val="Subtitle"/>
    <w:basedOn w:val="Normal"/>
    <w:next w:val="Normal"/>
    <w:link w:val="SubtitleChar"/>
    <w:qFormat/>
    <w:rsid w:val="00EB737A"/>
    <w:pPr>
      <w:suppressAutoHyphens w:val="0"/>
      <w:spacing w:after="600"/>
      <w:jc w:val="both"/>
    </w:pPr>
    <w:rPr>
      <w:i/>
      <w:iCs/>
      <w:spacing w:val="13"/>
      <w:szCs w:val="24"/>
    </w:rPr>
  </w:style>
  <w:style w:type="character" w:customStyle="1" w:styleId="SubtitleChar">
    <w:name w:val="Subtitle Char"/>
    <w:link w:val="Subtitle"/>
    <w:locked/>
    <w:rsid w:val="00EB737A"/>
    <w:rPr>
      <w:i/>
      <w:iCs/>
      <w:spacing w:val="13"/>
      <w:sz w:val="24"/>
      <w:szCs w:val="24"/>
      <w:lang w:val="fr-FR" w:eastAsia="fr-FR" w:bidi="ar-SA"/>
    </w:rPr>
  </w:style>
  <w:style w:type="paragraph" w:customStyle="1" w:styleId="ECHRFooter">
    <w:name w:val="ECHR_Footer"/>
    <w:aliases w:val="Footer_ECHR"/>
    <w:basedOn w:val="Footer"/>
    <w:semiHidden/>
    <w:rsid w:val="00EB737A"/>
    <w:rPr>
      <w:sz w:val="8"/>
    </w:rPr>
  </w:style>
  <w:style w:type="paragraph" w:customStyle="1" w:styleId="ECHRFooterLine">
    <w:name w:val="ECHR_Footer_Line"/>
    <w:aliases w:val="Footer_Line"/>
    <w:basedOn w:val="Normal"/>
    <w:next w:val="ECHRFooter"/>
    <w:semiHidden/>
    <w:rsid w:val="00EB737A"/>
    <w:pPr>
      <w:pBdr>
        <w:top w:val="single" w:sz="6" w:space="1" w:color="5F5F5F"/>
      </w:pBdr>
      <w:tabs>
        <w:tab w:val="center" w:pos="4536"/>
        <w:tab w:val="right" w:pos="9696"/>
      </w:tabs>
      <w:ind w:left="-680" w:right="-680"/>
    </w:pPr>
    <w:rPr>
      <w:color w:val="5F5F5F"/>
    </w:rPr>
  </w:style>
  <w:style w:type="character" w:customStyle="1" w:styleId="HeaderChar">
    <w:name w:val="Header Char"/>
    <w:link w:val="Header"/>
    <w:locked/>
    <w:rsid w:val="00EB737A"/>
    <w:rPr>
      <w:sz w:val="18"/>
      <w:lang w:val="fr-FR" w:eastAsia="fr-FR" w:bidi="ar-SA"/>
    </w:rPr>
  </w:style>
  <w:style w:type="paragraph" w:customStyle="1" w:styleId="ECHRHeader">
    <w:name w:val="ECHR_Header"/>
    <w:aliases w:val="Ju_Header"/>
    <w:basedOn w:val="Header"/>
    <w:rsid w:val="00EB737A"/>
    <w:pPr>
      <w:suppressAutoHyphens w:val="0"/>
    </w:pPr>
    <w:rPr>
      <w:szCs w:val="22"/>
    </w:rPr>
  </w:style>
  <w:style w:type="character" w:styleId="SubtleEmphasis">
    <w:name w:val="Subtle Emphasis"/>
    <w:qFormat/>
    <w:rsid w:val="00EB737A"/>
    <w:rPr>
      <w:i/>
    </w:rPr>
  </w:style>
  <w:style w:type="character" w:styleId="Emphasis">
    <w:name w:val="Emphasis"/>
    <w:qFormat/>
    <w:rsid w:val="00EB737A"/>
    <w:rPr>
      <w:b/>
      <w:i/>
      <w:spacing w:val="10"/>
      <w:shd w:val="clear" w:color="auto" w:fill="auto"/>
    </w:rPr>
  </w:style>
  <w:style w:type="character" w:customStyle="1" w:styleId="FooterChar">
    <w:name w:val="Footer Char"/>
    <w:link w:val="Footer"/>
    <w:locked/>
    <w:rsid w:val="00EB737A"/>
    <w:rPr>
      <w:sz w:val="18"/>
      <w:lang w:val="fr-FR" w:eastAsia="fr-FR" w:bidi="ar-SA"/>
    </w:rPr>
  </w:style>
  <w:style w:type="character" w:customStyle="1" w:styleId="FootnoteTextChar">
    <w:name w:val="Footnote Text Char"/>
    <w:link w:val="FootnoteText"/>
    <w:semiHidden/>
    <w:locked/>
    <w:rsid w:val="00EB737A"/>
    <w:rPr>
      <w:lang w:val="fr-FR" w:eastAsia="fr-FR" w:bidi="ar-SA"/>
    </w:rPr>
  </w:style>
  <w:style w:type="character" w:styleId="IntenseEmphasis">
    <w:name w:val="Intense Emphasis"/>
    <w:qFormat/>
    <w:rsid w:val="00EB737A"/>
    <w:rPr>
      <w:b/>
    </w:rPr>
  </w:style>
  <w:style w:type="paragraph" w:styleId="IntenseQuote">
    <w:name w:val="Intense Quote"/>
    <w:basedOn w:val="Normal"/>
    <w:next w:val="Normal"/>
    <w:link w:val="IntenseQuoteChar"/>
    <w:qFormat/>
    <w:rsid w:val="00EB737A"/>
    <w:pPr>
      <w:pBdr>
        <w:bottom w:val="single" w:sz="4" w:space="1" w:color="auto"/>
      </w:pBdr>
      <w:suppressAutoHyphens w:val="0"/>
      <w:spacing w:before="200" w:after="280"/>
      <w:ind w:left="1008" w:right="1152"/>
      <w:jc w:val="both"/>
    </w:pPr>
    <w:rPr>
      <w:b/>
      <w:bCs/>
      <w:i/>
      <w:iCs/>
      <w:sz w:val="22"/>
      <w:szCs w:val="22"/>
    </w:rPr>
  </w:style>
  <w:style w:type="character" w:customStyle="1" w:styleId="IntenseQuoteChar">
    <w:name w:val="Intense Quote Char"/>
    <w:link w:val="IntenseQuote"/>
    <w:locked/>
    <w:rsid w:val="00EB737A"/>
    <w:rPr>
      <w:b/>
      <w:bCs/>
      <w:i/>
      <w:iCs/>
      <w:sz w:val="22"/>
      <w:szCs w:val="22"/>
      <w:lang w:val="fr-FR" w:eastAsia="fr-FR" w:bidi="ar-SA"/>
    </w:rPr>
  </w:style>
  <w:style w:type="character" w:styleId="IntenseReference">
    <w:name w:val="Intense Reference"/>
    <w:qFormat/>
    <w:rsid w:val="00EB737A"/>
    <w:rPr>
      <w:smallCaps/>
      <w:spacing w:val="5"/>
      <w:u w:val="single"/>
    </w:rPr>
  </w:style>
  <w:style w:type="paragraph" w:customStyle="1" w:styleId="JuAppQuestion">
    <w:name w:val="Ju_App_Question"/>
    <w:basedOn w:val="ListBullet"/>
    <w:rsid w:val="00EB737A"/>
    <w:pPr>
      <w:numPr>
        <w:numId w:val="14"/>
      </w:numPr>
      <w:tabs>
        <w:tab w:val="num" w:pos="1209"/>
      </w:tabs>
    </w:pPr>
    <w:rPr>
      <w:b/>
      <w:color w:val="333333"/>
      <w:lang w:val="en-GB"/>
    </w:rPr>
  </w:style>
  <w:style w:type="paragraph" w:customStyle="1" w:styleId="OpiPara">
    <w:name w:val="Opi_Para"/>
    <w:basedOn w:val="ECHRPara"/>
    <w:link w:val="OpiParaChar"/>
    <w:rsid w:val="00EB737A"/>
  </w:style>
  <w:style w:type="paragraph" w:customStyle="1" w:styleId="JuParaSub">
    <w:name w:val="Ju_Para_Sub"/>
    <w:basedOn w:val="ECHRPara"/>
    <w:rsid w:val="00EB737A"/>
    <w:pPr>
      <w:ind w:left="284"/>
    </w:pPr>
  </w:style>
  <w:style w:type="paragraph" w:customStyle="1" w:styleId="OpiParaSub">
    <w:name w:val="Opi_Para_Sub"/>
    <w:basedOn w:val="JuParaSub"/>
    <w:rsid w:val="00EB737A"/>
  </w:style>
  <w:style w:type="paragraph" w:customStyle="1" w:styleId="OpiQuot">
    <w:name w:val="Opi_Quot"/>
    <w:basedOn w:val="ECHRParaQuote"/>
    <w:rsid w:val="00EB737A"/>
  </w:style>
  <w:style w:type="paragraph" w:customStyle="1" w:styleId="OpiQuotSub">
    <w:name w:val="Opi_Quot_Sub"/>
    <w:basedOn w:val="JuQuotSub"/>
    <w:rsid w:val="00EB737A"/>
  </w:style>
  <w:style w:type="paragraph" w:styleId="ListParagraph">
    <w:name w:val="List Paragraph"/>
    <w:basedOn w:val="Normal"/>
    <w:qFormat/>
    <w:rsid w:val="00EB737A"/>
    <w:pPr>
      <w:suppressAutoHyphens w:val="0"/>
      <w:ind w:left="720"/>
      <w:jc w:val="both"/>
    </w:pPr>
    <w:rPr>
      <w:szCs w:val="22"/>
    </w:rPr>
  </w:style>
  <w:style w:type="paragraph" w:styleId="Quote">
    <w:name w:val="Quote"/>
    <w:basedOn w:val="Normal"/>
    <w:next w:val="Normal"/>
    <w:link w:val="QuoteChar"/>
    <w:qFormat/>
    <w:rsid w:val="00EB737A"/>
    <w:pPr>
      <w:suppressAutoHyphens w:val="0"/>
      <w:spacing w:before="200"/>
      <w:ind w:left="360" w:right="360"/>
      <w:jc w:val="both"/>
    </w:pPr>
    <w:rPr>
      <w:i/>
      <w:iCs/>
      <w:sz w:val="22"/>
      <w:szCs w:val="22"/>
    </w:rPr>
  </w:style>
  <w:style w:type="character" w:customStyle="1" w:styleId="QuoteChar">
    <w:name w:val="Quote Char"/>
    <w:link w:val="Quote"/>
    <w:locked/>
    <w:rsid w:val="00EB737A"/>
    <w:rPr>
      <w:i/>
      <w:iCs/>
      <w:sz w:val="22"/>
      <w:szCs w:val="22"/>
      <w:lang w:val="fr-FR" w:eastAsia="fr-FR" w:bidi="ar-SA"/>
    </w:rPr>
  </w:style>
  <w:style w:type="character" w:styleId="SubtleReference">
    <w:name w:val="Subtle Reference"/>
    <w:qFormat/>
    <w:rsid w:val="00EB737A"/>
    <w:rPr>
      <w:smallCaps/>
    </w:rPr>
  </w:style>
  <w:style w:type="table" w:styleId="TableGrid">
    <w:name w:val="Table Grid"/>
    <w:basedOn w:val="TableNormal"/>
    <w:rsid w:val="00EB737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EB737A"/>
  </w:style>
  <w:style w:type="paragraph" w:styleId="TOC2">
    <w:name w:val="toc 2"/>
    <w:basedOn w:val="Normal"/>
    <w:next w:val="Normal"/>
    <w:autoRedefine/>
    <w:semiHidden/>
    <w:rsid w:val="00EB737A"/>
    <w:pPr>
      <w:ind w:left="240"/>
    </w:pPr>
  </w:style>
  <w:style w:type="paragraph" w:styleId="TOC3">
    <w:name w:val="toc 3"/>
    <w:basedOn w:val="Normal"/>
    <w:next w:val="Normal"/>
    <w:autoRedefine/>
    <w:semiHidden/>
    <w:rsid w:val="00EB737A"/>
    <w:pPr>
      <w:ind w:left="480"/>
    </w:pPr>
  </w:style>
  <w:style w:type="paragraph" w:styleId="TOC4">
    <w:name w:val="toc 4"/>
    <w:basedOn w:val="Normal"/>
    <w:next w:val="Normal"/>
    <w:autoRedefine/>
    <w:semiHidden/>
    <w:rsid w:val="00EB737A"/>
    <w:pPr>
      <w:ind w:left="720"/>
    </w:pPr>
  </w:style>
  <w:style w:type="paragraph" w:styleId="TOC5">
    <w:name w:val="toc 5"/>
    <w:basedOn w:val="Normal"/>
    <w:next w:val="Normal"/>
    <w:autoRedefine/>
    <w:semiHidden/>
    <w:rsid w:val="00EB737A"/>
    <w:pPr>
      <w:ind w:left="960"/>
    </w:pPr>
  </w:style>
  <w:style w:type="paragraph" w:styleId="TOCHeading">
    <w:name w:val="TOC Heading"/>
    <w:basedOn w:val="Heading1"/>
    <w:next w:val="Normal"/>
    <w:qFormat/>
    <w:rsid w:val="00EB737A"/>
    <w:pPr>
      <w:keepNext w:val="0"/>
      <w:numPr>
        <w:numId w:val="0"/>
      </w:numPr>
      <w:suppressAutoHyphens w:val="0"/>
      <w:spacing w:before="480" w:after="0"/>
      <w:jc w:val="both"/>
      <w:outlineLvl w:val="9"/>
    </w:pPr>
    <w:rPr>
      <w:bCs/>
      <w:color w:val="474747"/>
      <w:szCs w:val="28"/>
    </w:rPr>
  </w:style>
  <w:style w:type="paragraph" w:customStyle="1" w:styleId="ECHRTitleCentre3">
    <w:name w:val="ECHR_Title_Centre_3"/>
    <w:aliases w:val="Ju_H_Article"/>
    <w:basedOn w:val="Normal"/>
    <w:next w:val="ECHRParaQuote"/>
    <w:rsid w:val="00EB737A"/>
    <w:pPr>
      <w:keepNext/>
      <w:keepLines/>
      <w:suppressAutoHyphens w:val="0"/>
      <w:spacing w:before="240" w:after="120"/>
      <w:jc w:val="center"/>
      <w:outlineLvl w:val="3"/>
    </w:pPr>
    <w:rPr>
      <w:b/>
      <w:sz w:val="20"/>
      <w:szCs w:val="22"/>
    </w:rPr>
  </w:style>
  <w:style w:type="paragraph" w:customStyle="1" w:styleId="ECHRTitleCentre2">
    <w:name w:val="ECHR_Title_Centre_2"/>
    <w:aliases w:val="Dec_H_Case"/>
    <w:basedOn w:val="DecHTitle"/>
    <w:next w:val="ECHRPara"/>
    <w:rsid w:val="00EB737A"/>
    <w:rPr>
      <w:sz w:val="24"/>
    </w:rPr>
  </w:style>
  <w:style w:type="paragraph" w:customStyle="1" w:styleId="JuTitle">
    <w:name w:val="Ju_Title"/>
    <w:basedOn w:val="Normal"/>
    <w:next w:val="ECHRPara"/>
    <w:semiHidden/>
    <w:rsid w:val="00EB737A"/>
    <w:pPr>
      <w:spacing w:before="720" w:after="240"/>
      <w:jc w:val="center"/>
      <w:outlineLvl w:val="0"/>
    </w:pPr>
    <w:rPr>
      <w:b/>
      <w:caps/>
    </w:rPr>
  </w:style>
  <w:style w:type="paragraph" w:customStyle="1" w:styleId="ECHRTitleCentre1">
    <w:name w:val="ECHR_Title_Centre_1"/>
    <w:aliases w:val="Opi_H_Head"/>
    <w:basedOn w:val="Normal"/>
    <w:next w:val="OpiPara"/>
    <w:rsid w:val="00EB737A"/>
    <w:pPr>
      <w:keepNext/>
      <w:keepLines/>
      <w:suppressAutoHyphens w:val="0"/>
      <w:spacing w:after="240"/>
      <w:jc w:val="center"/>
      <w:outlineLvl w:val="0"/>
    </w:pPr>
    <w:rPr>
      <w:sz w:val="28"/>
      <w:szCs w:val="22"/>
    </w:rPr>
  </w:style>
  <w:style w:type="paragraph" w:customStyle="1" w:styleId="JuQuotSub">
    <w:name w:val="Ju_Quot_Sub"/>
    <w:basedOn w:val="ECHRParaQuote"/>
    <w:rsid w:val="00EB737A"/>
    <w:pPr>
      <w:ind w:left="567"/>
    </w:pPr>
  </w:style>
  <w:style w:type="paragraph" w:customStyle="1" w:styleId="OpiHA">
    <w:name w:val="Opi_H_A"/>
    <w:basedOn w:val="ECHRHeading1"/>
    <w:next w:val="OpiPara"/>
    <w:rsid w:val="00EB737A"/>
    <w:pPr>
      <w:tabs>
        <w:tab w:val="clear" w:pos="357"/>
      </w:tabs>
      <w:outlineLvl w:val="1"/>
    </w:pPr>
    <w:rPr>
      <w:b/>
    </w:rPr>
  </w:style>
  <w:style w:type="character" w:customStyle="1" w:styleId="JUNAMES0">
    <w:name w:val="JU_NAMES"/>
    <w:rsid w:val="00EB737A"/>
    <w:rPr>
      <w:smallCaps/>
    </w:rPr>
  </w:style>
  <w:style w:type="character" w:customStyle="1" w:styleId="JuITMark">
    <w:name w:val="Ju_ITMark"/>
    <w:rsid w:val="00EB737A"/>
    <w:rPr>
      <w:rFonts w:cs="Times New Roman"/>
      <w:vanish/>
      <w:color w:val="339966"/>
      <w:sz w:val="14"/>
    </w:rPr>
  </w:style>
  <w:style w:type="paragraph" w:customStyle="1" w:styleId="OpiTranslation">
    <w:name w:val="Opi_Translation"/>
    <w:basedOn w:val="Normal"/>
    <w:next w:val="OpiPara"/>
    <w:rsid w:val="00EB737A"/>
    <w:pPr>
      <w:suppressAutoHyphens w:val="0"/>
      <w:jc w:val="center"/>
      <w:outlineLvl w:val="0"/>
    </w:pPr>
    <w:rPr>
      <w:i/>
      <w:szCs w:val="22"/>
    </w:rPr>
  </w:style>
  <w:style w:type="paragraph" w:customStyle="1" w:styleId="DecHTitle">
    <w:name w:val="Dec_H_Title"/>
    <w:basedOn w:val="NormalTimesNewRoman"/>
    <w:rsid w:val="00EB737A"/>
    <w:pPr>
      <w:spacing w:after="240"/>
      <w:jc w:val="center"/>
      <w:outlineLvl w:val="0"/>
    </w:pPr>
    <w:rPr>
      <w:sz w:val="28"/>
    </w:rPr>
  </w:style>
  <w:style w:type="paragraph" w:styleId="TOAHeading">
    <w:name w:val="toa heading"/>
    <w:basedOn w:val="Normal"/>
    <w:next w:val="Normal"/>
    <w:semiHidden/>
    <w:rsid w:val="00EB737A"/>
    <w:pPr>
      <w:spacing w:before="120"/>
    </w:pPr>
    <w:rPr>
      <w:rFonts w:ascii="Arial" w:hAnsi="Arial" w:cs="Arial"/>
      <w:b/>
      <w:bCs/>
      <w:szCs w:val="24"/>
    </w:rPr>
  </w:style>
  <w:style w:type="paragraph" w:customStyle="1" w:styleId="ECHRHeading4">
    <w:name w:val="ECHR_Heading_4"/>
    <w:aliases w:val="Ju_H_a"/>
    <w:basedOn w:val="Heading4"/>
    <w:next w:val="ECHRPara"/>
    <w:rsid w:val="00EB737A"/>
    <w:pPr>
      <w:keepLines/>
      <w:numPr>
        <w:ilvl w:val="0"/>
        <w:numId w:val="0"/>
      </w:numPr>
      <w:tabs>
        <w:tab w:val="left" w:pos="975"/>
      </w:tabs>
      <w:suppressAutoHyphens w:val="0"/>
      <w:spacing w:after="120"/>
      <w:ind w:left="975" w:hanging="340"/>
      <w:jc w:val="both"/>
    </w:pPr>
    <w:rPr>
      <w:iCs/>
      <w:sz w:val="20"/>
      <w:szCs w:val="22"/>
    </w:rPr>
  </w:style>
  <w:style w:type="paragraph" w:customStyle="1" w:styleId="ECHRHeading5">
    <w:name w:val="ECHR_Heading_5"/>
    <w:aliases w:val="Ju_H_i"/>
    <w:basedOn w:val="Heading5"/>
    <w:next w:val="ECHRPara"/>
    <w:rsid w:val="00EB737A"/>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rsid w:val="00EB737A"/>
    <w:pPr>
      <w:keepNext/>
      <w:keepLines/>
      <w:numPr>
        <w:ilvl w:val="0"/>
        <w:numId w:val="0"/>
      </w:numPr>
      <w:tabs>
        <w:tab w:val="left" w:pos="1372"/>
      </w:tabs>
      <w:suppressAutoHyphens w:val="0"/>
      <w:spacing w:after="120"/>
      <w:ind w:left="1373" w:hanging="335"/>
      <w:jc w:val="both"/>
    </w:pPr>
    <w:rPr>
      <w:b w:val="0"/>
      <w:i/>
      <w:iCs/>
      <w:sz w:val="20"/>
    </w:rPr>
  </w:style>
  <w:style w:type="paragraph" w:customStyle="1" w:styleId="ECHRHeading7">
    <w:name w:val="ECHR_Heading_7"/>
    <w:aliases w:val="Ju_H_–"/>
    <w:basedOn w:val="Heading7"/>
    <w:next w:val="ECHRPara"/>
    <w:rsid w:val="00EB737A"/>
    <w:pPr>
      <w:keepNext/>
      <w:keepLines/>
      <w:spacing w:before="240" w:after="120"/>
      <w:ind w:left="1236"/>
    </w:pPr>
    <w:rPr>
      <w:sz w:val="20"/>
    </w:rPr>
  </w:style>
  <w:style w:type="paragraph" w:customStyle="1" w:styleId="DecList">
    <w:name w:val="Dec_List"/>
    <w:basedOn w:val="NormalTimesNewRoman"/>
    <w:rsid w:val="00EB737A"/>
    <w:pPr>
      <w:spacing w:before="240"/>
      <w:ind w:left="284"/>
      <w:jc w:val="both"/>
    </w:pPr>
  </w:style>
  <w:style w:type="paragraph" w:customStyle="1" w:styleId="ECHRDecisionBody">
    <w:name w:val="ECHR_Decision_Body"/>
    <w:aliases w:val="Ju_Judges"/>
    <w:basedOn w:val="Normal"/>
    <w:link w:val="JuJudgesChar"/>
    <w:rsid w:val="00EB737A"/>
    <w:pPr>
      <w:tabs>
        <w:tab w:val="left" w:pos="567"/>
        <w:tab w:val="left" w:pos="1134"/>
      </w:tabs>
      <w:suppressAutoHyphens w:val="0"/>
    </w:pPr>
    <w:rPr>
      <w:lang w:val="en-US" w:eastAsia="en-US"/>
    </w:rPr>
  </w:style>
  <w:style w:type="paragraph" w:customStyle="1" w:styleId="OpiH1">
    <w:name w:val="Opi_H_1"/>
    <w:basedOn w:val="ECHRHeading2"/>
    <w:rsid w:val="00EB737A"/>
    <w:pPr>
      <w:ind w:left="635" w:hanging="357"/>
      <w:outlineLvl w:val="2"/>
    </w:pPr>
  </w:style>
  <w:style w:type="paragraph" w:customStyle="1" w:styleId="OpiHa0">
    <w:name w:val="Opi_H_a"/>
    <w:basedOn w:val="ECHRHeading3"/>
    <w:rsid w:val="00EB737A"/>
    <w:pPr>
      <w:ind w:left="833" w:hanging="357"/>
      <w:outlineLvl w:val="3"/>
    </w:pPr>
    <w:rPr>
      <w:b/>
      <w:i w:val="0"/>
      <w:sz w:val="20"/>
    </w:rPr>
  </w:style>
  <w:style w:type="paragraph" w:customStyle="1" w:styleId="OpiHi">
    <w:name w:val="Opi_H_i"/>
    <w:basedOn w:val="ECHRHeading4"/>
    <w:rsid w:val="00EB737A"/>
    <w:pPr>
      <w:ind w:left="1037" w:hanging="357"/>
      <w:outlineLvl w:val="4"/>
    </w:pPr>
    <w:rPr>
      <w:b w:val="0"/>
      <w:i/>
    </w:rPr>
  </w:style>
  <w:style w:type="paragraph" w:styleId="Bibliography">
    <w:name w:val="Bibliography"/>
    <w:basedOn w:val="Normal"/>
    <w:next w:val="Normal"/>
    <w:semiHidden/>
    <w:rsid w:val="00EB737A"/>
  </w:style>
  <w:style w:type="paragraph" w:styleId="BlockText">
    <w:name w:val="Block Text"/>
    <w:basedOn w:val="Normal"/>
    <w:rsid w:val="00EB737A"/>
    <w:pPr>
      <w:spacing w:after="120"/>
      <w:ind w:left="1440" w:right="1440"/>
    </w:pPr>
  </w:style>
  <w:style w:type="paragraph" w:styleId="BodyText">
    <w:name w:val="Body Text"/>
    <w:basedOn w:val="Normal"/>
    <w:link w:val="BodyTextChar"/>
    <w:rsid w:val="00EB737A"/>
    <w:pPr>
      <w:spacing w:after="120"/>
    </w:pPr>
  </w:style>
  <w:style w:type="character" w:customStyle="1" w:styleId="BodyTextChar">
    <w:name w:val="Body Text Char"/>
    <w:link w:val="BodyText"/>
    <w:locked/>
    <w:rsid w:val="00EB737A"/>
    <w:rPr>
      <w:sz w:val="24"/>
      <w:lang w:val="fr-FR" w:eastAsia="fr-FR" w:bidi="ar-SA"/>
    </w:rPr>
  </w:style>
  <w:style w:type="paragraph" w:styleId="BodyText2">
    <w:name w:val="Body Text 2"/>
    <w:basedOn w:val="Normal"/>
    <w:link w:val="BodyText2Char"/>
    <w:rsid w:val="00EB737A"/>
    <w:pPr>
      <w:spacing w:after="120" w:line="480" w:lineRule="auto"/>
    </w:pPr>
  </w:style>
  <w:style w:type="character" w:customStyle="1" w:styleId="BodyText2Char">
    <w:name w:val="Body Text 2 Char"/>
    <w:link w:val="BodyText2"/>
    <w:locked/>
    <w:rsid w:val="00EB737A"/>
    <w:rPr>
      <w:sz w:val="24"/>
      <w:lang w:val="fr-FR" w:eastAsia="fr-FR" w:bidi="ar-SA"/>
    </w:rPr>
  </w:style>
  <w:style w:type="paragraph" w:styleId="BodyText3">
    <w:name w:val="Body Text 3"/>
    <w:basedOn w:val="Normal"/>
    <w:link w:val="BodyText3Char"/>
    <w:rsid w:val="00EB737A"/>
    <w:pPr>
      <w:spacing w:after="120"/>
    </w:pPr>
    <w:rPr>
      <w:sz w:val="16"/>
      <w:szCs w:val="16"/>
    </w:rPr>
  </w:style>
  <w:style w:type="character" w:customStyle="1" w:styleId="BodyText3Char">
    <w:name w:val="Body Text 3 Char"/>
    <w:link w:val="BodyText3"/>
    <w:locked/>
    <w:rsid w:val="00EB737A"/>
    <w:rPr>
      <w:sz w:val="16"/>
      <w:szCs w:val="16"/>
      <w:lang w:val="fr-FR" w:eastAsia="fr-FR" w:bidi="ar-SA"/>
    </w:rPr>
  </w:style>
  <w:style w:type="paragraph" w:styleId="BodyTextFirstIndent">
    <w:name w:val="Body Text First Indent"/>
    <w:basedOn w:val="BodyText"/>
    <w:link w:val="BodyTextFirstIndentChar"/>
    <w:rsid w:val="00EB737A"/>
    <w:pPr>
      <w:ind w:firstLine="210"/>
    </w:pPr>
  </w:style>
  <w:style w:type="character" w:customStyle="1" w:styleId="BodyTextFirstIndentChar">
    <w:name w:val="Body Text First Indent Char"/>
    <w:basedOn w:val="BodyTextChar"/>
    <w:link w:val="BodyTextFirstIndent"/>
    <w:locked/>
    <w:rsid w:val="00EB737A"/>
    <w:rPr>
      <w:sz w:val="24"/>
      <w:lang w:val="fr-FR" w:eastAsia="fr-FR" w:bidi="ar-SA"/>
    </w:rPr>
  </w:style>
  <w:style w:type="paragraph" w:styleId="BodyTextIndent">
    <w:name w:val="Body Text Indent"/>
    <w:basedOn w:val="Normal"/>
    <w:link w:val="BodyTextIndentChar"/>
    <w:rsid w:val="00EB737A"/>
    <w:pPr>
      <w:spacing w:after="120"/>
      <w:ind w:left="283"/>
    </w:pPr>
  </w:style>
  <w:style w:type="character" w:customStyle="1" w:styleId="BodyTextIndentChar">
    <w:name w:val="Body Text Indent Char"/>
    <w:link w:val="BodyTextIndent"/>
    <w:locked/>
    <w:rsid w:val="00EB737A"/>
    <w:rPr>
      <w:sz w:val="24"/>
      <w:lang w:val="fr-FR" w:eastAsia="fr-FR" w:bidi="ar-SA"/>
    </w:rPr>
  </w:style>
  <w:style w:type="paragraph" w:styleId="BodyTextFirstIndent2">
    <w:name w:val="Body Text First Indent 2"/>
    <w:basedOn w:val="BodyTextIndent"/>
    <w:link w:val="BodyTextFirstIndent2Char"/>
    <w:rsid w:val="00EB737A"/>
    <w:pPr>
      <w:ind w:firstLine="210"/>
    </w:pPr>
  </w:style>
  <w:style w:type="character" w:customStyle="1" w:styleId="BodyTextFirstIndent2Char">
    <w:name w:val="Body Text First Indent 2 Char"/>
    <w:basedOn w:val="BodyTextIndentChar"/>
    <w:link w:val="BodyTextFirstIndent2"/>
    <w:locked/>
    <w:rsid w:val="00EB737A"/>
    <w:rPr>
      <w:sz w:val="24"/>
      <w:lang w:val="fr-FR" w:eastAsia="fr-FR" w:bidi="ar-SA"/>
    </w:rPr>
  </w:style>
  <w:style w:type="paragraph" w:styleId="BodyTextIndent2">
    <w:name w:val="Body Text Indent 2"/>
    <w:basedOn w:val="Normal"/>
    <w:link w:val="BodyTextIndent2Char"/>
    <w:rsid w:val="00EB737A"/>
    <w:pPr>
      <w:spacing w:after="120" w:line="480" w:lineRule="auto"/>
      <w:ind w:left="283"/>
    </w:pPr>
  </w:style>
  <w:style w:type="character" w:customStyle="1" w:styleId="BodyTextIndent2Char">
    <w:name w:val="Body Text Indent 2 Char"/>
    <w:link w:val="BodyTextIndent2"/>
    <w:locked/>
    <w:rsid w:val="00EB737A"/>
    <w:rPr>
      <w:sz w:val="24"/>
      <w:lang w:val="fr-FR" w:eastAsia="fr-FR" w:bidi="ar-SA"/>
    </w:rPr>
  </w:style>
  <w:style w:type="paragraph" w:styleId="BodyTextIndent3">
    <w:name w:val="Body Text Indent 3"/>
    <w:basedOn w:val="Normal"/>
    <w:link w:val="BodyTextIndent3Char"/>
    <w:rsid w:val="00EB737A"/>
    <w:pPr>
      <w:spacing w:after="120"/>
      <w:ind w:left="283"/>
    </w:pPr>
    <w:rPr>
      <w:sz w:val="16"/>
      <w:szCs w:val="16"/>
    </w:rPr>
  </w:style>
  <w:style w:type="character" w:customStyle="1" w:styleId="BodyTextIndent3Char">
    <w:name w:val="Body Text Indent 3 Char"/>
    <w:link w:val="BodyTextIndent3"/>
    <w:locked/>
    <w:rsid w:val="00EB737A"/>
    <w:rPr>
      <w:sz w:val="16"/>
      <w:szCs w:val="16"/>
      <w:lang w:val="fr-FR" w:eastAsia="fr-FR" w:bidi="ar-SA"/>
    </w:rPr>
  </w:style>
  <w:style w:type="paragraph" w:styleId="Caption">
    <w:name w:val="caption"/>
    <w:basedOn w:val="Normal"/>
    <w:next w:val="Normal"/>
    <w:qFormat/>
    <w:rsid w:val="00EB737A"/>
    <w:pPr>
      <w:suppressAutoHyphens w:val="0"/>
      <w:spacing w:after="200"/>
      <w:jc w:val="both"/>
    </w:pPr>
    <w:rPr>
      <w:b/>
      <w:bCs/>
      <w:color w:val="0072BC"/>
      <w:sz w:val="18"/>
      <w:szCs w:val="18"/>
    </w:rPr>
  </w:style>
  <w:style w:type="paragraph" w:styleId="Closing">
    <w:name w:val="Closing"/>
    <w:basedOn w:val="Normal"/>
    <w:link w:val="ClosingChar"/>
    <w:rsid w:val="00EB737A"/>
    <w:pPr>
      <w:ind w:left="4252"/>
    </w:pPr>
  </w:style>
  <w:style w:type="character" w:customStyle="1" w:styleId="ClosingChar">
    <w:name w:val="Closing Char"/>
    <w:link w:val="Closing"/>
    <w:locked/>
    <w:rsid w:val="00EB737A"/>
    <w:rPr>
      <w:sz w:val="24"/>
      <w:lang w:val="fr-FR" w:eastAsia="fr-FR" w:bidi="ar-SA"/>
    </w:rPr>
  </w:style>
  <w:style w:type="table" w:styleId="ColorfulGrid">
    <w:name w:val="Colorful Grid"/>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BEE5FF"/>
    </w:tcPr>
  </w:style>
  <w:style w:type="table" w:customStyle="1" w:styleId="ColorfulGrid-Accent21">
    <w:name w:val="Colorful Grid - Accent 21"/>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FFBFBF"/>
    </w:tcPr>
  </w:style>
  <w:style w:type="table" w:customStyle="1" w:styleId="ColorfulGrid-Accent31">
    <w:name w:val="Colorful Grid - Accent 31"/>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DFDFDF"/>
    </w:tcPr>
  </w:style>
  <w:style w:type="table" w:customStyle="1" w:styleId="ColorfulGrid-Accent41">
    <w:name w:val="Colorful Grid - Accent 41"/>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EAEAEA"/>
    </w:tcPr>
  </w:style>
  <w:style w:type="table" w:customStyle="1" w:styleId="ColorfulGrid-Accent51">
    <w:name w:val="Colorful Grid - Accent 51"/>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DFDFDF"/>
    </w:tcPr>
  </w:style>
  <w:style w:type="table" w:customStyle="1" w:styleId="ColorfulGrid-Accent61">
    <w:name w:val="Colorful Grid - Accent 61"/>
    <w:rsid w:val="00EB737A"/>
    <w:rPr>
      <w:color w:val="000000"/>
    </w:rPr>
    <w:tblPr>
      <w:tblStyleRowBandSize w:val="1"/>
      <w:tblStyleColBandSize w:val="1"/>
      <w:tblBorders>
        <w:insideH w:val="single" w:sz="4" w:space="0" w:color="0072BC"/>
      </w:tblBorders>
      <w:tblCellMar>
        <w:top w:w="0" w:type="dxa"/>
        <w:left w:w="108" w:type="dxa"/>
        <w:bottom w:w="0" w:type="dxa"/>
        <w:right w:w="108" w:type="dxa"/>
      </w:tblCellMar>
    </w:tblPr>
    <w:tcPr>
      <w:shd w:val="clear" w:color="auto" w:fill="DBDBDB"/>
    </w:tcPr>
  </w:style>
  <w:style w:type="table" w:styleId="ColorfulList">
    <w:name w:val="Colorful List"/>
    <w:rsid w:val="00EB737A"/>
    <w:rPr>
      <w:color w:val="000000"/>
    </w:rPr>
    <w:tblPr>
      <w:tblStyleRowBandSize w:val="1"/>
      <w:tblStyleColBandSize w:val="1"/>
      <w:tblCellMar>
        <w:top w:w="0" w:type="dxa"/>
        <w:left w:w="108" w:type="dxa"/>
        <w:bottom w:w="0" w:type="dxa"/>
        <w:right w:w="108" w:type="dxa"/>
      </w:tblCellMar>
    </w:tblPr>
    <w:tcPr>
      <w:shd w:val="clear" w:color="auto" w:fill="E6E6E6"/>
    </w:tcPr>
  </w:style>
  <w:style w:type="table" w:customStyle="1" w:styleId="ColorfulList-Accent11">
    <w:name w:val="Colorful List - Accent 11"/>
    <w:rsid w:val="00EB737A"/>
    <w:rPr>
      <w:color w:val="000000"/>
    </w:rPr>
    <w:tblPr>
      <w:tblStyleRowBandSize w:val="1"/>
      <w:tblStyleColBandSize w:val="1"/>
      <w:tblCellMar>
        <w:top w:w="0" w:type="dxa"/>
        <w:left w:w="108" w:type="dxa"/>
        <w:bottom w:w="0" w:type="dxa"/>
        <w:right w:w="108" w:type="dxa"/>
      </w:tblCellMar>
    </w:tblPr>
    <w:tcPr>
      <w:shd w:val="clear" w:color="auto" w:fill="DFF2FF"/>
    </w:tcPr>
  </w:style>
  <w:style w:type="table" w:customStyle="1" w:styleId="ColorfulList-Accent21">
    <w:name w:val="Colorful List - Accent 21"/>
    <w:rsid w:val="00EB737A"/>
    <w:rPr>
      <w:color w:val="000000"/>
    </w:rPr>
    <w:tblPr>
      <w:tblStyleRowBandSize w:val="1"/>
      <w:tblStyleColBandSize w:val="1"/>
      <w:tblCellMar>
        <w:top w:w="0" w:type="dxa"/>
        <w:left w:w="108" w:type="dxa"/>
        <w:bottom w:w="0" w:type="dxa"/>
        <w:right w:w="108" w:type="dxa"/>
      </w:tblCellMar>
    </w:tblPr>
    <w:tcPr>
      <w:shd w:val="clear" w:color="auto" w:fill="FFDFDF"/>
    </w:tcPr>
  </w:style>
  <w:style w:type="table" w:customStyle="1" w:styleId="ColorfulList-Accent31">
    <w:name w:val="Colorful List - Accent 31"/>
    <w:rsid w:val="00EB737A"/>
    <w:rPr>
      <w:color w:val="000000"/>
    </w:rPr>
    <w:tblPr>
      <w:tblStyleRowBandSize w:val="1"/>
      <w:tblStyleColBandSize w:val="1"/>
      <w:tblCellMar>
        <w:top w:w="0" w:type="dxa"/>
        <w:left w:w="108" w:type="dxa"/>
        <w:bottom w:w="0" w:type="dxa"/>
        <w:right w:w="108" w:type="dxa"/>
      </w:tblCellMar>
    </w:tblPr>
    <w:tcPr>
      <w:shd w:val="clear" w:color="auto" w:fill="EFEFEF"/>
    </w:tcPr>
  </w:style>
  <w:style w:type="table" w:customStyle="1" w:styleId="ColorfulList-Accent41">
    <w:name w:val="Colorful List - Accent 41"/>
    <w:rsid w:val="00EB737A"/>
    <w:rPr>
      <w:color w:val="000000"/>
    </w:rPr>
    <w:tblPr>
      <w:tblStyleRowBandSize w:val="1"/>
      <w:tblStyleColBandSize w:val="1"/>
      <w:tblCellMar>
        <w:top w:w="0" w:type="dxa"/>
        <w:left w:w="108" w:type="dxa"/>
        <w:bottom w:w="0" w:type="dxa"/>
        <w:right w:w="108" w:type="dxa"/>
      </w:tblCellMar>
    </w:tblPr>
    <w:tcPr>
      <w:shd w:val="clear" w:color="auto" w:fill="F4F4F4"/>
    </w:tcPr>
  </w:style>
  <w:style w:type="table" w:customStyle="1" w:styleId="ColorfulList-Accent51">
    <w:name w:val="Colorful List - Accent 51"/>
    <w:rsid w:val="00EB737A"/>
    <w:rPr>
      <w:color w:val="000000"/>
    </w:rPr>
    <w:tblPr>
      <w:tblStyleRowBandSize w:val="1"/>
      <w:tblStyleColBandSize w:val="1"/>
      <w:tblCellMar>
        <w:top w:w="0" w:type="dxa"/>
        <w:left w:w="108" w:type="dxa"/>
        <w:bottom w:w="0" w:type="dxa"/>
        <w:right w:w="108" w:type="dxa"/>
      </w:tblCellMar>
    </w:tblPr>
    <w:tcPr>
      <w:shd w:val="clear" w:color="auto" w:fill="EFEFEF"/>
    </w:tcPr>
  </w:style>
  <w:style w:type="table" w:customStyle="1" w:styleId="ColorfulList-Accent61">
    <w:name w:val="Colorful List - Accent 61"/>
    <w:rsid w:val="00EB737A"/>
    <w:rPr>
      <w:color w:val="000000"/>
    </w:rPr>
    <w:tblPr>
      <w:tblStyleRowBandSize w:val="1"/>
      <w:tblStyleColBandSize w:val="1"/>
      <w:tblCellMar>
        <w:top w:w="0" w:type="dxa"/>
        <w:left w:w="108" w:type="dxa"/>
        <w:bottom w:w="0" w:type="dxa"/>
        <w:right w:w="108" w:type="dxa"/>
      </w:tblCellMar>
    </w:tblPr>
    <w:tcPr>
      <w:shd w:val="clear" w:color="auto" w:fill="EDEDED"/>
    </w:tcPr>
  </w:style>
  <w:style w:type="table" w:styleId="ColorfulShading">
    <w:name w:val="Colorful Shading"/>
    <w:rsid w:val="00EB737A"/>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rsid w:val="00EB737A"/>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style>
  <w:style w:type="table" w:customStyle="1" w:styleId="ColorfulShading-Accent21">
    <w:name w:val="Colorful Shading - Accent 21"/>
    <w:rsid w:val="00EB737A"/>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style>
  <w:style w:type="table" w:customStyle="1" w:styleId="ColorfulShading-Accent31">
    <w:name w:val="Colorful Shading - Accent 31"/>
    <w:rsid w:val="00EB737A"/>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style>
  <w:style w:type="table" w:customStyle="1" w:styleId="ColorfulShading-Accent41">
    <w:name w:val="Colorful Shading - Accent 41"/>
    <w:rsid w:val="00EB737A"/>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style>
  <w:style w:type="table" w:customStyle="1" w:styleId="ColorfulShading-Accent51">
    <w:name w:val="Colorful Shading - Accent 51"/>
    <w:rsid w:val="00EB737A"/>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style>
  <w:style w:type="table" w:customStyle="1" w:styleId="ColorfulShading-Accent61">
    <w:name w:val="Colorful Shading - Accent 61"/>
    <w:rsid w:val="00EB737A"/>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style>
  <w:style w:type="table" w:styleId="DarkList">
    <w:name w:val="Dark List"/>
    <w:rsid w:val="00EB737A"/>
    <w:rPr>
      <w:color w:val="0072BC"/>
    </w:rPr>
    <w:tblPr>
      <w:tblStyleRowBandSize w:val="1"/>
      <w:tblStyleColBandSize w:val="1"/>
      <w:tblCellMar>
        <w:top w:w="0" w:type="dxa"/>
        <w:left w:w="108" w:type="dxa"/>
        <w:bottom w:w="0" w:type="dxa"/>
        <w:right w:w="108" w:type="dxa"/>
      </w:tblCellMar>
    </w:tblPr>
    <w:tcPr>
      <w:shd w:val="clear" w:color="auto" w:fill="000000"/>
    </w:tcPr>
  </w:style>
  <w:style w:type="table" w:customStyle="1" w:styleId="DarkList-Accent11">
    <w:name w:val="Dark List - Accent 11"/>
    <w:rsid w:val="00EB737A"/>
    <w:rPr>
      <w:color w:val="0072BC"/>
    </w:rPr>
    <w:tblPr>
      <w:tblStyleRowBandSize w:val="1"/>
      <w:tblStyleColBandSize w:val="1"/>
      <w:tblCellMar>
        <w:top w:w="0" w:type="dxa"/>
        <w:left w:w="108" w:type="dxa"/>
        <w:bottom w:w="0" w:type="dxa"/>
        <w:right w:w="108" w:type="dxa"/>
      </w:tblCellMar>
    </w:tblPr>
    <w:tcPr>
      <w:shd w:val="clear" w:color="auto" w:fill="0072BC"/>
    </w:tcPr>
  </w:style>
  <w:style w:type="table" w:customStyle="1" w:styleId="DarkList-Accent21">
    <w:name w:val="Dark List - Accent 21"/>
    <w:rsid w:val="00EB737A"/>
    <w:rPr>
      <w:color w:val="0072BC"/>
    </w:rPr>
    <w:tblPr>
      <w:tblStyleRowBandSize w:val="1"/>
      <w:tblStyleColBandSize w:val="1"/>
      <w:tblCellMar>
        <w:top w:w="0" w:type="dxa"/>
        <w:left w:w="108" w:type="dxa"/>
        <w:bottom w:w="0" w:type="dxa"/>
        <w:right w:w="108" w:type="dxa"/>
      </w:tblCellMar>
    </w:tblPr>
    <w:tcPr>
      <w:shd w:val="clear" w:color="auto" w:fill="C00000"/>
    </w:tcPr>
  </w:style>
  <w:style w:type="table" w:customStyle="1" w:styleId="DarkList-Accent31">
    <w:name w:val="Dark List - Accent 31"/>
    <w:rsid w:val="00EB737A"/>
    <w:rPr>
      <w:color w:val="0072BC"/>
    </w:rPr>
    <w:tblPr>
      <w:tblStyleRowBandSize w:val="1"/>
      <w:tblStyleColBandSize w:val="1"/>
      <w:tblCellMar>
        <w:top w:w="0" w:type="dxa"/>
        <w:left w:w="108" w:type="dxa"/>
        <w:bottom w:w="0" w:type="dxa"/>
        <w:right w:w="108" w:type="dxa"/>
      </w:tblCellMar>
    </w:tblPr>
    <w:tcPr>
      <w:shd w:val="clear" w:color="auto" w:fill="5F5F5F"/>
    </w:tcPr>
  </w:style>
  <w:style w:type="table" w:customStyle="1" w:styleId="DarkList-Accent41">
    <w:name w:val="Dark List - Accent 41"/>
    <w:rsid w:val="00EB737A"/>
    <w:rPr>
      <w:color w:val="0072BC"/>
    </w:rPr>
    <w:tblPr>
      <w:tblStyleRowBandSize w:val="1"/>
      <w:tblStyleColBandSize w:val="1"/>
      <w:tblCellMar>
        <w:top w:w="0" w:type="dxa"/>
        <w:left w:w="108" w:type="dxa"/>
        <w:bottom w:w="0" w:type="dxa"/>
        <w:right w:w="108" w:type="dxa"/>
      </w:tblCellMar>
    </w:tblPr>
    <w:tcPr>
      <w:shd w:val="clear" w:color="auto" w:fill="969696"/>
    </w:tcPr>
  </w:style>
  <w:style w:type="table" w:customStyle="1" w:styleId="DarkList-Accent51">
    <w:name w:val="Dark List - Accent 51"/>
    <w:rsid w:val="00EB737A"/>
    <w:rPr>
      <w:color w:val="0072BC"/>
    </w:rPr>
    <w:tblPr>
      <w:tblStyleRowBandSize w:val="1"/>
      <w:tblStyleColBandSize w:val="1"/>
      <w:tblCellMar>
        <w:top w:w="0" w:type="dxa"/>
        <w:left w:w="108" w:type="dxa"/>
        <w:bottom w:w="0" w:type="dxa"/>
        <w:right w:w="108" w:type="dxa"/>
      </w:tblCellMar>
    </w:tblPr>
    <w:tcPr>
      <w:shd w:val="clear" w:color="auto" w:fill="5F5F5F"/>
    </w:tcPr>
  </w:style>
  <w:style w:type="table" w:customStyle="1" w:styleId="DarkList-Accent61">
    <w:name w:val="Dark List - Accent 61"/>
    <w:rsid w:val="00EB737A"/>
    <w:rPr>
      <w:color w:val="0072BC"/>
    </w:rPr>
    <w:tblPr>
      <w:tblStyleRowBandSize w:val="1"/>
      <w:tblStyleColBandSize w:val="1"/>
      <w:tblCellMar>
        <w:top w:w="0" w:type="dxa"/>
        <w:left w:w="108" w:type="dxa"/>
        <w:bottom w:w="0" w:type="dxa"/>
        <w:right w:w="108" w:type="dxa"/>
      </w:tblCellMar>
    </w:tblPr>
    <w:tcPr>
      <w:shd w:val="clear" w:color="auto" w:fill="4D4D4D"/>
    </w:tcPr>
  </w:style>
  <w:style w:type="paragraph" w:styleId="Date">
    <w:name w:val="Date"/>
    <w:basedOn w:val="Normal"/>
    <w:next w:val="Normal"/>
    <w:link w:val="DateChar"/>
    <w:rsid w:val="00EB737A"/>
  </w:style>
  <w:style w:type="character" w:customStyle="1" w:styleId="DateChar">
    <w:name w:val="Date Char"/>
    <w:link w:val="Date"/>
    <w:locked/>
    <w:rsid w:val="00EB737A"/>
    <w:rPr>
      <w:sz w:val="24"/>
      <w:lang w:val="fr-FR" w:eastAsia="fr-FR" w:bidi="ar-SA"/>
    </w:rPr>
  </w:style>
  <w:style w:type="paragraph" w:styleId="E-mailSignature">
    <w:name w:val="E-mail Signature"/>
    <w:basedOn w:val="Normal"/>
    <w:link w:val="E-mailSignatureChar"/>
    <w:rsid w:val="00EB737A"/>
  </w:style>
  <w:style w:type="character" w:customStyle="1" w:styleId="E-mailSignatureChar">
    <w:name w:val="E-mail Signature Char"/>
    <w:link w:val="E-mailSignature"/>
    <w:locked/>
    <w:rsid w:val="00EB737A"/>
    <w:rPr>
      <w:sz w:val="24"/>
      <w:lang w:val="fr-FR" w:eastAsia="fr-FR" w:bidi="ar-SA"/>
    </w:rPr>
  </w:style>
  <w:style w:type="paragraph" w:styleId="EnvelopeAddress">
    <w:name w:val="envelope address"/>
    <w:basedOn w:val="Normal"/>
    <w:rsid w:val="00EB737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EB737A"/>
    <w:rPr>
      <w:rFonts w:ascii="Arial" w:hAnsi="Arial" w:cs="Arial"/>
      <w:sz w:val="20"/>
    </w:rPr>
  </w:style>
  <w:style w:type="character" w:styleId="HTMLAcronym">
    <w:name w:val="HTML Acronym"/>
    <w:rsid w:val="00EB737A"/>
    <w:rPr>
      <w:rFonts w:ascii="Times New Roman" w:hAnsi="Times New Roman" w:cs="Times New Roman"/>
    </w:rPr>
  </w:style>
  <w:style w:type="paragraph" w:styleId="HTMLAddress">
    <w:name w:val="HTML Address"/>
    <w:basedOn w:val="Normal"/>
    <w:link w:val="HTMLAddressChar"/>
    <w:rsid w:val="00EB737A"/>
    <w:rPr>
      <w:i/>
      <w:iCs/>
    </w:rPr>
  </w:style>
  <w:style w:type="character" w:customStyle="1" w:styleId="HTMLAddressChar">
    <w:name w:val="HTML Address Char"/>
    <w:link w:val="HTMLAddress"/>
    <w:locked/>
    <w:rsid w:val="00EB737A"/>
    <w:rPr>
      <w:i/>
      <w:iCs/>
      <w:sz w:val="24"/>
      <w:lang w:val="fr-FR" w:eastAsia="fr-FR" w:bidi="ar-SA"/>
    </w:rPr>
  </w:style>
  <w:style w:type="character" w:styleId="HTMLCite">
    <w:name w:val="HTML Cite"/>
    <w:rsid w:val="00EB737A"/>
    <w:rPr>
      <w:rFonts w:ascii="Times New Roman" w:hAnsi="Times New Roman" w:cs="Times New Roman"/>
      <w:i/>
      <w:iCs/>
    </w:rPr>
  </w:style>
  <w:style w:type="character" w:styleId="HTMLCode">
    <w:name w:val="HTML Code"/>
    <w:rsid w:val="00EB737A"/>
    <w:rPr>
      <w:rFonts w:ascii="Courier New" w:hAnsi="Courier New" w:cs="Courier New"/>
      <w:sz w:val="20"/>
      <w:szCs w:val="20"/>
    </w:rPr>
  </w:style>
  <w:style w:type="character" w:styleId="HTMLDefinition">
    <w:name w:val="HTML Definition"/>
    <w:rsid w:val="00EB737A"/>
    <w:rPr>
      <w:rFonts w:ascii="Times New Roman" w:hAnsi="Times New Roman" w:cs="Times New Roman"/>
      <w:i/>
      <w:iCs/>
    </w:rPr>
  </w:style>
  <w:style w:type="character" w:styleId="HTMLKeyboard">
    <w:name w:val="HTML Keyboard"/>
    <w:rsid w:val="00EB737A"/>
    <w:rPr>
      <w:rFonts w:ascii="Courier New" w:hAnsi="Courier New" w:cs="Courier New"/>
      <w:sz w:val="20"/>
      <w:szCs w:val="20"/>
    </w:rPr>
  </w:style>
  <w:style w:type="paragraph" w:styleId="HTMLPreformatted">
    <w:name w:val="HTML Preformatted"/>
    <w:basedOn w:val="Normal"/>
    <w:link w:val="HTMLPreformattedChar"/>
    <w:rsid w:val="00EB737A"/>
    <w:rPr>
      <w:rFonts w:ascii="Courier New" w:hAnsi="Courier New" w:cs="Courier New"/>
      <w:sz w:val="20"/>
    </w:rPr>
  </w:style>
  <w:style w:type="character" w:customStyle="1" w:styleId="HTMLPreformattedChar">
    <w:name w:val="HTML Preformatted Char"/>
    <w:link w:val="HTMLPreformatted"/>
    <w:locked/>
    <w:rsid w:val="00EB737A"/>
    <w:rPr>
      <w:rFonts w:ascii="Courier New" w:hAnsi="Courier New" w:cs="Courier New"/>
      <w:lang w:val="fr-FR" w:eastAsia="fr-FR" w:bidi="ar-SA"/>
    </w:rPr>
  </w:style>
  <w:style w:type="character" w:styleId="HTMLSample">
    <w:name w:val="HTML Sample"/>
    <w:rsid w:val="00EB737A"/>
    <w:rPr>
      <w:rFonts w:ascii="Courier New" w:hAnsi="Courier New" w:cs="Courier New"/>
    </w:rPr>
  </w:style>
  <w:style w:type="character" w:styleId="HTMLTypewriter">
    <w:name w:val="HTML Typewriter"/>
    <w:rsid w:val="00EB737A"/>
    <w:rPr>
      <w:rFonts w:ascii="Courier New" w:hAnsi="Courier New" w:cs="Courier New"/>
      <w:sz w:val="20"/>
      <w:szCs w:val="20"/>
    </w:rPr>
  </w:style>
  <w:style w:type="character" w:styleId="HTMLVariable">
    <w:name w:val="HTML Variable"/>
    <w:rsid w:val="00EB737A"/>
    <w:rPr>
      <w:rFonts w:ascii="Times New Roman" w:hAnsi="Times New Roman" w:cs="Times New Roman"/>
      <w:i/>
      <w:iCs/>
    </w:rPr>
  </w:style>
  <w:style w:type="paragraph" w:styleId="Index1">
    <w:name w:val="index 1"/>
    <w:basedOn w:val="Normal"/>
    <w:next w:val="Normal"/>
    <w:autoRedefine/>
    <w:semiHidden/>
    <w:rsid w:val="00EB737A"/>
    <w:pPr>
      <w:ind w:left="240" w:hanging="240"/>
    </w:pPr>
  </w:style>
  <w:style w:type="paragraph" w:styleId="Index2">
    <w:name w:val="index 2"/>
    <w:basedOn w:val="Normal"/>
    <w:next w:val="Normal"/>
    <w:autoRedefine/>
    <w:semiHidden/>
    <w:rsid w:val="00EB737A"/>
    <w:pPr>
      <w:ind w:left="480" w:hanging="240"/>
    </w:pPr>
  </w:style>
  <w:style w:type="paragraph" w:styleId="Index3">
    <w:name w:val="index 3"/>
    <w:basedOn w:val="Normal"/>
    <w:next w:val="Normal"/>
    <w:autoRedefine/>
    <w:semiHidden/>
    <w:rsid w:val="00EB737A"/>
    <w:pPr>
      <w:ind w:left="720" w:hanging="240"/>
    </w:pPr>
  </w:style>
  <w:style w:type="paragraph" w:styleId="Index4">
    <w:name w:val="index 4"/>
    <w:basedOn w:val="Normal"/>
    <w:next w:val="Normal"/>
    <w:autoRedefine/>
    <w:semiHidden/>
    <w:rsid w:val="00EB737A"/>
    <w:pPr>
      <w:ind w:left="960" w:hanging="240"/>
    </w:pPr>
  </w:style>
  <w:style w:type="paragraph" w:styleId="Index5">
    <w:name w:val="index 5"/>
    <w:basedOn w:val="Normal"/>
    <w:next w:val="Normal"/>
    <w:autoRedefine/>
    <w:semiHidden/>
    <w:rsid w:val="00EB737A"/>
    <w:pPr>
      <w:ind w:left="1200" w:hanging="240"/>
    </w:pPr>
  </w:style>
  <w:style w:type="paragraph" w:styleId="Index6">
    <w:name w:val="index 6"/>
    <w:basedOn w:val="Normal"/>
    <w:next w:val="Normal"/>
    <w:autoRedefine/>
    <w:semiHidden/>
    <w:rsid w:val="00EB737A"/>
    <w:pPr>
      <w:ind w:left="1440" w:hanging="240"/>
    </w:pPr>
  </w:style>
  <w:style w:type="paragraph" w:styleId="Index7">
    <w:name w:val="index 7"/>
    <w:basedOn w:val="Normal"/>
    <w:next w:val="Normal"/>
    <w:autoRedefine/>
    <w:semiHidden/>
    <w:rsid w:val="00EB737A"/>
    <w:pPr>
      <w:ind w:left="1680" w:hanging="240"/>
    </w:pPr>
  </w:style>
  <w:style w:type="paragraph" w:styleId="Index8">
    <w:name w:val="index 8"/>
    <w:basedOn w:val="Normal"/>
    <w:next w:val="Normal"/>
    <w:autoRedefine/>
    <w:semiHidden/>
    <w:rsid w:val="00EB737A"/>
    <w:pPr>
      <w:ind w:left="1920" w:hanging="240"/>
    </w:pPr>
  </w:style>
  <w:style w:type="paragraph" w:styleId="Index9">
    <w:name w:val="index 9"/>
    <w:basedOn w:val="Normal"/>
    <w:next w:val="Normal"/>
    <w:autoRedefine/>
    <w:semiHidden/>
    <w:rsid w:val="00EB737A"/>
    <w:pPr>
      <w:ind w:left="2160" w:hanging="240"/>
    </w:pPr>
  </w:style>
  <w:style w:type="paragraph" w:styleId="IndexHeading">
    <w:name w:val="index heading"/>
    <w:basedOn w:val="Normal"/>
    <w:next w:val="Index1"/>
    <w:semiHidden/>
    <w:rsid w:val="00EB737A"/>
    <w:rPr>
      <w:rFonts w:ascii="Arial" w:hAnsi="Arial" w:cs="Arial"/>
      <w:b/>
      <w:bCs/>
    </w:rPr>
  </w:style>
  <w:style w:type="table" w:styleId="LightGrid">
    <w:name w:val="Light Grid"/>
    <w:rsid w:val="00EB737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style>
  <w:style w:type="table" w:customStyle="1" w:styleId="LightGrid-Accent21">
    <w:name w:val="Light Grid - Accent 21"/>
    <w:rsid w:val="00EB737A"/>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style>
  <w:style w:type="table" w:customStyle="1" w:styleId="LightGrid-Accent31">
    <w:name w:val="Light Grid - Accent 31"/>
    <w:rsid w:val="00EB737A"/>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style>
  <w:style w:type="table" w:customStyle="1" w:styleId="LightGrid-Accent41">
    <w:name w:val="Light Grid - Accent 41"/>
    <w:rsid w:val="00EB737A"/>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style>
  <w:style w:type="table" w:customStyle="1" w:styleId="LightGrid-Accent51">
    <w:name w:val="Light Grid - Accent 51"/>
    <w:rsid w:val="00EB737A"/>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style>
  <w:style w:type="table" w:customStyle="1" w:styleId="LightGrid-Accent61">
    <w:name w:val="Light Grid - Accent 61"/>
    <w:rsid w:val="00EB737A"/>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style>
  <w:style w:type="table" w:styleId="LightList">
    <w:name w:val="Light List"/>
    <w:rsid w:val="00EB737A"/>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rsid w:val="00EB737A"/>
    <w:tblPr>
      <w:tblStyleRowBandSize w:val="1"/>
      <w:tblStyleColBandSize w:val="1"/>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style>
  <w:style w:type="table" w:customStyle="1" w:styleId="LightList-Accent21">
    <w:name w:val="Light List - Accent 21"/>
    <w:rsid w:val="00EB737A"/>
    <w:tblPr>
      <w:tblStyleRowBandSize w:val="1"/>
      <w:tblStyleColBandSize w:val="1"/>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style>
  <w:style w:type="table" w:customStyle="1" w:styleId="LightList-Accent31">
    <w:name w:val="Light List - Accent 31"/>
    <w:rsid w:val="00EB737A"/>
    <w:tblPr>
      <w:tblStyleRowBandSize w:val="1"/>
      <w:tblStyleColBandSize w:val="1"/>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LightList-Accent41">
    <w:name w:val="Light List - Accent 41"/>
    <w:rsid w:val="00EB737A"/>
    <w:tblPr>
      <w:tblStyleRowBandSize w:val="1"/>
      <w:tblStyleColBandSize w:val="1"/>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style>
  <w:style w:type="table" w:customStyle="1" w:styleId="LightList-Accent51">
    <w:name w:val="Light List - Accent 51"/>
    <w:rsid w:val="00EB737A"/>
    <w:tblPr>
      <w:tblStyleRowBandSize w:val="1"/>
      <w:tblStyleColBandSize w:val="1"/>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LightList-Accent61">
    <w:name w:val="Light List - Accent 61"/>
    <w:rsid w:val="00EB737A"/>
    <w:tblPr>
      <w:tblStyleRowBandSize w:val="1"/>
      <w:tblStyleColBandSize w:val="1"/>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style>
  <w:style w:type="table" w:styleId="LightShading">
    <w:name w:val="Light Shading"/>
    <w:rsid w:val="00EB737A"/>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sid w:val="00EB737A"/>
    <w:rPr>
      <w:color w:val="00548C"/>
    </w:rPr>
    <w:tblPr>
      <w:tblStyleRowBandSize w:val="1"/>
      <w:tblStyleColBandSize w:val="1"/>
      <w:tblBorders>
        <w:top w:val="single" w:sz="8" w:space="0" w:color="0072BC"/>
        <w:bottom w:val="single" w:sz="8" w:space="0" w:color="0072BC"/>
      </w:tblBorders>
      <w:tblCellMar>
        <w:top w:w="0" w:type="dxa"/>
        <w:left w:w="108" w:type="dxa"/>
        <w:bottom w:w="0" w:type="dxa"/>
        <w:right w:w="108" w:type="dxa"/>
      </w:tblCellMar>
    </w:tblPr>
  </w:style>
  <w:style w:type="table" w:customStyle="1" w:styleId="LightShading-Accent21">
    <w:name w:val="Light Shading - Accent 21"/>
    <w:rsid w:val="00EB737A"/>
    <w:rPr>
      <w:color w:val="8F0000"/>
    </w:rPr>
    <w:tblPr>
      <w:tblStyleRowBandSize w:val="1"/>
      <w:tblStyleColBandSize w:val="1"/>
      <w:tblBorders>
        <w:top w:val="single" w:sz="8" w:space="0" w:color="C00000"/>
        <w:bottom w:val="single" w:sz="8" w:space="0" w:color="C00000"/>
      </w:tblBorders>
      <w:tblCellMar>
        <w:top w:w="0" w:type="dxa"/>
        <w:left w:w="108" w:type="dxa"/>
        <w:bottom w:w="0" w:type="dxa"/>
        <w:right w:w="108" w:type="dxa"/>
      </w:tblCellMar>
    </w:tblPr>
  </w:style>
  <w:style w:type="table" w:customStyle="1" w:styleId="LightShading-Accent31">
    <w:name w:val="Light Shading - Accent 31"/>
    <w:rsid w:val="00EB737A"/>
    <w:rPr>
      <w:color w:val="474747"/>
    </w:rPr>
    <w:tblPr>
      <w:tblStyleRowBandSize w:val="1"/>
      <w:tblStyleColBandSize w:val="1"/>
      <w:tblBorders>
        <w:top w:val="single" w:sz="8" w:space="0" w:color="5F5F5F"/>
        <w:bottom w:val="single" w:sz="8" w:space="0" w:color="5F5F5F"/>
      </w:tblBorders>
      <w:tblCellMar>
        <w:top w:w="0" w:type="dxa"/>
        <w:left w:w="108" w:type="dxa"/>
        <w:bottom w:w="0" w:type="dxa"/>
        <w:right w:w="108" w:type="dxa"/>
      </w:tblCellMar>
    </w:tblPr>
  </w:style>
  <w:style w:type="table" w:customStyle="1" w:styleId="LightShading-Accent41">
    <w:name w:val="Light Shading - Accent 41"/>
    <w:rsid w:val="00EB737A"/>
    <w:rPr>
      <w:color w:val="707070"/>
    </w:rPr>
    <w:tblPr>
      <w:tblStyleRowBandSize w:val="1"/>
      <w:tblStyleColBandSize w:val="1"/>
      <w:tblBorders>
        <w:top w:val="single" w:sz="8" w:space="0" w:color="969696"/>
        <w:bottom w:val="single" w:sz="8" w:space="0" w:color="969696"/>
      </w:tblBorders>
      <w:tblCellMar>
        <w:top w:w="0" w:type="dxa"/>
        <w:left w:w="108" w:type="dxa"/>
        <w:bottom w:w="0" w:type="dxa"/>
        <w:right w:w="108" w:type="dxa"/>
      </w:tblCellMar>
    </w:tblPr>
  </w:style>
  <w:style w:type="table" w:customStyle="1" w:styleId="LightShading-Accent51">
    <w:name w:val="Light Shading - Accent 51"/>
    <w:rsid w:val="00EB737A"/>
    <w:rPr>
      <w:color w:val="474747"/>
    </w:rPr>
    <w:tblPr>
      <w:tblStyleRowBandSize w:val="1"/>
      <w:tblStyleColBandSize w:val="1"/>
      <w:tblBorders>
        <w:top w:val="single" w:sz="8" w:space="0" w:color="5F5F5F"/>
        <w:bottom w:val="single" w:sz="8" w:space="0" w:color="5F5F5F"/>
      </w:tblBorders>
      <w:tblCellMar>
        <w:top w:w="0" w:type="dxa"/>
        <w:left w:w="108" w:type="dxa"/>
        <w:bottom w:w="0" w:type="dxa"/>
        <w:right w:w="108" w:type="dxa"/>
      </w:tblCellMar>
    </w:tblPr>
  </w:style>
  <w:style w:type="table" w:customStyle="1" w:styleId="LightShading-Accent61">
    <w:name w:val="Light Shading - Accent 61"/>
    <w:rsid w:val="00EB737A"/>
    <w:rPr>
      <w:color w:val="393939"/>
    </w:rPr>
    <w:tblPr>
      <w:tblStyleRowBandSize w:val="1"/>
      <w:tblStyleColBandSize w:val="1"/>
      <w:tblBorders>
        <w:top w:val="single" w:sz="8" w:space="0" w:color="4D4D4D"/>
        <w:bottom w:val="single" w:sz="8" w:space="0" w:color="4D4D4D"/>
      </w:tblBorders>
      <w:tblCellMar>
        <w:top w:w="0" w:type="dxa"/>
        <w:left w:w="108" w:type="dxa"/>
        <w:bottom w:w="0" w:type="dxa"/>
        <w:right w:w="108" w:type="dxa"/>
      </w:tblCellMar>
    </w:tblPr>
  </w:style>
  <w:style w:type="character" w:styleId="LineNumber">
    <w:name w:val="line number"/>
    <w:rsid w:val="00EB737A"/>
    <w:rPr>
      <w:rFonts w:ascii="Times New Roman" w:hAnsi="Times New Roman" w:cs="Times New Roman"/>
    </w:rPr>
  </w:style>
  <w:style w:type="paragraph" w:styleId="List">
    <w:name w:val="List"/>
    <w:basedOn w:val="Normal"/>
    <w:rsid w:val="00EB737A"/>
    <w:pPr>
      <w:ind w:left="283" w:hanging="283"/>
    </w:pPr>
  </w:style>
  <w:style w:type="paragraph" w:styleId="List2">
    <w:name w:val="List 2"/>
    <w:basedOn w:val="Normal"/>
    <w:rsid w:val="00EB737A"/>
    <w:pPr>
      <w:ind w:left="566" w:hanging="283"/>
    </w:pPr>
  </w:style>
  <w:style w:type="paragraph" w:styleId="List3">
    <w:name w:val="List 3"/>
    <w:basedOn w:val="Normal"/>
    <w:rsid w:val="00EB737A"/>
    <w:pPr>
      <w:ind w:left="849" w:hanging="283"/>
    </w:pPr>
  </w:style>
  <w:style w:type="paragraph" w:styleId="List4">
    <w:name w:val="List 4"/>
    <w:basedOn w:val="Normal"/>
    <w:rsid w:val="00EB737A"/>
    <w:pPr>
      <w:ind w:left="1132" w:hanging="283"/>
    </w:pPr>
  </w:style>
  <w:style w:type="paragraph" w:styleId="List5">
    <w:name w:val="List 5"/>
    <w:basedOn w:val="Normal"/>
    <w:rsid w:val="00EB737A"/>
    <w:pPr>
      <w:ind w:left="1415" w:hanging="283"/>
    </w:pPr>
  </w:style>
  <w:style w:type="paragraph" w:styleId="ListBullet2">
    <w:name w:val="List Bullet 2"/>
    <w:basedOn w:val="Normal"/>
    <w:rsid w:val="00EB737A"/>
    <w:pPr>
      <w:numPr>
        <w:numId w:val="2"/>
      </w:numPr>
    </w:pPr>
  </w:style>
  <w:style w:type="paragraph" w:styleId="ListBullet3">
    <w:name w:val="List Bullet 3"/>
    <w:basedOn w:val="Normal"/>
    <w:rsid w:val="00EB737A"/>
    <w:pPr>
      <w:numPr>
        <w:numId w:val="3"/>
      </w:numPr>
    </w:pPr>
  </w:style>
  <w:style w:type="paragraph" w:styleId="ListBullet4">
    <w:name w:val="List Bullet 4"/>
    <w:basedOn w:val="Normal"/>
    <w:rsid w:val="00EB737A"/>
    <w:pPr>
      <w:numPr>
        <w:numId w:val="4"/>
      </w:numPr>
    </w:pPr>
  </w:style>
  <w:style w:type="paragraph" w:styleId="ListBullet5">
    <w:name w:val="List Bullet 5"/>
    <w:basedOn w:val="Normal"/>
    <w:rsid w:val="00EB737A"/>
    <w:pPr>
      <w:numPr>
        <w:numId w:val="5"/>
      </w:numPr>
    </w:pPr>
  </w:style>
  <w:style w:type="paragraph" w:styleId="ListContinue">
    <w:name w:val="List Continue"/>
    <w:basedOn w:val="Normal"/>
    <w:rsid w:val="00EB737A"/>
    <w:pPr>
      <w:spacing w:after="120"/>
      <w:ind w:left="283"/>
    </w:pPr>
  </w:style>
  <w:style w:type="paragraph" w:styleId="ListContinue2">
    <w:name w:val="List Continue 2"/>
    <w:basedOn w:val="Normal"/>
    <w:rsid w:val="00EB737A"/>
    <w:pPr>
      <w:spacing w:after="120"/>
      <w:ind w:left="566"/>
    </w:pPr>
  </w:style>
  <w:style w:type="paragraph" w:styleId="ListContinue3">
    <w:name w:val="List Continue 3"/>
    <w:basedOn w:val="Normal"/>
    <w:rsid w:val="00EB737A"/>
    <w:pPr>
      <w:spacing w:after="120"/>
      <w:ind w:left="849"/>
    </w:pPr>
  </w:style>
  <w:style w:type="paragraph" w:styleId="ListContinue4">
    <w:name w:val="List Continue 4"/>
    <w:basedOn w:val="Normal"/>
    <w:rsid w:val="00EB737A"/>
    <w:pPr>
      <w:spacing w:after="120"/>
      <w:ind w:left="1132"/>
    </w:pPr>
  </w:style>
  <w:style w:type="paragraph" w:styleId="ListContinue5">
    <w:name w:val="List Continue 5"/>
    <w:basedOn w:val="Normal"/>
    <w:rsid w:val="00EB737A"/>
    <w:pPr>
      <w:spacing w:after="120"/>
      <w:ind w:left="1415"/>
    </w:pPr>
  </w:style>
  <w:style w:type="paragraph" w:styleId="ListNumber">
    <w:name w:val="List Number"/>
    <w:basedOn w:val="Normal"/>
    <w:rsid w:val="00EB737A"/>
    <w:pPr>
      <w:numPr>
        <w:numId w:val="6"/>
      </w:numPr>
    </w:pPr>
  </w:style>
  <w:style w:type="paragraph" w:styleId="ListNumber2">
    <w:name w:val="List Number 2"/>
    <w:basedOn w:val="Normal"/>
    <w:rsid w:val="00EB737A"/>
    <w:pPr>
      <w:numPr>
        <w:numId w:val="7"/>
      </w:numPr>
    </w:pPr>
  </w:style>
  <w:style w:type="paragraph" w:styleId="ListNumber3">
    <w:name w:val="List Number 3"/>
    <w:basedOn w:val="Normal"/>
    <w:rsid w:val="00EB737A"/>
    <w:pPr>
      <w:numPr>
        <w:numId w:val="8"/>
      </w:numPr>
    </w:pPr>
  </w:style>
  <w:style w:type="paragraph" w:styleId="ListNumber4">
    <w:name w:val="List Number 4"/>
    <w:basedOn w:val="Normal"/>
    <w:rsid w:val="00EB737A"/>
    <w:pPr>
      <w:numPr>
        <w:numId w:val="9"/>
      </w:numPr>
    </w:pPr>
  </w:style>
  <w:style w:type="paragraph" w:styleId="ListNumber5">
    <w:name w:val="List Number 5"/>
    <w:basedOn w:val="Normal"/>
    <w:rsid w:val="00EB737A"/>
    <w:pPr>
      <w:numPr>
        <w:numId w:val="10"/>
      </w:numPr>
    </w:pPr>
  </w:style>
  <w:style w:type="paragraph" w:styleId="MacroText">
    <w:name w:val="macro"/>
    <w:link w:val="MacroTextChar"/>
    <w:semiHidden/>
    <w:rsid w:val="00EB737A"/>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fr-FR" w:eastAsia="fr-FR"/>
    </w:rPr>
  </w:style>
  <w:style w:type="character" w:customStyle="1" w:styleId="MacroTextChar">
    <w:name w:val="Macro Text Char"/>
    <w:link w:val="MacroText"/>
    <w:semiHidden/>
    <w:locked/>
    <w:rsid w:val="00EB737A"/>
    <w:rPr>
      <w:rFonts w:ascii="Courier New" w:hAnsi="Courier New" w:cs="Courier New"/>
      <w:lang w:val="fr-FR" w:eastAsia="fr-FR" w:bidi="ar-SA"/>
    </w:rPr>
  </w:style>
  <w:style w:type="table" w:styleId="MediumGrid1">
    <w:name w:val="Medium Grid 1"/>
    <w:rsid w:val="00EB73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rsid w:val="00EB737A"/>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style>
  <w:style w:type="table" w:customStyle="1" w:styleId="MediumGrid1-Accent21">
    <w:name w:val="Medium Grid 1 - Accent 21"/>
    <w:rsid w:val="00EB737A"/>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style>
  <w:style w:type="table" w:customStyle="1" w:styleId="MediumGrid1-Accent31">
    <w:name w:val="Medium Grid 1 - Accent 31"/>
    <w:rsid w:val="00EB737A"/>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style>
  <w:style w:type="table" w:customStyle="1" w:styleId="MediumGrid1-Accent41">
    <w:name w:val="Medium Grid 1 - Accent 41"/>
    <w:rsid w:val="00EB737A"/>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style>
  <w:style w:type="table" w:customStyle="1" w:styleId="MediumGrid1-Accent51">
    <w:name w:val="Medium Grid 1 - Accent 51"/>
    <w:rsid w:val="00EB737A"/>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style>
  <w:style w:type="table" w:customStyle="1" w:styleId="MediumGrid1-Accent61">
    <w:name w:val="Medium Grid 1 - Accent 61"/>
    <w:rsid w:val="00EB737A"/>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style>
  <w:style w:type="table" w:styleId="MediumGrid2">
    <w:name w:val="Medium Grid 2"/>
    <w:rsid w:val="00EB737A"/>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rsid w:val="00EB737A"/>
    <w:rPr>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style>
  <w:style w:type="table" w:customStyle="1" w:styleId="MediumGrid2-Accent21">
    <w:name w:val="Medium Grid 2 - Accent 21"/>
    <w:rsid w:val="00EB737A"/>
    <w:rPr>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style>
  <w:style w:type="table" w:customStyle="1" w:styleId="MediumGrid2-Accent31">
    <w:name w:val="Medium Grid 2 - Accent 31"/>
    <w:rsid w:val="00EB737A"/>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MediumGrid2-Accent41">
    <w:name w:val="Medium Grid 2 - Accent 41"/>
    <w:rsid w:val="00EB737A"/>
    <w:rPr>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style>
  <w:style w:type="table" w:customStyle="1" w:styleId="MediumGrid2-Accent51">
    <w:name w:val="Medium Grid 2 - Accent 51"/>
    <w:rsid w:val="00EB737A"/>
    <w:rPr>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style>
  <w:style w:type="table" w:customStyle="1" w:styleId="MediumGrid2-Accent61">
    <w:name w:val="Medium Grid 2 - Accent 61"/>
    <w:rsid w:val="00EB737A"/>
    <w:rPr>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style>
  <w:style w:type="table" w:styleId="MediumGrid3">
    <w:name w:val="Medium Grid 3"/>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style>
  <w:style w:type="table" w:customStyle="1" w:styleId="MediumGrid3-Accent21">
    <w:name w:val="Medium Grid 3 - Accent 2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style>
  <w:style w:type="table" w:customStyle="1" w:styleId="MediumGrid3-Accent31">
    <w:name w:val="Medium Grid 3 - Accent 3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style>
  <w:style w:type="table" w:customStyle="1" w:styleId="MediumGrid3-Accent41">
    <w:name w:val="Medium Grid 3 - Accent 4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style>
  <w:style w:type="table" w:customStyle="1" w:styleId="MediumGrid3-Accent51">
    <w:name w:val="Medium Grid 3 - Accent 5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style>
  <w:style w:type="table" w:customStyle="1" w:styleId="MediumGrid3-Accent61">
    <w:name w:val="Medium Grid 3 - Accent 61"/>
    <w:rsid w:val="00EB737A"/>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style>
  <w:style w:type="table" w:styleId="MediumList1">
    <w:name w:val="Medium List 1"/>
    <w:rsid w:val="00EB737A"/>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rsid w:val="00EB737A"/>
    <w:rPr>
      <w:color w:val="000000"/>
    </w:rPr>
    <w:tblPr>
      <w:tblStyleRowBandSize w:val="1"/>
      <w:tblStyleColBandSize w:val="1"/>
      <w:tblBorders>
        <w:top w:val="single" w:sz="8" w:space="0" w:color="0072BC"/>
        <w:bottom w:val="single" w:sz="8" w:space="0" w:color="0072BC"/>
      </w:tblBorders>
      <w:tblCellMar>
        <w:top w:w="0" w:type="dxa"/>
        <w:left w:w="108" w:type="dxa"/>
        <w:bottom w:w="0" w:type="dxa"/>
        <w:right w:w="108" w:type="dxa"/>
      </w:tblCellMar>
    </w:tblPr>
  </w:style>
  <w:style w:type="table" w:customStyle="1" w:styleId="MediumList1-Accent21">
    <w:name w:val="Medium List 1 - Accent 21"/>
    <w:rsid w:val="00EB737A"/>
    <w:rPr>
      <w:color w:val="000000"/>
    </w:rPr>
    <w:tblPr>
      <w:tblStyleRowBandSize w:val="1"/>
      <w:tblStyleColBandSize w:val="1"/>
      <w:tblBorders>
        <w:top w:val="single" w:sz="8" w:space="0" w:color="C00000"/>
        <w:bottom w:val="single" w:sz="8" w:space="0" w:color="C00000"/>
      </w:tblBorders>
      <w:tblCellMar>
        <w:top w:w="0" w:type="dxa"/>
        <w:left w:w="108" w:type="dxa"/>
        <w:bottom w:w="0" w:type="dxa"/>
        <w:right w:w="108" w:type="dxa"/>
      </w:tblCellMar>
    </w:tblPr>
  </w:style>
  <w:style w:type="table" w:customStyle="1" w:styleId="MediumList1-Accent31">
    <w:name w:val="Medium List 1 - Accent 31"/>
    <w:rsid w:val="00EB737A"/>
    <w:rPr>
      <w:color w:val="000000"/>
    </w:rPr>
    <w:tblPr>
      <w:tblStyleRowBandSize w:val="1"/>
      <w:tblStyleColBandSize w:val="1"/>
      <w:tblBorders>
        <w:top w:val="single" w:sz="8" w:space="0" w:color="5F5F5F"/>
        <w:bottom w:val="single" w:sz="8" w:space="0" w:color="5F5F5F"/>
      </w:tblBorders>
      <w:tblCellMar>
        <w:top w:w="0" w:type="dxa"/>
        <w:left w:w="108" w:type="dxa"/>
        <w:bottom w:w="0" w:type="dxa"/>
        <w:right w:w="108" w:type="dxa"/>
      </w:tblCellMar>
    </w:tblPr>
  </w:style>
  <w:style w:type="table" w:customStyle="1" w:styleId="MediumList1-Accent41">
    <w:name w:val="Medium List 1 - Accent 41"/>
    <w:rsid w:val="00EB737A"/>
    <w:rPr>
      <w:color w:val="000000"/>
    </w:rPr>
    <w:tblPr>
      <w:tblStyleRowBandSize w:val="1"/>
      <w:tblStyleColBandSize w:val="1"/>
      <w:tblBorders>
        <w:top w:val="single" w:sz="8" w:space="0" w:color="969696"/>
        <w:bottom w:val="single" w:sz="8" w:space="0" w:color="969696"/>
      </w:tblBorders>
      <w:tblCellMar>
        <w:top w:w="0" w:type="dxa"/>
        <w:left w:w="108" w:type="dxa"/>
        <w:bottom w:w="0" w:type="dxa"/>
        <w:right w:w="108" w:type="dxa"/>
      </w:tblCellMar>
    </w:tblPr>
  </w:style>
  <w:style w:type="table" w:customStyle="1" w:styleId="MediumList1-Accent51">
    <w:name w:val="Medium List 1 - Accent 51"/>
    <w:rsid w:val="00EB737A"/>
    <w:rPr>
      <w:color w:val="000000"/>
    </w:rPr>
    <w:tblPr>
      <w:tblStyleRowBandSize w:val="1"/>
      <w:tblStyleColBandSize w:val="1"/>
      <w:tblBorders>
        <w:top w:val="single" w:sz="8" w:space="0" w:color="5F5F5F"/>
        <w:bottom w:val="single" w:sz="8" w:space="0" w:color="5F5F5F"/>
      </w:tblBorders>
      <w:tblCellMar>
        <w:top w:w="0" w:type="dxa"/>
        <w:left w:w="108" w:type="dxa"/>
        <w:bottom w:w="0" w:type="dxa"/>
        <w:right w:w="108" w:type="dxa"/>
      </w:tblCellMar>
    </w:tblPr>
  </w:style>
  <w:style w:type="table" w:customStyle="1" w:styleId="MediumList1-Accent61">
    <w:name w:val="Medium List 1 - Accent 61"/>
    <w:rsid w:val="00EB737A"/>
    <w:rPr>
      <w:color w:val="000000"/>
    </w:rPr>
    <w:tblPr>
      <w:tblStyleRowBandSize w:val="1"/>
      <w:tblStyleColBandSize w:val="1"/>
      <w:tblBorders>
        <w:top w:val="single" w:sz="8" w:space="0" w:color="4D4D4D"/>
        <w:bottom w:val="single" w:sz="8" w:space="0" w:color="4D4D4D"/>
      </w:tblBorders>
      <w:tblCellMar>
        <w:top w:w="0" w:type="dxa"/>
        <w:left w:w="108" w:type="dxa"/>
        <w:bottom w:w="0" w:type="dxa"/>
        <w:right w:w="108" w:type="dxa"/>
      </w:tblCellMar>
    </w:tblPr>
  </w:style>
  <w:style w:type="table" w:styleId="MediumList2">
    <w:name w:val="Medium List 2"/>
    <w:rsid w:val="00EB737A"/>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rsid w:val="00EB737A"/>
    <w:rPr>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style>
  <w:style w:type="table" w:customStyle="1" w:styleId="MediumList2-Accent21">
    <w:name w:val="Medium List 2 - Accent 21"/>
    <w:rsid w:val="00EB737A"/>
    <w:rPr>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style>
  <w:style w:type="table" w:customStyle="1" w:styleId="MediumList2-Accent31">
    <w:name w:val="Medium List 2 - Accent 31"/>
    <w:rsid w:val="00EB737A"/>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MediumList2-Accent41">
    <w:name w:val="Medium List 2 - Accent 41"/>
    <w:rsid w:val="00EB737A"/>
    <w:rPr>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style>
  <w:style w:type="table" w:customStyle="1" w:styleId="MediumList2-Accent51">
    <w:name w:val="Medium List 2 - Accent 51"/>
    <w:rsid w:val="00EB737A"/>
    <w:rPr>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style>
  <w:style w:type="table" w:customStyle="1" w:styleId="MediumList2-Accent61">
    <w:name w:val="Medium List 2 - Accent 61"/>
    <w:rsid w:val="00EB737A"/>
    <w:rPr>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style>
  <w:style w:type="table" w:styleId="MediumShading1">
    <w:name w:val="Medium Shading 1"/>
    <w:rsid w:val="00EB737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rsid w:val="00EB737A"/>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style>
  <w:style w:type="table" w:customStyle="1" w:styleId="MediumShading1-Accent21">
    <w:name w:val="Medium Shading 1 - Accent 21"/>
    <w:rsid w:val="00EB737A"/>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style>
  <w:style w:type="table" w:customStyle="1" w:styleId="MediumShading1-Accent31">
    <w:name w:val="Medium Shading 1 - Accent 31"/>
    <w:rsid w:val="00EB737A"/>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style>
  <w:style w:type="table" w:customStyle="1" w:styleId="MediumShading1-Accent41">
    <w:name w:val="Medium Shading 1 - Accent 41"/>
    <w:rsid w:val="00EB737A"/>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style>
  <w:style w:type="table" w:customStyle="1" w:styleId="MediumShading1-Accent51">
    <w:name w:val="Medium Shading 1 - Accent 51"/>
    <w:rsid w:val="00EB737A"/>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style>
  <w:style w:type="table" w:customStyle="1" w:styleId="MediumShading1-Accent61">
    <w:name w:val="Medium Shading 1 - Accent 61"/>
    <w:rsid w:val="00EB737A"/>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style>
  <w:style w:type="table" w:styleId="MediumShading2">
    <w:name w:val="Medium Shading 2"/>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rsid w:val="00EB737A"/>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paragraph" w:styleId="MessageHeader">
    <w:name w:val="Message Header"/>
    <w:basedOn w:val="Normal"/>
    <w:link w:val="MessageHeaderChar"/>
    <w:rsid w:val="00EB73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link w:val="MessageHeader"/>
    <w:locked/>
    <w:rsid w:val="00EB737A"/>
    <w:rPr>
      <w:rFonts w:ascii="Arial" w:hAnsi="Arial" w:cs="Arial"/>
      <w:sz w:val="24"/>
      <w:szCs w:val="24"/>
      <w:lang w:val="fr-FR" w:eastAsia="fr-FR" w:bidi="ar-SA"/>
    </w:rPr>
  </w:style>
  <w:style w:type="paragraph" w:styleId="NormalWeb">
    <w:name w:val="Normal (Web)"/>
    <w:basedOn w:val="Normal"/>
    <w:rsid w:val="00EB737A"/>
    <w:rPr>
      <w:szCs w:val="24"/>
    </w:rPr>
  </w:style>
  <w:style w:type="paragraph" w:styleId="NormalIndent">
    <w:name w:val="Normal Indent"/>
    <w:basedOn w:val="Normal"/>
    <w:rsid w:val="00EB737A"/>
    <w:pPr>
      <w:ind w:left="720"/>
    </w:pPr>
  </w:style>
  <w:style w:type="paragraph" w:styleId="NoteHeading">
    <w:name w:val="Note Heading"/>
    <w:basedOn w:val="Normal"/>
    <w:next w:val="Normal"/>
    <w:link w:val="NoteHeadingChar"/>
    <w:rsid w:val="00EB737A"/>
  </w:style>
  <w:style w:type="character" w:customStyle="1" w:styleId="NoteHeadingChar">
    <w:name w:val="Note Heading Char"/>
    <w:link w:val="NoteHeading"/>
    <w:locked/>
    <w:rsid w:val="00EB737A"/>
    <w:rPr>
      <w:sz w:val="24"/>
      <w:lang w:val="fr-FR" w:eastAsia="fr-FR" w:bidi="ar-SA"/>
    </w:rPr>
  </w:style>
  <w:style w:type="character" w:styleId="PlaceholderText">
    <w:name w:val="Placeholder Text"/>
    <w:semiHidden/>
    <w:rsid w:val="00EB737A"/>
    <w:rPr>
      <w:rFonts w:ascii="Times New Roman" w:hAnsi="Times New Roman" w:cs="Times New Roman"/>
      <w:color w:val="808080"/>
    </w:rPr>
  </w:style>
  <w:style w:type="paragraph" w:styleId="PlainText">
    <w:name w:val="Plain Text"/>
    <w:basedOn w:val="Normal"/>
    <w:link w:val="PlainTextChar"/>
    <w:rsid w:val="00EB737A"/>
    <w:rPr>
      <w:rFonts w:ascii="Courier New" w:hAnsi="Courier New" w:cs="Courier New"/>
      <w:sz w:val="20"/>
    </w:rPr>
  </w:style>
  <w:style w:type="character" w:customStyle="1" w:styleId="PlainTextChar">
    <w:name w:val="Plain Text Char"/>
    <w:link w:val="PlainText"/>
    <w:locked/>
    <w:rsid w:val="00EB737A"/>
    <w:rPr>
      <w:rFonts w:ascii="Courier New" w:hAnsi="Courier New" w:cs="Courier New"/>
      <w:lang w:val="fr-FR" w:eastAsia="fr-FR" w:bidi="ar-SA"/>
    </w:rPr>
  </w:style>
  <w:style w:type="paragraph" w:styleId="Salutation">
    <w:name w:val="Salutation"/>
    <w:basedOn w:val="Normal"/>
    <w:next w:val="Normal"/>
    <w:link w:val="SalutationChar"/>
    <w:rsid w:val="00EB737A"/>
  </w:style>
  <w:style w:type="character" w:customStyle="1" w:styleId="SalutationChar">
    <w:name w:val="Salutation Char"/>
    <w:link w:val="Salutation"/>
    <w:locked/>
    <w:rsid w:val="00EB737A"/>
    <w:rPr>
      <w:sz w:val="24"/>
      <w:lang w:val="fr-FR" w:eastAsia="fr-FR" w:bidi="ar-SA"/>
    </w:rPr>
  </w:style>
  <w:style w:type="paragraph" w:styleId="Signature">
    <w:name w:val="Signature"/>
    <w:basedOn w:val="Normal"/>
    <w:link w:val="SignatureChar"/>
    <w:rsid w:val="00EB737A"/>
    <w:pPr>
      <w:ind w:left="4252"/>
    </w:pPr>
  </w:style>
  <w:style w:type="character" w:customStyle="1" w:styleId="SignatureChar">
    <w:name w:val="Signature Char"/>
    <w:link w:val="Signature"/>
    <w:locked/>
    <w:rsid w:val="00EB737A"/>
    <w:rPr>
      <w:sz w:val="24"/>
      <w:lang w:val="fr-FR" w:eastAsia="fr-FR" w:bidi="ar-SA"/>
    </w:rPr>
  </w:style>
  <w:style w:type="table" w:styleId="Table3Deffects1">
    <w:name w:val="Table 3D effects 1"/>
    <w:basedOn w:val="TableNormal"/>
    <w:rsid w:val="00EB737A"/>
    <w:pPr>
      <w:suppressAutoHyphens/>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B737A"/>
    <w:pPr>
      <w:suppressAutoHyphens/>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EB737A"/>
    <w:pPr>
      <w:suppressAutoHyphens/>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EB737A"/>
    <w:pPr>
      <w:suppressAutoHyphens/>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EB737A"/>
    <w:pPr>
      <w:suppressAutoHyphens/>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EB737A"/>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EB737A"/>
    <w:pPr>
      <w:suppressAutoHyphens/>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EB737A"/>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B737A"/>
    <w:pPr>
      <w:suppressAutoHyphens/>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B737A"/>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B737A"/>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EB737A"/>
    <w:pPr>
      <w:suppressAutoHyphens/>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EB737A"/>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EB737A"/>
    <w:pPr>
      <w:suppressAutoHyphens/>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EB737A"/>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EB737A"/>
    <w:pPr>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B737A"/>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EB737A"/>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EB737A"/>
    <w:pPr>
      <w:suppressAutoHyphens/>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EB737A"/>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EB737A"/>
    <w:pPr>
      <w:suppressAutoHyphens/>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EB737A"/>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EB737A"/>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EB737A"/>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EB737A"/>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EB737A"/>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EB737A"/>
    <w:pPr>
      <w:suppressAutoHyphens/>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EB737A"/>
    <w:pPr>
      <w:suppressAutoHyphens/>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EB737A"/>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B737A"/>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EB737A"/>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EB737A"/>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EB737A"/>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B737A"/>
    <w:pPr>
      <w:ind w:left="240" w:hanging="240"/>
    </w:pPr>
  </w:style>
  <w:style w:type="paragraph" w:styleId="TableofFigures">
    <w:name w:val="table of figures"/>
    <w:basedOn w:val="Normal"/>
    <w:next w:val="Normal"/>
    <w:semiHidden/>
    <w:rsid w:val="00EB737A"/>
  </w:style>
  <w:style w:type="table" w:styleId="TableProfessional">
    <w:name w:val="Table Professional"/>
    <w:basedOn w:val="TableNormal"/>
    <w:rsid w:val="00EB737A"/>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B737A"/>
    <w:pPr>
      <w:suppressAutoHyphens/>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B737A"/>
    <w:pPr>
      <w:suppressAutoHyphens/>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B737A"/>
    <w:pPr>
      <w:suppressAutoHyphens/>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B737A"/>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EB737A"/>
    <w:pPr>
      <w:suppressAutoHyphens/>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EB737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B737A"/>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EB737A"/>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EB737A"/>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semiHidden/>
    <w:rsid w:val="00EB737A"/>
    <w:pPr>
      <w:ind w:left="1200"/>
    </w:pPr>
  </w:style>
  <w:style w:type="paragraph" w:styleId="TOC7">
    <w:name w:val="toc 7"/>
    <w:basedOn w:val="Normal"/>
    <w:next w:val="Normal"/>
    <w:autoRedefine/>
    <w:semiHidden/>
    <w:rsid w:val="00EB737A"/>
    <w:pPr>
      <w:ind w:left="1440"/>
    </w:pPr>
  </w:style>
  <w:style w:type="paragraph" w:styleId="TOC8">
    <w:name w:val="toc 8"/>
    <w:basedOn w:val="Normal"/>
    <w:next w:val="Normal"/>
    <w:autoRedefine/>
    <w:semiHidden/>
    <w:rsid w:val="00EB737A"/>
    <w:pPr>
      <w:ind w:left="1680"/>
    </w:pPr>
  </w:style>
  <w:style w:type="paragraph" w:styleId="TOC9">
    <w:name w:val="toc 9"/>
    <w:basedOn w:val="Normal"/>
    <w:next w:val="Normal"/>
    <w:autoRedefine/>
    <w:semiHidden/>
    <w:rsid w:val="00EB737A"/>
    <w:pPr>
      <w:ind w:left="1920"/>
    </w:pPr>
  </w:style>
  <w:style w:type="paragraph" w:customStyle="1" w:styleId="PubJuPara">
    <w:name w:val="Pub_Ju_Para"/>
    <w:basedOn w:val="NormalTimesNewRoman"/>
    <w:rsid w:val="00EB737A"/>
    <w:pPr>
      <w:ind w:firstLine="284"/>
      <w:jc w:val="both"/>
    </w:pPr>
  </w:style>
  <w:style w:type="paragraph" w:customStyle="1" w:styleId="PubJuQuot">
    <w:name w:val="Pub_Ju_Quot"/>
    <w:basedOn w:val="NormalTimesNewRoman"/>
    <w:rsid w:val="00EB737A"/>
    <w:pPr>
      <w:spacing w:before="120" w:after="120"/>
      <w:ind w:left="403" w:firstLine="176"/>
      <w:jc w:val="both"/>
    </w:pPr>
    <w:rPr>
      <w:sz w:val="20"/>
    </w:rPr>
  </w:style>
  <w:style w:type="paragraph" w:customStyle="1" w:styleId="PubListArticleSubject">
    <w:name w:val="Pub_List_ArticleSubject"/>
    <w:basedOn w:val="NormalTimesNewRoman"/>
    <w:rsid w:val="00EB737A"/>
    <w:pPr>
      <w:tabs>
        <w:tab w:val="left" w:pos="2977"/>
      </w:tabs>
      <w:ind w:left="2977" w:hanging="2977"/>
    </w:pPr>
  </w:style>
  <w:style w:type="paragraph" w:customStyle="1" w:styleId="OpiH10">
    <w:name w:val="Opi_H_1."/>
    <w:basedOn w:val="OpiHA"/>
    <w:next w:val="OpiPara"/>
    <w:rsid w:val="00EB737A"/>
    <w:pPr>
      <w:spacing w:before="240" w:after="120"/>
      <w:ind w:left="635"/>
      <w:outlineLvl w:val="2"/>
    </w:pPr>
    <w:rPr>
      <w:b w:val="0"/>
      <w:i/>
    </w:rPr>
  </w:style>
  <w:style w:type="paragraph" w:customStyle="1" w:styleId="PubListCaseNo">
    <w:name w:val="Pub_List_CaseNo"/>
    <w:basedOn w:val="NormalTimesNewRoman"/>
    <w:rsid w:val="00EB737A"/>
    <w:pPr>
      <w:tabs>
        <w:tab w:val="left" w:pos="1276"/>
      </w:tabs>
      <w:spacing w:line="288" w:lineRule="auto"/>
      <w:ind w:left="1276" w:hanging="1276"/>
    </w:pPr>
  </w:style>
  <w:style w:type="paragraph" w:customStyle="1" w:styleId="SuCoverTitle1">
    <w:name w:val="Su_Cover_Title1"/>
    <w:basedOn w:val="NormalTimesNewRoman"/>
    <w:next w:val="SuCoverTitle2"/>
    <w:rsid w:val="00EB737A"/>
    <w:pPr>
      <w:spacing w:before="2500"/>
      <w:jc w:val="center"/>
    </w:pPr>
    <w:rPr>
      <w:sz w:val="22"/>
    </w:rPr>
  </w:style>
  <w:style w:type="paragraph" w:customStyle="1" w:styleId="SuCoverTitle2">
    <w:name w:val="Su_Cover_Title2"/>
    <w:basedOn w:val="SuCoverTitle1"/>
    <w:next w:val="Normal"/>
    <w:rsid w:val="00EB737A"/>
    <w:pPr>
      <w:spacing w:before="240"/>
    </w:pPr>
    <w:rPr>
      <w:sz w:val="18"/>
    </w:rPr>
  </w:style>
  <w:style w:type="paragraph" w:customStyle="1" w:styleId="SuPara">
    <w:name w:val="Su_Para"/>
    <w:basedOn w:val="SuKeywords"/>
    <w:rsid w:val="00EB737A"/>
    <w:pPr>
      <w:spacing w:before="0" w:after="0"/>
    </w:pPr>
    <w:rPr>
      <w:i w:val="0"/>
    </w:rPr>
  </w:style>
  <w:style w:type="paragraph" w:customStyle="1" w:styleId="SuKeywords">
    <w:name w:val="Su_Keywords"/>
    <w:basedOn w:val="SuHHead"/>
    <w:rsid w:val="00EB737A"/>
    <w:pPr>
      <w:spacing w:before="120"/>
    </w:pPr>
    <w:rPr>
      <w:b w:val="0"/>
      <w:i/>
    </w:rPr>
  </w:style>
  <w:style w:type="paragraph" w:customStyle="1" w:styleId="SuHHead">
    <w:name w:val="Su_H_Head"/>
    <w:basedOn w:val="SuSubject"/>
    <w:rsid w:val="00EB737A"/>
    <w:pPr>
      <w:spacing w:after="120"/>
    </w:pPr>
  </w:style>
  <w:style w:type="paragraph" w:customStyle="1" w:styleId="SuSubject">
    <w:name w:val="Su_Subject"/>
    <w:basedOn w:val="SuSummary"/>
    <w:rsid w:val="00EB737A"/>
    <w:pPr>
      <w:spacing w:before="360"/>
      <w:jc w:val="both"/>
    </w:pPr>
    <w:rPr>
      <w:b/>
      <w:sz w:val="22"/>
    </w:rPr>
  </w:style>
  <w:style w:type="paragraph" w:customStyle="1" w:styleId="SuSummary">
    <w:name w:val="Su_Summary"/>
    <w:basedOn w:val="NormalTimesNewRoman"/>
    <w:next w:val="SuSubject"/>
    <w:rsid w:val="00EB737A"/>
    <w:pPr>
      <w:spacing w:after="240"/>
      <w:jc w:val="center"/>
    </w:pPr>
  </w:style>
  <w:style w:type="paragraph" w:customStyle="1" w:styleId="PubListCases">
    <w:name w:val="Pub_List_Cases"/>
    <w:basedOn w:val="NormalTimesNewRoman"/>
    <w:rsid w:val="00EB737A"/>
    <w:pPr>
      <w:spacing w:line="288" w:lineRule="auto"/>
    </w:pPr>
  </w:style>
  <w:style w:type="paragraph" w:customStyle="1" w:styleId="PTextIntro">
    <w:name w:val="P_Text_Intro"/>
    <w:basedOn w:val="NormalTimesNewRoman"/>
    <w:rsid w:val="00EB737A"/>
    <w:pPr>
      <w:jc w:val="both"/>
    </w:pPr>
    <w:rPr>
      <w:i/>
      <w:sz w:val="20"/>
    </w:rPr>
  </w:style>
  <w:style w:type="paragraph" w:customStyle="1" w:styleId="PubTitleCover">
    <w:name w:val="Pub_Title_Cover"/>
    <w:basedOn w:val="NormalTimesNewRoman"/>
    <w:rsid w:val="00EB737A"/>
    <w:pPr>
      <w:spacing w:before="2500"/>
      <w:jc w:val="center"/>
    </w:pPr>
    <w:rPr>
      <w:b/>
      <w:smallCaps/>
      <w:sz w:val="30"/>
    </w:rPr>
  </w:style>
  <w:style w:type="paragraph" w:customStyle="1" w:styleId="PubTitle1Alpha">
    <w:name w:val="Pub_Title1_Alpha"/>
    <w:basedOn w:val="NormalTimesNewRoman"/>
    <w:next w:val="Normal"/>
    <w:rsid w:val="00EB737A"/>
    <w:pPr>
      <w:spacing w:after="120"/>
      <w:jc w:val="center"/>
    </w:pPr>
    <w:rPr>
      <w:b/>
      <w:smallCaps/>
      <w:sz w:val="30"/>
    </w:rPr>
  </w:style>
  <w:style w:type="paragraph" w:customStyle="1" w:styleId="PubTitle1IndexArticle">
    <w:name w:val="Pub_Title1_IndexArticle"/>
    <w:basedOn w:val="NormalTimesNewRoman"/>
    <w:rsid w:val="00EB737A"/>
    <w:pPr>
      <w:spacing w:after="120"/>
      <w:jc w:val="center"/>
    </w:pPr>
    <w:rPr>
      <w:b/>
      <w:smallCaps/>
      <w:sz w:val="30"/>
    </w:rPr>
  </w:style>
  <w:style w:type="paragraph" w:customStyle="1" w:styleId="PubTitle1IndexKey">
    <w:name w:val="Pub_Title1_IndexKey"/>
    <w:basedOn w:val="NormalTimesNewRoman"/>
    <w:rsid w:val="00EB737A"/>
    <w:pPr>
      <w:spacing w:after="600"/>
      <w:jc w:val="center"/>
    </w:pPr>
    <w:rPr>
      <w:b/>
      <w:smallCaps/>
      <w:sz w:val="30"/>
    </w:rPr>
  </w:style>
  <w:style w:type="paragraph" w:customStyle="1" w:styleId="PubTitle1Num">
    <w:name w:val="Pub_Title1_Num"/>
    <w:basedOn w:val="NormalTimesNewRoman"/>
    <w:next w:val="PubListCaseNo"/>
    <w:rsid w:val="00EB737A"/>
    <w:pPr>
      <w:spacing w:after="720"/>
      <w:jc w:val="center"/>
    </w:pPr>
    <w:rPr>
      <w:b/>
      <w:smallCaps/>
      <w:sz w:val="30"/>
    </w:rPr>
  </w:style>
  <w:style w:type="paragraph" w:customStyle="1" w:styleId="PubTitle2Country">
    <w:name w:val="Pub_Title2_Country"/>
    <w:basedOn w:val="NormalTimesNewRoman"/>
    <w:next w:val="PubListCases"/>
    <w:rsid w:val="00EB737A"/>
    <w:pPr>
      <w:keepNext/>
      <w:keepLines/>
      <w:spacing w:before="600" w:after="360"/>
    </w:pPr>
    <w:rPr>
      <w:b/>
    </w:rPr>
  </w:style>
  <w:style w:type="paragraph" w:customStyle="1" w:styleId="PubTitle2Letters">
    <w:name w:val="Pub_Title2_Letters"/>
    <w:basedOn w:val="NormalTimesNewRoman"/>
    <w:next w:val="PubListCases"/>
    <w:rsid w:val="00EB737A"/>
    <w:pPr>
      <w:keepNext/>
      <w:keepLines/>
      <w:spacing w:before="600" w:after="360"/>
    </w:pPr>
    <w:rPr>
      <w:b/>
      <w:sz w:val="28"/>
    </w:rPr>
  </w:style>
  <w:style w:type="paragraph" w:customStyle="1" w:styleId="PubTitle2Part">
    <w:name w:val="Pub_Title2_Part"/>
    <w:basedOn w:val="NormalTimesNewRoman"/>
    <w:rsid w:val="00EB737A"/>
    <w:pPr>
      <w:keepNext/>
      <w:keepLines/>
      <w:spacing w:before="600" w:after="240"/>
      <w:jc w:val="center"/>
    </w:pPr>
    <w:rPr>
      <w:b/>
      <w:caps/>
    </w:rPr>
  </w:style>
  <w:style w:type="paragraph" w:customStyle="1" w:styleId="PubTitle3Article">
    <w:name w:val="Pub_Title3_Article"/>
    <w:basedOn w:val="NormalTimesNewRoman"/>
    <w:rsid w:val="00EB737A"/>
    <w:pPr>
      <w:keepNext/>
      <w:keepLines/>
      <w:spacing w:before="360" w:after="120"/>
      <w:jc w:val="center"/>
    </w:pPr>
    <w:rPr>
      <w:b/>
      <w:smallCaps/>
      <w:sz w:val="22"/>
    </w:rPr>
  </w:style>
  <w:style w:type="paragraph" w:customStyle="1" w:styleId="PubTitle4ArticleSub">
    <w:name w:val="Pub_Title4_Article_Sub"/>
    <w:basedOn w:val="PubTitle3Article"/>
    <w:rsid w:val="00EB737A"/>
    <w:pPr>
      <w:spacing w:before="240"/>
    </w:pPr>
    <w:rPr>
      <w:smallCaps w:val="0"/>
      <w:sz w:val="20"/>
    </w:rPr>
  </w:style>
  <w:style w:type="paragraph" w:customStyle="1" w:styleId="PubTitle5Subject">
    <w:name w:val="Pub_Title5_Subject"/>
    <w:basedOn w:val="NormalTimesNewRoman"/>
    <w:rsid w:val="00EB737A"/>
    <w:pPr>
      <w:keepNext/>
      <w:keepLines/>
      <w:spacing w:before="240" w:after="120"/>
      <w:jc w:val="both"/>
    </w:pPr>
    <w:rPr>
      <w:b/>
      <w:i/>
    </w:rPr>
  </w:style>
  <w:style w:type="paragraph" w:customStyle="1" w:styleId="PubTitle6SubjectSub">
    <w:name w:val="Pub_Title6_Subject_Sub"/>
    <w:basedOn w:val="NormalTimesNewRoman"/>
    <w:rsid w:val="00EB737A"/>
    <w:pPr>
      <w:keepNext/>
      <w:keepLines/>
      <w:spacing w:before="240" w:after="120"/>
      <w:ind w:left="284"/>
      <w:jc w:val="both"/>
    </w:pPr>
    <w:rPr>
      <w:b/>
      <w:sz w:val="20"/>
    </w:rPr>
  </w:style>
  <w:style w:type="paragraph" w:customStyle="1" w:styleId="PubTitle7CaseName">
    <w:name w:val="Pub_Title7_CaseName"/>
    <w:basedOn w:val="NormalTimesNewRoman"/>
    <w:rsid w:val="00EB737A"/>
    <w:pPr>
      <w:keepLines/>
      <w:spacing w:after="240"/>
      <w:jc w:val="right"/>
    </w:pPr>
    <w:rPr>
      <w:sz w:val="22"/>
    </w:rPr>
  </w:style>
  <w:style w:type="paragraph" w:customStyle="1" w:styleId="NormalTimesNewRoman">
    <w:name w:val="Normal_TimesNewRoman"/>
    <w:rsid w:val="00EB737A"/>
    <w:rPr>
      <w:sz w:val="24"/>
      <w:lang w:val="fr-FR" w:eastAsia="fr-FR"/>
    </w:rPr>
  </w:style>
  <w:style w:type="character" w:customStyle="1" w:styleId="DefaultTimesNewRoman">
    <w:name w:val="Default_TimesNewRoman"/>
    <w:rsid w:val="00EB737A"/>
    <w:rPr>
      <w:rFonts w:ascii="Times New Roman" w:hAnsi="Times New Roman" w:cs="Times New Roman"/>
    </w:rPr>
  </w:style>
  <w:style w:type="character" w:customStyle="1" w:styleId="JuH1Char">
    <w:name w:val="Ju_H_1. Char"/>
    <w:link w:val="ECHRHeading3"/>
    <w:locked/>
    <w:rsid w:val="00EB737A"/>
    <w:rPr>
      <w:bCs/>
      <w:i/>
      <w:sz w:val="24"/>
      <w:szCs w:val="22"/>
      <w:lang w:val="fr-FR" w:eastAsia="fr-FR" w:bidi="ar-SA"/>
    </w:rPr>
  </w:style>
  <w:style w:type="character" w:customStyle="1" w:styleId="JuParaChar">
    <w:name w:val="Ju_Para Char"/>
    <w:rsid w:val="00EB737A"/>
    <w:rPr>
      <w:rFonts w:cs="Times New Roman"/>
      <w:sz w:val="24"/>
      <w:lang w:val="fr-FR" w:eastAsia="fr-FR" w:bidi="ar-SA"/>
    </w:rPr>
  </w:style>
  <w:style w:type="character" w:customStyle="1" w:styleId="CommentTextChar">
    <w:name w:val="Comment Text Char"/>
    <w:link w:val="CommentText"/>
    <w:semiHidden/>
    <w:locked/>
    <w:rsid w:val="00EB737A"/>
    <w:rPr>
      <w:lang w:val="fr-FR" w:eastAsia="fr-FR" w:bidi="ar-SA"/>
    </w:rPr>
  </w:style>
  <w:style w:type="character" w:customStyle="1" w:styleId="CommentSubjectChar">
    <w:name w:val="Comment Subject Char"/>
    <w:link w:val="CommentSubject"/>
    <w:semiHidden/>
    <w:locked/>
    <w:rsid w:val="00EB737A"/>
    <w:rPr>
      <w:b/>
      <w:bCs/>
      <w:lang w:val="fr-FR" w:eastAsia="fr-FR" w:bidi="ar-SA"/>
    </w:rPr>
  </w:style>
  <w:style w:type="character" w:customStyle="1" w:styleId="EndnoteTextChar">
    <w:name w:val="Endnote Text Char"/>
    <w:link w:val="EndnoteText"/>
    <w:semiHidden/>
    <w:locked/>
    <w:rsid w:val="00EB737A"/>
    <w:rPr>
      <w:lang w:val="fr-FR" w:eastAsia="fr-FR" w:bidi="ar-SA"/>
    </w:rPr>
  </w:style>
  <w:style w:type="character" w:customStyle="1" w:styleId="DocumentMapChar">
    <w:name w:val="Document Map Char"/>
    <w:link w:val="DocumentMap"/>
    <w:semiHidden/>
    <w:locked/>
    <w:rsid w:val="00EB737A"/>
    <w:rPr>
      <w:rFonts w:ascii="Tahoma" w:hAnsi="Tahoma" w:cs="Tahoma"/>
      <w:lang w:val="fr-FR" w:eastAsia="fr-FR" w:bidi="ar-SA"/>
    </w:rPr>
  </w:style>
  <w:style w:type="character" w:customStyle="1" w:styleId="apple-converted-space">
    <w:name w:val="apple-converted-space"/>
    <w:rsid w:val="00EB737A"/>
    <w:rPr>
      <w:rFonts w:cs="Times New Roman"/>
    </w:rPr>
  </w:style>
  <w:style w:type="character" w:customStyle="1" w:styleId="JuJudgesChar">
    <w:name w:val="Ju_Judges Char"/>
    <w:link w:val="ECHRDecisionBody"/>
    <w:locked/>
    <w:rsid w:val="00EB737A"/>
    <w:rPr>
      <w:sz w:val="24"/>
      <w:lang w:val="en-US" w:eastAsia="en-US" w:bidi="ar-SA"/>
    </w:rPr>
  </w:style>
  <w:style w:type="character" w:customStyle="1" w:styleId="JuListChar">
    <w:name w:val="Ju_List Char"/>
    <w:link w:val="JuList"/>
    <w:locked/>
    <w:rsid w:val="00EB737A"/>
    <w:rPr>
      <w:sz w:val="24"/>
      <w:szCs w:val="22"/>
      <w:lang w:val="fr-FR" w:eastAsia="fr-FR" w:bidi="ar-SA"/>
    </w:rPr>
  </w:style>
  <w:style w:type="numbering" w:styleId="111111">
    <w:name w:val="Outline List 2"/>
    <w:basedOn w:val="NoList"/>
    <w:rsid w:val="00EB737A"/>
    <w:pPr>
      <w:numPr>
        <w:numId w:val="11"/>
      </w:numPr>
    </w:pPr>
  </w:style>
  <w:style w:type="numbering" w:styleId="1ai">
    <w:name w:val="Outline List 1"/>
    <w:basedOn w:val="NoList"/>
    <w:rsid w:val="00EB737A"/>
    <w:pPr>
      <w:numPr>
        <w:numId w:val="12"/>
      </w:numPr>
    </w:pPr>
  </w:style>
  <w:style w:type="numbering" w:styleId="ArticleSection">
    <w:name w:val="Outline List 3"/>
    <w:basedOn w:val="NoList"/>
    <w:rsid w:val="00EB737A"/>
    <w:pPr>
      <w:numPr>
        <w:numId w:val="13"/>
      </w:numPr>
    </w:pPr>
  </w:style>
  <w:style w:type="character" w:customStyle="1" w:styleId="CharChar2">
    <w:name w:val="Char Char2"/>
    <w:rsid w:val="00EB737A"/>
    <w:rPr>
      <w:sz w:val="18"/>
    </w:rPr>
  </w:style>
  <w:style w:type="character" w:customStyle="1" w:styleId="OpiParaChar">
    <w:name w:val="Opi_Para Char"/>
    <w:link w:val="OpiPara"/>
    <w:rsid w:val="00EB737A"/>
    <w:rPr>
      <w:sz w:val="24"/>
      <w:lang w:val="en-US" w:eastAsia="en-US" w:bidi="ar-SA"/>
    </w:rPr>
  </w:style>
  <w:style w:type="character" w:customStyle="1" w:styleId="En-tteCar">
    <w:name w:val="En-tête Car"/>
    <w:basedOn w:val="DefaultParagraphFont"/>
    <w:locked/>
    <w:rsid w:val="00013F9B"/>
    <w:rPr>
      <w:sz w:val="18"/>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56003">
      <w:bodyDiv w:val="1"/>
      <w:marLeft w:val="0"/>
      <w:marRight w:val="0"/>
      <w:marTop w:val="0"/>
      <w:marBottom w:val="0"/>
      <w:divBdr>
        <w:top w:val="none" w:sz="0" w:space="0" w:color="auto"/>
        <w:left w:val="none" w:sz="0" w:space="0" w:color="auto"/>
        <w:bottom w:val="none" w:sz="0" w:space="0" w:color="auto"/>
        <w:right w:val="none" w:sz="0" w:space="0" w:color="auto"/>
      </w:divBdr>
    </w:div>
    <w:div w:id="1645697989">
      <w:bodyDiv w:val="1"/>
      <w:marLeft w:val="0"/>
      <w:marRight w:val="0"/>
      <w:marTop w:val="0"/>
      <w:marBottom w:val="0"/>
      <w:divBdr>
        <w:top w:val="none" w:sz="0" w:space="0" w:color="auto"/>
        <w:left w:val="none" w:sz="0" w:space="0" w:color="auto"/>
        <w:bottom w:val="none" w:sz="0" w:space="0" w:color="auto"/>
        <w:right w:val="none" w:sz="0" w:space="0" w:color="auto"/>
      </w:divBdr>
    </w:div>
    <w:div w:id="177801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e.int/humanrightstrustfund" TargetMode="External"/><Relationship Id="rId13" Type="http://schemas.openxmlformats.org/officeDocument/2006/relationships/hyperlink" Target="http://hudoc.echr.coe.int" TargetMode="External"/><Relationship Id="rId18" Type="http://schemas.openxmlformats.org/officeDocument/2006/relationships/hyperlink" Target="http://www.coe.int/humanrightstrustfund"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coe.int/humanrightstrustfund" TargetMode="External"/><Relationship Id="rId12" Type="http://schemas.openxmlformats.org/officeDocument/2006/relationships/hyperlink" Target="http://www.coe.int/humanrightstrustfund" TargetMode="External"/><Relationship Id="rId17" Type="http://schemas.openxmlformats.org/officeDocument/2006/relationships/hyperlink" Target="mailto:publishing@echr.coe.int"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hudoc.echr.coe.int/" TargetMode="External"/><Relationship Id="rId20" Type="http://schemas.openxmlformats.org/officeDocument/2006/relationships/hyperlink" Target="mailto:publishing@echr.coe.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e.int/humanrightstrustfund"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hudoc.echr.coe.int/" TargetMode="External"/><Relationship Id="rId4" Type="http://schemas.openxmlformats.org/officeDocument/2006/relationships/webSettings" Target="webSettings.xml"/><Relationship Id="rId9" Type="http://schemas.openxmlformats.org/officeDocument/2006/relationships/hyperlink" Target="http://www.coe.int/humanrightstrustfund" TargetMode="External"/><Relationship Id="rId14" Type="http://schemas.openxmlformats.org/officeDocument/2006/relationships/hyperlink" Target="mailto:publishing@echr.coe.int" TargetMode="External"/><Relationship Id="rId22" Type="http://schemas.openxmlformats.org/officeDocument/2006/relationships/header" Target="header4.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6BEAE-D6E6-4B5D-8B55-8109E711CF13}"/>
</file>

<file path=customXml/itemProps2.xml><?xml version="1.0" encoding="utf-8"?>
<ds:datastoreItem xmlns:ds="http://schemas.openxmlformats.org/officeDocument/2006/customXml" ds:itemID="{C3623CC4-4DB6-4E7F-B5DC-A36C9DE06290}"/>
</file>

<file path=customXml/itemProps3.xml><?xml version="1.0" encoding="utf-8"?>
<ds:datastoreItem xmlns:ds="http://schemas.openxmlformats.org/officeDocument/2006/customXml" ds:itemID="{4CD3E0FF-FF14-460E-BD3B-FEC6181BEC38}"/>
</file>

<file path=docProps/app.xml><?xml version="1.0" encoding="utf-8"?>
<Properties xmlns="http://schemas.openxmlformats.org/officeDocument/2006/extended-properties" xmlns:vt="http://schemas.openxmlformats.org/officeDocument/2006/docPropsVTypes">
  <Template>Normal.dotm</Template>
  <TotalTime>1</TotalTime>
  <Pages>1</Pages>
  <Words>22615</Words>
  <Characters>128911</Characters>
  <Application>Microsoft Office Word</Application>
  <DocSecurity>0</DocSecurity>
  <Lines>1074</Lines>
  <Paragraphs>302</Paragraphs>
  <ScaleCrop>false</ScaleCrop>
  <HeadingPairs>
    <vt:vector size="2" baseType="variant">
      <vt:variant>
        <vt:lpstr>Titre</vt:lpstr>
      </vt:variant>
      <vt:variant>
        <vt:i4>1</vt:i4>
      </vt:variant>
    </vt:vector>
  </HeadingPairs>
  <TitlesOfParts>
    <vt:vector size="1" baseType="lpstr">
      <vt:lpstr>© Këshilli i Evropës/Gjykata Evropiane e të Drejtave të Njeriut, 2014</vt:lpstr>
    </vt:vector>
  </TitlesOfParts>
  <Company/>
  <LinksUpToDate>false</LinksUpToDate>
  <CharactersWithSpaces>151224</CharactersWithSpaces>
  <SharedDoc>false</SharedDoc>
  <HLinks>
    <vt:vector size="72" baseType="variant">
      <vt:variant>
        <vt:i4>5570594</vt:i4>
      </vt:variant>
      <vt:variant>
        <vt:i4>546</vt:i4>
      </vt:variant>
      <vt:variant>
        <vt:i4>0</vt:i4>
      </vt:variant>
      <vt:variant>
        <vt:i4>5</vt:i4>
      </vt:variant>
      <vt:variant>
        <vt:lpwstr>mailto:publishing@echr.coe.int</vt:lpwstr>
      </vt:variant>
      <vt:variant>
        <vt:lpwstr/>
      </vt:variant>
      <vt:variant>
        <vt:i4>6750263</vt:i4>
      </vt:variant>
      <vt:variant>
        <vt:i4>543</vt:i4>
      </vt:variant>
      <vt:variant>
        <vt:i4>0</vt:i4>
      </vt:variant>
      <vt:variant>
        <vt:i4>5</vt:i4>
      </vt:variant>
      <vt:variant>
        <vt:lpwstr>http://hudoc.echr.coe.int/</vt:lpwstr>
      </vt:variant>
      <vt:variant>
        <vt:lpwstr/>
      </vt:variant>
      <vt:variant>
        <vt:i4>2097189</vt:i4>
      </vt:variant>
      <vt:variant>
        <vt:i4>540</vt:i4>
      </vt:variant>
      <vt:variant>
        <vt:i4>0</vt:i4>
      </vt:variant>
      <vt:variant>
        <vt:i4>5</vt:i4>
      </vt:variant>
      <vt:variant>
        <vt:lpwstr>http://www.coe.int/humanrightstrustfund</vt:lpwstr>
      </vt:variant>
      <vt:variant>
        <vt:lpwstr/>
      </vt:variant>
      <vt:variant>
        <vt:i4>5570594</vt:i4>
      </vt:variant>
      <vt:variant>
        <vt:i4>537</vt:i4>
      </vt:variant>
      <vt:variant>
        <vt:i4>0</vt:i4>
      </vt:variant>
      <vt:variant>
        <vt:i4>5</vt:i4>
      </vt:variant>
      <vt:variant>
        <vt:lpwstr>mailto:publishing@echr.coe.int</vt:lpwstr>
      </vt:variant>
      <vt:variant>
        <vt:lpwstr/>
      </vt:variant>
      <vt:variant>
        <vt:i4>6750263</vt:i4>
      </vt:variant>
      <vt:variant>
        <vt:i4>534</vt:i4>
      </vt:variant>
      <vt:variant>
        <vt:i4>0</vt:i4>
      </vt:variant>
      <vt:variant>
        <vt:i4>5</vt:i4>
      </vt:variant>
      <vt:variant>
        <vt:lpwstr>http://hudoc.echr.coe.int/</vt:lpwstr>
      </vt:variant>
      <vt:variant>
        <vt:lpwstr/>
      </vt:variant>
      <vt:variant>
        <vt:i4>2097189</vt:i4>
      </vt:variant>
      <vt:variant>
        <vt:i4>531</vt:i4>
      </vt:variant>
      <vt:variant>
        <vt:i4>0</vt:i4>
      </vt:variant>
      <vt:variant>
        <vt:i4>5</vt:i4>
      </vt:variant>
      <vt:variant>
        <vt:lpwstr>http://www.coe.int/humanrightstrustfund</vt:lpwstr>
      </vt:variant>
      <vt:variant>
        <vt:lpwstr/>
      </vt:variant>
      <vt:variant>
        <vt:i4>5570594</vt:i4>
      </vt:variant>
      <vt:variant>
        <vt:i4>528</vt:i4>
      </vt:variant>
      <vt:variant>
        <vt:i4>0</vt:i4>
      </vt:variant>
      <vt:variant>
        <vt:i4>5</vt:i4>
      </vt:variant>
      <vt:variant>
        <vt:lpwstr>mailto:publishing@echr.coe.int</vt:lpwstr>
      </vt:variant>
      <vt:variant>
        <vt:lpwstr/>
      </vt:variant>
      <vt:variant>
        <vt:i4>6750263</vt:i4>
      </vt:variant>
      <vt:variant>
        <vt:i4>525</vt:i4>
      </vt:variant>
      <vt:variant>
        <vt:i4>0</vt:i4>
      </vt:variant>
      <vt:variant>
        <vt:i4>5</vt:i4>
      </vt:variant>
      <vt:variant>
        <vt:lpwstr>http://hudoc.echr.coe.int/</vt:lpwstr>
      </vt:variant>
      <vt:variant>
        <vt:lpwstr/>
      </vt:variant>
      <vt:variant>
        <vt:i4>2097189</vt:i4>
      </vt:variant>
      <vt:variant>
        <vt:i4>522</vt:i4>
      </vt:variant>
      <vt:variant>
        <vt:i4>0</vt:i4>
      </vt:variant>
      <vt:variant>
        <vt:i4>5</vt:i4>
      </vt:variant>
      <vt:variant>
        <vt:lpwstr>http://www.coe.int/humanrightstrustfund</vt:lpwstr>
      </vt:variant>
      <vt:variant>
        <vt:lpwstr/>
      </vt:variant>
      <vt:variant>
        <vt:i4>2097189</vt:i4>
      </vt:variant>
      <vt:variant>
        <vt:i4>6</vt:i4>
      </vt:variant>
      <vt:variant>
        <vt:i4>0</vt:i4>
      </vt:variant>
      <vt:variant>
        <vt:i4>5</vt:i4>
      </vt:variant>
      <vt:variant>
        <vt:lpwstr>http://www.coe.int/humanrightstrustfund</vt:lpwstr>
      </vt:variant>
      <vt:variant>
        <vt:lpwstr/>
      </vt:variant>
      <vt:variant>
        <vt:i4>2097189</vt:i4>
      </vt:variant>
      <vt:variant>
        <vt:i4>3</vt:i4>
      </vt:variant>
      <vt:variant>
        <vt:i4>0</vt:i4>
      </vt:variant>
      <vt:variant>
        <vt:i4>5</vt:i4>
      </vt:variant>
      <vt:variant>
        <vt:lpwstr>http://www.coe.int/humanrightstrustfund</vt:lpwstr>
      </vt:variant>
      <vt:variant>
        <vt:lpwstr/>
      </vt:variant>
      <vt:variant>
        <vt:i4>2097189</vt:i4>
      </vt:variant>
      <vt:variant>
        <vt:i4>0</vt:i4>
      </vt:variant>
      <vt:variant>
        <vt:i4>0</vt:i4>
      </vt:variant>
      <vt:variant>
        <vt:i4>5</vt:i4>
      </vt:variant>
      <vt:variant>
        <vt:lpwstr>http://www.coe.int/humanrightstrustfund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cp:lastModifiedBy/>
  <cp:revision>2</cp:revision>
  <dcterms:created xsi:type="dcterms:W3CDTF">2021-11-29T14:05:00Z</dcterms:created>
  <dcterms:modified xsi:type="dcterms:W3CDTF">2021-11-29T14:05:00Z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