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39" w:rsidRDefault="005E0639">
      <w:pPr>
        <w:jc w:val="center"/>
      </w:pPr>
      <w:bookmarkStart w:name="_GoBack" w:id="0"/>
      <w:bookmarkEnd w:id="0"/>
    </w:p>
    <w:p w:rsidR="005E0639" w:rsidRDefault="005E0639">
      <w:pPr>
        <w:jc w:val="center"/>
      </w:pPr>
    </w:p>
    <w:p w:rsidR="005E0639" w:rsidRDefault="005E0639">
      <w:pPr>
        <w:jc w:val="center"/>
      </w:pPr>
    </w:p>
    <w:p w:rsidR="005E0639" w:rsidRDefault="005E0639">
      <w:pPr>
        <w:jc w:val="center"/>
      </w:pPr>
    </w:p>
    <w:p w:rsidR="005E0639" w:rsidRDefault="005E0639">
      <w:pPr>
        <w:jc w:val="center"/>
      </w:pPr>
    </w:p>
    <w:p w:rsidR="005E0639" w:rsidRDefault="005E0639">
      <w:pPr>
        <w:jc w:val="center"/>
      </w:pPr>
    </w:p>
    <w:p w:rsidR="005E0639" w:rsidRDefault="005E0639">
      <w:pPr>
        <w:jc w:val="center"/>
      </w:pPr>
    </w:p>
    <w:p w:rsidR="005E0639" w:rsidRDefault="005E0639">
      <w:pPr>
        <w:jc w:val="center"/>
      </w:pPr>
    </w:p>
    <w:p w:rsidRPr="005D023B" w:rsidR="00CD49A7" w:rsidRDefault="00CD49A7">
      <w:pPr>
        <w:jc w:val="center"/>
      </w:pPr>
    </w:p>
    <w:p w:rsidRPr="005D023B" w:rsidR="00CD49A7" w:rsidRDefault="00CD49A7">
      <w:pPr>
        <w:jc w:val="center"/>
        <w:rPr>
          <w:b/>
        </w:rPr>
      </w:pPr>
      <w:r w:rsidRPr="005D023B">
        <w:rPr>
          <w:b/>
        </w:rPr>
        <w:t xml:space="preserve">CASE OF </w:t>
      </w:r>
      <w:r w:rsidRPr="005D023B" w:rsidR="00CB4D85">
        <w:rPr>
          <w:b/>
        </w:rPr>
        <w:t xml:space="preserve">NACHOVA AND </w:t>
      </w:r>
      <w:r w:rsidRPr="005D023B" w:rsidR="00EA457C">
        <w:rPr>
          <w:b/>
        </w:rPr>
        <w:t>OTHERS</w:t>
      </w:r>
      <w:r w:rsidRPr="005D023B" w:rsidR="00CB4D85">
        <w:rPr>
          <w:b/>
        </w:rPr>
        <w:t xml:space="preserve"> v. </w:t>
      </w:r>
      <w:smartTag w:uri="urn:schemas-microsoft-com:office:smarttags" w:element="place">
        <w:smartTag w:uri="urn:schemas-microsoft-com:office:smarttags" w:element="country-region">
          <w:r w:rsidR="00CB4D85" w:rsidRPr="005D023B">
            <w:rPr>
              <w:b/>
            </w:rPr>
            <w:t>BULGARIA</w:t>
          </w:r>
        </w:smartTag>
      </w:smartTag>
    </w:p>
    <w:p w:rsidRPr="005D023B" w:rsidR="00CD49A7" w:rsidRDefault="00CD49A7">
      <w:pPr>
        <w:jc w:val="center"/>
      </w:pPr>
    </w:p>
    <w:p w:rsidR="005E0639" w:rsidP="005E0639" w:rsidRDefault="00CD49A7">
      <w:pPr>
        <w:jc w:val="center"/>
        <w:rPr>
          <w:i/>
        </w:rPr>
      </w:pPr>
      <w:r w:rsidRPr="005D023B">
        <w:rPr>
          <w:i/>
        </w:rPr>
        <w:t>(</w:t>
      </w:r>
      <w:r w:rsidRPr="005D023B" w:rsidR="00CB4D85">
        <w:rPr>
          <w:i/>
        </w:rPr>
        <w:t>Applications nos. 43577/9</w:t>
      </w:r>
      <w:r w:rsidRPr="005D023B" w:rsidR="00E0393E">
        <w:rPr>
          <w:i/>
        </w:rPr>
        <w:t>8 and 43579/98</w:t>
      </w:r>
      <w:r w:rsidRPr="005D023B">
        <w:rPr>
          <w:i/>
        </w:rPr>
        <w:t>)</w:t>
      </w: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rPr>
          <w:i/>
        </w:rPr>
      </w:pPr>
    </w:p>
    <w:p w:rsidR="005E0639" w:rsidP="005E0639" w:rsidRDefault="005E0639">
      <w:pPr>
        <w:jc w:val="center"/>
      </w:pPr>
      <w:r>
        <w:t>JUDGMENT</w:t>
      </w:r>
    </w:p>
    <w:p w:rsidR="005E0639" w:rsidP="005E0639" w:rsidRDefault="005E0639">
      <w:pPr>
        <w:jc w:val="center"/>
      </w:pPr>
    </w:p>
    <w:p w:rsidR="005E0639" w:rsidP="005E0639" w:rsidRDefault="005E0639">
      <w:pPr>
        <w:jc w:val="center"/>
      </w:pPr>
    </w:p>
    <w:p w:rsidR="005E0639" w:rsidP="005E0639" w:rsidRDefault="005E0639">
      <w:pPr>
        <w:jc w:val="center"/>
      </w:pPr>
      <w:smartTag w:uri="urn:schemas-microsoft-com:office:smarttags" w:element="place">
        <w:smartTag w:uri="urn:schemas-microsoft-com:office:smarttags" w:element="City">
          <w:r>
            <w:t>STRASBOURG</w:t>
          </w:r>
        </w:smartTag>
      </w:smartTag>
    </w:p>
    <w:p w:rsidR="005E0639" w:rsidP="005E0639" w:rsidRDefault="005E0639">
      <w:pPr>
        <w:jc w:val="center"/>
      </w:pPr>
    </w:p>
    <w:p w:rsidR="005E0639" w:rsidP="005E0639" w:rsidRDefault="00A36A0A">
      <w:pPr>
        <w:jc w:val="center"/>
      </w:pPr>
      <w:smartTag w:uri="urn:schemas-microsoft-com:office:smarttags" w:element="date">
        <w:smartTagPr>
          <w:attr w:name="Month" w:val="7"/>
          <w:attr w:name="Day" w:val="6"/>
          <w:attr w:name="Year" w:val="2005"/>
        </w:smartTagPr>
        <w:r>
          <w:t>6 July 2005</w:t>
        </w:r>
      </w:smartTag>
    </w:p>
    <w:p w:rsidR="005E0639" w:rsidP="005E0639" w:rsidRDefault="005E0639">
      <w:pPr>
        <w:jc w:val="center"/>
      </w:pPr>
    </w:p>
    <w:p w:rsidR="005E0639" w:rsidP="005E0639" w:rsidRDefault="005E0639">
      <w:pPr>
        <w:jc w:val="center"/>
      </w:pPr>
    </w:p>
    <w:p w:rsidRPr="005E0639" w:rsidR="00CD49A7" w:rsidP="00723621" w:rsidRDefault="00CD49A7"/>
    <w:p w:rsidR="005E0639" w:rsidP="007711B9" w:rsidRDefault="005E0639">
      <w:pPr>
        <w:sectPr w:rsidR="005E0639" w:rsidSect="005E0639">
          <w:headerReference w:type="default" r:id="rId7"/>
          <w:footnotePr>
            <w:numRestart w:val="eachPage"/>
          </w:footnotePr>
          <w:pgSz w:w="11906" w:h="16838" w:code="9"/>
          <w:pgMar w:top="2274" w:right="2274" w:bottom="2274" w:left="2274" w:header="1701" w:footer="720" w:gutter="0"/>
          <w:pgNumType w:start="1"/>
          <w:cols w:space="720"/>
          <w:docGrid w:linePitch="326"/>
        </w:sectPr>
      </w:pPr>
    </w:p>
    <w:p w:rsidRPr="005D023B" w:rsidR="00CD49A7" w:rsidP="007711B9" w:rsidRDefault="0009553F">
      <w:pPr>
        <w:pStyle w:val="JuCase"/>
      </w:pPr>
      <w:r w:rsidRPr="0009553F">
        <w:t xml:space="preserve">In </w:t>
      </w:r>
      <w:r w:rsidRPr="0009553F" w:rsidR="00CD49A7">
        <w:t xml:space="preserve">the case of </w:t>
      </w:r>
      <w:r w:rsidRPr="0009553F" w:rsidR="00CB4D85">
        <w:t xml:space="preserve">Nachova and </w:t>
      </w:r>
      <w:r w:rsidRPr="0009553F" w:rsidR="00260B35">
        <w:t>Others</w:t>
      </w:r>
      <w:r w:rsidRPr="0009553F" w:rsidR="00CB4D85">
        <w:t xml:space="preserve"> v. </w:t>
      </w:r>
      <w:smartTag w:uri="urn:schemas-microsoft-com:office:smarttags" w:element="place">
        <w:smartTag w:uri="urn:schemas-microsoft-com:office:smarttags" w:element="country-region">
          <w:r w:rsidR="00CB4D85" w:rsidRPr="0009553F">
            <w:t>Bulgaria</w:t>
          </w:r>
        </w:smartTag>
      </w:smartTag>
      <w:r w:rsidRPr="005D023B" w:rsidR="00CD49A7">
        <w:t>,</w:t>
      </w:r>
    </w:p>
    <w:p w:rsidRPr="005D023B" w:rsidR="00CD49A7" w:rsidRDefault="00CD49A7">
      <w:pPr>
        <w:pStyle w:val="JuParaChar"/>
      </w:pPr>
      <w:r w:rsidRPr="005D023B">
        <w:t xml:space="preserve">The European Court of Human Rights, sitting as a </w:t>
      </w:r>
      <w:r w:rsidRPr="005D023B" w:rsidR="00CB4D85">
        <w:t>Grand Chamber</w:t>
      </w:r>
      <w:r w:rsidRPr="005D023B">
        <w:t xml:space="preserve"> composed of:</w:t>
      </w:r>
    </w:p>
    <w:p w:rsidRPr="005D023B" w:rsidR="00CD49A7" w:rsidRDefault="00CD49A7">
      <w:pPr>
        <w:pStyle w:val="JuJudges"/>
      </w:pPr>
      <w:r w:rsidRPr="005D023B">
        <w:tab/>
      </w:r>
      <w:r w:rsidRPr="005D023B" w:rsidR="00CB4D85">
        <w:t>Mr</w:t>
      </w:r>
      <w:r w:rsidRPr="005D023B">
        <w:tab/>
      </w:r>
      <w:r w:rsidRPr="005D023B" w:rsidR="00CB4D85">
        <w:rPr>
          <w:rStyle w:val="JuNames"/>
        </w:rPr>
        <w:t>L.</w:t>
      </w:r>
      <w:r w:rsidRPr="005D023B">
        <w:t xml:space="preserve"> </w:t>
      </w:r>
      <w:r w:rsidRPr="005D023B" w:rsidR="00CB4D85">
        <w:rPr>
          <w:rStyle w:val="JuNames"/>
        </w:rPr>
        <w:t>Wildhaber</w:t>
      </w:r>
      <w:r w:rsidRPr="005D023B">
        <w:t xml:space="preserve">, </w:t>
      </w:r>
      <w:r w:rsidRPr="005D023B" w:rsidR="00CB4D85">
        <w:rPr>
          <w:i/>
        </w:rPr>
        <w:t>President</w:t>
      </w:r>
      <w:r w:rsidRPr="005D023B">
        <w:t>,</w:t>
      </w:r>
      <w:r w:rsidRPr="005D023B">
        <w:br/>
      </w:r>
      <w:r w:rsidRPr="005D023B">
        <w:tab/>
      </w:r>
      <w:r w:rsidRPr="005D023B" w:rsidR="00CB4D85">
        <w:t>Mr</w:t>
      </w:r>
      <w:r w:rsidRPr="005D023B">
        <w:tab/>
      </w:r>
      <w:r w:rsidRPr="005D023B" w:rsidR="00CB4D85">
        <w:rPr>
          <w:rStyle w:val="JuNames"/>
        </w:rPr>
        <w:t>C.L.</w:t>
      </w:r>
      <w:r w:rsidRPr="005D023B">
        <w:t xml:space="preserve"> </w:t>
      </w:r>
      <w:r w:rsidRPr="005D023B" w:rsidR="00CB4D85">
        <w:rPr>
          <w:rStyle w:val="JuNames"/>
        </w:rPr>
        <w:t>Rozakis</w:t>
      </w:r>
      <w:r w:rsidRPr="005D023B">
        <w:t>,</w:t>
      </w:r>
      <w:r w:rsidRPr="005D023B">
        <w:br/>
      </w:r>
      <w:r w:rsidRPr="005D023B">
        <w:tab/>
      </w:r>
      <w:r w:rsidRPr="005D023B" w:rsidR="00CB4D85">
        <w:t>Mr</w:t>
      </w:r>
      <w:r w:rsidRPr="005D023B">
        <w:tab/>
      </w:r>
      <w:r w:rsidRPr="005D023B" w:rsidR="00CB4D85">
        <w:rPr>
          <w:rStyle w:val="JuNames"/>
        </w:rPr>
        <w:t>J.-P.</w:t>
      </w:r>
      <w:r w:rsidRPr="005D023B">
        <w:t xml:space="preserve"> </w:t>
      </w:r>
      <w:r w:rsidRPr="005D023B" w:rsidR="00CB4D85">
        <w:rPr>
          <w:rStyle w:val="JuNames"/>
        </w:rPr>
        <w:t>Costa</w:t>
      </w:r>
      <w:r w:rsidRPr="005D023B">
        <w:t>,</w:t>
      </w:r>
      <w:r w:rsidRPr="005D023B">
        <w:br/>
      </w:r>
      <w:r w:rsidRPr="005D023B">
        <w:tab/>
      </w:r>
      <w:r w:rsidRPr="005D023B" w:rsidR="00CB4D85">
        <w:t>Sir</w:t>
      </w:r>
      <w:r w:rsidRPr="005D023B">
        <w:tab/>
      </w:r>
      <w:r w:rsidRPr="005D023B" w:rsidR="00CB4D85">
        <w:t>Nicolas</w:t>
      </w:r>
      <w:r w:rsidRPr="005D023B">
        <w:t xml:space="preserve"> </w:t>
      </w:r>
      <w:r w:rsidRPr="005D023B" w:rsidR="00CB4D85">
        <w:rPr>
          <w:rStyle w:val="JuNames"/>
        </w:rPr>
        <w:t>Bratza</w:t>
      </w:r>
      <w:r w:rsidRPr="005D023B">
        <w:t>,</w:t>
      </w:r>
      <w:r w:rsidRPr="005D023B">
        <w:br/>
      </w:r>
      <w:r w:rsidRPr="005D023B">
        <w:tab/>
      </w:r>
      <w:r w:rsidRPr="005D023B" w:rsidR="00CB4D85">
        <w:t>Mr</w:t>
      </w:r>
      <w:r w:rsidRPr="005D023B">
        <w:tab/>
      </w:r>
      <w:r w:rsidRPr="005D023B" w:rsidR="00CB4D85">
        <w:rPr>
          <w:rStyle w:val="JuNames"/>
        </w:rPr>
        <w:t>B</w:t>
      </w:r>
      <w:r w:rsidR="00723621">
        <w:rPr>
          <w:rStyle w:val="JuNames"/>
        </w:rPr>
        <w:t>.</w:t>
      </w:r>
      <w:r w:rsidRPr="005D023B">
        <w:t xml:space="preserve"> </w:t>
      </w:r>
      <w:r w:rsidRPr="005D023B" w:rsidR="00CB4D85">
        <w:rPr>
          <w:rStyle w:val="JuNames"/>
        </w:rPr>
        <w:t>Zupančič</w:t>
      </w:r>
      <w:r w:rsidRPr="005D023B">
        <w:t>,</w:t>
      </w:r>
      <w:r w:rsidRPr="005D023B">
        <w:br/>
      </w:r>
      <w:r w:rsidRPr="005D023B">
        <w:tab/>
      </w:r>
      <w:r w:rsidRPr="005D023B" w:rsidR="00CB4D85">
        <w:t>Mr</w:t>
      </w:r>
      <w:r w:rsidRPr="005D023B">
        <w:tab/>
      </w:r>
      <w:r w:rsidRPr="005D023B" w:rsidR="00CB4D85">
        <w:rPr>
          <w:rStyle w:val="JuNames"/>
        </w:rPr>
        <w:t>C.</w:t>
      </w:r>
      <w:r w:rsidRPr="005D023B">
        <w:t xml:space="preserve"> </w:t>
      </w:r>
      <w:r w:rsidRPr="005D023B" w:rsidR="00CB4D85">
        <w:rPr>
          <w:rStyle w:val="JuNames"/>
        </w:rPr>
        <w:t>Bîrsan</w:t>
      </w:r>
      <w:r w:rsidRPr="005D023B">
        <w:t>,</w:t>
      </w:r>
      <w:r w:rsidRPr="005D023B">
        <w:rPr>
          <w:rStyle w:val="JuNames"/>
        </w:rPr>
        <w:br/>
      </w:r>
      <w:r w:rsidRPr="005D023B">
        <w:tab/>
      </w:r>
      <w:r w:rsidRPr="005D023B" w:rsidR="00CB4D85">
        <w:t>Mr</w:t>
      </w:r>
      <w:r w:rsidRPr="005D023B">
        <w:tab/>
      </w:r>
      <w:r w:rsidRPr="005D023B" w:rsidR="00CB4D85">
        <w:rPr>
          <w:rStyle w:val="JuNames"/>
        </w:rPr>
        <w:t>K.</w:t>
      </w:r>
      <w:r w:rsidRPr="005D023B">
        <w:t xml:space="preserve"> </w:t>
      </w:r>
      <w:r w:rsidRPr="005D023B" w:rsidR="00CB4D85">
        <w:rPr>
          <w:rStyle w:val="JuNames"/>
        </w:rPr>
        <w:t>Jungwiert</w:t>
      </w:r>
      <w:r w:rsidRPr="005D023B">
        <w:rPr>
          <w:rStyle w:val="JuNames"/>
        </w:rPr>
        <w:t>,</w:t>
      </w:r>
      <w:r w:rsidRPr="005D023B" w:rsidR="00CB4D85">
        <w:br/>
      </w:r>
      <w:r w:rsidRPr="005D023B" w:rsidR="00CB4D85">
        <w:tab/>
        <w:t>Mr</w:t>
      </w:r>
      <w:r w:rsidRPr="005D023B" w:rsidR="00CB4D85">
        <w:tab/>
      </w:r>
      <w:r w:rsidRPr="005D023B" w:rsidR="00CB4D85">
        <w:rPr>
          <w:rStyle w:val="JuNames"/>
        </w:rPr>
        <w:t>J.</w:t>
      </w:r>
      <w:r w:rsidRPr="005D023B" w:rsidR="00CB4D85">
        <w:t xml:space="preserve"> </w:t>
      </w:r>
      <w:r w:rsidRPr="005D023B" w:rsidR="00CB4D85">
        <w:rPr>
          <w:rStyle w:val="JuNames"/>
        </w:rPr>
        <w:t>Casadevall,</w:t>
      </w:r>
      <w:r w:rsidRPr="005D023B" w:rsidR="00CB4D85">
        <w:rPr>
          <w:rStyle w:val="JuNames"/>
        </w:rPr>
        <w:br/>
      </w:r>
      <w:r w:rsidRPr="005D023B" w:rsidR="00CB4D85">
        <w:tab/>
        <w:t>Mr</w:t>
      </w:r>
      <w:r w:rsidRPr="005D023B" w:rsidR="00CB4D85">
        <w:tab/>
      </w:r>
      <w:r w:rsidRPr="005D023B" w:rsidR="00CB4D85">
        <w:rPr>
          <w:rStyle w:val="JuNames"/>
        </w:rPr>
        <w:t>J.</w:t>
      </w:r>
      <w:r w:rsidRPr="005D023B" w:rsidR="00CB4D85">
        <w:t xml:space="preserve"> </w:t>
      </w:r>
      <w:r w:rsidRPr="005D023B" w:rsidR="00CB4D85">
        <w:rPr>
          <w:rStyle w:val="JuNames"/>
        </w:rPr>
        <w:t>Hedigan,</w:t>
      </w:r>
      <w:r w:rsidRPr="005D023B" w:rsidR="00CB4D85">
        <w:rPr>
          <w:rStyle w:val="JuNames"/>
        </w:rPr>
        <w:br/>
      </w:r>
      <w:r w:rsidRPr="005D023B" w:rsidR="00CB4D85">
        <w:tab/>
        <w:t>Mrs</w:t>
      </w:r>
      <w:r w:rsidRPr="005D023B" w:rsidR="00CB4D85">
        <w:tab/>
      </w:r>
      <w:r w:rsidRPr="005D023B" w:rsidR="00CB4D85">
        <w:rPr>
          <w:rStyle w:val="JuNames"/>
        </w:rPr>
        <w:t>S.</w:t>
      </w:r>
      <w:r w:rsidRPr="005D023B" w:rsidR="00CB4D85">
        <w:t xml:space="preserve"> </w:t>
      </w:r>
      <w:r w:rsidRPr="005D023B" w:rsidR="00CB4D85">
        <w:rPr>
          <w:rStyle w:val="JuNames"/>
        </w:rPr>
        <w:t>Botoucharova,</w:t>
      </w:r>
      <w:r w:rsidRPr="005D023B" w:rsidR="00CB4D85">
        <w:rPr>
          <w:rStyle w:val="JuNames"/>
        </w:rPr>
        <w:br/>
      </w:r>
      <w:r w:rsidRPr="005D023B" w:rsidR="00CB4D85">
        <w:tab/>
        <w:t>Mr</w:t>
      </w:r>
      <w:r w:rsidRPr="005D023B" w:rsidR="00CB4D85">
        <w:tab/>
      </w:r>
      <w:r w:rsidRPr="005D023B" w:rsidR="00CB4D85">
        <w:rPr>
          <w:rStyle w:val="JuNames"/>
        </w:rPr>
        <w:t>M.</w:t>
      </w:r>
      <w:r w:rsidRPr="005D023B" w:rsidR="00CB4D85">
        <w:t xml:space="preserve"> </w:t>
      </w:r>
      <w:r w:rsidRPr="005D023B" w:rsidR="00CB4D85">
        <w:rPr>
          <w:rStyle w:val="JuNames"/>
        </w:rPr>
        <w:t>Ugrekhelidze,</w:t>
      </w:r>
      <w:r w:rsidRPr="005D023B" w:rsidR="00CB4D85">
        <w:rPr>
          <w:rStyle w:val="JuNames"/>
        </w:rPr>
        <w:br/>
      </w:r>
      <w:r w:rsidRPr="005D023B" w:rsidR="00CB4D85">
        <w:tab/>
        <w:t>Mrs</w:t>
      </w:r>
      <w:r w:rsidRPr="005D023B" w:rsidR="00CB4D85">
        <w:tab/>
      </w:r>
      <w:r w:rsidRPr="005D023B" w:rsidR="00CB4D85">
        <w:rPr>
          <w:rStyle w:val="JuNames"/>
        </w:rPr>
        <w:t>A.</w:t>
      </w:r>
      <w:r w:rsidRPr="005D023B" w:rsidR="00CB4D85">
        <w:t xml:space="preserve"> </w:t>
      </w:r>
      <w:r w:rsidRPr="005D023B" w:rsidR="00CB4D85">
        <w:rPr>
          <w:rStyle w:val="JuNames"/>
        </w:rPr>
        <w:t>Mularoni,</w:t>
      </w:r>
      <w:r w:rsidRPr="005D023B" w:rsidR="00CB4D85">
        <w:rPr>
          <w:rStyle w:val="JuNames"/>
        </w:rPr>
        <w:br/>
      </w:r>
      <w:r w:rsidRPr="005D023B" w:rsidR="00CB4D85">
        <w:tab/>
        <w:t>Mrs</w:t>
      </w:r>
      <w:r w:rsidRPr="005D023B" w:rsidR="00CB4D85">
        <w:tab/>
      </w:r>
      <w:r w:rsidRPr="005D023B" w:rsidR="00CB4D85">
        <w:rPr>
          <w:rStyle w:val="JuNames"/>
        </w:rPr>
        <w:t>E.</w:t>
      </w:r>
      <w:r w:rsidRPr="005D023B" w:rsidR="00CB4D85">
        <w:t xml:space="preserve"> </w:t>
      </w:r>
      <w:r w:rsidRPr="005D023B" w:rsidR="00CB4D85">
        <w:rPr>
          <w:rStyle w:val="JuNames"/>
        </w:rPr>
        <w:t>Fura-Sandström,</w:t>
      </w:r>
      <w:r w:rsidRPr="005D023B" w:rsidR="00CB4D85">
        <w:rPr>
          <w:rStyle w:val="JuNames"/>
        </w:rPr>
        <w:br/>
      </w:r>
      <w:r w:rsidRPr="005D023B" w:rsidR="00CB4D85">
        <w:tab/>
        <w:t>Mrs</w:t>
      </w:r>
      <w:r w:rsidRPr="005D023B" w:rsidR="00CB4D85">
        <w:tab/>
      </w:r>
      <w:r w:rsidRPr="005D023B" w:rsidR="00CB4D85">
        <w:rPr>
          <w:rStyle w:val="JuNames"/>
        </w:rPr>
        <w:t>A.</w:t>
      </w:r>
      <w:r w:rsidRPr="005D023B" w:rsidR="00CB4D85">
        <w:t xml:space="preserve"> </w:t>
      </w:r>
      <w:r w:rsidRPr="005D023B" w:rsidR="00CB4D85">
        <w:rPr>
          <w:rStyle w:val="JuNames"/>
        </w:rPr>
        <w:t>Gyulumyan,</w:t>
      </w:r>
      <w:r w:rsidRPr="005D023B" w:rsidR="00CB4D85">
        <w:rPr>
          <w:rStyle w:val="JuNames"/>
        </w:rPr>
        <w:br/>
      </w:r>
      <w:r w:rsidRPr="005D023B" w:rsidR="00CB4D85">
        <w:tab/>
        <w:t>M</w:t>
      </w:r>
      <w:r w:rsidR="00723621">
        <w:t>r</w:t>
      </w:r>
      <w:r w:rsidRPr="005D023B" w:rsidR="00CB4D85">
        <w:t>s</w:t>
      </w:r>
      <w:r w:rsidRPr="005D023B" w:rsidR="00CB4D85">
        <w:tab/>
      </w:r>
      <w:r w:rsidRPr="005D023B" w:rsidR="00CB4D85">
        <w:rPr>
          <w:rStyle w:val="JuNames"/>
        </w:rPr>
        <w:t>L.</w:t>
      </w:r>
      <w:r w:rsidRPr="005D023B" w:rsidR="00CB4D85">
        <w:t xml:space="preserve"> </w:t>
      </w:r>
      <w:r w:rsidRPr="005D023B" w:rsidR="00CB4D85">
        <w:rPr>
          <w:rStyle w:val="JuNames"/>
        </w:rPr>
        <w:t>Mijović,</w:t>
      </w:r>
      <w:r w:rsidRPr="005D023B" w:rsidR="00CB4D85">
        <w:rPr>
          <w:rStyle w:val="JuNames"/>
        </w:rPr>
        <w:br/>
      </w:r>
      <w:r w:rsidRPr="005D023B" w:rsidR="00CB4D85">
        <w:tab/>
        <w:t>Mr</w:t>
      </w:r>
      <w:r w:rsidRPr="005D023B" w:rsidR="00CB4D85">
        <w:tab/>
      </w:r>
      <w:r w:rsidRPr="005D023B" w:rsidR="00CB4D85">
        <w:rPr>
          <w:rStyle w:val="JuNames"/>
        </w:rPr>
        <w:t>D.</w:t>
      </w:r>
      <w:r w:rsidRPr="005D023B" w:rsidR="00CB4D85">
        <w:t xml:space="preserve"> </w:t>
      </w:r>
      <w:r w:rsidRPr="005D023B" w:rsidR="00CB4D85">
        <w:rPr>
          <w:rStyle w:val="JuNames"/>
        </w:rPr>
        <w:t>Spielmann</w:t>
      </w:r>
      <w:r w:rsidRPr="005D023B" w:rsidR="00CB4D85">
        <w:t>,</w:t>
      </w:r>
      <w:r w:rsidRPr="005D023B" w:rsidR="00CB4D85">
        <w:br/>
      </w:r>
      <w:r w:rsidRPr="005D023B" w:rsidR="00CB4D85">
        <w:tab/>
        <w:t>Mr</w:t>
      </w:r>
      <w:r w:rsidRPr="005D023B" w:rsidR="00CB4D85">
        <w:tab/>
      </w:r>
      <w:r w:rsidR="00AA3EE8">
        <w:rPr>
          <w:rStyle w:val="JuNames"/>
        </w:rPr>
        <w:t>DavÍ</w:t>
      </w:r>
      <w:r w:rsidRPr="005D023B" w:rsidR="00CB4D85">
        <w:rPr>
          <w:rStyle w:val="JuNames"/>
        </w:rPr>
        <w:t>d Thór</w:t>
      </w:r>
      <w:r w:rsidRPr="005D023B" w:rsidR="00CB4D85">
        <w:t xml:space="preserve"> </w:t>
      </w:r>
      <w:r w:rsidRPr="005D023B" w:rsidR="00CB4D85">
        <w:rPr>
          <w:rStyle w:val="JuNames"/>
        </w:rPr>
        <w:t>Björgvinsson</w:t>
      </w:r>
      <w:r w:rsidRPr="005D023B" w:rsidR="00CB4D85">
        <w:t xml:space="preserve">, </w:t>
      </w:r>
      <w:r w:rsidRPr="005D023B" w:rsidR="00CB4D85">
        <w:rPr>
          <w:i/>
        </w:rPr>
        <w:t>judges</w:t>
      </w:r>
      <w:r w:rsidRPr="005D023B" w:rsidR="00CB4D85">
        <w:t>,</w:t>
      </w:r>
      <w:r w:rsidRPr="005D023B">
        <w:br/>
        <w:t xml:space="preserve">and </w:t>
      </w:r>
      <w:r w:rsidRPr="005D023B" w:rsidR="00CB4D85">
        <w:t>Mr</w:t>
      </w:r>
      <w:r w:rsidRPr="005D023B">
        <w:t xml:space="preserve"> </w:t>
      </w:r>
      <w:r w:rsidRPr="005D023B" w:rsidR="00F94DB6">
        <w:t>T</w:t>
      </w:r>
      <w:r w:rsidRPr="005D023B" w:rsidR="00CB4D85">
        <w:rPr>
          <w:rStyle w:val="JuNames"/>
        </w:rPr>
        <w:t>.</w:t>
      </w:r>
      <w:r w:rsidRPr="005D023B" w:rsidR="00F94DB6">
        <w:rPr>
          <w:rStyle w:val="JuNames"/>
        </w:rPr>
        <w:t>L</w:t>
      </w:r>
      <w:r w:rsidRPr="005D023B" w:rsidR="00CB4D85">
        <w:rPr>
          <w:rStyle w:val="JuNames"/>
        </w:rPr>
        <w:t>.</w:t>
      </w:r>
      <w:r w:rsidRPr="005D023B">
        <w:t xml:space="preserve"> </w:t>
      </w:r>
      <w:r w:rsidRPr="005D023B" w:rsidR="00F94DB6">
        <w:rPr>
          <w:rStyle w:val="JuNames"/>
        </w:rPr>
        <w:t>Early</w:t>
      </w:r>
      <w:r w:rsidRPr="005D023B">
        <w:t xml:space="preserve">, </w:t>
      </w:r>
      <w:r w:rsidR="00EF0072">
        <w:rPr>
          <w:i/>
        </w:rPr>
        <w:t xml:space="preserve">Deputy </w:t>
      </w:r>
      <w:r w:rsidR="007D58BD">
        <w:rPr>
          <w:i/>
        </w:rPr>
        <w:t>Grand Chamber</w:t>
      </w:r>
      <w:r w:rsidRPr="005D023B" w:rsidR="00B24D17">
        <w:rPr>
          <w:i/>
        </w:rPr>
        <w:t xml:space="preserve"> R</w:t>
      </w:r>
      <w:r w:rsidRPr="005D023B" w:rsidR="00CB4D85">
        <w:rPr>
          <w:i/>
        </w:rPr>
        <w:t>egistrar</w:t>
      </w:r>
      <w:r w:rsidRPr="005D023B">
        <w:t>,</w:t>
      </w:r>
    </w:p>
    <w:p w:rsidRPr="005D023B" w:rsidR="00CD49A7" w:rsidRDefault="00CD49A7">
      <w:pPr>
        <w:pStyle w:val="JuParaChar"/>
      </w:pPr>
      <w:r w:rsidRPr="005D023B">
        <w:t xml:space="preserve">Having deliberated in private on </w:t>
      </w:r>
      <w:r w:rsidR="00723621">
        <w:t xml:space="preserve">23 February and </w:t>
      </w:r>
      <w:smartTag w:uri="urn:schemas-microsoft-com:office:smarttags" w:element="date">
        <w:smartTagPr>
          <w:attr w:name="Month" w:val="6"/>
          <w:attr w:name="Day" w:val="8"/>
          <w:attr w:name="Year" w:val="2005"/>
        </w:smartTagPr>
        <w:r w:rsidR="00083DA6">
          <w:t>8 June 2005</w:t>
        </w:r>
      </w:smartTag>
      <w:r w:rsidRPr="005D023B" w:rsidR="00083DA6">
        <w:t>,</w:t>
      </w:r>
    </w:p>
    <w:p w:rsidRPr="005D023B" w:rsidR="00CD49A7" w:rsidRDefault="00723621">
      <w:pPr>
        <w:pStyle w:val="JuParaChar"/>
      </w:pPr>
      <w:r>
        <w:t xml:space="preserve">Delivers the following </w:t>
      </w:r>
      <w:r w:rsidRPr="005D023B" w:rsidR="00CD49A7">
        <w:t>jud</w:t>
      </w:r>
      <w:r>
        <w:t xml:space="preserve">gment, which was adopted on the </w:t>
      </w:r>
      <w:r w:rsidRPr="005D023B" w:rsidR="00CD49A7">
        <w:t>last</w:t>
      </w:r>
      <w:r w:rsidRPr="005D023B" w:rsidR="00CD49A7">
        <w:noBreakHyphen/>
      </w:r>
      <w:r>
        <w:t xml:space="preserve"> </w:t>
      </w:r>
      <w:r w:rsidRPr="005D023B" w:rsidR="00CD49A7">
        <w:t>mentioned date:</w:t>
      </w:r>
    </w:p>
    <w:p w:rsidRPr="005D023B" w:rsidR="00CD49A7" w:rsidRDefault="00CD49A7">
      <w:pPr>
        <w:pStyle w:val="JuHHead"/>
      </w:pPr>
      <w:r w:rsidRPr="005D023B">
        <w:t>PROCEDURE</w:t>
      </w:r>
    </w:p>
    <w:p w:rsidRPr="005D023B" w:rsidR="00CD49A7" w:rsidP="00871875" w:rsidRDefault="00E0393E">
      <w:pPr>
        <w:pStyle w:val="JuParaChar"/>
      </w:pPr>
      <w:r w:rsidRPr="005D023B">
        <w:fldChar w:fldCharType="begin"/>
      </w:r>
      <w:r w:rsidRPr="005D023B">
        <w:instrText xml:space="preserve"> SEQ level0 \*arabic </w:instrText>
      </w:r>
      <w:r w:rsidRPr="005D023B">
        <w:fldChar w:fldCharType="separate"/>
      </w:r>
      <w:r w:rsidR="00D57953">
        <w:rPr>
          <w:noProof/>
        </w:rPr>
        <w:t>1</w:t>
      </w:r>
      <w:r w:rsidRPr="005D023B">
        <w:fldChar w:fldCharType="end"/>
      </w:r>
      <w:r w:rsidRPr="005D023B">
        <w:t>.  </w:t>
      </w:r>
      <w:r w:rsidRPr="005D023B" w:rsidR="00CD49A7">
        <w:t xml:space="preserve">The case originated in </w:t>
      </w:r>
      <w:r w:rsidRPr="005D023B" w:rsidR="008E3A24">
        <w:t>two</w:t>
      </w:r>
      <w:r w:rsidRPr="005D023B" w:rsidR="00CB4D85">
        <w:t xml:space="preserve"> a</w:t>
      </w:r>
      <w:r w:rsidRPr="005D023B">
        <w:t>pplications (nos. 43577/98 and 43579/98</w:t>
      </w:r>
      <w:r w:rsidRPr="005D023B" w:rsidR="00CB4D85">
        <w:t>)</w:t>
      </w:r>
      <w:r w:rsidRPr="005D023B" w:rsidR="00CD49A7">
        <w:t xml:space="preserve"> against </w:t>
      </w:r>
      <w:r w:rsidRPr="005D023B" w:rsidR="00CB4D85">
        <w:t>the Republic of Bulgaria</w:t>
      </w:r>
      <w:r w:rsidRPr="005D023B" w:rsidR="00CD49A7">
        <w:t xml:space="preserve"> lodged with the </w:t>
      </w:r>
      <w:r w:rsidRPr="005D023B" w:rsidR="00CB4D85">
        <w:t>European Commission of Human Rights (“the Commission”) under former Article 25</w:t>
      </w:r>
      <w:r w:rsidRPr="005D023B" w:rsidR="00CD49A7">
        <w:t xml:space="preserve"> of the Convention for the Protection of Human Rights and Fundamental Freedoms (“the Convention”) by </w:t>
      </w:r>
      <w:r w:rsidRPr="005D023B" w:rsidR="008E3A24">
        <w:t>four</w:t>
      </w:r>
      <w:r w:rsidRPr="005D023B" w:rsidR="00CB4D85">
        <w:t xml:space="preserve"> Bulgarian nationals, </w:t>
      </w:r>
      <w:r w:rsidR="00895B4A">
        <w:t>Ms</w:t>
      </w:r>
      <w:r w:rsidR="00871875">
        <w:t xml:space="preserve"> </w:t>
      </w:r>
      <w:r w:rsidR="00895B4A">
        <w:t>Anelia</w:t>
      </w:r>
      <w:r w:rsidR="00871875">
        <w:t xml:space="preserve"> </w:t>
      </w:r>
      <w:r w:rsidR="00895B4A">
        <w:t>Kunchova</w:t>
      </w:r>
      <w:r w:rsidR="00871875">
        <w:t xml:space="preserve"> </w:t>
      </w:r>
      <w:r w:rsidRPr="005D023B" w:rsidR="008E3A24">
        <w:t>Nachova, Ms Aksini</w:t>
      </w:r>
      <w:r w:rsidR="00895B4A">
        <w:t>ya Hristova, Ms</w:t>
      </w:r>
      <w:r w:rsidR="00871875">
        <w:t xml:space="preserve"> </w:t>
      </w:r>
      <w:r w:rsidR="00895B4A">
        <w:t>Todorka</w:t>
      </w:r>
      <w:r w:rsidR="00871875">
        <w:t xml:space="preserve"> </w:t>
      </w:r>
      <w:r w:rsidR="00895B4A">
        <w:t>Petrova</w:t>
      </w:r>
      <w:r w:rsidR="00871875">
        <w:t xml:space="preserve"> </w:t>
      </w:r>
      <w:r w:rsidRPr="005D023B" w:rsidR="008E3A24">
        <w:t>Rangelova and Mr</w:t>
      </w:r>
      <w:r w:rsidR="00871875">
        <w:t> </w:t>
      </w:r>
      <w:r w:rsidRPr="005D023B" w:rsidR="008E3A24">
        <w:t>Rangel Petkov Rangelov (“the applicants”), on 15 May 1998.</w:t>
      </w:r>
    </w:p>
    <w:p w:rsidRPr="005D023B" w:rsidR="00CB4D85" w:rsidRDefault="00CB4D85">
      <w:pPr>
        <w:pStyle w:val="JuParaChar"/>
      </w:pPr>
      <w:r w:rsidRPr="005D023B">
        <w:fldChar w:fldCharType="begin"/>
      </w:r>
      <w:r w:rsidRPr="005D023B">
        <w:instrText xml:space="preserve"> SEQ level0 \*arabic </w:instrText>
      </w:r>
      <w:r w:rsidRPr="005D023B">
        <w:fldChar w:fldCharType="separate"/>
      </w:r>
      <w:r w:rsidR="00D57953">
        <w:rPr>
          <w:noProof/>
        </w:rPr>
        <w:t>2</w:t>
      </w:r>
      <w:r w:rsidRPr="005D023B">
        <w:fldChar w:fldCharType="end"/>
      </w:r>
      <w:r w:rsidRPr="005D023B" w:rsidR="00CD49A7">
        <w:t>.  </w:t>
      </w:r>
      <w:r w:rsidRPr="005D023B" w:rsidR="008E3A24">
        <w:t>The applicants alleged that their respec</w:t>
      </w:r>
      <w:r w:rsidR="00891E13">
        <w:t>tive close</w:t>
      </w:r>
      <w:r w:rsidR="00B701B4">
        <w:t xml:space="preserve"> relatives, Mr Kuncho </w:t>
      </w:r>
      <w:r w:rsidRPr="005D023B" w:rsidR="008E3A24">
        <w:t xml:space="preserve">Angelov and Mr Kiril Petkov, </w:t>
      </w:r>
      <w:r w:rsidRPr="005D023B" w:rsidR="00EF3B52">
        <w:t>had been</w:t>
      </w:r>
      <w:r w:rsidRPr="005D023B" w:rsidR="008E3A24">
        <w:t xml:space="preserve"> shot</w:t>
      </w:r>
      <w:r w:rsidRPr="005D023B" w:rsidR="00EF3B52">
        <w:t xml:space="preserve"> and killed</w:t>
      </w:r>
      <w:r w:rsidRPr="005D023B" w:rsidR="008E3A24">
        <w:t xml:space="preserve"> by military police </w:t>
      </w:r>
      <w:r w:rsidRPr="005D023B" w:rsidR="00B24D17">
        <w:t>i</w:t>
      </w:r>
      <w:r w:rsidRPr="005D023B" w:rsidR="008E3A24">
        <w:t>n violation of Article 2 of the Convention</w:t>
      </w:r>
      <w:r w:rsidRPr="005D023B" w:rsidR="00B24D17">
        <w:t xml:space="preserve">. </w:t>
      </w:r>
      <w:r w:rsidR="006E721C">
        <w:t>Furthermore, t</w:t>
      </w:r>
      <w:r w:rsidRPr="005D023B" w:rsidR="00AD121B">
        <w:t xml:space="preserve">he </w:t>
      </w:r>
      <w:r w:rsidRPr="005D023B" w:rsidR="008E3A24">
        <w:t xml:space="preserve">investigation into the events </w:t>
      </w:r>
      <w:r w:rsidR="00AD121B">
        <w:t>had been</w:t>
      </w:r>
      <w:r w:rsidRPr="005D023B" w:rsidR="00AD121B">
        <w:t xml:space="preserve"> </w:t>
      </w:r>
      <w:r w:rsidRPr="005D023B" w:rsidR="008E3A24">
        <w:t>ineffective</w:t>
      </w:r>
      <w:r w:rsidR="00AD121B">
        <w:t>,</w:t>
      </w:r>
      <w:r w:rsidRPr="005D023B" w:rsidR="008E3A24">
        <w:t xml:space="preserve"> in breach of</w:t>
      </w:r>
      <w:r w:rsidR="00B74454">
        <w:t xml:space="preserve"> both</w:t>
      </w:r>
      <w:r w:rsidRPr="005D023B" w:rsidR="008E3A24">
        <w:t xml:space="preserve"> </w:t>
      </w:r>
      <w:r w:rsidRPr="005D023B" w:rsidR="00B24D17">
        <w:t>Articles</w:t>
      </w:r>
      <w:r w:rsidR="00B701B4">
        <w:t xml:space="preserve"> </w:t>
      </w:r>
      <w:r w:rsidRPr="005D023B" w:rsidR="00B24D17">
        <w:t>2 and 13</w:t>
      </w:r>
      <w:r w:rsidRPr="005D023B" w:rsidR="008E3A24">
        <w:t xml:space="preserve"> of the Convention</w:t>
      </w:r>
      <w:r w:rsidRPr="005D023B" w:rsidR="00B24D17">
        <w:t>.</w:t>
      </w:r>
      <w:r w:rsidRPr="005D023B" w:rsidR="008E3A24">
        <w:t xml:space="preserve"> </w:t>
      </w:r>
      <w:r w:rsidRPr="005D023B" w:rsidR="00B24D17">
        <w:t xml:space="preserve">It was also alleged </w:t>
      </w:r>
      <w:r w:rsidRPr="005D023B" w:rsidR="008E3A24">
        <w:t>that the respondent State had failed in its obligation to protect life by law</w:t>
      </w:r>
      <w:r w:rsidR="00083DA6">
        <w:t>,</w:t>
      </w:r>
      <w:r w:rsidR="00B74454">
        <w:t xml:space="preserve"> contrary to Article 2</w:t>
      </w:r>
      <w:r w:rsidR="00083DA6">
        <w:t>,</w:t>
      </w:r>
      <w:r w:rsidR="00AD121B">
        <w:t xml:space="preserve"> and</w:t>
      </w:r>
      <w:r w:rsidRPr="005D023B" w:rsidR="008E3A24">
        <w:t xml:space="preserve"> that the</w:t>
      </w:r>
      <w:r w:rsidRPr="005D023B" w:rsidR="00B24D17">
        <w:t xml:space="preserve"> impugned</w:t>
      </w:r>
      <w:r w:rsidRPr="005D023B" w:rsidR="008E3A24">
        <w:t xml:space="preserve"> events were the result of discriminatory attitudes towards persons of Roma origin</w:t>
      </w:r>
      <w:r w:rsidR="00AD121B">
        <w:t xml:space="preserve">, in breach </w:t>
      </w:r>
      <w:r w:rsidRPr="005D023B" w:rsidR="008E3A24">
        <w:t>of Article</w:t>
      </w:r>
      <w:r w:rsidRPr="005D023B" w:rsidR="00B24D17">
        <w:t xml:space="preserve"> </w:t>
      </w:r>
      <w:r w:rsidRPr="005D023B" w:rsidR="008E3A24">
        <w:t>14 of the Convention</w:t>
      </w:r>
      <w:r w:rsidR="00723621">
        <w:t xml:space="preserve"> taken</w:t>
      </w:r>
      <w:r w:rsidRPr="005D023B" w:rsidR="00B24D17">
        <w:t xml:space="preserve"> in conjunction with Article 2</w:t>
      </w:r>
      <w:r w:rsidRPr="005D023B" w:rsidR="00CD49A7">
        <w:t>.</w:t>
      </w:r>
    </w:p>
    <w:p w:rsidR="00B147F8" w:rsidRDefault="00CB4D85">
      <w:pPr>
        <w:pStyle w:val="JuParaChar"/>
      </w:pPr>
      <w:r w:rsidRPr="005D023B">
        <w:fldChar w:fldCharType="begin"/>
      </w:r>
      <w:r w:rsidRPr="005D023B">
        <w:instrText xml:space="preserve"> SEQ level0 \*arabic </w:instrText>
      </w:r>
      <w:r w:rsidRPr="005D023B">
        <w:fldChar w:fldCharType="separate"/>
      </w:r>
      <w:r w:rsidR="00D57953">
        <w:rPr>
          <w:noProof/>
        </w:rPr>
        <w:t>3</w:t>
      </w:r>
      <w:r w:rsidRPr="005D023B">
        <w:fldChar w:fldCharType="end"/>
      </w:r>
      <w:r w:rsidRPr="005D023B">
        <w:t xml:space="preserve">.  The applications were transmitted to the Court on </w:t>
      </w:r>
      <w:smartTag w:uri="urn:schemas-microsoft-com:office:smarttags" w:element="date">
        <w:smartTagPr>
          <w:attr w:name="Month" w:val="11"/>
          <w:attr w:name="Day" w:val="1"/>
          <w:attr w:name="Year" w:val="1998"/>
        </w:smartTagPr>
        <w:r w:rsidRPr="005D023B">
          <w:t>1 November 1998</w:t>
        </w:r>
      </w:smartTag>
      <w:r w:rsidRPr="005D023B">
        <w:t>, when Protocol No. 11 to the Convention came into force (Article 5 § 2 of Protocol No. 11)</w:t>
      </w:r>
      <w:r w:rsidRPr="005D023B" w:rsidR="00054D5F">
        <w:t xml:space="preserve"> and assigned to the Fourth Section</w:t>
      </w:r>
      <w:r w:rsidRPr="005D023B">
        <w:t>.</w:t>
      </w:r>
      <w:r w:rsidRPr="005D023B" w:rsidR="00054D5F">
        <w:t xml:space="preserve"> On </w:t>
      </w:r>
      <w:smartTag w:uri="urn:schemas-microsoft-com:office:smarttags" w:element="date">
        <w:smartTagPr>
          <w:attr w:name="Month" w:val="3"/>
          <w:attr w:name="Day" w:val="22"/>
          <w:attr w:name="Year" w:val="2001"/>
        </w:smartTagPr>
        <w:r w:rsidR="00054D5F" w:rsidRPr="005D023B">
          <w:t>22 March 2001</w:t>
        </w:r>
      </w:smartTag>
      <w:r w:rsidRPr="005D023B" w:rsidR="00054D5F">
        <w:t xml:space="preserve"> the applications were joined (Rule 43 § 1</w:t>
      </w:r>
      <w:r w:rsidR="00723621">
        <w:t xml:space="preserve"> of the Rules of Court</w:t>
      </w:r>
      <w:r w:rsidRPr="005D023B" w:rsidR="00054D5F">
        <w:t>).</w:t>
      </w:r>
    </w:p>
    <w:p w:rsidR="00B147F8" w:rsidRDefault="00CB4D85">
      <w:pPr>
        <w:pStyle w:val="JuParaChar"/>
      </w:pPr>
      <w:r w:rsidRPr="005D023B">
        <w:fldChar w:fldCharType="begin"/>
      </w:r>
      <w:r w:rsidRPr="005D023B">
        <w:instrText xml:space="preserve"> SEQ level0 \*arabic </w:instrText>
      </w:r>
      <w:r w:rsidRPr="005D023B">
        <w:fldChar w:fldCharType="separate"/>
      </w:r>
      <w:r w:rsidR="00D57953">
        <w:rPr>
          <w:noProof/>
        </w:rPr>
        <w:t>4</w:t>
      </w:r>
      <w:r w:rsidRPr="005D023B">
        <w:fldChar w:fldCharType="end"/>
      </w:r>
      <w:r w:rsidRPr="005D023B" w:rsidR="00CD49A7">
        <w:t>.  </w:t>
      </w:r>
      <w:r w:rsidR="00723621">
        <w:t>On</w:t>
      </w:r>
      <w:r w:rsidRPr="005D023B" w:rsidR="00054D5F">
        <w:t xml:space="preserve"> </w:t>
      </w:r>
      <w:smartTag w:uri="urn:schemas-microsoft-com:office:smarttags" w:element="date">
        <w:smartTagPr>
          <w:attr w:name="Month" w:val="11"/>
          <w:attr w:name="Day" w:val="1"/>
          <w:attr w:name="Year" w:val="2001"/>
        </w:smartTagPr>
        <w:r w:rsidR="00054D5F" w:rsidRPr="005D023B">
          <w:t>1 November 2001</w:t>
        </w:r>
      </w:smartTag>
      <w:r w:rsidRPr="005D023B" w:rsidR="00054D5F">
        <w:t xml:space="preserve"> </w:t>
      </w:r>
      <w:r w:rsidR="00723621">
        <w:t>the Court changed</w:t>
      </w:r>
      <w:r w:rsidRPr="005D023B" w:rsidR="00054D5F">
        <w:t xml:space="preserve"> the compositio</w:t>
      </w:r>
      <w:r w:rsidR="00723621">
        <w:t>n of its Sections (Rule 25 § 1). This case</w:t>
      </w:r>
      <w:r w:rsidRPr="005D023B" w:rsidR="00054D5F">
        <w:t xml:space="preserve"> was assigned to the newly composed First Section (Rule 52 § 1). </w:t>
      </w:r>
      <w:r w:rsidRPr="005D023B" w:rsidR="00D31E8E">
        <w:t xml:space="preserve">On </w:t>
      </w:r>
      <w:r w:rsidRPr="005D023B" w:rsidR="00054D5F">
        <w:t xml:space="preserve">28 February </w:t>
      </w:r>
      <w:smartTag w:uri="urn:schemas-microsoft-com:office:smarttags" w:element="metricconverter">
        <w:smartTagPr>
          <w:attr w:name="ProductID" w:val="2002 a"/>
        </w:smartTagPr>
        <w:r w:rsidR="00054D5F" w:rsidRPr="005D023B">
          <w:t>2002</w:t>
        </w:r>
        <w:r w:rsidR="00D31E8E" w:rsidRPr="005D023B">
          <w:t xml:space="preserve"> a</w:t>
        </w:r>
      </w:smartTag>
      <w:r w:rsidRPr="005D023B" w:rsidR="00D31E8E">
        <w:t xml:space="preserve"> Chamber of that S</w:t>
      </w:r>
      <w:r w:rsidRPr="005D023B" w:rsidR="00837B6E">
        <w:t xml:space="preserve">ection, composed of </w:t>
      </w:r>
      <w:r w:rsidRPr="005D023B" w:rsidR="00837B6E">
        <w:rPr>
          <w:rStyle w:val="JuParaCharChar"/>
        </w:rPr>
        <w:t xml:space="preserve">Mr C.L. Rozakis, </w:t>
      </w:r>
      <w:r w:rsidRPr="00723621" w:rsidR="00837B6E">
        <w:rPr>
          <w:rStyle w:val="JuParaCharChar"/>
        </w:rPr>
        <w:t>President</w:t>
      </w:r>
      <w:r w:rsidR="00723621">
        <w:rPr>
          <w:rStyle w:val="JuParaCharChar"/>
        </w:rPr>
        <w:t xml:space="preserve">, Mr G. </w:t>
      </w:r>
      <w:r w:rsidRPr="005D023B" w:rsidR="00837B6E">
        <w:rPr>
          <w:rStyle w:val="JuParaCharChar"/>
        </w:rPr>
        <w:t>Bonello, Mrs N. Vajić, Mrs</w:t>
      </w:r>
      <w:r w:rsidR="00572E20">
        <w:rPr>
          <w:rStyle w:val="JuParaCharChar"/>
        </w:rPr>
        <w:t> </w:t>
      </w:r>
      <w:r w:rsidRPr="005D023B" w:rsidR="00837B6E">
        <w:rPr>
          <w:rStyle w:val="JuParaCharChar"/>
        </w:rPr>
        <w:t>S. Bo</w:t>
      </w:r>
      <w:r w:rsidR="00723621">
        <w:rPr>
          <w:rStyle w:val="JuParaCharChar"/>
        </w:rPr>
        <w:t xml:space="preserve">toucharova, Mr A. Kovler, Mr V. </w:t>
      </w:r>
      <w:r w:rsidRPr="005D023B" w:rsidR="00837B6E">
        <w:rPr>
          <w:rStyle w:val="JuParaCharChar"/>
        </w:rPr>
        <w:t xml:space="preserve">Zagrebelsky, </w:t>
      </w:r>
      <w:r w:rsidRPr="005D023B" w:rsidR="00837B6E">
        <w:t>Mrs E. Steiner</w:t>
      </w:r>
      <w:r w:rsidRPr="005D023B" w:rsidR="00837B6E">
        <w:rPr>
          <w:rStyle w:val="JuParaCharChar"/>
        </w:rPr>
        <w:t xml:space="preserve">, </w:t>
      </w:r>
      <w:r w:rsidRPr="00723621" w:rsidR="00837B6E">
        <w:rPr>
          <w:rStyle w:val="JuParaCharChar"/>
        </w:rPr>
        <w:t>judges</w:t>
      </w:r>
      <w:r w:rsidRPr="005D023B" w:rsidR="00837B6E">
        <w:rPr>
          <w:rStyle w:val="JuParaCharChar"/>
        </w:rPr>
        <w:t xml:space="preserve">, and Mr S. Nielsen, </w:t>
      </w:r>
      <w:r w:rsidR="00723621">
        <w:rPr>
          <w:rStyle w:val="JuParaCharChar"/>
        </w:rPr>
        <w:t xml:space="preserve">Deputy </w:t>
      </w:r>
      <w:r w:rsidRPr="00723621" w:rsidR="00837B6E">
        <w:rPr>
          <w:rStyle w:val="JuParaCharChar"/>
        </w:rPr>
        <w:t>Section Registrar</w:t>
      </w:r>
      <w:r w:rsidRPr="005D023B" w:rsidR="00837B6E">
        <w:rPr>
          <w:rStyle w:val="JuParaCharChar"/>
        </w:rPr>
        <w:t>,</w:t>
      </w:r>
      <w:r w:rsidRPr="005D023B" w:rsidR="00D31E8E">
        <w:t xml:space="preserve"> declared the applications partly admissible</w:t>
      </w:r>
      <w:r w:rsidRPr="005D023B" w:rsidR="00054D5F">
        <w:t>.</w:t>
      </w:r>
    </w:p>
    <w:p w:rsidRPr="00723621" w:rsidR="00054D5F" w:rsidRDefault="008C373D">
      <w:pPr>
        <w:pStyle w:val="JuParaChar"/>
      </w:pPr>
      <w:r w:rsidRPr="005D023B">
        <w:fldChar w:fldCharType="begin"/>
      </w:r>
      <w:r w:rsidRPr="005D023B">
        <w:instrText xml:space="preserve"> SEQ level0 \*arabic </w:instrText>
      </w:r>
      <w:r w:rsidRPr="005D023B">
        <w:fldChar w:fldCharType="separate"/>
      </w:r>
      <w:r w:rsidR="00D57953">
        <w:rPr>
          <w:noProof/>
        </w:rPr>
        <w:t>5</w:t>
      </w:r>
      <w:r w:rsidRPr="005D023B">
        <w:fldChar w:fldCharType="end"/>
      </w:r>
      <w:r w:rsidRPr="005D023B">
        <w:t>.  </w:t>
      </w:r>
      <w:r w:rsidRPr="005D023B" w:rsidR="00054D5F">
        <w:t>On 26 February 2004</w:t>
      </w:r>
      <w:r w:rsidRPr="005D023B" w:rsidR="00667973">
        <w:t xml:space="preserve"> a Chamber of the same Section, composed of</w:t>
      </w:r>
      <w:r w:rsidRPr="005D023B" w:rsidR="00837B6E">
        <w:t xml:space="preserve"> Mr C.L. Rozakis, </w:t>
      </w:r>
      <w:r w:rsidRPr="00723621" w:rsidR="00837B6E">
        <w:t xml:space="preserve">President, Mr P. </w:t>
      </w:r>
      <w:r w:rsidR="00B701B4">
        <w:t>Lorenzen, Mr G. Bonello, Mrs F. </w:t>
      </w:r>
      <w:r w:rsidRPr="00723621" w:rsidR="00837B6E">
        <w:t>Tulkens, Mrs N. Vajić, Mrs S. Botoucharova, Mr V. Zagrebelsky, judges, and Mr S. Nielsen, Section Registrar,</w:t>
      </w:r>
      <w:r w:rsidRPr="00723621">
        <w:t xml:space="preserve"> delivered a</w:t>
      </w:r>
      <w:r w:rsidRPr="00723621" w:rsidR="00054D5F">
        <w:t xml:space="preserve"> judgment </w:t>
      </w:r>
      <w:r w:rsidRPr="00723621">
        <w:t>in which it held unanimously that there had been</w:t>
      </w:r>
      <w:r w:rsidRPr="00723621" w:rsidR="00D31E8E">
        <w:t xml:space="preserve"> violations of Articles 2 and 14 of the Convention and </w:t>
      </w:r>
      <w:r w:rsidRPr="00723621" w:rsidR="00667973">
        <w:t>that no separate issue arose under</w:t>
      </w:r>
      <w:r w:rsidRPr="00723621" w:rsidR="00D31E8E">
        <w:t xml:space="preserve"> Article 13</w:t>
      </w:r>
      <w:r w:rsidRPr="00723621" w:rsidR="00054D5F">
        <w:t>.</w:t>
      </w:r>
    </w:p>
    <w:p w:rsidRPr="005D023B" w:rsidR="000B2C95" w:rsidP="000B2C95" w:rsidRDefault="004D1C7B">
      <w:pPr>
        <w:pStyle w:val="JuParaChar"/>
      </w:pPr>
      <w:r w:rsidRPr="005D023B">
        <w:fldChar w:fldCharType="begin"/>
      </w:r>
      <w:r w:rsidRPr="005D023B">
        <w:instrText xml:space="preserve"> SEQ level0 \*arabic </w:instrText>
      </w:r>
      <w:r w:rsidRPr="005D023B">
        <w:fldChar w:fldCharType="separate"/>
      </w:r>
      <w:r w:rsidR="00D57953">
        <w:rPr>
          <w:noProof/>
        </w:rPr>
        <w:t>6</w:t>
      </w:r>
      <w:r w:rsidRPr="005D023B">
        <w:fldChar w:fldCharType="end"/>
      </w:r>
      <w:r w:rsidRPr="005D023B">
        <w:t>.  </w:t>
      </w:r>
      <w:r w:rsidRPr="005D023B" w:rsidR="000B2C95">
        <w:t xml:space="preserve">On </w:t>
      </w:r>
      <w:smartTag w:uri="urn:schemas-microsoft-com:office:smarttags" w:element="date">
        <w:smartTagPr>
          <w:attr w:name="Month" w:val="5"/>
          <w:attr w:name="Day" w:val="21"/>
          <w:attr w:name="Year" w:val="2004"/>
        </w:smartTagPr>
        <w:r w:rsidR="00837B6E" w:rsidRPr="005D023B">
          <w:t>21 May</w:t>
        </w:r>
        <w:r w:rsidR="000B2C95" w:rsidRPr="005D023B">
          <w:t xml:space="preserve"> 200</w:t>
        </w:r>
        <w:r w:rsidR="00D31E8E" w:rsidRPr="005D023B">
          <w:t>4</w:t>
        </w:r>
      </w:smartTag>
      <w:r w:rsidRPr="005D023B" w:rsidR="000B2C95">
        <w:t xml:space="preserve"> the</w:t>
      </w:r>
      <w:r w:rsidRPr="005D023B" w:rsidR="008C373D">
        <w:t xml:space="preserve"> Bulgarian</w:t>
      </w:r>
      <w:r w:rsidRPr="005D023B" w:rsidR="000B2C95">
        <w:t xml:space="preserve"> Government </w:t>
      </w:r>
      <w:r w:rsidRPr="005D023B" w:rsidR="008C373D">
        <w:t xml:space="preserve">(“the Government”) </w:t>
      </w:r>
      <w:r w:rsidRPr="005D023B" w:rsidR="000B2C95">
        <w:t>requested that the case be referred to the Grand Chamber, in accordance with Article 4</w:t>
      </w:r>
      <w:r w:rsidR="00723621">
        <w:t>3 of the Convention and Rule 73</w:t>
      </w:r>
      <w:r w:rsidRPr="005D023B" w:rsidR="000B2C95">
        <w:t xml:space="preserve">. </w:t>
      </w:r>
      <w:r w:rsidR="00B74454">
        <w:t>A</w:t>
      </w:r>
      <w:r w:rsidRPr="005D023B" w:rsidR="000B2C95">
        <w:t xml:space="preserve"> </w:t>
      </w:r>
      <w:r w:rsidRPr="005D023B" w:rsidR="00B24D17">
        <w:t>p</w:t>
      </w:r>
      <w:r w:rsidRPr="005D023B" w:rsidR="000B2C95">
        <w:t xml:space="preserve">anel of the Grand Chamber accepted this request on </w:t>
      </w:r>
      <w:smartTag w:uri="urn:schemas-microsoft-com:office:smarttags" w:element="date">
        <w:smartTagPr>
          <w:attr w:name="Month" w:val="7"/>
          <w:attr w:name="Day" w:val="7"/>
          <w:attr w:name="Year" w:val="2004"/>
        </w:smartTagPr>
        <w:r w:rsidR="00837B6E" w:rsidRPr="005D023B">
          <w:t>7 July</w:t>
        </w:r>
        <w:r w:rsidR="00D31E8E" w:rsidRPr="005D023B">
          <w:t xml:space="preserve"> 2</w:t>
        </w:r>
        <w:r w:rsidR="000B2C95" w:rsidRPr="005D023B">
          <w:t>00</w:t>
        </w:r>
        <w:r w:rsidR="00D31E8E" w:rsidRPr="005D023B">
          <w:t>4</w:t>
        </w:r>
      </w:smartTag>
      <w:r w:rsidRPr="005D023B" w:rsidR="000B2C95">
        <w:t>.</w:t>
      </w:r>
    </w:p>
    <w:p w:rsidRPr="005D023B" w:rsidR="00054D5F" w:rsidP="000B2C95" w:rsidRDefault="004D1C7B">
      <w:pPr>
        <w:pStyle w:val="JuParaChar"/>
      </w:pPr>
      <w:r w:rsidRPr="005D023B">
        <w:fldChar w:fldCharType="begin"/>
      </w:r>
      <w:r w:rsidRPr="005D023B">
        <w:instrText xml:space="preserve"> SEQ level0 \*arabic </w:instrText>
      </w:r>
      <w:r w:rsidRPr="005D023B">
        <w:fldChar w:fldCharType="separate"/>
      </w:r>
      <w:r w:rsidR="00D57953">
        <w:rPr>
          <w:noProof/>
        </w:rPr>
        <w:t>7</w:t>
      </w:r>
      <w:r w:rsidRPr="005D023B">
        <w:fldChar w:fldCharType="end"/>
      </w:r>
      <w:r w:rsidRPr="005D023B">
        <w:t>.  </w:t>
      </w:r>
      <w:r w:rsidRPr="005D023B" w:rsidR="000B2C95">
        <w:t>The composition of the Grand Chamber was determined according to the provisions of Article 27 §§ 2 and 3 of the Convention and Rule</w:t>
      </w:r>
      <w:r w:rsidR="00723621">
        <w:t xml:space="preserve"> 24</w:t>
      </w:r>
      <w:r w:rsidRPr="005D023B" w:rsidR="000B2C95">
        <w:t>.</w:t>
      </w:r>
    </w:p>
    <w:p w:rsidR="00B147F8" w:rsidRDefault="00CB4D85">
      <w:pPr>
        <w:pStyle w:val="JuParaChar"/>
      </w:pPr>
      <w:r w:rsidRPr="005D023B">
        <w:fldChar w:fldCharType="begin"/>
      </w:r>
      <w:r w:rsidRPr="005D023B">
        <w:instrText xml:space="preserve"> SEQ level0 \*arabic </w:instrText>
      </w:r>
      <w:r w:rsidRPr="005D023B">
        <w:fldChar w:fldCharType="separate"/>
      </w:r>
      <w:r w:rsidR="00D57953">
        <w:rPr>
          <w:noProof/>
        </w:rPr>
        <w:t>8</w:t>
      </w:r>
      <w:r w:rsidRPr="005D023B">
        <w:fldChar w:fldCharType="end"/>
      </w:r>
      <w:r w:rsidRPr="005D023B" w:rsidR="00CD49A7">
        <w:t>.  </w:t>
      </w:r>
      <w:r w:rsidRPr="005D023B" w:rsidR="008C373D">
        <w:t>Before the Grand Chamber</w:t>
      </w:r>
      <w:r w:rsidR="00723621">
        <w:t>,</w:t>
      </w:r>
      <w:r w:rsidRPr="005D023B" w:rsidR="00837B6E">
        <w:t xml:space="preserve"> </w:t>
      </w:r>
      <w:r w:rsidRPr="005D023B" w:rsidR="008C373D">
        <w:t>the applicants, represented by Mr</w:t>
      </w:r>
      <w:r w:rsidRPr="005D023B" w:rsidR="00EF3B52">
        <w:t> </w:t>
      </w:r>
      <w:r w:rsidRPr="005D023B" w:rsidR="008C373D">
        <w:t>Y.</w:t>
      </w:r>
      <w:r w:rsidR="00B701B4">
        <w:t> </w:t>
      </w:r>
      <w:r w:rsidRPr="005D023B" w:rsidR="00EF3B52">
        <w:t>Grozev</w:t>
      </w:r>
      <w:r w:rsidRPr="005D023B" w:rsidR="008C373D">
        <w:t xml:space="preserve"> of the </w:t>
      </w:r>
      <w:smartTag w:uri="urn:schemas-microsoft-com:office:smarttags" w:element="place">
        <w:smartTag w:uri="urn:schemas-microsoft-com:office:smarttags" w:element="PlaceName">
          <w:r w:rsidR="008C373D" w:rsidRPr="005D023B">
            <w:t>Sofia</w:t>
          </w:r>
        </w:smartTag>
        <w:r w:rsidR="008C373D" w:rsidRPr="005D023B">
          <w:t xml:space="preserve"> </w:t>
        </w:r>
        <w:smartTag w:uri="urn:schemas-microsoft-com:office:smarttags" w:element="PlaceName">
          <w:r w:rsidR="008C373D" w:rsidRPr="005D023B">
            <w:t>Bar</w:t>
          </w:r>
        </w:smartTag>
      </w:smartTag>
      <w:r w:rsidRPr="005D023B" w:rsidR="008C373D">
        <w:t xml:space="preserve">, and the Government, represented by their </w:t>
      </w:r>
      <w:r w:rsidR="00895B4A">
        <w:t>co</w:t>
      </w:r>
      <w:r w:rsidR="00895B4A">
        <w:rPr>
          <w:lang w:val="bg-BG"/>
        </w:rPr>
        <w:noBreakHyphen/>
      </w:r>
      <w:r w:rsidR="00723621">
        <w:t>A</w:t>
      </w:r>
      <w:r w:rsidRPr="005D023B" w:rsidR="008C373D">
        <w:t>gent</w:t>
      </w:r>
      <w:r w:rsidR="00B74454">
        <w:t>, Mrs M. Dimova</w:t>
      </w:r>
      <w:r w:rsidRPr="005D023B" w:rsidR="008C373D">
        <w:t xml:space="preserve"> of the Ministry of Justice, </w:t>
      </w:r>
      <w:r w:rsidRPr="005D023B" w:rsidR="00CD49A7">
        <w:t>filed</w:t>
      </w:r>
      <w:r w:rsidRPr="005D023B">
        <w:t xml:space="preserve"> memorial</w:t>
      </w:r>
      <w:r w:rsidRPr="005D023B" w:rsidR="000460E2">
        <w:t xml:space="preserve">s on </w:t>
      </w:r>
      <w:smartTag w:uri="urn:schemas-microsoft-com:office:smarttags" w:element="date">
        <w:smartTagPr>
          <w:attr w:name="Month" w:val="11"/>
          <w:attr w:name="Day" w:val="30"/>
          <w:attr w:name="Year" w:val="2004"/>
        </w:smartTagPr>
        <w:r w:rsidR="000460E2" w:rsidRPr="005D023B">
          <w:t>30 November 2004</w:t>
        </w:r>
      </w:smartTag>
      <w:r w:rsidRPr="005D023B" w:rsidR="000460E2">
        <w:t xml:space="preserve"> and </w:t>
      </w:r>
      <w:smartTag w:uri="urn:schemas-microsoft-com:office:smarttags" w:element="date">
        <w:smartTagPr>
          <w:attr w:name="Month" w:val="11"/>
          <w:attr w:name="Day" w:val="29"/>
          <w:attr w:name="Year" w:val="2004"/>
        </w:smartTagPr>
        <w:r w:rsidR="000460E2" w:rsidRPr="005D023B">
          <w:t>29</w:t>
        </w:r>
        <w:r w:rsidR="00837B6E" w:rsidRPr="005D023B">
          <w:t xml:space="preserve"> November</w:t>
        </w:r>
        <w:r w:rsidR="008C373D" w:rsidRPr="005D023B">
          <w:t xml:space="preserve"> 2004</w:t>
        </w:r>
      </w:smartTag>
      <w:r w:rsidRPr="005D023B" w:rsidR="008C373D">
        <w:t xml:space="preserve"> respectively</w:t>
      </w:r>
      <w:r w:rsidRPr="005D023B" w:rsidR="004D1C7B">
        <w:t>.</w:t>
      </w:r>
      <w:r w:rsidRPr="005D023B" w:rsidR="00CD49A7">
        <w:t xml:space="preserve"> </w:t>
      </w:r>
      <w:r w:rsidR="00895B4A">
        <w:t>In addition, third</w:t>
      </w:r>
      <w:r w:rsidR="00895B4A">
        <w:rPr>
          <w:lang w:val="bg-BG"/>
        </w:rPr>
        <w:noBreakHyphen/>
      </w:r>
      <w:r w:rsidRPr="005D023B">
        <w:t>party comments were received from</w:t>
      </w:r>
      <w:r w:rsidRPr="005D023B" w:rsidR="00AB0DC6">
        <w:t xml:space="preserve"> </w:t>
      </w:r>
      <w:r w:rsidR="003F4271">
        <w:t>three non-governmental organisations</w:t>
      </w:r>
      <w:r w:rsidR="00572E20">
        <w:t>:</w:t>
      </w:r>
      <w:r w:rsidR="003F4271">
        <w:t xml:space="preserve"> </w:t>
      </w:r>
      <w:r w:rsidRPr="005D023B" w:rsidR="00AB0DC6">
        <w:t>the</w:t>
      </w:r>
      <w:r w:rsidRPr="005D023B">
        <w:t xml:space="preserve"> </w:t>
      </w:r>
      <w:r w:rsidRPr="005D023B" w:rsidR="00837B6E">
        <w:t>European Roma Right</w:t>
      </w:r>
      <w:r w:rsidR="00B74454">
        <w:t>s</w:t>
      </w:r>
      <w:r w:rsidR="00FB0668">
        <w:t xml:space="preserve"> Centre</w:t>
      </w:r>
      <w:r w:rsidR="001460E0">
        <w:t>, Interights and Open</w:t>
      </w:r>
      <w:r w:rsidR="001460E0">
        <w:rPr>
          <w:lang w:val="bg-BG"/>
        </w:rPr>
        <w:t> </w:t>
      </w:r>
      <w:r w:rsidRPr="005D023B" w:rsidR="00837B6E">
        <w:t>Society Justice Initiative</w:t>
      </w:r>
      <w:r w:rsidRPr="005D023B">
        <w:t>, which had been given leave by the President to intervene in the written procedure (Article 36 § 2 of the Convention and Rule 44 § 2).</w:t>
      </w:r>
    </w:p>
    <w:p w:rsidR="00CD49A7" w:rsidRDefault="00CB4D85">
      <w:pPr>
        <w:pStyle w:val="JuParaChar"/>
        <w:rPr>
          <w:lang w:val="bg-BG"/>
        </w:rPr>
      </w:pPr>
      <w:r w:rsidRPr="005D023B">
        <w:fldChar w:fldCharType="begin"/>
      </w:r>
      <w:r w:rsidRPr="005D023B">
        <w:instrText xml:space="preserve"> SEQ level0 \*arabic </w:instrText>
      </w:r>
      <w:r w:rsidRPr="005D023B">
        <w:fldChar w:fldCharType="separate"/>
      </w:r>
      <w:r w:rsidR="00D57953">
        <w:rPr>
          <w:noProof/>
        </w:rPr>
        <w:t>9</w:t>
      </w:r>
      <w:r w:rsidRPr="005D023B">
        <w:fldChar w:fldCharType="end"/>
      </w:r>
      <w:r w:rsidRPr="005D023B" w:rsidR="00CD49A7">
        <w:t xml:space="preserve">.  A hearing took place in public in the </w:t>
      </w:r>
      <w:smartTag w:uri="urn:schemas-microsoft-com:office:smarttags" w:element="PlaceName">
        <w:r w:rsidR="00CD49A7" w:rsidRPr="005D023B">
          <w:t>Human</w:t>
        </w:r>
      </w:smartTag>
      <w:r w:rsidRPr="005D023B" w:rsidR="00CD49A7">
        <w:t xml:space="preserve"> </w:t>
      </w:r>
      <w:smartTag w:uri="urn:schemas-microsoft-com:office:smarttags" w:element="PlaceName">
        <w:r w:rsidR="00CD49A7" w:rsidRPr="005D023B">
          <w:t>Rights</w:t>
        </w:r>
      </w:smartTag>
      <w:r w:rsidRPr="005D023B" w:rsidR="00CD49A7">
        <w:t xml:space="preserve"> </w:t>
      </w:r>
      <w:smartTag w:uri="urn:schemas-microsoft-com:office:smarttags" w:element="PlaceType">
        <w:r w:rsidR="00CD49A7" w:rsidRPr="005D023B">
          <w:t>Building</w:t>
        </w:r>
      </w:smartTag>
      <w:r w:rsidRPr="005D023B" w:rsidR="00CD49A7">
        <w:t xml:space="preserve">, </w:t>
      </w:r>
      <w:smartTag w:uri="urn:schemas-microsoft-com:office:smarttags" w:element="place">
        <w:smartTag w:uri="urn:schemas-microsoft-com:office:smarttags" w:element="City">
          <w:r w:rsidR="00CD49A7" w:rsidRPr="005D023B">
            <w:t>Strasbourg</w:t>
          </w:r>
        </w:smartTag>
      </w:smartTag>
      <w:r w:rsidRPr="005D023B" w:rsidR="00CD49A7">
        <w:t xml:space="preserve">, on </w:t>
      </w:r>
      <w:smartTag w:uri="urn:schemas-microsoft-com:office:smarttags" w:element="date">
        <w:smartTagPr>
          <w:attr w:name="Month" w:val="2"/>
          <w:attr w:name="Day" w:val="23"/>
          <w:attr w:name="Year" w:val="2005"/>
        </w:smartTagPr>
        <w:r w:rsidR="00C578F9" w:rsidRPr="005D023B">
          <w:t>23 February 2005</w:t>
        </w:r>
      </w:smartTag>
      <w:r w:rsidRPr="005D023B" w:rsidR="00CD49A7">
        <w:t xml:space="preserve"> (Rule 59 § 3).</w:t>
      </w:r>
    </w:p>
    <w:p w:rsidRPr="007A554E" w:rsidR="007A554E" w:rsidRDefault="007A554E">
      <w:pPr>
        <w:pStyle w:val="JuParaChar"/>
        <w:rPr>
          <w:lang w:val="bg-BG"/>
        </w:rPr>
      </w:pPr>
    </w:p>
    <w:p w:rsidRPr="005D023B" w:rsidR="00CD49A7" w:rsidP="00F92A55" w:rsidRDefault="00CD49A7">
      <w:pPr>
        <w:pStyle w:val="JuParaChar"/>
        <w:keepNext/>
        <w:keepLines/>
      </w:pPr>
      <w:r w:rsidRPr="005D023B">
        <w:t>There appeared before the Court:</w:t>
      </w:r>
    </w:p>
    <w:p w:rsidRPr="007711B9" w:rsidR="00895B4A" w:rsidP="007711B9" w:rsidRDefault="00CD49A7">
      <w:pPr>
        <w:pStyle w:val="JuCourt"/>
      </w:pPr>
      <w:r w:rsidRPr="007711B9">
        <w:t>(a)  </w:t>
      </w:r>
      <w:r w:rsidRPr="007711B9">
        <w:rPr>
          <w:i/>
        </w:rPr>
        <w:t>for the Government</w:t>
      </w:r>
      <w:r w:rsidRPr="007711B9">
        <w:br/>
        <w:t>Mrs</w:t>
      </w:r>
      <w:r w:rsidRPr="007711B9">
        <w:tab/>
      </w:r>
      <w:r w:rsidRPr="007711B9" w:rsidR="00C578F9">
        <w:rPr>
          <w:rStyle w:val="JuNames"/>
        </w:rPr>
        <w:t>M. Dimova</w:t>
      </w:r>
      <w:r w:rsidRPr="007711B9">
        <w:t xml:space="preserve">, </w:t>
      </w:r>
      <w:r w:rsidRPr="007711B9" w:rsidR="00C578F9">
        <w:t>Ministry of Justice</w:t>
      </w:r>
      <w:r w:rsidRPr="007711B9">
        <w:t>,</w:t>
      </w:r>
      <w:r w:rsidRPr="007711B9">
        <w:br/>
        <w:t>M</w:t>
      </w:r>
      <w:r w:rsidRPr="007711B9" w:rsidR="00392A89">
        <w:t>s</w:t>
      </w:r>
      <w:r w:rsidRPr="007711B9">
        <w:tab/>
      </w:r>
      <w:r w:rsidRPr="007711B9" w:rsidR="00392A89">
        <w:rPr>
          <w:rStyle w:val="JuNames"/>
        </w:rPr>
        <w:t>M. Kotzeva</w:t>
      </w:r>
      <w:r w:rsidRPr="007711B9">
        <w:t xml:space="preserve">, </w:t>
      </w:r>
      <w:r w:rsidRPr="007711B9" w:rsidR="00392A89">
        <w:t>Ministry of Justice</w:t>
      </w:r>
      <w:r w:rsidRPr="007711B9">
        <w:t>,</w:t>
      </w:r>
      <w:r w:rsidRPr="007711B9">
        <w:tab/>
      </w:r>
      <w:r w:rsidR="00723621">
        <w:rPr>
          <w:i/>
        </w:rPr>
        <w:t>C</w:t>
      </w:r>
      <w:r w:rsidRPr="007711B9" w:rsidR="00C50019">
        <w:rPr>
          <w:i/>
        </w:rPr>
        <w:t>o</w:t>
      </w:r>
      <w:r w:rsidRPr="007711B9" w:rsidR="00392A89">
        <w:rPr>
          <w:i/>
        </w:rPr>
        <w:t>-</w:t>
      </w:r>
      <w:r w:rsidRPr="007711B9" w:rsidR="00C50019">
        <w:rPr>
          <w:i/>
        </w:rPr>
        <w:t>Agent</w:t>
      </w:r>
      <w:r w:rsidRPr="007711B9" w:rsidR="007711B9">
        <w:rPr>
          <w:i/>
        </w:rPr>
        <w:t>s</w:t>
      </w:r>
      <w:r w:rsidRPr="007711B9">
        <w:t>;</w:t>
      </w:r>
    </w:p>
    <w:p w:rsidRPr="007711B9" w:rsidR="00CD49A7" w:rsidP="007711B9" w:rsidRDefault="00CD49A7">
      <w:pPr>
        <w:pStyle w:val="JuCourt"/>
      </w:pPr>
      <w:r w:rsidRPr="007711B9">
        <w:t>(b)  </w:t>
      </w:r>
      <w:r w:rsidRPr="007711B9">
        <w:rPr>
          <w:i/>
        </w:rPr>
        <w:t xml:space="preserve">for the </w:t>
      </w:r>
      <w:r w:rsidRPr="007711B9" w:rsidR="00CB4D85">
        <w:rPr>
          <w:i/>
        </w:rPr>
        <w:t>applicants</w:t>
      </w:r>
      <w:r w:rsidRPr="007711B9">
        <w:br/>
        <w:t>Mr</w:t>
      </w:r>
      <w:r w:rsidRPr="007711B9">
        <w:tab/>
      </w:r>
      <w:r w:rsidRPr="007711B9" w:rsidR="00C578F9">
        <w:rPr>
          <w:rStyle w:val="JuNames"/>
        </w:rPr>
        <w:t>Y. Grozev</w:t>
      </w:r>
      <w:r w:rsidRPr="007711B9" w:rsidR="00B74454">
        <w:t>,</w:t>
      </w:r>
      <w:r w:rsidRPr="007711B9">
        <w:br/>
      </w:r>
      <w:r w:rsidRPr="007711B9" w:rsidR="00D5530F">
        <w:t xml:space="preserve">Lord </w:t>
      </w:r>
      <w:r w:rsidRPr="007711B9" w:rsidR="00D5530F">
        <w:rPr>
          <w:rStyle w:val="JuNames"/>
        </w:rPr>
        <w:t xml:space="preserve">Lester of </w:t>
      </w:r>
      <w:smartTag w:uri="urn:schemas-microsoft-com:office:smarttags" w:element="place">
        <w:smartTag w:uri="urn:schemas-microsoft-com:office:smarttags" w:element="City">
          <w:r w:rsidR="00D5530F" w:rsidRPr="007711B9">
            <w:rPr>
              <w:rStyle w:val="JuNames"/>
            </w:rPr>
            <w:t>Herne Hill</w:t>
          </w:r>
        </w:smartTag>
        <w:r w:rsidRPr="007711B9">
          <w:t xml:space="preserve"> </w:t>
        </w:r>
        <w:smartTag w:uri="urn:schemas-microsoft-com:office:smarttags" w:element="State">
          <w:r w:rsidR="00B24D17" w:rsidRPr="007711B9">
            <w:t>QC</w:t>
          </w:r>
        </w:smartTag>
      </w:smartTag>
      <w:r w:rsidRPr="007711B9" w:rsidR="00B74454">
        <w:t>,</w:t>
      </w:r>
      <w:r w:rsidRPr="007711B9">
        <w:tab/>
      </w:r>
      <w:r w:rsidRPr="007711B9" w:rsidR="00D5530F">
        <w:rPr>
          <w:i/>
        </w:rPr>
        <w:t>Counsel</w:t>
      </w:r>
      <w:r w:rsidRPr="007711B9">
        <w:t>.</w:t>
      </w:r>
    </w:p>
    <w:p w:rsidRPr="005D023B" w:rsidR="00CD49A7" w:rsidRDefault="00CD49A7">
      <w:pPr>
        <w:pStyle w:val="JuParaChar"/>
      </w:pPr>
    </w:p>
    <w:p w:rsidRPr="005D023B" w:rsidR="00CD49A7" w:rsidRDefault="00CD49A7">
      <w:pPr>
        <w:pStyle w:val="JuParaChar"/>
      </w:pPr>
      <w:r w:rsidRPr="005D023B">
        <w:t>The Court heard addresses by them</w:t>
      </w:r>
      <w:r w:rsidRPr="005D023B" w:rsidR="00D5530F">
        <w:t>.</w:t>
      </w:r>
    </w:p>
    <w:p w:rsidRPr="005D023B" w:rsidR="00CD49A7" w:rsidP="00F92A55" w:rsidRDefault="00CD49A7">
      <w:pPr>
        <w:pStyle w:val="JuHHead"/>
      </w:pPr>
      <w:r w:rsidRPr="005D023B">
        <w:t>THE FACTS</w:t>
      </w:r>
    </w:p>
    <w:p w:rsidRPr="005D023B" w:rsidR="00CD49A7" w:rsidP="00F92A55" w:rsidRDefault="00CD49A7">
      <w:pPr>
        <w:pStyle w:val="JuHIRoman"/>
      </w:pPr>
      <w:r w:rsidRPr="005D023B">
        <w:t>I.  THE CIRCUMSTANCES OF THE CASE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10</w:t>
      </w:r>
      <w:r w:rsidRPr="005D023B">
        <w:fldChar w:fldCharType="end"/>
      </w:r>
      <w:r w:rsidRPr="005D023B">
        <w:t xml:space="preserve">.  The case concerns the killing on </w:t>
      </w:r>
      <w:smartTag w:uri="urn:schemas-microsoft-com:office:smarttags" w:element="date">
        <w:smartTagPr>
          <w:attr w:name="Month" w:val="7"/>
          <w:attr w:name="Day" w:val="19"/>
          <w:attr w:name="Year" w:val="1996"/>
        </w:smartTagPr>
        <w:r w:rsidRPr="005D023B">
          <w:t>19 July 1996</w:t>
        </w:r>
      </w:smartTag>
      <w:r w:rsidRPr="005D023B">
        <w:t xml:space="preserve"> of Mr Angelov and Mr Petkov by a member of the military police who was attempting to arrest them.</w:t>
      </w:r>
    </w:p>
    <w:p w:rsidRPr="005D023B" w:rsidR="00297F6D" w:rsidP="00297F6D" w:rsidRDefault="00E0393E">
      <w:pPr>
        <w:pStyle w:val="JuParaChar"/>
      </w:pPr>
      <w:r w:rsidRPr="005D023B">
        <w:fldChar w:fldCharType="begin"/>
      </w:r>
      <w:r w:rsidRPr="005D023B">
        <w:instrText xml:space="preserve"> SEQ level0 \*arabic </w:instrText>
      </w:r>
      <w:r w:rsidRPr="005D023B">
        <w:fldChar w:fldCharType="separate"/>
      </w:r>
      <w:r w:rsidR="00D57953">
        <w:rPr>
          <w:noProof/>
        </w:rPr>
        <w:t>11</w:t>
      </w:r>
      <w:r w:rsidRPr="005D023B">
        <w:fldChar w:fldCharType="end"/>
      </w:r>
      <w:r w:rsidRPr="005D023B">
        <w:t>.  </w:t>
      </w:r>
      <w:r w:rsidRPr="005D023B" w:rsidR="00297F6D">
        <w:t>All the applicants are Bulgarian nationals of Roma origin.</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12</w:t>
      </w:r>
      <w:r w:rsidRPr="005D023B">
        <w:fldChar w:fldCharType="end"/>
      </w:r>
      <w:r w:rsidRPr="005D023B">
        <w:t>.  Ms Anelia Kunchova Nachova, who was born in 1995, is Mr Angelov</w:t>
      </w:r>
      <w:r w:rsidR="00F2618C">
        <w:t>'</w:t>
      </w:r>
      <w:r w:rsidRPr="005D023B">
        <w:t>s daughter. Ms Aksiniya Hristova, who was born in 1978, is Ms Nachova</w:t>
      </w:r>
      <w:r w:rsidR="00F2618C">
        <w:t>'</w:t>
      </w:r>
      <w:r w:rsidRPr="005D023B">
        <w:t xml:space="preserve">s </w:t>
      </w:r>
      <w:r w:rsidR="00723621">
        <w:t xml:space="preserve">mother. Both live in </w:t>
      </w:r>
      <w:smartTag w:uri="urn:schemas-microsoft-com:office:smarttags" w:element="place">
        <w:smartTag w:uri="urn:schemas-microsoft-com:office:smarttags" w:element="City">
          <w:r w:rsidR="00723621">
            <w:t>Dobrolevo</w:t>
          </w:r>
        </w:smartTag>
        <w:r w:rsidR="00723621">
          <w:t xml:space="preserve">, </w:t>
        </w:r>
        <w:smartTag w:uri="urn:schemas-microsoft-com:office:smarttags" w:element="country-region">
          <w:r w:rsidRPr="005D023B">
            <w:t>Bulgaria</w:t>
          </w:r>
        </w:smartTag>
      </w:smartTag>
      <w:r w:rsidR="00723621">
        <w:t xml:space="preserve">. Ms Todorka </w:t>
      </w:r>
      <w:r w:rsidRPr="005D023B">
        <w:t xml:space="preserve">Petrova Rangelova and Mr Rangel Petkov Rangelov, who were born in 1955 and 1954 respectively and live in </w:t>
      </w:r>
      <w:smartTag w:uri="urn:schemas-microsoft-com:office:smarttags" w:element="place">
        <w:smartTag w:uri="urn:schemas-microsoft-com:office:smarttags" w:element="City">
          <w:r w:rsidRPr="005D023B">
            <w:t>Lom</w:t>
          </w:r>
        </w:smartTag>
        <w:r w:rsidR="00723621">
          <w:t xml:space="preserve">, </w:t>
        </w:r>
        <w:smartTag w:uri="urn:schemas-microsoft-com:office:smarttags" w:element="country-region">
          <w:r w:rsidRPr="005D023B">
            <w:t>Bulgaria</w:t>
          </w:r>
        </w:smartTag>
      </w:smartTag>
      <w:r w:rsidR="00723621">
        <w:t xml:space="preserve">, are Mr </w:t>
      </w:r>
      <w:r w:rsidRPr="005D023B">
        <w:t>Petkov</w:t>
      </w:r>
      <w:r w:rsidR="00F2618C">
        <w:t>'</w:t>
      </w:r>
      <w:r w:rsidRPr="005D023B">
        <w:t>s parents.</w:t>
      </w:r>
    </w:p>
    <w:p w:rsidRPr="005D023B" w:rsidR="00CD49A7" w:rsidRDefault="00CD49A7">
      <w:pPr>
        <w:pStyle w:val="JuHA"/>
      </w:pPr>
      <w:r w:rsidRPr="005D023B">
        <w:t>A.  </w:t>
      </w:r>
      <w:r w:rsidRPr="005D023B" w:rsidR="00297F6D">
        <w:t>Circumstances surrounding the deaths of Mr Angelov and Mr Petkov</w:t>
      </w:r>
    </w:p>
    <w:p w:rsidRPr="005D023B" w:rsidR="00297F6D" w:rsidP="00297F6D" w:rsidRDefault="00CB4D85">
      <w:pPr>
        <w:pStyle w:val="JuParaChar"/>
      </w:pPr>
      <w:r w:rsidRPr="005D023B">
        <w:fldChar w:fldCharType="begin"/>
      </w:r>
      <w:r w:rsidRPr="005D023B">
        <w:instrText xml:space="preserve"> SEQ level0 \*arabic </w:instrText>
      </w:r>
      <w:r w:rsidRPr="005D023B">
        <w:fldChar w:fldCharType="separate"/>
      </w:r>
      <w:r w:rsidR="00D57953">
        <w:rPr>
          <w:noProof/>
        </w:rPr>
        <w:t>13</w:t>
      </w:r>
      <w:r w:rsidRPr="005D023B">
        <w:fldChar w:fldCharType="end"/>
      </w:r>
      <w:r w:rsidRPr="005D023B" w:rsidR="00CD49A7">
        <w:t>.  </w:t>
      </w:r>
      <w:r w:rsidRPr="005D023B" w:rsidR="00297F6D">
        <w:t xml:space="preserve">In 1996 Mr Angelov and </w:t>
      </w:r>
      <w:r w:rsidR="001C4131">
        <w:t xml:space="preserve">Mr Petkov, who were both </w:t>
      </w:r>
      <w:r w:rsidR="00723621">
        <w:t>21</w:t>
      </w:r>
      <w:r w:rsidRPr="005D023B" w:rsidR="00297F6D">
        <w:t xml:space="preserve"> years old, were conscripts in the Construction Force (</w:t>
      </w:r>
      <w:r w:rsidRPr="00723621" w:rsidR="00297F6D">
        <w:rPr>
          <w:i/>
        </w:rPr>
        <w:t>Строителни войски</w:t>
      </w:r>
      <w:r w:rsidRPr="005D023B" w:rsidR="00297F6D">
        <w:t>), a division of the army dealing with the construction of apartment blocks and other civilian projects.</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14</w:t>
      </w:r>
      <w:r w:rsidRPr="005D023B">
        <w:fldChar w:fldCharType="end"/>
      </w:r>
      <w:r w:rsidRPr="005D023B">
        <w:t>.  </w:t>
      </w:r>
      <w:r w:rsidR="00987865">
        <w:t>E</w:t>
      </w:r>
      <w:r w:rsidRPr="005D023B">
        <w:t>arly</w:t>
      </w:r>
      <w:r w:rsidR="00987865">
        <w:t xml:space="preserve"> in</w:t>
      </w:r>
      <w:r w:rsidRPr="005D023B">
        <w:t xml:space="preserve"> 1996 Mr Angelov and Mr Petkov were arrested for </w:t>
      </w:r>
      <w:r w:rsidRPr="005D023B" w:rsidR="00EF3B52">
        <w:t xml:space="preserve">being </w:t>
      </w:r>
      <w:r w:rsidRPr="005D023B">
        <w:t>repeated</w:t>
      </w:r>
      <w:r w:rsidRPr="005D023B" w:rsidR="00EF3B52">
        <w:t>ly</w:t>
      </w:r>
      <w:r w:rsidRPr="005D023B">
        <w:t xml:space="preserve"> absen</w:t>
      </w:r>
      <w:r w:rsidRPr="005D023B" w:rsidR="00EF3B52">
        <w:t>t</w:t>
      </w:r>
      <w:r w:rsidRPr="005D023B">
        <w:t xml:space="preserve"> without leave. On </w:t>
      </w:r>
      <w:smartTag w:uri="urn:schemas-microsoft-com:office:smarttags" w:element="date">
        <w:smartTagPr>
          <w:attr w:name="Month" w:val="5"/>
          <w:attr w:name="Day" w:val="22"/>
          <w:attr w:name="Year" w:val="1996"/>
        </w:smartTagPr>
        <w:r w:rsidRPr="005D023B">
          <w:t>22 May 1996</w:t>
        </w:r>
      </w:smartTag>
      <w:r w:rsidRPr="005D023B">
        <w:t xml:space="preserve"> M</w:t>
      </w:r>
      <w:r w:rsidR="00723621">
        <w:t xml:space="preserve">r Angelov was sentenced to nine </w:t>
      </w:r>
      <w:r w:rsidRPr="005D023B">
        <w:t>months</w:t>
      </w:r>
      <w:r w:rsidR="00F2618C">
        <w:t>'</w:t>
      </w:r>
      <w:r w:rsidRPr="005D023B">
        <w:t xml:space="preserve"> imp</w:t>
      </w:r>
      <w:r w:rsidR="00723621">
        <w:t xml:space="preserve">risonment and Mr Petkov to five </w:t>
      </w:r>
      <w:r w:rsidRPr="005D023B">
        <w:t>month</w:t>
      </w:r>
      <w:r w:rsidRPr="005D023B" w:rsidR="00EF3B52">
        <w:t>s</w:t>
      </w:r>
      <w:r w:rsidR="00F2618C">
        <w:t>'</w:t>
      </w:r>
      <w:r w:rsidRPr="005D023B">
        <w:t xml:space="preserve"> imprisonment. Both had previous convictions for theft.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15</w:t>
      </w:r>
      <w:r w:rsidRPr="005D023B">
        <w:fldChar w:fldCharType="end"/>
      </w:r>
      <w:r w:rsidRPr="005D023B">
        <w:t xml:space="preserve">.  On 15 July 1996 they </w:t>
      </w:r>
      <w:r w:rsidRPr="005D023B" w:rsidR="00EF3B52">
        <w:t>fled</w:t>
      </w:r>
      <w:r w:rsidRPr="005D023B">
        <w:t xml:space="preserve"> from a construction site outside the prison where they had been brought </w:t>
      </w:r>
      <w:r w:rsidR="00AA3EE8">
        <w:t>to</w:t>
      </w:r>
      <w:r w:rsidRPr="005D023B">
        <w:t xml:space="preserve"> work and </w:t>
      </w:r>
      <w:r w:rsidRPr="005D023B" w:rsidR="00EF3B52">
        <w:t>travelled</w:t>
      </w:r>
      <w:r w:rsidRPr="005D023B">
        <w:t xml:space="preserve"> to the home of Mr Angelov</w:t>
      </w:r>
      <w:r w:rsidR="00F2618C">
        <w:t>'</w:t>
      </w:r>
      <w:r w:rsidRPr="005D023B">
        <w:t xml:space="preserve">s grandmother, Ms Tonkova, in the </w:t>
      </w:r>
      <w:smartTag w:uri="urn:schemas-microsoft-com:office:smarttags" w:element="place">
        <w:smartTag w:uri="urn:schemas-microsoft-com:office:smarttags" w:element="PlaceType">
          <w:r w:rsidRPr="005D023B">
            <w:t>village</w:t>
          </w:r>
        </w:smartTag>
        <w:r w:rsidRPr="005D023B">
          <w:t xml:space="preserve"> of </w:t>
        </w:r>
        <w:smartTag w:uri="urn:schemas-microsoft-com:office:smarttags" w:element="PlaceName">
          <w:r w:rsidRPr="005D023B">
            <w:t>Lesura</w:t>
          </w:r>
        </w:smartTag>
      </w:smartTag>
      <w:r w:rsidRPr="005D023B">
        <w:t>. Neither man was armed.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16</w:t>
      </w:r>
      <w:r w:rsidRPr="005D023B">
        <w:fldChar w:fldCharType="end"/>
      </w:r>
      <w:r w:rsidRPr="005D023B">
        <w:t>.  Their absence was reported the following day and their names put on the military police</w:t>
      </w:r>
      <w:r w:rsidR="00F2618C">
        <w:t>'</w:t>
      </w:r>
      <w:r w:rsidRPr="005D023B">
        <w:t xml:space="preserve">s wanted list. A warrant for their arrest was received on </w:t>
      </w:r>
      <w:smartTag w:uri="urn:schemas-microsoft-com:office:smarttags" w:element="date">
        <w:smartTagPr>
          <w:attr w:name="Month" w:val="7"/>
          <w:attr w:name="Day" w:val="16"/>
          <w:attr w:name="Year" w:val="1996"/>
        </w:smartTagPr>
        <w:r w:rsidRPr="005D023B">
          <w:t>16 July 1996</w:t>
        </w:r>
      </w:smartTag>
      <w:r w:rsidRPr="005D023B">
        <w:t xml:space="preserve"> by the Vratsa Military</w:t>
      </w:r>
      <w:r w:rsidR="007F6DB8">
        <w:t xml:space="preserve"> </w:t>
      </w:r>
      <w:r w:rsidRPr="005D023B">
        <w:t>Police Unit.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17</w:t>
      </w:r>
      <w:r w:rsidRPr="005D023B">
        <w:fldChar w:fldCharType="end"/>
      </w:r>
      <w:r w:rsidRPr="005D023B">
        <w:t xml:space="preserve">.  At around twelve </w:t>
      </w:r>
      <w:smartTag w:uri="urn:schemas-microsoft-com:office:smarttags" w:element="time">
        <w:smartTagPr>
          <w:attr w:name="Hour" w:val="12"/>
          <w:attr w:name="Minute" w:val="0"/>
        </w:smartTagPr>
        <w:r w:rsidRPr="005D023B">
          <w:t>noon</w:t>
        </w:r>
      </w:smartTag>
      <w:r w:rsidRPr="005D023B">
        <w:t xml:space="preserve"> on </w:t>
      </w:r>
      <w:smartTag w:uri="urn:schemas-microsoft-com:office:smarttags" w:element="date">
        <w:smartTagPr>
          <w:attr w:name="Month" w:val="7"/>
          <w:attr w:name="Day" w:val="19"/>
          <w:attr w:name="Year" w:val="1996"/>
        </w:smartTagPr>
        <w:r w:rsidRPr="005D023B">
          <w:t>19 July 1996</w:t>
        </w:r>
      </w:smartTag>
      <w:r w:rsidR="00723621">
        <w:t>,</w:t>
      </w:r>
      <w:r w:rsidRPr="005D023B">
        <w:t xml:space="preserve"> the officer on duty in</w:t>
      </w:r>
      <w:r w:rsidR="00723621">
        <w:t xml:space="preserve"> the Vratsa Military </w:t>
      </w:r>
      <w:r w:rsidRPr="005D023B">
        <w:t xml:space="preserve">Police Unit received an anonymous telephone message that Mr Angelov and Mr Petkov were hiding in the </w:t>
      </w:r>
      <w:smartTag w:uri="urn:schemas-microsoft-com:office:smarttags" w:element="place">
        <w:smartTag w:uri="urn:schemas-microsoft-com:office:smarttags" w:element="PlaceType">
          <w:r w:rsidRPr="005D023B">
            <w:t>village</w:t>
          </w:r>
        </w:smartTag>
        <w:r w:rsidRPr="005D023B">
          <w:t xml:space="preserve"> of </w:t>
        </w:r>
        <w:smartTag w:uri="urn:schemas-microsoft-com:office:smarttags" w:element="PlaceName">
          <w:r w:rsidRPr="005D023B">
            <w:t>Lesura</w:t>
          </w:r>
        </w:smartTag>
      </w:smartTag>
      <w:r w:rsidRPr="005D023B">
        <w:t>. On at least one of the previous occasions when he had been absent without leave, it was there that Mr Angelov had been found and arrested.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18</w:t>
      </w:r>
      <w:r w:rsidRPr="005D023B">
        <w:fldChar w:fldCharType="end"/>
      </w:r>
      <w:r w:rsidRPr="005D023B">
        <w:t>.  The commanding officer, Colonel D., decided to dispatch four military police officers, under the command of Major G., to locate and arrest the two men. At least two of the officers knew one or both of them. Major</w:t>
      </w:r>
      <w:r w:rsidR="00723621">
        <w:t xml:space="preserve"> G. apparently knew Lesura because</w:t>
      </w:r>
      <w:r w:rsidRPr="005D023B">
        <w:t>, according to a secretary who worked at the</w:t>
      </w:r>
      <w:r w:rsidR="00723621">
        <w:t xml:space="preserve"> town hall</w:t>
      </w:r>
      <w:r w:rsidRPr="005D023B">
        <w:t xml:space="preserve"> and was heard later as a witness, his mother was from the village.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19</w:t>
      </w:r>
      <w:r w:rsidRPr="005D023B">
        <w:fldChar w:fldCharType="end"/>
      </w:r>
      <w:r w:rsidRPr="005D023B">
        <w:t>.  Colonel D. told the officers that “in accordance with the rules” they should carry their handguns and a</w:t>
      </w:r>
      <w:r w:rsidR="001C4131">
        <w:t>utomatic rifles and wear bullet-</w:t>
      </w:r>
      <w:r w:rsidRPr="005D023B">
        <w:t>proof vests. He informed them that Mr Angelov and Mr Petkov were “criminally</w:t>
      </w:r>
      <w:r w:rsidR="001C4131">
        <w:t xml:space="preserve"> active” (</w:t>
      </w:r>
      <w:r w:rsidRPr="00723621" w:rsidR="001C4131">
        <w:rPr>
          <w:i/>
        </w:rPr>
        <w:t>криминално проявени</w:t>
      </w:r>
      <w:r w:rsidR="001C4131">
        <w:t>) –</w:t>
      </w:r>
      <w:r w:rsidRPr="005D023B">
        <w:t xml:space="preserve"> a</w:t>
      </w:r>
      <w:r w:rsidR="003F3753">
        <w:t>n expression</w:t>
      </w:r>
      <w:r w:rsidRPr="005D023B">
        <w:t xml:space="preserve"> used to denote persons with previous convictions or persons suspected of </w:t>
      </w:r>
      <w:r w:rsidRPr="005D023B" w:rsidR="00EF3B52">
        <w:t xml:space="preserve">an </w:t>
      </w:r>
      <w:r w:rsidR="001C4131">
        <w:t>offence –</w:t>
      </w:r>
      <w:r w:rsidRPr="005D023B">
        <w:t xml:space="preserve"> and that they had escaped from detention. The officers were instructed t</w:t>
      </w:r>
      <w:r w:rsidRPr="005D023B" w:rsidR="00EF3B52">
        <w:t>o use whatever</w:t>
      </w:r>
      <w:r w:rsidRPr="005D023B">
        <w:t xml:space="preserve"> means</w:t>
      </w:r>
      <w:r w:rsidRPr="005D023B" w:rsidR="00EF3B52">
        <w:t xml:space="preserve"> were</w:t>
      </w:r>
      <w:r w:rsidRPr="005D023B">
        <w:t xml:space="preserve"> dictated by the circumstances to arrest them.</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20</w:t>
      </w:r>
      <w:r w:rsidRPr="005D023B">
        <w:fldChar w:fldCharType="end"/>
      </w:r>
      <w:r w:rsidRPr="005D023B">
        <w:t>.  The officers immediately left for Lesura in a jeep. Two officers wore uniforms while the others were in civilian clothes. Only Major G. wore a bullet-proof vest. He was armed with a personal handgun and a 7.62 mm calibre Kalashnikov automatic rifle. The other men carried handguns. Three Kalashnikov automatic rifles remained in the boot of the vehicle throughout the operation.</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21</w:t>
      </w:r>
      <w:r w:rsidRPr="005D023B">
        <w:fldChar w:fldCharType="end"/>
      </w:r>
      <w:r w:rsidRPr="005D023B">
        <w:t>.  The officers were briefed orally by Major G. on their way to Lesura. Sergeant N. was to cover the east side of the house, Major G. the west side and Sergeant K. was to go into the house. Sergeant S., the driver, was to remain with the vehicle and keep watch over the north side.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22</w:t>
      </w:r>
      <w:r w:rsidRPr="005D023B">
        <w:fldChar w:fldCharType="end"/>
      </w:r>
      <w:r w:rsidRPr="005D023B">
        <w:t xml:space="preserve">.  At around </w:t>
      </w:r>
      <w:smartTag w:uri="urn:schemas-microsoft-com:office:smarttags" w:element="time">
        <w:smartTagPr>
          <w:attr w:name="Hour" w:val="13"/>
          <w:attr w:name="Minute" w:val="0"/>
        </w:smartTagPr>
        <w:r w:rsidRPr="005D023B">
          <w:t>1 p.m.</w:t>
        </w:r>
      </w:smartTag>
      <w:r w:rsidRPr="005D023B">
        <w:t xml:space="preserve"> the officers arrived in Lesura. They asked a secretary at the town hall and one of the vill</w:t>
      </w:r>
      <w:r w:rsidR="00723621">
        <w:t>agers, Mr T.</w:t>
      </w:r>
      <w:r w:rsidRPr="005D023B">
        <w:t>M., to join them and show them Mr Angelov</w:t>
      </w:r>
      <w:r w:rsidR="00F2618C">
        <w:t>'</w:t>
      </w:r>
      <w:r w:rsidRPr="005D023B">
        <w:t>s grandmother</w:t>
      </w:r>
      <w:r w:rsidR="00F2618C">
        <w:t>'</w:t>
      </w:r>
      <w:r w:rsidRPr="005D023B">
        <w:t>s house. The vehicle drove into Lesura</w:t>
      </w:r>
      <w:r w:rsidR="00F2618C">
        <w:t>'</w:t>
      </w:r>
      <w:r w:rsidRPr="005D023B">
        <w:t>s Roma district.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23</w:t>
      </w:r>
      <w:r w:rsidRPr="005D023B">
        <w:fldChar w:fldCharType="end"/>
      </w:r>
      <w:r w:rsidRPr="005D023B">
        <w:t>.  Sergeant N. recognised the house since he had previously arrested Mr Angelov there for being absent without leave.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24</w:t>
      </w:r>
      <w:r w:rsidRPr="005D023B">
        <w:fldChar w:fldCharType="end"/>
      </w:r>
      <w:r w:rsidRPr="005D023B">
        <w:t>.  As soon as the jeep drew up in fro</w:t>
      </w:r>
      <w:r w:rsidR="00723621">
        <w:t>nt of the house</w:t>
      </w:r>
      <w:r w:rsidR="00572E20">
        <w:t>,</w:t>
      </w:r>
      <w:r w:rsidR="00723621">
        <w:t xml:space="preserve"> between 1</w:t>
      </w:r>
      <w:r w:rsidRPr="005D023B">
        <w:t xml:space="preserve"> and 1.30 p.m., Sergeant K. recognised Mr Angelov, who was inside, behind the window. Having noticed the vehicle, the fugitives tried to escape. The offic</w:t>
      </w:r>
      <w:r w:rsidR="00723621">
        <w:t xml:space="preserve">ers heard the sound of a window </w:t>
      </w:r>
      <w:r w:rsidRPr="005D023B">
        <w:t>pane being broken. Major G. and Sergeants K. and N. jumped out of the vehicle while it was still moving. Major G. and Sergeant K. went through the garden gate, the former going to the west side of the house, and the latter entering the house. Sergeant N. headed to</w:t>
      </w:r>
      <w:r w:rsidR="00572E20">
        <w:t>wards</w:t>
      </w:r>
      <w:r w:rsidRPr="005D023B">
        <w:t xml:space="preserve"> the east side of the house. Sergeant S. remained with the car, together with the secretary who wo</w:t>
      </w:r>
      <w:r w:rsidR="00723621">
        <w:t>rked at the town hall and Mr T.</w:t>
      </w:r>
      <w:r w:rsidRPr="005D023B">
        <w:t>M.</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25</w:t>
      </w:r>
      <w:r w:rsidRPr="005D023B">
        <w:fldChar w:fldCharType="end"/>
      </w:r>
      <w:r w:rsidRPr="005D023B">
        <w:t>.  Sergeant N. later testified that, having noticed Mr Angelov and Mr Petkov escaping through the window and running towards a neighbour</w:t>
      </w:r>
      <w:r w:rsidR="00F2618C">
        <w:t>'</w:t>
      </w:r>
      <w:r w:rsidRPr="005D023B">
        <w:t>s yard, he had sh</w:t>
      </w:r>
      <w:r w:rsidR="00723621">
        <w:t>outed: “Stop, military police!”</w:t>
      </w:r>
      <w:r w:rsidRPr="005D023B">
        <w:t xml:space="preserve"> He had pulled out his gun, but </w:t>
      </w:r>
      <w:r w:rsidRPr="005D023B" w:rsidR="00B24D17">
        <w:t xml:space="preserve">had </w:t>
      </w:r>
      <w:r w:rsidRPr="005D023B">
        <w:t>not fired any shots. The two men h</w:t>
      </w:r>
      <w:r w:rsidR="001460E0">
        <w:t>ad carried on running. Sergeant</w:t>
      </w:r>
      <w:r w:rsidR="00C822B0">
        <w:t xml:space="preserve"> </w:t>
      </w:r>
      <w:r w:rsidRPr="005D023B">
        <w:t xml:space="preserve">N. had run out on to the street in an effort to intercept them by </w:t>
      </w:r>
      <w:r w:rsidR="00C822B0">
        <w:t>cutting past</w:t>
      </w:r>
      <w:r w:rsidRPr="005D023B">
        <w:t xml:space="preserve"> several houses. While running, he had heard Major G. shout: “Freeze, military police, freeze [or] I</w:t>
      </w:r>
      <w:r w:rsidR="00F2618C">
        <w:t>'</w:t>
      </w:r>
      <w:r w:rsidR="00C822B0">
        <w:t>ll shoot!”</w:t>
      </w:r>
      <w:r w:rsidRPr="005D023B">
        <w:t xml:space="preserve"> It was then that the shooting had started.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26</w:t>
      </w:r>
      <w:r w:rsidRPr="005D023B">
        <w:fldChar w:fldCharType="end"/>
      </w:r>
      <w:r w:rsidRPr="005D023B">
        <w:t>.  Major G. stated in his testimony:</w:t>
      </w:r>
    </w:p>
    <w:p w:rsidRPr="005D023B" w:rsidR="00297F6D" w:rsidP="00297F6D" w:rsidRDefault="00297F6D">
      <w:pPr>
        <w:pStyle w:val="JuQuot"/>
      </w:pPr>
      <w:r w:rsidRPr="005D023B">
        <w:t>“...</w:t>
      </w:r>
      <w:r w:rsidR="001460E0">
        <w:rPr>
          <w:lang w:val="bg-BG"/>
        </w:rPr>
        <w:t xml:space="preserve"> </w:t>
      </w:r>
      <w:r w:rsidRPr="005D023B">
        <w:t xml:space="preserve">I heard Sergeant N. shouting: </w:t>
      </w:r>
      <w:r w:rsidR="00F2618C">
        <w:t>'</w:t>
      </w:r>
      <w:r w:rsidRPr="005D023B">
        <w:t>Freeze, police</w:t>
      </w:r>
      <w:r w:rsidR="00F2618C">
        <w:t>'</w:t>
      </w:r>
      <w:r w:rsidR="00C822B0">
        <w:t xml:space="preserve"> </w:t>
      </w:r>
      <w:r w:rsidRPr="005D023B">
        <w:t>...</w:t>
      </w:r>
      <w:r w:rsidR="001460E0">
        <w:rPr>
          <w:lang w:val="bg-BG"/>
        </w:rPr>
        <w:t xml:space="preserve"> </w:t>
      </w:r>
      <w:r w:rsidRPr="005D023B">
        <w:t xml:space="preserve">I saw the </w:t>
      </w:r>
      <w:r w:rsidR="00572E20">
        <w:t>conscripts</w:t>
      </w:r>
      <w:r w:rsidRPr="005D023B">
        <w:t>; they were running and then stopped in front of the fence between Ms Tonkova</w:t>
      </w:r>
      <w:r w:rsidR="00F2618C">
        <w:t>'</w:t>
      </w:r>
      <w:r w:rsidRPr="005D023B">
        <w:t>s and the neighbour</w:t>
      </w:r>
      <w:r w:rsidR="00F2618C">
        <w:t>'</w:t>
      </w:r>
      <w:r w:rsidRPr="005D023B">
        <w:t>s yards</w:t>
      </w:r>
      <w:r w:rsidR="00C822B0">
        <w:t xml:space="preserve"> </w:t>
      </w:r>
      <w:r w:rsidRPr="005D023B">
        <w:t xml:space="preserve">... I saw that they were trying to jump over the [chain-link] fence, so I shouted: </w:t>
      </w:r>
      <w:r w:rsidR="00F2618C">
        <w:t>'</w:t>
      </w:r>
      <w:r w:rsidRPr="005D023B">
        <w:t>Freeze, or I</w:t>
      </w:r>
      <w:r w:rsidR="00F2618C">
        <w:t>'</w:t>
      </w:r>
      <w:r w:rsidRPr="005D023B">
        <w:t>ll shoot</w:t>
      </w:r>
      <w:r w:rsidR="00C822B0">
        <w:t>!</w:t>
      </w:r>
      <w:r w:rsidR="00F2618C">
        <w:t>'</w:t>
      </w:r>
      <w:r w:rsidRPr="005D023B">
        <w:t xml:space="preserve"> I rel</w:t>
      </w:r>
      <w:r w:rsidR="00C822B0">
        <w:t xml:space="preserve">eased the safety </w:t>
      </w:r>
      <w:r w:rsidRPr="005D023B">
        <w:t>catch and loaded the automatic gun. Then I fired a shot in the air, holding the automatic rifle upwards with my right hand, almost perpendicular to the ground</w:t>
      </w:r>
      <w:r w:rsidR="00C822B0">
        <w:t xml:space="preserve"> </w:t>
      </w:r>
      <w:r w:rsidRPr="005D023B">
        <w:t xml:space="preserve">... The </w:t>
      </w:r>
      <w:r w:rsidR="00572E20">
        <w:t>conscripts</w:t>
      </w:r>
      <w:r w:rsidRPr="005D023B">
        <w:t xml:space="preserve"> climbed over the [chain-link] fence and continued to run, I followed them, then I fired one, two or three more times in the air and shouted: </w:t>
      </w:r>
      <w:r w:rsidR="00F2618C">
        <w:t>'</w:t>
      </w:r>
      <w:r w:rsidRPr="005D023B">
        <w:t>Freeze!</w:t>
      </w:r>
      <w:r w:rsidR="00F2618C">
        <w:t>'</w:t>
      </w:r>
      <w:r w:rsidRPr="005D023B">
        <w:t xml:space="preserve">, but they continued running. I again fired shots in the air with the automatic and shouted: </w:t>
      </w:r>
      <w:r w:rsidR="00F2618C">
        <w:t>'</w:t>
      </w:r>
      <w:r w:rsidRPr="005D023B">
        <w:t xml:space="preserve">Freeze, or I </w:t>
      </w:r>
      <w:r w:rsidR="009E622C">
        <w:t>will shoot with live cartridges</w:t>
      </w:r>
      <w:r w:rsidR="00AA3EE8">
        <w:t>.</w:t>
      </w:r>
      <w:r w:rsidR="00F2618C">
        <w:t>'</w:t>
      </w:r>
      <w:r w:rsidRPr="005D023B">
        <w:t xml:space="preserve"> I warned them again, but they continued running without turning back. I fired to the right [of the two men] with the automatic after the warning, aiming at the ground, hoping that this would make them</w:t>
      </w:r>
      <w:r w:rsidR="009E622C">
        <w:t xml:space="preserve"> stop running. I again shouted </w:t>
      </w:r>
      <w:r w:rsidR="00F2618C">
        <w:t>'</w:t>
      </w:r>
      <w:r w:rsidR="009E622C">
        <w:t>Freeze!</w:t>
      </w:r>
      <w:r w:rsidR="00F2618C">
        <w:t>'</w:t>
      </w:r>
      <w:r w:rsidRPr="005D023B">
        <w:t xml:space="preserve"> when they were at the corner of the other house and then I aimed and fired at them as they were scaling the fence. I aimed at their feet. The ground where I stood was at a lower level</w:t>
      </w:r>
      <w:r w:rsidR="009E622C">
        <w:t xml:space="preserve"> </w:t>
      </w:r>
      <w:r w:rsidRPr="005D023B">
        <w:t xml:space="preserve">... [B]y jumping over the second fence they would have escaped and I did not have any other means of stopping them. The gradient there was a bit steep, [I] was standing on lower ground ... the second fence was on the highest ground, that is why when I fired the first time I aimed to the side [of the two men], as I considered that nobody from the neighbouring houses would be hurt, and the second time I aimed at the </w:t>
      </w:r>
      <w:r w:rsidR="00572E20">
        <w:t>conscripts</w:t>
      </w:r>
      <w:r w:rsidRPr="005D023B">
        <w:t xml:space="preserve">, but fired </w:t>
      </w:r>
      <w:r w:rsidR="001C4131">
        <w:t xml:space="preserve">at their feet. Under Regulation </w:t>
      </w:r>
      <w:r w:rsidRPr="005D023B">
        <w:t>45 we can use firearms to arrest members of the military forces who have committed a publicly prosecut</w:t>
      </w:r>
      <w:r w:rsidR="00554856">
        <w:t>able</w:t>
      </w:r>
      <w:r w:rsidRPr="005D023B">
        <w:t xml:space="preserve"> offence and do not surrender after a warning, but in accordance with paragraph 3 of [that regulation] we have to protect the lives of the persons against whom [we use firearms] – for that reason I fired at [the victims</w:t>
      </w:r>
      <w:r w:rsidR="00F2618C">
        <w:t>'</w:t>
      </w:r>
      <w:r w:rsidRPr="005D023B">
        <w:t xml:space="preserve">] feet – with the intention of avoiding fatal injury. The last time that I shot at the </w:t>
      </w:r>
      <w:r w:rsidR="00572E20">
        <w:t>conscripts</w:t>
      </w:r>
      <w:r w:rsidR="00F2618C">
        <w:t>'</w:t>
      </w:r>
      <w:r w:rsidR="009E622C">
        <w:t xml:space="preserve"> feet, I was twenty</w:t>
      </w:r>
      <w:r w:rsidRPr="005D023B">
        <w:t xml:space="preserve"> metres away from them and they were exactly at the south-east corner of the neighbouring yard. After the shooting they both fell down</w:t>
      </w:r>
      <w:r w:rsidR="009E622C">
        <w:t xml:space="preserve"> </w:t>
      </w:r>
      <w:r w:rsidRPr="005D023B">
        <w:t>...They were both lying on their stomachs, and both gave signs of life, ... moaning ... then Sergeant S. appeared, I called him ... and handed him my automatic rifle</w:t>
      </w:r>
      <w:r w:rsidR="009E622C">
        <w:t xml:space="preserve"> </w:t>
      </w:r>
      <w:r w:rsidRPr="005D023B">
        <w: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27</w:t>
      </w:r>
      <w:r w:rsidRPr="005D023B">
        <w:fldChar w:fldCharType="end"/>
      </w:r>
      <w:r w:rsidRPr="005D023B">
        <w:t xml:space="preserve">.  According to the statements of the three subordinate officers, Mr Angelov and Mr Petkov were lying on the ground in front of the fence, with their legs pointing </w:t>
      </w:r>
      <w:r w:rsidR="00554856">
        <w:t>in</w:t>
      </w:r>
      <w:r w:rsidRPr="005D023B" w:rsidR="00554856">
        <w:t xml:space="preserve"> </w:t>
      </w:r>
      <w:r w:rsidRPr="005D023B">
        <w:t>the direction of the house from which they had come. One of them was lying on his back and the other on his stomach.</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28</w:t>
      </w:r>
      <w:r w:rsidRPr="005D023B">
        <w:fldChar w:fldCharType="end"/>
      </w:r>
      <w:r w:rsidRPr="005D023B">
        <w:t>.  A neighbour, Mr Z., who lived opposite Mr Angelov</w:t>
      </w:r>
      <w:r w:rsidR="00F2618C">
        <w:t>'</w:t>
      </w:r>
      <w:r w:rsidRPr="005D023B">
        <w:t>s grandmother, a</w:t>
      </w:r>
      <w:r w:rsidR="009E622C">
        <w:t>lso gave evidence. At about 1</w:t>
      </w:r>
      <w:r w:rsidRPr="005D023B">
        <w:t xml:space="preserve"> or </w:t>
      </w:r>
      <w:smartTag w:uri="urn:schemas-microsoft-com:office:smarttags" w:element="time">
        <w:smartTagPr>
          <w:attr w:name="Hour" w:val="13"/>
          <w:attr w:name="Minute" w:val="30"/>
        </w:smartTagPr>
        <w:r w:rsidRPr="005D023B">
          <w:t>1.30 p.m.</w:t>
        </w:r>
      </w:smartTag>
      <w:r w:rsidRPr="005D023B">
        <w:t xml:space="preserve"> he had seen a military jeep pull up in front of Ms Tonkova</w:t>
      </w:r>
      <w:r w:rsidR="00F2618C">
        <w:t>'</w:t>
      </w:r>
      <w:r w:rsidRPr="005D023B">
        <w:t>s house. Then he had heard somebody shout: “Don</w:t>
      </w:r>
      <w:r w:rsidR="00F2618C">
        <w:t>'</w:t>
      </w:r>
      <w:r w:rsidRPr="005D023B">
        <w:t>t run, I am using live cartridges</w:t>
      </w:r>
      <w:r w:rsidR="009E622C">
        <w:t>.”</w:t>
      </w:r>
      <w:r w:rsidRPr="005D023B">
        <w:t xml:space="preserve"> He had then heard shots. He had looked into the next yard and seen Mr Angelov, whom he knew, and another man leap over the chain-link fence between Ms Tonkova</w:t>
      </w:r>
      <w:r w:rsidR="00F2618C">
        <w:t>'</w:t>
      </w:r>
      <w:r w:rsidRPr="005D023B">
        <w:t>s and another neighbour</w:t>
      </w:r>
      <w:r w:rsidR="00F2618C">
        <w:t>'</w:t>
      </w:r>
      <w:r w:rsidRPr="005D023B">
        <w:t>s yards. He had not seen the man who had shout</w:t>
      </w:r>
      <w:r w:rsidR="00CB5DAF">
        <w:t>ed</w:t>
      </w:r>
      <w:r w:rsidRPr="005D023B">
        <w:t xml:space="preserve"> as he was </w:t>
      </w:r>
      <w:r w:rsidR="00CB5DAF">
        <w:t xml:space="preserve">hidden from view </w:t>
      </w:r>
      <w:r w:rsidRPr="005D023B">
        <w:t>behind Ms Tonkova</w:t>
      </w:r>
      <w:r w:rsidR="00F2618C">
        <w:t>'</w:t>
      </w:r>
      <w:r w:rsidRPr="005D023B">
        <w:t>s house. Then he had seen Mr</w:t>
      </w:r>
      <w:r w:rsidR="00C602A2">
        <w:t> </w:t>
      </w:r>
      <w:r w:rsidRPr="005D023B">
        <w:t>Angelov and Mr Petkov fall to the ground and the man who had shot them emerge, holding an automatic rifle. Mr Z. further stated:</w:t>
      </w:r>
    </w:p>
    <w:p w:rsidRPr="005D023B" w:rsidR="00297F6D" w:rsidP="00297F6D" w:rsidRDefault="00297F6D">
      <w:pPr>
        <w:pStyle w:val="JuQuot"/>
      </w:pPr>
      <w:r w:rsidRPr="005D023B">
        <w:t>“The other men in uniform then started remonstrating with [the man who had shot Mr Angelov and Mr Petkov] telling him that he should not have fired, that he should not have come with them. Of those who came in the jeep, only the senior officer fired ... I know him by sight, he has relatives in Lesura</w:t>
      </w:r>
      <w:r w:rsidR="009E622C">
        <w: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29</w:t>
      </w:r>
      <w:r w:rsidRPr="005D023B">
        <w:fldChar w:fldCharType="end"/>
      </w:r>
      <w:r w:rsidR="009E622C">
        <w:t xml:space="preserve">.  Sergeant S. stated that </w:t>
      </w:r>
      <w:r w:rsidRPr="005D023B">
        <w:t xml:space="preserve">on arriving at the house he had remained with the vehicle and had heard Sergeant N. shouting from the east side </w:t>
      </w:r>
      <w:r w:rsidR="009E622C">
        <w:t>of the house: “Freeze, police!”</w:t>
      </w:r>
      <w:r w:rsidRPr="005D023B">
        <w:t xml:space="preserve"> He had also heard Major G. shout </w:t>
      </w:r>
      <w:r w:rsidRPr="005D023B" w:rsidR="009E622C">
        <w:t xml:space="preserve">“Freeze, police!” </w:t>
      </w:r>
      <w:r w:rsidR="009E622C">
        <w:t>several times</w:t>
      </w:r>
      <w:r w:rsidRPr="005D023B">
        <w:t xml:space="preserve"> from the west side of the house. Then Major G. had started shooting with his automatic weapon, while continuing to shout. Sergeant S. had then entered the yard. He had seen Major G. leap over the chain-link fence and heard him shouting. He had gone up to him, had taken his automatic rifle and seen Mr Angelov and Mr Petkov lying on the ground next to the fence. They were still alive. At that moment Sergeant K. had come out of the house. Major G. had gone to get the jeep and had reported the </w:t>
      </w:r>
      <w:r w:rsidR="004728E2">
        <w:t>incident</w:t>
      </w:r>
      <w:r w:rsidRPr="005D023B" w:rsidR="004728E2">
        <w:t xml:space="preserve"> </w:t>
      </w:r>
      <w:r w:rsidRPr="005D023B">
        <w:t>over the vehicle radio. When they returned, Sergeant N. had appeared from the neighbouring street and helped them put the wounded men in the vehicle.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30</w:t>
      </w:r>
      <w:r w:rsidRPr="005D023B">
        <w:fldChar w:fldCharType="end"/>
      </w:r>
      <w:r w:rsidRPr="005D023B">
        <w:t>.  </w:t>
      </w:r>
      <w:r w:rsidR="009E622C">
        <w:t xml:space="preserve">The head of the Vratsa Military </w:t>
      </w:r>
      <w:r w:rsidRPr="005D023B">
        <w:t xml:space="preserve">Police Unit and other officers were informed </w:t>
      </w:r>
      <w:r w:rsidR="00554CB0">
        <w:t>of</w:t>
      </w:r>
      <w:r w:rsidRPr="005D023B" w:rsidR="00554CB0">
        <w:t xml:space="preserve"> </w:t>
      </w:r>
      <w:r w:rsidRPr="005D023B">
        <w:t xml:space="preserve">the incident at around </w:t>
      </w:r>
      <w:smartTag w:uri="urn:schemas-microsoft-com:office:smarttags" w:element="time">
        <w:smartTagPr>
          <w:attr w:name="Hour" w:val="13"/>
          <w:attr w:name="Minute" w:val="30"/>
        </w:smartTagPr>
        <w:r w:rsidRPr="005D023B">
          <w:t>1.30 p.m.</w:t>
        </w:r>
      </w:smartTag>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31</w:t>
      </w:r>
      <w:r w:rsidRPr="005D023B">
        <w:fldChar w:fldCharType="end"/>
      </w:r>
      <w:r w:rsidRPr="005D023B">
        <w:t>.  Sergeant K. testified that he had entered the house and had been speaking to Mr Angelov</w:t>
      </w:r>
      <w:r w:rsidR="00F2618C">
        <w:t>'</w:t>
      </w:r>
      <w:r w:rsidRPr="005D023B">
        <w:t xml:space="preserve">s grandmother and another woman when he heard Major G. shouting at </w:t>
      </w:r>
      <w:r w:rsidR="009E622C">
        <w:t>Mr Angelov and Mr Petkov to stop</w:t>
      </w:r>
      <w:r w:rsidRPr="005D023B">
        <w:t>. In the hous</w:t>
      </w:r>
      <w:r w:rsidR="009E622C">
        <w:t xml:space="preserve">e, he had noticed that a window </w:t>
      </w:r>
      <w:r w:rsidRPr="005D023B">
        <w:t>pane in the room overlooking the yard had been broken. He had been on the verge of leaving the house when he heard shooting coming from behind the house. On his way to the yard he had met Major G., who had told him that the fugitives had been wounded. Sergeant K. had then climbed over the chain-link fence and approached the wounded men, who were still alive and moaning. He had found himself holding the automatic rifle, but could not remember how it had come into his possession. He had opened the magazine and seen no cartridges in it. There was only one cartridge left in the barrel.</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32</w:t>
      </w:r>
      <w:r w:rsidRPr="005D023B">
        <w:fldChar w:fldCharType="end"/>
      </w:r>
      <w:r w:rsidRPr="005D023B">
        <w:t xml:space="preserve">.  Immediately after the shooting, a number of people from the vicinity gathered. Sergeant K. and Sergeant S. took the wounded men to </w:t>
      </w:r>
      <w:smartTag w:uri="urn:schemas-microsoft-com:office:smarttags" w:element="place">
        <w:smartTag w:uri="urn:schemas-microsoft-com:office:smarttags" w:element="PlaceName">
          <w:r w:rsidRPr="005D023B">
            <w:t>Vratsa</w:t>
          </w:r>
        </w:smartTag>
        <w:r w:rsidRPr="005D023B">
          <w:t xml:space="preserve"> </w:t>
        </w:r>
        <w:smartTag w:uri="urn:schemas-microsoft-com:office:smarttags" w:element="PlaceType">
          <w:r w:rsidRPr="005D023B">
            <w:t>Hospital</w:t>
          </w:r>
        </w:smartTag>
      </w:smartTag>
      <w:r w:rsidRPr="005D023B">
        <w:t>, while Major G. and Sergeant N. remained at the scene.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33</w:t>
      </w:r>
      <w:r w:rsidRPr="005D023B">
        <w:fldChar w:fldCharType="end"/>
      </w:r>
      <w:r w:rsidRPr="005D023B">
        <w:t xml:space="preserve">.  Mr Angelov and Mr Petkov died on the way to </w:t>
      </w:r>
      <w:smartTag w:uri="urn:schemas-microsoft-com:office:smarttags" w:element="place">
        <w:smartTag w:uri="urn:schemas-microsoft-com:office:smarttags" w:element="City">
          <w:r w:rsidRPr="005D023B">
            <w:t>Vratsa</w:t>
          </w:r>
        </w:smartTag>
      </w:smartTag>
      <w:r w:rsidRPr="005D023B">
        <w:t>. They were pronounced dead on arrival at the hospital.</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34</w:t>
      </w:r>
      <w:r w:rsidRPr="005D023B">
        <w:fldChar w:fldCharType="end"/>
      </w:r>
      <w:r w:rsidRPr="005D023B">
        <w:t>.  Mr Angelov</w:t>
      </w:r>
      <w:r w:rsidR="00F2618C">
        <w:t>'</w:t>
      </w:r>
      <w:r w:rsidRPr="005D023B">
        <w:t xml:space="preserve">s grandmother, Ms Tonkova, gave the following </w:t>
      </w:r>
      <w:r w:rsidRPr="005D023B" w:rsidR="00EF3B52">
        <w:t>account</w:t>
      </w:r>
      <w:r w:rsidR="00AA3EE8">
        <w:t xml:space="preserve"> of the events.</w:t>
      </w:r>
      <w:r w:rsidRPr="005D023B">
        <w:t xml:space="preserve"> Her grandson and Mr Petkov had been in her house when they had noticed a jeep approaching. She had gone outside and seen four men in uniform. They had all entered the yard</w:t>
      </w:r>
      <w:r w:rsidR="00EB5F89">
        <w:t>.</w:t>
      </w:r>
      <w:r w:rsidRPr="005D023B">
        <w:t xml:space="preserve"> </w:t>
      </w:r>
      <w:r w:rsidRPr="005D023B" w:rsidR="00EB5F89">
        <w:t xml:space="preserve">One </w:t>
      </w:r>
      <w:r w:rsidRPr="005D023B">
        <w:t>of them had gone round the house and started shooting with an automatic rifle for a very long time. The other three men were also armed but had not fired any shots. She had been in the yard, pleading with the man who had been shooting to stop. However, he had walked towards the back of the house. Then she had heard shooting in the backyard. She had followed and then seen her grandson and Mr Petkov lying in the neighbours</w:t>
      </w:r>
      <w:r w:rsidR="00F2618C">
        <w:t>'</w:t>
      </w:r>
      <w:r w:rsidRPr="005D023B">
        <w:t xml:space="preserve"> yard with bullet wounds.</w:t>
      </w:r>
    </w:p>
    <w:p w:rsidRPr="005D023B" w:rsidR="00CD49A7"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35</w:t>
      </w:r>
      <w:r w:rsidRPr="005D023B">
        <w:fldChar w:fldCharType="end"/>
      </w:r>
      <w:r w:rsidRPr="005D023B">
        <w:t xml:space="preserve">.  According to another neighbour, Mr M.M., all three policemen were shooting. Two of them had fired shots in the air and the third officer – who had been on the west side of the house (Major G.) – had been aiming at someone. Mr M.M. had heard some fifteen to twenty shots, perhaps more. Then he had seen the military policemen go to the neighbouring yard, where Mr Angelov and Mr Petkov had fallen. That yard belonged to Mr M.M. and his daughter. On seeing his grandson – a young boy – standing there, Mr M.M. had asked Major G. for permission to approach and </w:t>
      </w:r>
      <w:r w:rsidRPr="005D023B" w:rsidR="00EF3B52">
        <w:t>to take him away</w:t>
      </w:r>
      <w:r w:rsidRPr="005D023B">
        <w:t>. Major G. had pointed his gun at him in a brutal manner and had insulted him, saying: “You damn Gypsies!”</w:t>
      </w:r>
      <w:r w:rsidR="00602C4D">
        <w:t xml:space="preserve"> </w:t>
      </w:r>
      <w:r w:rsidR="00602C4D">
        <w:rPr>
          <w:lang w:val="bg-BG"/>
        </w:rPr>
        <w:t>(</w:t>
      </w:r>
      <w:r w:rsidR="002E7897">
        <w:rPr>
          <w:lang w:val="bg-BG"/>
        </w:rPr>
        <w:t>“</w:t>
      </w:r>
      <w:r w:rsidRPr="009E622C" w:rsidR="00602C4D">
        <w:rPr>
          <w:i/>
          <w:lang w:val="bg-BG"/>
        </w:rPr>
        <w:t>мамка ви циганска</w:t>
      </w:r>
      <w:r w:rsidR="002E7897">
        <w:rPr>
          <w:lang w:val="bg-BG"/>
        </w:rPr>
        <w:t>”</w:t>
      </w:r>
      <w:r w:rsidR="00602C4D">
        <w:rPr>
          <w:lang w:val="bg-BG"/>
        </w:rPr>
        <w:t>)</w:t>
      </w:r>
      <w:r w:rsidRPr="005D023B">
        <w:t>.</w:t>
      </w:r>
    </w:p>
    <w:p w:rsidRPr="005D023B" w:rsidR="00CD49A7" w:rsidRDefault="00CD49A7">
      <w:pPr>
        <w:pStyle w:val="JuHA"/>
      </w:pPr>
      <w:r w:rsidRPr="005D023B">
        <w:t>B.  </w:t>
      </w:r>
      <w:r w:rsidRPr="005D023B" w:rsidR="00297F6D">
        <w:t>The investigation into the deaths</w:t>
      </w:r>
    </w:p>
    <w:p w:rsidRPr="005D023B" w:rsidR="00297F6D" w:rsidP="00297F6D" w:rsidRDefault="00CB4D85">
      <w:pPr>
        <w:pStyle w:val="JuParaChar"/>
      </w:pPr>
      <w:r w:rsidRPr="005D023B">
        <w:fldChar w:fldCharType="begin"/>
      </w:r>
      <w:r w:rsidRPr="005D023B">
        <w:instrText xml:space="preserve"> SEQ level0 \*arabic </w:instrText>
      </w:r>
      <w:r w:rsidRPr="005D023B">
        <w:fldChar w:fldCharType="separate"/>
      </w:r>
      <w:r w:rsidR="00D57953">
        <w:rPr>
          <w:noProof/>
        </w:rPr>
        <w:t>36</w:t>
      </w:r>
      <w:r w:rsidRPr="005D023B">
        <w:fldChar w:fldCharType="end"/>
      </w:r>
      <w:r w:rsidRPr="005D023B" w:rsidR="00CD49A7">
        <w:t>.  </w:t>
      </w:r>
      <w:r w:rsidRPr="005D023B" w:rsidR="00297F6D">
        <w:t xml:space="preserve">On </w:t>
      </w:r>
      <w:smartTag w:uri="urn:schemas-microsoft-com:office:smarttags" w:element="date">
        <w:smartTagPr>
          <w:attr w:name="Month" w:val="7"/>
          <w:attr w:name="Day" w:val="19"/>
          <w:attr w:name="Year" w:val="1996"/>
        </w:smartTagPr>
        <w:r w:rsidR="00297F6D" w:rsidRPr="005D023B">
          <w:t>19 July 1996</w:t>
        </w:r>
      </w:smartTag>
      <w:r w:rsidRPr="005D023B" w:rsidR="00297F6D">
        <w:t xml:space="preserve"> all the officers involved made separate reports </w:t>
      </w:r>
      <w:r w:rsidR="00DB208E">
        <w:t>on the incident</w:t>
      </w:r>
      <w:r w:rsidR="009E622C">
        <w:t xml:space="preserve"> to the Vratsa Military </w:t>
      </w:r>
      <w:r w:rsidRPr="005D023B" w:rsidR="00297F6D">
        <w:t>Police Unit. None of them was tested for alcohol.</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37</w:t>
      </w:r>
      <w:r w:rsidRPr="005D023B">
        <w:fldChar w:fldCharType="end"/>
      </w:r>
      <w:r w:rsidRPr="005D023B">
        <w:t>.  A criminal investigation into the deaths was opened the same day</w:t>
      </w:r>
      <w:r w:rsidR="009E622C">
        <w:t>, and between 4</w:t>
      </w:r>
      <w:r w:rsidRPr="005D023B">
        <w:t xml:space="preserve"> and </w:t>
      </w:r>
      <w:smartTag w:uri="urn:schemas-microsoft-com:office:smarttags" w:element="time">
        <w:smartTagPr>
          <w:attr w:name="Hour" w:val="16"/>
          <w:attr w:name="Minute" w:val="30"/>
        </w:smartTagPr>
        <w:r w:rsidRPr="005D023B">
          <w:t>4.30 p.m.</w:t>
        </w:r>
      </w:smartTag>
      <w:r w:rsidRPr="005D023B">
        <w:t xml:space="preserve"> a military investigator inspected the scene. In his report he described the scene, including the respective positions of Ms</w:t>
      </w:r>
      <w:r w:rsidR="00572E20">
        <w:t> </w:t>
      </w:r>
      <w:r w:rsidRPr="005D023B">
        <w:t>Tonkova</w:t>
      </w:r>
      <w:r w:rsidR="00F2618C">
        <w:t>'</w:t>
      </w:r>
      <w:r w:rsidRPr="005D023B">
        <w:t>s house, the first chain-link fence, and the spent cartridges and bloodstains found there. He indicated that the structure of the first chain-link fence was damaged and the fence had been torn down in one place.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38</w:t>
      </w:r>
      <w:r w:rsidRPr="005D023B">
        <w:fldChar w:fldCharType="end"/>
      </w:r>
      <w:r w:rsidRPr="005D023B">
        <w:t>.  A sketch map was appended to the report. It showed the yard of Ms Tonkova</w:t>
      </w:r>
      <w:r w:rsidR="00F2618C">
        <w:t>'</w:t>
      </w:r>
      <w:r w:rsidRPr="005D023B">
        <w:t>s house and the neighbouring yard where Mr Angelov and Mr Petkov had fallen. The places where spent cartridges had been f</w:t>
      </w:r>
      <w:r w:rsidR="009E622C">
        <w:t xml:space="preserve">ound were indicated. The sketch </w:t>
      </w:r>
      <w:r w:rsidRPr="005D023B">
        <w:t>map and the report gave only some of the measurements of the yards. The gradient and other characteristics of the terrain and the surrounding area were not described.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39</w:t>
      </w:r>
      <w:r w:rsidRPr="005D023B">
        <w:fldChar w:fldCharType="end"/>
      </w:r>
      <w:r w:rsidRPr="005D023B">
        <w:t>.  Nine spent cartridge</w:t>
      </w:r>
      <w:r w:rsidRPr="005D023B" w:rsidR="00EF3B52">
        <w:t>s</w:t>
      </w:r>
      <w:r w:rsidRPr="005D023B">
        <w:t xml:space="preserve"> were retrieved. One cartridge was found in the street, in front of Ms Tonkova</w:t>
      </w:r>
      <w:r w:rsidR="00F2618C">
        <w:t>'</w:t>
      </w:r>
      <w:r w:rsidRPr="005D023B">
        <w:t>s house (apparently not far from where the jeep had stopped). Four cartridges were discovered in Ms Tonkova</w:t>
      </w:r>
      <w:r w:rsidR="00F2618C">
        <w:t>'</w:t>
      </w:r>
      <w:r w:rsidRPr="005D023B">
        <w:t>s yard, behind the house, close to the first chain-link fence separating her yard from the neighbour</w:t>
      </w:r>
      <w:r w:rsidR="00F2618C">
        <w:t>'</w:t>
      </w:r>
      <w:r w:rsidRPr="005D023B">
        <w:t xml:space="preserve">s yard. Three cartridges were found in the </w:t>
      </w:r>
      <w:r w:rsidR="00AA3EE8">
        <w:t xml:space="preserve">yard of the </w:t>
      </w:r>
      <w:r w:rsidRPr="005D023B">
        <w:t>neighbour</w:t>
      </w:r>
      <w:r w:rsidRPr="005D023B" w:rsidR="00E0393E">
        <w:t xml:space="preserve"> </w:t>
      </w:r>
      <w:r w:rsidR="00AA3EE8">
        <w:t xml:space="preserve">(Mr </w:t>
      </w:r>
      <w:r w:rsidRPr="005D023B">
        <w:t xml:space="preserve">M.M), close to the place where the bloodstains were found. </w:t>
      </w:r>
      <w:r w:rsidRPr="005D023B" w:rsidR="00A71E7A">
        <w:t>T</w:t>
      </w:r>
      <w:r w:rsidRPr="005D023B">
        <w:t>he exact distance between those cartridges and the bloodstains was not given. A ninth cartridge was found subsequently and handed in to the military police by Mr Angelov</w:t>
      </w:r>
      <w:r w:rsidR="00F2618C">
        <w:t>'</w:t>
      </w:r>
      <w:r w:rsidRPr="005D023B">
        <w:t>s uncle. There is no record of where it was found.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40</w:t>
      </w:r>
      <w:r w:rsidRPr="005D023B">
        <w:fldChar w:fldCharType="end"/>
      </w:r>
      <w:r w:rsidRPr="005D023B">
        <w:t xml:space="preserve">.  The bloodstains were a metre apart. They were marked on the sketch map as being slightly more than nine metres from the first chain-link fence. The distance between the bloodstains and the second fence that Mr Angelov and Mr Petkov </w:t>
      </w:r>
      <w:r w:rsidR="00421488">
        <w:t>had</w:t>
      </w:r>
      <w:r w:rsidRPr="005D023B" w:rsidR="00421488">
        <w:t xml:space="preserve"> </w:t>
      </w:r>
      <w:r w:rsidRPr="005D023B">
        <w:t xml:space="preserve">apparently </w:t>
      </w:r>
      <w:r w:rsidR="00421488">
        <w:t xml:space="preserve">been </w:t>
      </w:r>
      <w:r w:rsidRPr="005D023B">
        <w:t>trying to scale when they were shot was not indicated. Samples of the bloodstains were taken by the investigator.</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41</w:t>
      </w:r>
      <w:r w:rsidRPr="005D023B">
        <w:fldChar w:fldCharType="end"/>
      </w:r>
      <w:r w:rsidRPr="005D023B">
        <w:t xml:space="preserve">.  On </w:t>
      </w:r>
      <w:smartTag w:uri="urn:schemas-microsoft-com:office:smarttags" w:element="date">
        <w:smartTagPr>
          <w:attr w:name="Month" w:val="7"/>
          <w:attr w:name="Day" w:val="21"/>
          <w:attr w:name="Year" w:val="1996"/>
        </w:smartTagPr>
        <w:r w:rsidRPr="005D023B">
          <w:t>21 July 1996</w:t>
        </w:r>
      </w:smartTag>
      <w:r w:rsidRPr="005D023B">
        <w:t>, a pathologist carried out an autopsy.</w:t>
      </w:r>
    </w:p>
    <w:p w:rsidRPr="005D023B" w:rsidR="00297F6D" w:rsidP="009E622C" w:rsidRDefault="00297F6D">
      <w:pPr>
        <w:pStyle w:val="JuParaChar"/>
        <w:ind w:firstLine="0"/>
      </w:pPr>
      <w:r w:rsidRPr="005D023B">
        <w:t>Acco</w:t>
      </w:r>
      <w:r w:rsidR="009E622C">
        <w:t xml:space="preserve">rding to </w:t>
      </w:r>
      <w:r w:rsidRPr="005D023B">
        <w:t>autopsy report no. 139/96, the cause of Mr Petkov</w:t>
      </w:r>
      <w:r w:rsidR="00F2618C">
        <w:t>'</w:t>
      </w:r>
      <w:r w:rsidRPr="005D023B">
        <w:t>s death was “a wound to the chest”, the direction of the shot having been “from front to back”. The wound was described as follows:</w:t>
      </w:r>
    </w:p>
    <w:p w:rsidRPr="005D023B" w:rsidR="00297F6D" w:rsidP="00297F6D" w:rsidRDefault="00297F6D">
      <w:pPr>
        <w:pStyle w:val="JuQuot"/>
      </w:pPr>
      <w:r w:rsidRPr="005D023B">
        <w:t>“There is an oval-shaped wound of 2.5 cm by 1 cm in the chest, at a distance of 144</w:t>
      </w:r>
      <w:r w:rsidRPr="005D023B" w:rsidR="00EF3B52">
        <w:t> </w:t>
      </w:r>
      <w:r w:rsidRPr="005D023B">
        <w:t>cm from the feet, with missing tissues, and jagged and compressed edges in the area of the left shoulder. There is an oval-shaped wound of 3 cm in the back, to the left of the infrascapular line at a distance of 123 cm from the feet with missing tissues, jagged and torn edges turned outwards.”</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42</w:t>
      </w:r>
      <w:r w:rsidRPr="005D023B">
        <w:fldChar w:fldCharType="end"/>
      </w:r>
      <w:r w:rsidRPr="005D023B">
        <w:t>.  As regards Mr Angelov, the report found that the cause of death had been “a gunshot wound, which [had] damaged a major blood vessel” and that the direction of the shot had been “from back to front”. It was further stated:</w:t>
      </w:r>
    </w:p>
    <w:p w:rsidRPr="005D023B" w:rsidR="00297F6D" w:rsidP="00297F6D" w:rsidRDefault="00297F6D">
      <w:pPr>
        <w:pStyle w:val="JuQuot"/>
      </w:pPr>
      <w:r w:rsidRPr="005D023B">
        <w:t>“There is a round wound on the left of the buttocks at a distance of 90 cm from the feet</w:t>
      </w:r>
      <w:r w:rsidR="009E622C">
        <w:t xml:space="preserve"> </w:t>
      </w:r>
      <w:r w:rsidRPr="005D023B">
        <w:t>... with missing tissue, jagged walls and edges, and a diameter of about 0.8 cm ... There is an oval wound of 2.1 cm with jagged torn edges and walls turned outwards and missing tissues on the border between the lower and middle third [of the abdomen], at a distance of 95 cm from the feet, slightly to the left of the navel.”</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43</w:t>
      </w:r>
      <w:r w:rsidRPr="005D023B">
        <w:fldChar w:fldCharType="end"/>
      </w:r>
      <w:r w:rsidRPr="005D023B">
        <w:t>.  The report concluded that the injuries had been caused by an automatic rifle fired from a distance.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44</w:t>
      </w:r>
      <w:r w:rsidRPr="005D023B">
        <w:fldChar w:fldCharType="end"/>
      </w:r>
      <w:r w:rsidRPr="005D023B">
        <w:t xml:space="preserve">.  On 22, 23 and 24 July 1996 the four military police officers, two neighbours (M.M. </w:t>
      </w:r>
      <w:r w:rsidR="009E622C">
        <w:t xml:space="preserve">and </w:t>
      </w:r>
      <w:r w:rsidRPr="005D023B">
        <w:t>K.), the secretary who worked at the town hall, and Mr Angelov</w:t>
      </w:r>
      <w:r w:rsidR="00F2618C">
        <w:t>'</w:t>
      </w:r>
      <w:r w:rsidRPr="005D023B">
        <w:t>s uncle were questioned by the investigator. Mr Petkov</w:t>
      </w:r>
      <w:r w:rsidR="00F2618C">
        <w:t>'</w:t>
      </w:r>
      <w:r w:rsidRPr="005D023B">
        <w:t>s mother was also questioned subsequently.</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45</w:t>
      </w:r>
      <w:r w:rsidRPr="005D023B">
        <w:fldChar w:fldCharType="end"/>
      </w:r>
      <w:r w:rsidRPr="005D023B">
        <w:t xml:space="preserve">.  On </w:t>
      </w:r>
      <w:smartTag w:uri="urn:schemas-microsoft-com:office:smarttags" w:element="date">
        <w:smartTagPr>
          <w:attr w:name="Month" w:val="8"/>
          <w:attr w:name="Day" w:val="1"/>
          <w:attr w:name="Year" w:val="1996"/>
        </w:smartTagPr>
        <w:r w:rsidRPr="005D023B">
          <w:t>1 August 1996</w:t>
        </w:r>
      </w:smartTag>
      <w:r w:rsidRPr="005D023B">
        <w:t xml:space="preserve"> Major G.</w:t>
      </w:r>
      <w:r w:rsidR="00F2618C">
        <w:t>'</w:t>
      </w:r>
      <w:r w:rsidRPr="005D023B">
        <w:t xml:space="preserve">s automatic rifle, a cartridge </w:t>
      </w:r>
      <w:r w:rsidR="006C4EB8">
        <w:t xml:space="preserve">that had been </w:t>
      </w:r>
      <w:r w:rsidRPr="005D023B">
        <w:t xml:space="preserve">found in it and the nine spent cartridges found </w:t>
      </w:r>
      <w:r w:rsidRPr="005D023B" w:rsidR="00EF3B52">
        <w:t>at</w:t>
      </w:r>
      <w:r w:rsidRPr="005D023B">
        <w:t xml:space="preserve"> the scene were examined by a ballistics expert from the Vratsa Regional Directorate of Internal Affairs. According to his report</w:t>
      </w:r>
      <w:r w:rsidR="009E622C">
        <w:t>,</w:t>
      </w:r>
      <w:r w:rsidRPr="005D023B">
        <w:t xml:space="preserve"> the automatic rifle was serviceable, all nine retrieved cartridges had been fired from it and the last cartridge which had not been fired was also serviceable.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46</w:t>
      </w:r>
      <w:r w:rsidRPr="005D023B">
        <w:fldChar w:fldCharType="end"/>
      </w:r>
      <w:r w:rsidRPr="005D023B">
        <w:t>.  A report by a forensic expert dated 29 August 1996 found an alcohol content of 0.55</w:t>
      </w:r>
      <w:r w:rsidR="00AA3EE8">
        <w:t xml:space="preserve"> g/l</w:t>
      </w:r>
      <w:r w:rsidRPr="005D023B">
        <w:t xml:space="preserve"> in Mr Petkov</w:t>
      </w:r>
      <w:r w:rsidR="00F2618C">
        <w:t>'</w:t>
      </w:r>
      <w:r w:rsidRPr="005D023B">
        <w:t xml:space="preserve">s blood and 0.75 </w:t>
      </w:r>
      <w:r w:rsidRPr="005D023B" w:rsidR="00EF3B52">
        <w:t>g</w:t>
      </w:r>
      <w:r w:rsidRPr="005D023B" w:rsidR="00E75A36">
        <w:t>/</w:t>
      </w:r>
      <w:r w:rsidRPr="005D023B" w:rsidR="00EF3B52">
        <w:t>l</w:t>
      </w:r>
      <w:r w:rsidRPr="005D023B">
        <w:t xml:space="preserve"> in Mr</w:t>
      </w:r>
      <w:r w:rsidRPr="005D023B" w:rsidR="00E75A36">
        <w:t> </w:t>
      </w:r>
      <w:r w:rsidRPr="005D023B">
        <w:t>Angelov</w:t>
      </w:r>
      <w:r w:rsidR="00F2618C">
        <w:t>'</w:t>
      </w:r>
      <w:r w:rsidRPr="005D023B">
        <w:t xml:space="preserve">s blood (under Bulgarian law </w:t>
      </w:r>
      <w:r w:rsidR="00881203">
        <w:t xml:space="preserve">it </w:t>
      </w:r>
      <w:r w:rsidRPr="005D023B" w:rsidR="00881203">
        <w:t>is an administrative offence</w:t>
      </w:r>
      <w:r w:rsidR="00881203">
        <w:t xml:space="preserve"> to </w:t>
      </w:r>
      <w:r w:rsidRPr="005D023B">
        <w:t>driv</w:t>
      </w:r>
      <w:r w:rsidR="00881203">
        <w:t>e</w:t>
      </w:r>
      <w:r w:rsidRPr="005D023B">
        <w:t xml:space="preserve"> with </w:t>
      </w:r>
      <w:r w:rsidR="00881203">
        <w:t xml:space="preserve">a </w:t>
      </w:r>
      <w:r w:rsidR="00DF5B20">
        <w:t xml:space="preserve">blood </w:t>
      </w:r>
      <w:r w:rsidRPr="005D023B">
        <w:t>alcohol content of more than 0.5</w:t>
      </w:r>
      <w:r w:rsidRPr="005D023B" w:rsidR="00E75A36">
        <w:t xml:space="preserve"> </w:t>
      </w:r>
      <w:r w:rsidRPr="005D023B" w:rsidR="00EF3B52">
        <w:t>g</w:t>
      </w:r>
      <w:r w:rsidRPr="005D023B" w:rsidR="00E75A36">
        <w:t>/</w:t>
      </w:r>
      <w:r w:rsidRPr="005D023B" w:rsidR="00EF3B52">
        <w:t>l</w:t>
      </w:r>
      <w:r w:rsidRPr="005D023B">
        <w: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47</w:t>
      </w:r>
      <w:r w:rsidRPr="005D023B">
        <w:fldChar w:fldCharType="end"/>
      </w:r>
      <w:r w:rsidRPr="005D023B">
        <w:t xml:space="preserve">.  On </w:t>
      </w:r>
      <w:smartTag w:uri="urn:schemas-microsoft-com:office:smarttags" w:element="date">
        <w:smartTagPr>
          <w:attr w:name="Month" w:val="9"/>
          <w:attr w:name="Day" w:val="20"/>
          <w:attr w:name="Year" w:val="1996"/>
        </w:smartTagPr>
        <w:r w:rsidRPr="005D023B">
          <w:t>20 September 1996</w:t>
        </w:r>
      </w:smartTag>
      <w:r w:rsidRPr="005D023B">
        <w:t xml:space="preserve"> a forensic examination of the bloodstains found </w:t>
      </w:r>
      <w:r w:rsidRPr="005D023B" w:rsidR="00E04422">
        <w:t>at</w:t>
      </w:r>
      <w:r w:rsidRPr="005D023B">
        <w:t xml:space="preserve"> the scene was carried out by an expert from the Vratsa Regional Directorate of Internal Affairs and </w:t>
      </w:r>
      <w:r w:rsidR="00001B4A">
        <w:t xml:space="preserve">they </w:t>
      </w:r>
      <w:r w:rsidRPr="005D023B">
        <w:t>were found to match the victims</w:t>
      </w:r>
      <w:r w:rsidR="00F2618C">
        <w:t>'</w:t>
      </w:r>
      <w:r w:rsidRPr="005D023B">
        <w:t xml:space="preserve"> blood groups.</w:t>
      </w:r>
    </w:p>
    <w:p w:rsidRPr="005D023B" w:rsidR="00297F6D" w:rsidP="0015294C" w:rsidRDefault="00297F6D">
      <w:pPr>
        <w:pStyle w:val="JuParaChar"/>
        <w:keepNext/>
        <w:keepLines/>
      </w:pPr>
      <w:r w:rsidRPr="005D023B">
        <w:fldChar w:fldCharType="begin"/>
      </w:r>
      <w:r w:rsidRPr="005D023B">
        <w:instrText xml:space="preserve"> SEQ level0 \*arabic </w:instrText>
      </w:r>
      <w:r w:rsidRPr="005D023B">
        <w:fldChar w:fldCharType="separate"/>
      </w:r>
      <w:r w:rsidR="00D57953">
        <w:rPr>
          <w:noProof/>
        </w:rPr>
        <w:t>48</w:t>
      </w:r>
      <w:r w:rsidRPr="005D023B">
        <w:fldChar w:fldCharType="end"/>
      </w:r>
      <w:r w:rsidRPr="005D023B">
        <w:t xml:space="preserve">.  On 20 January and on </w:t>
      </w:r>
      <w:smartTag w:uri="urn:schemas-microsoft-com:office:smarttags" w:element="date">
        <w:smartTagPr>
          <w:attr w:name="Month" w:val="2"/>
          <w:attr w:name="Day" w:val="13"/>
          <w:attr w:name="Year" w:val="1997"/>
        </w:smartTagPr>
        <w:r w:rsidRPr="005D023B">
          <w:t>13 February 1997</w:t>
        </w:r>
      </w:smartTag>
      <w:r w:rsidRPr="005D023B">
        <w:t xml:space="preserve"> another neighbour (Mr T.M.) and Ms Hristova (one of the applicants) were questioned. On </w:t>
      </w:r>
      <w:smartTag w:uri="urn:schemas-microsoft-com:office:smarttags" w:element="date">
        <w:smartTagPr>
          <w:attr w:name="Month" w:val="3"/>
          <w:attr w:name="Day" w:val="26"/>
          <w:attr w:name="Year" w:val="1997"/>
        </w:smartTagPr>
        <w:r w:rsidRPr="005D023B">
          <w:t>26 March 1997</w:t>
        </w:r>
      </w:smartTag>
      <w:r w:rsidRPr="005D023B">
        <w:t xml:space="preserve"> Mr Angelov</w:t>
      </w:r>
      <w:r w:rsidR="00F2618C">
        <w:t>'</w:t>
      </w:r>
      <w:r w:rsidRPr="005D023B">
        <w:t>s grandmother and a neighbour, Z., were questioned.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49</w:t>
      </w:r>
      <w:r w:rsidRPr="005D023B">
        <w:fldChar w:fldCharType="end"/>
      </w:r>
      <w:r w:rsidRPr="005D023B">
        <w:t xml:space="preserve">.  On </w:t>
      </w:r>
      <w:smartTag w:uri="urn:schemas-microsoft-com:office:smarttags" w:element="date">
        <w:smartTagPr>
          <w:attr w:name="Month" w:val="1"/>
          <w:attr w:name="Day" w:val="7"/>
          <w:attr w:name="Year" w:val="1997"/>
        </w:smartTagPr>
        <w:r w:rsidRPr="005D023B">
          <w:t>7 January 1997</w:t>
        </w:r>
      </w:smartTag>
      <w:r w:rsidRPr="005D023B">
        <w:t xml:space="preserve"> the families of Mr Angelov and Mr Petkov were given access to the investigation file. They requested that three more witnesses, T.M., Ms Tonkova and Z.H. be heard. Their request was granted. The witnesses were heard by the investigator on 20 January and </w:t>
      </w:r>
      <w:smartTag w:uri="urn:schemas-microsoft-com:office:smarttags" w:element="date">
        <w:smartTagPr>
          <w:attr w:name="Month" w:val="3"/>
          <w:attr w:name="Day" w:val="26"/>
          <w:attr w:name="Year" w:val="1997"/>
        </w:smartTagPr>
        <w:r w:rsidRPr="005D023B">
          <w:t>26 March 1997</w:t>
        </w:r>
      </w:smartTag>
      <w:r w:rsidRPr="005D023B">
        <w:t>. The applicants did not ask for any other evidence to be obtained.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50</w:t>
      </w:r>
      <w:r w:rsidRPr="005D023B">
        <w:fldChar w:fldCharType="end"/>
      </w:r>
      <w:r w:rsidRPr="005D023B">
        <w:t xml:space="preserve">.  On </w:t>
      </w:r>
      <w:smartTag w:uri="urn:schemas-microsoft-com:office:smarttags" w:element="date">
        <w:smartTagPr>
          <w:attr w:name="Month" w:val="3"/>
          <w:attr w:name="Day" w:val="31"/>
          <w:attr w:name="Year" w:val="1997"/>
        </w:smartTagPr>
        <w:r w:rsidRPr="005D023B">
          <w:t>31 March 1997</w:t>
        </w:r>
      </w:smartTag>
      <w:r w:rsidRPr="005D023B">
        <w:t xml:space="preserve"> the investigator completed the preliminary investigation and drew up a final report. He noted that Mr Angelov and Mr Petkov had escaped from detention while serving a prison sentence, and had thus committed an offence. Major G. had done everything within his power to save their lives: he had instructed them to stop and surrender and had fired warning shots. He had aimed at them only after seeing that they were continuing to run away and might escape. He had not sought to injure any vital organs. The investigator therefore concluded that Major G. had acted in accordance wit</w:t>
      </w:r>
      <w:r w:rsidR="009E622C">
        <w:t xml:space="preserve">h Regulation 45 of the Military </w:t>
      </w:r>
      <w:r w:rsidRPr="005D023B">
        <w:t>Police Regulations and made a recommendation to</w:t>
      </w:r>
      <w:r w:rsidR="009E622C">
        <w:t xml:space="preserve"> the </w:t>
      </w:r>
      <w:smartTag w:uri="urn:schemas-microsoft-com:office:smarttags" w:element="place">
        <w:smartTag w:uri="urn:schemas-microsoft-com:office:smarttags" w:element="City">
          <w:r w:rsidR="009E622C">
            <w:t>Pleven</w:t>
          </w:r>
        </w:smartTag>
      </w:smartTag>
      <w:r w:rsidR="009E622C">
        <w:t xml:space="preserve"> regional prosecutor</w:t>
      </w:r>
      <w:r w:rsidR="00F2618C">
        <w:t>'</w:t>
      </w:r>
      <w:r w:rsidR="009E622C">
        <w:t>s o</w:t>
      </w:r>
      <w:r w:rsidRPr="005D023B">
        <w:t>ffice that the investigation should be closed as Major G. had not committed an offence.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51</w:t>
      </w:r>
      <w:r w:rsidRPr="005D023B">
        <w:fldChar w:fldCharType="end"/>
      </w:r>
      <w:r w:rsidRPr="005D023B">
        <w:t xml:space="preserve">.  On </w:t>
      </w:r>
      <w:smartTag w:uri="urn:schemas-microsoft-com:office:smarttags" w:element="date">
        <w:smartTagPr>
          <w:attr w:name="Month" w:val="4"/>
          <w:attr w:name="Day" w:val="8"/>
          <w:attr w:name="Year" w:val="1997"/>
        </w:smartTagPr>
        <w:r w:rsidRPr="005D023B">
          <w:t>8 April 1997</w:t>
        </w:r>
      </w:smartTag>
      <w:r w:rsidR="009E622C">
        <w:t xml:space="preserve"> the </w:t>
      </w:r>
      <w:smartTag w:uri="urn:schemas-microsoft-com:office:smarttags" w:element="place">
        <w:smartTag w:uri="urn:schemas-microsoft-com:office:smarttags" w:element="City">
          <w:r w:rsidR="009E622C">
            <w:t>Pleven</w:t>
          </w:r>
        </w:smartTag>
      </w:smartTag>
      <w:r w:rsidR="009E622C">
        <w:t xml:space="preserve"> military p</w:t>
      </w:r>
      <w:r w:rsidRPr="005D023B">
        <w:t>rosecutor accepted the investigator</w:t>
      </w:r>
      <w:r w:rsidR="00F2618C">
        <w:t>'</w:t>
      </w:r>
      <w:r w:rsidRPr="005D023B">
        <w:t xml:space="preserve">s recommendation and </w:t>
      </w:r>
      <w:r w:rsidRPr="005D023B" w:rsidR="00E04422">
        <w:t>closed</w:t>
      </w:r>
      <w:r w:rsidRPr="005D023B">
        <w:t xml:space="preserve"> the preliminary investigation into the deaths. He concluded that Major G. had proceeded in accordance wit</w:t>
      </w:r>
      <w:r w:rsidR="009E622C">
        <w:t xml:space="preserve">h Regulation 45 of the Military </w:t>
      </w:r>
      <w:r w:rsidRPr="005D023B">
        <w:t>Police Regulations. He had warned the two men several times and fired shots in the air. He had shot them only because they had not surrendered, as there had been a danger that they might escape. He had sought to avoid inflicting fatal injuries. No one else had been hurt.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52</w:t>
      </w:r>
      <w:r w:rsidRPr="005D023B">
        <w:fldChar w:fldCharType="end"/>
      </w:r>
      <w:r w:rsidRPr="005D023B">
        <w:t>.  When describing the victims</w:t>
      </w:r>
      <w:r w:rsidR="00F2618C">
        <w:t>'</w:t>
      </w:r>
      <w:r w:rsidRPr="005D023B">
        <w:t xml:space="preserve"> personal circumstances, including </w:t>
      </w:r>
      <w:r w:rsidRPr="005D023B" w:rsidR="00E04422">
        <w:t>details of</w:t>
      </w:r>
      <w:r w:rsidRPr="005D023B">
        <w:t xml:space="preserve"> their family, education and previous convictions, the prosecutor </w:t>
      </w:r>
      <w:r w:rsidRPr="005D023B" w:rsidR="00E04422">
        <w:t>stated in the order</w:t>
      </w:r>
      <w:r w:rsidRPr="005D023B">
        <w:t xml:space="preserve"> that both </w:t>
      </w:r>
      <w:r w:rsidRPr="005D023B" w:rsidR="00E04422">
        <w:t xml:space="preserve">men </w:t>
      </w:r>
      <w:r w:rsidRPr="005D023B">
        <w:t>originated from “minority families”, a</w:t>
      </w:r>
      <w:r w:rsidR="00DC31A7">
        <w:t>n</w:t>
      </w:r>
      <w:r w:rsidRPr="005D023B">
        <w:t xml:space="preserve"> </w:t>
      </w:r>
      <w:r w:rsidR="00DC31A7">
        <w:t>expression</w:t>
      </w:r>
      <w:r w:rsidRPr="005D023B" w:rsidR="00DC31A7">
        <w:t xml:space="preserve"> </w:t>
      </w:r>
      <w:r w:rsidR="00DC31A7">
        <w:t>mainly</w:t>
      </w:r>
      <w:r w:rsidRPr="005D023B" w:rsidR="00DC31A7">
        <w:t xml:space="preserve"> </w:t>
      </w:r>
      <w:r w:rsidRPr="005D023B">
        <w:t>used to designate people from the Roma minority.</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53</w:t>
      </w:r>
      <w:r w:rsidRPr="005D023B">
        <w:fldChar w:fldCharType="end"/>
      </w:r>
      <w:r w:rsidRPr="005D023B">
        <w:t xml:space="preserve">.  By an order of </w:t>
      </w:r>
      <w:smartTag w:uri="urn:schemas-microsoft-com:office:smarttags" w:element="date">
        <w:smartTagPr>
          <w:attr w:name="Month" w:val="6"/>
          <w:attr w:name="Day" w:val="11"/>
          <w:attr w:name="Year" w:val="1997"/>
        </w:smartTagPr>
        <w:r w:rsidRPr="005D023B">
          <w:t>11 J</w:t>
        </w:r>
        <w:r w:rsidR="009E622C">
          <w:t>une 1997</w:t>
        </w:r>
      </w:smartTag>
      <w:r w:rsidR="009E622C">
        <w:t>, the prosecutor of the armed forces p</w:t>
      </w:r>
      <w:r w:rsidRPr="005D023B">
        <w:t>rosecutor</w:t>
      </w:r>
      <w:r w:rsidR="00F2618C">
        <w:t>'</w:t>
      </w:r>
      <w:r w:rsidR="009E622C">
        <w:t>s office</w:t>
      </w:r>
      <w:r w:rsidRPr="005D023B">
        <w:t xml:space="preserve"> dismissed the applicants</w:t>
      </w:r>
      <w:r w:rsidR="00F2618C">
        <w:t>'</w:t>
      </w:r>
      <w:r w:rsidRPr="005D023B">
        <w:t xml:space="preserve"> subsequent appeal on the ground</w:t>
      </w:r>
      <w:r w:rsidRPr="005D023B" w:rsidR="00E04422">
        <w:t>s</w:t>
      </w:r>
      <w:r w:rsidRPr="005D023B">
        <w:t xml:space="preserve"> that Mr Angelov and Mr Petkov had provoked the shooting by trying to escape and that Major G. had taken the steps required by law in such situations. Therefore, the use of arms had been lawful under Regulation 45 of the Military</w:t>
      </w:r>
      <w:r w:rsidR="009E622C">
        <w:t xml:space="preserve"> </w:t>
      </w:r>
      <w:r w:rsidRPr="005D023B">
        <w:t>Police Regulations.</w:t>
      </w:r>
    </w:p>
    <w:p w:rsidRPr="005D023B" w:rsidR="00CD49A7"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54</w:t>
      </w:r>
      <w:r w:rsidRPr="005D023B">
        <w:fldChar w:fldCharType="end"/>
      </w:r>
      <w:r w:rsidRPr="005D023B">
        <w:t xml:space="preserve">.  On 19 November 1997 the prosecutor from the </w:t>
      </w:r>
      <w:r w:rsidR="00572E20">
        <w:t>i</w:t>
      </w:r>
      <w:r w:rsidRPr="005D023B">
        <w:t xml:space="preserve">nvestigation </w:t>
      </w:r>
      <w:r w:rsidR="00572E20">
        <w:t>r</w:t>
      </w:r>
      <w:r w:rsidRPr="005D023B">
        <w:t xml:space="preserve">eview </w:t>
      </w:r>
      <w:r w:rsidR="00572E20">
        <w:t>d</w:t>
      </w:r>
      <w:r w:rsidRPr="005D023B">
        <w:t xml:space="preserve">epartment </w:t>
      </w:r>
      <w:r w:rsidRPr="005D023B" w:rsidR="00E04422">
        <w:t>of</w:t>
      </w:r>
      <w:r w:rsidR="009E622C">
        <w:t xml:space="preserve"> the armed forces p</w:t>
      </w:r>
      <w:r w:rsidRPr="005D023B">
        <w:t>rosecutor</w:t>
      </w:r>
      <w:r w:rsidR="00F2618C">
        <w:t>'</w:t>
      </w:r>
      <w:r w:rsidR="009E622C">
        <w:t>s o</w:t>
      </w:r>
      <w:r w:rsidRPr="005D023B">
        <w:t xml:space="preserve">ffice dismissed a further appeal on grounds similar to those </w:t>
      </w:r>
      <w:r w:rsidR="00BD2037">
        <w:t xml:space="preserve">that had been </w:t>
      </w:r>
      <w:r w:rsidRPr="005D023B">
        <w:t>relied on by the other public prosecutors.</w:t>
      </w:r>
    </w:p>
    <w:p w:rsidRPr="005D023B" w:rsidR="00CD49A7" w:rsidRDefault="00297F6D">
      <w:pPr>
        <w:pStyle w:val="JuHIRoman"/>
      </w:pPr>
      <w:r w:rsidRPr="005D023B">
        <w:t>II.  REPORTS OF INTERNATIONAL ORGANISATIONS ON ALLEG</w:t>
      </w:r>
      <w:r w:rsidR="00572E20">
        <w:t>ATIONS OF</w:t>
      </w:r>
      <w:r w:rsidRPr="005D023B">
        <w:t xml:space="preserve"> DISCRIMINATION AGAINST ROMA</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55</w:t>
      </w:r>
      <w:r w:rsidRPr="005D023B">
        <w:fldChar w:fldCharType="end"/>
      </w:r>
      <w:r w:rsidRPr="005D023B">
        <w:t>.  </w:t>
      </w:r>
      <w:r w:rsidRPr="005D023B" w:rsidR="00460C7B">
        <w:t xml:space="preserve">In its country reports </w:t>
      </w:r>
      <w:r w:rsidR="00460C7B">
        <w:t>of</w:t>
      </w:r>
      <w:r w:rsidRPr="005D023B" w:rsidR="00460C7B">
        <w:t xml:space="preserve"> the last few years, the </w:t>
      </w:r>
      <w:r w:rsidRPr="005D023B" w:rsidR="009E622C">
        <w:t>Council of Europe</w:t>
      </w:r>
      <w:r w:rsidR="00F2618C">
        <w:t>'</w:t>
      </w:r>
      <w:r w:rsidR="009E622C">
        <w:t xml:space="preserve">s </w:t>
      </w:r>
      <w:r w:rsidRPr="005D023B">
        <w:t>European Commission agains</w:t>
      </w:r>
      <w:r w:rsidR="009E622C">
        <w:t xml:space="preserve">t Racism and Intolerance </w:t>
      </w:r>
      <w:r w:rsidR="00B74454">
        <w:t>(ECRI)</w:t>
      </w:r>
      <w:r w:rsidR="009E622C">
        <w:t xml:space="preserve"> has expressed concern regarding</w:t>
      </w:r>
      <w:r w:rsidRPr="005D023B">
        <w:t xml:space="preserve"> racially motivated police violence, particularly against Roma, in a number of European countries including </w:t>
      </w:r>
      <w:smartTag w:uri="urn:schemas-microsoft-com:office:smarttags" w:element="country-region">
        <w:r w:rsidRPr="005D023B">
          <w:t>Bulgaria</w:t>
        </w:r>
      </w:smartTag>
      <w:r w:rsidRPr="005D023B">
        <w:t xml:space="preserve">, the </w:t>
      </w:r>
      <w:smartTag w:uri="urn:schemas-microsoft-com:office:smarttags" w:element="PlaceName">
        <w:r w:rsidRPr="005D023B">
          <w:t>Czech</w:t>
        </w:r>
      </w:smartTag>
      <w:r w:rsidRPr="005D023B">
        <w:t xml:space="preserve"> </w:t>
      </w:r>
      <w:smartTag w:uri="urn:schemas-microsoft-com:office:smarttags" w:element="PlaceType">
        <w:r w:rsidRPr="005D023B">
          <w:t>Republic</w:t>
        </w:r>
      </w:smartTag>
      <w:r w:rsidRPr="005D023B">
        <w:t xml:space="preserve">, </w:t>
      </w:r>
      <w:smartTag w:uri="urn:schemas-microsoft-com:office:smarttags" w:element="country-region">
        <w:r w:rsidRPr="005D023B">
          <w:t>France</w:t>
        </w:r>
      </w:smartTag>
      <w:r w:rsidRPr="005D023B">
        <w:t xml:space="preserve">, </w:t>
      </w:r>
      <w:smartTag w:uri="urn:schemas-microsoft-com:office:smarttags" w:element="country-region">
        <w:r w:rsidRPr="005D023B">
          <w:t>Greece</w:t>
        </w:r>
      </w:smartTag>
      <w:r w:rsidRPr="005D023B">
        <w:t xml:space="preserve">, </w:t>
      </w:r>
      <w:smartTag w:uri="urn:schemas-microsoft-com:office:smarttags" w:element="country-region">
        <w:r w:rsidRPr="005D023B">
          <w:t>Hungary</w:t>
        </w:r>
      </w:smartTag>
      <w:r w:rsidRPr="005D023B">
        <w:t xml:space="preserve">, </w:t>
      </w:r>
      <w:smartTag w:uri="urn:schemas-microsoft-com:office:smarttags" w:element="country-region">
        <w:r w:rsidRPr="005D023B">
          <w:t>Poland</w:t>
        </w:r>
      </w:smartTag>
      <w:r w:rsidRPr="005D023B">
        <w:t xml:space="preserve">, </w:t>
      </w:r>
      <w:smartTag w:uri="urn:schemas-microsoft-com:office:smarttags" w:element="country-region">
        <w:r w:rsidRPr="005D023B">
          <w:t>Romania</w:t>
        </w:r>
      </w:smartTag>
      <w:r w:rsidRPr="005D023B">
        <w:t xml:space="preserve"> and </w:t>
      </w:r>
      <w:smartTag w:uri="urn:schemas-microsoft-com:office:smarttags" w:element="place">
        <w:smartTag w:uri="urn:schemas-microsoft-com:office:smarttags" w:element="country-region">
          <w:r w:rsidRPr="005D023B">
            <w:t>Slovakia</w:t>
          </w:r>
        </w:smartTag>
      </w:smartTag>
      <w:r w:rsidRPr="005D023B">
        <w:t>.</w:t>
      </w:r>
    </w:p>
    <w:p w:rsidRPr="005D023B" w:rsidR="002846C2" w:rsidP="002846C2" w:rsidRDefault="002846C2">
      <w:pPr>
        <w:pStyle w:val="JuParaChar"/>
      </w:pPr>
      <w:r w:rsidRPr="005D023B">
        <w:fldChar w:fldCharType="begin"/>
      </w:r>
      <w:r w:rsidRPr="005D023B">
        <w:instrText xml:space="preserve"> SEQ level0 \*arabic </w:instrText>
      </w:r>
      <w:r w:rsidRPr="005D023B">
        <w:fldChar w:fldCharType="separate"/>
      </w:r>
      <w:r w:rsidR="00D57953">
        <w:rPr>
          <w:noProof/>
        </w:rPr>
        <w:t>56</w:t>
      </w:r>
      <w:r w:rsidRPr="005D023B">
        <w:fldChar w:fldCharType="end"/>
      </w:r>
      <w:r w:rsidR="009E622C">
        <w:t>.  The report on the situation of fundamental r</w:t>
      </w:r>
      <w:r w:rsidRPr="005D023B">
        <w:t>i</w:t>
      </w:r>
      <w:r w:rsidR="009E622C">
        <w:t>ghts in the European Union and its m</w:t>
      </w:r>
      <w:r w:rsidRPr="005D023B">
        <w:t>ember States in 2002, prepared by the E</w:t>
      </w:r>
      <w:r w:rsidR="00B74454">
        <w:t>uropean Union</w:t>
      </w:r>
      <w:r w:rsidRPr="005D023B">
        <w:t xml:space="preserve"> network of independent experts in fundamental rights at the request of the European Commission, stated, </w:t>
      </w:r>
      <w:r w:rsidRPr="005D023B">
        <w:rPr>
          <w:i/>
        </w:rPr>
        <w:t>inter alia</w:t>
      </w:r>
      <w:r w:rsidRPr="005D023B">
        <w:t xml:space="preserve">, that police abuse against Roma and similar groups, including physical abuse and excessive use of force, had been reported in a number of </w:t>
      </w:r>
      <w:r w:rsidR="00572E20">
        <w:t>European Union</w:t>
      </w:r>
      <w:r w:rsidRPr="005D023B">
        <w:t xml:space="preserve"> member States, such as Austria, France, Greece, Ireland, Italy and Portugal.</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57</w:t>
      </w:r>
      <w:r w:rsidRPr="005D023B">
        <w:fldChar w:fldCharType="end"/>
      </w:r>
      <w:r w:rsidRPr="005D023B">
        <w:t>.  In its</w:t>
      </w:r>
      <w:r w:rsidRPr="005D023B" w:rsidR="00E04422">
        <w:t xml:space="preserve"> second </w:t>
      </w:r>
      <w:r w:rsidRPr="005D023B">
        <w:t xml:space="preserve">report on </w:t>
      </w:r>
      <w:smartTag w:uri="urn:schemas-microsoft-com:office:smarttags" w:element="place">
        <w:smartTag w:uri="urn:schemas-microsoft-com:office:smarttags" w:element="country-region">
          <w:r w:rsidRPr="005D023B">
            <w:t>Bulgaria</w:t>
          </w:r>
        </w:smartTag>
      </w:smartTag>
      <w:r w:rsidRPr="005D023B">
        <w:t xml:space="preserve">, </w:t>
      </w:r>
      <w:r w:rsidRPr="005D023B" w:rsidR="00E04422">
        <w:t xml:space="preserve">published in March 2000, </w:t>
      </w:r>
      <w:r w:rsidRPr="005D023B">
        <w:t xml:space="preserve">ECRI stated, </w:t>
      </w:r>
      <w:r w:rsidRPr="005D023B">
        <w:rPr>
          <w:i/>
        </w:rPr>
        <w:t>inter alia</w:t>
      </w:r>
      <w:r w:rsidRPr="005D023B">
        <w:t>:</w:t>
      </w:r>
    </w:p>
    <w:p w:rsidR="00B147F8" w:rsidP="004C740A" w:rsidRDefault="00297F6D">
      <w:pPr>
        <w:pStyle w:val="JuQuot"/>
      </w:pPr>
      <w:r w:rsidRPr="005D023B">
        <w:t>“Of particular concern is the incidence of police discrimination and mistreatment of members of the Roma/Gypsy community</w:t>
      </w:r>
      <w:r w:rsidR="00D57953">
        <w:t>.</w:t>
      </w:r>
      <w:r w:rsidR="009E622C">
        <w:t xml:space="preserve"> </w:t>
      </w:r>
      <w:r w:rsidRPr="005D023B">
        <w:t xml:space="preserve">... [T]he Human Rights Project documents in its Annual Report for 1998 numerous </w:t>
      </w:r>
      <w:r w:rsidR="005E0639">
        <w:t>...</w:t>
      </w:r>
      <w:r w:rsidRPr="005D023B">
        <w:t xml:space="preserve"> cases of police misconduct towards </w:t>
      </w:r>
      <w:r w:rsidR="005E0639">
        <w:t>...</w:t>
      </w:r>
      <w:r w:rsidR="004C740A">
        <w:t xml:space="preserve"> Roma</w:t>
      </w:r>
      <w:r w:rsidR="009E622C">
        <w:t xml:space="preserve"> </w:t>
      </w:r>
      <w:r w:rsidR="004C740A">
        <w:t>..</w:t>
      </w:r>
      <w:r w:rsidRPr="005D023B">
        <w:t>. It cites as the most common violations: use of excessive physical force during detention for the purposes of extorting evidence; unjustified use of firearms</w:t>
      </w:r>
      <w:r w:rsidRPr="005D023B" w:rsidR="002846C2">
        <w:t xml:space="preserve"> </w:t>
      </w:r>
      <w:r w:rsidR="005E0639">
        <w:t>...</w:t>
      </w:r>
      <w:r w:rsidRPr="005D023B" w:rsidR="002846C2">
        <w:t xml:space="preserve"> </w:t>
      </w:r>
      <w:r w:rsidRPr="005D023B">
        <w:t>and threats to the personal security of individuals who had complained against the police to the competent authorities</w:t>
      </w:r>
      <w:r w:rsidR="00D57953">
        <w:t>.</w:t>
      </w:r>
      <w:r w:rsidR="009E622C">
        <w:t xml:space="preserve"> </w:t>
      </w:r>
      <w:r w:rsidRPr="005D023B">
        <w:t>... The Human Rights Project notes</w:t>
      </w:r>
      <w:r w:rsidR="004C740A">
        <w:t xml:space="preserve"> </w:t>
      </w:r>
      <w:r w:rsidR="005E0639">
        <w:t>...</w:t>
      </w:r>
      <w:r w:rsidRPr="005D023B">
        <w:t xml:space="preserve"> that the majority of complaints filed by this non-governmental organisation on behalf of Roma victims of police violence have not been followed up by the authorities</w:t>
      </w:r>
      <w:r w:rsidR="00D57953">
        <w:t>.</w:t>
      </w:r>
      <w:r w:rsidR="009E622C">
        <w:t xml:space="preserve"> </w:t>
      </w:r>
      <w:r w:rsidR="005E0639">
        <w:t>...</w:t>
      </w:r>
      <w:r w:rsidRPr="005D023B">
        <w:t xml:space="preserve"> </w:t>
      </w:r>
      <w:r w:rsidR="004C740A">
        <w:t>[V]</w:t>
      </w:r>
      <w:r w:rsidRPr="005D023B">
        <w:t>ictims seem unwilling to come forward with complaints, particularly when they are awaiting court sentences</w:t>
      </w:r>
      <w:r w:rsidRPr="005D023B" w:rsidR="002846C2">
        <w:t xml:space="preserve"> </w:t>
      </w:r>
      <w:r w:rsidR="005E0639">
        <w:t>...</w:t>
      </w:r>
      <w:r w:rsidRPr="005D023B" w:rsidR="002846C2">
        <w:t xml:space="preserve"> [There is apparently also] </w:t>
      </w:r>
      <w:r w:rsidRPr="005D023B">
        <w:t>some unwillingness on the part of the authorities to admit that problems of police misconduct do exist</w:t>
      </w:r>
      <w:r w:rsidR="00D57953">
        <w:t>.</w:t>
      </w:r>
      <w:r w:rsidR="009E622C">
        <w:t xml:space="preserve"> </w:t>
      </w:r>
      <w:r w:rsidR="005E0639">
        <w:t>...</w:t>
      </w:r>
    </w:p>
    <w:p w:rsidRPr="005D023B" w:rsidR="00297F6D" w:rsidP="00297F6D" w:rsidRDefault="00297F6D">
      <w:pPr>
        <w:pStyle w:val="JuQuot"/>
      </w:pPr>
      <w:r w:rsidRPr="005D023B">
        <w:t xml:space="preserve">ECRI </w:t>
      </w:r>
      <w:r w:rsidRPr="005D023B" w:rsidR="002846C2">
        <w:t>[reiterates its recommendation] t</w:t>
      </w:r>
      <w:r w:rsidRPr="005D023B">
        <w:t>hat an independent body be set up – acting at central and local level – to investigate police, investigative and penitentiary practices for overt and covert racial discrimination and to ensure that any discrimination perpetrated be severely punished</w:t>
      </w:r>
      <w:r w:rsidR="00D57953">
        <w:t>.</w:t>
      </w:r>
      <w:r w:rsidR="009E622C">
        <w:t xml:space="preserve"> </w:t>
      </w:r>
      <w:r w:rsidRPr="005D023B">
        <w:t>...</w:t>
      </w:r>
    </w:p>
    <w:p w:rsidRPr="005D023B" w:rsidR="002846C2" w:rsidP="00297F6D" w:rsidRDefault="00297F6D">
      <w:pPr>
        <w:pStyle w:val="JuQuot"/>
      </w:pPr>
      <w:r w:rsidRPr="005D023B">
        <w:t>ECRI is concerned at the persistence of widespread discrimination against members of the Roma/Gypsy community in Bulgaria</w:t>
      </w:r>
      <w:r w:rsidR="00D57953">
        <w:t>.</w:t>
      </w:r>
      <w:r w:rsidR="009E622C">
        <w:t xml:space="preserve"> </w:t>
      </w:r>
      <w:r w:rsidRPr="005D023B">
        <w:t>... It is reported that local authorities are sometimes involved in the illegal administration of justice as regards Roma/Gypsy communities, often with the silent collusion of local police.</w:t>
      </w:r>
      <w:r w:rsidRPr="005D023B" w:rsidR="002846C2">
        <w:t>”</w:t>
      </w:r>
    </w:p>
    <w:p w:rsidRPr="005D023B" w:rsidR="00E04422" w:rsidP="00297F6D" w:rsidRDefault="00F70AE0">
      <w:pPr>
        <w:pStyle w:val="JuParaChar"/>
      </w:pPr>
      <w:r w:rsidRPr="005D023B">
        <w:fldChar w:fldCharType="begin"/>
      </w:r>
      <w:r w:rsidRPr="005D023B">
        <w:instrText xml:space="preserve"> SEQ level0 \*arabic </w:instrText>
      </w:r>
      <w:r w:rsidRPr="005D023B">
        <w:fldChar w:fldCharType="separate"/>
      </w:r>
      <w:r w:rsidR="00D57953">
        <w:rPr>
          <w:noProof/>
        </w:rPr>
        <w:t>58</w:t>
      </w:r>
      <w:r w:rsidRPr="005D023B">
        <w:fldChar w:fldCharType="end"/>
      </w:r>
      <w:r w:rsidRPr="005D023B">
        <w:t>.  </w:t>
      </w:r>
      <w:r w:rsidRPr="005D023B" w:rsidR="00E04422">
        <w:t xml:space="preserve">In its third report on </w:t>
      </w:r>
      <w:smartTag w:uri="urn:schemas-microsoft-com:office:smarttags" w:element="place">
        <w:smartTag w:uri="urn:schemas-microsoft-com:office:smarttags" w:element="country-region">
          <w:r w:rsidR="00E04422" w:rsidRPr="005D023B">
            <w:t>Bulgaria</w:t>
          </w:r>
        </w:smartTag>
      </w:smartTag>
      <w:r w:rsidRPr="005D023B" w:rsidR="00E04422">
        <w:t xml:space="preserve">, published in January 2004, ECRI stated, </w:t>
      </w:r>
      <w:r w:rsidRPr="005D023B" w:rsidR="00E04422">
        <w:rPr>
          <w:i/>
        </w:rPr>
        <w:t>inter alia</w:t>
      </w:r>
      <w:r w:rsidRPr="005D023B" w:rsidR="00E04422">
        <w:t>:</w:t>
      </w:r>
    </w:p>
    <w:p w:rsidRPr="005D023B" w:rsidR="002846C2" w:rsidP="00E04422" w:rsidRDefault="00E04422">
      <w:pPr>
        <w:pStyle w:val="JuQuot"/>
      </w:pPr>
      <w:r w:rsidRPr="005D023B">
        <w:t>“</w:t>
      </w:r>
      <w:r w:rsidRPr="005D023B" w:rsidR="007E33A0">
        <w:t>[Since ECRI</w:t>
      </w:r>
      <w:r w:rsidR="00F2618C">
        <w:t>'</w:t>
      </w:r>
      <w:r w:rsidRPr="005D023B" w:rsidR="007E33A0">
        <w:t>s second report,] t</w:t>
      </w:r>
      <w:r w:rsidRPr="005D023B">
        <w:t>here have been no changes in the Criminal Code</w:t>
      </w:r>
      <w:r w:rsidRPr="005D023B" w:rsidR="007E33A0">
        <w:t xml:space="preserve"> [to ensure that criminal law provisions fully allow </w:t>
      </w:r>
      <w:r w:rsidR="002C63DF">
        <w:t>any</w:t>
      </w:r>
      <w:r w:rsidRPr="005D023B" w:rsidR="007E33A0">
        <w:t xml:space="preserve"> racist motivation to be taken into account]</w:t>
      </w:r>
      <w:r w:rsidR="00D57953">
        <w:t>.</w:t>
      </w:r>
      <w:r w:rsidRPr="005D023B" w:rsidR="007E33A0">
        <w:t xml:space="preserve"> </w:t>
      </w:r>
      <w:r w:rsidR="005E0639">
        <w:t>...</w:t>
      </w:r>
      <w:r w:rsidRPr="005D023B">
        <w:t xml:space="preserve"> ECRI recommends that the Bulgarian authorities insert a provision in the Criminal Code expressly stating that racist motivation for any ordinary offence constitu</w:t>
      </w:r>
      <w:r w:rsidRPr="005D023B" w:rsidR="002846C2">
        <w:t>te</w:t>
      </w:r>
      <w:r w:rsidR="00255356">
        <w:t>[s]</w:t>
      </w:r>
      <w:r w:rsidRPr="005D023B" w:rsidR="002846C2">
        <w:t xml:space="preserve"> an aggravating circumstance</w:t>
      </w:r>
      <w:r w:rsidR="00D57953">
        <w:t>.</w:t>
      </w:r>
      <w:r w:rsidR="009E622C">
        <w:t xml:space="preserve"> </w:t>
      </w:r>
      <w:r w:rsidR="005E0639">
        <w:t>...</w:t>
      </w:r>
    </w:p>
    <w:p w:rsidRPr="005D023B" w:rsidR="004B4DF9" w:rsidP="004B4DF9" w:rsidRDefault="009E7C80">
      <w:pPr>
        <w:pStyle w:val="JuQuot"/>
      </w:pPr>
      <w:r w:rsidRPr="005D023B">
        <w:t>ECRI is concerned about allegations of instances of excessive use of firearms by the police, which have sometimes led to the death of Roma</w:t>
      </w:r>
      <w:r w:rsidR="00D57953">
        <w:t>.</w:t>
      </w:r>
      <w:r w:rsidR="009E622C">
        <w:t xml:space="preserve"> </w:t>
      </w:r>
      <w:r w:rsidR="005E0639">
        <w:t>...</w:t>
      </w:r>
      <w:r w:rsidRPr="005D023B" w:rsidR="002846C2">
        <w:t xml:space="preserve"> </w:t>
      </w:r>
      <w:r w:rsidRPr="005D023B" w:rsidR="004B4DF9">
        <w:t>ECRI strongly recommends that the Bulgarian authorities take steps to restrict the use of firearms by the law</w:t>
      </w:r>
      <w:r w:rsidR="00572E20">
        <w:t xml:space="preserve"> </w:t>
      </w:r>
      <w:r w:rsidRPr="005D023B" w:rsidR="004B4DF9">
        <w:t>enforcement agencies to cases where their use is really necessary. In particular, it urges the Bulgarian authorities to amend the law to this end and ensure that international standards are conformed to in practice in this field.</w:t>
      </w:r>
    </w:p>
    <w:p w:rsidRPr="005D023B" w:rsidR="004B4DF9" w:rsidP="004B4DF9" w:rsidRDefault="004B4DF9">
      <w:pPr>
        <w:pStyle w:val="JuQuot"/>
      </w:pPr>
      <w:r w:rsidRPr="005D023B">
        <w:t xml:space="preserve">ECRI is particularly concerned about the findings </w:t>
      </w:r>
      <w:r w:rsidR="005E0639">
        <w:t>...</w:t>
      </w:r>
      <w:r w:rsidRPr="005D023B">
        <w:t xml:space="preserve"> that the proportion of people of Roma origin who state that they have been subjected to physical violence in police stations is three times higher than the proportion of people of Bulgarian origin</w:t>
      </w:r>
      <w:r w:rsidR="00D57953">
        <w:t>.</w:t>
      </w:r>
      <w:r w:rsidR="009E622C">
        <w:t xml:space="preserve"> </w:t>
      </w:r>
      <w:r w:rsidR="005E0639">
        <w:t>...</w:t>
      </w:r>
      <w:r w:rsidRPr="005D023B">
        <w:t xml:space="preserve"> So far, the Bulgarian authorities have not set up an inde</w:t>
      </w:r>
      <w:r w:rsidR="00B24604">
        <w:t>pendent body to investigate ill</w:t>
      </w:r>
      <w:r w:rsidR="00B24604">
        <w:rPr>
          <w:lang w:val="bg-BG"/>
        </w:rPr>
        <w:noBreakHyphen/>
      </w:r>
      <w:r w:rsidRPr="005D023B">
        <w:t>treatment or acts of discrimination committed by members of the police force</w:t>
      </w:r>
      <w:r w:rsidR="00D57953">
        <w:t>.</w:t>
      </w:r>
      <w:r w:rsidR="009E622C">
        <w:t xml:space="preserve"> </w:t>
      </w:r>
      <w:r w:rsidR="005E0639">
        <w:t>...</w:t>
      </w:r>
    </w:p>
    <w:p w:rsidR="00B147F8" w:rsidP="009E7C80" w:rsidRDefault="009E7C80">
      <w:pPr>
        <w:pStyle w:val="JuQuot"/>
      </w:pPr>
      <w:r w:rsidRPr="005D023B">
        <w:t>ECRI is pleased to learn that a specialised human rights committee was set up in the National Police Department in August 2000</w:t>
      </w:r>
      <w:r w:rsidR="009E622C">
        <w:t xml:space="preserve"> </w:t>
      </w:r>
      <w:r w:rsidR="005E0639">
        <w:t>...</w:t>
      </w:r>
      <w:r w:rsidRPr="005D023B" w:rsidR="002846C2">
        <w:t xml:space="preserve"> </w:t>
      </w:r>
      <w:r w:rsidRPr="005D023B">
        <w:t>Numerous schemes have been launched to provide human rights training for police officers</w:t>
      </w:r>
      <w:r w:rsidR="009E622C">
        <w:t xml:space="preserve"> </w:t>
      </w:r>
      <w:r w:rsidR="005E0639">
        <w:t>...</w:t>
      </w:r>
    </w:p>
    <w:p w:rsidR="009E622C" w:rsidP="009E7C80" w:rsidRDefault="009E622C">
      <w:pPr>
        <w:pStyle w:val="JuQuot"/>
      </w:pPr>
      <w:r>
        <w:t>...</w:t>
      </w:r>
    </w:p>
    <w:p w:rsidRPr="005D023B" w:rsidR="009E7C80" w:rsidP="009E7C80" w:rsidRDefault="009E7C80">
      <w:pPr>
        <w:pStyle w:val="JuQuot"/>
      </w:pPr>
      <w:r w:rsidRPr="005D023B">
        <w:t>The Framework Programme for Equal Integration of Roma in Bulgarian Society is unanimously considered, including by Roma representatives, to be well structured and fairly comprehensive</w:t>
      </w:r>
      <w:r w:rsidR="009E622C">
        <w:t xml:space="preserve"> </w:t>
      </w:r>
      <w:r w:rsidR="005E0639">
        <w:t>...</w:t>
      </w:r>
      <w:r w:rsidR="00466BE0">
        <w:t xml:space="preserve"> </w:t>
      </w:r>
      <w:r w:rsidRPr="005D023B">
        <w:t>There is, however, a unanimous feeling within the Roma community and among non-governmental organisations, that, apart from the few initiatives mentioned in this report, the programme has remained a dead letter</w:t>
      </w:r>
      <w:r w:rsidR="009E622C">
        <w:t xml:space="preserve"> </w:t>
      </w:r>
      <w:r w:rsidR="005E0639">
        <w:t>...</w:t>
      </w:r>
      <w:r w:rsidRPr="005D023B" w:rsidR="00AF3EFD">
        <w:t xml:space="preserve"> </w:t>
      </w:r>
      <w:r w:rsidRPr="005D023B">
        <w:t>The view in certain quarters is that the government lacks the political resolve to carry through such a programme</w:t>
      </w:r>
      <w:r w:rsidR="009E622C">
        <w:t xml:space="preserve"> </w:t>
      </w:r>
      <w:r w:rsidR="005E0639">
        <w:t>...</w:t>
      </w:r>
      <w:r w:rsidRPr="005D023B" w:rsidR="00AF3EFD">
        <w:t xml:space="preserve"> </w:t>
      </w:r>
      <w:r w:rsidRPr="005D023B">
        <w:t>ECRI is very concerned to learn that, four years after the adoption of the Framework Programme, its implementation is still in its early stages</w:t>
      </w:r>
      <w:r w:rsidR="00D57953">
        <w:t>.</w:t>
      </w:r>
      <w:r w:rsidR="009E622C">
        <w:t xml:space="preserve"> </w:t>
      </w:r>
      <w:r w:rsidR="005E0639">
        <w:t>...</w:t>
      </w:r>
      <w:r w:rsidRPr="005D023B">
        <w:t>”</w:t>
      </w:r>
    </w:p>
    <w:p w:rsidRPr="005D023B" w:rsidR="00CD49A7" w:rsidP="00297F6D" w:rsidRDefault="004C740A">
      <w:pPr>
        <w:pStyle w:val="JuParaChar"/>
      </w:pPr>
      <w:r>
        <w:fldChar w:fldCharType="begin"/>
      </w:r>
      <w:r>
        <w:instrText xml:space="preserve"> SEQ level0 \*arabic </w:instrText>
      </w:r>
      <w:r>
        <w:fldChar w:fldCharType="separate"/>
      </w:r>
      <w:r w:rsidR="00D57953">
        <w:rPr>
          <w:noProof/>
        </w:rPr>
        <w:t>59</w:t>
      </w:r>
      <w:r>
        <w:fldChar w:fldCharType="end"/>
      </w:r>
      <w:r>
        <w:t>.  </w:t>
      </w:r>
      <w:r w:rsidRPr="005D023B" w:rsidR="00297F6D">
        <w:t xml:space="preserve">Non-governmental organisations, such as Human Rights Project and Amnesty International have reported in the last several years numerous incidents of alleged racial violence against Roma in </w:t>
      </w:r>
      <w:smartTag w:uri="urn:schemas-microsoft-com:office:smarttags" w:element="place">
        <w:smartTag w:uri="urn:schemas-microsoft-com:office:smarttags" w:element="country-region">
          <w:r w:rsidR="00297F6D" w:rsidRPr="005D023B">
            <w:t>Bulgaria</w:t>
          </w:r>
        </w:smartTag>
      </w:smartTag>
      <w:r w:rsidRPr="005D023B" w:rsidR="00297F6D">
        <w:t>, including by law</w:t>
      </w:r>
      <w:r w:rsidR="00572E20">
        <w:t xml:space="preserve"> </w:t>
      </w:r>
      <w:r w:rsidRPr="005D023B" w:rsidR="00297F6D">
        <w:t>enforcement agents.</w:t>
      </w:r>
    </w:p>
    <w:p w:rsidRPr="005D023B" w:rsidR="00297F6D" w:rsidP="00297F6D" w:rsidRDefault="00297F6D">
      <w:pPr>
        <w:pStyle w:val="JuHIRoman"/>
      </w:pPr>
      <w:r w:rsidRPr="005D023B">
        <w:t>I</w:t>
      </w:r>
      <w:r w:rsidRPr="005D023B" w:rsidR="0049507B">
        <w:t>I</w:t>
      </w:r>
      <w:r w:rsidRPr="005D023B">
        <w:t>I.  RELEVANT DOMESTIC LAW AND PRACTICE</w:t>
      </w:r>
    </w:p>
    <w:p w:rsidRPr="005D023B" w:rsidR="00297F6D" w:rsidP="00A36A0A" w:rsidRDefault="00A36A0A">
      <w:pPr>
        <w:pStyle w:val="JuHA"/>
      </w:pPr>
      <w:r>
        <w:t>A</w:t>
      </w:r>
      <w:r w:rsidRPr="005D023B" w:rsidR="00297F6D">
        <w:t>.  Unpublished Regulations on the Military Police,</w:t>
      </w:r>
      <w:r w:rsidRPr="005D023B" w:rsidR="00297F6D">
        <w:rPr>
          <w:rStyle w:val="FootnoteReference"/>
        </w:rPr>
        <w:t xml:space="preserve"> </w:t>
      </w:r>
      <w:r w:rsidRPr="005D023B" w:rsidR="00297F6D">
        <w:t xml:space="preserve">issued by the Ministry of Defence on </w:t>
      </w:r>
      <w:smartTag w:uri="urn:schemas-microsoft-com:office:smarttags" w:element="date">
        <w:smartTagPr>
          <w:attr w:name="Month" w:val="12"/>
          <w:attr w:name="Day" w:val="21"/>
          <w:attr w:name="Year" w:val="1994"/>
        </w:smartTagPr>
        <w:r w:rsidR="00297F6D" w:rsidRPr="005D023B">
          <w:t>21 December 1994</w:t>
        </w:r>
      </w:smartTag>
    </w:p>
    <w:p w:rsidRPr="005D023B" w:rsidR="00297F6D" w:rsidP="00297F6D" w:rsidRDefault="00297F6D">
      <w:pPr>
        <w:pStyle w:val="JuParaChar"/>
        <w:keepNext/>
        <w:keepLines/>
      </w:pPr>
      <w:r w:rsidRPr="005D023B">
        <w:fldChar w:fldCharType="begin"/>
      </w:r>
      <w:r w:rsidRPr="005D023B">
        <w:instrText xml:space="preserve"> SEQ level0 \*arabic </w:instrText>
      </w:r>
      <w:r w:rsidRPr="005D023B">
        <w:fldChar w:fldCharType="separate"/>
      </w:r>
      <w:r w:rsidR="00D57953">
        <w:rPr>
          <w:noProof/>
        </w:rPr>
        <w:t>60</w:t>
      </w:r>
      <w:r w:rsidRPr="005D023B">
        <w:fldChar w:fldCharType="end"/>
      </w:r>
      <w:r w:rsidRPr="005D023B">
        <w:t>.  Section 45 of the Regulations (Regulation 45), as in force at the relevant time, provided as follows:</w:t>
      </w:r>
    </w:p>
    <w:p w:rsidR="00297F6D" w:rsidP="007711B9" w:rsidRDefault="00297F6D">
      <w:pPr>
        <w:pStyle w:val="JuQuot"/>
      </w:pPr>
      <w:r w:rsidRPr="007711B9">
        <w:t>“(1)  Military police officers may use firearms ... under the following circumstances</w:t>
      </w:r>
      <w:r w:rsidR="009E622C">
        <w:t>:</w:t>
      </w:r>
    </w:p>
    <w:p w:rsidRPr="007711B9" w:rsidR="009E622C" w:rsidP="007711B9" w:rsidRDefault="009E622C">
      <w:pPr>
        <w:pStyle w:val="JuQuot"/>
      </w:pPr>
      <w:r w:rsidRPr="007711B9">
        <w:t>...</w:t>
      </w:r>
    </w:p>
    <w:p w:rsidRPr="007711B9" w:rsidR="00297F6D" w:rsidP="007711B9" w:rsidRDefault="00297F6D">
      <w:pPr>
        <w:pStyle w:val="JuQuot"/>
      </w:pPr>
      <w:r w:rsidRPr="007711B9">
        <w:t>2.  to arrest a person serving in the army who has committed or is about to commit a publicly prosecut</w:t>
      </w:r>
      <w:r w:rsidRPr="007711B9" w:rsidR="000C57FC">
        <w:t>able</w:t>
      </w:r>
      <w:r w:rsidRPr="007711B9">
        <w:t xml:space="preserve"> offence and who does not surrender after being warned</w:t>
      </w:r>
      <w:r w:rsidR="009E622C">
        <w:t xml:space="preserve"> </w:t>
      </w:r>
      <w:r w:rsidRPr="007711B9">
        <w:t>...</w:t>
      </w:r>
    </w:p>
    <w:p w:rsidRPr="007711B9" w:rsidR="00E726E7" w:rsidP="007711B9" w:rsidRDefault="00297F6D">
      <w:pPr>
        <w:pStyle w:val="JuQuot"/>
      </w:pPr>
      <w:r w:rsidRPr="007711B9">
        <w:t>(2)  The use of force shall be preceded by an oral warning and a shot fired in the</w:t>
      </w:r>
      <w:r w:rsidRPr="007711B9" w:rsidR="000C57FC">
        <w:t xml:space="preserve"> </w:t>
      </w:r>
      <w:r w:rsidRPr="007711B9">
        <w:t>air</w:t>
      </w:r>
      <w:r w:rsidR="009E622C">
        <w:t xml:space="preserve"> </w:t>
      </w:r>
      <w:r w:rsidRPr="007711B9" w:rsidR="005E0639">
        <w:t>...</w:t>
      </w:r>
    </w:p>
    <w:p w:rsidRPr="007711B9" w:rsidR="00297F6D" w:rsidP="007711B9" w:rsidRDefault="00297F6D">
      <w:pPr>
        <w:pStyle w:val="JuQuot"/>
      </w:pPr>
      <w:r w:rsidRPr="007711B9">
        <w:t>(3)  When using firearms military police officers shall be under a duty, as far as possible, to protect the life of the person against whom they use force and to assist the wounded</w:t>
      </w:r>
      <w:r w:rsidR="009E622C">
        <w:t xml:space="preserve"> </w:t>
      </w:r>
      <w:r w:rsidRPr="007711B9">
        <w:t>...</w:t>
      </w:r>
    </w:p>
    <w:p w:rsidR="009E622C" w:rsidP="007711B9" w:rsidRDefault="009E622C">
      <w:pPr>
        <w:pStyle w:val="JuQuot"/>
      </w:pPr>
      <w:r w:rsidRPr="007711B9">
        <w:t>...</w:t>
      </w:r>
    </w:p>
    <w:p w:rsidRPr="007711B9" w:rsidR="00297F6D" w:rsidP="007711B9" w:rsidRDefault="00297F6D">
      <w:pPr>
        <w:pStyle w:val="JuQuot"/>
      </w:pPr>
      <w:r w:rsidRPr="007711B9">
        <w:t xml:space="preserve">(5)  Whenever firearms have been used, a report shall be prepared describing the circumstances which </w:t>
      </w:r>
      <w:r w:rsidRPr="007711B9" w:rsidR="00A018CD">
        <w:t>occasioned</w:t>
      </w:r>
      <w:r w:rsidRPr="007711B9">
        <w:t xml:space="preserve"> their use; [the report] shall be transmitted to the superiors of the officer concerned.”</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61</w:t>
      </w:r>
      <w:r w:rsidRPr="005D023B">
        <w:fldChar w:fldCharType="end"/>
      </w:r>
      <w:r w:rsidRPr="005D023B">
        <w:t>.  In December 2000 Regulati</w:t>
      </w:r>
      <w:r w:rsidR="009E622C">
        <w:t>on 45 was superseded by Decree n</w:t>
      </w:r>
      <w:r w:rsidRPr="005D023B">
        <w:t xml:space="preserve">o. 7 of </w:t>
      </w:r>
      <w:smartTag w:uri="urn:schemas-microsoft-com:office:smarttags" w:element="date">
        <w:smartTagPr>
          <w:attr w:name="Month" w:val="12"/>
          <w:attr w:name="Day" w:val="6"/>
          <w:attr w:name="Year" w:val="2000"/>
        </w:smartTagPr>
        <w:r w:rsidRPr="005D023B">
          <w:t>6 December 2000</w:t>
        </w:r>
      </w:smartTag>
      <w:r w:rsidRPr="005D023B">
        <w:t xml:space="preserve"> on the use of force and firearms by mil</w:t>
      </w:r>
      <w:r w:rsidR="009E622C">
        <w:t>itary police (published in Official Gazette n</w:t>
      </w:r>
      <w:r w:rsidRPr="005D023B">
        <w:t>o. 102/2000</w:t>
      </w:r>
      <w:r w:rsidR="000C57FC">
        <w:t xml:space="preserve"> and</w:t>
      </w:r>
      <w:r w:rsidRPr="005D023B" w:rsidR="000C57FC">
        <w:t xml:space="preserve"> </w:t>
      </w:r>
      <w:r w:rsidRPr="005D023B">
        <w:t xml:space="preserve">amended in 2001). According to </w:t>
      </w:r>
      <w:r w:rsidR="000C57FC">
        <w:t>Article</w:t>
      </w:r>
      <w:r w:rsidRPr="005D023B" w:rsidR="000C57FC">
        <w:t xml:space="preserve"> </w:t>
      </w:r>
      <w:r w:rsidR="009E622C">
        <w:t>21 of the d</w:t>
      </w:r>
      <w:r w:rsidRPr="005D023B">
        <w:t xml:space="preserve">ecree, firearms may be used, </w:t>
      </w:r>
      <w:r w:rsidRPr="005D023B">
        <w:rPr>
          <w:i/>
        </w:rPr>
        <w:t>inter alia</w:t>
      </w:r>
      <w:r w:rsidRPr="005D023B">
        <w:t xml:space="preserve">, for the arrest of any person who has committed an offence of the category of publicly prosecuted offences. The vast majority of offences under the Criminal Code fall within that category, </w:t>
      </w:r>
      <w:r w:rsidRPr="005D023B" w:rsidR="0097469D">
        <w:t>including, for example, petty theft. A</w:t>
      </w:r>
      <w:r w:rsidRPr="005D023B">
        <w:t xml:space="preserve">ccording to </w:t>
      </w:r>
      <w:r w:rsidR="000C57FC">
        <w:t>Articles</w:t>
      </w:r>
      <w:r w:rsidRPr="005D023B" w:rsidR="000C57FC">
        <w:t xml:space="preserve"> </w:t>
      </w:r>
      <w:r w:rsidR="009E622C">
        <w:t>2, 4 § 1 and 21 of the d</w:t>
      </w:r>
      <w:r w:rsidRPr="005D023B">
        <w:t>ecree, the nature of the offence committed by the person against whom the force and firearms are used and the character of the offender are factors to be taken into consideration.</w:t>
      </w:r>
    </w:p>
    <w:p w:rsidRPr="005D023B" w:rsidR="00297F6D" w:rsidP="00A36A0A" w:rsidRDefault="00A36A0A">
      <w:pPr>
        <w:pStyle w:val="JuHA"/>
      </w:pPr>
      <w:r>
        <w:t>B</w:t>
      </w:r>
      <w:r w:rsidRPr="005D023B" w:rsidR="00297F6D">
        <w:t>.  Other relevant law and practice on the use of force during arrest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62</w:t>
      </w:r>
      <w:r w:rsidRPr="005D023B">
        <w:fldChar w:fldCharType="end"/>
      </w:r>
      <w:r w:rsidRPr="005D023B">
        <w:t>.  Article 12 of the Criminal Code regulates the degree of force that may be used in self-defence. It requires esse</w:t>
      </w:r>
      <w:r w:rsidR="00F6591C">
        <w:t>ntially that any action in self</w:t>
      </w:r>
      <w:r w:rsidR="00F6591C">
        <w:noBreakHyphen/>
      </w:r>
      <w:r w:rsidRPr="005D023B">
        <w:t xml:space="preserve">defence or defence of another be proportionate to the nature and intensity of the attack and reasonable in the circumstances. The provision does not regulate cases where force has been used by a police officer or another person in order to effect an arrest without there being an attack on the arresting officer or any third party. Until 1997 </w:t>
      </w:r>
      <w:r w:rsidR="000C57FC">
        <w:t xml:space="preserve">there were </w:t>
      </w:r>
      <w:r w:rsidRPr="005D023B">
        <w:t>no other provision</w:t>
      </w:r>
      <w:r w:rsidR="000C57FC">
        <w:t>s</w:t>
      </w:r>
      <w:r w:rsidRPr="005D023B">
        <w:t xml:space="preserve"> regulat</w:t>
      </w:r>
      <w:r w:rsidR="000C57FC">
        <w:t>ing this issue</w:t>
      </w:r>
      <w:r w:rsidRPr="005D023B">
        <w:t xml:space="preserve">. </w:t>
      </w:r>
      <w:r w:rsidR="000C57FC">
        <w:t xml:space="preserve">However, </w:t>
      </w:r>
      <w:r w:rsidRPr="005D023B" w:rsidR="000C57FC">
        <w:t xml:space="preserve">the courts </w:t>
      </w:r>
      <w:r w:rsidRPr="005D023B">
        <w:t xml:space="preserve">appear </w:t>
      </w:r>
      <w:r w:rsidR="000C57FC">
        <w:t xml:space="preserve">to have </w:t>
      </w:r>
      <w:r w:rsidRPr="005D023B" w:rsidR="000C57FC">
        <w:t>applied Article 12</w:t>
      </w:r>
      <w:r w:rsidRPr="005D023B">
        <w:t xml:space="preserve"> </w:t>
      </w:r>
      <w:r w:rsidR="00CD6B41">
        <w:t xml:space="preserve">in </w:t>
      </w:r>
      <w:r w:rsidR="000C57FC">
        <w:t xml:space="preserve">certain </w:t>
      </w:r>
      <w:r w:rsidR="00CD6B41">
        <w:t>case</w:t>
      </w:r>
      <w:r w:rsidR="000C57FC">
        <w:t>s</w:t>
      </w:r>
      <w:r w:rsidR="00CD6B41">
        <w:t xml:space="preserve"> concerning </w:t>
      </w:r>
      <w:r w:rsidR="000C57FC">
        <w:t xml:space="preserve">the </w:t>
      </w:r>
      <w:r w:rsidR="00CD6B41">
        <w:t>use of force to effect an arrest</w:t>
      </w:r>
      <w:r w:rsidRPr="005D023B">
        <w: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63</w:t>
      </w:r>
      <w:r w:rsidRPr="005D023B">
        <w:fldChar w:fldCharType="end"/>
      </w:r>
      <w:r w:rsidRPr="005D023B">
        <w:t xml:space="preserve">.  To fill that </w:t>
      </w:r>
      <w:r w:rsidR="00AA3EE8">
        <w:t>vacuum</w:t>
      </w:r>
      <w:r w:rsidRPr="005D023B">
        <w:t>,</w:t>
      </w:r>
      <w:r w:rsidR="009E622C">
        <w:t xml:space="preserve"> in its </w:t>
      </w:r>
      <w:r w:rsidR="00572E20">
        <w:t>I</w:t>
      </w:r>
      <w:r w:rsidR="009E622C">
        <w:t>nterpretative D</w:t>
      </w:r>
      <w:r w:rsidR="00572E20">
        <w:t>irection</w:t>
      </w:r>
      <w:r w:rsidRPr="005D023B">
        <w:t xml:space="preserve"> no. 12 issued in 1973, the Supreme Court proclaimed, without further clarification, that causing harm in order to effect an arrest should not lead to prosecution if no more force was used than was necessary (12-1973-PPVS).</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64</w:t>
      </w:r>
      <w:r w:rsidRPr="005D023B">
        <w:fldChar w:fldCharType="end"/>
      </w:r>
      <w:r w:rsidR="009E622C">
        <w:t>.  In its D</w:t>
      </w:r>
      <w:r w:rsidRPr="005D023B">
        <w:t xml:space="preserve">ecision no. 15 of </w:t>
      </w:r>
      <w:smartTag w:uri="urn:schemas-microsoft-com:office:smarttags" w:element="date">
        <w:smartTagPr>
          <w:attr w:name="Month" w:val="3"/>
          <w:attr w:name="Day" w:val="17"/>
          <w:attr w:name="Year" w:val="1995"/>
        </w:smartTagPr>
        <w:r w:rsidRPr="005D023B">
          <w:t>17 March 1995</w:t>
        </w:r>
      </w:smartTag>
      <w:r w:rsidRPr="005D023B">
        <w:t>, the Supreme Court, while noting that the use of force in order to effect an arrest was not regulated by law and thus engendered difficulties for the courts, considered that the principles to be applied were those that had been identified by legal commentators. In particular, inflicting harm would be justified only where there was a reasonable suspicion that the person to be arrested had committed an offence, there were no other means to effect the arrest and the harm caused was proportionate to the seriousness of the offence. The Supreme Court also stated:</w:t>
      </w:r>
    </w:p>
    <w:p w:rsidRPr="005D023B" w:rsidR="00297F6D" w:rsidP="00297F6D" w:rsidRDefault="00297F6D">
      <w:pPr>
        <w:pStyle w:val="JuQuot"/>
      </w:pPr>
      <w:r w:rsidRPr="005D023B">
        <w:t>“... [Causing harm to an offender in order to effect an arrest] is an act of last resort. If the offender does not attempt to escape or ... does attempt t</w:t>
      </w:r>
      <w:r w:rsidR="009E622C">
        <w:t xml:space="preserve">o escape, but to a known hiding </w:t>
      </w:r>
      <w:r w:rsidRPr="005D023B">
        <w:t>place, causing harm will not be justified</w:t>
      </w:r>
      <w:r w:rsidR="009E622C">
        <w:t xml:space="preserve"> </w:t>
      </w:r>
      <w:r w:rsidRPr="005D023B">
        <w:t>...</w:t>
      </w:r>
    </w:p>
    <w:p w:rsidRPr="005D023B" w:rsidR="00297F6D" w:rsidP="00297F6D" w:rsidRDefault="00297F6D">
      <w:pPr>
        <w:pStyle w:val="JuQuot"/>
      </w:pPr>
      <w:r w:rsidRPr="005D023B">
        <w:t xml:space="preserve">The harm caused must be proportionate to the seriousness ... of the offence. If the offender has committed an offence representing insignificant danger to the public, his life and health cannot be put at risk. Putting his life or health at risk </w:t>
      </w:r>
      <w:r w:rsidR="00F547A0">
        <w:t>may</w:t>
      </w:r>
      <w:r w:rsidRPr="005D023B" w:rsidR="00F547A0">
        <w:t xml:space="preserve"> </w:t>
      </w:r>
      <w:r w:rsidRPr="005D023B">
        <w:t>be justified, however, where a person is in hiding after committing a serious offence (such as murder, rape or robbery).</w:t>
      </w:r>
    </w:p>
    <w:p w:rsidR="00B147F8" w:rsidP="00297F6D" w:rsidRDefault="00297F6D">
      <w:pPr>
        <w:pStyle w:val="JuQuot"/>
      </w:pPr>
      <w:r w:rsidRPr="005D023B">
        <w:t>The means used to effect the arrest (and the harm caused) must be reasonable in the circumstances. This is the most important condition for lawfulness</w:t>
      </w:r>
      <w:r w:rsidR="009E622C">
        <w:t xml:space="preserve"> </w:t>
      </w:r>
      <w:r w:rsidRPr="005D023B">
        <w:t>...</w:t>
      </w:r>
    </w:p>
    <w:p w:rsidRPr="005D023B" w:rsidR="00297F6D" w:rsidP="00297F6D" w:rsidRDefault="00297F6D">
      <w:pPr>
        <w:pStyle w:val="JuQuot"/>
      </w:pPr>
      <w:r w:rsidRPr="005D023B">
        <w:t>Where the harm caused exceeds what was necessary ..., that is to say, where it does not correspond to the seriousness of the offence and the circumstances obtaining during the arrest, ... the person inflicting it will be liable to prosecution</w:t>
      </w:r>
      <w:r w:rsidR="009E622C">
        <w:t xml:space="preserve"> </w:t>
      </w:r>
      <w:r w:rsidRPr="005D023B">
        <w: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65</w:t>
      </w:r>
      <w:r w:rsidRPr="005D023B">
        <w:fldChar w:fldCharType="end"/>
      </w:r>
      <w:r w:rsidRPr="005D023B">
        <w:t xml:space="preserve">.  In 1997 Parliament decided to fill the legislative </w:t>
      </w:r>
      <w:r w:rsidR="00572E20">
        <w:t>vacuum</w:t>
      </w:r>
      <w:r w:rsidRPr="005D023B">
        <w:t xml:space="preserve"> by adding a new Article 12a to the Criminal Code. It provides that causing harm to a person while arresting him or her for an offence shall not be punishable where no other means of effecting the arrest existed and the force used was necessary and lawful. The force used will not be considered “necessary” where it is manifestly disproportionate to the nature of the offence committed by the person to be arrested or is in itself excessive and unnecessary. Few judgments interpreting Article 12a have been reported.</w:t>
      </w:r>
    </w:p>
    <w:p w:rsidRPr="005D023B" w:rsidR="00297F6D" w:rsidP="00A36A0A" w:rsidRDefault="00A36A0A">
      <w:pPr>
        <w:pStyle w:val="JuHA"/>
      </w:pPr>
      <w:r>
        <w:t>C</w:t>
      </w:r>
      <w:r w:rsidRPr="005D023B" w:rsidR="00297F6D">
        <w:t>.  </w:t>
      </w:r>
      <w:r w:rsidR="009E622C">
        <w:t xml:space="preserve">The </w:t>
      </w:r>
      <w:r w:rsidRPr="005D023B" w:rsidR="00297F6D">
        <w:t>Code of Criminal Procedure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66</w:t>
      </w:r>
      <w:r w:rsidRPr="005D023B">
        <w:fldChar w:fldCharType="end"/>
      </w:r>
      <w:r w:rsidRPr="005D023B">
        <w:t xml:space="preserve">.  Article 192 provides that proceedings concerning publicly </w:t>
      </w:r>
      <w:r w:rsidRPr="005D023B" w:rsidR="00F547A0">
        <w:t>prosecut</w:t>
      </w:r>
      <w:r w:rsidR="00F547A0">
        <w:t>able</w:t>
      </w:r>
      <w:r w:rsidR="00A23579">
        <w:t xml:space="preserve"> offences</w:t>
      </w:r>
      <w:r w:rsidRPr="005D023B" w:rsidR="00F547A0">
        <w:t xml:space="preserve"> </w:t>
      </w:r>
      <w:r w:rsidRPr="005D023B">
        <w:t xml:space="preserve">may only be initiated by a prosecutor or an investigator acting on a complaint or </w:t>
      </w:r>
      <w:r w:rsidRPr="005D023B">
        <w:rPr>
          <w:i/>
        </w:rPr>
        <w:t>ex officio</w:t>
      </w:r>
      <w:r w:rsidRPr="005D023B">
        <w:t>. Under Art</w:t>
      </w:r>
      <w:r w:rsidR="00B24604">
        <w:t>icle 237 § 6, as worded until 1</w:t>
      </w:r>
      <w:r w:rsidR="00B24604">
        <w:rPr>
          <w:lang w:val="bg-BG"/>
        </w:rPr>
        <w:t xml:space="preserve"> </w:t>
      </w:r>
      <w:r w:rsidRPr="005D023B">
        <w:t>January 2000, the victim ha</w:t>
      </w:r>
      <w:r w:rsidR="00AA3EE8">
        <w:t>d a right of appeal to a higher-</w:t>
      </w:r>
      <w:r w:rsidRPr="005D023B">
        <w:t>ranking prosecutor against a decision not to proceed with pending criminal proceedings. The victim had no other means of challenging a refusal to prosecute.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67</w:t>
      </w:r>
      <w:r w:rsidRPr="005D023B">
        <w:fldChar w:fldCharType="end"/>
      </w:r>
      <w:r w:rsidRPr="005D023B">
        <w:t>.  When military courts have jurisdiction to hear a case, as for ex</w:t>
      </w:r>
      <w:r w:rsidR="00AA3EE8">
        <w:t xml:space="preserve">ample when it concerns military </w:t>
      </w:r>
      <w:r w:rsidRPr="005D023B">
        <w:t>police officers, the responsibility for conducting the investigation and prosecuti</w:t>
      </w:r>
      <w:r w:rsidR="00572E20">
        <w:t>on</w:t>
      </w:r>
      <w:r w:rsidRPr="005D023B">
        <w:t xml:space="preserve"> lies with the military investigators and prosecutors, whose decisions are </w:t>
      </w:r>
      <w:r w:rsidR="00572E20">
        <w:t>open</w:t>
      </w:r>
      <w:r w:rsidRPr="005D023B">
        <w:t xml:space="preserve"> to appeal before the Chief Public Prosecutor.</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68</w:t>
      </w:r>
      <w:r w:rsidRPr="005D023B">
        <w:fldChar w:fldCharType="end"/>
      </w:r>
      <w:r w:rsidRPr="005D023B">
        <w:t>.  Article 63 entitles victims of crime to join the criminal proceedings, and in that connection to claim damages, to inspect the case file and take copies of relevant documents</w:t>
      </w:r>
      <w:r w:rsidR="00F547A0">
        <w:t>. They may also</w:t>
      </w:r>
      <w:r w:rsidRPr="005D023B">
        <w:t xml:space="preserve"> adduce evidence, raise objections, make applications and appeal against decisions of the investigating and prosecuting authorities.</w:t>
      </w:r>
    </w:p>
    <w:p w:rsidRPr="005D023B" w:rsidR="00297F6D" w:rsidP="00A36A0A" w:rsidRDefault="00A36A0A">
      <w:pPr>
        <w:pStyle w:val="JuHA"/>
      </w:pPr>
      <w:r>
        <w:t>D</w:t>
      </w:r>
      <w:r w:rsidRPr="005D023B" w:rsidR="00297F6D">
        <w:t>.  The Protection against Discrimination Act</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69</w:t>
      </w:r>
      <w:r w:rsidRPr="005D023B">
        <w:fldChar w:fldCharType="end"/>
      </w:r>
      <w:r w:rsidRPr="005D023B">
        <w:t>.  The Protection against Discrimination Act was pass</w:t>
      </w:r>
      <w:r w:rsidR="009E622C">
        <w:t>ed in September 2003 and came</w:t>
      </w:r>
      <w:r w:rsidRPr="005D023B">
        <w:t xml:space="preserve"> into force on </w:t>
      </w:r>
      <w:smartTag w:uri="urn:schemas-microsoft-com:office:smarttags" w:element="date">
        <w:smartTagPr>
          <w:attr w:name="Month" w:val="1"/>
          <w:attr w:name="Day" w:val="1"/>
          <w:attr w:name="Year" w:val="2004"/>
        </w:smartTagPr>
        <w:r w:rsidRPr="005D023B">
          <w:t>1 January 2004</w:t>
        </w:r>
      </w:smartTag>
      <w:r w:rsidRPr="005D023B">
        <w:t xml:space="preserve">. It is a comprehensive piece of legislation designed to create machinery </w:t>
      </w:r>
      <w:r w:rsidR="00AA3EE8">
        <w:t>to provide</w:t>
      </w:r>
      <w:r w:rsidRPr="005D023B">
        <w:t xml:space="preserve"> effective protection against unlawful discrimination. It applies mainly in the spheres of labour relations, State administration and the provision of services.</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70</w:t>
      </w:r>
      <w:r w:rsidRPr="005D023B">
        <w:fldChar w:fldCharType="end"/>
      </w:r>
      <w:r w:rsidRPr="005D023B">
        <w:t xml:space="preserve">.  Section 9 provides for a shifting burden of proof in discrimination cases. Under that section, where the claimant has proved facts from which an inference that there has been discriminatory treatment might be drawn, it is incumbent on the defendant to prove that there has been no violation of the right to equal treatment. The Act also provides for the creation of a Commission for Protection against Discrimination with jurisdiction, </w:t>
      </w:r>
      <w:r w:rsidRPr="005D023B">
        <w:rPr>
          <w:i/>
        </w:rPr>
        <w:t>inter alia</w:t>
      </w:r>
      <w:r w:rsidRPr="005D023B">
        <w:t>, to hear individual complaints.</w:t>
      </w:r>
    </w:p>
    <w:p w:rsidRPr="005D023B" w:rsidR="00297F6D" w:rsidP="00297F6D" w:rsidRDefault="00297F6D">
      <w:pPr>
        <w:pStyle w:val="JuHIRoman"/>
      </w:pPr>
      <w:r w:rsidRPr="005D023B">
        <w:t>IV.  RELEVANT INTERNATIONAL AND COMPARATIVE LAW</w:t>
      </w:r>
    </w:p>
    <w:p w:rsidRPr="005D023B" w:rsidR="00297F6D" w:rsidP="00297F6D" w:rsidRDefault="00297F6D">
      <w:pPr>
        <w:pStyle w:val="JuHA"/>
      </w:pPr>
      <w:r w:rsidRPr="005D023B">
        <w:t>A.  United Nations principles</w:t>
      </w:r>
      <w:r w:rsidRPr="005D023B" w:rsidR="005D023B">
        <w:t xml:space="preserve"> on </w:t>
      </w:r>
      <w:r w:rsidR="00970DFE">
        <w:t xml:space="preserve">the </w:t>
      </w:r>
      <w:r w:rsidRPr="005D023B" w:rsidR="005D023B">
        <w:t>use of force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71</w:t>
      </w:r>
      <w:r w:rsidRPr="005D023B">
        <w:fldChar w:fldCharType="end"/>
      </w:r>
      <w:r w:rsidRPr="005D023B">
        <w:t>.  The United Nations Basic Principles on the Use of Force and Firear</w:t>
      </w:r>
      <w:r w:rsidR="00FB0668">
        <w:t>ms by Law Enforcement Officials</w:t>
      </w:r>
      <w:r w:rsidRPr="005D023B">
        <w:t xml:space="preserve"> were adopted on </w:t>
      </w:r>
      <w:smartTag w:uri="urn:schemas-microsoft-com:office:smarttags" w:element="date">
        <w:smartTagPr>
          <w:attr w:name="Month" w:val="9"/>
          <w:attr w:name="Day" w:val="7"/>
          <w:attr w:name="Year" w:val="1990"/>
        </w:smartTagPr>
        <w:r w:rsidRPr="005D023B">
          <w:t>7 September 1990</w:t>
        </w:r>
      </w:smartTag>
      <w:r w:rsidRPr="005D023B">
        <w:t xml:space="preserve"> by the Eighth United Nations Congress on the Prevention of Crime and the Treatment of Offenders.</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72</w:t>
      </w:r>
      <w:r w:rsidRPr="005D023B">
        <w:fldChar w:fldCharType="end"/>
      </w:r>
      <w:r w:rsidRPr="005D023B">
        <w:t>.  Paragraph 9 provides:</w:t>
      </w:r>
    </w:p>
    <w:p w:rsidRPr="005D023B" w:rsidR="00297F6D" w:rsidP="00297F6D" w:rsidRDefault="009E622C">
      <w:pPr>
        <w:pStyle w:val="JuQuot"/>
      </w:pPr>
      <w:r>
        <w:t>“Law</w:t>
      </w:r>
      <w:r w:rsidR="00572E20">
        <w:t xml:space="preserve"> </w:t>
      </w:r>
      <w:r w:rsidRPr="005D023B" w:rsidR="00297F6D">
        <w:t>enforcement officials shall not use firearms</w:t>
      </w:r>
      <w:r>
        <w:t xml:space="preserve"> against persons except in self-</w:t>
      </w:r>
      <w:r w:rsidRPr="005D023B" w:rsidR="00297F6D">
        <w:t>defence or defence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73</w:t>
      </w:r>
      <w:r w:rsidRPr="005D023B">
        <w:fldChar w:fldCharType="end"/>
      </w:r>
      <w:r w:rsidRPr="005D023B">
        <w:t>.  According to other pr</w:t>
      </w:r>
      <w:r w:rsidR="009E622C">
        <w:t>ovisions of the Principles, law</w:t>
      </w:r>
      <w:r w:rsidR="00572E20">
        <w:t xml:space="preserve"> </w:t>
      </w:r>
      <w:r w:rsidRPr="005D023B">
        <w:t>enforcement officials shall “act in proportion to the seriousness of the offence and the legitimate objective to be achieved” (paragraph 5). Also, “Governments shall ensure that arbitrary or abusive u</w:t>
      </w:r>
      <w:r w:rsidR="009E622C">
        <w:t>se of force and firearms by law</w:t>
      </w:r>
      <w:r w:rsidR="00572E20">
        <w:t xml:space="preserve"> </w:t>
      </w:r>
      <w:r w:rsidRPr="005D023B">
        <w:t>enforcement officials is punished as a criminal offence under their law” (paragraph 7). National rules and regulations on the use of firearms should “ensure that firearms are used only in appropriate circumstances and in a manner likely to decrease the risk of unnecessary harm”.</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74</w:t>
      </w:r>
      <w:r w:rsidRPr="005D023B">
        <w:fldChar w:fldCharType="end"/>
      </w:r>
      <w:r w:rsidRPr="005D023B">
        <w:t>.  Paragraph 23 of the Principles states that victims or their family should have access to an independent process, “including a judicial process”</w:t>
      </w:r>
      <w:r w:rsidRPr="005D023B" w:rsidR="00AA3EE8">
        <w:t>.</w:t>
      </w:r>
      <w:r w:rsidRPr="005D023B">
        <w:t xml:space="preserve"> Further, paragraph 24 provides:</w:t>
      </w:r>
    </w:p>
    <w:p w:rsidRPr="005D023B" w:rsidR="00297F6D" w:rsidP="00297F6D" w:rsidRDefault="009E622C">
      <w:pPr>
        <w:pStyle w:val="JuQuot"/>
      </w:pPr>
      <w:r>
        <w:t>“Governments and law</w:t>
      </w:r>
      <w:r w:rsidR="00572E20">
        <w:t xml:space="preserve"> </w:t>
      </w:r>
      <w:r w:rsidRPr="005D023B" w:rsidR="00297F6D">
        <w:t>enforcement agencies shall ensure that superior officers are held responsible if they know, or should have known, that law enforcement officials under their command are resorting, or have resorted, to the unlawful use of force and firearms, and they did not take all measures in their power to prevent, suppress or report such use.”</w:t>
      </w:r>
    </w:p>
    <w:p w:rsidR="00F2618C"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75</w:t>
      </w:r>
      <w:r w:rsidRPr="005D023B">
        <w:fldChar w:fldCharType="end"/>
      </w:r>
      <w:r w:rsidRPr="005D023B">
        <w:t xml:space="preserve">.  The United Nations Principles on the Effective Prevention and Investigation of Extra-Legal, Arbitrary and Summary Executions, adopted on 24 May 1989 by the Economic and Social Council </w:t>
      </w:r>
      <w:r w:rsidR="00572E20">
        <w:t xml:space="preserve">in </w:t>
      </w:r>
      <w:r w:rsidRPr="005D023B">
        <w:t xml:space="preserve">Resolution 1989/65, provide, </w:t>
      </w:r>
      <w:r w:rsidRPr="005D023B">
        <w:rPr>
          <w:i/>
        </w:rPr>
        <w:t>inter alia</w:t>
      </w:r>
      <w:r w:rsidRPr="005D023B">
        <w:t xml:space="preserve">, that there shall be a thorough, prompt and impartial investigation of all suspected cases of extra-legal, arbitrary and summary executions and that the investigation should aim at, </w:t>
      </w:r>
      <w:r w:rsidRPr="005D023B">
        <w:rPr>
          <w:i/>
        </w:rPr>
        <w:t>inter alia</w:t>
      </w:r>
      <w:r w:rsidRPr="005D023B">
        <w:t>, determining “any pattern or practice which may have brought about” the death.</w:t>
      </w:r>
    </w:p>
    <w:p w:rsidRPr="005D023B" w:rsidR="00297F6D" w:rsidP="00297F6D" w:rsidRDefault="00297F6D">
      <w:pPr>
        <w:pStyle w:val="JuParaChar"/>
      </w:pPr>
      <w:r w:rsidRPr="005D023B">
        <w:t>Paragraph 11 states:</w:t>
      </w:r>
    </w:p>
    <w:p w:rsidRPr="005D023B" w:rsidR="00297F6D" w:rsidP="00297F6D" w:rsidRDefault="00297F6D">
      <w:pPr>
        <w:pStyle w:val="JuQuot"/>
      </w:pPr>
      <w:r w:rsidRPr="005D023B">
        <w:t>“In cases in which the established investigative procedures are inadequate because of a lack of expertise or impartiality, because of the importance of the matter or because of the apparent existence of a pattern of abuse, and in cases where there are complaints from the family of the victim about these inadequacies or other substantial reasons, Governments shall pursue investigations through an independent commission of inquiry or similar procedure. Members of such a commission shall be chosen for their recognised impartiality, competence and independence as individuals. In particular, they shall be independent of any institution, agency or person that may be the subject of the inquiry. The commission shall have the authority to obtain all information necessary to the inquiry and shall conduct the inquiry as provided in these Principles.”</w:t>
      </w:r>
    </w:p>
    <w:p w:rsidRPr="005D023B" w:rsidR="00297F6D" w:rsidP="00297F6D" w:rsidRDefault="00297F6D">
      <w:pPr>
        <w:pStyle w:val="JuParaChar"/>
      </w:pPr>
      <w:r w:rsidRPr="005D023B">
        <w:t>Paragraph 17 states:</w:t>
      </w:r>
    </w:p>
    <w:p w:rsidRPr="005D023B" w:rsidR="00297F6D" w:rsidP="00297F6D" w:rsidRDefault="00297F6D">
      <w:pPr>
        <w:pStyle w:val="JuQuot"/>
      </w:pPr>
      <w:r w:rsidRPr="005D023B">
        <w:t>“A written report shall be made within a reasonable time on the methods and findings of such investigations. The report shall be made public immediately and shall include the scope of the inquiry, procedures, methods used to evaluate evidence as well as conclusions and recommendations based on findings of fact and on applicable law...”</w:t>
      </w:r>
    </w:p>
    <w:p w:rsidRPr="005D023B" w:rsidR="00297F6D" w:rsidP="00297F6D" w:rsidRDefault="005D023B">
      <w:pPr>
        <w:pStyle w:val="JuHA"/>
      </w:pPr>
      <w:r w:rsidRPr="005D023B">
        <w:t>B.  International instruments</w:t>
      </w:r>
      <w:r>
        <w:t xml:space="preserve"> and </w:t>
      </w:r>
      <w:r w:rsidR="007D7F69">
        <w:t xml:space="preserve">comparative </w:t>
      </w:r>
      <w:r w:rsidR="007734A7">
        <w:t>law</w:t>
      </w:r>
      <w:r w:rsidRPr="005D023B" w:rsidR="007734A7">
        <w:t xml:space="preserve"> </w:t>
      </w:r>
      <w:r w:rsidRPr="005D023B">
        <w:t>on racist violence</w:t>
      </w:r>
    </w:p>
    <w:p w:rsidRPr="005D023B" w:rsidR="005D023B" w:rsidP="005D023B" w:rsidRDefault="005D023B">
      <w:pPr>
        <w:pStyle w:val="JuPara"/>
      </w:pPr>
      <w:r w:rsidRPr="005D023B">
        <w:fldChar w:fldCharType="begin"/>
      </w:r>
      <w:r w:rsidRPr="005D023B">
        <w:instrText xml:space="preserve"> SEQ level0 \*arabic </w:instrText>
      </w:r>
      <w:r w:rsidRPr="005D023B">
        <w:fldChar w:fldCharType="separate"/>
      </w:r>
      <w:r w:rsidR="00D57953">
        <w:rPr>
          <w:noProof/>
        </w:rPr>
        <w:t>76</w:t>
      </w:r>
      <w:r w:rsidRPr="005D023B">
        <w:fldChar w:fldCharType="end"/>
      </w:r>
      <w:r w:rsidRPr="005D023B">
        <w:t>.  </w:t>
      </w:r>
      <w:r w:rsidR="009E622C">
        <w:t xml:space="preserve">The relevant parts of </w:t>
      </w:r>
      <w:r w:rsidRPr="005D023B">
        <w:t xml:space="preserve">Article 4 of the International Convention on the Elimination of all forms of Racial Discrimination, </w:t>
      </w:r>
      <w:r w:rsidR="009C5E67">
        <w:t>ratified by</w:t>
      </w:r>
      <w:r w:rsidRPr="005D023B">
        <w:t xml:space="preserve"> </w:t>
      </w:r>
      <w:smartTag w:uri="urn:schemas-microsoft-com:office:smarttags" w:element="place">
        <w:smartTag w:uri="urn:schemas-microsoft-com:office:smarttags" w:element="country-region">
          <w:r w:rsidRPr="005D023B">
            <w:t>Bulgaria</w:t>
          </w:r>
        </w:smartTag>
      </w:smartTag>
      <w:r w:rsidRPr="005D023B">
        <w:t xml:space="preserve"> </w:t>
      </w:r>
      <w:r w:rsidR="009C5E67">
        <w:t>in</w:t>
      </w:r>
      <w:r w:rsidRPr="005D023B">
        <w:t xml:space="preserve"> 196</w:t>
      </w:r>
      <w:r w:rsidR="009C5E67">
        <w:t>6</w:t>
      </w:r>
      <w:r w:rsidR="009D2F54">
        <w:t>, in force since 1969</w:t>
      </w:r>
      <w:r w:rsidR="009E622C">
        <w:t xml:space="preserve"> and published in the Official</w:t>
      </w:r>
      <w:r w:rsidR="0049301D">
        <w:t xml:space="preserve"> Gazette in 1992</w:t>
      </w:r>
      <w:r w:rsidRPr="005D023B">
        <w:t>, provide:</w:t>
      </w:r>
    </w:p>
    <w:p w:rsidR="00B147F8" w:rsidP="005D023B" w:rsidRDefault="005D023B">
      <w:pPr>
        <w:pStyle w:val="JuQuot"/>
      </w:pPr>
      <w:r w:rsidRPr="005D023B">
        <w:t xml:space="preserve">“States Parties </w:t>
      </w:r>
      <w:r w:rsidR="005E0639">
        <w:t>...</w:t>
      </w:r>
      <w:r w:rsidRPr="005D023B">
        <w:t xml:space="preserve"> undertake to adopt immediate and positive measures designed to eradicate all incitement to, or acts of, [racial] discrimination and, to this end </w:t>
      </w:r>
      <w:r w:rsidR="005E0639">
        <w:t>...</w:t>
      </w:r>
    </w:p>
    <w:p w:rsidRPr="005D023B" w:rsidR="005D023B" w:rsidP="005D023B" w:rsidRDefault="00874A0D">
      <w:pPr>
        <w:pStyle w:val="JuQuot"/>
      </w:pPr>
      <w:r>
        <w:t>(a)  </w:t>
      </w:r>
      <w:r w:rsidRPr="005D023B" w:rsidR="005D023B">
        <w:t xml:space="preserve">Shall declare an offence punishable by law </w:t>
      </w:r>
      <w:r w:rsidR="005E0639">
        <w:t>...</w:t>
      </w:r>
      <w:r w:rsidRPr="005D023B" w:rsidR="005D023B">
        <w:t xml:space="preserve"> all acts of violence or incitement to such acts against any race or group of persons of another colour or ethnic origin </w:t>
      </w:r>
      <w:r w:rsidR="005E0639">
        <w:t>...</w:t>
      </w:r>
      <w:r w:rsidRPr="005D023B" w:rsidR="005D023B">
        <w:t>”</w:t>
      </w:r>
    </w:p>
    <w:p w:rsidR="004C740A" w:rsidP="00C54283" w:rsidRDefault="004C740A">
      <w:pPr>
        <w:pStyle w:val="JuParaChar"/>
      </w:pPr>
      <w:r>
        <w:fldChar w:fldCharType="begin"/>
      </w:r>
      <w:r>
        <w:instrText xml:space="preserve"> SEQ level0 \*arabic </w:instrText>
      </w:r>
      <w:r>
        <w:fldChar w:fldCharType="separate"/>
      </w:r>
      <w:r w:rsidR="00D57953">
        <w:rPr>
          <w:noProof/>
        </w:rPr>
        <w:t>77</w:t>
      </w:r>
      <w:r>
        <w:fldChar w:fldCharType="end"/>
      </w:r>
      <w:r>
        <w:t>.  In its views of 16 March 1993</w:t>
      </w:r>
      <w:r w:rsidR="009E622C">
        <w:t xml:space="preserve"> in C</w:t>
      </w:r>
      <w:r>
        <w:t xml:space="preserve">ommunication no. 4/91, </w:t>
      </w:r>
      <w:r w:rsidR="00F6591C">
        <w:rPr>
          <w:i/>
        </w:rPr>
        <w:t xml:space="preserve">L.K. </w:t>
      </w:r>
      <w:r w:rsidR="00C602A2">
        <w:rPr>
          <w:i/>
        </w:rPr>
        <w:t>v. the </w:t>
      </w:r>
      <w:r w:rsidRPr="007734A7">
        <w:rPr>
          <w:i/>
        </w:rPr>
        <w:t>Netherlands</w:t>
      </w:r>
      <w:r>
        <w:t>, which concerned racist threats uttered by private individuals against Mr L.K. and the inadequate reaction by the authorities to the victim</w:t>
      </w:r>
      <w:r w:rsidR="00F2618C">
        <w:t>'</w:t>
      </w:r>
      <w:r>
        <w:t>s complaint, the C</w:t>
      </w:r>
      <w:r w:rsidR="003A14FC">
        <w:t xml:space="preserve">ommittee on the </w:t>
      </w:r>
      <w:r w:rsidRPr="005D023B" w:rsidR="003A14FC">
        <w:t xml:space="preserve">Elimination of </w:t>
      </w:r>
      <w:r w:rsidRPr="005D023B" w:rsidR="007734A7">
        <w:t xml:space="preserve">All Forms </w:t>
      </w:r>
      <w:r w:rsidRPr="005D023B" w:rsidR="003A14FC">
        <w:t>of Racial Discrimination</w:t>
      </w:r>
      <w:r>
        <w:t xml:space="preserve"> stated, </w:t>
      </w:r>
      <w:r w:rsidRPr="004C740A">
        <w:rPr>
          <w:i/>
        </w:rPr>
        <w:t>inter alia</w:t>
      </w:r>
      <w:r w:rsidR="00B74454">
        <w:t xml:space="preserve">, that it </w:t>
      </w:r>
      <w:r w:rsidR="007734A7">
        <w:t xml:space="preserve">was </w:t>
      </w:r>
      <w:r w:rsidR="00B74454">
        <w:t xml:space="preserve">incumbent </w:t>
      </w:r>
      <w:r>
        <w:t>on the State to investigate with due diligence and expedition cases of incitement to racist discrimination and violence.</w:t>
      </w:r>
    </w:p>
    <w:p w:rsidR="005D023B" w:rsidP="00C54283" w:rsidRDefault="005D023B">
      <w:pPr>
        <w:pStyle w:val="JuParaChar"/>
      </w:pPr>
      <w:r>
        <w:fldChar w:fldCharType="begin"/>
      </w:r>
      <w:r>
        <w:instrText xml:space="preserve"> SEQ level0 \*arabic </w:instrText>
      </w:r>
      <w:r>
        <w:fldChar w:fldCharType="separate"/>
      </w:r>
      <w:r w:rsidR="00D57953">
        <w:rPr>
          <w:noProof/>
        </w:rPr>
        <w:t>78</w:t>
      </w:r>
      <w:r>
        <w:fldChar w:fldCharType="end"/>
      </w:r>
      <w:r>
        <w:t>.  </w:t>
      </w:r>
      <w:r w:rsidR="00F3093D">
        <w:t xml:space="preserve">The relevant part of </w:t>
      </w:r>
      <w:r>
        <w:t>Article 6 of the Council of Europe</w:t>
      </w:r>
      <w:r w:rsidR="00F2618C">
        <w:t>'</w:t>
      </w:r>
      <w:r>
        <w:t xml:space="preserve">s Framework Convention for the Protection of National Minorities, in force </w:t>
      </w:r>
      <w:r w:rsidR="00B74454">
        <w:t>in</w:t>
      </w:r>
      <w:r>
        <w:t xml:space="preserve"> </w:t>
      </w:r>
      <w:smartTag w:uri="urn:schemas-microsoft-com:office:smarttags" w:element="place">
        <w:smartTag w:uri="urn:schemas-microsoft-com:office:smarttags" w:element="country-region">
          <w:r>
            <w:t>Bulgaria</w:t>
          </w:r>
        </w:smartTag>
      </w:smartTag>
      <w:r>
        <w:t xml:space="preserve"> since 1999, provides:</w:t>
      </w:r>
    </w:p>
    <w:p w:rsidRPr="005D023B" w:rsidR="005D023B" w:rsidP="005D023B" w:rsidRDefault="005D023B">
      <w:pPr>
        <w:pStyle w:val="JuQuot"/>
      </w:pPr>
      <w:r>
        <w:t>“</w:t>
      </w:r>
      <w:r w:rsidRPr="005D023B">
        <w:t>The Parties undertake to take appropriate measures to protect persons who may be subject to threats or acts of discrimination, hostility or violence as a result of their ethnic, cultural, linguistic or religious identity.</w:t>
      </w:r>
      <w:r>
        <w:t>”</w:t>
      </w:r>
    </w:p>
    <w:p w:rsidRPr="005D023B" w:rsidR="00297F6D" w:rsidP="005D023B" w:rsidRDefault="00297F6D">
      <w:pPr>
        <w:pStyle w:val="JuParaChar"/>
        <w:keepNext/>
        <w:keepLines/>
      </w:pPr>
      <w:r w:rsidRPr="005D023B">
        <w:fldChar w:fldCharType="begin"/>
      </w:r>
      <w:r w:rsidRPr="005D023B">
        <w:instrText xml:space="preserve"> SEQ level0 \*arabic </w:instrText>
      </w:r>
      <w:r w:rsidRPr="005D023B">
        <w:fldChar w:fldCharType="separate"/>
      </w:r>
      <w:r w:rsidR="00D57953">
        <w:rPr>
          <w:noProof/>
        </w:rPr>
        <w:t>79</w:t>
      </w:r>
      <w:r w:rsidRPr="005D023B">
        <w:fldChar w:fldCharType="end"/>
      </w:r>
      <w:r w:rsidRPr="005D023B">
        <w:t xml:space="preserve">.  In its decision of 21 November 2002, the </w:t>
      </w:r>
      <w:r w:rsidR="005D023B">
        <w:t xml:space="preserve">United Nations </w:t>
      </w:r>
      <w:r w:rsidRPr="005D023B">
        <w:t>Committee</w:t>
      </w:r>
      <w:r w:rsidR="005D023B">
        <w:t xml:space="preserve"> Against Torture (“</w:t>
      </w:r>
      <w:r w:rsidR="00F3093D">
        <w:t xml:space="preserve">the </w:t>
      </w:r>
      <w:r w:rsidR="005D023B">
        <w:t>CAT”)</w:t>
      </w:r>
      <w:r w:rsidR="00F3093D">
        <w:t>, examining Complaint n</w:t>
      </w:r>
      <w:r w:rsidRPr="005D023B">
        <w:t xml:space="preserve">o. 161/2000 submitted by Hajrizi Dzemajl and others against </w:t>
      </w:r>
      <w:smartTag w:uri="urn:schemas-microsoft-com:office:smarttags" w:element="country-region">
        <w:smartTag w:uri="urn:schemas-microsoft-com:office:smarttags" w:element="place">
          <w:r w:rsidRPr="005D023B">
            <w:t>Yugoslavia</w:t>
          </w:r>
        </w:smartTag>
      </w:smartTag>
      <w:r w:rsidRPr="005D023B">
        <w:t xml:space="preserve">, found that a mob action by non-Roma residents of </w:t>
      </w:r>
      <w:smartTag w:uri="urn:schemas-microsoft-com:office:smarttags" w:element="place">
        <w:smartTag w:uri="urn:schemas-microsoft-com:office:smarttags" w:element="City">
          <w:r w:rsidRPr="005D023B">
            <w:t>Danilovgrad</w:t>
          </w:r>
        </w:smartTag>
        <w:r w:rsidRPr="005D023B">
          <w:t xml:space="preserve">, </w:t>
        </w:r>
        <w:smartTag w:uri="urn:schemas-microsoft-com:office:smarttags" w:element="country-region">
          <w:r w:rsidRPr="005D023B">
            <w:t>Montenegro</w:t>
          </w:r>
        </w:smartTag>
      </w:smartTag>
      <w:r w:rsidRPr="005D023B">
        <w:t xml:space="preserve">, who destroyed a Roma settlement on </w:t>
      </w:r>
      <w:smartTag w:uri="urn:schemas-microsoft-com:office:smarttags" w:element="date">
        <w:smartTagPr>
          <w:attr w:name="Month" w:val="4"/>
          <w:attr w:name="Day" w:val="14"/>
          <w:attr w:name="Year" w:val="1995"/>
        </w:smartTagPr>
        <w:r w:rsidRPr="005D023B">
          <w:t>14 April 1995</w:t>
        </w:r>
      </w:smartTag>
      <w:r w:rsidRPr="005D023B">
        <w:t xml:space="preserve"> in the presence of police officers, was “committed with a significant level of racial motivation”. That fact aggrava</w:t>
      </w:r>
      <w:r w:rsidR="00C54283">
        <w:t>ted the violation of Article</w:t>
      </w:r>
      <w:r w:rsidR="00C54283">
        <w:rPr>
          <w:lang w:val="bg-BG"/>
        </w:rPr>
        <w:t xml:space="preserve"> </w:t>
      </w:r>
      <w:r w:rsidR="00C54283">
        <w:t>16</w:t>
      </w:r>
      <w:r w:rsidR="00C54283">
        <w:rPr>
          <w:lang w:val="bg-BG"/>
        </w:rPr>
        <w:t xml:space="preserve"> </w:t>
      </w:r>
      <w:r w:rsidR="00C54283">
        <w:t>§</w:t>
      </w:r>
      <w:r w:rsidR="00C54283">
        <w:rPr>
          <w:lang w:val="bg-BG"/>
        </w:rPr>
        <w:t xml:space="preserve"> </w:t>
      </w:r>
      <w:r w:rsidRPr="005D023B">
        <w:t>1 of the U</w:t>
      </w:r>
      <w:r w:rsidR="00F3093D">
        <w:t xml:space="preserve">nited </w:t>
      </w:r>
      <w:r w:rsidRPr="005D023B">
        <w:t>N</w:t>
      </w:r>
      <w:r w:rsidR="00F3093D">
        <w:t>ations</w:t>
      </w:r>
      <w:r w:rsidRPr="005D023B">
        <w:t xml:space="preserve"> Convention against Torture and Other Cruel, Inhuman or Degrading Treatment or</w:t>
      </w:r>
      <w:r w:rsidR="00C54283">
        <w:t xml:space="preserve"> Punishment found in the case.</w:t>
      </w:r>
      <w:r w:rsidR="00C54283">
        <w:rPr>
          <w:lang w:val="bg-BG"/>
        </w:rPr>
        <w:t xml:space="preserve"> </w:t>
      </w:r>
      <w:r w:rsidRPr="005D023B">
        <w:t xml:space="preserve">In assessing the evidence, the CAT noted that it had not received a written explanation from the State </w:t>
      </w:r>
      <w:r w:rsidR="00FD5CAF">
        <w:t>P</w:t>
      </w:r>
      <w:r w:rsidRPr="005D023B">
        <w:t>arty concerned and decided to rely on “the detailed submissions made by the complainants”.</w:t>
      </w:r>
    </w:p>
    <w:p w:rsidRPr="005D023B" w:rsidR="00297F6D" w:rsidP="00297F6D" w:rsidRDefault="00297F6D">
      <w:pPr>
        <w:pStyle w:val="JuParaChar"/>
      </w:pPr>
      <w:r w:rsidRPr="005D023B">
        <w:fldChar w:fldCharType="begin"/>
      </w:r>
      <w:r w:rsidRPr="005D023B">
        <w:instrText xml:space="preserve"> SEQ level0 \*arabic </w:instrText>
      </w:r>
      <w:r w:rsidRPr="005D023B">
        <w:fldChar w:fldCharType="separate"/>
      </w:r>
      <w:r w:rsidR="00D57953">
        <w:rPr>
          <w:noProof/>
        </w:rPr>
        <w:t>80</w:t>
      </w:r>
      <w:r w:rsidRPr="005D023B">
        <w:fldChar w:fldCharType="end"/>
      </w:r>
      <w:r w:rsidRPr="005D023B">
        <w:t>.  </w:t>
      </w:r>
      <w:r w:rsidR="005D023B">
        <w:t xml:space="preserve">European Union </w:t>
      </w:r>
      <w:r w:rsidRPr="005D023B">
        <w:t>Council Directive 2000/43/E</w:t>
      </w:r>
      <w:r w:rsidR="00D57953">
        <w:t>C</w:t>
      </w:r>
      <w:r w:rsidRPr="005D023B">
        <w:t xml:space="preserve"> of </w:t>
      </w:r>
      <w:smartTag w:uri="urn:schemas-microsoft-com:office:smarttags" w:element="date">
        <w:smartTagPr>
          <w:attr w:name="Month" w:val="6"/>
          <w:attr w:name="Day" w:val="29"/>
          <w:attr w:name="Year" w:val="2000"/>
        </w:smartTagPr>
        <w:r w:rsidRPr="005D023B">
          <w:t>29 June 2000</w:t>
        </w:r>
      </w:smartTag>
      <w:r w:rsidRPr="005D023B">
        <w:t xml:space="preserve"> implementing the principle of equal treatment between persons irrespective of racial or ethnic origin and Cou</w:t>
      </w:r>
      <w:r w:rsidR="00C602A2">
        <w:t>ncil Directive 2000/78/E</w:t>
      </w:r>
      <w:r w:rsidR="00D57953">
        <w:t>C</w:t>
      </w:r>
      <w:r w:rsidR="00C602A2">
        <w:t xml:space="preserve"> of </w:t>
      </w:r>
      <w:smartTag w:uri="urn:schemas-microsoft-com:office:smarttags" w:element="date">
        <w:smartTagPr>
          <w:attr w:name="Month" w:val="11"/>
          <w:attr w:name="Day" w:val="27"/>
          <w:attr w:name="Year" w:val="2000"/>
        </w:smartTagPr>
        <w:r w:rsidR="00C602A2">
          <w:t>27 </w:t>
        </w:r>
        <w:r w:rsidRPr="005D023B">
          <w:t>November 2000</w:t>
        </w:r>
      </w:smartTag>
      <w:r w:rsidRPr="005D023B">
        <w:t xml:space="preserve"> establishing a general framework for equal treatment in employment and occupation, provide, in Article 8 and Article 10 respectively:</w:t>
      </w:r>
    </w:p>
    <w:p w:rsidRPr="005D023B" w:rsidR="00297F6D" w:rsidP="00297F6D" w:rsidRDefault="00297F6D">
      <w:pPr>
        <w:pStyle w:val="JuQuot"/>
      </w:pPr>
      <w:r w:rsidRPr="005D023B">
        <w:t>“1.  Member States shall 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discrimination, it shall be for the respondent to prove that there has been no breach of the principle of equal treatment.</w:t>
      </w:r>
    </w:p>
    <w:p w:rsidRPr="005D023B" w:rsidR="00297F6D" w:rsidP="00297F6D" w:rsidRDefault="00297F6D">
      <w:pPr>
        <w:pStyle w:val="JuQuot"/>
      </w:pPr>
      <w:r w:rsidRPr="005D023B">
        <w:t>2.  Paragraph 1 shall not prevent Member States from introducing rules of evidence which are more favourable to plaintiffs.</w:t>
      </w:r>
    </w:p>
    <w:p w:rsidRPr="005D023B" w:rsidR="00297F6D" w:rsidP="00297F6D" w:rsidRDefault="00297F6D">
      <w:pPr>
        <w:pStyle w:val="JuQuot"/>
      </w:pPr>
      <w:r w:rsidRPr="005D023B">
        <w:t>3.  Paragraph 1 shall not apply to criminal procedures.</w:t>
      </w:r>
    </w:p>
    <w:p w:rsidRPr="005D023B" w:rsidR="00297F6D" w:rsidP="00297F6D" w:rsidRDefault="00297F6D">
      <w:pPr>
        <w:pStyle w:val="JuQuot"/>
      </w:pPr>
      <w:r w:rsidRPr="005D023B">
        <w:t>...</w:t>
      </w:r>
    </w:p>
    <w:p w:rsidRPr="005D023B" w:rsidR="00297F6D" w:rsidP="00297F6D" w:rsidRDefault="00297F6D">
      <w:pPr>
        <w:pStyle w:val="JuQuot"/>
      </w:pPr>
      <w:r w:rsidRPr="005D023B">
        <w:t>5.  Member States need not apply paragraph 1 to proceedings in which it is for the court or competent body to investigate the facts of the case.”</w:t>
      </w:r>
    </w:p>
    <w:p w:rsidR="00B147F8" w:rsidP="00297F6D" w:rsidRDefault="004C740A">
      <w:pPr>
        <w:pStyle w:val="JuParaChar"/>
      </w:pPr>
      <w:r>
        <w:fldChar w:fldCharType="begin"/>
      </w:r>
      <w:r>
        <w:instrText xml:space="preserve"> SEQ level0 \*arabic </w:instrText>
      </w:r>
      <w:r>
        <w:fldChar w:fldCharType="separate"/>
      </w:r>
      <w:r w:rsidR="00D57953">
        <w:rPr>
          <w:noProof/>
        </w:rPr>
        <w:t>81</w:t>
      </w:r>
      <w:r>
        <w:fldChar w:fldCharType="end"/>
      </w:r>
      <w:r>
        <w:t>.  </w:t>
      </w:r>
      <w:r w:rsidR="00AF783F">
        <w:t xml:space="preserve">In 2002 the </w:t>
      </w:r>
      <w:r w:rsidR="00B74454">
        <w:t>E</w:t>
      </w:r>
      <w:r w:rsidR="00F3093D">
        <w:t>uropean</w:t>
      </w:r>
      <w:r w:rsidR="00B74454">
        <w:t xml:space="preserve"> </w:t>
      </w:r>
      <w:r w:rsidR="00AF783F">
        <w:t>Commission published a Proposal for a Council Framework Decision on Combating Racism and Xenophobia</w:t>
      </w:r>
      <w:r w:rsidR="00F3093D">
        <w:t>,</w:t>
      </w:r>
      <w:r w:rsidR="00AF783F">
        <w:t xml:space="preserve"> Article 8</w:t>
      </w:r>
      <w:r w:rsidR="00A23579">
        <w:t xml:space="preserve"> of which includes</w:t>
      </w:r>
      <w:r w:rsidR="00AF783F">
        <w:t>, among measures to be implemented</w:t>
      </w:r>
      <w:r w:rsidR="007D7F69">
        <w:t xml:space="preserve"> by member States</w:t>
      </w:r>
      <w:r w:rsidR="00AF783F">
        <w:t xml:space="preserve"> in that area, action to ensure that in criminal law racial motivation is taken into consideration as an aggravating circumstance.</w:t>
      </w:r>
    </w:p>
    <w:p w:rsidR="00B147F8" w:rsidP="007D7F69" w:rsidRDefault="007D7F69">
      <w:pPr>
        <w:pStyle w:val="JuParaChar"/>
      </w:pPr>
      <w:r>
        <w:fldChar w:fldCharType="begin"/>
      </w:r>
      <w:r>
        <w:instrText xml:space="preserve"> SEQ level0 \*arabic </w:instrText>
      </w:r>
      <w:r>
        <w:fldChar w:fldCharType="separate"/>
      </w:r>
      <w:r w:rsidR="00D57953">
        <w:rPr>
          <w:noProof/>
        </w:rPr>
        <w:t>82</w:t>
      </w:r>
      <w:r>
        <w:fldChar w:fldCharType="end"/>
      </w:r>
      <w:r>
        <w:t>.  In April 2005 the European Monitoring Centre on Racism and Xenophobia published a comparative overview o</w:t>
      </w:r>
      <w:r w:rsidR="00B74454">
        <w:t>f</w:t>
      </w:r>
      <w:r>
        <w:t xml:space="preserve"> racist violence and responses to it in fifteen of the member States of the European Union. It noted, </w:t>
      </w:r>
      <w:r w:rsidRPr="007D7F69">
        <w:rPr>
          <w:i/>
        </w:rPr>
        <w:t>inter alia</w:t>
      </w:r>
      <w:r w:rsidR="00B74454">
        <w:t>, that traditionally</w:t>
      </w:r>
      <w:r>
        <w:t xml:space="preserve"> the criminal law in most of the jurisdictions surveyed did not specifically refer to “racist violence”, the focus not being on the motivation behind acts of violence. However, that tradition was slowly changing as laws began to recognise </w:t>
      </w:r>
      <w:r w:rsidR="00D57953">
        <w:t xml:space="preserve">that </w:t>
      </w:r>
      <w:r>
        <w:t xml:space="preserve">crime </w:t>
      </w:r>
      <w:r w:rsidR="00D57953">
        <w:t>could be</w:t>
      </w:r>
      <w:r>
        <w:t xml:space="preserve"> “racially motivated”. In particular, racist motivation was increasingly being considered as an aggravating factor for sentencing purposes under the legislation of some member States. The relevant legislation in the following countries specifically provided for that possibility: </w:t>
      </w:r>
      <w:smartTag w:uri="urn:schemas-microsoft-com:office:smarttags" w:element="country-region">
        <w:r>
          <w:t>Austria</w:t>
        </w:r>
      </w:smartTag>
      <w:r>
        <w:t xml:space="preserve">, </w:t>
      </w:r>
      <w:smartTag w:uri="urn:schemas-microsoft-com:office:smarttags" w:element="country-region">
        <w:r>
          <w:t>Belgium</w:t>
        </w:r>
      </w:smartTag>
      <w:r>
        <w:t xml:space="preserve">, </w:t>
      </w:r>
      <w:smartTag w:uri="urn:schemas-microsoft-com:office:smarttags" w:element="country-region">
        <w:r>
          <w:t>Denmark</w:t>
        </w:r>
      </w:smartTag>
      <w:r>
        <w:t xml:space="preserve">, </w:t>
      </w:r>
      <w:smartTag w:uri="urn:schemas-microsoft-com:office:smarttags" w:element="country-region">
        <w:r>
          <w:t>Finland</w:t>
        </w:r>
      </w:smartTag>
      <w:r>
        <w:t xml:space="preserve">, </w:t>
      </w:r>
      <w:smartTag w:uri="urn:schemas-microsoft-com:office:smarttags" w:element="country-region">
        <w:r>
          <w:t>France</w:t>
        </w:r>
      </w:smartTag>
      <w:r>
        <w:t xml:space="preserve">, </w:t>
      </w:r>
      <w:smartTag w:uri="urn:schemas-microsoft-com:office:smarttags" w:element="country-region">
        <w:r>
          <w:t>Italy</w:t>
        </w:r>
      </w:smartTag>
      <w:r>
        <w:t xml:space="preserve">, </w:t>
      </w:r>
      <w:smartTag w:uri="urn:schemas-microsoft-com:office:smarttags" w:element="country-region">
        <w:r>
          <w:t>Portugal</w:t>
        </w:r>
      </w:smartTag>
      <w:r>
        <w:t xml:space="preserve">, </w:t>
      </w:r>
      <w:smartTag w:uri="urn:schemas-microsoft-com:office:smarttags" w:element="country-region">
        <w:r>
          <w:t>Spain</w:t>
        </w:r>
      </w:smartTag>
      <w:r>
        <w:t xml:space="preserve">, </w:t>
      </w:r>
      <w:smartTag w:uri="urn:schemas-microsoft-com:office:smarttags" w:element="country-region">
        <w:r>
          <w:t>Sweden</w:t>
        </w:r>
      </w:smartTag>
      <w:r w:rsidR="00B701B4">
        <w:t xml:space="preserve"> and the </w:t>
      </w:r>
      <w:smartTag w:uri="urn:schemas-microsoft-com:office:smarttags" w:element="place">
        <w:smartTag w:uri="urn:schemas-microsoft-com:office:smarttags" w:element="country-region">
          <w:r w:rsidR="00B701B4">
            <w:t xml:space="preserve">United </w:t>
          </w:r>
          <w:r>
            <w:t>Kingdom</w:t>
          </w:r>
        </w:smartTag>
      </w:smartTag>
      <w:r w:rsidR="00C602A2">
        <w:t xml:space="preserve">. </w:t>
      </w:r>
      <w:r>
        <w:t xml:space="preserve">In particular, </w:t>
      </w:r>
      <w:r w:rsidRPr="005D023B" w:rsidR="00297F6D">
        <w:t>Ar</w:t>
      </w:r>
      <w:r w:rsidR="00F3093D">
        <w:t>ticle 132-76 of the French Criminal</w:t>
      </w:r>
      <w:r w:rsidRPr="005D023B" w:rsidR="00297F6D">
        <w:t xml:space="preserve"> Code, which was introduced in February 2003, provides</w:t>
      </w:r>
      <w:r w:rsidRPr="005D023B" w:rsidR="000911C6">
        <w:t xml:space="preserve"> in its second paragraph for an “objective” definition of racism as an aggravating circumstance leading to </w:t>
      </w:r>
      <w:r w:rsidR="00B825D1">
        <w:t xml:space="preserve">an increase in </w:t>
      </w:r>
      <w:r w:rsidRPr="005D023B" w:rsidR="000911C6">
        <w:t>sentence:</w:t>
      </w:r>
    </w:p>
    <w:p w:rsidRPr="005D023B" w:rsidR="00297F6D" w:rsidP="00297F6D" w:rsidRDefault="00297F6D">
      <w:pPr>
        <w:pStyle w:val="JuQuot"/>
        <w:keepNext/>
        <w:keepLines/>
      </w:pPr>
      <w:r w:rsidRPr="005D023B">
        <w:t>“The penalties incurred for a crime or major offence shall be increased where the offence is committed on account of the victim</w:t>
      </w:r>
      <w:r w:rsidR="00F2618C">
        <w:t>'</w:t>
      </w:r>
      <w:r w:rsidRPr="005D023B">
        <w:t>s actual or supposed membership or non-membership of a particular ethnic group, nation, race or religion.</w:t>
      </w:r>
    </w:p>
    <w:p w:rsidRPr="005D023B" w:rsidR="00297F6D" w:rsidP="00E4296C" w:rsidRDefault="00297F6D">
      <w:pPr>
        <w:pStyle w:val="JuQuot"/>
      </w:pPr>
      <w:r w:rsidRPr="005D023B">
        <w:t>The aggravating circumstance defined in the first paragraph is constituted where the offence is preceded, accompanied or followed by written or spoken comments, images, objects or acts of any kind which damage the honour or consideration of the victim or of a group of persons to which the victim belongs on account of their actual or supposed membership or non-membership of a particular ethnic group, nation, race or religion.”</w:t>
      </w:r>
    </w:p>
    <w:p w:rsidRPr="005D023B" w:rsidR="00CD49A7" w:rsidRDefault="00CD49A7">
      <w:pPr>
        <w:pStyle w:val="JuHHead"/>
      </w:pPr>
      <w:r w:rsidRPr="005D023B">
        <w:t>THE LAW</w:t>
      </w:r>
    </w:p>
    <w:p w:rsidRPr="005D023B" w:rsidR="00CD49A7" w:rsidRDefault="00CD49A7">
      <w:pPr>
        <w:pStyle w:val="JuHIRoman"/>
      </w:pPr>
      <w:r w:rsidRPr="005D023B">
        <w:t>I.  </w:t>
      </w:r>
      <w:r w:rsidRPr="005D023B" w:rsidR="00DD3400">
        <w:t>SCOPE OF THE CASE</w:t>
      </w:r>
    </w:p>
    <w:p w:rsidRPr="005D023B" w:rsidR="00DD3400" w:rsidRDefault="00CB4D85">
      <w:pPr>
        <w:pStyle w:val="JuParaChar"/>
      </w:pPr>
      <w:r w:rsidRPr="005D023B">
        <w:fldChar w:fldCharType="begin"/>
      </w:r>
      <w:r w:rsidRPr="005D023B">
        <w:instrText xml:space="preserve"> SEQ level0 \*arabic </w:instrText>
      </w:r>
      <w:r w:rsidRPr="005D023B">
        <w:fldChar w:fldCharType="separate"/>
      </w:r>
      <w:r w:rsidR="00D57953">
        <w:rPr>
          <w:noProof/>
        </w:rPr>
        <w:t>83</w:t>
      </w:r>
      <w:r w:rsidRPr="005D023B">
        <w:fldChar w:fldCharType="end"/>
      </w:r>
      <w:r w:rsidRPr="005D023B" w:rsidR="00CD49A7">
        <w:t>.  </w:t>
      </w:r>
      <w:r w:rsidRPr="005D023B" w:rsidR="00DD3400">
        <w:t xml:space="preserve">In their request </w:t>
      </w:r>
      <w:r w:rsidRPr="005D023B" w:rsidR="00B070D4">
        <w:t xml:space="preserve">for </w:t>
      </w:r>
      <w:r w:rsidR="00B74454">
        <w:t>the</w:t>
      </w:r>
      <w:r w:rsidRPr="005D023B" w:rsidR="00B070D4">
        <w:t xml:space="preserve"> referral of the case to the Grand Chamber </w:t>
      </w:r>
      <w:r w:rsidRPr="005D023B" w:rsidR="00DD3400">
        <w:t xml:space="preserve">and </w:t>
      </w:r>
      <w:r w:rsidRPr="005D023B" w:rsidR="00B070D4">
        <w:t xml:space="preserve">in their </w:t>
      </w:r>
      <w:r w:rsidRPr="005D023B" w:rsidR="00DD3400">
        <w:t>written observation</w:t>
      </w:r>
      <w:r w:rsidRPr="005D023B" w:rsidR="00B070D4">
        <w:t>s</w:t>
      </w:r>
      <w:r w:rsidR="00F3093D">
        <w:t>,</w:t>
      </w:r>
      <w:r w:rsidRPr="005D023B" w:rsidR="00DD3400">
        <w:t xml:space="preserve"> the Government asked the Grand Chamber to re-examine the issues </w:t>
      </w:r>
      <w:r w:rsidRPr="005D023B" w:rsidR="00B24D17">
        <w:t xml:space="preserve">raised by the case </w:t>
      </w:r>
      <w:r w:rsidRPr="005D023B" w:rsidR="00DD3400">
        <w:t xml:space="preserve">under Article 14 of the Convention. </w:t>
      </w:r>
      <w:r w:rsidRPr="005D023B" w:rsidR="0082613A">
        <w:t>At the hearing before the Court</w:t>
      </w:r>
      <w:r w:rsidR="00F3093D">
        <w:t>,</w:t>
      </w:r>
      <w:r w:rsidRPr="005D023B" w:rsidR="0082613A">
        <w:t xml:space="preserve"> the Government</w:t>
      </w:r>
      <w:r w:rsidR="00F2618C">
        <w:t>'</w:t>
      </w:r>
      <w:r w:rsidRPr="005D023B" w:rsidR="0082613A">
        <w:t>s representatives stated that they accepted the Chamber</w:t>
      </w:r>
      <w:r w:rsidR="00F2618C">
        <w:t>'</w:t>
      </w:r>
      <w:r w:rsidRPr="005D023B" w:rsidR="0082613A">
        <w:t xml:space="preserve">s findings </w:t>
      </w:r>
      <w:r w:rsidRPr="005D023B" w:rsidR="00DD3400">
        <w:t>under Articles 2 and 13</w:t>
      </w:r>
      <w:r w:rsidRPr="005D023B" w:rsidR="002A40ED">
        <w:t>.</w:t>
      </w:r>
    </w:p>
    <w:p w:rsidRPr="005D023B" w:rsidR="00CD49A7" w:rsidRDefault="00DD3400">
      <w:pPr>
        <w:pStyle w:val="JuParaChar"/>
      </w:pPr>
      <w:r w:rsidRPr="005D023B">
        <w:fldChar w:fldCharType="begin"/>
      </w:r>
      <w:r w:rsidRPr="005D023B">
        <w:instrText xml:space="preserve"> SEQ level0 \*arabic </w:instrText>
      </w:r>
      <w:r w:rsidRPr="005D023B">
        <w:fldChar w:fldCharType="separate"/>
      </w:r>
      <w:r w:rsidR="00D57953">
        <w:rPr>
          <w:noProof/>
        </w:rPr>
        <w:t>84</w:t>
      </w:r>
      <w:r w:rsidRPr="005D023B">
        <w:fldChar w:fldCharType="end"/>
      </w:r>
      <w:r w:rsidRPr="005D023B">
        <w:t>. </w:t>
      </w:r>
      <w:r w:rsidR="00F6591C">
        <w:t> </w:t>
      </w:r>
      <w:r w:rsidRPr="005D023B">
        <w:t xml:space="preserve">The applicants asked the Court to deal with the issues under Article 14 </w:t>
      </w:r>
      <w:r w:rsidRPr="005D023B" w:rsidR="00B24D17">
        <w:t>alone</w:t>
      </w:r>
      <w:r w:rsidRPr="005D023B" w:rsidR="00B070D4">
        <w:t>,</w:t>
      </w:r>
      <w:r w:rsidRPr="005D023B">
        <w:t xml:space="preserve"> as the Chamber</w:t>
      </w:r>
      <w:r w:rsidR="00F2618C">
        <w:t>'</w:t>
      </w:r>
      <w:r w:rsidRPr="005D023B">
        <w:t xml:space="preserve">s conclusions under Articles 2 and 13 of the Convention were not </w:t>
      </w:r>
      <w:r w:rsidRPr="005D023B" w:rsidR="00B070D4">
        <w:t>contested</w:t>
      </w:r>
      <w:r w:rsidRPr="005D023B">
        <w:t>.</w:t>
      </w:r>
    </w:p>
    <w:p w:rsidRPr="005D023B" w:rsidR="0082613A" w:rsidP="0082613A" w:rsidRDefault="00DD3400">
      <w:pPr>
        <w:pStyle w:val="JuParaChar"/>
      </w:pPr>
      <w:r w:rsidRPr="005D023B">
        <w:fldChar w:fldCharType="begin"/>
      </w:r>
      <w:r w:rsidRPr="005D023B">
        <w:instrText xml:space="preserve"> SEQ level0 \*arabic </w:instrText>
      </w:r>
      <w:r w:rsidRPr="005D023B">
        <w:fldChar w:fldCharType="separate"/>
      </w:r>
      <w:r w:rsidR="00D57953">
        <w:rPr>
          <w:noProof/>
        </w:rPr>
        <w:t>85</w:t>
      </w:r>
      <w:r w:rsidRPr="005D023B">
        <w:fldChar w:fldCharType="end"/>
      </w:r>
      <w:r w:rsidRPr="005D023B">
        <w:t>.  The Court</w:t>
      </w:r>
      <w:r w:rsidRPr="005D023B" w:rsidR="0082613A">
        <w:t xml:space="preserve"> reiterates that the consequence of the </w:t>
      </w:r>
      <w:r w:rsidRPr="005D023B" w:rsidR="00B24D17">
        <w:t>p</w:t>
      </w:r>
      <w:r w:rsidRPr="005D023B" w:rsidR="0082613A">
        <w:t>anel</w:t>
      </w:r>
      <w:r w:rsidR="00F2618C">
        <w:t>'</w:t>
      </w:r>
      <w:r w:rsidRPr="005D023B" w:rsidR="00B24D17">
        <w:t>s</w:t>
      </w:r>
      <w:r w:rsidRPr="005D023B" w:rsidR="0082613A">
        <w:t xml:space="preserve"> accept</w:t>
      </w:r>
      <w:r w:rsidRPr="005D023B" w:rsidR="00B24D17">
        <w:t>ance of</w:t>
      </w:r>
      <w:r w:rsidRPr="005D023B" w:rsidR="0082613A">
        <w:t xml:space="preserve"> </w:t>
      </w:r>
      <w:r w:rsidR="00B74454">
        <w:t>a</w:t>
      </w:r>
      <w:r w:rsidRPr="005D023B" w:rsidR="0082613A">
        <w:t xml:space="preserve"> referral request is that the whole </w:t>
      </w:r>
      <w:r w:rsidR="00F3093D">
        <w:t>“</w:t>
      </w:r>
      <w:r w:rsidRPr="005D023B" w:rsidR="0082613A">
        <w:t>case</w:t>
      </w:r>
      <w:r w:rsidR="00F3093D">
        <w:t>”</w:t>
      </w:r>
      <w:r w:rsidRPr="005D023B" w:rsidR="0082613A">
        <w:t xml:space="preserve"> is referred to the Grand Chamber to be decided afresh by means of a new judgment. The </w:t>
      </w:r>
      <w:r w:rsidR="00F3093D">
        <w:t>“</w:t>
      </w:r>
      <w:r w:rsidRPr="005D023B" w:rsidR="0082613A">
        <w:t>case</w:t>
      </w:r>
      <w:r w:rsidR="00F3093D">
        <w:t>”</w:t>
      </w:r>
      <w:r w:rsidRPr="005D023B" w:rsidR="0082613A">
        <w:t xml:space="preserve"> referred to the Grand Chamber necessarily embraces all aspects of the application previously examined by the Chamber in its judgment, and not only the serious </w:t>
      </w:r>
      <w:r w:rsidR="00F3093D">
        <w:t>“</w:t>
      </w:r>
      <w:r w:rsidRPr="005D023B" w:rsidR="0082613A">
        <w:t>question</w:t>
      </w:r>
      <w:r w:rsidR="00F3093D">
        <w:t>”</w:t>
      </w:r>
      <w:r w:rsidRPr="005D023B" w:rsidR="0082613A">
        <w:t xml:space="preserve"> or </w:t>
      </w:r>
      <w:r w:rsidR="00F3093D">
        <w:t>“</w:t>
      </w:r>
      <w:r w:rsidRPr="005D023B" w:rsidR="0082613A">
        <w:t>issu</w:t>
      </w:r>
      <w:r w:rsidR="00B74454">
        <w:t>e</w:t>
      </w:r>
      <w:r w:rsidR="00F3093D">
        <w:t>”</w:t>
      </w:r>
      <w:r w:rsidR="00B74454">
        <w:t xml:space="preserve"> at the basis of the referral</w:t>
      </w:r>
      <w:r w:rsidRPr="005D023B" w:rsidR="0082613A">
        <w:t xml:space="preserve"> (</w:t>
      </w:r>
      <w:r w:rsidR="00F3093D">
        <w:t xml:space="preserve">see </w:t>
      </w:r>
      <w:r w:rsidR="001C4131">
        <w:rPr>
          <w:i/>
        </w:rPr>
        <w:t xml:space="preserve">K. and T. </w:t>
      </w:r>
      <w:r w:rsidR="00B701B4">
        <w:rPr>
          <w:i/>
        </w:rPr>
        <w:t xml:space="preserve">v. </w:t>
      </w:r>
      <w:r w:rsidRPr="005D023B" w:rsidR="0082613A">
        <w:rPr>
          <w:i/>
        </w:rPr>
        <w:t>Finland</w:t>
      </w:r>
      <w:r w:rsidR="00F6591C">
        <w:t xml:space="preserve"> [GC], no. 25702/94, </w:t>
      </w:r>
      <w:r w:rsidR="00F3093D">
        <w:t>§§ 139-</w:t>
      </w:r>
      <w:r w:rsidRPr="005D023B" w:rsidR="00F3093D">
        <w:t>41</w:t>
      </w:r>
      <w:r w:rsidR="00F3093D">
        <w:t xml:space="preserve">, </w:t>
      </w:r>
      <w:r w:rsidR="00AA3EE8">
        <w:t>ECHR 2001-</w:t>
      </w:r>
      <w:r w:rsidR="00F3093D">
        <w:t>VII</w:t>
      </w:r>
      <w:r w:rsidRPr="005D023B" w:rsidR="0082613A">
        <w:t>).</w:t>
      </w:r>
    </w:p>
    <w:p w:rsidRPr="005D023B" w:rsidR="00DD3400" w:rsidP="0082613A" w:rsidRDefault="0082613A">
      <w:pPr>
        <w:pStyle w:val="JuParaChar"/>
      </w:pPr>
      <w:r w:rsidRPr="005D023B">
        <w:fldChar w:fldCharType="begin"/>
      </w:r>
      <w:r w:rsidRPr="005D023B">
        <w:instrText xml:space="preserve"> SEQ level0 \*arabic </w:instrText>
      </w:r>
      <w:r w:rsidRPr="005D023B">
        <w:fldChar w:fldCharType="separate"/>
      </w:r>
      <w:r w:rsidR="00D57953">
        <w:rPr>
          <w:noProof/>
        </w:rPr>
        <w:t>86</w:t>
      </w:r>
      <w:r w:rsidRPr="005D023B">
        <w:fldChar w:fldCharType="end"/>
      </w:r>
      <w:r w:rsidRPr="005D023B">
        <w:t>.  </w:t>
      </w:r>
      <w:r w:rsidRPr="005D023B" w:rsidR="00B24D17">
        <w:t>Notwithstanding the parties</w:t>
      </w:r>
      <w:r w:rsidR="00F2618C">
        <w:t>'</w:t>
      </w:r>
      <w:r w:rsidRPr="005D023B" w:rsidR="00B24D17">
        <w:t xml:space="preserve"> wishes to confine the rehearing procedure to the issues raised by the case under Article 14 of the Convention, t</w:t>
      </w:r>
      <w:r w:rsidRPr="005D023B">
        <w:t>he Grand Chamber must also deal with the issues</w:t>
      </w:r>
      <w:r w:rsidRPr="005D023B" w:rsidR="00B24D17">
        <w:t xml:space="preserve"> raised</w:t>
      </w:r>
      <w:r w:rsidRPr="005D023B">
        <w:t xml:space="preserve"> under Articles 2 and 13 of the Convention.</w:t>
      </w:r>
    </w:p>
    <w:p w:rsidRPr="005D023B" w:rsidR="00CD49A7" w:rsidRDefault="00DD3400">
      <w:pPr>
        <w:pStyle w:val="JuHIRoman"/>
      </w:pPr>
      <w:r w:rsidRPr="005D023B">
        <w:t>II</w:t>
      </w:r>
      <w:r w:rsidRPr="005D023B" w:rsidR="00CD49A7">
        <w:t>.  ALLEGED VIOLATION</w:t>
      </w:r>
      <w:r w:rsidRPr="005D023B">
        <w:t>S</w:t>
      </w:r>
      <w:r w:rsidRPr="005D023B" w:rsidR="00CD49A7">
        <w:t xml:space="preserve"> OF ARTICLE </w:t>
      </w:r>
      <w:r w:rsidRPr="005D023B">
        <w:t>2</w:t>
      </w:r>
      <w:r w:rsidRPr="005D023B" w:rsidR="00CD49A7">
        <w:t xml:space="preserve"> OF THE CONVENTION</w:t>
      </w:r>
    </w:p>
    <w:p w:rsidRPr="005D023B" w:rsidR="00DD3400" w:rsidP="00DD3400" w:rsidRDefault="00DD3400">
      <w:pPr>
        <w:pStyle w:val="JuParaChar"/>
      </w:pPr>
      <w:r w:rsidRPr="005D023B">
        <w:fldChar w:fldCharType="begin"/>
      </w:r>
      <w:r w:rsidRPr="005D023B">
        <w:instrText xml:space="preserve"> SEQ level0 \*arabic </w:instrText>
      </w:r>
      <w:r w:rsidRPr="005D023B">
        <w:fldChar w:fldCharType="separate"/>
      </w:r>
      <w:r w:rsidR="00D57953">
        <w:rPr>
          <w:noProof/>
        </w:rPr>
        <w:t>87</w:t>
      </w:r>
      <w:r w:rsidRPr="005D023B">
        <w:fldChar w:fldCharType="end"/>
      </w:r>
      <w:r w:rsidRPr="005D023B">
        <w:t xml:space="preserve">.  The applicants complained that Mr Angelov and Mr Petkov </w:t>
      </w:r>
      <w:r w:rsidRPr="005D023B" w:rsidR="00B070D4">
        <w:t>had been</w:t>
      </w:r>
      <w:r w:rsidRPr="005D023B">
        <w:t xml:space="preserve"> </w:t>
      </w:r>
      <w:r w:rsidRPr="005D023B" w:rsidR="00B24D17">
        <w:t>killed</w:t>
      </w:r>
      <w:r w:rsidRPr="005D023B">
        <w:t xml:space="preserve"> in violation of Article 2 of the Convention. </w:t>
      </w:r>
      <w:r w:rsidRPr="005D023B" w:rsidR="00B93750">
        <w:t>It was alleged that t</w:t>
      </w:r>
      <w:r w:rsidRPr="005D023B">
        <w:t>hey had died as a result of</w:t>
      </w:r>
      <w:r w:rsidRPr="005D023B" w:rsidR="00B24D17">
        <w:t xml:space="preserve"> the failure of domestic</w:t>
      </w:r>
      <w:r w:rsidRPr="005D023B">
        <w:t xml:space="preserve"> law and practice </w:t>
      </w:r>
      <w:r w:rsidR="00F3093D">
        <w:t>to regulate in a Convention-</w:t>
      </w:r>
      <w:r w:rsidRPr="005D023B" w:rsidR="00B24D17">
        <w:t xml:space="preserve">compatible manner the use of firearms by State agents. In effect, State agents </w:t>
      </w:r>
      <w:r w:rsidR="00C9324F">
        <w:t>had been</w:t>
      </w:r>
      <w:r w:rsidRPr="005D023B" w:rsidR="00C9324F">
        <w:t xml:space="preserve"> </w:t>
      </w:r>
      <w:r w:rsidRPr="005D023B" w:rsidR="00B24D17">
        <w:t xml:space="preserve">authorised </w:t>
      </w:r>
      <w:r w:rsidR="00B74454">
        <w:t xml:space="preserve">in the instant case </w:t>
      </w:r>
      <w:r w:rsidRPr="005D023B" w:rsidR="00B24D17">
        <w:t>to</w:t>
      </w:r>
      <w:r w:rsidRPr="005D023B">
        <w:t xml:space="preserve"> use lethal force </w:t>
      </w:r>
      <w:r w:rsidRPr="005D023B" w:rsidR="00B24D17">
        <w:t>in circumstances where this was not absolutely necessary. This fact alone violated</w:t>
      </w:r>
      <w:r w:rsidRPr="005D023B">
        <w:t xml:space="preserve"> Article 2. The applicants also complained that the authorities had failed to conduct an effective investigation into the deaths.</w:t>
      </w:r>
    </w:p>
    <w:p w:rsidRPr="005D023B" w:rsidR="00DD3400" w:rsidP="00DD3400" w:rsidRDefault="00DD3400">
      <w:pPr>
        <w:pStyle w:val="JuParaChar"/>
      </w:pPr>
      <w:r w:rsidRPr="005D023B">
        <w:fldChar w:fldCharType="begin"/>
      </w:r>
      <w:r w:rsidRPr="005D023B">
        <w:instrText xml:space="preserve"> SEQ level0 \*arabic </w:instrText>
      </w:r>
      <w:r w:rsidRPr="005D023B">
        <w:fldChar w:fldCharType="separate"/>
      </w:r>
      <w:r w:rsidR="00D57953">
        <w:rPr>
          <w:noProof/>
        </w:rPr>
        <w:t>88</w:t>
      </w:r>
      <w:r w:rsidRPr="005D023B">
        <w:fldChar w:fldCharType="end"/>
      </w:r>
      <w:r w:rsidRPr="005D023B">
        <w:t>.  Article 2 of the Convention provides:</w:t>
      </w:r>
    </w:p>
    <w:p w:rsidRPr="005D023B" w:rsidR="00DD3400" w:rsidP="00DD3400" w:rsidRDefault="00DD3400">
      <w:pPr>
        <w:pStyle w:val="JuQuot"/>
      </w:pPr>
      <w:r w:rsidRPr="005D023B">
        <w:t>“1.  Everyone</w:t>
      </w:r>
      <w:r w:rsidR="00F2618C">
        <w:t>'</w:t>
      </w:r>
      <w:r w:rsidRPr="005D023B">
        <w:t>s right to life shall be protected by law. No one shall be deprived of his life intentionally save in the execution of a sentence of a court following his conviction of a crime for which this penalty is provided by law.</w:t>
      </w:r>
    </w:p>
    <w:p w:rsidRPr="005D023B" w:rsidR="00DD3400" w:rsidP="00DD3400" w:rsidRDefault="00DD3400">
      <w:pPr>
        <w:pStyle w:val="JuQuot"/>
      </w:pPr>
      <w:r w:rsidRPr="005D023B">
        <w:t xml:space="preserve">2.  Deprivation of life shall not be regarded as inflicted in contravention of this </w:t>
      </w:r>
      <w:r w:rsidR="00FD5CAF">
        <w:t>A</w:t>
      </w:r>
      <w:r w:rsidRPr="005D023B">
        <w:t>rticle when it results from the use of force which is no more than absolutely necessary:</w:t>
      </w:r>
    </w:p>
    <w:p w:rsidRPr="005D023B" w:rsidR="00DD3400" w:rsidP="00DD3400" w:rsidRDefault="00DD3400">
      <w:pPr>
        <w:pStyle w:val="JuQuot"/>
      </w:pPr>
      <w:r w:rsidRPr="005D023B">
        <w:t>(a)  in defence of any person from unlawful violence;</w:t>
      </w:r>
    </w:p>
    <w:p w:rsidRPr="005D023B" w:rsidR="00DD3400" w:rsidP="00DD3400" w:rsidRDefault="00DD3400">
      <w:pPr>
        <w:pStyle w:val="JuQuot"/>
      </w:pPr>
      <w:r w:rsidRPr="005D023B">
        <w:t>(b)  in order to effect a lawful arrest or to prevent the escape of a person lawfully detained;</w:t>
      </w:r>
    </w:p>
    <w:p w:rsidRPr="005D023B" w:rsidR="00DD3400" w:rsidP="00DD3400" w:rsidRDefault="00DD3400">
      <w:pPr>
        <w:pStyle w:val="JuQuot"/>
      </w:pPr>
      <w:r w:rsidRPr="005D023B">
        <w:t>(c)  in action lawfully taken for the purpose of quelling a riot or insurrection.”</w:t>
      </w:r>
    </w:p>
    <w:p w:rsidRPr="005D023B" w:rsidR="00DD3400" w:rsidRDefault="00DD3400">
      <w:pPr>
        <w:pStyle w:val="JuHA"/>
      </w:pPr>
      <w:r w:rsidRPr="005D023B">
        <w:t>A.  The Chamber judgment</w:t>
      </w:r>
    </w:p>
    <w:p w:rsidRPr="005D023B" w:rsidR="00C30E5C" w:rsidP="00C30E5C" w:rsidRDefault="00DD3400">
      <w:pPr>
        <w:pStyle w:val="JuParaChar"/>
      </w:pPr>
      <w:r w:rsidRPr="005D023B">
        <w:fldChar w:fldCharType="begin"/>
      </w:r>
      <w:r w:rsidRPr="005D023B">
        <w:instrText xml:space="preserve"> SEQ level0 \*arabic </w:instrText>
      </w:r>
      <w:r w:rsidRPr="005D023B">
        <w:fldChar w:fldCharType="separate"/>
      </w:r>
      <w:r w:rsidR="00D57953">
        <w:rPr>
          <w:noProof/>
        </w:rPr>
        <w:t>89</w:t>
      </w:r>
      <w:r w:rsidRPr="005D023B">
        <w:fldChar w:fldCharType="end"/>
      </w:r>
      <w:r w:rsidRPr="005D023B">
        <w:t xml:space="preserve">.  The Chamber held that </w:t>
      </w:r>
      <w:r w:rsidRPr="005D023B" w:rsidR="00C30E5C">
        <w:t>Article 2 of the Convention prohibited the use of firearms to arrest persons who</w:t>
      </w:r>
      <w:r w:rsidR="00B74454">
        <w:t>, like Mr Angelov and Mr Petkov,</w:t>
      </w:r>
      <w:r w:rsidRPr="005D023B" w:rsidR="00C30E5C">
        <w:t xml:space="preserve"> were suspected of </w:t>
      </w:r>
      <w:r w:rsidR="00B74454">
        <w:t xml:space="preserve">having committed </w:t>
      </w:r>
      <w:r w:rsidRPr="005D023B" w:rsidR="00C30E5C">
        <w:t xml:space="preserve">non-violent offences, were not armed and did not pose any threat to the arresting officers or others. The respondent State was </w:t>
      </w:r>
      <w:r w:rsidR="00B74454">
        <w:t xml:space="preserve">accordingly </w:t>
      </w:r>
      <w:r w:rsidRPr="005D023B" w:rsidR="00C30E5C">
        <w:t xml:space="preserve">responsible </w:t>
      </w:r>
      <w:r w:rsidR="00B74454">
        <w:t xml:space="preserve">in the circumstances of the instant case </w:t>
      </w:r>
      <w:r w:rsidRPr="005D023B" w:rsidR="00C30E5C">
        <w:t>for deprivation of life in violation of Article 2, as lethal f</w:t>
      </w:r>
      <w:r w:rsidRPr="005D023B" w:rsidR="00B24D17">
        <w:t>orce</w:t>
      </w:r>
      <w:r w:rsidRPr="005D023B" w:rsidR="00417049">
        <w:t xml:space="preserve"> had been used</w:t>
      </w:r>
      <w:r w:rsidRPr="005D023B" w:rsidR="00C30E5C">
        <w:t xml:space="preserve"> to arrest Mr Angelov and Mr Petkov</w:t>
      </w:r>
      <w:r w:rsidR="00B74454">
        <w:t>.</w:t>
      </w:r>
      <w:r w:rsidRPr="005D023B" w:rsidR="00C30E5C">
        <w:t xml:space="preserve"> The violation of Article 2 was further aggravated by the fact that excessive firepower had been used and by the authorities</w:t>
      </w:r>
      <w:r w:rsidR="00F2618C">
        <w:t>'</w:t>
      </w:r>
      <w:r w:rsidRPr="005D023B" w:rsidR="00C30E5C">
        <w:t xml:space="preserve"> failure to plan and control the </w:t>
      </w:r>
      <w:r w:rsidRPr="005D023B" w:rsidR="00B24D17">
        <w:t xml:space="preserve">arrest </w:t>
      </w:r>
      <w:r w:rsidRPr="005D023B" w:rsidR="00C30E5C">
        <w:t xml:space="preserve">operation in a manner </w:t>
      </w:r>
      <w:r w:rsidR="00AA3EE8">
        <w:t>that complied</w:t>
      </w:r>
      <w:r w:rsidRPr="005D023B" w:rsidR="00C30E5C">
        <w:t xml:space="preserve"> with Article 2</w:t>
      </w:r>
      <w:r w:rsidR="00B74454">
        <w:t>.</w:t>
      </w:r>
    </w:p>
    <w:p w:rsidRPr="005D023B" w:rsidR="005014FF" w:rsidP="005014FF" w:rsidRDefault="00C30E5C">
      <w:pPr>
        <w:pStyle w:val="JuParaChar"/>
      </w:pPr>
      <w:r w:rsidRPr="005D023B">
        <w:fldChar w:fldCharType="begin"/>
      </w:r>
      <w:r w:rsidRPr="005D023B">
        <w:instrText xml:space="preserve"> SEQ level0 \*arabic </w:instrText>
      </w:r>
      <w:r w:rsidRPr="005D023B">
        <w:fldChar w:fldCharType="separate"/>
      </w:r>
      <w:r w:rsidR="00D57953">
        <w:rPr>
          <w:noProof/>
        </w:rPr>
        <w:t>90</w:t>
      </w:r>
      <w:r w:rsidRPr="005D023B">
        <w:fldChar w:fldCharType="end"/>
      </w:r>
      <w:r w:rsidRPr="005D023B">
        <w:t>.  The Chamber further found that</w:t>
      </w:r>
      <w:r w:rsidRPr="005D023B" w:rsidR="00DD30A0">
        <w:t xml:space="preserve"> there had been a violation of the respondent State</w:t>
      </w:r>
      <w:r w:rsidR="00F2618C">
        <w:t>'</w:t>
      </w:r>
      <w:r w:rsidRPr="005D023B" w:rsidR="00DD30A0">
        <w:t>s obligation under Article 2 § 1 of the Convention to investigate effectively</w:t>
      </w:r>
      <w:r w:rsidR="00243030">
        <w:t xml:space="preserve"> the deaths of Mr Angelov and Mr Petkov.</w:t>
      </w:r>
      <w:r w:rsidRPr="005D023B" w:rsidR="005014FF">
        <w:t xml:space="preserve"> In particular,</w:t>
      </w:r>
      <w:r w:rsidRPr="005D023B" w:rsidR="00DD30A0">
        <w:t xml:space="preserve"> </w:t>
      </w:r>
      <w:r w:rsidRPr="005D023B" w:rsidR="005014FF">
        <w:t>t</w:t>
      </w:r>
      <w:r w:rsidRPr="005D023B" w:rsidR="00DD30A0">
        <w:t xml:space="preserve">he investigation had been characterised by serious unexplained omissions and inconsistencies and </w:t>
      </w:r>
      <w:r w:rsidRPr="005D023B" w:rsidR="005014FF">
        <w:t>its</w:t>
      </w:r>
      <w:r w:rsidRPr="005D023B" w:rsidR="00DD30A0">
        <w:t xml:space="preserve"> approach</w:t>
      </w:r>
      <w:r w:rsidRPr="005D023B" w:rsidR="005014FF">
        <w:t xml:space="preserve"> had been</w:t>
      </w:r>
      <w:r w:rsidRPr="005D023B" w:rsidR="00DD30A0">
        <w:t xml:space="preserve"> flawed</w:t>
      </w:r>
      <w:r w:rsidRPr="005D023B" w:rsidR="005014FF">
        <w:t xml:space="preserve"> in that it </w:t>
      </w:r>
      <w:r w:rsidRPr="005D023B" w:rsidR="00B070D4">
        <w:t xml:space="preserve">had </w:t>
      </w:r>
      <w:r w:rsidRPr="005D023B" w:rsidR="005014FF">
        <w:t>applied a domestic</w:t>
      </w:r>
      <w:r w:rsidRPr="005D023B" w:rsidR="00B070D4">
        <w:t>-</w:t>
      </w:r>
      <w:r w:rsidRPr="005D023B" w:rsidR="005014FF">
        <w:t>law standard that was not comparable to the “no more than absolutely necessary” standard required by Article 2 § 2.</w:t>
      </w:r>
    </w:p>
    <w:p w:rsidRPr="005D023B" w:rsidR="000D2DDB" w:rsidP="005014FF" w:rsidRDefault="000D2DDB">
      <w:pPr>
        <w:pStyle w:val="JuParaChar"/>
      </w:pPr>
      <w:r w:rsidRPr="005D023B">
        <w:fldChar w:fldCharType="begin"/>
      </w:r>
      <w:r w:rsidRPr="005D023B">
        <w:instrText xml:space="preserve"> SEQ level0 \*arabic </w:instrText>
      </w:r>
      <w:r w:rsidRPr="005D023B">
        <w:fldChar w:fldCharType="separate"/>
      </w:r>
      <w:r w:rsidR="00D57953">
        <w:rPr>
          <w:noProof/>
        </w:rPr>
        <w:t>91</w:t>
      </w:r>
      <w:r w:rsidRPr="005D023B">
        <w:fldChar w:fldCharType="end"/>
      </w:r>
      <w:r w:rsidRPr="005D023B">
        <w:t>.  </w:t>
      </w:r>
      <w:r w:rsidRPr="005D023B" w:rsidR="00B24D17">
        <w:t>As to the</w:t>
      </w:r>
      <w:r w:rsidRPr="005D023B">
        <w:t xml:space="preserve"> applicants</w:t>
      </w:r>
      <w:r w:rsidR="00F2618C">
        <w:t>'</w:t>
      </w:r>
      <w:r w:rsidRPr="005D023B">
        <w:t xml:space="preserve"> alleg</w:t>
      </w:r>
      <w:r w:rsidRPr="005D023B" w:rsidR="00B24D17">
        <w:t>ation</w:t>
      </w:r>
      <w:r w:rsidRPr="005D023B">
        <w:t xml:space="preserve"> that there had also been a violation of the </w:t>
      </w:r>
      <w:r w:rsidRPr="005D023B" w:rsidR="00B070D4">
        <w:t>r</w:t>
      </w:r>
      <w:r w:rsidRPr="005D023B">
        <w:t>espondent State</w:t>
      </w:r>
      <w:r w:rsidR="00F2618C">
        <w:t>'</w:t>
      </w:r>
      <w:r w:rsidRPr="005D023B">
        <w:t>s obligation to protect life by law, the Chamber considered that it had dealt with all relevant aspects of the case and that it was not necessary to examine that issue separately.</w:t>
      </w:r>
    </w:p>
    <w:p w:rsidRPr="005D023B" w:rsidR="00CD49A7" w:rsidRDefault="00DD3400">
      <w:pPr>
        <w:pStyle w:val="JuHA"/>
      </w:pPr>
      <w:r w:rsidRPr="005D023B">
        <w:t>B</w:t>
      </w:r>
      <w:r w:rsidRPr="005D023B" w:rsidR="00CD49A7">
        <w:t>.  </w:t>
      </w:r>
      <w:r w:rsidRPr="005D023B">
        <w:t>The parties</w:t>
      </w:r>
      <w:r w:rsidR="00F2618C">
        <w:rPr>
          <w:b w:val="0"/>
        </w:rPr>
        <w:t>'</w:t>
      </w:r>
      <w:r w:rsidRPr="005D023B">
        <w:t xml:space="preserve"> submissions</w:t>
      </w:r>
    </w:p>
    <w:p w:rsidRPr="005D023B" w:rsidR="00CD49A7" w:rsidRDefault="00DD3400">
      <w:pPr>
        <w:pStyle w:val="JuParaChar"/>
      </w:pPr>
      <w:r w:rsidRPr="005D023B">
        <w:fldChar w:fldCharType="begin"/>
      </w:r>
      <w:r w:rsidRPr="005D023B">
        <w:instrText xml:space="preserve"> SEQ level0 \*arabic </w:instrText>
      </w:r>
      <w:r w:rsidRPr="005D023B">
        <w:fldChar w:fldCharType="separate"/>
      </w:r>
      <w:r w:rsidR="00D57953">
        <w:rPr>
          <w:noProof/>
        </w:rPr>
        <w:t>92</w:t>
      </w:r>
      <w:r w:rsidRPr="005D023B">
        <w:fldChar w:fldCharType="end"/>
      </w:r>
      <w:r w:rsidRPr="005D023B">
        <w:t>.  Before the Grand Chamber, t</w:t>
      </w:r>
      <w:r w:rsidRPr="005D023B" w:rsidR="004D1C7B">
        <w:t>he Government</w:t>
      </w:r>
      <w:r w:rsidRPr="005D023B" w:rsidR="00D24B46">
        <w:t xml:space="preserve"> and t</w:t>
      </w:r>
      <w:r w:rsidRPr="005D023B" w:rsidR="004D1C7B">
        <w:t>he applicants stated that they accepted the Chamber</w:t>
      </w:r>
      <w:r w:rsidR="00F2618C">
        <w:t>'</w:t>
      </w:r>
      <w:r w:rsidRPr="005D023B" w:rsidR="004D1C7B">
        <w:t>s findings</w:t>
      </w:r>
      <w:r w:rsidRPr="005D023B" w:rsidR="00D24B46">
        <w:t xml:space="preserve"> in respect of Article 2 of the Convention</w:t>
      </w:r>
      <w:r w:rsidRPr="005D023B" w:rsidR="004D1C7B">
        <w:t>.</w:t>
      </w:r>
    </w:p>
    <w:p w:rsidRPr="005D023B" w:rsidR="00DD3400" w:rsidP="00DD3400" w:rsidRDefault="0015294C">
      <w:pPr>
        <w:pStyle w:val="JuHA"/>
      </w:pPr>
      <w:r>
        <w:t>C.</w:t>
      </w:r>
      <w:r w:rsidR="00243030">
        <w:t>  </w:t>
      </w:r>
      <w:r w:rsidRPr="005D023B" w:rsidR="00DD3400">
        <w:t>The Court</w:t>
      </w:r>
      <w:r w:rsidR="00F2618C">
        <w:rPr>
          <w:b w:val="0"/>
        </w:rPr>
        <w:t>'</w:t>
      </w:r>
      <w:r w:rsidRPr="005D023B" w:rsidR="00DD3400">
        <w:t>s assessment</w:t>
      </w:r>
    </w:p>
    <w:p w:rsidRPr="005D023B" w:rsidR="00B93750" w:rsidP="00B93750" w:rsidRDefault="00874A0D">
      <w:pPr>
        <w:pStyle w:val="JuH1"/>
      </w:pPr>
      <w:r>
        <w:t>1.  </w:t>
      </w:r>
      <w:r w:rsidRPr="005D023B" w:rsidR="00613881">
        <w:t>W</w:t>
      </w:r>
      <w:r w:rsidRPr="005D023B" w:rsidR="00B93750">
        <w:t>hether Mr Angelov and Mr Petkov were deprived of their lives in violation of Article 2</w:t>
      </w:r>
    </w:p>
    <w:p w:rsidRPr="005D023B" w:rsidR="00B93750" w:rsidP="00B93750" w:rsidRDefault="00874A0D">
      <w:pPr>
        <w:pStyle w:val="JuHa0"/>
      </w:pPr>
      <w:r>
        <w:t>(a)  </w:t>
      </w:r>
      <w:r w:rsidR="00C82D85">
        <w:t>G</w:t>
      </w:r>
      <w:r w:rsidRPr="005D023B" w:rsidR="00B93750">
        <w:t>eneral principles</w:t>
      </w:r>
    </w:p>
    <w:p w:rsidR="00B147F8" w:rsidP="00BE26A4" w:rsidRDefault="00DD3400">
      <w:pPr>
        <w:pStyle w:val="JuPara"/>
      </w:pPr>
      <w:r w:rsidRPr="005D023B">
        <w:fldChar w:fldCharType="begin"/>
      </w:r>
      <w:r w:rsidRPr="005D023B">
        <w:instrText xml:space="preserve"> SEQ level0 \*arabic </w:instrText>
      </w:r>
      <w:r w:rsidRPr="005D023B">
        <w:fldChar w:fldCharType="separate"/>
      </w:r>
      <w:r w:rsidR="00D57953">
        <w:rPr>
          <w:noProof/>
        </w:rPr>
        <w:t>93</w:t>
      </w:r>
      <w:r w:rsidRPr="005D023B">
        <w:fldChar w:fldCharType="end"/>
      </w:r>
      <w:r w:rsidRPr="005D023B">
        <w:t>.  </w:t>
      </w:r>
      <w:r w:rsidRPr="005D023B" w:rsidR="00B93750">
        <w:t>Article 2, which safeguards the right to life, ranks as one of the most fundamental provisions in the Convention</w:t>
      </w:r>
      <w:r w:rsidRPr="005D023B" w:rsidR="00BE1317">
        <w:t xml:space="preserve"> and</w:t>
      </w:r>
      <w:r w:rsidRPr="005D023B" w:rsidR="00B93750">
        <w:t xml:space="preserve"> enshrines one of the basic values of the democratic societies making up the Council of Europe</w:t>
      </w:r>
      <w:r w:rsidRPr="005D023B" w:rsidR="009A701E">
        <w:t>.</w:t>
      </w:r>
      <w:r w:rsidR="00E125D8">
        <w:t xml:space="preserve"> </w:t>
      </w:r>
      <w:r w:rsidR="00DE34E4">
        <w:t>T</w:t>
      </w:r>
      <w:r w:rsidRPr="005D023B" w:rsidR="00BE26A4">
        <w:t xml:space="preserve">he Court must subject allegations of </w:t>
      </w:r>
      <w:r w:rsidR="00F3093D">
        <w:t xml:space="preserve">a </w:t>
      </w:r>
      <w:r w:rsidRPr="005D023B" w:rsidR="00BE26A4">
        <w:t>breach of this provision to the most careful scrutiny</w:t>
      </w:r>
      <w:r w:rsidR="00DE34E4">
        <w:t>.</w:t>
      </w:r>
      <w:r w:rsidRPr="00DE34E4" w:rsidR="00DE34E4">
        <w:t xml:space="preserve"> </w:t>
      </w:r>
      <w:r w:rsidR="00DE34E4">
        <w:t>In cases concerning the use of force by State agents, it must</w:t>
      </w:r>
      <w:r w:rsidRPr="005D023B" w:rsidR="00BE26A4">
        <w:t xml:space="preserve"> tak</w:t>
      </w:r>
      <w:r w:rsidR="00DE34E4">
        <w:t>e</w:t>
      </w:r>
      <w:r w:rsidRPr="005D023B" w:rsidR="00BE26A4">
        <w:t xml:space="preserve"> into consideration not only the actions of the agents of the State who actually administered the force but also all the surrounding circumstances</w:t>
      </w:r>
      <w:r w:rsidR="00FD5CAF">
        <w:t>,</w:t>
      </w:r>
      <w:r w:rsidRPr="005D023B" w:rsidR="00BE26A4">
        <w:t xml:space="preserve"> including such matters as the relevant legal </w:t>
      </w:r>
      <w:r w:rsidR="00C82D85">
        <w:t xml:space="preserve">or regulatory </w:t>
      </w:r>
      <w:r w:rsidRPr="005D023B" w:rsidR="00BE26A4">
        <w:t xml:space="preserve">framework in place and the planning and control of the actions under examination (see </w:t>
      </w:r>
      <w:r w:rsidRPr="005D023B" w:rsidR="00BE26A4">
        <w:rPr>
          <w:i/>
        </w:rPr>
        <w:t>McCann and Others</w:t>
      </w:r>
      <w:r w:rsidRPr="005D023B" w:rsidR="00BE26A4">
        <w:t xml:space="preserve"> </w:t>
      </w:r>
      <w:r w:rsidRPr="005D023B" w:rsidR="00BE26A4">
        <w:rPr>
          <w:i/>
        </w:rPr>
        <w:t>v. the United Kingdom</w:t>
      </w:r>
      <w:r w:rsidR="001C4131">
        <w:t xml:space="preserve">, judgment of 27 </w:t>
      </w:r>
      <w:r w:rsidRPr="005D023B" w:rsidR="00BE26A4">
        <w:t>September 1995, Series A no. 324, p. 46, § 150</w:t>
      </w:r>
      <w:r w:rsidR="00F3093D">
        <w:t>,</w:t>
      </w:r>
      <w:r w:rsidRPr="005D023B" w:rsidR="00BE26A4">
        <w:t xml:space="preserve"> and </w:t>
      </w:r>
      <w:r w:rsidR="001C4131">
        <w:rPr>
          <w:i/>
        </w:rPr>
        <w:t xml:space="preserve">Makaratzis v. </w:t>
      </w:r>
      <w:r w:rsidRPr="005D023B" w:rsidR="00BE26A4">
        <w:rPr>
          <w:i/>
        </w:rPr>
        <w:t xml:space="preserve">Greece </w:t>
      </w:r>
      <w:r w:rsidRPr="005D023B" w:rsidR="00BE26A4">
        <w:t>[GC], no</w:t>
      </w:r>
      <w:r w:rsidR="00C54283">
        <w:t>. 50385/99, §§ 5</w:t>
      </w:r>
      <w:r w:rsidR="00D57953">
        <w:t>6</w:t>
      </w:r>
      <w:r w:rsidR="00C54283">
        <w:t xml:space="preserve">-59, </w:t>
      </w:r>
      <w:r w:rsidRPr="00FD5CAF" w:rsidR="00FD5CAF">
        <w:t>ECHR 2004-XI</w:t>
      </w:r>
      <w:r w:rsidRPr="005D023B" w:rsidR="00BE26A4">
        <w:t>).</w:t>
      </w:r>
    </w:p>
    <w:p w:rsidR="00B147F8" w:rsidP="009A701E" w:rsidRDefault="00B93750">
      <w:pPr>
        <w:pStyle w:val="JuPara"/>
      </w:pPr>
      <w:r w:rsidRPr="005D023B">
        <w:fldChar w:fldCharType="begin"/>
      </w:r>
      <w:r w:rsidRPr="005D023B">
        <w:instrText xml:space="preserve"> SEQ level0 \*arabic </w:instrText>
      </w:r>
      <w:r w:rsidRPr="005D023B">
        <w:fldChar w:fldCharType="separate"/>
      </w:r>
      <w:r w:rsidR="00D57953">
        <w:rPr>
          <w:noProof/>
        </w:rPr>
        <w:t>94</w:t>
      </w:r>
      <w:r w:rsidRPr="005D023B">
        <w:fldChar w:fldCharType="end"/>
      </w:r>
      <w:r w:rsidRPr="005D023B">
        <w:t xml:space="preserve">.  As the text of Article 2 § 2 itself shows, the use of lethal force by police officers may be justified in certain circumstances. </w:t>
      </w:r>
      <w:r w:rsidRPr="005D023B" w:rsidR="009A701E">
        <w:t>However, a</w:t>
      </w:r>
      <w:r w:rsidRPr="005D023B">
        <w:t>ny use of force must be</w:t>
      </w:r>
      <w:r w:rsidR="00C82D85">
        <w:t xml:space="preserve"> </w:t>
      </w:r>
      <w:r w:rsidRPr="005D023B" w:rsidR="00AA3EE8">
        <w:t>“</w:t>
      </w:r>
      <w:r w:rsidRPr="005D023B">
        <w:t>no more than absolutely necessary”</w:t>
      </w:r>
      <w:r w:rsidR="00841635">
        <w:t xml:space="preserve">, that is to say </w:t>
      </w:r>
      <w:r w:rsidR="00AA3EE8">
        <w:t xml:space="preserve">it must </w:t>
      </w:r>
      <w:r w:rsidR="00841635">
        <w:t>be strictly proportionate in the circumstances</w:t>
      </w:r>
      <w:r w:rsidR="00181BD8">
        <w:t xml:space="preserve">. </w:t>
      </w:r>
      <w:r w:rsidRPr="005D023B" w:rsidR="009A701E">
        <w:t xml:space="preserve">In view of the fundamental nature of the right to life, the circumstances in which deprivation of life may be justified must be strictly construed (see </w:t>
      </w:r>
      <w:r w:rsidRPr="005D023B" w:rsidR="009A701E">
        <w:rPr>
          <w:i/>
        </w:rPr>
        <w:t>Andronicou and Constantinou v</w:t>
      </w:r>
      <w:r w:rsidR="00E23670">
        <w:rPr>
          <w:i/>
        </w:rPr>
        <w:t>. </w:t>
      </w:r>
      <w:r w:rsidRPr="005D023B" w:rsidR="009A701E">
        <w:rPr>
          <w:i/>
        </w:rPr>
        <w:t>Cyprus</w:t>
      </w:r>
      <w:r w:rsidR="00B701B4">
        <w:t xml:space="preserve">, judgment of 9 </w:t>
      </w:r>
      <w:r w:rsidRPr="005D023B" w:rsidR="009A701E">
        <w:t xml:space="preserve">October 1997, </w:t>
      </w:r>
      <w:r w:rsidRPr="005D023B" w:rsidR="009A701E">
        <w:rPr>
          <w:i/>
        </w:rPr>
        <w:t>Reports of Judgments and Decisions</w:t>
      </w:r>
      <w:r w:rsidRPr="005D023B" w:rsidR="009A701E">
        <w:t xml:space="preserve"> </w:t>
      </w:r>
      <w:r w:rsidR="001C4131">
        <w:t>1997-VI, pp. 2097-</w:t>
      </w:r>
      <w:r w:rsidR="00E23670">
        <w:t>98, § 171, p. 2102, § 181, p. 2104, § 186, p. </w:t>
      </w:r>
      <w:r w:rsidRPr="005D023B" w:rsidR="009A701E">
        <w:t>2107, § 192</w:t>
      </w:r>
      <w:r w:rsidR="00FD5CAF">
        <w:t>,</w:t>
      </w:r>
      <w:r w:rsidRPr="005D023B" w:rsidR="009A701E">
        <w:t xml:space="preserve"> and p. 2108, § 193</w:t>
      </w:r>
      <w:r w:rsidR="00FD5CAF">
        <w:t>,</w:t>
      </w:r>
      <w:r w:rsidRPr="005D023B" w:rsidR="009A701E">
        <w:t xml:space="preserve"> and </w:t>
      </w:r>
      <w:r w:rsidRPr="005D023B" w:rsidR="00B24D17">
        <w:rPr>
          <w:i/>
        </w:rPr>
        <w:t>McKerr v. the United Kingdom</w:t>
      </w:r>
      <w:r w:rsidR="00E23670">
        <w:t>, no. </w:t>
      </w:r>
      <w:r w:rsidRPr="005D023B" w:rsidR="00B24D17">
        <w:t>28883/95, §</w:t>
      </w:r>
      <w:r w:rsidR="00C9324F">
        <w:t>§</w:t>
      </w:r>
      <w:r w:rsidR="00F6591C">
        <w:t xml:space="preserve"> </w:t>
      </w:r>
      <w:r w:rsidRPr="005D023B" w:rsidR="00B24D17">
        <w:t xml:space="preserve">108 </w:t>
      </w:r>
      <w:r w:rsidRPr="00C9324F" w:rsidR="00B24D17">
        <w:t>et seq</w:t>
      </w:r>
      <w:r w:rsidRPr="005D023B" w:rsidR="00B24D17">
        <w:t>., ECHR 2001</w:t>
      </w:r>
      <w:r w:rsidRPr="005D023B" w:rsidR="00B24D17">
        <w:noBreakHyphen/>
        <w:t>III)</w:t>
      </w:r>
      <w:r w:rsidRPr="005D023B" w:rsidR="009A701E">
        <w:t>.</w:t>
      </w:r>
    </w:p>
    <w:p w:rsidRPr="005D023B" w:rsidR="00BE1317" w:rsidP="00BE1317" w:rsidRDefault="00BE1317">
      <w:pPr>
        <w:pStyle w:val="JuPara"/>
      </w:pPr>
      <w:r w:rsidRPr="005D023B">
        <w:fldChar w:fldCharType="begin"/>
      </w:r>
      <w:r w:rsidRPr="005D023B">
        <w:instrText xml:space="preserve"> SEQ level0 \*arabic </w:instrText>
      </w:r>
      <w:r w:rsidRPr="005D023B">
        <w:fldChar w:fldCharType="separate"/>
      </w:r>
      <w:r w:rsidR="00D57953">
        <w:rPr>
          <w:noProof/>
        </w:rPr>
        <w:t>95</w:t>
      </w:r>
      <w:r w:rsidRPr="005D023B">
        <w:fldChar w:fldCharType="end"/>
      </w:r>
      <w:r w:rsidRPr="005D023B">
        <w:t>.  </w:t>
      </w:r>
      <w:r w:rsidR="00841635">
        <w:t xml:space="preserve">Accordingly, and with reference to </w:t>
      </w:r>
      <w:r w:rsidRPr="005D023B">
        <w:t>Article 2 § 2</w:t>
      </w:r>
      <w:r w:rsidR="00F3093D">
        <w:t xml:space="preserve"> </w:t>
      </w:r>
      <w:r w:rsidRPr="005D023B">
        <w:t xml:space="preserve">(b) of the Convention, the legitimate aim of effecting a lawful arrest can only justify putting human life at risk in circumstances of absolute necessity. The Court considers that in principle there can be no such necessity where it is known that the person to be arrested poses no threat to life or limb and is not suspected of having committed a violent offence, even if a failure to use lethal force may result in the opportunity to </w:t>
      </w:r>
      <w:r w:rsidR="00C602A2">
        <w:t xml:space="preserve">arrest the fugitive being lost </w:t>
      </w:r>
      <w:r w:rsidRPr="005D023B">
        <w:t>(see the Court</w:t>
      </w:r>
      <w:r w:rsidR="00F2618C">
        <w:t>'</w:t>
      </w:r>
      <w:r w:rsidRPr="005D023B">
        <w:t xml:space="preserve">s approach in </w:t>
      </w:r>
      <w:r w:rsidRPr="005D023B">
        <w:rPr>
          <w:i/>
        </w:rPr>
        <w:t>McCann and Others</w:t>
      </w:r>
      <w:r w:rsidR="001C4131">
        <w:t>,</w:t>
      </w:r>
      <w:r w:rsidR="00F6591C">
        <w:t xml:space="preserve"> cited above, pp. 45-46, §§ 146-</w:t>
      </w:r>
      <w:r w:rsidR="001C4131">
        <w:t>50</w:t>
      </w:r>
      <w:r w:rsidR="00FD5CAF">
        <w:t>,</w:t>
      </w:r>
      <w:r w:rsidR="001C4131">
        <w:t xml:space="preserve"> and pp. 56-</w:t>
      </w:r>
      <w:r w:rsidR="00E23670">
        <w:t xml:space="preserve">62, §§ </w:t>
      </w:r>
      <w:r w:rsidR="00622307">
        <w:t>192-</w:t>
      </w:r>
      <w:r w:rsidRPr="005D023B">
        <w:t>214</w:t>
      </w:r>
      <w:r w:rsidR="00FD5CAF">
        <w:t>,</w:t>
      </w:r>
      <w:r w:rsidRPr="005D023B">
        <w:t xml:space="preserve"> and, more recently, in </w:t>
      </w:r>
      <w:r w:rsidRPr="005D023B">
        <w:rPr>
          <w:i/>
        </w:rPr>
        <w:t>Makaratzis</w:t>
      </w:r>
      <w:r w:rsidRPr="005D023B">
        <w:t>, cited above, §§ 64-66; see also the Court</w:t>
      </w:r>
      <w:r w:rsidR="00F2618C">
        <w:t>'</w:t>
      </w:r>
      <w:r w:rsidRPr="005D023B">
        <w:t xml:space="preserve">s condemnation of the use of firearms against unarmed and non-violent persons trying to leave the German Democratic Republic in </w:t>
      </w:r>
      <w:r w:rsidRPr="005D023B">
        <w:rPr>
          <w:i/>
        </w:rPr>
        <w:t xml:space="preserve">Streletz, Kessler and Krenz v. Germany </w:t>
      </w:r>
      <w:r w:rsidR="00B701B4">
        <w:t xml:space="preserve">[GC], nos. </w:t>
      </w:r>
      <w:r w:rsidRPr="005D023B">
        <w:t>34044/96, 35532/97 and 4</w:t>
      </w:r>
      <w:r w:rsidR="00B701B4">
        <w:t>4801/98, §§ 87, 96 and 97, ECHR </w:t>
      </w:r>
      <w:r w:rsidR="00622307">
        <w:t>2001</w:t>
      </w:r>
      <w:r w:rsidR="00622307">
        <w:noBreakHyphen/>
      </w:r>
      <w:r w:rsidRPr="005D023B">
        <w:t>II).</w:t>
      </w:r>
    </w:p>
    <w:p w:rsidR="00B147F8" w:rsidP="00B24D17" w:rsidRDefault="00FF667C">
      <w:pPr>
        <w:pStyle w:val="JuPara"/>
      </w:pPr>
      <w:r w:rsidRPr="005D023B">
        <w:fldChar w:fldCharType="begin"/>
      </w:r>
      <w:r w:rsidRPr="005D023B">
        <w:instrText xml:space="preserve"> SEQ level0 \*arabic </w:instrText>
      </w:r>
      <w:r w:rsidRPr="005D023B">
        <w:fldChar w:fldCharType="separate"/>
      </w:r>
      <w:r w:rsidR="00D57953">
        <w:rPr>
          <w:noProof/>
        </w:rPr>
        <w:t>96</w:t>
      </w:r>
      <w:r w:rsidRPr="005D023B">
        <w:fldChar w:fldCharType="end"/>
      </w:r>
      <w:r w:rsidRPr="005D023B">
        <w:t>.  </w:t>
      </w:r>
      <w:r w:rsidRPr="005D023B" w:rsidR="00E268F4">
        <w:t>In addition</w:t>
      </w:r>
      <w:r w:rsidRPr="005D023B" w:rsidR="00872A96">
        <w:t xml:space="preserve"> to setting out the </w:t>
      </w:r>
      <w:r w:rsidR="00E125D8">
        <w:t>circumstances when</w:t>
      </w:r>
      <w:r w:rsidRPr="005D023B" w:rsidR="00872A96">
        <w:t xml:space="preserve"> deprivation of life</w:t>
      </w:r>
      <w:r w:rsidR="0092218B">
        <w:t xml:space="preserve"> may be jus</w:t>
      </w:r>
      <w:r w:rsidR="00E125D8">
        <w:t>tified</w:t>
      </w:r>
      <w:r w:rsidRPr="005D023B" w:rsidR="00E268F4">
        <w:t>, Article 2 implies a primary duty on the State to secure the right to life by putting in place an appropriate legal and administrative framework</w:t>
      </w:r>
      <w:r w:rsidRPr="005D023B" w:rsidR="00B24D17">
        <w:t xml:space="preserve"> defining the limited circumstances in which law</w:t>
      </w:r>
      <w:r w:rsidR="00FD5CAF">
        <w:t xml:space="preserve"> </w:t>
      </w:r>
      <w:r w:rsidRPr="005D023B" w:rsidR="00B24D17">
        <w:t xml:space="preserve">enforcement officials may use force and firearms, in the light of the </w:t>
      </w:r>
      <w:r w:rsidRPr="005D023B" w:rsidR="008B67ED">
        <w:t xml:space="preserve">relevant </w:t>
      </w:r>
      <w:r w:rsidRPr="005D023B" w:rsidR="00B24D17">
        <w:t>international standards</w:t>
      </w:r>
      <w:r w:rsidRPr="005D023B" w:rsidR="008B67ED">
        <w:t xml:space="preserve"> (see</w:t>
      </w:r>
      <w:r w:rsidRPr="005D023B" w:rsidR="008B67ED">
        <w:rPr>
          <w:i/>
        </w:rPr>
        <w:t xml:space="preserve"> Makaratzis</w:t>
      </w:r>
      <w:r w:rsidRPr="005D023B" w:rsidR="008B67ED">
        <w:t xml:space="preserve">, </w:t>
      </w:r>
      <w:r w:rsidRPr="005D023B" w:rsidR="00BE26A4">
        <w:t>cited above</w:t>
      </w:r>
      <w:r w:rsidRPr="005D023B" w:rsidR="008B67ED">
        <w:t>, §§ 57-59</w:t>
      </w:r>
      <w:r w:rsidR="0014285B">
        <w:t>,</w:t>
      </w:r>
      <w:r w:rsidRPr="005D023B" w:rsidR="008B67ED">
        <w:t xml:space="preserve"> and the relevant provisions of the United Nations Basic Principles on the Use of Force and Firearms by Law Enforcement Offic</w:t>
      </w:r>
      <w:r w:rsidR="00E64B77">
        <w:t>ials</w:t>
      </w:r>
      <w:r w:rsidR="00FD5CAF">
        <w:t>,</w:t>
      </w:r>
      <w:r w:rsidR="00E64B77">
        <w:t xml:space="preserve"> paragraph</w:t>
      </w:r>
      <w:r w:rsidR="00C53E03">
        <w:t>s 71-74</w:t>
      </w:r>
      <w:r w:rsidR="00E64B77">
        <w:t xml:space="preserve"> </w:t>
      </w:r>
      <w:r w:rsidR="00C53E03">
        <w:t>above</w:t>
      </w:r>
      <w:r w:rsidR="00E64B77">
        <w:t>).</w:t>
      </w:r>
      <w:r w:rsidRPr="005D023B" w:rsidR="008B67ED">
        <w:t xml:space="preserve"> In line with the </w:t>
      </w:r>
      <w:r w:rsidR="00841635">
        <w:t xml:space="preserve">above-mentioned </w:t>
      </w:r>
      <w:r w:rsidRPr="005D023B" w:rsidR="008B67ED">
        <w:t xml:space="preserve">principle of strict proportionality </w:t>
      </w:r>
      <w:r w:rsidRPr="005D023B" w:rsidR="00BE26A4">
        <w:t xml:space="preserve">inherent </w:t>
      </w:r>
      <w:r w:rsidRPr="005D023B" w:rsidR="008B67ED">
        <w:t>in Article 2</w:t>
      </w:r>
      <w:r w:rsidRPr="005D023B" w:rsidR="00BE26A4">
        <w:t xml:space="preserve"> (see </w:t>
      </w:r>
      <w:r w:rsidRPr="005D023B" w:rsidR="00BE26A4">
        <w:rPr>
          <w:i/>
        </w:rPr>
        <w:t>McCann and Others</w:t>
      </w:r>
      <w:r w:rsidRPr="005D023B" w:rsidR="00BE26A4">
        <w:t>, cited above, p. 46, §</w:t>
      </w:r>
      <w:r w:rsidRPr="005D023B" w:rsidR="00BE1317">
        <w:t xml:space="preserve"> 1</w:t>
      </w:r>
      <w:r w:rsidRPr="005D023B" w:rsidR="00BE26A4">
        <w:t>49)</w:t>
      </w:r>
      <w:r w:rsidRPr="005D023B" w:rsidR="008B67ED">
        <w:t>, the national legal framework regulating arrest operations must make recourse to firearms dependent on a</w:t>
      </w:r>
      <w:r w:rsidR="00841635">
        <w:t xml:space="preserve"> careful</w:t>
      </w:r>
      <w:r w:rsidRPr="005D023B" w:rsidR="008B67ED">
        <w:t xml:space="preserve"> assessment of the surrounding circumstances, and, in particular, on an evaluation of the nature of the offence committed by the fugitive and of the threat he or she posed.</w:t>
      </w:r>
    </w:p>
    <w:p w:rsidRPr="005D023B" w:rsidR="008B67ED" w:rsidP="00B24D17" w:rsidRDefault="008B67ED">
      <w:pPr>
        <w:pStyle w:val="JuPara"/>
      </w:pPr>
      <w:r w:rsidRPr="005D023B">
        <w:fldChar w:fldCharType="begin"/>
      </w:r>
      <w:r w:rsidRPr="005D023B">
        <w:instrText xml:space="preserve"> SEQ level0 \*arabic </w:instrText>
      </w:r>
      <w:r w:rsidRPr="005D023B">
        <w:fldChar w:fldCharType="separate"/>
      </w:r>
      <w:r w:rsidR="00D57953">
        <w:rPr>
          <w:noProof/>
        </w:rPr>
        <w:t>97</w:t>
      </w:r>
      <w:r w:rsidRPr="005D023B">
        <w:fldChar w:fldCharType="end"/>
      </w:r>
      <w:r w:rsidRPr="005D023B">
        <w:t xml:space="preserve">.  Furthermore, </w:t>
      </w:r>
      <w:r w:rsidR="00841635">
        <w:t xml:space="preserve">the </w:t>
      </w:r>
      <w:r w:rsidRPr="005D023B">
        <w:t>national law</w:t>
      </w:r>
      <w:r w:rsidRPr="005D023B" w:rsidR="00CC0562">
        <w:t xml:space="preserve"> regulating policing operations</w:t>
      </w:r>
      <w:r w:rsidRPr="005D023B">
        <w:t xml:space="preserve"> must secure a system of adequate and effective safeguards against arbitrariness and abuse of force and even against avoidable accident (see</w:t>
      </w:r>
      <w:r w:rsidRPr="005D023B">
        <w:rPr>
          <w:i/>
        </w:rPr>
        <w:t xml:space="preserve"> Makaratzis</w:t>
      </w:r>
      <w:r w:rsidR="00E23670">
        <w:t xml:space="preserve">, cited above, § </w:t>
      </w:r>
      <w:r w:rsidRPr="005D023B">
        <w:t xml:space="preserve">58). </w:t>
      </w:r>
      <w:r w:rsidRPr="005D023B" w:rsidR="00BE26A4">
        <w:t>In particular, l</w:t>
      </w:r>
      <w:r w:rsidRPr="005D023B">
        <w:t>aw</w:t>
      </w:r>
      <w:r w:rsidR="00FD5CAF">
        <w:t xml:space="preserve"> </w:t>
      </w:r>
      <w:r w:rsidRPr="005D023B">
        <w:t xml:space="preserve">enforcement agents must be trained to assess whether or not there is </w:t>
      </w:r>
      <w:r w:rsidR="0014285B">
        <w:t xml:space="preserve">an </w:t>
      </w:r>
      <w:r w:rsidRPr="005D023B">
        <w:t>absolute necessity to use firearms</w:t>
      </w:r>
      <w:r w:rsidR="00FD5CAF">
        <w:t>,</w:t>
      </w:r>
      <w:r w:rsidRPr="005D023B">
        <w:t xml:space="preserve"> not only on the basis of the letter of the relevant regulations</w:t>
      </w:r>
      <w:r w:rsidR="00FD5CAF">
        <w:t>,</w:t>
      </w:r>
      <w:r w:rsidRPr="005D023B">
        <w:t xml:space="preserve"> but also with </w:t>
      </w:r>
      <w:r w:rsidRPr="005D023B" w:rsidR="003A019E">
        <w:t xml:space="preserve">due </w:t>
      </w:r>
      <w:r w:rsidRPr="005D023B">
        <w:t xml:space="preserve">regard to </w:t>
      </w:r>
      <w:r w:rsidRPr="005D023B" w:rsidR="003A019E">
        <w:t xml:space="preserve">the pre-eminence of </w:t>
      </w:r>
      <w:r w:rsidRPr="005D023B" w:rsidR="00BE26A4">
        <w:t>respect for human life as a fundamental value (see the Court</w:t>
      </w:r>
      <w:r w:rsidR="00F2618C">
        <w:t>'</w:t>
      </w:r>
      <w:r w:rsidRPr="005D023B" w:rsidR="00BE26A4">
        <w:t xml:space="preserve">s criticism of the “shoot to kill” instructions given to soldiers in </w:t>
      </w:r>
      <w:r w:rsidRPr="005D023B" w:rsidR="00BE26A4">
        <w:rPr>
          <w:i/>
        </w:rPr>
        <w:t>McCann and Others</w:t>
      </w:r>
      <w:r w:rsidRPr="005D023B" w:rsidR="00BE26A4">
        <w:t>, cited above, pp. 61</w:t>
      </w:r>
      <w:r w:rsidR="00705616">
        <w:t>-</w:t>
      </w:r>
      <w:r w:rsidR="00F3093D">
        <w:t>62, §§ 211-</w:t>
      </w:r>
      <w:r w:rsidRPr="005D023B" w:rsidR="00BE26A4">
        <w:t>14)</w:t>
      </w:r>
      <w:r w:rsidRPr="005D023B">
        <w:t>.</w:t>
      </w:r>
    </w:p>
    <w:p w:rsidRPr="005D023B" w:rsidR="00B93750" w:rsidP="00E268F4" w:rsidRDefault="00874A0D">
      <w:pPr>
        <w:pStyle w:val="JuHa0"/>
      </w:pPr>
      <w:r>
        <w:t>(b)  </w:t>
      </w:r>
      <w:r w:rsidR="008063F5">
        <w:t>A</w:t>
      </w:r>
      <w:r w:rsidRPr="005D023B" w:rsidR="00E268F4">
        <w:t xml:space="preserve">pplication of </w:t>
      </w:r>
      <w:r w:rsidRPr="005D023B" w:rsidR="0014285B">
        <w:t>th</w:t>
      </w:r>
      <w:r w:rsidR="0014285B">
        <w:t>e</w:t>
      </w:r>
      <w:r w:rsidR="00FD5CAF">
        <w:t xml:space="preserve"> above</w:t>
      </w:r>
      <w:r w:rsidRPr="005D023B" w:rsidR="0014285B">
        <w:t xml:space="preserve"> </w:t>
      </w:r>
      <w:r w:rsidRPr="005D023B" w:rsidR="00E268F4">
        <w:t>principles in the present case</w:t>
      </w:r>
    </w:p>
    <w:p w:rsidRPr="005D023B" w:rsidR="00462B8E" w:rsidP="00462B8E" w:rsidRDefault="00B82944">
      <w:pPr>
        <w:pStyle w:val="JuParaChar"/>
      </w:pPr>
      <w:r w:rsidRPr="005D023B">
        <w:fldChar w:fldCharType="begin"/>
      </w:r>
      <w:r w:rsidRPr="005D023B">
        <w:instrText xml:space="preserve"> SEQ level0 \*arabic </w:instrText>
      </w:r>
      <w:r w:rsidRPr="005D023B">
        <w:fldChar w:fldCharType="separate"/>
      </w:r>
      <w:r w:rsidR="00D57953">
        <w:rPr>
          <w:noProof/>
        </w:rPr>
        <w:t>98</w:t>
      </w:r>
      <w:r w:rsidRPr="005D023B">
        <w:fldChar w:fldCharType="end"/>
      </w:r>
      <w:r w:rsidRPr="005D023B">
        <w:t>.  </w:t>
      </w:r>
      <w:r w:rsidRPr="005D023B" w:rsidR="00462B8E">
        <w:t>Mr Angelov and Mr Petkov were shot and killed by a military police officer who was trying to arrest them following their escape from detention. It follows that the case falls to be examined under Article 2 § 2</w:t>
      </w:r>
      <w:r w:rsidR="006E721C">
        <w:t xml:space="preserve"> </w:t>
      </w:r>
      <w:r w:rsidRPr="005D023B" w:rsidR="00462B8E">
        <w:t>(b) of the Convention.</w:t>
      </w:r>
    </w:p>
    <w:p w:rsidR="00B147F8" w:rsidP="0037772A" w:rsidRDefault="00874A0D">
      <w:pPr>
        <w:pStyle w:val="JuHi"/>
      </w:pPr>
      <w:r>
        <w:t>(i)  </w:t>
      </w:r>
      <w:r w:rsidRPr="005D023B" w:rsidR="0037772A">
        <w:t>The relevant legal framework</w:t>
      </w:r>
    </w:p>
    <w:p w:rsidR="00B147F8" w:rsidP="0037772A" w:rsidRDefault="0037772A">
      <w:pPr>
        <w:pStyle w:val="JuPara"/>
      </w:pPr>
      <w:r w:rsidRPr="005D023B">
        <w:fldChar w:fldCharType="begin"/>
      </w:r>
      <w:r w:rsidRPr="005D023B">
        <w:instrText xml:space="preserve"> SEQ level0 \*arabic </w:instrText>
      </w:r>
      <w:r w:rsidRPr="005D023B">
        <w:fldChar w:fldCharType="separate"/>
      </w:r>
      <w:r w:rsidR="00D57953">
        <w:rPr>
          <w:noProof/>
        </w:rPr>
        <w:t>99</w:t>
      </w:r>
      <w:r w:rsidRPr="005D023B">
        <w:fldChar w:fldCharType="end"/>
      </w:r>
      <w:r w:rsidRPr="005D023B">
        <w:t>. </w:t>
      </w:r>
      <w:r w:rsidR="00874A0D">
        <w:t> </w:t>
      </w:r>
      <w:r w:rsidRPr="005D023B" w:rsidR="0097469D">
        <w:t xml:space="preserve">The Court notes </w:t>
      </w:r>
      <w:r w:rsidR="00C211F7">
        <w:t xml:space="preserve">as </w:t>
      </w:r>
      <w:r w:rsidR="00B13B21">
        <w:t>a matter of grave</w:t>
      </w:r>
      <w:r w:rsidRPr="005D023B" w:rsidR="0097469D">
        <w:t xml:space="preserve"> concern that t</w:t>
      </w:r>
      <w:r w:rsidRPr="005D023B">
        <w:t xml:space="preserve">he relevant regulations on the use of </w:t>
      </w:r>
      <w:r w:rsidRPr="005D023B" w:rsidR="001B761C">
        <w:t xml:space="preserve">firearms </w:t>
      </w:r>
      <w:r w:rsidRPr="005D023B" w:rsidR="00F826FD">
        <w:t xml:space="preserve">by </w:t>
      </w:r>
      <w:r w:rsidR="0014285B">
        <w:t xml:space="preserve">the </w:t>
      </w:r>
      <w:r w:rsidRPr="005D023B" w:rsidR="00F826FD">
        <w:t xml:space="preserve">military police </w:t>
      </w:r>
      <w:r w:rsidRPr="005D023B" w:rsidR="001B761C">
        <w:t xml:space="preserve">effectively </w:t>
      </w:r>
      <w:r w:rsidRPr="005D023B">
        <w:t xml:space="preserve">permitted </w:t>
      </w:r>
      <w:r w:rsidRPr="005D023B" w:rsidR="0097469D">
        <w:t xml:space="preserve">lethal </w:t>
      </w:r>
      <w:r w:rsidRPr="005D023B" w:rsidR="00A5492A">
        <w:t>force</w:t>
      </w:r>
      <w:r w:rsidRPr="005D023B">
        <w:t xml:space="preserve"> </w:t>
      </w:r>
      <w:r w:rsidR="0014285B">
        <w:t xml:space="preserve">to be used when </w:t>
      </w:r>
      <w:r w:rsidRPr="005D023B">
        <w:t>arrest</w:t>
      </w:r>
      <w:r w:rsidR="0014285B">
        <w:t>ing a member of the armed forces for even the most minor offence</w:t>
      </w:r>
      <w:r w:rsidRPr="005D023B" w:rsidR="002266FD">
        <w:t xml:space="preserve">. </w:t>
      </w:r>
      <w:r w:rsidR="005B6399">
        <w:t xml:space="preserve">Not </w:t>
      </w:r>
      <w:r w:rsidR="00044377">
        <w:t xml:space="preserve">only </w:t>
      </w:r>
      <w:r w:rsidR="005B6399">
        <w:t>were the regulations not published, t</w:t>
      </w:r>
      <w:r w:rsidRPr="005D023B" w:rsidR="00CE1D50">
        <w:t xml:space="preserve">hey </w:t>
      </w:r>
      <w:r w:rsidRPr="005D023B" w:rsidR="00A5492A">
        <w:t>contained</w:t>
      </w:r>
      <w:r w:rsidRPr="005D023B" w:rsidR="00CE1D50">
        <w:t xml:space="preserve"> no clear safeguards </w:t>
      </w:r>
      <w:r w:rsidR="00044377">
        <w:t>to prevent the</w:t>
      </w:r>
      <w:r w:rsidRPr="005D023B" w:rsidR="00044377">
        <w:t xml:space="preserve"> </w:t>
      </w:r>
      <w:r w:rsidRPr="005D023B" w:rsidR="00CE1D50">
        <w:t>arbitrary deprivation of life. Under the regulations</w:t>
      </w:r>
      <w:r w:rsidR="00F3093D">
        <w:t>,</w:t>
      </w:r>
      <w:r w:rsidRPr="005D023B" w:rsidR="00CE1D50">
        <w:t xml:space="preserve"> it was lawful to shoot a</w:t>
      </w:r>
      <w:r w:rsidRPr="005D023B" w:rsidR="003C11C3">
        <w:t>ny</w:t>
      </w:r>
      <w:r w:rsidRPr="005D023B" w:rsidR="00CE1D50">
        <w:t xml:space="preserve"> fugitive</w:t>
      </w:r>
      <w:r w:rsidRPr="005D023B" w:rsidR="003C11C3">
        <w:t xml:space="preserve"> who did not surrender immediately </w:t>
      </w:r>
      <w:r w:rsidR="00B13B21">
        <w:t xml:space="preserve">in response to </w:t>
      </w:r>
      <w:r w:rsidRPr="005D023B" w:rsidR="003C11C3">
        <w:t>a</w:t>
      </w:r>
      <w:r w:rsidRPr="005D023B" w:rsidR="00A5492A">
        <w:t>n oral</w:t>
      </w:r>
      <w:r w:rsidRPr="005D023B" w:rsidR="003C11C3">
        <w:t xml:space="preserve"> warning and </w:t>
      </w:r>
      <w:r w:rsidRPr="005D023B" w:rsidR="00A5492A">
        <w:t>the firing of a warning</w:t>
      </w:r>
      <w:r w:rsidRPr="005D023B" w:rsidR="003C11C3">
        <w:t xml:space="preserve"> shot in the air</w:t>
      </w:r>
      <w:r w:rsidRPr="005D023B" w:rsidR="002266FD">
        <w:t xml:space="preserve"> (see paragraph</w:t>
      </w:r>
      <w:r w:rsidR="006E51EF">
        <w:t xml:space="preserve"> 60</w:t>
      </w:r>
      <w:r w:rsidRPr="005D023B" w:rsidR="002266FD">
        <w:t xml:space="preserve"> above).</w:t>
      </w:r>
      <w:r w:rsidRPr="005D023B" w:rsidR="0097469D">
        <w:t xml:space="preserve"> </w:t>
      </w:r>
      <w:r w:rsidR="00582B8B">
        <w:t xml:space="preserve">The laxity of the regulations on the use of firearms and the manner in which they tolerated </w:t>
      </w:r>
      <w:r w:rsidR="003A2EC6">
        <w:t>the</w:t>
      </w:r>
      <w:r w:rsidR="00582B8B">
        <w:t xml:space="preserve"> use of lethal force </w:t>
      </w:r>
      <w:r w:rsidR="00044377">
        <w:t xml:space="preserve">were </w:t>
      </w:r>
      <w:r w:rsidR="00582B8B">
        <w:t xml:space="preserve">clearly exposed </w:t>
      </w:r>
      <w:r w:rsidR="00044377">
        <w:t xml:space="preserve">by </w:t>
      </w:r>
      <w:r w:rsidR="00582B8B">
        <w:t xml:space="preserve">the events </w:t>
      </w:r>
      <w:r w:rsidR="00044377">
        <w:t>that led</w:t>
      </w:r>
      <w:r w:rsidR="00582B8B">
        <w:t xml:space="preserve"> to the fatal shooting of Mr Angelov and Mr Petkov</w:t>
      </w:r>
      <w:r w:rsidR="003A2EC6">
        <w:t xml:space="preserve"> and </w:t>
      </w:r>
      <w:r w:rsidR="00044377">
        <w:t xml:space="preserve">by </w:t>
      </w:r>
      <w:r w:rsidR="003A2EC6">
        <w:t xml:space="preserve">the </w:t>
      </w:r>
      <w:r w:rsidR="00044377">
        <w:t>investigating authorities</w:t>
      </w:r>
      <w:r w:rsidR="00F2618C">
        <w:t>'</w:t>
      </w:r>
      <w:r w:rsidR="00044377">
        <w:t xml:space="preserve"> </w:t>
      </w:r>
      <w:r w:rsidR="003A2EC6">
        <w:t>response to those events</w:t>
      </w:r>
      <w:r w:rsidR="00582B8B">
        <w:t xml:space="preserve">. </w:t>
      </w:r>
      <w:r w:rsidR="003A2EC6">
        <w:t>The Court will revert to these matters later.</w:t>
      </w:r>
    </w:p>
    <w:p w:rsidR="00B147F8" w:rsidP="009C08FF" w:rsidRDefault="009C08FF">
      <w:pPr>
        <w:pStyle w:val="JuParaChar"/>
      </w:pPr>
      <w:r w:rsidRPr="005D023B">
        <w:fldChar w:fldCharType="begin"/>
      </w:r>
      <w:r w:rsidRPr="005D023B">
        <w:instrText xml:space="preserve"> SEQ level0 \*arabic </w:instrText>
      </w:r>
      <w:r w:rsidRPr="005D023B">
        <w:fldChar w:fldCharType="separate"/>
      </w:r>
      <w:r w:rsidR="00D57953">
        <w:rPr>
          <w:noProof/>
        </w:rPr>
        <w:t>100</w:t>
      </w:r>
      <w:r w:rsidRPr="005D023B">
        <w:fldChar w:fldCharType="end"/>
      </w:r>
      <w:r w:rsidRPr="005D023B">
        <w:t>.  </w:t>
      </w:r>
      <w:r w:rsidRPr="005D023B" w:rsidR="00A5492A">
        <w:t>S</w:t>
      </w:r>
      <w:r w:rsidRPr="005D023B">
        <w:t xml:space="preserve">uch a legal framework is fundamentally </w:t>
      </w:r>
      <w:r w:rsidRPr="005D023B" w:rsidR="00A5492A">
        <w:t>deficient</w:t>
      </w:r>
      <w:r w:rsidRPr="005D023B">
        <w:t xml:space="preserve"> and </w:t>
      </w:r>
      <w:r w:rsidRPr="005D023B" w:rsidR="00A5492A">
        <w:t xml:space="preserve">falls </w:t>
      </w:r>
      <w:r w:rsidRPr="005D023B">
        <w:t>well short of the level of protection</w:t>
      </w:r>
      <w:r w:rsidRPr="005D023B" w:rsidR="00A5492A">
        <w:t xml:space="preserve"> “by law”</w:t>
      </w:r>
      <w:r w:rsidRPr="005D023B">
        <w:t xml:space="preserve"> of the right to life that is required</w:t>
      </w:r>
      <w:r w:rsidRPr="005D023B" w:rsidR="00A5492A">
        <w:t xml:space="preserve"> by the Convention</w:t>
      </w:r>
      <w:r w:rsidRPr="005D023B">
        <w:t xml:space="preserve"> in present-day democratic societies in </w:t>
      </w:r>
      <w:smartTag w:uri="urn:schemas-microsoft-com:office:smarttags" w:element="place">
        <w:r w:rsidRPr="005D023B">
          <w:t>Europe</w:t>
        </w:r>
      </w:smartTag>
      <w:r w:rsidRPr="005D023B" w:rsidR="00DE4D4E">
        <w:t xml:space="preserve"> (see paragraph</w:t>
      </w:r>
      <w:r w:rsidR="006E51EF">
        <w:t>s 94</w:t>
      </w:r>
      <w:r w:rsidR="00E23670">
        <w:t>-</w:t>
      </w:r>
      <w:r w:rsidR="006E51EF">
        <w:t>97</w:t>
      </w:r>
      <w:r w:rsidRPr="005D023B" w:rsidR="00DE4D4E">
        <w:t xml:space="preserve"> above setting out the principles on which the relevant legal framework must be based).</w:t>
      </w:r>
    </w:p>
    <w:p w:rsidR="00B147F8" w:rsidP="0037772A" w:rsidRDefault="00B82944">
      <w:pPr>
        <w:pStyle w:val="JuPara"/>
      </w:pPr>
      <w:r w:rsidRPr="005D023B">
        <w:fldChar w:fldCharType="begin"/>
      </w:r>
      <w:r w:rsidRPr="005D023B">
        <w:instrText xml:space="preserve"> SEQ level0 \*arabic </w:instrText>
      </w:r>
      <w:r w:rsidRPr="005D023B">
        <w:fldChar w:fldCharType="separate"/>
      </w:r>
      <w:r w:rsidR="00D57953">
        <w:rPr>
          <w:noProof/>
        </w:rPr>
        <w:t>101</w:t>
      </w:r>
      <w:r w:rsidRPr="005D023B">
        <w:fldChar w:fldCharType="end"/>
      </w:r>
      <w:r w:rsidRPr="005D023B">
        <w:t>.  </w:t>
      </w:r>
      <w:r w:rsidRPr="005D023B" w:rsidR="009C08FF">
        <w:t>It is true that t</w:t>
      </w:r>
      <w:r w:rsidRPr="005D023B" w:rsidR="003C11C3">
        <w:t>h</w:t>
      </w:r>
      <w:r w:rsidRPr="005D023B" w:rsidR="00CE1D50">
        <w:t xml:space="preserve">e Supreme Court had stated that a proportionality requirement </w:t>
      </w:r>
      <w:r w:rsidRPr="005D023B" w:rsidR="00591CE8">
        <w:t>was inherent</w:t>
      </w:r>
      <w:r w:rsidRPr="005D023B" w:rsidR="00CE1D50">
        <w:t xml:space="preserve"> </w:t>
      </w:r>
      <w:r w:rsidR="00B13B21">
        <w:t>in the domestic</w:t>
      </w:r>
      <w:r w:rsidRPr="005D023B" w:rsidR="00CE1D50">
        <w:t xml:space="preserve"> criminal law</w:t>
      </w:r>
      <w:r w:rsidRPr="005D023B" w:rsidR="00591CE8">
        <w:t>. However</w:t>
      </w:r>
      <w:r w:rsidRPr="005D023B" w:rsidR="00CE1D50">
        <w:t xml:space="preserve">, </w:t>
      </w:r>
      <w:r w:rsidRPr="005D023B" w:rsidR="00591CE8">
        <w:t>the Supreme Court</w:t>
      </w:r>
      <w:r w:rsidR="00F2618C">
        <w:t>'</w:t>
      </w:r>
      <w:r w:rsidRPr="005D023B" w:rsidR="00591CE8">
        <w:t>s interpretation was not applied in the present case (see paragraph</w:t>
      </w:r>
      <w:r w:rsidR="006E51EF">
        <w:t>s 50-54 and 64</w:t>
      </w:r>
      <w:r w:rsidRPr="005D023B" w:rsidR="00591CE8">
        <w:t xml:space="preserve"> above)</w:t>
      </w:r>
      <w:r w:rsidRPr="005D023B" w:rsidR="00CE1D50">
        <w:t>.</w:t>
      </w:r>
    </w:p>
    <w:p w:rsidRPr="005D023B" w:rsidR="003A019E" w:rsidP="0037772A" w:rsidRDefault="003A019E">
      <w:pPr>
        <w:pStyle w:val="JuPara"/>
      </w:pPr>
      <w:r w:rsidRPr="005D023B">
        <w:fldChar w:fldCharType="begin"/>
      </w:r>
      <w:r w:rsidRPr="005D023B">
        <w:instrText xml:space="preserve"> SEQ level0 \*arabic </w:instrText>
      </w:r>
      <w:r w:rsidRPr="005D023B">
        <w:fldChar w:fldCharType="separate"/>
      </w:r>
      <w:r w:rsidR="00D57953">
        <w:rPr>
          <w:noProof/>
        </w:rPr>
        <w:t>102</w:t>
      </w:r>
      <w:r w:rsidRPr="005D023B">
        <w:fldChar w:fldCharType="end"/>
      </w:r>
      <w:r w:rsidRPr="005D023B">
        <w:t xml:space="preserve">.  The Court thus finds that there was a </w:t>
      </w:r>
      <w:r w:rsidRPr="005D023B" w:rsidR="00F826FD">
        <w:t>general</w:t>
      </w:r>
      <w:r w:rsidRPr="005D023B">
        <w:t xml:space="preserve"> failure by the respondent State to comply with its obligation under Article 2 of the Convention</w:t>
      </w:r>
      <w:r w:rsidRPr="005D023B" w:rsidR="00974404">
        <w:t xml:space="preserve"> to secure the right to life by putting in place an appropriate legal and administrative framework on the use of force and firearms</w:t>
      </w:r>
      <w:r w:rsidRPr="005D023B" w:rsidR="00DE4D4E">
        <w:t xml:space="preserve"> by military police.</w:t>
      </w:r>
    </w:p>
    <w:p w:rsidRPr="005D023B" w:rsidR="00591CE8" w:rsidP="00591CE8" w:rsidRDefault="00874A0D">
      <w:pPr>
        <w:pStyle w:val="JuHi"/>
      </w:pPr>
      <w:r>
        <w:t>(ii)  </w:t>
      </w:r>
      <w:r w:rsidRPr="005D023B" w:rsidR="00591CE8">
        <w:t>Planning and control of the operation</w:t>
      </w:r>
    </w:p>
    <w:p w:rsidRPr="005D023B" w:rsidR="00F826FD" w:rsidP="00F826FD" w:rsidRDefault="002266FD">
      <w:pPr>
        <w:pStyle w:val="JuParaChar"/>
      </w:pPr>
      <w:r w:rsidRPr="005D023B">
        <w:fldChar w:fldCharType="begin"/>
      </w:r>
      <w:r w:rsidRPr="005D023B">
        <w:instrText xml:space="preserve"> SEQ level0 \*arabic </w:instrText>
      </w:r>
      <w:r w:rsidRPr="005D023B">
        <w:fldChar w:fldCharType="separate"/>
      </w:r>
      <w:r w:rsidR="00D57953">
        <w:rPr>
          <w:noProof/>
        </w:rPr>
        <w:t>103</w:t>
      </w:r>
      <w:r w:rsidRPr="005D023B">
        <w:fldChar w:fldCharType="end"/>
      </w:r>
      <w:r w:rsidRPr="005D023B">
        <w:t>.</w:t>
      </w:r>
      <w:r w:rsidR="00874A0D">
        <w:t> </w:t>
      </w:r>
      <w:r w:rsidRPr="005D023B">
        <w:t> </w:t>
      </w:r>
      <w:r w:rsidRPr="005D023B" w:rsidR="00F826FD">
        <w:t xml:space="preserve">The Chamber gave separate consideration to </w:t>
      </w:r>
      <w:r w:rsidR="003A2EC6">
        <w:t>the</w:t>
      </w:r>
      <w:r w:rsidRPr="005D023B" w:rsidR="00F826FD">
        <w:t xml:space="preserve"> manner in which the arrest operation had been planned. The Grand Chamber endorses the Chamber</w:t>
      </w:r>
      <w:r w:rsidR="00F2618C">
        <w:t>'</w:t>
      </w:r>
      <w:r w:rsidRPr="005D023B" w:rsidR="00F826FD">
        <w:t xml:space="preserve">s finding that the authorities failed to comply with their obligation to minimise the risk of loss of life since the arresting officers were instructed to use all </w:t>
      </w:r>
      <w:r w:rsidR="00044377">
        <w:t xml:space="preserve">available </w:t>
      </w:r>
      <w:r w:rsidRPr="005D023B" w:rsidR="00F826FD">
        <w:t>means to arrest Mr Angelov and Mr Petkov, in disregard of the fact that the</w:t>
      </w:r>
      <w:r w:rsidRPr="005D023B" w:rsidR="004B7C2B">
        <w:t xml:space="preserve"> fugitives </w:t>
      </w:r>
      <w:r w:rsidRPr="005D023B" w:rsidR="00F826FD">
        <w:t>were unarmed and posed no danger to life or limb. As the Chamber rightly stated</w:t>
      </w:r>
      <w:r w:rsidR="00CB718B">
        <w:t xml:space="preserve"> (</w:t>
      </w:r>
      <w:r w:rsidR="00F3093D">
        <w:t>see paragraph</w:t>
      </w:r>
      <w:r w:rsidR="00CB718B">
        <w:t xml:space="preserve"> 110</w:t>
      </w:r>
      <w:r w:rsidR="00F3093D">
        <w:t xml:space="preserve"> of the Chamber judgment</w:t>
      </w:r>
      <w:r w:rsidR="00CB718B">
        <w:t>)</w:t>
      </w:r>
      <w:r w:rsidRPr="005D023B" w:rsidR="00F826FD">
        <w:t>:</w:t>
      </w:r>
    </w:p>
    <w:p w:rsidR="00B147F8" w:rsidP="00F826FD" w:rsidRDefault="00F826FD">
      <w:pPr>
        <w:pStyle w:val="JuQuot"/>
      </w:pPr>
      <w:r w:rsidRPr="005D023B">
        <w:t>“</w:t>
      </w:r>
      <w:r w:rsidR="00D57953">
        <w:t xml:space="preserve">... </w:t>
      </w:r>
      <w:r w:rsidRPr="005D023B">
        <w:t xml:space="preserve">[A] crucial element in the planning of an arrest operation </w:t>
      </w:r>
      <w:r w:rsidR="005E0639">
        <w:t>...</w:t>
      </w:r>
      <w:r w:rsidRPr="005D023B">
        <w:t xml:space="preserve"> must be the analysis of all the available information about the surrounding circumstances, including, as an absolute minimum, the nature of the offence committed by the person to be arrested and the degree of danger – if any – posed by that person. The question whether and in what circumstances recourse to firearms should be envisaged if the person to be arrested tries to escape must be decided on the basis of clear legal rules, adequate training and in the light of that information.”</w:t>
      </w:r>
    </w:p>
    <w:p w:rsidR="00CB718B" w:rsidP="00F826FD" w:rsidRDefault="00F826FD">
      <w:pPr>
        <w:pStyle w:val="JuParaChar"/>
      </w:pPr>
      <w:r w:rsidRPr="005D023B">
        <w:fldChar w:fldCharType="begin"/>
      </w:r>
      <w:r w:rsidRPr="005D023B">
        <w:instrText xml:space="preserve"> SEQ level0 \*arabic </w:instrText>
      </w:r>
      <w:r w:rsidRPr="005D023B">
        <w:fldChar w:fldCharType="separate"/>
      </w:r>
      <w:r w:rsidR="00D57953">
        <w:rPr>
          <w:noProof/>
        </w:rPr>
        <w:t>104</w:t>
      </w:r>
      <w:r w:rsidRPr="005D023B">
        <w:fldChar w:fldCharType="end"/>
      </w:r>
      <w:r w:rsidRPr="005D023B">
        <w:t>.  </w:t>
      </w:r>
      <w:r w:rsidR="003A2EC6">
        <w:t>The</w:t>
      </w:r>
      <w:r w:rsidRPr="005D023B">
        <w:t xml:space="preserve"> Grand Chamber </w:t>
      </w:r>
      <w:r w:rsidR="003A2EC6">
        <w:t xml:space="preserve">for its part </w:t>
      </w:r>
      <w:r w:rsidRPr="005D023B">
        <w:t xml:space="preserve">would </w:t>
      </w:r>
      <w:r w:rsidR="003A2EC6">
        <w:t xml:space="preserve">again highlight the </w:t>
      </w:r>
      <w:r w:rsidRPr="005D023B">
        <w:t xml:space="preserve">absence of a clear </w:t>
      </w:r>
      <w:r w:rsidR="003A2EC6">
        <w:t xml:space="preserve">legal and </w:t>
      </w:r>
      <w:r w:rsidRPr="005D023B">
        <w:t xml:space="preserve">regulatory framework defining the circumstances in which military police officers may have recourse to </w:t>
      </w:r>
      <w:r w:rsidRPr="005D023B" w:rsidR="00DE4D4E">
        <w:t xml:space="preserve">potentially </w:t>
      </w:r>
      <w:r w:rsidRPr="005D023B">
        <w:t>deadly force</w:t>
      </w:r>
      <w:r w:rsidR="006E51EF">
        <w:t xml:space="preserve"> </w:t>
      </w:r>
      <w:r w:rsidR="00CB718B">
        <w:t xml:space="preserve">(see paragraphs </w:t>
      </w:r>
      <w:r w:rsidR="006E51EF">
        <w:t>99-102</w:t>
      </w:r>
      <w:r w:rsidR="00CB718B">
        <w:t xml:space="preserve"> above). It agrees with the Chamber</w:t>
      </w:r>
      <w:r w:rsidR="00F2618C">
        <w:t>'</w:t>
      </w:r>
      <w:r w:rsidR="00CB718B">
        <w:t>s finding</w:t>
      </w:r>
      <w:r w:rsidR="005B6399">
        <w:t xml:space="preserve"> </w:t>
      </w:r>
      <w:r w:rsidR="00CB718B">
        <w:t>(</w:t>
      </w:r>
      <w:r w:rsidR="00F3093D">
        <w:t>see paragraph</w:t>
      </w:r>
      <w:r w:rsidR="00E23670">
        <w:t xml:space="preserve"> </w:t>
      </w:r>
      <w:r w:rsidR="00CB718B">
        <w:t>112</w:t>
      </w:r>
      <w:r w:rsidR="00F3093D">
        <w:t xml:space="preserve"> of the Chamber judgment</w:t>
      </w:r>
      <w:r w:rsidR="00CB718B">
        <w:t>)</w:t>
      </w:r>
      <w:r w:rsidR="005B6399">
        <w:t xml:space="preserve"> that the relevant regulations</w:t>
      </w:r>
    </w:p>
    <w:p w:rsidR="00CB718B" w:rsidP="00CB718B" w:rsidRDefault="00CB718B">
      <w:pPr>
        <w:pStyle w:val="JuQuot"/>
      </w:pPr>
      <w:r>
        <w:t>“</w:t>
      </w:r>
      <w:r w:rsidR="005E0639">
        <w:t>...</w:t>
      </w:r>
      <w:r w:rsidR="00F3093D">
        <w:t xml:space="preserve"> </w:t>
      </w:r>
      <w:r>
        <w:t>did not make use of firearms dependent on an assessment of the surrounding circumstances, and, most importantly, did not require an evaluation of the nature of the offence committed by the fugitive and of the threat he or she posed”</w:t>
      </w:r>
      <w:r w:rsidR="00FD5CAF">
        <w:t>.</w:t>
      </w:r>
    </w:p>
    <w:p w:rsidR="00B147F8" w:rsidP="00F826FD" w:rsidRDefault="00CB718B">
      <w:pPr>
        <w:pStyle w:val="JuParaChar"/>
      </w:pPr>
      <w:r>
        <w:fldChar w:fldCharType="begin"/>
      </w:r>
      <w:r>
        <w:instrText xml:space="preserve"> SEQ level0 \*arabic </w:instrText>
      </w:r>
      <w:r>
        <w:fldChar w:fldCharType="separate"/>
      </w:r>
      <w:r w:rsidR="00D57953">
        <w:rPr>
          <w:noProof/>
        </w:rPr>
        <w:t>105</w:t>
      </w:r>
      <w:r>
        <w:fldChar w:fldCharType="end"/>
      </w:r>
      <w:r>
        <w:t xml:space="preserve">.  In the event, </w:t>
      </w:r>
      <w:r w:rsidR="00A85F91">
        <w:t xml:space="preserve">the regulations in place permitted </w:t>
      </w:r>
      <w:r>
        <w:t xml:space="preserve">a team of heavily armed officers </w:t>
      </w:r>
      <w:r w:rsidR="00A85F91">
        <w:t xml:space="preserve">to be </w:t>
      </w:r>
      <w:r>
        <w:t xml:space="preserve">dispatched to arrest the two men </w:t>
      </w:r>
      <w:r w:rsidR="00A85F91">
        <w:t>in the absence of any prior discussion of the threat</w:t>
      </w:r>
      <w:r w:rsidR="00E64B77">
        <w:t>, if any,</w:t>
      </w:r>
      <w:r w:rsidR="00A85F91">
        <w:t xml:space="preserve"> they posed or of </w:t>
      </w:r>
      <w:r w:rsidR="00F3093D">
        <w:t>clear</w:t>
      </w:r>
      <w:r w:rsidR="00E64B77">
        <w:t xml:space="preserve"> warnings on the need to minimise any risk to life.</w:t>
      </w:r>
      <w:r w:rsidR="00A85F91">
        <w:t xml:space="preserve"> </w:t>
      </w:r>
      <w:r w:rsidR="00E64B77">
        <w:t xml:space="preserve">In short, the manner in which the operation was planned and controlled betrayed a deplorable </w:t>
      </w:r>
      <w:r w:rsidR="00044377">
        <w:t>disregard for</w:t>
      </w:r>
      <w:r w:rsidRPr="005D023B" w:rsidR="00E64B77">
        <w:t xml:space="preserve"> the pre-eminence of </w:t>
      </w:r>
      <w:r w:rsidR="00044377">
        <w:t>the right to</w:t>
      </w:r>
      <w:r w:rsidRPr="005D023B" w:rsidR="00E64B77">
        <w:t xml:space="preserve"> life</w:t>
      </w:r>
      <w:r w:rsidR="00E64B77">
        <w:t>.</w:t>
      </w:r>
    </w:p>
    <w:p w:rsidRPr="005D023B" w:rsidR="00DE0528" w:rsidP="00DE0528" w:rsidRDefault="00F826FD">
      <w:pPr>
        <w:pStyle w:val="JuHi"/>
      </w:pPr>
      <w:r w:rsidRPr="005D023B">
        <w:t xml:space="preserve"> </w:t>
      </w:r>
      <w:r w:rsidRPr="005D023B" w:rsidR="00DE0528">
        <w:t>(i</w:t>
      </w:r>
      <w:r w:rsidRPr="005D023B" w:rsidR="00591CE8">
        <w:t>i</w:t>
      </w:r>
      <w:r w:rsidRPr="005D023B" w:rsidR="00DE0528">
        <w:t>i)  </w:t>
      </w:r>
      <w:r w:rsidRPr="005D023B" w:rsidR="00591CE8">
        <w:t>T</w:t>
      </w:r>
      <w:r w:rsidRPr="005D023B" w:rsidR="00DE0528">
        <w:t>he actions of the arresting officers</w:t>
      </w:r>
    </w:p>
    <w:p w:rsidR="00B147F8" w:rsidP="00462B8E" w:rsidRDefault="00462B8E">
      <w:pPr>
        <w:pStyle w:val="JuPara"/>
      </w:pPr>
      <w:r w:rsidRPr="005D023B">
        <w:fldChar w:fldCharType="begin"/>
      </w:r>
      <w:r w:rsidRPr="005D023B">
        <w:instrText xml:space="preserve"> SEQ level0 \*arabic </w:instrText>
      </w:r>
      <w:r w:rsidRPr="005D023B">
        <w:fldChar w:fldCharType="separate"/>
      </w:r>
      <w:r w:rsidR="00D57953">
        <w:rPr>
          <w:noProof/>
        </w:rPr>
        <w:t>106</w:t>
      </w:r>
      <w:r w:rsidRPr="005D023B">
        <w:fldChar w:fldCharType="end"/>
      </w:r>
      <w:r w:rsidRPr="005D023B">
        <w:t xml:space="preserve">.  It was undisputed that Mr Angelov and Mr Petkov had served in the Construction Force, a special army institution in which conscripts discharged their duties as construction </w:t>
      </w:r>
      <w:r w:rsidR="00874A0D">
        <w:t xml:space="preserve">workers on non-military sites. </w:t>
      </w:r>
      <w:r w:rsidRPr="005D023B">
        <w:t xml:space="preserve">They had been sentenced to short terms of imprisonment for non-violent offences. They had escaped without using violence, simply by leaving their place of work, which was outside the detention facility. While they had previous convictions for theft and had repeatedly been absent without leave, they had no record of violence (see paragraphs </w:t>
      </w:r>
      <w:r w:rsidR="006E51EF">
        <w:t>13-15</w:t>
      </w:r>
      <w:r w:rsidR="00C602A2">
        <w:t xml:space="preserve"> above). </w:t>
      </w:r>
      <w:r w:rsidRPr="005D023B">
        <w:t xml:space="preserve">Neither man was armed or represented a danger to the arresting officers or third parties, a fact of which the arresting officers must have been aware on the basis of the information available to them. In any event, upon encountering the men in the </w:t>
      </w:r>
      <w:smartTag w:uri="urn:schemas-microsoft-com:office:smarttags" w:element="place">
        <w:smartTag w:uri="urn:schemas-microsoft-com:office:smarttags" w:element="PlaceType">
          <w:r w:rsidRPr="005D023B">
            <w:t>village</w:t>
          </w:r>
        </w:smartTag>
        <w:r w:rsidRPr="005D023B">
          <w:t xml:space="preserve"> of </w:t>
        </w:r>
        <w:smartTag w:uri="urn:schemas-microsoft-com:office:smarttags" w:element="PlaceName">
          <w:r w:rsidRPr="005D023B">
            <w:t>Lesura</w:t>
          </w:r>
        </w:smartTag>
      </w:smartTag>
      <w:r w:rsidRPr="005D023B">
        <w:t xml:space="preserve">, </w:t>
      </w:r>
      <w:r w:rsidR="00E23670">
        <w:t xml:space="preserve">the officers, or at least Major </w:t>
      </w:r>
      <w:r w:rsidRPr="005D023B">
        <w:t>G., observed that they were unarmed and not showing any signs of threatening behaviour (see paragraphs</w:t>
      </w:r>
      <w:r w:rsidR="006E51EF">
        <w:t xml:space="preserve"> 15-26</w:t>
      </w:r>
      <w:r w:rsidRPr="005D023B">
        <w:t xml:space="preserve"> above).</w:t>
      </w:r>
    </w:p>
    <w:p w:rsidRPr="005D023B" w:rsidR="005D1062" w:rsidP="005D1062" w:rsidRDefault="005D1062">
      <w:pPr>
        <w:pStyle w:val="JuPara"/>
      </w:pPr>
      <w:r w:rsidRPr="005D023B">
        <w:fldChar w:fldCharType="begin"/>
      </w:r>
      <w:r w:rsidRPr="005D023B">
        <w:instrText xml:space="preserve"> SEQ level0 \*arabic </w:instrText>
      </w:r>
      <w:r w:rsidRPr="005D023B">
        <w:fldChar w:fldCharType="separate"/>
      </w:r>
      <w:r w:rsidR="00D57953">
        <w:rPr>
          <w:noProof/>
        </w:rPr>
        <w:t>107</w:t>
      </w:r>
      <w:r w:rsidRPr="005D023B">
        <w:fldChar w:fldCharType="end"/>
      </w:r>
      <w:r w:rsidRPr="005D023B">
        <w:t xml:space="preserve">.  Having regard to the above, the Court considers that in the circumstances that obtained in the present case any resort to potentially lethal force was prohibited by Article 2 of the Convention, regardless of any risk that Mr Angelov and Mr Petkov </w:t>
      </w:r>
      <w:r w:rsidRPr="005D023B" w:rsidR="00FA7B5D">
        <w:t>might</w:t>
      </w:r>
      <w:r w:rsidRPr="005D023B">
        <w:t xml:space="preserve"> escape. As stated above, recourse to potentially deadly force cannot be considered as “absolutely necessary” where it is known that the person to be arrested poses no threat to life or limb and is not suspected of having committed a violent offence.</w:t>
      </w:r>
    </w:p>
    <w:p w:rsidRPr="005D023B" w:rsidR="005D1062" w:rsidP="003A71D4" w:rsidRDefault="001832F5">
      <w:pPr>
        <w:pStyle w:val="JuPara"/>
      </w:pPr>
      <w:r w:rsidRPr="005D023B">
        <w:fldChar w:fldCharType="begin"/>
      </w:r>
      <w:r w:rsidRPr="005D023B">
        <w:instrText xml:space="preserve"> SEQ level0 \*arabic </w:instrText>
      </w:r>
      <w:r w:rsidRPr="005D023B">
        <w:fldChar w:fldCharType="separate"/>
      </w:r>
      <w:r w:rsidR="00D57953">
        <w:rPr>
          <w:noProof/>
        </w:rPr>
        <w:t>108</w:t>
      </w:r>
      <w:r w:rsidRPr="005D023B">
        <w:fldChar w:fldCharType="end"/>
      </w:r>
      <w:r w:rsidRPr="005D023B">
        <w:t>. </w:t>
      </w:r>
      <w:r w:rsidR="000E0C76">
        <w:t> </w:t>
      </w:r>
      <w:r w:rsidRPr="005D023B" w:rsidR="005D1062">
        <w:t xml:space="preserve">In addition, the </w:t>
      </w:r>
      <w:r w:rsidRPr="005D023B" w:rsidR="00FA7B5D">
        <w:t>conduct</w:t>
      </w:r>
      <w:r w:rsidRPr="005D023B" w:rsidR="005D1062">
        <w:t xml:space="preserve"> of Major G., the military police officer who shot the victims, calls for serious criticism in that </w:t>
      </w:r>
      <w:r w:rsidR="00F3093D">
        <w:t>he used grossly excessive force.</w:t>
      </w:r>
    </w:p>
    <w:p w:rsidRPr="007711B9" w:rsidR="003A71D4" w:rsidP="003A71D4" w:rsidRDefault="000E0C76">
      <w:pPr>
        <w:pStyle w:val="JuPara"/>
      </w:pPr>
      <w:r>
        <w:t>(i)  </w:t>
      </w:r>
      <w:r w:rsidRPr="005D023B" w:rsidR="005D1062">
        <w:t>It appears that there were other means available to effect the arrest: the officers had a jeep, the operation took place in a small village in the middle of the day and t</w:t>
      </w:r>
      <w:r w:rsidRPr="007711B9" w:rsidR="003A71D4">
        <w:t xml:space="preserve">he </w:t>
      </w:r>
      <w:r w:rsidRPr="007711B9" w:rsidR="00FA7B5D">
        <w:t xml:space="preserve">behaviour </w:t>
      </w:r>
      <w:r w:rsidRPr="007711B9" w:rsidR="003A71D4">
        <w:t>of Mr Angelov and Mr</w:t>
      </w:r>
      <w:r w:rsidRPr="007711B9" w:rsidR="00E23670">
        <w:t xml:space="preserve"> </w:t>
      </w:r>
      <w:r w:rsidRPr="007711B9" w:rsidR="003A71D4">
        <w:t xml:space="preserve">Petkov </w:t>
      </w:r>
      <w:r w:rsidRPr="007711B9" w:rsidR="005D1062">
        <w:t>w</w:t>
      </w:r>
      <w:r w:rsidRPr="007711B9" w:rsidR="00FA7B5D">
        <w:t>as</w:t>
      </w:r>
      <w:r w:rsidRPr="007711B9" w:rsidR="005D1062">
        <w:t xml:space="preserve"> apparently </w:t>
      </w:r>
      <w:r w:rsidRPr="007711B9" w:rsidR="003A71D4">
        <w:t>predictable, since, following a previous escape</w:t>
      </w:r>
      <w:r w:rsidRPr="007711B9" w:rsidR="00FA7B5D">
        <w:t>,</w:t>
      </w:r>
      <w:r w:rsidRPr="007711B9" w:rsidR="003A71D4">
        <w:t xml:space="preserve"> Mr Angelov had been found at t</w:t>
      </w:r>
      <w:r w:rsidRPr="007711B9" w:rsidR="00E23670">
        <w:t xml:space="preserve">he same address (see paragraphs </w:t>
      </w:r>
      <w:r w:rsidRPr="007711B9" w:rsidR="003A71D4">
        <w:t>1</w:t>
      </w:r>
      <w:r w:rsidRPr="007711B9" w:rsidR="006E51EF">
        <w:t>7</w:t>
      </w:r>
      <w:r w:rsidRPr="007711B9" w:rsidR="003A71D4">
        <w:t>, 1</w:t>
      </w:r>
      <w:r w:rsidRPr="007711B9" w:rsidR="006E51EF">
        <w:t>8, 23</w:t>
      </w:r>
      <w:r w:rsidRPr="007711B9" w:rsidR="003A71D4">
        <w:t xml:space="preserve"> and</w:t>
      </w:r>
      <w:r w:rsidRPr="007711B9" w:rsidR="006E51EF">
        <w:t xml:space="preserve"> 24</w:t>
      </w:r>
      <w:r w:rsidRPr="007711B9" w:rsidR="003A71D4">
        <w:t xml:space="preserve"> above)</w:t>
      </w:r>
      <w:r w:rsidR="00F3093D">
        <w:t>.</w:t>
      </w:r>
    </w:p>
    <w:p w:rsidRPr="005D023B" w:rsidR="005D1062" w:rsidP="003A71D4" w:rsidRDefault="000E0C76">
      <w:pPr>
        <w:pStyle w:val="JuPara"/>
      </w:pPr>
      <w:r>
        <w:t>(ii)  </w:t>
      </w:r>
      <w:r w:rsidRPr="005D023B" w:rsidR="005D1062">
        <w:t>Major G.</w:t>
      </w:r>
      <w:r w:rsidRPr="005D023B" w:rsidR="003A71D4">
        <w:t xml:space="preserve"> chose to use his automatic rifle and switched it to automatic mode although he also carried a handgun</w:t>
      </w:r>
      <w:r w:rsidR="006E51EF">
        <w:t xml:space="preserve"> (see paragraph 26 above)</w:t>
      </w:r>
      <w:r w:rsidRPr="005D023B" w:rsidR="003A71D4">
        <w:t xml:space="preserve">. He could not possibly have aimed with any reasonable degree of </w:t>
      </w:r>
      <w:r w:rsidR="00AA3EE8">
        <w:t>accuracy</w:t>
      </w:r>
      <w:r w:rsidRPr="005D023B" w:rsidR="003A71D4">
        <w:t xml:space="preserve"> using automatic fire</w:t>
      </w:r>
      <w:r w:rsidR="00F3093D">
        <w:t>.</w:t>
      </w:r>
    </w:p>
    <w:p w:rsidRPr="005D023B" w:rsidR="003A71D4" w:rsidP="003A71D4" w:rsidRDefault="000E0C76">
      <w:pPr>
        <w:pStyle w:val="JuPara"/>
      </w:pPr>
      <w:r>
        <w:t>(iii)  </w:t>
      </w:r>
      <w:r w:rsidRPr="005D023B" w:rsidR="003A71D4">
        <w:t>Mr Petkov was wounded in the chest, a fact for which no plausible explanation was provided</w:t>
      </w:r>
      <w:r w:rsidR="006E51EF">
        <w:t xml:space="preserve"> (see paragraphs 41 and 50-54 above)</w:t>
      </w:r>
      <w:r w:rsidRPr="005D023B" w:rsidR="003A71D4">
        <w:t xml:space="preserve">. </w:t>
      </w:r>
      <w:r w:rsidR="00CB718B">
        <w:t xml:space="preserve">In the absence of </w:t>
      </w:r>
      <w:r w:rsidRPr="005D023B" w:rsidR="003A71D4">
        <w:t xml:space="preserve">such an explanation, </w:t>
      </w:r>
      <w:r w:rsidR="001809D0">
        <w:t>the possibility</w:t>
      </w:r>
      <w:r w:rsidRPr="005D023B" w:rsidR="001809D0">
        <w:t xml:space="preserve"> </w:t>
      </w:r>
      <w:r w:rsidRPr="005D023B" w:rsidR="003A71D4">
        <w:t xml:space="preserve">that Mr Petkov had turned to surrender at the last minute but had </w:t>
      </w:r>
      <w:r w:rsidR="001809D0">
        <w:t xml:space="preserve">nevertheless </w:t>
      </w:r>
      <w:r w:rsidRPr="005D023B" w:rsidR="003A71D4">
        <w:t xml:space="preserve">been shot </w:t>
      </w:r>
      <w:r w:rsidRPr="005D023B" w:rsidR="001809D0">
        <w:t>cannot be excluded</w:t>
      </w:r>
      <w:r w:rsidRPr="005D023B" w:rsidR="003A71D4">
        <w:t>.</w:t>
      </w:r>
    </w:p>
    <w:p w:rsidRPr="005D023B" w:rsidR="003A71D4" w:rsidP="003A71D4" w:rsidRDefault="003A71D4">
      <w:pPr>
        <w:pStyle w:val="JuHi"/>
      </w:pPr>
      <w:r w:rsidRPr="005D023B">
        <w:t>(i</w:t>
      </w:r>
      <w:r w:rsidRPr="005D023B" w:rsidR="0076388E">
        <w:t>v</w:t>
      </w:r>
      <w:r w:rsidRPr="005D023B">
        <w:t>)</w:t>
      </w:r>
      <w:r w:rsidR="000E0C76">
        <w:t>  </w:t>
      </w:r>
      <w:r w:rsidRPr="005D023B">
        <w:t>The Court</w:t>
      </w:r>
      <w:r w:rsidR="00F2618C">
        <w:rPr>
          <w:i w:val="0"/>
        </w:rPr>
        <w:t>'</w:t>
      </w:r>
      <w:r w:rsidRPr="005D023B">
        <w:t>s conclusion</w:t>
      </w:r>
    </w:p>
    <w:p w:rsidRPr="005D023B" w:rsidR="003A71D4" w:rsidP="003A71D4" w:rsidRDefault="003A71D4">
      <w:pPr>
        <w:pStyle w:val="JuPara"/>
      </w:pPr>
      <w:r w:rsidRPr="005D023B">
        <w:fldChar w:fldCharType="begin"/>
      </w:r>
      <w:r w:rsidRPr="005D023B">
        <w:instrText xml:space="preserve"> SEQ level0 \*arabic </w:instrText>
      </w:r>
      <w:r w:rsidRPr="005D023B">
        <w:fldChar w:fldCharType="separate"/>
      </w:r>
      <w:r w:rsidR="00D57953">
        <w:rPr>
          <w:noProof/>
        </w:rPr>
        <w:t>109</w:t>
      </w:r>
      <w:r w:rsidRPr="005D023B">
        <w:fldChar w:fldCharType="end"/>
      </w:r>
      <w:r w:rsidR="000E0C76">
        <w:t>.  </w:t>
      </w:r>
      <w:r w:rsidRPr="005D023B">
        <w:t xml:space="preserve">The Court finds that the respondent State failed to comply with its obligations under Article 2 of the Convention in that the relevant legal framework on the use of force was fundamentally flawed and Mr Angelov and Mr Petkov were killed in circumstances </w:t>
      </w:r>
      <w:r w:rsidR="00B31113">
        <w:t>in which</w:t>
      </w:r>
      <w:r w:rsidRPr="005D023B">
        <w:t xml:space="preserve"> </w:t>
      </w:r>
      <w:r w:rsidR="00FD5CAF">
        <w:t>the</w:t>
      </w:r>
      <w:r w:rsidRPr="005D023B">
        <w:t xml:space="preserve"> use of firearms to effect their arrest was incompatible with Article 2 of the Convention. Furthermore, grossly excessive force was used. There has </w:t>
      </w:r>
      <w:r w:rsidRPr="005D023B" w:rsidR="0076388E">
        <w:t xml:space="preserve">therefore </w:t>
      </w:r>
      <w:r w:rsidRPr="005D023B">
        <w:t>been a violation of Article</w:t>
      </w:r>
      <w:r w:rsidR="00E23670">
        <w:t xml:space="preserve"> </w:t>
      </w:r>
      <w:r w:rsidRPr="005D023B">
        <w:t>2 of the Convent</w:t>
      </w:r>
      <w:r w:rsidR="00E23670">
        <w:t xml:space="preserve">ion as regards the deaths of Mr Angelov and Mr </w:t>
      </w:r>
      <w:r w:rsidRPr="005D023B">
        <w:t>Petkov.</w:t>
      </w:r>
    </w:p>
    <w:p w:rsidRPr="005D023B" w:rsidR="009A701E" w:rsidP="009A701E" w:rsidRDefault="009A701E">
      <w:pPr>
        <w:pStyle w:val="JuH1"/>
      </w:pPr>
      <w:r w:rsidRPr="005D023B">
        <w:t>2.</w:t>
      </w:r>
      <w:r w:rsidR="00874A0D">
        <w:t>  </w:t>
      </w:r>
      <w:r w:rsidRPr="005D023B" w:rsidR="00F12889">
        <w:t>W</w:t>
      </w:r>
      <w:r w:rsidRPr="005D023B">
        <w:t>hether the investigation into the death</w:t>
      </w:r>
      <w:r w:rsidR="00987A0D">
        <w:t>s</w:t>
      </w:r>
      <w:r w:rsidR="00C602A2">
        <w:t xml:space="preserve"> of Mr Angelov and Mr </w:t>
      </w:r>
      <w:r w:rsidRPr="005D023B">
        <w:t>Petkov was effective</w:t>
      </w:r>
      <w:r w:rsidR="00987A0D">
        <w:t>,</w:t>
      </w:r>
      <w:r w:rsidRPr="005D023B">
        <w:t xml:space="preserve"> as required by Article 2 of the Convention</w:t>
      </w:r>
    </w:p>
    <w:p w:rsidRPr="005D023B" w:rsidR="007F57E1" w:rsidP="007F57E1" w:rsidRDefault="007F57E1">
      <w:pPr>
        <w:pStyle w:val="JuHa0"/>
      </w:pPr>
      <w:r w:rsidRPr="005D023B">
        <w:t>(a)  General principles</w:t>
      </w:r>
    </w:p>
    <w:p w:rsidR="00B147F8" w:rsidP="007F57E1" w:rsidRDefault="007F57E1">
      <w:pPr>
        <w:pStyle w:val="JuPara"/>
      </w:pPr>
      <w:r w:rsidRPr="005D023B">
        <w:fldChar w:fldCharType="begin"/>
      </w:r>
      <w:r w:rsidRPr="005D023B">
        <w:instrText xml:space="preserve"> SEQ level0 \*arabic </w:instrText>
      </w:r>
      <w:r w:rsidRPr="005D023B">
        <w:fldChar w:fldCharType="separate"/>
      </w:r>
      <w:r w:rsidR="00D57953">
        <w:rPr>
          <w:noProof/>
        </w:rPr>
        <w:t>110</w:t>
      </w:r>
      <w:r w:rsidRPr="005D023B">
        <w:fldChar w:fldCharType="end"/>
      </w:r>
      <w:r w:rsidRPr="005D023B">
        <w:t>. </w:t>
      </w:r>
      <w:r w:rsidR="00874A0D">
        <w:t> </w:t>
      </w:r>
      <w:r w:rsidRPr="005D023B">
        <w:t>The obligation to protect the right to life under Article 2 of the Convention, read in conjunction with the State</w:t>
      </w:r>
      <w:r w:rsidR="00F2618C">
        <w:t>'</w:t>
      </w:r>
      <w:r w:rsidRPr="005D023B">
        <w:t xml:space="preserve">s general duty under Article 1 of the Convention to “secure to everyone within [its] jurisdiction the rights and freedoms defined in [the] Convention”, requires by implication that there should be some form of effective official investigation when individuals have been killed as a result of the use of force (see </w:t>
      </w:r>
      <w:r w:rsidR="000E0C76">
        <w:rPr>
          <w:i/>
        </w:rPr>
        <w:t>Çak</w:t>
      </w:r>
      <w:r w:rsidR="00FD5CAF">
        <w:rPr>
          <w:i/>
        </w:rPr>
        <w:t>ı</w:t>
      </w:r>
      <w:r w:rsidR="000E0C76">
        <w:rPr>
          <w:i/>
        </w:rPr>
        <w:t>c</w:t>
      </w:r>
      <w:r w:rsidR="00FD5CAF">
        <w:rPr>
          <w:i/>
        </w:rPr>
        <w:t>ı</w:t>
      </w:r>
      <w:r w:rsidR="000E0C76">
        <w:rPr>
          <w:i/>
        </w:rPr>
        <w:t xml:space="preserve"> </w:t>
      </w:r>
      <w:r w:rsidRPr="005D023B">
        <w:rPr>
          <w:i/>
        </w:rPr>
        <w:t>v. Turkey</w:t>
      </w:r>
      <w:r w:rsidRPr="005D023B">
        <w:t xml:space="preserve"> [GC], no. 23657/94, § 86, ECHR 1999</w:t>
      </w:r>
      <w:r w:rsidRPr="005D023B">
        <w:noBreakHyphen/>
        <w:t xml:space="preserve">IV). The essential purpose of such an investigation is to secure the effective implementation of the domestic laws safeguarding the right to life and, in those cases involving State agents or bodies, to ensure their accountability for deaths occurring under their responsibility (see </w:t>
      </w:r>
      <w:r w:rsidRPr="005D023B">
        <w:rPr>
          <w:i/>
        </w:rPr>
        <w:t>Anguelova v. Bulgaria</w:t>
      </w:r>
      <w:r w:rsidR="00E23670">
        <w:t xml:space="preserve">, no. 38361/97, § </w:t>
      </w:r>
      <w:r w:rsidRPr="005D023B">
        <w:t>137, ECHR 2002</w:t>
      </w:r>
      <w:r w:rsidRPr="005D023B">
        <w:noBreakHyphen/>
        <w:t>IV).</w:t>
      </w:r>
    </w:p>
    <w:p w:rsidRPr="005D023B" w:rsidR="007F57E1" w:rsidP="007F57E1" w:rsidRDefault="007F57E1">
      <w:pPr>
        <w:pStyle w:val="JuPara"/>
        <w:rPr>
          <w:szCs w:val="24"/>
        </w:rPr>
      </w:pPr>
      <w:r w:rsidRPr="005D023B">
        <w:fldChar w:fldCharType="begin"/>
      </w:r>
      <w:r w:rsidRPr="005D023B">
        <w:instrText xml:space="preserve"> SEQ level0 \*arabic </w:instrText>
      </w:r>
      <w:r w:rsidRPr="005D023B">
        <w:fldChar w:fldCharType="separate"/>
      </w:r>
      <w:r w:rsidR="00D57953">
        <w:rPr>
          <w:noProof/>
        </w:rPr>
        <w:t>111</w:t>
      </w:r>
      <w:r w:rsidRPr="005D023B">
        <w:fldChar w:fldCharType="end"/>
      </w:r>
      <w:r w:rsidRPr="005D023B">
        <w:t>.  T</w:t>
      </w:r>
      <w:r w:rsidRPr="005D023B">
        <w:rPr>
          <w:szCs w:val="24"/>
        </w:rPr>
        <w:t xml:space="preserve">he authorities must act of their own motion once the matter has come to their attention. They cannot leave it to the initiative of the next-of-kin either to lodge a formal complaint or to </w:t>
      </w:r>
      <w:r w:rsidRPr="005D023B" w:rsidR="007C5196">
        <w:rPr>
          <w:szCs w:val="24"/>
        </w:rPr>
        <w:t>request particular lines of inquiry or</w:t>
      </w:r>
      <w:r w:rsidRPr="005D023B">
        <w:rPr>
          <w:szCs w:val="24"/>
        </w:rPr>
        <w:t xml:space="preserve"> investigative procedures </w:t>
      </w:r>
      <w:r w:rsidRPr="005D023B">
        <w:t xml:space="preserve">(see, </w:t>
      </w:r>
      <w:r w:rsidRPr="005D023B">
        <w:rPr>
          <w:i/>
          <w:iCs/>
        </w:rPr>
        <w:t>mutatis mutandis</w:t>
      </w:r>
      <w:r w:rsidRPr="005D023B">
        <w:t xml:space="preserve">, </w:t>
      </w:r>
      <w:r w:rsidR="00E23670">
        <w:rPr>
          <w:i/>
        </w:rPr>
        <w:t xml:space="preserve">İlhan v. </w:t>
      </w:r>
      <w:smartTag w:uri="urn:schemas-microsoft-com:office:smarttags" w:element="place">
        <w:smartTag w:uri="urn:schemas-microsoft-com:office:smarttags" w:element="country-region">
          <w:r w:rsidRPr="005D023B">
            <w:rPr>
              <w:i/>
            </w:rPr>
            <w:t>Turkey</w:t>
          </w:r>
        </w:smartTag>
      </w:smartTag>
      <w:r w:rsidR="00E23670">
        <w:t xml:space="preserve"> [GC], no. 22277/93, § </w:t>
      </w:r>
      <w:r w:rsidRPr="005D023B">
        <w:t>63, ECHR 2000</w:t>
      </w:r>
      <w:r w:rsidRPr="005D023B">
        <w:noBreakHyphen/>
        <w:t>VII)</w:t>
      </w:r>
      <w:r w:rsidRPr="005D023B">
        <w:rPr>
          <w:szCs w:val="24"/>
        </w:rPr>
        <w:t>.</w:t>
      </w:r>
    </w:p>
    <w:p w:rsidR="00B147F8" w:rsidP="00982C92" w:rsidRDefault="00982C92">
      <w:pPr>
        <w:pStyle w:val="JuPara"/>
      </w:pPr>
      <w:r w:rsidRPr="005D023B">
        <w:fldChar w:fldCharType="begin"/>
      </w:r>
      <w:r w:rsidRPr="005D023B">
        <w:instrText xml:space="preserve"> SEQ level0 \*arabic </w:instrText>
      </w:r>
      <w:r w:rsidRPr="005D023B">
        <w:fldChar w:fldCharType="separate"/>
      </w:r>
      <w:r w:rsidR="00D57953">
        <w:rPr>
          <w:noProof/>
        </w:rPr>
        <w:t>112</w:t>
      </w:r>
      <w:r w:rsidRPr="005D023B">
        <w:fldChar w:fldCharType="end"/>
      </w:r>
      <w:r w:rsidRPr="005D023B">
        <w:t xml:space="preserve">.  For an investigation into alleged unlawful killing by State agents to be effective, </w:t>
      </w:r>
      <w:r w:rsidR="00776B69">
        <w:t xml:space="preserve">the persons responsible for </w:t>
      </w:r>
      <w:r w:rsidR="00FD5CAF">
        <w:t xml:space="preserve">and </w:t>
      </w:r>
      <w:r w:rsidRPr="005D023B">
        <w:t xml:space="preserve">carrying out the investigation must be independent and impartial, in law and in practice (see </w:t>
      </w:r>
      <w:r w:rsidR="000E0C76">
        <w:rPr>
          <w:i/>
        </w:rPr>
        <w:t xml:space="preserve">Güleç </w:t>
      </w:r>
      <w:r w:rsidR="00B701B4">
        <w:rPr>
          <w:i/>
        </w:rPr>
        <w:t xml:space="preserve">v. </w:t>
      </w:r>
      <w:r w:rsidRPr="005D023B">
        <w:rPr>
          <w:i/>
        </w:rPr>
        <w:t>Turkey</w:t>
      </w:r>
      <w:r w:rsidRPr="005D023B">
        <w:t xml:space="preserve">, judgment </w:t>
      </w:r>
      <w:r w:rsidR="00B701B4">
        <w:t xml:space="preserve">of 27 </w:t>
      </w:r>
      <w:r w:rsidRPr="005D023B">
        <w:t xml:space="preserve">July 1998, </w:t>
      </w:r>
      <w:r w:rsidRPr="005D023B">
        <w:rPr>
          <w:i/>
        </w:rPr>
        <w:t>Reports</w:t>
      </w:r>
      <w:r w:rsidR="00B701B4">
        <w:t xml:space="preserve"> 1998</w:t>
      </w:r>
      <w:r w:rsidR="00B701B4">
        <w:noBreakHyphen/>
        <w:t xml:space="preserve">IV, p. 1733, §§ </w:t>
      </w:r>
      <w:r w:rsidRPr="005D023B">
        <w:t xml:space="preserve">81-82; </w:t>
      </w:r>
      <w:r w:rsidR="00FD5CAF">
        <w:rPr>
          <w:i/>
        </w:rPr>
        <w:t>O</w:t>
      </w:r>
      <w:r w:rsidRPr="005D023B">
        <w:rPr>
          <w:i/>
        </w:rPr>
        <w:t>ğur v. Turkey</w:t>
      </w:r>
      <w:r w:rsidRPr="005D023B">
        <w:t xml:space="preserve"> [GC], no</w:t>
      </w:r>
      <w:r w:rsidR="00705616">
        <w:t>. 21</w:t>
      </w:r>
      <w:r w:rsidR="00FD5CAF">
        <w:t>5</w:t>
      </w:r>
      <w:r w:rsidR="00705616">
        <w:t>94/93, §§ 91-</w:t>
      </w:r>
      <w:r w:rsidRPr="005D023B">
        <w:t>92, ECHR 1999</w:t>
      </w:r>
      <w:r w:rsidRPr="005D023B">
        <w:noBreakHyphen/>
        <w:t>III</w:t>
      </w:r>
      <w:r w:rsidR="00175A1F">
        <w:t>;</w:t>
      </w:r>
      <w:r w:rsidRPr="005D023B">
        <w:t xml:space="preserve"> and </w:t>
      </w:r>
      <w:r w:rsidR="00B701B4">
        <w:rPr>
          <w:i/>
        </w:rPr>
        <w:t>Erg</w:t>
      </w:r>
      <w:r w:rsidR="00FD5CAF">
        <w:rPr>
          <w:i/>
        </w:rPr>
        <w:t>i</w:t>
      </w:r>
      <w:r w:rsidR="00B701B4">
        <w:rPr>
          <w:i/>
        </w:rPr>
        <w:t xml:space="preserve"> v. </w:t>
      </w:r>
      <w:r w:rsidRPr="005D023B">
        <w:rPr>
          <w:i/>
        </w:rPr>
        <w:t>Turkey</w:t>
      </w:r>
      <w:r w:rsidRPr="005D023B">
        <w:t xml:space="preserve">, judgment of 28 July 1998, </w:t>
      </w:r>
      <w:r w:rsidRPr="005D023B">
        <w:rPr>
          <w:i/>
        </w:rPr>
        <w:t>Reports</w:t>
      </w:r>
      <w:r w:rsidR="00E23670">
        <w:t xml:space="preserve"> 1998</w:t>
      </w:r>
      <w:r w:rsidR="00E23670">
        <w:noBreakHyphen/>
        <w:t xml:space="preserve">IV, pp. </w:t>
      </w:r>
      <w:r w:rsidRPr="005D023B">
        <w:t>1</w:t>
      </w:r>
      <w:r w:rsidR="00705616">
        <w:t>778-</w:t>
      </w:r>
      <w:r w:rsidR="00B701B4">
        <w:t xml:space="preserve">79, §§ </w:t>
      </w:r>
      <w:r w:rsidR="00622307">
        <w:t>83</w:t>
      </w:r>
      <w:r w:rsidR="00622307">
        <w:noBreakHyphen/>
      </w:r>
      <w:r w:rsidRPr="005D023B">
        <w:t>84).</w:t>
      </w:r>
    </w:p>
    <w:p w:rsidRPr="005D023B" w:rsidR="007F57E1" w:rsidP="007F57E1" w:rsidRDefault="007F57E1">
      <w:pPr>
        <w:pStyle w:val="JuPara"/>
      </w:pPr>
      <w:r w:rsidRPr="005D023B">
        <w:fldChar w:fldCharType="begin"/>
      </w:r>
      <w:r w:rsidRPr="005D023B">
        <w:instrText xml:space="preserve"> SEQ level0 \*arabic </w:instrText>
      </w:r>
      <w:r w:rsidRPr="005D023B">
        <w:fldChar w:fldCharType="separate"/>
      </w:r>
      <w:r w:rsidR="00D57953">
        <w:rPr>
          <w:noProof/>
        </w:rPr>
        <w:t>113</w:t>
      </w:r>
      <w:r w:rsidRPr="005D023B">
        <w:fldChar w:fldCharType="end"/>
      </w:r>
      <w:r w:rsidRPr="005D023B">
        <w:t>.  </w:t>
      </w:r>
      <w:r w:rsidRPr="005D023B">
        <w:rPr>
          <w:szCs w:val="24"/>
        </w:rPr>
        <w:t xml:space="preserve">The investigation must also be effective in the sense that it is capable of leading to a determination of whether the force used was or was not justified in the circumstances and to the identification and punishment of those responsible (see </w:t>
      </w:r>
      <w:r w:rsidRPr="005D023B" w:rsidR="001825DB">
        <w:rPr>
          <w:i/>
        </w:rPr>
        <w:t>Oğur</w:t>
      </w:r>
      <w:r w:rsidRPr="005D023B" w:rsidR="001825DB">
        <w:rPr>
          <w:szCs w:val="24"/>
        </w:rPr>
        <w:t>, cited above, § 88</w:t>
      </w:r>
      <w:r w:rsidRPr="005D023B">
        <w:rPr>
          <w:szCs w:val="24"/>
        </w:rPr>
        <w:t>).</w:t>
      </w:r>
      <w:r w:rsidRPr="005D023B">
        <w:t xml:space="preserve"> The authorities must have taken the reasonable steps available to them to secure the evidence concerning the incident, including</w:t>
      </w:r>
      <w:r w:rsidR="00776B69">
        <w:t>,</w:t>
      </w:r>
      <w:r w:rsidRPr="005D023B">
        <w:t xml:space="preserve"> </w:t>
      </w:r>
      <w:r w:rsidRPr="005D023B">
        <w:rPr>
          <w:i/>
        </w:rPr>
        <w:t>inter alia</w:t>
      </w:r>
      <w:r w:rsidRPr="00776B69" w:rsidR="00776B69">
        <w:t>,</w:t>
      </w:r>
      <w:r w:rsidRPr="005D023B">
        <w:t xml:space="preserve"> eye</w:t>
      </w:r>
      <w:r w:rsidR="007B77D3">
        <w:t>-</w:t>
      </w:r>
      <w:r w:rsidRPr="005D023B">
        <w:t>witness testimony and forensic evidence.</w:t>
      </w:r>
      <w:r w:rsidRPr="005D023B" w:rsidR="00982C92">
        <w:t xml:space="preserve"> The investigation</w:t>
      </w:r>
      <w:r w:rsidR="00F2618C">
        <w:t>'</w:t>
      </w:r>
      <w:r w:rsidRPr="005D023B" w:rsidR="00982C92">
        <w:t>s conclusions must be based on thorough</w:t>
      </w:r>
      <w:r w:rsidRPr="005D023B" w:rsidR="002E68BD">
        <w:t>, objective and impartial analysis</w:t>
      </w:r>
      <w:r w:rsidRPr="005D023B" w:rsidR="00982C92">
        <w:t xml:space="preserve"> of all relevant elements</w:t>
      </w:r>
      <w:r w:rsidRPr="005D023B" w:rsidR="002E68BD">
        <w:t xml:space="preserve"> and must apply a standard comparable to the “no more than absolutely necessary” standard required by Article 2 § 2 of the Convention.</w:t>
      </w:r>
      <w:r w:rsidRPr="005D023B" w:rsidR="00982C92">
        <w:t xml:space="preserve"> </w:t>
      </w:r>
      <w:r w:rsidRPr="005D023B">
        <w:t xml:space="preserve">Any deficiency in the investigation which undermines its capability of establishing the circumstances of the case or the person responsible is liable to fall foul of the required </w:t>
      </w:r>
      <w:r w:rsidRPr="005D023B" w:rsidR="002E68BD">
        <w:t>measure</w:t>
      </w:r>
      <w:r w:rsidRPr="005D023B">
        <w:t xml:space="preserve"> of effectiveness (see </w:t>
      </w:r>
      <w:r w:rsidR="00776B69">
        <w:rPr>
          <w:i/>
        </w:rPr>
        <w:t xml:space="preserve">Kelly and Others v. the United </w:t>
      </w:r>
      <w:r w:rsidRPr="005D023B">
        <w:rPr>
          <w:i/>
        </w:rPr>
        <w:t>Kingdom</w:t>
      </w:r>
      <w:r w:rsidR="000E0C76">
        <w:t xml:space="preserve">, no. </w:t>
      </w:r>
      <w:r w:rsidRPr="005D023B">
        <w:t>30054/96, §§ 96-97, 4 May 2001</w:t>
      </w:r>
      <w:r w:rsidR="00776B69">
        <w:t>,</w:t>
      </w:r>
      <w:r w:rsidRPr="005D023B" w:rsidR="0014591A">
        <w:t xml:space="preserve"> </w:t>
      </w:r>
      <w:r w:rsidRPr="005D023B">
        <w:t xml:space="preserve">and </w:t>
      </w:r>
      <w:r w:rsidRPr="005D023B">
        <w:rPr>
          <w:i/>
        </w:rPr>
        <w:t>Anguelova</w:t>
      </w:r>
      <w:r w:rsidRPr="005D023B">
        <w:t>, cited above, §</w:t>
      </w:r>
      <w:r w:rsidRPr="005D023B" w:rsidR="00982C92">
        <w:t xml:space="preserve">§ </w:t>
      </w:r>
      <w:r w:rsidRPr="005D023B">
        <w:t>139</w:t>
      </w:r>
      <w:r w:rsidRPr="005D023B" w:rsidR="00982C92">
        <w:t xml:space="preserve"> and 144</w:t>
      </w:r>
      <w:r w:rsidRPr="005D023B">
        <w:t>).</w:t>
      </w:r>
    </w:p>
    <w:p w:rsidRPr="005D023B" w:rsidR="00E623FB" w:rsidP="00E623FB" w:rsidRDefault="00E623FB">
      <w:pPr>
        <w:pStyle w:val="JuHa0"/>
      </w:pPr>
      <w:r w:rsidRPr="005D023B">
        <w:t xml:space="preserve">(b)  Application </w:t>
      </w:r>
      <w:r w:rsidR="00E125D8">
        <w:t xml:space="preserve">of these principles </w:t>
      </w:r>
      <w:r w:rsidRPr="005D023B">
        <w:t>in the present case</w:t>
      </w:r>
    </w:p>
    <w:p w:rsidR="00B147F8" w:rsidP="001B761C" w:rsidRDefault="00E623FB">
      <w:pPr>
        <w:pStyle w:val="JuPara"/>
      </w:pPr>
      <w:r w:rsidRPr="005D023B">
        <w:fldChar w:fldCharType="begin"/>
      </w:r>
      <w:r w:rsidRPr="005D023B">
        <w:instrText xml:space="preserve"> SEQ level0 \*arabic </w:instrText>
      </w:r>
      <w:r w:rsidRPr="005D023B">
        <w:fldChar w:fldCharType="separate"/>
      </w:r>
      <w:r w:rsidR="00D57953">
        <w:rPr>
          <w:noProof/>
        </w:rPr>
        <w:t>114</w:t>
      </w:r>
      <w:r w:rsidRPr="005D023B">
        <w:fldChar w:fldCharType="end"/>
      </w:r>
      <w:r w:rsidRPr="005D023B">
        <w:t>.  </w:t>
      </w:r>
      <w:r w:rsidRPr="005D023B" w:rsidR="002E68BD">
        <w:t>The</w:t>
      </w:r>
      <w:r w:rsidRPr="005D023B" w:rsidR="006E7429">
        <w:t xml:space="preserve"> Grand Chamber sees no reason to depart from the Chamber</w:t>
      </w:r>
      <w:r w:rsidR="00F2618C">
        <w:t>'</w:t>
      </w:r>
      <w:r w:rsidRPr="005D023B" w:rsidR="006E7429">
        <w:t xml:space="preserve">s findings. It observes, as the Chamber did, that the investigation into the deaths of Mr Angelov and Mr Petkov assessed the </w:t>
      </w:r>
      <w:r w:rsidR="00582B8B">
        <w:t>lawfulness of the officers</w:t>
      </w:r>
      <w:r w:rsidR="00F2618C">
        <w:t>'</w:t>
      </w:r>
      <w:r w:rsidR="00582B8B">
        <w:t xml:space="preserve"> conduct</w:t>
      </w:r>
      <w:r w:rsidRPr="005D023B" w:rsidR="006E7429">
        <w:t xml:space="preserve"> </w:t>
      </w:r>
      <w:r w:rsidR="00582B8B">
        <w:t xml:space="preserve">in the light of the </w:t>
      </w:r>
      <w:r w:rsidRPr="005D023B" w:rsidR="006E7429">
        <w:t>relevant regulations</w:t>
      </w:r>
      <w:r w:rsidR="00582B8B">
        <w:t>. The fact that the investigation validated the use of force in the circumstances only serves to confirm the fundamentally defective nature of those regulations and their disregard of the right to life.</w:t>
      </w:r>
      <w:r w:rsidRPr="005D023B" w:rsidR="007C5196">
        <w:t xml:space="preserve"> </w:t>
      </w:r>
      <w:r w:rsidR="00582B8B">
        <w:t xml:space="preserve">By basing themselves on the strict letter of the regulations, the investigating authorities </w:t>
      </w:r>
      <w:r w:rsidR="00455200">
        <w:t xml:space="preserve">did not </w:t>
      </w:r>
      <w:r w:rsidR="00582B8B">
        <w:t xml:space="preserve">examine </w:t>
      </w:r>
      <w:r w:rsidR="003A14FC">
        <w:t>relevant</w:t>
      </w:r>
      <w:r w:rsidR="00582B8B">
        <w:t xml:space="preserve"> matters such as the fact that the victims were known to be unarmed and represented no danger to </w:t>
      </w:r>
      <w:r w:rsidR="00C211F7">
        <w:t>anyone</w:t>
      </w:r>
      <w:r w:rsidR="00455200">
        <w:t xml:space="preserve">, </w:t>
      </w:r>
      <w:r w:rsidR="00172BD8">
        <w:t xml:space="preserve">still </w:t>
      </w:r>
      <w:r w:rsidR="00455200">
        <w:t xml:space="preserve">less </w:t>
      </w:r>
      <w:r w:rsidR="00172BD8">
        <w:t>whether it was</w:t>
      </w:r>
      <w:r w:rsidR="00455200">
        <w:t xml:space="preserve"> appropriate to dispatch a team of heavily armed officers in pursuit of two men whose only offence was to </w:t>
      </w:r>
      <w:r w:rsidR="00AA3EE8">
        <w:t>be</w:t>
      </w:r>
      <w:r w:rsidR="00455200">
        <w:t xml:space="preserve"> absent without leave.</w:t>
      </w:r>
      <w:r w:rsidRPr="005D023B" w:rsidR="007C5196">
        <w:t xml:space="preserve"> </w:t>
      </w:r>
      <w:r w:rsidR="00455200">
        <w:t>In short, there was no strict scrutiny of all the material circumstances</w:t>
      </w:r>
      <w:r w:rsidR="006E51EF">
        <w:t xml:space="preserve"> (see paragraphs 50-54 above)</w:t>
      </w:r>
      <w:r w:rsidR="00455200">
        <w:t>.</w:t>
      </w:r>
    </w:p>
    <w:p w:rsidRPr="005D023B" w:rsidR="002E68BD" w:rsidP="002E68BD" w:rsidRDefault="007C5196">
      <w:pPr>
        <w:pStyle w:val="JuPara"/>
      </w:pPr>
      <w:r w:rsidRPr="005D023B">
        <w:fldChar w:fldCharType="begin"/>
      </w:r>
      <w:r w:rsidRPr="005D023B">
        <w:instrText xml:space="preserve"> SEQ level0 \*arabic </w:instrText>
      </w:r>
      <w:r w:rsidRPr="005D023B">
        <w:fldChar w:fldCharType="separate"/>
      </w:r>
      <w:r w:rsidR="00D57953">
        <w:rPr>
          <w:noProof/>
        </w:rPr>
        <w:t>115</w:t>
      </w:r>
      <w:r w:rsidRPr="005D023B">
        <w:fldChar w:fldCharType="end"/>
      </w:r>
      <w:r w:rsidRPr="005D023B">
        <w:t>.  </w:t>
      </w:r>
      <w:r w:rsidR="00555D3D">
        <w:t xml:space="preserve">Quite apart from the excessively narrow </w:t>
      </w:r>
      <w:r w:rsidR="00C211F7">
        <w:t xml:space="preserve">legal </w:t>
      </w:r>
      <w:r w:rsidR="00555D3D">
        <w:t>framework in which the investigation was conducted, it is to be further observed that</w:t>
      </w:r>
      <w:r w:rsidRPr="005D023B">
        <w:t xml:space="preserve"> </w:t>
      </w:r>
      <w:r w:rsidRPr="005D023B" w:rsidR="002E68BD">
        <w:t>a number of indispensable and obvious investigative steps were not taken. In part</w:t>
      </w:r>
      <w:r w:rsidR="00776B69">
        <w:t xml:space="preserve">icular, the sketch map relied </w:t>
      </w:r>
      <w:r w:rsidRPr="005D023B" w:rsidR="002E68BD">
        <w:t xml:space="preserve">on by the authorities did not indicate the characteristics of the terrain. </w:t>
      </w:r>
      <w:r w:rsidRPr="005D023B" w:rsidR="0045601F">
        <w:t xml:space="preserve">Relevant </w:t>
      </w:r>
      <w:r w:rsidRPr="005D023B" w:rsidR="002E68BD">
        <w:t xml:space="preserve">measurements were </w:t>
      </w:r>
      <w:r w:rsidR="0045601F">
        <w:t>missed</w:t>
      </w:r>
      <w:r w:rsidRPr="005D023B" w:rsidR="002E68BD">
        <w:t>. No reconstruction of the events was staged. Without the information</w:t>
      </w:r>
      <w:r w:rsidRPr="005D023B" w:rsidR="00D031AC">
        <w:t xml:space="preserve"> that could </w:t>
      </w:r>
      <w:r w:rsidR="0045601F">
        <w:t xml:space="preserve">thereby </w:t>
      </w:r>
      <w:r w:rsidRPr="005D023B" w:rsidR="00D031AC">
        <w:t>have been obtained</w:t>
      </w:r>
      <w:r w:rsidRPr="005D023B" w:rsidR="002E68BD">
        <w:t>, it was not possible to check the arresting officers</w:t>
      </w:r>
      <w:r w:rsidR="00F2618C">
        <w:t>'</w:t>
      </w:r>
      <w:r w:rsidRPr="005D023B" w:rsidR="002E68BD">
        <w:t xml:space="preserve"> accounts </w:t>
      </w:r>
      <w:r w:rsidR="003A14FC">
        <w:t>of the events</w:t>
      </w:r>
      <w:r w:rsidRPr="005D023B" w:rsidR="002E68BD">
        <w:t xml:space="preserve"> (see paragraphs 3</w:t>
      </w:r>
      <w:r w:rsidR="006E51EF">
        <w:t>6</w:t>
      </w:r>
      <w:r w:rsidRPr="005D023B" w:rsidR="002E68BD">
        <w:noBreakHyphen/>
        <w:t>5</w:t>
      </w:r>
      <w:r w:rsidR="006E51EF">
        <w:t>4</w:t>
      </w:r>
      <w:r w:rsidRPr="005D023B" w:rsidR="002E68BD">
        <w:t xml:space="preserve"> above).</w:t>
      </w:r>
    </w:p>
    <w:p w:rsidRPr="005D023B" w:rsidR="002E68BD" w:rsidP="001B761C" w:rsidRDefault="002E68BD">
      <w:pPr>
        <w:pStyle w:val="JuPara"/>
      </w:pPr>
      <w:r w:rsidRPr="005D023B">
        <w:fldChar w:fldCharType="begin"/>
      </w:r>
      <w:r w:rsidRPr="005D023B">
        <w:instrText xml:space="preserve"> SEQ level0 \*arabic </w:instrText>
      </w:r>
      <w:r w:rsidRPr="005D023B">
        <w:fldChar w:fldCharType="separate"/>
      </w:r>
      <w:r w:rsidR="00D57953">
        <w:rPr>
          <w:noProof/>
        </w:rPr>
        <w:t>116</w:t>
      </w:r>
      <w:r w:rsidRPr="005D023B">
        <w:fldChar w:fldCharType="end"/>
      </w:r>
      <w:r w:rsidRPr="005D023B">
        <w:t>.  </w:t>
      </w:r>
      <w:r w:rsidR="003A14FC">
        <w:t>Moreover, t</w:t>
      </w:r>
      <w:r w:rsidRPr="005D023B">
        <w:t xml:space="preserve">he investigator and the prosecutors ignored highly relevant facts, such as that Mr Petkov had been shot in the chest, that the spent cartridges were found in </w:t>
      </w:r>
      <w:r w:rsidR="00776B69">
        <w:t xml:space="preserve">Mr </w:t>
      </w:r>
      <w:r w:rsidRPr="005D023B">
        <w:t>M.M.</w:t>
      </w:r>
      <w:r w:rsidR="00F2618C">
        <w:t>'</w:t>
      </w:r>
      <w:r w:rsidRPr="005D023B">
        <w:t xml:space="preserve">s yard, only a few metres from the spot where Mr Angelov and Mr Petkov fell, and that Major G. used grossly excessive force by firing </w:t>
      </w:r>
      <w:r w:rsidR="00780407">
        <w:t>in</w:t>
      </w:r>
      <w:r w:rsidRPr="005D023B">
        <w:t xml:space="preserve"> automatic mode. </w:t>
      </w:r>
      <w:r w:rsidRPr="005D023B" w:rsidR="00780407">
        <w:t>The authorities ignor</w:t>
      </w:r>
      <w:r w:rsidR="00780407">
        <w:t>ed</w:t>
      </w:r>
      <w:r w:rsidRPr="005D023B" w:rsidR="00780407">
        <w:t xml:space="preserve"> </w:t>
      </w:r>
      <w:r w:rsidRPr="005D023B">
        <w:t xml:space="preserve">those significant facts </w:t>
      </w:r>
      <w:r w:rsidR="00780407">
        <w:t xml:space="preserve">and, </w:t>
      </w:r>
      <w:r w:rsidRPr="005D023B">
        <w:t xml:space="preserve">without </w:t>
      </w:r>
      <w:r w:rsidR="00780407">
        <w:t xml:space="preserve">seeking </w:t>
      </w:r>
      <w:r w:rsidRPr="005D023B">
        <w:t>any proper explanation, merely accepted Major G.</w:t>
      </w:r>
      <w:r w:rsidR="00F2618C">
        <w:t>'</w:t>
      </w:r>
      <w:r w:rsidRPr="005D023B">
        <w:t xml:space="preserve">s statements </w:t>
      </w:r>
      <w:r w:rsidRPr="005D023B" w:rsidR="00D031AC">
        <w:t>and terminated the investigation</w:t>
      </w:r>
      <w:r w:rsidRPr="005D023B">
        <w:t>. The investigator and the prosecutors thus effectively shield</w:t>
      </w:r>
      <w:r w:rsidR="00A23579">
        <w:t>ed</w:t>
      </w:r>
      <w:r w:rsidRPr="005D023B">
        <w:t xml:space="preserve"> Major G. </w:t>
      </w:r>
      <w:r w:rsidR="00780407">
        <w:t>from</w:t>
      </w:r>
      <w:r w:rsidRPr="005D023B" w:rsidR="00780407">
        <w:t xml:space="preserve"> </w:t>
      </w:r>
      <w:r w:rsidRPr="005D023B">
        <w:t>prosecution.</w:t>
      </w:r>
    </w:p>
    <w:p w:rsidRPr="005D023B" w:rsidR="002E68BD" w:rsidP="002E68BD" w:rsidRDefault="002E68BD">
      <w:pPr>
        <w:pStyle w:val="JuPara"/>
      </w:pPr>
      <w:r w:rsidRPr="005D023B">
        <w:fldChar w:fldCharType="begin"/>
      </w:r>
      <w:r w:rsidRPr="005D023B">
        <w:instrText xml:space="preserve"> SEQ level0 \*arabic </w:instrText>
      </w:r>
      <w:r w:rsidRPr="005D023B">
        <w:fldChar w:fldCharType="separate"/>
      </w:r>
      <w:r w:rsidR="00D57953">
        <w:rPr>
          <w:noProof/>
        </w:rPr>
        <w:t>117</w:t>
      </w:r>
      <w:r w:rsidRPr="005D023B">
        <w:fldChar w:fldCharType="end"/>
      </w:r>
      <w:r w:rsidRPr="005D023B">
        <w:t xml:space="preserve">.  The </w:t>
      </w:r>
      <w:r w:rsidRPr="005D023B" w:rsidR="007C5196">
        <w:t>Grand Chamber endorses the Chamber</w:t>
      </w:r>
      <w:r w:rsidR="00F2618C">
        <w:t>'</w:t>
      </w:r>
      <w:r w:rsidRPr="005D023B" w:rsidR="007C5196">
        <w:t xml:space="preserve">s view </w:t>
      </w:r>
      <w:r w:rsidRPr="005D023B">
        <w:t>that such conduct</w:t>
      </w:r>
      <w:r w:rsidR="00B701B4">
        <w:t xml:space="preserve"> on the part of the authorities </w:t>
      </w:r>
      <w:r w:rsidRPr="005D023B">
        <w:t>– which has already been remarked on by the Court in previous cases against Bulgaria (see</w:t>
      </w:r>
      <w:r w:rsidRPr="005D023B" w:rsidR="006E7429">
        <w:rPr>
          <w:i/>
        </w:rPr>
        <w:t xml:space="preserve"> Velikova v. Bulgaria</w:t>
      </w:r>
      <w:r w:rsidRPr="005D023B" w:rsidR="006E7429">
        <w:t>, no. 41488/98, ECHR 2000</w:t>
      </w:r>
      <w:r w:rsidRPr="005D023B" w:rsidR="006E7429">
        <w:noBreakHyphen/>
        <w:t>VI</w:t>
      </w:r>
      <w:r w:rsidR="00776B69">
        <w:t>,</w:t>
      </w:r>
      <w:r w:rsidRPr="005D023B">
        <w:t xml:space="preserve"> and </w:t>
      </w:r>
      <w:r w:rsidRPr="005D023B">
        <w:rPr>
          <w:i/>
        </w:rPr>
        <w:t>Anguelova</w:t>
      </w:r>
      <w:r w:rsidRPr="005D023B">
        <w:t xml:space="preserve">, cited above) – is a matter of </w:t>
      </w:r>
      <w:r w:rsidR="00C211F7">
        <w:t xml:space="preserve">grave </w:t>
      </w:r>
      <w:r w:rsidRPr="005D023B">
        <w:t>concern, as it casts serious doubts on the objectivity and impartiality of the investigators and prosecutors involved.</w:t>
      </w:r>
    </w:p>
    <w:p w:rsidRPr="005D023B" w:rsidR="00D031AC" w:rsidP="00D031AC" w:rsidRDefault="00D031AC">
      <w:pPr>
        <w:pStyle w:val="JuPara"/>
      </w:pPr>
      <w:r w:rsidRPr="005D023B">
        <w:fldChar w:fldCharType="begin"/>
      </w:r>
      <w:r w:rsidRPr="005D023B">
        <w:instrText xml:space="preserve"> SEQ level0 \*arabic </w:instrText>
      </w:r>
      <w:r w:rsidRPr="005D023B">
        <w:fldChar w:fldCharType="separate"/>
      </w:r>
      <w:r w:rsidR="00D57953">
        <w:rPr>
          <w:noProof/>
        </w:rPr>
        <w:t>118</w:t>
      </w:r>
      <w:r w:rsidRPr="005D023B">
        <w:fldChar w:fldCharType="end"/>
      </w:r>
      <w:r w:rsidRPr="005D023B">
        <w:t xml:space="preserve">.  The Court reiterates </w:t>
      </w:r>
      <w:r w:rsidR="00582B8B">
        <w:t xml:space="preserve">in this connection </w:t>
      </w:r>
      <w:r w:rsidRPr="005D023B">
        <w:t xml:space="preserve">that a prompt and effective response by the authorities in investigating </w:t>
      </w:r>
      <w:r w:rsidR="002B2C95">
        <w:t>the</w:t>
      </w:r>
      <w:r w:rsidRPr="005D023B" w:rsidR="002B2C95">
        <w:t xml:space="preserve"> </w:t>
      </w:r>
      <w:r w:rsidRPr="005D023B">
        <w:t>use of lethal force is essential in maintaining public confidence in their adherence to the rule of law and in preventing any appearance of collusion in or tolerance of unlawful acts (see</w:t>
      </w:r>
      <w:r w:rsidRPr="005D023B">
        <w:rPr>
          <w:i/>
        </w:rPr>
        <w:t xml:space="preserve"> McKerr</w:t>
      </w:r>
      <w:r w:rsidRPr="005D023B">
        <w:t xml:space="preserve">, </w:t>
      </w:r>
      <w:r w:rsidRPr="005D023B" w:rsidR="001825DB">
        <w:t>cited above</w:t>
      </w:r>
      <w:r w:rsidR="002236B1">
        <w:t>, §§ 111-</w:t>
      </w:r>
      <w:r w:rsidRPr="005D023B">
        <w:t>15</w:t>
      </w:r>
      <w:r w:rsidRPr="005D023B" w:rsidR="001825DB">
        <w:t>)</w:t>
      </w:r>
      <w:r w:rsidRPr="005D023B">
        <w:t>.</w:t>
      </w:r>
    </w:p>
    <w:p w:rsidRPr="005D023B" w:rsidR="002E68BD" w:rsidP="002E68BD" w:rsidRDefault="002E68BD">
      <w:pPr>
        <w:pStyle w:val="JuPara"/>
      </w:pPr>
      <w:r w:rsidRPr="005D023B">
        <w:fldChar w:fldCharType="begin"/>
      </w:r>
      <w:r w:rsidRPr="005D023B">
        <w:instrText xml:space="preserve"> SEQ level0 \*arabic </w:instrText>
      </w:r>
      <w:r w:rsidRPr="005D023B">
        <w:fldChar w:fldCharType="separate"/>
      </w:r>
      <w:r w:rsidR="00D57953">
        <w:rPr>
          <w:noProof/>
        </w:rPr>
        <w:t>119</w:t>
      </w:r>
      <w:r w:rsidRPr="005D023B">
        <w:fldChar w:fldCharType="end"/>
      </w:r>
      <w:r w:rsidRPr="005D023B">
        <w:t>.  </w:t>
      </w:r>
      <w:r w:rsidR="00AA3EE8">
        <w:t>It follows that i</w:t>
      </w:r>
      <w:r w:rsidR="00C86749">
        <w:t>n the present case there has been</w:t>
      </w:r>
      <w:r w:rsidRPr="005D023B">
        <w:t xml:space="preserve"> a violation of the respondent State</w:t>
      </w:r>
      <w:r w:rsidR="00F2618C">
        <w:t>'</w:t>
      </w:r>
      <w:r w:rsidRPr="005D023B">
        <w:t>s obligation under Article 2 § 1 of the</w:t>
      </w:r>
      <w:r w:rsidRPr="005D023B" w:rsidR="002E61E9">
        <w:t xml:space="preserve"> </w:t>
      </w:r>
      <w:r w:rsidRPr="005D023B">
        <w:t xml:space="preserve">Convention to investigate </w:t>
      </w:r>
      <w:r w:rsidR="002B2C95">
        <w:t xml:space="preserve">the </w:t>
      </w:r>
      <w:r w:rsidRPr="005D023B">
        <w:t>deprivation of life effectively.</w:t>
      </w:r>
    </w:p>
    <w:p w:rsidRPr="005D023B" w:rsidR="008343FA" w:rsidP="008343FA" w:rsidRDefault="008343FA">
      <w:pPr>
        <w:pStyle w:val="JuHIRoman"/>
      </w:pPr>
      <w:r w:rsidRPr="005D023B">
        <w:t>III.  ALLEGED VIOLATION OF ARTICLE 13 OF THE CONVENTION</w:t>
      </w:r>
    </w:p>
    <w:p w:rsidRPr="005D023B" w:rsidR="008343FA" w:rsidP="008343FA" w:rsidRDefault="008343FA">
      <w:pPr>
        <w:pStyle w:val="JuParaChar"/>
      </w:pPr>
      <w:r w:rsidRPr="005D023B">
        <w:fldChar w:fldCharType="begin"/>
      </w:r>
      <w:r w:rsidRPr="005D023B">
        <w:instrText xml:space="preserve"> SEQ level0 \*arabic </w:instrText>
      </w:r>
      <w:r w:rsidRPr="005D023B">
        <w:fldChar w:fldCharType="separate"/>
      </w:r>
      <w:r w:rsidR="00D57953">
        <w:rPr>
          <w:noProof/>
        </w:rPr>
        <w:t>120</w:t>
      </w:r>
      <w:r w:rsidRPr="005D023B">
        <w:fldChar w:fldCharType="end"/>
      </w:r>
      <w:r w:rsidRPr="005D023B">
        <w:t>.  Article 13 of the Convention provides:</w:t>
      </w:r>
    </w:p>
    <w:p w:rsidRPr="005D023B" w:rsidR="008343FA" w:rsidP="008343FA" w:rsidRDefault="008343FA">
      <w:pPr>
        <w:pStyle w:val="JuQuot"/>
      </w:pPr>
      <w:r w:rsidRPr="005D023B">
        <w:t>“Everyone whose rights and freedoms as set forth in [the] Convention are violated shall have an effective remedy before a national authority notwithstanding that the violation has been committed by persons acting in an official capacity.”</w:t>
      </w:r>
    </w:p>
    <w:p w:rsidRPr="005D023B" w:rsidR="008343FA" w:rsidP="008343FA" w:rsidRDefault="008343FA">
      <w:pPr>
        <w:pStyle w:val="JuParaChar"/>
      </w:pPr>
      <w:r w:rsidRPr="005D023B">
        <w:fldChar w:fldCharType="begin"/>
      </w:r>
      <w:r w:rsidRPr="005D023B">
        <w:instrText xml:space="preserve"> SEQ level0 \*arabic </w:instrText>
      </w:r>
      <w:r w:rsidRPr="005D023B">
        <w:fldChar w:fldCharType="separate"/>
      </w:r>
      <w:r w:rsidR="00D57953">
        <w:rPr>
          <w:noProof/>
        </w:rPr>
        <w:t>121</w:t>
      </w:r>
      <w:r w:rsidRPr="005D023B">
        <w:fldChar w:fldCharType="end"/>
      </w:r>
      <w:r w:rsidRPr="005D023B">
        <w:t>.  In view of its findings under Article 2 of the Convention, the Chamber held that no separate issue arose under Article 13.</w:t>
      </w:r>
    </w:p>
    <w:p w:rsidRPr="005D023B" w:rsidR="008343FA" w:rsidP="008343FA" w:rsidRDefault="008343FA">
      <w:pPr>
        <w:pStyle w:val="JuParaChar"/>
      </w:pPr>
      <w:r w:rsidRPr="005D023B">
        <w:fldChar w:fldCharType="begin"/>
      </w:r>
      <w:r w:rsidRPr="005D023B">
        <w:instrText xml:space="preserve"> SEQ level0 \*arabic </w:instrText>
      </w:r>
      <w:r w:rsidRPr="005D023B">
        <w:fldChar w:fldCharType="separate"/>
      </w:r>
      <w:r w:rsidR="00D57953">
        <w:rPr>
          <w:noProof/>
        </w:rPr>
        <w:t>122</w:t>
      </w:r>
      <w:r w:rsidRPr="005D023B">
        <w:fldChar w:fldCharType="end"/>
      </w:r>
      <w:r w:rsidRPr="005D023B">
        <w:t>. </w:t>
      </w:r>
      <w:r w:rsidR="00E23670">
        <w:t> </w:t>
      </w:r>
      <w:r w:rsidRPr="005D023B">
        <w:t xml:space="preserve">Before the Grand Chamber, the Government did not comment on the issues under Article </w:t>
      </w:r>
      <w:r w:rsidRPr="005D023B" w:rsidR="00542C76">
        <w:t>13</w:t>
      </w:r>
      <w:r w:rsidRPr="005D023B">
        <w:t xml:space="preserve"> of the Convention. The applicants stated that they accepted the Chamber</w:t>
      </w:r>
      <w:r w:rsidR="00F2618C">
        <w:t>'</w:t>
      </w:r>
      <w:r w:rsidRPr="005D023B">
        <w:t>s finding.</w:t>
      </w:r>
    </w:p>
    <w:p w:rsidR="00B147F8" w:rsidP="008343FA" w:rsidRDefault="008343FA">
      <w:pPr>
        <w:pStyle w:val="JuParaChar"/>
      </w:pPr>
      <w:r w:rsidRPr="005D023B">
        <w:fldChar w:fldCharType="begin"/>
      </w:r>
      <w:r w:rsidRPr="005D023B">
        <w:instrText xml:space="preserve"> SEQ level0 \*arabic </w:instrText>
      </w:r>
      <w:r w:rsidRPr="005D023B">
        <w:fldChar w:fldCharType="separate"/>
      </w:r>
      <w:r w:rsidR="00D57953">
        <w:rPr>
          <w:noProof/>
        </w:rPr>
        <w:t>123</w:t>
      </w:r>
      <w:r w:rsidRPr="005D023B">
        <w:fldChar w:fldCharType="end"/>
      </w:r>
      <w:r w:rsidRPr="005D023B">
        <w:t>.  </w:t>
      </w:r>
      <w:r w:rsidRPr="005D023B" w:rsidR="002F6A86">
        <w:t xml:space="preserve">Having </w:t>
      </w:r>
      <w:r w:rsidRPr="005D023B" w:rsidR="002E61E9">
        <w:t xml:space="preserve">regard to </w:t>
      </w:r>
      <w:r w:rsidRPr="005D023B" w:rsidR="005A7C12">
        <w:t xml:space="preserve">the grounds on which it </w:t>
      </w:r>
      <w:r w:rsidR="002F6A86">
        <w:t xml:space="preserve">has </w:t>
      </w:r>
      <w:r w:rsidRPr="005D023B" w:rsidR="005A7C12">
        <w:t xml:space="preserve">found a violation of </w:t>
      </w:r>
      <w:r w:rsidR="002F6A86">
        <w:t xml:space="preserve">the </w:t>
      </w:r>
      <w:r w:rsidRPr="005D023B" w:rsidR="002F6A86">
        <w:t>procedural aspect</w:t>
      </w:r>
      <w:r w:rsidR="002F6A86">
        <w:t xml:space="preserve"> of </w:t>
      </w:r>
      <w:r w:rsidRPr="005D023B" w:rsidR="005A7C12">
        <w:t xml:space="preserve">Article 2, </w:t>
      </w:r>
      <w:r w:rsidR="002F6A86">
        <w:t>the Grand Chamber</w:t>
      </w:r>
      <w:r w:rsidRPr="005D023B" w:rsidR="006E7429">
        <w:t>, like the Chamber,</w:t>
      </w:r>
      <w:r w:rsidRPr="005D023B" w:rsidR="005A7C12">
        <w:t xml:space="preserve"> </w:t>
      </w:r>
      <w:r w:rsidRPr="005D023B" w:rsidR="002F6A86">
        <w:t>considers</w:t>
      </w:r>
      <w:r w:rsidR="002F6A86">
        <w:t xml:space="preserve"> </w:t>
      </w:r>
      <w:r w:rsidRPr="005D023B" w:rsidR="005A7C12">
        <w:t>that no separate issue arises under Article 13 of the Convention.</w:t>
      </w:r>
    </w:p>
    <w:p w:rsidRPr="005D023B" w:rsidR="008343FA" w:rsidP="008343FA" w:rsidRDefault="008343FA">
      <w:pPr>
        <w:pStyle w:val="JuHIRoman"/>
      </w:pPr>
      <w:r w:rsidRPr="005D023B">
        <w:t xml:space="preserve">IV.  ALLEGED VIOLATION OF ARTICLE 14 </w:t>
      </w:r>
      <w:r w:rsidR="00776B69">
        <w:t xml:space="preserve">OF THE CONVENTION TAKEN </w:t>
      </w:r>
      <w:r w:rsidR="00E125D8">
        <w:t>IN CONJUNCTION WITH ARTICLE 2</w:t>
      </w:r>
    </w:p>
    <w:p w:rsidR="00C211F7" w:rsidP="008343FA" w:rsidRDefault="00B22A49">
      <w:pPr>
        <w:pStyle w:val="JuParaChar"/>
      </w:pPr>
      <w:r>
        <w:fldChar w:fldCharType="begin"/>
      </w:r>
      <w:r>
        <w:instrText xml:space="preserve"> SEQ level0 \*arabic </w:instrText>
      </w:r>
      <w:r>
        <w:fldChar w:fldCharType="separate"/>
      </w:r>
      <w:r w:rsidR="00D57953">
        <w:rPr>
          <w:noProof/>
        </w:rPr>
        <w:t>124</w:t>
      </w:r>
      <w:r>
        <w:fldChar w:fldCharType="end"/>
      </w:r>
      <w:r>
        <w:t>.  </w:t>
      </w:r>
      <w:r w:rsidR="00C211F7">
        <w:t xml:space="preserve">The applicants alleged a violation of Article 14 of the Convention in that prejudice and hostile attitudes towards persons of Roma origin had played a role in the events leading up to </w:t>
      </w:r>
      <w:r w:rsidR="00C602A2">
        <w:t>the deaths of Mr Angelov and Mr </w:t>
      </w:r>
      <w:r w:rsidR="00C211F7">
        <w:t>Petkov. They also argued that the authorities had failed in their duty to investigate possible racist motives in their killing. The Government disputed the applicants</w:t>
      </w:r>
      <w:r w:rsidR="00F2618C">
        <w:t>'</w:t>
      </w:r>
      <w:r w:rsidR="00C211F7">
        <w:t xml:space="preserve"> allegations.</w:t>
      </w:r>
    </w:p>
    <w:p w:rsidRPr="005D023B" w:rsidR="008343FA" w:rsidP="008343FA" w:rsidRDefault="00C211F7">
      <w:pPr>
        <w:pStyle w:val="JuParaChar"/>
      </w:pPr>
      <w:r>
        <w:fldChar w:fldCharType="begin"/>
      </w:r>
      <w:r>
        <w:instrText xml:space="preserve"> SEQ level0 \*arabic </w:instrText>
      </w:r>
      <w:r>
        <w:fldChar w:fldCharType="separate"/>
      </w:r>
      <w:r w:rsidR="00D57953">
        <w:rPr>
          <w:noProof/>
        </w:rPr>
        <w:t>125</w:t>
      </w:r>
      <w:r>
        <w:fldChar w:fldCharType="end"/>
      </w:r>
      <w:r>
        <w:t>. </w:t>
      </w:r>
      <w:r w:rsidR="00FB0668">
        <w:t> </w:t>
      </w:r>
      <w:r w:rsidRPr="005D023B" w:rsidR="008343FA">
        <w:t>Article 14 of the Convention provides:</w:t>
      </w:r>
    </w:p>
    <w:p w:rsidRPr="005D023B" w:rsidR="008343FA" w:rsidP="008343FA" w:rsidRDefault="008343FA">
      <w:pPr>
        <w:pStyle w:val="JuQuot"/>
      </w:pPr>
      <w:r w:rsidRPr="005D023B">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5D023B" w:rsidR="0012386B" w:rsidP="0012386B" w:rsidRDefault="0012386B">
      <w:pPr>
        <w:pStyle w:val="JuHA"/>
      </w:pPr>
      <w:r w:rsidRPr="005D023B">
        <w:t>A.  The Chamber judgment</w:t>
      </w:r>
    </w:p>
    <w:p w:rsidRPr="005D023B" w:rsidR="005A09EF" w:rsidP="005A09EF" w:rsidRDefault="00AA7B9D">
      <w:pPr>
        <w:pStyle w:val="JuParaChar"/>
      </w:pPr>
      <w:r w:rsidRPr="005D023B">
        <w:fldChar w:fldCharType="begin"/>
      </w:r>
      <w:r w:rsidRPr="005D023B">
        <w:instrText xml:space="preserve"> SEQ level0 \*arabic </w:instrText>
      </w:r>
      <w:r w:rsidRPr="005D023B">
        <w:fldChar w:fldCharType="separate"/>
      </w:r>
      <w:r w:rsidR="00D57953">
        <w:rPr>
          <w:noProof/>
        </w:rPr>
        <w:t>126</w:t>
      </w:r>
      <w:r w:rsidRPr="005D023B">
        <w:fldChar w:fldCharType="end"/>
      </w:r>
      <w:r w:rsidRPr="005D023B">
        <w:t>.  </w:t>
      </w:r>
      <w:r w:rsidRPr="005D023B" w:rsidR="0012386B">
        <w:t>The Chamber noted that</w:t>
      </w:r>
      <w:r w:rsidR="007B77D3">
        <w:t>,</w:t>
      </w:r>
      <w:r w:rsidRPr="005D023B" w:rsidR="0012386B">
        <w:t xml:space="preserve"> </w:t>
      </w:r>
      <w:r w:rsidRPr="005D023B">
        <w:t>in cases of deprivation of life</w:t>
      </w:r>
      <w:r w:rsidR="00776B69">
        <w:t>,</w:t>
      </w:r>
      <w:r w:rsidRPr="005D023B">
        <w:t xml:space="preserve"> </w:t>
      </w:r>
      <w:r w:rsidR="00E23670">
        <w:t xml:space="preserve">Articles </w:t>
      </w:r>
      <w:r w:rsidRPr="005D023B" w:rsidR="0012386B">
        <w:t xml:space="preserve">2 and 14 of the Convention </w:t>
      </w:r>
      <w:r w:rsidR="00BF6CE2">
        <w:t xml:space="preserve">combined </w:t>
      </w:r>
      <w:r w:rsidRPr="005D023B" w:rsidR="0012386B">
        <w:t>impose</w:t>
      </w:r>
      <w:r w:rsidRPr="005D023B" w:rsidR="00D55FBC">
        <w:t>d</w:t>
      </w:r>
      <w:r w:rsidRPr="005D023B" w:rsidR="0012386B">
        <w:t xml:space="preserve"> a duty on State authorities to conduct an effective investigation</w:t>
      </w:r>
      <w:r w:rsidRPr="005D023B">
        <w:t xml:space="preserve"> irrespective of the victim</w:t>
      </w:r>
      <w:r w:rsidR="00F2618C">
        <w:t>'</w:t>
      </w:r>
      <w:r w:rsidRPr="005D023B">
        <w:t>s racial or ethnic origin. It also considered that the</w:t>
      </w:r>
      <w:r w:rsidRPr="005D023B" w:rsidR="0012386B">
        <w:t xml:space="preserve"> authorities had the additional duty to take all reasonable steps to unmask any</w:t>
      </w:r>
      <w:r w:rsidRPr="005D023B">
        <w:t xml:space="preserve"> </w:t>
      </w:r>
      <w:r w:rsidRPr="005D023B" w:rsidR="0012386B">
        <w:t>racist motive</w:t>
      </w:r>
      <w:r w:rsidRPr="005D023B" w:rsidR="004A0B2A">
        <w:t xml:space="preserve"> in an incident </w:t>
      </w:r>
      <w:r w:rsidR="00555D3D">
        <w:t>involving the</w:t>
      </w:r>
      <w:r w:rsidRPr="005D023B" w:rsidR="004A0B2A">
        <w:t xml:space="preserve"> use of force by law</w:t>
      </w:r>
      <w:r w:rsidR="007B77D3">
        <w:t xml:space="preserve"> </w:t>
      </w:r>
      <w:r w:rsidRPr="005D023B" w:rsidR="004A0B2A">
        <w:t>enforcement agents</w:t>
      </w:r>
      <w:r w:rsidRPr="005D023B" w:rsidR="005A09EF">
        <w:t>.</w:t>
      </w:r>
    </w:p>
    <w:p w:rsidRPr="005D023B" w:rsidR="00B45B68" w:rsidP="00B45B68" w:rsidRDefault="005A09EF">
      <w:pPr>
        <w:pStyle w:val="JuParaChar"/>
      </w:pPr>
      <w:r w:rsidRPr="005D023B">
        <w:fldChar w:fldCharType="begin"/>
      </w:r>
      <w:r w:rsidRPr="005D023B">
        <w:instrText xml:space="preserve"> SEQ level0 \*arabic </w:instrText>
      </w:r>
      <w:r w:rsidRPr="005D023B">
        <w:fldChar w:fldCharType="separate"/>
      </w:r>
      <w:r w:rsidR="00D57953">
        <w:rPr>
          <w:noProof/>
        </w:rPr>
        <w:t>127</w:t>
      </w:r>
      <w:r w:rsidRPr="005D023B">
        <w:fldChar w:fldCharType="end"/>
      </w:r>
      <w:r w:rsidRPr="005D023B">
        <w:t>.  </w:t>
      </w:r>
      <w:r w:rsidR="00BF6CE2">
        <w:t>I</w:t>
      </w:r>
      <w:r w:rsidRPr="005D023B" w:rsidR="00B45B68">
        <w:t>n the present case</w:t>
      </w:r>
      <w:r w:rsidR="00BF6CE2">
        <w:t>,</w:t>
      </w:r>
      <w:r w:rsidRPr="005D023B" w:rsidR="00B45B68">
        <w:t xml:space="preserve"> despite </w:t>
      </w:r>
      <w:r w:rsidR="003A14FC">
        <w:t>Mr M.M.</w:t>
      </w:r>
      <w:r w:rsidR="00F2618C">
        <w:t>'</w:t>
      </w:r>
      <w:r w:rsidR="003A14FC">
        <w:t>s statement</w:t>
      </w:r>
      <w:r w:rsidRPr="005D023B" w:rsidR="00B45B68">
        <w:t xml:space="preserve"> </w:t>
      </w:r>
      <w:r w:rsidR="00776B69">
        <w:t>regarding</w:t>
      </w:r>
      <w:r w:rsidRPr="005D023B" w:rsidR="00B45B68">
        <w:t xml:space="preserve"> racist verbal abuse and other </w:t>
      </w:r>
      <w:r w:rsidR="003A14FC">
        <w:t>evidence</w:t>
      </w:r>
      <w:r w:rsidRPr="005D023B" w:rsidR="00B45B68">
        <w:t xml:space="preserve"> which should have alerted the authorities </w:t>
      </w:r>
      <w:r w:rsidR="00BF6CE2">
        <w:t>to the need to</w:t>
      </w:r>
      <w:r w:rsidRPr="005D023B" w:rsidR="00B45B68">
        <w:t xml:space="preserve"> investigate possible racist motives, no such investigat</w:t>
      </w:r>
      <w:r w:rsidR="00BF6CE2">
        <w:t>ion had been undertaken. The</w:t>
      </w:r>
      <w:r w:rsidRPr="005D023B" w:rsidR="00B45B68">
        <w:t xml:space="preserve"> authorities had </w:t>
      </w:r>
      <w:r w:rsidR="00BF6CE2">
        <w:t xml:space="preserve">on that account </w:t>
      </w:r>
      <w:r w:rsidRPr="005D023B" w:rsidR="00B45B68">
        <w:t>failed in their duty und</w:t>
      </w:r>
      <w:r w:rsidR="00BF6CE2">
        <w:t>er Article 14 of the Convention</w:t>
      </w:r>
      <w:r w:rsidR="00E23670">
        <w:t xml:space="preserve"> taken </w:t>
      </w:r>
      <w:r w:rsidR="00776B69">
        <w:t>in conjunction</w:t>
      </w:r>
      <w:r w:rsidR="00E23670">
        <w:t xml:space="preserve"> with Article </w:t>
      </w:r>
      <w:r w:rsidRPr="005D023B" w:rsidR="00B45B68">
        <w:t>2.</w:t>
      </w:r>
    </w:p>
    <w:p w:rsidRPr="005D023B" w:rsidR="0000235A" w:rsidP="00863541" w:rsidRDefault="00863541">
      <w:pPr>
        <w:pStyle w:val="JuParaChar"/>
      </w:pPr>
      <w:r w:rsidRPr="005D023B">
        <w:fldChar w:fldCharType="begin"/>
      </w:r>
      <w:r w:rsidRPr="005D023B">
        <w:instrText xml:space="preserve"> SEQ level0 \*arabic </w:instrText>
      </w:r>
      <w:r w:rsidRPr="005D023B">
        <w:fldChar w:fldCharType="separate"/>
      </w:r>
      <w:r w:rsidR="00D57953">
        <w:rPr>
          <w:noProof/>
        </w:rPr>
        <w:t>128</w:t>
      </w:r>
      <w:r w:rsidRPr="005D023B">
        <w:fldChar w:fldCharType="end"/>
      </w:r>
      <w:r w:rsidRPr="005D023B">
        <w:t>.  </w:t>
      </w:r>
      <w:r w:rsidRPr="005D023B" w:rsidR="00AA7B9D">
        <w:t>Considering that</w:t>
      </w:r>
      <w:r w:rsidRPr="005D023B" w:rsidR="007B0D21">
        <w:t xml:space="preserve"> the particular evidentiary difficulties involved in proving discrimination</w:t>
      </w:r>
      <w:r w:rsidRPr="005D023B" w:rsidR="0000235A">
        <w:t xml:space="preserve"> </w:t>
      </w:r>
      <w:r w:rsidR="00B31113">
        <w:t>called for</w:t>
      </w:r>
      <w:r w:rsidRPr="005D023B" w:rsidR="007B0D21">
        <w:t xml:space="preserve"> </w:t>
      </w:r>
      <w:r w:rsidR="00BF6CE2">
        <w:t>a specific</w:t>
      </w:r>
      <w:r w:rsidRPr="005D023B" w:rsidR="0000235A">
        <w:t xml:space="preserve"> approach to the issue of proof</w:t>
      </w:r>
      <w:r w:rsidRPr="005D023B" w:rsidR="007B0D21">
        <w:t>,</w:t>
      </w:r>
      <w:r w:rsidRPr="005D023B" w:rsidR="0000235A">
        <w:t xml:space="preserve"> </w:t>
      </w:r>
      <w:r w:rsidRPr="005D023B" w:rsidR="007B0D21">
        <w:t>t</w:t>
      </w:r>
      <w:r w:rsidRPr="005D023B" w:rsidR="00AA7B9D">
        <w:t>he</w:t>
      </w:r>
      <w:r w:rsidRPr="005D023B" w:rsidR="0000235A">
        <w:t xml:space="preserve"> Chamber held that in cases where the authorities had not pursued lines of inquiry that had clearly </w:t>
      </w:r>
      <w:r w:rsidRPr="005D023B" w:rsidR="00AA3EE8">
        <w:t xml:space="preserve">been </w:t>
      </w:r>
      <w:r w:rsidRPr="005D023B" w:rsidR="0000235A">
        <w:t xml:space="preserve">warranted in their investigation into acts of violence by State agents and had disregarded evidence of possible discrimination, </w:t>
      </w:r>
      <w:r w:rsidRPr="005D023B" w:rsidR="0007516F">
        <w:t>the Court</w:t>
      </w:r>
      <w:r w:rsidRPr="005D023B" w:rsidR="0000235A">
        <w:t xml:space="preserve"> might, when exa</w:t>
      </w:r>
      <w:r w:rsidR="00C602A2">
        <w:t>mining complaints under Article </w:t>
      </w:r>
      <w:r w:rsidRPr="005D023B" w:rsidR="0000235A">
        <w:t>14 of the Convention, draw negative inferences or shift the burden of proof to the respondent Government.</w:t>
      </w:r>
    </w:p>
    <w:p w:rsidRPr="005D023B" w:rsidR="0000235A" w:rsidP="0000235A" w:rsidRDefault="0000235A">
      <w:pPr>
        <w:pStyle w:val="JuParaChar"/>
      </w:pPr>
      <w:r w:rsidRPr="005D023B">
        <w:fldChar w:fldCharType="begin"/>
      </w:r>
      <w:r w:rsidRPr="005D023B">
        <w:instrText xml:space="preserve"> SEQ level0 \*arabic </w:instrText>
      </w:r>
      <w:r w:rsidRPr="005D023B">
        <w:fldChar w:fldCharType="separate"/>
      </w:r>
      <w:r w:rsidR="00D57953">
        <w:rPr>
          <w:noProof/>
        </w:rPr>
        <w:t>129</w:t>
      </w:r>
      <w:r w:rsidRPr="005D023B">
        <w:fldChar w:fldCharType="end"/>
      </w:r>
      <w:r w:rsidR="00874A0D">
        <w:t>.  </w:t>
      </w:r>
      <w:r w:rsidRPr="005D023B" w:rsidR="00AA7B9D">
        <w:t xml:space="preserve">On </w:t>
      </w:r>
      <w:r w:rsidRPr="005D023B">
        <w:t>the facts of the ca</w:t>
      </w:r>
      <w:r w:rsidR="00B701B4">
        <w:t xml:space="preserve">se, the Chamber considered that </w:t>
      </w:r>
      <w:r w:rsidRPr="005D023B">
        <w:t xml:space="preserve">the conduct of the </w:t>
      </w:r>
      <w:r w:rsidRPr="005D023B" w:rsidR="0073240A">
        <w:t>investigati</w:t>
      </w:r>
      <w:r w:rsidR="00BF6CE2">
        <w:t>ng</w:t>
      </w:r>
      <w:r w:rsidRPr="005D023B" w:rsidR="0073240A">
        <w:t xml:space="preserve"> </w:t>
      </w:r>
      <w:r w:rsidRPr="005D023B">
        <w:t xml:space="preserve">authorities – </w:t>
      </w:r>
      <w:r w:rsidR="00BF6CE2">
        <w:t>which</w:t>
      </w:r>
      <w:r w:rsidRPr="005D023B">
        <w:t xml:space="preserve"> had omitted </w:t>
      </w:r>
      <w:r w:rsidRPr="005D023B" w:rsidR="00B070D4">
        <w:t xml:space="preserve">to refer to </w:t>
      </w:r>
      <w:r w:rsidR="00BF6CE2">
        <w:t xml:space="preserve">a number of </w:t>
      </w:r>
      <w:r w:rsidR="00B31113">
        <w:t>disquieting</w:t>
      </w:r>
      <w:r w:rsidRPr="005D023B">
        <w:t xml:space="preserve"> facts</w:t>
      </w:r>
      <w:r w:rsidRPr="005D023B" w:rsidR="000359AE">
        <w:t xml:space="preserve"> such as the excessive nature of the force used by Major G. and the evidence </w:t>
      </w:r>
      <w:r w:rsidR="00BF6CE2">
        <w:t>that he had uttered a</w:t>
      </w:r>
      <w:r w:rsidRPr="005D023B" w:rsidR="000359AE">
        <w:t xml:space="preserve"> racist slur </w:t>
      </w:r>
      <w:r w:rsidRPr="005D023B">
        <w:t xml:space="preserve">– warranted </w:t>
      </w:r>
      <w:r w:rsidR="00BF6CE2">
        <w:t>a shift of the burden of proof.</w:t>
      </w:r>
      <w:r w:rsidRPr="005D023B">
        <w:t xml:space="preserve"> </w:t>
      </w:r>
      <w:r w:rsidR="00C211F7">
        <w:t xml:space="preserve">It thus </w:t>
      </w:r>
      <w:r w:rsidRPr="005D023B">
        <w:t xml:space="preserve">fell to the Government to satisfy the Court, on the basis of additional evidence or a convincing explanation of the facts, that the events complained of </w:t>
      </w:r>
      <w:r w:rsidRPr="005D023B" w:rsidR="00B070D4">
        <w:t>had</w:t>
      </w:r>
      <w:r w:rsidRPr="005D023B">
        <w:t xml:space="preserve"> not </w:t>
      </w:r>
      <w:r w:rsidRPr="005D023B" w:rsidR="00B070D4">
        <w:t xml:space="preserve">been </w:t>
      </w:r>
      <w:r w:rsidRPr="005D023B">
        <w:t xml:space="preserve">shaped by </w:t>
      </w:r>
      <w:r w:rsidR="00BF6CE2">
        <w:t>discrimination</w:t>
      </w:r>
      <w:r w:rsidRPr="005D023B">
        <w:t xml:space="preserve"> on the part of State agents.</w:t>
      </w:r>
    </w:p>
    <w:p w:rsidRPr="005D023B" w:rsidR="0000235A" w:rsidP="0000235A" w:rsidRDefault="004A0B2A">
      <w:pPr>
        <w:pStyle w:val="JuParaChar"/>
      </w:pPr>
      <w:r w:rsidRPr="005D023B">
        <w:fldChar w:fldCharType="begin"/>
      </w:r>
      <w:r w:rsidRPr="005D023B">
        <w:instrText xml:space="preserve"> SEQ level0 \*arabic </w:instrText>
      </w:r>
      <w:r w:rsidRPr="005D023B">
        <w:fldChar w:fldCharType="separate"/>
      </w:r>
      <w:r w:rsidR="00D57953">
        <w:rPr>
          <w:noProof/>
        </w:rPr>
        <w:t>130</w:t>
      </w:r>
      <w:r w:rsidRPr="005D023B">
        <w:fldChar w:fldCharType="end"/>
      </w:r>
      <w:r w:rsidRPr="005D023B">
        <w:t>.  </w:t>
      </w:r>
      <w:r w:rsidRPr="005D023B" w:rsidR="0000235A">
        <w:t xml:space="preserve">As the Government </w:t>
      </w:r>
      <w:r w:rsidRPr="005D023B" w:rsidR="00B070D4">
        <w:t>had</w:t>
      </w:r>
      <w:r w:rsidRPr="005D023B" w:rsidR="0000235A">
        <w:t xml:space="preserve"> not offer</w:t>
      </w:r>
      <w:r w:rsidRPr="005D023B" w:rsidR="00B070D4">
        <w:t xml:space="preserve">ed </w:t>
      </w:r>
      <w:r w:rsidRPr="005D023B" w:rsidR="0000235A">
        <w:t>a convincing explanation, and noting that there had been previous cases in whi</w:t>
      </w:r>
      <w:r w:rsidR="00776B69">
        <w:t>ch the Court had found that law</w:t>
      </w:r>
      <w:r w:rsidR="007B77D3">
        <w:t xml:space="preserve"> </w:t>
      </w:r>
      <w:r w:rsidRPr="005D023B" w:rsidR="0000235A">
        <w:t xml:space="preserve">enforcement officers in Bulgaria had subjected Roma to violence resulting in death, the Chamber concluded that there had </w:t>
      </w:r>
      <w:r w:rsidR="002E7897">
        <w:t xml:space="preserve">also </w:t>
      </w:r>
      <w:r w:rsidRPr="005D023B" w:rsidR="0000235A">
        <w:t xml:space="preserve">been a violation of the substantive </w:t>
      </w:r>
      <w:r w:rsidRPr="005D023B" w:rsidR="00EA06D9">
        <w:t>aspect</w:t>
      </w:r>
      <w:r w:rsidRPr="005D023B" w:rsidR="0000235A">
        <w:t xml:space="preserve"> of Article 14</w:t>
      </w:r>
      <w:r w:rsidR="00C602A2">
        <w:t xml:space="preserve"> </w:t>
      </w:r>
      <w:r w:rsidR="00776B69">
        <w:t xml:space="preserve">of the Convention </w:t>
      </w:r>
      <w:r w:rsidR="00C602A2">
        <w:t xml:space="preserve">taken </w:t>
      </w:r>
      <w:r w:rsidR="00776B69">
        <w:t>in conjunction</w:t>
      </w:r>
      <w:r w:rsidR="00C602A2">
        <w:t xml:space="preserve"> with </w:t>
      </w:r>
      <w:r w:rsidRPr="00C602A2" w:rsidR="00C602A2">
        <w:t>Article</w:t>
      </w:r>
      <w:r w:rsidR="00776B69">
        <w:t xml:space="preserve"> </w:t>
      </w:r>
      <w:r w:rsidRPr="00C602A2" w:rsidR="00B070D4">
        <w:t>2</w:t>
      </w:r>
      <w:r w:rsidRPr="005D023B" w:rsidR="0000235A">
        <w:t>.</w:t>
      </w:r>
    </w:p>
    <w:p w:rsidRPr="005D023B" w:rsidR="00CD49A7" w:rsidRDefault="00CD49A7">
      <w:pPr>
        <w:pStyle w:val="JuHA"/>
      </w:pPr>
      <w:r w:rsidRPr="005D023B">
        <w:t>B.  </w:t>
      </w:r>
      <w:r w:rsidRPr="005D023B" w:rsidR="0012386B">
        <w:t>The parties</w:t>
      </w:r>
      <w:r w:rsidR="00F2618C">
        <w:rPr>
          <w:b w:val="0"/>
        </w:rPr>
        <w:t>'</w:t>
      </w:r>
      <w:r w:rsidRPr="005D023B" w:rsidR="0012386B">
        <w:t xml:space="preserve"> submissions</w:t>
      </w:r>
    </w:p>
    <w:p w:rsidR="00B147F8" w:rsidRDefault="00CD49A7">
      <w:pPr>
        <w:pStyle w:val="JuH1"/>
      </w:pPr>
      <w:r w:rsidRPr="005D023B">
        <w:t>1.  </w:t>
      </w:r>
      <w:r w:rsidRPr="005D023B" w:rsidR="0012386B">
        <w:t>The Government</w:t>
      </w:r>
    </w:p>
    <w:p w:rsidR="00B147F8" w:rsidP="003372FB" w:rsidRDefault="00CB4D85">
      <w:pPr>
        <w:pStyle w:val="JuParaChar"/>
      </w:pPr>
      <w:r w:rsidRPr="005D023B">
        <w:fldChar w:fldCharType="begin"/>
      </w:r>
      <w:r w:rsidRPr="005D023B">
        <w:instrText xml:space="preserve"> SEQ level0 \*arabic </w:instrText>
      </w:r>
      <w:r w:rsidRPr="005D023B">
        <w:fldChar w:fldCharType="separate"/>
      </w:r>
      <w:r w:rsidR="00D57953">
        <w:rPr>
          <w:noProof/>
        </w:rPr>
        <w:t>131</w:t>
      </w:r>
      <w:r w:rsidRPr="005D023B">
        <w:fldChar w:fldCharType="end"/>
      </w:r>
      <w:r w:rsidRPr="005D023B" w:rsidR="00CD49A7">
        <w:t>.  </w:t>
      </w:r>
      <w:r w:rsidRPr="005D023B" w:rsidR="00891926">
        <w:t>The Government</w:t>
      </w:r>
      <w:r w:rsidRPr="005D023B" w:rsidR="007B0D21">
        <w:t xml:space="preserve"> took issue with </w:t>
      </w:r>
      <w:r w:rsidRPr="005D023B" w:rsidR="003372FB">
        <w:t>the Chamber</w:t>
      </w:r>
      <w:r w:rsidR="00F2618C">
        <w:t>'</w:t>
      </w:r>
      <w:r w:rsidRPr="005D023B" w:rsidR="007B0D21">
        <w:t xml:space="preserve">s finding of a violation of Article 14, stating that the Chamber had </w:t>
      </w:r>
      <w:r w:rsidRPr="005D023B" w:rsidR="003372FB">
        <w:t>rel</w:t>
      </w:r>
      <w:r w:rsidRPr="005D023B" w:rsidR="007B0D21">
        <w:t>ied</w:t>
      </w:r>
      <w:r w:rsidRPr="005D023B" w:rsidR="003372FB">
        <w:t xml:space="preserve"> </w:t>
      </w:r>
      <w:r w:rsidR="00776B69">
        <w:t>solely on general material regarding</w:t>
      </w:r>
      <w:r w:rsidRPr="005D023B" w:rsidR="003372FB">
        <w:t xml:space="preserve"> events outside the scope of the case and on two fortuitous facts </w:t>
      </w:r>
      <w:r w:rsidR="00776B69">
        <w:t>– the testimony of Mr M.M. concerning</w:t>
      </w:r>
      <w:r w:rsidRPr="005D023B" w:rsidR="003372FB">
        <w:t xml:space="preserve"> an offensive remark that Major G. had allegedly made against him, not against the victims, and the fact that the events </w:t>
      </w:r>
      <w:r w:rsidRPr="005D023B" w:rsidR="00B070D4">
        <w:t>had taken</w:t>
      </w:r>
      <w:r w:rsidRPr="005D023B" w:rsidR="003372FB">
        <w:t xml:space="preserve"> place in a Roma neighbourhood</w:t>
      </w:r>
      <w:r w:rsidR="00BF6CE2">
        <w:t>. In the Government</w:t>
      </w:r>
      <w:r w:rsidR="00F2618C">
        <w:t>'</w:t>
      </w:r>
      <w:r w:rsidR="00BF6CE2">
        <w:t xml:space="preserve">s view, these considerations </w:t>
      </w:r>
      <w:r w:rsidRPr="005D023B" w:rsidR="003372FB">
        <w:t>could not justify, by any acceptable standard of proof,</w:t>
      </w:r>
      <w:r w:rsidRPr="005D023B" w:rsidR="007B0D21">
        <w:t xml:space="preserve"> </w:t>
      </w:r>
      <w:r w:rsidRPr="005D023B" w:rsidR="003372FB">
        <w:t>a conclusion that the use of firearms had been motivated by racial prejudice.</w:t>
      </w:r>
    </w:p>
    <w:p w:rsidR="00B147F8" w:rsidRDefault="00891926">
      <w:pPr>
        <w:pStyle w:val="JuParaChar"/>
      </w:pPr>
      <w:r w:rsidRPr="005D023B">
        <w:fldChar w:fldCharType="begin"/>
      </w:r>
      <w:r w:rsidRPr="005D023B">
        <w:instrText xml:space="preserve"> SEQ level0 \*arabic </w:instrText>
      </w:r>
      <w:r w:rsidRPr="005D023B">
        <w:fldChar w:fldCharType="separate"/>
      </w:r>
      <w:r w:rsidR="00D57953">
        <w:rPr>
          <w:noProof/>
        </w:rPr>
        <w:t>132</w:t>
      </w:r>
      <w:r w:rsidRPr="005D023B">
        <w:fldChar w:fldCharType="end"/>
      </w:r>
      <w:r w:rsidRPr="005D023B">
        <w:t>.  </w:t>
      </w:r>
      <w:r w:rsidRPr="005D023B" w:rsidR="003372FB">
        <w:t>The Government emphasised that</w:t>
      </w:r>
      <w:r w:rsidRPr="005D023B">
        <w:t xml:space="preserve"> the Court had always required “proof beyond reasonable doubt”. </w:t>
      </w:r>
      <w:r w:rsidRPr="005D023B" w:rsidR="007B0D21">
        <w:t>T</w:t>
      </w:r>
      <w:r w:rsidRPr="005D023B">
        <w:t xml:space="preserve">he burden of proof could </w:t>
      </w:r>
      <w:r w:rsidRPr="005D023B" w:rsidR="007B0D21">
        <w:t xml:space="preserve">shift </w:t>
      </w:r>
      <w:r w:rsidRPr="005D023B">
        <w:t>where the events in issue</w:t>
      </w:r>
      <w:r w:rsidRPr="005D023B" w:rsidR="00B070D4">
        <w:t xml:space="preserve"> were</w:t>
      </w:r>
      <w:r w:rsidRPr="005D023B">
        <w:t xml:space="preserve"> wholly, or in large part, within the exclusive knowledge of the authorities, as in the case of death occurring during detention. </w:t>
      </w:r>
      <w:r w:rsidRPr="005D023B" w:rsidR="003372FB">
        <w:t xml:space="preserve">However, no such circumstances </w:t>
      </w:r>
      <w:r w:rsidRPr="005D023B" w:rsidR="00B070D4">
        <w:t xml:space="preserve">had </w:t>
      </w:r>
      <w:r w:rsidRPr="005D023B" w:rsidR="003372FB">
        <w:t>obtained in the present case.</w:t>
      </w:r>
    </w:p>
    <w:p w:rsidRPr="005D023B" w:rsidR="009C08FF" w:rsidRDefault="002A40ED">
      <w:pPr>
        <w:pStyle w:val="JuParaChar"/>
      </w:pPr>
      <w:r w:rsidRPr="005D023B">
        <w:fldChar w:fldCharType="begin"/>
      </w:r>
      <w:r w:rsidRPr="005D023B">
        <w:instrText xml:space="preserve"> SEQ level0 \*arabic </w:instrText>
      </w:r>
      <w:r w:rsidRPr="005D023B">
        <w:fldChar w:fldCharType="separate"/>
      </w:r>
      <w:r w:rsidR="00D57953">
        <w:rPr>
          <w:noProof/>
        </w:rPr>
        <w:t>133</w:t>
      </w:r>
      <w:r w:rsidRPr="005D023B">
        <w:fldChar w:fldCharType="end"/>
      </w:r>
      <w:r w:rsidRPr="005D023B">
        <w:t>.  As t</w:t>
      </w:r>
      <w:r w:rsidRPr="005D023B" w:rsidR="003372FB">
        <w:t>here had been no rac</w:t>
      </w:r>
      <w:r w:rsidR="00776B69">
        <w:t>ial element in the incident in</w:t>
      </w:r>
      <w:r w:rsidRPr="005D023B" w:rsidR="003372FB">
        <w:t xml:space="preserve"> issue</w:t>
      </w:r>
      <w:r w:rsidRPr="005D023B">
        <w:t xml:space="preserve">, </w:t>
      </w:r>
      <w:r w:rsidR="00BF6CE2">
        <w:t xml:space="preserve">any </w:t>
      </w:r>
      <w:r w:rsidRPr="005D023B">
        <w:t xml:space="preserve">further </w:t>
      </w:r>
      <w:r w:rsidRPr="005D023B" w:rsidR="003372FB">
        <w:t>investigat</w:t>
      </w:r>
      <w:r w:rsidRPr="005D023B">
        <w:t>ion</w:t>
      </w:r>
      <w:r w:rsidRPr="005D023B" w:rsidR="00DE4747">
        <w:t xml:space="preserve"> by the domestic authorities</w:t>
      </w:r>
      <w:r w:rsidRPr="005D023B">
        <w:t xml:space="preserve"> </w:t>
      </w:r>
      <w:r w:rsidRPr="005D023B" w:rsidR="003372FB">
        <w:t>would have been to no avail.</w:t>
      </w:r>
      <w:r w:rsidRPr="005D023B" w:rsidR="007B0D21">
        <w:t xml:space="preserve"> </w:t>
      </w:r>
      <w:r w:rsidR="00BF6CE2">
        <w:t>The Government accepted</w:t>
      </w:r>
      <w:r w:rsidRPr="005D023B" w:rsidR="009C08FF">
        <w:t xml:space="preserve"> that racially motivated violence </w:t>
      </w:r>
      <w:r w:rsidR="00BF6CE2">
        <w:t>had</w:t>
      </w:r>
      <w:r w:rsidRPr="005D023B" w:rsidR="009C08FF">
        <w:t xml:space="preserve"> to be punished more severely than violent</w:t>
      </w:r>
      <w:r w:rsidRPr="005D023B" w:rsidR="007B0D21">
        <w:t xml:space="preserve"> acts without a racial overtone. However,</w:t>
      </w:r>
      <w:r w:rsidRPr="005D023B" w:rsidR="009C08FF">
        <w:t xml:space="preserve"> States could not be required to investigate for possible racist attitudes in the absence of sufficient evidence supporting the allegations of racism. </w:t>
      </w:r>
      <w:r w:rsidRPr="005D023B">
        <w:t>T</w:t>
      </w:r>
      <w:r w:rsidRPr="005D023B" w:rsidR="003372FB">
        <w:t xml:space="preserve">he Government considered </w:t>
      </w:r>
      <w:r w:rsidRPr="005D023B">
        <w:t>that</w:t>
      </w:r>
      <w:r w:rsidRPr="005D023B" w:rsidR="003372FB">
        <w:t xml:space="preserve"> the Chamber</w:t>
      </w:r>
      <w:r w:rsidR="00F2618C">
        <w:t>'</w:t>
      </w:r>
      <w:r w:rsidRPr="005D023B" w:rsidR="007B0D21">
        <w:t>s approach</w:t>
      </w:r>
      <w:r w:rsidRPr="005D023B" w:rsidR="003372FB">
        <w:t xml:space="preserve"> would lead to the responsibility of </w:t>
      </w:r>
      <w:r w:rsidRPr="005D023B">
        <w:t>Contracting</w:t>
      </w:r>
      <w:r w:rsidRPr="005D023B" w:rsidR="003372FB">
        <w:t xml:space="preserve"> State</w:t>
      </w:r>
      <w:r w:rsidRPr="005D023B">
        <w:t>s</w:t>
      </w:r>
      <w:r w:rsidRPr="005D023B" w:rsidR="003372FB">
        <w:t xml:space="preserve"> being engaged in each and every case where an allegation of discrimination</w:t>
      </w:r>
      <w:r w:rsidRPr="005D023B" w:rsidR="00686050">
        <w:t>,</w:t>
      </w:r>
      <w:r w:rsidRPr="005D023B" w:rsidR="003372FB">
        <w:t xml:space="preserve"> however unfounded</w:t>
      </w:r>
      <w:r w:rsidRPr="005D023B" w:rsidR="00686050">
        <w:t xml:space="preserve">, </w:t>
      </w:r>
      <w:r w:rsidRPr="005D023B" w:rsidR="00E36A84">
        <w:t>had been</w:t>
      </w:r>
      <w:r w:rsidRPr="005D023B" w:rsidR="00686050">
        <w:t xml:space="preserve"> made</w:t>
      </w:r>
      <w:r w:rsidRPr="005D023B" w:rsidR="003372FB">
        <w:t>.</w:t>
      </w:r>
    </w:p>
    <w:p w:rsidRPr="005D023B" w:rsidR="009C08FF" w:rsidRDefault="007B0D21">
      <w:pPr>
        <w:pStyle w:val="JuParaChar"/>
      </w:pPr>
      <w:r w:rsidRPr="005D023B">
        <w:fldChar w:fldCharType="begin"/>
      </w:r>
      <w:r w:rsidRPr="005D023B">
        <w:instrText xml:space="preserve"> SEQ level0 \*arabic </w:instrText>
      </w:r>
      <w:r w:rsidRPr="005D023B">
        <w:fldChar w:fldCharType="separate"/>
      </w:r>
      <w:r w:rsidR="00D57953">
        <w:rPr>
          <w:noProof/>
        </w:rPr>
        <w:t>134</w:t>
      </w:r>
      <w:r w:rsidRPr="005D023B">
        <w:fldChar w:fldCharType="end"/>
      </w:r>
      <w:r w:rsidRPr="005D023B">
        <w:t>.  </w:t>
      </w:r>
      <w:r w:rsidR="00BF6CE2">
        <w:t>Mor</w:t>
      </w:r>
      <w:r w:rsidR="00C211F7">
        <w:t>e</w:t>
      </w:r>
      <w:r w:rsidR="00BF6CE2">
        <w:t>over, t</w:t>
      </w:r>
      <w:r w:rsidRPr="005D023B" w:rsidR="009C08FF">
        <w:t>he Chamber</w:t>
      </w:r>
      <w:r w:rsidR="00F2618C">
        <w:t>'</w:t>
      </w:r>
      <w:r w:rsidRPr="005D023B" w:rsidR="009C08FF">
        <w:t>s app</w:t>
      </w:r>
      <w:r w:rsidR="00FB0668">
        <w:t>roach lacked clarity and foresee</w:t>
      </w:r>
      <w:r w:rsidRPr="005D023B" w:rsidR="009C08FF">
        <w:t xml:space="preserve">ability. In particular, it was contradictory to state – as the Chamber did – that the Court could not examine intent and state of mind in the context of Article 2 of the Convention and then to reach the conclusion that there had been a substantive violation of Article 14 </w:t>
      </w:r>
      <w:r w:rsidR="00301D35">
        <w:t xml:space="preserve">of the Convention </w:t>
      </w:r>
      <w:r w:rsidR="00776B69">
        <w:t xml:space="preserve">taken </w:t>
      </w:r>
      <w:r w:rsidRPr="005D023B" w:rsidR="009C08FF">
        <w:t>in conjunction with Article 2 because the death of Mr Angelov and Mr Petkov had been the result of a racially motivated act.</w:t>
      </w:r>
    </w:p>
    <w:p w:rsidR="00B147F8" w:rsidRDefault="00686050">
      <w:pPr>
        <w:pStyle w:val="JuParaChar"/>
      </w:pPr>
      <w:r w:rsidRPr="005D023B">
        <w:fldChar w:fldCharType="begin"/>
      </w:r>
      <w:r w:rsidRPr="005D023B">
        <w:instrText xml:space="preserve"> SEQ level0 \*arabic </w:instrText>
      </w:r>
      <w:r w:rsidRPr="005D023B">
        <w:fldChar w:fldCharType="separate"/>
      </w:r>
      <w:r w:rsidR="00D57953">
        <w:rPr>
          <w:noProof/>
        </w:rPr>
        <w:t>135</w:t>
      </w:r>
      <w:r w:rsidRPr="005D023B">
        <w:fldChar w:fldCharType="end"/>
      </w:r>
      <w:r w:rsidRPr="005D023B">
        <w:t>.  </w:t>
      </w:r>
      <w:r w:rsidRPr="005D023B" w:rsidR="00A834BB">
        <w:t>The Government</w:t>
      </w:r>
      <w:r w:rsidR="00BF6CE2">
        <w:t xml:space="preserve">, in </w:t>
      </w:r>
      <w:r w:rsidR="00C211F7">
        <w:t>both their written and oral submissions</w:t>
      </w:r>
      <w:r w:rsidR="00BF6CE2">
        <w:t>,</w:t>
      </w:r>
      <w:r w:rsidRPr="005D023B" w:rsidR="00A834BB">
        <w:t xml:space="preserve"> </w:t>
      </w:r>
      <w:r w:rsidRPr="005D023B" w:rsidR="00B070D4">
        <w:t>gave</w:t>
      </w:r>
      <w:r w:rsidRPr="005D023B" w:rsidR="00A834BB">
        <w:t xml:space="preserve"> a detailed overview of </w:t>
      </w:r>
      <w:r w:rsidRPr="005D023B" w:rsidR="005D7AE2">
        <w:t xml:space="preserve">legislation, social </w:t>
      </w:r>
      <w:r w:rsidRPr="005D023B" w:rsidR="00A834BB">
        <w:t>program</w:t>
      </w:r>
      <w:r w:rsidRPr="005D023B" w:rsidR="00B070D4">
        <w:t>me</w:t>
      </w:r>
      <w:r w:rsidRPr="005D023B" w:rsidR="00A834BB">
        <w:t xml:space="preserve">s and </w:t>
      </w:r>
      <w:r w:rsidRPr="005D023B" w:rsidR="005D7AE2">
        <w:t xml:space="preserve">other </w:t>
      </w:r>
      <w:r w:rsidRPr="005D023B" w:rsidR="00A834BB">
        <w:t xml:space="preserve">measures </w:t>
      </w:r>
      <w:r w:rsidRPr="005D023B" w:rsidR="00B070D4">
        <w:t xml:space="preserve">that had been </w:t>
      </w:r>
      <w:r w:rsidRPr="005D023B" w:rsidR="00A834BB">
        <w:t xml:space="preserve">adopted in recent years in </w:t>
      </w:r>
      <w:smartTag w:uri="urn:schemas-microsoft-com:office:smarttags" w:element="place">
        <w:smartTag w:uri="urn:schemas-microsoft-com:office:smarttags" w:element="country-region">
          <w:r w:rsidR="00A834BB" w:rsidRPr="005D023B">
            <w:t>Bulgaria</w:t>
          </w:r>
        </w:smartTag>
      </w:smartTag>
      <w:r w:rsidRPr="005D023B" w:rsidR="00A834BB">
        <w:t xml:space="preserve"> with the aim </w:t>
      </w:r>
      <w:r w:rsidRPr="005D023B" w:rsidR="00B070D4">
        <w:t>of</w:t>
      </w:r>
      <w:r w:rsidRPr="005D023B" w:rsidR="00A834BB">
        <w:t xml:space="preserve"> combat</w:t>
      </w:r>
      <w:r w:rsidRPr="005D023B" w:rsidR="00B070D4">
        <w:t>ing</w:t>
      </w:r>
      <w:r w:rsidRPr="005D023B" w:rsidR="00A834BB">
        <w:t xml:space="preserve"> </w:t>
      </w:r>
      <w:r w:rsidRPr="005D023B" w:rsidR="005D7AE2">
        <w:t xml:space="preserve">discrimination and </w:t>
      </w:r>
      <w:r w:rsidRPr="005D023B" w:rsidR="00A834BB">
        <w:t>intolerance and promot</w:t>
      </w:r>
      <w:r w:rsidRPr="005D023B" w:rsidR="00B070D4">
        <w:t>ing</w:t>
      </w:r>
      <w:r w:rsidRPr="005D023B" w:rsidR="00A834BB">
        <w:t xml:space="preserve"> the integration of Roma in society.</w:t>
      </w:r>
    </w:p>
    <w:p w:rsidRPr="005D023B" w:rsidR="00CD49A7" w:rsidRDefault="00CD49A7">
      <w:pPr>
        <w:pStyle w:val="JuH1"/>
      </w:pPr>
      <w:r w:rsidRPr="005D023B">
        <w:t>2.  </w:t>
      </w:r>
      <w:r w:rsidRPr="005D023B" w:rsidR="0012386B">
        <w:t>The applicants</w:t>
      </w:r>
    </w:p>
    <w:p w:rsidR="00ED57B0" w:rsidRDefault="00ED57B0">
      <w:pPr>
        <w:pStyle w:val="JuParaChar"/>
      </w:pPr>
      <w:r w:rsidRPr="005D023B">
        <w:fldChar w:fldCharType="begin"/>
      </w:r>
      <w:r w:rsidRPr="005D023B">
        <w:instrText xml:space="preserve"> SEQ level0 \*arabic </w:instrText>
      </w:r>
      <w:r w:rsidRPr="005D023B">
        <w:fldChar w:fldCharType="separate"/>
      </w:r>
      <w:r w:rsidR="00D57953">
        <w:rPr>
          <w:noProof/>
        </w:rPr>
        <w:t>136</w:t>
      </w:r>
      <w:r w:rsidRPr="005D023B">
        <w:fldChar w:fldCharType="end"/>
      </w:r>
      <w:r w:rsidRPr="005D023B">
        <w:t xml:space="preserve">. </w:t>
      </w:r>
      <w:r w:rsidR="00A962F9">
        <w:t>In their written submissions, t</w:t>
      </w:r>
      <w:r w:rsidRPr="005D023B">
        <w:t xml:space="preserve">he applicants argued that the Convention had so far failed </w:t>
      </w:r>
      <w:r w:rsidR="00BF6CE2">
        <w:t>to provide</w:t>
      </w:r>
      <w:r w:rsidRPr="005D023B">
        <w:t xml:space="preserve"> effective protection against racial discrimination</w:t>
      </w:r>
      <w:r w:rsidR="00A962F9">
        <w:t xml:space="preserve"> and </w:t>
      </w:r>
      <w:r w:rsidRPr="005D023B">
        <w:t xml:space="preserve">invited the Grand Chamber to </w:t>
      </w:r>
      <w:r w:rsidR="00A962F9">
        <w:t>adopt a</w:t>
      </w:r>
      <w:r w:rsidR="00BF6CE2">
        <w:t>n innovative</w:t>
      </w:r>
      <w:r w:rsidR="00A962F9">
        <w:t xml:space="preserve"> </w:t>
      </w:r>
      <w:r w:rsidR="00C602A2">
        <w:t xml:space="preserve">interpretation of Article 14. </w:t>
      </w:r>
      <w:r w:rsidRPr="005D023B">
        <w:t>The applicants welcomed the Chamber</w:t>
      </w:r>
      <w:r w:rsidR="00F2618C">
        <w:t>'</w:t>
      </w:r>
      <w:r w:rsidRPr="005D023B">
        <w:t>s views that Contracting States were under a duty to investiga</w:t>
      </w:r>
      <w:r w:rsidR="00A962F9">
        <w:t xml:space="preserve">te possible racist motives </w:t>
      </w:r>
      <w:r w:rsidR="00BF6CE2">
        <w:t>for</w:t>
      </w:r>
      <w:r w:rsidR="00A962F9">
        <w:t xml:space="preserve"> an act of violence</w:t>
      </w:r>
      <w:r w:rsidRPr="005D023B">
        <w:t xml:space="preserve"> and that the burden of proof might shift to the respondent Government. </w:t>
      </w:r>
      <w:r w:rsidR="00C211F7">
        <w:t>In their written submissions t</w:t>
      </w:r>
      <w:r w:rsidRPr="005D023B">
        <w:t>he</w:t>
      </w:r>
      <w:r w:rsidR="00A962F9">
        <w:t>y</w:t>
      </w:r>
      <w:r w:rsidRPr="005D023B">
        <w:t xml:space="preserve"> considered, however, that the </w:t>
      </w:r>
      <w:r w:rsidR="00A962F9">
        <w:t>standard of proof in discrimination cases should not be “proof beyond reasonable doubt”</w:t>
      </w:r>
      <w:r w:rsidRPr="005D023B">
        <w:t xml:space="preserve"> and that in cases </w:t>
      </w:r>
      <w:r w:rsidR="00BF6CE2">
        <w:t>such as the instant case</w:t>
      </w:r>
      <w:r w:rsidRPr="005D023B">
        <w:t xml:space="preserve"> the burden of proof should always shift to the Government once a </w:t>
      </w:r>
      <w:r w:rsidRPr="001502DD">
        <w:t>prima</w:t>
      </w:r>
      <w:r w:rsidRPr="00BF6CE2">
        <w:rPr>
          <w:i/>
        </w:rPr>
        <w:t xml:space="preserve"> </w:t>
      </w:r>
      <w:r w:rsidRPr="001502DD">
        <w:t>facie</w:t>
      </w:r>
      <w:r w:rsidRPr="005D023B">
        <w:t xml:space="preserve"> case of discrimination ha</w:t>
      </w:r>
      <w:r w:rsidR="00A962F9">
        <w:t>d</w:t>
      </w:r>
      <w:r w:rsidRPr="005D023B">
        <w:t xml:space="preserve"> been established.</w:t>
      </w:r>
      <w:r w:rsidR="00164061">
        <w:t xml:space="preserve"> In their oral submissions at the hearing, the applicants</w:t>
      </w:r>
      <w:r w:rsidR="00F2618C">
        <w:t>'</w:t>
      </w:r>
      <w:r w:rsidR="00164061">
        <w:t xml:space="preserve"> representatives invited the Court to follow the Chamber</w:t>
      </w:r>
      <w:r w:rsidR="00F2618C">
        <w:t>'</w:t>
      </w:r>
      <w:r w:rsidR="00164061">
        <w:t>s approach.</w:t>
      </w:r>
    </w:p>
    <w:p w:rsidR="00B147F8" w:rsidRDefault="00BF6CE2">
      <w:pPr>
        <w:pStyle w:val="JuParaChar"/>
      </w:pPr>
      <w:r>
        <w:fldChar w:fldCharType="begin"/>
      </w:r>
      <w:r>
        <w:instrText xml:space="preserve"> SEQ level0 \*arabic </w:instrText>
      </w:r>
      <w:r>
        <w:fldChar w:fldCharType="separate"/>
      </w:r>
      <w:r w:rsidR="00D57953">
        <w:rPr>
          <w:noProof/>
        </w:rPr>
        <w:t>137</w:t>
      </w:r>
      <w:r>
        <w:fldChar w:fldCharType="end"/>
      </w:r>
      <w:r>
        <w:t>.  </w:t>
      </w:r>
      <w:r w:rsidR="00A962F9">
        <w:t>As to the facts of the</w:t>
      </w:r>
      <w:r w:rsidRPr="005D023B" w:rsidR="004A6452">
        <w:t xml:space="preserve"> case, the applicants stated that there had been a substantive violation of Article 14 as they had established a </w:t>
      </w:r>
      <w:r w:rsidRPr="001502DD" w:rsidR="004A6452">
        <w:t>prima facie</w:t>
      </w:r>
      <w:r w:rsidRPr="005D023B" w:rsidR="004A6452">
        <w:t xml:space="preserve"> case of discrimination and the Government had failed to present evidence to the contrary. In particular, the ethnicity of Mr</w:t>
      </w:r>
      <w:r w:rsidR="000E0C76">
        <w:t xml:space="preserve"> </w:t>
      </w:r>
      <w:r w:rsidRPr="005D023B" w:rsidR="004A6452">
        <w:t>Angelov and Mr Petkov had been known to the officers who had sought to arrest them. Major G. had addressed racial</w:t>
      </w:r>
      <w:r w:rsidRPr="005D023B" w:rsidR="00185DB4">
        <w:t>ly</w:t>
      </w:r>
      <w:r w:rsidRPr="005D023B" w:rsidR="004A6452">
        <w:t xml:space="preserve"> offensive remarks to a bystander on the basis of his Roma origin. Also, strong inferences were to be drawn from the fact that Major G. had used</w:t>
      </w:r>
      <w:r w:rsidRPr="005D023B" w:rsidR="00A563C3">
        <w:t xml:space="preserve"> grossly disproportionate firepower</w:t>
      </w:r>
      <w:r w:rsidRPr="005D023B" w:rsidR="004A6452">
        <w:t xml:space="preserve"> in a populated area, the Roma neighbourhood of the village.</w:t>
      </w:r>
      <w:r w:rsidRPr="005D023B" w:rsidR="00A1049F">
        <w:t xml:space="preserve"> Those facts should be assessed against the background of persistent discriminat</w:t>
      </w:r>
      <w:r>
        <w:t>ion</w:t>
      </w:r>
      <w:r w:rsidRPr="005D023B" w:rsidR="00A1049F">
        <w:t xml:space="preserve"> against Roma </w:t>
      </w:r>
      <w:r>
        <w:t>on the part of</w:t>
      </w:r>
      <w:r w:rsidRPr="005D023B" w:rsidR="00A1049F">
        <w:t xml:space="preserve"> law</w:t>
      </w:r>
      <w:r w:rsidR="007B77D3">
        <w:t xml:space="preserve"> </w:t>
      </w:r>
      <w:r w:rsidRPr="005D023B" w:rsidR="00A1049F">
        <w:t xml:space="preserve">enforcement agents in </w:t>
      </w:r>
      <w:smartTag w:uri="urn:schemas-microsoft-com:office:smarttags" w:element="place">
        <w:smartTag w:uri="urn:schemas-microsoft-com:office:smarttags" w:element="country-region">
          <w:r w:rsidR="00A1049F" w:rsidRPr="005D023B">
            <w:t>Bulgaria</w:t>
          </w:r>
        </w:smartTag>
      </w:smartTag>
      <w:r w:rsidRPr="005D023B" w:rsidR="00A1049F">
        <w:t xml:space="preserve">. </w:t>
      </w:r>
      <w:r>
        <w:t>Furthermore, the</w:t>
      </w:r>
      <w:r w:rsidRPr="005D023B" w:rsidR="0054650E">
        <w:t xml:space="preserve"> authorities should have investigated whether the</w:t>
      </w:r>
      <w:r w:rsidRPr="005D023B" w:rsidR="00A1049F">
        <w:t xml:space="preserve"> deaths of Mr Angelov and Mr Petkov </w:t>
      </w:r>
      <w:r w:rsidRPr="005D023B" w:rsidR="0054650E">
        <w:t xml:space="preserve">had </w:t>
      </w:r>
      <w:r w:rsidRPr="005D023B" w:rsidR="00A1049F">
        <w:t>been motivated by raci</w:t>
      </w:r>
      <w:r w:rsidR="005B6399">
        <w:t>al</w:t>
      </w:r>
      <w:r w:rsidRPr="005D023B" w:rsidR="00A1049F">
        <w:t xml:space="preserve"> preju</w:t>
      </w:r>
      <w:r w:rsidR="00A962F9">
        <w:t>di</w:t>
      </w:r>
      <w:r w:rsidRPr="005D023B" w:rsidR="00A1049F">
        <w:t xml:space="preserve">ce </w:t>
      </w:r>
      <w:r w:rsidRPr="005D023B" w:rsidR="0054650E">
        <w:t>but had failed to do so</w:t>
      </w:r>
      <w:r w:rsidRPr="005D023B" w:rsidR="00ED57B0">
        <w:t>.</w:t>
      </w:r>
    </w:p>
    <w:p w:rsidRPr="005D023B" w:rsidR="0012386B" w:rsidP="00ED57B0" w:rsidRDefault="0012386B">
      <w:pPr>
        <w:pStyle w:val="JuH1"/>
      </w:pPr>
      <w:r w:rsidRPr="005D023B">
        <w:t>3.  The interveners</w:t>
      </w:r>
    </w:p>
    <w:p w:rsidRPr="005D023B" w:rsidR="00277439" w:rsidP="00994EB7" w:rsidRDefault="00874A0D">
      <w:pPr>
        <w:pStyle w:val="JuHa0"/>
      </w:pPr>
      <w:r>
        <w:t>(a)  </w:t>
      </w:r>
      <w:r w:rsidRPr="005D023B" w:rsidR="00277439">
        <w:t>The European Roma Rights Centre</w:t>
      </w:r>
    </w:p>
    <w:p w:rsidR="00B147F8" w:rsidP="009E22C4" w:rsidRDefault="0073240A">
      <w:pPr>
        <w:pStyle w:val="JuParaChar"/>
      </w:pPr>
      <w:r w:rsidRPr="005D023B">
        <w:fldChar w:fldCharType="begin"/>
      </w:r>
      <w:r w:rsidRPr="005D023B">
        <w:instrText xml:space="preserve"> SEQ level0 \*arabic </w:instrText>
      </w:r>
      <w:r w:rsidRPr="005D023B">
        <w:fldChar w:fldCharType="separate"/>
      </w:r>
      <w:r w:rsidR="00D57953">
        <w:rPr>
          <w:noProof/>
        </w:rPr>
        <w:t>138</w:t>
      </w:r>
      <w:r w:rsidRPr="005D023B">
        <w:fldChar w:fldCharType="end"/>
      </w:r>
      <w:r w:rsidRPr="005D023B">
        <w:t>.  </w:t>
      </w:r>
      <w:r w:rsidRPr="005D023B" w:rsidR="00277439">
        <w:t xml:space="preserve">The Centre </w:t>
      </w:r>
      <w:r w:rsidR="00BF6CE2">
        <w:t>pointed out that ov</w:t>
      </w:r>
      <w:r w:rsidRPr="005D023B" w:rsidR="001378C0">
        <w:t xml:space="preserve">er the last </w:t>
      </w:r>
      <w:r w:rsidR="00BF6CE2">
        <w:t>few</w:t>
      </w:r>
      <w:r w:rsidRPr="005D023B" w:rsidR="001378C0">
        <w:t xml:space="preserve"> years various international bodies and non-governmental organisations had reported numerous incidents of ill-treatment and killing of Roma by law enforcement agents and private individuals of Bulgarian ethnic origin. It was wi</w:t>
      </w:r>
      <w:r w:rsidR="00776B69">
        <w:t xml:space="preserve">dely acknowledged that racially </w:t>
      </w:r>
      <w:r w:rsidRPr="005D023B" w:rsidR="001378C0">
        <w:t xml:space="preserve">motivated violence against Roma was a serious problem in </w:t>
      </w:r>
      <w:smartTag w:uri="urn:schemas-microsoft-com:office:smarttags" w:element="place">
        <w:smartTag w:uri="urn:schemas-microsoft-com:office:smarttags" w:element="country-region">
          <w:r w:rsidR="001378C0" w:rsidRPr="005D023B">
            <w:t>Bulgaria</w:t>
          </w:r>
        </w:smartTag>
      </w:smartTag>
      <w:r w:rsidR="00E23670">
        <w:t xml:space="preserve">. </w:t>
      </w:r>
      <w:r w:rsidRPr="005D023B" w:rsidR="001378C0">
        <w:t xml:space="preserve">The Roma community was furthermore largely excluded from social life as it </w:t>
      </w:r>
      <w:r w:rsidR="00BF6CE2">
        <w:t>laboured under</w:t>
      </w:r>
      <w:r w:rsidRPr="005D023B" w:rsidR="001378C0">
        <w:t xml:space="preserve"> high levels of poverty, illiteracy and unemployment.</w:t>
      </w:r>
    </w:p>
    <w:p w:rsidR="00B147F8" w:rsidP="009E22C4" w:rsidRDefault="00BF6C83">
      <w:pPr>
        <w:pStyle w:val="JuParaChar"/>
      </w:pPr>
      <w:r w:rsidRPr="005D023B">
        <w:fldChar w:fldCharType="begin"/>
      </w:r>
      <w:r w:rsidRPr="005D023B">
        <w:instrText xml:space="preserve"> SEQ level0 \*arabic </w:instrText>
      </w:r>
      <w:r w:rsidRPr="005D023B">
        <w:fldChar w:fldCharType="separate"/>
      </w:r>
      <w:r w:rsidR="00D57953">
        <w:rPr>
          <w:noProof/>
        </w:rPr>
        <w:t>139</w:t>
      </w:r>
      <w:r w:rsidRPr="005D023B">
        <w:fldChar w:fldCharType="end"/>
      </w:r>
      <w:r w:rsidRPr="005D023B">
        <w:t>.  </w:t>
      </w:r>
      <w:r w:rsidRPr="005D023B" w:rsidR="0073240A">
        <w:t>D</w:t>
      </w:r>
      <w:r w:rsidR="00776B69">
        <w:t xml:space="preserve">espite high levels of racially </w:t>
      </w:r>
      <w:r w:rsidRPr="005D023B" w:rsidR="008D2639">
        <w:t>motivated violence and repeated calls on the part of international bodies, such as the U</w:t>
      </w:r>
      <w:r w:rsidR="00776B69">
        <w:t xml:space="preserve">nited </w:t>
      </w:r>
      <w:r w:rsidRPr="005D023B" w:rsidR="008D2639">
        <w:t>N</w:t>
      </w:r>
      <w:r w:rsidR="00776B69">
        <w:t>ations</w:t>
      </w:r>
      <w:r w:rsidRPr="005D023B" w:rsidR="008D2639">
        <w:t xml:space="preserve"> Committee</w:t>
      </w:r>
      <w:r w:rsidRPr="005D023B" w:rsidR="00D55FBC">
        <w:t xml:space="preserve"> A</w:t>
      </w:r>
      <w:r w:rsidRPr="005D023B" w:rsidR="008D2639">
        <w:t>gainst Torture, for the establishment of “an effective, reliable and independent complaint system” and for adequate investigation of police abuse, the authorities had failed to act.</w:t>
      </w:r>
      <w:r w:rsidRPr="005D023B" w:rsidR="0073240A">
        <w:t xml:space="preserve"> Bul</w:t>
      </w:r>
      <w:r w:rsidRPr="005D023B" w:rsidR="0079014C">
        <w:t xml:space="preserve">garian </w:t>
      </w:r>
      <w:r w:rsidR="00776B69">
        <w:t>criminal</w:t>
      </w:r>
      <w:r w:rsidRPr="005D023B" w:rsidR="0073240A">
        <w:t xml:space="preserve"> </w:t>
      </w:r>
      <w:r w:rsidRPr="005D023B" w:rsidR="0079014C">
        <w:t xml:space="preserve">legislation </w:t>
      </w:r>
      <w:r w:rsidRPr="005D023B" w:rsidR="0073240A">
        <w:t xml:space="preserve">did not treat </w:t>
      </w:r>
      <w:r w:rsidRPr="005D023B" w:rsidR="0079014C">
        <w:t>racist animus</w:t>
      </w:r>
      <w:r w:rsidRPr="005D023B" w:rsidR="0073240A">
        <w:t xml:space="preserve"> </w:t>
      </w:r>
      <w:r w:rsidRPr="005D023B" w:rsidR="0079014C">
        <w:t>as an aggravating circumstance in cases of violent offences. In 1999 the Bulgarian authorities had acknowledged the need for an amendment but had n</w:t>
      </w:r>
      <w:r w:rsidRPr="005D023B" w:rsidR="00211582">
        <w:t>ever</w:t>
      </w:r>
      <w:r w:rsidRPr="005D023B" w:rsidR="0079014C">
        <w:t xml:space="preserve"> </w:t>
      </w:r>
      <w:r w:rsidR="00BF6CE2">
        <w:t>taken any action.</w:t>
      </w:r>
      <w:r w:rsidRPr="005D023B" w:rsidR="0079014C">
        <w:t xml:space="preserve"> Also, Article 162 of the Criminal Code, which ma</w:t>
      </w:r>
      <w:r w:rsidRPr="005D023B" w:rsidR="00185DB4">
        <w:t>d</w:t>
      </w:r>
      <w:r w:rsidRPr="005D023B" w:rsidR="0079014C">
        <w:t>e racist attacks punishable, provide</w:t>
      </w:r>
      <w:r w:rsidRPr="005D023B" w:rsidR="00185DB4">
        <w:t>d</w:t>
      </w:r>
      <w:r w:rsidRPr="005D023B" w:rsidR="0079014C">
        <w:t xml:space="preserve"> for lighter sentences than the provision</w:t>
      </w:r>
      <w:r w:rsidRPr="005D023B" w:rsidR="00211582">
        <w:t>s</w:t>
      </w:r>
      <w:r w:rsidRPr="005D023B" w:rsidR="0079014C">
        <w:t xml:space="preserve"> </w:t>
      </w:r>
      <w:r w:rsidR="00BF6CE2">
        <w:t>dealing with</w:t>
      </w:r>
      <w:r w:rsidRPr="005D023B" w:rsidR="0079014C">
        <w:t xml:space="preserve"> common bodily harm. As a result, Article 162 was never applied, charges were brought</w:t>
      </w:r>
      <w:r w:rsidRPr="005D023B" w:rsidR="00211582">
        <w:t xml:space="preserve"> – if at all –</w:t>
      </w:r>
      <w:r w:rsidRPr="005D023B" w:rsidR="0079014C">
        <w:t xml:space="preserve"> under the general provisions on bodily harm or murder and the racist nature of </w:t>
      </w:r>
      <w:r w:rsidRPr="005D023B" w:rsidR="00211582">
        <w:t xml:space="preserve">the </w:t>
      </w:r>
      <w:r w:rsidRPr="005D023B" w:rsidR="0079014C">
        <w:t xml:space="preserve">attacks remained hidden. </w:t>
      </w:r>
      <w:r w:rsidRPr="005D023B" w:rsidR="0073240A">
        <w:t>T</w:t>
      </w:r>
      <w:r w:rsidRPr="005D023B" w:rsidR="0079014C">
        <w:t>here was a climate of impunit</w:t>
      </w:r>
      <w:r w:rsidR="00776B69">
        <w:t xml:space="preserve">y, as noted by the Court in </w:t>
      </w:r>
      <w:r w:rsidRPr="005D023B" w:rsidR="0079014C">
        <w:rPr>
          <w:i/>
        </w:rPr>
        <w:t>Velikova</w:t>
      </w:r>
      <w:r w:rsidRPr="005D023B" w:rsidR="0079014C">
        <w:t xml:space="preserve"> and </w:t>
      </w:r>
      <w:r w:rsidRPr="005D023B" w:rsidR="0079014C">
        <w:rPr>
          <w:i/>
        </w:rPr>
        <w:t>Anguelova</w:t>
      </w:r>
      <w:r w:rsidRPr="005D023B" w:rsidR="0079014C">
        <w:t>.</w:t>
      </w:r>
    </w:p>
    <w:p w:rsidR="00B147F8" w:rsidP="00994EB7" w:rsidRDefault="00874A0D">
      <w:pPr>
        <w:pStyle w:val="JuHa0"/>
      </w:pPr>
      <w:r>
        <w:t>(b)  </w:t>
      </w:r>
      <w:r w:rsidRPr="005D023B" w:rsidR="00A43978">
        <w:t>Interights</w:t>
      </w:r>
    </w:p>
    <w:p w:rsidRPr="005D023B" w:rsidR="0012386B" w:rsidRDefault="00994EB7">
      <w:pPr>
        <w:pStyle w:val="JuParaChar"/>
      </w:pPr>
      <w:r w:rsidRPr="005D023B">
        <w:fldChar w:fldCharType="begin"/>
      </w:r>
      <w:r w:rsidRPr="005D023B">
        <w:instrText xml:space="preserve"> SEQ level0 \*arabic </w:instrText>
      </w:r>
      <w:r w:rsidRPr="005D023B">
        <w:fldChar w:fldCharType="separate"/>
      </w:r>
      <w:r w:rsidR="00D57953">
        <w:rPr>
          <w:noProof/>
        </w:rPr>
        <w:t>140</w:t>
      </w:r>
      <w:r w:rsidRPr="005D023B">
        <w:fldChar w:fldCharType="end"/>
      </w:r>
      <w:r w:rsidRPr="005D023B">
        <w:t>.  </w:t>
      </w:r>
      <w:r w:rsidRPr="005D023B" w:rsidR="00A43978">
        <w:t xml:space="preserve">Interights </w:t>
      </w:r>
      <w:r w:rsidRPr="005D023B" w:rsidR="00D14C40">
        <w:t>criticised the Court</w:t>
      </w:r>
      <w:r w:rsidR="00F2618C">
        <w:t>'</w:t>
      </w:r>
      <w:r w:rsidRPr="005D023B" w:rsidR="00D14C40">
        <w:t xml:space="preserve">s </w:t>
      </w:r>
      <w:r w:rsidRPr="005D023B" w:rsidR="00185DB4">
        <w:t>“beyond reasonable doubt”</w:t>
      </w:r>
      <w:r w:rsidRPr="005D023B" w:rsidR="00D14C40">
        <w:t xml:space="preserve"> standard as</w:t>
      </w:r>
      <w:r w:rsidRPr="005D023B" w:rsidR="007D312C">
        <w:t xml:space="preserve"> erecting </w:t>
      </w:r>
      <w:r w:rsidRPr="005D023B" w:rsidR="00B801F6">
        <w:t>insurmountable</w:t>
      </w:r>
      <w:r w:rsidRPr="005D023B" w:rsidR="007D312C">
        <w:t xml:space="preserve"> obstacles to establishing discrimination</w:t>
      </w:r>
      <w:r w:rsidRPr="005D023B" w:rsidR="00D14C40">
        <w:t xml:space="preserve">. </w:t>
      </w:r>
      <w:r w:rsidRPr="005D023B" w:rsidR="00A43978">
        <w:t>I</w:t>
      </w:r>
      <w:r w:rsidRPr="005D023B" w:rsidR="007312A3">
        <w:t>n Interights</w:t>
      </w:r>
      <w:r w:rsidR="00F2618C">
        <w:t>'</w:t>
      </w:r>
      <w:r w:rsidR="00AA3EE8">
        <w:t>s</w:t>
      </w:r>
      <w:r w:rsidRPr="005D023B" w:rsidR="007312A3">
        <w:t xml:space="preserve"> submission,</w:t>
      </w:r>
      <w:r w:rsidRPr="005D023B" w:rsidR="00A43978">
        <w:t xml:space="preserve"> those national jurisdictions in which judicial protection against discrimination was strongest tended to be common</w:t>
      </w:r>
      <w:r w:rsidRPr="005D023B" w:rsidR="00185DB4">
        <w:t>-</w:t>
      </w:r>
      <w:r w:rsidRPr="005D023B" w:rsidR="00A43978">
        <w:t xml:space="preserve">law </w:t>
      </w:r>
      <w:r w:rsidRPr="005D023B" w:rsidR="00185DB4">
        <w:t>jurisdictions, which applied a “</w:t>
      </w:r>
      <w:r w:rsidRPr="005D023B" w:rsidR="00A43978">
        <w:t>balance of probabilities</w:t>
      </w:r>
      <w:r w:rsidRPr="005D023B" w:rsidR="00185DB4">
        <w:t>”</w:t>
      </w:r>
      <w:r w:rsidRPr="005D023B" w:rsidR="00A43978">
        <w:t xml:space="preserve"> standard of proof for discrimination cases</w:t>
      </w:r>
      <w:r w:rsidRPr="005D023B" w:rsidR="00461A99">
        <w:t xml:space="preserve">. </w:t>
      </w:r>
      <w:r w:rsidRPr="005D023B" w:rsidR="00A13728">
        <w:t>While in civil</w:t>
      </w:r>
      <w:r w:rsidRPr="005D023B" w:rsidR="00185DB4">
        <w:t>-</w:t>
      </w:r>
      <w:r w:rsidRPr="005D023B" w:rsidR="00A13728">
        <w:t xml:space="preserve">law jurisdictions judges </w:t>
      </w:r>
      <w:r w:rsidR="007B77D3">
        <w:t>had</w:t>
      </w:r>
      <w:r w:rsidRPr="005D023B" w:rsidR="00A13728">
        <w:t xml:space="preserve"> a fact-finding role and were therefore, theoretically at least, a</w:t>
      </w:r>
      <w:r w:rsidRPr="005D023B" w:rsidR="00124120">
        <w:t>b</w:t>
      </w:r>
      <w:r w:rsidRPr="005D023B" w:rsidR="00A13728">
        <w:t>le to satisfy themselves to a higher standard of proof, a review of judicial responses to discrimination suggested that the common</w:t>
      </w:r>
      <w:r w:rsidRPr="005D023B" w:rsidR="00185DB4">
        <w:t>-</w:t>
      </w:r>
      <w:r w:rsidRPr="005D023B" w:rsidR="00A13728">
        <w:t>law approach lent itself to stronger judicial protection against discrimination.</w:t>
      </w:r>
      <w:r w:rsidR="00874A0D">
        <w:t xml:space="preserve"> </w:t>
      </w:r>
      <w:r w:rsidRPr="005D023B" w:rsidR="00B831E8">
        <w:t>In Interights</w:t>
      </w:r>
      <w:r w:rsidR="00F2618C">
        <w:t>'</w:t>
      </w:r>
      <w:r w:rsidR="00AA3EE8">
        <w:t>s</w:t>
      </w:r>
      <w:r w:rsidRPr="005D023B" w:rsidR="00B831E8">
        <w:t xml:space="preserve"> submission, the Court had in practice adopted an intermediate standard, as</w:t>
      </w:r>
      <w:r w:rsidRPr="005D023B" w:rsidR="00185DB4">
        <w:t xml:space="preserve"> it </w:t>
      </w:r>
      <w:r w:rsidRPr="005D023B" w:rsidR="0073240A">
        <w:t>di</w:t>
      </w:r>
      <w:r w:rsidRPr="005D023B" w:rsidR="00B831E8">
        <w:t>d not require the same high level of proof as in criminal trials</w:t>
      </w:r>
      <w:r w:rsidRPr="005D023B" w:rsidR="0073240A">
        <w:t>, but its</w:t>
      </w:r>
      <w:r w:rsidRPr="005D023B" w:rsidR="00B831E8">
        <w:t xml:space="preserve"> approach lacked clarity and foreseeability.</w:t>
      </w:r>
    </w:p>
    <w:p w:rsidRPr="005D023B" w:rsidR="00B831E8" w:rsidRDefault="00994EB7">
      <w:pPr>
        <w:pStyle w:val="JuParaChar"/>
      </w:pPr>
      <w:r w:rsidRPr="005D023B">
        <w:fldChar w:fldCharType="begin"/>
      </w:r>
      <w:r w:rsidRPr="005D023B">
        <w:instrText xml:space="preserve"> SEQ level0 \*arabic </w:instrText>
      </w:r>
      <w:r w:rsidRPr="005D023B">
        <w:fldChar w:fldCharType="separate"/>
      </w:r>
      <w:r w:rsidR="00D57953">
        <w:rPr>
          <w:noProof/>
        </w:rPr>
        <w:t>141</w:t>
      </w:r>
      <w:r w:rsidRPr="005D023B">
        <w:fldChar w:fldCharType="end"/>
      </w:r>
      <w:r w:rsidRPr="005D023B">
        <w:t>.  </w:t>
      </w:r>
      <w:r w:rsidRPr="005D023B" w:rsidR="005A7455">
        <w:t xml:space="preserve">Interights further stated that </w:t>
      </w:r>
      <w:r w:rsidRPr="005D023B" w:rsidR="002710B0">
        <w:t xml:space="preserve">international practice supported the view that in discrimination cases the burden of proof should shift to the respondent upon the claimant establishing a </w:t>
      </w:r>
      <w:r w:rsidRPr="00F0742C" w:rsidR="002710B0">
        <w:t>prima facie</w:t>
      </w:r>
      <w:r w:rsidRPr="005D023B" w:rsidR="002710B0">
        <w:t xml:space="preserve"> case.</w:t>
      </w:r>
      <w:r w:rsidRPr="005D023B" w:rsidR="007E58D3">
        <w:t xml:space="preserve"> That was the approach adopted by several </w:t>
      </w:r>
      <w:r w:rsidR="007B77D3">
        <w:t>European Union</w:t>
      </w:r>
      <w:r w:rsidRPr="005D023B" w:rsidR="007E58D3">
        <w:t xml:space="preserve"> directives, by the Court of Justice of the European Communities, the United Nations Human Rights Committee and the national courts in a number of European countries and also in the </w:t>
      </w:r>
      <w:smartTag w:uri="urn:schemas-microsoft-com:office:smarttags" w:element="country-region">
        <w:r w:rsidR="007E58D3" w:rsidRPr="005D023B">
          <w:t>United States</w:t>
        </w:r>
      </w:smartTag>
      <w:r w:rsidRPr="005D023B" w:rsidR="007E58D3">
        <w:t xml:space="preserve">, </w:t>
      </w:r>
      <w:smartTag w:uri="urn:schemas-microsoft-com:office:smarttags" w:element="place">
        <w:smartTag w:uri="urn:schemas-microsoft-com:office:smarttags" w:element="country-region">
          <w:r w:rsidR="007E58D3" w:rsidRPr="005D023B">
            <w:t>Canada</w:t>
          </w:r>
        </w:smartTag>
      </w:smartTag>
      <w:r w:rsidRPr="005D023B" w:rsidR="007E58D3">
        <w:t xml:space="preserve"> and other</w:t>
      </w:r>
      <w:r w:rsidRPr="005D023B">
        <w:t xml:space="preserve"> countrie</w:t>
      </w:r>
      <w:r w:rsidRPr="005D023B" w:rsidR="007E58D3">
        <w:t>s.</w:t>
      </w:r>
    </w:p>
    <w:p w:rsidR="00B147F8" w:rsidRDefault="00994EB7">
      <w:pPr>
        <w:pStyle w:val="JuParaChar"/>
      </w:pPr>
      <w:r w:rsidRPr="005D023B">
        <w:fldChar w:fldCharType="begin"/>
      </w:r>
      <w:r w:rsidRPr="005D023B">
        <w:instrText xml:space="preserve"> SEQ level0 \*arabic </w:instrText>
      </w:r>
      <w:r w:rsidRPr="005D023B">
        <w:fldChar w:fldCharType="separate"/>
      </w:r>
      <w:r w:rsidR="00D57953">
        <w:rPr>
          <w:noProof/>
        </w:rPr>
        <w:t>142</w:t>
      </w:r>
      <w:r w:rsidRPr="005D023B">
        <w:fldChar w:fldCharType="end"/>
      </w:r>
      <w:r w:rsidRPr="005D023B">
        <w:t>.  </w:t>
      </w:r>
      <w:r w:rsidRPr="005D023B" w:rsidR="00DB2FA2">
        <w:t xml:space="preserve">Interights </w:t>
      </w:r>
      <w:r w:rsidRPr="005D023B" w:rsidR="007D312C">
        <w:t>also</w:t>
      </w:r>
      <w:r w:rsidRPr="005D023B" w:rsidR="00DB2FA2">
        <w:t xml:space="preserve"> cited examples of</w:t>
      </w:r>
      <w:r w:rsidRPr="005D023B" w:rsidR="00185DB4">
        <w:t xml:space="preserve"> the</w:t>
      </w:r>
      <w:r w:rsidRPr="005D023B" w:rsidR="00DB2FA2">
        <w:t xml:space="preserve"> type</w:t>
      </w:r>
      <w:r w:rsidRPr="005D023B" w:rsidR="00185DB4">
        <w:t>s</w:t>
      </w:r>
      <w:r w:rsidRPr="005D023B" w:rsidR="00DB2FA2">
        <w:t xml:space="preserve"> of evidence that national jurisdictions had accepted as capable of establishing a prima facie case of discrimination: evidence of a “general picture” of disadvantage, “common knowledge” of discrimination, facts from “general life”, </w:t>
      </w:r>
      <w:r w:rsidRPr="005D023B" w:rsidR="00A039DD">
        <w:t xml:space="preserve">facts that </w:t>
      </w:r>
      <w:r w:rsidRPr="005D023B" w:rsidR="00185DB4">
        <w:t>we</w:t>
      </w:r>
      <w:r w:rsidRPr="005D023B" w:rsidR="00A039DD">
        <w:t xml:space="preserve">re </w:t>
      </w:r>
      <w:r w:rsidRPr="005D023B" w:rsidR="00DB2FA2">
        <w:t>generally known</w:t>
      </w:r>
      <w:r w:rsidRPr="005D023B" w:rsidR="00A039DD">
        <w:t>, background facts and circumstantial evidence.</w:t>
      </w:r>
      <w:r w:rsidRPr="005D023B" w:rsidR="00DB2FA2">
        <w:t xml:space="preserve"> </w:t>
      </w:r>
      <w:r w:rsidRPr="005D023B" w:rsidR="00A039DD">
        <w:t>Relying on inferences was also a common approach.</w:t>
      </w:r>
    </w:p>
    <w:p w:rsidRPr="005D023B" w:rsidR="00994EB7" w:rsidP="00994EB7" w:rsidRDefault="00874A0D">
      <w:pPr>
        <w:pStyle w:val="JuHa0"/>
      </w:pPr>
      <w:r>
        <w:t>(c)  </w:t>
      </w:r>
      <w:r w:rsidRPr="005D023B" w:rsidR="00994EB7">
        <w:t>Open Society Justice Initiative</w:t>
      </w:r>
      <w:r w:rsidRPr="005D023B" w:rsidR="00185DB4">
        <w:t xml:space="preserve"> (OSJI)</w:t>
      </w:r>
    </w:p>
    <w:p w:rsidRPr="005D023B" w:rsidR="0018075A" w:rsidP="0018075A" w:rsidRDefault="0073240A">
      <w:pPr>
        <w:pStyle w:val="JuParaChar"/>
      </w:pPr>
      <w:r w:rsidRPr="005D023B">
        <w:fldChar w:fldCharType="begin"/>
      </w:r>
      <w:r w:rsidRPr="005D023B">
        <w:instrText xml:space="preserve"> SEQ level0 \*arabic </w:instrText>
      </w:r>
      <w:r w:rsidRPr="005D023B">
        <w:fldChar w:fldCharType="separate"/>
      </w:r>
      <w:r w:rsidR="00D57953">
        <w:rPr>
          <w:noProof/>
        </w:rPr>
        <w:t>143</w:t>
      </w:r>
      <w:r w:rsidRPr="005D023B">
        <w:fldChar w:fldCharType="end"/>
      </w:r>
      <w:r w:rsidRPr="005D023B">
        <w:t>.  </w:t>
      </w:r>
      <w:r w:rsidRPr="005D023B" w:rsidR="00185DB4">
        <w:t>OSJI</w:t>
      </w:r>
      <w:r w:rsidRPr="005D023B" w:rsidR="00BF3BC3">
        <w:t xml:space="preserve"> comment</w:t>
      </w:r>
      <w:r w:rsidRPr="005D023B" w:rsidR="00736BE6">
        <w:t>ed</w:t>
      </w:r>
      <w:r w:rsidRPr="005D023B" w:rsidR="00BF3BC3">
        <w:t xml:space="preserve"> on the obligation of States</w:t>
      </w:r>
      <w:r w:rsidRPr="005D023B" w:rsidR="00736BE6">
        <w:t xml:space="preserve">, in international and comparative law, </w:t>
      </w:r>
      <w:r w:rsidRPr="005D023B" w:rsidR="00BF3BC3">
        <w:t>to investigate racial discrimination and violence</w:t>
      </w:r>
      <w:r w:rsidRPr="005D023B">
        <w:t>.</w:t>
      </w:r>
      <w:r w:rsidRPr="005D023B" w:rsidR="00736BE6">
        <w:t xml:space="preserve"> </w:t>
      </w:r>
      <w:r w:rsidRPr="005D023B">
        <w:t>In their view,</w:t>
      </w:r>
      <w:r w:rsidRPr="005D023B" w:rsidR="00D61EBC">
        <w:t xml:space="preserve"> the </w:t>
      </w:r>
      <w:r w:rsidRPr="005D023B">
        <w:t>widely accepted principle that no effective protection of substantive rights was possible without adequate procedural guarantees was also applicable to discrimination cases. Therefore,</w:t>
      </w:r>
      <w:r w:rsidRPr="005D023B" w:rsidR="00D61EBC">
        <w:t xml:space="preserve"> </w:t>
      </w:r>
      <w:r w:rsidRPr="005D023B" w:rsidR="00D55FBC">
        <w:t>a procedural duty was inherent in Article 14 of the Convention.</w:t>
      </w:r>
      <w:r w:rsidR="00E23670">
        <w:t xml:space="preserve"> </w:t>
      </w:r>
      <w:r w:rsidRPr="005D023B" w:rsidR="0018075A">
        <w:t xml:space="preserve">Furthermore, </w:t>
      </w:r>
      <w:r w:rsidRPr="005D023B">
        <w:t xml:space="preserve">in accordance with the </w:t>
      </w:r>
      <w:r w:rsidRPr="005D023B" w:rsidR="0018075A">
        <w:t xml:space="preserve">prevailing European and international </w:t>
      </w:r>
      <w:r w:rsidR="00C86749">
        <w:t>practice</w:t>
      </w:r>
      <w:r w:rsidR="00776B69">
        <w:t>,</w:t>
      </w:r>
      <w:r w:rsidR="00C86749">
        <w:t xml:space="preserve"> </w:t>
      </w:r>
      <w:r w:rsidRPr="005D023B" w:rsidR="0018075A">
        <w:t xml:space="preserve">racial motivation </w:t>
      </w:r>
      <w:r w:rsidRPr="005D023B" w:rsidR="00D55FBC">
        <w:t>was</w:t>
      </w:r>
      <w:r w:rsidRPr="005D023B" w:rsidR="0018075A">
        <w:t xml:space="preserve"> an aggravating circumstance</w:t>
      </w:r>
      <w:r w:rsidRPr="005D023B" w:rsidR="00D55FBC">
        <w:t xml:space="preserve"> in criminal law </w:t>
      </w:r>
      <w:r w:rsidRPr="005D023B" w:rsidR="0018075A">
        <w:t>and</w:t>
      </w:r>
      <w:r w:rsidR="00AA3EE8">
        <w:t>,</w:t>
      </w:r>
      <w:r w:rsidR="00776B69">
        <w:t xml:space="preserve"> as a result, </w:t>
      </w:r>
      <w:r w:rsidRPr="005D023B" w:rsidR="00D55FBC">
        <w:t>subject to</w:t>
      </w:r>
      <w:r w:rsidRPr="005D023B" w:rsidR="0018075A">
        <w:t xml:space="preserve"> investigat</w:t>
      </w:r>
      <w:r w:rsidRPr="005D023B" w:rsidR="00D55FBC">
        <w:t>ion.</w:t>
      </w:r>
      <w:r w:rsidRPr="005D023B">
        <w:t xml:space="preserve"> States had</w:t>
      </w:r>
      <w:r w:rsidR="00776B69">
        <w:t xml:space="preserve"> a duty</w:t>
      </w:r>
      <w:r w:rsidRPr="005D023B">
        <w:t>, therefore, to investigate acts of racial violence. T</w:t>
      </w:r>
      <w:r w:rsidRPr="005D023B" w:rsidR="0018075A">
        <w:t xml:space="preserve">hat </w:t>
      </w:r>
      <w:r w:rsidRPr="005D023B">
        <w:t>was</w:t>
      </w:r>
      <w:r w:rsidRPr="005D023B" w:rsidR="0018075A">
        <w:t xml:space="preserve"> an </w:t>
      </w:r>
      <w:r w:rsidRPr="005D023B" w:rsidR="0018075A">
        <w:rPr>
          <w:i/>
        </w:rPr>
        <w:t>ex officio</w:t>
      </w:r>
      <w:r w:rsidRPr="005D023B" w:rsidR="0018075A">
        <w:t xml:space="preserve"> </w:t>
      </w:r>
      <w:r w:rsidRPr="005D023B">
        <w:t>obligation</w:t>
      </w:r>
      <w:r w:rsidRPr="005D023B" w:rsidR="0018075A">
        <w:t xml:space="preserve"> and arose whenever there was a reasonable suspicion that a racially motivated act had been committed.</w:t>
      </w:r>
    </w:p>
    <w:p w:rsidRPr="005D023B" w:rsidR="00D55FBC" w:rsidP="00D55FBC" w:rsidRDefault="00D55FBC">
      <w:pPr>
        <w:pStyle w:val="JuHA"/>
      </w:pPr>
      <w:r w:rsidRPr="005D023B">
        <w:t>C.  The Court</w:t>
      </w:r>
      <w:r w:rsidR="00F2618C">
        <w:rPr>
          <w:b w:val="0"/>
        </w:rPr>
        <w:t>'</w:t>
      </w:r>
      <w:r w:rsidRPr="005D023B">
        <w:t>s assessment</w:t>
      </w:r>
    </w:p>
    <w:p w:rsidRPr="005D023B" w:rsidR="005327F5" w:rsidP="005327F5" w:rsidRDefault="0069627A">
      <w:pPr>
        <w:pStyle w:val="JuH1"/>
      </w:pPr>
      <w:r w:rsidRPr="005D023B">
        <w:t>1</w:t>
      </w:r>
      <w:r w:rsidR="00FB0668">
        <w:t>.  </w:t>
      </w:r>
      <w:r w:rsidRPr="005D023B" w:rsidR="005327F5">
        <w:t>Whether the respondent State is liable for deprivation of life on the basis of the victims</w:t>
      </w:r>
      <w:r w:rsidR="00F2618C">
        <w:rPr>
          <w:i w:val="0"/>
        </w:rPr>
        <w:t>'</w:t>
      </w:r>
      <w:r w:rsidRPr="005D023B" w:rsidR="005327F5">
        <w:t xml:space="preserve"> race or ethnic origin</w:t>
      </w:r>
    </w:p>
    <w:p w:rsidR="005327F5"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144</w:t>
      </w:r>
      <w:r w:rsidRPr="005D023B">
        <w:fldChar w:fldCharType="end"/>
      </w:r>
      <w:r w:rsidRPr="005D023B">
        <w:t>.  </w:t>
      </w:r>
      <w:r w:rsidRPr="005D023B" w:rsidR="00612786">
        <w:t xml:space="preserve">The Court </w:t>
      </w:r>
      <w:r w:rsidRPr="005D023B" w:rsidR="000F7D37">
        <w:t xml:space="preserve">has </w:t>
      </w:r>
      <w:r w:rsidRPr="005D023B" w:rsidR="00612786">
        <w:t>established above that</w:t>
      </w:r>
      <w:r w:rsidRPr="005D023B" w:rsidR="000F7D37">
        <w:t xml:space="preserve"> agents of</w:t>
      </w:r>
      <w:r w:rsidRPr="005D023B" w:rsidR="00612786">
        <w:t xml:space="preserve"> the respondent State </w:t>
      </w:r>
      <w:r w:rsidRPr="005D023B" w:rsidR="000F7D37">
        <w:t>unlawfully killed</w:t>
      </w:r>
      <w:r w:rsidRPr="005D023B" w:rsidR="00612786">
        <w:t xml:space="preserve"> Mr Angelov and Mr Petkov in violation o</w:t>
      </w:r>
      <w:r w:rsidR="00FB0668">
        <w:t xml:space="preserve">f Article 2 of the Convention. </w:t>
      </w:r>
      <w:r w:rsidRPr="005D023B">
        <w:t xml:space="preserve">The applicants </w:t>
      </w:r>
      <w:r w:rsidRPr="005D023B" w:rsidR="000F7D37">
        <w:t xml:space="preserve">have </w:t>
      </w:r>
      <w:r w:rsidR="00343D71">
        <w:t xml:space="preserve">further </w:t>
      </w:r>
      <w:r w:rsidRPr="005D023B">
        <w:t>alleged that there ha</w:t>
      </w:r>
      <w:r w:rsidRPr="005D023B" w:rsidR="007A41CF">
        <w:t>s</w:t>
      </w:r>
      <w:r w:rsidRPr="005D023B">
        <w:t xml:space="preserve"> been a </w:t>
      </w:r>
      <w:r w:rsidRPr="005D023B" w:rsidR="00612786">
        <w:t xml:space="preserve">separate </w:t>
      </w:r>
      <w:r w:rsidRPr="005D023B">
        <w:t>violation of Article 14 in that raci</w:t>
      </w:r>
      <w:r w:rsidR="00343D71">
        <w:t>al</w:t>
      </w:r>
      <w:r w:rsidRPr="005D023B">
        <w:t xml:space="preserve"> prejudice </w:t>
      </w:r>
      <w:r w:rsidRPr="005D023B" w:rsidR="00612786">
        <w:t>played a role</w:t>
      </w:r>
      <w:r w:rsidRPr="005D023B">
        <w:t xml:space="preserve"> in the</w:t>
      </w:r>
      <w:r w:rsidRPr="005D023B" w:rsidR="000F7D37">
        <w:t>ir</w:t>
      </w:r>
      <w:r w:rsidRPr="005D023B">
        <w:t xml:space="preserve"> deaths.</w:t>
      </w:r>
    </w:p>
    <w:p w:rsidR="00D20BCC" w:rsidP="00BB7AEA" w:rsidRDefault="00D20BCC">
      <w:pPr>
        <w:pStyle w:val="JuPara"/>
        <w:outlineLvl w:val="0"/>
      </w:pPr>
      <w:r>
        <w:fldChar w:fldCharType="begin"/>
      </w:r>
      <w:r>
        <w:instrText xml:space="preserve"> SEQ level0 \*arabic </w:instrText>
      </w:r>
      <w:r>
        <w:fldChar w:fldCharType="separate"/>
      </w:r>
      <w:r w:rsidR="00D57953">
        <w:rPr>
          <w:noProof/>
        </w:rPr>
        <w:t>145</w:t>
      </w:r>
      <w:r>
        <w:fldChar w:fldCharType="end"/>
      </w:r>
      <w:r>
        <w:t>.  </w:t>
      </w:r>
      <w:r w:rsidRPr="00BB7AEA" w:rsidR="00BB7AEA">
        <w:t>Discrimination is treating differently, without an objective and reasonable justification, persons in relevantly similar situation</w:t>
      </w:r>
      <w:r w:rsidR="00BB7AEA">
        <w:t>s</w:t>
      </w:r>
      <w:r w:rsidRPr="00BB7AEA" w:rsidR="00BB7AEA">
        <w:t xml:space="preserve"> (see </w:t>
      </w:r>
      <w:r w:rsidR="00E23670">
        <w:rPr>
          <w:i/>
        </w:rPr>
        <w:t>Willis v. </w:t>
      </w:r>
      <w:r w:rsidR="00BB7AEA">
        <w:rPr>
          <w:i/>
        </w:rPr>
        <w:t xml:space="preserve">the </w:t>
      </w:r>
      <w:r w:rsidRPr="00104DC4" w:rsidR="00BB7AEA">
        <w:rPr>
          <w:i/>
        </w:rPr>
        <w:t>United Kingdom</w:t>
      </w:r>
      <w:r w:rsidRPr="00104DC4" w:rsidR="00BB7AEA">
        <w:t>, no. 36042/97, §</w:t>
      </w:r>
      <w:r w:rsidR="00BB7AEA">
        <w:t xml:space="preserve"> 48</w:t>
      </w:r>
      <w:r w:rsidRPr="00104DC4" w:rsidR="00BB7AEA">
        <w:t>, ECHR 2002</w:t>
      </w:r>
      <w:r w:rsidRPr="00104DC4" w:rsidR="00BB7AEA">
        <w:noBreakHyphen/>
        <w:t>IV</w:t>
      </w:r>
      <w:r w:rsidR="00BB7AEA">
        <w:t>).</w:t>
      </w:r>
      <w:r w:rsidR="00C602A2">
        <w:t xml:space="preserve"> </w:t>
      </w:r>
      <w:r>
        <w:t xml:space="preserve">Racial violence is a particular affront to human dignity and, in view of its perilous consequences, requires from the authorities special vigilance and a vigorous reaction. </w:t>
      </w:r>
      <w:r w:rsidRPr="00AF45B5">
        <w:t>It is for this reason that the authorities must use all available means to combat racism and racist violence, thereby reinforcing democracy</w:t>
      </w:r>
      <w:r w:rsidR="00F2618C">
        <w:t>'</w:t>
      </w:r>
      <w:r w:rsidRPr="00AF45B5">
        <w:t>s vision of a society in which diversity is not perceived as a threat but as</w:t>
      </w:r>
      <w:r>
        <w:t xml:space="preserve"> a source of </w:t>
      </w:r>
      <w:r w:rsidRPr="00AF45B5">
        <w:t>enrichment</w:t>
      </w:r>
      <w:r>
        <w:t>.</w:t>
      </w:r>
      <w:r w:rsidR="009D2F54">
        <w:t xml:space="preserve"> The Court will revert to that issue below.</w:t>
      </w:r>
    </w:p>
    <w:p w:rsidRPr="005D023B" w:rsidR="005327F5" w:rsidP="005327F5" w:rsidRDefault="00BF6CE2">
      <w:pPr>
        <w:pStyle w:val="JuPara"/>
      </w:pPr>
      <w:r>
        <w:fldChar w:fldCharType="begin"/>
      </w:r>
      <w:r>
        <w:instrText xml:space="preserve"> SEQ level0 \*arabic </w:instrText>
      </w:r>
      <w:r>
        <w:fldChar w:fldCharType="separate"/>
      </w:r>
      <w:r w:rsidR="00D57953">
        <w:rPr>
          <w:noProof/>
        </w:rPr>
        <w:t>146</w:t>
      </w:r>
      <w:r>
        <w:fldChar w:fldCharType="end"/>
      </w:r>
      <w:r>
        <w:t>.  </w:t>
      </w:r>
      <w:r w:rsidR="00343D71">
        <w:t>Faced with the applicant</w:t>
      </w:r>
      <w:r w:rsidRPr="005D023B" w:rsidR="006C078B">
        <w:t>s</w:t>
      </w:r>
      <w:r w:rsidR="00F2618C">
        <w:t>'</w:t>
      </w:r>
      <w:r w:rsidR="00EF0072">
        <w:t xml:space="preserve"> complaint of a</w:t>
      </w:r>
      <w:r w:rsidRPr="005D023B" w:rsidR="006C078B">
        <w:t xml:space="preserve"> violation of Article 14</w:t>
      </w:r>
      <w:r w:rsidR="00EF0072">
        <w:t>, as formulated</w:t>
      </w:r>
      <w:r w:rsidRPr="005D023B" w:rsidR="006C078B">
        <w:t>, th</w:t>
      </w:r>
      <w:r w:rsidRPr="005D023B" w:rsidR="005327F5">
        <w:t>e Court</w:t>
      </w:r>
      <w:r w:rsidR="00F2618C">
        <w:t>'</w:t>
      </w:r>
      <w:r w:rsidRPr="005D023B" w:rsidR="005327F5">
        <w:t xml:space="preserve">s task is to establish whether </w:t>
      </w:r>
      <w:r w:rsidRPr="005D023B" w:rsidR="006C078B">
        <w:t xml:space="preserve">or not </w:t>
      </w:r>
      <w:r w:rsidR="005B6399">
        <w:t xml:space="preserve">racism was a causal factor in </w:t>
      </w:r>
      <w:r w:rsidRPr="005D023B" w:rsidR="006C078B">
        <w:t xml:space="preserve">the shooting that led to the deaths of </w:t>
      </w:r>
      <w:r w:rsidR="00C602A2">
        <w:t>Mr Angelov and Mr </w:t>
      </w:r>
      <w:r w:rsidRPr="005D023B" w:rsidR="006C078B">
        <w:t xml:space="preserve">Petkov </w:t>
      </w:r>
      <w:r w:rsidR="005B6399">
        <w:t xml:space="preserve">so as to give rise </w:t>
      </w:r>
      <w:r>
        <w:t xml:space="preserve">to a </w:t>
      </w:r>
      <w:r w:rsidRPr="005D023B" w:rsidR="006C078B">
        <w:t xml:space="preserve">breach of Article 14 of the Convention </w:t>
      </w:r>
      <w:r w:rsidRPr="005D023B" w:rsidR="007A41CF">
        <w:t xml:space="preserve">taken </w:t>
      </w:r>
      <w:r w:rsidRPr="005D023B" w:rsidR="006C078B">
        <w:t>in conjunction with Article</w:t>
      </w:r>
      <w:r w:rsidR="002236B1">
        <w:t xml:space="preserve"> </w:t>
      </w:r>
      <w:r w:rsidRPr="005D023B" w:rsidR="006C078B">
        <w:t>2.</w:t>
      </w:r>
    </w:p>
    <w:p w:rsidR="00B147F8" w:rsidP="00D11E08" w:rsidRDefault="00D11E08">
      <w:pPr>
        <w:pStyle w:val="JuPara"/>
      </w:pPr>
      <w:r w:rsidRPr="005D023B">
        <w:fldChar w:fldCharType="begin"/>
      </w:r>
      <w:r w:rsidRPr="005D023B">
        <w:instrText xml:space="preserve"> SEQ level0 \*arabic </w:instrText>
      </w:r>
      <w:r w:rsidRPr="005D023B">
        <w:fldChar w:fldCharType="separate"/>
      </w:r>
      <w:r w:rsidR="00D57953">
        <w:rPr>
          <w:noProof/>
        </w:rPr>
        <w:t>147</w:t>
      </w:r>
      <w:r w:rsidRPr="005D023B">
        <w:fldChar w:fldCharType="end"/>
      </w:r>
      <w:r w:rsidRPr="005D023B">
        <w:t>.  </w:t>
      </w:r>
      <w:r w:rsidR="00BF6CE2">
        <w:t xml:space="preserve">It notes </w:t>
      </w:r>
      <w:r w:rsidR="00CE6696">
        <w:t>in this connection</w:t>
      </w:r>
      <w:r w:rsidR="00BF6CE2">
        <w:t xml:space="preserve"> that</w:t>
      </w:r>
      <w:r w:rsidR="007B77D3">
        <w:t>,</w:t>
      </w:r>
      <w:r w:rsidR="00BF6CE2">
        <w:t xml:space="preserve"> i</w:t>
      </w:r>
      <w:r w:rsidRPr="005D023B">
        <w:t xml:space="preserve">n assessing evidence, the Court has adopted the standard of proof “beyond reasonable doubt”. However, it has never been its purpose to borrow the approach of the national legal systems that use that </w:t>
      </w:r>
      <w:r w:rsidR="00343D71">
        <w:t>standard</w:t>
      </w:r>
      <w:r w:rsidRPr="005D023B">
        <w:t xml:space="preserve">. </w:t>
      </w:r>
      <w:r w:rsidR="00343D71">
        <w:t>Its</w:t>
      </w:r>
      <w:r w:rsidRPr="005D023B">
        <w:t xml:space="preserve"> role is not to rule on criminal guilt or civil liability but on Contracting States</w:t>
      </w:r>
      <w:r w:rsidR="00F2618C">
        <w:t>'</w:t>
      </w:r>
      <w:r w:rsidRPr="005D023B">
        <w:t xml:space="preserve"> responsibility under the Convention. The specificity of </w:t>
      </w:r>
      <w:r w:rsidR="00CE6696">
        <w:t>its</w:t>
      </w:r>
      <w:r w:rsidRPr="005D023B">
        <w:t xml:space="preserve"> task under Article 19 of the Convention – to ensure the observance by the Contracting States of their engagement to secure the fundamental rights enshrined in the Convention – conditions </w:t>
      </w:r>
      <w:r w:rsidR="00343D71">
        <w:t>its</w:t>
      </w:r>
      <w:r w:rsidRPr="005D023B">
        <w:t xml:space="preserve"> approach to the issues of evidence and proof. In the proceedings before the Court, there are no procedural barriers to the admissibility of evidence or pre-determined formulae for its assessment. </w:t>
      </w:r>
      <w:r w:rsidR="00343D71">
        <w:t>It</w:t>
      </w:r>
      <w:r w:rsidRPr="005D023B">
        <w:t xml:space="preserve"> adopts the conclusions that are, in its view, supported by the free evaluation of all evidence, including such inferences as may flow from the facts and the parties</w:t>
      </w:r>
      <w:r w:rsidR="00F2618C">
        <w:t>'</w:t>
      </w:r>
      <w:r w:rsidRPr="005D023B">
        <w:t xml:space="preserve"> submissio</w:t>
      </w:r>
      <w:r w:rsidR="00CE6696">
        <w:t>ns.</w:t>
      </w:r>
      <w:r w:rsidR="00343D71">
        <w:t xml:space="preserve"> According to its established case-law,</w:t>
      </w:r>
      <w:r w:rsidRPr="005D023B">
        <w:t xml:space="preserve"> proof may follow from the coexistence of sufficiently strong, clear and concordant inferences or of similar unrebutted presumptions of fact. </w:t>
      </w:r>
      <w:r w:rsidR="00343D71">
        <w:t xml:space="preserve">Moreover, the </w:t>
      </w:r>
      <w:r w:rsidRPr="005D023B">
        <w:t xml:space="preserve">level of persuasion necessary for </w:t>
      </w:r>
      <w:r w:rsidR="00343D71">
        <w:t>reaching</w:t>
      </w:r>
      <w:r w:rsidRPr="005D023B">
        <w:t xml:space="preserve"> a particular conclusion and</w:t>
      </w:r>
      <w:r w:rsidR="00343D71">
        <w:t>, in this connection,</w:t>
      </w:r>
      <w:r w:rsidRPr="005D023B">
        <w:t xml:space="preserve"> the distribution of the burden of proof are intrinsically linked to the specificity of the facts, the nature of the allegation made and the Convention right at stake. The Court is also attentive to the seriousness that attaches to a ruling that a Contracting State has violated fundamental rights (see, among others, </w:t>
      </w:r>
      <w:r w:rsidRPr="005D023B">
        <w:rPr>
          <w:i/>
        </w:rPr>
        <w:t>Ireland v. the United Kingdom</w:t>
      </w:r>
      <w:r w:rsidR="00DA6F6A">
        <w:t>,</w:t>
      </w:r>
      <w:r w:rsidR="00E23670">
        <w:t xml:space="preserve"> judgment of 18 January 1978, Series A no. </w:t>
      </w:r>
      <w:r w:rsidRPr="005D023B">
        <w:t xml:space="preserve">25, </w:t>
      </w:r>
      <w:r w:rsidR="00776B69">
        <w:t xml:space="preserve">pp. 64-65, </w:t>
      </w:r>
      <w:r w:rsidRPr="005D023B">
        <w:t xml:space="preserve">§ </w:t>
      </w:r>
      <w:r w:rsidR="00782E68">
        <w:t>1</w:t>
      </w:r>
      <w:r w:rsidRPr="005D023B">
        <w:t xml:space="preserve">61; </w:t>
      </w:r>
      <w:r w:rsidRPr="005D023B">
        <w:rPr>
          <w:i/>
        </w:rPr>
        <w:t>Ribitsch v. Austria</w:t>
      </w:r>
      <w:r w:rsidR="00DA6F6A">
        <w:t>,</w:t>
      </w:r>
      <w:r w:rsidR="00E23670">
        <w:t xml:space="preserve"> judgment of 4 </w:t>
      </w:r>
      <w:r w:rsidRPr="005D023B">
        <w:t>December 1</w:t>
      </w:r>
      <w:r w:rsidR="00E23670">
        <w:t xml:space="preserve">995, Series A no. 336, p. 24, § </w:t>
      </w:r>
      <w:r w:rsidRPr="005D023B">
        <w:t xml:space="preserve">32; </w:t>
      </w:r>
      <w:r w:rsidRPr="005D023B">
        <w:rPr>
          <w:i/>
        </w:rPr>
        <w:t>Akdivar and Others v. Turkey</w:t>
      </w:r>
      <w:r w:rsidR="00B701B4">
        <w:t xml:space="preserve">, judgment of 16 </w:t>
      </w:r>
      <w:r w:rsidRPr="005D023B">
        <w:t xml:space="preserve">September 1996, </w:t>
      </w:r>
      <w:r w:rsidRPr="005D023B">
        <w:rPr>
          <w:i/>
        </w:rPr>
        <w:t xml:space="preserve">Reports </w:t>
      </w:r>
      <w:r w:rsidRPr="005D023B">
        <w:t>1996</w:t>
      </w:r>
      <w:r w:rsidRPr="005D023B">
        <w:noBreakHyphen/>
        <w:t>IV, p. 1211, § 68</w:t>
      </w:r>
      <w:r w:rsidR="00F0742C">
        <w:t>;</w:t>
      </w:r>
      <w:r w:rsidRPr="005D023B">
        <w:t xml:space="preserve"> </w:t>
      </w:r>
      <w:r w:rsidRPr="005D023B">
        <w:rPr>
          <w:i/>
        </w:rPr>
        <w:t>Tanli v. Turkey</w:t>
      </w:r>
      <w:r w:rsidR="00B701B4">
        <w:t xml:space="preserve">, no. </w:t>
      </w:r>
      <w:r w:rsidR="00E23670">
        <w:t xml:space="preserve">26129/95, § </w:t>
      </w:r>
      <w:r w:rsidR="00622307">
        <w:t>111, ECHR 2001-</w:t>
      </w:r>
      <w:r w:rsidRPr="005D023B">
        <w:t>III</w:t>
      </w:r>
      <w:r w:rsidR="00F0742C">
        <w:t>;</w:t>
      </w:r>
      <w:r w:rsidRPr="005D023B">
        <w:t xml:space="preserve"> and </w:t>
      </w:r>
      <w:r w:rsidR="00B701B4">
        <w:rPr>
          <w:i/>
        </w:rPr>
        <w:t xml:space="preserve">Ilaşcu and Others v. Moldova </w:t>
      </w:r>
      <w:r w:rsidRPr="005D023B">
        <w:rPr>
          <w:i/>
        </w:rPr>
        <w:t xml:space="preserve">and Russia </w:t>
      </w:r>
      <w:r w:rsidRPr="005D023B">
        <w:t>[GC]</w:t>
      </w:r>
      <w:r w:rsidR="00E23670">
        <w:t xml:space="preserve">, no. 48787/99, § 26, </w:t>
      </w:r>
      <w:r w:rsidR="007B77D3">
        <w:t>ECHR 2004-VII</w:t>
      </w:r>
      <w:r w:rsidRPr="005D023B">
        <w:t>).</w:t>
      </w:r>
    </w:p>
    <w:p w:rsidRPr="005D023B" w:rsidR="005327F5"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148</w:t>
      </w:r>
      <w:r w:rsidRPr="005D023B">
        <w:fldChar w:fldCharType="end"/>
      </w:r>
      <w:r w:rsidRPr="005D023B">
        <w:t>. </w:t>
      </w:r>
      <w:r w:rsidRPr="005D023B" w:rsidR="001231AC">
        <w:t>T</w:t>
      </w:r>
      <w:r w:rsidRPr="005D023B">
        <w:t xml:space="preserve">he applicants </w:t>
      </w:r>
      <w:r w:rsidR="00343D71">
        <w:t xml:space="preserve">have </w:t>
      </w:r>
      <w:r w:rsidRPr="005D023B">
        <w:t>referred to several separate facts</w:t>
      </w:r>
      <w:r w:rsidR="00343D71">
        <w:t xml:space="preserve"> and they maintain </w:t>
      </w:r>
      <w:r w:rsidRPr="005D023B">
        <w:t>that sufficient inferences of a raci</w:t>
      </w:r>
      <w:r w:rsidR="00343D71">
        <w:t>st</w:t>
      </w:r>
      <w:r w:rsidRPr="005D023B">
        <w:t xml:space="preserve"> act </w:t>
      </w:r>
      <w:r w:rsidR="00343D71">
        <w:t>can</w:t>
      </w:r>
      <w:r w:rsidRPr="005D023B">
        <w:t xml:space="preserve"> be drawn </w:t>
      </w:r>
      <w:r w:rsidR="00343D71">
        <w:t>from them</w:t>
      </w:r>
      <w:r w:rsidRPr="005D023B">
        <w:t>.</w:t>
      </w:r>
    </w:p>
    <w:p w:rsidRPr="005D023B" w:rsidR="005327F5"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149</w:t>
      </w:r>
      <w:r w:rsidRPr="005D023B">
        <w:fldChar w:fldCharType="end"/>
      </w:r>
      <w:r w:rsidRPr="005D023B">
        <w:t>.  First</w:t>
      </w:r>
      <w:r w:rsidR="00237947">
        <w:t>ly</w:t>
      </w:r>
      <w:r w:rsidRPr="005D023B">
        <w:t xml:space="preserve">, the applicants considered </w:t>
      </w:r>
      <w:r w:rsidR="00237947">
        <w:t xml:space="preserve">to be </w:t>
      </w:r>
      <w:r w:rsidRPr="005D023B">
        <w:t xml:space="preserve">revealing the fact that Major G. had </w:t>
      </w:r>
      <w:r w:rsidR="00343D71">
        <w:t>discharged</w:t>
      </w:r>
      <w:r w:rsidRPr="005D023B">
        <w:t xml:space="preserve"> </w:t>
      </w:r>
      <w:r w:rsidR="00343D71">
        <w:t xml:space="preserve">bursts of </w:t>
      </w:r>
      <w:r w:rsidRPr="005D023B">
        <w:t xml:space="preserve">automatic </w:t>
      </w:r>
      <w:r w:rsidR="00343D71">
        <w:t>fire</w:t>
      </w:r>
      <w:r w:rsidRPr="005D023B">
        <w:t xml:space="preserve"> in a</w:t>
      </w:r>
      <w:r w:rsidR="004A589A">
        <w:t xml:space="preserve"> populated</w:t>
      </w:r>
      <w:r w:rsidRPr="005D023B">
        <w:t xml:space="preserve"> area, in disregard </w:t>
      </w:r>
      <w:r w:rsidRPr="005D023B" w:rsidR="007A41CF">
        <w:t>of</w:t>
      </w:r>
      <w:r w:rsidRPr="005D023B">
        <w:t xml:space="preserve"> the public</w:t>
      </w:r>
      <w:r w:rsidR="00F2618C">
        <w:t>'</w:t>
      </w:r>
      <w:r w:rsidRPr="005D023B">
        <w:t xml:space="preserve">s safety. </w:t>
      </w:r>
      <w:r w:rsidR="004A589A">
        <w:t>Considering that</w:t>
      </w:r>
      <w:r w:rsidR="005B6399">
        <w:t xml:space="preserve"> there was no rational explanation for</w:t>
      </w:r>
      <w:r w:rsidR="004A589A">
        <w:t xml:space="preserve"> such behaviour, the applicants were of the view that racist hatred on the part of Major G. was the only plausible explanation and that</w:t>
      </w:r>
      <w:r w:rsidRPr="005D023B">
        <w:t xml:space="preserve"> he would not have acted in that manner in a non-Roma neighbourhood.</w:t>
      </w:r>
    </w:p>
    <w:p w:rsidRPr="005D023B" w:rsidR="005327F5"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150</w:t>
      </w:r>
      <w:r w:rsidRPr="005D023B">
        <w:fldChar w:fldCharType="end"/>
      </w:r>
      <w:r w:rsidRPr="005D023B">
        <w:t>.  </w:t>
      </w:r>
      <w:r w:rsidR="00B12AB4">
        <w:t>The Court notes</w:t>
      </w:r>
      <w:r w:rsidR="002939E4">
        <w:t>, however,</w:t>
      </w:r>
      <w:r w:rsidRPr="005D023B">
        <w:t xml:space="preserve"> that the </w:t>
      </w:r>
      <w:r w:rsidRPr="005D023B" w:rsidR="00B12AB4">
        <w:t xml:space="preserve">use of </w:t>
      </w:r>
      <w:r w:rsidR="00776B69">
        <w:t>firearms in the circumstances in</w:t>
      </w:r>
      <w:r w:rsidRPr="005D023B" w:rsidR="00B12AB4">
        <w:t xml:space="preserve"> issue was </w:t>
      </w:r>
      <w:r w:rsidR="00B12AB4">
        <w:t xml:space="preserve">regrettably not prohibited </w:t>
      </w:r>
      <w:r w:rsidRPr="005D023B" w:rsidR="00B12AB4">
        <w:t>under the relevant domestic regulations</w:t>
      </w:r>
      <w:r w:rsidR="00B12AB4">
        <w:t>, a flagrant deficiency which it ha</w:t>
      </w:r>
      <w:r w:rsidR="003A14FC">
        <w:t>s</w:t>
      </w:r>
      <w:r w:rsidR="00B12AB4">
        <w:t xml:space="preserve"> earlier condemned</w:t>
      </w:r>
      <w:r w:rsidR="002E7897">
        <w:t xml:space="preserve"> (see paragraph 99 above)</w:t>
      </w:r>
      <w:r w:rsidR="00C86749">
        <w:t>.</w:t>
      </w:r>
      <w:r w:rsidRPr="005D023B" w:rsidR="00C86749">
        <w:t xml:space="preserve"> </w:t>
      </w:r>
      <w:r w:rsidR="00C86749">
        <w:t>T</w:t>
      </w:r>
      <w:r w:rsidRPr="005D023B" w:rsidR="00C86749">
        <w:t xml:space="preserve">he military police officers carried their automatic rifles “in accordance with the rules” and were instructed to use all </w:t>
      </w:r>
      <w:r w:rsidRPr="005D023B" w:rsidR="00237947">
        <w:t xml:space="preserve">means </w:t>
      </w:r>
      <w:r w:rsidR="00A23579">
        <w:t>necessary</w:t>
      </w:r>
      <w:r w:rsidR="00F0742C">
        <w:t xml:space="preserve"> </w:t>
      </w:r>
      <w:r w:rsidRPr="005D023B" w:rsidR="00C86749">
        <w:t>to eff</w:t>
      </w:r>
      <w:r w:rsidR="002939E4">
        <w:t xml:space="preserve">ect the arrest (see paragraphs </w:t>
      </w:r>
      <w:r w:rsidR="006E51EF">
        <w:t>19 and 60</w:t>
      </w:r>
      <w:r w:rsidRPr="005D023B" w:rsidR="00C86749">
        <w:t xml:space="preserve"> above). </w:t>
      </w:r>
      <w:r w:rsidR="00F0742C">
        <w:t xml:space="preserve">The possibility </w:t>
      </w:r>
      <w:r w:rsidR="002939E4">
        <w:t>that</w:t>
      </w:r>
      <w:r w:rsidR="00C86749">
        <w:t xml:space="preserve"> Major G.</w:t>
      </w:r>
      <w:r w:rsidR="00F0742C">
        <w:t xml:space="preserve"> was simply adhering </w:t>
      </w:r>
      <w:r w:rsidR="00C86749">
        <w:t>strict</w:t>
      </w:r>
      <w:r w:rsidR="00F0742C">
        <w:t>ly</w:t>
      </w:r>
      <w:r w:rsidR="00C86749">
        <w:t xml:space="preserve"> </w:t>
      </w:r>
      <w:r w:rsidR="00F0742C">
        <w:t>to</w:t>
      </w:r>
      <w:r w:rsidR="00C86749">
        <w:t xml:space="preserve"> the regulations and would have acted as he did in any similar context,</w:t>
      </w:r>
      <w:r w:rsidRPr="005D023B" w:rsidR="00176B34">
        <w:t xml:space="preserve"> </w:t>
      </w:r>
      <w:r w:rsidRPr="005D023B">
        <w:t xml:space="preserve">regardless of the </w:t>
      </w:r>
      <w:r w:rsidR="00C86749">
        <w:t>ethnicity</w:t>
      </w:r>
      <w:r w:rsidRPr="005D023B">
        <w:t xml:space="preserve"> of the </w:t>
      </w:r>
      <w:r w:rsidR="00C86749">
        <w:t>fugitives</w:t>
      </w:r>
      <w:r w:rsidR="00F0742C">
        <w:t>, cannot therefore be excluded</w:t>
      </w:r>
      <w:r w:rsidRPr="005D023B">
        <w:t xml:space="preserve">. While the relevant regulations were fundamentally flawed and </w:t>
      </w:r>
      <w:r w:rsidRPr="005D023B" w:rsidR="007A41CF">
        <w:t xml:space="preserve">fell </w:t>
      </w:r>
      <w:r w:rsidRPr="005D023B">
        <w:t xml:space="preserve">well short of the Convention requirements on the protection of </w:t>
      </w:r>
      <w:r w:rsidRPr="005D023B" w:rsidR="007A41CF">
        <w:t xml:space="preserve">the right to </w:t>
      </w:r>
      <w:r w:rsidRPr="005D023B">
        <w:t xml:space="preserve">life, there is nothing to suggest that Major G. would not have </w:t>
      </w:r>
      <w:r w:rsidRPr="005D023B" w:rsidR="007A41CF">
        <w:t xml:space="preserve">used </w:t>
      </w:r>
      <w:r w:rsidR="002939E4">
        <w:t xml:space="preserve">his weapon </w:t>
      </w:r>
      <w:r w:rsidRPr="005D023B">
        <w:t>in a non-Roma neighbourhood.</w:t>
      </w:r>
    </w:p>
    <w:p w:rsidR="00B147F8" w:rsidP="00351078" w:rsidRDefault="001F1EBB">
      <w:pPr>
        <w:pStyle w:val="JuPara"/>
      </w:pPr>
      <w:r w:rsidRPr="005D023B">
        <w:fldChar w:fldCharType="begin"/>
      </w:r>
      <w:r w:rsidRPr="005D023B">
        <w:instrText xml:space="preserve"> SEQ level0 \*arabic </w:instrText>
      </w:r>
      <w:r w:rsidRPr="005D023B">
        <w:fldChar w:fldCharType="separate"/>
      </w:r>
      <w:r w:rsidR="00D57953">
        <w:rPr>
          <w:noProof/>
        </w:rPr>
        <w:t>151</w:t>
      </w:r>
      <w:r w:rsidRPr="005D023B">
        <w:fldChar w:fldCharType="end"/>
      </w:r>
      <w:r w:rsidRPr="005D023B">
        <w:t xml:space="preserve">.  It is true, as the Court has found above, </w:t>
      </w:r>
      <w:r w:rsidR="002939E4">
        <w:t xml:space="preserve">that </w:t>
      </w:r>
      <w:r w:rsidRPr="005D023B">
        <w:t>Major G.</w:t>
      </w:r>
      <w:r w:rsidR="00F2618C">
        <w:t>'</w:t>
      </w:r>
      <w:r w:rsidRPr="005D023B">
        <w:t>s conduct during the arrest operation calls for serious criticism in that he used grossly excessive force (see paragraph</w:t>
      </w:r>
      <w:r w:rsidR="00120A89">
        <w:t xml:space="preserve"> 108</w:t>
      </w:r>
      <w:r w:rsidRPr="005D023B">
        <w:t xml:space="preserve"> above).</w:t>
      </w:r>
      <w:r w:rsidRPr="005D023B" w:rsidR="00351078">
        <w:t xml:space="preserve"> Nonetheless, it </w:t>
      </w:r>
      <w:r w:rsidR="005B6399">
        <w:t>cannot be exclu</w:t>
      </w:r>
      <w:r w:rsidR="002E7897">
        <w:t>ded</w:t>
      </w:r>
      <w:r w:rsidR="005B6399">
        <w:t xml:space="preserve"> that</w:t>
      </w:r>
      <w:r w:rsidRPr="005D023B" w:rsidR="00351078">
        <w:t xml:space="preserve"> his </w:t>
      </w:r>
      <w:r w:rsidR="002939E4">
        <w:t>reaction</w:t>
      </w:r>
      <w:r w:rsidRPr="005D023B" w:rsidR="00351078">
        <w:t xml:space="preserve"> was </w:t>
      </w:r>
      <w:r w:rsidR="002939E4">
        <w:t xml:space="preserve">shaped by the inadequacy of the </w:t>
      </w:r>
      <w:r w:rsidRPr="005D023B" w:rsidR="00351078">
        <w:t>legal framework</w:t>
      </w:r>
      <w:r w:rsidR="002939E4">
        <w:t xml:space="preserve"> governing the use of firearms </w:t>
      </w:r>
      <w:r w:rsidRPr="005D023B" w:rsidR="00351078">
        <w:t>and</w:t>
      </w:r>
      <w:r w:rsidR="002939E4">
        <w:t xml:space="preserve"> by the fact that he was trained to operate within that framework</w:t>
      </w:r>
      <w:r w:rsidRPr="005D023B" w:rsidR="00351078">
        <w:t xml:space="preserve"> </w:t>
      </w:r>
      <w:r w:rsidRPr="005D023B" w:rsidR="0069627A">
        <w:t>(see paragraphs</w:t>
      </w:r>
      <w:r w:rsidR="00120A89">
        <w:t xml:space="preserve"> 60 and 99-105 </w:t>
      </w:r>
      <w:r w:rsidRPr="005D023B" w:rsidR="0069627A">
        <w:t>above)</w:t>
      </w:r>
      <w:r w:rsidRPr="005D023B" w:rsidR="00351078">
        <w:t>.</w:t>
      </w:r>
    </w:p>
    <w:p w:rsidR="00B147F8" w:rsidP="001832F5" w:rsidRDefault="001832F5">
      <w:pPr>
        <w:pStyle w:val="JuPara"/>
      </w:pPr>
      <w:r w:rsidRPr="005D023B">
        <w:fldChar w:fldCharType="begin"/>
      </w:r>
      <w:r w:rsidRPr="005D023B">
        <w:instrText xml:space="preserve"> SEQ level0 \*arabic </w:instrText>
      </w:r>
      <w:r w:rsidRPr="005D023B">
        <w:fldChar w:fldCharType="separate"/>
      </w:r>
      <w:r w:rsidR="00D57953">
        <w:rPr>
          <w:noProof/>
        </w:rPr>
        <w:t>152</w:t>
      </w:r>
      <w:r w:rsidRPr="005D023B">
        <w:fldChar w:fldCharType="end"/>
      </w:r>
      <w:r w:rsidRPr="005D023B">
        <w:t>. </w:t>
      </w:r>
      <w:r w:rsidR="009339F3">
        <w:t> </w:t>
      </w:r>
      <w:r w:rsidRPr="005D023B">
        <w:t>The applicants also stated that the military police officers</w:t>
      </w:r>
      <w:r w:rsidR="00F2618C">
        <w:t>'</w:t>
      </w:r>
      <w:r w:rsidRPr="005D023B">
        <w:t xml:space="preserve"> attitude had been strongly influenced by their knowledge of the victims</w:t>
      </w:r>
      <w:r w:rsidR="00F2618C">
        <w:t>'</w:t>
      </w:r>
      <w:r w:rsidRPr="005D023B">
        <w:t xml:space="preserve"> Roma origin. </w:t>
      </w:r>
      <w:r w:rsidRPr="005D023B" w:rsidR="0069627A">
        <w:t>Ho</w:t>
      </w:r>
      <w:r w:rsidRPr="005D023B">
        <w:t xml:space="preserve">wever, it is not possible to speculate </w:t>
      </w:r>
      <w:r w:rsidR="00AF2052">
        <w:t>on</w:t>
      </w:r>
      <w:r w:rsidRPr="005D023B">
        <w:t xml:space="preserve"> whether or not Mr</w:t>
      </w:r>
      <w:r w:rsidR="00C602A2">
        <w:t> </w:t>
      </w:r>
      <w:r w:rsidRPr="005D023B">
        <w:t>Angelov</w:t>
      </w:r>
      <w:r w:rsidR="00F2618C">
        <w:t>'</w:t>
      </w:r>
      <w:r w:rsidR="00AF2052">
        <w:t>s</w:t>
      </w:r>
      <w:r w:rsidRPr="005D023B">
        <w:t xml:space="preserve"> and Mr Petkov</w:t>
      </w:r>
      <w:r w:rsidR="00F2618C">
        <w:t>'</w:t>
      </w:r>
      <w:r w:rsidR="00AF2052">
        <w:t>s</w:t>
      </w:r>
      <w:r w:rsidRPr="005D023B">
        <w:t xml:space="preserve"> </w:t>
      </w:r>
      <w:r w:rsidRPr="005D023B" w:rsidR="00AF2052">
        <w:t xml:space="preserve">Roma origin </w:t>
      </w:r>
      <w:r w:rsidRPr="005D023B" w:rsidR="0069627A">
        <w:t>had any bearing on</w:t>
      </w:r>
      <w:r w:rsidRPr="005D023B">
        <w:t xml:space="preserve"> the officers</w:t>
      </w:r>
      <w:r w:rsidR="00F2618C">
        <w:t>'</w:t>
      </w:r>
      <w:r w:rsidRPr="005D023B">
        <w:t xml:space="preserve"> perception of them. Furthermore, there is evidence that some of the officers knew </w:t>
      </w:r>
      <w:r w:rsidRPr="005D023B" w:rsidR="00AF2052">
        <w:t xml:space="preserve">one </w:t>
      </w:r>
      <w:r w:rsidR="00AF2052">
        <w:t xml:space="preserve">or both of </w:t>
      </w:r>
      <w:r w:rsidRPr="005D023B">
        <w:t>the victims personally</w:t>
      </w:r>
      <w:r w:rsidRPr="005D023B" w:rsidR="0069627A">
        <w:t xml:space="preserve"> (see parag</w:t>
      </w:r>
      <w:r w:rsidR="002939E4">
        <w:t>raph</w:t>
      </w:r>
      <w:r w:rsidR="00120A89">
        <w:t xml:space="preserve"> 18</w:t>
      </w:r>
      <w:r w:rsidR="002939E4">
        <w:t xml:space="preserve"> </w:t>
      </w:r>
      <w:r w:rsidRPr="005D023B" w:rsidR="0069627A">
        <w:t>above)</w:t>
      </w:r>
      <w:r w:rsidRPr="005D023B">
        <w:t>.</w:t>
      </w:r>
    </w:p>
    <w:p w:rsidR="00B147F8" w:rsidP="001832F5" w:rsidRDefault="001832F5">
      <w:pPr>
        <w:pStyle w:val="JuPara"/>
      </w:pPr>
      <w:r w:rsidRPr="005D023B">
        <w:fldChar w:fldCharType="begin"/>
      </w:r>
      <w:r w:rsidRPr="005D023B">
        <w:instrText xml:space="preserve"> SEQ level0 \*arabic </w:instrText>
      </w:r>
      <w:r w:rsidRPr="005D023B">
        <w:fldChar w:fldCharType="separate"/>
      </w:r>
      <w:r w:rsidR="00D57953">
        <w:rPr>
          <w:noProof/>
        </w:rPr>
        <w:t>153</w:t>
      </w:r>
      <w:r w:rsidRPr="005D023B">
        <w:fldChar w:fldCharType="end"/>
      </w:r>
      <w:r w:rsidRPr="005D023B">
        <w:t>.  The applicants referred to the</w:t>
      </w:r>
      <w:r w:rsidR="00776B69">
        <w:t xml:space="preserve"> statement made by Mr M.</w:t>
      </w:r>
      <w:r w:rsidR="00874A0D">
        <w:t xml:space="preserve">M., a </w:t>
      </w:r>
      <w:r w:rsidRPr="005D023B">
        <w:t>neighbour of one of the victims, who reported that Major G. had shouted at him “</w:t>
      </w:r>
      <w:r w:rsidR="007B77D3">
        <w:t>Y</w:t>
      </w:r>
      <w:r w:rsidRPr="005D023B">
        <w:t xml:space="preserve">ou damn Gypsies” </w:t>
      </w:r>
      <w:r w:rsidRPr="005D023B" w:rsidR="0069627A">
        <w:t>immediately</w:t>
      </w:r>
      <w:r w:rsidRPr="005D023B">
        <w:t xml:space="preserve"> after the shooting. While </w:t>
      </w:r>
      <w:r w:rsidR="00120A89">
        <w:t xml:space="preserve">such </w:t>
      </w:r>
      <w:r w:rsidRPr="005D023B">
        <w:t>evidence of</w:t>
      </w:r>
      <w:r w:rsidR="002939E4">
        <w:t xml:space="preserve"> a </w:t>
      </w:r>
      <w:r w:rsidRPr="005D023B">
        <w:t xml:space="preserve">racial slur </w:t>
      </w:r>
      <w:r w:rsidRPr="005D023B" w:rsidR="0069627A">
        <w:t xml:space="preserve">being uttered </w:t>
      </w:r>
      <w:r w:rsidRPr="005D023B">
        <w:t>in connection with a violent act</w:t>
      </w:r>
      <w:r w:rsidRPr="005D023B" w:rsidR="0069627A">
        <w:t xml:space="preserve"> </w:t>
      </w:r>
      <w:r w:rsidR="002939E4">
        <w:t xml:space="preserve">should have led </w:t>
      </w:r>
      <w:r w:rsidRPr="005D023B" w:rsidR="0069627A">
        <w:t xml:space="preserve">the authorities </w:t>
      </w:r>
      <w:r w:rsidR="00973FF0">
        <w:t xml:space="preserve">in this case </w:t>
      </w:r>
      <w:r w:rsidR="002939E4">
        <w:t>to verify Mr M.M.</w:t>
      </w:r>
      <w:r w:rsidR="00F2618C">
        <w:t>'</w:t>
      </w:r>
      <w:r w:rsidR="002939E4">
        <w:t>s statement</w:t>
      </w:r>
      <w:r w:rsidRPr="005D023B">
        <w:t xml:space="preserve">, </w:t>
      </w:r>
      <w:r w:rsidR="002939E4">
        <w:t>that</w:t>
      </w:r>
      <w:r w:rsidRPr="005D023B" w:rsidR="00FC7FE1">
        <w:t xml:space="preserve"> </w:t>
      </w:r>
      <w:r w:rsidR="002939E4">
        <w:t xml:space="preserve">statement is </w:t>
      </w:r>
      <w:r w:rsidR="00776B69">
        <w:t>in</w:t>
      </w:r>
      <w:r w:rsidR="00E125D8">
        <w:t xml:space="preserve"> itself </w:t>
      </w:r>
      <w:r w:rsidRPr="005D023B" w:rsidR="0069627A">
        <w:t>an</w:t>
      </w:r>
      <w:r w:rsidRPr="005D023B">
        <w:t xml:space="preserve"> insufficient basis for conclu</w:t>
      </w:r>
      <w:r w:rsidR="00286A29">
        <w:t>ding</w:t>
      </w:r>
      <w:r w:rsidRPr="005D023B">
        <w:t xml:space="preserve"> that the respondent State is liable for a racist killing.</w:t>
      </w:r>
    </w:p>
    <w:p w:rsidR="00B147F8"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154</w:t>
      </w:r>
      <w:r w:rsidRPr="005D023B">
        <w:fldChar w:fldCharType="end"/>
      </w:r>
      <w:r w:rsidRPr="005D023B">
        <w:t>.  </w:t>
      </w:r>
      <w:r w:rsidR="002939E4">
        <w:t>Lastly, the applicants relied</w:t>
      </w:r>
      <w:r w:rsidR="00776B69">
        <w:t xml:space="preserve"> on information concerning</w:t>
      </w:r>
      <w:r w:rsidRPr="005D023B">
        <w:t xml:space="preserve"> numerous incidents involving the use of forc</w:t>
      </w:r>
      <w:r w:rsidR="002939E4">
        <w:t>e against Roma by Bulgaria</w:t>
      </w:r>
      <w:r w:rsidR="00237947">
        <w:t xml:space="preserve">n law </w:t>
      </w:r>
      <w:r w:rsidRPr="005D023B">
        <w:t xml:space="preserve">enforcement officers </w:t>
      </w:r>
      <w:r w:rsidR="00A635A1">
        <w:t>that</w:t>
      </w:r>
      <w:r w:rsidRPr="005D023B" w:rsidR="00A635A1">
        <w:t xml:space="preserve"> </w:t>
      </w:r>
      <w:r w:rsidR="00A635A1">
        <w:t>had</w:t>
      </w:r>
      <w:r w:rsidRPr="005D023B" w:rsidR="00A635A1">
        <w:t xml:space="preserve"> </w:t>
      </w:r>
      <w:r w:rsidRPr="005D023B" w:rsidR="0069627A">
        <w:t>not result</w:t>
      </w:r>
      <w:r w:rsidR="00A635A1">
        <w:t>ed</w:t>
      </w:r>
      <w:r w:rsidRPr="005D023B" w:rsidR="0069627A">
        <w:t xml:space="preserve"> in the conviction of those responsible</w:t>
      </w:r>
      <w:r w:rsidRPr="005D023B">
        <w:t>.</w:t>
      </w:r>
    </w:p>
    <w:p w:rsidRPr="005D023B" w:rsidR="0069627A"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155</w:t>
      </w:r>
      <w:r w:rsidRPr="005D023B">
        <w:fldChar w:fldCharType="end"/>
      </w:r>
      <w:r w:rsidRPr="005D023B">
        <w:t>.  </w:t>
      </w:r>
      <w:r w:rsidR="002939E4">
        <w:t>It is true</w:t>
      </w:r>
      <w:r w:rsidRPr="005D023B">
        <w:t xml:space="preserve"> that a number of</w:t>
      </w:r>
      <w:r w:rsidR="009339F3">
        <w:t xml:space="preserve"> organisations, including inter</w:t>
      </w:r>
      <w:r w:rsidRPr="005D023B">
        <w:t>governmental bodi</w:t>
      </w:r>
      <w:r w:rsidR="00776B69">
        <w:t>es, have expressed concern regarding</w:t>
      </w:r>
      <w:r w:rsidRPr="005D023B">
        <w:t xml:space="preserve"> </w:t>
      </w:r>
      <w:r w:rsidRPr="005D023B" w:rsidR="0069627A">
        <w:t xml:space="preserve">the occurrence of </w:t>
      </w:r>
      <w:r w:rsidRPr="005D023B">
        <w:t xml:space="preserve">such incidents (see paragraphs </w:t>
      </w:r>
      <w:r w:rsidR="00120A89">
        <w:t>55-59</w:t>
      </w:r>
      <w:r w:rsidRPr="005D023B">
        <w:t xml:space="preserve"> above). </w:t>
      </w:r>
      <w:r w:rsidR="002939E4">
        <w:t>However, the Court cannot lose sight of the fact that its sole concern is to ascertain whether in the case at hand the killing of Mr Angelov and Mr Petkov was motivated by racism.</w:t>
      </w:r>
    </w:p>
    <w:p w:rsidR="00B147F8"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156</w:t>
      </w:r>
      <w:r w:rsidRPr="005D023B">
        <w:fldChar w:fldCharType="end"/>
      </w:r>
      <w:r w:rsidRPr="005D023B">
        <w:t>.  </w:t>
      </w:r>
      <w:r w:rsidRPr="005D023B" w:rsidR="001C0E36">
        <w:t>In its judgment</w:t>
      </w:r>
      <w:r w:rsidR="00776B69">
        <w:t>,</w:t>
      </w:r>
      <w:r w:rsidRPr="005D023B" w:rsidR="001C0E36">
        <w:t xml:space="preserve"> the Chamber decided to shift the bu</w:t>
      </w:r>
      <w:r w:rsidR="00776B69">
        <w:t xml:space="preserve">rden of proof to the </w:t>
      </w:r>
      <w:r w:rsidRPr="005D023B" w:rsidR="001C0E36">
        <w:t xml:space="preserve">Government </w:t>
      </w:r>
      <w:r w:rsidR="00CE6696">
        <w:t xml:space="preserve">on account of </w:t>
      </w:r>
      <w:r w:rsidR="007B2CD2">
        <w:t>the</w:t>
      </w:r>
      <w:r w:rsidR="00CE6696">
        <w:t xml:space="preserve"> </w:t>
      </w:r>
      <w:r w:rsidR="003108DF">
        <w:t>authorities</w:t>
      </w:r>
      <w:r w:rsidR="00F2618C">
        <w:t>'</w:t>
      </w:r>
      <w:r w:rsidR="003108DF">
        <w:t xml:space="preserve"> </w:t>
      </w:r>
      <w:r w:rsidR="00CE6696">
        <w:t>failure to carry out an effective investigation into the alleged racist motive for the killing</w:t>
      </w:r>
      <w:r w:rsidR="007B2CD2">
        <w:t xml:space="preserve">. The inability of the Government to </w:t>
      </w:r>
      <w:r w:rsidR="005402BA">
        <w:t>satisfy the Chamber that the events complained of were not shaped by</w:t>
      </w:r>
      <w:r w:rsidR="00A12D10">
        <w:t xml:space="preserve"> racism</w:t>
      </w:r>
      <w:r w:rsidR="005402BA">
        <w:t xml:space="preserve"> resulted in it</w:t>
      </w:r>
      <w:r w:rsidR="003108DF">
        <w:t>s</w:t>
      </w:r>
      <w:r w:rsidR="005402BA">
        <w:t xml:space="preserve"> finding </w:t>
      </w:r>
      <w:r w:rsidR="00F9597B">
        <w:t xml:space="preserve">a </w:t>
      </w:r>
      <w:r w:rsidRPr="005D023B" w:rsidR="001C0E36">
        <w:t xml:space="preserve">substantive violation of Article 14 of the Convention taken </w:t>
      </w:r>
      <w:r w:rsidR="00776B69">
        <w:t>in conjunction</w:t>
      </w:r>
      <w:r w:rsidRPr="005D023B" w:rsidR="001C0E36">
        <w:t xml:space="preserve"> with Article 2.</w:t>
      </w:r>
    </w:p>
    <w:p w:rsidR="00B147F8" w:rsidP="005327F5" w:rsidRDefault="0050436F">
      <w:pPr>
        <w:pStyle w:val="JuPara"/>
      </w:pPr>
      <w:r>
        <w:fldChar w:fldCharType="begin"/>
      </w:r>
      <w:r>
        <w:instrText xml:space="preserve"> SEQ level0 \*arabic </w:instrText>
      </w:r>
      <w:r>
        <w:fldChar w:fldCharType="separate"/>
      </w:r>
      <w:r w:rsidR="00D57953">
        <w:rPr>
          <w:noProof/>
        </w:rPr>
        <w:t>157</w:t>
      </w:r>
      <w:r>
        <w:fldChar w:fldCharType="end"/>
      </w:r>
      <w:r>
        <w:t>.  </w:t>
      </w:r>
      <w:r w:rsidRPr="005D023B" w:rsidR="001C0E36">
        <w:t xml:space="preserve">The Grand Chamber </w:t>
      </w:r>
      <w:r w:rsidR="003108DF">
        <w:t xml:space="preserve">reiterates </w:t>
      </w:r>
      <w:r w:rsidR="00D07D4F">
        <w:t xml:space="preserve">that in certain circumstances, where the events lie wholly, or in large part, within the exclusive knowledge of the authorities, as in the case of </w:t>
      </w:r>
      <w:r w:rsidR="00776B69">
        <w:t xml:space="preserve">the </w:t>
      </w:r>
      <w:r w:rsidR="002F03D5">
        <w:t xml:space="preserve">death of a </w:t>
      </w:r>
      <w:r w:rsidR="00D07D4F">
        <w:t>person within their control in custody, the burden of proof may be regarded as resting on the authorities to provide a satisfactory and convincing explanation</w:t>
      </w:r>
      <w:r w:rsidR="002F03D5">
        <w:t xml:space="preserve"> of, in particular, the causes of the detained person</w:t>
      </w:r>
      <w:r w:rsidR="00F2618C">
        <w:t>'</w:t>
      </w:r>
      <w:r w:rsidR="002F03D5">
        <w:t>s death</w:t>
      </w:r>
      <w:r w:rsidR="00D07D4F">
        <w:t xml:space="preserve"> (see </w:t>
      </w:r>
      <w:r w:rsidRPr="00D07D4F" w:rsidR="00D07D4F">
        <w:rPr>
          <w:i/>
        </w:rPr>
        <w:t>Salman v. Turkey</w:t>
      </w:r>
      <w:r w:rsidR="00D07D4F">
        <w:t xml:space="preserve"> [GC]</w:t>
      </w:r>
      <w:r w:rsidR="00BB7AEA">
        <w:t>, n</w:t>
      </w:r>
      <w:r w:rsidR="00D07D4F">
        <w:t>o.</w:t>
      </w:r>
      <w:r w:rsidR="00BB7AEA">
        <w:t> </w:t>
      </w:r>
      <w:r w:rsidR="00622307">
        <w:t>21986/93, § 100, ECHR 2000-</w:t>
      </w:r>
      <w:r w:rsidR="00D07D4F">
        <w:t xml:space="preserve">VII). The Grand Chamber </w:t>
      </w:r>
      <w:r w:rsidRPr="005D023B" w:rsidR="005327F5">
        <w:t xml:space="preserve">cannot exclude the possibility that in certain cases of alleged discrimination it may require the respondent Government to disprove an arguable allegation of discrimination and – if they fail to do so – find a violation of Article 14 of the Convention on that basis. However, where it is alleged – as here – that a violent act was motivated by racial prejudice, such an approach would amount to requiring the respondent Government to prove the absence of a particular subjective attitude on the part of the person concerned. While in the legal systems of many countries proof of the discriminatory effect of a policy or decision will dispense with the need to prove intent in respect of alleged discrimination in employment or the provision of services, </w:t>
      </w:r>
      <w:r w:rsidRPr="005D023B" w:rsidR="0069627A">
        <w:t xml:space="preserve">that approach </w:t>
      </w:r>
      <w:r w:rsidRPr="005D023B" w:rsidR="005327F5">
        <w:t xml:space="preserve">is difficult </w:t>
      </w:r>
      <w:r w:rsidRPr="005D023B" w:rsidR="0069627A">
        <w:t>to transpose</w:t>
      </w:r>
      <w:r w:rsidRPr="005D023B" w:rsidR="005327F5">
        <w:t xml:space="preserve"> to </w:t>
      </w:r>
      <w:r w:rsidR="005B6399">
        <w:t xml:space="preserve">a </w:t>
      </w:r>
      <w:r w:rsidRPr="005D023B" w:rsidR="005327F5">
        <w:t>case</w:t>
      </w:r>
      <w:r w:rsidR="005B6399">
        <w:t xml:space="preserve"> where it is alleged that an act of violence was racially motivated</w:t>
      </w:r>
      <w:r w:rsidRPr="005D023B" w:rsidR="005327F5">
        <w:t>.</w:t>
      </w:r>
      <w:r w:rsidR="002F704A">
        <w:t xml:space="preserve"> </w:t>
      </w:r>
      <w:r>
        <w:t>T</w:t>
      </w:r>
      <w:r w:rsidR="002F704A">
        <w:t>he Grand Chamber, departing from the Chamber</w:t>
      </w:r>
      <w:r w:rsidR="00F2618C">
        <w:t>'</w:t>
      </w:r>
      <w:r w:rsidR="002F704A">
        <w:t xml:space="preserve">s approach, does not consider that the alleged failure of the authorities to carry out an effective investigation into the </w:t>
      </w:r>
      <w:r w:rsidR="00CF1C73">
        <w:t>supposedly</w:t>
      </w:r>
      <w:r w:rsidR="002F704A">
        <w:t xml:space="preserve"> racist motive for the killing should shift the </w:t>
      </w:r>
      <w:r w:rsidR="00776B69">
        <w:t>burden of proof to the</w:t>
      </w:r>
      <w:r w:rsidR="002F704A">
        <w:t xml:space="preserve"> Government</w:t>
      </w:r>
      <w:r w:rsidR="00E125D8">
        <w:t xml:space="preserve"> with regard to the alleged violation of Article 14 </w:t>
      </w:r>
      <w:r w:rsidR="00776B69">
        <w:t xml:space="preserve">of the Convention taken </w:t>
      </w:r>
      <w:r w:rsidR="00E125D8">
        <w:t>in conjunction with the substantive aspect of Article 2</w:t>
      </w:r>
      <w:r w:rsidR="002F704A">
        <w:t xml:space="preserve">. </w:t>
      </w:r>
      <w:r>
        <w:t xml:space="preserve">The question of </w:t>
      </w:r>
      <w:r w:rsidR="00301FF2">
        <w:t>the authorities</w:t>
      </w:r>
      <w:r w:rsidR="00F2618C">
        <w:t>'</w:t>
      </w:r>
      <w:r w:rsidR="00301FF2">
        <w:t xml:space="preserve"> </w:t>
      </w:r>
      <w:r>
        <w:t>compliance with th</w:t>
      </w:r>
      <w:r w:rsidR="00301FF2">
        <w:t>eir</w:t>
      </w:r>
      <w:r>
        <w:t xml:space="preserve"> procedural obligation is a separate issue, to which the Court will revert below.</w:t>
      </w:r>
    </w:p>
    <w:p w:rsidR="00B147F8"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158</w:t>
      </w:r>
      <w:r w:rsidRPr="005D023B">
        <w:fldChar w:fldCharType="end"/>
      </w:r>
      <w:r w:rsidRPr="005D023B">
        <w:t xml:space="preserve">.  In sum, </w:t>
      </w:r>
      <w:r w:rsidR="00DE1B57">
        <w:t xml:space="preserve">having </w:t>
      </w:r>
      <w:r w:rsidRPr="005D023B">
        <w:t>assess</w:t>
      </w:r>
      <w:r w:rsidR="00DE1B57">
        <w:t>ed</w:t>
      </w:r>
      <w:r w:rsidRPr="005D023B">
        <w:t xml:space="preserve"> all </w:t>
      </w:r>
      <w:r w:rsidR="00776B69">
        <w:t xml:space="preserve">the </w:t>
      </w:r>
      <w:r w:rsidRPr="005D023B">
        <w:t xml:space="preserve">relevant elements, </w:t>
      </w:r>
      <w:r w:rsidR="00DE1B57">
        <w:t>the Court</w:t>
      </w:r>
      <w:r w:rsidR="00A23579">
        <w:t xml:space="preserve"> does not consider</w:t>
      </w:r>
      <w:r w:rsidR="00DE1B57">
        <w:t xml:space="preserve"> that it has been </w:t>
      </w:r>
      <w:r w:rsidR="002939E4">
        <w:t>established</w:t>
      </w:r>
      <w:r w:rsidRPr="005D023B">
        <w:t xml:space="preserve"> that </w:t>
      </w:r>
      <w:r w:rsidR="005B6399">
        <w:t xml:space="preserve">racist attitudes played a role in </w:t>
      </w:r>
      <w:r w:rsidR="00C602A2">
        <w:t>Mr </w:t>
      </w:r>
      <w:r w:rsidR="00DE1B57">
        <w:t>Angelov</w:t>
      </w:r>
      <w:r w:rsidR="00F2618C">
        <w:t>'</w:t>
      </w:r>
      <w:r w:rsidR="00DE1B57">
        <w:t>s and Mr Petkov</w:t>
      </w:r>
      <w:r w:rsidR="00F2618C">
        <w:t>'</w:t>
      </w:r>
      <w:r w:rsidR="00DE1B57">
        <w:t xml:space="preserve">s </w:t>
      </w:r>
      <w:r w:rsidR="0050436F">
        <w:t>deaths</w:t>
      </w:r>
      <w:r w:rsidR="005B6399">
        <w:t>.</w:t>
      </w:r>
    </w:p>
    <w:p w:rsidRPr="005D023B" w:rsidR="005327F5" w:rsidP="005327F5" w:rsidRDefault="005327F5">
      <w:pPr>
        <w:pStyle w:val="JuPara"/>
      </w:pPr>
      <w:r w:rsidRPr="005D023B">
        <w:fldChar w:fldCharType="begin"/>
      </w:r>
      <w:r w:rsidRPr="005D023B">
        <w:instrText xml:space="preserve"> SEQ level0 \*arabic </w:instrText>
      </w:r>
      <w:r w:rsidRPr="005D023B">
        <w:fldChar w:fldCharType="separate"/>
      </w:r>
      <w:r w:rsidR="00D57953">
        <w:rPr>
          <w:noProof/>
        </w:rPr>
        <w:t>159</w:t>
      </w:r>
      <w:r w:rsidRPr="005D023B">
        <w:fldChar w:fldCharType="end"/>
      </w:r>
      <w:r w:rsidRPr="005D023B">
        <w:t>.  </w:t>
      </w:r>
      <w:r w:rsidR="00DE1B57">
        <w:t>It</w:t>
      </w:r>
      <w:r w:rsidRPr="005D023B">
        <w:t xml:space="preserve"> thus finds that there has been no violation of Article 14</w:t>
      </w:r>
      <w:r w:rsidR="002939E4">
        <w:t xml:space="preserve"> of the Convention</w:t>
      </w:r>
      <w:r w:rsidRPr="005D023B" w:rsidR="0069627A">
        <w:t xml:space="preserve"> taken </w:t>
      </w:r>
      <w:r w:rsidR="00776B69">
        <w:t>in conjunction</w:t>
      </w:r>
      <w:r w:rsidRPr="005D023B" w:rsidR="0069627A">
        <w:t xml:space="preserve"> with Article 2</w:t>
      </w:r>
      <w:r w:rsidR="00E125D8">
        <w:t xml:space="preserve"> in its substantive aspect</w:t>
      </w:r>
      <w:r w:rsidRPr="005D023B">
        <w:t>.</w:t>
      </w:r>
    </w:p>
    <w:p w:rsidRPr="005D023B" w:rsidR="006A0A07" w:rsidP="006A0A07" w:rsidRDefault="00A12D10">
      <w:pPr>
        <w:pStyle w:val="JuH1"/>
      </w:pPr>
      <w:r>
        <w:t>2</w:t>
      </w:r>
      <w:r w:rsidR="0015294C">
        <w:t>.  </w:t>
      </w:r>
      <w:r w:rsidRPr="005D023B" w:rsidR="006A0A07">
        <w:t>Procedural aspect: whether the respondent State complied with its obligation to investigate possible racist motives</w:t>
      </w:r>
    </w:p>
    <w:p w:rsidRPr="005D023B" w:rsidR="005026C3" w:rsidP="005026C3" w:rsidRDefault="00973FF0">
      <w:pPr>
        <w:pStyle w:val="JuHa0"/>
      </w:pPr>
      <w:r>
        <w:t>(a)</w:t>
      </w:r>
      <w:r w:rsidR="0015294C">
        <w:t>  </w:t>
      </w:r>
      <w:r>
        <w:t>G</w:t>
      </w:r>
      <w:r w:rsidRPr="005D023B" w:rsidR="005026C3">
        <w:t>eneral principles</w:t>
      </w:r>
    </w:p>
    <w:p w:rsidRPr="005D023B" w:rsidR="00105BDB" w:rsidP="006A6BDB" w:rsidRDefault="000C3C63">
      <w:pPr>
        <w:pStyle w:val="JuPara"/>
      </w:pPr>
      <w:r>
        <w:fldChar w:fldCharType="begin"/>
      </w:r>
      <w:r>
        <w:instrText xml:space="preserve"> SEQ level0 \*arabic </w:instrText>
      </w:r>
      <w:r>
        <w:fldChar w:fldCharType="separate"/>
      </w:r>
      <w:r w:rsidR="00D57953">
        <w:rPr>
          <w:noProof/>
        </w:rPr>
        <w:t>160</w:t>
      </w:r>
      <w:r>
        <w:fldChar w:fldCharType="end"/>
      </w:r>
      <w:r>
        <w:t>. </w:t>
      </w:r>
      <w:r w:rsidR="009339F3">
        <w:t> </w:t>
      </w:r>
      <w:r w:rsidR="00AF45B5">
        <w:t>T</w:t>
      </w:r>
      <w:r w:rsidRPr="005D023B" w:rsidR="00105BDB">
        <w:t>he Grand Chamber endorses the Chamber</w:t>
      </w:r>
      <w:r w:rsidR="00F2618C">
        <w:t>'</w:t>
      </w:r>
      <w:r w:rsidRPr="005D023B" w:rsidR="00105BDB">
        <w:t xml:space="preserve">s </w:t>
      </w:r>
      <w:r w:rsidRPr="005D023B" w:rsidR="009C4CA6">
        <w:t xml:space="preserve">analysis in </w:t>
      </w:r>
      <w:r w:rsidRPr="005D023B" w:rsidR="00105BDB">
        <w:t>the present case</w:t>
      </w:r>
      <w:r w:rsidR="007B2CD2">
        <w:t xml:space="preserve"> of </w:t>
      </w:r>
      <w:r w:rsidR="008740F0">
        <w:t xml:space="preserve">the </w:t>
      </w:r>
      <w:r w:rsidRPr="005D023B" w:rsidR="00105BDB">
        <w:t>Contracting States</w:t>
      </w:r>
      <w:r w:rsidR="00F2618C">
        <w:t>'</w:t>
      </w:r>
      <w:r w:rsidRPr="005D023B" w:rsidR="00105BDB">
        <w:t xml:space="preserve"> procedural obligation to investigate possible racist motives </w:t>
      </w:r>
      <w:r w:rsidR="00973FF0">
        <w:t>for</w:t>
      </w:r>
      <w:r w:rsidRPr="005D023B" w:rsidR="00105BDB">
        <w:t xml:space="preserve"> act</w:t>
      </w:r>
      <w:r w:rsidR="008740F0">
        <w:t>s</w:t>
      </w:r>
      <w:r w:rsidRPr="005D023B" w:rsidR="00105BDB">
        <w:t xml:space="preserve"> of violence. The Chamber stated, in particular</w:t>
      </w:r>
      <w:r w:rsidR="00973FF0">
        <w:t xml:space="preserve"> (</w:t>
      </w:r>
      <w:r w:rsidR="00776B69">
        <w:t xml:space="preserve">see paragraphs </w:t>
      </w:r>
      <w:r w:rsidR="008740F0">
        <w:t>156</w:t>
      </w:r>
      <w:r w:rsidR="00776B69">
        <w:t>-</w:t>
      </w:r>
      <w:r w:rsidR="00120A89">
        <w:t>59</w:t>
      </w:r>
      <w:r w:rsidR="00776B69">
        <w:t xml:space="preserve"> of the Chamber judgment</w:t>
      </w:r>
      <w:r w:rsidR="00973FF0">
        <w:t>):</w:t>
      </w:r>
    </w:p>
    <w:p w:rsidR="00070378" w:rsidP="00105BDB" w:rsidRDefault="00105BDB">
      <w:pPr>
        <w:pStyle w:val="JuQuot"/>
      </w:pPr>
      <w:r w:rsidRPr="005D023B">
        <w:t>“</w:t>
      </w:r>
      <w:r w:rsidR="008740F0">
        <w:t xml:space="preserve">... </w:t>
      </w:r>
      <w:r w:rsidRPr="005D023B">
        <w:t>States have a general obligation under Article 2 of the Convention to conduct an effective investigation in</w:t>
      </w:r>
      <w:r w:rsidR="00874A0D">
        <w:t xml:space="preserve"> cases of deprivation of life</w:t>
      </w:r>
      <w:r w:rsidR="00070378">
        <w:t>.</w:t>
      </w:r>
    </w:p>
    <w:p w:rsidRPr="005D023B" w:rsidR="00105BDB" w:rsidP="00105BDB" w:rsidRDefault="00105BDB">
      <w:pPr>
        <w:pStyle w:val="JuQuot"/>
      </w:pPr>
      <w:r w:rsidRPr="005D023B">
        <w:t>That obligation must be discharged without discriminat</w:t>
      </w:r>
      <w:r w:rsidR="00B701B4">
        <w:t xml:space="preserve">ion, as required by Article </w:t>
      </w:r>
      <w:r w:rsidRPr="005D023B">
        <w:t>14 of the Convention</w:t>
      </w:r>
      <w:r w:rsidR="00776B69">
        <w:t xml:space="preserve"> </w:t>
      </w:r>
      <w:r w:rsidR="005E0639">
        <w:t>...</w:t>
      </w:r>
      <w:r w:rsidRPr="005D023B">
        <w:t xml:space="preserve"> </w:t>
      </w:r>
      <w:r w:rsidRPr="005D023B" w:rsidR="009C4CA6">
        <w:t>[W]</w:t>
      </w:r>
      <w:r w:rsidRPr="005D023B">
        <w:t>here there is suspicion that racial attitudes induced a violent act it is particularly important that the official investigation is pursued with vigour and impartiality, having regard to the need to reassert continuously society</w:t>
      </w:r>
      <w:r w:rsidR="00F2618C">
        <w:t>'</w:t>
      </w:r>
      <w:r w:rsidRPr="005D023B">
        <w:t>s condemnation of racism and ethnic hatred and to maintain the confidence of minorities in the ability of the authorities to protect them from the threat of racist violence. Compliance with the State</w:t>
      </w:r>
      <w:r w:rsidR="00F2618C">
        <w:t>'</w:t>
      </w:r>
      <w:r w:rsidRPr="005D023B">
        <w:t>s positive obligations under Article 2 of the Convention requires that the domestic legal system must demonstrate its capacity to enforce criminal law against those who unlawfully took the life of another, irrespective of the victim</w:t>
      </w:r>
      <w:r w:rsidR="00F2618C">
        <w:t>'</w:t>
      </w:r>
      <w:r w:rsidRPr="005D023B">
        <w:t xml:space="preserve">s racial or ethnic origin (see </w:t>
      </w:r>
      <w:r w:rsidRPr="005D023B">
        <w:rPr>
          <w:i/>
        </w:rPr>
        <w:t>Menson and Others v.</w:t>
      </w:r>
      <w:r w:rsidR="00B701B4">
        <w:rPr>
          <w:i/>
        </w:rPr>
        <w:t xml:space="preserve"> the </w:t>
      </w:r>
      <w:r w:rsidRPr="005D023B">
        <w:rPr>
          <w:i/>
        </w:rPr>
        <w:t>United Kingdom</w:t>
      </w:r>
      <w:r w:rsidR="002236B1">
        <w:t xml:space="preserve"> (dec.), no. </w:t>
      </w:r>
      <w:r w:rsidR="00622307">
        <w:t>47916/99, ECHR 2003-</w:t>
      </w:r>
      <w:r w:rsidRPr="005D023B">
        <w:t>V)</w:t>
      </w:r>
      <w:r w:rsidR="00776B69">
        <w:t>.</w:t>
      </w:r>
    </w:p>
    <w:p w:rsidRPr="005D023B" w:rsidR="00105BDB" w:rsidP="000C3C63" w:rsidRDefault="00070378">
      <w:pPr>
        <w:pStyle w:val="JuQuot"/>
      </w:pPr>
      <w:r>
        <w:t xml:space="preserve">... </w:t>
      </w:r>
      <w:r w:rsidRPr="005D023B" w:rsidR="009C4CA6">
        <w:t>[W]</w:t>
      </w:r>
      <w:r w:rsidRPr="005D023B" w:rsidR="00105BDB">
        <w:t xml:space="preserve">hen investigating violent incidents and, in particular, deaths at the hands of State agents, State authorities have the additional duty to take all reasonable steps to unmask any racist motive and to establish whether or not ethnic hatred or prejudice may have played a role in the events. Failing to do so and treating racially induced violence and brutality on an equal footing with cases that have no racist overtones would be to turn a blind eye to the specific nature of acts that are particularly destructive of fundamental rights. A failure to make a distinction in the way in which situations that are essentially different are handled may constitute unjustified treatment irreconcilable with Article 14 of the Convention (see, </w:t>
      </w:r>
      <w:r w:rsidRPr="005D023B" w:rsidR="00105BDB">
        <w:rPr>
          <w:i/>
        </w:rPr>
        <w:t>mutatis mutandis</w:t>
      </w:r>
      <w:r w:rsidRPr="005D023B" w:rsidR="00105BDB">
        <w:t xml:space="preserve">, </w:t>
      </w:r>
      <w:r w:rsidRPr="005D023B" w:rsidR="00105BDB">
        <w:rPr>
          <w:i/>
        </w:rPr>
        <w:t>Thlimmenos v. Greece</w:t>
      </w:r>
      <w:r w:rsidRPr="005D023B" w:rsidR="00105BDB">
        <w:t xml:space="preserve"> [GC], no. 34369/97, § 44, ECHR 2000</w:t>
      </w:r>
      <w:r w:rsidRPr="005D023B" w:rsidR="00105BDB">
        <w:noBreakHyphen/>
        <w:t>IV). In order to maintain public confidence in their law e</w:t>
      </w:r>
      <w:r w:rsidRPr="005D023B" w:rsidR="009C4CA6">
        <w:t>nforcement machinery, C</w:t>
      </w:r>
      <w:r w:rsidRPr="005D023B" w:rsidR="00105BDB">
        <w:t>ontracting States must ensure that in the investigation of incidents involving the use of force a distinction is made both in their legal systems and in practice between cases of excessive use of force and of racist killing.</w:t>
      </w:r>
    </w:p>
    <w:p w:rsidR="000C3C63" w:rsidP="000C3C63" w:rsidRDefault="000C3C63">
      <w:pPr>
        <w:pStyle w:val="JuQuot"/>
      </w:pPr>
      <w:r w:rsidRPr="005D023B">
        <w:t>Admittedly, proving racial motivation will often be extremely difficult in practice. The respondent State</w:t>
      </w:r>
      <w:r w:rsidR="00F2618C">
        <w:t>'</w:t>
      </w:r>
      <w:r w:rsidRPr="005D023B">
        <w:t xml:space="preserve">s obligation to investigate possible racist overtones to a violent act is an obligation to use best endeavours and not absolute (see, </w:t>
      </w:r>
      <w:r w:rsidRPr="005D023B">
        <w:rPr>
          <w:i/>
        </w:rPr>
        <w:t>mutatis mutandis</w:t>
      </w:r>
      <w:r w:rsidRPr="005D023B">
        <w:t xml:space="preserve">, </w:t>
      </w:r>
      <w:r w:rsidRPr="005D023B">
        <w:rPr>
          <w:i/>
        </w:rPr>
        <w:t>Shanaghan v. the United Kingdom,</w:t>
      </w:r>
      <w:r w:rsidRPr="005D023B">
        <w:t xml:space="preserve"> no. 37715/97, § 90, ECHR 2001</w:t>
      </w:r>
      <w:r w:rsidRPr="005D023B">
        <w:noBreakHyphen/>
        <w:t>III, setting out the same standard with regard to the general obligation to investigate). The authorities must do what is reasonable in the circumstances to collect and secure the evidence, explore all practical means of discovering the truth and deliver fully reasoned, impartial and objective decisions, without omitting suspicious facts that may be indicative of a racially induced violence</w:t>
      </w:r>
      <w:r>
        <w:t>.”</w:t>
      </w:r>
    </w:p>
    <w:p w:rsidRPr="005D023B" w:rsidR="009C4CA6" w:rsidP="009C4CA6" w:rsidRDefault="000C3C63">
      <w:pPr>
        <w:pStyle w:val="JuPara"/>
      </w:pPr>
      <w:r>
        <w:fldChar w:fldCharType="begin"/>
      </w:r>
      <w:r>
        <w:instrText xml:space="preserve"> SEQ level0 \*arabic </w:instrText>
      </w:r>
      <w:r>
        <w:fldChar w:fldCharType="separate"/>
      </w:r>
      <w:r w:rsidR="00D57953">
        <w:rPr>
          <w:noProof/>
        </w:rPr>
        <w:t>161</w:t>
      </w:r>
      <w:r>
        <w:fldChar w:fldCharType="end"/>
      </w:r>
      <w:r>
        <w:t>.  </w:t>
      </w:r>
      <w:r w:rsidRPr="005D023B" w:rsidR="009C4CA6">
        <w:t>The Grand Chamber would add that the</w:t>
      </w:r>
      <w:r w:rsidR="00C86749">
        <w:t xml:space="preserve"> authorities</w:t>
      </w:r>
      <w:r w:rsidR="00F2618C">
        <w:t>'</w:t>
      </w:r>
      <w:r w:rsidRPr="005D023B" w:rsidR="009C4CA6">
        <w:t xml:space="preserve"> duty to investigate</w:t>
      </w:r>
      <w:r w:rsidR="004A589A">
        <w:t xml:space="preserve"> the existence of a possible link between racist attitudes and</w:t>
      </w:r>
      <w:r w:rsidRPr="005D023B" w:rsidR="009C4CA6">
        <w:t xml:space="preserve"> an act of violence </w:t>
      </w:r>
      <w:r w:rsidRPr="005D023B" w:rsidR="004A0B2A">
        <w:t xml:space="preserve">is an aspect of their </w:t>
      </w:r>
      <w:r w:rsidR="00D13DCA">
        <w:t>procedural</w:t>
      </w:r>
      <w:r w:rsidRPr="005D023B" w:rsidR="004A0B2A">
        <w:t xml:space="preserve"> obligation</w:t>
      </w:r>
      <w:r w:rsidR="00D13DCA">
        <w:t>s arising</w:t>
      </w:r>
      <w:r w:rsidRPr="00D13DCA" w:rsidR="00D13DCA">
        <w:t xml:space="preserve"> </w:t>
      </w:r>
      <w:r w:rsidRPr="005D023B" w:rsidR="00D13DCA">
        <w:t xml:space="preserve">under Article 2 </w:t>
      </w:r>
      <w:r w:rsidR="00D13DCA">
        <w:t>of the Convention</w:t>
      </w:r>
      <w:r w:rsidR="00070378">
        <w:t>,</w:t>
      </w:r>
      <w:r w:rsidRPr="005D023B" w:rsidR="004A0B2A">
        <w:t xml:space="preserve"> but may also be seen as</w:t>
      </w:r>
      <w:r w:rsidRPr="005D023B" w:rsidR="009C4CA6">
        <w:t xml:space="preserve"> implicit in the</w:t>
      </w:r>
      <w:r w:rsidR="00C86749">
        <w:t>ir</w:t>
      </w:r>
      <w:r w:rsidRPr="005D023B" w:rsidR="009C4CA6">
        <w:t xml:space="preserve"> </w:t>
      </w:r>
      <w:r w:rsidR="00D13DCA">
        <w:t>responsibilities</w:t>
      </w:r>
      <w:r w:rsidRPr="005D023B" w:rsidR="009C4CA6">
        <w:t xml:space="preserve"> under Article 14</w:t>
      </w:r>
      <w:r w:rsidR="00D13DCA">
        <w:t xml:space="preserve"> of the Convention</w:t>
      </w:r>
      <w:r w:rsidRPr="005D023B" w:rsidR="00651D76">
        <w:t xml:space="preserve"> </w:t>
      </w:r>
      <w:r w:rsidR="00CE254A">
        <w:t xml:space="preserve">taken </w:t>
      </w:r>
      <w:r w:rsidRPr="005D023B" w:rsidR="00651D76">
        <w:t>in conjunction with Article 2</w:t>
      </w:r>
      <w:r w:rsidRPr="005D023B" w:rsidR="009C4CA6">
        <w:t xml:space="preserve"> to secure the enjoyment of the right to life without discrimination. Owing to the interplay of the two provisions, issues </w:t>
      </w:r>
      <w:r w:rsidR="00A22000">
        <w:t xml:space="preserve">such </w:t>
      </w:r>
      <w:r w:rsidRPr="005D023B" w:rsidR="009C4CA6">
        <w:t>as those in the present case may fall to be examined under one of the two provisions only, with no separate issue arising under the other, or may require examination under both Articles. This is a question to be decide</w:t>
      </w:r>
      <w:r w:rsidRPr="005D023B" w:rsidR="002365BC">
        <w:t>d</w:t>
      </w:r>
      <w:r w:rsidRPr="005D023B" w:rsidR="009C4CA6">
        <w:t xml:space="preserve"> in each case on its facts and depending on the nature of the allegations made.</w:t>
      </w:r>
    </w:p>
    <w:p w:rsidRPr="005D023B" w:rsidR="005026C3" w:rsidP="005026C3" w:rsidRDefault="00874A0D">
      <w:pPr>
        <w:pStyle w:val="JuHa0"/>
      </w:pPr>
      <w:r>
        <w:t>(b)  </w:t>
      </w:r>
      <w:r w:rsidR="007B2CD2">
        <w:t>A</w:t>
      </w:r>
      <w:r w:rsidRPr="005D023B" w:rsidR="005026C3">
        <w:t>pplication</w:t>
      </w:r>
      <w:r w:rsidR="00E125D8">
        <w:t xml:space="preserve"> of the</w:t>
      </w:r>
      <w:r w:rsidR="007B77D3">
        <w:t xml:space="preserve"> above </w:t>
      </w:r>
      <w:r w:rsidR="00E125D8">
        <w:t>principles</w:t>
      </w:r>
      <w:r w:rsidRPr="005D023B" w:rsidR="005026C3">
        <w:t xml:space="preserve"> in the present case</w:t>
      </w:r>
    </w:p>
    <w:p w:rsidRPr="005D023B" w:rsidR="00A550D4" w:rsidP="00A550D4" w:rsidRDefault="009C4CA6">
      <w:pPr>
        <w:pStyle w:val="JuPara"/>
      </w:pPr>
      <w:r w:rsidRPr="005D023B">
        <w:fldChar w:fldCharType="begin"/>
      </w:r>
      <w:r w:rsidRPr="005D023B">
        <w:instrText xml:space="preserve"> SEQ level0 \*arabic </w:instrText>
      </w:r>
      <w:r w:rsidRPr="005D023B">
        <w:fldChar w:fldCharType="separate"/>
      </w:r>
      <w:r w:rsidR="00D57953">
        <w:rPr>
          <w:noProof/>
        </w:rPr>
        <w:t>162</w:t>
      </w:r>
      <w:r w:rsidRPr="005D023B">
        <w:fldChar w:fldCharType="end"/>
      </w:r>
      <w:r w:rsidRPr="005D023B">
        <w:t>.  </w:t>
      </w:r>
      <w:r w:rsidRPr="005D023B" w:rsidR="00A550D4">
        <w:t>The Court</w:t>
      </w:r>
      <w:r w:rsidRPr="005D023B">
        <w:t xml:space="preserve"> has</w:t>
      </w:r>
      <w:r w:rsidRPr="005D023B" w:rsidR="00A550D4">
        <w:t xml:space="preserve"> already found that the Bulgarian authorities violated Article 2 of the Convention in that they failed to conduct a meaningful investigation into </w:t>
      </w:r>
      <w:r w:rsidR="009339F3">
        <w:t xml:space="preserve">the deaths of Mr Angelov and Mr </w:t>
      </w:r>
      <w:r w:rsidRPr="005D023B" w:rsidR="00A550D4">
        <w:t xml:space="preserve">Petkov (see paragraphs </w:t>
      </w:r>
      <w:r w:rsidR="00715D0A">
        <w:t>114-</w:t>
      </w:r>
      <w:r w:rsidR="00120A89">
        <w:t>19</w:t>
      </w:r>
      <w:r w:rsidR="000E0C76">
        <w:t xml:space="preserve"> above). </w:t>
      </w:r>
      <w:r w:rsidRPr="005D023B" w:rsidR="00E51488">
        <w:t>It considers that in the present case it</w:t>
      </w:r>
      <w:r w:rsidRPr="005D023B" w:rsidR="00A550D4">
        <w:t xml:space="preserve"> must examine separately the complaint that there was also a failure to investigate </w:t>
      </w:r>
      <w:r w:rsidR="004A589A">
        <w:t xml:space="preserve">a </w:t>
      </w:r>
      <w:r w:rsidRPr="005D023B" w:rsidR="00A550D4">
        <w:t>possible</w:t>
      </w:r>
      <w:r w:rsidR="004A589A">
        <w:t xml:space="preserve"> causal link between alleged</w:t>
      </w:r>
      <w:r w:rsidRPr="005D023B" w:rsidR="00A550D4">
        <w:t xml:space="preserve"> racist </w:t>
      </w:r>
      <w:r w:rsidR="004A589A">
        <w:t>attitudes and the killing of the two men.</w:t>
      </w:r>
    </w:p>
    <w:p w:rsidRPr="005D023B" w:rsidR="00C01519" w:rsidP="00F45615" w:rsidRDefault="00F45615">
      <w:pPr>
        <w:pStyle w:val="JuPara"/>
      </w:pPr>
      <w:r w:rsidRPr="005D023B">
        <w:fldChar w:fldCharType="begin"/>
      </w:r>
      <w:r w:rsidRPr="005D023B">
        <w:instrText xml:space="preserve"> SEQ level0 \*arabic </w:instrText>
      </w:r>
      <w:r w:rsidRPr="005D023B">
        <w:fldChar w:fldCharType="separate"/>
      </w:r>
      <w:r w:rsidR="00D57953">
        <w:rPr>
          <w:noProof/>
        </w:rPr>
        <w:t>163</w:t>
      </w:r>
      <w:r w:rsidRPr="005D023B">
        <w:fldChar w:fldCharType="end"/>
      </w:r>
      <w:r w:rsidRPr="005D023B">
        <w:t>. </w:t>
      </w:r>
      <w:r w:rsidR="00874A0D">
        <w:t> </w:t>
      </w:r>
      <w:r w:rsidRPr="005D023B">
        <w:t>The</w:t>
      </w:r>
      <w:r w:rsidRPr="005D023B" w:rsidR="00C01519">
        <w:t xml:space="preserve"> authorities</w:t>
      </w:r>
      <w:r w:rsidRPr="005D023B" w:rsidR="00D47037">
        <w:t xml:space="preserve"> investigating </w:t>
      </w:r>
      <w:r w:rsidR="00C602A2">
        <w:t>the deaths of Mr Angelov and Mr </w:t>
      </w:r>
      <w:r w:rsidRPr="005D023B" w:rsidR="00D47037">
        <w:t xml:space="preserve">Petkov </w:t>
      </w:r>
      <w:r w:rsidRPr="005D023B" w:rsidR="00C01519">
        <w:t xml:space="preserve">had before them the </w:t>
      </w:r>
      <w:r w:rsidRPr="005D023B" w:rsidR="00176B34">
        <w:t>statement</w:t>
      </w:r>
      <w:r w:rsidRPr="005D023B">
        <w:t xml:space="preserve"> </w:t>
      </w:r>
      <w:r w:rsidRPr="005D023B" w:rsidR="00176B34">
        <w:t>o</w:t>
      </w:r>
      <w:r w:rsidRPr="005D023B">
        <w:t xml:space="preserve">f Mr M.M., a neighbour of the victims, </w:t>
      </w:r>
      <w:r w:rsidRPr="005D023B" w:rsidR="00C01519">
        <w:t xml:space="preserve">who stated </w:t>
      </w:r>
      <w:r w:rsidRPr="005D023B">
        <w:t xml:space="preserve">that Major G. had shouted “You damn Gypsies” while pointing a gun at him </w:t>
      </w:r>
      <w:r w:rsidRPr="005D023B" w:rsidR="00D47037">
        <w:t>immediately</w:t>
      </w:r>
      <w:r w:rsidRPr="005D023B">
        <w:t xml:space="preserve"> after the shooting</w:t>
      </w:r>
      <w:r w:rsidR="00120A89">
        <w:t xml:space="preserve"> (see paragraph 35 above)</w:t>
      </w:r>
      <w:r w:rsidRPr="005D023B" w:rsidR="00C01519">
        <w:t>.</w:t>
      </w:r>
      <w:r w:rsidRPr="005D023B">
        <w:t xml:space="preserve"> That </w:t>
      </w:r>
      <w:r w:rsidRPr="005D023B" w:rsidR="00C01519">
        <w:t>statement,</w:t>
      </w:r>
      <w:r w:rsidRPr="005D023B">
        <w:t xml:space="preserve"> seen against the background of the </w:t>
      </w:r>
      <w:r w:rsidR="00CE254A">
        <w:t xml:space="preserve">many published accounts of the existence in </w:t>
      </w:r>
      <w:smartTag w:uri="urn:schemas-microsoft-com:office:smarttags" w:element="place">
        <w:smartTag w:uri="urn:schemas-microsoft-com:office:smarttags" w:element="country-region">
          <w:r w:rsidR="00CE254A">
            <w:t>Bulgaria</w:t>
          </w:r>
        </w:smartTag>
      </w:smartTag>
      <w:r w:rsidR="00CE254A">
        <w:t xml:space="preserve"> of</w:t>
      </w:r>
      <w:r w:rsidRPr="005D023B">
        <w:t xml:space="preserve"> prejudice and hostility against Roma</w:t>
      </w:r>
      <w:r w:rsidRPr="005D023B" w:rsidR="00C01519">
        <w:t>, called for verification.</w:t>
      </w:r>
    </w:p>
    <w:p w:rsidR="00B147F8" w:rsidP="00C01519" w:rsidRDefault="00C01519">
      <w:pPr>
        <w:pStyle w:val="JuPara"/>
      </w:pPr>
      <w:r w:rsidRPr="005D023B">
        <w:fldChar w:fldCharType="begin"/>
      </w:r>
      <w:r w:rsidRPr="005D023B">
        <w:instrText xml:space="preserve"> SEQ level0 \*arabic </w:instrText>
      </w:r>
      <w:r w:rsidRPr="005D023B">
        <w:fldChar w:fldCharType="separate"/>
      </w:r>
      <w:r w:rsidR="00D57953">
        <w:rPr>
          <w:noProof/>
        </w:rPr>
        <w:t>164</w:t>
      </w:r>
      <w:r w:rsidRPr="005D023B">
        <w:fldChar w:fldCharType="end"/>
      </w:r>
      <w:r w:rsidRPr="005D023B">
        <w:t>.  </w:t>
      </w:r>
      <w:r w:rsidRPr="005D023B" w:rsidR="00D47037">
        <w:t>T</w:t>
      </w:r>
      <w:r w:rsidRPr="005D023B">
        <w:t xml:space="preserve">he </w:t>
      </w:r>
      <w:r w:rsidRPr="005D023B" w:rsidR="00D47037">
        <w:t>Grand Chamber</w:t>
      </w:r>
      <w:r w:rsidRPr="005D023B">
        <w:t xml:space="preserve"> considers </w:t>
      </w:r>
      <w:r w:rsidRPr="005D023B" w:rsidR="00D47037">
        <w:t xml:space="preserve">– as the Chamber did – </w:t>
      </w:r>
      <w:r w:rsidRPr="005D023B">
        <w:t xml:space="preserve">that any evidence of racist verbal abuse </w:t>
      </w:r>
      <w:r w:rsidRPr="005D023B" w:rsidR="00D47037">
        <w:t xml:space="preserve">being uttered </w:t>
      </w:r>
      <w:r w:rsidR="00715D0A">
        <w:t>by law</w:t>
      </w:r>
      <w:r w:rsidR="007B77D3">
        <w:t xml:space="preserve"> </w:t>
      </w:r>
      <w:r w:rsidRPr="005D023B">
        <w:t xml:space="preserve">enforcement agents </w:t>
      </w:r>
      <w:r w:rsidR="004A589A">
        <w:t xml:space="preserve">in connection with </w:t>
      </w:r>
      <w:r w:rsidRPr="005D023B">
        <w:t>an operation involving the use of force against persons from an ethnic or other minority is highly relevant to the question whether or not unlawful, hatred-induced violence has taken place. Where such evidence comes to light in the investigation, it must be verified and – if confirmed –</w:t>
      </w:r>
      <w:r w:rsidR="00874A0D">
        <w:t xml:space="preserve"> </w:t>
      </w:r>
      <w:r w:rsidRPr="005D023B">
        <w:t xml:space="preserve">a thorough examination of all the facts </w:t>
      </w:r>
      <w:r w:rsidR="00CE254A">
        <w:t xml:space="preserve">should be undertaken </w:t>
      </w:r>
      <w:r w:rsidRPr="005D023B">
        <w:t>in order to uncover any possible racist motives.</w:t>
      </w:r>
    </w:p>
    <w:p w:rsidRPr="005D023B" w:rsidR="00D47037" w:rsidP="00C01519" w:rsidRDefault="00D47037">
      <w:pPr>
        <w:pStyle w:val="JuPara"/>
      </w:pPr>
      <w:r w:rsidRPr="005D023B">
        <w:fldChar w:fldCharType="begin"/>
      </w:r>
      <w:r w:rsidRPr="005D023B">
        <w:instrText xml:space="preserve"> SEQ level0 \*arabic </w:instrText>
      </w:r>
      <w:r w:rsidRPr="005D023B">
        <w:fldChar w:fldCharType="separate"/>
      </w:r>
      <w:r w:rsidR="00D57953">
        <w:rPr>
          <w:noProof/>
        </w:rPr>
        <w:t>165</w:t>
      </w:r>
      <w:r w:rsidRPr="005D023B">
        <w:fldChar w:fldCharType="end"/>
      </w:r>
      <w:r w:rsidRPr="005D023B">
        <w:t>.  Furthermore, the fact that Major G. used grossly excessive force against two unarmed and non-violent men also called for a careful investigation.</w:t>
      </w:r>
    </w:p>
    <w:p w:rsidR="00B147F8" w:rsidP="00BC7F1B" w:rsidRDefault="001A7F37">
      <w:pPr>
        <w:pStyle w:val="JuPara"/>
      </w:pPr>
      <w:r w:rsidRPr="005D023B">
        <w:fldChar w:fldCharType="begin"/>
      </w:r>
      <w:r w:rsidRPr="005D023B">
        <w:instrText xml:space="preserve"> SEQ level0 \*arabic </w:instrText>
      </w:r>
      <w:r w:rsidRPr="005D023B">
        <w:fldChar w:fldCharType="separate"/>
      </w:r>
      <w:r w:rsidR="00D57953">
        <w:rPr>
          <w:noProof/>
        </w:rPr>
        <w:t>166</w:t>
      </w:r>
      <w:r w:rsidRPr="005D023B">
        <w:fldChar w:fldCharType="end"/>
      </w:r>
      <w:r w:rsidRPr="005D023B">
        <w:t>.  </w:t>
      </w:r>
      <w:r w:rsidRPr="005D023B" w:rsidR="00D47037">
        <w:t>In sum, t</w:t>
      </w:r>
      <w:r w:rsidRPr="005D023B">
        <w:t xml:space="preserve">he investigator and the prosecutors involved in the present case had before them plausible information which was sufficient to </w:t>
      </w:r>
      <w:r w:rsidRPr="005D023B" w:rsidR="00D47037">
        <w:t xml:space="preserve">alert them </w:t>
      </w:r>
      <w:r w:rsidR="004A2CE9">
        <w:t>to the need to carry out an</w:t>
      </w:r>
      <w:r w:rsidRPr="005D023B" w:rsidR="00C01519">
        <w:t xml:space="preserve"> initial verification and, depending on </w:t>
      </w:r>
      <w:r w:rsidR="004A2CE9">
        <w:t>the</w:t>
      </w:r>
      <w:r w:rsidRPr="005D023B" w:rsidR="00C01519">
        <w:t xml:space="preserve"> outcome, an</w:t>
      </w:r>
      <w:r w:rsidRPr="005D023B">
        <w:t xml:space="preserve"> investigation into possible racist overtones in the events that led to the death of the two men.</w:t>
      </w:r>
    </w:p>
    <w:p w:rsidRPr="005D023B" w:rsidR="000D6314" w:rsidP="00A550D4" w:rsidRDefault="00D47037">
      <w:pPr>
        <w:pStyle w:val="JuPara"/>
      </w:pPr>
      <w:r w:rsidRPr="005D023B">
        <w:fldChar w:fldCharType="begin"/>
      </w:r>
      <w:r w:rsidRPr="005D023B">
        <w:instrText xml:space="preserve"> SEQ level0 \*arabic </w:instrText>
      </w:r>
      <w:r w:rsidRPr="005D023B">
        <w:fldChar w:fldCharType="separate"/>
      </w:r>
      <w:r w:rsidR="00D57953">
        <w:rPr>
          <w:noProof/>
        </w:rPr>
        <w:t>167</w:t>
      </w:r>
      <w:r w:rsidRPr="005D023B">
        <w:fldChar w:fldCharType="end"/>
      </w:r>
      <w:r w:rsidRPr="005D023B">
        <w:t>.  However, the authorities did nothing to verify Mr M.M.</w:t>
      </w:r>
      <w:r w:rsidR="00F2618C">
        <w:t>'</w:t>
      </w:r>
      <w:r w:rsidRPr="005D023B">
        <w:t>s statement</w:t>
      </w:r>
      <w:r w:rsidR="004A2CE9">
        <w:t xml:space="preserve">. They omitted to </w:t>
      </w:r>
      <w:r w:rsidRPr="005D023B">
        <w:t>question</w:t>
      </w:r>
      <w:r w:rsidR="004A2CE9">
        <w:t xml:space="preserve"> </w:t>
      </w:r>
      <w:r w:rsidRPr="005D023B">
        <w:t xml:space="preserve">witnesses </w:t>
      </w:r>
      <w:r w:rsidR="006C11AD">
        <w:t>about it</w:t>
      </w:r>
      <w:r w:rsidRPr="005D023B">
        <w:t>.</w:t>
      </w:r>
      <w:r w:rsidR="009339F3">
        <w:t xml:space="preserve"> </w:t>
      </w:r>
      <w:r w:rsidRPr="005D023B" w:rsidR="001A7F37">
        <w:t xml:space="preserve">Major G. was not asked to explain </w:t>
      </w:r>
      <w:r w:rsidR="00070378">
        <w:t xml:space="preserve">why he had considered it necessary to </w:t>
      </w:r>
      <w:r w:rsidRPr="005D023B" w:rsidR="001A7F37">
        <w:t xml:space="preserve">use </w:t>
      </w:r>
      <w:r w:rsidR="00A23579">
        <w:t>such a degree of force</w:t>
      </w:r>
      <w:r w:rsidRPr="005D023B" w:rsidR="001A7F37">
        <w:t xml:space="preserve">. </w:t>
      </w:r>
      <w:r w:rsidRPr="005D023B" w:rsidR="006C11AD">
        <w:t>No attempt was made to verify Major G.</w:t>
      </w:r>
      <w:r w:rsidR="00F2618C">
        <w:t>'</w:t>
      </w:r>
      <w:r w:rsidRPr="005D023B" w:rsidR="006C11AD">
        <w:t xml:space="preserve">s record and to ascertain, for example, whether he had </w:t>
      </w:r>
      <w:r w:rsidRPr="005D023B" w:rsidR="00BA6DD9">
        <w:t xml:space="preserve">previously </w:t>
      </w:r>
      <w:r w:rsidRPr="005D023B" w:rsidR="006C11AD">
        <w:t xml:space="preserve">been involved in similar incidents or whether he had ever been accused in the past of displaying anti-Roma </w:t>
      </w:r>
      <w:r w:rsidR="00D20BCC">
        <w:t>sentiment</w:t>
      </w:r>
      <w:r w:rsidRPr="005D023B" w:rsidR="006C11AD">
        <w:t>.</w:t>
      </w:r>
      <w:r w:rsidR="006C11AD">
        <w:t xml:space="preserve"> </w:t>
      </w:r>
      <w:r w:rsidRPr="005D023B" w:rsidR="00C01519">
        <w:t>Th</w:t>
      </w:r>
      <w:r w:rsidR="004A2CE9">
        <w:t xml:space="preserve">ose failings were compounded by the </w:t>
      </w:r>
      <w:r w:rsidRPr="005D023B" w:rsidR="00C01519">
        <w:t xml:space="preserve">behaviour of the investigator and the prosecutors, who, as the Court </w:t>
      </w:r>
      <w:r w:rsidR="00070378">
        <w:t xml:space="preserve">has </w:t>
      </w:r>
      <w:r w:rsidRPr="005D023B" w:rsidR="00C01519">
        <w:t xml:space="preserve">found above, disregarded </w:t>
      </w:r>
      <w:r w:rsidR="00A12D10">
        <w:t>relevant</w:t>
      </w:r>
      <w:r w:rsidRPr="005D023B" w:rsidR="00C01519">
        <w:t xml:space="preserve"> facts and terminated the investigation, </w:t>
      </w:r>
      <w:r w:rsidR="00EC03BB">
        <w:t>thereby</w:t>
      </w:r>
      <w:r w:rsidRPr="005D023B" w:rsidR="00EC03BB">
        <w:t xml:space="preserve"> </w:t>
      </w:r>
      <w:r w:rsidRPr="005D023B" w:rsidR="00C01519">
        <w:t xml:space="preserve">shielding Major G. </w:t>
      </w:r>
      <w:r w:rsidR="00070378">
        <w:t>from</w:t>
      </w:r>
      <w:r w:rsidRPr="005D023B" w:rsidR="00070378">
        <w:t xml:space="preserve"> </w:t>
      </w:r>
      <w:r w:rsidRPr="005D023B" w:rsidR="00C01519">
        <w:t>prosecution</w:t>
      </w:r>
      <w:r w:rsidR="00D13DCA">
        <w:t xml:space="preserve"> (see paragraphs</w:t>
      </w:r>
      <w:r w:rsidR="00A12D10">
        <w:t xml:space="preserve"> </w:t>
      </w:r>
      <w:r w:rsidR="00715D0A">
        <w:t>36-54 and 115-</w:t>
      </w:r>
      <w:r w:rsidR="00120A89">
        <w:t>17</w:t>
      </w:r>
      <w:r w:rsidR="004A2CE9">
        <w:t xml:space="preserve"> </w:t>
      </w:r>
      <w:r w:rsidR="00D13DCA">
        <w:t>above)</w:t>
      </w:r>
      <w:r w:rsidRPr="005D023B" w:rsidR="00C01519">
        <w:t>.</w:t>
      </w:r>
    </w:p>
    <w:p w:rsidRPr="005D023B" w:rsidR="000D6314" w:rsidP="00462EEC" w:rsidRDefault="00C86749">
      <w:pPr>
        <w:pStyle w:val="JuPara"/>
      </w:pPr>
      <w:r>
        <w:fldChar w:fldCharType="begin"/>
      </w:r>
      <w:r>
        <w:instrText xml:space="preserve"> SEQ level0 \*arabic </w:instrText>
      </w:r>
      <w:r>
        <w:fldChar w:fldCharType="separate"/>
      </w:r>
      <w:r w:rsidR="00D57953">
        <w:rPr>
          <w:noProof/>
        </w:rPr>
        <w:t>168</w:t>
      </w:r>
      <w:r>
        <w:fldChar w:fldCharType="end"/>
      </w:r>
      <w:r>
        <w:t>.  </w:t>
      </w:r>
      <w:r w:rsidRPr="005D023B" w:rsidR="000D6314">
        <w:t>T</w:t>
      </w:r>
      <w:r w:rsidRPr="005D023B" w:rsidR="00BC7F1B">
        <w:t xml:space="preserve">he Court </w:t>
      </w:r>
      <w:r w:rsidRPr="005D023B" w:rsidR="000D6314">
        <w:t xml:space="preserve">thus </w:t>
      </w:r>
      <w:r w:rsidRPr="005D023B" w:rsidR="00BC7F1B">
        <w:t>finds that the authorities failed in their duty under Article 14 of the Convention</w:t>
      </w:r>
      <w:r w:rsidR="009339F3">
        <w:t xml:space="preserve"> taken </w:t>
      </w:r>
      <w:r w:rsidR="00715D0A">
        <w:t>in conjunction</w:t>
      </w:r>
      <w:r w:rsidR="009339F3">
        <w:t xml:space="preserve"> with Article </w:t>
      </w:r>
      <w:r w:rsidR="004A2CE9">
        <w:t>2</w:t>
      </w:r>
      <w:r w:rsidRPr="005D023B" w:rsidR="00BC7F1B">
        <w:t xml:space="preserve"> to take all possible steps to </w:t>
      </w:r>
      <w:r w:rsidR="00A12D10">
        <w:t>investigate</w:t>
      </w:r>
      <w:r w:rsidRPr="005D023B" w:rsidR="00BC7F1B">
        <w:t xml:space="preserve"> whether or not discriminat</w:t>
      </w:r>
      <w:r w:rsidR="004A2CE9">
        <w:t>ion</w:t>
      </w:r>
      <w:r w:rsidRPr="005D023B" w:rsidR="00BC7F1B">
        <w:t xml:space="preserve"> may have played a role in </w:t>
      </w:r>
      <w:r w:rsidR="004A2CE9">
        <w:t xml:space="preserve">the </w:t>
      </w:r>
      <w:r w:rsidRPr="005D023B" w:rsidR="00BC7F1B">
        <w:t>events.</w:t>
      </w:r>
      <w:r w:rsidRPr="005D023B" w:rsidR="00D47037">
        <w:t xml:space="preserve"> </w:t>
      </w:r>
      <w:r w:rsidRPr="005D023B" w:rsidR="00462EEC">
        <w:t xml:space="preserve">It follows that there has been </w:t>
      </w:r>
      <w:r w:rsidRPr="005D023B" w:rsidR="000D6314">
        <w:t>a</w:t>
      </w:r>
      <w:r w:rsidRPr="005D023B" w:rsidR="00462EEC">
        <w:t xml:space="preserve"> violation of Article</w:t>
      </w:r>
      <w:r w:rsidR="009339F3">
        <w:t xml:space="preserve"> </w:t>
      </w:r>
      <w:r w:rsidRPr="005D023B" w:rsidR="00462EEC">
        <w:t>14 of the Convention</w:t>
      </w:r>
      <w:r w:rsidRPr="005D023B" w:rsidR="00D47037">
        <w:t xml:space="preserve"> taken </w:t>
      </w:r>
      <w:r w:rsidR="00715D0A">
        <w:t>in conjunction</w:t>
      </w:r>
      <w:r w:rsidRPr="005D023B" w:rsidR="00D47037">
        <w:t xml:space="preserve"> with Article 2</w:t>
      </w:r>
      <w:r w:rsidR="00E125D8">
        <w:t xml:space="preserve"> in its procedural aspect</w:t>
      </w:r>
      <w:r w:rsidRPr="005D023B" w:rsidR="000D6314">
        <w:t>.</w:t>
      </w:r>
    </w:p>
    <w:p w:rsidRPr="005D023B" w:rsidR="00CD49A7" w:rsidRDefault="00764A75">
      <w:pPr>
        <w:pStyle w:val="JuHIRoman"/>
      </w:pPr>
      <w:r w:rsidRPr="005D023B">
        <w:t>V</w:t>
      </w:r>
      <w:r w:rsidRPr="005D023B" w:rsidR="00CD49A7">
        <w:t>.  APPLICATION OF ARTICLE 41 OF THE CONVENTION</w:t>
      </w:r>
    </w:p>
    <w:p w:rsidRPr="005D023B" w:rsidR="00CD49A7" w:rsidRDefault="00CB4D85">
      <w:pPr>
        <w:pStyle w:val="JuParaChar"/>
        <w:keepNext/>
        <w:keepLines/>
      </w:pPr>
      <w:r w:rsidRPr="005D023B">
        <w:fldChar w:fldCharType="begin"/>
      </w:r>
      <w:r w:rsidRPr="005D023B">
        <w:instrText xml:space="preserve"> SEQ level0 \*arabic </w:instrText>
      </w:r>
      <w:r w:rsidRPr="005D023B">
        <w:fldChar w:fldCharType="separate"/>
      </w:r>
      <w:r w:rsidR="00D57953">
        <w:rPr>
          <w:noProof/>
        </w:rPr>
        <w:t>169</w:t>
      </w:r>
      <w:r w:rsidRPr="005D023B">
        <w:fldChar w:fldCharType="end"/>
      </w:r>
      <w:r w:rsidRPr="005D023B" w:rsidR="00CD49A7">
        <w:t>.  Article 41 of the Convention provides:</w:t>
      </w:r>
    </w:p>
    <w:p w:rsidRPr="005D023B" w:rsidR="00CD49A7" w:rsidRDefault="00CD49A7">
      <w:pPr>
        <w:pStyle w:val="JuQuot"/>
        <w:keepNext/>
        <w:keepLines/>
      </w:pPr>
      <w:r w:rsidRPr="005D023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D023B" w:rsidR="00CD49A7" w:rsidRDefault="00CD49A7">
      <w:pPr>
        <w:pStyle w:val="JuHA"/>
      </w:pPr>
      <w:r w:rsidRPr="005D023B">
        <w:t>A.  Damage</w:t>
      </w:r>
    </w:p>
    <w:p w:rsidRPr="005D023B" w:rsidR="000E0007" w:rsidP="00E125D8" w:rsidRDefault="000E0007">
      <w:pPr>
        <w:pStyle w:val="JuPara"/>
      </w:pPr>
      <w:r>
        <w:fldChar w:fldCharType="begin"/>
      </w:r>
      <w:r>
        <w:instrText xml:space="preserve"> SEQ level0 \*arabic </w:instrText>
      </w:r>
      <w:r>
        <w:fldChar w:fldCharType="separate"/>
      </w:r>
      <w:r w:rsidR="00D57953">
        <w:rPr>
          <w:noProof/>
        </w:rPr>
        <w:t>170</w:t>
      </w:r>
      <w:r>
        <w:fldChar w:fldCharType="end"/>
      </w:r>
      <w:r>
        <w:t>. </w:t>
      </w:r>
      <w:r w:rsidR="009339F3">
        <w:t> </w:t>
      </w:r>
      <w:r w:rsidRPr="005D023B">
        <w:t>Before the Grand Chamber, the applicants</w:t>
      </w:r>
      <w:r>
        <w:t xml:space="preserve"> </w:t>
      </w:r>
      <w:r w:rsidR="00325631">
        <w:t>made the same</w:t>
      </w:r>
      <w:r>
        <w:t xml:space="preserve"> claims for </w:t>
      </w:r>
      <w:r w:rsidR="00434FE6">
        <w:t xml:space="preserve">compensation for </w:t>
      </w:r>
      <w:r>
        <w:t>pecuniary and non-pecuniary da</w:t>
      </w:r>
      <w:r w:rsidR="00434FE6">
        <w:t>mage</w:t>
      </w:r>
      <w:r>
        <w:t xml:space="preserve"> as </w:t>
      </w:r>
      <w:r w:rsidR="00325631">
        <w:t xml:space="preserve">they had </w:t>
      </w:r>
      <w:r w:rsidR="00434FE6">
        <w:t>in</w:t>
      </w:r>
      <w:r w:rsidR="00352FB8">
        <w:t xml:space="preserve"> the</w:t>
      </w:r>
      <w:r w:rsidR="00434FE6">
        <w:t xml:space="preserve"> </w:t>
      </w:r>
      <w:r>
        <w:t>Chamber proceedings. The Government did not comment.</w:t>
      </w:r>
    </w:p>
    <w:p w:rsidR="000E0007" w:rsidP="00E125D8" w:rsidRDefault="000E0007">
      <w:pPr>
        <w:pStyle w:val="JuPara"/>
      </w:pPr>
      <w:r w:rsidRPr="005D023B">
        <w:fldChar w:fldCharType="begin"/>
      </w:r>
      <w:r w:rsidRPr="005D023B">
        <w:instrText xml:space="preserve"> SEQ level0 \*arabic </w:instrText>
      </w:r>
      <w:r w:rsidRPr="005D023B">
        <w:fldChar w:fldCharType="separate"/>
      </w:r>
      <w:r w:rsidR="00D57953">
        <w:rPr>
          <w:noProof/>
        </w:rPr>
        <w:t>171</w:t>
      </w:r>
      <w:r w:rsidRPr="005D023B">
        <w:fldChar w:fldCharType="end"/>
      </w:r>
      <w:r w:rsidRPr="005D023B">
        <w:t xml:space="preserve">.  The </w:t>
      </w:r>
      <w:r>
        <w:t>relevant part</w:t>
      </w:r>
      <w:r w:rsidR="00715D0A">
        <w:t xml:space="preserve"> of the Chamber judgment read</w:t>
      </w:r>
      <w:r w:rsidR="007B77D3">
        <w:t>s</w:t>
      </w:r>
      <w:r w:rsidR="00237947">
        <w:t xml:space="preserve"> (see paragraphs </w:t>
      </w:r>
      <w:r w:rsidR="00715D0A">
        <w:t>177-</w:t>
      </w:r>
      <w:r w:rsidR="0064425E">
        <w:t>84)</w:t>
      </w:r>
      <w:r>
        <w:t>:</w:t>
      </w:r>
    </w:p>
    <w:p w:rsidR="00562DC8" w:rsidP="000E0007" w:rsidRDefault="000E0007">
      <w:pPr>
        <w:pStyle w:val="JuQuot"/>
      </w:pPr>
      <w:r>
        <w:t>“Ms Nachova, Mr Angelov</w:t>
      </w:r>
      <w:r w:rsidR="00F2618C">
        <w:t>'</w:t>
      </w:r>
      <w:r>
        <w:t>s daughter, and Ms Hristova, his partner and the mother of Ms Nachova,</w:t>
      </w:r>
      <w:r w:rsidR="00715D0A">
        <w:t xml:space="preserve"> claimed jointly 25,000 euros (EUR</w:t>
      </w:r>
      <w:r w:rsidR="00874A0D">
        <w:t>) in respect of the death of Mr </w:t>
      </w:r>
      <w:r>
        <w:t>Angelov and the ensuing violations of the Conve</w:t>
      </w:r>
      <w:r w:rsidR="00874A0D">
        <w:t>ntion. That amount included EUR </w:t>
      </w:r>
      <w:r>
        <w:t xml:space="preserve">20,000 </w:t>
      </w:r>
      <w:r w:rsidR="007B77D3">
        <w:t>for</w:t>
      </w:r>
      <w:r>
        <w:t xml:space="preserve"> non-pecuniary damage and E</w:t>
      </w:r>
      <w:r w:rsidR="00874A0D">
        <w:t>UR 5,000 for pecuniary loss.</w:t>
      </w:r>
    </w:p>
    <w:p w:rsidR="000E0007" w:rsidP="000E0007" w:rsidRDefault="00874A0D">
      <w:pPr>
        <w:pStyle w:val="JuQuot"/>
      </w:pPr>
      <w:r>
        <w:t>Ms</w:t>
      </w:r>
      <w:r w:rsidR="007B77D3">
        <w:t xml:space="preserve"> </w:t>
      </w:r>
      <w:r w:rsidR="000E0007">
        <w:t>Rangelova and Mr Rangelov claimed jointly the same amounts in respect of the death of their son, Mr Kiril Petkov, and all violations of the Convention in the case.</w:t>
      </w:r>
    </w:p>
    <w:p w:rsidR="000E0007" w:rsidP="000E0007" w:rsidRDefault="000E0007">
      <w:pPr>
        <w:pStyle w:val="JuQuot"/>
      </w:pPr>
      <w:r>
        <w:t>In respect of non-pecuniary damage, the Court awards the amounts claimed in full.</w:t>
      </w:r>
    </w:p>
    <w:p w:rsidR="00F2618C" w:rsidP="000E0007" w:rsidRDefault="000E0007">
      <w:pPr>
        <w:pStyle w:val="JuQuot"/>
      </w:pPr>
      <w:r>
        <w:t xml:space="preserve">In respect of pecuniary damage, the applicants claimed lost income resulting from the deaths. The applicants were unable to provide documentary proof but stated that each of the victims had supported his family financially and would have continued to do so had he been alive. They invited the Court to award EUR 5,000 in respect of each </w:t>
      </w:r>
      <w:r w:rsidR="007B77D3">
        <w:t>of the deceased</w:t>
      </w:r>
      <w:r>
        <w:t>.</w:t>
      </w:r>
    </w:p>
    <w:p w:rsidR="000E0007" w:rsidP="000E0007" w:rsidRDefault="000E0007">
      <w:pPr>
        <w:pStyle w:val="JuQuot"/>
      </w:pPr>
      <w:r>
        <w:t xml:space="preserve">The Government stated that the claims were excessive in view of the standard of living in </w:t>
      </w:r>
      <w:smartTag w:uri="urn:schemas-microsoft-com:office:smarttags" w:element="place">
        <w:smartTag w:uri="urn:schemas-microsoft-com:office:smarttags" w:element="country-region">
          <w:r>
            <w:t>Bulgaria</w:t>
          </w:r>
        </w:smartTag>
      </w:smartTag>
      <w:r>
        <w:t>.</w:t>
      </w:r>
    </w:p>
    <w:p w:rsidR="000E0007" w:rsidP="000E0007" w:rsidRDefault="000E0007">
      <w:pPr>
        <w:pStyle w:val="JuQuot"/>
      </w:pPr>
      <w:r>
        <w:t>The Court observes that the Government have not disputed the applicants</w:t>
      </w:r>
      <w:r w:rsidR="00F2618C">
        <w:t>'</w:t>
      </w:r>
      <w:r>
        <w:t xml:space="preserve"> statement that they had suf</w:t>
      </w:r>
      <w:r w:rsidR="009C203A">
        <w:t xml:space="preserve">fered pecuniary loss in that Mr </w:t>
      </w:r>
      <w:r>
        <w:t>Angelov and Mr Petkov would have supported them financially if they were still alive. The Court sees no reason to reach a different conclusion.</w:t>
      </w:r>
    </w:p>
    <w:p w:rsidR="000E0007" w:rsidP="000E0007" w:rsidRDefault="000E0007">
      <w:pPr>
        <w:pStyle w:val="JuQuot"/>
      </w:pPr>
      <w:r>
        <w:t xml:space="preserve">As to the amount, in some cases, such as the present one, a precise calculation of the sums necessary to make complete reparation </w:t>
      </w:r>
      <w:r w:rsidRPr="00715D0A">
        <w:t>(</w:t>
      </w:r>
      <w:r>
        <w:rPr>
          <w:i/>
        </w:rPr>
        <w:t>restitutio in integrum</w:t>
      </w:r>
      <w:r>
        <w:t xml:space="preserve">) in respect of the pecuniary losses suffered by applicants may be prevented by the inherently uncertain character of the damage flowing from the violation. An award may still be made notwithstanding the large number of imponderables involved in the assessment of future losses. The question to be decided in such cases is the level of just satisfaction, which is a matter to be determined by the Court at its discretion, having regard to what is equitable (see </w:t>
      </w:r>
      <w:r>
        <w:rPr>
          <w:i/>
        </w:rPr>
        <w:t>Z and Others v. the United Kingdom</w:t>
      </w:r>
      <w:r w:rsidR="009339F3">
        <w:t xml:space="preserve"> [GC], no. 29392/95, § </w:t>
      </w:r>
      <w:r w:rsidR="00540263">
        <w:t>120, ECHR 2001-</w:t>
      </w:r>
      <w:r>
        <w:t>V).</w:t>
      </w:r>
    </w:p>
    <w:p w:rsidR="000E0007" w:rsidP="000E0007" w:rsidRDefault="000E0007">
      <w:pPr>
        <w:pStyle w:val="JuQuot"/>
      </w:pPr>
      <w:r>
        <w:t>In the present case, having regard to the submissions of the parties and all relevant factors, including the age of the victims and the applicants and how closely they were related to each other, the Court finds it appropriate to</w:t>
      </w:r>
      <w:r w:rsidR="009339F3">
        <w:t xml:space="preserve"> award EUR 5,000 jointly to Mrs </w:t>
      </w:r>
      <w:r>
        <w:t xml:space="preserve">Nachova and Ms Hristova in respect of lost income resulting from the death of </w:t>
      </w:r>
      <w:r w:rsidR="009339F3">
        <w:t xml:space="preserve">Mr Angelov, and EUR </w:t>
      </w:r>
      <w:r>
        <w:t>2,000 jointly to Ms Rangelova and Mr Rangelov for lost income as a result of the death of Mr Petkov.”</w:t>
      </w:r>
    </w:p>
    <w:p w:rsidR="00B147F8" w:rsidP="00E125D8" w:rsidRDefault="00CB4D85">
      <w:pPr>
        <w:pStyle w:val="JuPara"/>
      </w:pPr>
      <w:r w:rsidRPr="005D023B">
        <w:fldChar w:fldCharType="begin"/>
      </w:r>
      <w:r w:rsidRPr="005D023B">
        <w:instrText xml:space="preserve"> SEQ level0 \*arabic </w:instrText>
      </w:r>
      <w:r w:rsidRPr="005D023B">
        <w:fldChar w:fldCharType="separate"/>
      </w:r>
      <w:r w:rsidR="00D57953">
        <w:rPr>
          <w:noProof/>
        </w:rPr>
        <w:t>172</w:t>
      </w:r>
      <w:r w:rsidRPr="005D023B">
        <w:fldChar w:fldCharType="end"/>
      </w:r>
      <w:r w:rsidRPr="005D023B" w:rsidR="00CD49A7">
        <w:t>.  </w:t>
      </w:r>
      <w:r w:rsidR="000E0007">
        <w:t>The Grand Chamber endorses the Chamber</w:t>
      </w:r>
      <w:r w:rsidR="00F2618C">
        <w:t>'</w:t>
      </w:r>
      <w:r w:rsidR="000E0007">
        <w:t xml:space="preserve">s analysis. </w:t>
      </w:r>
      <w:r w:rsidRPr="00D9601D" w:rsidR="00D9601D">
        <w:t>It considers that the applicants</w:t>
      </w:r>
      <w:r w:rsidR="00F2618C">
        <w:t>'</w:t>
      </w:r>
      <w:r w:rsidRPr="00D9601D" w:rsidR="00D9601D">
        <w:t xml:space="preserve"> claims concern pecuniary and non-pecuniary damage resulting from the violations of Articles 2 and 14 of the Convention found in the present case and that there is no room for reducing the awards made on account of the fact that the Grand Chamber, unlike the Chamber, </w:t>
      </w:r>
      <w:r w:rsidR="00434FE6">
        <w:t xml:space="preserve">has </w:t>
      </w:r>
      <w:r w:rsidR="00E125D8">
        <w:t xml:space="preserve">only </w:t>
      </w:r>
      <w:r w:rsidRPr="00D9601D" w:rsidR="00D9601D">
        <w:t>found a violation of Article 14 of the Convention</w:t>
      </w:r>
      <w:r w:rsidR="00E125D8">
        <w:t xml:space="preserve"> </w:t>
      </w:r>
      <w:r w:rsidR="00715D0A">
        <w:t xml:space="preserve">taken </w:t>
      </w:r>
      <w:r w:rsidR="00E125D8">
        <w:t>in conjunction with the procedural aspect of Article 2</w:t>
      </w:r>
      <w:r w:rsidR="00D9601D">
        <w:t xml:space="preserve">. </w:t>
      </w:r>
      <w:r w:rsidR="000E0007">
        <w:t>Accor</w:t>
      </w:r>
      <w:r w:rsidR="009339F3">
        <w:t>dingly, it awards jointly to Ms </w:t>
      </w:r>
      <w:r w:rsidR="000E0007">
        <w:t xml:space="preserve">Nachova and Ms Hristova EUR 25,000 for </w:t>
      </w:r>
      <w:r w:rsidRPr="005D023B" w:rsidR="00764A75">
        <w:t>pecuniary and non-pecuniary damage</w:t>
      </w:r>
      <w:r w:rsidR="000E0007">
        <w:t xml:space="preserve"> and jointly to Ms Rangelova and Mr Rangelov EUR 22,000 </w:t>
      </w:r>
      <w:r w:rsidRPr="005D023B" w:rsidR="00764A75">
        <w:t>for pecuniary and non-pecuniary damage.</w:t>
      </w:r>
    </w:p>
    <w:p w:rsidRPr="005D023B" w:rsidR="00CD49A7" w:rsidRDefault="00CD49A7">
      <w:pPr>
        <w:pStyle w:val="JuHA"/>
      </w:pPr>
      <w:r w:rsidRPr="005D023B">
        <w:t>B.  Costs and expenses</w:t>
      </w:r>
    </w:p>
    <w:p w:rsidR="007943C2" w:rsidP="007943C2" w:rsidRDefault="00CB4D85">
      <w:pPr>
        <w:pStyle w:val="JuParaChar"/>
      </w:pPr>
      <w:r w:rsidRPr="005D023B">
        <w:fldChar w:fldCharType="begin"/>
      </w:r>
      <w:r w:rsidRPr="005D023B">
        <w:instrText xml:space="preserve"> SEQ level0 \*arabic </w:instrText>
      </w:r>
      <w:r w:rsidRPr="005D023B">
        <w:fldChar w:fldCharType="separate"/>
      </w:r>
      <w:r w:rsidR="00D57953">
        <w:rPr>
          <w:noProof/>
        </w:rPr>
        <w:t>173</w:t>
      </w:r>
      <w:r w:rsidRPr="005D023B">
        <w:fldChar w:fldCharType="end"/>
      </w:r>
      <w:r w:rsidRPr="005D023B" w:rsidR="00CD49A7">
        <w:t>. </w:t>
      </w:r>
      <w:r w:rsidR="009339F3">
        <w:t> </w:t>
      </w:r>
      <w:r w:rsidR="007943C2">
        <w:t>The Chamber accepted in full the applicants</w:t>
      </w:r>
      <w:r w:rsidR="00F2618C">
        <w:t>'</w:t>
      </w:r>
      <w:r w:rsidR="007943C2">
        <w:t xml:space="preserve"> claim under this head and awarded them jointly EUR 3,740 for costs and expenses.</w:t>
      </w:r>
    </w:p>
    <w:p w:rsidR="007943C2" w:rsidP="007943C2" w:rsidRDefault="007943C2">
      <w:pPr>
        <w:pStyle w:val="JuParaChar"/>
      </w:pPr>
      <w:r>
        <w:fldChar w:fldCharType="begin"/>
      </w:r>
      <w:r>
        <w:instrText xml:space="preserve"> SEQ level0 \*arabic </w:instrText>
      </w:r>
      <w:r>
        <w:fldChar w:fldCharType="separate"/>
      </w:r>
      <w:r w:rsidR="00D57953">
        <w:rPr>
          <w:noProof/>
        </w:rPr>
        <w:t>174</w:t>
      </w:r>
      <w:r>
        <w:fldChar w:fldCharType="end"/>
      </w:r>
      <w:r>
        <w:t xml:space="preserve">.  Before the Grand Chamber, the applicants </w:t>
      </w:r>
      <w:r w:rsidR="002507B1">
        <w:t xml:space="preserve">repeated </w:t>
      </w:r>
      <w:r>
        <w:t>their initial claims and sought additional amounts in respect of costs and expenses incurred in the Grand Chamber proceedings. In particular, they claimed 7,931 pounds sterling (approximately EUR 11,630) in respect of lega</w:t>
      </w:r>
      <w:r w:rsidR="00715D0A">
        <w:t>l fees charged by Lord Lester QC</w:t>
      </w:r>
      <w:r>
        <w:t xml:space="preserve"> for his work on the case as well as</w:t>
      </w:r>
      <w:r w:rsidR="00352FB8">
        <w:t xml:space="preserve"> </w:t>
      </w:r>
      <w:r>
        <w:t>expenses related to his participation at the o</w:t>
      </w:r>
      <w:r w:rsidR="00715D0A">
        <w:t>ral hearing</w:t>
      </w:r>
      <w:r w:rsidR="00237947">
        <w:t xml:space="preserve">, and EUR </w:t>
      </w:r>
      <w:r w:rsidR="00715D0A">
        <w:t>1,920 for forty-eight</w:t>
      </w:r>
      <w:r>
        <w:t xml:space="preserve"> hours of legal work by Mr Grozev during the written procedure before </w:t>
      </w:r>
      <w:r w:rsidR="00B82FFE">
        <w:t xml:space="preserve">the </w:t>
      </w:r>
      <w:r>
        <w:t xml:space="preserve">Grand Chamber. They submitted copies of agreements </w:t>
      </w:r>
      <w:r w:rsidR="00B82FFE">
        <w:t xml:space="preserve">on legal fees </w:t>
      </w:r>
      <w:r>
        <w:t xml:space="preserve">and </w:t>
      </w:r>
      <w:r w:rsidR="00715D0A">
        <w:t xml:space="preserve">time </w:t>
      </w:r>
      <w:r>
        <w:t xml:space="preserve">sheets. The applicants stated that they </w:t>
      </w:r>
      <w:r w:rsidR="00B82FFE">
        <w:t xml:space="preserve">were </w:t>
      </w:r>
      <w:r>
        <w:t>not claim</w:t>
      </w:r>
      <w:r w:rsidR="00B82FFE">
        <w:t>ing</w:t>
      </w:r>
      <w:r>
        <w:t xml:space="preserve"> legal fees or expenses in respect of Mr Grozev</w:t>
      </w:r>
      <w:r w:rsidR="00F2618C">
        <w:t>'</w:t>
      </w:r>
      <w:r>
        <w:t>s appearance at the hearing, since that had been covered by</w:t>
      </w:r>
      <w:r w:rsidR="00B701B4">
        <w:t xml:space="preserve"> the legal aid paid to him (EUR </w:t>
      </w:r>
      <w:r>
        <w:t>1,906.50)</w:t>
      </w:r>
      <w:r w:rsidR="00352FB8">
        <w:t xml:space="preserve"> by the Council of Europe</w:t>
      </w:r>
      <w:r>
        <w:t>. In sum, the applicants cla</w:t>
      </w:r>
      <w:r w:rsidR="00237947">
        <w:t>imed EUR 5,660 in respect of Mr </w:t>
      </w:r>
      <w:r>
        <w:t>Grozev</w:t>
      </w:r>
      <w:r w:rsidR="00F2618C">
        <w:t>'</w:t>
      </w:r>
      <w:r>
        <w:t xml:space="preserve">s work on the case and the </w:t>
      </w:r>
      <w:r w:rsidR="009339F3">
        <w:t xml:space="preserve">equivalent of approximately EUR </w:t>
      </w:r>
      <w:r>
        <w:t>11,630 in respect of Lord Lester</w:t>
      </w:r>
      <w:r w:rsidR="00F2618C">
        <w:t>'</w:t>
      </w:r>
      <w:r>
        <w:t>s participation at the hearing before the Grand Chamber. The applicants requested that any award in respect of costs and expenses be paid directly to their lawyers. The Government did not comment.</w:t>
      </w:r>
    </w:p>
    <w:p w:rsidRPr="005D023B" w:rsidR="00764A75" w:rsidP="007943C2" w:rsidRDefault="007943C2">
      <w:pPr>
        <w:pStyle w:val="JuParaChar"/>
      </w:pPr>
      <w:r>
        <w:fldChar w:fldCharType="begin"/>
      </w:r>
      <w:r>
        <w:instrText xml:space="preserve"> SEQ level0 \*arabic </w:instrText>
      </w:r>
      <w:r>
        <w:fldChar w:fldCharType="separate"/>
      </w:r>
      <w:r w:rsidR="00D57953">
        <w:rPr>
          <w:noProof/>
        </w:rPr>
        <w:t>175</w:t>
      </w:r>
      <w:r>
        <w:fldChar w:fldCharType="end"/>
      </w:r>
      <w:r>
        <w:t xml:space="preserve">.  The Court considers that the costs and expenses claimed were actually and necessarily incurred and relate to the violations found (see </w:t>
      </w:r>
      <w:r w:rsidRPr="007943C2">
        <w:rPr>
          <w:i/>
        </w:rPr>
        <w:t>Beyeler v. Italy</w:t>
      </w:r>
      <w:r>
        <w:t xml:space="preserve"> (just satisfaction) [GC], no. 33202/96, § 27, </w:t>
      </w:r>
      <w:smartTag w:uri="urn:schemas-microsoft-com:office:smarttags" w:element="date">
        <w:smartTagPr>
          <w:attr w:name="Month" w:val="5"/>
          <w:attr w:name="Day" w:val="28"/>
          <w:attr w:name="Year" w:val="2002"/>
        </w:smartTagPr>
        <w:r>
          <w:t>28 May 2002</w:t>
        </w:r>
      </w:smartTag>
      <w:r>
        <w:t>). As to the amounts, it considers that the claims relat</w:t>
      </w:r>
      <w:r w:rsidR="007B77D3">
        <w:t>ing</w:t>
      </w:r>
      <w:r>
        <w:t xml:space="preserve"> to the oral hearing are excessive. Taking into account all relevant factors, it awards jointly to all applicants EUR </w:t>
      </w:r>
      <w:r w:rsidR="006E721C">
        <w:t>11</w:t>
      </w:r>
      <w:r>
        <w:t>,000 for costs and expenses (EUR 5,500 in respect of Mr</w:t>
      </w:r>
      <w:r w:rsidR="006E721C">
        <w:t> </w:t>
      </w:r>
      <w:r>
        <w:t>Grozev</w:t>
      </w:r>
      <w:r w:rsidR="00F2618C">
        <w:t>'</w:t>
      </w:r>
      <w:r w:rsidR="00715D0A">
        <w:t>s work</w:t>
      </w:r>
      <w:r>
        <w:t xml:space="preserve"> and EUR </w:t>
      </w:r>
      <w:r w:rsidR="006E721C">
        <w:t>5</w:t>
      </w:r>
      <w:r>
        <w:t>,500 in respect of Lord Lester</w:t>
      </w:r>
      <w:r w:rsidR="00F2618C">
        <w:t>'</w:t>
      </w:r>
      <w:r w:rsidR="00715D0A">
        <w:t>s work</w:t>
      </w:r>
      <w:r>
        <w:t xml:space="preserve">), </w:t>
      </w:r>
      <w:r w:rsidR="00B82FFE">
        <w:t>to be paid</w:t>
      </w:r>
      <w:r>
        <w:t xml:space="preserve"> into their lawyers</w:t>
      </w:r>
      <w:r w:rsidR="00F2618C">
        <w:t>'</w:t>
      </w:r>
      <w:r w:rsidR="006E721C">
        <w:t xml:space="preserve"> respective</w:t>
      </w:r>
      <w:r w:rsidR="00B82FFE">
        <w:t xml:space="preserve"> bank accounts</w:t>
      </w:r>
      <w:r w:rsidR="006B7184">
        <w:t>.</w:t>
      </w:r>
    </w:p>
    <w:p w:rsidRPr="005D023B" w:rsidR="00CD49A7" w:rsidRDefault="00CD49A7">
      <w:pPr>
        <w:pStyle w:val="JuHA"/>
      </w:pPr>
      <w:r w:rsidRPr="005D023B">
        <w:t>C.  Default interest</w:t>
      </w:r>
    </w:p>
    <w:p w:rsidRPr="005D023B" w:rsidR="00CD49A7" w:rsidRDefault="00CB4D85">
      <w:pPr>
        <w:pStyle w:val="JuParaChar"/>
      </w:pPr>
      <w:r w:rsidRPr="005D023B">
        <w:fldChar w:fldCharType="begin"/>
      </w:r>
      <w:r w:rsidRPr="005D023B">
        <w:instrText xml:space="preserve"> SEQ level0 \*arabic </w:instrText>
      </w:r>
      <w:r w:rsidRPr="005D023B">
        <w:fldChar w:fldCharType="separate"/>
      </w:r>
      <w:r w:rsidR="00D57953">
        <w:rPr>
          <w:noProof/>
        </w:rPr>
        <w:t>176</w:t>
      </w:r>
      <w:r w:rsidRPr="005D023B">
        <w:fldChar w:fldCharType="end"/>
      </w:r>
      <w:r w:rsidRPr="005D023B" w:rsidR="00CD49A7">
        <w:t>.  The Court considers it appropriate that the default interest should be based on the marginal lending rate of the European Central Bank, to which should be added three percentage points.</w:t>
      </w:r>
    </w:p>
    <w:p w:rsidRPr="005D023B" w:rsidR="00CD49A7" w:rsidRDefault="00CD49A7">
      <w:pPr>
        <w:pStyle w:val="JuHHead"/>
      </w:pPr>
      <w:r w:rsidRPr="005D023B">
        <w:t>FOR THESE REASONS, THE COURT</w:t>
      </w:r>
    </w:p>
    <w:p w:rsidR="0015294C" w:rsidRDefault="000D6314">
      <w:pPr>
        <w:pStyle w:val="JuList"/>
      </w:pPr>
      <w:r w:rsidRPr="005D023B">
        <w:t>1</w:t>
      </w:r>
      <w:r w:rsidR="00715D0A">
        <w:t>.</w:t>
      </w:r>
      <w:r w:rsidRPr="005D023B" w:rsidR="00CD49A7">
        <w:t>  </w:t>
      </w:r>
      <w:r w:rsidRPr="005D023B" w:rsidR="00CD49A7">
        <w:rPr>
          <w:i/>
        </w:rPr>
        <w:t>Holds</w:t>
      </w:r>
      <w:r w:rsidRPr="005D023B" w:rsidR="00CD49A7">
        <w:t xml:space="preserve"> unanimously that there </w:t>
      </w:r>
      <w:r w:rsidR="009339F3">
        <w:t xml:space="preserve">has been a violation of Article </w:t>
      </w:r>
      <w:r w:rsidRPr="005D023B">
        <w:t>2</w:t>
      </w:r>
      <w:r w:rsidRPr="005D023B" w:rsidR="00CD49A7">
        <w:t xml:space="preserve"> of the Convention</w:t>
      </w:r>
      <w:r w:rsidRPr="005D023B">
        <w:t xml:space="preserve"> in respect of the death</w:t>
      </w:r>
      <w:r w:rsidRPr="005D023B" w:rsidR="008A3596">
        <w:t>s</w:t>
      </w:r>
      <w:r w:rsidRPr="005D023B">
        <w:t xml:space="preserve"> of Mr Angelov and Mr Petkov</w:t>
      </w:r>
      <w:r w:rsidRPr="005D023B" w:rsidR="00CD49A7">
        <w:t>;</w:t>
      </w:r>
    </w:p>
    <w:p w:rsidRPr="005D023B" w:rsidR="00EC6874" w:rsidRDefault="00EC6874">
      <w:pPr>
        <w:pStyle w:val="JuList"/>
      </w:pPr>
    </w:p>
    <w:p w:rsidR="000D6314" w:rsidP="000D6314" w:rsidRDefault="000D6314">
      <w:pPr>
        <w:pStyle w:val="JuList"/>
      </w:pPr>
      <w:r w:rsidRPr="005D023B">
        <w:t>2</w:t>
      </w:r>
      <w:r w:rsidR="00E125D8">
        <w:t>.</w:t>
      </w:r>
      <w:r w:rsidRPr="005D023B">
        <w:t>  </w:t>
      </w:r>
      <w:r w:rsidRPr="005D023B">
        <w:rPr>
          <w:i/>
        </w:rPr>
        <w:t>Holds</w:t>
      </w:r>
      <w:r w:rsidRPr="005D023B">
        <w:t xml:space="preserve"> unanimously that there has been a</w:t>
      </w:r>
      <w:r w:rsidR="007943C2">
        <w:t xml:space="preserve"> </w:t>
      </w:r>
      <w:r w:rsidRPr="005D023B">
        <w:t>violation of Art</w:t>
      </w:r>
      <w:r w:rsidR="009339F3">
        <w:t xml:space="preserve">icle </w:t>
      </w:r>
      <w:r w:rsidRPr="005D023B">
        <w:t>2 of the Convention in that the authorities failed to conduct an effective investigation into the death</w:t>
      </w:r>
      <w:r w:rsidRPr="005D023B" w:rsidR="008A3596">
        <w:t>s</w:t>
      </w:r>
      <w:r w:rsidRPr="005D023B">
        <w:t xml:space="preserve"> of Mr Angelov and Mr Petkov;</w:t>
      </w:r>
    </w:p>
    <w:p w:rsidRPr="005D023B" w:rsidR="0015294C" w:rsidP="000D6314" w:rsidRDefault="0015294C">
      <w:pPr>
        <w:pStyle w:val="JuList"/>
      </w:pPr>
    </w:p>
    <w:p w:rsidR="000D6314" w:rsidP="000D6314" w:rsidRDefault="000D6314">
      <w:pPr>
        <w:pStyle w:val="JuList"/>
      </w:pPr>
      <w:r w:rsidRPr="005D023B">
        <w:t>3.  </w:t>
      </w:r>
      <w:r w:rsidRPr="005D023B">
        <w:rPr>
          <w:i/>
        </w:rPr>
        <w:t>Holds</w:t>
      </w:r>
      <w:r w:rsidRPr="005D023B">
        <w:t xml:space="preserve"> unanimously that no sepa</w:t>
      </w:r>
      <w:r w:rsidR="009339F3">
        <w:t xml:space="preserve">rate issue arises under Article </w:t>
      </w:r>
      <w:r w:rsidRPr="005D023B">
        <w:t>13 of the Convention;</w:t>
      </w:r>
    </w:p>
    <w:p w:rsidRPr="005D023B" w:rsidR="0015294C" w:rsidP="000D6314" w:rsidRDefault="0015294C">
      <w:pPr>
        <w:pStyle w:val="JuList"/>
      </w:pPr>
    </w:p>
    <w:p w:rsidR="000D6314" w:rsidP="000D6314" w:rsidRDefault="000D6314">
      <w:pPr>
        <w:pStyle w:val="JuList"/>
      </w:pPr>
      <w:r w:rsidRPr="005D023B">
        <w:t>4.  </w:t>
      </w:r>
      <w:r w:rsidRPr="005D023B">
        <w:rPr>
          <w:i/>
        </w:rPr>
        <w:t>Holds</w:t>
      </w:r>
      <w:r w:rsidRPr="005D023B">
        <w:t xml:space="preserve"> by</w:t>
      </w:r>
      <w:r w:rsidR="00A47597">
        <w:t xml:space="preserve"> eleven</w:t>
      </w:r>
      <w:r w:rsidRPr="005D023B">
        <w:t xml:space="preserve"> votes to </w:t>
      </w:r>
      <w:r w:rsidR="00A47597">
        <w:t>six</w:t>
      </w:r>
      <w:r w:rsidRPr="005D023B">
        <w:t xml:space="preserve"> that there has been no violation of Article 14 of the Convention </w:t>
      </w:r>
      <w:r w:rsidRPr="005D023B" w:rsidR="008A3596">
        <w:t xml:space="preserve">taken in conjunction with Article </w:t>
      </w:r>
      <w:r w:rsidR="00301D35">
        <w:t xml:space="preserve">2 </w:t>
      </w:r>
      <w:r w:rsidRPr="005D023B">
        <w:t>in respect of the allegation that the events leading to the death of Mr Angelov and Mr Petkov constituted an act of racial violence;</w:t>
      </w:r>
    </w:p>
    <w:p w:rsidRPr="005D023B" w:rsidR="0015294C" w:rsidP="000D6314" w:rsidRDefault="0015294C">
      <w:pPr>
        <w:pStyle w:val="JuList"/>
      </w:pPr>
    </w:p>
    <w:p w:rsidR="000D6314" w:rsidP="000D6314" w:rsidRDefault="000D6314">
      <w:pPr>
        <w:pStyle w:val="JuList"/>
      </w:pPr>
      <w:r w:rsidRPr="005D023B">
        <w:t>5.  </w:t>
      </w:r>
      <w:r w:rsidRPr="005D023B">
        <w:rPr>
          <w:i/>
        </w:rPr>
        <w:t>Holds</w:t>
      </w:r>
      <w:r w:rsidRPr="005D023B">
        <w:t xml:space="preserve"> unanimously that there has been a </w:t>
      </w:r>
      <w:r w:rsidR="009339F3">
        <w:t xml:space="preserve">violation of Article </w:t>
      </w:r>
      <w:r w:rsidRPr="005D023B">
        <w:t>14 of the Convention</w:t>
      </w:r>
      <w:r w:rsidRPr="005D023B" w:rsidR="008A3596">
        <w:t xml:space="preserve"> taken in conjunction with Article 2 </w:t>
      </w:r>
      <w:r w:rsidRPr="005D023B">
        <w:t xml:space="preserve">in that the authorities failed to investigate possible racist motives </w:t>
      </w:r>
      <w:r w:rsidR="00B82FFE">
        <w:t>behind</w:t>
      </w:r>
      <w:r w:rsidRPr="005D023B" w:rsidR="00B82FFE">
        <w:t xml:space="preserve"> </w:t>
      </w:r>
      <w:r w:rsidRPr="005D023B">
        <w:t xml:space="preserve">the events that led to </w:t>
      </w:r>
      <w:r w:rsidR="00874A0D">
        <w:t>the death</w:t>
      </w:r>
      <w:r w:rsidR="00B82FFE">
        <w:t>s</w:t>
      </w:r>
      <w:r w:rsidR="00874A0D">
        <w:t xml:space="preserve"> of M</w:t>
      </w:r>
      <w:r w:rsidR="009339F3">
        <w:t xml:space="preserve">r Angelov and Mr </w:t>
      </w:r>
      <w:r w:rsidRPr="005D023B">
        <w:t>Petkov;</w:t>
      </w:r>
    </w:p>
    <w:p w:rsidRPr="005D023B" w:rsidR="0015294C" w:rsidP="000D6314" w:rsidRDefault="0015294C">
      <w:pPr>
        <w:pStyle w:val="JuList"/>
      </w:pPr>
    </w:p>
    <w:p w:rsidRPr="005D023B" w:rsidR="00CD49A7" w:rsidRDefault="000D6314">
      <w:pPr>
        <w:pStyle w:val="JuList"/>
      </w:pPr>
      <w:r w:rsidRPr="005D023B">
        <w:t>6</w:t>
      </w:r>
      <w:r w:rsidRPr="005D023B" w:rsidR="00CD49A7">
        <w:t>.  </w:t>
      </w:r>
      <w:r w:rsidRPr="005D023B" w:rsidR="00CD49A7">
        <w:rPr>
          <w:i/>
        </w:rPr>
        <w:t>Holds</w:t>
      </w:r>
      <w:r w:rsidRPr="005D023B" w:rsidR="00CD49A7">
        <w:t xml:space="preserve"> unanimously</w:t>
      </w:r>
    </w:p>
    <w:p w:rsidRPr="005D023B" w:rsidR="00CD49A7" w:rsidRDefault="006A3D1D">
      <w:pPr>
        <w:pStyle w:val="JuLista"/>
      </w:pPr>
      <w:r>
        <w:t>(</w:t>
      </w:r>
      <w:r w:rsidRPr="005D023B" w:rsidR="00CD49A7">
        <w:t xml:space="preserve">a)  that the respondent State is to pay the </w:t>
      </w:r>
      <w:r w:rsidRPr="005D023B" w:rsidR="00CB4D85">
        <w:t>applicants</w:t>
      </w:r>
      <w:r w:rsidRPr="005D023B" w:rsidR="00CD49A7">
        <w:t>, within three months, the following amounts</w:t>
      </w:r>
      <w:r w:rsidRPr="005D023B" w:rsidR="000D6314">
        <w:t>, plus any tax that may be chargeable</w:t>
      </w:r>
      <w:r w:rsidRPr="005D023B" w:rsidR="00CD49A7">
        <w:t>:</w:t>
      </w:r>
    </w:p>
    <w:p w:rsidR="00CD49A7" w:rsidRDefault="00CD49A7">
      <w:pPr>
        <w:pStyle w:val="JuListi"/>
      </w:pPr>
      <w:r w:rsidRPr="005D023B">
        <w:t>(i)  </w:t>
      </w:r>
      <w:r w:rsidR="002151D9">
        <w:t xml:space="preserve">jointly to Ms Nachova and Ms Hristova, </w:t>
      </w:r>
      <w:r w:rsidRPr="005D023B">
        <w:t xml:space="preserve">EUR </w:t>
      </w:r>
      <w:r w:rsidR="002151D9">
        <w:t xml:space="preserve">25,000 </w:t>
      </w:r>
      <w:r w:rsidRPr="005D023B">
        <w:t>(</w:t>
      </w:r>
      <w:r w:rsidR="00874A0D">
        <w:t>twenty</w:t>
      </w:r>
      <w:r w:rsidR="00874A0D">
        <w:noBreakHyphen/>
      </w:r>
      <w:r w:rsidR="002151D9">
        <w:t>five thousand euros</w:t>
      </w:r>
      <w:r w:rsidRPr="005D023B">
        <w:t>) in respect of pecuniary</w:t>
      </w:r>
      <w:r w:rsidR="00874A0D">
        <w:t xml:space="preserve"> and non</w:t>
      </w:r>
      <w:r w:rsidR="00874A0D">
        <w:noBreakHyphen/>
      </w:r>
      <w:r w:rsidR="002151D9">
        <w:t>pecuniary</w:t>
      </w:r>
      <w:r w:rsidRPr="005D023B">
        <w:t xml:space="preserve"> damage</w:t>
      </w:r>
      <w:r w:rsidR="002151D9">
        <w:t>,</w:t>
      </w:r>
      <w:r w:rsidRPr="002151D9" w:rsidR="002151D9">
        <w:t xml:space="preserve"> </w:t>
      </w:r>
      <w:r w:rsidRPr="005D023B" w:rsidR="002151D9">
        <w:t>to be converted into the national currency of the respondent State at the rate applicable at the date of settlement</w:t>
      </w:r>
      <w:r w:rsidRPr="005D023B">
        <w:t>;</w:t>
      </w:r>
    </w:p>
    <w:p w:rsidR="002151D9" w:rsidP="002151D9" w:rsidRDefault="002151D9">
      <w:pPr>
        <w:pStyle w:val="JuListi"/>
      </w:pPr>
      <w:r w:rsidRPr="005D023B">
        <w:t>(i</w:t>
      </w:r>
      <w:r>
        <w:t>i</w:t>
      </w:r>
      <w:r w:rsidRPr="005D023B">
        <w:t>)  </w:t>
      </w:r>
      <w:r>
        <w:t xml:space="preserve">jointly to Ms Rangelova and Mr Rangelov, </w:t>
      </w:r>
      <w:r w:rsidRPr="005D023B">
        <w:t xml:space="preserve">EUR </w:t>
      </w:r>
      <w:r>
        <w:t xml:space="preserve">22,000 </w:t>
      </w:r>
      <w:r w:rsidRPr="005D023B">
        <w:t>(</w:t>
      </w:r>
      <w:r>
        <w:t>twenty-two thousand euros</w:t>
      </w:r>
      <w:r w:rsidRPr="005D023B">
        <w:t>) in respect of pecuniary</w:t>
      </w:r>
      <w:r w:rsidR="00874A0D">
        <w:t xml:space="preserve"> and non</w:t>
      </w:r>
      <w:r w:rsidR="00874A0D">
        <w:noBreakHyphen/>
      </w:r>
      <w:r>
        <w:t>pecuniary</w:t>
      </w:r>
      <w:r w:rsidRPr="005D023B">
        <w:t xml:space="preserve"> damage</w:t>
      </w:r>
      <w:r>
        <w:t>,</w:t>
      </w:r>
      <w:r w:rsidRPr="002151D9">
        <w:t xml:space="preserve"> </w:t>
      </w:r>
      <w:r w:rsidRPr="005D023B">
        <w:t>to be converted into the national currency of the respondent State at the rate applicable at the date of settlement;</w:t>
      </w:r>
    </w:p>
    <w:p w:rsidRPr="005D023B" w:rsidR="00CD49A7" w:rsidRDefault="00CD49A7">
      <w:pPr>
        <w:pStyle w:val="JuListi"/>
      </w:pPr>
      <w:r w:rsidRPr="005D023B">
        <w:t>(iii)  </w:t>
      </w:r>
      <w:r w:rsidR="00352FB8">
        <w:t>jointly to all applicants,</w:t>
      </w:r>
      <w:r w:rsidRPr="005D023B">
        <w:t xml:space="preserve"> </w:t>
      </w:r>
      <w:r w:rsidR="00352FB8">
        <w:t xml:space="preserve">EUR </w:t>
      </w:r>
      <w:r w:rsidR="00A47597">
        <w:t>11</w:t>
      </w:r>
      <w:r w:rsidR="00F6289C">
        <w:t>,</w:t>
      </w:r>
      <w:r w:rsidR="002F03D5">
        <w:t>0</w:t>
      </w:r>
      <w:r w:rsidR="00F6289C">
        <w:t>00</w:t>
      </w:r>
      <w:r w:rsidRPr="005D023B">
        <w:t xml:space="preserve"> (</w:t>
      </w:r>
      <w:r w:rsidR="00A47597">
        <w:t>eleven</w:t>
      </w:r>
      <w:r w:rsidR="00F6289C">
        <w:t xml:space="preserve"> thousand</w:t>
      </w:r>
      <w:r w:rsidR="002151D9">
        <w:t xml:space="preserve"> </w:t>
      </w:r>
      <w:r w:rsidRPr="005D023B">
        <w:t>euros)</w:t>
      </w:r>
      <w:r w:rsidR="002151D9">
        <w:t xml:space="preserve"> </w:t>
      </w:r>
      <w:r w:rsidRPr="005D023B">
        <w:t>in respect of costs and expenses</w:t>
      </w:r>
      <w:r w:rsidR="002151D9">
        <w:t xml:space="preserve">, payable as follows: EUR </w:t>
      </w:r>
      <w:r w:rsidR="002F03D5">
        <w:t>5,5</w:t>
      </w:r>
      <w:r w:rsidR="00F6289C">
        <w:t>00</w:t>
      </w:r>
      <w:r w:rsidR="002151D9">
        <w:t>,</w:t>
      </w:r>
      <w:r w:rsidRPr="002151D9" w:rsidR="002151D9">
        <w:t xml:space="preserve"> </w:t>
      </w:r>
      <w:r w:rsidRPr="005D023B" w:rsidR="002151D9">
        <w:t>to be converted into the national currency of the respondent State at the rate applicable at the date of settlement</w:t>
      </w:r>
      <w:r w:rsidR="002151D9">
        <w:t>, into Mr Grozev</w:t>
      </w:r>
      <w:r w:rsidR="00F2618C">
        <w:t>'</w:t>
      </w:r>
      <w:r w:rsidR="002151D9">
        <w:t xml:space="preserve">s bank account in Bulgaria and </w:t>
      </w:r>
      <w:r w:rsidR="00C92035">
        <w:t xml:space="preserve">EUR </w:t>
      </w:r>
      <w:r w:rsidR="00A47597">
        <w:t>5</w:t>
      </w:r>
      <w:r w:rsidR="00C92035">
        <w:t>,</w:t>
      </w:r>
      <w:r w:rsidR="00F6289C">
        <w:t>50</w:t>
      </w:r>
      <w:r w:rsidR="00C92035">
        <w:t>0</w:t>
      </w:r>
      <w:r w:rsidR="002151D9">
        <w:t xml:space="preserve"> into Lord Lester</w:t>
      </w:r>
      <w:r w:rsidR="00F2618C">
        <w:t>'</w:t>
      </w:r>
      <w:r w:rsidR="002151D9">
        <w:t>s bank account in the United Kingdom</w:t>
      </w:r>
      <w:r w:rsidR="00CE6696">
        <w:t>;</w:t>
      </w:r>
    </w:p>
    <w:p w:rsidR="00CD49A7" w:rsidRDefault="00CD49A7">
      <w:pPr>
        <w:pStyle w:val="JuLista"/>
      </w:pPr>
      <w:r w:rsidRPr="005D023B">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15294C" w:rsidRDefault="0015294C">
      <w:pPr>
        <w:pStyle w:val="JuLista"/>
      </w:pPr>
    </w:p>
    <w:p w:rsidR="008E3926" w:rsidP="008E3926" w:rsidRDefault="008E3926">
      <w:pPr>
        <w:pStyle w:val="JuList"/>
      </w:pPr>
      <w:r>
        <w:t>7.</w:t>
      </w:r>
      <w:r w:rsidR="006A3D1D">
        <w:t> </w:t>
      </w:r>
      <w:r>
        <w:t> </w:t>
      </w:r>
      <w:r>
        <w:rPr>
          <w:i/>
        </w:rPr>
        <w:t>Dismisses</w:t>
      </w:r>
      <w:r>
        <w:t xml:space="preserve"> unanimously the remainder of the applicants</w:t>
      </w:r>
      <w:r w:rsidR="00F2618C">
        <w:t>'</w:t>
      </w:r>
      <w:r>
        <w:t xml:space="preserve"> claims for just satisfaction.</w:t>
      </w:r>
    </w:p>
    <w:p w:rsidRPr="005D023B" w:rsidR="00CD49A7" w:rsidRDefault="00CD49A7">
      <w:pPr>
        <w:pStyle w:val="JuParaLast"/>
      </w:pPr>
      <w:r w:rsidRPr="005D023B">
        <w:t>Done in English</w:t>
      </w:r>
      <w:r w:rsidRPr="005D023B" w:rsidR="00CB4D85">
        <w:t xml:space="preserve"> and in French</w:t>
      </w:r>
      <w:r w:rsidRPr="005D023B">
        <w:t>, and delivered at a public hearing</w:t>
      </w:r>
      <w:r w:rsidR="00EF0072">
        <w:t xml:space="preserve"> </w:t>
      </w:r>
      <w:r w:rsidRPr="005D023B">
        <w:t xml:space="preserve">in the Human Rights Building, </w:t>
      </w:r>
      <w:smartTag w:uri="urn:schemas-microsoft-com:office:smarttags" w:element="City">
        <w:smartTag w:uri="urn:schemas-microsoft-com:office:smarttags" w:element="place">
          <w:r w:rsidRPr="005D023B">
            <w:t>Strasbourg</w:t>
          </w:r>
        </w:smartTag>
      </w:smartTag>
      <w:r w:rsidRPr="005D023B">
        <w:t xml:space="preserve">, on </w:t>
      </w:r>
      <w:r w:rsidR="00622307">
        <w:t>6 July 2005</w:t>
      </w:r>
      <w:r w:rsidRPr="005D023B">
        <w:t>.</w:t>
      </w:r>
    </w:p>
    <w:p w:rsidRPr="006818CC" w:rsidR="00715D0A" w:rsidP="00715D0A" w:rsidRDefault="00715D0A">
      <w:pPr>
        <w:pStyle w:val="JuSigned"/>
        <w:keepNext/>
        <w:keepLines/>
      </w:pPr>
      <w:r>
        <w:tab/>
      </w:r>
      <w:r>
        <w:tab/>
      </w:r>
      <w:r w:rsidRPr="006818CC">
        <w:t xml:space="preserve">Luzius </w:t>
      </w:r>
      <w:r w:rsidRPr="006818CC">
        <w:rPr>
          <w:rStyle w:val="JuNames"/>
        </w:rPr>
        <w:t>Wildhaber</w:t>
      </w:r>
      <w:r w:rsidRPr="006818CC">
        <w:rPr>
          <w:rStyle w:val="JuNames"/>
        </w:rPr>
        <w:br/>
      </w:r>
      <w:r w:rsidRPr="006818CC">
        <w:rPr>
          <w:rStyle w:val="JuNames"/>
        </w:rPr>
        <w:tab/>
      </w:r>
      <w:r w:rsidRPr="006818CC">
        <w:rPr>
          <w:rStyle w:val="JuNames"/>
        </w:rPr>
        <w:tab/>
      </w:r>
      <w:r w:rsidRPr="006818CC">
        <w:t>President</w:t>
      </w:r>
      <w:r w:rsidRPr="006818CC">
        <w:rPr>
          <w:rStyle w:val="JuNames"/>
        </w:rPr>
        <w:br/>
      </w:r>
      <w:r w:rsidRPr="006818CC">
        <w:rPr>
          <w:rStyle w:val="JuNames"/>
        </w:rPr>
        <w:tab/>
      </w:r>
      <w:r w:rsidR="00F2618C">
        <w:t xml:space="preserve"> </w:t>
      </w:r>
      <w:smartTag w:uri="urn:schemas-microsoft-com:office:smarttags" w:element="place">
        <w:smartTag w:uri="urn:schemas-microsoft-com:office:smarttags" w:element="City">
          <w:r>
            <w:t>L</w:t>
          </w:r>
          <w:r w:rsidR="00D50F5D">
            <w:t>awrence</w:t>
          </w:r>
        </w:smartTag>
      </w:smartTag>
      <w:r w:rsidRPr="006818CC">
        <w:t xml:space="preserve"> </w:t>
      </w:r>
      <w:r>
        <w:t>E</w:t>
      </w:r>
      <w:r w:rsidRPr="006818CC">
        <w:rPr>
          <w:rStyle w:val="JuNames"/>
        </w:rPr>
        <w:t>a</w:t>
      </w:r>
      <w:r>
        <w:rPr>
          <w:rStyle w:val="JuNames"/>
        </w:rPr>
        <w:t>rly</w:t>
      </w:r>
      <w:r w:rsidRPr="006818CC">
        <w:rPr>
          <w:rStyle w:val="JuNames"/>
        </w:rPr>
        <w:br/>
      </w:r>
      <w:r w:rsidR="00F2618C">
        <w:rPr>
          <w:rStyle w:val="JuNames"/>
        </w:rPr>
        <w:t xml:space="preserve"> </w:t>
      </w:r>
      <w:r w:rsidRPr="006818CC">
        <w:tab/>
      </w:r>
      <w:r>
        <w:t xml:space="preserve">Deputy </w:t>
      </w:r>
      <w:r w:rsidRPr="006818CC">
        <w:t>Registrar</w:t>
      </w:r>
    </w:p>
    <w:p w:rsidRPr="005D023B" w:rsidR="00CD49A7" w:rsidP="004A6F9E" w:rsidRDefault="00CB4D85">
      <w:pPr>
        <w:pStyle w:val="JuParaLast"/>
      </w:pPr>
      <w:r w:rsidRPr="005D023B">
        <w:tab/>
      </w:r>
      <w:r w:rsidRPr="005D023B" w:rsidR="00CD49A7">
        <w:t xml:space="preserve">In accordance with Article 45 § 2 of the Convention and Rule 74 </w:t>
      </w:r>
      <w:r w:rsidR="008967D6">
        <w:t>§ 2 of the Rules of Court, the following</w:t>
      </w:r>
      <w:r w:rsidRPr="005D023B" w:rsidR="00CD49A7">
        <w:t xml:space="preserve"> </w:t>
      </w:r>
      <w:r w:rsidR="00EF0072">
        <w:t>separate opinions are annexed to this judgment</w:t>
      </w:r>
      <w:r w:rsidR="004C534E">
        <w:t>:</w:t>
      </w:r>
    </w:p>
    <w:p w:rsidRPr="005D023B" w:rsidR="00CD49A7" w:rsidP="004A6F9E" w:rsidRDefault="00CD49A7">
      <w:pPr>
        <w:pStyle w:val="JuPara"/>
      </w:pPr>
      <w:r w:rsidRPr="005D023B">
        <w:t>(a)  </w:t>
      </w:r>
      <w:r w:rsidR="004C534E">
        <w:t>concurring opinion of Sir</w:t>
      </w:r>
      <w:r w:rsidRPr="005D023B">
        <w:t xml:space="preserve"> </w:t>
      </w:r>
      <w:r w:rsidR="004C534E">
        <w:t>Nicolas Bratza</w:t>
      </w:r>
      <w:r w:rsidRPr="005D023B">
        <w:t>;</w:t>
      </w:r>
    </w:p>
    <w:p w:rsidR="00EB7921" w:rsidP="004A6F9E" w:rsidRDefault="00CD49A7">
      <w:pPr>
        <w:pStyle w:val="JuPara"/>
      </w:pPr>
      <w:r w:rsidRPr="005D023B">
        <w:t>(b)  </w:t>
      </w:r>
      <w:r w:rsidR="004C534E">
        <w:t>joint partly dissenting</w:t>
      </w:r>
      <w:r w:rsidRPr="005D023B">
        <w:t xml:space="preserve"> opinion of </w:t>
      </w:r>
      <w:r w:rsidR="00715D0A">
        <w:t xml:space="preserve">Mr </w:t>
      </w:r>
      <w:r w:rsidR="004C534E">
        <w:t xml:space="preserve">Casadevall, </w:t>
      </w:r>
      <w:r w:rsidR="00715D0A">
        <w:t xml:space="preserve">Mr </w:t>
      </w:r>
      <w:r w:rsidR="004C534E">
        <w:t xml:space="preserve">Hedigan, </w:t>
      </w:r>
      <w:r w:rsidR="00715D0A">
        <w:t>Mrs </w:t>
      </w:r>
      <w:r w:rsidR="004C534E">
        <w:t xml:space="preserve">Mularoni, </w:t>
      </w:r>
      <w:r w:rsidR="00715D0A">
        <w:t xml:space="preserve">Mrs </w:t>
      </w:r>
      <w:r w:rsidR="004C534E">
        <w:t xml:space="preserve">Fura-Sandström, </w:t>
      </w:r>
      <w:r w:rsidR="00715D0A">
        <w:t xml:space="preserve">Mrs </w:t>
      </w:r>
      <w:r w:rsidR="004C534E">
        <w:t xml:space="preserve">Gyulumyan and </w:t>
      </w:r>
      <w:r w:rsidR="00715D0A">
        <w:t xml:space="preserve">Mr </w:t>
      </w:r>
      <w:r w:rsidR="004C534E">
        <w:t>Spielmann.</w:t>
      </w:r>
    </w:p>
    <w:p w:rsidR="00CD49A7" w:rsidP="00EB7921" w:rsidRDefault="00CB4D85">
      <w:pPr>
        <w:pStyle w:val="JuInitialled"/>
      </w:pPr>
      <w:r w:rsidRPr="005D023B">
        <w:t>L.</w:t>
      </w:r>
      <w:r w:rsidR="00CE6696">
        <w:t>W</w:t>
      </w:r>
      <w:r w:rsidRPr="005D023B" w:rsidR="00CD49A7">
        <w:t>.</w:t>
      </w:r>
      <w:r w:rsidRPr="005D023B" w:rsidR="00CD49A7">
        <w:br/>
      </w:r>
      <w:r w:rsidR="00CE6696">
        <w:t>T.L.E</w:t>
      </w:r>
      <w:r w:rsidRPr="005D023B">
        <w:t>.</w:t>
      </w:r>
    </w:p>
    <w:p w:rsidR="003E012A" w:rsidP="003E012A" w:rsidRDefault="003E012A">
      <w:pPr>
        <w:spacing w:line="360" w:lineRule="auto"/>
        <w:jc w:val="center"/>
        <w:sectPr w:rsidR="003E012A" w:rsidSect="005E0639">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326"/>
        </w:sectPr>
      </w:pPr>
    </w:p>
    <w:p w:rsidRPr="00E210B8" w:rsidR="003E012A" w:rsidP="00AE6AFE" w:rsidRDefault="003E012A">
      <w:pPr>
        <w:pStyle w:val="OpiHHead"/>
      </w:pPr>
      <w:r w:rsidRPr="00E210B8">
        <w:t>C</w:t>
      </w:r>
      <w:r w:rsidR="008967D6">
        <w:t>ONCURRING</w:t>
      </w:r>
      <w:r w:rsidRPr="00E210B8">
        <w:t xml:space="preserve"> </w:t>
      </w:r>
      <w:r w:rsidRPr="00E210B8" w:rsidR="00AE6AFE">
        <w:t>O</w:t>
      </w:r>
      <w:r w:rsidR="00AE6AFE">
        <w:t>PINION</w:t>
      </w:r>
      <w:r w:rsidRPr="00E210B8" w:rsidR="00AE6AFE">
        <w:t xml:space="preserve"> </w:t>
      </w:r>
      <w:r w:rsidR="00AE6AFE">
        <w:br/>
        <w:t xml:space="preserve">OF </w:t>
      </w:r>
      <w:r w:rsidRPr="00E210B8">
        <w:t>J</w:t>
      </w:r>
      <w:r w:rsidR="00B701B4">
        <w:t xml:space="preserve">UDGE </w:t>
      </w:r>
      <w:r w:rsidRPr="00E210B8">
        <w:t>S</w:t>
      </w:r>
      <w:r w:rsidR="00AE6AFE">
        <w:t>ir</w:t>
      </w:r>
      <w:r w:rsidR="00B701B4">
        <w:t xml:space="preserve"> </w:t>
      </w:r>
      <w:r w:rsidRPr="00E210B8">
        <w:t>N</w:t>
      </w:r>
      <w:r w:rsidR="00AE6AFE">
        <w:t>icolas</w:t>
      </w:r>
      <w:r w:rsidR="00B701B4">
        <w:t xml:space="preserve"> </w:t>
      </w:r>
      <w:r w:rsidRPr="00E210B8">
        <w:t>B</w:t>
      </w:r>
      <w:r w:rsidR="008967D6">
        <w:t>RATZA</w:t>
      </w:r>
    </w:p>
    <w:p w:rsidR="00B147F8" w:rsidP="00C2450B" w:rsidRDefault="003E012A">
      <w:pPr>
        <w:pStyle w:val="OpiPara"/>
      </w:pPr>
      <w:r>
        <w:t xml:space="preserve">I fully concur with the conclusion and reasons of the majority of the Court on all aspects of the case save for one passage in the reasoning as to the complaint under Article 14 </w:t>
      </w:r>
      <w:r w:rsidR="00301D35">
        <w:t>of the Convention taken</w:t>
      </w:r>
      <w:r>
        <w:t xml:space="preserve"> in conjunction with the substantive aspect of Article 2.</w:t>
      </w:r>
    </w:p>
    <w:p w:rsidR="00B147F8" w:rsidP="00C2450B" w:rsidRDefault="003E012A">
      <w:pPr>
        <w:pStyle w:val="OpiPara"/>
      </w:pPr>
      <w:r>
        <w:t>In paragrap</w:t>
      </w:r>
      <w:r w:rsidR="00AE6AFE">
        <w:t>h 157 of the judgment it is stated</w:t>
      </w:r>
      <w:r>
        <w:t xml:space="preserve"> that it cannot be excluded that in certain cases a respondent Government may be required to disprove an arguable allegation of discrimination, failing which a violation of Article 14 might be found. However, the judgment goes on to state that where, as in the present case, it is alleged that a violent act was motivated by racial prejudice, such an approach would amount to requiring a respondent Government to prove the absence of a particular subjective attitude on the part of the person concerned. The implication of this passage appears to be that, because of the evidential difficulties which would confront a Government, it would rarely, if ever, be appropriate to shift the burden of proof and require a respondent Government to disprove that a killing was racially motivated.</w:t>
      </w:r>
    </w:p>
    <w:p w:rsidR="00B147F8" w:rsidP="00C2450B" w:rsidRDefault="003E012A">
      <w:pPr>
        <w:pStyle w:val="OpiPara"/>
      </w:pPr>
      <w:r>
        <w:t xml:space="preserve">If this is the correct interpretation of the passage, I find it difficult to accept. I can readily envisage cases where, in the context of a killing by an agent of the State, the evidence before the Court is such as to impose a burden on the respondent Government to establish that the killing was not racially motivated. An example would be a case where the evidence showed that attempts to arrest persons of a particular ethnic group had invariably or consistently resulted in the deaths of the persons concerned, while the arrests of persons of other ethnic origin had seldom if ever resulted in the loss of life. A further example would be where the evidence showed that in the planning of an arrest operation it was only where persons of a particular ethnic origin were involved that the arrest team was provided with, </w:t>
      </w:r>
      <w:r w:rsidR="00D21BEF">
        <w:t>or authorised to use, firearms.</w:t>
      </w:r>
      <w:r>
        <w:t xml:space="preserve"> In such cases, it seems to me that it would be for the Government to satisfy the Court there were objectively justified reasons for the apparent difference of treatment and that the ethnic origin of a particular victim had not been a material element in the killing.</w:t>
      </w:r>
    </w:p>
    <w:p w:rsidR="00B147F8" w:rsidP="00C2450B" w:rsidRDefault="003E012A">
      <w:pPr>
        <w:pStyle w:val="OpiPara"/>
      </w:pPr>
      <w:r>
        <w:t>However, there was no evidence of this kind before the Court in the present case and for the reasons given in the judgment I do not find that the material which was before the Court was such as to justify shifting the burden of proof to the respondent Government or finding it established to the required standard of proof that the killing of Mr Angelov and Mr Petkov was, in addition to being wholly unjustified, also racially motivated.</w:t>
      </w:r>
    </w:p>
    <w:p w:rsidR="00C106FE" w:rsidP="00C2450B" w:rsidRDefault="00C106FE">
      <w:pPr>
        <w:pStyle w:val="OpiPara"/>
        <w:rPr>
          <w:lang w:val="bg-BG"/>
        </w:rPr>
      </w:pPr>
    </w:p>
    <w:p w:rsidR="00C106FE" w:rsidP="00C2450B" w:rsidRDefault="00C106FE">
      <w:pPr>
        <w:pStyle w:val="OpiPara"/>
        <w:rPr>
          <w:lang w:val="bg-BG"/>
        </w:rPr>
      </w:pPr>
    </w:p>
    <w:p w:rsidR="00C106FE" w:rsidP="00C2450B" w:rsidRDefault="00C106FE">
      <w:pPr>
        <w:pStyle w:val="OpiPara"/>
        <w:rPr>
          <w:lang w:val="bg-BG"/>
        </w:rPr>
      </w:pPr>
    </w:p>
    <w:p w:rsidR="00C106FE" w:rsidP="00C2450B" w:rsidRDefault="00C106FE">
      <w:pPr>
        <w:pStyle w:val="OpiPara"/>
        <w:rPr>
          <w:lang w:val="bg-BG"/>
        </w:rPr>
      </w:pPr>
    </w:p>
    <w:p w:rsidR="00C106FE" w:rsidP="00C2450B" w:rsidRDefault="00C106FE">
      <w:pPr>
        <w:pStyle w:val="OpiPara"/>
        <w:rPr>
          <w:lang w:val="bg-BG"/>
        </w:rPr>
      </w:pPr>
    </w:p>
    <w:p w:rsidRPr="003D3700" w:rsidR="00C106FE" w:rsidP="00C106FE" w:rsidRDefault="00C106FE">
      <w:pPr>
        <w:pStyle w:val="OpiHHead"/>
      </w:pPr>
      <w:r w:rsidRPr="003D3700">
        <w:t>J</w:t>
      </w:r>
      <w:r>
        <w:t xml:space="preserve">OINT PARTLY DISSENTING OPINION </w:t>
      </w:r>
      <w:r w:rsidR="00AE6AFE">
        <w:br/>
      </w:r>
      <w:r w:rsidRPr="003D3700">
        <w:t>OF JUDGE</w:t>
      </w:r>
      <w:r>
        <w:t>S</w:t>
      </w:r>
      <w:r w:rsidRPr="003D3700">
        <w:t xml:space="preserve"> CASADEVALL,</w:t>
      </w:r>
      <w:r>
        <w:t xml:space="preserve"> </w:t>
      </w:r>
      <w:r w:rsidRPr="003D3700">
        <w:t>HEDIGAN</w:t>
      </w:r>
      <w:r>
        <w:t>,</w:t>
      </w:r>
      <w:r w:rsidRPr="003D3700">
        <w:t xml:space="preserve"> MULARONI</w:t>
      </w:r>
      <w:r>
        <w:t>,</w:t>
      </w:r>
      <w:r w:rsidRPr="003D3700">
        <w:t xml:space="preserve"> </w:t>
      </w:r>
      <w:r>
        <w:t>FURA</w:t>
      </w:r>
      <w:r>
        <w:rPr>
          <w:lang w:val="bg-BG"/>
        </w:rPr>
        <w:noBreakHyphen/>
      </w:r>
      <w:r w:rsidRPr="003D3700">
        <w:t>SANDSTRÖM, GYULUMYAN AND SPIELMANN</w:t>
      </w:r>
    </w:p>
    <w:p w:rsidRPr="00C106FE" w:rsidR="00C106FE" w:rsidP="00C106FE" w:rsidRDefault="00C106FE">
      <w:pPr>
        <w:pStyle w:val="OpiTranslation"/>
        <w:rPr>
          <w:i/>
        </w:rPr>
      </w:pPr>
      <w:r w:rsidRPr="00C106FE">
        <w:rPr>
          <w:i/>
        </w:rPr>
        <w:t>(Translation)</w:t>
      </w:r>
    </w:p>
    <w:p w:rsidR="00B147F8" w:rsidP="00C106FE" w:rsidRDefault="00C106FE">
      <w:pPr>
        <w:pStyle w:val="OpiPara"/>
      </w:pPr>
      <w:r w:rsidRPr="003D3700">
        <w:t>1.  </w:t>
      </w:r>
      <w:r>
        <w:t xml:space="preserve">We voted against point </w:t>
      </w:r>
      <w:r w:rsidRPr="003D3700">
        <w:t xml:space="preserve">4 </w:t>
      </w:r>
      <w:r>
        <w:t>of the operative provisions for the following reasons</w:t>
      </w:r>
      <w:r w:rsidRPr="003D3700">
        <w:t>.</w:t>
      </w:r>
    </w:p>
    <w:p w:rsidR="00C106FE" w:rsidP="00C106FE" w:rsidRDefault="00C106FE">
      <w:pPr>
        <w:pStyle w:val="OpiPara"/>
      </w:pPr>
      <w:r w:rsidRPr="003D3700">
        <w:t>2.  </w:t>
      </w:r>
      <w:r>
        <w:t xml:space="preserve">We cannot subscribe to the new approach adopted by the Court which entails linking a possible violation of Article 14 </w:t>
      </w:r>
      <w:r w:rsidR="00301D35">
        <w:t xml:space="preserve">of the Convention </w:t>
      </w:r>
      <w:r>
        <w:t xml:space="preserve">to the substantive and procedural aspects of Article 2 individually. An overall approach would have been preferable, since it would have better reflected the special nature of Article 14, which has no independent existence as it applies solely to the rights and freedoms guaranteed by the Convention. Since Article 14 has no independent existence, we consider it artificial and unhelpful to distinguish between the substantive and procedural aspects, especially as in the instant case the Court found violations of both these aspects of Article 2. An added problem is that it is too early to measure the impact this new approach will have on the application and interpretation of Protocol No. 12 to the Convention, which has just come into force in respect of the States </w:t>
      </w:r>
      <w:r w:rsidR="00AE6AFE">
        <w:t>that</w:t>
      </w:r>
      <w:r>
        <w:t xml:space="preserve"> have ratified it.</w:t>
      </w:r>
    </w:p>
    <w:p w:rsidR="00B147F8" w:rsidP="00C106FE" w:rsidRDefault="00C106FE">
      <w:pPr>
        <w:pStyle w:val="OpiPara"/>
      </w:pPr>
      <w:r w:rsidRPr="003D3700">
        <w:t>3.  </w:t>
      </w:r>
      <w:r>
        <w:t xml:space="preserve">By drawing a distinction between the substantive and procedural aspects, the majority found a violation of Article 14 of the Convention taken </w:t>
      </w:r>
      <w:r w:rsidR="00AE6AFE">
        <w:t>in conjunction</w:t>
      </w:r>
      <w:r>
        <w:t xml:space="preserve"> with Article 2 solely on the basis of the authorities</w:t>
      </w:r>
      <w:r w:rsidR="00F2618C">
        <w:t>'</w:t>
      </w:r>
      <w:r>
        <w:t xml:space="preserve"> failure to examine whether the events that had led to the deaths of </w:t>
      </w:r>
      <w:r w:rsidRPr="003D3700">
        <w:t>M</w:t>
      </w:r>
      <w:r>
        <w:t>r</w:t>
      </w:r>
      <w:r w:rsidR="00237947">
        <w:t xml:space="preserve"> Ang</w:t>
      </w:r>
      <w:r w:rsidRPr="003D3700">
        <w:t xml:space="preserve">elov </w:t>
      </w:r>
      <w:r>
        <w:t>and</w:t>
      </w:r>
      <w:r w:rsidRPr="003D3700">
        <w:t xml:space="preserve"> M</w:t>
      </w:r>
      <w:r>
        <w:t>r </w:t>
      </w:r>
      <w:r w:rsidRPr="003D3700">
        <w:t xml:space="preserve">Petkov </w:t>
      </w:r>
      <w:r>
        <w:t>may have been racially motivated</w:t>
      </w:r>
      <w:r w:rsidRPr="003D3700">
        <w:t>.</w:t>
      </w:r>
    </w:p>
    <w:p w:rsidR="00C106FE" w:rsidP="00C106FE" w:rsidRDefault="00C106FE">
      <w:pPr>
        <w:pStyle w:val="OpiPara"/>
      </w:pPr>
      <w:r w:rsidRPr="003D3700">
        <w:t>4.  </w:t>
      </w:r>
      <w:r>
        <w:t xml:space="preserve">We agree with that finding. However, looking beyond this purely procedural finding, we are of the view that the other factual elements taken as a whole disclose a violation of Article 14 of the Convention taken </w:t>
      </w:r>
      <w:r w:rsidR="00AE6AFE">
        <w:t>in conjunction</w:t>
      </w:r>
      <w:r>
        <w:t xml:space="preserve"> with Article 2.</w:t>
      </w:r>
    </w:p>
    <w:p w:rsidR="00C106FE" w:rsidP="00C106FE" w:rsidRDefault="00C106FE">
      <w:pPr>
        <w:pStyle w:val="OpiPara"/>
      </w:pPr>
      <w:r w:rsidRPr="003D3700">
        <w:t>5.  </w:t>
      </w:r>
      <w:r>
        <w:t xml:space="preserve">Among these elements, we would note: the fact that shots were fired in a populated area </w:t>
      </w:r>
      <w:r w:rsidRPr="003D3700">
        <w:t xml:space="preserve">– </w:t>
      </w:r>
      <w:r>
        <w:t xml:space="preserve">the Roma district of the village </w:t>
      </w:r>
      <w:r w:rsidRPr="003D3700">
        <w:t xml:space="preserve">– </w:t>
      </w:r>
      <w:r>
        <w:t>without regard for the safety of the public; the fact that the military police were aware of the Roma origin of the victims, neither of whom was armed or considered dangerous; the published accounts of the existence of prejudice and hostility against Roma in Bu</w:t>
      </w:r>
      <w:r w:rsidR="00C33293">
        <w:t>lgaria; the fact that this is</w:t>
      </w:r>
      <w:r>
        <w:t xml:space="preserve"> not the first case against Bulgaria in which the Court has found that representatives of law and order have inflicted fatal injuries on Roma; </w:t>
      </w:r>
      <w:r w:rsidRPr="003D3700">
        <w:t>M</w:t>
      </w:r>
      <w:r>
        <w:t>r</w:t>
      </w:r>
      <w:r w:rsidRPr="003D3700">
        <w:t xml:space="preserve"> M.M.</w:t>
      </w:r>
      <w:r w:rsidR="00F2618C">
        <w:t>'</w:t>
      </w:r>
      <w:r>
        <w:t xml:space="preserve">s evidence that Major </w:t>
      </w:r>
      <w:r w:rsidRPr="003D3700">
        <w:t xml:space="preserve">G. </w:t>
      </w:r>
      <w:r>
        <w:t>had hurled racial abuse at him immediately after the shooting, shouting “You damn Gypsies”; and, lastly,</w:t>
      </w:r>
      <w:r w:rsidRPr="003D3700">
        <w:t xml:space="preserve"> </w:t>
      </w:r>
      <w:r>
        <w:t>the authorities</w:t>
      </w:r>
      <w:r w:rsidR="00F2618C">
        <w:t>'</w:t>
      </w:r>
      <w:r>
        <w:t xml:space="preserve"> failure to take action and the grave procedural shortcomings which prevented the truth from being established.</w:t>
      </w:r>
    </w:p>
    <w:p w:rsidR="00C1491D" w:rsidP="00C1491D" w:rsidRDefault="00C1491D">
      <w:pPr>
        <w:pStyle w:val="OpiPara"/>
        <w:keepNext/>
        <w:keepLines/>
        <w:sectPr w:rsidR="00C1491D" w:rsidSect="003E012A">
          <w:headerReference w:type="even" r:id="rId10"/>
          <w:footnotePr>
            <w:numRestart w:val="eachPage"/>
          </w:footnotePr>
          <w:pgSz w:w="11906" w:h="16838" w:code="9"/>
          <w:pgMar w:top="2274" w:right="2274" w:bottom="2274" w:left="2274" w:header="1701" w:footer="720" w:gutter="0"/>
          <w:cols w:space="720"/>
          <w:docGrid w:linePitch="326"/>
        </w:sectPr>
      </w:pPr>
    </w:p>
    <w:p w:rsidR="00C106FE" w:rsidP="00C1491D" w:rsidRDefault="00C106FE">
      <w:pPr>
        <w:pStyle w:val="OpiPara"/>
        <w:keepNext/>
        <w:keepLines/>
      </w:pPr>
      <w:r w:rsidRPr="003D3700">
        <w:t>6.  </w:t>
      </w:r>
      <w:r>
        <w:t>It is true that the procedural shortcomings constitute a specific factor to which considerable weight must be given</w:t>
      </w:r>
      <w:r w:rsidRPr="003D3700">
        <w:t xml:space="preserve">. </w:t>
      </w:r>
      <w:r>
        <w:t>They are central to the question of who must bear the burden of proof, since it is for the domestic authorities to take effective action to elucidate the relevant facts and a breakdown in the procedure will inevitably have a bearing on the conclusion to be drawn with regard to the substance of the problem.</w:t>
      </w:r>
    </w:p>
    <w:p w:rsidR="00C106FE" w:rsidP="00C106FE" w:rsidRDefault="00C106FE">
      <w:pPr>
        <w:pStyle w:val="OpiPara"/>
      </w:pPr>
      <w:r w:rsidRPr="003D3700">
        <w:t>7.  </w:t>
      </w:r>
      <w:r>
        <w:t xml:space="preserve">However, by restricting the finding of a violation to the procedural aspect, the majority of the Court did not give </w:t>
      </w:r>
      <w:r w:rsidR="00AE6AFE">
        <w:t>enough</w:t>
      </w:r>
      <w:r>
        <w:t xml:space="preserve"> weight to the sufficiently strong, clear and concordant unrebutted presumptions which arose out of the factual evidence in the case taken as a whole and which lead us to conclude that there has been a violation of Article 14 </w:t>
      </w:r>
      <w:r w:rsidR="00AE6AFE">
        <w:t xml:space="preserve">of the Convention </w:t>
      </w:r>
      <w:r>
        <w:t xml:space="preserve">taken </w:t>
      </w:r>
      <w:r w:rsidR="00AE6AFE">
        <w:t>in conjunction with Article 2</w:t>
      </w:r>
      <w:r>
        <w:t>.</w:t>
      </w:r>
    </w:p>
    <w:sectPr w:rsidR="00C106FE" w:rsidSect="003E012A">
      <w:headerReference w:type="even" r:id="rId11"/>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65" w:rsidRDefault="00987865">
      <w:r>
        <w:separator/>
      </w:r>
    </w:p>
  </w:endnote>
  <w:endnote w:type="continuationSeparator" w:id="0">
    <w:p w:rsidR="00987865" w:rsidRDefault="0098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65" w:rsidRDefault="00987865">
      <w:r>
        <w:separator/>
      </w:r>
    </w:p>
  </w:footnote>
  <w:footnote w:type="continuationSeparator" w:id="0">
    <w:p w:rsidR="00987865" w:rsidRDefault="0098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65" w:rsidRDefault="00987865" w:rsidP="005A5344">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987865" w:rsidRDefault="00987865" w:rsidP="005A5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65" w:rsidRDefault="00987865" w:rsidP="00871875">
    <w:pPr>
      <w:pStyle w:val="JuHeader"/>
    </w:pPr>
    <w:r>
      <w:rPr>
        <w:rStyle w:val="PageNumber"/>
      </w:rPr>
      <w:fldChar w:fldCharType="begin"/>
    </w:r>
    <w:r>
      <w:rPr>
        <w:rStyle w:val="PageNumber"/>
      </w:rPr>
      <w:instrText xml:space="preserve"> PAGE </w:instrText>
    </w:r>
    <w:r>
      <w:rPr>
        <w:rStyle w:val="PageNumber"/>
      </w:rPr>
      <w:fldChar w:fldCharType="separate"/>
    </w:r>
    <w:r w:rsidR="00F2618C">
      <w:rPr>
        <w:rStyle w:val="PageNumber"/>
        <w:noProof/>
      </w:rPr>
      <w:t>22</w:t>
    </w:r>
    <w:r>
      <w:rPr>
        <w:rStyle w:val="PageNumber"/>
      </w:rPr>
      <w:fldChar w:fldCharType="end"/>
    </w:r>
    <w:r>
      <w:tab/>
      <w:t xml:space="preserve">NACHOVA AND OTHERS v. </w:t>
    </w:r>
    <w:smartTag w:uri="urn:schemas-microsoft-com:office:smarttags" w:element="place">
      <w:smartTag w:uri="urn:schemas-microsoft-com:office:smarttags" w:element="country-region">
        <w:r>
          <w:t>BULGARIA</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65" w:rsidRPr="00871875" w:rsidRDefault="00987865" w:rsidP="00EB7921">
    <w:pPr>
      <w:pStyle w:val="JuHeader"/>
    </w:pPr>
    <w:r>
      <w:tab/>
    </w:r>
    <w:r w:rsidRPr="00871875">
      <w:t xml:space="preserve">NACHOVA AND OTHERS v. </w:t>
    </w:r>
    <w:smartTag w:uri="urn:schemas-microsoft-com:office:smarttags" w:element="place">
      <w:smartTag w:uri="urn:schemas-microsoft-com:office:smarttags" w:element="country-region">
        <w:r w:rsidRPr="00871875">
          <w:t>BULGARIA</w:t>
        </w:r>
      </w:smartTag>
    </w:smartTag>
    <w:r w:rsidRPr="00871875">
      <w:t xml:space="preserve"> JUDGMENT</w:t>
    </w:r>
    <w:r w:rsidRPr="00871875">
      <w:tab/>
    </w:r>
    <w:r w:rsidRPr="00871875">
      <w:rPr>
        <w:rStyle w:val="PageNumber"/>
        <w:szCs w:val="18"/>
      </w:rPr>
      <w:fldChar w:fldCharType="begin"/>
    </w:r>
    <w:r w:rsidRPr="00871875">
      <w:rPr>
        <w:rStyle w:val="PageNumber"/>
        <w:szCs w:val="18"/>
      </w:rPr>
      <w:instrText xml:space="preserve"> PAGE </w:instrText>
    </w:r>
    <w:r w:rsidRPr="00871875">
      <w:rPr>
        <w:rStyle w:val="PageNumber"/>
        <w:szCs w:val="18"/>
      </w:rPr>
      <w:fldChar w:fldCharType="separate"/>
    </w:r>
    <w:r w:rsidR="00F2618C">
      <w:rPr>
        <w:rStyle w:val="PageNumber"/>
        <w:noProof/>
        <w:szCs w:val="18"/>
      </w:rPr>
      <w:t>21</w:t>
    </w:r>
    <w:r w:rsidRPr="00871875">
      <w:rPr>
        <w:rStyle w:val="PageNumber"/>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65" w:rsidRDefault="00987865" w:rsidP="00871875">
    <w:pPr>
      <w:pStyle w:val="JuHeader"/>
    </w:pPr>
    <w:r>
      <w:rPr>
        <w:rStyle w:val="PageNumber"/>
      </w:rPr>
      <w:fldChar w:fldCharType="begin"/>
    </w:r>
    <w:r>
      <w:rPr>
        <w:rStyle w:val="PageNumber"/>
      </w:rPr>
      <w:instrText xml:space="preserve"> PAGE </w:instrText>
    </w:r>
    <w:r>
      <w:rPr>
        <w:rStyle w:val="PageNumber"/>
      </w:rPr>
      <w:fldChar w:fldCharType="separate"/>
    </w:r>
    <w:r w:rsidR="00D57953">
      <w:rPr>
        <w:rStyle w:val="PageNumber"/>
        <w:noProof/>
      </w:rPr>
      <w:t>40</w:t>
    </w:r>
    <w:r>
      <w:rPr>
        <w:rStyle w:val="PageNumber"/>
      </w:rPr>
      <w:fldChar w:fldCharType="end"/>
    </w:r>
    <w:r>
      <w:tab/>
      <w:t xml:space="preserve">NACHOVA AND OTHERS v. </w:t>
    </w:r>
    <w:smartTag w:uri="urn:schemas-microsoft-com:office:smarttags" w:element="place">
      <w:smartTag w:uri="urn:schemas-microsoft-com:office:smarttags" w:element="country-region">
        <w:r>
          <w:t>BULGARIA</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65" w:rsidRDefault="00987865" w:rsidP="00AE6AFE">
    <w:pPr>
      <w:pStyle w:val="JuHeader"/>
    </w:pPr>
    <w:r>
      <w:rPr>
        <w:rStyle w:val="PageNumber"/>
      </w:rPr>
      <w:fldChar w:fldCharType="begin"/>
    </w:r>
    <w:r>
      <w:rPr>
        <w:rStyle w:val="PageNumber"/>
      </w:rPr>
      <w:instrText xml:space="preserve"> PAGE </w:instrText>
    </w:r>
    <w:r>
      <w:rPr>
        <w:rStyle w:val="PageNumber"/>
      </w:rPr>
      <w:fldChar w:fldCharType="separate"/>
    </w:r>
    <w:r w:rsidR="00D57953">
      <w:rPr>
        <w:rStyle w:val="PageNumber"/>
        <w:noProof/>
      </w:rPr>
      <w:t>42</w:t>
    </w:r>
    <w:r>
      <w:rPr>
        <w:rStyle w:val="PageNumber"/>
      </w:rPr>
      <w:fldChar w:fldCharType="end"/>
    </w:r>
    <w:r>
      <w:tab/>
      <w:t xml:space="preserve">NACHOVA AND OTHERS v. </w:t>
    </w:r>
    <w:smartTag w:uri="urn:schemas-microsoft-com:office:smarttags" w:element="place">
      <w:smartTag w:uri="urn:schemas-microsoft-com:office:smarttags" w:element="country-region">
        <w:r>
          <w:t>BULGARIA</w:t>
        </w:r>
      </w:smartTag>
    </w:smartTag>
    <w:r>
      <w:t xml:space="preserve"> JUDGMENT</w:t>
    </w:r>
    <w:r w:rsidR="00237947">
      <w:t xml:space="preserve"> –</w:t>
    </w:r>
  </w:p>
  <w:p w:rsidR="00987865" w:rsidRDefault="00987865" w:rsidP="00C1491D">
    <w:pPr>
      <w:pStyle w:val="JuHeader"/>
      <w:jc w:val="center"/>
    </w:pPr>
    <w:r>
      <w:t>JOINT PARTLY DISSENTING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E972152"/>
    <w:multiLevelType w:val="hybridMultilevel"/>
    <w:tmpl w:val="C3F28FE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2"/>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3"/>
  </w:num>
  <w:num w:numId="17">
    <w:abstractNumId w:val="22"/>
  </w:num>
  <w:num w:numId="18">
    <w:abstractNumId w:val="29"/>
  </w:num>
  <w:num w:numId="19">
    <w:abstractNumId w:val="27"/>
  </w:num>
  <w:num w:numId="20">
    <w:abstractNumId w:val="11"/>
  </w:num>
  <w:num w:numId="21">
    <w:abstractNumId w:val="24"/>
  </w:num>
  <w:num w:numId="22">
    <w:abstractNumId w:val="16"/>
  </w:num>
  <w:num w:numId="23">
    <w:abstractNumId w:val="18"/>
  </w:num>
  <w:num w:numId="24">
    <w:abstractNumId w:val="6"/>
  </w:num>
  <w:num w:numId="25">
    <w:abstractNumId w:val="8"/>
  </w:num>
  <w:num w:numId="26">
    <w:abstractNumId w:val="30"/>
  </w:num>
  <w:num w:numId="27">
    <w:abstractNumId w:val="15"/>
  </w:num>
  <w:num w:numId="28">
    <w:abstractNumId w:val="19"/>
  </w:num>
  <w:num w:numId="29">
    <w:abstractNumId w:val="17"/>
  </w:num>
  <w:num w:numId="30">
    <w:abstractNumId w:val="14"/>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4A"/>
    <w:rsid w:val="0000235A"/>
    <w:rsid w:val="00002727"/>
    <w:rsid w:val="000214E7"/>
    <w:rsid w:val="00024D28"/>
    <w:rsid w:val="000255C4"/>
    <w:rsid w:val="000266A9"/>
    <w:rsid w:val="0003008D"/>
    <w:rsid w:val="0003545E"/>
    <w:rsid w:val="000359AE"/>
    <w:rsid w:val="000363E5"/>
    <w:rsid w:val="00040ACD"/>
    <w:rsid w:val="00043389"/>
    <w:rsid w:val="00044377"/>
    <w:rsid w:val="0004445B"/>
    <w:rsid w:val="000460E2"/>
    <w:rsid w:val="00053245"/>
    <w:rsid w:val="00054D5F"/>
    <w:rsid w:val="000554D9"/>
    <w:rsid w:val="00060310"/>
    <w:rsid w:val="00060322"/>
    <w:rsid w:val="000645BB"/>
    <w:rsid w:val="00070378"/>
    <w:rsid w:val="00074044"/>
    <w:rsid w:val="0007516F"/>
    <w:rsid w:val="00083DA6"/>
    <w:rsid w:val="00085109"/>
    <w:rsid w:val="00087CF5"/>
    <w:rsid w:val="0009086E"/>
    <w:rsid w:val="000911C6"/>
    <w:rsid w:val="00091C1C"/>
    <w:rsid w:val="0009553F"/>
    <w:rsid w:val="000A6A45"/>
    <w:rsid w:val="000B1824"/>
    <w:rsid w:val="000B2C95"/>
    <w:rsid w:val="000B33ED"/>
    <w:rsid w:val="000C3C63"/>
    <w:rsid w:val="000C3D20"/>
    <w:rsid w:val="000C57FC"/>
    <w:rsid w:val="000D20D4"/>
    <w:rsid w:val="000D2DDB"/>
    <w:rsid w:val="000D5F90"/>
    <w:rsid w:val="000D6314"/>
    <w:rsid w:val="000E0007"/>
    <w:rsid w:val="000E0C76"/>
    <w:rsid w:val="000F3EB7"/>
    <w:rsid w:val="000F7447"/>
    <w:rsid w:val="000F7D37"/>
    <w:rsid w:val="00100443"/>
    <w:rsid w:val="00105BDB"/>
    <w:rsid w:val="00120A89"/>
    <w:rsid w:val="001231AC"/>
    <w:rsid w:val="00123665"/>
    <w:rsid w:val="001236CD"/>
    <w:rsid w:val="0012386B"/>
    <w:rsid w:val="00124120"/>
    <w:rsid w:val="00124DE8"/>
    <w:rsid w:val="00130A4D"/>
    <w:rsid w:val="00136071"/>
    <w:rsid w:val="001378C0"/>
    <w:rsid w:val="0014285B"/>
    <w:rsid w:val="0014591A"/>
    <w:rsid w:val="001460E0"/>
    <w:rsid w:val="001502DD"/>
    <w:rsid w:val="0015294C"/>
    <w:rsid w:val="00157C7F"/>
    <w:rsid w:val="00164061"/>
    <w:rsid w:val="00170E00"/>
    <w:rsid w:val="00172BD8"/>
    <w:rsid w:val="001739D0"/>
    <w:rsid w:val="00175388"/>
    <w:rsid w:val="00175A1F"/>
    <w:rsid w:val="00176B34"/>
    <w:rsid w:val="00177599"/>
    <w:rsid w:val="00177825"/>
    <w:rsid w:val="0018075A"/>
    <w:rsid w:val="001809D0"/>
    <w:rsid w:val="00181BD8"/>
    <w:rsid w:val="001825DB"/>
    <w:rsid w:val="001832F5"/>
    <w:rsid w:val="00185DB4"/>
    <w:rsid w:val="001918E2"/>
    <w:rsid w:val="00195CB7"/>
    <w:rsid w:val="001A7014"/>
    <w:rsid w:val="001A7F37"/>
    <w:rsid w:val="001B4925"/>
    <w:rsid w:val="001B761C"/>
    <w:rsid w:val="001B76CB"/>
    <w:rsid w:val="001B7C17"/>
    <w:rsid w:val="001C0E36"/>
    <w:rsid w:val="001C4131"/>
    <w:rsid w:val="001C4B9D"/>
    <w:rsid w:val="001F1EBB"/>
    <w:rsid w:val="001F64E4"/>
    <w:rsid w:val="00203333"/>
    <w:rsid w:val="00210622"/>
    <w:rsid w:val="00210CB8"/>
    <w:rsid w:val="00211582"/>
    <w:rsid w:val="002151D9"/>
    <w:rsid w:val="00216353"/>
    <w:rsid w:val="002236B1"/>
    <w:rsid w:val="002266FD"/>
    <w:rsid w:val="002365BC"/>
    <w:rsid w:val="00237947"/>
    <w:rsid w:val="00241005"/>
    <w:rsid w:val="00243030"/>
    <w:rsid w:val="00244ADC"/>
    <w:rsid w:val="002507B1"/>
    <w:rsid w:val="00254C8A"/>
    <w:rsid w:val="00254EDF"/>
    <w:rsid w:val="00255356"/>
    <w:rsid w:val="00260B35"/>
    <w:rsid w:val="002710B0"/>
    <w:rsid w:val="00275760"/>
    <w:rsid w:val="0027594E"/>
    <w:rsid w:val="00277439"/>
    <w:rsid w:val="00283F8B"/>
    <w:rsid w:val="002846C2"/>
    <w:rsid w:val="00286A29"/>
    <w:rsid w:val="002939E4"/>
    <w:rsid w:val="002960C5"/>
    <w:rsid w:val="00297F6D"/>
    <w:rsid w:val="002A3007"/>
    <w:rsid w:val="002A40ED"/>
    <w:rsid w:val="002B2C95"/>
    <w:rsid w:val="002C1DE0"/>
    <w:rsid w:val="002C605E"/>
    <w:rsid w:val="002C63DF"/>
    <w:rsid w:val="002D2662"/>
    <w:rsid w:val="002D5258"/>
    <w:rsid w:val="002D6215"/>
    <w:rsid w:val="002E0B59"/>
    <w:rsid w:val="002E167E"/>
    <w:rsid w:val="002E61E9"/>
    <w:rsid w:val="002E68BD"/>
    <w:rsid w:val="002E7897"/>
    <w:rsid w:val="002F03D5"/>
    <w:rsid w:val="002F5DE9"/>
    <w:rsid w:val="002F6A86"/>
    <w:rsid w:val="002F704A"/>
    <w:rsid w:val="002F7A7C"/>
    <w:rsid w:val="00301B2D"/>
    <w:rsid w:val="00301D35"/>
    <w:rsid w:val="00301FF2"/>
    <w:rsid w:val="00302855"/>
    <w:rsid w:val="003108DF"/>
    <w:rsid w:val="00310A22"/>
    <w:rsid w:val="00310E4D"/>
    <w:rsid w:val="00320415"/>
    <w:rsid w:val="0032554A"/>
    <w:rsid w:val="00325631"/>
    <w:rsid w:val="00325E8E"/>
    <w:rsid w:val="00327DED"/>
    <w:rsid w:val="00333CD7"/>
    <w:rsid w:val="003372FB"/>
    <w:rsid w:val="00343687"/>
    <w:rsid w:val="00343D71"/>
    <w:rsid w:val="00351078"/>
    <w:rsid w:val="00352FB8"/>
    <w:rsid w:val="0036556E"/>
    <w:rsid w:val="00367A0A"/>
    <w:rsid w:val="00371900"/>
    <w:rsid w:val="003769D2"/>
    <w:rsid w:val="0037772A"/>
    <w:rsid w:val="0039117A"/>
    <w:rsid w:val="0039283A"/>
    <w:rsid w:val="00392A89"/>
    <w:rsid w:val="003A019E"/>
    <w:rsid w:val="003A14FC"/>
    <w:rsid w:val="003A1732"/>
    <w:rsid w:val="003A2EC6"/>
    <w:rsid w:val="003A4633"/>
    <w:rsid w:val="003A71D4"/>
    <w:rsid w:val="003B0983"/>
    <w:rsid w:val="003C112D"/>
    <w:rsid w:val="003C11C3"/>
    <w:rsid w:val="003E012A"/>
    <w:rsid w:val="003E5B66"/>
    <w:rsid w:val="003F3753"/>
    <w:rsid w:val="003F4271"/>
    <w:rsid w:val="003F452F"/>
    <w:rsid w:val="00407059"/>
    <w:rsid w:val="00416DC6"/>
    <w:rsid w:val="00417049"/>
    <w:rsid w:val="004173EE"/>
    <w:rsid w:val="00420683"/>
    <w:rsid w:val="00421090"/>
    <w:rsid w:val="00421488"/>
    <w:rsid w:val="00422477"/>
    <w:rsid w:val="004229AE"/>
    <w:rsid w:val="00433BCD"/>
    <w:rsid w:val="00434FE6"/>
    <w:rsid w:val="00451FAD"/>
    <w:rsid w:val="00455200"/>
    <w:rsid w:val="00455659"/>
    <w:rsid w:val="0045601F"/>
    <w:rsid w:val="00456C9B"/>
    <w:rsid w:val="00460C7B"/>
    <w:rsid w:val="00461A99"/>
    <w:rsid w:val="00461F05"/>
    <w:rsid w:val="00462B8E"/>
    <w:rsid w:val="00462EEC"/>
    <w:rsid w:val="00464856"/>
    <w:rsid w:val="00464958"/>
    <w:rsid w:val="00466BE0"/>
    <w:rsid w:val="004728E2"/>
    <w:rsid w:val="00484B5B"/>
    <w:rsid w:val="00487BAD"/>
    <w:rsid w:val="0049301D"/>
    <w:rsid w:val="0049507B"/>
    <w:rsid w:val="004971C3"/>
    <w:rsid w:val="004974CB"/>
    <w:rsid w:val="004A0B2A"/>
    <w:rsid w:val="004A2CE9"/>
    <w:rsid w:val="004A589A"/>
    <w:rsid w:val="004A5E2F"/>
    <w:rsid w:val="004A6452"/>
    <w:rsid w:val="004A6F9E"/>
    <w:rsid w:val="004B4DF9"/>
    <w:rsid w:val="004B54D0"/>
    <w:rsid w:val="004B5570"/>
    <w:rsid w:val="004B7706"/>
    <w:rsid w:val="004B7C2B"/>
    <w:rsid w:val="004C5236"/>
    <w:rsid w:val="004C534E"/>
    <w:rsid w:val="004C740A"/>
    <w:rsid w:val="004D1C7B"/>
    <w:rsid w:val="004F2FF9"/>
    <w:rsid w:val="004F3124"/>
    <w:rsid w:val="005014FF"/>
    <w:rsid w:val="005026C3"/>
    <w:rsid w:val="005039AA"/>
    <w:rsid w:val="0050436F"/>
    <w:rsid w:val="005327F5"/>
    <w:rsid w:val="00540263"/>
    <w:rsid w:val="005402BA"/>
    <w:rsid w:val="00542C76"/>
    <w:rsid w:val="0054419D"/>
    <w:rsid w:val="0054650E"/>
    <w:rsid w:val="00553D07"/>
    <w:rsid w:val="00554856"/>
    <w:rsid w:val="00554CB0"/>
    <w:rsid w:val="00555D3D"/>
    <w:rsid w:val="00562DC8"/>
    <w:rsid w:val="00570334"/>
    <w:rsid w:val="00572E20"/>
    <w:rsid w:val="00582B8B"/>
    <w:rsid w:val="005861F4"/>
    <w:rsid w:val="00587536"/>
    <w:rsid w:val="005877BE"/>
    <w:rsid w:val="00587A1B"/>
    <w:rsid w:val="00590693"/>
    <w:rsid w:val="00591CE8"/>
    <w:rsid w:val="005A09EF"/>
    <w:rsid w:val="005A5344"/>
    <w:rsid w:val="005A7455"/>
    <w:rsid w:val="005A7C12"/>
    <w:rsid w:val="005B1D14"/>
    <w:rsid w:val="005B5AA6"/>
    <w:rsid w:val="005B6399"/>
    <w:rsid w:val="005B673A"/>
    <w:rsid w:val="005D023B"/>
    <w:rsid w:val="005D1062"/>
    <w:rsid w:val="005D2C16"/>
    <w:rsid w:val="005D66EF"/>
    <w:rsid w:val="005D777F"/>
    <w:rsid w:val="005D7AE2"/>
    <w:rsid w:val="005E0639"/>
    <w:rsid w:val="005E3499"/>
    <w:rsid w:val="005F089B"/>
    <w:rsid w:val="005F2638"/>
    <w:rsid w:val="005F3C75"/>
    <w:rsid w:val="006001A9"/>
    <w:rsid w:val="0060220C"/>
    <w:rsid w:val="00602C4D"/>
    <w:rsid w:val="00604BB9"/>
    <w:rsid w:val="0061265A"/>
    <w:rsid w:val="00612786"/>
    <w:rsid w:val="00613881"/>
    <w:rsid w:val="00622307"/>
    <w:rsid w:val="0062471F"/>
    <w:rsid w:val="0064425E"/>
    <w:rsid w:val="00651D76"/>
    <w:rsid w:val="006534EC"/>
    <w:rsid w:val="00653BCC"/>
    <w:rsid w:val="00655283"/>
    <w:rsid w:val="00656F44"/>
    <w:rsid w:val="00660F2D"/>
    <w:rsid w:val="006649D8"/>
    <w:rsid w:val="00664E5F"/>
    <w:rsid w:val="00667973"/>
    <w:rsid w:val="006702C7"/>
    <w:rsid w:val="00682202"/>
    <w:rsid w:val="00685419"/>
    <w:rsid w:val="00686050"/>
    <w:rsid w:val="00692754"/>
    <w:rsid w:val="0069627A"/>
    <w:rsid w:val="006A0A07"/>
    <w:rsid w:val="006A2246"/>
    <w:rsid w:val="006A3D1D"/>
    <w:rsid w:val="006A6BDB"/>
    <w:rsid w:val="006A73CE"/>
    <w:rsid w:val="006B3BC2"/>
    <w:rsid w:val="006B3EA0"/>
    <w:rsid w:val="006B4FE9"/>
    <w:rsid w:val="006B7184"/>
    <w:rsid w:val="006C078B"/>
    <w:rsid w:val="006C0BF5"/>
    <w:rsid w:val="006C11AD"/>
    <w:rsid w:val="006C4EB8"/>
    <w:rsid w:val="006C51FD"/>
    <w:rsid w:val="006C6816"/>
    <w:rsid w:val="006D1F1F"/>
    <w:rsid w:val="006D22D6"/>
    <w:rsid w:val="006D29BF"/>
    <w:rsid w:val="006D455B"/>
    <w:rsid w:val="006D5505"/>
    <w:rsid w:val="006E51EF"/>
    <w:rsid w:val="006E721C"/>
    <w:rsid w:val="006E7362"/>
    <w:rsid w:val="006E7429"/>
    <w:rsid w:val="00705616"/>
    <w:rsid w:val="0071211D"/>
    <w:rsid w:val="00715D0A"/>
    <w:rsid w:val="00716079"/>
    <w:rsid w:val="007226F8"/>
    <w:rsid w:val="00723621"/>
    <w:rsid w:val="0072703B"/>
    <w:rsid w:val="007312A3"/>
    <w:rsid w:val="0073240A"/>
    <w:rsid w:val="00736BE6"/>
    <w:rsid w:val="007411BD"/>
    <w:rsid w:val="00744EEE"/>
    <w:rsid w:val="007526A3"/>
    <w:rsid w:val="0076388E"/>
    <w:rsid w:val="00764A75"/>
    <w:rsid w:val="007708B7"/>
    <w:rsid w:val="007711B9"/>
    <w:rsid w:val="007734A7"/>
    <w:rsid w:val="00776B69"/>
    <w:rsid w:val="00780407"/>
    <w:rsid w:val="00782E68"/>
    <w:rsid w:val="0079014C"/>
    <w:rsid w:val="007921E8"/>
    <w:rsid w:val="007943C2"/>
    <w:rsid w:val="0079559F"/>
    <w:rsid w:val="007A41CF"/>
    <w:rsid w:val="007A554E"/>
    <w:rsid w:val="007A708F"/>
    <w:rsid w:val="007B0D21"/>
    <w:rsid w:val="007B2CD2"/>
    <w:rsid w:val="007B6C36"/>
    <w:rsid w:val="007B77D3"/>
    <w:rsid w:val="007C28F5"/>
    <w:rsid w:val="007C5196"/>
    <w:rsid w:val="007C7638"/>
    <w:rsid w:val="007D2983"/>
    <w:rsid w:val="007D312C"/>
    <w:rsid w:val="007D3D2D"/>
    <w:rsid w:val="007D5396"/>
    <w:rsid w:val="007D58BD"/>
    <w:rsid w:val="007D7F69"/>
    <w:rsid w:val="007E10F3"/>
    <w:rsid w:val="007E26DA"/>
    <w:rsid w:val="007E33A0"/>
    <w:rsid w:val="007E58D3"/>
    <w:rsid w:val="007F02B3"/>
    <w:rsid w:val="007F2F9D"/>
    <w:rsid w:val="007F4457"/>
    <w:rsid w:val="007F57E1"/>
    <w:rsid w:val="007F66ED"/>
    <w:rsid w:val="007F6DB8"/>
    <w:rsid w:val="00804042"/>
    <w:rsid w:val="008063F5"/>
    <w:rsid w:val="0081162D"/>
    <w:rsid w:val="00812E31"/>
    <w:rsid w:val="00823B30"/>
    <w:rsid w:val="0082613A"/>
    <w:rsid w:val="0083170A"/>
    <w:rsid w:val="008343FA"/>
    <w:rsid w:val="008358B2"/>
    <w:rsid w:val="00837B6E"/>
    <w:rsid w:val="00841635"/>
    <w:rsid w:val="008554F2"/>
    <w:rsid w:val="0085568A"/>
    <w:rsid w:val="0085663A"/>
    <w:rsid w:val="00863541"/>
    <w:rsid w:val="00866899"/>
    <w:rsid w:val="00867062"/>
    <w:rsid w:val="00870608"/>
    <w:rsid w:val="00871875"/>
    <w:rsid w:val="00872A96"/>
    <w:rsid w:val="008740F0"/>
    <w:rsid w:val="00874A0D"/>
    <w:rsid w:val="00881203"/>
    <w:rsid w:val="008851EE"/>
    <w:rsid w:val="0088535A"/>
    <w:rsid w:val="00891926"/>
    <w:rsid w:val="00891DBE"/>
    <w:rsid w:val="00891E13"/>
    <w:rsid w:val="00895B4A"/>
    <w:rsid w:val="00896015"/>
    <w:rsid w:val="008967D6"/>
    <w:rsid w:val="008A3596"/>
    <w:rsid w:val="008B0EAA"/>
    <w:rsid w:val="008B67ED"/>
    <w:rsid w:val="008C373D"/>
    <w:rsid w:val="008C6B32"/>
    <w:rsid w:val="008D2639"/>
    <w:rsid w:val="008D4E78"/>
    <w:rsid w:val="008D5C0B"/>
    <w:rsid w:val="008E280D"/>
    <w:rsid w:val="008E36F2"/>
    <w:rsid w:val="008E3926"/>
    <w:rsid w:val="008E3A24"/>
    <w:rsid w:val="008F0F84"/>
    <w:rsid w:val="009063F2"/>
    <w:rsid w:val="0090764B"/>
    <w:rsid w:val="009115D2"/>
    <w:rsid w:val="00912F27"/>
    <w:rsid w:val="0092218B"/>
    <w:rsid w:val="0092265E"/>
    <w:rsid w:val="00923C16"/>
    <w:rsid w:val="009339F3"/>
    <w:rsid w:val="00934DA4"/>
    <w:rsid w:val="009379A5"/>
    <w:rsid w:val="00937AE5"/>
    <w:rsid w:val="00937D39"/>
    <w:rsid w:val="00941A69"/>
    <w:rsid w:val="00951043"/>
    <w:rsid w:val="009607CB"/>
    <w:rsid w:val="00970DFE"/>
    <w:rsid w:val="00972C6C"/>
    <w:rsid w:val="00973FF0"/>
    <w:rsid w:val="00974404"/>
    <w:rsid w:val="0097469D"/>
    <w:rsid w:val="00974FC3"/>
    <w:rsid w:val="00981B93"/>
    <w:rsid w:val="00982C92"/>
    <w:rsid w:val="00987865"/>
    <w:rsid w:val="00987A0D"/>
    <w:rsid w:val="00992B3D"/>
    <w:rsid w:val="00994EB7"/>
    <w:rsid w:val="009A0233"/>
    <w:rsid w:val="009A263B"/>
    <w:rsid w:val="009A5870"/>
    <w:rsid w:val="009A701E"/>
    <w:rsid w:val="009B2B1C"/>
    <w:rsid w:val="009B3702"/>
    <w:rsid w:val="009C08FF"/>
    <w:rsid w:val="009C203A"/>
    <w:rsid w:val="009C3664"/>
    <w:rsid w:val="009C4CA6"/>
    <w:rsid w:val="009C5E67"/>
    <w:rsid w:val="009D2F54"/>
    <w:rsid w:val="009E22C4"/>
    <w:rsid w:val="009E622C"/>
    <w:rsid w:val="009E7C80"/>
    <w:rsid w:val="009F30BA"/>
    <w:rsid w:val="00A018CD"/>
    <w:rsid w:val="00A039DD"/>
    <w:rsid w:val="00A058DB"/>
    <w:rsid w:val="00A1049F"/>
    <w:rsid w:val="00A12D10"/>
    <w:rsid w:val="00A13728"/>
    <w:rsid w:val="00A16917"/>
    <w:rsid w:val="00A22000"/>
    <w:rsid w:val="00A23579"/>
    <w:rsid w:val="00A2659E"/>
    <w:rsid w:val="00A27D16"/>
    <w:rsid w:val="00A3017D"/>
    <w:rsid w:val="00A353F7"/>
    <w:rsid w:val="00A36A0A"/>
    <w:rsid w:val="00A42044"/>
    <w:rsid w:val="00A43978"/>
    <w:rsid w:val="00A43FA2"/>
    <w:rsid w:val="00A45E20"/>
    <w:rsid w:val="00A467F5"/>
    <w:rsid w:val="00A47597"/>
    <w:rsid w:val="00A479C8"/>
    <w:rsid w:val="00A5492A"/>
    <w:rsid w:val="00A550D4"/>
    <w:rsid w:val="00A563C3"/>
    <w:rsid w:val="00A60383"/>
    <w:rsid w:val="00A6264D"/>
    <w:rsid w:val="00A635A1"/>
    <w:rsid w:val="00A67B59"/>
    <w:rsid w:val="00A71430"/>
    <w:rsid w:val="00A71E7A"/>
    <w:rsid w:val="00A75348"/>
    <w:rsid w:val="00A76F5E"/>
    <w:rsid w:val="00A834BB"/>
    <w:rsid w:val="00A83B45"/>
    <w:rsid w:val="00A85670"/>
    <w:rsid w:val="00A85F91"/>
    <w:rsid w:val="00A962F9"/>
    <w:rsid w:val="00AA217B"/>
    <w:rsid w:val="00AA3EE8"/>
    <w:rsid w:val="00AA7B9D"/>
    <w:rsid w:val="00AB0DC6"/>
    <w:rsid w:val="00AB193C"/>
    <w:rsid w:val="00AC4469"/>
    <w:rsid w:val="00AD121B"/>
    <w:rsid w:val="00AD4ADC"/>
    <w:rsid w:val="00AD77C8"/>
    <w:rsid w:val="00AE6AFE"/>
    <w:rsid w:val="00AF139E"/>
    <w:rsid w:val="00AF2052"/>
    <w:rsid w:val="00AF3EFD"/>
    <w:rsid w:val="00AF45B5"/>
    <w:rsid w:val="00AF783F"/>
    <w:rsid w:val="00B0486C"/>
    <w:rsid w:val="00B06097"/>
    <w:rsid w:val="00B070D4"/>
    <w:rsid w:val="00B12AB4"/>
    <w:rsid w:val="00B13B21"/>
    <w:rsid w:val="00B147F8"/>
    <w:rsid w:val="00B17633"/>
    <w:rsid w:val="00B177BE"/>
    <w:rsid w:val="00B21025"/>
    <w:rsid w:val="00B22A49"/>
    <w:rsid w:val="00B24604"/>
    <w:rsid w:val="00B24D17"/>
    <w:rsid w:val="00B27615"/>
    <w:rsid w:val="00B31113"/>
    <w:rsid w:val="00B428A2"/>
    <w:rsid w:val="00B45993"/>
    <w:rsid w:val="00B45B68"/>
    <w:rsid w:val="00B558C6"/>
    <w:rsid w:val="00B66FA0"/>
    <w:rsid w:val="00B675C7"/>
    <w:rsid w:val="00B701B4"/>
    <w:rsid w:val="00B71C55"/>
    <w:rsid w:val="00B74454"/>
    <w:rsid w:val="00B75FDB"/>
    <w:rsid w:val="00B801F6"/>
    <w:rsid w:val="00B8142C"/>
    <w:rsid w:val="00B825D1"/>
    <w:rsid w:val="00B82944"/>
    <w:rsid w:val="00B82FFE"/>
    <w:rsid w:val="00B831E8"/>
    <w:rsid w:val="00B858AB"/>
    <w:rsid w:val="00B909D7"/>
    <w:rsid w:val="00B93750"/>
    <w:rsid w:val="00B93C2D"/>
    <w:rsid w:val="00B97214"/>
    <w:rsid w:val="00BA30DB"/>
    <w:rsid w:val="00BA6DD9"/>
    <w:rsid w:val="00BB46CD"/>
    <w:rsid w:val="00BB7AEA"/>
    <w:rsid w:val="00BC7F1B"/>
    <w:rsid w:val="00BD0444"/>
    <w:rsid w:val="00BD2037"/>
    <w:rsid w:val="00BE1317"/>
    <w:rsid w:val="00BE26A4"/>
    <w:rsid w:val="00BF3BC3"/>
    <w:rsid w:val="00BF3FE1"/>
    <w:rsid w:val="00BF5B59"/>
    <w:rsid w:val="00BF6C83"/>
    <w:rsid w:val="00BF6CE2"/>
    <w:rsid w:val="00C01519"/>
    <w:rsid w:val="00C106FE"/>
    <w:rsid w:val="00C13BEB"/>
    <w:rsid w:val="00C1491D"/>
    <w:rsid w:val="00C211F7"/>
    <w:rsid w:val="00C232D7"/>
    <w:rsid w:val="00C2450B"/>
    <w:rsid w:val="00C2579B"/>
    <w:rsid w:val="00C30E5C"/>
    <w:rsid w:val="00C33293"/>
    <w:rsid w:val="00C462C5"/>
    <w:rsid w:val="00C50019"/>
    <w:rsid w:val="00C51932"/>
    <w:rsid w:val="00C53E03"/>
    <w:rsid w:val="00C54283"/>
    <w:rsid w:val="00C578F9"/>
    <w:rsid w:val="00C602A2"/>
    <w:rsid w:val="00C822B0"/>
    <w:rsid w:val="00C82D85"/>
    <w:rsid w:val="00C850EB"/>
    <w:rsid w:val="00C86749"/>
    <w:rsid w:val="00C92035"/>
    <w:rsid w:val="00C9324F"/>
    <w:rsid w:val="00CB130B"/>
    <w:rsid w:val="00CB1487"/>
    <w:rsid w:val="00CB1CD7"/>
    <w:rsid w:val="00CB4D85"/>
    <w:rsid w:val="00CB5DAF"/>
    <w:rsid w:val="00CB718B"/>
    <w:rsid w:val="00CC0562"/>
    <w:rsid w:val="00CC216B"/>
    <w:rsid w:val="00CC2640"/>
    <w:rsid w:val="00CC5EEF"/>
    <w:rsid w:val="00CD49A7"/>
    <w:rsid w:val="00CD6B41"/>
    <w:rsid w:val="00CE1D50"/>
    <w:rsid w:val="00CE254A"/>
    <w:rsid w:val="00CE6696"/>
    <w:rsid w:val="00CF1040"/>
    <w:rsid w:val="00CF1C73"/>
    <w:rsid w:val="00D031AC"/>
    <w:rsid w:val="00D07D4F"/>
    <w:rsid w:val="00D11E08"/>
    <w:rsid w:val="00D13DCA"/>
    <w:rsid w:val="00D14C40"/>
    <w:rsid w:val="00D20BCC"/>
    <w:rsid w:val="00D21BEF"/>
    <w:rsid w:val="00D24B46"/>
    <w:rsid w:val="00D25852"/>
    <w:rsid w:val="00D30819"/>
    <w:rsid w:val="00D31E8E"/>
    <w:rsid w:val="00D35E1B"/>
    <w:rsid w:val="00D43AC6"/>
    <w:rsid w:val="00D43E83"/>
    <w:rsid w:val="00D47037"/>
    <w:rsid w:val="00D50F5D"/>
    <w:rsid w:val="00D5530F"/>
    <w:rsid w:val="00D55FBC"/>
    <w:rsid w:val="00D57953"/>
    <w:rsid w:val="00D6059A"/>
    <w:rsid w:val="00D61EBC"/>
    <w:rsid w:val="00D72747"/>
    <w:rsid w:val="00D7767F"/>
    <w:rsid w:val="00D82F9A"/>
    <w:rsid w:val="00D8390C"/>
    <w:rsid w:val="00D854B1"/>
    <w:rsid w:val="00D90B38"/>
    <w:rsid w:val="00D90F55"/>
    <w:rsid w:val="00D91896"/>
    <w:rsid w:val="00D954B4"/>
    <w:rsid w:val="00D9601D"/>
    <w:rsid w:val="00DA6F6A"/>
    <w:rsid w:val="00DB208E"/>
    <w:rsid w:val="00DB2FA2"/>
    <w:rsid w:val="00DC20FF"/>
    <w:rsid w:val="00DC31A7"/>
    <w:rsid w:val="00DC6D21"/>
    <w:rsid w:val="00DD30A0"/>
    <w:rsid w:val="00DD3400"/>
    <w:rsid w:val="00DD36EE"/>
    <w:rsid w:val="00DE0528"/>
    <w:rsid w:val="00DE1B57"/>
    <w:rsid w:val="00DE34E4"/>
    <w:rsid w:val="00DE4747"/>
    <w:rsid w:val="00DE4D4E"/>
    <w:rsid w:val="00DE5D14"/>
    <w:rsid w:val="00DF5B20"/>
    <w:rsid w:val="00DF751A"/>
    <w:rsid w:val="00E03547"/>
    <w:rsid w:val="00E03572"/>
    <w:rsid w:val="00E0393E"/>
    <w:rsid w:val="00E04422"/>
    <w:rsid w:val="00E113D7"/>
    <w:rsid w:val="00E125D8"/>
    <w:rsid w:val="00E23368"/>
    <w:rsid w:val="00E2346B"/>
    <w:rsid w:val="00E23670"/>
    <w:rsid w:val="00E268F4"/>
    <w:rsid w:val="00E36A84"/>
    <w:rsid w:val="00E41C3D"/>
    <w:rsid w:val="00E421D3"/>
    <w:rsid w:val="00E4296C"/>
    <w:rsid w:val="00E47C29"/>
    <w:rsid w:val="00E51488"/>
    <w:rsid w:val="00E623FB"/>
    <w:rsid w:val="00E64B77"/>
    <w:rsid w:val="00E726E7"/>
    <w:rsid w:val="00E75A36"/>
    <w:rsid w:val="00E815D3"/>
    <w:rsid w:val="00E832AE"/>
    <w:rsid w:val="00E9311D"/>
    <w:rsid w:val="00E96804"/>
    <w:rsid w:val="00E977F3"/>
    <w:rsid w:val="00EA06D9"/>
    <w:rsid w:val="00EA07FB"/>
    <w:rsid w:val="00EA457C"/>
    <w:rsid w:val="00EB3A64"/>
    <w:rsid w:val="00EB5F89"/>
    <w:rsid w:val="00EB7921"/>
    <w:rsid w:val="00EC03BB"/>
    <w:rsid w:val="00EC2F58"/>
    <w:rsid w:val="00EC6874"/>
    <w:rsid w:val="00ED57B0"/>
    <w:rsid w:val="00EE39E1"/>
    <w:rsid w:val="00EE4439"/>
    <w:rsid w:val="00EF0072"/>
    <w:rsid w:val="00EF3534"/>
    <w:rsid w:val="00EF3B52"/>
    <w:rsid w:val="00EF55CC"/>
    <w:rsid w:val="00F015ED"/>
    <w:rsid w:val="00F02C8A"/>
    <w:rsid w:val="00F03DE2"/>
    <w:rsid w:val="00F0742C"/>
    <w:rsid w:val="00F12889"/>
    <w:rsid w:val="00F21D2B"/>
    <w:rsid w:val="00F2618C"/>
    <w:rsid w:val="00F3093D"/>
    <w:rsid w:val="00F403C6"/>
    <w:rsid w:val="00F45615"/>
    <w:rsid w:val="00F547A0"/>
    <w:rsid w:val="00F56A66"/>
    <w:rsid w:val="00F607F1"/>
    <w:rsid w:val="00F61AE2"/>
    <w:rsid w:val="00F6289C"/>
    <w:rsid w:val="00F63D9B"/>
    <w:rsid w:val="00F6591C"/>
    <w:rsid w:val="00F70AE0"/>
    <w:rsid w:val="00F7661B"/>
    <w:rsid w:val="00F826FD"/>
    <w:rsid w:val="00F843B7"/>
    <w:rsid w:val="00F869FD"/>
    <w:rsid w:val="00F92A55"/>
    <w:rsid w:val="00F94DB6"/>
    <w:rsid w:val="00F9597B"/>
    <w:rsid w:val="00FA0878"/>
    <w:rsid w:val="00FA439A"/>
    <w:rsid w:val="00FA7B5D"/>
    <w:rsid w:val="00FB0668"/>
    <w:rsid w:val="00FB1F7D"/>
    <w:rsid w:val="00FB4A91"/>
    <w:rsid w:val="00FC7FE1"/>
    <w:rsid w:val="00FD5B33"/>
    <w:rsid w:val="00FD5CAF"/>
    <w:rsid w:val="00FD7926"/>
    <w:rsid w:val="00FF528F"/>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Char">
    <w:name w:val="Ju_Para Char"/>
    <w:basedOn w:val="Normal"/>
    <w:link w:val="JuParaCharChar"/>
    <w:rsid w:val="007D2983"/>
    <w:pPr>
      <w:ind w:firstLine="284"/>
      <w:jc w:val="both"/>
    </w:pPr>
  </w:style>
  <w:style w:type="paragraph" w:customStyle="1" w:styleId="JuHIRoman">
    <w:name w:val="Ju_H_I_Roman"/>
    <w:basedOn w:val="JuHHead"/>
    <w:next w:val="JuParaChar"/>
    <w:link w:val="JuHIRomanChar"/>
    <w:rsid w:val="007D2983"/>
    <w:pPr>
      <w:tabs>
        <w:tab w:val="left" w:pos="357"/>
      </w:tabs>
      <w:spacing w:before="360"/>
      <w:ind w:left="357" w:hanging="357"/>
    </w:pPr>
    <w:rPr>
      <w:sz w:val="24"/>
    </w:rPr>
  </w:style>
  <w:style w:type="paragraph" w:customStyle="1" w:styleId="JuHHead">
    <w:name w:val="Ju_H_Head"/>
    <w:basedOn w:val="Normal"/>
    <w:next w:val="JuPara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Char"/>
    <w:rsid w:val="007D2983"/>
    <w:pPr>
      <w:tabs>
        <w:tab w:val="clear" w:pos="357"/>
        <w:tab w:val="left" w:pos="584"/>
      </w:tabs>
      <w:ind w:left="584" w:hanging="352"/>
    </w:pPr>
    <w:rPr>
      <w:b/>
    </w:rPr>
  </w:style>
  <w:style w:type="paragraph" w:customStyle="1" w:styleId="JuQuot">
    <w:name w:val="Ju_Quot"/>
    <w:basedOn w:val="JuParaChar"/>
    <w:rsid w:val="007D2983"/>
    <w:pPr>
      <w:spacing w:before="120" w:after="120"/>
      <w:ind w:left="425" w:firstLine="142"/>
    </w:pPr>
    <w:rPr>
      <w:sz w:val="20"/>
    </w:rPr>
  </w:style>
  <w:style w:type="paragraph" w:customStyle="1" w:styleId="JuSigned">
    <w:name w:val="Ju_Signed"/>
    <w:basedOn w:val="Normal"/>
    <w:next w:val="JuParaLast"/>
    <w:rsid w:val="007D2983"/>
    <w:pPr>
      <w:tabs>
        <w:tab w:val="center" w:pos="851"/>
        <w:tab w:val="center" w:pos="6521"/>
      </w:tabs>
      <w:spacing w:before="720"/>
    </w:pPr>
  </w:style>
  <w:style w:type="paragraph" w:customStyle="1" w:styleId="JuParaLast">
    <w:name w:val="Ju_Para_Last"/>
    <w:basedOn w:val="JuParaChar"/>
    <w:next w:val="JuParaChar"/>
    <w:rsid w:val="007D2983"/>
    <w:pPr>
      <w:spacing w:before="240"/>
    </w:pPr>
  </w:style>
  <w:style w:type="paragraph" w:customStyle="1" w:styleId="JuCase">
    <w:name w:val="Ju_Case"/>
    <w:basedOn w:val="JuParaChar"/>
    <w:next w:val="JuParaChar"/>
    <w:rsid w:val="007D2983"/>
    <w:rPr>
      <w:b/>
    </w:rPr>
  </w:style>
  <w:style w:type="paragraph" w:customStyle="1" w:styleId="JuList">
    <w:name w:val="Ju_List"/>
    <w:basedOn w:val="JuPara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Char"/>
    <w:rsid w:val="007D2983"/>
    <w:pPr>
      <w:tabs>
        <w:tab w:val="clear" w:pos="731"/>
        <w:tab w:val="left" w:pos="975"/>
      </w:tabs>
      <w:ind w:left="975" w:hanging="340"/>
    </w:pPr>
    <w:rPr>
      <w:b/>
      <w:i w:val="0"/>
      <w:sz w:val="20"/>
    </w:rPr>
  </w:style>
  <w:style w:type="character" w:customStyle="1" w:styleId="JuHIRomanChar">
    <w:name w:val="Ju_H_I_Roman Char"/>
    <w:basedOn w:val="DefaultParagraphFont"/>
    <w:link w:val="JuHIRoman"/>
    <w:rsid w:val="00297F6D"/>
    <w:rPr>
      <w:sz w:val="24"/>
      <w:lang w:val="en-GB" w:eastAsia="fr-FR" w:bidi="ar-SA"/>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Char"/>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Char"/>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Char"/>
    <w:rsid w:val="007D2983"/>
    <w:pPr>
      <w:tabs>
        <w:tab w:val="clear" w:pos="1372"/>
      </w:tabs>
      <w:ind w:left="1236" w:firstLine="0"/>
    </w:pPr>
    <w:rPr>
      <w:i/>
    </w:rPr>
  </w:style>
  <w:style w:type="paragraph" w:customStyle="1" w:styleId="JuHalpha">
    <w:name w:val="Ju_H_alpha"/>
    <w:basedOn w:val="JuHi"/>
    <w:next w:val="JuParaChar"/>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Char"/>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tabs>
        <w:tab w:val="clear" w:pos="851"/>
        <w:tab w:val="clear" w:pos="6521"/>
      </w:tabs>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Char"/>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Char"/>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lear" w:pos="652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Char">
    <w:name w:val="Ju_Para Char Char"/>
    <w:basedOn w:val="DefaultParagraphFont"/>
    <w:link w:val="JuParaChar"/>
    <w:rsid w:val="00837B6E"/>
    <w:rPr>
      <w:sz w:val="24"/>
      <w:lang w:val="en-GB" w:eastAsia="fr-FR" w:bidi="ar-SA"/>
    </w:rPr>
  </w:style>
  <w:style w:type="paragraph" w:customStyle="1" w:styleId="JuPara">
    <w:name w:val="Ju_Para"/>
    <w:basedOn w:val="Normal"/>
    <w:rsid w:val="00837B6E"/>
    <w:pPr>
      <w:ind w:firstLine="284"/>
      <w:jc w:val="both"/>
    </w:pPr>
  </w:style>
  <w:style w:type="character" w:customStyle="1" w:styleId="JuParaCharChar1">
    <w:name w:val="Ju_Para Char Char1"/>
    <w:basedOn w:val="DefaultParagraphFont"/>
    <w:rsid w:val="00951043"/>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C49A2-155E-49C8-A960-23F2F11B5175}"/>
</file>

<file path=customXml/itemProps2.xml><?xml version="1.0" encoding="utf-8"?>
<ds:datastoreItem xmlns:ds="http://schemas.openxmlformats.org/officeDocument/2006/customXml" ds:itemID="{AC5348F8-9F80-4689-AAD6-9F59229AE889}"/>
</file>

<file path=customXml/itemProps3.xml><?xml version="1.0" encoding="utf-8"?>
<ds:datastoreItem xmlns:ds="http://schemas.openxmlformats.org/officeDocument/2006/customXml" ds:itemID="{F28464C5-A3E0-4177-8823-50EB0E425E78}"/>
</file>

<file path=docProps/app.xml><?xml version="1.0" encoding="utf-8"?>
<Properties xmlns="http://schemas.openxmlformats.org/officeDocument/2006/extended-properties" xmlns:vt="http://schemas.openxmlformats.org/officeDocument/2006/docPropsVTypes">
  <Template>Normal.dotm</Template>
  <TotalTime>7120</TotalTime>
  <Pages>1</Pages>
  <Words>17304</Words>
  <Characters>98638</Characters>
  <Application>Microsoft Office Word</Application>
  <DocSecurity>0</DocSecurity>
  <Lines>821</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ECHR</vt:lpstr>
      <vt:lpstr>DE2.1 DJ</vt:lpstr>
    </vt:vector>
  </TitlesOfParts>
  <Manager/>
  <Company/>
  <LinksUpToDate>false</LinksUpToDate>
  <CharactersWithSpaces>115711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28</cp:revision>
  <cp:lastPrinted>2005-07-05T08:54:00Z</cp:lastPrinted>
  <dcterms:created xsi:type="dcterms:W3CDTF">2019-09-27T07:50:00Z</dcterms:created>
  <dcterms:modified xsi:type="dcterms:W3CDTF">2019-09-27T07:50:00Z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