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E01EF" w:rsidR="00724B44" w:rsidP="00724B44" w:rsidRDefault="00724B44">
      <w:pPr>
        <w:spacing w:after="80"/>
        <w:jc w:val="both"/>
        <w:rPr>
          <w:rFonts w:eastAsia="Calibri"/>
          <w:sz w:val="18"/>
          <w:szCs w:val="18"/>
          <w:lang w:eastAsia="en-US"/>
        </w:rPr>
      </w:pPr>
      <w:bookmarkStart w:name="_GoBack" w:id="0"/>
      <w:bookmarkEnd w:id="0"/>
      <w:r w:rsidRPr="00DE01EF">
        <w:rPr>
          <w:rFonts w:eastAsia="Calibri"/>
          <w:sz w:val="18"/>
          <w:szCs w:val="18"/>
          <w:lang w:eastAsia="en-US"/>
        </w:rPr>
        <w:t>© Ured zastupnika Republike Hrvatske pred Europskim sudom za ljudska prava. Sva prava pridržana. Dopuštenje za ponovno objavljivanje ovog sažetka dano je isključivo u svrhu uključivanja u HUDOC bazu podataka Suda.</w:t>
      </w:r>
    </w:p>
    <w:p w:rsidRPr="00DE01EF" w:rsidR="00724B44" w:rsidP="00724B44" w:rsidRDefault="00724B44">
      <w:pPr>
        <w:spacing w:after="80"/>
        <w:jc w:val="both"/>
        <w:rPr>
          <w:rFonts w:eastAsia="Calibri"/>
          <w:sz w:val="18"/>
          <w:szCs w:val="18"/>
          <w:lang w:eastAsia="en-US"/>
        </w:rPr>
      </w:pPr>
    </w:p>
    <w:p w:rsidR="00DE01EF" w:rsidP="00724B44" w:rsidRDefault="00724B44">
      <w:pPr>
        <w:spacing w:after="80"/>
        <w:jc w:val="both"/>
        <w:rPr>
          <w:rFonts w:eastAsia="Calibri"/>
          <w:sz w:val="18"/>
          <w:szCs w:val="18"/>
          <w:lang w:eastAsia="en-US"/>
        </w:rPr>
      </w:pPr>
      <w:r w:rsidRPr="00DE01EF">
        <w:rPr>
          <w:rFonts w:eastAsia="Calibri"/>
          <w:sz w:val="18"/>
          <w:szCs w:val="18"/>
          <w:lang w:eastAsia="en-US"/>
        </w:rPr>
        <w:t xml:space="preserve">© Office of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the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Agent of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the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Republic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of Croatia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before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the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European Court of Human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Rights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.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All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rights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reserved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.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Permission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to re-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publish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this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summary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has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been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granted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for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the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sole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purpose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of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its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inclusion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in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the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Court</w:t>
      </w:r>
      <w:r w:rsidR="00DE01EF">
        <w:rPr>
          <w:rFonts w:eastAsia="Calibri"/>
          <w:sz w:val="18"/>
          <w:szCs w:val="18"/>
          <w:lang w:eastAsia="en-US"/>
        </w:rPr>
        <w:t>’</w:t>
      </w:r>
      <w:r w:rsidRPr="00DE01EF">
        <w:rPr>
          <w:rFonts w:eastAsia="Calibri"/>
          <w:sz w:val="18"/>
          <w:szCs w:val="18"/>
          <w:lang w:eastAsia="en-US"/>
        </w:rPr>
        <w:t xml:space="preserve">s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database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HUDOC.</w:t>
      </w:r>
    </w:p>
    <w:p w:rsidRPr="00DE01EF" w:rsidR="00724B44" w:rsidP="00724B44" w:rsidRDefault="00724B44">
      <w:pPr>
        <w:spacing w:after="80"/>
        <w:jc w:val="both"/>
        <w:rPr>
          <w:rFonts w:eastAsia="Calibri"/>
          <w:sz w:val="18"/>
          <w:szCs w:val="18"/>
          <w:lang w:eastAsia="en-US"/>
        </w:rPr>
      </w:pPr>
    </w:p>
    <w:p w:rsidRPr="00DE01EF" w:rsidR="00724B44" w:rsidP="00724B44" w:rsidRDefault="00724B44">
      <w:pPr>
        <w:spacing w:after="80"/>
        <w:jc w:val="both"/>
        <w:rPr>
          <w:rFonts w:eastAsia="Calibri"/>
          <w:sz w:val="18"/>
          <w:szCs w:val="18"/>
          <w:lang w:eastAsia="en-US"/>
        </w:rPr>
      </w:pPr>
      <w:r w:rsidRPr="00DE01EF">
        <w:rPr>
          <w:rFonts w:eastAsia="Calibri"/>
          <w:sz w:val="18"/>
          <w:szCs w:val="18"/>
          <w:lang w:eastAsia="en-US"/>
        </w:rPr>
        <w:t xml:space="preserve">©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Bureau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de l</w:t>
      </w:r>
      <w:r w:rsidR="00DE01EF">
        <w:rPr>
          <w:rFonts w:eastAsia="Calibri"/>
          <w:sz w:val="18"/>
          <w:szCs w:val="18"/>
          <w:lang w:eastAsia="en-US"/>
        </w:rPr>
        <w:t>’</w:t>
      </w:r>
      <w:r w:rsidRPr="00DE01EF">
        <w:rPr>
          <w:rFonts w:eastAsia="Calibri"/>
          <w:sz w:val="18"/>
          <w:szCs w:val="18"/>
          <w:lang w:eastAsia="en-US"/>
        </w:rPr>
        <w:t xml:space="preserve">Agent de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la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République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de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Croatie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devant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la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Cour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européenne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des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droits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de l</w:t>
      </w:r>
      <w:r w:rsidR="00DE01EF">
        <w:rPr>
          <w:rFonts w:eastAsia="Calibri"/>
          <w:sz w:val="18"/>
          <w:szCs w:val="18"/>
          <w:lang w:eastAsia="en-US"/>
        </w:rPr>
        <w:t>’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homme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.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Tous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droits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réservés</w:t>
      </w:r>
      <w:proofErr w:type="spellEnd"/>
      <w:r w:rsidRPr="00DE01EF">
        <w:rPr>
          <w:rFonts w:eastAsia="Calibri"/>
          <w:sz w:val="18"/>
          <w:szCs w:val="18"/>
          <w:lang w:eastAsia="en-US"/>
        </w:rPr>
        <w:t>. L</w:t>
      </w:r>
      <w:r w:rsidR="00DE01EF">
        <w:rPr>
          <w:rFonts w:eastAsia="Calibri"/>
          <w:sz w:val="18"/>
          <w:szCs w:val="18"/>
          <w:lang w:eastAsia="en-US"/>
        </w:rPr>
        <w:t>’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autorisation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de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republier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ce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résumé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a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été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accordée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dans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le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seul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but de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son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inclusion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dans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la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base de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données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HUDOC de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la</w:t>
      </w:r>
      <w:proofErr w:type="spellEnd"/>
      <w:r w:rsidRPr="00DE01EF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DE01EF">
        <w:rPr>
          <w:rFonts w:eastAsia="Calibri"/>
          <w:sz w:val="18"/>
          <w:szCs w:val="18"/>
          <w:lang w:eastAsia="en-US"/>
        </w:rPr>
        <w:t>Cour</w:t>
      </w:r>
      <w:proofErr w:type="spellEnd"/>
      <w:r w:rsidRPr="00DE01EF">
        <w:rPr>
          <w:rFonts w:eastAsia="Calibri"/>
          <w:sz w:val="18"/>
          <w:szCs w:val="18"/>
          <w:lang w:eastAsia="en-US"/>
        </w:rPr>
        <w:t>.</w:t>
      </w:r>
    </w:p>
    <w:p w:rsidR="00B034C2" w:rsidP="00B034C2" w:rsidRDefault="00B034C2">
      <w:pPr>
        <w:jc w:val="center"/>
        <w:rPr>
          <w:b/>
        </w:rPr>
      </w:pPr>
    </w:p>
    <w:p w:rsidR="00B034C2" w:rsidP="00B034C2" w:rsidRDefault="00B034C2">
      <w:pPr>
        <w:jc w:val="center"/>
        <w:rPr>
          <w:b/>
        </w:rPr>
      </w:pPr>
      <w:r>
        <w:rPr>
          <w:b/>
        </w:rPr>
        <w:t xml:space="preserve">KEEGAN </w:t>
      </w:r>
      <w:r w:rsidR="00577177">
        <w:rPr>
          <w:b/>
        </w:rPr>
        <w:t>PROTIV UJEDINJENOG KRALJEVSTVA</w:t>
      </w:r>
    </w:p>
    <w:p w:rsidR="00B034C2" w:rsidP="00B034C2" w:rsidRDefault="00B034C2">
      <w:pPr>
        <w:jc w:val="center"/>
        <w:rPr>
          <w:b/>
        </w:rPr>
      </w:pPr>
    </w:p>
    <w:p w:rsidRPr="00B91B50" w:rsidR="00B034C2" w:rsidP="00B034C2" w:rsidRDefault="00935413">
      <w:pPr>
        <w:jc w:val="center"/>
        <w:rPr>
          <w:b/>
        </w:rPr>
      </w:pPr>
      <w:r>
        <w:rPr>
          <w:b/>
        </w:rPr>
        <w:t>(članak 8. i</w:t>
      </w:r>
      <w:r w:rsidR="00B034C2">
        <w:rPr>
          <w:b/>
        </w:rPr>
        <w:t xml:space="preserve"> članak 13</w:t>
      </w:r>
      <w:r>
        <w:rPr>
          <w:b/>
        </w:rPr>
        <w:t>.</w:t>
      </w:r>
      <w:r w:rsidRPr="00B91B50" w:rsidR="00B034C2">
        <w:rPr>
          <w:b/>
        </w:rPr>
        <w:t>)</w:t>
      </w:r>
    </w:p>
    <w:p w:rsidR="00B034C2" w:rsidP="00B034C2" w:rsidRDefault="00B034C2">
      <w:pPr>
        <w:jc w:val="center"/>
      </w:pPr>
    </w:p>
    <w:p w:rsidRPr="001E4266" w:rsidR="00B034C2" w:rsidP="00B034C2" w:rsidRDefault="00935413">
      <w:pPr>
        <w:jc w:val="center"/>
        <w:rPr>
          <w:b/>
        </w:rPr>
      </w:pPr>
      <w:r w:rsidRPr="001E4266">
        <w:rPr>
          <w:b/>
        </w:rPr>
        <w:t>Presuda od</w:t>
      </w:r>
      <w:r w:rsidRPr="001E4266" w:rsidR="00B034C2">
        <w:rPr>
          <w:b/>
        </w:rPr>
        <w:t xml:space="preserve"> 18. srpnj</w:t>
      </w:r>
      <w:r w:rsidRPr="001E4266">
        <w:rPr>
          <w:b/>
        </w:rPr>
        <w:t>a</w:t>
      </w:r>
      <w:r w:rsidRPr="001E4266" w:rsidR="00B034C2">
        <w:rPr>
          <w:b/>
        </w:rPr>
        <w:t xml:space="preserve"> 2006.</w:t>
      </w:r>
      <w:r w:rsidRPr="001E4266">
        <w:rPr>
          <w:b/>
        </w:rPr>
        <w:t xml:space="preserve"> godine</w:t>
      </w:r>
    </w:p>
    <w:p w:rsidR="00B034C2" w:rsidRDefault="00B034C2"/>
    <w:p w:rsidR="00B034C2" w:rsidP="001E4266" w:rsidRDefault="00B034C2">
      <w:pPr>
        <w:spacing w:before="120"/>
      </w:pPr>
      <w:r>
        <w:t>Povreda članka 8. ( pravo na poštivanje privatnog i obiteljskog života)</w:t>
      </w:r>
    </w:p>
    <w:p w:rsidR="00B034C2" w:rsidP="001E4266" w:rsidRDefault="00B034C2">
      <w:pPr>
        <w:spacing w:before="120"/>
      </w:pPr>
      <w:r>
        <w:t>Povreda članka 13. (pravo na učinkovito pravno sredstvo)</w:t>
      </w:r>
    </w:p>
    <w:p w:rsidR="00B034C2" w:rsidP="001E4266" w:rsidRDefault="00B034C2">
      <w:pPr>
        <w:spacing w:before="120"/>
        <w:jc w:val="both"/>
      </w:pPr>
      <w:r>
        <w:t xml:space="preserve">Sukladno </w:t>
      </w:r>
      <w:r w:rsidR="00245644">
        <w:t>članku</w:t>
      </w:r>
      <w:r>
        <w:t xml:space="preserve"> 41. (pravedna naknada), Sud je svakom dodijelio 3.000 EUR, Gerardu, Moiri i Carlu Keegan te 2.000 EUR Michaelu, Katie i Sophie Keegan na ime nematerijalne štete. Sud je isto tako dodijelio zajedničku svotu od 9,500 EUR na ime troškova i izdataka.</w:t>
      </w:r>
    </w:p>
    <w:p w:rsidR="00B034C2" w:rsidP="001E4266" w:rsidRDefault="00B034C2">
      <w:pPr>
        <w:spacing w:before="120"/>
        <w:jc w:val="both"/>
      </w:pPr>
    </w:p>
    <w:p w:rsidR="00B034C2" w:rsidP="001E4266" w:rsidRDefault="00B034C2">
      <w:pPr>
        <w:spacing w:before="120"/>
        <w:jc w:val="both"/>
      </w:pPr>
      <w:r>
        <w:rPr>
          <w:b/>
        </w:rPr>
        <w:t>ČINJENICE</w:t>
      </w:r>
    </w:p>
    <w:p w:rsidR="00B034C2" w:rsidP="001E4266" w:rsidRDefault="00B034C2">
      <w:pPr>
        <w:spacing w:before="120"/>
        <w:jc w:val="both"/>
      </w:pPr>
      <w:r>
        <w:t xml:space="preserve">Podnositelji su </w:t>
      </w:r>
      <w:proofErr w:type="spellStart"/>
      <w:r>
        <w:t>Gerard</w:t>
      </w:r>
      <w:proofErr w:type="spellEnd"/>
      <w:r>
        <w:t xml:space="preserve"> </w:t>
      </w:r>
      <w:proofErr w:type="spellStart"/>
      <w:r>
        <w:t>Keegan</w:t>
      </w:r>
      <w:proofErr w:type="spellEnd"/>
      <w:r>
        <w:t>, irski državljanin rođen 1955., njegova žena Moira Keegan, britanska državljanka rođena 1963., njihova dje</w:t>
      </w:r>
      <w:r w:rsidR="00F64CA4">
        <w:t>ca Carl, Michael, Katie i Sophi</w:t>
      </w:r>
      <w:r>
        <w:t>e, britanski državljani rođeni 1985., 1996., 1997., i 1997.</w:t>
      </w:r>
      <w:r w:rsidR="00DE01EF">
        <w:t xml:space="preserve"> </w:t>
      </w:r>
      <w:r w:rsidR="00935413">
        <w:t>godine</w:t>
      </w:r>
      <w:r w:rsidR="00245644">
        <w:t>.</w:t>
      </w:r>
      <w:r>
        <w:t xml:space="preserve"> U vrijeme relev</w:t>
      </w:r>
      <w:r w:rsidR="00F64CA4">
        <w:t>antnog</w:t>
      </w:r>
      <w:r>
        <w:t xml:space="preserve"> događaja živjeli su u Liverpoolu.</w:t>
      </w:r>
    </w:p>
    <w:p w:rsidR="00AE3B25" w:rsidP="001E4266" w:rsidRDefault="00B034C2">
      <w:pPr>
        <w:spacing w:before="120"/>
        <w:jc w:val="both"/>
      </w:pPr>
      <w:r>
        <w:t>Dana 21. listopada 1999.</w:t>
      </w:r>
      <w:r w:rsidR="00935413">
        <w:t xml:space="preserve"> godine</w:t>
      </w:r>
      <w:r>
        <w:t xml:space="preserve"> otprilike u 7 sati ujutro, </w:t>
      </w:r>
      <w:r w:rsidR="00AE3B25">
        <w:t>policija je zabunom, misleći da naoružani pljačkaš tamo živi, nasilno ušla u dom podnositelja, te pretražila prostorije. Upotrijebili su metalnu napravu za razbijanje zidova kako bi napravili rupu u vratima. Kako tamo nisu našli nikog osim podnositelja, policijsk</w:t>
      </w:r>
      <w:r w:rsidR="00935413">
        <w:t xml:space="preserve">i narednik se ispričao g. i </w:t>
      </w:r>
      <w:proofErr w:type="spellStart"/>
      <w:r w:rsidR="00935413">
        <w:t>gđi</w:t>
      </w:r>
      <w:proofErr w:type="spellEnd"/>
      <w:r w:rsidR="00AE3B25">
        <w:t xml:space="preserve"> </w:t>
      </w:r>
      <w:proofErr w:type="spellStart"/>
      <w:r w:rsidR="00AE3B25">
        <w:t>Keegan</w:t>
      </w:r>
      <w:proofErr w:type="spellEnd"/>
      <w:r w:rsidR="00AE3B25">
        <w:t xml:space="preserve">, te </w:t>
      </w:r>
      <w:r w:rsidR="0013447C">
        <w:t xml:space="preserve">se pobrinuo za </w:t>
      </w:r>
      <w:r w:rsidR="00AE3B25">
        <w:t>popravak njihovih vrata.</w:t>
      </w:r>
    </w:p>
    <w:p w:rsidR="006200E5" w:rsidP="001E4266" w:rsidRDefault="00AE3B25">
      <w:pPr>
        <w:spacing w:before="120"/>
        <w:jc w:val="both"/>
      </w:pPr>
      <w:r>
        <w:t>Podnositelji su pokrenuli postupak protiv načelnika policijske uprave Merseyside zbog, između ostalog,</w:t>
      </w:r>
      <w:r w:rsidR="0073162A">
        <w:t xml:space="preserve"> kažnjivog djela</w:t>
      </w:r>
      <w:r>
        <w:t xml:space="preserve"> zloupotrebe</w:t>
      </w:r>
      <w:r w:rsidR="0073162A">
        <w:t xml:space="preserve"> ovlasti prilikom</w:t>
      </w:r>
      <w:r>
        <w:t xml:space="preserve"> </w:t>
      </w:r>
      <w:r w:rsidR="0073162A">
        <w:t>pribavljanja</w:t>
      </w:r>
      <w:r>
        <w:t xml:space="preserve"> naloga za pretragu stana. </w:t>
      </w:r>
      <w:r w:rsidR="006200E5">
        <w:t>Naveli su da su pretrpjeli strah, uznemiravanje i psihičku bol. Medicinski nalazi pokazali su da podnositelji boluju od različitih stupnjeva posttraumatskog stresnog poremećaja.</w:t>
      </w:r>
    </w:p>
    <w:p w:rsidR="006200E5" w:rsidP="001E4266" w:rsidRDefault="0013447C">
      <w:pPr>
        <w:spacing w:before="120"/>
        <w:jc w:val="both"/>
      </w:pPr>
      <w:r>
        <w:t>Presuđujući</w:t>
      </w:r>
      <w:r w:rsidR="006200E5">
        <w:t xml:space="preserve"> protiv podnositelja, sudac </w:t>
      </w:r>
      <w:r w:rsidR="0073162A">
        <w:t>prvostupanjskog s</w:t>
      </w:r>
      <w:r w:rsidR="006200E5">
        <w:t xml:space="preserve">uda naveo je da je policija istraživala ozbiljne i nasilne prijestupe te da nije djelovala neoprezno i izvan zakonom propisanog postupanja, što je nužni element za počinjenje </w:t>
      </w:r>
      <w:r w:rsidR="0073162A">
        <w:t>kažnjivog djela</w:t>
      </w:r>
      <w:r w:rsidR="006200E5">
        <w:t xml:space="preserve"> zlouporabe nabave naloga za pr</w:t>
      </w:r>
      <w:r w:rsidR="0073162A">
        <w:t>etragu stana. Izrazio je suosjeć</w:t>
      </w:r>
      <w:r w:rsidR="006200E5">
        <w:t>ajanje za ono što su podnositelji pretrpjeli, ali, ocjenjujući sukobljene interese</w:t>
      </w:r>
      <w:r>
        <w:t>, namjeru</w:t>
      </w:r>
      <w:r w:rsidR="006200E5">
        <w:t xml:space="preserve"> privođenja nasilnih kriminalaca te zaštitu nepovredivosti obiteljskog doma, smatra da je prevaga otišla na stranu policije.</w:t>
      </w:r>
    </w:p>
    <w:p w:rsidR="00B034C2" w:rsidP="001E4266" w:rsidRDefault="0099475C">
      <w:pPr>
        <w:spacing w:before="120"/>
        <w:jc w:val="both"/>
      </w:pPr>
      <w:r>
        <w:t xml:space="preserve">Žalbeni sud odbio je žalbu podnositelja. </w:t>
      </w:r>
      <w:r w:rsidR="0013447C">
        <w:t>P</w:t>
      </w:r>
      <w:r>
        <w:t>rizivni sudac Kennedy smatrao</w:t>
      </w:r>
      <w:r w:rsidR="0013447C">
        <w:t xml:space="preserve"> je</w:t>
      </w:r>
      <w:r>
        <w:t xml:space="preserve"> da ako su bile provedene propisne istražne radnje i ako su izvještaji o rezultatima propisano podneseni, nije bilo razumnog i opravdanog razloga za nabavu naloga za pretragu stana,</w:t>
      </w:r>
      <w:r w:rsidR="0013447C">
        <w:t xml:space="preserve"> te</w:t>
      </w:r>
      <w:r>
        <w:t xml:space="preserve"> </w:t>
      </w:r>
      <w:r w:rsidR="0013447C">
        <w:t xml:space="preserve">je </w:t>
      </w:r>
      <w:r>
        <w:t>naveo da nije bilo zlouporabe jer ne postoje dokazi postojanja neprimjerenog motiva (nekompetentnost ili nesavjesnost nije dovoljna).</w:t>
      </w:r>
    </w:p>
    <w:p w:rsidR="0099475C" w:rsidP="001E4266" w:rsidRDefault="0099475C">
      <w:pPr>
        <w:spacing w:before="120"/>
        <w:jc w:val="both"/>
      </w:pPr>
    </w:p>
    <w:p w:rsidR="0099475C" w:rsidP="001E4266" w:rsidRDefault="0099475C">
      <w:pPr>
        <w:spacing w:before="120"/>
        <w:jc w:val="both"/>
      </w:pPr>
      <w:r>
        <w:rPr>
          <w:b/>
        </w:rPr>
        <w:t>PRIGOVORI</w:t>
      </w:r>
    </w:p>
    <w:p w:rsidR="0099475C" w:rsidP="001E4266" w:rsidRDefault="0099475C">
      <w:pPr>
        <w:spacing w:before="120"/>
        <w:jc w:val="both"/>
      </w:pPr>
      <w:r>
        <w:t>Podnositelji su se žalili na nasilni ulazak i pretragu od strane policije</w:t>
      </w:r>
      <w:r w:rsidR="00186BFC">
        <w:t xml:space="preserve"> na temelj</w:t>
      </w:r>
      <w:r w:rsidR="00245644">
        <w:t>u</w:t>
      </w:r>
      <w:r w:rsidR="00186BFC">
        <w:t xml:space="preserve"> </w:t>
      </w:r>
      <w:r w:rsidR="00245644">
        <w:t>članka</w:t>
      </w:r>
      <w:r w:rsidR="00186BFC">
        <w:t xml:space="preserve"> 8. (pravo na poštivanje doma) te da nisu imali učinkovito pravno sredstvo kako bi dokazali svoju građansku tužbu na temelju </w:t>
      </w:r>
      <w:r w:rsidR="00245644">
        <w:t>članka</w:t>
      </w:r>
      <w:r w:rsidR="00186BFC">
        <w:t xml:space="preserve"> 13. (pravo na učinkovito pravno sredstvo).</w:t>
      </w:r>
    </w:p>
    <w:p w:rsidR="00186BFC" w:rsidP="001E4266" w:rsidRDefault="00186BFC">
      <w:pPr>
        <w:spacing w:before="120"/>
        <w:jc w:val="both"/>
      </w:pPr>
    </w:p>
    <w:p w:rsidR="00186BFC" w:rsidP="001E4266" w:rsidRDefault="00186BFC">
      <w:pPr>
        <w:spacing w:before="120"/>
        <w:jc w:val="both"/>
      </w:pPr>
      <w:r>
        <w:rPr>
          <w:b/>
        </w:rPr>
        <w:t>ODLUKA SUDA</w:t>
      </w:r>
    </w:p>
    <w:p w:rsidR="00186BFC" w:rsidP="001E4266" w:rsidRDefault="00186BFC">
      <w:pPr>
        <w:spacing w:before="120"/>
        <w:jc w:val="both"/>
        <w:rPr>
          <w:u w:val="single"/>
        </w:rPr>
      </w:pPr>
      <w:r>
        <w:rPr>
          <w:u w:val="single"/>
        </w:rPr>
        <w:t>Članak 8.</w:t>
      </w:r>
    </w:p>
    <w:p w:rsidR="00186BFC" w:rsidP="001E4266" w:rsidRDefault="00186BFC">
      <w:pPr>
        <w:spacing w:before="120"/>
        <w:jc w:val="both"/>
      </w:pPr>
      <w:r>
        <w:t>Sud se složio s navodima domaćih sudova da policija nije djelovala u zloj namjeri. Drži, međutim, da iako su imali opravdane razloge za svoje djelovanje, ti su razlozi bili temeljeni na zabludi koja je mogla, i trebala, biti izbjegnuta adekvatnom primjenom mjera opreza.</w:t>
      </w:r>
    </w:p>
    <w:p w:rsidR="00186BFC" w:rsidP="001E4266" w:rsidRDefault="00186BFC">
      <w:pPr>
        <w:spacing w:before="120"/>
        <w:jc w:val="both"/>
      </w:pPr>
      <w:r>
        <w:t>Za Sud, činjenica da policija nije djelovala u zloj namjeri nije presudni faktor koji treba uzeti u obzir</w:t>
      </w:r>
      <w:r w:rsidR="002225BD">
        <w:t>,</w:t>
      </w:r>
      <w:r>
        <w:t xml:space="preserve"> budući da je Konvencija namijenjena zaštiti od zlouporabe ovlasti, bez obzira na motiv. </w:t>
      </w:r>
      <w:r w:rsidR="00935413">
        <w:t>Za</w:t>
      </w:r>
      <w:r>
        <w:t>diranj</w:t>
      </w:r>
      <w:r w:rsidR="00935413">
        <w:t>e</w:t>
      </w:r>
      <w:r>
        <w:t xml:space="preserve"> u dom i miješanja u privatni život</w:t>
      </w:r>
      <w:r w:rsidR="00935413">
        <w:t xml:space="preserve"> mora</w:t>
      </w:r>
      <w:r w:rsidR="000669F3">
        <w:t xml:space="preserve"> biti u skladu sa razumnim ograničenjima kako bi se smanjio utjecaj na privatni život pojedinca. U slučaju kada nisu učinkovito provedeni koraci da se utvrdi veza između adrese i </w:t>
      </w:r>
      <w:r w:rsidR="002225BD">
        <w:t>prijestupa koji</w:t>
      </w:r>
      <w:r w:rsidR="000669F3">
        <w:t xml:space="preserve"> se istražuje, tako provedena policijska akcija, koja je podnositeljima proizvela značajan strah i zabrinutost, ne može se smatrati prikladnom.</w:t>
      </w:r>
    </w:p>
    <w:p w:rsidR="000669F3" w:rsidP="001E4266" w:rsidRDefault="0073162A">
      <w:pPr>
        <w:spacing w:before="120"/>
        <w:jc w:val="both"/>
      </w:pPr>
      <w:r>
        <w:t>To utvrđenje</w:t>
      </w:r>
      <w:r w:rsidR="000669F3">
        <w:t xml:space="preserve"> </w:t>
      </w:r>
      <w:r w:rsidR="00935413">
        <w:t>ne zna</w:t>
      </w:r>
      <w:r>
        <w:t>či da svrha pretrag</w:t>
      </w:r>
      <w:r w:rsidR="00935413">
        <w:t>e</w:t>
      </w:r>
      <w:r w:rsidR="000669F3">
        <w:t xml:space="preserve">, koja se pokazala neuspješnom, ne bi udovoljila testu proporcionalnosti, </w:t>
      </w:r>
      <w:r>
        <w:t>već</w:t>
      </w:r>
      <w:r w:rsidR="00935413">
        <w:t xml:space="preserve"> je</w:t>
      </w:r>
      <w:r>
        <w:t xml:space="preserve"> do toga došlo zbog propuštanja</w:t>
      </w:r>
      <w:r w:rsidR="00603DDE">
        <w:t xml:space="preserve"> poduzimanja razumnih i prikladnih mjera opreza. Sud je sukladno tome zaključio da u ovom slučaju ravnoteža nije bila prikladno izmjerena te jednoglasno presudio da je došlo do povrede članka 8.</w:t>
      </w:r>
    </w:p>
    <w:p w:rsidR="00603DDE" w:rsidP="001E4266" w:rsidRDefault="00603DDE">
      <w:pPr>
        <w:spacing w:before="120"/>
        <w:jc w:val="both"/>
      </w:pPr>
    </w:p>
    <w:p w:rsidR="00603DDE" w:rsidP="001E4266" w:rsidRDefault="00603DDE">
      <w:pPr>
        <w:spacing w:before="120"/>
        <w:jc w:val="both"/>
      </w:pPr>
      <w:r>
        <w:rPr>
          <w:u w:val="single"/>
        </w:rPr>
        <w:t>Članak 13.</w:t>
      </w:r>
    </w:p>
    <w:p w:rsidR="00DE01EF" w:rsidP="001E4266" w:rsidRDefault="00603DDE">
      <w:pPr>
        <w:spacing w:before="120"/>
        <w:jc w:val="both"/>
      </w:pPr>
      <w:r>
        <w:t xml:space="preserve">Sud je naveo da </w:t>
      </w:r>
      <w:r w:rsidR="003A7992">
        <w:t xml:space="preserve">je </w:t>
      </w:r>
      <w:r>
        <w:t>postupak naknade štete zbo</w:t>
      </w:r>
      <w:r w:rsidR="003A7992">
        <w:t>g</w:t>
      </w:r>
      <w:r>
        <w:t xml:space="preserve"> nasilnog ulaska</w:t>
      </w:r>
      <w:r w:rsidR="003A7992">
        <w:t xml:space="preserve"> i posljedica toga </w:t>
      </w:r>
      <w:r>
        <w:t>koji su pokrenuli podnositelji</w:t>
      </w:r>
      <w:r w:rsidR="003A7992">
        <w:t xml:space="preserve"> bio neuspješan. Domaći sudovi smatrali su da nije bilo osnova za postupak protiv postupanja policije jer je šteta moguća jedino kad se zla namjera može dokazati. Sudovi nisu bili u mogućnosti ispitati proporcionalnost </w:t>
      </w:r>
      <w:r w:rsidR="00F64B09">
        <w:t>ni</w:t>
      </w:r>
      <w:r w:rsidR="003A7992">
        <w:t xml:space="preserve"> </w:t>
      </w:r>
      <w:r w:rsidR="00F64B09">
        <w:t>razumnost</w:t>
      </w:r>
      <w:r w:rsidR="003A7992">
        <w:t xml:space="preserve"> i, kao što su različiti suci u domaćim postupcima naveli, ravnoteža je </w:t>
      </w:r>
      <w:r w:rsidR="00F64B09">
        <w:t xml:space="preserve">takvim slučajevima </w:t>
      </w:r>
      <w:r w:rsidR="003A7992">
        <w:t xml:space="preserve">prevagnula u korist zaštite policije. U svijetlu tih okolnosti, Sud nalazi da podnositelji nisu imali učinkovito sredstvo za naknadu za </w:t>
      </w:r>
      <w:r w:rsidR="00F64B09">
        <w:t>ometanje</w:t>
      </w:r>
      <w:r w:rsidR="003A7992">
        <w:t xml:space="preserve"> njihovih prava na temelju </w:t>
      </w:r>
      <w:r w:rsidR="00245644">
        <w:t>članka</w:t>
      </w:r>
      <w:r w:rsidR="003A7992">
        <w:t xml:space="preserve"> 8. te jednoglasno presudio da je došlo do povrede članka 13.</w:t>
      </w:r>
    </w:p>
    <w:p w:rsidR="00B034C2" w:rsidP="001E4266" w:rsidRDefault="00B034C2">
      <w:pPr>
        <w:spacing w:before="120"/>
      </w:pPr>
    </w:p>
    <w:sectPr w:rsidR="00B0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C2"/>
    <w:rsid w:val="000669F3"/>
    <w:rsid w:val="0013447C"/>
    <w:rsid w:val="00186BFC"/>
    <w:rsid w:val="001E4266"/>
    <w:rsid w:val="002225BD"/>
    <w:rsid w:val="00245644"/>
    <w:rsid w:val="003A7992"/>
    <w:rsid w:val="003F33F0"/>
    <w:rsid w:val="00577177"/>
    <w:rsid w:val="00603DDE"/>
    <w:rsid w:val="006200E5"/>
    <w:rsid w:val="00724B44"/>
    <w:rsid w:val="0073162A"/>
    <w:rsid w:val="00901C47"/>
    <w:rsid w:val="00935413"/>
    <w:rsid w:val="0099475C"/>
    <w:rsid w:val="00AE3B25"/>
    <w:rsid w:val="00B034C2"/>
    <w:rsid w:val="00CD6CF5"/>
    <w:rsid w:val="00DE01EF"/>
    <w:rsid w:val="00F64B09"/>
    <w:rsid w:val="00F6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4C2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9E35A-38F4-4F5A-8DDA-82F9209942BC}"/>
</file>

<file path=customXml/itemProps2.xml><?xml version="1.0" encoding="utf-8"?>
<ds:datastoreItem xmlns:ds="http://schemas.openxmlformats.org/officeDocument/2006/customXml" ds:itemID="{36C8B340-7D58-403A-B5AE-BB70A2D9135E}"/>
</file>

<file path=customXml/itemProps3.xml><?xml version="1.0" encoding="utf-8"?>
<ds:datastoreItem xmlns:ds="http://schemas.openxmlformats.org/officeDocument/2006/customXml" ds:itemID="{E8F58B97-6E38-41C4-B0AC-F2D4731A7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/>
  <dc:creator/>
  <cp:keywords/>
  <cp:lastModifiedBy/>
  <cp:revision>2</cp:revision>
  <dcterms:created xsi:type="dcterms:W3CDTF">2015-03-19T18:09:00Z</dcterms:created>
  <dcterms:modified xsi:type="dcterms:W3CDTF">2015-03-19T18:09:00Z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0x010100558EB02BDB9E204AB350EDD385B68E10</vt:lpwstr>
  </property>
</Properties>
</file>