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685" w:rsidP="00FD01BD" w:rsidRDefault="00985685">
      <w:pPr>
        <w:jc w:val="center"/>
      </w:pPr>
      <w:bookmarkStart w:name="_GoBack" w:id="0"/>
      <w:bookmarkEnd w:id="0"/>
    </w:p>
    <w:p w:rsidRPr="00EA66B3" w:rsidR="00985685" w:rsidP="00985685" w:rsidRDefault="00985685">
      <w:pPr>
        <w:pStyle w:val="NormalWeb"/>
        <w:ind w:left="709" w:right="403"/>
        <w:jc w:val="both"/>
        <w:rPr>
          <w:sz w:val="18"/>
          <w:szCs w:val="18"/>
        </w:rPr>
      </w:pPr>
      <w:r w:rsidRPr="00EA66B3">
        <w:rPr>
          <w:sz w:val="18"/>
          <w:szCs w:val="18"/>
        </w:rPr>
        <w:t xml:space="preserve">© </w:t>
      </w:r>
      <w:proofErr w:type="spellStart"/>
      <w:r w:rsidRPr="00EA66B3">
        <w:rPr>
          <w:sz w:val="18"/>
          <w:szCs w:val="18"/>
        </w:rPr>
        <w:t>Рада</w:t>
      </w:r>
      <w:proofErr w:type="spellEnd"/>
      <w:r w:rsidRPr="00EA66B3">
        <w:rPr>
          <w:sz w:val="18"/>
          <w:szCs w:val="18"/>
        </w:rPr>
        <w:t xml:space="preserve"> Європи/Європейський суд з прав людини, 2012 </w:t>
      </w:r>
      <w:proofErr w:type="spellStart"/>
      <w:r w:rsidRPr="00EA66B3">
        <w:rPr>
          <w:sz w:val="18"/>
          <w:szCs w:val="18"/>
        </w:rPr>
        <w:t>рік</w:t>
      </w:r>
      <w:proofErr w:type="spellEnd"/>
      <w:r w:rsidRPr="00EA66B3">
        <w:rPr>
          <w:sz w:val="18"/>
          <w:szCs w:val="18"/>
        </w:rPr>
        <w:t xml:space="preserve">. </w:t>
      </w:r>
      <w:proofErr w:type="spellStart"/>
      <w:r w:rsidRPr="00EA66B3">
        <w:rPr>
          <w:sz w:val="18"/>
          <w:szCs w:val="18"/>
        </w:rPr>
        <w:t>Цей</w:t>
      </w:r>
      <w:proofErr w:type="spellEnd"/>
      <w:r w:rsidRPr="00EA66B3">
        <w:rPr>
          <w:sz w:val="18"/>
          <w:szCs w:val="18"/>
        </w:rPr>
        <w:t xml:space="preserve"> </w:t>
      </w:r>
      <w:proofErr w:type="spellStart"/>
      <w:r w:rsidRPr="00EA66B3">
        <w:rPr>
          <w:sz w:val="18"/>
          <w:szCs w:val="18"/>
        </w:rPr>
        <w:t>переклад</w:t>
      </w:r>
      <w:proofErr w:type="spellEnd"/>
      <w:r w:rsidRPr="00EA66B3">
        <w:rPr>
          <w:sz w:val="18"/>
          <w:szCs w:val="18"/>
        </w:rPr>
        <w:t xml:space="preserve"> </w:t>
      </w:r>
      <w:proofErr w:type="spellStart"/>
      <w:r w:rsidRPr="00EA66B3">
        <w:rPr>
          <w:sz w:val="18"/>
          <w:szCs w:val="18"/>
        </w:rPr>
        <w:t>було</w:t>
      </w:r>
      <w:proofErr w:type="spellEnd"/>
      <w:r w:rsidRPr="00EA66B3">
        <w:rPr>
          <w:sz w:val="18"/>
          <w:szCs w:val="18"/>
        </w:rPr>
        <w:t xml:space="preserve"> </w:t>
      </w:r>
      <w:proofErr w:type="spellStart"/>
      <w:r w:rsidRPr="00EA66B3">
        <w:rPr>
          <w:sz w:val="18"/>
          <w:szCs w:val="18"/>
        </w:rPr>
        <w:t>здійснено</w:t>
      </w:r>
      <w:proofErr w:type="spellEnd"/>
      <w:r w:rsidRPr="00EA66B3">
        <w:rPr>
          <w:sz w:val="18"/>
          <w:szCs w:val="18"/>
        </w:rPr>
        <w:t xml:space="preserve"> за </w:t>
      </w:r>
      <w:proofErr w:type="spellStart"/>
      <w:r w:rsidRPr="00EA66B3">
        <w:rPr>
          <w:sz w:val="18"/>
          <w:szCs w:val="18"/>
        </w:rPr>
        <w:t>підтримки</w:t>
      </w:r>
      <w:proofErr w:type="spellEnd"/>
      <w:r w:rsidRPr="00EA66B3">
        <w:rPr>
          <w:sz w:val="18"/>
          <w:szCs w:val="18"/>
        </w:rPr>
        <w:t xml:space="preserve"> </w:t>
      </w:r>
      <w:proofErr w:type="spellStart"/>
      <w:r w:rsidRPr="00EA66B3">
        <w:rPr>
          <w:sz w:val="18"/>
          <w:szCs w:val="18"/>
        </w:rPr>
        <w:t>Фундації</w:t>
      </w:r>
      <w:proofErr w:type="spellEnd"/>
      <w:r w:rsidRPr="00EA66B3">
        <w:rPr>
          <w:sz w:val="18"/>
          <w:szCs w:val="18"/>
        </w:rPr>
        <w:t xml:space="preserve"> з </w:t>
      </w:r>
      <w:proofErr w:type="spellStart"/>
      <w:r w:rsidRPr="00EA66B3">
        <w:rPr>
          <w:sz w:val="18"/>
          <w:szCs w:val="18"/>
        </w:rPr>
        <w:t>прав</w:t>
      </w:r>
      <w:proofErr w:type="spellEnd"/>
      <w:r w:rsidRPr="00EA66B3">
        <w:rPr>
          <w:sz w:val="18"/>
          <w:szCs w:val="18"/>
        </w:rPr>
        <w:t xml:space="preserve"> </w:t>
      </w:r>
      <w:proofErr w:type="spellStart"/>
      <w:r w:rsidRPr="00EA66B3">
        <w:rPr>
          <w:sz w:val="18"/>
          <w:szCs w:val="18"/>
        </w:rPr>
        <w:t>людини</w:t>
      </w:r>
      <w:proofErr w:type="spellEnd"/>
      <w:r w:rsidRPr="00EA66B3">
        <w:rPr>
          <w:sz w:val="18"/>
          <w:szCs w:val="18"/>
        </w:rPr>
        <w:t xml:space="preserve"> </w:t>
      </w:r>
      <w:proofErr w:type="spellStart"/>
      <w:r w:rsidRPr="00EA66B3">
        <w:rPr>
          <w:sz w:val="18"/>
          <w:szCs w:val="18"/>
        </w:rPr>
        <w:t>Ради</w:t>
      </w:r>
      <w:proofErr w:type="spellEnd"/>
      <w:r w:rsidRPr="00EA66B3">
        <w:rPr>
          <w:sz w:val="18"/>
          <w:szCs w:val="18"/>
        </w:rPr>
        <w:t xml:space="preserve"> </w:t>
      </w:r>
      <w:proofErr w:type="spellStart"/>
      <w:r w:rsidRPr="00EA66B3">
        <w:rPr>
          <w:sz w:val="18"/>
          <w:szCs w:val="18"/>
        </w:rPr>
        <w:t>Європи</w:t>
      </w:r>
      <w:proofErr w:type="spellEnd"/>
      <w:r w:rsidRPr="00EA66B3">
        <w:rPr>
          <w:sz w:val="18"/>
          <w:szCs w:val="18"/>
        </w:rPr>
        <w:t xml:space="preserve"> (</w:t>
      </w:r>
      <w:hyperlink w:history="1" r:id="rId7">
        <w:r w:rsidRPr="00EA66B3">
          <w:rPr>
            <w:rStyle w:val="Hyperlink"/>
            <w:bCs/>
            <w:sz w:val="18"/>
            <w:szCs w:val="18"/>
          </w:rPr>
          <w:t>www.coe.int/humanrightstrustfund</w:t>
        </w:r>
      </w:hyperlink>
      <w:r w:rsidRPr="00EA66B3">
        <w:rPr>
          <w:sz w:val="18"/>
          <w:szCs w:val="18"/>
        </w:rPr>
        <w:t xml:space="preserve">). </w:t>
      </w:r>
      <w:proofErr w:type="spellStart"/>
      <w:r w:rsidRPr="00EA66B3">
        <w:rPr>
          <w:sz w:val="18"/>
          <w:szCs w:val="18"/>
        </w:rPr>
        <w:t>Він</w:t>
      </w:r>
      <w:proofErr w:type="spellEnd"/>
      <w:r w:rsidRPr="00EA66B3">
        <w:rPr>
          <w:sz w:val="18"/>
          <w:szCs w:val="18"/>
        </w:rPr>
        <w:t xml:space="preserve"> </w:t>
      </w:r>
      <w:proofErr w:type="spellStart"/>
      <w:r w:rsidRPr="00EA66B3">
        <w:rPr>
          <w:sz w:val="18"/>
          <w:szCs w:val="18"/>
        </w:rPr>
        <w:t>не</w:t>
      </w:r>
      <w:proofErr w:type="spellEnd"/>
      <w:r w:rsidRPr="00EA66B3">
        <w:rPr>
          <w:sz w:val="18"/>
          <w:szCs w:val="18"/>
        </w:rPr>
        <w:t xml:space="preserve"> є </w:t>
      </w:r>
      <w:proofErr w:type="spellStart"/>
      <w:r w:rsidRPr="00EA66B3">
        <w:rPr>
          <w:sz w:val="18"/>
          <w:szCs w:val="18"/>
        </w:rPr>
        <w:t>обов</w:t>
      </w:r>
      <w:r w:rsidR="00761A37">
        <w:rPr>
          <w:sz w:val="18"/>
          <w:szCs w:val="18"/>
        </w:rPr>
        <w:t>’</w:t>
      </w:r>
      <w:r w:rsidRPr="00EA66B3">
        <w:rPr>
          <w:sz w:val="18"/>
          <w:szCs w:val="18"/>
        </w:rPr>
        <w:t>язковим</w:t>
      </w:r>
      <w:proofErr w:type="spellEnd"/>
      <w:r w:rsidRPr="00EA66B3">
        <w:rPr>
          <w:sz w:val="18"/>
          <w:szCs w:val="18"/>
        </w:rPr>
        <w:t xml:space="preserve"> </w:t>
      </w:r>
      <w:proofErr w:type="spellStart"/>
      <w:r w:rsidRPr="00EA66B3">
        <w:rPr>
          <w:sz w:val="18"/>
          <w:szCs w:val="18"/>
        </w:rPr>
        <w:t>для</w:t>
      </w:r>
      <w:proofErr w:type="spellEnd"/>
      <w:r w:rsidRPr="00EA66B3">
        <w:rPr>
          <w:sz w:val="18"/>
          <w:szCs w:val="18"/>
        </w:rPr>
        <w:t xml:space="preserve"> </w:t>
      </w:r>
      <w:proofErr w:type="spellStart"/>
      <w:r w:rsidRPr="00EA66B3">
        <w:rPr>
          <w:sz w:val="18"/>
          <w:szCs w:val="18"/>
        </w:rPr>
        <w:t>Суду</w:t>
      </w:r>
      <w:proofErr w:type="spellEnd"/>
      <w:r w:rsidRPr="00EA66B3">
        <w:rPr>
          <w:sz w:val="18"/>
          <w:szCs w:val="18"/>
        </w:rPr>
        <w:t xml:space="preserve">. </w:t>
      </w:r>
      <w:proofErr w:type="spellStart"/>
      <w:r w:rsidRPr="00EA66B3">
        <w:rPr>
          <w:sz w:val="18"/>
          <w:szCs w:val="18"/>
        </w:rPr>
        <w:t>Для</w:t>
      </w:r>
      <w:proofErr w:type="spellEnd"/>
      <w:r w:rsidRPr="00EA66B3">
        <w:rPr>
          <w:sz w:val="18"/>
          <w:szCs w:val="18"/>
        </w:rPr>
        <w:t xml:space="preserve"> </w:t>
      </w:r>
      <w:proofErr w:type="spellStart"/>
      <w:r w:rsidRPr="00EA66B3">
        <w:rPr>
          <w:sz w:val="18"/>
          <w:szCs w:val="18"/>
        </w:rPr>
        <w:t>подальшої</w:t>
      </w:r>
      <w:proofErr w:type="spellEnd"/>
      <w:r w:rsidRPr="00EA66B3">
        <w:rPr>
          <w:sz w:val="18"/>
          <w:szCs w:val="18"/>
        </w:rPr>
        <w:t xml:space="preserve"> </w:t>
      </w:r>
      <w:proofErr w:type="spellStart"/>
      <w:r w:rsidRPr="00EA66B3">
        <w:rPr>
          <w:sz w:val="18"/>
          <w:szCs w:val="18"/>
        </w:rPr>
        <w:t>інформації</w:t>
      </w:r>
      <w:proofErr w:type="spellEnd"/>
      <w:r w:rsidRPr="00EA66B3">
        <w:rPr>
          <w:sz w:val="18"/>
          <w:szCs w:val="18"/>
        </w:rPr>
        <w:t xml:space="preserve"> </w:t>
      </w:r>
      <w:proofErr w:type="spellStart"/>
      <w:r w:rsidRPr="00EA66B3">
        <w:rPr>
          <w:sz w:val="18"/>
          <w:szCs w:val="18"/>
        </w:rPr>
        <w:t>дивіться</w:t>
      </w:r>
      <w:proofErr w:type="spellEnd"/>
      <w:r w:rsidRPr="00EA66B3">
        <w:rPr>
          <w:sz w:val="18"/>
          <w:szCs w:val="18"/>
        </w:rPr>
        <w:t xml:space="preserve"> </w:t>
      </w:r>
      <w:proofErr w:type="spellStart"/>
      <w:r w:rsidRPr="00EA66B3">
        <w:rPr>
          <w:sz w:val="18"/>
          <w:szCs w:val="18"/>
        </w:rPr>
        <w:t>повні</w:t>
      </w:r>
      <w:proofErr w:type="spellEnd"/>
      <w:r w:rsidRPr="00EA66B3">
        <w:rPr>
          <w:sz w:val="18"/>
          <w:szCs w:val="18"/>
        </w:rPr>
        <w:t xml:space="preserve"> </w:t>
      </w:r>
      <w:proofErr w:type="spellStart"/>
      <w:r w:rsidRPr="00EA66B3">
        <w:rPr>
          <w:sz w:val="18"/>
          <w:szCs w:val="18"/>
        </w:rPr>
        <w:t>примітки</w:t>
      </w:r>
      <w:proofErr w:type="spellEnd"/>
      <w:r w:rsidRPr="00EA66B3">
        <w:rPr>
          <w:sz w:val="18"/>
          <w:szCs w:val="18"/>
        </w:rPr>
        <w:t xml:space="preserve"> </w:t>
      </w:r>
      <w:proofErr w:type="spellStart"/>
      <w:r w:rsidRPr="00EA66B3">
        <w:rPr>
          <w:sz w:val="18"/>
          <w:szCs w:val="18"/>
        </w:rPr>
        <w:t>щодо</w:t>
      </w:r>
      <w:proofErr w:type="spellEnd"/>
      <w:r w:rsidRPr="00EA66B3">
        <w:rPr>
          <w:sz w:val="18"/>
          <w:szCs w:val="18"/>
        </w:rPr>
        <w:t xml:space="preserve"> </w:t>
      </w:r>
      <w:proofErr w:type="spellStart"/>
      <w:r w:rsidRPr="00EA66B3">
        <w:rPr>
          <w:sz w:val="18"/>
          <w:szCs w:val="18"/>
        </w:rPr>
        <w:t>авторських</w:t>
      </w:r>
      <w:proofErr w:type="spellEnd"/>
      <w:r w:rsidRPr="00EA66B3">
        <w:rPr>
          <w:sz w:val="18"/>
          <w:szCs w:val="18"/>
        </w:rPr>
        <w:t xml:space="preserve"> </w:t>
      </w:r>
      <w:proofErr w:type="spellStart"/>
      <w:r w:rsidRPr="00EA66B3">
        <w:rPr>
          <w:sz w:val="18"/>
          <w:szCs w:val="18"/>
        </w:rPr>
        <w:t>прав</w:t>
      </w:r>
      <w:proofErr w:type="spellEnd"/>
      <w:r w:rsidRPr="00EA66B3">
        <w:rPr>
          <w:sz w:val="18"/>
          <w:szCs w:val="18"/>
        </w:rPr>
        <w:t xml:space="preserve"> у </w:t>
      </w:r>
      <w:proofErr w:type="spellStart"/>
      <w:r w:rsidRPr="00EA66B3">
        <w:rPr>
          <w:sz w:val="18"/>
          <w:szCs w:val="18"/>
        </w:rPr>
        <w:t>кінці</w:t>
      </w:r>
      <w:proofErr w:type="spellEnd"/>
      <w:r w:rsidRPr="00EA66B3">
        <w:rPr>
          <w:sz w:val="18"/>
          <w:szCs w:val="18"/>
        </w:rPr>
        <w:t xml:space="preserve"> </w:t>
      </w:r>
      <w:proofErr w:type="spellStart"/>
      <w:r w:rsidRPr="00EA66B3">
        <w:rPr>
          <w:sz w:val="18"/>
          <w:szCs w:val="18"/>
        </w:rPr>
        <w:t>цього</w:t>
      </w:r>
      <w:proofErr w:type="spellEnd"/>
      <w:r w:rsidRPr="00EA66B3">
        <w:rPr>
          <w:sz w:val="18"/>
          <w:szCs w:val="18"/>
        </w:rPr>
        <w:t xml:space="preserve"> </w:t>
      </w:r>
      <w:proofErr w:type="spellStart"/>
      <w:r w:rsidRPr="00EA66B3">
        <w:rPr>
          <w:sz w:val="18"/>
          <w:szCs w:val="18"/>
        </w:rPr>
        <w:t>документа</w:t>
      </w:r>
      <w:proofErr w:type="spellEnd"/>
      <w:r w:rsidRPr="00EA66B3">
        <w:rPr>
          <w:sz w:val="18"/>
          <w:szCs w:val="18"/>
        </w:rPr>
        <w:t>.</w:t>
      </w:r>
    </w:p>
    <w:p w:rsidRPr="00EA66B3" w:rsidR="00985685" w:rsidP="00985685" w:rsidRDefault="00985685">
      <w:pPr>
        <w:pStyle w:val="NormalWeb"/>
        <w:ind w:left="709" w:right="403"/>
        <w:jc w:val="both"/>
        <w:rPr>
          <w:sz w:val="18"/>
          <w:szCs w:val="18"/>
        </w:rPr>
      </w:pPr>
      <w:r w:rsidRPr="00EA66B3">
        <w:rPr>
          <w:sz w:val="18"/>
          <w:szCs w:val="18"/>
        </w:rPr>
        <w:t>© Council of Europe/European Court of Human Rights, 2012. This translation was commissioned with the support of the Human Rights Trust Fund of the Council of Europe (</w:t>
      </w:r>
      <w:hyperlink w:history="1" r:id="rId8">
        <w:r w:rsidRPr="00EA66B3">
          <w:rPr>
            <w:rStyle w:val="Hyperlink"/>
            <w:bCs/>
            <w:sz w:val="18"/>
            <w:szCs w:val="18"/>
          </w:rPr>
          <w:t>www.coe.int/humanrightstrustfund</w:t>
        </w:r>
      </w:hyperlink>
      <w:r w:rsidRPr="00EA66B3">
        <w:rPr>
          <w:sz w:val="18"/>
          <w:szCs w:val="18"/>
        </w:rPr>
        <w:t>). It does not bind the Court. For further information see the full copyright indication at the end of this document.</w:t>
      </w:r>
    </w:p>
    <w:p w:rsidRPr="00EA66B3" w:rsidR="00985685" w:rsidP="00985685" w:rsidRDefault="00985685">
      <w:pPr>
        <w:ind w:left="709" w:right="403"/>
        <w:jc w:val="both"/>
        <w:rPr>
          <w:sz w:val="18"/>
          <w:szCs w:val="18"/>
          <w:lang w:val="fr-FR"/>
        </w:rPr>
      </w:pPr>
      <w:r w:rsidRPr="00EA66B3">
        <w:rPr>
          <w:sz w:val="18"/>
          <w:szCs w:val="18"/>
          <w:lang w:val="fr-FR"/>
        </w:rPr>
        <w:t xml:space="preserve">© </w:t>
      </w:r>
      <w:r w:rsidRPr="00EA66B3">
        <w:rPr>
          <w:spacing w:val="-2"/>
          <w:sz w:val="18"/>
          <w:szCs w:val="18"/>
          <w:lang w:val="fr-FR"/>
        </w:rPr>
        <w:t>Conseil de l</w:t>
      </w:r>
      <w:r w:rsidR="00761A37">
        <w:rPr>
          <w:spacing w:val="-2"/>
          <w:sz w:val="18"/>
          <w:szCs w:val="18"/>
          <w:lang w:val="fr-FR"/>
        </w:rPr>
        <w:t>’</w:t>
      </w:r>
      <w:r w:rsidRPr="00EA66B3">
        <w:rPr>
          <w:spacing w:val="-2"/>
          <w:sz w:val="18"/>
          <w:szCs w:val="18"/>
          <w:lang w:val="fr-FR"/>
        </w:rPr>
        <w:t>Europe/Cour européenne des droits de l</w:t>
      </w:r>
      <w:r w:rsidR="00761A37">
        <w:rPr>
          <w:spacing w:val="-2"/>
          <w:sz w:val="18"/>
          <w:szCs w:val="18"/>
          <w:lang w:val="fr-FR"/>
        </w:rPr>
        <w:t>’</w:t>
      </w:r>
      <w:r w:rsidRPr="00EA66B3">
        <w:rPr>
          <w:spacing w:val="-2"/>
          <w:sz w:val="18"/>
          <w:szCs w:val="18"/>
          <w:lang w:val="fr-FR"/>
        </w:rPr>
        <w:t>homme, 2012. La présente traduction a été effectuée avec le soutien du Fonds fiduciaire pour les droits de l</w:t>
      </w:r>
      <w:r w:rsidR="00761A37">
        <w:rPr>
          <w:spacing w:val="-2"/>
          <w:sz w:val="18"/>
          <w:szCs w:val="18"/>
          <w:lang w:val="fr-FR"/>
        </w:rPr>
        <w:t>’</w:t>
      </w:r>
      <w:r w:rsidRPr="00EA66B3">
        <w:rPr>
          <w:spacing w:val="-2"/>
          <w:sz w:val="18"/>
          <w:szCs w:val="18"/>
          <w:lang w:val="fr-FR"/>
        </w:rPr>
        <w:t>homme du Conseil de l</w:t>
      </w:r>
      <w:r w:rsidR="00761A37">
        <w:rPr>
          <w:spacing w:val="-2"/>
          <w:sz w:val="18"/>
          <w:szCs w:val="18"/>
          <w:lang w:val="fr-FR"/>
        </w:rPr>
        <w:t>’</w:t>
      </w:r>
      <w:r w:rsidRPr="00EA66B3">
        <w:rPr>
          <w:spacing w:val="-2"/>
          <w:sz w:val="18"/>
          <w:szCs w:val="18"/>
          <w:lang w:val="fr-FR"/>
        </w:rPr>
        <w:t>Europe (</w:t>
      </w:r>
      <w:hyperlink w:tooltip="http://www.coe.int/humanrightstrustfund" w:history="1" r:id="rId9">
        <w:r w:rsidRPr="00EA66B3">
          <w:rPr>
            <w:rStyle w:val="Hyperlink"/>
            <w:bCs/>
            <w:spacing w:val="-2"/>
            <w:sz w:val="18"/>
            <w:szCs w:val="18"/>
            <w:lang w:val="fr-FR"/>
          </w:rPr>
          <w:t>www.coe.int/humanrightstrustfund</w:t>
        </w:r>
      </w:hyperlink>
      <w:r w:rsidRPr="00EA66B3">
        <w:rPr>
          <w:spacing w:val="-2"/>
          <w:sz w:val="18"/>
          <w:szCs w:val="18"/>
          <w:lang w:val="fr-FR"/>
        </w:rPr>
        <w:t>).</w:t>
      </w:r>
      <w:r w:rsidRPr="00EA66B3">
        <w:rPr>
          <w:sz w:val="18"/>
          <w:szCs w:val="18"/>
          <w:lang w:val="fr-FR"/>
        </w:rPr>
        <w:t xml:space="preserve"> Elle ne lie pas la Cour. Pour plus de renseignements veuillez lire l</w:t>
      </w:r>
      <w:r w:rsidR="00761A37">
        <w:rPr>
          <w:sz w:val="18"/>
          <w:szCs w:val="18"/>
          <w:lang w:val="fr-FR"/>
        </w:rPr>
        <w:t>’</w:t>
      </w:r>
      <w:r w:rsidRPr="00EA66B3">
        <w:rPr>
          <w:sz w:val="18"/>
          <w:szCs w:val="18"/>
          <w:lang w:val="fr-FR"/>
        </w:rPr>
        <w:t>indication de copyright/droits d</w:t>
      </w:r>
      <w:r w:rsidR="00761A37">
        <w:rPr>
          <w:sz w:val="18"/>
          <w:szCs w:val="18"/>
          <w:lang w:val="fr-FR"/>
        </w:rPr>
        <w:t>’</w:t>
      </w:r>
      <w:r w:rsidRPr="00EA66B3">
        <w:rPr>
          <w:sz w:val="18"/>
          <w:szCs w:val="18"/>
          <w:lang w:val="fr-FR"/>
        </w:rPr>
        <w:t>auteur à la fin du présent document.</w:t>
      </w:r>
    </w:p>
    <w:p w:rsidR="00985685" w:rsidP="00FD01BD" w:rsidRDefault="00985685">
      <w:pPr>
        <w:jc w:val="center"/>
        <w:rPr>
          <w:lang w:val="fr-FR"/>
        </w:rPr>
      </w:pPr>
    </w:p>
    <w:p w:rsidRPr="00985685" w:rsidR="00EA66B3" w:rsidP="00FD01BD" w:rsidRDefault="00EA66B3">
      <w:pPr>
        <w:jc w:val="center"/>
        <w:rPr>
          <w:lang w:val="fr-FR"/>
        </w:rPr>
      </w:pPr>
    </w:p>
    <w:p w:rsidRPr="00985685" w:rsidR="00985685" w:rsidP="00FD01BD" w:rsidRDefault="00985685">
      <w:pPr>
        <w:jc w:val="center"/>
        <w:rPr>
          <w:lang w:val="fr-FR"/>
        </w:rPr>
      </w:pPr>
    </w:p>
    <w:p w:rsidRPr="00684DE2" w:rsidR="0009370D" w:rsidP="00FD01BD" w:rsidRDefault="008340D7">
      <w:pPr>
        <w:jc w:val="center"/>
        <w:rPr>
          <w:lang w:val="uk-UA"/>
        </w:rPr>
      </w:pPr>
      <w:r>
        <w:rPr>
          <w:lang w:val="uk-UA"/>
        </w:rPr>
        <w:t>П</w:t>
      </w:r>
      <w:r w:rsidR="00761A37">
        <w:rPr>
          <w:lang w:val="fr-FR"/>
        </w:rPr>
        <w:t>’</w:t>
      </w:r>
      <w:r w:rsidR="00684DE2">
        <w:rPr>
          <w:lang w:val="fr-FR"/>
        </w:rPr>
        <w:t>ЯТА СЕКЦІЯ</w:t>
      </w:r>
    </w:p>
    <w:p w:rsidRPr="00684DE2" w:rsidR="0009370D" w:rsidP="00FD01BD" w:rsidRDefault="0009370D">
      <w:pPr>
        <w:jc w:val="center"/>
        <w:rPr>
          <w:lang w:val="fr-FR"/>
        </w:rPr>
      </w:pPr>
    </w:p>
    <w:p w:rsidRPr="00684DE2" w:rsidR="0009370D" w:rsidP="00FD01BD" w:rsidRDefault="0009370D">
      <w:pPr>
        <w:jc w:val="center"/>
        <w:rPr>
          <w:lang w:val="fr-FR"/>
        </w:rPr>
      </w:pPr>
    </w:p>
    <w:p w:rsidRPr="00C61F0D" w:rsidR="0009370D" w:rsidP="00FD01BD" w:rsidRDefault="00C61F0D">
      <w:pPr>
        <w:jc w:val="center"/>
        <w:rPr>
          <w:b/>
          <w:lang w:val="uk-UA"/>
        </w:rPr>
      </w:pPr>
      <w:r w:rsidRPr="00C61F0D">
        <w:rPr>
          <w:b/>
          <w:caps/>
          <w:lang w:val="uk-UA"/>
        </w:rPr>
        <w:t>справа</w:t>
      </w:r>
      <w:r w:rsidRPr="00684DE2" w:rsidR="0009370D">
        <w:rPr>
          <w:b/>
          <w:lang w:val="fr-FR"/>
        </w:rPr>
        <w:t xml:space="preserve"> JORGIC </w:t>
      </w:r>
      <w:r>
        <w:rPr>
          <w:b/>
          <w:lang w:val="uk-UA"/>
        </w:rPr>
        <w:t>ПРОТИ НІМЕЧЧИНИ</w:t>
      </w:r>
    </w:p>
    <w:p w:rsidRPr="00684DE2" w:rsidR="0009370D" w:rsidP="00FD01BD" w:rsidRDefault="0009370D">
      <w:pPr>
        <w:jc w:val="center"/>
        <w:rPr>
          <w:lang w:val="fr-FR"/>
        </w:rPr>
      </w:pPr>
    </w:p>
    <w:p w:rsidRPr="00684DE2" w:rsidR="002676EE" w:rsidP="00FD01BD" w:rsidRDefault="002676EE">
      <w:pPr>
        <w:jc w:val="center"/>
        <w:rPr>
          <w:lang w:val="fr-FR"/>
        </w:rPr>
      </w:pPr>
    </w:p>
    <w:p w:rsidRPr="00684DE2" w:rsidR="0009370D" w:rsidP="00FD01BD" w:rsidRDefault="0009370D">
      <w:pPr>
        <w:jc w:val="center"/>
        <w:rPr>
          <w:i/>
          <w:lang w:val="fr-FR"/>
        </w:rPr>
      </w:pPr>
      <w:r w:rsidRPr="00684DE2">
        <w:rPr>
          <w:i/>
          <w:lang w:val="fr-FR"/>
        </w:rPr>
        <w:t>(</w:t>
      </w:r>
      <w:r w:rsidR="00684DE2">
        <w:rPr>
          <w:i/>
          <w:lang w:val="uk-UA"/>
        </w:rPr>
        <w:t>Заява №</w:t>
      </w:r>
      <w:r w:rsidRPr="00684DE2">
        <w:rPr>
          <w:i/>
          <w:lang w:val="fr-FR"/>
        </w:rPr>
        <w:t xml:space="preserve"> 74613/01)</w:t>
      </w:r>
    </w:p>
    <w:p w:rsidRPr="00684DE2" w:rsidR="0009370D" w:rsidP="00FD01BD" w:rsidRDefault="0009370D">
      <w:pPr>
        <w:pStyle w:val="JuPara"/>
        <w:ind w:firstLine="0"/>
        <w:jc w:val="center"/>
        <w:rPr>
          <w:lang w:val="fr-FR" w:eastAsia="en-US"/>
        </w:rPr>
      </w:pPr>
    </w:p>
    <w:p w:rsidRPr="00684DE2" w:rsidR="0009370D" w:rsidP="00FD01BD" w:rsidRDefault="0009370D">
      <w:pPr>
        <w:pStyle w:val="JuPara"/>
        <w:ind w:firstLine="0"/>
        <w:jc w:val="center"/>
        <w:rPr>
          <w:lang w:val="fr-FR" w:eastAsia="en-US"/>
        </w:rPr>
      </w:pPr>
    </w:p>
    <w:p w:rsidRPr="00684DE2" w:rsidR="0009370D" w:rsidP="00FD01BD" w:rsidRDefault="00684DE2">
      <w:pPr>
        <w:pStyle w:val="JuPara"/>
        <w:ind w:firstLine="0"/>
        <w:jc w:val="center"/>
        <w:rPr>
          <w:lang w:val="uk-UA" w:eastAsia="en-US"/>
        </w:rPr>
      </w:pPr>
      <w:r>
        <w:rPr>
          <w:lang w:val="uk-UA" w:eastAsia="en-US"/>
        </w:rPr>
        <w:t>РІШЕННЯ</w:t>
      </w:r>
    </w:p>
    <w:p w:rsidR="0009370D" w:rsidP="00FD01BD" w:rsidRDefault="0009370D">
      <w:pPr>
        <w:pStyle w:val="JuPara"/>
        <w:ind w:firstLine="0"/>
        <w:jc w:val="center"/>
        <w:rPr>
          <w:lang w:eastAsia="en-US"/>
        </w:rPr>
      </w:pPr>
    </w:p>
    <w:p w:rsidR="0009370D" w:rsidP="00FD01BD" w:rsidRDefault="0009370D">
      <w:pPr>
        <w:pStyle w:val="JuPara"/>
        <w:ind w:firstLine="0"/>
        <w:jc w:val="center"/>
        <w:rPr>
          <w:lang w:eastAsia="en-US"/>
        </w:rPr>
      </w:pPr>
    </w:p>
    <w:p w:rsidRPr="00684DE2" w:rsidR="0009370D" w:rsidP="00FD01BD" w:rsidRDefault="00684DE2">
      <w:pPr>
        <w:pStyle w:val="JuPara"/>
        <w:ind w:firstLine="0"/>
        <w:jc w:val="center"/>
        <w:rPr>
          <w:lang w:val="uk-UA" w:eastAsia="en-US"/>
        </w:rPr>
      </w:pPr>
      <w:r>
        <w:rPr>
          <w:lang w:val="uk-UA" w:eastAsia="en-US"/>
        </w:rPr>
        <w:t>СТРАСБУРГ</w:t>
      </w:r>
    </w:p>
    <w:p w:rsidR="0009370D" w:rsidP="00FD01BD" w:rsidRDefault="0009370D">
      <w:pPr>
        <w:pStyle w:val="JuPara"/>
        <w:ind w:firstLine="0"/>
        <w:jc w:val="center"/>
        <w:rPr>
          <w:lang w:eastAsia="en-US"/>
        </w:rPr>
      </w:pPr>
    </w:p>
    <w:p w:rsidRPr="00684DE2" w:rsidR="0009370D" w:rsidP="00FD01BD" w:rsidRDefault="0009370D">
      <w:pPr>
        <w:pStyle w:val="JuPara"/>
        <w:ind w:firstLine="0"/>
        <w:jc w:val="center"/>
        <w:rPr>
          <w:lang w:val="uk-UA" w:eastAsia="en-US"/>
        </w:rPr>
      </w:pPr>
      <w:r>
        <w:rPr>
          <w:lang w:eastAsia="en-US"/>
        </w:rPr>
        <w:t xml:space="preserve">12 </w:t>
      </w:r>
      <w:r w:rsidR="00684DE2">
        <w:rPr>
          <w:lang w:val="uk-UA" w:eastAsia="en-US"/>
        </w:rPr>
        <w:t>липня</w:t>
      </w:r>
      <w:r>
        <w:rPr>
          <w:lang w:eastAsia="en-US"/>
        </w:rPr>
        <w:t xml:space="preserve"> 2007</w:t>
      </w:r>
      <w:r w:rsidR="00684DE2">
        <w:rPr>
          <w:lang w:val="uk-UA" w:eastAsia="en-US"/>
        </w:rPr>
        <w:t xml:space="preserve"> року</w:t>
      </w:r>
    </w:p>
    <w:p w:rsidR="002676EE" w:rsidP="00FD01BD" w:rsidRDefault="002676EE">
      <w:pPr>
        <w:jc w:val="center"/>
        <w:rPr>
          <w:color w:val="FF0000"/>
        </w:rPr>
      </w:pPr>
    </w:p>
    <w:p w:rsidR="00EA66B3" w:rsidP="00FD01BD" w:rsidRDefault="00EA66B3">
      <w:pPr>
        <w:jc w:val="center"/>
        <w:rPr>
          <w:color w:val="FF0000"/>
        </w:rPr>
      </w:pPr>
    </w:p>
    <w:p w:rsidRPr="00684DE2" w:rsidR="002676EE" w:rsidP="00FD01BD" w:rsidRDefault="00684DE2">
      <w:pPr>
        <w:jc w:val="center"/>
        <w:rPr>
          <w:b/>
          <w:color w:val="FF0000"/>
          <w:sz w:val="36"/>
          <w:u w:val="single"/>
          <w:lang w:val="uk-UA"/>
        </w:rPr>
      </w:pPr>
      <w:r>
        <w:rPr>
          <w:b/>
          <w:color w:val="FF0000"/>
          <w:sz w:val="36"/>
          <w:u w:val="single"/>
          <w:lang w:val="uk-UA"/>
        </w:rPr>
        <w:t>ОСТАТОЧНЕ</w:t>
      </w:r>
    </w:p>
    <w:p w:rsidR="002676EE" w:rsidP="00FD01BD" w:rsidRDefault="002676EE">
      <w:pPr>
        <w:jc w:val="center"/>
        <w:rPr>
          <w:color w:val="FF0000"/>
        </w:rPr>
      </w:pPr>
    </w:p>
    <w:p w:rsidR="002676EE" w:rsidP="00FD01BD" w:rsidRDefault="002676EE">
      <w:pPr>
        <w:jc w:val="center"/>
        <w:rPr>
          <w:i/>
          <w:color w:val="FF0000"/>
          <w:sz w:val="36"/>
        </w:rPr>
      </w:pPr>
      <w:r>
        <w:rPr>
          <w:i/>
          <w:color w:val="FF0000"/>
          <w:sz w:val="36"/>
        </w:rPr>
        <w:t>12/10/2007</w:t>
      </w:r>
    </w:p>
    <w:p w:rsidR="0009370D" w:rsidP="0009370D" w:rsidRDefault="0009370D">
      <w:pPr>
        <w:pStyle w:val="JuPara"/>
        <w:ind w:firstLine="0"/>
        <w:rPr>
          <w:i/>
          <w:lang w:eastAsia="en-US"/>
        </w:rPr>
      </w:pPr>
      <w:bookmarkStart w:name="OLE_LINK1" w:id="1"/>
      <w:bookmarkStart w:name="OLE_LINK2" w:id="2"/>
      <w:bookmarkEnd w:id="1"/>
      <w:bookmarkEnd w:id="2"/>
    </w:p>
    <w:p w:rsidRPr="00D068DF" w:rsidR="00910E44" w:rsidP="00D068DF" w:rsidRDefault="00910E44">
      <w:pPr>
        <w:jc w:val="both"/>
        <w:rPr>
          <w:sz w:val="16"/>
          <w:szCs w:val="16"/>
        </w:rPr>
        <w:sectPr w:rsidRPr="00D068DF" w:rsidR="00910E44" w:rsidSect="00EA66B3">
          <w:headerReference w:type="even" r:id="rId10"/>
          <w:headerReference w:type="default" r:id="rId11"/>
          <w:footerReference w:type="default" r:id="rId12"/>
          <w:footnotePr>
            <w:numRestart w:val="eachPage"/>
          </w:footnotePr>
          <w:pgSz w:w="11906" w:h="16838" w:code="9"/>
          <w:pgMar w:top="2274" w:right="2274" w:bottom="2274" w:left="2274" w:header="899" w:footer="720" w:gutter="0"/>
          <w:pgNumType w:start="1"/>
          <w:cols w:space="720"/>
          <w:docGrid w:linePitch="78"/>
        </w:sectPr>
      </w:pPr>
    </w:p>
    <w:p w:rsidRPr="00B62174" w:rsidR="00F71A6A" w:rsidRDefault="00684DE2">
      <w:pPr>
        <w:pStyle w:val="JuCase"/>
      </w:pPr>
      <w:r>
        <w:rPr>
          <w:lang w:val="uk-UA"/>
        </w:rPr>
        <w:t>У справі</w:t>
      </w:r>
      <w:r w:rsidRPr="00B42AAA" w:rsidR="00F71A6A">
        <w:rPr>
          <w:lang w:val="uk-UA"/>
        </w:rPr>
        <w:t xml:space="preserve"> </w:t>
      </w:r>
      <w:r w:rsidRPr="00B42AAA" w:rsidR="00B62174">
        <w:rPr>
          <w:lang w:val="uk-UA"/>
        </w:rPr>
        <w:t>Jorgic</w:t>
      </w:r>
      <w:r w:rsidRPr="00B62174" w:rsidR="00B62174">
        <w:t xml:space="preserve"> </w:t>
      </w:r>
      <w:r>
        <w:rPr>
          <w:lang w:val="uk-UA"/>
        </w:rPr>
        <w:t>проти Німеччини</w:t>
      </w:r>
      <w:r w:rsidRPr="00B62174" w:rsidR="00F71A6A">
        <w:t>,</w:t>
      </w:r>
    </w:p>
    <w:p w:rsidRPr="00761A37" w:rsidR="00730433" w:rsidP="00730433" w:rsidRDefault="00684DE2">
      <w:pPr>
        <w:pStyle w:val="JuPara"/>
        <w:rPr>
          <w:lang w:val="ru-RU"/>
        </w:rPr>
      </w:pPr>
      <w:proofErr w:type="spellStart"/>
      <w:r w:rsidRPr="00761A37">
        <w:rPr>
          <w:lang w:val="ru-RU"/>
        </w:rPr>
        <w:t>Європейський</w:t>
      </w:r>
      <w:proofErr w:type="spellEnd"/>
      <w:r w:rsidRPr="00761A37">
        <w:rPr>
          <w:lang w:val="ru-RU"/>
        </w:rPr>
        <w:t xml:space="preserve"> суд </w:t>
      </w:r>
      <w:proofErr w:type="spellStart"/>
      <w:r w:rsidRPr="00761A37">
        <w:rPr>
          <w:lang w:val="ru-RU"/>
        </w:rPr>
        <w:t>з</w:t>
      </w:r>
      <w:proofErr w:type="spellEnd"/>
      <w:r w:rsidRPr="00761A37">
        <w:rPr>
          <w:lang w:val="ru-RU"/>
        </w:rPr>
        <w:t xml:space="preserve"> прав </w:t>
      </w:r>
      <w:proofErr w:type="spellStart"/>
      <w:r w:rsidRPr="00761A37">
        <w:rPr>
          <w:lang w:val="ru-RU"/>
        </w:rPr>
        <w:t>людини</w:t>
      </w:r>
      <w:proofErr w:type="spellEnd"/>
      <w:r>
        <w:rPr>
          <w:lang w:val="uk-UA"/>
        </w:rPr>
        <w:t xml:space="preserve"> (</w:t>
      </w:r>
      <w:proofErr w:type="spellStart"/>
      <w:r>
        <w:rPr>
          <w:lang w:val="uk-UA"/>
        </w:rPr>
        <w:t>П</w:t>
      </w:r>
      <w:r w:rsidR="00761A37">
        <w:rPr>
          <w:lang w:val="uk-UA"/>
        </w:rPr>
        <w:t>’</w:t>
      </w:r>
      <w:r w:rsidRPr="00761A37">
        <w:rPr>
          <w:lang w:val="ru-RU"/>
        </w:rPr>
        <w:t>ята</w:t>
      </w:r>
      <w:proofErr w:type="spellEnd"/>
      <w:r w:rsidRPr="00761A37">
        <w:rPr>
          <w:lang w:val="ru-RU"/>
        </w:rPr>
        <w:t xml:space="preserve"> </w:t>
      </w:r>
      <w:r w:rsidR="00A6285E">
        <w:rPr>
          <w:lang w:val="uk-UA"/>
        </w:rPr>
        <w:t>С</w:t>
      </w:r>
      <w:proofErr w:type="spellStart"/>
      <w:r w:rsidRPr="00761A37">
        <w:rPr>
          <w:lang w:val="ru-RU"/>
        </w:rPr>
        <w:t>екція</w:t>
      </w:r>
      <w:proofErr w:type="spellEnd"/>
      <w:r w:rsidRPr="00761A37">
        <w:rPr>
          <w:lang w:val="ru-RU"/>
        </w:rPr>
        <w:t>)</w:t>
      </w:r>
      <w:r w:rsidRPr="00B42AAA">
        <w:rPr>
          <w:lang w:val="uk-UA"/>
        </w:rPr>
        <w:t xml:space="preserve"> на</w:t>
      </w:r>
      <w:r w:rsidRPr="00761A37">
        <w:rPr>
          <w:lang w:val="ru-RU"/>
        </w:rPr>
        <w:t xml:space="preserve"> </w:t>
      </w:r>
      <w:proofErr w:type="spellStart"/>
      <w:r w:rsidRPr="00761A37">
        <w:rPr>
          <w:lang w:val="ru-RU"/>
        </w:rPr>
        <w:t>засіданні</w:t>
      </w:r>
      <w:proofErr w:type="spellEnd"/>
      <w:r w:rsidRPr="00761A37">
        <w:rPr>
          <w:lang w:val="ru-RU"/>
        </w:rPr>
        <w:t xml:space="preserve"> </w:t>
      </w:r>
      <w:proofErr w:type="spellStart"/>
      <w:r w:rsidRPr="00761A37">
        <w:rPr>
          <w:lang w:val="ru-RU"/>
        </w:rPr>
        <w:t>Палати</w:t>
      </w:r>
      <w:proofErr w:type="spellEnd"/>
      <w:r w:rsidRPr="00761A37">
        <w:rPr>
          <w:lang w:val="ru-RU"/>
        </w:rPr>
        <w:t xml:space="preserve"> у </w:t>
      </w:r>
      <w:proofErr w:type="spellStart"/>
      <w:r w:rsidRPr="00761A37">
        <w:rPr>
          <w:lang w:val="ru-RU"/>
        </w:rPr>
        <w:t>складі</w:t>
      </w:r>
      <w:proofErr w:type="spellEnd"/>
      <w:r w:rsidRPr="00761A37" w:rsidR="00730433">
        <w:rPr>
          <w:lang w:val="ru-RU"/>
        </w:rPr>
        <w:t>:</w:t>
      </w:r>
    </w:p>
    <w:p w:rsidRPr="00761A37" w:rsidR="00F71A6A" w:rsidP="00730433" w:rsidRDefault="00E42B25">
      <w:pPr>
        <w:pStyle w:val="JuJudges"/>
        <w:rPr>
          <w:lang w:val="ru-RU"/>
        </w:rPr>
      </w:pPr>
      <w:r w:rsidRPr="00761A37">
        <w:rPr>
          <w:lang w:val="ru-RU"/>
        </w:rPr>
        <w:tab/>
      </w:r>
      <w:r w:rsidR="00684DE2">
        <w:rPr>
          <w:rStyle w:val="JuJudgesChar"/>
          <w:lang w:val="uk-UA"/>
        </w:rPr>
        <w:t xml:space="preserve">Пер </w:t>
      </w:r>
      <w:proofErr w:type="spellStart"/>
      <w:r w:rsidR="00684DE2">
        <w:rPr>
          <w:rStyle w:val="JuJudgesChar"/>
          <w:lang w:val="uk-UA"/>
        </w:rPr>
        <w:t>Лоренцен</w:t>
      </w:r>
      <w:proofErr w:type="spellEnd"/>
      <w:r w:rsidRPr="00395FDE" w:rsidR="00684DE2">
        <w:rPr>
          <w:rStyle w:val="JuJudgesChar"/>
          <w:lang w:val="uk-UA"/>
        </w:rPr>
        <w:t xml:space="preserve"> </w:t>
      </w:r>
      <w:r w:rsidR="00684DE2">
        <w:rPr>
          <w:rStyle w:val="JuJudgesChar"/>
          <w:lang w:val="uk-UA"/>
        </w:rPr>
        <w:t>(</w:t>
      </w:r>
      <w:r w:rsidRPr="00684DE2" w:rsidR="00684DE2">
        <w:rPr>
          <w:rStyle w:val="JuJudgesChar"/>
        </w:rPr>
        <w:t>Peer</w:t>
      </w:r>
      <w:r w:rsidRPr="009303D4" w:rsidR="00684DE2">
        <w:rPr>
          <w:rStyle w:val="JuJudgesChar"/>
          <w:lang w:val="uk-UA"/>
        </w:rPr>
        <w:t xml:space="preserve"> </w:t>
      </w:r>
      <w:proofErr w:type="spellStart"/>
      <w:r w:rsidRPr="00684DE2" w:rsidR="00684DE2">
        <w:rPr>
          <w:rStyle w:val="JuJudgesChar"/>
        </w:rPr>
        <w:t>Lorenzen</w:t>
      </w:r>
      <w:proofErr w:type="spellEnd"/>
      <w:r w:rsidR="00684DE2">
        <w:rPr>
          <w:rStyle w:val="JuJudgesChar"/>
          <w:lang w:val="uk-UA"/>
        </w:rPr>
        <w:t>)</w:t>
      </w:r>
      <w:r w:rsidRPr="00761A37" w:rsidR="00223FBA">
        <w:rPr>
          <w:lang w:val="ru-RU"/>
        </w:rPr>
        <w:t>,</w:t>
      </w:r>
      <w:r w:rsidRPr="00761A37">
        <w:rPr>
          <w:i/>
          <w:lang w:val="ru-RU"/>
        </w:rPr>
        <w:t xml:space="preserve"> </w:t>
      </w:r>
      <w:r w:rsidR="00684DE2">
        <w:rPr>
          <w:i/>
          <w:lang w:val="uk-UA"/>
        </w:rPr>
        <w:t>Голова</w:t>
      </w:r>
      <w:r w:rsidRPr="00761A37">
        <w:rPr>
          <w:lang w:val="ru-RU"/>
        </w:rPr>
        <w:t>,</w:t>
      </w:r>
      <w:r w:rsidRPr="00761A37">
        <w:rPr>
          <w:i/>
          <w:lang w:val="ru-RU"/>
        </w:rPr>
        <w:br/>
      </w:r>
      <w:r w:rsidRPr="00761A37">
        <w:rPr>
          <w:lang w:val="ru-RU"/>
        </w:rPr>
        <w:tab/>
      </w:r>
      <w:r w:rsidR="006330AD">
        <w:rPr>
          <w:lang w:val="uk-UA"/>
        </w:rPr>
        <w:t>Снєжана Ботучарова (</w:t>
      </w:r>
      <w:proofErr w:type="spellStart"/>
      <w:r w:rsidRPr="00E42B25">
        <w:t>Snejana</w:t>
      </w:r>
      <w:proofErr w:type="spellEnd"/>
      <w:r w:rsidRPr="00761A37">
        <w:rPr>
          <w:lang w:val="ru-RU"/>
        </w:rPr>
        <w:t xml:space="preserve"> </w:t>
      </w:r>
      <w:proofErr w:type="spellStart"/>
      <w:r w:rsidRPr="00E42B25">
        <w:t>Botoucharova</w:t>
      </w:r>
      <w:proofErr w:type="spellEnd"/>
      <w:r w:rsidR="006330AD">
        <w:rPr>
          <w:lang w:val="uk-UA"/>
        </w:rPr>
        <w:t>)</w:t>
      </w:r>
      <w:r w:rsidRPr="00761A37">
        <w:rPr>
          <w:lang w:val="ru-RU"/>
        </w:rPr>
        <w:t>,</w:t>
      </w:r>
      <w:r w:rsidRPr="00761A37">
        <w:rPr>
          <w:i/>
          <w:lang w:val="ru-RU"/>
        </w:rPr>
        <w:br/>
      </w:r>
      <w:r w:rsidRPr="00761A37">
        <w:rPr>
          <w:lang w:val="ru-RU"/>
        </w:rPr>
        <w:tab/>
      </w:r>
      <w:r w:rsidR="006330AD">
        <w:rPr>
          <w:lang w:val="uk-UA"/>
        </w:rPr>
        <w:t>Володимир Буткевич</w:t>
      </w:r>
      <w:r w:rsidRPr="00761A37">
        <w:rPr>
          <w:lang w:val="ru-RU"/>
        </w:rPr>
        <w:t>,</w:t>
      </w:r>
      <w:r w:rsidRPr="00761A37">
        <w:rPr>
          <w:i/>
          <w:lang w:val="ru-RU"/>
        </w:rPr>
        <w:br/>
      </w:r>
      <w:r w:rsidRPr="00761A37">
        <w:rPr>
          <w:lang w:val="ru-RU"/>
        </w:rPr>
        <w:tab/>
      </w:r>
      <w:r w:rsidR="006330AD">
        <w:rPr>
          <w:lang w:val="uk-UA"/>
        </w:rPr>
        <w:t xml:space="preserve">Маргарита </w:t>
      </w:r>
      <w:proofErr w:type="spellStart"/>
      <w:r w:rsidR="006330AD">
        <w:rPr>
          <w:lang w:val="uk-UA"/>
        </w:rPr>
        <w:t>Цаца-Ніколовска</w:t>
      </w:r>
      <w:proofErr w:type="spellEnd"/>
      <w:r w:rsidR="006330AD">
        <w:rPr>
          <w:lang w:val="uk-UA"/>
        </w:rPr>
        <w:t xml:space="preserve"> (</w:t>
      </w:r>
      <w:r w:rsidRPr="00E42B25">
        <w:t>Margarita</w:t>
      </w:r>
      <w:r w:rsidRPr="00761A37">
        <w:rPr>
          <w:lang w:val="ru-RU"/>
        </w:rPr>
        <w:t xml:space="preserve"> </w:t>
      </w:r>
      <w:proofErr w:type="spellStart"/>
      <w:r w:rsidRPr="00E42B25">
        <w:t>Tsatsa</w:t>
      </w:r>
      <w:proofErr w:type="spellEnd"/>
      <w:r w:rsidRPr="00761A37">
        <w:rPr>
          <w:lang w:val="ru-RU"/>
        </w:rPr>
        <w:t>-</w:t>
      </w:r>
      <w:proofErr w:type="spellStart"/>
      <w:r w:rsidRPr="00E42B25">
        <w:t>Nikolovska</w:t>
      </w:r>
      <w:proofErr w:type="spellEnd"/>
      <w:r w:rsidR="006330AD">
        <w:rPr>
          <w:lang w:val="uk-UA"/>
        </w:rPr>
        <w:t>)</w:t>
      </w:r>
      <w:r w:rsidRPr="00761A37">
        <w:rPr>
          <w:lang w:val="ru-RU"/>
        </w:rPr>
        <w:t>,</w:t>
      </w:r>
      <w:r w:rsidRPr="00761A37">
        <w:rPr>
          <w:i/>
          <w:lang w:val="ru-RU"/>
        </w:rPr>
        <w:br/>
      </w:r>
      <w:r w:rsidRPr="00761A37">
        <w:rPr>
          <w:lang w:val="ru-RU"/>
        </w:rPr>
        <w:tab/>
      </w:r>
      <w:r w:rsidR="006330AD">
        <w:rPr>
          <w:lang w:val="uk-UA"/>
        </w:rPr>
        <w:t>Райт Марусте (</w:t>
      </w:r>
      <w:proofErr w:type="spellStart"/>
      <w:r w:rsidRPr="00E42B25">
        <w:t>Rait</w:t>
      </w:r>
      <w:proofErr w:type="spellEnd"/>
      <w:r w:rsidRPr="00761A37">
        <w:rPr>
          <w:lang w:val="ru-RU"/>
        </w:rPr>
        <w:t xml:space="preserve"> </w:t>
      </w:r>
      <w:proofErr w:type="spellStart"/>
      <w:r w:rsidRPr="00E42B25">
        <w:t>Maruste</w:t>
      </w:r>
      <w:proofErr w:type="spellEnd"/>
      <w:r w:rsidR="006330AD">
        <w:rPr>
          <w:lang w:val="uk-UA"/>
        </w:rPr>
        <w:t>)</w:t>
      </w:r>
      <w:r w:rsidRPr="00761A37">
        <w:rPr>
          <w:lang w:val="ru-RU"/>
        </w:rPr>
        <w:t>,</w:t>
      </w:r>
      <w:r w:rsidRPr="00761A37">
        <w:rPr>
          <w:i/>
          <w:lang w:val="ru-RU"/>
        </w:rPr>
        <w:br/>
      </w:r>
      <w:r w:rsidRPr="00761A37">
        <w:rPr>
          <w:lang w:val="ru-RU"/>
        </w:rPr>
        <w:tab/>
      </w:r>
      <w:r w:rsidR="006330AD">
        <w:rPr>
          <w:lang w:val="uk-UA"/>
        </w:rPr>
        <w:t>Х</w:t>
      </w:r>
      <w:r w:rsidR="004C2B07">
        <w:rPr>
          <w:lang w:val="uk-UA"/>
        </w:rPr>
        <w:t>а</w:t>
      </w:r>
      <w:r w:rsidR="006330AD">
        <w:rPr>
          <w:lang w:val="uk-UA"/>
        </w:rPr>
        <w:t>в</w:t>
      </w:r>
      <w:r w:rsidR="00761A37">
        <w:rPr>
          <w:lang w:val="uk-UA"/>
        </w:rPr>
        <w:t>’</w:t>
      </w:r>
      <w:r w:rsidR="006330AD">
        <w:rPr>
          <w:lang w:val="uk-UA"/>
        </w:rPr>
        <w:t xml:space="preserve">єр </w:t>
      </w:r>
      <w:proofErr w:type="spellStart"/>
      <w:r w:rsidR="006330AD">
        <w:rPr>
          <w:lang w:val="uk-UA"/>
        </w:rPr>
        <w:t>Боррего</w:t>
      </w:r>
      <w:proofErr w:type="spellEnd"/>
      <w:r w:rsidR="006330AD">
        <w:rPr>
          <w:lang w:val="uk-UA"/>
        </w:rPr>
        <w:t xml:space="preserve"> </w:t>
      </w:r>
      <w:proofErr w:type="spellStart"/>
      <w:r w:rsidR="006330AD">
        <w:rPr>
          <w:lang w:val="uk-UA"/>
        </w:rPr>
        <w:t>Боррего</w:t>
      </w:r>
      <w:proofErr w:type="spellEnd"/>
      <w:r w:rsidR="006330AD">
        <w:rPr>
          <w:lang w:val="uk-UA"/>
        </w:rPr>
        <w:t xml:space="preserve"> (</w:t>
      </w:r>
      <w:r w:rsidRPr="00E42B25">
        <w:t>Javier</w:t>
      </w:r>
      <w:r w:rsidRPr="00761A37">
        <w:rPr>
          <w:lang w:val="ru-RU"/>
        </w:rPr>
        <w:t xml:space="preserve"> </w:t>
      </w:r>
      <w:r w:rsidRPr="00E42B25">
        <w:t>Borrego</w:t>
      </w:r>
      <w:r w:rsidRPr="00761A37">
        <w:rPr>
          <w:lang w:val="ru-RU"/>
        </w:rPr>
        <w:t xml:space="preserve"> </w:t>
      </w:r>
      <w:proofErr w:type="spellStart"/>
      <w:r w:rsidRPr="00E42B25">
        <w:t>Borrego</w:t>
      </w:r>
      <w:proofErr w:type="spellEnd"/>
      <w:r w:rsidR="006330AD">
        <w:rPr>
          <w:lang w:val="uk-UA"/>
        </w:rPr>
        <w:t>)</w:t>
      </w:r>
      <w:r w:rsidRPr="00761A37">
        <w:rPr>
          <w:lang w:val="ru-RU"/>
        </w:rPr>
        <w:t>,</w:t>
      </w:r>
      <w:r w:rsidRPr="00761A37">
        <w:rPr>
          <w:i/>
          <w:lang w:val="ru-RU"/>
        </w:rPr>
        <w:br/>
      </w:r>
      <w:r w:rsidRPr="00761A37">
        <w:rPr>
          <w:lang w:val="ru-RU"/>
        </w:rPr>
        <w:tab/>
      </w:r>
      <w:r w:rsidR="006330AD">
        <w:rPr>
          <w:lang w:val="uk-UA"/>
        </w:rPr>
        <w:t>Ренате Єгер (</w:t>
      </w:r>
      <w:r w:rsidRPr="00E42B25">
        <w:t>Renate</w:t>
      </w:r>
      <w:r w:rsidRPr="00761A37">
        <w:rPr>
          <w:lang w:val="ru-RU"/>
        </w:rPr>
        <w:t xml:space="preserve"> </w:t>
      </w:r>
      <w:r w:rsidR="00343946">
        <w:t>Jaeger</w:t>
      </w:r>
      <w:r w:rsidR="006330AD">
        <w:rPr>
          <w:lang w:val="uk-UA"/>
        </w:rPr>
        <w:t>)</w:t>
      </w:r>
      <w:r w:rsidRPr="00761A37" w:rsidR="00343946">
        <w:rPr>
          <w:lang w:val="ru-RU"/>
        </w:rPr>
        <w:t>,</w:t>
      </w:r>
      <w:r w:rsidRPr="00761A37">
        <w:rPr>
          <w:i/>
          <w:lang w:val="ru-RU"/>
        </w:rPr>
        <w:t xml:space="preserve"> </w:t>
      </w:r>
      <w:r w:rsidR="006330AD">
        <w:rPr>
          <w:i/>
          <w:lang w:val="uk-UA"/>
        </w:rPr>
        <w:t>судді</w:t>
      </w:r>
      <w:r w:rsidRPr="00761A37">
        <w:rPr>
          <w:lang w:val="ru-RU"/>
        </w:rPr>
        <w:t>,</w:t>
      </w:r>
      <w:r w:rsidRPr="00761A37">
        <w:rPr>
          <w:i/>
          <w:lang w:val="ru-RU"/>
        </w:rPr>
        <w:br/>
      </w:r>
      <w:r w:rsidR="00A6285E">
        <w:rPr>
          <w:lang w:val="uk-UA"/>
        </w:rPr>
        <w:t>і Клаудіа Вестердік (</w:t>
      </w:r>
      <w:r w:rsidRPr="00BB711D">
        <w:t>Claudia</w:t>
      </w:r>
      <w:r w:rsidRPr="00761A37">
        <w:rPr>
          <w:lang w:val="ru-RU"/>
        </w:rPr>
        <w:t xml:space="preserve"> </w:t>
      </w:r>
      <w:proofErr w:type="spellStart"/>
      <w:r w:rsidRPr="00BB711D">
        <w:t>Westerdiek</w:t>
      </w:r>
      <w:proofErr w:type="spellEnd"/>
      <w:r w:rsidR="00A6285E">
        <w:rPr>
          <w:lang w:val="uk-UA"/>
        </w:rPr>
        <w:t>)</w:t>
      </w:r>
      <w:r w:rsidRPr="00761A37" w:rsidR="00F71A6A">
        <w:rPr>
          <w:lang w:val="ru-RU"/>
        </w:rPr>
        <w:t xml:space="preserve">, </w:t>
      </w:r>
      <w:r w:rsidR="00BE40AE">
        <w:rPr>
          <w:i/>
          <w:lang w:val="uk-UA"/>
        </w:rPr>
        <w:t>С</w:t>
      </w:r>
      <w:r w:rsidR="00A6285E">
        <w:rPr>
          <w:i/>
          <w:lang w:val="uk-UA"/>
        </w:rPr>
        <w:t>екретар Секції</w:t>
      </w:r>
      <w:r w:rsidRPr="00761A37" w:rsidR="00F71A6A">
        <w:rPr>
          <w:lang w:val="ru-RU"/>
        </w:rPr>
        <w:t>,</w:t>
      </w:r>
    </w:p>
    <w:p w:rsidRPr="00761A37" w:rsidR="00F71A6A" w:rsidRDefault="00A6285E">
      <w:pPr>
        <w:pStyle w:val="JuPara"/>
        <w:rPr>
          <w:lang w:val="ru-RU"/>
        </w:rPr>
      </w:pPr>
      <w:r w:rsidRPr="00C91A78">
        <w:rPr>
          <w:lang w:val="uk-UA"/>
        </w:rPr>
        <w:t>Розглянувши справу</w:t>
      </w:r>
      <w:r w:rsidR="00761A37">
        <w:rPr>
          <w:lang w:val="uk-UA"/>
        </w:rPr>
        <w:t xml:space="preserve"> </w:t>
      </w:r>
      <w:r w:rsidR="00C0339B">
        <w:rPr>
          <w:lang w:val="uk-UA"/>
        </w:rPr>
        <w:t xml:space="preserve">на </w:t>
      </w:r>
      <w:r w:rsidRPr="001C6030">
        <w:rPr>
          <w:lang w:val="uk-UA"/>
        </w:rPr>
        <w:t>з</w:t>
      </w:r>
      <w:r w:rsidRPr="00C91A78">
        <w:rPr>
          <w:lang w:val="uk-UA"/>
        </w:rPr>
        <w:t>акритому засіданні</w:t>
      </w:r>
      <w:r w:rsidRPr="00761A37">
        <w:rPr>
          <w:lang w:val="ru-RU"/>
        </w:rPr>
        <w:t xml:space="preserve"> </w:t>
      </w:r>
      <w:r w:rsidRPr="00761A37" w:rsidR="004902ED">
        <w:rPr>
          <w:lang w:val="ru-RU"/>
        </w:rPr>
        <w:t>19</w:t>
      </w:r>
      <w:r w:rsidRPr="00761A37" w:rsidR="00077EA3">
        <w:rPr>
          <w:lang w:val="ru-RU"/>
        </w:rPr>
        <w:t xml:space="preserve"> </w:t>
      </w:r>
      <w:r>
        <w:rPr>
          <w:lang w:val="uk-UA"/>
        </w:rPr>
        <w:t>червня</w:t>
      </w:r>
      <w:r w:rsidRPr="00761A37" w:rsidR="004902ED">
        <w:rPr>
          <w:lang w:val="ru-RU"/>
        </w:rPr>
        <w:t xml:space="preserve"> 2007</w:t>
      </w:r>
      <w:r>
        <w:rPr>
          <w:lang w:val="uk-UA"/>
        </w:rPr>
        <w:t xml:space="preserve"> року</w:t>
      </w:r>
      <w:r w:rsidRPr="00761A37" w:rsidR="00F71A6A">
        <w:rPr>
          <w:lang w:val="ru-RU"/>
        </w:rPr>
        <w:t>,</w:t>
      </w:r>
    </w:p>
    <w:p w:rsidRPr="00B62174" w:rsidR="00F71A6A" w:rsidRDefault="00A6285E">
      <w:pPr>
        <w:pStyle w:val="JuPara"/>
      </w:pPr>
      <w:r w:rsidRPr="00C91A78">
        <w:rPr>
          <w:lang w:val="uk-UA"/>
        </w:rPr>
        <w:t>Проголошує наступне рішення, ухвалене</w:t>
      </w:r>
      <w:r>
        <w:rPr>
          <w:lang w:val="uk-UA"/>
        </w:rPr>
        <w:t xml:space="preserve"> у вказаний день</w:t>
      </w:r>
      <w:r w:rsidRPr="00B62174" w:rsidR="00F71A6A">
        <w:t>:</w:t>
      </w:r>
    </w:p>
    <w:p w:rsidRPr="007E6410" w:rsidR="001E70D7" w:rsidP="001E70D7" w:rsidRDefault="001E70D7">
      <w:pPr>
        <w:pStyle w:val="JuHHead"/>
        <w:rPr>
          <w:caps/>
          <w:lang w:val="uk-UA"/>
        </w:rPr>
      </w:pPr>
      <w:r w:rsidRPr="007E6410">
        <w:rPr>
          <w:caps/>
          <w:lang w:val="uk-UA"/>
        </w:rPr>
        <w:t>процедура</w:t>
      </w:r>
    </w:p>
    <w:p w:rsidRPr="00DB3579" w:rsidR="00164A30" w:rsidP="00AE2F4F" w:rsidRDefault="004902ED">
      <w:pPr>
        <w:pStyle w:val="JuPara"/>
        <w:rPr>
          <w:lang w:val="uk-UA"/>
        </w:rPr>
      </w:pPr>
      <w:r>
        <w:fldChar w:fldCharType="begin"/>
      </w:r>
      <w:r w:rsidRPr="00DB3579">
        <w:rPr>
          <w:lang w:val="uk-UA"/>
        </w:rPr>
        <w:instrText xml:space="preserve"> </w:instrText>
      </w:r>
      <w:r>
        <w:instrText>SEQ</w:instrText>
      </w:r>
      <w:r w:rsidRPr="00DB3579">
        <w:rPr>
          <w:lang w:val="uk-UA"/>
        </w:rPr>
        <w:instrText xml:space="preserve"> </w:instrText>
      </w:r>
      <w:r>
        <w:instrText>level</w:instrText>
      </w:r>
      <w:r w:rsidRPr="00DB3579">
        <w:rPr>
          <w:lang w:val="uk-UA"/>
        </w:rPr>
        <w:instrText>0 \*</w:instrText>
      </w:r>
      <w:r>
        <w:instrText>arabic</w:instrText>
      </w:r>
      <w:r w:rsidRPr="00DB3579">
        <w:rPr>
          <w:lang w:val="uk-UA"/>
        </w:rPr>
        <w:instrText xml:space="preserve"> </w:instrText>
      </w:r>
      <w:r>
        <w:fldChar w:fldCharType="separate"/>
      </w:r>
      <w:r w:rsidRPr="00DB3579" w:rsidR="00142C04">
        <w:rPr>
          <w:noProof/>
          <w:lang w:val="uk-UA"/>
        </w:rPr>
        <w:t>1</w:t>
      </w:r>
      <w:r>
        <w:fldChar w:fldCharType="end"/>
      </w:r>
      <w:r w:rsidRPr="00DB3579">
        <w:rPr>
          <w:lang w:val="uk-UA"/>
        </w:rPr>
        <w:t>.</w:t>
      </w:r>
      <w:r>
        <w:t>  </w:t>
      </w:r>
      <w:r w:rsidRPr="00E37094" w:rsidR="002A45D5">
        <w:rPr>
          <w:lang w:val="uk-UA"/>
        </w:rPr>
        <w:t>Справа була відкрита за заявою (№</w:t>
      </w:r>
      <w:r w:rsidRPr="00DB3579" w:rsidR="00B62174">
        <w:rPr>
          <w:lang w:val="uk-UA"/>
        </w:rPr>
        <w:t xml:space="preserve"> 74613/01)</w:t>
      </w:r>
      <w:r w:rsidR="002A45D5">
        <w:rPr>
          <w:lang w:val="uk-UA"/>
        </w:rPr>
        <w:t xml:space="preserve">, </w:t>
      </w:r>
      <w:r w:rsidRPr="00E37094" w:rsidR="002A45D5">
        <w:rPr>
          <w:lang w:val="uk-UA"/>
        </w:rPr>
        <w:t>подано</w:t>
      </w:r>
      <w:r w:rsidR="002A45D5">
        <w:rPr>
          <w:lang w:val="uk-UA"/>
        </w:rPr>
        <w:t>ю</w:t>
      </w:r>
      <w:r w:rsidRPr="00E37094" w:rsidR="002A45D5">
        <w:rPr>
          <w:lang w:val="uk-UA"/>
        </w:rPr>
        <w:t xml:space="preserve"> до Суду проти </w:t>
      </w:r>
      <w:r w:rsidR="002A45D5">
        <w:rPr>
          <w:lang w:val="uk-UA"/>
        </w:rPr>
        <w:t xml:space="preserve">Федеративної </w:t>
      </w:r>
      <w:r w:rsidRPr="00E37094" w:rsidR="002A45D5">
        <w:rPr>
          <w:lang w:val="uk-UA"/>
        </w:rPr>
        <w:t xml:space="preserve">Республіки </w:t>
      </w:r>
      <w:r w:rsidR="002A45D5">
        <w:rPr>
          <w:lang w:val="uk-UA"/>
        </w:rPr>
        <w:t>Німеччина</w:t>
      </w:r>
      <w:r w:rsidRPr="00E37094" w:rsidR="002A45D5">
        <w:rPr>
          <w:lang w:val="uk-UA"/>
        </w:rPr>
        <w:t xml:space="preserve"> на підставі статті 34 </w:t>
      </w:r>
      <w:r w:rsidRPr="00E37094" w:rsidR="002A45D5">
        <w:rPr>
          <w:szCs w:val="24"/>
          <w:lang w:val="uk-UA" w:eastAsia="ja-JP"/>
        </w:rPr>
        <w:t>Конвенції про захист прав людини і основоположних свобод</w:t>
      </w:r>
      <w:r w:rsidRPr="00E37094" w:rsidR="002A45D5">
        <w:rPr>
          <w:lang w:val="uk-UA"/>
        </w:rPr>
        <w:t xml:space="preserve"> (далі - </w:t>
      </w:r>
      <w:r w:rsidRPr="00E37094" w:rsidR="002A45D5">
        <w:rPr>
          <w:szCs w:val="24"/>
          <w:lang w:val="uk-UA" w:eastAsia="ja-JP"/>
        </w:rPr>
        <w:t>Конвенція</w:t>
      </w:r>
      <w:r w:rsidRPr="00E37094" w:rsidR="002A45D5">
        <w:rPr>
          <w:lang w:val="uk-UA"/>
        </w:rPr>
        <w:t>) громадянином</w:t>
      </w:r>
      <w:r w:rsidR="00A03BEA">
        <w:rPr>
          <w:lang w:val="uk-UA"/>
        </w:rPr>
        <w:t xml:space="preserve"> Боснії і </w:t>
      </w:r>
      <w:r w:rsidR="00B42AAA">
        <w:rPr>
          <w:lang w:val="uk-UA"/>
        </w:rPr>
        <w:t>Герцеговини</w:t>
      </w:r>
      <w:r w:rsidR="00A03BEA">
        <w:rPr>
          <w:lang w:val="uk-UA"/>
        </w:rPr>
        <w:t xml:space="preserve">, сербом за походженням, паном </w:t>
      </w:r>
      <w:r w:rsidR="00B42AAA">
        <w:rPr>
          <w:lang w:val="uk-UA"/>
        </w:rPr>
        <w:t>Ніколою</w:t>
      </w:r>
      <w:r w:rsidR="00A03BEA">
        <w:rPr>
          <w:lang w:val="uk-UA"/>
        </w:rPr>
        <w:t xml:space="preserve"> Йоргічем/</w:t>
      </w:r>
      <w:r w:rsidRPr="00B62174" w:rsidR="00A03BEA">
        <w:t>Nicola</w:t>
      </w:r>
      <w:r w:rsidRPr="00DB3579" w:rsidR="00A03BEA">
        <w:rPr>
          <w:lang w:val="uk-UA"/>
        </w:rPr>
        <w:t xml:space="preserve"> </w:t>
      </w:r>
      <w:r w:rsidRPr="00B62174" w:rsidR="00A03BEA">
        <w:t>Jorgic</w:t>
      </w:r>
      <w:r w:rsidRPr="00DB3579" w:rsidR="00A03BEA">
        <w:rPr>
          <w:lang w:val="uk-UA"/>
        </w:rPr>
        <w:t xml:space="preserve"> </w:t>
      </w:r>
      <w:r w:rsidRPr="00E37094" w:rsidR="00A03BEA">
        <w:rPr>
          <w:lang w:val="uk-UA"/>
        </w:rPr>
        <w:t>(далі - заявник)</w:t>
      </w:r>
      <w:r w:rsidR="00A03BEA">
        <w:rPr>
          <w:lang w:val="uk-UA"/>
        </w:rPr>
        <w:t xml:space="preserve"> </w:t>
      </w:r>
      <w:r w:rsidRPr="00DB3579" w:rsidR="00B62174">
        <w:rPr>
          <w:lang w:val="uk-UA"/>
        </w:rPr>
        <w:t xml:space="preserve">23 </w:t>
      </w:r>
      <w:r w:rsidR="00A03BEA">
        <w:rPr>
          <w:lang w:val="uk-UA"/>
        </w:rPr>
        <w:t>травня</w:t>
      </w:r>
      <w:r w:rsidRPr="00DB3579" w:rsidR="00B62174">
        <w:rPr>
          <w:lang w:val="uk-UA"/>
        </w:rPr>
        <w:t xml:space="preserve"> 2001</w:t>
      </w:r>
      <w:r w:rsidR="00A03BEA">
        <w:rPr>
          <w:lang w:val="uk-UA"/>
        </w:rPr>
        <w:t xml:space="preserve"> року</w:t>
      </w:r>
      <w:r w:rsidRPr="00DB3579" w:rsidR="00593427">
        <w:rPr>
          <w:lang w:val="uk-UA"/>
        </w:rPr>
        <w:t>.</w:t>
      </w:r>
    </w:p>
    <w:p w:rsidRPr="00DB3579" w:rsidR="00971A43" w:rsidRDefault="00B62174">
      <w:pPr>
        <w:pStyle w:val="JuPara"/>
        <w:rPr>
          <w:lang w:val="uk-UA"/>
        </w:rPr>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2</w:t>
      </w:r>
      <w:r w:rsidRPr="00B62174">
        <w:fldChar w:fldCharType="end"/>
      </w:r>
      <w:r w:rsidRPr="00DB3579" w:rsidR="00F71A6A">
        <w:rPr>
          <w:lang w:val="uk-UA"/>
        </w:rPr>
        <w:t>.</w:t>
      </w:r>
      <w:r w:rsidRPr="00B62174" w:rsidR="00F71A6A">
        <w:t>  </w:t>
      </w:r>
      <w:r w:rsidRPr="008F58DD" w:rsidR="00A03BEA">
        <w:rPr>
          <w:lang w:val="uk-UA"/>
        </w:rPr>
        <w:t>Заявник був представлений паном</w:t>
      </w:r>
      <w:r w:rsidRPr="00DB3579" w:rsidR="00A03BEA">
        <w:rPr>
          <w:lang w:val="uk-UA"/>
        </w:rPr>
        <w:t xml:space="preserve"> </w:t>
      </w:r>
      <w:r w:rsidR="00A03BEA">
        <w:rPr>
          <w:lang w:val="uk-UA"/>
        </w:rPr>
        <w:t>Г. Грюнбауером (</w:t>
      </w:r>
      <w:r w:rsidR="00164A30">
        <w:t>H</w:t>
      </w:r>
      <w:r w:rsidRPr="00DB3579" w:rsidR="00164A30">
        <w:rPr>
          <w:lang w:val="uk-UA"/>
        </w:rPr>
        <w:t>.</w:t>
      </w:r>
      <w:r w:rsidRPr="00DB3579" w:rsidR="00077EA3">
        <w:rPr>
          <w:lang w:val="uk-UA"/>
        </w:rPr>
        <w:t xml:space="preserve"> </w:t>
      </w:r>
      <w:r w:rsidRPr="00B62174">
        <w:t>Gr</w:t>
      </w:r>
      <w:r w:rsidRPr="00DB3579" w:rsidR="00164A30">
        <w:rPr>
          <w:lang w:val="uk-UA"/>
        </w:rPr>
        <w:t>ü</w:t>
      </w:r>
      <w:r w:rsidRPr="00B62174">
        <w:t>nbauer</w:t>
      </w:r>
      <w:r w:rsidR="00A03BEA">
        <w:rPr>
          <w:lang w:val="uk-UA"/>
        </w:rPr>
        <w:t>)</w:t>
      </w:r>
      <w:r w:rsidRPr="00DB3579">
        <w:rPr>
          <w:lang w:val="uk-UA"/>
        </w:rPr>
        <w:t xml:space="preserve">, </w:t>
      </w:r>
      <w:r w:rsidR="00A03BEA">
        <w:rPr>
          <w:lang w:val="uk-UA"/>
        </w:rPr>
        <w:t>адв</w:t>
      </w:r>
      <w:r w:rsidRPr="008F58DD" w:rsidR="00A03BEA">
        <w:rPr>
          <w:lang w:val="uk-UA"/>
        </w:rPr>
        <w:t>о</w:t>
      </w:r>
      <w:r w:rsidR="00A03BEA">
        <w:rPr>
          <w:lang w:val="uk-UA"/>
        </w:rPr>
        <w:t xml:space="preserve">катом, який практикує у </w:t>
      </w:r>
      <w:r w:rsidRPr="00DB3579" w:rsidR="002E494F">
        <w:rPr>
          <w:lang w:val="uk-UA"/>
        </w:rPr>
        <w:t>Лейпцизі</w:t>
      </w:r>
      <w:r w:rsidRPr="00DB3579">
        <w:rPr>
          <w:lang w:val="uk-UA"/>
        </w:rPr>
        <w:t xml:space="preserve">. </w:t>
      </w:r>
      <w:r w:rsidRPr="00DB3579" w:rsidR="00A03BEA">
        <w:rPr>
          <w:lang w:val="uk-UA"/>
        </w:rPr>
        <w:t xml:space="preserve">Німецький уряд (далі - Уряд) був представлений </w:t>
      </w:r>
      <w:r w:rsidRPr="00DB3579" w:rsidR="00A03BEA">
        <w:rPr>
          <w:szCs w:val="24"/>
          <w:lang w:val="uk-UA" w:eastAsia="ja-JP"/>
        </w:rPr>
        <w:t>уповноваженою особою</w:t>
      </w:r>
      <w:r w:rsidRPr="00DB3579" w:rsidR="00A03BEA">
        <w:rPr>
          <w:szCs w:val="24"/>
          <w:lang w:val="uk-UA"/>
        </w:rPr>
        <w:t>,</w:t>
      </w:r>
      <w:r w:rsidRPr="00DB3579" w:rsidR="00A03BEA">
        <w:rPr>
          <w:lang w:val="uk-UA"/>
        </w:rPr>
        <w:t xml:space="preserve"> пані </w:t>
      </w:r>
      <w:r w:rsidRPr="00DB3579" w:rsidR="00971A43">
        <w:t>A</w:t>
      </w:r>
      <w:r w:rsidRPr="00DB3579" w:rsidR="00971A43">
        <w:rPr>
          <w:lang w:val="uk-UA"/>
        </w:rPr>
        <w:t>.</w:t>
      </w:r>
      <w:r w:rsidRPr="00DB3579" w:rsidR="00077EA3">
        <w:rPr>
          <w:lang w:val="uk-UA"/>
        </w:rPr>
        <w:t xml:space="preserve"> </w:t>
      </w:r>
      <w:r w:rsidRPr="00DB3579" w:rsidR="00A03BEA">
        <w:rPr>
          <w:lang w:val="uk-UA"/>
        </w:rPr>
        <w:t>Вітлінг-Фогель (</w:t>
      </w:r>
      <w:r w:rsidRPr="00DB3579" w:rsidR="00971A43">
        <w:t>Wittling</w:t>
      </w:r>
      <w:r w:rsidRPr="00DB3579" w:rsidR="00971A43">
        <w:rPr>
          <w:lang w:val="uk-UA"/>
        </w:rPr>
        <w:t>-</w:t>
      </w:r>
      <w:r w:rsidRPr="00DB3579" w:rsidR="00971A43">
        <w:t>Vogel</w:t>
      </w:r>
      <w:r w:rsidRPr="00DB3579" w:rsidR="00A03BEA">
        <w:rPr>
          <w:lang w:val="uk-UA"/>
        </w:rPr>
        <w:t>)</w:t>
      </w:r>
      <w:r w:rsidRPr="00DB3579" w:rsidR="00971A43">
        <w:rPr>
          <w:lang w:val="uk-UA"/>
        </w:rPr>
        <w:t xml:space="preserve">, </w:t>
      </w:r>
      <w:r w:rsidRPr="00DB3579" w:rsidR="00DE1598">
        <w:rPr>
          <w:lang w:val="uk-UA"/>
        </w:rPr>
        <w:t>виконавчим секретарем (</w:t>
      </w:r>
      <w:r w:rsidRPr="00DB3579" w:rsidR="00971A43">
        <w:rPr>
          <w:i/>
        </w:rPr>
        <w:t>Ministerialdirigentin</w:t>
      </w:r>
      <w:r w:rsidRPr="00DB3579" w:rsidR="00DE1598">
        <w:rPr>
          <w:lang w:val="uk-UA"/>
        </w:rPr>
        <w:t>)</w:t>
      </w:r>
      <w:r w:rsidRPr="00DB3579" w:rsidR="00971A43">
        <w:rPr>
          <w:lang w:val="uk-UA"/>
        </w:rPr>
        <w:t xml:space="preserve"> </w:t>
      </w:r>
      <w:r w:rsidRPr="00DB3579" w:rsidR="00DE1598">
        <w:rPr>
          <w:lang w:val="uk-UA"/>
        </w:rPr>
        <w:t>Федерального міністерства юстиції</w:t>
      </w:r>
      <w:r w:rsidRPr="00DB3579" w:rsidR="0026638E">
        <w:rPr>
          <w:lang w:val="uk-UA"/>
        </w:rPr>
        <w:t xml:space="preserve">, </w:t>
      </w:r>
      <w:r w:rsidRPr="00DB3579" w:rsidR="00DE1598">
        <w:rPr>
          <w:lang w:val="uk-UA"/>
        </w:rPr>
        <w:t>котрій допомагав пан Г. Верле (</w:t>
      </w:r>
      <w:r w:rsidRPr="00DB3579" w:rsidR="0026638E">
        <w:t>G</w:t>
      </w:r>
      <w:r w:rsidRPr="00DB3579" w:rsidR="0026638E">
        <w:rPr>
          <w:lang w:val="uk-UA"/>
        </w:rPr>
        <w:t>.</w:t>
      </w:r>
      <w:r w:rsidRPr="00DB3579" w:rsidR="003C6E1E">
        <w:t> </w:t>
      </w:r>
      <w:r w:rsidRPr="00DB3579" w:rsidR="0026638E">
        <w:t>Werle</w:t>
      </w:r>
      <w:r w:rsidRPr="00DB3579" w:rsidR="00DE1598">
        <w:rPr>
          <w:lang w:val="uk-UA"/>
        </w:rPr>
        <w:t>)</w:t>
      </w:r>
      <w:r w:rsidRPr="00DB3579" w:rsidR="0026638E">
        <w:rPr>
          <w:lang w:val="uk-UA"/>
        </w:rPr>
        <w:t xml:space="preserve">, </w:t>
      </w:r>
      <w:r w:rsidRPr="00DB3579" w:rsidR="00DE1598">
        <w:rPr>
          <w:lang w:val="uk-UA"/>
        </w:rPr>
        <w:t>професор права Гумбольдтівського у</w:t>
      </w:r>
      <w:r w:rsidRPr="00DB3579" w:rsidR="00DF47C6">
        <w:rPr>
          <w:lang w:val="uk-UA"/>
        </w:rPr>
        <w:t>н</w:t>
      </w:r>
      <w:r w:rsidRPr="00DB3579" w:rsidR="00DE1598">
        <w:rPr>
          <w:lang w:val="uk-UA"/>
        </w:rPr>
        <w:t>іверситету в Берліні</w:t>
      </w:r>
      <w:r w:rsidRPr="00DB3579" w:rsidR="00971A43">
        <w:rPr>
          <w:lang w:val="uk-UA"/>
        </w:rPr>
        <w:t>.</w:t>
      </w:r>
    </w:p>
    <w:p w:rsidRPr="00AF14D3" w:rsidR="00971A43" w:rsidRDefault="00B62174">
      <w:pPr>
        <w:pStyle w:val="JuPara"/>
        <w:rPr>
          <w:lang w:val="uk-UA"/>
        </w:rPr>
      </w:pPr>
      <w:r w:rsidRPr="00DB3579">
        <w:fldChar w:fldCharType="begin"/>
      </w:r>
      <w:r w:rsidRPr="00DB3579">
        <w:instrText xml:space="preserve"> SEQ level0 \*arabic </w:instrText>
      </w:r>
      <w:r w:rsidRPr="00DB3579">
        <w:fldChar w:fldCharType="separate"/>
      </w:r>
      <w:r w:rsidRPr="00DB3579" w:rsidR="00142C04">
        <w:rPr>
          <w:noProof/>
        </w:rPr>
        <w:t>3</w:t>
      </w:r>
      <w:r w:rsidRPr="00DB3579">
        <w:fldChar w:fldCharType="end"/>
      </w:r>
      <w:r w:rsidRPr="00DB3579" w:rsidR="001B62B1">
        <w:t>.  </w:t>
      </w:r>
      <w:r w:rsidRPr="00DB3579" w:rsidR="00AF14D3">
        <w:rPr>
          <w:lang w:val="uk-UA"/>
        </w:rPr>
        <w:t xml:space="preserve">Заявник, спираючись на статтю </w:t>
      </w:r>
      <w:r w:rsidRPr="00DB3579" w:rsidR="003A5592">
        <w:t>5 §</w:t>
      </w:r>
      <w:r w:rsidRPr="00DB3579" w:rsidR="00077EA3">
        <w:t xml:space="preserve"> </w:t>
      </w:r>
      <w:r w:rsidRPr="00DB3579" w:rsidR="003A5592">
        <w:t>1</w:t>
      </w:r>
      <w:r w:rsidRPr="00DB3579" w:rsidR="00077EA3">
        <w:t xml:space="preserve"> </w:t>
      </w:r>
      <w:r w:rsidRPr="00DB3579" w:rsidR="003A5592">
        <w:t xml:space="preserve">(a) </w:t>
      </w:r>
      <w:r w:rsidRPr="00DB3579" w:rsidR="00AF14D3">
        <w:rPr>
          <w:lang w:val="uk-UA"/>
        </w:rPr>
        <w:t>і статтю</w:t>
      </w:r>
      <w:r w:rsidRPr="00DB3579" w:rsidR="00077EA3">
        <w:t xml:space="preserve"> </w:t>
      </w:r>
      <w:r w:rsidRPr="00DB3579" w:rsidR="00046642">
        <w:t>6 §</w:t>
      </w:r>
      <w:r w:rsidRPr="00DB3579" w:rsidR="00077EA3">
        <w:t xml:space="preserve"> </w:t>
      </w:r>
      <w:r w:rsidRPr="00DB3579" w:rsidR="00046642">
        <w:t xml:space="preserve">1 </w:t>
      </w:r>
      <w:r w:rsidRPr="00DB3579" w:rsidR="00AF14D3">
        <w:rPr>
          <w:lang w:val="uk-UA"/>
        </w:rPr>
        <w:t>Конвенції, стверджував, що німецькі суди не мали юрисдикції визнавати його винним у геноциді</w:t>
      </w:r>
      <w:r w:rsidRPr="00DB3579" w:rsidR="001D02AE">
        <w:t xml:space="preserve">. </w:t>
      </w:r>
      <w:r w:rsidRPr="00DB3579" w:rsidR="00AF14D3">
        <w:rPr>
          <w:lang w:val="uk-UA"/>
        </w:rPr>
        <w:t>Він також стверджував, що, зокрема, через відмову національних судів викликати свідків його захисту, які</w:t>
      </w:r>
      <w:r w:rsidRPr="00DB3579" w:rsidR="00934A6A">
        <w:rPr>
          <w:lang w:val="uk-UA"/>
        </w:rPr>
        <w:t xml:space="preserve"> </w:t>
      </w:r>
      <w:r w:rsidRPr="00DB3579" w:rsidR="002E494F">
        <w:rPr>
          <w:lang w:val="uk-UA"/>
        </w:rPr>
        <w:t>мали бути допитані за</w:t>
      </w:r>
      <w:r w:rsidRPr="00DB3579" w:rsidR="00DB3579">
        <w:t xml:space="preserve"> </w:t>
      </w:r>
      <w:r w:rsidRPr="00DB3579" w:rsidR="00AF14D3">
        <w:rPr>
          <w:lang w:val="uk-UA"/>
        </w:rPr>
        <w:t>кордоном, ві</w:t>
      </w:r>
      <w:r w:rsidRPr="00DB3579" w:rsidR="00DF47C6">
        <w:rPr>
          <w:lang w:val="uk-UA"/>
        </w:rPr>
        <w:t>н</w:t>
      </w:r>
      <w:r w:rsidRPr="00DB3579" w:rsidR="00AF14D3">
        <w:rPr>
          <w:lang w:val="uk-UA"/>
        </w:rPr>
        <w:t xml:space="preserve"> не от</w:t>
      </w:r>
      <w:r w:rsidR="00AF14D3">
        <w:rPr>
          <w:lang w:val="uk-UA"/>
        </w:rPr>
        <w:t xml:space="preserve">римав справедливого судового розгляду у розумінні статті </w:t>
      </w:r>
      <w:r w:rsidR="001D02AE">
        <w:t>6 §§</w:t>
      </w:r>
      <w:r w:rsidR="00077EA3">
        <w:t xml:space="preserve"> </w:t>
      </w:r>
      <w:r w:rsidR="001D02AE">
        <w:t xml:space="preserve">1 </w:t>
      </w:r>
      <w:r w:rsidR="00AF14D3">
        <w:rPr>
          <w:lang w:val="uk-UA"/>
        </w:rPr>
        <w:t>і</w:t>
      </w:r>
      <w:r w:rsidR="001D02AE">
        <w:t xml:space="preserve"> 3</w:t>
      </w:r>
      <w:r w:rsidR="00077EA3">
        <w:t xml:space="preserve"> </w:t>
      </w:r>
      <w:r w:rsidR="001D02AE">
        <w:t xml:space="preserve">(d) </w:t>
      </w:r>
      <w:r w:rsidR="00B42AAA">
        <w:rPr>
          <w:lang w:val="uk-UA"/>
        </w:rPr>
        <w:t>Конвенції</w:t>
      </w:r>
      <w:r w:rsidR="001D02AE">
        <w:t>.</w:t>
      </w:r>
      <w:r w:rsidR="00AF14D3">
        <w:rPr>
          <w:lang w:val="uk-UA"/>
        </w:rPr>
        <w:t xml:space="preserve"> Окрім того, він скаржився, що засудження його за геноцид суперечило статті</w:t>
      </w:r>
      <w:r w:rsidR="00761A37">
        <w:rPr>
          <w:lang w:val="uk-UA"/>
        </w:rPr>
        <w:t xml:space="preserve"> </w:t>
      </w:r>
      <w:r w:rsidRPr="00AF14D3" w:rsidR="001D02AE">
        <w:rPr>
          <w:lang w:val="uk-UA"/>
        </w:rPr>
        <w:t>7 §</w:t>
      </w:r>
      <w:r w:rsidRPr="00AF14D3" w:rsidR="00077EA3">
        <w:rPr>
          <w:lang w:val="uk-UA"/>
        </w:rPr>
        <w:t xml:space="preserve"> </w:t>
      </w:r>
      <w:r w:rsidRPr="00AF14D3" w:rsidR="001D02AE">
        <w:rPr>
          <w:lang w:val="uk-UA"/>
        </w:rPr>
        <w:t xml:space="preserve">1 </w:t>
      </w:r>
      <w:r w:rsidR="00AF14D3">
        <w:rPr>
          <w:lang w:val="uk-UA"/>
        </w:rPr>
        <w:t>Конвенції</w:t>
      </w:r>
      <w:r w:rsidRPr="00AF14D3" w:rsidR="00C551CB">
        <w:rPr>
          <w:lang w:val="uk-UA"/>
        </w:rPr>
        <w:t>,</w:t>
      </w:r>
      <w:r w:rsidR="00AF14D3">
        <w:rPr>
          <w:lang w:val="uk-UA"/>
        </w:rPr>
        <w:t xml:space="preserve"> зокрема</w:t>
      </w:r>
      <w:r w:rsidRPr="00F2501A" w:rsidR="00F2501A">
        <w:rPr>
          <w:lang w:val="uk-UA"/>
        </w:rPr>
        <w:t>,</w:t>
      </w:r>
      <w:r w:rsidR="00AF14D3">
        <w:rPr>
          <w:lang w:val="uk-UA"/>
        </w:rPr>
        <w:t xml:space="preserve"> через те, що широке тлумачення національними судами цього злочину не мало основи ні у німецькому, ні у міжнародному </w:t>
      </w:r>
      <w:r w:rsidR="00DF47C6">
        <w:rPr>
          <w:lang w:val="uk-UA"/>
        </w:rPr>
        <w:t xml:space="preserve">публічному </w:t>
      </w:r>
      <w:r w:rsidR="00AF14D3">
        <w:rPr>
          <w:lang w:val="uk-UA"/>
        </w:rPr>
        <w:t>праві</w:t>
      </w:r>
      <w:r w:rsidRPr="00AF14D3" w:rsidR="001D02AE">
        <w:rPr>
          <w:lang w:val="uk-UA"/>
        </w:rPr>
        <w:t>.</w:t>
      </w:r>
    </w:p>
    <w:p w:rsidR="00A5682E" w:rsidRDefault="00B62174">
      <w:pPr>
        <w:pStyle w:val="JuPara"/>
      </w:pPr>
      <w:r w:rsidRPr="00B62174">
        <w:fldChar w:fldCharType="begin"/>
      </w:r>
      <w:r w:rsidRPr="00B62174">
        <w:instrText xml:space="preserve"> SEQ level0 \*arabic </w:instrText>
      </w:r>
      <w:r w:rsidRPr="00B62174">
        <w:fldChar w:fldCharType="separate"/>
      </w:r>
      <w:r w:rsidR="00142C04">
        <w:rPr>
          <w:noProof/>
        </w:rPr>
        <w:t>4</w:t>
      </w:r>
      <w:r w:rsidRPr="00B62174">
        <w:fldChar w:fldCharType="end"/>
      </w:r>
      <w:r w:rsidRPr="00B62174" w:rsidR="00F71A6A">
        <w:t>.  </w:t>
      </w:r>
      <w:r w:rsidR="001D02AE">
        <w:t>7</w:t>
      </w:r>
      <w:r w:rsidR="00077EA3">
        <w:t xml:space="preserve"> </w:t>
      </w:r>
      <w:r w:rsidR="00AF14D3">
        <w:rPr>
          <w:lang w:val="uk-UA"/>
        </w:rPr>
        <w:t>липня</w:t>
      </w:r>
      <w:r w:rsidR="001D02AE">
        <w:t xml:space="preserve"> 2005</w:t>
      </w:r>
      <w:r w:rsidR="00AF14D3">
        <w:rPr>
          <w:lang w:val="uk-UA"/>
        </w:rPr>
        <w:t xml:space="preserve"> року Суд вирішив комунікувати цю заяву Уряду</w:t>
      </w:r>
      <w:r w:rsidRPr="00B62174" w:rsidR="00F71A6A">
        <w:t xml:space="preserve">. </w:t>
      </w:r>
      <w:r w:rsidR="00A5682E">
        <w:t>2</w:t>
      </w:r>
      <w:r w:rsidR="00077EA3">
        <w:t xml:space="preserve"> </w:t>
      </w:r>
      <w:r w:rsidR="00AF14D3">
        <w:rPr>
          <w:lang w:val="uk-UA"/>
        </w:rPr>
        <w:t>жовтня</w:t>
      </w:r>
      <w:r w:rsidR="00A5682E">
        <w:t xml:space="preserve"> 2006</w:t>
      </w:r>
      <w:r w:rsidR="00AF14D3">
        <w:rPr>
          <w:lang w:val="uk-UA"/>
        </w:rPr>
        <w:t xml:space="preserve"> року він вирішив розглянути заяву за суттю, водночас із її прийнятністю за положеннями статті</w:t>
      </w:r>
      <w:r w:rsidRPr="00B62174" w:rsidR="00A5682E">
        <w:t xml:space="preserve"> </w:t>
      </w:r>
      <w:r w:rsidR="001D02AE">
        <w:t>29 §</w:t>
      </w:r>
      <w:r w:rsidR="00077EA3">
        <w:t xml:space="preserve"> </w:t>
      </w:r>
      <w:r w:rsidRPr="00B62174" w:rsidR="00A5682E">
        <w:t xml:space="preserve">3 </w:t>
      </w:r>
      <w:r w:rsidR="00AF14D3">
        <w:rPr>
          <w:lang w:val="uk-UA"/>
        </w:rPr>
        <w:t xml:space="preserve">Конвенції в сукупності з правилом </w:t>
      </w:r>
      <w:r w:rsidR="001D02AE">
        <w:t>54A §</w:t>
      </w:r>
      <w:r w:rsidR="00077EA3">
        <w:t xml:space="preserve"> </w:t>
      </w:r>
      <w:r w:rsidR="001D02AE">
        <w:t xml:space="preserve">3 </w:t>
      </w:r>
      <w:r w:rsidR="00AF14D3">
        <w:rPr>
          <w:lang w:val="uk-UA"/>
        </w:rPr>
        <w:t>Регламенту Суду</w:t>
      </w:r>
      <w:r w:rsidR="00A5682E">
        <w:t>.</w:t>
      </w:r>
    </w:p>
    <w:p w:rsidR="008D2021" w:rsidP="00C82223" w:rsidRDefault="00C82223">
      <w:pPr>
        <w:pStyle w:val="JuPara"/>
      </w:pPr>
      <w:r>
        <w:fldChar w:fldCharType="begin"/>
      </w:r>
      <w:r>
        <w:instrText xml:space="preserve"> SEQ level0 \*arabic </w:instrText>
      </w:r>
      <w:r>
        <w:fldChar w:fldCharType="separate"/>
      </w:r>
      <w:r w:rsidR="00142C04">
        <w:rPr>
          <w:noProof/>
        </w:rPr>
        <w:t>5</w:t>
      </w:r>
      <w:r>
        <w:fldChar w:fldCharType="end"/>
      </w:r>
      <w:r>
        <w:t>.  </w:t>
      </w:r>
      <w:r w:rsidR="00CE7605">
        <w:rPr>
          <w:lang w:val="uk-UA"/>
        </w:rPr>
        <w:t xml:space="preserve">Уряд Боснії і </w:t>
      </w:r>
      <w:r w:rsidR="00B42AAA">
        <w:rPr>
          <w:lang w:val="uk-UA"/>
        </w:rPr>
        <w:t>Герцеговини</w:t>
      </w:r>
      <w:r w:rsidR="00CE7605">
        <w:rPr>
          <w:lang w:val="uk-UA"/>
        </w:rPr>
        <w:t xml:space="preserve">, поінформований про право </w:t>
      </w:r>
      <w:r w:rsidRPr="00FE1D66" w:rsidR="00CE7605">
        <w:rPr>
          <w:lang w:val="uk-UA"/>
        </w:rPr>
        <w:t xml:space="preserve">вступити </w:t>
      </w:r>
      <w:r w:rsidR="00CE7605">
        <w:rPr>
          <w:lang w:val="uk-UA"/>
        </w:rPr>
        <w:t xml:space="preserve">в розгляд справи </w:t>
      </w:r>
      <w:r w:rsidRPr="00FE1D66" w:rsidR="00CE7605">
        <w:rPr>
          <w:lang w:val="uk-UA"/>
        </w:rPr>
        <w:t>(</w:t>
      </w:r>
      <w:r w:rsidR="00CE7605">
        <w:rPr>
          <w:lang w:val="uk-UA"/>
        </w:rPr>
        <w:t>стаття</w:t>
      </w:r>
      <w:r w:rsidR="00CE7605">
        <w:t> </w:t>
      </w:r>
      <w:r w:rsidRPr="00FE1D66" w:rsidR="00CE7605">
        <w:rPr>
          <w:lang w:val="uk-UA"/>
        </w:rPr>
        <w:t xml:space="preserve">36 § 1 </w:t>
      </w:r>
      <w:r w:rsidR="00CE7605">
        <w:rPr>
          <w:lang w:val="uk-UA"/>
        </w:rPr>
        <w:t>Конвенції і Правило 44</w:t>
      </w:r>
      <w:r w:rsidRPr="00FE1D66" w:rsidR="00CE7605">
        <w:rPr>
          <w:lang w:val="uk-UA"/>
        </w:rPr>
        <w:t>)</w:t>
      </w:r>
      <w:r w:rsidR="00CE7605">
        <w:rPr>
          <w:lang w:val="uk-UA"/>
        </w:rPr>
        <w:t xml:space="preserve">, </w:t>
      </w:r>
      <w:r w:rsidR="00DE1598">
        <w:rPr>
          <w:lang w:val="uk-UA"/>
        </w:rPr>
        <w:t xml:space="preserve">не скористався </w:t>
      </w:r>
      <w:r w:rsidR="00CE7605">
        <w:rPr>
          <w:lang w:val="uk-UA"/>
        </w:rPr>
        <w:t>ци</w:t>
      </w:r>
      <w:r w:rsidR="00DE1598">
        <w:rPr>
          <w:lang w:val="uk-UA"/>
        </w:rPr>
        <w:t>м правом</w:t>
      </w:r>
      <w:r w:rsidRPr="00511185" w:rsidR="004444E8">
        <w:t>.</w:t>
      </w:r>
    </w:p>
    <w:p w:rsidRPr="00B87C71" w:rsidR="00DE1598" w:rsidP="00DE1598" w:rsidRDefault="00DE1598">
      <w:pPr>
        <w:pStyle w:val="JuHHead"/>
        <w:rPr>
          <w:lang w:val="uk-UA"/>
        </w:rPr>
      </w:pPr>
      <w:r>
        <w:rPr>
          <w:lang w:val="uk-UA"/>
        </w:rPr>
        <w:t>ФАКТИ</w:t>
      </w:r>
    </w:p>
    <w:p w:rsidRPr="00B62174" w:rsidR="00D353F4" w:rsidP="00DE1598" w:rsidRDefault="00DE1598">
      <w:pPr>
        <w:pStyle w:val="JuHIRoman"/>
      </w:pPr>
      <w:r w:rsidRPr="009B7D17">
        <w:t>I</w:t>
      </w:r>
      <w:r w:rsidRPr="008F58DD">
        <w:rPr>
          <w:lang w:val="uk-UA"/>
        </w:rPr>
        <w:t>.</w:t>
      </w:r>
      <w:r w:rsidRPr="009B7D17">
        <w:t>  </w:t>
      </w:r>
      <w:r>
        <w:rPr>
          <w:lang w:val="uk-UA"/>
        </w:rPr>
        <w:t>ОБСТАВИНИ СПРАВИ</w:t>
      </w:r>
    </w:p>
    <w:p w:rsidRPr="00761A37" w:rsidR="00F71A6A" w:rsidRDefault="00B62174">
      <w:pPr>
        <w:pStyle w:val="JuPara"/>
        <w:rPr>
          <w:lang w:val="ru-RU"/>
        </w:rPr>
      </w:pPr>
      <w:r w:rsidRPr="00B62174">
        <w:fldChar w:fldCharType="begin"/>
      </w:r>
      <w:r w:rsidRPr="00B62174">
        <w:instrText xml:space="preserve"> SEQ level0 \*arabic </w:instrText>
      </w:r>
      <w:r w:rsidRPr="00B62174">
        <w:fldChar w:fldCharType="separate"/>
      </w:r>
      <w:r w:rsidR="00142C04">
        <w:rPr>
          <w:noProof/>
        </w:rPr>
        <w:t>6</w:t>
      </w:r>
      <w:r w:rsidRPr="00B62174">
        <w:fldChar w:fldCharType="end"/>
      </w:r>
      <w:r w:rsidRPr="00B62174" w:rsidR="00F71A6A">
        <w:t>.  </w:t>
      </w:r>
      <w:r w:rsidRPr="0039205F" w:rsidR="00DE1598">
        <w:rPr>
          <w:szCs w:val="24"/>
          <w:lang w:val="uk-UA"/>
        </w:rPr>
        <w:t xml:space="preserve">Заявник народився </w:t>
      </w:r>
      <w:r w:rsidR="00164A30">
        <w:t>1946</w:t>
      </w:r>
      <w:r w:rsidR="00DE1598">
        <w:rPr>
          <w:lang w:val="uk-UA"/>
        </w:rPr>
        <w:t xml:space="preserve"> року</w:t>
      </w:r>
      <w:r w:rsidRPr="00B62174" w:rsidR="00F71A6A">
        <w:t>.</w:t>
      </w:r>
      <w:r w:rsidRPr="00164A30" w:rsidR="00164A30">
        <w:t xml:space="preserve"> </w:t>
      </w:r>
      <w:r w:rsidR="00CE7605">
        <w:rPr>
          <w:lang w:val="uk-UA"/>
        </w:rPr>
        <w:t xml:space="preserve">На час подання заяви він </w:t>
      </w:r>
      <w:r w:rsidR="0077451D">
        <w:rPr>
          <w:lang w:val="uk-UA"/>
        </w:rPr>
        <w:t xml:space="preserve">перебував в </w:t>
      </w:r>
      <w:proofErr w:type="spellStart"/>
      <w:r w:rsidR="0077451D">
        <w:rPr>
          <w:lang w:val="uk-UA"/>
        </w:rPr>
        <w:t>ув</w:t>
      </w:r>
      <w:r w:rsidR="00761A37">
        <w:rPr>
          <w:lang w:val="uk-UA"/>
        </w:rPr>
        <w:t>’</w:t>
      </w:r>
      <w:r w:rsidRPr="00761A37" w:rsidR="0077451D">
        <w:rPr>
          <w:lang w:val="ru-RU"/>
        </w:rPr>
        <w:t>язненні</w:t>
      </w:r>
      <w:proofErr w:type="spellEnd"/>
      <w:r w:rsidRPr="00761A37" w:rsidR="0077451D">
        <w:rPr>
          <w:lang w:val="ru-RU"/>
        </w:rPr>
        <w:t xml:space="preserve"> у </w:t>
      </w:r>
      <w:proofErr w:type="spellStart"/>
      <w:r w:rsidRPr="00761A37" w:rsidR="0077451D">
        <w:rPr>
          <w:lang w:val="ru-RU"/>
        </w:rPr>
        <w:t>Бохумі</w:t>
      </w:r>
      <w:proofErr w:type="spellEnd"/>
      <w:r w:rsidRPr="00761A37" w:rsidR="0077451D">
        <w:rPr>
          <w:lang w:val="ru-RU"/>
        </w:rPr>
        <w:t xml:space="preserve">, </w:t>
      </w:r>
      <w:proofErr w:type="spellStart"/>
      <w:r w:rsidRPr="00761A37" w:rsidR="0077451D">
        <w:rPr>
          <w:lang w:val="ru-RU"/>
        </w:rPr>
        <w:t>Німеччина</w:t>
      </w:r>
      <w:proofErr w:type="spellEnd"/>
      <w:r w:rsidRPr="00761A37" w:rsidR="00164A30">
        <w:rPr>
          <w:lang w:val="ru-RU"/>
        </w:rPr>
        <w:t>.</w:t>
      </w:r>
    </w:p>
    <w:p w:rsidRPr="00F40C57" w:rsidR="007C3394" w:rsidP="007C3394" w:rsidRDefault="007C3394">
      <w:pPr>
        <w:pStyle w:val="JuH1"/>
        <w:rPr>
          <w:lang w:val="uk-UA"/>
        </w:rPr>
      </w:pPr>
      <w:r>
        <w:t>1.  </w:t>
      </w:r>
      <w:r w:rsidR="00F40C57">
        <w:rPr>
          <w:lang w:val="uk-UA"/>
        </w:rPr>
        <w:t>Передісторія справи</w:t>
      </w:r>
    </w:p>
    <w:p w:rsidRPr="00237E3F" w:rsidR="007C3394" w:rsidP="007C3394" w:rsidRDefault="00851381">
      <w:pPr>
        <w:pStyle w:val="JuPara"/>
        <w:rPr>
          <w:lang w:val="uk-UA"/>
        </w:rPr>
      </w:pPr>
      <w:r w:rsidRPr="00B62174">
        <w:fldChar w:fldCharType="begin"/>
      </w:r>
      <w:r w:rsidRPr="00DF47C6">
        <w:rPr>
          <w:lang w:val="uk-UA"/>
        </w:rPr>
        <w:instrText xml:space="preserve"> </w:instrText>
      </w:r>
      <w:r w:rsidRPr="00B62174">
        <w:instrText>SEQ</w:instrText>
      </w:r>
      <w:r w:rsidRPr="00DF47C6">
        <w:rPr>
          <w:lang w:val="uk-UA"/>
        </w:rPr>
        <w:instrText xml:space="preserve"> </w:instrText>
      </w:r>
      <w:r w:rsidRPr="00B62174">
        <w:instrText>level</w:instrText>
      </w:r>
      <w:r w:rsidRPr="00DF47C6">
        <w:rPr>
          <w:lang w:val="uk-UA"/>
        </w:rPr>
        <w:instrText>0 \*</w:instrText>
      </w:r>
      <w:r w:rsidRPr="00B62174">
        <w:instrText>arabic</w:instrText>
      </w:r>
      <w:r w:rsidRPr="00DF47C6">
        <w:rPr>
          <w:lang w:val="uk-UA"/>
        </w:rPr>
        <w:instrText xml:space="preserve"> </w:instrText>
      </w:r>
      <w:r w:rsidRPr="00B62174">
        <w:fldChar w:fldCharType="separate"/>
      </w:r>
      <w:r w:rsidRPr="00DF47C6" w:rsidR="00142C04">
        <w:rPr>
          <w:noProof/>
          <w:lang w:val="uk-UA"/>
        </w:rPr>
        <w:t>7</w:t>
      </w:r>
      <w:r w:rsidRPr="00B62174">
        <w:fldChar w:fldCharType="end"/>
      </w:r>
      <w:r w:rsidRPr="00DF47C6">
        <w:rPr>
          <w:lang w:val="uk-UA"/>
        </w:rPr>
        <w:t>.</w:t>
      </w:r>
      <w:r w:rsidRPr="00B62174">
        <w:t>  </w:t>
      </w:r>
      <w:r w:rsidR="00237E3F">
        <w:rPr>
          <w:lang w:val="uk-UA"/>
        </w:rPr>
        <w:t>У</w:t>
      </w:r>
      <w:r w:rsidRPr="00DF47C6" w:rsidR="007C3394">
        <w:rPr>
          <w:lang w:val="uk-UA"/>
        </w:rPr>
        <w:t xml:space="preserve"> 1969</w:t>
      </w:r>
      <w:r w:rsidR="00237E3F">
        <w:rPr>
          <w:lang w:val="uk-UA"/>
        </w:rPr>
        <w:t xml:space="preserve"> році заявник, громадянин Боснії і </w:t>
      </w:r>
      <w:r w:rsidR="00B42AAA">
        <w:rPr>
          <w:lang w:val="uk-UA"/>
        </w:rPr>
        <w:t>Герцеговини</w:t>
      </w:r>
      <w:r w:rsidR="00237E3F">
        <w:rPr>
          <w:lang w:val="uk-UA"/>
        </w:rPr>
        <w:t xml:space="preserve"> сербського походження</w:t>
      </w:r>
      <w:r w:rsidR="00DF47C6">
        <w:rPr>
          <w:lang w:val="uk-UA"/>
        </w:rPr>
        <w:t>,</w:t>
      </w:r>
      <w:r w:rsidR="00237E3F">
        <w:rPr>
          <w:lang w:val="uk-UA"/>
        </w:rPr>
        <w:t xml:space="preserve"> в</w:t>
      </w:r>
      <w:r w:rsidR="00761A37">
        <w:rPr>
          <w:lang w:val="uk-UA"/>
        </w:rPr>
        <w:t>’</w:t>
      </w:r>
      <w:r w:rsidRPr="00DF47C6" w:rsidR="00237E3F">
        <w:rPr>
          <w:lang w:val="uk-UA"/>
        </w:rPr>
        <w:t>їхав до Німеччини</w:t>
      </w:r>
      <w:r w:rsidR="00237E3F">
        <w:rPr>
          <w:lang w:val="uk-UA"/>
        </w:rPr>
        <w:t xml:space="preserve">, де законно проживав до початку </w:t>
      </w:r>
      <w:r w:rsidRPr="00DF47C6" w:rsidR="007C3394">
        <w:rPr>
          <w:lang w:val="uk-UA"/>
        </w:rPr>
        <w:t>1992</w:t>
      </w:r>
      <w:r w:rsidR="00237E3F">
        <w:rPr>
          <w:lang w:val="uk-UA"/>
        </w:rPr>
        <w:t xml:space="preserve"> року</w:t>
      </w:r>
      <w:r w:rsidRPr="00DF47C6" w:rsidR="007C3394">
        <w:rPr>
          <w:lang w:val="uk-UA"/>
        </w:rPr>
        <w:t>.</w:t>
      </w:r>
      <w:r w:rsidR="00237E3F">
        <w:rPr>
          <w:lang w:val="uk-UA"/>
        </w:rPr>
        <w:t xml:space="preserve"> Потім він повернувся до Костайніци, котра є частиною міста Добой у Боснії, де він народився</w:t>
      </w:r>
      <w:r w:rsidRPr="00237E3F" w:rsidR="007C3394">
        <w:rPr>
          <w:lang w:val="uk-UA"/>
        </w:rPr>
        <w:t>.</w:t>
      </w:r>
    </w:p>
    <w:p w:rsidRPr="00DF47C6" w:rsidR="007C3394" w:rsidP="007C3394" w:rsidRDefault="00851381">
      <w:pPr>
        <w:pStyle w:val="JuPara"/>
        <w:rPr>
          <w:lang w:val="uk-UA"/>
        </w:rPr>
      </w:pPr>
      <w:r w:rsidRPr="00B62174">
        <w:fldChar w:fldCharType="begin"/>
      </w:r>
      <w:r w:rsidRPr="00DF47C6">
        <w:rPr>
          <w:lang w:val="uk-UA"/>
        </w:rPr>
        <w:instrText xml:space="preserve"> </w:instrText>
      </w:r>
      <w:r w:rsidRPr="00B62174">
        <w:instrText>SEQ</w:instrText>
      </w:r>
      <w:r w:rsidRPr="00DF47C6">
        <w:rPr>
          <w:lang w:val="uk-UA"/>
        </w:rPr>
        <w:instrText xml:space="preserve"> </w:instrText>
      </w:r>
      <w:r w:rsidRPr="00B62174">
        <w:instrText>level</w:instrText>
      </w:r>
      <w:r w:rsidRPr="00DF47C6">
        <w:rPr>
          <w:lang w:val="uk-UA"/>
        </w:rPr>
        <w:instrText>0 \*</w:instrText>
      </w:r>
      <w:r w:rsidRPr="00B62174">
        <w:instrText>arabic</w:instrText>
      </w:r>
      <w:r w:rsidRPr="00DF47C6">
        <w:rPr>
          <w:lang w:val="uk-UA"/>
        </w:rPr>
        <w:instrText xml:space="preserve"> </w:instrText>
      </w:r>
      <w:r w:rsidRPr="00B62174">
        <w:fldChar w:fldCharType="separate"/>
      </w:r>
      <w:r w:rsidRPr="00DF47C6" w:rsidR="00142C04">
        <w:rPr>
          <w:noProof/>
          <w:lang w:val="uk-UA"/>
        </w:rPr>
        <w:t>8</w:t>
      </w:r>
      <w:r w:rsidRPr="00B62174">
        <w:fldChar w:fldCharType="end"/>
      </w:r>
      <w:r w:rsidRPr="00DF47C6">
        <w:rPr>
          <w:lang w:val="uk-UA"/>
        </w:rPr>
        <w:t>.</w:t>
      </w:r>
      <w:r w:rsidRPr="00B62174">
        <w:t>  </w:t>
      </w:r>
      <w:r w:rsidRPr="00DF47C6" w:rsidR="007C3394">
        <w:rPr>
          <w:lang w:val="uk-UA"/>
        </w:rPr>
        <w:t>16</w:t>
      </w:r>
      <w:r w:rsidRPr="00DF47C6" w:rsidR="00077EA3">
        <w:rPr>
          <w:lang w:val="uk-UA"/>
        </w:rPr>
        <w:t xml:space="preserve"> </w:t>
      </w:r>
      <w:r w:rsidR="00237E3F">
        <w:rPr>
          <w:lang w:val="uk-UA"/>
        </w:rPr>
        <w:t>грудня</w:t>
      </w:r>
      <w:r w:rsidRPr="00DF47C6" w:rsidR="007C3394">
        <w:rPr>
          <w:lang w:val="uk-UA"/>
        </w:rPr>
        <w:t xml:space="preserve"> 1995</w:t>
      </w:r>
      <w:r w:rsidR="00237E3F">
        <w:rPr>
          <w:lang w:val="uk-UA"/>
        </w:rPr>
        <w:t xml:space="preserve"> р</w:t>
      </w:r>
      <w:r w:rsidR="00DF47C6">
        <w:rPr>
          <w:lang w:val="uk-UA"/>
        </w:rPr>
        <w:t>ок</w:t>
      </w:r>
      <w:r w:rsidR="00237E3F">
        <w:rPr>
          <w:lang w:val="uk-UA"/>
        </w:rPr>
        <w:t>у заявника арештували під час в</w:t>
      </w:r>
      <w:r w:rsidR="00761A37">
        <w:rPr>
          <w:lang w:val="uk-UA"/>
        </w:rPr>
        <w:t>’</w:t>
      </w:r>
      <w:r w:rsidRPr="00DF47C6" w:rsidR="00237E3F">
        <w:rPr>
          <w:lang w:val="uk-UA"/>
        </w:rPr>
        <w:t>ї</w:t>
      </w:r>
      <w:r w:rsidR="00237E3F">
        <w:rPr>
          <w:lang w:val="uk-UA"/>
        </w:rPr>
        <w:t>зду до Німеччини і взяли</w:t>
      </w:r>
      <w:r w:rsidRPr="00DF47C6" w:rsidR="007C3394">
        <w:rPr>
          <w:lang w:val="uk-UA"/>
        </w:rPr>
        <w:t xml:space="preserve"> </w:t>
      </w:r>
      <w:r w:rsidR="00DF47C6">
        <w:rPr>
          <w:lang w:val="uk-UA"/>
        </w:rPr>
        <w:t>у</w:t>
      </w:r>
      <w:r w:rsidR="00237E3F">
        <w:rPr>
          <w:lang w:val="uk-UA"/>
        </w:rPr>
        <w:t xml:space="preserve"> попереднє ув</w:t>
      </w:r>
      <w:r w:rsidR="00761A37">
        <w:rPr>
          <w:lang w:val="uk-UA"/>
        </w:rPr>
        <w:t>’</w:t>
      </w:r>
      <w:r w:rsidRPr="00DF47C6" w:rsidR="00237E3F">
        <w:rPr>
          <w:lang w:val="uk-UA"/>
        </w:rPr>
        <w:t>язненн</w:t>
      </w:r>
      <w:r w:rsidR="00237E3F">
        <w:rPr>
          <w:lang w:val="uk-UA"/>
        </w:rPr>
        <w:t xml:space="preserve">я на підставі вагомих підозр </w:t>
      </w:r>
      <w:r w:rsidRPr="00DF47C6" w:rsidR="00237E3F">
        <w:rPr>
          <w:lang w:val="uk-UA"/>
        </w:rPr>
        <w:t>у скоєнні актів геноциду</w:t>
      </w:r>
      <w:r w:rsidRPr="00DF47C6" w:rsidR="007C3394">
        <w:rPr>
          <w:lang w:val="uk-UA"/>
        </w:rPr>
        <w:t>.</w:t>
      </w:r>
    </w:p>
    <w:p w:rsidRPr="00560815" w:rsidR="007C3394" w:rsidP="007C3394" w:rsidRDefault="007C3394">
      <w:pPr>
        <w:pStyle w:val="JuH1"/>
        <w:rPr>
          <w:lang w:val="uk-UA"/>
        </w:rPr>
      </w:pPr>
      <w:r>
        <w:t>2.  </w:t>
      </w:r>
      <w:r w:rsidR="00560815">
        <w:rPr>
          <w:lang w:val="uk-UA"/>
        </w:rPr>
        <w:t>Розгляд у Дю</w:t>
      </w:r>
      <w:r w:rsidR="0026020C">
        <w:rPr>
          <w:lang w:val="uk-UA"/>
        </w:rPr>
        <w:t>с</w:t>
      </w:r>
      <w:r w:rsidR="00560815">
        <w:rPr>
          <w:lang w:val="uk-UA"/>
        </w:rPr>
        <w:t>сельдорфському апеляційному суді</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9</w:t>
      </w:r>
      <w:r w:rsidRPr="00B62174">
        <w:fldChar w:fldCharType="end"/>
      </w:r>
      <w:r w:rsidRPr="00B62174">
        <w:t>.  </w:t>
      </w:r>
      <w:r w:rsidR="007C3394">
        <w:t>28</w:t>
      </w:r>
      <w:r w:rsidR="00077EA3">
        <w:t xml:space="preserve"> </w:t>
      </w:r>
      <w:r w:rsidR="009A033F">
        <w:rPr>
          <w:lang w:val="uk-UA"/>
        </w:rPr>
        <w:t>лютого</w:t>
      </w:r>
      <w:r w:rsidR="007C3394">
        <w:t xml:space="preserve"> 1997</w:t>
      </w:r>
      <w:r w:rsidR="009A033F">
        <w:rPr>
          <w:lang w:val="uk-UA"/>
        </w:rPr>
        <w:t xml:space="preserve"> року у Дюс</w:t>
      </w:r>
      <w:r w:rsidR="00B42AAA">
        <w:rPr>
          <w:lang w:val="uk-UA"/>
        </w:rPr>
        <w:t>с</w:t>
      </w:r>
      <w:r w:rsidR="009A033F">
        <w:rPr>
          <w:lang w:val="uk-UA"/>
        </w:rPr>
        <w:t xml:space="preserve">ельдорфському апеляційному суді </w:t>
      </w:r>
      <w:r w:rsidR="009A033F">
        <w:t>(</w:t>
      </w:r>
      <w:r w:rsidRPr="007C452A" w:rsidR="009A033F">
        <w:rPr>
          <w:i/>
        </w:rPr>
        <w:t>Oberlandesgericht</w:t>
      </w:r>
      <w:r w:rsidR="009A033F">
        <w:t>)</w:t>
      </w:r>
      <w:r w:rsidR="009A033F">
        <w:rPr>
          <w:lang w:val="uk-UA"/>
        </w:rPr>
        <w:t xml:space="preserve">, котрий діяв як суд першої інстанції, розпочався суд над заявником за звинуваченням у скоєнні актів геноциду у місцевості Добой між травнем і вереснем </w:t>
      </w:r>
      <w:r w:rsidR="007C3394">
        <w:t>1992</w:t>
      </w:r>
      <w:r w:rsidR="009A033F">
        <w:rPr>
          <w:lang w:val="uk-UA"/>
        </w:rPr>
        <w:t xml:space="preserve"> року</w:t>
      </w:r>
      <w:r w:rsidR="007C3394">
        <w:t>.</w:t>
      </w:r>
    </w:p>
    <w:p w:rsidRPr="00DB3579"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10</w:t>
      </w:r>
      <w:r w:rsidRPr="00B62174">
        <w:fldChar w:fldCharType="end"/>
      </w:r>
      <w:r w:rsidRPr="00B62174">
        <w:t>.  </w:t>
      </w:r>
      <w:r w:rsidR="00F7658D">
        <w:rPr>
          <w:lang w:val="uk-UA"/>
        </w:rPr>
        <w:t xml:space="preserve">Під час розгляду апеляційний суд заслухав показання шістьох </w:t>
      </w:r>
      <w:r w:rsidR="00DF47C6">
        <w:rPr>
          <w:lang w:val="uk-UA"/>
        </w:rPr>
        <w:t xml:space="preserve">викликаних обвинуваченням </w:t>
      </w:r>
      <w:r w:rsidR="00F7658D">
        <w:rPr>
          <w:lang w:val="uk-UA"/>
        </w:rPr>
        <w:t xml:space="preserve">свідків, </w:t>
      </w:r>
      <w:r w:rsidR="000228C8">
        <w:rPr>
          <w:lang w:val="uk-UA"/>
        </w:rPr>
        <w:t xml:space="preserve">яких було допитано </w:t>
      </w:r>
      <w:r w:rsidRPr="00DB3579" w:rsidR="000228C8">
        <w:rPr>
          <w:lang w:val="uk-UA"/>
        </w:rPr>
        <w:t>за</w:t>
      </w:r>
      <w:r w:rsidRPr="00DB3579" w:rsidR="00DB3579">
        <w:t xml:space="preserve"> </w:t>
      </w:r>
      <w:r w:rsidRPr="00DB3579" w:rsidR="00934A6A">
        <w:rPr>
          <w:lang w:val="uk-UA"/>
        </w:rPr>
        <w:t>кордоном</w:t>
      </w:r>
      <w:r w:rsidRPr="00DB3579" w:rsidR="007C3394">
        <w:t>.</w:t>
      </w:r>
    </w:p>
    <w:p w:rsidRPr="00DB3579" w:rsidR="007C3394" w:rsidP="007C3394" w:rsidRDefault="00851381">
      <w:pPr>
        <w:pStyle w:val="JuPara"/>
      </w:pPr>
      <w:r w:rsidRPr="00DB3579">
        <w:fldChar w:fldCharType="begin"/>
      </w:r>
      <w:r w:rsidRPr="00DB3579">
        <w:instrText xml:space="preserve"> SEQ level0 \*arabic </w:instrText>
      </w:r>
      <w:r w:rsidRPr="00DB3579">
        <w:fldChar w:fldCharType="separate"/>
      </w:r>
      <w:r w:rsidRPr="00DB3579" w:rsidR="00142C04">
        <w:rPr>
          <w:noProof/>
        </w:rPr>
        <w:t>11</w:t>
      </w:r>
      <w:r w:rsidRPr="00DB3579">
        <w:fldChar w:fldCharType="end"/>
      </w:r>
      <w:r w:rsidRPr="00DB3579">
        <w:t>.  </w:t>
      </w:r>
      <w:r w:rsidRPr="00DB3579" w:rsidR="007C3394">
        <w:t>18</w:t>
      </w:r>
      <w:r w:rsidRPr="00DB3579" w:rsidR="00077EA3">
        <w:t xml:space="preserve"> </w:t>
      </w:r>
      <w:r w:rsidRPr="00DB3579" w:rsidR="00C44C4E">
        <w:rPr>
          <w:lang w:val="uk-UA"/>
        </w:rPr>
        <w:t>червня</w:t>
      </w:r>
      <w:r w:rsidRPr="00DB3579" w:rsidR="007C3394">
        <w:t xml:space="preserve"> 1997</w:t>
      </w:r>
      <w:r w:rsidRPr="00DB3579" w:rsidR="00C44C4E">
        <w:rPr>
          <w:lang w:val="uk-UA"/>
        </w:rPr>
        <w:t xml:space="preserve"> року заявник просив апеляційний суд викликати і заслухати свідчення восьми свідків </w:t>
      </w:r>
      <w:r w:rsidRPr="00DB3579" w:rsidR="000228C8">
        <w:rPr>
          <w:lang w:val="uk-UA"/>
        </w:rPr>
        <w:t>і</w:t>
      </w:r>
      <w:r w:rsidRPr="00DB3579" w:rsidR="00C44C4E">
        <w:rPr>
          <w:lang w:val="uk-UA"/>
        </w:rPr>
        <w:t xml:space="preserve">з Костайніци, аби довести, що він перебував у попередньому </w:t>
      </w:r>
      <w:proofErr w:type="spellStart"/>
      <w:r w:rsidRPr="00DB3579" w:rsidR="00C44C4E">
        <w:rPr>
          <w:lang w:val="uk-UA"/>
        </w:rPr>
        <w:t>ув</w:t>
      </w:r>
      <w:r w:rsidR="00761A37">
        <w:rPr>
          <w:lang w:val="uk-UA"/>
        </w:rPr>
        <w:t>’</w:t>
      </w:r>
      <w:r w:rsidRPr="00DB3579" w:rsidR="00C44C4E">
        <w:rPr>
          <w:lang w:val="fr-FR"/>
        </w:rPr>
        <w:t>язненн</w:t>
      </w:r>
      <w:proofErr w:type="spellEnd"/>
      <w:r w:rsidRPr="00DB3579" w:rsidR="00C44C4E">
        <w:rPr>
          <w:lang w:val="uk-UA"/>
        </w:rPr>
        <w:t>і</w:t>
      </w:r>
      <w:r w:rsidRPr="00DB3579" w:rsidR="007C3394">
        <w:t xml:space="preserve"> </w:t>
      </w:r>
      <w:r w:rsidRPr="00DB3579" w:rsidR="00C44C4E">
        <w:rPr>
          <w:lang w:val="uk-UA"/>
        </w:rPr>
        <w:t xml:space="preserve">в </w:t>
      </w:r>
      <w:proofErr w:type="spellStart"/>
      <w:r w:rsidRPr="00DB3579" w:rsidR="00C44C4E">
        <w:rPr>
          <w:lang w:val="uk-UA"/>
        </w:rPr>
        <w:t>Добої</w:t>
      </w:r>
      <w:proofErr w:type="spellEnd"/>
      <w:r w:rsidRPr="00DB3579" w:rsidR="00C44C4E">
        <w:rPr>
          <w:lang w:val="uk-UA"/>
        </w:rPr>
        <w:t xml:space="preserve"> між </w:t>
      </w:r>
      <w:r w:rsidRPr="00DB3579" w:rsidR="007C3394">
        <w:t>14</w:t>
      </w:r>
      <w:r w:rsidRPr="00DB3579" w:rsidR="00077EA3">
        <w:t xml:space="preserve"> </w:t>
      </w:r>
      <w:r w:rsidRPr="00DB3579" w:rsidR="00C44C4E">
        <w:rPr>
          <w:lang w:val="uk-UA"/>
        </w:rPr>
        <w:t>травня і</w:t>
      </w:r>
      <w:r w:rsidRPr="00DB3579" w:rsidR="007C3394">
        <w:t xml:space="preserve"> 15</w:t>
      </w:r>
      <w:r w:rsidRPr="00DB3579" w:rsidR="00077EA3">
        <w:t xml:space="preserve"> </w:t>
      </w:r>
      <w:r w:rsidRPr="00DB3579" w:rsidR="00C44C4E">
        <w:rPr>
          <w:lang w:val="uk-UA"/>
        </w:rPr>
        <w:t>серпня</w:t>
      </w:r>
      <w:r w:rsidRPr="00DB3579" w:rsidR="007C3394">
        <w:t xml:space="preserve"> </w:t>
      </w:r>
      <w:r w:rsidRPr="00DB3579" w:rsidR="00835617">
        <w:t>1992</w:t>
      </w:r>
      <w:r w:rsidRPr="00DB3579" w:rsidR="00C44C4E">
        <w:rPr>
          <w:lang w:val="uk-UA"/>
        </w:rPr>
        <w:t xml:space="preserve"> року і, отже, не міг скоїти злочини, в яких його було обвинувачено</w:t>
      </w:r>
      <w:r w:rsidRPr="00DB3579" w:rsidR="007C3394">
        <w:t>. 10</w:t>
      </w:r>
      <w:r w:rsidRPr="00DB3579" w:rsidR="00077EA3">
        <w:t xml:space="preserve"> </w:t>
      </w:r>
      <w:r w:rsidRPr="00DB3579" w:rsidR="00C44C4E">
        <w:rPr>
          <w:lang w:val="uk-UA"/>
        </w:rPr>
        <w:t>липня</w:t>
      </w:r>
      <w:r w:rsidRPr="00DB3579" w:rsidR="007C3394">
        <w:t xml:space="preserve"> 1997</w:t>
      </w:r>
      <w:r w:rsidRPr="00DB3579" w:rsidR="00C44C4E">
        <w:rPr>
          <w:lang w:val="uk-UA"/>
        </w:rPr>
        <w:t xml:space="preserve"> року </w:t>
      </w:r>
      <w:r w:rsidRPr="00DB3579" w:rsidR="00DF47C6">
        <w:rPr>
          <w:lang w:val="uk-UA"/>
        </w:rPr>
        <w:t xml:space="preserve">він </w:t>
      </w:r>
      <w:r w:rsidRPr="00DB3579" w:rsidR="00C44C4E">
        <w:rPr>
          <w:lang w:val="uk-UA"/>
        </w:rPr>
        <w:t xml:space="preserve">подав клопотання про допит ще сімнадцяти свідків </w:t>
      </w:r>
      <w:r w:rsidRPr="00DB3579" w:rsidR="000228C8">
        <w:rPr>
          <w:lang w:val="uk-UA"/>
        </w:rPr>
        <w:t>і</w:t>
      </w:r>
      <w:r w:rsidRPr="00DB3579" w:rsidR="00C44C4E">
        <w:rPr>
          <w:lang w:val="uk-UA"/>
        </w:rPr>
        <w:t xml:space="preserve">з Костайніци, які </w:t>
      </w:r>
      <w:r w:rsidRPr="00DB3579" w:rsidR="00B42AAA">
        <w:rPr>
          <w:lang w:val="uk-UA"/>
        </w:rPr>
        <w:t>підтвердили</w:t>
      </w:r>
      <w:r w:rsidRPr="00DB3579" w:rsidR="00C44C4E">
        <w:rPr>
          <w:lang w:val="uk-UA"/>
        </w:rPr>
        <w:t xml:space="preserve"> б його доводи</w:t>
      </w:r>
      <w:r w:rsidRPr="00DB3579" w:rsidR="007C3394">
        <w:t>.</w:t>
      </w:r>
    </w:p>
    <w:p w:rsidRPr="00823A9C" w:rsidR="007C3394" w:rsidP="00823A9C" w:rsidRDefault="00851381">
      <w:pPr>
        <w:pStyle w:val="JuPara"/>
        <w:rPr>
          <w:lang w:val="uk-UA"/>
        </w:rPr>
      </w:pPr>
      <w:r w:rsidRPr="00B62174">
        <w:fldChar w:fldCharType="begin"/>
      </w:r>
      <w:r w:rsidRPr="00B62174">
        <w:instrText xml:space="preserve"> SEQ level0 \*arabic </w:instrText>
      </w:r>
      <w:r w:rsidRPr="00B62174">
        <w:fldChar w:fldCharType="separate"/>
      </w:r>
      <w:r w:rsidR="00142C04">
        <w:rPr>
          <w:noProof/>
        </w:rPr>
        <w:t>12</w:t>
      </w:r>
      <w:r w:rsidRPr="00B62174">
        <w:fldChar w:fldCharType="end"/>
      </w:r>
      <w:r w:rsidRPr="00B62174">
        <w:t>.  </w:t>
      </w:r>
      <w:r w:rsidR="007C3394">
        <w:t>18</w:t>
      </w:r>
      <w:r w:rsidR="00077EA3">
        <w:t xml:space="preserve"> </w:t>
      </w:r>
      <w:r w:rsidR="00C44C4E">
        <w:rPr>
          <w:lang w:val="uk-UA"/>
        </w:rPr>
        <w:t>серпня</w:t>
      </w:r>
      <w:r w:rsidR="007C3394">
        <w:t xml:space="preserve"> 1997</w:t>
      </w:r>
      <w:r w:rsidR="00C44C4E">
        <w:rPr>
          <w:lang w:val="uk-UA"/>
        </w:rPr>
        <w:t xml:space="preserve"> року апеляційний суд відхилив клопотання заявника про</w:t>
      </w:r>
      <w:r w:rsidR="007C3394">
        <w:t xml:space="preserve"> </w:t>
      </w:r>
      <w:r w:rsidR="00C44C4E">
        <w:rPr>
          <w:lang w:val="uk-UA"/>
        </w:rPr>
        <w:t>допит цих свідків</w:t>
      </w:r>
      <w:r w:rsidR="008150DD">
        <w:t xml:space="preserve">. </w:t>
      </w:r>
      <w:r w:rsidR="00F0151B">
        <w:rPr>
          <w:lang w:val="uk-UA"/>
        </w:rPr>
        <w:t xml:space="preserve">Спираючись на статтю </w:t>
      </w:r>
      <w:r w:rsidRPr="00F0151B" w:rsidR="007C3394">
        <w:rPr>
          <w:lang w:val="uk-UA"/>
        </w:rPr>
        <w:t>244 §</w:t>
      </w:r>
      <w:r w:rsidRPr="00F0151B" w:rsidR="00077EA3">
        <w:rPr>
          <w:lang w:val="uk-UA"/>
        </w:rPr>
        <w:t xml:space="preserve"> </w:t>
      </w:r>
      <w:r w:rsidRPr="00F0151B" w:rsidR="007C3394">
        <w:rPr>
          <w:lang w:val="uk-UA"/>
        </w:rPr>
        <w:t xml:space="preserve">5, </w:t>
      </w:r>
      <w:r w:rsidR="00F0151B">
        <w:rPr>
          <w:lang w:val="uk-UA"/>
        </w:rPr>
        <w:t>друге речення</w:t>
      </w:r>
      <w:r w:rsidRPr="00F0151B" w:rsidR="007C3394">
        <w:rPr>
          <w:lang w:val="uk-UA"/>
        </w:rPr>
        <w:t xml:space="preserve">, </w:t>
      </w:r>
      <w:r w:rsidR="00F0151B">
        <w:rPr>
          <w:lang w:val="uk-UA"/>
        </w:rPr>
        <w:t>Кримінально-процесуального кодексу</w:t>
      </w:r>
      <w:r w:rsidRPr="00F0151B" w:rsidR="007C3394">
        <w:rPr>
          <w:lang w:val="uk-UA"/>
        </w:rPr>
        <w:t xml:space="preserve"> (</w:t>
      </w:r>
      <w:r w:rsidR="00F0151B">
        <w:rPr>
          <w:lang w:val="uk-UA"/>
        </w:rPr>
        <w:t>див. нижче параграф</w:t>
      </w:r>
      <w:r w:rsidRPr="00F0151B" w:rsidR="00077EA3">
        <w:rPr>
          <w:lang w:val="uk-UA"/>
        </w:rPr>
        <w:t xml:space="preserve"> </w:t>
      </w:r>
      <w:r w:rsidRPr="00F0151B" w:rsidR="00835617">
        <w:rPr>
          <w:lang w:val="uk-UA"/>
        </w:rPr>
        <w:t>39</w:t>
      </w:r>
      <w:r w:rsidRPr="00F0151B" w:rsidR="007C3394">
        <w:rPr>
          <w:lang w:val="uk-UA"/>
        </w:rPr>
        <w:t xml:space="preserve">), </w:t>
      </w:r>
      <w:r w:rsidR="00F0151B">
        <w:rPr>
          <w:lang w:val="uk-UA"/>
        </w:rPr>
        <w:t>суд вирішив, що покази цих свідків матимуть малу доказову цінн</w:t>
      </w:r>
      <w:r w:rsidR="00611DAD">
        <w:rPr>
          <w:lang w:val="uk-UA"/>
        </w:rPr>
        <w:t>і</w:t>
      </w:r>
      <w:r w:rsidR="00F0151B">
        <w:rPr>
          <w:lang w:val="uk-UA"/>
        </w:rPr>
        <w:t>сть</w:t>
      </w:r>
      <w:r w:rsidRPr="00F0151B" w:rsidR="007C3394">
        <w:rPr>
          <w:lang w:val="uk-UA"/>
        </w:rPr>
        <w:t xml:space="preserve">. </w:t>
      </w:r>
      <w:r w:rsidR="00F0151B">
        <w:rPr>
          <w:lang w:val="uk-UA"/>
        </w:rPr>
        <w:t>Семеро з цих свідків дали письмові свідчення, які вже були зачитані в суді</w:t>
      </w:r>
      <w:r w:rsidRPr="00F0151B" w:rsidR="007C3394">
        <w:rPr>
          <w:lang w:val="uk-UA"/>
        </w:rPr>
        <w:t xml:space="preserve">. </w:t>
      </w:r>
      <w:r w:rsidR="00F0151B">
        <w:rPr>
          <w:lang w:val="uk-UA"/>
        </w:rPr>
        <w:t xml:space="preserve">Лише один </w:t>
      </w:r>
      <w:r w:rsidR="000228C8">
        <w:rPr>
          <w:lang w:val="uk-UA"/>
        </w:rPr>
        <w:t>і</w:t>
      </w:r>
      <w:r w:rsidR="00F0151B">
        <w:rPr>
          <w:lang w:val="uk-UA"/>
        </w:rPr>
        <w:t>з них стверджував, що відвідував заявника у тюрмі</w:t>
      </w:r>
      <w:r w:rsidRPr="00F0151B" w:rsidR="007C3394">
        <w:rPr>
          <w:lang w:val="uk-UA"/>
        </w:rPr>
        <w:t xml:space="preserve">. </w:t>
      </w:r>
      <w:r w:rsidR="00F0151B">
        <w:rPr>
          <w:lang w:val="uk-UA"/>
        </w:rPr>
        <w:t>З огляду на отримані свідчення, суд зміг виключити можливість того, що покази свідків, названих заявником, якщо їх буде заслухано особисто, зможуть вплинути на оцінку доказів судом</w:t>
      </w:r>
      <w:r w:rsidRPr="00F0151B" w:rsidR="007C3394">
        <w:rPr>
          <w:lang w:val="uk-UA"/>
        </w:rPr>
        <w:t xml:space="preserve">. </w:t>
      </w:r>
      <w:r w:rsidR="00823A9C">
        <w:rPr>
          <w:lang w:val="uk-UA"/>
        </w:rPr>
        <w:t xml:space="preserve">Суд зазначив, що під час засідань </w:t>
      </w:r>
      <w:r w:rsidR="00DF47C6">
        <w:rPr>
          <w:lang w:val="uk-UA"/>
        </w:rPr>
        <w:t>бу</w:t>
      </w:r>
      <w:r w:rsidR="00823A9C">
        <w:rPr>
          <w:lang w:val="uk-UA"/>
        </w:rPr>
        <w:t>ло вже заслухано більше двадцяти свідків, котрі не були жертвами злочинів, у яких звинувачено заявника, і котрі бачили заявника у різних місцях поза тюрмою під час періоду, коли він, як сам стверджував, перебував під</w:t>
      </w:r>
      <w:r w:rsidR="00DF47C6">
        <w:rPr>
          <w:lang w:val="uk-UA"/>
        </w:rPr>
        <w:t xml:space="preserve"> вартою</w:t>
      </w:r>
      <w:r w:rsidRPr="00823A9C" w:rsidR="007C3394">
        <w:rPr>
          <w:lang w:val="uk-UA"/>
        </w:rPr>
        <w:t xml:space="preserve">. </w:t>
      </w:r>
      <w:r w:rsidR="00823A9C">
        <w:rPr>
          <w:lang w:val="uk-UA"/>
        </w:rPr>
        <w:t>Документи, подані заявником стосовно початку і кінця його затримання у Добої</w:t>
      </w:r>
      <w:r w:rsidR="00DF47C6">
        <w:rPr>
          <w:lang w:val="uk-UA"/>
        </w:rPr>
        <w:t xml:space="preserve">, </w:t>
      </w:r>
      <w:r w:rsidR="00823A9C">
        <w:rPr>
          <w:lang w:val="uk-UA"/>
        </w:rPr>
        <w:t>не виключали протилежного висновку, оскільки вочевидь були підписані особою, яку він добре знав</w:t>
      </w:r>
      <w:r w:rsidRPr="00823A9C" w:rsidR="007C3394">
        <w:rPr>
          <w:lang w:val="uk-UA"/>
        </w:rPr>
        <w:t>.</w:t>
      </w:r>
    </w:p>
    <w:p w:rsidRPr="00DB3579" w:rsidR="007C3394" w:rsidP="007C3394" w:rsidRDefault="00851381">
      <w:pPr>
        <w:pStyle w:val="JuPara"/>
        <w:rPr>
          <w:lang w:val="uk-UA"/>
        </w:rPr>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13</w:t>
      </w:r>
      <w:r w:rsidRPr="00B62174">
        <w:fldChar w:fldCharType="end"/>
      </w:r>
      <w:r w:rsidRPr="00DB3579">
        <w:rPr>
          <w:lang w:val="uk-UA"/>
        </w:rPr>
        <w:t>.</w:t>
      </w:r>
      <w:r w:rsidRPr="00B62174">
        <w:t>  </w:t>
      </w:r>
      <w:r w:rsidRPr="00DB3579" w:rsidR="007C3394">
        <w:rPr>
          <w:lang w:val="uk-UA"/>
        </w:rPr>
        <w:t>8</w:t>
      </w:r>
      <w:r w:rsidRPr="00DB3579" w:rsidR="00077EA3">
        <w:rPr>
          <w:lang w:val="uk-UA"/>
        </w:rPr>
        <w:t xml:space="preserve"> </w:t>
      </w:r>
      <w:r w:rsidR="00B42AAA">
        <w:rPr>
          <w:lang w:val="uk-UA"/>
        </w:rPr>
        <w:t>вересня</w:t>
      </w:r>
      <w:r w:rsidRPr="00DB3579" w:rsidR="007C3394">
        <w:rPr>
          <w:lang w:val="uk-UA"/>
        </w:rPr>
        <w:t xml:space="preserve"> 1997</w:t>
      </w:r>
      <w:r w:rsidR="00611DAD">
        <w:rPr>
          <w:lang w:val="uk-UA"/>
        </w:rPr>
        <w:t xml:space="preserve"> року заявник просив апеляційний суд викликати трьох свідків </w:t>
      </w:r>
      <w:r w:rsidR="000228C8">
        <w:rPr>
          <w:lang w:val="uk-UA"/>
        </w:rPr>
        <w:t>і</w:t>
      </w:r>
      <w:r w:rsidR="00611DAD">
        <w:rPr>
          <w:lang w:val="uk-UA"/>
        </w:rPr>
        <w:t>з Добоя, аби довести, що</w:t>
      </w:r>
      <w:r w:rsidRPr="00DB3579" w:rsidR="007C3394">
        <w:rPr>
          <w:lang w:val="uk-UA"/>
        </w:rPr>
        <w:t xml:space="preserve"> </w:t>
      </w:r>
      <w:r w:rsidR="00611DAD">
        <w:rPr>
          <w:lang w:val="uk-UA"/>
        </w:rPr>
        <w:t>він перебував у попередньому ув</w:t>
      </w:r>
      <w:r w:rsidR="00761A37">
        <w:rPr>
          <w:lang w:val="uk-UA"/>
        </w:rPr>
        <w:t>’</w:t>
      </w:r>
      <w:r w:rsidRPr="00DB3579" w:rsidR="00611DAD">
        <w:rPr>
          <w:lang w:val="uk-UA"/>
        </w:rPr>
        <w:t>язненн</w:t>
      </w:r>
      <w:r w:rsidR="00611DAD">
        <w:rPr>
          <w:lang w:val="uk-UA"/>
        </w:rPr>
        <w:t>і</w:t>
      </w:r>
      <w:r w:rsidRPr="00DB3579" w:rsidR="00611DAD">
        <w:rPr>
          <w:lang w:val="uk-UA"/>
        </w:rPr>
        <w:t xml:space="preserve"> </w:t>
      </w:r>
      <w:r w:rsidR="00611DAD">
        <w:rPr>
          <w:lang w:val="uk-UA"/>
        </w:rPr>
        <w:t xml:space="preserve">в </w:t>
      </w:r>
      <w:proofErr w:type="spellStart"/>
      <w:r w:rsidR="00611DAD">
        <w:rPr>
          <w:lang w:val="uk-UA"/>
        </w:rPr>
        <w:t>Добої</w:t>
      </w:r>
      <w:proofErr w:type="spellEnd"/>
      <w:r w:rsidR="00611DAD">
        <w:rPr>
          <w:lang w:val="uk-UA"/>
        </w:rPr>
        <w:t xml:space="preserve"> між </w:t>
      </w:r>
      <w:r w:rsidRPr="00DB3579" w:rsidR="00611DAD">
        <w:rPr>
          <w:lang w:val="uk-UA"/>
        </w:rPr>
        <w:t xml:space="preserve">14 </w:t>
      </w:r>
      <w:r w:rsidR="00611DAD">
        <w:rPr>
          <w:lang w:val="uk-UA"/>
        </w:rPr>
        <w:t>травня і</w:t>
      </w:r>
      <w:r w:rsidRPr="00DB3579" w:rsidR="00611DAD">
        <w:rPr>
          <w:lang w:val="uk-UA"/>
        </w:rPr>
        <w:t xml:space="preserve"> 15 </w:t>
      </w:r>
      <w:r w:rsidR="00611DAD">
        <w:rPr>
          <w:lang w:val="uk-UA"/>
        </w:rPr>
        <w:t>серпня</w:t>
      </w:r>
      <w:r w:rsidRPr="00DB3579" w:rsidR="00611DAD">
        <w:rPr>
          <w:lang w:val="uk-UA"/>
        </w:rPr>
        <w:t xml:space="preserve"> 1992</w:t>
      </w:r>
      <w:r w:rsidR="00611DAD">
        <w:rPr>
          <w:lang w:val="uk-UA"/>
        </w:rPr>
        <w:t xml:space="preserve"> року</w:t>
      </w:r>
      <w:r w:rsidRPr="00DB3579" w:rsidR="007C3394">
        <w:rPr>
          <w:lang w:val="uk-UA"/>
        </w:rPr>
        <w:t xml:space="preserve">. </w:t>
      </w:r>
      <w:r w:rsidR="00611DAD">
        <w:rPr>
          <w:lang w:val="uk-UA"/>
        </w:rPr>
        <w:t xml:space="preserve">Він також клопотав про огляд місця скоєння злочину </w:t>
      </w:r>
      <w:r w:rsidRPr="00DB3579" w:rsidR="007C3394">
        <w:rPr>
          <w:lang w:val="uk-UA"/>
        </w:rPr>
        <w:t>(</w:t>
      </w:r>
      <w:r w:rsidRPr="0006137A" w:rsidR="007C3394">
        <w:rPr>
          <w:i/>
        </w:rPr>
        <w:t>Augenscheinseinnahme</w:t>
      </w:r>
      <w:r w:rsidRPr="00DB3579" w:rsidR="007C3394">
        <w:rPr>
          <w:lang w:val="uk-UA"/>
        </w:rPr>
        <w:t xml:space="preserve">) </w:t>
      </w:r>
      <w:r w:rsidR="00611DAD">
        <w:rPr>
          <w:lang w:val="uk-UA"/>
        </w:rPr>
        <w:t xml:space="preserve">у </w:t>
      </w:r>
      <w:r w:rsidR="00651891">
        <w:rPr>
          <w:lang w:val="uk-UA"/>
        </w:rPr>
        <w:t xml:space="preserve">селі </w:t>
      </w:r>
      <w:r w:rsidRPr="00DB3579" w:rsidR="00611DAD">
        <w:rPr>
          <w:lang w:val="uk-UA"/>
        </w:rPr>
        <w:t>Грабска або скласти то</w:t>
      </w:r>
      <w:r w:rsidRPr="00DB3579" w:rsidR="00DF47C6">
        <w:rPr>
          <w:lang w:val="uk-UA"/>
        </w:rPr>
        <w:t>п</w:t>
      </w:r>
      <w:r w:rsidRPr="00DB3579" w:rsidR="00611DAD">
        <w:rPr>
          <w:lang w:val="uk-UA"/>
        </w:rPr>
        <w:t xml:space="preserve">ографічну карту, аби довести, </w:t>
      </w:r>
      <w:r w:rsidRPr="00DB3579" w:rsidR="00DF47C6">
        <w:rPr>
          <w:lang w:val="uk-UA"/>
        </w:rPr>
        <w:t>що покази свідків стосовно його можливи</w:t>
      </w:r>
      <w:r w:rsidRPr="00DB3579" w:rsidR="00611DAD">
        <w:rPr>
          <w:lang w:val="uk-UA"/>
        </w:rPr>
        <w:t xml:space="preserve">х дій у Грабска були </w:t>
      </w:r>
      <w:r w:rsidRPr="00DB3579" w:rsidR="000228C8">
        <w:rPr>
          <w:lang w:val="uk-UA"/>
        </w:rPr>
        <w:t>неправдоподібними</w:t>
      </w:r>
      <w:r w:rsidRPr="00DB3579" w:rsidR="007C3394">
        <w:rPr>
          <w:lang w:val="uk-UA"/>
        </w:rPr>
        <w:t>.</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14</w:t>
      </w:r>
      <w:r w:rsidRPr="00B62174">
        <w:fldChar w:fldCharType="end"/>
      </w:r>
      <w:r w:rsidRPr="00B62174">
        <w:t>.  </w:t>
      </w:r>
      <w:r w:rsidR="007C3394">
        <w:t>12</w:t>
      </w:r>
      <w:r w:rsidR="00077EA3">
        <w:t xml:space="preserve"> </w:t>
      </w:r>
      <w:r w:rsidR="00611DAD">
        <w:rPr>
          <w:lang w:val="uk-UA"/>
        </w:rPr>
        <w:t>вересня</w:t>
      </w:r>
      <w:r w:rsidR="007C3394">
        <w:t xml:space="preserve"> 1997</w:t>
      </w:r>
      <w:r w:rsidR="00611DAD">
        <w:rPr>
          <w:lang w:val="uk-UA"/>
        </w:rPr>
        <w:t xml:space="preserve"> року апеляційний суд відхилив клопотання заявника</w:t>
      </w:r>
      <w:r w:rsidR="007C3394">
        <w:t xml:space="preserve">. </w:t>
      </w:r>
      <w:r w:rsidR="00611DAD">
        <w:rPr>
          <w:lang w:val="uk-UA"/>
        </w:rPr>
        <w:t xml:space="preserve">Щодо відмови допитати свідків, суд, знову спираючись на статтю </w:t>
      </w:r>
      <w:r w:rsidRPr="00F0151B" w:rsidR="00611DAD">
        <w:rPr>
          <w:lang w:val="uk-UA"/>
        </w:rPr>
        <w:t>244 § 5</w:t>
      </w:r>
      <w:r w:rsidR="00611DAD">
        <w:rPr>
          <w:lang w:val="uk-UA"/>
        </w:rPr>
        <w:t xml:space="preserve"> Кримінально-процесуального кодексу</w:t>
      </w:r>
      <w:r w:rsidRPr="00F0151B" w:rsidR="00611DAD">
        <w:rPr>
          <w:lang w:val="uk-UA"/>
        </w:rPr>
        <w:t xml:space="preserve">, </w:t>
      </w:r>
      <w:r w:rsidR="00611DAD">
        <w:rPr>
          <w:lang w:val="uk-UA"/>
        </w:rPr>
        <w:t>вирішив, що покази цих свідків матимуть малу доказову цінність</w:t>
      </w:r>
      <w:r w:rsidR="007C3394">
        <w:t xml:space="preserve">. </w:t>
      </w:r>
      <w:r w:rsidR="00611DAD">
        <w:rPr>
          <w:lang w:val="uk-UA"/>
        </w:rPr>
        <w:t>Заслухавши покази інших свідків, суд переконався, що заявник не перебував під вартою у вказаний час</w:t>
      </w:r>
      <w:r w:rsidR="007C3394">
        <w:t xml:space="preserve">. </w:t>
      </w:r>
      <w:r w:rsidR="00611DAD">
        <w:rPr>
          <w:lang w:val="uk-UA"/>
        </w:rPr>
        <w:t>Суд також вирішив, що огляд місця скоєння злочину або складання то</w:t>
      </w:r>
      <w:r w:rsidR="00DF47C6">
        <w:rPr>
          <w:lang w:val="uk-UA"/>
        </w:rPr>
        <w:t>п</w:t>
      </w:r>
      <w:r w:rsidR="00611DAD">
        <w:rPr>
          <w:lang w:val="uk-UA"/>
        </w:rPr>
        <w:t xml:space="preserve">ографічної карти буде недоступним доказом </w:t>
      </w:r>
      <w:r w:rsidR="007C3394">
        <w:t>(</w:t>
      </w:r>
      <w:r w:rsidR="007C3394">
        <w:rPr>
          <w:i/>
        </w:rPr>
        <w:t>unerreichbare</w:t>
      </w:r>
      <w:r w:rsidRPr="00DB5B2A" w:rsidR="007C3394">
        <w:rPr>
          <w:i/>
        </w:rPr>
        <w:t xml:space="preserve"> Beweismittel</w:t>
      </w:r>
      <w:r w:rsidR="008150DD">
        <w:t xml:space="preserve">) </w:t>
      </w:r>
      <w:r w:rsidR="00611DAD">
        <w:rPr>
          <w:lang w:val="uk-UA"/>
        </w:rPr>
        <w:t>у розумінні статті</w:t>
      </w:r>
      <w:r w:rsidR="00077EA3">
        <w:t xml:space="preserve"> </w:t>
      </w:r>
      <w:r w:rsidR="007C3394">
        <w:t>244 §</w:t>
      </w:r>
      <w:r w:rsidR="00077EA3">
        <w:t xml:space="preserve"> </w:t>
      </w:r>
      <w:r w:rsidR="007C3394">
        <w:t xml:space="preserve">3 </w:t>
      </w:r>
      <w:r w:rsidR="00611DAD">
        <w:rPr>
          <w:lang w:val="uk-UA"/>
        </w:rPr>
        <w:t>Кримінально-процесуального кодексу</w:t>
      </w:r>
      <w:r w:rsidR="007C3394">
        <w:t xml:space="preserve"> (</w:t>
      </w:r>
      <w:r w:rsidR="00611DAD">
        <w:rPr>
          <w:lang w:val="uk-UA"/>
        </w:rPr>
        <w:t>див. нижче параграф</w:t>
      </w:r>
      <w:r w:rsidR="00077EA3">
        <w:t xml:space="preserve"> </w:t>
      </w:r>
      <w:r w:rsidRPr="00E50DA6" w:rsidR="00DF5D0B">
        <w:t>38</w:t>
      </w:r>
      <w:r w:rsidR="007C3394">
        <w:t xml:space="preserve">), </w:t>
      </w:r>
      <w:r w:rsidR="00651891">
        <w:rPr>
          <w:lang w:val="uk-UA"/>
        </w:rPr>
        <w:t xml:space="preserve">який він не </w:t>
      </w:r>
      <w:proofErr w:type="spellStart"/>
      <w:r w:rsidR="00651891">
        <w:rPr>
          <w:lang w:val="uk-UA"/>
        </w:rPr>
        <w:t>зобов</w:t>
      </w:r>
      <w:r w:rsidR="00761A37">
        <w:rPr>
          <w:lang w:val="uk-UA"/>
        </w:rPr>
        <w:t>’</w:t>
      </w:r>
      <w:r w:rsidR="00651891">
        <w:rPr>
          <w:lang w:val="fr-FR"/>
        </w:rPr>
        <w:t>язаний</w:t>
      </w:r>
      <w:proofErr w:type="spellEnd"/>
      <w:r w:rsidRPr="00651891" w:rsidR="00651891">
        <w:t xml:space="preserve"> </w:t>
      </w:r>
      <w:r w:rsidR="00651891">
        <w:rPr>
          <w:lang w:val="fr-FR"/>
        </w:rPr>
        <w:t>приймати</w:t>
      </w:r>
      <w:r w:rsidR="007C3394">
        <w:t>.</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15</w:t>
      </w:r>
      <w:r w:rsidRPr="00B62174">
        <w:fldChar w:fldCharType="end"/>
      </w:r>
      <w:r w:rsidRPr="00B62174">
        <w:t>.  </w:t>
      </w:r>
      <w:r w:rsidR="00651891">
        <w:rPr>
          <w:lang w:val="uk-UA"/>
        </w:rPr>
        <w:t>У вироку від</w:t>
      </w:r>
      <w:r w:rsidR="007C3394">
        <w:t xml:space="preserve"> 26</w:t>
      </w:r>
      <w:r w:rsidR="00077EA3">
        <w:t xml:space="preserve"> </w:t>
      </w:r>
      <w:r w:rsidR="00651891">
        <w:rPr>
          <w:lang w:val="uk-UA"/>
        </w:rPr>
        <w:t>вересня</w:t>
      </w:r>
      <w:r w:rsidR="003C2EA5">
        <w:rPr>
          <w:lang w:val="uk-UA"/>
        </w:rPr>
        <w:t xml:space="preserve"> </w:t>
      </w:r>
      <w:r w:rsidR="007C3394">
        <w:t>1997</w:t>
      </w:r>
      <w:r w:rsidR="00651891">
        <w:rPr>
          <w:lang w:val="uk-UA"/>
        </w:rPr>
        <w:t xml:space="preserve"> року Дюс</w:t>
      </w:r>
      <w:r w:rsidR="000228C8">
        <w:rPr>
          <w:lang w:val="uk-UA"/>
        </w:rPr>
        <w:t>с</w:t>
      </w:r>
      <w:r w:rsidR="00651891">
        <w:rPr>
          <w:lang w:val="uk-UA"/>
        </w:rPr>
        <w:t xml:space="preserve">ельдорфський апеляційний суд визнав заявника винним у одинадцяти епізодах геноциду </w:t>
      </w:r>
      <w:r w:rsidR="008150DD">
        <w:t>(</w:t>
      </w:r>
      <w:r w:rsidR="00651891">
        <w:rPr>
          <w:lang w:val="uk-UA"/>
        </w:rPr>
        <w:t>стаття</w:t>
      </w:r>
      <w:r w:rsidR="00077EA3">
        <w:t xml:space="preserve"> </w:t>
      </w:r>
      <w:r w:rsidR="007C3394">
        <w:t xml:space="preserve">220a </w:t>
      </w:r>
      <w:r w:rsidR="00651891">
        <w:rPr>
          <w:lang w:val="uk-UA"/>
        </w:rPr>
        <w:t>№№</w:t>
      </w:r>
      <w:r w:rsidR="00077EA3">
        <w:t xml:space="preserve"> </w:t>
      </w:r>
      <w:r w:rsidR="007C3394">
        <w:t xml:space="preserve">1 </w:t>
      </w:r>
      <w:r w:rsidR="00651891">
        <w:rPr>
          <w:lang w:val="uk-UA"/>
        </w:rPr>
        <w:t>і</w:t>
      </w:r>
      <w:r w:rsidR="007C3394">
        <w:t xml:space="preserve"> 3 </w:t>
      </w:r>
      <w:r w:rsidR="00651891">
        <w:rPr>
          <w:lang w:val="uk-UA"/>
        </w:rPr>
        <w:t>Кримінального кодексу, див. нижче параграф</w:t>
      </w:r>
      <w:r w:rsidR="007C3394">
        <w:t xml:space="preserve"> </w:t>
      </w:r>
      <w:r w:rsidRPr="00E50DA6" w:rsidR="00D25E87">
        <w:t>34</w:t>
      </w:r>
      <w:r w:rsidR="007C3394">
        <w:t xml:space="preserve">) </w:t>
      </w:r>
      <w:r w:rsidR="00651891">
        <w:rPr>
          <w:lang w:val="uk-UA"/>
        </w:rPr>
        <w:t xml:space="preserve">і у вбивстві двадцяти двох людей в одному епізоді, семи людей в іншому епізоді і однієї людини </w:t>
      </w:r>
      <w:r w:rsidR="00DF47C6">
        <w:rPr>
          <w:lang w:val="uk-UA"/>
        </w:rPr>
        <w:t>у</w:t>
      </w:r>
      <w:r w:rsidR="00651891">
        <w:rPr>
          <w:lang w:val="uk-UA"/>
        </w:rPr>
        <w:t xml:space="preserve"> третьому епізоді</w:t>
      </w:r>
      <w:r w:rsidR="003B47BC">
        <w:t>.</w:t>
      </w:r>
      <w:r w:rsidR="007C3394">
        <w:t xml:space="preserve"> </w:t>
      </w:r>
      <w:r w:rsidR="00651891">
        <w:rPr>
          <w:lang w:val="uk-UA"/>
        </w:rPr>
        <w:t>У решті випадків він був засуджений за сім епізодів небезпечних нападів і позбавлення свободи</w:t>
      </w:r>
      <w:r w:rsidR="007C3394">
        <w:t xml:space="preserve">. </w:t>
      </w:r>
      <w:r w:rsidR="00651891">
        <w:rPr>
          <w:lang w:val="uk-UA"/>
        </w:rPr>
        <w:t xml:space="preserve">Заявника було засуджено до довічного </w:t>
      </w:r>
      <w:proofErr w:type="spellStart"/>
      <w:r w:rsidR="00651891">
        <w:rPr>
          <w:lang w:val="uk-UA"/>
        </w:rPr>
        <w:t>ув</w:t>
      </w:r>
      <w:r w:rsidR="00761A37">
        <w:rPr>
          <w:lang w:val="uk-UA"/>
        </w:rPr>
        <w:t>’</w:t>
      </w:r>
      <w:r w:rsidRPr="00761A37" w:rsidR="00651891">
        <w:rPr>
          <w:lang w:val="ru-RU"/>
        </w:rPr>
        <w:t>язнення</w:t>
      </w:r>
      <w:proofErr w:type="spellEnd"/>
      <w:r w:rsidRPr="00761A37" w:rsidR="00651891">
        <w:rPr>
          <w:lang w:val="ru-RU"/>
        </w:rPr>
        <w:t xml:space="preserve"> </w:t>
      </w:r>
      <w:proofErr w:type="spellStart"/>
      <w:r w:rsidRPr="00761A37" w:rsidR="00651891">
        <w:rPr>
          <w:lang w:val="ru-RU"/>
        </w:rPr>
        <w:t>і</w:t>
      </w:r>
      <w:proofErr w:type="spellEnd"/>
      <w:r w:rsidRPr="00761A37" w:rsidR="00651891">
        <w:rPr>
          <w:lang w:val="ru-RU"/>
        </w:rPr>
        <w:t xml:space="preserve"> </w:t>
      </w:r>
      <w:proofErr w:type="spellStart"/>
      <w:r w:rsidRPr="00761A37" w:rsidR="00651891">
        <w:rPr>
          <w:lang w:val="ru-RU"/>
        </w:rPr>
        <w:t>вказано</w:t>
      </w:r>
      <w:proofErr w:type="spellEnd"/>
      <w:r w:rsidRPr="00761A37" w:rsidR="00651891">
        <w:rPr>
          <w:lang w:val="ru-RU"/>
        </w:rPr>
        <w:t xml:space="preserve">, </w:t>
      </w:r>
      <w:proofErr w:type="spellStart"/>
      <w:r w:rsidRPr="00761A37" w:rsidR="00651891">
        <w:rPr>
          <w:lang w:val="ru-RU"/>
        </w:rPr>
        <w:t>що</w:t>
      </w:r>
      <w:proofErr w:type="spellEnd"/>
      <w:r w:rsidRPr="00761A37" w:rsidR="00651891">
        <w:rPr>
          <w:lang w:val="ru-RU"/>
        </w:rPr>
        <w:t xml:space="preserve"> </w:t>
      </w:r>
      <w:proofErr w:type="spellStart"/>
      <w:r w:rsidRPr="00761A37" w:rsidR="00651891">
        <w:rPr>
          <w:lang w:val="ru-RU"/>
        </w:rPr>
        <w:t>його</w:t>
      </w:r>
      <w:proofErr w:type="spellEnd"/>
      <w:r w:rsidRPr="00761A37" w:rsidR="00651891">
        <w:rPr>
          <w:lang w:val="ru-RU"/>
        </w:rPr>
        <w:t xml:space="preserve"> вин</w:t>
      </w:r>
      <w:r w:rsidR="00E16747">
        <w:rPr>
          <w:lang w:val="uk-UA"/>
        </w:rPr>
        <w:t>а</w:t>
      </w:r>
      <w:r w:rsidRPr="00761A37" w:rsidR="00651891">
        <w:rPr>
          <w:lang w:val="ru-RU"/>
        </w:rPr>
        <w:t xml:space="preserve"> </w:t>
      </w:r>
      <w:proofErr w:type="spellStart"/>
      <w:r w:rsidRPr="00761A37" w:rsidR="00651891">
        <w:rPr>
          <w:lang w:val="ru-RU"/>
        </w:rPr>
        <w:t>є</w:t>
      </w:r>
      <w:proofErr w:type="spellEnd"/>
      <w:r w:rsidRPr="00761A37" w:rsidR="00651891">
        <w:rPr>
          <w:lang w:val="ru-RU"/>
        </w:rPr>
        <w:t xml:space="preserve"> особливо тяжкою </w:t>
      </w:r>
      <w:r w:rsidR="00D25E87">
        <w:t>(</w:t>
      </w:r>
      <w:r w:rsidR="00651891">
        <w:rPr>
          <w:lang w:val="uk-UA"/>
        </w:rPr>
        <w:t>див. нижче параграф</w:t>
      </w:r>
      <w:r w:rsidR="00077EA3">
        <w:t xml:space="preserve"> </w:t>
      </w:r>
      <w:r w:rsidRPr="00E50DA6" w:rsidR="00D25E87">
        <w:t>37</w:t>
      </w:r>
      <w:r w:rsidR="00D25E87">
        <w:t>)</w:t>
      </w:r>
      <w:r w:rsidR="007C3394">
        <w:t>.</w:t>
      </w:r>
    </w:p>
    <w:p w:rsidRPr="00761A37" w:rsidR="007C3394" w:rsidP="007C3394" w:rsidRDefault="00851381">
      <w:pPr>
        <w:pStyle w:val="JuPara"/>
        <w:rPr>
          <w:lang w:val="ru-RU"/>
        </w:rPr>
      </w:pPr>
      <w:r w:rsidRPr="00B62174">
        <w:fldChar w:fldCharType="begin"/>
      </w:r>
      <w:r w:rsidRPr="00B62174">
        <w:instrText xml:space="preserve"> SEQ level0 \*arabic </w:instrText>
      </w:r>
      <w:r w:rsidRPr="00B62174">
        <w:fldChar w:fldCharType="separate"/>
      </w:r>
      <w:r w:rsidR="00142C04">
        <w:rPr>
          <w:noProof/>
        </w:rPr>
        <w:t>16</w:t>
      </w:r>
      <w:r w:rsidRPr="00B62174">
        <w:fldChar w:fldCharType="end"/>
      </w:r>
      <w:r w:rsidRPr="00B62174">
        <w:t>.  </w:t>
      </w:r>
      <w:r w:rsidR="00651891">
        <w:rPr>
          <w:lang w:val="uk-UA"/>
        </w:rPr>
        <w:t xml:space="preserve">Суд встановив, що заявник організував </w:t>
      </w:r>
      <w:r w:rsidR="00E22D69">
        <w:rPr>
          <w:lang w:val="uk-UA"/>
        </w:rPr>
        <w:t>воєнізова</w:t>
      </w:r>
      <w:r w:rsidR="00651891">
        <w:rPr>
          <w:lang w:val="uk-UA"/>
        </w:rPr>
        <w:t>не угруповання, з яким брав участь у етнічних чистках у місцевості Добой з наказу політичних керівників боснійських сербів і сербських військових</w:t>
      </w:r>
      <w:r w:rsidR="007C3394">
        <w:t xml:space="preserve">. </w:t>
      </w:r>
      <w:r w:rsidR="00651891">
        <w:rPr>
          <w:lang w:val="uk-UA"/>
        </w:rPr>
        <w:t xml:space="preserve">Зокрема, він брав участь у арештах, затриманні, нападах і жорстокому поводженні щодо чоловіків-мусульман трьох боснійських сіл у травні-червні </w:t>
      </w:r>
      <w:r w:rsidR="007C3394">
        <w:t>1992</w:t>
      </w:r>
      <w:r w:rsidR="00651891">
        <w:rPr>
          <w:lang w:val="uk-UA"/>
        </w:rPr>
        <w:t xml:space="preserve"> року</w:t>
      </w:r>
      <w:r w:rsidR="007C3394">
        <w:t xml:space="preserve">. </w:t>
      </w:r>
      <w:r w:rsidR="00651891">
        <w:rPr>
          <w:lang w:val="uk-UA"/>
        </w:rPr>
        <w:t>Він вбив кількох мешканців цих сіл</w:t>
      </w:r>
      <w:r w:rsidR="007C3394">
        <w:t xml:space="preserve">. </w:t>
      </w:r>
      <w:r w:rsidR="00651891">
        <w:rPr>
          <w:lang w:val="uk-UA"/>
        </w:rPr>
        <w:t xml:space="preserve">Зокрема, він розстріляв двадцять два мешканці села Грабска </w:t>
      </w:r>
      <w:r w:rsidR="00716BD6">
        <w:rPr>
          <w:lang w:val="uk-UA"/>
        </w:rPr>
        <w:t xml:space="preserve">– жінок, немічних і старих людей </w:t>
      </w:r>
      <w:r w:rsidR="007C3394">
        <w:t xml:space="preserve">– </w:t>
      </w:r>
      <w:r w:rsidR="00716BD6">
        <w:rPr>
          <w:lang w:val="uk-UA"/>
        </w:rPr>
        <w:t xml:space="preserve">у червні </w:t>
      </w:r>
      <w:r w:rsidR="00716BD6">
        <w:t>1992</w:t>
      </w:r>
      <w:r w:rsidR="00716BD6">
        <w:rPr>
          <w:lang w:val="uk-UA"/>
        </w:rPr>
        <w:t xml:space="preserve"> року</w:t>
      </w:r>
      <w:r w:rsidR="007C3394">
        <w:t xml:space="preserve">. </w:t>
      </w:r>
      <w:r w:rsidR="00E22D69">
        <w:rPr>
          <w:lang w:val="uk-UA"/>
        </w:rPr>
        <w:t>Потім заявник, разом із парамілітарним загоном під його керівництвом, виг</w:t>
      </w:r>
      <w:r w:rsidR="00DF47C6">
        <w:rPr>
          <w:lang w:val="uk-UA"/>
        </w:rPr>
        <w:t>на</w:t>
      </w:r>
      <w:r w:rsidR="00E22D69">
        <w:rPr>
          <w:lang w:val="uk-UA"/>
        </w:rPr>
        <w:t>ли з села приблизно сорок чоловіків, яких з його наказу катували, а шістьох застрелили</w:t>
      </w:r>
      <w:r w:rsidR="007C3394">
        <w:t xml:space="preserve">. </w:t>
      </w:r>
      <w:r w:rsidR="00E22D69">
        <w:rPr>
          <w:lang w:val="uk-UA"/>
        </w:rPr>
        <w:t>Сьома поранена особа була зажив</w:t>
      </w:r>
      <w:r w:rsidR="00DF47C6">
        <w:rPr>
          <w:lang w:val="uk-UA"/>
        </w:rPr>
        <w:t>о</w:t>
      </w:r>
      <w:r w:rsidR="00E22D69">
        <w:rPr>
          <w:lang w:val="uk-UA"/>
        </w:rPr>
        <w:t xml:space="preserve"> спалена разом із трупами шести розстріляних</w:t>
      </w:r>
      <w:r w:rsidR="007C3394">
        <w:t xml:space="preserve">. </w:t>
      </w:r>
      <w:r w:rsidR="00E22D69">
        <w:rPr>
          <w:lang w:val="uk-UA"/>
        </w:rPr>
        <w:t>У вересні</w:t>
      </w:r>
      <w:r w:rsidRPr="00761A37" w:rsidR="00077EA3">
        <w:rPr>
          <w:lang w:val="ru-RU"/>
        </w:rPr>
        <w:t xml:space="preserve"> </w:t>
      </w:r>
      <w:r w:rsidRPr="00761A37" w:rsidR="007C3394">
        <w:rPr>
          <w:lang w:val="ru-RU"/>
        </w:rPr>
        <w:t>1992</w:t>
      </w:r>
      <w:r w:rsidR="00E22D69">
        <w:rPr>
          <w:lang w:val="uk-UA"/>
        </w:rPr>
        <w:t xml:space="preserve"> року заявник вбив пол</w:t>
      </w:r>
      <w:r w:rsidR="00DF47C6">
        <w:rPr>
          <w:lang w:val="uk-UA"/>
        </w:rPr>
        <w:t>о</w:t>
      </w:r>
      <w:r w:rsidR="00E22D69">
        <w:rPr>
          <w:lang w:val="uk-UA"/>
        </w:rPr>
        <w:t xml:space="preserve">неного, котрого мордували солдати у тюрмі Добоя, </w:t>
      </w:r>
      <w:proofErr w:type="spellStart"/>
      <w:r w:rsidR="00E22D69">
        <w:rPr>
          <w:lang w:val="uk-UA"/>
        </w:rPr>
        <w:t>дерев</w:t>
      </w:r>
      <w:r w:rsidR="00761A37">
        <w:rPr>
          <w:lang w:val="uk-UA"/>
        </w:rPr>
        <w:t>’</w:t>
      </w:r>
      <w:r w:rsidRPr="00761A37" w:rsidR="00E22D69">
        <w:rPr>
          <w:lang w:val="ru-RU"/>
        </w:rPr>
        <w:t>яною</w:t>
      </w:r>
      <w:proofErr w:type="spellEnd"/>
      <w:r w:rsidRPr="00761A37" w:rsidR="00E22D69">
        <w:rPr>
          <w:lang w:val="ru-RU"/>
        </w:rPr>
        <w:t xml:space="preserve"> палицею, </w:t>
      </w:r>
      <w:r w:rsidR="00E22D69">
        <w:rPr>
          <w:lang w:val="uk-UA"/>
        </w:rPr>
        <w:t>аби продемонструвати</w:t>
      </w:r>
      <w:r w:rsidR="00B42AAA">
        <w:rPr>
          <w:lang w:val="uk-UA"/>
        </w:rPr>
        <w:t xml:space="preserve"> </w:t>
      </w:r>
      <w:r w:rsidR="00E22D69">
        <w:rPr>
          <w:lang w:val="uk-UA"/>
        </w:rPr>
        <w:t>новий спосіб знущання і вбивства</w:t>
      </w:r>
      <w:r w:rsidRPr="00761A37" w:rsidR="007C3394">
        <w:rPr>
          <w:lang w:val="ru-RU"/>
        </w:rPr>
        <w:t>.</w:t>
      </w:r>
    </w:p>
    <w:p w:rsidRPr="006960F2" w:rsidR="007C3394" w:rsidP="00C953A8" w:rsidRDefault="00851381">
      <w:pPr>
        <w:pStyle w:val="JuPara"/>
        <w:rPr>
          <w:lang w:val="uk-UA"/>
        </w:rPr>
      </w:pPr>
      <w:r w:rsidRPr="00B62174">
        <w:fldChar w:fldCharType="begin"/>
      </w:r>
      <w:r w:rsidRPr="00B62174">
        <w:instrText xml:space="preserve"> SEQ level0 \*arabic </w:instrText>
      </w:r>
      <w:r w:rsidRPr="00B62174">
        <w:fldChar w:fldCharType="separate"/>
      </w:r>
      <w:r w:rsidR="00142C04">
        <w:rPr>
          <w:noProof/>
        </w:rPr>
        <w:t>17</w:t>
      </w:r>
      <w:r w:rsidRPr="00B62174">
        <w:fldChar w:fldCharType="end"/>
      </w:r>
      <w:r w:rsidRPr="00B62174">
        <w:t>.  </w:t>
      </w:r>
      <w:r w:rsidR="00787D53">
        <w:rPr>
          <w:lang w:val="uk-UA"/>
        </w:rPr>
        <w:t xml:space="preserve">Суд постановив, що має у даній справі юрисдикцію відповідно до статті </w:t>
      </w:r>
      <w:r w:rsidR="007C3394">
        <w:t xml:space="preserve">6 </w:t>
      </w:r>
      <w:r w:rsidR="00787D53">
        <w:rPr>
          <w:lang w:val="uk-UA"/>
        </w:rPr>
        <w:t>№</w:t>
      </w:r>
      <w:r w:rsidR="00077EA3">
        <w:t xml:space="preserve"> </w:t>
      </w:r>
      <w:r w:rsidR="007C3394">
        <w:t xml:space="preserve">1 </w:t>
      </w:r>
      <w:r w:rsidR="00787D53">
        <w:rPr>
          <w:lang w:val="uk-UA"/>
        </w:rPr>
        <w:t>Кримінального кодексу</w:t>
      </w:r>
      <w:r w:rsidR="00787D53">
        <w:t xml:space="preserve"> </w:t>
      </w:r>
      <w:r w:rsidR="00F97A9B">
        <w:t>(</w:t>
      </w:r>
      <w:r w:rsidR="00787D53">
        <w:rPr>
          <w:lang w:val="uk-UA"/>
        </w:rPr>
        <w:t>див. параграф</w:t>
      </w:r>
      <w:r w:rsidR="00077EA3">
        <w:t xml:space="preserve"> </w:t>
      </w:r>
      <w:r w:rsidRPr="00E50DA6" w:rsidR="00562B99">
        <w:t>3</w:t>
      </w:r>
      <w:r w:rsidRPr="00E50DA6" w:rsidR="005A70D9">
        <w:t>4</w:t>
      </w:r>
      <w:r w:rsidR="00F97A9B">
        <w:t>)</w:t>
      </w:r>
      <w:r w:rsidR="007C3394">
        <w:t xml:space="preserve">. </w:t>
      </w:r>
      <w:r w:rsidR="00F25090">
        <w:rPr>
          <w:lang w:val="uk-UA"/>
        </w:rPr>
        <w:t xml:space="preserve">Існувала законна підстава для кримінального переслідування </w:t>
      </w:r>
      <w:r w:rsidR="00DF47C6">
        <w:rPr>
          <w:lang w:val="uk-UA"/>
        </w:rPr>
        <w:t xml:space="preserve">заявника </w:t>
      </w:r>
      <w:r w:rsidR="00F25090">
        <w:rPr>
          <w:lang w:val="uk-UA"/>
        </w:rPr>
        <w:t xml:space="preserve">у Німеччині, оскільки це відповідало німецькій військовій і гуманітарній місії у Боснії і </w:t>
      </w:r>
      <w:r w:rsidR="00162079">
        <w:rPr>
          <w:lang w:val="uk-UA"/>
        </w:rPr>
        <w:t>Герцеговині</w:t>
      </w:r>
      <w:r w:rsidR="00F25090">
        <w:rPr>
          <w:lang w:val="uk-UA"/>
        </w:rPr>
        <w:t>, а заявник проживав у Німеччині протягом біль</w:t>
      </w:r>
      <w:r w:rsidR="00DF47C6">
        <w:rPr>
          <w:lang w:val="uk-UA"/>
        </w:rPr>
        <w:t>ш</w:t>
      </w:r>
      <w:r w:rsidR="00F25090">
        <w:rPr>
          <w:lang w:val="uk-UA"/>
        </w:rPr>
        <w:t xml:space="preserve"> ніж двадцяти років і був там заарештований</w:t>
      </w:r>
      <w:r w:rsidR="007C3394">
        <w:t>.</w:t>
      </w:r>
      <w:r w:rsidR="00F25090">
        <w:rPr>
          <w:lang w:val="uk-UA"/>
        </w:rPr>
        <w:t xml:space="preserve"> Окрім того, відповідно </w:t>
      </w:r>
      <w:r w:rsidR="00DF47C6">
        <w:rPr>
          <w:lang w:val="uk-UA"/>
        </w:rPr>
        <w:t xml:space="preserve">до </w:t>
      </w:r>
      <w:r w:rsidR="00F25090">
        <w:rPr>
          <w:lang w:val="uk-UA"/>
        </w:rPr>
        <w:t>висновків експерт</w:t>
      </w:r>
      <w:r w:rsidR="00DF47C6">
        <w:rPr>
          <w:lang w:val="uk-UA"/>
        </w:rPr>
        <w:t>ів</w:t>
      </w:r>
      <w:r w:rsidR="00F25090">
        <w:rPr>
          <w:lang w:val="uk-UA"/>
        </w:rPr>
        <w:t xml:space="preserve"> з міжнародного публічного права, суд встановив, що німецькі суди, </w:t>
      </w:r>
      <w:r w:rsidR="00DF47C6">
        <w:rPr>
          <w:lang w:val="uk-UA"/>
        </w:rPr>
        <w:t>згідно з</w:t>
      </w:r>
      <w:r w:rsidR="00F25090">
        <w:rPr>
          <w:lang w:val="uk-UA"/>
        </w:rPr>
        <w:t xml:space="preserve"> міжнародн</w:t>
      </w:r>
      <w:r w:rsidR="00DF47C6">
        <w:rPr>
          <w:lang w:val="uk-UA"/>
        </w:rPr>
        <w:t>им</w:t>
      </w:r>
      <w:r w:rsidR="00F25090">
        <w:rPr>
          <w:lang w:val="uk-UA"/>
        </w:rPr>
        <w:t xml:space="preserve"> публічн</w:t>
      </w:r>
      <w:r w:rsidR="00DF47C6">
        <w:rPr>
          <w:lang w:val="uk-UA"/>
        </w:rPr>
        <w:t>им</w:t>
      </w:r>
      <w:r w:rsidR="00F25090">
        <w:rPr>
          <w:lang w:val="uk-UA"/>
        </w:rPr>
        <w:t xml:space="preserve"> прав</w:t>
      </w:r>
      <w:r w:rsidR="00DF47C6">
        <w:rPr>
          <w:lang w:val="uk-UA"/>
        </w:rPr>
        <w:t>ом</w:t>
      </w:r>
      <w:r w:rsidR="00F25090">
        <w:rPr>
          <w:lang w:val="uk-UA"/>
        </w:rPr>
        <w:t>, не</w:t>
      </w:r>
      <w:r w:rsidR="00DF47C6">
        <w:rPr>
          <w:lang w:val="uk-UA"/>
        </w:rPr>
        <w:t xml:space="preserve"> </w:t>
      </w:r>
      <w:r w:rsidR="00F25090">
        <w:rPr>
          <w:lang w:val="uk-UA"/>
        </w:rPr>
        <w:t>мали перешкод для розгляду цієї справи</w:t>
      </w:r>
      <w:r w:rsidRPr="00F25090" w:rsidR="007C3394">
        <w:rPr>
          <w:lang w:val="uk-UA"/>
        </w:rPr>
        <w:t>.</w:t>
      </w:r>
      <w:r w:rsidR="00F25090">
        <w:rPr>
          <w:lang w:val="uk-UA"/>
        </w:rPr>
        <w:t xml:space="preserve"> Зокрема, ні стаття</w:t>
      </w:r>
      <w:r w:rsidRPr="00F25090" w:rsidR="007C3394">
        <w:rPr>
          <w:lang w:val="uk-UA"/>
        </w:rPr>
        <w:t xml:space="preserve"> </w:t>
      </w:r>
      <w:r w:rsidR="007C3394">
        <w:t>VI</w:t>
      </w:r>
      <w:r w:rsidRPr="00C953A8" w:rsidR="007C3394">
        <w:rPr>
          <w:lang w:val="uk-UA"/>
        </w:rPr>
        <w:t xml:space="preserve"> </w:t>
      </w:r>
      <w:r w:rsidR="00F25090">
        <w:rPr>
          <w:lang w:val="uk-UA"/>
        </w:rPr>
        <w:t>Конвенції</w:t>
      </w:r>
      <w:r w:rsidRPr="00C953A8" w:rsidR="007C3394">
        <w:rPr>
          <w:lang w:val="uk-UA"/>
        </w:rPr>
        <w:t xml:space="preserve"> </w:t>
      </w:r>
      <w:r w:rsidRPr="00C953A8" w:rsidR="00AC1C5D">
        <w:rPr>
          <w:lang w:val="uk-UA"/>
        </w:rPr>
        <w:t>1948</w:t>
      </w:r>
      <w:r w:rsidR="00F25090">
        <w:rPr>
          <w:lang w:val="uk-UA"/>
        </w:rPr>
        <w:t xml:space="preserve"> року</w:t>
      </w:r>
      <w:hyperlink w:history="1" r:id="rId13">
        <w:r w:rsidRPr="00C953A8" w:rsidR="00C953A8">
          <w:rPr>
            <w:szCs w:val="24"/>
            <w:lang w:val="uk-UA"/>
          </w:rPr>
          <w:t xml:space="preserve"> П</w:t>
        </w:r>
        <w:r w:rsidRPr="00C953A8" w:rsidR="00C953A8">
          <w:rPr>
            <w:rStyle w:val="Hyperlink"/>
            <w:bCs/>
            <w:color w:val="auto"/>
            <w:szCs w:val="24"/>
            <w:u w:val="none"/>
            <w:lang w:val="uk-UA"/>
          </w:rPr>
          <w:t>ро запобігання злочину геноциду та покарання за нього</w:t>
        </w:r>
      </w:hyperlink>
      <w:r w:rsidRPr="00C953A8" w:rsidR="00C953A8">
        <w:rPr>
          <w:szCs w:val="24"/>
          <w:lang w:val="uk-UA"/>
        </w:rPr>
        <w:t xml:space="preserve"> </w:t>
      </w:r>
      <w:r w:rsidRPr="00C953A8" w:rsidR="00C953A8">
        <w:rPr>
          <w:lang w:val="uk-UA"/>
        </w:rPr>
        <w:t>(Про запобігання геноциду)</w:t>
      </w:r>
      <w:r w:rsidRPr="006960F2" w:rsidR="007C3394">
        <w:rPr>
          <w:lang w:val="uk-UA"/>
        </w:rPr>
        <w:t xml:space="preserve">, </w:t>
      </w:r>
      <w:r w:rsidR="00C953A8">
        <w:rPr>
          <w:lang w:val="uk-UA"/>
        </w:rPr>
        <w:t>ні стаття</w:t>
      </w:r>
      <w:r w:rsidRPr="006960F2" w:rsidR="00077EA3">
        <w:rPr>
          <w:lang w:val="uk-UA"/>
        </w:rPr>
        <w:t xml:space="preserve"> </w:t>
      </w:r>
      <w:r w:rsidRPr="006960F2" w:rsidR="007C3394">
        <w:rPr>
          <w:lang w:val="uk-UA"/>
        </w:rPr>
        <w:t>9</w:t>
      </w:r>
      <w:r w:rsidR="006960F2">
        <w:rPr>
          <w:lang w:val="uk-UA"/>
        </w:rPr>
        <w:t xml:space="preserve"> Статуту </w:t>
      </w:r>
      <w:r w:rsidR="00E16747">
        <w:rPr>
          <w:lang w:val="uk-UA"/>
        </w:rPr>
        <w:t>М</w:t>
      </w:r>
      <w:r w:rsidRPr="006960F2" w:rsidR="006960F2">
        <w:rPr>
          <w:bCs/>
          <w:lang w:val="uk-UA"/>
        </w:rPr>
        <w:t xml:space="preserve">іжнародного кримінального трибуналу для колишньої </w:t>
      </w:r>
      <w:r w:rsidRPr="006960F2" w:rsidR="006960F2">
        <w:rPr>
          <w:bCs/>
          <w:sz w:val="20"/>
          <w:lang w:val="uk-UA"/>
        </w:rPr>
        <w:t>Ю</w:t>
      </w:r>
      <w:r w:rsidRPr="006960F2" w:rsidR="006960F2">
        <w:rPr>
          <w:bCs/>
          <w:lang w:val="uk-UA"/>
        </w:rPr>
        <w:t>гославії</w:t>
      </w:r>
      <w:r w:rsidR="006960F2">
        <w:rPr>
          <w:bCs/>
          <w:lang w:val="uk-UA"/>
        </w:rPr>
        <w:t>,</w:t>
      </w:r>
      <w:r w:rsidRPr="006960F2" w:rsidR="006960F2">
        <w:rPr>
          <w:lang w:val="uk-UA"/>
        </w:rPr>
        <w:t xml:space="preserve"> </w:t>
      </w:r>
      <w:r w:rsidRPr="006960F2" w:rsidR="00AC1C5D">
        <w:rPr>
          <w:lang w:val="uk-UA"/>
        </w:rPr>
        <w:t>1993</w:t>
      </w:r>
      <w:r w:rsidR="006960F2">
        <w:rPr>
          <w:lang w:val="uk-UA"/>
        </w:rPr>
        <w:t xml:space="preserve"> року </w:t>
      </w:r>
      <w:r w:rsidRPr="006960F2" w:rsidR="00AC1C5D">
        <w:rPr>
          <w:lang w:val="uk-UA"/>
        </w:rPr>
        <w:t>(</w:t>
      </w:r>
      <w:r w:rsidR="006960F2">
        <w:rPr>
          <w:lang w:val="uk-UA"/>
        </w:rPr>
        <w:t>Статут МКТЮ</w:t>
      </w:r>
      <w:r w:rsidRPr="006960F2" w:rsidR="00AC1C5D">
        <w:rPr>
          <w:lang w:val="uk-UA"/>
        </w:rPr>
        <w:t>)</w:t>
      </w:r>
      <w:r w:rsidRPr="006960F2" w:rsidR="007C3394">
        <w:rPr>
          <w:lang w:val="uk-UA"/>
        </w:rPr>
        <w:t xml:space="preserve"> </w:t>
      </w:r>
      <w:r w:rsidRPr="006960F2" w:rsidR="00562B99">
        <w:rPr>
          <w:lang w:val="uk-UA"/>
        </w:rPr>
        <w:t>(</w:t>
      </w:r>
      <w:r w:rsidR="006960F2">
        <w:rPr>
          <w:lang w:val="uk-UA"/>
        </w:rPr>
        <w:t>див. нижче</w:t>
      </w:r>
      <w:r w:rsidRPr="006960F2" w:rsidR="00077EA3">
        <w:rPr>
          <w:lang w:val="uk-UA"/>
        </w:rPr>
        <w:t xml:space="preserve"> </w:t>
      </w:r>
      <w:r w:rsidR="006960F2">
        <w:rPr>
          <w:lang w:val="uk-UA"/>
        </w:rPr>
        <w:t xml:space="preserve">параграфи </w:t>
      </w:r>
      <w:r w:rsidRPr="006960F2" w:rsidR="0049655C">
        <w:rPr>
          <w:lang w:val="uk-UA"/>
        </w:rPr>
        <w:t>48-49</w:t>
      </w:r>
      <w:r w:rsidRPr="006960F2" w:rsidR="00562B99">
        <w:rPr>
          <w:lang w:val="uk-UA"/>
        </w:rPr>
        <w:t xml:space="preserve">) </w:t>
      </w:r>
      <w:r w:rsidR="006960F2">
        <w:rPr>
          <w:lang w:val="uk-UA"/>
        </w:rPr>
        <w:t>не виключали юрисдикцію Німеччини над діяннями геноциду, скоєними поза Німеччиною іноземцями проти іноземців</w:t>
      </w:r>
      <w:r w:rsidRPr="006960F2" w:rsidR="007C3394">
        <w:rPr>
          <w:lang w:val="uk-UA"/>
        </w:rPr>
        <w:t xml:space="preserve">. </w:t>
      </w:r>
      <w:r w:rsidR="006960F2">
        <w:rPr>
          <w:lang w:val="uk-UA"/>
        </w:rPr>
        <w:t>Суд вирішив, що такий висновок підтверджується тим фактом, що МКТЮ вказав, що не бажає перебирати на себе переслідування заявника</w:t>
      </w:r>
      <w:r w:rsidRPr="006960F2" w:rsidR="007C3394">
        <w:rPr>
          <w:lang w:val="uk-UA"/>
        </w:rPr>
        <w:t>.</w:t>
      </w:r>
    </w:p>
    <w:p w:rsidRPr="00DB3579" w:rsidR="007C3394" w:rsidP="007C3394" w:rsidRDefault="00851381">
      <w:pPr>
        <w:pStyle w:val="JuPara"/>
        <w:rPr>
          <w:lang w:val="uk-UA"/>
        </w:rPr>
      </w:pPr>
      <w:r w:rsidRPr="00B62174">
        <w:fldChar w:fldCharType="begin"/>
      </w:r>
      <w:r w:rsidRPr="00F706A2">
        <w:rPr>
          <w:lang w:val="uk-UA"/>
        </w:rPr>
        <w:instrText xml:space="preserve"> </w:instrText>
      </w:r>
      <w:r w:rsidRPr="00B62174">
        <w:instrText>SEQ</w:instrText>
      </w:r>
      <w:r w:rsidRPr="00F706A2">
        <w:rPr>
          <w:lang w:val="uk-UA"/>
        </w:rPr>
        <w:instrText xml:space="preserve"> </w:instrText>
      </w:r>
      <w:r w:rsidRPr="00B62174">
        <w:instrText>level</w:instrText>
      </w:r>
      <w:r w:rsidRPr="00F706A2">
        <w:rPr>
          <w:lang w:val="uk-UA"/>
        </w:rPr>
        <w:instrText>0 \*</w:instrText>
      </w:r>
      <w:r w:rsidRPr="00B62174">
        <w:instrText>arabic</w:instrText>
      </w:r>
      <w:r w:rsidRPr="00F706A2">
        <w:rPr>
          <w:lang w:val="uk-UA"/>
        </w:rPr>
        <w:instrText xml:space="preserve"> </w:instrText>
      </w:r>
      <w:r w:rsidRPr="00B62174">
        <w:fldChar w:fldCharType="separate"/>
      </w:r>
      <w:r w:rsidRPr="00F706A2" w:rsidR="00142C04">
        <w:rPr>
          <w:noProof/>
          <w:lang w:val="uk-UA"/>
        </w:rPr>
        <w:t>18</w:t>
      </w:r>
      <w:r w:rsidRPr="00B62174">
        <w:fldChar w:fldCharType="end"/>
      </w:r>
      <w:r w:rsidRPr="00F706A2">
        <w:rPr>
          <w:lang w:val="uk-UA"/>
        </w:rPr>
        <w:t>.</w:t>
      </w:r>
      <w:r w:rsidRPr="00B62174">
        <w:t>  </w:t>
      </w:r>
      <w:r w:rsidR="006960F2">
        <w:rPr>
          <w:lang w:val="uk-UA"/>
        </w:rPr>
        <w:t xml:space="preserve">Окрім того, суд встановив, що заявник діяв </w:t>
      </w:r>
      <w:r w:rsidR="007B315F">
        <w:rPr>
          <w:lang w:val="uk-UA"/>
        </w:rPr>
        <w:t>і</w:t>
      </w:r>
      <w:r w:rsidR="006960F2">
        <w:rPr>
          <w:lang w:val="uk-UA"/>
        </w:rPr>
        <w:t xml:space="preserve">з </w:t>
      </w:r>
      <w:r w:rsidR="00F706A2">
        <w:rPr>
          <w:lang w:val="uk-UA"/>
        </w:rPr>
        <w:t>намір</w:t>
      </w:r>
      <w:r w:rsidR="006960F2">
        <w:rPr>
          <w:lang w:val="uk-UA"/>
        </w:rPr>
        <w:t xml:space="preserve">ом скоїти геноцид у розумінні статті </w:t>
      </w:r>
      <w:r w:rsidRPr="00F706A2" w:rsidR="007C3394">
        <w:rPr>
          <w:lang w:val="uk-UA"/>
        </w:rPr>
        <w:t>220</w:t>
      </w:r>
      <w:r w:rsidR="007C3394">
        <w:t>a</w:t>
      </w:r>
      <w:r w:rsidRPr="00F706A2" w:rsidR="007C3394">
        <w:rPr>
          <w:lang w:val="uk-UA"/>
        </w:rPr>
        <w:t xml:space="preserve"> </w:t>
      </w:r>
      <w:r w:rsidR="006960F2">
        <w:rPr>
          <w:lang w:val="uk-UA"/>
        </w:rPr>
        <w:t>Кримінального кодексу</w:t>
      </w:r>
      <w:r w:rsidRPr="00F706A2" w:rsidR="00E14BB0">
        <w:rPr>
          <w:lang w:val="uk-UA"/>
        </w:rPr>
        <w:t xml:space="preserve">. </w:t>
      </w:r>
      <w:r w:rsidR="006960F2">
        <w:rPr>
          <w:lang w:val="uk-UA"/>
        </w:rPr>
        <w:t xml:space="preserve">Посилаючись на думку кількох фахівців </w:t>
      </w:r>
      <w:r w:rsidR="007B315F">
        <w:rPr>
          <w:lang w:val="uk-UA"/>
        </w:rPr>
        <w:t>і</w:t>
      </w:r>
      <w:r w:rsidR="006960F2">
        <w:rPr>
          <w:lang w:val="uk-UA"/>
        </w:rPr>
        <w:t xml:space="preserve">з права, суд зазначив, що «знищення </w:t>
      </w:r>
      <w:r w:rsidRPr="00DB3579" w:rsidR="006960F2">
        <w:rPr>
          <w:lang w:val="uk-UA"/>
        </w:rPr>
        <w:t>групи»</w:t>
      </w:r>
      <w:r w:rsidRPr="00DB3579" w:rsidR="007B315F">
        <w:rPr>
          <w:lang w:val="uk-UA"/>
        </w:rPr>
        <w:t>,</w:t>
      </w:r>
      <w:r w:rsidRPr="00DB3579" w:rsidR="006960F2">
        <w:rPr>
          <w:lang w:val="uk-UA"/>
        </w:rPr>
        <w:t xml:space="preserve"> у розумінні статті 220</w:t>
      </w:r>
      <w:r w:rsidRPr="00DB3579" w:rsidR="006960F2">
        <w:t>a</w:t>
      </w:r>
      <w:r w:rsidRPr="00DB3579" w:rsidR="006960F2">
        <w:rPr>
          <w:lang w:val="uk-UA"/>
        </w:rPr>
        <w:t xml:space="preserve"> Кримінального кодексу</w:t>
      </w:r>
      <w:r w:rsidRPr="00DB3579" w:rsidR="007B315F">
        <w:rPr>
          <w:lang w:val="uk-UA"/>
        </w:rPr>
        <w:t>,</w:t>
      </w:r>
      <w:r w:rsidRPr="00DB3579" w:rsidR="006960F2">
        <w:rPr>
          <w:lang w:val="uk-UA"/>
        </w:rPr>
        <w:t xml:space="preserve"> означає знищення групи як соціальної спільноти у її відмінності і особливості і у її відчутті об</w:t>
      </w:r>
      <w:r w:rsidR="00761A37">
        <w:rPr>
          <w:lang w:val="uk-UA"/>
        </w:rPr>
        <w:t>’</w:t>
      </w:r>
      <w:r w:rsidRPr="00DB3579" w:rsidR="006960F2">
        <w:rPr>
          <w:lang w:val="uk-UA"/>
        </w:rPr>
        <w:t>єднаності</w:t>
      </w:r>
      <w:r w:rsidRPr="00DB3579" w:rsidR="007C3394">
        <w:rPr>
          <w:lang w:val="uk-UA"/>
        </w:rPr>
        <w:t xml:space="preserve"> (“</w:t>
      </w:r>
      <w:proofErr w:type="spellStart"/>
      <w:r w:rsidRPr="00DB3579" w:rsidR="007C3394">
        <w:rPr>
          <w:i/>
        </w:rPr>
        <w:t>Zerst</w:t>
      </w:r>
      <w:proofErr w:type="spellEnd"/>
      <w:r w:rsidRPr="00DB3579" w:rsidR="007C3394">
        <w:rPr>
          <w:i/>
          <w:lang w:val="uk-UA"/>
        </w:rPr>
        <w:t>ö</w:t>
      </w:r>
      <w:r w:rsidRPr="00DB3579" w:rsidR="007C3394">
        <w:rPr>
          <w:i/>
        </w:rPr>
        <w:t>rung</w:t>
      </w:r>
      <w:r w:rsidRPr="00DB3579" w:rsidR="007C3394">
        <w:rPr>
          <w:i/>
          <w:lang w:val="uk-UA"/>
        </w:rPr>
        <w:t xml:space="preserve"> </w:t>
      </w:r>
      <w:proofErr w:type="spellStart"/>
      <w:r w:rsidRPr="00DB3579" w:rsidR="007C3394">
        <w:rPr>
          <w:i/>
        </w:rPr>
        <w:t>der</w:t>
      </w:r>
      <w:proofErr w:type="spellEnd"/>
      <w:r w:rsidRPr="00DB3579" w:rsidR="007C3394">
        <w:rPr>
          <w:i/>
          <w:lang w:val="uk-UA"/>
        </w:rPr>
        <w:t xml:space="preserve"> </w:t>
      </w:r>
      <w:r w:rsidRPr="00DB3579" w:rsidR="007C3394">
        <w:rPr>
          <w:i/>
        </w:rPr>
        <w:t>Gruppe</w:t>
      </w:r>
      <w:r w:rsidRPr="00DB3579" w:rsidR="007C3394">
        <w:rPr>
          <w:i/>
          <w:lang w:val="uk-UA"/>
        </w:rPr>
        <w:t xml:space="preserve"> </w:t>
      </w:r>
      <w:r w:rsidRPr="00DB3579" w:rsidR="007C3394">
        <w:rPr>
          <w:i/>
        </w:rPr>
        <w:t>als</w:t>
      </w:r>
      <w:r w:rsidRPr="00DB3579" w:rsidR="007C3394">
        <w:rPr>
          <w:i/>
          <w:lang w:val="uk-UA"/>
        </w:rPr>
        <w:t xml:space="preserve"> </w:t>
      </w:r>
      <w:r w:rsidRPr="00DB3579" w:rsidR="007C3394">
        <w:rPr>
          <w:i/>
        </w:rPr>
        <w:t>sozialer</w:t>
      </w:r>
      <w:r w:rsidRPr="00DB3579" w:rsidR="007C3394">
        <w:rPr>
          <w:i/>
          <w:lang w:val="uk-UA"/>
        </w:rPr>
        <w:t xml:space="preserve"> </w:t>
      </w:r>
      <w:r w:rsidRPr="00DB3579" w:rsidR="007C3394">
        <w:rPr>
          <w:i/>
        </w:rPr>
        <w:t>Einheit</w:t>
      </w:r>
      <w:r w:rsidRPr="00DB3579" w:rsidR="007C3394">
        <w:rPr>
          <w:i/>
          <w:lang w:val="uk-UA"/>
        </w:rPr>
        <w:t xml:space="preserve"> </w:t>
      </w:r>
      <w:r w:rsidRPr="00DB3579" w:rsidR="007C3394">
        <w:rPr>
          <w:i/>
        </w:rPr>
        <w:t>in</w:t>
      </w:r>
      <w:r w:rsidRPr="00DB3579" w:rsidR="007C3394">
        <w:rPr>
          <w:i/>
          <w:lang w:val="uk-UA"/>
        </w:rPr>
        <w:t xml:space="preserve"> </w:t>
      </w:r>
      <w:r w:rsidRPr="00DB3579" w:rsidR="007C3394">
        <w:rPr>
          <w:i/>
        </w:rPr>
        <w:t>ihrer</w:t>
      </w:r>
      <w:r w:rsidRPr="00DB3579" w:rsidR="007C3394">
        <w:rPr>
          <w:i/>
          <w:lang w:val="uk-UA"/>
        </w:rPr>
        <w:t xml:space="preserve"> </w:t>
      </w:r>
      <w:r w:rsidRPr="00DB3579" w:rsidR="007C3394">
        <w:rPr>
          <w:i/>
        </w:rPr>
        <w:t>Besonderheit</w:t>
      </w:r>
      <w:r w:rsidRPr="00DB3579" w:rsidR="007C3394">
        <w:rPr>
          <w:i/>
          <w:lang w:val="uk-UA"/>
        </w:rPr>
        <w:t xml:space="preserve"> </w:t>
      </w:r>
      <w:r w:rsidRPr="00DB3579" w:rsidR="007C3394">
        <w:rPr>
          <w:i/>
        </w:rPr>
        <w:t>und</w:t>
      </w:r>
      <w:r w:rsidRPr="00DB3579" w:rsidR="007C3394">
        <w:rPr>
          <w:i/>
          <w:lang w:val="uk-UA"/>
        </w:rPr>
        <w:t xml:space="preserve"> </w:t>
      </w:r>
      <w:r w:rsidRPr="00DB3579" w:rsidR="007C3394">
        <w:rPr>
          <w:i/>
        </w:rPr>
        <w:t>Eigenart</w:t>
      </w:r>
      <w:r w:rsidRPr="00DB3579" w:rsidR="007C3394">
        <w:rPr>
          <w:i/>
          <w:lang w:val="uk-UA"/>
        </w:rPr>
        <w:t xml:space="preserve"> </w:t>
      </w:r>
      <w:r w:rsidRPr="00DB3579" w:rsidR="007C3394">
        <w:rPr>
          <w:i/>
        </w:rPr>
        <w:t>und</w:t>
      </w:r>
      <w:r w:rsidRPr="00DB3579" w:rsidR="007C3394">
        <w:rPr>
          <w:i/>
          <w:lang w:val="uk-UA"/>
        </w:rPr>
        <w:t xml:space="preserve"> </w:t>
      </w:r>
      <w:r w:rsidRPr="00DB3579" w:rsidR="007C3394">
        <w:rPr>
          <w:i/>
        </w:rPr>
        <w:t>ihrem</w:t>
      </w:r>
      <w:r w:rsidRPr="00DB3579" w:rsidR="007C3394">
        <w:rPr>
          <w:i/>
          <w:lang w:val="uk-UA"/>
        </w:rPr>
        <w:t xml:space="preserve"> </w:t>
      </w:r>
      <w:r w:rsidRPr="00DB3579" w:rsidR="007C3394">
        <w:rPr>
          <w:i/>
        </w:rPr>
        <w:t>Zusammengeh</w:t>
      </w:r>
      <w:r w:rsidRPr="00DB3579" w:rsidR="007C3394">
        <w:rPr>
          <w:i/>
          <w:lang w:val="uk-UA"/>
        </w:rPr>
        <w:t>ö</w:t>
      </w:r>
      <w:r w:rsidRPr="00DB3579" w:rsidR="007C3394">
        <w:rPr>
          <w:i/>
        </w:rPr>
        <w:t>rigkeitsgef</w:t>
      </w:r>
      <w:r w:rsidRPr="00DB3579" w:rsidR="007C3394">
        <w:rPr>
          <w:i/>
          <w:lang w:val="uk-UA"/>
        </w:rPr>
        <w:t>ü</w:t>
      </w:r>
      <w:r w:rsidRPr="00DB3579" w:rsidR="007C3394">
        <w:rPr>
          <w:i/>
        </w:rPr>
        <w:t>hl</w:t>
      </w:r>
      <w:r w:rsidRPr="00DB3579" w:rsidR="007C3394">
        <w:rPr>
          <w:lang w:val="uk-UA"/>
        </w:rPr>
        <w:t xml:space="preserve">”); </w:t>
      </w:r>
      <w:r w:rsidRPr="00DB3579" w:rsidR="006960F2">
        <w:rPr>
          <w:lang w:val="uk-UA"/>
        </w:rPr>
        <w:t>біологічно-фізичне знищення для цього не обов</w:t>
      </w:r>
      <w:r w:rsidR="00761A37">
        <w:rPr>
          <w:lang w:val="uk-UA"/>
        </w:rPr>
        <w:t>’</w:t>
      </w:r>
      <w:r w:rsidRPr="00DB3579" w:rsidR="006960F2">
        <w:rPr>
          <w:lang w:val="uk-UA"/>
        </w:rPr>
        <w:t>язкове</w:t>
      </w:r>
      <w:r w:rsidRPr="00DB3579" w:rsidR="007C3394">
        <w:rPr>
          <w:lang w:val="uk-UA"/>
        </w:rPr>
        <w:t>.</w:t>
      </w:r>
      <w:r w:rsidRPr="00DB3579" w:rsidR="006960F2">
        <w:rPr>
          <w:lang w:val="uk-UA"/>
        </w:rPr>
        <w:t xml:space="preserve"> Суд дійшов висновку, що заявник діяв з умислом знищити спільноту мусульман на півночі Боснії чи принаймні у місцевості Добой</w:t>
      </w:r>
      <w:r w:rsidRPr="00DB3579" w:rsidR="007C3394">
        <w:rPr>
          <w:lang w:val="uk-UA"/>
        </w:rPr>
        <w:t>.</w:t>
      </w:r>
    </w:p>
    <w:p w:rsidRPr="00DB3579" w:rsidR="007C3394" w:rsidP="007C3394" w:rsidRDefault="007C3394">
      <w:pPr>
        <w:pStyle w:val="JuH1"/>
        <w:rPr>
          <w:lang w:val="uk-UA"/>
        </w:rPr>
      </w:pPr>
      <w:r w:rsidRPr="00DB3579">
        <w:rPr>
          <w:lang w:val="uk-UA"/>
        </w:rPr>
        <w:t>3.</w:t>
      </w:r>
      <w:r w:rsidRPr="00DB3579">
        <w:t>  </w:t>
      </w:r>
      <w:r w:rsidRPr="00DB3579" w:rsidR="00E16747">
        <w:rPr>
          <w:lang w:val="uk-UA"/>
        </w:rPr>
        <w:t>Розгляд справи у Федеральному суді</w:t>
      </w:r>
    </w:p>
    <w:p w:rsidRPr="00DB3579" w:rsidR="007C3394" w:rsidP="007C3394" w:rsidRDefault="00851381">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19</w:t>
      </w:r>
      <w:r w:rsidRPr="00DB3579">
        <w:fldChar w:fldCharType="end"/>
      </w:r>
      <w:r w:rsidRPr="00DB3579">
        <w:rPr>
          <w:lang w:val="uk-UA"/>
        </w:rPr>
        <w:t>.</w:t>
      </w:r>
      <w:r w:rsidRPr="00DB3579">
        <w:t>  </w:t>
      </w:r>
      <w:r w:rsidRPr="00DB3579" w:rsidR="007C3394">
        <w:t>30</w:t>
      </w:r>
      <w:r w:rsidRPr="00DB3579" w:rsidR="00077EA3">
        <w:t xml:space="preserve"> </w:t>
      </w:r>
      <w:r w:rsidRPr="00DB3579" w:rsidR="00E16747">
        <w:rPr>
          <w:lang w:val="uk-UA"/>
        </w:rPr>
        <w:t>квітня</w:t>
      </w:r>
      <w:r w:rsidRPr="00DB3579" w:rsidR="007C3394">
        <w:t xml:space="preserve"> 1999</w:t>
      </w:r>
      <w:r w:rsidRPr="00DB3579" w:rsidR="00E16747">
        <w:rPr>
          <w:lang w:val="uk-UA"/>
        </w:rPr>
        <w:t xml:space="preserve"> року Федеральний суд, на основі апеляції заявника з питань права і за результатами слухань, визнав заявника винним у одному епізоді геноциду і тридцяти епізодах вбивства</w:t>
      </w:r>
      <w:r w:rsidRPr="00DB3579" w:rsidR="007C3394">
        <w:t>.</w:t>
      </w:r>
      <w:r w:rsidRPr="00DB3579" w:rsidR="00E16747">
        <w:rPr>
          <w:lang w:val="uk-UA"/>
        </w:rPr>
        <w:t xml:space="preserve"> Він засудив заявника</w:t>
      </w:r>
      <w:r w:rsidRPr="00DB3579" w:rsidR="007C3394">
        <w:rPr>
          <w:lang w:val="uk-UA"/>
        </w:rPr>
        <w:t xml:space="preserve"> </w:t>
      </w:r>
      <w:r w:rsidRPr="00DB3579" w:rsidR="00E16747">
        <w:rPr>
          <w:lang w:val="uk-UA"/>
        </w:rPr>
        <w:t>до довічного ув</w:t>
      </w:r>
      <w:r w:rsidR="00761A37">
        <w:rPr>
          <w:lang w:val="uk-UA"/>
        </w:rPr>
        <w:t>’</w:t>
      </w:r>
      <w:r w:rsidRPr="00DB3579" w:rsidR="00E16747">
        <w:rPr>
          <w:lang w:val="uk-UA"/>
        </w:rPr>
        <w:t>язнення і вказав, що його вина є особливо тяжкою</w:t>
      </w:r>
      <w:r w:rsidRPr="00DB3579" w:rsidR="007C3394">
        <w:rPr>
          <w:lang w:val="uk-UA"/>
        </w:rPr>
        <w:t>.</w:t>
      </w:r>
    </w:p>
    <w:p w:rsidRPr="000A1889" w:rsidR="007C3394" w:rsidP="007C3394" w:rsidRDefault="00851381">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20</w:t>
      </w:r>
      <w:r w:rsidRPr="00DB3579">
        <w:fldChar w:fldCharType="end"/>
      </w:r>
      <w:r w:rsidRPr="00DB3579">
        <w:rPr>
          <w:lang w:val="uk-UA"/>
        </w:rPr>
        <w:t>.</w:t>
      </w:r>
      <w:r w:rsidRPr="00DB3579">
        <w:t>  </w:t>
      </w:r>
      <w:r w:rsidRPr="00DB3579" w:rsidR="00F706A2">
        <w:rPr>
          <w:lang w:val="uk-UA"/>
        </w:rPr>
        <w:t>Підтриму</w:t>
      </w:r>
      <w:r w:rsidRPr="00DB3579" w:rsidR="00E16747">
        <w:rPr>
          <w:lang w:val="uk-UA"/>
        </w:rPr>
        <w:t>ючи мотивування апеляційного суду, він вирішив, що німецьке кримінальне право застосовується до даної справи і, відповідно, німецькі суди мають над нею юрисдикцію</w:t>
      </w:r>
      <w:r w:rsidRPr="00DB3579" w:rsidR="00970740">
        <w:rPr>
          <w:lang w:val="uk-UA"/>
        </w:rPr>
        <w:t>,</w:t>
      </w:r>
      <w:r w:rsidRPr="00DB3579" w:rsidR="00E16747">
        <w:rPr>
          <w:lang w:val="uk-UA"/>
        </w:rPr>
        <w:t xml:space="preserve"> відповідно до</w:t>
      </w:r>
      <w:r w:rsidR="00E16747">
        <w:rPr>
          <w:lang w:val="uk-UA"/>
        </w:rPr>
        <w:t xml:space="preserve"> статті </w:t>
      </w:r>
      <w:r w:rsidRPr="00F706A2" w:rsidR="007C3394">
        <w:rPr>
          <w:lang w:val="uk-UA"/>
        </w:rPr>
        <w:t xml:space="preserve">6 </w:t>
      </w:r>
      <w:r w:rsidR="00E16747">
        <w:rPr>
          <w:lang w:val="uk-UA"/>
        </w:rPr>
        <w:t>№</w:t>
      </w:r>
      <w:r w:rsidRPr="00F706A2" w:rsidR="00077EA3">
        <w:rPr>
          <w:lang w:val="uk-UA"/>
        </w:rPr>
        <w:t xml:space="preserve"> </w:t>
      </w:r>
      <w:r w:rsidRPr="00F706A2" w:rsidR="007C3394">
        <w:rPr>
          <w:lang w:val="uk-UA"/>
        </w:rPr>
        <w:t xml:space="preserve">1 </w:t>
      </w:r>
      <w:r w:rsidR="00E16747">
        <w:rPr>
          <w:lang w:val="uk-UA"/>
        </w:rPr>
        <w:t>Кримінального кодексу</w:t>
      </w:r>
      <w:r w:rsidRPr="00F706A2" w:rsidR="007C3394">
        <w:rPr>
          <w:lang w:val="uk-UA"/>
        </w:rPr>
        <w:t xml:space="preserve">. </w:t>
      </w:r>
      <w:r w:rsidR="00E16747">
        <w:rPr>
          <w:lang w:val="uk-UA"/>
        </w:rPr>
        <w:t>Суд, зокрема, встановив, що жодне положення міжнародного публічного права</w:t>
      </w:r>
      <w:r w:rsidR="00E16747">
        <w:t xml:space="preserve"> </w:t>
      </w:r>
      <w:r w:rsidR="00D40CDF">
        <w:rPr>
          <w:lang w:val="uk-UA"/>
        </w:rPr>
        <w:t xml:space="preserve">не забороняє німецьким судам судити заявника відповідно до принципу універсальної юрисдикції </w:t>
      </w:r>
      <w:r w:rsidR="007C3394">
        <w:t>(</w:t>
      </w:r>
      <w:r w:rsidRPr="00DD062F" w:rsidR="007C3394">
        <w:rPr>
          <w:i/>
        </w:rPr>
        <w:t>Universalitäts</w:t>
      </w:r>
      <w:r w:rsidR="00077EA3">
        <w:rPr>
          <w:i/>
        </w:rPr>
        <w:noBreakHyphen/>
      </w:r>
      <w:r w:rsidRPr="00DD062F" w:rsidR="007C3394">
        <w:rPr>
          <w:i/>
        </w:rPr>
        <w:t>/Weltrechtsprinzip</w:t>
      </w:r>
      <w:r w:rsidR="008150DD">
        <w:t>)</w:t>
      </w:r>
      <w:r w:rsidR="00D40CDF">
        <w:rPr>
          <w:lang w:val="uk-UA"/>
        </w:rPr>
        <w:t>, встановленої цією статтею</w:t>
      </w:r>
      <w:r w:rsidR="007C3394">
        <w:t xml:space="preserve">. </w:t>
      </w:r>
      <w:r w:rsidR="00475A52">
        <w:rPr>
          <w:lang w:val="uk-UA"/>
        </w:rPr>
        <w:t xml:space="preserve">Суд зазначив, що згаданий принцип не був однозначно закріплений у статті </w:t>
      </w:r>
      <w:r w:rsidR="007C3394">
        <w:t xml:space="preserve">VI </w:t>
      </w:r>
      <w:r w:rsidR="00475A52">
        <w:rPr>
          <w:lang w:val="uk-UA"/>
        </w:rPr>
        <w:t>Конвенції про запобігання геноциду, попри давніші проекти цієї конвенції, у яких пропонувалось його закріпити</w:t>
      </w:r>
      <w:r w:rsidR="007C3394">
        <w:t>.</w:t>
      </w:r>
      <w:r w:rsidR="00475A52">
        <w:rPr>
          <w:lang w:val="uk-UA"/>
        </w:rPr>
        <w:t xml:space="preserve"> Проте, згадана стаття </w:t>
      </w:r>
      <w:r w:rsidR="000A1889">
        <w:rPr>
          <w:lang w:val="uk-UA"/>
        </w:rPr>
        <w:t>не забороняє, аби особу, обвинувачену в геноциді, судили суди іншої країни ніж та, на території якої було скоєне це діяння</w:t>
      </w:r>
      <w:r w:rsidRPr="000A1889" w:rsidR="007C3394">
        <w:rPr>
          <w:lang w:val="uk-UA"/>
        </w:rPr>
        <w:t xml:space="preserve">. </w:t>
      </w:r>
      <w:r w:rsidR="000A1889">
        <w:rPr>
          <w:lang w:val="uk-UA"/>
        </w:rPr>
        <w:t>Будь-яке інше тлумачення суперечило б зобов</w:t>
      </w:r>
      <w:r w:rsidR="00761A37">
        <w:rPr>
          <w:lang w:val="uk-UA"/>
        </w:rPr>
        <w:t>’</w:t>
      </w:r>
      <w:r w:rsidRPr="000A1889" w:rsidR="000A1889">
        <w:rPr>
          <w:lang w:val="uk-UA"/>
        </w:rPr>
        <w:t xml:space="preserve">язанню </w:t>
      </w:r>
      <w:proofErr w:type="spellStart"/>
      <w:r w:rsidRPr="000708CD" w:rsidR="007C3394">
        <w:rPr>
          <w:i/>
        </w:rPr>
        <w:t>erga</w:t>
      </w:r>
      <w:proofErr w:type="spellEnd"/>
      <w:r w:rsidRPr="000A1889" w:rsidR="007C3394">
        <w:rPr>
          <w:i/>
          <w:lang w:val="uk-UA"/>
        </w:rPr>
        <w:t xml:space="preserve"> </w:t>
      </w:r>
      <w:proofErr w:type="spellStart"/>
      <w:r w:rsidRPr="000708CD" w:rsidR="007C3394">
        <w:rPr>
          <w:i/>
        </w:rPr>
        <w:t>omnes</w:t>
      </w:r>
      <w:proofErr w:type="spellEnd"/>
      <w:r w:rsidRPr="000A1889" w:rsidR="007C3394">
        <w:rPr>
          <w:lang w:val="uk-UA"/>
        </w:rPr>
        <w:t xml:space="preserve"> </w:t>
      </w:r>
      <w:r w:rsidR="000A1889">
        <w:rPr>
          <w:lang w:val="uk-UA"/>
        </w:rPr>
        <w:t xml:space="preserve">країни-учасниці за статтею </w:t>
      </w:r>
      <w:r w:rsidR="007C3394">
        <w:t>I</w:t>
      </w:r>
      <w:r w:rsidRPr="000A1889" w:rsidR="007C3394">
        <w:rPr>
          <w:lang w:val="uk-UA"/>
        </w:rPr>
        <w:t xml:space="preserve"> </w:t>
      </w:r>
      <w:r w:rsidR="00970740">
        <w:rPr>
          <w:lang w:val="uk-UA"/>
        </w:rPr>
        <w:t>цієї К</w:t>
      </w:r>
      <w:r w:rsidR="000A1889">
        <w:rPr>
          <w:lang w:val="uk-UA"/>
        </w:rPr>
        <w:t xml:space="preserve">онвенції, а саме, запобіганню і покаранню геноциду </w:t>
      </w:r>
      <w:r w:rsidRPr="000A1889" w:rsidR="00B144FA">
        <w:rPr>
          <w:lang w:val="uk-UA"/>
        </w:rPr>
        <w:t>(</w:t>
      </w:r>
      <w:r w:rsidR="000A1889">
        <w:rPr>
          <w:lang w:val="uk-UA"/>
        </w:rPr>
        <w:t>див. нижче параграф</w:t>
      </w:r>
      <w:r w:rsidRPr="000A1889" w:rsidR="00077EA3">
        <w:rPr>
          <w:lang w:val="uk-UA"/>
        </w:rPr>
        <w:t xml:space="preserve"> </w:t>
      </w:r>
      <w:r w:rsidRPr="000A1889" w:rsidR="0049655C">
        <w:rPr>
          <w:lang w:val="uk-UA"/>
        </w:rPr>
        <w:t>48</w:t>
      </w:r>
      <w:r w:rsidRPr="000A1889" w:rsidR="00B144FA">
        <w:rPr>
          <w:lang w:val="uk-UA"/>
        </w:rPr>
        <w:t>)</w:t>
      </w:r>
      <w:r w:rsidRPr="000A1889" w:rsidR="007C3394">
        <w:rPr>
          <w:lang w:val="uk-UA"/>
        </w:rPr>
        <w:t xml:space="preserve">. </w:t>
      </w:r>
      <w:r w:rsidR="000A1889">
        <w:rPr>
          <w:lang w:val="uk-UA"/>
        </w:rPr>
        <w:t>Наведене тлумачення Конвенції про запобігання геноциду</w:t>
      </w:r>
      <w:r w:rsidRPr="000A1889" w:rsidR="000A1889">
        <w:rPr>
          <w:lang w:val="uk-UA"/>
        </w:rPr>
        <w:t xml:space="preserve"> </w:t>
      </w:r>
      <w:r w:rsidR="000A1889">
        <w:rPr>
          <w:lang w:val="uk-UA"/>
        </w:rPr>
        <w:t xml:space="preserve">було також підтверджене статтею </w:t>
      </w:r>
      <w:r w:rsidRPr="000A1889" w:rsidR="007C3394">
        <w:rPr>
          <w:lang w:val="uk-UA"/>
        </w:rPr>
        <w:t>9 §</w:t>
      </w:r>
      <w:r w:rsidRPr="000A1889" w:rsidR="00077EA3">
        <w:rPr>
          <w:lang w:val="uk-UA"/>
        </w:rPr>
        <w:t xml:space="preserve"> </w:t>
      </w:r>
      <w:r w:rsidRPr="000A1889" w:rsidR="007C3394">
        <w:rPr>
          <w:lang w:val="uk-UA"/>
        </w:rPr>
        <w:t xml:space="preserve">1 </w:t>
      </w:r>
      <w:r w:rsidR="000A1889">
        <w:rPr>
          <w:lang w:val="uk-UA"/>
        </w:rPr>
        <w:t xml:space="preserve">Статут МКТЮ, котрий встановлює </w:t>
      </w:r>
      <w:r w:rsidRPr="000A1889" w:rsidR="000A1889">
        <w:rPr>
          <w:rStyle w:val="hps"/>
          <w:lang w:val="uk-UA"/>
        </w:rPr>
        <w:t>співпадаюч</w:t>
      </w:r>
      <w:r w:rsidR="000A1889">
        <w:rPr>
          <w:rStyle w:val="hps"/>
          <w:lang w:val="uk-UA"/>
        </w:rPr>
        <w:t>у</w:t>
      </w:r>
      <w:r w:rsidRPr="000A1889" w:rsidR="000A1889">
        <w:rPr>
          <w:rStyle w:val="shorttext"/>
          <w:lang w:val="uk-UA"/>
        </w:rPr>
        <w:t xml:space="preserve"> </w:t>
      </w:r>
      <w:r w:rsidRPr="000A1889" w:rsidR="000A1889">
        <w:rPr>
          <w:rStyle w:val="hps"/>
          <w:lang w:val="uk-UA"/>
        </w:rPr>
        <w:t>юрисдикці</w:t>
      </w:r>
      <w:r w:rsidR="000A1889">
        <w:rPr>
          <w:rStyle w:val="hps"/>
          <w:lang w:val="uk-UA"/>
        </w:rPr>
        <w:t xml:space="preserve">ю </w:t>
      </w:r>
      <w:r w:rsidR="000A1889">
        <w:rPr>
          <w:lang w:val="uk-UA"/>
        </w:rPr>
        <w:t>МКТЮ та всіх інших національних судів</w:t>
      </w:r>
      <w:r w:rsidRPr="000A1889" w:rsidR="007C3394">
        <w:rPr>
          <w:lang w:val="uk-UA"/>
        </w:rPr>
        <w:t>.</w:t>
      </w:r>
    </w:p>
    <w:p w:rsidR="00ED10E8" w:rsidP="007C3394" w:rsidRDefault="00ED10E8">
      <w:pPr>
        <w:pStyle w:val="JuPara"/>
      </w:pPr>
      <w:r w:rsidRPr="00B62174">
        <w:fldChar w:fldCharType="begin"/>
      </w:r>
      <w:r w:rsidRPr="00B62174">
        <w:instrText xml:space="preserve"> SEQ level0 \*arabic </w:instrText>
      </w:r>
      <w:r w:rsidRPr="00B62174">
        <w:fldChar w:fldCharType="separate"/>
      </w:r>
      <w:r w:rsidR="00142C04">
        <w:rPr>
          <w:noProof/>
        </w:rPr>
        <w:t>21</w:t>
      </w:r>
      <w:r w:rsidRPr="00B62174">
        <w:fldChar w:fldCharType="end"/>
      </w:r>
      <w:r w:rsidRPr="00B62174">
        <w:t>.  </w:t>
      </w:r>
      <w:r w:rsidR="000A1889">
        <w:rPr>
          <w:lang w:val="uk-UA"/>
        </w:rPr>
        <w:t>Окрім того, Федеральний суд</w:t>
      </w:r>
      <w:r w:rsidR="000A1889">
        <w:t xml:space="preserve"> </w:t>
      </w:r>
      <w:r w:rsidR="000A1889">
        <w:rPr>
          <w:lang w:val="uk-UA"/>
        </w:rPr>
        <w:t xml:space="preserve">встановив, що німецькі суди також мають юрисдикцію відповідно до статті </w:t>
      </w:r>
      <w:r w:rsidR="00C01189">
        <w:t>7 §</w:t>
      </w:r>
      <w:r w:rsidR="00077EA3">
        <w:t xml:space="preserve"> </w:t>
      </w:r>
      <w:r w:rsidR="00C01189">
        <w:t xml:space="preserve">2 </w:t>
      </w:r>
      <w:r w:rsidR="000A1889">
        <w:rPr>
          <w:lang w:val="uk-UA"/>
        </w:rPr>
        <w:t>№</w:t>
      </w:r>
      <w:r w:rsidR="00077EA3">
        <w:t xml:space="preserve"> </w:t>
      </w:r>
      <w:r w:rsidR="00C01189">
        <w:t xml:space="preserve">2 </w:t>
      </w:r>
      <w:r w:rsidR="000A1889">
        <w:rPr>
          <w:lang w:val="uk-UA"/>
        </w:rPr>
        <w:t>Кримінального кодексу</w:t>
      </w:r>
      <w:r w:rsidR="00F024DF">
        <w:t xml:space="preserve"> (</w:t>
      </w:r>
      <w:r w:rsidR="000A1889">
        <w:rPr>
          <w:lang w:val="uk-UA"/>
        </w:rPr>
        <w:t xml:space="preserve">див. нижче параграф </w:t>
      </w:r>
      <w:r w:rsidRPr="00E50DA6" w:rsidR="00F024DF">
        <w:t>34</w:t>
      </w:r>
      <w:r w:rsidR="00F024DF">
        <w:t>)</w:t>
      </w:r>
      <w:r w:rsidR="00C01189">
        <w:t>.</w:t>
      </w:r>
    </w:p>
    <w:p w:rsidRPr="00DB3579" w:rsidR="00414E1E"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22</w:t>
      </w:r>
      <w:r w:rsidRPr="00B62174">
        <w:fldChar w:fldCharType="end"/>
      </w:r>
      <w:r w:rsidRPr="00B62174">
        <w:t>.  </w:t>
      </w:r>
      <w:r w:rsidR="00257363">
        <w:rPr>
          <w:lang w:val="uk-UA"/>
        </w:rPr>
        <w:t>Федеральний суд</w:t>
      </w:r>
      <w:r w:rsidR="00257363">
        <w:t xml:space="preserve"> </w:t>
      </w:r>
      <w:r w:rsidR="003C2EA5">
        <w:rPr>
          <w:lang w:val="uk-UA"/>
        </w:rPr>
        <w:t xml:space="preserve">не зосереджувався на розгляді скарги заявника </w:t>
      </w:r>
      <w:r w:rsidR="002100A6">
        <w:rPr>
          <w:lang w:val="uk-UA"/>
        </w:rPr>
        <w:t>проти</w:t>
      </w:r>
      <w:r w:rsidR="003C2EA5">
        <w:rPr>
          <w:lang w:val="uk-UA"/>
        </w:rPr>
        <w:t xml:space="preserve"> постанов</w:t>
      </w:r>
      <w:r w:rsidR="002100A6">
        <w:rPr>
          <w:lang w:val="uk-UA"/>
        </w:rPr>
        <w:t>и</w:t>
      </w:r>
      <w:r w:rsidR="003C2EA5">
        <w:rPr>
          <w:lang w:val="uk-UA"/>
        </w:rPr>
        <w:t xml:space="preserve"> апеляційного суду від </w:t>
      </w:r>
      <w:r w:rsidR="0026183F">
        <w:t>18</w:t>
      </w:r>
      <w:r w:rsidR="00077EA3">
        <w:t xml:space="preserve"> </w:t>
      </w:r>
      <w:r w:rsidR="003C2EA5">
        <w:rPr>
          <w:lang w:val="uk-UA"/>
        </w:rPr>
        <w:t>серпня</w:t>
      </w:r>
      <w:r w:rsidR="00077EA3">
        <w:t xml:space="preserve"> </w:t>
      </w:r>
      <w:r w:rsidR="007C3394">
        <w:t>1997</w:t>
      </w:r>
      <w:r w:rsidR="003C2EA5">
        <w:rPr>
          <w:lang w:val="uk-UA"/>
        </w:rPr>
        <w:t xml:space="preserve"> року</w:t>
      </w:r>
      <w:r w:rsidR="007C3394">
        <w:t>,</w:t>
      </w:r>
      <w:r w:rsidR="003C2EA5">
        <w:rPr>
          <w:lang w:val="uk-UA"/>
        </w:rPr>
        <w:t xml:space="preserve"> </w:t>
      </w:r>
      <w:r w:rsidRPr="00DB3579" w:rsidR="003C2EA5">
        <w:rPr>
          <w:lang w:val="uk-UA"/>
        </w:rPr>
        <w:t>якою</w:t>
      </w:r>
      <w:r w:rsidRPr="00DB3579" w:rsidR="00970740">
        <w:rPr>
          <w:lang w:val="uk-UA"/>
        </w:rPr>
        <w:t>,</w:t>
      </w:r>
      <w:r w:rsidRPr="00DB3579" w:rsidR="003C2EA5">
        <w:rPr>
          <w:lang w:val="uk-UA"/>
        </w:rPr>
        <w:t xml:space="preserve"> на підставі статті </w:t>
      </w:r>
      <w:r w:rsidRPr="00DB3579" w:rsidR="003C2EA5">
        <w:t xml:space="preserve">244 § 5 </w:t>
      </w:r>
      <w:r w:rsidRPr="00DB3579" w:rsidR="003C2EA5">
        <w:rPr>
          <w:lang w:val="uk-UA"/>
        </w:rPr>
        <w:t>Кримінально-процесуального кодексу</w:t>
      </w:r>
      <w:r w:rsidRPr="00DB3579" w:rsidR="00970740">
        <w:rPr>
          <w:lang w:val="uk-UA"/>
        </w:rPr>
        <w:t>,</w:t>
      </w:r>
      <w:r w:rsidRPr="00DB3579" w:rsidR="003C2EA5">
        <w:rPr>
          <w:lang w:val="uk-UA"/>
        </w:rPr>
        <w:t xml:space="preserve"> було відмовлено у допиті вказаних ним свідків</w:t>
      </w:r>
      <w:r w:rsidRPr="00DB3579" w:rsidR="007C3394">
        <w:t xml:space="preserve">. </w:t>
      </w:r>
      <w:r w:rsidRPr="00DB3579" w:rsidR="003C2EA5">
        <w:rPr>
          <w:lang w:val="uk-UA"/>
        </w:rPr>
        <w:t xml:space="preserve">Проте, він загалом посилався на подання Федерального прокурора </w:t>
      </w:r>
      <w:r w:rsidRPr="00DB3579" w:rsidR="007C3394">
        <w:t>(</w:t>
      </w:r>
      <w:r w:rsidRPr="00DB3579" w:rsidR="007C3394">
        <w:rPr>
          <w:i/>
        </w:rPr>
        <w:t>Generalbundesanwalt</w:t>
      </w:r>
      <w:r w:rsidRPr="00DB3579" w:rsidR="007C3394">
        <w:t xml:space="preserve">), </w:t>
      </w:r>
      <w:r w:rsidRPr="00DB3579" w:rsidR="003C2EA5">
        <w:rPr>
          <w:lang w:val="uk-UA"/>
        </w:rPr>
        <w:t>який стверджував, що апеляція заявника щодо цього є неприйнятною, оскільки він належно не обґрунтував відповідні факти</w:t>
      </w:r>
      <w:r w:rsidRPr="00DB3579" w:rsidR="007C3394">
        <w:t xml:space="preserve">. </w:t>
      </w:r>
      <w:r w:rsidRPr="00DB3579" w:rsidR="00DC03E0">
        <w:rPr>
          <w:lang w:val="uk-UA"/>
        </w:rPr>
        <w:t xml:space="preserve">Стосовно скарги заявника на постанову апеляційного суду від </w:t>
      </w:r>
      <w:r w:rsidRPr="00DB3579" w:rsidR="00DC03E0">
        <w:t>1</w:t>
      </w:r>
      <w:r w:rsidRPr="00DB3579" w:rsidR="00DC03E0">
        <w:rPr>
          <w:lang w:val="uk-UA"/>
        </w:rPr>
        <w:t>2</w:t>
      </w:r>
      <w:r w:rsidRPr="00DB3579" w:rsidR="00DC03E0">
        <w:t xml:space="preserve"> </w:t>
      </w:r>
      <w:r w:rsidRPr="00DB3579" w:rsidR="00DC03E0">
        <w:rPr>
          <w:lang w:val="uk-UA"/>
        </w:rPr>
        <w:t>вересня</w:t>
      </w:r>
      <w:r w:rsidRPr="00DB3579" w:rsidR="00DC03E0">
        <w:t xml:space="preserve"> 1997</w:t>
      </w:r>
      <w:r w:rsidRPr="00DB3579" w:rsidR="00DC03E0">
        <w:rPr>
          <w:lang w:val="uk-UA"/>
        </w:rPr>
        <w:t xml:space="preserve"> року, якою було відмовлено </w:t>
      </w:r>
      <w:r w:rsidRPr="00DB3579" w:rsidR="00970740">
        <w:rPr>
          <w:lang w:val="uk-UA"/>
        </w:rPr>
        <w:t>у допиті трьох інших свідків за</w:t>
      </w:r>
      <w:r w:rsidRPr="00DB3579" w:rsidR="00DB3579">
        <w:t xml:space="preserve"> </w:t>
      </w:r>
      <w:r w:rsidRPr="00DB3579" w:rsidR="00DC03E0">
        <w:rPr>
          <w:lang w:val="uk-UA"/>
        </w:rPr>
        <w:t>кордоном,</w:t>
      </w:r>
      <w:r w:rsidR="00761A37">
        <w:rPr>
          <w:lang w:val="uk-UA"/>
        </w:rPr>
        <w:t xml:space="preserve"> </w:t>
      </w:r>
      <w:r w:rsidRPr="00DB3579" w:rsidR="00DC03E0">
        <w:rPr>
          <w:lang w:val="uk-UA"/>
        </w:rPr>
        <w:t>Федеральний суд</w:t>
      </w:r>
      <w:r w:rsidRPr="00DB3579" w:rsidR="00DC03E0">
        <w:t xml:space="preserve"> </w:t>
      </w:r>
      <w:r w:rsidRPr="00DB3579" w:rsidR="00DC03E0">
        <w:rPr>
          <w:lang w:val="uk-UA"/>
        </w:rPr>
        <w:t>визнав цю скаргу неприйнятною, оскільки він належно не обґрунтував відповідні факти і не навів достатніх причин у своїй апеляції</w:t>
      </w:r>
      <w:r w:rsidRPr="00DB3579" w:rsidR="007C3394">
        <w:t xml:space="preserve">. </w:t>
      </w:r>
      <w:r w:rsidRPr="00DB3579" w:rsidR="008F2444">
        <w:rPr>
          <w:lang w:val="uk-UA"/>
        </w:rPr>
        <w:t xml:space="preserve">Далі суд посилався на подання Федерального прокурора стосовно скарги </w:t>
      </w:r>
      <w:r w:rsidRPr="00DB3579" w:rsidR="00162079">
        <w:rPr>
          <w:lang w:val="uk-UA"/>
        </w:rPr>
        <w:t>заявника</w:t>
      </w:r>
      <w:r w:rsidRPr="00DB3579" w:rsidR="008F2444">
        <w:rPr>
          <w:lang w:val="uk-UA"/>
        </w:rPr>
        <w:t xml:space="preserve"> щодо відмови апеляційного суду зробити топографічну карту</w:t>
      </w:r>
      <w:r w:rsidRPr="00DB3579" w:rsidR="00414E1E">
        <w:t xml:space="preserve">. </w:t>
      </w:r>
      <w:r w:rsidRPr="00DB3579" w:rsidR="008F2444">
        <w:rPr>
          <w:lang w:val="uk-UA"/>
        </w:rPr>
        <w:t>Федеральний прокурор стверджував, що ця скарга є необґрунтованою, особливо з огляду на те, що апеляційний суд</w:t>
      </w:r>
      <w:r w:rsidR="00761A37">
        <w:rPr>
          <w:lang w:val="uk-UA"/>
        </w:rPr>
        <w:t xml:space="preserve"> </w:t>
      </w:r>
      <w:r w:rsidRPr="00DB3579" w:rsidR="008F2444">
        <w:rPr>
          <w:lang w:val="uk-UA"/>
        </w:rPr>
        <w:t>вже мав у</w:t>
      </w:r>
      <w:r w:rsidRPr="00DB3579" w:rsidR="002100A6">
        <w:rPr>
          <w:lang w:val="uk-UA"/>
        </w:rPr>
        <w:t xml:space="preserve"> </w:t>
      </w:r>
      <w:r w:rsidRPr="00DB3579" w:rsidR="008F2444">
        <w:rPr>
          <w:lang w:val="uk-UA"/>
        </w:rPr>
        <w:t>розпорядженні відеозйомку відповідної місцевості</w:t>
      </w:r>
      <w:r w:rsidRPr="00DB3579" w:rsidR="00414E1E">
        <w:t>.</w:t>
      </w:r>
    </w:p>
    <w:p w:rsidR="007C3394" w:rsidP="007C3394" w:rsidRDefault="00851381">
      <w:pPr>
        <w:pStyle w:val="JuPara"/>
      </w:pPr>
      <w:r w:rsidRPr="00DB3579">
        <w:fldChar w:fldCharType="begin"/>
      </w:r>
      <w:r w:rsidRPr="00DB3579">
        <w:instrText xml:space="preserve"> SEQ level0 \*arabic </w:instrText>
      </w:r>
      <w:r w:rsidRPr="00DB3579">
        <w:fldChar w:fldCharType="separate"/>
      </w:r>
      <w:r w:rsidRPr="00DB3579" w:rsidR="00142C04">
        <w:rPr>
          <w:noProof/>
        </w:rPr>
        <w:t>23</w:t>
      </w:r>
      <w:r w:rsidRPr="00DB3579">
        <w:fldChar w:fldCharType="end"/>
      </w:r>
      <w:r w:rsidRPr="00DB3579">
        <w:t>.  </w:t>
      </w:r>
      <w:r w:rsidRPr="00DB3579" w:rsidR="008F2444">
        <w:rPr>
          <w:lang w:val="uk-UA"/>
        </w:rPr>
        <w:t>Федеральний суд</w:t>
      </w:r>
      <w:r w:rsidRPr="00DB3579" w:rsidR="008F2444">
        <w:t xml:space="preserve"> </w:t>
      </w:r>
      <w:r w:rsidRPr="00DB3579" w:rsidR="008F2444">
        <w:rPr>
          <w:lang w:val="uk-UA"/>
        </w:rPr>
        <w:t xml:space="preserve">залишив без змін висновок апеляційного суду </w:t>
      </w:r>
      <w:r w:rsidRPr="00DB3579" w:rsidR="002100A6">
        <w:rPr>
          <w:lang w:val="uk-UA"/>
        </w:rPr>
        <w:t>щодо</w:t>
      </w:r>
      <w:r w:rsidRPr="00DB3579" w:rsidR="008F2444">
        <w:rPr>
          <w:lang w:val="uk-UA"/>
        </w:rPr>
        <w:t xml:space="preserve"> </w:t>
      </w:r>
      <w:r w:rsidRPr="00DB3579" w:rsidR="002100A6">
        <w:rPr>
          <w:lang w:val="uk-UA"/>
        </w:rPr>
        <w:t>наміру</w:t>
      </w:r>
      <w:r w:rsidRPr="00DB3579" w:rsidR="008F2444">
        <w:rPr>
          <w:lang w:val="uk-UA"/>
        </w:rPr>
        <w:t xml:space="preserve"> заявника на скоєння </w:t>
      </w:r>
      <w:r w:rsidRPr="00DB3579" w:rsidR="002100A6">
        <w:rPr>
          <w:lang w:val="uk-UA"/>
        </w:rPr>
        <w:t>ге</w:t>
      </w:r>
      <w:r w:rsidRPr="00DB3579" w:rsidR="008F2444">
        <w:rPr>
          <w:lang w:val="uk-UA"/>
        </w:rPr>
        <w:t xml:space="preserve">ноциду у розумінні статті </w:t>
      </w:r>
      <w:r w:rsidRPr="00DB3579" w:rsidR="007C3394">
        <w:t xml:space="preserve">220a </w:t>
      </w:r>
      <w:r w:rsidRPr="00DB3579" w:rsidR="008F2444">
        <w:rPr>
          <w:lang w:val="uk-UA"/>
        </w:rPr>
        <w:t>Кримінального кодексу</w:t>
      </w:r>
      <w:r w:rsidRPr="00DB3579" w:rsidR="007C3394">
        <w:t xml:space="preserve">, </w:t>
      </w:r>
      <w:r w:rsidRPr="00DB3579" w:rsidR="00970740">
        <w:rPr>
          <w:lang w:val="uk-UA"/>
        </w:rPr>
        <w:t>але встановив, що його діяння в</w:t>
      </w:r>
      <w:r w:rsidRPr="00DB3579" w:rsidR="00DB3579">
        <w:t xml:space="preserve"> </w:t>
      </w:r>
      <w:r w:rsidRPr="00DB3579" w:rsidR="008F2444">
        <w:rPr>
          <w:lang w:val="uk-UA"/>
        </w:rPr>
        <w:t>цілому мають</w:t>
      </w:r>
      <w:r w:rsidR="008F2444">
        <w:rPr>
          <w:lang w:val="uk-UA"/>
        </w:rPr>
        <w:t xml:space="preserve"> кваліфікуватись як один епізод геноциду</w:t>
      </w:r>
      <w:r w:rsidR="007C3394">
        <w:t>.</w:t>
      </w:r>
      <w:r w:rsidR="003844F3">
        <w:t xml:space="preserve"> </w:t>
      </w:r>
      <w:r w:rsidR="008F2444">
        <w:rPr>
          <w:lang w:val="uk-UA"/>
        </w:rPr>
        <w:t xml:space="preserve">Він посилався на </w:t>
      </w:r>
      <w:r w:rsidR="00162079">
        <w:rPr>
          <w:lang w:val="uk-UA"/>
        </w:rPr>
        <w:t>формулювання</w:t>
      </w:r>
      <w:r w:rsidR="008F2444">
        <w:rPr>
          <w:lang w:val="uk-UA"/>
        </w:rPr>
        <w:t xml:space="preserve"> статті </w:t>
      </w:r>
      <w:r w:rsidR="003844F3">
        <w:t>220a</w:t>
      </w:r>
      <w:r w:rsidR="003F0ED7">
        <w:t xml:space="preserve"> § 1</w:t>
      </w:r>
      <w:r w:rsidR="003844F3">
        <w:t xml:space="preserve"> </w:t>
      </w:r>
      <w:r w:rsidR="008F2444">
        <w:rPr>
          <w:lang w:val="uk-UA"/>
        </w:rPr>
        <w:t>№</w:t>
      </w:r>
      <w:r w:rsidR="003844F3">
        <w:t>.</w:t>
      </w:r>
      <w:r w:rsidR="00077EA3">
        <w:t xml:space="preserve"> </w:t>
      </w:r>
      <w:r w:rsidR="003844F3">
        <w:t>4 (</w:t>
      </w:r>
      <w:r w:rsidR="008F2444">
        <w:rPr>
          <w:lang w:val="uk-UA"/>
        </w:rPr>
        <w:t xml:space="preserve">запровадження заходів, які мають на меті запобігти народжуваності у </w:t>
      </w:r>
      <w:r w:rsidR="004B4596">
        <w:rPr>
          <w:lang w:val="uk-UA"/>
        </w:rPr>
        <w:t>груп</w:t>
      </w:r>
      <w:r w:rsidR="008F2444">
        <w:rPr>
          <w:lang w:val="uk-UA"/>
        </w:rPr>
        <w:t>і</w:t>
      </w:r>
      <w:r w:rsidR="003844F3">
        <w:t xml:space="preserve">) </w:t>
      </w:r>
      <w:r w:rsidR="008F2444">
        <w:rPr>
          <w:lang w:val="uk-UA"/>
        </w:rPr>
        <w:t>і №</w:t>
      </w:r>
      <w:r w:rsidR="00077EA3">
        <w:t xml:space="preserve"> </w:t>
      </w:r>
      <w:r w:rsidR="003844F3">
        <w:t>5 (</w:t>
      </w:r>
      <w:r w:rsidR="008F2444">
        <w:rPr>
          <w:lang w:val="uk-UA"/>
        </w:rPr>
        <w:t>примусове пер</w:t>
      </w:r>
      <w:r w:rsidR="002100A6">
        <w:rPr>
          <w:lang w:val="uk-UA"/>
        </w:rPr>
        <w:t>е</w:t>
      </w:r>
      <w:r w:rsidR="008F2444">
        <w:rPr>
          <w:lang w:val="uk-UA"/>
        </w:rPr>
        <w:t xml:space="preserve">міщення дітей </w:t>
      </w:r>
      <w:r w:rsidR="004B4596">
        <w:rPr>
          <w:lang w:val="uk-UA"/>
        </w:rPr>
        <w:t>груп</w:t>
      </w:r>
      <w:r w:rsidR="008F2444">
        <w:rPr>
          <w:lang w:val="uk-UA"/>
        </w:rPr>
        <w:t xml:space="preserve">и до іншої </w:t>
      </w:r>
      <w:r w:rsidR="004B4596">
        <w:rPr>
          <w:lang w:val="uk-UA"/>
        </w:rPr>
        <w:t>груп</w:t>
      </w:r>
      <w:r w:rsidR="008F2444">
        <w:rPr>
          <w:lang w:val="uk-UA"/>
        </w:rPr>
        <w:t>и</w:t>
      </w:r>
      <w:r w:rsidR="003844F3">
        <w:t>)</w:t>
      </w:r>
      <w:r w:rsidR="002629FA">
        <w:t xml:space="preserve"> </w:t>
      </w:r>
      <w:r w:rsidR="008F2444">
        <w:rPr>
          <w:lang w:val="uk-UA"/>
        </w:rPr>
        <w:t xml:space="preserve">на підтримку своєї думки, що геноцид не </w:t>
      </w:r>
      <w:proofErr w:type="spellStart"/>
      <w:r w:rsidR="008F2444">
        <w:rPr>
          <w:lang w:val="uk-UA"/>
        </w:rPr>
        <w:t>обов</w:t>
      </w:r>
      <w:r w:rsidR="00761A37">
        <w:rPr>
          <w:lang w:val="uk-UA"/>
        </w:rPr>
        <w:t>’</w:t>
      </w:r>
      <w:r w:rsidR="008F2444">
        <w:rPr>
          <w:lang w:val="fr-FR"/>
        </w:rPr>
        <w:t>язково</w:t>
      </w:r>
      <w:proofErr w:type="spellEnd"/>
      <w:r w:rsidRPr="008F2444" w:rsidR="008F2444">
        <w:t xml:space="preserve"> </w:t>
      </w:r>
      <w:proofErr w:type="spellStart"/>
      <w:r w:rsidR="008F2444">
        <w:rPr>
          <w:lang w:val="fr-FR"/>
        </w:rPr>
        <w:t>передбачає</w:t>
      </w:r>
      <w:proofErr w:type="spellEnd"/>
      <w:r w:rsidRPr="008F2444" w:rsidR="008F2444">
        <w:t xml:space="preserve"> </w:t>
      </w:r>
      <w:r w:rsidR="002100A6">
        <w:rPr>
          <w:lang w:val="uk-UA"/>
        </w:rPr>
        <w:t>намір</w:t>
      </w:r>
      <w:r w:rsidRPr="008F2444" w:rsidR="008F2444">
        <w:t xml:space="preserve"> </w:t>
      </w:r>
      <w:r w:rsidR="008F2444">
        <w:rPr>
          <w:lang w:val="fr-FR"/>
        </w:rPr>
        <w:t>фізичн</w:t>
      </w:r>
      <w:r w:rsidR="002100A6">
        <w:rPr>
          <w:lang w:val="uk-UA"/>
        </w:rPr>
        <w:t>ого</w:t>
      </w:r>
      <w:r w:rsidRPr="008F2444" w:rsidR="008F2444">
        <w:t xml:space="preserve"> </w:t>
      </w:r>
      <w:r w:rsidR="008F2444">
        <w:rPr>
          <w:lang w:val="fr-FR"/>
        </w:rPr>
        <w:t>знищення</w:t>
      </w:r>
      <w:r w:rsidRPr="008F2444" w:rsidR="008F2444">
        <w:t xml:space="preserve"> </w:t>
      </w:r>
      <w:r w:rsidR="008F2444">
        <w:rPr>
          <w:lang w:val="fr-FR"/>
        </w:rPr>
        <w:t>групи</w:t>
      </w:r>
      <w:r w:rsidRPr="008F2444" w:rsidR="008F2444">
        <w:t xml:space="preserve">, </w:t>
      </w:r>
      <w:r w:rsidR="008F2444">
        <w:rPr>
          <w:lang w:val="fr-FR"/>
        </w:rPr>
        <w:t>а</w:t>
      </w:r>
      <w:r w:rsidRPr="008F2444" w:rsidR="008F2444">
        <w:t xml:space="preserve"> </w:t>
      </w:r>
      <w:r w:rsidR="008F2444">
        <w:rPr>
          <w:lang w:val="fr-FR"/>
        </w:rPr>
        <w:t>що</w:t>
      </w:r>
      <w:r w:rsidRPr="008F2444" w:rsidR="008F2444">
        <w:t xml:space="preserve"> </w:t>
      </w:r>
      <w:r w:rsidR="008F2444">
        <w:rPr>
          <w:lang w:val="fr-FR"/>
        </w:rPr>
        <w:t>достатньо</w:t>
      </w:r>
      <w:r w:rsidRPr="008F2444" w:rsidR="008F2444">
        <w:t xml:space="preserve"> </w:t>
      </w:r>
      <w:r w:rsidR="008F2444">
        <w:rPr>
          <w:lang w:val="fr-FR"/>
        </w:rPr>
        <w:t>на</w:t>
      </w:r>
      <w:r w:rsidR="002100A6">
        <w:rPr>
          <w:lang w:val="uk-UA"/>
        </w:rPr>
        <w:t>міру</w:t>
      </w:r>
      <w:r w:rsidRPr="008F2444" w:rsidR="008F2444">
        <w:t xml:space="preserve"> </w:t>
      </w:r>
      <w:r w:rsidR="008F2444">
        <w:rPr>
          <w:lang w:val="fr-FR"/>
        </w:rPr>
        <w:t>знищ</w:t>
      </w:r>
      <w:r w:rsidR="002100A6">
        <w:rPr>
          <w:lang w:val="uk-UA"/>
        </w:rPr>
        <w:t>ити</w:t>
      </w:r>
      <w:r w:rsidRPr="008F2444" w:rsidR="008F2444">
        <w:t xml:space="preserve"> </w:t>
      </w:r>
      <w:r w:rsidR="008F2444">
        <w:rPr>
          <w:lang w:val="fr-FR"/>
        </w:rPr>
        <w:t>соціальн</w:t>
      </w:r>
      <w:r w:rsidR="002100A6">
        <w:rPr>
          <w:lang w:val="uk-UA"/>
        </w:rPr>
        <w:t>у</w:t>
      </w:r>
      <w:r w:rsidRPr="008F2444" w:rsidR="008F2444">
        <w:t xml:space="preserve"> </w:t>
      </w:r>
      <w:r w:rsidR="008F2444">
        <w:rPr>
          <w:lang w:val="fr-FR"/>
        </w:rPr>
        <w:t>спільнот</w:t>
      </w:r>
      <w:r w:rsidR="002100A6">
        <w:rPr>
          <w:lang w:val="uk-UA"/>
        </w:rPr>
        <w:t>у</w:t>
      </w:r>
      <w:r w:rsidR="002629FA">
        <w:t>.</w:t>
      </w:r>
    </w:p>
    <w:p w:rsidR="00761A37" w:rsidP="007C3394" w:rsidRDefault="007C3394">
      <w:pPr>
        <w:pStyle w:val="JuH1"/>
        <w:rPr>
          <w:lang w:val="uk-UA"/>
        </w:rPr>
      </w:pPr>
      <w:r>
        <w:t>4.  </w:t>
      </w:r>
      <w:r w:rsidR="004B4596">
        <w:rPr>
          <w:lang w:val="uk-UA"/>
        </w:rPr>
        <w:t>Розгляд справи у Федеральному Конституційному суді</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24</w:t>
      </w:r>
      <w:r w:rsidRPr="00B62174">
        <w:fldChar w:fldCharType="end"/>
      </w:r>
      <w:r w:rsidRPr="00B62174">
        <w:t>.  </w:t>
      </w:r>
      <w:r w:rsidR="007C3394">
        <w:t>12</w:t>
      </w:r>
      <w:r w:rsidR="00077EA3">
        <w:t xml:space="preserve"> </w:t>
      </w:r>
      <w:r w:rsidR="004B4596">
        <w:rPr>
          <w:lang w:val="uk-UA"/>
        </w:rPr>
        <w:t>грудня</w:t>
      </w:r>
      <w:r w:rsidR="007C3394">
        <w:t xml:space="preserve"> 2000</w:t>
      </w:r>
      <w:r w:rsidR="004B4596">
        <w:rPr>
          <w:lang w:val="uk-UA"/>
        </w:rPr>
        <w:t xml:space="preserve"> року Федеральний Конституційний суд відмовився розглядати конституційну скаргу заявника</w:t>
      </w:r>
      <w:r w:rsidR="007C3394">
        <w:t>.</w:t>
      </w:r>
    </w:p>
    <w:p w:rsidRPr="00316D75" w:rsidR="007C3394" w:rsidP="007C3394" w:rsidRDefault="00851381">
      <w:pPr>
        <w:pStyle w:val="JuPara"/>
        <w:rPr>
          <w:lang w:val="uk-UA"/>
        </w:rPr>
      </w:pPr>
      <w:r w:rsidRPr="00B62174">
        <w:fldChar w:fldCharType="begin"/>
      </w:r>
      <w:r w:rsidRPr="00B62174">
        <w:instrText xml:space="preserve"> SEQ level0 \*arabic </w:instrText>
      </w:r>
      <w:r w:rsidRPr="00B62174">
        <w:fldChar w:fldCharType="separate"/>
      </w:r>
      <w:r w:rsidR="00142C04">
        <w:rPr>
          <w:noProof/>
        </w:rPr>
        <w:t>25</w:t>
      </w:r>
      <w:r w:rsidRPr="00B62174">
        <w:fldChar w:fldCharType="end"/>
      </w:r>
      <w:r w:rsidRPr="00B62174">
        <w:t>.  </w:t>
      </w:r>
      <w:r w:rsidR="00410E57">
        <w:rPr>
          <w:lang w:val="uk-UA"/>
        </w:rPr>
        <w:t xml:space="preserve">Відповідно до Конституційного суду, кримінальні суди не порушили жодного положення Основного Закону, встановивши свою юрисдикцію відповідно до статті </w:t>
      </w:r>
      <w:r w:rsidR="007C3394">
        <w:t xml:space="preserve">6 </w:t>
      </w:r>
      <w:r w:rsidR="00410E57">
        <w:rPr>
          <w:lang w:val="uk-UA"/>
        </w:rPr>
        <w:t>№</w:t>
      </w:r>
      <w:r w:rsidR="00077EA3">
        <w:t xml:space="preserve"> </w:t>
      </w:r>
      <w:r w:rsidR="007C3394">
        <w:t xml:space="preserve">1 </w:t>
      </w:r>
      <w:r w:rsidR="00410E57">
        <w:rPr>
          <w:lang w:val="uk-UA"/>
        </w:rPr>
        <w:t>Кримінального кодексу</w:t>
      </w:r>
      <w:r w:rsidR="00410E57">
        <w:t xml:space="preserve"> </w:t>
      </w:r>
      <w:r w:rsidR="00410E57">
        <w:rPr>
          <w:lang w:val="uk-UA"/>
        </w:rPr>
        <w:t xml:space="preserve">у поєднанні зі статтею </w:t>
      </w:r>
      <w:r w:rsidR="007C3394">
        <w:t>VI</w:t>
      </w:r>
      <w:r w:rsidRPr="00410E57" w:rsidR="00202016">
        <w:rPr>
          <w:lang w:val="uk-UA"/>
        </w:rPr>
        <w:t xml:space="preserve"> </w:t>
      </w:r>
      <w:r w:rsidR="00410E57">
        <w:rPr>
          <w:lang w:val="uk-UA"/>
        </w:rPr>
        <w:t>Конвенції про запобігання геноциду</w:t>
      </w:r>
      <w:r w:rsidRPr="00410E57" w:rsidR="007C3394">
        <w:rPr>
          <w:lang w:val="uk-UA"/>
        </w:rPr>
        <w:t xml:space="preserve">. </w:t>
      </w:r>
      <w:r w:rsidR="00410E57">
        <w:rPr>
          <w:lang w:val="uk-UA"/>
        </w:rPr>
        <w:t>Принцип універсальної юрисдикції надава</w:t>
      </w:r>
      <w:r w:rsidR="002100A6">
        <w:rPr>
          <w:lang w:val="uk-UA"/>
        </w:rPr>
        <w:t>в</w:t>
      </w:r>
      <w:r w:rsidR="00410E57">
        <w:rPr>
          <w:lang w:val="uk-UA"/>
        </w:rPr>
        <w:t xml:space="preserve"> розумні підстави розглядати цю проблему, яка виникла поза територією Німеччини, за умови дотримання обов</w:t>
      </w:r>
      <w:r w:rsidR="00761A37">
        <w:rPr>
          <w:lang w:val="uk-UA"/>
        </w:rPr>
        <w:t>’</w:t>
      </w:r>
      <w:r w:rsidRPr="00410E57" w:rsidR="00410E57">
        <w:rPr>
          <w:lang w:val="uk-UA"/>
        </w:rPr>
        <w:t xml:space="preserve">язку невтручання </w:t>
      </w:r>
      <w:r w:rsidRPr="00410E57" w:rsidR="007C3394">
        <w:rPr>
          <w:lang w:val="uk-UA"/>
        </w:rPr>
        <w:t>(</w:t>
      </w:r>
      <w:proofErr w:type="spellStart"/>
      <w:r w:rsidR="007C3394">
        <w:rPr>
          <w:i/>
        </w:rPr>
        <w:t>Intervention</w:t>
      </w:r>
      <w:r w:rsidRPr="002E7945" w:rsidR="007C3394">
        <w:rPr>
          <w:i/>
        </w:rPr>
        <w:t>sverbot</w:t>
      </w:r>
      <w:proofErr w:type="spellEnd"/>
      <w:r w:rsidRPr="00410E57" w:rsidR="007C3394">
        <w:rPr>
          <w:lang w:val="uk-UA"/>
        </w:rPr>
        <w:t xml:space="preserve">) </w:t>
      </w:r>
      <w:r w:rsidR="00410E57">
        <w:rPr>
          <w:lang w:val="uk-UA"/>
        </w:rPr>
        <w:t>за міжнародним публічним правом</w:t>
      </w:r>
      <w:r w:rsidRPr="00410E57" w:rsidR="007C3394">
        <w:rPr>
          <w:lang w:val="uk-UA"/>
        </w:rPr>
        <w:t xml:space="preserve">. </w:t>
      </w:r>
      <w:r w:rsidR="00410E57">
        <w:rPr>
          <w:lang w:val="uk-UA"/>
        </w:rPr>
        <w:t xml:space="preserve">Компетентні висновки судів, зокрема, що стаття </w:t>
      </w:r>
      <w:r w:rsidRPr="00410E57" w:rsidR="00410E57">
        <w:rPr>
          <w:lang w:val="uk-UA"/>
        </w:rPr>
        <w:t xml:space="preserve">6 </w:t>
      </w:r>
      <w:r w:rsidR="00410E57">
        <w:rPr>
          <w:lang w:val="uk-UA"/>
        </w:rPr>
        <w:t>№</w:t>
      </w:r>
      <w:r w:rsidRPr="00410E57" w:rsidR="00410E57">
        <w:rPr>
          <w:lang w:val="uk-UA"/>
        </w:rPr>
        <w:t xml:space="preserve"> 1 </w:t>
      </w:r>
      <w:r w:rsidR="00410E57">
        <w:rPr>
          <w:lang w:val="uk-UA"/>
        </w:rPr>
        <w:t>Кримінального кодексу</w:t>
      </w:r>
      <w:r w:rsidRPr="00410E57" w:rsidR="00410E57">
        <w:rPr>
          <w:lang w:val="uk-UA"/>
        </w:rPr>
        <w:t xml:space="preserve"> </w:t>
      </w:r>
      <w:r w:rsidR="00410E57">
        <w:rPr>
          <w:lang w:val="uk-UA"/>
        </w:rPr>
        <w:t xml:space="preserve">у поєднанні зі статтею </w:t>
      </w:r>
      <w:r w:rsidR="00410E57">
        <w:t>VI</w:t>
      </w:r>
      <w:r w:rsidRPr="00410E57" w:rsidR="00410E57">
        <w:rPr>
          <w:lang w:val="uk-UA"/>
        </w:rPr>
        <w:t xml:space="preserve"> </w:t>
      </w:r>
      <w:r w:rsidR="00410E57">
        <w:rPr>
          <w:lang w:val="uk-UA"/>
        </w:rPr>
        <w:t>Конвенції про запобігання геноциду надавала їм право розглядати справу заявника, не були протиправними</w:t>
      </w:r>
      <w:r w:rsidRPr="00410E57" w:rsidR="007C3394">
        <w:rPr>
          <w:lang w:val="uk-UA"/>
        </w:rPr>
        <w:t xml:space="preserve">. </w:t>
      </w:r>
      <w:r w:rsidR="00DB7625">
        <w:rPr>
          <w:lang w:val="uk-UA"/>
        </w:rPr>
        <w:t>Можна зробити належний висновок, що Конвенція про запобігання геноциду</w:t>
      </w:r>
      <w:r w:rsidR="00316D75">
        <w:rPr>
          <w:lang w:val="uk-UA"/>
        </w:rPr>
        <w:t>,</w:t>
      </w:r>
      <w:r w:rsidR="00DB7625">
        <w:rPr>
          <w:lang w:val="uk-UA"/>
        </w:rPr>
        <w:t xml:space="preserve"> не запроваджу</w:t>
      </w:r>
      <w:r w:rsidR="00316D75">
        <w:rPr>
          <w:lang w:val="uk-UA"/>
        </w:rPr>
        <w:t>ючи</w:t>
      </w:r>
      <w:r w:rsidR="00DB7625">
        <w:rPr>
          <w:lang w:val="uk-UA"/>
        </w:rPr>
        <w:t xml:space="preserve"> однозначно принцип універсальної юрисдикції</w:t>
      </w:r>
      <w:r w:rsidR="00316D75">
        <w:rPr>
          <w:lang w:val="uk-UA"/>
        </w:rPr>
        <w:t>,</w:t>
      </w:r>
      <w:r w:rsidR="00DB7625">
        <w:rPr>
          <w:lang w:val="uk-UA"/>
        </w:rPr>
        <w:t xml:space="preserve"> встановлює, що Держави-учасниці не зобов</w:t>
      </w:r>
      <w:r w:rsidR="00761A37">
        <w:rPr>
          <w:lang w:val="uk-UA"/>
        </w:rPr>
        <w:t>’</w:t>
      </w:r>
      <w:r w:rsidRPr="00DB7625" w:rsidR="00DB7625">
        <w:rPr>
          <w:lang w:val="uk-UA"/>
        </w:rPr>
        <w:t>язані</w:t>
      </w:r>
      <w:r w:rsidR="00316D75">
        <w:rPr>
          <w:lang w:val="uk-UA"/>
        </w:rPr>
        <w:t>,</w:t>
      </w:r>
      <w:r w:rsidRPr="00DB7625" w:rsidR="00DB7625">
        <w:rPr>
          <w:lang w:val="uk-UA"/>
        </w:rPr>
        <w:t xml:space="preserve"> </w:t>
      </w:r>
      <w:r w:rsidRPr="00DB7625" w:rsidR="00316D75">
        <w:rPr>
          <w:lang w:val="uk-UA"/>
        </w:rPr>
        <w:t xml:space="preserve">але мають юрисдикцію </w:t>
      </w:r>
      <w:r w:rsidRPr="00DB7625" w:rsidR="00DB7625">
        <w:rPr>
          <w:lang w:val="uk-UA"/>
        </w:rPr>
        <w:t>переслідувати осіб, які скоїли геноцид</w:t>
      </w:r>
      <w:r w:rsidRPr="00DB7625" w:rsidR="007C3394">
        <w:rPr>
          <w:lang w:val="uk-UA"/>
        </w:rPr>
        <w:t xml:space="preserve">. </w:t>
      </w:r>
      <w:r w:rsidR="00316D75">
        <w:rPr>
          <w:lang w:val="uk-UA"/>
        </w:rPr>
        <w:t>Дійсно, геноцид є класичним прикладом застосування принципу універсальної юрисдикції</w:t>
      </w:r>
      <w:r w:rsidRPr="00316D75" w:rsidR="007C3394">
        <w:rPr>
          <w:lang w:val="uk-UA"/>
        </w:rPr>
        <w:t xml:space="preserve">. </w:t>
      </w:r>
      <w:r w:rsidR="00316D75">
        <w:rPr>
          <w:lang w:val="uk-UA"/>
        </w:rPr>
        <w:t xml:space="preserve">Мотивування кримінальних судів не втручається у персональний або територіальний суверенітет Боснії і </w:t>
      </w:r>
      <w:r w:rsidR="00162079">
        <w:rPr>
          <w:lang w:val="uk-UA"/>
        </w:rPr>
        <w:t>Герцеговини</w:t>
      </w:r>
      <w:r w:rsidR="00316D75">
        <w:rPr>
          <w:lang w:val="uk-UA"/>
        </w:rPr>
        <w:t>, оскільки ця держава однозначно утрималась від запиту про екстрадицію заявника</w:t>
      </w:r>
      <w:r w:rsidRPr="00316D75" w:rsidR="007C3394">
        <w:rPr>
          <w:lang w:val="uk-UA"/>
        </w:rPr>
        <w:t>.</w:t>
      </w:r>
    </w:p>
    <w:p w:rsidRPr="00DB3579" w:rsidR="007C3394" w:rsidP="007C3394" w:rsidRDefault="00851381">
      <w:pPr>
        <w:pStyle w:val="JuPara"/>
        <w:rPr>
          <w:lang w:val="uk-UA"/>
        </w:rPr>
      </w:pPr>
      <w:r w:rsidRPr="00B62174">
        <w:fldChar w:fldCharType="begin"/>
      </w:r>
      <w:r w:rsidRPr="002100A6">
        <w:rPr>
          <w:lang w:val="uk-UA"/>
        </w:rPr>
        <w:instrText xml:space="preserve"> </w:instrText>
      </w:r>
      <w:r w:rsidRPr="00B62174">
        <w:instrText>SEQ</w:instrText>
      </w:r>
      <w:r w:rsidRPr="002100A6">
        <w:rPr>
          <w:lang w:val="uk-UA"/>
        </w:rPr>
        <w:instrText xml:space="preserve"> </w:instrText>
      </w:r>
      <w:r w:rsidRPr="00B62174">
        <w:instrText>level</w:instrText>
      </w:r>
      <w:r w:rsidRPr="002100A6">
        <w:rPr>
          <w:lang w:val="uk-UA"/>
        </w:rPr>
        <w:instrText>0 \*</w:instrText>
      </w:r>
      <w:r w:rsidRPr="00B62174">
        <w:instrText>arabic</w:instrText>
      </w:r>
      <w:r w:rsidRPr="002100A6">
        <w:rPr>
          <w:lang w:val="uk-UA"/>
        </w:rPr>
        <w:instrText xml:space="preserve"> </w:instrText>
      </w:r>
      <w:r w:rsidRPr="00B62174">
        <w:fldChar w:fldCharType="separate"/>
      </w:r>
      <w:r w:rsidRPr="002100A6" w:rsidR="00142C04">
        <w:rPr>
          <w:noProof/>
          <w:lang w:val="uk-UA"/>
        </w:rPr>
        <w:t>26</w:t>
      </w:r>
      <w:r w:rsidRPr="00B62174">
        <w:fldChar w:fldCharType="end"/>
      </w:r>
      <w:r w:rsidRPr="002100A6">
        <w:rPr>
          <w:lang w:val="uk-UA"/>
        </w:rPr>
        <w:t>.</w:t>
      </w:r>
      <w:r w:rsidRPr="00B62174">
        <w:t>  </w:t>
      </w:r>
      <w:r w:rsidR="00316D75">
        <w:rPr>
          <w:lang w:val="uk-UA"/>
        </w:rPr>
        <w:t>Вказуючи, що у випадку прийнятної конституційної скарги він мав</w:t>
      </w:r>
      <w:r w:rsidR="002100A6">
        <w:rPr>
          <w:lang w:val="uk-UA"/>
        </w:rPr>
        <w:t xml:space="preserve"> би</w:t>
      </w:r>
      <w:r w:rsidR="00316D75">
        <w:rPr>
          <w:lang w:val="uk-UA"/>
        </w:rPr>
        <w:t xml:space="preserve"> право перевірити оскаржуваний акт з усіх конституційних позицій, Федеральний Конституційний суд встановив, що право заявника на справедливий судовий розгляд, гарантоване Основним Законом, не було порушене</w:t>
      </w:r>
      <w:r w:rsidRPr="002100A6" w:rsidR="008150DD">
        <w:rPr>
          <w:lang w:val="uk-UA"/>
        </w:rPr>
        <w:t>.</w:t>
      </w:r>
      <w:r w:rsidR="00316D75">
        <w:rPr>
          <w:lang w:val="uk-UA"/>
        </w:rPr>
        <w:t xml:space="preserve"> Безсумнівно, стаття</w:t>
      </w:r>
      <w:r w:rsidRPr="00316D75" w:rsidR="008150DD">
        <w:rPr>
          <w:lang w:val="uk-UA"/>
        </w:rPr>
        <w:t xml:space="preserve"> </w:t>
      </w:r>
      <w:r w:rsidRPr="00316D75" w:rsidR="007C3394">
        <w:rPr>
          <w:lang w:val="uk-UA"/>
        </w:rPr>
        <w:t>244 §§</w:t>
      </w:r>
      <w:r w:rsidRPr="00316D75" w:rsidR="00077EA3">
        <w:rPr>
          <w:lang w:val="uk-UA"/>
        </w:rPr>
        <w:t xml:space="preserve"> </w:t>
      </w:r>
      <w:r w:rsidRPr="00316D75" w:rsidR="007C3394">
        <w:rPr>
          <w:lang w:val="uk-UA"/>
        </w:rPr>
        <w:t xml:space="preserve">3 </w:t>
      </w:r>
      <w:r w:rsidR="00316D75">
        <w:rPr>
          <w:lang w:val="uk-UA"/>
        </w:rPr>
        <w:t>і</w:t>
      </w:r>
      <w:r w:rsidRPr="00316D75" w:rsidR="007C3394">
        <w:rPr>
          <w:lang w:val="uk-UA"/>
        </w:rPr>
        <w:t xml:space="preserve"> 5 </w:t>
      </w:r>
      <w:r w:rsidR="00316D75">
        <w:rPr>
          <w:lang w:val="uk-UA"/>
        </w:rPr>
        <w:t>Кримінально-процесуального кодексу є конституційною</w:t>
      </w:r>
      <w:r w:rsidRPr="00316D75" w:rsidR="007C3394">
        <w:rPr>
          <w:lang w:val="uk-UA"/>
        </w:rPr>
        <w:t>.</w:t>
      </w:r>
      <w:r w:rsidR="00316D75">
        <w:rPr>
          <w:lang w:val="uk-UA"/>
        </w:rPr>
        <w:t xml:space="preserve"> Законодавець не зобов</w:t>
      </w:r>
      <w:r w:rsidR="00761A37">
        <w:rPr>
          <w:lang w:val="uk-UA"/>
        </w:rPr>
        <w:t>’</w:t>
      </w:r>
      <w:r w:rsidRPr="00316D75" w:rsidR="00316D75">
        <w:rPr>
          <w:lang w:val="uk-UA"/>
        </w:rPr>
        <w:t>язаний запроваджувати особливі</w:t>
      </w:r>
      <w:r w:rsidR="00316D75">
        <w:rPr>
          <w:lang w:val="uk-UA"/>
        </w:rPr>
        <w:t xml:space="preserve"> процесуальні</w:t>
      </w:r>
      <w:r w:rsidRPr="00316D75" w:rsidR="00316D75">
        <w:rPr>
          <w:lang w:val="uk-UA"/>
        </w:rPr>
        <w:t xml:space="preserve"> правила </w:t>
      </w:r>
      <w:r w:rsidR="00316D75">
        <w:rPr>
          <w:lang w:val="uk-UA"/>
        </w:rPr>
        <w:t>для певних злочинів</w:t>
      </w:r>
      <w:r w:rsidRPr="00316D75" w:rsidR="007C3394">
        <w:rPr>
          <w:lang w:val="uk-UA"/>
        </w:rPr>
        <w:t>.</w:t>
      </w:r>
      <w:r w:rsidR="00316D75">
        <w:rPr>
          <w:lang w:val="uk-UA"/>
        </w:rPr>
        <w:t xml:space="preserve"> Право на справедливий судовий розгляд</w:t>
      </w:r>
      <w:r w:rsidRPr="00316D75" w:rsidR="007C3394">
        <w:rPr>
          <w:lang w:val="uk-UA"/>
        </w:rPr>
        <w:t xml:space="preserve"> </w:t>
      </w:r>
      <w:r w:rsidR="00316D75">
        <w:rPr>
          <w:lang w:val="uk-UA"/>
        </w:rPr>
        <w:t xml:space="preserve">не надає заявнику право на </w:t>
      </w:r>
      <w:r w:rsidR="00AD66D4">
        <w:rPr>
          <w:lang w:val="uk-UA"/>
        </w:rPr>
        <w:t xml:space="preserve">розгляд певних доказів, наприклад, виклик свідків, які мають бути допитані </w:t>
      </w:r>
      <w:r w:rsidRPr="00DB3579" w:rsidR="00821A3E">
        <w:rPr>
          <w:lang w:val="uk-UA"/>
        </w:rPr>
        <w:t>за</w:t>
      </w:r>
      <w:r w:rsidRPr="00DB3579" w:rsidR="00DB3579">
        <w:rPr>
          <w:lang w:val="uk-UA"/>
        </w:rPr>
        <w:t xml:space="preserve"> </w:t>
      </w:r>
      <w:r w:rsidRPr="00DB3579" w:rsidR="00AD66D4">
        <w:rPr>
          <w:lang w:val="uk-UA"/>
        </w:rPr>
        <w:t>кордоном</w:t>
      </w:r>
      <w:r w:rsidRPr="00DB3579" w:rsidR="007C3394">
        <w:rPr>
          <w:lang w:val="uk-UA"/>
        </w:rPr>
        <w:t>.</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27</w:t>
      </w:r>
      <w:r w:rsidRPr="00B62174">
        <w:fldChar w:fldCharType="end"/>
      </w:r>
      <w:r w:rsidRPr="00B62174">
        <w:t>.  </w:t>
      </w:r>
      <w:r w:rsidR="00AD66D4">
        <w:rPr>
          <w:lang w:val="uk-UA"/>
        </w:rPr>
        <w:t xml:space="preserve">Стосовно тлумачення статті </w:t>
      </w:r>
      <w:r w:rsidR="007C3394">
        <w:t>220a</w:t>
      </w:r>
      <w:r w:rsidR="00AD66D4">
        <w:rPr>
          <w:lang w:val="uk-UA"/>
        </w:rPr>
        <w:t xml:space="preserve"> Кримінального кодексу, Федеральний Конституційний суд встановив, що не було порушено принцип, відповідно до якого кримінальний закон не має </w:t>
      </w:r>
      <w:r w:rsidR="00162079">
        <w:rPr>
          <w:lang w:val="uk-UA"/>
        </w:rPr>
        <w:t>зворотного</w:t>
      </w:r>
      <w:r w:rsidR="00AD66D4">
        <w:rPr>
          <w:lang w:val="uk-UA"/>
        </w:rPr>
        <w:t xml:space="preserve"> застосування, як гарантує стаття </w:t>
      </w:r>
      <w:r w:rsidR="007C3394">
        <w:t>103 §</w:t>
      </w:r>
      <w:r w:rsidR="00077EA3">
        <w:t xml:space="preserve"> </w:t>
      </w:r>
      <w:r w:rsidR="007C3394">
        <w:t xml:space="preserve">2 </w:t>
      </w:r>
      <w:r w:rsidR="00AD66D4">
        <w:rPr>
          <w:lang w:val="uk-UA"/>
        </w:rPr>
        <w:t>Основного Закону</w:t>
      </w:r>
      <w:r w:rsidR="007C3394">
        <w:t xml:space="preserve">. </w:t>
      </w:r>
      <w:r w:rsidR="00AD66D4">
        <w:rPr>
          <w:lang w:val="uk-UA"/>
        </w:rPr>
        <w:t>Він зазначив, що спосіб, у який апеляційний суд і Федеральний суд витлумачили поняття «умисел на знищення» у зазначеній статті, був передбачуваним</w:t>
      </w:r>
      <w:r w:rsidR="007C3394">
        <w:t>.</w:t>
      </w:r>
      <w:r w:rsidR="000831CD">
        <w:t xml:space="preserve"> </w:t>
      </w:r>
      <w:r w:rsidR="00AD66D4">
        <w:rPr>
          <w:lang w:val="uk-UA"/>
        </w:rPr>
        <w:t xml:space="preserve">Окрім того, таке тлумачення відповідає тлумаченню заборони геноциду у міжнародному публічному праві (в контексті якого і має тлумачитись стаття </w:t>
      </w:r>
      <w:r w:rsidR="00DE7E49">
        <w:t xml:space="preserve">220a </w:t>
      </w:r>
      <w:r w:rsidR="00AD66D4">
        <w:rPr>
          <w:lang w:val="uk-UA"/>
        </w:rPr>
        <w:t xml:space="preserve">Кримінального кодексу), здійсненому </w:t>
      </w:r>
      <w:r w:rsidR="00162079">
        <w:rPr>
          <w:lang w:val="uk-UA"/>
        </w:rPr>
        <w:t>компетентними</w:t>
      </w:r>
      <w:r w:rsidR="00AD66D4">
        <w:rPr>
          <w:lang w:val="uk-UA"/>
        </w:rPr>
        <w:t xml:space="preserve"> трибуналами, кількома вченими</w:t>
      </w:r>
      <w:r w:rsidR="002100A6">
        <w:rPr>
          <w:lang w:val="uk-UA"/>
        </w:rPr>
        <w:t>,</w:t>
      </w:r>
      <w:r w:rsidR="00AD66D4">
        <w:rPr>
          <w:lang w:val="uk-UA"/>
        </w:rPr>
        <w:t xml:space="preserve"> і як</w:t>
      </w:r>
      <w:r w:rsidR="002100A6">
        <w:rPr>
          <w:lang w:val="uk-UA"/>
        </w:rPr>
        <w:t>е</w:t>
      </w:r>
      <w:r w:rsidR="00AD66D4">
        <w:rPr>
          <w:lang w:val="uk-UA"/>
        </w:rPr>
        <w:t xml:space="preserve"> було відображене у практиці ООН, втіленій</w:t>
      </w:r>
      <w:r w:rsidR="007C3394">
        <w:t xml:space="preserve">, </w:t>
      </w:r>
      <w:r w:rsidRPr="00AD0C9E" w:rsidR="007C3394">
        <w:rPr>
          <w:i/>
        </w:rPr>
        <w:t>inter alia</w:t>
      </w:r>
      <w:r w:rsidR="007C3394">
        <w:t xml:space="preserve">, </w:t>
      </w:r>
      <w:r w:rsidR="00AD66D4">
        <w:rPr>
          <w:lang w:val="uk-UA"/>
        </w:rPr>
        <w:t>у резолюції</w:t>
      </w:r>
      <w:r w:rsidR="00761A37">
        <w:rPr>
          <w:lang w:val="uk-UA"/>
        </w:rPr>
        <w:t xml:space="preserve"> </w:t>
      </w:r>
      <w:r w:rsidR="007C3394">
        <w:t xml:space="preserve">47/121 </w:t>
      </w:r>
      <w:r w:rsidR="00AD66D4">
        <w:rPr>
          <w:lang w:val="uk-UA"/>
        </w:rPr>
        <w:t>Генеральної Асамблеї</w:t>
      </w:r>
      <w:r w:rsidR="007C3394">
        <w:t xml:space="preserve"> (</w:t>
      </w:r>
      <w:r w:rsidR="00AD66D4">
        <w:rPr>
          <w:lang w:val="uk-UA"/>
        </w:rPr>
        <w:t>див. нижче параграф</w:t>
      </w:r>
      <w:r w:rsidR="00077EA3">
        <w:t xml:space="preserve"> </w:t>
      </w:r>
      <w:r w:rsidRPr="00E50DA6" w:rsidR="00F024DF">
        <w:t>4</w:t>
      </w:r>
      <w:r w:rsidRPr="00E50DA6" w:rsidR="008C3303">
        <w:t>1</w:t>
      </w:r>
      <w:r w:rsidR="007C3394">
        <w:t>).</w:t>
      </w:r>
    </w:p>
    <w:p w:rsidRPr="000A366C" w:rsidR="007C3394" w:rsidP="007C3394" w:rsidRDefault="007C3394">
      <w:pPr>
        <w:pStyle w:val="JuH1"/>
        <w:rPr>
          <w:lang w:val="uk-UA"/>
        </w:rPr>
      </w:pPr>
      <w:r>
        <w:t>5.  </w:t>
      </w:r>
      <w:r w:rsidR="000A366C">
        <w:rPr>
          <w:lang w:val="uk-UA"/>
        </w:rPr>
        <w:t>Відновлення розгляду справи</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28</w:t>
      </w:r>
      <w:r w:rsidRPr="00B62174">
        <w:fldChar w:fldCharType="end"/>
      </w:r>
      <w:r w:rsidRPr="00B62174">
        <w:t>.  </w:t>
      </w:r>
      <w:r w:rsidR="007C3394">
        <w:t>3</w:t>
      </w:r>
      <w:r w:rsidR="00077EA3">
        <w:t xml:space="preserve"> </w:t>
      </w:r>
      <w:r w:rsidR="000A366C">
        <w:rPr>
          <w:lang w:val="uk-UA"/>
        </w:rPr>
        <w:t>липня</w:t>
      </w:r>
      <w:r w:rsidR="007C3394">
        <w:t xml:space="preserve"> 2002</w:t>
      </w:r>
      <w:r w:rsidR="000A366C">
        <w:rPr>
          <w:lang w:val="uk-UA"/>
        </w:rPr>
        <w:t xml:space="preserve"> року </w:t>
      </w:r>
      <w:r w:rsidR="00162079">
        <w:rPr>
          <w:lang w:val="uk-UA"/>
        </w:rPr>
        <w:t>Дюссельдорфський</w:t>
      </w:r>
      <w:r w:rsidR="000A366C">
        <w:rPr>
          <w:lang w:val="uk-UA"/>
        </w:rPr>
        <w:t xml:space="preserve"> апеляційний суд визнав неприйнятним клопотання заявника про відновлення розгляду справи</w:t>
      </w:r>
      <w:r w:rsidR="007C3394">
        <w:t xml:space="preserve">. </w:t>
      </w:r>
      <w:r w:rsidR="000A366C">
        <w:rPr>
          <w:lang w:val="uk-UA"/>
        </w:rPr>
        <w:t xml:space="preserve">Той факт, що один </w:t>
      </w:r>
      <w:r w:rsidR="002100A6">
        <w:rPr>
          <w:lang w:val="uk-UA"/>
        </w:rPr>
        <w:t>із</w:t>
      </w:r>
      <w:r w:rsidR="000A366C">
        <w:rPr>
          <w:lang w:val="uk-UA"/>
        </w:rPr>
        <w:t xml:space="preserve"> </w:t>
      </w:r>
      <w:r w:rsidR="002100A6">
        <w:rPr>
          <w:lang w:val="uk-UA"/>
        </w:rPr>
        <w:t xml:space="preserve">заслуханих у апеляційному суді </w:t>
      </w:r>
      <w:r w:rsidR="000A366C">
        <w:rPr>
          <w:lang w:val="uk-UA"/>
        </w:rPr>
        <w:t>свідків, котрий був єдиним, хто стверджував, що на власні очі бачив, як заявник убив двадцять дві людини у Грабска, був запідозрений у лжесвідченні, не гарантував відновлення розгляду справи</w:t>
      </w:r>
      <w:r w:rsidR="007C3394">
        <w:t xml:space="preserve">. </w:t>
      </w:r>
      <w:r w:rsidR="000A366C">
        <w:rPr>
          <w:lang w:val="uk-UA"/>
        </w:rPr>
        <w:t xml:space="preserve">Навіть припускаючи, що цей свідок придумав звинувачення проти заявника, його однак слід засудити до довічного </w:t>
      </w:r>
      <w:proofErr w:type="spellStart"/>
      <w:r w:rsidR="000A366C">
        <w:rPr>
          <w:lang w:val="uk-UA"/>
        </w:rPr>
        <w:t>ув</w:t>
      </w:r>
      <w:r w:rsidR="00761A37">
        <w:rPr>
          <w:lang w:val="uk-UA"/>
        </w:rPr>
        <w:t>’</w:t>
      </w:r>
      <w:r w:rsidR="000A366C">
        <w:rPr>
          <w:lang w:val="fr-FR"/>
        </w:rPr>
        <w:t>язнення</w:t>
      </w:r>
      <w:proofErr w:type="spellEnd"/>
      <w:r w:rsidRPr="000A366C" w:rsidR="000A366C">
        <w:t xml:space="preserve"> </w:t>
      </w:r>
      <w:proofErr w:type="spellStart"/>
      <w:r w:rsidR="000A366C">
        <w:rPr>
          <w:lang w:val="fr-FR"/>
        </w:rPr>
        <w:t>за</w:t>
      </w:r>
      <w:proofErr w:type="spellEnd"/>
      <w:r w:rsidRPr="000A366C" w:rsidR="000A366C">
        <w:t xml:space="preserve"> </w:t>
      </w:r>
      <w:proofErr w:type="spellStart"/>
      <w:r w:rsidR="002E749D">
        <w:rPr>
          <w:lang w:val="fr-FR"/>
        </w:rPr>
        <w:t>ген</w:t>
      </w:r>
      <w:proofErr w:type="spellEnd"/>
      <w:r w:rsidR="002E749D">
        <w:rPr>
          <w:lang w:val="uk-UA"/>
        </w:rPr>
        <w:t>о</w:t>
      </w:r>
      <w:proofErr w:type="spellStart"/>
      <w:r w:rsidR="000A366C">
        <w:rPr>
          <w:lang w:val="fr-FR"/>
        </w:rPr>
        <w:t>цид</w:t>
      </w:r>
      <w:proofErr w:type="spellEnd"/>
      <w:r w:rsidRPr="000A366C" w:rsidR="000A366C">
        <w:t xml:space="preserve"> </w:t>
      </w:r>
      <w:r w:rsidR="000A366C">
        <w:rPr>
          <w:lang w:val="fr-FR"/>
        </w:rPr>
        <w:t>і</w:t>
      </w:r>
      <w:r w:rsidRPr="000A366C" w:rsidR="000A366C">
        <w:t xml:space="preserve"> </w:t>
      </w:r>
      <w:r w:rsidR="000A366C">
        <w:rPr>
          <w:lang w:val="fr-FR"/>
        </w:rPr>
        <w:t>вісім</w:t>
      </w:r>
      <w:r w:rsidRPr="000A366C" w:rsidR="000A366C">
        <w:t xml:space="preserve"> </w:t>
      </w:r>
      <w:r w:rsidR="000A366C">
        <w:rPr>
          <w:lang w:val="fr-FR"/>
        </w:rPr>
        <w:t>епізодів</w:t>
      </w:r>
      <w:r w:rsidRPr="000A366C" w:rsidR="000A366C">
        <w:t xml:space="preserve"> </w:t>
      </w:r>
      <w:r w:rsidR="000A366C">
        <w:rPr>
          <w:lang w:val="fr-FR"/>
        </w:rPr>
        <w:t>вбивств</w:t>
      </w:r>
      <w:r w:rsidR="007C3394">
        <w:t>.</w:t>
      </w:r>
    </w:p>
    <w:p w:rsidRPr="00DB3579" w:rsidR="007C3394" w:rsidP="007C3394" w:rsidRDefault="00851381">
      <w:pPr>
        <w:pStyle w:val="JuPara"/>
        <w:rPr>
          <w:lang w:val="uk-UA"/>
        </w:rPr>
      </w:pPr>
      <w:r w:rsidRPr="00B62174">
        <w:fldChar w:fldCharType="begin"/>
      </w:r>
      <w:r w:rsidRPr="00B62174">
        <w:instrText xml:space="preserve"> SEQ level0 \*arabic </w:instrText>
      </w:r>
      <w:r w:rsidRPr="00B62174">
        <w:fldChar w:fldCharType="separate"/>
      </w:r>
      <w:r w:rsidR="00142C04">
        <w:rPr>
          <w:noProof/>
        </w:rPr>
        <w:t>29</w:t>
      </w:r>
      <w:r w:rsidRPr="00B62174">
        <w:fldChar w:fldCharType="end"/>
      </w:r>
      <w:r w:rsidRPr="00B62174">
        <w:t>.  </w:t>
      </w:r>
      <w:r w:rsidR="007C3394">
        <w:t>20</w:t>
      </w:r>
      <w:r w:rsidR="00077EA3">
        <w:t xml:space="preserve"> </w:t>
      </w:r>
      <w:r w:rsidR="0032332F">
        <w:rPr>
          <w:lang w:val="uk-UA"/>
        </w:rPr>
        <w:t>грудня</w:t>
      </w:r>
      <w:r w:rsidR="007C3394">
        <w:t xml:space="preserve"> 2002</w:t>
      </w:r>
      <w:r w:rsidR="0032332F">
        <w:rPr>
          <w:lang w:val="uk-UA"/>
        </w:rPr>
        <w:t xml:space="preserve"> року</w:t>
      </w:r>
      <w:r w:rsidR="007C3394">
        <w:t xml:space="preserve"> (</w:t>
      </w:r>
      <w:r w:rsidR="0032332F">
        <w:rPr>
          <w:lang w:val="uk-UA"/>
        </w:rPr>
        <w:t>рішення надане заявнику</w:t>
      </w:r>
      <w:r w:rsidR="007C3394">
        <w:t xml:space="preserve"> 28</w:t>
      </w:r>
      <w:r w:rsidR="00077EA3">
        <w:t xml:space="preserve"> </w:t>
      </w:r>
      <w:r w:rsidR="0032332F">
        <w:rPr>
          <w:lang w:val="uk-UA"/>
        </w:rPr>
        <w:t>січня</w:t>
      </w:r>
      <w:r w:rsidR="007C3394">
        <w:t xml:space="preserve"> 2003</w:t>
      </w:r>
      <w:r w:rsidR="0032332F">
        <w:rPr>
          <w:lang w:val="uk-UA"/>
        </w:rPr>
        <w:t xml:space="preserve"> року</w:t>
      </w:r>
      <w:r w:rsidR="007C3394">
        <w:t xml:space="preserve">) </w:t>
      </w:r>
      <w:r w:rsidR="0032332F">
        <w:rPr>
          <w:lang w:val="uk-UA"/>
        </w:rPr>
        <w:t>Федеральний суд оголосив прийнятним клопотання заявника про відновлення розгляду стосовно вбивства двадцяти двох людей у Грабска</w:t>
      </w:r>
      <w:r w:rsidR="007C3394">
        <w:t>.</w:t>
      </w:r>
      <w:r w:rsidR="0032332F">
        <w:rPr>
          <w:lang w:val="uk-UA"/>
        </w:rPr>
        <w:t xml:space="preserve"> Він зауважив, </w:t>
      </w:r>
      <w:r w:rsidRPr="00DB3579" w:rsidR="0032332F">
        <w:rPr>
          <w:lang w:val="uk-UA"/>
        </w:rPr>
        <w:t>що</w:t>
      </w:r>
      <w:r w:rsidRPr="00DB3579" w:rsidR="002E749D">
        <w:rPr>
          <w:lang w:val="uk-UA"/>
        </w:rPr>
        <w:t>,</w:t>
      </w:r>
      <w:r w:rsidRPr="00DB3579" w:rsidR="0032332F">
        <w:rPr>
          <w:lang w:val="uk-UA"/>
        </w:rPr>
        <w:t xml:space="preserve"> навіть якщо вирок заявника щодо вбивства двадцяти двох людей буде скасовано, визнання його винним у геноциді і восьми епізодах вбивств, а отже і довічне ув</w:t>
      </w:r>
      <w:r w:rsidR="00761A37">
        <w:rPr>
          <w:lang w:val="uk-UA"/>
        </w:rPr>
        <w:t>’</w:t>
      </w:r>
      <w:r w:rsidRPr="00DB3579" w:rsidR="0032332F">
        <w:rPr>
          <w:lang w:val="uk-UA"/>
        </w:rPr>
        <w:t>язнення</w:t>
      </w:r>
      <w:r w:rsidRPr="00DB3579" w:rsidR="005F48D6">
        <w:rPr>
          <w:lang w:val="uk-UA"/>
        </w:rPr>
        <w:t>, включаючи встановлення особливої тяжкості вини, залишаться незмінними</w:t>
      </w:r>
      <w:r w:rsidRPr="00DB3579" w:rsidR="007C3394">
        <w:rPr>
          <w:lang w:val="uk-UA"/>
        </w:rPr>
        <w:t>.</w:t>
      </w:r>
    </w:p>
    <w:p w:rsidRPr="00DB3579" w:rsidR="007C3394" w:rsidP="007C3394" w:rsidRDefault="00851381">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30</w:t>
      </w:r>
      <w:r w:rsidRPr="00DB3579">
        <w:fldChar w:fldCharType="end"/>
      </w:r>
      <w:r w:rsidRPr="00DB3579">
        <w:rPr>
          <w:lang w:val="uk-UA"/>
        </w:rPr>
        <w:t>.</w:t>
      </w:r>
      <w:r w:rsidRPr="00DB3579">
        <w:t>  </w:t>
      </w:r>
      <w:r w:rsidRPr="00DB3579" w:rsidR="005F48D6">
        <w:rPr>
          <w:lang w:val="uk-UA"/>
        </w:rPr>
        <w:t>У конституційній скарзі від</w:t>
      </w:r>
      <w:r w:rsidRPr="00DB3579" w:rsidR="007C3394">
        <w:rPr>
          <w:lang w:val="uk-UA"/>
        </w:rPr>
        <w:t xml:space="preserve"> 28</w:t>
      </w:r>
      <w:r w:rsidRPr="00DB3579" w:rsidR="00077EA3">
        <w:rPr>
          <w:lang w:val="uk-UA"/>
        </w:rPr>
        <w:t xml:space="preserve"> </w:t>
      </w:r>
      <w:r w:rsidRPr="00DB3579" w:rsidR="005F48D6">
        <w:rPr>
          <w:lang w:val="uk-UA"/>
        </w:rPr>
        <w:t>лютого</w:t>
      </w:r>
      <w:r w:rsidRPr="00DB3579" w:rsidR="007C3394">
        <w:rPr>
          <w:lang w:val="uk-UA"/>
        </w:rPr>
        <w:t xml:space="preserve"> 2003</w:t>
      </w:r>
      <w:r w:rsidRPr="00DB3579" w:rsidR="005F48D6">
        <w:rPr>
          <w:lang w:val="uk-UA"/>
        </w:rPr>
        <w:t xml:space="preserve"> року заявник скаржився</w:t>
      </w:r>
      <w:r w:rsidRPr="00DB3579" w:rsidR="00AC1C5D">
        <w:rPr>
          <w:lang w:val="uk-UA"/>
        </w:rPr>
        <w:t>,</w:t>
      </w:r>
      <w:r w:rsidRPr="00DB3579" w:rsidR="005F48D6">
        <w:rPr>
          <w:lang w:val="uk-UA"/>
        </w:rPr>
        <w:t xml:space="preserve"> що ухвали </w:t>
      </w:r>
      <w:r w:rsidRPr="00DB3579" w:rsidR="00162079">
        <w:rPr>
          <w:lang w:val="uk-UA"/>
        </w:rPr>
        <w:t>Дюссельдорфського</w:t>
      </w:r>
      <w:r w:rsidRPr="00DB3579" w:rsidR="005F48D6">
        <w:rPr>
          <w:lang w:val="uk-UA"/>
        </w:rPr>
        <w:t xml:space="preserve"> апеляційного суду і Федерального суду</w:t>
      </w:r>
      <w:r w:rsidRPr="00DB3579" w:rsidR="002E749D">
        <w:rPr>
          <w:lang w:val="uk-UA"/>
        </w:rPr>
        <w:t>,</w:t>
      </w:r>
      <w:r w:rsidRPr="00DB3579" w:rsidR="005F48D6">
        <w:rPr>
          <w:lang w:val="uk-UA"/>
        </w:rPr>
        <w:t xml:space="preserve"> стосовно відновлення розгляду справи</w:t>
      </w:r>
      <w:r w:rsidRPr="00DB3579" w:rsidR="002E749D">
        <w:rPr>
          <w:lang w:val="uk-UA"/>
        </w:rPr>
        <w:t>,</w:t>
      </w:r>
      <w:r w:rsidRPr="00DB3579" w:rsidR="005F48D6">
        <w:rPr>
          <w:lang w:val="uk-UA"/>
        </w:rPr>
        <w:t xml:space="preserve"> порушували його право на свободу, гарантоване Основним Законом</w:t>
      </w:r>
      <w:r w:rsidRPr="00DB3579" w:rsidR="007C3394">
        <w:rPr>
          <w:lang w:val="uk-UA"/>
        </w:rPr>
        <w:t>.</w:t>
      </w:r>
      <w:r w:rsidRPr="00DB3579" w:rsidR="005F48D6">
        <w:rPr>
          <w:lang w:val="uk-UA"/>
        </w:rPr>
        <w:t xml:space="preserve"> Він стверджував, що суди помилялись у висновку,</w:t>
      </w:r>
      <w:r w:rsidRPr="00DB3579" w:rsidR="007C3394">
        <w:rPr>
          <w:lang w:val="uk-UA"/>
        </w:rPr>
        <w:t xml:space="preserve"> </w:t>
      </w:r>
      <w:r w:rsidRPr="00DB3579" w:rsidR="005F48D6">
        <w:rPr>
          <w:lang w:val="uk-UA"/>
        </w:rPr>
        <w:t>що</w:t>
      </w:r>
      <w:r w:rsidRPr="00DB3579" w:rsidR="002E749D">
        <w:rPr>
          <w:lang w:val="uk-UA"/>
        </w:rPr>
        <w:t>,</w:t>
      </w:r>
      <w:r w:rsidRPr="00DB3579" w:rsidR="005F48D6">
        <w:rPr>
          <w:lang w:val="uk-UA"/>
        </w:rPr>
        <w:t xml:space="preserve"> під час відновлення розгляду</w:t>
      </w:r>
      <w:r w:rsidRPr="00DB3579" w:rsidR="002E749D">
        <w:rPr>
          <w:lang w:val="uk-UA"/>
        </w:rPr>
        <w:t>,</w:t>
      </w:r>
      <w:r w:rsidRPr="00DB3579" w:rsidR="00DB3579">
        <w:rPr>
          <w:lang w:val="uk-UA"/>
        </w:rPr>
        <w:t xml:space="preserve"> </w:t>
      </w:r>
      <w:r w:rsidRPr="00DB3579" w:rsidR="005F48D6">
        <w:rPr>
          <w:lang w:val="uk-UA"/>
        </w:rPr>
        <w:t xml:space="preserve">питання про </w:t>
      </w:r>
      <w:r w:rsidRPr="00DB3579" w:rsidR="00162079">
        <w:rPr>
          <w:lang w:val="uk-UA"/>
        </w:rPr>
        <w:t>особливу тяжкість</w:t>
      </w:r>
      <w:r w:rsidRPr="00DB3579" w:rsidR="005F48D6">
        <w:rPr>
          <w:lang w:val="uk-UA"/>
        </w:rPr>
        <w:t xml:space="preserve"> вини не повинне заново розглядатись</w:t>
      </w:r>
      <w:r w:rsidRPr="00DB3579" w:rsidR="007C3394">
        <w:rPr>
          <w:lang w:val="uk-UA"/>
        </w:rPr>
        <w:t>.</w:t>
      </w:r>
    </w:p>
    <w:p w:rsidRPr="00DB3579" w:rsidR="007C3394" w:rsidP="007C3394" w:rsidRDefault="00851381">
      <w:pPr>
        <w:pStyle w:val="JuPara"/>
      </w:pPr>
      <w:r w:rsidRPr="00DB3579">
        <w:fldChar w:fldCharType="begin"/>
      </w:r>
      <w:r w:rsidRPr="00DB3579">
        <w:instrText xml:space="preserve"> SEQ level0 \*arabic </w:instrText>
      </w:r>
      <w:r w:rsidRPr="00DB3579">
        <w:fldChar w:fldCharType="separate"/>
      </w:r>
      <w:r w:rsidRPr="00DB3579" w:rsidR="00142C04">
        <w:rPr>
          <w:noProof/>
        </w:rPr>
        <w:t>31</w:t>
      </w:r>
      <w:r w:rsidRPr="00DB3579">
        <w:fldChar w:fldCharType="end"/>
      </w:r>
      <w:r w:rsidRPr="00DB3579">
        <w:t>.  </w:t>
      </w:r>
      <w:r w:rsidRPr="00DB3579" w:rsidR="007C3394">
        <w:t>22</w:t>
      </w:r>
      <w:r w:rsidRPr="00DB3579" w:rsidR="00077EA3">
        <w:t xml:space="preserve"> </w:t>
      </w:r>
      <w:r w:rsidRPr="00DB3579" w:rsidR="005F48D6">
        <w:rPr>
          <w:lang w:val="uk-UA"/>
        </w:rPr>
        <w:t>квітня</w:t>
      </w:r>
      <w:r w:rsidRPr="00DB3579" w:rsidR="007C3394">
        <w:t xml:space="preserve"> 2003 </w:t>
      </w:r>
      <w:r w:rsidRPr="00DB3579" w:rsidR="005F48D6">
        <w:rPr>
          <w:lang w:val="uk-UA"/>
        </w:rPr>
        <w:t>року Федеральний Конституційний суд відмовився розглядати конституційну скаргу заявника</w:t>
      </w:r>
      <w:r w:rsidRPr="00DB3579" w:rsidR="007C3394">
        <w:t>.</w:t>
      </w:r>
    </w:p>
    <w:p w:rsidRPr="005F48D6" w:rsidR="007C3394" w:rsidP="007C3394" w:rsidRDefault="00851381">
      <w:pPr>
        <w:pStyle w:val="JuPara"/>
        <w:rPr>
          <w:lang w:val="uk-UA"/>
        </w:rPr>
      </w:pPr>
      <w:r w:rsidRPr="00DB3579">
        <w:fldChar w:fldCharType="begin"/>
      </w:r>
      <w:r w:rsidRPr="00DB3579">
        <w:instrText xml:space="preserve"> SEQ level0 \*arabic </w:instrText>
      </w:r>
      <w:r w:rsidRPr="00DB3579">
        <w:fldChar w:fldCharType="separate"/>
      </w:r>
      <w:r w:rsidRPr="00DB3579" w:rsidR="00142C04">
        <w:rPr>
          <w:noProof/>
        </w:rPr>
        <w:t>32</w:t>
      </w:r>
      <w:r w:rsidRPr="00DB3579">
        <w:fldChar w:fldCharType="end"/>
      </w:r>
      <w:r w:rsidRPr="00DB3579">
        <w:t>.  </w:t>
      </w:r>
      <w:r w:rsidRPr="00DB3579" w:rsidR="007C3394">
        <w:t>21</w:t>
      </w:r>
      <w:r w:rsidRPr="00DB3579" w:rsidR="00077EA3">
        <w:t xml:space="preserve"> </w:t>
      </w:r>
      <w:r w:rsidRPr="00DB3579" w:rsidR="005F48D6">
        <w:rPr>
          <w:lang w:val="uk-UA"/>
        </w:rPr>
        <w:t>червня</w:t>
      </w:r>
      <w:r w:rsidRPr="00DB3579" w:rsidR="007C3394">
        <w:t xml:space="preserve"> 2004 </w:t>
      </w:r>
      <w:r w:rsidRPr="00DB3579" w:rsidR="005F48D6">
        <w:rPr>
          <w:lang w:val="uk-UA"/>
        </w:rPr>
        <w:t>року Дюсельдорфський апеляційний суд вирішив відновити розгляд справи стосовно визнання заявника винним у вбивстві двадцяти двох людей у Грабска</w:t>
      </w:r>
      <w:r w:rsidRPr="00DB3579" w:rsidR="007C3394">
        <w:t xml:space="preserve">. </w:t>
      </w:r>
      <w:r w:rsidRPr="00DB3579" w:rsidR="005F48D6">
        <w:rPr>
          <w:lang w:val="uk-UA"/>
        </w:rPr>
        <w:t xml:space="preserve">Він встановив, </w:t>
      </w:r>
      <w:r w:rsidRPr="00DB3579" w:rsidR="00D17397">
        <w:rPr>
          <w:lang w:val="uk-UA"/>
        </w:rPr>
        <w:t xml:space="preserve">що </w:t>
      </w:r>
      <w:r w:rsidRPr="00DB3579" w:rsidR="005F48D6">
        <w:rPr>
          <w:lang w:val="uk-UA"/>
        </w:rPr>
        <w:t>єдина особа, яка стверджувала, що на власні очі бачила, як заявник убив двадцять дві людини, був визнаний винним у лжесвідченні</w:t>
      </w:r>
      <w:r w:rsidRPr="00DB3579" w:rsidR="002E749D">
        <w:rPr>
          <w:lang w:val="uk-UA"/>
        </w:rPr>
        <w:t>,</w:t>
      </w:r>
      <w:r w:rsidRPr="00DB3579" w:rsidR="005F48D6">
        <w:rPr>
          <w:lang w:val="uk-UA"/>
        </w:rPr>
        <w:t xml:space="preserve"> принаймні</w:t>
      </w:r>
      <w:r w:rsidR="005F48D6">
        <w:rPr>
          <w:lang w:val="uk-UA"/>
        </w:rPr>
        <w:t xml:space="preserve"> стосовно інших свідчень</w:t>
      </w:r>
      <w:r w:rsidR="007C3394">
        <w:t xml:space="preserve">. </w:t>
      </w:r>
      <w:r w:rsidR="005F48D6">
        <w:rPr>
          <w:lang w:val="uk-UA"/>
        </w:rPr>
        <w:t>Отже, не можна виключати можливість, що судді, які тоді розглядали справу, виправдали б заявника за цим обвинуваченням, якби знали, що покази цього свідка неправдиві</w:t>
      </w:r>
      <w:r w:rsidRPr="005F48D6" w:rsidR="007C3394">
        <w:rPr>
          <w:lang w:val="uk-UA"/>
        </w:rPr>
        <w:t>.</w:t>
      </w:r>
    </w:p>
    <w:p w:rsidRPr="00EC5CA0" w:rsidR="007C3394" w:rsidP="007C3394" w:rsidRDefault="00851381">
      <w:pPr>
        <w:pStyle w:val="JuPara"/>
        <w:rPr>
          <w:lang w:val="uk-UA"/>
        </w:rPr>
      </w:pPr>
      <w:r w:rsidRPr="00B62174">
        <w:fldChar w:fldCharType="begin"/>
      </w:r>
      <w:r w:rsidRPr="00B62174">
        <w:instrText xml:space="preserve"> SEQ level0 \*arabic </w:instrText>
      </w:r>
      <w:r w:rsidRPr="00B62174">
        <w:fldChar w:fldCharType="separate"/>
      </w:r>
      <w:r w:rsidR="00142C04">
        <w:rPr>
          <w:noProof/>
        </w:rPr>
        <w:t>33</w:t>
      </w:r>
      <w:r w:rsidRPr="00B62174">
        <w:fldChar w:fldCharType="end"/>
      </w:r>
      <w:r w:rsidRPr="00B62174">
        <w:t>.  </w:t>
      </w:r>
      <w:r w:rsidR="00EC5CA0">
        <w:rPr>
          <w:lang w:val="uk-UA"/>
        </w:rPr>
        <w:t xml:space="preserve">Задовольнивши клопотання заявника про відновлення розгляду справи, </w:t>
      </w:r>
      <w:r w:rsidR="00162079">
        <w:rPr>
          <w:lang w:val="uk-UA"/>
        </w:rPr>
        <w:t>Дюссельдорфський</w:t>
      </w:r>
      <w:r w:rsidR="00EC5CA0">
        <w:rPr>
          <w:lang w:val="uk-UA"/>
        </w:rPr>
        <w:t xml:space="preserve"> апеляційний суд закрив провадження</w:t>
      </w:r>
      <w:r w:rsidR="00264C4B">
        <w:t>.</w:t>
      </w:r>
      <w:r w:rsidR="00EC5CA0">
        <w:rPr>
          <w:lang w:val="uk-UA"/>
        </w:rPr>
        <w:t xml:space="preserve"> Він стверджував, що вирок, який мав би бути винесений заявнику, якби його знову визнали винним у вбивстві двадцяти двох людей у Грабска, не був би значно суворішим, ніж вирок, який вже винесений йому і набув законної сили щодо геноциду</w:t>
      </w:r>
      <w:r w:rsidRPr="00EC5CA0" w:rsidR="007C3394">
        <w:rPr>
          <w:lang w:val="uk-UA"/>
        </w:rPr>
        <w:t>.</w:t>
      </w:r>
      <w:r w:rsidR="00EC5CA0">
        <w:rPr>
          <w:lang w:val="uk-UA"/>
        </w:rPr>
        <w:t xml:space="preserve"> Відповідно, вирок Дюсельдорфського апеляційного суду від</w:t>
      </w:r>
      <w:r w:rsidRPr="00EC5CA0" w:rsidR="007C3394">
        <w:rPr>
          <w:lang w:val="uk-UA"/>
        </w:rPr>
        <w:t xml:space="preserve"> 26</w:t>
      </w:r>
      <w:r w:rsidRPr="00EC5CA0" w:rsidR="00077EA3">
        <w:rPr>
          <w:lang w:val="uk-UA"/>
        </w:rPr>
        <w:t xml:space="preserve"> </w:t>
      </w:r>
      <w:r w:rsidR="00EC5CA0">
        <w:rPr>
          <w:lang w:val="uk-UA"/>
        </w:rPr>
        <w:t>вересня</w:t>
      </w:r>
      <w:r w:rsidRPr="00EC5CA0" w:rsidR="007C3394">
        <w:rPr>
          <w:lang w:val="uk-UA"/>
        </w:rPr>
        <w:t xml:space="preserve"> 1997</w:t>
      </w:r>
      <w:r w:rsidR="00EC5CA0">
        <w:rPr>
          <w:lang w:val="uk-UA"/>
        </w:rPr>
        <w:t xml:space="preserve"> року залишився остаточним щодо визнання заявника винним у геноциді і</w:t>
      </w:r>
      <w:r w:rsidR="00761A37">
        <w:rPr>
          <w:lang w:val="uk-UA"/>
        </w:rPr>
        <w:t xml:space="preserve"> </w:t>
      </w:r>
      <w:r w:rsidR="00EC5CA0">
        <w:rPr>
          <w:lang w:val="uk-UA"/>
        </w:rPr>
        <w:t>восьми епізодах вбивств, включаючи встановлення особливої тяжкості вини</w:t>
      </w:r>
      <w:r w:rsidRPr="00EC5CA0" w:rsidR="007C3394">
        <w:rPr>
          <w:lang w:val="uk-UA"/>
        </w:rPr>
        <w:t>.</w:t>
      </w:r>
    </w:p>
    <w:p w:rsidR="00761A37" w:rsidP="00936D2F" w:rsidRDefault="00936D2F">
      <w:pPr>
        <w:pStyle w:val="JuHIRoman"/>
        <w:rPr>
          <w:lang w:val="uk-UA"/>
        </w:rPr>
      </w:pPr>
      <w:r>
        <w:t>II</w:t>
      </w:r>
      <w:r w:rsidRPr="0019642B" w:rsidR="007C3394">
        <w:t>.  </w:t>
      </w:r>
      <w:r w:rsidR="000A1165">
        <w:rPr>
          <w:lang w:val="uk-UA"/>
        </w:rPr>
        <w:t>ВІДПОВІДНЕ НАЦІОНАЛЬНЕ І МІЖНАРОДНЕ ПУБЛІЧНЕ ПРАВО І ПРАКТИКА</w:t>
      </w:r>
    </w:p>
    <w:p w:rsidR="007C3394" w:rsidP="007C3394" w:rsidRDefault="007C3394">
      <w:pPr>
        <w:pStyle w:val="JuH1"/>
      </w:pPr>
      <w:r>
        <w:t>1.  </w:t>
      </w:r>
      <w:r w:rsidR="000A1165">
        <w:rPr>
          <w:lang w:val="uk-UA"/>
        </w:rPr>
        <w:t>Кримінальний кодекс</w:t>
      </w:r>
    </w:p>
    <w:p w:rsidRPr="00761A37" w:rsidR="007F0314" w:rsidP="007C3394" w:rsidRDefault="00851381">
      <w:pPr>
        <w:pStyle w:val="JuPara"/>
        <w:rPr>
          <w:lang w:val="ru-RU"/>
        </w:rPr>
      </w:pPr>
      <w:r w:rsidRPr="00B62174">
        <w:fldChar w:fldCharType="begin"/>
      </w:r>
      <w:r w:rsidRPr="00761A37">
        <w:rPr>
          <w:lang w:val="ru-RU"/>
        </w:rPr>
        <w:instrText xml:space="preserve"> </w:instrText>
      </w:r>
      <w:r w:rsidRPr="00B62174">
        <w:instrText>SEQ</w:instrText>
      </w:r>
      <w:r w:rsidRPr="00761A37">
        <w:rPr>
          <w:lang w:val="ru-RU"/>
        </w:rPr>
        <w:instrText xml:space="preserve"> </w:instrText>
      </w:r>
      <w:r w:rsidRPr="00B62174">
        <w:instrText>level</w:instrText>
      </w:r>
      <w:r w:rsidRPr="00761A37">
        <w:rPr>
          <w:lang w:val="ru-RU"/>
        </w:rPr>
        <w:instrText>0 \*</w:instrText>
      </w:r>
      <w:r w:rsidRPr="00B62174">
        <w:instrText>arabic</w:instrText>
      </w:r>
      <w:r w:rsidRPr="00761A37">
        <w:rPr>
          <w:lang w:val="ru-RU"/>
        </w:rPr>
        <w:instrText xml:space="preserve"> </w:instrText>
      </w:r>
      <w:r w:rsidRPr="00B62174">
        <w:fldChar w:fldCharType="separate"/>
      </w:r>
      <w:r w:rsidRPr="00761A37" w:rsidR="00142C04">
        <w:rPr>
          <w:noProof/>
          <w:lang w:val="ru-RU"/>
        </w:rPr>
        <w:t>34</w:t>
      </w:r>
      <w:r w:rsidRPr="00B62174">
        <w:fldChar w:fldCharType="end"/>
      </w:r>
      <w:r w:rsidRPr="00761A37">
        <w:rPr>
          <w:lang w:val="ru-RU"/>
        </w:rPr>
        <w:t>.</w:t>
      </w:r>
      <w:r w:rsidRPr="00B62174">
        <w:t>  </w:t>
      </w:r>
      <w:r w:rsidR="00162079">
        <w:rPr>
          <w:lang w:val="uk-UA"/>
        </w:rPr>
        <w:t>Відповідні</w:t>
      </w:r>
      <w:r w:rsidR="000A1165">
        <w:rPr>
          <w:lang w:val="uk-UA"/>
        </w:rPr>
        <w:t xml:space="preserve"> положення Кримінального кодексу, у чинній на час подій редакції, стосовно юрисдикції німецьких судів, злочин геноциду і</w:t>
      </w:r>
      <w:r w:rsidR="00761A37">
        <w:rPr>
          <w:lang w:val="uk-UA"/>
        </w:rPr>
        <w:t xml:space="preserve"> </w:t>
      </w:r>
      <w:r w:rsidR="000A1165">
        <w:rPr>
          <w:lang w:val="uk-UA"/>
        </w:rPr>
        <w:t>тяжкості вини</w:t>
      </w:r>
      <w:r w:rsidRPr="00761A37" w:rsidR="000A1165">
        <w:rPr>
          <w:lang w:val="ru-RU"/>
        </w:rPr>
        <w:t xml:space="preserve"> </w:t>
      </w:r>
      <w:r w:rsidR="000A1165">
        <w:rPr>
          <w:lang w:val="uk-UA"/>
        </w:rPr>
        <w:t>звучали так</w:t>
      </w:r>
      <w:r w:rsidRPr="00761A37" w:rsidR="007C3394">
        <w:rPr>
          <w:lang w:val="ru-RU"/>
        </w:rPr>
        <w:t>:</w:t>
      </w:r>
    </w:p>
    <w:p w:rsidRPr="00761A37" w:rsidR="007C3394" w:rsidP="007C3394" w:rsidRDefault="007C3394">
      <w:pPr>
        <w:pStyle w:val="JuPara"/>
        <w:rPr>
          <w:sz w:val="16"/>
          <w:szCs w:val="16"/>
          <w:lang w:val="ru-RU"/>
        </w:rPr>
      </w:pPr>
    </w:p>
    <w:p w:rsidR="00761A37" w:rsidP="00AC1C5D" w:rsidRDefault="000A1165">
      <w:pPr>
        <w:pStyle w:val="JuHArticle"/>
        <w:rPr>
          <w:lang w:val="uk-UA"/>
        </w:rPr>
      </w:pPr>
      <w:r>
        <w:rPr>
          <w:lang w:val="uk-UA"/>
        </w:rPr>
        <w:t>Стаття</w:t>
      </w:r>
      <w:r w:rsidR="00077EA3">
        <w:t xml:space="preserve"> </w:t>
      </w:r>
      <w:r w:rsidRPr="00075C5A" w:rsidR="007C3394">
        <w:t>6</w:t>
      </w:r>
      <w:r w:rsidR="00AC1C5D">
        <w:br/>
      </w:r>
      <w:r w:rsidR="00630C7E">
        <w:rPr>
          <w:lang w:val="uk-UA"/>
        </w:rPr>
        <w:t>Діяння, скоєн</w:t>
      </w:r>
      <w:r w:rsidR="002E749D">
        <w:rPr>
          <w:lang w:val="uk-UA"/>
        </w:rPr>
        <w:t xml:space="preserve">і </w:t>
      </w:r>
      <w:r w:rsidRPr="00DB3579" w:rsidR="002E749D">
        <w:rPr>
          <w:lang w:val="uk-UA"/>
        </w:rPr>
        <w:t>за</w:t>
      </w:r>
      <w:r w:rsidRPr="00DB3579" w:rsidR="00DB3579">
        <w:t xml:space="preserve"> </w:t>
      </w:r>
      <w:r w:rsidRPr="00DB3579" w:rsidR="00630C7E">
        <w:rPr>
          <w:lang w:val="uk-UA"/>
        </w:rPr>
        <w:t>кордоном проти законних інтересів, захищених міжнародним правом</w:t>
      </w:r>
    </w:p>
    <w:p w:rsidRPr="00761A37" w:rsidR="00F7169D" w:rsidP="007C3394" w:rsidRDefault="007C3394">
      <w:pPr>
        <w:pStyle w:val="JuQuot"/>
        <w:rPr>
          <w:lang w:val="ru-RU"/>
        </w:rPr>
      </w:pPr>
      <w:bookmarkStart w:name="6" w:id="3"/>
      <w:bookmarkEnd w:id="3"/>
      <w:r w:rsidRPr="00761A37">
        <w:rPr>
          <w:lang w:val="ru-RU"/>
        </w:rPr>
        <w:t>“</w:t>
      </w:r>
      <w:r w:rsidRPr="00DB3579" w:rsidR="00630C7E">
        <w:rPr>
          <w:lang w:val="uk-UA"/>
        </w:rPr>
        <w:t xml:space="preserve">Німецький кримінальний закон також застосовується, незважаючи на закон, який застосовується у місці їх скоєння, </w:t>
      </w:r>
      <w:r w:rsidRPr="00DB3579" w:rsidR="002E749D">
        <w:rPr>
          <w:lang w:val="uk-UA"/>
        </w:rPr>
        <w:t>до наступних діянь, скоєних за</w:t>
      </w:r>
      <w:r w:rsidRPr="00761A37" w:rsidR="00DB3579">
        <w:rPr>
          <w:lang w:val="ru-RU"/>
        </w:rPr>
        <w:t xml:space="preserve"> </w:t>
      </w:r>
      <w:r w:rsidRPr="00DB3579" w:rsidR="00BA77B5">
        <w:rPr>
          <w:lang w:val="uk-UA"/>
        </w:rPr>
        <w:t>кордоном</w:t>
      </w:r>
      <w:r w:rsidRPr="00761A37">
        <w:rPr>
          <w:lang w:val="ru-RU"/>
        </w:rPr>
        <w:t>:</w:t>
      </w:r>
    </w:p>
    <w:p w:rsidRPr="00DB3579" w:rsidR="00FD01BD" w:rsidP="007C3394" w:rsidRDefault="007C3394">
      <w:pPr>
        <w:pStyle w:val="JuQuot"/>
      </w:pPr>
      <w:r w:rsidRPr="00DB3579">
        <w:t>1.  </w:t>
      </w:r>
      <w:r w:rsidRPr="00DB3579" w:rsidR="00BA77B5">
        <w:rPr>
          <w:lang w:val="uk-UA"/>
        </w:rPr>
        <w:t>геноцид</w:t>
      </w:r>
      <w:r w:rsidRPr="00DB3579" w:rsidR="008150DD">
        <w:t xml:space="preserve"> (</w:t>
      </w:r>
      <w:r w:rsidRPr="00DB3579" w:rsidR="00BA77B5">
        <w:rPr>
          <w:lang w:val="uk-UA"/>
        </w:rPr>
        <w:t>стаття</w:t>
      </w:r>
      <w:r w:rsidRPr="00DB3579" w:rsidR="00077EA3">
        <w:t xml:space="preserve"> </w:t>
      </w:r>
      <w:r w:rsidRPr="00DB3579">
        <w:t>220a);</w:t>
      </w:r>
    </w:p>
    <w:p w:rsidRPr="00DB3579" w:rsidR="007C3394" w:rsidP="007C3394" w:rsidRDefault="00910E44">
      <w:pPr>
        <w:pStyle w:val="JuQuot"/>
      </w:pPr>
      <w:r w:rsidRPr="00DB3579">
        <w:t>...</w:t>
      </w:r>
      <w:r w:rsidRPr="00DB3579" w:rsidR="00543046">
        <w:t>”</w:t>
      </w:r>
    </w:p>
    <w:p w:rsidRPr="00DB3579" w:rsidR="0097017E" w:rsidP="00AC1C5D" w:rsidRDefault="00BA77B5">
      <w:pPr>
        <w:pStyle w:val="JuHArticle"/>
      </w:pPr>
      <w:r w:rsidRPr="00DB3579">
        <w:rPr>
          <w:lang w:val="uk-UA"/>
        </w:rPr>
        <w:t>Стаття</w:t>
      </w:r>
      <w:r w:rsidRPr="00DB3579" w:rsidR="00077EA3">
        <w:t xml:space="preserve"> </w:t>
      </w:r>
      <w:r w:rsidRPr="00DB3579" w:rsidR="0097017E">
        <w:t>7</w:t>
      </w:r>
      <w:r w:rsidRPr="00DB3579" w:rsidR="00AC1C5D">
        <w:br/>
      </w:r>
      <w:r w:rsidRPr="00DB3579">
        <w:rPr>
          <w:lang w:val="uk-UA"/>
        </w:rPr>
        <w:t>Інші випадки за</w:t>
      </w:r>
      <w:r w:rsidRPr="00DB3579" w:rsidR="002E749D">
        <w:rPr>
          <w:lang w:val="uk-UA"/>
        </w:rPr>
        <w:t>стосування до діянь, скоєних за</w:t>
      </w:r>
      <w:r w:rsidRPr="00DB3579">
        <w:rPr>
          <w:lang w:val="uk-UA"/>
        </w:rPr>
        <w:t>кордоном</w:t>
      </w:r>
    </w:p>
    <w:p w:rsidRPr="00DB3579" w:rsidR="0097017E" w:rsidP="0097017E" w:rsidRDefault="00721944">
      <w:pPr>
        <w:pStyle w:val="JuQuot"/>
      </w:pPr>
      <w:r w:rsidRPr="00DB3579">
        <w:t>“</w:t>
      </w:r>
      <w:r w:rsidRPr="00DB3579" w:rsidR="00AC1C5D">
        <w:t>1.  </w:t>
      </w:r>
      <w:r w:rsidRPr="00DB3579" w:rsidR="00910E44">
        <w:t>...</w:t>
      </w:r>
    </w:p>
    <w:p w:rsidR="00761A37" w:rsidP="0097017E" w:rsidRDefault="00AC1C5D">
      <w:pPr>
        <w:pStyle w:val="JuQuot"/>
        <w:rPr>
          <w:lang w:val="uk-UA"/>
        </w:rPr>
      </w:pPr>
      <w:r w:rsidRPr="00DB3579">
        <w:t>2.</w:t>
      </w:r>
      <w:r w:rsidRPr="00DB3579" w:rsidR="0097017E">
        <w:t>  </w:t>
      </w:r>
      <w:r w:rsidRPr="00DB3579" w:rsidR="00BA77B5">
        <w:rPr>
          <w:lang w:val="uk-UA"/>
        </w:rPr>
        <w:t>Німецький кримінальний закон також застосовується</w:t>
      </w:r>
      <w:r w:rsidRPr="00DB3579" w:rsidR="00BA77B5">
        <w:t xml:space="preserve"> </w:t>
      </w:r>
      <w:r w:rsidRPr="00DB3579" w:rsidR="002E749D">
        <w:rPr>
          <w:lang w:val="uk-UA"/>
        </w:rPr>
        <w:t>до інших злочинів, скоєних за</w:t>
      </w:r>
      <w:r w:rsidRPr="00DB3579" w:rsidR="00DB3579">
        <w:t xml:space="preserve"> </w:t>
      </w:r>
      <w:r w:rsidRPr="00DB3579" w:rsidR="00BA77B5">
        <w:rPr>
          <w:lang w:val="uk-UA"/>
        </w:rPr>
        <w:t>кордоном, якщо діяння карається у місці його скоєння</w:t>
      </w:r>
      <w:r w:rsidRPr="00DB3579" w:rsidR="002E749D">
        <w:rPr>
          <w:lang w:val="uk-UA"/>
        </w:rPr>
        <w:t>,</w:t>
      </w:r>
      <w:r w:rsidRPr="00DB3579" w:rsidR="00BA77B5">
        <w:rPr>
          <w:lang w:val="uk-UA"/>
        </w:rPr>
        <w:t xml:space="preserve"> або</w:t>
      </w:r>
      <w:r w:rsidR="00BA77B5">
        <w:rPr>
          <w:lang w:val="uk-UA"/>
        </w:rPr>
        <w:t xml:space="preserve"> якщо</w:t>
      </w:r>
      <w:r w:rsidR="00BA77B5">
        <w:t xml:space="preserve"> </w:t>
      </w:r>
      <w:r w:rsidR="00480F93">
        <w:rPr>
          <w:lang w:val="uk-UA"/>
        </w:rPr>
        <w:t xml:space="preserve">на </w:t>
      </w:r>
      <w:r w:rsidR="00BA77B5">
        <w:rPr>
          <w:lang w:val="uk-UA"/>
        </w:rPr>
        <w:t>місце його скоєння</w:t>
      </w:r>
      <w:r w:rsidR="00480F93">
        <w:rPr>
          <w:lang w:val="uk-UA"/>
        </w:rPr>
        <w:t xml:space="preserve"> не поширюється дія кримінального закону і якщо </w:t>
      </w:r>
      <w:r w:rsidR="00162079">
        <w:rPr>
          <w:lang w:val="uk-UA"/>
        </w:rPr>
        <w:t>правопорушник</w:t>
      </w:r>
    </w:p>
    <w:p w:rsidR="007C715E" w:rsidP="0097017E" w:rsidRDefault="00910E44">
      <w:pPr>
        <w:pStyle w:val="JuQuot"/>
      </w:pPr>
      <w:r>
        <w:t>...</w:t>
      </w:r>
    </w:p>
    <w:p w:rsidR="007C715E" w:rsidP="0097017E" w:rsidRDefault="00AC1C5D">
      <w:pPr>
        <w:pStyle w:val="JuQuot"/>
      </w:pPr>
      <w:r>
        <w:t>(</w:t>
      </w:r>
      <w:r w:rsidR="007C715E">
        <w:t>2</w:t>
      </w:r>
      <w:r>
        <w:t>)</w:t>
      </w:r>
      <w:r w:rsidR="007C715E">
        <w:t>  </w:t>
      </w:r>
      <w:r w:rsidR="00480F93">
        <w:rPr>
          <w:lang w:val="uk-UA"/>
        </w:rPr>
        <w:t xml:space="preserve">на час </w:t>
      </w:r>
      <w:r w:rsidR="00162079">
        <w:rPr>
          <w:lang w:val="uk-UA"/>
        </w:rPr>
        <w:t>скоєння</w:t>
      </w:r>
      <w:r w:rsidR="00480F93">
        <w:rPr>
          <w:lang w:val="uk-UA"/>
        </w:rPr>
        <w:t xml:space="preserve"> діяння був іноземцем, перебував у </w:t>
      </w:r>
      <w:r w:rsidR="00162079">
        <w:rPr>
          <w:lang w:val="uk-UA"/>
        </w:rPr>
        <w:t>Німеччині</w:t>
      </w:r>
      <w:r w:rsidR="00480F93">
        <w:rPr>
          <w:lang w:val="uk-UA"/>
        </w:rPr>
        <w:t xml:space="preserve"> і, хоча закон про екстрадицію дозволяв екстрадицію за таке діяння, він не був екстрадований, оскільки запит про екстрадицію не був зроблений, був відхилений або екстрадиція не може бути реалізована</w:t>
      </w:r>
      <w:r w:rsidR="00721944">
        <w:t>.”</w:t>
      </w:r>
    </w:p>
    <w:p w:rsidR="00761A37" w:rsidP="00AC1C5D" w:rsidRDefault="00480F93">
      <w:pPr>
        <w:pStyle w:val="JuHArticle"/>
        <w:rPr>
          <w:lang w:val="uk-UA"/>
        </w:rPr>
      </w:pPr>
      <w:bookmarkStart w:name="220a" w:id="4"/>
      <w:bookmarkEnd w:id="4"/>
      <w:r>
        <w:rPr>
          <w:lang w:val="uk-UA"/>
        </w:rPr>
        <w:t>Стаття</w:t>
      </w:r>
      <w:r w:rsidR="00077EA3">
        <w:t xml:space="preserve"> </w:t>
      </w:r>
      <w:r w:rsidRPr="001B5849" w:rsidR="007C3394">
        <w:t>220a</w:t>
      </w:r>
      <w:r w:rsidR="00AC1C5D">
        <w:br/>
      </w:r>
      <w:r>
        <w:rPr>
          <w:lang w:val="uk-UA"/>
        </w:rPr>
        <w:t>Геноцид</w:t>
      </w:r>
    </w:p>
    <w:p w:rsidRPr="009F222B" w:rsidR="007C3394" w:rsidP="009F222B" w:rsidRDefault="007C3394">
      <w:pPr>
        <w:pStyle w:val="JuQuot"/>
      </w:pPr>
      <w:r w:rsidRPr="009F222B">
        <w:t>“</w:t>
      </w:r>
      <w:r w:rsidR="009F222B">
        <w:t>1</w:t>
      </w:r>
      <w:r w:rsidR="00AC1C5D">
        <w:t>.</w:t>
      </w:r>
      <w:r w:rsidR="009F222B">
        <w:t>  </w:t>
      </w:r>
      <w:r w:rsidR="00CA5D97">
        <w:rPr>
          <w:lang w:val="uk-UA"/>
        </w:rPr>
        <w:t xml:space="preserve">Будь-хто, діючи </w:t>
      </w:r>
      <w:r w:rsidRPr="004331C1" w:rsidR="00CA5D97">
        <w:rPr>
          <w:color w:val="000000"/>
          <w:szCs w:val="24"/>
          <w:lang w:val="uk-UA"/>
        </w:rPr>
        <w:t>з наміром знищити, цілком чи частково, яку-небудь національну, етнічну, расову чи релігійну групу як таку</w:t>
      </w:r>
      <w:r w:rsidRPr="009F222B">
        <w:t>,</w:t>
      </w:r>
    </w:p>
    <w:p w:rsidR="00F7169D" w:rsidP="009F222B" w:rsidRDefault="00AC1C5D">
      <w:pPr>
        <w:pStyle w:val="JuQuot"/>
      </w:pPr>
      <w:r>
        <w:t>(</w:t>
      </w:r>
      <w:r w:rsidRPr="009F222B" w:rsidR="007C3394">
        <w:t>1</w:t>
      </w:r>
      <w:r>
        <w:t>)</w:t>
      </w:r>
      <w:r w:rsidRPr="009F222B" w:rsidR="009F222B">
        <w:t>  </w:t>
      </w:r>
      <w:r w:rsidR="00CA5D97">
        <w:rPr>
          <w:color w:val="000000"/>
          <w:szCs w:val="24"/>
          <w:lang w:val="uk-UA"/>
        </w:rPr>
        <w:t>в</w:t>
      </w:r>
      <w:r w:rsidRPr="004331C1" w:rsidR="00CA5D97">
        <w:rPr>
          <w:color w:val="000000"/>
          <w:szCs w:val="24"/>
          <w:lang w:val="uk-UA"/>
        </w:rPr>
        <w:t>бив</w:t>
      </w:r>
      <w:r w:rsidR="00CA5D97">
        <w:rPr>
          <w:color w:val="000000"/>
          <w:szCs w:val="24"/>
          <w:lang w:val="uk-UA"/>
        </w:rPr>
        <w:t>ає</w:t>
      </w:r>
      <w:r w:rsidRPr="004331C1" w:rsidR="00CA5D97">
        <w:rPr>
          <w:color w:val="000000"/>
          <w:szCs w:val="24"/>
          <w:lang w:val="uk-UA"/>
        </w:rPr>
        <w:t xml:space="preserve"> членів такої групи</w:t>
      </w:r>
      <w:r w:rsidRPr="009F222B" w:rsidR="007C3394">
        <w:t>,</w:t>
      </w:r>
    </w:p>
    <w:p w:rsidR="00F7169D" w:rsidP="009F222B" w:rsidRDefault="00AC1C5D">
      <w:pPr>
        <w:pStyle w:val="JuQuot"/>
      </w:pPr>
      <w:r>
        <w:t>(2)</w:t>
      </w:r>
      <w:r w:rsidRPr="009F222B" w:rsidR="009F222B">
        <w:t>  </w:t>
      </w:r>
      <w:r w:rsidR="00CA5D97">
        <w:rPr>
          <w:color w:val="000000"/>
          <w:szCs w:val="24"/>
          <w:lang w:val="uk-UA"/>
        </w:rPr>
        <w:t>заподіює</w:t>
      </w:r>
      <w:r w:rsidRPr="004331C1" w:rsidR="00CA5D97">
        <w:rPr>
          <w:color w:val="000000"/>
          <w:szCs w:val="24"/>
          <w:lang w:val="uk-UA"/>
        </w:rPr>
        <w:t xml:space="preserve"> серйозних тілесних ушкоджень чи розумового розладу</w:t>
      </w:r>
      <w:r w:rsidR="00CA5D97">
        <w:rPr>
          <w:color w:val="000000"/>
          <w:szCs w:val="24"/>
          <w:lang w:val="uk-UA"/>
        </w:rPr>
        <w:t xml:space="preserve"> ...</w:t>
      </w:r>
      <w:r w:rsidRPr="004331C1" w:rsidR="00CA5D97">
        <w:rPr>
          <w:color w:val="000000"/>
          <w:szCs w:val="24"/>
          <w:lang w:val="uk-UA"/>
        </w:rPr>
        <w:t xml:space="preserve"> членам такої групи</w:t>
      </w:r>
      <w:r w:rsidRPr="009F222B" w:rsidR="007C3394">
        <w:t>,</w:t>
      </w:r>
    </w:p>
    <w:p w:rsidR="00F7169D" w:rsidP="009F222B" w:rsidRDefault="00AC1C5D">
      <w:pPr>
        <w:pStyle w:val="JuQuot"/>
      </w:pPr>
      <w:r>
        <w:t>(</w:t>
      </w:r>
      <w:r w:rsidRPr="009F222B" w:rsidR="009F222B">
        <w:t>3</w:t>
      </w:r>
      <w:r>
        <w:t>)</w:t>
      </w:r>
      <w:r w:rsidRPr="009F222B" w:rsidR="009F222B">
        <w:t>  </w:t>
      </w:r>
      <w:r w:rsidRPr="004331C1" w:rsidR="00CA5D97">
        <w:rPr>
          <w:color w:val="000000"/>
          <w:szCs w:val="24"/>
          <w:lang w:val="uk-UA"/>
        </w:rPr>
        <w:t>створ</w:t>
      </w:r>
      <w:r w:rsidR="00CA5D97">
        <w:rPr>
          <w:color w:val="000000"/>
          <w:szCs w:val="24"/>
          <w:lang w:val="uk-UA"/>
        </w:rPr>
        <w:t>ює</w:t>
      </w:r>
      <w:r w:rsidRPr="004331C1" w:rsidR="00CA5D97">
        <w:rPr>
          <w:color w:val="000000"/>
          <w:szCs w:val="24"/>
          <w:lang w:val="uk-UA"/>
        </w:rPr>
        <w:t xml:space="preserve"> для якої-небудь групи так</w:t>
      </w:r>
      <w:r w:rsidR="00CA5D97">
        <w:rPr>
          <w:color w:val="000000"/>
          <w:szCs w:val="24"/>
          <w:lang w:val="uk-UA"/>
        </w:rPr>
        <w:t>і</w:t>
      </w:r>
      <w:r w:rsidRPr="004331C1" w:rsidR="00CA5D97">
        <w:rPr>
          <w:color w:val="000000"/>
          <w:szCs w:val="24"/>
          <w:lang w:val="uk-UA"/>
        </w:rPr>
        <w:t xml:space="preserve"> життєв</w:t>
      </w:r>
      <w:r w:rsidR="00CA5D97">
        <w:rPr>
          <w:color w:val="000000"/>
          <w:szCs w:val="24"/>
          <w:lang w:val="uk-UA"/>
        </w:rPr>
        <w:t>і</w:t>
      </w:r>
      <w:r w:rsidRPr="004331C1" w:rsidR="00CA5D97">
        <w:rPr>
          <w:color w:val="000000"/>
          <w:szCs w:val="24"/>
          <w:lang w:val="uk-UA"/>
        </w:rPr>
        <w:t xml:space="preserve"> умов</w:t>
      </w:r>
      <w:r w:rsidR="00CA5D97">
        <w:rPr>
          <w:color w:val="000000"/>
          <w:szCs w:val="24"/>
          <w:lang w:val="uk-UA"/>
        </w:rPr>
        <w:t>и</w:t>
      </w:r>
      <w:r w:rsidRPr="004331C1" w:rsidR="00CA5D97">
        <w:rPr>
          <w:color w:val="000000"/>
          <w:szCs w:val="24"/>
          <w:lang w:val="uk-UA"/>
        </w:rPr>
        <w:t>, що розраховані на повне чи часткове фізичне знищення її</w:t>
      </w:r>
      <w:r w:rsidRPr="009F222B" w:rsidR="007C3394">
        <w:t>,</w:t>
      </w:r>
    </w:p>
    <w:p w:rsidRPr="00DB3579" w:rsidR="00F7169D" w:rsidP="009F222B" w:rsidRDefault="00AC1C5D">
      <w:pPr>
        <w:pStyle w:val="JuQuot"/>
        <w:rPr>
          <w:lang w:val="uk-UA"/>
        </w:rPr>
      </w:pPr>
      <w:r>
        <w:t>(</w:t>
      </w:r>
      <w:r w:rsidRPr="009F222B" w:rsidR="009F222B">
        <w:t>4</w:t>
      </w:r>
      <w:r>
        <w:t>)</w:t>
      </w:r>
      <w:r w:rsidRPr="009F222B" w:rsidR="009F222B">
        <w:t> </w:t>
      </w:r>
      <w:r w:rsidR="00CA5D97">
        <w:rPr>
          <w:lang w:val="uk-UA"/>
        </w:rPr>
        <w:t xml:space="preserve">запроваджує </w:t>
      </w:r>
      <w:r w:rsidRPr="004331C1" w:rsidR="00CA5D97">
        <w:rPr>
          <w:color w:val="000000"/>
          <w:szCs w:val="24"/>
          <w:lang w:val="uk-UA"/>
        </w:rPr>
        <w:t xml:space="preserve">міри, розраховані на запобігання </w:t>
      </w:r>
      <w:r w:rsidRPr="00DB3579" w:rsidR="004B56F2">
        <w:rPr>
          <w:lang w:val="uk-UA"/>
        </w:rPr>
        <w:t>народж</w:t>
      </w:r>
      <w:r w:rsidRPr="00DB3579" w:rsidR="00DB3579">
        <w:rPr>
          <w:lang w:val="uk-UA"/>
        </w:rPr>
        <w:t xml:space="preserve">уваності </w:t>
      </w:r>
      <w:r w:rsidRPr="00DB3579" w:rsidR="004B56F2">
        <w:rPr>
          <w:lang w:val="uk-UA"/>
        </w:rPr>
        <w:t>у даній групі</w:t>
      </w:r>
    </w:p>
    <w:p w:rsidRPr="00DB3579" w:rsidR="007C3394" w:rsidP="009F222B" w:rsidRDefault="00AC1C5D">
      <w:pPr>
        <w:pStyle w:val="JuQuot"/>
        <w:rPr>
          <w:lang w:val="uk-UA"/>
        </w:rPr>
      </w:pPr>
      <w:r w:rsidRPr="00DB3579">
        <w:rPr>
          <w:lang w:val="uk-UA"/>
        </w:rPr>
        <w:t>(</w:t>
      </w:r>
      <w:r w:rsidRPr="00DB3579" w:rsidR="009F222B">
        <w:rPr>
          <w:lang w:val="uk-UA"/>
        </w:rPr>
        <w:t>5</w:t>
      </w:r>
      <w:r w:rsidRPr="00DB3579">
        <w:rPr>
          <w:lang w:val="uk-UA"/>
        </w:rPr>
        <w:t>)</w:t>
      </w:r>
      <w:r w:rsidRPr="00DB3579" w:rsidR="009F222B">
        <w:t>  </w:t>
      </w:r>
      <w:r w:rsidRPr="00DB3579" w:rsidR="00CA5D97">
        <w:rPr>
          <w:color w:val="000000"/>
          <w:szCs w:val="24"/>
          <w:lang w:val="uk-UA"/>
        </w:rPr>
        <w:t xml:space="preserve">насильно передає дітей </w:t>
      </w:r>
      <w:r w:rsidRPr="00DB3579" w:rsidR="00C77E7C">
        <w:rPr>
          <w:color w:val="000000"/>
          <w:szCs w:val="24"/>
          <w:lang w:val="uk-UA"/>
        </w:rPr>
        <w:t>і</w:t>
      </w:r>
      <w:r w:rsidRPr="00DB3579" w:rsidR="00CA5D97">
        <w:rPr>
          <w:color w:val="000000"/>
          <w:szCs w:val="24"/>
          <w:lang w:val="uk-UA"/>
        </w:rPr>
        <w:t xml:space="preserve">з однієї групи </w:t>
      </w:r>
      <w:r w:rsidRPr="00DB3579" w:rsidR="00EA4DB4">
        <w:rPr>
          <w:color w:val="000000"/>
          <w:szCs w:val="24"/>
          <w:lang w:val="uk-UA"/>
        </w:rPr>
        <w:t>до іншої</w:t>
      </w:r>
      <w:r w:rsidRPr="00DB3579" w:rsidR="007C3394">
        <w:rPr>
          <w:lang w:val="uk-UA"/>
        </w:rPr>
        <w:t>,</w:t>
      </w:r>
    </w:p>
    <w:p w:rsidRPr="00DB3579" w:rsidR="00854019" w:rsidP="009F222B" w:rsidRDefault="00CA5D97">
      <w:pPr>
        <w:pStyle w:val="JuQuot"/>
      </w:pPr>
      <w:r w:rsidRPr="00DB3579">
        <w:rPr>
          <w:lang w:val="uk-UA"/>
        </w:rPr>
        <w:t xml:space="preserve">Карається довічним </w:t>
      </w:r>
      <w:proofErr w:type="spellStart"/>
      <w:r w:rsidRPr="00DB3579">
        <w:rPr>
          <w:lang w:val="uk-UA"/>
        </w:rPr>
        <w:t>ув</w:t>
      </w:r>
      <w:r w:rsidR="00761A37">
        <w:rPr>
          <w:lang w:val="uk-UA"/>
        </w:rPr>
        <w:t>’</w:t>
      </w:r>
      <w:r w:rsidRPr="00DB3579">
        <w:rPr>
          <w:lang w:val="fr-FR"/>
        </w:rPr>
        <w:t>язненням</w:t>
      </w:r>
      <w:proofErr w:type="spellEnd"/>
      <w:r w:rsidRPr="00DB3579" w:rsidR="007C3394">
        <w:t>.</w:t>
      </w:r>
    </w:p>
    <w:p w:rsidRPr="00DB3579" w:rsidR="007C3394" w:rsidP="009F222B" w:rsidRDefault="00854019">
      <w:pPr>
        <w:pStyle w:val="JuQuot"/>
        <w:rPr>
          <w:lang w:val="uk-UA"/>
        </w:rPr>
      </w:pPr>
      <w:r w:rsidRPr="00DB3579">
        <w:t>...</w:t>
      </w:r>
      <w:r w:rsidRPr="00DB3579" w:rsidR="007C3394">
        <w:t>”</w:t>
      </w:r>
    </w:p>
    <w:p w:rsidRPr="00DB3579" w:rsidR="0042146B" w:rsidP="0042146B" w:rsidRDefault="0042146B">
      <w:pPr>
        <w:pStyle w:val="JuPara"/>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35</w:t>
      </w:r>
      <w:r w:rsidRPr="00DB3579">
        <w:fldChar w:fldCharType="end"/>
      </w:r>
      <w:r w:rsidRPr="00DB3579">
        <w:rPr>
          <w:lang w:val="uk-UA"/>
        </w:rPr>
        <w:t>.</w:t>
      </w:r>
      <w:r w:rsidRPr="00DB3579">
        <w:t>  </w:t>
      </w:r>
      <w:r w:rsidRPr="00DB3579" w:rsidR="00E305AD">
        <w:rPr>
          <w:lang w:val="uk-UA"/>
        </w:rPr>
        <w:t>Стаття</w:t>
      </w:r>
      <w:r w:rsidRPr="00DB3579" w:rsidR="00077EA3">
        <w:rPr>
          <w:lang w:val="uk-UA"/>
        </w:rPr>
        <w:t xml:space="preserve"> </w:t>
      </w:r>
      <w:r w:rsidRPr="00DB3579" w:rsidR="003844F3">
        <w:rPr>
          <w:lang w:val="uk-UA"/>
        </w:rPr>
        <w:t>220</w:t>
      </w:r>
      <w:r w:rsidRPr="00DB3579" w:rsidR="003844F3">
        <w:t>a</w:t>
      </w:r>
      <w:r w:rsidRPr="00DB3579" w:rsidR="003844F3">
        <w:rPr>
          <w:lang w:val="uk-UA"/>
        </w:rPr>
        <w:t xml:space="preserve"> </w:t>
      </w:r>
      <w:r w:rsidRPr="00DB3579" w:rsidR="00E305AD">
        <w:rPr>
          <w:lang w:val="uk-UA"/>
        </w:rPr>
        <w:t xml:space="preserve">була додана до Кримінального кодексу </w:t>
      </w:r>
      <w:r w:rsidRPr="00DB3579" w:rsidR="00BC477B">
        <w:rPr>
          <w:lang w:val="uk-UA"/>
        </w:rPr>
        <w:t xml:space="preserve">законом від </w:t>
      </w:r>
      <w:r w:rsidRPr="00DB3579" w:rsidR="003844F3">
        <w:rPr>
          <w:lang w:val="uk-UA"/>
        </w:rPr>
        <w:t>9</w:t>
      </w:r>
      <w:r w:rsidRPr="00DB3579" w:rsidR="00077EA3">
        <w:rPr>
          <w:lang w:val="uk-UA"/>
        </w:rPr>
        <w:t xml:space="preserve"> </w:t>
      </w:r>
      <w:r w:rsidRPr="00DB3579" w:rsidR="00BC477B">
        <w:rPr>
          <w:lang w:val="uk-UA"/>
        </w:rPr>
        <w:t>серпня</w:t>
      </w:r>
      <w:r w:rsidRPr="00DB3579" w:rsidR="003844F3">
        <w:rPr>
          <w:lang w:val="uk-UA"/>
        </w:rPr>
        <w:t xml:space="preserve"> 1954</w:t>
      </w:r>
      <w:r w:rsidRPr="00DB3579" w:rsidR="00BC477B">
        <w:rPr>
          <w:lang w:val="uk-UA"/>
        </w:rPr>
        <w:t xml:space="preserve"> року</w:t>
      </w:r>
      <w:r w:rsidRPr="00DB3579" w:rsidR="00C77E7C">
        <w:rPr>
          <w:lang w:val="uk-UA"/>
        </w:rPr>
        <w:t>,</w:t>
      </w:r>
      <w:r w:rsidRPr="00DB3579" w:rsidR="00BC477B">
        <w:rPr>
          <w:lang w:val="uk-UA"/>
        </w:rPr>
        <w:t xml:space="preserve"> після</w:t>
      </w:r>
      <w:r w:rsidRPr="00DB3579" w:rsidR="00972A1D">
        <w:rPr>
          <w:lang w:val="uk-UA"/>
        </w:rPr>
        <w:t xml:space="preserve"> приєднання Німеччини до Конвенції про запобігання геноциду</w:t>
      </w:r>
      <w:r w:rsidRPr="00DB3579" w:rsidR="00C77E7C">
        <w:rPr>
          <w:lang w:val="uk-UA"/>
        </w:rPr>
        <w:t>,</w:t>
      </w:r>
      <w:r w:rsidRPr="00DB3579" w:rsidR="00972A1D">
        <w:rPr>
          <w:lang w:val="uk-UA"/>
        </w:rPr>
        <w:t xml:space="preserve"> і набула чинності у</w:t>
      </w:r>
      <w:r w:rsidRPr="00DB3579" w:rsidR="003844F3">
        <w:rPr>
          <w:lang w:val="uk-UA"/>
        </w:rPr>
        <w:t xml:space="preserve"> </w:t>
      </w:r>
      <w:r w:rsidRPr="00DB3579" w:rsidR="00FE0A56">
        <w:rPr>
          <w:lang w:val="uk-UA"/>
        </w:rPr>
        <w:t>1955</w:t>
      </w:r>
      <w:r w:rsidRPr="00DB3579" w:rsidR="00972A1D">
        <w:rPr>
          <w:lang w:val="uk-UA"/>
        </w:rPr>
        <w:t xml:space="preserve"> році</w:t>
      </w:r>
      <w:r w:rsidRPr="00DB3579" w:rsidR="003844F3">
        <w:rPr>
          <w:lang w:val="uk-UA"/>
        </w:rPr>
        <w:t xml:space="preserve">. </w:t>
      </w:r>
      <w:r w:rsidRPr="00DB3579" w:rsidR="00972A1D">
        <w:rPr>
          <w:lang w:val="uk-UA"/>
        </w:rPr>
        <w:t xml:space="preserve">Статті </w:t>
      </w:r>
      <w:r w:rsidRPr="00DB3579">
        <w:t xml:space="preserve">6 </w:t>
      </w:r>
      <w:r w:rsidRPr="00DB3579" w:rsidR="00972A1D">
        <w:rPr>
          <w:lang w:val="uk-UA"/>
        </w:rPr>
        <w:t>№</w:t>
      </w:r>
      <w:r w:rsidRPr="00DB3579" w:rsidR="00077EA3">
        <w:t xml:space="preserve"> </w:t>
      </w:r>
      <w:r w:rsidRPr="00DB3579">
        <w:t xml:space="preserve">1 </w:t>
      </w:r>
      <w:r w:rsidRPr="00DB3579" w:rsidR="00972A1D">
        <w:rPr>
          <w:lang w:val="uk-UA"/>
        </w:rPr>
        <w:t>і</w:t>
      </w:r>
      <w:r w:rsidRPr="00DB3579" w:rsidR="00185ABF">
        <w:t xml:space="preserve"> </w:t>
      </w:r>
      <w:r w:rsidRPr="00DB3579">
        <w:t xml:space="preserve">220a </w:t>
      </w:r>
      <w:r w:rsidRPr="00DB3579" w:rsidR="00972A1D">
        <w:rPr>
          <w:lang w:val="uk-UA"/>
        </w:rPr>
        <w:t xml:space="preserve">втратили чинність </w:t>
      </w:r>
      <w:r w:rsidRPr="00DB3579">
        <w:t>30</w:t>
      </w:r>
      <w:r w:rsidRPr="00DB3579" w:rsidR="00077EA3">
        <w:t xml:space="preserve"> </w:t>
      </w:r>
      <w:r w:rsidRPr="00DB3579" w:rsidR="00972A1D">
        <w:rPr>
          <w:lang w:val="uk-UA"/>
        </w:rPr>
        <w:t>червня</w:t>
      </w:r>
      <w:r w:rsidRPr="00DB3579">
        <w:t xml:space="preserve"> 2002</w:t>
      </w:r>
      <w:r w:rsidRPr="00DB3579" w:rsidR="00972A1D">
        <w:rPr>
          <w:lang w:val="uk-UA"/>
        </w:rPr>
        <w:t xml:space="preserve"> року, коли набув чинності Кодекс законів про злочини проти міжнародного права</w:t>
      </w:r>
      <w:r w:rsidRPr="00DB3579">
        <w:t xml:space="preserve"> (</w:t>
      </w:r>
      <w:r w:rsidRPr="00DB3579">
        <w:rPr>
          <w:i/>
        </w:rPr>
        <w:t>Völkerstrafgesetzbuch</w:t>
      </w:r>
      <w:r w:rsidRPr="00DB3579">
        <w:t xml:space="preserve">). </w:t>
      </w:r>
      <w:r w:rsidRPr="00DB3579" w:rsidR="00972A1D">
        <w:rPr>
          <w:lang w:val="uk-UA"/>
        </w:rPr>
        <w:t>Відповідно до статті</w:t>
      </w:r>
      <w:r w:rsidRPr="00DB3579" w:rsidR="00077EA3">
        <w:t xml:space="preserve"> </w:t>
      </w:r>
      <w:r w:rsidRPr="00DB3579">
        <w:t xml:space="preserve">1 </w:t>
      </w:r>
      <w:r w:rsidRPr="00DB3579" w:rsidR="00972A1D">
        <w:rPr>
          <w:lang w:val="uk-UA"/>
        </w:rPr>
        <w:t>нового кодексу</w:t>
      </w:r>
      <w:r w:rsidRPr="00DB3579">
        <w:t>,</w:t>
      </w:r>
      <w:r w:rsidRPr="00DB3579" w:rsidR="00972A1D">
        <w:rPr>
          <w:lang w:val="uk-UA"/>
        </w:rPr>
        <w:t xml:space="preserve"> він застосовується до злочинів проти міжнародного права, таких</w:t>
      </w:r>
      <w:r w:rsidRPr="00DB3579" w:rsidR="00C77E7C">
        <w:rPr>
          <w:lang w:val="uk-UA"/>
        </w:rPr>
        <w:t>,</w:t>
      </w:r>
      <w:r w:rsidRPr="00DB3579" w:rsidR="00972A1D">
        <w:rPr>
          <w:lang w:val="uk-UA"/>
        </w:rPr>
        <w:t xml:space="preserve"> як геноцид</w:t>
      </w:r>
      <w:r w:rsidRPr="00DB3579">
        <w:t xml:space="preserve"> (</w:t>
      </w:r>
      <w:r w:rsidRPr="00DB3579" w:rsidR="00972A1D">
        <w:rPr>
          <w:lang w:val="uk-UA"/>
        </w:rPr>
        <w:t>див. статтю</w:t>
      </w:r>
      <w:r w:rsidRPr="00DB3579">
        <w:t xml:space="preserve"> 6 </w:t>
      </w:r>
      <w:r w:rsidRPr="00DB3579" w:rsidR="00972A1D">
        <w:rPr>
          <w:lang w:val="uk-UA"/>
        </w:rPr>
        <w:t>нового кодексу</w:t>
      </w:r>
      <w:r w:rsidRPr="00DB3579">
        <w:t>)</w:t>
      </w:r>
      <w:r w:rsidRPr="00DB3579" w:rsidR="00972A1D">
        <w:rPr>
          <w:lang w:val="uk-UA"/>
        </w:rPr>
        <w:t>, на</w:t>
      </w:r>
      <w:r w:rsidRPr="00DB3579" w:rsidR="00C77E7C">
        <w:rPr>
          <w:lang w:val="uk-UA"/>
        </w:rPr>
        <w:t>віть якщо злочин було скоєно за</w:t>
      </w:r>
      <w:r w:rsidRPr="00DB3579" w:rsidR="00972A1D">
        <w:rPr>
          <w:lang w:val="uk-UA"/>
        </w:rPr>
        <w:t>кордоном і без стосунку до Німеччини</w:t>
      </w:r>
      <w:r w:rsidRPr="00DB3579">
        <w:t>.</w:t>
      </w:r>
    </w:p>
    <w:p w:rsidRPr="00DB3579" w:rsidR="006716F3" w:rsidP="0042146B" w:rsidRDefault="006716F3">
      <w:pPr>
        <w:pStyle w:val="JuPara"/>
        <w:rPr>
          <w:lang w:val="de-DE"/>
        </w:rPr>
      </w:pPr>
      <w:r w:rsidRPr="00DB3579">
        <w:fldChar w:fldCharType="begin"/>
      </w:r>
      <w:r w:rsidRPr="00DB3579">
        <w:instrText xml:space="preserve"> SEQ level0 \*arabic </w:instrText>
      </w:r>
      <w:r w:rsidRPr="00DB3579">
        <w:fldChar w:fldCharType="separate"/>
      </w:r>
      <w:r w:rsidRPr="00DB3579" w:rsidR="00142C04">
        <w:rPr>
          <w:noProof/>
        </w:rPr>
        <w:t>36</w:t>
      </w:r>
      <w:r w:rsidRPr="00DB3579">
        <w:fldChar w:fldCharType="end"/>
      </w:r>
      <w:r w:rsidRPr="00DB3579">
        <w:t>.  </w:t>
      </w:r>
      <w:r w:rsidRPr="00DB3579" w:rsidR="00972A1D">
        <w:rPr>
          <w:lang w:val="uk-UA"/>
        </w:rPr>
        <w:t xml:space="preserve">Заявник є першою особою, засудженою за геноцид німецькими судами за статтею </w:t>
      </w:r>
      <w:r w:rsidRPr="00DB3579" w:rsidR="00562799">
        <w:t>220a</w:t>
      </w:r>
      <w:r w:rsidRPr="00DB3579" w:rsidR="00972A1D">
        <w:rPr>
          <w:lang w:val="uk-UA"/>
        </w:rPr>
        <w:t>, відколи її</w:t>
      </w:r>
      <w:r w:rsidRPr="00DB3579" w:rsidR="00562799">
        <w:t xml:space="preserve"> </w:t>
      </w:r>
      <w:r w:rsidRPr="00DB3579" w:rsidR="00972A1D">
        <w:rPr>
          <w:lang w:val="uk-UA"/>
        </w:rPr>
        <w:t>було додано до Кримінального кодексу</w:t>
      </w:r>
      <w:r w:rsidRPr="00DB3579" w:rsidR="00562799">
        <w:t xml:space="preserve">. </w:t>
      </w:r>
      <w:r w:rsidRPr="00DB3579" w:rsidR="00972A1D">
        <w:rPr>
          <w:lang w:val="uk-UA"/>
        </w:rPr>
        <w:t xml:space="preserve">На час, коли заявник скоїв діяння у </w:t>
      </w:r>
      <w:r w:rsidRPr="00DB3579" w:rsidR="00C42D92">
        <w:t>1992</w:t>
      </w:r>
      <w:r w:rsidRPr="00DB3579" w:rsidR="00972A1D">
        <w:rPr>
          <w:lang w:val="uk-UA"/>
        </w:rPr>
        <w:t xml:space="preserve"> році</w:t>
      </w:r>
      <w:r w:rsidRPr="00DB3579" w:rsidR="00C42D92">
        <w:t>,</w:t>
      </w:r>
      <w:r w:rsidRPr="00DB3579" w:rsidR="00972A1D">
        <w:rPr>
          <w:lang w:val="uk-UA"/>
        </w:rPr>
        <w:t xml:space="preserve"> більшість дослідників дотримувались думки, що «намір геноциду знищити групу», відповідно до статті </w:t>
      </w:r>
      <w:r w:rsidRPr="00DB3579" w:rsidR="00972A1D">
        <w:t>220a</w:t>
      </w:r>
      <w:r w:rsidRPr="00DB3579" w:rsidR="00972A1D">
        <w:rPr>
          <w:lang w:val="uk-UA"/>
        </w:rPr>
        <w:t xml:space="preserve"> Кримінального кодексу, має бути спрямований на біологічно-фізичне знищення захищеної групи</w:t>
      </w:r>
      <w:r w:rsidR="00761A37">
        <w:rPr>
          <w:lang w:val="uk-UA"/>
        </w:rPr>
        <w:t xml:space="preserve"> </w:t>
      </w:r>
      <w:r w:rsidRPr="00DB3579" w:rsidR="00C42D92">
        <w:t>(</w:t>
      </w:r>
      <w:r w:rsidRPr="00DB3579" w:rsidR="00972A1D">
        <w:rPr>
          <w:lang w:val="uk-UA"/>
        </w:rPr>
        <w:t>див.</w:t>
      </w:r>
      <w:r w:rsidRPr="00DB3579" w:rsidR="00C42D92">
        <w:t xml:space="preserve">, </w:t>
      </w:r>
      <w:r w:rsidRPr="00DB3579" w:rsidR="00972A1D">
        <w:rPr>
          <w:lang w:val="uk-UA"/>
        </w:rPr>
        <w:t>наприклад</w:t>
      </w:r>
      <w:r w:rsidRPr="00DB3579" w:rsidR="00C42D92">
        <w:t>, A.</w:t>
      </w:r>
      <w:r w:rsidRPr="00DB3579" w:rsidR="00AC1C5D">
        <w:t> Eser</w:t>
      </w:r>
      <w:r w:rsidRPr="00DB3579" w:rsidR="00C42D92">
        <w:t xml:space="preserve"> in Schönke/Schröder, </w:t>
      </w:r>
      <w:r w:rsidRPr="00DB3579" w:rsidR="00C42D92">
        <w:rPr>
          <w:i/>
        </w:rPr>
        <w:t>Strafgesetzbuch – Kommentar</w:t>
      </w:r>
      <w:r w:rsidRPr="00DB3579" w:rsidR="00EC7328">
        <w:t>, 24</w:t>
      </w:r>
      <w:r w:rsidRPr="00DB3579" w:rsidR="00972A1D">
        <w:rPr>
          <w:lang w:val="uk-UA"/>
        </w:rPr>
        <w:t xml:space="preserve"> видання</w:t>
      </w:r>
      <w:r w:rsidRPr="00DB3579" w:rsidR="00C42D92">
        <w:t>, Munich</w:t>
      </w:r>
      <w:r w:rsidRPr="00DB3579" w:rsidR="00077EA3">
        <w:t xml:space="preserve"> </w:t>
      </w:r>
      <w:r w:rsidRPr="00DB3579" w:rsidR="00C42D92">
        <w:t xml:space="preserve">1991, </w:t>
      </w:r>
      <w:r w:rsidRPr="00DB3579" w:rsidR="00972A1D">
        <w:rPr>
          <w:lang w:val="uk-UA"/>
        </w:rPr>
        <w:t>стаття</w:t>
      </w:r>
      <w:r w:rsidRPr="00DB3579" w:rsidR="00077EA3">
        <w:t xml:space="preserve"> </w:t>
      </w:r>
      <w:r w:rsidRPr="00DB3579" w:rsidR="00C42D92">
        <w:t>220a, §§</w:t>
      </w:r>
      <w:r w:rsidRPr="00DB3579" w:rsidR="00077EA3">
        <w:t xml:space="preserve"> </w:t>
      </w:r>
      <w:r w:rsidRPr="00DB3579" w:rsidR="00C42D92">
        <w:t>4-5</w:t>
      </w:r>
      <w:r w:rsidRPr="00DB3579" w:rsidR="00965DC8">
        <w:t xml:space="preserve"> </w:t>
      </w:r>
      <w:r w:rsidRPr="00DB3579" w:rsidR="00972A1D">
        <w:rPr>
          <w:lang w:val="uk-UA"/>
        </w:rPr>
        <w:t>з наступними</w:t>
      </w:r>
      <w:r w:rsidRPr="00DB3579" w:rsidR="003C59CD">
        <w:rPr>
          <w:lang w:val="uk-UA"/>
        </w:rPr>
        <w:t xml:space="preserve"> посиланнями</w:t>
      </w:r>
      <w:r w:rsidRPr="00DB3579" w:rsidR="00C42D92">
        <w:t xml:space="preserve">). </w:t>
      </w:r>
      <w:r w:rsidRPr="00DB3579" w:rsidR="003C59CD">
        <w:rPr>
          <w:lang w:val="uk-UA"/>
        </w:rPr>
        <w:t xml:space="preserve">Проте, значна кількість дослідників </w:t>
      </w:r>
      <w:r w:rsidRPr="00DB3579" w:rsidR="00D17397">
        <w:rPr>
          <w:lang w:val="uk-UA"/>
        </w:rPr>
        <w:t>до</w:t>
      </w:r>
      <w:r w:rsidRPr="00DB3579" w:rsidR="003C59CD">
        <w:rPr>
          <w:lang w:val="uk-UA"/>
        </w:rPr>
        <w:t>тримувались думки, що поняття знищення групи як таке, у буквальному значенні, є ширшим, ніж біологічно-фізичне знищення, і включає також знищення групи як соціальної спільноти</w:t>
      </w:r>
      <w:r w:rsidRPr="00DB3579" w:rsidR="003C59CD">
        <w:t xml:space="preserve"> </w:t>
      </w:r>
      <w:r w:rsidRPr="00DB3579" w:rsidR="00C42D92">
        <w:t>(</w:t>
      </w:r>
      <w:r w:rsidRPr="00DB3579" w:rsidR="0032557C">
        <w:rPr>
          <w:lang w:val="uk-UA"/>
        </w:rPr>
        <w:t>див.</w:t>
      </w:r>
      <w:r w:rsidRPr="00DB3579" w:rsidR="00C42D92">
        <w:t>,</w:t>
      </w:r>
      <w:r w:rsidRPr="00DB3579" w:rsidR="0032557C">
        <w:rPr>
          <w:lang w:val="uk-UA"/>
        </w:rPr>
        <w:t xml:space="preserve"> наприклад</w:t>
      </w:r>
      <w:r w:rsidRPr="00DB3579" w:rsidR="00C42D92">
        <w:t>, H.-H.</w:t>
      </w:r>
      <w:r w:rsidRPr="00DB3579" w:rsidR="00077EA3">
        <w:t xml:space="preserve"> </w:t>
      </w:r>
      <w:r w:rsidRPr="00DB3579" w:rsidR="00C42D92">
        <w:t xml:space="preserve">Jescheck, </w:t>
      </w:r>
      <w:r w:rsidRPr="00DB3579" w:rsidR="00C42D92">
        <w:rPr>
          <w:i/>
        </w:rPr>
        <w:t>Die internationale Genocidium-Konvention vom 9.</w:t>
      </w:r>
      <w:r w:rsidRPr="00DB3579" w:rsidR="00077EA3">
        <w:rPr>
          <w:i/>
        </w:rPr>
        <w:t xml:space="preserve"> </w:t>
      </w:r>
      <w:r w:rsidRPr="00DB3579" w:rsidR="00C42D92">
        <w:rPr>
          <w:i/>
          <w:lang w:val="de-DE"/>
        </w:rPr>
        <w:t>Dezember 1948 und die Lehre vom Völkerstrafrecht</w:t>
      </w:r>
      <w:r w:rsidRPr="00DB3579" w:rsidR="00C42D92">
        <w:rPr>
          <w:lang w:val="de-DE"/>
        </w:rPr>
        <w:t>, ZStW</w:t>
      </w:r>
      <w:r w:rsidRPr="00DB3579" w:rsidR="00077EA3">
        <w:rPr>
          <w:lang w:val="de-DE"/>
        </w:rPr>
        <w:t xml:space="preserve"> </w:t>
      </w:r>
      <w:r w:rsidRPr="00DB3579" w:rsidR="00C42D92">
        <w:rPr>
          <w:lang w:val="de-DE"/>
        </w:rPr>
        <w:t xml:space="preserve">66 (1954), </w:t>
      </w:r>
      <w:r w:rsidRPr="00DB3579" w:rsidR="0032557C">
        <w:rPr>
          <w:lang w:val="uk-UA"/>
        </w:rPr>
        <w:t>стор</w:t>
      </w:r>
      <w:r w:rsidRPr="00DB3579" w:rsidR="00C42D92">
        <w:rPr>
          <w:lang w:val="de-DE"/>
        </w:rPr>
        <w:t>.</w:t>
      </w:r>
      <w:r w:rsidRPr="00DB3579" w:rsidR="00077EA3">
        <w:rPr>
          <w:lang w:val="de-DE"/>
        </w:rPr>
        <w:t xml:space="preserve"> </w:t>
      </w:r>
      <w:r w:rsidRPr="00DB3579" w:rsidR="00C42D92">
        <w:rPr>
          <w:lang w:val="de-DE"/>
        </w:rPr>
        <w:t>213</w:t>
      </w:r>
      <w:r w:rsidRPr="00DB3579" w:rsidR="00AC1C5D">
        <w:rPr>
          <w:lang w:val="de-DE"/>
        </w:rPr>
        <w:t>,</w:t>
      </w:r>
      <w:r w:rsidRPr="00DB3579" w:rsidR="00E9734E">
        <w:rPr>
          <w:lang w:val="de-DE"/>
        </w:rPr>
        <w:t xml:space="preserve"> </w:t>
      </w:r>
      <w:r w:rsidRPr="00DB3579" w:rsidR="0032557C">
        <w:rPr>
          <w:lang w:val="uk-UA"/>
        </w:rPr>
        <w:t>і</w:t>
      </w:r>
      <w:r w:rsidRPr="00DB3579" w:rsidR="00C42D92">
        <w:rPr>
          <w:lang w:val="de-DE"/>
        </w:rPr>
        <w:t xml:space="preserve"> B.</w:t>
      </w:r>
      <w:r w:rsidRPr="00DB3579" w:rsidR="00077EA3">
        <w:rPr>
          <w:lang w:val="de-DE"/>
        </w:rPr>
        <w:t xml:space="preserve"> </w:t>
      </w:r>
      <w:r w:rsidRPr="00DB3579" w:rsidR="00AC1C5D">
        <w:rPr>
          <w:lang w:val="de-DE"/>
        </w:rPr>
        <w:t>Jähnke</w:t>
      </w:r>
      <w:r w:rsidRPr="00DB3579" w:rsidR="00C42D92">
        <w:rPr>
          <w:lang w:val="de-DE"/>
        </w:rPr>
        <w:t xml:space="preserve"> </w:t>
      </w:r>
      <w:r w:rsidRPr="00DB3579" w:rsidR="0032557C">
        <w:rPr>
          <w:lang w:val="uk-UA"/>
        </w:rPr>
        <w:t>у</w:t>
      </w:r>
      <w:r w:rsidRPr="00DB3579" w:rsidR="00C42D92">
        <w:rPr>
          <w:lang w:val="de-DE"/>
        </w:rPr>
        <w:t xml:space="preserve"> </w:t>
      </w:r>
      <w:r w:rsidRPr="00DB3579" w:rsidR="00C42D92">
        <w:rPr>
          <w:i/>
          <w:lang w:val="de-DE"/>
        </w:rPr>
        <w:t>Leipziger Kommentar, Strafgesetzbuch</w:t>
      </w:r>
      <w:r w:rsidRPr="00DB3579" w:rsidR="00C42D92">
        <w:rPr>
          <w:lang w:val="de-DE"/>
        </w:rPr>
        <w:t>, 10</w:t>
      </w:r>
      <w:r w:rsidRPr="00DB3579" w:rsidR="00077EA3">
        <w:rPr>
          <w:lang w:val="de-DE"/>
        </w:rPr>
        <w:t xml:space="preserve"> </w:t>
      </w:r>
      <w:r w:rsidRPr="00DB3579" w:rsidR="00C77E7C">
        <w:rPr>
          <w:lang w:val="uk-UA"/>
        </w:rPr>
        <w:t>в</w:t>
      </w:r>
      <w:r w:rsidRPr="00DB3579" w:rsidR="0032557C">
        <w:rPr>
          <w:lang w:val="uk-UA"/>
        </w:rPr>
        <w:t>идання</w:t>
      </w:r>
      <w:r w:rsidRPr="00DB3579" w:rsidR="00C42D92">
        <w:rPr>
          <w:lang w:val="de-DE"/>
        </w:rPr>
        <w:t>, Berlin, New York</w:t>
      </w:r>
      <w:r w:rsidRPr="00DB3579" w:rsidR="00077EA3">
        <w:rPr>
          <w:lang w:val="de-DE"/>
        </w:rPr>
        <w:t xml:space="preserve"> </w:t>
      </w:r>
      <w:r w:rsidRPr="00DB3579" w:rsidR="00C42D92">
        <w:rPr>
          <w:lang w:val="de-DE"/>
        </w:rPr>
        <w:t xml:space="preserve">1989, </w:t>
      </w:r>
      <w:r w:rsidRPr="00DB3579" w:rsidR="00C77E7C">
        <w:rPr>
          <w:lang w:val="uk-UA"/>
        </w:rPr>
        <w:t>стаття</w:t>
      </w:r>
      <w:r w:rsidRPr="00DB3579" w:rsidR="00AC1C5D">
        <w:rPr>
          <w:lang w:val="de-DE"/>
        </w:rPr>
        <w:t> </w:t>
      </w:r>
      <w:r w:rsidRPr="00DB3579" w:rsidR="00C42D92">
        <w:rPr>
          <w:lang w:val="de-DE"/>
        </w:rPr>
        <w:t>220a, §§</w:t>
      </w:r>
      <w:r w:rsidRPr="00DB3579" w:rsidR="00077EA3">
        <w:rPr>
          <w:lang w:val="de-DE"/>
        </w:rPr>
        <w:t xml:space="preserve"> </w:t>
      </w:r>
      <w:r w:rsidRPr="00DB3579" w:rsidR="00C42D92">
        <w:rPr>
          <w:lang w:val="de-DE"/>
        </w:rPr>
        <w:t>4, 8</w:t>
      </w:r>
      <w:r w:rsidRPr="00DB3579" w:rsidR="00AC1C5D">
        <w:rPr>
          <w:lang w:val="de-DE"/>
        </w:rPr>
        <w:t xml:space="preserve"> </w:t>
      </w:r>
      <w:r w:rsidRPr="00DB3579" w:rsidR="0032557C">
        <w:rPr>
          <w:lang w:val="uk-UA"/>
        </w:rPr>
        <w:t>і</w:t>
      </w:r>
      <w:r w:rsidRPr="00DB3579" w:rsidR="00C42D92">
        <w:rPr>
          <w:lang w:val="de-DE"/>
        </w:rPr>
        <w:t xml:space="preserve"> 13).</w:t>
      </w:r>
    </w:p>
    <w:p w:rsidRPr="00D17397" w:rsidR="007C3394" w:rsidP="007C3394" w:rsidRDefault="00851381">
      <w:pPr>
        <w:pStyle w:val="JuPara"/>
        <w:rPr>
          <w:lang w:val="de-DE"/>
        </w:rPr>
      </w:pPr>
      <w:r w:rsidRPr="00DB3579">
        <w:fldChar w:fldCharType="begin"/>
      </w:r>
      <w:r w:rsidRPr="00DB3579">
        <w:rPr>
          <w:lang w:val="de-DE"/>
        </w:rPr>
        <w:instrText xml:space="preserve"> SEQ level0 \*arabic </w:instrText>
      </w:r>
      <w:r w:rsidRPr="00DB3579">
        <w:fldChar w:fldCharType="separate"/>
      </w:r>
      <w:r w:rsidRPr="00DB3579" w:rsidR="00142C04">
        <w:rPr>
          <w:noProof/>
          <w:lang w:val="de-DE"/>
        </w:rPr>
        <w:t>37</w:t>
      </w:r>
      <w:r w:rsidRPr="00DB3579">
        <w:fldChar w:fldCharType="end"/>
      </w:r>
      <w:r w:rsidRPr="00DB3579">
        <w:rPr>
          <w:lang w:val="de-DE"/>
        </w:rPr>
        <w:t>.  </w:t>
      </w:r>
      <w:r w:rsidRPr="00DB3579" w:rsidR="0032557C">
        <w:rPr>
          <w:lang w:val="uk-UA"/>
        </w:rPr>
        <w:t>Відповідно до статті</w:t>
      </w:r>
      <w:r w:rsidRPr="00DB3579" w:rsidR="00077EA3">
        <w:rPr>
          <w:lang w:val="de-DE"/>
        </w:rPr>
        <w:t xml:space="preserve"> </w:t>
      </w:r>
      <w:r w:rsidRPr="00DB3579" w:rsidR="007C3394">
        <w:rPr>
          <w:lang w:val="de-DE"/>
        </w:rPr>
        <w:t>57a §</w:t>
      </w:r>
      <w:r w:rsidRPr="00DB3579" w:rsidR="00077EA3">
        <w:rPr>
          <w:lang w:val="de-DE"/>
        </w:rPr>
        <w:t xml:space="preserve"> </w:t>
      </w:r>
      <w:r w:rsidRPr="00DB3579" w:rsidR="007C3394">
        <w:rPr>
          <w:lang w:val="de-DE"/>
        </w:rPr>
        <w:t xml:space="preserve">1 </w:t>
      </w:r>
      <w:r w:rsidRPr="00DB3579" w:rsidR="0032557C">
        <w:rPr>
          <w:lang w:val="uk-UA"/>
        </w:rPr>
        <w:t>Кримінального кодексу</w:t>
      </w:r>
      <w:r w:rsidRPr="00DB3579" w:rsidR="00D17397">
        <w:rPr>
          <w:lang w:val="uk-UA"/>
        </w:rPr>
        <w:t>,</w:t>
      </w:r>
      <w:r w:rsidRPr="00DB3579" w:rsidR="0032557C">
        <w:rPr>
          <w:lang w:val="de-DE"/>
        </w:rPr>
        <w:t xml:space="preserve"> </w:t>
      </w:r>
      <w:r w:rsidRPr="00DB3579" w:rsidR="0032557C">
        <w:rPr>
          <w:lang w:val="uk-UA"/>
        </w:rPr>
        <w:t xml:space="preserve">засудження до довічного </w:t>
      </w:r>
      <w:proofErr w:type="spellStart"/>
      <w:r w:rsidRPr="00DB3579" w:rsidR="0032557C">
        <w:rPr>
          <w:lang w:val="uk-UA"/>
        </w:rPr>
        <w:t>ув</w:t>
      </w:r>
      <w:r w:rsidR="00761A37">
        <w:rPr>
          <w:lang w:val="uk-UA"/>
        </w:rPr>
        <w:t>’</w:t>
      </w:r>
      <w:r w:rsidRPr="00DB3579" w:rsidR="0032557C">
        <w:rPr>
          <w:lang w:val="fr-FR"/>
        </w:rPr>
        <w:t>язнення</w:t>
      </w:r>
      <w:proofErr w:type="spellEnd"/>
      <w:r w:rsidRPr="00DB3579" w:rsidR="0032557C">
        <w:rPr>
          <w:lang w:val="de-DE"/>
        </w:rPr>
        <w:t xml:space="preserve"> </w:t>
      </w:r>
      <w:proofErr w:type="spellStart"/>
      <w:r w:rsidRPr="00DB3579" w:rsidR="0032557C">
        <w:rPr>
          <w:lang w:val="fr-FR"/>
        </w:rPr>
        <w:t>може</w:t>
      </w:r>
      <w:proofErr w:type="spellEnd"/>
      <w:r w:rsidRPr="00DB3579" w:rsidR="0032557C">
        <w:rPr>
          <w:lang w:val="de-DE"/>
        </w:rPr>
        <w:t xml:space="preserve"> </w:t>
      </w:r>
      <w:proofErr w:type="spellStart"/>
      <w:r w:rsidRPr="00DB3579" w:rsidR="0032557C">
        <w:rPr>
          <w:lang w:val="fr-FR"/>
        </w:rPr>
        <w:t>бути</w:t>
      </w:r>
      <w:proofErr w:type="spellEnd"/>
      <w:r w:rsidRPr="00DB3579" w:rsidR="0032557C">
        <w:rPr>
          <w:lang w:val="de-DE"/>
        </w:rPr>
        <w:t xml:space="preserve"> </w:t>
      </w:r>
      <w:r w:rsidRPr="00DB3579" w:rsidR="0032557C">
        <w:rPr>
          <w:lang w:val="fr-FR"/>
        </w:rPr>
        <w:t>замінене</w:t>
      </w:r>
      <w:r w:rsidRPr="00DB3579" w:rsidR="0032557C">
        <w:rPr>
          <w:lang w:val="de-DE"/>
        </w:rPr>
        <w:t xml:space="preserve"> </w:t>
      </w:r>
      <w:r w:rsidRPr="00DB3579" w:rsidR="0032557C">
        <w:rPr>
          <w:lang w:val="fr-FR"/>
        </w:rPr>
        <w:t>на</w:t>
      </w:r>
      <w:r w:rsidRPr="00DB3579" w:rsidR="0032557C">
        <w:rPr>
          <w:lang w:val="de-DE"/>
        </w:rPr>
        <w:t xml:space="preserve"> </w:t>
      </w:r>
      <w:r w:rsidRPr="00DB3579" w:rsidR="0032557C">
        <w:rPr>
          <w:lang w:val="fr-FR"/>
        </w:rPr>
        <w:t>умовне</w:t>
      </w:r>
      <w:r w:rsidRPr="00DB3579" w:rsidR="00C77E7C">
        <w:rPr>
          <w:lang w:val="uk-UA"/>
        </w:rPr>
        <w:t>,</w:t>
      </w:r>
      <w:r w:rsidRPr="00DB3579" w:rsidR="0032557C">
        <w:rPr>
          <w:lang w:val="de-DE"/>
        </w:rPr>
        <w:t xml:space="preserve"> </w:t>
      </w:r>
      <w:r w:rsidRPr="00DB3579" w:rsidR="0032557C">
        <w:rPr>
          <w:lang w:val="fr-FR"/>
        </w:rPr>
        <w:t>якщо</w:t>
      </w:r>
      <w:r w:rsidRPr="00DB3579" w:rsidR="0032557C">
        <w:rPr>
          <w:lang w:val="de-DE"/>
        </w:rPr>
        <w:t xml:space="preserve">, </w:t>
      </w:r>
      <w:r w:rsidRPr="00DB3579" w:rsidR="0032557C">
        <w:rPr>
          <w:lang w:val="fr-FR"/>
        </w:rPr>
        <w:t>зо</w:t>
      </w:r>
      <w:r w:rsidR="0032557C">
        <w:rPr>
          <w:lang w:val="fr-FR"/>
        </w:rPr>
        <w:t>крема</w:t>
      </w:r>
      <w:r w:rsidRPr="00D17397" w:rsidR="0032557C">
        <w:rPr>
          <w:lang w:val="de-DE"/>
        </w:rPr>
        <w:t xml:space="preserve">, </w:t>
      </w:r>
      <w:r w:rsidR="0032557C">
        <w:rPr>
          <w:lang w:val="uk-UA"/>
        </w:rPr>
        <w:t xml:space="preserve">відбуто </w:t>
      </w:r>
      <w:proofErr w:type="spellStart"/>
      <w:r w:rsidR="0032557C">
        <w:rPr>
          <w:lang w:val="uk-UA"/>
        </w:rPr>
        <w:t>п</w:t>
      </w:r>
      <w:r w:rsidR="00761A37">
        <w:rPr>
          <w:lang w:val="uk-UA"/>
        </w:rPr>
        <w:t>’</w:t>
      </w:r>
      <w:proofErr w:type="spellEnd"/>
      <w:r w:rsidR="0032557C">
        <w:rPr>
          <w:lang w:val="fr-FR"/>
        </w:rPr>
        <w:t>я</w:t>
      </w:r>
      <w:proofErr w:type="spellStart"/>
      <w:r w:rsidR="0032557C">
        <w:rPr>
          <w:lang w:val="uk-UA"/>
        </w:rPr>
        <w:t>тнадцять</w:t>
      </w:r>
      <w:proofErr w:type="spellEnd"/>
      <w:r w:rsidR="0032557C">
        <w:rPr>
          <w:lang w:val="uk-UA"/>
        </w:rPr>
        <w:t xml:space="preserve"> років ув</w:t>
      </w:r>
      <w:r w:rsidR="00761A37">
        <w:rPr>
          <w:lang w:val="uk-UA"/>
        </w:rPr>
        <w:t>’</w:t>
      </w:r>
      <w:r w:rsidR="0032557C">
        <w:rPr>
          <w:lang w:val="fr-FR"/>
        </w:rPr>
        <w:t>язнення</w:t>
      </w:r>
      <w:r w:rsidR="0032557C">
        <w:rPr>
          <w:lang w:val="uk-UA"/>
        </w:rPr>
        <w:t>, і особлива тяжкість вини засудженої особи</w:t>
      </w:r>
      <w:r w:rsidRPr="00D17397" w:rsidR="0032557C">
        <w:rPr>
          <w:lang w:val="de-DE"/>
        </w:rPr>
        <w:t xml:space="preserve"> </w:t>
      </w:r>
      <w:r w:rsidRPr="00D17397" w:rsidR="00D25E87">
        <w:rPr>
          <w:lang w:val="de-DE"/>
        </w:rPr>
        <w:t>(</w:t>
      </w:r>
      <w:r w:rsidRPr="00D17397" w:rsidR="00D25E87">
        <w:rPr>
          <w:i/>
          <w:lang w:val="de-DE"/>
        </w:rPr>
        <w:t>besondere Schwere der Schuld</w:t>
      </w:r>
      <w:r w:rsidRPr="00D17397" w:rsidR="00D25E87">
        <w:rPr>
          <w:lang w:val="de-DE"/>
        </w:rPr>
        <w:t xml:space="preserve">) </w:t>
      </w:r>
      <w:r w:rsidR="0032557C">
        <w:rPr>
          <w:lang w:val="uk-UA"/>
        </w:rPr>
        <w:t>не г</w:t>
      </w:r>
      <w:r w:rsidR="00D17397">
        <w:rPr>
          <w:lang w:val="uk-UA"/>
        </w:rPr>
        <w:t>а</w:t>
      </w:r>
      <w:r w:rsidR="0032557C">
        <w:rPr>
          <w:lang w:val="uk-UA"/>
        </w:rPr>
        <w:t>рантує продовження відбуття вироку</w:t>
      </w:r>
      <w:r w:rsidRPr="00D17397" w:rsidR="007C3394">
        <w:rPr>
          <w:lang w:val="de-DE"/>
        </w:rPr>
        <w:t>.</w:t>
      </w:r>
    </w:p>
    <w:p w:rsidR="007C3394" w:rsidP="007C3394" w:rsidRDefault="007C3394">
      <w:pPr>
        <w:pStyle w:val="JuH1"/>
      </w:pPr>
      <w:r>
        <w:t>2.  </w:t>
      </w:r>
      <w:r w:rsidR="006C3FC4">
        <w:rPr>
          <w:lang w:val="uk-UA"/>
        </w:rPr>
        <w:t>Кримінально-процесуальний кодекс</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38</w:t>
      </w:r>
      <w:r w:rsidRPr="00B62174">
        <w:fldChar w:fldCharType="end"/>
      </w:r>
      <w:r w:rsidRPr="00B62174">
        <w:t>.  </w:t>
      </w:r>
      <w:r w:rsidR="00C23501">
        <w:rPr>
          <w:lang w:val="uk-UA"/>
        </w:rPr>
        <w:t>Відповідно до статті</w:t>
      </w:r>
      <w:r w:rsidR="00C23501">
        <w:t xml:space="preserve"> </w:t>
      </w:r>
      <w:r w:rsidR="007C3394">
        <w:t>244 §</w:t>
      </w:r>
      <w:r w:rsidR="00077EA3">
        <w:t xml:space="preserve"> </w:t>
      </w:r>
      <w:r w:rsidR="007C3394">
        <w:t>3</w:t>
      </w:r>
      <w:r w:rsidR="00FE0A56">
        <w:t xml:space="preserve"> </w:t>
      </w:r>
      <w:r w:rsidR="00C23501">
        <w:rPr>
          <w:lang w:val="uk-UA"/>
        </w:rPr>
        <w:t>Кримінально-процесуального кодексу</w:t>
      </w:r>
      <w:r w:rsidR="007C3394">
        <w:t xml:space="preserve">, </w:t>
      </w:r>
      <w:r w:rsidR="00C23501">
        <w:rPr>
          <w:lang w:val="uk-UA"/>
        </w:rPr>
        <w:t>клопотання про залучення доказів може бути відхилене лише за умов, наведених у цій статті</w:t>
      </w:r>
      <w:r w:rsidR="007C3394">
        <w:t xml:space="preserve">. </w:t>
      </w:r>
      <w:r w:rsidR="00C23501">
        <w:rPr>
          <w:lang w:val="uk-UA"/>
        </w:rPr>
        <w:t>Його може бути відхилено</w:t>
      </w:r>
      <w:r w:rsidR="007C3394">
        <w:t xml:space="preserve">, </w:t>
      </w:r>
      <w:r w:rsidRPr="00E71FB6" w:rsidR="007C3394">
        <w:rPr>
          <w:i/>
        </w:rPr>
        <w:t>inter alia</w:t>
      </w:r>
      <w:r w:rsidR="007C3394">
        <w:t xml:space="preserve">, </w:t>
      </w:r>
      <w:r w:rsidR="00C23501">
        <w:rPr>
          <w:lang w:val="uk-UA"/>
        </w:rPr>
        <w:t xml:space="preserve">якщо доказ недоступний </w:t>
      </w:r>
      <w:r w:rsidR="007C3394">
        <w:t>(</w:t>
      </w:r>
      <w:r w:rsidRPr="00E71FB6" w:rsidR="007C3394">
        <w:rPr>
          <w:i/>
        </w:rPr>
        <w:t>unerreichbar</w:t>
      </w:r>
      <w:r w:rsidR="007C3394">
        <w:t>).</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39</w:t>
      </w:r>
      <w:r w:rsidRPr="00B62174">
        <w:fldChar w:fldCharType="end"/>
      </w:r>
      <w:r w:rsidRPr="00B62174">
        <w:t>.  </w:t>
      </w:r>
      <w:r w:rsidR="00C23501">
        <w:rPr>
          <w:lang w:val="uk-UA"/>
        </w:rPr>
        <w:t>Стаття</w:t>
      </w:r>
      <w:r w:rsidR="00077EA3">
        <w:t xml:space="preserve"> </w:t>
      </w:r>
      <w:r w:rsidRPr="00124436" w:rsidR="007C3394">
        <w:t>244</w:t>
      </w:r>
      <w:r w:rsidR="007C3394">
        <w:t xml:space="preserve"> §</w:t>
      </w:r>
      <w:r w:rsidR="00077EA3">
        <w:t xml:space="preserve"> </w:t>
      </w:r>
      <w:r w:rsidR="007C3394">
        <w:t xml:space="preserve">5, </w:t>
      </w:r>
      <w:r w:rsidR="00C23501">
        <w:rPr>
          <w:lang w:val="uk-UA"/>
        </w:rPr>
        <w:t>друге речення</w:t>
      </w:r>
      <w:r w:rsidR="007C3394">
        <w:t>,</w:t>
      </w:r>
      <w:r w:rsidR="00C23501">
        <w:rPr>
          <w:lang w:val="uk-UA"/>
        </w:rPr>
        <w:t xml:space="preserve"> Кримінально-процесуального кодексу наводить спеціальні умови для відхилення клопотання про заслухання свідків, які мають давати показання за кордоном</w:t>
      </w:r>
      <w:r w:rsidR="007C3394">
        <w:t xml:space="preserve">. </w:t>
      </w:r>
      <w:r w:rsidR="00C23501">
        <w:rPr>
          <w:lang w:val="uk-UA"/>
        </w:rPr>
        <w:t>Ці умови менш суворі, ніж стосовно відхилення клопотання про заслухання свідків, які можуть давати показання</w:t>
      </w:r>
      <w:r w:rsidR="00C23501">
        <w:t xml:space="preserve"> </w:t>
      </w:r>
      <w:r w:rsidR="00C23501">
        <w:rPr>
          <w:lang w:val="uk-UA"/>
        </w:rPr>
        <w:t>у Німеччині</w:t>
      </w:r>
      <w:r w:rsidR="007C3394">
        <w:t xml:space="preserve">. </w:t>
      </w:r>
      <w:r w:rsidR="00C23501">
        <w:rPr>
          <w:lang w:val="uk-UA"/>
        </w:rPr>
        <w:t>Достатньо</w:t>
      </w:r>
      <w:r w:rsidR="00D17397">
        <w:rPr>
          <w:lang w:val="uk-UA"/>
        </w:rPr>
        <w:t>,</w:t>
      </w:r>
      <w:r w:rsidR="00C23501">
        <w:rPr>
          <w:lang w:val="uk-UA"/>
        </w:rPr>
        <w:t xml:space="preserve"> аби суд на власний розсуд вирішив, що</w:t>
      </w:r>
      <w:r w:rsidRPr="00C23501" w:rsidR="00C23501">
        <w:rPr>
          <w:lang w:val="uk-UA"/>
        </w:rPr>
        <w:t xml:space="preserve"> </w:t>
      </w:r>
      <w:r w:rsidR="00C23501">
        <w:rPr>
          <w:lang w:val="uk-UA"/>
        </w:rPr>
        <w:t>заслухання свідка не</w:t>
      </w:r>
      <w:r w:rsidR="00D17397">
        <w:rPr>
          <w:lang w:val="uk-UA"/>
        </w:rPr>
        <w:t xml:space="preserve"> </w:t>
      </w:r>
      <w:r w:rsidR="00C23501">
        <w:rPr>
          <w:lang w:val="uk-UA"/>
        </w:rPr>
        <w:t>є необхідним для становлення істини</w:t>
      </w:r>
      <w:r w:rsidRPr="00955632" w:rsidR="007C3394">
        <w:t>.</w:t>
      </w:r>
    </w:p>
    <w:p w:rsidRPr="007E625D" w:rsidR="007C3394" w:rsidP="007C3394" w:rsidRDefault="00556FC2">
      <w:pPr>
        <w:pStyle w:val="JuH1"/>
        <w:rPr>
          <w:lang w:val="uk-UA"/>
        </w:rPr>
      </w:pPr>
      <w:r>
        <w:t>3.  </w:t>
      </w:r>
      <w:r w:rsidR="007E625D">
        <w:rPr>
          <w:lang w:val="uk-UA"/>
        </w:rPr>
        <w:t>Порівняльне і публічне міжнародне право і практика</w:t>
      </w:r>
    </w:p>
    <w:p w:rsidR="00761A37" w:rsidP="00556FC2" w:rsidRDefault="002F47EB">
      <w:pPr>
        <w:pStyle w:val="JuHa0"/>
        <w:rPr>
          <w:lang w:val="uk-UA"/>
        </w:rPr>
      </w:pPr>
      <w:r>
        <w:t>(a)</w:t>
      </w:r>
      <w:r w:rsidR="00556FC2">
        <w:t>  </w:t>
      </w:r>
      <w:r w:rsidR="007E625D">
        <w:rPr>
          <w:lang w:val="uk-UA"/>
        </w:rPr>
        <w:t>Визначення і обсяги злочину геноциду</w:t>
      </w:r>
    </w:p>
    <w:p w:rsidRPr="00761A37" w:rsidR="007C3394" w:rsidP="00990EB2" w:rsidRDefault="00990EB2">
      <w:pPr>
        <w:pStyle w:val="JuHi"/>
        <w:rPr>
          <w:lang w:val="ru-RU"/>
        </w:rPr>
      </w:pPr>
      <w:r w:rsidRPr="00761A37">
        <w:rPr>
          <w:lang w:val="ru-RU"/>
        </w:rPr>
        <w:t>(</w:t>
      </w:r>
      <w:proofErr w:type="spellStart"/>
      <w:r>
        <w:t>i</w:t>
      </w:r>
      <w:proofErr w:type="spellEnd"/>
      <w:r w:rsidRPr="00761A37">
        <w:rPr>
          <w:lang w:val="ru-RU"/>
        </w:rPr>
        <w:t>)</w:t>
      </w:r>
      <w:r w:rsidRPr="00990EB2" w:rsidR="007C3394">
        <w:t>  </w:t>
      </w:r>
      <w:r w:rsidRPr="00761A37" w:rsidR="00AC1C5D">
        <w:rPr>
          <w:lang w:val="ru-RU"/>
        </w:rPr>
        <w:t xml:space="preserve"> </w:t>
      </w:r>
      <w:r w:rsidRPr="004331C1" w:rsidR="004331C1">
        <w:rPr>
          <w:bCs/>
        </w:rPr>
        <w:fldChar w:fldCharType="begin"/>
      </w:r>
      <w:r w:rsidRPr="00761A37" w:rsidR="004331C1">
        <w:rPr>
          <w:bCs/>
          <w:lang w:val="ru-RU"/>
        </w:rPr>
        <w:instrText xml:space="preserve"> </w:instrText>
      </w:r>
      <w:r w:rsidRPr="004331C1" w:rsidR="004331C1">
        <w:rPr>
          <w:bCs/>
        </w:rPr>
        <w:instrText>HYPERLINK</w:instrText>
      </w:r>
      <w:r w:rsidRPr="00761A37" w:rsidR="004331C1">
        <w:rPr>
          <w:bCs/>
          <w:lang w:val="ru-RU"/>
        </w:rPr>
        <w:instrText xml:space="preserve"> "</w:instrText>
      </w:r>
      <w:r w:rsidRPr="004331C1" w:rsidR="004331C1">
        <w:rPr>
          <w:bCs/>
        </w:rPr>
        <w:instrText>http</w:instrText>
      </w:r>
      <w:r w:rsidRPr="00761A37" w:rsidR="004331C1">
        <w:rPr>
          <w:bCs/>
          <w:lang w:val="ru-RU"/>
        </w:rPr>
        <w:instrText>://</w:instrText>
      </w:r>
      <w:r w:rsidRPr="004331C1" w:rsidR="004331C1">
        <w:rPr>
          <w:bCs/>
        </w:rPr>
        <w:instrText>zakon</w:instrText>
      </w:r>
      <w:r w:rsidRPr="00761A37" w:rsidR="004331C1">
        <w:rPr>
          <w:bCs/>
          <w:lang w:val="ru-RU"/>
        </w:rPr>
        <w:instrText>.</w:instrText>
      </w:r>
      <w:r w:rsidRPr="004331C1" w:rsidR="004331C1">
        <w:rPr>
          <w:bCs/>
        </w:rPr>
        <w:instrText>rada</w:instrText>
      </w:r>
      <w:r w:rsidRPr="00761A37" w:rsidR="004331C1">
        <w:rPr>
          <w:bCs/>
          <w:lang w:val="ru-RU"/>
        </w:rPr>
        <w:instrText>.</w:instrText>
      </w:r>
      <w:r w:rsidRPr="004331C1" w:rsidR="004331C1">
        <w:rPr>
          <w:bCs/>
        </w:rPr>
        <w:instrText>gov</w:instrText>
      </w:r>
      <w:r w:rsidRPr="00761A37" w:rsidR="004331C1">
        <w:rPr>
          <w:bCs/>
          <w:lang w:val="ru-RU"/>
        </w:rPr>
        <w:instrText>.</w:instrText>
      </w:r>
      <w:r w:rsidRPr="004331C1" w:rsidR="004331C1">
        <w:rPr>
          <w:bCs/>
        </w:rPr>
        <w:instrText>ua</w:instrText>
      </w:r>
      <w:r w:rsidRPr="00761A37" w:rsidR="004331C1">
        <w:rPr>
          <w:bCs/>
          <w:lang w:val="ru-RU"/>
        </w:rPr>
        <w:instrText>/</w:instrText>
      </w:r>
      <w:r w:rsidRPr="004331C1" w:rsidR="004331C1">
        <w:rPr>
          <w:bCs/>
        </w:rPr>
        <w:instrText>go</w:instrText>
      </w:r>
      <w:r w:rsidRPr="00761A37" w:rsidR="004331C1">
        <w:rPr>
          <w:bCs/>
          <w:lang w:val="ru-RU"/>
        </w:rPr>
        <w:instrText xml:space="preserve">/995_155" </w:instrText>
      </w:r>
      <w:r w:rsidRPr="004331C1" w:rsidR="004331C1">
        <w:rPr>
          <w:bCs/>
        </w:rPr>
        <w:fldChar w:fldCharType="separate"/>
      </w:r>
      <w:r w:rsidRPr="00761A37" w:rsidR="004331C1">
        <w:rPr>
          <w:rStyle w:val="Hyperlink"/>
          <w:bCs/>
          <w:color w:val="auto"/>
          <w:u w:val="none"/>
          <w:lang w:val="ru-RU"/>
        </w:rPr>
        <w:t xml:space="preserve">Конвенція </w:t>
      </w:r>
      <w:r w:rsidRPr="00761A37" w:rsidR="00F25090">
        <w:rPr>
          <w:lang w:val="ru-RU"/>
        </w:rPr>
        <w:t>1948</w:t>
      </w:r>
      <w:r w:rsidR="00F25090">
        <w:rPr>
          <w:lang w:val="uk-UA"/>
        </w:rPr>
        <w:t xml:space="preserve"> року П</w:t>
      </w:r>
      <w:r w:rsidRPr="00761A37" w:rsidR="004331C1">
        <w:rPr>
          <w:rStyle w:val="Hyperlink"/>
          <w:bCs/>
          <w:color w:val="auto"/>
          <w:u w:val="none"/>
          <w:lang w:val="ru-RU"/>
        </w:rPr>
        <w:t>ро запобігання злочину геноциду та покарання за нього</w:t>
      </w:r>
      <w:r w:rsidRPr="004331C1" w:rsidR="004331C1">
        <w:rPr>
          <w:bCs/>
        </w:rPr>
        <w:fldChar w:fldCharType="end"/>
      </w:r>
      <w:r w:rsidRPr="00761A37" w:rsidR="004331C1">
        <w:rPr>
          <w:lang w:val="ru-RU"/>
        </w:rPr>
        <w:t xml:space="preserve"> </w:t>
      </w:r>
      <w:r w:rsidRPr="00761A37" w:rsidR="00AC1C5D">
        <w:rPr>
          <w:lang w:val="ru-RU"/>
        </w:rPr>
        <w:t>(</w:t>
      </w:r>
      <w:r w:rsidRPr="00761A37" w:rsidR="00F25090">
        <w:rPr>
          <w:lang w:val="ru-RU"/>
        </w:rPr>
        <w:t>Про запобігання геноциду</w:t>
      </w:r>
      <w:r w:rsidRPr="00761A37" w:rsidR="00AC1C5D">
        <w:rPr>
          <w:lang w:val="ru-RU"/>
        </w:rPr>
        <w:t>)</w:t>
      </w:r>
    </w:p>
    <w:p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40</w:t>
      </w:r>
      <w:r w:rsidRPr="00B62174">
        <w:fldChar w:fldCharType="end"/>
      </w:r>
      <w:r w:rsidRPr="00B62174">
        <w:t>.  </w:t>
      </w:r>
      <w:r w:rsidR="007E625D">
        <w:rPr>
          <w:lang w:val="uk-UA"/>
        </w:rPr>
        <w:t>Відповідні положення Конвенції п</w:t>
      </w:r>
      <w:r w:rsidRPr="00F25090" w:rsidR="007E625D">
        <w:t>ро запобігання геноциду</w:t>
      </w:r>
      <w:r w:rsidR="007E625D">
        <w:rPr>
          <w:lang w:val="uk-UA"/>
        </w:rPr>
        <w:t xml:space="preserve">, яка </w:t>
      </w:r>
      <w:r w:rsidR="00162079">
        <w:rPr>
          <w:lang w:val="uk-UA"/>
        </w:rPr>
        <w:t>набула чиннос</w:t>
      </w:r>
      <w:r w:rsidR="007E625D">
        <w:rPr>
          <w:lang w:val="uk-UA"/>
        </w:rPr>
        <w:t xml:space="preserve">ті для Німеччини </w:t>
      </w:r>
      <w:r w:rsidR="007C3394">
        <w:t>22</w:t>
      </w:r>
      <w:r w:rsidR="00077EA3">
        <w:t xml:space="preserve"> </w:t>
      </w:r>
      <w:r w:rsidR="007E625D">
        <w:rPr>
          <w:lang w:val="uk-UA"/>
        </w:rPr>
        <w:t xml:space="preserve">лютого </w:t>
      </w:r>
      <w:r w:rsidR="007C3394">
        <w:t>1955</w:t>
      </w:r>
      <w:r w:rsidR="007E625D">
        <w:rPr>
          <w:lang w:val="uk-UA"/>
        </w:rPr>
        <w:t xml:space="preserve"> року</w:t>
      </w:r>
      <w:r w:rsidR="007C3394">
        <w:t xml:space="preserve">, </w:t>
      </w:r>
      <w:r w:rsidR="007E625D">
        <w:rPr>
          <w:lang w:val="uk-UA"/>
        </w:rPr>
        <w:t>говорять</w:t>
      </w:r>
      <w:r w:rsidR="007C3394">
        <w:t>:</w:t>
      </w:r>
    </w:p>
    <w:p w:rsidRPr="00075C5A" w:rsidR="007C3394" w:rsidP="00AC1C5D" w:rsidRDefault="007E625D">
      <w:pPr>
        <w:pStyle w:val="JuHArticle"/>
      </w:pPr>
      <w:r>
        <w:rPr>
          <w:lang w:val="uk-UA"/>
        </w:rPr>
        <w:t>Стаття</w:t>
      </w:r>
      <w:r w:rsidR="00077EA3">
        <w:t xml:space="preserve"> </w:t>
      </w:r>
      <w:r w:rsidRPr="00075C5A" w:rsidR="007C3394">
        <w:t>II</w:t>
      </w:r>
    </w:p>
    <w:p w:rsidR="007C3394" w:rsidP="007C3394" w:rsidRDefault="007C3394">
      <w:pPr>
        <w:pStyle w:val="JuQuot"/>
      </w:pPr>
      <w:r>
        <w:t>“</w:t>
      </w:r>
      <w:r w:rsidRPr="004331C1" w:rsidR="009E7217">
        <w:rPr>
          <w:color w:val="000000"/>
          <w:szCs w:val="24"/>
          <w:lang w:val="uk-UA"/>
        </w:rPr>
        <w:t xml:space="preserve">У даній Конвенції під геноцидом розуміються наступні дії, </w:t>
      </w:r>
      <w:r w:rsidR="00EA4DB4">
        <w:rPr>
          <w:color w:val="000000"/>
          <w:szCs w:val="24"/>
          <w:lang w:val="uk-UA"/>
        </w:rPr>
        <w:t>в</w:t>
      </w:r>
      <w:r w:rsidRPr="004331C1" w:rsidR="009E7217">
        <w:rPr>
          <w:color w:val="000000"/>
          <w:szCs w:val="24"/>
          <w:lang w:val="uk-UA"/>
        </w:rPr>
        <w:t>чинені з наміром знищити, цілком чи частково, яку-небудь національну, етнічну, расову чи релігійну групу як таку</w:t>
      </w:r>
      <w:r>
        <w:t>:</w:t>
      </w:r>
    </w:p>
    <w:p w:rsidR="009E7217" w:rsidP="009E7217" w:rsidRDefault="009E7217">
      <w:pPr>
        <w:pStyle w:val="JuQuot"/>
        <w:numPr>
          <w:ilvl w:val="0"/>
          <w:numId w:val="2"/>
        </w:numPr>
        <w:rPr>
          <w:color w:val="000000"/>
          <w:szCs w:val="24"/>
          <w:lang w:val="uk-UA"/>
        </w:rPr>
      </w:pPr>
      <w:r w:rsidRPr="004331C1">
        <w:rPr>
          <w:color w:val="000000"/>
          <w:szCs w:val="24"/>
          <w:lang w:val="uk-UA"/>
        </w:rPr>
        <w:t>убивство членів такої групи;</w:t>
      </w:r>
    </w:p>
    <w:p w:rsidRPr="009E7217" w:rsidR="009E7217" w:rsidP="009E7217" w:rsidRDefault="009E7217">
      <w:pPr>
        <w:pStyle w:val="JuQuot"/>
        <w:numPr>
          <w:ilvl w:val="0"/>
          <w:numId w:val="2"/>
        </w:numPr>
        <w:rPr>
          <w:lang w:val="uk-UA"/>
        </w:rPr>
      </w:pPr>
      <w:r w:rsidRPr="004331C1">
        <w:rPr>
          <w:color w:val="000000"/>
          <w:szCs w:val="24"/>
          <w:lang w:val="uk-UA"/>
        </w:rPr>
        <w:t>заподіяння серйозних тілесних ушкоджень чи розумового розладу членам такої групи;</w:t>
      </w:r>
    </w:p>
    <w:p w:rsidRPr="009E7217" w:rsidR="009E7217" w:rsidP="009E7217" w:rsidRDefault="009E7217">
      <w:pPr>
        <w:pStyle w:val="JuQuot"/>
        <w:numPr>
          <w:ilvl w:val="0"/>
          <w:numId w:val="2"/>
        </w:numPr>
        <w:rPr>
          <w:lang w:val="uk-UA"/>
        </w:rPr>
      </w:pPr>
      <w:r w:rsidRPr="004331C1">
        <w:rPr>
          <w:color w:val="000000"/>
          <w:szCs w:val="24"/>
          <w:lang w:val="uk-UA"/>
        </w:rPr>
        <w:t>навмисне створення для якої-небудь групи таких життєвих умов, що розраховані на повне чи часткове фізичне знищення її;</w:t>
      </w:r>
    </w:p>
    <w:p w:rsidRPr="00DB3579" w:rsidR="009E7217" w:rsidP="009E7217" w:rsidRDefault="009E7217">
      <w:pPr>
        <w:pStyle w:val="JuQuot"/>
        <w:numPr>
          <w:ilvl w:val="0"/>
          <w:numId w:val="2"/>
        </w:numPr>
        <w:rPr>
          <w:lang w:val="uk-UA"/>
        </w:rPr>
      </w:pPr>
      <w:r w:rsidRPr="004331C1">
        <w:rPr>
          <w:color w:val="000000"/>
          <w:szCs w:val="24"/>
          <w:lang w:val="uk-UA"/>
        </w:rPr>
        <w:t xml:space="preserve">міри, розраховані на запобігання </w:t>
      </w:r>
      <w:r w:rsidRPr="00DB3579" w:rsidR="004B56F2">
        <w:rPr>
          <w:color w:val="000000"/>
          <w:szCs w:val="24"/>
          <w:lang w:val="uk-UA"/>
        </w:rPr>
        <w:t>народж</w:t>
      </w:r>
      <w:r w:rsidRPr="00DB3579" w:rsidR="00DB3579">
        <w:rPr>
          <w:color w:val="000000"/>
          <w:szCs w:val="24"/>
          <w:lang w:val="uk-UA"/>
        </w:rPr>
        <w:t xml:space="preserve">уваності </w:t>
      </w:r>
      <w:r w:rsidRPr="00DB3579" w:rsidR="004B56F2">
        <w:rPr>
          <w:color w:val="000000"/>
          <w:szCs w:val="24"/>
          <w:lang w:val="uk-UA"/>
        </w:rPr>
        <w:t>у даній групі)</w:t>
      </w:r>
      <w:r w:rsidRPr="00DB3579">
        <w:rPr>
          <w:color w:val="000000"/>
          <w:szCs w:val="24"/>
          <w:lang w:val="uk-UA"/>
        </w:rPr>
        <w:t>;</w:t>
      </w:r>
    </w:p>
    <w:p w:rsidR="007C3394" w:rsidP="009E7217" w:rsidRDefault="009E7217">
      <w:pPr>
        <w:pStyle w:val="JuQuot"/>
        <w:numPr>
          <w:ilvl w:val="0"/>
          <w:numId w:val="2"/>
        </w:numPr>
        <w:rPr>
          <w:lang w:val="uk-UA"/>
        </w:rPr>
      </w:pPr>
      <w:r w:rsidRPr="00DB3579">
        <w:rPr>
          <w:color w:val="000000"/>
          <w:szCs w:val="24"/>
          <w:lang w:val="uk-UA"/>
        </w:rPr>
        <w:t xml:space="preserve">насильницька передача дітей з однієї людської групи </w:t>
      </w:r>
      <w:r w:rsidRPr="00DB3579" w:rsidR="00EA4DB4">
        <w:rPr>
          <w:color w:val="000000"/>
          <w:szCs w:val="24"/>
          <w:lang w:val="uk-UA"/>
        </w:rPr>
        <w:t>до іншої</w:t>
      </w:r>
      <w:r w:rsidRPr="009E7217" w:rsidR="007C3394">
        <w:rPr>
          <w:lang w:val="uk-UA"/>
        </w:rPr>
        <w:t>.”</w:t>
      </w:r>
    </w:p>
    <w:p w:rsidRPr="006264E0" w:rsidR="00BA1AFF" w:rsidP="00E1758B" w:rsidRDefault="00E1758B">
      <w:pPr>
        <w:pStyle w:val="JuHi"/>
        <w:rPr>
          <w:lang w:val="uk-UA"/>
        </w:rPr>
      </w:pPr>
      <w:r w:rsidRPr="006264E0">
        <w:rPr>
          <w:lang w:val="uk-UA"/>
        </w:rPr>
        <w:t>(</w:t>
      </w:r>
      <w:r w:rsidRPr="00E1758B" w:rsidR="00BA1AFF">
        <w:t>ii</w:t>
      </w:r>
      <w:r w:rsidRPr="006264E0">
        <w:rPr>
          <w:lang w:val="uk-UA"/>
        </w:rPr>
        <w:t>)</w:t>
      </w:r>
      <w:r w:rsidRPr="00E1758B" w:rsidR="00BA1AFF">
        <w:t>  </w:t>
      </w:r>
      <w:r w:rsidR="006264E0">
        <w:rPr>
          <w:lang w:val="uk-UA"/>
        </w:rPr>
        <w:t>Резолюція Генеральної Асамблеї ООН</w:t>
      </w:r>
    </w:p>
    <w:p w:rsidRPr="00DB3579" w:rsidR="00BA1AFF" w:rsidP="00BA1AFF" w:rsidRDefault="00BA1AFF">
      <w:pPr>
        <w:pStyle w:val="JuPara"/>
        <w:rPr>
          <w:lang w:val="uk-UA"/>
        </w:rPr>
      </w:pPr>
      <w:r w:rsidRPr="00B62174">
        <w:fldChar w:fldCharType="begin"/>
      </w:r>
      <w:r w:rsidRPr="006264E0">
        <w:rPr>
          <w:lang w:val="uk-UA"/>
        </w:rPr>
        <w:instrText xml:space="preserve"> </w:instrText>
      </w:r>
      <w:r w:rsidRPr="00B62174">
        <w:instrText>SEQ</w:instrText>
      </w:r>
      <w:r w:rsidRPr="006264E0">
        <w:rPr>
          <w:lang w:val="uk-UA"/>
        </w:rPr>
        <w:instrText xml:space="preserve"> </w:instrText>
      </w:r>
      <w:r w:rsidRPr="00B62174">
        <w:instrText>level</w:instrText>
      </w:r>
      <w:r w:rsidRPr="006264E0">
        <w:rPr>
          <w:lang w:val="uk-UA"/>
        </w:rPr>
        <w:instrText>0 \*</w:instrText>
      </w:r>
      <w:r w:rsidRPr="00B62174">
        <w:instrText>arabic</w:instrText>
      </w:r>
      <w:r w:rsidRPr="006264E0">
        <w:rPr>
          <w:lang w:val="uk-UA"/>
        </w:rPr>
        <w:instrText xml:space="preserve"> </w:instrText>
      </w:r>
      <w:r w:rsidRPr="00B62174">
        <w:fldChar w:fldCharType="separate"/>
      </w:r>
      <w:r w:rsidRPr="006264E0" w:rsidR="00142C04">
        <w:rPr>
          <w:noProof/>
          <w:lang w:val="uk-UA"/>
        </w:rPr>
        <w:t>41</w:t>
      </w:r>
      <w:r w:rsidRPr="00B62174">
        <w:fldChar w:fldCharType="end"/>
      </w:r>
      <w:r w:rsidRPr="006264E0">
        <w:rPr>
          <w:lang w:val="uk-UA"/>
        </w:rPr>
        <w:t>.</w:t>
      </w:r>
      <w:r w:rsidRPr="00B62174">
        <w:t>  </w:t>
      </w:r>
      <w:r w:rsidR="006264E0">
        <w:rPr>
          <w:lang w:val="uk-UA"/>
        </w:rPr>
        <w:t>У резолюції</w:t>
      </w:r>
      <w:r w:rsidRPr="006264E0" w:rsidR="00077EA3">
        <w:rPr>
          <w:lang w:val="uk-UA"/>
        </w:rPr>
        <w:t xml:space="preserve"> </w:t>
      </w:r>
      <w:r w:rsidRPr="006264E0">
        <w:rPr>
          <w:lang w:val="uk-UA"/>
        </w:rPr>
        <w:t>47/121 (</w:t>
      </w:r>
      <w:r w:rsidR="006264E0">
        <w:rPr>
          <w:lang w:val="uk-UA"/>
        </w:rPr>
        <w:t>№</w:t>
      </w:r>
      <w:r w:rsidRPr="006264E0" w:rsidR="00077EA3">
        <w:rPr>
          <w:lang w:val="uk-UA"/>
        </w:rPr>
        <w:t xml:space="preserve"> </w:t>
      </w:r>
      <w:r>
        <w:t>A</w:t>
      </w:r>
      <w:r w:rsidRPr="00DB3579">
        <w:rPr>
          <w:lang w:val="uk-UA"/>
        </w:rPr>
        <w:t>/</w:t>
      </w:r>
      <w:r>
        <w:t>RES</w:t>
      </w:r>
      <w:r w:rsidRPr="00DB3579">
        <w:rPr>
          <w:lang w:val="uk-UA"/>
        </w:rPr>
        <w:t xml:space="preserve">/47/121) </w:t>
      </w:r>
      <w:r w:rsidR="006264E0">
        <w:rPr>
          <w:lang w:val="uk-UA"/>
        </w:rPr>
        <w:t>від</w:t>
      </w:r>
      <w:r w:rsidRPr="00DB3579">
        <w:rPr>
          <w:lang w:val="uk-UA"/>
        </w:rPr>
        <w:t xml:space="preserve"> 18</w:t>
      </w:r>
      <w:r w:rsidRPr="00DB3579" w:rsidR="00077EA3">
        <w:rPr>
          <w:lang w:val="uk-UA"/>
        </w:rPr>
        <w:t xml:space="preserve"> </w:t>
      </w:r>
      <w:r w:rsidR="006264E0">
        <w:rPr>
          <w:lang w:val="uk-UA"/>
        </w:rPr>
        <w:t>грудня</w:t>
      </w:r>
      <w:r w:rsidRPr="00DB3579">
        <w:rPr>
          <w:lang w:val="uk-UA"/>
        </w:rPr>
        <w:t xml:space="preserve"> 1992</w:t>
      </w:r>
      <w:r w:rsidR="006264E0">
        <w:rPr>
          <w:lang w:val="uk-UA"/>
        </w:rPr>
        <w:t xml:space="preserve"> року стосовно ситуації у Боснії і Герцегов</w:t>
      </w:r>
      <w:r w:rsidR="00EA4DB4">
        <w:rPr>
          <w:lang w:val="uk-UA"/>
        </w:rPr>
        <w:t>и</w:t>
      </w:r>
      <w:r w:rsidR="006264E0">
        <w:rPr>
          <w:lang w:val="uk-UA"/>
        </w:rPr>
        <w:t>ні</w:t>
      </w:r>
      <w:r w:rsidRPr="00DB3579">
        <w:rPr>
          <w:lang w:val="uk-UA"/>
        </w:rPr>
        <w:t xml:space="preserve"> </w:t>
      </w:r>
      <w:r w:rsidR="006264E0">
        <w:rPr>
          <w:lang w:val="uk-UA"/>
        </w:rPr>
        <w:t xml:space="preserve">у </w:t>
      </w:r>
      <w:r w:rsidRPr="00DB3579">
        <w:rPr>
          <w:lang w:val="uk-UA"/>
        </w:rPr>
        <w:t>1992</w:t>
      </w:r>
      <w:r w:rsidR="006264E0">
        <w:rPr>
          <w:lang w:val="uk-UA"/>
        </w:rPr>
        <w:t xml:space="preserve"> році</w:t>
      </w:r>
      <w:r w:rsidRPr="00DB3579">
        <w:rPr>
          <w:lang w:val="uk-UA"/>
        </w:rPr>
        <w:t xml:space="preserve">, </w:t>
      </w:r>
      <w:r w:rsidR="006264E0">
        <w:rPr>
          <w:lang w:val="uk-UA"/>
        </w:rPr>
        <w:t>Генеральна Асамблея ООН зазначила</w:t>
      </w:r>
      <w:r w:rsidRPr="00DB3579">
        <w:rPr>
          <w:lang w:val="uk-UA"/>
        </w:rPr>
        <w:t>:</w:t>
      </w:r>
    </w:p>
    <w:p w:rsidRPr="00DB3579" w:rsidR="00BA1AFF" w:rsidP="00BA1AFF" w:rsidRDefault="00BA1AFF">
      <w:pPr>
        <w:pStyle w:val="JuQuot"/>
        <w:rPr>
          <w:lang w:val="uk-UA"/>
        </w:rPr>
      </w:pPr>
      <w:r w:rsidRPr="00DB3579">
        <w:rPr>
          <w:lang w:val="uk-UA"/>
        </w:rPr>
        <w:t>“</w:t>
      </w:r>
      <w:r w:rsidR="006C3A6C">
        <w:rPr>
          <w:lang w:val="uk-UA"/>
        </w:rPr>
        <w:t>Глибоко стурбовані погіршенням ситуації у Республіці Босні</w:t>
      </w:r>
      <w:r w:rsidR="00D17397">
        <w:rPr>
          <w:lang w:val="uk-UA"/>
        </w:rPr>
        <w:t>я</w:t>
      </w:r>
      <w:r w:rsidR="006C3A6C">
        <w:rPr>
          <w:lang w:val="uk-UA"/>
        </w:rPr>
        <w:t xml:space="preserve"> і </w:t>
      </w:r>
      <w:r w:rsidR="00162079">
        <w:rPr>
          <w:lang w:val="uk-UA"/>
        </w:rPr>
        <w:t>Герцеговина</w:t>
      </w:r>
      <w:r w:rsidR="006C3A6C">
        <w:rPr>
          <w:lang w:val="uk-UA"/>
        </w:rPr>
        <w:t xml:space="preserve">, спричиненій зростанням агресії сербських і чорногорських </w:t>
      </w:r>
      <w:r w:rsidRPr="00E525D6" w:rsidR="006C3A6C">
        <w:rPr>
          <w:lang w:val="uk-UA"/>
        </w:rPr>
        <w:t>військ</w:t>
      </w:r>
      <w:r w:rsidRPr="00E525D6" w:rsidR="00EA4DB4">
        <w:rPr>
          <w:lang w:val="uk-UA"/>
        </w:rPr>
        <w:t>,</w:t>
      </w:r>
      <w:r w:rsidRPr="00E525D6" w:rsidR="006C3A6C">
        <w:rPr>
          <w:lang w:val="uk-UA"/>
        </w:rPr>
        <w:t xml:space="preserve"> з метою</w:t>
      </w:r>
      <w:r w:rsidR="00761A37">
        <w:rPr>
          <w:lang w:val="uk-UA"/>
        </w:rPr>
        <w:t xml:space="preserve"> </w:t>
      </w:r>
      <w:r w:rsidR="006C3A6C">
        <w:rPr>
          <w:lang w:val="uk-UA"/>
        </w:rPr>
        <w:t xml:space="preserve">силового загарбання території, </w:t>
      </w:r>
      <w:r w:rsidRPr="006C3A6C" w:rsidR="006C3A6C">
        <w:rPr>
          <w:rStyle w:val="hps"/>
          <w:lang w:val="uk-UA"/>
        </w:rPr>
        <w:t>характерних</w:t>
      </w:r>
      <w:r w:rsidRPr="006C3A6C" w:rsidR="006C3A6C">
        <w:rPr>
          <w:lang w:val="uk-UA"/>
        </w:rPr>
        <w:t xml:space="preserve"> </w:t>
      </w:r>
      <w:r w:rsidRPr="006C3A6C" w:rsidR="006C3A6C">
        <w:rPr>
          <w:rStyle w:val="hps"/>
          <w:lang w:val="uk-UA"/>
        </w:rPr>
        <w:t>постійно</w:t>
      </w:r>
      <w:r w:rsidR="006C3A6C">
        <w:rPr>
          <w:rStyle w:val="hps"/>
          <w:lang w:val="uk-UA"/>
        </w:rPr>
        <w:t>ю</w:t>
      </w:r>
      <w:r w:rsidRPr="006C3A6C" w:rsidR="006C3A6C">
        <w:rPr>
          <w:rStyle w:val="hps"/>
          <w:lang w:val="uk-UA"/>
        </w:rPr>
        <w:t xml:space="preserve"> практик</w:t>
      </w:r>
      <w:r w:rsidR="006C3A6C">
        <w:rPr>
          <w:rStyle w:val="hps"/>
          <w:lang w:val="uk-UA"/>
        </w:rPr>
        <w:t>ою</w:t>
      </w:r>
      <w:r w:rsidRPr="006C3A6C" w:rsidR="006C3A6C">
        <w:rPr>
          <w:rStyle w:val="hps"/>
          <w:lang w:val="uk-UA"/>
        </w:rPr>
        <w:t xml:space="preserve"> грубих</w:t>
      </w:r>
      <w:r w:rsidRPr="006C3A6C" w:rsidR="006C3A6C">
        <w:rPr>
          <w:lang w:val="uk-UA"/>
        </w:rPr>
        <w:t xml:space="preserve"> </w:t>
      </w:r>
      <w:r w:rsidRPr="006C3A6C" w:rsidR="006C3A6C">
        <w:rPr>
          <w:rStyle w:val="hps"/>
          <w:lang w:val="uk-UA"/>
        </w:rPr>
        <w:t>та систематичних порушень</w:t>
      </w:r>
      <w:r w:rsidRPr="006C3A6C" w:rsidR="006C3A6C">
        <w:rPr>
          <w:lang w:val="uk-UA"/>
        </w:rPr>
        <w:t xml:space="preserve"> </w:t>
      </w:r>
      <w:r w:rsidRPr="006C3A6C" w:rsidR="006C3A6C">
        <w:rPr>
          <w:rStyle w:val="hps"/>
          <w:lang w:val="uk-UA"/>
        </w:rPr>
        <w:t>прав</w:t>
      </w:r>
      <w:r w:rsidRPr="006C3A6C" w:rsidR="006C3A6C">
        <w:rPr>
          <w:lang w:val="uk-UA"/>
        </w:rPr>
        <w:t xml:space="preserve"> </w:t>
      </w:r>
      <w:r w:rsidRPr="006C3A6C" w:rsidR="006C3A6C">
        <w:rPr>
          <w:rStyle w:val="hps"/>
          <w:lang w:val="uk-UA"/>
        </w:rPr>
        <w:t>людини</w:t>
      </w:r>
      <w:r w:rsidR="006C3A6C">
        <w:rPr>
          <w:rStyle w:val="hps"/>
          <w:lang w:val="uk-UA"/>
        </w:rPr>
        <w:t xml:space="preserve">, збільшенням кількості біженців, спричиненої масовим вигнанням беззахисного цивільного населення з їхніх </w:t>
      </w:r>
      <w:r w:rsidR="00D17397">
        <w:rPr>
          <w:rStyle w:val="hps"/>
          <w:lang w:val="uk-UA"/>
        </w:rPr>
        <w:t>помешкань</w:t>
      </w:r>
      <w:r w:rsidR="006C3A6C">
        <w:rPr>
          <w:rStyle w:val="hps"/>
          <w:lang w:val="uk-UA"/>
        </w:rPr>
        <w:t xml:space="preserve">, і існуванням у </w:t>
      </w:r>
      <w:r w:rsidR="006C3A6C">
        <w:rPr>
          <w:lang w:val="uk-UA"/>
        </w:rPr>
        <w:t xml:space="preserve">Сербії і Чорногорії </w:t>
      </w:r>
      <w:r w:rsidR="00C12FB9">
        <w:rPr>
          <w:lang w:val="uk-UA"/>
        </w:rPr>
        <w:t xml:space="preserve">контрольованих районів концентраційних таборів і центрів затримання, котрі переслідують політику «етнічних чисток», </w:t>
      </w:r>
      <w:r w:rsidR="00D17397">
        <w:rPr>
          <w:lang w:val="uk-UA"/>
        </w:rPr>
        <w:t>яка</w:t>
      </w:r>
      <w:r w:rsidR="00C12FB9">
        <w:rPr>
          <w:lang w:val="uk-UA"/>
        </w:rPr>
        <w:t xml:space="preserve"> є формою геноциду</w:t>
      </w:r>
      <w:r w:rsidRPr="00DB3579">
        <w:rPr>
          <w:lang w:val="uk-UA"/>
        </w:rPr>
        <w:t xml:space="preserve">, </w:t>
      </w:r>
      <w:r w:rsidRPr="00DB3579" w:rsidR="00910E44">
        <w:rPr>
          <w:lang w:val="uk-UA"/>
        </w:rPr>
        <w:t>...</w:t>
      </w:r>
      <w:r w:rsidRPr="00DB3579">
        <w:rPr>
          <w:lang w:val="uk-UA"/>
        </w:rPr>
        <w:t>”</w:t>
      </w:r>
    </w:p>
    <w:p w:rsidRPr="006264E0" w:rsidR="007C3394" w:rsidP="00D63548" w:rsidRDefault="00D63548">
      <w:pPr>
        <w:pStyle w:val="JuHi"/>
        <w:rPr>
          <w:lang w:val="uk-UA"/>
        </w:rPr>
      </w:pPr>
      <w:r w:rsidRPr="00D63548">
        <w:t>(</w:t>
      </w:r>
      <w:r w:rsidRPr="00D63548" w:rsidR="00BA1AFF">
        <w:t>i</w:t>
      </w:r>
      <w:r w:rsidRPr="00D63548" w:rsidR="00556FC2">
        <w:t>ii</w:t>
      </w:r>
      <w:r w:rsidRPr="00D63548">
        <w:t>)</w:t>
      </w:r>
      <w:r w:rsidRPr="00D63548" w:rsidR="007C3394">
        <w:t>  </w:t>
      </w:r>
      <w:r w:rsidR="006264E0">
        <w:rPr>
          <w:lang w:val="uk-UA"/>
        </w:rPr>
        <w:t xml:space="preserve">Юриспруденція </w:t>
      </w:r>
      <w:r w:rsidRPr="006264E0" w:rsidR="004331C1">
        <w:rPr>
          <w:bCs/>
        </w:rPr>
        <w:t>М</w:t>
      </w:r>
      <w:r w:rsidRPr="006264E0" w:rsidR="006960F2">
        <w:rPr>
          <w:bCs/>
          <w:lang w:val="uk-UA"/>
        </w:rPr>
        <w:t xml:space="preserve">іжнародного кримінального трибуналу для колишньої </w:t>
      </w:r>
      <w:r w:rsidRPr="006264E0" w:rsidR="004331C1">
        <w:rPr>
          <w:bCs/>
        </w:rPr>
        <w:t>Ю</w:t>
      </w:r>
      <w:r w:rsidRPr="006264E0" w:rsidR="006960F2">
        <w:rPr>
          <w:bCs/>
          <w:lang w:val="uk-UA"/>
        </w:rPr>
        <w:t>гославії</w:t>
      </w:r>
    </w:p>
    <w:p w:rsidRPr="00DB3579" w:rsidR="007C3394" w:rsidP="007C3394" w:rsidRDefault="00851381">
      <w:pPr>
        <w:pStyle w:val="JuPara"/>
        <w:rPr>
          <w:lang w:val="uk-UA"/>
        </w:rPr>
      </w:pPr>
      <w:r w:rsidRPr="00B62174">
        <w:fldChar w:fldCharType="begin"/>
      </w:r>
      <w:r w:rsidRPr="00D17397">
        <w:rPr>
          <w:lang w:val="uk-UA"/>
        </w:rPr>
        <w:instrText xml:space="preserve"> </w:instrText>
      </w:r>
      <w:r w:rsidRPr="00B62174">
        <w:instrText>SEQ</w:instrText>
      </w:r>
      <w:r w:rsidRPr="00D17397">
        <w:rPr>
          <w:lang w:val="uk-UA"/>
        </w:rPr>
        <w:instrText xml:space="preserve"> </w:instrText>
      </w:r>
      <w:r w:rsidRPr="00B62174">
        <w:instrText>level</w:instrText>
      </w:r>
      <w:r w:rsidRPr="00D17397">
        <w:rPr>
          <w:lang w:val="uk-UA"/>
        </w:rPr>
        <w:instrText>0 \*</w:instrText>
      </w:r>
      <w:r w:rsidRPr="00B62174">
        <w:instrText>arabic</w:instrText>
      </w:r>
      <w:r w:rsidRPr="00D17397">
        <w:rPr>
          <w:lang w:val="uk-UA"/>
        </w:rPr>
        <w:instrText xml:space="preserve"> </w:instrText>
      </w:r>
      <w:r w:rsidRPr="00B62174">
        <w:fldChar w:fldCharType="separate"/>
      </w:r>
      <w:r w:rsidRPr="00D17397" w:rsidR="00142C04">
        <w:rPr>
          <w:noProof/>
          <w:lang w:val="uk-UA"/>
        </w:rPr>
        <w:t>42</w:t>
      </w:r>
      <w:r w:rsidRPr="00B62174">
        <w:fldChar w:fldCharType="end"/>
      </w:r>
      <w:r w:rsidRPr="00D17397">
        <w:rPr>
          <w:lang w:val="uk-UA"/>
        </w:rPr>
        <w:t>.</w:t>
      </w:r>
      <w:r w:rsidRPr="00B62174">
        <w:t>  </w:t>
      </w:r>
      <w:r w:rsidR="009C7173">
        <w:rPr>
          <w:lang w:val="uk-UA"/>
        </w:rPr>
        <w:t xml:space="preserve">У справі </w:t>
      </w:r>
      <w:r w:rsidR="009C7173">
        <w:rPr>
          <w:i/>
          <w:lang w:val="uk-UA"/>
        </w:rPr>
        <w:t>Прокурор проти</w:t>
      </w:r>
      <w:r w:rsidRPr="00D17397" w:rsidR="009C7173">
        <w:rPr>
          <w:i/>
          <w:lang w:val="uk-UA"/>
        </w:rPr>
        <w:t xml:space="preserve"> </w:t>
      </w:r>
      <w:r w:rsidR="009C7173">
        <w:rPr>
          <w:i/>
          <w:lang w:val="uk-UA"/>
        </w:rPr>
        <w:t>Крстіча (</w:t>
      </w:r>
      <w:r w:rsidRPr="008554D3" w:rsidR="007C3394">
        <w:rPr>
          <w:i/>
        </w:rPr>
        <w:t>Prosecutor</w:t>
      </w:r>
      <w:r w:rsidRPr="00D17397" w:rsidR="007C3394">
        <w:rPr>
          <w:i/>
          <w:lang w:val="uk-UA"/>
        </w:rPr>
        <w:t xml:space="preserve"> </w:t>
      </w:r>
      <w:r w:rsidRPr="008554D3" w:rsidR="007C3394">
        <w:rPr>
          <w:i/>
        </w:rPr>
        <w:t>v</w:t>
      </w:r>
      <w:r w:rsidRPr="00D17397" w:rsidR="007C3394">
        <w:rPr>
          <w:i/>
          <w:lang w:val="uk-UA"/>
        </w:rPr>
        <w:t xml:space="preserve">. </w:t>
      </w:r>
      <w:r w:rsidRPr="008554D3" w:rsidR="007C3394">
        <w:rPr>
          <w:i/>
        </w:rPr>
        <w:t>Krsti</w:t>
      </w:r>
      <w:r w:rsidRPr="00D17397" w:rsidR="00B17B82">
        <w:rPr>
          <w:i/>
          <w:lang w:val="uk-UA"/>
        </w:rPr>
        <w:t>ć</w:t>
      </w:r>
      <w:r w:rsidR="009C7173">
        <w:rPr>
          <w:i/>
          <w:lang w:val="uk-UA"/>
        </w:rPr>
        <w:t>)</w:t>
      </w:r>
      <w:r w:rsidRPr="00D17397" w:rsidR="007C3394">
        <w:rPr>
          <w:lang w:val="uk-UA"/>
        </w:rPr>
        <w:t xml:space="preserve">, </w:t>
      </w:r>
      <w:r w:rsidRPr="00C0454C" w:rsidR="007C3394">
        <w:t>IT</w:t>
      </w:r>
      <w:r w:rsidRPr="00D17397" w:rsidR="007C3394">
        <w:rPr>
          <w:lang w:val="uk-UA"/>
        </w:rPr>
        <w:t>-98-33-</w:t>
      </w:r>
      <w:r w:rsidRPr="00C0454C" w:rsidR="007C3394">
        <w:t>T</w:t>
      </w:r>
      <w:r w:rsidRPr="00D17397" w:rsidR="007C3394">
        <w:rPr>
          <w:lang w:val="uk-UA"/>
        </w:rPr>
        <w:t xml:space="preserve">, </w:t>
      </w:r>
      <w:r w:rsidR="009C7173">
        <w:rPr>
          <w:lang w:val="uk-UA"/>
        </w:rPr>
        <w:t>вирок від</w:t>
      </w:r>
      <w:r w:rsidRPr="00D17397" w:rsidR="007C3394">
        <w:rPr>
          <w:lang w:val="uk-UA"/>
        </w:rPr>
        <w:t xml:space="preserve"> 2</w:t>
      </w:r>
      <w:r w:rsidRPr="00C0454C" w:rsidR="007C3394">
        <w:t> </w:t>
      </w:r>
      <w:r w:rsidR="009C7173">
        <w:rPr>
          <w:lang w:val="uk-UA"/>
        </w:rPr>
        <w:t>серпня</w:t>
      </w:r>
      <w:r w:rsidRPr="00D17397" w:rsidR="007C3394">
        <w:rPr>
          <w:lang w:val="uk-UA"/>
        </w:rPr>
        <w:t xml:space="preserve"> 2001</w:t>
      </w:r>
      <w:r w:rsidR="009C7173">
        <w:rPr>
          <w:lang w:val="uk-UA"/>
        </w:rPr>
        <w:t xml:space="preserve"> року</w:t>
      </w:r>
      <w:r w:rsidRPr="00D17397" w:rsidR="007C3394">
        <w:rPr>
          <w:lang w:val="uk-UA"/>
        </w:rPr>
        <w:t xml:space="preserve">, </w:t>
      </w:r>
      <w:r w:rsidRPr="00D17397" w:rsidR="00C07477">
        <w:rPr>
          <w:lang w:val="uk-UA"/>
        </w:rPr>
        <w:t>§§</w:t>
      </w:r>
      <w:r w:rsidRPr="00D17397" w:rsidR="00077EA3">
        <w:rPr>
          <w:lang w:val="uk-UA"/>
        </w:rPr>
        <w:t xml:space="preserve"> </w:t>
      </w:r>
      <w:r w:rsidRPr="00D17397" w:rsidR="007C3394">
        <w:rPr>
          <w:lang w:val="uk-UA"/>
        </w:rPr>
        <w:t xml:space="preserve">577-80, </w:t>
      </w:r>
      <w:r w:rsidR="009C7173">
        <w:rPr>
          <w:lang w:val="uk-UA"/>
        </w:rPr>
        <w:t xml:space="preserve">Судова Палата </w:t>
      </w:r>
      <w:r w:rsidRPr="00D17397" w:rsidR="009C7173">
        <w:rPr>
          <w:bCs/>
          <w:lang w:val="uk-UA"/>
        </w:rPr>
        <w:t>М</w:t>
      </w:r>
      <w:r w:rsidRPr="006264E0" w:rsidR="009C7173">
        <w:rPr>
          <w:bCs/>
          <w:lang w:val="uk-UA"/>
        </w:rPr>
        <w:t xml:space="preserve">іжнародного кримінального трибуналу для колишньої </w:t>
      </w:r>
      <w:r w:rsidRPr="00D17397" w:rsidR="009C7173">
        <w:rPr>
          <w:bCs/>
          <w:lang w:val="uk-UA"/>
        </w:rPr>
        <w:t>Ю</w:t>
      </w:r>
      <w:r w:rsidRPr="006264E0" w:rsidR="009C7173">
        <w:rPr>
          <w:bCs/>
          <w:lang w:val="uk-UA"/>
        </w:rPr>
        <w:t>гославії</w:t>
      </w:r>
      <w:r w:rsidRPr="00D17397" w:rsidR="009C7173">
        <w:rPr>
          <w:lang w:val="uk-UA"/>
        </w:rPr>
        <w:t xml:space="preserve"> </w:t>
      </w:r>
      <w:r w:rsidRPr="00D17397" w:rsidR="007C3394">
        <w:rPr>
          <w:lang w:val="uk-UA"/>
        </w:rPr>
        <w:t>(</w:t>
      </w:r>
      <w:r w:rsidR="009C7173">
        <w:rPr>
          <w:lang w:val="uk-UA"/>
        </w:rPr>
        <w:t>МКТЮ</w:t>
      </w:r>
      <w:r w:rsidRPr="00D17397" w:rsidR="007C3394">
        <w:rPr>
          <w:lang w:val="uk-UA"/>
        </w:rPr>
        <w:t xml:space="preserve">), </w:t>
      </w:r>
      <w:r w:rsidR="009C7173">
        <w:rPr>
          <w:lang w:val="uk-UA"/>
        </w:rPr>
        <w:t>завідомо відходя</w:t>
      </w:r>
      <w:r w:rsidR="00D17397">
        <w:rPr>
          <w:lang w:val="uk-UA"/>
        </w:rPr>
        <w:t>ч</w:t>
      </w:r>
      <w:r w:rsidR="009C7173">
        <w:rPr>
          <w:lang w:val="uk-UA"/>
        </w:rPr>
        <w:t>и від широкої інтерпретації поняття «</w:t>
      </w:r>
      <w:r w:rsidRPr="004331C1" w:rsidR="009C7173">
        <w:rPr>
          <w:color w:val="000000"/>
          <w:szCs w:val="24"/>
          <w:lang w:val="uk-UA"/>
        </w:rPr>
        <w:t>з наміром знищити</w:t>
      </w:r>
      <w:r w:rsidR="009C7173">
        <w:rPr>
          <w:color w:val="000000"/>
          <w:szCs w:val="24"/>
          <w:lang w:val="uk-UA"/>
        </w:rPr>
        <w:t>», використаного Генеральною Асамблеєю і Федеральним Конституційним судом у</w:t>
      </w:r>
      <w:r w:rsidR="00761A37">
        <w:rPr>
          <w:color w:val="000000"/>
          <w:szCs w:val="24"/>
          <w:lang w:val="uk-UA"/>
        </w:rPr>
        <w:t xml:space="preserve"> </w:t>
      </w:r>
      <w:r w:rsidR="009C7173">
        <w:rPr>
          <w:lang w:val="uk-UA"/>
        </w:rPr>
        <w:t xml:space="preserve">рішенні від </w:t>
      </w:r>
      <w:r w:rsidRPr="009C7173" w:rsidR="007C3394">
        <w:rPr>
          <w:lang w:val="uk-UA"/>
        </w:rPr>
        <w:t>12</w:t>
      </w:r>
      <w:r w:rsidRPr="009C7173" w:rsidR="00077EA3">
        <w:rPr>
          <w:lang w:val="uk-UA"/>
        </w:rPr>
        <w:t xml:space="preserve"> </w:t>
      </w:r>
      <w:r w:rsidR="009C7173">
        <w:rPr>
          <w:lang w:val="uk-UA"/>
        </w:rPr>
        <w:t>грудня</w:t>
      </w:r>
      <w:r w:rsidRPr="009C7173" w:rsidR="007C3394">
        <w:rPr>
          <w:lang w:val="uk-UA"/>
        </w:rPr>
        <w:t xml:space="preserve"> 2000</w:t>
      </w:r>
      <w:r w:rsidR="009C7173">
        <w:rPr>
          <w:lang w:val="uk-UA"/>
        </w:rPr>
        <w:t xml:space="preserve"> </w:t>
      </w:r>
      <w:r w:rsidRPr="00DB3579" w:rsidR="009C7173">
        <w:rPr>
          <w:lang w:val="uk-UA"/>
        </w:rPr>
        <w:t>року</w:t>
      </w:r>
      <w:r w:rsidRPr="00DB3579" w:rsidR="00E12DF4">
        <w:rPr>
          <w:lang w:val="uk-UA"/>
        </w:rPr>
        <w:t>,</w:t>
      </w:r>
      <w:r w:rsidRPr="00DB3579" w:rsidR="009C7173">
        <w:rPr>
          <w:lang w:val="uk-UA"/>
        </w:rPr>
        <w:t xml:space="preserve"> у даній справі, встановила наступне стосовно</w:t>
      </w:r>
      <w:r w:rsidR="00761A37">
        <w:rPr>
          <w:lang w:val="uk-UA"/>
        </w:rPr>
        <w:t xml:space="preserve"> </w:t>
      </w:r>
      <w:r w:rsidRPr="00DB3579" w:rsidR="009C7173">
        <w:rPr>
          <w:lang w:val="uk-UA"/>
        </w:rPr>
        <w:t>Конвенції про запобігання геноциду</w:t>
      </w:r>
      <w:r w:rsidRPr="00DB3579" w:rsidR="007C3394">
        <w:rPr>
          <w:lang w:val="uk-UA"/>
        </w:rPr>
        <w:t>:</w:t>
      </w:r>
    </w:p>
    <w:p w:rsidRPr="00DB3579" w:rsidR="007C3394" w:rsidP="007C3394" w:rsidRDefault="007C3394">
      <w:pPr>
        <w:pStyle w:val="JuQuot"/>
        <w:rPr>
          <w:lang w:val="uk-UA"/>
        </w:rPr>
      </w:pPr>
      <w:r w:rsidRPr="00DB3579">
        <w:t>“577.  </w:t>
      </w:r>
      <w:r w:rsidRPr="00DB3579" w:rsidR="000C3F21">
        <w:rPr>
          <w:lang w:val="uk-UA"/>
        </w:rPr>
        <w:t xml:space="preserve">Кілька останніх декларацій і рішень інтерпретували </w:t>
      </w:r>
      <w:r w:rsidRPr="00DB3579" w:rsidR="000C3F21">
        <w:rPr>
          <w:color w:val="000000"/>
          <w:szCs w:val="24"/>
          <w:lang w:val="uk-UA"/>
        </w:rPr>
        <w:t xml:space="preserve">намір знищити </w:t>
      </w:r>
      <w:r w:rsidRPr="00DB3579" w:rsidR="00910E44">
        <w:t>...</w:t>
      </w:r>
      <w:r w:rsidR="00761A37">
        <w:t xml:space="preserve"> </w:t>
      </w:r>
      <w:r w:rsidRPr="00DB3579" w:rsidR="000C3F21">
        <w:rPr>
          <w:lang w:val="uk-UA"/>
        </w:rPr>
        <w:t>так, щоб охопити докази, які стосуються діянь, пов</w:t>
      </w:r>
      <w:r w:rsidR="00761A37">
        <w:rPr>
          <w:lang w:val="uk-UA"/>
        </w:rPr>
        <w:t>’</w:t>
      </w:r>
      <w:r w:rsidRPr="00DB3579" w:rsidR="000C3F21">
        <w:rPr>
          <w:lang w:val="uk-UA"/>
        </w:rPr>
        <w:t xml:space="preserve">язаних </w:t>
      </w:r>
      <w:r w:rsidRPr="00DB3579" w:rsidR="00EC6069">
        <w:rPr>
          <w:lang w:val="uk-UA"/>
        </w:rPr>
        <w:t>і</w:t>
      </w:r>
      <w:r w:rsidRPr="00DB3579" w:rsidR="000C3F21">
        <w:rPr>
          <w:lang w:val="uk-UA"/>
        </w:rPr>
        <w:t>з культурними і нефізичним</w:t>
      </w:r>
      <w:r w:rsidRPr="00DB3579" w:rsidR="00EC6069">
        <w:rPr>
          <w:lang w:val="uk-UA"/>
        </w:rPr>
        <w:t>и</w:t>
      </w:r>
      <w:r w:rsidRPr="00DB3579" w:rsidR="000C3F21">
        <w:rPr>
          <w:lang w:val="uk-UA"/>
        </w:rPr>
        <w:t xml:space="preserve"> формами знищення груп</w:t>
      </w:r>
      <w:r w:rsidRPr="00DB3579">
        <w:rPr>
          <w:lang w:val="uk-UA"/>
        </w:rPr>
        <w:t>.</w:t>
      </w:r>
    </w:p>
    <w:p w:rsidRPr="00DB3579" w:rsidR="007C3394" w:rsidP="007C3394" w:rsidRDefault="007C3394">
      <w:pPr>
        <w:pStyle w:val="JuQuot"/>
      </w:pPr>
      <w:r w:rsidRPr="00DB3579">
        <w:t>578.  </w:t>
      </w:r>
      <w:r w:rsidRPr="00DB3579" w:rsidR="000C3F21">
        <w:rPr>
          <w:lang w:val="uk-UA"/>
        </w:rPr>
        <w:t>У</w:t>
      </w:r>
      <w:r w:rsidRPr="00DB3579">
        <w:t xml:space="preserve"> 1992</w:t>
      </w:r>
      <w:r w:rsidRPr="00DB3579" w:rsidR="000C3F21">
        <w:rPr>
          <w:lang w:val="uk-UA"/>
        </w:rPr>
        <w:t xml:space="preserve"> році Генеральна Асамблея ООН засудила етнічні чистки як форму геноциду</w:t>
      </w:r>
      <w:r w:rsidRPr="00DB3579">
        <w:t xml:space="preserve">. </w:t>
      </w:r>
      <w:r w:rsidRPr="00DB3579" w:rsidR="00910E44">
        <w:t>...</w:t>
      </w:r>
    </w:p>
    <w:p w:rsidRPr="00DB3579" w:rsidR="007C3394" w:rsidP="007C3394" w:rsidRDefault="007C3394">
      <w:pPr>
        <w:pStyle w:val="JuQuot"/>
        <w:rPr>
          <w:lang w:val="uk-UA"/>
        </w:rPr>
      </w:pPr>
      <w:r w:rsidRPr="00DB3579">
        <w:t>579.  </w:t>
      </w:r>
      <w:r w:rsidRPr="00DB3579" w:rsidR="000C3F21">
        <w:rPr>
          <w:color w:val="000000"/>
          <w:szCs w:val="24"/>
          <w:lang w:val="uk-UA"/>
        </w:rPr>
        <w:t xml:space="preserve">Федеральний Конституційний суд Німеччини у грудні </w:t>
      </w:r>
      <w:r w:rsidRPr="00DB3579">
        <w:t xml:space="preserve">2000 </w:t>
      </w:r>
      <w:r w:rsidRPr="00DB3579" w:rsidR="000C3F21">
        <w:rPr>
          <w:lang w:val="uk-UA"/>
        </w:rPr>
        <w:t>року постановив, що</w:t>
      </w:r>
    </w:p>
    <w:p w:rsidRPr="00DB3579" w:rsidR="007C3394" w:rsidP="00AC1C5D" w:rsidRDefault="00451E02">
      <w:pPr>
        <w:pStyle w:val="JuQuotSub"/>
        <w:rPr>
          <w:lang w:val="uk-UA"/>
        </w:rPr>
      </w:pPr>
      <w:r w:rsidRPr="00DB3579">
        <w:rPr>
          <w:rStyle w:val="hps"/>
          <w:lang w:val="uk-UA"/>
        </w:rPr>
        <w:t>законодавче визначення</w:t>
      </w:r>
      <w:r w:rsidRPr="00DB3579">
        <w:rPr>
          <w:lang w:val="uk-UA"/>
        </w:rPr>
        <w:t xml:space="preserve"> </w:t>
      </w:r>
      <w:r w:rsidRPr="00DB3579">
        <w:rPr>
          <w:rStyle w:val="hps"/>
          <w:lang w:val="uk-UA"/>
        </w:rPr>
        <w:t>геноциду</w:t>
      </w:r>
      <w:r w:rsidRPr="00DB3579">
        <w:rPr>
          <w:lang w:val="uk-UA"/>
        </w:rPr>
        <w:t xml:space="preserve"> </w:t>
      </w:r>
      <w:r w:rsidRPr="00DB3579">
        <w:rPr>
          <w:rStyle w:val="hps"/>
          <w:lang w:val="uk-UA"/>
        </w:rPr>
        <w:t>захищає</w:t>
      </w:r>
      <w:r w:rsidRPr="00DB3579">
        <w:rPr>
          <w:lang w:val="uk-UA"/>
        </w:rPr>
        <w:t xml:space="preserve"> </w:t>
      </w:r>
      <w:r w:rsidRPr="00DB3579">
        <w:rPr>
          <w:rStyle w:val="hps"/>
          <w:lang w:val="uk-UA"/>
        </w:rPr>
        <w:t>надіндивідуальний</w:t>
      </w:r>
      <w:r w:rsidRPr="00DB3579">
        <w:rPr>
          <w:lang w:val="uk-UA"/>
        </w:rPr>
        <w:t xml:space="preserve"> </w:t>
      </w:r>
      <w:r w:rsidRPr="00DB3579">
        <w:rPr>
          <w:rStyle w:val="hps"/>
          <w:lang w:val="uk-UA"/>
        </w:rPr>
        <w:t>об</w:t>
      </w:r>
      <w:r w:rsidR="00761A37">
        <w:rPr>
          <w:rStyle w:val="hps"/>
          <w:lang w:val="uk-UA"/>
        </w:rPr>
        <w:t>’</w:t>
      </w:r>
      <w:r w:rsidRPr="00DB3579">
        <w:rPr>
          <w:rStyle w:val="hps"/>
          <w:lang w:val="uk-UA"/>
        </w:rPr>
        <w:t>єкт</w:t>
      </w:r>
      <w:r w:rsidRPr="00DB3579">
        <w:rPr>
          <w:lang w:val="uk-UA"/>
        </w:rPr>
        <w:t xml:space="preserve"> </w:t>
      </w:r>
      <w:r w:rsidRPr="00DB3579">
        <w:rPr>
          <w:rStyle w:val="hps"/>
          <w:lang w:val="uk-UA"/>
        </w:rPr>
        <w:t xml:space="preserve">правової охорони, а саме, </w:t>
      </w:r>
      <w:r w:rsidRPr="00DB3579">
        <w:rPr>
          <w:rStyle w:val="hps"/>
          <w:i/>
          <w:lang w:val="uk-UA"/>
        </w:rPr>
        <w:t xml:space="preserve">соціальне </w:t>
      </w:r>
      <w:r w:rsidRPr="00DB3579">
        <w:rPr>
          <w:rStyle w:val="hps"/>
          <w:lang w:val="uk-UA"/>
        </w:rPr>
        <w:t>існування групи</w:t>
      </w:r>
      <w:r w:rsidRPr="00DB3579">
        <w:rPr>
          <w:lang w:val="uk-UA"/>
        </w:rPr>
        <w:t xml:space="preserve"> </w:t>
      </w:r>
      <w:r w:rsidRPr="00DB3579" w:rsidR="00910E44">
        <w:rPr>
          <w:lang w:val="uk-UA"/>
        </w:rPr>
        <w:t>...</w:t>
      </w:r>
      <w:r w:rsidRPr="00DB3579" w:rsidR="007C3394">
        <w:rPr>
          <w:lang w:val="uk-UA"/>
        </w:rPr>
        <w:t xml:space="preserve"> </w:t>
      </w:r>
      <w:r w:rsidRPr="00DB3579">
        <w:rPr>
          <w:color w:val="000000"/>
          <w:szCs w:val="24"/>
          <w:lang w:val="uk-UA"/>
        </w:rPr>
        <w:t>намір знищити групу</w:t>
      </w:r>
      <w:r w:rsidRPr="00DB3579" w:rsidR="007C3394">
        <w:rPr>
          <w:lang w:val="uk-UA"/>
        </w:rPr>
        <w:t xml:space="preserve"> </w:t>
      </w:r>
      <w:r w:rsidRPr="00DB3579" w:rsidR="00910E44">
        <w:rPr>
          <w:lang w:val="uk-UA"/>
        </w:rPr>
        <w:t>...</w:t>
      </w:r>
      <w:r w:rsidRPr="00DB3579" w:rsidR="007C3394">
        <w:rPr>
          <w:lang w:val="uk-UA"/>
        </w:rPr>
        <w:t xml:space="preserve"> </w:t>
      </w:r>
      <w:r w:rsidRPr="00DB3579">
        <w:rPr>
          <w:lang w:val="uk-UA"/>
        </w:rPr>
        <w:t>є ширшим, ніж біологічно-фізичне знищення</w:t>
      </w:r>
      <w:r w:rsidRPr="00DB3579" w:rsidR="007C3394">
        <w:rPr>
          <w:lang w:val="uk-UA"/>
        </w:rPr>
        <w:t xml:space="preserve"> </w:t>
      </w:r>
      <w:r w:rsidRPr="00DB3579" w:rsidR="00910E44">
        <w:rPr>
          <w:lang w:val="uk-UA"/>
        </w:rPr>
        <w:t>...</w:t>
      </w:r>
      <w:r w:rsidRPr="00DB3579" w:rsidR="007C3394">
        <w:rPr>
          <w:lang w:val="uk-UA"/>
        </w:rPr>
        <w:t xml:space="preserve"> </w:t>
      </w:r>
      <w:r w:rsidRPr="00DB3579">
        <w:rPr>
          <w:lang w:val="uk-UA"/>
        </w:rPr>
        <w:t>Отже, текст закону не вимагає тлумачення, відповідно до якого наміром злочинця має бути фізичне знищення</w:t>
      </w:r>
      <w:r w:rsidRPr="00DB3579" w:rsidR="00EC6069">
        <w:rPr>
          <w:lang w:val="uk-UA"/>
        </w:rPr>
        <w:t>,</w:t>
      </w:r>
      <w:r w:rsidRPr="00DB3579">
        <w:rPr>
          <w:lang w:val="uk-UA"/>
        </w:rPr>
        <w:t xml:space="preserve"> принаймні</w:t>
      </w:r>
      <w:r w:rsidRPr="00DB3579" w:rsidR="00EC6069">
        <w:rPr>
          <w:lang w:val="uk-UA"/>
        </w:rPr>
        <w:t>,</w:t>
      </w:r>
      <w:r w:rsidRPr="00DB3579">
        <w:rPr>
          <w:lang w:val="uk-UA"/>
        </w:rPr>
        <w:t xml:space="preserve"> значної кількості членів групи</w:t>
      </w:r>
      <w:r w:rsidRPr="00DB3579" w:rsidR="007C3394">
        <w:rPr>
          <w:lang w:val="uk-UA"/>
        </w:rPr>
        <w:t xml:space="preserve">. </w:t>
      </w:r>
      <w:r w:rsidRPr="00DB3579" w:rsidR="00910E44">
        <w:rPr>
          <w:lang w:val="uk-UA"/>
        </w:rPr>
        <w:t>...</w:t>
      </w:r>
    </w:p>
    <w:p w:rsidR="007C3394" w:rsidP="007C3394" w:rsidRDefault="007C3394">
      <w:pPr>
        <w:pStyle w:val="JuQuot"/>
      </w:pPr>
      <w:r w:rsidRPr="00DB3579">
        <w:t>580.  </w:t>
      </w:r>
      <w:r w:rsidRPr="00DB3579" w:rsidR="009015B5">
        <w:rPr>
          <w:lang w:val="uk-UA"/>
        </w:rPr>
        <w:t>Судова Палата усвідомлює, що має інтерпретувати Конвенці</w:t>
      </w:r>
      <w:r w:rsidRPr="00DB3579" w:rsidR="00EC6069">
        <w:rPr>
          <w:lang w:val="uk-UA"/>
        </w:rPr>
        <w:t>ю з належним у</w:t>
      </w:r>
      <w:r w:rsidRPr="00DB3579" w:rsidR="009015B5">
        <w:rPr>
          <w:lang w:val="uk-UA"/>
        </w:rPr>
        <w:t xml:space="preserve">рахуванням принципу </w:t>
      </w:r>
      <w:r w:rsidRPr="00DB3579">
        <w:rPr>
          <w:i/>
        </w:rPr>
        <w:t>nullum crimen sine lege</w:t>
      </w:r>
      <w:r w:rsidRPr="00DB3579">
        <w:t xml:space="preserve">. </w:t>
      </w:r>
      <w:r w:rsidRPr="00DB3579" w:rsidR="003C6A02">
        <w:rPr>
          <w:lang w:val="uk-UA"/>
        </w:rPr>
        <w:t>Отже, вона визнає, що незважаючи на останні зміни, звичаєве міжнародне право обмежує визначення геноциду діяннями, спрямованими на біологічне або фізичне знищення усієї групи або її частини</w:t>
      </w:r>
      <w:r w:rsidRPr="00DB3579">
        <w:t xml:space="preserve">. </w:t>
      </w:r>
      <w:r w:rsidRPr="00DB3579" w:rsidR="00772E42">
        <w:rPr>
          <w:lang w:val="uk-UA"/>
        </w:rPr>
        <w:t>Отже, заходи, спрямовані на знищення лише культурних або</w:t>
      </w:r>
      <w:r w:rsidRPr="00DB3579" w:rsidR="00D17397">
        <w:rPr>
          <w:lang w:val="uk-UA"/>
        </w:rPr>
        <w:t xml:space="preserve"> </w:t>
      </w:r>
      <w:r w:rsidRPr="00DB3579" w:rsidR="00772E42">
        <w:rPr>
          <w:lang w:val="uk-UA"/>
        </w:rPr>
        <w:t>соціальних ознак людської групи</w:t>
      </w:r>
      <w:r w:rsidRPr="00DB3579" w:rsidR="00EC6069">
        <w:rPr>
          <w:lang w:val="uk-UA"/>
        </w:rPr>
        <w:t>,</w:t>
      </w:r>
      <w:r w:rsidRPr="00DB3579" w:rsidR="00772E42">
        <w:rPr>
          <w:lang w:val="uk-UA"/>
        </w:rPr>
        <w:t xml:space="preserve"> з метою стерти ці елементи, котрі надають цій групі власну ідентичність, ві</w:t>
      </w:r>
      <w:r w:rsidRPr="00DB3579" w:rsidR="006B6F72">
        <w:rPr>
          <w:lang w:val="uk-UA"/>
        </w:rPr>
        <w:t>д</w:t>
      </w:r>
      <w:r w:rsidRPr="00DB3579" w:rsidR="00772E42">
        <w:rPr>
          <w:lang w:val="uk-UA"/>
        </w:rPr>
        <w:t>мінну від решти спільноти, не підпадатиме під визначення геноциду</w:t>
      </w:r>
      <w:r w:rsidRPr="00DB3579">
        <w:t xml:space="preserve">. </w:t>
      </w:r>
      <w:r w:rsidRPr="00DB3579" w:rsidR="00772E42">
        <w:rPr>
          <w:lang w:val="uk-UA"/>
        </w:rPr>
        <w:t>Проте, Судова Палата відмічає,</w:t>
      </w:r>
      <w:r w:rsidRPr="00DB3579" w:rsidR="00FC2BDB">
        <w:rPr>
          <w:lang w:val="uk-UA"/>
        </w:rPr>
        <w:t xml:space="preserve"> що разом із </w:t>
      </w:r>
      <w:r w:rsidRPr="00DB3579" w:rsidR="00772E42">
        <w:rPr>
          <w:lang w:val="uk-UA"/>
        </w:rPr>
        <w:t>біологічним або фізичним знищенням</w:t>
      </w:r>
      <w:r w:rsidR="00772E42">
        <w:rPr>
          <w:lang w:val="uk-UA"/>
        </w:rPr>
        <w:t xml:space="preserve"> часто відбуваються одночасні напади на культурну і релігійну власність і символи відповідної групи, і ці напади можна законно вважати доказами </w:t>
      </w:r>
      <w:r w:rsidR="006B6F72">
        <w:rPr>
          <w:lang w:val="uk-UA"/>
        </w:rPr>
        <w:t>наміру</w:t>
      </w:r>
      <w:r w:rsidR="00772E42">
        <w:t xml:space="preserve"> </w:t>
      </w:r>
      <w:r w:rsidR="006B6F72">
        <w:rPr>
          <w:lang w:val="uk-UA"/>
        </w:rPr>
        <w:t>фізичного знищення групи</w:t>
      </w:r>
      <w:r>
        <w:t>.</w:t>
      </w:r>
      <w:r w:rsidRPr="00C0454C">
        <w:t>”</w:t>
      </w:r>
    </w:p>
    <w:p w:rsidRPr="006B6F72" w:rsidR="007C3394" w:rsidP="007C3394" w:rsidRDefault="00851381">
      <w:pPr>
        <w:pStyle w:val="JuPara"/>
        <w:rPr>
          <w:lang w:val="uk-UA"/>
        </w:rPr>
      </w:pPr>
      <w:r w:rsidRPr="00B62174">
        <w:fldChar w:fldCharType="begin"/>
      </w:r>
      <w:r w:rsidRPr="00B62174">
        <w:instrText xml:space="preserve"> SEQ level0 \*arabic </w:instrText>
      </w:r>
      <w:r w:rsidRPr="00B62174">
        <w:fldChar w:fldCharType="separate"/>
      </w:r>
      <w:r w:rsidR="00142C04">
        <w:rPr>
          <w:noProof/>
        </w:rPr>
        <w:t>43</w:t>
      </w:r>
      <w:r w:rsidRPr="00B62174">
        <w:fldChar w:fldCharType="end"/>
      </w:r>
      <w:r w:rsidRPr="00B62174">
        <w:t>.  </w:t>
      </w:r>
      <w:r w:rsidR="006B6F72">
        <w:rPr>
          <w:lang w:val="uk-UA"/>
        </w:rPr>
        <w:t xml:space="preserve">Вирок Судової Палати був залишений щодо цього без змін Апеляційною Палатою МКТЮ рішенням від </w:t>
      </w:r>
      <w:r w:rsidRPr="006B6F72" w:rsidR="007C3394">
        <w:rPr>
          <w:lang w:val="uk-UA"/>
        </w:rPr>
        <w:t>19</w:t>
      </w:r>
      <w:r w:rsidRPr="006B6F72" w:rsidR="00077EA3">
        <w:rPr>
          <w:lang w:val="uk-UA"/>
        </w:rPr>
        <w:t xml:space="preserve"> </w:t>
      </w:r>
      <w:r w:rsidR="006B6F72">
        <w:rPr>
          <w:lang w:val="uk-UA"/>
        </w:rPr>
        <w:t>квітня</w:t>
      </w:r>
      <w:r w:rsidRPr="006B6F72" w:rsidR="007C3394">
        <w:rPr>
          <w:lang w:val="uk-UA"/>
        </w:rPr>
        <w:t xml:space="preserve"> 2004</w:t>
      </w:r>
      <w:r w:rsidR="006B6F72">
        <w:rPr>
          <w:lang w:val="uk-UA"/>
        </w:rPr>
        <w:t xml:space="preserve"> року, </w:t>
      </w:r>
      <w:r w:rsidR="006B6F72">
        <w:t>IT</w:t>
      </w:r>
      <w:r w:rsidRPr="006B6F72" w:rsidR="006B6F72">
        <w:rPr>
          <w:lang w:val="uk-UA"/>
        </w:rPr>
        <w:t>-98-33-</w:t>
      </w:r>
      <w:r w:rsidR="006B6F72">
        <w:t>A</w:t>
      </w:r>
      <w:r w:rsidRPr="006B6F72" w:rsidR="006B6F72">
        <w:rPr>
          <w:lang w:val="uk-UA"/>
        </w:rPr>
        <w:t>,</w:t>
      </w:r>
      <w:r w:rsidR="006B6F72">
        <w:rPr>
          <w:lang w:val="uk-UA"/>
        </w:rPr>
        <w:t xml:space="preserve"> у котрому йшлося</w:t>
      </w:r>
      <w:r w:rsidRPr="006B6F72" w:rsidR="007C3394">
        <w:rPr>
          <w:lang w:val="uk-UA"/>
        </w:rPr>
        <w:t>:</w:t>
      </w:r>
    </w:p>
    <w:p w:rsidR="007C3394" w:rsidP="007C3394" w:rsidRDefault="00AC1C5D">
      <w:pPr>
        <w:pStyle w:val="JuQuot"/>
      </w:pPr>
      <w:r>
        <w:t>“</w:t>
      </w:r>
      <w:r w:rsidR="00313192">
        <w:t>25.  </w:t>
      </w:r>
      <w:r w:rsidR="006B6F72">
        <w:rPr>
          <w:lang w:val="uk-UA"/>
        </w:rPr>
        <w:t>Конвенція п</w:t>
      </w:r>
      <w:r w:rsidRPr="00F25090" w:rsidR="006B6F72">
        <w:t>ро запобігання геноциду</w:t>
      </w:r>
      <w:r w:rsidR="006B6F72">
        <w:t xml:space="preserve"> </w:t>
      </w:r>
      <w:r w:rsidR="006B6F72">
        <w:rPr>
          <w:lang w:val="uk-UA"/>
        </w:rPr>
        <w:t>і звичаєве міжнародне право загалом забороняють лише</w:t>
      </w:r>
      <w:r w:rsidR="00761A37">
        <w:rPr>
          <w:lang w:val="uk-UA"/>
        </w:rPr>
        <w:t xml:space="preserve"> </w:t>
      </w:r>
      <w:r w:rsidR="006B6F72">
        <w:rPr>
          <w:lang w:val="uk-UA"/>
        </w:rPr>
        <w:t>біологічне або фізичне знищення людської групи</w:t>
      </w:r>
      <w:r w:rsidR="007C3394">
        <w:t xml:space="preserve">. </w:t>
      </w:r>
      <w:r w:rsidR="00910E44">
        <w:t>...</w:t>
      </w:r>
      <w:r w:rsidR="007C3394">
        <w:t xml:space="preserve"> </w:t>
      </w:r>
      <w:r w:rsidR="006B6F72">
        <w:rPr>
          <w:lang w:val="uk-UA"/>
        </w:rPr>
        <w:t>Судова Палата однозначно застосувала це обмеження і відхилила будь-як</w:t>
      </w:r>
      <w:r w:rsidR="00D17397">
        <w:rPr>
          <w:lang w:val="uk-UA"/>
        </w:rPr>
        <w:t>і</w:t>
      </w:r>
      <w:r w:rsidR="006B6F72">
        <w:rPr>
          <w:lang w:val="uk-UA"/>
        </w:rPr>
        <w:t xml:space="preserve"> ширші визначення</w:t>
      </w:r>
      <w:r w:rsidR="007C3394">
        <w:t>.</w:t>
      </w:r>
      <w:r w:rsidR="00313192">
        <w:t xml:space="preserve"> </w:t>
      </w:r>
      <w:r w:rsidR="00910E44">
        <w:t>...</w:t>
      </w:r>
      <w:r w:rsidR="007C3394">
        <w:t>”</w:t>
      </w:r>
    </w:p>
    <w:p w:rsidR="00AD2988" w:rsidP="007C3394" w:rsidRDefault="00AC1C5D">
      <w:pPr>
        <w:pStyle w:val="JuQuot"/>
      </w:pPr>
      <w:r>
        <w:t>33.  </w:t>
      </w:r>
      <w:r w:rsidR="00910E44">
        <w:t>...</w:t>
      </w:r>
      <w:r w:rsidR="00313192">
        <w:t xml:space="preserve"> </w:t>
      </w:r>
      <w:r w:rsidR="00663FEC">
        <w:rPr>
          <w:lang w:val="uk-UA"/>
        </w:rPr>
        <w:t>Те, що при</w:t>
      </w:r>
      <w:r w:rsidR="00D17397">
        <w:rPr>
          <w:lang w:val="uk-UA"/>
        </w:rPr>
        <w:t>м</w:t>
      </w:r>
      <w:r w:rsidR="00663FEC">
        <w:rPr>
          <w:lang w:val="uk-UA"/>
        </w:rPr>
        <w:t>усове п</w:t>
      </w:r>
      <w:r w:rsidR="00D17397">
        <w:rPr>
          <w:lang w:val="uk-UA"/>
        </w:rPr>
        <w:t>е</w:t>
      </w:r>
      <w:r w:rsidR="00663FEC">
        <w:rPr>
          <w:lang w:val="uk-UA"/>
        </w:rPr>
        <w:t xml:space="preserve">реміщення не є саме актом геноциду, не заважає </w:t>
      </w:r>
      <w:r w:rsidR="0093045A">
        <w:rPr>
          <w:lang w:val="uk-UA"/>
        </w:rPr>
        <w:t>Судовій Палат</w:t>
      </w:r>
      <w:r w:rsidR="00663FEC">
        <w:rPr>
          <w:lang w:val="uk-UA"/>
        </w:rPr>
        <w:t>і спиратись на нього як на докази намірів керівного складу</w:t>
      </w:r>
      <w:r w:rsidR="00663FEC">
        <w:t xml:space="preserve"> </w:t>
      </w:r>
      <w:r w:rsidR="00663FEC">
        <w:rPr>
          <w:lang w:val="uk-UA"/>
        </w:rPr>
        <w:t>Армії Сербської Республіки</w:t>
      </w:r>
      <w:r w:rsidR="00313192">
        <w:t xml:space="preserve">. </w:t>
      </w:r>
      <w:r w:rsidR="00663FEC">
        <w:rPr>
          <w:lang w:val="uk-UA"/>
        </w:rPr>
        <w:t>Намір геноциду можна дослідити, поміж інших фактів, за допомогою доказів «інших злочинних діянь, систематично спрямованих проти однієї групи»</w:t>
      </w:r>
      <w:r w:rsidR="00313192">
        <w:t>.”</w:t>
      </w:r>
    </w:p>
    <w:p w:rsidRPr="00C0454C" w:rsidR="007C3394" w:rsidP="007C3394" w:rsidRDefault="00851381">
      <w:pPr>
        <w:pStyle w:val="JuPara"/>
      </w:pPr>
      <w:r w:rsidRPr="00B62174">
        <w:fldChar w:fldCharType="begin"/>
      </w:r>
      <w:r w:rsidRPr="00B62174">
        <w:instrText xml:space="preserve"> SEQ level0 \*arabic </w:instrText>
      </w:r>
      <w:r w:rsidRPr="00B62174">
        <w:fldChar w:fldCharType="separate"/>
      </w:r>
      <w:r w:rsidR="00142C04">
        <w:rPr>
          <w:noProof/>
        </w:rPr>
        <w:t>44</w:t>
      </w:r>
      <w:r w:rsidRPr="00B62174">
        <w:fldChar w:fldCharType="end"/>
      </w:r>
      <w:r w:rsidRPr="00B62174">
        <w:t>.  </w:t>
      </w:r>
      <w:r w:rsidR="00663FEC">
        <w:rPr>
          <w:lang w:val="uk-UA"/>
        </w:rPr>
        <w:t xml:space="preserve">Так само, у справі </w:t>
      </w:r>
      <w:r w:rsidR="00663FEC">
        <w:rPr>
          <w:i/>
          <w:lang w:val="uk-UA"/>
        </w:rPr>
        <w:t xml:space="preserve">Прокурор проти Курпєшкіча та </w:t>
      </w:r>
      <w:r w:rsidR="00A22B6B">
        <w:rPr>
          <w:i/>
          <w:lang w:val="uk-UA"/>
        </w:rPr>
        <w:t>І</w:t>
      </w:r>
      <w:r w:rsidR="00663FEC">
        <w:rPr>
          <w:i/>
          <w:lang w:val="uk-UA"/>
        </w:rPr>
        <w:t>нших (</w:t>
      </w:r>
      <w:r w:rsidRPr="008554D3" w:rsidR="007C3394">
        <w:rPr>
          <w:i/>
        </w:rPr>
        <w:t>Prosecutor v.</w:t>
      </w:r>
      <w:r w:rsidRPr="00162079" w:rsidR="007C3394">
        <w:rPr>
          <w:i/>
          <w:lang w:val="uk-UA"/>
        </w:rPr>
        <w:t xml:space="preserve"> Kupre</w:t>
      </w:r>
      <w:r w:rsidRPr="00162079" w:rsidR="00256C98">
        <w:rPr>
          <w:i/>
          <w:lang w:val="uk-UA"/>
        </w:rPr>
        <w:t>š</w:t>
      </w:r>
      <w:r w:rsidRPr="00162079" w:rsidR="007C3394">
        <w:rPr>
          <w:i/>
          <w:lang w:val="uk-UA"/>
        </w:rPr>
        <w:t>ki</w:t>
      </w:r>
      <w:r w:rsidRPr="00162079" w:rsidR="00256C98">
        <w:rPr>
          <w:i/>
          <w:lang w:val="uk-UA"/>
        </w:rPr>
        <w:t>ć</w:t>
      </w:r>
      <w:r w:rsidRPr="008554D3" w:rsidR="007C3394">
        <w:rPr>
          <w:i/>
        </w:rPr>
        <w:t xml:space="preserve"> and Others</w:t>
      </w:r>
      <w:r w:rsidR="00663FEC">
        <w:rPr>
          <w:i/>
          <w:lang w:val="uk-UA"/>
        </w:rPr>
        <w:t xml:space="preserve">), </w:t>
      </w:r>
      <w:r w:rsidR="003C6E1E">
        <w:t>IT</w:t>
      </w:r>
      <w:r w:rsidR="003C6E1E">
        <w:noBreakHyphen/>
        <w:t>95</w:t>
      </w:r>
      <w:r w:rsidR="003C6E1E">
        <w:noBreakHyphen/>
      </w:r>
      <w:r w:rsidRPr="00C0454C" w:rsidR="007C3394">
        <w:t xml:space="preserve">16-T, </w:t>
      </w:r>
      <w:r w:rsidR="00663FEC">
        <w:rPr>
          <w:lang w:val="uk-UA"/>
        </w:rPr>
        <w:t>вирок від</w:t>
      </w:r>
      <w:r w:rsidRPr="00C0454C" w:rsidR="007C3394">
        <w:t xml:space="preserve"> 14</w:t>
      </w:r>
      <w:r w:rsidR="00077EA3">
        <w:t xml:space="preserve"> </w:t>
      </w:r>
      <w:r w:rsidR="00663FEC">
        <w:rPr>
          <w:lang w:val="uk-UA"/>
        </w:rPr>
        <w:t>січня</w:t>
      </w:r>
      <w:r w:rsidRPr="00C0454C" w:rsidR="007C3394">
        <w:t xml:space="preserve"> 2000</w:t>
      </w:r>
      <w:r w:rsidR="00663FEC">
        <w:rPr>
          <w:lang w:val="uk-UA"/>
        </w:rPr>
        <w:t xml:space="preserve"> року (</w:t>
      </w:r>
      <w:r w:rsidR="00506963">
        <w:t>§</w:t>
      </w:r>
      <w:r w:rsidR="00077EA3">
        <w:t xml:space="preserve"> </w:t>
      </w:r>
      <w:r w:rsidRPr="00C0454C" w:rsidR="007C3394">
        <w:t>751</w:t>
      </w:r>
      <w:r w:rsidR="0063423C">
        <w:t>)</w:t>
      </w:r>
      <w:r w:rsidRPr="00C0454C" w:rsidR="007C3394">
        <w:t xml:space="preserve">, </w:t>
      </w:r>
      <w:r w:rsidR="00663FEC">
        <w:rPr>
          <w:lang w:val="uk-UA"/>
        </w:rPr>
        <w:t xml:space="preserve">котра стосувалась вбивства близько </w:t>
      </w:r>
      <w:r w:rsidR="007C3394">
        <w:t>116</w:t>
      </w:r>
      <w:r w:rsidR="00077EA3">
        <w:t xml:space="preserve"> </w:t>
      </w:r>
      <w:r w:rsidR="00663FEC">
        <w:rPr>
          <w:lang w:val="uk-UA"/>
        </w:rPr>
        <w:t>мусульман з метою вигнання мусульманського населення із села, МКТЮ встановив</w:t>
      </w:r>
      <w:r w:rsidRPr="00C0454C" w:rsidR="007C3394">
        <w:t>:</w:t>
      </w:r>
    </w:p>
    <w:p w:rsidR="007C3394" w:rsidP="007C3394" w:rsidRDefault="007C3394">
      <w:pPr>
        <w:pStyle w:val="JuQuot"/>
      </w:pPr>
      <w:r w:rsidRPr="00C0454C">
        <w:t>“</w:t>
      </w:r>
      <w:r w:rsidR="00AF0416">
        <w:rPr>
          <w:lang w:val="uk-UA"/>
        </w:rPr>
        <w:t>Від переслідування до геноциду, найстрашнішого злочину проти людства, один крок, оскільки у геноциді намір п</w:t>
      </w:r>
      <w:r w:rsidR="00B25280">
        <w:rPr>
          <w:lang w:val="uk-UA"/>
        </w:rPr>
        <w:t>е</w:t>
      </w:r>
      <w:r w:rsidR="00AF0416">
        <w:rPr>
          <w:lang w:val="uk-UA"/>
        </w:rPr>
        <w:t xml:space="preserve">реслідування просувається до крайньої межі – </w:t>
      </w:r>
      <w:r w:rsidR="00162079">
        <w:rPr>
          <w:lang w:val="uk-UA"/>
        </w:rPr>
        <w:t>досягнення</w:t>
      </w:r>
      <w:r w:rsidR="00AF0416">
        <w:rPr>
          <w:lang w:val="uk-UA"/>
        </w:rPr>
        <w:t xml:space="preserve"> фізичного знищення групи або її членів</w:t>
      </w:r>
      <w:r w:rsidRPr="00C0454C">
        <w:t xml:space="preserve">. </w:t>
      </w:r>
      <w:r w:rsidR="0093045A">
        <w:rPr>
          <w:lang w:val="uk-UA"/>
        </w:rPr>
        <w:t>У злочині геноциду злочинний умисел полягає у знищенні групи або її членів</w:t>
      </w:r>
      <w:r w:rsidRPr="00C0454C">
        <w:t>;</w:t>
      </w:r>
      <w:r w:rsidR="0093045A">
        <w:rPr>
          <w:lang w:val="uk-UA"/>
        </w:rPr>
        <w:t xml:space="preserve"> у злочині переслідування злочинний умисел полягає у силовій дискримінації групи або її членів, тяжких і систематичних порушеннях основних прав людини</w:t>
      </w:r>
      <w:r w:rsidRPr="00C0454C">
        <w:t>.</w:t>
      </w:r>
      <w:r w:rsidR="0093045A">
        <w:rPr>
          <w:lang w:val="uk-UA"/>
        </w:rPr>
        <w:t xml:space="preserve"> У даній справі, згідно з Обвинуваченням, і</w:t>
      </w:r>
      <w:r w:rsidR="00761A37">
        <w:rPr>
          <w:lang w:val="uk-UA"/>
        </w:rPr>
        <w:t xml:space="preserve"> </w:t>
      </w:r>
      <w:r w:rsidR="0093045A">
        <w:rPr>
          <w:lang w:val="uk-UA"/>
        </w:rPr>
        <w:t>Судова Палата з цим згодна, вбивство цивільного мусульманського населення було перш за все спрямован</w:t>
      </w:r>
      <w:r w:rsidR="00B25280">
        <w:rPr>
          <w:lang w:val="uk-UA"/>
        </w:rPr>
        <w:t xml:space="preserve">е </w:t>
      </w:r>
      <w:r w:rsidR="0093045A">
        <w:rPr>
          <w:lang w:val="uk-UA"/>
        </w:rPr>
        <w:t>на вигнання цієї групи</w:t>
      </w:r>
      <w:r w:rsidRPr="0093045A" w:rsidR="0093045A">
        <w:rPr>
          <w:lang w:val="uk-UA"/>
        </w:rPr>
        <w:t xml:space="preserve"> </w:t>
      </w:r>
      <w:r w:rsidR="0093045A">
        <w:rPr>
          <w:lang w:val="uk-UA"/>
        </w:rPr>
        <w:t>із села, а не на знищення мусульманської групи як такої</w:t>
      </w:r>
      <w:r w:rsidRPr="00C0454C">
        <w:t xml:space="preserve">. </w:t>
      </w:r>
      <w:r w:rsidR="0093045A">
        <w:rPr>
          <w:lang w:val="uk-UA"/>
        </w:rPr>
        <w:t xml:space="preserve">Отже, маємо справу </w:t>
      </w:r>
      <w:r w:rsidR="00B25280">
        <w:rPr>
          <w:lang w:val="uk-UA"/>
        </w:rPr>
        <w:t>і</w:t>
      </w:r>
      <w:r w:rsidR="0093045A">
        <w:rPr>
          <w:lang w:val="uk-UA"/>
        </w:rPr>
        <w:t>з переслідуванням, а не геноцидом</w:t>
      </w:r>
      <w:r w:rsidRPr="00C0454C">
        <w:t>.”</w:t>
      </w:r>
    </w:p>
    <w:p w:rsidRPr="00B24224" w:rsidR="002772B9" w:rsidP="00145357" w:rsidRDefault="00145357">
      <w:pPr>
        <w:pStyle w:val="JuHi"/>
        <w:rPr>
          <w:lang w:val="uk-UA"/>
        </w:rPr>
      </w:pPr>
      <w:r w:rsidRPr="00145357">
        <w:t>(iv)</w:t>
      </w:r>
      <w:r w:rsidRPr="00145357" w:rsidR="002772B9">
        <w:t>  </w:t>
      </w:r>
      <w:r w:rsidR="00B24224">
        <w:rPr>
          <w:lang w:val="uk-UA"/>
        </w:rPr>
        <w:t>Юриспруденція Міжнародного Суду ООН</w:t>
      </w:r>
    </w:p>
    <w:p w:rsidR="002772B9" w:rsidP="002772B9" w:rsidRDefault="00F12026">
      <w:pPr>
        <w:pStyle w:val="JuPara"/>
      </w:pPr>
      <w:r w:rsidRPr="00B62174">
        <w:fldChar w:fldCharType="begin"/>
      </w:r>
      <w:r w:rsidRPr="00B62174">
        <w:instrText xml:space="preserve"> SEQ level0 \*arabic </w:instrText>
      </w:r>
      <w:r w:rsidRPr="00B62174">
        <w:fldChar w:fldCharType="separate"/>
      </w:r>
      <w:r w:rsidR="00142C04">
        <w:rPr>
          <w:noProof/>
        </w:rPr>
        <w:t>45</w:t>
      </w:r>
      <w:r w:rsidRPr="00B62174">
        <w:fldChar w:fldCharType="end"/>
      </w:r>
      <w:r w:rsidRPr="00B62174">
        <w:t>.  </w:t>
      </w:r>
      <w:r w:rsidR="00D66286">
        <w:rPr>
          <w:lang w:val="uk-UA"/>
        </w:rPr>
        <w:t>У рішенні від</w:t>
      </w:r>
      <w:r w:rsidR="002772B9">
        <w:t xml:space="preserve"> 26</w:t>
      </w:r>
      <w:r w:rsidR="00077EA3">
        <w:t xml:space="preserve"> </w:t>
      </w:r>
      <w:r w:rsidR="00D66286">
        <w:rPr>
          <w:lang w:val="uk-UA"/>
        </w:rPr>
        <w:t xml:space="preserve">лютого </w:t>
      </w:r>
      <w:r w:rsidR="002772B9">
        <w:t>2007</w:t>
      </w:r>
      <w:r w:rsidR="00D66286">
        <w:rPr>
          <w:lang w:val="uk-UA"/>
        </w:rPr>
        <w:t xml:space="preserve"> року у справі</w:t>
      </w:r>
      <w:r w:rsidR="002772B9">
        <w:t xml:space="preserve"> </w:t>
      </w:r>
      <w:r w:rsidR="00D66286">
        <w:rPr>
          <w:i/>
          <w:lang w:val="uk-UA"/>
        </w:rPr>
        <w:t xml:space="preserve">Боснія і </w:t>
      </w:r>
      <w:r w:rsidR="00162079">
        <w:rPr>
          <w:i/>
          <w:lang w:val="uk-UA"/>
        </w:rPr>
        <w:t>Герцеговина</w:t>
      </w:r>
      <w:r w:rsidRPr="00D66286" w:rsidR="00D66286">
        <w:rPr>
          <w:i/>
          <w:lang w:val="uk-UA"/>
        </w:rPr>
        <w:t xml:space="preserve"> проти Сербії і Чорногорії</w:t>
      </w:r>
      <w:r w:rsidRPr="00F12026" w:rsidR="002772B9">
        <w:rPr>
          <w:i/>
        </w:rPr>
        <w:t xml:space="preserve"> </w:t>
      </w:r>
      <w:r w:rsidR="002772B9">
        <w:t>(</w:t>
      </w:r>
      <w:r w:rsidR="00D66286">
        <w:rPr>
          <w:lang w:val="uk-UA"/>
        </w:rPr>
        <w:t xml:space="preserve">«Справа щодо застосування </w:t>
      </w:r>
      <w:r w:rsidR="006B6F72">
        <w:rPr>
          <w:lang w:val="uk-UA"/>
        </w:rPr>
        <w:t>Конвенції п</w:t>
      </w:r>
      <w:r w:rsidRPr="00F25090" w:rsidR="006B6F72">
        <w:t>ро запобігання геноциду</w:t>
      </w:r>
      <w:r w:rsidR="00D66286">
        <w:rPr>
          <w:lang w:val="uk-UA"/>
        </w:rPr>
        <w:t>»</w:t>
      </w:r>
      <w:r w:rsidR="002772B9">
        <w:t xml:space="preserve">) </w:t>
      </w:r>
      <w:r w:rsidR="00D66286">
        <w:rPr>
          <w:lang w:val="uk-UA"/>
        </w:rPr>
        <w:t>Міжнародний Суду ООН</w:t>
      </w:r>
      <w:r w:rsidR="00D66286">
        <w:t xml:space="preserve"> </w:t>
      </w:r>
      <w:r w:rsidR="002772B9">
        <w:t>(</w:t>
      </w:r>
      <w:r w:rsidR="00D66286">
        <w:rPr>
          <w:lang w:val="uk-UA"/>
        </w:rPr>
        <w:t>Суд ООН</w:t>
      </w:r>
      <w:r w:rsidR="002772B9">
        <w:t xml:space="preserve">) </w:t>
      </w:r>
      <w:r w:rsidR="00D66286">
        <w:rPr>
          <w:lang w:val="uk-UA"/>
        </w:rPr>
        <w:t xml:space="preserve">встановив у розділі про «намір і «етнічні чистки» </w:t>
      </w:r>
      <w:r w:rsidR="001077D5">
        <w:t>(</w:t>
      </w:r>
      <w:r w:rsidR="00D66286">
        <w:rPr>
          <w:lang w:val="uk-UA"/>
        </w:rPr>
        <w:t>у</w:t>
      </w:r>
      <w:r w:rsidR="001077D5">
        <w:t xml:space="preserve"> </w:t>
      </w:r>
      <w:r w:rsidR="0049655C">
        <w:t>§</w:t>
      </w:r>
      <w:r w:rsidR="00077EA3">
        <w:t xml:space="preserve"> </w:t>
      </w:r>
      <w:r w:rsidR="001077D5">
        <w:t>190):</w:t>
      </w:r>
    </w:p>
    <w:p w:rsidR="001077D5" w:rsidP="00120CF3" w:rsidRDefault="002F5F94">
      <w:pPr>
        <w:pStyle w:val="JuQuot"/>
      </w:pPr>
      <w:r>
        <w:t>“</w:t>
      </w:r>
      <w:r w:rsidR="00D66286">
        <w:rPr>
          <w:lang w:val="uk-UA"/>
        </w:rPr>
        <w:t xml:space="preserve">Термін «етнічні чистки» часто вживається для означення подій у </w:t>
      </w:r>
      <w:r w:rsidRPr="00D66286" w:rsidR="00D66286">
        <w:rPr>
          <w:lang w:val="uk-UA"/>
        </w:rPr>
        <w:t xml:space="preserve">Боснії і </w:t>
      </w:r>
      <w:r w:rsidRPr="00D66286" w:rsidR="00162079">
        <w:rPr>
          <w:lang w:val="uk-UA"/>
        </w:rPr>
        <w:t>Герцеговині</w:t>
      </w:r>
      <w:r w:rsidR="00D66286">
        <w:rPr>
          <w:lang w:val="uk-UA"/>
        </w:rPr>
        <w:t>, котрі є предметом даної справи</w:t>
      </w:r>
      <w:r w:rsidR="00D66286">
        <w:rPr>
          <w:i/>
          <w:lang w:val="uk-UA"/>
        </w:rPr>
        <w:t xml:space="preserve"> </w:t>
      </w:r>
      <w:r w:rsidR="00910E44">
        <w:t>...</w:t>
      </w:r>
      <w:r w:rsidR="001077D5">
        <w:t xml:space="preserve"> </w:t>
      </w:r>
      <w:r w:rsidR="00D66286">
        <w:rPr>
          <w:lang w:val="uk-UA"/>
        </w:rPr>
        <w:t xml:space="preserve">Резолюція Генеральної Асамблеї </w:t>
      </w:r>
      <w:r w:rsidR="001077D5">
        <w:t>47/1</w:t>
      </w:r>
      <w:r>
        <w:t>21</w:t>
      </w:r>
      <w:r w:rsidR="00D66286">
        <w:rPr>
          <w:lang w:val="uk-UA"/>
        </w:rPr>
        <w:t xml:space="preserve"> каже у преамбулі про «мерзенну політику «етнічних чисток», котрі є формою геноциду», </w:t>
      </w:r>
      <w:r w:rsidR="00F840C4">
        <w:rPr>
          <w:lang w:val="uk-UA"/>
        </w:rPr>
        <w:t xml:space="preserve">яка </w:t>
      </w:r>
      <w:r w:rsidR="00D66286">
        <w:rPr>
          <w:lang w:val="uk-UA"/>
        </w:rPr>
        <w:t xml:space="preserve">провадилась у </w:t>
      </w:r>
      <w:r w:rsidRPr="00D66286" w:rsidR="00D66286">
        <w:rPr>
          <w:lang w:val="uk-UA"/>
        </w:rPr>
        <w:t xml:space="preserve">Боснії і </w:t>
      </w:r>
      <w:r w:rsidRPr="00D66286" w:rsidR="00162079">
        <w:rPr>
          <w:lang w:val="uk-UA"/>
        </w:rPr>
        <w:t>Герцеговині</w:t>
      </w:r>
      <w:r w:rsidR="001077D5">
        <w:t xml:space="preserve">. </w:t>
      </w:r>
      <w:r w:rsidR="00910E44">
        <w:t>...</w:t>
      </w:r>
      <w:r w:rsidR="002F2A28">
        <w:t xml:space="preserve"> </w:t>
      </w:r>
      <w:r w:rsidR="00D66286">
        <w:rPr>
          <w:lang w:val="uk-UA"/>
        </w:rPr>
        <w:t>Вони</w:t>
      </w:r>
      <w:r w:rsidR="002F2A28">
        <w:t xml:space="preserve"> [</w:t>
      </w:r>
      <w:r w:rsidR="00D66286">
        <w:rPr>
          <w:lang w:val="uk-UA"/>
        </w:rPr>
        <w:t>етнічні чистки</w:t>
      </w:r>
      <w:r w:rsidR="002F2A28">
        <w:t>]</w:t>
      </w:r>
      <w:r w:rsidR="00D66286">
        <w:rPr>
          <w:lang w:val="uk-UA"/>
        </w:rPr>
        <w:t xml:space="preserve"> можуть бути формою геноциду у розумінні Конвенції, </w:t>
      </w:r>
      <w:r w:rsidR="00B25280">
        <w:rPr>
          <w:lang w:val="uk-UA"/>
        </w:rPr>
        <w:t xml:space="preserve">лише </w:t>
      </w:r>
      <w:r w:rsidR="00D66286">
        <w:rPr>
          <w:lang w:val="uk-UA"/>
        </w:rPr>
        <w:t>якщо відповідають або стосуються одного з видів діянь, заборонених статтею</w:t>
      </w:r>
      <w:r w:rsidR="002F2A28">
        <w:t xml:space="preserve"> II </w:t>
      </w:r>
      <w:r w:rsidR="00D66286">
        <w:rPr>
          <w:lang w:val="uk-UA"/>
        </w:rPr>
        <w:t>Конвенції</w:t>
      </w:r>
      <w:r w:rsidR="002F2A28">
        <w:t xml:space="preserve">. </w:t>
      </w:r>
      <w:r w:rsidR="00D66286">
        <w:rPr>
          <w:lang w:val="uk-UA"/>
        </w:rPr>
        <w:t xml:space="preserve">Ні намір, як частина політики, зробити регіон «етнічно однорідним», </w:t>
      </w:r>
      <w:r w:rsidR="00312FE9">
        <w:rPr>
          <w:lang w:val="uk-UA"/>
        </w:rPr>
        <w:t xml:space="preserve">ні операції, котрі можуть здійснюватись на втілення такої політики, не можуть </w:t>
      </w:r>
      <w:r w:rsidR="00312FE9">
        <w:rPr>
          <w:i/>
          <w:lang w:val="uk-UA"/>
        </w:rPr>
        <w:t xml:space="preserve">як такі </w:t>
      </w:r>
      <w:r w:rsidR="00312FE9">
        <w:rPr>
          <w:lang w:val="uk-UA"/>
        </w:rPr>
        <w:t xml:space="preserve">бути визначені як геноцид; намір, який характеризує геноцид, полягає у «знищенні цілої або частини» особливої групи, а депортація або переміщення членів групи, навіть здійснені примусово, не </w:t>
      </w:r>
      <w:proofErr w:type="spellStart"/>
      <w:r w:rsidR="00312FE9">
        <w:rPr>
          <w:lang w:val="uk-UA"/>
        </w:rPr>
        <w:t>обов</w:t>
      </w:r>
      <w:r w:rsidR="00761A37">
        <w:rPr>
          <w:lang w:val="uk-UA"/>
        </w:rPr>
        <w:t>’</w:t>
      </w:r>
      <w:r w:rsidR="00312FE9">
        <w:rPr>
          <w:lang w:val="fr-FR"/>
        </w:rPr>
        <w:t>язково</w:t>
      </w:r>
      <w:proofErr w:type="spellEnd"/>
      <w:r w:rsidRPr="00312FE9" w:rsidR="00312FE9">
        <w:rPr>
          <w:lang w:val="en-US"/>
        </w:rPr>
        <w:t xml:space="preserve"> </w:t>
      </w:r>
      <w:r w:rsidR="00312FE9">
        <w:rPr>
          <w:lang w:val="uk-UA"/>
        </w:rPr>
        <w:t>тотожні знищенню такої групи, і знищення не є прямим наслідком переміщення</w:t>
      </w:r>
      <w:r w:rsidR="002F2A28">
        <w:t xml:space="preserve">. </w:t>
      </w:r>
      <w:r w:rsidR="00C95D87">
        <w:rPr>
          <w:lang w:val="uk-UA"/>
        </w:rPr>
        <w:t>Не можна сказати, що діяння, позначені як «етнічні чистки», ніколи не можуть становити геноциду, якщо вони характеризуються, наприклад, «</w:t>
      </w:r>
      <w:r w:rsidRPr="004331C1" w:rsidR="00C95D87">
        <w:rPr>
          <w:color w:val="000000"/>
          <w:szCs w:val="24"/>
          <w:lang w:val="uk-UA"/>
        </w:rPr>
        <w:t>навмисн</w:t>
      </w:r>
      <w:r w:rsidR="00C95D87">
        <w:rPr>
          <w:color w:val="000000"/>
          <w:szCs w:val="24"/>
          <w:lang w:val="uk-UA"/>
        </w:rPr>
        <w:t>им</w:t>
      </w:r>
      <w:r w:rsidRPr="004331C1" w:rsidR="00C95D87">
        <w:rPr>
          <w:color w:val="000000"/>
          <w:szCs w:val="24"/>
          <w:lang w:val="uk-UA"/>
        </w:rPr>
        <w:t xml:space="preserve"> створення</w:t>
      </w:r>
      <w:r w:rsidR="00C95D87">
        <w:rPr>
          <w:color w:val="000000"/>
          <w:szCs w:val="24"/>
          <w:lang w:val="uk-UA"/>
        </w:rPr>
        <w:t>м</w:t>
      </w:r>
      <w:r w:rsidRPr="004331C1" w:rsidR="00C95D87">
        <w:rPr>
          <w:color w:val="000000"/>
          <w:szCs w:val="24"/>
          <w:lang w:val="uk-UA"/>
        </w:rPr>
        <w:t xml:space="preserve"> для групи таких життєвих умов, що розраховані на повне чи часткове фізичне знищення її</w:t>
      </w:r>
      <w:r w:rsidR="00C95D87">
        <w:rPr>
          <w:color w:val="000000"/>
          <w:szCs w:val="24"/>
          <w:lang w:val="uk-UA"/>
        </w:rPr>
        <w:t>», всупереч статті</w:t>
      </w:r>
      <w:r w:rsidR="00C95D87">
        <w:t xml:space="preserve"> </w:t>
      </w:r>
      <w:r w:rsidR="002F2A28">
        <w:t xml:space="preserve">II, </w:t>
      </w:r>
      <w:r w:rsidR="00C95D87">
        <w:rPr>
          <w:lang w:val="uk-UA"/>
        </w:rPr>
        <w:t>параграф</w:t>
      </w:r>
      <w:r w:rsidR="00077EA3">
        <w:t xml:space="preserve"> </w:t>
      </w:r>
      <w:r w:rsidRPr="006D168E" w:rsidR="002F2A28">
        <w:t>(c)</w:t>
      </w:r>
      <w:r w:rsidR="002F2A28">
        <w:t xml:space="preserve">, </w:t>
      </w:r>
      <w:r w:rsidR="00C95D87">
        <w:rPr>
          <w:lang w:val="uk-UA"/>
        </w:rPr>
        <w:t>Конвенції</w:t>
      </w:r>
      <w:r w:rsidR="002F2A28">
        <w:t>,</w:t>
      </w:r>
      <w:r w:rsidR="00C95D87">
        <w:rPr>
          <w:lang w:val="uk-UA"/>
        </w:rPr>
        <w:t xml:space="preserve"> за умови, що таке діяння здійснюється з неодмінно особливим наміром</w:t>
      </w:r>
      <w:r w:rsidR="002F2A28">
        <w:t xml:space="preserve"> (</w:t>
      </w:r>
      <w:r w:rsidRPr="002F5F94" w:rsidR="002F2A28">
        <w:rPr>
          <w:i/>
        </w:rPr>
        <w:t>dolus specialis</w:t>
      </w:r>
      <w:r w:rsidR="002F2A28">
        <w:t xml:space="preserve">), </w:t>
      </w:r>
      <w:r w:rsidR="00C95D87">
        <w:rPr>
          <w:lang w:val="uk-UA"/>
        </w:rPr>
        <w:t>тобто, з метою знищення групи, на відміну від виселення її з регіону</w:t>
      </w:r>
      <w:r w:rsidR="002F2A28">
        <w:t xml:space="preserve">. </w:t>
      </w:r>
      <w:r w:rsidR="00C95D87">
        <w:rPr>
          <w:lang w:val="uk-UA"/>
        </w:rPr>
        <w:t xml:space="preserve">Як зауважив МКТЮ, «хоча є очевидні подібності між політикою геноциду і політикою, загально відомою як </w:t>
      </w:r>
      <w:r w:rsidR="001E61E8">
        <w:rPr>
          <w:lang w:val="uk-UA"/>
        </w:rPr>
        <w:t xml:space="preserve">«етнічні чистки» </w:t>
      </w:r>
      <w:r w:rsidR="00120CF3">
        <w:t>(</w:t>
      </w:r>
      <w:r w:rsidRPr="002F5F94" w:rsidR="00120CF3">
        <w:rPr>
          <w:i/>
        </w:rPr>
        <w:t>Krsti</w:t>
      </w:r>
      <w:r w:rsidRPr="002F5F94">
        <w:rPr>
          <w:i/>
        </w:rPr>
        <w:t>ć</w:t>
      </w:r>
      <w:r w:rsidR="00120CF3">
        <w:t xml:space="preserve">, IT-98-33-T, </w:t>
      </w:r>
      <w:r w:rsidR="001E61E8">
        <w:rPr>
          <w:lang w:val="uk-UA"/>
        </w:rPr>
        <w:t>вирок Судової Палати</w:t>
      </w:r>
      <w:r w:rsidR="00120CF3">
        <w:t>, 2</w:t>
      </w:r>
      <w:r w:rsidR="00077EA3">
        <w:t xml:space="preserve"> </w:t>
      </w:r>
      <w:r w:rsidR="001E61E8">
        <w:rPr>
          <w:lang w:val="uk-UA"/>
        </w:rPr>
        <w:t>серпня</w:t>
      </w:r>
      <w:r w:rsidR="00120CF3">
        <w:t xml:space="preserve"> 2001</w:t>
      </w:r>
      <w:r w:rsidR="001E61E8">
        <w:rPr>
          <w:lang w:val="uk-UA"/>
        </w:rPr>
        <w:t xml:space="preserve"> р.</w:t>
      </w:r>
      <w:r w:rsidR="00120CF3">
        <w:t xml:space="preserve">, </w:t>
      </w:r>
      <w:r w:rsidR="001E61E8">
        <w:rPr>
          <w:lang w:val="uk-UA"/>
        </w:rPr>
        <w:t>параграф</w:t>
      </w:r>
      <w:r w:rsidR="00077EA3">
        <w:t xml:space="preserve"> </w:t>
      </w:r>
      <w:r w:rsidR="00120CF3">
        <w:t>562)</w:t>
      </w:r>
      <w:r w:rsidR="002D68CD">
        <w:t xml:space="preserve">, </w:t>
      </w:r>
      <w:r w:rsidR="001E61E8">
        <w:rPr>
          <w:lang w:val="uk-UA"/>
        </w:rPr>
        <w:t>необхідно розрізняти фізичне знищення і просто розпорошення групи</w:t>
      </w:r>
      <w:r w:rsidR="00120CF3">
        <w:t xml:space="preserve">. </w:t>
      </w:r>
      <w:r w:rsidR="001E61E8">
        <w:rPr>
          <w:lang w:val="uk-UA"/>
        </w:rPr>
        <w:t>Саме вислання групи чи частини групи ще не</w:t>
      </w:r>
      <w:r w:rsidR="006F425B">
        <w:rPr>
          <w:lang w:val="uk-UA"/>
        </w:rPr>
        <w:t xml:space="preserve"> </w:t>
      </w:r>
      <w:r w:rsidR="001E61E8">
        <w:rPr>
          <w:lang w:val="uk-UA"/>
        </w:rPr>
        <w:t>достатні для геноциду».</w:t>
      </w:r>
      <w:r w:rsidR="00910E44">
        <w:t>...</w:t>
      </w:r>
      <w:r w:rsidR="00120CF3">
        <w:t>”</w:t>
      </w:r>
    </w:p>
    <w:p w:rsidRPr="001E61E8" w:rsidR="0089759B" w:rsidP="00145357" w:rsidRDefault="00145357">
      <w:pPr>
        <w:pStyle w:val="JuHi"/>
        <w:rPr>
          <w:lang w:val="uk-UA"/>
        </w:rPr>
      </w:pPr>
      <w:r w:rsidRPr="00145357">
        <w:t>(v)</w:t>
      </w:r>
      <w:r w:rsidRPr="00145357" w:rsidR="0063423C">
        <w:t>  </w:t>
      </w:r>
      <w:r w:rsidR="001E61E8">
        <w:rPr>
          <w:lang w:val="uk-UA"/>
        </w:rPr>
        <w:t>Інтерпретація іншими Державами-учасницями Конвенції</w:t>
      </w:r>
    </w:p>
    <w:p w:rsidRPr="00A34DE1" w:rsidR="00981BF5" w:rsidP="0089759B" w:rsidRDefault="0063423C">
      <w:pPr>
        <w:pStyle w:val="JuPara"/>
        <w:rPr>
          <w:lang w:val="uk-UA"/>
        </w:rPr>
      </w:pPr>
      <w:r w:rsidRPr="00B62174">
        <w:fldChar w:fldCharType="begin"/>
      </w:r>
      <w:r w:rsidRPr="00A34DE1">
        <w:rPr>
          <w:lang w:val="uk-UA"/>
        </w:rPr>
        <w:instrText xml:space="preserve"> </w:instrText>
      </w:r>
      <w:r w:rsidRPr="00B62174">
        <w:instrText>SEQ</w:instrText>
      </w:r>
      <w:r w:rsidRPr="00A34DE1">
        <w:rPr>
          <w:lang w:val="uk-UA"/>
        </w:rPr>
        <w:instrText xml:space="preserve"> </w:instrText>
      </w:r>
      <w:r w:rsidRPr="00B62174">
        <w:instrText>level</w:instrText>
      </w:r>
      <w:r w:rsidRPr="00A34DE1">
        <w:rPr>
          <w:lang w:val="uk-UA"/>
        </w:rPr>
        <w:instrText>0 \*</w:instrText>
      </w:r>
      <w:r w:rsidRPr="00B62174">
        <w:instrText>arabic</w:instrText>
      </w:r>
      <w:r w:rsidRPr="00A34DE1">
        <w:rPr>
          <w:lang w:val="uk-UA"/>
        </w:rPr>
        <w:instrText xml:space="preserve"> </w:instrText>
      </w:r>
      <w:r w:rsidRPr="00B62174">
        <w:fldChar w:fldCharType="separate"/>
      </w:r>
      <w:r w:rsidRPr="00A34DE1" w:rsidR="00142C04">
        <w:rPr>
          <w:noProof/>
          <w:lang w:val="uk-UA"/>
        </w:rPr>
        <w:t>46</w:t>
      </w:r>
      <w:r w:rsidRPr="00B62174">
        <w:fldChar w:fldCharType="end"/>
      </w:r>
      <w:r w:rsidRPr="00A34DE1">
        <w:rPr>
          <w:lang w:val="uk-UA"/>
        </w:rPr>
        <w:t>.</w:t>
      </w:r>
      <w:r w:rsidRPr="00B62174">
        <w:t>  </w:t>
      </w:r>
      <w:r w:rsidR="00734E68">
        <w:rPr>
          <w:lang w:val="uk-UA"/>
        </w:rPr>
        <w:t>Відповідно до наявних у Суду матеріалів, були лише поодинокі випадки кримінального переслідування на національному рівні у інших Державах-учасницях Конвенції</w:t>
      </w:r>
      <w:r w:rsidRPr="00A34DE1" w:rsidR="00681421">
        <w:rPr>
          <w:lang w:val="uk-UA"/>
        </w:rPr>
        <w:t>.</w:t>
      </w:r>
      <w:r w:rsidRPr="00A34DE1" w:rsidR="00981BF5">
        <w:rPr>
          <w:lang w:val="uk-UA"/>
        </w:rPr>
        <w:t xml:space="preserve"> </w:t>
      </w:r>
      <w:r w:rsidR="00A34DE1">
        <w:rPr>
          <w:lang w:val="uk-UA"/>
        </w:rPr>
        <w:t>Немає повідомлень про справи, у яких національні суди встановили б умисне знищення групи і, відповідно, вину у геноциді, тобто, коли б «намір знищити» стосувався лише фізичного або біологічного знищення, або коли б він передбачав також знищення групи як соціальної спільноти</w:t>
      </w:r>
      <w:r w:rsidRPr="00A34DE1" w:rsidR="00981BF5">
        <w:rPr>
          <w:lang w:val="uk-UA"/>
        </w:rPr>
        <w:t>.</w:t>
      </w:r>
    </w:p>
    <w:p w:rsidRPr="00A34DE1" w:rsidR="009F3754" w:rsidP="00145357" w:rsidRDefault="00145357">
      <w:pPr>
        <w:pStyle w:val="JuHi"/>
        <w:rPr>
          <w:lang w:val="uk-UA"/>
        </w:rPr>
      </w:pPr>
      <w:r>
        <w:t>(v</w:t>
      </w:r>
      <w:r w:rsidRPr="00145357" w:rsidR="002772B9">
        <w:t>i</w:t>
      </w:r>
      <w:r>
        <w:t>)</w:t>
      </w:r>
      <w:r w:rsidRPr="00145357" w:rsidR="009F3754">
        <w:t>  </w:t>
      </w:r>
      <w:r w:rsidR="00A34DE1">
        <w:rPr>
          <w:lang w:val="uk-UA"/>
        </w:rPr>
        <w:t>Інтерпретація науковців</w:t>
      </w:r>
    </w:p>
    <w:p w:rsidR="00B51CF2" w:rsidP="00B51CF2" w:rsidRDefault="00B51CF2">
      <w:pPr>
        <w:pStyle w:val="JuPara"/>
      </w:pPr>
      <w:r w:rsidRPr="00B62174">
        <w:fldChar w:fldCharType="begin"/>
      </w:r>
      <w:r w:rsidRPr="00761A37">
        <w:rPr>
          <w:lang w:val="uk-UA"/>
        </w:rPr>
        <w:instrText xml:space="preserve"> </w:instrText>
      </w:r>
      <w:r w:rsidRPr="00B62174">
        <w:instrText>SEQ</w:instrText>
      </w:r>
      <w:r w:rsidRPr="00761A37">
        <w:rPr>
          <w:lang w:val="uk-UA"/>
        </w:rPr>
        <w:instrText xml:space="preserve"> </w:instrText>
      </w:r>
      <w:r w:rsidRPr="00B62174">
        <w:instrText>level</w:instrText>
      </w:r>
      <w:r w:rsidRPr="00761A37">
        <w:rPr>
          <w:lang w:val="uk-UA"/>
        </w:rPr>
        <w:instrText>0 \*</w:instrText>
      </w:r>
      <w:r w:rsidRPr="00B62174">
        <w:instrText>arabic</w:instrText>
      </w:r>
      <w:r w:rsidRPr="00761A37">
        <w:rPr>
          <w:lang w:val="uk-UA"/>
        </w:rPr>
        <w:instrText xml:space="preserve"> </w:instrText>
      </w:r>
      <w:r w:rsidRPr="00B62174">
        <w:fldChar w:fldCharType="separate"/>
      </w:r>
      <w:r w:rsidRPr="00761A37" w:rsidR="00142C04">
        <w:rPr>
          <w:noProof/>
          <w:lang w:val="uk-UA"/>
        </w:rPr>
        <w:t>47</w:t>
      </w:r>
      <w:r w:rsidRPr="00B62174">
        <w:fldChar w:fldCharType="end"/>
      </w:r>
      <w:r w:rsidRPr="00761A37">
        <w:rPr>
          <w:lang w:val="uk-UA"/>
        </w:rPr>
        <w:t>.</w:t>
      </w:r>
      <w:r w:rsidRPr="00B62174">
        <w:t>  </w:t>
      </w:r>
      <w:r w:rsidR="00A34DE1">
        <w:rPr>
          <w:lang w:val="uk-UA"/>
        </w:rPr>
        <w:t>Більшість науковців схиляються до думки, що етнічні чистки,</w:t>
      </w:r>
      <w:r w:rsidR="00761A37">
        <w:rPr>
          <w:lang w:val="uk-UA"/>
        </w:rPr>
        <w:t xml:space="preserve"> </w:t>
      </w:r>
      <w:r w:rsidR="00A34DE1">
        <w:rPr>
          <w:lang w:val="uk-UA"/>
        </w:rPr>
        <w:t xml:space="preserve">здійснені сербськими військами у </w:t>
      </w:r>
      <w:r w:rsidRPr="00D66286" w:rsidR="00A34DE1">
        <w:rPr>
          <w:lang w:val="uk-UA"/>
        </w:rPr>
        <w:t xml:space="preserve">Боснії і </w:t>
      </w:r>
      <w:r w:rsidRPr="00D66286" w:rsidR="00162079">
        <w:rPr>
          <w:lang w:val="uk-UA"/>
        </w:rPr>
        <w:t>Герцеговині</w:t>
      </w:r>
      <w:r w:rsidR="00A34DE1">
        <w:rPr>
          <w:lang w:val="uk-UA"/>
        </w:rPr>
        <w:t xml:space="preserve"> з наміром вигнати мусульман і хорватів із їхніх помешкань, не є геноцидом</w:t>
      </w:r>
      <w:r w:rsidRPr="00761A37" w:rsidR="00A34DE1">
        <w:rPr>
          <w:lang w:val="uk-UA"/>
        </w:rPr>
        <w:t xml:space="preserve"> </w:t>
      </w:r>
      <w:r w:rsidRPr="00761A37">
        <w:rPr>
          <w:lang w:val="uk-UA"/>
        </w:rPr>
        <w:t>(</w:t>
      </w:r>
      <w:r w:rsidR="00A34DE1">
        <w:rPr>
          <w:lang w:val="uk-UA"/>
        </w:rPr>
        <w:t>див.</w:t>
      </w:r>
      <w:r w:rsidRPr="00761A37">
        <w:rPr>
          <w:lang w:val="uk-UA"/>
        </w:rPr>
        <w:t xml:space="preserve">, </w:t>
      </w:r>
      <w:r w:rsidR="00A34DE1">
        <w:rPr>
          <w:lang w:val="uk-UA"/>
        </w:rPr>
        <w:t>поміж багатьма іншими</w:t>
      </w:r>
      <w:r w:rsidRPr="00761A37">
        <w:rPr>
          <w:lang w:val="uk-UA"/>
        </w:rPr>
        <w:t xml:space="preserve">, </w:t>
      </w:r>
      <w:r w:rsidRPr="006A28B1">
        <w:t>William</w:t>
      </w:r>
      <w:r w:rsidRPr="00761A37">
        <w:rPr>
          <w:lang w:val="uk-UA"/>
        </w:rPr>
        <w:t xml:space="preserve"> </w:t>
      </w:r>
      <w:r w:rsidRPr="006A28B1">
        <w:t>A</w:t>
      </w:r>
      <w:r w:rsidRPr="00761A37">
        <w:rPr>
          <w:lang w:val="uk-UA"/>
        </w:rPr>
        <w:t>.</w:t>
      </w:r>
      <w:r w:rsidRPr="006A28B1">
        <w:t> Schabas</w:t>
      </w:r>
      <w:r w:rsidRPr="00761A37">
        <w:rPr>
          <w:lang w:val="uk-UA"/>
        </w:rPr>
        <w:t xml:space="preserve">, </w:t>
      </w:r>
      <w:r w:rsidR="00B17B82">
        <w:rPr>
          <w:i/>
        </w:rPr>
        <w:t>Genocide</w:t>
      </w:r>
      <w:r w:rsidRPr="00761A37" w:rsidR="00B17B82">
        <w:rPr>
          <w:i/>
          <w:lang w:val="uk-UA"/>
        </w:rPr>
        <w:t xml:space="preserve"> </w:t>
      </w:r>
      <w:r w:rsidR="00B17B82">
        <w:rPr>
          <w:i/>
        </w:rPr>
        <w:t>in</w:t>
      </w:r>
      <w:r w:rsidRPr="00761A37" w:rsidR="00B17B82">
        <w:rPr>
          <w:i/>
          <w:lang w:val="uk-UA"/>
        </w:rPr>
        <w:t xml:space="preserve"> </w:t>
      </w:r>
      <w:r w:rsidR="00B17B82">
        <w:rPr>
          <w:i/>
        </w:rPr>
        <w:t>International</w:t>
      </w:r>
      <w:r w:rsidRPr="00761A37" w:rsidR="00B17B82">
        <w:rPr>
          <w:i/>
          <w:lang w:val="uk-UA"/>
        </w:rPr>
        <w:t xml:space="preserve"> </w:t>
      </w:r>
      <w:r w:rsidR="00B17B82">
        <w:rPr>
          <w:i/>
        </w:rPr>
        <w:t>Law</w:t>
      </w:r>
      <w:r w:rsidRPr="00761A37" w:rsidR="00B17B82">
        <w:rPr>
          <w:i/>
          <w:lang w:val="uk-UA"/>
        </w:rPr>
        <w:t xml:space="preserve">: </w:t>
      </w:r>
      <w:r w:rsidR="00B17B82">
        <w:rPr>
          <w:i/>
        </w:rPr>
        <w:t>T</w:t>
      </w:r>
      <w:r w:rsidRPr="006A28B1">
        <w:rPr>
          <w:i/>
        </w:rPr>
        <w:t>he</w:t>
      </w:r>
      <w:r w:rsidRPr="00761A37">
        <w:rPr>
          <w:i/>
          <w:lang w:val="uk-UA"/>
        </w:rPr>
        <w:t xml:space="preserve"> </w:t>
      </w:r>
      <w:r w:rsidR="00B17B82">
        <w:rPr>
          <w:i/>
        </w:rPr>
        <w:t>C</w:t>
      </w:r>
      <w:r w:rsidRPr="006A28B1">
        <w:rPr>
          <w:i/>
        </w:rPr>
        <w:t>rime</w:t>
      </w:r>
      <w:r w:rsidRPr="00761A37">
        <w:rPr>
          <w:i/>
          <w:lang w:val="uk-UA"/>
        </w:rPr>
        <w:t xml:space="preserve"> </w:t>
      </w:r>
      <w:r w:rsidRPr="006A28B1">
        <w:rPr>
          <w:i/>
        </w:rPr>
        <w:t>of</w:t>
      </w:r>
      <w:r w:rsidRPr="00761A37">
        <w:rPr>
          <w:i/>
          <w:lang w:val="uk-UA"/>
        </w:rPr>
        <w:t xml:space="preserve"> </w:t>
      </w:r>
      <w:r w:rsidR="00B17B82">
        <w:rPr>
          <w:i/>
        </w:rPr>
        <w:t>C</w:t>
      </w:r>
      <w:r w:rsidRPr="006A28B1">
        <w:rPr>
          <w:i/>
        </w:rPr>
        <w:t>rimes</w:t>
      </w:r>
      <w:r w:rsidRPr="00761A37" w:rsidR="00B17B82">
        <w:rPr>
          <w:lang w:val="uk-UA"/>
        </w:rPr>
        <w:t xml:space="preserve">, </w:t>
      </w:r>
      <w:r w:rsidR="00B17B82">
        <w:t>Cambridge</w:t>
      </w:r>
      <w:r w:rsidRPr="00761A37" w:rsidR="00B17B82">
        <w:rPr>
          <w:lang w:val="uk-UA"/>
        </w:rPr>
        <w:t xml:space="preserve"> </w:t>
      </w:r>
      <w:r w:rsidRPr="00761A37">
        <w:rPr>
          <w:lang w:val="uk-UA"/>
        </w:rPr>
        <w:t xml:space="preserve">2000, </w:t>
      </w:r>
      <w:r w:rsidR="00A34DE1">
        <w:rPr>
          <w:lang w:val="uk-UA"/>
        </w:rPr>
        <w:t>стор</w:t>
      </w:r>
      <w:r w:rsidRPr="00761A37">
        <w:rPr>
          <w:lang w:val="uk-UA"/>
        </w:rPr>
        <w:t>.</w:t>
      </w:r>
      <w:r w:rsidRPr="00761A37" w:rsidR="00077EA3">
        <w:rPr>
          <w:lang w:val="uk-UA"/>
        </w:rPr>
        <w:t xml:space="preserve"> </w:t>
      </w:r>
      <w:r w:rsidRPr="006A28B1">
        <w:t xml:space="preserve">199 </w:t>
      </w:r>
      <w:r w:rsidR="00A34DE1">
        <w:rPr>
          <w:lang w:val="uk-UA"/>
        </w:rPr>
        <w:t>і далі</w:t>
      </w:r>
      <w:r w:rsidRPr="00FA7EDE">
        <w:t>.</w:t>
      </w:r>
      <w:r>
        <w:t xml:space="preserve">). </w:t>
      </w:r>
      <w:r w:rsidR="006F425B">
        <w:rPr>
          <w:lang w:val="uk-UA"/>
        </w:rPr>
        <w:t>П</w:t>
      </w:r>
      <w:r w:rsidR="00A34DE1">
        <w:rPr>
          <w:lang w:val="uk-UA"/>
        </w:rPr>
        <w:t xml:space="preserve">роте, є також значна кількість науковців, котрі вважають, що такі діяння тотожні геноциду </w:t>
      </w:r>
      <w:r>
        <w:t>(</w:t>
      </w:r>
      <w:r w:rsidR="00A34DE1">
        <w:rPr>
          <w:lang w:val="uk-UA"/>
        </w:rPr>
        <w:t>див.</w:t>
      </w:r>
      <w:r>
        <w:t xml:space="preserve">, </w:t>
      </w:r>
      <w:r w:rsidRPr="00193782">
        <w:rPr>
          <w:i/>
        </w:rPr>
        <w:t>inter alia</w:t>
      </w:r>
      <w:r w:rsidRPr="00660F5F">
        <w:t xml:space="preserve">, </w:t>
      </w:r>
      <w:r w:rsidRPr="000C3BF4">
        <w:t>M.</w:t>
      </w:r>
      <w:r w:rsidR="00077EA3">
        <w:t xml:space="preserve"> </w:t>
      </w:r>
      <w:r w:rsidRPr="000C3BF4">
        <w:t xml:space="preserve">Lippman, </w:t>
      </w:r>
      <w:r w:rsidRPr="000C3BF4">
        <w:rPr>
          <w:i/>
        </w:rPr>
        <w:t>Genocide: The Crime of the Century</w:t>
      </w:r>
      <w:r w:rsidRPr="000C3BF4">
        <w:t>, HOUJIL</w:t>
      </w:r>
      <w:r w:rsidR="00077EA3">
        <w:t xml:space="preserve"> </w:t>
      </w:r>
      <w:r w:rsidRPr="000C3BF4">
        <w:t xml:space="preserve">23 (2001), </w:t>
      </w:r>
      <w:r w:rsidR="00A34DE1">
        <w:rPr>
          <w:lang w:val="uk-UA"/>
        </w:rPr>
        <w:t>стор</w:t>
      </w:r>
      <w:r w:rsidRPr="000C3BF4">
        <w:t>.</w:t>
      </w:r>
      <w:r w:rsidR="00077EA3">
        <w:t xml:space="preserve"> </w:t>
      </w:r>
      <w:r w:rsidRPr="000C3BF4">
        <w:t>526</w:t>
      </w:r>
      <w:r w:rsidR="00AC388A">
        <w:t xml:space="preserve">, </w:t>
      </w:r>
      <w:r w:rsidR="00A34DE1">
        <w:rPr>
          <w:lang w:val="uk-UA"/>
        </w:rPr>
        <w:t>і</w:t>
      </w:r>
      <w:r w:rsidRPr="000C3BF4">
        <w:t xml:space="preserve"> J.</w:t>
      </w:r>
      <w:r w:rsidR="00077EA3">
        <w:t xml:space="preserve"> </w:t>
      </w:r>
      <w:r w:rsidRPr="000C3BF4">
        <w:t xml:space="preserve">Hübner, </w:t>
      </w:r>
      <w:r w:rsidRPr="000C3BF4">
        <w:rPr>
          <w:i/>
        </w:rPr>
        <w:t>Das Verbrechen des Völkermord</w:t>
      </w:r>
      <w:r w:rsidRPr="000C3BF4" w:rsidR="000C3BF4">
        <w:rPr>
          <w:i/>
        </w:rPr>
        <w:t>e</w:t>
      </w:r>
      <w:r w:rsidRPr="000C3BF4">
        <w:rPr>
          <w:i/>
        </w:rPr>
        <w:t>s im internationalen und nationalen Recht</w:t>
      </w:r>
      <w:r w:rsidRPr="000C3BF4">
        <w:t>, Frankfurt a</w:t>
      </w:r>
      <w:r w:rsidR="002554AE">
        <w:t xml:space="preserve">m </w:t>
      </w:r>
      <w:r w:rsidRPr="000C3BF4">
        <w:t>M</w:t>
      </w:r>
      <w:r w:rsidR="002554AE">
        <w:t>ain</w:t>
      </w:r>
      <w:r w:rsidR="00B17B82">
        <w:t xml:space="preserve"> </w:t>
      </w:r>
      <w:r w:rsidRPr="000C3BF4">
        <w:t xml:space="preserve">2004, </w:t>
      </w:r>
      <w:r w:rsidR="00A34DE1">
        <w:rPr>
          <w:lang w:val="uk-UA"/>
        </w:rPr>
        <w:t>стор</w:t>
      </w:r>
      <w:r w:rsidRPr="000C3BF4">
        <w:t>.</w:t>
      </w:r>
      <w:r w:rsidR="00077EA3">
        <w:t xml:space="preserve"> </w:t>
      </w:r>
      <w:r w:rsidRPr="000C3BF4" w:rsidR="000C3BF4">
        <w:t>208-</w:t>
      </w:r>
      <w:r w:rsidRPr="000C3BF4">
        <w:t>17</w:t>
      </w:r>
      <w:r w:rsidRPr="006A28B1">
        <w:t>; G.</w:t>
      </w:r>
      <w:r w:rsidR="00077EA3">
        <w:t xml:space="preserve"> </w:t>
      </w:r>
      <w:r w:rsidRPr="006A28B1">
        <w:t>Werle,</w:t>
      </w:r>
      <w:r w:rsidRPr="003F0ED7" w:rsidR="003F0ED7">
        <w:t xml:space="preserve"> </w:t>
      </w:r>
      <w:r w:rsidR="005602B9">
        <w:rPr>
          <w:lang w:val="uk-UA"/>
        </w:rPr>
        <w:t>у</w:t>
      </w:r>
      <w:r w:rsidRPr="006A28B1">
        <w:t xml:space="preserve"> </w:t>
      </w:r>
      <w:r w:rsidRPr="006A28B1">
        <w:rPr>
          <w:i/>
        </w:rPr>
        <w:t>Völkerstrafrecht</w:t>
      </w:r>
      <w:r w:rsidRPr="006A28B1">
        <w:t xml:space="preserve">, </w:t>
      </w:r>
      <w:r w:rsidR="00257190">
        <w:t>1</w:t>
      </w:r>
      <w:r w:rsidR="00B17B82">
        <w:t xml:space="preserve"> </w:t>
      </w:r>
      <w:r w:rsidR="005602B9">
        <w:rPr>
          <w:lang w:val="uk-UA"/>
        </w:rPr>
        <w:t>видання</w:t>
      </w:r>
      <w:r w:rsidRPr="006A28B1">
        <w:t>, Tübingen</w:t>
      </w:r>
      <w:r w:rsidR="00077EA3">
        <w:t xml:space="preserve"> </w:t>
      </w:r>
      <w:r w:rsidRPr="006A28B1">
        <w:t xml:space="preserve">2003, </w:t>
      </w:r>
      <w:r w:rsidR="005602B9">
        <w:rPr>
          <w:lang w:val="uk-UA"/>
        </w:rPr>
        <w:t>стор</w:t>
      </w:r>
      <w:r w:rsidRPr="006A28B1">
        <w:t>.</w:t>
      </w:r>
      <w:r w:rsidR="00077EA3">
        <w:t xml:space="preserve"> </w:t>
      </w:r>
      <w:r w:rsidRPr="006A28B1">
        <w:t xml:space="preserve">205, 218 </w:t>
      </w:r>
      <w:r w:rsidR="005602B9">
        <w:rPr>
          <w:lang w:val="uk-UA"/>
        </w:rPr>
        <w:t>і далі</w:t>
      </w:r>
      <w:r w:rsidRPr="006A28B1">
        <w:t xml:space="preserve">, </w:t>
      </w:r>
      <w:r w:rsidR="005602B9">
        <w:rPr>
          <w:lang w:val="uk-UA"/>
        </w:rPr>
        <w:t>зазначав, що це</w:t>
      </w:r>
      <w:r w:rsidR="006F425B">
        <w:rPr>
          <w:lang w:val="uk-UA"/>
        </w:rPr>
        <w:t xml:space="preserve"> </w:t>
      </w:r>
      <w:r w:rsidR="005602B9">
        <w:rPr>
          <w:lang w:val="uk-UA"/>
        </w:rPr>
        <w:t>залежить від обставин справи, зокрема, обсягу скоєних злочинів і доведення наміру у знищенні групи як соціальної спільноти, а не просто наміру вигнати групу</w:t>
      </w:r>
      <w:r>
        <w:t>).</w:t>
      </w:r>
    </w:p>
    <w:p w:rsidRPr="005602B9" w:rsidR="00981BF5" w:rsidP="00880F98" w:rsidRDefault="00145357">
      <w:pPr>
        <w:pStyle w:val="JuHa0"/>
        <w:rPr>
          <w:lang w:val="uk-UA"/>
        </w:rPr>
      </w:pPr>
      <w:r>
        <w:t>(b)</w:t>
      </w:r>
      <w:r w:rsidR="00880F98">
        <w:t>  </w:t>
      </w:r>
      <w:r w:rsidR="005602B9">
        <w:rPr>
          <w:lang w:val="uk-UA"/>
        </w:rPr>
        <w:t>Універсальна юрисдикція стосовно злочину геноциду</w:t>
      </w:r>
    </w:p>
    <w:p w:rsidRPr="00145357" w:rsidR="005A607C" w:rsidP="00145357" w:rsidRDefault="00145357">
      <w:pPr>
        <w:pStyle w:val="JuHi"/>
      </w:pPr>
      <w:r>
        <w:t>(i)</w:t>
      </w:r>
      <w:r w:rsidRPr="00145357" w:rsidR="005A607C">
        <w:t>  </w:t>
      </w:r>
      <w:hyperlink w:history="1" r:id="rId14">
        <w:r w:rsidRPr="004331C1" w:rsidR="006264E0">
          <w:rPr>
            <w:rStyle w:val="Hyperlink"/>
            <w:bCs/>
            <w:color w:val="auto"/>
            <w:u w:val="none"/>
          </w:rPr>
          <w:t xml:space="preserve">Конвенція </w:t>
        </w:r>
        <w:r w:rsidR="006264E0">
          <w:t>1948</w:t>
        </w:r>
        <w:r w:rsidR="006264E0">
          <w:rPr>
            <w:lang w:val="uk-UA"/>
          </w:rPr>
          <w:t xml:space="preserve"> року П</w:t>
        </w:r>
        <w:r w:rsidRPr="004331C1" w:rsidR="006264E0">
          <w:rPr>
            <w:rStyle w:val="Hyperlink"/>
            <w:bCs/>
            <w:color w:val="auto"/>
            <w:u w:val="none"/>
          </w:rPr>
          <w:t>ро запобігання злочину геноциду та покарання за нього</w:t>
        </w:r>
      </w:hyperlink>
      <w:r w:rsidR="006264E0">
        <w:t xml:space="preserve"> (</w:t>
      </w:r>
      <w:r w:rsidRPr="00F25090" w:rsidR="006264E0">
        <w:t>Про запобігання геноциду</w:t>
      </w:r>
      <w:r w:rsidR="006264E0">
        <w:t>)</w:t>
      </w:r>
    </w:p>
    <w:p w:rsidR="0045313F" w:rsidP="00113EF2" w:rsidRDefault="00113EF2">
      <w:pPr>
        <w:pStyle w:val="JuPara"/>
      </w:pPr>
      <w:r w:rsidRPr="00B62174">
        <w:fldChar w:fldCharType="begin"/>
      </w:r>
      <w:r w:rsidRPr="00B62174">
        <w:instrText xml:space="preserve"> SEQ level0 \*arabic </w:instrText>
      </w:r>
      <w:r w:rsidRPr="00B62174">
        <w:fldChar w:fldCharType="separate"/>
      </w:r>
      <w:r w:rsidR="00142C04">
        <w:rPr>
          <w:noProof/>
        </w:rPr>
        <w:t>48</w:t>
      </w:r>
      <w:r w:rsidRPr="00B62174">
        <w:fldChar w:fldCharType="end"/>
      </w:r>
      <w:r w:rsidRPr="00B62174">
        <w:t>.  </w:t>
      </w:r>
      <w:r w:rsidR="005602B9">
        <w:rPr>
          <w:lang w:val="uk-UA"/>
        </w:rPr>
        <w:t>Відповідні положення</w:t>
      </w:r>
      <w:r>
        <w:t xml:space="preserve"> </w:t>
      </w:r>
      <w:r w:rsidR="006B6F72">
        <w:rPr>
          <w:lang w:val="uk-UA"/>
        </w:rPr>
        <w:t>Конвенції п</w:t>
      </w:r>
      <w:r w:rsidRPr="00F25090" w:rsidR="006B6F72">
        <w:t>ро запобігання геноциду</w:t>
      </w:r>
      <w:r w:rsidR="006B6F72">
        <w:t xml:space="preserve"> </w:t>
      </w:r>
      <w:r w:rsidR="005602B9">
        <w:rPr>
          <w:lang w:val="uk-UA"/>
        </w:rPr>
        <w:t>такі</w:t>
      </w:r>
      <w:r>
        <w:t>:</w:t>
      </w:r>
    </w:p>
    <w:p w:rsidRPr="00075C5A" w:rsidR="005A607C" w:rsidP="00B17B82" w:rsidRDefault="004B4596">
      <w:pPr>
        <w:pStyle w:val="JuHArticle"/>
      </w:pPr>
      <w:r>
        <w:rPr>
          <w:lang w:val="uk-UA"/>
        </w:rPr>
        <w:t>Стаття</w:t>
      </w:r>
      <w:r w:rsidR="00077EA3">
        <w:t xml:space="preserve"> </w:t>
      </w:r>
      <w:r w:rsidRPr="00075C5A" w:rsidR="005A607C">
        <w:t>I</w:t>
      </w:r>
    </w:p>
    <w:p w:rsidRPr="00DB3579" w:rsidR="004331C1" w:rsidP="003D1BAF" w:rsidRDefault="004331C1">
      <w:pPr>
        <w:pStyle w:val="JuQuot"/>
        <w:keepNext/>
        <w:keepLines/>
        <w:rPr>
          <w:lang w:val="uk-UA"/>
        </w:rPr>
      </w:pPr>
      <w:r w:rsidRPr="004331C1">
        <w:rPr>
          <w:lang w:val="uk-UA"/>
        </w:rPr>
        <w:t xml:space="preserve">Договірні сторони підтверджують, що </w:t>
      </w:r>
      <w:r w:rsidRPr="00DB3579">
        <w:rPr>
          <w:lang w:val="uk-UA"/>
        </w:rPr>
        <w:t>геноцид</w:t>
      </w:r>
      <w:r w:rsidRPr="00DB3579" w:rsidR="00F840C4">
        <w:rPr>
          <w:lang w:val="uk-UA"/>
        </w:rPr>
        <w:t>,</w:t>
      </w:r>
      <w:r w:rsidRPr="00DB3579">
        <w:rPr>
          <w:lang w:val="uk-UA"/>
        </w:rPr>
        <w:t xml:space="preserve"> незалежно від того, чи відбувається він у мирний, чи воєнний час, є злочином, що порушує норми міжнародного права і проти якого вони зобов</w:t>
      </w:r>
      <w:r w:rsidR="00761A37">
        <w:rPr>
          <w:lang w:val="uk-UA"/>
        </w:rPr>
        <w:t>’</w:t>
      </w:r>
      <w:r w:rsidRPr="00DB3579">
        <w:rPr>
          <w:lang w:val="uk-UA"/>
        </w:rPr>
        <w:t>язуються вживати заходів попередження і карати за його здійснення</w:t>
      </w:r>
      <w:r w:rsidRPr="00DB3579" w:rsidR="006F425B">
        <w:rPr>
          <w:lang w:val="uk-UA"/>
        </w:rPr>
        <w:t>.</w:t>
      </w:r>
    </w:p>
    <w:p w:rsidRPr="00DB3579" w:rsidR="005A607C" w:rsidP="00B17B82" w:rsidRDefault="004B4596">
      <w:pPr>
        <w:pStyle w:val="JuHArticle"/>
        <w:rPr>
          <w:lang w:val="uk-UA"/>
        </w:rPr>
      </w:pPr>
      <w:r w:rsidRPr="00DB3579">
        <w:rPr>
          <w:lang w:val="uk-UA"/>
        </w:rPr>
        <w:t>Стаття</w:t>
      </w:r>
      <w:r w:rsidRPr="00DB3579" w:rsidR="00077EA3">
        <w:rPr>
          <w:lang w:val="uk-UA"/>
        </w:rPr>
        <w:t xml:space="preserve"> </w:t>
      </w:r>
      <w:r w:rsidRPr="00DB3579" w:rsidR="005A607C">
        <w:t>VI</w:t>
      </w:r>
    </w:p>
    <w:p w:rsidRPr="004331C1" w:rsidR="004331C1" w:rsidP="005A607C" w:rsidRDefault="004331C1">
      <w:pPr>
        <w:pStyle w:val="JuQuot"/>
        <w:rPr>
          <w:lang w:val="uk-UA"/>
        </w:rPr>
      </w:pPr>
      <w:r w:rsidRPr="00DB3579">
        <w:rPr>
          <w:lang w:val="uk-UA"/>
        </w:rPr>
        <w:t xml:space="preserve">Особи, звинувачені в здійсненні геноциду чи інших перерахованих у статті </w:t>
      </w:r>
      <w:r w:rsidRPr="00DB3579">
        <w:t>III</w:t>
      </w:r>
      <w:r w:rsidRPr="00DB3579">
        <w:rPr>
          <w:lang w:val="uk-UA"/>
        </w:rPr>
        <w:t xml:space="preserve"> діянь, повинні бути суджені </w:t>
      </w:r>
      <w:r w:rsidRPr="004331C1">
        <w:rPr>
          <w:lang w:val="uk-UA"/>
        </w:rPr>
        <w:t>компетентним судом тієї держави, на території якої було зроблено це діяння, чи таким міжнародним карним судом, що може мати юрисдикцію у відношенні сторін даної Конвенції, що визнали юрисдикцію такого суду</w:t>
      </w:r>
      <w:r w:rsidR="006F425B">
        <w:rPr>
          <w:lang w:val="uk-UA"/>
        </w:rPr>
        <w:t>.</w:t>
      </w:r>
    </w:p>
    <w:p w:rsidRPr="00AA0887" w:rsidR="00FD01BD" w:rsidP="00A429E3" w:rsidRDefault="00A429E3">
      <w:pPr>
        <w:pStyle w:val="JuHi"/>
        <w:rPr>
          <w:lang w:val="uk-UA"/>
        </w:rPr>
      </w:pPr>
      <w:r w:rsidRPr="00AA0887">
        <w:rPr>
          <w:lang w:val="uk-UA"/>
        </w:rPr>
        <w:t>(</w:t>
      </w:r>
      <w:r w:rsidRPr="00A429E3" w:rsidR="005A607C">
        <w:t>i</w:t>
      </w:r>
      <w:r w:rsidRPr="00A429E3" w:rsidR="00880F98">
        <w:t>i</w:t>
      </w:r>
      <w:r w:rsidRPr="00AA0887">
        <w:rPr>
          <w:lang w:val="uk-UA"/>
        </w:rPr>
        <w:t>)</w:t>
      </w:r>
      <w:r w:rsidRPr="00A429E3" w:rsidR="007B598C">
        <w:t> </w:t>
      </w:r>
      <w:r w:rsidR="00B17B82">
        <w:t> </w:t>
      </w:r>
      <w:r w:rsidR="00AA0887">
        <w:rPr>
          <w:lang w:val="uk-UA"/>
        </w:rPr>
        <w:t>Статут</w:t>
      </w:r>
      <w:r w:rsidRPr="00AA0887" w:rsidR="00B17B82">
        <w:rPr>
          <w:lang w:val="uk-UA"/>
        </w:rPr>
        <w:t xml:space="preserve"> 1993</w:t>
      </w:r>
      <w:r w:rsidR="00AA0887">
        <w:rPr>
          <w:lang w:val="uk-UA"/>
        </w:rPr>
        <w:t xml:space="preserve"> року </w:t>
      </w:r>
      <w:r w:rsidRPr="00AA0887" w:rsidR="00AA0887">
        <w:rPr>
          <w:bCs/>
          <w:lang w:val="uk-UA"/>
        </w:rPr>
        <w:t>М</w:t>
      </w:r>
      <w:r w:rsidRPr="006264E0" w:rsidR="00AA0887">
        <w:rPr>
          <w:bCs/>
          <w:lang w:val="uk-UA"/>
        </w:rPr>
        <w:t xml:space="preserve">іжнародного кримінального трибуналу для колишньої </w:t>
      </w:r>
      <w:r w:rsidRPr="00AA0887" w:rsidR="00AA0887">
        <w:rPr>
          <w:bCs/>
          <w:lang w:val="uk-UA"/>
        </w:rPr>
        <w:t>Ю</w:t>
      </w:r>
      <w:r w:rsidRPr="006264E0" w:rsidR="00AA0887">
        <w:rPr>
          <w:bCs/>
          <w:lang w:val="uk-UA"/>
        </w:rPr>
        <w:t>гославії</w:t>
      </w:r>
      <w:r w:rsidRPr="00AA0887" w:rsidR="00B17B82">
        <w:rPr>
          <w:lang w:val="uk-UA"/>
        </w:rPr>
        <w:t xml:space="preserve"> (</w:t>
      </w:r>
      <w:r w:rsidR="00AA0887">
        <w:rPr>
          <w:lang w:val="uk-UA"/>
        </w:rPr>
        <w:t>Статут МКТЮ</w:t>
      </w:r>
      <w:r w:rsidRPr="00AA0887" w:rsidR="00B17B82">
        <w:rPr>
          <w:lang w:val="uk-UA"/>
        </w:rPr>
        <w:t>)</w:t>
      </w:r>
    </w:p>
    <w:p w:rsidRPr="005602B9" w:rsidR="00B43EDF" w:rsidP="0089759B" w:rsidRDefault="007B598C">
      <w:pPr>
        <w:pStyle w:val="JuPara"/>
        <w:rPr>
          <w:lang w:val="uk-UA"/>
        </w:rPr>
      </w:pPr>
      <w:r w:rsidRPr="00B62174">
        <w:fldChar w:fldCharType="begin"/>
      </w:r>
      <w:r w:rsidRPr="005602B9">
        <w:rPr>
          <w:lang w:val="uk-UA"/>
        </w:rPr>
        <w:instrText xml:space="preserve"> </w:instrText>
      </w:r>
      <w:r w:rsidRPr="00B62174">
        <w:instrText>SEQ</w:instrText>
      </w:r>
      <w:r w:rsidRPr="005602B9">
        <w:rPr>
          <w:lang w:val="uk-UA"/>
        </w:rPr>
        <w:instrText xml:space="preserve"> </w:instrText>
      </w:r>
      <w:r w:rsidRPr="00B62174">
        <w:instrText>level</w:instrText>
      </w:r>
      <w:r w:rsidRPr="005602B9">
        <w:rPr>
          <w:lang w:val="uk-UA"/>
        </w:rPr>
        <w:instrText>0 \*</w:instrText>
      </w:r>
      <w:r w:rsidRPr="00B62174">
        <w:instrText>arabic</w:instrText>
      </w:r>
      <w:r w:rsidRPr="005602B9">
        <w:rPr>
          <w:lang w:val="uk-UA"/>
        </w:rPr>
        <w:instrText xml:space="preserve"> </w:instrText>
      </w:r>
      <w:r w:rsidRPr="00B62174">
        <w:fldChar w:fldCharType="separate"/>
      </w:r>
      <w:r w:rsidRPr="005602B9" w:rsidR="00142C04">
        <w:rPr>
          <w:noProof/>
          <w:lang w:val="uk-UA"/>
        </w:rPr>
        <w:t>49</w:t>
      </w:r>
      <w:r w:rsidRPr="00B62174">
        <w:fldChar w:fldCharType="end"/>
      </w:r>
      <w:r w:rsidRPr="005602B9">
        <w:rPr>
          <w:lang w:val="uk-UA"/>
        </w:rPr>
        <w:t>.</w:t>
      </w:r>
      <w:r w:rsidRPr="00B62174">
        <w:t>  </w:t>
      </w:r>
      <w:r w:rsidR="005602B9">
        <w:rPr>
          <w:lang w:val="uk-UA"/>
        </w:rPr>
        <w:t>Відповідні положення Статуту МКТЮ встановлюють</w:t>
      </w:r>
      <w:r w:rsidRPr="005602B9">
        <w:rPr>
          <w:lang w:val="uk-UA"/>
        </w:rPr>
        <w:t>:</w:t>
      </w:r>
    </w:p>
    <w:p w:rsidRPr="0094092B" w:rsidR="00556FC2" w:rsidP="00B17B82" w:rsidRDefault="0094092B">
      <w:pPr>
        <w:pStyle w:val="JuHArticle"/>
        <w:rPr>
          <w:lang w:val="uk-UA"/>
        </w:rPr>
      </w:pPr>
      <w:r>
        <w:rPr>
          <w:lang w:val="uk-UA"/>
        </w:rPr>
        <w:t>Стаття</w:t>
      </w:r>
      <w:r w:rsidR="00077EA3">
        <w:t xml:space="preserve"> </w:t>
      </w:r>
      <w:r w:rsidRPr="00075C5A" w:rsidR="00556FC2">
        <w:t>9</w:t>
      </w:r>
      <w:r w:rsidR="00B17B82">
        <w:br/>
      </w:r>
      <w:r>
        <w:rPr>
          <w:bCs/>
          <w:lang w:val="uk-UA"/>
        </w:rPr>
        <w:t>С</w:t>
      </w:r>
      <w:r w:rsidRPr="005602B9">
        <w:rPr>
          <w:bCs/>
          <w:lang w:val="fr-FR"/>
        </w:rPr>
        <w:t>півпадаюч</w:t>
      </w:r>
      <w:r>
        <w:rPr>
          <w:bCs/>
          <w:lang w:val="uk-UA"/>
        </w:rPr>
        <w:t>а</w:t>
      </w:r>
      <w:r w:rsidRPr="005602B9">
        <w:rPr>
          <w:bCs/>
          <w:lang w:val="en-US"/>
        </w:rPr>
        <w:t xml:space="preserve"> </w:t>
      </w:r>
      <w:r w:rsidRPr="005602B9">
        <w:rPr>
          <w:bCs/>
          <w:lang w:val="fr-FR"/>
        </w:rPr>
        <w:t>юрисдикці</w:t>
      </w:r>
      <w:r>
        <w:rPr>
          <w:bCs/>
          <w:lang w:val="uk-UA"/>
        </w:rPr>
        <w:t>я</w:t>
      </w:r>
    </w:p>
    <w:p w:rsidR="00556FC2" w:rsidP="00556FC2" w:rsidRDefault="00556FC2">
      <w:pPr>
        <w:pStyle w:val="JuQuot"/>
      </w:pPr>
      <w:r>
        <w:t>“1.  </w:t>
      </w:r>
      <w:r w:rsidR="005602B9">
        <w:rPr>
          <w:lang w:val="uk-UA"/>
        </w:rPr>
        <w:t xml:space="preserve">Міжнародний трибунал і національні суди мають </w:t>
      </w:r>
      <w:r w:rsidRPr="005602B9" w:rsidR="005602B9">
        <w:rPr>
          <w:bCs/>
          <w:lang w:val="fr-FR"/>
        </w:rPr>
        <w:t>співпадаюч</w:t>
      </w:r>
      <w:r w:rsidR="005602B9">
        <w:rPr>
          <w:bCs/>
          <w:lang w:val="uk-UA"/>
        </w:rPr>
        <w:t>у</w:t>
      </w:r>
      <w:r w:rsidRPr="005602B9" w:rsidR="005602B9">
        <w:rPr>
          <w:bCs/>
          <w:lang w:val="en-US"/>
        </w:rPr>
        <w:t xml:space="preserve"> </w:t>
      </w:r>
      <w:r w:rsidRPr="005602B9" w:rsidR="005602B9">
        <w:rPr>
          <w:bCs/>
          <w:lang w:val="fr-FR"/>
        </w:rPr>
        <w:t>юрисдикці</w:t>
      </w:r>
      <w:r w:rsidR="005602B9">
        <w:rPr>
          <w:bCs/>
          <w:lang w:val="uk-UA"/>
        </w:rPr>
        <w:t xml:space="preserve">ю щодо кримінального переслідування осіб за тяжкі порушення міжнародного гуманітарного права, скоєні на території </w:t>
      </w:r>
      <w:r w:rsidRPr="006264E0" w:rsidR="005602B9">
        <w:rPr>
          <w:bCs/>
          <w:lang w:val="uk-UA"/>
        </w:rPr>
        <w:t xml:space="preserve">колишньої </w:t>
      </w:r>
      <w:r w:rsidRPr="00AA0887" w:rsidR="005602B9">
        <w:rPr>
          <w:bCs/>
          <w:lang w:val="uk-UA"/>
        </w:rPr>
        <w:t>Ю</w:t>
      </w:r>
      <w:r w:rsidRPr="006264E0" w:rsidR="005602B9">
        <w:rPr>
          <w:bCs/>
          <w:lang w:val="uk-UA"/>
        </w:rPr>
        <w:t>гославії</w:t>
      </w:r>
      <w:r w:rsidR="005602B9">
        <w:rPr>
          <w:bCs/>
          <w:lang w:val="uk-UA"/>
        </w:rPr>
        <w:t xml:space="preserve"> починаючи з </w:t>
      </w:r>
      <w:r>
        <w:t>1</w:t>
      </w:r>
      <w:r w:rsidR="00077EA3">
        <w:t xml:space="preserve"> </w:t>
      </w:r>
      <w:r w:rsidR="005602B9">
        <w:rPr>
          <w:lang w:val="uk-UA"/>
        </w:rPr>
        <w:t>січня</w:t>
      </w:r>
      <w:r>
        <w:t xml:space="preserve"> 1991</w:t>
      </w:r>
      <w:r w:rsidR="005602B9">
        <w:rPr>
          <w:lang w:val="uk-UA"/>
        </w:rPr>
        <w:t xml:space="preserve"> року</w:t>
      </w:r>
      <w:r>
        <w:t>.</w:t>
      </w:r>
    </w:p>
    <w:p w:rsidRPr="00761A37" w:rsidR="00556FC2" w:rsidP="00556FC2" w:rsidRDefault="00556FC2">
      <w:pPr>
        <w:pStyle w:val="JuQuot"/>
        <w:rPr>
          <w:lang w:val="ru-RU"/>
        </w:rPr>
      </w:pPr>
      <w:r>
        <w:t>2.  </w:t>
      </w:r>
      <w:r w:rsidR="005602B9">
        <w:rPr>
          <w:lang w:val="uk-UA"/>
        </w:rPr>
        <w:t>Міжнародний трибунал</w:t>
      </w:r>
      <w:r w:rsidR="005602B9">
        <w:t xml:space="preserve"> </w:t>
      </w:r>
      <w:r w:rsidR="005602B9">
        <w:rPr>
          <w:lang w:val="uk-UA"/>
        </w:rPr>
        <w:t>має примат над національними судами</w:t>
      </w:r>
      <w:r>
        <w:t xml:space="preserve">. </w:t>
      </w:r>
      <w:r w:rsidR="005602B9">
        <w:rPr>
          <w:lang w:val="uk-UA"/>
        </w:rPr>
        <w:t>На будь-якій стадії процесу Міжнародний трибунал може офіційно просити національні суди</w:t>
      </w:r>
      <w:r w:rsidR="00761A37">
        <w:rPr>
          <w:lang w:val="uk-UA"/>
        </w:rPr>
        <w:t xml:space="preserve"> </w:t>
      </w:r>
      <w:r w:rsidR="005602B9">
        <w:rPr>
          <w:lang w:val="uk-UA"/>
        </w:rPr>
        <w:t xml:space="preserve">передати </w:t>
      </w:r>
      <w:r w:rsidR="00ED10D4">
        <w:rPr>
          <w:lang w:val="uk-UA"/>
        </w:rPr>
        <w:t>справу до компетенції Міжнародного трибуналу відповідно до цього Статуту і Регламенту процедури і доказів Міжнародного трибуналу</w:t>
      </w:r>
      <w:r w:rsidRPr="00761A37">
        <w:rPr>
          <w:lang w:val="ru-RU"/>
        </w:rPr>
        <w:t>.”</w:t>
      </w:r>
    </w:p>
    <w:p w:rsidRPr="00143BEB" w:rsidR="00532DCC" w:rsidP="00A429E3" w:rsidRDefault="00A429E3">
      <w:pPr>
        <w:pStyle w:val="JuHi"/>
        <w:rPr>
          <w:lang w:val="uk-UA"/>
        </w:rPr>
      </w:pPr>
      <w:r w:rsidRPr="00A429E3">
        <w:t>(</w:t>
      </w:r>
      <w:r w:rsidRPr="00A429E3" w:rsidR="00532DCC">
        <w:t>i</w:t>
      </w:r>
      <w:r w:rsidRPr="00A429E3" w:rsidR="005A607C">
        <w:t>i</w:t>
      </w:r>
      <w:r w:rsidRPr="00A429E3">
        <w:t>i)</w:t>
      </w:r>
      <w:r w:rsidRPr="00A429E3" w:rsidR="00532DCC">
        <w:t>  </w:t>
      </w:r>
      <w:r w:rsidR="00143BEB">
        <w:rPr>
          <w:lang w:val="uk-UA"/>
        </w:rPr>
        <w:t xml:space="preserve">Юриспруденція </w:t>
      </w:r>
      <w:r w:rsidRPr="006264E0" w:rsidR="00143BEB">
        <w:rPr>
          <w:bCs/>
        </w:rPr>
        <w:t>М</w:t>
      </w:r>
      <w:r w:rsidRPr="006264E0" w:rsidR="00143BEB">
        <w:rPr>
          <w:bCs/>
          <w:lang w:val="uk-UA"/>
        </w:rPr>
        <w:t xml:space="preserve">іжнародного кримінального трибуналу для колишньої </w:t>
      </w:r>
      <w:r w:rsidRPr="006264E0" w:rsidR="00143BEB">
        <w:rPr>
          <w:bCs/>
        </w:rPr>
        <w:t>Ю</w:t>
      </w:r>
      <w:r w:rsidRPr="006264E0" w:rsidR="00143BEB">
        <w:rPr>
          <w:bCs/>
          <w:lang w:val="uk-UA"/>
        </w:rPr>
        <w:t>гославії</w:t>
      </w:r>
    </w:p>
    <w:p w:rsidRPr="00761A37" w:rsidR="00556FC2" w:rsidP="0089759B" w:rsidRDefault="00532DCC">
      <w:pPr>
        <w:pStyle w:val="JuPara"/>
        <w:rPr>
          <w:sz w:val="22"/>
          <w:lang w:val="uk-UA"/>
        </w:rPr>
      </w:pPr>
      <w:r w:rsidRPr="00B62174">
        <w:fldChar w:fldCharType="begin"/>
      </w:r>
      <w:r w:rsidRPr="00761A37">
        <w:rPr>
          <w:lang w:val="uk-UA"/>
        </w:rPr>
        <w:instrText xml:space="preserve"> </w:instrText>
      </w:r>
      <w:r w:rsidRPr="00B62174">
        <w:instrText>SEQ</w:instrText>
      </w:r>
      <w:r w:rsidRPr="00761A37">
        <w:rPr>
          <w:lang w:val="uk-UA"/>
        </w:rPr>
        <w:instrText xml:space="preserve"> </w:instrText>
      </w:r>
      <w:r w:rsidRPr="00B62174">
        <w:instrText>level</w:instrText>
      </w:r>
      <w:r w:rsidRPr="00761A37">
        <w:rPr>
          <w:lang w:val="uk-UA"/>
        </w:rPr>
        <w:instrText>0 \*</w:instrText>
      </w:r>
      <w:r w:rsidRPr="00B62174">
        <w:instrText>arabic</w:instrText>
      </w:r>
      <w:r w:rsidRPr="00761A37">
        <w:rPr>
          <w:lang w:val="uk-UA"/>
        </w:rPr>
        <w:instrText xml:space="preserve"> </w:instrText>
      </w:r>
      <w:r w:rsidRPr="00B62174">
        <w:fldChar w:fldCharType="separate"/>
      </w:r>
      <w:r w:rsidRPr="00761A37" w:rsidR="00142C04">
        <w:rPr>
          <w:noProof/>
          <w:lang w:val="uk-UA"/>
        </w:rPr>
        <w:t>50</w:t>
      </w:r>
      <w:r w:rsidRPr="00B62174">
        <w:fldChar w:fldCharType="end"/>
      </w:r>
      <w:r w:rsidRPr="00761A37">
        <w:rPr>
          <w:lang w:val="uk-UA"/>
        </w:rPr>
        <w:t>.</w:t>
      </w:r>
      <w:r w:rsidRPr="00B62174">
        <w:t>  </w:t>
      </w:r>
      <w:r w:rsidR="00ED10D4">
        <w:rPr>
          <w:lang w:val="uk-UA"/>
        </w:rPr>
        <w:t>Апеляційна Палата МКТЮ</w:t>
      </w:r>
      <w:r w:rsidRPr="00761A37" w:rsidR="0026183F">
        <w:rPr>
          <w:lang w:val="uk-UA"/>
        </w:rPr>
        <w:t xml:space="preserve"> </w:t>
      </w:r>
      <w:r w:rsidR="00ED10D4">
        <w:rPr>
          <w:lang w:val="uk-UA"/>
        </w:rPr>
        <w:t>у рішенні від</w:t>
      </w:r>
      <w:r w:rsidRPr="00761A37" w:rsidR="0026183F">
        <w:rPr>
          <w:lang w:val="uk-UA"/>
        </w:rPr>
        <w:t xml:space="preserve"> 2</w:t>
      </w:r>
      <w:r w:rsidR="0026183F">
        <w:t> </w:t>
      </w:r>
      <w:r w:rsidR="00ED10D4">
        <w:rPr>
          <w:lang w:val="uk-UA"/>
        </w:rPr>
        <w:t xml:space="preserve">жовтня </w:t>
      </w:r>
      <w:r w:rsidRPr="00761A37" w:rsidR="00A5060C">
        <w:rPr>
          <w:lang w:val="uk-UA"/>
        </w:rPr>
        <w:t>1995</w:t>
      </w:r>
      <w:r w:rsidR="00ED10D4">
        <w:rPr>
          <w:lang w:val="uk-UA"/>
        </w:rPr>
        <w:t xml:space="preserve"> року</w:t>
      </w:r>
      <w:r w:rsidRPr="00761A37" w:rsidR="00A5060C">
        <w:rPr>
          <w:lang w:val="uk-UA"/>
        </w:rPr>
        <w:t xml:space="preserve"> </w:t>
      </w:r>
      <w:r w:rsidR="00ED10D4">
        <w:rPr>
          <w:rStyle w:val="hps"/>
          <w:lang w:val="uk-UA"/>
        </w:rPr>
        <w:t>з</w:t>
      </w:r>
      <w:r w:rsidRPr="00ED10D4" w:rsidR="00ED10D4">
        <w:rPr>
          <w:rStyle w:val="hps"/>
          <w:lang w:val="uk-UA"/>
        </w:rPr>
        <w:t>а</w:t>
      </w:r>
      <w:r w:rsidRPr="00ED10D4" w:rsidR="00ED10D4">
        <w:rPr>
          <w:lang w:val="uk-UA"/>
        </w:rPr>
        <w:t xml:space="preserve"> </w:t>
      </w:r>
      <w:r w:rsidRPr="00ED10D4" w:rsidR="00ED10D4">
        <w:rPr>
          <w:rStyle w:val="hps"/>
          <w:lang w:val="uk-UA"/>
        </w:rPr>
        <w:t>клопотання</w:t>
      </w:r>
      <w:r w:rsidR="00ED10D4">
        <w:rPr>
          <w:rStyle w:val="hps"/>
          <w:lang w:val="uk-UA"/>
        </w:rPr>
        <w:t>м</w:t>
      </w:r>
      <w:r w:rsidRPr="00ED10D4" w:rsidR="00ED10D4">
        <w:rPr>
          <w:rStyle w:val="hps"/>
          <w:lang w:val="uk-UA"/>
        </w:rPr>
        <w:t xml:space="preserve"> захисту</w:t>
      </w:r>
      <w:r w:rsidRPr="00ED10D4" w:rsidR="00ED10D4">
        <w:rPr>
          <w:lang w:val="uk-UA"/>
        </w:rPr>
        <w:t xml:space="preserve"> </w:t>
      </w:r>
      <w:r w:rsidR="00ED10D4">
        <w:rPr>
          <w:rStyle w:val="hps"/>
          <w:lang w:val="uk-UA"/>
        </w:rPr>
        <w:t>стосовно</w:t>
      </w:r>
      <w:r w:rsidRPr="00ED10D4" w:rsidR="00ED10D4">
        <w:rPr>
          <w:lang w:val="uk-UA"/>
        </w:rPr>
        <w:t xml:space="preserve"> </w:t>
      </w:r>
      <w:r w:rsidRPr="00ED10D4" w:rsidR="00ED10D4">
        <w:rPr>
          <w:rStyle w:val="hps"/>
          <w:lang w:val="uk-UA"/>
        </w:rPr>
        <w:t>проміжної</w:t>
      </w:r>
      <w:r w:rsidRPr="00ED10D4" w:rsidR="00ED10D4">
        <w:rPr>
          <w:lang w:val="uk-UA"/>
        </w:rPr>
        <w:t xml:space="preserve"> </w:t>
      </w:r>
      <w:r w:rsidRPr="00ED10D4" w:rsidR="00ED10D4">
        <w:rPr>
          <w:rStyle w:val="hps"/>
          <w:lang w:val="uk-UA"/>
        </w:rPr>
        <w:t>апеляції</w:t>
      </w:r>
      <w:r w:rsidRPr="00ED10D4" w:rsidR="00ED10D4">
        <w:rPr>
          <w:lang w:val="uk-UA"/>
        </w:rPr>
        <w:t xml:space="preserve"> </w:t>
      </w:r>
      <w:r w:rsidRPr="00ED10D4" w:rsidR="00ED10D4">
        <w:rPr>
          <w:rStyle w:val="hps"/>
          <w:lang w:val="uk-UA"/>
        </w:rPr>
        <w:t>з питань</w:t>
      </w:r>
      <w:r w:rsidRPr="00ED10D4" w:rsidR="00ED10D4">
        <w:rPr>
          <w:lang w:val="uk-UA"/>
        </w:rPr>
        <w:t xml:space="preserve"> </w:t>
      </w:r>
      <w:r w:rsidRPr="00ED10D4" w:rsidR="00ED10D4">
        <w:rPr>
          <w:rStyle w:val="hps"/>
          <w:lang w:val="uk-UA"/>
        </w:rPr>
        <w:t>юрисдикції</w:t>
      </w:r>
      <w:r w:rsidRPr="00761A37" w:rsidR="00A5060C">
        <w:rPr>
          <w:lang w:val="uk-UA"/>
        </w:rPr>
        <w:t xml:space="preserve"> </w:t>
      </w:r>
      <w:r w:rsidR="00ED10D4">
        <w:rPr>
          <w:lang w:val="uk-UA"/>
        </w:rPr>
        <w:t xml:space="preserve">у справі </w:t>
      </w:r>
      <w:r w:rsidRPr="00ED10D4" w:rsidR="00ED10D4">
        <w:rPr>
          <w:i/>
          <w:lang w:val="uk-UA"/>
        </w:rPr>
        <w:t>П</w:t>
      </w:r>
      <w:r w:rsidR="00ED10D4">
        <w:rPr>
          <w:i/>
          <w:lang w:val="uk-UA"/>
        </w:rPr>
        <w:t>рокурор проти Тадіча (</w:t>
      </w:r>
      <w:r w:rsidRPr="00A5060C" w:rsidR="00A5060C">
        <w:rPr>
          <w:i/>
        </w:rPr>
        <w:t>Prosecutor</w:t>
      </w:r>
      <w:r w:rsidRPr="00761A37" w:rsidR="00A5060C">
        <w:rPr>
          <w:i/>
          <w:lang w:val="uk-UA"/>
        </w:rPr>
        <w:t xml:space="preserve"> </w:t>
      </w:r>
      <w:r w:rsidRPr="00A5060C" w:rsidR="00A5060C">
        <w:rPr>
          <w:i/>
        </w:rPr>
        <w:t>v</w:t>
      </w:r>
      <w:r w:rsidRPr="00761A37" w:rsidR="00A5060C">
        <w:rPr>
          <w:i/>
          <w:lang w:val="uk-UA"/>
        </w:rPr>
        <w:t xml:space="preserve">. </w:t>
      </w:r>
      <w:r w:rsidRPr="00A5060C" w:rsidR="00A5060C">
        <w:rPr>
          <w:i/>
        </w:rPr>
        <w:t>Tadi</w:t>
      </w:r>
      <w:r w:rsidRPr="00761A37" w:rsidR="00B17B82">
        <w:rPr>
          <w:i/>
          <w:lang w:val="uk-UA"/>
        </w:rPr>
        <w:t>ć</w:t>
      </w:r>
      <w:r w:rsidR="00ED10D4">
        <w:rPr>
          <w:i/>
          <w:lang w:val="uk-UA"/>
        </w:rPr>
        <w:t>),</w:t>
      </w:r>
      <w:r w:rsidRPr="00761A37" w:rsidR="00A5060C">
        <w:rPr>
          <w:lang w:val="uk-UA"/>
        </w:rPr>
        <w:t xml:space="preserve"> </w:t>
      </w:r>
      <w:r w:rsidR="00ED10D4">
        <w:rPr>
          <w:lang w:val="uk-UA"/>
        </w:rPr>
        <w:t>№</w:t>
      </w:r>
      <w:r w:rsidRPr="00761A37" w:rsidR="00077EA3">
        <w:rPr>
          <w:lang w:val="uk-UA"/>
        </w:rPr>
        <w:t xml:space="preserve"> </w:t>
      </w:r>
      <w:r w:rsidR="00A5060C">
        <w:t>IT</w:t>
      </w:r>
      <w:r w:rsidRPr="00761A37" w:rsidR="00A5060C">
        <w:rPr>
          <w:lang w:val="uk-UA"/>
        </w:rPr>
        <w:t xml:space="preserve">-94-1, </w:t>
      </w:r>
      <w:r w:rsidR="00ED10D4">
        <w:rPr>
          <w:lang w:val="uk-UA"/>
        </w:rPr>
        <w:t>зазначила, що «у справах щодо міжнародних злочинів зараз допускається</w:t>
      </w:r>
      <w:r w:rsidR="00761A37">
        <w:rPr>
          <w:lang w:val="uk-UA"/>
        </w:rPr>
        <w:t xml:space="preserve"> </w:t>
      </w:r>
      <w:r w:rsidR="00ED10D4">
        <w:rPr>
          <w:lang w:val="uk-UA"/>
        </w:rPr>
        <w:t xml:space="preserve">«універсальна юрисдикція»» </w:t>
      </w:r>
      <w:r w:rsidRPr="00761A37" w:rsidR="00A5060C">
        <w:rPr>
          <w:lang w:val="uk-UA"/>
        </w:rPr>
        <w:t>(§</w:t>
      </w:r>
      <w:r w:rsidRPr="00761A37" w:rsidR="00077EA3">
        <w:rPr>
          <w:lang w:val="uk-UA"/>
        </w:rPr>
        <w:t xml:space="preserve"> </w:t>
      </w:r>
      <w:r w:rsidRPr="00761A37" w:rsidR="00A5060C">
        <w:rPr>
          <w:lang w:val="uk-UA"/>
        </w:rPr>
        <w:t>62).</w:t>
      </w:r>
    </w:p>
    <w:p w:rsidR="00532DCC" w:rsidP="0089759B" w:rsidRDefault="00532DCC">
      <w:pPr>
        <w:pStyle w:val="JuPara"/>
      </w:pPr>
      <w:r w:rsidRPr="00B62174">
        <w:fldChar w:fldCharType="begin"/>
      </w:r>
      <w:r w:rsidRPr="00B62174">
        <w:instrText xml:space="preserve"> SEQ level0 \*arabic </w:instrText>
      </w:r>
      <w:r w:rsidRPr="00B62174">
        <w:fldChar w:fldCharType="separate"/>
      </w:r>
      <w:r w:rsidR="00142C04">
        <w:rPr>
          <w:noProof/>
        </w:rPr>
        <w:t>51</w:t>
      </w:r>
      <w:r w:rsidRPr="00B62174">
        <w:fldChar w:fldCharType="end"/>
      </w:r>
      <w:r w:rsidRPr="00B62174">
        <w:t>.  </w:t>
      </w:r>
      <w:r w:rsidR="00ED10D4">
        <w:rPr>
          <w:lang w:val="uk-UA"/>
        </w:rPr>
        <w:t>Так само Судова Палата МКТЮ</w:t>
      </w:r>
      <w:r w:rsidR="00ED10D4">
        <w:t xml:space="preserve"> </w:t>
      </w:r>
      <w:r w:rsidR="00ED10D4">
        <w:rPr>
          <w:lang w:val="uk-UA"/>
        </w:rPr>
        <w:t>у рішенні від</w:t>
      </w:r>
      <w:r w:rsidR="00ED10D4">
        <w:t xml:space="preserve"> </w:t>
      </w:r>
      <w:r w:rsidR="00786A53">
        <w:t>10 </w:t>
      </w:r>
      <w:r w:rsidR="00ED10D4">
        <w:rPr>
          <w:lang w:val="uk-UA"/>
        </w:rPr>
        <w:t xml:space="preserve">грудня </w:t>
      </w:r>
      <w:r w:rsidR="00786A53">
        <w:t>1998</w:t>
      </w:r>
      <w:r w:rsidR="00ED10D4">
        <w:rPr>
          <w:lang w:val="uk-UA"/>
        </w:rPr>
        <w:t xml:space="preserve"> року</w:t>
      </w:r>
      <w:r w:rsidR="00786A53">
        <w:t xml:space="preserve"> </w:t>
      </w:r>
      <w:r w:rsidR="00ED10D4">
        <w:rPr>
          <w:lang w:val="uk-UA"/>
        </w:rPr>
        <w:t xml:space="preserve">у справі </w:t>
      </w:r>
      <w:r w:rsidRPr="00ED10D4" w:rsidR="00ED10D4">
        <w:rPr>
          <w:i/>
          <w:lang w:val="uk-UA"/>
        </w:rPr>
        <w:t>П</w:t>
      </w:r>
      <w:r w:rsidR="00ED10D4">
        <w:rPr>
          <w:i/>
          <w:lang w:val="uk-UA"/>
        </w:rPr>
        <w:t>рокурор проти Фурунджія (</w:t>
      </w:r>
      <w:r w:rsidRPr="00D1653E" w:rsidR="00D1653E">
        <w:rPr>
          <w:i/>
        </w:rPr>
        <w:t>Prosecutor v. Furu</w:t>
      </w:r>
      <w:r w:rsidR="00B17B82">
        <w:rPr>
          <w:i/>
        </w:rPr>
        <w:t>ndž</w:t>
      </w:r>
      <w:r w:rsidRPr="00D1653E" w:rsidR="00D1653E">
        <w:rPr>
          <w:i/>
        </w:rPr>
        <w:t>ija</w:t>
      </w:r>
      <w:r w:rsidR="00ED10D4">
        <w:rPr>
          <w:i/>
          <w:lang w:val="uk-UA"/>
        </w:rPr>
        <w:t>)</w:t>
      </w:r>
      <w:r w:rsidR="00ED10D4">
        <w:rPr>
          <w:lang w:val="uk-UA"/>
        </w:rPr>
        <w:t>,</w:t>
      </w:r>
      <w:r w:rsidR="00D1653E">
        <w:t xml:space="preserve"> </w:t>
      </w:r>
      <w:r w:rsidR="00ED10D4">
        <w:rPr>
          <w:lang w:val="uk-UA"/>
        </w:rPr>
        <w:t>№</w:t>
      </w:r>
      <w:r w:rsidR="00FA7EDE">
        <w:t> IT</w:t>
      </w:r>
      <w:r w:rsidR="00FA7EDE">
        <w:noBreakHyphen/>
        <w:t>95</w:t>
      </w:r>
      <w:r w:rsidR="00FA7EDE">
        <w:noBreakHyphen/>
        <w:t>17/1</w:t>
      </w:r>
      <w:r w:rsidR="00FA7EDE">
        <w:noBreakHyphen/>
      </w:r>
      <w:r w:rsidR="00D1653E">
        <w:t>T</w:t>
      </w:r>
      <w:r w:rsidR="008304F0">
        <w:t>,</w:t>
      </w:r>
      <w:r w:rsidR="00D1653E">
        <w:t xml:space="preserve"> </w:t>
      </w:r>
      <w:r w:rsidR="00ED10D4">
        <w:rPr>
          <w:lang w:val="uk-UA"/>
        </w:rPr>
        <w:t>встановила, що міжнародні злочини зустрічають загальний осуд, де б вони не</w:t>
      </w:r>
      <w:r w:rsidR="00C0339B">
        <w:rPr>
          <w:lang w:val="uk-UA"/>
        </w:rPr>
        <w:t xml:space="preserve"> вчинялись</w:t>
      </w:r>
      <w:r w:rsidR="00ED10D4">
        <w:rPr>
          <w:lang w:val="uk-UA"/>
        </w:rPr>
        <w:t>, і кожна держава має право п</w:t>
      </w:r>
      <w:r w:rsidR="006F425B">
        <w:rPr>
          <w:lang w:val="uk-UA"/>
        </w:rPr>
        <w:t>е</w:t>
      </w:r>
      <w:r w:rsidR="00ED10D4">
        <w:rPr>
          <w:lang w:val="uk-UA"/>
        </w:rPr>
        <w:t xml:space="preserve">реслідувати і карати </w:t>
      </w:r>
      <w:r w:rsidR="00190289">
        <w:rPr>
          <w:lang w:val="uk-UA"/>
        </w:rPr>
        <w:t>осіб, які їх скоїли</w:t>
      </w:r>
      <w:r w:rsidRPr="00B17B82" w:rsidR="00D1653E">
        <w:t xml:space="preserve">. </w:t>
      </w:r>
      <w:r w:rsidR="00190289">
        <w:rPr>
          <w:lang w:val="uk-UA"/>
        </w:rPr>
        <w:t xml:space="preserve">Як зазначив загалом Верховний суд </w:t>
      </w:r>
      <w:r w:rsidR="00162079">
        <w:rPr>
          <w:lang w:val="uk-UA"/>
        </w:rPr>
        <w:t>Ізраїлю</w:t>
      </w:r>
      <w:r w:rsidR="00190289">
        <w:rPr>
          <w:lang w:val="uk-UA"/>
        </w:rPr>
        <w:t xml:space="preserve"> у справі </w:t>
      </w:r>
      <w:r w:rsidRPr="00B17B82" w:rsidR="00D1653E">
        <w:rPr>
          <w:i/>
        </w:rPr>
        <w:t>Eichmann</w:t>
      </w:r>
      <w:r w:rsidRPr="00B17B82" w:rsidR="00D1653E">
        <w:t xml:space="preserve">, </w:t>
      </w:r>
      <w:r w:rsidR="00190289">
        <w:rPr>
          <w:lang w:val="uk-UA"/>
        </w:rPr>
        <w:t>і підтримав його суд США у справі</w:t>
      </w:r>
      <w:r w:rsidRPr="00B17B82" w:rsidR="00D1653E">
        <w:t xml:space="preserve"> </w:t>
      </w:r>
      <w:r w:rsidRPr="00B17B82" w:rsidR="00D1653E">
        <w:rPr>
          <w:i/>
        </w:rPr>
        <w:t>Demjanjuk</w:t>
      </w:r>
      <w:r w:rsidRPr="00B17B82" w:rsidR="00D1653E">
        <w:t xml:space="preserve">, </w:t>
      </w:r>
      <w:r w:rsidR="00190289">
        <w:rPr>
          <w:lang w:val="uk-UA"/>
        </w:rPr>
        <w:t xml:space="preserve">«йдеться про універсальний характер таких злочинів </w:t>
      </w:r>
      <w:r w:rsidRPr="00B17B82" w:rsidR="00910E44">
        <w:t>...</w:t>
      </w:r>
      <w:r w:rsidRPr="00B17B82" w:rsidR="00FC68DE">
        <w:t xml:space="preserve"> </w:t>
      </w:r>
      <w:r w:rsidR="00190289">
        <w:rPr>
          <w:lang w:val="uk-UA"/>
        </w:rPr>
        <w:t>що надає владі кожної держави повноваження судити і карати осіб, які їх скоїли»</w:t>
      </w:r>
      <w:r w:rsidRPr="00D1653E" w:rsidR="00D1653E">
        <w:t xml:space="preserve"> (§</w:t>
      </w:r>
      <w:r w:rsidR="00077EA3">
        <w:t xml:space="preserve"> </w:t>
      </w:r>
      <w:r w:rsidRPr="00D1653E" w:rsidR="00D1653E">
        <w:t>156).</w:t>
      </w:r>
    </w:p>
    <w:p w:rsidR="00761A37" w:rsidP="00A429E3" w:rsidRDefault="00A429E3">
      <w:pPr>
        <w:pStyle w:val="JuHi"/>
      </w:pPr>
      <w:r w:rsidRPr="00A429E3">
        <w:t>(</w:t>
      </w:r>
      <w:r w:rsidRPr="00A429E3" w:rsidR="00500EEB">
        <w:t>iv</w:t>
      </w:r>
      <w:r w:rsidRPr="00A429E3">
        <w:t>)</w:t>
      </w:r>
      <w:r w:rsidRPr="00A429E3" w:rsidR="00500EEB">
        <w:t>  </w:t>
      </w:r>
      <w:r w:rsidR="007D1AD8">
        <w:rPr>
          <w:lang w:val="uk-UA"/>
        </w:rPr>
        <w:t>Національне право і практика інших Держав-учасниць Конвенції</w:t>
      </w:r>
    </w:p>
    <w:p w:rsidR="003C2ECB" w:rsidP="0089759B" w:rsidRDefault="00FD4202">
      <w:pPr>
        <w:pStyle w:val="JuPara"/>
      </w:pPr>
      <w:r w:rsidRPr="00B62174">
        <w:fldChar w:fldCharType="begin"/>
      </w:r>
      <w:r w:rsidRPr="00B62174">
        <w:instrText xml:space="preserve"> SEQ level0 \*arabic </w:instrText>
      </w:r>
      <w:r w:rsidRPr="00B62174">
        <w:fldChar w:fldCharType="separate"/>
      </w:r>
      <w:r w:rsidR="00142C04">
        <w:rPr>
          <w:noProof/>
        </w:rPr>
        <w:t>52</w:t>
      </w:r>
      <w:r w:rsidRPr="00B62174">
        <w:fldChar w:fldCharType="end"/>
      </w:r>
      <w:r w:rsidRPr="00B62174">
        <w:t>.  </w:t>
      </w:r>
      <w:r w:rsidR="00591893">
        <w:rPr>
          <w:lang w:val="uk-UA"/>
        </w:rPr>
        <w:t>Відповідно до наявних у Суду інформації і матеріалів, включно з матеріалами, наданими Урядом, і проти яких заявник не заперечував, законодавчі положення багатьох інших Держав-учасниць Конвенції дозволяють кримінальне переслідування геноциду за умов, подібних до даної справи</w:t>
      </w:r>
      <w:r w:rsidR="00841D0F">
        <w:t>.</w:t>
      </w:r>
    </w:p>
    <w:p w:rsidRPr="00761A37" w:rsidR="00EC0E8E" w:rsidP="0089759B" w:rsidRDefault="00EC0E8E">
      <w:pPr>
        <w:pStyle w:val="JuPara"/>
        <w:rPr>
          <w:lang w:val="ru-RU"/>
        </w:rPr>
      </w:pPr>
      <w:r w:rsidRPr="00B62174">
        <w:fldChar w:fldCharType="begin"/>
      </w:r>
      <w:r w:rsidRPr="00B62174">
        <w:instrText xml:space="preserve"> SEQ level0 \*arabic </w:instrText>
      </w:r>
      <w:r w:rsidRPr="00B62174">
        <w:fldChar w:fldCharType="separate"/>
      </w:r>
      <w:r w:rsidR="00142C04">
        <w:rPr>
          <w:noProof/>
        </w:rPr>
        <w:t>53</w:t>
      </w:r>
      <w:r w:rsidRPr="00B62174">
        <w:fldChar w:fldCharType="end"/>
      </w:r>
      <w:r w:rsidRPr="00B62174">
        <w:t>.  </w:t>
      </w:r>
      <w:r w:rsidR="00591893">
        <w:rPr>
          <w:lang w:val="uk-UA"/>
        </w:rPr>
        <w:t>У багатьох Державах-учасницях Конвенції</w:t>
      </w:r>
      <w:r w:rsidRPr="00A429E3" w:rsidR="00591893">
        <w:t xml:space="preserve"> </w:t>
      </w:r>
      <w:r w:rsidR="00591893">
        <w:rPr>
          <w:lang w:val="uk-UA"/>
        </w:rPr>
        <w:t>кримінальне переслідування геноциду спирається на принцип універсальної юрисдикції, тобто юрисдикції щодо злочинів, скоєних поза територією держави іноземцями проти іноземців, і які не були спрямовані проти національних інтересів цієї держави, принаймні якщо підсудний був на її території</w:t>
      </w:r>
      <w:r w:rsidR="00591893">
        <w:t xml:space="preserve"> </w:t>
      </w:r>
      <w:r w:rsidR="000725B9">
        <w:t>(</w:t>
      </w:r>
      <w:r w:rsidR="00822957">
        <w:rPr>
          <w:lang w:val="uk-UA"/>
        </w:rPr>
        <w:t>наприклад, Іспан</w:t>
      </w:r>
      <w:r w:rsidR="006F425B">
        <w:rPr>
          <w:lang w:val="uk-UA"/>
        </w:rPr>
        <w:t>і</w:t>
      </w:r>
      <w:r w:rsidR="00822957">
        <w:rPr>
          <w:lang w:val="uk-UA"/>
        </w:rPr>
        <w:t>я, Франція, Бельгія</w:t>
      </w:r>
      <w:r w:rsidR="00761A37">
        <w:rPr>
          <w:lang w:val="uk-UA"/>
        </w:rPr>
        <w:t xml:space="preserve"> </w:t>
      </w:r>
      <w:r>
        <w:t>(</w:t>
      </w:r>
      <w:r w:rsidR="00162079">
        <w:rPr>
          <w:lang w:val="uk-UA"/>
        </w:rPr>
        <w:t>принаймні</w:t>
      </w:r>
      <w:r w:rsidR="00822957">
        <w:rPr>
          <w:lang w:val="uk-UA"/>
        </w:rPr>
        <w:t xml:space="preserve"> до</w:t>
      </w:r>
      <w:r w:rsidR="005B6F91">
        <w:t xml:space="preserve"> 2003</w:t>
      </w:r>
      <w:r w:rsidR="00822957">
        <w:rPr>
          <w:lang w:val="uk-UA"/>
        </w:rPr>
        <w:t xml:space="preserve"> р</w:t>
      </w:r>
      <w:r w:rsidR="00A22B6B">
        <w:rPr>
          <w:lang w:val="uk-UA"/>
        </w:rPr>
        <w:t>оку</w:t>
      </w:r>
      <w:r>
        <w:t>)</w:t>
      </w:r>
      <w:r w:rsidR="005B6F91">
        <w:t xml:space="preserve">, </w:t>
      </w:r>
      <w:r w:rsidR="00822957">
        <w:rPr>
          <w:lang w:val="uk-UA"/>
        </w:rPr>
        <w:t xml:space="preserve">Фінляндія, Італія, Латвія, Люксембург, Нідерланди </w:t>
      </w:r>
      <w:r>
        <w:t>(</w:t>
      </w:r>
      <w:r w:rsidR="00822957">
        <w:rPr>
          <w:lang w:val="uk-UA"/>
        </w:rPr>
        <w:t>з</w:t>
      </w:r>
      <w:r w:rsidR="00061B70">
        <w:t xml:space="preserve"> 2003</w:t>
      </w:r>
      <w:r w:rsidR="00822957">
        <w:rPr>
          <w:lang w:val="uk-UA"/>
        </w:rPr>
        <w:t xml:space="preserve"> р</w:t>
      </w:r>
      <w:r w:rsidR="00A22B6B">
        <w:rPr>
          <w:lang w:val="uk-UA"/>
        </w:rPr>
        <w:t>оку</w:t>
      </w:r>
      <w:r>
        <w:t>)</w:t>
      </w:r>
      <w:r w:rsidR="00061B70">
        <w:t xml:space="preserve">, </w:t>
      </w:r>
      <w:r w:rsidR="00822957">
        <w:rPr>
          <w:lang w:val="uk-UA"/>
        </w:rPr>
        <w:t>Росія, Словаччина, Чехія і Угорщина</w:t>
      </w:r>
      <w:r>
        <w:t>)</w:t>
      </w:r>
      <w:r w:rsidR="00061B70">
        <w:t>.</w:t>
      </w:r>
      <w:r>
        <w:t xml:space="preserve"> </w:t>
      </w:r>
      <w:r w:rsidR="00822957">
        <w:rPr>
          <w:lang w:val="uk-UA"/>
        </w:rPr>
        <w:t xml:space="preserve">На час суду над заявником, численні держави дозволяли кримінальне переслідування геноциду, скоєного поза територією держави іноземцями проти іноземців, відповідно до положень, подібних до принципу репрезентативності </w:t>
      </w:r>
      <w:r w:rsidR="00FD0D07">
        <w:t>(</w:t>
      </w:r>
      <w:r w:rsidRPr="00436CB4" w:rsidR="00FD0D07">
        <w:rPr>
          <w:i/>
        </w:rPr>
        <w:t>stellvertretende Strafrechtspflege</w:t>
      </w:r>
      <w:r w:rsidR="00B17B82">
        <w:t xml:space="preserve"> – </w:t>
      </w:r>
      <w:r w:rsidR="00822957">
        <w:rPr>
          <w:lang w:val="uk-UA"/>
        </w:rPr>
        <w:t>для порівняння стаття</w:t>
      </w:r>
      <w:r w:rsidR="00077EA3">
        <w:t xml:space="preserve"> </w:t>
      </w:r>
      <w:r w:rsidR="00B91667">
        <w:t>7 §</w:t>
      </w:r>
      <w:r w:rsidR="00077EA3">
        <w:t xml:space="preserve"> </w:t>
      </w:r>
      <w:r w:rsidR="00B91667">
        <w:t xml:space="preserve">2 </w:t>
      </w:r>
      <w:r w:rsidR="00822957">
        <w:rPr>
          <w:lang w:val="uk-UA"/>
        </w:rPr>
        <w:t>№</w:t>
      </w:r>
      <w:r w:rsidR="00077EA3">
        <w:t xml:space="preserve"> </w:t>
      </w:r>
      <w:r w:rsidR="00B91667">
        <w:t xml:space="preserve">2 </w:t>
      </w:r>
      <w:r w:rsidR="00822957">
        <w:rPr>
          <w:lang w:val="uk-UA"/>
        </w:rPr>
        <w:t>німецького Кримінального кодексу</w:t>
      </w:r>
      <w:r w:rsidR="00B91667">
        <w:t xml:space="preserve">, </w:t>
      </w:r>
      <w:r w:rsidR="00822957">
        <w:rPr>
          <w:lang w:val="uk-UA"/>
        </w:rPr>
        <w:t>параграф</w:t>
      </w:r>
      <w:r w:rsidR="00077EA3">
        <w:t xml:space="preserve"> </w:t>
      </w:r>
      <w:r w:rsidRPr="00236669" w:rsidR="006A28B1">
        <w:t>3</w:t>
      </w:r>
      <w:r w:rsidRPr="00236669" w:rsidR="00236669">
        <w:t>4</w:t>
      </w:r>
      <w:r w:rsidR="00B91667">
        <w:t xml:space="preserve"> </w:t>
      </w:r>
      <w:r w:rsidR="00822957">
        <w:rPr>
          <w:lang w:val="uk-UA"/>
        </w:rPr>
        <w:t>вище</w:t>
      </w:r>
      <w:r w:rsidR="00B91667">
        <w:t xml:space="preserve">), </w:t>
      </w:r>
      <w:r w:rsidR="00822957">
        <w:rPr>
          <w:lang w:val="uk-UA"/>
        </w:rPr>
        <w:t>наприклад</w:t>
      </w:r>
      <w:r w:rsidR="00B91667">
        <w:t xml:space="preserve"> </w:t>
      </w:r>
      <w:r w:rsidR="00822957">
        <w:rPr>
          <w:lang w:val="uk-UA"/>
        </w:rPr>
        <w:t xml:space="preserve">Австрія, Данія, Естонія, Польща, Португалія, Румунія, Швеція і Швейцарія </w:t>
      </w:r>
      <w:r w:rsidR="00391AC6">
        <w:t>(</w:t>
      </w:r>
      <w:r w:rsidR="00822957">
        <w:rPr>
          <w:lang w:val="uk-UA"/>
        </w:rPr>
        <w:t xml:space="preserve">з </w:t>
      </w:r>
      <w:r w:rsidR="00360C04">
        <w:t>2000</w:t>
      </w:r>
      <w:r w:rsidR="00822957">
        <w:rPr>
          <w:lang w:val="uk-UA"/>
        </w:rPr>
        <w:t xml:space="preserve"> року</w:t>
      </w:r>
      <w:r w:rsidR="00391AC6">
        <w:t>)</w:t>
      </w:r>
      <w:r>
        <w:t xml:space="preserve">. </w:t>
      </w:r>
      <w:r w:rsidR="00822957">
        <w:rPr>
          <w:lang w:val="uk-UA"/>
        </w:rPr>
        <w:t>До Держав-учасниць Конвенції, котрі</w:t>
      </w:r>
      <w:r w:rsidR="00761A37">
        <w:rPr>
          <w:lang w:val="uk-UA"/>
        </w:rPr>
        <w:t xml:space="preserve"> </w:t>
      </w:r>
      <w:r w:rsidR="00822957">
        <w:rPr>
          <w:lang w:val="uk-UA"/>
        </w:rPr>
        <w:t>не передбачають універсальної юрисдикції щодо геноциду, належить, зокрема, Сполучене Королівство</w:t>
      </w:r>
      <w:r w:rsidRPr="00761A37">
        <w:rPr>
          <w:lang w:val="ru-RU"/>
        </w:rPr>
        <w:t>.</w:t>
      </w:r>
    </w:p>
    <w:p w:rsidRPr="00CD488D" w:rsidR="00CD488D" w:rsidP="0089759B" w:rsidRDefault="002336EC">
      <w:pPr>
        <w:pStyle w:val="JuPara"/>
      </w:pPr>
      <w:r w:rsidRPr="00B62174">
        <w:fldChar w:fldCharType="begin"/>
      </w:r>
      <w:r w:rsidRPr="00B62174">
        <w:instrText xml:space="preserve"> SEQ level0 \*arabic </w:instrText>
      </w:r>
      <w:r w:rsidRPr="00B62174">
        <w:fldChar w:fldCharType="separate"/>
      </w:r>
      <w:r w:rsidR="00142C04">
        <w:rPr>
          <w:noProof/>
        </w:rPr>
        <w:t>54</w:t>
      </w:r>
      <w:r w:rsidRPr="00B62174">
        <w:fldChar w:fldCharType="end"/>
      </w:r>
      <w:r w:rsidRPr="00B62174">
        <w:t>.  </w:t>
      </w:r>
      <w:r w:rsidR="00822957">
        <w:rPr>
          <w:lang w:val="uk-UA"/>
        </w:rPr>
        <w:t xml:space="preserve">Окрім австрійських, бельгійських і французьких судів, іспанські суди також </w:t>
      </w:r>
      <w:r w:rsidRPr="00822957" w:rsidR="00822957">
        <w:rPr>
          <w:rStyle w:val="hps"/>
          <w:lang w:val="uk-UA"/>
        </w:rPr>
        <w:t>вино</w:t>
      </w:r>
      <w:r w:rsidR="00822957">
        <w:rPr>
          <w:rStyle w:val="hps"/>
          <w:lang w:val="uk-UA"/>
        </w:rPr>
        <w:t>сили</w:t>
      </w:r>
      <w:r w:rsidRPr="00822957" w:rsidR="00822957">
        <w:rPr>
          <w:rStyle w:val="hps"/>
          <w:lang w:val="uk-UA"/>
        </w:rPr>
        <w:t xml:space="preserve"> рішення</w:t>
      </w:r>
      <w:r w:rsidRPr="00822957" w:rsidR="00822957">
        <w:rPr>
          <w:lang w:val="uk-UA"/>
        </w:rPr>
        <w:t xml:space="preserve"> </w:t>
      </w:r>
      <w:r w:rsidRPr="00822957" w:rsidR="00822957">
        <w:rPr>
          <w:rStyle w:val="hps"/>
          <w:lang w:val="uk-UA"/>
        </w:rPr>
        <w:t>за звинуваченням у геноциді</w:t>
      </w:r>
      <w:r w:rsidR="00822957">
        <w:rPr>
          <w:rStyle w:val="hps"/>
          <w:lang w:val="uk-UA"/>
        </w:rPr>
        <w:t>,</w:t>
      </w:r>
      <w:r w:rsidR="00822957">
        <w:t xml:space="preserve"> </w:t>
      </w:r>
      <w:r w:rsidR="00822957">
        <w:rPr>
          <w:lang w:val="uk-UA"/>
        </w:rPr>
        <w:t>спираючись на принцип універсальної юрисдикції</w:t>
      </w:r>
      <w:r w:rsidR="00EF11D2">
        <w:t xml:space="preserve">. </w:t>
      </w:r>
      <w:r w:rsidR="00822957">
        <w:rPr>
          <w:lang w:val="uk-UA"/>
        </w:rPr>
        <w:t xml:space="preserve">Іспанська </w:t>
      </w:r>
      <w:r w:rsidRPr="004A1DA4" w:rsidR="00D115B3">
        <w:rPr>
          <w:i/>
        </w:rPr>
        <w:t>Audiencia Nacional</w:t>
      </w:r>
      <w:r w:rsidRPr="004A1DA4" w:rsidR="004A1DA4">
        <w:t xml:space="preserve"> </w:t>
      </w:r>
      <w:r w:rsidR="0094092B">
        <w:rPr>
          <w:lang w:val="uk-UA"/>
        </w:rPr>
        <w:t>у рішенні від</w:t>
      </w:r>
      <w:r w:rsidRPr="004A1DA4" w:rsidR="00D115B3">
        <w:t xml:space="preserve"> 5</w:t>
      </w:r>
      <w:r w:rsidR="00077EA3">
        <w:t xml:space="preserve"> </w:t>
      </w:r>
      <w:r w:rsidR="0094092B">
        <w:rPr>
          <w:lang w:val="uk-UA"/>
        </w:rPr>
        <w:t>листопада</w:t>
      </w:r>
      <w:r w:rsidRPr="004A1DA4" w:rsidR="00D115B3">
        <w:t xml:space="preserve"> 1998</w:t>
      </w:r>
      <w:r w:rsidR="0094092B">
        <w:rPr>
          <w:lang w:val="uk-UA"/>
        </w:rPr>
        <w:t xml:space="preserve"> року у справі</w:t>
      </w:r>
      <w:r w:rsidRPr="004A1DA4" w:rsidR="00D115B3">
        <w:t xml:space="preserve"> </w:t>
      </w:r>
      <w:r w:rsidRPr="00FD0D07" w:rsidR="00D115B3">
        <w:rPr>
          <w:i/>
        </w:rPr>
        <w:t>Augusto Pinochet</w:t>
      </w:r>
      <w:r w:rsidR="00FD0D07">
        <w:t xml:space="preserve"> </w:t>
      </w:r>
      <w:r w:rsidR="0094092B">
        <w:rPr>
          <w:lang w:val="uk-UA"/>
        </w:rPr>
        <w:t>встановила, що іспанські суди мають юрисдикцію у цій справі</w:t>
      </w:r>
      <w:r w:rsidRPr="004A1DA4" w:rsidR="004A1DA4">
        <w:t xml:space="preserve">. </w:t>
      </w:r>
      <w:r w:rsidR="0094092B">
        <w:rPr>
          <w:lang w:val="uk-UA"/>
        </w:rPr>
        <w:t>Щодо обсягу Конвенції п</w:t>
      </w:r>
      <w:r w:rsidRPr="00F25090" w:rsidR="0094092B">
        <w:t>ро запобігання геноциду</w:t>
      </w:r>
      <w:r w:rsidR="0094092B">
        <w:rPr>
          <w:lang w:val="uk-UA"/>
        </w:rPr>
        <w:t xml:space="preserve"> вона зазначила</w:t>
      </w:r>
      <w:r w:rsidR="00CD488D">
        <w:t>:</w:t>
      </w:r>
    </w:p>
    <w:p w:rsidRPr="00CD488D" w:rsidR="00EF11D2" w:rsidP="00CD488D" w:rsidRDefault="00CD488D">
      <w:pPr>
        <w:pStyle w:val="JuQuot"/>
      </w:pPr>
      <w:r w:rsidRPr="00CD488D">
        <w:t>“</w:t>
      </w:r>
      <w:r w:rsidR="0094092B">
        <w:rPr>
          <w:lang w:val="uk-UA"/>
        </w:rPr>
        <w:t xml:space="preserve">Стаття </w:t>
      </w:r>
      <w:r w:rsidRPr="00CD488D">
        <w:t xml:space="preserve">6 </w:t>
      </w:r>
      <w:r w:rsidR="0094092B">
        <w:rPr>
          <w:lang w:val="uk-UA"/>
        </w:rPr>
        <w:t xml:space="preserve">Конвенції не виключає існування судових органів </w:t>
      </w:r>
      <w:r w:rsidR="00F840C4">
        <w:rPr>
          <w:lang w:val="uk-UA"/>
        </w:rPr>
        <w:t>і</w:t>
      </w:r>
      <w:r w:rsidR="0094092B">
        <w:rPr>
          <w:lang w:val="uk-UA"/>
        </w:rPr>
        <w:t>з юрисдикцією над злочинами, скоєними поза її територією, або міжнародних трибуналів</w:t>
      </w:r>
      <w:r w:rsidRPr="00CD488D">
        <w:t xml:space="preserve">. </w:t>
      </w:r>
      <w:r w:rsidR="00910E44">
        <w:t>...</w:t>
      </w:r>
      <w:r w:rsidRPr="00CD488D">
        <w:t xml:space="preserve"> </w:t>
      </w:r>
      <w:r w:rsidR="0094092B">
        <w:rPr>
          <w:lang w:val="uk-UA"/>
        </w:rPr>
        <w:t>суперечило б духу Конвенції</w:t>
      </w:r>
      <w:r w:rsidRPr="00CD488D">
        <w:t xml:space="preserve"> </w:t>
      </w:r>
      <w:r w:rsidR="00910E44">
        <w:t>...</w:t>
      </w:r>
      <w:r w:rsidR="00EA0FF2">
        <w:t>,</w:t>
      </w:r>
      <w:r w:rsidRPr="00CD488D">
        <w:t xml:space="preserve"> </w:t>
      </w:r>
      <w:r w:rsidR="0094092B">
        <w:rPr>
          <w:lang w:val="uk-UA"/>
        </w:rPr>
        <w:t>аби уникнути безкарності за скоєння таких тяжких злочинів</w:t>
      </w:r>
      <w:r w:rsidRPr="00CD488D">
        <w:t xml:space="preserve">, </w:t>
      </w:r>
      <w:r w:rsidR="0094092B">
        <w:rPr>
          <w:lang w:val="uk-UA"/>
        </w:rPr>
        <w:t>вважати, що ця стаття Конвенції обмежує здійснення юрисдикції, виключаючи будь-яку іншу юрисдикцію, ніж та, яка встановлена даним положенням</w:t>
      </w:r>
      <w:r w:rsidRPr="00CD488D">
        <w:t xml:space="preserve">. </w:t>
      </w:r>
      <w:r w:rsidR="0037227C">
        <w:rPr>
          <w:lang w:val="uk-UA"/>
        </w:rPr>
        <w:t>Той факт, що Держави-учасниці не запровадили у своїх національних юрисдикціях універсальної юрисдикції</w:t>
      </w:r>
      <w:r w:rsidRPr="00CD488D" w:rsidR="0037227C">
        <w:t xml:space="preserve"> </w:t>
      </w:r>
      <w:r w:rsidR="0037227C">
        <w:rPr>
          <w:lang w:val="uk-UA"/>
        </w:rPr>
        <w:t>щодо цього злочину, не пер</w:t>
      </w:r>
      <w:r w:rsidR="006F425B">
        <w:rPr>
          <w:lang w:val="uk-UA"/>
        </w:rPr>
        <w:t>е</w:t>
      </w:r>
      <w:r w:rsidR="0037227C">
        <w:rPr>
          <w:lang w:val="uk-UA"/>
        </w:rPr>
        <w:t>шкоджає Державі-учасниці Конвенції встановити таку юрисдикцію</w:t>
      </w:r>
      <w:r w:rsidRPr="00CD488D" w:rsidR="0037227C">
        <w:t xml:space="preserve"> </w:t>
      </w:r>
      <w:r w:rsidR="0037227C">
        <w:rPr>
          <w:lang w:val="uk-UA"/>
        </w:rPr>
        <w:t>щодо цього злочину, котрий стосується всього світу і безпосередньо торкається міжнародної спільноти, а отже і людства, як сказано в самій Конвенції</w:t>
      </w:r>
      <w:r w:rsidRPr="00CD488D" w:rsidR="00D115B3">
        <w:t xml:space="preserve">. </w:t>
      </w:r>
      <w:r w:rsidR="00910E44">
        <w:t>...</w:t>
      </w:r>
      <w:r w:rsidRPr="00CD488D" w:rsidR="00D115B3">
        <w:t xml:space="preserve"> </w:t>
      </w:r>
      <w:r w:rsidR="0002773C">
        <w:rPr>
          <w:lang w:val="uk-UA"/>
        </w:rPr>
        <w:t>Положення статті</w:t>
      </w:r>
      <w:r w:rsidR="00077EA3">
        <w:t xml:space="preserve"> </w:t>
      </w:r>
      <w:r w:rsidRPr="00CD488D" w:rsidR="00D115B3">
        <w:t xml:space="preserve">6 </w:t>
      </w:r>
      <w:r w:rsidR="0002773C">
        <w:rPr>
          <w:lang w:val="uk-UA"/>
        </w:rPr>
        <w:t>Конвенції</w:t>
      </w:r>
      <w:r w:rsidR="00B17B82">
        <w:t xml:space="preserve"> 1948</w:t>
      </w:r>
      <w:r w:rsidR="0002773C">
        <w:rPr>
          <w:lang w:val="uk-UA"/>
        </w:rPr>
        <w:t xml:space="preserve"> року також не містять дозволу на виключення юрисдикції для покарання за геноцид у Державі-учасниці, наприклад, Іспанії, чиї закони встановлюють екс</w:t>
      </w:r>
      <w:r w:rsidR="009B6082">
        <w:rPr>
          <w:lang w:val="uk-UA"/>
        </w:rPr>
        <w:t>тра</w:t>
      </w:r>
      <w:r w:rsidR="0002773C">
        <w:rPr>
          <w:lang w:val="uk-UA"/>
        </w:rPr>
        <w:t xml:space="preserve">територіальність щодо кримінального переслідування за такі злочини </w:t>
      </w:r>
      <w:r w:rsidR="00910E44">
        <w:t>...</w:t>
      </w:r>
      <w:r w:rsidRPr="00CD488D" w:rsidR="00942C93">
        <w:t>”</w:t>
      </w:r>
      <w:r>
        <w:t xml:space="preserve"> (International Law Reports, </w:t>
      </w:r>
      <w:r w:rsidR="0002773C">
        <w:rPr>
          <w:lang w:val="uk-UA"/>
        </w:rPr>
        <w:t>том</w:t>
      </w:r>
      <w:r w:rsidR="00077EA3">
        <w:t xml:space="preserve"> </w:t>
      </w:r>
      <w:r w:rsidRPr="00CD488D" w:rsidR="00942C93">
        <w:t xml:space="preserve">119, </w:t>
      </w:r>
      <w:r w:rsidR="0002773C">
        <w:rPr>
          <w:lang w:val="uk-UA"/>
        </w:rPr>
        <w:t>стор</w:t>
      </w:r>
      <w:r w:rsidRPr="00CD488D" w:rsidR="00942C93">
        <w:t>.</w:t>
      </w:r>
      <w:r w:rsidR="00077EA3">
        <w:t xml:space="preserve"> </w:t>
      </w:r>
      <w:r>
        <w:t xml:space="preserve">331 </w:t>
      </w:r>
      <w:r w:rsidR="0002773C">
        <w:rPr>
          <w:lang w:val="uk-UA"/>
        </w:rPr>
        <w:t>і далі</w:t>
      </w:r>
      <w:r>
        <w:t xml:space="preserve">, </w:t>
      </w:r>
      <w:r w:rsidR="0002773C">
        <w:rPr>
          <w:lang w:val="uk-UA"/>
        </w:rPr>
        <w:t>на стор</w:t>
      </w:r>
      <w:r w:rsidR="00B17B82">
        <w:t xml:space="preserve">. </w:t>
      </w:r>
      <w:r w:rsidRPr="00CD488D" w:rsidR="00942C93">
        <w:t>335</w:t>
      </w:r>
      <w:r>
        <w:t>-36</w:t>
      </w:r>
      <w:r w:rsidRPr="00CD488D" w:rsidR="00942C93">
        <w:t>)</w:t>
      </w:r>
    </w:p>
    <w:p w:rsidRPr="00DC4A69" w:rsidR="00F71A6A" w:rsidP="00090C82" w:rsidRDefault="00DC4A69">
      <w:pPr>
        <w:pStyle w:val="JuHHead"/>
        <w:rPr>
          <w:lang w:val="uk-UA"/>
        </w:rPr>
      </w:pPr>
      <w:r>
        <w:rPr>
          <w:lang w:val="uk-UA"/>
        </w:rPr>
        <w:t>ПРАВО</w:t>
      </w:r>
    </w:p>
    <w:p w:rsidRPr="00DC4A69" w:rsidR="00F71A6A" w:rsidP="00786A53" w:rsidRDefault="00C70D68">
      <w:pPr>
        <w:pStyle w:val="JuHIRoman"/>
        <w:tabs>
          <w:tab w:val="clear" w:pos="357"/>
          <w:tab w:val="left" w:pos="285"/>
        </w:tabs>
        <w:rPr>
          <w:lang w:val="uk-UA"/>
        </w:rPr>
      </w:pPr>
      <w:r>
        <w:t>I</w:t>
      </w:r>
      <w:r w:rsidRPr="00B62174" w:rsidR="00F71A6A">
        <w:t>.</w:t>
      </w:r>
      <w:r w:rsidRPr="00B62174" w:rsidR="00337600">
        <w:t>  </w:t>
      </w:r>
      <w:r w:rsidR="00DC4A69">
        <w:rPr>
          <w:lang w:val="uk-UA"/>
        </w:rPr>
        <w:t xml:space="preserve">СТВЕРДЖУВАНЕ ПОРУШЕННЯ СТАТТІ </w:t>
      </w:r>
      <w:r w:rsidR="00AA7864">
        <w:t>5 §</w:t>
      </w:r>
      <w:r w:rsidR="00077EA3">
        <w:t xml:space="preserve"> </w:t>
      </w:r>
      <w:r w:rsidR="00AA7864">
        <w:t>1</w:t>
      </w:r>
      <w:r w:rsidR="00077EA3">
        <w:t xml:space="preserve"> </w:t>
      </w:r>
      <w:r w:rsidR="00AA7864">
        <w:t xml:space="preserve">(a) </w:t>
      </w:r>
      <w:r w:rsidR="00DC4A69">
        <w:rPr>
          <w:lang w:val="uk-UA"/>
        </w:rPr>
        <w:t>І СТАТТІ</w:t>
      </w:r>
      <w:r w:rsidR="00077EA3">
        <w:t xml:space="preserve"> </w:t>
      </w:r>
      <w:r w:rsidR="000D3104">
        <w:t>6 §</w:t>
      </w:r>
      <w:r w:rsidR="00077EA3">
        <w:t xml:space="preserve"> </w:t>
      </w:r>
      <w:r w:rsidR="000D3104">
        <w:t>1</w:t>
      </w:r>
      <w:r w:rsidR="001766EF">
        <w:t xml:space="preserve"> </w:t>
      </w:r>
      <w:r w:rsidR="00DC4A69">
        <w:rPr>
          <w:lang w:val="uk-UA"/>
        </w:rPr>
        <w:t>КОНВЕНЦІЇ</w:t>
      </w:r>
    </w:p>
    <w:p w:rsidRPr="00DB3579" w:rsidR="00B43EDF" w:rsidP="000D3104" w:rsidRDefault="000D3104">
      <w:pPr>
        <w:pStyle w:val="JuPara"/>
        <w:rPr>
          <w:lang w:val="uk-UA"/>
        </w:rPr>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55</w:t>
      </w:r>
      <w:r w:rsidRPr="00B62174">
        <w:fldChar w:fldCharType="end"/>
      </w:r>
      <w:r w:rsidRPr="00DB3579">
        <w:rPr>
          <w:lang w:val="uk-UA"/>
        </w:rPr>
        <w:t>.</w:t>
      </w:r>
      <w:r w:rsidRPr="00B62174">
        <w:t>  </w:t>
      </w:r>
      <w:r w:rsidR="00DC4A69">
        <w:rPr>
          <w:lang w:val="uk-UA"/>
        </w:rPr>
        <w:t>Заявник скаржився, що визнання його винним у геноциді Дюс</w:t>
      </w:r>
      <w:r w:rsidR="00F840C4">
        <w:rPr>
          <w:lang w:val="uk-UA"/>
        </w:rPr>
        <w:t>с</w:t>
      </w:r>
      <w:r w:rsidR="00DC4A69">
        <w:rPr>
          <w:lang w:val="uk-UA"/>
        </w:rPr>
        <w:t xml:space="preserve">ельдорфським апеляційним судом, зі схваленням Федеральним судом і Федеральним конституційним судом, котрі, як він стверджував, не мали юрисдикції у справі, а також його наступне </w:t>
      </w:r>
      <w:r w:rsidRPr="00DB3579" w:rsidR="00DC4A69">
        <w:rPr>
          <w:lang w:val="uk-UA"/>
        </w:rPr>
        <w:t>ув</w:t>
      </w:r>
      <w:r w:rsidR="00761A37">
        <w:rPr>
          <w:lang w:val="uk-UA"/>
        </w:rPr>
        <w:t>’</w:t>
      </w:r>
      <w:r w:rsidRPr="00DB3579" w:rsidR="00DC4A69">
        <w:rPr>
          <w:lang w:val="uk-UA"/>
        </w:rPr>
        <w:t>язнення становлять порушення статті</w:t>
      </w:r>
      <w:r w:rsidR="00DC4A69">
        <w:rPr>
          <w:lang w:val="uk-UA"/>
        </w:rPr>
        <w:t xml:space="preserve"> </w:t>
      </w:r>
      <w:r w:rsidRPr="00DB3579" w:rsidR="00AA7864">
        <w:rPr>
          <w:lang w:val="uk-UA"/>
        </w:rPr>
        <w:t>5 §</w:t>
      </w:r>
      <w:r w:rsidR="00AA7864">
        <w:t> </w:t>
      </w:r>
      <w:r w:rsidRPr="00DB3579" w:rsidR="00AA7864">
        <w:rPr>
          <w:lang w:val="uk-UA"/>
        </w:rPr>
        <w:t>1</w:t>
      </w:r>
      <w:r w:rsidR="00AA7864">
        <w:t> </w:t>
      </w:r>
      <w:r w:rsidRPr="00DB3579" w:rsidR="00AA7864">
        <w:rPr>
          <w:lang w:val="uk-UA"/>
        </w:rPr>
        <w:t>(</w:t>
      </w:r>
      <w:r w:rsidR="00AA7864">
        <w:t>a</w:t>
      </w:r>
      <w:r w:rsidRPr="00DB3579" w:rsidR="00AA7864">
        <w:rPr>
          <w:lang w:val="uk-UA"/>
        </w:rPr>
        <w:t xml:space="preserve">) </w:t>
      </w:r>
      <w:r w:rsidR="00DC4A69">
        <w:rPr>
          <w:lang w:val="uk-UA"/>
        </w:rPr>
        <w:t>і статті</w:t>
      </w:r>
      <w:r w:rsidRPr="00DB3579" w:rsidR="00077EA3">
        <w:rPr>
          <w:lang w:val="uk-UA"/>
        </w:rPr>
        <w:t xml:space="preserve"> </w:t>
      </w:r>
      <w:r w:rsidRPr="00DB3579">
        <w:rPr>
          <w:lang w:val="uk-UA"/>
        </w:rPr>
        <w:t>6 §</w:t>
      </w:r>
      <w:r w:rsidRPr="00DB3579" w:rsidR="00077EA3">
        <w:rPr>
          <w:lang w:val="uk-UA"/>
        </w:rPr>
        <w:t xml:space="preserve"> </w:t>
      </w:r>
      <w:r w:rsidRPr="00DB3579">
        <w:rPr>
          <w:lang w:val="uk-UA"/>
        </w:rPr>
        <w:t xml:space="preserve">1 </w:t>
      </w:r>
      <w:r w:rsidR="00162079">
        <w:rPr>
          <w:lang w:val="uk-UA"/>
        </w:rPr>
        <w:t>Конвенції</w:t>
      </w:r>
      <w:r w:rsidRPr="00DB3579">
        <w:rPr>
          <w:lang w:val="uk-UA"/>
        </w:rPr>
        <w:t xml:space="preserve">, </w:t>
      </w:r>
      <w:r w:rsidR="00DC4A69">
        <w:rPr>
          <w:lang w:val="uk-UA"/>
        </w:rPr>
        <w:t>відповідні частини якої кажуть</w:t>
      </w:r>
      <w:r w:rsidRPr="00DB3579">
        <w:rPr>
          <w:lang w:val="uk-UA"/>
        </w:rPr>
        <w:t>:</w:t>
      </w:r>
    </w:p>
    <w:p w:rsidRPr="00FC0820" w:rsidR="00AA7864" w:rsidP="00B17B82" w:rsidRDefault="00DC4A69">
      <w:pPr>
        <w:pStyle w:val="JuHArticle"/>
      </w:pPr>
      <w:r>
        <w:rPr>
          <w:lang w:val="uk-UA"/>
        </w:rPr>
        <w:t>Стаття</w:t>
      </w:r>
      <w:r w:rsidRPr="00FC0820" w:rsidR="00077EA3">
        <w:t xml:space="preserve"> </w:t>
      </w:r>
      <w:r w:rsidRPr="00FC0820" w:rsidR="00AA7864">
        <w:t>5</w:t>
      </w:r>
    </w:p>
    <w:p w:rsidR="009031CA" w:rsidP="009031CA" w:rsidRDefault="00AA7864">
      <w:pPr>
        <w:pStyle w:val="JuQuot"/>
        <w:rPr>
          <w:lang w:val="uk-UA"/>
        </w:rPr>
      </w:pPr>
      <w:r>
        <w:t>“1.  </w:t>
      </w:r>
      <w:r w:rsidRPr="00AD788D" w:rsidR="00DD7544">
        <w:rPr>
          <w:lang w:val="uk-UA"/>
        </w:rPr>
        <w:t>.</w:t>
      </w:r>
      <w:r w:rsidRPr="00A2276C" w:rsidR="00DD7544">
        <w:t>  </w:t>
      </w:r>
      <w:r w:rsidRPr="00AD788D" w:rsidR="00DD7544">
        <w:rPr>
          <w:lang w:val="uk-UA"/>
        </w:rPr>
        <w:t>Кожен має право на свободу та</w:t>
      </w:r>
      <w:r w:rsidRPr="005D3BF0" w:rsidR="00DD7544">
        <w:rPr>
          <w:lang w:val="uk-UA"/>
        </w:rPr>
        <w:t xml:space="preserve"> </w:t>
      </w:r>
      <w:r w:rsidRPr="00AD788D" w:rsidR="00DD7544">
        <w:rPr>
          <w:lang w:val="uk-UA"/>
        </w:rPr>
        <w:t>особисту недоторканність. Нікого не</w:t>
      </w:r>
      <w:r w:rsidRPr="005D3BF0" w:rsidR="00DD7544">
        <w:rPr>
          <w:lang w:val="uk-UA"/>
        </w:rPr>
        <w:t xml:space="preserve"> </w:t>
      </w:r>
      <w:r w:rsidRPr="00AD788D" w:rsidR="00DD7544">
        <w:rPr>
          <w:lang w:val="uk-UA"/>
        </w:rPr>
        <w:t>може бути позбавлено свободи, крім</w:t>
      </w:r>
      <w:r w:rsidRPr="005D3BF0" w:rsidR="00DD7544">
        <w:rPr>
          <w:lang w:val="uk-UA"/>
        </w:rPr>
        <w:t xml:space="preserve"> </w:t>
      </w:r>
      <w:r w:rsidRPr="00AD788D" w:rsidR="00DD7544">
        <w:rPr>
          <w:lang w:val="uk-UA"/>
        </w:rPr>
        <w:t>таких випадків і відповідно до процедури, встановленої законом</w:t>
      </w:r>
      <w:r w:rsidRPr="00DD7544">
        <w:rPr>
          <w:lang w:val="uk-UA"/>
        </w:rPr>
        <w:t>:</w:t>
      </w:r>
    </w:p>
    <w:p w:rsidRPr="009031CA" w:rsidR="00AA7864" w:rsidP="009031CA" w:rsidRDefault="00AA7864">
      <w:pPr>
        <w:pStyle w:val="JuQuot"/>
        <w:rPr>
          <w:lang w:val="uk-UA"/>
        </w:rPr>
      </w:pPr>
      <w:r w:rsidRPr="009031CA">
        <w:rPr>
          <w:lang w:val="uk-UA"/>
        </w:rPr>
        <w:t>(</w:t>
      </w:r>
      <w:r>
        <w:t>a</w:t>
      </w:r>
      <w:r w:rsidRPr="009031CA">
        <w:rPr>
          <w:lang w:val="uk-UA"/>
        </w:rPr>
        <w:t>)</w:t>
      </w:r>
      <w:r>
        <w:t>  </w:t>
      </w:r>
      <w:r w:rsidRPr="009031CA" w:rsidR="009031CA">
        <w:rPr>
          <w:lang w:val="uk-UA"/>
        </w:rPr>
        <w:t>законне ув</w:t>
      </w:r>
      <w:r w:rsidR="00761A37">
        <w:rPr>
          <w:lang w:val="uk-UA"/>
        </w:rPr>
        <w:t>’</w:t>
      </w:r>
      <w:r w:rsidRPr="009031CA" w:rsidR="009031CA">
        <w:rPr>
          <w:lang w:val="uk-UA"/>
        </w:rPr>
        <w:t>язнення особи після засудження її компетентним судом</w:t>
      </w:r>
      <w:r w:rsidRPr="009031CA">
        <w:rPr>
          <w:lang w:val="uk-UA"/>
        </w:rPr>
        <w:t>;”</w:t>
      </w:r>
    </w:p>
    <w:p w:rsidRPr="009031CA" w:rsidR="000D3104" w:rsidP="00B17B82" w:rsidRDefault="009031CA">
      <w:pPr>
        <w:pStyle w:val="JuHArticle"/>
        <w:rPr>
          <w:lang w:val="uk-UA"/>
        </w:rPr>
      </w:pPr>
      <w:r>
        <w:rPr>
          <w:lang w:val="uk-UA"/>
        </w:rPr>
        <w:t>Стаття</w:t>
      </w:r>
      <w:r w:rsidRPr="009031CA" w:rsidR="00077EA3">
        <w:rPr>
          <w:lang w:val="uk-UA"/>
        </w:rPr>
        <w:t xml:space="preserve"> </w:t>
      </w:r>
      <w:r w:rsidRPr="009031CA" w:rsidR="000D3104">
        <w:rPr>
          <w:lang w:val="uk-UA"/>
        </w:rPr>
        <w:t>6</w:t>
      </w:r>
    </w:p>
    <w:p w:rsidRPr="00DD7544" w:rsidR="00DD7544" w:rsidP="000D3104" w:rsidRDefault="000D3104">
      <w:pPr>
        <w:pStyle w:val="JuQuot"/>
        <w:rPr>
          <w:lang w:val="uk-UA"/>
        </w:rPr>
      </w:pPr>
      <w:r>
        <w:t>“1.  </w:t>
      </w:r>
      <w:r w:rsidRPr="005965DC" w:rsidR="00DD7544">
        <w:rPr>
          <w:lang w:val="uk-UA"/>
        </w:rPr>
        <w:t>Кожен має право на справедливий</w:t>
      </w:r>
      <w:r w:rsidR="00DD7544">
        <w:rPr>
          <w:lang w:val="uk-UA"/>
        </w:rPr>
        <w:t xml:space="preserve"> ...</w:t>
      </w:r>
      <w:r w:rsidRPr="005965DC" w:rsidR="00DD7544">
        <w:rPr>
          <w:lang w:val="uk-UA"/>
        </w:rPr>
        <w:t xml:space="preserve"> розгляд його справи</w:t>
      </w:r>
      <w:r w:rsidR="00DD7544">
        <w:rPr>
          <w:lang w:val="uk-UA"/>
        </w:rPr>
        <w:t xml:space="preserve"> ...</w:t>
      </w:r>
      <w:r w:rsidRPr="005965DC" w:rsidR="00DD7544">
        <w:rPr>
          <w:lang w:val="uk-UA"/>
        </w:rPr>
        <w:t xml:space="preserve"> судом, встановленим законом, який </w:t>
      </w:r>
      <w:r w:rsidR="00DD7544">
        <w:rPr>
          <w:lang w:val="uk-UA"/>
        </w:rPr>
        <w:t>...</w:t>
      </w:r>
      <w:r w:rsidRPr="005965DC" w:rsidR="00DD7544">
        <w:rPr>
          <w:lang w:val="uk-UA"/>
        </w:rPr>
        <w:t xml:space="preserve"> встановить обґрунтованість будь-якого висунутого проти</w:t>
      </w:r>
      <w:r w:rsidR="00DD7544">
        <w:rPr>
          <w:lang w:val="uk-UA"/>
        </w:rPr>
        <w:t xml:space="preserve"> </w:t>
      </w:r>
      <w:r w:rsidRPr="005965DC" w:rsidR="00DD7544">
        <w:rPr>
          <w:lang w:val="uk-UA"/>
        </w:rPr>
        <w:t>нього кримінального обвинувачення.</w:t>
      </w:r>
      <w:r w:rsidR="00DD7544">
        <w:rPr>
          <w:lang w:val="uk-UA"/>
        </w:rPr>
        <w:t xml:space="preserve"> ...</w:t>
      </w:r>
    </w:p>
    <w:p w:rsidRPr="009031CA" w:rsidR="000D3104" w:rsidP="000D3104" w:rsidRDefault="000D3104">
      <w:pPr>
        <w:pStyle w:val="JuPara"/>
        <w:rPr>
          <w:lang w:val="uk-UA"/>
        </w:rPr>
      </w:pPr>
      <w:r w:rsidRPr="00B62174">
        <w:fldChar w:fldCharType="begin"/>
      </w:r>
      <w:r w:rsidRPr="009031CA">
        <w:rPr>
          <w:lang w:val="uk-UA"/>
        </w:rPr>
        <w:instrText xml:space="preserve"> </w:instrText>
      </w:r>
      <w:r w:rsidRPr="00B62174">
        <w:instrText>SEQ</w:instrText>
      </w:r>
      <w:r w:rsidRPr="009031CA">
        <w:rPr>
          <w:lang w:val="uk-UA"/>
        </w:rPr>
        <w:instrText xml:space="preserve"> </w:instrText>
      </w:r>
      <w:r w:rsidRPr="00B62174">
        <w:instrText>level</w:instrText>
      </w:r>
      <w:r w:rsidRPr="009031CA">
        <w:rPr>
          <w:lang w:val="uk-UA"/>
        </w:rPr>
        <w:instrText>0 \*</w:instrText>
      </w:r>
      <w:r w:rsidRPr="00B62174">
        <w:instrText>arabic</w:instrText>
      </w:r>
      <w:r w:rsidRPr="009031CA">
        <w:rPr>
          <w:lang w:val="uk-UA"/>
        </w:rPr>
        <w:instrText xml:space="preserve"> </w:instrText>
      </w:r>
      <w:r w:rsidRPr="00B62174">
        <w:fldChar w:fldCharType="separate"/>
      </w:r>
      <w:r w:rsidRPr="009031CA" w:rsidR="00142C04">
        <w:rPr>
          <w:noProof/>
          <w:lang w:val="uk-UA"/>
        </w:rPr>
        <w:t>56</w:t>
      </w:r>
      <w:r w:rsidRPr="00B62174">
        <w:fldChar w:fldCharType="end"/>
      </w:r>
      <w:r w:rsidRPr="009031CA">
        <w:rPr>
          <w:lang w:val="uk-UA"/>
        </w:rPr>
        <w:t>.</w:t>
      </w:r>
      <w:r w:rsidRPr="00B62174">
        <w:t>  </w:t>
      </w:r>
      <w:r w:rsidR="009031CA">
        <w:rPr>
          <w:lang w:val="uk-UA"/>
        </w:rPr>
        <w:t>Уряд не погодився з цим</w:t>
      </w:r>
      <w:r w:rsidRPr="009031CA">
        <w:rPr>
          <w:lang w:val="uk-UA"/>
        </w:rPr>
        <w:t>.</w:t>
      </w:r>
    </w:p>
    <w:p w:rsidRPr="009031CA" w:rsidR="000E7D49" w:rsidP="000E7D49" w:rsidRDefault="000E7D49">
      <w:pPr>
        <w:pStyle w:val="JuHA"/>
        <w:rPr>
          <w:lang w:val="uk-UA"/>
        </w:rPr>
      </w:pPr>
      <w:r w:rsidRPr="00B62174">
        <w:t>A.  </w:t>
      </w:r>
      <w:r w:rsidR="009031CA">
        <w:rPr>
          <w:lang w:val="uk-UA"/>
        </w:rPr>
        <w:t>Прийнятність</w:t>
      </w:r>
    </w:p>
    <w:p w:rsidRPr="007F0793" w:rsidR="000E7D49" w:rsidP="000E7D49" w:rsidRDefault="000E7D49">
      <w:pPr>
        <w:pStyle w:val="JuPara"/>
        <w:keepNext/>
        <w:keepLines/>
        <w:rPr>
          <w:lang w:val="uk-UA"/>
        </w:rPr>
      </w:pPr>
      <w:r w:rsidRPr="00B62174">
        <w:fldChar w:fldCharType="begin"/>
      </w:r>
      <w:r w:rsidRPr="00B62174">
        <w:instrText xml:space="preserve"> SEQ level0 \*arabic </w:instrText>
      </w:r>
      <w:r w:rsidRPr="00B62174">
        <w:fldChar w:fldCharType="separate"/>
      </w:r>
      <w:r w:rsidR="00142C04">
        <w:rPr>
          <w:noProof/>
        </w:rPr>
        <w:t>57</w:t>
      </w:r>
      <w:r w:rsidRPr="00B62174">
        <w:fldChar w:fldCharType="end"/>
      </w:r>
      <w:r w:rsidRPr="00B62174">
        <w:t>.  </w:t>
      </w:r>
      <w:r w:rsidR="007F0793">
        <w:rPr>
          <w:lang w:val="uk-UA"/>
        </w:rPr>
        <w:t xml:space="preserve">Суд зазначає, що ця скарга не є явно необґрунтованою в розумінні статті </w:t>
      </w:r>
      <w:r w:rsidRPr="00AD788D" w:rsidR="007F0793">
        <w:rPr>
          <w:lang w:val="uk-UA"/>
        </w:rPr>
        <w:t xml:space="preserve">35 § 3 </w:t>
      </w:r>
      <w:r w:rsidR="007F0793">
        <w:rPr>
          <w:lang w:val="uk-UA"/>
        </w:rPr>
        <w:t>Конвенції</w:t>
      </w:r>
      <w:r w:rsidRPr="00AD788D" w:rsidR="007F0793">
        <w:rPr>
          <w:lang w:val="uk-UA"/>
        </w:rPr>
        <w:t xml:space="preserve">. </w:t>
      </w:r>
      <w:r w:rsidR="007F0793">
        <w:rPr>
          <w:lang w:val="uk-UA"/>
        </w:rPr>
        <w:t>Жодні інші підстави для неприйнятності не порушувались, отже</w:t>
      </w:r>
      <w:r w:rsidR="00A22B6B">
        <w:rPr>
          <w:lang w:val="uk-UA"/>
        </w:rPr>
        <w:t>,</w:t>
      </w:r>
      <w:r w:rsidR="007F0793">
        <w:rPr>
          <w:lang w:val="uk-UA"/>
        </w:rPr>
        <w:t xml:space="preserve"> її слід визнати прийнятною</w:t>
      </w:r>
      <w:r w:rsidRPr="007F0793">
        <w:rPr>
          <w:lang w:val="uk-UA"/>
        </w:rPr>
        <w:t>.</w:t>
      </w:r>
    </w:p>
    <w:p w:rsidRPr="007F0793" w:rsidR="000E7D49" w:rsidP="000E7D49" w:rsidRDefault="000E7D49">
      <w:pPr>
        <w:pStyle w:val="JuHA"/>
        <w:rPr>
          <w:lang w:val="uk-UA"/>
        </w:rPr>
      </w:pPr>
      <w:r w:rsidRPr="00B62174">
        <w:t>B.  </w:t>
      </w:r>
      <w:r w:rsidR="007F0793">
        <w:rPr>
          <w:lang w:val="uk-UA"/>
        </w:rPr>
        <w:t>Щодо суті</w:t>
      </w:r>
    </w:p>
    <w:p w:rsidR="005E6E0C" w:rsidP="000E7D49" w:rsidRDefault="000E7D49">
      <w:pPr>
        <w:pStyle w:val="JuH1"/>
      </w:pPr>
      <w:r>
        <w:t>1</w:t>
      </w:r>
      <w:r w:rsidR="005E6E0C">
        <w:t>.  </w:t>
      </w:r>
      <w:r w:rsidR="007F0793">
        <w:rPr>
          <w:lang w:val="uk-UA"/>
        </w:rPr>
        <w:t>Подання сторін</w:t>
      </w:r>
    </w:p>
    <w:p w:rsidRPr="007F0793" w:rsidR="005E6E0C" w:rsidP="000E7D49" w:rsidRDefault="00C1342A">
      <w:pPr>
        <w:pStyle w:val="JuHa0"/>
        <w:rPr>
          <w:lang w:val="uk-UA"/>
        </w:rPr>
      </w:pPr>
      <w:r>
        <w:t>(</w:t>
      </w:r>
      <w:r w:rsidR="000E7D49">
        <w:t>a</w:t>
      </w:r>
      <w:r>
        <w:t>)</w:t>
      </w:r>
      <w:r w:rsidR="005E6E0C">
        <w:t>  </w:t>
      </w:r>
      <w:r w:rsidR="007F0793">
        <w:rPr>
          <w:lang w:val="uk-UA"/>
        </w:rPr>
        <w:t>Заявник</w:t>
      </w:r>
    </w:p>
    <w:p w:rsidRPr="00DB3579" w:rsidR="00850076" w:rsidP="00850076" w:rsidRDefault="00E909FE">
      <w:pPr>
        <w:pStyle w:val="JuPara"/>
        <w:rPr>
          <w:lang w:val="uk-UA"/>
        </w:rPr>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58</w:t>
      </w:r>
      <w:r w:rsidRPr="00B62174">
        <w:fldChar w:fldCharType="end"/>
      </w:r>
      <w:r w:rsidRPr="00DB3579">
        <w:rPr>
          <w:lang w:val="uk-UA"/>
        </w:rPr>
        <w:t>.</w:t>
      </w:r>
      <w:r w:rsidRPr="00B62174">
        <w:t>  </w:t>
      </w:r>
      <w:r w:rsidR="00FF21C4">
        <w:rPr>
          <w:lang w:val="uk-UA"/>
        </w:rPr>
        <w:t>Заявник висловив думку, що загальне правило міжнародного публічного права – принцип невтручання – загалом забороняє німецьким судам кримінальне переслідув</w:t>
      </w:r>
      <w:r w:rsidR="006E2776">
        <w:rPr>
          <w:lang w:val="uk-UA"/>
        </w:rPr>
        <w:t xml:space="preserve">ання іноземця, який проживає </w:t>
      </w:r>
      <w:r w:rsidRPr="00DB3579" w:rsidR="006E2776">
        <w:rPr>
          <w:lang w:val="uk-UA"/>
        </w:rPr>
        <w:t>за</w:t>
      </w:r>
      <w:r w:rsidRPr="00DB3579" w:rsidR="00DB3579">
        <w:rPr>
          <w:lang w:val="uk-UA"/>
        </w:rPr>
        <w:t xml:space="preserve"> </w:t>
      </w:r>
      <w:r w:rsidRPr="00DB3579" w:rsidR="00FF21C4">
        <w:rPr>
          <w:lang w:val="uk-UA"/>
        </w:rPr>
        <w:t>кордоном, за геноцид, ймовірно скоєний ним у іншій країні проти іноземних жертв</w:t>
      </w:r>
      <w:r w:rsidRPr="00DB3579" w:rsidR="00850076">
        <w:rPr>
          <w:lang w:val="uk-UA"/>
        </w:rPr>
        <w:t>.</w:t>
      </w:r>
      <w:r w:rsidRPr="00DB3579" w:rsidR="00FF21C4">
        <w:rPr>
          <w:lang w:val="uk-UA"/>
        </w:rPr>
        <w:t xml:space="preserve"> Він стверджував, що німецькі суди не мали права винятково перебирати на себе юрисдикцію</w:t>
      </w:r>
      <w:r w:rsidRPr="00DB3579" w:rsidR="006E2776">
        <w:rPr>
          <w:lang w:val="uk-UA"/>
        </w:rPr>
        <w:t>,</w:t>
      </w:r>
      <w:r w:rsidRPr="00DB3579" w:rsidR="00FF21C4">
        <w:rPr>
          <w:lang w:val="uk-UA"/>
        </w:rPr>
        <w:t xml:space="preserve"> відповідно до принципу міжнародного кримінального права про універсальну юрисдикцію, закріплену у</w:t>
      </w:r>
      <w:r w:rsidR="00761A37">
        <w:rPr>
          <w:lang w:val="uk-UA"/>
        </w:rPr>
        <w:t xml:space="preserve"> </w:t>
      </w:r>
      <w:r w:rsidRPr="00DB3579" w:rsidR="00FF21C4">
        <w:rPr>
          <w:lang w:val="uk-UA"/>
        </w:rPr>
        <w:t xml:space="preserve">статті </w:t>
      </w:r>
      <w:r w:rsidRPr="00DB3579" w:rsidR="00850076">
        <w:rPr>
          <w:lang w:val="uk-UA"/>
        </w:rPr>
        <w:t xml:space="preserve">6 </w:t>
      </w:r>
      <w:r w:rsidRPr="00DB3579" w:rsidR="00FF21C4">
        <w:rPr>
          <w:lang w:val="uk-UA"/>
        </w:rPr>
        <w:t>№</w:t>
      </w:r>
      <w:r w:rsidRPr="00DB3579" w:rsidR="00077EA3">
        <w:rPr>
          <w:lang w:val="uk-UA"/>
        </w:rPr>
        <w:t xml:space="preserve"> </w:t>
      </w:r>
      <w:r w:rsidRPr="00DB3579" w:rsidR="00850076">
        <w:rPr>
          <w:lang w:val="uk-UA"/>
        </w:rPr>
        <w:t xml:space="preserve">1 </w:t>
      </w:r>
      <w:r w:rsidRPr="00DB3579" w:rsidR="00FF21C4">
        <w:rPr>
          <w:lang w:val="uk-UA"/>
        </w:rPr>
        <w:t>Кримінального кодексу</w:t>
      </w:r>
      <w:r w:rsidRPr="00DB3579" w:rsidR="00850076">
        <w:rPr>
          <w:lang w:val="uk-UA"/>
        </w:rPr>
        <w:t>,</w:t>
      </w:r>
      <w:r w:rsidRPr="00DB3579" w:rsidR="00FF21C4">
        <w:rPr>
          <w:lang w:val="uk-UA"/>
        </w:rPr>
        <w:t xml:space="preserve"> оскільки у випадку </w:t>
      </w:r>
      <w:r w:rsidRPr="00DB3579" w:rsidR="006F425B">
        <w:rPr>
          <w:lang w:val="uk-UA"/>
        </w:rPr>
        <w:t>ге</w:t>
      </w:r>
      <w:r w:rsidRPr="00DB3579" w:rsidR="00FF21C4">
        <w:rPr>
          <w:lang w:val="uk-UA"/>
        </w:rPr>
        <w:t>ноциду юрисдикція</w:t>
      </w:r>
      <w:r w:rsidRPr="00DB3579" w:rsidR="006E2776">
        <w:rPr>
          <w:lang w:val="uk-UA"/>
        </w:rPr>
        <w:t>,</w:t>
      </w:r>
      <w:r w:rsidRPr="00DB3579" w:rsidR="00FF21C4">
        <w:rPr>
          <w:lang w:val="uk-UA"/>
        </w:rPr>
        <w:t xml:space="preserve"> відповідно до цього принципу</w:t>
      </w:r>
      <w:r w:rsidRPr="00DB3579" w:rsidR="006E2776">
        <w:rPr>
          <w:lang w:val="uk-UA"/>
        </w:rPr>
        <w:t>,</w:t>
      </w:r>
      <w:r w:rsidRPr="00DB3579" w:rsidR="00FF21C4">
        <w:rPr>
          <w:lang w:val="uk-UA"/>
        </w:rPr>
        <w:t xml:space="preserve"> не була міжнародно визнаною</w:t>
      </w:r>
      <w:r w:rsidRPr="00DB3579" w:rsidR="00850076">
        <w:rPr>
          <w:lang w:val="uk-UA"/>
        </w:rPr>
        <w:t>.</w:t>
      </w:r>
    </w:p>
    <w:p w:rsidRPr="00DB3579" w:rsidR="00850076" w:rsidP="00850076" w:rsidRDefault="00E909FE">
      <w:pPr>
        <w:pStyle w:val="JuPara"/>
      </w:pPr>
      <w:r w:rsidRPr="00DB3579">
        <w:fldChar w:fldCharType="begin"/>
      </w:r>
      <w:r w:rsidRPr="00DB3579">
        <w:instrText xml:space="preserve"> SEQ level0 \*arabic </w:instrText>
      </w:r>
      <w:r w:rsidRPr="00DB3579">
        <w:fldChar w:fldCharType="separate"/>
      </w:r>
      <w:r w:rsidRPr="00DB3579" w:rsidR="00142C04">
        <w:rPr>
          <w:noProof/>
        </w:rPr>
        <w:t>59</w:t>
      </w:r>
      <w:r w:rsidRPr="00DB3579">
        <w:fldChar w:fldCharType="end"/>
      </w:r>
      <w:r w:rsidRPr="00DB3579">
        <w:t>.  </w:t>
      </w:r>
      <w:r w:rsidRPr="00DB3579" w:rsidR="00FF21C4">
        <w:rPr>
          <w:lang w:val="uk-UA"/>
        </w:rPr>
        <w:t xml:space="preserve">Заявник зокрема стверджував, що відповідно до статті </w:t>
      </w:r>
      <w:r w:rsidRPr="00DB3579" w:rsidR="00850076">
        <w:t xml:space="preserve">VI </w:t>
      </w:r>
      <w:r w:rsidRPr="00DB3579" w:rsidR="00FF21C4">
        <w:rPr>
          <w:lang w:val="uk-UA"/>
        </w:rPr>
        <w:t>Конвенції п</w:t>
      </w:r>
      <w:r w:rsidRPr="00DB3579" w:rsidR="00FF21C4">
        <w:t>ро запобігання геноциду</w:t>
      </w:r>
      <w:r w:rsidRPr="00DB3579" w:rsidR="00850076">
        <w:t>,</w:t>
      </w:r>
      <w:r w:rsidRPr="00DB3579" w:rsidR="00FF21C4">
        <w:rPr>
          <w:lang w:val="uk-UA"/>
        </w:rPr>
        <w:t xml:space="preserve"> лише трибунал держави, на території якої було скоєне таке діяння, або міжнародний трибунал мали юрисдикцію судити особу, обвинувачену у геноциді</w:t>
      </w:r>
      <w:r w:rsidRPr="00DB3579" w:rsidR="00850076">
        <w:t xml:space="preserve">. </w:t>
      </w:r>
      <w:r w:rsidRPr="00DB3579" w:rsidR="00FF21C4">
        <w:rPr>
          <w:lang w:val="uk-UA"/>
        </w:rPr>
        <w:t xml:space="preserve">Отже, ця стаття віддзеркалювала </w:t>
      </w:r>
      <w:proofErr w:type="spellStart"/>
      <w:r w:rsidRPr="00DB3579" w:rsidR="00FF21C4">
        <w:rPr>
          <w:lang w:val="uk-UA"/>
        </w:rPr>
        <w:t>обов</w:t>
      </w:r>
      <w:r w:rsidR="00761A37">
        <w:rPr>
          <w:lang w:val="uk-UA"/>
        </w:rPr>
        <w:t>’</w:t>
      </w:r>
      <w:r w:rsidRPr="00DB3579" w:rsidR="00FF21C4">
        <w:rPr>
          <w:lang w:val="fr-FR"/>
        </w:rPr>
        <w:t>язок</w:t>
      </w:r>
      <w:proofErr w:type="spellEnd"/>
      <w:r w:rsidRPr="00DB3579" w:rsidR="00FF21C4">
        <w:rPr>
          <w:lang w:val="en-US"/>
        </w:rPr>
        <w:t xml:space="preserve"> </w:t>
      </w:r>
      <w:r w:rsidRPr="00DB3579" w:rsidR="00FF21C4">
        <w:rPr>
          <w:lang w:val="fr-FR"/>
        </w:rPr>
        <w:t>невтручання</w:t>
      </w:r>
      <w:r w:rsidRPr="00DB3579" w:rsidR="00595F5F">
        <w:rPr>
          <w:lang w:val="uk-UA"/>
        </w:rPr>
        <w:t>, котрий випливає із принцип</w:t>
      </w:r>
      <w:r w:rsidRPr="00DB3579" w:rsidR="006F425B">
        <w:rPr>
          <w:lang w:val="uk-UA"/>
        </w:rPr>
        <w:t>ом</w:t>
      </w:r>
      <w:r w:rsidRPr="00DB3579" w:rsidR="00595F5F">
        <w:rPr>
          <w:lang w:val="uk-UA"/>
        </w:rPr>
        <w:t xml:space="preserve"> суверенності і рівності всіх держав, і заборони зловживання правом, котрі є загальними правилами міжнародного публічного права</w:t>
      </w:r>
      <w:r w:rsidRPr="00DB3579" w:rsidR="00850076">
        <w:t xml:space="preserve">. </w:t>
      </w:r>
      <w:r w:rsidRPr="00DB3579" w:rsidR="00595F5F">
        <w:rPr>
          <w:lang w:val="uk-UA"/>
        </w:rPr>
        <w:t xml:space="preserve">Він доводив, що принцип універсальної юрисдикції, як визнаний звичаєвим міжнародним публічним правом, теоретично міг передати юрисдикцію іншому національному суду, ніж вказаному у статті </w:t>
      </w:r>
      <w:r w:rsidRPr="00DB3579" w:rsidR="00850076">
        <w:t xml:space="preserve">VI </w:t>
      </w:r>
      <w:r w:rsidRPr="00DB3579" w:rsidR="006B6F72">
        <w:rPr>
          <w:lang w:val="uk-UA"/>
        </w:rPr>
        <w:t>Конвенції п</w:t>
      </w:r>
      <w:r w:rsidRPr="00DB3579" w:rsidR="006B6F72">
        <w:t>ро запобігання геноциду</w:t>
      </w:r>
      <w:r w:rsidRPr="00DB3579" w:rsidR="00850076">
        <w:t xml:space="preserve">. </w:t>
      </w:r>
      <w:r w:rsidRPr="00DB3579" w:rsidR="00595F5F">
        <w:rPr>
          <w:lang w:val="uk-UA"/>
        </w:rPr>
        <w:t xml:space="preserve">Проте, він стверджував, що юрисдикція відповідно до цього принципу, як виняток із правила про </w:t>
      </w:r>
      <w:proofErr w:type="spellStart"/>
      <w:r w:rsidRPr="00DB3579" w:rsidR="00595F5F">
        <w:rPr>
          <w:lang w:val="uk-UA"/>
        </w:rPr>
        <w:t>обов</w:t>
      </w:r>
      <w:r w:rsidR="00761A37">
        <w:rPr>
          <w:lang w:val="uk-UA"/>
        </w:rPr>
        <w:t>’</w:t>
      </w:r>
      <w:proofErr w:type="spellEnd"/>
      <w:r w:rsidRPr="00761A37" w:rsidR="00595F5F">
        <w:rPr>
          <w:lang w:val="ru-RU"/>
        </w:rPr>
        <w:t>язок невтручання</w:t>
      </w:r>
      <w:r w:rsidRPr="00DB3579" w:rsidR="00595F5F">
        <w:rPr>
          <w:lang w:val="uk-UA"/>
        </w:rPr>
        <w:t>, не була визнана ані міжнародним договірним правом, ані звичаєвим міжнародним правом стосовно</w:t>
      </w:r>
      <w:r w:rsidR="00761A37">
        <w:rPr>
          <w:lang w:val="uk-UA"/>
        </w:rPr>
        <w:t xml:space="preserve"> </w:t>
      </w:r>
      <w:r w:rsidRPr="00DB3579" w:rsidR="00595F5F">
        <w:rPr>
          <w:lang w:val="uk-UA"/>
        </w:rPr>
        <w:t>суду над особою, обвинуваченою у геноциді</w:t>
      </w:r>
      <w:r w:rsidRPr="00761A37" w:rsidR="00850076">
        <w:rPr>
          <w:lang w:val="ru-RU"/>
        </w:rPr>
        <w:t>.</w:t>
      </w:r>
      <w:r w:rsidRPr="00761A37" w:rsidR="00E41C1A">
        <w:rPr>
          <w:lang w:val="ru-RU"/>
        </w:rPr>
        <w:t xml:space="preserve"> </w:t>
      </w:r>
      <w:r w:rsidRPr="00DB3579" w:rsidR="00595F5F">
        <w:rPr>
          <w:lang w:val="uk-UA"/>
        </w:rPr>
        <w:t>Отже, німецькі суди протиправно перебрали на себе юрисдикцію</w:t>
      </w:r>
      <w:r w:rsidRPr="00DB3579" w:rsidR="00E41C1A">
        <w:t>.</w:t>
      </w:r>
    </w:p>
    <w:p w:rsidRPr="00DB3579" w:rsidR="005E6E0C" w:rsidP="000E7D49" w:rsidRDefault="00C1342A">
      <w:pPr>
        <w:pStyle w:val="JuHa0"/>
        <w:rPr>
          <w:lang w:val="uk-UA"/>
        </w:rPr>
      </w:pPr>
      <w:r w:rsidRPr="00DB3579">
        <w:t>(</w:t>
      </w:r>
      <w:r w:rsidRPr="00DB3579" w:rsidR="000E7D49">
        <w:t>b</w:t>
      </w:r>
      <w:r w:rsidRPr="00DB3579">
        <w:t>)</w:t>
      </w:r>
      <w:r w:rsidRPr="00DB3579" w:rsidR="005E6E0C">
        <w:t>  </w:t>
      </w:r>
      <w:r w:rsidRPr="00DB3579" w:rsidR="004453C5">
        <w:rPr>
          <w:lang w:val="uk-UA"/>
        </w:rPr>
        <w:t>Уряд</w:t>
      </w:r>
    </w:p>
    <w:p w:rsidRPr="00356334" w:rsidR="005E6E0C" w:rsidP="00850076" w:rsidRDefault="00E909FE">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60</w:t>
      </w:r>
      <w:r w:rsidRPr="00DB3579">
        <w:fldChar w:fldCharType="end"/>
      </w:r>
      <w:r w:rsidRPr="00DB3579">
        <w:rPr>
          <w:lang w:val="uk-UA"/>
        </w:rPr>
        <w:t>.</w:t>
      </w:r>
      <w:r w:rsidRPr="00DB3579">
        <w:t>  </w:t>
      </w:r>
      <w:r w:rsidRPr="00DB3579" w:rsidR="006F425B">
        <w:rPr>
          <w:lang w:val="uk-UA"/>
        </w:rPr>
        <w:t>В</w:t>
      </w:r>
      <w:r w:rsidRPr="00DB3579" w:rsidR="004453C5">
        <w:rPr>
          <w:lang w:val="uk-UA"/>
        </w:rPr>
        <w:t>ідповідно до подання Уряду, німецькі суди були «компетентними судами»</w:t>
      </w:r>
      <w:r w:rsidRPr="00DB3579" w:rsidR="004545A6">
        <w:rPr>
          <w:lang w:val="uk-UA"/>
        </w:rPr>
        <w:t>,</w:t>
      </w:r>
      <w:r w:rsidRPr="00DB3579" w:rsidR="004453C5">
        <w:rPr>
          <w:lang w:val="uk-UA"/>
        </w:rPr>
        <w:t xml:space="preserve"> у розумінні статті </w:t>
      </w:r>
      <w:r w:rsidRPr="00DB3579" w:rsidR="000F3EEC">
        <w:rPr>
          <w:lang w:val="uk-UA"/>
        </w:rPr>
        <w:t>5 §</w:t>
      </w:r>
      <w:r w:rsidRPr="00DB3579" w:rsidR="00077EA3">
        <w:rPr>
          <w:lang w:val="uk-UA"/>
        </w:rPr>
        <w:t xml:space="preserve"> </w:t>
      </w:r>
      <w:r w:rsidRPr="00DB3579" w:rsidR="000F3EEC">
        <w:rPr>
          <w:lang w:val="uk-UA"/>
        </w:rPr>
        <w:t>1</w:t>
      </w:r>
      <w:r w:rsidRPr="00DB3579" w:rsidR="00077EA3">
        <w:rPr>
          <w:lang w:val="uk-UA"/>
        </w:rPr>
        <w:t xml:space="preserve"> </w:t>
      </w:r>
      <w:r w:rsidRPr="00DB3579" w:rsidR="000F3EEC">
        <w:rPr>
          <w:lang w:val="uk-UA"/>
        </w:rPr>
        <w:t>(</w:t>
      </w:r>
      <w:r w:rsidRPr="00DB3579" w:rsidR="000F3EEC">
        <w:t>a</w:t>
      </w:r>
      <w:r w:rsidRPr="00DB3579" w:rsidR="000F3EEC">
        <w:rPr>
          <w:lang w:val="uk-UA"/>
        </w:rPr>
        <w:t xml:space="preserve">) </w:t>
      </w:r>
      <w:r w:rsidRPr="00DB3579" w:rsidR="004453C5">
        <w:rPr>
          <w:lang w:val="uk-UA"/>
        </w:rPr>
        <w:t>Конвенції</w:t>
      </w:r>
      <w:r w:rsidRPr="00DB3579" w:rsidR="004545A6">
        <w:rPr>
          <w:lang w:val="uk-UA"/>
        </w:rPr>
        <w:t>,</w:t>
      </w:r>
      <w:r w:rsidRPr="00DB3579" w:rsidR="004453C5">
        <w:rPr>
          <w:lang w:val="uk-UA"/>
        </w:rPr>
        <w:t xml:space="preserve"> для визнання заявника винним, а також «судами, встановленими законом»</w:t>
      </w:r>
      <w:r w:rsidRPr="00DB3579" w:rsidR="004545A6">
        <w:rPr>
          <w:lang w:val="uk-UA"/>
        </w:rPr>
        <w:t>,</w:t>
      </w:r>
      <w:r w:rsidRPr="004545A6" w:rsidR="004453C5">
        <w:rPr>
          <w:u w:val="single" w:color="C00000"/>
          <w:lang w:val="uk-UA"/>
        </w:rPr>
        <w:t xml:space="preserve"> у</w:t>
      </w:r>
      <w:r w:rsidR="004453C5">
        <w:rPr>
          <w:lang w:val="uk-UA"/>
        </w:rPr>
        <w:t xml:space="preserve"> розумінні статті </w:t>
      </w:r>
      <w:r w:rsidRPr="006F425B" w:rsidR="00C84507">
        <w:rPr>
          <w:lang w:val="uk-UA"/>
        </w:rPr>
        <w:t>6 §</w:t>
      </w:r>
      <w:r w:rsidRPr="006F425B" w:rsidR="00077EA3">
        <w:rPr>
          <w:lang w:val="uk-UA"/>
        </w:rPr>
        <w:t xml:space="preserve"> </w:t>
      </w:r>
      <w:r w:rsidRPr="006F425B" w:rsidR="00C84507">
        <w:rPr>
          <w:lang w:val="uk-UA"/>
        </w:rPr>
        <w:t xml:space="preserve">1 </w:t>
      </w:r>
      <w:r w:rsidR="004453C5">
        <w:rPr>
          <w:lang w:val="uk-UA"/>
        </w:rPr>
        <w:t>Конвенції</w:t>
      </w:r>
      <w:r w:rsidRPr="006F425B" w:rsidR="000F3EEC">
        <w:rPr>
          <w:lang w:val="uk-UA"/>
        </w:rPr>
        <w:t xml:space="preserve">. </w:t>
      </w:r>
      <w:r w:rsidR="00D1185B">
        <w:rPr>
          <w:lang w:val="uk-UA"/>
        </w:rPr>
        <w:t>Німецьке кримінальне право мало застосовуватись до фактів даної справи, тобто, відповідно до німецького права, німецькі суди мали юрисдикцію щодо злочинів, у яких було обвинувачено заявника</w:t>
      </w:r>
      <w:r w:rsidRPr="00761A37" w:rsidR="00507C4E">
        <w:rPr>
          <w:lang w:val="ru-RU"/>
        </w:rPr>
        <w:t>.</w:t>
      </w:r>
      <w:r w:rsidR="00761A37">
        <w:rPr>
          <w:lang w:val="uk-UA"/>
        </w:rPr>
        <w:t xml:space="preserve"> </w:t>
      </w:r>
      <w:r w:rsidR="002F3F01">
        <w:rPr>
          <w:lang w:val="uk-UA"/>
        </w:rPr>
        <w:t>Вони були компетентними</w:t>
      </w:r>
      <w:r w:rsidRPr="00761A37" w:rsidR="002F3F01">
        <w:rPr>
          <w:lang w:val="ru-RU"/>
        </w:rPr>
        <w:t xml:space="preserve"> </w:t>
      </w:r>
      <w:r w:rsidR="002F3F01">
        <w:rPr>
          <w:lang w:val="uk-UA"/>
        </w:rPr>
        <w:t xml:space="preserve">відповідно до статті </w:t>
      </w:r>
      <w:r w:rsidRPr="00761A37" w:rsidR="002409CF">
        <w:rPr>
          <w:lang w:val="ru-RU"/>
        </w:rPr>
        <w:t xml:space="preserve">6 </w:t>
      </w:r>
      <w:r w:rsidR="002F3F01">
        <w:rPr>
          <w:lang w:val="uk-UA"/>
        </w:rPr>
        <w:t xml:space="preserve">№ </w:t>
      </w:r>
      <w:r w:rsidRPr="00761A37" w:rsidR="002409CF">
        <w:rPr>
          <w:lang w:val="ru-RU"/>
        </w:rPr>
        <w:t xml:space="preserve">1 </w:t>
      </w:r>
      <w:r w:rsidR="002F3F01">
        <w:rPr>
          <w:lang w:val="uk-UA"/>
        </w:rPr>
        <w:t>Кримінального кодексу</w:t>
      </w:r>
      <w:r w:rsidRPr="00761A37" w:rsidR="002F3F01">
        <w:rPr>
          <w:lang w:val="ru-RU"/>
        </w:rPr>
        <w:t xml:space="preserve"> </w:t>
      </w:r>
      <w:r w:rsidRPr="00761A37" w:rsidR="002409CF">
        <w:rPr>
          <w:lang w:val="ru-RU"/>
        </w:rPr>
        <w:t>(</w:t>
      </w:r>
      <w:r w:rsidR="002F3F01">
        <w:rPr>
          <w:lang w:val="uk-UA"/>
        </w:rPr>
        <w:t>у чинній на той час редакції</w:t>
      </w:r>
      <w:r w:rsidRPr="00761A37" w:rsidR="002409CF">
        <w:rPr>
          <w:lang w:val="ru-RU"/>
        </w:rPr>
        <w:t xml:space="preserve">). </w:t>
      </w:r>
      <w:r w:rsidR="00356334">
        <w:rPr>
          <w:lang w:val="uk-UA"/>
        </w:rPr>
        <w:t>Іс</w:t>
      </w:r>
      <w:r w:rsidR="00117F52">
        <w:rPr>
          <w:lang w:val="uk-UA"/>
        </w:rPr>
        <w:t>н</w:t>
      </w:r>
      <w:r w:rsidR="00356334">
        <w:rPr>
          <w:lang w:val="uk-UA"/>
        </w:rPr>
        <w:t xml:space="preserve">ував також правомірний </w:t>
      </w:r>
      <w:proofErr w:type="spellStart"/>
      <w:r w:rsidR="00356334">
        <w:rPr>
          <w:lang w:val="uk-UA"/>
        </w:rPr>
        <w:t>зв</w:t>
      </w:r>
      <w:r w:rsidR="00761A37">
        <w:rPr>
          <w:lang w:val="uk-UA"/>
        </w:rPr>
        <w:t>’</w:t>
      </w:r>
      <w:proofErr w:type="spellEnd"/>
      <w:r w:rsidRPr="00761A37" w:rsidR="00356334">
        <w:rPr>
          <w:lang w:val="ru-RU"/>
        </w:rPr>
        <w:t xml:space="preserve">язок між кримінальним переслідуванням </w:t>
      </w:r>
      <w:r w:rsidR="00356334">
        <w:rPr>
          <w:lang w:val="uk-UA"/>
        </w:rPr>
        <w:t xml:space="preserve">за злочини, у яких було обвинувачено заявника, і самою Німеччиною, який вважали необхідним німецькі суди поза формулюванням статті </w:t>
      </w:r>
      <w:r w:rsidRPr="00356334" w:rsidR="007A616F">
        <w:rPr>
          <w:lang w:val="uk-UA"/>
        </w:rPr>
        <w:t xml:space="preserve">6 </w:t>
      </w:r>
      <w:r w:rsidR="00356334">
        <w:rPr>
          <w:lang w:val="uk-UA"/>
        </w:rPr>
        <w:t xml:space="preserve">№ </w:t>
      </w:r>
      <w:r w:rsidRPr="00356334" w:rsidR="00356334">
        <w:rPr>
          <w:lang w:val="uk-UA"/>
        </w:rPr>
        <w:t xml:space="preserve">1 </w:t>
      </w:r>
      <w:r w:rsidR="00356334">
        <w:rPr>
          <w:lang w:val="uk-UA"/>
        </w:rPr>
        <w:t>Кримінального кодексу, аби встановити юрисдикцію і, отже, дотриматись принципу невтручання</w:t>
      </w:r>
      <w:r w:rsidRPr="00356334" w:rsidR="00AA64B5">
        <w:rPr>
          <w:lang w:val="uk-UA"/>
        </w:rPr>
        <w:t xml:space="preserve">. </w:t>
      </w:r>
      <w:r w:rsidR="00356334">
        <w:rPr>
          <w:lang w:val="uk-UA"/>
        </w:rPr>
        <w:t>Заявник проживав у Німеччині протягом багатьох років, досі лишався на відповідному обліку як постійний мешканець і був заарештований на німецькій території</w:t>
      </w:r>
      <w:r w:rsidRPr="00356334" w:rsidR="00AA64B5">
        <w:rPr>
          <w:lang w:val="uk-UA"/>
        </w:rPr>
        <w:t xml:space="preserve">. </w:t>
      </w:r>
      <w:r w:rsidR="00356334">
        <w:rPr>
          <w:lang w:val="uk-UA"/>
        </w:rPr>
        <w:t xml:space="preserve">Окрім того, Німеччина брала участь у військовій і гуманітарній місії у Боснії і </w:t>
      </w:r>
      <w:r w:rsidR="00162079">
        <w:rPr>
          <w:lang w:val="uk-UA"/>
        </w:rPr>
        <w:t>Герцеговині</w:t>
      </w:r>
      <w:r w:rsidRPr="00356334" w:rsidR="00D7067F">
        <w:rPr>
          <w:lang w:val="uk-UA"/>
        </w:rPr>
        <w:t>.</w:t>
      </w:r>
      <w:r w:rsidRPr="00356334" w:rsidR="00DF3B11">
        <w:rPr>
          <w:lang w:val="uk-UA"/>
        </w:rPr>
        <w:t xml:space="preserve"> </w:t>
      </w:r>
      <w:r w:rsidR="00356334">
        <w:rPr>
          <w:lang w:val="uk-UA"/>
        </w:rPr>
        <w:t xml:space="preserve">До того ж, вимоги статті </w:t>
      </w:r>
      <w:r w:rsidRPr="00356334">
        <w:rPr>
          <w:lang w:val="uk-UA"/>
        </w:rPr>
        <w:t>7 §</w:t>
      </w:r>
      <w:r w:rsidRPr="00356334" w:rsidR="00077EA3">
        <w:rPr>
          <w:lang w:val="uk-UA"/>
        </w:rPr>
        <w:t xml:space="preserve"> </w:t>
      </w:r>
      <w:r w:rsidRPr="00356334">
        <w:rPr>
          <w:lang w:val="uk-UA"/>
        </w:rPr>
        <w:t xml:space="preserve">2 </w:t>
      </w:r>
      <w:r w:rsidR="00356334">
        <w:rPr>
          <w:lang w:val="uk-UA"/>
        </w:rPr>
        <w:t>№</w:t>
      </w:r>
      <w:r w:rsidRPr="00356334">
        <w:rPr>
          <w:lang w:val="uk-UA"/>
        </w:rPr>
        <w:t xml:space="preserve">2 </w:t>
      </w:r>
      <w:r w:rsidR="00356334">
        <w:rPr>
          <w:lang w:val="uk-UA"/>
        </w:rPr>
        <w:t>Кримінального кодексу</w:t>
      </w:r>
      <w:r w:rsidRPr="00356334" w:rsidR="004A464A">
        <w:rPr>
          <w:lang w:val="uk-UA"/>
        </w:rPr>
        <w:t xml:space="preserve">, </w:t>
      </w:r>
      <w:r w:rsidR="00356334">
        <w:rPr>
          <w:lang w:val="uk-UA"/>
        </w:rPr>
        <w:t xml:space="preserve">котрі увібрали принцип </w:t>
      </w:r>
      <w:r w:rsidR="00162079">
        <w:rPr>
          <w:lang w:val="uk-UA"/>
        </w:rPr>
        <w:t>репрезентативності</w:t>
      </w:r>
      <w:r w:rsidR="00356334">
        <w:rPr>
          <w:lang w:val="uk-UA"/>
        </w:rPr>
        <w:t xml:space="preserve">, не були дотримані зокрема тому, що ні МКТЮ, ні кримінальні суди за місцем скоєння злочину у Боснії і </w:t>
      </w:r>
      <w:r w:rsidR="00162079">
        <w:rPr>
          <w:lang w:val="uk-UA"/>
        </w:rPr>
        <w:t>Герцеговині</w:t>
      </w:r>
      <w:r w:rsidR="00356334">
        <w:rPr>
          <w:lang w:val="uk-UA"/>
        </w:rPr>
        <w:t xml:space="preserve"> не подали запиту про екстрадиці</w:t>
      </w:r>
      <w:r w:rsidR="008F23BF">
        <w:rPr>
          <w:lang w:val="uk-UA"/>
        </w:rPr>
        <w:t>ю</w:t>
      </w:r>
      <w:r w:rsidR="00356334">
        <w:rPr>
          <w:lang w:val="uk-UA"/>
        </w:rPr>
        <w:t xml:space="preserve"> заявника</w:t>
      </w:r>
      <w:r w:rsidRPr="00356334">
        <w:rPr>
          <w:lang w:val="uk-UA"/>
        </w:rPr>
        <w:t>.</w:t>
      </w:r>
    </w:p>
    <w:p w:rsidRPr="00761A37" w:rsidR="005B0828" w:rsidP="00850076" w:rsidRDefault="00E909FE">
      <w:pPr>
        <w:pStyle w:val="JuPara"/>
        <w:rPr>
          <w:lang w:val="uk-UA"/>
        </w:rPr>
      </w:pPr>
      <w:r w:rsidRPr="00B62174">
        <w:fldChar w:fldCharType="begin"/>
      </w:r>
      <w:r w:rsidRPr="008F23BF">
        <w:rPr>
          <w:lang w:val="uk-UA"/>
        </w:rPr>
        <w:instrText xml:space="preserve"> </w:instrText>
      </w:r>
      <w:r w:rsidRPr="00B62174">
        <w:instrText>SEQ</w:instrText>
      </w:r>
      <w:r w:rsidRPr="008F23BF">
        <w:rPr>
          <w:lang w:val="uk-UA"/>
        </w:rPr>
        <w:instrText xml:space="preserve"> </w:instrText>
      </w:r>
      <w:r w:rsidRPr="00B62174">
        <w:instrText>level</w:instrText>
      </w:r>
      <w:r w:rsidRPr="008F23BF">
        <w:rPr>
          <w:lang w:val="uk-UA"/>
        </w:rPr>
        <w:instrText>0 \*</w:instrText>
      </w:r>
      <w:r w:rsidRPr="00B62174">
        <w:instrText>arabic</w:instrText>
      </w:r>
      <w:r w:rsidRPr="008F23BF">
        <w:rPr>
          <w:lang w:val="uk-UA"/>
        </w:rPr>
        <w:instrText xml:space="preserve"> </w:instrText>
      </w:r>
      <w:r w:rsidRPr="00B62174">
        <w:fldChar w:fldCharType="separate"/>
      </w:r>
      <w:r w:rsidRPr="008F23BF" w:rsidR="00142C04">
        <w:rPr>
          <w:noProof/>
          <w:lang w:val="uk-UA"/>
        </w:rPr>
        <w:t>61</w:t>
      </w:r>
      <w:r w:rsidRPr="00B62174">
        <w:fldChar w:fldCharType="end"/>
      </w:r>
      <w:r w:rsidRPr="008F23BF">
        <w:rPr>
          <w:lang w:val="uk-UA"/>
        </w:rPr>
        <w:t>.</w:t>
      </w:r>
      <w:r w:rsidRPr="00B62174">
        <w:t>  </w:t>
      </w:r>
      <w:r w:rsidR="00117F52">
        <w:rPr>
          <w:lang w:val="uk-UA"/>
        </w:rPr>
        <w:t>Уряд також висловив думку, що положення німецького права щодо юрисдикції відповідають принципам міжнародного публічного права</w:t>
      </w:r>
      <w:r w:rsidRPr="008F23BF" w:rsidR="005B0828">
        <w:rPr>
          <w:lang w:val="uk-UA"/>
        </w:rPr>
        <w:t xml:space="preserve">. </w:t>
      </w:r>
      <w:r w:rsidR="00117F52">
        <w:rPr>
          <w:lang w:val="uk-UA"/>
        </w:rPr>
        <w:t>Зокрема, як було переконливо доведено німецькими судами,</w:t>
      </w:r>
      <w:r w:rsidR="00761A37">
        <w:rPr>
          <w:lang w:val="uk-UA"/>
        </w:rPr>
        <w:t xml:space="preserve"> </w:t>
      </w:r>
      <w:r w:rsidR="00117F52">
        <w:rPr>
          <w:lang w:val="uk-UA"/>
        </w:rPr>
        <w:t xml:space="preserve">стаття </w:t>
      </w:r>
      <w:r w:rsidR="00117F52">
        <w:t>VI</w:t>
      </w:r>
      <w:r w:rsidRPr="00761A37" w:rsidR="00117F52">
        <w:rPr>
          <w:lang w:val="uk-UA"/>
        </w:rPr>
        <w:t xml:space="preserve"> </w:t>
      </w:r>
      <w:r w:rsidR="00117F52">
        <w:rPr>
          <w:lang w:val="uk-UA"/>
        </w:rPr>
        <w:t>Конвенції п</w:t>
      </w:r>
      <w:r w:rsidRPr="00761A37" w:rsidR="00117F52">
        <w:rPr>
          <w:lang w:val="uk-UA"/>
        </w:rPr>
        <w:t>ро запобігання геноциду</w:t>
      </w:r>
      <w:r w:rsidRPr="00761A37" w:rsidR="005A1CB7">
        <w:rPr>
          <w:lang w:val="uk-UA"/>
        </w:rPr>
        <w:t xml:space="preserve">, </w:t>
      </w:r>
      <w:r w:rsidR="00117F52">
        <w:rPr>
          <w:lang w:val="uk-UA"/>
        </w:rPr>
        <w:t>котра запроваджує мінімальні вимоги щодо обов</w:t>
      </w:r>
      <w:r w:rsidR="00761A37">
        <w:rPr>
          <w:lang w:val="uk-UA"/>
        </w:rPr>
        <w:t>’</w:t>
      </w:r>
      <w:r w:rsidRPr="00761A37" w:rsidR="00117F52">
        <w:rPr>
          <w:lang w:val="uk-UA"/>
        </w:rPr>
        <w:t>язку</w:t>
      </w:r>
      <w:r w:rsidR="00117F52">
        <w:rPr>
          <w:lang w:val="uk-UA"/>
        </w:rPr>
        <w:t xml:space="preserve"> </w:t>
      </w:r>
      <w:r w:rsidRPr="00761A37" w:rsidR="00117F52">
        <w:rPr>
          <w:lang w:val="uk-UA"/>
        </w:rPr>
        <w:t>кримінальн</w:t>
      </w:r>
      <w:r w:rsidR="00117F52">
        <w:rPr>
          <w:lang w:val="uk-UA"/>
        </w:rPr>
        <w:t>ого</w:t>
      </w:r>
      <w:r w:rsidRPr="00761A37" w:rsidR="00117F52">
        <w:rPr>
          <w:lang w:val="uk-UA"/>
        </w:rPr>
        <w:t xml:space="preserve"> переслідування</w:t>
      </w:r>
      <w:r w:rsidR="00117F52">
        <w:rPr>
          <w:lang w:val="uk-UA"/>
        </w:rPr>
        <w:t xml:space="preserve"> геноциду, не забороняє судам держави, іншої ніж та, на території якої було скоєне це діяння, здійснювати </w:t>
      </w:r>
      <w:r w:rsidRPr="00761A37" w:rsidR="00117F52">
        <w:rPr>
          <w:lang w:val="uk-UA"/>
        </w:rPr>
        <w:t>кримінальн</w:t>
      </w:r>
      <w:r w:rsidR="00117F52">
        <w:rPr>
          <w:lang w:val="uk-UA"/>
        </w:rPr>
        <w:t>е</w:t>
      </w:r>
      <w:r w:rsidRPr="00761A37" w:rsidR="00117F52">
        <w:rPr>
          <w:lang w:val="uk-UA"/>
        </w:rPr>
        <w:t xml:space="preserve"> переслідування</w:t>
      </w:r>
      <w:r w:rsidR="00117F52">
        <w:rPr>
          <w:lang w:val="uk-UA"/>
        </w:rPr>
        <w:t xml:space="preserve"> геноциду</w:t>
      </w:r>
      <w:r w:rsidRPr="00761A37" w:rsidR="0098726D">
        <w:rPr>
          <w:lang w:val="uk-UA"/>
        </w:rPr>
        <w:t>.</w:t>
      </w:r>
    </w:p>
    <w:p w:rsidR="00E065A2" w:rsidP="00850076" w:rsidRDefault="00924033">
      <w:pPr>
        <w:pStyle w:val="JuPara"/>
      </w:pPr>
      <w:r w:rsidRPr="00B62174">
        <w:fldChar w:fldCharType="begin"/>
      </w:r>
      <w:r w:rsidRPr="00B62174">
        <w:instrText xml:space="preserve"> SEQ level0 \*arabic </w:instrText>
      </w:r>
      <w:r w:rsidRPr="00B62174">
        <w:fldChar w:fldCharType="separate"/>
      </w:r>
      <w:r w:rsidR="00142C04">
        <w:rPr>
          <w:noProof/>
        </w:rPr>
        <w:t>62</w:t>
      </w:r>
      <w:r w:rsidRPr="00B62174">
        <w:fldChar w:fldCharType="end"/>
      </w:r>
      <w:r w:rsidRPr="00B62174">
        <w:t>.  </w:t>
      </w:r>
      <w:r w:rsidR="00117F52">
        <w:rPr>
          <w:lang w:val="uk-UA"/>
        </w:rPr>
        <w:t>Окрім того, принцип універсальної юрисдикції у звичаєвому міжнародному публічному праві дозволяє всім державам встановлювати юрисдикцію щодо злочинів проти міжнародного права, таких, як акти геноциду, котрі спрямовані проти інтересів міжнародної спільноти в цілому, незважаючи на те, де і ким ці злочини були скоєні</w:t>
      </w:r>
      <w:r w:rsidR="00B7521E">
        <w:t>.</w:t>
      </w:r>
      <w:r w:rsidR="000629D5">
        <w:t xml:space="preserve"> </w:t>
      </w:r>
      <w:r w:rsidR="00117F52">
        <w:rPr>
          <w:lang w:val="uk-UA"/>
        </w:rPr>
        <w:t>Так само, юрисдикція, відповідно до принципу репрезентативності, закріплено</w:t>
      </w:r>
      <w:r w:rsidR="008F23BF">
        <w:rPr>
          <w:lang w:val="uk-UA"/>
        </w:rPr>
        <w:t>му</w:t>
      </w:r>
      <w:r w:rsidR="00117F52">
        <w:rPr>
          <w:lang w:val="uk-UA"/>
        </w:rPr>
        <w:t xml:space="preserve"> у статті </w:t>
      </w:r>
      <w:r w:rsidRPr="00761A37" w:rsidR="001D5884">
        <w:rPr>
          <w:lang w:val="ru-RU"/>
        </w:rPr>
        <w:t>7 §</w:t>
      </w:r>
      <w:r w:rsidRPr="00761A37" w:rsidR="00077EA3">
        <w:rPr>
          <w:lang w:val="ru-RU"/>
        </w:rPr>
        <w:t xml:space="preserve"> </w:t>
      </w:r>
      <w:r w:rsidRPr="00761A37" w:rsidR="001D5884">
        <w:rPr>
          <w:lang w:val="ru-RU"/>
        </w:rPr>
        <w:t xml:space="preserve">2 </w:t>
      </w:r>
      <w:r w:rsidR="00117F52">
        <w:rPr>
          <w:lang w:val="uk-UA"/>
        </w:rPr>
        <w:t>№</w:t>
      </w:r>
      <w:r w:rsidRPr="00761A37" w:rsidR="00077EA3">
        <w:rPr>
          <w:lang w:val="ru-RU"/>
        </w:rPr>
        <w:t xml:space="preserve"> </w:t>
      </w:r>
      <w:r w:rsidRPr="00761A37" w:rsidR="001D5884">
        <w:rPr>
          <w:lang w:val="ru-RU"/>
        </w:rPr>
        <w:t xml:space="preserve">2 </w:t>
      </w:r>
      <w:r w:rsidR="00117F52">
        <w:rPr>
          <w:lang w:val="uk-UA"/>
        </w:rPr>
        <w:t>Кримінального кодексу, не суперечить</w:t>
      </w:r>
      <w:r w:rsidR="00761A37">
        <w:rPr>
          <w:lang w:val="uk-UA"/>
        </w:rPr>
        <w:t xml:space="preserve"> </w:t>
      </w:r>
      <w:r w:rsidR="00117F52">
        <w:rPr>
          <w:lang w:val="uk-UA"/>
        </w:rPr>
        <w:t>міжнародному публічному праву</w:t>
      </w:r>
      <w:r w:rsidRPr="00761A37" w:rsidR="008804BA">
        <w:rPr>
          <w:lang w:val="ru-RU"/>
        </w:rPr>
        <w:t xml:space="preserve">. </w:t>
      </w:r>
      <w:r w:rsidR="00117F52">
        <w:rPr>
          <w:lang w:val="uk-UA"/>
        </w:rPr>
        <w:t>Отже, німецькі суди мали право виносити рішення у справі заявника</w:t>
      </w:r>
      <w:r>
        <w:t>.</w:t>
      </w:r>
    </w:p>
    <w:p w:rsidR="005E6E0C" w:rsidP="002F621C" w:rsidRDefault="003C58C8">
      <w:pPr>
        <w:pStyle w:val="JuPara"/>
      </w:pPr>
      <w:r w:rsidRPr="00B62174">
        <w:fldChar w:fldCharType="begin"/>
      </w:r>
      <w:r w:rsidRPr="00B62174">
        <w:instrText xml:space="preserve"> SEQ level0 \*arabic </w:instrText>
      </w:r>
      <w:r w:rsidRPr="00B62174">
        <w:fldChar w:fldCharType="separate"/>
      </w:r>
      <w:r w:rsidR="00142C04">
        <w:rPr>
          <w:noProof/>
        </w:rPr>
        <w:t>63</w:t>
      </w:r>
      <w:r w:rsidRPr="00B62174">
        <w:fldChar w:fldCharType="end"/>
      </w:r>
      <w:r w:rsidRPr="00B62174">
        <w:t>.  </w:t>
      </w:r>
      <w:r w:rsidR="00117F52">
        <w:rPr>
          <w:lang w:val="uk-UA"/>
        </w:rPr>
        <w:t xml:space="preserve">Уряд стверджував, що законодавство і юриспруденція багатьох </w:t>
      </w:r>
      <w:r w:rsidR="00122174">
        <w:rPr>
          <w:lang w:val="uk-UA"/>
        </w:rPr>
        <w:t>інших Держав-учасниць Конвенції</w:t>
      </w:r>
      <w:r w:rsidRPr="00A429E3" w:rsidR="00122174">
        <w:t xml:space="preserve"> </w:t>
      </w:r>
      <w:r w:rsidR="00122174">
        <w:rPr>
          <w:lang w:val="uk-UA"/>
        </w:rPr>
        <w:t xml:space="preserve">і юриспруденція МКТЮ однозначно дозволяють </w:t>
      </w:r>
      <w:r w:rsidR="00122174">
        <w:rPr>
          <w:lang w:val="fr-FR"/>
        </w:rPr>
        <w:t>кримінальн</w:t>
      </w:r>
      <w:r w:rsidR="00122174">
        <w:rPr>
          <w:lang w:val="uk-UA"/>
        </w:rPr>
        <w:t>е</w:t>
      </w:r>
      <w:r w:rsidRPr="00356334" w:rsidR="00122174">
        <w:rPr>
          <w:lang w:val="en-US"/>
        </w:rPr>
        <w:t xml:space="preserve"> </w:t>
      </w:r>
      <w:r w:rsidR="00122174">
        <w:rPr>
          <w:lang w:val="fr-FR"/>
        </w:rPr>
        <w:t>переслідування</w:t>
      </w:r>
      <w:r w:rsidR="00122174">
        <w:rPr>
          <w:lang w:val="uk-UA"/>
        </w:rPr>
        <w:t xml:space="preserve"> геноциду</w:t>
      </w:r>
      <w:r w:rsidR="00122174">
        <w:t xml:space="preserve"> </w:t>
      </w:r>
      <w:r w:rsidR="00122174">
        <w:rPr>
          <w:lang w:val="uk-UA"/>
        </w:rPr>
        <w:t>відповідно до принципу універсальної юрисдикції</w:t>
      </w:r>
      <w:r w:rsidR="000937C9">
        <w:t>.</w:t>
      </w:r>
    </w:p>
    <w:p w:rsidRPr="0005593E" w:rsidR="005E6E0C" w:rsidP="000E7D49" w:rsidRDefault="000E7D49">
      <w:pPr>
        <w:pStyle w:val="JuH1"/>
        <w:rPr>
          <w:lang w:val="uk-UA"/>
        </w:rPr>
      </w:pPr>
      <w:r>
        <w:t>2</w:t>
      </w:r>
      <w:r w:rsidR="005E6E0C">
        <w:t>.  </w:t>
      </w:r>
      <w:r w:rsidR="0005593E">
        <w:rPr>
          <w:lang w:val="uk-UA"/>
        </w:rPr>
        <w:t>Оцінка Суду</w:t>
      </w:r>
    </w:p>
    <w:p w:rsidRPr="0005593E" w:rsidR="00F25BFC" w:rsidP="00F25BFC" w:rsidRDefault="00F16C52">
      <w:pPr>
        <w:pStyle w:val="JuHa0"/>
        <w:rPr>
          <w:lang w:val="uk-UA"/>
        </w:rPr>
      </w:pPr>
      <w:r>
        <w:t>(a)</w:t>
      </w:r>
      <w:r w:rsidR="00F25BFC">
        <w:t>  </w:t>
      </w:r>
      <w:r w:rsidR="0005593E">
        <w:rPr>
          <w:lang w:val="uk-UA"/>
        </w:rPr>
        <w:t>Відповідні принципи</w:t>
      </w:r>
    </w:p>
    <w:p w:rsidRPr="00A23799" w:rsidR="00FA3DDC" w:rsidP="00271A4B" w:rsidRDefault="00E909FE">
      <w:pPr>
        <w:pStyle w:val="JuPara"/>
        <w:rPr>
          <w:lang w:val="uk-UA"/>
        </w:rPr>
      </w:pPr>
      <w:r w:rsidRPr="00B62174">
        <w:fldChar w:fldCharType="begin"/>
      </w:r>
      <w:r w:rsidRPr="00B62174">
        <w:instrText xml:space="preserve"> SEQ level0 \*arabic </w:instrText>
      </w:r>
      <w:r w:rsidRPr="00B62174">
        <w:fldChar w:fldCharType="separate"/>
      </w:r>
      <w:r w:rsidR="00142C04">
        <w:rPr>
          <w:noProof/>
        </w:rPr>
        <w:t>64</w:t>
      </w:r>
      <w:r w:rsidRPr="00B62174">
        <w:fldChar w:fldCharType="end"/>
      </w:r>
      <w:r w:rsidRPr="00B62174">
        <w:t>.  </w:t>
      </w:r>
      <w:r w:rsidR="001007AB">
        <w:rPr>
          <w:lang w:val="uk-UA"/>
        </w:rPr>
        <w:t xml:space="preserve">Суд вважає, що справу перш за все слід розглянути за статтею </w:t>
      </w:r>
      <w:r w:rsidRPr="004B15AF" w:rsidR="00850076">
        <w:rPr>
          <w:lang w:val="uk-UA"/>
        </w:rPr>
        <w:t>6 §</w:t>
      </w:r>
      <w:r w:rsidRPr="004B15AF" w:rsidR="00077EA3">
        <w:rPr>
          <w:lang w:val="uk-UA"/>
        </w:rPr>
        <w:t xml:space="preserve"> </w:t>
      </w:r>
      <w:r w:rsidRPr="004B15AF" w:rsidR="00850076">
        <w:rPr>
          <w:lang w:val="uk-UA"/>
        </w:rPr>
        <w:t xml:space="preserve">1 </w:t>
      </w:r>
      <w:r w:rsidR="001007AB">
        <w:rPr>
          <w:lang w:val="uk-UA"/>
        </w:rPr>
        <w:t xml:space="preserve">Конвенції </w:t>
      </w:r>
      <w:r w:rsidR="008247A3">
        <w:rPr>
          <w:lang w:val="uk-UA"/>
        </w:rPr>
        <w:t>щодо того, чи був заявник засуджений «</w:t>
      </w:r>
      <w:r w:rsidRPr="005965DC" w:rsidR="008247A3">
        <w:rPr>
          <w:lang w:val="uk-UA"/>
        </w:rPr>
        <w:t>суд</w:t>
      </w:r>
      <w:r w:rsidR="008247A3">
        <w:rPr>
          <w:lang w:val="uk-UA"/>
        </w:rPr>
        <w:t>о</w:t>
      </w:r>
      <w:r w:rsidRPr="005965DC" w:rsidR="008247A3">
        <w:rPr>
          <w:lang w:val="uk-UA"/>
        </w:rPr>
        <w:t>м, встановленим законом</w:t>
      </w:r>
      <w:r w:rsidR="008247A3">
        <w:rPr>
          <w:lang w:val="uk-UA"/>
        </w:rPr>
        <w:t>»</w:t>
      </w:r>
      <w:r w:rsidRPr="004B15AF" w:rsidR="00850076">
        <w:rPr>
          <w:lang w:val="uk-UA"/>
        </w:rPr>
        <w:t xml:space="preserve">. </w:t>
      </w:r>
      <w:r w:rsidR="004B15AF">
        <w:rPr>
          <w:lang w:val="uk-UA"/>
        </w:rPr>
        <w:t xml:space="preserve">Він зазначає, що цей вислів віддзеркалює принцип </w:t>
      </w:r>
      <w:r w:rsidR="00162079">
        <w:rPr>
          <w:lang w:val="uk-UA"/>
        </w:rPr>
        <w:t>верховенства</w:t>
      </w:r>
      <w:r w:rsidR="004B15AF">
        <w:rPr>
          <w:lang w:val="uk-UA"/>
        </w:rPr>
        <w:t xml:space="preserve"> права, котрий є невід</w:t>
      </w:r>
      <w:r w:rsidR="00761A37">
        <w:rPr>
          <w:lang w:val="uk-UA"/>
        </w:rPr>
        <w:t>’</w:t>
      </w:r>
      <w:r w:rsidRPr="004B15AF" w:rsidR="004B15AF">
        <w:rPr>
          <w:lang w:val="uk-UA"/>
        </w:rPr>
        <w:t>ємною частиною системи захисту, запровадженої Конвенцією і її Протоколами</w:t>
      </w:r>
      <w:r w:rsidRPr="004B15AF" w:rsidR="00850076">
        <w:rPr>
          <w:lang w:val="uk-UA"/>
        </w:rPr>
        <w:t xml:space="preserve">. </w:t>
      </w:r>
      <w:r w:rsidR="00CE45FF">
        <w:rPr>
          <w:lang w:val="uk-UA"/>
        </w:rPr>
        <w:t xml:space="preserve">«Закон», у розумінні статті </w:t>
      </w:r>
      <w:r w:rsidRPr="00CE45FF" w:rsidR="00850076">
        <w:rPr>
          <w:lang w:val="uk-UA"/>
        </w:rPr>
        <w:t>6 §</w:t>
      </w:r>
      <w:r w:rsidRPr="00CE45FF" w:rsidR="00077EA3">
        <w:rPr>
          <w:lang w:val="uk-UA"/>
        </w:rPr>
        <w:t xml:space="preserve"> </w:t>
      </w:r>
      <w:r w:rsidRPr="00CE45FF" w:rsidR="00850076">
        <w:rPr>
          <w:lang w:val="uk-UA"/>
        </w:rPr>
        <w:t xml:space="preserve">1, </w:t>
      </w:r>
      <w:r w:rsidR="00CE45FF">
        <w:rPr>
          <w:lang w:val="uk-UA"/>
        </w:rPr>
        <w:t xml:space="preserve">включає, зокрема, законодавство щодо встановлення і компетенції судових органів </w:t>
      </w:r>
      <w:r w:rsidRPr="00CE45FF" w:rsidR="00850076">
        <w:rPr>
          <w:lang w:val="uk-UA"/>
        </w:rPr>
        <w:t>(</w:t>
      </w:r>
      <w:r w:rsidR="00CE45FF">
        <w:rPr>
          <w:lang w:val="uk-UA"/>
        </w:rPr>
        <w:t>див.</w:t>
      </w:r>
      <w:r w:rsidRPr="00CE45FF" w:rsidR="00850076">
        <w:rPr>
          <w:lang w:val="uk-UA"/>
        </w:rPr>
        <w:t xml:space="preserve">, </w:t>
      </w:r>
      <w:r w:rsidRPr="00346E45" w:rsidR="00850076">
        <w:rPr>
          <w:i/>
        </w:rPr>
        <w:t>inter</w:t>
      </w:r>
      <w:r w:rsidRPr="00CE45FF" w:rsidR="00850076">
        <w:rPr>
          <w:i/>
          <w:lang w:val="uk-UA"/>
        </w:rPr>
        <w:t xml:space="preserve"> </w:t>
      </w:r>
      <w:r w:rsidRPr="00346E45" w:rsidR="00850076">
        <w:rPr>
          <w:i/>
        </w:rPr>
        <w:t>alia</w:t>
      </w:r>
      <w:r w:rsidRPr="00CE45FF" w:rsidR="00850076">
        <w:rPr>
          <w:lang w:val="uk-UA"/>
        </w:rPr>
        <w:t xml:space="preserve">, </w:t>
      </w:r>
      <w:r w:rsidRPr="00B17B82" w:rsidR="00850076">
        <w:rPr>
          <w:i/>
        </w:rPr>
        <w:t>Lavents</w:t>
      </w:r>
      <w:r w:rsidRPr="00CE45FF" w:rsidR="00850076">
        <w:rPr>
          <w:i/>
          <w:lang w:val="uk-UA"/>
        </w:rPr>
        <w:t xml:space="preserve"> </w:t>
      </w:r>
      <w:r w:rsidR="00CE45FF">
        <w:rPr>
          <w:i/>
          <w:lang w:val="uk-UA"/>
        </w:rPr>
        <w:t>проти Латвії</w:t>
      </w:r>
      <w:r w:rsidRPr="00CE45FF" w:rsidR="00850076">
        <w:rPr>
          <w:lang w:val="uk-UA"/>
        </w:rPr>
        <w:t xml:space="preserve">, </w:t>
      </w:r>
      <w:r w:rsidR="00CE45FF">
        <w:rPr>
          <w:lang w:val="uk-UA"/>
        </w:rPr>
        <w:t>№</w:t>
      </w:r>
      <w:r w:rsidRPr="00CE45FF" w:rsidR="00077EA3">
        <w:rPr>
          <w:lang w:val="uk-UA"/>
        </w:rPr>
        <w:t xml:space="preserve"> </w:t>
      </w:r>
      <w:r w:rsidRPr="00CE45FF" w:rsidR="00850076">
        <w:rPr>
          <w:lang w:val="uk-UA"/>
        </w:rPr>
        <w:t>58442/00, §</w:t>
      </w:r>
      <w:r w:rsidRPr="00CE45FF" w:rsidR="00077EA3">
        <w:rPr>
          <w:lang w:val="uk-UA"/>
        </w:rPr>
        <w:t xml:space="preserve"> </w:t>
      </w:r>
      <w:r w:rsidRPr="00CE45FF" w:rsidR="00850076">
        <w:rPr>
          <w:lang w:val="uk-UA"/>
        </w:rPr>
        <w:t>114, 28</w:t>
      </w:r>
      <w:r w:rsidRPr="00CE45FF" w:rsidR="00077EA3">
        <w:rPr>
          <w:lang w:val="uk-UA"/>
        </w:rPr>
        <w:t xml:space="preserve"> </w:t>
      </w:r>
      <w:r w:rsidR="00CE45FF">
        <w:rPr>
          <w:lang w:val="uk-UA"/>
        </w:rPr>
        <w:t>листопада</w:t>
      </w:r>
      <w:r w:rsidRPr="00CE45FF" w:rsidR="00850076">
        <w:rPr>
          <w:lang w:val="uk-UA"/>
        </w:rPr>
        <w:t xml:space="preserve"> 2002</w:t>
      </w:r>
      <w:r w:rsidR="00CE45FF">
        <w:rPr>
          <w:lang w:val="uk-UA"/>
        </w:rPr>
        <w:t xml:space="preserve"> р.</w:t>
      </w:r>
      <w:r w:rsidRPr="00CE45FF" w:rsidR="00850076">
        <w:rPr>
          <w:lang w:val="uk-UA"/>
        </w:rPr>
        <w:t>).</w:t>
      </w:r>
      <w:r w:rsidRPr="00CE45FF" w:rsidR="00271A4B">
        <w:rPr>
          <w:lang w:val="uk-UA"/>
        </w:rPr>
        <w:t xml:space="preserve"> </w:t>
      </w:r>
      <w:r w:rsidR="00A23799">
        <w:rPr>
          <w:lang w:val="uk-UA"/>
        </w:rPr>
        <w:t>Отже, якщо суд не має юрисдикції судити підсудного відповідно до чинних положень національного права, він не є «</w:t>
      </w:r>
      <w:r w:rsidRPr="005965DC" w:rsidR="00A23799">
        <w:rPr>
          <w:lang w:val="uk-UA"/>
        </w:rPr>
        <w:t>встановленим законом</w:t>
      </w:r>
      <w:r w:rsidR="00A23799">
        <w:rPr>
          <w:lang w:val="uk-UA"/>
        </w:rPr>
        <w:t xml:space="preserve">» у розумінні статті </w:t>
      </w:r>
      <w:r w:rsidRPr="00A23799" w:rsidR="00FA3DDC">
        <w:rPr>
          <w:lang w:val="uk-UA"/>
        </w:rPr>
        <w:t>6 §</w:t>
      </w:r>
      <w:r w:rsidRPr="00A23799" w:rsidR="00077EA3">
        <w:rPr>
          <w:lang w:val="uk-UA"/>
        </w:rPr>
        <w:t xml:space="preserve"> </w:t>
      </w:r>
      <w:r w:rsidRPr="00A23799" w:rsidR="00FA3DDC">
        <w:rPr>
          <w:lang w:val="uk-UA"/>
        </w:rPr>
        <w:t>1</w:t>
      </w:r>
      <w:r w:rsidRPr="00A23799" w:rsidR="00E5252F">
        <w:rPr>
          <w:lang w:val="uk-UA"/>
        </w:rPr>
        <w:t xml:space="preserve"> (</w:t>
      </w:r>
      <w:r w:rsidR="00A23799">
        <w:rPr>
          <w:lang w:val="uk-UA"/>
        </w:rPr>
        <w:t>для порівняння,</w:t>
      </w:r>
      <w:r w:rsidR="00761A37">
        <w:rPr>
          <w:lang w:val="uk-UA"/>
        </w:rPr>
        <w:t xml:space="preserve"> </w:t>
      </w:r>
      <w:r w:rsidRPr="00B17B82" w:rsidR="00E5252F">
        <w:rPr>
          <w:i/>
        </w:rPr>
        <w:t>Co</w:t>
      </w:r>
      <w:r w:rsidRPr="00A23799" w:rsidR="00E5252F">
        <w:rPr>
          <w:i/>
          <w:lang w:val="uk-UA"/>
        </w:rPr>
        <w:t>ë</w:t>
      </w:r>
      <w:r w:rsidRPr="00B17B82" w:rsidR="00E5252F">
        <w:rPr>
          <w:i/>
        </w:rPr>
        <w:t>me</w:t>
      </w:r>
      <w:r w:rsidRPr="00A23799" w:rsidR="00E5252F">
        <w:rPr>
          <w:i/>
          <w:lang w:val="uk-UA"/>
        </w:rPr>
        <w:t xml:space="preserve"> </w:t>
      </w:r>
      <w:r w:rsidR="00A23799">
        <w:rPr>
          <w:i/>
          <w:lang w:val="uk-UA"/>
        </w:rPr>
        <w:t xml:space="preserve">та </w:t>
      </w:r>
      <w:r w:rsidR="00A22B6B">
        <w:rPr>
          <w:i/>
          <w:lang w:val="uk-UA"/>
        </w:rPr>
        <w:t>І</w:t>
      </w:r>
      <w:r w:rsidR="00A23799">
        <w:rPr>
          <w:i/>
          <w:lang w:val="uk-UA"/>
        </w:rPr>
        <w:t>нші проти Бельгії</w:t>
      </w:r>
      <w:r w:rsidRPr="00A23799" w:rsidR="00E5252F">
        <w:rPr>
          <w:lang w:val="uk-UA"/>
        </w:rPr>
        <w:t xml:space="preserve">, </w:t>
      </w:r>
      <w:r w:rsidR="00A23799">
        <w:rPr>
          <w:lang w:val="uk-UA"/>
        </w:rPr>
        <w:t>№№</w:t>
      </w:r>
      <w:r w:rsidRPr="00A23799" w:rsidR="00E5252F">
        <w:rPr>
          <w:lang w:val="uk-UA"/>
        </w:rPr>
        <w:t xml:space="preserve"> 32492/96, 32547/96, 32548/96, 33209/96 </w:t>
      </w:r>
      <w:r w:rsidR="00A23799">
        <w:rPr>
          <w:lang w:val="uk-UA"/>
        </w:rPr>
        <w:t xml:space="preserve">і </w:t>
      </w:r>
      <w:r w:rsidRPr="00A23799" w:rsidR="00E5252F">
        <w:rPr>
          <w:lang w:val="uk-UA"/>
        </w:rPr>
        <w:t xml:space="preserve">33210/96, </w:t>
      </w:r>
      <w:r w:rsidRPr="00A23799" w:rsidR="00B17B82">
        <w:rPr>
          <w:lang w:val="uk-UA"/>
        </w:rPr>
        <w:t xml:space="preserve">§§ 99 </w:t>
      </w:r>
      <w:r w:rsidR="00A23799">
        <w:rPr>
          <w:lang w:val="uk-UA"/>
        </w:rPr>
        <w:t>і</w:t>
      </w:r>
      <w:r w:rsidRPr="00A23799" w:rsidR="009C3F1D">
        <w:rPr>
          <w:lang w:val="uk-UA"/>
        </w:rPr>
        <w:t xml:space="preserve"> 107-08, </w:t>
      </w:r>
      <w:r w:rsidRPr="00B17B82" w:rsidR="00E5252F">
        <w:t>ECHR</w:t>
      </w:r>
      <w:r w:rsidRPr="00A23799" w:rsidR="00077EA3">
        <w:rPr>
          <w:lang w:val="uk-UA"/>
        </w:rPr>
        <w:t xml:space="preserve"> </w:t>
      </w:r>
      <w:r w:rsidRPr="00A23799" w:rsidR="006A7DC9">
        <w:rPr>
          <w:lang w:val="uk-UA"/>
        </w:rPr>
        <w:t>2000-</w:t>
      </w:r>
      <w:r w:rsidRPr="00B17B82" w:rsidR="006A7DC9">
        <w:t>VII</w:t>
      </w:r>
      <w:r w:rsidRPr="00A23799" w:rsidR="00E5252F">
        <w:rPr>
          <w:lang w:val="uk-UA"/>
        </w:rPr>
        <w:t>).</w:t>
      </w:r>
    </w:p>
    <w:p w:rsidRPr="009700C2" w:rsidR="00850076" w:rsidP="00850076" w:rsidRDefault="00E5252F">
      <w:pPr>
        <w:pStyle w:val="JuPara"/>
        <w:rPr>
          <w:lang w:val="uk-UA"/>
        </w:rPr>
      </w:pPr>
      <w:r w:rsidRPr="00B62174">
        <w:fldChar w:fldCharType="begin"/>
      </w:r>
      <w:r w:rsidRPr="00B62174">
        <w:instrText xml:space="preserve"> SEQ level0 \*arabic </w:instrText>
      </w:r>
      <w:r w:rsidRPr="00B62174">
        <w:fldChar w:fldCharType="separate"/>
      </w:r>
      <w:r w:rsidR="00142C04">
        <w:rPr>
          <w:noProof/>
        </w:rPr>
        <w:t>65</w:t>
      </w:r>
      <w:r w:rsidRPr="00B62174">
        <w:fldChar w:fldCharType="end"/>
      </w:r>
      <w:r w:rsidRPr="00B62174">
        <w:t>.  </w:t>
      </w:r>
      <w:r w:rsidR="00A23799">
        <w:rPr>
          <w:lang w:val="uk-UA"/>
        </w:rPr>
        <w:t xml:space="preserve">Суд далі зазначає, що, в принципі, порушення судом згаданих внутрішньо-правових положень про встановлення і компетенції судових органів становить порушення статті </w:t>
      </w:r>
      <w:r w:rsidR="00850076">
        <w:t>6 §</w:t>
      </w:r>
      <w:r w:rsidR="00077EA3">
        <w:t xml:space="preserve"> </w:t>
      </w:r>
      <w:r w:rsidR="00850076">
        <w:t>1.</w:t>
      </w:r>
      <w:r w:rsidR="00475417">
        <w:t xml:space="preserve"> </w:t>
      </w:r>
      <w:r w:rsidR="00A23799">
        <w:rPr>
          <w:lang w:val="uk-UA"/>
        </w:rPr>
        <w:t>Отже, Суд має компетенцію перевіряти, чи у цьому випадку було дотримано національного закону</w:t>
      </w:r>
      <w:r w:rsidR="00850076">
        <w:t>.</w:t>
      </w:r>
      <w:r w:rsidR="00A23799">
        <w:rPr>
          <w:lang w:val="uk-UA"/>
        </w:rPr>
        <w:t xml:space="preserve"> Проте, з огляду на загальний принцип, відповідно до якого національні суди самі мають першими інтерпретувати положення національного права, Суд вважає, що не має ставити під сумнів їхню інтерпретацію, якщо тільки не було очевидного порушення</w:t>
      </w:r>
      <w:r w:rsidR="00761A37">
        <w:rPr>
          <w:lang w:val="uk-UA"/>
        </w:rPr>
        <w:t xml:space="preserve"> </w:t>
      </w:r>
      <w:r w:rsidR="00A23799">
        <w:rPr>
          <w:lang w:val="uk-UA"/>
        </w:rPr>
        <w:t>національного права</w:t>
      </w:r>
      <w:r w:rsidRPr="00A23799" w:rsidR="00850076">
        <w:rPr>
          <w:lang w:val="uk-UA"/>
        </w:rPr>
        <w:t xml:space="preserve"> (</w:t>
      </w:r>
      <w:r w:rsidR="00A23799">
        <w:rPr>
          <w:lang w:val="uk-UA"/>
        </w:rPr>
        <w:t>див.</w:t>
      </w:r>
      <w:r w:rsidRPr="00A23799" w:rsidR="00850076">
        <w:rPr>
          <w:lang w:val="uk-UA"/>
        </w:rPr>
        <w:t xml:space="preserve">, </w:t>
      </w:r>
      <w:r w:rsidRPr="00F27545" w:rsidR="00850076">
        <w:rPr>
          <w:i/>
        </w:rPr>
        <w:t>mutatis</w:t>
      </w:r>
      <w:r w:rsidRPr="00A23799" w:rsidR="00850076">
        <w:rPr>
          <w:i/>
          <w:lang w:val="uk-UA"/>
        </w:rPr>
        <w:t xml:space="preserve"> </w:t>
      </w:r>
      <w:r w:rsidRPr="00F27545" w:rsidR="00850076">
        <w:rPr>
          <w:i/>
        </w:rPr>
        <w:t>mutandis</w:t>
      </w:r>
      <w:r w:rsidRPr="00A23799" w:rsidR="00850076">
        <w:rPr>
          <w:lang w:val="uk-UA"/>
        </w:rPr>
        <w:t xml:space="preserve">, </w:t>
      </w:r>
      <w:r w:rsidRPr="00F27545" w:rsidR="00850076">
        <w:rPr>
          <w:i/>
        </w:rPr>
        <w:t>Co</w:t>
      </w:r>
      <w:r w:rsidRPr="00A23799" w:rsidR="00850076">
        <w:rPr>
          <w:i/>
          <w:lang w:val="uk-UA"/>
        </w:rPr>
        <w:t>ë</w:t>
      </w:r>
      <w:r w:rsidRPr="00F27545" w:rsidR="00850076">
        <w:rPr>
          <w:i/>
        </w:rPr>
        <w:t>me</w:t>
      </w:r>
      <w:r w:rsidRPr="00A23799" w:rsidR="00850076">
        <w:rPr>
          <w:i/>
          <w:lang w:val="uk-UA"/>
        </w:rPr>
        <w:t xml:space="preserve"> </w:t>
      </w:r>
      <w:r w:rsidR="00A23799">
        <w:rPr>
          <w:i/>
          <w:lang w:val="uk-UA"/>
        </w:rPr>
        <w:t xml:space="preserve">та </w:t>
      </w:r>
      <w:r w:rsidR="00A22B6B">
        <w:rPr>
          <w:i/>
          <w:lang w:val="uk-UA"/>
        </w:rPr>
        <w:t>І</w:t>
      </w:r>
      <w:r w:rsidR="00A23799">
        <w:rPr>
          <w:i/>
          <w:lang w:val="uk-UA"/>
        </w:rPr>
        <w:t>нші</w:t>
      </w:r>
      <w:r w:rsidRPr="00A23799" w:rsidR="00850076">
        <w:rPr>
          <w:lang w:val="uk-UA"/>
        </w:rPr>
        <w:t xml:space="preserve">, </w:t>
      </w:r>
      <w:r w:rsidR="00A23799">
        <w:rPr>
          <w:lang w:val="uk-UA"/>
        </w:rPr>
        <w:t>цитоване вище</w:t>
      </w:r>
      <w:r w:rsidRPr="00A23799" w:rsidR="00850076">
        <w:rPr>
          <w:lang w:val="uk-UA"/>
        </w:rPr>
        <w:t>, §</w:t>
      </w:r>
      <w:r w:rsidRPr="00A23799" w:rsidR="00077EA3">
        <w:rPr>
          <w:lang w:val="uk-UA"/>
        </w:rPr>
        <w:t xml:space="preserve"> </w:t>
      </w:r>
      <w:r w:rsidRPr="00A23799" w:rsidR="00850076">
        <w:rPr>
          <w:lang w:val="uk-UA"/>
        </w:rPr>
        <w:t>98</w:t>
      </w:r>
      <w:r w:rsidRPr="00A23799" w:rsidR="00BD477F">
        <w:rPr>
          <w:lang w:val="uk-UA"/>
        </w:rPr>
        <w:t xml:space="preserve"> </w:t>
      </w:r>
      <w:r w:rsidRPr="00F27545" w:rsidR="00BD477F">
        <w:rPr>
          <w:i/>
        </w:rPr>
        <w:t>in</w:t>
      </w:r>
      <w:r w:rsidRPr="00A23799" w:rsidR="00BD477F">
        <w:rPr>
          <w:i/>
          <w:lang w:val="uk-UA"/>
        </w:rPr>
        <w:t xml:space="preserve"> </w:t>
      </w:r>
      <w:r w:rsidRPr="00F27545" w:rsidR="00BD477F">
        <w:rPr>
          <w:i/>
        </w:rPr>
        <w:t>fine</w:t>
      </w:r>
      <w:r w:rsidRPr="00A23799" w:rsidR="00117B0A">
        <w:rPr>
          <w:lang w:val="uk-UA"/>
        </w:rPr>
        <w:t xml:space="preserve">, </w:t>
      </w:r>
      <w:r w:rsidR="00A23799">
        <w:rPr>
          <w:lang w:val="uk-UA"/>
        </w:rPr>
        <w:t>і</w:t>
      </w:r>
      <w:r w:rsidRPr="00A23799" w:rsidR="00850076">
        <w:rPr>
          <w:lang w:val="uk-UA"/>
        </w:rPr>
        <w:t xml:space="preserve"> </w:t>
      </w:r>
      <w:r w:rsidRPr="00F27545" w:rsidR="00850076">
        <w:rPr>
          <w:i/>
        </w:rPr>
        <w:t>Lavents</w:t>
      </w:r>
      <w:r w:rsidRPr="00A23799" w:rsidR="00850076">
        <w:rPr>
          <w:lang w:val="uk-UA"/>
        </w:rPr>
        <w:t xml:space="preserve">, </w:t>
      </w:r>
      <w:r w:rsidR="00A23799">
        <w:rPr>
          <w:lang w:val="uk-UA"/>
        </w:rPr>
        <w:t>цитоване вище</w:t>
      </w:r>
      <w:r w:rsidRPr="00A23799" w:rsidR="00850076">
        <w:rPr>
          <w:lang w:val="uk-UA"/>
        </w:rPr>
        <w:t>, §</w:t>
      </w:r>
      <w:r w:rsidRPr="00A23799" w:rsidR="00077EA3">
        <w:rPr>
          <w:lang w:val="uk-UA"/>
        </w:rPr>
        <w:t xml:space="preserve"> </w:t>
      </w:r>
      <w:r w:rsidRPr="00A23799" w:rsidR="00850076">
        <w:rPr>
          <w:lang w:val="uk-UA"/>
        </w:rPr>
        <w:t xml:space="preserve">114). </w:t>
      </w:r>
      <w:r w:rsidR="00A23799">
        <w:rPr>
          <w:lang w:val="uk-UA"/>
        </w:rPr>
        <w:t xml:space="preserve">Стосовно цього Суд також зазначає, що стаття </w:t>
      </w:r>
      <w:r w:rsidRPr="00A23799" w:rsidR="00850076">
        <w:rPr>
          <w:lang w:val="uk-UA"/>
        </w:rPr>
        <w:t xml:space="preserve">6 </w:t>
      </w:r>
      <w:r w:rsidR="00A23799">
        <w:rPr>
          <w:lang w:val="uk-UA"/>
        </w:rPr>
        <w:t>не надає підсудному право обирати юрисдикцію суду</w:t>
      </w:r>
      <w:r w:rsidRPr="00A23799" w:rsidR="00850076">
        <w:rPr>
          <w:lang w:val="uk-UA"/>
        </w:rPr>
        <w:t xml:space="preserve">. </w:t>
      </w:r>
      <w:r w:rsidR="00A23799">
        <w:rPr>
          <w:lang w:val="uk-UA"/>
        </w:rPr>
        <w:t xml:space="preserve">Отже, завдання Суду обмежується перевіркою </w:t>
      </w:r>
      <w:r w:rsidR="009700C2">
        <w:rPr>
          <w:lang w:val="uk-UA"/>
        </w:rPr>
        <w:t xml:space="preserve">існування розумних підстав, на яких було встановлено юрисдикцію </w:t>
      </w:r>
      <w:r w:rsidRPr="009700C2" w:rsidR="00850076">
        <w:rPr>
          <w:lang w:val="uk-UA"/>
        </w:rPr>
        <w:t>(</w:t>
      </w:r>
      <w:r w:rsidR="009700C2">
        <w:rPr>
          <w:lang w:val="uk-UA"/>
        </w:rPr>
        <w:t>див.</w:t>
      </w:r>
      <w:r w:rsidRPr="009700C2" w:rsidR="00850076">
        <w:rPr>
          <w:lang w:val="uk-UA"/>
        </w:rPr>
        <w:t xml:space="preserve">, </w:t>
      </w:r>
      <w:r w:rsidRPr="004B53A9" w:rsidR="00850076">
        <w:rPr>
          <w:i/>
        </w:rPr>
        <w:t>inter</w:t>
      </w:r>
      <w:r w:rsidRPr="009700C2" w:rsidR="00850076">
        <w:rPr>
          <w:i/>
          <w:lang w:val="uk-UA"/>
        </w:rPr>
        <w:t xml:space="preserve"> </w:t>
      </w:r>
      <w:r w:rsidRPr="004B53A9" w:rsidR="00850076">
        <w:rPr>
          <w:i/>
        </w:rPr>
        <w:t>alia</w:t>
      </w:r>
      <w:r w:rsidRPr="009700C2" w:rsidR="00850076">
        <w:rPr>
          <w:lang w:val="uk-UA"/>
        </w:rPr>
        <w:t xml:space="preserve">, </w:t>
      </w:r>
      <w:r w:rsidRPr="00B17B82" w:rsidR="00850076">
        <w:rPr>
          <w:i/>
        </w:rPr>
        <w:t>G</w:t>
      </w:r>
      <w:r w:rsidRPr="009700C2" w:rsidR="00850076">
        <w:rPr>
          <w:i/>
          <w:lang w:val="uk-UA"/>
        </w:rPr>
        <w:t xml:space="preserve">. </w:t>
      </w:r>
      <w:r w:rsidR="009700C2">
        <w:rPr>
          <w:i/>
          <w:lang w:val="uk-UA"/>
        </w:rPr>
        <w:t>проти Швейцарії</w:t>
      </w:r>
      <w:r w:rsidRPr="009700C2" w:rsidR="00850076">
        <w:rPr>
          <w:lang w:val="uk-UA"/>
        </w:rPr>
        <w:t xml:space="preserve">, </w:t>
      </w:r>
      <w:r w:rsidR="009700C2">
        <w:rPr>
          <w:lang w:val="uk-UA"/>
        </w:rPr>
        <w:t>№</w:t>
      </w:r>
      <w:r w:rsidRPr="009700C2" w:rsidR="00077EA3">
        <w:rPr>
          <w:lang w:val="uk-UA"/>
        </w:rPr>
        <w:t xml:space="preserve"> </w:t>
      </w:r>
      <w:r w:rsidRPr="009700C2" w:rsidR="00850076">
        <w:rPr>
          <w:lang w:val="uk-UA"/>
        </w:rPr>
        <w:t xml:space="preserve">16875/90, </w:t>
      </w:r>
      <w:r w:rsidR="009700C2">
        <w:rPr>
          <w:lang w:val="uk-UA"/>
        </w:rPr>
        <w:t>рішення Комісії від</w:t>
      </w:r>
      <w:r w:rsidRPr="009700C2" w:rsidR="00850076">
        <w:rPr>
          <w:lang w:val="uk-UA"/>
        </w:rPr>
        <w:t xml:space="preserve"> 10</w:t>
      </w:r>
      <w:r w:rsidRPr="009700C2" w:rsidR="00077EA3">
        <w:rPr>
          <w:lang w:val="uk-UA"/>
        </w:rPr>
        <w:t xml:space="preserve"> </w:t>
      </w:r>
      <w:r w:rsidR="009700C2">
        <w:rPr>
          <w:lang w:val="uk-UA"/>
        </w:rPr>
        <w:t>жовтня</w:t>
      </w:r>
      <w:r w:rsidRPr="009700C2" w:rsidR="00850076">
        <w:rPr>
          <w:lang w:val="uk-UA"/>
        </w:rPr>
        <w:t xml:space="preserve"> 1990</w:t>
      </w:r>
      <w:r w:rsidR="009700C2">
        <w:rPr>
          <w:lang w:val="uk-UA"/>
        </w:rPr>
        <w:t xml:space="preserve"> року</w:t>
      </w:r>
      <w:r w:rsidRPr="009700C2" w:rsidR="00117B0A">
        <w:rPr>
          <w:lang w:val="uk-UA"/>
        </w:rPr>
        <w:t>,</w:t>
      </w:r>
      <w:r w:rsidRPr="009700C2" w:rsidR="009D5091">
        <w:rPr>
          <w:lang w:val="uk-UA"/>
        </w:rPr>
        <w:t xml:space="preserve"> </w:t>
      </w:r>
      <w:r w:rsidR="009700C2">
        <w:rPr>
          <w:lang w:val="uk-UA"/>
        </w:rPr>
        <w:t>і</w:t>
      </w:r>
      <w:r w:rsidRPr="009700C2" w:rsidR="00850076">
        <w:rPr>
          <w:lang w:val="uk-UA"/>
        </w:rPr>
        <w:t xml:space="preserve"> </w:t>
      </w:r>
      <w:r w:rsidRPr="00B17B82" w:rsidR="00850076">
        <w:rPr>
          <w:i/>
        </w:rPr>
        <w:t>K</w:t>
      </w:r>
      <w:r w:rsidRPr="009700C2" w:rsidR="00850076">
        <w:rPr>
          <w:i/>
          <w:lang w:val="uk-UA"/>
        </w:rPr>
        <w:t>ü</w:t>
      </w:r>
      <w:r w:rsidRPr="00B17B82" w:rsidR="00850076">
        <w:rPr>
          <w:i/>
        </w:rPr>
        <w:t>bli</w:t>
      </w:r>
      <w:r w:rsidRPr="009700C2" w:rsidR="00850076">
        <w:rPr>
          <w:i/>
          <w:lang w:val="uk-UA"/>
        </w:rPr>
        <w:t xml:space="preserve"> </w:t>
      </w:r>
      <w:r w:rsidR="009700C2">
        <w:rPr>
          <w:i/>
          <w:lang w:val="uk-UA"/>
        </w:rPr>
        <w:t>проти Швейцарії</w:t>
      </w:r>
      <w:r w:rsidRPr="009700C2" w:rsidR="009700C2">
        <w:rPr>
          <w:lang w:val="uk-UA"/>
        </w:rPr>
        <w:t xml:space="preserve">, </w:t>
      </w:r>
      <w:r w:rsidR="009700C2">
        <w:rPr>
          <w:lang w:val="uk-UA"/>
        </w:rPr>
        <w:t>№</w:t>
      </w:r>
      <w:r w:rsidRPr="00B17B82" w:rsidR="009D5091">
        <w:t> </w:t>
      </w:r>
      <w:r w:rsidRPr="009700C2" w:rsidR="00850076">
        <w:rPr>
          <w:lang w:val="uk-UA"/>
        </w:rPr>
        <w:t xml:space="preserve">17495/90, </w:t>
      </w:r>
      <w:r w:rsidR="009700C2">
        <w:rPr>
          <w:lang w:val="uk-UA"/>
        </w:rPr>
        <w:t>рішення Комісії від</w:t>
      </w:r>
      <w:r w:rsidRPr="009700C2" w:rsidR="00850076">
        <w:rPr>
          <w:lang w:val="uk-UA"/>
        </w:rPr>
        <w:t xml:space="preserve"> 2</w:t>
      </w:r>
      <w:r w:rsidRPr="009700C2" w:rsidR="00077EA3">
        <w:rPr>
          <w:lang w:val="uk-UA"/>
        </w:rPr>
        <w:t xml:space="preserve"> </w:t>
      </w:r>
      <w:r w:rsidR="009700C2">
        <w:rPr>
          <w:lang w:val="uk-UA"/>
        </w:rPr>
        <w:t>грудня</w:t>
      </w:r>
      <w:r w:rsidRPr="009700C2" w:rsidR="00850076">
        <w:rPr>
          <w:lang w:val="uk-UA"/>
        </w:rPr>
        <w:t xml:space="preserve"> 1992</w:t>
      </w:r>
      <w:r w:rsidR="009700C2">
        <w:rPr>
          <w:lang w:val="uk-UA"/>
        </w:rPr>
        <w:t xml:space="preserve"> року</w:t>
      </w:r>
      <w:r w:rsidRPr="009700C2" w:rsidR="00850076">
        <w:rPr>
          <w:lang w:val="uk-UA"/>
        </w:rPr>
        <w:t>).</w:t>
      </w:r>
    </w:p>
    <w:p w:rsidRPr="009700C2" w:rsidR="002D6685" w:rsidP="00F25BFC" w:rsidRDefault="00222358">
      <w:pPr>
        <w:pStyle w:val="JuHa0"/>
        <w:rPr>
          <w:lang w:val="uk-UA"/>
        </w:rPr>
      </w:pPr>
      <w:r w:rsidRPr="009700C2">
        <w:rPr>
          <w:lang w:val="uk-UA"/>
        </w:rPr>
        <w:t>(</w:t>
      </w:r>
      <w:r>
        <w:t>b</w:t>
      </w:r>
      <w:r w:rsidRPr="009700C2">
        <w:rPr>
          <w:lang w:val="uk-UA"/>
        </w:rPr>
        <w:t>)</w:t>
      </w:r>
      <w:r w:rsidR="00F25BFC">
        <w:t>  </w:t>
      </w:r>
      <w:r w:rsidR="009700C2">
        <w:rPr>
          <w:lang w:val="uk-UA"/>
        </w:rPr>
        <w:t>Застосування згаданих принципів до даної справи</w:t>
      </w:r>
    </w:p>
    <w:p w:rsidRPr="002F62CB" w:rsidR="00850076" w:rsidP="00850076" w:rsidRDefault="00E909FE">
      <w:pPr>
        <w:pStyle w:val="JuPara"/>
        <w:rPr>
          <w:lang w:val="uk-UA"/>
        </w:rPr>
      </w:pPr>
      <w:r w:rsidRPr="00B62174">
        <w:fldChar w:fldCharType="begin"/>
      </w:r>
      <w:r w:rsidRPr="00B62174">
        <w:instrText xml:space="preserve"> SEQ level0 \*arabic </w:instrText>
      </w:r>
      <w:r w:rsidRPr="00B62174">
        <w:fldChar w:fldCharType="separate"/>
      </w:r>
      <w:r w:rsidR="00142C04">
        <w:rPr>
          <w:noProof/>
        </w:rPr>
        <w:t>66</w:t>
      </w:r>
      <w:r w:rsidRPr="00B62174">
        <w:fldChar w:fldCharType="end"/>
      </w:r>
      <w:r w:rsidRPr="00B62174">
        <w:t>.  </w:t>
      </w:r>
      <w:r w:rsidR="009700C2">
        <w:rPr>
          <w:lang w:val="uk-UA"/>
        </w:rPr>
        <w:t>Суд зазначає, що</w:t>
      </w:r>
      <w:r w:rsidR="009700C2">
        <w:t xml:space="preserve"> </w:t>
      </w:r>
      <w:r w:rsidR="009700C2">
        <w:rPr>
          <w:lang w:val="uk-UA"/>
        </w:rPr>
        <w:t xml:space="preserve">німецькі суди обґрунтовували свою юрисдикцію статтею </w:t>
      </w:r>
      <w:r w:rsidRPr="009700C2" w:rsidR="00850076">
        <w:rPr>
          <w:lang w:val="uk-UA"/>
        </w:rPr>
        <w:t xml:space="preserve">6 </w:t>
      </w:r>
      <w:r w:rsidR="009700C2">
        <w:rPr>
          <w:lang w:val="uk-UA"/>
        </w:rPr>
        <w:t>№</w:t>
      </w:r>
      <w:r w:rsidRPr="009700C2" w:rsidR="00077EA3">
        <w:rPr>
          <w:lang w:val="uk-UA"/>
        </w:rPr>
        <w:t xml:space="preserve"> </w:t>
      </w:r>
      <w:r w:rsidRPr="009700C2" w:rsidR="00850076">
        <w:rPr>
          <w:lang w:val="uk-UA"/>
        </w:rPr>
        <w:t xml:space="preserve">1 </w:t>
      </w:r>
      <w:r w:rsidR="009700C2">
        <w:rPr>
          <w:lang w:val="uk-UA"/>
        </w:rPr>
        <w:t xml:space="preserve">Кримінального кодексу у сукупності зі статтею </w:t>
      </w:r>
      <w:r w:rsidRPr="009700C2" w:rsidR="00850076">
        <w:rPr>
          <w:lang w:val="uk-UA"/>
        </w:rPr>
        <w:t>220</w:t>
      </w:r>
      <w:r w:rsidR="00850076">
        <w:t>a</w:t>
      </w:r>
      <w:r w:rsidRPr="009700C2" w:rsidR="00850076">
        <w:rPr>
          <w:lang w:val="uk-UA"/>
        </w:rPr>
        <w:t xml:space="preserve"> </w:t>
      </w:r>
      <w:r w:rsidR="009700C2">
        <w:rPr>
          <w:lang w:val="uk-UA"/>
        </w:rPr>
        <w:t>цього ж кодексу</w:t>
      </w:r>
      <w:r w:rsidRPr="009700C2" w:rsidR="00FA26CA">
        <w:rPr>
          <w:lang w:val="uk-UA"/>
        </w:rPr>
        <w:t xml:space="preserve"> (</w:t>
      </w:r>
      <w:r w:rsidR="009700C2">
        <w:rPr>
          <w:lang w:val="uk-UA"/>
        </w:rPr>
        <w:t>у чинних на той час версіях</w:t>
      </w:r>
      <w:r w:rsidRPr="009700C2" w:rsidR="00FA26CA">
        <w:rPr>
          <w:lang w:val="uk-UA"/>
        </w:rPr>
        <w:t>)</w:t>
      </w:r>
      <w:r w:rsidRPr="009700C2" w:rsidR="00850076">
        <w:rPr>
          <w:lang w:val="uk-UA"/>
        </w:rPr>
        <w:t xml:space="preserve">. </w:t>
      </w:r>
      <w:r w:rsidR="009700C2">
        <w:rPr>
          <w:lang w:val="uk-UA"/>
        </w:rPr>
        <w:t xml:space="preserve">Ці положення встановлювали, що німецьке кримінальне право мало </w:t>
      </w:r>
      <w:r w:rsidRPr="00DB3579" w:rsidR="009700C2">
        <w:rPr>
          <w:lang w:val="uk-UA"/>
        </w:rPr>
        <w:t>застосовуватись</w:t>
      </w:r>
      <w:r w:rsidRPr="00DB3579" w:rsidR="004374A9">
        <w:rPr>
          <w:lang w:val="uk-UA"/>
        </w:rPr>
        <w:t>,</w:t>
      </w:r>
      <w:r w:rsidRPr="00DB3579" w:rsidR="009700C2">
        <w:rPr>
          <w:lang w:val="uk-UA"/>
        </w:rPr>
        <w:t xml:space="preserve"> і, відповідно, німецькі суди мали юрисдикцію судити особу за звинув</w:t>
      </w:r>
      <w:r w:rsidRPr="00DB3579" w:rsidR="004374A9">
        <w:rPr>
          <w:lang w:val="uk-UA"/>
        </w:rPr>
        <w:t>аченням у геноциді, скоєному за</w:t>
      </w:r>
      <w:r w:rsidRPr="00DB3579" w:rsidR="00DB3579">
        <w:rPr>
          <w:lang w:val="uk-UA"/>
        </w:rPr>
        <w:t xml:space="preserve"> </w:t>
      </w:r>
      <w:r w:rsidRPr="00DB3579" w:rsidR="009700C2">
        <w:rPr>
          <w:lang w:val="uk-UA"/>
        </w:rPr>
        <w:t>кордоном,</w:t>
      </w:r>
      <w:r w:rsidR="009700C2">
        <w:rPr>
          <w:lang w:val="uk-UA"/>
        </w:rPr>
        <w:t xml:space="preserve"> незважаючи на громадянство підсудного і потерпілих</w:t>
      </w:r>
      <w:r w:rsidRPr="009700C2" w:rsidR="00F95520">
        <w:rPr>
          <w:lang w:val="uk-UA"/>
        </w:rPr>
        <w:t>.</w:t>
      </w:r>
      <w:r w:rsidRPr="009700C2" w:rsidR="001B0220">
        <w:rPr>
          <w:lang w:val="uk-UA"/>
        </w:rPr>
        <w:t xml:space="preserve"> </w:t>
      </w:r>
      <w:r w:rsidR="00ED373C">
        <w:rPr>
          <w:lang w:val="uk-UA"/>
        </w:rPr>
        <w:t xml:space="preserve">Отже, національні суди встановили юрисдикцію відповідно до чіткого </w:t>
      </w:r>
      <w:r w:rsidR="00162079">
        <w:rPr>
          <w:lang w:val="uk-UA"/>
        </w:rPr>
        <w:t>формулювання</w:t>
      </w:r>
      <w:r w:rsidR="00ED373C">
        <w:rPr>
          <w:lang w:val="uk-UA"/>
        </w:rPr>
        <w:t xml:space="preserve"> чинних положень Кримінального кодексу</w:t>
      </w:r>
      <w:r w:rsidRPr="002F62CB" w:rsidR="00850076">
        <w:rPr>
          <w:lang w:val="uk-UA"/>
        </w:rPr>
        <w:t>.</w:t>
      </w:r>
    </w:p>
    <w:p w:rsidRPr="00DB3579" w:rsidR="00850076" w:rsidP="00850076" w:rsidRDefault="003E5D64">
      <w:pPr>
        <w:pStyle w:val="JuPara"/>
        <w:rPr>
          <w:lang w:val="uk-UA"/>
        </w:rPr>
      </w:pPr>
      <w:r w:rsidRPr="00B62174">
        <w:fldChar w:fldCharType="begin"/>
      </w:r>
      <w:r w:rsidRPr="002F62CB">
        <w:rPr>
          <w:lang w:val="uk-UA"/>
        </w:rPr>
        <w:instrText xml:space="preserve"> </w:instrText>
      </w:r>
      <w:r w:rsidRPr="00B62174">
        <w:instrText>SEQ</w:instrText>
      </w:r>
      <w:r w:rsidRPr="002F62CB">
        <w:rPr>
          <w:lang w:val="uk-UA"/>
        </w:rPr>
        <w:instrText xml:space="preserve"> </w:instrText>
      </w:r>
      <w:r w:rsidRPr="00B62174">
        <w:instrText>level</w:instrText>
      </w:r>
      <w:r w:rsidRPr="002F62CB">
        <w:rPr>
          <w:lang w:val="uk-UA"/>
        </w:rPr>
        <w:instrText>0 \*</w:instrText>
      </w:r>
      <w:r w:rsidRPr="00B62174">
        <w:instrText>arabic</w:instrText>
      </w:r>
      <w:r w:rsidRPr="002F62CB">
        <w:rPr>
          <w:lang w:val="uk-UA"/>
        </w:rPr>
        <w:instrText xml:space="preserve"> </w:instrText>
      </w:r>
      <w:r w:rsidRPr="00B62174">
        <w:fldChar w:fldCharType="separate"/>
      </w:r>
      <w:r w:rsidRPr="002F62CB" w:rsidR="00142C04">
        <w:rPr>
          <w:noProof/>
          <w:lang w:val="uk-UA"/>
        </w:rPr>
        <w:t>67</w:t>
      </w:r>
      <w:r w:rsidRPr="00B62174">
        <w:fldChar w:fldCharType="end"/>
      </w:r>
      <w:r w:rsidRPr="002F62CB">
        <w:rPr>
          <w:lang w:val="uk-UA"/>
        </w:rPr>
        <w:t>.</w:t>
      </w:r>
      <w:r w:rsidRPr="00B62174">
        <w:t>  </w:t>
      </w:r>
      <w:r w:rsidR="002F62CB">
        <w:rPr>
          <w:lang w:val="uk-UA"/>
        </w:rPr>
        <w:t>Вирішуючи, чи мали німецькі суди юрисдикцію</w:t>
      </w:r>
      <w:r w:rsidRPr="002F62CB" w:rsidR="002F62CB">
        <w:rPr>
          <w:lang w:val="uk-UA"/>
        </w:rPr>
        <w:t xml:space="preserve"> </w:t>
      </w:r>
      <w:r w:rsidR="002F62CB">
        <w:rPr>
          <w:lang w:val="uk-UA"/>
        </w:rPr>
        <w:t>відповідно до положень національного матеріального права, Суд має переконатись, чи відповідало чинним для Німеччини положенням міжнародного публічного права рішення національних судів про те, що вони мають юрисдикцію у справі заявника</w:t>
      </w:r>
      <w:r w:rsidR="00B65F09">
        <w:t xml:space="preserve">. </w:t>
      </w:r>
      <w:r w:rsidR="002F62CB">
        <w:rPr>
          <w:lang w:val="uk-UA"/>
        </w:rPr>
        <w:t xml:space="preserve">Суд зазначає, що національні суди вирішили, що принцип міжнародного публічного права про універсальну юрисдикцію, кодифікований статтею </w:t>
      </w:r>
      <w:r w:rsidRPr="002F62CB" w:rsidR="00850076">
        <w:rPr>
          <w:lang w:val="uk-UA"/>
        </w:rPr>
        <w:t xml:space="preserve">6 </w:t>
      </w:r>
      <w:r w:rsidR="002F62CB">
        <w:rPr>
          <w:lang w:val="uk-UA"/>
        </w:rPr>
        <w:t>№</w:t>
      </w:r>
      <w:r w:rsidRPr="002F62CB" w:rsidR="00077EA3">
        <w:rPr>
          <w:lang w:val="uk-UA"/>
        </w:rPr>
        <w:t xml:space="preserve"> </w:t>
      </w:r>
      <w:r w:rsidRPr="002F62CB" w:rsidR="00850076">
        <w:rPr>
          <w:lang w:val="uk-UA"/>
        </w:rPr>
        <w:t xml:space="preserve">1 </w:t>
      </w:r>
      <w:r w:rsidR="002F62CB">
        <w:rPr>
          <w:lang w:val="uk-UA"/>
        </w:rPr>
        <w:t>Кримінального кодексу</w:t>
      </w:r>
      <w:r w:rsidRPr="002F62CB" w:rsidR="00D62847">
        <w:rPr>
          <w:lang w:val="uk-UA"/>
        </w:rPr>
        <w:t>,</w:t>
      </w:r>
      <w:r w:rsidRPr="002F62CB" w:rsidR="00850076">
        <w:rPr>
          <w:lang w:val="uk-UA"/>
        </w:rPr>
        <w:t xml:space="preserve"> </w:t>
      </w:r>
      <w:r w:rsidR="002F62CB">
        <w:rPr>
          <w:lang w:val="uk-UA"/>
        </w:rPr>
        <w:t>встановлював їх юрисдикцію, узгоджену з</w:t>
      </w:r>
      <w:r w:rsidR="00761A37">
        <w:rPr>
          <w:lang w:val="uk-UA"/>
        </w:rPr>
        <w:t xml:space="preserve"> </w:t>
      </w:r>
      <w:r w:rsidR="002F62CB">
        <w:rPr>
          <w:lang w:val="uk-UA"/>
        </w:rPr>
        <w:t>принципом міжнародного публічного права про невтручання</w:t>
      </w:r>
      <w:r w:rsidRPr="002F62CB" w:rsidR="00850076">
        <w:rPr>
          <w:lang w:val="uk-UA"/>
        </w:rPr>
        <w:t xml:space="preserve">. </w:t>
      </w:r>
      <w:r w:rsidR="00CF5086">
        <w:rPr>
          <w:lang w:val="uk-UA"/>
        </w:rPr>
        <w:t xml:space="preserve">На їхню думку, їхня </w:t>
      </w:r>
      <w:r w:rsidRPr="00DB3579" w:rsidR="00CF5086">
        <w:rPr>
          <w:lang w:val="uk-UA"/>
        </w:rPr>
        <w:t>компетенція</w:t>
      </w:r>
      <w:r w:rsidRPr="00DB3579" w:rsidR="004374A9">
        <w:rPr>
          <w:lang w:val="uk-UA"/>
        </w:rPr>
        <w:t>,</w:t>
      </w:r>
      <w:r w:rsidRPr="00DB3579" w:rsidR="00CF5086">
        <w:rPr>
          <w:lang w:val="uk-UA"/>
        </w:rPr>
        <w:t xml:space="preserve"> відповідно до принципу універсальної юрисдикції</w:t>
      </w:r>
      <w:r w:rsidRPr="00DB3579" w:rsidR="004374A9">
        <w:rPr>
          <w:lang w:val="uk-UA"/>
        </w:rPr>
        <w:t>,</w:t>
      </w:r>
      <w:r w:rsidRPr="00DB3579" w:rsidR="00CF5086">
        <w:rPr>
          <w:lang w:val="uk-UA"/>
        </w:rPr>
        <w:t xml:space="preserve"> не виключалась формулюванням статті </w:t>
      </w:r>
      <w:r w:rsidRPr="00DB3579" w:rsidR="00850076">
        <w:t>VI</w:t>
      </w:r>
      <w:r w:rsidRPr="00DB3579" w:rsidR="00850076">
        <w:rPr>
          <w:lang w:val="uk-UA"/>
        </w:rPr>
        <w:t xml:space="preserve"> </w:t>
      </w:r>
      <w:r w:rsidRPr="00DB3579" w:rsidR="00CF5086">
        <w:rPr>
          <w:lang w:val="uk-UA"/>
        </w:rPr>
        <w:t>Конвенції про запобігання геноциду</w:t>
      </w:r>
      <w:r w:rsidRPr="00DB3579" w:rsidR="00850076">
        <w:rPr>
          <w:lang w:val="uk-UA"/>
        </w:rPr>
        <w:t xml:space="preserve">, </w:t>
      </w:r>
      <w:r w:rsidRPr="00DB3579" w:rsidR="00CF5086">
        <w:rPr>
          <w:lang w:val="uk-UA"/>
        </w:rPr>
        <w:t>оскільки ця стаття встановлювала обов</w:t>
      </w:r>
      <w:r w:rsidR="00761A37">
        <w:rPr>
          <w:lang w:val="uk-UA"/>
        </w:rPr>
        <w:t>’</w:t>
      </w:r>
      <w:r w:rsidRPr="00DB3579" w:rsidR="00CF5086">
        <w:rPr>
          <w:lang w:val="uk-UA"/>
        </w:rPr>
        <w:t>язок перелічених у ній судів судити осіб, підозрюваних у геноциді, не забороняючи кримінальне переслідування геноциду іншими національними судами</w:t>
      </w:r>
      <w:r w:rsidRPr="00DB3579" w:rsidR="00850076">
        <w:rPr>
          <w:lang w:val="uk-UA"/>
        </w:rPr>
        <w:t>.</w:t>
      </w:r>
    </w:p>
    <w:p w:rsidRPr="00CF5086" w:rsidR="00AB394B" w:rsidP="00CF5086" w:rsidRDefault="00DE2746">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68</w:t>
      </w:r>
      <w:r w:rsidRPr="00DB3579">
        <w:fldChar w:fldCharType="end"/>
      </w:r>
      <w:r w:rsidRPr="00DB3579">
        <w:rPr>
          <w:lang w:val="uk-UA"/>
        </w:rPr>
        <w:t>.</w:t>
      </w:r>
      <w:r w:rsidRPr="00DB3579">
        <w:t>  </w:t>
      </w:r>
      <w:r w:rsidRPr="00DB3579" w:rsidR="00CF5086">
        <w:rPr>
          <w:lang w:val="uk-UA"/>
        </w:rPr>
        <w:t>Визначаючи, чи було обґрунтованим тлумачення національними судами відповідних правил і положень міжнародного публічного права стосовно юрисдикції</w:t>
      </w:r>
      <w:r w:rsidRPr="00DB3579" w:rsidR="001E4C5F">
        <w:rPr>
          <w:lang w:val="uk-UA"/>
        </w:rPr>
        <w:t>,</w:t>
      </w:r>
      <w:r w:rsidRPr="00DB3579" w:rsidR="00F72722">
        <w:rPr>
          <w:lang w:val="uk-UA"/>
        </w:rPr>
        <w:t xml:space="preserve"> </w:t>
      </w:r>
      <w:r w:rsidRPr="00DB3579" w:rsidR="00CF5086">
        <w:rPr>
          <w:lang w:val="uk-UA"/>
        </w:rPr>
        <w:t>Суд</w:t>
      </w:r>
      <w:r w:rsidRPr="00DB3579" w:rsidR="004374A9">
        <w:rPr>
          <w:lang w:val="uk-UA"/>
        </w:rPr>
        <w:t>,</w:t>
      </w:r>
      <w:r w:rsidRPr="00DB3579" w:rsidR="00CF5086">
        <w:rPr>
          <w:lang w:val="uk-UA"/>
        </w:rPr>
        <w:t xml:space="preserve"> в принципі</w:t>
      </w:r>
      <w:r w:rsidRPr="00DB3579" w:rsidR="004374A9">
        <w:rPr>
          <w:lang w:val="uk-UA"/>
        </w:rPr>
        <w:t>,</w:t>
      </w:r>
      <w:r w:rsidRPr="00DB3579" w:rsidR="00CF5086">
        <w:rPr>
          <w:lang w:val="uk-UA"/>
        </w:rPr>
        <w:t xml:space="preserve"> має</w:t>
      </w:r>
      <w:r w:rsidR="00CF5086">
        <w:rPr>
          <w:lang w:val="uk-UA"/>
        </w:rPr>
        <w:t xml:space="preserve"> перевірити їхню інтерпретацію статті </w:t>
      </w:r>
      <w:r w:rsidR="001E4C5F">
        <w:t>VI</w:t>
      </w:r>
      <w:r w:rsidRPr="00DB3579" w:rsidR="001E4C5F">
        <w:rPr>
          <w:lang w:val="uk-UA"/>
        </w:rPr>
        <w:t xml:space="preserve"> </w:t>
      </w:r>
      <w:r w:rsidR="006B6F72">
        <w:rPr>
          <w:lang w:val="uk-UA"/>
        </w:rPr>
        <w:t>Конвенції п</w:t>
      </w:r>
      <w:r w:rsidRPr="00DB3579" w:rsidR="006B6F72">
        <w:rPr>
          <w:lang w:val="uk-UA"/>
        </w:rPr>
        <w:t>ро запобігання геноциду</w:t>
      </w:r>
      <w:r w:rsidRPr="00DB3579" w:rsidR="001E4C5F">
        <w:rPr>
          <w:lang w:val="uk-UA"/>
        </w:rPr>
        <w:t xml:space="preserve">. </w:t>
      </w:r>
      <w:r w:rsidR="00CF5086">
        <w:rPr>
          <w:lang w:val="uk-UA"/>
        </w:rPr>
        <w:t xml:space="preserve">Він зазначає, що було відмічено також </w:t>
      </w:r>
      <w:r w:rsidR="008F23BF">
        <w:rPr>
          <w:lang w:val="uk-UA"/>
        </w:rPr>
        <w:t xml:space="preserve">і </w:t>
      </w:r>
      <w:r w:rsidRPr="00CF5086" w:rsidR="00CF5086">
        <w:rPr>
          <w:lang w:val="uk-UA"/>
        </w:rPr>
        <w:t>національними судами</w:t>
      </w:r>
      <w:r w:rsidR="00CF5086">
        <w:rPr>
          <w:lang w:val="uk-UA"/>
        </w:rPr>
        <w:t xml:space="preserve"> </w:t>
      </w:r>
      <w:r w:rsidR="00DA6730">
        <w:t>(</w:t>
      </w:r>
      <w:r w:rsidR="00CF5086">
        <w:rPr>
          <w:lang w:val="uk-UA"/>
        </w:rPr>
        <w:t>див.</w:t>
      </w:r>
      <w:r w:rsidR="00DA6730">
        <w:t xml:space="preserve">, </w:t>
      </w:r>
      <w:r w:rsidR="00CF5086">
        <w:rPr>
          <w:lang w:val="uk-UA"/>
        </w:rPr>
        <w:t>зокрема</w:t>
      </w:r>
      <w:r w:rsidR="00DA6730">
        <w:t xml:space="preserve">, </w:t>
      </w:r>
      <w:r w:rsidR="00CF5086">
        <w:rPr>
          <w:lang w:val="uk-UA"/>
        </w:rPr>
        <w:t>параграф</w:t>
      </w:r>
      <w:r w:rsidR="00077EA3">
        <w:t xml:space="preserve"> </w:t>
      </w:r>
      <w:r w:rsidRPr="00814D3E" w:rsidR="00DA6730">
        <w:t>20</w:t>
      </w:r>
      <w:r w:rsidR="00DA6730">
        <w:t xml:space="preserve">), </w:t>
      </w:r>
      <w:r w:rsidR="00CF5086">
        <w:rPr>
          <w:lang w:val="uk-UA"/>
        </w:rPr>
        <w:t xml:space="preserve">що Держави-учасниці </w:t>
      </w:r>
      <w:r w:rsidR="006B6F72">
        <w:rPr>
          <w:lang w:val="uk-UA"/>
        </w:rPr>
        <w:t>Конвенції п</w:t>
      </w:r>
      <w:r w:rsidRPr="00F25090" w:rsidR="006B6F72">
        <w:t>ро запобігання геноциду</w:t>
      </w:r>
      <w:r w:rsidR="00DA6730">
        <w:t xml:space="preserve">, </w:t>
      </w:r>
      <w:r w:rsidR="00CF5086">
        <w:rPr>
          <w:lang w:val="uk-UA"/>
        </w:rPr>
        <w:t>незважаючи на пропозиції раніших редакцій, не погодились кодифікувати у цій статті принцип універсальної юрисдикції</w:t>
      </w:r>
      <w:r w:rsidR="00CF5086">
        <w:t xml:space="preserve"> </w:t>
      </w:r>
      <w:r w:rsidR="00CF5086">
        <w:rPr>
          <w:lang w:val="uk-UA"/>
        </w:rPr>
        <w:t>щодо геноциду стосовно національних судів усіх Держав-учасниць</w:t>
      </w:r>
      <w:r w:rsidR="00DA6730">
        <w:t xml:space="preserve"> (</w:t>
      </w:r>
      <w:r w:rsidR="00CF5086">
        <w:rPr>
          <w:lang w:val="uk-UA"/>
        </w:rPr>
        <w:t>порівняйте параграфи</w:t>
      </w:r>
      <w:r w:rsidR="00872996">
        <w:t xml:space="preserve"> </w:t>
      </w:r>
      <w:r w:rsidRPr="00814D3E" w:rsidR="00DA6730">
        <w:t>20</w:t>
      </w:r>
      <w:r w:rsidR="001B0220">
        <w:t xml:space="preserve"> </w:t>
      </w:r>
      <w:r w:rsidR="00CF5086">
        <w:rPr>
          <w:lang w:val="uk-UA"/>
        </w:rPr>
        <w:t>і</w:t>
      </w:r>
      <w:r w:rsidRPr="00814D3E" w:rsidR="00DA6730">
        <w:t xml:space="preserve"> 5</w:t>
      </w:r>
      <w:r w:rsidR="0049655C">
        <w:t>4</w:t>
      </w:r>
      <w:r w:rsidR="00DA6730">
        <w:t xml:space="preserve">). </w:t>
      </w:r>
      <w:r w:rsidR="00CF5086">
        <w:rPr>
          <w:lang w:val="uk-UA"/>
        </w:rPr>
        <w:t xml:space="preserve">Проте, відповідно до статті </w:t>
      </w:r>
      <w:r w:rsidR="00D67021">
        <w:t xml:space="preserve">I </w:t>
      </w:r>
      <w:r w:rsidR="006B6F72">
        <w:rPr>
          <w:lang w:val="uk-UA"/>
        </w:rPr>
        <w:t>Конвенції п</w:t>
      </w:r>
      <w:r w:rsidRPr="00F25090" w:rsidR="006B6F72">
        <w:t>ро запобігання геноциду</w:t>
      </w:r>
      <w:r w:rsidR="00D67021">
        <w:t xml:space="preserve">, </w:t>
      </w:r>
      <w:r w:rsidR="00CF5086">
        <w:rPr>
          <w:lang w:val="uk-UA"/>
        </w:rPr>
        <w:t>Держави-учасниц</w:t>
      </w:r>
      <w:r w:rsidR="00307194">
        <w:rPr>
          <w:lang w:val="uk-UA"/>
        </w:rPr>
        <w:t xml:space="preserve">і мали </w:t>
      </w:r>
      <w:proofErr w:type="spellStart"/>
      <w:r w:rsidR="00307194">
        <w:rPr>
          <w:lang w:val="uk-UA"/>
        </w:rPr>
        <w:t>зобов</w:t>
      </w:r>
      <w:r w:rsidR="00761A37">
        <w:rPr>
          <w:lang w:val="uk-UA"/>
        </w:rPr>
        <w:t>’</w:t>
      </w:r>
      <w:r w:rsidR="00307194">
        <w:rPr>
          <w:lang w:val="fr-FR"/>
        </w:rPr>
        <w:t>язання</w:t>
      </w:r>
      <w:proofErr w:type="spellEnd"/>
      <w:r w:rsidRPr="00307194" w:rsidR="00307194">
        <w:t xml:space="preserve"> </w:t>
      </w:r>
      <w:proofErr w:type="spellStart"/>
      <w:r w:rsidRPr="000708CD" w:rsidR="00D67021">
        <w:rPr>
          <w:i/>
        </w:rPr>
        <w:t>erga</w:t>
      </w:r>
      <w:proofErr w:type="spellEnd"/>
      <w:r w:rsidRPr="000708CD" w:rsidR="00D67021">
        <w:rPr>
          <w:i/>
        </w:rPr>
        <w:t xml:space="preserve"> </w:t>
      </w:r>
      <w:proofErr w:type="spellStart"/>
      <w:r w:rsidRPr="000708CD" w:rsidR="00D67021">
        <w:rPr>
          <w:i/>
        </w:rPr>
        <w:t>omnes</w:t>
      </w:r>
      <w:proofErr w:type="spellEnd"/>
      <w:r w:rsidR="00D67021">
        <w:t xml:space="preserve"> </w:t>
      </w:r>
      <w:r w:rsidR="00307194">
        <w:rPr>
          <w:lang w:val="uk-UA"/>
        </w:rPr>
        <w:t xml:space="preserve">запобігати геноциду і карати його, а його заборона становить частину </w:t>
      </w:r>
      <w:r w:rsidRPr="00D44444" w:rsidR="00D67021">
        <w:rPr>
          <w:i/>
        </w:rPr>
        <w:t>jus cogens</w:t>
      </w:r>
      <w:r w:rsidR="00D67021">
        <w:t xml:space="preserve">. </w:t>
      </w:r>
      <w:r w:rsidR="00514234">
        <w:rPr>
          <w:lang w:val="uk-UA"/>
        </w:rPr>
        <w:t xml:space="preserve">З цієї точки зору, мотивування національних судів стосовно того, що мета </w:t>
      </w:r>
      <w:r w:rsidR="006B6F72">
        <w:rPr>
          <w:lang w:val="uk-UA"/>
        </w:rPr>
        <w:t>Конвенції п</w:t>
      </w:r>
      <w:r w:rsidRPr="00F25090" w:rsidR="006B6F72">
        <w:t>ро запобігання геноциду</w:t>
      </w:r>
      <w:r w:rsidR="001926D2">
        <w:t xml:space="preserve">, </w:t>
      </w:r>
      <w:r w:rsidR="00514234">
        <w:rPr>
          <w:lang w:val="uk-UA"/>
        </w:rPr>
        <w:t>як однозначно вказано у цій статті</w:t>
      </w:r>
      <w:r w:rsidR="001926D2">
        <w:t>,</w:t>
      </w:r>
      <w:r w:rsidR="00514234">
        <w:rPr>
          <w:lang w:val="uk-UA"/>
        </w:rPr>
        <w:t xml:space="preserve"> не виключає юрисдикцію щодо покарання геноциду державами, чиї закони встановлюють у цьому випадку екстратериторіальність, є обґрунтованим</w:t>
      </w:r>
      <w:r w:rsidR="001926D2">
        <w:t xml:space="preserve"> </w:t>
      </w:r>
      <w:r w:rsidR="00726591">
        <w:t>(</w:t>
      </w:r>
      <w:r w:rsidR="00514234">
        <w:rPr>
          <w:lang w:val="uk-UA"/>
        </w:rPr>
        <w:t>і дійсно переконливим</w:t>
      </w:r>
      <w:r w:rsidR="00726591">
        <w:t>)</w:t>
      </w:r>
      <w:r w:rsidR="00D67021">
        <w:t>.</w:t>
      </w:r>
      <w:r w:rsidR="00AB394B">
        <w:t xml:space="preserve"> </w:t>
      </w:r>
      <w:r w:rsidR="00514234">
        <w:rPr>
          <w:lang w:val="uk-UA"/>
        </w:rPr>
        <w:t xml:space="preserve">Отримавши обґрунтоване і однозначне тлумачення статті </w:t>
      </w:r>
      <w:r w:rsidR="00726591">
        <w:t xml:space="preserve">VI </w:t>
      </w:r>
      <w:r w:rsidR="006B6F72">
        <w:rPr>
          <w:lang w:val="uk-UA"/>
        </w:rPr>
        <w:t>Конвенції п</w:t>
      </w:r>
      <w:r w:rsidRPr="00F25090" w:rsidR="006B6F72">
        <w:t>ро запобігання геноциду</w:t>
      </w:r>
      <w:r w:rsidR="00514234">
        <w:rPr>
          <w:lang w:val="uk-UA"/>
        </w:rPr>
        <w:t xml:space="preserve"> відповідно до мети цієї </w:t>
      </w:r>
      <w:r w:rsidR="008F23BF">
        <w:rPr>
          <w:lang w:val="uk-UA"/>
        </w:rPr>
        <w:t>К</w:t>
      </w:r>
      <w:r w:rsidR="00514234">
        <w:rPr>
          <w:lang w:val="uk-UA"/>
        </w:rPr>
        <w:t>онвенції, вже не було потреби, інтерпретуючи згадану Конвенцію, звертатись до підготовчих документів, котрі відіграють лише субсидіарну роль в інтерпретації</w:t>
      </w:r>
      <w:r w:rsidR="00761A37">
        <w:rPr>
          <w:lang w:val="uk-UA"/>
        </w:rPr>
        <w:t xml:space="preserve"> </w:t>
      </w:r>
      <w:r w:rsidR="00514234">
        <w:rPr>
          <w:lang w:val="uk-UA"/>
        </w:rPr>
        <w:t>міжнародного публічного права</w:t>
      </w:r>
      <w:r w:rsidRPr="00AB394B" w:rsidR="00514234">
        <w:t xml:space="preserve"> </w:t>
      </w:r>
      <w:r w:rsidRPr="00AB394B" w:rsidR="00AB394B">
        <w:t>(</w:t>
      </w:r>
      <w:r w:rsidR="00514234">
        <w:rPr>
          <w:lang w:val="uk-UA"/>
        </w:rPr>
        <w:t>див. статті</w:t>
      </w:r>
      <w:r w:rsidR="00077EA3">
        <w:t xml:space="preserve"> </w:t>
      </w:r>
      <w:r w:rsidRPr="00AB394B" w:rsidR="00AB394B">
        <w:t>31 §</w:t>
      </w:r>
      <w:r w:rsidR="00077EA3">
        <w:t xml:space="preserve"> </w:t>
      </w:r>
      <w:r w:rsidRPr="00AB394B" w:rsidR="00AB394B">
        <w:t xml:space="preserve">1 </w:t>
      </w:r>
      <w:r w:rsidR="00514234">
        <w:rPr>
          <w:lang w:val="uk-UA"/>
        </w:rPr>
        <w:t>і</w:t>
      </w:r>
      <w:r w:rsidRPr="00AB394B" w:rsidR="00AB394B">
        <w:t xml:space="preserve"> 32 </w:t>
      </w:r>
      <w:r w:rsidR="00514234">
        <w:rPr>
          <w:lang w:val="uk-UA"/>
        </w:rPr>
        <w:t xml:space="preserve">Віденської конвенції про договірне право від </w:t>
      </w:r>
      <w:r w:rsidRPr="009679E2" w:rsidR="009679E2">
        <w:t>23</w:t>
      </w:r>
      <w:r w:rsidR="00077EA3">
        <w:t xml:space="preserve"> </w:t>
      </w:r>
      <w:r w:rsidR="00514234">
        <w:rPr>
          <w:lang w:val="uk-UA"/>
        </w:rPr>
        <w:t xml:space="preserve">травня </w:t>
      </w:r>
      <w:r w:rsidRPr="009679E2" w:rsidR="009679E2">
        <w:t>1969</w:t>
      </w:r>
      <w:r w:rsidR="00514234">
        <w:rPr>
          <w:lang w:val="uk-UA"/>
        </w:rPr>
        <w:t xml:space="preserve"> року</w:t>
      </w:r>
      <w:r w:rsidRPr="00AB394B" w:rsidR="00AB394B">
        <w:t>).</w:t>
      </w:r>
    </w:p>
    <w:p w:rsidRPr="00DB3579" w:rsidR="006B4AFE" w:rsidP="00C14A7D" w:rsidRDefault="00AD037A">
      <w:pPr>
        <w:pStyle w:val="JuPara"/>
      </w:pPr>
      <w:r w:rsidRPr="00B62174">
        <w:fldChar w:fldCharType="begin"/>
      </w:r>
      <w:r w:rsidRPr="00761A37">
        <w:rPr>
          <w:lang w:val="uk-UA"/>
        </w:rPr>
        <w:instrText xml:space="preserve"> </w:instrText>
      </w:r>
      <w:r w:rsidRPr="00B62174">
        <w:instrText>SEQ</w:instrText>
      </w:r>
      <w:r w:rsidRPr="00761A37">
        <w:rPr>
          <w:lang w:val="uk-UA"/>
        </w:rPr>
        <w:instrText xml:space="preserve"> </w:instrText>
      </w:r>
      <w:r w:rsidRPr="00B62174">
        <w:instrText>level</w:instrText>
      </w:r>
      <w:r w:rsidRPr="00761A37">
        <w:rPr>
          <w:lang w:val="uk-UA"/>
        </w:rPr>
        <w:instrText>0 \*</w:instrText>
      </w:r>
      <w:r w:rsidRPr="00B62174">
        <w:instrText>arabic</w:instrText>
      </w:r>
      <w:r w:rsidRPr="00761A37">
        <w:rPr>
          <w:lang w:val="uk-UA"/>
        </w:rPr>
        <w:instrText xml:space="preserve"> </w:instrText>
      </w:r>
      <w:r w:rsidRPr="00B62174">
        <w:fldChar w:fldCharType="separate"/>
      </w:r>
      <w:r w:rsidRPr="00761A37" w:rsidR="00142C04">
        <w:rPr>
          <w:noProof/>
          <w:lang w:val="uk-UA"/>
        </w:rPr>
        <w:t>69</w:t>
      </w:r>
      <w:r w:rsidRPr="00B62174">
        <w:fldChar w:fldCharType="end"/>
      </w:r>
      <w:r w:rsidRPr="00761A37">
        <w:rPr>
          <w:lang w:val="uk-UA"/>
        </w:rPr>
        <w:t>.</w:t>
      </w:r>
      <w:r w:rsidRPr="00B62174">
        <w:t>  </w:t>
      </w:r>
      <w:r w:rsidR="0045312F">
        <w:rPr>
          <w:lang w:val="uk-UA"/>
        </w:rPr>
        <w:t>У зв</w:t>
      </w:r>
      <w:r w:rsidR="00761A37">
        <w:rPr>
          <w:lang w:val="uk-UA"/>
        </w:rPr>
        <w:t>’</w:t>
      </w:r>
      <w:r w:rsidRPr="00761A37" w:rsidR="0045312F">
        <w:rPr>
          <w:lang w:val="uk-UA"/>
        </w:rPr>
        <w:t xml:space="preserve">язку з цим Суд зазначає, що тлумачення німецькими судами </w:t>
      </w:r>
      <w:r w:rsidR="0045312F">
        <w:rPr>
          <w:lang w:val="uk-UA"/>
        </w:rPr>
        <w:t>статті</w:t>
      </w:r>
      <w:r w:rsidRPr="00761A37" w:rsidR="00077EA3">
        <w:rPr>
          <w:lang w:val="uk-UA"/>
        </w:rPr>
        <w:t xml:space="preserve"> </w:t>
      </w:r>
      <w:r>
        <w:t>VI</w:t>
      </w:r>
      <w:r w:rsidRPr="00761A37">
        <w:rPr>
          <w:lang w:val="uk-UA"/>
        </w:rPr>
        <w:t xml:space="preserve"> </w:t>
      </w:r>
      <w:r w:rsidR="006B6F72">
        <w:rPr>
          <w:lang w:val="uk-UA"/>
        </w:rPr>
        <w:t>Конвенції п</w:t>
      </w:r>
      <w:r w:rsidRPr="00761A37" w:rsidR="006B6F72">
        <w:rPr>
          <w:lang w:val="uk-UA"/>
        </w:rPr>
        <w:t>ро запобігання геноциду</w:t>
      </w:r>
      <w:r w:rsidR="0045312F">
        <w:rPr>
          <w:lang w:val="uk-UA"/>
        </w:rPr>
        <w:t xml:space="preserve"> у світлі статті</w:t>
      </w:r>
      <w:r w:rsidRPr="00761A37" w:rsidR="006B6F72">
        <w:rPr>
          <w:lang w:val="uk-UA"/>
        </w:rPr>
        <w:t xml:space="preserve"> </w:t>
      </w:r>
      <w:r>
        <w:t>I</w:t>
      </w:r>
      <w:r w:rsidRPr="00761A37">
        <w:rPr>
          <w:lang w:val="uk-UA"/>
        </w:rPr>
        <w:t xml:space="preserve"> </w:t>
      </w:r>
      <w:r w:rsidR="0045312F">
        <w:rPr>
          <w:lang w:val="uk-UA"/>
        </w:rPr>
        <w:t>цієї ж Конвенції і встановлення юрисдикції судити заявника за обвинуваченням у геноциді має широке підтвердження у законодавчих положеннях і юриспруденції численних Держав-учасниць</w:t>
      </w:r>
      <w:r w:rsidRPr="00761A37" w:rsidR="0045312F">
        <w:rPr>
          <w:lang w:val="uk-UA"/>
        </w:rPr>
        <w:t xml:space="preserve"> </w:t>
      </w:r>
      <w:r w:rsidR="0045312F">
        <w:rPr>
          <w:lang w:val="uk-UA"/>
        </w:rPr>
        <w:t>Конвенції</w:t>
      </w:r>
      <w:r w:rsidR="00761A37">
        <w:rPr>
          <w:lang w:val="uk-UA"/>
        </w:rPr>
        <w:t xml:space="preserve"> </w:t>
      </w:r>
      <w:r w:rsidRPr="00761A37" w:rsidR="003520CB">
        <w:rPr>
          <w:lang w:val="uk-UA"/>
        </w:rPr>
        <w:t>(</w:t>
      </w:r>
      <w:r w:rsidR="004747F0">
        <w:rPr>
          <w:lang w:val="uk-UA"/>
        </w:rPr>
        <w:t>із захисту прав людини і основоположних свобод</w:t>
      </w:r>
      <w:r w:rsidRPr="00761A37" w:rsidR="003520CB">
        <w:rPr>
          <w:lang w:val="uk-UA"/>
        </w:rPr>
        <w:t>)</w:t>
      </w:r>
      <w:r w:rsidR="004747F0">
        <w:rPr>
          <w:lang w:val="uk-UA"/>
        </w:rPr>
        <w:t>, а також у статуті і юриспруденції МКТЮ</w:t>
      </w:r>
      <w:r w:rsidRPr="00761A37" w:rsidR="00833934">
        <w:rPr>
          <w:lang w:val="uk-UA"/>
        </w:rPr>
        <w:t xml:space="preserve">. </w:t>
      </w:r>
      <w:r w:rsidR="004747F0">
        <w:rPr>
          <w:lang w:val="uk-UA"/>
        </w:rPr>
        <w:t xml:space="preserve">Зокрема, Суд зазначає, що іспанська </w:t>
      </w:r>
      <w:r w:rsidRPr="001242EE" w:rsidR="001242EE">
        <w:rPr>
          <w:i/>
        </w:rPr>
        <w:t>Audiencia Nacional</w:t>
      </w:r>
      <w:r w:rsidR="001242EE">
        <w:t xml:space="preserve"> </w:t>
      </w:r>
      <w:r w:rsidR="004747F0">
        <w:rPr>
          <w:lang w:val="uk-UA"/>
        </w:rPr>
        <w:t>витлумачила статтю</w:t>
      </w:r>
      <w:r w:rsidR="00077EA3">
        <w:t xml:space="preserve"> </w:t>
      </w:r>
      <w:r w:rsidR="001242EE">
        <w:t xml:space="preserve">VI </w:t>
      </w:r>
      <w:r w:rsidR="006B6F72">
        <w:rPr>
          <w:lang w:val="uk-UA"/>
        </w:rPr>
        <w:t>Конвенції п</w:t>
      </w:r>
      <w:r w:rsidRPr="00F25090" w:rsidR="006B6F72">
        <w:t>ро запобігання геноциду</w:t>
      </w:r>
      <w:r w:rsidR="006B6F72">
        <w:t xml:space="preserve"> </w:t>
      </w:r>
      <w:r w:rsidR="004747F0">
        <w:rPr>
          <w:lang w:val="uk-UA"/>
        </w:rPr>
        <w:t xml:space="preserve">точно так, як і німецькі суди </w:t>
      </w:r>
      <w:r w:rsidR="001242EE">
        <w:t>(</w:t>
      </w:r>
      <w:r w:rsidR="004747F0">
        <w:rPr>
          <w:lang w:val="uk-UA"/>
        </w:rPr>
        <w:t>див. вище параграф</w:t>
      </w:r>
      <w:r w:rsidR="00077EA3">
        <w:t xml:space="preserve"> </w:t>
      </w:r>
      <w:r w:rsidRPr="00814D3E" w:rsidR="00DF4BAA">
        <w:t>5</w:t>
      </w:r>
      <w:r w:rsidR="0049655C">
        <w:t>4</w:t>
      </w:r>
      <w:r w:rsidR="001242EE">
        <w:t xml:space="preserve">). </w:t>
      </w:r>
      <w:r w:rsidR="004747F0">
        <w:rPr>
          <w:lang w:val="uk-UA"/>
        </w:rPr>
        <w:t xml:space="preserve">Окрім того, стаття </w:t>
      </w:r>
      <w:r w:rsidR="0052358A">
        <w:t>9 §</w:t>
      </w:r>
      <w:r w:rsidR="00077EA3">
        <w:t xml:space="preserve"> </w:t>
      </w:r>
      <w:r w:rsidR="0052358A">
        <w:t xml:space="preserve">1 </w:t>
      </w:r>
      <w:r w:rsidR="004747F0">
        <w:rPr>
          <w:lang w:val="uk-UA"/>
        </w:rPr>
        <w:t>статуту МКТЮ схвалює висновок німецьких судів щодо співпадаючої юрисдикції МКТЮ і національних судів, не наводячи жодних обмежень для національних судів конкретних країн</w:t>
      </w:r>
      <w:r w:rsidR="0052358A">
        <w:t xml:space="preserve">. </w:t>
      </w:r>
      <w:r w:rsidR="004747F0">
        <w:rPr>
          <w:lang w:val="uk-UA"/>
        </w:rPr>
        <w:t>Дійсно, принцип універсальної юрисдикції</w:t>
      </w:r>
      <w:r w:rsidR="004747F0">
        <w:t xml:space="preserve"> </w:t>
      </w:r>
      <w:r w:rsidR="004747F0">
        <w:rPr>
          <w:lang w:val="uk-UA"/>
        </w:rPr>
        <w:t xml:space="preserve">щодо геноциду був однозначно схвалений МКТЮ </w:t>
      </w:r>
      <w:r w:rsidR="006B4AFE">
        <w:t>(</w:t>
      </w:r>
      <w:r w:rsidR="004747F0">
        <w:rPr>
          <w:lang w:val="uk-UA"/>
        </w:rPr>
        <w:t>див. вище параграфи</w:t>
      </w:r>
      <w:r w:rsidR="004747F0">
        <w:t xml:space="preserve"> </w:t>
      </w:r>
      <w:r w:rsidR="0049655C">
        <w:t>50</w:t>
      </w:r>
      <w:r w:rsidRPr="00814D3E" w:rsidR="006B4AFE">
        <w:t>-</w:t>
      </w:r>
      <w:r w:rsidR="0049655C">
        <w:t>51</w:t>
      </w:r>
      <w:r w:rsidR="006B4AFE">
        <w:t>)</w:t>
      </w:r>
      <w:r w:rsidR="004747F0">
        <w:rPr>
          <w:lang w:val="uk-UA"/>
        </w:rPr>
        <w:t>, і численні</w:t>
      </w:r>
      <w:r w:rsidR="006B4AFE">
        <w:t xml:space="preserve"> </w:t>
      </w:r>
      <w:r w:rsidR="004747F0">
        <w:rPr>
          <w:lang w:val="uk-UA"/>
        </w:rPr>
        <w:t xml:space="preserve">Держави-учасниці Конвенції </w:t>
      </w:r>
      <w:r w:rsidRPr="00DB3579" w:rsidR="004747F0">
        <w:rPr>
          <w:lang w:val="uk-UA"/>
        </w:rPr>
        <w:t>дозволяють</w:t>
      </w:r>
      <w:r w:rsidRPr="00DB3579" w:rsidR="009B6082">
        <w:rPr>
          <w:lang w:val="uk-UA"/>
        </w:rPr>
        <w:t>,</w:t>
      </w:r>
      <w:r w:rsidRPr="00DB3579" w:rsidR="004747F0">
        <w:rPr>
          <w:lang w:val="uk-UA"/>
        </w:rPr>
        <w:t xml:space="preserve"> відповідно до цього принципу</w:t>
      </w:r>
      <w:r w:rsidRPr="00DB3579" w:rsidR="009B6082">
        <w:rPr>
          <w:lang w:val="uk-UA"/>
        </w:rPr>
        <w:t>,</w:t>
      </w:r>
      <w:r w:rsidRPr="00DB3579" w:rsidR="004747F0">
        <w:rPr>
          <w:lang w:val="uk-UA"/>
        </w:rPr>
        <w:t xml:space="preserve"> кримінальне переслідування геноциду, принаймні, як у справі зая</w:t>
      </w:r>
      <w:r w:rsidRPr="00DB3579" w:rsidR="00162079">
        <w:rPr>
          <w:lang w:val="uk-UA"/>
        </w:rPr>
        <w:t>в</w:t>
      </w:r>
      <w:r w:rsidRPr="00DB3579" w:rsidR="004747F0">
        <w:rPr>
          <w:lang w:val="uk-UA"/>
        </w:rPr>
        <w:t>ника, після дотримання додаткових умов</w:t>
      </w:r>
      <w:r w:rsidRPr="00DB3579" w:rsidR="00680FCF">
        <w:rPr>
          <w:lang w:val="uk-UA"/>
        </w:rPr>
        <w:t>, наприклад, тих, яких вимагає принцип репрезентативності</w:t>
      </w:r>
      <w:r w:rsidRPr="00DB3579" w:rsidR="004747F0">
        <w:t xml:space="preserve"> </w:t>
      </w:r>
      <w:r w:rsidRPr="00DB3579" w:rsidR="00AB394B">
        <w:t>(</w:t>
      </w:r>
      <w:r w:rsidRPr="00DB3579" w:rsidR="00680FCF">
        <w:rPr>
          <w:lang w:val="uk-UA"/>
        </w:rPr>
        <w:t>див. вище параграфи</w:t>
      </w:r>
      <w:r w:rsidRPr="00DB3579" w:rsidR="00680FCF">
        <w:t xml:space="preserve"> </w:t>
      </w:r>
      <w:r w:rsidRPr="00DB3579" w:rsidR="00E34D54">
        <w:t>5</w:t>
      </w:r>
      <w:r w:rsidRPr="00DB3579" w:rsidR="0049655C">
        <w:t>2</w:t>
      </w:r>
      <w:r w:rsidRPr="00DB3579" w:rsidR="00E34D54">
        <w:t>-5</w:t>
      </w:r>
      <w:r w:rsidRPr="00DB3579" w:rsidR="0049655C">
        <w:t>3</w:t>
      </w:r>
      <w:r w:rsidRPr="00DB3579" w:rsidR="00AB394B">
        <w:t>)</w:t>
      </w:r>
      <w:r w:rsidRPr="00DB3579" w:rsidR="007A153D">
        <w:t>.</w:t>
      </w:r>
    </w:p>
    <w:p w:rsidRPr="00DB3579" w:rsidR="00F84654" w:rsidP="00850076" w:rsidRDefault="00F84654">
      <w:pPr>
        <w:pStyle w:val="JuPara"/>
      </w:pPr>
      <w:r w:rsidRPr="00DB3579">
        <w:fldChar w:fldCharType="begin"/>
      </w:r>
      <w:r w:rsidRPr="00DB3579">
        <w:instrText xml:space="preserve"> SEQ level0 \*arabic </w:instrText>
      </w:r>
      <w:r w:rsidRPr="00DB3579">
        <w:fldChar w:fldCharType="separate"/>
      </w:r>
      <w:r w:rsidRPr="00DB3579" w:rsidR="00142C04">
        <w:rPr>
          <w:noProof/>
        </w:rPr>
        <w:t>70</w:t>
      </w:r>
      <w:r w:rsidRPr="00DB3579">
        <w:fldChar w:fldCharType="end"/>
      </w:r>
      <w:r w:rsidRPr="00DB3579">
        <w:t>.  </w:t>
      </w:r>
      <w:r w:rsidRPr="00DB3579" w:rsidR="00680FCF">
        <w:rPr>
          <w:lang w:val="uk-UA"/>
        </w:rPr>
        <w:t>Суд робить висновок, що тлумачення німецькими судами відповідних положень і правил міжнародного публічного права, у світлі якого мають тлумачитись положення Кримінального кодексу, не було неправомірним</w:t>
      </w:r>
      <w:r w:rsidRPr="00DB3579" w:rsidR="002B03E4">
        <w:t>.</w:t>
      </w:r>
      <w:r w:rsidRPr="00DB3579" w:rsidR="003D200B">
        <w:t xml:space="preserve"> </w:t>
      </w:r>
      <w:r w:rsidRPr="00DB3579" w:rsidR="00680FCF">
        <w:rPr>
          <w:lang w:val="uk-UA"/>
        </w:rPr>
        <w:t>Отже, вон</w:t>
      </w:r>
      <w:r w:rsidRPr="00DB3579" w:rsidR="008F23BF">
        <w:rPr>
          <w:lang w:val="uk-UA"/>
        </w:rPr>
        <w:t>и</w:t>
      </w:r>
      <w:r w:rsidRPr="00DB3579" w:rsidR="00680FCF">
        <w:rPr>
          <w:lang w:val="uk-UA"/>
        </w:rPr>
        <w:t xml:space="preserve"> мали розумні підстави встановлювати свою юрисдикцію судити заявника за звинуваченнями у геноциді</w:t>
      </w:r>
      <w:r w:rsidRPr="00DB3579" w:rsidR="003D200B">
        <w:t>.</w:t>
      </w:r>
    </w:p>
    <w:p w:rsidRPr="00DB3579" w:rsidR="00850076" w:rsidP="00850076" w:rsidRDefault="00E909FE">
      <w:pPr>
        <w:pStyle w:val="JuPara"/>
      </w:pPr>
      <w:r w:rsidRPr="00DB3579">
        <w:fldChar w:fldCharType="begin"/>
      </w:r>
      <w:r w:rsidRPr="00DB3579">
        <w:instrText xml:space="preserve"> SEQ level0 \*arabic </w:instrText>
      </w:r>
      <w:r w:rsidRPr="00DB3579">
        <w:fldChar w:fldCharType="separate"/>
      </w:r>
      <w:r w:rsidRPr="00DB3579" w:rsidR="00142C04">
        <w:rPr>
          <w:noProof/>
        </w:rPr>
        <w:t>71</w:t>
      </w:r>
      <w:r w:rsidRPr="00DB3579">
        <w:fldChar w:fldCharType="end"/>
      </w:r>
      <w:r w:rsidRPr="00DB3579">
        <w:t>. </w:t>
      </w:r>
      <w:r w:rsidRPr="00DB3579" w:rsidR="00680FCF">
        <w:rPr>
          <w:lang w:val="uk-UA"/>
        </w:rPr>
        <w:t>Отже, справа заявника розглядалась судом, встановленим відповідно до закону у розумінні статті</w:t>
      </w:r>
      <w:r w:rsidRPr="00DB3579" w:rsidR="00680FCF">
        <w:t xml:space="preserve"> </w:t>
      </w:r>
      <w:r w:rsidRPr="00DB3579" w:rsidR="00850076">
        <w:t>6 §</w:t>
      </w:r>
      <w:r w:rsidRPr="00DB3579" w:rsidR="00077EA3">
        <w:t xml:space="preserve"> </w:t>
      </w:r>
      <w:r w:rsidRPr="00DB3579" w:rsidR="00850076">
        <w:t xml:space="preserve">1 </w:t>
      </w:r>
      <w:r w:rsidRPr="00DB3579" w:rsidR="00680FCF">
        <w:rPr>
          <w:lang w:val="uk-UA"/>
        </w:rPr>
        <w:t>Конвенції</w:t>
      </w:r>
      <w:r w:rsidRPr="00DB3579" w:rsidR="00850076">
        <w:t xml:space="preserve">. </w:t>
      </w:r>
      <w:r w:rsidRPr="00DB3579" w:rsidR="00680FCF">
        <w:rPr>
          <w:lang w:val="uk-UA"/>
        </w:rPr>
        <w:t>Тобто, не було порушення цього положення</w:t>
      </w:r>
      <w:r w:rsidRPr="00DB3579" w:rsidR="0061555E">
        <w:t>.</w:t>
      </w:r>
    </w:p>
    <w:p w:rsidRPr="00DB3579" w:rsidR="001B5333" w:rsidP="00850076" w:rsidRDefault="00E909FE">
      <w:pPr>
        <w:pStyle w:val="JuPara"/>
        <w:rPr>
          <w:lang w:val="uk-UA"/>
        </w:rPr>
      </w:pPr>
      <w:r w:rsidRPr="00DB3579">
        <w:fldChar w:fldCharType="begin"/>
      </w:r>
      <w:r w:rsidRPr="00DB3579">
        <w:instrText xml:space="preserve"> SEQ level0 \*arabic </w:instrText>
      </w:r>
      <w:r w:rsidRPr="00DB3579">
        <w:fldChar w:fldCharType="separate"/>
      </w:r>
      <w:r w:rsidRPr="00DB3579" w:rsidR="00142C04">
        <w:rPr>
          <w:noProof/>
        </w:rPr>
        <w:t>72</w:t>
      </w:r>
      <w:r w:rsidRPr="00DB3579">
        <w:fldChar w:fldCharType="end"/>
      </w:r>
      <w:r w:rsidRPr="00DB3579">
        <w:t>.  </w:t>
      </w:r>
      <w:r w:rsidRPr="00DB3579" w:rsidR="00680FCF">
        <w:rPr>
          <w:lang w:val="uk-UA"/>
        </w:rPr>
        <w:t xml:space="preserve">З огляду на наведений висновок за статтею </w:t>
      </w:r>
      <w:r w:rsidRPr="00DB3579" w:rsidR="001B5333">
        <w:rPr>
          <w:lang w:val="uk-UA"/>
        </w:rPr>
        <w:t>6 §</w:t>
      </w:r>
      <w:r w:rsidRPr="00DB3579" w:rsidR="00077EA3">
        <w:rPr>
          <w:lang w:val="uk-UA"/>
        </w:rPr>
        <w:t xml:space="preserve"> </w:t>
      </w:r>
      <w:r w:rsidRPr="00DB3579" w:rsidR="001B5333">
        <w:rPr>
          <w:lang w:val="uk-UA"/>
        </w:rPr>
        <w:t>1</w:t>
      </w:r>
      <w:r w:rsidRPr="00DB3579" w:rsidR="001B0220">
        <w:rPr>
          <w:lang w:val="uk-UA"/>
        </w:rPr>
        <w:t xml:space="preserve">, </w:t>
      </w:r>
      <w:r w:rsidRPr="00DB3579" w:rsidR="00680FCF">
        <w:rPr>
          <w:lang w:val="uk-UA"/>
        </w:rPr>
        <w:t>а саме</w:t>
      </w:r>
      <w:r w:rsidRPr="00DB3579" w:rsidR="001B0220">
        <w:rPr>
          <w:lang w:val="uk-UA"/>
        </w:rPr>
        <w:t>,</w:t>
      </w:r>
      <w:r w:rsidRPr="00DB3579" w:rsidR="00680FCF">
        <w:rPr>
          <w:lang w:val="uk-UA"/>
        </w:rPr>
        <w:t xml:space="preserve"> що німецькі суди правильно встановили юрисдикцію судити заявника за звинуваченнями у геноциді, Суд вирішує, що заявник також був законно ув</w:t>
      </w:r>
      <w:r w:rsidR="00761A37">
        <w:rPr>
          <w:lang w:val="uk-UA"/>
        </w:rPr>
        <w:t>’</w:t>
      </w:r>
      <w:r w:rsidRPr="00DB3579" w:rsidR="00680FCF">
        <w:rPr>
          <w:lang w:val="uk-UA"/>
        </w:rPr>
        <w:t>язнений після постановлення вироку «</w:t>
      </w:r>
      <w:r w:rsidRPr="00DB3579" w:rsidR="00680FCF">
        <w:rPr>
          <w:lang w:val="fr-FR"/>
        </w:rPr>
        <w:t> </w:t>
      </w:r>
      <w:r w:rsidRPr="00DB3579" w:rsidR="00680FCF">
        <w:rPr>
          <w:lang w:val="uk-UA"/>
        </w:rPr>
        <w:t>компетентним судом» у розумінні статті</w:t>
      </w:r>
      <w:r w:rsidRPr="00DB3579" w:rsidR="001B5333">
        <w:rPr>
          <w:lang w:val="uk-UA"/>
        </w:rPr>
        <w:t xml:space="preserve"> 5 §</w:t>
      </w:r>
      <w:r w:rsidRPr="00DB3579" w:rsidR="00077EA3">
        <w:rPr>
          <w:lang w:val="uk-UA"/>
        </w:rPr>
        <w:t xml:space="preserve"> </w:t>
      </w:r>
      <w:r w:rsidRPr="00DB3579" w:rsidR="001B5333">
        <w:rPr>
          <w:lang w:val="uk-UA"/>
        </w:rPr>
        <w:t>1 (</w:t>
      </w:r>
      <w:r w:rsidRPr="00DB3579" w:rsidR="001B5333">
        <w:t>a</w:t>
      </w:r>
      <w:r w:rsidRPr="00DB3579" w:rsidR="001B5333">
        <w:rPr>
          <w:lang w:val="uk-UA"/>
        </w:rPr>
        <w:t xml:space="preserve">) </w:t>
      </w:r>
      <w:r w:rsidRPr="00DB3579" w:rsidR="00680FCF">
        <w:rPr>
          <w:lang w:val="uk-UA"/>
        </w:rPr>
        <w:t>Конвенції</w:t>
      </w:r>
      <w:r w:rsidRPr="00DB3579" w:rsidR="001B5333">
        <w:rPr>
          <w:lang w:val="uk-UA"/>
        </w:rPr>
        <w:t xml:space="preserve">. </w:t>
      </w:r>
      <w:r w:rsidRPr="00DB3579" w:rsidR="00680FCF">
        <w:rPr>
          <w:lang w:val="uk-UA"/>
        </w:rPr>
        <w:t>Тобто, не було також порушення і цієї статті</w:t>
      </w:r>
      <w:r w:rsidRPr="00DB3579" w:rsidR="001B5333">
        <w:rPr>
          <w:lang w:val="uk-UA"/>
        </w:rPr>
        <w:t>.</w:t>
      </w:r>
    </w:p>
    <w:p w:rsidRPr="00DB3579" w:rsidR="00F71A6A" w:rsidRDefault="000E7D49">
      <w:pPr>
        <w:pStyle w:val="JuHIRoman"/>
        <w:rPr>
          <w:lang w:val="uk-UA"/>
        </w:rPr>
      </w:pPr>
      <w:r w:rsidRPr="00DB3579">
        <w:t>II</w:t>
      </w:r>
      <w:r w:rsidRPr="00DB3579" w:rsidR="00F71A6A">
        <w:t>.  </w:t>
      </w:r>
      <w:r w:rsidRPr="00DB3579" w:rsidR="009B2A3B">
        <w:rPr>
          <w:lang w:val="uk-UA"/>
        </w:rPr>
        <w:t xml:space="preserve">СТВЕРДЖУВАНЕ ПОРУШЕННЯ СТАТТІ </w:t>
      </w:r>
      <w:r w:rsidRPr="00DB3579" w:rsidR="00006473">
        <w:t>6 §§</w:t>
      </w:r>
      <w:r w:rsidRPr="00DB3579" w:rsidR="00077EA3">
        <w:t xml:space="preserve"> </w:t>
      </w:r>
      <w:r w:rsidRPr="00DB3579" w:rsidR="00006473">
        <w:t xml:space="preserve">1 </w:t>
      </w:r>
      <w:r w:rsidRPr="00DB3579" w:rsidR="009B2A3B">
        <w:rPr>
          <w:lang w:val="uk-UA"/>
        </w:rPr>
        <w:t>І</w:t>
      </w:r>
      <w:r w:rsidRPr="00DB3579" w:rsidR="00F72722">
        <w:t xml:space="preserve"> </w:t>
      </w:r>
      <w:r w:rsidRPr="00DB3579" w:rsidR="00006473">
        <w:t>3</w:t>
      </w:r>
      <w:r w:rsidRPr="00DB3579" w:rsidR="00077EA3">
        <w:t xml:space="preserve"> </w:t>
      </w:r>
      <w:r w:rsidRPr="00DB3579" w:rsidR="00006473">
        <w:t>(d)</w:t>
      </w:r>
      <w:r w:rsidRPr="00DB3579" w:rsidR="00F71A6A">
        <w:t xml:space="preserve"> </w:t>
      </w:r>
      <w:r w:rsidRPr="00DB3579" w:rsidR="009B2A3B">
        <w:rPr>
          <w:lang w:val="uk-UA"/>
        </w:rPr>
        <w:t>КОНВЕНЦІЇ</w:t>
      </w:r>
    </w:p>
    <w:p w:rsidRPr="008F23BF" w:rsidR="00DD1977" w:rsidP="00DD1977" w:rsidRDefault="00DD1977">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73</w:t>
      </w:r>
      <w:r w:rsidRPr="00DB3579">
        <w:fldChar w:fldCharType="end"/>
      </w:r>
      <w:r w:rsidRPr="00DB3579">
        <w:rPr>
          <w:lang w:val="uk-UA"/>
        </w:rPr>
        <w:t>.</w:t>
      </w:r>
      <w:r w:rsidRPr="00DB3579">
        <w:t>  </w:t>
      </w:r>
      <w:r w:rsidRPr="00DB3579" w:rsidR="00A11639">
        <w:rPr>
          <w:lang w:val="uk-UA"/>
        </w:rPr>
        <w:t xml:space="preserve">Заявник стверджував, </w:t>
      </w:r>
      <w:r w:rsidRPr="00DB3579" w:rsidR="00C04E35">
        <w:rPr>
          <w:lang w:val="uk-UA"/>
        </w:rPr>
        <w:t xml:space="preserve">що через відмову </w:t>
      </w:r>
      <w:r w:rsidRPr="00DB3579" w:rsidR="00162079">
        <w:rPr>
          <w:lang w:val="uk-UA"/>
        </w:rPr>
        <w:t>Дюссельдорфського</w:t>
      </w:r>
      <w:r w:rsidRPr="00DB3579" w:rsidR="00C04E35">
        <w:rPr>
          <w:lang w:val="uk-UA"/>
        </w:rPr>
        <w:t xml:space="preserve"> апеляційного суду, на підставі статті </w:t>
      </w:r>
      <w:r w:rsidRPr="00DB3579" w:rsidR="00F72722">
        <w:rPr>
          <w:lang w:val="uk-UA"/>
        </w:rPr>
        <w:t>244 §</w:t>
      </w:r>
      <w:r w:rsidRPr="00DB3579" w:rsidR="00077EA3">
        <w:rPr>
          <w:lang w:val="uk-UA"/>
        </w:rPr>
        <w:t xml:space="preserve"> </w:t>
      </w:r>
      <w:r w:rsidRPr="00DB3579" w:rsidR="00F72722">
        <w:rPr>
          <w:lang w:val="uk-UA"/>
        </w:rPr>
        <w:t xml:space="preserve">5 </w:t>
      </w:r>
      <w:r w:rsidRPr="00DB3579" w:rsidR="008F23BF">
        <w:rPr>
          <w:lang w:val="uk-UA"/>
        </w:rPr>
        <w:t>Кримінально-процесуального кодексу</w:t>
      </w:r>
      <w:r w:rsidRPr="00DB3579" w:rsidR="00F72722">
        <w:rPr>
          <w:lang w:val="uk-UA"/>
        </w:rPr>
        <w:t>,</w:t>
      </w:r>
      <w:r w:rsidRPr="00DB3579">
        <w:rPr>
          <w:lang w:val="uk-UA"/>
        </w:rPr>
        <w:t xml:space="preserve"> </w:t>
      </w:r>
      <w:r w:rsidRPr="00DB3579" w:rsidR="00C04E35">
        <w:rPr>
          <w:lang w:val="uk-UA"/>
        </w:rPr>
        <w:t xml:space="preserve">викликати </w:t>
      </w:r>
      <w:r w:rsidRPr="00DB3579" w:rsidR="008F23BF">
        <w:rPr>
          <w:lang w:val="uk-UA"/>
        </w:rPr>
        <w:t>будь-як</w:t>
      </w:r>
      <w:r w:rsidRPr="00DB3579" w:rsidR="00C04E35">
        <w:rPr>
          <w:lang w:val="uk-UA"/>
        </w:rPr>
        <w:t xml:space="preserve">их </w:t>
      </w:r>
      <w:r w:rsidRPr="00DB3579" w:rsidR="009B6082">
        <w:rPr>
          <w:lang w:val="uk-UA"/>
        </w:rPr>
        <w:t>свідків, які мали б свідчити за</w:t>
      </w:r>
      <w:r w:rsidRPr="00DB3579" w:rsidR="00DB3579">
        <w:rPr>
          <w:lang w:val="uk-UA"/>
        </w:rPr>
        <w:t xml:space="preserve"> </w:t>
      </w:r>
      <w:r w:rsidRPr="00DB3579" w:rsidR="00C04E35">
        <w:rPr>
          <w:lang w:val="uk-UA"/>
        </w:rPr>
        <w:t>кордоном, в</w:t>
      </w:r>
      <w:r w:rsidR="00C04E35">
        <w:rPr>
          <w:lang w:val="uk-UA"/>
        </w:rPr>
        <w:t xml:space="preserve">ін не мав справедливого судового розгляду у розумінні статті </w:t>
      </w:r>
      <w:r w:rsidRPr="008F23BF">
        <w:rPr>
          <w:lang w:val="uk-UA"/>
        </w:rPr>
        <w:t>6 §§</w:t>
      </w:r>
      <w:r w:rsidRPr="008F23BF" w:rsidR="00077EA3">
        <w:rPr>
          <w:lang w:val="uk-UA"/>
        </w:rPr>
        <w:t xml:space="preserve"> </w:t>
      </w:r>
      <w:r w:rsidRPr="008F23BF">
        <w:rPr>
          <w:lang w:val="uk-UA"/>
        </w:rPr>
        <w:t xml:space="preserve">1 </w:t>
      </w:r>
      <w:r w:rsidR="00C04E35">
        <w:rPr>
          <w:lang w:val="uk-UA"/>
        </w:rPr>
        <w:t>і</w:t>
      </w:r>
      <w:r w:rsidRPr="008F23BF">
        <w:rPr>
          <w:lang w:val="uk-UA"/>
        </w:rPr>
        <w:t xml:space="preserve"> 3</w:t>
      </w:r>
      <w:r w:rsidRPr="008F23BF" w:rsidR="00077EA3">
        <w:rPr>
          <w:lang w:val="uk-UA"/>
        </w:rPr>
        <w:t xml:space="preserve"> </w:t>
      </w:r>
      <w:r w:rsidRPr="008F23BF">
        <w:rPr>
          <w:lang w:val="uk-UA"/>
        </w:rPr>
        <w:t>(</w:t>
      </w:r>
      <w:r>
        <w:t>d</w:t>
      </w:r>
      <w:r w:rsidRPr="008F23BF">
        <w:rPr>
          <w:lang w:val="uk-UA"/>
        </w:rPr>
        <w:t xml:space="preserve">) </w:t>
      </w:r>
      <w:r w:rsidR="00C04E35">
        <w:rPr>
          <w:lang w:val="uk-UA"/>
        </w:rPr>
        <w:t>Конвенції</w:t>
      </w:r>
      <w:r w:rsidRPr="008F23BF">
        <w:rPr>
          <w:lang w:val="uk-UA"/>
        </w:rPr>
        <w:t xml:space="preserve">. </w:t>
      </w:r>
      <w:r w:rsidR="00C04E35">
        <w:rPr>
          <w:lang w:val="uk-UA"/>
        </w:rPr>
        <w:t xml:space="preserve">Він також скаржився, що відмова апеляційного суду оглянути місце скоєння злочину у Грабска або </w:t>
      </w:r>
      <w:r w:rsidR="008F23BF">
        <w:rPr>
          <w:lang w:val="uk-UA"/>
        </w:rPr>
        <w:t>с</w:t>
      </w:r>
      <w:r w:rsidR="00C04E35">
        <w:rPr>
          <w:lang w:val="uk-UA"/>
        </w:rPr>
        <w:t xml:space="preserve">класти топографічну карту також становили порушення статті </w:t>
      </w:r>
      <w:r w:rsidRPr="008F23BF">
        <w:rPr>
          <w:lang w:val="uk-UA"/>
        </w:rPr>
        <w:t>6 §§</w:t>
      </w:r>
      <w:r w:rsidRPr="008F23BF" w:rsidR="00077EA3">
        <w:rPr>
          <w:lang w:val="uk-UA"/>
        </w:rPr>
        <w:t xml:space="preserve"> </w:t>
      </w:r>
      <w:r w:rsidRPr="008F23BF">
        <w:rPr>
          <w:lang w:val="uk-UA"/>
        </w:rPr>
        <w:t xml:space="preserve">1 </w:t>
      </w:r>
      <w:r w:rsidR="00C04E35">
        <w:rPr>
          <w:lang w:val="uk-UA"/>
        </w:rPr>
        <w:t>і</w:t>
      </w:r>
      <w:r w:rsidRPr="008F23BF">
        <w:rPr>
          <w:lang w:val="uk-UA"/>
        </w:rPr>
        <w:t xml:space="preserve"> 3</w:t>
      </w:r>
      <w:r w:rsidRPr="008F23BF" w:rsidR="00077EA3">
        <w:rPr>
          <w:lang w:val="uk-UA"/>
        </w:rPr>
        <w:t xml:space="preserve"> </w:t>
      </w:r>
      <w:r w:rsidRPr="008F23BF">
        <w:rPr>
          <w:lang w:val="uk-UA"/>
        </w:rPr>
        <w:t>(</w:t>
      </w:r>
      <w:r>
        <w:t>d</w:t>
      </w:r>
      <w:r w:rsidRPr="008F23BF">
        <w:rPr>
          <w:lang w:val="uk-UA"/>
        </w:rPr>
        <w:t xml:space="preserve">) </w:t>
      </w:r>
      <w:r w:rsidR="00C04E35">
        <w:rPr>
          <w:lang w:val="uk-UA"/>
        </w:rPr>
        <w:t>Конвенції, котра у відповідних місцях звучить так</w:t>
      </w:r>
      <w:r w:rsidRPr="008F23BF">
        <w:rPr>
          <w:lang w:val="uk-UA"/>
        </w:rPr>
        <w:t>:</w:t>
      </w:r>
    </w:p>
    <w:p w:rsidR="007F0793" w:rsidP="007F0793" w:rsidRDefault="00DD1977">
      <w:pPr>
        <w:pStyle w:val="JuQuot"/>
        <w:rPr>
          <w:lang w:val="uk-UA"/>
        </w:rPr>
      </w:pPr>
      <w:r>
        <w:t>“1.  </w:t>
      </w:r>
      <w:r w:rsidRPr="005965DC" w:rsidR="00DD7544">
        <w:rPr>
          <w:lang w:val="uk-UA"/>
        </w:rPr>
        <w:t>Кожен має право на справедливий</w:t>
      </w:r>
      <w:r w:rsidR="00DD7544">
        <w:rPr>
          <w:lang w:val="uk-UA"/>
        </w:rPr>
        <w:t xml:space="preserve"> ...</w:t>
      </w:r>
      <w:r w:rsidRPr="005965DC" w:rsidR="00DD7544">
        <w:rPr>
          <w:lang w:val="uk-UA"/>
        </w:rPr>
        <w:t xml:space="preserve"> розгляд його справи</w:t>
      </w:r>
      <w:r w:rsidR="00DD7544">
        <w:rPr>
          <w:lang w:val="uk-UA"/>
        </w:rPr>
        <w:t xml:space="preserve"> ...</w:t>
      </w:r>
      <w:r w:rsidRPr="005965DC" w:rsidR="00DD7544">
        <w:rPr>
          <w:lang w:val="uk-UA"/>
        </w:rPr>
        <w:t xml:space="preserve"> судом, встановленим законом, який </w:t>
      </w:r>
      <w:r w:rsidR="00DD7544">
        <w:rPr>
          <w:lang w:val="uk-UA"/>
        </w:rPr>
        <w:t>...</w:t>
      </w:r>
      <w:r w:rsidRPr="005965DC" w:rsidR="00DD7544">
        <w:rPr>
          <w:lang w:val="uk-UA"/>
        </w:rPr>
        <w:t xml:space="preserve"> встановить обґрунтованість будь-якого висунутого проти</w:t>
      </w:r>
      <w:r w:rsidR="00DD7544">
        <w:rPr>
          <w:lang w:val="uk-UA"/>
        </w:rPr>
        <w:t xml:space="preserve"> </w:t>
      </w:r>
      <w:r w:rsidRPr="005965DC" w:rsidR="00DD7544">
        <w:rPr>
          <w:lang w:val="uk-UA"/>
        </w:rPr>
        <w:t>нього кримінального обвинувачення.</w:t>
      </w:r>
      <w:r w:rsidR="00DD7544">
        <w:rPr>
          <w:lang w:val="uk-UA"/>
        </w:rPr>
        <w:t xml:space="preserve"> ...</w:t>
      </w:r>
    </w:p>
    <w:p w:rsidRPr="007F0793" w:rsidR="00FD01BD" w:rsidP="007F0793" w:rsidRDefault="00DD1977">
      <w:pPr>
        <w:pStyle w:val="JuQuot"/>
      </w:pPr>
      <w:r>
        <w:t>3.  </w:t>
      </w:r>
      <w:r w:rsidRPr="007F0793" w:rsidR="007F0793">
        <w:rPr>
          <w:lang w:val="fr-FR"/>
        </w:rPr>
        <w:t>Кожний</w:t>
      </w:r>
      <w:r w:rsidRPr="007F0793" w:rsidR="007F0793">
        <w:t xml:space="preserve"> </w:t>
      </w:r>
      <w:r w:rsidRPr="007F0793" w:rsidR="007F0793">
        <w:rPr>
          <w:lang w:val="fr-FR"/>
        </w:rPr>
        <w:t>обвинувачений</w:t>
      </w:r>
      <w:r w:rsidRPr="007F0793" w:rsidR="007F0793">
        <w:t xml:space="preserve"> </w:t>
      </w:r>
      <w:r w:rsidRPr="007F0793" w:rsidR="007F0793">
        <w:rPr>
          <w:lang w:val="fr-FR"/>
        </w:rPr>
        <w:t>у</w:t>
      </w:r>
      <w:r w:rsidRPr="007F0793" w:rsidR="007F0793">
        <w:t xml:space="preserve"> </w:t>
      </w:r>
      <w:r w:rsidRPr="007F0793" w:rsidR="007F0793">
        <w:rPr>
          <w:lang w:val="fr-FR"/>
        </w:rPr>
        <w:t>вчиненні</w:t>
      </w:r>
      <w:r w:rsidRPr="007F0793" w:rsidR="007F0793">
        <w:rPr>
          <w:lang w:val="uk-UA"/>
        </w:rPr>
        <w:t xml:space="preserve"> </w:t>
      </w:r>
      <w:r w:rsidRPr="007F0793" w:rsidR="007F0793">
        <w:rPr>
          <w:lang w:val="fr-FR"/>
        </w:rPr>
        <w:t>кримінального</w:t>
      </w:r>
      <w:r w:rsidRPr="007F0793" w:rsidR="007F0793">
        <w:rPr>
          <w:lang w:val="uk-UA"/>
        </w:rPr>
        <w:t xml:space="preserve"> </w:t>
      </w:r>
      <w:r w:rsidRPr="007F0793" w:rsidR="007F0793">
        <w:rPr>
          <w:lang w:val="fr-FR"/>
        </w:rPr>
        <w:t>правопорушення</w:t>
      </w:r>
      <w:r w:rsidRPr="007F0793" w:rsidR="007F0793">
        <w:t xml:space="preserve"> </w:t>
      </w:r>
      <w:r w:rsidRPr="007F0793" w:rsidR="007F0793">
        <w:rPr>
          <w:lang w:val="fr-FR"/>
        </w:rPr>
        <w:t>має</w:t>
      </w:r>
      <w:r w:rsidRPr="007F0793" w:rsidR="007F0793">
        <w:rPr>
          <w:lang w:val="uk-UA"/>
        </w:rPr>
        <w:t xml:space="preserve"> </w:t>
      </w:r>
      <w:r w:rsidRPr="007F0793" w:rsidR="007F0793">
        <w:rPr>
          <w:lang w:val="fr-FR"/>
        </w:rPr>
        <w:t>щонайменше</w:t>
      </w:r>
      <w:r w:rsidRPr="007F0793" w:rsidR="007F0793">
        <w:t xml:space="preserve"> </w:t>
      </w:r>
      <w:r w:rsidRPr="007F0793" w:rsidR="007F0793">
        <w:rPr>
          <w:lang w:val="fr-FR"/>
        </w:rPr>
        <w:t>такі</w:t>
      </w:r>
      <w:r w:rsidRPr="007F0793" w:rsidR="007F0793">
        <w:t xml:space="preserve"> </w:t>
      </w:r>
      <w:r w:rsidRPr="007F0793" w:rsidR="007F0793">
        <w:rPr>
          <w:lang w:val="fr-FR"/>
        </w:rPr>
        <w:t>права</w:t>
      </w:r>
      <w:r w:rsidRPr="007F0793">
        <w:t>:</w:t>
      </w:r>
    </w:p>
    <w:p w:rsidR="007F0793" w:rsidP="007F0793" w:rsidRDefault="00910E44">
      <w:pPr>
        <w:pStyle w:val="JuQuot"/>
        <w:rPr>
          <w:lang w:val="uk-UA"/>
        </w:rPr>
      </w:pPr>
      <w:r>
        <w:t>...</w:t>
      </w:r>
    </w:p>
    <w:p w:rsidRPr="007F0793" w:rsidR="00DD1977" w:rsidP="007F0793" w:rsidRDefault="00DD1977">
      <w:pPr>
        <w:pStyle w:val="JuQuot"/>
        <w:rPr>
          <w:lang w:val="uk-UA"/>
        </w:rPr>
      </w:pPr>
      <w:r w:rsidRPr="007F0793">
        <w:rPr>
          <w:lang w:val="uk-UA"/>
        </w:rPr>
        <w:t>(</w:t>
      </w:r>
      <w:r w:rsidRPr="007F0793">
        <w:t>d</w:t>
      </w:r>
      <w:r w:rsidRPr="007F0793">
        <w:rPr>
          <w:lang w:val="uk-UA"/>
        </w:rPr>
        <w:t>)</w:t>
      </w:r>
      <w:r w:rsidRPr="007F0793">
        <w:t>  </w:t>
      </w:r>
      <w:r w:rsidRPr="007F0793" w:rsidR="007F0793">
        <w:rPr>
          <w:lang w:val="uk-UA"/>
        </w:rPr>
        <w:t>допитувати свідків обвинувачення або вимагати, щоб їх допитали, а також вимагати виклику й допиту свідків захисту на тих самих умовах, що й свідків обвинувачення</w:t>
      </w:r>
      <w:r w:rsidRPr="007F0793">
        <w:rPr>
          <w:lang w:val="uk-UA"/>
        </w:rPr>
        <w:t>;”</w:t>
      </w:r>
    </w:p>
    <w:p w:rsidR="00953CC6" w:rsidP="00953CC6" w:rsidRDefault="00953CC6">
      <w:pPr>
        <w:pStyle w:val="JuPara"/>
      </w:pPr>
      <w:r w:rsidRPr="00B62174">
        <w:fldChar w:fldCharType="begin"/>
      </w:r>
      <w:r w:rsidRPr="00B62174">
        <w:instrText xml:space="preserve"> SEQ level0 \*arabic </w:instrText>
      </w:r>
      <w:r w:rsidRPr="00B62174">
        <w:fldChar w:fldCharType="separate"/>
      </w:r>
      <w:r w:rsidR="00142C04">
        <w:rPr>
          <w:noProof/>
        </w:rPr>
        <w:t>74</w:t>
      </w:r>
      <w:r w:rsidRPr="00B62174">
        <w:fldChar w:fldCharType="end"/>
      </w:r>
      <w:r w:rsidRPr="00B62174">
        <w:t>.  </w:t>
      </w:r>
      <w:r w:rsidR="00C04E35">
        <w:rPr>
          <w:lang w:val="uk-UA"/>
        </w:rPr>
        <w:t>Уряд не погодився з цим</w:t>
      </w:r>
      <w:r w:rsidRPr="00B62174">
        <w:t>.</w:t>
      </w:r>
    </w:p>
    <w:p w:rsidRPr="00C04E35" w:rsidR="00EA568A" w:rsidP="00EA568A" w:rsidRDefault="00EA568A">
      <w:pPr>
        <w:pStyle w:val="JuHA"/>
        <w:rPr>
          <w:lang w:val="uk-UA"/>
        </w:rPr>
      </w:pPr>
      <w:r>
        <w:t>A.  </w:t>
      </w:r>
      <w:r w:rsidR="00C04E35">
        <w:rPr>
          <w:lang w:val="uk-UA"/>
        </w:rPr>
        <w:t>Подання сторін</w:t>
      </w:r>
    </w:p>
    <w:p w:rsidRPr="00C04E35" w:rsidR="00EA568A" w:rsidP="00EA568A" w:rsidRDefault="00EA568A">
      <w:pPr>
        <w:pStyle w:val="JuH1"/>
        <w:rPr>
          <w:lang w:val="uk-UA"/>
        </w:rPr>
      </w:pPr>
      <w:r w:rsidRPr="00705C57">
        <w:t>1.  </w:t>
      </w:r>
      <w:r w:rsidR="00C04E35">
        <w:rPr>
          <w:lang w:val="uk-UA"/>
        </w:rPr>
        <w:t>Уряд</w:t>
      </w:r>
    </w:p>
    <w:p w:rsidRPr="00BB50BD" w:rsidR="00EA568A" w:rsidP="00EA568A" w:rsidRDefault="00EA568A">
      <w:pPr>
        <w:pStyle w:val="JuPara"/>
        <w:rPr>
          <w:lang w:val="uk-UA"/>
        </w:rPr>
      </w:pPr>
      <w:r w:rsidRPr="00B62174">
        <w:fldChar w:fldCharType="begin"/>
      </w:r>
      <w:r w:rsidRPr="00BB50BD">
        <w:rPr>
          <w:lang w:val="uk-UA"/>
        </w:rPr>
        <w:instrText xml:space="preserve"> </w:instrText>
      </w:r>
      <w:r w:rsidRPr="00B62174">
        <w:instrText>SEQ</w:instrText>
      </w:r>
      <w:r w:rsidRPr="00BB50BD">
        <w:rPr>
          <w:lang w:val="uk-UA"/>
        </w:rPr>
        <w:instrText xml:space="preserve"> </w:instrText>
      </w:r>
      <w:r w:rsidRPr="00B62174">
        <w:instrText>level</w:instrText>
      </w:r>
      <w:r w:rsidRPr="00BB50BD">
        <w:rPr>
          <w:lang w:val="uk-UA"/>
        </w:rPr>
        <w:instrText>0 \*</w:instrText>
      </w:r>
      <w:r w:rsidRPr="00B62174">
        <w:instrText>arabic</w:instrText>
      </w:r>
      <w:r w:rsidRPr="00BB50BD">
        <w:rPr>
          <w:lang w:val="uk-UA"/>
        </w:rPr>
        <w:instrText xml:space="preserve"> </w:instrText>
      </w:r>
      <w:r w:rsidRPr="00B62174">
        <w:fldChar w:fldCharType="separate"/>
      </w:r>
      <w:r w:rsidRPr="00BB50BD" w:rsidR="00142C04">
        <w:rPr>
          <w:noProof/>
          <w:lang w:val="uk-UA"/>
        </w:rPr>
        <w:t>75</w:t>
      </w:r>
      <w:r w:rsidRPr="00B62174">
        <w:fldChar w:fldCharType="end"/>
      </w:r>
      <w:r w:rsidRPr="00BB50BD">
        <w:rPr>
          <w:lang w:val="uk-UA"/>
        </w:rPr>
        <w:t>.</w:t>
      </w:r>
      <w:r w:rsidRPr="00B62174">
        <w:t>  </w:t>
      </w:r>
      <w:r w:rsidR="00F00EE6">
        <w:rPr>
          <w:lang w:val="uk-UA"/>
        </w:rPr>
        <w:t>З точки зору Уряду, заявник не вичерпав національні засоби, оскільки під час розгляду у Федеральному суді неналежно обґрунтував свої скарги стосовно відмови апеляційного суду викликати двадцять вісім свідків</w:t>
      </w:r>
      <w:r w:rsidR="00BB50BD">
        <w:rPr>
          <w:lang w:val="uk-UA"/>
        </w:rPr>
        <w:t>. Він також стверджував, що заявник під час розгляду у Федеральному суді у жоден спосіб не порушував скарг щодо відмови апеляційного суду обстежити місце скоєння злочину у Грабска, і отже,</w:t>
      </w:r>
      <w:r w:rsidR="00761A37">
        <w:rPr>
          <w:lang w:val="uk-UA"/>
        </w:rPr>
        <w:t xml:space="preserve"> </w:t>
      </w:r>
      <w:r w:rsidR="00BB50BD">
        <w:rPr>
          <w:lang w:val="uk-UA"/>
        </w:rPr>
        <w:t>не вичерпав національні засоби</w:t>
      </w:r>
      <w:r w:rsidRPr="00BB50BD">
        <w:rPr>
          <w:lang w:val="uk-UA"/>
        </w:rPr>
        <w:t>.</w:t>
      </w:r>
    </w:p>
    <w:p w:rsidRPr="00705C57" w:rsidR="00EA568A" w:rsidP="00EA568A" w:rsidRDefault="00EA568A">
      <w:pPr>
        <w:pStyle w:val="JuPara"/>
        <w:tabs>
          <w:tab w:val="left" w:pos="284"/>
        </w:tabs>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76</w:t>
      </w:r>
      <w:r w:rsidRPr="00B62174">
        <w:fldChar w:fldCharType="end"/>
      </w:r>
      <w:r w:rsidRPr="00DB3579">
        <w:rPr>
          <w:lang w:val="uk-UA"/>
        </w:rPr>
        <w:t>.</w:t>
      </w:r>
      <w:r w:rsidRPr="00B62174">
        <w:t>  </w:t>
      </w:r>
      <w:r w:rsidR="00BB50BD">
        <w:rPr>
          <w:lang w:val="uk-UA"/>
        </w:rPr>
        <w:t xml:space="preserve">Уряд далі наголошував, що заявник більше не міг стверджувати, що є </w:t>
      </w:r>
      <w:r w:rsidR="00E72281">
        <w:rPr>
          <w:lang w:val="uk-UA"/>
        </w:rPr>
        <w:t>потерпілим від</w:t>
      </w:r>
      <w:r w:rsidR="00BB50BD">
        <w:rPr>
          <w:lang w:val="uk-UA"/>
        </w:rPr>
        <w:t xml:space="preserve"> порушення гарантованих Конвенцією </w:t>
      </w:r>
      <w:r w:rsidRPr="00E72281" w:rsidR="00BB50BD">
        <w:rPr>
          <w:lang w:val="uk-UA"/>
        </w:rPr>
        <w:t>прав</w:t>
      </w:r>
      <w:r w:rsidRPr="00E72281" w:rsidR="009B6082">
        <w:rPr>
          <w:lang w:val="uk-UA"/>
        </w:rPr>
        <w:t>,</w:t>
      </w:r>
      <w:r w:rsidRPr="00E72281" w:rsidR="00BB50BD">
        <w:rPr>
          <w:lang w:val="uk-UA"/>
        </w:rPr>
        <w:t xml:space="preserve"> і </w:t>
      </w:r>
      <w:r w:rsidR="00BB50BD">
        <w:rPr>
          <w:lang w:val="uk-UA"/>
        </w:rPr>
        <w:t xml:space="preserve">що заява є несумісною </w:t>
      </w:r>
      <w:r w:rsidRPr="00705C57">
        <w:rPr>
          <w:i/>
        </w:rPr>
        <w:t>ratione</w:t>
      </w:r>
      <w:r w:rsidRPr="00DB3579">
        <w:rPr>
          <w:i/>
          <w:lang w:val="uk-UA"/>
        </w:rPr>
        <w:t xml:space="preserve"> </w:t>
      </w:r>
      <w:r w:rsidRPr="00705C57">
        <w:rPr>
          <w:i/>
        </w:rPr>
        <w:t>personae</w:t>
      </w:r>
      <w:r w:rsidRPr="00DB3579">
        <w:rPr>
          <w:lang w:val="uk-UA"/>
        </w:rPr>
        <w:t xml:space="preserve"> </w:t>
      </w:r>
      <w:r w:rsidR="00BB50BD">
        <w:rPr>
          <w:lang w:val="uk-UA"/>
        </w:rPr>
        <w:t>з Конвенцією</w:t>
      </w:r>
      <w:r w:rsidRPr="00DB3579" w:rsidR="00BB50BD">
        <w:rPr>
          <w:lang w:val="uk-UA"/>
        </w:rPr>
        <w:t xml:space="preserve"> </w:t>
      </w:r>
      <w:r w:rsidR="00BB50BD">
        <w:rPr>
          <w:lang w:val="uk-UA"/>
        </w:rPr>
        <w:t>стосовно скарг, пов</w:t>
      </w:r>
      <w:r w:rsidR="00761A37">
        <w:rPr>
          <w:lang w:val="uk-UA"/>
        </w:rPr>
        <w:t>’</w:t>
      </w:r>
      <w:r w:rsidRPr="00DB3579" w:rsidR="00BB50BD">
        <w:rPr>
          <w:lang w:val="uk-UA"/>
        </w:rPr>
        <w:t>язаних із клопотанням долучити докази щодо обвинувачення у вбивстві двадцяти двох осіб у Грабска</w:t>
      </w:r>
      <w:r w:rsidRPr="00DB3579">
        <w:rPr>
          <w:lang w:val="uk-UA"/>
        </w:rPr>
        <w:t xml:space="preserve">. </w:t>
      </w:r>
      <w:r w:rsidR="00BB50BD">
        <w:rPr>
          <w:lang w:val="uk-UA"/>
        </w:rPr>
        <w:t>Він доводив, що кримінальне провадження проти заявника стосовно цього злочину було відновлене і з</w:t>
      </w:r>
      <w:r w:rsidR="006A16F9">
        <w:rPr>
          <w:lang w:val="uk-UA"/>
        </w:rPr>
        <w:t>акрит</w:t>
      </w:r>
      <w:r w:rsidR="00BB50BD">
        <w:rPr>
          <w:lang w:val="uk-UA"/>
        </w:rPr>
        <w:t>е</w:t>
      </w:r>
      <w:r w:rsidRPr="00705C57">
        <w:t>.</w:t>
      </w:r>
    </w:p>
    <w:p w:rsidRPr="00705C57" w:rsidR="00EA568A" w:rsidP="00EA568A" w:rsidRDefault="00EA568A">
      <w:pPr>
        <w:pStyle w:val="JuPara"/>
      </w:pPr>
      <w:r w:rsidRPr="00B62174">
        <w:fldChar w:fldCharType="begin"/>
      </w:r>
      <w:r w:rsidRPr="00B62174">
        <w:instrText xml:space="preserve"> SEQ level0 \*arabic </w:instrText>
      </w:r>
      <w:r w:rsidRPr="00B62174">
        <w:fldChar w:fldCharType="separate"/>
      </w:r>
      <w:r w:rsidR="00142C04">
        <w:rPr>
          <w:noProof/>
        </w:rPr>
        <w:t>77</w:t>
      </w:r>
      <w:r w:rsidRPr="00B62174">
        <w:fldChar w:fldCharType="end"/>
      </w:r>
      <w:r w:rsidRPr="00B62174">
        <w:t>.  </w:t>
      </w:r>
      <w:r w:rsidR="00C25987">
        <w:rPr>
          <w:lang w:val="uk-UA"/>
        </w:rPr>
        <w:t xml:space="preserve">Уряд стверджував, що, у кожному випадку, право заявника на справедливий судовий </w:t>
      </w:r>
      <w:r w:rsidRPr="00DB3579" w:rsidR="00C25987">
        <w:rPr>
          <w:lang w:val="uk-UA"/>
        </w:rPr>
        <w:t>розгляд</w:t>
      </w:r>
      <w:r w:rsidRPr="00DB3579" w:rsidR="009B6082">
        <w:rPr>
          <w:lang w:val="uk-UA"/>
        </w:rPr>
        <w:t>,</w:t>
      </w:r>
      <w:r w:rsidRPr="00DB3579" w:rsidR="00C25987">
        <w:rPr>
          <w:lang w:val="uk-UA"/>
        </w:rPr>
        <w:t xml:space="preserve"> у розумінні статті </w:t>
      </w:r>
      <w:r w:rsidRPr="00DB3579">
        <w:t xml:space="preserve">6 </w:t>
      </w:r>
      <w:r w:rsidRPr="00DB3579" w:rsidR="00C25987">
        <w:rPr>
          <w:lang w:val="uk-UA"/>
        </w:rPr>
        <w:t>Конвенції</w:t>
      </w:r>
      <w:r w:rsidRPr="00DB3579" w:rsidR="009B6082">
        <w:rPr>
          <w:lang w:val="uk-UA"/>
        </w:rPr>
        <w:t>,</w:t>
      </w:r>
      <w:r w:rsidRPr="00DB3579" w:rsidR="00C25987">
        <w:rPr>
          <w:lang w:val="uk-UA"/>
        </w:rPr>
        <w:t xml:space="preserve"> не</w:t>
      </w:r>
      <w:r w:rsidR="00C25987">
        <w:rPr>
          <w:lang w:val="uk-UA"/>
        </w:rPr>
        <w:t xml:space="preserve"> було порушене</w:t>
      </w:r>
      <w:r w:rsidRPr="00705C57">
        <w:t xml:space="preserve">. </w:t>
      </w:r>
      <w:r w:rsidR="000E0086">
        <w:rPr>
          <w:lang w:val="uk-UA"/>
        </w:rPr>
        <w:t>Апеляційний суд залучав докази відповідно до вимог цього положення</w:t>
      </w:r>
      <w:r w:rsidR="006D168E">
        <w:t xml:space="preserve">. </w:t>
      </w:r>
      <w:r w:rsidR="000E0086">
        <w:rPr>
          <w:lang w:val="uk-UA"/>
        </w:rPr>
        <w:t>Відповідно до статті</w:t>
      </w:r>
      <w:r w:rsidR="00077EA3">
        <w:t xml:space="preserve"> </w:t>
      </w:r>
      <w:r w:rsidRPr="00705C57">
        <w:t xml:space="preserve">244 </w:t>
      </w:r>
      <w:r w:rsidR="000E0086">
        <w:rPr>
          <w:lang w:val="uk-UA"/>
        </w:rPr>
        <w:t>Кримінально-процесуального кодексу</w:t>
      </w:r>
      <w:r w:rsidR="008F23BF">
        <w:rPr>
          <w:lang w:val="uk-UA"/>
        </w:rPr>
        <w:t>,</w:t>
      </w:r>
      <w:r w:rsidR="000E0086">
        <w:rPr>
          <w:lang w:val="uk-UA"/>
        </w:rPr>
        <w:t xml:space="preserve"> для обвинувачення і захисту застосовується однакова процедура залучення доказів</w:t>
      </w:r>
      <w:r w:rsidRPr="00705C57">
        <w:t xml:space="preserve">. </w:t>
      </w:r>
      <w:r w:rsidR="000E0086">
        <w:rPr>
          <w:lang w:val="uk-UA"/>
        </w:rPr>
        <w:t xml:space="preserve">Відповідно до німецького Кримінально-процесуального кодексу, </w:t>
      </w:r>
      <w:r w:rsidRPr="00767B2F" w:rsidR="00767B2F">
        <w:rPr>
          <w:rStyle w:val="hps"/>
          <w:lang w:val="uk-UA"/>
        </w:rPr>
        <w:t>кримінальні суди</w:t>
      </w:r>
      <w:r w:rsidRPr="00767B2F" w:rsidR="00767B2F">
        <w:rPr>
          <w:rStyle w:val="longtext"/>
          <w:lang w:val="uk-UA"/>
        </w:rPr>
        <w:t xml:space="preserve"> </w:t>
      </w:r>
      <w:r w:rsidRPr="00767B2F" w:rsidR="00767B2F">
        <w:rPr>
          <w:rStyle w:val="hps"/>
          <w:lang w:val="uk-UA"/>
        </w:rPr>
        <w:t>самі</w:t>
      </w:r>
      <w:r w:rsidRPr="00767B2F" w:rsidR="00767B2F">
        <w:rPr>
          <w:rStyle w:val="longtext"/>
          <w:lang w:val="uk-UA"/>
        </w:rPr>
        <w:t xml:space="preserve"> </w:t>
      </w:r>
      <w:r w:rsidR="00767B2F">
        <w:rPr>
          <w:rStyle w:val="hps"/>
          <w:lang w:val="uk-UA"/>
        </w:rPr>
        <w:t>мали</w:t>
      </w:r>
      <w:r w:rsidRPr="00767B2F" w:rsidR="00767B2F">
        <w:rPr>
          <w:rStyle w:val="longtext"/>
          <w:lang w:val="uk-UA"/>
        </w:rPr>
        <w:t xml:space="preserve"> </w:t>
      </w:r>
      <w:r w:rsidRPr="00767B2F" w:rsidR="00767B2F">
        <w:rPr>
          <w:rStyle w:val="hps"/>
          <w:lang w:val="uk-UA"/>
        </w:rPr>
        <w:t>розслідува</w:t>
      </w:r>
      <w:r w:rsidR="00767B2F">
        <w:rPr>
          <w:rStyle w:val="hps"/>
          <w:lang w:val="uk-UA"/>
        </w:rPr>
        <w:t>ти</w:t>
      </w:r>
      <w:r w:rsidRPr="00767B2F" w:rsidR="00767B2F">
        <w:rPr>
          <w:rStyle w:val="longtext"/>
          <w:lang w:val="uk-UA"/>
        </w:rPr>
        <w:t xml:space="preserve"> </w:t>
      </w:r>
      <w:r w:rsidRPr="00767B2F" w:rsidR="00767B2F">
        <w:rPr>
          <w:rStyle w:val="hps"/>
          <w:lang w:val="uk-UA"/>
        </w:rPr>
        <w:t>істин</w:t>
      </w:r>
      <w:r w:rsidR="008F23BF">
        <w:rPr>
          <w:rStyle w:val="hps"/>
          <w:lang w:val="uk-UA"/>
        </w:rPr>
        <w:t>ність</w:t>
      </w:r>
      <w:r w:rsidRPr="00767B2F" w:rsidR="00767B2F">
        <w:rPr>
          <w:rStyle w:val="longtext"/>
          <w:lang w:val="uk-UA"/>
        </w:rPr>
        <w:t xml:space="preserve"> </w:t>
      </w:r>
      <w:r w:rsidR="00767B2F">
        <w:rPr>
          <w:rStyle w:val="hps"/>
          <w:lang w:val="uk-UA"/>
        </w:rPr>
        <w:t>своїх припущень</w:t>
      </w:r>
      <w:r w:rsidRPr="00705C57">
        <w:t xml:space="preserve">. </w:t>
      </w:r>
      <w:r w:rsidR="00767B2F">
        <w:rPr>
          <w:lang w:val="uk-UA"/>
        </w:rPr>
        <w:t>Навіть як</w:t>
      </w:r>
      <w:r w:rsidR="009B6082">
        <w:rPr>
          <w:lang w:val="uk-UA"/>
        </w:rPr>
        <w:t xml:space="preserve">що розслідування скоєних </w:t>
      </w:r>
      <w:r w:rsidRPr="00CF05ED" w:rsidR="009B6082">
        <w:rPr>
          <w:lang w:val="uk-UA"/>
        </w:rPr>
        <w:t>за</w:t>
      </w:r>
      <w:r w:rsidRPr="00CF05ED" w:rsidR="00CF05ED">
        <w:t xml:space="preserve"> </w:t>
      </w:r>
      <w:r w:rsidRPr="00CF05ED" w:rsidR="00767B2F">
        <w:rPr>
          <w:lang w:val="uk-UA"/>
        </w:rPr>
        <w:t>кордоном злочинів становило процесуальні проблеми, підсудні були</w:t>
      </w:r>
      <w:r w:rsidR="00767B2F">
        <w:rPr>
          <w:lang w:val="uk-UA"/>
        </w:rPr>
        <w:t xml:space="preserve"> захищені правилами кримінального процесу і презумпцією невинності</w:t>
      </w:r>
      <w:r w:rsidRPr="00705C57">
        <w:t>.</w:t>
      </w:r>
    </w:p>
    <w:p w:rsidRPr="000242D1" w:rsidR="00EA568A" w:rsidP="00EA568A" w:rsidRDefault="00EA568A">
      <w:pPr>
        <w:pStyle w:val="JuPara"/>
        <w:rPr>
          <w:lang w:val="uk-UA"/>
        </w:rPr>
      </w:pPr>
      <w:r w:rsidRPr="00B62174">
        <w:fldChar w:fldCharType="begin"/>
      </w:r>
      <w:r w:rsidRPr="00B62174">
        <w:instrText xml:space="preserve"> SEQ level0 \*arabic </w:instrText>
      </w:r>
      <w:r w:rsidRPr="00B62174">
        <w:fldChar w:fldCharType="separate"/>
      </w:r>
      <w:r w:rsidR="00142C04">
        <w:rPr>
          <w:noProof/>
        </w:rPr>
        <w:t>78</w:t>
      </w:r>
      <w:r w:rsidRPr="00B62174">
        <w:fldChar w:fldCharType="end"/>
      </w:r>
      <w:r w:rsidRPr="00B62174">
        <w:t>.  </w:t>
      </w:r>
      <w:r w:rsidR="00767B2F">
        <w:rPr>
          <w:lang w:val="uk-UA"/>
        </w:rPr>
        <w:t>З точки зору Уряду, відхилення апеляційним судом клопотання за</w:t>
      </w:r>
      <w:r w:rsidR="00C46773">
        <w:rPr>
          <w:lang w:val="uk-UA"/>
        </w:rPr>
        <w:t>я</w:t>
      </w:r>
      <w:r w:rsidR="00767B2F">
        <w:rPr>
          <w:lang w:val="uk-UA"/>
        </w:rPr>
        <w:t>вника про залучення доказів не було неправомірним</w:t>
      </w:r>
      <w:r w:rsidRPr="00705C57">
        <w:t>.</w:t>
      </w:r>
      <w:r w:rsidR="00767B2F">
        <w:rPr>
          <w:lang w:val="uk-UA"/>
        </w:rPr>
        <w:t xml:space="preserve"> Цей суд належно перевірив клопотання за</w:t>
      </w:r>
      <w:r w:rsidR="00C46773">
        <w:rPr>
          <w:lang w:val="uk-UA"/>
        </w:rPr>
        <w:t>я</w:t>
      </w:r>
      <w:r w:rsidR="00767B2F">
        <w:rPr>
          <w:lang w:val="uk-UA"/>
        </w:rPr>
        <w:t>вника і навів об</w:t>
      </w:r>
      <w:r w:rsidR="00761A37">
        <w:rPr>
          <w:lang w:val="uk-UA"/>
        </w:rPr>
        <w:t>’</w:t>
      </w:r>
      <w:r w:rsidRPr="00767B2F" w:rsidR="00767B2F">
        <w:rPr>
          <w:lang w:val="uk-UA"/>
        </w:rPr>
        <w:t xml:space="preserve">єктивно </w:t>
      </w:r>
      <w:r w:rsidR="00767B2F">
        <w:rPr>
          <w:lang w:val="uk-UA"/>
        </w:rPr>
        <w:t>виправдані підстави для відхилення їх</w:t>
      </w:r>
      <w:r w:rsidRPr="00767B2F">
        <w:rPr>
          <w:lang w:val="uk-UA"/>
        </w:rPr>
        <w:t xml:space="preserve">. </w:t>
      </w:r>
      <w:r w:rsidR="00767B2F">
        <w:rPr>
          <w:lang w:val="uk-UA"/>
        </w:rPr>
        <w:t xml:space="preserve">Висновок апеляційного суду за статтею </w:t>
      </w:r>
      <w:r w:rsidRPr="000242D1">
        <w:rPr>
          <w:lang w:val="uk-UA"/>
        </w:rPr>
        <w:t>244 §</w:t>
      </w:r>
      <w:r w:rsidRPr="000242D1" w:rsidR="00077EA3">
        <w:rPr>
          <w:lang w:val="uk-UA"/>
        </w:rPr>
        <w:t xml:space="preserve"> </w:t>
      </w:r>
      <w:r w:rsidRPr="000242D1">
        <w:rPr>
          <w:lang w:val="uk-UA"/>
        </w:rPr>
        <w:t xml:space="preserve">5 </w:t>
      </w:r>
      <w:r w:rsidR="000242D1">
        <w:rPr>
          <w:lang w:val="uk-UA"/>
        </w:rPr>
        <w:t>Кримінально-процесуального кодексу про те, що допит свідків, названих заявником, не був необхідним за обставин даної справи для встановлення істини, не містив жодних помилок щодо права, оскільки цей суд надав повне мотивування своїх рішень</w:t>
      </w:r>
      <w:r w:rsidRPr="000242D1">
        <w:rPr>
          <w:lang w:val="uk-UA"/>
        </w:rPr>
        <w:t>.</w:t>
      </w:r>
    </w:p>
    <w:p w:rsidRPr="009C2A9D" w:rsidR="00EA568A" w:rsidP="00EA568A" w:rsidRDefault="00EA568A">
      <w:pPr>
        <w:pStyle w:val="JuH1"/>
        <w:rPr>
          <w:lang w:val="uk-UA"/>
        </w:rPr>
      </w:pPr>
      <w:r w:rsidRPr="00705C57">
        <w:t>2.  </w:t>
      </w:r>
      <w:r w:rsidR="009C2A9D">
        <w:rPr>
          <w:lang w:val="uk-UA"/>
        </w:rPr>
        <w:t>Заявник</w:t>
      </w:r>
    </w:p>
    <w:p w:rsidRPr="00137F4B" w:rsidR="00EA568A" w:rsidP="00EA568A" w:rsidRDefault="00EA568A">
      <w:pPr>
        <w:pStyle w:val="JuPara"/>
        <w:tabs>
          <w:tab w:val="left" w:pos="284"/>
        </w:tabs>
        <w:rPr>
          <w:lang w:val="uk-UA"/>
        </w:rPr>
      </w:pPr>
      <w:r w:rsidRPr="00B62174">
        <w:fldChar w:fldCharType="begin"/>
      </w:r>
      <w:r w:rsidRPr="00B62174">
        <w:instrText xml:space="preserve"> SEQ level0 \*arabic </w:instrText>
      </w:r>
      <w:r w:rsidRPr="00B62174">
        <w:fldChar w:fldCharType="separate"/>
      </w:r>
      <w:r w:rsidR="00142C04">
        <w:rPr>
          <w:noProof/>
        </w:rPr>
        <w:t>79</w:t>
      </w:r>
      <w:r w:rsidRPr="00B62174">
        <w:fldChar w:fldCharType="end"/>
      </w:r>
      <w:r w:rsidRPr="00B62174">
        <w:t>.  </w:t>
      </w:r>
      <w:r w:rsidR="00137F4B">
        <w:rPr>
          <w:lang w:val="uk-UA"/>
        </w:rPr>
        <w:t>Заявник</w:t>
      </w:r>
      <w:r w:rsidRPr="00705C57" w:rsidR="00137F4B">
        <w:t xml:space="preserve"> </w:t>
      </w:r>
      <w:r w:rsidR="00137F4B">
        <w:rPr>
          <w:lang w:val="uk-UA"/>
        </w:rPr>
        <w:t>спростовував точку зору Уряду</w:t>
      </w:r>
      <w:r w:rsidRPr="00705C57">
        <w:t>.</w:t>
      </w:r>
      <w:r w:rsidR="00137F4B">
        <w:rPr>
          <w:lang w:val="uk-UA"/>
        </w:rPr>
        <w:t xml:space="preserve"> Він наголошував, що Федеральний конституційний суд</w:t>
      </w:r>
      <w:r w:rsidRPr="00137F4B">
        <w:rPr>
          <w:lang w:val="uk-UA"/>
        </w:rPr>
        <w:t xml:space="preserve"> </w:t>
      </w:r>
      <w:r w:rsidR="00137F4B">
        <w:rPr>
          <w:lang w:val="uk-UA"/>
        </w:rPr>
        <w:t xml:space="preserve">не відхиляв його скаргу через невичерпання національних засобів, і стверджував, що не втратив статусу </w:t>
      </w:r>
      <w:r w:rsidR="00E72281">
        <w:rPr>
          <w:lang w:val="uk-UA"/>
        </w:rPr>
        <w:t>потерпілого від</w:t>
      </w:r>
      <w:r w:rsidR="00137F4B">
        <w:rPr>
          <w:lang w:val="uk-UA"/>
        </w:rPr>
        <w:t xml:space="preserve"> порушення статті </w:t>
      </w:r>
      <w:r w:rsidRPr="00137F4B">
        <w:rPr>
          <w:lang w:val="uk-UA"/>
        </w:rPr>
        <w:t xml:space="preserve">6 </w:t>
      </w:r>
      <w:r w:rsidR="00137F4B">
        <w:rPr>
          <w:lang w:val="uk-UA"/>
        </w:rPr>
        <w:t>Конвенції</w:t>
      </w:r>
      <w:r w:rsidRPr="00137F4B">
        <w:rPr>
          <w:lang w:val="uk-UA"/>
        </w:rPr>
        <w:t>.</w:t>
      </w:r>
    </w:p>
    <w:p w:rsidRPr="00036829" w:rsidR="00EA568A" w:rsidP="00EA568A" w:rsidRDefault="00EA568A">
      <w:pPr>
        <w:pStyle w:val="JuPara"/>
        <w:rPr>
          <w:lang w:val="uk-UA"/>
        </w:rPr>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80</w:t>
      </w:r>
      <w:r w:rsidRPr="00B62174">
        <w:fldChar w:fldCharType="end"/>
      </w:r>
      <w:r w:rsidRPr="00DB3579">
        <w:rPr>
          <w:lang w:val="uk-UA"/>
        </w:rPr>
        <w:t>.</w:t>
      </w:r>
      <w:r w:rsidRPr="00B62174">
        <w:t>  </w:t>
      </w:r>
      <w:r w:rsidR="00137F4B">
        <w:rPr>
          <w:lang w:val="uk-UA"/>
        </w:rPr>
        <w:t xml:space="preserve">Заявник скаржився, що стаття </w:t>
      </w:r>
      <w:r w:rsidRPr="00DB3579">
        <w:rPr>
          <w:lang w:val="uk-UA"/>
        </w:rPr>
        <w:t>6 §§</w:t>
      </w:r>
      <w:r w:rsidRPr="00DB3579" w:rsidR="00077EA3">
        <w:rPr>
          <w:lang w:val="uk-UA"/>
        </w:rPr>
        <w:t xml:space="preserve"> </w:t>
      </w:r>
      <w:r w:rsidRPr="00DB3579">
        <w:rPr>
          <w:lang w:val="uk-UA"/>
        </w:rPr>
        <w:t xml:space="preserve">1 </w:t>
      </w:r>
      <w:r w:rsidR="00137F4B">
        <w:rPr>
          <w:lang w:val="uk-UA"/>
        </w:rPr>
        <w:t>і</w:t>
      </w:r>
      <w:r w:rsidRPr="00DB3579">
        <w:rPr>
          <w:lang w:val="uk-UA"/>
        </w:rPr>
        <w:t xml:space="preserve"> 3</w:t>
      </w:r>
      <w:r w:rsidRPr="00DB3579" w:rsidR="00077EA3">
        <w:rPr>
          <w:lang w:val="uk-UA"/>
        </w:rPr>
        <w:t xml:space="preserve"> </w:t>
      </w:r>
      <w:r w:rsidRPr="00DB3579">
        <w:rPr>
          <w:lang w:val="uk-UA"/>
        </w:rPr>
        <w:t>(</w:t>
      </w:r>
      <w:r w:rsidRPr="00705C57">
        <w:t>d</w:t>
      </w:r>
      <w:r w:rsidRPr="00DB3579">
        <w:rPr>
          <w:lang w:val="uk-UA"/>
        </w:rPr>
        <w:t>)</w:t>
      </w:r>
      <w:r w:rsidR="00137F4B">
        <w:rPr>
          <w:lang w:val="uk-UA"/>
        </w:rPr>
        <w:t xml:space="preserve"> Конвенції була порушена у тому, </w:t>
      </w:r>
      <w:r w:rsidRPr="00DB3579" w:rsidR="00137F4B">
        <w:rPr>
          <w:lang w:val="uk-UA"/>
        </w:rPr>
        <w:t>що</w:t>
      </w:r>
      <w:r w:rsidRPr="00DB3579" w:rsidR="00DE30EC">
        <w:rPr>
          <w:lang w:val="uk-UA"/>
        </w:rPr>
        <w:t>,</w:t>
      </w:r>
      <w:r w:rsidRPr="00DB3579" w:rsidR="00137F4B">
        <w:rPr>
          <w:lang w:val="uk-UA"/>
        </w:rPr>
        <w:t xml:space="preserve"> відповідно до статті</w:t>
      </w:r>
      <w:r w:rsidRPr="00DB3579" w:rsidR="00077EA3">
        <w:rPr>
          <w:lang w:val="uk-UA"/>
        </w:rPr>
        <w:t xml:space="preserve"> </w:t>
      </w:r>
      <w:r w:rsidRPr="00DB3579">
        <w:rPr>
          <w:lang w:val="uk-UA"/>
        </w:rPr>
        <w:t>244 §</w:t>
      </w:r>
      <w:r w:rsidRPr="00DB3579" w:rsidR="00077EA3">
        <w:rPr>
          <w:lang w:val="uk-UA"/>
        </w:rPr>
        <w:t xml:space="preserve"> </w:t>
      </w:r>
      <w:r w:rsidRPr="00DB3579">
        <w:rPr>
          <w:lang w:val="uk-UA"/>
        </w:rPr>
        <w:t xml:space="preserve">5, </w:t>
      </w:r>
      <w:r w:rsidRPr="00DB3579" w:rsidR="00137F4B">
        <w:rPr>
          <w:lang w:val="uk-UA"/>
        </w:rPr>
        <w:t>другого речення</w:t>
      </w:r>
      <w:r w:rsidRPr="00DB3579">
        <w:rPr>
          <w:lang w:val="uk-UA"/>
        </w:rPr>
        <w:t xml:space="preserve">, </w:t>
      </w:r>
      <w:r w:rsidRPr="00DB3579" w:rsidR="00137F4B">
        <w:rPr>
          <w:lang w:val="uk-UA"/>
        </w:rPr>
        <w:t>Кримінально-процесуального кодексу</w:t>
      </w:r>
      <w:r w:rsidRPr="00DB3579" w:rsidR="00DE30EC">
        <w:rPr>
          <w:lang w:val="uk-UA"/>
        </w:rPr>
        <w:t>,</w:t>
      </w:r>
      <w:r w:rsidRPr="00DB3579" w:rsidR="00137F4B">
        <w:rPr>
          <w:lang w:val="uk-UA"/>
        </w:rPr>
        <w:t xml:space="preserve"> апеляційний суд відмовився викликати двадцять вісім названих ним свідків захис</w:t>
      </w:r>
      <w:r w:rsidRPr="00DB3579" w:rsidR="00DE30EC">
        <w:rPr>
          <w:lang w:val="uk-UA"/>
        </w:rPr>
        <w:t>ту, котрі мали бути допитані за</w:t>
      </w:r>
      <w:r w:rsidRPr="00DB3579" w:rsidR="00DB3579">
        <w:rPr>
          <w:lang w:val="uk-UA"/>
        </w:rPr>
        <w:t xml:space="preserve"> </w:t>
      </w:r>
      <w:r w:rsidRPr="00DB3579" w:rsidR="00137F4B">
        <w:rPr>
          <w:lang w:val="uk-UA"/>
        </w:rPr>
        <w:t xml:space="preserve">кордоном, а натомість викликав і заслухав шістьох названих обвинуваченням свідків, котрі </w:t>
      </w:r>
      <w:r w:rsidRPr="00DB3579" w:rsidR="00C46773">
        <w:rPr>
          <w:lang w:val="uk-UA"/>
        </w:rPr>
        <w:t xml:space="preserve">також </w:t>
      </w:r>
      <w:r w:rsidRPr="00DB3579" w:rsidR="00DE30EC">
        <w:rPr>
          <w:lang w:val="uk-UA"/>
        </w:rPr>
        <w:t>мали бути допитані за</w:t>
      </w:r>
      <w:r w:rsidRPr="00DB3579" w:rsidR="00DB3579">
        <w:rPr>
          <w:lang w:val="uk-UA"/>
        </w:rPr>
        <w:t xml:space="preserve"> </w:t>
      </w:r>
      <w:r w:rsidRPr="00DB3579" w:rsidR="00137F4B">
        <w:rPr>
          <w:lang w:val="uk-UA"/>
        </w:rPr>
        <w:t>кордоном</w:t>
      </w:r>
      <w:r w:rsidRPr="00DB3579">
        <w:rPr>
          <w:lang w:val="uk-UA"/>
        </w:rPr>
        <w:t xml:space="preserve">. </w:t>
      </w:r>
      <w:r w:rsidRPr="00DB3579" w:rsidR="009617B9">
        <w:rPr>
          <w:lang w:val="uk-UA"/>
        </w:rPr>
        <w:t>Він стверджував, що за обставин його справи апеляційний суд, якби правильно застосував свої дискреційні повноваження, відмовився б від застосування статті</w:t>
      </w:r>
      <w:r w:rsidRPr="00DB3579" w:rsidR="009617B9">
        <w:t xml:space="preserve"> 244 § 5 </w:t>
      </w:r>
      <w:r w:rsidRPr="00DB3579" w:rsidR="009617B9">
        <w:rPr>
          <w:lang w:val="uk-UA"/>
        </w:rPr>
        <w:t>Кримінально-процесуального кодексу</w:t>
      </w:r>
      <w:r w:rsidRPr="00DB3579">
        <w:t xml:space="preserve">. </w:t>
      </w:r>
      <w:r w:rsidRPr="00DB3579" w:rsidR="00101353">
        <w:rPr>
          <w:lang w:val="uk-UA"/>
        </w:rPr>
        <w:t>Це положення міс</w:t>
      </w:r>
      <w:r w:rsidRPr="00DB3579" w:rsidR="00036829">
        <w:rPr>
          <w:lang w:val="uk-UA"/>
        </w:rPr>
        <w:t>т</w:t>
      </w:r>
      <w:r w:rsidRPr="00DB3579" w:rsidR="00101353">
        <w:rPr>
          <w:lang w:val="uk-UA"/>
        </w:rPr>
        <w:t>ило умови для відмови у виклику свідк</w:t>
      </w:r>
      <w:r w:rsidRPr="00DB3579" w:rsidR="00DE30EC">
        <w:rPr>
          <w:lang w:val="uk-UA"/>
        </w:rPr>
        <w:t>ів, котрі мали бути допитані за</w:t>
      </w:r>
      <w:r w:rsidRPr="00DB3579" w:rsidR="00DB3579">
        <w:rPr>
          <w:lang w:val="uk-UA"/>
        </w:rPr>
        <w:t xml:space="preserve"> </w:t>
      </w:r>
      <w:r w:rsidRPr="00DB3579" w:rsidR="00101353">
        <w:rPr>
          <w:lang w:val="uk-UA"/>
        </w:rPr>
        <w:t>кордоном, менш суворі, ніж норми, що мали застосовуватись до відмови у виклику свідків, котрі мешкають у Німеччині</w:t>
      </w:r>
      <w:r w:rsidRPr="00DB3579">
        <w:t xml:space="preserve">. </w:t>
      </w:r>
      <w:r w:rsidRPr="00DB3579" w:rsidR="00036829">
        <w:rPr>
          <w:lang w:val="uk-UA"/>
        </w:rPr>
        <w:t>Воно заснов</w:t>
      </w:r>
      <w:r w:rsidRPr="00DB3579" w:rsidR="00C46773">
        <w:rPr>
          <w:lang w:val="uk-UA"/>
        </w:rPr>
        <w:t>а</w:t>
      </w:r>
      <w:r w:rsidRPr="00DB3579" w:rsidR="00036829">
        <w:rPr>
          <w:lang w:val="uk-UA"/>
        </w:rPr>
        <w:t>не на припущенні, що для кримінального процесу в Німеччині докази можна отримати переважно в Німеччині</w:t>
      </w:r>
      <w:r w:rsidRPr="00DB3579">
        <w:t>.</w:t>
      </w:r>
      <w:r w:rsidRPr="00DB3579" w:rsidR="00036829">
        <w:rPr>
          <w:lang w:val="uk-UA"/>
        </w:rPr>
        <w:t xml:space="preserve"> Проте, у його справі, котра стосувалась діянь, ймовірно скоєних у Боснії і </w:t>
      </w:r>
      <w:r w:rsidRPr="00DB3579" w:rsidR="00162079">
        <w:rPr>
          <w:lang w:val="uk-UA"/>
        </w:rPr>
        <w:t>Герцеговині</w:t>
      </w:r>
      <w:r w:rsidRPr="00DB3579" w:rsidR="00036829">
        <w:rPr>
          <w:lang w:val="uk-UA"/>
        </w:rPr>
        <w:t xml:space="preserve">, усі </w:t>
      </w:r>
      <w:r w:rsidRPr="00DB3579" w:rsidR="00DE30EC">
        <w:rPr>
          <w:lang w:val="uk-UA"/>
        </w:rPr>
        <w:t>свідки знаходились переважно за</w:t>
      </w:r>
      <w:r w:rsidRPr="00DB3579" w:rsidR="00DB3579">
        <w:rPr>
          <w:lang w:val="uk-UA"/>
        </w:rPr>
        <w:t xml:space="preserve"> </w:t>
      </w:r>
      <w:r w:rsidRPr="00DB3579" w:rsidR="00036829">
        <w:rPr>
          <w:lang w:val="uk-UA"/>
        </w:rPr>
        <w:t>кордоном</w:t>
      </w:r>
      <w:r w:rsidRPr="00DB3579">
        <w:rPr>
          <w:lang w:val="uk-UA"/>
        </w:rPr>
        <w:t xml:space="preserve">. </w:t>
      </w:r>
      <w:r w:rsidRPr="00DB3579" w:rsidR="00036829">
        <w:rPr>
          <w:lang w:val="uk-UA"/>
        </w:rPr>
        <w:t>Отже</w:t>
      </w:r>
      <w:r w:rsidR="00036829">
        <w:rPr>
          <w:lang w:val="uk-UA"/>
        </w:rPr>
        <w:t>, застосування статті</w:t>
      </w:r>
      <w:r w:rsidRPr="00036829" w:rsidR="00036829">
        <w:rPr>
          <w:lang w:val="uk-UA"/>
        </w:rPr>
        <w:t xml:space="preserve"> 244 § 5 </w:t>
      </w:r>
      <w:r w:rsidR="00036829">
        <w:rPr>
          <w:lang w:val="uk-UA"/>
        </w:rPr>
        <w:t>Кримінально-процесуального кодексу було неправомірним</w:t>
      </w:r>
      <w:r w:rsidRPr="00036829">
        <w:rPr>
          <w:lang w:val="uk-UA"/>
        </w:rPr>
        <w:t xml:space="preserve">. </w:t>
      </w:r>
      <w:r w:rsidR="00036829">
        <w:rPr>
          <w:lang w:val="uk-UA"/>
        </w:rPr>
        <w:t>Якби апеляційний суд викликав названих ним свідків, то одразу б встановив, що свідки обвинувачення казали неправду щодо стверджуваних злочинів у Грабска</w:t>
      </w:r>
      <w:r w:rsidRPr="00036829">
        <w:rPr>
          <w:lang w:val="uk-UA"/>
        </w:rPr>
        <w:t>.</w:t>
      </w:r>
    </w:p>
    <w:p w:rsidRPr="009C2A9D" w:rsidR="00EA568A" w:rsidP="00EA568A" w:rsidRDefault="00EA568A">
      <w:pPr>
        <w:pStyle w:val="JuHA"/>
        <w:rPr>
          <w:lang w:val="uk-UA"/>
        </w:rPr>
      </w:pPr>
      <w:r w:rsidRPr="00705C57">
        <w:t>B.  </w:t>
      </w:r>
      <w:r w:rsidR="009C2A9D">
        <w:rPr>
          <w:lang w:val="uk-UA"/>
        </w:rPr>
        <w:t>Оцінка Суду</w:t>
      </w:r>
    </w:p>
    <w:p w:rsidRPr="00E72281" w:rsidR="00EA568A" w:rsidP="00EA568A" w:rsidRDefault="00EA568A">
      <w:pPr>
        <w:pStyle w:val="JuParaCharCharCharCharCharCharCharCharChar"/>
        <w:rPr>
          <w:lang w:val="uk-UA"/>
        </w:rPr>
      </w:pPr>
      <w:r w:rsidRPr="00B62174">
        <w:fldChar w:fldCharType="begin"/>
      </w:r>
      <w:r w:rsidRPr="00E72281">
        <w:rPr>
          <w:lang w:val="uk-UA"/>
        </w:rPr>
        <w:instrText xml:space="preserve"> </w:instrText>
      </w:r>
      <w:r w:rsidRPr="00B62174">
        <w:instrText>SEQ</w:instrText>
      </w:r>
      <w:r w:rsidRPr="00E72281">
        <w:rPr>
          <w:lang w:val="uk-UA"/>
        </w:rPr>
        <w:instrText xml:space="preserve"> </w:instrText>
      </w:r>
      <w:r w:rsidRPr="00B62174">
        <w:instrText>level</w:instrText>
      </w:r>
      <w:r w:rsidRPr="00E72281">
        <w:rPr>
          <w:lang w:val="uk-UA"/>
        </w:rPr>
        <w:instrText>0 \*</w:instrText>
      </w:r>
      <w:r w:rsidRPr="00B62174">
        <w:instrText>arabic</w:instrText>
      </w:r>
      <w:r w:rsidRPr="00E72281">
        <w:rPr>
          <w:lang w:val="uk-UA"/>
        </w:rPr>
        <w:instrText xml:space="preserve"> </w:instrText>
      </w:r>
      <w:r w:rsidRPr="00B62174">
        <w:fldChar w:fldCharType="separate"/>
      </w:r>
      <w:r w:rsidRPr="00E72281" w:rsidR="00142C04">
        <w:rPr>
          <w:noProof/>
          <w:lang w:val="uk-UA"/>
        </w:rPr>
        <w:t>81</w:t>
      </w:r>
      <w:r w:rsidRPr="00B62174">
        <w:fldChar w:fldCharType="end"/>
      </w:r>
      <w:r w:rsidRPr="00E72281">
        <w:rPr>
          <w:lang w:val="uk-UA"/>
        </w:rPr>
        <w:t>.</w:t>
      </w:r>
      <w:r w:rsidRPr="00B62174">
        <w:t>  </w:t>
      </w:r>
      <w:r w:rsidR="00036829">
        <w:rPr>
          <w:lang w:val="uk-UA"/>
        </w:rPr>
        <w:t xml:space="preserve">Суд у даній справі не вважає за потрібне розглядати заперечення Уряду щодо вичерпання національних засобів і статусу заявника як </w:t>
      </w:r>
      <w:r w:rsidR="00E72281">
        <w:rPr>
          <w:lang w:val="uk-UA"/>
        </w:rPr>
        <w:t>потерпілого</w:t>
      </w:r>
      <w:r w:rsidR="00036829">
        <w:rPr>
          <w:lang w:val="uk-UA"/>
        </w:rPr>
        <w:t xml:space="preserve">, оскільки, навіть якщо припустити, що заявник вичерпав національні засоби і міг стверджувати, що є </w:t>
      </w:r>
      <w:r w:rsidR="00E72281">
        <w:rPr>
          <w:lang w:val="uk-UA"/>
        </w:rPr>
        <w:t>потерпілим від</w:t>
      </w:r>
      <w:r w:rsidR="00036829">
        <w:rPr>
          <w:lang w:val="uk-UA"/>
        </w:rPr>
        <w:t xml:space="preserve"> порушення статті </w:t>
      </w:r>
      <w:r w:rsidRPr="00E72281">
        <w:rPr>
          <w:lang w:val="uk-UA"/>
        </w:rPr>
        <w:t xml:space="preserve">6 </w:t>
      </w:r>
      <w:r w:rsidR="00036829">
        <w:rPr>
          <w:lang w:val="uk-UA"/>
        </w:rPr>
        <w:t>Конвенції</w:t>
      </w:r>
      <w:r w:rsidRPr="00E72281">
        <w:rPr>
          <w:lang w:val="uk-UA"/>
        </w:rPr>
        <w:t>,</w:t>
      </w:r>
      <w:r w:rsidR="00036829">
        <w:rPr>
          <w:lang w:val="uk-UA"/>
        </w:rPr>
        <w:t xml:space="preserve"> Суд вважає, що</w:t>
      </w:r>
      <w:r w:rsidR="00C46773">
        <w:rPr>
          <w:lang w:val="uk-UA"/>
        </w:rPr>
        <w:t xml:space="preserve"> ця частина</w:t>
      </w:r>
      <w:r w:rsidR="00036829">
        <w:rPr>
          <w:lang w:val="uk-UA"/>
        </w:rPr>
        <w:t xml:space="preserve"> заяви у будь-якому випадку є неприйнятною з наведених нижче причин</w:t>
      </w:r>
      <w:r w:rsidRPr="00E72281">
        <w:rPr>
          <w:lang w:val="uk-UA"/>
        </w:rPr>
        <w:t>.</w:t>
      </w:r>
    </w:p>
    <w:p w:rsidRPr="009C2A9D" w:rsidR="00EA568A" w:rsidP="00EA568A" w:rsidRDefault="00EA568A">
      <w:pPr>
        <w:pStyle w:val="JuH1"/>
        <w:rPr>
          <w:lang w:val="uk-UA"/>
        </w:rPr>
      </w:pPr>
      <w:r>
        <w:t>1.  </w:t>
      </w:r>
      <w:r w:rsidR="009C2A9D">
        <w:rPr>
          <w:lang w:val="uk-UA"/>
        </w:rPr>
        <w:t>Загальні принципи</w:t>
      </w:r>
    </w:p>
    <w:p w:rsidRPr="00B17B82" w:rsidR="00EA568A" w:rsidP="00EA568A" w:rsidRDefault="00EA568A">
      <w:pPr>
        <w:pStyle w:val="JuPara"/>
      </w:pPr>
      <w:r w:rsidRPr="00B62174">
        <w:fldChar w:fldCharType="begin"/>
      </w:r>
      <w:r w:rsidRPr="00B62174">
        <w:instrText xml:space="preserve"> SEQ level0 \*arabic </w:instrText>
      </w:r>
      <w:r w:rsidRPr="00B62174">
        <w:fldChar w:fldCharType="separate"/>
      </w:r>
      <w:r w:rsidR="00142C04">
        <w:rPr>
          <w:noProof/>
        </w:rPr>
        <w:t>82</w:t>
      </w:r>
      <w:r w:rsidRPr="00B62174">
        <w:fldChar w:fldCharType="end"/>
      </w:r>
      <w:r w:rsidRPr="00B62174">
        <w:t>.  </w:t>
      </w:r>
      <w:r w:rsidR="00036829">
        <w:rPr>
          <w:lang w:val="uk-UA"/>
        </w:rPr>
        <w:t xml:space="preserve">Суд зазначає, що, за загальним правилом, саме національні суди повинні оцінювати надані їм докази, а також належність доказів, </w:t>
      </w:r>
      <w:r w:rsidR="001C2AA3">
        <w:rPr>
          <w:lang w:val="uk-UA"/>
        </w:rPr>
        <w:t>які підсудний бажає долучити</w:t>
      </w:r>
      <w:r>
        <w:t xml:space="preserve">. </w:t>
      </w:r>
      <w:r w:rsidR="001C2AA3">
        <w:rPr>
          <w:lang w:val="uk-UA"/>
        </w:rPr>
        <w:t xml:space="preserve">Точніше, стаття </w:t>
      </w:r>
      <w:r>
        <w:t>6 §</w:t>
      </w:r>
      <w:r w:rsidR="00077EA3">
        <w:t xml:space="preserve"> </w:t>
      </w:r>
      <w:r>
        <w:t>3</w:t>
      </w:r>
      <w:r w:rsidR="00077EA3">
        <w:t xml:space="preserve"> </w:t>
      </w:r>
      <w:r>
        <w:t>(d)</w:t>
      </w:r>
      <w:r w:rsidR="001C2AA3">
        <w:rPr>
          <w:lang w:val="uk-UA"/>
        </w:rPr>
        <w:t xml:space="preserve">, котра визначає </w:t>
      </w:r>
      <w:r w:rsidRPr="001C2AA3" w:rsidR="001C2AA3">
        <w:rPr>
          <w:rStyle w:val="hps"/>
          <w:lang w:val="uk-UA"/>
        </w:rPr>
        <w:t>конкретні</w:t>
      </w:r>
      <w:r w:rsidRPr="001C2AA3" w:rsidR="001C2AA3">
        <w:rPr>
          <w:rStyle w:val="longtext"/>
          <w:lang w:val="uk-UA"/>
        </w:rPr>
        <w:t xml:space="preserve"> </w:t>
      </w:r>
      <w:r w:rsidRPr="001C2AA3" w:rsidR="001C2AA3">
        <w:rPr>
          <w:rStyle w:val="hps"/>
          <w:lang w:val="uk-UA"/>
        </w:rPr>
        <w:t>аспекти</w:t>
      </w:r>
      <w:r w:rsidRPr="001C2AA3" w:rsidR="001C2AA3">
        <w:rPr>
          <w:rStyle w:val="longtext"/>
          <w:lang w:val="uk-UA"/>
        </w:rPr>
        <w:t xml:space="preserve"> </w:t>
      </w:r>
      <w:r w:rsidRPr="001C2AA3" w:rsidR="001C2AA3">
        <w:rPr>
          <w:rStyle w:val="hps"/>
          <w:lang w:val="uk-UA"/>
        </w:rPr>
        <w:t>загальної концепції</w:t>
      </w:r>
      <w:r w:rsidRPr="001C2AA3" w:rsidR="001C2AA3">
        <w:t xml:space="preserve"> </w:t>
      </w:r>
      <w:r w:rsidR="001C2AA3">
        <w:rPr>
          <w:lang w:val="uk-UA"/>
        </w:rPr>
        <w:t xml:space="preserve">справедливого суду, закріплені у статті </w:t>
      </w:r>
      <w:r>
        <w:t>6 §</w:t>
      </w:r>
      <w:r w:rsidR="00077EA3">
        <w:t xml:space="preserve"> </w:t>
      </w:r>
      <w:r>
        <w:t>1</w:t>
      </w:r>
      <w:r w:rsidR="001C2AA3">
        <w:rPr>
          <w:lang w:val="uk-UA"/>
        </w:rPr>
        <w:t>, в принципі залишає судам рішення, зокрема, щодо необхідності виклику певних свідків</w:t>
      </w:r>
      <w:r>
        <w:t xml:space="preserve">. </w:t>
      </w:r>
      <w:r w:rsidR="00C46773">
        <w:rPr>
          <w:lang w:val="uk-UA"/>
        </w:rPr>
        <w:t>Ц</w:t>
      </w:r>
      <w:r w:rsidR="001C2AA3">
        <w:rPr>
          <w:lang w:val="uk-UA"/>
        </w:rPr>
        <w:t xml:space="preserve">я стаття не вимагає виклик і допит усіх свідків, </w:t>
      </w:r>
      <w:r w:rsidR="00162079">
        <w:rPr>
          <w:lang w:val="uk-UA"/>
        </w:rPr>
        <w:t>вказаних</w:t>
      </w:r>
      <w:r w:rsidR="001C2AA3">
        <w:rPr>
          <w:lang w:val="uk-UA"/>
        </w:rPr>
        <w:t xml:space="preserve"> обвинуваченим</w:t>
      </w:r>
      <w:r>
        <w:t xml:space="preserve">. </w:t>
      </w:r>
      <w:r w:rsidR="001C2AA3">
        <w:rPr>
          <w:lang w:val="uk-UA"/>
        </w:rPr>
        <w:t xml:space="preserve">Проте, завданням Суду є перевірити, чи отримання і оцінка доказів порушували принцип повної «рівності сторін», роблячи весь розгляд справи несправедливим </w:t>
      </w:r>
      <w:r>
        <w:t>(</w:t>
      </w:r>
      <w:r w:rsidR="001C2AA3">
        <w:rPr>
          <w:lang w:val="uk-UA"/>
        </w:rPr>
        <w:t>див.</w:t>
      </w:r>
      <w:r>
        <w:t xml:space="preserve">, </w:t>
      </w:r>
      <w:r w:rsidRPr="00D26492">
        <w:rPr>
          <w:i/>
        </w:rPr>
        <w:t>inter alia</w:t>
      </w:r>
      <w:r>
        <w:t xml:space="preserve">, </w:t>
      </w:r>
      <w:r w:rsidRPr="00B17B82">
        <w:rPr>
          <w:i/>
        </w:rPr>
        <w:t xml:space="preserve">Vidal </w:t>
      </w:r>
      <w:r w:rsidR="001C2AA3">
        <w:rPr>
          <w:i/>
          <w:lang w:val="uk-UA"/>
        </w:rPr>
        <w:t>проти Бельгії</w:t>
      </w:r>
      <w:r w:rsidRPr="00B17B82">
        <w:t>, 22</w:t>
      </w:r>
      <w:r w:rsidRPr="00B17B82" w:rsidR="00077EA3">
        <w:t xml:space="preserve"> </w:t>
      </w:r>
      <w:r w:rsidR="001C2AA3">
        <w:rPr>
          <w:lang w:val="uk-UA"/>
        </w:rPr>
        <w:t>квітня</w:t>
      </w:r>
      <w:r w:rsidRPr="00B17B82">
        <w:t xml:space="preserve"> 1992</w:t>
      </w:r>
      <w:r w:rsidR="001C2AA3">
        <w:rPr>
          <w:lang w:val="uk-UA"/>
        </w:rPr>
        <w:t xml:space="preserve"> р.</w:t>
      </w:r>
      <w:r w:rsidRPr="00B17B82">
        <w:t xml:space="preserve">, </w:t>
      </w:r>
      <w:r w:rsidRPr="00B17B82" w:rsidR="00D732B3">
        <w:t xml:space="preserve">§ 33, </w:t>
      </w:r>
      <w:r w:rsidRPr="00B17B82">
        <w:t>Series</w:t>
      </w:r>
      <w:r w:rsidRPr="00B17B82" w:rsidR="00077EA3">
        <w:t xml:space="preserve"> </w:t>
      </w:r>
      <w:r w:rsidRPr="00B17B82">
        <w:t xml:space="preserve">A </w:t>
      </w:r>
      <w:r w:rsidR="001C2AA3">
        <w:rPr>
          <w:lang w:val="uk-UA"/>
        </w:rPr>
        <w:t>№</w:t>
      </w:r>
      <w:r w:rsidRPr="00B17B82" w:rsidR="00077EA3">
        <w:t xml:space="preserve"> </w:t>
      </w:r>
      <w:r w:rsidRPr="00B17B82">
        <w:t>235</w:t>
      </w:r>
      <w:r w:rsidRPr="00B17B82" w:rsidR="00D732B3">
        <w:t>-B</w:t>
      </w:r>
      <w:r w:rsidRPr="00B17B82">
        <w:t xml:space="preserve">, </w:t>
      </w:r>
      <w:r w:rsidR="001C2AA3">
        <w:rPr>
          <w:lang w:val="uk-UA"/>
        </w:rPr>
        <w:t>і</w:t>
      </w:r>
      <w:r w:rsidRPr="00B17B82">
        <w:t xml:space="preserve"> </w:t>
      </w:r>
      <w:r w:rsidRPr="00B17B82">
        <w:rPr>
          <w:i/>
        </w:rPr>
        <w:t xml:space="preserve">Heidegger </w:t>
      </w:r>
      <w:r w:rsidR="001C2AA3">
        <w:rPr>
          <w:i/>
          <w:lang w:val="uk-UA"/>
        </w:rPr>
        <w:t>проти Австрії</w:t>
      </w:r>
      <w:r w:rsidRPr="00B17B82">
        <w:t xml:space="preserve"> (dec.), </w:t>
      </w:r>
      <w:r w:rsidR="001C2AA3">
        <w:rPr>
          <w:lang w:val="uk-UA"/>
        </w:rPr>
        <w:t>№</w:t>
      </w:r>
      <w:r w:rsidRPr="00B17B82" w:rsidR="00077EA3">
        <w:t xml:space="preserve"> </w:t>
      </w:r>
      <w:r w:rsidRPr="00B17B82">
        <w:t>27077/95, 5</w:t>
      </w:r>
      <w:r w:rsidRPr="00B17B82" w:rsidR="00077EA3">
        <w:t xml:space="preserve"> </w:t>
      </w:r>
      <w:r w:rsidR="001C2AA3">
        <w:rPr>
          <w:lang w:val="uk-UA"/>
        </w:rPr>
        <w:t>жовтня</w:t>
      </w:r>
      <w:r w:rsidRPr="00B17B82">
        <w:t xml:space="preserve"> 1999</w:t>
      </w:r>
      <w:r w:rsidR="001C2AA3">
        <w:rPr>
          <w:lang w:val="uk-UA"/>
        </w:rPr>
        <w:t xml:space="preserve"> р.</w:t>
      </w:r>
      <w:r w:rsidRPr="00B17B82">
        <w:t>).</w:t>
      </w:r>
    </w:p>
    <w:p w:rsidRPr="001C2AA3" w:rsidR="00EA568A" w:rsidP="001C2AA3" w:rsidRDefault="00EA568A">
      <w:pPr>
        <w:pStyle w:val="JuPara"/>
        <w:rPr>
          <w:lang w:val="uk-UA"/>
        </w:rPr>
      </w:pPr>
      <w:r w:rsidRPr="00B17B82">
        <w:fldChar w:fldCharType="begin"/>
      </w:r>
      <w:r w:rsidRPr="00B17B82">
        <w:instrText xml:space="preserve"> SEQ level0 \*arabic </w:instrText>
      </w:r>
      <w:r w:rsidRPr="00B17B82">
        <w:fldChar w:fldCharType="separate"/>
      </w:r>
      <w:r w:rsidR="00142C04">
        <w:rPr>
          <w:noProof/>
        </w:rPr>
        <w:t>83</w:t>
      </w:r>
      <w:r w:rsidRPr="00B17B82">
        <w:fldChar w:fldCharType="end"/>
      </w:r>
      <w:r w:rsidRPr="00B17B82">
        <w:t>.  </w:t>
      </w:r>
      <w:r w:rsidR="001C2AA3">
        <w:rPr>
          <w:lang w:val="uk-UA"/>
        </w:rPr>
        <w:t>У справах, котрі засновані на індивідуальних заявах, абстрактна перевірка національного законодавства не є завданням Суд</w:t>
      </w:r>
      <w:r w:rsidR="00C46773">
        <w:rPr>
          <w:lang w:val="uk-UA"/>
        </w:rPr>
        <w:t>у</w:t>
      </w:r>
      <w:r w:rsidR="001C2AA3">
        <w:rPr>
          <w:lang w:val="uk-UA"/>
        </w:rPr>
        <w:t xml:space="preserve">, натомість, він має перевірити спосіб, у який </w:t>
      </w:r>
      <w:r w:rsidR="00714557">
        <w:rPr>
          <w:lang w:val="uk-UA"/>
        </w:rPr>
        <w:t xml:space="preserve">це законодавство за конкретних обставин було застосоване до заявника </w:t>
      </w:r>
      <w:r w:rsidRPr="00B17B82">
        <w:t>(</w:t>
      </w:r>
      <w:r w:rsidR="00714557">
        <w:rPr>
          <w:lang w:val="uk-UA"/>
        </w:rPr>
        <w:t>див.</w:t>
      </w:r>
      <w:r w:rsidRPr="00B17B82">
        <w:t xml:space="preserve">, </w:t>
      </w:r>
      <w:r w:rsidR="00714557">
        <w:rPr>
          <w:lang w:val="uk-UA"/>
        </w:rPr>
        <w:t>поміж іншими</w:t>
      </w:r>
      <w:r w:rsidRPr="00B17B82">
        <w:t xml:space="preserve">, </w:t>
      </w:r>
      <w:r w:rsidRPr="00B17B82">
        <w:rPr>
          <w:i/>
        </w:rPr>
        <w:t xml:space="preserve">Sahin </w:t>
      </w:r>
      <w:r w:rsidR="00714557">
        <w:rPr>
          <w:i/>
          <w:lang w:val="uk-UA"/>
        </w:rPr>
        <w:t>проти Німеччини</w:t>
      </w:r>
      <w:r w:rsidRPr="00B17B82">
        <w:t xml:space="preserve"> [</w:t>
      </w:r>
      <w:r w:rsidR="00714557">
        <w:rPr>
          <w:lang w:val="uk-UA"/>
        </w:rPr>
        <w:t>ВП</w:t>
      </w:r>
      <w:r w:rsidRPr="00B17B82">
        <w:t xml:space="preserve">], </w:t>
      </w:r>
      <w:r w:rsidR="00714557">
        <w:rPr>
          <w:lang w:val="uk-UA"/>
        </w:rPr>
        <w:t>№</w:t>
      </w:r>
      <w:r w:rsidRPr="00B17B82">
        <w:t> 30943/96, §</w:t>
      </w:r>
      <w:r w:rsidRPr="00B17B82" w:rsidR="00077EA3">
        <w:t xml:space="preserve"> </w:t>
      </w:r>
      <w:r w:rsidRPr="00B17B82">
        <w:t>87, ECHR</w:t>
      </w:r>
      <w:r w:rsidRPr="00B17B82" w:rsidR="00077EA3">
        <w:t xml:space="preserve"> </w:t>
      </w:r>
      <w:r w:rsidRPr="00B17B82">
        <w:t>2003-VII</w:t>
      </w:r>
      <w:r w:rsidRPr="00B17B82" w:rsidR="002310FF">
        <w:t>I</w:t>
      </w:r>
      <w:r w:rsidRPr="00B17B82">
        <w:t xml:space="preserve">, </w:t>
      </w:r>
      <w:r w:rsidR="00714557">
        <w:rPr>
          <w:lang w:val="uk-UA"/>
        </w:rPr>
        <w:t>і</w:t>
      </w:r>
      <w:r w:rsidRPr="00B17B82">
        <w:t xml:space="preserve"> </w:t>
      </w:r>
      <w:r w:rsidRPr="00B17B82">
        <w:rPr>
          <w:i/>
        </w:rPr>
        <w:t xml:space="preserve">Sommerfeld </w:t>
      </w:r>
      <w:r w:rsidR="00714557">
        <w:rPr>
          <w:i/>
          <w:lang w:val="uk-UA"/>
        </w:rPr>
        <w:t>проти Німеччини</w:t>
      </w:r>
      <w:r w:rsidRPr="00B17B82" w:rsidR="00714557">
        <w:t xml:space="preserve"> [</w:t>
      </w:r>
      <w:r w:rsidR="00714557">
        <w:rPr>
          <w:lang w:val="uk-UA"/>
        </w:rPr>
        <w:t>ВП</w:t>
      </w:r>
      <w:r w:rsidRPr="00B17B82" w:rsidR="00714557">
        <w:t xml:space="preserve">], </w:t>
      </w:r>
      <w:r w:rsidR="00714557">
        <w:rPr>
          <w:lang w:val="uk-UA"/>
        </w:rPr>
        <w:t>№</w:t>
      </w:r>
      <w:r w:rsidRPr="00B17B82" w:rsidR="00714557">
        <w:t> </w:t>
      </w:r>
      <w:r w:rsidRPr="00B17B82">
        <w:t> </w:t>
      </w:r>
      <w:r w:rsidRPr="00B17B82">
        <w:rPr>
          <w:noProof/>
        </w:rPr>
        <w:t>31871/96</w:t>
      </w:r>
      <w:r w:rsidRPr="00B17B82">
        <w:t>, §</w:t>
      </w:r>
      <w:r w:rsidRPr="00B17B82" w:rsidR="00077EA3">
        <w:t xml:space="preserve"> </w:t>
      </w:r>
      <w:r w:rsidRPr="00B17B82">
        <w:t>86, ECHR</w:t>
      </w:r>
      <w:r w:rsidRPr="00B17B82" w:rsidR="00077EA3">
        <w:t xml:space="preserve"> </w:t>
      </w:r>
      <w:r w:rsidRPr="00B17B82">
        <w:t>2003-VIII).</w:t>
      </w:r>
    </w:p>
    <w:p w:rsidRPr="009C2A9D" w:rsidR="00EA568A" w:rsidP="00EA568A" w:rsidRDefault="00EA568A">
      <w:pPr>
        <w:pStyle w:val="JuH1"/>
        <w:rPr>
          <w:lang w:val="uk-UA"/>
        </w:rPr>
      </w:pPr>
      <w:r>
        <w:t>2.  </w:t>
      </w:r>
      <w:r w:rsidR="009C2A9D">
        <w:rPr>
          <w:lang w:val="uk-UA"/>
        </w:rPr>
        <w:t>Застосування цих принципів до даної справи</w:t>
      </w:r>
    </w:p>
    <w:p w:rsidRPr="00761A37" w:rsidR="00EA568A" w:rsidP="00EA568A" w:rsidRDefault="00EA568A">
      <w:pPr>
        <w:pStyle w:val="JuPara"/>
        <w:rPr>
          <w:lang w:val="uk-UA"/>
        </w:rPr>
      </w:pPr>
      <w:r w:rsidRPr="00B62174">
        <w:fldChar w:fldCharType="begin"/>
      </w:r>
      <w:r w:rsidRPr="00761A37">
        <w:rPr>
          <w:lang w:val="uk-UA"/>
        </w:rPr>
        <w:instrText xml:space="preserve"> </w:instrText>
      </w:r>
      <w:r w:rsidRPr="00B62174">
        <w:instrText>SEQ</w:instrText>
      </w:r>
      <w:r w:rsidRPr="00761A37">
        <w:rPr>
          <w:lang w:val="uk-UA"/>
        </w:rPr>
        <w:instrText xml:space="preserve"> </w:instrText>
      </w:r>
      <w:r w:rsidRPr="00B62174">
        <w:instrText>level</w:instrText>
      </w:r>
      <w:r w:rsidRPr="00761A37">
        <w:rPr>
          <w:lang w:val="uk-UA"/>
        </w:rPr>
        <w:instrText>0 \*</w:instrText>
      </w:r>
      <w:r w:rsidRPr="00B62174">
        <w:instrText>arabic</w:instrText>
      </w:r>
      <w:r w:rsidRPr="00761A37">
        <w:rPr>
          <w:lang w:val="uk-UA"/>
        </w:rPr>
        <w:instrText xml:space="preserve"> </w:instrText>
      </w:r>
      <w:r w:rsidRPr="00B62174">
        <w:fldChar w:fldCharType="separate"/>
      </w:r>
      <w:r w:rsidRPr="00761A37" w:rsidR="00142C04">
        <w:rPr>
          <w:noProof/>
          <w:lang w:val="uk-UA"/>
        </w:rPr>
        <w:t>84</w:t>
      </w:r>
      <w:r w:rsidRPr="00B62174">
        <w:fldChar w:fldCharType="end"/>
      </w:r>
      <w:r w:rsidRPr="00761A37">
        <w:rPr>
          <w:lang w:val="uk-UA"/>
        </w:rPr>
        <w:t>.</w:t>
      </w:r>
      <w:r w:rsidRPr="00B62174">
        <w:t>  </w:t>
      </w:r>
      <w:r w:rsidR="00B00BF3">
        <w:rPr>
          <w:lang w:val="uk-UA"/>
        </w:rPr>
        <w:t>Отже, Суд має вирішити, чи застосування національними судами статті</w:t>
      </w:r>
      <w:r w:rsidRPr="00761A37" w:rsidR="00B00BF3">
        <w:rPr>
          <w:lang w:val="uk-UA"/>
        </w:rPr>
        <w:t xml:space="preserve"> 244 </w:t>
      </w:r>
      <w:r w:rsidR="00B00BF3">
        <w:rPr>
          <w:lang w:val="uk-UA"/>
        </w:rPr>
        <w:t xml:space="preserve">Кримінально-процесуального кодексу і їхня відмова викликати певних свідків, оглянути місце скоєння злочину або </w:t>
      </w:r>
      <w:r w:rsidR="00C46773">
        <w:rPr>
          <w:lang w:val="uk-UA"/>
        </w:rPr>
        <w:t>с</w:t>
      </w:r>
      <w:r w:rsidR="00B00BF3">
        <w:rPr>
          <w:lang w:val="uk-UA"/>
        </w:rPr>
        <w:t>класти топографічну карту</w:t>
      </w:r>
      <w:r w:rsidR="00761A37">
        <w:rPr>
          <w:lang w:val="uk-UA"/>
        </w:rPr>
        <w:t xml:space="preserve"> </w:t>
      </w:r>
      <w:r w:rsidR="00B00BF3">
        <w:rPr>
          <w:lang w:val="uk-UA"/>
        </w:rPr>
        <w:t>зробили весь розгляд справи несправедливим</w:t>
      </w:r>
      <w:r w:rsidRPr="00761A37">
        <w:rPr>
          <w:lang w:val="uk-UA"/>
        </w:rPr>
        <w:t>.</w:t>
      </w:r>
    </w:p>
    <w:p w:rsidRPr="00DB3579" w:rsidR="00EA568A" w:rsidP="00EA568A" w:rsidRDefault="00EA568A">
      <w:pPr>
        <w:pStyle w:val="JuPara"/>
        <w:rPr>
          <w:lang w:val="uk-UA"/>
        </w:rPr>
      </w:pPr>
      <w:r w:rsidRPr="00B62174">
        <w:fldChar w:fldCharType="begin"/>
      </w:r>
      <w:r w:rsidRPr="00B62174">
        <w:instrText xml:space="preserve"> SEQ level0 \*arabic </w:instrText>
      </w:r>
      <w:r w:rsidRPr="00B62174">
        <w:fldChar w:fldCharType="separate"/>
      </w:r>
      <w:r w:rsidR="00142C04">
        <w:rPr>
          <w:noProof/>
        </w:rPr>
        <w:t>85</w:t>
      </w:r>
      <w:r w:rsidRPr="00B62174">
        <w:fldChar w:fldCharType="end"/>
      </w:r>
      <w:r w:rsidRPr="00B62174">
        <w:t>.  </w:t>
      </w:r>
      <w:r w:rsidR="00B00BF3">
        <w:rPr>
          <w:lang w:val="uk-UA"/>
        </w:rPr>
        <w:t>На початку Суд зазначає, що сторони не оспорювали застосування статті</w:t>
      </w:r>
      <w:r w:rsidR="00B00BF3">
        <w:t xml:space="preserve"> </w:t>
      </w:r>
      <w:r w:rsidRPr="00705C57" w:rsidR="00B00BF3">
        <w:t xml:space="preserve">244 </w:t>
      </w:r>
      <w:r w:rsidR="00B00BF3">
        <w:rPr>
          <w:lang w:val="uk-UA"/>
        </w:rPr>
        <w:t>Кримінально-процесуального кодексу до всіх клопотань про виклик свідків</w:t>
      </w:r>
      <w:r w:rsidR="00B00BF3">
        <w:t xml:space="preserve"> </w:t>
      </w:r>
      <w:r w:rsidR="00B00BF3">
        <w:rPr>
          <w:lang w:val="uk-UA"/>
        </w:rPr>
        <w:t>або отримання інших доказів, незалежно від того, хто їх подає – обвинувачення чи захист</w:t>
      </w:r>
      <w:r>
        <w:t xml:space="preserve">. </w:t>
      </w:r>
      <w:r w:rsidR="00B00BF3">
        <w:rPr>
          <w:lang w:val="uk-UA"/>
        </w:rPr>
        <w:t xml:space="preserve">У справах, як ця, у яких злочин було скоєно поза </w:t>
      </w:r>
      <w:r w:rsidRPr="00DB3579" w:rsidR="00B00BF3">
        <w:rPr>
          <w:lang w:val="uk-UA"/>
        </w:rPr>
        <w:t>Німеччиною</w:t>
      </w:r>
      <w:r w:rsidRPr="00DB3579" w:rsidR="00DE30EC">
        <w:rPr>
          <w:lang w:val="uk-UA"/>
        </w:rPr>
        <w:t>,</w:t>
      </w:r>
      <w:r w:rsidRPr="00DB3579" w:rsidR="00B00BF3">
        <w:rPr>
          <w:lang w:val="uk-UA"/>
        </w:rPr>
        <w:t xml:space="preserve"> і у яких, як правило, буває необхідно отримати свідчення з-за кордону, її застосування не завжди </w:t>
      </w:r>
      <w:r w:rsidRPr="00DB3579" w:rsidR="003A0EB3">
        <w:rPr>
          <w:lang w:val="uk-UA"/>
        </w:rPr>
        <w:t>буде сприятливим для клопотань обвинувачення про отримання доказів</w:t>
      </w:r>
      <w:r w:rsidRPr="00DB3579">
        <w:t>.</w:t>
      </w:r>
      <w:r w:rsidRPr="00DB3579" w:rsidR="003A0EB3">
        <w:rPr>
          <w:lang w:val="uk-UA"/>
        </w:rPr>
        <w:t xml:space="preserve"> Окрім того,</w:t>
      </w:r>
      <w:r w:rsidR="00761A37">
        <w:rPr>
          <w:lang w:val="uk-UA"/>
        </w:rPr>
        <w:t xml:space="preserve"> </w:t>
      </w:r>
      <w:r w:rsidRPr="00DB3579" w:rsidR="003A0EB3">
        <w:rPr>
          <w:lang w:val="uk-UA"/>
        </w:rPr>
        <w:t>стаття</w:t>
      </w:r>
      <w:r w:rsidRPr="00DB3579" w:rsidR="00077EA3">
        <w:rPr>
          <w:lang w:val="uk-UA"/>
        </w:rPr>
        <w:t xml:space="preserve"> </w:t>
      </w:r>
      <w:r w:rsidRPr="00DB3579">
        <w:rPr>
          <w:lang w:val="uk-UA"/>
        </w:rPr>
        <w:t>244 §</w:t>
      </w:r>
      <w:r w:rsidRPr="00DB3579" w:rsidR="00077EA3">
        <w:rPr>
          <w:lang w:val="uk-UA"/>
        </w:rPr>
        <w:t xml:space="preserve"> </w:t>
      </w:r>
      <w:r w:rsidRPr="00DB3579">
        <w:rPr>
          <w:lang w:val="uk-UA"/>
        </w:rPr>
        <w:t xml:space="preserve">5, </w:t>
      </w:r>
      <w:r w:rsidRPr="00DB3579" w:rsidR="003A0EB3">
        <w:rPr>
          <w:lang w:val="uk-UA"/>
        </w:rPr>
        <w:t>друге речення</w:t>
      </w:r>
      <w:r w:rsidRPr="00DB3579">
        <w:rPr>
          <w:lang w:val="uk-UA"/>
        </w:rPr>
        <w:t xml:space="preserve">, </w:t>
      </w:r>
      <w:r w:rsidRPr="00DB3579" w:rsidR="003A0EB3">
        <w:rPr>
          <w:lang w:val="uk-UA"/>
        </w:rPr>
        <w:t>Кримінально-процесуального кодексу запроваджує спеціальні умови для відхилення клопотання про допит свідка, як від обвинувачення, так і від захисту,</w:t>
      </w:r>
      <w:r w:rsidRPr="00DB3579" w:rsidR="00DE30EC">
        <w:rPr>
          <w:lang w:val="uk-UA"/>
        </w:rPr>
        <w:t xml:space="preserve"> котрого треба буде допитати за</w:t>
      </w:r>
      <w:r w:rsidRPr="00DB3579" w:rsidR="00DB3579">
        <w:rPr>
          <w:lang w:val="uk-UA"/>
        </w:rPr>
        <w:t xml:space="preserve"> </w:t>
      </w:r>
      <w:r w:rsidRPr="00DB3579" w:rsidR="003A0EB3">
        <w:rPr>
          <w:lang w:val="uk-UA"/>
        </w:rPr>
        <w:t>кордоном</w:t>
      </w:r>
      <w:r w:rsidRPr="00DB3579">
        <w:rPr>
          <w:lang w:val="uk-UA"/>
        </w:rPr>
        <w:t xml:space="preserve">. </w:t>
      </w:r>
      <w:r w:rsidRPr="00DB3579" w:rsidR="003A0EB3">
        <w:rPr>
          <w:lang w:val="uk-UA"/>
        </w:rPr>
        <w:t>Дійсно, ці умови менш суворі, ніж умови для відхилення клопотання про допит свідка, якого мо</w:t>
      </w:r>
      <w:r w:rsidRPr="00DB3579" w:rsidR="00C46773">
        <w:rPr>
          <w:lang w:val="uk-UA"/>
        </w:rPr>
        <w:t>ж</w:t>
      </w:r>
      <w:r w:rsidRPr="00DB3579" w:rsidR="003A0EB3">
        <w:rPr>
          <w:lang w:val="uk-UA"/>
        </w:rPr>
        <w:t>на допитати у Німеччині</w:t>
      </w:r>
      <w:r w:rsidRPr="00DB3579">
        <w:rPr>
          <w:lang w:val="uk-UA"/>
        </w:rPr>
        <w:t xml:space="preserve">. </w:t>
      </w:r>
      <w:r w:rsidRPr="00DB3579" w:rsidR="003A0EB3">
        <w:rPr>
          <w:lang w:val="uk-UA"/>
        </w:rPr>
        <w:t xml:space="preserve">Проте, такі свідчення не </w:t>
      </w:r>
      <w:r w:rsidRPr="00DB3579" w:rsidR="00162079">
        <w:rPr>
          <w:lang w:val="uk-UA"/>
        </w:rPr>
        <w:t>вважаються</w:t>
      </w:r>
      <w:r w:rsidRPr="00DB3579" w:rsidR="003A0EB3">
        <w:rPr>
          <w:lang w:val="uk-UA"/>
        </w:rPr>
        <w:t xml:space="preserve"> автоматично</w:t>
      </w:r>
      <w:r w:rsidRPr="00DB3579" w:rsidR="00C46773">
        <w:rPr>
          <w:lang w:val="uk-UA"/>
        </w:rPr>
        <w:t xml:space="preserve"> </w:t>
      </w:r>
      <w:r w:rsidRPr="00DB3579" w:rsidR="003A0EB3">
        <w:rPr>
          <w:lang w:val="uk-UA"/>
        </w:rPr>
        <w:t>доказами,</w:t>
      </w:r>
      <w:r w:rsidRPr="00DB3579" w:rsidR="00C46773">
        <w:rPr>
          <w:lang w:val="uk-UA"/>
        </w:rPr>
        <w:t xml:space="preserve"> </w:t>
      </w:r>
      <w:r w:rsidRPr="00DB3579" w:rsidR="003A0EB3">
        <w:rPr>
          <w:lang w:val="uk-UA"/>
        </w:rPr>
        <w:t>які неможливо отримати</w:t>
      </w:r>
      <w:r w:rsidRPr="00DB3579">
        <w:rPr>
          <w:lang w:val="uk-UA"/>
        </w:rPr>
        <w:t xml:space="preserve">. </w:t>
      </w:r>
      <w:r w:rsidRPr="00DB3579" w:rsidR="003A0EB3">
        <w:rPr>
          <w:lang w:val="uk-UA"/>
        </w:rPr>
        <w:t xml:space="preserve">Суди, роблячи попередню оцінку наданих їм доказів, можуть вирішити, що допит такого свідка є необхідним для встановлення істини </w:t>
      </w:r>
      <w:r w:rsidRPr="00DB3579">
        <w:rPr>
          <w:lang w:val="uk-UA"/>
        </w:rPr>
        <w:t>(</w:t>
      </w:r>
      <w:r w:rsidRPr="00DB3579" w:rsidR="003A0EB3">
        <w:rPr>
          <w:lang w:val="uk-UA"/>
        </w:rPr>
        <w:t>див. вище параграф</w:t>
      </w:r>
      <w:r w:rsidRPr="00DB3579" w:rsidR="00077EA3">
        <w:rPr>
          <w:lang w:val="uk-UA"/>
        </w:rPr>
        <w:t xml:space="preserve"> </w:t>
      </w:r>
      <w:r w:rsidRPr="00DB3579">
        <w:rPr>
          <w:lang w:val="uk-UA"/>
        </w:rPr>
        <w:t>39).</w:t>
      </w:r>
    </w:p>
    <w:p w:rsidRPr="00941844" w:rsidR="00EA568A" w:rsidP="00941844" w:rsidRDefault="00EA568A">
      <w:pPr>
        <w:pStyle w:val="JuPara"/>
        <w:rPr>
          <w:lang w:val="uk-UA"/>
        </w:rPr>
      </w:pPr>
      <w:r w:rsidRPr="00DB3579">
        <w:fldChar w:fldCharType="begin"/>
      </w:r>
      <w:r w:rsidRPr="00DB3579">
        <w:rPr>
          <w:lang w:val="uk-UA"/>
        </w:rPr>
        <w:instrText xml:space="preserve"> </w:instrText>
      </w:r>
      <w:r w:rsidRPr="00DB3579">
        <w:instrText>SEQ</w:instrText>
      </w:r>
      <w:r w:rsidRPr="00DB3579">
        <w:rPr>
          <w:lang w:val="uk-UA"/>
        </w:rPr>
        <w:instrText xml:space="preserve"> </w:instrText>
      </w:r>
      <w:r w:rsidRPr="00DB3579">
        <w:instrText>level</w:instrText>
      </w:r>
      <w:r w:rsidRPr="00DB3579">
        <w:rPr>
          <w:lang w:val="uk-UA"/>
        </w:rPr>
        <w:instrText>0 \*</w:instrText>
      </w:r>
      <w:r w:rsidRPr="00DB3579">
        <w:instrText>arabic</w:instrText>
      </w:r>
      <w:r w:rsidRPr="00DB3579">
        <w:rPr>
          <w:lang w:val="uk-UA"/>
        </w:rPr>
        <w:instrText xml:space="preserve"> </w:instrText>
      </w:r>
      <w:r w:rsidRPr="00DB3579">
        <w:fldChar w:fldCharType="separate"/>
      </w:r>
      <w:r w:rsidRPr="00DB3579" w:rsidR="00142C04">
        <w:rPr>
          <w:noProof/>
          <w:lang w:val="uk-UA"/>
        </w:rPr>
        <w:t>86</w:t>
      </w:r>
      <w:r w:rsidRPr="00DB3579">
        <w:fldChar w:fldCharType="end"/>
      </w:r>
      <w:r w:rsidRPr="00DB3579">
        <w:rPr>
          <w:lang w:val="uk-UA"/>
        </w:rPr>
        <w:t>.</w:t>
      </w:r>
      <w:r w:rsidRPr="00DB3579">
        <w:t>  </w:t>
      </w:r>
      <w:r w:rsidRPr="00DB3579" w:rsidR="00A743C8">
        <w:rPr>
          <w:lang w:val="uk-UA"/>
        </w:rPr>
        <w:t>Суд далі зазначає, що апеляційний суд, діючи як суд першої інстанції, відмовився викликати двадцять вісім названих заявником свідків, котрі мешкали у Боснії, а натомість заслухав шістьох свідків обвину</w:t>
      </w:r>
      <w:r w:rsidRPr="00DB3579" w:rsidR="00DE30EC">
        <w:rPr>
          <w:lang w:val="uk-UA"/>
        </w:rPr>
        <w:t>вачення, котрі були допитані за</w:t>
      </w:r>
      <w:r w:rsidRPr="00DB3579" w:rsidR="00DB3579">
        <w:rPr>
          <w:lang w:val="uk-UA"/>
        </w:rPr>
        <w:t xml:space="preserve"> </w:t>
      </w:r>
      <w:r w:rsidRPr="00DB3579" w:rsidR="00A743C8">
        <w:rPr>
          <w:lang w:val="uk-UA"/>
        </w:rPr>
        <w:t>кордоном.</w:t>
      </w:r>
      <w:r w:rsidRPr="00DB3579">
        <w:rPr>
          <w:lang w:val="uk-UA"/>
        </w:rPr>
        <w:t xml:space="preserve"> </w:t>
      </w:r>
      <w:r w:rsidRPr="00DB3579" w:rsidR="00A743C8">
        <w:rPr>
          <w:lang w:val="uk-UA"/>
        </w:rPr>
        <w:t>Проте</w:t>
      </w:r>
      <w:r w:rsidR="00A743C8">
        <w:rPr>
          <w:lang w:val="uk-UA"/>
        </w:rPr>
        <w:t xml:space="preserve">, </w:t>
      </w:r>
      <w:r w:rsidR="00941844">
        <w:rPr>
          <w:lang w:val="uk-UA"/>
        </w:rPr>
        <w:t xml:space="preserve">сам цей факт не дозволяє зробити висновок про порушення принципу рівності сторін або права заявника на виклик свідків, і </w:t>
      </w:r>
      <w:r w:rsidR="00DE30EC">
        <w:rPr>
          <w:lang w:val="uk-UA"/>
        </w:rPr>
        <w:t xml:space="preserve">відповідно, що розгляд справи </w:t>
      </w:r>
      <w:r w:rsidRPr="00DB3579" w:rsidR="00DE30EC">
        <w:rPr>
          <w:lang w:val="uk-UA"/>
        </w:rPr>
        <w:t>в</w:t>
      </w:r>
      <w:r w:rsidRPr="00DB3579" w:rsidR="00DB3579">
        <w:rPr>
          <w:lang w:val="uk-UA"/>
        </w:rPr>
        <w:t xml:space="preserve"> </w:t>
      </w:r>
      <w:r w:rsidRPr="00DB3579" w:rsidR="00941844">
        <w:rPr>
          <w:lang w:val="uk-UA"/>
        </w:rPr>
        <w:t>цілому був несправедливим</w:t>
      </w:r>
      <w:r w:rsidRPr="00DB3579">
        <w:rPr>
          <w:lang w:val="uk-UA"/>
        </w:rPr>
        <w:t>.</w:t>
      </w:r>
      <w:r w:rsidRPr="00DB3579" w:rsidR="00941844">
        <w:rPr>
          <w:lang w:val="uk-UA"/>
        </w:rPr>
        <w:t xml:space="preserve"> Щодо цього Суд зазначає, зокрема, що апеляційний суд, надаючи детальне мотивування відмови долучити нові докази, переконався, що письмові свідчення </w:t>
      </w:r>
      <w:r w:rsidRPr="00DB3579" w:rsidR="00162079">
        <w:rPr>
          <w:lang w:val="uk-UA"/>
        </w:rPr>
        <w:t>принаймні</w:t>
      </w:r>
      <w:r w:rsidRPr="00DB3579" w:rsidR="00941844">
        <w:rPr>
          <w:lang w:val="uk-UA"/>
        </w:rPr>
        <w:t xml:space="preserve"> семи із згаданих двадцяти восьми свідків</w:t>
      </w:r>
      <w:r w:rsidRPr="00DB3579">
        <w:rPr>
          <w:lang w:val="uk-UA"/>
        </w:rPr>
        <w:t xml:space="preserve"> </w:t>
      </w:r>
      <w:r w:rsidRPr="00DB3579" w:rsidR="00941844">
        <w:rPr>
          <w:lang w:val="uk-UA"/>
        </w:rPr>
        <w:t>доводять той с</w:t>
      </w:r>
      <w:r w:rsidRPr="00DB3579" w:rsidR="00C46773">
        <w:rPr>
          <w:lang w:val="uk-UA"/>
        </w:rPr>
        <w:t>а</w:t>
      </w:r>
      <w:r w:rsidRPr="00DB3579" w:rsidR="00941844">
        <w:rPr>
          <w:lang w:val="uk-UA"/>
        </w:rPr>
        <w:t xml:space="preserve">мий факт </w:t>
      </w:r>
      <w:r w:rsidRPr="00DB3579">
        <w:rPr>
          <w:lang w:val="uk-UA"/>
        </w:rPr>
        <w:t>(</w:t>
      </w:r>
      <w:r w:rsidRPr="00DB3579" w:rsidR="00941844">
        <w:rPr>
          <w:lang w:val="uk-UA"/>
        </w:rPr>
        <w:t>зокрема, перебування заявника під вартою на момент скоєння злочину</w:t>
      </w:r>
      <w:r w:rsidRPr="00DB3579">
        <w:rPr>
          <w:lang w:val="uk-UA"/>
        </w:rPr>
        <w:t>)</w:t>
      </w:r>
      <w:r w:rsidRPr="00DB3579" w:rsidR="00941844">
        <w:rPr>
          <w:lang w:val="uk-UA"/>
        </w:rPr>
        <w:t>, перш ніж вирішити, що свідчення усіх двадцяти восьми свідків мати</w:t>
      </w:r>
      <w:r w:rsidRPr="00DB3579" w:rsidR="00C46773">
        <w:rPr>
          <w:lang w:val="uk-UA"/>
        </w:rPr>
        <w:t>м</w:t>
      </w:r>
      <w:r w:rsidRPr="00DB3579" w:rsidR="00941844">
        <w:rPr>
          <w:lang w:val="uk-UA"/>
        </w:rPr>
        <w:t>уть малу доказову цінність і</w:t>
      </w:r>
      <w:r w:rsidR="00761A37">
        <w:rPr>
          <w:lang w:val="uk-UA"/>
        </w:rPr>
        <w:t xml:space="preserve"> </w:t>
      </w:r>
      <w:r w:rsidRPr="00DB3579" w:rsidR="00941844">
        <w:rPr>
          <w:lang w:val="uk-UA"/>
        </w:rPr>
        <w:t xml:space="preserve">не матимуть значення </w:t>
      </w:r>
      <w:r w:rsidRPr="00DB3579" w:rsidR="00C46773">
        <w:rPr>
          <w:lang w:val="uk-UA"/>
        </w:rPr>
        <w:t>дл</w:t>
      </w:r>
      <w:r w:rsidRPr="00DB3579" w:rsidR="00941844">
        <w:rPr>
          <w:lang w:val="uk-UA"/>
        </w:rPr>
        <w:t>я ухвалення рішення у справі</w:t>
      </w:r>
      <w:r w:rsidRPr="00DB3579">
        <w:rPr>
          <w:lang w:val="uk-UA"/>
        </w:rPr>
        <w:t xml:space="preserve">. </w:t>
      </w:r>
      <w:r w:rsidRPr="00DB3579" w:rsidR="00941844">
        <w:rPr>
          <w:lang w:val="uk-UA"/>
        </w:rPr>
        <w:t xml:space="preserve">Суд зазначає, що апеляційний суд, відхиляючи клопотання заявника про виклик цих свідків, вже заслухав свідчення більш ніж двадцяти свідків, включаючи двох журналістів, котрі не постраждали від злочинів, у яких обвинувачувався заявник </w:t>
      </w:r>
      <w:r w:rsidRPr="00DB3579">
        <w:rPr>
          <w:lang w:val="uk-UA"/>
        </w:rPr>
        <w:t>(</w:t>
      </w:r>
      <w:r w:rsidRPr="00DB3579" w:rsidR="00941844">
        <w:rPr>
          <w:lang w:val="uk-UA"/>
        </w:rPr>
        <w:t>і, отже, могли за загальним правилом вважатись особливо достовірними</w:t>
      </w:r>
      <w:r w:rsidRPr="00DB3579">
        <w:rPr>
          <w:lang w:val="uk-UA"/>
        </w:rPr>
        <w:t xml:space="preserve">). </w:t>
      </w:r>
      <w:r w:rsidRPr="00DB3579" w:rsidR="00941844">
        <w:rPr>
          <w:lang w:val="uk-UA"/>
        </w:rPr>
        <w:t>Ці свідки, яких заявник міг п</w:t>
      </w:r>
      <w:r w:rsidRPr="00DB3579" w:rsidR="00C46773">
        <w:rPr>
          <w:lang w:val="uk-UA"/>
        </w:rPr>
        <w:t>е</w:t>
      </w:r>
      <w:r w:rsidRPr="00DB3579" w:rsidR="00941844">
        <w:rPr>
          <w:lang w:val="uk-UA"/>
        </w:rPr>
        <w:t>рехресно допитати, усі стверджували, що бачили заявника поза тюрмою</w:t>
      </w:r>
      <w:r w:rsidRPr="00DB3579" w:rsidR="002640C9">
        <w:rPr>
          <w:lang w:val="uk-UA"/>
        </w:rPr>
        <w:t xml:space="preserve"> в той час, коли він, за власним твердженням, перебував під вартою</w:t>
      </w:r>
      <w:r w:rsidRPr="00DB3579">
        <w:rPr>
          <w:lang w:val="uk-UA"/>
        </w:rPr>
        <w:t xml:space="preserve">. </w:t>
      </w:r>
      <w:r w:rsidRPr="00DB3579" w:rsidR="002640C9">
        <w:rPr>
          <w:lang w:val="uk-UA"/>
        </w:rPr>
        <w:t xml:space="preserve">За таких обставин, Суд не може вважати, що національні суди діяли неправомірно, вирішуючи, що </w:t>
      </w:r>
      <w:r w:rsidRPr="00DB3579" w:rsidR="00DE30EC">
        <w:rPr>
          <w:lang w:val="uk-UA"/>
        </w:rPr>
        <w:t xml:space="preserve">свідчення, названих заявником свідків не є належними </w:t>
      </w:r>
      <w:r w:rsidRPr="00DB3579" w:rsidR="002640C9">
        <w:rPr>
          <w:lang w:val="uk-UA"/>
        </w:rPr>
        <w:t>на доказ того, що він перебував під вартою на час скоєння злочину</w:t>
      </w:r>
      <w:r w:rsidRPr="00DB3579">
        <w:rPr>
          <w:lang w:val="uk-UA"/>
        </w:rPr>
        <w:t xml:space="preserve">. </w:t>
      </w:r>
      <w:r w:rsidRPr="00DB3579" w:rsidR="002640C9">
        <w:rPr>
          <w:lang w:val="uk-UA"/>
        </w:rPr>
        <w:t xml:space="preserve">Отже, Суд не вбачає жодних ознак того, що </w:t>
      </w:r>
      <w:r w:rsidRPr="00DB3579" w:rsidR="00162079">
        <w:rPr>
          <w:lang w:val="uk-UA"/>
        </w:rPr>
        <w:t>розгляд</w:t>
      </w:r>
      <w:r w:rsidRPr="00DB3579" w:rsidR="00DE30EC">
        <w:rPr>
          <w:lang w:val="uk-UA"/>
        </w:rPr>
        <w:t xml:space="preserve"> справи проти заявника був в</w:t>
      </w:r>
      <w:r w:rsidRPr="00DB3579" w:rsidR="00DB3579">
        <w:rPr>
          <w:lang w:val="uk-UA"/>
        </w:rPr>
        <w:t xml:space="preserve"> </w:t>
      </w:r>
      <w:r w:rsidRPr="00DB3579" w:rsidR="002640C9">
        <w:rPr>
          <w:lang w:val="uk-UA"/>
        </w:rPr>
        <w:t>цілому несправедливим</w:t>
      </w:r>
      <w:r w:rsidRPr="002640C9">
        <w:rPr>
          <w:lang w:val="uk-UA"/>
        </w:rPr>
        <w:t>.</w:t>
      </w:r>
    </w:p>
    <w:p w:rsidRPr="00705C57" w:rsidR="00EA568A" w:rsidP="00EA568A" w:rsidRDefault="00EA568A">
      <w:pPr>
        <w:pStyle w:val="JuPara"/>
      </w:pPr>
      <w:r w:rsidRPr="00B62174">
        <w:fldChar w:fldCharType="begin"/>
      </w:r>
      <w:r w:rsidRPr="00B62174">
        <w:instrText xml:space="preserve"> SEQ level0 \*arabic </w:instrText>
      </w:r>
      <w:r w:rsidRPr="00B62174">
        <w:fldChar w:fldCharType="separate"/>
      </w:r>
      <w:r w:rsidR="00142C04">
        <w:rPr>
          <w:noProof/>
        </w:rPr>
        <w:t>87</w:t>
      </w:r>
      <w:r w:rsidRPr="00B62174">
        <w:fldChar w:fldCharType="end"/>
      </w:r>
      <w:r w:rsidRPr="00B62174">
        <w:t>.  </w:t>
      </w:r>
      <w:r w:rsidR="00DA38B2">
        <w:rPr>
          <w:lang w:val="uk-UA"/>
        </w:rPr>
        <w:t>Стосовно скарги заявника щодо відмови апеляційного суду оглянути можливе місце скоєння злочину у Грабска або скласти топографічну карту з метою доведення неправдивості свідчень про ймовірні діяння, Суд вважає, що апеляційний суд належно обґрунтував своє рішення, у якому назвав ці докази такими, що не можуть бути отримані</w:t>
      </w:r>
      <w:r w:rsidRPr="00705C57">
        <w:t xml:space="preserve">. </w:t>
      </w:r>
      <w:r w:rsidR="00DA38B2">
        <w:rPr>
          <w:lang w:val="uk-UA"/>
        </w:rPr>
        <w:t>З огляду на той факт, що апеляційний суд мав відеозапис відповідної місцевості, і що заявник</w:t>
      </w:r>
      <w:r w:rsidR="00004DF7">
        <w:rPr>
          <w:lang w:val="uk-UA"/>
        </w:rPr>
        <w:t xml:space="preserve"> міг перевірити переконливість доказів стосовно згаданих діянь, Суд не вбачає жодних ознак того, що відмова долучити додаткові докази була несумісною зі статтею</w:t>
      </w:r>
      <w:r w:rsidR="00DA38B2">
        <w:rPr>
          <w:lang w:val="uk-UA"/>
        </w:rPr>
        <w:t xml:space="preserve"> </w:t>
      </w:r>
      <w:r w:rsidRPr="00705C57">
        <w:t>6 §§</w:t>
      </w:r>
      <w:r w:rsidR="00077EA3">
        <w:t xml:space="preserve"> </w:t>
      </w:r>
      <w:r w:rsidRPr="00705C57">
        <w:t xml:space="preserve">1 </w:t>
      </w:r>
      <w:r w:rsidR="00004DF7">
        <w:rPr>
          <w:lang w:val="uk-UA"/>
        </w:rPr>
        <w:t>і</w:t>
      </w:r>
      <w:r w:rsidRPr="00705C57">
        <w:t xml:space="preserve"> 3.</w:t>
      </w:r>
    </w:p>
    <w:p w:rsidRPr="00705C57" w:rsidR="00EA568A" w:rsidP="00EA568A" w:rsidRDefault="00EA568A">
      <w:pPr>
        <w:pStyle w:val="JuPara"/>
      </w:pPr>
      <w:r w:rsidRPr="00B62174">
        <w:fldChar w:fldCharType="begin"/>
      </w:r>
      <w:r w:rsidRPr="00B62174">
        <w:instrText xml:space="preserve"> SEQ level0 \*arabic </w:instrText>
      </w:r>
      <w:r w:rsidRPr="00B62174">
        <w:fldChar w:fldCharType="separate"/>
      </w:r>
      <w:r w:rsidR="00142C04">
        <w:rPr>
          <w:noProof/>
        </w:rPr>
        <w:t>88</w:t>
      </w:r>
      <w:r w:rsidRPr="00B62174">
        <w:fldChar w:fldCharType="end"/>
      </w:r>
      <w:r w:rsidRPr="00B62174">
        <w:t>.  </w:t>
      </w:r>
      <w:r w:rsidR="00004DF7">
        <w:rPr>
          <w:lang w:val="uk-UA"/>
        </w:rPr>
        <w:t xml:space="preserve">Відповідно, скарга заявника за статтею </w:t>
      </w:r>
      <w:r>
        <w:t>6 §§</w:t>
      </w:r>
      <w:r w:rsidR="00077EA3">
        <w:t xml:space="preserve"> 1 </w:t>
      </w:r>
      <w:r w:rsidR="00004DF7">
        <w:rPr>
          <w:lang w:val="uk-UA"/>
        </w:rPr>
        <w:t>і</w:t>
      </w:r>
      <w:r w:rsidR="00077EA3">
        <w:t> </w:t>
      </w:r>
      <w:r>
        <w:t>3</w:t>
      </w:r>
      <w:r w:rsidR="00077EA3">
        <w:t> </w:t>
      </w:r>
      <w:r w:rsidRPr="00705C57">
        <w:t xml:space="preserve">(d) </w:t>
      </w:r>
      <w:r w:rsidR="00004DF7">
        <w:rPr>
          <w:lang w:val="uk-UA"/>
        </w:rPr>
        <w:t>Конвенції ма</w:t>
      </w:r>
      <w:r w:rsidR="008F6C1B">
        <w:rPr>
          <w:lang w:val="uk-UA"/>
        </w:rPr>
        <w:t xml:space="preserve">є </w:t>
      </w:r>
      <w:r w:rsidR="00004DF7">
        <w:rPr>
          <w:lang w:val="uk-UA"/>
        </w:rPr>
        <w:t xml:space="preserve">бути відхилена як </w:t>
      </w:r>
      <w:r w:rsidR="008F6C1B">
        <w:rPr>
          <w:lang w:val="uk-UA"/>
        </w:rPr>
        <w:t>явно необґрунтован</w:t>
      </w:r>
      <w:r w:rsidR="00004DF7">
        <w:rPr>
          <w:lang w:val="uk-UA"/>
        </w:rPr>
        <w:t>а</w:t>
      </w:r>
      <w:r w:rsidR="008F6C1B">
        <w:rPr>
          <w:lang w:val="uk-UA"/>
        </w:rPr>
        <w:t xml:space="preserve"> в розумінні статті </w:t>
      </w:r>
      <w:r w:rsidRPr="00705C57">
        <w:t>3</w:t>
      </w:r>
      <w:r>
        <w:t>5 §§</w:t>
      </w:r>
      <w:r w:rsidR="00077EA3">
        <w:t xml:space="preserve"> </w:t>
      </w:r>
      <w:r>
        <w:t xml:space="preserve">3 </w:t>
      </w:r>
      <w:r w:rsidR="00004DF7">
        <w:rPr>
          <w:lang w:val="uk-UA"/>
        </w:rPr>
        <w:t>і</w:t>
      </w:r>
      <w:r>
        <w:t xml:space="preserve"> 4 </w:t>
      </w:r>
      <w:r w:rsidR="00004DF7">
        <w:rPr>
          <w:lang w:val="uk-UA"/>
        </w:rPr>
        <w:t>Конвенції</w:t>
      </w:r>
      <w:r>
        <w:t>.</w:t>
      </w:r>
    </w:p>
    <w:p w:rsidRPr="009C2A9D" w:rsidR="00F71A6A" w:rsidRDefault="000E7D49">
      <w:pPr>
        <w:pStyle w:val="JuHIRoman"/>
        <w:rPr>
          <w:lang w:val="uk-UA"/>
        </w:rPr>
      </w:pPr>
      <w:r>
        <w:t>III</w:t>
      </w:r>
      <w:r w:rsidRPr="00B62174" w:rsidR="00F71A6A">
        <w:t>.  </w:t>
      </w:r>
      <w:r w:rsidR="009C2A9D">
        <w:rPr>
          <w:lang w:val="uk-UA"/>
        </w:rPr>
        <w:t>СТВЕРДЖУВАНЕ ПОРУШЕННЯ СТАТТІ</w:t>
      </w:r>
      <w:r w:rsidRPr="00B62174" w:rsidR="00F71A6A">
        <w:t xml:space="preserve"> </w:t>
      </w:r>
      <w:r>
        <w:t>7</w:t>
      </w:r>
      <w:r w:rsidRPr="00B62174" w:rsidR="00F71A6A">
        <w:t xml:space="preserve"> </w:t>
      </w:r>
      <w:r w:rsidR="009C2A9D">
        <w:rPr>
          <w:lang w:val="uk-UA"/>
        </w:rPr>
        <w:t>КОНВЕНЦІЇ</w:t>
      </w:r>
    </w:p>
    <w:p w:rsidR="00A4043D" w:rsidP="00A4043D" w:rsidRDefault="006A0CFD">
      <w:pPr>
        <w:pStyle w:val="JuPara"/>
      </w:pPr>
      <w:r w:rsidRPr="00B62174">
        <w:fldChar w:fldCharType="begin"/>
      </w:r>
      <w:r w:rsidRPr="00B62174">
        <w:instrText xml:space="preserve"> SEQ level0 \*arabic </w:instrText>
      </w:r>
      <w:r w:rsidRPr="00B62174">
        <w:fldChar w:fldCharType="separate"/>
      </w:r>
      <w:r w:rsidR="00142C04">
        <w:rPr>
          <w:noProof/>
        </w:rPr>
        <w:t>89</w:t>
      </w:r>
      <w:r w:rsidRPr="00B62174">
        <w:fldChar w:fldCharType="end"/>
      </w:r>
      <w:r w:rsidRPr="00B62174">
        <w:t>.  </w:t>
      </w:r>
      <w:r w:rsidR="00004DF7">
        <w:rPr>
          <w:lang w:val="uk-UA"/>
        </w:rPr>
        <w:t xml:space="preserve">Заявник далі скаржився, що широке тлумачення німецькими судами злочину геноциду не мало підстав у визначенні цього злочину, закріпленому у </w:t>
      </w:r>
      <w:r w:rsidR="00C46773">
        <w:rPr>
          <w:lang w:val="uk-UA"/>
        </w:rPr>
        <w:t>н</w:t>
      </w:r>
      <w:r w:rsidR="00004DF7">
        <w:rPr>
          <w:lang w:val="uk-UA"/>
        </w:rPr>
        <w:t>імецькому і міжнародному публічному праві</w:t>
      </w:r>
      <w:r w:rsidR="00A4043D">
        <w:t xml:space="preserve">, </w:t>
      </w:r>
      <w:r w:rsidR="00004DF7">
        <w:rPr>
          <w:lang w:val="uk-UA"/>
        </w:rPr>
        <w:t>і що німецькі суди неправомірно встановили, що його вина була особливо тяжкою</w:t>
      </w:r>
      <w:r w:rsidR="00A4043D">
        <w:t xml:space="preserve">. </w:t>
      </w:r>
      <w:r w:rsidR="00004DF7">
        <w:rPr>
          <w:lang w:val="uk-UA"/>
        </w:rPr>
        <w:t xml:space="preserve">Отже, він стверджував, що визнання його винним становило порушення статті </w:t>
      </w:r>
      <w:r w:rsidR="00A4043D">
        <w:t>7 §</w:t>
      </w:r>
      <w:r w:rsidR="00077EA3">
        <w:t xml:space="preserve"> </w:t>
      </w:r>
      <w:r w:rsidR="00A4043D">
        <w:t xml:space="preserve">1 </w:t>
      </w:r>
      <w:r w:rsidR="00004DF7">
        <w:rPr>
          <w:lang w:val="uk-UA"/>
        </w:rPr>
        <w:t>Конвенції, котра каже</w:t>
      </w:r>
      <w:r w:rsidR="00A4043D">
        <w:t>:</w:t>
      </w:r>
    </w:p>
    <w:p w:rsidR="00A4043D" w:rsidP="00A4043D" w:rsidRDefault="00A4043D">
      <w:pPr>
        <w:pStyle w:val="JuQuot"/>
      </w:pPr>
      <w:r>
        <w:t>“</w:t>
      </w:r>
      <w:r w:rsidRPr="00425069" w:rsidR="00DD7544">
        <w:rPr>
          <w:lang w:eastAsia="ja-JP"/>
        </w:rPr>
        <w:t xml:space="preserve">Нікого не може бути </w:t>
      </w:r>
      <w:proofErr w:type="spellStart"/>
      <w:r w:rsidRPr="00425069" w:rsidR="00DD7544">
        <w:rPr>
          <w:lang w:eastAsia="ja-JP"/>
        </w:rPr>
        <w:t>визнано</w:t>
      </w:r>
      <w:proofErr w:type="spellEnd"/>
      <w:r w:rsidR="00DD7544">
        <w:rPr>
          <w:lang w:eastAsia="ja-JP"/>
        </w:rPr>
        <w:t xml:space="preserve"> </w:t>
      </w:r>
      <w:proofErr w:type="spellStart"/>
      <w:r w:rsidRPr="005D086A" w:rsidR="00DD7544">
        <w:rPr>
          <w:lang w:eastAsia="ja-JP"/>
        </w:rPr>
        <w:t>винним</w:t>
      </w:r>
      <w:proofErr w:type="spellEnd"/>
      <w:r w:rsidRPr="005D086A" w:rsidR="00DD7544">
        <w:rPr>
          <w:lang w:eastAsia="ja-JP"/>
        </w:rPr>
        <w:t xml:space="preserve"> у </w:t>
      </w:r>
      <w:proofErr w:type="spellStart"/>
      <w:r w:rsidRPr="005D086A" w:rsidR="00DD7544">
        <w:rPr>
          <w:lang w:eastAsia="ja-JP"/>
        </w:rPr>
        <w:t>вчиненні</w:t>
      </w:r>
      <w:proofErr w:type="spellEnd"/>
      <w:r w:rsidRPr="005D086A" w:rsidR="00DD7544">
        <w:rPr>
          <w:lang w:eastAsia="ja-JP"/>
        </w:rPr>
        <w:t xml:space="preserve"> </w:t>
      </w:r>
      <w:proofErr w:type="spellStart"/>
      <w:r w:rsidRPr="005D086A" w:rsidR="00DD7544">
        <w:rPr>
          <w:lang w:eastAsia="ja-JP"/>
        </w:rPr>
        <w:t>будь-якого</w:t>
      </w:r>
      <w:proofErr w:type="spellEnd"/>
      <w:r w:rsidRPr="005D086A" w:rsidR="00DD7544">
        <w:rPr>
          <w:lang w:eastAsia="ja-JP"/>
        </w:rPr>
        <w:t xml:space="preserve"> </w:t>
      </w:r>
      <w:proofErr w:type="spellStart"/>
      <w:r w:rsidRPr="005D086A" w:rsidR="00DD7544">
        <w:rPr>
          <w:lang w:eastAsia="ja-JP"/>
        </w:rPr>
        <w:t>кримінального</w:t>
      </w:r>
      <w:proofErr w:type="spellEnd"/>
      <w:r w:rsidRPr="005D086A" w:rsidR="00DD7544">
        <w:rPr>
          <w:lang w:eastAsia="ja-JP"/>
        </w:rPr>
        <w:t xml:space="preserve"> </w:t>
      </w:r>
      <w:proofErr w:type="spellStart"/>
      <w:r w:rsidRPr="005D086A" w:rsidR="00DD7544">
        <w:rPr>
          <w:lang w:eastAsia="ja-JP"/>
        </w:rPr>
        <w:t>правопорушення</w:t>
      </w:r>
      <w:proofErr w:type="spellEnd"/>
      <w:r w:rsidRPr="005D086A" w:rsidR="00DD7544">
        <w:rPr>
          <w:lang w:eastAsia="ja-JP"/>
        </w:rPr>
        <w:t xml:space="preserve"> </w:t>
      </w:r>
      <w:proofErr w:type="spellStart"/>
      <w:r w:rsidRPr="005D086A" w:rsidR="00DD7544">
        <w:rPr>
          <w:lang w:eastAsia="ja-JP"/>
        </w:rPr>
        <w:t>на</w:t>
      </w:r>
      <w:proofErr w:type="spellEnd"/>
      <w:r w:rsidRPr="005D086A" w:rsidR="00DD7544">
        <w:rPr>
          <w:lang w:eastAsia="ja-JP"/>
        </w:rPr>
        <w:t xml:space="preserve"> </w:t>
      </w:r>
      <w:proofErr w:type="spellStart"/>
      <w:r w:rsidRPr="005D086A" w:rsidR="00DD7544">
        <w:rPr>
          <w:lang w:eastAsia="ja-JP"/>
        </w:rPr>
        <w:t>підставі</w:t>
      </w:r>
      <w:proofErr w:type="spellEnd"/>
      <w:r w:rsidR="00DD7544">
        <w:rPr>
          <w:lang w:eastAsia="ja-JP"/>
        </w:rPr>
        <w:t xml:space="preserve"> </w:t>
      </w:r>
      <w:proofErr w:type="spellStart"/>
      <w:r w:rsidRPr="005D086A" w:rsidR="00DD7544">
        <w:rPr>
          <w:lang w:eastAsia="ja-JP"/>
        </w:rPr>
        <w:t>будь-якої</w:t>
      </w:r>
      <w:proofErr w:type="spellEnd"/>
      <w:r w:rsidRPr="005D086A" w:rsidR="00DD7544">
        <w:rPr>
          <w:lang w:eastAsia="ja-JP"/>
        </w:rPr>
        <w:t xml:space="preserve"> </w:t>
      </w:r>
      <w:proofErr w:type="spellStart"/>
      <w:r w:rsidRPr="005D086A" w:rsidR="00DD7544">
        <w:rPr>
          <w:lang w:eastAsia="ja-JP"/>
        </w:rPr>
        <w:t>дії</w:t>
      </w:r>
      <w:proofErr w:type="spellEnd"/>
      <w:r w:rsidRPr="005D086A" w:rsidR="00DD7544">
        <w:rPr>
          <w:lang w:eastAsia="ja-JP"/>
        </w:rPr>
        <w:t xml:space="preserve"> </w:t>
      </w:r>
      <w:proofErr w:type="spellStart"/>
      <w:r w:rsidRPr="005D086A" w:rsidR="00DD7544">
        <w:rPr>
          <w:lang w:eastAsia="ja-JP"/>
        </w:rPr>
        <w:t>чи</w:t>
      </w:r>
      <w:proofErr w:type="spellEnd"/>
      <w:r w:rsidRPr="005D086A" w:rsidR="00DD7544">
        <w:rPr>
          <w:lang w:eastAsia="ja-JP"/>
        </w:rPr>
        <w:t xml:space="preserve"> </w:t>
      </w:r>
      <w:proofErr w:type="spellStart"/>
      <w:r w:rsidRPr="005D086A" w:rsidR="00DD7544">
        <w:rPr>
          <w:lang w:eastAsia="ja-JP"/>
        </w:rPr>
        <w:t>бездіяльності</w:t>
      </w:r>
      <w:proofErr w:type="spellEnd"/>
      <w:r w:rsidRPr="005D086A" w:rsidR="00DD7544">
        <w:rPr>
          <w:lang w:eastAsia="ja-JP"/>
        </w:rPr>
        <w:t xml:space="preserve">, </w:t>
      </w:r>
      <w:proofErr w:type="spellStart"/>
      <w:r w:rsidRPr="005D086A" w:rsidR="00DD7544">
        <w:rPr>
          <w:lang w:eastAsia="ja-JP"/>
        </w:rPr>
        <w:t>яка</w:t>
      </w:r>
      <w:proofErr w:type="spellEnd"/>
      <w:r w:rsidRPr="005D086A" w:rsidR="00DD7544">
        <w:rPr>
          <w:lang w:eastAsia="ja-JP"/>
        </w:rPr>
        <w:t xml:space="preserve"> </w:t>
      </w:r>
      <w:proofErr w:type="spellStart"/>
      <w:r w:rsidRPr="005D086A" w:rsidR="00DD7544">
        <w:rPr>
          <w:lang w:eastAsia="ja-JP"/>
        </w:rPr>
        <w:t>на</w:t>
      </w:r>
      <w:proofErr w:type="spellEnd"/>
      <w:r w:rsidR="00DD7544">
        <w:rPr>
          <w:lang w:eastAsia="ja-JP"/>
        </w:rPr>
        <w:t xml:space="preserve"> </w:t>
      </w:r>
      <w:proofErr w:type="spellStart"/>
      <w:r w:rsidRPr="005D086A" w:rsidR="00DD7544">
        <w:rPr>
          <w:lang w:eastAsia="ja-JP"/>
        </w:rPr>
        <w:t>час</w:t>
      </w:r>
      <w:proofErr w:type="spellEnd"/>
      <w:r w:rsidRPr="005D086A" w:rsidR="00DD7544">
        <w:rPr>
          <w:lang w:eastAsia="ja-JP"/>
        </w:rPr>
        <w:t xml:space="preserve"> </w:t>
      </w:r>
      <w:proofErr w:type="spellStart"/>
      <w:r w:rsidRPr="005D086A" w:rsidR="00DD7544">
        <w:rPr>
          <w:lang w:eastAsia="ja-JP"/>
        </w:rPr>
        <w:t>її</w:t>
      </w:r>
      <w:proofErr w:type="spellEnd"/>
      <w:r w:rsidRPr="005D086A" w:rsidR="00DD7544">
        <w:rPr>
          <w:lang w:eastAsia="ja-JP"/>
        </w:rPr>
        <w:t xml:space="preserve"> </w:t>
      </w:r>
      <w:proofErr w:type="spellStart"/>
      <w:r w:rsidRPr="005D086A" w:rsidR="00DD7544">
        <w:rPr>
          <w:lang w:eastAsia="ja-JP"/>
        </w:rPr>
        <w:t>вчинення</w:t>
      </w:r>
      <w:proofErr w:type="spellEnd"/>
      <w:r w:rsidRPr="005D086A" w:rsidR="00DD7544">
        <w:rPr>
          <w:lang w:eastAsia="ja-JP"/>
        </w:rPr>
        <w:t xml:space="preserve"> не </w:t>
      </w:r>
      <w:proofErr w:type="spellStart"/>
      <w:r w:rsidRPr="005D086A" w:rsidR="00DD7544">
        <w:rPr>
          <w:lang w:eastAsia="ja-JP"/>
        </w:rPr>
        <w:t>становила</w:t>
      </w:r>
      <w:proofErr w:type="spellEnd"/>
      <w:r w:rsidRPr="005D086A" w:rsidR="00DD7544">
        <w:rPr>
          <w:lang w:eastAsia="ja-JP"/>
        </w:rPr>
        <w:t xml:space="preserve"> </w:t>
      </w:r>
      <w:proofErr w:type="spellStart"/>
      <w:r w:rsidRPr="005D086A" w:rsidR="00DD7544">
        <w:rPr>
          <w:lang w:eastAsia="ja-JP"/>
        </w:rPr>
        <w:t>кримінального</w:t>
      </w:r>
      <w:proofErr w:type="spellEnd"/>
      <w:r w:rsidRPr="005D086A" w:rsidR="00DD7544">
        <w:rPr>
          <w:lang w:eastAsia="ja-JP"/>
        </w:rPr>
        <w:t xml:space="preserve"> </w:t>
      </w:r>
      <w:proofErr w:type="spellStart"/>
      <w:r w:rsidRPr="005D086A" w:rsidR="00DD7544">
        <w:rPr>
          <w:lang w:eastAsia="ja-JP"/>
        </w:rPr>
        <w:t>правопорушення</w:t>
      </w:r>
      <w:proofErr w:type="spellEnd"/>
      <w:r w:rsidRPr="005D086A" w:rsidR="00DD7544">
        <w:rPr>
          <w:lang w:eastAsia="ja-JP"/>
        </w:rPr>
        <w:t xml:space="preserve"> </w:t>
      </w:r>
      <w:proofErr w:type="spellStart"/>
      <w:r w:rsidRPr="005D086A" w:rsidR="00DD7544">
        <w:rPr>
          <w:lang w:eastAsia="ja-JP"/>
        </w:rPr>
        <w:t>згідно</w:t>
      </w:r>
      <w:proofErr w:type="spellEnd"/>
      <w:r w:rsidRPr="005D086A" w:rsidR="00DD7544">
        <w:rPr>
          <w:lang w:eastAsia="ja-JP"/>
        </w:rPr>
        <w:t xml:space="preserve"> з</w:t>
      </w:r>
      <w:r w:rsidR="00DD7544">
        <w:rPr>
          <w:lang w:eastAsia="ja-JP"/>
        </w:rPr>
        <w:t xml:space="preserve"> </w:t>
      </w:r>
      <w:proofErr w:type="spellStart"/>
      <w:r w:rsidRPr="005D086A" w:rsidR="00DD7544">
        <w:rPr>
          <w:lang w:eastAsia="ja-JP"/>
        </w:rPr>
        <w:t>національним</w:t>
      </w:r>
      <w:proofErr w:type="spellEnd"/>
      <w:r w:rsidRPr="005D086A" w:rsidR="00DD7544">
        <w:rPr>
          <w:lang w:eastAsia="ja-JP"/>
        </w:rPr>
        <w:t xml:space="preserve"> </w:t>
      </w:r>
      <w:proofErr w:type="spellStart"/>
      <w:r w:rsidRPr="005D086A" w:rsidR="00DD7544">
        <w:rPr>
          <w:lang w:eastAsia="ja-JP"/>
        </w:rPr>
        <w:t>законом</w:t>
      </w:r>
      <w:proofErr w:type="spellEnd"/>
      <w:r w:rsidRPr="005D086A" w:rsidR="00DD7544">
        <w:rPr>
          <w:lang w:eastAsia="ja-JP"/>
        </w:rPr>
        <w:t xml:space="preserve"> </w:t>
      </w:r>
      <w:proofErr w:type="spellStart"/>
      <w:r w:rsidRPr="005D086A" w:rsidR="00DD7544">
        <w:rPr>
          <w:lang w:eastAsia="ja-JP"/>
        </w:rPr>
        <w:t>або</w:t>
      </w:r>
      <w:proofErr w:type="spellEnd"/>
      <w:r w:rsidRPr="005D086A" w:rsidR="00DD7544">
        <w:rPr>
          <w:lang w:eastAsia="ja-JP"/>
        </w:rPr>
        <w:t xml:space="preserve"> </w:t>
      </w:r>
      <w:proofErr w:type="spellStart"/>
      <w:r w:rsidRPr="005D086A" w:rsidR="00DD7544">
        <w:rPr>
          <w:lang w:eastAsia="ja-JP"/>
        </w:rPr>
        <w:t>міжнародним</w:t>
      </w:r>
      <w:proofErr w:type="spellEnd"/>
      <w:r w:rsidRPr="005D086A" w:rsidR="00DD7544">
        <w:rPr>
          <w:lang w:eastAsia="ja-JP"/>
        </w:rPr>
        <w:t xml:space="preserve"> </w:t>
      </w:r>
      <w:proofErr w:type="spellStart"/>
      <w:r w:rsidRPr="005D086A" w:rsidR="00DD7544">
        <w:rPr>
          <w:lang w:eastAsia="ja-JP"/>
        </w:rPr>
        <w:t>правом</w:t>
      </w:r>
      <w:proofErr w:type="spellEnd"/>
      <w:r w:rsidRPr="005D086A" w:rsidR="00DD7544">
        <w:rPr>
          <w:lang w:eastAsia="ja-JP"/>
        </w:rPr>
        <w:t xml:space="preserve">. </w:t>
      </w:r>
      <w:proofErr w:type="spellStart"/>
      <w:r w:rsidRPr="005D086A" w:rsidR="00DD7544">
        <w:rPr>
          <w:lang w:eastAsia="ja-JP"/>
        </w:rPr>
        <w:t>Також</w:t>
      </w:r>
      <w:proofErr w:type="spellEnd"/>
      <w:r w:rsidRPr="005D086A" w:rsidR="00DD7544">
        <w:rPr>
          <w:lang w:eastAsia="ja-JP"/>
        </w:rPr>
        <w:t xml:space="preserve"> не може бути</w:t>
      </w:r>
      <w:r w:rsidR="00DD7544">
        <w:rPr>
          <w:lang w:eastAsia="ja-JP"/>
        </w:rPr>
        <w:t xml:space="preserve"> </w:t>
      </w:r>
      <w:proofErr w:type="spellStart"/>
      <w:r w:rsidRPr="005D086A" w:rsidR="00DD7544">
        <w:rPr>
          <w:lang w:eastAsia="ja-JP"/>
        </w:rPr>
        <w:t>призначене</w:t>
      </w:r>
      <w:proofErr w:type="spellEnd"/>
      <w:r w:rsidRPr="005D086A" w:rsidR="00DD7544">
        <w:rPr>
          <w:lang w:eastAsia="ja-JP"/>
        </w:rPr>
        <w:t xml:space="preserve"> </w:t>
      </w:r>
      <w:proofErr w:type="spellStart"/>
      <w:r w:rsidRPr="005D086A" w:rsidR="00DD7544">
        <w:rPr>
          <w:lang w:eastAsia="ja-JP"/>
        </w:rPr>
        <w:t>суворіше</w:t>
      </w:r>
      <w:proofErr w:type="spellEnd"/>
      <w:r w:rsidRPr="005D086A" w:rsidR="00DD7544">
        <w:rPr>
          <w:lang w:eastAsia="ja-JP"/>
        </w:rPr>
        <w:t xml:space="preserve"> покарання </w:t>
      </w:r>
      <w:proofErr w:type="spellStart"/>
      <w:r w:rsidRPr="005D086A" w:rsidR="00DD7544">
        <w:rPr>
          <w:lang w:eastAsia="ja-JP"/>
        </w:rPr>
        <w:t>ніж</w:t>
      </w:r>
      <w:proofErr w:type="spellEnd"/>
      <w:r w:rsidR="00DD7544">
        <w:rPr>
          <w:lang w:eastAsia="ja-JP"/>
        </w:rPr>
        <w:t xml:space="preserve"> </w:t>
      </w:r>
      <w:proofErr w:type="spellStart"/>
      <w:r w:rsidRPr="005D086A" w:rsidR="00DD7544">
        <w:rPr>
          <w:lang w:eastAsia="ja-JP"/>
        </w:rPr>
        <w:t>те</w:t>
      </w:r>
      <w:proofErr w:type="spellEnd"/>
      <w:r w:rsidRPr="005D086A" w:rsidR="00DD7544">
        <w:rPr>
          <w:lang w:eastAsia="ja-JP"/>
        </w:rPr>
        <w:t xml:space="preserve">, </w:t>
      </w:r>
      <w:proofErr w:type="spellStart"/>
      <w:r w:rsidRPr="005D086A" w:rsidR="00DD7544">
        <w:rPr>
          <w:lang w:eastAsia="ja-JP"/>
        </w:rPr>
        <w:t>що</w:t>
      </w:r>
      <w:proofErr w:type="spellEnd"/>
      <w:r w:rsidRPr="005D086A" w:rsidR="00DD7544">
        <w:rPr>
          <w:lang w:eastAsia="ja-JP"/>
        </w:rPr>
        <w:t xml:space="preserve"> </w:t>
      </w:r>
      <w:proofErr w:type="spellStart"/>
      <w:r w:rsidRPr="00425069" w:rsidR="00DD7544">
        <w:rPr>
          <w:lang w:eastAsia="ja-JP"/>
        </w:rPr>
        <w:t>підлягало</w:t>
      </w:r>
      <w:proofErr w:type="spellEnd"/>
      <w:r w:rsidRPr="00425069" w:rsidR="00DD7544">
        <w:rPr>
          <w:lang w:eastAsia="ja-JP"/>
        </w:rPr>
        <w:t xml:space="preserve"> </w:t>
      </w:r>
      <w:proofErr w:type="spellStart"/>
      <w:r w:rsidRPr="00425069" w:rsidR="00DD7544">
        <w:rPr>
          <w:lang w:eastAsia="ja-JP"/>
        </w:rPr>
        <w:t>застосуванню</w:t>
      </w:r>
      <w:proofErr w:type="spellEnd"/>
      <w:r w:rsidRPr="005D086A" w:rsidR="00DD7544">
        <w:rPr>
          <w:lang w:eastAsia="ja-JP"/>
        </w:rPr>
        <w:t xml:space="preserve"> </w:t>
      </w:r>
      <w:proofErr w:type="spellStart"/>
      <w:r w:rsidRPr="005D086A" w:rsidR="00DD7544">
        <w:rPr>
          <w:lang w:eastAsia="ja-JP"/>
        </w:rPr>
        <w:t>на</w:t>
      </w:r>
      <w:proofErr w:type="spellEnd"/>
      <w:r w:rsidRPr="005D086A" w:rsidR="00DD7544">
        <w:rPr>
          <w:lang w:eastAsia="ja-JP"/>
        </w:rPr>
        <w:t xml:space="preserve"> </w:t>
      </w:r>
      <w:proofErr w:type="spellStart"/>
      <w:r w:rsidRPr="005D086A" w:rsidR="00DD7544">
        <w:rPr>
          <w:lang w:eastAsia="ja-JP"/>
        </w:rPr>
        <w:t>час</w:t>
      </w:r>
      <w:proofErr w:type="spellEnd"/>
      <w:r w:rsidR="00DD7544">
        <w:rPr>
          <w:lang w:eastAsia="ja-JP"/>
        </w:rPr>
        <w:t xml:space="preserve"> </w:t>
      </w:r>
      <w:proofErr w:type="spellStart"/>
      <w:r w:rsidRPr="005D086A" w:rsidR="00DD7544">
        <w:rPr>
          <w:lang w:eastAsia="ja-JP"/>
        </w:rPr>
        <w:t>вчинення</w:t>
      </w:r>
      <w:proofErr w:type="spellEnd"/>
      <w:r w:rsidRPr="005D086A" w:rsidR="00DD7544">
        <w:rPr>
          <w:lang w:eastAsia="ja-JP"/>
        </w:rPr>
        <w:t xml:space="preserve"> </w:t>
      </w:r>
      <w:proofErr w:type="spellStart"/>
      <w:r w:rsidRPr="005D086A" w:rsidR="00DD7544">
        <w:rPr>
          <w:lang w:eastAsia="ja-JP"/>
        </w:rPr>
        <w:t>кримінального</w:t>
      </w:r>
      <w:proofErr w:type="spellEnd"/>
      <w:r w:rsidRPr="005D086A" w:rsidR="00DD7544">
        <w:rPr>
          <w:lang w:eastAsia="ja-JP"/>
        </w:rPr>
        <w:t xml:space="preserve"> </w:t>
      </w:r>
      <w:proofErr w:type="spellStart"/>
      <w:r w:rsidRPr="005D086A" w:rsidR="00DD7544">
        <w:rPr>
          <w:lang w:eastAsia="ja-JP"/>
        </w:rPr>
        <w:t>правопору</w:t>
      </w:r>
      <w:r w:rsidRPr="00B915AE" w:rsidR="00DD7544">
        <w:rPr>
          <w:lang w:eastAsia="ja-JP"/>
        </w:rPr>
        <w:t>шення</w:t>
      </w:r>
      <w:proofErr w:type="spellEnd"/>
      <w:r>
        <w:t>.”</w:t>
      </w:r>
    </w:p>
    <w:p w:rsidR="00BD2864" w:rsidP="00BD2864" w:rsidRDefault="00BD2864">
      <w:pPr>
        <w:pStyle w:val="JuPara"/>
      </w:pPr>
      <w:r w:rsidRPr="00B62174">
        <w:fldChar w:fldCharType="begin"/>
      </w:r>
      <w:r w:rsidRPr="00B62174">
        <w:instrText xml:space="preserve"> SEQ level0 \*arabic </w:instrText>
      </w:r>
      <w:r w:rsidRPr="00B62174">
        <w:fldChar w:fldCharType="separate"/>
      </w:r>
      <w:r w:rsidR="00142C04">
        <w:rPr>
          <w:noProof/>
        </w:rPr>
        <w:t>90</w:t>
      </w:r>
      <w:r w:rsidRPr="00B62174">
        <w:fldChar w:fldCharType="end"/>
      </w:r>
      <w:r w:rsidRPr="00B62174">
        <w:t>.  </w:t>
      </w:r>
      <w:r w:rsidR="009C2A9D">
        <w:rPr>
          <w:lang w:val="uk-UA"/>
        </w:rPr>
        <w:t>Уряд не погодився з цим</w:t>
      </w:r>
      <w:r>
        <w:t>.</w:t>
      </w:r>
    </w:p>
    <w:p w:rsidRPr="009C2A9D" w:rsidR="000E7D49" w:rsidP="003D1BAF" w:rsidRDefault="000E7D49">
      <w:pPr>
        <w:pStyle w:val="JuHA"/>
        <w:keepNext w:val="0"/>
        <w:keepLines w:val="0"/>
        <w:rPr>
          <w:lang w:val="uk-UA"/>
        </w:rPr>
      </w:pPr>
      <w:r w:rsidRPr="00B62174">
        <w:t>A.  </w:t>
      </w:r>
      <w:r w:rsidR="009C2A9D">
        <w:rPr>
          <w:lang w:val="uk-UA"/>
        </w:rPr>
        <w:t>Прийнятність</w:t>
      </w:r>
    </w:p>
    <w:p w:rsidRPr="008F6C1B" w:rsidR="000E7D49" w:rsidP="003D1BAF" w:rsidRDefault="000E7D49">
      <w:pPr>
        <w:pStyle w:val="JuPara"/>
        <w:rPr>
          <w:lang w:val="uk-UA"/>
        </w:rPr>
      </w:pPr>
      <w:r w:rsidRPr="00B62174">
        <w:fldChar w:fldCharType="begin"/>
      </w:r>
      <w:r w:rsidRPr="00B62174">
        <w:instrText xml:space="preserve"> SEQ level0 \*arabic </w:instrText>
      </w:r>
      <w:r w:rsidRPr="00B62174">
        <w:fldChar w:fldCharType="separate"/>
      </w:r>
      <w:r w:rsidR="00142C04">
        <w:rPr>
          <w:noProof/>
        </w:rPr>
        <w:t>91</w:t>
      </w:r>
      <w:r w:rsidRPr="00B62174">
        <w:fldChar w:fldCharType="end"/>
      </w:r>
      <w:r w:rsidRPr="00B62174">
        <w:t>.  </w:t>
      </w:r>
      <w:r w:rsidR="008F6C1B">
        <w:rPr>
          <w:lang w:val="uk-UA"/>
        </w:rPr>
        <w:t xml:space="preserve">Суд зазначає, що ця скарга не є явно необґрунтованою в розумінні статті </w:t>
      </w:r>
      <w:r w:rsidRPr="00AD788D" w:rsidR="008F6C1B">
        <w:rPr>
          <w:lang w:val="uk-UA"/>
        </w:rPr>
        <w:t xml:space="preserve">35 § 3 </w:t>
      </w:r>
      <w:r w:rsidR="008F6C1B">
        <w:rPr>
          <w:lang w:val="uk-UA"/>
        </w:rPr>
        <w:t>Конвенції</w:t>
      </w:r>
      <w:r w:rsidRPr="00AD788D" w:rsidR="008F6C1B">
        <w:rPr>
          <w:lang w:val="uk-UA"/>
        </w:rPr>
        <w:t xml:space="preserve">. </w:t>
      </w:r>
      <w:r w:rsidR="008F6C1B">
        <w:rPr>
          <w:lang w:val="uk-UA"/>
        </w:rPr>
        <w:t>Жодні інші підстави для неприйнятності не порушувались, отже</w:t>
      </w:r>
      <w:r w:rsidR="00A22B6B">
        <w:rPr>
          <w:lang w:val="uk-UA"/>
        </w:rPr>
        <w:t>,</w:t>
      </w:r>
      <w:r w:rsidR="008F6C1B">
        <w:rPr>
          <w:lang w:val="uk-UA"/>
        </w:rPr>
        <w:t xml:space="preserve"> її слід визнати прийнятною</w:t>
      </w:r>
      <w:r w:rsidRPr="008F6C1B">
        <w:rPr>
          <w:lang w:val="uk-UA"/>
        </w:rPr>
        <w:t>.</w:t>
      </w:r>
    </w:p>
    <w:p w:rsidRPr="009C2A9D" w:rsidR="000E7D49" w:rsidP="000E7D49" w:rsidRDefault="000E7D49">
      <w:pPr>
        <w:pStyle w:val="JuHA"/>
        <w:rPr>
          <w:lang w:val="uk-UA"/>
        </w:rPr>
      </w:pPr>
      <w:r w:rsidRPr="00B62174">
        <w:t>B.  </w:t>
      </w:r>
      <w:r w:rsidR="009C2A9D">
        <w:rPr>
          <w:lang w:val="uk-UA"/>
        </w:rPr>
        <w:t>Щодо суті</w:t>
      </w:r>
    </w:p>
    <w:p w:rsidRPr="009C2A9D" w:rsidR="000E7D49" w:rsidP="000E7D49" w:rsidRDefault="000E7D49">
      <w:pPr>
        <w:pStyle w:val="JuH1"/>
        <w:rPr>
          <w:lang w:val="uk-UA"/>
        </w:rPr>
      </w:pPr>
      <w:r>
        <w:t>1.  </w:t>
      </w:r>
      <w:r w:rsidR="009C2A9D">
        <w:rPr>
          <w:lang w:val="uk-UA"/>
        </w:rPr>
        <w:t>Подання сторін</w:t>
      </w:r>
    </w:p>
    <w:p w:rsidRPr="009C2A9D" w:rsidR="000E7D49" w:rsidP="000E7D49" w:rsidRDefault="00AD2441">
      <w:pPr>
        <w:pStyle w:val="JuHa0"/>
        <w:rPr>
          <w:lang w:val="uk-UA"/>
        </w:rPr>
      </w:pPr>
      <w:r>
        <w:t>(a)</w:t>
      </w:r>
      <w:r w:rsidR="000E7D49">
        <w:t>  </w:t>
      </w:r>
      <w:r w:rsidR="009C2A9D">
        <w:rPr>
          <w:lang w:val="uk-UA"/>
        </w:rPr>
        <w:t>Заявник</w:t>
      </w:r>
    </w:p>
    <w:p w:rsidRPr="00D9031E" w:rsidR="00A4043D" w:rsidP="00A4043D" w:rsidRDefault="006A0CFD">
      <w:pPr>
        <w:pStyle w:val="JuPara"/>
        <w:rPr>
          <w:lang w:val="uk-UA"/>
        </w:rPr>
      </w:pPr>
      <w:r w:rsidRPr="00B62174">
        <w:fldChar w:fldCharType="begin"/>
      </w:r>
      <w:r w:rsidRPr="00AF0D90">
        <w:rPr>
          <w:lang w:val="uk-UA"/>
        </w:rPr>
        <w:instrText xml:space="preserve"> </w:instrText>
      </w:r>
      <w:r w:rsidRPr="00B62174">
        <w:instrText>SEQ</w:instrText>
      </w:r>
      <w:r w:rsidRPr="00AF0D90">
        <w:rPr>
          <w:lang w:val="uk-UA"/>
        </w:rPr>
        <w:instrText xml:space="preserve"> </w:instrText>
      </w:r>
      <w:r w:rsidRPr="00B62174">
        <w:instrText>level</w:instrText>
      </w:r>
      <w:r w:rsidRPr="00AF0D90">
        <w:rPr>
          <w:lang w:val="uk-UA"/>
        </w:rPr>
        <w:instrText>0 \*</w:instrText>
      </w:r>
      <w:r w:rsidRPr="00B62174">
        <w:instrText>arabic</w:instrText>
      </w:r>
      <w:r w:rsidRPr="00AF0D90">
        <w:rPr>
          <w:lang w:val="uk-UA"/>
        </w:rPr>
        <w:instrText xml:space="preserve"> </w:instrText>
      </w:r>
      <w:r w:rsidRPr="00B62174">
        <w:fldChar w:fldCharType="separate"/>
      </w:r>
      <w:r w:rsidRPr="00AF0D90" w:rsidR="00142C04">
        <w:rPr>
          <w:noProof/>
          <w:lang w:val="uk-UA"/>
        </w:rPr>
        <w:t>92</w:t>
      </w:r>
      <w:r w:rsidRPr="00B62174">
        <w:fldChar w:fldCharType="end"/>
      </w:r>
      <w:r w:rsidRPr="00AF0D90">
        <w:rPr>
          <w:lang w:val="uk-UA"/>
        </w:rPr>
        <w:t>.</w:t>
      </w:r>
      <w:r w:rsidRPr="00B62174">
        <w:t>  </w:t>
      </w:r>
      <w:r w:rsidR="00AF0D90">
        <w:rPr>
          <w:lang w:val="uk-UA"/>
        </w:rPr>
        <w:t xml:space="preserve">Заявник зазначав, що визнання його винним у геноциді за статтею </w:t>
      </w:r>
      <w:r w:rsidRPr="00AF0D90" w:rsidR="006B3E55">
        <w:rPr>
          <w:lang w:val="uk-UA"/>
        </w:rPr>
        <w:t>220</w:t>
      </w:r>
      <w:r w:rsidR="006B3E55">
        <w:t>a</w:t>
      </w:r>
      <w:r w:rsidRPr="00AF0D90" w:rsidR="006B3E55">
        <w:rPr>
          <w:lang w:val="uk-UA"/>
        </w:rPr>
        <w:t xml:space="preserve"> </w:t>
      </w:r>
      <w:r w:rsidR="00AF0D90">
        <w:rPr>
          <w:lang w:val="uk-UA"/>
        </w:rPr>
        <w:t>Кри</w:t>
      </w:r>
      <w:r w:rsidR="00D9031E">
        <w:rPr>
          <w:lang w:val="uk-UA"/>
        </w:rPr>
        <w:t>м</w:t>
      </w:r>
      <w:r w:rsidR="00AF0D90">
        <w:rPr>
          <w:lang w:val="uk-UA"/>
        </w:rPr>
        <w:t>інального кодексу вимагало доказів того, що злочинець діяв з наміром знищити, повністю чи частково, національну, расову, етнічну або релігійну групу як таку</w:t>
      </w:r>
      <w:r w:rsidRPr="00AF0D90" w:rsidR="00A4043D">
        <w:rPr>
          <w:lang w:val="uk-UA"/>
        </w:rPr>
        <w:t xml:space="preserve">. </w:t>
      </w:r>
      <w:r w:rsidR="00AF0D90">
        <w:rPr>
          <w:lang w:val="uk-UA"/>
        </w:rPr>
        <w:t xml:space="preserve">Він стверджував, що, з огляду на буквальне значення </w:t>
      </w:r>
      <w:r w:rsidR="00D9031E">
        <w:rPr>
          <w:lang w:val="uk-UA"/>
        </w:rPr>
        <w:t>поняття «знищити», саме зазіхання на життєві умови або основу існування групи, як у даній справі, не означає знищення самої групи</w:t>
      </w:r>
      <w:r w:rsidRPr="00D9031E" w:rsidR="00A4043D">
        <w:rPr>
          <w:lang w:val="uk-UA"/>
        </w:rPr>
        <w:t xml:space="preserve">. </w:t>
      </w:r>
      <w:r w:rsidR="00D9031E">
        <w:rPr>
          <w:lang w:val="uk-UA"/>
        </w:rPr>
        <w:t xml:space="preserve">«Етнічні чистки», здійснені боснійськими сербами у місцевості Добой, були спрямовані лише на примусове виселення мусульман із </w:t>
      </w:r>
      <w:r w:rsidR="00162079">
        <w:rPr>
          <w:lang w:val="uk-UA"/>
        </w:rPr>
        <w:t>регіону</w:t>
      </w:r>
      <w:r w:rsidR="00D9031E">
        <w:rPr>
          <w:lang w:val="uk-UA"/>
        </w:rPr>
        <w:t>, тобто, на вигнання групи, а не знищення самого її існування</w:t>
      </w:r>
      <w:r w:rsidRPr="00D9031E" w:rsidR="00A4043D">
        <w:rPr>
          <w:lang w:val="uk-UA"/>
        </w:rPr>
        <w:t>.</w:t>
      </w:r>
      <w:r w:rsidR="00D9031E">
        <w:rPr>
          <w:lang w:val="uk-UA"/>
        </w:rPr>
        <w:t xml:space="preserve"> </w:t>
      </w:r>
      <w:r w:rsidR="00A22B6B">
        <w:rPr>
          <w:lang w:val="uk-UA"/>
        </w:rPr>
        <w:t>Отже</w:t>
      </w:r>
      <w:r w:rsidR="00D9031E">
        <w:rPr>
          <w:lang w:val="uk-UA"/>
        </w:rPr>
        <w:t>, його не можна вважати геноцидом у розумінні</w:t>
      </w:r>
      <w:r w:rsidR="00761A37">
        <w:rPr>
          <w:lang w:val="uk-UA"/>
        </w:rPr>
        <w:t xml:space="preserve"> </w:t>
      </w:r>
      <w:r w:rsidR="00D9031E">
        <w:rPr>
          <w:lang w:val="uk-UA"/>
        </w:rPr>
        <w:t>статті</w:t>
      </w:r>
      <w:r w:rsidRPr="00D9031E" w:rsidR="00077EA3">
        <w:rPr>
          <w:lang w:val="uk-UA"/>
        </w:rPr>
        <w:t xml:space="preserve"> </w:t>
      </w:r>
      <w:r w:rsidRPr="00D9031E" w:rsidR="00A4043D">
        <w:rPr>
          <w:lang w:val="uk-UA"/>
        </w:rPr>
        <w:t>220</w:t>
      </w:r>
      <w:r w:rsidR="00A4043D">
        <w:t>a</w:t>
      </w:r>
      <w:r w:rsidRPr="00D9031E" w:rsidR="00A4043D">
        <w:rPr>
          <w:lang w:val="uk-UA"/>
        </w:rPr>
        <w:t xml:space="preserve"> </w:t>
      </w:r>
      <w:r w:rsidR="00D9031E">
        <w:rPr>
          <w:lang w:val="uk-UA"/>
        </w:rPr>
        <w:t>Кримінального кодексу</w:t>
      </w:r>
      <w:r w:rsidRPr="00D9031E" w:rsidR="00A4043D">
        <w:rPr>
          <w:lang w:val="uk-UA"/>
        </w:rPr>
        <w:t>.</w:t>
      </w:r>
    </w:p>
    <w:p w:rsidR="00A4043D" w:rsidP="00A4043D" w:rsidRDefault="006A0CFD">
      <w:pPr>
        <w:pStyle w:val="JuPara"/>
      </w:pPr>
      <w:r w:rsidRPr="00B62174">
        <w:fldChar w:fldCharType="begin"/>
      </w:r>
      <w:r w:rsidRPr="00B62174">
        <w:instrText xml:space="preserve"> SEQ level0 \*arabic </w:instrText>
      </w:r>
      <w:r w:rsidRPr="00B62174">
        <w:fldChar w:fldCharType="separate"/>
      </w:r>
      <w:r w:rsidR="00142C04">
        <w:rPr>
          <w:noProof/>
        </w:rPr>
        <w:t>93</w:t>
      </w:r>
      <w:r w:rsidRPr="00B62174">
        <w:fldChar w:fldCharType="end"/>
      </w:r>
      <w:r w:rsidRPr="00B62174">
        <w:t>.  </w:t>
      </w:r>
      <w:r w:rsidR="00D9031E">
        <w:rPr>
          <w:lang w:val="uk-UA"/>
        </w:rPr>
        <w:t xml:space="preserve">Окрім того, як стверджував заявник, тлумачення німецькими судами «наміру знищити» у статті </w:t>
      </w:r>
      <w:r w:rsidR="00A4043D">
        <w:t xml:space="preserve">220a, </w:t>
      </w:r>
      <w:r w:rsidR="00D9031E">
        <w:rPr>
          <w:lang w:val="uk-UA"/>
        </w:rPr>
        <w:t>котра була додана до Кримінального кодексу</w:t>
      </w:r>
      <w:r w:rsidR="00D9031E">
        <w:t xml:space="preserve"> </w:t>
      </w:r>
      <w:r w:rsidR="00D9031E">
        <w:rPr>
          <w:lang w:val="uk-UA"/>
        </w:rPr>
        <w:t>з метою інкорпорації Конвенції п</w:t>
      </w:r>
      <w:r w:rsidRPr="00F25090" w:rsidR="00D9031E">
        <w:t>ро запобігання геноциду</w:t>
      </w:r>
      <w:r w:rsidR="00D9031E">
        <w:t xml:space="preserve"> </w:t>
      </w:r>
      <w:r w:rsidR="00D9031E">
        <w:rPr>
          <w:lang w:val="uk-UA"/>
        </w:rPr>
        <w:t>до національного права, суперечило схваленому м</w:t>
      </w:r>
      <w:r w:rsidR="00B14A5B">
        <w:rPr>
          <w:lang w:val="uk-UA"/>
        </w:rPr>
        <w:t>і</w:t>
      </w:r>
      <w:r w:rsidR="00D9031E">
        <w:rPr>
          <w:lang w:val="uk-UA"/>
        </w:rPr>
        <w:t xml:space="preserve">жнародною спільнотою тлумаченню того ж поняття у статті </w:t>
      </w:r>
      <w:r w:rsidR="00A4043D">
        <w:t xml:space="preserve">II </w:t>
      </w:r>
      <w:r w:rsidR="006B6F72">
        <w:rPr>
          <w:lang w:val="uk-UA"/>
        </w:rPr>
        <w:t>Конвенції п</w:t>
      </w:r>
      <w:r w:rsidRPr="00F25090" w:rsidR="006B6F72">
        <w:t>ро запобігання геноциду</w:t>
      </w:r>
      <w:r w:rsidR="00A4043D">
        <w:t xml:space="preserve">. </w:t>
      </w:r>
      <w:r w:rsidR="00D9031E">
        <w:rPr>
          <w:lang w:val="uk-UA"/>
        </w:rPr>
        <w:t xml:space="preserve">Дійсно, відповідно до міжнародно визнаної доктрини, геноцид застосовується лише до </w:t>
      </w:r>
      <w:r w:rsidR="00162079">
        <w:rPr>
          <w:lang w:val="uk-UA"/>
        </w:rPr>
        <w:t>випадків</w:t>
      </w:r>
      <w:r w:rsidR="00D9031E">
        <w:rPr>
          <w:lang w:val="uk-UA"/>
        </w:rPr>
        <w:t>, у яких вбивство, винищення і депортація були здійснені з наміром знищити точно встановлену групу, тобто, знищити її у біологічно-фізичному значенні</w:t>
      </w:r>
      <w:r w:rsidR="00A4043D">
        <w:t xml:space="preserve">, </w:t>
      </w:r>
      <w:r w:rsidR="00D9031E">
        <w:rPr>
          <w:lang w:val="uk-UA"/>
        </w:rPr>
        <w:t>а не лише як соціальну спільноту</w:t>
      </w:r>
      <w:r w:rsidR="00A4043D">
        <w:t xml:space="preserve">. </w:t>
      </w:r>
      <w:r w:rsidR="00D9031E">
        <w:rPr>
          <w:lang w:val="uk-UA"/>
        </w:rPr>
        <w:t>Етнічні чистки в колишній Югославії не можна порівнювати зі знищенням євреїв нацистським режимом</w:t>
      </w:r>
      <w:r w:rsidR="001A51D8">
        <w:rPr>
          <w:lang w:val="uk-UA"/>
        </w:rPr>
        <w:t xml:space="preserve">, котре і стало причиною для створення </w:t>
      </w:r>
      <w:r w:rsidR="006B6F72">
        <w:rPr>
          <w:lang w:val="uk-UA"/>
        </w:rPr>
        <w:t>Конвенції п</w:t>
      </w:r>
      <w:r w:rsidRPr="00F25090" w:rsidR="006B6F72">
        <w:t>ро запобігання геноциду</w:t>
      </w:r>
      <w:r w:rsidR="004B31D5">
        <w:t>.</w:t>
      </w:r>
    </w:p>
    <w:p w:rsidR="004B31D5" w:rsidP="00A4043D" w:rsidRDefault="004B31D5">
      <w:pPr>
        <w:pStyle w:val="JuPara"/>
      </w:pPr>
      <w:r w:rsidRPr="00B62174">
        <w:fldChar w:fldCharType="begin"/>
      </w:r>
      <w:r w:rsidRPr="00B62174">
        <w:instrText xml:space="preserve"> SEQ level0 \*arabic </w:instrText>
      </w:r>
      <w:r w:rsidRPr="00B62174">
        <w:fldChar w:fldCharType="separate"/>
      </w:r>
      <w:r w:rsidR="00142C04">
        <w:rPr>
          <w:noProof/>
        </w:rPr>
        <w:t>94</w:t>
      </w:r>
      <w:r w:rsidRPr="00B62174">
        <w:fldChar w:fldCharType="end"/>
      </w:r>
      <w:r w:rsidRPr="00B62174">
        <w:t>.  </w:t>
      </w:r>
      <w:r w:rsidR="002B069E">
        <w:rPr>
          <w:lang w:val="uk-UA"/>
        </w:rPr>
        <w:t>Заявник стверджував, що він, отже, не міг передбачати на момент скоєння діянь, що німецькі суди кваліфікуватимуть їх як геноцид за німецьким і міжнародним публічним правом</w:t>
      </w:r>
      <w:r>
        <w:t>.</w:t>
      </w:r>
    </w:p>
    <w:p w:rsidR="00A4043D" w:rsidP="00A4043D" w:rsidRDefault="006A0CFD">
      <w:pPr>
        <w:pStyle w:val="JuPara"/>
      </w:pPr>
      <w:r w:rsidRPr="00B62174">
        <w:fldChar w:fldCharType="begin"/>
      </w:r>
      <w:r w:rsidRPr="00B62174">
        <w:instrText xml:space="preserve"> SEQ level0 \*arabic </w:instrText>
      </w:r>
      <w:r w:rsidRPr="00B62174">
        <w:fldChar w:fldCharType="separate"/>
      </w:r>
      <w:r w:rsidR="00142C04">
        <w:rPr>
          <w:noProof/>
        </w:rPr>
        <w:t>95</w:t>
      </w:r>
      <w:r w:rsidRPr="00B62174">
        <w:fldChar w:fldCharType="end"/>
      </w:r>
      <w:r w:rsidRPr="00B62174">
        <w:t>.  </w:t>
      </w:r>
      <w:r w:rsidR="002B069E">
        <w:rPr>
          <w:lang w:val="uk-UA"/>
        </w:rPr>
        <w:t xml:space="preserve">Так само, стверджував заявник, висновок німецьких судів щодо особливої тяжкості його вини становить порушення статті </w:t>
      </w:r>
      <w:r w:rsidR="00A4043D">
        <w:t>7 §</w:t>
      </w:r>
      <w:r w:rsidR="00077EA3">
        <w:t xml:space="preserve"> </w:t>
      </w:r>
      <w:r w:rsidR="00A4043D">
        <w:t xml:space="preserve">1 </w:t>
      </w:r>
      <w:r w:rsidR="002B069E">
        <w:rPr>
          <w:lang w:val="uk-UA"/>
        </w:rPr>
        <w:t>Конвенції, оскільки ці суди не взяли до уваги, що він відігравав лише незначну роль у стверджуваному геноциді у Боснії</w:t>
      </w:r>
      <w:r w:rsidR="00A4043D">
        <w:t>.</w:t>
      </w:r>
    </w:p>
    <w:p w:rsidRPr="009C2A9D" w:rsidR="000E7D49" w:rsidP="000E7D49" w:rsidRDefault="00B248D0">
      <w:pPr>
        <w:pStyle w:val="JuHa0"/>
        <w:rPr>
          <w:lang w:val="uk-UA"/>
        </w:rPr>
      </w:pPr>
      <w:r>
        <w:t>(</w:t>
      </w:r>
      <w:r w:rsidR="000E7D49">
        <w:t>b</w:t>
      </w:r>
      <w:r>
        <w:t>)</w:t>
      </w:r>
      <w:r w:rsidR="000E7D49">
        <w:t>  </w:t>
      </w:r>
      <w:r w:rsidR="009C2A9D">
        <w:rPr>
          <w:lang w:val="uk-UA"/>
        </w:rPr>
        <w:t>Уряд</w:t>
      </w:r>
    </w:p>
    <w:p w:rsidR="009F222B" w:rsidP="000E7D49" w:rsidRDefault="006A0CFD">
      <w:pPr>
        <w:pStyle w:val="JuPara"/>
      </w:pPr>
      <w:r w:rsidRPr="00B62174">
        <w:fldChar w:fldCharType="begin"/>
      </w:r>
      <w:r w:rsidRPr="00B62174">
        <w:instrText xml:space="preserve"> SEQ level0 \*arabic </w:instrText>
      </w:r>
      <w:r w:rsidRPr="00B62174">
        <w:fldChar w:fldCharType="separate"/>
      </w:r>
      <w:r w:rsidR="00142C04">
        <w:rPr>
          <w:noProof/>
        </w:rPr>
        <w:t>96</w:t>
      </w:r>
      <w:r w:rsidRPr="00B62174">
        <w:fldChar w:fldCharType="end"/>
      </w:r>
      <w:r w:rsidRPr="00B62174">
        <w:t>.  </w:t>
      </w:r>
      <w:r w:rsidR="00F532E8">
        <w:rPr>
          <w:lang w:val="uk-UA"/>
        </w:rPr>
        <w:t xml:space="preserve">На думку Уряду, тлумачення німецькими судами поняття «геноцид» не становило порушення статті </w:t>
      </w:r>
      <w:r w:rsidR="00AA3741">
        <w:t>7 §</w:t>
      </w:r>
      <w:r w:rsidR="00077EA3">
        <w:t xml:space="preserve"> </w:t>
      </w:r>
      <w:r w:rsidR="00AA3741">
        <w:t xml:space="preserve">1 </w:t>
      </w:r>
      <w:r w:rsidR="00F532E8">
        <w:rPr>
          <w:lang w:val="uk-UA"/>
        </w:rPr>
        <w:t>Конвенції</w:t>
      </w:r>
      <w:r w:rsidR="00AA3741">
        <w:t xml:space="preserve">. </w:t>
      </w:r>
      <w:r w:rsidR="00F532E8">
        <w:rPr>
          <w:lang w:val="uk-UA"/>
        </w:rPr>
        <w:t xml:space="preserve">Визначення поняття «геноцид» у статті </w:t>
      </w:r>
      <w:r w:rsidR="00015C24">
        <w:t xml:space="preserve">220a </w:t>
      </w:r>
      <w:r w:rsidR="00F532E8">
        <w:rPr>
          <w:lang w:val="uk-UA"/>
        </w:rPr>
        <w:t>німецького Кримінального кодексу дозволяло тлумачення поняття геноциду як таке, що включає діяння, ско</w:t>
      </w:r>
      <w:r w:rsidR="00C46773">
        <w:rPr>
          <w:lang w:val="uk-UA"/>
        </w:rPr>
        <w:t>є</w:t>
      </w:r>
      <w:r w:rsidR="00F532E8">
        <w:rPr>
          <w:lang w:val="uk-UA"/>
        </w:rPr>
        <w:t>ні з наміром знищити групу як соціальну спільноту</w:t>
      </w:r>
      <w:r w:rsidR="009F3001">
        <w:t xml:space="preserve">. </w:t>
      </w:r>
      <w:r w:rsidR="00F532E8">
        <w:rPr>
          <w:lang w:val="uk-UA"/>
        </w:rPr>
        <w:t>Зокрема, намір знищити</w:t>
      </w:r>
      <w:r w:rsidR="00F532E8">
        <w:t xml:space="preserve"> </w:t>
      </w:r>
      <w:r w:rsidR="00F532E8">
        <w:rPr>
          <w:lang w:val="uk-UA"/>
        </w:rPr>
        <w:t>мав бути спрямований проти «групи як такої», що передбачало захист не лише фізичного</w:t>
      </w:r>
      <w:r w:rsidR="00C46773">
        <w:rPr>
          <w:lang w:val="uk-UA"/>
        </w:rPr>
        <w:t>,</w:t>
      </w:r>
      <w:r w:rsidR="00F532E8">
        <w:rPr>
          <w:lang w:val="uk-UA"/>
        </w:rPr>
        <w:t xml:space="preserve"> </w:t>
      </w:r>
      <w:r w:rsidR="00C46773">
        <w:rPr>
          <w:lang w:val="uk-UA"/>
        </w:rPr>
        <w:t>а</w:t>
      </w:r>
      <w:r w:rsidR="00F532E8">
        <w:rPr>
          <w:lang w:val="uk-UA"/>
        </w:rPr>
        <w:t xml:space="preserve">ле </w:t>
      </w:r>
      <w:r w:rsidR="00C46773">
        <w:rPr>
          <w:lang w:val="uk-UA"/>
        </w:rPr>
        <w:t>й</w:t>
      </w:r>
      <w:r w:rsidR="00F532E8">
        <w:rPr>
          <w:lang w:val="uk-UA"/>
        </w:rPr>
        <w:t xml:space="preserve"> соціального існування групи</w:t>
      </w:r>
      <w:r w:rsidR="00C70169">
        <w:t xml:space="preserve">. </w:t>
      </w:r>
      <w:r w:rsidR="00F532E8">
        <w:rPr>
          <w:lang w:val="uk-UA"/>
        </w:rPr>
        <w:t xml:space="preserve">Окрім того, визначення геноциду у статті </w:t>
      </w:r>
      <w:r w:rsidR="001B5849">
        <w:t>220a §</w:t>
      </w:r>
      <w:r w:rsidR="00077EA3">
        <w:t xml:space="preserve"> </w:t>
      </w:r>
      <w:r w:rsidR="001B5849">
        <w:t xml:space="preserve">1 </w:t>
      </w:r>
      <w:r w:rsidR="00F532E8">
        <w:rPr>
          <w:lang w:val="uk-UA"/>
        </w:rPr>
        <w:t>№</w:t>
      </w:r>
      <w:r w:rsidR="00077EA3">
        <w:t xml:space="preserve"> </w:t>
      </w:r>
      <w:r w:rsidR="001B5849">
        <w:t>4 (</w:t>
      </w:r>
      <w:r w:rsidR="00F532E8">
        <w:rPr>
          <w:lang w:val="uk-UA"/>
        </w:rPr>
        <w:t xml:space="preserve">запровадження заходів, спрямованих на запобігання </w:t>
      </w:r>
      <w:r w:rsidR="00307BBC">
        <w:rPr>
          <w:lang w:val="uk-UA"/>
        </w:rPr>
        <w:t>народжуваності у групі</w:t>
      </w:r>
      <w:r w:rsidR="001B5849">
        <w:t xml:space="preserve">) </w:t>
      </w:r>
      <w:r w:rsidR="00307BBC">
        <w:rPr>
          <w:lang w:val="uk-UA"/>
        </w:rPr>
        <w:t>і №</w:t>
      </w:r>
      <w:r w:rsidR="00077EA3">
        <w:t xml:space="preserve"> </w:t>
      </w:r>
      <w:r w:rsidR="001B5849">
        <w:t>5 (</w:t>
      </w:r>
      <w:r w:rsidR="00307BBC">
        <w:rPr>
          <w:lang w:val="uk-UA"/>
        </w:rPr>
        <w:t>примусова передача дітей групи до іншої групи</w:t>
      </w:r>
      <w:r w:rsidR="001B5849">
        <w:t xml:space="preserve">) </w:t>
      </w:r>
      <w:r w:rsidR="00307BBC">
        <w:rPr>
          <w:lang w:val="uk-UA"/>
        </w:rPr>
        <w:t>також не передбачало фізичн</w:t>
      </w:r>
      <w:r w:rsidR="00C46773">
        <w:rPr>
          <w:lang w:val="uk-UA"/>
        </w:rPr>
        <w:t>ого</w:t>
      </w:r>
      <w:r w:rsidR="00307BBC">
        <w:rPr>
          <w:lang w:val="uk-UA"/>
        </w:rPr>
        <w:t xml:space="preserve"> знищення живих членів даної групи</w:t>
      </w:r>
      <w:r w:rsidR="003D6B36">
        <w:t>.</w:t>
      </w:r>
    </w:p>
    <w:p w:rsidRPr="00307BBC" w:rsidR="009F222B" w:rsidP="000E7D49" w:rsidRDefault="00E13EA5">
      <w:pPr>
        <w:pStyle w:val="JuPara"/>
        <w:rPr>
          <w:lang w:val="uk-UA"/>
        </w:rPr>
      </w:pPr>
      <w:r w:rsidRPr="00B62174">
        <w:fldChar w:fldCharType="begin"/>
      </w:r>
      <w:r w:rsidRPr="00B62174">
        <w:instrText xml:space="preserve"> SEQ level0 \*arabic </w:instrText>
      </w:r>
      <w:r w:rsidRPr="00B62174">
        <w:fldChar w:fldCharType="separate"/>
      </w:r>
      <w:r w:rsidR="00142C04">
        <w:rPr>
          <w:noProof/>
        </w:rPr>
        <w:t>97</w:t>
      </w:r>
      <w:r w:rsidRPr="00B62174">
        <w:fldChar w:fldCharType="end"/>
      </w:r>
      <w:r w:rsidRPr="00B62174">
        <w:t>.  </w:t>
      </w:r>
      <w:r w:rsidR="00307BBC">
        <w:rPr>
          <w:lang w:val="uk-UA"/>
        </w:rPr>
        <w:t>З тих же причин, формулювання статті</w:t>
      </w:r>
      <w:r w:rsidR="00077EA3">
        <w:t xml:space="preserve"> </w:t>
      </w:r>
      <w:r w:rsidR="00797168">
        <w:t xml:space="preserve">II </w:t>
      </w:r>
      <w:r w:rsidR="00307BBC">
        <w:rPr>
          <w:lang w:val="uk-UA"/>
        </w:rPr>
        <w:t>Конвенції п</w:t>
      </w:r>
      <w:r w:rsidRPr="00F25090" w:rsidR="00307BBC">
        <w:t>ро запобігання геноциду</w:t>
      </w:r>
      <w:r w:rsidR="00797168">
        <w:t xml:space="preserve">, </w:t>
      </w:r>
      <w:r w:rsidR="00307BBC">
        <w:rPr>
          <w:lang w:val="uk-UA"/>
        </w:rPr>
        <w:t>котре відповідало статті</w:t>
      </w:r>
      <w:r w:rsidR="00077EA3">
        <w:t xml:space="preserve"> </w:t>
      </w:r>
      <w:r w:rsidR="00797168">
        <w:t xml:space="preserve">220a </w:t>
      </w:r>
      <w:r w:rsidR="00307BBC">
        <w:rPr>
          <w:lang w:val="uk-UA"/>
        </w:rPr>
        <w:t>Кримінального кодексу</w:t>
      </w:r>
      <w:r w:rsidR="00797168">
        <w:t xml:space="preserve">, </w:t>
      </w:r>
      <w:r w:rsidR="00307BBC">
        <w:rPr>
          <w:lang w:val="uk-UA"/>
        </w:rPr>
        <w:t>не обмежувало злочин геноциду біологічно-фізичним знищенням даної групи</w:t>
      </w:r>
      <w:r w:rsidR="00797168">
        <w:t>.</w:t>
      </w:r>
      <w:r w:rsidR="00307BBC">
        <w:rPr>
          <w:lang w:val="uk-UA"/>
        </w:rPr>
        <w:t xml:space="preserve"> Це підтверджують численні дослідники і Генеральна Асамблея ООН, котрі тлумачать</w:t>
      </w:r>
      <w:r w:rsidRPr="00307BBC" w:rsidR="00797168">
        <w:rPr>
          <w:lang w:val="uk-UA"/>
        </w:rPr>
        <w:t xml:space="preserve"> </w:t>
      </w:r>
      <w:r w:rsidR="006B6F72">
        <w:rPr>
          <w:lang w:val="uk-UA"/>
        </w:rPr>
        <w:t>Конвенці</w:t>
      </w:r>
      <w:r w:rsidR="00307BBC">
        <w:rPr>
          <w:lang w:val="uk-UA"/>
        </w:rPr>
        <w:t xml:space="preserve">ю </w:t>
      </w:r>
      <w:r w:rsidR="006B6F72">
        <w:rPr>
          <w:lang w:val="uk-UA"/>
        </w:rPr>
        <w:t>п</w:t>
      </w:r>
      <w:r w:rsidRPr="00307BBC" w:rsidR="006B6F72">
        <w:rPr>
          <w:lang w:val="uk-UA"/>
        </w:rPr>
        <w:t>ро запобігання геноциду</w:t>
      </w:r>
      <w:r w:rsidRPr="00307BBC" w:rsidR="00797168">
        <w:rPr>
          <w:lang w:val="uk-UA"/>
        </w:rPr>
        <w:t xml:space="preserve"> </w:t>
      </w:r>
      <w:r w:rsidR="00307BBC">
        <w:rPr>
          <w:lang w:val="uk-UA"/>
        </w:rPr>
        <w:t>таким чином, аби включити захист групи як соціальної спільноти</w:t>
      </w:r>
      <w:r w:rsidRPr="00307BBC" w:rsidR="00062C4D">
        <w:rPr>
          <w:lang w:val="uk-UA"/>
        </w:rPr>
        <w:t xml:space="preserve"> (</w:t>
      </w:r>
      <w:r w:rsidR="00307BBC">
        <w:rPr>
          <w:lang w:val="uk-UA"/>
        </w:rPr>
        <w:t>див. вище параграф</w:t>
      </w:r>
      <w:r w:rsidRPr="00307BBC" w:rsidR="00077EA3">
        <w:rPr>
          <w:lang w:val="uk-UA"/>
        </w:rPr>
        <w:t xml:space="preserve"> </w:t>
      </w:r>
      <w:r w:rsidRPr="00307BBC" w:rsidR="005A6001">
        <w:rPr>
          <w:lang w:val="uk-UA"/>
        </w:rPr>
        <w:t>41</w:t>
      </w:r>
      <w:r w:rsidRPr="00307BBC" w:rsidR="00062C4D">
        <w:rPr>
          <w:lang w:val="uk-UA"/>
        </w:rPr>
        <w:t>)</w:t>
      </w:r>
      <w:r w:rsidRPr="00307BBC" w:rsidR="00797168">
        <w:rPr>
          <w:lang w:val="uk-UA"/>
        </w:rPr>
        <w:t>.</w:t>
      </w:r>
    </w:p>
    <w:p w:rsidR="00C5688C" w:rsidP="000E7D49" w:rsidRDefault="00CF0D8F">
      <w:pPr>
        <w:pStyle w:val="JuPara"/>
      </w:pPr>
      <w:r w:rsidRPr="00B62174">
        <w:fldChar w:fldCharType="begin"/>
      </w:r>
      <w:r w:rsidRPr="00B62174">
        <w:instrText xml:space="preserve"> SEQ level0 \*arabic </w:instrText>
      </w:r>
      <w:r w:rsidRPr="00B62174">
        <w:fldChar w:fldCharType="separate"/>
      </w:r>
      <w:r w:rsidR="00142C04">
        <w:rPr>
          <w:noProof/>
        </w:rPr>
        <w:t>98</w:t>
      </w:r>
      <w:r w:rsidRPr="00B62174">
        <w:fldChar w:fldCharType="end"/>
      </w:r>
      <w:r w:rsidRPr="00B62174">
        <w:t>.  </w:t>
      </w:r>
      <w:r w:rsidR="005B35D2">
        <w:rPr>
          <w:lang w:val="uk-UA"/>
        </w:rPr>
        <w:t xml:space="preserve">Оскільки тлумачення німецькими судами злочину геноциду є сумісним з </w:t>
      </w:r>
      <w:r w:rsidR="00DC57D6">
        <w:rPr>
          <w:lang w:val="uk-UA"/>
        </w:rPr>
        <w:t>формулюванням</w:t>
      </w:r>
      <w:r w:rsidR="005B35D2">
        <w:t xml:space="preserve"> </w:t>
      </w:r>
      <w:r w:rsidR="00DC57D6">
        <w:rPr>
          <w:lang w:val="uk-UA"/>
        </w:rPr>
        <w:t>статті</w:t>
      </w:r>
      <w:r w:rsidR="00DC57D6">
        <w:t xml:space="preserve"> 220a </w:t>
      </w:r>
      <w:r w:rsidR="00DC57D6">
        <w:rPr>
          <w:lang w:val="uk-UA"/>
        </w:rPr>
        <w:t>Кримінального кодексу</w:t>
      </w:r>
      <w:r w:rsidR="00C5688C">
        <w:t xml:space="preserve">, </w:t>
      </w:r>
      <w:r w:rsidR="00DC57D6">
        <w:rPr>
          <w:lang w:val="uk-UA"/>
        </w:rPr>
        <w:t xml:space="preserve">тлумачення національних судів було передбачуваним на момент, коли заявник скоював злочини у </w:t>
      </w:r>
      <w:r w:rsidR="00C5688C">
        <w:t>1992</w:t>
      </w:r>
      <w:r w:rsidR="00DC57D6">
        <w:rPr>
          <w:lang w:val="uk-UA"/>
        </w:rPr>
        <w:t xml:space="preserve"> році</w:t>
      </w:r>
      <w:r w:rsidR="009F3001">
        <w:t xml:space="preserve">. </w:t>
      </w:r>
      <w:r w:rsidR="00DC57D6">
        <w:rPr>
          <w:lang w:val="uk-UA"/>
        </w:rPr>
        <w:t xml:space="preserve">Окрім того, німецькі науковці погодились із думкою, що кримінальна відповідальність за геноцид спрямована також на захист соціального існування групи </w:t>
      </w:r>
      <w:r w:rsidR="00474684">
        <w:t>(</w:t>
      </w:r>
      <w:r w:rsidR="00DC57D6">
        <w:rPr>
          <w:lang w:val="uk-UA"/>
        </w:rPr>
        <w:t>див. вище параграф</w:t>
      </w:r>
      <w:r w:rsidRPr="00307BBC" w:rsidR="00DC57D6">
        <w:rPr>
          <w:lang w:val="uk-UA"/>
        </w:rPr>
        <w:t xml:space="preserve"> </w:t>
      </w:r>
      <w:r w:rsidRPr="00B93380" w:rsidR="001C2023">
        <w:t>36</w:t>
      </w:r>
      <w:r w:rsidR="00474684">
        <w:t>)</w:t>
      </w:r>
      <w:r w:rsidR="00C5688C">
        <w:t>.</w:t>
      </w:r>
    </w:p>
    <w:p w:rsidR="00C5688C" w:rsidP="000E7D49" w:rsidRDefault="00B14AF4">
      <w:pPr>
        <w:pStyle w:val="JuPara"/>
      </w:pPr>
      <w:r w:rsidRPr="00B62174">
        <w:fldChar w:fldCharType="begin"/>
      </w:r>
      <w:r w:rsidRPr="00B62174">
        <w:instrText xml:space="preserve"> SEQ level0 \*arabic </w:instrText>
      </w:r>
      <w:r w:rsidRPr="00B62174">
        <w:fldChar w:fldCharType="separate"/>
      </w:r>
      <w:r w:rsidR="00142C04">
        <w:rPr>
          <w:noProof/>
        </w:rPr>
        <w:t>99</w:t>
      </w:r>
      <w:r w:rsidRPr="00B62174">
        <w:fldChar w:fldCharType="end"/>
      </w:r>
      <w:r w:rsidRPr="00B62174">
        <w:t>.  </w:t>
      </w:r>
      <w:r w:rsidR="00C36D9E">
        <w:rPr>
          <w:lang w:val="uk-UA"/>
        </w:rPr>
        <w:t>Уряд з</w:t>
      </w:r>
      <w:r w:rsidR="00AA3D03">
        <w:rPr>
          <w:lang w:val="uk-UA"/>
        </w:rPr>
        <w:t>а</w:t>
      </w:r>
      <w:r w:rsidR="00C36D9E">
        <w:rPr>
          <w:lang w:val="uk-UA"/>
        </w:rPr>
        <w:t>уваж</w:t>
      </w:r>
      <w:r w:rsidR="00AA3D03">
        <w:rPr>
          <w:lang w:val="uk-UA"/>
        </w:rPr>
        <w:t>и</w:t>
      </w:r>
      <w:r w:rsidR="00C36D9E">
        <w:rPr>
          <w:lang w:val="uk-UA"/>
        </w:rPr>
        <w:t xml:space="preserve">в, що у вироку від </w:t>
      </w:r>
      <w:r w:rsidR="00C41D0B">
        <w:t>2</w:t>
      </w:r>
      <w:r w:rsidR="00077EA3">
        <w:t xml:space="preserve"> </w:t>
      </w:r>
      <w:r w:rsidR="00C36D9E">
        <w:rPr>
          <w:lang w:val="uk-UA"/>
        </w:rPr>
        <w:t>серпня</w:t>
      </w:r>
      <w:r w:rsidR="00C41D0B">
        <w:t xml:space="preserve"> 2001</w:t>
      </w:r>
      <w:r w:rsidR="00C36D9E">
        <w:rPr>
          <w:lang w:val="uk-UA"/>
        </w:rPr>
        <w:t xml:space="preserve"> року, залишеному після апеляції без змін, у справі</w:t>
      </w:r>
      <w:r w:rsidR="00C41D0B">
        <w:t xml:space="preserve"> </w:t>
      </w:r>
      <w:r w:rsidR="005A2C30">
        <w:rPr>
          <w:i/>
          <w:lang w:val="uk-UA"/>
        </w:rPr>
        <w:t>Прокурор проти Крстіча</w:t>
      </w:r>
      <w:r w:rsidR="00C41D0B">
        <w:t xml:space="preserve">, </w:t>
      </w:r>
      <w:r w:rsidR="00C36D9E">
        <w:rPr>
          <w:lang w:val="uk-UA"/>
        </w:rPr>
        <w:t>Судова Палата МКТЮ однозначно відхилила тлумачення Федеральним Конституційним судом</w:t>
      </w:r>
      <w:r w:rsidRPr="00AA3D03" w:rsidR="00AA3D03">
        <w:rPr>
          <w:lang w:val="uk-UA"/>
        </w:rPr>
        <w:t xml:space="preserve"> </w:t>
      </w:r>
      <w:r w:rsidR="00AA3D03">
        <w:rPr>
          <w:lang w:val="uk-UA"/>
        </w:rPr>
        <w:t>поняття «намір знищити»</w:t>
      </w:r>
      <w:r w:rsidR="00C36D9E">
        <w:rPr>
          <w:lang w:val="uk-UA"/>
        </w:rPr>
        <w:t xml:space="preserve"> у рішенні за даною справою</w:t>
      </w:r>
      <w:r w:rsidR="00C41D0B">
        <w:t xml:space="preserve">. </w:t>
      </w:r>
      <w:r w:rsidR="00C36D9E">
        <w:rPr>
          <w:lang w:val="uk-UA"/>
        </w:rPr>
        <w:t xml:space="preserve">Спираючись на принцип </w:t>
      </w:r>
      <w:r w:rsidRPr="00C41D0B" w:rsidR="00C41D0B">
        <w:rPr>
          <w:i/>
        </w:rPr>
        <w:t>nullum crimen sine lege</w:t>
      </w:r>
      <w:r w:rsidR="00C41D0B">
        <w:t xml:space="preserve">, </w:t>
      </w:r>
      <w:r w:rsidR="00C36D9E">
        <w:rPr>
          <w:lang w:val="uk-UA"/>
        </w:rPr>
        <w:t>МКТЮ вперше стверджував, що міжнародне публічне право обмежує злоч</w:t>
      </w:r>
      <w:r w:rsidR="004B56F2">
        <w:rPr>
          <w:lang w:val="uk-UA"/>
        </w:rPr>
        <w:t>ин геноциду діяннями, спрямованими</w:t>
      </w:r>
      <w:r w:rsidR="00C36D9E">
        <w:rPr>
          <w:lang w:val="uk-UA"/>
        </w:rPr>
        <w:t xml:space="preserve"> на біологічне або фізичне знищення групи</w:t>
      </w:r>
      <w:r w:rsidR="00C41D0B">
        <w:t xml:space="preserve">. </w:t>
      </w:r>
      <w:r w:rsidR="00C36D9E">
        <w:rPr>
          <w:lang w:val="uk-UA"/>
        </w:rPr>
        <w:t xml:space="preserve">Проте, таке вузьке тлумачення </w:t>
      </w:r>
      <w:r w:rsidR="000A35E4">
        <w:rPr>
          <w:lang w:val="uk-UA"/>
        </w:rPr>
        <w:t xml:space="preserve">МКТЮ у </w:t>
      </w:r>
      <w:r w:rsidR="000A35E4">
        <w:t>2001</w:t>
      </w:r>
      <w:r w:rsidR="000A35E4">
        <w:rPr>
          <w:lang w:val="uk-UA"/>
        </w:rPr>
        <w:t xml:space="preserve"> році </w:t>
      </w:r>
      <w:r w:rsidR="00C36D9E">
        <w:rPr>
          <w:lang w:val="uk-UA"/>
        </w:rPr>
        <w:t>обсягу злочину геноциду</w:t>
      </w:r>
      <w:r w:rsidR="000A35E4">
        <w:rPr>
          <w:lang w:val="uk-UA"/>
        </w:rPr>
        <w:t xml:space="preserve"> (котре, на думку Уряду, є непереконливим) не ставить під сумнів той факт, що заявник міг передбачати, скоюючи злочини у </w:t>
      </w:r>
      <w:r w:rsidR="004A4511">
        <w:t>1992</w:t>
      </w:r>
      <w:r w:rsidR="000A35E4">
        <w:rPr>
          <w:lang w:val="uk-UA"/>
        </w:rPr>
        <w:t xml:space="preserve"> році</w:t>
      </w:r>
      <w:r w:rsidR="004A4511">
        <w:t>,</w:t>
      </w:r>
      <w:r w:rsidR="000A35E4">
        <w:rPr>
          <w:lang w:val="uk-UA"/>
        </w:rPr>
        <w:t xml:space="preserve"> що їх кваліфікуватимуть як геноцид</w:t>
      </w:r>
      <w:r w:rsidR="004A4511">
        <w:t>.</w:t>
      </w:r>
      <w:r w:rsidR="00530702">
        <w:t xml:space="preserve"> </w:t>
      </w:r>
      <w:r w:rsidR="000A35E4">
        <w:rPr>
          <w:lang w:val="uk-UA"/>
        </w:rPr>
        <w:t>У кожному випадку, німецькі суди не кваліфікували етнічні чистки загалом як геноцид, а встановили, що заявник, за обставин даної справи, був винним у геноциді, оскільки мав намір знищити групу як соціальну спільноту, а не лише вигнати її</w:t>
      </w:r>
      <w:r w:rsidR="00530702">
        <w:t>.</w:t>
      </w:r>
    </w:p>
    <w:p w:rsidRPr="009C2A9D" w:rsidR="000E7D49" w:rsidP="000E7D49" w:rsidRDefault="000E7D49">
      <w:pPr>
        <w:pStyle w:val="JuH1"/>
        <w:rPr>
          <w:lang w:val="uk-UA"/>
        </w:rPr>
      </w:pPr>
      <w:r>
        <w:t>2.  </w:t>
      </w:r>
      <w:r w:rsidR="009C2A9D">
        <w:rPr>
          <w:lang w:val="uk-UA"/>
        </w:rPr>
        <w:t>Оцінка Суду</w:t>
      </w:r>
    </w:p>
    <w:p w:rsidRPr="009C2A9D" w:rsidR="00474684" w:rsidP="00474684" w:rsidRDefault="00AF25A3">
      <w:pPr>
        <w:pStyle w:val="JuHa0"/>
        <w:rPr>
          <w:lang w:val="uk-UA"/>
        </w:rPr>
      </w:pPr>
      <w:r>
        <w:t>(</w:t>
      </w:r>
      <w:r w:rsidR="00474684">
        <w:t>a</w:t>
      </w:r>
      <w:r>
        <w:t>)</w:t>
      </w:r>
      <w:r w:rsidR="00474684">
        <w:t>  </w:t>
      </w:r>
      <w:r w:rsidR="009C2A9D">
        <w:rPr>
          <w:lang w:val="uk-UA"/>
        </w:rPr>
        <w:t>Загальні принципи</w:t>
      </w:r>
    </w:p>
    <w:p w:rsidRPr="0058518F" w:rsidR="00A4043D" w:rsidP="00A4043D" w:rsidRDefault="006A0CFD">
      <w:pPr>
        <w:pStyle w:val="JuPara"/>
      </w:pPr>
      <w:r w:rsidRPr="00B62174">
        <w:fldChar w:fldCharType="begin"/>
      </w:r>
      <w:r w:rsidRPr="00B62174">
        <w:instrText xml:space="preserve"> SEQ level0 \*arabic </w:instrText>
      </w:r>
      <w:r w:rsidRPr="00B62174">
        <w:fldChar w:fldCharType="separate"/>
      </w:r>
      <w:r w:rsidR="00142C04">
        <w:rPr>
          <w:noProof/>
        </w:rPr>
        <w:t>100</w:t>
      </w:r>
      <w:r w:rsidRPr="00B62174">
        <w:fldChar w:fldCharType="end"/>
      </w:r>
      <w:r w:rsidRPr="00B62174">
        <w:t>.  </w:t>
      </w:r>
      <w:r w:rsidR="00E83B4D">
        <w:rPr>
          <w:lang w:val="uk-UA"/>
        </w:rPr>
        <w:t>Суд зазначає, що г</w:t>
      </w:r>
      <w:r w:rsidR="00E83B4D">
        <w:t>арантія, закріплена у статті</w:t>
      </w:r>
      <w:r w:rsidRPr="00671568" w:rsidR="00E83B4D">
        <w:t xml:space="preserve"> </w:t>
      </w:r>
      <w:r w:rsidRPr="00062875" w:rsidR="00E83B4D">
        <w:t xml:space="preserve">7 </w:t>
      </w:r>
      <w:r w:rsidR="00E83B4D">
        <w:rPr>
          <w:lang w:val="uk-UA"/>
        </w:rPr>
        <w:t>Конвенції, є</w:t>
      </w:r>
      <w:r w:rsidRPr="00062875" w:rsidR="00E83B4D">
        <w:t xml:space="preserve"> істотни</w:t>
      </w:r>
      <w:r w:rsidR="00E83B4D">
        <w:rPr>
          <w:lang w:val="uk-UA"/>
        </w:rPr>
        <w:t>м</w:t>
      </w:r>
      <w:r w:rsidRPr="00062875" w:rsidR="00E83B4D">
        <w:t xml:space="preserve"> елемен</w:t>
      </w:r>
      <w:r w:rsidR="000E5545">
        <w:rPr>
          <w:lang w:val="uk-UA"/>
        </w:rPr>
        <w:t>том</w:t>
      </w:r>
      <w:r w:rsidRPr="00062875" w:rsidR="00E83B4D">
        <w:t xml:space="preserve"> верховенства права</w:t>
      </w:r>
      <w:r w:rsidR="00A4043D">
        <w:t xml:space="preserve">. </w:t>
      </w:r>
      <w:r w:rsidR="00E83B4D">
        <w:rPr>
          <w:lang w:val="uk-UA"/>
        </w:rPr>
        <w:t xml:space="preserve">Вона </w:t>
      </w:r>
      <w:r w:rsidR="00E83B4D">
        <w:t xml:space="preserve">не обмежується </w:t>
      </w:r>
      <w:proofErr w:type="spellStart"/>
      <w:r w:rsidR="00E83B4D">
        <w:t>забороною</w:t>
      </w:r>
      <w:proofErr w:type="spellEnd"/>
      <w:r w:rsidR="00E83B4D">
        <w:t xml:space="preserve"> </w:t>
      </w:r>
      <w:proofErr w:type="spellStart"/>
      <w:r w:rsidR="00E83B4D">
        <w:t>ретроспективного</w:t>
      </w:r>
      <w:proofErr w:type="spellEnd"/>
      <w:r w:rsidR="00E83B4D">
        <w:t xml:space="preserve"> </w:t>
      </w:r>
      <w:proofErr w:type="spellStart"/>
      <w:r w:rsidR="00E83B4D">
        <w:t>застосування</w:t>
      </w:r>
      <w:proofErr w:type="spellEnd"/>
      <w:r w:rsidR="00E83B4D">
        <w:t xml:space="preserve"> </w:t>
      </w:r>
      <w:proofErr w:type="spellStart"/>
      <w:r w:rsidR="00E83B4D">
        <w:t>кримінального</w:t>
      </w:r>
      <w:proofErr w:type="spellEnd"/>
      <w:r w:rsidR="00E83B4D">
        <w:t xml:space="preserve"> </w:t>
      </w:r>
      <w:proofErr w:type="spellStart"/>
      <w:r w:rsidR="00E83B4D">
        <w:t>закону</w:t>
      </w:r>
      <w:proofErr w:type="spellEnd"/>
      <w:r w:rsidR="00E83B4D">
        <w:t xml:space="preserve"> </w:t>
      </w:r>
      <w:proofErr w:type="spellStart"/>
      <w:r w:rsidR="00E83B4D">
        <w:t>на</w:t>
      </w:r>
      <w:proofErr w:type="spellEnd"/>
      <w:r w:rsidR="00E83B4D">
        <w:t xml:space="preserve"> </w:t>
      </w:r>
      <w:proofErr w:type="spellStart"/>
      <w:r w:rsidR="00E83B4D">
        <w:t>шкоду</w:t>
      </w:r>
      <w:proofErr w:type="spellEnd"/>
      <w:r w:rsidR="00E83B4D">
        <w:t xml:space="preserve"> обвинуваченому</w:t>
      </w:r>
      <w:r w:rsidR="00A4043D">
        <w:t xml:space="preserve">. </w:t>
      </w:r>
      <w:r w:rsidR="006B1A4E">
        <w:rPr>
          <w:lang w:val="uk-UA"/>
        </w:rPr>
        <w:t>В</w:t>
      </w:r>
      <w:proofErr w:type="spellStart"/>
      <w:r w:rsidR="006B1A4E">
        <w:t>она</w:t>
      </w:r>
      <w:proofErr w:type="spellEnd"/>
      <w:r w:rsidR="006B1A4E">
        <w:t xml:space="preserve"> </w:t>
      </w:r>
      <w:proofErr w:type="spellStart"/>
      <w:r w:rsidR="006B1A4E">
        <w:t>також</w:t>
      </w:r>
      <w:proofErr w:type="spellEnd"/>
      <w:r w:rsidR="006B1A4E">
        <w:t xml:space="preserve"> </w:t>
      </w:r>
      <w:proofErr w:type="spellStart"/>
      <w:r w:rsidR="006B1A4E">
        <w:t>втілює</w:t>
      </w:r>
      <w:proofErr w:type="spellEnd"/>
      <w:r w:rsidR="006B1A4E">
        <w:t xml:space="preserve"> </w:t>
      </w:r>
      <w:proofErr w:type="spellStart"/>
      <w:r w:rsidR="006B1A4E">
        <w:t>загалом</w:t>
      </w:r>
      <w:proofErr w:type="spellEnd"/>
      <w:r w:rsidR="006B1A4E">
        <w:t xml:space="preserve"> </w:t>
      </w:r>
      <w:proofErr w:type="spellStart"/>
      <w:r w:rsidR="006B1A4E">
        <w:t>принцип</w:t>
      </w:r>
      <w:proofErr w:type="spellEnd"/>
      <w:r w:rsidR="006B1A4E">
        <w:t xml:space="preserve">, </w:t>
      </w:r>
      <w:proofErr w:type="spellStart"/>
      <w:r w:rsidR="006B1A4E">
        <w:t>що</w:t>
      </w:r>
      <w:proofErr w:type="spellEnd"/>
      <w:r w:rsidR="006B1A4E">
        <w:t xml:space="preserve"> </w:t>
      </w:r>
      <w:proofErr w:type="spellStart"/>
      <w:r w:rsidR="006B1A4E">
        <w:t>лише</w:t>
      </w:r>
      <w:proofErr w:type="spellEnd"/>
      <w:r w:rsidR="006B1A4E">
        <w:t xml:space="preserve"> </w:t>
      </w:r>
      <w:proofErr w:type="spellStart"/>
      <w:r w:rsidR="006B1A4E">
        <w:t>закон</w:t>
      </w:r>
      <w:proofErr w:type="spellEnd"/>
      <w:r w:rsidR="006B1A4E">
        <w:t xml:space="preserve"> може </w:t>
      </w:r>
      <w:proofErr w:type="spellStart"/>
      <w:r w:rsidR="006B1A4E">
        <w:t>визначити</w:t>
      </w:r>
      <w:proofErr w:type="spellEnd"/>
      <w:r w:rsidR="006B1A4E">
        <w:t xml:space="preserve"> </w:t>
      </w:r>
      <w:proofErr w:type="spellStart"/>
      <w:r w:rsidR="006B1A4E">
        <w:t>злочин</w:t>
      </w:r>
      <w:proofErr w:type="spellEnd"/>
      <w:r w:rsidR="006B1A4E">
        <w:t xml:space="preserve"> і </w:t>
      </w:r>
      <w:proofErr w:type="spellStart"/>
      <w:r w:rsidR="006B1A4E">
        <w:t>встановити</w:t>
      </w:r>
      <w:proofErr w:type="spellEnd"/>
      <w:r w:rsidR="006B1A4E">
        <w:t xml:space="preserve"> покарання</w:t>
      </w:r>
      <w:r w:rsidRPr="007C0CCC" w:rsidR="006B1A4E">
        <w:t xml:space="preserve"> </w:t>
      </w:r>
      <w:r w:rsidRPr="007C0CCC" w:rsidR="00A4043D">
        <w:t>(</w:t>
      </w:r>
      <w:r w:rsidRPr="007C0CCC" w:rsidR="00A4043D">
        <w:rPr>
          <w:i/>
        </w:rPr>
        <w:t xml:space="preserve">nullum crimen, </w:t>
      </w:r>
      <w:proofErr w:type="spellStart"/>
      <w:r w:rsidRPr="007C0CCC" w:rsidR="00A4043D">
        <w:rPr>
          <w:i/>
        </w:rPr>
        <w:t>nulla</w:t>
      </w:r>
      <w:proofErr w:type="spellEnd"/>
      <w:r w:rsidRPr="007C0CCC" w:rsidR="00A4043D">
        <w:rPr>
          <w:i/>
        </w:rPr>
        <w:t xml:space="preserve"> </w:t>
      </w:r>
      <w:proofErr w:type="spellStart"/>
      <w:r w:rsidRPr="007C0CCC" w:rsidR="00A4043D">
        <w:rPr>
          <w:i/>
        </w:rPr>
        <w:t>poena</w:t>
      </w:r>
      <w:proofErr w:type="spellEnd"/>
      <w:r w:rsidRPr="007C0CCC" w:rsidR="00A4043D">
        <w:rPr>
          <w:i/>
        </w:rPr>
        <w:t xml:space="preserve"> sine </w:t>
      </w:r>
      <w:r w:rsidRPr="00DB3579" w:rsidR="00A4043D">
        <w:rPr>
          <w:i/>
        </w:rPr>
        <w:t>lege</w:t>
      </w:r>
      <w:r w:rsidRPr="00DB3579" w:rsidR="00A4043D">
        <w:t>)</w:t>
      </w:r>
      <w:r w:rsidRPr="00DB3579" w:rsidR="004B56F2">
        <w:rPr>
          <w:lang w:val="uk-UA"/>
        </w:rPr>
        <w:t>,</w:t>
      </w:r>
      <w:r w:rsidRPr="00DB3579" w:rsidR="00A4043D">
        <w:t xml:space="preserve"> </w:t>
      </w:r>
      <w:r w:rsidRPr="00DB3579" w:rsidR="00AA3946">
        <w:t xml:space="preserve">а </w:t>
      </w:r>
      <w:proofErr w:type="spellStart"/>
      <w:r w:rsidRPr="00DB3579" w:rsidR="00AA3946">
        <w:t>також</w:t>
      </w:r>
      <w:proofErr w:type="spellEnd"/>
      <w:r w:rsidRPr="00DB3579" w:rsidR="00AA3946">
        <w:t xml:space="preserve"> </w:t>
      </w:r>
      <w:proofErr w:type="spellStart"/>
      <w:r w:rsidRPr="00DB3579" w:rsidR="00AA3946">
        <w:t>принцип</w:t>
      </w:r>
      <w:proofErr w:type="spellEnd"/>
      <w:r w:rsidRPr="00DB3579" w:rsidR="00AA3946">
        <w:t xml:space="preserve">, </w:t>
      </w:r>
      <w:proofErr w:type="spellStart"/>
      <w:r w:rsidRPr="00DB3579" w:rsidR="00AA3946">
        <w:t>що</w:t>
      </w:r>
      <w:proofErr w:type="spellEnd"/>
      <w:r w:rsidRPr="00DB3579" w:rsidR="00AA3946">
        <w:t xml:space="preserve"> </w:t>
      </w:r>
      <w:proofErr w:type="spellStart"/>
      <w:r w:rsidRPr="00DB3579" w:rsidR="00AA3946">
        <w:t>кримінальний</w:t>
      </w:r>
      <w:proofErr w:type="spellEnd"/>
      <w:r w:rsidRPr="00DB3579" w:rsidR="00AA3946">
        <w:t xml:space="preserve"> </w:t>
      </w:r>
      <w:proofErr w:type="spellStart"/>
      <w:r w:rsidRPr="00DB3579" w:rsidR="00AA3946">
        <w:t>закон</w:t>
      </w:r>
      <w:proofErr w:type="spellEnd"/>
      <w:r w:rsidRPr="00DB3579" w:rsidR="00AA3946">
        <w:t xml:space="preserve"> не </w:t>
      </w:r>
      <w:proofErr w:type="spellStart"/>
      <w:r w:rsidRPr="00DB3579" w:rsidR="00AA3946">
        <w:t>повинен</w:t>
      </w:r>
      <w:proofErr w:type="spellEnd"/>
      <w:r w:rsidRPr="00DB3579" w:rsidR="00AA3946">
        <w:t xml:space="preserve"> </w:t>
      </w:r>
      <w:proofErr w:type="spellStart"/>
      <w:r w:rsidRPr="00DB3579" w:rsidR="00AA3946">
        <w:t>надто</w:t>
      </w:r>
      <w:proofErr w:type="spellEnd"/>
      <w:r w:rsidRPr="00DB3579" w:rsidR="00AA3946">
        <w:t xml:space="preserve"> </w:t>
      </w:r>
      <w:proofErr w:type="spellStart"/>
      <w:r w:rsidRPr="00DB3579" w:rsidR="00AA3946">
        <w:t>широко</w:t>
      </w:r>
      <w:proofErr w:type="spellEnd"/>
      <w:r w:rsidRPr="00DB3579" w:rsidR="00AA3946">
        <w:t xml:space="preserve"> </w:t>
      </w:r>
      <w:proofErr w:type="spellStart"/>
      <w:r w:rsidRPr="00DB3579" w:rsidR="00AA3946">
        <w:t>тлумачитись</w:t>
      </w:r>
      <w:proofErr w:type="spellEnd"/>
      <w:r w:rsidRPr="00DB3579" w:rsidR="00AA3946">
        <w:t xml:space="preserve"> </w:t>
      </w:r>
      <w:proofErr w:type="spellStart"/>
      <w:r w:rsidRPr="00DB3579" w:rsidR="00AA3946">
        <w:t>на</w:t>
      </w:r>
      <w:proofErr w:type="spellEnd"/>
      <w:r w:rsidRPr="00DB3579" w:rsidR="00AA3946">
        <w:t xml:space="preserve"> </w:t>
      </w:r>
      <w:proofErr w:type="spellStart"/>
      <w:r w:rsidRPr="00DB3579" w:rsidR="00AA3946">
        <w:t>шкоду</w:t>
      </w:r>
      <w:proofErr w:type="spellEnd"/>
      <w:r w:rsidRPr="00DB3579" w:rsidR="00AA3946">
        <w:t xml:space="preserve"> </w:t>
      </w:r>
      <w:proofErr w:type="spellStart"/>
      <w:r w:rsidRPr="00DB3579" w:rsidR="00AA3946">
        <w:t>обвинуваченому</w:t>
      </w:r>
      <w:proofErr w:type="spellEnd"/>
      <w:r w:rsidRPr="00DB3579" w:rsidR="00AA3946">
        <w:t xml:space="preserve">, </w:t>
      </w:r>
      <w:proofErr w:type="spellStart"/>
      <w:r w:rsidRPr="00DB3579" w:rsidR="00AA3946">
        <w:t>наприклад</w:t>
      </w:r>
      <w:proofErr w:type="spellEnd"/>
      <w:r w:rsidRPr="00DB3579" w:rsidR="00AA3946">
        <w:t xml:space="preserve">, за </w:t>
      </w:r>
      <w:proofErr w:type="spellStart"/>
      <w:r w:rsidRPr="00DB3579" w:rsidR="00AA3946">
        <w:t>аналогією</w:t>
      </w:r>
      <w:proofErr w:type="spellEnd"/>
      <w:r w:rsidRPr="00DB3579" w:rsidR="00A4043D">
        <w:t xml:space="preserve">. </w:t>
      </w:r>
      <w:proofErr w:type="spellStart"/>
      <w:r w:rsidRPr="00DB3579" w:rsidR="00EE0788">
        <w:t>Відповідно</w:t>
      </w:r>
      <w:proofErr w:type="spellEnd"/>
      <w:r w:rsidRPr="00DB3579" w:rsidR="00EE0788">
        <w:t xml:space="preserve"> </w:t>
      </w:r>
      <w:proofErr w:type="spellStart"/>
      <w:r w:rsidRPr="00DB3579" w:rsidR="00EE0788">
        <w:t>до</w:t>
      </w:r>
      <w:proofErr w:type="spellEnd"/>
      <w:r w:rsidRPr="00DB3579" w:rsidR="00EE0788">
        <w:t xml:space="preserve"> </w:t>
      </w:r>
      <w:proofErr w:type="spellStart"/>
      <w:r w:rsidRPr="00DB3579" w:rsidR="00EE0788">
        <w:t>цієї</w:t>
      </w:r>
      <w:proofErr w:type="spellEnd"/>
      <w:r w:rsidRPr="00DB3579" w:rsidR="00EE0788">
        <w:t xml:space="preserve"> </w:t>
      </w:r>
      <w:proofErr w:type="spellStart"/>
      <w:r w:rsidRPr="00DB3579" w:rsidR="00EE0788">
        <w:t>вимоги</w:t>
      </w:r>
      <w:proofErr w:type="spellEnd"/>
      <w:r w:rsidRPr="00DB3579" w:rsidR="00EE0788">
        <w:t xml:space="preserve">, </w:t>
      </w:r>
      <w:proofErr w:type="spellStart"/>
      <w:r w:rsidRPr="00DB3579" w:rsidR="00EE0788">
        <w:t>особа</w:t>
      </w:r>
      <w:proofErr w:type="spellEnd"/>
      <w:r w:rsidRPr="00DB3579" w:rsidR="00EE0788">
        <w:t xml:space="preserve"> </w:t>
      </w:r>
      <w:proofErr w:type="spellStart"/>
      <w:r w:rsidRPr="00DB3579" w:rsidR="00EE0788">
        <w:t>повинна</w:t>
      </w:r>
      <w:proofErr w:type="spellEnd"/>
      <w:r w:rsidRPr="00DB3579" w:rsidR="00EE0788">
        <w:t xml:space="preserve"> </w:t>
      </w:r>
      <w:proofErr w:type="spellStart"/>
      <w:r w:rsidRPr="00DB3579" w:rsidR="00EE0788">
        <w:t>сама</w:t>
      </w:r>
      <w:proofErr w:type="spellEnd"/>
      <w:r w:rsidRPr="00DB3579" w:rsidR="00EE0788">
        <w:t xml:space="preserve">, а за </w:t>
      </w:r>
      <w:r w:rsidRPr="00DB3579" w:rsidR="004B5A08">
        <w:rPr>
          <w:lang w:val="uk-UA"/>
        </w:rPr>
        <w:t xml:space="preserve">потреби </w:t>
      </w:r>
      <w:r w:rsidRPr="00DB3579" w:rsidR="00EE0788">
        <w:t>–</w:t>
      </w:r>
      <w:r w:rsidR="00EE0788">
        <w:t xml:space="preserve"> за </w:t>
      </w:r>
      <w:proofErr w:type="spellStart"/>
      <w:r w:rsidR="00EE0788">
        <w:t>допомогою</w:t>
      </w:r>
      <w:proofErr w:type="spellEnd"/>
      <w:r w:rsidR="00EE0788">
        <w:t xml:space="preserve"> </w:t>
      </w:r>
      <w:proofErr w:type="spellStart"/>
      <w:r w:rsidR="00EE0788">
        <w:t>судової</w:t>
      </w:r>
      <w:proofErr w:type="spellEnd"/>
      <w:r w:rsidR="00EE0788">
        <w:t xml:space="preserve"> </w:t>
      </w:r>
      <w:proofErr w:type="spellStart"/>
      <w:r w:rsidR="00EE0788">
        <w:t>інтерпретації</w:t>
      </w:r>
      <w:proofErr w:type="spellEnd"/>
      <w:r w:rsidR="00EE0788">
        <w:t xml:space="preserve">, </w:t>
      </w:r>
      <w:proofErr w:type="spellStart"/>
      <w:r w:rsidR="00EE0788">
        <w:t>розуміти</w:t>
      </w:r>
      <w:proofErr w:type="spellEnd"/>
      <w:r w:rsidR="00EE0788">
        <w:t xml:space="preserve"> </w:t>
      </w:r>
      <w:proofErr w:type="spellStart"/>
      <w:r w:rsidR="00EE0788">
        <w:t>зі</w:t>
      </w:r>
      <w:proofErr w:type="spellEnd"/>
      <w:r w:rsidR="00EE0788">
        <w:t xml:space="preserve"> </w:t>
      </w:r>
      <w:proofErr w:type="spellStart"/>
      <w:r w:rsidR="00EE0788">
        <w:t>слів</w:t>
      </w:r>
      <w:proofErr w:type="spellEnd"/>
      <w:r w:rsidR="00EE0788">
        <w:t xml:space="preserve"> </w:t>
      </w:r>
      <w:proofErr w:type="spellStart"/>
      <w:r w:rsidR="00EE0788">
        <w:t>відповідного</w:t>
      </w:r>
      <w:proofErr w:type="spellEnd"/>
      <w:r w:rsidR="00EE0788">
        <w:t xml:space="preserve"> </w:t>
      </w:r>
      <w:proofErr w:type="spellStart"/>
      <w:r w:rsidR="00EE0788">
        <w:t>положення</w:t>
      </w:r>
      <w:proofErr w:type="spellEnd"/>
      <w:r w:rsidR="00EE0788">
        <w:t xml:space="preserve">, </w:t>
      </w:r>
      <w:proofErr w:type="spellStart"/>
      <w:r w:rsidR="00EE0788">
        <w:t>які</w:t>
      </w:r>
      <w:proofErr w:type="spellEnd"/>
      <w:r w:rsidR="00EE0788">
        <w:t xml:space="preserve"> </w:t>
      </w:r>
      <w:proofErr w:type="spellStart"/>
      <w:r w:rsidR="00EE0788">
        <w:t>дії</w:t>
      </w:r>
      <w:proofErr w:type="spellEnd"/>
      <w:r w:rsidR="00EE0788">
        <w:t xml:space="preserve"> </w:t>
      </w:r>
      <w:proofErr w:type="spellStart"/>
      <w:r w:rsidR="00EE0788">
        <w:t>або</w:t>
      </w:r>
      <w:proofErr w:type="spellEnd"/>
      <w:r w:rsidR="00EE0788">
        <w:t xml:space="preserve"> </w:t>
      </w:r>
      <w:proofErr w:type="spellStart"/>
      <w:r w:rsidR="00EE0788">
        <w:t>бездіяльність</w:t>
      </w:r>
      <w:proofErr w:type="spellEnd"/>
      <w:r w:rsidR="00EE0788">
        <w:t xml:space="preserve"> </w:t>
      </w:r>
      <w:proofErr w:type="spellStart"/>
      <w:r w:rsidR="00EE0788">
        <w:t>викликають</w:t>
      </w:r>
      <w:proofErr w:type="spellEnd"/>
      <w:r w:rsidR="00EE0788">
        <w:t xml:space="preserve"> </w:t>
      </w:r>
      <w:proofErr w:type="spellStart"/>
      <w:r w:rsidR="00EE0788">
        <w:t>кримінальну</w:t>
      </w:r>
      <w:proofErr w:type="spellEnd"/>
      <w:r w:rsidR="00EE0788">
        <w:t xml:space="preserve"> </w:t>
      </w:r>
      <w:proofErr w:type="spellStart"/>
      <w:r w:rsidR="00EE0788">
        <w:t>відповідальність</w:t>
      </w:r>
      <w:proofErr w:type="spellEnd"/>
      <w:r w:rsidR="00A4043D">
        <w:t xml:space="preserve">. </w:t>
      </w:r>
      <w:proofErr w:type="spellStart"/>
      <w:r w:rsidR="00EE0788">
        <w:t>Кажучи</w:t>
      </w:r>
      <w:proofErr w:type="spellEnd"/>
      <w:r w:rsidR="00EE0788">
        <w:t xml:space="preserve"> </w:t>
      </w:r>
      <w:proofErr w:type="spellStart"/>
      <w:r w:rsidR="00EE0788">
        <w:t>про</w:t>
      </w:r>
      <w:proofErr w:type="spellEnd"/>
      <w:r w:rsidR="00EE0788">
        <w:t xml:space="preserve"> «</w:t>
      </w:r>
      <w:proofErr w:type="spellStart"/>
      <w:r w:rsidR="00EE0788">
        <w:t>закон</w:t>
      </w:r>
      <w:proofErr w:type="spellEnd"/>
      <w:r w:rsidR="00EE0788">
        <w:t xml:space="preserve">», </w:t>
      </w:r>
      <w:proofErr w:type="spellStart"/>
      <w:r w:rsidR="00EE0788">
        <w:t>стаття</w:t>
      </w:r>
      <w:proofErr w:type="spellEnd"/>
      <w:r w:rsidRPr="00671568" w:rsidR="00EE0788">
        <w:t xml:space="preserve"> 7 </w:t>
      </w:r>
      <w:proofErr w:type="spellStart"/>
      <w:r w:rsidR="00EE0788">
        <w:t>має</w:t>
      </w:r>
      <w:proofErr w:type="spellEnd"/>
      <w:r w:rsidR="00EE0788">
        <w:t xml:space="preserve"> </w:t>
      </w:r>
      <w:proofErr w:type="spellStart"/>
      <w:r w:rsidR="00EE0788">
        <w:t>на</w:t>
      </w:r>
      <w:proofErr w:type="spellEnd"/>
      <w:r w:rsidR="00EE0788">
        <w:t xml:space="preserve"> </w:t>
      </w:r>
      <w:proofErr w:type="spellStart"/>
      <w:r w:rsidR="00EE0788">
        <w:t>увазі</w:t>
      </w:r>
      <w:proofErr w:type="spellEnd"/>
      <w:r w:rsidR="00EE0788">
        <w:t xml:space="preserve"> </w:t>
      </w:r>
      <w:proofErr w:type="spellStart"/>
      <w:r w:rsidR="00EE0788">
        <w:t>те</w:t>
      </w:r>
      <w:proofErr w:type="spellEnd"/>
      <w:r w:rsidR="00EE0788">
        <w:t xml:space="preserve"> ж </w:t>
      </w:r>
      <w:proofErr w:type="spellStart"/>
      <w:r w:rsidR="00EE0788">
        <w:t>поняття</w:t>
      </w:r>
      <w:proofErr w:type="spellEnd"/>
      <w:r w:rsidR="00EE0788">
        <w:t xml:space="preserve">, </w:t>
      </w:r>
      <w:proofErr w:type="spellStart"/>
      <w:r w:rsidR="00EE0788">
        <w:t>до</w:t>
      </w:r>
      <w:proofErr w:type="spellEnd"/>
      <w:r w:rsidR="00EE0788">
        <w:t xml:space="preserve"> </w:t>
      </w:r>
      <w:proofErr w:type="spellStart"/>
      <w:r w:rsidR="00EE0788">
        <w:t>якого</w:t>
      </w:r>
      <w:proofErr w:type="spellEnd"/>
      <w:r w:rsidR="00EE0788">
        <w:t xml:space="preserve"> Конвенція </w:t>
      </w:r>
      <w:proofErr w:type="spellStart"/>
      <w:r w:rsidR="00EE0788">
        <w:t>звертається</w:t>
      </w:r>
      <w:proofErr w:type="spellEnd"/>
      <w:r w:rsidR="00EE0788">
        <w:t xml:space="preserve"> в </w:t>
      </w:r>
      <w:proofErr w:type="spellStart"/>
      <w:r w:rsidR="00EE0788">
        <w:t>інших</w:t>
      </w:r>
      <w:proofErr w:type="spellEnd"/>
      <w:r w:rsidR="00EE0788">
        <w:t xml:space="preserve"> </w:t>
      </w:r>
      <w:proofErr w:type="spellStart"/>
      <w:r w:rsidR="00EE0788">
        <w:t>положеннях</w:t>
      </w:r>
      <w:proofErr w:type="spellEnd"/>
      <w:r w:rsidR="00EE0788">
        <w:t xml:space="preserve">, </w:t>
      </w:r>
      <w:proofErr w:type="spellStart"/>
      <w:r w:rsidR="00EE0788">
        <w:t>де</w:t>
      </w:r>
      <w:proofErr w:type="spellEnd"/>
      <w:r w:rsidR="00EE0788">
        <w:t xml:space="preserve"> </w:t>
      </w:r>
      <w:proofErr w:type="spellStart"/>
      <w:r w:rsidR="00EE0788">
        <w:t>вжито</w:t>
      </w:r>
      <w:proofErr w:type="spellEnd"/>
      <w:r w:rsidR="00EE0788">
        <w:t xml:space="preserve"> </w:t>
      </w:r>
      <w:proofErr w:type="spellStart"/>
      <w:r w:rsidR="00EE0788">
        <w:t>цей</w:t>
      </w:r>
      <w:proofErr w:type="spellEnd"/>
      <w:r w:rsidR="00EE0788">
        <w:t xml:space="preserve"> </w:t>
      </w:r>
      <w:proofErr w:type="spellStart"/>
      <w:r w:rsidR="00EE0788">
        <w:t>термін</w:t>
      </w:r>
      <w:proofErr w:type="spellEnd"/>
      <w:r w:rsidRPr="00671568" w:rsidR="00EE0788">
        <w:t xml:space="preserve">, </w:t>
      </w:r>
      <w:proofErr w:type="spellStart"/>
      <w:r w:rsidR="00EE0788">
        <w:t>поняття</w:t>
      </w:r>
      <w:proofErr w:type="spellEnd"/>
      <w:r w:rsidR="00EE0788">
        <w:t xml:space="preserve">, </w:t>
      </w:r>
      <w:proofErr w:type="spellStart"/>
      <w:r w:rsidR="00EE0788">
        <w:t>яке</w:t>
      </w:r>
      <w:proofErr w:type="spellEnd"/>
      <w:r w:rsidR="00EE0788">
        <w:t xml:space="preserve"> </w:t>
      </w:r>
      <w:proofErr w:type="spellStart"/>
      <w:r w:rsidR="00EE0788">
        <w:t>включає</w:t>
      </w:r>
      <w:proofErr w:type="spellEnd"/>
      <w:r w:rsidR="00EE0788">
        <w:t xml:space="preserve"> </w:t>
      </w:r>
      <w:proofErr w:type="spellStart"/>
      <w:r w:rsidR="00EE0788">
        <w:t>писане</w:t>
      </w:r>
      <w:proofErr w:type="spellEnd"/>
      <w:r w:rsidR="00EE0788">
        <w:t xml:space="preserve"> і </w:t>
      </w:r>
      <w:proofErr w:type="spellStart"/>
      <w:r w:rsidR="00EE0788">
        <w:t>неписане</w:t>
      </w:r>
      <w:proofErr w:type="spellEnd"/>
      <w:r w:rsidR="00EE0788">
        <w:t xml:space="preserve"> </w:t>
      </w:r>
      <w:proofErr w:type="spellStart"/>
      <w:r w:rsidRPr="00062875" w:rsidR="00EE0788">
        <w:t>право</w:t>
      </w:r>
      <w:proofErr w:type="spellEnd"/>
      <w:r w:rsidRPr="00062875" w:rsidR="00EE0788">
        <w:t>, і</w:t>
      </w:r>
      <w:r w:rsidR="00EE0788">
        <w:t xml:space="preserve"> </w:t>
      </w:r>
      <w:proofErr w:type="spellStart"/>
      <w:r w:rsidR="00EE0788">
        <w:t>яке</w:t>
      </w:r>
      <w:proofErr w:type="spellEnd"/>
      <w:r w:rsidR="00EE0788">
        <w:t xml:space="preserve"> </w:t>
      </w:r>
      <w:proofErr w:type="spellStart"/>
      <w:r w:rsidR="00EE0788">
        <w:t>відповідає</w:t>
      </w:r>
      <w:proofErr w:type="spellEnd"/>
      <w:r w:rsidR="00EE0788">
        <w:t xml:space="preserve"> </w:t>
      </w:r>
      <w:proofErr w:type="spellStart"/>
      <w:r w:rsidR="00EE0788">
        <w:t>якісним</w:t>
      </w:r>
      <w:proofErr w:type="spellEnd"/>
      <w:r w:rsidR="00EE0788">
        <w:t xml:space="preserve"> </w:t>
      </w:r>
      <w:proofErr w:type="spellStart"/>
      <w:r w:rsidR="00EE0788">
        <w:t>вимогам</w:t>
      </w:r>
      <w:proofErr w:type="spellEnd"/>
      <w:r w:rsidR="00EE0788">
        <w:t xml:space="preserve">, </w:t>
      </w:r>
      <w:proofErr w:type="spellStart"/>
      <w:r w:rsidR="00EE0788">
        <w:t>зокрема</w:t>
      </w:r>
      <w:proofErr w:type="spellEnd"/>
      <w:r w:rsidR="00EE0788">
        <w:t xml:space="preserve"> </w:t>
      </w:r>
      <w:proofErr w:type="spellStart"/>
      <w:r w:rsidR="00EE0788">
        <w:t>доступності</w:t>
      </w:r>
      <w:proofErr w:type="spellEnd"/>
      <w:r w:rsidR="00EE0788">
        <w:t xml:space="preserve"> і </w:t>
      </w:r>
      <w:proofErr w:type="spellStart"/>
      <w:r w:rsidR="00EE0788">
        <w:t>передбачуваності</w:t>
      </w:r>
      <w:proofErr w:type="spellEnd"/>
      <w:r w:rsidR="00A4043D">
        <w:t xml:space="preserve"> (</w:t>
      </w:r>
      <w:r w:rsidR="00EE0788">
        <w:rPr>
          <w:lang w:val="uk-UA"/>
        </w:rPr>
        <w:t>див.</w:t>
      </w:r>
      <w:r w:rsidR="00A4043D">
        <w:t xml:space="preserve">, </w:t>
      </w:r>
      <w:r w:rsidRPr="00E51A26" w:rsidR="00A4043D">
        <w:rPr>
          <w:i/>
        </w:rPr>
        <w:t>inter alia</w:t>
      </w:r>
      <w:r w:rsidR="00A4043D">
        <w:t xml:space="preserve">, </w:t>
      </w:r>
      <w:r w:rsidRPr="0058518F" w:rsidR="00A4043D">
        <w:rPr>
          <w:i/>
        </w:rPr>
        <w:t xml:space="preserve">S.W. </w:t>
      </w:r>
      <w:r w:rsidR="00EE0788">
        <w:rPr>
          <w:i/>
          <w:lang w:val="uk-UA"/>
        </w:rPr>
        <w:t>проти Сполученого Королівства</w:t>
      </w:r>
      <w:r w:rsidRPr="0058518F" w:rsidR="00A4043D">
        <w:t>, 22</w:t>
      </w:r>
      <w:r w:rsidRPr="0058518F" w:rsidR="00077EA3">
        <w:t xml:space="preserve"> </w:t>
      </w:r>
      <w:r w:rsidR="00EE0788">
        <w:rPr>
          <w:lang w:val="uk-UA"/>
        </w:rPr>
        <w:t>листопада</w:t>
      </w:r>
      <w:r w:rsidRPr="0058518F" w:rsidR="00A4043D">
        <w:t xml:space="preserve"> 1995</w:t>
      </w:r>
      <w:r w:rsidR="00EE0788">
        <w:rPr>
          <w:lang w:val="uk-UA"/>
        </w:rPr>
        <w:t xml:space="preserve"> р.</w:t>
      </w:r>
      <w:r w:rsidRPr="0058518F" w:rsidR="00A4043D">
        <w:t xml:space="preserve">, </w:t>
      </w:r>
      <w:r w:rsidRPr="0058518F" w:rsidR="00D270CF">
        <w:t xml:space="preserve">§§ 34-35, </w:t>
      </w:r>
      <w:r w:rsidRPr="0058518F" w:rsidR="00A4043D">
        <w:t>Series</w:t>
      </w:r>
      <w:r w:rsidRPr="0058518F" w:rsidR="00077EA3">
        <w:t xml:space="preserve"> </w:t>
      </w:r>
      <w:r w:rsidRPr="0058518F" w:rsidR="00A4043D">
        <w:t xml:space="preserve">A </w:t>
      </w:r>
      <w:r w:rsidR="00EE0788">
        <w:rPr>
          <w:lang w:val="uk-UA"/>
        </w:rPr>
        <w:t>№</w:t>
      </w:r>
      <w:r w:rsidRPr="0058518F" w:rsidR="00077EA3">
        <w:t xml:space="preserve"> </w:t>
      </w:r>
      <w:r w:rsidRPr="0058518F" w:rsidR="00A4043D">
        <w:t>335</w:t>
      </w:r>
      <w:r w:rsidRPr="0058518F" w:rsidR="009B2DE7">
        <w:t>-</w:t>
      </w:r>
      <w:r w:rsidRPr="0058518F" w:rsidR="005C4382">
        <w:t>B</w:t>
      </w:r>
      <w:r w:rsidRPr="0058518F" w:rsidR="00A4043D">
        <w:t xml:space="preserve">; </w:t>
      </w:r>
      <w:r w:rsidRPr="0058518F" w:rsidR="00A4043D">
        <w:rPr>
          <w:i/>
        </w:rPr>
        <w:t xml:space="preserve">C.R. </w:t>
      </w:r>
      <w:r w:rsidR="00EE0788">
        <w:rPr>
          <w:i/>
          <w:lang w:val="uk-UA"/>
        </w:rPr>
        <w:t>проти Сполученого Королівства</w:t>
      </w:r>
      <w:r w:rsidRPr="0058518F" w:rsidR="00A4043D">
        <w:t xml:space="preserve">, </w:t>
      </w:r>
      <w:r w:rsidRPr="0058518F" w:rsidR="00736C86">
        <w:t xml:space="preserve">22 </w:t>
      </w:r>
      <w:r w:rsidR="00EE0788">
        <w:rPr>
          <w:lang w:val="uk-UA"/>
        </w:rPr>
        <w:t>листопада</w:t>
      </w:r>
      <w:r w:rsidRPr="0058518F" w:rsidR="00EE0788">
        <w:t xml:space="preserve"> 1995</w:t>
      </w:r>
      <w:r w:rsidR="00EE0788">
        <w:rPr>
          <w:lang w:val="uk-UA"/>
        </w:rPr>
        <w:t xml:space="preserve"> р.</w:t>
      </w:r>
      <w:r w:rsidRPr="0058518F" w:rsidR="00EE0788">
        <w:t xml:space="preserve">, </w:t>
      </w:r>
      <w:r w:rsidRPr="0058518F" w:rsidR="00736C86">
        <w:t xml:space="preserve">§§ 32-33, </w:t>
      </w:r>
      <w:r w:rsidRPr="0058518F" w:rsidR="00A4043D">
        <w:t>Series</w:t>
      </w:r>
      <w:r w:rsidRPr="0058518F" w:rsidR="00077EA3">
        <w:t xml:space="preserve"> </w:t>
      </w:r>
      <w:r w:rsidRPr="0058518F" w:rsidR="00A4043D">
        <w:t xml:space="preserve">A </w:t>
      </w:r>
      <w:r w:rsidR="00EE0788">
        <w:rPr>
          <w:lang w:val="uk-UA"/>
        </w:rPr>
        <w:t>№</w:t>
      </w:r>
      <w:r w:rsidRPr="0058518F" w:rsidR="00077EA3">
        <w:t xml:space="preserve"> </w:t>
      </w:r>
      <w:r w:rsidRPr="0058518F" w:rsidR="00A4043D">
        <w:t>335</w:t>
      </w:r>
      <w:r w:rsidRPr="0058518F" w:rsidR="009B2DE7">
        <w:t>-C</w:t>
      </w:r>
      <w:r w:rsidRPr="0058518F" w:rsidR="00A4043D">
        <w:t xml:space="preserve">; </w:t>
      </w:r>
      <w:r w:rsidR="00EE0788">
        <w:rPr>
          <w:lang w:val="uk-UA"/>
        </w:rPr>
        <w:t>і</w:t>
      </w:r>
      <w:r w:rsidRPr="0058518F" w:rsidR="00CA1841">
        <w:t xml:space="preserve"> </w:t>
      </w:r>
      <w:r w:rsidRPr="0058518F" w:rsidR="00A4043D">
        <w:rPr>
          <w:i/>
        </w:rPr>
        <w:t xml:space="preserve">Streletz, Kessler </w:t>
      </w:r>
      <w:r w:rsidR="00EE0788">
        <w:rPr>
          <w:i/>
          <w:lang w:eastAsia="en-US"/>
        </w:rPr>
        <w:t>і</w:t>
      </w:r>
      <w:r w:rsidRPr="00E60D9F" w:rsidR="00EE0788">
        <w:rPr>
          <w:i/>
          <w:lang w:eastAsia="en-US"/>
        </w:rPr>
        <w:t xml:space="preserve"> Krenz </w:t>
      </w:r>
      <w:proofErr w:type="spellStart"/>
      <w:r w:rsidR="00EE0788">
        <w:rPr>
          <w:i/>
          <w:lang w:eastAsia="en-US"/>
        </w:rPr>
        <w:t>проти</w:t>
      </w:r>
      <w:proofErr w:type="spellEnd"/>
      <w:r w:rsidR="00EE0788">
        <w:rPr>
          <w:i/>
          <w:lang w:eastAsia="en-US"/>
        </w:rPr>
        <w:t xml:space="preserve"> </w:t>
      </w:r>
      <w:proofErr w:type="spellStart"/>
      <w:r w:rsidR="00EE0788">
        <w:rPr>
          <w:i/>
          <w:lang w:eastAsia="en-US"/>
        </w:rPr>
        <w:t>Німеччини</w:t>
      </w:r>
      <w:proofErr w:type="spellEnd"/>
      <w:r w:rsidRPr="00E60D9F" w:rsidR="00EE0788">
        <w:rPr>
          <w:i/>
          <w:lang w:eastAsia="en-US"/>
        </w:rPr>
        <w:t xml:space="preserve"> </w:t>
      </w:r>
      <w:r w:rsidRPr="00E60D9F" w:rsidR="00EE0788">
        <w:rPr>
          <w:lang w:eastAsia="en-US"/>
        </w:rPr>
        <w:t>[</w:t>
      </w:r>
      <w:r w:rsidR="00EE0788">
        <w:rPr>
          <w:lang w:eastAsia="en-US"/>
        </w:rPr>
        <w:t>ВП],</w:t>
      </w:r>
      <w:r w:rsidR="00761A37">
        <w:rPr>
          <w:lang w:val="uk-UA" w:eastAsia="en-US"/>
        </w:rPr>
        <w:t xml:space="preserve">   </w:t>
      </w:r>
      <w:r w:rsidR="00A22B6B">
        <w:rPr>
          <w:lang w:val="uk-UA" w:eastAsia="en-US"/>
        </w:rPr>
        <w:t xml:space="preserve"> </w:t>
      </w:r>
      <w:r w:rsidR="00EE0788">
        <w:rPr>
          <w:lang w:eastAsia="en-US"/>
        </w:rPr>
        <w:t>№№</w:t>
      </w:r>
      <w:r w:rsidRPr="00E60D9F" w:rsidR="00EE0788">
        <w:rPr>
          <w:lang w:eastAsia="en-US"/>
        </w:rPr>
        <w:t xml:space="preserve"> 34044/96, 35532/97 </w:t>
      </w:r>
      <w:r w:rsidR="00EE0788">
        <w:rPr>
          <w:lang w:eastAsia="en-US"/>
        </w:rPr>
        <w:t>і</w:t>
      </w:r>
      <w:r w:rsidRPr="0058518F" w:rsidR="00736C86">
        <w:t xml:space="preserve"> 44801/98, § </w:t>
      </w:r>
      <w:r w:rsidRPr="0058518F" w:rsidR="00A4043D">
        <w:t>50, ECHR</w:t>
      </w:r>
      <w:r w:rsidRPr="0058518F" w:rsidR="00077EA3">
        <w:t xml:space="preserve"> </w:t>
      </w:r>
      <w:r w:rsidRPr="0058518F" w:rsidR="00A4043D">
        <w:t>2001-II).</w:t>
      </w:r>
    </w:p>
    <w:p w:rsidRPr="00761A37" w:rsidR="00A4043D" w:rsidP="00A4043D" w:rsidRDefault="006A0CFD">
      <w:pPr>
        <w:pStyle w:val="JuPara"/>
        <w:rPr>
          <w:lang w:val="ru-RU"/>
        </w:rPr>
      </w:pPr>
      <w:r w:rsidRPr="0058518F">
        <w:fldChar w:fldCharType="begin"/>
      </w:r>
      <w:r w:rsidRPr="00761A37">
        <w:rPr>
          <w:lang w:val="ru-RU"/>
        </w:rPr>
        <w:instrText xml:space="preserve"> </w:instrText>
      </w:r>
      <w:r w:rsidRPr="0058518F">
        <w:instrText>SEQ</w:instrText>
      </w:r>
      <w:r w:rsidRPr="00761A37">
        <w:rPr>
          <w:lang w:val="ru-RU"/>
        </w:rPr>
        <w:instrText xml:space="preserve"> </w:instrText>
      </w:r>
      <w:r w:rsidRPr="0058518F">
        <w:instrText>level</w:instrText>
      </w:r>
      <w:r w:rsidRPr="00761A37">
        <w:rPr>
          <w:lang w:val="ru-RU"/>
        </w:rPr>
        <w:instrText>0 \*</w:instrText>
      </w:r>
      <w:r w:rsidRPr="0058518F">
        <w:instrText>arabic</w:instrText>
      </w:r>
      <w:r w:rsidRPr="00761A37">
        <w:rPr>
          <w:lang w:val="ru-RU"/>
        </w:rPr>
        <w:instrText xml:space="preserve"> </w:instrText>
      </w:r>
      <w:r w:rsidRPr="0058518F">
        <w:fldChar w:fldCharType="separate"/>
      </w:r>
      <w:r w:rsidRPr="00761A37" w:rsidR="00142C04">
        <w:rPr>
          <w:noProof/>
          <w:lang w:val="ru-RU"/>
        </w:rPr>
        <w:t>101</w:t>
      </w:r>
      <w:r w:rsidRPr="0058518F">
        <w:fldChar w:fldCharType="end"/>
      </w:r>
      <w:r w:rsidRPr="00761A37">
        <w:rPr>
          <w:lang w:val="ru-RU"/>
        </w:rPr>
        <w:t>.</w:t>
      </w:r>
      <w:r w:rsidRPr="0058518F">
        <w:t>  </w:t>
      </w:r>
      <w:r w:rsidRPr="00761A37" w:rsidR="00EE0788">
        <w:rPr>
          <w:lang w:val="ru-RU"/>
        </w:rPr>
        <w:t>Хоч</w:t>
      </w:r>
      <w:r w:rsidRPr="00162079" w:rsidR="00EE0788">
        <w:rPr>
          <w:lang w:val="uk-UA"/>
        </w:rPr>
        <w:t xml:space="preserve"> як</w:t>
      </w:r>
      <w:r w:rsidRPr="00761A37" w:rsidR="00EE0788">
        <w:rPr>
          <w:lang w:val="ru-RU"/>
        </w:rPr>
        <w:t xml:space="preserve"> би чітко не була написана правова норма будь-якої системи, включаючи кримінальне право, завжди неминуче з</w:t>
      </w:r>
      <w:r w:rsidRPr="00761A37" w:rsidR="00761A37">
        <w:rPr>
          <w:lang w:val="ru-RU"/>
        </w:rPr>
        <w:t>’</w:t>
      </w:r>
      <w:r w:rsidRPr="00761A37" w:rsidR="00EE0788">
        <w:rPr>
          <w:lang w:val="ru-RU"/>
        </w:rPr>
        <w:t>явиться елемент судового тлумачення</w:t>
      </w:r>
      <w:r w:rsidRPr="00761A37" w:rsidR="00A4043D">
        <w:rPr>
          <w:lang w:val="ru-RU"/>
        </w:rPr>
        <w:t xml:space="preserve">. </w:t>
      </w:r>
      <w:r w:rsidRPr="00761A37" w:rsidR="00821A0E">
        <w:rPr>
          <w:lang w:val="ru-RU"/>
        </w:rPr>
        <w:t>Будь-коли може виникнути потреба у роз</w:t>
      </w:r>
      <w:r w:rsidRPr="00761A37" w:rsidR="00761A37">
        <w:rPr>
          <w:lang w:val="ru-RU"/>
        </w:rPr>
        <w:t>’</w:t>
      </w:r>
      <w:r w:rsidRPr="00761A37" w:rsidR="00821A0E">
        <w:rPr>
          <w:lang w:val="ru-RU"/>
        </w:rPr>
        <w:t>ясненні сумнівних моментів і пристосуванні до зміни обставин. Дійсно, у деяких Державах-</w:t>
      </w:r>
      <w:r w:rsidR="00CB2345">
        <w:rPr>
          <w:lang w:val="uk-UA"/>
        </w:rPr>
        <w:t>у</w:t>
      </w:r>
      <w:r w:rsidRPr="00761A37" w:rsidR="00821A0E">
        <w:rPr>
          <w:lang w:val="ru-RU"/>
        </w:rPr>
        <w:t xml:space="preserve">часницях Конвенції </w:t>
      </w:r>
      <w:r w:rsidRPr="00761A37" w:rsidR="00821A0E">
        <w:rPr>
          <w:rStyle w:val="hps"/>
          <w:lang w:val="ru-RU"/>
        </w:rPr>
        <w:t>прогресивний розвиток</w:t>
      </w:r>
      <w:r w:rsidRPr="00761A37" w:rsidR="00821A0E">
        <w:rPr>
          <w:lang w:val="ru-RU"/>
        </w:rPr>
        <w:t xml:space="preserve"> </w:t>
      </w:r>
      <w:r w:rsidRPr="00761A37" w:rsidR="00821A0E">
        <w:rPr>
          <w:rStyle w:val="hps"/>
          <w:lang w:val="ru-RU"/>
        </w:rPr>
        <w:t>кримінального права</w:t>
      </w:r>
      <w:r w:rsidRPr="00761A37" w:rsidR="00821A0E">
        <w:rPr>
          <w:lang w:val="ru-RU"/>
        </w:rPr>
        <w:t xml:space="preserve"> </w:t>
      </w:r>
      <w:r w:rsidRPr="00761A37" w:rsidR="00821A0E">
        <w:rPr>
          <w:rStyle w:val="hps"/>
          <w:lang w:val="ru-RU"/>
        </w:rPr>
        <w:t>в</w:t>
      </w:r>
      <w:r w:rsidRPr="00761A37" w:rsidR="00821A0E">
        <w:rPr>
          <w:lang w:val="ru-RU"/>
        </w:rPr>
        <w:t xml:space="preserve"> </w:t>
      </w:r>
      <w:r w:rsidRPr="00761A37" w:rsidR="00821A0E">
        <w:rPr>
          <w:rStyle w:val="hps"/>
          <w:lang w:val="ru-RU"/>
        </w:rPr>
        <w:t>судовій</w:t>
      </w:r>
      <w:r w:rsidRPr="00761A37" w:rsidR="00821A0E">
        <w:rPr>
          <w:lang w:val="ru-RU"/>
        </w:rPr>
        <w:t xml:space="preserve"> </w:t>
      </w:r>
      <w:r w:rsidRPr="00761A37" w:rsidR="00821A0E">
        <w:rPr>
          <w:rStyle w:val="hps"/>
          <w:lang w:val="ru-RU"/>
        </w:rPr>
        <w:t>правотворчості</w:t>
      </w:r>
      <w:r w:rsidRPr="00761A37" w:rsidR="00821A0E">
        <w:rPr>
          <w:lang w:val="ru-RU"/>
        </w:rPr>
        <w:t xml:space="preserve"> є глибоко вкоріненою і невід</w:t>
      </w:r>
      <w:r w:rsidRPr="00761A37" w:rsidR="00761A37">
        <w:rPr>
          <w:lang w:val="ru-RU"/>
        </w:rPr>
        <w:t>’</w:t>
      </w:r>
      <w:r w:rsidRPr="00761A37" w:rsidR="00821A0E">
        <w:rPr>
          <w:lang w:val="ru-RU"/>
        </w:rPr>
        <w:t>ємною частиною правової традиції. Статтю 7 Конвенції не можна вважати забороною поступового роз</w:t>
      </w:r>
      <w:r w:rsidRPr="00761A37" w:rsidR="00761A37">
        <w:rPr>
          <w:lang w:val="ru-RU"/>
        </w:rPr>
        <w:t>’</w:t>
      </w:r>
      <w:r w:rsidRPr="00761A37" w:rsidR="00821A0E">
        <w:rPr>
          <w:lang w:val="ru-RU"/>
        </w:rPr>
        <w:t xml:space="preserve">яснення правил кримінальної відповідальності шляхом судового тлумачення від справи до справи за умови, що такий розвиток відповідає суті правопорушення і є розумно передбачуваним </w:t>
      </w:r>
      <w:r w:rsidRPr="00761A37" w:rsidR="00A4043D">
        <w:rPr>
          <w:lang w:val="ru-RU"/>
        </w:rPr>
        <w:t>(</w:t>
      </w:r>
      <w:r w:rsidR="00821A0E">
        <w:rPr>
          <w:lang w:val="uk-UA"/>
        </w:rPr>
        <w:t>див.</w:t>
      </w:r>
      <w:r w:rsidRPr="00761A37" w:rsidR="00A4043D">
        <w:rPr>
          <w:lang w:val="ru-RU"/>
        </w:rPr>
        <w:t xml:space="preserve">, </w:t>
      </w:r>
      <w:r w:rsidRPr="0058518F" w:rsidR="00A4043D">
        <w:rPr>
          <w:i/>
        </w:rPr>
        <w:t>inter</w:t>
      </w:r>
      <w:r w:rsidRPr="00761A37" w:rsidR="00A4043D">
        <w:rPr>
          <w:i/>
          <w:lang w:val="ru-RU"/>
        </w:rPr>
        <w:t xml:space="preserve"> </w:t>
      </w:r>
      <w:r w:rsidRPr="0058518F" w:rsidR="00A4043D">
        <w:rPr>
          <w:i/>
        </w:rPr>
        <w:t>alia</w:t>
      </w:r>
      <w:r w:rsidRPr="00761A37" w:rsidR="00A4043D">
        <w:rPr>
          <w:lang w:val="ru-RU"/>
        </w:rPr>
        <w:t xml:space="preserve">, </w:t>
      </w:r>
      <w:r w:rsidRPr="0058518F" w:rsidR="00A4043D">
        <w:rPr>
          <w:i/>
        </w:rPr>
        <w:t>S</w:t>
      </w:r>
      <w:r w:rsidRPr="00761A37" w:rsidR="00A4043D">
        <w:rPr>
          <w:i/>
          <w:lang w:val="ru-RU"/>
        </w:rPr>
        <w:t>.</w:t>
      </w:r>
      <w:r w:rsidRPr="0058518F" w:rsidR="00A4043D">
        <w:rPr>
          <w:i/>
        </w:rPr>
        <w:t>W</w:t>
      </w:r>
      <w:r w:rsidRPr="00761A37" w:rsidR="00A4043D">
        <w:rPr>
          <w:i/>
          <w:lang w:val="ru-RU"/>
        </w:rPr>
        <w:t xml:space="preserve">. </w:t>
      </w:r>
      <w:r w:rsidR="00821A0E">
        <w:rPr>
          <w:i/>
          <w:lang w:val="uk-UA"/>
        </w:rPr>
        <w:t>проти Сполученого Королівства</w:t>
      </w:r>
      <w:r w:rsidRPr="00761A37" w:rsidR="00A4043D">
        <w:rPr>
          <w:lang w:val="ru-RU"/>
        </w:rPr>
        <w:t xml:space="preserve">, </w:t>
      </w:r>
      <w:r w:rsidR="00821A0E">
        <w:rPr>
          <w:lang w:val="uk-UA"/>
        </w:rPr>
        <w:t>цитоване вище</w:t>
      </w:r>
      <w:r w:rsidRPr="00761A37" w:rsidR="00A4043D">
        <w:rPr>
          <w:lang w:val="ru-RU"/>
        </w:rPr>
        <w:t>, §</w:t>
      </w:r>
      <w:r w:rsidRPr="00761A37" w:rsidR="00077EA3">
        <w:rPr>
          <w:lang w:val="ru-RU"/>
        </w:rPr>
        <w:t xml:space="preserve"> </w:t>
      </w:r>
      <w:r w:rsidRPr="00761A37" w:rsidR="00A4043D">
        <w:rPr>
          <w:lang w:val="ru-RU"/>
        </w:rPr>
        <w:t xml:space="preserve">36; </w:t>
      </w:r>
      <w:r w:rsidRPr="0058518F" w:rsidR="00A4043D">
        <w:rPr>
          <w:i/>
        </w:rPr>
        <w:t>C</w:t>
      </w:r>
      <w:r w:rsidRPr="00761A37" w:rsidR="00A4043D">
        <w:rPr>
          <w:i/>
          <w:lang w:val="ru-RU"/>
        </w:rPr>
        <w:t>.</w:t>
      </w:r>
      <w:r w:rsidRPr="0058518F" w:rsidR="00A4043D">
        <w:rPr>
          <w:i/>
        </w:rPr>
        <w:t>R</w:t>
      </w:r>
      <w:r w:rsidRPr="00761A37" w:rsidR="00A4043D">
        <w:rPr>
          <w:i/>
          <w:lang w:val="ru-RU"/>
        </w:rPr>
        <w:t xml:space="preserve">. </w:t>
      </w:r>
      <w:r w:rsidR="00821A0E">
        <w:rPr>
          <w:i/>
          <w:lang w:val="uk-UA"/>
        </w:rPr>
        <w:t>проти Сполученого Королівства</w:t>
      </w:r>
      <w:r w:rsidRPr="00761A37" w:rsidR="00A4043D">
        <w:rPr>
          <w:lang w:val="ru-RU"/>
        </w:rPr>
        <w:t xml:space="preserve">, </w:t>
      </w:r>
      <w:r w:rsidR="00821A0E">
        <w:rPr>
          <w:lang w:val="uk-UA"/>
        </w:rPr>
        <w:t>цитоване вище</w:t>
      </w:r>
      <w:r w:rsidRPr="00761A37" w:rsidR="00A4043D">
        <w:rPr>
          <w:lang w:val="ru-RU"/>
        </w:rPr>
        <w:t>, §</w:t>
      </w:r>
      <w:r w:rsidRPr="00761A37" w:rsidR="00077EA3">
        <w:rPr>
          <w:lang w:val="ru-RU"/>
        </w:rPr>
        <w:t xml:space="preserve"> </w:t>
      </w:r>
      <w:r w:rsidRPr="00761A37" w:rsidR="00A4043D">
        <w:rPr>
          <w:lang w:val="ru-RU"/>
        </w:rPr>
        <w:t xml:space="preserve">34; </w:t>
      </w:r>
      <w:r w:rsidRPr="0058518F" w:rsidR="00A4043D">
        <w:rPr>
          <w:i/>
        </w:rPr>
        <w:t>Streletz</w:t>
      </w:r>
      <w:r w:rsidRPr="00761A37" w:rsidR="00A4043D">
        <w:rPr>
          <w:i/>
          <w:lang w:val="ru-RU"/>
        </w:rPr>
        <w:t xml:space="preserve">, </w:t>
      </w:r>
      <w:r w:rsidRPr="0058518F" w:rsidR="00A4043D">
        <w:rPr>
          <w:i/>
        </w:rPr>
        <w:t>Kessler</w:t>
      </w:r>
      <w:r w:rsidRPr="00761A37" w:rsidR="00A4043D">
        <w:rPr>
          <w:i/>
          <w:lang w:val="ru-RU"/>
        </w:rPr>
        <w:t xml:space="preserve"> </w:t>
      </w:r>
      <w:r w:rsidR="00821A0E">
        <w:rPr>
          <w:i/>
          <w:lang w:val="uk-UA"/>
        </w:rPr>
        <w:t>і</w:t>
      </w:r>
      <w:r w:rsidRPr="00761A37" w:rsidR="00A4043D">
        <w:rPr>
          <w:i/>
          <w:lang w:val="ru-RU"/>
        </w:rPr>
        <w:t xml:space="preserve"> </w:t>
      </w:r>
      <w:r w:rsidRPr="0058518F" w:rsidR="00A4043D">
        <w:rPr>
          <w:i/>
        </w:rPr>
        <w:t>Krenz</w:t>
      </w:r>
      <w:r w:rsidRPr="00761A37" w:rsidR="005C4382">
        <w:rPr>
          <w:lang w:val="ru-RU"/>
        </w:rPr>
        <w:t xml:space="preserve">, </w:t>
      </w:r>
      <w:r w:rsidR="00821A0E">
        <w:rPr>
          <w:lang w:val="uk-UA"/>
        </w:rPr>
        <w:t>цитоване вище</w:t>
      </w:r>
      <w:r w:rsidRPr="00761A37" w:rsidR="005C4382">
        <w:rPr>
          <w:lang w:val="ru-RU"/>
        </w:rPr>
        <w:t xml:space="preserve">, § </w:t>
      </w:r>
      <w:r w:rsidRPr="00761A37" w:rsidR="00A4043D">
        <w:rPr>
          <w:lang w:val="ru-RU"/>
        </w:rPr>
        <w:t>50</w:t>
      </w:r>
      <w:r w:rsidRPr="00761A37" w:rsidR="00FC5031">
        <w:rPr>
          <w:lang w:val="ru-RU"/>
        </w:rPr>
        <w:t xml:space="preserve">; </w:t>
      </w:r>
      <w:r w:rsidR="00821A0E">
        <w:rPr>
          <w:lang w:val="uk-UA"/>
        </w:rPr>
        <w:t>і</w:t>
      </w:r>
      <w:r w:rsidRPr="00761A37" w:rsidR="00CA1841">
        <w:rPr>
          <w:lang w:val="ru-RU"/>
        </w:rPr>
        <w:t xml:space="preserve"> </w:t>
      </w:r>
      <w:r w:rsidRPr="0058518F" w:rsidR="005C4382">
        <w:rPr>
          <w:i/>
        </w:rPr>
        <w:t>K</w:t>
      </w:r>
      <w:r w:rsidRPr="00761A37" w:rsidR="005C4382">
        <w:rPr>
          <w:i/>
          <w:lang w:val="ru-RU"/>
        </w:rPr>
        <w:t>.</w:t>
      </w:r>
      <w:r w:rsidRPr="00761A37" w:rsidR="005C4382">
        <w:rPr>
          <w:i/>
          <w:lang w:val="ru-RU"/>
        </w:rPr>
        <w:noBreakHyphen/>
      </w:r>
      <w:r w:rsidRPr="0058518F" w:rsidR="0042259F">
        <w:rPr>
          <w:i/>
        </w:rPr>
        <w:t>H</w:t>
      </w:r>
      <w:r w:rsidRPr="00761A37" w:rsidR="0042259F">
        <w:rPr>
          <w:i/>
          <w:lang w:val="ru-RU"/>
        </w:rPr>
        <w:t>.</w:t>
      </w:r>
      <w:r w:rsidRPr="0058518F" w:rsidR="00FC5031">
        <w:rPr>
          <w:i/>
        </w:rPr>
        <w:t>W</w:t>
      </w:r>
      <w:r w:rsidRPr="00761A37" w:rsidR="00FC5031">
        <w:rPr>
          <w:i/>
          <w:lang w:val="ru-RU"/>
        </w:rPr>
        <w:t xml:space="preserve">. </w:t>
      </w:r>
      <w:r w:rsidRPr="00761A37" w:rsidR="00821A0E">
        <w:rPr>
          <w:i/>
          <w:lang w:val="ru-RU" w:eastAsia="en-US"/>
        </w:rPr>
        <w:t xml:space="preserve">проти Німеччини </w:t>
      </w:r>
      <w:r w:rsidRPr="00761A37" w:rsidR="00821A0E">
        <w:rPr>
          <w:lang w:val="ru-RU" w:eastAsia="en-US"/>
        </w:rPr>
        <w:t>[ВП], №</w:t>
      </w:r>
      <w:r w:rsidRPr="00761A37" w:rsidR="00077EA3">
        <w:rPr>
          <w:lang w:val="ru-RU"/>
        </w:rPr>
        <w:t xml:space="preserve"> </w:t>
      </w:r>
      <w:r w:rsidRPr="00761A37" w:rsidR="00FC5031">
        <w:rPr>
          <w:lang w:val="ru-RU"/>
        </w:rPr>
        <w:t>37201/97,</w:t>
      </w:r>
      <w:r w:rsidRPr="00761A37" w:rsidR="00761A37">
        <w:rPr>
          <w:lang w:val="ru-RU"/>
        </w:rPr>
        <w:t xml:space="preserve"> </w:t>
      </w:r>
      <w:r w:rsidR="00761A37">
        <w:rPr>
          <w:lang w:val="uk-UA"/>
        </w:rPr>
        <w:t xml:space="preserve"> </w:t>
      </w:r>
      <w:r w:rsidRPr="00761A37" w:rsidR="00FC5031">
        <w:rPr>
          <w:lang w:val="ru-RU"/>
        </w:rPr>
        <w:t>§</w:t>
      </w:r>
      <w:r w:rsidRPr="00761A37" w:rsidR="00077EA3">
        <w:rPr>
          <w:lang w:val="ru-RU"/>
        </w:rPr>
        <w:t xml:space="preserve"> </w:t>
      </w:r>
      <w:r w:rsidRPr="00761A37" w:rsidR="00FC5031">
        <w:rPr>
          <w:lang w:val="ru-RU"/>
        </w:rPr>
        <w:t xml:space="preserve">45, </w:t>
      </w:r>
      <w:r w:rsidRPr="0058518F" w:rsidR="00FC5031">
        <w:t>ECHR</w:t>
      </w:r>
      <w:r w:rsidRPr="00761A37" w:rsidR="00077EA3">
        <w:rPr>
          <w:lang w:val="ru-RU"/>
        </w:rPr>
        <w:t xml:space="preserve"> </w:t>
      </w:r>
      <w:r w:rsidRPr="00761A37" w:rsidR="00FC5031">
        <w:rPr>
          <w:lang w:val="ru-RU"/>
        </w:rPr>
        <w:t>2001-</w:t>
      </w:r>
      <w:r w:rsidRPr="0058518F" w:rsidR="00FC5031">
        <w:t>II</w:t>
      </w:r>
      <w:r w:rsidRPr="00761A37" w:rsidR="00FC5031">
        <w:rPr>
          <w:lang w:val="ru-RU"/>
        </w:rPr>
        <w:t>)</w:t>
      </w:r>
      <w:r w:rsidRPr="00761A37" w:rsidR="00A4043D">
        <w:rPr>
          <w:lang w:val="ru-RU"/>
        </w:rPr>
        <w:t>.</w:t>
      </w:r>
    </w:p>
    <w:p w:rsidRPr="00DB3579" w:rsidR="00A4043D" w:rsidP="00A4043D" w:rsidRDefault="006A0CFD">
      <w:pPr>
        <w:pStyle w:val="JuPara"/>
        <w:rPr>
          <w:lang w:val="uk-UA"/>
        </w:rPr>
      </w:pPr>
      <w:r w:rsidRPr="0058518F">
        <w:fldChar w:fldCharType="begin"/>
      </w:r>
      <w:r w:rsidRPr="0058518F">
        <w:instrText xml:space="preserve"> SEQ level0 \*arabic </w:instrText>
      </w:r>
      <w:r w:rsidRPr="0058518F">
        <w:fldChar w:fldCharType="separate"/>
      </w:r>
      <w:r w:rsidR="00142C04">
        <w:rPr>
          <w:noProof/>
        </w:rPr>
        <w:t>102</w:t>
      </w:r>
      <w:r w:rsidRPr="0058518F">
        <w:fldChar w:fldCharType="end"/>
      </w:r>
      <w:r w:rsidRPr="0058518F">
        <w:t>.  </w:t>
      </w:r>
      <w:r w:rsidR="007343D6">
        <w:rPr>
          <w:lang w:val="uk-UA"/>
        </w:rPr>
        <w:t xml:space="preserve">Стосовно інтерпретації і застосування національного права, суд зазначає, що перш за все національні органи, зокрема суди, мають тлумачити і застосовувати </w:t>
      </w:r>
      <w:r w:rsidR="00C0339B">
        <w:rPr>
          <w:lang w:val="uk-UA"/>
        </w:rPr>
        <w:t>національне</w:t>
      </w:r>
      <w:r w:rsidR="007343D6">
        <w:rPr>
          <w:lang w:val="uk-UA"/>
        </w:rPr>
        <w:t xml:space="preserve"> право</w:t>
      </w:r>
      <w:r w:rsidRPr="0058518F" w:rsidR="007343D6">
        <w:t xml:space="preserve"> </w:t>
      </w:r>
      <w:r w:rsidRPr="0058518F" w:rsidR="00A4043D">
        <w:t>(</w:t>
      </w:r>
      <w:r w:rsidR="007343D6">
        <w:rPr>
          <w:lang w:val="uk-UA"/>
        </w:rPr>
        <w:t>див.</w:t>
      </w:r>
      <w:r w:rsidRPr="0058518F" w:rsidR="00A4043D">
        <w:t xml:space="preserve">, </w:t>
      </w:r>
      <w:r w:rsidRPr="0058518F" w:rsidR="00A4043D">
        <w:rPr>
          <w:i/>
        </w:rPr>
        <w:t>mutatis mutandis</w:t>
      </w:r>
      <w:r w:rsidRPr="0058518F" w:rsidR="00A4043D">
        <w:t xml:space="preserve">, </w:t>
      </w:r>
      <w:r w:rsidRPr="0058518F" w:rsidR="00A4043D">
        <w:rPr>
          <w:i/>
        </w:rPr>
        <w:t xml:space="preserve">Kopp </w:t>
      </w:r>
      <w:r w:rsidR="007343D6">
        <w:rPr>
          <w:i/>
          <w:lang w:val="uk-UA"/>
        </w:rPr>
        <w:t>проти Швейцарії</w:t>
      </w:r>
      <w:r w:rsidRPr="0058518F" w:rsidR="00A4043D">
        <w:t>, 25</w:t>
      </w:r>
      <w:r w:rsidRPr="0058518F" w:rsidR="00077EA3">
        <w:t xml:space="preserve"> </w:t>
      </w:r>
      <w:r w:rsidR="007343D6">
        <w:rPr>
          <w:lang w:val="uk-UA"/>
        </w:rPr>
        <w:t>травня</w:t>
      </w:r>
      <w:r w:rsidRPr="0058518F" w:rsidR="00A4043D">
        <w:t xml:space="preserve"> 1998</w:t>
      </w:r>
      <w:r w:rsidR="007343D6">
        <w:rPr>
          <w:lang w:val="uk-UA"/>
        </w:rPr>
        <w:t xml:space="preserve"> р.</w:t>
      </w:r>
      <w:r w:rsidRPr="0058518F" w:rsidR="00A4043D">
        <w:t xml:space="preserve">, </w:t>
      </w:r>
      <w:r w:rsidRPr="0058518F" w:rsidR="00E9259A">
        <w:t xml:space="preserve">§ 59, </w:t>
      </w:r>
      <w:r w:rsidRPr="0058518F" w:rsidR="00A4043D">
        <w:rPr>
          <w:i/>
        </w:rPr>
        <w:t>Reports of Judgments and Decisions</w:t>
      </w:r>
      <w:r w:rsidRPr="0058518F" w:rsidR="00077EA3">
        <w:rPr>
          <w:i/>
        </w:rPr>
        <w:t xml:space="preserve"> </w:t>
      </w:r>
      <w:r w:rsidRPr="0058518F" w:rsidR="00E9259A">
        <w:t>1998-II</w:t>
      </w:r>
      <w:r w:rsidRPr="0058518F" w:rsidR="000875AF">
        <w:t>,</w:t>
      </w:r>
      <w:r w:rsidRPr="0058518F" w:rsidR="00A4043D">
        <w:t xml:space="preserve"> </w:t>
      </w:r>
      <w:r w:rsidR="00046D7A">
        <w:rPr>
          <w:lang w:val="uk-UA"/>
        </w:rPr>
        <w:t>і</w:t>
      </w:r>
      <w:r w:rsidRPr="0058518F" w:rsidR="00CA1841">
        <w:t xml:space="preserve"> </w:t>
      </w:r>
      <w:r w:rsidRPr="0058518F" w:rsidR="00A4043D">
        <w:rPr>
          <w:i/>
        </w:rPr>
        <w:t xml:space="preserve">Streletz, Kessler </w:t>
      </w:r>
      <w:r w:rsidR="00046D7A">
        <w:rPr>
          <w:i/>
          <w:lang w:val="uk-UA"/>
        </w:rPr>
        <w:t>і</w:t>
      </w:r>
      <w:r w:rsidRPr="0058518F" w:rsidR="00A4043D">
        <w:rPr>
          <w:i/>
        </w:rPr>
        <w:t xml:space="preserve"> Krenz</w:t>
      </w:r>
      <w:r w:rsidRPr="0058518F" w:rsidR="00A4043D">
        <w:t xml:space="preserve">, </w:t>
      </w:r>
      <w:r w:rsidR="00046D7A">
        <w:rPr>
          <w:lang w:val="uk-UA"/>
        </w:rPr>
        <w:t>цитоване вище</w:t>
      </w:r>
      <w:r w:rsidRPr="0058518F" w:rsidR="00A4043D">
        <w:t>, §</w:t>
      </w:r>
      <w:r w:rsidRPr="0058518F" w:rsidR="00077EA3">
        <w:t xml:space="preserve"> </w:t>
      </w:r>
      <w:r w:rsidRPr="0058518F" w:rsidR="00A4043D">
        <w:t xml:space="preserve">49). </w:t>
      </w:r>
      <w:r w:rsidR="00046D7A">
        <w:rPr>
          <w:lang w:val="uk-UA"/>
        </w:rPr>
        <w:t xml:space="preserve">Хоча </w:t>
      </w:r>
      <w:proofErr w:type="spellStart"/>
      <w:r w:rsidR="00046D7A">
        <w:rPr>
          <w:lang w:val="uk-UA"/>
        </w:rPr>
        <w:t>обов</w:t>
      </w:r>
      <w:r w:rsidR="00761A37">
        <w:rPr>
          <w:lang w:val="uk-UA"/>
        </w:rPr>
        <w:t>’</w:t>
      </w:r>
      <w:r w:rsidR="00046D7A">
        <w:rPr>
          <w:lang w:val="fr-FR"/>
        </w:rPr>
        <w:t>язком</w:t>
      </w:r>
      <w:proofErr w:type="spellEnd"/>
      <w:r w:rsidRPr="00046D7A" w:rsidR="00046D7A">
        <w:rPr>
          <w:lang w:val="en-US"/>
        </w:rPr>
        <w:t xml:space="preserve"> </w:t>
      </w:r>
      <w:r w:rsidR="00046D7A">
        <w:rPr>
          <w:lang w:val="fr-FR"/>
        </w:rPr>
        <w:t>Суду</w:t>
      </w:r>
      <w:r w:rsidRPr="00046D7A" w:rsidR="00046D7A">
        <w:rPr>
          <w:lang w:val="en-US"/>
        </w:rPr>
        <w:t xml:space="preserve">, </w:t>
      </w:r>
      <w:r w:rsidR="00046D7A">
        <w:rPr>
          <w:lang w:val="fr-FR"/>
        </w:rPr>
        <w:t>відповідно</w:t>
      </w:r>
      <w:r w:rsidRPr="00046D7A" w:rsidR="00046D7A">
        <w:rPr>
          <w:lang w:val="en-US"/>
        </w:rPr>
        <w:t xml:space="preserve"> </w:t>
      </w:r>
      <w:r w:rsidR="00046D7A">
        <w:rPr>
          <w:lang w:val="fr-FR"/>
        </w:rPr>
        <w:t>до</w:t>
      </w:r>
      <w:r w:rsidRPr="00046D7A" w:rsidR="00046D7A">
        <w:rPr>
          <w:lang w:val="en-US"/>
        </w:rPr>
        <w:t xml:space="preserve"> </w:t>
      </w:r>
      <w:r w:rsidR="00046D7A">
        <w:rPr>
          <w:lang w:val="fr-FR"/>
        </w:rPr>
        <w:t>статті</w:t>
      </w:r>
      <w:r w:rsidRPr="00046D7A" w:rsidR="00046D7A">
        <w:rPr>
          <w:lang w:val="en-US"/>
        </w:rPr>
        <w:t xml:space="preserve"> </w:t>
      </w:r>
      <w:r w:rsidRPr="0058518F" w:rsidR="00A4043D">
        <w:t xml:space="preserve">19 </w:t>
      </w:r>
      <w:r w:rsidR="00046D7A">
        <w:rPr>
          <w:lang w:val="uk-UA"/>
        </w:rPr>
        <w:t>Конвенції</w:t>
      </w:r>
      <w:r w:rsidRPr="0058518F" w:rsidR="00A4043D">
        <w:t>,</w:t>
      </w:r>
      <w:r w:rsidR="00046D7A">
        <w:rPr>
          <w:lang w:val="uk-UA"/>
        </w:rPr>
        <w:t xml:space="preserve"> є забезпечення дотримання </w:t>
      </w:r>
      <w:proofErr w:type="spellStart"/>
      <w:r w:rsidR="00046D7A">
        <w:rPr>
          <w:lang w:val="uk-UA"/>
        </w:rPr>
        <w:t>зобов</w:t>
      </w:r>
      <w:r w:rsidR="00761A37">
        <w:rPr>
          <w:lang w:val="uk-UA"/>
        </w:rPr>
        <w:t>’</w:t>
      </w:r>
      <w:proofErr w:type="spellEnd"/>
      <w:r w:rsidR="00046D7A">
        <w:rPr>
          <w:lang w:val="fr-FR"/>
        </w:rPr>
        <w:t>я</w:t>
      </w:r>
      <w:proofErr w:type="spellStart"/>
      <w:r w:rsidR="00046D7A">
        <w:rPr>
          <w:lang w:val="uk-UA"/>
        </w:rPr>
        <w:t>зань</w:t>
      </w:r>
      <w:proofErr w:type="spellEnd"/>
      <w:r w:rsidR="00046D7A">
        <w:rPr>
          <w:lang w:val="uk-UA"/>
        </w:rPr>
        <w:t xml:space="preserve"> Державами-учасницями Конвенції, до його повноважень не входить розгляд помилок щодо фактів і права, допущених національними судами, якщо </w:t>
      </w:r>
      <w:r w:rsidRPr="00DB3579" w:rsidR="00046D7A">
        <w:rPr>
          <w:lang w:val="uk-UA"/>
        </w:rPr>
        <w:t>тільки</w:t>
      </w:r>
      <w:r w:rsidRPr="00DB3579" w:rsidR="004B5A08">
        <w:rPr>
          <w:lang w:val="uk-UA"/>
        </w:rPr>
        <w:t>,</w:t>
      </w:r>
      <w:r w:rsidRPr="00DB3579" w:rsidR="00046D7A">
        <w:rPr>
          <w:lang w:val="uk-UA"/>
        </w:rPr>
        <w:t xml:space="preserve"> і оскільки</w:t>
      </w:r>
      <w:r w:rsidRPr="00DB3579" w:rsidR="004B5A08">
        <w:rPr>
          <w:lang w:val="uk-UA"/>
        </w:rPr>
        <w:t>,</w:t>
      </w:r>
      <w:r w:rsidRPr="00DB3579" w:rsidR="00046D7A">
        <w:rPr>
          <w:lang w:val="uk-UA"/>
        </w:rPr>
        <w:t xml:space="preserve"> вони порушують права і свободи, захищені цією Конвенцією</w:t>
      </w:r>
      <w:r w:rsidR="00761A37">
        <w:rPr>
          <w:lang w:val="uk-UA"/>
        </w:rPr>
        <w:t xml:space="preserve"> </w:t>
      </w:r>
      <w:r w:rsidRPr="00DB3579" w:rsidR="00A4043D">
        <w:rPr>
          <w:lang w:val="uk-UA"/>
        </w:rPr>
        <w:t>(</w:t>
      </w:r>
      <w:r w:rsidRPr="00DB3579" w:rsidR="00046D7A">
        <w:rPr>
          <w:lang w:val="uk-UA"/>
        </w:rPr>
        <w:t>див.</w:t>
      </w:r>
      <w:r w:rsidRPr="00DB3579" w:rsidR="00A4043D">
        <w:rPr>
          <w:lang w:val="uk-UA"/>
        </w:rPr>
        <w:t xml:space="preserve">, </w:t>
      </w:r>
      <w:r w:rsidRPr="00DB3579" w:rsidR="00A4043D">
        <w:rPr>
          <w:i/>
        </w:rPr>
        <w:t>mutatis</w:t>
      </w:r>
      <w:r w:rsidRPr="00DB3579" w:rsidR="00A4043D">
        <w:rPr>
          <w:i/>
          <w:lang w:val="uk-UA"/>
        </w:rPr>
        <w:t xml:space="preserve"> </w:t>
      </w:r>
      <w:r w:rsidRPr="00DB3579" w:rsidR="00A4043D">
        <w:rPr>
          <w:i/>
        </w:rPr>
        <w:t>mutandis</w:t>
      </w:r>
      <w:r w:rsidRPr="00DB3579" w:rsidR="00A4043D">
        <w:rPr>
          <w:lang w:val="uk-UA"/>
        </w:rPr>
        <w:t xml:space="preserve">, </w:t>
      </w:r>
      <w:r w:rsidRPr="00DB3579" w:rsidR="00A4043D">
        <w:rPr>
          <w:i/>
        </w:rPr>
        <w:t>Schenk</w:t>
      </w:r>
      <w:r w:rsidRPr="00DB3579" w:rsidR="00A4043D">
        <w:rPr>
          <w:i/>
          <w:lang w:val="uk-UA"/>
        </w:rPr>
        <w:t xml:space="preserve"> </w:t>
      </w:r>
      <w:r w:rsidRPr="00DB3579" w:rsidR="00046D7A">
        <w:rPr>
          <w:i/>
          <w:lang w:val="uk-UA"/>
        </w:rPr>
        <w:t>проти Швейцарії</w:t>
      </w:r>
      <w:r w:rsidRPr="00DB3579" w:rsidR="00A4043D">
        <w:rPr>
          <w:lang w:val="uk-UA"/>
        </w:rPr>
        <w:t>, 12</w:t>
      </w:r>
      <w:r w:rsidRPr="00DB3579" w:rsidR="003A1570">
        <w:rPr>
          <w:lang w:val="uk-UA"/>
        </w:rPr>
        <w:t xml:space="preserve"> </w:t>
      </w:r>
      <w:r w:rsidRPr="00DB3579" w:rsidR="00046D7A">
        <w:rPr>
          <w:lang w:val="uk-UA"/>
        </w:rPr>
        <w:t>липня</w:t>
      </w:r>
      <w:r w:rsidRPr="00DB3579" w:rsidR="00A4043D">
        <w:rPr>
          <w:lang w:val="uk-UA"/>
        </w:rPr>
        <w:t xml:space="preserve"> 1988</w:t>
      </w:r>
      <w:r w:rsidRPr="00DB3579" w:rsidR="00046D7A">
        <w:rPr>
          <w:lang w:val="uk-UA"/>
        </w:rPr>
        <w:t xml:space="preserve"> р.</w:t>
      </w:r>
      <w:r w:rsidRPr="00DB3579" w:rsidR="00A4043D">
        <w:rPr>
          <w:lang w:val="uk-UA"/>
        </w:rPr>
        <w:t xml:space="preserve">, </w:t>
      </w:r>
      <w:r w:rsidRPr="00DB3579" w:rsidR="003A1570">
        <w:rPr>
          <w:lang w:val="uk-UA"/>
        </w:rPr>
        <w:t>§</w:t>
      </w:r>
      <w:r w:rsidRPr="00DB3579" w:rsidR="003A1570">
        <w:t> </w:t>
      </w:r>
      <w:r w:rsidRPr="00DB3579" w:rsidR="003A1570">
        <w:rPr>
          <w:lang w:val="uk-UA"/>
        </w:rPr>
        <w:t xml:space="preserve">45, </w:t>
      </w:r>
      <w:r w:rsidRPr="00DB3579" w:rsidR="00A4043D">
        <w:t>Series</w:t>
      </w:r>
      <w:r w:rsidRPr="00DB3579" w:rsidR="00077EA3">
        <w:rPr>
          <w:lang w:val="uk-UA"/>
        </w:rPr>
        <w:t xml:space="preserve"> </w:t>
      </w:r>
      <w:r w:rsidRPr="00DB3579" w:rsidR="00A4043D">
        <w:t>A</w:t>
      </w:r>
      <w:r w:rsidRPr="00DB3579" w:rsidR="00A4043D">
        <w:rPr>
          <w:lang w:val="uk-UA"/>
        </w:rPr>
        <w:t xml:space="preserve"> </w:t>
      </w:r>
      <w:r w:rsidRPr="00DB3579" w:rsidR="00046D7A">
        <w:rPr>
          <w:lang w:val="uk-UA"/>
        </w:rPr>
        <w:t>№</w:t>
      </w:r>
      <w:r w:rsidRPr="00DB3579" w:rsidR="00E9259A">
        <w:t> </w:t>
      </w:r>
      <w:r w:rsidRPr="00DB3579" w:rsidR="003A1570">
        <w:rPr>
          <w:lang w:val="uk-UA"/>
        </w:rPr>
        <w:t>140</w:t>
      </w:r>
      <w:r w:rsidRPr="00DB3579" w:rsidR="00CA1841">
        <w:rPr>
          <w:lang w:val="uk-UA"/>
        </w:rPr>
        <w:t xml:space="preserve">, </w:t>
      </w:r>
      <w:r w:rsidRPr="00DB3579" w:rsidR="00046D7A">
        <w:rPr>
          <w:lang w:val="uk-UA"/>
        </w:rPr>
        <w:t>і</w:t>
      </w:r>
      <w:r w:rsidRPr="00DB3579" w:rsidR="00A4043D">
        <w:rPr>
          <w:lang w:val="uk-UA"/>
        </w:rPr>
        <w:t xml:space="preserve"> </w:t>
      </w:r>
      <w:r w:rsidRPr="00DB3579" w:rsidR="00A4043D">
        <w:rPr>
          <w:i/>
        </w:rPr>
        <w:t>Streletz</w:t>
      </w:r>
      <w:r w:rsidRPr="00DB3579" w:rsidR="00A4043D">
        <w:rPr>
          <w:i/>
          <w:lang w:val="uk-UA"/>
        </w:rPr>
        <w:t xml:space="preserve">, </w:t>
      </w:r>
      <w:r w:rsidRPr="00DB3579" w:rsidR="00A4043D">
        <w:rPr>
          <w:i/>
        </w:rPr>
        <w:t>Kessler</w:t>
      </w:r>
      <w:r w:rsidRPr="00DB3579" w:rsidR="00A4043D">
        <w:rPr>
          <w:i/>
          <w:lang w:val="uk-UA"/>
        </w:rPr>
        <w:t xml:space="preserve"> </w:t>
      </w:r>
      <w:r w:rsidRPr="00DB3579" w:rsidR="00046D7A">
        <w:rPr>
          <w:i/>
          <w:lang w:val="uk-UA"/>
        </w:rPr>
        <w:t>і</w:t>
      </w:r>
      <w:r w:rsidRPr="00DB3579" w:rsidR="00A4043D">
        <w:rPr>
          <w:i/>
          <w:lang w:val="uk-UA"/>
        </w:rPr>
        <w:t xml:space="preserve"> </w:t>
      </w:r>
      <w:r w:rsidRPr="00DB3579" w:rsidR="00A4043D">
        <w:rPr>
          <w:i/>
        </w:rPr>
        <w:t>Krenz</w:t>
      </w:r>
      <w:r w:rsidRPr="00DB3579" w:rsidR="00A4043D">
        <w:rPr>
          <w:lang w:val="uk-UA"/>
        </w:rPr>
        <w:t xml:space="preserve">, </w:t>
      </w:r>
      <w:r w:rsidRPr="00DB3579" w:rsidR="00046D7A">
        <w:rPr>
          <w:lang w:val="uk-UA"/>
        </w:rPr>
        <w:t>цитоване вище</w:t>
      </w:r>
      <w:r w:rsidRPr="00DB3579" w:rsidR="00A4043D">
        <w:rPr>
          <w:lang w:val="uk-UA"/>
        </w:rPr>
        <w:t>, §</w:t>
      </w:r>
      <w:r w:rsidRPr="00DB3579" w:rsidR="00077EA3">
        <w:rPr>
          <w:lang w:val="uk-UA"/>
        </w:rPr>
        <w:t xml:space="preserve"> </w:t>
      </w:r>
      <w:r w:rsidRPr="00DB3579" w:rsidR="00A4043D">
        <w:rPr>
          <w:lang w:val="uk-UA"/>
        </w:rPr>
        <w:t>49).</w:t>
      </w:r>
    </w:p>
    <w:p w:rsidRPr="00DB3579" w:rsidR="00474684" w:rsidP="00474684" w:rsidRDefault="007E0D3D">
      <w:pPr>
        <w:pStyle w:val="JuHa0"/>
      </w:pPr>
      <w:r w:rsidRPr="00DB3579">
        <w:t>(b)</w:t>
      </w:r>
      <w:r w:rsidRPr="00DB3579" w:rsidR="00474684">
        <w:t>  </w:t>
      </w:r>
      <w:r w:rsidRPr="00DB3579" w:rsidR="009C2A9D">
        <w:rPr>
          <w:lang w:val="uk-UA"/>
        </w:rPr>
        <w:t>Застосування цих принципів до даної справи</w:t>
      </w:r>
    </w:p>
    <w:p w:rsidRPr="00DB3579" w:rsidR="00EA568A" w:rsidP="00EA568A" w:rsidRDefault="008334C3">
      <w:pPr>
        <w:pStyle w:val="JuPara"/>
      </w:pPr>
      <w:r w:rsidRPr="00DB3579">
        <w:fldChar w:fldCharType="begin"/>
      </w:r>
      <w:r w:rsidRPr="00DB3579">
        <w:instrText xml:space="preserve"> SEQ level0 \*arabic </w:instrText>
      </w:r>
      <w:r w:rsidRPr="00DB3579">
        <w:fldChar w:fldCharType="separate"/>
      </w:r>
      <w:r w:rsidRPr="00DB3579" w:rsidR="00142C04">
        <w:rPr>
          <w:noProof/>
        </w:rPr>
        <w:t>103</w:t>
      </w:r>
      <w:r w:rsidRPr="00DB3579">
        <w:fldChar w:fldCharType="end"/>
      </w:r>
      <w:r w:rsidRPr="00DB3579">
        <w:t>.  </w:t>
      </w:r>
      <w:r w:rsidRPr="00DB3579" w:rsidR="00007473">
        <w:rPr>
          <w:lang w:val="uk-UA"/>
        </w:rPr>
        <w:t>У світлі наведених принципів, Суд має вирішити, чи тлумачення національними судами злочину геноциду за німецьким правом, зокрема «наміру знищити», у такому обсязі, який включав діяння, скоєні заявником під час етні</w:t>
      </w:r>
      <w:r w:rsidRPr="00DB3579" w:rsidR="004B5A08">
        <w:rPr>
          <w:lang w:val="uk-UA"/>
        </w:rPr>
        <w:t>чних чисток у Боснії і Герцегови</w:t>
      </w:r>
      <w:r w:rsidRPr="00DB3579" w:rsidR="00007473">
        <w:rPr>
          <w:lang w:val="uk-UA"/>
        </w:rPr>
        <w:t>ні, відповідало суті цього злочину і могло бути розумно передбачуваним для заявника на той час</w:t>
      </w:r>
      <w:r w:rsidRPr="00DB3579" w:rsidR="00EA568A">
        <w:t>.</w:t>
      </w:r>
    </w:p>
    <w:p w:rsidRPr="00DB3579" w:rsidR="002D5603" w:rsidP="008334C3" w:rsidRDefault="00EF39F7">
      <w:pPr>
        <w:pStyle w:val="JuPara"/>
      </w:pPr>
      <w:r w:rsidRPr="00DB3579">
        <w:fldChar w:fldCharType="begin"/>
      </w:r>
      <w:r w:rsidRPr="00DB3579">
        <w:instrText xml:space="preserve"> SEQ level0 \*arabic </w:instrText>
      </w:r>
      <w:r w:rsidRPr="00DB3579">
        <w:fldChar w:fldCharType="separate"/>
      </w:r>
      <w:r w:rsidRPr="00DB3579" w:rsidR="00142C04">
        <w:rPr>
          <w:noProof/>
        </w:rPr>
        <w:t>104</w:t>
      </w:r>
      <w:r w:rsidRPr="00DB3579">
        <w:fldChar w:fldCharType="end"/>
      </w:r>
      <w:r w:rsidRPr="00DB3579">
        <w:t>.  </w:t>
      </w:r>
      <w:r w:rsidRPr="00DB3579" w:rsidR="00677AE0">
        <w:rPr>
          <w:lang w:val="uk-UA"/>
        </w:rPr>
        <w:t>Визначаючи, по-перше, чи відповідало тлумачення німецьких судів суті злочину геноциду, Суд зазначає, що</w:t>
      </w:r>
      <w:r w:rsidR="00761A37">
        <w:rPr>
          <w:lang w:val="uk-UA"/>
        </w:rPr>
        <w:t xml:space="preserve"> </w:t>
      </w:r>
      <w:r w:rsidRPr="00DB3579" w:rsidR="00677AE0">
        <w:rPr>
          <w:lang w:val="uk-UA"/>
        </w:rPr>
        <w:t>національні суди не тлумачили вузько обсяг цього злочину</w:t>
      </w:r>
      <w:r w:rsidRPr="00DB3579" w:rsidR="00E95F0D">
        <w:t xml:space="preserve">. </w:t>
      </w:r>
      <w:r w:rsidRPr="00DB3579" w:rsidR="00B14A5B">
        <w:rPr>
          <w:lang w:val="uk-UA"/>
        </w:rPr>
        <w:t xml:space="preserve">Вони вирішили, що «намір знищити» групу у розумінні статті </w:t>
      </w:r>
      <w:r w:rsidRPr="00DB3579" w:rsidR="00E95F0D">
        <w:t xml:space="preserve">220a </w:t>
      </w:r>
      <w:r w:rsidRPr="00DB3579" w:rsidR="00B14A5B">
        <w:rPr>
          <w:lang w:val="uk-UA"/>
        </w:rPr>
        <w:t>Кримінального кодексу</w:t>
      </w:r>
      <w:r w:rsidRPr="00DB3579" w:rsidR="00E95F0D">
        <w:t xml:space="preserve">, </w:t>
      </w:r>
      <w:r w:rsidRPr="00DB3579" w:rsidR="00B14A5B">
        <w:rPr>
          <w:lang w:val="uk-UA"/>
        </w:rPr>
        <w:t>інтерпретованої у контексті статті</w:t>
      </w:r>
      <w:r w:rsidRPr="00DB3579" w:rsidR="00077EA3">
        <w:t xml:space="preserve"> </w:t>
      </w:r>
      <w:r w:rsidRPr="00DB3579" w:rsidR="00E95F0D">
        <w:t xml:space="preserve">II </w:t>
      </w:r>
      <w:r w:rsidRPr="00DB3579" w:rsidR="006B6F72">
        <w:rPr>
          <w:lang w:val="uk-UA"/>
        </w:rPr>
        <w:t>Конвенції п</w:t>
      </w:r>
      <w:r w:rsidRPr="00DB3579" w:rsidR="006B6F72">
        <w:t>ро запобігання геноциду</w:t>
      </w:r>
      <w:r w:rsidRPr="00DB3579" w:rsidR="00E95F0D">
        <w:t xml:space="preserve">, </w:t>
      </w:r>
      <w:r w:rsidRPr="00DB3579" w:rsidR="00B14A5B">
        <w:rPr>
          <w:lang w:val="uk-UA"/>
        </w:rPr>
        <w:t xml:space="preserve">не </w:t>
      </w:r>
      <w:proofErr w:type="spellStart"/>
      <w:r w:rsidRPr="00DB3579" w:rsidR="00B14A5B">
        <w:rPr>
          <w:lang w:val="uk-UA"/>
        </w:rPr>
        <w:t>обов</w:t>
      </w:r>
      <w:r w:rsidR="00761A37">
        <w:rPr>
          <w:lang w:val="uk-UA"/>
        </w:rPr>
        <w:t>’</w:t>
      </w:r>
      <w:r w:rsidRPr="00DB3579" w:rsidR="00B14A5B">
        <w:rPr>
          <w:lang w:val="fr-FR"/>
        </w:rPr>
        <w:t>язково</w:t>
      </w:r>
      <w:proofErr w:type="spellEnd"/>
      <w:r w:rsidRPr="00DB3579" w:rsidR="00B14A5B">
        <w:t xml:space="preserve"> </w:t>
      </w:r>
      <w:proofErr w:type="spellStart"/>
      <w:r w:rsidRPr="00DB3579" w:rsidR="00B14A5B">
        <w:rPr>
          <w:lang w:val="fr-FR"/>
        </w:rPr>
        <w:t>передбачає</w:t>
      </w:r>
      <w:proofErr w:type="spellEnd"/>
      <w:r w:rsidRPr="00DB3579" w:rsidR="00B14A5B">
        <w:t xml:space="preserve"> </w:t>
      </w:r>
      <w:r w:rsidRPr="00DB3579" w:rsidR="00B14A5B">
        <w:rPr>
          <w:lang w:val="uk-UA"/>
        </w:rPr>
        <w:t>намір знищити групу у фізичному чи біологічному розумінні</w:t>
      </w:r>
      <w:r w:rsidRPr="00DB3579" w:rsidR="00E95F0D">
        <w:t xml:space="preserve">. </w:t>
      </w:r>
      <w:r w:rsidRPr="00DB3579" w:rsidR="00B14A5B">
        <w:rPr>
          <w:lang w:val="uk-UA"/>
        </w:rPr>
        <w:t>Достатньо, аби злочинець мав на меті знищити групу як соціальну спільноту</w:t>
      </w:r>
      <w:r w:rsidRPr="00DB3579" w:rsidR="00E95F0D">
        <w:t>.</w:t>
      </w:r>
    </w:p>
    <w:p w:rsidR="00974E20" w:rsidP="005C20B6" w:rsidRDefault="005C20B6">
      <w:pPr>
        <w:pStyle w:val="JuPara"/>
      </w:pPr>
      <w:r w:rsidRPr="00DB3579">
        <w:fldChar w:fldCharType="begin"/>
      </w:r>
      <w:r w:rsidRPr="00DB3579">
        <w:instrText xml:space="preserve"> SEQ level0 \*arabic </w:instrText>
      </w:r>
      <w:r w:rsidRPr="00DB3579">
        <w:fldChar w:fldCharType="separate"/>
      </w:r>
      <w:r w:rsidRPr="00DB3579" w:rsidR="00142C04">
        <w:rPr>
          <w:noProof/>
        </w:rPr>
        <w:t>105</w:t>
      </w:r>
      <w:r w:rsidRPr="00DB3579">
        <w:fldChar w:fldCharType="end"/>
      </w:r>
      <w:r w:rsidRPr="00DB3579">
        <w:t>.  </w:t>
      </w:r>
      <w:r w:rsidRPr="00DB3579" w:rsidR="00B14A5B">
        <w:rPr>
          <w:lang w:val="uk-UA"/>
        </w:rPr>
        <w:t>Суд зазначає, що</w:t>
      </w:r>
      <w:r w:rsidR="00761A37">
        <w:rPr>
          <w:lang w:val="uk-UA"/>
        </w:rPr>
        <w:t xml:space="preserve"> </w:t>
      </w:r>
      <w:r w:rsidRPr="00DB3579" w:rsidR="00B14A5B">
        <w:rPr>
          <w:lang w:val="uk-UA"/>
        </w:rPr>
        <w:t>національні суди систематично тлумачили намір знищити групу як таку у контексті статті</w:t>
      </w:r>
      <w:r w:rsidRPr="00DB3579" w:rsidR="00B14A5B">
        <w:t xml:space="preserve"> </w:t>
      </w:r>
      <w:r w:rsidRPr="00DB3579" w:rsidR="00065FCB">
        <w:t>220a §</w:t>
      </w:r>
      <w:r w:rsidRPr="00DB3579" w:rsidR="00077EA3">
        <w:t xml:space="preserve"> </w:t>
      </w:r>
      <w:r w:rsidRPr="00DB3579" w:rsidR="00065FCB">
        <w:t xml:space="preserve">1 </w:t>
      </w:r>
      <w:r w:rsidRPr="00DB3579" w:rsidR="000F6BEE">
        <w:rPr>
          <w:lang w:val="uk-UA"/>
        </w:rPr>
        <w:t>Кримінального кодексу</w:t>
      </w:r>
      <w:r w:rsidRPr="00DB3579" w:rsidR="00065FCB">
        <w:t xml:space="preserve"> </w:t>
      </w:r>
      <w:r w:rsidRPr="00DB3579" w:rsidR="004B5A08">
        <w:rPr>
          <w:lang w:val="uk-UA"/>
        </w:rPr>
        <w:t>в</w:t>
      </w:r>
      <w:r w:rsidRPr="00DB3579" w:rsidR="00DB3579">
        <w:rPr>
          <w:lang w:val="uk-UA"/>
        </w:rPr>
        <w:t xml:space="preserve"> </w:t>
      </w:r>
      <w:r w:rsidRPr="00DB3579" w:rsidR="00B14A5B">
        <w:rPr>
          <w:lang w:val="uk-UA"/>
        </w:rPr>
        <w:t>цілому</w:t>
      </w:r>
      <w:r w:rsidRPr="00DB3579" w:rsidR="000C454E">
        <w:t>,</w:t>
      </w:r>
      <w:r w:rsidRPr="00DB3579" w:rsidR="00B14A5B">
        <w:rPr>
          <w:lang w:val="uk-UA"/>
        </w:rPr>
        <w:t xml:space="preserve"> з огляду, зокрема, на </w:t>
      </w:r>
      <w:r w:rsidRPr="00DB3579" w:rsidR="00C0339B">
        <w:rPr>
          <w:lang w:val="uk-UA"/>
        </w:rPr>
        <w:t>варіанти</w:t>
      </w:r>
      <w:r w:rsidR="00B14A5B">
        <w:rPr>
          <w:lang w:val="uk-UA"/>
        </w:rPr>
        <w:t xml:space="preserve"> №</w:t>
      </w:r>
      <w:r w:rsidR="00077EA3">
        <w:t xml:space="preserve"> </w:t>
      </w:r>
      <w:r w:rsidR="000C454E">
        <w:t xml:space="preserve">4 </w:t>
      </w:r>
      <w:r w:rsidR="00065FCB">
        <w:t>(</w:t>
      </w:r>
      <w:r w:rsidR="00B14A5B">
        <w:rPr>
          <w:lang w:val="uk-UA"/>
        </w:rPr>
        <w:t>запровадження заходів, які мають на меті запобігти народжуваності</w:t>
      </w:r>
      <w:r w:rsidR="00065FCB">
        <w:t xml:space="preserve">) </w:t>
      </w:r>
      <w:r w:rsidR="00B14A5B">
        <w:rPr>
          <w:lang w:val="uk-UA"/>
        </w:rPr>
        <w:t>і №</w:t>
      </w:r>
      <w:r w:rsidR="00077EA3">
        <w:t xml:space="preserve"> </w:t>
      </w:r>
      <w:r w:rsidR="000C454E">
        <w:t xml:space="preserve">5 </w:t>
      </w:r>
      <w:r w:rsidR="00065FCB">
        <w:t>(</w:t>
      </w:r>
      <w:r w:rsidR="00B14A5B">
        <w:rPr>
          <w:lang w:val="uk-UA"/>
        </w:rPr>
        <w:t>примусове передання дітей групи до іншої групи</w:t>
      </w:r>
      <w:r w:rsidR="00065FCB">
        <w:t>)</w:t>
      </w:r>
      <w:r w:rsidR="00A76C8A">
        <w:t xml:space="preserve"> </w:t>
      </w:r>
      <w:r w:rsidR="00B14A5B">
        <w:rPr>
          <w:lang w:val="uk-UA"/>
        </w:rPr>
        <w:t>цього положення</w:t>
      </w:r>
      <w:r w:rsidR="00065FCB">
        <w:t xml:space="preserve">, </w:t>
      </w:r>
      <w:r w:rsidR="00B14A5B">
        <w:rPr>
          <w:lang w:val="uk-UA"/>
        </w:rPr>
        <w:t xml:space="preserve">котрі не передбачають </w:t>
      </w:r>
      <w:proofErr w:type="spellStart"/>
      <w:r w:rsidR="00B14A5B">
        <w:rPr>
          <w:lang w:val="uk-UA"/>
        </w:rPr>
        <w:t>обов</w:t>
      </w:r>
      <w:r w:rsidR="00761A37">
        <w:rPr>
          <w:lang w:val="uk-UA"/>
        </w:rPr>
        <w:t>’</w:t>
      </w:r>
      <w:r w:rsidR="00B14A5B">
        <w:rPr>
          <w:lang w:val="fr-FR"/>
        </w:rPr>
        <w:t>язкове</w:t>
      </w:r>
      <w:proofErr w:type="spellEnd"/>
      <w:r w:rsidRPr="00B14A5B" w:rsidR="00B14A5B">
        <w:t xml:space="preserve"> </w:t>
      </w:r>
      <w:r w:rsidR="00B14A5B">
        <w:rPr>
          <w:lang w:val="uk-UA"/>
        </w:rPr>
        <w:t>фізичне знищення живих членів даної групи</w:t>
      </w:r>
      <w:r w:rsidR="00C53FF9">
        <w:t xml:space="preserve">. </w:t>
      </w:r>
      <w:r w:rsidR="00B14A5B">
        <w:rPr>
          <w:lang w:val="uk-UA"/>
        </w:rPr>
        <w:t>Суд вважає, що</w:t>
      </w:r>
      <w:r w:rsidR="00761A37">
        <w:rPr>
          <w:lang w:val="uk-UA"/>
        </w:rPr>
        <w:t xml:space="preserve"> </w:t>
      </w:r>
      <w:r w:rsidR="000E2585">
        <w:rPr>
          <w:lang w:val="uk-UA"/>
        </w:rPr>
        <w:t xml:space="preserve">тлумачення </w:t>
      </w:r>
      <w:r w:rsidR="00B14A5B">
        <w:rPr>
          <w:lang w:val="uk-UA"/>
        </w:rPr>
        <w:t>національн</w:t>
      </w:r>
      <w:r w:rsidR="000E2585">
        <w:rPr>
          <w:lang w:val="uk-UA"/>
        </w:rPr>
        <w:t>ими</w:t>
      </w:r>
      <w:r w:rsidR="00B14A5B">
        <w:rPr>
          <w:lang w:val="uk-UA"/>
        </w:rPr>
        <w:t xml:space="preserve"> суд</w:t>
      </w:r>
      <w:r w:rsidR="000E2585">
        <w:rPr>
          <w:lang w:val="uk-UA"/>
        </w:rPr>
        <w:t>ам</w:t>
      </w:r>
      <w:r w:rsidR="00B14A5B">
        <w:rPr>
          <w:lang w:val="uk-UA"/>
        </w:rPr>
        <w:t>и «намір</w:t>
      </w:r>
      <w:r w:rsidR="000E2585">
        <w:rPr>
          <w:lang w:val="uk-UA"/>
        </w:rPr>
        <w:t>у</w:t>
      </w:r>
      <w:r w:rsidR="00B14A5B">
        <w:rPr>
          <w:lang w:val="uk-UA"/>
        </w:rPr>
        <w:t xml:space="preserve"> знищити групу» не </w:t>
      </w:r>
      <w:proofErr w:type="spellStart"/>
      <w:r w:rsidR="00B14A5B">
        <w:rPr>
          <w:lang w:val="uk-UA"/>
        </w:rPr>
        <w:t>обов</w:t>
      </w:r>
      <w:r w:rsidR="00761A37">
        <w:rPr>
          <w:lang w:val="uk-UA"/>
        </w:rPr>
        <w:t>’</w:t>
      </w:r>
      <w:r w:rsidR="00B14A5B">
        <w:rPr>
          <w:lang w:val="fr-FR"/>
        </w:rPr>
        <w:t>язков</w:t>
      </w:r>
      <w:proofErr w:type="spellEnd"/>
      <w:r w:rsidR="00B14A5B">
        <w:rPr>
          <w:lang w:val="uk-UA"/>
        </w:rPr>
        <w:t>о як фізичне знищення групи</w:t>
      </w:r>
      <w:r w:rsidR="00974E20">
        <w:t xml:space="preserve">, </w:t>
      </w:r>
      <w:r w:rsidR="00B14A5B">
        <w:rPr>
          <w:lang w:val="uk-UA"/>
        </w:rPr>
        <w:t>до чого схиляються також ряд науковців</w:t>
      </w:r>
      <w:r w:rsidR="00974E20">
        <w:t xml:space="preserve"> </w:t>
      </w:r>
      <w:r w:rsidR="009B2F93">
        <w:t>(</w:t>
      </w:r>
      <w:r w:rsidR="000E2585">
        <w:rPr>
          <w:lang w:val="uk-UA"/>
        </w:rPr>
        <w:t>див. вище параграфи</w:t>
      </w:r>
      <w:r w:rsidR="00077EA3">
        <w:t xml:space="preserve"> </w:t>
      </w:r>
      <w:r w:rsidRPr="00B93380" w:rsidR="009B2F93">
        <w:t xml:space="preserve">36 </w:t>
      </w:r>
      <w:r w:rsidR="000E2585">
        <w:rPr>
          <w:lang w:val="uk-UA"/>
        </w:rPr>
        <w:t>і</w:t>
      </w:r>
      <w:r w:rsidRPr="00B93380" w:rsidR="00B93380">
        <w:t xml:space="preserve"> 4</w:t>
      </w:r>
      <w:r w:rsidR="001A4911">
        <w:t>7</w:t>
      </w:r>
      <w:r w:rsidR="000E2585">
        <w:rPr>
          <w:lang w:val="uk-UA"/>
        </w:rPr>
        <w:t>)</w:t>
      </w:r>
      <w:r w:rsidR="00AB05F9">
        <w:t>,</w:t>
      </w:r>
      <w:r w:rsidR="000E2585">
        <w:rPr>
          <w:lang w:val="uk-UA"/>
        </w:rPr>
        <w:t xml:space="preserve"> охоплюється формулюванням, взятим в контексті, злочину геноциду у</w:t>
      </w:r>
      <w:r w:rsidR="00AB05F9">
        <w:t xml:space="preserve"> </w:t>
      </w:r>
      <w:r w:rsidR="000F6BEE">
        <w:rPr>
          <w:lang w:val="uk-UA"/>
        </w:rPr>
        <w:t>Кримінально</w:t>
      </w:r>
      <w:r w:rsidR="000E2585">
        <w:rPr>
          <w:lang w:val="uk-UA"/>
        </w:rPr>
        <w:t>му</w:t>
      </w:r>
      <w:r w:rsidR="000F6BEE">
        <w:rPr>
          <w:lang w:val="uk-UA"/>
        </w:rPr>
        <w:t xml:space="preserve"> кодекс</w:t>
      </w:r>
      <w:r w:rsidR="000E2585">
        <w:rPr>
          <w:lang w:val="uk-UA"/>
        </w:rPr>
        <w:t>і і не є необґрунтованим</w:t>
      </w:r>
      <w:r w:rsidR="00AB05F9">
        <w:t>.</w:t>
      </w:r>
    </w:p>
    <w:p w:rsidR="005B7F0D" w:rsidP="005C20B6" w:rsidRDefault="00CC3BDE">
      <w:pPr>
        <w:pStyle w:val="JuPara"/>
      </w:pPr>
      <w:r w:rsidRPr="00B62174">
        <w:fldChar w:fldCharType="begin"/>
      </w:r>
      <w:r w:rsidRPr="00B62174">
        <w:instrText xml:space="preserve"> SEQ level0 \*arabic </w:instrText>
      </w:r>
      <w:r w:rsidRPr="00B62174">
        <w:fldChar w:fldCharType="separate"/>
      </w:r>
      <w:r w:rsidR="00142C04">
        <w:rPr>
          <w:noProof/>
        </w:rPr>
        <w:t>106</w:t>
      </w:r>
      <w:r w:rsidRPr="00B62174">
        <w:fldChar w:fldCharType="end"/>
      </w:r>
      <w:r w:rsidRPr="00B62174">
        <w:t>.  </w:t>
      </w:r>
      <w:r w:rsidR="000E2585">
        <w:rPr>
          <w:lang w:val="uk-UA"/>
        </w:rPr>
        <w:t xml:space="preserve">Окрім того, Суд, як і національні суди, вважає </w:t>
      </w:r>
      <w:r w:rsidRPr="002356D8" w:rsidR="002356D8">
        <w:rPr>
          <w:lang w:val="uk-UA"/>
        </w:rPr>
        <w:t>за необхідне</w:t>
      </w:r>
      <w:r w:rsidRPr="002356D8" w:rsidR="00707A70">
        <w:rPr>
          <w:lang w:val="uk-UA"/>
        </w:rPr>
        <w:t>,</w:t>
      </w:r>
      <w:r w:rsidRPr="002356D8" w:rsidR="000E2585">
        <w:rPr>
          <w:lang w:val="uk-UA"/>
        </w:rPr>
        <w:t xml:space="preserve"> з метою визначення суті злочину геноциду</w:t>
      </w:r>
      <w:r w:rsidRPr="002356D8" w:rsidR="00707A70">
        <w:rPr>
          <w:lang w:val="uk-UA"/>
        </w:rPr>
        <w:t>,</w:t>
      </w:r>
      <w:r w:rsidRPr="002356D8" w:rsidR="000E2585">
        <w:rPr>
          <w:lang w:val="uk-UA"/>
        </w:rPr>
        <w:t xml:space="preserve"> взяти так</w:t>
      </w:r>
      <w:r w:rsidR="000E2585">
        <w:rPr>
          <w:lang w:val="uk-UA"/>
        </w:rPr>
        <w:t xml:space="preserve">ож до уваги кодифікацію заборони геноциду у статті </w:t>
      </w:r>
      <w:r w:rsidR="00192CB5">
        <w:t xml:space="preserve">II </w:t>
      </w:r>
      <w:r w:rsidR="006B6F72">
        <w:rPr>
          <w:lang w:val="uk-UA"/>
        </w:rPr>
        <w:t>Конвенції п</w:t>
      </w:r>
      <w:r w:rsidRPr="00F25090" w:rsidR="006B6F72">
        <w:t>ро запобігання геноциду</w:t>
      </w:r>
      <w:r w:rsidR="00192CB5">
        <w:t xml:space="preserve">, </w:t>
      </w:r>
      <w:r w:rsidR="000E2585">
        <w:rPr>
          <w:lang w:val="uk-UA"/>
        </w:rPr>
        <w:t>для дотримання якої до Кримінального кодексу було додано статтю</w:t>
      </w:r>
      <w:r w:rsidR="000E2585">
        <w:t xml:space="preserve"> </w:t>
      </w:r>
      <w:r w:rsidR="00192CB5">
        <w:t>220a</w:t>
      </w:r>
      <w:r w:rsidR="000E2585">
        <w:rPr>
          <w:lang w:val="uk-UA"/>
        </w:rPr>
        <w:t>, і в контексті якої слід тлумачити названу статтю</w:t>
      </w:r>
      <w:r w:rsidR="00DF3373">
        <w:t>.</w:t>
      </w:r>
      <w:r w:rsidR="005B7F0D">
        <w:t xml:space="preserve"> </w:t>
      </w:r>
      <w:r w:rsidR="000E2585">
        <w:rPr>
          <w:lang w:val="uk-UA"/>
        </w:rPr>
        <w:t xml:space="preserve">Оскільки формулювання статті </w:t>
      </w:r>
      <w:r w:rsidR="00192CB5">
        <w:t xml:space="preserve">220a </w:t>
      </w:r>
      <w:r w:rsidR="000F6BEE">
        <w:rPr>
          <w:lang w:val="uk-UA"/>
        </w:rPr>
        <w:t>Кримінального кодексу</w:t>
      </w:r>
      <w:r w:rsidR="000F6BEE">
        <w:t xml:space="preserve"> </w:t>
      </w:r>
      <w:r w:rsidR="000E2585">
        <w:rPr>
          <w:lang w:val="uk-UA"/>
        </w:rPr>
        <w:t xml:space="preserve">щодо визначення геноциду співпадає з формулюванням статті </w:t>
      </w:r>
      <w:r w:rsidR="00192CB5">
        <w:t xml:space="preserve">II </w:t>
      </w:r>
      <w:r w:rsidR="006B6F72">
        <w:rPr>
          <w:lang w:val="uk-UA"/>
        </w:rPr>
        <w:t>Конвенції п</w:t>
      </w:r>
      <w:r w:rsidRPr="00F25090" w:rsidR="006B6F72">
        <w:t>ро запобігання геноциду</w:t>
      </w:r>
      <w:r w:rsidR="000E2585">
        <w:rPr>
          <w:lang w:val="uk-UA"/>
        </w:rPr>
        <w:t>, то має також застосовуватись і наведене пояснення обсягу заборони геноциду</w:t>
      </w:r>
      <w:r w:rsidR="00DF3373">
        <w:t>.</w:t>
      </w:r>
    </w:p>
    <w:p w:rsidRPr="00705C57" w:rsidR="00F90B96" w:rsidP="00F90B96" w:rsidRDefault="00F90B96">
      <w:pPr>
        <w:pStyle w:val="JuPara"/>
        <w:rPr>
          <w:szCs w:val="24"/>
        </w:rPr>
      </w:pPr>
      <w:r w:rsidRPr="00B62174">
        <w:fldChar w:fldCharType="begin"/>
      </w:r>
      <w:r w:rsidRPr="00B62174">
        <w:instrText xml:space="preserve"> SEQ level0 \*arabic </w:instrText>
      </w:r>
      <w:r w:rsidRPr="00B62174">
        <w:fldChar w:fldCharType="separate"/>
      </w:r>
      <w:r w:rsidR="00142C04">
        <w:rPr>
          <w:noProof/>
        </w:rPr>
        <w:t>107</w:t>
      </w:r>
      <w:r w:rsidRPr="00B62174">
        <w:fldChar w:fldCharType="end"/>
      </w:r>
      <w:r w:rsidRPr="00B62174">
        <w:t>.  </w:t>
      </w:r>
      <w:r w:rsidR="00343669">
        <w:rPr>
          <w:lang w:val="uk-UA"/>
        </w:rPr>
        <w:t xml:space="preserve">Окрім того, тлумачення німецьких судів не лише знаходило підтримку поміж багатьма вченими на час скоєння злочину </w:t>
      </w:r>
      <w:r w:rsidR="0058518F">
        <w:t>(</w:t>
      </w:r>
      <w:r w:rsidR="00DD46F8">
        <w:rPr>
          <w:lang w:val="uk-UA"/>
        </w:rPr>
        <w:t>див. вище параграф</w:t>
      </w:r>
      <w:r w:rsidR="0058518F">
        <w:t xml:space="preserve"> 36),</w:t>
      </w:r>
      <w:r w:rsidRPr="00705C57">
        <w:t xml:space="preserve"> </w:t>
      </w:r>
      <w:r w:rsidR="00DD46F8">
        <w:rPr>
          <w:lang w:val="uk-UA"/>
        </w:rPr>
        <w:t xml:space="preserve">а і Генеральна Асамблея ООН </w:t>
      </w:r>
      <w:r w:rsidR="004D40F1">
        <w:rPr>
          <w:lang w:val="uk-UA"/>
        </w:rPr>
        <w:t xml:space="preserve">у своїй резолюції </w:t>
      </w:r>
      <w:r w:rsidRPr="00705C57" w:rsidR="004D40F1">
        <w:t xml:space="preserve">47/121 </w:t>
      </w:r>
      <w:r w:rsidR="004D40F1">
        <w:rPr>
          <w:lang w:val="uk-UA"/>
        </w:rPr>
        <w:t xml:space="preserve">від </w:t>
      </w:r>
      <w:r w:rsidRPr="00705C57" w:rsidR="004D40F1">
        <w:t>18</w:t>
      </w:r>
      <w:r w:rsidR="004D40F1">
        <w:t xml:space="preserve"> </w:t>
      </w:r>
      <w:r w:rsidR="004D40F1">
        <w:rPr>
          <w:lang w:val="uk-UA"/>
        </w:rPr>
        <w:t>грудня</w:t>
      </w:r>
      <w:r w:rsidRPr="00705C57" w:rsidR="004D40F1">
        <w:t xml:space="preserve"> 1992</w:t>
      </w:r>
      <w:r w:rsidR="004D40F1">
        <w:rPr>
          <w:lang w:val="uk-UA"/>
        </w:rPr>
        <w:t xml:space="preserve"> ро</w:t>
      </w:r>
      <w:r w:rsidR="00F400B0">
        <w:rPr>
          <w:lang w:val="uk-UA"/>
        </w:rPr>
        <w:t>к</w:t>
      </w:r>
      <w:r w:rsidR="004D40F1">
        <w:rPr>
          <w:lang w:val="uk-UA"/>
        </w:rPr>
        <w:t xml:space="preserve">у </w:t>
      </w:r>
      <w:r w:rsidR="00DD46F8">
        <w:rPr>
          <w:lang w:val="uk-UA"/>
        </w:rPr>
        <w:t xml:space="preserve">також </w:t>
      </w:r>
      <w:r w:rsidR="004D40F1">
        <w:rPr>
          <w:lang w:val="uk-UA"/>
        </w:rPr>
        <w:t xml:space="preserve">погодилась із ширшою інтерпретацією, застосованою німецькими судами у даній справі </w:t>
      </w:r>
      <w:r w:rsidRPr="00705C57">
        <w:t>(</w:t>
      </w:r>
      <w:r w:rsidR="00DC57D6">
        <w:rPr>
          <w:lang w:val="uk-UA"/>
        </w:rPr>
        <w:t>див. вище параграф</w:t>
      </w:r>
      <w:r w:rsidR="00077EA3">
        <w:t xml:space="preserve"> </w:t>
      </w:r>
      <w:r w:rsidRPr="00705C57">
        <w:t>41</w:t>
      </w:r>
      <w:r>
        <w:rPr>
          <w:szCs w:val="24"/>
        </w:rPr>
        <w:t>)</w:t>
      </w:r>
      <w:r w:rsidRPr="00705C57">
        <w:rPr>
          <w:szCs w:val="24"/>
        </w:rPr>
        <w:t>.</w:t>
      </w:r>
    </w:p>
    <w:p w:rsidR="00B918D3" w:rsidP="00790281" w:rsidRDefault="00CC3BDE">
      <w:pPr>
        <w:pStyle w:val="JuPara"/>
      </w:pPr>
      <w:r w:rsidRPr="00B62174">
        <w:fldChar w:fldCharType="begin"/>
      </w:r>
      <w:r w:rsidRPr="00B62174">
        <w:instrText xml:space="preserve"> SEQ level0 \*arabic </w:instrText>
      </w:r>
      <w:r w:rsidRPr="00B62174">
        <w:fldChar w:fldCharType="separate"/>
      </w:r>
      <w:r w:rsidR="00142C04">
        <w:rPr>
          <w:noProof/>
        </w:rPr>
        <w:t>108</w:t>
      </w:r>
      <w:r w:rsidRPr="00B62174">
        <w:fldChar w:fldCharType="end"/>
      </w:r>
      <w:r w:rsidRPr="00B62174">
        <w:t>.  </w:t>
      </w:r>
      <w:r w:rsidR="004D40F1">
        <w:rPr>
          <w:lang w:val="uk-UA"/>
        </w:rPr>
        <w:t>Відповідно, діяння заявника, котрі він скоїв під час етнічних чисток у місцевості Добой з наміром знищити групу мусульман як соціальну спільноту, можна обґрунтовано вважати такими, що підпадають</w:t>
      </w:r>
      <w:r w:rsidR="00761A37">
        <w:rPr>
          <w:lang w:val="uk-UA"/>
        </w:rPr>
        <w:t xml:space="preserve"> </w:t>
      </w:r>
      <w:r w:rsidRPr="004D40F1" w:rsidR="004D40F1">
        <w:rPr>
          <w:rStyle w:val="hps"/>
          <w:lang w:val="uk-UA"/>
        </w:rPr>
        <w:t>під</w:t>
      </w:r>
      <w:r w:rsidRPr="004D40F1" w:rsidR="004D40F1">
        <w:rPr>
          <w:rStyle w:val="longtext"/>
          <w:lang w:val="uk-UA"/>
        </w:rPr>
        <w:t xml:space="preserve"> </w:t>
      </w:r>
      <w:r w:rsidRPr="004D40F1" w:rsidR="004D40F1">
        <w:rPr>
          <w:rStyle w:val="hps"/>
          <w:lang w:val="uk-UA"/>
        </w:rPr>
        <w:t>злочин геноциду</w:t>
      </w:r>
      <w:r w:rsidR="00B918D3">
        <w:t>.</w:t>
      </w:r>
    </w:p>
    <w:p w:rsidRPr="00125461" w:rsidR="00FB2325" w:rsidP="00D228A8" w:rsidRDefault="00CC3BDE">
      <w:pPr>
        <w:pStyle w:val="JuPara"/>
        <w:rPr>
          <w:lang w:val="uk-UA"/>
        </w:rPr>
      </w:pPr>
      <w:r w:rsidRPr="00B62174">
        <w:fldChar w:fldCharType="begin"/>
      </w:r>
      <w:r w:rsidRPr="00B62174">
        <w:instrText xml:space="preserve"> SEQ level0 \*arabic </w:instrText>
      </w:r>
      <w:r w:rsidRPr="00B62174">
        <w:fldChar w:fldCharType="separate"/>
      </w:r>
      <w:r w:rsidR="00142C04">
        <w:rPr>
          <w:noProof/>
        </w:rPr>
        <w:t>109</w:t>
      </w:r>
      <w:r w:rsidRPr="00B62174">
        <w:fldChar w:fldCharType="end"/>
      </w:r>
      <w:r w:rsidRPr="00B62174">
        <w:t>.  </w:t>
      </w:r>
      <w:r w:rsidR="00FF3DD7">
        <w:rPr>
          <w:lang w:val="uk-UA"/>
        </w:rPr>
        <w:t xml:space="preserve">По-друге, вирішуючи, чи міг заявник у згаданий час розумно передбачати тлумачення національними судами злочину геноциду, Суд зазначає, що заявник є першою особою, засудженою німецькими судами за геноцид відповідно до статті </w:t>
      </w:r>
      <w:r w:rsidR="00D228A8">
        <w:t xml:space="preserve">220a </w:t>
      </w:r>
      <w:r w:rsidR="00FF3DD7">
        <w:rPr>
          <w:lang w:val="uk-UA"/>
        </w:rPr>
        <w:t>від моменту її інкорпорації до</w:t>
      </w:r>
      <w:r w:rsidR="00D228A8">
        <w:t xml:space="preserve"> </w:t>
      </w:r>
      <w:r w:rsidR="000F6BEE">
        <w:rPr>
          <w:lang w:val="uk-UA"/>
        </w:rPr>
        <w:t>Кримінального кодексу</w:t>
      </w:r>
      <w:r w:rsidR="000F6BEE">
        <w:t xml:space="preserve"> </w:t>
      </w:r>
      <w:r w:rsidR="00FF3DD7">
        <w:rPr>
          <w:lang w:val="uk-UA"/>
        </w:rPr>
        <w:t>у</w:t>
      </w:r>
      <w:r w:rsidR="00D228A8">
        <w:t xml:space="preserve"> 195</w:t>
      </w:r>
      <w:r w:rsidR="009E1D35">
        <w:t>5</w:t>
      </w:r>
      <w:r w:rsidR="00FF3DD7">
        <w:rPr>
          <w:lang w:val="uk-UA"/>
        </w:rPr>
        <w:t xml:space="preserve"> році</w:t>
      </w:r>
      <w:r w:rsidR="00D228A8">
        <w:t xml:space="preserve">. </w:t>
      </w:r>
      <w:r w:rsidR="00FF3DD7">
        <w:rPr>
          <w:lang w:val="uk-UA"/>
        </w:rPr>
        <w:t>За цих обставин Суд вважає, що, на</w:t>
      </w:r>
      <w:r w:rsidR="00CB2345">
        <w:rPr>
          <w:lang w:val="uk-UA"/>
        </w:rPr>
        <w:t xml:space="preserve"> </w:t>
      </w:r>
      <w:r w:rsidR="00FF3DD7">
        <w:rPr>
          <w:lang w:val="uk-UA"/>
        </w:rPr>
        <w:t>противагу справам, котрі стосуються зміни вже встановленої юриспруденції, тлумачення обсягу злочину, котре, як у даній справі, відповідало суті такого злочину</w:t>
      </w:r>
      <w:r w:rsidR="00125461">
        <w:rPr>
          <w:lang w:val="uk-UA"/>
        </w:rPr>
        <w:t>, має, як правило, вважатись передбачуваним</w:t>
      </w:r>
      <w:r w:rsidR="00C852CB">
        <w:t>.</w:t>
      </w:r>
      <w:r w:rsidR="00125461">
        <w:rPr>
          <w:lang w:val="uk-UA"/>
        </w:rPr>
        <w:t xml:space="preserve"> Попри це, Суд не виключає, що, як виняток, заявник міг спиратись на особливу інтерпретацію правової норми, застосовану національними судами за особливих обставин справи</w:t>
      </w:r>
      <w:r w:rsidRPr="00125461" w:rsidR="00F72B1B">
        <w:rPr>
          <w:lang w:val="uk-UA"/>
        </w:rPr>
        <w:t>.</w:t>
      </w:r>
    </w:p>
    <w:p w:rsidR="00F72B1B" w:rsidP="00D228A8" w:rsidRDefault="00FB2325">
      <w:pPr>
        <w:pStyle w:val="JuPara"/>
      </w:pPr>
      <w:r w:rsidRPr="00B62174">
        <w:fldChar w:fldCharType="begin"/>
      </w:r>
      <w:r w:rsidRPr="00B62174">
        <w:instrText xml:space="preserve"> SEQ level0 \*arabic </w:instrText>
      </w:r>
      <w:r w:rsidRPr="00B62174">
        <w:fldChar w:fldCharType="separate"/>
      </w:r>
      <w:r w:rsidR="00142C04">
        <w:rPr>
          <w:noProof/>
        </w:rPr>
        <w:t>110</w:t>
      </w:r>
      <w:r w:rsidRPr="00B62174">
        <w:fldChar w:fldCharType="end"/>
      </w:r>
      <w:r w:rsidRPr="00B62174">
        <w:t>.  </w:t>
      </w:r>
      <w:r w:rsidR="00125461">
        <w:rPr>
          <w:lang w:val="uk-UA"/>
        </w:rPr>
        <w:t xml:space="preserve">У даній справі, котра стосується тлумачення національними судами </w:t>
      </w:r>
      <w:r w:rsidRPr="00125461" w:rsidR="00125461">
        <w:rPr>
          <w:rStyle w:val="hps"/>
          <w:lang w:val="uk-UA"/>
        </w:rPr>
        <w:t>положення, що випливає</w:t>
      </w:r>
      <w:r w:rsidRPr="00125461" w:rsidR="00125461">
        <w:rPr>
          <w:rStyle w:val="longtext"/>
          <w:lang w:val="uk-UA"/>
        </w:rPr>
        <w:t xml:space="preserve"> </w:t>
      </w:r>
      <w:r w:rsidRPr="00125461" w:rsidR="00125461">
        <w:rPr>
          <w:rStyle w:val="hps"/>
          <w:lang w:val="uk-UA"/>
        </w:rPr>
        <w:t>з</w:t>
      </w:r>
      <w:r w:rsidRPr="00125461" w:rsidR="00125461">
        <w:rPr>
          <w:rStyle w:val="longtext"/>
          <w:lang w:val="uk-UA"/>
        </w:rPr>
        <w:t xml:space="preserve"> </w:t>
      </w:r>
      <w:r w:rsidRPr="00125461" w:rsidR="00125461">
        <w:rPr>
          <w:rStyle w:val="hps"/>
          <w:lang w:val="uk-UA"/>
        </w:rPr>
        <w:t>міжнародного публічного права</w:t>
      </w:r>
      <w:r w:rsidRPr="00125461" w:rsidR="00F72B1B">
        <w:t>,</w:t>
      </w:r>
      <w:r w:rsidR="00F72B1B">
        <w:t xml:space="preserve"> </w:t>
      </w:r>
      <w:r w:rsidR="00125461">
        <w:rPr>
          <w:lang w:val="uk-UA"/>
        </w:rPr>
        <w:t>Суд вважає за необ</w:t>
      </w:r>
      <w:r w:rsidR="00CB2345">
        <w:rPr>
          <w:lang w:val="uk-UA"/>
        </w:rPr>
        <w:t>х</w:t>
      </w:r>
      <w:r w:rsidR="00125461">
        <w:rPr>
          <w:lang w:val="uk-UA"/>
        </w:rPr>
        <w:t>ідне, аби забезпечити ефективність захисту, гарантованого статтею</w:t>
      </w:r>
      <w:r w:rsidR="00077EA3">
        <w:t xml:space="preserve"> </w:t>
      </w:r>
      <w:r w:rsidRPr="006A6CEC">
        <w:t>7 §</w:t>
      </w:r>
      <w:r w:rsidR="00077EA3">
        <w:t xml:space="preserve"> </w:t>
      </w:r>
      <w:r w:rsidRPr="006A6CEC">
        <w:t xml:space="preserve">1 </w:t>
      </w:r>
      <w:r w:rsidR="00125461">
        <w:rPr>
          <w:lang w:val="uk-UA"/>
        </w:rPr>
        <w:t xml:space="preserve">Конвенції, перевірити, чи існували особливі обставини, котрі потребують висновку, що заявник, за потреби отримавши юридичну консультацію, міг спиратись на вужче тлумачення національними судами обсягу злочину геноциду, з огляду, зокрема, на тлумачення злочину геноциду іншими </w:t>
      </w:r>
      <w:r w:rsidR="00CB2345">
        <w:rPr>
          <w:lang w:val="uk-UA"/>
        </w:rPr>
        <w:t>джерел</w:t>
      </w:r>
      <w:r w:rsidR="00125461">
        <w:rPr>
          <w:lang w:val="uk-UA"/>
        </w:rPr>
        <w:t>ами</w:t>
      </w:r>
      <w:r w:rsidR="00F72B1B">
        <w:t>.</w:t>
      </w:r>
    </w:p>
    <w:p w:rsidRPr="00F70136" w:rsidR="00507737" w:rsidP="00507737" w:rsidRDefault="00CC3BDE">
      <w:pPr>
        <w:pStyle w:val="JuPara"/>
        <w:rPr>
          <w:lang w:val="uk-UA"/>
        </w:rPr>
      </w:pPr>
      <w:r w:rsidRPr="00B62174">
        <w:fldChar w:fldCharType="begin"/>
      </w:r>
      <w:r w:rsidRPr="00B62174">
        <w:instrText xml:space="preserve"> SEQ level0 \*arabic </w:instrText>
      </w:r>
      <w:r w:rsidRPr="00B62174">
        <w:fldChar w:fldCharType="separate"/>
      </w:r>
      <w:r w:rsidR="00142C04">
        <w:rPr>
          <w:noProof/>
        </w:rPr>
        <w:t>111</w:t>
      </w:r>
      <w:r w:rsidRPr="00B62174">
        <w:fldChar w:fldCharType="end"/>
      </w:r>
      <w:r w:rsidRPr="00B62174">
        <w:t>.  </w:t>
      </w:r>
      <w:r w:rsidR="00F70136">
        <w:rPr>
          <w:lang w:val="uk-UA"/>
        </w:rPr>
        <w:t xml:space="preserve">У </w:t>
      </w:r>
      <w:proofErr w:type="spellStart"/>
      <w:r w:rsidR="00F70136">
        <w:rPr>
          <w:lang w:val="uk-UA"/>
        </w:rPr>
        <w:t>зв</w:t>
      </w:r>
      <w:r w:rsidR="00761A37">
        <w:rPr>
          <w:lang w:val="uk-UA"/>
        </w:rPr>
        <w:t>’</w:t>
      </w:r>
      <w:r w:rsidR="00F70136">
        <w:rPr>
          <w:lang w:val="fr-FR"/>
        </w:rPr>
        <w:t>язку</w:t>
      </w:r>
      <w:proofErr w:type="spellEnd"/>
      <w:r w:rsidRPr="00F70136" w:rsidR="00F70136">
        <w:rPr>
          <w:lang w:val="en-US"/>
        </w:rPr>
        <w:t xml:space="preserve"> </w:t>
      </w:r>
      <w:r w:rsidR="00F70136">
        <w:rPr>
          <w:lang w:val="fr-FR"/>
        </w:rPr>
        <w:t>з</w:t>
      </w:r>
      <w:r w:rsidRPr="00F70136" w:rsidR="00F70136">
        <w:rPr>
          <w:lang w:val="en-US"/>
        </w:rPr>
        <w:t xml:space="preserve"> </w:t>
      </w:r>
      <w:proofErr w:type="spellStart"/>
      <w:r w:rsidR="00F70136">
        <w:rPr>
          <w:lang w:val="fr-FR"/>
        </w:rPr>
        <w:t>цим</w:t>
      </w:r>
      <w:proofErr w:type="spellEnd"/>
      <w:r w:rsidRPr="00F70136" w:rsidR="00F70136">
        <w:rPr>
          <w:lang w:val="en-US"/>
        </w:rPr>
        <w:t xml:space="preserve"> </w:t>
      </w:r>
      <w:r w:rsidR="00CD7AEC">
        <w:rPr>
          <w:lang w:val="fr-FR"/>
        </w:rPr>
        <w:t>Суд</w:t>
      </w:r>
      <w:r w:rsidRPr="00F70136" w:rsidR="00CD7AEC">
        <w:rPr>
          <w:lang w:val="en-US"/>
        </w:rPr>
        <w:t xml:space="preserve"> </w:t>
      </w:r>
      <w:r w:rsidR="00CD7AEC">
        <w:rPr>
          <w:lang w:val="fr-FR"/>
        </w:rPr>
        <w:t>зазначає</w:t>
      </w:r>
      <w:r w:rsidRPr="00F70136" w:rsidR="00F70136">
        <w:rPr>
          <w:lang w:val="en-US"/>
        </w:rPr>
        <w:t xml:space="preserve">, </w:t>
      </w:r>
      <w:r w:rsidR="00F70136">
        <w:rPr>
          <w:lang w:val="fr-FR"/>
        </w:rPr>
        <w:t>що</w:t>
      </w:r>
      <w:r w:rsidRPr="00F70136" w:rsidR="00F70136">
        <w:rPr>
          <w:lang w:val="en-US"/>
        </w:rPr>
        <w:t xml:space="preserve"> </w:t>
      </w:r>
      <w:r w:rsidR="00F70136">
        <w:rPr>
          <w:lang w:val="fr-FR"/>
        </w:rPr>
        <w:t>на</w:t>
      </w:r>
      <w:r w:rsidRPr="00F70136" w:rsidR="00F70136">
        <w:rPr>
          <w:lang w:val="en-US"/>
        </w:rPr>
        <w:t xml:space="preserve"> </w:t>
      </w:r>
      <w:r w:rsidR="00F70136">
        <w:rPr>
          <w:lang w:val="fr-FR"/>
        </w:rPr>
        <w:t>час</w:t>
      </w:r>
      <w:r w:rsidRPr="00F70136" w:rsidR="00F70136">
        <w:rPr>
          <w:lang w:val="en-US"/>
        </w:rPr>
        <w:t xml:space="preserve"> </w:t>
      </w:r>
      <w:r w:rsidR="00F70136">
        <w:rPr>
          <w:lang w:val="fr-FR"/>
        </w:rPr>
        <w:t>згаданих</w:t>
      </w:r>
      <w:r w:rsidRPr="00F70136" w:rsidR="00F70136">
        <w:rPr>
          <w:lang w:val="en-US"/>
        </w:rPr>
        <w:t xml:space="preserve"> </w:t>
      </w:r>
      <w:r w:rsidR="00F70136">
        <w:rPr>
          <w:lang w:val="fr-FR"/>
        </w:rPr>
        <w:t>подій</w:t>
      </w:r>
      <w:r w:rsidRPr="00F70136" w:rsidR="00F70136">
        <w:rPr>
          <w:lang w:val="en-US"/>
        </w:rPr>
        <w:t xml:space="preserve"> </w:t>
      </w:r>
      <w:r w:rsidR="00F70136">
        <w:rPr>
          <w:lang w:val="fr-FR"/>
        </w:rPr>
        <w:t>обсяг</w:t>
      </w:r>
      <w:r w:rsidRPr="00F70136" w:rsidR="00F70136">
        <w:rPr>
          <w:lang w:val="en-US"/>
        </w:rPr>
        <w:t xml:space="preserve"> </w:t>
      </w:r>
      <w:r w:rsidR="00F70136">
        <w:rPr>
          <w:lang w:val="fr-FR"/>
        </w:rPr>
        <w:t>статті</w:t>
      </w:r>
      <w:r w:rsidRPr="00F70136" w:rsidR="00F70136">
        <w:rPr>
          <w:lang w:val="en-US"/>
        </w:rPr>
        <w:t xml:space="preserve"> </w:t>
      </w:r>
      <w:r w:rsidR="00FB2325">
        <w:t xml:space="preserve">II </w:t>
      </w:r>
      <w:r w:rsidR="006B6F72">
        <w:rPr>
          <w:lang w:val="uk-UA"/>
        </w:rPr>
        <w:t>Конвенції п</w:t>
      </w:r>
      <w:r w:rsidRPr="00F25090" w:rsidR="006B6F72">
        <w:t>ро запобігання геноциду</w:t>
      </w:r>
      <w:r w:rsidR="00FB2325">
        <w:t xml:space="preserve">, </w:t>
      </w:r>
      <w:r w:rsidR="00F70136">
        <w:rPr>
          <w:lang w:val="uk-UA"/>
        </w:rPr>
        <w:t>на якій ґрунтується стаття</w:t>
      </w:r>
      <w:r w:rsidR="00077EA3">
        <w:t xml:space="preserve"> </w:t>
      </w:r>
      <w:r w:rsidR="00FB2325">
        <w:t xml:space="preserve">220a </w:t>
      </w:r>
      <w:r w:rsidR="000F6BEE">
        <w:rPr>
          <w:lang w:val="uk-UA"/>
        </w:rPr>
        <w:t>Кримінального кодексу</w:t>
      </w:r>
      <w:r w:rsidR="00FB2325">
        <w:t xml:space="preserve">, </w:t>
      </w:r>
      <w:r w:rsidR="00F70136">
        <w:rPr>
          <w:lang w:val="uk-UA"/>
        </w:rPr>
        <w:t>був предметом суперечок науковців сто</w:t>
      </w:r>
      <w:r w:rsidR="00C0339B">
        <w:rPr>
          <w:lang w:val="uk-UA"/>
        </w:rPr>
        <w:t>сов</w:t>
      </w:r>
      <w:r w:rsidR="00F70136">
        <w:rPr>
          <w:lang w:val="uk-UA"/>
        </w:rPr>
        <w:t>но визначення «наміру знищити групу»</w:t>
      </w:r>
      <w:r w:rsidR="00507737">
        <w:t>.</w:t>
      </w:r>
      <w:r w:rsidR="00F70136">
        <w:rPr>
          <w:lang w:val="uk-UA"/>
        </w:rPr>
        <w:t xml:space="preserve"> Хоча більшість правників схиляються до думки, що етнічні чистки, здійснені сербським</w:t>
      </w:r>
      <w:r w:rsidR="00043338">
        <w:rPr>
          <w:lang w:val="uk-UA"/>
        </w:rPr>
        <w:t>и військами у Боснії і Герцегови</w:t>
      </w:r>
      <w:r w:rsidR="00F70136">
        <w:rPr>
          <w:lang w:val="uk-UA"/>
        </w:rPr>
        <w:t xml:space="preserve">ні з метою вигнання мусульман і хорватів з їхніх помешкань, не становлять геноциду, значна кількість </w:t>
      </w:r>
      <w:r w:rsidR="00C0339B">
        <w:rPr>
          <w:lang w:val="uk-UA"/>
        </w:rPr>
        <w:t>дослідників</w:t>
      </w:r>
      <w:r w:rsidR="00F70136">
        <w:rPr>
          <w:lang w:val="uk-UA"/>
        </w:rPr>
        <w:t xml:space="preserve"> вважає, що ці діяння </w:t>
      </w:r>
      <w:r w:rsidR="00CD7AEC">
        <w:rPr>
          <w:lang w:val="uk-UA"/>
        </w:rPr>
        <w:t>дійсно становлять геноцид</w:t>
      </w:r>
      <w:r w:rsidRPr="00F70136" w:rsidR="00507737">
        <w:rPr>
          <w:lang w:val="uk-UA"/>
        </w:rPr>
        <w:t xml:space="preserve"> (</w:t>
      </w:r>
      <w:r w:rsidR="00DC57D6">
        <w:rPr>
          <w:lang w:val="uk-UA"/>
        </w:rPr>
        <w:t>див. вище параграф</w:t>
      </w:r>
      <w:r w:rsidRPr="00307BBC" w:rsidR="00DC57D6">
        <w:rPr>
          <w:lang w:val="uk-UA"/>
        </w:rPr>
        <w:t xml:space="preserve"> </w:t>
      </w:r>
      <w:r w:rsidRPr="00F70136" w:rsidR="001A4911">
        <w:rPr>
          <w:lang w:val="uk-UA"/>
        </w:rPr>
        <w:t>47</w:t>
      </w:r>
      <w:r w:rsidRPr="00F70136" w:rsidR="00507737">
        <w:rPr>
          <w:lang w:val="uk-UA"/>
        </w:rPr>
        <w:t>).</w:t>
      </w:r>
    </w:p>
    <w:p w:rsidRPr="002356D8" w:rsidR="002C729D" w:rsidP="002C729D" w:rsidRDefault="00750F8B">
      <w:pPr>
        <w:pStyle w:val="JuPara"/>
        <w:rPr>
          <w:lang w:val="uk-UA"/>
        </w:rPr>
      </w:pPr>
      <w:r w:rsidRPr="00B62174">
        <w:fldChar w:fldCharType="begin"/>
      </w:r>
      <w:r w:rsidRPr="00DB3579">
        <w:rPr>
          <w:lang w:val="uk-UA"/>
        </w:rPr>
        <w:instrText xml:space="preserve"> </w:instrText>
      </w:r>
      <w:r w:rsidRPr="00B62174">
        <w:instrText>SEQ</w:instrText>
      </w:r>
      <w:r w:rsidRPr="00DB3579">
        <w:rPr>
          <w:lang w:val="uk-UA"/>
        </w:rPr>
        <w:instrText xml:space="preserve"> </w:instrText>
      </w:r>
      <w:r w:rsidRPr="00B62174">
        <w:instrText>level</w:instrText>
      </w:r>
      <w:r w:rsidRPr="00DB3579">
        <w:rPr>
          <w:lang w:val="uk-UA"/>
        </w:rPr>
        <w:instrText>0 \*</w:instrText>
      </w:r>
      <w:r w:rsidRPr="00B62174">
        <w:instrText>arabic</w:instrText>
      </w:r>
      <w:r w:rsidRPr="00DB3579">
        <w:rPr>
          <w:lang w:val="uk-UA"/>
        </w:rPr>
        <w:instrText xml:space="preserve"> </w:instrText>
      </w:r>
      <w:r w:rsidRPr="00B62174">
        <w:fldChar w:fldCharType="separate"/>
      </w:r>
      <w:r w:rsidRPr="00DB3579" w:rsidR="00142C04">
        <w:rPr>
          <w:noProof/>
          <w:lang w:val="uk-UA"/>
        </w:rPr>
        <w:t>112</w:t>
      </w:r>
      <w:r w:rsidRPr="00B62174">
        <w:fldChar w:fldCharType="end"/>
      </w:r>
      <w:r w:rsidRPr="00DB3579">
        <w:rPr>
          <w:lang w:val="uk-UA"/>
        </w:rPr>
        <w:t>.</w:t>
      </w:r>
      <w:r w:rsidRPr="00B62174">
        <w:t>  </w:t>
      </w:r>
      <w:r w:rsidRPr="00DB3579" w:rsidR="00CD7AEC">
        <w:rPr>
          <w:lang w:val="uk-UA"/>
        </w:rPr>
        <w:t xml:space="preserve">Суд </w:t>
      </w:r>
      <w:r w:rsidR="00CD7AEC">
        <w:rPr>
          <w:lang w:val="uk-UA"/>
        </w:rPr>
        <w:t>далі зазначає, що, навіть після того, як заявник скоїв оспорювані діяння, обсяг</w:t>
      </w:r>
      <w:r w:rsidR="00043338">
        <w:rPr>
          <w:lang w:val="uk-UA"/>
        </w:rPr>
        <w:t xml:space="preserve"> </w:t>
      </w:r>
      <w:r w:rsidRPr="002356D8" w:rsidR="00043338">
        <w:rPr>
          <w:lang w:val="uk-UA"/>
        </w:rPr>
        <w:t>злочину</w:t>
      </w:r>
      <w:r w:rsidRPr="002356D8" w:rsidR="00CD7AEC">
        <w:rPr>
          <w:lang w:val="uk-UA"/>
        </w:rPr>
        <w:t xml:space="preserve"> геноциду тлумачився міжнародними органами по-різному</w:t>
      </w:r>
      <w:r w:rsidRPr="002356D8" w:rsidR="002C729D">
        <w:rPr>
          <w:lang w:val="uk-UA"/>
        </w:rPr>
        <w:t xml:space="preserve">. </w:t>
      </w:r>
      <w:r w:rsidRPr="002356D8" w:rsidR="00CD7AEC">
        <w:rPr>
          <w:lang w:val="uk-UA"/>
        </w:rPr>
        <w:t xml:space="preserve">Дійсно, МКТЮ у вироках за справами </w:t>
      </w:r>
      <w:r w:rsidRPr="002356D8" w:rsidR="00CD7AEC">
        <w:rPr>
          <w:i/>
          <w:lang w:val="uk-UA"/>
        </w:rPr>
        <w:t>Прокурор проти Крстіча</w:t>
      </w:r>
      <w:r w:rsidRPr="00A22B6B" w:rsidR="002C729D">
        <w:rPr>
          <w:lang w:val="uk-UA"/>
        </w:rPr>
        <w:t xml:space="preserve"> </w:t>
      </w:r>
      <w:r w:rsidRPr="002356D8" w:rsidR="00CD7AEC">
        <w:rPr>
          <w:lang w:val="uk-UA"/>
        </w:rPr>
        <w:t xml:space="preserve">і </w:t>
      </w:r>
      <w:r w:rsidRPr="002356D8" w:rsidR="00CD7AEC">
        <w:rPr>
          <w:i/>
          <w:lang w:val="uk-UA"/>
        </w:rPr>
        <w:t xml:space="preserve">Прокурор проти Купрешкіча та </w:t>
      </w:r>
      <w:r w:rsidR="00A22B6B">
        <w:rPr>
          <w:i/>
          <w:lang w:val="uk-UA"/>
        </w:rPr>
        <w:t>І</w:t>
      </w:r>
      <w:r w:rsidRPr="002356D8" w:rsidR="00CD7AEC">
        <w:rPr>
          <w:i/>
          <w:lang w:val="uk-UA"/>
        </w:rPr>
        <w:t>нших</w:t>
      </w:r>
      <w:r w:rsidRPr="00A22B6B" w:rsidR="002C729D">
        <w:rPr>
          <w:lang w:val="uk-UA"/>
        </w:rPr>
        <w:t xml:space="preserve">, </w:t>
      </w:r>
      <w:r w:rsidRPr="002356D8" w:rsidR="00CD7AEC">
        <w:rPr>
          <w:lang w:val="uk-UA"/>
        </w:rPr>
        <w:t xml:space="preserve">однозначно не погодився </w:t>
      </w:r>
      <w:r w:rsidRPr="002356D8" w:rsidR="005A2C30">
        <w:rPr>
          <w:lang w:val="uk-UA"/>
        </w:rPr>
        <w:t>з широким тлумаченням «наміру знищити», застосованим Генеральною Асамблеєю ООН і німецькими судами</w:t>
      </w:r>
      <w:r w:rsidRPr="002356D8" w:rsidR="002C729D">
        <w:t>.</w:t>
      </w:r>
      <w:r w:rsidRPr="002356D8" w:rsidR="005A2C30">
        <w:rPr>
          <w:lang w:val="uk-UA"/>
        </w:rPr>
        <w:t xml:space="preserve"> Спираючись на принцип</w:t>
      </w:r>
      <w:r w:rsidRPr="002356D8" w:rsidR="002C729D">
        <w:rPr>
          <w:lang w:val="uk-UA"/>
        </w:rPr>
        <w:t xml:space="preserve"> </w:t>
      </w:r>
      <w:r w:rsidRPr="002356D8" w:rsidR="002C729D">
        <w:rPr>
          <w:i/>
        </w:rPr>
        <w:t>nullum</w:t>
      </w:r>
      <w:r w:rsidRPr="002356D8" w:rsidR="002C729D">
        <w:rPr>
          <w:i/>
          <w:lang w:val="uk-UA"/>
        </w:rPr>
        <w:t xml:space="preserve"> </w:t>
      </w:r>
      <w:r w:rsidRPr="002356D8" w:rsidR="002C729D">
        <w:rPr>
          <w:i/>
        </w:rPr>
        <w:t>crimen</w:t>
      </w:r>
      <w:r w:rsidRPr="002356D8" w:rsidR="002C729D">
        <w:rPr>
          <w:i/>
          <w:lang w:val="uk-UA"/>
        </w:rPr>
        <w:t xml:space="preserve"> </w:t>
      </w:r>
      <w:r w:rsidRPr="002356D8" w:rsidR="002C729D">
        <w:rPr>
          <w:i/>
        </w:rPr>
        <w:t>sine</w:t>
      </w:r>
      <w:r w:rsidRPr="002356D8" w:rsidR="002C729D">
        <w:rPr>
          <w:i/>
          <w:lang w:val="uk-UA"/>
        </w:rPr>
        <w:t xml:space="preserve"> </w:t>
      </w:r>
      <w:r w:rsidRPr="002356D8" w:rsidR="002C729D">
        <w:rPr>
          <w:i/>
        </w:rPr>
        <w:t>lege</w:t>
      </w:r>
      <w:r w:rsidRPr="002356D8" w:rsidR="002C729D">
        <w:rPr>
          <w:lang w:val="uk-UA"/>
        </w:rPr>
        <w:t xml:space="preserve">, </w:t>
      </w:r>
      <w:r w:rsidRPr="002356D8" w:rsidR="00BC0CF3">
        <w:rPr>
          <w:lang w:val="uk-UA"/>
        </w:rPr>
        <w:t>МКТЮ стверджував, що міжнародне публічне право обмежує злочин геноциду діяннями, спрямова</w:t>
      </w:r>
      <w:r w:rsidRPr="002356D8" w:rsidR="00043338">
        <w:rPr>
          <w:lang w:val="uk-UA"/>
        </w:rPr>
        <w:t>ними</w:t>
      </w:r>
      <w:r w:rsidRPr="002356D8" w:rsidR="00BC0CF3">
        <w:rPr>
          <w:lang w:val="uk-UA"/>
        </w:rPr>
        <w:t xml:space="preserve"> на біологічне або фізичне знищення захищеної групи</w:t>
      </w:r>
      <w:r w:rsidRPr="002356D8" w:rsidR="002C729D">
        <w:rPr>
          <w:lang w:val="uk-UA"/>
        </w:rPr>
        <w:t xml:space="preserve">. </w:t>
      </w:r>
      <w:r w:rsidRPr="002356D8" w:rsidR="00BC0CF3">
        <w:rPr>
          <w:lang w:val="uk-UA"/>
        </w:rPr>
        <w:t xml:space="preserve">Проте, оскільки рішення МКТЮ, як і наступні рішення, ухвалені національними і міжнародними судами щодо цієї проблеми, зокрема, </w:t>
      </w:r>
      <w:r w:rsidRPr="002356D8" w:rsidR="00CB2345">
        <w:rPr>
          <w:lang w:val="uk-UA"/>
        </w:rPr>
        <w:t>М</w:t>
      </w:r>
      <w:r w:rsidRPr="002356D8" w:rsidR="00BC0CF3">
        <w:rPr>
          <w:lang w:val="uk-UA"/>
        </w:rPr>
        <w:t xml:space="preserve">іжнародним судом ООН </w:t>
      </w:r>
      <w:r w:rsidRPr="002356D8" w:rsidR="006D168E">
        <w:rPr>
          <w:lang w:val="uk-UA"/>
        </w:rPr>
        <w:t>(</w:t>
      </w:r>
      <w:r w:rsidRPr="002356D8" w:rsidR="00BC0CF3">
        <w:rPr>
          <w:lang w:val="uk-UA"/>
        </w:rPr>
        <w:t>див. вище параграф</w:t>
      </w:r>
      <w:r w:rsidRPr="002356D8" w:rsidR="00077EA3">
        <w:rPr>
          <w:lang w:val="uk-UA"/>
        </w:rPr>
        <w:t xml:space="preserve"> </w:t>
      </w:r>
      <w:r w:rsidRPr="002356D8" w:rsidR="006F1816">
        <w:rPr>
          <w:lang w:val="uk-UA"/>
        </w:rPr>
        <w:t>45)</w:t>
      </w:r>
      <w:r w:rsidRPr="002356D8" w:rsidR="006D168E">
        <w:rPr>
          <w:lang w:val="uk-UA"/>
        </w:rPr>
        <w:t>,</w:t>
      </w:r>
      <w:r w:rsidRPr="002356D8" w:rsidR="006F1816">
        <w:rPr>
          <w:lang w:val="uk-UA"/>
        </w:rPr>
        <w:t xml:space="preserve"> </w:t>
      </w:r>
      <w:r w:rsidRPr="002356D8" w:rsidR="00BC0CF3">
        <w:rPr>
          <w:lang w:val="uk-UA"/>
        </w:rPr>
        <w:t>стосовно внутрішньо</w:t>
      </w:r>
      <w:r w:rsidR="00C0339B">
        <w:rPr>
          <w:lang w:val="uk-UA"/>
        </w:rPr>
        <w:t xml:space="preserve"> </w:t>
      </w:r>
      <w:r w:rsidRPr="002356D8" w:rsidR="00BC0CF3">
        <w:rPr>
          <w:lang w:val="uk-UA"/>
        </w:rPr>
        <w:t xml:space="preserve">правової або міжнародної кодифікації злочину геноциду, були </w:t>
      </w:r>
      <w:r w:rsidRPr="002356D8" w:rsidR="00043338">
        <w:rPr>
          <w:lang w:val="uk-UA"/>
        </w:rPr>
        <w:t xml:space="preserve">ухвалені </w:t>
      </w:r>
      <w:r w:rsidRPr="002356D8" w:rsidR="00BC0CF3">
        <w:rPr>
          <w:lang w:val="uk-UA"/>
        </w:rPr>
        <w:t>після скоєння згаданих діянь, заявник не міг спиратись на ці тлумачення</w:t>
      </w:r>
      <w:r w:rsidRPr="002356D8" w:rsidR="00F5064E">
        <w:rPr>
          <w:lang w:val="uk-UA"/>
        </w:rPr>
        <w:t>, застосовані німецькими судами стосовно тогочасного німецького права, тобто, на момент скоєння злочинів</w:t>
      </w:r>
      <w:r w:rsidRPr="002356D8" w:rsidR="002C729D">
        <w:rPr>
          <w:lang w:val="uk-UA"/>
        </w:rPr>
        <w:t>.</w:t>
      </w:r>
    </w:p>
    <w:p w:rsidRPr="00F5064E" w:rsidR="003B6520" w:rsidP="003B6520" w:rsidRDefault="00750F8B">
      <w:pPr>
        <w:pStyle w:val="JuPara"/>
        <w:rPr>
          <w:lang w:val="uk-UA"/>
        </w:rPr>
      </w:pPr>
      <w:r w:rsidRPr="002356D8">
        <w:fldChar w:fldCharType="begin"/>
      </w:r>
      <w:r w:rsidRPr="002356D8">
        <w:instrText xml:space="preserve"> SEQ level0 \*arabic </w:instrText>
      </w:r>
      <w:r w:rsidRPr="002356D8">
        <w:fldChar w:fldCharType="separate"/>
      </w:r>
      <w:r w:rsidRPr="002356D8" w:rsidR="00142C04">
        <w:rPr>
          <w:noProof/>
        </w:rPr>
        <w:t>113</w:t>
      </w:r>
      <w:r w:rsidRPr="002356D8">
        <w:fldChar w:fldCharType="end"/>
      </w:r>
      <w:r w:rsidRPr="002356D8">
        <w:t>.  </w:t>
      </w:r>
      <w:r w:rsidRPr="002356D8" w:rsidR="00F5064E">
        <w:rPr>
          <w:lang w:val="uk-UA"/>
        </w:rPr>
        <w:t>З огляду на наведене, Суд робить висновок, що, хоча багато авторитетних тверджень схилялись до вузької інтерпретації злочину геноциду, на той час кілька джерел вже тлумачили злочин геноциду так само, як і німецькі суди</w:t>
      </w:r>
      <w:r w:rsidRPr="002356D8" w:rsidR="003B6520">
        <w:t xml:space="preserve">. </w:t>
      </w:r>
      <w:r w:rsidRPr="002356D8" w:rsidR="00F5064E">
        <w:rPr>
          <w:lang w:val="uk-UA"/>
        </w:rPr>
        <w:t xml:space="preserve">За таких обставин, Суд вважає, що заявник, за потреби – за допомогою юристів, міг розумно передбачати ризик того, що за діяння, скоєні у </w:t>
      </w:r>
      <w:r w:rsidRPr="002356D8" w:rsidR="00F5064E">
        <w:t>1992</w:t>
      </w:r>
      <w:r w:rsidRPr="002356D8" w:rsidR="00F5064E">
        <w:rPr>
          <w:lang w:val="uk-UA"/>
        </w:rPr>
        <w:t xml:space="preserve"> році, його </w:t>
      </w:r>
      <w:r w:rsidRPr="002356D8" w:rsidR="00043338">
        <w:rPr>
          <w:lang w:val="uk-UA"/>
        </w:rPr>
        <w:t xml:space="preserve">звинуватять </w:t>
      </w:r>
      <w:r w:rsidRPr="002356D8" w:rsidR="00F5064E">
        <w:rPr>
          <w:lang w:val="uk-UA"/>
        </w:rPr>
        <w:t>і засудять за геноцид</w:t>
      </w:r>
      <w:r w:rsidRPr="002356D8" w:rsidR="003B6520">
        <w:t>.</w:t>
      </w:r>
      <w:r w:rsidRPr="002356D8" w:rsidR="00F5064E">
        <w:rPr>
          <w:lang w:val="uk-UA"/>
        </w:rPr>
        <w:t xml:space="preserve"> У зв</w:t>
      </w:r>
      <w:r w:rsidR="00761A37">
        <w:rPr>
          <w:lang w:val="uk-UA"/>
        </w:rPr>
        <w:t>’</w:t>
      </w:r>
      <w:r w:rsidRPr="002356D8" w:rsidR="00F5064E">
        <w:rPr>
          <w:lang w:val="uk-UA"/>
        </w:rPr>
        <w:t>язку з цим Суд також бере до уваги той факт, що заявника було визнано винним</w:t>
      </w:r>
      <w:r w:rsidRPr="002356D8" w:rsidR="003B6520">
        <w:rPr>
          <w:lang w:val="uk-UA"/>
        </w:rPr>
        <w:t xml:space="preserve"> </w:t>
      </w:r>
      <w:r w:rsidRPr="002356D8" w:rsidR="00F5064E">
        <w:rPr>
          <w:lang w:val="uk-UA"/>
        </w:rPr>
        <w:t>у діяннях значної тяжкості і тривалості</w:t>
      </w:r>
      <w:r w:rsidRPr="002356D8" w:rsidR="000875AF">
        <w:rPr>
          <w:lang w:val="uk-UA"/>
        </w:rPr>
        <w:t xml:space="preserve">: </w:t>
      </w:r>
      <w:r w:rsidRPr="002356D8" w:rsidR="00F5064E">
        <w:rPr>
          <w:lang w:val="uk-UA"/>
        </w:rPr>
        <w:t xml:space="preserve">вбивство кількох людей, позбавлення волі і жорстоке поводження з багатьма людьми протягом кількох місяців, скоєних у якості командира воєнізованого формування і </w:t>
      </w:r>
      <w:r w:rsidRPr="002356D8" w:rsidR="00043338">
        <w:rPr>
          <w:lang w:val="uk-UA"/>
        </w:rPr>
        <w:t>для проведення</w:t>
      </w:r>
      <w:r w:rsidR="00043338">
        <w:rPr>
          <w:lang w:val="uk-UA"/>
        </w:rPr>
        <w:t xml:space="preserve"> </w:t>
      </w:r>
      <w:r w:rsidR="00F5064E">
        <w:rPr>
          <w:lang w:val="uk-UA"/>
        </w:rPr>
        <w:t>політики етнічних чисток</w:t>
      </w:r>
      <w:r w:rsidRPr="00F5064E" w:rsidR="003B6520">
        <w:rPr>
          <w:lang w:val="uk-UA"/>
        </w:rPr>
        <w:t>.</w:t>
      </w:r>
    </w:p>
    <w:p w:rsidRPr="009B08B9" w:rsidR="002C729D" w:rsidP="002C729D" w:rsidRDefault="00350804">
      <w:pPr>
        <w:pStyle w:val="JuPara"/>
        <w:rPr>
          <w:lang w:val="uk-UA"/>
        </w:rPr>
      </w:pPr>
      <w:r w:rsidRPr="00B62174">
        <w:fldChar w:fldCharType="begin"/>
      </w:r>
      <w:r w:rsidRPr="00F5064E">
        <w:rPr>
          <w:lang w:val="uk-UA"/>
        </w:rPr>
        <w:instrText xml:space="preserve"> </w:instrText>
      </w:r>
      <w:r w:rsidRPr="00B62174">
        <w:instrText>SEQ</w:instrText>
      </w:r>
      <w:r w:rsidRPr="00F5064E">
        <w:rPr>
          <w:lang w:val="uk-UA"/>
        </w:rPr>
        <w:instrText xml:space="preserve"> </w:instrText>
      </w:r>
      <w:r w:rsidRPr="00B62174">
        <w:instrText>level</w:instrText>
      </w:r>
      <w:r w:rsidRPr="00F5064E">
        <w:rPr>
          <w:lang w:val="uk-UA"/>
        </w:rPr>
        <w:instrText>0 \*</w:instrText>
      </w:r>
      <w:r w:rsidRPr="00B62174">
        <w:instrText>arabic</w:instrText>
      </w:r>
      <w:r w:rsidRPr="00F5064E">
        <w:rPr>
          <w:lang w:val="uk-UA"/>
        </w:rPr>
        <w:instrText xml:space="preserve"> </w:instrText>
      </w:r>
      <w:r w:rsidRPr="00B62174">
        <w:fldChar w:fldCharType="separate"/>
      </w:r>
      <w:r w:rsidRPr="00F5064E" w:rsidR="00142C04">
        <w:rPr>
          <w:noProof/>
          <w:lang w:val="uk-UA"/>
        </w:rPr>
        <w:t>114</w:t>
      </w:r>
      <w:r w:rsidRPr="00B62174">
        <w:fldChar w:fldCharType="end"/>
      </w:r>
      <w:r w:rsidRPr="00F5064E">
        <w:rPr>
          <w:lang w:val="uk-UA"/>
        </w:rPr>
        <w:t>.</w:t>
      </w:r>
      <w:r w:rsidRPr="00B62174">
        <w:t>  </w:t>
      </w:r>
      <w:r w:rsidR="00F5064E">
        <w:rPr>
          <w:lang w:val="uk-UA"/>
        </w:rPr>
        <w:t>Отже, тлумачення національними судами злочину геноциду можна розумно вважати таким, що відповідає суті ц</w:t>
      </w:r>
      <w:r w:rsidR="0024520D">
        <w:rPr>
          <w:lang w:val="uk-UA"/>
        </w:rPr>
        <w:t>ь</w:t>
      </w:r>
      <w:r w:rsidR="00F5064E">
        <w:rPr>
          <w:lang w:val="uk-UA"/>
        </w:rPr>
        <w:t>ого злочину</w:t>
      </w:r>
      <w:r w:rsidR="0024520D">
        <w:rPr>
          <w:lang w:val="uk-UA"/>
        </w:rPr>
        <w:t>,</w:t>
      </w:r>
      <w:r w:rsidR="00F5064E">
        <w:rPr>
          <w:lang w:val="uk-UA"/>
        </w:rPr>
        <w:t xml:space="preserve"> </w:t>
      </w:r>
      <w:r w:rsidR="0024520D">
        <w:rPr>
          <w:lang w:val="uk-UA"/>
        </w:rPr>
        <w:t>і</w:t>
      </w:r>
      <w:r w:rsidR="00F5064E">
        <w:rPr>
          <w:lang w:val="uk-UA"/>
        </w:rPr>
        <w:t xml:space="preserve"> котре могло бути розумно передбачене заявником на час подій</w:t>
      </w:r>
      <w:r w:rsidRPr="009B08B9" w:rsidR="002C729D">
        <w:rPr>
          <w:lang w:val="uk-UA"/>
        </w:rPr>
        <w:t>.</w:t>
      </w:r>
      <w:r w:rsidR="009B08B9">
        <w:rPr>
          <w:lang w:val="uk-UA"/>
        </w:rPr>
        <w:t xml:space="preserve"> Дотримавшись цих вимог, німецькі суди могли вирішувати, яке тлумачення злочину геноциду за національним правом їм слід застосовувати</w:t>
      </w:r>
      <w:r w:rsidRPr="009B08B9" w:rsidR="002C729D">
        <w:rPr>
          <w:lang w:val="uk-UA"/>
        </w:rPr>
        <w:t xml:space="preserve">. </w:t>
      </w:r>
      <w:r w:rsidR="009B08B9">
        <w:rPr>
          <w:lang w:val="uk-UA"/>
        </w:rPr>
        <w:t xml:space="preserve">Відповідно, визнання заявника винним у геноциді не становило порушення статті </w:t>
      </w:r>
      <w:r w:rsidRPr="009B08B9" w:rsidR="002C729D">
        <w:rPr>
          <w:lang w:val="uk-UA"/>
        </w:rPr>
        <w:t>7 §</w:t>
      </w:r>
      <w:r w:rsidRPr="009B08B9" w:rsidR="00077EA3">
        <w:rPr>
          <w:lang w:val="uk-UA"/>
        </w:rPr>
        <w:t xml:space="preserve"> </w:t>
      </w:r>
      <w:r w:rsidRPr="009B08B9" w:rsidR="002C729D">
        <w:rPr>
          <w:lang w:val="uk-UA"/>
        </w:rPr>
        <w:t xml:space="preserve">1 </w:t>
      </w:r>
      <w:r w:rsidR="009B08B9">
        <w:rPr>
          <w:lang w:val="uk-UA"/>
        </w:rPr>
        <w:t>Конвенції</w:t>
      </w:r>
      <w:r w:rsidRPr="009B08B9" w:rsidR="002C729D">
        <w:rPr>
          <w:lang w:val="uk-UA"/>
        </w:rPr>
        <w:t>.</w:t>
      </w:r>
    </w:p>
    <w:p w:rsidRPr="009B08B9" w:rsidR="00350804" w:rsidP="00350804" w:rsidRDefault="00350804">
      <w:pPr>
        <w:pStyle w:val="JuPara"/>
        <w:rPr>
          <w:lang w:val="uk-UA"/>
        </w:rPr>
      </w:pPr>
      <w:r w:rsidRPr="00B62174">
        <w:fldChar w:fldCharType="begin"/>
      </w:r>
      <w:r w:rsidRPr="009B08B9">
        <w:rPr>
          <w:lang w:val="uk-UA"/>
        </w:rPr>
        <w:instrText xml:space="preserve"> </w:instrText>
      </w:r>
      <w:r w:rsidRPr="00B62174">
        <w:instrText>SEQ</w:instrText>
      </w:r>
      <w:r w:rsidRPr="009B08B9">
        <w:rPr>
          <w:lang w:val="uk-UA"/>
        </w:rPr>
        <w:instrText xml:space="preserve"> </w:instrText>
      </w:r>
      <w:r w:rsidRPr="00B62174">
        <w:instrText>level</w:instrText>
      </w:r>
      <w:r w:rsidRPr="009B08B9">
        <w:rPr>
          <w:lang w:val="uk-UA"/>
        </w:rPr>
        <w:instrText>0 \*</w:instrText>
      </w:r>
      <w:r w:rsidRPr="00B62174">
        <w:instrText>arabic</w:instrText>
      </w:r>
      <w:r w:rsidRPr="009B08B9">
        <w:rPr>
          <w:lang w:val="uk-UA"/>
        </w:rPr>
        <w:instrText xml:space="preserve"> </w:instrText>
      </w:r>
      <w:r w:rsidRPr="00B62174">
        <w:fldChar w:fldCharType="separate"/>
      </w:r>
      <w:r w:rsidRPr="009B08B9" w:rsidR="00142C04">
        <w:rPr>
          <w:noProof/>
          <w:lang w:val="uk-UA"/>
        </w:rPr>
        <w:t>115</w:t>
      </w:r>
      <w:r w:rsidRPr="00B62174">
        <w:fldChar w:fldCharType="end"/>
      </w:r>
      <w:r w:rsidRPr="009B08B9">
        <w:rPr>
          <w:lang w:val="uk-UA"/>
        </w:rPr>
        <w:t>.</w:t>
      </w:r>
      <w:r w:rsidRPr="00B62174">
        <w:t>  </w:t>
      </w:r>
      <w:r w:rsidR="009B08B9">
        <w:rPr>
          <w:lang w:val="uk-UA"/>
        </w:rPr>
        <w:t xml:space="preserve">Стосовно іншої скарги заявника за статтею </w:t>
      </w:r>
      <w:r w:rsidRPr="009B08B9">
        <w:rPr>
          <w:lang w:val="uk-UA"/>
        </w:rPr>
        <w:t>7 §</w:t>
      </w:r>
      <w:r w:rsidRPr="009B08B9" w:rsidR="00077EA3">
        <w:rPr>
          <w:lang w:val="uk-UA"/>
        </w:rPr>
        <w:t xml:space="preserve"> </w:t>
      </w:r>
      <w:r w:rsidRPr="009B08B9">
        <w:rPr>
          <w:lang w:val="uk-UA"/>
        </w:rPr>
        <w:t>1</w:t>
      </w:r>
      <w:r w:rsidR="009B08B9">
        <w:rPr>
          <w:lang w:val="uk-UA"/>
        </w:rPr>
        <w:t xml:space="preserve">, що суди помилково встановили його вину як особливо тяжку, </w:t>
      </w:r>
      <w:r w:rsidR="00043338">
        <w:rPr>
          <w:lang w:val="uk-UA"/>
        </w:rPr>
        <w:t>Суд зазначає, що відповідні пода</w:t>
      </w:r>
      <w:r w:rsidR="009B08B9">
        <w:rPr>
          <w:lang w:val="uk-UA"/>
        </w:rPr>
        <w:t>ння заявника обмежуються твердженнями про помилки щодо фактів і права</w:t>
      </w:r>
      <w:r w:rsidRPr="009B08B9">
        <w:rPr>
          <w:lang w:val="uk-UA"/>
        </w:rPr>
        <w:t xml:space="preserve">. </w:t>
      </w:r>
      <w:r w:rsidR="009B08B9">
        <w:rPr>
          <w:lang w:val="uk-UA"/>
        </w:rPr>
        <w:t xml:space="preserve">Вони не містять ані ознак порушення названого положення, ані порушення статті </w:t>
      </w:r>
      <w:r w:rsidRPr="009B08B9" w:rsidR="002A524C">
        <w:rPr>
          <w:lang w:val="uk-UA"/>
        </w:rPr>
        <w:t>6 §</w:t>
      </w:r>
      <w:r w:rsidRPr="009B08B9" w:rsidR="00077EA3">
        <w:rPr>
          <w:lang w:val="uk-UA"/>
        </w:rPr>
        <w:t xml:space="preserve"> </w:t>
      </w:r>
      <w:r w:rsidRPr="009B08B9" w:rsidR="002A524C">
        <w:rPr>
          <w:lang w:val="uk-UA"/>
        </w:rPr>
        <w:t xml:space="preserve">1 </w:t>
      </w:r>
      <w:r w:rsidR="009B08B9">
        <w:rPr>
          <w:lang w:val="uk-UA"/>
        </w:rPr>
        <w:t>Конвенції</w:t>
      </w:r>
      <w:r w:rsidRPr="009B08B9">
        <w:rPr>
          <w:lang w:val="uk-UA"/>
        </w:rPr>
        <w:t>.</w:t>
      </w:r>
    </w:p>
    <w:p w:rsidR="00350804" w:rsidP="00350804" w:rsidRDefault="00350804">
      <w:pPr>
        <w:pStyle w:val="JuPara"/>
      </w:pPr>
      <w:r w:rsidRPr="00B62174">
        <w:fldChar w:fldCharType="begin"/>
      </w:r>
      <w:r w:rsidRPr="00B62174">
        <w:instrText xml:space="preserve"> SEQ level0 \*arabic </w:instrText>
      </w:r>
      <w:r w:rsidRPr="00B62174">
        <w:fldChar w:fldCharType="separate"/>
      </w:r>
      <w:r w:rsidR="00142C04">
        <w:rPr>
          <w:noProof/>
        </w:rPr>
        <w:t>116</w:t>
      </w:r>
      <w:r w:rsidRPr="00B62174">
        <w:fldChar w:fldCharType="end"/>
      </w:r>
      <w:r w:rsidRPr="00B62174">
        <w:t>.  </w:t>
      </w:r>
      <w:r w:rsidR="00CA10D7">
        <w:rPr>
          <w:lang w:val="uk-UA"/>
        </w:rPr>
        <w:t>В</w:t>
      </w:r>
      <w:r w:rsidR="009B08B9">
        <w:rPr>
          <w:lang w:val="uk-UA"/>
        </w:rPr>
        <w:t xml:space="preserve">ідповідно, Суд робить висновок про відсутність порушення статті </w:t>
      </w:r>
      <w:r>
        <w:t>7 §</w:t>
      </w:r>
      <w:r w:rsidR="00077EA3">
        <w:t xml:space="preserve"> </w:t>
      </w:r>
      <w:r>
        <w:t xml:space="preserve">1 </w:t>
      </w:r>
      <w:r w:rsidR="009B08B9">
        <w:rPr>
          <w:lang w:val="uk-UA"/>
        </w:rPr>
        <w:t>Конвенції</w:t>
      </w:r>
      <w:r>
        <w:t>.</w:t>
      </w:r>
    </w:p>
    <w:p w:rsidRPr="009C2A9D" w:rsidR="00F71A6A" w:rsidRDefault="009C2A9D">
      <w:pPr>
        <w:pStyle w:val="JuHHead"/>
        <w:rPr>
          <w:lang w:val="uk-UA"/>
        </w:rPr>
      </w:pPr>
      <w:r>
        <w:rPr>
          <w:lang w:val="uk-UA"/>
        </w:rPr>
        <w:t>З ЦИХ ПРИЧИН СУД ОДНОГОЛОСНО</w:t>
      </w:r>
    </w:p>
    <w:p w:rsidRPr="00705C57" w:rsidR="00EA568A" w:rsidP="00EA568A" w:rsidRDefault="00EA568A">
      <w:pPr>
        <w:pStyle w:val="JuList"/>
      </w:pPr>
      <w:r w:rsidRPr="00705C57">
        <w:t>1.  </w:t>
      </w:r>
      <w:r w:rsidR="009B08B9">
        <w:rPr>
          <w:i/>
          <w:lang w:val="uk-UA"/>
        </w:rPr>
        <w:t xml:space="preserve">Проголошує </w:t>
      </w:r>
      <w:r w:rsidR="009B08B9">
        <w:rPr>
          <w:lang w:val="uk-UA"/>
        </w:rPr>
        <w:t xml:space="preserve">скаргу за статтею </w:t>
      </w:r>
      <w:r w:rsidRPr="00705C57">
        <w:t>6 §§</w:t>
      </w:r>
      <w:r w:rsidR="00077EA3">
        <w:t xml:space="preserve"> </w:t>
      </w:r>
      <w:r w:rsidRPr="00705C57">
        <w:t xml:space="preserve">1 </w:t>
      </w:r>
      <w:r w:rsidR="009B08B9">
        <w:rPr>
          <w:lang w:val="uk-UA"/>
        </w:rPr>
        <w:t>і</w:t>
      </w:r>
      <w:r w:rsidRPr="00705C57">
        <w:t xml:space="preserve"> 3</w:t>
      </w:r>
      <w:r w:rsidR="00077EA3">
        <w:t xml:space="preserve"> </w:t>
      </w:r>
      <w:r w:rsidRPr="00705C57">
        <w:t xml:space="preserve">(d) </w:t>
      </w:r>
      <w:r w:rsidR="009B08B9">
        <w:rPr>
          <w:lang w:val="uk-UA"/>
        </w:rPr>
        <w:t>Конвенції стосовно рішень національних судів щодо доказів неприйнятною, а решту заяви прийнятною</w:t>
      </w:r>
      <w:r w:rsidRPr="00705C57">
        <w:t>;</w:t>
      </w:r>
    </w:p>
    <w:p w:rsidRPr="00705C57" w:rsidR="00EA568A" w:rsidP="00EA568A" w:rsidRDefault="00EA568A">
      <w:pPr>
        <w:ind w:firstLine="284"/>
      </w:pPr>
    </w:p>
    <w:p w:rsidRPr="00705C57" w:rsidR="00EA568A" w:rsidP="00EA568A" w:rsidRDefault="00EA568A">
      <w:pPr>
        <w:pStyle w:val="JuList"/>
      </w:pPr>
      <w:r w:rsidRPr="00705C57">
        <w:t>2.  </w:t>
      </w:r>
      <w:proofErr w:type="spellStart"/>
      <w:r w:rsidR="00CA10D7">
        <w:rPr>
          <w:i/>
        </w:rPr>
        <w:t>Постановляє</w:t>
      </w:r>
      <w:proofErr w:type="spellEnd"/>
      <w:r w:rsidR="00CA10D7">
        <w:rPr>
          <w:lang w:val="uk-UA"/>
        </w:rPr>
        <w:t>, що не було порушення статті</w:t>
      </w:r>
      <w:r w:rsidRPr="00705C57" w:rsidR="00CA10D7">
        <w:t xml:space="preserve"> </w:t>
      </w:r>
      <w:r w:rsidRPr="00705C57">
        <w:t>6 §</w:t>
      </w:r>
      <w:r w:rsidR="00077EA3">
        <w:t xml:space="preserve"> </w:t>
      </w:r>
      <w:r w:rsidRPr="00705C57">
        <w:t xml:space="preserve">1 </w:t>
      </w:r>
      <w:r w:rsidR="00CA10D7">
        <w:rPr>
          <w:lang w:val="uk-UA"/>
        </w:rPr>
        <w:t>або статті</w:t>
      </w:r>
      <w:r w:rsidR="00077EA3">
        <w:t xml:space="preserve"> </w:t>
      </w:r>
      <w:r w:rsidRPr="00705C57">
        <w:t>5 §</w:t>
      </w:r>
      <w:r w:rsidR="00077EA3">
        <w:t xml:space="preserve"> </w:t>
      </w:r>
      <w:r w:rsidRPr="00705C57">
        <w:t xml:space="preserve">1 </w:t>
      </w:r>
      <w:r w:rsidR="00CA10D7">
        <w:rPr>
          <w:lang w:val="uk-UA"/>
        </w:rPr>
        <w:t>Конвенції стосовно скарг заявника про відсутність у німецьких судів юрисдикції судити його за звинуваченням у геноциді</w:t>
      </w:r>
      <w:r w:rsidRPr="00705C57">
        <w:t>;</w:t>
      </w:r>
    </w:p>
    <w:p w:rsidRPr="00705C57" w:rsidR="00EA568A" w:rsidP="00EA568A" w:rsidRDefault="00EA568A">
      <w:pPr>
        <w:pStyle w:val="JuList"/>
      </w:pPr>
    </w:p>
    <w:p w:rsidRPr="00705C57" w:rsidR="00EA568A" w:rsidP="00EA568A" w:rsidRDefault="00EA568A">
      <w:pPr>
        <w:pStyle w:val="JuList"/>
      </w:pPr>
      <w:r w:rsidRPr="00705C57">
        <w:t>3.  </w:t>
      </w:r>
      <w:proofErr w:type="spellStart"/>
      <w:r w:rsidR="00CA10D7">
        <w:rPr>
          <w:i/>
        </w:rPr>
        <w:t>Постановляє</w:t>
      </w:r>
      <w:proofErr w:type="spellEnd"/>
      <w:r w:rsidR="00CA10D7">
        <w:rPr>
          <w:lang w:val="uk-UA"/>
        </w:rPr>
        <w:t>, що не було</w:t>
      </w:r>
      <w:r w:rsidRPr="00705C57">
        <w:t xml:space="preserve"> </w:t>
      </w:r>
      <w:r w:rsidR="00CA10D7">
        <w:rPr>
          <w:lang w:val="uk-UA"/>
        </w:rPr>
        <w:t xml:space="preserve">порушення статті </w:t>
      </w:r>
      <w:r w:rsidR="00CA10D7">
        <w:t xml:space="preserve">7 </w:t>
      </w:r>
      <w:r w:rsidR="00CA10D7">
        <w:rPr>
          <w:lang w:val="uk-UA"/>
        </w:rPr>
        <w:t>Конвенції</w:t>
      </w:r>
      <w:r w:rsidRPr="00705C57">
        <w:t>.</w:t>
      </w:r>
    </w:p>
    <w:p w:rsidRPr="00B62174" w:rsidR="00325C2B" w:rsidP="00325C2B" w:rsidRDefault="0073046B">
      <w:pPr>
        <w:pStyle w:val="JuParaLast"/>
      </w:pPr>
      <w:proofErr w:type="spellStart"/>
      <w:r>
        <w:t>Складено</w:t>
      </w:r>
      <w:proofErr w:type="spellEnd"/>
      <w:r>
        <w:t xml:space="preserve"> </w:t>
      </w:r>
      <w:proofErr w:type="spellStart"/>
      <w:r>
        <w:t>англійською</w:t>
      </w:r>
      <w:proofErr w:type="spellEnd"/>
      <w:r w:rsidRPr="00B62174">
        <w:t xml:space="preserve"> </w:t>
      </w:r>
      <w:r w:rsidR="009C2A9D">
        <w:rPr>
          <w:lang w:val="uk-UA"/>
        </w:rPr>
        <w:t xml:space="preserve">мовою і письмово повідомлено </w:t>
      </w:r>
      <w:r w:rsidR="004902ED">
        <w:t>12</w:t>
      </w:r>
      <w:r w:rsidR="00077EA3">
        <w:t xml:space="preserve"> </w:t>
      </w:r>
      <w:r w:rsidR="009C2A9D">
        <w:rPr>
          <w:lang w:val="uk-UA"/>
        </w:rPr>
        <w:t>липня</w:t>
      </w:r>
      <w:r w:rsidR="004902ED">
        <w:t xml:space="preserve"> 2007</w:t>
      </w:r>
      <w:r w:rsidR="009C2A9D">
        <w:rPr>
          <w:lang w:val="uk-UA"/>
        </w:rPr>
        <w:t xml:space="preserve"> року</w:t>
      </w:r>
      <w:r w:rsidRPr="00B62174" w:rsidR="00F71A6A">
        <w:t xml:space="preserve">, </w:t>
      </w:r>
      <w:r w:rsidR="009C2A9D">
        <w:rPr>
          <w:lang w:val="uk-UA"/>
        </w:rPr>
        <w:t>відповідно до правила</w:t>
      </w:r>
      <w:r w:rsidRPr="00B62174" w:rsidR="0011665B">
        <w:t xml:space="preserve"> </w:t>
      </w:r>
      <w:r w:rsidRPr="00B62174" w:rsidR="00F71A6A">
        <w:t>77</w:t>
      </w:r>
      <w:r w:rsidRPr="00B62174" w:rsidR="0011665B">
        <w:t xml:space="preserve"> </w:t>
      </w:r>
      <w:r w:rsidRPr="00B62174" w:rsidR="00F71A6A">
        <w:t>§§</w:t>
      </w:r>
      <w:r w:rsidRPr="00B62174" w:rsidR="0011665B">
        <w:t xml:space="preserve"> </w:t>
      </w:r>
      <w:r w:rsidRPr="00B62174" w:rsidR="00F71A6A">
        <w:t xml:space="preserve">2 </w:t>
      </w:r>
      <w:r w:rsidR="009C2A9D">
        <w:rPr>
          <w:lang w:val="uk-UA"/>
        </w:rPr>
        <w:t>і</w:t>
      </w:r>
      <w:r w:rsidRPr="00B62174" w:rsidR="0011665B">
        <w:t xml:space="preserve"> </w:t>
      </w:r>
      <w:r w:rsidRPr="00B62174" w:rsidR="00F71A6A">
        <w:t xml:space="preserve">3 </w:t>
      </w:r>
      <w:r w:rsidR="009C2A9D">
        <w:rPr>
          <w:lang w:val="uk-UA"/>
        </w:rPr>
        <w:t>Регламенту Суду</w:t>
      </w:r>
      <w:r w:rsidRPr="00B62174" w:rsidR="00F71A6A">
        <w:t>.</w:t>
      </w:r>
    </w:p>
    <w:p w:rsidRPr="009C2A9D" w:rsidR="00846856" w:rsidP="00325C2B" w:rsidRDefault="00325C2B">
      <w:pPr>
        <w:pStyle w:val="JuSigned"/>
        <w:keepNext/>
        <w:keepLines/>
        <w:rPr>
          <w:lang w:val="uk-UA"/>
        </w:rPr>
      </w:pPr>
      <w:r w:rsidRPr="00B62174">
        <w:tab/>
      </w:r>
      <w:r w:rsidR="009C2A9D">
        <w:rPr>
          <w:lang w:val="uk-UA"/>
        </w:rPr>
        <w:t>Клаудіа Вестердік</w:t>
      </w:r>
      <w:r w:rsidRPr="00B62174" w:rsidR="00B62174">
        <w:rPr>
          <w:rStyle w:val="JuNames"/>
        </w:rPr>
        <w:tab/>
      </w:r>
      <w:r w:rsidR="009C2A9D">
        <w:rPr>
          <w:lang w:val="uk-UA"/>
        </w:rPr>
        <w:t>Пер Лоренцен</w:t>
      </w:r>
      <w:r w:rsidRPr="00B62174">
        <w:br/>
      </w:r>
      <w:r w:rsidRPr="00B62174">
        <w:tab/>
      </w:r>
      <w:r w:rsidR="009C2A9D">
        <w:rPr>
          <w:lang w:val="uk-UA"/>
        </w:rPr>
        <w:t>Секретар</w:t>
      </w:r>
      <w:r w:rsidRPr="00B62174">
        <w:tab/>
      </w:r>
      <w:r w:rsidR="009C2A9D">
        <w:rPr>
          <w:lang w:val="uk-UA"/>
        </w:rPr>
        <w:t>Голова</w:t>
      </w:r>
    </w:p>
    <w:p w:rsidR="00C61F0D" w:rsidP="00C61F0D" w:rsidRDefault="00C61F0D">
      <w:pPr>
        <w:pStyle w:val="JuParaLast"/>
        <w:rPr>
          <w:lang w:val="uk-UA"/>
        </w:rPr>
      </w:pPr>
    </w:p>
    <w:p w:rsidR="00C61F0D" w:rsidP="00C61F0D" w:rsidRDefault="00C61F0D">
      <w:pPr>
        <w:pStyle w:val="JuPara"/>
        <w:rPr>
          <w:lang w:val="uk-UA"/>
        </w:rPr>
      </w:pPr>
    </w:p>
    <w:p w:rsidRPr="00C61F0D" w:rsidR="00C61F0D" w:rsidP="00C61F0D" w:rsidRDefault="00C61F0D">
      <w:pPr>
        <w:pStyle w:val="NormalWeb"/>
        <w:ind w:right="403" w:firstLine="709"/>
        <w:jc w:val="both"/>
        <w:rPr>
          <w:b/>
          <w:sz w:val="20"/>
          <w:szCs w:val="20"/>
          <w:lang w:val="uk-UA"/>
        </w:rPr>
      </w:pPr>
      <w:r w:rsidRPr="00C61F0D">
        <w:rPr>
          <w:b/>
          <w:sz w:val="20"/>
          <w:szCs w:val="20"/>
          <w:lang w:val="uk-UA"/>
        </w:rPr>
        <w:t>© Рада Європи/Європейський суд з прав людини, 2012 рік.</w:t>
      </w:r>
    </w:p>
    <w:p w:rsidRPr="001026F9" w:rsidR="00C61F0D" w:rsidP="00C61F0D" w:rsidRDefault="00C61F0D">
      <w:pPr>
        <w:pStyle w:val="NormalWeb"/>
        <w:ind w:left="709" w:right="403"/>
        <w:jc w:val="both"/>
        <w:rPr>
          <w:sz w:val="20"/>
          <w:lang w:val="uk-UA"/>
        </w:rPr>
      </w:pPr>
      <w:r w:rsidRPr="00C61F0D">
        <w:rPr>
          <w:sz w:val="20"/>
          <w:szCs w:val="20"/>
          <w:lang w:val="uk-UA"/>
        </w:rPr>
        <w:t>Офіційними мовами Європейського суду з прав людини є англійська і французька. Цей переклад було здійснено за підтримки Фундації з прав людини Ради Європи (</w:t>
      </w:r>
      <w:hyperlink w:history="1" r:id="rId15">
        <w:r w:rsidRPr="005D08D0">
          <w:rPr>
            <w:rStyle w:val="Hyperlink"/>
            <w:bCs/>
            <w:sz w:val="20"/>
            <w:szCs w:val="20"/>
          </w:rPr>
          <w:t>www</w:t>
        </w:r>
        <w:r w:rsidRPr="00C61F0D">
          <w:rPr>
            <w:rStyle w:val="Hyperlink"/>
            <w:bCs/>
            <w:sz w:val="20"/>
            <w:szCs w:val="20"/>
            <w:lang w:val="uk-UA"/>
          </w:rPr>
          <w:t>.</w:t>
        </w:r>
        <w:r w:rsidRPr="005D08D0">
          <w:rPr>
            <w:rStyle w:val="Hyperlink"/>
            <w:bCs/>
            <w:sz w:val="20"/>
            <w:szCs w:val="20"/>
          </w:rPr>
          <w:t>coe</w:t>
        </w:r>
        <w:r w:rsidRPr="00C61F0D">
          <w:rPr>
            <w:rStyle w:val="Hyperlink"/>
            <w:bCs/>
            <w:sz w:val="20"/>
            <w:szCs w:val="20"/>
            <w:lang w:val="uk-UA"/>
          </w:rPr>
          <w:t>.</w:t>
        </w:r>
        <w:r w:rsidRPr="005D08D0">
          <w:rPr>
            <w:rStyle w:val="Hyperlink"/>
            <w:bCs/>
            <w:sz w:val="20"/>
            <w:szCs w:val="20"/>
          </w:rPr>
          <w:t>int</w:t>
        </w:r>
        <w:r w:rsidRPr="00C61F0D">
          <w:rPr>
            <w:rStyle w:val="Hyperlink"/>
            <w:bCs/>
            <w:sz w:val="20"/>
            <w:szCs w:val="20"/>
            <w:lang w:val="uk-UA"/>
          </w:rPr>
          <w:t>/</w:t>
        </w:r>
        <w:r w:rsidRPr="005D08D0">
          <w:rPr>
            <w:rStyle w:val="Hyperlink"/>
            <w:bCs/>
            <w:sz w:val="20"/>
            <w:szCs w:val="20"/>
          </w:rPr>
          <w:t>humanrightstrustfund</w:t>
        </w:r>
      </w:hyperlink>
      <w:r w:rsidRPr="00C61F0D">
        <w:rPr>
          <w:sz w:val="20"/>
          <w:szCs w:val="20"/>
          <w:lang w:val="uk-UA"/>
        </w:rPr>
        <w:t>). Він не є обов</w:t>
      </w:r>
      <w:r w:rsidR="00761A37">
        <w:rPr>
          <w:sz w:val="20"/>
          <w:szCs w:val="20"/>
          <w:lang w:val="uk-UA"/>
        </w:rPr>
        <w:t>’</w:t>
      </w:r>
      <w:r w:rsidRPr="00C61F0D">
        <w:rPr>
          <w:sz w:val="20"/>
          <w:szCs w:val="20"/>
          <w:lang w:val="uk-UA"/>
        </w:rPr>
        <w:t xml:space="preserve">язковим для Суду, і Суд не несе жодної відповідальності за його якість. Його можна завантажити із бази даних юриспруденції Європейського суду з прав людини </w:t>
      </w:r>
      <w:r w:rsidRPr="005D08D0">
        <w:rPr>
          <w:sz w:val="20"/>
          <w:szCs w:val="20"/>
        </w:rPr>
        <w:t>HUDOC</w:t>
      </w:r>
      <w:r w:rsidRPr="00C61F0D">
        <w:rPr>
          <w:sz w:val="20"/>
          <w:szCs w:val="20"/>
          <w:lang w:val="uk-UA"/>
        </w:rPr>
        <w:t xml:space="preserve"> (</w:t>
      </w:r>
      <w:r>
        <w:fldChar w:fldCharType="begin"/>
      </w:r>
      <w:r>
        <w:instrText>HYPERLINK</w:instrText>
      </w:r>
      <w:r w:rsidRPr="00C61F0D">
        <w:rPr>
          <w:lang w:val="uk-UA"/>
        </w:rPr>
        <w:instrText xml:space="preserve"> "</w:instrText>
      </w:r>
      <w:r>
        <w:instrText>http</w:instrText>
      </w:r>
      <w:r w:rsidRPr="00C61F0D">
        <w:rPr>
          <w:lang w:val="uk-UA"/>
        </w:rPr>
        <w:instrText>://</w:instrText>
      </w:r>
      <w:r>
        <w:instrText>hudoc</w:instrText>
      </w:r>
      <w:r w:rsidRPr="00C61F0D">
        <w:rPr>
          <w:lang w:val="uk-UA"/>
        </w:rPr>
        <w:instrText>.</w:instrText>
      </w:r>
      <w:r>
        <w:instrText>echr</w:instrText>
      </w:r>
      <w:r w:rsidRPr="00C61F0D">
        <w:rPr>
          <w:lang w:val="uk-UA"/>
        </w:rPr>
        <w:instrText>.</w:instrText>
      </w:r>
      <w:r>
        <w:instrText>coe</w:instrText>
      </w:r>
      <w:r w:rsidRPr="00C61F0D">
        <w:rPr>
          <w:lang w:val="uk-UA"/>
        </w:rPr>
        <w:instrText>.</w:instrText>
      </w:r>
      <w:r>
        <w:instrText>int</w:instrText>
      </w:r>
      <w:r w:rsidRPr="00C61F0D">
        <w:rPr>
          <w:lang w:val="uk-UA"/>
        </w:rPr>
        <w:instrText>"</w:instrText>
      </w:r>
      <w:r>
        <w:fldChar w:fldCharType="separate"/>
      </w:r>
      <w:r w:rsidRPr="005D08D0">
        <w:rPr>
          <w:rStyle w:val="Hyperlink"/>
          <w:sz w:val="20"/>
        </w:rPr>
        <w:t>http</w:t>
      </w:r>
      <w:r w:rsidRPr="00C61F0D">
        <w:rPr>
          <w:rStyle w:val="Hyperlink"/>
          <w:sz w:val="20"/>
          <w:lang w:val="uk-UA"/>
        </w:rPr>
        <w:t>://</w:t>
      </w:r>
      <w:r w:rsidRPr="005D08D0">
        <w:rPr>
          <w:rStyle w:val="Hyperlink"/>
          <w:sz w:val="20"/>
        </w:rPr>
        <w:t>hudoc</w:t>
      </w:r>
      <w:r w:rsidRPr="00C61F0D">
        <w:rPr>
          <w:rStyle w:val="Hyperlink"/>
          <w:sz w:val="20"/>
          <w:lang w:val="uk-UA"/>
        </w:rPr>
        <w:t>.</w:t>
      </w:r>
      <w:r w:rsidRPr="005D08D0">
        <w:rPr>
          <w:rStyle w:val="Hyperlink"/>
          <w:sz w:val="20"/>
        </w:rPr>
        <w:t>echr</w:t>
      </w:r>
      <w:r w:rsidRPr="00C61F0D">
        <w:rPr>
          <w:rStyle w:val="Hyperlink"/>
          <w:sz w:val="20"/>
          <w:lang w:val="uk-UA"/>
        </w:rPr>
        <w:t>.</w:t>
      </w:r>
      <w:r w:rsidRPr="005D08D0">
        <w:rPr>
          <w:rStyle w:val="Hyperlink"/>
          <w:sz w:val="20"/>
        </w:rPr>
        <w:t>coe</w:t>
      </w:r>
      <w:r w:rsidRPr="00C61F0D">
        <w:rPr>
          <w:rStyle w:val="Hyperlink"/>
          <w:sz w:val="20"/>
          <w:lang w:val="uk-UA"/>
        </w:rPr>
        <w:t>.</w:t>
      </w:r>
      <w:r w:rsidRPr="005D08D0">
        <w:rPr>
          <w:rStyle w:val="Hyperlink"/>
          <w:sz w:val="20"/>
        </w:rPr>
        <w:t>int</w:t>
      </w:r>
      <w:r>
        <w:fldChar w:fldCharType="end"/>
      </w:r>
      <w:r w:rsidRPr="00C61F0D">
        <w:rPr>
          <w:sz w:val="20"/>
          <w:lang w:val="uk-UA"/>
        </w:rPr>
        <w:t>) або з будь-якої іншої бази даних, котрим Суд передав його</w:t>
      </w:r>
      <w:r w:rsidRPr="00C61F0D">
        <w:rPr>
          <w:sz w:val="20"/>
          <w:szCs w:val="20"/>
          <w:lang w:val="uk-UA"/>
        </w:rPr>
        <w:t>. Його можна відтворювати з некомерційною метою</w:t>
      </w:r>
      <w:r w:rsidRPr="001026F9" w:rsidR="001026F9">
        <w:rPr>
          <w:sz w:val="20"/>
          <w:szCs w:val="20"/>
          <w:lang w:val="uk-UA"/>
        </w:rPr>
        <w:t>,</w:t>
      </w:r>
      <w:r w:rsidRPr="00C61F0D">
        <w:rPr>
          <w:sz w:val="20"/>
          <w:szCs w:val="20"/>
          <w:lang w:val="uk-UA"/>
        </w:rPr>
        <w:t xml:space="preserve"> за умови цитування повної назви справи, наведеної примітки щодо авторських прав і посилання на</w:t>
      </w:r>
      <w:r w:rsidR="00761A37">
        <w:rPr>
          <w:sz w:val="20"/>
          <w:szCs w:val="20"/>
          <w:lang w:val="uk-UA"/>
        </w:rPr>
        <w:t xml:space="preserve"> </w:t>
      </w:r>
      <w:r w:rsidRPr="00C61F0D">
        <w:rPr>
          <w:sz w:val="20"/>
          <w:szCs w:val="20"/>
          <w:lang w:val="uk-UA"/>
        </w:rPr>
        <w:t>Фундацію з прав людини. Якщо є намір використати будь-яку частину перекладу з комерційною мето</w:t>
      </w:r>
      <w:r w:rsidR="00962866">
        <w:rPr>
          <w:sz w:val="20"/>
          <w:szCs w:val="20"/>
          <w:lang w:val="uk-UA"/>
        </w:rPr>
        <w:t>ю, звертайтесь, будь-</w:t>
      </w:r>
      <w:r w:rsidRPr="00C61F0D">
        <w:rPr>
          <w:sz w:val="20"/>
          <w:szCs w:val="20"/>
          <w:lang w:val="uk-UA"/>
        </w:rPr>
        <w:t xml:space="preserve">ласка, за адресою </w:t>
      </w:r>
      <w:r>
        <w:fldChar w:fldCharType="begin"/>
      </w:r>
      <w:r>
        <w:instrText>HYPERLINK</w:instrText>
      </w:r>
      <w:r w:rsidRPr="00C61F0D">
        <w:rPr>
          <w:lang w:val="uk-UA"/>
        </w:rPr>
        <w:instrText xml:space="preserve"> "</w:instrText>
      </w:r>
      <w:r>
        <w:instrText>mailto</w:instrText>
      </w:r>
      <w:r w:rsidRPr="00C61F0D">
        <w:rPr>
          <w:lang w:val="uk-UA"/>
        </w:rPr>
        <w:instrText>:</w:instrText>
      </w:r>
      <w:r>
        <w:instrText>publishing</w:instrText>
      </w:r>
      <w:r w:rsidRPr="00C61F0D">
        <w:rPr>
          <w:lang w:val="uk-UA"/>
        </w:rPr>
        <w:instrText>@</w:instrText>
      </w:r>
      <w:r>
        <w:instrText>echr</w:instrText>
      </w:r>
      <w:r w:rsidRPr="00C61F0D">
        <w:rPr>
          <w:lang w:val="uk-UA"/>
        </w:rPr>
        <w:instrText>.</w:instrText>
      </w:r>
      <w:r>
        <w:instrText>coe</w:instrText>
      </w:r>
      <w:r w:rsidRPr="00C61F0D">
        <w:rPr>
          <w:lang w:val="uk-UA"/>
        </w:rPr>
        <w:instrText>.</w:instrText>
      </w:r>
      <w:r>
        <w:instrText>int</w:instrText>
      </w:r>
      <w:r w:rsidRPr="00C61F0D">
        <w:rPr>
          <w:lang w:val="uk-UA"/>
        </w:rPr>
        <w:instrText>"</w:instrText>
      </w:r>
      <w:r>
        <w:fldChar w:fldCharType="separate"/>
      </w:r>
      <w:r w:rsidRPr="005D08D0">
        <w:rPr>
          <w:rStyle w:val="Hyperlink"/>
          <w:sz w:val="20"/>
          <w:szCs w:val="20"/>
        </w:rPr>
        <w:t>publishing</w:t>
      </w:r>
      <w:r w:rsidRPr="001026F9">
        <w:rPr>
          <w:rStyle w:val="Hyperlink"/>
          <w:sz w:val="20"/>
          <w:szCs w:val="20"/>
          <w:lang w:val="uk-UA"/>
        </w:rPr>
        <w:t>@</w:t>
      </w:r>
      <w:proofErr w:type="spellStart"/>
      <w:r w:rsidRPr="005D08D0">
        <w:rPr>
          <w:rStyle w:val="Hyperlink"/>
          <w:sz w:val="20"/>
          <w:szCs w:val="20"/>
        </w:rPr>
        <w:t>echr</w:t>
      </w:r>
      <w:proofErr w:type="spellEnd"/>
      <w:r w:rsidRPr="001026F9">
        <w:rPr>
          <w:rStyle w:val="Hyperlink"/>
          <w:sz w:val="20"/>
          <w:szCs w:val="20"/>
          <w:lang w:val="uk-UA"/>
        </w:rPr>
        <w:t>.</w:t>
      </w:r>
      <w:proofErr w:type="spellStart"/>
      <w:r w:rsidRPr="005D08D0">
        <w:rPr>
          <w:rStyle w:val="Hyperlink"/>
          <w:sz w:val="20"/>
          <w:szCs w:val="20"/>
        </w:rPr>
        <w:t>coe</w:t>
      </w:r>
      <w:proofErr w:type="spellEnd"/>
      <w:r w:rsidRPr="001026F9">
        <w:rPr>
          <w:rStyle w:val="Hyperlink"/>
          <w:sz w:val="20"/>
          <w:szCs w:val="20"/>
          <w:lang w:val="uk-UA"/>
        </w:rPr>
        <w:t>.</w:t>
      </w:r>
      <w:proofErr w:type="spellStart"/>
      <w:r w:rsidRPr="005D08D0">
        <w:rPr>
          <w:rStyle w:val="Hyperlink"/>
          <w:sz w:val="20"/>
          <w:szCs w:val="20"/>
        </w:rPr>
        <w:t>int</w:t>
      </w:r>
      <w:proofErr w:type="spellEnd"/>
      <w:r>
        <w:fldChar w:fldCharType="end"/>
      </w:r>
      <w:r w:rsidRPr="001026F9">
        <w:rPr>
          <w:sz w:val="20"/>
          <w:szCs w:val="20"/>
          <w:lang w:val="uk-UA"/>
        </w:rPr>
        <w:t>.</w:t>
      </w:r>
    </w:p>
    <w:p w:rsidRPr="005D08D0" w:rsidR="00C61F0D" w:rsidP="00C61F0D" w:rsidRDefault="00C61F0D">
      <w:pPr>
        <w:pStyle w:val="NormalWeb"/>
        <w:ind w:right="403" w:firstLine="709"/>
        <w:jc w:val="both"/>
        <w:rPr>
          <w:b/>
          <w:sz w:val="20"/>
          <w:szCs w:val="20"/>
        </w:rPr>
      </w:pPr>
      <w:r w:rsidRPr="005D08D0">
        <w:rPr>
          <w:b/>
          <w:sz w:val="20"/>
          <w:szCs w:val="20"/>
        </w:rPr>
        <w:t>© Council of Europe/European Court of Human Rights, 2012.</w:t>
      </w:r>
    </w:p>
    <w:p w:rsidRPr="005D08D0" w:rsidR="00C61F0D" w:rsidP="00C61F0D" w:rsidRDefault="00C61F0D">
      <w:pPr>
        <w:pStyle w:val="NormalWeb"/>
        <w:ind w:left="709" w:right="403"/>
        <w:jc w:val="both"/>
        <w:rPr>
          <w:sz w:val="20"/>
          <w:szCs w:val="20"/>
        </w:rPr>
      </w:pPr>
      <w:r w:rsidRPr="005D08D0">
        <w:rPr>
          <w:sz w:val="20"/>
          <w:szCs w:val="20"/>
        </w:rPr>
        <w:t>The official languages of the European Court of Human Rights are English and French. This translation was commissioned with the support of the Human Rights Trust Fund of the Council of Europe (</w:t>
      </w:r>
      <w:hyperlink w:history="1" r:id="rId16">
        <w:r w:rsidRPr="005D08D0">
          <w:rPr>
            <w:rStyle w:val="Hyperlink"/>
            <w:bCs/>
            <w:sz w:val="20"/>
            <w:szCs w:val="20"/>
          </w:rPr>
          <w:t>www.coe.int/humanrightstrustfund</w:t>
        </w:r>
      </w:hyperlink>
      <w:r w:rsidRPr="005D08D0">
        <w:rPr>
          <w:sz w:val="20"/>
          <w:szCs w:val="20"/>
        </w:rPr>
        <w:t>). It does not bind the Court, nor does the Court take any responsibility for the quality thereof. It may be downloaded from the HUDOC case-law database of the European Court of Human Rights (</w:t>
      </w:r>
      <w:hyperlink w:history="1" r:id="rId17">
        <w:r w:rsidRPr="005D08D0">
          <w:rPr>
            <w:rStyle w:val="Hyperlink"/>
            <w:sz w:val="20"/>
          </w:rPr>
          <w:t>http://hudoc.echr.coe.int</w:t>
        </w:r>
      </w:hyperlink>
      <w:r w:rsidRPr="005D08D0">
        <w:rPr>
          <w:sz w:val="20"/>
        </w:rPr>
        <w:t>) o</w:t>
      </w:r>
      <w:r w:rsidRPr="005D08D0">
        <w:rPr>
          <w:sz w:val="20"/>
          <w:szCs w:val="20"/>
        </w:rPr>
        <w:t xml:space="preserve">r from any other database with which the Court has shared it. It may be reproduced for non-commercial purposes on condition that the full title of the case is cited, together with the above copyright indication and reference to the Human Rights Trust Fund. If it is intended to use any part of this translation for commercial purposes, please contact </w:t>
      </w:r>
      <w:hyperlink w:history="1" r:id="rId18">
        <w:r w:rsidRPr="005D08D0">
          <w:rPr>
            <w:rStyle w:val="Hyperlink"/>
            <w:sz w:val="20"/>
            <w:szCs w:val="20"/>
          </w:rPr>
          <w:t>publishing@echr.coe.int</w:t>
        </w:r>
      </w:hyperlink>
      <w:r w:rsidRPr="005D08D0">
        <w:rPr>
          <w:sz w:val="20"/>
          <w:szCs w:val="20"/>
        </w:rPr>
        <w:t>.</w:t>
      </w:r>
    </w:p>
    <w:p w:rsidRPr="00B72EEE" w:rsidR="00C61F0D" w:rsidP="00761A37" w:rsidRDefault="00C61F0D">
      <w:pPr>
        <w:spacing w:before="120"/>
        <w:ind w:left="709" w:right="403"/>
        <w:jc w:val="both"/>
        <w:rPr>
          <w:b/>
          <w:sz w:val="20"/>
          <w:lang w:val="fr-FR"/>
        </w:rPr>
      </w:pPr>
      <w:r w:rsidRPr="00A70D5E">
        <w:rPr>
          <w:b/>
          <w:sz w:val="20"/>
          <w:lang w:val="fr-FR"/>
        </w:rPr>
        <w:t>© Conseil de l</w:t>
      </w:r>
      <w:r w:rsidR="00761A37">
        <w:rPr>
          <w:b/>
          <w:sz w:val="20"/>
          <w:lang w:val="fr-FR"/>
        </w:rPr>
        <w:t>’</w:t>
      </w:r>
      <w:r w:rsidRPr="00A70D5E">
        <w:rPr>
          <w:b/>
          <w:sz w:val="20"/>
          <w:lang w:val="fr-FR"/>
        </w:rPr>
        <w:t>Europe/Cour européenne des droits de l</w:t>
      </w:r>
      <w:r w:rsidR="00761A37">
        <w:rPr>
          <w:b/>
          <w:sz w:val="20"/>
          <w:lang w:val="fr-FR"/>
        </w:rPr>
        <w:t>’</w:t>
      </w:r>
      <w:r w:rsidRPr="00A70D5E">
        <w:rPr>
          <w:b/>
          <w:sz w:val="20"/>
          <w:lang w:val="fr-FR"/>
        </w:rPr>
        <w:t>homme, 2012.</w:t>
      </w:r>
    </w:p>
    <w:p w:rsidRPr="00B72EEE" w:rsidR="00C61F0D" w:rsidP="00C61F0D" w:rsidRDefault="00C61F0D">
      <w:pPr>
        <w:ind w:left="709" w:right="403"/>
        <w:jc w:val="both"/>
        <w:rPr>
          <w:b/>
          <w:sz w:val="20"/>
          <w:lang w:val="fr-FR"/>
        </w:rPr>
      </w:pPr>
    </w:p>
    <w:p w:rsidRPr="00B72EEE" w:rsidR="00C61F0D" w:rsidP="00C61F0D" w:rsidRDefault="00C61F0D">
      <w:pPr>
        <w:ind w:left="709" w:right="403"/>
        <w:jc w:val="both"/>
        <w:rPr>
          <w:lang w:val="fr-FR"/>
        </w:rPr>
      </w:pPr>
      <w:r w:rsidRPr="00A70D5E">
        <w:rPr>
          <w:sz w:val="20"/>
          <w:lang w:val="fr-FR"/>
        </w:rPr>
        <w:t>Les langues officielles de la Cour européenne des droits de l</w:t>
      </w:r>
      <w:r w:rsidR="00761A37">
        <w:rPr>
          <w:sz w:val="20"/>
          <w:lang w:val="fr-FR"/>
        </w:rPr>
        <w:t>’</w:t>
      </w:r>
      <w:r w:rsidRPr="00A70D5E">
        <w:rPr>
          <w:sz w:val="20"/>
          <w:lang w:val="fr-FR"/>
        </w:rPr>
        <w:t>homme sont le français et l</w:t>
      </w:r>
      <w:r w:rsidR="00761A37">
        <w:rPr>
          <w:sz w:val="20"/>
          <w:lang w:val="fr-FR"/>
        </w:rPr>
        <w:t>’</w:t>
      </w:r>
      <w:r w:rsidRPr="00A70D5E">
        <w:rPr>
          <w:sz w:val="20"/>
          <w:lang w:val="fr-FR"/>
        </w:rPr>
        <w:t>anglais. La présente traduction a été effectuée avec le soutien du Fonds fiduciaire pour les droits de l</w:t>
      </w:r>
      <w:r w:rsidR="00761A37">
        <w:rPr>
          <w:sz w:val="20"/>
          <w:lang w:val="fr-FR"/>
        </w:rPr>
        <w:t>’</w:t>
      </w:r>
      <w:r w:rsidRPr="00A70D5E">
        <w:rPr>
          <w:sz w:val="20"/>
          <w:lang w:val="fr-FR"/>
        </w:rPr>
        <w:t>homme du Conseil de l</w:t>
      </w:r>
      <w:r w:rsidR="00761A37">
        <w:rPr>
          <w:sz w:val="20"/>
          <w:lang w:val="fr-FR"/>
        </w:rPr>
        <w:t>’</w:t>
      </w:r>
      <w:r w:rsidRPr="00A70D5E">
        <w:rPr>
          <w:sz w:val="20"/>
          <w:lang w:val="fr-FR"/>
        </w:rPr>
        <w:t>Europe (</w:t>
      </w:r>
      <w:hyperlink w:tooltip="http://www.coe.int/humanrightstrustfund" w:history="1" r:id="rId19">
        <w:r w:rsidRPr="00A70D5E">
          <w:rPr>
            <w:rStyle w:val="Hyperlink"/>
            <w:bCs/>
            <w:sz w:val="20"/>
            <w:lang w:val="fr-FR"/>
          </w:rPr>
          <w:t>www.coe.int/humanrightstrustfund</w:t>
        </w:r>
      </w:hyperlink>
      <w:r w:rsidRPr="00A70D5E">
        <w:rPr>
          <w:sz w:val="20"/>
          <w:lang w:val="fr-FR"/>
        </w:rPr>
        <w:t>). Elle ne lie pas la Cour, et celle-ci décline toute responsabilité quant à sa qualité. Elle peut être téléchargée à partir de HUDOC, la base de jurisprudence de la Cour européenne des droits de l</w:t>
      </w:r>
      <w:r w:rsidR="00761A37">
        <w:rPr>
          <w:sz w:val="20"/>
          <w:lang w:val="fr-FR"/>
        </w:rPr>
        <w:t>’</w:t>
      </w:r>
      <w:r w:rsidRPr="00A70D5E">
        <w:rPr>
          <w:sz w:val="20"/>
          <w:lang w:val="fr-FR"/>
        </w:rPr>
        <w:t>homme (</w:t>
      </w:r>
      <w:hyperlink w:tooltip="http://hudoc.echr.coe.int/" w:history="1" r:id="rId20">
        <w:r w:rsidRPr="00A70D5E">
          <w:rPr>
            <w:rStyle w:val="Hyperlink"/>
            <w:sz w:val="20"/>
            <w:lang w:val="fr-FR"/>
          </w:rPr>
          <w:t>http://hudoc.echr.coe.int</w:t>
        </w:r>
      </w:hyperlink>
      <w:r w:rsidRPr="00A70D5E">
        <w:rPr>
          <w:sz w:val="20"/>
          <w:lang w:val="fr-FR"/>
        </w:rPr>
        <w:t>), ou de toute autre base de données à laquelle HUDOC l</w:t>
      </w:r>
      <w:r w:rsidR="00761A37">
        <w:rPr>
          <w:sz w:val="20"/>
          <w:lang w:val="fr-FR"/>
        </w:rPr>
        <w:t>’</w:t>
      </w:r>
      <w:r w:rsidRPr="00A70D5E">
        <w:rPr>
          <w:sz w:val="20"/>
          <w:lang w:val="fr-FR"/>
        </w:rPr>
        <w:t>a communiquée. Elle peut être reproduite à des fins non commerciales, sous réserve que le titre de l</w:t>
      </w:r>
      <w:r w:rsidR="00761A37">
        <w:rPr>
          <w:sz w:val="20"/>
          <w:lang w:val="fr-FR"/>
        </w:rPr>
        <w:t>’</w:t>
      </w:r>
      <w:r w:rsidRPr="00A70D5E">
        <w:rPr>
          <w:sz w:val="20"/>
          <w:lang w:val="fr-FR"/>
        </w:rPr>
        <w:t>affaire soit cité en entier et s</w:t>
      </w:r>
      <w:r w:rsidR="00761A37">
        <w:rPr>
          <w:sz w:val="20"/>
          <w:lang w:val="fr-FR"/>
        </w:rPr>
        <w:t>’</w:t>
      </w:r>
      <w:r w:rsidRPr="00A70D5E">
        <w:rPr>
          <w:sz w:val="20"/>
          <w:lang w:val="fr-FR"/>
        </w:rPr>
        <w:t>accompagne de l</w:t>
      </w:r>
      <w:r w:rsidR="00761A37">
        <w:rPr>
          <w:sz w:val="20"/>
          <w:lang w:val="fr-FR"/>
        </w:rPr>
        <w:t>’</w:t>
      </w:r>
      <w:r w:rsidRPr="00A70D5E">
        <w:rPr>
          <w:sz w:val="20"/>
          <w:lang w:val="fr-FR"/>
        </w:rPr>
        <w:t>indication de copyright ci-dessus ainsi que de la référence au Fonds fiduciaire pour les droits de l</w:t>
      </w:r>
      <w:r w:rsidR="00761A37">
        <w:rPr>
          <w:sz w:val="20"/>
          <w:lang w:val="fr-FR"/>
        </w:rPr>
        <w:t>’</w:t>
      </w:r>
      <w:r w:rsidRPr="00A70D5E">
        <w:rPr>
          <w:sz w:val="20"/>
          <w:lang w:val="fr-FR"/>
        </w:rPr>
        <w:t>homme. Toute personne souhaitant se servir de tout ou partie de la présente traduction à des fins commerciales est invitée à le signaler à l</w:t>
      </w:r>
      <w:r w:rsidR="00761A37">
        <w:rPr>
          <w:sz w:val="20"/>
          <w:lang w:val="fr-FR"/>
        </w:rPr>
        <w:t>’</w:t>
      </w:r>
      <w:r w:rsidRPr="00A70D5E">
        <w:rPr>
          <w:sz w:val="20"/>
          <w:lang w:val="fr-FR"/>
        </w:rPr>
        <w:t xml:space="preserve">adresse suivante : </w:t>
      </w:r>
      <w:hyperlink w:tooltip="mailto:publishing@echr.coe.int" w:history="1" r:id="rId21">
        <w:r w:rsidRPr="00A70D5E">
          <w:rPr>
            <w:rStyle w:val="Hyperlink"/>
            <w:sz w:val="20"/>
            <w:lang w:val="fr-FR"/>
          </w:rPr>
          <w:t>publishing@echr.coe.int</w:t>
        </w:r>
      </w:hyperlink>
    </w:p>
    <w:p w:rsidRPr="00C61F0D" w:rsidR="00C61F0D" w:rsidP="00C61F0D" w:rsidRDefault="00C61F0D">
      <w:pPr>
        <w:pStyle w:val="JuPara"/>
        <w:rPr>
          <w:lang w:val="fr-FR"/>
        </w:rPr>
      </w:pPr>
    </w:p>
    <w:sectPr w:rsidRPr="00C61F0D" w:rsidR="00C61F0D" w:rsidSect="00910E44">
      <w:headerReference w:type="even" r:id="rId22"/>
      <w:headerReference w:type="default" r:id="rId23"/>
      <w:footerReference w:type="default" r:id="rId24"/>
      <w:footnotePr>
        <w:numRestart w:val="eachPage"/>
      </w:footnotePr>
      <w:pgSz w:w="11906" w:h="16838" w:code="9"/>
      <w:pgMar w:top="2274" w:right="2274" w:bottom="2274" w:left="2274" w:header="1701" w:footer="720" w:gutter="0"/>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6B3" w:rsidRDefault="00EA66B3">
      <w:r>
        <w:separator/>
      </w:r>
    </w:p>
  </w:endnote>
  <w:endnote w:type="continuationSeparator" w:id="0">
    <w:p w:rsidR="00EA66B3" w:rsidRDefault="00EA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B3" w:rsidRDefault="00EA66B3" w:rsidP="00EA66B3">
    <w:pPr>
      <w:pStyle w:val="Footer"/>
      <w:jc w:val="center"/>
    </w:pPr>
    <w:r w:rsidRPr="00DA1F81">
      <w:rPr>
        <w:noProof/>
        <w:sz w:val="4"/>
        <w:szCs w:val="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7" type="#_x0000_t75" alt="DocFooter-03" style="width:53.2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B3" w:rsidRDefault="00EA66B3" w:rsidP="00EA66B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6B3" w:rsidRDefault="00EA66B3">
      <w:r>
        <w:separator/>
      </w:r>
    </w:p>
  </w:footnote>
  <w:footnote w:type="continuationSeparator" w:id="0">
    <w:p w:rsidR="00EA66B3" w:rsidRDefault="00EA66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B3" w:rsidRDefault="00EA66B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39.5pt" fillcolor="window">
          <v:imagedata r:id="rId1"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B3" w:rsidRDefault="00EA66B3">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5pt;height:139.5pt" fillcolor="window">
          <v:imagedata r:id="rId1" o:title=""/>
        </v:shape>
      </w:pict>
    </w:r>
  </w:p>
  <w:p w:rsidR="00EA66B3" w:rsidRPr="00910E44" w:rsidRDefault="00EA66B3" w:rsidP="00910E44">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B3" w:rsidRPr="00761A37" w:rsidRDefault="00EA66B3" w:rsidP="00C61F0D">
    <w:pPr>
      <w:jc w:val="center"/>
      <w:rPr>
        <w:b/>
        <w:lang w:val="fr-FR"/>
      </w:rPr>
    </w:pPr>
    <w:r>
      <w:rPr>
        <w:rStyle w:val="PageNumber"/>
      </w:rPr>
      <w:fldChar w:fldCharType="begin"/>
    </w:r>
    <w:r>
      <w:rPr>
        <w:rStyle w:val="PageNumber"/>
      </w:rPr>
      <w:instrText xml:space="preserve"> PAGE </w:instrText>
    </w:r>
    <w:r>
      <w:rPr>
        <w:rStyle w:val="PageNumber"/>
      </w:rPr>
      <w:fldChar w:fldCharType="separate"/>
    </w:r>
    <w:r w:rsidR="00761A37">
      <w:rPr>
        <w:rStyle w:val="PageNumber"/>
        <w:noProof/>
      </w:rPr>
      <w:t>32</w:t>
    </w:r>
    <w:r>
      <w:rPr>
        <w:rStyle w:val="PageNumber"/>
      </w:rPr>
      <w:fldChar w:fldCharType="end"/>
    </w:r>
    <w:r>
      <w:tab/>
    </w:r>
    <w:r w:rsidR="00761A37">
      <w:tab/>
    </w:r>
    <w:r w:rsidR="00761A37" w:rsidRPr="00C61F0D">
      <w:rPr>
        <w:caps/>
        <w:lang w:val="uk-UA"/>
      </w:rPr>
      <w:t>справа</w:t>
    </w:r>
    <w:r w:rsidR="00761A37" w:rsidRPr="00C61F0D">
      <w:t xml:space="preserve"> JORGIC </w:t>
    </w:r>
    <w:r w:rsidR="00761A37" w:rsidRPr="00C61F0D">
      <w:rPr>
        <w:lang w:val="uk-UA"/>
      </w:rPr>
      <w:t>ПРОТИ НІМЕЧЧИНИ</w:t>
    </w:r>
    <w:r w:rsidR="00761A37">
      <w:rPr>
        <w:lang w:val="fr-FR"/>
      </w:rPr>
      <w:tab/>
    </w:r>
    <w:r w:rsidR="00761A37">
      <w:rPr>
        <w:lang w:val="fr-FR"/>
      </w:rPr>
      <w:tab/>
    </w:r>
  </w:p>
  <w:p w:rsidR="00EA66B3" w:rsidRDefault="00EA66B3">
    <w:pPr>
      <w:pStyle w:val="Ju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6B3" w:rsidRDefault="00761A37" w:rsidP="00761A37">
    <w:pPr>
      <w:jc w:val="center"/>
    </w:pPr>
    <w:r>
      <w:rPr>
        <w:caps/>
        <w:lang w:val="fr-FR"/>
      </w:rPr>
      <w:tab/>
    </w:r>
    <w:r>
      <w:rPr>
        <w:caps/>
        <w:lang w:val="fr-FR"/>
      </w:rPr>
      <w:tab/>
    </w:r>
    <w:r w:rsidR="00EA66B3" w:rsidRPr="00C61F0D">
      <w:rPr>
        <w:caps/>
        <w:lang w:val="uk-UA"/>
      </w:rPr>
      <w:t>справа</w:t>
    </w:r>
    <w:r w:rsidR="00EA66B3" w:rsidRPr="00C61F0D">
      <w:t xml:space="preserve"> JORGIC </w:t>
    </w:r>
    <w:r w:rsidR="00EA66B3" w:rsidRPr="00C61F0D">
      <w:rPr>
        <w:lang w:val="uk-UA"/>
      </w:rPr>
      <w:t>ПРОТИ</w:t>
    </w:r>
    <w:r w:rsidR="00EA66B3" w:rsidRPr="00C61F0D">
      <w:rPr>
        <w:lang w:val="uk-UA"/>
      </w:rPr>
      <w:t xml:space="preserve"> НІМЕЧЧИНИ</w:t>
    </w:r>
    <w:r>
      <w:rPr>
        <w:lang w:val="fr-FR"/>
      </w:rPr>
      <w:tab/>
    </w:r>
    <w:r w:rsidR="00EA66B3">
      <w:tab/>
    </w:r>
    <w:r w:rsidR="00EA66B3">
      <w:rPr>
        <w:rStyle w:val="PageNumber"/>
      </w:rPr>
      <w:fldChar w:fldCharType="begin"/>
    </w:r>
    <w:r w:rsidR="00EA66B3">
      <w:rPr>
        <w:rStyle w:val="PageNumber"/>
      </w:rPr>
      <w:instrText xml:space="preserve"> PAGE </w:instrText>
    </w:r>
    <w:r w:rsidR="00EA66B3">
      <w:rPr>
        <w:rStyle w:val="PageNumber"/>
      </w:rPr>
      <w:fldChar w:fldCharType="separate"/>
    </w:r>
    <w:r>
      <w:rPr>
        <w:rStyle w:val="PageNumber"/>
        <w:noProof/>
      </w:rPr>
      <w:t>33</w:t>
    </w:r>
    <w:r w:rsidR="00EA66B3">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940131"/>
    <w:multiLevelType w:val="multilevel"/>
    <w:tmpl w:val="6EF0708E"/>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611525FA"/>
    <w:multiLevelType w:val="hybridMultilevel"/>
    <w:tmpl w:val="F1F8699E"/>
    <w:lvl w:ilvl="0" w:tplc="0194C6C4">
      <w:start w:val="1"/>
      <w:numFmt w:val="lowerLetter"/>
      <w:lvlText w:val="(%1)"/>
      <w:lvlJc w:val="left"/>
      <w:pPr>
        <w:ind w:left="927" w:hanging="360"/>
      </w:pPr>
      <w:rPr>
        <w:rFonts w:hint="default"/>
        <w:color w:val="auto"/>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6"/>
  <w:hyphenationZone w:val="425"/>
  <w:evenAndOddHeaders/>
  <w:drawingGridHorizontalSpacing w:val="57"/>
  <w:displayHorizontalDrawingGridEvery w:val="0"/>
  <w:displayVerticalDrawingGridEvery w:val="0"/>
  <w:noPunctuationKerning/>
  <w:characterSpacingControl w:val="doNotCompress"/>
  <w:hdrShapeDefaults>
    <o:shapedefaults v:ext="edit" spidmax="3074"/>
  </w:hdrShapeDefaults>
  <w:footnotePr>
    <w:numRestart w:val="eachPage"/>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2174"/>
    <w:rsid w:val="00000ECB"/>
    <w:rsid w:val="00002774"/>
    <w:rsid w:val="000036D9"/>
    <w:rsid w:val="00004D10"/>
    <w:rsid w:val="00004DF7"/>
    <w:rsid w:val="00005FCE"/>
    <w:rsid w:val="00006473"/>
    <w:rsid w:val="00007473"/>
    <w:rsid w:val="00007B8D"/>
    <w:rsid w:val="00015C24"/>
    <w:rsid w:val="00017F13"/>
    <w:rsid w:val="00020159"/>
    <w:rsid w:val="00022397"/>
    <w:rsid w:val="000226BA"/>
    <w:rsid w:val="000228C8"/>
    <w:rsid w:val="000242D1"/>
    <w:rsid w:val="0002773C"/>
    <w:rsid w:val="00030B72"/>
    <w:rsid w:val="00036829"/>
    <w:rsid w:val="0004001C"/>
    <w:rsid w:val="00041EA8"/>
    <w:rsid w:val="00043338"/>
    <w:rsid w:val="0004498E"/>
    <w:rsid w:val="00045E52"/>
    <w:rsid w:val="00046642"/>
    <w:rsid w:val="00046D7A"/>
    <w:rsid w:val="0005038E"/>
    <w:rsid w:val="0005593E"/>
    <w:rsid w:val="00055AC1"/>
    <w:rsid w:val="0006104D"/>
    <w:rsid w:val="00061B70"/>
    <w:rsid w:val="000629D5"/>
    <w:rsid w:val="00062C4D"/>
    <w:rsid w:val="0006322F"/>
    <w:rsid w:val="00065FCB"/>
    <w:rsid w:val="00070EC1"/>
    <w:rsid w:val="00071AB1"/>
    <w:rsid w:val="000725B9"/>
    <w:rsid w:val="0007372D"/>
    <w:rsid w:val="000753FE"/>
    <w:rsid w:val="0007578B"/>
    <w:rsid w:val="00075C5A"/>
    <w:rsid w:val="00077EA3"/>
    <w:rsid w:val="0008190D"/>
    <w:rsid w:val="000831CD"/>
    <w:rsid w:val="000875AF"/>
    <w:rsid w:val="00090C82"/>
    <w:rsid w:val="0009370D"/>
    <w:rsid w:val="000937C9"/>
    <w:rsid w:val="00096052"/>
    <w:rsid w:val="000A0C2F"/>
    <w:rsid w:val="000A1165"/>
    <w:rsid w:val="000A1889"/>
    <w:rsid w:val="000A34CA"/>
    <w:rsid w:val="000A34FC"/>
    <w:rsid w:val="000A35E4"/>
    <w:rsid w:val="000A366C"/>
    <w:rsid w:val="000A3916"/>
    <w:rsid w:val="000A4C70"/>
    <w:rsid w:val="000B2EAF"/>
    <w:rsid w:val="000B3B5E"/>
    <w:rsid w:val="000B4C15"/>
    <w:rsid w:val="000C0324"/>
    <w:rsid w:val="000C3B94"/>
    <w:rsid w:val="000C3BF4"/>
    <w:rsid w:val="000C3F21"/>
    <w:rsid w:val="000C454E"/>
    <w:rsid w:val="000C5B30"/>
    <w:rsid w:val="000D1343"/>
    <w:rsid w:val="000D3104"/>
    <w:rsid w:val="000D3B9B"/>
    <w:rsid w:val="000D5932"/>
    <w:rsid w:val="000D6108"/>
    <w:rsid w:val="000D6DC2"/>
    <w:rsid w:val="000E0086"/>
    <w:rsid w:val="000E1449"/>
    <w:rsid w:val="000E2585"/>
    <w:rsid w:val="000E5545"/>
    <w:rsid w:val="000E60EB"/>
    <w:rsid w:val="000E651A"/>
    <w:rsid w:val="000E7D49"/>
    <w:rsid w:val="000F05B9"/>
    <w:rsid w:val="000F1FE7"/>
    <w:rsid w:val="000F3EEC"/>
    <w:rsid w:val="000F699D"/>
    <w:rsid w:val="000F6BEE"/>
    <w:rsid w:val="000F7180"/>
    <w:rsid w:val="00100030"/>
    <w:rsid w:val="001007AB"/>
    <w:rsid w:val="00101353"/>
    <w:rsid w:val="001026F9"/>
    <w:rsid w:val="00104AD1"/>
    <w:rsid w:val="001077D5"/>
    <w:rsid w:val="00113EF2"/>
    <w:rsid w:val="00115427"/>
    <w:rsid w:val="00115A9D"/>
    <w:rsid w:val="0011665B"/>
    <w:rsid w:val="00116C7C"/>
    <w:rsid w:val="00117B0A"/>
    <w:rsid w:val="00117F52"/>
    <w:rsid w:val="00120CF3"/>
    <w:rsid w:val="00121F09"/>
    <w:rsid w:val="00122174"/>
    <w:rsid w:val="001242EE"/>
    <w:rsid w:val="00125461"/>
    <w:rsid w:val="0012551C"/>
    <w:rsid w:val="00126862"/>
    <w:rsid w:val="00127FAD"/>
    <w:rsid w:val="001303CF"/>
    <w:rsid w:val="00133AEA"/>
    <w:rsid w:val="00137F4B"/>
    <w:rsid w:val="00142C04"/>
    <w:rsid w:val="00142FB2"/>
    <w:rsid w:val="00143BEB"/>
    <w:rsid w:val="00144A35"/>
    <w:rsid w:val="00145357"/>
    <w:rsid w:val="00145631"/>
    <w:rsid w:val="001475A4"/>
    <w:rsid w:val="001477E6"/>
    <w:rsid w:val="00147CFA"/>
    <w:rsid w:val="001536BB"/>
    <w:rsid w:val="00154867"/>
    <w:rsid w:val="00162079"/>
    <w:rsid w:val="00164A30"/>
    <w:rsid w:val="001661CB"/>
    <w:rsid w:val="00167787"/>
    <w:rsid w:val="001766EF"/>
    <w:rsid w:val="001769F7"/>
    <w:rsid w:val="00177EE6"/>
    <w:rsid w:val="0018140C"/>
    <w:rsid w:val="00181E36"/>
    <w:rsid w:val="00184035"/>
    <w:rsid w:val="0018473F"/>
    <w:rsid w:val="00185ABF"/>
    <w:rsid w:val="00187CC8"/>
    <w:rsid w:val="00190289"/>
    <w:rsid w:val="0019033C"/>
    <w:rsid w:val="001926D2"/>
    <w:rsid w:val="00192CB5"/>
    <w:rsid w:val="00194D51"/>
    <w:rsid w:val="00195882"/>
    <w:rsid w:val="00197BEF"/>
    <w:rsid w:val="00197C29"/>
    <w:rsid w:val="001A2C46"/>
    <w:rsid w:val="001A4911"/>
    <w:rsid w:val="001A51D8"/>
    <w:rsid w:val="001B0220"/>
    <w:rsid w:val="001B1DDD"/>
    <w:rsid w:val="001B1FF9"/>
    <w:rsid w:val="001B4F69"/>
    <w:rsid w:val="001B5333"/>
    <w:rsid w:val="001B5849"/>
    <w:rsid w:val="001B5B6D"/>
    <w:rsid w:val="001B62B1"/>
    <w:rsid w:val="001B790E"/>
    <w:rsid w:val="001C1A6C"/>
    <w:rsid w:val="001C1DD5"/>
    <w:rsid w:val="001C2023"/>
    <w:rsid w:val="001C2AA3"/>
    <w:rsid w:val="001C5772"/>
    <w:rsid w:val="001C5EBD"/>
    <w:rsid w:val="001C5F4A"/>
    <w:rsid w:val="001C6030"/>
    <w:rsid w:val="001D02AE"/>
    <w:rsid w:val="001D0457"/>
    <w:rsid w:val="001D5884"/>
    <w:rsid w:val="001E05AE"/>
    <w:rsid w:val="001E3C3E"/>
    <w:rsid w:val="001E499E"/>
    <w:rsid w:val="001E4C5F"/>
    <w:rsid w:val="001E51B1"/>
    <w:rsid w:val="001E61E8"/>
    <w:rsid w:val="001E70D7"/>
    <w:rsid w:val="001F5586"/>
    <w:rsid w:val="001F7A81"/>
    <w:rsid w:val="00202016"/>
    <w:rsid w:val="00202C03"/>
    <w:rsid w:val="002047AF"/>
    <w:rsid w:val="002100A6"/>
    <w:rsid w:val="0021407B"/>
    <w:rsid w:val="00222358"/>
    <w:rsid w:val="0022272F"/>
    <w:rsid w:val="00223C58"/>
    <w:rsid w:val="00223FBA"/>
    <w:rsid w:val="0022673E"/>
    <w:rsid w:val="00230027"/>
    <w:rsid w:val="002310FF"/>
    <w:rsid w:val="002336EC"/>
    <w:rsid w:val="00233850"/>
    <w:rsid w:val="002356D8"/>
    <w:rsid w:val="00236669"/>
    <w:rsid w:val="00237E3F"/>
    <w:rsid w:val="002409CF"/>
    <w:rsid w:val="002426E6"/>
    <w:rsid w:val="00243CD9"/>
    <w:rsid w:val="00244191"/>
    <w:rsid w:val="0024520D"/>
    <w:rsid w:val="002455FC"/>
    <w:rsid w:val="00252934"/>
    <w:rsid w:val="0025368C"/>
    <w:rsid w:val="002554AE"/>
    <w:rsid w:val="00256342"/>
    <w:rsid w:val="00256C98"/>
    <w:rsid w:val="00257190"/>
    <w:rsid w:val="00257363"/>
    <w:rsid w:val="0026020C"/>
    <w:rsid w:val="0026183F"/>
    <w:rsid w:val="002629FA"/>
    <w:rsid w:val="002640C9"/>
    <w:rsid w:val="00264C4B"/>
    <w:rsid w:val="0026638E"/>
    <w:rsid w:val="00267283"/>
    <w:rsid w:val="002676EE"/>
    <w:rsid w:val="00271A4B"/>
    <w:rsid w:val="002757C0"/>
    <w:rsid w:val="002771D0"/>
    <w:rsid w:val="002772B9"/>
    <w:rsid w:val="00280451"/>
    <w:rsid w:val="00280B70"/>
    <w:rsid w:val="00287355"/>
    <w:rsid w:val="00296C02"/>
    <w:rsid w:val="002A0EBB"/>
    <w:rsid w:val="002A2B66"/>
    <w:rsid w:val="002A45D5"/>
    <w:rsid w:val="002A524C"/>
    <w:rsid w:val="002A5A2D"/>
    <w:rsid w:val="002A6901"/>
    <w:rsid w:val="002A6ABE"/>
    <w:rsid w:val="002A6E87"/>
    <w:rsid w:val="002A74C7"/>
    <w:rsid w:val="002B03E4"/>
    <w:rsid w:val="002B069E"/>
    <w:rsid w:val="002B1A6C"/>
    <w:rsid w:val="002B30E5"/>
    <w:rsid w:val="002B5D81"/>
    <w:rsid w:val="002C0A64"/>
    <w:rsid w:val="002C1EDA"/>
    <w:rsid w:val="002C653D"/>
    <w:rsid w:val="002C710B"/>
    <w:rsid w:val="002C729D"/>
    <w:rsid w:val="002C7412"/>
    <w:rsid w:val="002D0976"/>
    <w:rsid w:val="002D0CC0"/>
    <w:rsid w:val="002D18FF"/>
    <w:rsid w:val="002D1945"/>
    <w:rsid w:val="002D5603"/>
    <w:rsid w:val="002D6685"/>
    <w:rsid w:val="002D68CD"/>
    <w:rsid w:val="002D7100"/>
    <w:rsid w:val="002D7D55"/>
    <w:rsid w:val="002E0980"/>
    <w:rsid w:val="002E3A98"/>
    <w:rsid w:val="002E494F"/>
    <w:rsid w:val="002E749D"/>
    <w:rsid w:val="002F2A28"/>
    <w:rsid w:val="002F3F01"/>
    <w:rsid w:val="002F47EB"/>
    <w:rsid w:val="002F5F94"/>
    <w:rsid w:val="002F621C"/>
    <w:rsid w:val="002F62CB"/>
    <w:rsid w:val="002F6FE9"/>
    <w:rsid w:val="00304BB4"/>
    <w:rsid w:val="0030696D"/>
    <w:rsid w:val="00307194"/>
    <w:rsid w:val="00307BBC"/>
    <w:rsid w:val="00310187"/>
    <w:rsid w:val="00312FE9"/>
    <w:rsid w:val="00313192"/>
    <w:rsid w:val="00313ED7"/>
    <w:rsid w:val="00316D75"/>
    <w:rsid w:val="003173C4"/>
    <w:rsid w:val="0032093A"/>
    <w:rsid w:val="003210A5"/>
    <w:rsid w:val="0032332F"/>
    <w:rsid w:val="00324695"/>
    <w:rsid w:val="00324EB4"/>
    <w:rsid w:val="0032557C"/>
    <w:rsid w:val="00325C2B"/>
    <w:rsid w:val="00330F9D"/>
    <w:rsid w:val="0033255A"/>
    <w:rsid w:val="00336887"/>
    <w:rsid w:val="00337193"/>
    <w:rsid w:val="0033727B"/>
    <w:rsid w:val="00337600"/>
    <w:rsid w:val="0034185E"/>
    <w:rsid w:val="00343669"/>
    <w:rsid w:val="00343946"/>
    <w:rsid w:val="003444E6"/>
    <w:rsid w:val="00350326"/>
    <w:rsid w:val="00350804"/>
    <w:rsid w:val="003520CB"/>
    <w:rsid w:val="00354724"/>
    <w:rsid w:val="00355A60"/>
    <w:rsid w:val="00356334"/>
    <w:rsid w:val="00360258"/>
    <w:rsid w:val="00360C04"/>
    <w:rsid w:val="003626AA"/>
    <w:rsid w:val="0036582F"/>
    <w:rsid w:val="0036601D"/>
    <w:rsid w:val="00366F59"/>
    <w:rsid w:val="0037227C"/>
    <w:rsid w:val="00375E83"/>
    <w:rsid w:val="0038026C"/>
    <w:rsid w:val="00383EDB"/>
    <w:rsid w:val="003844F3"/>
    <w:rsid w:val="0039085C"/>
    <w:rsid w:val="00391AC6"/>
    <w:rsid w:val="00394BA2"/>
    <w:rsid w:val="003A0EB3"/>
    <w:rsid w:val="003A1570"/>
    <w:rsid w:val="003A4E06"/>
    <w:rsid w:val="003A5592"/>
    <w:rsid w:val="003B0C98"/>
    <w:rsid w:val="003B1919"/>
    <w:rsid w:val="003B47BC"/>
    <w:rsid w:val="003B6520"/>
    <w:rsid w:val="003C1325"/>
    <w:rsid w:val="003C1400"/>
    <w:rsid w:val="003C1C74"/>
    <w:rsid w:val="003C2EA5"/>
    <w:rsid w:val="003C2ECB"/>
    <w:rsid w:val="003C369F"/>
    <w:rsid w:val="003C5762"/>
    <w:rsid w:val="003C58C8"/>
    <w:rsid w:val="003C59CD"/>
    <w:rsid w:val="003C669C"/>
    <w:rsid w:val="003C6A02"/>
    <w:rsid w:val="003C6E1E"/>
    <w:rsid w:val="003D1BAF"/>
    <w:rsid w:val="003D1CEF"/>
    <w:rsid w:val="003D200B"/>
    <w:rsid w:val="003D5BDA"/>
    <w:rsid w:val="003D6B36"/>
    <w:rsid w:val="003E3A3F"/>
    <w:rsid w:val="003E5D64"/>
    <w:rsid w:val="003F0ED7"/>
    <w:rsid w:val="003F3BFD"/>
    <w:rsid w:val="00401D57"/>
    <w:rsid w:val="00410E57"/>
    <w:rsid w:val="004111E0"/>
    <w:rsid w:val="00414E1E"/>
    <w:rsid w:val="004202E7"/>
    <w:rsid w:val="00421329"/>
    <w:rsid w:val="0042146B"/>
    <w:rsid w:val="0042259F"/>
    <w:rsid w:val="004231F9"/>
    <w:rsid w:val="0042340D"/>
    <w:rsid w:val="004273A4"/>
    <w:rsid w:val="004331C1"/>
    <w:rsid w:val="00433271"/>
    <w:rsid w:val="00433990"/>
    <w:rsid w:val="004350B3"/>
    <w:rsid w:val="00436CB4"/>
    <w:rsid w:val="004374A9"/>
    <w:rsid w:val="004409C9"/>
    <w:rsid w:val="0044226C"/>
    <w:rsid w:val="00443829"/>
    <w:rsid w:val="004444E8"/>
    <w:rsid w:val="0044502F"/>
    <w:rsid w:val="004453C5"/>
    <w:rsid w:val="00446BEC"/>
    <w:rsid w:val="004515B8"/>
    <w:rsid w:val="00451E02"/>
    <w:rsid w:val="0045312F"/>
    <w:rsid w:val="0045313F"/>
    <w:rsid w:val="004545A6"/>
    <w:rsid w:val="0045559F"/>
    <w:rsid w:val="00455D19"/>
    <w:rsid w:val="0045742D"/>
    <w:rsid w:val="004577F2"/>
    <w:rsid w:val="00457A18"/>
    <w:rsid w:val="004601B4"/>
    <w:rsid w:val="00460D49"/>
    <w:rsid w:val="00460FAD"/>
    <w:rsid w:val="004616C6"/>
    <w:rsid w:val="004621C5"/>
    <w:rsid w:val="0046227C"/>
    <w:rsid w:val="004670D3"/>
    <w:rsid w:val="00471534"/>
    <w:rsid w:val="00473EAE"/>
    <w:rsid w:val="00474684"/>
    <w:rsid w:val="004747F0"/>
    <w:rsid w:val="00474864"/>
    <w:rsid w:val="00474B99"/>
    <w:rsid w:val="00475417"/>
    <w:rsid w:val="00475A52"/>
    <w:rsid w:val="0047714E"/>
    <w:rsid w:val="00480F93"/>
    <w:rsid w:val="004812AB"/>
    <w:rsid w:val="00481826"/>
    <w:rsid w:val="00483AE1"/>
    <w:rsid w:val="00485644"/>
    <w:rsid w:val="0048567C"/>
    <w:rsid w:val="004902ED"/>
    <w:rsid w:val="0049655C"/>
    <w:rsid w:val="004A176D"/>
    <w:rsid w:val="004A1DA4"/>
    <w:rsid w:val="004A1E44"/>
    <w:rsid w:val="004A4511"/>
    <w:rsid w:val="004A464A"/>
    <w:rsid w:val="004A75E6"/>
    <w:rsid w:val="004A771D"/>
    <w:rsid w:val="004B0121"/>
    <w:rsid w:val="004B15AF"/>
    <w:rsid w:val="004B31D5"/>
    <w:rsid w:val="004B4596"/>
    <w:rsid w:val="004B472C"/>
    <w:rsid w:val="004B56F2"/>
    <w:rsid w:val="004B5A08"/>
    <w:rsid w:val="004C0CAA"/>
    <w:rsid w:val="004C2B07"/>
    <w:rsid w:val="004C3F5B"/>
    <w:rsid w:val="004C754B"/>
    <w:rsid w:val="004D40F1"/>
    <w:rsid w:val="004E096F"/>
    <w:rsid w:val="004E16AD"/>
    <w:rsid w:val="004E5DFC"/>
    <w:rsid w:val="004F012F"/>
    <w:rsid w:val="004F6BF0"/>
    <w:rsid w:val="00500EEB"/>
    <w:rsid w:val="005011C3"/>
    <w:rsid w:val="005046A5"/>
    <w:rsid w:val="00506963"/>
    <w:rsid w:val="00507737"/>
    <w:rsid w:val="00507C4B"/>
    <w:rsid w:val="00507C4E"/>
    <w:rsid w:val="00513FB4"/>
    <w:rsid w:val="00514234"/>
    <w:rsid w:val="00516EBF"/>
    <w:rsid w:val="0051790E"/>
    <w:rsid w:val="005232B3"/>
    <w:rsid w:val="0052358A"/>
    <w:rsid w:val="00524590"/>
    <w:rsid w:val="00526AD3"/>
    <w:rsid w:val="00530702"/>
    <w:rsid w:val="00532501"/>
    <w:rsid w:val="00532DCC"/>
    <w:rsid w:val="00543046"/>
    <w:rsid w:val="005431E9"/>
    <w:rsid w:val="00545F3A"/>
    <w:rsid w:val="00545F7A"/>
    <w:rsid w:val="00546F49"/>
    <w:rsid w:val="00547176"/>
    <w:rsid w:val="00550D14"/>
    <w:rsid w:val="00556FC2"/>
    <w:rsid w:val="005570B8"/>
    <w:rsid w:val="005602B9"/>
    <w:rsid w:val="00560815"/>
    <w:rsid w:val="00562799"/>
    <w:rsid w:val="00562B99"/>
    <w:rsid w:val="005666A2"/>
    <w:rsid w:val="005668DF"/>
    <w:rsid w:val="0056695A"/>
    <w:rsid w:val="0056771C"/>
    <w:rsid w:val="0056781C"/>
    <w:rsid w:val="00572B55"/>
    <w:rsid w:val="00577DC2"/>
    <w:rsid w:val="00577E6A"/>
    <w:rsid w:val="0058518F"/>
    <w:rsid w:val="005878B2"/>
    <w:rsid w:val="00587DC3"/>
    <w:rsid w:val="005903C8"/>
    <w:rsid w:val="00591893"/>
    <w:rsid w:val="00593427"/>
    <w:rsid w:val="00595B71"/>
    <w:rsid w:val="00595F5F"/>
    <w:rsid w:val="0059702A"/>
    <w:rsid w:val="005A1CB7"/>
    <w:rsid w:val="005A25E1"/>
    <w:rsid w:val="005A2C30"/>
    <w:rsid w:val="005A6001"/>
    <w:rsid w:val="005A607C"/>
    <w:rsid w:val="005A70D9"/>
    <w:rsid w:val="005A7CDF"/>
    <w:rsid w:val="005B0828"/>
    <w:rsid w:val="005B16A8"/>
    <w:rsid w:val="005B22BB"/>
    <w:rsid w:val="005B277D"/>
    <w:rsid w:val="005B2CF4"/>
    <w:rsid w:val="005B35D2"/>
    <w:rsid w:val="005B4233"/>
    <w:rsid w:val="005B50A1"/>
    <w:rsid w:val="005B6F91"/>
    <w:rsid w:val="005B7F0D"/>
    <w:rsid w:val="005C1929"/>
    <w:rsid w:val="005C20B6"/>
    <w:rsid w:val="005C4382"/>
    <w:rsid w:val="005C4625"/>
    <w:rsid w:val="005E37B0"/>
    <w:rsid w:val="005E384F"/>
    <w:rsid w:val="005E6E0C"/>
    <w:rsid w:val="005E709D"/>
    <w:rsid w:val="005F1BD7"/>
    <w:rsid w:val="005F2BA6"/>
    <w:rsid w:val="005F48D6"/>
    <w:rsid w:val="005F4905"/>
    <w:rsid w:val="005F6447"/>
    <w:rsid w:val="005F7554"/>
    <w:rsid w:val="006004D0"/>
    <w:rsid w:val="00603FEE"/>
    <w:rsid w:val="00611995"/>
    <w:rsid w:val="00611DAD"/>
    <w:rsid w:val="0061247A"/>
    <w:rsid w:val="0061555E"/>
    <w:rsid w:val="00615A20"/>
    <w:rsid w:val="0062162E"/>
    <w:rsid w:val="006264E0"/>
    <w:rsid w:val="00630C7E"/>
    <w:rsid w:val="006330AD"/>
    <w:rsid w:val="006335AD"/>
    <w:rsid w:val="00633DDF"/>
    <w:rsid w:val="0063423C"/>
    <w:rsid w:val="006372EE"/>
    <w:rsid w:val="00640B82"/>
    <w:rsid w:val="00642A6A"/>
    <w:rsid w:val="00642F48"/>
    <w:rsid w:val="00651891"/>
    <w:rsid w:val="00655126"/>
    <w:rsid w:val="00655E93"/>
    <w:rsid w:val="00660C1D"/>
    <w:rsid w:val="00661786"/>
    <w:rsid w:val="00662C32"/>
    <w:rsid w:val="00663FEC"/>
    <w:rsid w:val="006716F3"/>
    <w:rsid w:val="006718EE"/>
    <w:rsid w:val="00677AE0"/>
    <w:rsid w:val="00680FCF"/>
    <w:rsid w:val="00681421"/>
    <w:rsid w:val="00684DE2"/>
    <w:rsid w:val="00685848"/>
    <w:rsid w:val="00685D1F"/>
    <w:rsid w:val="00686351"/>
    <w:rsid w:val="006873B0"/>
    <w:rsid w:val="00687926"/>
    <w:rsid w:val="00690C10"/>
    <w:rsid w:val="00691CB2"/>
    <w:rsid w:val="00692B7A"/>
    <w:rsid w:val="006960F2"/>
    <w:rsid w:val="006A0CFD"/>
    <w:rsid w:val="006A16F9"/>
    <w:rsid w:val="006A28B1"/>
    <w:rsid w:val="006A68C2"/>
    <w:rsid w:val="006A6CEC"/>
    <w:rsid w:val="006A7DC9"/>
    <w:rsid w:val="006B1A4E"/>
    <w:rsid w:val="006B248A"/>
    <w:rsid w:val="006B3E55"/>
    <w:rsid w:val="006B4AFE"/>
    <w:rsid w:val="006B59A0"/>
    <w:rsid w:val="006B6F72"/>
    <w:rsid w:val="006C2B52"/>
    <w:rsid w:val="006C35C5"/>
    <w:rsid w:val="006C3A6C"/>
    <w:rsid w:val="006C3FC4"/>
    <w:rsid w:val="006D168E"/>
    <w:rsid w:val="006D36AF"/>
    <w:rsid w:val="006D45F7"/>
    <w:rsid w:val="006E2776"/>
    <w:rsid w:val="006E3A0F"/>
    <w:rsid w:val="006E7546"/>
    <w:rsid w:val="006F1816"/>
    <w:rsid w:val="006F2026"/>
    <w:rsid w:val="006F392A"/>
    <w:rsid w:val="006F425B"/>
    <w:rsid w:val="006F7DA8"/>
    <w:rsid w:val="00701115"/>
    <w:rsid w:val="00707A70"/>
    <w:rsid w:val="00714557"/>
    <w:rsid w:val="007146DA"/>
    <w:rsid w:val="00714EDD"/>
    <w:rsid w:val="00715555"/>
    <w:rsid w:val="007156E0"/>
    <w:rsid w:val="00715888"/>
    <w:rsid w:val="00716BD6"/>
    <w:rsid w:val="00717618"/>
    <w:rsid w:val="00720441"/>
    <w:rsid w:val="00721944"/>
    <w:rsid w:val="0072355D"/>
    <w:rsid w:val="00726591"/>
    <w:rsid w:val="00730053"/>
    <w:rsid w:val="00730433"/>
    <w:rsid w:val="0073046B"/>
    <w:rsid w:val="00730CB3"/>
    <w:rsid w:val="00731045"/>
    <w:rsid w:val="00732C86"/>
    <w:rsid w:val="007339DF"/>
    <w:rsid w:val="007343D6"/>
    <w:rsid w:val="0073478F"/>
    <w:rsid w:val="00734C48"/>
    <w:rsid w:val="00734E68"/>
    <w:rsid w:val="00736156"/>
    <w:rsid w:val="00736C86"/>
    <w:rsid w:val="007412E8"/>
    <w:rsid w:val="00747B29"/>
    <w:rsid w:val="00750F8B"/>
    <w:rsid w:val="00751A71"/>
    <w:rsid w:val="00752D02"/>
    <w:rsid w:val="00753A5D"/>
    <w:rsid w:val="00756D5B"/>
    <w:rsid w:val="00761A37"/>
    <w:rsid w:val="00765070"/>
    <w:rsid w:val="00766E79"/>
    <w:rsid w:val="00767B2F"/>
    <w:rsid w:val="00772E42"/>
    <w:rsid w:val="00773D39"/>
    <w:rsid w:val="0077451D"/>
    <w:rsid w:val="00782963"/>
    <w:rsid w:val="00782D21"/>
    <w:rsid w:val="00783037"/>
    <w:rsid w:val="007838C9"/>
    <w:rsid w:val="007851A5"/>
    <w:rsid w:val="00786A53"/>
    <w:rsid w:val="00787D53"/>
    <w:rsid w:val="00790281"/>
    <w:rsid w:val="0079684C"/>
    <w:rsid w:val="00797168"/>
    <w:rsid w:val="007A0654"/>
    <w:rsid w:val="007A153D"/>
    <w:rsid w:val="007A1FCC"/>
    <w:rsid w:val="007A4D6E"/>
    <w:rsid w:val="007A616F"/>
    <w:rsid w:val="007B315F"/>
    <w:rsid w:val="007B598C"/>
    <w:rsid w:val="007C1829"/>
    <w:rsid w:val="007C1CE3"/>
    <w:rsid w:val="007C2128"/>
    <w:rsid w:val="007C3394"/>
    <w:rsid w:val="007C452A"/>
    <w:rsid w:val="007C715E"/>
    <w:rsid w:val="007D0D75"/>
    <w:rsid w:val="007D1AD8"/>
    <w:rsid w:val="007D7ABA"/>
    <w:rsid w:val="007E0D3D"/>
    <w:rsid w:val="007E3E43"/>
    <w:rsid w:val="007E625D"/>
    <w:rsid w:val="007F0314"/>
    <w:rsid w:val="007F0793"/>
    <w:rsid w:val="007F2691"/>
    <w:rsid w:val="007F4C4C"/>
    <w:rsid w:val="007F597B"/>
    <w:rsid w:val="008009B0"/>
    <w:rsid w:val="008027A1"/>
    <w:rsid w:val="00806E5F"/>
    <w:rsid w:val="0081406D"/>
    <w:rsid w:val="008149C8"/>
    <w:rsid w:val="00814D19"/>
    <w:rsid w:val="00814D3E"/>
    <w:rsid w:val="008150DD"/>
    <w:rsid w:val="00815A86"/>
    <w:rsid w:val="00821A0E"/>
    <w:rsid w:val="00821A3E"/>
    <w:rsid w:val="00822957"/>
    <w:rsid w:val="00823A9C"/>
    <w:rsid w:val="008247A3"/>
    <w:rsid w:val="00826CA6"/>
    <w:rsid w:val="008304F0"/>
    <w:rsid w:val="008334C3"/>
    <w:rsid w:val="00833868"/>
    <w:rsid w:val="00833934"/>
    <w:rsid w:val="008340D7"/>
    <w:rsid w:val="008346ED"/>
    <w:rsid w:val="00835617"/>
    <w:rsid w:val="0084161E"/>
    <w:rsid w:val="00841D0F"/>
    <w:rsid w:val="00846856"/>
    <w:rsid w:val="00850076"/>
    <w:rsid w:val="00851381"/>
    <w:rsid w:val="00851B86"/>
    <w:rsid w:val="008524AB"/>
    <w:rsid w:val="00854019"/>
    <w:rsid w:val="008542AE"/>
    <w:rsid w:val="008552D6"/>
    <w:rsid w:val="008566B8"/>
    <w:rsid w:val="008606D0"/>
    <w:rsid w:val="00871D81"/>
    <w:rsid w:val="008723B4"/>
    <w:rsid w:val="00872996"/>
    <w:rsid w:val="008804BA"/>
    <w:rsid w:val="00880F98"/>
    <w:rsid w:val="00880F9A"/>
    <w:rsid w:val="0088315D"/>
    <w:rsid w:val="00886BB5"/>
    <w:rsid w:val="00890ECA"/>
    <w:rsid w:val="00891891"/>
    <w:rsid w:val="00895E2E"/>
    <w:rsid w:val="0089759B"/>
    <w:rsid w:val="008A3D4E"/>
    <w:rsid w:val="008A5C39"/>
    <w:rsid w:val="008A7BED"/>
    <w:rsid w:val="008C1EFC"/>
    <w:rsid w:val="008C3303"/>
    <w:rsid w:val="008C420B"/>
    <w:rsid w:val="008C43F0"/>
    <w:rsid w:val="008C6F68"/>
    <w:rsid w:val="008D2021"/>
    <w:rsid w:val="008D2026"/>
    <w:rsid w:val="008D30D8"/>
    <w:rsid w:val="008D342E"/>
    <w:rsid w:val="008D426A"/>
    <w:rsid w:val="008D73B4"/>
    <w:rsid w:val="008E05A3"/>
    <w:rsid w:val="008E0A26"/>
    <w:rsid w:val="008F23BF"/>
    <w:rsid w:val="008F2444"/>
    <w:rsid w:val="008F6C1B"/>
    <w:rsid w:val="008F7372"/>
    <w:rsid w:val="009000DB"/>
    <w:rsid w:val="009015B5"/>
    <w:rsid w:val="00901ACA"/>
    <w:rsid w:val="009031CA"/>
    <w:rsid w:val="00910E44"/>
    <w:rsid w:val="00911C4D"/>
    <w:rsid w:val="00912FA4"/>
    <w:rsid w:val="00921540"/>
    <w:rsid w:val="009219D7"/>
    <w:rsid w:val="00924033"/>
    <w:rsid w:val="00924096"/>
    <w:rsid w:val="0093045A"/>
    <w:rsid w:val="00931F9A"/>
    <w:rsid w:val="00934A6A"/>
    <w:rsid w:val="00936D2F"/>
    <w:rsid w:val="00937D48"/>
    <w:rsid w:val="0094092B"/>
    <w:rsid w:val="009417E1"/>
    <w:rsid w:val="00941844"/>
    <w:rsid w:val="0094239F"/>
    <w:rsid w:val="00942C93"/>
    <w:rsid w:val="00945DAE"/>
    <w:rsid w:val="00946A64"/>
    <w:rsid w:val="00952A03"/>
    <w:rsid w:val="00953CC6"/>
    <w:rsid w:val="00953D8C"/>
    <w:rsid w:val="00954973"/>
    <w:rsid w:val="009617B9"/>
    <w:rsid w:val="00962042"/>
    <w:rsid w:val="00962866"/>
    <w:rsid w:val="00962899"/>
    <w:rsid w:val="009637B1"/>
    <w:rsid w:val="00964CA0"/>
    <w:rsid w:val="00965BD4"/>
    <w:rsid w:val="00965DC8"/>
    <w:rsid w:val="00966D65"/>
    <w:rsid w:val="009679E2"/>
    <w:rsid w:val="009700C2"/>
    <w:rsid w:val="0097017E"/>
    <w:rsid w:val="0097037F"/>
    <w:rsid w:val="00970687"/>
    <w:rsid w:val="00970740"/>
    <w:rsid w:val="00971A43"/>
    <w:rsid w:val="00972A1D"/>
    <w:rsid w:val="00974E20"/>
    <w:rsid w:val="0097684C"/>
    <w:rsid w:val="00980E40"/>
    <w:rsid w:val="009810F1"/>
    <w:rsid w:val="00981BF5"/>
    <w:rsid w:val="00984786"/>
    <w:rsid w:val="00985685"/>
    <w:rsid w:val="0098726D"/>
    <w:rsid w:val="0098743B"/>
    <w:rsid w:val="00987E2E"/>
    <w:rsid w:val="00990EB2"/>
    <w:rsid w:val="009931D4"/>
    <w:rsid w:val="00993573"/>
    <w:rsid w:val="00993C64"/>
    <w:rsid w:val="0099409D"/>
    <w:rsid w:val="00994CE9"/>
    <w:rsid w:val="00995F44"/>
    <w:rsid w:val="00997E92"/>
    <w:rsid w:val="009A033F"/>
    <w:rsid w:val="009A2F51"/>
    <w:rsid w:val="009A5896"/>
    <w:rsid w:val="009A5ADC"/>
    <w:rsid w:val="009A6AAF"/>
    <w:rsid w:val="009B039E"/>
    <w:rsid w:val="009B08B9"/>
    <w:rsid w:val="009B10F1"/>
    <w:rsid w:val="009B2A3B"/>
    <w:rsid w:val="009B2A55"/>
    <w:rsid w:val="009B2DE7"/>
    <w:rsid w:val="009B2F93"/>
    <w:rsid w:val="009B6082"/>
    <w:rsid w:val="009B7C1E"/>
    <w:rsid w:val="009C1E88"/>
    <w:rsid w:val="009C2A9D"/>
    <w:rsid w:val="009C2CDA"/>
    <w:rsid w:val="009C35DF"/>
    <w:rsid w:val="009C3F1D"/>
    <w:rsid w:val="009C5737"/>
    <w:rsid w:val="009C7173"/>
    <w:rsid w:val="009D4A91"/>
    <w:rsid w:val="009D5091"/>
    <w:rsid w:val="009D56BF"/>
    <w:rsid w:val="009D7BC9"/>
    <w:rsid w:val="009E0653"/>
    <w:rsid w:val="009E1975"/>
    <w:rsid w:val="009E1D35"/>
    <w:rsid w:val="009E2DE3"/>
    <w:rsid w:val="009E5F28"/>
    <w:rsid w:val="009E69E5"/>
    <w:rsid w:val="009E7217"/>
    <w:rsid w:val="009F16B9"/>
    <w:rsid w:val="009F222B"/>
    <w:rsid w:val="009F3001"/>
    <w:rsid w:val="009F3754"/>
    <w:rsid w:val="009F5222"/>
    <w:rsid w:val="009F5625"/>
    <w:rsid w:val="00A00807"/>
    <w:rsid w:val="00A01201"/>
    <w:rsid w:val="00A032E9"/>
    <w:rsid w:val="00A03A1C"/>
    <w:rsid w:val="00A03B1D"/>
    <w:rsid w:val="00A03BEA"/>
    <w:rsid w:val="00A11639"/>
    <w:rsid w:val="00A12BBE"/>
    <w:rsid w:val="00A12E72"/>
    <w:rsid w:val="00A13327"/>
    <w:rsid w:val="00A16AFE"/>
    <w:rsid w:val="00A22414"/>
    <w:rsid w:val="00A22B6B"/>
    <w:rsid w:val="00A23799"/>
    <w:rsid w:val="00A262CA"/>
    <w:rsid w:val="00A26D70"/>
    <w:rsid w:val="00A26FD7"/>
    <w:rsid w:val="00A30A96"/>
    <w:rsid w:val="00A34DE1"/>
    <w:rsid w:val="00A400F6"/>
    <w:rsid w:val="00A4043D"/>
    <w:rsid w:val="00A409FE"/>
    <w:rsid w:val="00A41B4F"/>
    <w:rsid w:val="00A429E3"/>
    <w:rsid w:val="00A4646A"/>
    <w:rsid w:val="00A5060C"/>
    <w:rsid w:val="00A5331A"/>
    <w:rsid w:val="00A55BF8"/>
    <w:rsid w:val="00A5682E"/>
    <w:rsid w:val="00A622E5"/>
    <w:rsid w:val="00A6285E"/>
    <w:rsid w:val="00A66CD4"/>
    <w:rsid w:val="00A72672"/>
    <w:rsid w:val="00A743C8"/>
    <w:rsid w:val="00A76A2F"/>
    <w:rsid w:val="00A76C8A"/>
    <w:rsid w:val="00A819FA"/>
    <w:rsid w:val="00A824CC"/>
    <w:rsid w:val="00A85C85"/>
    <w:rsid w:val="00A904B2"/>
    <w:rsid w:val="00A9192D"/>
    <w:rsid w:val="00A92EE4"/>
    <w:rsid w:val="00AA0887"/>
    <w:rsid w:val="00AA1452"/>
    <w:rsid w:val="00AA32D6"/>
    <w:rsid w:val="00AA3741"/>
    <w:rsid w:val="00AA3946"/>
    <w:rsid w:val="00AA3D03"/>
    <w:rsid w:val="00AA5305"/>
    <w:rsid w:val="00AA64B5"/>
    <w:rsid w:val="00AA7864"/>
    <w:rsid w:val="00AA7D0D"/>
    <w:rsid w:val="00AB05F9"/>
    <w:rsid w:val="00AB09D7"/>
    <w:rsid w:val="00AB13D2"/>
    <w:rsid w:val="00AB2166"/>
    <w:rsid w:val="00AB3117"/>
    <w:rsid w:val="00AB394B"/>
    <w:rsid w:val="00AB3D68"/>
    <w:rsid w:val="00AC1C5D"/>
    <w:rsid w:val="00AC2614"/>
    <w:rsid w:val="00AC388A"/>
    <w:rsid w:val="00AC5935"/>
    <w:rsid w:val="00AC5BE8"/>
    <w:rsid w:val="00AD037A"/>
    <w:rsid w:val="00AD2441"/>
    <w:rsid w:val="00AD27A9"/>
    <w:rsid w:val="00AD2988"/>
    <w:rsid w:val="00AD2F21"/>
    <w:rsid w:val="00AD66D4"/>
    <w:rsid w:val="00AE06A4"/>
    <w:rsid w:val="00AE072A"/>
    <w:rsid w:val="00AE0E6C"/>
    <w:rsid w:val="00AE18AC"/>
    <w:rsid w:val="00AE28CC"/>
    <w:rsid w:val="00AE29D9"/>
    <w:rsid w:val="00AE2F4F"/>
    <w:rsid w:val="00AE38B3"/>
    <w:rsid w:val="00AE4641"/>
    <w:rsid w:val="00AE4E57"/>
    <w:rsid w:val="00AE6A46"/>
    <w:rsid w:val="00AF0416"/>
    <w:rsid w:val="00AF0D90"/>
    <w:rsid w:val="00AF14D3"/>
    <w:rsid w:val="00AF25A3"/>
    <w:rsid w:val="00AF4BC8"/>
    <w:rsid w:val="00AF6207"/>
    <w:rsid w:val="00B00BF3"/>
    <w:rsid w:val="00B02560"/>
    <w:rsid w:val="00B03282"/>
    <w:rsid w:val="00B0604D"/>
    <w:rsid w:val="00B07082"/>
    <w:rsid w:val="00B111DA"/>
    <w:rsid w:val="00B11331"/>
    <w:rsid w:val="00B144FA"/>
    <w:rsid w:val="00B14A5B"/>
    <w:rsid w:val="00B14AF4"/>
    <w:rsid w:val="00B1508A"/>
    <w:rsid w:val="00B158E6"/>
    <w:rsid w:val="00B17B82"/>
    <w:rsid w:val="00B24224"/>
    <w:rsid w:val="00B248D0"/>
    <w:rsid w:val="00B25280"/>
    <w:rsid w:val="00B31632"/>
    <w:rsid w:val="00B34D3B"/>
    <w:rsid w:val="00B40E7B"/>
    <w:rsid w:val="00B42AAA"/>
    <w:rsid w:val="00B43D80"/>
    <w:rsid w:val="00B43EDF"/>
    <w:rsid w:val="00B45C11"/>
    <w:rsid w:val="00B45E56"/>
    <w:rsid w:val="00B51CF2"/>
    <w:rsid w:val="00B54116"/>
    <w:rsid w:val="00B55F1A"/>
    <w:rsid w:val="00B561F5"/>
    <w:rsid w:val="00B60861"/>
    <w:rsid w:val="00B62174"/>
    <w:rsid w:val="00B6264D"/>
    <w:rsid w:val="00B631B2"/>
    <w:rsid w:val="00B64488"/>
    <w:rsid w:val="00B65F09"/>
    <w:rsid w:val="00B66CF5"/>
    <w:rsid w:val="00B6763B"/>
    <w:rsid w:val="00B71FF2"/>
    <w:rsid w:val="00B7521E"/>
    <w:rsid w:val="00B77646"/>
    <w:rsid w:val="00B77F3F"/>
    <w:rsid w:val="00B77F57"/>
    <w:rsid w:val="00B82640"/>
    <w:rsid w:val="00B862D7"/>
    <w:rsid w:val="00B87B54"/>
    <w:rsid w:val="00B914FD"/>
    <w:rsid w:val="00B91667"/>
    <w:rsid w:val="00B918D3"/>
    <w:rsid w:val="00B93380"/>
    <w:rsid w:val="00B971CA"/>
    <w:rsid w:val="00BA0A87"/>
    <w:rsid w:val="00BA1AFF"/>
    <w:rsid w:val="00BA4859"/>
    <w:rsid w:val="00BA77B5"/>
    <w:rsid w:val="00BB1117"/>
    <w:rsid w:val="00BB3021"/>
    <w:rsid w:val="00BB3CBB"/>
    <w:rsid w:val="00BB50BD"/>
    <w:rsid w:val="00BB711D"/>
    <w:rsid w:val="00BC0CF3"/>
    <w:rsid w:val="00BC1C91"/>
    <w:rsid w:val="00BC2107"/>
    <w:rsid w:val="00BC477B"/>
    <w:rsid w:val="00BC4A25"/>
    <w:rsid w:val="00BC6367"/>
    <w:rsid w:val="00BC64CB"/>
    <w:rsid w:val="00BD2864"/>
    <w:rsid w:val="00BD477F"/>
    <w:rsid w:val="00BD4EF8"/>
    <w:rsid w:val="00BD5EF1"/>
    <w:rsid w:val="00BE23CA"/>
    <w:rsid w:val="00BE40AE"/>
    <w:rsid w:val="00BE50FE"/>
    <w:rsid w:val="00BE5958"/>
    <w:rsid w:val="00BE6B36"/>
    <w:rsid w:val="00BF16ED"/>
    <w:rsid w:val="00BF512E"/>
    <w:rsid w:val="00C01189"/>
    <w:rsid w:val="00C0339B"/>
    <w:rsid w:val="00C04E35"/>
    <w:rsid w:val="00C07477"/>
    <w:rsid w:val="00C12163"/>
    <w:rsid w:val="00C12995"/>
    <w:rsid w:val="00C12FB9"/>
    <w:rsid w:val="00C1342A"/>
    <w:rsid w:val="00C1362C"/>
    <w:rsid w:val="00C14A7D"/>
    <w:rsid w:val="00C23501"/>
    <w:rsid w:val="00C24FF5"/>
    <w:rsid w:val="00C25342"/>
    <w:rsid w:val="00C25987"/>
    <w:rsid w:val="00C27EF9"/>
    <w:rsid w:val="00C30197"/>
    <w:rsid w:val="00C30671"/>
    <w:rsid w:val="00C31C06"/>
    <w:rsid w:val="00C32C34"/>
    <w:rsid w:val="00C36D9E"/>
    <w:rsid w:val="00C4020C"/>
    <w:rsid w:val="00C41D0B"/>
    <w:rsid w:val="00C420EB"/>
    <w:rsid w:val="00C42D92"/>
    <w:rsid w:val="00C43314"/>
    <w:rsid w:val="00C44C4E"/>
    <w:rsid w:val="00C454E4"/>
    <w:rsid w:val="00C46773"/>
    <w:rsid w:val="00C46853"/>
    <w:rsid w:val="00C53FF9"/>
    <w:rsid w:val="00C551CB"/>
    <w:rsid w:val="00C5688C"/>
    <w:rsid w:val="00C61F0D"/>
    <w:rsid w:val="00C642AB"/>
    <w:rsid w:val="00C65ADD"/>
    <w:rsid w:val="00C662C7"/>
    <w:rsid w:val="00C70169"/>
    <w:rsid w:val="00C70D68"/>
    <w:rsid w:val="00C737A4"/>
    <w:rsid w:val="00C77E7C"/>
    <w:rsid w:val="00C81CD2"/>
    <w:rsid w:val="00C82223"/>
    <w:rsid w:val="00C84507"/>
    <w:rsid w:val="00C852CB"/>
    <w:rsid w:val="00C8736B"/>
    <w:rsid w:val="00C9182C"/>
    <w:rsid w:val="00C9305D"/>
    <w:rsid w:val="00C9481E"/>
    <w:rsid w:val="00C948E7"/>
    <w:rsid w:val="00C953A8"/>
    <w:rsid w:val="00C95D87"/>
    <w:rsid w:val="00C96F04"/>
    <w:rsid w:val="00CA053E"/>
    <w:rsid w:val="00CA10D7"/>
    <w:rsid w:val="00CA1841"/>
    <w:rsid w:val="00CA2EB3"/>
    <w:rsid w:val="00CA415B"/>
    <w:rsid w:val="00CA4DE2"/>
    <w:rsid w:val="00CA5471"/>
    <w:rsid w:val="00CA5D97"/>
    <w:rsid w:val="00CA6333"/>
    <w:rsid w:val="00CA72D0"/>
    <w:rsid w:val="00CB046A"/>
    <w:rsid w:val="00CB2345"/>
    <w:rsid w:val="00CB5B73"/>
    <w:rsid w:val="00CB6C54"/>
    <w:rsid w:val="00CC21C1"/>
    <w:rsid w:val="00CC3BDE"/>
    <w:rsid w:val="00CD307D"/>
    <w:rsid w:val="00CD488D"/>
    <w:rsid w:val="00CD531D"/>
    <w:rsid w:val="00CD5D90"/>
    <w:rsid w:val="00CD7AEC"/>
    <w:rsid w:val="00CE1B76"/>
    <w:rsid w:val="00CE1C9D"/>
    <w:rsid w:val="00CE45FF"/>
    <w:rsid w:val="00CE7605"/>
    <w:rsid w:val="00CF05ED"/>
    <w:rsid w:val="00CF0D8F"/>
    <w:rsid w:val="00CF5086"/>
    <w:rsid w:val="00CF583E"/>
    <w:rsid w:val="00D0064D"/>
    <w:rsid w:val="00D00FCC"/>
    <w:rsid w:val="00D01FCA"/>
    <w:rsid w:val="00D0217D"/>
    <w:rsid w:val="00D05E0F"/>
    <w:rsid w:val="00D068DF"/>
    <w:rsid w:val="00D100B3"/>
    <w:rsid w:val="00D115B3"/>
    <w:rsid w:val="00D1185B"/>
    <w:rsid w:val="00D11C07"/>
    <w:rsid w:val="00D13CED"/>
    <w:rsid w:val="00D14C9A"/>
    <w:rsid w:val="00D1653E"/>
    <w:rsid w:val="00D17397"/>
    <w:rsid w:val="00D22117"/>
    <w:rsid w:val="00D228A8"/>
    <w:rsid w:val="00D229DC"/>
    <w:rsid w:val="00D23575"/>
    <w:rsid w:val="00D2482C"/>
    <w:rsid w:val="00D25E87"/>
    <w:rsid w:val="00D270CF"/>
    <w:rsid w:val="00D27634"/>
    <w:rsid w:val="00D27F98"/>
    <w:rsid w:val="00D3263A"/>
    <w:rsid w:val="00D32E7B"/>
    <w:rsid w:val="00D33556"/>
    <w:rsid w:val="00D33E0F"/>
    <w:rsid w:val="00D353F4"/>
    <w:rsid w:val="00D357B5"/>
    <w:rsid w:val="00D3732B"/>
    <w:rsid w:val="00D40CDF"/>
    <w:rsid w:val="00D52A31"/>
    <w:rsid w:val="00D54A0D"/>
    <w:rsid w:val="00D57049"/>
    <w:rsid w:val="00D62847"/>
    <w:rsid w:val="00D63548"/>
    <w:rsid w:val="00D644DD"/>
    <w:rsid w:val="00D66286"/>
    <w:rsid w:val="00D667C2"/>
    <w:rsid w:val="00D67021"/>
    <w:rsid w:val="00D7067F"/>
    <w:rsid w:val="00D72CD5"/>
    <w:rsid w:val="00D732B3"/>
    <w:rsid w:val="00D75010"/>
    <w:rsid w:val="00D75C5C"/>
    <w:rsid w:val="00D76C06"/>
    <w:rsid w:val="00D76CE5"/>
    <w:rsid w:val="00D84462"/>
    <w:rsid w:val="00D86731"/>
    <w:rsid w:val="00D87D77"/>
    <w:rsid w:val="00D9031E"/>
    <w:rsid w:val="00D90484"/>
    <w:rsid w:val="00D90810"/>
    <w:rsid w:val="00D90983"/>
    <w:rsid w:val="00D94693"/>
    <w:rsid w:val="00D94CEF"/>
    <w:rsid w:val="00D96104"/>
    <w:rsid w:val="00DA38B2"/>
    <w:rsid w:val="00DA3D07"/>
    <w:rsid w:val="00DA4887"/>
    <w:rsid w:val="00DA6730"/>
    <w:rsid w:val="00DB07B4"/>
    <w:rsid w:val="00DB3579"/>
    <w:rsid w:val="00DB6D67"/>
    <w:rsid w:val="00DB7178"/>
    <w:rsid w:val="00DB7625"/>
    <w:rsid w:val="00DC03E0"/>
    <w:rsid w:val="00DC18C1"/>
    <w:rsid w:val="00DC1AF4"/>
    <w:rsid w:val="00DC2093"/>
    <w:rsid w:val="00DC4A69"/>
    <w:rsid w:val="00DC57D6"/>
    <w:rsid w:val="00DC5C22"/>
    <w:rsid w:val="00DC634E"/>
    <w:rsid w:val="00DD1977"/>
    <w:rsid w:val="00DD46F8"/>
    <w:rsid w:val="00DD7544"/>
    <w:rsid w:val="00DD75CD"/>
    <w:rsid w:val="00DE1598"/>
    <w:rsid w:val="00DE2746"/>
    <w:rsid w:val="00DE30EC"/>
    <w:rsid w:val="00DE5E8F"/>
    <w:rsid w:val="00DE7E49"/>
    <w:rsid w:val="00DF3373"/>
    <w:rsid w:val="00DF3B11"/>
    <w:rsid w:val="00DF47C6"/>
    <w:rsid w:val="00DF4BAA"/>
    <w:rsid w:val="00DF5D0B"/>
    <w:rsid w:val="00E011FE"/>
    <w:rsid w:val="00E03B9F"/>
    <w:rsid w:val="00E063C3"/>
    <w:rsid w:val="00E065A2"/>
    <w:rsid w:val="00E12D7C"/>
    <w:rsid w:val="00E12DF4"/>
    <w:rsid w:val="00E13EA5"/>
    <w:rsid w:val="00E14BB0"/>
    <w:rsid w:val="00E15E41"/>
    <w:rsid w:val="00E16651"/>
    <w:rsid w:val="00E16747"/>
    <w:rsid w:val="00E168C4"/>
    <w:rsid w:val="00E1758B"/>
    <w:rsid w:val="00E205F8"/>
    <w:rsid w:val="00E21EB6"/>
    <w:rsid w:val="00E22D69"/>
    <w:rsid w:val="00E23107"/>
    <w:rsid w:val="00E260C1"/>
    <w:rsid w:val="00E305AD"/>
    <w:rsid w:val="00E34D54"/>
    <w:rsid w:val="00E36366"/>
    <w:rsid w:val="00E41C1A"/>
    <w:rsid w:val="00E42B25"/>
    <w:rsid w:val="00E44340"/>
    <w:rsid w:val="00E45299"/>
    <w:rsid w:val="00E50ACC"/>
    <w:rsid w:val="00E50DA6"/>
    <w:rsid w:val="00E510E6"/>
    <w:rsid w:val="00E5252F"/>
    <w:rsid w:val="00E525D6"/>
    <w:rsid w:val="00E54015"/>
    <w:rsid w:val="00E6245B"/>
    <w:rsid w:val="00E62FB9"/>
    <w:rsid w:val="00E71E63"/>
    <w:rsid w:val="00E72281"/>
    <w:rsid w:val="00E80088"/>
    <w:rsid w:val="00E82C9A"/>
    <w:rsid w:val="00E83B4D"/>
    <w:rsid w:val="00E84F29"/>
    <w:rsid w:val="00E909FE"/>
    <w:rsid w:val="00E9259A"/>
    <w:rsid w:val="00E95F0D"/>
    <w:rsid w:val="00E961D6"/>
    <w:rsid w:val="00E96932"/>
    <w:rsid w:val="00E9734E"/>
    <w:rsid w:val="00E9780B"/>
    <w:rsid w:val="00EA074F"/>
    <w:rsid w:val="00EA0FF2"/>
    <w:rsid w:val="00EA3D37"/>
    <w:rsid w:val="00EA4847"/>
    <w:rsid w:val="00EA4DB4"/>
    <w:rsid w:val="00EA568A"/>
    <w:rsid w:val="00EA66B3"/>
    <w:rsid w:val="00EB1476"/>
    <w:rsid w:val="00EB346D"/>
    <w:rsid w:val="00EB367C"/>
    <w:rsid w:val="00EB56FA"/>
    <w:rsid w:val="00EB5A28"/>
    <w:rsid w:val="00EB75E0"/>
    <w:rsid w:val="00EC0298"/>
    <w:rsid w:val="00EC0E8E"/>
    <w:rsid w:val="00EC5CA0"/>
    <w:rsid w:val="00EC6069"/>
    <w:rsid w:val="00EC7328"/>
    <w:rsid w:val="00ED10D4"/>
    <w:rsid w:val="00ED10E8"/>
    <w:rsid w:val="00ED12C3"/>
    <w:rsid w:val="00ED373C"/>
    <w:rsid w:val="00ED5BFC"/>
    <w:rsid w:val="00EE0788"/>
    <w:rsid w:val="00EE41F9"/>
    <w:rsid w:val="00EE47FF"/>
    <w:rsid w:val="00EE7911"/>
    <w:rsid w:val="00EF051D"/>
    <w:rsid w:val="00EF11D2"/>
    <w:rsid w:val="00EF1FB9"/>
    <w:rsid w:val="00EF2384"/>
    <w:rsid w:val="00EF39F7"/>
    <w:rsid w:val="00EF48E2"/>
    <w:rsid w:val="00F003FF"/>
    <w:rsid w:val="00F00EE6"/>
    <w:rsid w:val="00F0151B"/>
    <w:rsid w:val="00F024DF"/>
    <w:rsid w:val="00F055E2"/>
    <w:rsid w:val="00F12026"/>
    <w:rsid w:val="00F16C52"/>
    <w:rsid w:val="00F17739"/>
    <w:rsid w:val="00F22A51"/>
    <w:rsid w:val="00F2501A"/>
    <w:rsid w:val="00F25090"/>
    <w:rsid w:val="00F25BFC"/>
    <w:rsid w:val="00F2727D"/>
    <w:rsid w:val="00F27545"/>
    <w:rsid w:val="00F334CE"/>
    <w:rsid w:val="00F400B0"/>
    <w:rsid w:val="00F40C57"/>
    <w:rsid w:val="00F42FF8"/>
    <w:rsid w:val="00F5064E"/>
    <w:rsid w:val="00F51949"/>
    <w:rsid w:val="00F532E8"/>
    <w:rsid w:val="00F5356E"/>
    <w:rsid w:val="00F55F27"/>
    <w:rsid w:val="00F56A53"/>
    <w:rsid w:val="00F56DD6"/>
    <w:rsid w:val="00F70136"/>
    <w:rsid w:val="00F706A2"/>
    <w:rsid w:val="00F7152C"/>
    <w:rsid w:val="00F7169D"/>
    <w:rsid w:val="00F71A6A"/>
    <w:rsid w:val="00F72722"/>
    <w:rsid w:val="00F72B1B"/>
    <w:rsid w:val="00F7530F"/>
    <w:rsid w:val="00F7658D"/>
    <w:rsid w:val="00F8353D"/>
    <w:rsid w:val="00F840C4"/>
    <w:rsid w:val="00F843CD"/>
    <w:rsid w:val="00F84654"/>
    <w:rsid w:val="00F90003"/>
    <w:rsid w:val="00F90978"/>
    <w:rsid w:val="00F90B96"/>
    <w:rsid w:val="00F91902"/>
    <w:rsid w:val="00F93E96"/>
    <w:rsid w:val="00F95520"/>
    <w:rsid w:val="00F97A9B"/>
    <w:rsid w:val="00FA05A3"/>
    <w:rsid w:val="00FA26CA"/>
    <w:rsid w:val="00FA2B40"/>
    <w:rsid w:val="00FA3DDC"/>
    <w:rsid w:val="00FA5ABA"/>
    <w:rsid w:val="00FA7EDE"/>
    <w:rsid w:val="00FB2325"/>
    <w:rsid w:val="00FB686E"/>
    <w:rsid w:val="00FB7671"/>
    <w:rsid w:val="00FC0254"/>
    <w:rsid w:val="00FC0820"/>
    <w:rsid w:val="00FC2BDB"/>
    <w:rsid w:val="00FC4514"/>
    <w:rsid w:val="00FC4C10"/>
    <w:rsid w:val="00FC5031"/>
    <w:rsid w:val="00FC5BFB"/>
    <w:rsid w:val="00FC68DE"/>
    <w:rsid w:val="00FC6B51"/>
    <w:rsid w:val="00FC7A7E"/>
    <w:rsid w:val="00FD01BD"/>
    <w:rsid w:val="00FD0D07"/>
    <w:rsid w:val="00FD4202"/>
    <w:rsid w:val="00FE02B4"/>
    <w:rsid w:val="00FE0A56"/>
    <w:rsid w:val="00FE3FD3"/>
    <w:rsid w:val="00FE6D42"/>
    <w:rsid w:val="00FE6E31"/>
    <w:rsid w:val="00FF0376"/>
    <w:rsid w:val="00FF1CEC"/>
    <w:rsid w:val="00FF21C4"/>
    <w:rsid w:val="00FF3019"/>
    <w:rsid w:val="00FF3DD7"/>
    <w:rsid w:val="00FF5B95"/>
    <w:rsid w:val="00FF7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9E"/>
    <w:pPr>
      <w:suppressAutoHyphens/>
    </w:pPr>
    <w:rPr>
      <w:sz w:val="24"/>
      <w:lang w:val="en-GB" w:eastAsia="fr-FR"/>
    </w:rPr>
  </w:style>
  <w:style w:type="paragraph" w:styleId="Heading1">
    <w:name w:val="heading 1"/>
    <w:basedOn w:val="Normal"/>
    <w:next w:val="Normal"/>
    <w:qFormat/>
    <w:rsid w:val="009B039E"/>
    <w:pPr>
      <w:keepNext/>
      <w:spacing w:before="360" w:after="240"/>
      <w:jc w:val="center"/>
      <w:outlineLvl w:val="0"/>
    </w:pPr>
    <w:rPr>
      <w:b/>
      <w:sz w:val="28"/>
    </w:rPr>
  </w:style>
  <w:style w:type="paragraph" w:styleId="Heading2">
    <w:name w:val="heading 2"/>
    <w:basedOn w:val="Normal"/>
    <w:next w:val="Normal"/>
    <w:qFormat/>
    <w:rsid w:val="009B039E"/>
    <w:pPr>
      <w:keepNext/>
      <w:spacing w:before="240" w:after="120"/>
      <w:ind w:left="284" w:hanging="284"/>
      <w:outlineLvl w:val="1"/>
    </w:pPr>
    <w:rPr>
      <w:b/>
    </w:rPr>
  </w:style>
  <w:style w:type="paragraph" w:styleId="Heading3">
    <w:name w:val="heading 3"/>
    <w:basedOn w:val="Normal"/>
    <w:next w:val="Normal"/>
    <w:qFormat/>
    <w:rsid w:val="009B039E"/>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jc w:val="both"/>
      <w:outlineLvl w:val="8"/>
    </w:pPr>
    <w:rPr>
      <w:i/>
      <w:spacing w:val="-2"/>
      <w:sz w:val="22"/>
    </w:rPr>
  </w:style>
  <w:style w:type="character" w:default="1" w:styleId="DefaultParagraphFont">
    <w:name w:val="Default Paragraph Font"/>
    <w:semiHidden/>
    <w:rsid w:val="009B039E"/>
  </w:style>
  <w:style w:type="table" w:default="1" w:styleId="TableNormal">
    <w:name w:val="Normal Table"/>
    <w:semiHidden/>
    <w:rsid w:val="009B039E"/>
    <w:tblPr>
      <w:tblInd w:w="0" w:type="dxa"/>
      <w:tblCellMar>
        <w:top w:w="0" w:type="dxa"/>
        <w:left w:w="108" w:type="dxa"/>
        <w:bottom w:w="0" w:type="dxa"/>
        <w:right w:w="108" w:type="dxa"/>
      </w:tblCellMar>
    </w:tblPr>
  </w:style>
  <w:style w:type="numbering" w:default="1" w:styleId="NoList">
    <w:name w:val="No List"/>
    <w:semiHidden/>
    <w:rsid w:val="009B039E"/>
  </w:style>
  <w:style w:type="paragraph" w:customStyle="1" w:styleId="OpiHA">
    <w:name w:val="Opi_H_A"/>
    <w:basedOn w:val="JuHIRoman"/>
    <w:next w:val="OpiPara"/>
    <w:rsid w:val="009B039E"/>
    <w:pPr>
      <w:tabs>
        <w:tab w:val="clear" w:pos="357"/>
      </w:tabs>
    </w:pPr>
    <w:rPr>
      <w:b/>
    </w:rPr>
  </w:style>
  <w:style w:type="paragraph" w:customStyle="1" w:styleId="JuHIRoman">
    <w:name w:val="Ju_H_I_Roman"/>
    <w:basedOn w:val="JuHHead"/>
    <w:next w:val="JuPara"/>
    <w:rsid w:val="009B039E"/>
    <w:pPr>
      <w:tabs>
        <w:tab w:val="left" w:pos="357"/>
      </w:tabs>
      <w:spacing w:before="360"/>
      <w:ind w:left="357" w:hanging="357"/>
    </w:pPr>
    <w:rPr>
      <w:sz w:val="24"/>
    </w:rPr>
  </w:style>
  <w:style w:type="paragraph" w:customStyle="1" w:styleId="JuHHead">
    <w:name w:val="Ju_H_Head"/>
    <w:basedOn w:val="Normal"/>
    <w:next w:val="JuPara"/>
    <w:rsid w:val="009B039E"/>
    <w:pPr>
      <w:keepNext/>
      <w:keepLines/>
      <w:spacing w:before="720" w:after="240"/>
      <w:jc w:val="both"/>
    </w:pPr>
    <w:rPr>
      <w:sz w:val="28"/>
    </w:rPr>
  </w:style>
  <w:style w:type="paragraph" w:customStyle="1" w:styleId="JuPara">
    <w:name w:val="Ju_Para"/>
    <w:basedOn w:val="Normal"/>
    <w:link w:val="JuParaCar"/>
    <w:rsid w:val="009B039E"/>
    <w:pPr>
      <w:ind w:firstLine="284"/>
      <w:jc w:val="both"/>
    </w:pPr>
  </w:style>
  <w:style w:type="paragraph" w:customStyle="1" w:styleId="OpiPara">
    <w:name w:val="Opi_Para"/>
    <w:basedOn w:val="JuPara"/>
    <w:rsid w:val="009B039E"/>
  </w:style>
  <w:style w:type="paragraph" w:customStyle="1" w:styleId="OpiH1">
    <w:name w:val="Opi_H_1."/>
    <w:basedOn w:val="OpiHA"/>
    <w:next w:val="OpiPara"/>
    <w:rsid w:val="009B039E"/>
    <w:pPr>
      <w:spacing w:before="240" w:after="120"/>
      <w:ind w:left="635"/>
    </w:pPr>
    <w:rPr>
      <w:b w:val="0"/>
      <w:i/>
    </w:rPr>
  </w:style>
  <w:style w:type="paragraph" w:customStyle="1" w:styleId="OpiHa0">
    <w:name w:val="Opi_H_a"/>
    <w:basedOn w:val="OpiH1"/>
    <w:next w:val="OpiPara"/>
    <w:rsid w:val="009B039E"/>
    <w:pPr>
      <w:ind w:left="834"/>
    </w:pPr>
    <w:rPr>
      <w:b/>
      <w:i w:val="0"/>
      <w:sz w:val="20"/>
    </w:rPr>
  </w:style>
  <w:style w:type="paragraph" w:customStyle="1" w:styleId="OpiHHead">
    <w:name w:val="Opi_H_Head"/>
    <w:basedOn w:val="JuHHead"/>
    <w:next w:val="OpiPara"/>
    <w:rsid w:val="009B039E"/>
    <w:pPr>
      <w:spacing w:before="0"/>
      <w:jc w:val="center"/>
    </w:pPr>
  </w:style>
  <w:style w:type="paragraph" w:customStyle="1" w:styleId="OpiHi">
    <w:name w:val="Opi_H_i"/>
    <w:basedOn w:val="OpiHa0"/>
    <w:next w:val="OpiPara"/>
    <w:rsid w:val="009B039E"/>
    <w:pPr>
      <w:ind w:left="1038"/>
    </w:pPr>
    <w:rPr>
      <w:b w:val="0"/>
      <w:i/>
    </w:rPr>
  </w:style>
  <w:style w:type="paragraph" w:styleId="Footer">
    <w:name w:val="footer"/>
    <w:basedOn w:val="Normal"/>
    <w:rsid w:val="009B039E"/>
    <w:pPr>
      <w:tabs>
        <w:tab w:val="center" w:pos="3686"/>
        <w:tab w:val="right" w:pos="7371"/>
      </w:tabs>
    </w:pPr>
    <w:rPr>
      <w:sz w:val="18"/>
    </w:rPr>
  </w:style>
  <w:style w:type="paragraph" w:customStyle="1" w:styleId="JuJudges">
    <w:name w:val="Ju_Judges"/>
    <w:basedOn w:val="Normal"/>
    <w:link w:val="JuJudgesChar"/>
    <w:rsid w:val="009B039E"/>
    <w:pPr>
      <w:tabs>
        <w:tab w:val="left" w:pos="567"/>
        <w:tab w:val="left" w:pos="1134"/>
      </w:tabs>
    </w:pPr>
    <w:rPr>
      <w:lang w:eastAsia="x-none"/>
    </w:rPr>
  </w:style>
  <w:style w:type="character" w:customStyle="1" w:styleId="JuNames">
    <w:name w:val="Ju_Names"/>
    <w:rsid w:val="009B039E"/>
    <w:rPr>
      <w:smallCaps/>
    </w:rPr>
  </w:style>
  <w:style w:type="paragraph" w:customStyle="1" w:styleId="JuHA">
    <w:name w:val="Ju_H_A"/>
    <w:basedOn w:val="JuHIRoman"/>
    <w:next w:val="JuPara"/>
    <w:rsid w:val="009B039E"/>
    <w:pPr>
      <w:tabs>
        <w:tab w:val="clear" w:pos="357"/>
        <w:tab w:val="left" w:pos="584"/>
      </w:tabs>
      <w:ind w:left="584" w:hanging="352"/>
    </w:pPr>
    <w:rPr>
      <w:b/>
    </w:rPr>
  </w:style>
  <w:style w:type="paragraph" w:customStyle="1" w:styleId="JuQuot">
    <w:name w:val="Ju_Quot"/>
    <w:basedOn w:val="JuPara"/>
    <w:rsid w:val="009B039E"/>
    <w:pPr>
      <w:spacing w:before="120" w:after="120"/>
      <w:ind w:left="425" w:firstLine="142"/>
    </w:pPr>
    <w:rPr>
      <w:sz w:val="20"/>
    </w:rPr>
  </w:style>
  <w:style w:type="paragraph" w:customStyle="1" w:styleId="JuSigned">
    <w:name w:val="Ju_Signed"/>
    <w:basedOn w:val="Normal"/>
    <w:next w:val="JuParaLast"/>
    <w:rsid w:val="00460FAD"/>
    <w:pPr>
      <w:tabs>
        <w:tab w:val="center" w:pos="1219"/>
        <w:tab w:val="center" w:pos="6379"/>
      </w:tabs>
      <w:spacing w:before="720"/>
    </w:pPr>
  </w:style>
  <w:style w:type="paragraph" w:customStyle="1" w:styleId="JuParaLast">
    <w:name w:val="Ju_Para_Last"/>
    <w:basedOn w:val="JuPara"/>
    <w:next w:val="JuPara"/>
    <w:rsid w:val="009B039E"/>
    <w:pPr>
      <w:spacing w:before="240"/>
    </w:pPr>
  </w:style>
  <w:style w:type="paragraph" w:customStyle="1" w:styleId="JuCase">
    <w:name w:val="Ju_Case"/>
    <w:basedOn w:val="JuPara"/>
    <w:next w:val="JuPara"/>
    <w:rsid w:val="009B039E"/>
    <w:rPr>
      <w:b/>
    </w:rPr>
  </w:style>
  <w:style w:type="paragraph" w:customStyle="1" w:styleId="JuList">
    <w:name w:val="Ju_List"/>
    <w:basedOn w:val="JuPara"/>
    <w:rsid w:val="009B039E"/>
    <w:pPr>
      <w:ind w:left="340" w:hanging="340"/>
    </w:pPr>
  </w:style>
  <w:style w:type="paragraph" w:customStyle="1" w:styleId="JuHArticle">
    <w:name w:val="Ju_H_Article"/>
    <w:basedOn w:val="JuHa0"/>
    <w:next w:val="JuQuot"/>
    <w:rsid w:val="009B039E"/>
    <w:pPr>
      <w:ind w:left="0" w:firstLine="0"/>
      <w:jc w:val="center"/>
    </w:pPr>
  </w:style>
  <w:style w:type="paragraph" w:customStyle="1" w:styleId="JuHa0">
    <w:name w:val="Ju_H_a"/>
    <w:basedOn w:val="JuH1"/>
    <w:next w:val="JuPara"/>
    <w:rsid w:val="009B039E"/>
    <w:pPr>
      <w:tabs>
        <w:tab w:val="clear" w:pos="731"/>
        <w:tab w:val="left" w:pos="975"/>
      </w:tabs>
      <w:ind w:left="975" w:hanging="340"/>
    </w:pPr>
    <w:rPr>
      <w:b/>
      <w:i w:val="0"/>
      <w:sz w:val="20"/>
    </w:rPr>
  </w:style>
  <w:style w:type="paragraph" w:customStyle="1" w:styleId="JuH1">
    <w:name w:val="Ju_H_1."/>
    <w:basedOn w:val="JuHA"/>
    <w:next w:val="JuPara"/>
    <w:rsid w:val="009B039E"/>
    <w:pPr>
      <w:tabs>
        <w:tab w:val="clear" w:pos="584"/>
        <w:tab w:val="left" w:pos="731"/>
      </w:tabs>
      <w:spacing w:before="240" w:after="120"/>
      <w:ind w:left="732" w:hanging="301"/>
    </w:pPr>
    <w:rPr>
      <w:b w:val="0"/>
      <w:i/>
    </w:rPr>
  </w:style>
  <w:style w:type="paragraph" w:customStyle="1" w:styleId="JuQuotList">
    <w:name w:val="Ju_Quot_List"/>
    <w:basedOn w:val="JuQuot"/>
    <w:pPr>
      <w:tabs>
        <w:tab w:val="left" w:pos="1021"/>
      </w:tabs>
      <w:ind w:left="567" w:firstLine="0"/>
    </w:pPr>
  </w:style>
  <w:style w:type="paragraph" w:customStyle="1" w:styleId="JuCourt">
    <w:name w:val="Ju_Court"/>
    <w:basedOn w:val="JuJudges"/>
    <w:rsid w:val="009B039E"/>
    <w:pPr>
      <w:tabs>
        <w:tab w:val="clear" w:pos="567"/>
        <w:tab w:val="clear" w:pos="1134"/>
        <w:tab w:val="left" w:pos="907"/>
        <w:tab w:val="left" w:pos="1701"/>
        <w:tab w:val="right" w:pos="7371"/>
      </w:tabs>
      <w:spacing w:before="240"/>
      <w:ind w:left="397" w:hanging="397"/>
    </w:pPr>
  </w:style>
  <w:style w:type="paragraph" w:customStyle="1" w:styleId="OpiQuot">
    <w:name w:val="Opi_Quot"/>
    <w:basedOn w:val="JuQuot"/>
    <w:rsid w:val="009B039E"/>
  </w:style>
  <w:style w:type="paragraph" w:customStyle="1" w:styleId="OpiTranslation">
    <w:name w:val="Opi_Translation"/>
    <w:basedOn w:val="OpiHHead"/>
    <w:next w:val="OpiPara"/>
    <w:rsid w:val="009B039E"/>
    <w:rPr>
      <w:sz w:val="24"/>
    </w:rPr>
  </w:style>
  <w:style w:type="paragraph" w:styleId="FootnoteText">
    <w:name w:val="footnote text"/>
    <w:basedOn w:val="Normal"/>
    <w:semiHidden/>
    <w:rsid w:val="009B039E"/>
    <w:pPr>
      <w:jc w:val="both"/>
    </w:pPr>
    <w:rPr>
      <w:sz w:val="20"/>
    </w:rPr>
  </w:style>
  <w:style w:type="character" w:styleId="FootnoteReference">
    <w:name w:val="footnote reference"/>
    <w:semiHidden/>
    <w:rsid w:val="009B039E"/>
    <w:rPr>
      <w:vertAlign w:val="superscript"/>
    </w:rPr>
  </w:style>
  <w:style w:type="paragraph" w:customStyle="1" w:styleId="JuHi">
    <w:name w:val="Ju_H_i"/>
    <w:basedOn w:val="JuHa0"/>
    <w:next w:val="JuPara"/>
    <w:rsid w:val="009B039E"/>
    <w:pPr>
      <w:tabs>
        <w:tab w:val="clear" w:pos="975"/>
        <w:tab w:val="left" w:pos="1191"/>
      </w:tabs>
      <w:ind w:left="1190" w:hanging="357"/>
    </w:pPr>
    <w:rPr>
      <w:b w:val="0"/>
      <w:i/>
    </w:rPr>
  </w:style>
  <w:style w:type="paragraph" w:styleId="Header">
    <w:name w:val="header"/>
    <w:basedOn w:val="Normal"/>
    <w:rsid w:val="009B039E"/>
    <w:pPr>
      <w:tabs>
        <w:tab w:val="center" w:pos="3686"/>
        <w:tab w:val="right" w:pos="7371"/>
      </w:tabs>
    </w:pPr>
    <w:rPr>
      <w:sz w:val="18"/>
    </w:rPr>
  </w:style>
  <w:style w:type="character" w:styleId="PageNumber">
    <w:name w:val="page number"/>
    <w:rsid w:val="009B039E"/>
    <w:rPr>
      <w:sz w:val="18"/>
    </w:rPr>
  </w:style>
  <w:style w:type="paragraph" w:customStyle="1" w:styleId="JuH">
    <w:name w:val="Ju_H_–"/>
    <w:basedOn w:val="JuHalpha"/>
    <w:next w:val="JuPara"/>
    <w:rsid w:val="009B039E"/>
    <w:pPr>
      <w:tabs>
        <w:tab w:val="clear" w:pos="1372"/>
      </w:tabs>
      <w:ind w:left="1236" w:firstLine="0"/>
    </w:pPr>
    <w:rPr>
      <w:i/>
    </w:rPr>
  </w:style>
  <w:style w:type="paragraph" w:customStyle="1" w:styleId="JuHalpha">
    <w:name w:val="Ju_H_alpha"/>
    <w:basedOn w:val="JuHi"/>
    <w:next w:val="JuPara"/>
    <w:rsid w:val="009B039E"/>
    <w:pPr>
      <w:tabs>
        <w:tab w:val="clear" w:pos="1191"/>
        <w:tab w:val="left" w:pos="1372"/>
      </w:tabs>
      <w:ind w:left="1373" w:hanging="335"/>
    </w:pPr>
    <w:rPr>
      <w:i w:val="0"/>
    </w:rPr>
  </w:style>
  <w:style w:type="paragraph" w:customStyle="1" w:styleId="JuLista">
    <w:name w:val="Ju_List_a"/>
    <w:basedOn w:val="JuList"/>
    <w:rsid w:val="009B039E"/>
    <w:pPr>
      <w:ind w:left="346" w:firstLine="0"/>
    </w:pPr>
  </w:style>
  <w:style w:type="paragraph" w:customStyle="1" w:styleId="JuListi">
    <w:name w:val="Ju_List_i"/>
    <w:basedOn w:val="JuLista"/>
    <w:rsid w:val="009B039E"/>
    <w:pPr>
      <w:ind w:left="794"/>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JuInitialled">
    <w:name w:val="Ju_Initialled"/>
    <w:basedOn w:val="JuSigned"/>
    <w:rsid w:val="009B039E"/>
    <w:pPr>
      <w:jc w:val="right"/>
    </w:pPr>
  </w:style>
  <w:style w:type="paragraph" w:customStyle="1" w:styleId="JuHeader">
    <w:name w:val="Ju_Header"/>
    <w:basedOn w:val="Header"/>
    <w:rsid w:val="009B039E"/>
  </w:style>
  <w:style w:type="paragraph" w:customStyle="1" w:styleId="DecHTitle">
    <w:name w:val="Dec_H_Title"/>
    <w:basedOn w:val="Normal"/>
    <w:rsid w:val="009B039E"/>
    <w:pPr>
      <w:spacing w:after="240"/>
      <w:jc w:val="center"/>
    </w:pPr>
    <w:rPr>
      <w:sz w:val="28"/>
    </w:rPr>
  </w:style>
  <w:style w:type="paragraph" w:customStyle="1" w:styleId="DecHCase">
    <w:name w:val="Dec_H_Case"/>
    <w:basedOn w:val="DecHTitle"/>
    <w:next w:val="JuPara"/>
    <w:rsid w:val="009B039E"/>
    <w:rPr>
      <w:sz w:val="24"/>
    </w:rPr>
  </w:style>
  <w:style w:type="paragraph" w:customStyle="1" w:styleId="DecList">
    <w:name w:val="Dec_List"/>
    <w:basedOn w:val="Normal"/>
    <w:rsid w:val="009B039E"/>
    <w:pPr>
      <w:spacing w:before="240"/>
      <w:ind w:left="284"/>
      <w:jc w:val="both"/>
    </w:pPr>
  </w:style>
  <w:style w:type="paragraph" w:customStyle="1" w:styleId="JuParaSub">
    <w:name w:val="Ju_Para_Sub"/>
    <w:basedOn w:val="JuPara"/>
    <w:rsid w:val="009B039E"/>
    <w:pPr>
      <w:ind w:left="284"/>
    </w:pPr>
    <w:rPr>
      <w:szCs w:val="24"/>
    </w:rPr>
  </w:style>
  <w:style w:type="paragraph" w:customStyle="1" w:styleId="JuQuotSub">
    <w:name w:val="Ju_Quot_Sub"/>
    <w:basedOn w:val="JuQuot"/>
    <w:rsid w:val="009B039E"/>
    <w:pPr>
      <w:ind w:left="567"/>
    </w:pPr>
  </w:style>
  <w:style w:type="paragraph" w:styleId="BalloonText">
    <w:name w:val="Balloon Text"/>
    <w:basedOn w:val="Normal"/>
    <w:semiHidden/>
    <w:rsid w:val="00457A18"/>
    <w:rPr>
      <w:rFonts w:ascii="Tahoma" w:hAnsi="Tahoma" w:cs="Tahoma"/>
      <w:sz w:val="16"/>
      <w:szCs w:val="16"/>
    </w:rPr>
  </w:style>
  <w:style w:type="paragraph" w:styleId="CommentSubject">
    <w:name w:val="annotation subject"/>
    <w:basedOn w:val="CommentText"/>
    <w:next w:val="CommentText"/>
    <w:semiHidden/>
    <w:rsid w:val="00D353F4"/>
    <w:rPr>
      <w:b/>
      <w:bCs/>
    </w:rPr>
  </w:style>
  <w:style w:type="paragraph" w:customStyle="1" w:styleId="PJuPara">
    <w:name w:val="P_Ju_Para"/>
    <w:basedOn w:val="Normal"/>
    <w:rsid w:val="009B039E"/>
    <w:pPr>
      <w:ind w:firstLine="284"/>
      <w:jc w:val="both"/>
    </w:pPr>
  </w:style>
  <w:style w:type="paragraph" w:customStyle="1" w:styleId="PJuQuot">
    <w:name w:val="P_Ju_Quot"/>
    <w:basedOn w:val="Normal"/>
    <w:rsid w:val="009B039E"/>
    <w:pPr>
      <w:spacing w:before="120" w:after="120"/>
      <w:ind w:left="403" w:firstLine="176"/>
      <w:jc w:val="both"/>
    </w:pPr>
    <w:rPr>
      <w:sz w:val="20"/>
    </w:rPr>
  </w:style>
  <w:style w:type="paragraph" w:customStyle="1" w:styleId="PListArticleSubject">
    <w:name w:val="P_List_ArticleSubject"/>
    <w:basedOn w:val="Normal"/>
    <w:rsid w:val="009B039E"/>
    <w:pPr>
      <w:tabs>
        <w:tab w:val="left" w:pos="2977"/>
      </w:tabs>
      <w:ind w:left="2977" w:hanging="2977"/>
    </w:pPr>
  </w:style>
  <w:style w:type="paragraph" w:customStyle="1" w:styleId="SuCoverTitle1">
    <w:name w:val="Su_Cover_Title1"/>
    <w:basedOn w:val="Normal"/>
    <w:next w:val="SuCoverTitle2"/>
    <w:rsid w:val="009B039E"/>
    <w:pPr>
      <w:spacing w:before="2500"/>
      <w:jc w:val="center"/>
    </w:pPr>
    <w:rPr>
      <w:sz w:val="22"/>
    </w:rPr>
  </w:style>
  <w:style w:type="paragraph" w:customStyle="1" w:styleId="SuCoverTitle2">
    <w:name w:val="Su_Cover_Title2"/>
    <w:basedOn w:val="SuCoverTitle1"/>
    <w:next w:val="Normal"/>
    <w:rsid w:val="009B039E"/>
    <w:pPr>
      <w:spacing w:before="240"/>
    </w:pPr>
    <w:rPr>
      <w:sz w:val="18"/>
    </w:rPr>
  </w:style>
  <w:style w:type="paragraph" w:customStyle="1" w:styleId="SuPara">
    <w:name w:val="Su_Para"/>
    <w:basedOn w:val="SuKeywords"/>
    <w:rsid w:val="009B039E"/>
    <w:pPr>
      <w:spacing w:before="0" w:after="0"/>
    </w:pPr>
    <w:rPr>
      <w:i w:val="0"/>
    </w:rPr>
  </w:style>
  <w:style w:type="paragraph" w:customStyle="1" w:styleId="SuKeywords">
    <w:name w:val="Su_Keywords"/>
    <w:basedOn w:val="SuHHead"/>
    <w:rsid w:val="009B039E"/>
    <w:pPr>
      <w:spacing w:before="120"/>
    </w:pPr>
    <w:rPr>
      <w:b w:val="0"/>
      <w:i/>
    </w:rPr>
  </w:style>
  <w:style w:type="paragraph" w:customStyle="1" w:styleId="SuHHead">
    <w:name w:val="Su_H_Head"/>
    <w:basedOn w:val="SuSubject"/>
    <w:rsid w:val="009B039E"/>
    <w:pPr>
      <w:spacing w:after="120"/>
    </w:pPr>
  </w:style>
  <w:style w:type="paragraph" w:customStyle="1" w:styleId="SuSubject">
    <w:name w:val="Su_Subject"/>
    <w:basedOn w:val="SuSummary"/>
    <w:rsid w:val="009B039E"/>
    <w:pPr>
      <w:spacing w:before="360"/>
      <w:jc w:val="both"/>
    </w:pPr>
    <w:rPr>
      <w:b/>
      <w:sz w:val="22"/>
    </w:rPr>
  </w:style>
  <w:style w:type="paragraph" w:customStyle="1" w:styleId="SuSummary">
    <w:name w:val="Su_Summary"/>
    <w:basedOn w:val="Normal"/>
    <w:next w:val="SuSubject"/>
    <w:rsid w:val="009B039E"/>
    <w:pPr>
      <w:spacing w:after="240"/>
      <w:jc w:val="center"/>
    </w:pPr>
  </w:style>
  <w:style w:type="paragraph" w:customStyle="1" w:styleId="PListCaseNo">
    <w:name w:val="P_List_CaseNo"/>
    <w:basedOn w:val="Normal"/>
    <w:rsid w:val="009B039E"/>
    <w:pPr>
      <w:tabs>
        <w:tab w:val="left" w:pos="1276"/>
      </w:tabs>
      <w:spacing w:line="288" w:lineRule="auto"/>
      <w:ind w:left="1276" w:hanging="1276"/>
    </w:pPr>
  </w:style>
  <w:style w:type="paragraph" w:customStyle="1" w:styleId="PListCases">
    <w:name w:val="P_List_Cases"/>
    <w:basedOn w:val="Normal"/>
    <w:rsid w:val="009B039E"/>
    <w:pPr>
      <w:spacing w:line="288" w:lineRule="auto"/>
    </w:pPr>
  </w:style>
  <w:style w:type="paragraph" w:customStyle="1" w:styleId="PTextIntro">
    <w:name w:val="P_Text_Intro"/>
    <w:basedOn w:val="Normal"/>
    <w:rsid w:val="009B039E"/>
    <w:pPr>
      <w:jc w:val="both"/>
    </w:pPr>
    <w:rPr>
      <w:i/>
      <w:sz w:val="20"/>
    </w:rPr>
  </w:style>
  <w:style w:type="paragraph" w:customStyle="1" w:styleId="PTitleCover">
    <w:name w:val="P_Title_Cover"/>
    <w:basedOn w:val="Normal"/>
    <w:rsid w:val="009B039E"/>
    <w:pPr>
      <w:spacing w:before="2500"/>
      <w:jc w:val="center"/>
    </w:pPr>
    <w:rPr>
      <w:b/>
      <w:smallCaps/>
      <w:sz w:val="30"/>
    </w:rPr>
  </w:style>
  <w:style w:type="paragraph" w:customStyle="1" w:styleId="PTitle1Alpha">
    <w:name w:val="P_Title1_Alpha"/>
    <w:basedOn w:val="Normal"/>
    <w:next w:val="Normal"/>
    <w:rsid w:val="009B039E"/>
    <w:pPr>
      <w:spacing w:after="120"/>
      <w:jc w:val="center"/>
    </w:pPr>
    <w:rPr>
      <w:b/>
      <w:smallCaps/>
      <w:sz w:val="30"/>
    </w:rPr>
  </w:style>
  <w:style w:type="paragraph" w:customStyle="1" w:styleId="PTitle1IndexArticle">
    <w:name w:val="P_Title1_IndexArticle"/>
    <w:basedOn w:val="Normal"/>
    <w:rsid w:val="009B039E"/>
    <w:pPr>
      <w:spacing w:after="120"/>
      <w:jc w:val="center"/>
    </w:pPr>
    <w:rPr>
      <w:b/>
      <w:smallCaps/>
      <w:sz w:val="30"/>
    </w:rPr>
  </w:style>
  <w:style w:type="paragraph" w:customStyle="1" w:styleId="PTitle1IndexKey">
    <w:name w:val="P_Title1_IndexKey"/>
    <w:basedOn w:val="Normal"/>
    <w:rsid w:val="009B039E"/>
    <w:pPr>
      <w:spacing w:after="600"/>
      <w:jc w:val="center"/>
    </w:pPr>
    <w:rPr>
      <w:b/>
      <w:smallCaps/>
      <w:sz w:val="30"/>
    </w:rPr>
  </w:style>
  <w:style w:type="paragraph" w:customStyle="1" w:styleId="PTitle1Num">
    <w:name w:val="P_Title1_Num"/>
    <w:basedOn w:val="Normal"/>
    <w:next w:val="PListCaseNo"/>
    <w:rsid w:val="009B039E"/>
    <w:pPr>
      <w:spacing w:after="720"/>
      <w:jc w:val="center"/>
    </w:pPr>
    <w:rPr>
      <w:b/>
      <w:smallCaps/>
      <w:sz w:val="30"/>
    </w:rPr>
  </w:style>
  <w:style w:type="paragraph" w:customStyle="1" w:styleId="PTitle2Country">
    <w:name w:val="P_Title2_Country"/>
    <w:basedOn w:val="Normal"/>
    <w:next w:val="PListCases"/>
    <w:rsid w:val="009B039E"/>
    <w:pPr>
      <w:keepNext/>
      <w:keepLines/>
      <w:spacing w:before="600" w:after="360"/>
    </w:pPr>
    <w:rPr>
      <w:b/>
    </w:rPr>
  </w:style>
  <w:style w:type="paragraph" w:customStyle="1" w:styleId="PTitle2Letters">
    <w:name w:val="P_Title2_Letters"/>
    <w:basedOn w:val="Normal"/>
    <w:next w:val="PListCases"/>
    <w:rsid w:val="009B039E"/>
    <w:pPr>
      <w:keepNext/>
      <w:keepLines/>
      <w:spacing w:before="600" w:after="360"/>
    </w:pPr>
    <w:rPr>
      <w:b/>
      <w:sz w:val="28"/>
    </w:rPr>
  </w:style>
  <w:style w:type="paragraph" w:customStyle="1" w:styleId="PTitle2Part">
    <w:name w:val="P_Title2_Part"/>
    <w:basedOn w:val="Normal"/>
    <w:rsid w:val="009B039E"/>
    <w:pPr>
      <w:keepNext/>
      <w:keepLines/>
      <w:spacing w:before="600" w:after="240"/>
      <w:jc w:val="center"/>
    </w:pPr>
    <w:rPr>
      <w:b/>
      <w:caps/>
    </w:rPr>
  </w:style>
  <w:style w:type="paragraph" w:customStyle="1" w:styleId="PTitle3Article">
    <w:name w:val="P_Title3_Article"/>
    <w:basedOn w:val="Normal"/>
    <w:rsid w:val="009B039E"/>
    <w:pPr>
      <w:keepNext/>
      <w:keepLines/>
      <w:spacing w:before="360" w:after="120"/>
      <w:jc w:val="center"/>
    </w:pPr>
    <w:rPr>
      <w:b/>
      <w:smallCaps/>
      <w:sz w:val="22"/>
    </w:rPr>
  </w:style>
  <w:style w:type="paragraph" w:customStyle="1" w:styleId="PTitle4ArticleSub">
    <w:name w:val="P_Title4_Article_Sub"/>
    <w:basedOn w:val="PTitle3Article"/>
    <w:rsid w:val="009B039E"/>
    <w:pPr>
      <w:spacing w:before="240"/>
    </w:pPr>
    <w:rPr>
      <w:smallCaps w:val="0"/>
      <w:sz w:val="20"/>
    </w:rPr>
  </w:style>
  <w:style w:type="paragraph" w:customStyle="1" w:styleId="PTitle5Subject">
    <w:name w:val="P_Title5_Subject"/>
    <w:basedOn w:val="Normal"/>
    <w:rsid w:val="009B039E"/>
    <w:pPr>
      <w:keepNext/>
      <w:keepLines/>
      <w:spacing w:before="240" w:after="120"/>
      <w:jc w:val="both"/>
    </w:pPr>
    <w:rPr>
      <w:b/>
      <w:i/>
    </w:rPr>
  </w:style>
  <w:style w:type="paragraph" w:customStyle="1" w:styleId="PTitle6SubjectSub">
    <w:name w:val="P_Title6_Subject_Sub"/>
    <w:basedOn w:val="Normal"/>
    <w:rsid w:val="009B039E"/>
    <w:pPr>
      <w:keepNext/>
      <w:keepLines/>
      <w:spacing w:before="240" w:after="120"/>
      <w:ind w:left="284"/>
      <w:jc w:val="both"/>
    </w:pPr>
    <w:rPr>
      <w:b/>
      <w:sz w:val="20"/>
    </w:rPr>
  </w:style>
  <w:style w:type="paragraph" w:customStyle="1" w:styleId="PTitle7CaseName">
    <w:name w:val="P_Title7_CaseName"/>
    <w:basedOn w:val="Normal"/>
    <w:rsid w:val="009B039E"/>
    <w:pPr>
      <w:keepLines/>
      <w:spacing w:after="240"/>
      <w:jc w:val="right"/>
    </w:pPr>
    <w:rPr>
      <w:sz w:val="22"/>
    </w:rPr>
  </w:style>
  <w:style w:type="paragraph" w:customStyle="1" w:styleId="OpiParaSub">
    <w:name w:val="Opi_Para_Sub"/>
    <w:basedOn w:val="JuParaSub"/>
    <w:rsid w:val="009B039E"/>
  </w:style>
  <w:style w:type="paragraph" w:customStyle="1" w:styleId="OpiQuotSub">
    <w:name w:val="Opi_Quot_Sub"/>
    <w:basedOn w:val="JuQuotSub"/>
    <w:rsid w:val="009B039E"/>
  </w:style>
  <w:style w:type="character" w:styleId="Hyperlink">
    <w:name w:val="Hyperlink"/>
    <w:rsid w:val="00B62174"/>
    <w:rPr>
      <w:color w:val="0000FF"/>
      <w:u w:val="single"/>
    </w:rPr>
  </w:style>
  <w:style w:type="paragraph" w:styleId="NormalWeb">
    <w:name w:val="Normal (Web)"/>
    <w:basedOn w:val="Normal"/>
    <w:uiPriority w:val="99"/>
    <w:rsid w:val="00ED10E8"/>
    <w:pPr>
      <w:suppressAutoHyphens w:val="0"/>
      <w:spacing w:before="100" w:beforeAutospacing="1" w:after="100" w:afterAutospacing="1"/>
    </w:pPr>
    <w:rPr>
      <w:szCs w:val="24"/>
      <w:lang w:eastAsia="en-GB"/>
    </w:rPr>
  </w:style>
  <w:style w:type="paragraph" w:customStyle="1" w:styleId="JuParaCharCharCharCharCharCharCharCharChar">
    <w:name w:val="Ju_Para Char Char Char Char Char Char Char Char Char"/>
    <w:basedOn w:val="Normal"/>
    <w:link w:val="JuParaCharCharCharCharCharCharCharCharCharChar"/>
    <w:rsid w:val="000B2EAF"/>
    <w:pPr>
      <w:ind w:firstLine="284"/>
      <w:jc w:val="both"/>
    </w:pPr>
  </w:style>
  <w:style w:type="character" w:customStyle="1" w:styleId="JuParaCharCharCharCharCharCharCharCharCharChar">
    <w:name w:val="Ju_Para Char Char Char Char Char Char Char Char Char Char"/>
    <w:link w:val="JuParaCharCharCharCharCharCharCharCharChar"/>
    <w:rsid w:val="000B2EAF"/>
    <w:rPr>
      <w:sz w:val="24"/>
      <w:lang w:val="en-GB" w:eastAsia="fr-FR" w:bidi="ar-SA"/>
    </w:rPr>
  </w:style>
  <w:style w:type="character" w:customStyle="1" w:styleId="JuParaCar">
    <w:name w:val="Ju_Para Car"/>
    <w:link w:val="JuPara"/>
    <w:rsid w:val="0009370D"/>
    <w:rPr>
      <w:sz w:val="24"/>
      <w:lang w:val="en-GB" w:eastAsia="fr-FR" w:bidi="ar-SA"/>
    </w:rPr>
  </w:style>
  <w:style w:type="character" w:customStyle="1" w:styleId="JuJudgesChar">
    <w:name w:val="Ju_Judges Char"/>
    <w:link w:val="JuJudges"/>
    <w:rsid w:val="00684DE2"/>
    <w:rPr>
      <w:sz w:val="24"/>
      <w:lang w:val="en-GB"/>
    </w:rPr>
  </w:style>
  <w:style w:type="character" w:customStyle="1" w:styleId="shorttext">
    <w:name w:val="short_text"/>
    <w:basedOn w:val="DefaultParagraphFont"/>
    <w:rsid w:val="000A1889"/>
  </w:style>
  <w:style w:type="character" w:customStyle="1" w:styleId="hps">
    <w:name w:val="hps"/>
    <w:basedOn w:val="DefaultParagraphFont"/>
    <w:rsid w:val="000A1889"/>
  </w:style>
  <w:style w:type="character" w:customStyle="1" w:styleId="longtext">
    <w:name w:val="long_text"/>
    <w:basedOn w:val="DefaultParagraphFont"/>
    <w:rsid w:val="00767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0639">
      <w:bodyDiv w:val="1"/>
      <w:marLeft w:val="0"/>
      <w:marRight w:val="0"/>
      <w:marTop w:val="0"/>
      <w:marBottom w:val="0"/>
      <w:divBdr>
        <w:top w:val="none" w:sz="0" w:space="0" w:color="auto"/>
        <w:left w:val="none" w:sz="0" w:space="0" w:color="auto"/>
        <w:bottom w:val="none" w:sz="0" w:space="0" w:color="auto"/>
        <w:right w:val="none" w:sz="0" w:space="0" w:color="auto"/>
      </w:divBdr>
      <w:divsChild>
        <w:div w:id="136786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986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1122594">
      <w:bodyDiv w:val="1"/>
      <w:marLeft w:val="0"/>
      <w:marRight w:val="0"/>
      <w:marTop w:val="0"/>
      <w:marBottom w:val="0"/>
      <w:divBdr>
        <w:top w:val="none" w:sz="0" w:space="0" w:color="auto"/>
        <w:left w:val="none" w:sz="0" w:space="0" w:color="auto"/>
        <w:bottom w:val="none" w:sz="0" w:space="0" w:color="auto"/>
        <w:right w:val="none" w:sz="0" w:space="0" w:color="auto"/>
      </w:divBdr>
      <w:divsChild>
        <w:div w:id="994799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oe.int/humanrightstrustfund" TargetMode="External"/><Relationship Id="rId13" Type="http://schemas.openxmlformats.org/officeDocument/2006/relationships/hyperlink" Target="http://zakon.rada.gov.ua/go/995_155" TargetMode="External"/><Relationship Id="rId18" Type="http://schemas.openxmlformats.org/officeDocument/2006/relationships/hyperlink" Target="mailto:publishing@echr.coe.in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ublishing@echr.coe.int" TargetMode="External"/><Relationship Id="rId7" Type="http://schemas.openxmlformats.org/officeDocument/2006/relationships/hyperlink" Target="http://www.coe.int/humanrightstrustfund" TargetMode="External"/><Relationship Id="rId12" Type="http://schemas.openxmlformats.org/officeDocument/2006/relationships/footer" Target="footer1.xml"/><Relationship Id="rId17" Type="http://schemas.openxmlformats.org/officeDocument/2006/relationships/hyperlink" Target="http://hudoc.echr.coe.in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e.int/humanrightstrustfund" TargetMode="External"/><Relationship Id="rId20" Type="http://schemas.openxmlformats.org/officeDocument/2006/relationships/hyperlink" Target="http://hudoc.echr.coe.int/"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oe.int/humanrightstrustfund" TargetMode="External"/><Relationship Id="rId23" Type="http://schemas.openxmlformats.org/officeDocument/2006/relationships/header" Target="header4.xml"/><Relationship Id="rId28"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http://www.coe.int/humanrightstrustfund" TargetMode="External"/><Relationship Id="rId4" Type="http://schemas.openxmlformats.org/officeDocument/2006/relationships/webSettings" Target="webSettings.xml"/><Relationship Id="rId9" Type="http://schemas.openxmlformats.org/officeDocument/2006/relationships/hyperlink" Target="http://www.coe.int/humanrightstrustfund" TargetMode="External"/><Relationship Id="rId14" Type="http://schemas.openxmlformats.org/officeDocument/2006/relationships/hyperlink" Target="http://zakon.rada.gov.ua/go/995_155" TargetMode="External"/><Relationship Id="rId22" Type="http://schemas.openxmlformats.org/officeDocument/2006/relationships/header" Target="header3.xml"/><Relationship Id="rId27"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C37930-CBB6-4089-85AD-F25E867833F7}"/>
</file>

<file path=customXml/itemProps2.xml><?xml version="1.0" encoding="utf-8"?>
<ds:datastoreItem xmlns:ds="http://schemas.openxmlformats.org/officeDocument/2006/customXml" ds:itemID="{F14CB37A-3E22-4F7D-9A66-8195770126CE}"/>
</file>

<file path=customXml/itemProps3.xml><?xml version="1.0" encoding="utf-8"?>
<ds:datastoreItem xmlns:ds="http://schemas.openxmlformats.org/officeDocument/2006/customXml" ds:itemID="{6DC21224-4142-41B5-B3E5-CD8A12C1CA28}"/>
</file>

<file path=docProps/app.xml><?xml version="1.0" encoding="utf-8"?>
<Properties xmlns="http://schemas.openxmlformats.org/officeDocument/2006/extended-properties" xmlns:vt="http://schemas.openxmlformats.org/officeDocument/2006/docPropsVTypes">
  <Template>Normal.dotm</Template>
  <TotalTime>4</TotalTime>
  <Pages>1</Pages>
  <Words>12145</Words>
  <Characters>69230</Characters>
  <Application>Microsoft Office Word</Application>
  <DocSecurity>0</DocSecurity>
  <Lines>576</Lines>
  <Paragraphs>162</Paragraphs>
  <ScaleCrop>false</ScaleCrop>
  <HeadingPairs>
    <vt:vector size="6" baseType="variant">
      <vt:variant>
        <vt:lpstr>Title</vt:lpstr>
      </vt:variant>
      <vt:variant>
        <vt:i4>1</vt:i4>
      </vt:variant>
      <vt:variant>
        <vt:lpstr>Titre</vt:lpstr>
      </vt:variant>
      <vt:variant>
        <vt:i4>1</vt:i4>
      </vt:variant>
      <vt:variant>
        <vt:lpstr>Название</vt:lpstr>
      </vt:variant>
      <vt:variant>
        <vt:i4>1</vt:i4>
      </vt:variant>
    </vt:vector>
  </HeadingPairs>
  <TitlesOfParts>
    <vt:vector size="3" baseType="lpstr">
      <vt:lpstr>ECHR</vt:lpstr>
      <vt:lpstr>ECHR</vt:lpstr>
      <vt:lpstr>ECHR</vt:lpstr>
    </vt:vector>
  </TitlesOfParts>
  <Manager/>
  <Company/>
  <LinksUpToDate>false</LinksUpToDate>
  <CharactersWithSpaces>81213</CharactersWithSpaces>
  <SharedDoc>false</SharedDoc>
  <HLinks>
    <vt:vector size="90" baseType="variant">
      <vt:variant>
        <vt:i4>5570594</vt:i4>
      </vt:variant>
      <vt:variant>
        <vt:i4>390</vt:i4>
      </vt:variant>
      <vt:variant>
        <vt:i4>0</vt:i4>
      </vt:variant>
      <vt:variant>
        <vt:i4>5</vt:i4>
      </vt:variant>
      <vt:variant>
        <vt:lpwstr>mailto:publishing@echr.coe.int</vt:lpwstr>
      </vt:variant>
      <vt:variant>
        <vt:lpwstr/>
      </vt:variant>
      <vt:variant>
        <vt:i4>6750263</vt:i4>
      </vt:variant>
      <vt:variant>
        <vt:i4>387</vt:i4>
      </vt:variant>
      <vt:variant>
        <vt:i4>0</vt:i4>
      </vt:variant>
      <vt:variant>
        <vt:i4>5</vt:i4>
      </vt:variant>
      <vt:variant>
        <vt:lpwstr>http://hudoc.echr.coe.int/</vt:lpwstr>
      </vt:variant>
      <vt:variant>
        <vt:lpwstr/>
      </vt:variant>
      <vt:variant>
        <vt:i4>2097189</vt:i4>
      </vt:variant>
      <vt:variant>
        <vt:i4>384</vt:i4>
      </vt:variant>
      <vt:variant>
        <vt:i4>0</vt:i4>
      </vt:variant>
      <vt:variant>
        <vt:i4>5</vt:i4>
      </vt:variant>
      <vt:variant>
        <vt:lpwstr>http://www.coe.int/humanrightstrustfund</vt:lpwstr>
      </vt:variant>
      <vt:variant>
        <vt:lpwstr/>
      </vt:variant>
      <vt:variant>
        <vt:i4>5570594</vt:i4>
      </vt:variant>
      <vt:variant>
        <vt:i4>381</vt:i4>
      </vt:variant>
      <vt:variant>
        <vt:i4>0</vt:i4>
      </vt:variant>
      <vt:variant>
        <vt:i4>5</vt:i4>
      </vt:variant>
      <vt:variant>
        <vt:lpwstr>mailto:publishing@echr.coe.int</vt:lpwstr>
      </vt:variant>
      <vt:variant>
        <vt:lpwstr/>
      </vt:variant>
      <vt:variant>
        <vt:i4>6750263</vt:i4>
      </vt:variant>
      <vt:variant>
        <vt:i4>378</vt:i4>
      </vt:variant>
      <vt:variant>
        <vt:i4>0</vt:i4>
      </vt:variant>
      <vt:variant>
        <vt:i4>5</vt:i4>
      </vt:variant>
      <vt:variant>
        <vt:lpwstr>http://hudoc.echr.coe.int/</vt:lpwstr>
      </vt:variant>
      <vt:variant>
        <vt:lpwstr/>
      </vt:variant>
      <vt:variant>
        <vt:i4>2097189</vt:i4>
      </vt:variant>
      <vt:variant>
        <vt:i4>375</vt:i4>
      </vt:variant>
      <vt:variant>
        <vt:i4>0</vt:i4>
      </vt:variant>
      <vt:variant>
        <vt:i4>5</vt:i4>
      </vt:variant>
      <vt:variant>
        <vt:lpwstr>http://www.coe.int/humanrightstrustfund</vt:lpwstr>
      </vt:variant>
      <vt:variant>
        <vt:lpwstr/>
      </vt:variant>
      <vt:variant>
        <vt:i4>5570594</vt:i4>
      </vt:variant>
      <vt:variant>
        <vt:i4>372</vt:i4>
      </vt:variant>
      <vt:variant>
        <vt:i4>0</vt:i4>
      </vt:variant>
      <vt:variant>
        <vt:i4>5</vt:i4>
      </vt:variant>
      <vt:variant>
        <vt:lpwstr>mailto:publishing@echr.coe.int</vt:lpwstr>
      </vt:variant>
      <vt:variant>
        <vt:lpwstr/>
      </vt:variant>
      <vt:variant>
        <vt:i4>6750263</vt:i4>
      </vt:variant>
      <vt:variant>
        <vt:i4>369</vt:i4>
      </vt:variant>
      <vt:variant>
        <vt:i4>0</vt:i4>
      </vt:variant>
      <vt:variant>
        <vt:i4>5</vt:i4>
      </vt:variant>
      <vt:variant>
        <vt:lpwstr>http://hudoc.echr.coe.int/</vt:lpwstr>
      </vt:variant>
      <vt:variant>
        <vt:lpwstr/>
      </vt:variant>
      <vt:variant>
        <vt:i4>2097189</vt:i4>
      </vt:variant>
      <vt:variant>
        <vt:i4>366</vt:i4>
      </vt:variant>
      <vt:variant>
        <vt:i4>0</vt:i4>
      </vt:variant>
      <vt:variant>
        <vt:i4>5</vt:i4>
      </vt:variant>
      <vt:variant>
        <vt:lpwstr>http://www.coe.int/humanrightstrustfund</vt:lpwstr>
      </vt:variant>
      <vt:variant>
        <vt:lpwstr/>
      </vt:variant>
      <vt:variant>
        <vt:i4>5701680</vt:i4>
      </vt:variant>
      <vt:variant>
        <vt:i4>156</vt:i4>
      </vt:variant>
      <vt:variant>
        <vt:i4>0</vt:i4>
      </vt:variant>
      <vt:variant>
        <vt:i4>5</vt:i4>
      </vt:variant>
      <vt:variant>
        <vt:lpwstr>http://zakon.rada.gov.ua/go/995_155</vt:lpwstr>
      </vt:variant>
      <vt:variant>
        <vt:lpwstr/>
      </vt:variant>
      <vt:variant>
        <vt:i4>5701680</vt:i4>
      </vt:variant>
      <vt:variant>
        <vt:i4>129</vt:i4>
      </vt:variant>
      <vt:variant>
        <vt:i4>0</vt:i4>
      </vt:variant>
      <vt:variant>
        <vt:i4>5</vt:i4>
      </vt:variant>
      <vt:variant>
        <vt:lpwstr>http://zakon.rada.gov.ua/go/995_155</vt:lpwstr>
      </vt:variant>
      <vt:variant>
        <vt:lpwstr/>
      </vt:variant>
      <vt:variant>
        <vt:i4>5701680</vt:i4>
      </vt:variant>
      <vt:variant>
        <vt:i4>60</vt:i4>
      </vt:variant>
      <vt:variant>
        <vt:i4>0</vt:i4>
      </vt:variant>
      <vt:variant>
        <vt:i4>5</vt:i4>
      </vt:variant>
      <vt:variant>
        <vt:lpwstr>http://zakon.rada.gov.ua/go/995_155</vt:lpwstr>
      </vt:variant>
      <vt:variant>
        <vt:lpwstr/>
      </vt:variant>
      <vt:variant>
        <vt:i4>2097189</vt:i4>
      </vt:variant>
      <vt:variant>
        <vt:i4>6</vt:i4>
      </vt:variant>
      <vt:variant>
        <vt:i4>0</vt:i4>
      </vt:variant>
      <vt:variant>
        <vt:i4>5</vt:i4>
      </vt:variant>
      <vt:variant>
        <vt:lpwstr>http://www.coe.int/humanrightstrustfund</vt:lpwstr>
      </vt:variant>
      <vt:variant>
        <vt:lpwstr/>
      </vt:variant>
      <vt:variant>
        <vt:i4>2097189</vt:i4>
      </vt:variant>
      <vt:variant>
        <vt:i4>3</vt:i4>
      </vt:variant>
      <vt:variant>
        <vt:i4>0</vt:i4>
      </vt:variant>
      <vt:variant>
        <vt:i4>5</vt:i4>
      </vt:variant>
      <vt:variant>
        <vt:lpwstr>http://www.coe.int/humanrightstrustfund</vt:lpwstr>
      </vt:variant>
      <vt:variant>
        <vt:lpwstr/>
      </vt:variant>
      <vt:variant>
        <vt:i4>2097189</vt:i4>
      </vt:variant>
      <vt:variant>
        <vt:i4>0</vt:i4>
      </vt:variant>
      <vt:variant>
        <vt:i4>0</vt:i4>
      </vt:variant>
      <vt:variant>
        <vt:i4>5</vt:i4>
      </vt:variant>
      <vt:variant>
        <vt:lpwstr>http://www.coe.int/humanrightstrustfund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3</cp:revision>
  <cp:lastPrinted>2011-10-13T10:19:00Z</cp:lastPrinted>
  <dcterms:created xsi:type="dcterms:W3CDTF">2015-03-19T11:32:00Z</dcterms:created>
  <dcterms:modified xsi:type="dcterms:W3CDTF">2015-03-19T11:32:00Z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