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65271" w:rsidR="0052293D" w:rsidP="0052293D" w:rsidRDefault="0052293D">
      <w:pPr>
        <w:pStyle w:val="JuPara"/>
        <w:jc w:val="center"/>
        <w:rPr>
          <w:lang w:val="en-GB"/>
        </w:rPr>
      </w:pPr>
      <w:bookmarkStart w:name="_GoBack" w:id="0"/>
    </w:p>
    <w:p w:rsidRPr="00065271" w:rsidR="0052293D" w:rsidP="0052293D" w:rsidRDefault="0052293D">
      <w:pPr>
        <w:jc w:val="center"/>
        <w:rPr>
          <w:lang w:val="en-GB"/>
        </w:rPr>
      </w:pPr>
    </w:p>
    <w:p w:rsidRPr="00065271" w:rsidR="0052293D" w:rsidP="0052293D" w:rsidRDefault="0052293D">
      <w:pPr>
        <w:jc w:val="center"/>
        <w:rPr>
          <w:lang w:val="en-GB"/>
        </w:rPr>
      </w:pPr>
    </w:p>
    <w:p w:rsidRPr="00A014C3" w:rsidR="0052293D" w:rsidP="0052293D" w:rsidRDefault="0052293D">
      <w:pPr>
        <w:jc w:val="center"/>
        <w:rPr>
          <w:lang w:val="en-GB"/>
        </w:rPr>
      </w:pPr>
      <w:r>
        <w:rPr>
          <w:lang w:val="en-GB"/>
        </w:rPr>
        <w:t>COURT (PLENARY)</w:t>
      </w:r>
    </w:p>
    <w:p w:rsidRPr="00A014C3" w:rsidR="0052293D" w:rsidP="0052293D" w:rsidRDefault="0052293D">
      <w:pPr>
        <w:jc w:val="center"/>
        <w:rPr>
          <w:lang w:val="en-GB"/>
        </w:rPr>
      </w:pPr>
    </w:p>
    <w:p w:rsidRPr="00A014C3" w:rsidR="0052293D" w:rsidP="0052293D" w:rsidRDefault="0052293D">
      <w:pPr>
        <w:jc w:val="center"/>
        <w:rPr>
          <w:lang w:val="en-GB"/>
        </w:rPr>
      </w:pPr>
    </w:p>
    <w:p w:rsidRPr="00A014C3" w:rsidR="0052293D" w:rsidP="0052293D" w:rsidRDefault="0052293D">
      <w:pPr>
        <w:jc w:val="center"/>
        <w:rPr>
          <w:lang w:val="en-GB"/>
        </w:rPr>
      </w:pPr>
    </w:p>
    <w:p w:rsidRPr="00A014C3" w:rsidR="0052293D" w:rsidP="0052293D" w:rsidRDefault="0052293D">
      <w:pPr>
        <w:jc w:val="center"/>
        <w:rPr>
          <w:lang w:val="en-GB"/>
        </w:rPr>
      </w:pPr>
    </w:p>
    <w:p w:rsidRPr="00A014C3" w:rsidR="0052293D" w:rsidP="0052293D" w:rsidRDefault="0052293D">
      <w:pPr>
        <w:jc w:val="center"/>
        <w:rPr>
          <w:lang w:val="en-GB"/>
        </w:rPr>
      </w:pPr>
    </w:p>
    <w:p w:rsidR="0052293D" w:rsidP="0052293D" w:rsidRDefault="0052293D">
      <w:pPr>
        <w:jc w:val="center"/>
        <w:rPr>
          <w:lang w:val="en-GB"/>
        </w:rPr>
      </w:pPr>
    </w:p>
    <w:p w:rsidRPr="0052293D" w:rsidR="0052293D" w:rsidP="0052293D" w:rsidRDefault="0052293D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CASE OF </w:t>
      </w:r>
      <w:r w:rsidRPr="0052293D">
        <w:rPr>
          <w:b/>
          <w:bCs/>
          <w:color w:val="000000"/>
          <w:szCs w:val="24"/>
          <w:lang w:val="en-GB"/>
        </w:rPr>
        <w:t xml:space="preserve">BROGAN AND OTHERS v. THE </w:t>
      </w:r>
      <w:smartTag w:uri="urn:schemas-microsoft-com:office:smarttags" w:element="country-region">
        <w:smartTag w:uri="urn:schemas-microsoft-com:office:smarttags" w:element="place">
          <w:r w:rsidRPr="0052293D">
            <w:rPr>
              <w:b/>
              <w:bCs/>
              <w:color w:val="000000"/>
              <w:szCs w:val="24"/>
              <w:lang w:val="en-GB"/>
            </w:rPr>
            <w:t>UNITED KINGDOM</w:t>
          </w:r>
        </w:smartTag>
      </w:smartTag>
      <w:r w:rsidRPr="0052293D">
        <w:rPr>
          <w:b/>
          <w:bCs/>
          <w:color w:val="000000"/>
          <w:szCs w:val="24"/>
          <w:lang w:val="en-GB"/>
        </w:rPr>
        <w:t xml:space="preserve"> (ARTICLE 50)</w:t>
      </w:r>
    </w:p>
    <w:p w:rsidRPr="003015FF" w:rsidR="0052293D" w:rsidP="0052293D" w:rsidRDefault="0052293D">
      <w:pPr>
        <w:jc w:val="center"/>
        <w:rPr>
          <w:lang w:val="en-GB"/>
        </w:rPr>
      </w:pPr>
    </w:p>
    <w:p w:rsidRPr="003015FF" w:rsidR="0052293D" w:rsidP="0052293D" w:rsidRDefault="0052293D">
      <w:pPr>
        <w:jc w:val="center"/>
        <w:rPr>
          <w:i/>
          <w:iCs/>
          <w:lang w:val="en-GB"/>
        </w:rPr>
      </w:pPr>
      <w:r w:rsidRPr="003015FF">
        <w:rPr>
          <w:i/>
          <w:iCs/>
          <w:lang w:val="en-GB"/>
        </w:rPr>
        <w:t xml:space="preserve">(Application no. </w:t>
      </w:r>
      <w:r w:rsidRPr="0052293D">
        <w:rPr>
          <w:rStyle w:val="hit1"/>
          <w:i/>
          <w:color w:val="auto"/>
          <w:szCs w:val="24"/>
        </w:rPr>
        <w:t>11209/84</w:t>
      </w:r>
      <w:r w:rsidRPr="0052293D">
        <w:rPr>
          <w:i/>
          <w:szCs w:val="24"/>
        </w:rPr>
        <w:t>;</w:t>
      </w:r>
      <w:r>
        <w:rPr>
          <w:i/>
          <w:szCs w:val="24"/>
        </w:rPr>
        <w:t xml:space="preserve"> </w:t>
      </w:r>
      <w:r w:rsidRPr="0052293D">
        <w:rPr>
          <w:i/>
          <w:szCs w:val="24"/>
        </w:rPr>
        <w:t>11234/84;</w:t>
      </w:r>
      <w:r>
        <w:rPr>
          <w:i/>
          <w:szCs w:val="24"/>
        </w:rPr>
        <w:t xml:space="preserve"> </w:t>
      </w:r>
      <w:r w:rsidRPr="0052293D">
        <w:rPr>
          <w:i/>
          <w:szCs w:val="24"/>
        </w:rPr>
        <w:t>11266/84;</w:t>
      </w:r>
      <w:r>
        <w:rPr>
          <w:i/>
          <w:szCs w:val="24"/>
        </w:rPr>
        <w:t xml:space="preserve"> </w:t>
      </w:r>
      <w:r w:rsidRPr="0052293D">
        <w:rPr>
          <w:i/>
          <w:szCs w:val="24"/>
        </w:rPr>
        <w:t>11386/85</w:t>
      </w:r>
      <w:r w:rsidRPr="003015FF">
        <w:rPr>
          <w:i/>
          <w:iCs/>
          <w:lang w:val="en-GB"/>
        </w:rPr>
        <w:t>)</w:t>
      </w:r>
    </w:p>
    <w:p w:rsidRPr="003015FF" w:rsidR="0052293D" w:rsidP="0052293D" w:rsidRDefault="0052293D">
      <w:pPr>
        <w:pStyle w:val="JuCase"/>
        <w:jc w:val="center"/>
        <w:rPr>
          <w:b w:val="0"/>
          <w:lang w:val="en-GB"/>
        </w:rPr>
      </w:pPr>
    </w:p>
    <w:p w:rsidRPr="003015FF" w:rsidR="0052293D" w:rsidP="0052293D" w:rsidRDefault="0052293D">
      <w:pPr>
        <w:pStyle w:val="JuPara"/>
        <w:rPr>
          <w:lang w:val="en-GB"/>
        </w:rPr>
      </w:pPr>
    </w:p>
    <w:p w:rsidRPr="003015FF" w:rsidR="0052293D" w:rsidP="0052293D" w:rsidRDefault="0052293D">
      <w:pPr>
        <w:pStyle w:val="JuPara"/>
        <w:rPr>
          <w:lang w:val="en-GB"/>
        </w:rPr>
      </w:pPr>
    </w:p>
    <w:p w:rsidRPr="003015FF" w:rsidR="0052293D" w:rsidP="0052293D" w:rsidRDefault="0052293D">
      <w:pPr>
        <w:pStyle w:val="JuPara"/>
        <w:rPr>
          <w:lang w:val="en-GB"/>
        </w:rPr>
      </w:pPr>
    </w:p>
    <w:p w:rsidRPr="003015FF" w:rsidR="0052293D" w:rsidP="0052293D" w:rsidRDefault="0052293D">
      <w:pPr>
        <w:pStyle w:val="JuPara"/>
        <w:rPr>
          <w:lang w:val="en-GB"/>
        </w:rPr>
      </w:pPr>
    </w:p>
    <w:p w:rsidRPr="003015FF" w:rsidR="0052293D" w:rsidP="0052293D" w:rsidRDefault="0052293D">
      <w:pPr>
        <w:pStyle w:val="JuPara"/>
        <w:rPr>
          <w:lang w:val="en-GB"/>
        </w:rPr>
      </w:pPr>
    </w:p>
    <w:p w:rsidRPr="003015FF" w:rsidR="0052293D" w:rsidP="0052293D" w:rsidRDefault="0052293D">
      <w:pPr>
        <w:pStyle w:val="JuPara"/>
        <w:jc w:val="center"/>
        <w:rPr>
          <w:lang w:val="en-GB"/>
        </w:rPr>
      </w:pPr>
      <w:r w:rsidRPr="003015FF">
        <w:rPr>
          <w:lang w:val="en-GB"/>
        </w:rPr>
        <w:t>JUDGMENT</w:t>
      </w:r>
    </w:p>
    <w:p w:rsidRPr="003015FF" w:rsidR="0052293D" w:rsidP="0052293D" w:rsidRDefault="0052293D">
      <w:pPr>
        <w:pStyle w:val="JuPara"/>
        <w:jc w:val="center"/>
        <w:rPr>
          <w:lang w:val="en-GB"/>
        </w:rPr>
      </w:pPr>
    </w:p>
    <w:p w:rsidRPr="003015FF" w:rsidR="0052293D" w:rsidP="0052293D" w:rsidRDefault="0052293D">
      <w:pPr>
        <w:pStyle w:val="JuPara"/>
        <w:jc w:val="center"/>
        <w:rPr>
          <w:lang w:val="en-GB"/>
        </w:rPr>
      </w:pPr>
    </w:p>
    <w:p w:rsidRPr="003015FF" w:rsidR="0052293D" w:rsidP="0052293D" w:rsidRDefault="0052293D">
      <w:pPr>
        <w:pStyle w:val="JuPara"/>
        <w:jc w:val="center"/>
        <w:rPr>
          <w:lang w:val="en-GB"/>
        </w:rPr>
      </w:pPr>
    </w:p>
    <w:p w:rsidRPr="003015FF" w:rsidR="0052293D" w:rsidP="0052293D" w:rsidRDefault="0052293D">
      <w:pPr>
        <w:pStyle w:val="JuPara"/>
        <w:jc w:val="center"/>
        <w:rPr>
          <w:lang w:val="en-GB"/>
        </w:rPr>
      </w:pPr>
      <w:smartTag w:uri="urn:schemas-microsoft-com:office:smarttags" w:element="City">
        <w:smartTag w:uri="urn:schemas-microsoft-com:office:smarttags" w:element="place">
          <w:r w:rsidRPr="003015FF">
            <w:rPr>
              <w:lang w:val="en-GB"/>
            </w:rPr>
            <w:t>STRASBOURG</w:t>
          </w:r>
        </w:smartTag>
      </w:smartTag>
    </w:p>
    <w:p w:rsidRPr="003015FF" w:rsidR="0052293D" w:rsidP="0052293D" w:rsidRDefault="0052293D">
      <w:pPr>
        <w:pStyle w:val="JuPara"/>
        <w:jc w:val="center"/>
        <w:rPr>
          <w:lang w:val="en-GB"/>
        </w:rPr>
      </w:pPr>
    </w:p>
    <w:p w:rsidR="007B6873" w:rsidP="0052293D" w:rsidRDefault="0052293D">
      <w:pPr>
        <w:pStyle w:val="JuPara"/>
        <w:jc w:val="center"/>
        <w:rPr>
          <w:lang w:val="en-GB"/>
        </w:rPr>
        <w:sectPr w:rsidR="007B6873" w:rsidSect="00AC25D9">
          <w:headerReference w:type="even" r:id="rId7"/>
          <w:headerReference w:type="default" r:id="rId8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0"/>
          <w:cols w:space="720"/>
          <w:noEndnote/>
        </w:sectPr>
      </w:pPr>
      <w:r>
        <w:rPr>
          <w:lang w:val="en-GB"/>
        </w:rPr>
        <w:t>30 May 1989</w:t>
      </w:r>
      <w:bookmarkEnd w:id="0"/>
    </w:p>
    <w:p w:rsidR="003A07D7" w:rsidP="0052293D" w:rsidRDefault="00B27F1A">
      <w:pPr>
        <w:rPr>
          <w:lang w:val="en-GB"/>
        </w:rPr>
      </w:pPr>
      <w:r>
        <w:rPr>
          <w:lang w:val="en-GB"/>
        </w:rPr>
        <w:br w:type="page"/>
      </w:r>
    </w:p>
    <w:p w:rsidR="00C21302" w:rsidP="00A67271" w:rsidRDefault="0052293D">
      <w:pPr>
        <w:pStyle w:val="JuCase"/>
        <w:rPr>
          <w:lang w:val="en-GB"/>
        </w:rPr>
      </w:pPr>
      <w:r w:rsidRPr="0052293D">
        <w:rPr>
          <w:lang w:val="en-GB"/>
        </w:rPr>
        <w:t>I</w:t>
      </w:r>
      <w:r w:rsidR="00A67271">
        <w:rPr>
          <w:lang w:val="en-GB"/>
        </w:rPr>
        <w:t>n the case of Brogan and Others</w:t>
      </w:r>
      <w:r w:rsidRPr="00A67271" w:rsidR="00A67271">
        <w:rPr>
          <w:rStyle w:val="FootnoteReference"/>
          <w:lang w:val="en-GB"/>
        </w:rPr>
        <w:footnoteReference w:customMarkFollows="1" w:id="1"/>
        <w:sym w:font="Symbol" w:char="F02A"/>
      </w:r>
      <w:r w:rsidRPr="0052293D">
        <w:rPr>
          <w:lang w:val="en-GB"/>
        </w:rPr>
        <w:t>,</w:t>
      </w:r>
    </w:p>
    <w:p w:rsidR="00C21302" w:rsidP="00A67271" w:rsidRDefault="0052293D">
      <w:pPr>
        <w:pStyle w:val="JuPara"/>
        <w:rPr>
          <w:lang w:val="en-GB"/>
        </w:rPr>
      </w:pPr>
      <w:r w:rsidRPr="0052293D">
        <w:rPr>
          <w:lang w:val="en-GB"/>
        </w:rPr>
        <w:t>The European Court of Human Rights, taking its decision in plenary</w:t>
      </w:r>
      <w:r>
        <w:rPr>
          <w:lang w:val="en-GB"/>
        </w:rPr>
        <w:t xml:space="preserve"> </w:t>
      </w:r>
      <w:r w:rsidRPr="0052293D">
        <w:rPr>
          <w:lang w:val="en-GB"/>
        </w:rPr>
        <w:t>session in pursuance of Rule 50 of the Rules of Court and composed of</w:t>
      </w:r>
      <w:r>
        <w:rPr>
          <w:lang w:val="en-GB"/>
        </w:rPr>
        <w:t xml:space="preserve"> </w:t>
      </w:r>
      <w:r w:rsidRPr="0052293D">
        <w:rPr>
          <w:lang w:val="en-GB"/>
        </w:rPr>
        <w:t>the following judges: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R. </w:t>
      </w:r>
      <w:proofErr w:type="spellStart"/>
      <w:r w:rsidRPr="00A67271" w:rsidR="0052293D">
        <w:rPr>
          <w:rStyle w:val="JuNames"/>
          <w:lang w:val="en-GB"/>
        </w:rPr>
        <w:t>Ryssdal</w:t>
      </w:r>
      <w:proofErr w:type="spellEnd"/>
      <w:r w:rsidRPr="0052293D" w:rsidR="0052293D">
        <w:rPr>
          <w:lang w:val="en-GB"/>
        </w:rPr>
        <w:t xml:space="preserve">, </w:t>
      </w:r>
      <w:r w:rsidRPr="00A67271" w:rsidR="0052293D">
        <w:rPr>
          <w:rStyle w:val="JuJudgesItalicChar"/>
          <w:lang w:val="en-GB"/>
        </w:rPr>
        <w:t>President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J. </w:t>
      </w:r>
      <w:r w:rsidRPr="00A67271" w:rsidR="0052293D">
        <w:rPr>
          <w:rStyle w:val="JuNames"/>
          <w:lang w:val="en-GB"/>
        </w:rPr>
        <w:t>Cremona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proofErr w:type="spellStart"/>
      <w:r w:rsidRPr="0052293D" w:rsidR="0052293D">
        <w:rPr>
          <w:lang w:val="en-GB"/>
        </w:rPr>
        <w:t>Thór</w:t>
      </w:r>
      <w:proofErr w:type="spellEnd"/>
      <w:r w:rsidRPr="0052293D" w:rsidR="0052293D">
        <w:rPr>
          <w:lang w:val="en-GB"/>
        </w:rPr>
        <w:t xml:space="preserve"> </w:t>
      </w:r>
      <w:proofErr w:type="spellStart"/>
      <w:r w:rsidRPr="00A67271" w:rsidR="0052293D">
        <w:rPr>
          <w:rStyle w:val="JuNames"/>
          <w:lang w:val="en-GB"/>
        </w:rPr>
        <w:t>Vilhjálmsson</w:t>
      </w:r>
      <w:proofErr w:type="spellEnd"/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Mrs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D. </w:t>
      </w:r>
      <w:r w:rsidRPr="00A67271" w:rsidR="0052293D">
        <w:rPr>
          <w:rStyle w:val="JuNames"/>
          <w:lang w:val="en-GB"/>
        </w:rPr>
        <w:t>Bindschedler-Robert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F. </w:t>
      </w:r>
      <w:proofErr w:type="spellStart"/>
      <w:r w:rsidRPr="00A67271" w:rsidR="0052293D">
        <w:rPr>
          <w:rStyle w:val="JuNames"/>
          <w:lang w:val="en-GB"/>
        </w:rPr>
        <w:t>Gölcüklü</w:t>
      </w:r>
      <w:proofErr w:type="spellEnd"/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F. </w:t>
      </w:r>
      <w:proofErr w:type="spellStart"/>
      <w:r w:rsidRPr="00A67271" w:rsidR="0052293D">
        <w:rPr>
          <w:rStyle w:val="JuNames"/>
          <w:lang w:val="en-GB"/>
        </w:rPr>
        <w:t>Matscher</w:t>
      </w:r>
      <w:proofErr w:type="spellEnd"/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L.-E. </w:t>
      </w:r>
      <w:proofErr w:type="spellStart"/>
      <w:r w:rsidRPr="00A67271" w:rsidR="0052293D">
        <w:rPr>
          <w:rStyle w:val="JuNames"/>
          <w:lang w:val="en-GB"/>
        </w:rPr>
        <w:t>Pettiti</w:t>
      </w:r>
      <w:proofErr w:type="spellEnd"/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B. </w:t>
      </w:r>
      <w:r w:rsidRPr="00A67271" w:rsidR="0052293D">
        <w:rPr>
          <w:rStyle w:val="JuNames"/>
          <w:lang w:val="en-GB"/>
        </w:rPr>
        <w:t>Walsh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Sir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Vincent </w:t>
      </w:r>
      <w:r w:rsidRPr="00A67271" w:rsidR="0052293D">
        <w:rPr>
          <w:rStyle w:val="JuNames"/>
          <w:lang w:val="en-GB"/>
        </w:rPr>
        <w:t>Evans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R. </w:t>
      </w:r>
      <w:r w:rsidRPr="00A67271" w:rsidR="0052293D">
        <w:rPr>
          <w:rStyle w:val="JuNames"/>
          <w:lang w:val="en-GB"/>
        </w:rPr>
        <w:t>Macdonald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C. </w:t>
      </w:r>
      <w:r w:rsidRPr="00A67271" w:rsidR="0052293D">
        <w:rPr>
          <w:rStyle w:val="JuNames"/>
          <w:lang w:val="en-GB"/>
        </w:rPr>
        <w:t>Russo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R. </w:t>
      </w:r>
      <w:r w:rsidRPr="00A67271" w:rsidR="0052293D">
        <w:rPr>
          <w:rStyle w:val="JuNames"/>
          <w:lang w:val="en-GB"/>
        </w:rPr>
        <w:t>Bernhardt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A. </w:t>
      </w:r>
      <w:r w:rsidRPr="00A67271" w:rsidR="0052293D">
        <w:rPr>
          <w:rStyle w:val="JuNames"/>
          <w:lang w:val="en-GB"/>
        </w:rPr>
        <w:t>Spielmann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J. </w:t>
      </w:r>
      <w:r w:rsidRPr="00A67271" w:rsidR="0052293D">
        <w:rPr>
          <w:rStyle w:val="JuNames"/>
          <w:lang w:val="en-GB"/>
        </w:rPr>
        <w:t>De Meyer</w:t>
      </w:r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J.A. </w:t>
      </w:r>
      <w:r w:rsidRPr="00A67271" w:rsidR="0052293D">
        <w:rPr>
          <w:rStyle w:val="JuNames"/>
          <w:lang w:val="en-GB"/>
        </w:rPr>
        <w:t xml:space="preserve">Carrillo </w:t>
      </w:r>
      <w:proofErr w:type="spellStart"/>
      <w:r w:rsidRPr="00A67271" w:rsidR="0052293D">
        <w:rPr>
          <w:rStyle w:val="JuNames"/>
          <w:lang w:val="en-GB"/>
        </w:rPr>
        <w:t>Salcedo</w:t>
      </w:r>
      <w:proofErr w:type="spellEnd"/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smartTag w:uri="urn:schemas-microsoft-com:office:smarttags" w:element="place">
        <w:r w:rsidR="0052293D" w:rsidRPr="0052293D">
          <w:rPr>
            <w:lang w:val="en-GB"/>
          </w:rPr>
          <w:t xml:space="preserve">N. </w:t>
        </w:r>
        <w:proofErr w:type="spellStart"/>
        <w:r w:rsidR="0052293D" w:rsidRPr="00A67271">
          <w:rPr>
            <w:rStyle w:val="JuNames"/>
            <w:lang w:val="en-GB"/>
          </w:rPr>
          <w:t>Valticos</w:t>
        </w:r>
      </w:smartTag>
      <w:proofErr w:type="spellEnd"/>
      <w:r w:rsidRPr="0052293D" w:rsidR="0052293D">
        <w:rPr>
          <w:lang w:val="en-GB"/>
        </w:rPr>
        <w:t>,</w:t>
      </w:r>
    </w:p>
    <w:p w:rsidR="003A07D7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S.K. </w:t>
      </w:r>
      <w:r w:rsidRPr="00A67271" w:rsidR="0052293D">
        <w:rPr>
          <w:rStyle w:val="JuNames"/>
          <w:lang w:val="en-GB"/>
        </w:rPr>
        <w:t>Martens</w:t>
      </w:r>
      <w:r w:rsidRPr="0052293D" w:rsidR="0052293D">
        <w:rPr>
          <w:lang w:val="en-GB"/>
        </w:rPr>
        <w:t>,</w:t>
      </w:r>
    </w:p>
    <w:p w:rsidR="00C21302" w:rsidP="00A67271" w:rsidRDefault="00A67271">
      <w:pPr>
        <w:pStyle w:val="JuJudges"/>
        <w:rPr>
          <w:lang w:val="en-GB"/>
        </w:rPr>
      </w:pPr>
      <w:r>
        <w:rPr>
          <w:lang w:val="en-GB"/>
        </w:rPr>
        <w:tab/>
      </w:r>
      <w:r w:rsidRPr="0052293D" w:rsidR="0052293D">
        <w:rPr>
          <w:lang w:val="en-GB"/>
        </w:rPr>
        <w:t xml:space="preserve">Mrs </w:t>
      </w:r>
      <w:r>
        <w:rPr>
          <w:lang w:val="en-GB"/>
        </w:rPr>
        <w:tab/>
      </w:r>
      <w:r w:rsidRPr="0052293D" w:rsidR="0052293D">
        <w:rPr>
          <w:lang w:val="en-GB"/>
        </w:rPr>
        <w:t xml:space="preserve">E. </w:t>
      </w:r>
      <w:r w:rsidRPr="00A67271" w:rsidR="0052293D">
        <w:rPr>
          <w:rStyle w:val="JuNames"/>
          <w:lang w:val="en-GB"/>
        </w:rPr>
        <w:t>Palm</w:t>
      </w:r>
      <w:r w:rsidRPr="0052293D" w:rsidR="0052293D">
        <w:rPr>
          <w:lang w:val="en-GB"/>
        </w:rPr>
        <w:t>,</w:t>
      </w:r>
    </w:p>
    <w:p w:rsidR="00C21302" w:rsidP="00A67271" w:rsidRDefault="0052293D">
      <w:pPr>
        <w:pStyle w:val="JuPara"/>
        <w:rPr>
          <w:lang w:val="en-GB"/>
        </w:rPr>
      </w:pPr>
      <w:r w:rsidRPr="0052293D">
        <w:rPr>
          <w:lang w:val="en-GB"/>
        </w:rPr>
        <w:t xml:space="preserve">and also of Mr M.-A. </w:t>
      </w:r>
      <w:proofErr w:type="spellStart"/>
      <w:r w:rsidRPr="00A67271">
        <w:rPr>
          <w:rStyle w:val="JuNames"/>
          <w:lang w:val="en-GB"/>
        </w:rPr>
        <w:t>Eissen</w:t>
      </w:r>
      <w:proofErr w:type="spellEnd"/>
      <w:r w:rsidRPr="0052293D">
        <w:rPr>
          <w:lang w:val="en-GB"/>
        </w:rPr>
        <w:t xml:space="preserve">, </w:t>
      </w:r>
      <w:r w:rsidRPr="00A67271">
        <w:rPr>
          <w:i/>
          <w:lang w:val="en-GB"/>
        </w:rPr>
        <w:t>Registrar</w:t>
      </w:r>
      <w:r w:rsidRPr="0052293D">
        <w:rPr>
          <w:lang w:val="en-GB"/>
        </w:rPr>
        <w:t xml:space="preserve">, and Mr H. </w:t>
      </w:r>
      <w:r w:rsidRPr="00A67271">
        <w:rPr>
          <w:rStyle w:val="JuNames"/>
          <w:lang w:val="en-GB"/>
        </w:rPr>
        <w:t>Petzold</w:t>
      </w:r>
      <w:r w:rsidRPr="0052293D">
        <w:rPr>
          <w:lang w:val="en-GB"/>
        </w:rPr>
        <w:t>,</w:t>
      </w:r>
      <w:r>
        <w:rPr>
          <w:lang w:val="en-GB"/>
        </w:rPr>
        <w:t xml:space="preserve"> </w:t>
      </w:r>
      <w:r w:rsidRPr="00A67271">
        <w:rPr>
          <w:rStyle w:val="JuJudgesItalicChar"/>
          <w:lang w:val="en-GB"/>
        </w:rPr>
        <w:t>Deputy Registrar</w:t>
      </w:r>
      <w:r w:rsidRPr="0052293D">
        <w:rPr>
          <w:lang w:val="en-GB"/>
        </w:rPr>
        <w:t>,</w:t>
      </w:r>
    </w:p>
    <w:p w:rsidR="00C21302" w:rsidP="00A67271" w:rsidRDefault="0052293D">
      <w:pPr>
        <w:pStyle w:val="JuPara"/>
        <w:rPr>
          <w:lang w:val="en-GB"/>
        </w:rPr>
      </w:pPr>
      <w:r w:rsidRPr="0052293D">
        <w:rPr>
          <w:lang w:val="en-GB"/>
        </w:rPr>
        <w:t xml:space="preserve">Having deliberated in private on 25 April and </w:t>
      </w:r>
      <w:smartTag w:uri="urn:schemas-microsoft-com:office:smarttags" w:element="date">
        <w:smartTagPr>
          <w:attr w:name="Month" w:val="5"/>
          <w:attr w:name="Day" w:val="24"/>
          <w:attr w:name="Year" w:val="1989"/>
        </w:smartTagPr>
        <w:r w:rsidRPr="0052293D">
          <w:rPr>
            <w:lang w:val="en-GB"/>
          </w:rPr>
          <w:t>24 May 1989</w:t>
        </w:r>
      </w:smartTag>
      <w:r w:rsidRPr="0052293D">
        <w:rPr>
          <w:lang w:val="en-GB"/>
        </w:rPr>
        <w:t>,</w:t>
      </w:r>
    </w:p>
    <w:p w:rsidR="00C21302" w:rsidP="00A67271" w:rsidRDefault="0052293D">
      <w:pPr>
        <w:pStyle w:val="JuPara"/>
        <w:rPr>
          <w:lang w:val="en-GB"/>
        </w:rPr>
      </w:pPr>
      <w:r w:rsidRPr="0052293D">
        <w:rPr>
          <w:lang w:val="en-GB"/>
        </w:rPr>
        <w:t>Delivers the following judgment, which was adopted on the</w:t>
      </w:r>
      <w:r>
        <w:rPr>
          <w:lang w:val="en-GB"/>
        </w:rPr>
        <w:t xml:space="preserve"> </w:t>
      </w:r>
      <w:r w:rsidRPr="0052293D">
        <w:rPr>
          <w:lang w:val="en-GB"/>
        </w:rPr>
        <w:t>last-mentioned date:</w:t>
      </w:r>
    </w:p>
    <w:p w:rsidR="00C21302" w:rsidP="00A67271" w:rsidRDefault="0052293D">
      <w:pPr>
        <w:pStyle w:val="JuHHead"/>
        <w:rPr>
          <w:lang w:val="en-GB"/>
        </w:rPr>
      </w:pPr>
      <w:r w:rsidRPr="0052293D">
        <w:rPr>
          <w:lang w:val="en-GB"/>
        </w:rPr>
        <w:t>PROCEDURE AND FACTS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1.</w:t>
      </w:r>
      <w:r w:rsidR="00C21302">
        <w:rPr>
          <w:lang w:val="en-GB"/>
        </w:rPr>
        <w:t xml:space="preserve">   </w:t>
      </w:r>
      <w:r w:rsidRPr="0052293D">
        <w:rPr>
          <w:lang w:val="en-GB"/>
        </w:rPr>
        <w:t xml:space="preserve">The case was brought before the Court on </w:t>
      </w:r>
      <w:smartTag w:uri="urn:schemas-microsoft-com:office:smarttags" w:element="date">
        <w:smartTagPr>
          <w:attr w:name="Month" w:val="7"/>
          <w:attr w:name="Day" w:val="15"/>
          <w:attr w:name="Year" w:val="1987"/>
        </w:smartTagPr>
        <w:r w:rsidRPr="0052293D">
          <w:rPr>
            <w:lang w:val="en-GB"/>
          </w:rPr>
          <w:t>15 July 1987</w:t>
        </w:r>
      </w:smartTag>
      <w:r w:rsidRPr="0052293D">
        <w:rPr>
          <w:lang w:val="en-GB"/>
        </w:rPr>
        <w:t xml:space="preserve"> by the</w:t>
      </w:r>
      <w:r>
        <w:rPr>
          <w:lang w:val="en-GB"/>
        </w:rPr>
        <w:t xml:space="preserve"> </w:t>
      </w:r>
      <w:r w:rsidRPr="0052293D">
        <w:rPr>
          <w:lang w:val="en-GB"/>
        </w:rPr>
        <w:t>European Commission of Human Rights ("the Commission") and on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8"/>
          <w:attr w:name="Day" w:val="3"/>
          <w:attr w:name="Year" w:val="1987"/>
        </w:smartTagPr>
        <w:r w:rsidRPr="0052293D">
          <w:rPr>
            <w:lang w:val="en-GB"/>
          </w:rPr>
          <w:t>3 August 1987</w:t>
        </w:r>
      </w:smartTag>
      <w:r w:rsidRPr="0052293D">
        <w:rPr>
          <w:lang w:val="en-GB"/>
        </w:rPr>
        <w:t xml:space="preserve"> by the Government of the United Kingdom of Great Britain</w:t>
      </w:r>
      <w:r>
        <w:rPr>
          <w:lang w:val="en-GB"/>
        </w:rPr>
        <w:t xml:space="preserve"> </w:t>
      </w:r>
      <w:r w:rsidRPr="0052293D">
        <w:rPr>
          <w:lang w:val="en-GB"/>
        </w:rPr>
        <w:t>and Northern Ireland ("the Government").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It originated in four</w:t>
      </w:r>
      <w:r>
        <w:rPr>
          <w:lang w:val="en-GB"/>
        </w:rPr>
        <w:t xml:space="preserve"> </w:t>
      </w:r>
      <w:r w:rsidRPr="0052293D">
        <w:rPr>
          <w:lang w:val="en-GB"/>
        </w:rPr>
        <w:t>applications (nos. 11209/84, 11234/84, 11266/84 and 11386/85) against</w:t>
      </w:r>
      <w:r>
        <w:rPr>
          <w:lang w:val="en-GB"/>
        </w:rPr>
        <w:t xml:space="preserve"> </w:t>
      </w:r>
      <w:r w:rsidRPr="0052293D">
        <w:rPr>
          <w:lang w:val="en-GB"/>
        </w:rPr>
        <w:t>the United Kingdom which had been lodged with the Commission,</w:t>
      </w:r>
      <w:r>
        <w:rPr>
          <w:lang w:val="en-GB"/>
        </w:rPr>
        <w:t xml:space="preserve"> </w:t>
      </w:r>
      <w:r w:rsidRPr="0052293D">
        <w:rPr>
          <w:lang w:val="en-GB"/>
        </w:rPr>
        <w:t>on 18 October 1984, 22 October 1984, 22 November 1984 and</w:t>
      </w:r>
      <w:r>
        <w:rPr>
          <w:lang w:val="en-GB"/>
        </w:rPr>
        <w:t xml:space="preserve"> </w:t>
      </w:r>
      <w:r w:rsidRPr="0052293D">
        <w:rPr>
          <w:lang w:val="en-GB"/>
        </w:rPr>
        <w:t>8 February 1985 respectively, by four British citizens,</w:t>
      </w:r>
      <w:r>
        <w:rPr>
          <w:lang w:val="en-GB"/>
        </w:rPr>
        <w:t xml:space="preserve"> </w:t>
      </w:r>
      <w:r w:rsidRPr="0052293D">
        <w:rPr>
          <w:lang w:val="en-GB"/>
        </w:rPr>
        <w:t>Mr Terence Brogan, Mr Dermot Coyle, Mr William McFadden and</w:t>
      </w:r>
      <w:r>
        <w:rPr>
          <w:lang w:val="en-GB"/>
        </w:rPr>
        <w:t xml:space="preserve"> </w:t>
      </w:r>
      <w:r w:rsidRPr="0052293D">
        <w:rPr>
          <w:lang w:val="en-GB"/>
        </w:rPr>
        <w:t>Mr Michael Tracey.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As regards the facts of the case, reference is made to paragraphs 11</w:t>
      </w:r>
      <w:r>
        <w:rPr>
          <w:lang w:val="en-GB"/>
        </w:rPr>
        <w:t xml:space="preserve"> </w:t>
      </w:r>
      <w:r w:rsidRPr="0052293D">
        <w:rPr>
          <w:lang w:val="en-GB"/>
        </w:rPr>
        <w:t>to 41 of the Court</w:t>
      </w:r>
      <w:r w:rsidR="00C21302">
        <w:rPr>
          <w:lang w:val="en-GB"/>
        </w:rPr>
        <w:t>’</w:t>
      </w:r>
      <w:r w:rsidRPr="0052293D">
        <w:rPr>
          <w:lang w:val="en-GB"/>
        </w:rPr>
        <w:t xml:space="preserve">s judgment of </w:t>
      </w:r>
      <w:smartTag w:uri="urn:schemas-microsoft-com:office:smarttags" w:element="date">
        <w:smartTagPr>
          <w:attr w:name="Month" w:val="11"/>
          <w:attr w:name="Day" w:val="29"/>
          <w:attr w:name="Year" w:val="1988"/>
        </w:smartTagPr>
        <w:r w:rsidRPr="0052293D">
          <w:rPr>
            <w:lang w:val="en-GB"/>
          </w:rPr>
          <w:t>29 November 1988</w:t>
        </w:r>
      </w:smartTag>
      <w:r w:rsidRPr="0052293D">
        <w:rPr>
          <w:lang w:val="en-GB"/>
        </w:rPr>
        <w:t xml:space="preserve"> ("the principal</w:t>
      </w:r>
      <w:r>
        <w:rPr>
          <w:lang w:val="en-GB"/>
        </w:rPr>
        <w:t xml:space="preserve"> </w:t>
      </w:r>
      <w:r w:rsidRPr="0052293D">
        <w:rPr>
          <w:lang w:val="en-GB"/>
        </w:rPr>
        <w:t>judgment" - Series A no. 145-B, pp. 19-25).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2.</w:t>
      </w:r>
      <w:r w:rsidR="00C21302">
        <w:rPr>
          <w:lang w:val="en-GB"/>
        </w:rPr>
        <w:t xml:space="preserve">  </w:t>
      </w:r>
      <w:r w:rsidRPr="0052293D">
        <w:rPr>
          <w:lang w:val="en-GB"/>
        </w:rPr>
        <w:t>In that judgment the Court held, inter alia: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(a)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that there had been no violation of Article 5 § 1 (art. 5-1) of</w:t>
      </w:r>
      <w:r>
        <w:rPr>
          <w:lang w:val="en-GB"/>
        </w:rPr>
        <w:t xml:space="preserve"> </w:t>
      </w:r>
      <w:r w:rsidRPr="0052293D">
        <w:rPr>
          <w:lang w:val="en-GB"/>
        </w:rPr>
        <w:t>the Convention, the applicants</w:t>
      </w:r>
      <w:r w:rsidR="00C21302">
        <w:rPr>
          <w:lang w:val="en-GB"/>
        </w:rPr>
        <w:t>’</w:t>
      </w:r>
      <w:r w:rsidRPr="0052293D">
        <w:rPr>
          <w:lang w:val="en-GB"/>
        </w:rPr>
        <w:t xml:space="preserve"> detention having been based on a</w:t>
      </w:r>
      <w:r>
        <w:rPr>
          <w:lang w:val="en-GB"/>
        </w:rPr>
        <w:t xml:space="preserve"> </w:t>
      </w:r>
      <w:r w:rsidRPr="0052293D">
        <w:rPr>
          <w:lang w:val="en-GB"/>
        </w:rPr>
        <w:t>reasonable suspicion of commission of an offence and effected for the</w:t>
      </w:r>
      <w:r>
        <w:rPr>
          <w:lang w:val="en-GB"/>
        </w:rPr>
        <w:t xml:space="preserve"> </w:t>
      </w:r>
      <w:r w:rsidRPr="0052293D">
        <w:rPr>
          <w:lang w:val="en-GB"/>
        </w:rPr>
        <w:t>purpose of bringing them before the competent legal authority</w:t>
      </w:r>
      <w:r>
        <w:rPr>
          <w:lang w:val="en-GB"/>
        </w:rPr>
        <w:t xml:space="preserve"> </w:t>
      </w:r>
      <w:r w:rsidRPr="0052293D">
        <w:rPr>
          <w:lang w:val="en-GB"/>
        </w:rPr>
        <w:t>(paragraphs 49-54 of the reasons and point 1 of the operative</w:t>
      </w:r>
      <w:r>
        <w:rPr>
          <w:lang w:val="en-GB"/>
        </w:rPr>
        <w:t xml:space="preserve"> </w:t>
      </w:r>
      <w:r w:rsidRPr="0052293D">
        <w:rPr>
          <w:lang w:val="en-GB"/>
        </w:rPr>
        <w:t>provisions, pp. 28-30 and 37);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(b)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that there had been a violation of Article 5 § 3 (art. 5-3) in</w:t>
      </w:r>
      <w:r>
        <w:rPr>
          <w:lang w:val="en-GB"/>
        </w:rPr>
        <w:t xml:space="preserve"> </w:t>
      </w:r>
      <w:r w:rsidRPr="0052293D">
        <w:rPr>
          <w:lang w:val="en-GB"/>
        </w:rPr>
        <w:t>respect of all four applicants, in that they had not been brought</w:t>
      </w:r>
      <w:r>
        <w:rPr>
          <w:lang w:val="en-GB"/>
        </w:rPr>
        <w:t xml:space="preserve"> </w:t>
      </w:r>
      <w:r w:rsidRPr="0052293D">
        <w:rPr>
          <w:lang w:val="en-GB"/>
        </w:rPr>
        <w:t>promptly before a judge or other officer authorised by law to exercise</w:t>
      </w:r>
      <w:r>
        <w:rPr>
          <w:lang w:val="en-GB"/>
        </w:rPr>
        <w:t xml:space="preserve"> </w:t>
      </w:r>
      <w:r w:rsidRPr="0052293D">
        <w:rPr>
          <w:lang w:val="en-GB"/>
        </w:rPr>
        <w:t>judicial power (paragraphs 55-62 of the reasons and point 2 of the</w:t>
      </w:r>
      <w:r>
        <w:rPr>
          <w:lang w:val="en-GB"/>
        </w:rPr>
        <w:t xml:space="preserve"> </w:t>
      </w:r>
      <w:r w:rsidRPr="0052293D">
        <w:rPr>
          <w:lang w:val="en-GB"/>
        </w:rPr>
        <w:t>operative provisions, pp. 30-34 and 37);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(c)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that there had been no violation of Article 5 § 4 (art. 5-4), the</w:t>
      </w:r>
      <w:r>
        <w:rPr>
          <w:lang w:val="en-GB"/>
        </w:rPr>
        <w:t xml:space="preserve"> </w:t>
      </w:r>
      <w:r w:rsidRPr="0052293D">
        <w:rPr>
          <w:lang w:val="en-GB"/>
        </w:rPr>
        <w:t>applicants having been entitled to take proceedings of the nature</w:t>
      </w:r>
      <w:r>
        <w:rPr>
          <w:lang w:val="en-GB"/>
        </w:rPr>
        <w:t xml:space="preserve"> </w:t>
      </w:r>
      <w:r w:rsidRPr="0052293D">
        <w:rPr>
          <w:lang w:val="en-GB"/>
        </w:rPr>
        <w:t>required by this provision (paragraphs 63-65 of the reasons and</w:t>
      </w:r>
      <w:r>
        <w:rPr>
          <w:lang w:val="en-GB"/>
        </w:rPr>
        <w:t xml:space="preserve"> </w:t>
      </w:r>
      <w:r w:rsidRPr="0052293D">
        <w:rPr>
          <w:lang w:val="en-GB"/>
        </w:rPr>
        <w:t>point 3 of the operative provisions, pp. 34-35 and 37);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(d)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that there had been a violation of Article 5 § 5 (art. 5-5) in</w:t>
      </w:r>
      <w:r>
        <w:rPr>
          <w:lang w:val="en-GB"/>
        </w:rPr>
        <w:t xml:space="preserve"> </w:t>
      </w:r>
      <w:r w:rsidRPr="0052293D">
        <w:rPr>
          <w:lang w:val="en-GB"/>
        </w:rPr>
        <w:t>respect of all four applicants, in that they had no enforceable claim</w:t>
      </w:r>
      <w:r>
        <w:rPr>
          <w:lang w:val="en-GB"/>
        </w:rPr>
        <w:t xml:space="preserve"> </w:t>
      </w:r>
      <w:r w:rsidRPr="0052293D">
        <w:rPr>
          <w:lang w:val="en-GB"/>
        </w:rPr>
        <w:t>for compensation before the domestic courts for the breach of</w:t>
      </w:r>
      <w:r>
        <w:rPr>
          <w:lang w:val="en-GB"/>
        </w:rPr>
        <w:t xml:space="preserve"> </w:t>
      </w:r>
      <w:r w:rsidRPr="0052293D">
        <w:rPr>
          <w:lang w:val="en-GB"/>
        </w:rPr>
        <w:t>Article 5 § 3 (art. 5-3) (paragraphs 66-67 of the reasons and point 4</w:t>
      </w:r>
      <w:r>
        <w:rPr>
          <w:lang w:val="en-GB"/>
        </w:rPr>
        <w:t xml:space="preserve"> </w:t>
      </w:r>
      <w:r w:rsidRPr="0052293D">
        <w:rPr>
          <w:lang w:val="en-GB"/>
        </w:rPr>
        <w:t>of the operative provisions, pp. 35 and 37);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(e)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that there was no call to examine the application of Article 50</w:t>
      </w:r>
      <w:r>
        <w:rPr>
          <w:lang w:val="en-GB"/>
        </w:rPr>
        <w:t xml:space="preserve"> </w:t>
      </w:r>
      <w:r w:rsidRPr="0052293D">
        <w:rPr>
          <w:lang w:val="en-GB"/>
        </w:rPr>
        <w:t>(art. 50) in relation to reimbursement of any costs or expenses</w:t>
      </w:r>
      <w:r>
        <w:rPr>
          <w:lang w:val="en-GB"/>
        </w:rPr>
        <w:t xml:space="preserve"> </w:t>
      </w:r>
      <w:r w:rsidRPr="0052293D">
        <w:rPr>
          <w:lang w:val="en-GB"/>
        </w:rPr>
        <w:t>incurred, the applicants not having submitted any claim in this</w:t>
      </w:r>
      <w:r>
        <w:rPr>
          <w:lang w:val="en-GB"/>
        </w:rPr>
        <w:t xml:space="preserve"> </w:t>
      </w:r>
      <w:r w:rsidRPr="0052293D">
        <w:rPr>
          <w:lang w:val="en-GB"/>
        </w:rPr>
        <w:t>respect and this not being a matter which the Court had to examine of</w:t>
      </w:r>
      <w:r>
        <w:rPr>
          <w:lang w:val="en-GB"/>
        </w:rPr>
        <w:t xml:space="preserve"> </w:t>
      </w:r>
      <w:r w:rsidRPr="0052293D">
        <w:rPr>
          <w:lang w:val="en-GB"/>
        </w:rPr>
        <w:t>its own motion (paragraph 70 of the reasons and point 6 of the</w:t>
      </w:r>
      <w:r>
        <w:rPr>
          <w:lang w:val="en-GB"/>
        </w:rPr>
        <w:t xml:space="preserve"> </w:t>
      </w:r>
      <w:r w:rsidRPr="0052293D">
        <w:rPr>
          <w:lang w:val="en-GB"/>
        </w:rPr>
        <w:t>operative provisions, pp. 36 and 37).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3.</w:t>
      </w:r>
      <w:r w:rsidR="00C21302">
        <w:rPr>
          <w:lang w:val="en-GB"/>
        </w:rPr>
        <w:t xml:space="preserve">  </w:t>
      </w:r>
      <w:r w:rsidRPr="0052293D">
        <w:rPr>
          <w:lang w:val="en-GB"/>
        </w:rPr>
        <w:t xml:space="preserve">In their memorial of </w:t>
      </w:r>
      <w:smartTag w:uri="urn:schemas-microsoft-com:office:smarttags" w:element="date">
        <w:smartTagPr>
          <w:attr w:name="Month" w:val="1"/>
          <w:attr w:name="Day" w:val="18"/>
          <w:attr w:name="Year" w:val="1988"/>
        </w:smartTagPr>
        <w:r w:rsidRPr="0052293D">
          <w:rPr>
            <w:lang w:val="en-GB"/>
          </w:rPr>
          <w:t>18 January 1988</w:t>
        </w:r>
      </w:smartTag>
      <w:r w:rsidRPr="0052293D">
        <w:rPr>
          <w:lang w:val="en-GB"/>
        </w:rPr>
        <w:t xml:space="preserve"> the applicants had claimed,</w:t>
      </w:r>
      <w:r>
        <w:rPr>
          <w:lang w:val="en-GB"/>
        </w:rPr>
        <w:t xml:space="preserve"> </w:t>
      </w:r>
      <w:r w:rsidRPr="0052293D">
        <w:rPr>
          <w:lang w:val="en-GB"/>
        </w:rPr>
        <w:t>under Article 50 (art. 50) of the Convention, compensation for</w:t>
      </w:r>
      <w:r>
        <w:rPr>
          <w:lang w:val="en-GB"/>
        </w:rPr>
        <w:t xml:space="preserve"> </w:t>
      </w:r>
      <w:r w:rsidRPr="0052293D">
        <w:rPr>
          <w:lang w:val="en-GB"/>
        </w:rPr>
        <w:t>prejudice suffered.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They contended that an award of exemplary damages</w:t>
      </w:r>
      <w:r>
        <w:rPr>
          <w:lang w:val="en-GB"/>
        </w:rPr>
        <w:t xml:space="preserve"> </w:t>
      </w:r>
      <w:r w:rsidRPr="0052293D">
        <w:rPr>
          <w:lang w:val="en-GB"/>
        </w:rPr>
        <w:t>would be appropriate and suggested, notably, that compensation should</w:t>
      </w:r>
      <w:r>
        <w:rPr>
          <w:lang w:val="en-GB"/>
        </w:rPr>
        <w:t xml:space="preserve"> </w:t>
      </w:r>
      <w:r w:rsidRPr="0052293D">
        <w:rPr>
          <w:lang w:val="en-GB"/>
        </w:rPr>
        <w:t>be calculated on the basis of approximately £2,000 for each hour of</w:t>
      </w:r>
      <w:r>
        <w:rPr>
          <w:lang w:val="en-GB"/>
        </w:rPr>
        <w:t xml:space="preserve"> </w:t>
      </w:r>
      <w:r w:rsidRPr="0052293D">
        <w:rPr>
          <w:lang w:val="en-GB"/>
        </w:rPr>
        <w:t>wrongful detention.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In the principal judgment the Court held that the question of the</w:t>
      </w:r>
      <w:r>
        <w:rPr>
          <w:lang w:val="en-GB"/>
        </w:rPr>
        <w:t xml:space="preserve"> </w:t>
      </w:r>
      <w:r w:rsidRPr="0052293D">
        <w:rPr>
          <w:lang w:val="en-GB"/>
        </w:rPr>
        <w:t>application of Article 50 (art. 50) in relation to this claim was not</w:t>
      </w:r>
      <w:r>
        <w:rPr>
          <w:lang w:val="en-GB"/>
        </w:rPr>
        <w:t xml:space="preserve"> </w:t>
      </w:r>
      <w:r w:rsidRPr="0052293D">
        <w:rPr>
          <w:lang w:val="en-GB"/>
        </w:rPr>
        <w:t>ready for decision; accordingly, it reserved the said question in that</w:t>
      </w:r>
      <w:r>
        <w:rPr>
          <w:lang w:val="en-GB"/>
        </w:rPr>
        <w:t xml:space="preserve"> </w:t>
      </w:r>
      <w:r w:rsidRPr="0052293D">
        <w:rPr>
          <w:lang w:val="en-GB"/>
        </w:rPr>
        <w:t>respect and invited the Government to submit their written comments</w:t>
      </w:r>
      <w:r>
        <w:rPr>
          <w:lang w:val="en-GB"/>
        </w:rPr>
        <w:t xml:space="preserve"> </w:t>
      </w:r>
      <w:r w:rsidRPr="0052293D">
        <w:rPr>
          <w:lang w:val="en-GB"/>
        </w:rPr>
        <w:t>within the next three months and, in particular, to notify the Court</w:t>
      </w:r>
      <w:r>
        <w:rPr>
          <w:lang w:val="en-GB"/>
        </w:rPr>
        <w:t xml:space="preserve"> </w:t>
      </w:r>
      <w:r w:rsidRPr="0052293D">
        <w:rPr>
          <w:lang w:val="en-GB"/>
        </w:rPr>
        <w:t>of any agreement reached between them and the applicants (paragraph 71</w:t>
      </w:r>
      <w:r>
        <w:rPr>
          <w:lang w:val="en-GB"/>
        </w:rPr>
        <w:t xml:space="preserve"> </w:t>
      </w:r>
      <w:r w:rsidRPr="0052293D">
        <w:rPr>
          <w:lang w:val="en-GB"/>
        </w:rPr>
        <w:t>of the reasons and point 7 of the operative provisions, pp. 36 and</w:t>
      </w:r>
      <w:r>
        <w:rPr>
          <w:lang w:val="en-GB"/>
        </w:rPr>
        <w:t xml:space="preserve"> </w:t>
      </w:r>
      <w:r w:rsidRPr="0052293D">
        <w:rPr>
          <w:lang w:val="en-GB"/>
        </w:rPr>
        <w:t>37).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4.</w:t>
      </w:r>
      <w:r w:rsidR="00C21302">
        <w:rPr>
          <w:lang w:val="en-GB"/>
        </w:rPr>
        <w:t xml:space="preserve">  </w:t>
      </w:r>
      <w:r w:rsidRPr="0052293D">
        <w:rPr>
          <w:lang w:val="en-GB"/>
        </w:rPr>
        <w:t>In accordance with the foregoing invitation and the President</w:t>
      </w:r>
      <w:r w:rsidR="00C21302">
        <w:rPr>
          <w:lang w:val="en-GB"/>
        </w:rPr>
        <w:t>’</w:t>
      </w:r>
      <w:r w:rsidRPr="0052293D">
        <w:rPr>
          <w:lang w:val="en-GB"/>
        </w:rPr>
        <w:t>s</w:t>
      </w:r>
      <w:r>
        <w:rPr>
          <w:lang w:val="en-GB"/>
        </w:rPr>
        <w:t xml:space="preserve"> </w:t>
      </w:r>
      <w:r w:rsidRPr="0052293D">
        <w:rPr>
          <w:lang w:val="en-GB"/>
        </w:rPr>
        <w:t xml:space="preserve">directions, there were filed at the registry, on </w:t>
      </w:r>
      <w:smartTag w:uri="urn:schemas-microsoft-com:office:smarttags" w:element="date">
        <w:smartTagPr>
          <w:attr w:name="Month" w:val="2"/>
          <w:attr w:name="Day" w:val="24"/>
          <w:attr w:name="Year" w:val="1989"/>
        </w:smartTagPr>
        <w:r w:rsidRPr="0052293D">
          <w:rPr>
            <w:lang w:val="en-GB"/>
          </w:rPr>
          <w:t>24 February 1989</w:t>
        </w:r>
      </w:smartTag>
      <w:r w:rsidRPr="0052293D">
        <w:rPr>
          <w:lang w:val="en-GB"/>
        </w:rPr>
        <w:t>, a</w:t>
      </w:r>
      <w:r>
        <w:rPr>
          <w:lang w:val="en-GB"/>
        </w:rPr>
        <w:t xml:space="preserve"> </w:t>
      </w:r>
      <w:r w:rsidRPr="0052293D">
        <w:rPr>
          <w:lang w:val="en-GB"/>
        </w:rPr>
        <w:t xml:space="preserve">memorial of the Government and, on </w:t>
      </w:r>
      <w:smartTag w:uri="urn:schemas-microsoft-com:office:smarttags" w:element="date">
        <w:smartTagPr>
          <w:attr w:name="Month" w:val="3"/>
          <w:attr w:name="Day" w:val="28"/>
          <w:attr w:name="Year" w:val="1989"/>
        </w:smartTagPr>
        <w:r w:rsidRPr="0052293D">
          <w:rPr>
            <w:lang w:val="en-GB"/>
          </w:rPr>
          <w:t>28 March 1989</w:t>
        </w:r>
      </w:smartTag>
      <w:r w:rsidRPr="0052293D">
        <w:rPr>
          <w:lang w:val="en-GB"/>
        </w:rPr>
        <w:t>, observations of the</w:t>
      </w:r>
      <w:r>
        <w:rPr>
          <w:lang w:val="en-GB"/>
        </w:rPr>
        <w:t xml:space="preserve"> </w:t>
      </w:r>
      <w:r w:rsidRPr="0052293D">
        <w:rPr>
          <w:lang w:val="en-GB"/>
        </w:rPr>
        <w:t>applicants.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These documents revealed that no agreement as aforesaid</w:t>
      </w:r>
      <w:r>
        <w:rPr>
          <w:lang w:val="en-GB"/>
        </w:rPr>
        <w:t xml:space="preserve"> </w:t>
      </w:r>
      <w:r w:rsidRPr="0052293D">
        <w:rPr>
          <w:lang w:val="en-GB"/>
        </w:rPr>
        <w:t>had been reached.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On 14 April the Delegate of the Commission lodged observations on the</w:t>
      </w:r>
      <w:r>
        <w:rPr>
          <w:lang w:val="en-GB"/>
        </w:rPr>
        <w:t xml:space="preserve"> </w:t>
      </w:r>
      <w:r w:rsidRPr="0052293D">
        <w:rPr>
          <w:lang w:val="en-GB"/>
        </w:rPr>
        <w:t>question of the application of Article 50 (art. 50) in the present</w:t>
      </w:r>
      <w:r>
        <w:rPr>
          <w:lang w:val="en-GB"/>
        </w:rPr>
        <w:t xml:space="preserve"> </w:t>
      </w:r>
      <w:r w:rsidRPr="0052293D">
        <w:rPr>
          <w:lang w:val="en-GB"/>
        </w:rPr>
        <w:t>case.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5.</w:t>
      </w:r>
      <w:r w:rsidR="00C21302">
        <w:rPr>
          <w:lang w:val="en-GB"/>
        </w:rPr>
        <w:t xml:space="preserve">  </w:t>
      </w:r>
      <w:r w:rsidRPr="0052293D">
        <w:rPr>
          <w:lang w:val="en-GB"/>
        </w:rPr>
        <w:t xml:space="preserve">The Court decided on </w:t>
      </w:r>
      <w:smartTag w:uri="urn:schemas-microsoft-com:office:smarttags" w:element="date">
        <w:smartTagPr>
          <w:attr w:name="Month" w:val="4"/>
          <w:attr w:name="Day" w:val="25"/>
          <w:attr w:name="Year" w:val="1989"/>
        </w:smartTagPr>
        <w:r w:rsidRPr="0052293D">
          <w:rPr>
            <w:lang w:val="en-GB"/>
          </w:rPr>
          <w:t>25 April 1989</w:t>
        </w:r>
      </w:smartTag>
      <w:r w:rsidRPr="0052293D">
        <w:rPr>
          <w:lang w:val="en-GB"/>
        </w:rPr>
        <w:t xml:space="preserve"> that there was no call to</w:t>
      </w:r>
      <w:r>
        <w:rPr>
          <w:lang w:val="en-GB"/>
        </w:rPr>
        <w:t xml:space="preserve"> </w:t>
      </w:r>
      <w:r w:rsidRPr="0052293D">
        <w:rPr>
          <w:lang w:val="en-GB"/>
        </w:rPr>
        <w:t>hold a hearing.</w:t>
      </w:r>
    </w:p>
    <w:p w:rsidR="00C21302" w:rsidP="002F1A37" w:rsidRDefault="0052293D">
      <w:pPr>
        <w:pStyle w:val="JuHHead"/>
        <w:rPr>
          <w:lang w:val="en-GB"/>
        </w:rPr>
      </w:pPr>
      <w:r w:rsidRPr="0052293D">
        <w:rPr>
          <w:lang w:val="en-GB"/>
        </w:rPr>
        <w:t>AS TO THE LAW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>6.</w:t>
      </w:r>
      <w:r w:rsidR="00C21302">
        <w:rPr>
          <w:lang w:val="en-GB"/>
        </w:rPr>
        <w:t xml:space="preserve">   </w:t>
      </w:r>
      <w:r w:rsidRPr="0052293D">
        <w:rPr>
          <w:lang w:val="en-GB"/>
        </w:rPr>
        <w:t>Article 50 (art. 50) of the Convention provides as follows:</w:t>
      </w:r>
    </w:p>
    <w:p w:rsidR="00C21302" w:rsidP="002F1A37" w:rsidRDefault="0052293D">
      <w:pPr>
        <w:pStyle w:val="JuQuot"/>
        <w:rPr>
          <w:lang w:val="en-GB"/>
        </w:rPr>
      </w:pPr>
      <w:r w:rsidRPr="0052293D">
        <w:rPr>
          <w:lang w:val="en-GB"/>
        </w:rPr>
        <w:t>"If the Court finds that a decision or a measure taken by a legal</w:t>
      </w:r>
      <w:r>
        <w:rPr>
          <w:lang w:val="en-GB"/>
        </w:rPr>
        <w:t xml:space="preserve"> </w:t>
      </w:r>
      <w:r w:rsidRPr="0052293D">
        <w:rPr>
          <w:lang w:val="en-GB"/>
        </w:rPr>
        <w:t>authority or any other authority of a High Contracting Party is</w:t>
      </w:r>
      <w:r>
        <w:rPr>
          <w:lang w:val="en-GB"/>
        </w:rPr>
        <w:t xml:space="preserve"> </w:t>
      </w:r>
      <w:r w:rsidRPr="0052293D">
        <w:rPr>
          <w:lang w:val="en-GB"/>
        </w:rPr>
        <w:t>completely or partially in conflict with the obligations arising from</w:t>
      </w:r>
      <w:r>
        <w:rPr>
          <w:lang w:val="en-GB"/>
        </w:rPr>
        <w:t xml:space="preserve"> </w:t>
      </w:r>
      <w:r w:rsidRPr="0052293D">
        <w:rPr>
          <w:lang w:val="en-GB"/>
        </w:rPr>
        <w:t>the ... Convention, and if the internal law of the said Party allows</w:t>
      </w:r>
      <w:r>
        <w:rPr>
          <w:lang w:val="en-GB"/>
        </w:rPr>
        <w:t xml:space="preserve"> </w:t>
      </w:r>
      <w:r w:rsidRPr="0052293D">
        <w:rPr>
          <w:lang w:val="en-GB"/>
        </w:rPr>
        <w:t>only partial reparation to be made for the consequences of this</w:t>
      </w:r>
      <w:r>
        <w:rPr>
          <w:lang w:val="en-GB"/>
        </w:rPr>
        <w:t xml:space="preserve"> </w:t>
      </w:r>
      <w:r w:rsidRPr="0052293D">
        <w:rPr>
          <w:lang w:val="en-GB"/>
        </w:rPr>
        <w:t>decision or measure, the decision of the Court shall, if necessary,</w:t>
      </w:r>
      <w:r>
        <w:rPr>
          <w:lang w:val="en-GB"/>
        </w:rPr>
        <w:t xml:space="preserve"> </w:t>
      </w:r>
      <w:r w:rsidRPr="0052293D">
        <w:rPr>
          <w:lang w:val="en-GB"/>
        </w:rPr>
        <w:t>afford just satisfaction to the injured party."</w:t>
      </w:r>
    </w:p>
    <w:p w:rsidR="00C21302" w:rsidP="002F1A37" w:rsidRDefault="0052293D">
      <w:pPr>
        <w:pStyle w:val="JuPara"/>
        <w:rPr>
          <w:lang w:val="en-GB"/>
        </w:rPr>
      </w:pPr>
      <w:r w:rsidRPr="0052293D">
        <w:rPr>
          <w:lang w:val="en-GB"/>
        </w:rPr>
        <w:t xml:space="preserve">In their observations of </w:t>
      </w:r>
      <w:smartTag w:uri="urn:schemas-microsoft-com:office:smarttags" w:element="date">
        <w:smartTagPr>
          <w:attr w:name="Month" w:val="3"/>
          <w:attr w:name="Day" w:val="28"/>
          <w:attr w:name="Year" w:val="1989"/>
        </w:smartTagPr>
        <w:r w:rsidRPr="0052293D">
          <w:rPr>
            <w:lang w:val="en-GB"/>
          </w:rPr>
          <w:t>28 March 1989</w:t>
        </w:r>
      </w:smartTag>
      <w:r w:rsidRPr="0052293D">
        <w:rPr>
          <w:lang w:val="en-GB"/>
        </w:rPr>
        <w:t>, the applicants sought under</w:t>
      </w:r>
      <w:r>
        <w:rPr>
          <w:lang w:val="en-GB"/>
        </w:rPr>
        <w:t xml:space="preserve"> </w:t>
      </w:r>
      <w:r w:rsidRPr="0052293D">
        <w:rPr>
          <w:lang w:val="en-GB"/>
        </w:rPr>
        <w:t>this provision both compensation for prejudice sustained and - either</w:t>
      </w:r>
      <w:r>
        <w:rPr>
          <w:lang w:val="en-GB"/>
        </w:rPr>
        <w:t xml:space="preserve"> </w:t>
      </w:r>
      <w:r w:rsidRPr="0052293D">
        <w:rPr>
          <w:lang w:val="en-GB"/>
        </w:rPr>
        <w:t>as a separate item or as a component of such compensation -</w:t>
      </w:r>
      <w:r>
        <w:rPr>
          <w:lang w:val="en-GB"/>
        </w:rPr>
        <w:t xml:space="preserve"> </w:t>
      </w:r>
      <w:r w:rsidRPr="0052293D">
        <w:rPr>
          <w:lang w:val="en-GB"/>
        </w:rPr>
        <w:t>reimbursement of costs and expenses incurred in the proceedings before</w:t>
      </w:r>
      <w:r>
        <w:rPr>
          <w:lang w:val="en-GB"/>
        </w:rPr>
        <w:t xml:space="preserve"> </w:t>
      </w:r>
      <w:r w:rsidRPr="0052293D">
        <w:rPr>
          <w:lang w:val="en-GB"/>
        </w:rPr>
        <w:t>the Convention institutions.</w:t>
      </w:r>
    </w:p>
    <w:p w:rsidR="00C21302" w:rsidP="002F1A37" w:rsidRDefault="0052293D">
      <w:pPr>
        <w:pStyle w:val="JuHA"/>
        <w:rPr>
          <w:lang w:val="en-GB"/>
        </w:rPr>
      </w:pPr>
      <w:r w:rsidRPr="0052293D">
        <w:rPr>
          <w:lang w:val="en-GB"/>
        </w:rPr>
        <w:t>A.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Costs and expenses</w:t>
      </w:r>
    </w:p>
    <w:p w:rsidR="00C21302" w:rsidP="00C21302" w:rsidRDefault="0052293D">
      <w:pPr>
        <w:pStyle w:val="JuPara"/>
        <w:rPr>
          <w:lang w:val="en-GB"/>
        </w:rPr>
      </w:pPr>
      <w:r w:rsidRPr="0052293D">
        <w:rPr>
          <w:lang w:val="en-GB"/>
        </w:rPr>
        <w:t>7.</w:t>
      </w:r>
      <w:r w:rsidR="00C21302">
        <w:rPr>
          <w:lang w:val="en-GB"/>
        </w:rPr>
        <w:t xml:space="preserve">   </w:t>
      </w:r>
      <w:r w:rsidRPr="0052293D">
        <w:rPr>
          <w:lang w:val="en-GB"/>
        </w:rPr>
        <w:t>The Court has held in the principal judgment that there was no</w:t>
      </w:r>
      <w:r>
        <w:rPr>
          <w:lang w:val="en-GB"/>
        </w:rPr>
        <w:t xml:space="preserve"> </w:t>
      </w:r>
      <w:r w:rsidRPr="0052293D">
        <w:rPr>
          <w:lang w:val="en-GB"/>
        </w:rPr>
        <w:t>call to examine the application of Article 50 (art. 50) in relation</w:t>
      </w:r>
      <w:r>
        <w:rPr>
          <w:lang w:val="en-GB"/>
        </w:rPr>
        <w:t xml:space="preserve"> </w:t>
      </w:r>
      <w:r w:rsidRPr="0052293D">
        <w:rPr>
          <w:lang w:val="en-GB"/>
        </w:rPr>
        <w:t>to reimbursement of any costs or expenses incurred</w:t>
      </w:r>
      <w:r>
        <w:rPr>
          <w:lang w:val="en-GB"/>
        </w:rPr>
        <w:t xml:space="preserve"> </w:t>
      </w:r>
      <w:r w:rsidRPr="0052293D">
        <w:rPr>
          <w:lang w:val="en-GB"/>
        </w:rPr>
        <w:t>(see paragraph 2 (e) above).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That decision being final (see</w:t>
      </w:r>
      <w:r>
        <w:rPr>
          <w:lang w:val="en-GB"/>
        </w:rPr>
        <w:t xml:space="preserve"> </w:t>
      </w:r>
      <w:r w:rsidRPr="0052293D">
        <w:rPr>
          <w:lang w:val="en-GB"/>
        </w:rPr>
        <w:t>Article 52 of the Convention) (art. 52), the Court cannot entertain</w:t>
      </w:r>
      <w:r>
        <w:rPr>
          <w:lang w:val="en-GB"/>
        </w:rPr>
        <w:t xml:space="preserve"> </w:t>
      </w:r>
      <w:r w:rsidRPr="0052293D">
        <w:rPr>
          <w:lang w:val="en-GB"/>
        </w:rPr>
        <w:t>the applicants</w:t>
      </w:r>
      <w:r w:rsidR="00C21302">
        <w:rPr>
          <w:lang w:val="en-GB"/>
        </w:rPr>
        <w:t>’</w:t>
      </w:r>
      <w:r w:rsidRPr="0052293D">
        <w:rPr>
          <w:lang w:val="en-GB"/>
        </w:rPr>
        <w:t xml:space="preserve"> subsequent claim in this respect, on whatever basis it</w:t>
      </w:r>
      <w:r>
        <w:rPr>
          <w:lang w:val="en-GB"/>
        </w:rPr>
        <w:t xml:space="preserve"> </w:t>
      </w:r>
      <w:r w:rsidRPr="0052293D">
        <w:rPr>
          <w:lang w:val="en-GB"/>
        </w:rPr>
        <w:t>may be put forward.</w:t>
      </w:r>
    </w:p>
    <w:p w:rsidR="00C21302" w:rsidP="00C21302" w:rsidRDefault="0052293D">
      <w:pPr>
        <w:pStyle w:val="JuHA"/>
        <w:rPr>
          <w:lang w:val="en-GB"/>
        </w:rPr>
      </w:pPr>
      <w:r w:rsidRPr="0052293D">
        <w:rPr>
          <w:lang w:val="en-GB"/>
        </w:rPr>
        <w:t>B.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Damage</w:t>
      </w:r>
    </w:p>
    <w:p w:rsidR="00C21302" w:rsidP="00C21302" w:rsidRDefault="0052293D">
      <w:pPr>
        <w:pStyle w:val="JuPara"/>
        <w:rPr>
          <w:lang w:val="en-GB"/>
        </w:rPr>
      </w:pPr>
      <w:r w:rsidRPr="0052293D">
        <w:rPr>
          <w:lang w:val="en-GB"/>
        </w:rPr>
        <w:t>8.</w:t>
      </w:r>
      <w:r w:rsidR="00C21302">
        <w:rPr>
          <w:lang w:val="en-GB"/>
        </w:rPr>
        <w:t xml:space="preserve">   </w:t>
      </w:r>
      <w:r w:rsidRPr="0052293D">
        <w:rPr>
          <w:lang w:val="en-GB"/>
        </w:rPr>
        <w:t>The Government submitted, inter alia, that it would be open to</w:t>
      </w:r>
      <w:r>
        <w:rPr>
          <w:lang w:val="en-GB"/>
        </w:rPr>
        <w:t xml:space="preserve"> </w:t>
      </w:r>
      <w:r w:rsidRPr="0052293D">
        <w:rPr>
          <w:lang w:val="en-GB"/>
        </w:rPr>
        <w:t>the Court to decide that it was not called upon to examine the claim</w:t>
      </w:r>
      <w:r>
        <w:rPr>
          <w:lang w:val="en-GB"/>
        </w:rPr>
        <w:t xml:space="preserve"> </w:t>
      </w:r>
      <w:r w:rsidRPr="0052293D">
        <w:rPr>
          <w:lang w:val="en-GB"/>
        </w:rPr>
        <w:t>for compensation.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In their view, which was contradicted by the</w:t>
      </w:r>
      <w:r>
        <w:rPr>
          <w:lang w:val="en-GB"/>
        </w:rPr>
        <w:t xml:space="preserve"> </w:t>
      </w:r>
      <w:r w:rsidRPr="0052293D">
        <w:rPr>
          <w:lang w:val="en-GB"/>
        </w:rPr>
        <w:t>applicants, the claim was addressed not to the breaches of</w:t>
      </w:r>
      <w:r>
        <w:rPr>
          <w:lang w:val="en-GB"/>
        </w:rPr>
        <w:t xml:space="preserve"> </w:t>
      </w:r>
      <w:r w:rsidRPr="0052293D">
        <w:rPr>
          <w:lang w:val="en-GB"/>
        </w:rPr>
        <w:t>Article 5 §§ 3 and 5 (art. 5-3, art. 5-5) found in the principal</w:t>
      </w:r>
      <w:r>
        <w:rPr>
          <w:lang w:val="en-GB"/>
        </w:rPr>
        <w:t xml:space="preserve"> </w:t>
      </w:r>
      <w:r w:rsidRPr="0052293D">
        <w:rPr>
          <w:lang w:val="en-GB"/>
        </w:rPr>
        <w:t>judgment but to the allegation - which the Court had not upheld - of a</w:t>
      </w:r>
      <w:r>
        <w:rPr>
          <w:lang w:val="en-GB"/>
        </w:rPr>
        <w:t xml:space="preserve"> </w:t>
      </w:r>
      <w:r w:rsidRPr="0052293D">
        <w:rPr>
          <w:lang w:val="en-GB"/>
        </w:rPr>
        <w:t>breach of Article 5 § 1 (art. 5-1).</w:t>
      </w:r>
    </w:p>
    <w:p w:rsidR="00C21302" w:rsidP="00C21302" w:rsidRDefault="0052293D">
      <w:pPr>
        <w:pStyle w:val="JuPara"/>
        <w:rPr>
          <w:lang w:val="en-GB"/>
        </w:rPr>
      </w:pPr>
      <w:r w:rsidRPr="0052293D">
        <w:rPr>
          <w:lang w:val="en-GB"/>
        </w:rPr>
        <w:t>9.</w:t>
      </w:r>
      <w:r w:rsidR="00C21302">
        <w:rPr>
          <w:lang w:val="en-GB"/>
        </w:rPr>
        <w:t xml:space="preserve">  </w:t>
      </w:r>
      <w:r w:rsidRPr="0052293D">
        <w:rPr>
          <w:lang w:val="en-GB"/>
        </w:rPr>
        <w:t>The Court does not find it necessary to resolve this difference</w:t>
      </w:r>
      <w:r>
        <w:rPr>
          <w:lang w:val="en-GB"/>
        </w:rPr>
        <w:t xml:space="preserve"> </w:t>
      </w:r>
      <w:r w:rsidRPr="0052293D">
        <w:rPr>
          <w:lang w:val="en-GB"/>
        </w:rPr>
        <w:t>of opinion.</w:t>
      </w:r>
    </w:p>
    <w:p w:rsidR="00C21302" w:rsidP="00C21302" w:rsidRDefault="0052293D">
      <w:pPr>
        <w:pStyle w:val="JuPara"/>
        <w:rPr>
          <w:lang w:val="en-GB"/>
        </w:rPr>
      </w:pPr>
      <w:r w:rsidRPr="0052293D">
        <w:rPr>
          <w:lang w:val="en-GB"/>
        </w:rPr>
        <w:t>Save for the question of costs, the applicants did not allege any</w:t>
      </w:r>
      <w:r>
        <w:rPr>
          <w:lang w:val="en-GB"/>
        </w:rPr>
        <w:t xml:space="preserve"> </w:t>
      </w:r>
      <w:r w:rsidRPr="0052293D">
        <w:rPr>
          <w:lang w:val="en-GB"/>
        </w:rPr>
        <w:t>pecuniary damage.</w:t>
      </w:r>
    </w:p>
    <w:p w:rsidR="00C21302" w:rsidP="00C21302" w:rsidRDefault="0052293D">
      <w:pPr>
        <w:pStyle w:val="JuPara"/>
        <w:rPr>
          <w:lang w:val="en-GB"/>
        </w:rPr>
      </w:pPr>
      <w:r w:rsidRPr="0052293D">
        <w:rPr>
          <w:lang w:val="en-GB"/>
        </w:rPr>
        <w:t>As regards non-pecuniary damage, the Court does not exclude that the</w:t>
      </w:r>
      <w:r>
        <w:rPr>
          <w:lang w:val="en-GB"/>
        </w:rPr>
        <w:t xml:space="preserve"> </w:t>
      </w:r>
      <w:r w:rsidRPr="0052293D">
        <w:rPr>
          <w:lang w:val="en-GB"/>
        </w:rPr>
        <w:t>applicants may have sustained some prejudice of this kind as a result</w:t>
      </w:r>
      <w:r>
        <w:rPr>
          <w:lang w:val="en-GB"/>
        </w:rPr>
        <w:t xml:space="preserve"> </w:t>
      </w:r>
      <w:r w:rsidRPr="0052293D">
        <w:rPr>
          <w:lang w:val="en-GB"/>
        </w:rPr>
        <w:t>of the breaches of Article 5 §§ 3 and 5 (art. 5-3, art. 5-5).</w:t>
      </w:r>
      <w:r w:rsidR="00C21302">
        <w:rPr>
          <w:lang w:val="en-GB"/>
        </w:rPr>
        <w:t xml:space="preserve"> </w:t>
      </w:r>
      <w:r w:rsidRPr="0052293D">
        <w:rPr>
          <w:lang w:val="en-GB"/>
        </w:rPr>
        <w:t>However,</w:t>
      </w:r>
      <w:r>
        <w:rPr>
          <w:lang w:val="en-GB"/>
        </w:rPr>
        <w:t xml:space="preserve"> </w:t>
      </w:r>
      <w:r w:rsidRPr="0052293D">
        <w:rPr>
          <w:lang w:val="en-GB"/>
        </w:rPr>
        <w:t>having regard to the circumstances of the case and in particular the</w:t>
      </w:r>
      <w:r>
        <w:rPr>
          <w:lang w:val="en-GB"/>
        </w:rPr>
        <w:t xml:space="preserve"> </w:t>
      </w:r>
      <w:r w:rsidRPr="0052293D">
        <w:rPr>
          <w:lang w:val="en-GB"/>
        </w:rPr>
        <w:t>reasons leading to the decision recorded in paragraph 2 (a) above,</w:t>
      </w:r>
      <w:r>
        <w:rPr>
          <w:lang w:val="en-GB"/>
        </w:rPr>
        <w:t xml:space="preserve"> </w:t>
      </w:r>
      <w:r w:rsidRPr="0052293D">
        <w:rPr>
          <w:lang w:val="en-GB"/>
        </w:rPr>
        <w:t>it considers that even in that event the finding in the principal</w:t>
      </w:r>
      <w:r>
        <w:rPr>
          <w:lang w:val="en-GB"/>
        </w:rPr>
        <w:t xml:space="preserve"> </w:t>
      </w:r>
      <w:r w:rsidRPr="0052293D">
        <w:rPr>
          <w:lang w:val="en-GB"/>
        </w:rPr>
        <w:t>judgment of violations of Article 5 (art. 5) in itself constitutes,</w:t>
      </w:r>
      <w:r>
        <w:rPr>
          <w:lang w:val="en-GB"/>
        </w:rPr>
        <w:t xml:space="preserve"> </w:t>
      </w:r>
      <w:r w:rsidRPr="0052293D">
        <w:rPr>
          <w:lang w:val="en-GB"/>
        </w:rPr>
        <w:t>as was suggested by the Delegate of the Commission, sufficient just</w:t>
      </w:r>
      <w:r>
        <w:rPr>
          <w:lang w:val="en-GB"/>
        </w:rPr>
        <w:t xml:space="preserve"> </w:t>
      </w:r>
      <w:r w:rsidRPr="0052293D">
        <w:rPr>
          <w:lang w:val="en-GB"/>
        </w:rPr>
        <w:t>satisfaction for the purposes of Article 50 (art. 50).</w:t>
      </w:r>
    </w:p>
    <w:p w:rsidR="00C21302" w:rsidP="00C21302" w:rsidRDefault="0052293D">
      <w:pPr>
        <w:pStyle w:val="JuHHead"/>
        <w:rPr>
          <w:lang w:val="en-GB"/>
        </w:rPr>
      </w:pPr>
      <w:r w:rsidRPr="0052293D">
        <w:rPr>
          <w:lang w:val="en-GB"/>
        </w:rPr>
        <w:t>FOR THESE REASONS, THE COURT UNANIMOUSLY</w:t>
      </w:r>
    </w:p>
    <w:p w:rsidR="00C21302" w:rsidP="00C21302" w:rsidRDefault="0052293D">
      <w:pPr>
        <w:pStyle w:val="JuList"/>
        <w:rPr>
          <w:lang w:val="en-GB"/>
        </w:rPr>
      </w:pPr>
      <w:r w:rsidRPr="0052293D">
        <w:rPr>
          <w:lang w:val="en-GB"/>
        </w:rPr>
        <w:t>Holds that the principal judgment in itself constitutes sufficient just</w:t>
      </w:r>
      <w:r>
        <w:rPr>
          <w:lang w:val="en-GB"/>
        </w:rPr>
        <w:t xml:space="preserve"> </w:t>
      </w:r>
      <w:r w:rsidRPr="0052293D">
        <w:rPr>
          <w:lang w:val="en-GB"/>
        </w:rPr>
        <w:t>satisfaction for the purposes of Article 50 (art. 50).</w:t>
      </w:r>
    </w:p>
    <w:p w:rsidR="00C21302" w:rsidP="0052293D" w:rsidRDefault="00C21302">
      <w:pPr>
        <w:rPr>
          <w:lang w:val="en-GB"/>
        </w:rPr>
      </w:pPr>
    </w:p>
    <w:p w:rsidR="00C21302" w:rsidP="00C21302" w:rsidRDefault="0052293D">
      <w:pPr>
        <w:pStyle w:val="JuParaLast"/>
        <w:rPr>
          <w:lang w:val="en-GB"/>
        </w:rPr>
      </w:pPr>
      <w:r w:rsidRPr="0052293D">
        <w:rPr>
          <w:lang w:val="en-GB"/>
        </w:rPr>
        <w:t xml:space="preserve">Done in English and in French, and notified in writing on </w:t>
      </w:r>
      <w:smartTag w:uri="urn:schemas-microsoft-com:office:smarttags" w:element="date">
        <w:smartTagPr>
          <w:attr w:name="Month" w:val="5"/>
          <w:attr w:name="Day" w:val="30"/>
          <w:attr w:name="Year" w:val="1989"/>
        </w:smartTagPr>
        <w:r w:rsidRPr="0052293D">
          <w:rPr>
            <w:lang w:val="en-GB"/>
          </w:rPr>
          <w:t>30 May 1989</w:t>
        </w:r>
      </w:smartTag>
      <w:r>
        <w:rPr>
          <w:lang w:val="en-GB"/>
        </w:rPr>
        <w:t xml:space="preserve"> </w:t>
      </w:r>
      <w:r w:rsidRPr="0052293D">
        <w:rPr>
          <w:lang w:val="en-GB"/>
        </w:rPr>
        <w:t>pursuant to Rule 54 § 2, second sub-paragraph, of the Rules of Court.</w:t>
      </w:r>
    </w:p>
    <w:p w:rsidR="00C21302" w:rsidP="0052293D" w:rsidRDefault="00C21302">
      <w:pPr>
        <w:rPr>
          <w:lang w:val="en-GB"/>
        </w:rPr>
      </w:pPr>
    </w:p>
    <w:p w:rsidRPr="00C21302" w:rsidR="00C21302" w:rsidP="00C21302" w:rsidRDefault="0052293D">
      <w:pPr>
        <w:pStyle w:val="JuSigned"/>
        <w:jc w:val="right"/>
        <w:rPr>
          <w:lang w:val="sv-SE"/>
        </w:rPr>
      </w:pPr>
      <w:r w:rsidRPr="00C21302">
        <w:rPr>
          <w:lang w:val="sv-SE"/>
        </w:rPr>
        <w:t xml:space="preserve">Rolv </w:t>
      </w:r>
      <w:r w:rsidRPr="00C21302">
        <w:rPr>
          <w:rStyle w:val="JuNames"/>
        </w:rPr>
        <w:t>RYSSDAL</w:t>
      </w:r>
    </w:p>
    <w:p w:rsidR="00C21302" w:rsidP="00C21302" w:rsidRDefault="0052293D">
      <w:pPr>
        <w:pStyle w:val="JuSigned"/>
        <w:jc w:val="right"/>
        <w:rPr>
          <w:lang w:val="sv-SE"/>
        </w:rPr>
      </w:pPr>
      <w:r w:rsidRPr="00C21302">
        <w:rPr>
          <w:lang w:val="sv-SE"/>
        </w:rPr>
        <w:t>President</w:t>
      </w:r>
    </w:p>
    <w:p w:rsidRPr="00C21302" w:rsidR="00C21302" w:rsidP="00C21302" w:rsidRDefault="00C21302">
      <w:pPr>
        <w:pStyle w:val="JuSigned"/>
        <w:rPr>
          <w:lang w:val="sv-SE"/>
        </w:rPr>
      </w:pPr>
    </w:p>
    <w:p w:rsidR="00C21302" w:rsidP="00C21302" w:rsidRDefault="0052293D">
      <w:pPr>
        <w:pStyle w:val="JuSigned"/>
        <w:rPr>
          <w:lang w:val="sv-SE"/>
        </w:rPr>
      </w:pPr>
      <w:r w:rsidRPr="00C21302">
        <w:rPr>
          <w:lang w:val="sv-SE"/>
        </w:rPr>
        <w:t xml:space="preserve">Marc-André </w:t>
      </w:r>
      <w:r w:rsidRPr="00C21302">
        <w:rPr>
          <w:rStyle w:val="JuNames"/>
        </w:rPr>
        <w:t>EISSEN</w:t>
      </w:r>
    </w:p>
    <w:p w:rsidR="00C21302" w:rsidP="00C21302" w:rsidRDefault="0052293D">
      <w:pPr>
        <w:pStyle w:val="JuSigned"/>
        <w:rPr>
          <w:lang w:val="sv-SE"/>
        </w:rPr>
      </w:pPr>
      <w:r w:rsidRPr="00C21302">
        <w:rPr>
          <w:lang w:val="sv-SE"/>
        </w:rPr>
        <w:t>Registrar</w:t>
      </w:r>
      <w:r w:rsidR="00C21302">
        <w:rPr>
          <w:lang w:val="sv-SE"/>
        </w:rPr>
        <w:t xml:space="preserve"> </w:t>
      </w:r>
    </w:p>
    <w:p w:rsidRPr="00C21302" w:rsidR="00A60899" w:rsidP="00C21302" w:rsidRDefault="00A60899">
      <w:pPr>
        <w:pStyle w:val="JuSigned"/>
        <w:rPr>
          <w:lang w:val="sv-SE"/>
        </w:rPr>
      </w:pPr>
    </w:p>
    <w:sectPr w:rsidRPr="00C21302" w:rsidR="00A60899" w:rsidSect="00942160">
      <w:headerReference w:type="even" r:id="rId9"/>
      <w:headerReference w:type="default" r:id="rId10"/>
      <w:footnotePr>
        <w:numRestart w:val="eachSect"/>
      </w:footnotePr>
      <w:type w:val="continuous"/>
      <w:pgSz w:w="11906" w:h="16838" w:code="9"/>
      <w:pgMar w:top="2274" w:right="2274" w:bottom="2274" w:left="2274" w:header="170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50FF">
      <w:r>
        <w:separator/>
      </w:r>
    </w:p>
  </w:endnote>
  <w:endnote w:type="continuationSeparator" w:id="0">
    <w:p w:rsidR="00000000" w:rsidRDefault="0028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71" w:rsidRDefault="00A67271">
      <w:r>
        <w:separator/>
      </w:r>
    </w:p>
  </w:footnote>
  <w:footnote w:type="continuationSeparator" w:id="0">
    <w:p w:rsidR="00000000" w:rsidRDefault="002850FF">
      <w:r>
        <w:continuationSeparator/>
      </w:r>
    </w:p>
  </w:footnote>
  <w:footnote w:id="1">
    <w:p w:rsidR="00A67271" w:rsidRDefault="00A67271">
      <w:pPr>
        <w:pStyle w:val="FootnoteText"/>
      </w:pPr>
      <w:r w:rsidRPr="00A67271">
        <w:rPr>
          <w:rStyle w:val="FootnoteReference"/>
        </w:rPr>
        <w:sym w:font="Symbol" w:char="F02A"/>
      </w:r>
      <w:r w:rsidRPr="00A67271">
        <w:rPr>
          <w:lang w:val="en-GB"/>
        </w:rPr>
        <w:t xml:space="preserve"> </w:t>
      </w:r>
      <w:r w:rsidRPr="0052293D">
        <w:rPr>
          <w:lang w:val="en-GB"/>
        </w:rPr>
        <w:t>Note by the Registrar: The case is numbered 10/1987/133/184-187.</w:t>
      </w:r>
      <w:r>
        <w:rPr>
          <w:lang w:val="en-GB"/>
        </w:rPr>
        <w:t xml:space="preserve"> </w:t>
      </w:r>
      <w:r w:rsidRPr="0052293D">
        <w:rPr>
          <w:lang w:val="en-GB"/>
        </w:rPr>
        <w:t>The first number is the case's position on the list of cases referred</w:t>
      </w:r>
      <w:r>
        <w:rPr>
          <w:lang w:val="en-GB"/>
        </w:rPr>
        <w:t xml:space="preserve"> </w:t>
      </w:r>
      <w:r w:rsidRPr="0052293D">
        <w:rPr>
          <w:lang w:val="en-GB"/>
        </w:rPr>
        <w:t>to the Court in the relevant year (second number).  The last two</w:t>
      </w:r>
      <w:r>
        <w:rPr>
          <w:lang w:val="en-GB"/>
        </w:rPr>
        <w:t xml:space="preserve"> </w:t>
      </w:r>
      <w:r w:rsidRPr="0052293D">
        <w:rPr>
          <w:lang w:val="en-GB"/>
        </w:rPr>
        <w:t>numbers indicate the case's position on the list of cases referred to</w:t>
      </w:r>
      <w:r>
        <w:rPr>
          <w:lang w:val="en-GB"/>
        </w:rPr>
        <w:t xml:space="preserve"> </w:t>
      </w:r>
      <w:r w:rsidRPr="0052293D">
        <w:rPr>
          <w:lang w:val="en-GB"/>
        </w:rPr>
        <w:t>the Court since its creation and on the list of the corresponding</w:t>
      </w:r>
      <w:r>
        <w:rPr>
          <w:lang w:val="en-GB"/>
        </w:rPr>
        <w:t xml:space="preserve"> </w:t>
      </w:r>
      <w:r w:rsidRPr="0052293D">
        <w:rPr>
          <w:lang w:val="en-GB"/>
        </w:rPr>
        <w:t>originating applications to the Commission.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1" w:rsidRDefault="00A67271" w:rsidP="008C7A71">
    <w:pPr>
      <w:pStyle w:val="Ju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139.5pt" fillcolor="window">
          <v:imagedata r:id="rId1" o:title=""/>
        </v:shape>
      </w:pict>
    </w:r>
  </w:p>
  <w:p w:rsidR="00A67271" w:rsidRPr="00235D00" w:rsidRDefault="00A67271" w:rsidP="008C7A71">
    <w:pPr>
      <w:pStyle w:val="Ju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1" w:rsidRDefault="00A67271" w:rsidP="007B6873">
    <w:pPr>
      <w:pStyle w:val="Header"/>
      <w:framePr w:wrap="around" w:vAnchor="text" w:hAnchor="page" w:x="9622" w:y="-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A67271" w:rsidRPr="00DA7CC2" w:rsidRDefault="00A67271" w:rsidP="008C7A71">
    <w:pPr>
      <w:pStyle w:val="JuHeader"/>
    </w:pPr>
    <w:r w:rsidRPr="00C50BD9">
      <w:t>ASHINGDANE</w:t>
    </w:r>
    <w:r>
      <w:t xml:space="preserve"> v. THE </w:t>
    </w:r>
    <w:smartTag w:uri="urn:schemas-microsoft-com:office:smarttags" w:element="country-region">
      <w:smartTag w:uri="urn:schemas-microsoft-com:office:smarttags" w:element="place">
        <w:r>
          <w:t>UNITED KINGDOM</w:t>
        </w:r>
      </w:smartTag>
    </w:smartTag>
    <w:r>
      <w:t xml:space="preserve"> </w:t>
    </w:r>
    <w:r w:rsidRPr="00DA7CC2">
      <w:t>JUGDMENT</w:t>
    </w:r>
  </w:p>
  <w:p w:rsidR="00A67271" w:rsidRDefault="00A67271" w:rsidP="008C7A71">
    <w:pPr>
      <w:pStyle w:val="Ju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1" w:rsidRPr="003370DD" w:rsidRDefault="00A67271" w:rsidP="00942160">
    <w:pPr>
      <w:pStyle w:val="Header"/>
      <w:framePr w:wrap="around" w:vAnchor="text" w:hAnchor="page" w:x="2242" w:y="-80"/>
      <w:rPr>
        <w:rStyle w:val="PageNumber"/>
        <w:lang w:val="en-GB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302">
      <w:rPr>
        <w:rStyle w:val="PageNumber"/>
        <w:noProof/>
      </w:rPr>
      <w:t>2</w:t>
    </w:r>
    <w:r>
      <w:rPr>
        <w:rStyle w:val="PageNumber"/>
      </w:rPr>
      <w:fldChar w:fldCharType="end"/>
    </w:r>
  </w:p>
  <w:p w:rsidR="00A67271" w:rsidRDefault="00A67271" w:rsidP="0052293D">
    <w:pPr>
      <w:pStyle w:val="JuHeader"/>
    </w:pPr>
    <w:r w:rsidRPr="0052293D">
      <w:t xml:space="preserve">BROGAN AND OTHERS v. THE </w:t>
    </w:r>
    <w:smartTag w:uri="urn:schemas-microsoft-com:office:smarttags" w:element="country-region">
      <w:smartTag w:uri="urn:schemas-microsoft-com:office:smarttags" w:element="place">
        <w:r w:rsidRPr="0052293D">
          <w:t>UNITED KINGDOM</w:t>
        </w:r>
      </w:smartTag>
    </w:smartTag>
    <w:r w:rsidRPr="0052293D">
      <w:t xml:space="preserve"> (ARTICLE 50)</w:t>
    </w:r>
    <w:r>
      <w:rPr>
        <w:b/>
        <w:bCs/>
        <w:sz w:val="24"/>
      </w:rPr>
      <w:t xml:space="preserve"> </w:t>
    </w:r>
    <w:r w:rsidRPr="00DA7CC2">
      <w:t>JUGDMENT</w:t>
    </w:r>
  </w:p>
  <w:p w:rsidR="00A67271" w:rsidRPr="00495F04" w:rsidRDefault="00A67271" w:rsidP="0052293D">
    <w:pPr>
      <w:pStyle w:val="Ju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1" w:rsidRDefault="00A67271" w:rsidP="00816EF2">
    <w:pPr>
      <w:pStyle w:val="Header"/>
      <w:framePr w:wrap="around" w:vAnchor="text" w:hAnchor="page" w:x="9442" w:y="-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302">
      <w:rPr>
        <w:rStyle w:val="PageNumber"/>
        <w:noProof/>
      </w:rPr>
      <w:t>1</w:t>
    </w:r>
    <w:r>
      <w:rPr>
        <w:rStyle w:val="PageNumber"/>
      </w:rPr>
      <w:fldChar w:fldCharType="end"/>
    </w:r>
  </w:p>
  <w:p w:rsidR="00A67271" w:rsidRDefault="00A67271" w:rsidP="008C7A71">
    <w:pPr>
      <w:pStyle w:val="JuHeader"/>
    </w:pPr>
    <w:r w:rsidRPr="0052293D">
      <w:t xml:space="preserve">BROGAN AND OTHERS v. THE </w:t>
    </w:r>
    <w:smartTag w:uri="urn:schemas-microsoft-com:office:smarttags" w:element="country-region">
      <w:smartTag w:uri="urn:schemas-microsoft-com:office:smarttags" w:element="place">
        <w:r w:rsidRPr="0052293D">
          <w:t>UNITED KINGDOM</w:t>
        </w:r>
      </w:smartTag>
    </w:smartTag>
    <w:r w:rsidRPr="0052293D">
      <w:t xml:space="preserve"> (ARTICLE 50)</w:t>
    </w:r>
    <w:r>
      <w:rPr>
        <w:b/>
        <w:bCs/>
        <w:sz w:val="24"/>
      </w:rPr>
      <w:t xml:space="preserve"> </w:t>
    </w:r>
    <w:r w:rsidRPr="00DA7CC2">
      <w:t>JUGDMENT</w:t>
    </w:r>
  </w:p>
  <w:p w:rsidR="00A67271" w:rsidRPr="00DA7CC2" w:rsidRDefault="00A67271" w:rsidP="008C7A71">
    <w:pPr>
      <w:pStyle w:val="Ju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hideSpellingErrors/>
  <w:hideGrammaticalErrors/>
  <w:activeWritingStyle w:appName="MSWord" w:lang="fr-FR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da-DK" w:vendorID="666" w:dllVersion="513" w:checkStyle="1"/>
  <w:activeWritingStyle w:appName="MSWord" w:lang="it-IT" w:vendorID="3" w:dllVersion="517" w:checkStyle="1"/>
  <w:activeWritingStyle w:appName="MSWord" w:lang="sv-SE" w:vendorID="0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7C7"/>
    <w:rsid w:val="00001CF5"/>
    <w:rsid w:val="00001E3F"/>
    <w:rsid w:val="00011F4D"/>
    <w:rsid w:val="000159ED"/>
    <w:rsid w:val="00022802"/>
    <w:rsid w:val="00043945"/>
    <w:rsid w:val="000502C8"/>
    <w:rsid w:val="00063711"/>
    <w:rsid w:val="00065271"/>
    <w:rsid w:val="00074977"/>
    <w:rsid w:val="00081680"/>
    <w:rsid w:val="000828CF"/>
    <w:rsid w:val="00090A68"/>
    <w:rsid w:val="00093307"/>
    <w:rsid w:val="00093BBB"/>
    <w:rsid w:val="00095AC5"/>
    <w:rsid w:val="000A5028"/>
    <w:rsid w:val="000B5F77"/>
    <w:rsid w:val="000C0A75"/>
    <w:rsid w:val="000C25BC"/>
    <w:rsid w:val="000D001B"/>
    <w:rsid w:val="000D0CC3"/>
    <w:rsid w:val="000D132E"/>
    <w:rsid w:val="000D1B0E"/>
    <w:rsid w:val="000D4C80"/>
    <w:rsid w:val="000E1D78"/>
    <w:rsid w:val="000F311A"/>
    <w:rsid w:val="000F51D6"/>
    <w:rsid w:val="000F7743"/>
    <w:rsid w:val="00100005"/>
    <w:rsid w:val="00100688"/>
    <w:rsid w:val="00112F80"/>
    <w:rsid w:val="0011730E"/>
    <w:rsid w:val="00132610"/>
    <w:rsid w:val="0013632E"/>
    <w:rsid w:val="001375CD"/>
    <w:rsid w:val="00141D62"/>
    <w:rsid w:val="00147366"/>
    <w:rsid w:val="00150870"/>
    <w:rsid w:val="001568DB"/>
    <w:rsid w:val="00170B65"/>
    <w:rsid w:val="00175601"/>
    <w:rsid w:val="00184EE0"/>
    <w:rsid w:val="00186924"/>
    <w:rsid w:val="001A2615"/>
    <w:rsid w:val="001A43E0"/>
    <w:rsid w:val="001A4566"/>
    <w:rsid w:val="001B5C7C"/>
    <w:rsid w:val="001C140C"/>
    <w:rsid w:val="001C4342"/>
    <w:rsid w:val="001D0E00"/>
    <w:rsid w:val="001D5D15"/>
    <w:rsid w:val="001E0E04"/>
    <w:rsid w:val="001E1248"/>
    <w:rsid w:val="001F3D14"/>
    <w:rsid w:val="001F7890"/>
    <w:rsid w:val="002003A0"/>
    <w:rsid w:val="00211313"/>
    <w:rsid w:val="00211610"/>
    <w:rsid w:val="0022393B"/>
    <w:rsid w:val="00224D62"/>
    <w:rsid w:val="00235D00"/>
    <w:rsid w:val="00243EBB"/>
    <w:rsid w:val="00253A5C"/>
    <w:rsid w:val="00261B2F"/>
    <w:rsid w:val="002727F5"/>
    <w:rsid w:val="0027489A"/>
    <w:rsid w:val="00274962"/>
    <w:rsid w:val="00283D31"/>
    <w:rsid w:val="002850FF"/>
    <w:rsid w:val="002947BA"/>
    <w:rsid w:val="002A2508"/>
    <w:rsid w:val="002A2EBF"/>
    <w:rsid w:val="002C1AD7"/>
    <w:rsid w:val="002C25AE"/>
    <w:rsid w:val="002C367F"/>
    <w:rsid w:val="002C679A"/>
    <w:rsid w:val="002D2511"/>
    <w:rsid w:val="002D5D6E"/>
    <w:rsid w:val="002D73EB"/>
    <w:rsid w:val="002D7CED"/>
    <w:rsid w:val="002E0FF0"/>
    <w:rsid w:val="002E2F72"/>
    <w:rsid w:val="002E7B68"/>
    <w:rsid w:val="002F1A37"/>
    <w:rsid w:val="002F1CFA"/>
    <w:rsid w:val="002F7FB8"/>
    <w:rsid w:val="003015FF"/>
    <w:rsid w:val="00306FF6"/>
    <w:rsid w:val="00310E61"/>
    <w:rsid w:val="00311689"/>
    <w:rsid w:val="003166A6"/>
    <w:rsid w:val="00321453"/>
    <w:rsid w:val="00322669"/>
    <w:rsid w:val="00325E7D"/>
    <w:rsid w:val="00332169"/>
    <w:rsid w:val="00334F2B"/>
    <w:rsid w:val="00336E22"/>
    <w:rsid w:val="00336F1B"/>
    <w:rsid w:val="003370DD"/>
    <w:rsid w:val="00340D2D"/>
    <w:rsid w:val="00344699"/>
    <w:rsid w:val="00346A30"/>
    <w:rsid w:val="00351798"/>
    <w:rsid w:val="0035533B"/>
    <w:rsid w:val="00355AC2"/>
    <w:rsid w:val="00362BF4"/>
    <w:rsid w:val="003632BE"/>
    <w:rsid w:val="003657CA"/>
    <w:rsid w:val="00365AEE"/>
    <w:rsid w:val="00366857"/>
    <w:rsid w:val="003718EB"/>
    <w:rsid w:val="00371F71"/>
    <w:rsid w:val="0037311E"/>
    <w:rsid w:val="00376374"/>
    <w:rsid w:val="003815DE"/>
    <w:rsid w:val="00385831"/>
    <w:rsid w:val="003A07D7"/>
    <w:rsid w:val="003A77A6"/>
    <w:rsid w:val="003B2EA4"/>
    <w:rsid w:val="003B6814"/>
    <w:rsid w:val="003B73AA"/>
    <w:rsid w:val="003C23F9"/>
    <w:rsid w:val="003C3B53"/>
    <w:rsid w:val="003D28CB"/>
    <w:rsid w:val="003E0401"/>
    <w:rsid w:val="003E19FE"/>
    <w:rsid w:val="003E272A"/>
    <w:rsid w:val="003E5F2E"/>
    <w:rsid w:val="003E6863"/>
    <w:rsid w:val="003E71A6"/>
    <w:rsid w:val="003F3041"/>
    <w:rsid w:val="0041084E"/>
    <w:rsid w:val="0041440D"/>
    <w:rsid w:val="0041455B"/>
    <w:rsid w:val="00414B93"/>
    <w:rsid w:val="004175C0"/>
    <w:rsid w:val="00417BAF"/>
    <w:rsid w:val="00422F2E"/>
    <w:rsid w:val="004305B3"/>
    <w:rsid w:val="00445582"/>
    <w:rsid w:val="00446688"/>
    <w:rsid w:val="00452C4B"/>
    <w:rsid w:val="00453845"/>
    <w:rsid w:val="004560B4"/>
    <w:rsid w:val="00457842"/>
    <w:rsid w:val="00471988"/>
    <w:rsid w:val="00481F7F"/>
    <w:rsid w:val="0048225F"/>
    <w:rsid w:val="00486288"/>
    <w:rsid w:val="00491A9A"/>
    <w:rsid w:val="004935D8"/>
    <w:rsid w:val="00495F04"/>
    <w:rsid w:val="00496BEA"/>
    <w:rsid w:val="004A1E27"/>
    <w:rsid w:val="004A5107"/>
    <w:rsid w:val="004A57A3"/>
    <w:rsid w:val="004A6121"/>
    <w:rsid w:val="004B24C2"/>
    <w:rsid w:val="004B383C"/>
    <w:rsid w:val="004C2D34"/>
    <w:rsid w:val="004D696B"/>
    <w:rsid w:val="004E3C48"/>
    <w:rsid w:val="004E49E7"/>
    <w:rsid w:val="004E6B58"/>
    <w:rsid w:val="004F07C7"/>
    <w:rsid w:val="005015A9"/>
    <w:rsid w:val="0050258F"/>
    <w:rsid w:val="00502A5C"/>
    <w:rsid w:val="00506668"/>
    <w:rsid w:val="00512533"/>
    <w:rsid w:val="005148F8"/>
    <w:rsid w:val="00520114"/>
    <w:rsid w:val="00521B09"/>
    <w:rsid w:val="0052293D"/>
    <w:rsid w:val="00523145"/>
    <w:rsid w:val="005274DB"/>
    <w:rsid w:val="00545B2D"/>
    <w:rsid w:val="00562567"/>
    <w:rsid w:val="00564B80"/>
    <w:rsid w:val="0056591B"/>
    <w:rsid w:val="0057498C"/>
    <w:rsid w:val="005831F2"/>
    <w:rsid w:val="005859AC"/>
    <w:rsid w:val="00596864"/>
    <w:rsid w:val="00597504"/>
    <w:rsid w:val="005A13F1"/>
    <w:rsid w:val="005A3DEC"/>
    <w:rsid w:val="005A5E42"/>
    <w:rsid w:val="005B5B59"/>
    <w:rsid w:val="005C6F74"/>
    <w:rsid w:val="005C6F77"/>
    <w:rsid w:val="005C7B98"/>
    <w:rsid w:val="005C7BC0"/>
    <w:rsid w:val="005D7525"/>
    <w:rsid w:val="005E1441"/>
    <w:rsid w:val="005E3822"/>
    <w:rsid w:val="005E5D39"/>
    <w:rsid w:val="005E5F04"/>
    <w:rsid w:val="005F40BC"/>
    <w:rsid w:val="006020AF"/>
    <w:rsid w:val="0060653D"/>
    <w:rsid w:val="0061017A"/>
    <w:rsid w:val="006143CD"/>
    <w:rsid w:val="00615A9B"/>
    <w:rsid w:val="00620B0F"/>
    <w:rsid w:val="006220BC"/>
    <w:rsid w:val="00637C60"/>
    <w:rsid w:val="00644148"/>
    <w:rsid w:val="00646BB1"/>
    <w:rsid w:val="006474D2"/>
    <w:rsid w:val="00647990"/>
    <w:rsid w:val="00651873"/>
    <w:rsid w:val="00651E5E"/>
    <w:rsid w:val="00657D2B"/>
    <w:rsid w:val="00663B32"/>
    <w:rsid w:val="00663E8D"/>
    <w:rsid w:val="006676B8"/>
    <w:rsid w:val="00677216"/>
    <w:rsid w:val="00690312"/>
    <w:rsid w:val="00692484"/>
    <w:rsid w:val="006942EF"/>
    <w:rsid w:val="0069444B"/>
    <w:rsid w:val="006946D9"/>
    <w:rsid w:val="0069585C"/>
    <w:rsid w:val="006B0EEB"/>
    <w:rsid w:val="006B67DC"/>
    <w:rsid w:val="006D1B9C"/>
    <w:rsid w:val="006D5CDF"/>
    <w:rsid w:val="006E025C"/>
    <w:rsid w:val="006E07EB"/>
    <w:rsid w:val="006E2BDD"/>
    <w:rsid w:val="006E3A0A"/>
    <w:rsid w:val="006E51CB"/>
    <w:rsid w:val="006E5A09"/>
    <w:rsid w:val="006F0157"/>
    <w:rsid w:val="007011F3"/>
    <w:rsid w:val="007101FA"/>
    <w:rsid w:val="00712437"/>
    <w:rsid w:val="00713843"/>
    <w:rsid w:val="00714AAE"/>
    <w:rsid w:val="0072365C"/>
    <w:rsid w:val="007257AE"/>
    <w:rsid w:val="00733520"/>
    <w:rsid w:val="00733C16"/>
    <w:rsid w:val="00735197"/>
    <w:rsid w:val="00742BED"/>
    <w:rsid w:val="00746726"/>
    <w:rsid w:val="00747314"/>
    <w:rsid w:val="00755A20"/>
    <w:rsid w:val="00757338"/>
    <w:rsid w:val="00762C0C"/>
    <w:rsid w:val="00764199"/>
    <w:rsid w:val="007653EF"/>
    <w:rsid w:val="00765DA7"/>
    <w:rsid w:val="00774386"/>
    <w:rsid w:val="00774750"/>
    <w:rsid w:val="00780775"/>
    <w:rsid w:val="00781A6E"/>
    <w:rsid w:val="0078375D"/>
    <w:rsid w:val="00786BCC"/>
    <w:rsid w:val="00787F6B"/>
    <w:rsid w:val="007932B3"/>
    <w:rsid w:val="007A3576"/>
    <w:rsid w:val="007A44E8"/>
    <w:rsid w:val="007A4C77"/>
    <w:rsid w:val="007A4F34"/>
    <w:rsid w:val="007B2649"/>
    <w:rsid w:val="007B6873"/>
    <w:rsid w:val="007E508F"/>
    <w:rsid w:val="007E7092"/>
    <w:rsid w:val="007F089B"/>
    <w:rsid w:val="007F0C45"/>
    <w:rsid w:val="0080236A"/>
    <w:rsid w:val="0081682F"/>
    <w:rsid w:val="00816EF2"/>
    <w:rsid w:val="0082250C"/>
    <w:rsid w:val="00824A57"/>
    <w:rsid w:val="008272A6"/>
    <w:rsid w:val="00830539"/>
    <w:rsid w:val="00830A83"/>
    <w:rsid w:val="00843B48"/>
    <w:rsid w:val="008455C1"/>
    <w:rsid w:val="008469EE"/>
    <w:rsid w:val="00852C22"/>
    <w:rsid w:val="00866C31"/>
    <w:rsid w:val="008775E1"/>
    <w:rsid w:val="00877B27"/>
    <w:rsid w:val="00877B80"/>
    <w:rsid w:val="0088300C"/>
    <w:rsid w:val="008833FE"/>
    <w:rsid w:val="00887EFA"/>
    <w:rsid w:val="00891116"/>
    <w:rsid w:val="008937A8"/>
    <w:rsid w:val="00893AFE"/>
    <w:rsid w:val="00896400"/>
    <w:rsid w:val="00897A27"/>
    <w:rsid w:val="008A0273"/>
    <w:rsid w:val="008A3FA1"/>
    <w:rsid w:val="008B0272"/>
    <w:rsid w:val="008B1110"/>
    <w:rsid w:val="008B35F5"/>
    <w:rsid w:val="008B70B4"/>
    <w:rsid w:val="008C7A71"/>
    <w:rsid w:val="008C7C8F"/>
    <w:rsid w:val="008D18BB"/>
    <w:rsid w:val="008D43E3"/>
    <w:rsid w:val="008D4873"/>
    <w:rsid w:val="008D617B"/>
    <w:rsid w:val="008E5EF8"/>
    <w:rsid w:val="008F4FF8"/>
    <w:rsid w:val="008F5CE2"/>
    <w:rsid w:val="008F5E08"/>
    <w:rsid w:val="008F7E55"/>
    <w:rsid w:val="00900AA3"/>
    <w:rsid w:val="009021F2"/>
    <w:rsid w:val="009053B9"/>
    <w:rsid w:val="00912121"/>
    <w:rsid w:val="00913278"/>
    <w:rsid w:val="009225C0"/>
    <w:rsid w:val="00922C71"/>
    <w:rsid w:val="0093133C"/>
    <w:rsid w:val="00934CA4"/>
    <w:rsid w:val="00940567"/>
    <w:rsid w:val="00942160"/>
    <w:rsid w:val="00953889"/>
    <w:rsid w:val="009668D8"/>
    <w:rsid w:val="009727D2"/>
    <w:rsid w:val="009734E6"/>
    <w:rsid w:val="00974C8B"/>
    <w:rsid w:val="00976BA9"/>
    <w:rsid w:val="009827FE"/>
    <w:rsid w:val="009835D2"/>
    <w:rsid w:val="00987164"/>
    <w:rsid w:val="00987F02"/>
    <w:rsid w:val="00990589"/>
    <w:rsid w:val="0099553C"/>
    <w:rsid w:val="009975F6"/>
    <w:rsid w:val="009A2EC0"/>
    <w:rsid w:val="009A3710"/>
    <w:rsid w:val="009A3952"/>
    <w:rsid w:val="009A521B"/>
    <w:rsid w:val="009A581B"/>
    <w:rsid w:val="009A7992"/>
    <w:rsid w:val="009B294B"/>
    <w:rsid w:val="009C72DD"/>
    <w:rsid w:val="009D4E3B"/>
    <w:rsid w:val="009D5830"/>
    <w:rsid w:val="009E1312"/>
    <w:rsid w:val="009E1D82"/>
    <w:rsid w:val="009E3A6D"/>
    <w:rsid w:val="009E669A"/>
    <w:rsid w:val="009F0E99"/>
    <w:rsid w:val="009F4A6C"/>
    <w:rsid w:val="009F7D2B"/>
    <w:rsid w:val="00A01ADA"/>
    <w:rsid w:val="00A02772"/>
    <w:rsid w:val="00A05583"/>
    <w:rsid w:val="00A06925"/>
    <w:rsid w:val="00A22028"/>
    <w:rsid w:val="00A225C0"/>
    <w:rsid w:val="00A32C6E"/>
    <w:rsid w:val="00A33ECA"/>
    <w:rsid w:val="00A42FA8"/>
    <w:rsid w:val="00A435E8"/>
    <w:rsid w:val="00A4561D"/>
    <w:rsid w:val="00A45660"/>
    <w:rsid w:val="00A462F6"/>
    <w:rsid w:val="00A46FDC"/>
    <w:rsid w:val="00A51098"/>
    <w:rsid w:val="00A519D9"/>
    <w:rsid w:val="00A5398E"/>
    <w:rsid w:val="00A56382"/>
    <w:rsid w:val="00A57CCF"/>
    <w:rsid w:val="00A60899"/>
    <w:rsid w:val="00A6133D"/>
    <w:rsid w:val="00A65C96"/>
    <w:rsid w:val="00A67271"/>
    <w:rsid w:val="00A760BF"/>
    <w:rsid w:val="00A845E7"/>
    <w:rsid w:val="00AA3F64"/>
    <w:rsid w:val="00AB1CA0"/>
    <w:rsid w:val="00AB7532"/>
    <w:rsid w:val="00AC0BC9"/>
    <w:rsid w:val="00AC1A61"/>
    <w:rsid w:val="00AC25D9"/>
    <w:rsid w:val="00AC59C9"/>
    <w:rsid w:val="00AD14D1"/>
    <w:rsid w:val="00AD32E8"/>
    <w:rsid w:val="00AD4D37"/>
    <w:rsid w:val="00AD5CE3"/>
    <w:rsid w:val="00AE3BE6"/>
    <w:rsid w:val="00AF2821"/>
    <w:rsid w:val="00AF7CAC"/>
    <w:rsid w:val="00B122E5"/>
    <w:rsid w:val="00B14A52"/>
    <w:rsid w:val="00B15837"/>
    <w:rsid w:val="00B2022E"/>
    <w:rsid w:val="00B2661A"/>
    <w:rsid w:val="00B27F1A"/>
    <w:rsid w:val="00B30B46"/>
    <w:rsid w:val="00B32C1A"/>
    <w:rsid w:val="00B33B7D"/>
    <w:rsid w:val="00B34065"/>
    <w:rsid w:val="00B371D4"/>
    <w:rsid w:val="00B37990"/>
    <w:rsid w:val="00B60B61"/>
    <w:rsid w:val="00B70993"/>
    <w:rsid w:val="00B712CF"/>
    <w:rsid w:val="00B744D8"/>
    <w:rsid w:val="00B75E13"/>
    <w:rsid w:val="00B77086"/>
    <w:rsid w:val="00B803FD"/>
    <w:rsid w:val="00B967B6"/>
    <w:rsid w:val="00B977E6"/>
    <w:rsid w:val="00BA06A7"/>
    <w:rsid w:val="00BA1E3C"/>
    <w:rsid w:val="00BA2DAC"/>
    <w:rsid w:val="00BA4C0A"/>
    <w:rsid w:val="00BA5857"/>
    <w:rsid w:val="00BB06DB"/>
    <w:rsid w:val="00BB3716"/>
    <w:rsid w:val="00BB7E48"/>
    <w:rsid w:val="00BC239F"/>
    <w:rsid w:val="00BD6BD3"/>
    <w:rsid w:val="00BD7251"/>
    <w:rsid w:val="00BD79C4"/>
    <w:rsid w:val="00BE16C3"/>
    <w:rsid w:val="00BE321E"/>
    <w:rsid w:val="00BE36D5"/>
    <w:rsid w:val="00BF1DA8"/>
    <w:rsid w:val="00BF292D"/>
    <w:rsid w:val="00BF3107"/>
    <w:rsid w:val="00BF51B1"/>
    <w:rsid w:val="00BF6B3D"/>
    <w:rsid w:val="00C00ABE"/>
    <w:rsid w:val="00C03FAD"/>
    <w:rsid w:val="00C07C85"/>
    <w:rsid w:val="00C16195"/>
    <w:rsid w:val="00C170B6"/>
    <w:rsid w:val="00C203E6"/>
    <w:rsid w:val="00C21302"/>
    <w:rsid w:val="00C227D0"/>
    <w:rsid w:val="00C24066"/>
    <w:rsid w:val="00C32681"/>
    <w:rsid w:val="00C35B9B"/>
    <w:rsid w:val="00C37FE6"/>
    <w:rsid w:val="00C46CB9"/>
    <w:rsid w:val="00C50BD9"/>
    <w:rsid w:val="00C50D97"/>
    <w:rsid w:val="00C67608"/>
    <w:rsid w:val="00C81057"/>
    <w:rsid w:val="00C8334A"/>
    <w:rsid w:val="00C96463"/>
    <w:rsid w:val="00C96C2A"/>
    <w:rsid w:val="00CA21C4"/>
    <w:rsid w:val="00CB32FD"/>
    <w:rsid w:val="00CB3988"/>
    <w:rsid w:val="00CC0C72"/>
    <w:rsid w:val="00CC3C9B"/>
    <w:rsid w:val="00CC5438"/>
    <w:rsid w:val="00CD217F"/>
    <w:rsid w:val="00CD423E"/>
    <w:rsid w:val="00CD7DCB"/>
    <w:rsid w:val="00CE661D"/>
    <w:rsid w:val="00CE69CD"/>
    <w:rsid w:val="00CE7147"/>
    <w:rsid w:val="00CF431A"/>
    <w:rsid w:val="00CF63AF"/>
    <w:rsid w:val="00CF7AD1"/>
    <w:rsid w:val="00D10C2E"/>
    <w:rsid w:val="00D21BBF"/>
    <w:rsid w:val="00D21EF7"/>
    <w:rsid w:val="00D22426"/>
    <w:rsid w:val="00D25948"/>
    <w:rsid w:val="00D30925"/>
    <w:rsid w:val="00D34031"/>
    <w:rsid w:val="00D3485F"/>
    <w:rsid w:val="00D4561E"/>
    <w:rsid w:val="00D4692E"/>
    <w:rsid w:val="00D540AE"/>
    <w:rsid w:val="00D7147F"/>
    <w:rsid w:val="00D80045"/>
    <w:rsid w:val="00D81DB5"/>
    <w:rsid w:val="00D838A5"/>
    <w:rsid w:val="00D863F2"/>
    <w:rsid w:val="00D9269D"/>
    <w:rsid w:val="00D9483D"/>
    <w:rsid w:val="00DA15A5"/>
    <w:rsid w:val="00DA3787"/>
    <w:rsid w:val="00DA6046"/>
    <w:rsid w:val="00DA7CC2"/>
    <w:rsid w:val="00DB7019"/>
    <w:rsid w:val="00DB7204"/>
    <w:rsid w:val="00DB7852"/>
    <w:rsid w:val="00DC069D"/>
    <w:rsid w:val="00DC3F93"/>
    <w:rsid w:val="00DD5886"/>
    <w:rsid w:val="00DD65BA"/>
    <w:rsid w:val="00DE2942"/>
    <w:rsid w:val="00DE374F"/>
    <w:rsid w:val="00DE5395"/>
    <w:rsid w:val="00E00D04"/>
    <w:rsid w:val="00E103E9"/>
    <w:rsid w:val="00E15EF7"/>
    <w:rsid w:val="00E16A26"/>
    <w:rsid w:val="00E226EA"/>
    <w:rsid w:val="00E22937"/>
    <w:rsid w:val="00E247D9"/>
    <w:rsid w:val="00E30741"/>
    <w:rsid w:val="00E4224B"/>
    <w:rsid w:val="00E4617D"/>
    <w:rsid w:val="00E478C0"/>
    <w:rsid w:val="00E508E7"/>
    <w:rsid w:val="00E5234E"/>
    <w:rsid w:val="00E563EF"/>
    <w:rsid w:val="00E62525"/>
    <w:rsid w:val="00E64847"/>
    <w:rsid w:val="00E761C4"/>
    <w:rsid w:val="00E80276"/>
    <w:rsid w:val="00E84B15"/>
    <w:rsid w:val="00E865BA"/>
    <w:rsid w:val="00E9105A"/>
    <w:rsid w:val="00E95DCA"/>
    <w:rsid w:val="00EA5934"/>
    <w:rsid w:val="00EB04E4"/>
    <w:rsid w:val="00EB1839"/>
    <w:rsid w:val="00EB3277"/>
    <w:rsid w:val="00ED69F1"/>
    <w:rsid w:val="00ED6DE9"/>
    <w:rsid w:val="00EE5B47"/>
    <w:rsid w:val="00EF19AB"/>
    <w:rsid w:val="00F11860"/>
    <w:rsid w:val="00F11871"/>
    <w:rsid w:val="00F128E9"/>
    <w:rsid w:val="00F14D3A"/>
    <w:rsid w:val="00F21BFB"/>
    <w:rsid w:val="00F256FD"/>
    <w:rsid w:val="00F31FE3"/>
    <w:rsid w:val="00F36AB5"/>
    <w:rsid w:val="00F4068A"/>
    <w:rsid w:val="00F443D6"/>
    <w:rsid w:val="00F46E94"/>
    <w:rsid w:val="00F5113B"/>
    <w:rsid w:val="00F5674E"/>
    <w:rsid w:val="00F56BED"/>
    <w:rsid w:val="00F6185C"/>
    <w:rsid w:val="00F7178E"/>
    <w:rsid w:val="00F73FEF"/>
    <w:rsid w:val="00F75C49"/>
    <w:rsid w:val="00F75DF1"/>
    <w:rsid w:val="00F871F0"/>
    <w:rsid w:val="00F94C1C"/>
    <w:rsid w:val="00FA02C7"/>
    <w:rsid w:val="00FA21BE"/>
    <w:rsid w:val="00FB2496"/>
    <w:rsid w:val="00FC0FF1"/>
    <w:rsid w:val="00FC63FB"/>
    <w:rsid w:val="00FD11B0"/>
    <w:rsid w:val="00FD506E"/>
    <w:rsid w:val="00FD5115"/>
    <w:rsid w:val="00FD5334"/>
    <w:rsid w:val="00FE1CA2"/>
    <w:rsid w:val="00FE72E4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uPara">
    <w:name w:val="Ju_Para"/>
    <w:basedOn w:val="Normal"/>
    <w:link w:val="JuParaChar"/>
    <w:rsid w:val="00306FF6"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pPr>
      <w:spacing w:before="720" w:after="240"/>
    </w:pPr>
    <w:rPr>
      <w:sz w:val="28"/>
    </w:rPr>
  </w:style>
  <w:style w:type="paragraph" w:styleId="Footer">
    <w:name w:val="footer"/>
    <w:basedOn w:val="Normal"/>
    <w:pPr>
      <w:tabs>
        <w:tab w:val="center" w:pos="3686"/>
        <w:tab w:val="right" w:pos="7371"/>
      </w:tabs>
    </w:p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DefaultParagraphFont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autoRedefine/>
    <w:rsid w:val="000B5F77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link w:val="JuListChar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07"/>
      </w:tabs>
      <w:spacing w:before="240" w:after="120"/>
      <w:ind w:left="907" w:hanging="272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autoRedefine/>
    <w:rsid w:val="00093307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link w:val="OpiHHeadChar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link w:val="OpiTranslationChar"/>
    <w:rsid w:val="00E80276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07"/>
        <w:tab w:val="left" w:pos="1111"/>
      </w:tabs>
      <w:ind w:left="1111" w:hanging="278"/>
    </w:pPr>
    <w:rPr>
      <w:b w:val="0"/>
      <w:i/>
    </w:rPr>
  </w:style>
  <w:style w:type="paragraph" w:styleId="Header">
    <w:name w:val="header"/>
    <w:basedOn w:val="Normal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Lista">
    <w:name w:val="Ju_List_a"/>
    <w:basedOn w:val="JuList"/>
    <w:link w:val="JuListaChar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tabs>
        <w:tab w:val="left" w:pos="1304"/>
      </w:tabs>
      <w:ind w:left="1304" w:hanging="266"/>
    </w:pPr>
    <w:rPr>
      <w:i w:val="0"/>
    </w:rPr>
  </w:style>
  <w:style w:type="paragraph" w:customStyle="1" w:styleId="JuListi">
    <w:name w:val="Ju_List_i"/>
    <w:basedOn w:val="JuLista"/>
    <w:link w:val="JuListiChar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tabs>
        <w:tab w:val="left" w:pos="1446"/>
      </w:tabs>
      <w:ind w:left="1446" w:hanging="210"/>
    </w:pPr>
    <w:rPr>
      <w:i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8A3FA1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autoRedefine/>
    <w:rsid w:val="002F1CFA"/>
    <w:pPr>
      <w:ind w:right="360" w:firstLine="360"/>
      <w:jc w:val="center"/>
    </w:pPr>
    <w:rPr>
      <w:color w:val="000000"/>
      <w:sz w:val="20"/>
      <w:szCs w:val="24"/>
      <w:lang w:val="en-GB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fr-FR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Normal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Normal"/>
    <w:pPr>
      <w:spacing w:before="240"/>
      <w:ind w:left="284"/>
    </w:pPr>
  </w:style>
  <w:style w:type="paragraph" w:customStyle="1" w:styleId="SuCoverTitle1">
    <w:name w:val="Su_Cover_Title1"/>
    <w:basedOn w:val="Normal"/>
    <w:next w:val="SuCoverTitle2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pPr>
      <w:spacing w:before="240"/>
    </w:pPr>
    <w:rPr>
      <w:sz w:val="18"/>
    </w:rPr>
  </w:style>
  <w:style w:type="paragraph" w:customStyle="1" w:styleId="JuQuotSub">
    <w:name w:val="Ju_Quot_Sub"/>
    <w:basedOn w:val="JuQuot"/>
    <w:pPr>
      <w:ind w:firstLine="459"/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SuPara">
    <w:name w:val="Su_Para"/>
    <w:basedOn w:val="SuKeywords"/>
    <w:pPr>
      <w:spacing w:before="0" w:after="0"/>
    </w:pPr>
    <w:rPr>
      <w:i w:val="0"/>
    </w:rPr>
  </w:style>
  <w:style w:type="paragraph" w:customStyle="1" w:styleId="SuSubject">
    <w:name w:val="Su_Subject"/>
    <w:basedOn w:val="SuSummary"/>
    <w:pPr>
      <w:spacing w:before="360"/>
      <w:jc w:val="both"/>
    </w:pPr>
    <w:rPr>
      <w:b/>
      <w:sz w:val="22"/>
    </w:rPr>
  </w:style>
  <w:style w:type="paragraph" w:customStyle="1" w:styleId="SuHHead">
    <w:name w:val="Su_H_Head"/>
    <w:basedOn w:val="SuSubject"/>
    <w:pPr>
      <w:spacing w:after="120"/>
    </w:pPr>
  </w:style>
  <w:style w:type="paragraph" w:customStyle="1" w:styleId="SuKeywords">
    <w:name w:val="Su_Keywords"/>
    <w:basedOn w:val="SuHHead"/>
    <w:pPr>
      <w:spacing w:before="120"/>
    </w:pPr>
    <w:rPr>
      <w:b w:val="0"/>
      <w:i/>
    </w:rPr>
  </w:style>
  <w:style w:type="paragraph" w:customStyle="1" w:styleId="SuSummary">
    <w:name w:val="Su_Summary"/>
    <w:basedOn w:val="Normal"/>
    <w:next w:val="SuSubject"/>
    <w:pPr>
      <w:spacing w:after="240"/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JuJudgesChar">
    <w:name w:val="Ju_Judges Char"/>
    <w:basedOn w:val="DefaultParagraphFont"/>
    <w:link w:val="JuJudges"/>
    <w:rsid w:val="003015FF"/>
    <w:rPr>
      <w:sz w:val="24"/>
      <w:lang w:val="fr-FR" w:eastAsia="fr-FR" w:bidi="ar-SA"/>
    </w:rPr>
  </w:style>
  <w:style w:type="character" w:customStyle="1" w:styleId="JuParaChar">
    <w:name w:val="Ju_Para Char"/>
    <w:basedOn w:val="DefaultParagraphFont"/>
    <w:link w:val="JuPara"/>
    <w:rsid w:val="00306FF6"/>
    <w:rPr>
      <w:sz w:val="24"/>
      <w:lang w:val="fr-FR" w:eastAsia="fr-FR" w:bidi="ar-SA"/>
    </w:rPr>
  </w:style>
  <w:style w:type="paragraph" w:customStyle="1" w:styleId="JuJudgesItalic">
    <w:name w:val="Ju_Judges Italic"/>
    <w:basedOn w:val="JuJudges"/>
    <w:link w:val="JuJudgesItalicChar"/>
    <w:rsid w:val="003015FF"/>
    <w:rPr>
      <w:i/>
    </w:rPr>
  </w:style>
  <w:style w:type="character" w:customStyle="1" w:styleId="JuJudgesItalicChar">
    <w:name w:val="Ju_Judges Italic Char"/>
    <w:basedOn w:val="JuJudgesChar"/>
    <w:link w:val="JuJudgesItalic"/>
    <w:rsid w:val="003015FF"/>
    <w:rPr>
      <w:i/>
      <w:sz w:val="24"/>
      <w:lang w:val="fr-FR" w:eastAsia="fr-FR" w:bidi="ar-SA"/>
    </w:rPr>
  </w:style>
  <w:style w:type="character" w:customStyle="1" w:styleId="JuHHeadChar">
    <w:name w:val="Ju_H_Head Char"/>
    <w:basedOn w:val="DefaultParagraphFont"/>
    <w:link w:val="JuHHead"/>
    <w:rsid w:val="007E508F"/>
    <w:rPr>
      <w:sz w:val="28"/>
      <w:lang w:val="fr-FR" w:eastAsia="fr-FR" w:bidi="ar-SA"/>
    </w:rPr>
  </w:style>
  <w:style w:type="character" w:customStyle="1" w:styleId="OpiHHeadChar">
    <w:name w:val="Opi_H_Head Char"/>
    <w:basedOn w:val="JuHHeadChar"/>
    <w:link w:val="OpiHHead"/>
    <w:rsid w:val="007E508F"/>
    <w:rPr>
      <w:sz w:val="28"/>
      <w:lang w:val="fr-FR" w:eastAsia="fr-FR" w:bidi="ar-SA"/>
    </w:rPr>
  </w:style>
  <w:style w:type="character" w:customStyle="1" w:styleId="OpiTranslationChar">
    <w:name w:val="Opi_Translation Char"/>
    <w:basedOn w:val="OpiHHeadChar"/>
    <w:link w:val="OpiTranslation"/>
    <w:rsid w:val="00E80276"/>
    <w:rPr>
      <w:i/>
      <w:sz w:val="24"/>
      <w:lang w:val="fr-FR" w:eastAsia="fr-FR" w:bidi="ar-SA"/>
    </w:rPr>
  </w:style>
  <w:style w:type="character" w:customStyle="1" w:styleId="JuCourtChar">
    <w:name w:val="Ju_Court Char"/>
    <w:basedOn w:val="JuJudgesChar"/>
    <w:link w:val="JuCourt"/>
    <w:rsid w:val="00093307"/>
    <w:rPr>
      <w:sz w:val="24"/>
      <w:lang w:val="fr-FR" w:eastAsia="fr-FR" w:bidi="ar-SA"/>
    </w:rPr>
  </w:style>
  <w:style w:type="character" w:customStyle="1" w:styleId="JuSignedChar">
    <w:name w:val="Ju_Signed Char"/>
    <w:basedOn w:val="DefaultParagraphFont"/>
    <w:link w:val="JuSigned"/>
    <w:rsid w:val="000B5F77"/>
    <w:rPr>
      <w:sz w:val="24"/>
      <w:lang w:val="fr-FR" w:eastAsia="fr-FR" w:bidi="ar-SA"/>
    </w:rPr>
  </w:style>
  <w:style w:type="paragraph" w:customStyle="1" w:styleId="StyleJuSignedRight">
    <w:name w:val="Style Ju_Signed + Right"/>
    <w:basedOn w:val="JuSigned"/>
    <w:rsid w:val="008A3FA1"/>
    <w:pPr>
      <w:jc w:val="right"/>
    </w:pPr>
  </w:style>
  <w:style w:type="character" w:customStyle="1" w:styleId="JuListChar">
    <w:name w:val="Ju_List Char"/>
    <w:basedOn w:val="JuParaChar"/>
    <w:link w:val="JuList"/>
    <w:rsid w:val="00311689"/>
    <w:rPr>
      <w:sz w:val="24"/>
      <w:lang w:val="fr-FR" w:eastAsia="fr-FR" w:bidi="ar-SA"/>
    </w:rPr>
  </w:style>
  <w:style w:type="character" w:customStyle="1" w:styleId="hit1">
    <w:name w:val="hit1"/>
    <w:basedOn w:val="DefaultParagraphFont"/>
    <w:rsid w:val="0052293D"/>
    <w:rPr>
      <w:color w:val="FF0000"/>
    </w:rPr>
  </w:style>
  <w:style w:type="character" w:customStyle="1" w:styleId="JuListaChar">
    <w:name w:val="Ju_List_a Char"/>
    <w:basedOn w:val="JuListChar"/>
    <w:link w:val="JuLista"/>
    <w:rsid w:val="00A67271"/>
    <w:rPr>
      <w:sz w:val="24"/>
      <w:lang w:val="fr-FR" w:eastAsia="fr-FR" w:bidi="ar-SA"/>
    </w:rPr>
  </w:style>
  <w:style w:type="character" w:customStyle="1" w:styleId="JuListiChar">
    <w:name w:val="Ju_List_i Char"/>
    <w:basedOn w:val="JuListaChar"/>
    <w:link w:val="JuListi"/>
    <w:rsid w:val="00A67271"/>
    <w:rPr>
      <w:sz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2815B-DC7B-4FF2-9629-1AD3F6FB8A51}"/>
</file>

<file path=customXml/itemProps2.xml><?xml version="1.0" encoding="utf-8"?>
<ds:datastoreItem xmlns:ds="http://schemas.openxmlformats.org/officeDocument/2006/customXml" ds:itemID="{AE868CB0-F7BB-4CA2-A9B2-076D018D3B10}"/>
</file>

<file path=customXml/itemProps3.xml><?xml version="1.0" encoding="utf-8"?>
<ds:datastoreItem xmlns:ds="http://schemas.openxmlformats.org/officeDocument/2006/customXml" ds:itemID="{886C8D6A-2D22-444B-8EB1-20342D2C3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>AEBY</dc:creator>
  <cp:keywords/>
  <dc:description/>
  <cp:lastModifiedBy/>
  <cp:revision>7</cp:revision>
  <cp:lastPrinted>2004-03-23T10:30:00Z</cp:lastPrinted>
  <dcterms:created xsi:type="dcterms:W3CDTF">2018-12-06T15:14:00Z</dcterms:created>
  <dcterms:modified xsi:type="dcterms:W3CDTF">2018-12-06T15:14:00Z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