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6.0 -->
  <w:body>
    <w:p w:rsidRPr="009A3F85" w:rsidR="00D17581" w:rsidP="009A3F85">
      <w:pPr>
        <w:jc w:val="center"/>
        <w:rPr>
          <w:b/>
          <w:snapToGrid w:val="0"/>
          <w:szCs w:val="24"/>
          <w:lang w:val="uk-UA"/>
        </w:rPr>
      </w:pPr>
      <w:bookmarkStart w:name="_GoBack" w:id="0"/>
      <w:bookmarkEnd w:id="0"/>
      <w:r w:rsidRPr="009A3F85">
        <w:rPr>
          <w:lang w:val="uk-UA"/>
        </w:rPr>
        <w:t>ЄВРОПЕЙСЬКИЙ СУД З ПРАВ ЛЮДИНИ</w:t>
      </w:r>
    </w:p>
    <w:p w:rsidRPr="009A3F85" w:rsidR="00D17581" w:rsidP="009A3F85">
      <w:pPr>
        <w:jc w:val="center"/>
        <w:rPr>
          <w:b/>
          <w:snapToGrid w:val="0"/>
          <w:szCs w:val="24"/>
          <w:lang w:val="uk-UA"/>
        </w:rPr>
      </w:pPr>
    </w:p>
    <w:p w:rsidRPr="009A3F85" w:rsidR="00D17581" w:rsidP="009A3F85">
      <w:pPr>
        <w:jc w:val="center"/>
        <w:rPr>
          <w:lang w:val="uk-UA"/>
        </w:rPr>
      </w:pPr>
    </w:p>
    <w:p w:rsidRPr="009A3F85" w:rsidR="00D17581" w:rsidP="009A3F85">
      <w:pPr>
        <w:tabs>
          <w:tab w:val="left" w:pos="5670"/>
        </w:tabs>
        <w:jc w:val="center"/>
        <w:rPr>
          <w:b/>
          <w:lang w:val="uk-UA"/>
        </w:rPr>
      </w:pPr>
    </w:p>
    <w:p w:rsidRPr="009A3F85" w:rsidR="00D17581" w:rsidP="009A3F85">
      <w:pPr>
        <w:jc w:val="center"/>
        <w:rPr>
          <w:lang w:val="uk-UA"/>
        </w:rPr>
      </w:pPr>
    </w:p>
    <w:p w:rsidRPr="009A3F85" w:rsidR="00D17581" w:rsidP="009A3F85">
      <w:pPr>
        <w:jc w:val="center"/>
        <w:rPr>
          <w:lang w:val="uk-UA"/>
        </w:rPr>
      </w:pPr>
      <w:r w:rsidRPr="009A3F85">
        <w:rPr>
          <w:lang w:val="uk-UA"/>
        </w:rPr>
        <w:t>ВЕЛИКА ПАЛАТА</w:t>
      </w:r>
    </w:p>
    <w:p w:rsidRPr="009A3F85" w:rsidR="00D17581" w:rsidP="009A3F85">
      <w:pPr>
        <w:tabs>
          <w:tab w:val="left" w:pos="4536"/>
        </w:tabs>
        <w:jc w:val="center"/>
        <w:rPr>
          <w:lang w:val="uk-UA"/>
        </w:rPr>
      </w:pPr>
    </w:p>
    <w:p w:rsidRPr="009A3F85" w:rsidR="00D17581" w:rsidP="009A3F85">
      <w:pPr>
        <w:jc w:val="center"/>
        <w:rPr>
          <w:lang w:val="uk-UA"/>
        </w:rPr>
      </w:pPr>
    </w:p>
    <w:p w:rsidRPr="009A3F85" w:rsidR="00D17581" w:rsidP="009A3F85">
      <w:pPr>
        <w:jc w:val="center"/>
        <w:rPr>
          <w:lang w:val="uk-UA"/>
        </w:rPr>
      </w:pPr>
    </w:p>
    <w:p w:rsidRPr="009A3F85" w:rsidR="00D17581" w:rsidP="009A3F85">
      <w:pPr>
        <w:jc w:val="center"/>
        <w:rPr>
          <w:lang w:val="uk-UA"/>
        </w:rPr>
      </w:pPr>
    </w:p>
    <w:p w:rsidRPr="009A3F85" w:rsidR="00D17581" w:rsidP="009A3F85">
      <w:pPr>
        <w:jc w:val="center"/>
        <w:rPr>
          <w:b/>
          <w:lang w:val="uk-UA"/>
        </w:rPr>
      </w:pPr>
      <w:r w:rsidRPr="009A3F85">
        <w:rPr>
          <w:b/>
          <w:lang w:val="uk-UA"/>
        </w:rPr>
        <w:t>СПРАВА «БОЧАН ПРОТИ УКРАЇНИ (№ 2)»</w:t>
      </w:r>
    </w:p>
    <w:p w:rsidRPr="009A3F85" w:rsidR="00D17581" w:rsidP="009A3F85">
      <w:pPr>
        <w:jc w:val="center"/>
        <w:rPr>
          <w:b/>
          <w:lang w:val="uk-UA"/>
        </w:rPr>
      </w:pPr>
      <w:bookmarkStart w:name="To" w:id="1"/>
      <w:r w:rsidRPr="009A3F85">
        <w:rPr>
          <w:b/>
          <w:lang w:val="uk-UA"/>
        </w:rPr>
        <w:t xml:space="preserve">(CASE </w:t>
      </w:r>
      <w:bookmarkEnd w:id="1"/>
      <w:r w:rsidRPr="009A3F85">
        <w:rPr>
          <w:b/>
          <w:lang w:val="uk-UA"/>
        </w:rPr>
        <w:t>BOCHAN v. UKRAINE (no. 2))</w:t>
      </w:r>
    </w:p>
    <w:p w:rsidRPr="009A3F85" w:rsidR="00D17581" w:rsidP="009A3F85">
      <w:pPr>
        <w:jc w:val="center"/>
        <w:rPr>
          <w:lang w:val="uk-UA"/>
        </w:rPr>
      </w:pPr>
    </w:p>
    <w:p w:rsidRPr="009A3F85" w:rsidR="00D17581" w:rsidP="009A3F85">
      <w:pPr>
        <w:jc w:val="center"/>
        <w:rPr>
          <w:i/>
          <w:lang w:val="uk-UA"/>
        </w:rPr>
      </w:pPr>
      <w:r w:rsidRPr="009A3F85">
        <w:rPr>
          <w:i/>
          <w:lang w:val="uk-UA"/>
        </w:rPr>
        <w:t>(Заява № 22251/08)</w:t>
      </w:r>
    </w:p>
    <w:p w:rsidRPr="009A3F85" w:rsidR="00D17581" w:rsidP="009A3F85">
      <w:pPr>
        <w:jc w:val="center"/>
        <w:rPr>
          <w:szCs w:val="24"/>
          <w:lang w:val="uk-UA"/>
        </w:rPr>
      </w:pPr>
    </w:p>
    <w:p w:rsidRPr="009A3F85" w:rsidR="00D17581" w:rsidP="009A3F85">
      <w:pPr>
        <w:jc w:val="center"/>
        <w:rPr>
          <w:szCs w:val="24"/>
          <w:lang w:val="uk-UA"/>
        </w:rPr>
      </w:pPr>
    </w:p>
    <w:p w:rsidRPr="009A3F85" w:rsidR="00D17581" w:rsidP="009A3F85">
      <w:pPr>
        <w:jc w:val="center"/>
        <w:rPr>
          <w:szCs w:val="24"/>
          <w:lang w:val="uk-UA"/>
        </w:rPr>
      </w:pPr>
    </w:p>
    <w:p w:rsidRPr="009A3F85" w:rsidR="00D17581" w:rsidP="009A3F85">
      <w:pPr>
        <w:jc w:val="center"/>
        <w:rPr>
          <w:szCs w:val="24"/>
          <w:lang w:val="uk-UA"/>
        </w:rPr>
      </w:pPr>
    </w:p>
    <w:p w:rsidRPr="009A3F85" w:rsidR="00D17581" w:rsidP="009A3F85">
      <w:pPr>
        <w:jc w:val="center"/>
        <w:rPr>
          <w:szCs w:val="24"/>
          <w:lang w:val="uk-UA"/>
        </w:rPr>
      </w:pPr>
    </w:p>
    <w:p w:rsidRPr="009A3F85" w:rsidR="00D17581" w:rsidP="009A3F85">
      <w:pPr>
        <w:jc w:val="center"/>
        <w:rPr>
          <w:szCs w:val="24"/>
          <w:lang w:val="uk-UA"/>
        </w:rPr>
      </w:pPr>
    </w:p>
    <w:p w:rsidRPr="009A3F85" w:rsidR="00D17581" w:rsidP="009A3F85">
      <w:pPr>
        <w:jc w:val="center"/>
        <w:rPr>
          <w:szCs w:val="24"/>
          <w:lang w:val="uk-UA"/>
        </w:rPr>
      </w:pPr>
    </w:p>
    <w:p w:rsidRPr="009A3F85" w:rsidR="00D17581" w:rsidP="009A3F85">
      <w:pPr>
        <w:jc w:val="center"/>
        <w:rPr>
          <w:szCs w:val="24"/>
          <w:lang w:val="uk-UA"/>
        </w:rPr>
      </w:pPr>
    </w:p>
    <w:p w:rsidRPr="009A3F85" w:rsidR="00D17581" w:rsidP="009A3F85">
      <w:pPr>
        <w:jc w:val="center"/>
        <w:rPr>
          <w:szCs w:val="24"/>
          <w:lang w:val="uk-UA"/>
        </w:rPr>
      </w:pPr>
    </w:p>
    <w:p w:rsidRPr="009A3F85" w:rsidR="00D17581" w:rsidP="009A3F85">
      <w:pPr>
        <w:jc w:val="center"/>
        <w:rPr>
          <w:szCs w:val="24"/>
          <w:lang w:val="uk-UA"/>
        </w:rPr>
      </w:pPr>
      <w:r w:rsidRPr="009A3F85">
        <w:rPr>
          <w:lang w:val="uk-UA"/>
        </w:rPr>
        <w:t>РІШЕННЯ</w:t>
      </w:r>
    </w:p>
    <w:p w:rsidRPr="009A3F85" w:rsidR="00D17581" w:rsidP="009A3F85">
      <w:pPr>
        <w:jc w:val="center"/>
        <w:rPr>
          <w:szCs w:val="24"/>
          <w:lang w:val="uk-UA"/>
        </w:rPr>
      </w:pPr>
    </w:p>
    <w:p w:rsidRPr="009A3F85" w:rsidR="00D17581" w:rsidP="009A3F85">
      <w:pPr>
        <w:jc w:val="center"/>
        <w:rPr>
          <w:szCs w:val="24"/>
          <w:lang w:val="uk-UA"/>
        </w:rPr>
      </w:pPr>
    </w:p>
    <w:p w:rsidRPr="009A3F85" w:rsidR="00D17581" w:rsidP="009A3F85">
      <w:pPr>
        <w:jc w:val="center"/>
        <w:rPr>
          <w:szCs w:val="24"/>
          <w:lang w:val="uk-UA"/>
        </w:rPr>
      </w:pPr>
      <w:r w:rsidRPr="009A3F85">
        <w:rPr>
          <w:lang w:val="uk-UA"/>
        </w:rPr>
        <w:t>СТРАСБУРГ</w:t>
      </w:r>
    </w:p>
    <w:p w:rsidRPr="009A3F85" w:rsidR="00D17581" w:rsidP="009A3F85">
      <w:pPr>
        <w:jc w:val="center"/>
        <w:rPr>
          <w:szCs w:val="24"/>
          <w:lang w:val="uk-UA"/>
        </w:rPr>
      </w:pPr>
    </w:p>
    <w:p w:rsidRPr="009A3F85" w:rsidR="00D17581" w:rsidP="009A3F85">
      <w:pPr>
        <w:jc w:val="center"/>
        <w:rPr>
          <w:szCs w:val="24"/>
          <w:lang w:val="uk-UA"/>
        </w:rPr>
      </w:pPr>
    </w:p>
    <w:p w:rsidRPr="009A3F85" w:rsidR="00D17581" w:rsidP="009A3F85">
      <w:pPr>
        <w:jc w:val="center"/>
        <w:rPr>
          <w:szCs w:val="24"/>
          <w:lang w:val="uk-UA"/>
        </w:rPr>
      </w:pPr>
      <w:r w:rsidRPr="009A3F85">
        <w:rPr>
          <w:szCs w:val="24"/>
          <w:lang w:val="uk-UA"/>
        </w:rPr>
        <w:t>5 лютого 2015 року</w:t>
      </w:r>
    </w:p>
    <w:p w:rsidRPr="009A3F85" w:rsidR="00D17581" w:rsidP="009A3F85">
      <w:pPr>
        <w:jc w:val="center"/>
        <w:rPr>
          <w:szCs w:val="24"/>
          <w:lang w:val="uk-UA"/>
        </w:rPr>
      </w:pPr>
    </w:p>
    <w:p w:rsidRPr="009A3F85" w:rsidR="00D17581" w:rsidP="009A3F85">
      <w:pPr>
        <w:jc w:val="center"/>
        <w:rPr>
          <w:szCs w:val="24"/>
          <w:lang w:val="uk-UA"/>
        </w:rPr>
      </w:pPr>
    </w:p>
    <w:p w:rsidRPr="009A3F85" w:rsidR="00D17581" w:rsidP="009A3F85">
      <w:pPr>
        <w:jc w:val="center"/>
        <w:rPr>
          <w:szCs w:val="24"/>
          <w:lang w:val="uk-UA"/>
        </w:rPr>
      </w:pPr>
    </w:p>
    <w:p w:rsidRPr="009A3F85" w:rsidR="00D17581" w:rsidP="009A3F85">
      <w:pPr>
        <w:jc w:val="center"/>
        <w:rPr>
          <w:szCs w:val="24"/>
          <w:lang w:val="uk-UA"/>
        </w:rPr>
      </w:pPr>
    </w:p>
    <w:p w:rsidRPr="009A3F85" w:rsidR="00D17581" w:rsidP="009A3F85">
      <w:pPr>
        <w:jc w:val="center"/>
        <w:rPr>
          <w:szCs w:val="24"/>
          <w:lang w:val="uk-UA"/>
        </w:rPr>
      </w:pPr>
    </w:p>
    <w:p w:rsidRPr="009A3F85" w:rsidR="00D17581" w:rsidP="009A3F85">
      <w:pPr>
        <w:jc w:val="center"/>
        <w:rPr>
          <w:szCs w:val="24"/>
          <w:lang w:val="uk-UA"/>
        </w:rPr>
      </w:pPr>
    </w:p>
    <w:p w:rsidRPr="009A3F85" w:rsidR="00D17581" w:rsidP="009A3F85">
      <w:pPr>
        <w:rPr>
          <w:lang w:val="uk-UA"/>
        </w:rPr>
      </w:pPr>
      <w:r w:rsidRPr="009A3F85">
        <w:rPr>
          <w:i/>
          <w:lang w:val="uk-UA"/>
        </w:rPr>
        <w:t>Це рішення є остаточним, але може підлягати редакційним виправленням.</w:t>
      </w:r>
    </w:p>
    <w:p w:rsidRPr="009A3F85" w:rsidR="00D17581" w:rsidP="009A3F85">
      <w:pPr>
        <w:jc w:val="center"/>
        <w:rPr>
          <w:szCs w:val="24"/>
          <w:lang w:val="uk-UA"/>
        </w:rPr>
        <w:sectPr w:rsidSect="00E3356A">
          <w:headerReference w:type="default" r:id="rId8"/>
          <w:footerReference w:type="default" r:id="rId9"/>
          <w:headerReference w:type="first" r:id="rId10"/>
          <w:footerReference w:type="first" r:id="rId11"/>
          <w:footnotePr>
            <w:numRestart w:val="eachPage"/>
          </w:footnotePr>
          <w:pgSz w:w="11906" w:h="16838" w:code="9"/>
          <w:pgMar w:top="2274" w:right="1440" w:bottom="2274" w:left="1440" w:header="1701" w:footer="720" w:gutter="0"/>
          <w:pgNumType w:start="1"/>
          <w:cols w:space="720"/>
          <w:titlePg/>
          <w:docGrid w:linePitch="326"/>
        </w:sectPr>
      </w:pPr>
    </w:p>
    <w:p w:rsidRPr="009A3F85" w:rsidR="009A3F85" w:rsidP="009A3F85">
      <w:pPr>
        <w:pStyle w:val="JuCase"/>
        <w:rPr>
          <w:lang w:val="uk-UA"/>
        </w:rPr>
      </w:pPr>
      <w:r w:rsidRPr="009A3F85">
        <w:rPr>
          <w:lang w:val="uk-UA"/>
        </w:rPr>
        <w:t>У справі «Бочан проти України (№ 2)»</w:t>
      </w:r>
    </w:p>
    <w:p w:rsidRPr="009A3F85" w:rsidR="00D17581" w:rsidP="009A3F85">
      <w:pPr>
        <w:pStyle w:val="ECHRPara"/>
        <w:rPr>
          <w:lang w:val="uk-UA"/>
        </w:rPr>
      </w:pPr>
      <w:r w:rsidRPr="009A3F85">
        <w:rPr>
          <w:lang w:val="uk-UA"/>
        </w:rPr>
        <w:t>Європейський суд з прав людини (Велика палата), засідаючи Великою палатою, до складу якої увійшли:</w:t>
      </w:r>
    </w:p>
    <w:p w:rsidRPr="009A3F85" w:rsidR="00D17581" w:rsidP="009A3F85">
      <w:pPr>
        <w:pStyle w:val="ECHRDecisionBody"/>
        <w:rPr>
          <w:lang w:val="uk-UA"/>
        </w:rPr>
      </w:pPr>
      <w:r w:rsidRPr="009A3F85">
        <w:rPr>
          <w:lang w:val="uk-UA"/>
        </w:rPr>
        <w:tab/>
        <w:t>Дін Шпільманн (</w:t>
      </w:r>
      <w:r w:rsidRPr="009A3F85">
        <w:rPr>
          <w:i/>
          <w:lang w:val="uk-UA"/>
        </w:rPr>
        <w:t>Dean Spielmann</w:t>
      </w:r>
      <w:r w:rsidRPr="009A3F85">
        <w:rPr>
          <w:lang w:val="uk-UA"/>
        </w:rPr>
        <w:t>),</w:t>
      </w:r>
      <w:r w:rsidRPr="009A3F85">
        <w:rPr>
          <w:i/>
          <w:lang w:val="uk-UA"/>
        </w:rPr>
        <w:t xml:space="preserve"> Голова,</w:t>
      </w:r>
      <w:r w:rsidRPr="009A3F85">
        <w:rPr>
          <w:i/>
          <w:lang w:val="uk-UA"/>
        </w:rPr>
        <w:br/>
      </w:r>
      <w:r w:rsidRPr="009A3F85">
        <w:rPr>
          <w:lang w:val="uk-UA"/>
        </w:rPr>
        <w:tab/>
      </w:r>
      <w:r w:rsidRPr="009A3F85" w:rsidR="00AA0101">
        <w:rPr>
          <w:lang w:val="uk-UA"/>
        </w:rPr>
        <w:t xml:space="preserve">Жузеп </w:t>
      </w:r>
      <w:r w:rsidRPr="009A3F85">
        <w:rPr>
          <w:lang w:val="uk-UA"/>
        </w:rPr>
        <w:t>Касадеваль (</w:t>
      </w:r>
      <w:r w:rsidRPr="009A3F85">
        <w:rPr>
          <w:i/>
          <w:lang w:val="uk-UA"/>
        </w:rPr>
        <w:t>Josep Casadevall</w:t>
      </w:r>
      <w:r w:rsidRPr="009A3F85">
        <w:rPr>
          <w:lang w:val="uk-UA"/>
        </w:rPr>
        <w:t>),</w:t>
      </w:r>
      <w:r w:rsidRPr="009A3F85">
        <w:rPr>
          <w:i/>
          <w:lang w:val="uk-UA"/>
        </w:rPr>
        <w:br/>
      </w:r>
      <w:r w:rsidRPr="009A3F85">
        <w:rPr>
          <w:lang w:val="uk-UA"/>
        </w:rPr>
        <w:tab/>
        <w:t>Гвідо Раймонді (</w:t>
      </w:r>
      <w:r w:rsidRPr="009A3F85">
        <w:rPr>
          <w:i/>
          <w:lang w:val="uk-UA"/>
        </w:rPr>
        <w:t>Guido Raimondi</w:t>
      </w:r>
      <w:r w:rsidRPr="009A3F85">
        <w:rPr>
          <w:lang w:val="uk-UA"/>
        </w:rPr>
        <w:t>),</w:t>
      </w:r>
      <w:r w:rsidRPr="009A3F85">
        <w:rPr>
          <w:i/>
          <w:lang w:val="uk-UA"/>
        </w:rPr>
        <w:br/>
      </w:r>
      <w:r w:rsidRPr="009A3F85">
        <w:rPr>
          <w:lang w:val="uk-UA"/>
        </w:rPr>
        <w:tab/>
        <w:t>Інета Зіємеле (</w:t>
      </w:r>
      <w:r w:rsidRPr="009A3F85">
        <w:rPr>
          <w:i/>
          <w:lang w:val="uk-UA"/>
        </w:rPr>
        <w:t>Ineta Ziemele</w:t>
      </w:r>
      <w:r w:rsidRPr="009A3F85">
        <w:rPr>
          <w:lang w:val="uk-UA"/>
        </w:rPr>
        <w:t>),</w:t>
      </w:r>
      <w:r w:rsidRPr="009A3F85">
        <w:rPr>
          <w:i/>
          <w:lang w:val="uk-UA"/>
        </w:rPr>
        <w:br/>
      </w:r>
      <w:r w:rsidRPr="009A3F85">
        <w:rPr>
          <w:lang w:val="uk-UA"/>
        </w:rPr>
        <w:tab/>
        <w:t>Марк Віллігер (</w:t>
      </w:r>
      <w:r w:rsidRPr="009A3F85">
        <w:rPr>
          <w:i/>
          <w:lang w:val="uk-UA"/>
        </w:rPr>
        <w:t>Mark Villiger</w:t>
      </w:r>
      <w:r w:rsidRPr="009A3F85">
        <w:rPr>
          <w:lang w:val="uk-UA"/>
        </w:rPr>
        <w:t>),</w:t>
      </w:r>
      <w:r w:rsidRPr="009A3F85">
        <w:rPr>
          <w:i/>
          <w:lang w:val="uk-UA"/>
        </w:rPr>
        <w:br/>
      </w:r>
      <w:r w:rsidRPr="009A3F85">
        <w:rPr>
          <w:lang w:val="uk-UA"/>
        </w:rPr>
        <w:tab/>
        <w:t>Ізабель Берро (</w:t>
      </w:r>
      <w:r w:rsidRPr="009A3F85">
        <w:rPr>
          <w:i/>
          <w:lang w:val="uk-UA"/>
        </w:rPr>
        <w:t>Isabelle Berro</w:t>
      </w:r>
      <w:r w:rsidRPr="009A3F85">
        <w:rPr>
          <w:lang w:val="uk-UA"/>
        </w:rPr>
        <w:t>),</w:t>
      </w:r>
      <w:r w:rsidRPr="009A3F85">
        <w:rPr>
          <w:i/>
          <w:lang w:val="uk-UA"/>
        </w:rPr>
        <w:br/>
      </w:r>
      <w:r w:rsidRPr="009A3F85">
        <w:rPr>
          <w:lang w:val="uk-UA"/>
        </w:rPr>
        <w:tab/>
        <w:t>Боштьян М. Зупанчіч (</w:t>
      </w:r>
      <w:r w:rsidRPr="009A3F85">
        <w:rPr>
          <w:i/>
          <w:lang w:val="uk-UA"/>
        </w:rPr>
        <w:t>Boštjan M. Zupančič</w:t>
      </w:r>
      <w:r w:rsidRPr="009A3F85">
        <w:rPr>
          <w:lang w:val="uk-UA"/>
        </w:rPr>
        <w:t>),</w:t>
      </w:r>
      <w:r w:rsidRPr="009A3F85">
        <w:rPr>
          <w:i/>
          <w:lang w:val="uk-UA"/>
        </w:rPr>
        <w:br/>
      </w:r>
      <w:r w:rsidRPr="009A3F85">
        <w:rPr>
          <w:lang w:val="uk-UA"/>
        </w:rPr>
        <w:tab/>
        <w:t>Альвіна Гюлумян (</w:t>
      </w:r>
      <w:r w:rsidRPr="009A3F85">
        <w:rPr>
          <w:i/>
          <w:lang w:val="uk-UA"/>
        </w:rPr>
        <w:t>Alvina Gyulumyan</w:t>
      </w:r>
      <w:r w:rsidRPr="009A3F85">
        <w:rPr>
          <w:lang w:val="uk-UA"/>
        </w:rPr>
        <w:t>),</w:t>
      </w:r>
      <w:r w:rsidRPr="009A3F85">
        <w:rPr>
          <w:i/>
          <w:lang w:val="uk-UA"/>
        </w:rPr>
        <w:br/>
      </w:r>
      <w:r w:rsidRPr="009A3F85">
        <w:rPr>
          <w:lang w:val="uk-UA"/>
        </w:rPr>
        <w:tab/>
        <w:t>Ганна Юдківська (</w:t>
      </w:r>
      <w:r w:rsidRPr="009A3F85">
        <w:rPr>
          <w:i/>
          <w:lang w:val="uk-UA"/>
        </w:rPr>
        <w:t>Ganna Yudkivska</w:t>
      </w:r>
      <w:r w:rsidRPr="009A3F85">
        <w:rPr>
          <w:lang w:val="uk-UA"/>
        </w:rPr>
        <w:t>),</w:t>
      </w:r>
      <w:r w:rsidRPr="009A3F85">
        <w:rPr>
          <w:i/>
          <w:lang w:val="uk-UA"/>
        </w:rPr>
        <w:br/>
      </w:r>
      <w:r w:rsidRPr="009A3F85">
        <w:rPr>
          <w:lang w:val="uk-UA"/>
        </w:rPr>
        <w:tab/>
        <w:t>Ангеліка Нуссбергер (</w:t>
      </w:r>
      <w:r w:rsidRPr="009A3F85">
        <w:rPr>
          <w:i/>
          <w:lang w:val="uk-UA"/>
        </w:rPr>
        <w:t>Angelika Nußberger</w:t>
      </w:r>
      <w:r w:rsidRPr="009A3F85">
        <w:rPr>
          <w:lang w:val="uk-UA"/>
        </w:rPr>
        <w:t>),</w:t>
      </w:r>
      <w:r w:rsidRPr="009A3F85">
        <w:rPr>
          <w:i/>
          <w:lang w:val="uk-UA"/>
        </w:rPr>
        <w:br/>
      </w:r>
      <w:r w:rsidRPr="009A3F85">
        <w:rPr>
          <w:lang w:val="uk-UA"/>
        </w:rPr>
        <w:tab/>
        <w:t>Ерік Месе (</w:t>
      </w:r>
      <w:r w:rsidRPr="009A3F85">
        <w:rPr>
          <w:i/>
          <w:lang w:val="uk-UA"/>
        </w:rPr>
        <w:t>Erik Møse</w:t>
      </w:r>
      <w:r w:rsidRPr="009A3F85">
        <w:rPr>
          <w:lang w:val="uk-UA"/>
        </w:rPr>
        <w:t>),</w:t>
      </w:r>
      <w:r w:rsidRPr="009A3F85">
        <w:rPr>
          <w:i/>
          <w:lang w:val="uk-UA"/>
        </w:rPr>
        <w:br/>
      </w:r>
      <w:r w:rsidRPr="009A3F85">
        <w:rPr>
          <w:lang w:val="uk-UA"/>
        </w:rPr>
        <w:tab/>
        <w:t>Андре Потоцький (</w:t>
      </w:r>
      <w:r w:rsidRPr="009A3F85">
        <w:rPr>
          <w:i/>
          <w:lang w:val="uk-UA"/>
        </w:rPr>
        <w:t>André Potocki</w:t>
      </w:r>
      <w:r w:rsidRPr="009A3F85">
        <w:rPr>
          <w:lang w:val="uk-UA"/>
        </w:rPr>
        <w:t>),</w:t>
      </w:r>
      <w:r w:rsidRPr="009A3F85">
        <w:rPr>
          <w:i/>
          <w:lang w:val="uk-UA"/>
        </w:rPr>
        <w:br/>
      </w:r>
      <w:r w:rsidRPr="009A3F85">
        <w:rPr>
          <w:lang w:val="uk-UA"/>
        </w:rPr>
        <w:tab/>
        <w:t>Поль Лемменс (</w:t>
      </w:r>
      <w:r w:rsidRPr="009A3F85">
        <w:rPr>
          <w:i/>
          <w:lang w:val="uk-UA"/>
        </w:rPr>
        <w:t>Paul Lemmens</w:t>
      </w:r>
      <w:r w:rsidRPr="009A3F85">
        <w:rPr>
          <w:lang w:val="uk-UA"/>
        </w:rPr>
        <w:t>),</w:t>
      </w:r>
      <w:r w:rsidRPr="009A3F85">
        <w:rPr>
          <w:i/>
          <w:lang w:val="uk-UA"/>
        </w:rPr>
        <w:br/>
      </w:r>
      <w:r w:rsidRPr="009A3F85">
        <w:rPr>
          <w:lang w:val="uk-UA"/>
        </w:rPr>
        <w:tab/>
        <w:t>Пол Махоні (</w:t>
      </w:r>
      <w:r w:rsidRPr="009A3F85">
        <w:rPr>
          <w:i/>
          <w:lang w:val="uk-UA"/>
        </w:rPr>
        <w:t>Paul Mahoney</w:t>
      </w:r>
      <w:r w:rsidRPr="009A3F85">
        <w:rPr>
          <w:lang w:val="uk-UA"/>
        </w:rPr>
        <w:t>),</w:t>
      </w:r>
      <w:r w:rsidRPr="009A3F85">
        <w:rPr>
          <w:i/>
          <w:lang w:val="uk-UA"/>
        </w:rPr>
        <w:br/>
      </w:r>
      <w:r w:rsidRPr="009A3F85">
        <w:rPr>
          <w:lang w:val="uk-UA"/>
        </w:rPr>
        <w:tab/>
        <w:t>Алеш Пейхал (</w:t>
      </w:r>
      <w:r w:rsidRPr="009A3F85">
        <w:rPr>
          <w:i/>
          <w:lang w:val="uk-UA"/>
        </w:rPr>
        <w:t>Aleš Pejchal</w:t>
      </w:r>
      <w:r w:rsidRPr="009A3F85">
        <w:rPr>
          <w:lang w:val="uk-UA"/>
        </w:rPr>
        <w:t>),</w:t>
      </w:r>
      <w:r w:rsidRPr="009A3F85">
        <w:rPr>
          <w:i/>
          <w:lang w:val="uk-UA"/>
        </w:rPr>
        <w:br/>
      </w:r>
      <w:r w:rsidRPr="009A3F85">
        <w:rPr>
          <w:lang w:val="uk-UA"/>
        </w:rPr>
        <w:tab/>
        <w:t>Кшиштоф Войтичек (</w:t>
      </w:r>
      <w:r w:rsidRPr="009A3F85">
        <w:rPr>
          <w:i/>
          <w:lang w:val="uk-UA"/>
        </w:rPr>
        <w:t>Krzysztof Wojtyczek</w:t>
      </w:r>
      <w:r w:rsidRPr="009A3F85">
        <w:rPr>
          <w:lang w:val="uk-UA"/>
        </w:rPr>
        <w:t>),</w:t>
      </w:r>
      <w:r w:rsidRPr="009A3F85">
        <w:rPr>
          <w:i/>
          <w:lang w:val="uk-UA"/>
        </w:rPr>
        <w:br/>
      </w:r>
      <w:r w:rsidRPr="009A3F85">
        <w:rPr>
          <w:lang w:val="uk-UA"/>
        </w:rPr>
        <w:tab/>
        <w:t>Дмітрій Дєдов (</w:t>
      </w:r>
      <w:r w:rsidRPr="009A3F85">
        <w:rPr>
          <w:i/>
          <w:lang w:val="uk-UA"/>
        </w:rPr>
        <w:t>Dmitry Dedov</w:t>
      </w:r>
      <w:r w:rsidRPr="009A3F85">
        <w:rPr>
          <w:lang w:val="uk-UA"/>
        </w:rPr>
        <w:t>),</w:t>
      </w:r>
      <w:r w:rsidRPr="009A3F85">
        <w:rPr>
          <w:i/>
          <w:lang w:val="uk-UA"/>
        </w:rPr>
        <w:t xml:space="preserve"> судді,</w:t>
      </w:r>
      <w:r w:rsidRPr="009A3F85">
        <w:rPr>
          <w:i/>
          <w:lang w:val="uk-UA"/>
        </w:rPr>
        <w:br/>
      </w:r>
      <w:r w:rsidRPr="009A3F85">
        <w:rPr>
          <w:lang w:val="uk-UA"/>
        </w:rPr>
        <w:t>та Лоуренс Ерлі (</w:t>
      </w:r>
      <w:r w:rsidRPr="009A3F85">
        <w:rPr>
          <w:i/>
          <w:lang w:val="uk-UA"/>
        </w:rPr>
        <w:t>Lawrence Early</w:t>
      </w:r>
      <w:r w:rsidRPr="009A3F85">
        <w:rPr>
          <w:lang w:val="uk-UA"/>
        </w:rPr>
        <w:t xml:space="preserve">), </w:t>
      </w:r>
      <w:r w:rsidRPr="009A3F85">
        <w:rPr>
          <w:i/>
          <w:iCs/>
          <w:lang w:val="uk-UA"/>
        </w:rPr>
        <w:t>юрисконсульт</w:t>
      </w:r>
      <w:r w:rsidRPr="009A3F85">
        <w:rPr>
          <w:i/>
          <w:lang w:val="uk-UA"/>
        </w:rPr>
        <w:t>,</w:t>
      </w:r>
    </w:p>
    <w:p w:rsidRPr="009A3F85" w:rsidR="00D17581" w:rsidP="009A3F85">
      <w:pPr>
        <w:pStyle w:val="ECHRPara"/>
        <w:rPr>
          <w:lang w:val="uk-UA"/>
        </w:rPr>
      </w:pPr>
      <w:r w:rsidRPr="009A3F85">
        <w:rPr>
          <w:lang w:val="uk-UA"/>
        </w:rPr>
        <w:t>після обговорення за зачиненими дверима 7 травня і 19 листопада 2014 року</w:t>
      </w:r>
    </w:p>
    <w:p w:rsidRPr="009A3F85" w:rsidR="00D17581" w:rsidP="009A3F85">
      <w:pPr>
        <w:pStyle w:val="ECHRPara"/>
        <w:rPr>
          <w:lang w:val="uk-UA"/>
        </w:rPr>
      </w:pPr>
      <w:r w:rsidRPr="009A3F85">
        <w:rPr>
          <w:lang w:val="uk-UA"/>
        </w:rPr>
        <w:t>постановляє таке рішення, що було ухвалено в останню зазначену дату:</w:t>
      </w:r>
    </w:p>
    <w:p w:rsidRPr="009A3F85" w:rsidR="00D17581" w:rsidP="009A3F85">
      <w:pPr>
        <w:pStyle w:val="ECHRTitle1"/>
        <w:rPr>
          <w:lang w:val="uk-UA"/>
        </w:rPr>
      </w:pPr>
      <w:r w:rsidRPr="009A3F85">
        <w:rPr>
          <w:lang w:val="uk-UA"/>
        </w:rPr>
        <w:t>ПРОЦЕДУРА</w:t>
      </w:r>
    </w:p>
    <w:p w:rsidRPr="009A3F85" w:rsidR="00D17581" w:rsidP="009A3F85">
      <w:pPr>
        <w:pStyle w:val="ECHRPara"/>
        <w:rPr>
          <w:lang w:val="uk-UA"/>
        </w:rPr>
      </w:pPr>
      <w:r w:rsidRPr="009A3F85">
        <w:rPr>
          <w:lang w:val="uk-UA"/>
        </w:rPr>
        <w:fldChar w:fldCharType="begin"/>
      </w:r>
      <w:r w:rsidRPr="009A3F85">
        <w:rPr>
          <w:lang w:val="uk-UA"/>
        </w:rPr>
        <w:instrText xml:space="preserve"> SEQ level0 \*arabic </w:instrText>
      </w:r>
      <w:r w:rsidRPr="009A3F85">
        <w:rPr>
          <w:lang w:val="uk-UA"/>
        </w:rPr>
        <w:fldChar w:fldCharType="separate"/>
      </w:r>
      <w:r w:rsidRPr="009A3F85" w:rsidR="009A3F85">
        <w:rPr>
          <w:noProof/>
          <w:lang w:val="uk-UA"/>
        </w:rPr>
        <w:t>1</w:t>
      </w:r>
      <w:r w:rsidRPr="009A3F85">
        <w:rPr>
          <w:lang w:val="uk-UA"/>
        </w:rPr>
        <w:fldChar w:fldCharType="end"/>
      </w:r>
      <w:r w:rsidRPr="009A3F85">
        <w:rPr>
          <w:lang w:val="uk-UA"/>
        </w:rPr>
        <w:t>.  Справу було розпочато за заявою (№ 22251/08), яку 7 квітня 2008 року подала до Суду проти України на підставі статті 34 Конвенції про захист прав людини і основоположних свобод (далі – Конвенція) громадянка України, пані Марія Іванівна Бочан (далі – заявниця).</w:t>
      </w:r>
    </w:p>
    <w:p w:rsidRPr="009A3F85" w:rsidR="00D17581" w:rsidP="009A3F85">
      <w:pPr>
        <w:pStyle w:val="ECHRPara"/>
        <w:rPr>
          <w:szCs w:val="24"/>
          <w:lang w:val="uk-UA"/>
        </w:rPr>
      </w:pPr>
      <w:r w:rsidRPr="009A3F85">
        <w:rPr>
          <w:lang w:val="uk-UA"/>
        </w:rPr>
        <w:fldChar w:fldCharType="begin"/>
      </w:r>
      <w:r w:rsidRPr="009A3F85">
        <w:rPr>
          <w:lang w:val="uk-UA"/>
        </w:rPr>
        <w:instrText xml:space="preserve"> SEQ level0 \*arabic </w:instrText>
      </w:r>
      <w:r w:rsidRPr="009A3F85">
        <w:rPr>
          <w:lang w:val="uk-UA"/>
        </w:rPr>
        <w:fldChar w:fldCharType="separate"/>
      </w:r>
      <w:r w:rsidRPr="009A3F85" w:rsidR="009A3F85">
        <w:rPr>
          <w:noProof/>
          <w:lang w:val="uk-UA"/>
        </w:rPr>
        <w:t>2</w:t>
      </w:r>
      <w:r w:rsidRPr="009A3F85">
        <w:rPr>
          <w:lang w:val="uk-UA"/>
        </w:rPr>
        <w:fldChar w:fldCharType="end"/>
      </w:r>
      <w:r w:rsidRPr="009A3F85">
        <w:rPr>
          <w:lang w:val="uk-UA"/>
        </w:rPr>
        <w:t xml:space="preserve">.  Інтереси заявниці представляв її син, пан І. Бочан, юрист, що практикує у м. Тернопіль. </w:t>
      </w:r>
      <w:r w:rsidRPr="009A3F85">
        <w:rPr>
          <w:rStyle w:val="JuParaChar"/>
          <w:lang w:val="uk-UA"/>
        </w:rPr>
        <w:t xml:space="preserve">Уряд України (далі – Уряд) представляв його Уповноважений, на останніх етапах провадження – пані </w:t>
      </w:r>
      <w:r w:rsidRPr="009A3F85" w:rsidR="006801F3">
        <w:rPr>
          <w:rStyle w:val="JuParaChar"/>
          <w:lang w:val="uk-UA"/>
        </w:rPr>
        <w:br/>
      </w:r>
      <w:r w:rsidRPr="009A3F85">
        <w:rPr>
          <w:rStyle w:val="JuParaChar"/>
          <w:lang w:val="uk-UA"/>
        </w:rPr>
        <w:t>Н</w:t>
      </w:r>
      <w:r w:rsidRPr="009A3F85" w:rsidR="006801F3">
        <w:rPr>
          <w:rStyle w:val="JuParaChar"/>
          <w:lang w:val="uk-UA"/>
        </w:rPr>
        <w:t>.</w:t>
      </w:r>
      <w:r w:rsidRPr="009A3F85" w:rsidR="009A3F85">
        <w:rPr>
          <w:rStyle w:val="JuParaChar"/>
          <w:lang w:val="uk-UA"/>
        </w:rPr>
        <w:t xml:space="preserve"> </w:t>
      </w:r>
      <w:r w:rsidRPr="009A3F85">
        <w:rPr>
          <w:rStyle w:val="JuParaChar"/>
          <w:lang w:val="uk-UA"/>
        </w:rPr>
        <w:t>Севостьянова,</w:t>
      </w:r>
      <w:r w:rsidRPr="009A3F85">
        <w:rPr>
          <w:lang w:val="uk-UA"/>
        </w:rPr>
        <w:t xml:space="preserve"> з Міністерства юстиції України</w:t>
      </w:r>
      <w:r w:rsidRPr="009A3F85">
        <w:rPr>
          <w:szCs w:val="24"/>
          <w:lang w:val="uk-UA"/>
        </w:rPr>
        <w:t>.</w:t>
      </w:r>
    </w:p>
    <w:p w:rsidRPr="009A3F85" w:rsidR="00D17581" w:rsidP="009A3F85">
      <w:pPr>
        <w:pStyle w:val="ECHRPara"/>
        <w:rPr>
          <w:lang w:val="uk-UA"/>
        </w:rPr>
      </w:pPr>
      <w:r w:rsidRPr="009A3F85">
        <w:rPr>
          <w:lang w:val="uk-UA"/>
        </w:rPr>
        <w:fldChar w:fldCharType="begin"/>
      </w:r>
      <w:r w:rsidRPr="009A3F85">
        <w:rPr>
          <w:lang w:val="uk-UA"/>
        </w:rPr>
        <w:instrText xml:space="preserve"> SEQ level0 \*arabic </w:instrText>
      </w:r>
      <w:r w:rsidRPr="009A3F85">
        <w:rPr>
          <w:lang w:val="uk-UA"/>
        </w:rPr>
        <w:fldChar w:fldCharType="separate"/>
      </w:r>
      <w:r w:rsidRPr="009A3F85" w:rsidR="009A3F85">
        <w:rPr>
          <w:noProof/>
          <w:lang w:val="uk-UA"/>
        </w:rPr>
        <w:t>3</w:t>
      </w:r>
      <w:r w:rsidRPr="009A3F85">
        <w:rPr>
          <w:lang w:val="uk-UA"/>
        </w:rPr>
        <w:fldChar w:fldCharType="end"/>
      </w:r>
      <w:r w:rsidRPr="009A3F85">
        <w:rPr>
          <w:lang w:val="uk-UA"/>
        </w:rPr>
        <w:t xml:space="preserve">.  Заявниця, </w:t>
      </w:r>
      <w:r w:rsidRPr="009A3F85">
        <w:rPr>
          <w:rFonts w:eastAsia="Times New Roman"/>
          <w:lang w:val="uk-UA"/>
        </w:rPr>
        <w:t>посилаючись на</w:t>
      </w:r>
      <w:r w:rsidRPr="009A3F85">
        <w:rPr>
          <w:lang w:val="uk-UA"/>
        </w:rPr>
        <w:t xml:space="preserve"> пункт 1 статті 6 Конвенції та статтю 1 Першого протоколу, скаржилась на</w:t>
      </w:r>
      <w:r w:rsidRPr="009A3F85">
        <w:rPr>
          <w:rFonts w:eastAsia="Times New Roman"/>
          <w:lang w:val="uk-UA" w:eastAsia="fr-FR"/>
        </w:rPr>
        <w:t xml:space="preserve"> передбачене чинним законодавством України</w:t>
      </w:r>
      <w:r w:rsidRPr="009A3F85">
        <w:rPr>
          <w:lang w:val="uk-UA"/>
        </w:rPr>
        <w:t xml:space="preserve"> провадження за її «скаргою про перегляд судових рішень у зв</w:t>
      </w:r>
      <w:r w:rsidRPr="009A3F85" w:rsidR="009A3F85">
        <w:rPr>
          <w:lang w:val="uk-UA"/>
        </w:rPr>
        <w:t>’</w:t>
      </w:r>
      <w:r w:rsidRPr="009A3F85">
        <w:rPr>
          <w:lang w:val="uk-UA"/>
        </w:rPr>
        <w:t>язку з винятковими обставинами»</w:t>
      </w:r>
      <w:r w:rsidRPr="009A3F85" w:rsidR="00D92CC0">
        <w:rPr>
          <w:lang w:val="uk-UA"/>
        </w:rPr>
        <w:t xml:space="preserve"> </w:t>
      </w:r>
      <w:r w:rsidRPr="009A3F85">
        <w:rPr>
          <w:lang w:val="uk-UA"/>
        </w:rPr>
        <w:t xml:space="preserve">на </w:t>
      </w:r>
      <w:r w:rsidRPr="009A3F85" w:rsidR="00D92CC0">
        <w:rPr>
          <w:lang w:val="uk-UA"/>
        </w:rPr>
        <w:t xml:space="preserve">підставі </w:t>
      </w:r>
      <w:r w:rsidRPr="009A3F85">
        <w:rPr>
          <w:lang w:val="uk-UA"/>
        </w:rPr>
        <w:t>рішенн</w:t>
      </w:r>
      <w:r w:rsidRPr="009A3F85" w:rsidR="004B18B2">
        <w:rPr>
          <w:lang w:val="uk-UA"/>
        </w:rPr>
        <w:t>я</w:t>
      </w:r>
      <w:r w:rsidRPr="009A3F85">
        <w:rPr>
          <w:lang w:val="uk-UA"/>
        </w:rPr>
        <w:t xml:space="preserve"> Суду у попередній справі заявниці </w:t>
      </w:r>
      <w:r w:rsidRPr="009A3F85">
        <w:rPr>
          <w:rFonts w:eastAsia="Times New Roman"/>
          <w:iCs/>
          <w:lang w:val="uk-UA"/>
        </w:rPr>
        <w:t xml:space="preserve">(див. рішення від </w:t>
      </w:r>
      <w:r w:rsidRPr="009A3F85">
        <w:rPr>
          <w:rFonts w:eastAsia="Times New Roman"/>
          <w:lang w:val="uk-UA"/>
        </w:rPr>
        <w:t>3 травня 2007</w:t>
      </w:r>
      <w:r w:rsidRPr="009A3F85">
        <w:rPr>
          <w:lang w:val="uk-UA"/>
        </w:rPr>
        <w:t> </w:t>
      </w:r>
      <w:r w:rsidRPr="009A3F85">
        <w:rPr>
          <w:rFonts w:eastAsia="Times New Roman"/>
          <w:lang w:val="uk-UA"/>
        </w:rPr>
        <w:t>року</w:t>
      </w:r>
      <w:r w:rsidRPr="009A3F85">
        <w:rPr>
          <w:rFonts w:eastAsia="Times New Roman"/>
          <w:iCs/>
          <w:lang w:val="uk-UA"/>
        </w:rPr>
        <w:t xml:space="preserve"> у справі «Бочан проти України» (</w:t>
      </w:r>
      <w:r w:rsidRPr="009A3F85">
        <w:rPr>
          <w:rFonts w:eastAsia="Times New Roman"/>
          <w:i/>
          <w:lang w:val="uk-UA"/>
        </w:rPr>
        <w:t>Bochan v. Ukraine</w:t>
      </w:r>
      <w:r w:rsidRPr="009A3F85">
        <w:rPr>
          <w:rFonts w:eastAsia="Times New Roman"/>
          <w:lang w:val="uk-UA"/>
        </w:rPr>
        <w:t>), заява №</w:t>
      </w:r>
      <w:r w:rsidRPr="009A3F85">
        <w:rPr>
          <w:lang w:val="uk-UA"/>
        </w:rPr>
        <w:t> </w:t>
      </w:r>
      <w:r w:rsidRPr="009A3F85">
        <w:rPr>
          <w:rFonts w:eastAsia="Times New Roman"/>
          <w:lang w:val="uk-UA"/>
        </w:rPr>
        <w:t>7577/02)</w:t>
      </w:r>
      <w:r w:rsidRPr="009A3F85">
        <w:rPr>
          <w:lang w:val="uk-UA"/>
        </w:rPr>
        <w:t>.</w:t>
      </w:r>
    </w:p>
    <w:p w:rsidRPr="009A3F85" w:rsidR="00D17581" w:rsidP="009A3F85">
      <w:pPr>
        <w:pStyle w:val="ECHRPara"/>
        <w:rPr>
          <w:lang w:val="uk-UA"/>
        </w:rPr>
      </w:pPr>
      <w:r w:rsidRPr="009A3F85">
        <w:rPr>
          <w:lang w:val="uk-UA"/>
        </w:rPr>
        <w:fldChar w:fldCharType="begin"/>
      </w:r>
      <w:r w:rsidRPr="009A3F85">
        <w:rPr>
          <w:lang w:val="uk-UA"/>
        </w:rPr>
        <w:instrText xml:space="preserve"> SEQ level0 \*arabic </w:instrText>
      </w:r>
      <w:r w:rsidRPr="009A3F85">
        <w:rPr>
          <w:lang w:val="uk-UA"/>
        </w:rPr>
        <w:fldChar w:fldCharType="separate"/>
      </w:r>
      <w:r w:rsidRPr="009A3F85" w:rsidR="009A3F85">
        <w:rPr>
          <w:noProof/>
          <w:lang w:val="uk-UA"/>
        </w:rPr>
        <w:t>4</w:t>
      </w:r>
      <w:r w:rsidRPr="009A3F85">
        <w:rPr>
          <w:lang w:val="uk-UA"/>
        </w:rPr>
        <w:fldChar w:fldCharType="end"/>
      </w:r>
      <w:r w:rsidRPr="009A3F85">
        <w:rPr>
          <w:lang w:val="uk-UA"/>
        </w:rPr>
        <w:t>.  6 вересня 2011 року про заяву було повідомлено Уряд.</w:t>
      </w:r>
    </w:p>
    <w:p w:rsidRPr="009A3F85" w:rsidR="00D17581" w:rsidP="009A3F85">
      <w:pPr>
        <w:pStyle w:val="ECHRPara"/>
        <w:rPr>
          <w:lang w:val="uk-UA" w:eastAsia="fr-FR"/>
        </w:rPr>
      </w:pPr>
      <w:r w:rsidRPr="009A3F85">
        <w:rPr>
          <w:lang w:val="uk-UA" w:eastAsia="fr-FR"/>
        </w:rPr>
        <w:fldChar w:fldCharType="begin"/>
      </w:r>
      <w:r w:rsidRPr="009A3F85">
        <w:rPr>
          <w:lang w:val="uk-UA" w:eastAsia="fr-FR"/>
        </w:rPr>
        <w:instrText xml:space="preserve"> SEQ level0 \*arabic </w:instrText>
      </w:r>
      <w:r w:rsidRPr="009A3F85">
        <w:rPr>
          <w:lang w:val="uk-UA" w:eastAsia="fr-FR"/>
        </w:rPr>
        <w:fldChar w:fldCharType="separate"/>
      </w:r>
      <w:r w:rsidRPr="009A3F85" w:rsidR="009A3F85">
        <w:rPr>
          <w:noProof/>
          <w:lang w:val="uk-UA" w:eastAsia="fr-FR"/>
        </w:rPr>
        <w:t>5</w:t>
      </w:r>
      <w:r w:rsidRPr="009A3F85">
        <w:rPr>
          <w:lang w:val="uk-UA" w:eastAsia="fr-FR"/>
        </w:rPr>
        <w:fldChar w:fldCharType="end"/>
      </w:r>
      <w:r w:rsidRPr="009A3F85">
        <w:rPr>
          <w:lang w:val="uk-UA" w:eastAsia="fr-FR"/>
        </w:rPr>
        <w:t>.  </w:t>
      </w:r>
      <w:r w:rsidRPr="009A3F85">
        <w:rPr>
          <w:rStyle w:val="JuParaCar"/>
          <w:lang w:val="uk-UA"/>
        </w:rPr>
        <w:t>19 листопада 2013 року палата П</w:t>
      </w:r>
      <w:r w:rsidRPr="009A3F85" w:rsidR="009A3F85">
        <w:rPr>
          <w:rStyle w:val="JuParaCar"/>
          <w:lang w:val="uk-UA"/>
        </w:rPr>
        <w:t>’</w:t>
      </w:r>
      <w:r w:rsidRPr="009A3F85">
        <w:rPr>
          <w:rStyle w:val="JuParaCar"/>
          <w:lang w:val="uk-UA"/>
        </w:rPr>
        <w:t xml:space="preserve">ятої секції, до складу якої увійшли: </w:t>
      </w:r>
      <w:r w:rsidRPr="009A3F85">
        <w:rPr>
          <w:lang w:val="uk-UA"/>
        </w:rPr>
        <w:t>Марк Віллігер (</w:t>
      </w:r>
      <w:r w:rsidRPr="009A3F85">
        <w:rPr>
          <w:i/>
          <w:lang w:val="uk-UA"/>
        </w:rPr>
        <w:t>Mark Villiger</w:t>
      </w:r>
      <w:r w:rsidRPr="009A3F85">
        <w:rPr>
          <w:lang w:val="uk-UA"/>
        </w:rPr>
        <w:t>)</w:t>
      </w:r>
      <w:r w:rsidRPr="009A3F85" w:rsidR="00D92CC0">
        <w:rPr>
          <w:lang w:val="uk-UA"/>
        </w:rPr>
        <w:t>,</w:t>
      </w:r>
      <w:r w:rsidRPr="009A3F85">
        <w:rPr>
          <w:lang w:val="uk-UA"/>
        </w:rPr>
        <w:t xml:space="preserve"> Голова, та судді: Ангеліка Нуссбергер (</w:t>
      </w:r>
      <w:r w:rsidRPr="009A3F85">
        <w:rPr>
          <w:i/>
          <w:lang w:val="uk-UA"/>
        </w:rPr>
        <w:t>Angelika Nußberger</w:t>
      </w:r>
      <w:r w:rsidRPr="009A3F85">
        <w:rPr>
          <w:lang w:val="uk-UA"/>
        </w:rPr>
        <w:t>), Боштьян М. Зупанчіч (</w:t>
      </w:r>
      <w:r w:rsidRPr="009A3F85">
        <w:rPr>
          <w:i/>
          <w:lang w:val="uk-UA"/>
        </w:rPr>
        <w:t>Boštjan M. Zupančič</w:t>
      </w:r>
      <w:r w:rsidRPr="009A3F85">
        <w:rPr>
          <w:lang w:val="uk-UA"/>
        </w:rPr>
        <w:t>), Ганна Юдківська (</w:t>
      </w:r>
      <w:r w:rsidRPr="009A3F85">
        <w:rPr>
          <w:i/>
          <w:lang w:val="uk-UA"/>
        </w:rPr>
        <w:t>Ganna Yudkivska</w:t>
      </w:r>
      <w:r w:rsidRPr="009A3F85">
        <w:rPr>
          <w:lang w:val="uk-UA"/>
        </w:rPr>
        <w:t>), Андре Потоцький (</w:t>
      </w:r>
      <w:r w:rsidRPr="009A3F85">
        <w:rPr>
          <w:i/>
          <w:lang w:val="uk-UA"/>
        </w:rPr>
        <w:t>André Potocki</w:t>
      </w:r>
      <w:r w:rsidRPr="009A3F85">
        <w:rPr>
          <w:lang w:val="uk-UA"/>
        </w:rPr>
        <w:t>), Поль Лемменс (</w:t>
      </w:r>
      <w:r w:rsidRPr="009A3F85">
        <w:rPr>
          <w:i/>
          <w:lang w:val="uk-UA"/>
        </w:rPr>
        <w:t>Paul Lemmens</w:t>
      </w:r>
      <w:r w:rsidRPr="009A3F85">
        <w:rPr>
          <w:lang w:val="uk-UA"/>
        </w:rPr>
        <w:t>), Алеш Пейхал (</w:t>
      </w:r>
      <w:r w:rsidRPr="009A3F85">
        <w:rPr>
          <w:i/>
          <w:lang w:val="uk-UA"/>
        </w:rPr>
        <w:t>Aleš Pejchal</w:t>
      </w:r>
      <w:r w:rsidRPr="009A3F85">
        <w:rPr>
          <w:lang w:val="uk-UA"/>
        </w:rPr>
        <w:t>), а також Секретар секції Клаудія Вестердік (</w:t>
      </w:r>
      <w:r w:rsidRPr="009A3F85">
        <w:rPr>
          <w:rStyle w:val="JuParaCar"/>
          <w:i/>
          <w:lang w:val="uk-UA"/>
        </w:rPr>
        <w:t>Claudia Westerdiek</w:t>
      </w:r>
      <w:r w:rsidRPr="009A3F85">
        <w:rPr>
          <w:rStyle w:val="JuParaCar"/>
          <w:lang w:val="uk-UA"/>
        </w:rPr>
        <w:t xml:space="preserve">), відмовилась </w:t>
      </w:r>
      <w:r w:rsidRPr="009A3F85">
        <w:rPr>
          <w:lang w:val="uk-UA"/>
        </w:rPr>
        <w:t>від юрисдикції на користь Великої Палати</w:t>
      </w:r>
      <w:r w:rsidRPr="009A3F85">
        <w:rPr>
          <w:rStyle w:val="JuParaCar"/>
          <w:lang w:val="uk-UA"/>
        </w:rPr>
        <w:t xml:space="preserve">, </w:t>
      </w:r>
      <w:r w:rsidRPr="009A3F85" w:rsidR="00A31CB2">
        <w:rPr>
          <w:rStyle w:val="JuParaCar"/>
          <w:lang w:val="uk-UA"/>
        </w:rPr>
        <w:t xml:space="preserve">і </w:t>
      </w:r>
      <w:r w:rsidRPr="009A3F85">
        <w:rPr>
          <w:rStyle w:val="JuParaCar"/>
          <w:lang w:val="uk-UA"/>
        </w:rPr>
        <w:t xml:space="preserve">жодна зі сторін не заперечила проти </w:t>
      </w:r>
      <w:r w:rsidRPr="009A3F85" w:rsidR="00A31CB2">
        <w:rPr>
          <w:rStyle w:val="JuParaCar"/>
          <w:lang w:val="uk-UA"/>
        </w:rPr>
        <w:t>цього</w:t>
      </w:r>
      <w:r w:rsidRPr="009A3F85">
        <w:rPr>
          <w:rStyle w:val="JuParaCar"/>
          <w:lang w:val="uk-UA"/>
        </w:rPr>
        <w:t xml:space="preserve"> (стаття 30 Конвенції і Правило 72 Регламенту Суду).</w:t>
      </w:r>
    </w:p>
    <w:p w:rsidRPr="009A3F85" w:rsidR="00D17581" w:rsidP="009A3F85">
      <w:pPr>
        <w:pStyle w:val="ECHRPara"/>
        <w:rPr>
          <w:lang w:val="uk-UA" w:eastAsia="fr-FR"/>
        </w:rPr>
      </w:pPr>
      <w:r w:rsidRPr="009A3F85">
        <w:rPr>
          <w:lang w:val="uk-UA" w:eastAsia="fr-FR"/>
        </w:rPr>
        <w:fldChar w:fldCharType="begin"/>
      </w:r>
      <w:r w:rsidRPr="009A3F85">
        <w:rPr>
          <w:lang w:val="uk-UA" w:eastAsia="fr-FR"/>
        </w:rPr>
        <w:instrText xml:space="preserve"> SEQ level0 \*arabic </w:instrText>
      </w:r>
      <w:r w:rsidRPr="009A3F85">
        <w:rPr>
          <w:lang w:val="uk-UA" w:eastAsia="fr-FR"/>
        </w:rPr>
        <w:fldChar w:fldCharType="separate"/>
      </w:r>
      <w:r w:rsidRPr="009A3F85" w:rsidR="009A3F85">
        <w:rPr>
          <w:noProof/>
          <w:lang w:val="uk-UA" w:eastAsia="fr-FR"/>
        </w:rPr>
        <w:t>6</w:t>
      </w:r>
      <w:r w:rsidRPr="009A3F85">
        <w:rPr>
          <w:lang w:val="uk-UA" w:eastAsia="fr-FR"/>
        </w:rPr>
        <w:fldChar w:fldCharType="end"/>
      </w:r>
      <w:r w:rsidRPr="009A3F85">
        <w:rPr>
          <w:lang w:val="uk-UA" w:eastAsia="fr-FR"/>
        </w:rPr>
        <w:t xml:space="preserve">.  Склад Великої Палати </w:t>
      </w:r>
      <w:r w:rsidRPr="009A3F85">
        <w:rPr>
          <w:rStyle w:val="JuParaCar"/>
          <w:lang w:val="uk-UA"/>
        </w:rPr>
        <w:t>було визначено відповідно до положень пунктів 4 і 5 статті 26 Конвенції та згідно з Правилом 24 Регламенту Суду.</w:t>
      </w:r>
    </w:p>
    <w:p w:rsidRPr="009A3F85" w:rsidR="00D17581" w:rsidP="009A3F85">
      <w:pPr>
        <w:pStyle w:val="ECHRPara"/>
        <w:rPr>
          <w:lang w:val="uk-UA" w:eastAsia="fr-FR"/>
        </w:rPr>
      </w:pPr>
      <w:r w:rsidRPr="009A3F85">
        <w:rPr>
          <w:lang w:val="uk-UA" w:eastAsia="fr-FR"/>
        </w:rPr>
        <w:fldChar w:fldCharType="begin"/>
      </w:r>
      <w:r w:rsidRPr="009A3F85">
        <w:rPr>
          <w:lang w:val="uk-UA" w:eastAsia="fr-FR"/>
        </w:rPr>
        <w:instrText xml:space="preserve"> SEQ level0 \*arabic </w:instrText>
      </w:r>
      <w:r w:rsidRPr="009A3F85">
        <w:rPr>
          <w:lang w:val="uk-UA" w:eastAsia="fr-FR"/>
        </w:rPr>
        <w:fldChar w:fldCharType="separate"/>
      </w:r>
      <w:r w:rsidRPr="009A3F85" w:rsidR="009A3F85">
        <w:rPr>
          <w:noProof/>
          <w:lang w:val="uk-UA" w:eastAsia="fr-FR"/>
        </w:rPr>
        <w:t>7</w:t>
      </w:r>
      <w:r w:rsidRPr="009A3F85">
        <w:rPr>
          <w:lang w:val="uk-UA" w:eastAsia="fr-FR"/>
        </w:rPr>
        <w:fldChar w:fldCharType="end"/>
      </w:r>
      <w:r w:rsidRPr="009A3F85">
        <w:rPr>
          <w:lang w:val="uk-UA" w:eastAsia="fr-FR"/>
        </w:rPr>
        <w:t>.  </w:t>
      </w:r>
      <w:r w:rsidRPr="009A3F85">
        <w:rPr>
          <w:rStyle w:val="JuParaCar"/>
          <w:lang w:val="uk-UA"/>
        </w:rPr>
        <w:t xml:space="preserve">Як заявниця, так і Уряд надали письмові зауваження. 17 березня 2014 року після консультацій зі сторонами Голова Великої Палати вирішив не проводити </w:t>
      </w:r>
      <w:r w:rsidRPr="009A3F85" w:rsidR="00A31CB2">
        <w:rPr>
          <w:rStyle w:val="JuParaCar"/>
          <w:lang w:val="uk-UA"/>
        </w:rPr>
        <w:t>слухання</w:t>
      </w:r>
      <w:r w:rsidRPr="009A3F85">
        <w:rPr>
          <w:rStyle w:val="JuParaCar"/>
          <w:lang w:val="uk-UA"/>
        </w:rPr>
        <w:t>.</w:t>
      </w:r>
    </w:p>
    <w:p w:rsidRPr="009A3F85" w:rsidR="00D17581" w:rsidP="009A3F85">
      <w:pPr>
        <w:pStyle w:val="ECHRTitle1"/>
        <w:rPr>
          <w:lang w:val="uk-UA"/>
        </w:rPr>
      </w:pPr>
      <w:r w:rsidRPr="009A3F85">
        <w:rPr>
          <w:lang w:val="uk-UA"/>
        </w:rPr>
        <w:t>ФАКТИ</w:t>
      </w:r>
    </w:p>
    <w:p w:rsidRPr="009A3F85" w:rsidR="00D17581" w:rsidP="009A3F85">
      <w:pPr>
        <w:pStyle w:val="ECHRHeading1"/>
        <w:rPr>
          <w:lang w:val="uk-UA"/>
        </w:rPr>
      </w:pPr>
      <w:r w:rsidRPr="009A3F85">
        <w:rPr>
          <w:lang w:val="uk-UA"/>
        </w:rPr>
        <w:t>I.  ОБСТАВИНИ СПРАВИ</w:t>
      </w:r>
    </w:p>
    <w:p w:rsidRPr="009A3F85" w:rsidR="00D17581" w:rsidP="009A3F85">
      <w:pPr>
        <w:pStyle w:val="ECHRPara"/>
        <w:rPr>
          <w:lang w:val="uk-UA"/>
        </w:rPr>
      </w:pPr>
      <w:r w:rsidRPr="009A3F85">
        <w:rPr>
          <w:lang w:val="uk-UA"/>
        </w:rPr>
        <w:fldChar w:fldCharType="begin"/>
      </w:r>
      <w:r w:rsidRPr="009A3F85">
        <w:rPr>
          <w:lang w:val="uk-UA"/>
        </w:rPr>
        <w:instrText xml:space="preserve"> SEQ level0 \*arabic </w:instrText>
      </w:r>
      <w:r w:rsidRPr="009A3F85">
        <w:rPr>
          <w:lang w:val="uk-UA"/>
        </w:rPr>
        <w:fldChar w:fldCharType="separate"/>
      </w:r>
      <w:r w:rsidRPr="009A3F85" w:rsidR="009A3F85">
        <w:rPr>
          <w:noProof/>
          <w:lang w:val="uk-UA"/>
        </w:rPr>
        <w:t>8</w:t>
      </w:r>
      <w:r w:rsidRPr="009A3F85">
        <w:rPr>
          <w:lang w:val="uk-UA"/>
        </w:rPr>
        <w:fldChar w:fldCharType="end"/>
      </w:r>
      <w:r w:rsidRPr="009A3F85">
        <w:rPr>
          <w:lang w:val="uk-UA"/>
        </w:rPr>
        <w:t>.  Заявниця народилася у 1917 році та проживає у м. Тернопіль.</w:t>
      </w:r>
    </w:p>
    <w:p w:rsidRPr="009A3F85" w:rsidR="009A3F85" w:rsidP="009A3F85">
      <w:pPr>
        <w:pStyle w:val="ECHRPara"/>
        <w:rPr>
          <w:rFonts w:eastAsia="Times New Roman"/>
          <w:lang w:val="uk-UA" w:eastAsia="fr-FR"/>
        </w:rPr>
      </w:pPr>
      <w:r w:rsidRPr="009A3F85">
        <w:rPr>
          <w:rFonts w:eastAsia="Times New Roman"/>
          <w:lang w:val="uk-UA" w:eastAsia="fr-FR"/>
        </w:rPr>
        <w:fldChar w:fldCharType="begin"/>
      </w:r>
      <w:r w:rsidRPr="009A3F85">
        <w:rPr>
          <w:rFonts w:eastAsia="Times New Roman"/>
          <w:lang w:val="uk-UA" w:eastAsia="fr-FR"/>
        </w:rPr>
        <w:instrText xml:space="preserve"> SEQ level0 \*arabic </w:instrText>
      </w:r>
      <w:r w:rsidRPr="009A3F85">
        <w:rPr>
          <w:rFonts w:eastAsia="Times New Roman"/>
          <w:lang w:val="uk-UA" w:eastAsia="fr-FR"/>
        </w:rPr>
        <w:fldChar w:fldCharType="separate"/>
      </w:r>
      <w:r w:rsidRPr="009A3F85">
        <w:rPr>
          <w:rFonts w:eastAsia="Times New Roman"/>
          <w:noProof/>
          <w:lang w:val="uk-UA" w:eastAsia="fr-FR"/>
        </w:rPr>
        <w:t>9</w:t>
      </w:r>
      <w:r w:rsidRPr="009A3F85">
        <w:rPr>
          <w:rFonts w:eastAsia="Times New Roman"/>
          <w:lang w:val="uk-UA" w:eastAsia="fr-FR"/>
        </w:rPr>
        <w:fldChar w:fldCharType="end"/>
      </w:r>
      <w:r w:rsidRPr="009A3F85">
        <w:rPr>
          <w:rFonts w:eastAsia="Times New Roman"/>
          <w:lang w:val="uk-UA" w:eastAsia="fr-FR"/>
        </w:rPr>
        <w:t>.  Факти справи, надані сторонами, можна стисло викласти так.</w:t>
      </w:r>
    </w:p>
    <w:p w:rsidRPr="009A3F85" w:rsidR="009A3F85" w:rsidP="009A3F85">
      <w:pPr>
        <w:pStyle w:val="ECHRHeading2"/>
        <w:rPr>
          <w:rFonts w:eastAsia="Times New Roman"/>
          <w:lang w:val="uk-UA" w:eastAsia="fr-FR"/>
        </w:rPr>
      </w:pPr>
      <w:r w:rsidRPr="009A3F85">
        <w:rPr>
          <w:rFonts w:eastAsia="Times New Roman"/>
          <w:lang w:val="uk-UA" w:eastAsia="fr-FR"/>
        </w:rPr>
        <w:t>A.  Фактологічне підґрунтя справи</w:t>
      </w:r>
    </w:p>
    <w:p w:rsidRPr="009A3F85" w:rsidR="00D17581" w:rsidP="009A3F85">
      <w:pPr>
        <w:pStyle w:val="ECHRPara"/>
        <w:rPr>
          <w:rFonts w:eastAsia="Times New Roman"/>
          <w:lang w:val="uk-UA" w:eastAsia="fr-FR"/>
        </w:rPr>
      </w:pPr>
      <w:r w:rsidRPr="009A3F85">
        <w:rPr>
          <w:rFonts w:eastAsia="Times New Roman"/>
          <w:lang w:val="uk-UA" w:eastAsia="fr-FR"/>
        </w:rPr>
        <w:fldChar w:fldCharType="begin"/>
      </w:r>
      <w:r w:rsidRPr="009A3F85">
        <w:rPr>
          <w:rFonts w:eastAsia="Times New Roman"/>
          <w:lang w:val="uk-UA" w:eastAsia="fr-FR"/>
        </w:rPr>
        <w:instrText xml:space="preserve"> SEQ level0 \*arabic </w:instrText>
      </w:r>
      <w:r w:rsidRPr="009A3F85">
        <w:rPr>
          <w:rFonts w:eastAsia="Times New Roman"/>
          <w:lang w:val="uk-UA" w:eastAsia="fr-FR"/>
        </w:rPr>
        <w:fldChar w:fldCharType="separate"/>
      </w:r>
      <w:r w:rsidRPr="009A3F85" w:rsidR="009A3F85">
        <w:rPr>
          <w:rFonts w:eastAsia="Times New Roman"/>
          <w:noProof/>
          <w:lang w:val="uk-UA" w:eastAsia="fr-FR"/>
        </w:rPr>
        <w:t>10</w:t>
      </w:r>
      <w:r w:rsidRPr="009A3F85">
        <w:rPr>
          <w:rFonts w:eastAsia="Times New Roman"/>
          <w:lang w:val="uk-UA" w:eastAsia="fr-FR"/>
        </w:rPr>
        <w:fldChar w:fldCharType="end"/>
      </w:r>
      <w:r w:rsidRPr="009A3F85">
        <w:rPr>
          <w:rStyle w:val="JuParaCar"/>
          <w:lang w:val="uk-UA"/>
        </w:rPr>
        <w:t xml:space="preserve">.  З 1997 року </w:t>
      </w:r>
      <w:r w:rsidRPr="009A3F85" w:rsidR="00686C77">
        <w:rPr>
          <w:rStyle w:val="JuParaCar"/>
          <w:lang w:val="uk-UA"/>
        </w:rPr>
        <w:t xml:space="preserve">і до теперішнього часу </w:t>
      </w:r>
      <w:r w:rsidRPr="009A3F85">
        <w:rPr>
          <w:rStyle w:val="JuParaCar"/>
          <w:lang w:val="uk-UA"/>
        </w:rPr>
        <w:t xml:space="preserve">заявниця </w:t>
      </w:r>
      <w:r w:rsidRPr="009A3F85" w:rsidR="00686C77">
        <w:rPr>
          <w:rStyle w:val="JuParaCar"/>
          <w:lang w:val="uk-UA"/>
        </w:rPr>
        <w:t xml:space="preserve">безуспішно </w:t>
      </w:r>
      <w:r w:rsidRPr="009A3F85">
        <w:rPr>
          <w:rStyle w:val="JuParaCar"/>
          <w:lang w:val="uk-UA"/>
        </w:rPr>
        <w:t xml:space="preserve">претендує на частину будинку, яким на час подій володів пан М., та на землю, на якій </w:t>
      </w:r>
      <w:r w:rsidRPr="009A3F85" w:rsidR="00686C77">
        <w:rPr>
          <w:rStyle w:val="JuParaCar"/>
          <w:lang w:val="uk-UA"/>
        </w:rPr>
        <w:t>будинок</w:t>
      </w:r>
      <w:r w:rsidRPr="009A3F85">
        <w:rPr>
          <w:rStyle w:val="JuParaCar"/>
          <w:lang w:val="uk-UA"/>
        </w:rPr>
        <w:t xml:space="preserve"> побудовано. Її позовна вимога ґрунтується на таких доводах: частину зазначеного будинку було побудовано на її кошти та кошти її покійного чоловіка; її чоловік законно отримав право на користування земельною ділянкою, яке вона згодом успадкувала; будинок не бу</w:t>
      </w:r>
      <w:r w:rsidRPr="009A3F85" w:rsidR="00686C77">
        <w:rPr>
          <w:rStyle w:val="JuParaCar"/>
          <w:lang w:val="uk-UA"/>
        </w:rPr>
        <w:t>ло</w:t>
      </w:r>
      <w:r w:rsidRPr="009A3F85">
        <w:rPr>
          <w:rStyle w:val="JuParaCar"/>
          <w:lang w:val="uk-UA"/>
        </w:rPr>
        <w:t xml:space="preserve"> продан</w:t>
      </w:r>
      <w:r w:rsidRPr="009A3F85" w:rsidR="00686C77">
        <w:rPr>
          <w:rStyle w:val="JuParaCar"/>
          <w:lang w:val="uk-UA"/>
        </w:rPr>
        <w:t>о</w:t>
      </w:r>
      <w:r w:rsidRPr="009A3F85">
        <w:rPr>
          <w:rStyle w:val="JuParaCar"/>
          <w:lang w:val="uk-UA"/>
        </w:rPr>
        <w:t xml:space="preserve"> панові М., незважаючи на існування попередньої згоди сина заявниці щодо цього</w:t>
      </w:r>
      <w:r w:rsidRPr="009A3F85" w:rsidR="00686C77">
        <w:rPr>
          <w:rStyle w:val="JuParaCar"/>
          <w:lang w:val="uk-UA"/>
        </w:rPr>
        <w:t>;</w:t>
      </w:r>
      <w:r w:rsidRPr="009A3F85">
        <w:rPr>
          <w:rStyle w:val="JuParaCar"/>
          <w:lang w:val="uk-UA"/>
        </w:rPr>
        <w:t xml:space="preserve"> а договір купівлі-продажу, на якому ґрунтувався позов пана М. щодо права власності, був підроблений.</w:t>
      </w:r>
    </w:p>
    <w:p w:rsidRPr="009A3F85" w:rsidR="00D17581" w:rsidP="009A3F85">
      <w:pPr>
        <w:pStyle w:val="ECHRPara"/>
        <w:rPr>
          <w:rFonts w:eastAsia="Times New Roman"/>
          <w:szCs w:val="24"/>
          <w:lang w:val="uk-UA" w:eastAsia="fr-FR"/>
        </w:rPr>
      </w:pPr>
      <w:r w:rsidRPr="009A3F85">
        <w:rPr>
          <w:rFonts w:eastAsia="Times New Roman"/>
          <w:lang w:val="uk-UA" w:eastAsia="fr-FR"/>
        </w:rPr>
        <w:fldChar w:fldCharType="begin"/>
      </w:r>
      <w:r w:rsidRPr="009A3F85">
        <w:rPr>
          <w:rFonts w:eastAsia="Times New Roman"/>
          <w:lang w:val="uk-UA" w:eastAsia="fr-FR"/>
        </w:rPr>
        <w:instrText xml:space="preserve"> SEQ level0 \*arabic </w:instrText>
      </w:r>
      <w:r w:rsidRPr="009A3F85">
        <w:rPr>
          <w:rFonts w:eastAsia="Times New Roman"/>
          <w:lang w:val="uk-UA" w:eastAsia="fr-FR"/>
        </w:rPr>
        <w:fldChar w:fldCharType="separate"/>
      </w:r>
      <w:r w:rsidRPr="009A3F85" w:rsidR="009A3F85">
        <w:rPr>
          <w:rFonts w:eastAsia="Times New Roman"/>
          <w:noProof/>
          <w:lang w:val="uk-UA" w:eastAsia="fr-FR"/>
        </w:rPr>
        <w:t>11</w:t>
      </w:r>
      <w:r w:rsidRPr="009A3F85">
        <w:rPr>
          <w:rFonts w:eastAsia="Times New Roman"/>
          <w:lang w:val="uk-UA" w:eastAsia="fr-FR"/>
        </w:rPr>
        <w:fldChar w:fldCharType="end"/>
      </w:r>
      <w:r w:rsidRPr="009A3F85">
        <w:rPr>
          <w:rFonts w:eastAsia="Times New Roman"/>
          <w:lang w:val="uk-UA" w:eastAsia="fr-FR"/>
        </w:rPr>
        <w:t xml:space="preserve">.  Позов заявниці неодноразово розглядався національними судами. </w:t>
      </w:r>
      <w:r w:rsidRPr="009A3F85" w:rsidR="00D21D0A">
        <w:rPr>
          <w:rFonts w:eastAsia="Times New Roman"/>
          <w:lang w:val="uk-UA" w:eastAsia="fr-FR"/>
        </w:rPr>
        <w:t>Зрештою</w:t>
      </w:r>
      <w:r w:rsidRPr="009A3F85">
        <w:rPr>
          <w:rFonts w:eastAsia="Times New Roman"/>
          <w:lang w:val="uk-UA" w:eastAsia="fr-FR"/>
        </w:rPr>
        <w:t xml:space="preserve"> після направлення Верховним Судом України справи на розгляд нижчестоящих судів з іншою територіальною підсудністю </w:t>
      </w:r>
      <w:r w:rsidRPr="009A3F85" w:rsidR="008A6465">
        <w:rPr>
          <w:rFonts w:eastAsia="Times New Roman"/>
          <w:lang w:val="uk-UA" w:eastAsia="fr-FR"/>
        </w:rPr>
        <w:t xml:space="preserve">заявниці </w:t>
      </w:r>
      <w:r w:rsidRPr="009A3F85">
        <w:rPr>
          <w:rFonts w:eastAsia="Times New Roman"/>
          <w:lang w:val="uk-UA" w:eastAsia="fr-FR"/>
        </w:rPr>
        <w:t xml:space="preserve">було </w:t>
      </w:r>
      <w:r w:rsidRPr="009A3F85" w:rsidR="00D21D0A">
        <w:rPr>
          <w:rFonts w:eastAsia="Times New Roman"/>
          <w:lang w:val="uk-UA" w:eastAsia="fr-FR"/>
        </w:rPr>
        <w:t>відмовлено у задоволенні позову</w:t>
      </w:r>
      <w:r w:rsidRPr="009A3F85">
        <w:rPr>
          <w:rFonts w:eastAsia="Times New Roman"/>
          <w:lang w:val="uk-UA" w:eastAsia="fr-FR"/>
        </w:rPr>
        <w:t xml:space="preserve">. </w:t>
      </w:r>
      <w:r w:rsidRPr="009A3F85">
        <w:rPr>
          <w:rFonts w:eastAsia="Times New Roman"/>
          <w:szCs w:val="24"/>
          <w:lang w:val="uk-UA" w:eastAsia="fr-FR"/>
        </w:rPr>
        <w:t xml:space="preserve">Посилаючись на покази 17 свідків, одного з яких було заслухано особисто, та документи, надані паном М., суди двох інстанцій дійшли висновку, що у 1993 році пан М. придбав фундамент частини зазначеного будинку та згодом побудував його вже за власний кошт. Відповідно, пан М. був законним власником зазначеної частини будинку та мав право на користування землею, на якій </w:t>
      </w:r>
      <w:r w:rsidRPr="009A3F85" w:rsidR="004B7DBB">
        <w:rPr>
          <w:rFonts w:eastAsia="Times New Roman"/>
          <w:szCs w:val="24"/>
          <w:lang w:val="uk-UA" w:eastAsia="fr-FR"/>
        </w:rPr>
        <w:t xml:space="preserve">його </w:t>
      </w:r>
      <w:r w:rsidRPr="009A3F85">
        <w:rPr>
          <w:rFonts w:eastAsia="Times New Roman"/>
          <w:szCs w:val="24"/>
          <w:lang w:val="uk-UA" w:eastAsia="fr-FR"/>
        </w:rPr>
        <w:t>було побудовано. Остаточне рішення, яким ухвали судів нижчих інстанцій бул</w:t>
      </w:r>
      <w:r w:rsidRPr="009A3F85" w:rsidR="004B7DBB">
        <w:rPr>
          <w:rFonts w:eastAsia="Times New Roman"/>
          <w:szCs w:val="24"/>
          <w:lang w:val="uk-UA" w:eastAsia="fr-FR"/>
        </w:rPr>
        <w:t>о</w:t>
      </w:r>
      <w:r w:rsidRPr="009A3F85">
        <w:rPr>
          <w:rFonts w:eastAsia="Times New Roman"/>
          <w:szCs w:val="24"/>
          <w:lang w:val="uk-UA" w:eastAsia="fr-FR"/>
        </w:rPr>
        <w:t xml:space="preserve"> залишен</w:t>
      </w:r>
      <w:r w:rsidRPr="009A3F85" w:rsidR="004B7DBB">
        <w:rPr>
          <w:rFonts w:eastAsia="Times New Roman"/>
          <w:szCs w:val="24"/>
          <w:lang w:val="uk-UA" w:eastAsia="fr-FR"/>
        </w:rPr>
        <w:t>о</w:t>
      </w:r>
      <w:r w:rsidRPr="009A3F85">
        <w:rPr>
          <w:rFonts w:eastAsia="Times New Roman"/>
          <w:szCs w:val="24"/>
          <w:lang w:val="uk-UA" w:eastAsia="fr-FR"/>
        </w:rPr>
        <w:t xml:space="preserve"> без змін, Верховний Суд України ухвалив 22 серпня 2002 року.</w:t>
      </w:r>
    </w:p>
    <w:p w:rsidRPr="009A3F85" w:rsidR="00D17581" w:rsidP="009A3F85">
      <w:pPr>
        <w:pStyle w:val="ECHRHeading2"/>
        <w:rPr>
          <w:rFonts w:eastAsia="Times New Roman"/>
          <w:lang w:val="uk-UA" w:eastAsia="fr-FR"/>
        </w:rPr>
      </w:pPr>
      <w:r w:rsidRPr="009A3F85">
        <w:rPr>
          <w:rFonts w:eastAsia="Times New Roman"/>
          <w:lang w:val="uk-UA" w:eastAsia="fr-FR"/>
        </w:rPr>
        <w:t>B.  Рішення Суду у першій справі</w:t>
      </w:r>
    </w:p>
    <w:p w:rsidRPr="009A3F85" w:rsidR="00D17581" w:rsidP="009A3F85">
      <w:pPr>
        <w:pStyle w:val="ECHRPara"/>
        <w:rPr>
          <w:rFonts w:eastAsia="Times New Roman"/>
          <w:lang w:val="uk-UA" w:eastAsia="fr-FR"/>
        </w:rPr>
      </w:pPr>
      <w:r w:rsidRPr="009A3F85">
        <w:rPr>
          <w:rFonts w:eastAsia="Times New Roman"/>
          <w:lang w:val="uk-UA" w:eastAsia="fr-FR"/>
        </w:rPr>
        <w:fldChar w:fldCharType="begin"/>
      </w:r>
      <w:r w:rsidRPr="009A3F85">
        <w:rPr>
          <w:rFonts w:eastAsia="Times New Roman"/>
          <w:lang w:val="uk-UA" w:eastAsia="fr-FR"/>
        </w:rPr>
        <w:instrText xml:space="preserve"> SEQ level0 \*arabic </w:instrText>
      </w:r>
      <w:r w:rsidRPr="009A3F85">
        <w:rPr>
          <w:rFonts w:eastAsia="Times New Roman"/>
          <w:lang w:val="uk-UA" w:eastAsia="fr-FR"/>
        </w:rPr>
        <w:fldChar w:fldCharType="separate"/>
      </w:r>
      <w:r w:rsidRPr="009A3F85" w:rsidR="009A3F85">
        <w:rPr>
          <w:rFonts w:eastAsia="Times New Roman"/>
          <w:noProof/>
          <w:lang w:val="uk-UA" w:eastAsia="fr-FR"/>
        </w:rPr>
        <w:t>12</w:t>
      </w:r>
      <w:r w:rsidRPr="009A3F85">
        <w:rPr>
          <w:rFonts w:eastAsia="Times New Roman"/>
          <w:lang w:val="uk-UA" w:eastAsia="fr-FR"/>
        </w:rPr>
        <w:fldChar w:fldCharType="end"/>
      </w:r>
      <w:r w:rsidRPr="009A3F85">
        <w:rPr>
          <w:rFonts w:eastAsia="Times New Roman"/>
          <w:lang w:val="uk-UA" w:eastAsia="fr-FR"/>
        </w:rPr>
        <w:t xml:space="preserve">.  17 липня 2001 року заявниця подала до Суду заяву, скаржачись, зокрема, на несправедливість провадження </w:t>
      </w:r>
      <w:r w:rsidRPr="009A3F85" w:rsidR="004B7DBB">
        <w:rPr>
          <w:rFonts w:eastAsia="Times New Roman"/>
          <w:lang w:val="uk-UA" w:eastAsia="fr-FR"/>
        </w:rPr>
        <w:t xml:space="preserve">за її позовом </w:t>
      </w:r>
      <w:r w:rsidRPr="009A3F85">
        <w:rPr>
          <w:rFonts w:eastAsia="Times New Roman"/>
          <w:lang w:val="uk-UA" w:eastAsia="fr-FR"/>
        </w:rPr>
        <w:t>у національному суді. Вона також скаржилась на тривалість провадження та стверджуване порушення статті 1 Першого протоколу до Конвенції як взяте окремо, так і у поєднанні зі статтею 14 Конвенції</w:t>
      </w:r>
      <w:r w:rsidRPr="009A3F85" w:rsidR="00F84C1D">
        <w:rPr>
          <w:rFonts w:eastAsia="Times New Roman"/>
          <w:lang w:val="uk-UA" w:eastAsia="fr-FR"/>
        </w:rPr>
        <w:t xml:space="preserve"> з огляду на</w:t>
      </w:r>
      <w:r w:rsidRPr="009A3F85">
        <w:rPr>
          <w:rFonts w:eastAsia="Times New Roman"/>
          <w:lang w:val="uk-UA" w:eastAsia="fr-FR"/>
        </w:rPr>
        <w:t xml:space="preserve"> результат</w:t>
      </w:r>
      <w:r w:rsidRPr="009A3F85" w:rsidR="00F84C1D">
        <w:rPr>
          <w:rFonts w:eastAsia="Times New Roman"/>
          <w:lang w:val="uk-UA" w:eastAsia="fr-FR"/>
        </w:rPr>
        <w:t xml:space="preserve"> провадження</w:t>
      </w:r>
      <w:r w:rsidRPr="009A3F85">
        <w:rPr>
          <w:rFonts w:eastAsia="Times New Roman"/>
          <w:lang w:val="uk-UA" w:eastAsia="fr-FR"/>
        </w:rPr>
        <w:t>.</w:t>
      </w:r>
    </w:p>
    <w:p w:rsidRPr="009A3F85" w:rsidR="00D17581" w:rsidP="009A3F85">
      <w:pPr>
        <w:pStyle w:val="ECHRPara"/>
        <w:rPr>
          <w:rFonts w:eastAsia="Times New Roman"/>
          <w:lang w:val="uk-UA" w:eastAsia="fr-FR"/>
        </w:rPr>
      </w:pPr>
      <w:r w:rsidRPr="009A3F85">
        <w:rPr>
          <w:rFonts w:eastAsia="Times New Roman"/>
          <w:lang w:val="uk-UA" w:eastAsia="fr-FR"/>
        </w:rPr>
        <w:fldChar w:fldCharType="begin"/>
      </w:r>
      <w:r w:rsidRPr="009A3F85">
        <w:rPr>
          <w:rFonts w:eastAsia="Times New Roman"/>
          <w:lang w:val="uk-UA" w:eastAsia="fr-FR"/>
        </w:rPr>
        <w:instrText xml:space="preserve"> SEQ level0 \*arabic </w:instrText>
      </w:r>
      <w:r w:rsidRPr="009A3F85">
        <w:rPr>
          <w:rFonts w:eastAsia="Times New Roman"/>
          <w:lang w:val="uk-UA" w:eastAsia="fr-FR"/>
        </w:rPr>
        <w:fldChar w:fldCharType="separate"/>
      </w:r>
      <w:r w:rsidRPr="009A3F85" w:rsidR="009A3F85">
        <w:rPr>
          <w:rFonts w:eastAsia="Times New Roman"/>
          <w:noProof/>
          <w:lang w:val="uk-UA" w:eastAsia="fr-FR"/>
        </w:rPr>
        <w:t>13</w:t>
      </w:r>
      <w:r w:rsidRPr="009A3F85">
        <w:rPr>
          <w:rFonts w:eastAsia="Times New Roman"/>
          <w:lang w:val="uk-UA" w:eastAsia="fr-FR"/>
        </w:rPr>
        <w:fldChar w:fldCharType="end"/>
      </w:r>
      <w:r w:rsidRPr="009A3F85">
        <w:rPr>
          <w:rFonts w:eastAsia="Times New Roman"/>
          <w:lang w:val="uk-UA" w:eastAsia="fr-FR"/>
        </w:rPr>
        <w:t xml:space="preserve">.  3 травня 2007 року Суд постановив у справі рішення, яке набуло статусу остаточного 3 серпня 2007 року. </w:t>
      </w:r>
      <w:r w:rsidRPr="009A3F85" w:rsidR="0029339C">
        <w:rPr>
          <w:lang w:val="uk-UA"/>
        </w:rPr>
        <w:t>Беручи до уваги обставини справи, за яких ВСУ змінив територіальну підсудність, і відсутність достатнього обґрунтування у рішеннях національних судів та розглядаючи ці питання разом і в їх сукупності,</w:t>
      </w:r>
      <w:r w:rsidRPr="009A3F85" w:rsidR="0029339C">
        <w:rPr>
          <w:rFonts w:eastAsia="Times New Roman"/>
          <w:lang w:val="uk-UA" w:eastAsia="fr-FR"/>
        </w:rPr>
        <w:t xml:space="preserve"> </w:t>
      </w:r>
      <w:r w:rsidRPr="009A3F85">
        <w:rPr>
          <w:rFonts w:eastAsia="Times New Roman"/>
          <w:lang w:val="uk-UA" w:eastAsia="fr-FR"/>
        </w:rPr>
        <w:t xml:space="preserve">Суд постановив, що було порушення пункту 1 статті 6 Конвенції (див. вищезазначене рішення у справі </w:t>
      </w:r>
      <w:r w:rsidRPr="009A3F85">
        <w:rPr>
          <w:rFonts w:eastAsia="Times New Roman"/>
          <w:iCs/>
          <w:lang w:val="uk-UA"/>
        </w:rPr>
        <w:t>«Бочан проти України» (</w:t>
      </w:r>
      <w:r w:rsidRPr="009A3F85">
        <w:rPr>
          <w:rFonts w:eastAsia="Times New Roman"/>
          <w:i/>
          <w:lang w:val="uk-UA"/>
        </w:rPr>
        <w:t>Bochan v. Ukraine</w:t>
      </w:r>
      <w:r w:rsidRPr="009A3F85">
        <w:rPr>
          <w:rFonts w:eastAsia="Times New Roman"/>
          <w:lang w:val="uk-UA"/>
        </w:rPr>
        <w:t>)</w:t>
      </w:r>
      <w:r w:rsidRPr="009A3F85">
        <w:rPr>
          <w:rFonts w:eastAsia="Times New Roman"/>
          <w:lang w:val="uk-UA" w:eastAsia="fr-FR"/>
        </w:rPr>
        <w:t>, п. 85).</w:t>
      </w:r>
    </w:p>
    <w:p w:rsidRPr="009A3F85" w:rsidR="00D17581" w:rsidP="009A3F85">
      <w:pPr>
        <w:pStyle w:val="ECHRPara"/>
        <w:rPr>
          <w:rFonts w:eastAsia="Times New Roman"/>
          <w:lang w:val="uk-UA" w:eastAsia="fr-FR"/>
        </w:rPr>
      </w:pPr>
      <w:r w:rsidRPr="009A3F85">
        <w:rPr>
          <w:rFonts w:eastAsia="Times New Roman"/>
          <w:lang w:val="uk-UA" w:eastAsia="fr-FR"/>
        </w:rPr>
        <w:fldChar w:fldCharType="begin"/>
      </w:r>
      <w:r w:rsidRPr="009A3F85">
        <w:rPr>
          <w:rFonts w:eastAsia="Times New Roman"/>
          <w:lang w:val="uk-UA" w:eastAsia="fr-FR"/>
        </w:rPr>
        <w:instrText xml:space="preserve"> SEQ level0 \*arabic </w:instrText>
      </w:r>
      <w:r w:rsidRPr="009A3F85">
        <w:rPr>
          <w:rFonts w:eastAsia="Times New Roman"/>
          <w:lang w:val="uk-UA" w:eastAsia="fr-FR"/>
        </w:rPr>
        <w:fldChar w:fldCharType="separate"/>
      </w:r>
      <w:r w:rsidRPr="009A3F85" w:rsidR="009A3F85">
        <w:rPr>
          <w:rFonts w:eastAsia="Times New Roman"/>
          <w:noProof/>
          <w:lang w:val="uk-UA" w:eastAsia="fr-FR"/>
        </w:rPr>
        <w:t>14</w:t>
      </w:r>
      <w:r w:rsidRPr="009A3F85">
        <w:rPr>
          <w:rFonts w:eastAsia="Times New Roman"/>
          <w:lang w:val="uk-UA" w:eastAsia="fr-FR"/>
        </w:rPr>
        <w:fldChar w:fldCharType="end"/>
      </w:r>
      <w:r w:rsidRPr="009A3F85">
        <w:rPr>
          <w:rFonts w:eastAsia="Times New Roman"/>
          <w:lang w:val="uk-UA" w:eastAsia="fr-FR"/>
        </w:rPr>
        <w:t>.  Суд вмотивував свої висновки так:</w:t>
      </w:r>
    </w:p>
    <w:p w:rsidRPr="009A3F85" w:rsidR="00D17581" w:rsidP="009A3F85">
      <w:pPr>
        <w:pStyle w:val="ECHRParaQuote"/>
        <w:rPr>
          <w:rFonts w:eastAsia="Times New Roman"/>
          <w:lang w:val="uk-UA" w:eastAsia="fr-FR"/>
        </w:rPr>
      </w:pPr>
      <w:r w:rsidRPr="009A3F85">
        <w:rPr>
          <w:rFonts w:eastAsia="Times New Roman"/>
          <w:lang w:val="uk-UA" w:eastAsia="fr-FR"/>
        </w:rPr>
        <w:t xml:space="preserve">«74.  ... </w:t>
      </w:r>
      <w:r w:rsidRPr="009A3F85">
        <w:rPr>
          <w:lang w:val="uk-UA"/>
        </w:rPr>
        <w:t xml:space="preserve">Така зміна територіальної підсудності </w:t>
      </w:r>
      <w:r w:rsidRPr="009A3F85">
        <w:rPr>
          <w:rFonts w:eastAsia="Times New Roman"/>
          <w:lang w:val="uk-UA" w:eastAsia="fr-FR"/>
        </w:rPr>
        <w:t xml:space="preserve">[справи заявниці] </w:t>
      </w:r>
      <w:r w:rsidRPr="009A3F85">
        <w:rPr>
          <w:lang w:val="uk-UA"/>
        </w:rPr>
        <w:t>була здійснена ВСУ після вираження категоричної незгоди з висновками судів нижчих інстанцій щодо фактів у справі та після висловлення своєї позиції щодо одного з головних аспектів справи</w:t>
      </w:r>
      <w:r w:rsidRPr="009A3F85" w:rsidR="009A3F85">
        <w:rPr>
          <w:lang w:val="uk-UA"/>
        </w:rPr>
        <w:t>...</w:t>
      </w:r>
      <w:r w:rsidRPr="009A3F85">
        <w:rPr>
          <w:lang w:val="uk-UA"/>
        </w:rPr>
        <w:t xml:space="preserve"> навіть до здійснення судами нижчих інстанцій нової оцінки фактів і дослідження доказів... Також, враховуючи той факт, що ВСУ не обґрунтував своє рішення щодо зміни територіальної підсудності справи, Суд вважає, що побоювання заявниці про те, що судді ВСУ, включаючи заступника Голови, мали попередньо сформовану позицію щодо результату розгляду справи та що судді, яким було передано справу 9 жовтня 2000 року, будуть розглядати справу відповідно до висновків ВСУ, можна вважати об</w:t>
      </w:r>
      <w:r w:rsidRPr="009A3F85" w:rsidR="009A3F85">
        <w:rPr>
          <w:lang w:val="uk-UA"/>
        </w:rPr>
        <w:t>’</w:t>
      </w:r>
      <w:r w:rsidRPr="009A3F85">
        <w:rPr>
          <w:lang w:val="uk-UA"/>
        </w:rPr>
        <w:t>єктивно обґрунтованими</w:t>
      </w:r>
      <w:r w:rsidRPr="009A3F85">
        <w:rPr>
          <w:rFonts w:eastAsia="Times New Roman"/>
          <w:lang w:val="uk-UA" w:eastAsia="fr-FR"/>
        </w:rPr>
        <w:t>.</w:t>
      </w:r>
    </w:p>
    <w:p w:rsidRPr="009A3F85" w:rsidR="00D17581" w:rsidP="009A3F85">
      <w:pPr>
        <w:pStyle w:val="ECHRParaQuote"/>
        <w:rPr>
          <w:lang w:val="uk-UA"/>
        </w:rPr>
      </w:pPr>
      <w:r w:rsidRPr="009A3F85">
        <w:rPr>
          <w:rFonts w:eastAsia="Times New Roman"/>
          <w:lang w:val="uk-UA" w:eastAsia="fr-FR"/>
        </w:rPr>
        <w:t>75.  </w:t>
      </w:r>
      <w:r w:rsidRPr="009A3F85">
        <w:rPr>
          <w:lang w:val="uk-UA"/>
        </w:rPr>
        <w:t>Суд вважає, що така процесуальна ситуація в цілому також порушує принцип юридичної визначеності (див. «Рябих порти Росії» (</w:t>
      </w:r>
      <w:r w:rsidRPr="009A3F85">
        <w:rPr>
          <w:i/>
          <w:lang w:val="uk-UA"/>
        </w:rPr>
        <w:t>Ryabykh v. Russia</w:t>
      </w:r>
      <w:r w:rsidRPr="009A3F85">
        <w:rPr>
          <w:lang w:val="uk-UA"/>
        </w:rPr>
        <w:t>), № 52854/99, пп. 51–52, ECHR 2003</w:t>
      </w:r>
      <w:r w:rsidRPr="009A3F85">
        <w:rPr>
          <w:rFonts w:eastAsia="Times New Roman"/>
          <w:lang w:val="uk-UA"/>
        </w:rPr>
        <w:noBreakHyphen/>
      </w:r>
      <w:r w:rsidRPr="009A3F85">
        <w:rPr>
          <w:lang w:val="uk-UA"/>
        </w:rPr>
        <w:t xml:space="preserve">XI). Той факт, що позиція ВСУ </w:t>
      </w:r>
      <w:r w:rsidRPr="009A3F85" w:rsidR="0029339C">
        <w:rPr>
          <w:lang w:val="uk-UA"/>
        </w:rPr>
        <w:t>щодо</w:t>
      </w:r>
      <w:r w:rsidRPr="009A3F85">
        <w:rPr>
          <w:lang w:val="uk-UA"/>
        </w:rPr>
        <w:t xml:space="preserve"> суті </w:t>
      </w:r>
      <w:r w:rsidRPr="009A3F85">
        <w:rPr>
          <w:lang w:val="uk-UA"/>
        </w:rPr>
        <w:t>справ</w:t>
      </w:r>
      <w:r w:rsidRPr="009A3F85" w:rsidR="0029339C">
        <w:rPr>
          <w:lang w:val="uk-UA"/>
        </w:rPr>
        <w:t>и</w:t>
      </w:r>
      <w:r w:rsidRPr="009A3F85">
        <w:rPr>
          <w:lang w:val="uk-UA"/>
        </w:rPr>
        <w:t xml:space="preserve"> заявниці відрізняється від позиції судів нижчих інстанцій, не може бути єдиною підставою для повторних переглядів справи. Повноваження судів вищої інстанції щодо перегляду справи повинн</w:t>
      </w:r>
      <w:r w:rsidRPr="009A3F85" w:rsidR="0029339C">
        <w:rPr>
          <w:lang w:val="uk-UA"/>
        </w:rPr>
        <w:t>і</w:t>
      </w:r>
      <w:r w:rsidRPr="009A3F85">
        <w:rPr>
          <w:lang w:val="uk-UA"/>
        </w:rPr>
        <w:t xml:space="preserve"> здійснюватись для виправлення юридичних та судових помилок, а не </w:t>
      </w:r>
      <w:r w:rsidRPr="009A3F85" w:rsidR="00FE6E28">
        <w:rPr>
          <w:lang w:val="uk-UA"/>
        </w:rPr>
        <w:t xml:space="preserve">з метою </w:t>
      </w:r>
      <w:r w:rsidRPr="009A3F85">
        <w:rPr>
          <w:lang w:val="uk-UA"/>
        </w:rPr>
        <w:t>з</w:t>
      </w:r>
      <w:r w:rsidRPr="009A3F85" w:rsidR="0029339C">
        <w:rPr>
          <w:lang w:val="uk-UA"/>
        </w:rPr>
        <w:t>а</w:t>
      </w:r>
      <w:r w:rsidRPr="009A3F85">
        <w:rPr>
          <w:lang w:val="uk-UA"/>
        </w:rPr>
        <w:t>мін</w:t>
      </w:r>
      <w:r w:rsidRPr="009A3F85" w:rsidR="0029339C">
        <w:rPr>
          <w:lang w:val="uk-UA"/>
        </w:rPr>
        <w:t>и</w:t>
      </w:r>
      <w:r w:rsidRPr="009A3F85">
        <w:rPr>
          <w:lang w:val="uk-UA"/>
        </w:rPr>
        <w:t xml:space="preserve"> оцінк</w:t>
      </w:r>
      <w:r w:rsidRPr="009A3F85" w:rsidR="00FE6E28">
        <w:rPr>
          <w:lang w:val="uk-UA"/>
        </w:rPr>
        <w:t>и</w:t>
      </w:r>
      <w:r w:rsidRPr="009A3F85">
        <w:rPr>
          <w:lang w:val="uk-UA"/>
        </w:rPr>
        <w:t xml:space="preserve"> фактів суд</w:t>
      </w:r>
      <w:r w:rsidRPr="009A3F85" w:rsidR="00FE6E28">
        <w:rPr>
          <w:lang w:val="uk-UA"/>
        </w:rPr>
        <w:t>ами</w:t>
      </w:r>
      <w:r w:rsidRPr="009A3F85">
        <w:rPr>
          <w:lang w:val="uk-UA"/>
        </w:rPr>
        <w:t xml:space="preserve"> нижчих інстанцій.»</w:t>
      </w:r>
    </w:p>
    <w:p w:rsidRPr="009A3F85" w:rsidR="00D17581" w:rsidP="009A3F85">
      <w:pPr>
        <w:pStyle w:val="ECHRPara"/>
        <w:rPr>
          <w:rFonts w:eastAsia="Times New Roman"/>
          <w:lang w:val="uk-UA" w:eastAsia="fr-FR"/>
        </w:rPr>
      </w:pPr>
      <w:r w:rsidRPr="009A3F85">
        <w:rPr>
          <w:rFonts w:eastAsia="Times New Roman"/>
          <w:lang w:val="uk-UA" w:eastAsia="fr-FR"/>
        </w:rPr>
        <w:fldChar w:fldCharType="begin"/>
      </w:r>
      <w:r w:rsidRPr="009A3F85">
        <w:rPr>
          <w:rFonts w:eastAsia="Times New Roman"/>
          <w:lang w:val="uk-UA" w:eastAsia="fr-FR"/>
        </w:rPr>
        <w:instrText xml:space="preserve"> SEQ level0 \*arabic </w:instrText>
      </w:r>
      <w:r w:rsidRPr="009A3F85">
        <w:rPr>
          <w:rFonts w:eastAsia="Times New Roman"/>
          <w:lang w:val="uk-UA" w:eastAsia="fr-FR"/>
        </w:rPr>
        <w:fldChar w:fldCharType="separate"/>
      </w:r>
      <w:r w:rsidRPr="009A3F85" w:rsidR="009A3F85">
        <w:rPr>
          <w:rFonts w:eastAsia="Times New Roman"/>
          <w:noProof/>
          <w:lang w:val="uk-UA" w:eastAsia="fr-FR"/>
        </w:rPr>
        <w:t>15</w:t>
      </w:r>
      <w:r w:rsidRPr="009A3F85">
        <w:rPr>
          <w:rFonts w:eastAsia="Times New Roman"/>
          <w:lang w:val="uk-UA" w:eastAsia="fr-FR"/>
        </w:rPr>
        <w:fldChar w:fldCharType="end"/>
      </w:r>
      <w:r w:rsidRPr="009A3F85">
        <w:rPr>
          <w:rFonts w:eastAsia="Times New Roman"/>
          <w:lang w:val="uk-UA" w:eastAsia="fr-FR"/>
        </w:rPr>
        <w:t xml:space="preserve">.  Суд також зазначив, що національні суди не </w:t>
      </w:r>
      <w:r w:rsidRPr="009A3F85" w:rsidR="00D21D0A">
        <w:rPr>
          <w:rFonts w:eastAsia="Times New Roman"/>
          <w:lang w:val="uk-UA" w:eastAsia="fr-FR"/>
        </w:rPr>
        <w:t xml:space="preserve">відреагували </w:t>
      </w:r>
      <w:r w:rsidRPr="009A3F85">
        <w:rPr>
          <w:rFonts w:eastAsia="Times New Roman"/>
          <w:lang w:val="uk-UA" w:eastAsia="fr-FR"/>
        </w:rPr>
        <w:t xml:space="preserve">на </w:t>
      </w:r>
      <w:r w:rsidRPr="009A3F85" w:rsidR="00D21D0A">
        <w:rPr>
          <w:rFonts w:eastAsia="Times New Roman"/>
          <w:lang w:val="uk-UA" w:eastAsia="fr-FR"/>
        </w:rPr>
        <w:t xml:space="preserve">аргументи </w:t>
      </w:r>
      <w:r w:rsidRPr="009A3F85">
        <w:rPr>
          <w:rFonts w:eastAsia="Times New Roman"/>
          <w:lang w:val="uk-UA" w:eastAsia="fr-FR"/>
        </w:rPr>
        <w:t>заявниці стосовно достовірності показів свідків та надійності документальних доказів, які були вирішальними для результатів розгляду справи (див. зазначене рішення у справі «Бочан проти України» (</w:t>
      </w:r>
      <w:r w:rsidRPr="009A3F85">
        <w:rPr>
          <w:rFonts w:eastAsia="Times New Roman"/>
          <w:i/>
          <w:lang w:val="uk-UA" w:eastAsia="fr-FR"/>
        </w:rPr>
        <w:t>Bochan v. Ukraine</w:t>
      </w:r>
      <w:r w:rsidRPr="009A3F85">
        <w:rPr>
          <w:rFonts w:eastAsia="Times New Roman"/>
          <w:lang w:val="uk-UA" w:eastAsia="fr-FR"/>
        </w:rPr>
        <w:t>), пп. 81-84).</w:t>
      </w:r>
    </w:p>
    <w:p w:rsidRPr="009A3F85" w:rsidR="00D17581" w:rsidP="009A3F85">
      <w:pPr>
        <w:pStyle w:val="ECHRPara"/>
        <w:rPr>
          <w:rFonts w:eastAsia="Times New Roman"/>
          <w:lang w:val="uk-UA" w:eastAsia="fr-FR"/>
        </w:rPr>
      </w:pPr>
      <w:r w:rsidRPr="009A3F85">
        <w:rPr>
          <w:rFonts w:eastAsia="Times New Roman"/>
          <w:lang w:val="uk-UA" w:eastAsia="fr-FR"/>
        </w:rPr>
        <w:fldChar w:fldCharType="begin"/>
      </w:r>
      <w:r w:rsidRPr="009A3F85">
        <w:rPr>
          <w:rFonts w:eastAsia="Times New Roman"/>
          <w:lang w:val="uk-UA" w:eastAsia="fr-FR"/>
        </w:rPr>
        <w:instrText xml:space="preserve"> SEQ level0 \*arabic </w:instrText>
      </w:r>
      <w:r w:rsidRPr="009A3F85">
        <w:rPr>
          <w:rFonts w:eastAsia="Times New Roman"/>
          <w:lang w:val="uk-UA" w:eastAsia="fr-FR"/>
        </w:rPr>
        <w:fldChar w:fldCharType="separate"/>
      </w:r>
      <w:r w:rsidRPr="009A3F85" w:rsidR="009A3F85">
        <w:rPr>
          <w:rFonts w:eastAsia="Times New Roman"/>
          <w:noProof/>
          <w:lang w:val="uk-UA" w:eastAsia="fr-FR"/>
        </w:rPr>
        <w:t>16</w:t>
      </w:r>
      <w:r w:rsidRPr="009A3F85">
        <w:rPr>
          <w:rFonts w:eastAsia="Times New Roman"/>
          <w:lang w:val="uk-UA" w:eastAsia="fr-FR"/>
        </w:rPr>
        <w:fldChar w:fldCharType="end"/>
      </w:r>
      <w:r w:rsidRPr="009A3F85">
        <w:rPr>
          <w:rFonts w:eastAsia="Times New Roman"/>
          <w:lang w:val="uk-UA" w:eastAsia="fr-FR"/>
        </w:rPr>
        <w:t>.  Покладаючись на зазначені висновки за пунктом 1 статті 6 Конвенції, Суд вирішив</w:t>
      </w:r>
      <w:r w:rsidRPr="009A3F85" w:rsidR="00FE6E28">
        <w:rPr>
          <w:rFonts w:eastAsia="Times New Roman"/>
          <w:lang w:val="uk-UA" w:eastAsia="fr-FR"/>
        </w:rPr>
        <w:t>, що немає</w:t>
      </w:r>
      <w:r w:rsidRPr="009A3F85">
        <w:rPr>
          <w:rFonts w:eastAsia="Times New Roman"/>
          <w:lang w:val="uk-UA" w:eastAsia="fr-FR"/>
        </w:rPr>
        <w:t xml:space="preserve"> необхідності </w:t>
      </w:r>
      <w:r w:rsidRPr="009A3F85">
        <w:rPr>
          <w:lang w:val="uk-UA"/>
        </w:rPr>
        <w:t xml:space="preserve">розглядати скаргу заявниці відповідно до статті 1 Першого протоколу, оскільки вона не порушувала окремого питання </w:t>
      </w:r>
      <w:r w:rsidRPr="009A3F85">
        <w:rPr>
          <w:rFonts w:eastAsia="Times New Roman"/>
          <w:lang w:val="uk-UA" w:eastAsia="fr-FR"/>
        </w:rPr>
        <w:t>(див. зазначене рішення у справі «Бочан проти України» (</w:t>
      </w:r>
      <w:r w:rsidRPr="009A3F85">
        <w:rPr>
          <w:rFonts w:eastAsia="Times New Roman"/>
          <w:i/>
          <w:lang w:val="uk-UA" w:eastAsia="fr-FR"/>
        </w:rPr>
        <w:t>Bochan v. Ukraine</w:t>
      </w:r>
      <w:r w:rsidRPr="009A3F85">
        <w:rPr>
          <w:rFonts w:eastAsia="Times New Roman"/>
          <w:lang w:val="uk-UA" w:eastAsia="fr-FR"/>
        </w:rPr>
        <w:t>), п. 91).</w:t>
      </w:r>
    </w:p>
    <w:p w:rsidRPr="009A3F85" w:rsidR="00D17581" w:rsidP="009A3F85">
      <w:pPr>
        <w:pStyle w:val="ECHRPara"/>
        <w:rPr>
          <w:rFonts w:eastAsia="Times New Roman"/>
          <w:lang w:val="uk-UA" w:eastAsia="fr-FR"/>
        </w:rPr>
      </w:pPr>
      <w:r w:rsidRPr="009A3F85">
        <w:rPr>
          <w:rFonts w:eastAsia="Times New Roman"/>
          <w:lang w:val="uk-UA" w:eastAsia="fr-FR"/>
        </w:rPr>
        <w:fldChar w:fldCharType="begin"/>
      </w:r>
      <w:r w:rsidRPr="009A3F85">
        <w:rPr>
          <w:rFonts w:eastAsia="Times New Roman"/>
          <w:lang w:val="uk-UA" w:eastAsia="fr-FR"/>
        </w:rPr>
        <w:instrText xml:space="preserve"> SEQ level0 \*arabic </w:instrText>
      </w:r>
      <w:r w:rsidRPr="009A3F85">
        <w:rPr>
          <w:rFonts w:eastAsia="Times New Roman"/>
          <w:lang w:val="uk-UA" w:eastAsia="fr-FR"/>
        </w:rPr>
        <w:fldChar w:fldCharType="separate"/>
      </w:r>
      <w:r w:rsidRPr="009A3F85" w:rsidR="009A3F85">
        <w:rPr>
          <w:rFonts w:eastAsia="Times New Roman"/>
          <w:noProof/>
          <w:lang w:val="uk-UA" w:eastAsia="fr-FR"/>
        </w:rPr>
        <w:t>17</w:t>
      </w:r>
      <w:r w:rsidRPr="009A3F85">
        <w:rPr>
          <w:rFonts w:eastAsia="Times New Roman"/>
          <w:lang w:val="uk-UA" w:eastAsia="fr-FR"/>
        </w:rPr>
        <w:fldChar w:fldCharType="end"/>
      </w:r>
      <w:r w:rsidRPr="009A3F85">
        <w:rPr>
          <w:rFonts w:eastAsia="Times New Roman"/>
          <w:lang w:val="uk-UA" w:eastAsia="fr-FR"/>
        </w:rPr>
        <w:t>.  Скарги заявниці на тривалість провадження і порушення статті 1 Першого протоколу у поєднанні зі статтею 14 Конвенції були відхилені як необґрунтовані (див. зазначене рішення у справі «Бочан проти України» (</w:t>
      </w:r>
      <w:r w:rsidRPr="009A3F85">
        <w:rPr>
          <w:rFonts w:eastAsia="Times New Roman"/>
          <w:i/>
          <w:lang w:val="uk-UA" w:eastAsia="fr-FR"/>
        </w:rPr>
        <w:t>Bochan v. Ukraine</w:t>
      </w:r>
      <w:r w:rsidRPr="009A3F85">
        <w:rPr>
          <w:rFonts w:eastAsia="Times New Roman"/>
          <w:lang w:val="uk-UA" w:eastAsia="fr-FR"/>
        </w:rPr>
        <w:t>), пп. 87 і 93).</w:t>
      </w:r>
    </w:p>
    <w:p w:rsidRPr="009A3F85" w:rsidR="00D17581" w:rsidP="009A3F85">
      <w:pPr>
        <w:pStyle w:val="ECHRPara"/>
        <w:rPr>
          <w:rFonts w:eastAsia="Times New Roman"/>
          <w:lang w:val="uk-UA"/>
        </w:rPr>
      </w:pPr>
      <w:r w:rsidRPr="009A3F85">
        <w:rPr>
          <w:rFonts w:eastAsia="Times New Roman"/>
          <w:lang w:val="uk-UA" w:eastAsia="fr-FR"/>
        </w:rPr>
        <w:fldChar w:fldCharType="begin"/>
      </w:r>
      <w:r w:rsidRPr="009A3F85">
        <w:rPr>
          <w:rFonts w:eastAsia="Times New Roman"/>
          <w:lang w:val="uk-UA" w:eastAsia="fr-FR"/>
        </w:rPr>
        <w:instrText xml:space="preserve"> SEQ level0 \*arabic </w:instrText>
      </w:r>
      <w:r w:rsidRPr="009A3F85">
        <w:rPr>
          <w:rFonts w:eastAsia="Times New Roman"/>
          <w:lang w:val="uk-UA" w:eastAsia="fr-FR"/>
        </w:rPr>
        <w:fldChar w:fldCharType="separate"/>
      </w:r>
      <w:r w:rsidRPr="009A3F85" w:rsidR="009A3F85">
        <w:rPr>
          <w:rFonts w:eastAsia="Times New Roman"/>
          <w:noProof/>
          <w:lang w:val="uk-UA" w:eastAsia="fr-FR"/>
        </w:rPr>
        <w:t>18</w:t>
      </w:r>
      <w:r w:rsidRPr="009A3F85">
        <w:rPr>
          <w:rFonts w:eastAsia="Times New Roman"/>
          <w:lang w:val="uk-UA" w:eastAsia="fr-FR"/>
        </w:rPr>
        <w:fldChar w:fldCharType="end"/>
      </w:r>
      <w:r w:rsidRPr="009A3F85">
        <w:rPr>
          <w:rFonts w:eastAsia="Times New Roman"/>
          <w:lang w:val="uk-UA" w:eastAsia="fr-FR"/>
        </w:rPr>
        <w:t>.  Заявниці було присуджено 2000 євро відшкодування моральної шкоди в якості справедливої сатисфакції. Суд також зазначив, «</w:t>
      </w:r>
      <w:r w:rsidRPr="009A3F85">
        <w:rPr>
          <w:lang w:val="uk-UA"/>
        </w:rPr>
        <w:t>що заявниця має право відповідно до українського законодавства на повторний розгляд справи національним судом у світлі встановленого Судом порушення щодо недотримання національними судами статті 6 Конвенції у справі заявниці»</w:t>
      </w:r>
      <w:r w:rsidRPr="009A3F85">
        <w:rPr>
          <w:rFonts w:eastAsia="Times New Roman"/>
          <w:lang w:val="uk-UA" w:eastAsia="fr-FR"/>
        </w:rPr>
        <w:t xml:space="preserve"> (див. зазначене рішення у справі «Бочан проти України» (</w:t>
      </w:r>
      <w:r w:rsidRPr="009A3F85">
        <w:rPr>
          <w:rFonts w:eastAsia="Times New Roman"/>
          <w:i/>
          <w:lang w:val="uk-UA" w:eastAsia="fr-FR"/>
        </w:rPr>
        <w:t>Bochan v. Ukraine</w:t>
      </w:r>
      <w:r w:rsidRPr="009A3F85">
        <w:rPr>
          <w:rFonts w:eastAsia="Times New Roman"/>
          <w:lang w:val="uk-UA" w:eastAsia="fr-FR"/>
        </w:rPr>
        <w:t>), пп. 97 і 98)</w:t>
      </w:r>
      <w:r w:rsidRPr="009A3F85">
        <w:rPr>
          <w:rFonts w:eastAsia="Times New Roman"/>
          <w:lang w:val="uk-UA"/>
        </w:rPr>
        <w:t>.</w:t>
      </w:r>
    </w:p>
    <w:p w:rsidRPr="009A3F85" w:rsidR="00D17581" w:rsidP="009A3F85">
      <w:pPr>
        <w:pStyle w:val="ECHRPara"/>
        <w:rPr>
          <w:rFonts w:eastAsia="Times New Roman"/>
          <w:lang w:val="uk-UA" w:eastAsia="fr-FR"/>
        </w:rPr>
      </w:pPr>
      <w:r w:rsidRPr="009A3F85">
        <w:rPr>
          <w:rFonts w:eastAsia="Times New Roman"/>
          <w:lang w:val="uk-UA"/>
        </w:rPr>
        <w:fldChar w:fldCharType="begin"/>
      </w:r>
      <w:r w:rsidRPr="009A3F85">
        <w:rPr>
          <w:rFonts w:eastAsia="Times New Roman"/>
          <w:lang w:val="uk-UA"/>
        </w:rPr>
        <w:instrText xml:space="preserve"> SEQ level0 \*arabic </w:instrText>
      </w:r>
      <w:r w:rsidRPr="009A3F85">
        <w:rPr>
          <w:rFonts w:eastAsia="Times New Roman"/>
          <w:lang w:val="uk-UA"/>
        </w:rPr>
        <w:fldChar w:fldCharType="separate"/>
      </w:r>
      <w:r w:rsidRPr="009A3F85" w:rsidR="009A3F85">
        <w:rPr>
          <w:rFonts w:eastAsia="Times New Roman"/>
          <w:noProof/>
          <w:lang w:val="uk-UA"/>
        </w:rPr>
        <w:t>19</w:t>
      </w:r>
      <w:r w:rsidRPr="009A3F85">
        <w:rPr>
          <w:rFonts w:eastAsia="Times New Roman"/>
          <w:lang w:val="uk-UA"/>
        </w:rPr>
        <w:fldChar w:fldCharType="end"/>
      </w:r>
      <w:r w:rsidRPr="009A3F85">
        <w:rPr>
          <w:rFonts w:eastAsia="Times New Roman"/>
          <w:lang w:val="uk-UA"/>
        </w:rPr>
        <w:t>.  До</w:t>
      </w:r>
      <w:r w:rsidRPr="009A3F85" w:rsidR="00D25C92">
        <w:rPr>
          <w:rFonts w:eastAsia="Times New Roman"/>
          <w:lang w:val="uk-UA"/>
        </w:rPr>
        <w:t xml:space="preserve"> цього часу</w:t>
      </w:r>
      <w:r w:rsidRPr="009A3F85">
        <w:rPr>
          <w:rFonts w:eastAsia="Times New Roman"/>
          <w:lang w:val="uk-UA"/>
        </w:rPr>
        <w:t xml:space="preserve"> Комітет міністрів Ради Європи ще н</w:t>
      </w:r>
      <w:r w:rsidRPr="009A3F85" w:rsidR="00D25C92">
        <w:rPr>
          <w:rFonts w:eastAsia="Times New Roman"/>
          <w:lang w:val="uk-UA"/>
        </w:rPr>
        <w:t>е</w:t>
      </w:r>
      <w:r w:rsidRPr="009A3F85">
        <w:rPr>
          <w:rFonts w:eastAsia="Times New Roman"/>
          <w:lang w:val="uk-UA"/>
        </w:rPr>
        <w:t xml:space="preserve"> закінчив здійсн</w:t>
      </w:r>
      <w:r w:rsidRPr="009A3F85" w:rsidR="00D25C92">
        <w:rPr>
          <w:rFonts w:eastAsia="Times New Roman"/>
          <w:lang w:val="uk-UA"/>
        </w:rPr>
        <w:t>ювати</w:t>
      </w:r>
      <w:r w:rsidRPr="009A3F85">
        <w:rPr>
          <w:rFonts w:eastAsia="Times New Roman"/>
          <w:lang w:val="uk-UA"/>
        </w:rPr>
        <w:t xml:space="preserve"> нагляд за виконанням рішення згідно з пунктом 2 статті 46 Конвенції.</w:t>
      </w:r>
    </w:p>
    <w:p w:rsidRPr="009A3F85" w:rsidR="009A3F85" w:rsidP="009A3F85">
      <w:pPr>
        <w:pStyle w:val="ECHRHeading2"/>
        <w:rPr>
          <w:rFonts w:eastAsia="Times New Roman"/>
          <w:lang w:val="uk-UA" w:eastAsia="fr-FR"/>
        </w:rPr>
      </w:pPr>
      <w:r w:rsidRPr="009A3F85">
        <w:rPr>
          <w:rFonts w:eastAsia="Times New Roman"/>
          <w:lang w:val="uk-UA" w:eastAsia="fr-FR"/>
        </w:rPr>
        <w:t>C.  </w:t>
      </w:r>
      <w:r w:rsidRPr="009A3F85" w:rsidR="00D25C92">
        <w:rPr>
          <w:rFonts w:eastAsia="Times New Roman"/>
          <w:lang w:val="uk-UA" w:eastAsia="fr-FR"/>
        </w:rPr>
        <w:t>Заява</w:t>
      </w:r>
      <w:r w:rsidRPr="009A3F85">
        <w:rPr>
          <w:rFonts w:eastAsia="Times New Roman"/>
          <w:lang w:val="uk-UA" w:eastAsia="fr-FR"/>
        </w:rPr>
        <w:t xml:space="preserve"> заявниці «про перегляд судових рішень у зв</w:t>
      </w:r>
      <w:r w:rsidRPr="009A3F85">
        <w:rPr>
          <w:rFonts w:eastAsia="Times New Roman"/>
          <w:lang w:val="uk-UA" w:eastAsia="fr-FR"/>
        </w:rPr>
        <w:t>’</w:t>
      </w:r>
      <w:r w:rsidRPr="009A3F85">
        <w:rPr>
          <w:rFonts w:eastAsia="Times New Roman"/>
          <w:lang w:val="uk-UA" w:eastAsia="fr-FR"/>
        </w:rPr>
        <w:t>язку з винятковими обставинами»</w:t>
      </w:r>
    </w:p>
    <w:p w:rsidRPr="009A3F85" w:rsidR="00D17581" w:rsidP="009A3F85">
      <w:pPr>
        <w:pStyle w:val="ECHRPara"/>
        <w:rPr>
          <w:rFonts w:eastAsia="Times New Roman"/>
          <w:lang w:val="uk-UA" w:eastAsia="fr-FR"/>
        </w:rPr>
      </w:pPr>
      <w:r w:rsidRPr="009A3F85">
        <w:rPr>
          <w:rFonts w:eastAsia="Times New Roman"/>
          <w:lang w:val="uk-UA" w:eastAsia="fr-FR"/>
        </w:rPr>
        <w:fldChar w:fldCharType="begin"/>
      </w:r>
      <w:r w:rsidRPr="009A3F85">
        <w:rPr>
          <w:rFonts w:eastAsia="Times New Roman"/>
          <w:lang w:val="uk-UA" w:eastAsia="fr-FR"/>
        </w:rPr>
        <w:instrText xml:space="preserve"> SEQ level0 \*arabic </w:instrText>
      </w:r>
      <w:r w:rsidRPr="009A3F85">
        <w:rPr>
          <w:rFonts w:eastAsia="Times New Roman"/>
          <w:lang w:val="uk-UA" w:eastAsia="fr-FR"/>
        </w:rPr>
        <w:fldChar w:fldCharType="separate"/>
      </w:r>
      <w:r w:rsidRPr="009A3F85" w:rsidR="009A3F85">
        <w:rPr>
          <w:rFonts w:eastAsia="Times New Roman"/>
          <w:noProof/>
          <w:lang w:val="uk-UA" w:eastAsia="fr-FR"/>
        </w:rPr>
        <w:t>20</w:t>
      </w:r>
      <w:r w:rsidRPr="009A3F85">
        <w:rPr>
          <w:rFonts w:eastAsia="Times New Roman"/>
          <w:lang w:val="uk-UA" w:eastAsia="fr-FR"/>
        </w:rPr>
        <w:fldChar w:fldCharType="end"/>
      </w:r>
      <w:r w:rsidRPr="009A3F85">
        <w:rPr>
          <w:rFonts w:eastAsia="Times New Roman"/>
          <w:lang w:val="uk-UA" w:eastAsia="fr-FR"/>
        </w:rPr>
        <w:t xml:space="preserve">.  14 </w:t>
      </w:r>
      <w:r w:rsidRPr="009A3F85" w:rsidR="0054396C">
        <w:rPr>
          <w:rFonts w:eastAsia="Times New Roman"/>
          <w:lang w:val="uk-UA" w:eastAsia="fr-FR"/>
        </w:rPr>
        <w:t xml:space="preserve">червня </w:t>
      </w:r>
      <w:r w:rsidRPr="009A3F85">
        <w:rPr>
          <w:rFonts w:eastAsia="Times New Roman"/>
          <w:lang w:val="uk-UA" w:eastAsia="fr-FR"/>
        </w:rPr>
        <w:t>2007 року заявниця подала до ВСУ «скаргу «</w:t>
      </w:r>
      <w:r w:rsidRPr="009A3F85">
        <w:rPr>
          <w:lang w:val="uk-UA"/>
        </w:rPr>
        <w:t>про перегляд судових рішень у зв</w:t>
      </w:r>
      <w:r w:rsidRPr="009A3F85" w:rsidR="009A3F85">
        <w:rPr>
          <w:lang w:val="uk-UA"/>
        </w:rPr>
        <w:t>’</w:t>
      </w:r>
      <w:r w:rsidRPr="009A3F85">
        <w:rPr>
          <w:lang w:val="uk-UA"/>
        </w:rPr>
        <w:t>язку з винятковими обставинами»</w:t>
      </w:r>
      <w:r w:rsidRPr="009A3F85">
        <w:rPr>
          <w:rFonts w:eastAsia="Times New Roman"/>
          <w:lang w:val="uk-UA" w:eastAsia="fr-FR"/>
        </w:rPr>
        <w:t xml:space="preserve"> відповідно, зокрема, до статей 353-355 Цивільного процесуального кодексу України 2004 року (див. пункт 24). Посилаючись на рішення Суду від 3 травня 2007 року, вона просила ВСУ скасувати рішення судів у її справі та ухвалити нове рішення про задоволення її позову у повному обсязі. До своєї скарги вона додала копії рішення Суду та рішень національних судів.</w:t>
      </w:r>
    </w:p>
    <w:p w:rsidRPr="009A3F85" w:rsidR="00D17581" w:rsidP="009A3F85">
      <w:pPr>
        <w:pStyle w:val="ECHRPara"/>
        <w:rPr>
          <w:rFonts w:eastAsia="Times New Roman"/>
          <w:lang w:val="uk-UA" w:eastAsia="fr-FR"/>
        </w:rPr>
      </w:pPr>
      <w:r w:rsidRPr="009A3F85">
        <w:rPr>
          <w:rFonts w:eastAsia="Times New Roman"/>
          <w:lang w:val="uk-UA" w:eastAsia="fr-FR"/>
        </w:rPr>
        <w:fldChar w:fldCharType="begin"/>
      </w:r>
      <w:r w:rsidRPr="009A3F85">
        <w:rPr>
          <w:rFonts w:eastAsia="Times New Roman"/>
          <w:lang w:val="uk-UA" w:eastAsia="fr-FR"/>
        </w:rPr>
        <w:instrText xml:space="preserve"> SEQ level0 \*arabic </w:instrText>
      </w:r>
      <w:r w:rsidRPr="009A3F85">
        <w:rPr>
          <w:rFonts w:eastAsia="Times New Roman"/>
          <w:lang w:val="uk-UA" w:eastAsia="fr-FR"/>
        </w:rPr>
        <w:fldChar w:fldCharType="separate"/>
      </w:r>
      <w:r w:rsidRPr="009A3F85" w:rsidR="009A3F85">
        <w:rPr>
          <w:rFonts w:eastAsia="Times New Roman"/>
          <w:noProof/>
          <w:lang w:val="uk-UA" w:eastAsia="fr-FR"/>
        </w:rPr>
        <w:t>21</w:t>
      </w:r>
      <w:r w:rsidRPr="009A3F85">
        <w:rPr>
          <w:rFonts w:eastAsia="Times New Roman"/>
          <w:lang w:val="uk-UA" w:eastAsia="fr-FR"/>
        </w:rPr>
        <w:fldChar w:fldCharType="end"/>
      </w:r>
      <w:r w:rsidRPr="009A3F85">
        <w:rPr>
          <w:rFonts w:eastAsia="Times New Roman"/>
          <w:lang w:val="uk-UA" w:eastAsia="fr-FR"/>
        </w:rPr>
        <w:t xml:space="preserve">.  14 березня 2008 року колегія з 18 суддів Судової палати у цивільних справах ВСУ, розглянувши скаргу у </w:t>
      </w:r>
      <w:r w:rsidRPr="009A3F85">
        <w:rPr>
          <w:rFonts w:eastAsia="Times New Roman"/>
          <w:lang w:val="uk-UA" w:eastAsia="fr-FR"/>
        </w:rPr>
        <w:t>закритому судовому засіданні та посилаючись на статтю 358 Цивільного процесуального кодексу України 2004 року (наведена у пункті 24), відмовила у задоволенні скарги заявниці. У відповідній частині ухвали ВСУ викладено таке:</w:t>
      </w:r>
    </w:p>
    <w:p w:rsidRPr="009A3F85" w:rsidR="009A3F85" w:rsidP="009A3F85">
      <w:pPr>
        <w:pStyle w:val="ECHRParaQuote"/>
        <w:rPr>
          <w:rFonts w:eastAsia="Times New Roman"/>
          <w:lang w:val="uk-UA" w:eastAsia="fr-FR"/>
        </w:rPr>
      </w:pPr>
      <w:r w:rsidRPr="009A3F85">
        <w:rPr>
          <w:rFonts w:eastAsia="Times New Roman"/>
          <w:lang w:val="uk-UA" w:eastAsia="fr-FR"/>
        </w:rPr>
        <w:t>«Рішенням Європейського суду з прав людини від 3 травня 2007 року доводи скарги щодо несправедливості провадження та щодо порушення ст. 1 Першого протоколу визнано прийнятними, решту скарги - неприйнятною. Визнано, що в цій справі було порушення п. 1 ст. 6 Конвенції... Постановлено, що</w:t>
      </w:r>
      <w:r w:rsidRPr="009A3F85">
        <w:rPr>
          <w:rFonts w:eastAsia="Times New Roman"/>
          <w:lang w:val="uk-UA" w:eastAsia="fr-FR"/>
        </w:rPr>
        <w:t>...</w:t>
      </w:r>
      <w:r w:rsidRPr="009A3F85">
        <w:rPr>
          <w:rFonts w:eastAsia="Times New Roman"/>
          <w:lang w:val="uk-UA" w:eastAsia="fr-FR"/>
        </w:rPr>
        <w:t xml:space="preserve"> протягом трьох місяців з дня, коли рішення стане остаточним відповідно до п. 2 ст. 44 Конвенції, держава-відповідач повинна сплатити заявниці 2 тис. євро (дві тисячі євро) відшкодування моральної шкоди</w:t>
      </w:r>
      <w:r w:rsidRPr="009A3F85">
        <w:rPr>
          <w:rFonts w:eastAsia="Times New Roman"/>
          <w:lang w:val="uk-UA" w:eastAsia="fr-FR"/>
        </w:rPr>
        <w:t>...</w:t>
      </w:r>
    </w:p>
    <w:p w:rsidRPr="009A3F85" w:rsidR="009A3F85" w:rsidP="009A3F85">
      <w:pPr>
        <w:pStyle w:val="ECHRParaQuote"/>
        <w:rPr>
          <w:rFonts w:eastAsia="Times New Roman"/>
          <w:lang w:val="uk-UA" w:eastAsia="fr-FR"/>
        </w:rPr>
      </w:pPr>
      <w:r w:rsidRPr="009A3F85">
        <w:rPr>
          <w:lang w:val="uk-UA"/>
        </w:rPr>
        <w:t>У п. 64 рішення Європейського суду з прав людини зазначено, що аргументи заявниці стосуються чотирьох питань, а саме:</w:t>
      </w:r>
    </w:p>
    <w:p w:rsidRPr="009A3F85" w:rsidR="00D17581" w:rsidP="009A3F85">
      <w:pPr>
        <w:pStyle w:val="ECHRParaQuote"/>
        <w:rPr>
          <w:rFonts w:eastAsia="Times New Roman"/>
          <w:lang w:val="uk-UA" w:eastAsia="fr-FR"/>
        </w:rPr>
      </w:pPr>
      <w:r w:rsidRPr="009A3F85">
        <w:rPr>
          <w:lang w:val="uk-UA"/>
        </w:rPr>
        <w:t>1)</w:t>
      </w:r>
      <w:r w:rsidRPr="009A3F85">
        <w:rPr>
          <w:rFonts w:eastAsia="Times New Roman"/>
          <w:lang w:val="uk-UA" w:eastAsia="fr-FR"/>
        </w:rPr>
        <w:t>  </w:t>
      </w:r>
      <w:r w:rsidRPr="009A3F85">
        <w:rPr>
          <w:lang w:val="uk-UA"/>
        </w:rPr>
        <w:t>чи суди, які розглядали справу були незалежні і неупереджені</w:t>
      </w:r>
      <w:r w:rsidRPr="009A3F85">
        <w:rPr>
          <w:rFonts w:eastAsia="Times New Roman"/>
          <w:lang w:val="uk-UA" w:eastAsia="fr-FR"/>
        </w:rPr>
        <w:t>;</w:t>
      </w:r>
    </w:p>
    <w:p w:rsidRPr="009A3F85" w:rsidR="00D17581" w:rsidP="009A3F85">
      <w:pPr>
        <w:pStyle w:val="ECHRParaQuote"/>
        <w:rPr>
          <w:rFonts w:eastAsia="Times New Roman"/>
          <w:lang w:val="uk-UA" w:eastAsia="fr-FR"/>
        </w:rPr>
      </w:pPr>
      <w:r w:rsidRPr="009A3F85">
        <w:rPr>
          <w:lang w:val="uk-UA"/>
        </w:rPr>
        <w:t>2)</w:t>
      </w:r>
      <w:r w:rsidRPr="009A3F85">
        <w:rPr>
          <w:rFonts w:eastAsia="Times New Roman"/>
          <w:lang w:val="uk-UA" w:eastAsia="fr-FR"/>
        </w:rPr>
        <w:t>  </w:t>
      </w:r>
      <w:r w:rsidRPr="009A3F85">
        <w:rPr>
          <w:lang w:val="uk-UA"/>
        </w:rPr>
        <w:t>чи завадив заявниці брати участь у справі той факт, що справа слухалась у Чемеровецькому районному суді</w:t>
      </w:r>
      <w:r w:rsidRPr="009A3F85">
        <w:rPr>
          <w:rFonts w:eastAsia="Times New Roman"/>
          <w:lang w:val="uk-UA" w:eastAsia="fr-FR"/>
        </w:rPr>
        <w:t>;</w:t>
      </w:r>
    </w:p>
    <w:p w:rsidRPr="009A3F85" w:rsidR="00D17581" w:rsidP="009A3F85">
      <w:pPr>
        <w:pStyle w:val="ECHRParaQuote"/>
        <w:rPr>
          <w:rFonts w:eastAsia="Times New Roman"/>
          <w:lang w:val="uk-UA" w:eastAsia="fr-FR"/>
        </w:rPr>
      </w:pPr>
      <w:r w:rsidRPr="009A3F85">
        <w:rPr>
          <w:rFonts w:eastAsia="Times New Roman"/>
          <w:lang w:val="uk-UA" w:eastAsia="fr-FR"/>
        </w:rPr>
        <w:t>3)  </w:t>
      </w:r>
      <w:r w:rsidRPr="009A3F85">
        <w:rPr>
          <w:lang w:val="uk-UA"/>
        </w:rPr>
        <w:t>чи принцип рівності сил закону був дотриманий щодо неспроможності внутрішньодержавних судів заслухати свідчення свідків, чиї письмові свідчення суд прийняв у якості доказу</w:t>
      </w:r>
      <w:r w:rsidRPr="009A3F85">
        <w:rPr>
          <w:rFonts w:eastAsia="Times New Roman"/>
          <w:lang w:val="uk-UA" w:eastAsia="fr-FR"/>
        </w:rPr>
        <w:t>;</w:t>
      </w:r>
    </w:p>
    <w:p w:rsidRPr="009A3F85" w:rsidR="00D17581" w:rsidP="009A3F85">
      <w:pPr>
        <w:pStyle w:val="ECHRParaQuote"/>
        <w:rPr>
          <w:rFonts w:eastAsia="Times New Roman"/>
          <w:lang w:val="uk-UA" w:eastAsia="fr-FR"/>
        </w:rPr>
      </w:pPr>
      <w:r w:rsidRPr="009A3F85">
        <w:rPr>
          <w:lang w:val="uk-UA"/>
        </w:rPr>
        <w:t>4)</w:t>
      </w:r>
      <w:r w:rsidRPr="009A3F85">
        <w:rPr>
          <w:rFonts w:eastAsia="Times New Roman"/>
          <w:lang w:val="uk-UA" w:eastAsia="fr-FR"/>
        </w:rPr>
        <w:t>  </w:t>
      </w:r>
      <w:r w:rsidRPr="009A3F85">
        <w:rPr>
          <w:lang w:val="uk-UA"/>
        </w:rPr>
        <w:t>чи були остаточні рішення, ухвалені судами першої, апеляційної та касаційної інстанцій, достатньо обґрунтованими</w:t>
      </w:r>
      <w:r w:rsidRPr="009A3F85">
        <w:rPr>
          <w:rFonts w:eastAsia="Times New Roman"/>
          <w:lang w:val="uk-UA" w:eastAsia="fr-FR"/>
        </w:rPr>
        <w:t>.</w:t>
      </w:r>
    </w:p>
    <w:p w:rsidRPr="009A3F85" w:rsidR="00D17581" w:rsidP="009A3F85">
      <w:pPr>
        <w:pStyle w:val="ECHRParaQuote"/>
        <w:rPr>
          <w:rFonts w:eastAsia="Times New Roman"/>
          <w:lang w:val="uk-UA" w:eastAsia="fr-FR"/>
        </w:rPr>
      </w:pPr>
      <w:r w:rsidRPr="009A3F85">
        <w:rPr>
          <w:rFonts w:eastAsia="Times New Roman"/>
          <w:lang w:val="uk-UA" w:eastAsia="fr-FR"/>
        </w:rPr>
        <w:t>Як убачається з матеріалів справи, заявниця скористалася своїм правом на представництво своїх інтересів у суді через представника</w:t>
      </w:r>
      <w:r w:rsidRPr="009A3F85" w:rsidR="009A3F85">
        <w:rPr>
          <w:rFonts w:eastAsia="Times New Roman"/>
          <w:lang w:val="uk-UA" w:eastAsia="fr-FR"/>
        </w:rPr>
        <w:t>...</w:t>
      </w:r>
      <w:r w:rsidRPr="009A3F85">
        <w:rPr>
          <w:rFonts w:eastAsia="Times New Roman"/>
          <w:lang w:val="uk-UA" w:eastAsia="fr-FR"/>
        </w:rPr>
        <w:t>, свого сина, юриста за фахом. За весь період слухання справи вона не з</w:t>
      </w:r>
      <w:r w:rsidRPr="009A3F85" w:rsidR="009A3F85">
        <w:rPr>
          <w:rFonts w:eastAsia="Times New Roman"/>
          <w:lang w:val="uk-UA" w:eastAsia="fr-FR"/>
        </w:rPr>
        <w:t>’</w:t>
      </w:r>
      <w:r w:rsidRPr="009A3F85">
        <w:rPr>
          <w:rFonts w:eastAsia="Times New Roman"/>
          <w:lang w:val="uk-UA" w:eastAsia="fr-FR"/>
        </w:rPr>
        <w:t>являлася в судове засідання, хоча була повідомлена належним чином.</w:t>
      </w:r>
    </w:p>
    <w:p w:rsidRPr="009A3F85" w:rsidR="00D17581" w:rsidP="009A3F85">
      <w:pPr>
        <w:pStyle w:val="ECHRParaQuote"/>
        <w:rPr>
          <w:rFonts w:eastAsia="Times New Roman"/>
          <w:lang w:val="uk-UA" w:eastAsia="fr-FR"/>
        </w:rPr>
      </w:pPr>
      <w:r w:rsidRPr="009A3F85">
        <w:rPr>
          <w:rFonts w:eastAsia="Times New Roman"/>
          <w:lang w:val="uk-UA" w:eastAsia="fr-FR"/>
        </w:rPr>
        <w:t>Ніхто з учасників процесу, у тому числі й Б.І., не заявляв клопотання стосовно заслуховування в судовому засіданні свідків... Своїх же свідків чи їхні письмові пояснення про те, що будинок будувався за його (батька, матері) кошти та за його дорученням, Б.І. суду не представив.</w:t>
      </w:r>
    </w:p>
    <w:p w:rsidRPr="009A3F85" w:rsidR="00D17581" w:rsidP="009A3F85">
      <w:pPr>
        <w:pStyle w:val="ECHRParaQuote"/>
        <w:rPr>
          <w:rFonts w:eastAsia="Times New Roman"/>
          <w:lang w:val="uk-UA" w:eastAsia="fr-FR"/>
        </w:rPr>
      </w:pPr>
      <w:r w:rsidRPr="009A3F85">
        <w:rPr>
          <w:rFonts w:eastAsia="Times New Roman"/>
          <w:lang w:val="uk-UA" w:eastAsia="fr-FR"/>
        </w:rPr>
        <w:t>Жодна зі сторін, у тому числі Б.І., під час слухання справи у</w:t>
      </w:r>
      <w:r w:rsidRPr="009A3F85" w:rsidR="009A3F85">
        <w:rPr>
          <w:rFonts w:eastAsia="Times New Roman"/>
          <w:lang w:val="uk-UA" w:eastAsia="fr-FR"/>
        </w:rPr>
        <w:t>...</w:t>
      </w:r>
      <w:r w:rsidRPr="009A3F85">
        <w:rPr>
          <w:rFonts w:eastAsia="Times New Roman"/>
          <w:lang w:val="uk-UA" w:eastAsia="fr-FR"/>
        </w:rPr>
        <w:t xml:space="preserve"> районному суді не заявляла відводів головуючому у справі судді. Заяви Б.І. про необ</w:t>
      </w:r>
      <w:r w:rsidRPr="009A3F85" w:rsidR="009A3F85">
        <w:rPr>
          <w:rFonts w:eastAsia="Times New Roman"/>
          <w:lang w:val="uk-UA" w:eastAsia="fr-FR"/>
        </w:rPr>
        <w:t>’</w:t>
      </w:r>
      <w:r w:rsidRPr="009A3F85">
        <w:rPr>
          <w:rFonts w:eastAsia="Times New Roman"/>
          <w:lang w:val="uk-UA" w:eastAsia="fr-FR"/>
        </w:rPr>
        <w:t>єктивність суду, в якому зроблений аналіз представлених доказів і дана їх оцінка, з</w:t>
      </w:r>
      <w:r w:rsidRPr="009A3F85" w:rsidR="009A3F85">
        <w:rPr>
          <w:rFonts w:eastAsia="Times New Roman"/>
          <w:lang w:val="uk-UA" w:eastAsia="fr-FR"/>
        </w:rPr>
        <w:t>’</w:t>
      </w:r>
      <w:r w:rsidRPr="009A3F85">
        <w:rPr>
          <w:rFonts w:eastAsia="Times New Roman"/>
          <w:lang w:val="uk-UA" w:eastAsia="fr-FR"/>
        </w:rPr>
        <w:t>явилися тільки після ухвалення рішення у справі.</w:t>
      </w:r>
    </w:p>
    <w:p w:rsidRPr="009A3F85" w:rsidR="00D17581" w:rsidP="009A3F85">
      <w:pPr>
        <w:pStyle w:val="ECHRParaQuote"/>
        <w:rPr>
          <w:lang w:val="uk-UA"/>
        </w:rPr>
      </w:pPr>
      <w:r w:rsidRPr="009A3F85">
        <w:rPr>
          <w:lang w:val="uk-UA"/>
        </w:rPr>
        <w:t xml:space="preserve">З матеріалів справи вбачається, що угода від 18 березня 1993 року, відповідно до якої М. у </w:t>
      </w:r>
      <w:r w:rsidRPr="009A3F85">
        <w:rPr>
          <w:rFonts w:eastAsia="Times New Roman"/>
          <w:lang w:val="uk-UA" w:eastAsia="fr-FR"/>
        </w:rPr>
        <w:t xml:space="preserve">Б.І. </w:t>
      </w:r>
      <w:r w:rsidRPr="009A3F85">
        <w:rPr>
          <w:lang w:val="uk-UA"/>
        </w:rPr>
        <w:t>купив половину фундаменту та частину будівельних матеріалів, ніким не оспорювалася... Також у матеріалах справи є довідка, яка підтверджує, що ліва частина будинку збудована за кошти М. й розписка, відповідно до якої Б.І. одержав від М. кошти в розмірі 1 млрд. 550 млн. крб. за цоколь лівої частини будинку. Достовірність цих обставин не спростовується проведеною у справі експертизою.</w:t>
      </w:r>
    </w:p>
    <w:p w:rsidRPr="009A3F85" w:rsidR="00D17581" w:rsidP="009A3F85">
      <w:pPr>
        <w:pStyle w:val="ECHRParaQuote"/>
        <w:rPr>
          <w:lang w:val="uk-UA"/>
        </w:rPr>
      </w:pPr>
      <w:r w:rsidRPr="009A3F85">
        <w:rPr>
          <w:lang w:val="uk-UA"/>
        </w:rPr>
        <w:t>Європейський суд з прав людини у своєму рішенні також зазначив, що заявниця, стверджуючи, що її було піддано дискримінації щодо реалізації її права власності, усупереч ст. 14 Конвенції</w:t>
      </w:r>
      <w:r w:rsidRPr="009A3F85" w:rsidR="009A3F85">
        <w:rPr>
          <w:lang w:val="uk-UA"/>
        </w:rPr>
        <w:t>...</w:t>
      </w:r>
      <w:r w:rsidRPr="009A3F85">
        <w:rPr>
          <w:lang w:val="uk-UA"/>
        </w:rPr>
        <w:t xml:space="preserve"> у поєднанні зі ст. 1 Першого протоколу, за результатами цивільного провадження, не надала достатніх доказів щодо цих тверджень, і дійшов висновку про те, що скарги заявниці відповідно до ст. 14 Конвенції в поєднанні зі ст. 1 Першого протоколу до </w:t>
      </w:r>
      <w:r w:rsidRPr="009A3F85">
        <w:rPr>
          <w:lang w:val="uk-UA"/>
        </w:rPr>
        <w:t>Конвенції повинні бути відхилені як явно необґрунтовані відповідно до пп. 3, 4 ст. 35 Конвенції. Тобто і Європейський суд з прав людини дійшов висновку про законність і обґрунтованість судових рішень і стягнув грошову компенсацію в розмірі 2 тис. євро лише за порушення судами України «розумних строків» розгляду справи.</w:t>
      </w:r>
    </w:p>
    <w:p w:rsidRPr="009A3F85" w:rsidR="00D17581" w:rsidP="009A3F85">
      <w:pPr>
        <w:pStyle w:val="ECHRParaQuote"/>
        <w:rPr>
          <w:rFonts w:eastAsia="Times New Roman"/>
          <w:lang w:val="uk-UA" w:eastAsia="fr-FR"/>
        </w:rPr>
      </w:pPr>
      <w:r w:rsidRPr="009A3F85">
        <w:rPr>
          <w:lang w:val="uk-UA"/>
        </w:rPr>
        <w:t>З огляду на викладене ухвалені у справі рішення не можуть бути скасованими з підстав, зазначених у скарзі пані Бочан</w:t>
      </w:r>
      <w:r w:rsidRPr="009A3F85">
        <w:rPr>
          <w:rFonts w:eastAsia="Times New Roman"/>
          <w:lang w:val="uk-UA" w:eastAsia="fr-FR"/>
        </w:rPr>
        <w:t>.</w:t>
      </w:r>
    </w:p>
    <w:p w:rsidRPr="009A3F85" w:rsidR="00D17581" w:rsidP="009A3F85">
      <w:pPr>
        <w:pStyle w:val="ECHRParaQuote"/>
        <w:rPr>
          <w:rFonts w:eastAsia="Times New Roman"/>
          <w:u w:val="single"/>
          <w:lang w:val="uk-UA" w:eastAsia="fr-FR"/>
        </w:rPr>
      </w:pPr>
      <w:r w:rsidRPr="009A3F85">
        <w:rPr>
          <w:rFonts w:eastAsia="Times New Roman"/>
          <w:lang w:val="uk-UA" w:eastAsia="fr-FR"/>
        </w:rPr>
        <w:t>Керуючись ст. 358 ЦПК України, колегія суддів Судової палати у цивільних справах Верховного Суду України</w:t>
      </w:r>
    </w:p>
    <w:p w:rsidRPr="009A3F85" w:rsidR="00D17581" w:rsidP="009A3F85">
      <w:pPr>
        <w:spacing w:before="120" w:after="120"/>
        <w:ind w:left="425" w:firstLine="142"/>
        <w:rPr>
          <w:rFonts w:eastAsia="Times New Roman"/>
          <w:sz w:val="20"/>
          <w:lang w:val="uk-UA" w:eastAsia="fr-FR"/>
        </w:rPr>
      </w:pPr>
      <w:r w:rsidRPr="009A3F85">
        <w:rPr>
          <w:rFonts w:eastAsia="Times New Roman"/>
          <w:sz w:val="20"/>
          <w:lang w:val="uk-UA" w:eastAsia="fr-FR"/>
        </w:rPr>
        <w:t>ухвалила:</w:t>
      </w:r>
    </w:p>
    <w:p w:rsidRPr="009A3F85" w:rsidR="00D17581" w:rsidP="009A3F85">
      <w:pPr>
        <w:pStyle w:val="ECHRParaQuote"/>
        <w:rPr>
          <w:lang w:val="uk-UA"/>
        </w:rPr>
      </w:pPr>
      <w:r w:rsidRPr="009A3F85">
        <w:rPr>
          <w:lang w:val="uk-UA"/>
        </w:rPr>
        <w:t>Відмовити пані Бочан у задоволенні скарги про перегляд рішення Чемеровецького районного суду Хмельницької області від 19 січня</w:t>
      </w:r>
      <w:r w:rsidRPr="009A3F85" w:rsidR="009A3F85">
        <w:rPr>
          <w:lang w:val="uk-UA"/>
        </w:rPr>
        <w:t xml:space="preserve"> </w:t>
      </w:r>
      <w:r w:rsidRPr="009A3F85">
        <w:rPr>
          <w:lang w:val="uk-UA"/>
        </w:rPr>
        <w:t>2001 року, ухвали апеляційного суду Хмельницької області від 1 березня 2001 року та ухвали колегії суддів Судової палати у цивільних справах Верховного Суду України від 22 серпня 2002 року за винятковими обставинами.»</w:t>
      </w:r>
    </w:p>
    <w:p w:rsidRPr="009A3F85" w:rsidR="00D17581" w:rsidP="009A3F85">
      <w:pPr>
        <w:pStyle w:val="ECHRPara"/>
        <w:rPr>
          <w:rFonts w:eastAsia="Times New Roman"/>
          <w:lang w:val="uk-UA" w:eastAsia="fr-FR"/>
        </w:rPr>
      </w:pPr>
      <w:r w:rsidRPr="009A3F85">
        <w:rPr>
          <w:rFonts w:eastAsia="Times New Roman"/>
          <w:lang w:val="uk-UA" w:eastAsia="fr-FR"/>
        </w:rPr>
        <w:fldChar w:fldCharType="begin"/>
      </w:r>
      <w:r w:rsidRPr="009A3F85">
        <w:rPr>
          <w:rFonts w:eastAsia="Times New Roman"/>
          <w:lang w:val="uk-UA" w:eastAsia="fr-FR"/>
        </w:rPr>
        <w:instrText xml:space="preserve"> SEQ level0 \*arabic </w:instrText>
      </w:r>
      <w:r w:rsidRPr="009A3F85">
        <w:rPr>
          <w:rFonts w:eastAsia="Times New Roman"/>
          <w:lang w:val="uk-UA" w:eastAsia="fr-FR"/>
        </w:rPr>
        <w:fldChar w:fldCharType="separate"/>
      </w:r>
      <w:r w:rsidRPr="009A3F85" w:rsidR="009A3F85">
        <w:rPr>
          <w:rFonts w:eastAsia="Times New Roman"/>
          <w:noProof/>
          <w:lang w:val="uk-UA" w:eastAsia="fr-FR"/>
        </w:rPr>
        <w:t>22</w:t>
      </w:r>
      <w:r w:rsidRPr="009A3F85">
        <w:rPr>
          <w:rFonts w:eastAsia="Times New Roman"/>
          <w:lang w:val="uk-UA" w:eastAsia="fr-FR"/>
        </w:rPr>
        <w:fldChar w:fldCharType="end"/>
      </w:r>
      <w:r w:rsidRPr="009A3F85">
        <w:rPr>
          <w:rFonts w:eastAsia="Times New Roman"/>
          <w:lang w:val="uk-UA" w:eastAsia="fr-FR"/>
        </w:rPr>
        <w:t>.  8 квітня 2008 року заявниця подала до ВСУ нову скаргу «</w:t>
      </w:r>
      <w:r w:rsidRPr="009A3F85">
        <w:rPr>
          <w:lang w:val="uk-UA"/>
        </w:rPr>
        <w:t>про перегляд судових рішень у зв</w:t>
      </w:r>
      <w:r w:rsidRPr="009A3F85" w:rsidR="009A3F85">
        <w:rPr>
          <w:sz w:val="20"/>
          <w:lang w:val="uk-UA"/>
        </w:rPr>
        <w:t>’</w:t>
      </w:r>
      <w:r w:rsidRPr="009A3F85">
        <w:rPr>
          <w:lang w:val="uk-UA"/>
        </w:rPr>
        <w:t>язку з винятковими обставинами»</w:t>
      </w:r>
      <w:r w:rsidRPr="009A3F85">
        <w:rPr>
          <w:rFonts w:eastAsia="Times New Roman"/>
          <w:lang w:val="uk-UA" w:eastAsia="fr-FR"/>
        </w:rPr>
        <w:t>. Вона доводила, що ухвала від 14 березня 2008 року ґрунтувалась на неправильному «тлумаченні» рішення Суду від 3 травня 2007 року та просила ВСУ повторно розглянути справу по суті з урахуванням висновків Суду за пунктом 1 статті 6 Конвенції у вищезазначеному рішенні, наведених у пункті 15.</w:t>
      </w:r>
    </w:p>
    <w:p w:rsidRPr="009A3F85" w:rsidR="00D17581" w:rsidP="009A3F85">
      <w:pPr>
        <w:pStyle w:val="ECHRPara"/>
        <w:rPr>
          <w:rFonts w:eastAsia="Times New Roman"/>
          <w:lang w:val="uk-UA" w:eastAsia="fr-FR"/>
        </w:rPr>
      </w:pPr>
      <w:r w:rsidRPr="009A3F85">
        <w:rPr>
          <w:rFonts w:eastAsia="Times New Roman"/>
          <w:lang w:val="uk-UA" w:eastAsia="fr-FR"/>
        </w:rPr>
        <w:fldChar w:fldCharType="begin"/>
      </w:r>
      <w:r w:rsidRPr="009A3F85">
        <w:rPr>
          <w:rFonts w:eastAsia="Times New Roman"/>
          <w:lang w:val="uk-UA" w:eastAsia="fr-FR"/>
        </w:rPr>
        <w:instrText xml:space="preserve"> SEQ level0 \*arabic </w:instrText>
      </w:r>
      <w:r w:rsidRPr="009A3F85">
        <w:rPr>
          <w:rFonts w:eastAsia="Times New Roman"/>
          <w:lang w:val="uk-UA" w:eastAsia="fr-FR"/>
        </w:rPr>
        <w:fldChar w:fldCharType="separate"/>
      </w:r>
      <w:r w:rsidRPr="009A3F85" w:rsidR="009A3F85">
        <w:rPr>
          <w:rFonts w:eastAsia="Times New Roman"/>
          <w:noProof/>
          <w:lang w:val="uk-UA" w:eastAsia="fr-FR"/>
        </w:rPr>
        <w:t>23</w:t>
      </w:r>
      <w:r w:rsidRPr="009A3F85">
        <w:rPr>
          <w:rFonts w:eastAsia="Times New Roman"/>
          <w:lang w:val="uk-UA" w:eastAsia="fr-FR"/>
        </w:rPr>
        <w:fldChar w:fldCharType="end"/>
      </w:r>
      <w:r w:rsidRPr="009A3F85">
        <w:rPr>
          <w:rFonts w:eastAsia="Times New Roman"/>
          <w:lang w:val="uk-UA" w:eastAsia="fr-FR"/>
        </w:rPr>
        <w:t xml:space="preserve">.  5 </w:t>
      </w:r>
      <w:r w:rsidRPr="009A3F85" w:rsidR="0054396C">
        <w:rPr>
          <w:rFonts w:eastAsia="Times New Roman"/>
          <w:lang w:val="uk-UA" w:eastAsia="fr-FR"/>
        </w:rPr>
        <w:t xml:space="preserve">червня </w:t>
      </w:r>
      <w:r w:rsidRPr="009A3F85">
        <w:rPr>
          <w:rFonts w:eastAsia="Times New Roman"/>
          <w:lang w:val="uk-UA" w:eastAsia="fr-FR"/>
        </w:rPr>
        <w:t xml:space="preserve">2008 року колегія з семи суддів Судової палати у цивільних справах ВСУ визнала скаргу неприйнятною, оскільки у ній не містилося доводів, які б могли </w:t>
      </w:r>
      <w:r w:rsidRPr="009A3F85" w:rsidR="00E75EDB">
        <w:rPr>
          <w:rFonts w:eastAsia="Times New Roman"/>
          <w:lang w:val="uk-UA" w:eastAsia="fr-FR"/>
        </w:rPr>
        <w:t xml:space="preserve">слугувати </w:t>
      </w:r>
      <w:r w:rsidRPr="009A3F85">
        <w:rPr>
          <w:rFonts w:eastAsia="Times New Roman"/>
          <w:lang w:val="uk-UA" w:eastAsia="fr-FR"/>
        </w:rPr>
        <w:t>підставами перегляду справи у зв</w:t>
      </w:r>
      <w:r w:rsidRPr="009A3F85" w:rsidR="009A3F85">
        <w:rPr>
          <w:rFonts w:eastAsia="Times New Roman"/>
          <w:lang w:val="uk-UA" w:eastAsia="fr-FR"/>
        </w:rPr>
        <w:t>’</w:t>
      </w:r>
      <w:r w:rsidRPr="009A3F85">
        <w:rPr>
          <w:rFonts w:eastAsia="Times New Roman"/>
          <w:lang w:val="uk-UA" w:eastAsia="fr-FR"/>
        </w:rPr>
        <w:t>язку з винятковими обставинами згідно зі статтею 354 Цивільного процесуального кодексу України 2004 року (текст статті 354 та відповідні витяги зі статті 356 Кодексу див. у пункті 24).</w:t>
      </w:r>
    </w:p>
    <w:p w:rsidRPr="009A3F85" w:rsidR="009A3F85" w:rsidP="009A3F85">
      <w:pPr>
        <w:pStyle w:val="ECHRHeading1"/>
        <w:rPr>
          <w:lang w:val="uk-UA"/>
        </w:rPr>
      </w:pPr>
      <w:r w:rsidRPr="009A3F85">
        <w:rPr>
          <w:lang w:val="uk-UA"/>
        </w:rPr>
        <w:t>II.  ВІДПОВІДНЕ НАЦІОНАЛЬНЕ ЗАКОНОДАВСТВО</w:t>
      </w:r>
    </w:p>
    <w:p w:rsidRPr="009A3F85" w:rsidR="00D17581" w:rsidP="009A3F85">
      <w:pPr>
        <w:pStyle w:val="ECHRHeading2"/>
        <w:rPr>
          <w:rFonts w:eastAsia="Times New Roman"/>
          <w:lang w:val="uk-UA" w:eastAsia="fr-FR"/>
        </w:rPr>
      </w:pPr>
      <w:r w:rsidRPr="009A3F85">
        <w:rPr>
          <w:rFonts w:eastAsia="Times New Roman"/>
          <w:lang w:val="uk-UA" w:eastAsia="fr-FR"/>
        </w:rPr>
        <w:t>A.   Цивільний процесуальний кодекс України 2004 року</w:t>
      </w:r>
    </w:p>
    <w:p w:rsidRPr="009A3F85" w:rsidR="00D17581" w:rsidP="009A3F85">
      <w:pPr>
        <w:pStyle w:val="ECHRPara"/>
        <w:rPr>
          <w:rFonts w:eastAsia="Times New Roman"/>
          <w:lang w:val="uk-UA" w:eastAsia="fr-FR"/>
        </w:rPr>
      </w:pPr>
      <w:r w:rsidRPr="009A3F85">
        <w:rPr>
          <w:rFonts w:eastAsia="Times New Roman"/>
          <w:lang w:val="uk-UA" w:eastAsia="fr-FR"/>
        </w:rPr>
        <w:fldChar w:fldCharType="begin"/>
      </w:r>
      <w:r w:rsidRPr="009A3F85">
        <w:rPr>
          <w:rFonts w:eastAsia="Times New Roman"/>
          <w:lang w:val="uk-UA" w:eastAsia="fr-FR"/>
        </w:rPr>
        <w:instrText xml:space="preserve"> SEQ level0 \*arabic </w:instrText>
      </w:r>
      <w:r w:rsidRPr="009A3F85">
        <w:rPr>
          <w:rFonts w:eastAsia="Times New Roman"/>
          <w:lang w:val="uk-UA" w:eastAsia="fr-FR"/>
        </w:rPr>
        <w:fldChar w:fldCharType="separate"/>
      </w:r>
      <w:r w:rsidRPr="009A3F85" w:rsidR="009A3F85">
        <w:rPr>
          <w:rFonts w:eastAsia="Times New Roman"/>
          <w:noProof/>
          <w:lang w:val="uk-UA" w:eastAsia="fr-FR"/>
        </w:rPr>
        <w:t>24</w:t>
      </w:r>
      <w:r w:rsidRPr="009A3F85">
        <w:rPr>
          <w:rFonts w:eastAsia="Times New Roman"/>
          <w:lang w:val="uk-UA" w:eastAsia="fr-FR"/>
        </w:rPr>
        <w:fldChar w:fldCharType="end"/>
      </w:r>
      <w:r w:rsidRPr="009A3F85">
        <w:rPr>
          <w:rFonts w:eastAsia="Times New Roman"/>
          <w:lang w:val="uk-UA" w:eastAsia="fr-FR"/>
        </w:rPr>
        <w:t>.  У відповідних витягах з Кодексу у редакції на час подій передбачалося таке:</w:t>
      </w:r>
    </w:p>
    <w:p w:rsidRPr="009A3F85" w:rsidR="00D17581" w:rsidP="009A3F85">
      <w:pPr>
        <w:pStyle w:val="ECHRTitleCentre3"/>
        <w:rPr>
          <w:rFonts w:eastAsia="Times New Roman"/>
          <w:lang w:val="uk-UA" w:eastAsia="fr-FR"/>
        </w:rPr>
      </w:pPr>
      <w:r w:rsidRPr="009A3F85">
        <w:rPr>
          <w:rFonts w:eastAsia="Times New Roman"/>
          <w:lang w:val="uk-UA" w:eastAsia="fr-FR"/>
        </w:rPr>
        <w:t>Стаття 353.</w:t>
      </w:r>
      <w:r w:rsidRPr="009A3F85">
        <w:rPr>
          <w:rFonts w:eastAsia="Times New Roman"/>
          <w:szCs w:val="24"/>
          <w:lang w:val="uk-UA" w:eastAsia="fr-FR"/>
        </w:rPr>
        <w:t xml:space="preserve"> </w:t>
      </w:r>
      <w:r w:rsidRPr="009A3F85">
        <w:rPr>
          <w:rFonts w:eastAsia="Times New Roman"/>
          <w:lang w:val="uk-UA" w:eastAsia="fr-FR"/>
        </w:rPr>
        <w:t>Право оскарження судових рішень у зв</w:t>
      </w:r>
      <w:r w:rsidRPr="009A3F85" w:rsidR="009A3F85">
        <w:rPr>
          <w:rFonts w:eastAsia="Times New Roman"/>
          <w:lang w:val="uk-UA" w:eastAsia="fr-FR"/>
        </w:rPr>
        <w:t>’</w:t>
      </w:r>
      <w:r w:rsidRPr="009A3F85">
        <w:rPr>
          <w:rFonts w:eastAsia="Times New Roman"/>
          <w:lang w:val="uk-UA" w:eastAsia="fr-FR"/>
        </w:rPr>
        <w:t>язку з винятковими обставинами</w:t>
      </w:r>
    </w:p>
    <w:p w:rsidRPr="009A3F85" w:rsidR="00D17581" w:rsidP="009A3F85">
      <w:pPr>
        <w:pStyle w:val="ECHRParaQuote"/>
        <w:rPr>
          <w:rFonts w:eastAsia="Times New Roman"/>
          <w:lang w:val="uk-UA" w:eastAsia="fr-FR"/>
        </w:rPr>
      </w:pPr>
      <w:r w:rsidRPr="009A3F85">
        <w:rPr>
          <w:rFonts w:eastAsia="Times New Roman"/>
          <w:lang w:val="uk-UA" w:eastAsia="fr-FR"/>
        </w:rPr>
        <w:t>«1.  Сторони... мають право оскаржити до Верховного Суду України судові рішення у цивільних справах у зв</w:t>
      </w:r>
      <w:r w:rsidRPr="009A3F85" w:rsidR="009A3F85">
        <w:rPr>
          <w:rFonts w:eastAsia="Times New Roman"/>
          <w:lang w:val="uk-UA" w:eastAsia="fr-FR"/>
        </w:rPr>
        <w:t>’</w:t>
      </w:r>
      <w:r w:rsidRPr="009A3F85">
        <w:rPr>
          <w:rFonts w:eastAsia="Times New Roman"/>
          <w:lang w:val="uk-UA" w:eastAsia="fr-FR"/>
        </w:rPr>
        <w:t>язку з винятковими обставинами після їх перегляду у касаційному порядку.»</w:t>
      </w:r>
    </w:p>
    <w:p w:rsidRPr="009A3F85" w:rsidR="00D17581" w:rsidP="009A3F85">
      <w:pPr>
        <w:pStyle w:val="ECHRTitleCentre3"/>
        <w:rPr>
          <w:lang w:val="uk-UA"/>
        </w:rPr>
      </w:pPr>
      <w:r w:rsidRPr="009A3F85">
        <w:rPr>
          <w:lang w:val="uk-UA"/>
        </w:rPr>
        <w:t>Стаття 354. Підстави оскарження у зв</w:t>
      </w:r>
      <w:r w:rsidRPr="009A3F85" w:rsidR="009A3F85">
        <w:rPr>
          <w:lang w:val="uk-UA"/>
        </w:rPr>
        <w:t>’</w:t>
      </w:r>
      <w:r w:rsidRPr="009A3F85">
        <w:rPr>
          <w:lang w:val="uk-UA"/>
        </w:rPr>
        <w:t>язку з винятковими обставинами</w:t>
      </w:r>
    </w:p>
    <w:p w:rsidRPr="009A3F85" w:rsidR="009A3F85" w:rsidP="009A3F85">
      <w:pPr>
        <w:pStyle w:val="ECHRParaQuote"/>
        <w:rPr>
          <w:rFonts w:eastAsia="Times New Roman"/>
          <w:lang w:val="uk-UA" w:eastAsia="fr-FR"/>
        </w:rPr>
      </w:pPr>
      <w:r w:rsidRPr="009A3F85">
        <w:rPr>
          <w:rFonts w:eastAsia="Times New Roman"/>
          <w:lang w:val="uk-UA" w:eastAsia="fr-FR"/>
        </w:rPr>
        <w:t>«1.  Судові рішення у цивільних справах можуть бути переглянуті у зв</w:t>
      </w:r>
      <w:r w:rsidRPr="009A3F85">
        <w:rPr>
          <w:rFonts w:eastAsia="Times New Roman"/>
          <w:lang w:val="uk-UA" w:eastAsia="fr-FR"/>
        </w:rPr>
        <w:t>’</w:t>
      </w:r>
      <w:r w:rsidRPr="009A3F85">
        <w:rPr>
          <w:rFonts w:eastAsia="Times New Roman"/>
          <w:lang w:val="uk-UA" w:eastAsia="fr-FR"/>
        </w:rPr>
        <w:t>язку з винятковими обставинами після їх перегляду у касаційному порядку, якщо вони оскаржені з мотивів:</w:t>
      </w:r>
    </w:p>
    <w:p w:rsidRPr="009A3F85" w:rsidR="009A3F85" w:rsidP="009A3F85">
      <w:pPr>
        <w:pStyle w:val="ECHRParaQuote"/>
        <w:rPr>
          <w:rFonts w:eastAsia="Times New Roman"/>
          <w:lang w:val="uk-UA" w:eastAsia="fr-FR"/>
        </w:rPr>
      </w:pPr>
      <w:r w:rsidRPr="009A3F85">
        <w:rPr>
          <w:rFonts w:eastAsia="Times New Roman"/>
          <w:lang w:val="uk-UA" w:eastAsia="fr-FR"/>
        </w:rPr>
        <w:t>1) неоднакового застосування судом (судами) касаційної інстанції одного і того самого положення закону;</w:t>
      </w:r>
    </w:p>
    <w:p w:rsidRPr="009A3F85" w:rsidR="009A3F85" w:rsidP="009A3F85">
      <w:pPr>
        <w:pStyle w:val="ECHRParaQuote"/>
        <w:rPr>
          <w:rFonts w:eastAsia="Times New Roman"/>
          <w:lang w:val="uk-UA" w:eastAsia="fr-FR"/>
        </w:rPr>
      </w:pPr>
      <w:r w:rsidRPr="009A3F85">
        <w:rPr>
          <w:rFonts w:eastAsia="Times New Roman"/>
          <w:lang w:val="uk-UA" w:eastAsia="fr-FR"/>
        </w:rPr>
        <w:t>2) визнання судового рішення міжнародною судовою установою, юрисдикція якої визнана Україною, таким, що порушує міжнародні зобов</w:t>
      </w:r>
      <w:r w:rsidRPr="009A3F85">
        <w:rPr>
          <w:rFonts w:eastAsia="Times New Roman"/>
          <w:lang w:val="uk-UA" w:eastAsia="fr-FR"/>
        </w:rPr>
        <w:t>’</w:t>
      </w:r>
      <w:r w:rsidRPr="009A3F85">
        <w:rPr>
          <w:rFonts w:eastAsia="Times New Roman"/>
          <w:lang w:val="uk-UA" w:eastAsia="fr-FR"/>
        </w:rPr>
        <w:t>язання України.</w:t>
      </w:r>
    </w:p>
    <w:p w:rsidRPr="009A3F85" w:rsidR="00D17581" w:rsidP="009A3F85">
      <w:pPr>
        <w:pStyle w:val="ECHRTitleCentre3"/>
        <w:rPr>
          <w:lang w:val="uk-UA"/>
        </w:rPr>
      </w:pPr>
      <w:r w:rsidRPr="009A3F85">
        <w:rPr>
          <w:lang w:val="uk-UA"/>
        </w:rPr>
        <w:t>Стаття 355. Порядок подання скарги у зв</w:t>
      </w:r>
      <w:r w:rsidRPr="009A3F85" w:rsidR="009A3F85">
        <w:rPr>
          <w:lang w:val="uk-UA"/>
        </w:rPr>
        <w:t>’</w:t>
      </w:r>
      <w:r w:rsidRPr="009A3F85">
        <w:rPr>
          <w:lang w:val="uk-UA"/>
        </w:rPr>
        <w:t>язку з винятковими обставинами</w:t>
      </w:r>
    </w:p>
    <w:p w:rsidRPr="009A3F85" w:rsidR="009A3F85" w:rsidP="009A3F85">
      <w:pPr>
        <w:pStyle w:val="ECHRParaQuote"/>
        <w:rPr>
          <w:lang w:val="uk-UA"/>
        </w:rPr>
      </w:pPr>
      <w:r w:rsidRPr="009A3F85">
        <w:rPr>
          <w:lang w:val="uk-UA"/>
        </w:rPr>
        <w:t>«1.  Скарга може бути подана протягом одного місяця з дня відкриття виняткових обставин.</w:t>
      </w:r>
    </w:p>
    <w:p w:rsidRPr="009A3F85" w:rsidR="00D17581" w:rsidP="009A3F85">
      <w:pPr>
        <w:pStyle w:val="ECHRParaQuote"/>
        <w:rPr>
          <w:lang w:val="uk-UA"/>
        </w:rPr>
      </w:pPr>
      <w:r w:rsidRPr="009A3F85">
        <w:rPr>
          <w:lang w:val="uk-UA"/>
        </w:rPr>
        <w:t>2.   Скарга у зв</w:t>
      </w:r>
      <w:r w:rsidRPr="009A3F85" w:rsidR="009A3F85">
        <w:rPr>
          <w:lang w:val="uk-UA"/>
        </w:rPr>
        <w:t>’</w:t>
      </w:r>
      <w:r w:rsidRPr="009A3F85">
        <w:rPr>
          <w:lang w:val="uk-UA"/>
        </w:rPr>
        <w:t>язку з винятковими обставинами подається за правилами подання касаційних скарг у касаційному провадженні.</w:t>
      </w:r>
    </w:p>
    <w:p w:rsidRPr="009A3F85" w:rsidR="00D17581" w:rsidP="009A3F85">
      <w:pPr>
        <w:pStyle w:val="ECHRParaQuote"/>
        <w:rPr>
          <w:rFonts w:eastAsia="Times New Roman"/>
          <w:lang w:val="uk-UA" w:eastAsia="fr-FR"/>
        </w:rPr>
      </w:pPr>
      <w:r w:rsidRPr="009A3F85">
        <w:rPr>
          <w:rFonts w:eastAsia="Times New Roman"/>
          <w:lang w:val="uk-UA" w:eastAsia="fr-FR"/>
        </w:rPr>
        <w:t>...»</w:t>
      </w:r>
    </w:p>
    <w:p w:rsidRPr="009A3F85" w:rsidR="00D17581" w:rsidP="009A3F85">
      <w:pPr>
        <w:pStyle w:val="ECHRTitleCentre3"/>
        <w:spacing w:before="0" w:after="0"/>
        <w:rPr>
          <w:rFonts w:eastAsia="Times New Roman"/>
          <w:lang w:val="uk-UA" w:eastAsia="fr-FR"/>
        </w:rPr>
      </w:pPr>
      <w:r w:rsidRPr="009A3F85">
        <w:rPr>
          <w:lang w:val="uk-UA"/>
        </w:rPr>
        <w:t>Стаття </w:t>
      </w:r>
      <w:r w:rsidRPr="009A3F85">
        <w:rPr>
          <w:rFonts w:eastAsia="Times New Roman"/>
          <w:lang w:val="uk-UA" w:eastAsia="fr-FR"/>
        </w:rPr>
        <w:t>356.</w:t>
      </w:r>
      <w:r w:rsidRPr="009A3F85">
        <w:rPr>
          <w:rFonts w:eastAsia="Times New Roman"/>
          <w:szCs w:val="24"/>
          <w:lang w:val="uk-UA" w:eastAsia="fr-FR"/>
        </w:rPr>
        <w:t xml:space="preserve"> </w:t>
      </w:r>
      <w:r w:rsidRPr="009A3F85">
        <w:rPr>
          <w:rFonts w:eastAsia="Times New Roman"/>
          <w:lang w:val="uk-UA" w:eastAsia="fr-FR"/>
        </w:rPr>
        <w:t>Допуск скарги до провадження у зв</w:t>
      </w:r>
      <w:r w:rsidRPr="009A3F85" w:rsidR="009A3F85">
        <w:rPr>
          <w:rFonts w:eastAsia="Times New Roman"/>
          <w:lang w:val="uk-UA" w:eastAsia="fr-FR"/>
        </w:rPr>
        <w:t>’</w:t>
      </w:r>
      <w:r w:rsidRPr="009A3F85">
        <w:rPr>
          <w:rFonts w:eastAsia="Times New Roman"/>
          <w:lang w:val="uk-UA" w:eastAsia="fr-FR"/>
        </w:rPr>
        <w:t>язку з винятковими обставинами</w:t>
      </w:r>
    </w:p>
    <w:p w:rsidRPr="009A3F85" w:rsidR="009A3F85" w:rsidP="009A3F85">
      <w:pPr>
        <w:pStyle w:val="ECHRParaQuote"/>
        <w:rPr>
          <w:rFonts w:eastAsia="Times New Roman"/>
          <w:lang w:val="uk-UA" w:eastAsia="fr-FR"/>
        </w:rPr>
      </w:pPr>
      <w:r w:rsidRPr="009A3F85">
        <w:rPr>
          <w:rFonts w:eastAsia="Times New Roman"/>
          <w:lang w:val="uk-UA" w:eastAsia="fr-FR"/>
        </w:rPr>
        <w:t>«1.  Питання про допуск скарги до провадження у зв</w:t>
      </w:r>
      <w:r w:rsidRPr="009A3F85">
        <w:rPr>
          <w:rFonts w:eastAsia="Times New Roman"/>
          <w:lang w:val="uk-UA" w:eastAsia="fr-FR"/>
        </w:rPr>
        <w:t>’</w:t>
      </w:r>
      <w:r w:rsidRPr="009A3F85">
        <w:rPr>
          <w:rFonts w:eastAsia="Times New Roman"/>
          <w:lang w:val="uk-UA" w:eastAsia="fr-FR"/>
        </w:rPr>
        <w:t>язку з винятковими обставинами</w:t>
      </w:r>
      <w:r w:rsidRPr="009A3F85">
        <w:rPr>
          <w:rFonts w:eastAsia="Times New Roman"/>
          <w:lang w:val="uk-UA" w:eastAsia="fr-FR"/>
        </w:rPr>
        <w:t>...</w:t>
      </w:r>
      <w:r w:rsidRPr="009A3F85">
        <w:rPr>
          <w:rFonts w:eastAsia="Times New Roman"/>
          <w:lang w:val="uk-UA" w:eastAsia="fr-FR"/>
        </w:rPr>
        <w:t xml:space="preserve"> вирішується колегією у складі семи суддів</w:t>
      </w:r>
      <w:r w:rsidRPr="009A3F85">
        <w:rPr>
          <w:rFonts w:eastAsia="Times New Roman"/>
          <w:lang w:val="uk-UA" w:eastAsia="fr-FR"/>
        </w:rPr>
        <w:t>...</w:t>
      </w:r>
    </w:p>
    <w:p w:rsidRPr="009A3F85" w:rsidR="009A3F85" w:rsidP="009A3F85">
      <w:pPr>
        <w:pStyle w:val="ECHRParaQuote"/>
        <w:rPr>
          <w:rFonts w:eastAsia="Times New Roman"/>
          <w:lang w:val="uk-UA" w:eastAsia="fr-FR"/>
        </w:rPr>
      </w:pPr>
      <w:r w:rsidRPr="009A3F85">
        <w:rPr>
          <w:rFonts w:eastAsia="Times New Roman"/>
          <w:lang w:val="uk-UA" w:eastAsia="fr-FR"/>
        </w:rPr>
        <w:t>2.  Скарга вважається допущеною до провадження</w:t>
      </w:r>
      <w:r w:rsidRPr="009A3F85">
        <w:rPr>
          <w:rFonts w:eastAsia="Times New Roman"/>
          <w:lang w:val="uk-UA" w:eastAsia="fr-FR"/>
        </w:rPr>
        <w:t>...</w:t>
      </w:r>
      <w:r w:rsidRPr="009A3F85">
        <w:rPr>
          <w:rFonts w:eastAsia="Times New Roman"/>
          <w:lang w:val="uk-UA" w:eastAsia="fr-FR"/>
        </w:rPr>
        <w:t>, якщо хоча б три судді дійшли висновку про необхідність цього.</w:t>
      </w:r>
    </w:p>
    <w:p w:rsidRPr="009A3F85" w:rsidR="009A3F85" w:rsidP="009A3F85">
      <w:pPr>
        <w:pStyle w:val="ECHRParaQuote"/>
        <w:rPr>
          <w:rFonts w:eastAsia="Times New Roman"/>
          <w:lang w:val="uk-UA" w:eastAsia="fr-FR"/>
        </w:rPr>
      </w:pPr>
      <w:r w:rsidRPr="009A3F85">
        <w:rPr>
          <w:rFonts w:eastAsia="Times New Roman"/>
          <w:lang w:val="uk-UA" w:eastAsia="fr-FR"/>
        </w:rPr>
        <w:t>3.  Про допуск скарги</w:t>
      </w:r>
      <w:r w:rsidRPr="009A3F85">
        <w:rPr>
          <w:rFonts w:eastAsia="Times New Roman"/>
          <w:lang w:val="uk-UA" w:eastAsia="fr-FR"/>
        </w:rPr>
        <w:t>...</w:t>
      </w:r>
      <w:r w:rsidRPr="009A3F85">
        <w:rPr>
          <w:rFonts w:eastAsia="Times New Roman"/>
          <w:lang w:val="uk-UA" w:eastAsia="fr-FR"/>
        </w:rPr>
        <w:t xml:space="preserve"> суд постановляє ухвалу, яка оскарженню не підлягає. </w:t>
      </w:r>
      <w:r w:rsidRPr="009A3F85">
        <w:rPr>
          <w:rFonts w:eastAsia="Times New Roman"/>
          <w:lang w:val="uk-UA" w:eastAsia="fr-FR"/>
        </w:rPr>
        <w:t>...</w:t>
      </w:r>
    </w:p>
    <w:p w:rsidRPr="009A3F85" w:rsidR="009A3F85" w:rsidP="009A3F85">
      <w:pPr>
        <w:pStyle w:val="ECHRParaQuote"/>
        <w:rPr>
          <w:rFonts w:eastAsia="Times New Roman"/>
          <w:lang w:val="uk-UA" w:eastAsia="fr-FR"/>
        </w:rPr>
      </w:pPr>
      <w:r w:rsidRPr="009A3F85">
        <w:rPr>
          <w:rFonts w:eastAsia="Times New Roman"/>
          <w:lang w:val="uk-UA" w:eastAsia="fr-FR"/>
        </w:rPr>
        <w:t>4.  Копія ухвали про допуск скарги</w:t>
      </w:r>
      <w:r w:rsidRPr="009A3F85">
        <w:rPr>
          <w:rFonts w:eastAsia="Times New Roman"/>
          <w:lang w:val="uk-UA" w:eastAsia="fr-FR"/>
        </w:rPr>
        <w:t>...</w:t>
      </w:r>
      <w:r w:rsidRPr="009A3F85">
        <w:rPr>
          <w:rFonts w:eastAsia="Times New Roman"/>
          <w:lang w:val="uk-UA" w:eastAsia="fr-FR"/>
        </w:rPr>
        <w:t xml:space="preserve"> надсилається</w:t>
      </w:r>
      <w:r w:rsidRPr="009A3F85">
        <w:rPr>
          <w:rFonts w:eastAsia="Times New Roman"/>
          <w:lang w:val="uk-UA" w:eastAsia="fr-FR"/>
        </w:rPr>
        <w:t>...</w:t>
      </w:r>
      <w:r w:rsidRPr="009A3F85">
        <w:rPr>
          <w:rFonts w:eastAsia="Times New Roman"/>
          <w:lang w:val="uk-UA" w:eastAsia="fr-FR"/>
        </w:rPr>
        <w:t xml:space="preserve"> особам, які беруть участь у справі...</w:t>
      </w:r>
    </w:p>
    <w:p w:rsidRPr="009A3F85" w:rsidR="009A3F85" w:rsidP="009A3F85">
      <w:pPr>
        <w:pStyle w:val="ECHRParaQuote"/>
        <w:rPr>
          <w:rFonts w:eastAsia="Times New Roman"/>
          <w:lang w:val="uk-UA" w:eastAsia="fr-FR"/>
        </w:rPr>
      </w:pPr>
      <w:r w:rsidRPr="009A3F85">
        <w:rPr>
          <w:rFonts w:eastAsia="Times New Roman"/>
          <w:lang w:val="uk-UA" w:eastAsia="fr-FR"/>
        </w:rPr>
        <w:t>5.  Якщо скарга допущена до провадження</w:t>
      </w:r>
      <w:r w:rsidRPr="009A3F85">
        <w:rPr>
          <w:rFonts w:eastAsia="Times New Roman"/>
          <w:lang w:val="uk-UA" w:eastAsia="fr-FR"/>
        </w:rPr>
        <w:t>...</w:t>
      </w:r>
      <w:r w:rsidRPr="009A3F85">
        <w:rPr>
          <w:rFonts w:eastAsia="Times New Roman"/>
          <w:lang w:val="uk-UA" w:eastAsia="fr-FR"/>
        </w:rPr>
        <w:t>, суд своєю ухвалою може зупинити виконання відповідних рішень.</w:t>
      </w:r>
    </w:p>
    <w:p w:rsidRPr="009A3F85" w:rsidR="00D17581" w:rsidP="009A3F85">
      <w:pPr>
        <w:pStyle w:val="ECHRParaQuote"/>
        <w:rPr>
          <w:rFonts w:eastAsia="Times New Roman"/>
          <w:lang w:val="uk-UA" w:eastAsia="fr-FR"/>
        </w:rPr>
      </w:pPr>
      <w:r w:rsidRPr="009A3F85">
        <w:rPr>
          <w:rFonts w:eastAsia="Times New Roman"/>
          <w:lang w:val="uk-UA" w:eastAsia="fr-FR"/>
        </w:rPr>
        <w:t>6.  До скарги, поданої з підстави, встановленої пунктом 2 статті 354 цього Кодексу, положення частин першої - четвертої цієї статті не застосовуються.»</w:t>
      </w:r>
    </w:p>
    <w:p w:rsidRPr="009A3F85" w:rsidR="00D17581" w:rsidP="009A3F85">
      <w:pPr>
        <w:pStyle w:val="ECHRTitleCentre3"/>
        <w:rPr>
          <w:rFonts w:eastAsia="Times New Roman"/>
          <w:lang w:val="uk-UA" w:eastAsia="fr-FR"/>
        </w:rPr>
      </w:pPr>
      <w:r w:rsidRPr="009A3F85">
        <w:rPr>
          <w:lang w:val="uk-UA"/>
        </w:rPr>
        <w:t>Стаття </w:t>
      </w:r>
      <w:r w:rsidRPr="009A3F85">
        <w:rPr>
          <w:rFonts w:eastAsia="Times New Roman"/>
          <w:lang w:val="uk-UA" w:eastAsia="fr-FR"/>
        </w:rPr>
        <w:t>357.</w:t>
      </w:r>
      <w:r w:rsidRPr="009A3F85">
        <w:rPr>
          <w:rFonts w:eastAsia="Times New Roman"/>
          <w:szCs w:val="24"/>
          <w:lang w:val="uk-UA" w:eastAsia="fr-FR"/>
        </w:rPr>
        <w:t xml:space="preserve"> </w:t>
      </w:r>
      <w:r w:rsidRPr="009A3F85">
        <w:rPr>
          <w:rFonts w:eastAsia="Times New Roman"/>
          <w:lang w:val="uk-UA" w:eastAsia="fr-FR"/>
        </w:rPr>
        <w:t>Порядок провадження у зв</w:t>
      </w:r>
      <w:r w:rsidRPr="009A3F85" w:rsidR="009A3F85">
        <w:rPr>
          <w:rFonts w:eastAsia="Times New Roman"/>
          <w:lang w:val="uk-UA" w:eastAsia="fr-FR"/>
        </w:rPr>
        <w:t>’</w:t>
      </w:r>
      <w:r w:rsidRPr="009A3F85">
        <w:rPr>
          <w:rFonts w:eastAsia="Times New Roman"/>
          <w:lang w:val="uk-UA" w:eastAsia="fr-FR"/>
        </w:rPr>
        <w:t>язку з винятковими обставинами</w:t>
      </w:r>
    </w:p>
    <w:p w:rsidRPr="009A3F85" w:rsidR="009A3F85" w:rsidP="009A3F85">
      <w:pPr>
        <w:pStyle w:val="ECHRParaQuote"/>
        <w:spacing w:before="0" w:after="0"/>
        <w:rPr>
          <w:rFonts w:eastAsia="Times New Roman"/>
          <w:lang w:val="uk-UA" w:eastAsia="fr-FR"/>
        </w:rPr>
      </w:pPr>
      <w:r w:rsidRPr="009A3F85">
        <w:rPr>
          <w:rFonts w:eastAsia="Times New Roman"/>
          <w:lang w:val="uk-UA" w:eastAsia="fr-FR"/>
        </w:rPr>
        <w:t>«1.  1. Розгляд справи у зв</w:t>
      </w:r>
      <w:r w:rsidRPr="009A3F85">
        <w:rPr>
          <w:rFonts w:eastAsia="Times New Roman"/>
          <w:lang w:val="uk-UA" w:eastAsia="fr-FR"/>
        </w:rPr>
        <w:t>’</w:t>
      </w:r>
      <w:r w:rsidRPr="009A3F85">
        <w:rPr>
          <w:rFonts w:eastAsia="Times New Roman"/>
          <w:lang w:val="uk-UA" w:eastAsia="fr-FR"/>
        </w:rPr>
        <w:t>язку з винятковими обставинами є різновидом касаційного провадження.</w:t>
      </w:r>
    </w:p>
    <w:p w:rsidRPr="009A3F85" w:rsidR="009A3F85" w:rsidP="009A3F85">
      <w:pPr>
        <w:pStyle w:val="ECHRParaQuote"/>
        <w:rPr>
          <w:rFonts w:eastAsia="Times New Roman"/>
          <w:lang w:val="uk-UA" w:eastAsia="fr-FR"/>
        </w:rPr>
      </w:pPr>
      <w:r w:rsidRPr="009A3F85">
        <w:rPr>
          <w:rFonts w:eastAsia="Times New Roman"/>
          <w:lang w:val="uk-UA" w:eastAsia="fr-FR"/>
        </w:rPr>
        <w:t>2. Справа в порядку провадження у зв</w:t>
      </w:r>
      <w:r w:rsidRPr="009A3F85">
        <w:rPr>
          <w:rFonts w:eastAsia="Times New Roman"/>
          <w:lang w:val="uk-UA" w:eastAsia="fr-FR"/>
        </w:rPr>
        <w:t>’</w:t>
      </w:r>
      <w:r w:rsidRPr="009A3F85">
        <w:rPr>
          <w:rFonts w:eastAsia="Times New Roman"/>
          <w:lang w:val="uk-UA" w:eastAsia="fr-FR"/>
        </w:rPr>
        <w:t>язку з винятковими обставинами розглядається колегією суддів Судової палати у цивільних справах Верховного Суду України за наявності не менш як двох третин її чисельності</w:t>
      </w:r>
      <w:r w:rsidRPr="009A3F85">
        <w:rPr>
          <w:rFonts w:eastAsia="Times New Roman"/>
          <w:lang w:val="uk-UA" w:eastAsia="fr-FR"/>
        </w:rPr>
        <w:t>...</w:t>
      </w:r>
    </w:p>
    <w:p w:rsidRPr="009A3F85" w:rsidR="00D17581" w:rsidP="009A3F85">
      <w:pPr>
        <w:pStyle w:val="ECHRParaQuote"/>
        <w:rPr>
          <w:rFonts w:eastAsia="Times New Roman"/>
          <w:lang w:val="uk-UA" w:eastAsia="fr-FR"/>
        </w:rPr>
      </w:pPr>
      <w:r w:rsidRPr="009A3F85">
        <w:rPr>
          <w:rFonts w:eastAsia="Times New Roman"/>
          <w:lang w:val="uk-UA" w:eastAsia="fr-FR"/>
        </w:rPr>
        <w:t>...</w:t>
      </w:r>
    </w:p>
    <w:p w:rsidRPr="009A3F85" w:rsidR="00D17581" w:rsidP="009A3F85">
      <w:pPr>
        <w:pStyle w:val="ECHRParaQuote"/>
        <w:rPr>
          <w:rFonts w:eastAsia="Times New Roman"/>
          <w:lang w:val="uk-UA" w:eastAsia="fr-FR"/>
        </w:rPr>
      </w:pPr>
      <w:r w:rsidRPr="009A3F85">
        <w:rPr>
          <w:rFonts w:eastAsia="Times New Roman"/>
          <w:lang w:val="uk-UA" w:eastAsia="fr-FR"/>
        </w:rPr>
        <w:t>4.  Провадження у зв</w:t>
      </w:r>
      <w:r w:rsidRPr="009A3F85" w:rsidR="009A3F85">
        <w:rPr>
          <w:rFonts w:eastAsia="Times New Roman"/>
          <w:lang w:val="uk-UA" w:eastAsia="fr-FR"/>
        </w:rPr>
        <w:t>’</w:t>
      </w:r>
      <w:r w:rsidRPr="009A3F85">
        <w:rPr>
          <w:rFonts w:eastAsia="Times New Roman"/>
          <w:lang w:val="uk-UA" w:eastAsia="fr-FR"/>
        </w:rPr>
        <w:t>язку з винятковими обставинами здійснюється за правилами, встановленими цим Кодексом для касаційного провадження</w:t>
      </w:r>
      <w:r w:rsidRPr="009A3F85" w:rsidR="009A3F85">
        <w:rPr>
          <w:rFonts w:eastAsia="Times New Roman"/>
          <w:lang w:val="uk-UA" w:eastAsia="fr-FR"/>
        </w:rPr>
        <w:t>...</w:t>
      </w:r>
      <w:r w:rsidRPr="009A3F85">
        <w:rPr>
          <w:rFonts w:eastAsia="Times New Roman"/>
          <w:lang w:val="uk-UA" w:eastAsia="fr-FR"/>
        </w:rPr>
        <w:t>»</w:t>
      </w:r>
    </w:p>
    <w:p w:rsidRPr="009A3F85" w:rsidR="00D17581" w:rsidP="009A3F85">
      <w:pPr>
        <w:pStyle w:val="ECHRTitleCentre3"/>
        <w:rPr>
          <w:rFonts w:eastAsia="Times New Roman"/>
          <w:lang w:val="uk-UA" w:eastAsia="fr-FR"/>
        </w:rPr>
      </w:pPr>
      <w:r w:rsidRPr="009A3F85">
        <w:rPr>
          <w:lang w:val="uk-UA"/>
        </w:rPr>
        <w:t>Стаття </w:t>
      </w:r>
      <w:r w:rsidRPr="009A3F85">
        <w:rPr>
          <w:rFonts w:eastAsia="Times New Roman"/>
          <w:lang w:val="uk-UA" w:eastAsia="fr-FR"/>
        </w:rPr>
        <w:t>358.</w:t>
      </w:r>
      <w:r w:rsidRPr="009A3F85">
        <w:rPr>
          <w:rFonts w:eastAsia="Times New Roman"/>
          <w:szCs w:val="24"/>
          <w:lang w:val="uk-UA" w:eastAsia="fr-FR"/>
        </w:rPr>
        <w:t xml:space="preserve"> </w:t>
      </w:r>
      <w:r w:rsidRPr="009A3F85">
        <w:rPr>
          <w:rFonts w:eastAsia="Times New Roman"/>
          <w:lang w:val="uk-UA" w:eastAsia="fr-FR"/>
        </w:rPr>
        <w:t>Повноваження Верховного Суду України при розгляді справи у зв</w:t>
      </w:r>
      <w:r w:rsidRPr="009A3F85" w:rsidR="009A3F85">
        <w:rPr>
          <w:rFonts w:eastAsia="Times New Roman"/>
          <w:lang w:val="uk-UA" w:eastAsia="fr-FR"/>
        </w:rPr>
        <w:t>’</w:t>
      </w:r>
      <w:r w:rsidRPr="009A3F85">
        <w:rPr>
          <w:rFonts w:eastAsia="Times New Roman"/>
          <w:lang w:val="uk-UA" w:eastAsia="fr-FR"/>
        </w:rPr>
        <w:t>язку з винятковими обставинами</w:t>
      </w:r>
    </w:p>
    <w:p w:rsidRPr="009A3F85" w:rsidR="009A3F85" w:rsidP="009A3F85">
      <w:pPr>
        <w:pStyle w:val="ECHRParaQuote"/>
        <w:rPr>
          <w:rFonts w:eastAsia="Times New Roman"/>
          <w:lang w:val="uk-UA" w:eastAsia="fr-FR"/>
        </w:rPr>
      </w:pPr>
      <w:r w:rsidRPr="009A3F85">
        <w:rPr>
          <w:rFonts w:eastAsia="Times New Roman"/>
          <w:lang w:val="uk-UA" w:eastAsia="fr-FR"/>
        </w:rPr>
        <w:t>«1.  Розглядаючи справу в порядку провадження у зв</w:t>
      </w:r>
      <w:r w:rsidRPr="009A3F85">
        <w:rPr>
          <w:rFonts w:eastAsia="Times New Roman"/>
          <w:lang w:val="uk-UA" w:eastAsia="fr-FR"/>
        </w:rPr>
        <w:t>’</w:t>
      </w:r>
      <w:r w:rsidRPr="009A3F85">
        <w:rPr>
          <w:rFonts w:eastAsia="Times New Roman"/>
          <w:lang w:val="uk-UA" w:eastAsia="fr-FR"/>
        </w:rPr>
        <w:t>язку з винятковими обставинами, Верховний Суд України має право:</w:t>
      </w:r>
    </w:p>
    <w:p w:rsidRPr="009A3F85" w:rsidR="00D17581" w:rsidP="009A3F85">
      <w:pPr>
        <w:pStyle w:val="ECHRParaQuote"/>
        <w:rPr>
          <w:rFonts w:eastAsia="Times New Roman"/>
          <w:lang w:val="uk-UA" w:eastAsia="fr-FR"/>
        </w:rPr>
      </w:pPr>
      <w:r w:rsidRPr="009A3F85">
        <w:rPr>
          <w:rFonts w:eastAsia="Times New Roman"/>
          <w:lang w:val="uk-UA" w:eastAsia="fr-FR"/>
        </w:rPr>
        <w:t>1)  постановити ухвалу про відхилення скарги і залишення рішення, ухвали без змін...;</w:t>
      </w:r>
    </w:p>
    <w:p w:rsidRPr="009A3F85" w:rsidR="00D17581" w:rsidP="009A3F85">
      <w:pPr>
        <w:pStyle w:val="ECHRParaQuote"/>
        <w:rPr>
          <w:rFonts w:eastAsia="Times New Roman"/>
          <w:lang w:val="uk-UA" w:eastAsia="fr-FR"/>
        </w:rPr>
      </w:pPr>
      <w:r w:rsidRPr="009A3F85">
        <w:rPr>
          <w:rFonts w:eastAsia="Times New Roman"/>
          <w:lang w:val="uk-UA" w:eastAsia="fr-FR"/>
        </w:rPr>
        <w:t>2)  постановити ухвалу про повне або часткове скасування судового рішення і направити справу відповідно на новий розгляд у суд першої, апеляційної або касаційної інстанції;</w:t>
      </w:r>
    </w:p>
    <w:p w:rsidRPr="009A3F85" w:rsidR="00D17581" w:rsidP="009A3F85">
      <w:pPr>
        <w:pStyle w:val="ECHRParaQuote"/>
        <w:rPr>
          <w:rFonts w:eastAsia="Times New Roman"/>
          <w:lang w:val="uk-UA" w:eastAsia="fr-FR"/>
        </w:rPr>
      </w:pPr>
      <w:r w:rsidRPr="009A3F85">
        <w:rPr>
          <w:rFonts w:eastAsia="Times New Roman"/>
          <w:lang w:val="uk-UA" w:eastAsia="fr-FR"/>
        </w:rPr>
        <w:t>3)  постановити ухвалу про скасування судового рішення і залишити в силі судове рішення, що було помилково скасовано судом апеляційної або касаційної інстанції;</w:t>
      </w:r>
    </w:p>
    <w:p w:rsidRPr="009A3F85" w:rsidR="00D17581" w:rsidP="009A3F85">
      <w:pPr>
        <w:pStyle w:val="ECHRParaQuote"/>
        <w:rPr>
          <w:rFonts w:eastAsia="Times New Roman"/>
          <w:lang w:val="uk-UA" w:eastAsia="fr-FR"/>
        </w:rPr>
      </w:pPr>
      <w:r w:rsidRPr="009A3F85">
        <w:rPr>
          <w:rFonts w:eastAsia="Times New Roman"/>
          <w:lang w:val="uk-UA" w:eastAsia="fr-FR"/>
        </w:rPr>
        <w:t>4)  постановити ухвалу про скасування судових рішень і закрити провадження в справі</w:t>
      </w:r>
      <w:r w:rsidRPr="009A3F85" w:rsidR="009A3F85">
        <w:rPr>
          <w:rFonts w:eastAsia="Times New Roman"/>
          <w:lang w:val="uk-UA" w:eastAsia="fr-FR"/>
        </w:rPr>
        <w:t>...</w:t>
      </w:r>
      <w:r w:rsidRPr="009A3F85">
        <w:rPr>
          <w:rFonts w:eastAsia="Times New Roman"/>
          <w:lang w:val="uk-UA" w:eastAsia="fr-FR"/>
        </w:rPr>
        <w:t>;</w:t>
      </w:r>
    </w:p>
    <w:p w:rsidRPr="009A3F85" w:rsidR="00D17581" w:rsidP="009A3F85">
      <w:pPr>
        <w:pStyle w:val="ECHRParaQuote"/>
        <w:rPr>
          <w:rFonts w:eastAsia="Times New Roman"/>
          <w:lang w:val="uk-UA" w:eastAsia="fr-FR"/>
        </w:rPr>
      </w:pPr>
      <w:r w:rsidRPr="009A3F85">
        <w:rPr>
          <w:rFonts w:eastAsia="Times New Roman"/>
          <w:lang w:val="uk-UA" w:eastAsia="fr-FR"/>
        </w:rPr>
        <w:t>5)  скасувати судові рішення і ухвалити нове рішення по суті справи або змінити рішення</w:t>
      </w:r>
      <w:r w:rsidRPr="009A3F85" w:rsidR="009A3F85">
        <w:rPr>
          <w:rFonts w:eastAsia="Times New Roman"/>
          <w:lang w:val="uk-UA" w:eastAsia="fr-FR"/>
        </w:rPr>
        <w:t>...</w:t>
      </w:r>
      <w:r w:rsidRPr="009A3F85">
        <w:rPr>
          <w:rFonts w:eastAsia="Times New Roman"/>
          <w:lang w:val="uk-UA" w:eastAsia="fr-FR"/>
        </w:rPr>
        <w:t>»</w:t>
      </w:r>
    </w:p>
    <w:p w:rsidRPr="009A3F85" w:rsidR="00D17581" w:rsidP="009A3F85">
      <w:pPr>
        <w:pStyle w:val="ECHRTitleCentre3"/>
        <w:rPr>
          <w:rFonts w:eastAsia="Times New Roman"/>
          <w:lang w:val="uk-UA" w:eastAsia="fr-FR"/>
        </w:rPr>
      </w:pPr>
      <w:r w:rsidRPr="009A3F85">
        <w:rPr>
          <w:lang w:val="uk-UA"/>
        </w:rPr>
        <w:t>Стаття </w:t>
      </w:r>
      <w:r w:rsidRPr="009A3F85">
        <w:rPr>
          <w:rFonts w:eastAsia="Times New Roman"/>
          <w:lang w:val="uk-UA" w:eastAsia="fr-FR"/>
        </w:rPr>
        <w:t>360. Законна сила рішень і ухвал Верховного Суду України</w:t>
      </w:r>
    </w:p>
    <w:p w:rsidRPr="009A3F85" w:rsidR="00D17581" w:rsidP="009A3F85">
      <w:pPr>
        <w:pStyle w:val="ECHRParaQuote"/>
        <w:rPr>
          <w:rFonts w:eastAsia="Times New Roman"/>
          <w:lang w:val="uk-UA" w:eastAsia="fr-FR"/>
        </w:rPr>
      </w:pPr>
      <w:r w:rsidRPr="009A3F85">
        <w:rPr>
          <w:rFonts w:eastAsia="Times New Roman"/>
          <w:lang w:val="uk-UA" w:eastAsia="fr-FR"/>
        </w:rPr>
        <w:t>“1.  Ухвалені Верховним Судом України рішення або постановлені ним ухвали набирають законної сили з моменту їх проголошення і оскарженню не підлягають.»</w:t>
      </w:r>
    </w:p>
    <w:p w:rsidRPr="009A3F85" w:rsidR="00D17581" w:rsidP="009A3F85">
      <w:pPr>
        <w:pStyle w:val="ECHRHeading2"/>
        <w:rPr>
          <w:rFonts w:eastAsia="Times New Roman"/>
          <w:lang w:val="uk-UA" w:eastAsia="fr-FR"/>
        </w:rPr>
      </w:pPr>
      <w:r w:rsidRPr="009A3F85">
        <w:rPr>
          <w:rFonts w:eastAsia="Times New Roman"/>
          <w:lang w:val="uk-UA" w:eastAsia="fr-FR"/>
        </w:rPr>
        <w:t xml:space="preserve">B.  Закон України «Про виконання рішень та застосування практики Європейського суду з прав людини» від </w:t>
      </w:r>
      <w:r w:rsidRPr="009A3F85" w:rsidR="004D1D01">
        <w:rPr>
          <w:rFonts w:eastAsia="Times New Roman"/>
          <w:lang w:val="uk-UA" w:eastAsia="fr-FR"/>
        </w:rPr>
        <w:t>2</w:t>
      </w:r>
      <w:r w:rsidRPr="009A3F85">
        <w:rPr>
          <w:rFonts w:eastAsia="Times New Roman"/>
          <w:lang w:val="uk-UA" w:eastAsia="fr-FR"/>
        </w:rPr>
        <w:t>3 лютого 2006 року</w:t>
      </w:r>
    </w:p>
    <w:p w:rsidRPr="009A3F85" w:rsidR="009A3F85" w:rsidP="009A3F85">
      <w:pPr>
        <w:pStyle w:val="ECHRPara"/>
        <w:rPr>
          <w:rFonts w:eastAsia="Times New Roman"/>
          <w:lang w:val="uk-UA" w:eastAsia="fr-FR"/>
        </w:rPr>
      </w:pPr>
      <w:r w:rsidRPr="009A3F85">
        <w:rPr>
          <w:rFonts w:eastAsia="Times New Roman"/>
          <w:lang w:val="uk-UA" w:eastAsia="fr-FR"/>
        </w:rPr>
        <w:fldChar w:fldCharType="begin"/>
      </w:r>
      <w:r w:rsidRPr="009A3F85">
        <w:rPr>
          <w:rFonts w:eastAsia="Times New Roman"/>
          <w:lang w:val="uk-UA" w:eastAsia="fr-FR"/>
        </w:rPr>
        <w:instrText xml:space="preserve"> SEQ level0 \*arabic </w:instrText>
      </w:r>
      <w:r w:rsidRPr="009A3F85">
        <w:rPr>
          <w:rFonts w:eastAsia="Times New Roman"/>
          <w:lang w:val="uk-UA" w:eastAsia="fr-FR"/>
        </w:rPr>
        <w:fldChar w:fldCharType="separate"/>
      </w:r>
      <w:r w:rsidRPr="009A3F85">
        <w:rPr>
          <w:rFonts w:eastAsia="Times New Roman"/>
          <w:noProof/>
          <w:lang w:val="uk-UA" w:eastAsia="fr-FR"/>
        </w:rPr>
        <w:t>25</w:t>
      </w:r>
      <w:r w:rsidRPr="009A3F85">
        <w:rPr>
          <w:rFonts w:eastAsia="Times New Roman"/>
          <w:lang w:val="uk-UA" w:eastAsia="fr-FR"/>
        </w:rPr>
        <w:fldChar w:fldCharType="end"/>
      </w:r>
      <w:r w:rsidRPr="009A3F85">
        <w:rPr>
          <w:rFonts w:eastAsia="Times New Roman"/>
          <w:lang w:val="uk-UA" w:eastAsia="fr-FR"/>
        </w:rPr>
        <w:t>.  У відповідних положеннях Закону у редакції, чинній станом на час подій передбачалося таке:</w:t>
      </w:r>
    </w:p>
    <w:p w:rsidRPr="009A3F85" w:rsidR="009A3F85" w:rsidP="009A3F85">
      <w:pPr>
        <w:pStyle w:val="ECHRParaQuote"/>
        <w:rPr>
          <w:rFonts w:eastAsia="Times New Roman"/>
          <w:lang w:val="uk-UA" w:eastAsia="fr-FR"/>
        </w:rPr>
      </w:pPr>
      <w:r w:rsidRPr="009A3F85">
        <w:rPr>
          <w:rFonts w:eastAsia="Times New Roman"/>
          <w:lang w:val="uk-UA" w:eastAsia="fr-FR"/>
        </w:rPr>
        <w:t>«Цей Закон регулює відносини, що виникають у зв</w:t>
      </w:r>
      <w:r w:rsidRPr="009A3F85">
        <w:rPr>
          <w:rFonts w:eastAsia="Times New Roman"/>
          <w:lang w:val="uk-UA" w:eastAsia="fr-FR"/>
        </w:rPr>
        <w:t>’</w:t>
      </w:r>
      <w:r w:rsidRPr="009A3F85">
        <w:rPr>
          <w:rFonts w:eastAsia="Times New Roman"/>
          <w:lang w:val="uk-UA" w:eastAsia="fr-FR"/>
        </w:rPr>
        <w:t>язку з обов</w:t>
      </w:r>
      <w:r w:rsidRPr="009A3F85">
        <w:rPr>
          <w:rFonts w:eastAsia="Times New Roman"/>
          <w:lang w:val="uk-UA" w:eastAsia="fr-FR"/>
        </w:rPr>
        <w:t>’</w:t>
      </w:r>
      <w:r w:rsidRPr="009A3F85">
        <w:rPr>
          <w:rFonts w:eastAsia="Times New Roman"/>
          <w:lang w:val="uk-UA" w:eastAsia="fr-FR"/>
        </w:rPr>
        <w:t>язком держави виконати рішення Європейського суду з прав людини у справах проти України; з необхідністю усунення причин порушення Україною Конвенції про захист прав людини і основоположних свобод і протоколів до неї; з впровадженням в українське судочинство та адміністративну практику європейських стандартів прав людини; зі створенням передумов для зменшення числа заяв до Європейського суду з прав людини проти України.</w:t>
      </w:r>
    </w:p>
    <w:p w:rsidRPr="009A3F85" w:rsidR="00D17581" w:rsidP="009A3F85">
      <w:pPr>
        <w:pStyle w:val="ECHRTitleCentre3"/>
        <w:rPr>
          <w:rFonts w:eastAsia="Times New Roman"/>
          <w:lang w:val="uk-UA" w:eastAsia="fr-FR"/>
        </w:rPr>
      </w:pPr>
      <w:r w:rsidRPr="009A3F85">
        <w:rPr>
          <w:rFonts w:eastAsia="Times New Roman"/>
          <w:lang w:val="uk-UA" w:eastAsia="fr-FR"/>
        </w:rPr>
        <w:t>Стаття 1.</w:t>
      </w:r>
      <w:r w:rsidRPr="009A3F85">
        <w:rPr>
          <w:rFonts w:eastAsia="Times New Roman"/>
          <w:szCs w:val="24"/>
          <w:lang w:val="uk-UA" w:eastAsia="fr-FR"/>
        </w:rPr>
        <w:t xml:space="preserve"> </w:t>
      </w:r>
      <w:r w:rsidRPr="009A3F85">
        <w:rPr>
          <w:rFonts w:eastAsia="Times New Roman"/>
          <w:lang w:val="uk-UA" w:eastAsia="fr-FR"/>
        </w:rPr>
        <w:t>Визначення термінів</w:t>
      </w:r>
    </w:p>
    <w:p w:rsidRPr="009A3F85" w:rsidR="00D17581" w:rsidP="009A3F85">
      <w:pPr>
        <w:pStyle w:val="ECHRParaQuote"/>
        <w:rPr>
          <w:rFonts w:eastAsia="Times New Roman"/>
          <w:lang w:val="uk-UA" w:eastAsia="fr-FR"/>
        </w:rPr>
      </w:pPr>
      <w:r w:rsidRPr="009A3F85">
        <w:rPr>
          <w:rFonts w:eastAsia="Times New Roman"/>
          <w:lang w:val="uk-UA" w:eastAsia="fr-FR"/>
        </w:rPr>
        <w:t>«1.  У цьому Законі терміни вживаються в такому значенні:</w:t>
      </w:r>
    </w:p>
    <w:p w:rsidRPr="009A3F85" w:rsidR="00D17581" w:rsidP="009A3F85">
      <w:pPr>
        <w:pStyle w:val="ECHRParaQuote"/>
        <w:rPr>
          <w:rFonts w:eastAsia="Times New Roman"/>
          <w:lang w:val="uk-UA" w:eastAsia="fr-FR"/>
        </w:rPr>
      </w:pPr>
      <w:r w:rsidRPr="009A3F85">
        <w:rPr>
          <w:rFonts w:eastAsia="Times New Roman"/>
          <w:lang w:val="uk-UA" w:eastAsia="fr-FR"/>
        </w:rPr>
        <w:t>...</w:t>
      </w:r>
    </w:p>
    <w:p w:rsidRPr="009A3F85" w:rsidR="009A3F85" w:rsidP="009A3F85">
      <w:pPr>
        <w:pStyle w:val="ECHRParaQuote"/>
        <w:rPr>
          <w:rFonts w:eastAsia="Times New Roman"/>
          <w:lang w:val="uk-UA" w:eastAsia="fr-FR"/>
        </w:rPr>
      </w:pPr>
      <w:r w:rsidRPr="009A3F85">
        <w:rPr>
          <w:rFonts w:eastAsia="Times New Roman"/>
          <w:i/>
          <w:lang w:val="uk-UA" w:eastAsia="fr-FR"/>
        </w:rPr>
        <w:t xml:space="preserve">Конвенція - </w:t>
      </w:r>
      <w:r w:rsidRPr="009A3F85">
        <w:rPr>
          <w:rFonts w:eastAsia="Times New Roman"/>
          <w:lang w:val="uk-UA" w:eastAsia="fr-FR"/>
        </w:rPr>
        <w:t>Конвенція про захист прав людини і основоположних свобод 1950 року і протоколи до неї, згоду на обов</w:t>
      </w:r>
      <w:r w:rsidRPr="009A3F85">
        <w:rPr>
          <w:rFonts w:eastAsia="Times New Roman"/>
          <w:lang w:val="uk-UA" w:eastAsia="fr-FR"/>
        </w:rPr>
        <w:t>’</w:t>
      </w:r>
      <w:r w:rsidRPr="009A3F85">
        <w:rPr>
          <w:rFonts w:eastAsia="Times New Roman"/>
          <w:lang w:val="uk-UA" w:eastAsia="fr-FR"/>
        </w:rPr>
        <w:t>язковість яких надано Верховною Радою України;</w:t>
      </w:r>
    </w:p>
    <w:p w:rsidRPr="009A3F85" w:rsidR="009A3F85" w:rsidP="009A3F85">
      <w:pPr>
        <w:pStyle w:val="ECHRParaQuote"/>
        <w:rPr>
          <w:rFonts w:eastAsia="Times New Roman"/>
          <w:lang w:val="uk-UA" w:eastAsia="fr-FR"/>
        </w:rPr>
      </w:pPr>
      <w:r w:rsidRPr="009A3F85">
        <w:rPr>
          <w:rFonts w:eastAsia="Times New Roman"/>
          <w:i/>
          <w:lang w:val="uk-UA" w:eastAsia="fr-FR"/>
        </w:rPr>
        <w:t xml:space="preserve">Суд - </w:t>
      </w:r>
      <w:r w:rsidRPr="009A3F85">
        <w:rPr>
          <w:rFonts w:eastAsia="Times New Roman"/>
          <w:lang w:val="uk-UA" w:eastAsia="fr-FR"/>
        </w:rPr>
        <w:t>Європейський суд з прав людини;</w:t>
      </w:r>
    </w:p>
    <w:p w:rsidRPr="009A3F85" w:rsidR="00D17581" w:rsidP="009A3F85">
      <w:pPr>
        <w:pStyle w:val="ECHRParaQuote"/>
        <w:rPr>
          <w:rFonts w:eastAsia="Times New Roman"/>
          <w:lang w:val="uk-UA" w:eastAsia="fr-FR"/>
        </w:rPr>
      </w:pPr>
      <w:r w:rsidRPr="009A3F85">
        <w:rPr>
          <w:rFonts w:eastAsia="Times New Roman"/>
          <w:lang w:val="uk-UA" w:eastAsia="fr-FR"/>
        </w:rPr>
        <w:t>...</w:t>
      </w:r>
    </w:p>
    <w:p w:rsidRPr="009A3F85" w:rsidR="009A3F85" w:rsidP="009A3F85">
      <w:pPr>
        <w:pStyle w:val="ECHRParaQuote"/>
        <w:rPr>
          <w:rFonts w:eastAsia="Times New Roman"/>
          <w:lang w:val="uk-UA" w:eastAsia="fr-FR"/>
        </w:rPr>
      </w:pPr>
      <w:r w:rsidRPr="009A3F85">
        <w:rPr>
          <w:rFonts w:eastAsia="Times New Roman"/>
          <w:i/>
          <w:lang w:val="uk-UA" w:eastAsia="fr-FR"/>
        </w:rPr>
        <w:t xml:space="preserve">Стягувач </w:t>
      </w:r>
      <w:r w:rsidRPr="009A3F85">
        <w:rPr>
          <w:rFonts w:eastAsia="Times New Roman"/>
          <w:lang w:val="uk-UA" w:eastAsia="fr-FR"/>
        </w:rPr>
        <w:t>- а) заявник до Європейського суду з прав людини у справі проти України, на користь якого постановлено рішення Європейського суду з прав людини або з яким досягнуто дружнього врегулювання, чи його представник, чи його правонаступник</w:t>
      </w:r>
      <w:r w:rsidRPr="009A3F85">
        <w:rPr>
          <w:rFonts w:eastAsia="Times New Roman"/>
          <w:lang w:val="uk-UA" w:eastAsia="fr-FR"/>
        </w:rPr>
        <w:t>...</w:t>
      </w:r>
    </w:p>
    <w:p w:rsidRPr="009A3F85" w:rsidR="00D17581" w:rsidP="009A3F85">
      <w:pPr>
        <w:pStyle w:val="ECHRParaQuote"/>
        <w:rPr>
          <w:rFonts w:eastAsia="Times New Roman"/>
          <w:lang w:val="uk-UA" w:eastAsia="fr-FR"/>
        </w:rPr>
      </w:pPr>
      <w:r w:rsidRPr="009A3F85">
        <w:rPr>
          <w:rFonts w:eastAsia="Times New Roman"/>
          <w:i/>
          <w:lang w:val="uk-UA" w:eastAsia="fr-FR"/>
        </w:rPr>
        <w:t xml:space="preserve">виконання Рішення </w:t>
      </w:r>
      <w:r w:rsidRPr="009A3F85">
        <w:rPr>
          <w:rFonts w:eastAsia="Times New Roman"/>
          <w:lang w:val="uk-UA" w:eastAsia="fr-FR"/>
        </w:rPr>
        <w:t>- а) виплата Стягувачеві відшкодування та вжиття додаткових заходів індивідуального характеру; б) вжиття заходів загального характеру;</w:t>
      </w:r>
    </w:p>
    <w:p w:rsidRPr="009A3F85" w:rsidR="00D17581" w:rsidP="009A3F85">
      <w:pPr>
        <w:pStyle w:val="ECHRParaQuote"/>
        <w:rPr>
          <w:rFonts w:eastAsia="Times New Roman"/>
          <w:lang w:val="uk-UA" w:eastAsia="fr-FR"/>
        </w:rPr>
      </w:pPr>
      <w:r w:rsidRPr="009A3F85">
        <w:rPr>
          <w:rFonts w:eastAsia="Times New Roman"/>
          <w:lang w:val="uk-UA" w:eastAsia="fr-FR"/>
        </w:rPr>
        <w:t>...»</w:t>
      </w:r>
    </w:p>
    <w:p w:rsidRPr="009A3F85" w:rsidR="00D17581" w:rsidP="009A3F85">
      <w:pPr>
        <w:pStyle w:val="ECHRTitleCentre3"/>
        <w:rPr>
          <w:rFonts w:eastAsia="Times New Roman"/>
          <w:lang w:val="uk-UA" w:eastAsia="fr-FR"/>
        </w:rPr>
      </w:pPr>
      <w:r w:rsidRPr="009A3F85">
        <w:rPr>
          <w:rFonts w:eastAsia="Times New Roman"/>
          <w:lang w:val="uk-UA" w:eastAsia="fr-FR"/>
        </w:rPr>
        <w:t>Стаття 2.</w:t>
      </w:r>
      <w:r w:rsidRPr="009A3F85">
        <w:rPr>
          <w:rFonts w:eastAsia="Times New Roman"/>
          <w:szCs w:val="24"/>
          <w:lang w:val="uk-UA" w:eastAsia="fr-FR"/>
        </w:rPr>
        <w:t xml:space="preserve"> </w:t>
      </w:r>
      <w:r w:rsidRPr="009A3F85">
        <w:rPr>
          <w:rFonts w:eastAsia="Times New Roman"/>
          <w:lang w:val="uk-UA" w:eastAsia="fr-FR"/>
        </w:rPr>
        <w:t>Виконання Рішення</w:t>
      </w:r>
    </w:p>
    <w:p w:rsidRPr="009A3F85" w:rsidR="00D17581" w:rsidP="009A3F85">
      <w:pPr>
        <w:pStyle w:val="ECHRParaQuote"/>
        <w:rPr>
          <w:rFonts w:eastAsia="Times New Roman"/>
          <w:lang w:val="uk-UA" w:eastAsia="fr-FR"/>
        </w:rPr>
      </w:pPr>
      <w:r w:rsidRPr="009A3F85">
        <w:rPr>
          <w:rFonts w:eastAsia="Times New Roman"/>
          <w:lang w:val="uk-UA" w:eastAsia="fr-FR"/>
        </w:rPr>
        <w:t>“1.  Рішення є обов</w:t>
      </w:r>
      <w:r w:rsidRPr="009A3F85" w:rsidR="009A3F85">
        <w:rPr>
          <w:rFonts w:eastAsia="Times New Roman"/>
          <w:lang w:val="uk-UA" w:eastAsia="fr-FR"/>
        </w:rPr>
        <w:t>’</w:t>
      </w:r>
      <w:r w:rsidRPr="009A3F85">
        <w:rPr>
          <w:rFonts w:eastAsia="Times New Roman"/>
          <w:lang w:val="uk-UA" w:eastAsia="fr-FR"/>
        </w:rPr>
        <w:t>язковим для виконання Україною відповідно до статті 46 Конвенції.</w:t>
      </w:r>
    </w:p>
    <w:p w:rsidRPr="009A3F85" w:rsidR="00D17581" w:rsidP="009A3F85">
      <w:pPr>
        <w:pStyle w:val="ECHRParaQuote"/>
        <w:rPr>
          <w:rFonts w:eastAsia="Times New Roman"/>
          <w:lang w:val="uk-UA" w:eastAsia="fr-FR"/>
        </w:rPr>
      </w:pPr>
      <w:r w:rsidRPr="009A3F85">
        <w:rPr>
          <w:rFonts w:eastAsia="Times New Roman"/>
          <w:lang w:val="uk-UA" w:eastAsia="fr-FR"/>
        </w:rPr>
        <w:t>2.  Порядок виконання Рішення визначається цим Законом, Законом України "Про виконавче провадження", іншими нормативно-правовими актами з урахуванням особливостей, що передбачені цим Законом.»</w:t>
      </w:r>
    </w:p>
    <w:p w:rsidRPr="009A3F85" w:rsidR="00D17581" w:rsidP="009A3F85">
      <w:pPr>
        <w:pStyle w:val="ECHRTitleCentre3"/>
        <w:rPr>
          <w:rFonts w:eastAsia="Times New Roman"/>
          <w:lang w:val="uk-UA" w:eastAsia="fr-FR"/>
        </w:rPr>
      </w:pPr>
      <w:r w:rsidRPr="009A3F85">
        <w:rPr>
          <w:rFonts w:eastAsia="Times New Roman"/>
          <w:lang w:val="uk-UA" w:eastAsia="fr-FR"/>
        </w:rPr>
        <w:t>Стаття 10.</w:t>
      </w:r>
      <w:r w:rsidRPr="009A3F85">
        <w:rPr>
          <w:rFonts w:eastAsia="Times New Roman"/>
          <w:szCs w:val="24"/>
          <w:lang w:val="uk-UA" w:eastAsia="fr-FR"/>
        </w:rPr>
        <w:t xml:space="preserve"> </w:t>
      </w:r>
      <w:r w:rsidRPr="009A3F85">
        <w:rPr>
          <w:rFonts w:eastAsia="Times New Roman"/>
          <w:lang w:val="uk-UA" w:eastAsia="fr-FR"/>
        </w:rPr>
        <w:t>Додаткові заходи індивідуального характеру</w:t>
      </w:r>
    </w:p>
    <w:p w:rsidRPr="009A3F85" w:rsidR="009A3F85" w:rsidP="009A3F85">
      <w:pPr>
        <w:pStyle w:val="ECHRParaQuote"/>
        <w:rPr>
          <w:rFonts w:eastAsia="Times New Roman"/>
          <w:lang w:val="uk-UA" w:eastAsia="fr-FR"/>
        </w:rPr>
      </w:pPr>
      <w:r w:rsidRPr="009A3F85">
        <w:rPr>
          <w:rFonts w:eastAsia="Times New Roman"/>
          <w:lang w:val="uk-UA" w:eastAsia="fr-FR"/>
        </w:rPr>
        <w:t>«1.  З метою забезпечення відновлення порушених прав Стягувача, крім виплати відшкодування, вживаються додаткові заходи індивідуального характеру.</w:t>
      </w:r>
    </w:p>
    <w:p w:rsidRPr="009A3F85" w:rsidR="009A3F85" w:rsidP="009A3F85">
      <w:pPr>
        <w:pStyle w:val="ECHRParaQuote"/>
        <w:rPr>
          <w:rFonts w:eastAsia="Times New Roman"/>
          <w:lang w:val="uk-UA" w:eastAsia="fr-FR"/>
        </w:rPr>
      </w:pPr>
      <w:r w:rsidRPr="009A3F85">
        <w:rPr>
          <w:rFonts w:eastAsia="Times New Roman"/>
          <w:lang w:val="uk-UA" w:eastAsia="fr-FR"/>
        </w:rPr>
        <w:t>2. Додатковими заходами індивідуального характеру є:</w:t>
      </w:r>
    </w:p>
    <w:p w:rsidRPr="009A3F85" w:rsidR="00D17581" w:rsidP="009A3F85">
      <w:pPr>
        <w:pStyle w:val="ECHRParaQuote"/>
        <w:rPr>
          <w:rFonts w:eastAsia="Times New Roman"/>
          <w:lang w:val="uk-UA" w:eastAsia="fr-FR"/>
        </w:rPr>
      </w:pPr>
      <w:r w:rsidRPr="009A3F85">
        <w:rPr>
          <w:rFonts w:eastAsia="Times New Roman"/>
          <w:lang w:val="uk-UA" w:eastAsia="fr-FR"/>
        </w:rPr>
        <w:t>a)  відновлення настільки, наскільки це можливо, попереднього юридичного стану, який Стягувач мав до порушення Конвенції (</w:t>
      </w:r>
      <w:r w:rsidRPr="009A3F85">
        <w:rPr>
          <w:rFonts w:eastAsia="Times New Roman"/>
          <w:i/>
          <w:lang w:val="uk-UA" w:eastAsia="fr-FR"/>
        </w:rPr>
        <w:t>restitutio in integrum</w:t>
      </w:r>
      <w:r w:rsidRPr="009A3F85">
        <w:rPr>
          <w:rFonts w:eastAsia="Times New Roman"/>
          <w:lang w:val="uk-UA" w:eastAsia="fr-FR"/>
        </w:rPr>
        <w:t>);</w:t>
      </w:r>
    </w:p>
    <w:p w:rsidRPr="009A3F85" w:rsidR="00D17581" w:rsidP="009A3F85">
      <w:pPr>
        <w:pStyle w:val="ECHRParaQuote"/>
        <w:rPr>
          <w:rFonts w:eastAsia="Times New Roman"/>
          <w:lang w:val="uk-UA" w:eastAsia="fr-FR"/>
        </w:rPr>
      </w:pPr>
      <w:r w:rsidRPr="009A3F85">
        <w:rPr>
          <w:rFonts w:eastAsia="Times New Roman"/>
          <w:lang w:val="uk-UA" w:eastAsia="fr-FR"/>
        </w:rPr>
        <w:t>...</w:t>
      </w:r>
    </w:p>
    <w:p w:rsidRPr="009A3F85" w:rsidR="00D17581" w:rsidP="009A3F85">
      <w:pPr>
        <w:pStyle w:val="ECHRParaQuote"/>
        <w:rPr>
          <w:rFonts w:eastAsia="Times New Roman"/>
          <w:lang w:val="uk-UA" w:eastAsia="fr-FR"/>
        </w:rPr>
      </w:pPr>
      <w:r w:rsidRPr="009A3F85">
        <w:rPr>
          <w:rFonts w:eastAsia="Times New Roman"/>
          <w:lang w:val="uk-UA" w:eastAsia="fr-FR"/>
        </w:rPr>
        <w:t>3.  Відновлення попереднього юридичного стану Стягувача здійснюється, зокрема, шляхом:</w:t>
      </w:r>
    </w:p>
    <w:p w:rsidRPr="009A3F85" w:rsidR="00D17581" w:rsidP="009A3F85">
      <w:pPr>
        <w:pStyle w:val="ECHRParaQuote"/>
        <w:rPr>
          <w:rFonts w:eastAsia="Times New Roman"/>
          <w:lang w:val="uk-UA" w:eastAsia="fr-FR"/>
        </w:rPr>
      </w:pPr>
      <w:r w:rsidRPr="009A3F85">
        <w:rPr>
          <w:rFonts w:eastAsia="Times New Roman"/>
          <w:lang w:val="uk-UA" w:eastAsia="fr-FR"/>
        </w:rPr>
        <w:t>a)  повторного розгляду справи судом, включаючи відновлення провадження у справі;</w:t>
      </w:r>
    </w:p>
    <w:p w:rsidRPr="009A3F85" w:rsidR="00D17581" w:rsidP="009A3F85">
      <w:pPr>
        <w:pStyle w:val="ECHRParaQuote"/>
        <w:rPr>
          <w:rFonts w:eastAsia="Times New Roman"/>
          <w:lang w:val="uk-UA" w:eastAsia="fr-FR"/>
        </w:rPr>
      </w:pPr>
      <w:r w:rsidRPr="009A3F85">
        <w:rPr>
          <w:rFonts w:eastAsia="Times New Roman"/>
          <w:lang w:val="uk-UA" w:eastAsia="fr-FR"/>
        </w:rPr>
        <w:t>б)  повторного розгляду справи адміністративним органом.»</w:t>
      </w:r>
    </w:p>
    <w:p w:rsidRPr="009A3F85" w:rsidR="00D17581" w:rsidP="009A3F85">
      <w:pPr>
        <w:pStyle w:val="ECHRTitleCentre3"/>
        <w:rPr>
          <w:rFonts w:eastAsia="Times New Roman"/>
          <w:lang w:val="uk-UA" w:eastAsia="fr-FR"/>
        </w:rPr>
      </w:pPr>
      <w:r w:rsidRPr="009A3F85">
        <w:rPr>
          <w:rFonts w:eastAsia="Times New Roman"/>
          <w:lang w:val="uk-UA" w:eastAsia="fr-FR"/>
        </w:rPr>
        <w:t>Стаття 11. Дії Органу представництва щодо вжиття додаткових заходів індивідуального характеру</w:t>
      </w:r>
    </w:p>
    <w:p w:rsidRPr="009A3F85" w:rsidR="00D17581" w:rsidP="009A3F85">
      <w:pPr>
        <w:pStyle w:val="ECHRParaQuote"/>
        <w:rPr>
          <w:rFonts w:eastAsia="Times New Roman"/>
          <w:lang w:val="uk-UA" w:eastAsia="fr-FR"/>
        </w:rPr>
      </w:pPr>
      <w:r w:rsidRPr="009A3F85">
        <w:rPr>
          <w:rFonts w:eastAsia="Times New Roman"/>
          <w:lang w:val="uk-UA" w:eastAsia="fr-FR"/>
        </w:rPr>
        <w:t>“1.  Протягом трьох днів від дня одержання повідомлення про набуття Рішенням статусу остаточного Орган представництва:</w:t>
      </w:r>
    </w:p>
    <w:p w:rsidRPr="009A3F85" w:rsidR="009A3F85" w:rsidP="009A3F85">
      <w:pPr>
        <w:pStyle w:val="ECHRParaQuote"/>
        <w:rPr>
          <w:rFonts w:eastAsia="Times New Roman"/>
          <w:lang w:val="uk-UA" w:eastAsia="fr-FR"/>
        </w:rPr>
      </w:pPr>
      <w:r w:rsidRPr="009A3F85">
        <w:rPr>
          <w:rFonts w:eastAsia="Times New Roman"/>
          <w:lang w:val="uk-UA" w:eastAsia="fr-FR"/>
        </w:rPr>
        <w:t>(a)  надсилає Стягувачеві повідомлення з роз</w:t>
      </w:r>
      <w:r w:rsidRPr="009A3F85">
        <w:rPr>
          <w:rFonts w:eastAsia="Times New Roman"/>
          <w:lang w:val="uk-UA" w:eastAsia="fr-FR"/>
        </w:rPr>
        <w:t>’</w:t>
      </w:r>
      <w:r w:rsidRPr="009A3F85">
        <w:rPr>
          <w:rFonts w:eastAsia="Times New Roman"/>
          <w:lang w:val="uk-UA" w:eastAsia="fr-FR"/>
        </w:rPr>
        <w:t>ясненням його права порушити провадження про перегляд справи та/або про його право на відновлення провадження відповідно до чинного законодавства</w:t>
      </w:r>
      <w:r w:rsidRPr="009A3F85">
        <w:rPr>
          <w:rFonts w:eastAsia="Times New Roman"/>
          <w:lang w:val="uk-UA" w:eastAsia="fr-FR"/>
        </w:rPr>
        <w:t>...</w:t>
      </w:r>
      <w:r w:rsidRPr="009A3F85">
        <w:rPr>
          <w:rFonts w:eastAsia="Times New Roman"/>
          <w:lang w:val="uk-UA" w:eastAsia="fr-FR"/>
        </w:rPr>
        <w:t>»</w:t>
      </w:r>
    </w:p>
    <w:p w:rsidRPr="009A3F85" w:rsidR="009A3F85" w:rsidP="009A3F85">
      <w:pPr>
        <w:pStyle w:val="ECHRHeading1"/>
        <w:rPr>
          <w:rFonts w:eastAsia="Times New Roman"/>
          <w:caps/>
          <w:lang w:val="uk-UA" w:eastAsia="fr-FR"/>
        </w:rPr>
      </w:pPr>
      <w:r w:rsidRPr="009A3F85">
        <w:rPr>
          <w:rFonts w:eastAsia="Times New Roman"/>
          <w:caps/>
          <w:lang w:val="uk-UA" w:eastAsia="fr-FR"/>
        </w:rPr>
        <w:t>III.  ЗАКОНОДАВСТВО ТА ПРАКТИКА ДЕРЖАВ-ЧЛЕНІВ РАДИ ЄВРОПИ</w:t>
      </w:r>
    </w:p>
    <w:p w:rsidRPr="009A3F85" w:rsidR="00D17581" w:rsidP="009A3F85">
      <w:pPr>
        <w:pStyle w:val="ECHRPara"/>
        <w:rPr>
          <w:rFonts w:eastAsia="Times New Roman"/>
          <w:lang w:val="uk-UA" w:eastAsia="fr-FR"/>
        </w:rPr>
      </w:pPr>
      <w:r w:rsidRPr="009A3F85">
        <w:rPr>
          <w:rFonts w:eastAsia="Times New Roman"/>
          <w:lang w:val="uk-UA" w:eastAsia="fr-FR"/>
        </w:rPr>
        <w:fldChar w:fldCharType="begin"/>
      </w:r>
      <w:r w:rsidRPr="009A3F85">
        <w:rPr>
          <w:rFonts w:eastAsia="Times New Roman"/>
          <w:lang w:val="uk-UA" w:eastAsia="fr-FR"/>
        </w:rPr>
        <w:instrText xml:space="preserve"> SEQ level0 \*arabic </w:instrText>
      </w:r>
      <w:r w:rsidRPr="009A3F85">
        <w:rPr>
          <w:rFonts w:eastAsia="Times New Roman"/>
          <w:lang w:val="uk-UA" w:eastAsia="fr-FR"/>
        </w:rPr>
        <w:fldChar w:fldCharType="separate"/>
      </w:r>
      <w:r w:rsidRPr="009A3F85" w:rsidR="009A3F85">
        <w:rPr>
          <w:rFonts w:eastAsia="Times New Roman"/>
          <w:noProof/>
          <w:lang w:val="uk-UA" w:eastAsia="fr-FR"/>
        </w:rPr>
        <w:t>26</w:t>
      </w:r>
      <w:r w:rsidRPr="009A3F85">
        <w:rPr>
          <w:rFonts w:eastAsia="Times New Roman"/>
          <w:lang w:val="uk-UA" w:eastAsia="fr-FR"/>
        </w:rPr>
        <w:fldChar w:fldCharType="end"/>
      </w:r>
      <w:r w:rsidRPr="009A3F85">
        <w:rPr>
          <w:rFonts w:eastAsia="Times New Roman"/>
          <w:lang w:val="uk-UA" w:eastAsia="fr-FR"/>
        </w:rPr>
        <w:t xml:space="preserve">.  Порівняльний аналіз національних законодавств і практики тридцяти восьми держав-членів Ради Європи показує, що багато держав запровадили національні механізми, </w:t>
      </w:r>
      <w:r w:rsidRPr="009A3F85" w:rsidR="00F062B4">
        <w:rPr>
          <w:rFonts w:eastAsia="Times New Roman"/>
          <w:lang w:val="uk-UA" w:eastAsia="fr-FR"/>
        </w:rPr>
        <w:t xml:space="preserve">які </w:t>
      </w:r>
      <w:r w:rsidRPr="009A3F85" w:rsidR="00F062B4">
        <w:rPr>
          <w:rFonts w:eastAsia="Times New Roman"/>
          <w:lang w:val="uk-UA" w:eastAsia="fr-FR"/>
        </w:rPr>
        <w:t xml:space="preserve">передбачають </w:t>
      </w:r>
      <w:r w:rsidRPr="009A3F85">
        <w:rPr>
          <w:rFonts w:eastAsia="Times New Roman"/>
          <w:lang w:val="uk-UA" w:eastAsia="fr-FR"/>
        </w:rPr>
        <w:t xml:space="preserve">можливість </w:t>
      </w:r>
      <w:r w:rsidRPr="009A3F85" w:rsidR="00F062B4">
        <w:rPr>
          <w:rFonts w:eastAsia="Times New Roman"/>
          <w:lang w:val="uk-UA" w:eastAsia="fr-FR"/>
        </w:rPr>
        <w:t xml:space="preserve">звернутися за переглядом </w:t>
      </w:r>
      <w:r w:rsidRPr="009A3F85">
        <w:rPr>
          <w:rFonts w:eastAsia="Times New Roman"/>
          <w:lang w:val="uk-UA" w:eastAsia="fr-FR"/>
        </w:rPr>
        <w:t xml:space="preserve">цивільних справ, </w:t>
      </w:r>
      <w:r w:rsidRPr="009A3F85" w:rsidR="00F062B4">
        <w:rPr>
          <w:rFonts w:eastAsia="Times New Roman"/>
          <w:lang w:val="uk-UA" w:eastAsia="fr-FR"/>
        </w:rPr>
        <w:t xml:space="preserve">провадження в яких завершено </w:t>
      </w:r>
      <w:r w:rsidRPr="009A3F85">
        <w:rPr>
          <w:rFonts w:eastAsia="Times New Roman"/>
          <w:lang w:val="uk-UA" w:eastAsia="fr-FR"/>
        </w:rPr>
        <w:t>згідно з судовим рішенням</w:t>
      </w:r>
      <w:r w:rsidRPr="009A3F85" w:rsidR="00F062B4">
        <w:rPr>
          <w:rFonts w:eastAsia="Times New Roman"/>
          <w:lang w:val="uk-UA" w:eastAsia="fr-FR"/>
        </w:rPr>
        <w:t>, яке набуло статусу остаточного</w:t>
      </w:r>
      <w:r w:rsidRPr="009A3F85">
        <w:rPr>
          <w:rFonts w:eastAsia="Times New Roman"/>
          <w:lang w:val="uk-UA" w:eastAsia="fr-FR"/>
        </w:rPr>
        <w:t xml:space="preserve">, на підставі встановлення </w:t>
      </w:r>
      <w:r w:rsidRPr="009A3F85">
        <w:rPr>
          <w:rFonts w:eastAsia="Times New Roman"/>
          <w:szCs w:val="24"/>
          <w:lang w:val="uk-UA" w:eastAsia="fr-FR"/>
        </w:rPr>
        <w:t>Судом порушення Конвенції</w:t>
      </w:r>
      <w:r w:rsidRPr="009A3F85">
        <w:rPr>
          <w:rFonts w:eastAsia="Times New Roman"/>
          <w:lang w:val="uk-UA" w:eastAsia="fr-FR"/>
        </w:rPr>
        <w:t xml:space="preserve">. Зокрема, у двадцяти двох державах-членах з числа держав, законодавство яких аналізувалося, національний цивільний процесуальний кодекс чітко передбачає можливість для заявника, на користь якого було постановлено рішення Суду, </w:t>
      </w:r>
      <w:r w:rsidRPr="009A3F85" w:rsidR="00C604EA">
        <w:rPr>
          <w:rFonts w:eastAsia="Times New Roman"/>
          <w:lang w:val="uk-UA" w:eastAsia="fr-FR"/>
        </w:rPr>
        <w:t xml:space="preserve">клопотати про </w:t>
      </w:r>
      <w:r w:rsidRPr="009A3F85">
        <w:rPr>
          <w:rFonts w:eastAsia="Times New Roman"/>
          <w:lang w:val="uk-UA" w:eastAsia="fr-FR"/>
        </w:rPr>
        <w:t xml:space="preserve">перегляд цивільної справи на підставі встановлення порушення Європейським судом з прав людини або іншим міжнародним судом. Так відбувається у Албанії, Андоррі, Вірменії, Азербайджані, Хорватії, Чеській Республіці, Естонії, колишній Югославській Республіці Македонія, Грузії, Німеччині, Латвії, </w:t>
      </w:r>
      <w:r w:rsidRPr="009A3F85" w:rsidR="00F062B4">
        <w:rPr>
          <w:rFonts w:eastAsia="Times New Roman"/>
          <w:lang w:val="uk-UA" w:eastAsia="fr-FR"/>
        </w:rPr>
        <w:t>Литві</w:t>
      </w:r>
      <w:r w:rsidRPr="009A3F85">
        <w:rPr>
          <w:rFonts w:eastAsia="Times New Roman"/>
          <w:lang w:val="uk-UA" w:eastAsia="fr-FR"/>
        </w:rPr>
        <w:t>, Молдові, Чорногорії, Норвегії, Португалії, Румунії, Росії, Сербії, Словаччині, Швейцарії та Туреччині</w:t>
      </w:r>
      <w:r w:rsidRPr="009A3F85">
        <w:rPr>
          <w:rFonts w:eastAsia="Times New Roman"/>
          <w:iCs/>
          <w:lang w:val="uk-UA"/>
        </w:rPr>
        <w:t xml:space="preserve">. В усіх цих державах </w:t>
      </w:r>
      <w:r w:rsidRPr="009A3F85" w:rsidR="00F062B4">
        <w:rPr>
          <w:rFonts w:eastAsia="Times New Roman"/>
          <w:iCs/>
          <w:lang w:val="uk-UA"/>
        </w:rPr>
        <w:t xml:space="preserve">заяви </w:t>
      </w:r>
      <w:r w:rsidRPr="009A3F85">
        <w:rPr>
          <w:rFonts w:eastAsia="Times New Roman"/>
          <w:iCs/>
          <w:lang w:val="uk-UA"/>
        </w:rPr>
        <w:t>щодо перегляду справи подаються до суду. Проте судова інстанція залежить від конкретної держави-члена</w:t>
      </w:r>
      <w:r w:rsidRPr="009A3F85">
        <w:rPr>
          <w:rFonts w:eastAsia="Times New Roman"/>
          <w:lang w:val="uk-UA" w:eastAsia="fr-FR"/>
        </w:rPr>
        <w:t xml:space="preserve">. У деяких державах </w:t>
      </w:r>
      <w:r w:rsidRPr="009A3F85" w:rsidR="004372AE">
        <w:rPr>
          <w:rFonts w:eastAsia="Times New Roman"/>
          <w:lang w:val="uk-UA" w:eastAsia="fr-FR"/>
        </w:rPr>
        <w:t xml:space="preserve">такі заяви подаються до найвищої судової інстанції, </w:t>
      </w:r>
      <w:r w:rsidRPr="009A3F85">
        <w:rPr>
          <w:rFonts w:eastAsia="Times New Roman"/>
          <w:lang w:val="uk-UA" w:eastAsia="fr-FR"/>
        </w:rPr>
        <w:t xml:space="preserve">тобто </w:t>
      </w:r>
      <w:r w:rsidRPr="009A3F85" w:rsidR="004372AE">
        <w:rPr>
          <w:rFonts w:eastAsia="Times New Roman"/>
          <w:lang w:val="uk-UA" w:eastAsia="fr-FR"/>
        </w:rPr>
        <w:t xml:space="preserve">Верховного </w:t>
      </w:r>
      <w:r w:rsidRPr="009A3F85">
        <w:rPr>
          <w:rFonts w:eastAsia="Times New Roman"/>
          <w:lang w:val="uk-UA" w:eastAsia="fr-FR"/>
        </w:rPr>
        <w:t>Суд</w:t>
      </w:r>
      <w:r w:rsidRPr="009A3F85" w:rsidR="004372AE">
        <w:rPr>
          <w:rFonts w:eastAsia="Times New Roman"/>
          <w:lang w:val="uk-UA" w:eastAsia="fr-FR"/>
        </w:rPr>
        <w:t>у</w:t>
      </w:r>
      <w:r w:rsidRPr="009A3F85">
        <w:rPr>
          <w:rFonts w:eastAsia="Times New Roman"/>
          <w:lang w:val="uk-UA" w:eastAsia="fr-FR"/>
        </w:rPr>
        <w:t xml:space="preserve"> </w:t>
      </w:r>
      <w:r w:rsidRPr="009A3F85" w:rsidR="004372AE">
        <w:rPr>
          <w:rFonts w:eastAsia="Times New Roman"/>
          <w:lang w:val="uk-UA" w:eastAsia="fr-FR"/>
        </w:rPr>
        <w:t>(</w:t>
      </w:r>
      <w:r w:rsidRPr="009A3F85">
        <w:rPr>
          <w:rFonts w:eastAsia="Times New Roman"/>
          <w:lang w:val="uk-UA" w:eastAsia="fr-FR"/>
        </w:rPr>
        <w:t xml:space="preserve">в Албанії, Азербайджані, Естонії і </w:t>
      </w:r>
      <w:r w:rsidRPr="009A3F85" w:rsidR="004372AE">
        <w:rPr>
          <w:rFonts w:eastAsia="Times New Roman"/>
          <w:lang w:val="uk-UA" w:eastAsia="fr-FR"/>
        </w:rPr>
        <w:t>Литві)</w:t>
      </w:r>
      <w:r w:rsidRPr="009A3F85">
        <w:rPr>
          <w:rFonts w:eastAsia="Times New Roman"/>
          <w:lang w:val="uk-UA" w:eastAsia="fr-FR"/>
        </w:rPr>
        <w:t xml:space="preserve"> або </w:t>
      </w:r>
      <w:r w:rsidRPr="009A3F85" w:rsidR="004372AE">
        <w:rPr>
          <w:rFonts w:eastAsia="Times New Roman"/>
          <w:lang w:val="uk-UA" w:eastAsia="fr-FR"/>
        </w:rPr>
        <w:t xml:space="preserve">Конституційного </w:t>
      </w:r>
      <w:r w:rsidRPr="009A3F85">
        <w:rPr>
          <w:rFonts w:eastAsia="Times New Roman"/>
          <w:lang w:val="uk-UA" w:eastAsia="fr-FR"/>
        </w:rPr>
        <w:t>суд</w:t>
      </w:r>
      <w:r w:rsidRPr="009A3F85" w:rsidR="004372AE">
        <w:rPr>
          <w:rFonts w:eastAsia="Times New Roman"/>
          <w:lang w:val="uk-UA" w:eastAsia="fr-FR"/>
        </w:rPr>
        <w:t>у</w:t>
      </w:r>
      <w:r w:rsidRPr="009A3F85">
        <w:rPr>
          <w:rFonts w:eastAsia="Times New Roman"/>
          <w:lang w:val="uk-UA" w:eastAsia="fr-FR"/>
        </w:rPr>
        <w:t xml:space="preserve"> </w:t>
      </w:r>
      <w:r w:rsidRPr="009A3F85" w:rsidR="004372AE">
        <w:rPr>
          <w:rFonts w:eastAsia="Times New Roman"/>
          <w:lang w:val="uk-UA" w:eastAsia="fr-FR"/>
        </w:rPr>
        <w:t>(</w:t>
      </w:r>
      <w:r w:rsidRPr="009A3F85">
        <w:rPr>
          <w:rFonts w:eastAsia="Times New Roman"/>
          <w:lang w:val="uk-UA" w:eastAsia="fr-FR"/>
        </w:rPr>
        <w:t>у Чеській Республіці). В інших державах скарга подається до суду, чиє рішення оскаржується (Хорватія, колишня Югославська Республіка Македонія і Сербія). Зазвичай перегляд не є автоматичним та обумовлюється критеріями прийнятності, такими як строк подання скарги, процесуальний статус заявника та обґрунтованість скарги (це стосується, наприклад, Албанії, колишньої Югославської Республіки Македонія, Грузії, Чорногорії і Туреччини). Деякі положення внутрішнього законодавства передбачають дотримання інших вимог – наприклад, продовження існування тяжких наслідків порушення (Румунія) або що відшкодування не виправило порушення (Словаччина), або що відшкодування заявникові не може бути здійснено жодними іншими засобами (Естонія).</w:t>
      </w:r>
    </w:p>
    <w:p w:rsidRPr="009A3F85" w:rsidR="00D17581" w:rsidP="009A3F85">
      <w:pPr>
        <w:pStyle w:val="ECHRPara"/>
        <w:rPr>
          <w:rFonts w:eastAsia="Times New Roman"/>
          <w:lang w:val="uk-UA" w:eastAsia="fr-FR"/>
        </w:rPr>
      </w:pPr>
      <w:r w:rsidRPr="009A3F85">
        <w:rPr>
          <w:rFonts w:eastAsia="Times New Roman"/>
          <w:lang w:val="uk-UA" w:eastAsia="fr-FR"/>
        </w:rPr>
        <w:fldChar w:fldCharType="begin"/>
      </w:r>
      <w:r w:rsidRPr="009A3F85">
        <w:rPr>
          <w:rFonts w:eastAsia="Times New Roman"/>
          <w:lang w:val="uk-UA" w:eastAsia="fr-FR"/>
        </w:rPr>
        <w:instrText xml:space="preserve"> SEQ level0 \*arabic </w:instrText>
      </w:r>
      <w:r w:rsidRPr="009A3F85">
        <w:rPr>
          <w:rFonts w:eastAsia="Times New Roman"/>
          <w:lang w:val="uk-UA" w:eastAsia="fr-FR"/>
        </w:rPr>
        <w:fldChar w:fldCharType="separate"/>
      </w:r>
      <w:r w:rsidRPr="009A3F85" w:rsidR="009A3F85">
        <w:rPr>
          <w:rFonts w:eastAsia="Times New Roman"/>
          <w:noProof/>
          <w:lang w:val="uk-UA" w:eastAsia="fr-FR"/>
        </w:rPr>
        <w:t>27</w:t>
      </w:r>
      <w:r w:rsidRPr="009A3F85">
        <w:rPr>
          <w:rFonts w:eastAsia="Times New Roman"/>
          <w:lang w:val="uk-UA" w:eastAsia="fr-FR"/>
        </w:rPr>
        <w:fldChar w:fldCharType="end"/>
      </w:r>
      <w:r w:rsidRPr="009A3F85">
        <w:rPr>
          <w:rFonts w:eastAsia="Times New Roman"/>
          <w:lang w:val="uk-UA" w:eastAsia="fr-FR"/>
        </w:rPr>
        <w:t>.  Хоча у чинному законодавстві шістнадцяти держав з тридцяти восьми держав-членів, законодавство яких аналізувалося, наразі чітко не передбачено перегляд цивільних вправ на підставі встановлення Судом порушення Конвенції (це стосується Австрії</w:t>
      </w:r>
      <w:r w:rsidRPr="009A3F85" w:rsidR="004372AE">
        <w:rPr>
          <w:rFonts w:eastAsia="Times New Roman"/>
          <w:lang w:val="uk-UA" w:eastAsia="fr-FR"/>
        </w:rPr>
        <w:t>,</w:t>
      </w:r>
      <w:r w:rsidRPr="009A3F85">
        <w:rPr>
          <w:rFonts w:eastAsia="Times New Roman"/>
          <w:lang w:val="uk-UA" w:eastAsia="fr-FR"/>
        </w:rPr>
        <w:t xml:space="preserve"> Бельгії, Франції, Греції, Угорщини, Італії, Ірландії, Ліхтенштейну, </w:t>
      </w:r>
      <w:r w:rsidRPr="009A3F85" w:rsidR="004372AE">
        <w:rPr>
          <w:rFonts w:eastAsia="Times New Roman"/>
          <w:lang w:val="uk-UA" w:eastAsia="fr-FR"/>
        </w:rPr>
        <w:t xml:space="preserve">Люксембургу, </w:t>
      </w:r>
      <w:r w:rsidRPr="009A3F85">
        <w:rPr>
          <w:rFonts w:eastAsia="Times New Roman"/>
          <w:lang w:val="uk-UA" w:eastAsia="fr-FR"/>
        </w:rPr>
        <w:t>Монако, Нідерландів, Польщі, Словенії, Іспанії, Швеції та Сполученого Королівства (Англії і Уельсу)), у деяких з цих держав, тим не менш, заявники у такій ситуації можуть ініціювати перегляд</w:t>
      </w:r>
      <w:r w:rsidRPr="009A3F85" w:rsidR="004372AE">
        <w:rPr>
          <w:rFonts w:eastAsia="Times New Roman"/>
          <w:lang w:val="uk-UA" w:eastAsia="fr-FR"/>
        </w:rPr>
        <w:t xml:space="preserve"> справи</w:t>
      </w:r>
      <w:r w:rsidRPr="009A3F85">
        <w:rPr>
          <w:rFonts w:eastAsia="Times New Roman"/>
          <w:lang w:val="uk-UA" w:eastAsia="fr-FR"/>
        </w:rPr>
        <w:t xml:space="preserve"> відповідно до порядку перегляду у зв</w:t>
      </w:r>
      <w:r w:rsidRPr="009A3F85" w:rsidR="009A3F85">
        <w:rPr>
          <w:rFonts w:eastAsia="Times New Roman"/>
          <w:lang w:val="uk-UA" w:eastAsia="fr-FR"/>
        </w:rPr>
        <w:t>’</w:t>
      </w:r>
      <w:r w:rsidRPr="009A3F85">
        <w:rPr>
          <w:rFonts w:eastAsia="Times New Roman"/>
          <w:lang w:val="uk-UA" w:eastAsia="fr-FR"/>
        </w:rPr>
        <w:t>язку з нов</w:t>
      </w:r>
      <w:r w:rsidRPr="009A3F85" w:rsidR="004372AE">
        <w:rPr>
          <w:rFonts w:eastAsia="Times New Roman"/>
          <w:lang w:val="uk-UA" w:eastAsia="fr-FR"/>
        </w:rPr>
        <w:t xml:space="preserve">овиявленими обставинами </w:t>
      </w:r>
      <w:r w:rsidRPr="009A3F85">
        <w:rPr>
          <w:rFonts w:eastAsia="Times New Roman"/>
          <w:lang w:val="uk-UA" w:eastAsia="fr-FR"/>
        </w:rPr>
        <w:t xml:space="preserve">або </w:t>
      </w:r>
      <w:r w:rsidRPr="009A3F85" w:rsidR="004372AE">
        <w:rPr>
          <w:rFonts w:eastAsia="Times New Roman"/>
          <w:lang w:val="uk-UA" w:eastAsia="fr-FR"/>
        </w:rPr>
        <w:t xml:space="preserve">допущеними процесуальними помилками </w:t>
      </w:r>
      <w:r w:rsidRPr="009A3F85">
        <w:rPr>
          <w:rFonts w:eastAsia="Times New Roman"/>
          <w:lang w:val="uk-UA" w:eastAsia="fr-FR"/>
        </w:rPr>
        <w:t>(наприклад, у Франції, Нідерландах і Польщі).</w:t>
      </w:r>
    </w:p>
    <w:p w:rsidRPr="009A3F85" w:rsidR="00D17581" w:rsidP="009A3F85">
      <w:pPr>
        <w:pStyle w:val="ECHRHeading1"/>
        <w:rPr>
          <w:rFonts w:eastAsia="Times New Roman"/>
          <w:caps/>
          <w:lang w:val="uk-UA" w:eastAsia="fr-FR"/>
        </w:rPr>
      </w:pPr>
      <w:r w:rsidRPr="009A3F85">
        <w:rPr>
          <w:rFonts w:eastAsia="Times New Roman"/>
          <w:caps/>
          <w:lang w:val="uk-UA" w:eastAsia="fr-FR"/>
        </w:rPr>
        <w:t>IV.  РЕКОМЕНДАЦІЯ КОМІТЕТУ МІНІСТРІВ № R (2000) 2</w:t>
      </w:r>
    </w:p>
    <w:p w:rsidRPr="009A3F85" w:rsidR="00D17581" w:rsidP="009A3F85">
      <w:pPr>
        <w:pStyle w:val="ECHRPara"/>
        <w:rPr>
          <w:rFonts w:eastAsia="Times New Roman"/>
          <w:lang w:val="uk-UA"/>
        </w:rPr>
      </w:pPr>
      <w:r w:rsidRPr="009A3F85">
        <w:rPr>
          <w:rFonts w:eastAsia="Times New Roman"/>
          <w:lang w:val="uk-UA"/>
        </w:rPr>
        <w:fldChar w:fldCharType="begin"/>
      </w:r>
      <w:r w:rsidRPr="009A3F85">
        <w:rPr>
          <w:rFonts w:eastAsia="Times New Roman"/>
          <w:lang w:val="uk-UA"/>
        </w:rPr>
        <w:instrText xml:space="preserve"> SEQ level0 \*arabic </w:instrText>
      </w:r>
      <w:r w:rsidRPr="009A3F85">
        <w:rPr>
          <w:rFonts w:eastAsia="Times New Roman"/>
          <w:lang w:val="uk-UA"/>
        </w:rPr>
        <w:fldChar w:fldCharType="separate"/>
      </w:r>
      <w:r w:rsidRPr="009A3F85" w:rsidR="009A3F85">
        <w:rPr>
          <w:rFonts w:eastAsia="Times New Roman"/>
          <w:noProof/>
          <w:lang w:val="uk-UA"/>
        </w:rPr>
        <w:t>28</w:t>
      </w:r>
      <w:r w:rsidRPr="009A3F85">
        <w:rPr>
          <w:rFonts w:eastAsia="Times New Roman"/>
          <w:lang w:val="uk-UA"/>
        </w:rPr>
        <w:fldChar w:fldCharType="end"/>
      </w:r>
      <w:r w:rsidRPr="009A3F85">
        <w:rPr>
          <w:rFonts w:eastAsia="Times New Roman"/>
          <w:lang w:val="uk-UA"/>
        </w:rPr>
        <w:t>.  У своїй Рекомендації № R (2000) 2,</w:t>
      </w:r>
      <w:r w:rsidRPr="009A3F85">
        <w:rPr>
          <w:lang w:val="uk-UA"/>
        </w:rPr>
        <w:t xml:space="preserve"> </w:t>
      </w:r>
      <w:r w:rsidRPr="009A3F85">
        <w:rPr>
          <w:rFonts w:eastAsia="Times New Roman"/>
          <w:lang w:val="uk-UA"/>
        </w:rPr>
        <w:t>ухваленій 19 січня 2000 року на 694</w:t>
      </w:r>
      <w:r w:rsidRPr="009A3F85">
        <w:rPr>
          <w:rFonts w:eastAsia="Times New Roman"/>
          <w:vertAlign w:val="superscript"/>
          <w:lang w:val="uk-UA"/>
        </w:rPr>
        <w:t>му</w:t>
      </w:r>
      <w:r w:rsidRPr="009A3F85">
        <w:rPr>
          <w:rFonts w:eastAsia="Times New Roman"/>
          <w:lang w:val="uk-UA"/>
        </w:rPr>
        <w:t xml:space="preserve"> засіданні заступників </w:t>
      </w:r>
      <w:r w:rsidRPr="009A3F85" w:rsidR="00545352">
        <w:rPr>
          <w:rFonts w:eastAsia="Times New Roman"/>
          <w:lang w:val="uk-UA"/>
        </w:rPr>
        <w:t>міністрів</w:t>
      </w:r>
      <w:r w:rsidRPr="009A3F85">
        <w:rPr>
          <w:rFonts w:eastAsia="Times New Roman"/>
          <w:lang w:val="uk-UA"/>
        </w:rPr>
        <w:t xml:space="preserve">, Комітет міністрів зазначив, що практика здійснення нагляду за виконанням рішень Суду показала, що повторний розгляд справи або відновлення провадження виявилися за певних обставин найбільш ефективними – якщо не єдиними – засобами досягнення </w:t>
      </w:r>
      <w:r w:rsidRPr="009A3F85">
        <w:rPr>
          <w:rFonts w:eastAsia="Times New Roman"/>
          <w:i/>
          <w:lang w:val="uk-UA"/>
        </w:rPr>
        <w:t>restitutio in integrum</w:t>
      </w:r>
      <w:r w:rsidRPr="009A3F85">
        <w:rPr>
          <w:rFonts w:eastAsia="Times New Roman"/>
          <w:lang w:val="uk-UA"/>
        </w:rPr>
        <w:t xml:space="preserve">. Отже, Комітет міністрів закликав держави запровадити механізм </w:t>
      </w:r>
      <w:r w:rsidRPr="009A3F85" w:rsidR="004372AE">
        <w:rPr>
          <w:rFonts w:eastAsia="Times New Roman"/>
          <w:lang w:val="uk-UA"/>
        </w:rPr>
        <w:t>пере</w:t>
      </w:r>
      <w:r w:rsidRPr="009A3F85">
        <w:rPr>
          <w:rFonts w:eastAsia="Times New Roman"/>
          <w:lang w:val="uk-UA"/>
        </w:rPr>
        <w:t>гляду справ</w:t>
      </w:r>
      <w:r w:rsidRPr="009A3F85" w:rsidR="004372AE">
        <w:rPr>
          <w:rFonts w:eastAsia="Times New Roman"/>
          <w:lang w:val="uk-UA"/>
        </w:rPr>
        <w:t>и</w:t>
      </w:r>
      <w:r w:rsidRPr="009A3F85">
        <w:rPr>
          <w:rFonts w:eastAsia="Times New Roman"/>
          <w:lang w:val="uk-UA"/>
        </w:rPr>
        <w:t xml:space="preserve"> після встановлення Судом порушення Конвенції, особливо у разі:</w:t>
      </w:r>
    </w:p>
    <w:p w:rsidRPr="009A3F85" w:rsidR="00D17581" w:rsidP="009A3F85">
      <w:pPr>
        <w:pStyle w:val="ECHRParaQuote"/>
        <w:rPr>
          <w:rFonts w:eastAsia="Times New Roman"/>
          <w:lang w:val="uk-UA" w:eastAsia="fr-FR"/>
        </w:rPr>
      </w:pPr>
      <w:r w:rsidRPr="009A3F85">
        <w:rPr>
          <w:rFonts w:eastAsia="Times New Roman"/>
          <w:szCs w:val="24"/>
          <w:lang w:val="uk-UA" w:eastAsia="fr-FR"/>
        </w:rPr>
        <w:t>«</w:t>
      </w:r>
      <w:r w:rsidRPr="009A3F85">
        <w:rPr>
          <w:rFonts w:eastAsia="Times New Roman"/>
          <w:lang w:val="uk-UA" w:eastAsia="fr-FR"/>
        </w:rPr>
        <w:t>(i)  коли потерпіла сторона і далі зазнає дуже тяжких негативних наслідків від результатів внутрішньодержавного рішення, які адекватно не відшкодовуються справедливою сатисфакцією і які не можна виправити інакше ніж за допомогою повторного розгляду або відновлення провадження;</w:t>
      </w:r>
    </w:p>
    <w:p w:rsidRPr="009A3F85" w:rsidR="00D17581" w:rsidP="009A3F85">
      <w:pPr>
        <w:pStyle w:val="ECHRParaQuote"/>
        <w:rPr>
          <w:rFonts w:eastAsia="Times New Roman"/>
          <w:szCs w:val="24"/>
          <w:lang w:val="uk-UA" w:eastAsia="fr-FR"/>
        </w:rPr>
      </w:pPr>
      <w:r w:rsidRPr="009A3F85">
        <w:rPr>
          <w:rFonts w:eastAsia="Times New Roman"/>
          <w:szCs w:val="24"/>
          <w:lang w:val="uk-UA" w:eastAsia="fr-FR"/>
        </w:rPr>
        <w:t>(ii)  коли рішення Суду спонукає до висновку, що</w:t>
      </w:r>
    </w:p>
    <w:p w:rsidRPr="009A3F85" w:rsidR="00D17581" w:rsidP="009A3F85">
      <w:pPr>
        <w:pStyle w:val="ECHRParaQuote"/>
        <w:ind w:firstLine="295"/>
        <w:rPr>
          <w:rFonts w:eastAsia="Times New Roman"/>
          <w:szCs w:val="24"/>
          <w:lang w:val="uk-UA" w:eastAsia="fr-FR"/>
        </w:rPr>
      </w:pPr>
      <w:r w:rsidRPr="009A3F85">
        <w:rPr>
          <w:rFonts w:eastAsia="Times New Roman"/>
          <w:szCs w:val="24"/>
          <w:lang w:val="uk-UA" w:eastAsia="fr-FR"/>
        </w:rPr>
        <w:t>(a)  оскаржене рішення національного суду суперечить Конвенції по суті, або</w:t>
      </w:r>
    </w:p>
    <w:p w:rsidRPr="009A3F85" w:rsidR="00D17581" w:rsidP="009A3F85">
      <w:pPr>
        <w:pStyle w:val="ECHRParaQuote"/>
        <w:ind w:firstLine="295"/>
        <w:rPr>
          <w:rFonts w:eastAsia="Times New Roman"/>
          <w:szCs w:val="24"/>
          <w:lang w:val="uk-UA" w:eastAsia="fr-FR"/>
        </w:rPr>
      </w:pPr>
      <w:r w:rsidRPr="009A3F85">
        <w:rPr>
          <w:rFonts w:eastAsia="Times New Roman"/>
          <w:szCs w:val="24"/>
          <w:lang w:val="uk-UA" w:eastAsia="fr-FR"/>
        </w:rPr>
        <w:t>(b)  в основі встановленого порушення лежали суттєві процесуальні помилки чи такі недоліки, що ставлять під серйозний сумнів результат оскарженого провадження на національному рівні.»</w:t>
      </w:r>
    </w:p>
    <w:p w:rsidRPr="009A3F85" w:rsidR="006D147C" w:rsidP="009A3F85">
      <w:pPr>
        <w:pStyle w:val="ECHRTitle1"/>
        <w:rPr>
          <w:lang w:val="uk-UA"/>
        </w:rPr>
      </w:pPr>
      <w:r w:rsidRPr="009A3F85">
        <w:rPr>
          <w:lang w:val="uk-UA"/>
        </w:rPr>
        <w:t>ПРАВО</w:t>
      </w:r>
    </w:p>
    <w:p w:rsidRPr="009A3F85" w:rsidR="006D147C" w:rsidP="009A3F85">
      <w:pPr>
        <w:pStyle w:val="ECHRHeading1"/>
        <w:rPr>
          <w:rFonts w:eastAsia="Times New Roman"/>
          <w:caps/>
          <w:lang w:val="uk-UA" w:eastAsia="fr-FR"/>
        </w:rPr>
      </w:pPr>
      <w:r w:rsidRPr="009A3F85">
        <w:rPr>
          <w:rFonts w:eastAsia="Times New Roman"/>
          <w:caps/>
          <w:lang w:val="uk-UA" w:eastAsia="fr-FR"/>
        </w:rPr>
        <w:t>I.  СТВЕРДЖУВАНЕ ПОРУШЕННЯ ПУНКТУ 1 СТАТТІ 6 КОНВЕНЦІЇ ТА СТАТТІ 1 ПЕРШОГО ПРОТОКОЛУ</w:t>
      </w:r>
    </w:p>
    <w:p w:rsidRPr="009A3F85" w:rsidR="006D147C" w:rsidP="009A3F85">
      <w:pPr>
        <w:pStyle w:val="ECHRPara"/>
        <w:rPr>
          <w:rFonts w:eastAsia="Times New Roman"/>
          <w:lang w:val="uk-UA" w:eastAsia="fr-FR"/>
        </w:rPr>
      </w:pPr>
      <w:r w:rsidRPr="009A3F85">
        <w:rPr>
          <w:rFonts w:eastAsia="Times New Roman"/>
          <w:lang w:val="uk-UA" w:eastAsia="fr-FR"/>
        </w:rPr>
        <w:fldChar w:fldCharType="begin"/>
      </w:r>
      <w:r w:rsidRPr="009A3F85">
        <w:rPr>
          <w:rFonts w:eastAsia="Times New Roman"/>
          <w:lang w:val="uk-UA" w:eastAsia="fr-FR"/>
        </w:rPr>
        <w:instrText xml:space="preserve"> SEQ level0 \*arabic </w:instrText>
      </w:r>
      <w:r w:rsidRPr="009A3F85">
        <w:rPr>
          <w:rFonts w:eastAsia="Times New Roman"/>
          <w:lang w:val="uk-UA" w:eastAsia="fr-FR"/>
        </w:rPr>
        <w:fldChar w:fldCharType="separate"/>
      </w:r>
      <w:r w:rsidRPr="009A3F85" w:rsidR="009A3F85">
        <w:rPr>
          <w:rFonts w:eastAsia="Times New Roman"/>
          <w:noProof/>
          <w:lang w:val="uk-UA" w:eastAsia="fr-FR"/>
        </w:rPr>
        <w:t>29</w:t>
      </w:r>
      <w:r w:rsidRPr="009A3F85">
        <w:rPr>
          <w:rFonts w:eastAsia="Times New Roman"/>
          <w:lang w:val="uk-UA" w:eastAsia="fr-FR"/>
        </w:rPr>
        <w:fldChar w:fldCharType="end"/>
      </w:r>
      <w:r w:rsidRPr="009A3F85">
        <w:rPr>
          <w:rFonts w:eastAsia="Times New Roman"/>
          <w:lang w:val="uk-UA" w:eastAsia="fr-FR"/>
        </w:rPr>
        <w:t xml:space="preserve">.  Заявниця скаржилася на провадження </w:t>
      </w:r>
      <w:r w:rsidRPr="009A3F85" w:rsidR="004372AE">
        <w:rPr>
          <w:rFonts w:eastAsia="Times New Roman"/>
          <w:lang w:val="uk-UA" w:eastAsia="fr-FR"/>
        </w:rPr>
        <w:t xml:space="preserve">за </w:t>
      </w:r>
      <w:r w:rsidRPr="009A3F85">
        <w:rPr>
          <w:rFonts w:eastAsia="Times New Roman"/>
          <w:lang w:val="uk-UA" w:eastAsia="fr-FR"/>
        </w:rPr>
        <w:t>її «скарг</w:t>
      </w:r>
      <w:r w:rsidRPr="009A3F85" w:rsidR="004372AE">
        <w:rPr>
          <w:rFonts w:eastAsia="Times New Roman"/>
          <w:lang w:val="uk-UA" w:eastAsia="fr-FR"/>
        </w:rPr>
        <w:t>ою</w:t>
      </w:r>
      <w:r w:rsidRPr="009A3F85">
        <w:rPr>
          <w:rFonts w:eastAsia="Times New Roman"/>
          <w:lang w:val="uk-UA" w:eastAsia="fr-FR"/>
        </w:rPr>
        <w:t xml:space="preserve"> </w:t>
      </w:r>
      <w:r w:rsidRPr="009A3F85" w:rsidR="00AA0D10">
        <w:rPr>
          <w:rFonts w:eastAsia="Times New Roman"/>
          <w:lang w:val="uk-UA" w:eastAsia="fr-FR"/>
        </w:rPr>
        <w:t xml:space="preserve">про перегляд судових рішень </w:t>
      </w:r>
      <w:r w:rsidRPr="009A3F85">
        <w:rPr>
          <w:rFonts w:eastAsia="Times New Roman"/>
          <w:lang w:val="uk-UA" w:eastAsia="fr-FR"/>
        </w:rPr>
        <w:t>у зв</w:t>
      </w:r>
      <w:r w:rsidRPr="009A3F85" w:rsidR="009A3F85">
        <w:rPr>
          <w:rFonts w:eastAsia="Times New Roman"/>
          <w:lang w:val="uk-UA" w:eastAsia="fr-FR"/>
        </w:rPr>
        <w:t>’</w:t>
      </w:r>
      <w:r w:rsidRPr="009A3F85">
        <w:rPr>
          <w:rFonts w:eastAsia="Times New Roman"/>
          <w:lang w:val="uk-UA" w:eastAsia="fr-FR"/>
        </w:rPr>
        <w:t>язку з винятковими обставинами» (далі – скарга у зв</w:t>
      </w:r>
      <w:r w:rsidRPr="009A3F85" w:rsidR="009A3F85">
        <w:rPr>
          <w:rFonts w:eastAsia="Times New Roman"/>
          <w:lang w:val="uk-UA" w:eastAsia="fr-FR"/>
        </w:rPr>
        <w:t>’</w:t>
      </w:r>
      <w:r w:rsidRPr="009A3F85">
        <w:rPr>
          <w:rFonts w:eastAsia="Times New Roman"/>
          <w:lang w:val="uk-UA" w:eastAsia="fr-FR"/>
        </w:rPr>
        <w:t>язку з винятковими обставинами)</w:t>
      </w:r>
      <w:r w:rsidRPr="009A3F85" w:rsidR="00894AD0">
        <w:rPr>
          <w:rFonts w:eastAsia="Times New Roman"/>
          <w:lang w:val="ru-RU" w:eastAsia="fr-FR"/>
        </w:rPr>
        <w:t>,</w:t>
      </w:r>
      <w:r w:rsidRPr="009A3F85">
        <w:rPr>
          <w:rFonts w:eastAsia="Times New Roman"/>
          <w:lang w:val="uk-UA" w:eastAsia="fr-FR"/>
        </w:rPr>
        <w:t xml:space="preserve"> що завершилося ухвалою Верховного Суду України від 14 березня 2008 року. Зокрема, заявниця стверджувала, що при розгляді її скарги у зв</w:t>
      </w:r>
      <w:r w:rsidRPr="009A3F85" w:rsidR="009A3F85">
        <w:rPr>
          <w:rFonts w:eastAsia="Times New Roman"/>
          <w:lang w:val="uk-UA" w:eastAsia="fr-FR"/>
        </w:rPr>
        <w:t>’</w:t>
      </w:r>
      <w:r w:rsidRPr="009A3F85">
        <w:rPr>
          <w:rFonts w:eastAsia="Times New Roman"/>
          <w:lang w:val="uk-UA" w:eastAsia="fr-FR"/>
        </w:rPr>
        <w:t>язку з винятковими обставинами Верховний Суд України не врахував висновки Суду за пунктом 1 статті 6 Конвенції з його рішення від 3 травня 2007 року</w:t>
      </w:r>
      <w:r w:rsidRPr="009A3F85" w:rsidR="004372AE">
        <w:rPr>
          <w:rFonts w:eastAsia="Times New Roman"/>
          <w:lang w:val="uk-UA" w:eastAsia="fr-FR"/>
        </w:rPr>
        <w:t xml:space="preserve"> щодо</w:t>
      </w:r>
      <w:r w:rsidRPr="009A3F85">
        <w:rPr>
          <w:rFonts w:eastAsia="Times New Roman"/>
          <w:lang w:val="uk-UA" w:eastAsia="fr-FR"/>
        </w:rPr>
        <w:t xml:space="preserve"> </w:t>
      </w:r>
      <w:r w:rsidRPr="009A3F85" w:rsidR="004372AE">
        <w:rPr>
          <w:rFonts w:eastAsia="Times New Roman"/>
          <w:lang w:val="uk-UA" w:eastAsia="fr-FR"/>
        </w:rPr>
        <w:t>оцінки</w:t>
      </w:r>
      <w:r w:rsidRPr="009A3F85">
        <w:rPr>
          <w:rFonts w:eastAsia="Times New Roman"/>
          <w:lang w:val="uk-UA" w:eastAsia="fr-FR"/>
        </w:rPr>
        <w:t xml:space="preserve"> національними судами</w:t>
      </w:r>
      <w:r w:rsidRPr="009A3F85" w:rsidR="00545352">
        <w:rPr>
          <w:rFonts w:eastAsia="Times New Roman"/>
          <w:lang w:val="uk-UA" w:eastAsia="fr-FR"/>
        </w:rPr>
        <w:t xml:space="preserve"> доказів</w:t>
      </w:r>
      <w:r w:rsidRPr="009A3F85">
        <w:rPr>
          <w:rFonts w:eastAsia="Times New Roman"/>
          <w:lang w:val="uk-UA" w:eastAsia="fr-FR"/>
        </w:rPr>
        <w:t xml:space="preserve"> (див. пункт 15). Верховний Суд України також не розглянув деякі важливі аспекти справи, зокрема, </w:t>
      </w:r>
      <w:r w:rsidRPr="009A3F85" w:rsidR="003C00DA">
        <w:rPr>
          <w:rFonts w:eastAsia="Times New Roman"/>
          <w:lang w:val="uk-UA" w:eastAsia="fr-FR"/>
        </w:rPr>
        <w:t xml:space="preserve">цінність </w:t>
      </w:r>
      <w:r w:rsidRPr="009A3F85">
        <w:rPr>
          <w:rFonts w:eastAsia="Times New Roman"/>
          <w:lang w:val="uk-UA" w:eastAsia="fr-FR"/>
        </w:rPr>
        <w:t xml:space="preserve">головних документальних доказів, на яких </w:t>
      </w:r>
      <w:r w:rsidRPr="009A3F85" w:rsidR="006C637E">
        <w:rPr>
          <w:rFonts w:eastAsia="Times New Roman"/>
          <w:lang w:val="uk-UA" w:eastAsia="fr-FR"/>
        </w:rPr>
        <w:t>ґрунтувалися</w:t>
      </w:r>
      <w:r w:rsidRPr="009A3F85">
        <w:rPr>
          <w:rFonts w:eastAsia="Times New Roman"/>
          <w:lang w:val="uk-UA" w:eastAsia="fr-FR"/>
        </w:rPr>
        <w:t xml:space="preserve"> рішення національних судів. Більше того, його обґрунтування щодо результатів розгляду попередньої заяви заявниці суперечило висновкам Суду </w:t>
      </w:r>
      <w:r w:rsidRPr="009A3F85" w:rsidR="006C637E">
        <w:rPr>
          <w:rFonts w:eastAsia="Times New Roman"/>
          <w:lang w:val="uk-UA" w:eastAsia="fr-FR"/>
        </w:rPr>
        <w:t>у</w:t>
      </w:r>
      <w:r w:rsidRPr="009A3F85">
        <w:rPr>
          <w:rFonts w:eastAsia="Times New Roman"/>
          <w:lang w:val="uk-UA" w:eastAsia="fr-FR"/>
        </w:rPr>
        <w:t xml:space="preserve"> рішенн</w:t>
      </w:r>
      <w:r w:rsidRPr="009A3F85" w:rsidR="006C637E">
        <w:rPr>
          <w:rFonts w:eastAsia="Times New Roman"/>
          <w:lang w:val="uk-UA" w:eastAsia="fr-FR"/>
        </w:rPr>
        <w:t>і</w:t>
      </w:r>
      <w:r w:rsidRPr="009A3F85">
        <w:rPr>
          <w:rFonts w:eastAsia="Times New Roman"/>
          <w:lang w:val="uk-UA" w:eastAsia="fr-FR"/>
        </w:rPr>
        <w:t xml:space="preserve"> від 3 травня 2007 року (див. пункти 13 та 18). За твердженнями заявниці</w:t>
      </w:r>
      <w:r w:rsidRPr="009A3F85" w:rsidR="003C00DA">
        <w:rPr>
          <w:rFonts w:eastAsia="Times New Roman"/>
          <w:lang w:val="uk-UA" w:eastAsia="fr-FR"/>
        </w:rPr>
        <w:t>,</w:t>
      </w:r>
      <w:r w:rsidRPr="009A3F85">
        <w:rPr>
          <w:rFonts w:eastAsia="Times New Roman"/>
          <w:lang w:val="uk-UA" w:eastAsia="fr-FR"/>
        </w:rPr>
        <w:t xml:space="preserve"> несправедливий спосіб, у який</w:t>
      </w:r>
      <w:r w:rsidRPr="009A3F85" w:rsidR="009A3F85">
        <w:rPr>
          <w:rFonts w:eastAsia="Times New Roman"/>
          <w:lang w:val="uk-UA" w:eastAsia="fr-FR"/>
        </w:rPr>
        <w:t xml:space="preserve"> </w:t>
      </w:r>
      <w:r w:rsidRPr="009A3F85">
        <w:rPr>
          <w:rFonts w:eastAsia="Times New Roman"/>
          <w:lang w:val="uk-UA" w:eastAsia="fr-FR"/>
        </w:rPr>
        <w:t>Верховний Суд України розглядав її скаргу у зв</w:t>
      </w:r>
      <w:r w:rsidRPr="009A3F85" w:rsidR="009A3F85">
        <w:rPr>
          <w:rFonts w:eastAsia="Times New Roman"/>
          <w:lang w:val="uk-UA" w:eastAsia="fr-FR"/>
        </w:rPr>
        <w:t>’</w:t>
      </w:r>
      <w:r w:rsidRPr="009A3F85">
        <w:rPr>
          <w:rFonts w:eastAsia="Times New Roman"/>
          <w:lang w:val="uk-UA" w:eastAsia="fr-FR"/>
        </w:rPr>
        <w:t xml:space="preserve">язку з </w:t>
      </w:r>
      <w:r w:rsidRPr="009A3F85" w:rsidR="003C00DA">
        <w:rPr>
          <w:rFonts w:eastAsia="Times New Roman"/>
          <w:lang w:val="uk-UA" w:eastAsia="fr-FR"/>
        </w:rPr>
        <w:t xml:space="preserve">винятковими </w:t>
      </w:r>
      <w:r w:rsidRPr="009A3F85">
        <w:rPr>
          <w:rFonts w:eastAsia="Times New Roman"/>
          <w:lang w:val="uk-UA" w:eastAsia="fr-FR"/>
        </w:rPr>
        <w:t xml:space="preserve">обставинами, </w:t>
      </w:r>
      <w:r w:rsidRPr="009A3F85" w:rsidR="00205A07">
        <w:rPr>
          <w:rFonts w:eastAsia="Times New Roman"/>
          <w:lang w:val="uk-UA" w:eastAsia="fr-FR"/>
        </w:rPr>
        <w:t>становив</w:t>
      </w:r>
      <w:r w:rsidRPr="009A3F85">
        <w:rPr>
          <w:rFonts w:eastAsia="Times New Roman"/>
          <w:lang w:val="uk-UA" w:eastAsia="fr-FR"/>
        </w:rPr>
        <w:t xml:space="preserve"> </w:t>
      </w:r>
      <w:r w:rsidRPr="009A3F85" w:rsidR="00205A07">
        <w:rPr>
          <w:rFonts w:eastAsia="Times New Roman"/>
          <w:lang w:val="uk-UA" w:eastAsia="fr-FR"/>
        </w:rPr>
        <w:t xml:space="preserve">нове </w:t>
      </w:r>
      <w:r w:rsidRPr="009A3F85">
        <w:rPr>
          <w:rFonts w:eastAsia="Times New Roman"/>
          <w:lang w:val="uk-UA" w:eastAsia="fr-FR"/>
        </w:rPr>
        <w:t xml:space="preserve">порушення </w:t>
      </w:r>
      <w:r w:rsidRPr="009A3F85">
        <w:rPr>
          <w:rFonts w:eastAsia="Times New Roman"/>
          <w:lang w:val="uk-UA" w:eastAsia="fr-FR"/>
        </w:rPr>
        <w:t xml:space="preserve">пункту </w:t>
      </w:r>
      <w:r w:rsidRPr="009A3F85" w:rsidR="006C637E">
        <w:rPr>
          <w:rFonts w:eastAsia="Times New Roman"/>
          <w:lang w:val="uk-UA" w:eastAsia="fr-FR"/>
        </w:rPr>
        <w:t xml:space="preserve">1 статті 6 Конвенції та статті </w:t>
      </w:r>
      <w:r w:rsidRPr="009A3F85">
        <w:rPr>
          <w:rFonts w:eastAsia="Times New Roman"/>
          <w:lang w:val="uk-UA" w:eastAsia="fr-FR"/>
        </w:rPr>
        <w:t>1 Першого протоколу. У частині цих положень, пов</w:t>
      </w:r>
      <w:r w:rsidRPr="009A3F85" w:rsidR="009A3F85">
        <w:rPr>
          <w:rFonts w:eastAsia="Times New Roman"/>
          <w:lang w:val="uk-UA" w:eastAsia="fr-FR"/>
        </w:rPr>
        <w:t>’</w:t>
      </w:r>
      <w:r w:rsidRPr="009A3F85">
        <w:rPr>
          <w:rFonts w:eastAsia="Times New Roman"/>
          <w:lang w:val="uk-UA" w:eastAsia="fr-FR"/>
        </w:rPr>
        <w:t>язаній з доводами заявниці, зазначено таке:</w:t>
      </w:r>
    </w:p>
    <w:p w:rsidRPr="009A3F85" w:rsidR="009A3F85" w:rsidP="009A3F85">
      <w:pPr>
        <w:pStyle w:val="ECHRTitleCentre3"/>
        <w:rPr>
          <w:rFonts w:eastAsia="Times New Roman"/>
          <w:lang w:val="uk-UA" w:eastAsia="fr-FR"/>
        </w:rPr>
      </w:pPr>
      <w:r w:rsidRPr="009A3F85">
        <w:rPr>
          <w:rFonts w:eastAsia="Times New Roman"/>
          <w:lang w:val="uk-UA" w:eastAsia="fr-FR"/>
        </w:rPr>
        <w:t>Пункт 1 статті 6</w:t>
      </w:r>
    </w:p>
    <w:p w:rsidRPr="009A3F85" w:rsidR="006D147C" w:rsidP="009A3F85">
      <w:pPr>
        <w:pStyle w:val="ECHRParaQuote"/>
        <w:rPr>
          <w:rFonts w:eastAsia="Times New Roman"/>
          <w:lang w:val="uk-UA" w:eastAsia="fr-FR"/>
        </w:rPr>
      </w:pPr>
      <w:r w:rsidRPr="009A3F85">
        <w:rPr>
          <w:rFonts w:eastAsia="Times New Roman"/>
          <w:lang w:val="uk-UA" w:eastAsia="fr-FR"/>
        </w:rPr>
        <w:t xml:space="preserve">«Кожен має право на справедливий </w:t>
      </w:r>
      <w:r w:rsidRPr="009A3F85" w:rsidR="009A3F85">
        <w:rPr>
          <w:rFonts w:eastAsia="Times New Roman"/>
          <w:lang w:val="uk-UA" w:eastAsia="fr-FR"/>
        </w:rPr>
        <w:t>...</w:t>
      </w:r>
      <w:r w:rsidRPr="009A3F85">
        <w:rPr>
          <w:rFonts w:eastAsia="Times New Roman"/>
          <w:lang w:val="uk-UA" w:eastAsia="fr-FR"/>
        </w:rPr>
        <w:t xml:space="preserve"> розгляд його справи упродовж розумного строку </w:t>
      </w:r>
      <w:r w:rsidRPr="009A3F85" w:rsidR="009A3F85">
        <w:rPr>
          <w:rFonts w:eastAsia="Times New Roman"/>
          <w:lang w:val="uk-UA" w:eastAsia="fr-FR"/>
        </w:rPr>
        <w:t>...</w:t>
      </w:r>
      <w:r w:rsidRPr="009A3F85">
        <w:rPr>
          <w:rFonts w:eastAsia="Times New Roman"/>
          <w:lang w:val="uk-UA" w:eastAsia="fr-FR"/>
        </w:rPr>
        <w:t xml:space="preserve"> судом, встановленим законом, який вирішить спір щодо його прав та обов</w:t>
      </w:r>
      <w:r w:rsidRPr="009A3F85" w:rsidR="009A3F85">
        <w:rPr>
          <w:rFonts w:eastAsia="Times New Roman"/>
          <w:lang w:val="uk-UA" w:eastAsia="fr-FR"/>
        </w:rPr>
        <w:t>’</w:t>
      </w:r>
      <w:r w:rsidRPr="009A3F85">
        <w:rPr>
          <w:rFonts w:eastAsia="Times New Roman"/>
          <w:lang w:val="uk-UA" w:eastAsia="fr-FR"/>
        </w:rPr>
        <w:t>язків цивільного характеру ...»</w:t>
      </w:r>
    </w:p>
    <w:p w:rsidRPr="009A3F85" w:rsidR="006D147C" w:rsidP="009A3F85">
      <w:pPr>
        <w:pStyle w:val="ECHRTitleCentre3"/>
        <w:rPr>
          <w:rFonts w:eastAsia="Times New Roman"/>
          <w:lang w:val="uk-UA" w:eastAsia="fr-FR"/>
        </w:rPr>
      </w:pPr>
      <w:r w:rsidRPr="009A3F85">
        <w:rPr>
          <w:rFonts w:eastAsia="Times New Roman"/>
          <w:lang w:val="uk-UA" w:eastAsia="fr-FR"/>
        </w:rPr>
        <w:t>Стаття 1 Першого протоколу</w:t>
      </w:r>
    </w:p>
    <w:p w:rsidRPr="009A3F85" w:rsidR="006D147C" w:rsidP="009A3F85">
      <w:pPr>
        <w:pStyle w:val="ECHRParaQuote"/>
        <w:rPr>
          <w:rFonts w:eastAsia="Times New Roman"/>
          <w:lang w:val="uk-UA" w:eastAsia="fr-FR"/>
        </w:rPr>
      </w:pPr>
      <w:r w:rsidRPr="009A3F85">
        <w:rPr>
          <w:rFonts w:eastAsia="Times New Roman"/>
          <w:lang w:val="uk-UA" w:eastAsia="fr-FR"/>
        </w:rPr>
        <w:t>«</w:t>
      </w:r>
      <w:r w:rsidRPr="009A3F85">
        <w:rPr>
          <w:lang w:val="uk-UA"/>
        </w:rPr>
        <w:t>Кожна фізична або юридична особа має право мирно володіти своїм майном. Ніхто не може бути позбавлений своєї власності інакше як в інтересах суспільства і на умовах, передбачених законом і загальними принципами міжнародного права</w:t>
      </w:r>
      <w:r w:rsidRPr="009A3F85">
        <w:rPr>
          <w:rFonts w:eastAsia="Times New Roman"/>
          <w:lang w:val="uk-UA" w:eastAsia="fr-FR"/>
        </w:rPr>
        <w:t>.</w:t>
      </w:r>
    </w:p>
    <w:p w:rsidRPr="009A3F85" w:rsidR="006D147C" w:rsidP="009A3F85">
      <w:pPr>
        <w:pStyle w:val="ECHRParaQuote"/>
        <w:rPr>
          <w:rFonts w:eastAsia="Times New Roman"/>
          <w:lang w:val="uk-UA" w:eastAsia="fr-FR"/>
        </w:rPr>
      </w:pPr>
      <w:r w:rsidRPr="009A3F85">
        <w:rPr>
          <w:lang w:val="uk-UA"/>
        </w:rPr>
        <w:t>Проте попередні положення жодним чином не обмежують право держави вводити в дію такі закони, які вона вважає за необхідне, щоб здійснювати контроль за користуванням майном відповідно до загальних інтересів або для забезпечення сплати податків чи інших зборів або штрафів</w:t>
      </w:r>
      <w:r w:rsidRPr="009A3F85">
        <w:rPr>
          <w:rFonts w:eastAsia="Times New Roman"/>
          <w:lang w:val="uk-UA" w:eastAsia="fr-FR"/>
        </w:rPr>
        <w:t>.»</w:t>
      </w:r>
    </w:p>
    <w:p w:rsidRPr="009A3F85" w:rsidR="006D147C" w:rsidP="009A3F85">
      <w:pPr>
        <w:pStyle w:val="ECHRPara"/>
        <w:rPr>
          <w:rFonts w:eastAsia="Times New Roman"/>
          <w:lang w:val="uk-UA" w:eastAsia="fr-FR"/>
        </w:rPr>
      </w:pPr>
      <w:r w:rsidRPr="009A3F85">
        <w:rPr>
          <w:rFonts w:eastAsia="Times New Roman"/>
          <w:lang w:val="uk-UA" w:eastAsia="fr-FR"/>
        </w:rPr>
        <w:fldChar w:fldCharType="begin"/>
      </w:r>
      <w:r w:rsidRPr="009A3F85">
        <w:rPr>
          <w:rFonts w:eastAsia="Times New Roman"/>
          <w:lang w:val="uk-UA" w:eastAsia="fr-FR"/>
        </w:rPr>
        <w:instrText xml:space="preserve"> SEQ level0 \*arabic </w:instrText>
      </w:r>
      <w:r w:rsidRPr="009A3F85">
        <w:rPr>
          <w:rFonts w:eastAsia="Times New Roman"/>
          <w:lang w:val="uk-UA" w:eastAsia="fr-FR"/>
        </w:rPr>
        <w:fldChar w:fldCharType="separate"/>
      </w:r>
      <w:r w:rsidRPr="009A3F85" w:rsidR="009A3F85">
        <w:rPr>
          <w:rFonts w:eastAsia="Times New Roman"/>
          <w:noProof/>
          <w:lang w:val="uk-UA" w:eastAsia="fr-FR"/>
        </w:rPr>
        <w:t>30</w:t>
      </w:r>
      <w:r w:rsidRPr="009A3F85">
        <w:rPr>
          <w:rFonts w:eastAsia="Times New Roman"/>
          <w:lang w:val="uk-UA" w:eastAsia="fr-FR"/>
        </w:rPr>
        <w:fldChar w:fldCharType="end"/>
      </w:r>
      <w:r w:rsidRPr="009A3F85">
        <w:rPr>
          <w:rFonts w:eastAsia="Times New Roman"/>
          <w:lang w:val="uk-UA" w:eastAsia="fr-FR"/>
        </w:rPr>
        <w:t xml:space="preserve">.  Суд від початку зазначає, що ця заява є продовженням попередньої заяви, поданої тією </w:t>
      </w:r>
      <w:r w:rsidRPr="009A3F85" w:rsidR="006C637E">
        <w:rPr>
          <w:rFonts w:eastAsia="Times New Roman"/>
          <w:lang w:val="uk-UA" w:eastAsia="fr-FR"/>
        </w:rPr>
        <w:t>ж</w:t>
      </w:r>
      <w:r w:rsidRPr="009A3F85">
        <w:rPr>
          <w:rFonts w:eastAsia="Times New Roman"/>
          <w:lang w:val="uk-UA" w:eastAsia="fr-FR"/>
        </w:rPr>
        <w:t xml:space="preserve"> заявницею у зв</w:t>
      </w:r>
      <w:r w:rsidRPr="009A3F85" w:rsidR="009A3F85">
        <w:rPr>
          <w:rFonts w:eastAsia="Times New Roman"/>
          <w:lang w:val="uk-UA" w:eastAsia="fr-FR"/>
        </w:rPr>
        <w:t>’</w:t>
      </w:r>
      <w:r w:rsidRPr="009A3F85">
        <w:rPr>
          <w:rFonts w:eastAsia="Times New Roman"/>
          <w:lang w:val="uk-UA" w:eastAsia="fr-FR"/>
        </w:rPr>
        <w:t xml:space="preserve">язку з провадженням за цивільним позовом щодо спору </w:t>
      </w:r>
      <w:r w:rsidRPr="009A3F85" w:rsidR="00C96D2C">
        <w:rPr>
          <w:rFonts w:eastAsia="Times New Roman"/>
          <w:lang w:val="uk-UA" w:eastAsia="fr-FR"/>
        </w:rPr>
        <w:t xml:space="preserve">про </w:t>
      </w:r>
      <w:r w:rsidRPr="009A3F85">
        <w:rPr>
          <w:rFonts w:eastAsia="Times New Roman"/>
          <w:lang w:val="uk-UA" w:eastAsia="fr-FR"/>
        </w:rPr>
        <w:t xml:space="preserve">право на нерухоме майно. У своєму рішенні </w:t>
      </w:r>
      <w:r w:rsidRPr="009A3F85" w:rsidR="006C637E">
        <w:rPr>
          <w:rFonts w:eastAsia="Times New Roman"/>
          <w:lang w:val="uk-UA" w:eastAsia="fr-FR"/>
        </w:rPr>
        <w:t xml:space="preserve">щодо тієї заяви </w:t>
      </w:r>
      <w:r w:rsidRPr="009A3F85">
        <w:rPr>
          <w:rFonts w:eastAsia="Times New Roman"/>
          <w:lang w:val="uk-UA" w:eastAsia="fr-FR"/>
        </w:rPr>
        <w:t xml:space="preserve">від 3 травня 2007 року Суд постановив, що рішення національних судів були ухвалені у рамках провадження, що не </w:t>
      </w:r>
      <w:r w:rsidRPr="009A3F85" w:rsidR="00C96D2C">
        <w:rPr>
          <w:rFonts w:eastAsia="Times New Roman"/>
          <w:lang w:val="uk-UA" w:eastAsia="fr-FR"/>
        </w:rPr>
        <w:t xml:space="preserve">відповідало </w:t>
      </w:r>
      <w:r w:rsidRPr="009A3F85">
        <w:rPr>
          <w:rFonts w:eastAsia="Times New Roman"/>
          <w:lang w:val="uk-UA" w:eastAsia="fr-FR"/>
        </w:rPr>
        <w:t>встановленим пунктом 1 статті 6 Конвенції гарантіям справедливого суду щодо незалежності та безсторонності, юридичної визначеності</w:t>
      </w:r>
      <w:r w:rsidRPr="009A3F85" w:rsidR="006C637E">
        <w:rPr>
          <w:rFonts w:eastAsia="Times New Roman"/>
          <w:lang w:val="uk-UA" w:eastAsia="fr-FR"/>
        </w:rPr>
        <w:t xml:space="preserve"> і</w:t>
      </w:r>
      <w:r w:rsidRPr="009A3F85">
        <w:rPr>
          <w:rFonts w:eastAsia="Times New Roman"/>
          <w:lang w:val="uk-UA" w:eastAsia="fr-FR"/>
        </w:rPr>
        <w:t xml:space="preserve"> вимозі надати </w:t>
      </w:r>
      <w:r w:rsidRPr="009A3F85" w:rsidR="00C96D2C">
        <w:rPr>
          <w:rFonts w:eastAsia="Times New Roman"/>
          <w:lang w:val="uk-UA" w:eastAsia="fr-FR"/>
        </w:rPr>
        <w:t xml:space="preserve">достатнє обґрунтування </w:t>
      </w:r>
      <w:r w:rsidRPr="009A3F85">
        <w:rPr>
          <w:rFonts w:eastAsia="Times New Roman"/>
          <w:lang w:val="uk-UA" w:eastAsia="fr-FR"/>
        </w:rPr>
        <w:t>(див. пункти 13-15).</w:t>
      </w:r>
      <w:r w:rsidRPr="009A3F85">
        <w:rPr>
          <w:lang w:val="uk-UA"/>
        </w:rPr>
        <w:t xml:space="preserve"> Посилаючись головним чином на рішення Суду від </w:t>
      </w:r>
      <w:r w:rsidRPr="009A3F85">
        <w:rPr>
          <w:rFonts w:eastAsia="Times New Roman"/>
          <w:lang w:val="uk-UA" w:eastAsia="fr-FR"/>
        </w:rPr>
        <w:t xml:space="preserve">3 травня 2007 року, </w:t>
      </w:r>
      <w:r w:rsidRPr="009A3F85">
        <w:rPr>
          <w:lang w:val="uk-UA"/>
        </w:rPr>
        <w:t>заявниця подала до Верховного Суду України скаргу у зв</w:t>
      </w:r>
      <w:r w:rsidRPr="009A3F85" w:rsidR="009A3F85">
        <w:rPr>
          <w:lang w:val="uk-UA"/>
        </w:rPr>
        <w:t>’</w:t>
      </w:r>
      <w:r w:rsidRPr="009A3F85">
        <w:rPr>
          <w:lang w:val="uk-UA"/>
        </w:rPr>
        <w:t xml:space="preserve">язку з винятковими обставинами, оскаржуючи зазначені рішення. У рамках провадження, що закінчилося </w:t>
      </w:r>
      <w:r w:rsidRPr="009A3F85" w:rsidR="006C637E">
        <w:rPr>
          <w:lang w:val="uk-UA"/>
        </w:rPr>
        <w:t>постановленням</w:t>
      </w:r>
      <w:r w:rsidRPr="009A3F85">
        <w:rPr>
          <w:lang w:val="uk-UA"/>
        </w:rPr>
        <w:t xml:space="preserve"> </w:t>
      </w:r>
      <w:r w:rsidRPr="009A3F85" w:rsidR="006C637E">
        <w:rPr>
          <w:lang w:val="uk-UA"/>
        </w:rPr>
        <w:t xml:space="preserve">у березні 2008 року </w:t>
      </w:r>
      <w:r w:rsidRPr="009A3F85">
        <w:rPr>
          <w:lang w:val="uk-UA"/>
        </w:rPr>
        <w:t xml:space="preserve">рішення, що є предметом цієї заяви, Верховний Суд України </w:t>
      </w:r>
      <w:r w:rsidRPr="009A3F85" w:rsidR="006C637E">
        <w:rPr>
          <w:lang w:val="uk-UA"/>
        </w:rPr>
        <w:t>відмовив у задоволенні</w:t>
      </w:r>
      <w:r w:rsidRPr="009A3F85">
        <w:rPr>
          <w:lang w:val="uk-UA"/>
        </w:rPr>
        <w:t xml:space="preserve"> скарг</w:t>
      </w:r>
      <w:r w:rsidRPr="009A3F85" w:rsidR="006C637E">
        <w:rPr>
          <w:lang w:val="uk-UA"/>
        </w:rPr>
        <w:t>и</w:t>
      </w:r>
      <w:r w:rsidRPr="009A3F85">
        <w:rPr>
          <w:lang w:val="uk-UA"/>
        </w:rPr>
        <w:t xml:space="preserve"> заявниці, вирішивши, що </w:t>
      </w:r>
      <w:r w:rsidRPr="009A3F85" w:rsidR="006C637E">
        <w:rPr>
          <w:lang w:val="uk-UA"/>
        </w:rPr>
        <w:t>постановлені</w:t>
      </w:r>
      <w:r w:rsidRPr="009A3F85">
        <w:rPr>
          <w:lang w:val="uk-UA"/>
        </w:rPr>
        <w:t xml:space="preserve"> на національно</w:t>
      </w:r>
      <w:r w:rsidRPr="009A3F85" w:rsidR="006C637E">
        <w:rPr>
          <w:lang w:val="uk-UA"/>
        </w:rPr>
        <w:t>м</w:t>
      </w:r>
      <w:r w:rsidRPr="009A3F85">
        <w:rPr>
          <w:lang w:val="uk-UA"/>
        </w:rPr>
        <w:t>у</w:t>
      </w:r>
      <w:r w:rsidRPr="009A3F85" w:rsidR="006C637E">
        <w:rPr>
          <w:lang w:val="uk-UA"/>
        </w:rPr>
        <w:t xml:space="preserve"> </w:t>
      </w:r>
      <w:r w:rsidRPr="009A3F85">
        <w:rPr>
          <w:lang w:val="uk-UA"/>
        </w:rPr>
        <w:t xml:space="preserve">рівні рішення були вірними та </w:t>
      </w:r>
      <w:r w:rsidRPr="009A3F85" w:rsidR="00C96D2C">
        <w:rPr>
          <w:lang w:val="uk-UA"/>
        </w:rPr>
        <w:t xml:space="preserve">достатньо </w:t>
      </w:r>
      <w:r w:rsidRPr="009A3F85">
        <w:rPr>
          <w:lang w:val="uk-UA"/>
        </w:rPr>
        <w:t>обґрунтованими.</w:t>
      </w:r>
    </w:p>
    <w:p w:rsidRPr="009A3F85" w:rsidR="006D147C" w:rsidP="009A3F85">
      <w:pPr>
        <w:pStyle w:val="ECHRPara"/>
        <w:rPr>
          <w:rFonts w:eastAsia="Times New Roman"/>
          <w:lang w:val="uk-UA" w:eastAsia="fr-FR"/>
        </w:rPr>
      </w:pPr>
      <w:r w:rsidRPr="009A3F85">
        <w:rPr>
          <w:rFonts w:eastAsia="Times New Roman"/>
          <w:lang w:val="uk-UA" w:eastAsia="fr-FR"/>
        </w:rPr>
        <w:fldChar w:fldCharType="begin"/>
      </w:r>
      <w:r w:rsidRPr="009A3F85">
        <w:rPr>
          <w:rFonts w:eastAsia="Times New Roman"/>
          <w:lang w:val="uk-UA" w:eastAsia="fr-FR"/>
        </w:rPr>
        <w:instrText xml:space="preserve"> SEQ level0 \*arabic </w:instrText>
      </w:r>
      <w:r w:rsidRPr="009A3F85">
        <w:rPr>
          <w:rFonts w:eastAsia="Times New Roman"/>
          <w:lang w:val="uk-UA" w:eastAsia="fr-FR"/>
        </w:rPr>
        <w:fldChar w:fldCharType="separate"/>
      </w:r>
      <w:r w:rsidRPr="009A3F85" w:rsidR="009A3F85">
        <w:rPr>
          <w:rFonts w:eastAsia="Times New Roman"/>
          <w:noProof/>
          <w:lang w:val="uk-UA" w:eastAsia="fr-FR"/>
        </w:rPr>
        <w:t>31</w:t>
      </w:r>
      <w:r w:rsidRPr="009A3F85">
        <w:rPr>
          <w:rFonts w:eastAsia="Times New Roman"/>
          <w:lang w:val="uk-UA" w:eastAsia="fr-FR"/>
        </w:rPr>
        <w:fldChar w:fldCharType="end"/>
      </w:r>
      <w:r w:rsidRPr="009A3F85">
        <w:rPr>
          <w:rFonts w:eastAsia="Times New Roman"/>
          <w:lang w:val="uk-UA" w:eastAsia="fr-FR"/>
        </w:rPr>
        <w:t>.  У першу чергу Суд повинен визначити, чи не заборонено йому статтею 46 Конвенції розглядати</w:t>
      </w:r>
      <w:r w:rsidRPr="009A3F85" w:rsidR="006A41D9">
        <w:rPr>
          <w:rFonts w:eastAsia="Times New Roman"/>
          <w:lang w:val="uk-UA" w:eastAsia="fr-FR"/>
        </w:rPr>
        <w:t>,</w:t>
      </w:r>
      <w:r w:rsidRPr="009A3F85">
        <w:rPr>
          <w:rFonts w:eastAsia="Times New Roman"/>
          <w:lang w:val="uk-UA" w:eastAsia="fr-FR"/>
        </w:rPr>
        <w:t xml:space="preserve"> </w:t>
      </w:r>
      <w:r w:rsidRPr="009A3F85" w:rsidR="001F1B9D">
        <w:rPr>
          <w:rFonts w:eastAsia="Times New Roman"/>
          <w:lang w:val="uk-UA" w:eastAsia="fr-FR"/>
        </w:rPr>
        <w:t>подані заявницею</w:t>
      </w:r>
      <w:r w:rsidRPr="009A3F85" w:rsidR="006A41D9">
        <w:rPr>
          <w:rFonts w:eastAsia="Times New Roman"/>
          <w:lang w:val="uk-UA" w:eastAsia="fr-FR"/>
        </w:rPr>
        <w:t>,</w:t>
      </w:r>
      <w:r w:rsidRPr="009A3F85" w:rsidR="001F1B9D">
        <w:rPr>
          <w:rFonts w:eastAsia="Times New Roman"/>
          <w:lang w:val="uk-UA" w:eastAsia="fr-FR"/>
        </w:rPr>
        <w:t xml:space="preserve"> </w:t>
      </w:r>
      <w:r w:rsidRPr="009A3F85">
        <w:rPr>
          <w:rFonts w:eastAsia="Times New Roman"/>
          <w:lang w:val="uk-UA" w:eastAsia="fr-FR"/>
        </w:rPr>
        <w:t xml:space="preserve">різні скарги з </w:t>
      </w:r>
      <w:r w:rsidRPr="009A3F85" w:rsidR="001F1B9D">
        <w:rPr>
          <w:rFonts w:eastAsia="Times New Roman"/>
          <w:lang w:val="uk-UA" w:eastAsia="fr-FR"/>
        </w:rPr>
        <w:t xml:space="preserve">огляду </w:t>
      </w:r>
      <w:r w:rsidRPr="009A3F85" w:rsidR="006A41D9">
        <w:rPr>
          <w:rFonts w:eastAsia="Times New Roman"/>
          <w:lang w:val="uk-UA" w:eastAsia="fr-FR"/>
        </w:rPr>
        <w:t xml:space="preserve">на </w:t>
      </w:r>
      <w:r w:rsidRPr="009A3F85" w:rsidR="001F1B9D">
        <w:rPr>
          <w:rFonts w:eastAsia="Times New Roman"/>
          <w:lang w:val="uk-UA" w:eastAsia="fr-FR"/>
        </w:rPr>
        <w:t xml:space="preserve">встановлений </w:t>
      </w:r>
      <w:r w:rsidRPr="009A3F85">
        <w:rPr>
          <w:rFonts w:eastAsia="Times New Roman"/>
          <w:lang w:val="uk-UA" w:eastAsia="fr-FR"/>
        </w:rPr>
        <w:t xml:space="preserve">Конвенцією розподіл повноважень між Комітетом </w:t>
      </w:r>
      <w:r w:rsidRPr="009A3F85" w:rsidR="00EA628B">
        <w:rPr>
          <w:rFonts w:eastAsia="Times New Roman"/>
          <w:lang w:val="uk-UA" w:eastAsia="fr-FR"/>
        </w:rPr>
        <w:t xml:space="preserve">міністрів </w:t>
      </w:r>
      <w:r w:rsidRPr="009A3F85">
        <w:rPr>
          <w:rFonts w:eastAsia="Times New Roman"/>
          <w:lang w:val="uk-UA" w:eastAsia="fr-FR"/>
        </w:rPr>
        <w:t>та Судом щодо нагляду за виконанням рішень Суду (див., наприклад, ухвалу щодо прийнятності у справі «Лайонз та інші проти Сполученого Королівства» (</w:t>
      </w:r>
      <w:r w:rsidRPr="009A3F85">
        <w:rPr>
          <w:rFonts w:eastAsia="Times New Roman"/>
          <w:i/>
          <w:lang w:val="uk-UA" w:eastAsia="fr-FR"/>
        </w:rPr>
        <w:t>Lyons and Others v. the United Kingdom</w:t>
      </w:r>
      <w:r w:rsidRPr="009A3F85">
        <w:rPr>
          <w:rFonts w:eastAsia="Times New Roman"/>
          <w:lang w:val="uk-UA" w:eastAsia="fr-FR"/>
        </w:rPr>
        <w:t>), заява № 15227/03, ECHR 2003</w:t>
      </w:r>
      <w:r w:rsidRPr="009A3F85">
        <w:rPr>
          <w:rFonts w:eastAsia="Times New Roman"/>
          <w:lang w:val="uk-UA" w:eastAsia="fr-FR"/>
        </w:rPr>
        <w:noBreakHyphen/>
        <w:t>IX).</w:t>
      </w:r>
      <w:r w:rsidRPr="009A3F85">
        <w:rPr>
          <w:rFonts w:eastAsia="Times New Roman"/>
          <w:lang w:val="uk-UA"/>
        </w:rPr>
        <w:t xml:space="preserve"> По-друге, тією мірою, якою це не заборонено, Суд має розглянути, чи </w:t>
      </w:r>
      <w:r w:rsidRPr="009A3F85" w:rsidR="007F5C09">
        <w:rPr>
          <w:rFonts w:eastAsia="Times New Roman"/>
          <w:lang w:val="uk-UA"/>
        </w:rPr>
        <w:t>були</w:t>
      </w:r>
      <w:r w:rsidRPr="009A3F85">
        <w:rPr>
          <w:rFonts w:eastAsia="Times New Roman"/>
          <w:lang w:val="uk-UA"/>
        </w:rPr>
        <w:t xml:space="preserve"> у провадженні на національному рівні за скаргою заявниці у зв</w:t>
      </w:r>
      <w:r w:rsidRPr="009A3F85" w:rsidR="009A3F85">
        <w:rPr>
          <w:rFonts w:eastAsia="Times New Roman"/>
          <w:lang w:val="uk-UA"/>
        </w:rPr>
        <w:t>’</w:t>
      </w:r>
      <w:r w:rsidRPr="009A3F85">
        <w:rPr>
          <w:rFonts w:eastAsia="Times New Roman"/>
          <w:lang w:val="uk-UA"/>
        </w:rPr>
        <w:t xml:space="preserve">язку з винятковими обставинами </w:t>
      </w:r>
      <w:r w:rsidRPr="009A3F85" w:rsidR="001F1B9D">
        <w:rPr>
          <w:rFonts w:eastAsia="Times New Roman"/>
          <w:lang w:val="uk-UA"/>
        </w:rPr>
        <w:t xml:space="preserve">застосовані </w:t>
      </w:r>
      <w:r w:rsidRPr="009A3F85">
        <w:rPr>
          <w:rFonts w:eastAsia="Times New Roman"/>
          <w:lang w:val="uk-UA"/>
        </w:rPr>
        <w:t xml:space="preserve">гарантії Конвенції, зокрема гарантії за пунктом 1 її статті 6 </w:t>
      </w:r>
      <w:r w:rsidRPr="009A3F85" w:rsidR="007F5C09">
        <w:rPr>
          <w:rFonts w:eastAsia="Times New Roman"/>
          <w:lang w:val="uk-UA"/>
        </w:rPr>
        <w:t xml:space="preserve">Конвенції </w:t>
      </w:r>
      <w:r w:rsidRPr="009A3F85">
        <w:rPr>
          <w:rFonts w:eastAsia="Times New Roman"/>
          <w:lang w:val="uk-UA"/>
        </w:rPr>
        <w:t>(див. ухвалу щодо прийнятності від</w:t>
      </w:r>
      <w:r w:rsidRPr="009A3F85">
        <w:rPr>
          <w:rFonts w:eastAsia="Times New Roman"/>
          <w:color w:val="000000"/>
          <w:szCs w:val="24"/>
          <w:lang w:val="uk-UA" w:eastAsia="en-GB"/>
        </w:rPr>
        <w:t xml:space="preserve"> </w:t>
      </w:r>
      <w:r w:rsidRPr="009A3F85">
        <w:rPr>
          <w:rFonts w:eastAsia="Times New Roman"/>
          <w:lang w:val="uk-UA"/>
        </w:rPr>
        <w:t xml:space="preserve">11 травня 2010 року у справі «Штек-Ріш та інші </w:t>
      </w:r>
      <w:r w:rsidRPr="009A3F85">
        <w:rPr>
          <w:rFonts w:eastAsia="Times New Roman"/>
          <w:lang w:val="uk-UA"/>
        </w:rPr>
        <w:t xml:space="preserve">проти </w:t>
      </w:r>
      <w:r w:rsidRPr="009A3F85" w:rsidR="00B8226B">
        <w:rPr>
          <w:rFonts w:eastAsia="Times New Roman"/>
          <w:lang w:val="uk-UA"/>
        </w:rPr>
        <w:t>Ліхтенштейну</w:t>
      </w:r>
      <w:r w:rsidRPr="009A3F85">
        <w:rPr>
          <w:rFonts w:eastAsia="Times New Roman"/>
          <w:lang w:val="uk-UA"/>
        </w:rPr>
        <w:t>» (</w:t>
      </w:r>
      <w:r w:rsidRPr="009A3F85">
        <w:rPr>
          <w:rFonts w:eastAsia="Times New Roman"/>
          <w:i/>
          <w:iCs/>
          <w:color w:val="000000"/>
          <w:szCs w:val="24"/>
          <w:lang w:val="uk-UA" w:eastAsia="en-GB"/>
        </w:rPr>
        <w:t>Steck-Risch and Others v. Liechtenstein</w:t>
      </w:r>
      <w:r w:rsidRPr="009A3F85">
        <w:rPr>
          <w:rFonts w:eastAsia="Times New Roman"/>
          <w:lang w:val="uk-UA"/>
        </w:rPr>
        <w:t xml:space="preserve">), </w:t>
      </w:r>
      <w:r w:rsidRPr="009A3F85">
        <w:rPr>
          <w:rFonts w:eastAsia="Times New Roman"/>
          <w:color w:val="000000"/>
          <w:szCs w:val="24"/>
          <w:lang w:val="uk-UA" w:eastAsia="en-GB"/>
        </w:rPr>
        <w:t>заява №</w:t>
      </w:r>
      <w:r w:rsidRPr="009A3F85">
        <w:rPr>
          <w:rFonts w:eastAsia="Times New Roman"/>
          <w:lang w:val="uk-UA" w:eastAsia="fr-FR"/>
        </w:rPr>
        <w:t> </w:t>
      </w:r>
      <w:r w:rsidRPr="009A3F85">
        <w:rPr>
          <w:rFonts w:eastAsia="Times New Roman"/>
          <w:color w:val="000000"/>
          <w:szCs w:val="24"/>
          <w:lang w:val="uk-UA" w:eastAsia="en-GB"/>
        </w:rPr>
        <w:t>29061/08,</w:t>
      </w:r>
      <w:r w:rsidRPr="009A3F85">
        <w:rPr>
          <w:rFonts w:eastAsia="Times New Roman"/>
          <w:lang w:val="uk-UA"/>
        </w:rPr>
        <w:t>), а якщо так, то чи було дотримано вимог пункту 1 статті 6 Конвенції.</w:t>
      </w:r>
    </w:p>
    <w:p w:rsidRPr="009A3F85" w:rsidR="006D147C" w:rsidP="009A3F85">
      <w:pPr>
        <w:pStyle w:val="ECHRPara"/>
        <w:rPr>
          <w:rFonts w:eastAsia="Times New Roman"/>
          <w:lang w:val="uk-UA" w:eastAsia="fr-FR"/>
        </w:rPr>
      </w:pPr>
      <w:r w:rsidRPr="009A3F85">
        <w:rPr>
          <w:rFonts w:eastAsia="Times New Roman"/>
          <w:lang w:val="uk-UA" w:eastAsia="fr-FR"/>
        </w:rPr>
        <w:fldChar w:fldCharType="begin"/>
      </w:r>
      <w:r w:rsidRPr="009A3F85">
        <w:rPr>
          <w:rFonts w:eastAsia="Times New Roman"/>
          <w:lang w:val="uk-UA" w:eastAsia="fr-FR"/>
        </w:rPr>
        <w:instrText xml:space="preserve"> SEQ level0 \*arabic </w:instrText>
      </w:r>
      <w:r w:rsidRPr="009A3F85">
        <w:rPr>
          <w:rFonts w:eastAsia="Times New Roman"/>
          <w:lang w:val="uk-UA" w:eastAsia="fr-FR"/>
        </w:rPr>
        <w:fldChar w:fldCharType="separate"/>
      </w:r>
      <w:r w:rsidRPr="009A3F85" w:rsidR="009A3F85">
        <w:rPr>
          <w:rFonts w:eastAsia="Times New Roman"/>
          <w:noProof/>
          <w:lang w:val="uk-UA" w:eastAsia="fr-FR"/>
        </w:rPr>
        <w:t>32</w:t>
      </w:r>
      <w:r w:rsidRPr="009A3F85">
        <w:rPr>
          <w:rFonts w:eastAsia="Times New Roman"/>
          <w:lang w:val="uk-UA" w:eastAsia="fr-FR"/>
        </w:rPr>
        <w:fldChar w:fldCharType="end"/>
      </w:r>
      <w:r w:rsidRPr="009A3F85">
        <w:rPr>
          <w:rFonts w:eastAsia="Times New Roman"/>
          <w:lang w:val="uk-UA" w:eastAsia="fr-FR"/>
        </w:rPr>
        <w:t>.  </w:t>
      </w:r>
      <w:r w:rsidRPr="009A3F85" w:rsidR="001F1B9D">
        <w:rPr>
          <w:rFonts w:eastAsia="Times New Roman"/>
          <w:lang w:val="uk-UA" w:eastAsia="fr-FR"/>
        </w:rPr>
        <w:t xml:space="preserve">Передусім </w:t>
      </w:r>
      <w:r w:rsidRPr="009A3F85">
        <w:rPr>
          <w:rFonts w:eastAsia="Times New Roman"/>
          <w:lang w:val="uk-UA" w:eastAsia="fr-FR"/>
        </w:rPr>
        <w:t xml:space="preserve">слід </w:t>
      </w:r>
      <w:r w:rsidRPr="009A3F85" w:rsidR="007F5C09">
        <w:rPr>
          <w:rFonts w:eastAsia="Times New Roman"/>
          <w:lang w:val="uk-UA" w:eastAsia="fr-FR"/>
        </w:rPr>
        <w:t>зазначити</w:t>
      </w:r>
      <w:r w:rsidRPr="009A3F85">
        <w:rPr>
          <w:rFonts w:eastAsia="Times New Roman"/>
          <w:lang w:val="uk-UA" w:eastAsia="fr-FR"/>
        </w:rPr>
        <w:t>, що скарги заявниці головним чином спрямовані проти провадження за її скаргою у зв</w:t>
      </w:r>
      <w:r w:rsidRPr="009A3F85" w:rsidR="009A3F85">
        <w:rPr>
          <w:rFonts w:eastAsia="Times New Roman"/>
          <w:lang w:val="uk-UA" w:eastAsia="fr-FR"/>
        </w:rPr>
        <w:t>’</w:t>
      </w:r>
      <w:r w:rsidRPr="009A3F85">
        <w:rPr>
          <w:rFonts w:eastAsia="Times New Roman"/>
          <w:lang w:val="uk-UA" w:eastAsia="fr-FR"/>
        </w:rPr>
        <w:t>язку з винятковими обставинами, поданою 14 червня 2007 року</w:t>
      </w:r>
      <w:r w:rsidRPr="009A3F85" w:rsidR="001F1B9D">
        <w:rPr>
          <w:rFonts w:eastAsia="Times New Roman"/>
          <w:lang w:val="uk-UA" w:eastAsia="fr-FR"/>
        </w:rPr>
        <w:t>,</w:t>
      </w:r>
      <w:r w:rsidRPr="009A3F85">
        <w:rPr>
          <w:rFonts w:eastAsia="Times New Roman"/>
          <w:lang w:val="uk-UA" w:eastAsia="fr-FR"/>
        </w:rPr>
        <w:t xml:space="preserve"> у задоволенні якої </w:t>
      </w:r>
      <w:r w:rsidRPr="009A3F85" w:rsidR="007F5C09">
        <w:rPr>
          <w:rFonts w:eastAsia="Times New Roman"/>
          <w:lang w:val="uk-UA" w:eastAsia="fr-FR"/>
        </w:rPr>
        <w:t xml:space="preserve">було відмовлено </w:t>
      </w:r>
      <w:r w:rsidRPr="009A3F85">
        <w:rPr>
          <w:rFonts w:eastAsia="Times New Roman"/>
          <w:lang w:val="uk-UA" w:eastAsia="fr-FR"/>
        </w:rPr>
        <w:t>Верховни</w:t>
      </w:r>
      <w:r w:rsidRPr="009A3F85" w:rsidR="007F5C09">
        <w:rPr>
          <w:rFonts w:eastAsia="Times New Roman"/>
          <w:lang w:val="uk-UA" w:eastAsia="fr-FR"/>
        </w:rPr>
        <w:t>м</w:t>
      </w:r>
      <w:r w:rsidRPr="009A3F85">
        <w:rPr>
          <w:rFonts w:eastAsia="Times New Roman"/>
          <w:lang w:val="uk-UA" w:eastAsia="fr-FR"/>
        </w:rPr>
        <w:t xml:space="preserve"> Суд</w:t>
      </w:r>
      <w:r w:rsidRPr="009A3F85" w:rsidR="007F5C09">
        <w:rPr>
          <w:rFonts w:eastAsia="Times New Roman"/>
          <w:lang w:val="uk-UA" w:eastAsia="fr-FR"/>
        </w:rPr>
        <w:t>ом</w:t>
      </w:r>
      <w:r w:rsidRPr="009A3F85">
        <w:rPr>
          <w:rFonts w:eastAsia="Times New Roman"/>
          <w:lang w:val="uk-UA" w:eastAsia="fr-FR"/>
        </w:rPr>
        <w:t xml:space="preserve"> України </w:t>
      </w:r>
      <w:r w:rsidRPr="009A3F85" w:rsidR="001F1B9D">
        <w:rPr>
          <w:rFonts w:eastAsia="Times New Roman"/>
          <w:lang w:val="uk-UA" w:eastAsia="fr-FR"/>
        </w:rPr>
        <w:t xml:space="preserve">14 </w:t>
      </w:r>
      <w:r w:rsidRPr="009A3F85">
        <w:rPr>
          <w:rFonts w:eastAsia="Times New Roman"/>
          <w:lang w:val="uk-UA" w:eastAsia="fr-FR"/>
        </w:rPr>
        <w:t>березня 2008</w:t>
      </w:r>
      <w:r w:rsidRPr="009A3F85" w:rsidR="001F1B9D">
        <w:rPr>
          <w:rFonts w:eastAsia="Times New Roman"/>
          <w:lang w:val="uk-UA" w:eastAsia="fr-FR"/>
        </w:rPr>
        <w:t xml:space="preserve"> </w:t>
      </w:r>
      <w:r w:rsidRPr="009A3F85">
        <w:rPr>
          <w:rFonts w:eastAsia="Times New Roman"/>
          <w:lang w:val="uk-UA" w:eastAsia="fr-FR"/>
        </w:rPr>
        <w:t>року. Пам</w:t>
      </w:r>
      <w:r w:rsidRPr="009A3F85" w:rsidR="009A3F85">
        <w:rPr>
          <w:rFonts w:eastAsia="Times New Roman"/>
          <w:lang w:val="uk-UA" w:eastAsia="fr-FR"/>
        </w:rPr>
        <w:t>’</w:t>
      </w:r>
      <w:r w:rsidRPr="009A3F85">
        <w:rPr>
          <w:rFonts w:eastAsia="Times New Roman"/>
          <w:lang w:val="uk-UA" w:eastAsia="fr-FR"/>
        </w:rPr>
        <w:t xml:space="preserve">ятаючи про характер та результат розгляду наступної аналогічної скарги заявниці, у задоволенні якої Верховний Суд України відмовив 5 червня 2008 року, Суд також враховуватиме </w:t>
      </w:r>
      <w:r w:rsidRPr="009A3F85" w:rsidR="007F5C09">
        <w:rPr>
          <w:rFonts w:eastAsia="Times New Roman"/>
          <w:lang w:val="uk-UA" w:eastAsia="fr-FR"/>
        </w:rPr>
        <w:t xml:space="preserve">це </w:t>
      </w:r>
      <w:r w:rsidRPr="009A3F85">
        <w:rPr>
          <w:rFonts w:eastAsia="Times New Roman"/>
          <w:lang w:val="uk-UA" w:eastAsia="fr-FR"/>
        </w:rPr>
        <w:t>останнє провадження (див. пункти 55-56).</w:t>
      </w:r>
    </w:p>
    <w:p w:rsidRPr="009A3F85" w:rsidR="006D147C" w:rsidP="009A3F85">
      <w:pPr>
        <w:pStyle w:val="ECHRHeading2"/>
        <w:rPr>
          <w:rFonts w:eastAsia="Times New Roman"/>
          <w:lang w:val="uk-UA" w:eastAsia="fr-FR"/>
        </w:rPr>
      </w:pPr>
      <w:r w:rsidRPr="009A3F85">
        <w:rPr>
          <w:rFonts w:eastAsia="Times New Roman"/>
          <w:lang w:val="uk-UA" w:eastAsia="fr-FR"/>
        </w:rPr>
        <w:t xml:space="preserve">A.  Чи забороняє стаття 46 Конвенції </w:t>
      </w:r>
      <w:r w:rsidRPr="009A3F85" w:rsidR="00205A07">
        <w:rPr>
          <w:rFonts w:eastAsia="Times New Roman"/>
          <w:lang w:val="uk-UA" w:eastAsia="fr-FR"/>
        </w:rPr>
        <w:t xml:space="preserve">Суду </w:t>
      </w:r>
      <w:r w:rsidRPr="009A3F85">
        <w:rPr>
          <w:rFonts w:eastAsia="Times New Roman"/>
          <w:lang w:val="uk-UA" w:eastAsia="fr-FR"/>
        </w:rPr>
        <w:t>розглядати скарги, наведені у цій заяві</w:t>
      </w:r>
    </w:p>
    <w:p w:rsidRPr="009A3F85" w:rsidR="006D147C" w:rsidP="009A3F85">
      <w:pPr>
        <w:pStyle w:val="ECHRHeading3"/>
        <w:rPr>
          <w:lang w:val="uk-UA"/>
        </w:rPr>
      </w:pPr>
      <w:r w:rsidRPr="009A3F85">
        <w:rPr>
          <w:lang w:val="uk-UA"/>
        </w:rPr>
        <w:t>1.  Загальні принципи</w:t>
      </w:r>
    </w:p>
    <w:p w:rsidRPr="009A3F85" w:rsidR="006D147C" w:rsidP="009A3F85">
      <w:pPr>
        <w:pStyle w:val="ECHRPara"/>
        <w:rPr>
          <w:i/>
          <w:szCs w:val="24"/>
          <w:lang w:val="uk-UA"/>
        </w:rPr>
      </w:pPr>
      <w:r w:rsidRPr="009A3F85">
        <w:rPr>
          <w:rFonts w:eastAsia="Times New Roman"/>
          <w:lang w:val="uk-UA" w:eastAsia="fr-FR"/>
        </w:rPr>
        <w:fldChar w:fldCharType="begin"/>
      </w:r>
      <w:r w:rsidRPr="009A3F85">
        <w:rPr>
          <w:rFonts w:eastAsia="Times New Roman"/>
          <w:lang w:val="uk-UA" w:eastAsia="fr-FR"/>
        </w:rPr>
        <w:instrText xml:space="preserve"> SEQ level0 \*arabic </w:instrText>
      </w:r>
      <w:r w:rsidRPr="009A3F85">
        <w:rPr>
          <w:rFonts w:eastAsia="Times New Roman"/>
          <w:lang w:val="uk-UA" w:eastAsia="fr-FR"/>
        </w:rPr>
        <w:fldChar w:fldCharType="separate"/>
      </w:r>
      <w:r w:rsidRPr="009A3F85" w:rsidR="009A3F85">
        <w:rPr>
          <w:rFonts w:eastAsia="Times New Roman"/>
          <w:noProof/>
          <w:lang w:val="uk-UA" w:eastAsia="fr-FR"/>
        </w:rPr>
        <w:t>33</w:t>
      </w:r>
      <w:r w:rsidRPr="009A3F85">
        <w:rPr>
          <w:rFonts w:eastAsia="Times New Roman"/>
          <w:lang w:val="uk-UA" w:eastAsia="fr-FR"/>
        </w:rPr>
        <w:fldChar w:fldCharType="end"/>
      </w:r>
      <w:r w:rsidRPr="009A3F85">
        <w:rPr>
          <w:rFonts w:eastAsia="Times New Roman"/>
          <w:lang w:val="uk-UA" w:eastAsia="fr-FR"/>
        </w:rPr>
        <w:t xml:space="preserve">.  Питання щодо виконання Високими Договірними Сторонами рішень Суду не </w:t>
      </w:r>
      <w:r w:rsidRPr="009A3F85" w:rsidR="001F1B9D">
        <w:rPr>
          <w:rFonts w:eastAsia="Times New Roman"/>
          <w:lang w:val="uk-UA" w:eastAsia="fr-FR"/>
        </w:rPr>
        <w:t>підпадає під</w:t>
      </w:r>
      <w:r w:rsidRPr="009A3F85">
        <w:rPr>
          <w:rFonts w:eastAsia="Times New Roman"/>
          <w:lang w:val="uk-UA" w:eastAsia="fr-FR"/>
        </w:rPr>
        <w:t xml:space="preserve"> його юрисдикці</w:t>
      </w:r>
      <w:r w:rsidRPr="009A3F85" w:rsidR="001F1B9D">
        <w:rPr>
          <w:rFonts w:eastAsia="Times New Roman"/>
          <w:lang w:val="uk-UA" w:eastAsia="fr-FR"/>
        </w:rPr>
        <w:t>ю</w:t>
      </w:r>
      <w:r w:rsidRPr="009A3F85" w:rsidR="007F5C09">
        <w:rPr>
          <w:rFonts w:eastAsia="Times New Roman"/>
          <w:lang w:val="uk-UA" w:eastAsia="fr-FR"/>
        </w:rPr>
        <w:t>,</w:t>
      </w:r>
      <w:r w:rsidRPr="009A3F85">
        <w:rPr>
          <w:rFonts w:eastAsia="Times New Roman"/>
          <w:lang w:val="uk-UA" w:eastAsia="fr-FR"/>
        </w:rPr>
        <w:t xml:space="preserve"> якщо це питання не порушено у контексті «</w:t>
      </w:r>
      <w:r w:rsidRPr="009A3F85" w:rsidR="00205A07">
        <w:rPr>
          <w:rFonts w:eastAsia="Times New Roman"/>
          <w:lang w:val="uk-UA" w:eastAsia="fr-FR"/>
        </w:rPr>
        <w:t>провадження щодо вирішення питання про невиконання рішення</w:t>
      </w:r>
      <w:r w:rsidRPr="009A3F85">
        <w:rPr>
          <w:rFonts w:eastAsia="Times New Roman"/>
          <w:lang w:val="uk-UA" w:eastAsia="fr-FR"/>
        </w:rPr>
        <w:t xml:space="preserve">», </w:t>
      </w:r>
      <w:r w:rsidRPr="009A3F85" w:rsidR="00205A07">
        <w:rPr>
          <w:rFonts w:eastAsia="Times New Roman"/>
          <w:lang w:val="uk-UA" w:eastAsia="fr-FR"/>
        </w:rPr>
        <w:t xml:space="preserve">передбаченого </w:t>
      </w:r>
      <w:r w:rsidRPr="009A3F85">
        <w:rPr>
          <w:rFonts w:eastAsia="Times New Roman"/>
          <w:lang w:val="uk-UA" w:eastAsia="fr-FR"/>
        </w:rPr>
        <w:t>пунктами 4 та 5 статті 46 Конвенції (див. рішення від</w:t>
      </w:r>
      <w:r w:rsidRPr="009A3F85">
        <w:rPr>
          <w:rFonts w:eastAsia="Times New Roman"/>
          <w:snapToGrid w:val="0"/>
          <w:szCs w:val="24"/>
          <w:lang w:val="uk-UA"/>
        </w:rPr>
        <w:t xml:space="preserve"> 18 жовтня 2011 року </w:t>
      </w:r>
      <w:r w:rsidRPr="009A3F85">
        <w:rPr>
          <w:rFonts w:eastAsia="Times New Roman"/>
          <w:lang w:val="uk-UA" w:eastAsia="fr-FR"/>
        </w:rPr>
        <w:t>у справі «</w:t>
      </w:r>
      <w:r w:rsidRPr="009A3F85">
        <w:rPr>
          <w:rFonts w:eastAsia="Times New Roman"/>
          <w:lang w:val="uk-UA"/>
        </w:rPr>
        <w:t>Об</w:t>
      </w:r>
      <w:r w:rsidRPr="009A3F85" w:rsidR="009A3F85">
        <w:rPr>
          <w:rFonts w:eastAsia="Times New Roman"/>
          <w:lang w:val="uk-UA"/>
        </w:rPr>
        <w:t>’</w:t>
      </w:r>
      <w:r w:rsidRPr="009A3F85">
        <w:rPr>
          <w:rFonts w:eastAsia="Times New Roman"/>
          <w:lang w:val="uk-UA"/>
        </w:rPr>
        <w:t>єднана македонська організація “Ilinden – PIRIN” та інші проти Болгарії (№</w:t>
      </w:r>
      <w:r w:rsidRPr="009A3F85">
        <w:rPr>
          <w:rFonts w:eastAsia="Times New Roman"/>
          <w:lang w:val="uk-UA" w:eastAsia="fr-FR"/>
        </w:rPr>
        <w:t> </w:t>
      </w:r>
      <w:r w:rsidRPr="009A3F85">
        <w:rPr>
          <w:rFonts w:eastAsia="Times New Roman"/>
          <w:lang w:val="uk-UA"/>
        </w:rPr>
        <w:t>2)</w:t>
      </w:r>
      <w:r w:rsidRPr="009A3F85">
        <w:rPr>
          <w:rFonts w:eastAsia="Times New Roman"/>
          <w:lang w:val="uk-UA" w:eastAsia="fr-FR"/>
        </w:rPr>
        <w:t>» (</w:t>
      </w:r>
      <w:r w:rsidRPr="009A3F85">
        <w:rPr>
          <w:rFonts w:eastAsia="Times New Roman"/>
          <w:i/>
          <w:lang w:val="uk-UA"/>
        </w:rPr>
        <w:t>The United Macedonian Organisation Ilinden – PIRIN and Others v. Bulgaria (no. 2)</w:t>
      </w:r>
      <w:r w:rsidRPr="009A3F85">
        <w:rPr>
          <w:rFonts w:eastAsia="Times New Roman"/>
          <w:lang w:val="uk-UA"/>
        </w:rPr>
        <w:t>), заяви №</w:t>
      </w:r>
      <w:r w:rsidRPr="009A3F85" w:rsidR="007F5C09">
        <w:rPr>
          <w:rFonts w:eastAsia="Times New Roman"/>
          <w:lang w:val="uk-UA" w:eastAsia="fr-FR"/>
        </w:rPr>
        <w:t> </w:t>
      </w:r>
      <w:r w:rsidRPr="009A3F85">
        <w:rPr>
          <w:rFonts w:eastAsia="Times New Roman"/>
          <w:lang w:val="uk-UA"/>
        </w:rPr>
        <w:t>41561/07 та № 20972/08</w:t>
      </w:r>
      <w:r w:rsidRPr="009A3F85">
        <w:rPr>
          <w:rFonts w:eastAsia="Times New Roman"/>
          <w:snapToGrid w:val="0"/>
          <w:szCs w:val="24"/>
          <w:lang w:val="uk-UA"/>
        </w:rPr>
        <w:t>, п. 56</w:t>
      </w:r>
      <w:r w:rsidRPr="009A3F85">
        <w:rPr>
          <w:rFonts w:eastAsia="Times New Roman"/>
          <w:lang w:val="uk-UA" w:eastAsia="fr-FR"/>
        </w:rPr>
        <w:t xml:space="preserve">). Згідно з пунктом 2 статті 46 Конвенції Комітет </w:t>
      </w:r>
      <w:r w:rsidRPr="009A3F85" w:rsidR="00F71E0E">
        <w:rPr>
          <w:rFonts w:eastAsia="Times New Roman"/>
          <w:lang w:val="uk-UA" w:eastAsia="fr-FR"/>
        </w:rPr>
        <w:t>м</w:t>
      </w:r>
      <w:r w:rsidRPr="009A3F85">
        <w:rPr>
          <w:rFonts w:eastAsia="Times New Roman"/>
          <w:lang w:val="uk-UA" w:eastAsia="fr-FR"/>
        </w:rPr>
        <w:t xml:space="preserve">іністрів наділений повноваженнями здійснювати нагляд за виконанням рішень Суду та </w:t>
      </w:r>
      <w:r w:rsidRPr="009A3F85" w:rsidR="001F1B9D">
        <w:rPr>
          <w:rFonts w:eastAsia="Times New Roman"/>
          <w:lang w:val="uk-UA" w:eastAsia="fr-FR"/>
        </w:rPr>
        <w:t xml:space="preserve">оцінкою </w:t>
      </w:r>
      <w:r w:rsidRPr="009A3F85">
        <w:rPr>
          <w:rFonts w:eastAsia="Times New Roman"/>
          <w:lang w:val="uk-UA" w:eastAsia="fr-FR"/>
        </w:rPr>
        <w:t xml:space="preserve">вжитих державою-відповідачем заходів. Проте роль Комітету </w:t>
      </w:r>
      <w:r w:rsidRPr="009A3F85" w:rsidR="00EA628B">
        <w:rPr>
          <w:rFonts w:eastAsia="Times New Roman"/>
          <w:lang w:val="uk-UA" w:eastAsia="fr-FR"/>
        </w:rPr>
        <w:t xml:space="preserve">міністрів </w:t>
      </w:r>
      <w:r w:rsidRPr="009A3F85" w:rsidR="00205A07">
        <w:rPr>
          <w:rFonts w:eastAsia="Times New Roman"/>
          <w:lang w:val="uk-UA"/>
        </w:rPr>
        <w:t>щодо</w:t>
      </w:r>
      <w:r w:rsidRPr="009A3F85">
        <w:rPr>
          <w:rFonts w:eastAsia="Times New Roman"/>
          <w:lang w:val="uk-UA"/>
        </w:rPr>
        <w:t xml:space="preserve"> виконання рішень Суду не перешкоджає Суд</w:t>
      </w:r>
      <w:r w:rsidRPr="009A3F85" w:rsidR="00F646A9">
        <w:rPr>
          <w:rFonts w:eastAsia="Times New Roman"/>
          <w:lang w:val="uk-UA"/>
        </w:rPr>
        <w:t>ові</w:t>
      </w:r>
      <w:r w:rsidRPr="009A3F85">
        <w:rPr>
          <w:rFonts w:eastAsia="Times New Roman"/>
          <w:lang w:val="uk-UA"/>
        </w:rPr>
        <w:t xml:space="preserve"> розглядати нову заяву щодо вжитих державою-відповідачем заходів з виконання рішення, у тому разі якщо ця заява містить нову важливу інформацію з питань, </w:t>
      </w:r>
      <w:r w:rsidRPr="009A3F85" w:rsidR="001F1B9D">
        <w:rPr>
          <w:rFonts w:eastAsia="Times New Roman"/>
          <w:lang w:val="uk-UA"/>
        </w:rPr>
        <w:t xml:space="preserve">невирішених </w:t>
      </w:r>
      <w:r w:rsidRPr="009A3F85">
        <w:rPr>
          <w:rFonts w:eastAsia="Times New Roman"/>
          <w:lang w:val="uk-UA"/>
        </w:rPr>
        <w:t>первинним рішенням (див. рішення у справі «</w:t>
      </w:r>
      <w:r w:rsidRPr="009A3F85" w:rsidR="00F646A9">
        <w:rPr>
          <w:rFonts w:eastAsia="Times New Roman"/>
          <w:lang w:val="uk-UA"/>
        </w:rPr>
        <w:t>«</w:t>
      </w:r>
      <w:r w:rsidRPr="009A3F85" w:rsidR="00205A07">
        <w:rPr>
          <w:rFonts w:eastAsia="Times New Roman"/>
          <w:lang w:val="uk-UA"/>
        </w:rPr>
        <w:t>Verein gegen Tierfabriken Schweiz</w:t>
      </w:r>
      <w:r w:rsidRPr="009A3F85" w:rsidR="00F646A9">
        <w:rPr>
          <w:rFonts w:eastAsia="Times New Roman"/>
          <w:lang w:val="uk-UA"/>
        </w:rPr>
        <w:t>» (</w:t>
      </w:r>
      <w:r w:rsidRPr="009A3F85" w:rsidR="00F646A9">
        <w:rPr>
          <w:lang w:val="uk-UA"/>
        </w:rPr>
        <w:t>VgT)</w:t>
      </w:r>
      <w:r w:rsidRPr="009A3F85">
        <w:rPr>
          <w:rFonts w:eastAsia="Times New Roman"/>
          <w:lang w:val="uk-UA"/>
        </w:rPr>
        <w:t xml:space="preserve"> проти Швейцарії (№</w:t>
      </w:r>
      <w:r w:rsidRPr="009A3F85">
        <w:rPr>
          <w:rFonts w:eastAsia="Times New Roman"/>
          <w:lang w:val="uk-UA" w:eastAsia="fr-FR"/>
        </w:rPr>
        <w:t> </w:t>
      </w:r>
      <w:r w:rsidRPr="009A3F85">
        <w:rPr>
          <w:rFonts w:eastAsia="Times New Roman"/>
          <w:lang w:val="uk-UA"/>
        </w:rPr>
        <w:t>2)» (</w:t>
      </w:r>
      <w:r w:rsidRPr="009A3F85">
        <w:rPr>
          <w:i/>
          <w:lang w:val="uk-UA"/>
        </w:rPr>
        <w:t>Verein gegen Tierfabriken Schweiz (VgT) v. Switzerland (no. 2)</w:t>
      </w:r>
      <w:r w:rsidRPr="009A3F85">
        <w:rPr>
          <w:lang w:val="uk-UA"/>
        </w:rPr>
        <w:t>)</w:t>
      </w:r>
      <w:r w:rsidRPr="009A3F85">
        <w:rPr>
          <w:i/>
          <w:lang w:val="uk-UA"/>
        </w:rPr>
        <w:t xml:space="preserve"> </w:t>
      </w:r>
      <w:r w:rsidRPr="009A3F85">
        <w:rPr>
          <w:lang w:val="uk-UA"/>
        </w:rPr>
        <w:t>[ВП], заява № 32772/02, пп.</w:t>
      </w:r>
      <w:r w:rsidRPr="009A3F85">
        <w:rPr>
          <w:rFonts w:eastAsia="Times New Roman"/>
          <w:lang w:val="uk-UA"/>
        </w:rPr>
        <w:t xml:space="preserve"> </w:t>
      </w:r>
      <w:r w:rsidRPr="009A3F85">
        <w:rPr>
          <w:rFonts w:eastAsia="Times New Roman"/>
          <w:snapToGrid w:val="0"/>
          <w:lang w:val="uk-UA"/>
        </w:rPr>
        <w:t>61</w:t>
      </w:r>
      <w:r w:rsidRPr="009A3F85">
        <w:rPr>
          <w:rFonts w:eastAsia="Times New Roman"/>
          <w:snapToGrid w:val="0"/>
          <w:lang w:val="uk-UA"/>
        </w:rPr>
        <w:noBreakHyphen/>
        <w:t>63</w:t>
      </w:r>
      <w:r w:rsidRPr="009A3F85">
        <w:rPr>
          <w:lang w:val="uk-UA"/>
        </w:rPr>
        <w:t>, ECHR 2009</w:t>
      </w:r>
      <w:r w:rsidRPr="009A3F85">
        <w:rPr>
          <w:rFonts w:eastAsia="Times New Roman"/>
          <w:lang w:val="uk-UA"/>
        </w:rPr>
        <w:t>).</w:t>
      </w:r>
    </w:p>
    <w:p w:rsidRPr="009A3F85" w:rsidR="006D147C" w:rsidP="009A3F85">
      <w:pPr>
        <w:pStyle w:val="ECHRPara"/>
        <w:rPr>
          <w:rFonts w:eastAsia="Times New Roman"/>
          <w:lang w:val="uk-UA" w:eastAsia="fr-FR"/>
        </w:rPr>
      </w:pPr>
      <w:r w:rsidRPr="009A3F85">
        <w:rPr>
          <w:rFonts w:eastAsia="Times New Roman"/>
          <w:lang w:val="uk-UA" w:eastAsia="fr-FR"/>
        </w:rPr>
        <w:fldChar w:fldCharType="begin"/>
      </w:r>
      <w:r w:rsidRPr="009A3F85">
        <w:rPr>
          <w:rFonts w:eastAsia="Times New Roman"/>
          <w:lang w:val="uk-UA" w:eastAsia="fr-FR"/>
        </w:rPr>
        <w:instrText xml:space="preserve"> SEQ level0 \*arabic </w:instrText>
      </w:r>
      <w:r w:rsidRPr="009A3F85">
        <w:rPr>
          <w:rFonts w:eastAsia="Times New Roman"/>
          <w:lang w:val="uk-UA" w:eastAsia="fr-FR"/>
        </w:rPr>
        <w:fldChar w:fldCharType="separate"/>
      </w:r>
      <w:r w:rsidRPr="009A3F85" w:rsidR="009A3F85">
        <w:rPr>
          <w:rFonts w:eastAsia="Times New Roman"/>
          <w:noProof/>
          <w:lang w:val="uk-UA" w:eastAsia="fr-FR"/>
        </w:rPr>
        <w:t>34</w:t>
      </w:r>
      <w:r w:rsidRPr="009A3F85">
        <w:rPr>
          <w:rFonts w:eastAsia="Times New Roman"/>
          <w:lang w:val="uk-UA" w:eastAsia="fr-FR"/>
        </w:rPr>
        <w:fldChar w:fldCharType="end"/>
      </w:r>
      <w:r w:rsidRPr="009A3F85">
        <w:rPr>
          <w:rFonts w:eastAsia="Times New Roman"/>
          <w:lang w:val="uk-UA" w:eastAsia="fr-FR"/>
        </w:rPr>
        <w:t>.  Відповідні загальні принципи стисло викладено в ухвалі щодо прийнятності від</w:t>
      </w:r>
      <w:r w:rsidRPr="009A3F85">
        <w:rPr>
          <w:rFonts w:eastAsia="Times New Roman"/>
          <w:lang w:val="uk-UA"/>
        </w:rPr>
        <w:t xml:space="preserve"> </w:t>
      </w:r>
      <w:r w:rsidRPr="009A3F85">
        <w:rPr>
          <w:rFonts w:eastAsia="Times New Roman"/>
          <w:lang w:val="uk-UA" w:eastAsia="fr-FR"/>
        </w:rPr>
        <w:t>18 вересня 2012 року у справі «Егмез проти Кіпру» (</w:t>
      </w:r>
      <w:r w:rsidRPr="009A3F85">
        <w:rPr>
          <w:rFonts w:eastAsia="Times New Roman"/>
          <w:i/>
          <w:lang w:val="uk-UA"/>
        </w:rPr>
        <w:t>Egmez v. Cyprus</w:t>
      </w:r>
      <w:r w:rsidRPr="009A3F85">
        <w:rPr>
          <w:rFonts w:eastAsia="Times New Roman"/>
          <w:lang w:val="uk-UA"/>
        </w:rPr>
        <w:t xml:space="preserve">), заява № </w:t>
      </w:r>
      <w:r w:rsidRPr="009A3F85">
        <w:rPr>
          <w:rFonts w:eastAsia="Times New Roman"/>
          <w:lang w:val="uk-UA" w:eastAsia="fr-FR"/>
        </w:rPr>
        <w:t>12214/07</w:t>
      </w:r>
      <w:r w:rsidRPr="009A3F85">
        <w:rPr>
          <w:rFonts w:eastAsia="Times New Roman"/>
          <w:lang w:val="uk-UA"/>
        </w:rPr>
        <w:t>, пп. 48-56</w:t>
      </w:r>
      <w:r w:rsidRPr="009A3F85">
        <w:rPr>
          <w:rFonts w:eastAsia="Times New Roman"/>
          <w:lang w:val="uk-UA" w:eastAsia="fr-FR"/>
        </w:rPr>
        <w:t>) так</w:t>
      </w:r>
      <w:r w:rsidRPr="009A3F85" w:rsidR="00A13118">
        <w:rPr>
          <w:rFonts w:eastAsia="Times New Roman"/>
          <w:lang w:val="uk-UA" w:eastAsia="fr-FR"/>
        </w:rPr>
        <w:t>им чином</w:t>
      </w:r>
      <w:r w:rsidRPr="009A3F85">
        <w:rPr>
          <w:rFonts w:eastAsia="Times New Roman"/>
          <w:lang w:val="uk-UA" w:eastAsia="fr-FR"/>
        </w:rPr>
        <w:t>:</w:t>
      </w:r>
    </w:p>
    <w:p w:rsidRPr="009A3F85" w:rsidR="006D147C" w:rsidP="009A3F85">
      <w:pPr>
        <w:pStyle w:val="ECHRParaQuote"/>
        <w:rPr>
          <w:rFonts w:eastAsia="Times New Roman"/>
          <w:lang w:val="uk-UA" w:eastAsia="fr-FR"/>
        </w:rPr>
      </w:pPr>
      <w:r w:rsidRPr="009A3F85">
        <w:rPr>
          <w:rFonts w:eastAsia="Times New Roman"/>
          <w:lang w:val="uk-UA" w:eastAsia="fr-FR"/>
        </w:rPr>
        <w:t xml:space="preserve">«48.  Суд </w:t>
      </w:r>
      <w:r w:rsidRPr="009A3F85" w:rsidR="00205A07">
        <w:rPr>
          <w:rFonts w:eastAsia="Times New Roman"/>
          <w:lang w:val="uk-UA" w:eastAsia="fr-FR"/>
        </w:rPr>
        <w:t>повторно зазначає</w:t>
      </w:r>
      <w:r w:rsidRPr="009A3F85">
        <w:rPr>
          <w:rFonts w:eastAsia="Times New Roman"/>
          <w:lang w:val="uk-UA" w:eastAsia="fr-FR"/>
        </w:rPr>
        <w:t xml:space="preserve">, що </w:t>
      </w:r>
      <w:r w:rsidRPr="009A3F85" w:rsidR="00A13118">
        <w:rPr>
          <w:rFonts w:eastAsia="Times New Roman"/>
          <w:lang w:val="uk-UA" w:eastAsia="fr-FR"/>
        </w:rPr>
        <w:t xml:space="preserve">у його рішеннях </w:t>
      </w:r>
      <w:r w:rsidRPr="009A3F85">
        <w:rPr>
          <w:rFonts w:eastAsia="Times New Roman"/>
          <w:lang w:val="uk-UA" w:eastAsia="fr-FR"/>
        </w:rPr>
        <w:t xml:space="preserve">висновки про порушення є головним чином </w:t>
      </w:r>
      <w:r w:rsidRPr="009A3F85" w:rsidR="006653DF">
        <w:rPr>
          <w:rFonts w:eastAsia="Times New Roman"/>
          <w:lang w:val="uk-UA" w:eastAsia="fr-FR"/>
        </w:rPr>
        <w:t xml:space="preserve">установлюючими </w:t>
      </w:r>
      <w:r w:rsidRPr="009A3F85">
        <w:rPr>
          <w:rFonts w:eastAsia="Times New Roman"/>
          <w:lang w:val="uk-UA" w:eastAsia="fr-FR"/>
        </w:rPr>
        <w:t>(див. ухвали щодо прийнятності у справах «Крчмар та інші проти Чеської Республіки» (</w:t>
      </w:r>
      <w:r w:rsidRPr="009A3F85">
        <w:rPr>
          <w:rFonts w:eastAsia="Times New Roman"/>
          <w:i/>
          <w:lang w:val="uk-UA" w:eastAsia="fr-FR"/>
        </w:rPr>
        <w:t>Krčmář and Others v. the Czech Republic</w:t>
      </w:r>
      <w:r w:rsidRPr="009A3F85">
        <w:rPr>
          <w:rFonts w:eastAsia="Times New Roman"/>
          <w:lang w:val="uk-UA" w:eastAsia="fr-FR"/>
        </w:rPr>
        <w:t>), заява № 69190/01,</w:t>
      </w:r>
      <w:r w:rsidRPr="009A3F85" w:rsidR="00205A07">
        <w:rPr>
          <w:rFonts w:eastAsia="Times New Roman"/>
          <w:lang w:val="uk-UA" w:eastAsia="fr-FR"/>
        </w:rPr>
        <w:t xml:space="preserve"> </w:t>
      </w:r>
      <w:r w:rsidRPr="009A3F85">
        <w:rPr>
          <w:rFonts w:eastAsia="Times New Roman"/>
          <w:lang w:val="uk-UA" w:eastAsia="fr-FR"/>
        </w:rPr>
        <w:t>від 30 березня 2004; «Лайонз та інші проти Сполученого Королівства» (</w:t>
      </w:r>
      <w:r w:rsidRPr="009A3F85">
        <w:rPr>
          <w:rFonts w:eastAsia="Times New Roman"/>
          <w:i/>
          <w:lang w:val="uk-UA" w:eastAsia="fr-FR"/>
        </w:rPr>
        <w:t>Lyons and Others v. the United Kingdom</w:t>
      </w:r>
      <w:r w:rsidRPr="009A3F85">
        <w:rPr>
          <w:rFonts w:eastAsia="Times New Roman"/>
          <w:lang w:val="uk-UA" w:eastAsia="fr-FR"/>
        </w:rPr>
        <w:t xml:space="preserve">), заява </w:t>
      </w:r>
      <w:r w:rsidRPr="009A3F85">
        <w:rPr>
          <w:rFonts w:eastAsia="Times New Roman"/>
          <w:lang w:val="uk-UA" w:eastAsia="fr-FR"/>
        </w:rPr>
        <w:t>№ 15227/03, ECHR 2003-IX; та «Маркс проти Бельгії» (</w:t>
      </w:r>
      <w:r w:rsidRPr="009A3F85">
        <w:rPr>
          <w:rFonts w:eastAsia="Times New Roman"/>
          <w:i/>
          <w:lang w:val="uk-UA" w:eastAsia="fr-FR"/>
        </w:rPr>
        <w:t>Marckx v. Belgium</w:t>
      </w:r>
      <w:r w:rsidRPr="009A3F85">
        <w:rPr>
          <w:rFonts w:eastAsia="Times New Roman"/>
          <w:lang w:val="uk-UA" w:eastAsia="fr-FR"/>
        </w:rPr>
        <w:t>), від 13 червня 1979 року, п. 58, Series A № 31) та що</w:t>
      </w:r>
      <w:r w:rsidRPr="009A3F85" w:rsidR="00205A07">
        <w:rPr>
          <w:rFonts w:eastAsia="Times New Roman"/>
          <w:lang w:val="uk-UA" w:eastAsia="fr-FR"/>
        </w:rPr>
        <w:t xml:space="preserve"> за</w:t>
      </w:r>
      <w:r w:rsidRPr="009A3F85">
        <w:rPr>
          <w:rFonts w:eastAsia="Times New Roman"/>
          <w:lang w:val="uk-UA" w:eastAsia="fr-FR"/>
        </w:rPr>
        <w:t xml:space="preserve"> статтею 46 Конвенції Високі Договірні Сторони зобов</w:t>
      </w:r>
      <w:r w:rsidRPr="009A3F85" w:rsidR="009A3F85">
        <w:rPr>
          <w:rFonts w:eastAsia="Times New Roman"/>
          <w:lang w:val="uk-UA" w:eastAsia="fr-FR"/>
        </w:rPr>
        <w:t>’</w:t>
      </w:r>
      <w:r w:rsidRPr="009A3F85">
        <w:rPr>
          <w:rFonts w:eastAsia="Times New Roman"/>
          <w:lang w:val="uk-UA" w:eastAsia="fr-FR"/>
        </w:rPr>
        <w:t xml:space="preserve">язуються виконувати остаточні рішення Суду в усіх справах, у яких вони є сторонами, а нагляд за виконанням здійснює Комітет </w:t>
      </w:r>
      <w:r w:rsidRPr="009A3F85" w:rsidR="00F71E0E">
        <w:rPr>
          <w:rFonts w:eastAsia="Times New Roman"/>
          <w:lang w:val="uk-UA" w:eastAsia="fr-FR"/>
        </w:rPr>
        <w:t xml:space="preserve">міністрів </w:t>
      </w:r>
      <w:r w:rsidRPr="009A3F85">
        <w:rPr>
          <w:rFonts w:eastAsia="Times New Roman"/>
          <w:lang w:val="uk-UA" w:eastAsia="fr-FR"/>
        </w:rPr>
        <w:t xml:space="preserve">(див. </w:t>
      </w:r>
      <w:r w:rsidRPr="009A3F85">
        <w:rPr>
          <w:rFonts w:eastAsia="Times New Roman"/>
          <w:i/>
          <w:lang w:val="uk-UA" w:eastAsia="fr-FR"/>
        </w:rPr>
        <w:t>mutatis mutandis</w:t>
      </w:r>
      <w:r w:rsidRPr="009A3F85">
        <w:rPr>
          <w:rFonts w:eastAsia="Times New Roman"/>
          <w:lang w:val="uk-UA" w:eastAsia="fr-FR"/>
        </w:rPr>
        <w:t xml:space="preserve"> рішення від 31 жовтня 1995 року у справі «Папамічалопулос та інші проти Греції» (</w:t>
      </w:r>
      <w:r w:rsidRPr="009A3F85">
        <w:rPr>
          <w:rFonts w:eastAsia="Times New Roman"/>
          <w:i/>
          <w:lang w:val="uk-UA" w:eastAsia="fr-FR"/>
        </w:rPr>
        <w:t>Papamichalopoulos and Others v. Greece</w:t>
      </w:r>
      <w:r w:rsidRPr="009A3F85">
        <w:rPr>
          <w:rFonts w:eastAsia="Times New Roman"/>
          <w:lang w:val="uk-UA" w:eastAsia="fr-FR"/>
        </w:rPr>
        <w:t>) (стаття 50), п 34, Series A № 330-B). Серед іншого</w:t>
      </w:r>
      <w:r w:rsidRPr="009A3F85" w:rsidR="00363E27">
        <w:rPr>
          <w:rFonts w:eastAsia="Times New Roman"/>
          <w:lang w:val="uk-UA" w:eastAsia="fr-FR"/>
        </w:rPr>
        <w:t>,</w:t>
      </w:r>
      <w:r w:rsidRPr="009A3F85">
        <w:rPr>
          <w:rFonts w:eastAsia="Times New Roman"/>
          <w:lang w:val="uk-UA" w:eastAsia="fr-FR"/>
        </w:rPr>
        <w:t xml:space="preserve"> з цього випливає, що рішення, у якому Суд встановив порушення Конвенції або протоколів до неї,</w:t>
      </w:r>
      <w:r w:rsidRPr="009A3F85" w:rsidR="00363E27">
        <w:rPr>
          <w:rFonts w:eastAsia="Times New Roman"/>
          <w:lang w:val="uk-UA" w:eastAsia="fr-FR"/>
        </w:rPr>
        <w:t xml:space="preserve"> </w:t>
      </w:r>
      <w:r w:rsidRPr="009A3F85">
        <w:rPr>
          <w:rFonts w:eastAsia="Times New Roman"/>
          <w:lang w:val="uk-UA" w:eastAsia="fr-FR"/>
        </w:rPr>
        <w:t>юридично зобов</w:t>
      </w:r>
      <w:r w:rsidRPr="009A3F85" w:rsidR="009A3F85">
        <w:rPr>
          <w:rFonts w:eastAsia="Times New Roman"/>
          <w:lang w:val="uk-UA" w:eastAsia="fr-FR"/>
        </w:rPr>
        <w:t>’</w:t>
      </w:r>
      <w:r w:rsidRPr="009A3F85">
        <w:rPr>
          <w:rFonts w:eastAsia="Times New Roman"/>
          <w:lang w:val="uk-UA" w:eastAsia="fr-FR"/>
        </w:rPr>
        <w:t xml:space="preserve">язує державу-відповідача не просто виплатити </w:t>
      </w:r>
      <w:r w:rsidRPr="009A3F85" w:rsidR="00A13118">
        <w:rPr>
          <w:rFonts w:eastAsia="Times New Roman"/>
          <w:lang w:val="uk-UA" w:eastAsia="fr-FR"/>
        </w:rPr>
        <w:t xml:space="preserve">відповідним </w:t>
      </w:r>
      <w:r w:rsidRPr="009A3F85">
        <w:rPr>
          <w:rFonts w:eastAsia="Times New Roman"/>
          <w:lang w:val="uk-UA" w:eastAsia="fr-FR"/>
        </w:rPr>
        <w:t xml:space="preserve">особам присуджені суми справедливої сатисфакції, а й обрати під наглядом Комітету </w:t>
      </w:r>
      <w:r w:rsidRPr="009A3F85" w:rsidR="00EA628B">
        <w:rPr>
          <w:rFonts w:eastAsia="Times New Roman"/>
          <w:lang w:val="uk-UA" w:eastAsia="fr-FR"/>
        </w:rPr>
        <w:t xml:space="preserve">міністрів </w:t>
      </w:r>
      <w:r w:rsidRPr="009A3F85">
        <w:rPr>
          <w:rFonts w:eastAsia="Times New Roman"/>
          <w:lang w:val="uk-UA" w:eastAsia="fr-FR"/>
        </w:rPr>
        <w:t>заходи загального характеру та/або, у разі необхідності, індивідуального характеру</w:t>
      </w:r>
      <w:r w:rsidRPr="009A3F85" w:rsidR="00363E27">
        <w:rPr>
          <w:rFonts w:eastAsia="Times New Roman"/>
          <w:lang w:val="uk-UA" w:eastAsia="fr-FR"/>
        </w:rPr>
        <w:t>, що мають бути запроваджені</w:t>
      </w:r>
      <w:r w:rsidRPr="009A3F85">
        <w:rPr>
          <w:rFonts w:eastAsia="Times New Roman"/>
          <w:lang w:val="uk-UA" w:eastAsia="fr-FR"/>
        </w:rPr>
        <w:t xml:space="preserve"> </w:t>
      </w:r>
      <w:r w:rsidRPr="009A3F85" w:rsidR="00363E27">
        <w:rPr>
          <w:rFonts w:eastAsia="Times New Roman"/>
          <w:lang w:val="uk-UA" w:eastAsia="fr-FR"/>
        </w:rPr>
        <w:t>у</w:t>
      </w:r>
      <w:r w:rsidRPr="009A3F85">
        <w:rPr>
          <w:rFonts w:eastAsia="Times New Roman"/>
          <w:lang w:val="uk-UA" w:eastAsia="fr-FR"/>
        </w:rPr>
        <w:t xml:space="preserve"> </w:t>
      </w:r>
      <w:r w:rsidRPr="009A3F85" w:rsidR="00A13118">
        <w:rPr>
          <w:rFonts w:eastAsia="Times New Roman"/>
          <w:lang w:val="uk-UA" w:eastAsia="fr-FR"/>
        </w:rPr>
        <w:t>національну правову систему</w:t>
      </w:r>
      <w:r w:rsidRPr="009A3F85">
        <w:rPr>
          <w:rFonts w:eastAsia="Times New Roman"/>
          <w:lang w:val="uk-UA" w:eastAsia="fr-FR"/>
        </w:rPr>
        <w:t xml:space="preserve"> з метою припинення встановленого Судом порушення та, </w:t>
      </w:r>
      <w:r w:rsidRPr="009A3F85" w:rsidR="00205A07">
        <w:rPr>
          <w:rFonts w:eastAsia="Times New Roman"/>
          <w:lang w:val="uk-UA" w:eastAsia="fr-FR"/>
        </w:rPr>
        <w:t xml:space="preserve">наскільки це </w:t>
      </w:r>
      <w:r w:rsidRPr="009A3F85">
        <w:rPr>
          <w:rFonts w:eastAsia="Times New Roman"/>
          <w:lang w:val="uk-UA" w:eastAsia="fr-FR"/>
        </w:rPr>
        <w:t>можливо, виправлення наслідків (див. рішення у справах «Пізано проти Італії» (</w:t>
      </w:r>
      <w:r w:rsidRPr="009A3F85">
        <w:rPr>
          <w:rFonts w:eastAsia="Times New Roman"/>
          <w:i/>
          <w:lang w:val="uk-UA" w:eastAsia="fr-FR"/>
        </w:rPr>
        <w:t>Pisano v. Italy</w:t>
      </w:r>
      <w:r w:rsidRPr="009A3F85">
        <w:rPr>
          <w:rFonts w:eastAsia="Times New Roman"/>
          <w:lang w:val="uk-UA" w:eastAsia="fr-FR"/>
        </w:rPr>
        <w:t>)</w:t>
      </w:r>
      <w:r w:rsidRPr="009A3F85">
        <w:rPr>
          <w:rFonts w:eastAsia="Times New Roman"/>
          <w:i/>
          <w:lang w:val="uk-UA" w:eastAsia="fr-FR"/>
        </w:rPr>
        <w:t xml:space="preserve"> </w:t>
      </w:r>
      <w:r w:rsidRPr="009A3F85">
        <w:rPr>
          <w:rFonts w:eastAsia="Times New Roman"/>
          <w:lang w:val="uk-UA" w:eastAsia="fr-FR"/>
        </w:rPr>
        <w:t>(вилучення</w:t>
      </w:r>
      <w:r w:rsidRPr="009A3F85" w:rsidR="00363E27">
        <w:rPr>
          <w:rFonts w:eastAsia="Times New Roman"/>
          <w:lang w:val="uk-UA" w:eastAsia="fr-FR"/>
        </w:rPr>
        <w:t xml:space="preserve"> з реєстру</w:t>
      </w:r>
      <w:r w:rsidRPr="009A3F85">
        <w:rPr>
          <w:rFonts w:eastAsia="Times New Roman"/>
          <w:lang w:val="uk-UA" w:eastAsia="fr-FR"/>
        </w:rPr>
        <w:t>) [ВП], заява № 36732/97, п. 43, від 24 жовтня 2002 року, та «Скоццарі та Джунта проти Італії» (</w:t>
      </w:r>
      <w:r w:rsidRPr="009A3F85">
        <w:rPr>
          <w:rFonts w:eastAsia="Times New Roman"/>
          <w:i/>
          <w:lang w:val="uk-UA" w:eastAsia="fr-FR"/>
        </w:rPr>
        <w:t>Scozzari and Giunta v. Italy</w:t>
      </w:r>
      <w:r w:rsidRPr="009A3F85">
        <w:rPr>
          <w:rFonts w:eastAsia="Times New Roman"/>
          <w:lang w:val="uk-UA" w:eastAsia="fr-FR"/>
        </w:rPr>
        <w:t>) [ВП</w:t>
      </w:r>
      <w:r w:rsidRPr="009A3F85">
        <w:rPr>
          <w:lang w:val="uk-UA"/>
        </w:rPr>
        <w:t>], заяви №</w:t>
      </w:r>
      <w:r w:rsidRPr="009A3F85">
        <w:rPr>
          <w:rFonts w:eastAsia="Times New Roman"/>
          <w:lang w:val="uk-UA" w:eastAsia="fr-FR"/>
        </w:rPr>
        <w:t> </w:t>
      </w:r>
      <w:r w:rsidRPr="009A3F85">
        <w:rPr>
          <w:lang w:val="uk-UA"/>
        </w:rPr>
        <w:t>39221/98 та № 41963/98, п.</w:t>
      </w:r>
      <w:r w:rsidRPr="009A3F85">
        <w:rPr>
          <w:rFonts w:eastAsia="Times New Roman"/>
          <w:lang w:val="uk-UA" w:eastAsia="fr-FR"/>
        </w:rPr>
        <w:t xml:space="preserve"> 249, ECHR 2000-VIII). Держава-відповідач під наглядом Комітету </w:t>
      </w:r>
      <w:r w:rsidRPr="009A3F85" w:rsidR="00EA628B">
        <w:rPr>
          <w:rFonts w:eastAsia="Times New Roman"/>
          <w:lang w:val="uk-UA" w:eastAsia="fr-FR"/>
        </w:rPr>
        <w:t xml:space="preserve">міністрів </w:t>
      </w:r>
      <w:r w:rsidRPr="009A3F85">
        <w:rPr>
          <w:rFonts w:eastAsia="Times New Roman"/>
          <w:lang w:val="uk-UA" w:eastAsia="fr-FR"/>
        </w:rPr>
        <w:t>має свободу вибору заходів, за допомогою яких вона виконуватиме своє юридичне зобов</w:t>
      </w:r>
      <w:r w:rsidRPr="009A3F85" w:rsidR="009A3F85">
        <w:rPr>
          <w:rFonts w:eastAsia="Times New Roman"/>
          <w:lang w:val="uk-UA" w:eastAsia="fr-FR"/>
        </w:rPr>
        <w:t>’</w:t>
      </w:r>
      <w:r w:rsidRPr="009A3F85">
        <w:rPr>
          <w:rFonts w:eastAsia="Times New Roman"/>
          <w:lang w:val="uk-UA" w:eastAsia="fr-FR"/>
        </w:rPr>
        <w:t>язання за статтею 46 Конвенції, за умови, що такі заходи відповідають наведеним у рішенні Суду висновкам (див. вищенаведене рішення у справі «Скоццарі та Джунта проти Італії» (</w:t>
      </w:r>
      <w:r w:rsidRPr="009A3F85">
        <w:rPr>
          <w:rFonts w:eastAsia="Times New Roman"/>
          <w:i/>
          <w:lang w:val="uk-UA" w:eastAsia="fr-FR"/>
        </w:rPr>
        <w:t>Scozzari and Giunta v. Italy</w:t>
      </w:r>
      <w:r w:rsidRPr="009A3F85">
        <w:rPr>
          <w:rFonts w:eastAsia="Times New Roman"/>
          <w:lang w:val="uk-UA" w:eastAsia="fr-FR"/>
        </w:rPr>
        <w:t>), п. 249). Зі свого боку Суд у цьому діалозі не може перебирати на себе будь-яку роль (див. вищенаведену ухвалу щодо прийнятності у справі «Лайонз та інші проти Сполученого Королівства» (</w:t>
      </w:r>
      <w:r w:rsidRPr="009A3F85">
        <w:rPr>
          <w:rFonts w:eastAsia="Times New Roman"/>
          <w:i/>
          <w:lang w:val="uk-UA" w:eastAsia="fr-FR"/>
        </w:rPr>
        <w:t>Lyons and Others v. the United Kingdom</w:t>
      </w:r>
      <w:r w:rsidRPr="009A3F85">
        <w:rPr>
          <w:rFonts w:eastAsia="Times New Roman"/>
          <w:lang w:val="uk-UA" w:eastAsia="fr-FR"/>
        </w:rPr>
        <w:t>)).</w:t>
      </w:r>
    </w:p>
    <w:p w:rsidRPr="009A3F85" w:rsidR="006D147C" w:rsidP="009A3F85">
      <w:pPr>
        <w:pStyle w:val="ECHRParaQuote"/>
        <w:rPr>
          <w:rFonts w:eastAsia="Times New Roman"/>
          <w:lang w:val="uk-UA" w:eastAsia="fr-FR"/>
        </w:rPr>
      </w:pPr>
      <w:r w:rsidRPr="009A3F85">
        <w:rPr>
          <w:rFonts w:eastAsia="Times New Roman"/>
          <w:lang w:val="uk-UA" w:eastAsia="fr-FR"/>
        </w:rPr>
        <w:t xml:space="preserve">49.  Хоча у деяких випадках Суд може вказувати конкретний засіб юридичного захисту або інший засіб, </w:t>
      </w:r>
      <w:r w:rsidRPr="009A3F85" w:rsidR="00205A07">
        <w:rPr>
          <w:rFonts w:eastAsia="Times New Roman"/>
          <w:lang w:val="uk-UA" w:eastAsia="fr-FR"/>
        </w:rPr>
        <w:t xml:space="preserve">який </w:t>
      </w:r>
      <w:r w:rsidRPr="009A3F85">
        <w:rPr>
          <w:rFonts w:eastAsia="Times New Roman"/>
          <w:lang w:val="uk-UA" w:eastAsia="fr-FR"/>
        </w:rPr>
        <w:t>має бути вжито державою-відповідачем (див., наприклад, рішення у справах «Ассанідзе проти Грузії» (</w:t>
      </w:r>
      <w:r w:rsidRPr="009A3F85">
        <w:rPr>
          <w:rFonts w:eastAsia="Times New Roman"/>
          <w:i/>
          <w:lang w:val="uk-UA" w:eastAsia="fr-FR"/>
        </w:rPr>
        <w:t>Assanidze v. Georgia</w:t>
      </w:r>
      <w:r w:rsidRPr="009A3F85">
        <w:rPr>
          <w:rFonts w:eastAsia="Times New Roman"/>
          <w:lang w:val="uk-UA" w:eastAsia="fr-FR"/>
        </w:rPr>
        <w:t>) [ВП], заява № 71503/01, п. 14 резолютивної частини, ECHR 2004-II; та «Генчель проти Туреччини» (</w:t>
      </w:r>
      <w:r w:rsidRPr="009A3F85">
        <w:rPr>
          <w:rFonts w:eastAsia="Times New Roman"/>
          <w:i/>
          <w:lang w:val="uk-UA" w:eastAsia="fr-FR"/>
        </w:rPr>
        <w:t>Gençel v. Turkey</w:t>
      </w:r>
      <w:r w:rsidRPr="009A3F85">
        <w:rPr>
          <w:rFonts w:eastAsia="Times New Roman"/>
          <w:lang w:val="uk-UA" w:eastAsia="fr-FR"/>
        </w:rPr>
        <w:t xml:space="preserve">), заява № 53431/99, п. 27, від 23 жовтня 2003 року), </w:t>
      </w:r>
      <w:r w:rsidRPr="009A3F85" w:rsidR="00205A07">
        <w:rPr>
          <w:rFonts w:eastAsia="Times New Roman"/>
          <w:lang w:val="uk-UA" w:eastAsia="fr-FR"/>
        </w:rPr>
        <w:t xml:space="preserve">саме </w:t>
      </w:r>
      <w:r w:rsidRPr="009A3F85">
        <w:rPr>
          <w:rFonts w:eastAsia="Times New Roman"/>
          <w:lang w:val="uk-UA" w:eastAsia="fr-FR"/>
        </w:rPr>
        <w:t xml:space="preserve">до компетенції Комітету </w:t>
      </w:r>
      <w:r w:rsidRPr="009A3F85" w:rsidR="00EA628B">
        <w:rPr>
          <w:rFonts w:eastAsia="Times New Roman"/>
          <w:lang w:val="uk-UA" w:eastAsia="fr-FR"/>
        </w:rPr>
        <w:t xml:space="preserve">міністрів </w:t>
      </w:r>
      <w:r w:rsidRPr="009A3F85">
        <w:rPr>
          <w:rFonts w:eastAsia="Times New Roman"/>
          <w:lang w:val="uk-UA" w:eastAsia="fr-FR"/>
        </w:rPr>
        <w:t xml:space="preserve">все ще належить здійснення за пунктом 2 статті 46 Конвенції оцінки </w:t>
      </w:r>
      <w:r w:rsidRPr="009A3F85" w:rsidR="00205A07">
        <w:rPr>
          <w:rFonts w:eastAsia="Times New Roman"/>
          <w:lang w:val="uk-UA" w:eastAsia="fr-FR"/>
        </w:rPr>
        <w:t xml:space="preserve">імплементації </w:t>
      </w:r>
      <w:r w:rsidRPr="009A3F85">
        <w:rPr>
          <w:rFonts w:eastAsia="Times New Roman"/>
          <w:lang w:val="uk-UA" w:eastAsia="fr-FR"/>
        </w:rPr>
        <w:t>так</w:t>
      </w:r>
      <w:r w:rsidRPr="009A3F85" w:rsidR="00AA0D10">
        <w:rPr>
          <w:rFonts w:eastAsia="Times New Roman"/>
          <w:lang w:val="uk-UA" w:eastAsia="fr-FR"/>
        </w:rPr>
        <w:t>их</w:t>
      </w:r>
      <w:r w:rsidRPr="009A3F85">
        <w:rPr>
          <w:rFonts w:eastAsia="Times New Roman"/>
          <w:lang w:val="uk-UA" w:eastAsia="fr-FR"/>
        </w:rPr>
        <w:t xml:space="preserve"> заход</w:t>
      </w:r>
      <w:r w:rsidRPr="009A3F85" w:rsidR="00AA0D10">
        <w:rPr>
          <w:rFonts w:eastAsia="Times New Roman"/>
          <w:lang w:val="uk-UA" w:eastAsia="fr-FR"/>
        </w:rPr>
        <w:t>ів</w:t>
      </w:r>
      <w:r w:rsidRPr="009A3F85">
        <w:rPr>
          <w:rFonts w:eastAsia="Times New Roman"/>
          <w:lang w:val="uk-UA" w:eastAsia="fr-FR"/>
        </w:rPr>
        <w:t xml:space="preserve"> (див. рішення у справах «Грінз та М.Т. проти Сполученого Королівства» (</w:t>
      </w:r>
      <w:r w:rsidRPr="009A3F85">
        <w:rPr>
          <w:rFonts w:eastAsia="Times New Roman"/>
          <w:i/>
          <w:lang w:val="uk-UA" w:eastAsia="fr-FR"/>
        </w:rPr>
        <w:t>Greens and M.T. v. the United Kingdom</w:t>
      </w:r>
      <w:r w:rsidRPr="009A3F85">
        <w:rPr>
          <w:rFonts w:eastAsia="Times New Roman"/>
          <w:lang w:val="uk-UA" w:eastAsia="fr-FR"/>
        </w:rPr>
        <w:t>), заяви № 60041/08 та № 60054/08, п. 107, від 23 листопада 2010 року; «Сульджагіч проти Боснії і Герцеговини» (</w:t>
      </w:r>
      <w:r w:rsidRPr="009A3F85">
        <w:rPr>
          <w:rFonts w:eastAsia="Times New Roman"/>
          <w:i/>
          <w:lang w:val="uk-UA" w:eastAsia="fr-FR"/>
        </w:rPr>
        <w:t>Suljagić v. Bosnia and Herzegovina</w:t>
      </w:r>
      <w:r w:rsidRPr="009A3F85">
        <w:rPr>
          <w:rFonts w:eastAsia="Times New Roman"/>
          <w:lang w:val="uk-UA" w:eastAsia="fr-FR"/>
        </w:rPr>
        <w:t>), заява № 27912/02, п. 61, від 3 листопада 2009</w:t>
      </w:r>
      <w:r w:rsidRPr="009A3F85" w:rsidR="00205A07">
        <w:rPr>
          <w:rFonts w:eastAsia="Times New Roman"/>
          <w:lang w:val="uk-UA" w:eastAsia="fr-FR"/>
        </w:rPr>
        <w:t xml:space="preserve"> року</w:t>
      </w:r>
      <w:r w:rsidRPr="009A3F85">
        <w:rPr>
          <w:rFonts w:eastAsia="Times New Roman"/>
          <w:lang w:val="uk-UA" w:eastAsia="fr-FR"/>
        </w:rPr>
        <w:t>; «Хуттен Чапська проти Польщі» (</w:t>
      </w:r>
      <w:r w:rsidRPr="009A3F85">
        <w:rPr>
          <w:rFonts w:eastAsia="Times New Roman"/>
          <w:i/>
          <w:lang w:val="uk-UA" w:eastAsia="fr-FR"/>
        </w:rPr>
        <w:t>Hutten Czapska v. Poland</w:t>
      </w:r>
      <w:r w:rsidRPr="009A3F85">
        <w:rPr>
          <w:rFonts w:eastAsia="Times New Roman"/>
          <w:lang w:val="uk-UA" w:eastAsia="fr-FR"/>
        </w:rPr>
        <w:t>) (дружнє врегулювання) [ВП], заява № 35014/97, п. 42, від 28 квітня 2008 року; «Хуттен Чапська проти Польщі» (</w:t>
      </w:r>
      <w:r w:rsidRPr="009A3F85">
        <w:rPr>
          <w:rFonts w:eastAsia="Times New Roman"/>
          <w:i/>
          <w:lang w:val="uk-UA" w:eastAsia="fr-FR"/>
        </w:rPr>
        <w:t>Hutten Czapska v. Poland</w:t>
      </w:r>
      <w:r w:rsidRPr="009A3F85">
        <w:rPr>
          <w:rFonts w:eastAsia="Times New Roman"/>
          <w:lang w:val="uk-UA" w:eastAsia="fr-FR"/>
        </w:rPr>
        <w:t>) [ВП], заява № 35014/97, пп. 231-239 та резолютивна частина, ECHR 2006-VIII); «Броньовський проти Польщі» (</w:t>
      </w:r>
      <w:r w:rsidRPr="009A3F85">
        <w:rPr>
          <w:rFonts w:eastAsia="Times New Roman"/>
          <w:i/>
          <w:lang w:val="uk-UA" w:eastAsia="fr-FR"/>
        </w:rPr>
        <w:t>Broniowski v. Poland</w:t>
      </w:r>
      <w:r w:rsidRPr="009A3F85">
        <w:rPr>
          <w:rFonts w:eastAsia="Times New Roman"/>
          <w:lang w:val="uk-UA" w:eastAsia="fr-FR"/>
        </w:rPr>
        <w:t>) (дружнє врегулювання) [ВП], заява № 31443/96, п. 42, ECHR 2005-IX; та «Броньовський проти Польщі» (</w:t>
      </w:r>
      <w:r w:rsidRPr="009A3F85">
        <w:rPr>
          <w:rFonts w:eastAsia="Times New Roman"/>
          <w:i/>
          <w:lang w:val="uk-UA" w:eastAsia="fr-FR"/>
        </w:rPr>
        <w:t>Broniowski v. Poland</w:t>
      </w:r>
      <w:r w:rsidRPr="009A3F85">
        <w:rPr>
          <w:rFonts w:eastAsia="Times New Roman"/>
          <w:lang w:val="uk-UA" w:eastAsia="fr-FR"/>
        </w:rPr>
        <w:t>) [ВП], заява № 31443/96, пп. 189-194 та резолютивна частина, ECHR 2004-V).</w:t>
      </w:r>
    </w:p>
    <w:p w:rsidRPr="009A3F85" w:rsidR="006D147C" w:rsidP="009A3F85">
      <w:pPr>
        <w:pStyle w:val="ECHRParaQuote"/>
        <w:rPr>
          <w:rFonts w:eastAsia="Times New Roman"/>
          <w:lang w:val="uk-UA" w:eastAsia="fr-FR"/>
        </w:rPr>
      </w:pPr>
      <w:r w:rsidRPr="009A3F85">
        <w:rPr>
          <w:rFonts w:eastAsia="Times New Roman"/>
          <w:lang w:val="uk-UA" w:eastAsia="fr-FR"/>
        </w:rPr>
        <w:t xml:space="preserve">50.  Тому Суд послідовно наголошував на тому, що </w:t>
      </w:r>
      <w:r w:rsidRPr="009A3F85" w:rsidR="00205A07">
        <w:rPr>
          <w:rFonts w:eastAsia="Times New Roman"/>
          <w:lang w:val="uk-UA" w:eastAsia="fr-FR"/>
        </w:rPr>
        <w:t xml:space="preserve">його юрисдикція не поширюється на </w:t>
      </w:r>
      <w:r w:rsidRPr="009A3F85" w:rsidR="00AA0D10">
        <w:rPr>
          <w:rFonts w:eastAsia="Times New Roman"/>
          <w:lang w:val="uk-UA" w:eastAsia="fr-FR"/>
        </w:rPr>
        <w:t>питання</w:t>
      </w:r>
      <w:r w:rsidRPr="009A3F85">
        <w:rPr>
          <w:rFonts w:eastAsia="Times New Roman"/>
          <w:lang w:val="uk-UA" w:eastAsia="fr-FR"/>
        </w:rPr>
        <w:t xml:space="preserve"> перевірки </w:t>
      </w:r>
      <w:r w:rsidRPr="009A3F85" w:rsidR="00AA0D10">
        <w:rPr>
          <w:rFonts w:eastAsia="Times New Roman"/>
          <w:lang w:val="uk-UA" w:eastAsia="fr-FR"/>
        </w:rPr>
        <w:t>виконання</w:t>
      </w:r>
      <w:r w:rsidRPr="009A3F85">
        <w:rPr>
          <w:rFonts w:eastAsia="Times New Roman"/>
          <w:lang w:val="uk-UA" w:eastAsia="fr-FR"/>
        </w:rPr>
        <w:t xml:space="preserve"> Договірн</w:t>
      </w:r>
      <w:r w:rsidRPr="009A3F85" w:rsidR="00AA0D10">
        <w:rPr>
          <w:rFonts w:eastAsia="Times New Roman"/>
          <w:lang w:val="uk-UA" w:eastAsia="fr-FR"/>
        </w:rPr>
        <w:t>ими</w:t>
      </w:r>
      <w:r w:rsidRPr="009A3F85">
        <w:rPr>
          <w:rFonts w:eastAsia="Times New Roman"/>
          <w:lang w:val="uk-UA" w:eastAsia="fr-FR"/>
        </w:rPr>
        <w:t xml:space="preserve"> Сторон</w:t>
      </w:r>
      <w:r w:rsidRPr="009A3F85" w:rsidR="00AA0D10">
        <w:rPr>
          <w:rFonts w:eastAsia="Times New Roman"/>
          <w:lang w:val="uk-UA" w:eastAsia="fr-FR"/>
        </w:rPr>
        <w:t>ами зобов</w:t>
      </w:r>
      <w:r w:rsidRPr="009A3F85" w:rsidR="009A3F85">
        <w:rPr>
          <w:rFonts w:eastAsia="Times New Roman"/>
          <w:lang w:val="uk-UA" w:eastAsia="fr-FR"/>
        </w:rPr>
        <w:t>’</w:t>
      </w:r>
      <w:r w:rsidRPr="009A3F85" w:rsidR="00AA0D10">
        <w:rPr>
          <w:rFonts w:eastAsia="Times New Roman"/>
          <w:lang w:val="uk-UA" w:eastAsia="fr-FR"/>
        </w:rPr>
        <w:t>язань</w:t>
      </w:r>
      <w:r w:rsidRPr="009A3F85">
        <w:rPr>
          <w:rFonts w:eastAsia="Times New Roman"/>
          <w:lang w:val="uk-UA" w:eastAsia="fr-FR"/>
        </w:rPr>
        <w:t>, накладен</w:t>
      </w:r>
      <w:r w:rsidRPr="009A3F85" w:rsidR="00AA0D10">
        <w:rPr>
          <w:rFonts w:eastAsia="Times New Roman"/>
          <w:lang w:val="uk-UA" w:eastAsia="fr-FR"/>
        </w:rPr>
        <w:t>их</w:t>
      </w:r>
      <w:r w:rsidRPr="009A3F85">
        <w:rPr>
          <w:rFonts w:eastAsia="Times New Roman"/>
          <w:lang w:val="uk-UA" w:eastAsia="fr-FR"/>
        </w:rPr>
        <w:t xml:space="preserve"> на них одним із рішень Суду. Тому Суд </w:t>
      </w:r>
      <w:r w:rsidRPr="009A3F85" w:rsidR="00205A07">
        <w:rPr>
          <w:rFonts w:eastAsia="Times New Roman"/>
          <w:lang w:val="uk-UA" w:eastAsia="fr-FR"/>
        </w:rPr>
        <w:t xml:space="preserve">відмовляв у розгляді </w:t>
      </w:r>
      <w:r w:rsidRPr="009A3F85">
        <w:rPr>
          <w:rFonts w:eastAsia="Times New Roman"/>
          <w:lang w:val="uk-UA" w:eastAsia="fr-FR"/>
        </w:rPr>
        <w:t xml:space="preserve">скарг щодо невиконання державами його рішень, визнаючи такі скарги неприйнятними </w:t>
      </w:r>
      <w:r w:rsidRPr="009A3F85">
        <w:rPr>
          <w:rFonts w:eastAsia="Times New Roman"/>
          <w:i/>
          <w:lang w:val="uk-UA" w:eastAsia="fr-FR"/>
        </w:rPr>
        <w:t>ratione materiae</w:t>
      </w:r>
      <w:r w:rsidRPr="009A3F85">
        <w:rPr>
          <w:rFonts w:eastAsia="Times New Roman"/>
          <w:lang w:val="uk-UA" w:eastAsia="fr-FR"/>
        </w:rPr>
        <w:t xml:space="preserve"> (див. ухвали щодо прийнятності у справах «Молдован та інші проти Молдови» (</w:t>
      </w:r>
      <w:r w:rsidRPr="009A3F85">
        <w:rPr>
          <w:rFonts w:eastAsia="Times New Roman"/>
          <w:i/>
          <w:lang w:val="uk-UA" w:eastAsia="fr-FR"/>
        </w:rPr>
        <w:t>Moldovan and Others v. Moldova</w:t>
      </w:r>
      <w:r w:rsidRPr="009A3F85">
        <w:rPr>
          <w:rFonts w:eastAsia="Times New Roman"/>
          <w:lang w:val="uk-UA" w:eastAsia="fr-FR"/>
        </w:rPr>
        <w:t>), заява №</w:t>
      </w:r>
      <w:r w:rsidRPr="009A3F85" w:rsidR="00205A07">
        <w:rPr>
          <w:rFonts w:eastAsia="Times New Roman"/>
          <w:lang w:val="uk-UA" w:eastAsia="fr-FR"/>
        </w:rPr>
        <w:t> </w:t>
      </w:r>
      <w:r w:rsidRPr="009A3F85">
        <w:rPr>
          <w:rFonts w:eastAsia="Times New Roman"/>
          <w:lang w:val="uk-UA" w:eastAsia="fr-FR"/>
        </w:rPr>
        <w:t>8229/04, від 15 лютого 2011 року; «Д</w:t>
      </w:r>
      <w:r w:rsidRPr="009A3F85" w:rsidR="00AA0D10">
        <w:rPr>
          <w:rFonts w:eastAsia="Times New Roman"/>
          <w:lang w:val="uk-UA" w:eastAsia="fr-FR"/>
        </w:rPr>
        <w:t>а</w:t>
      </w:r>
      <w:r w:rsidRPr="009A3F85">
        <w:rPr>
          <w:rFonts w:eastAsia="Times New Roman"/>
          <w:lang w:val="uk-UA" w:eastAsia="fr-FR"/>
        </w:rPr>
        <w:t>усетт проти Сполученого Королівства (№ 2)» (</w:t>
      </w:r>
      <w:r w:rsidRPr="009A3F85">
        <w:rPr>
          <w:rFonts w:eastAsia="Times New Roman"/>
          <w:i/>
          <w:lang w:val="uk-UA" w:eastAsia="fr-FR"/>
        </w:rPr>
        <w:t>Dowsett v. the United Kingdom</w:t>
      </w:r>
      <w:r w:rsidRPr="009A3F85">
        <w:rPr>
          <w:rFonts w:eastAsia="Times New Roman"/>
          <w:lang w:val="uk-UA" w:eastAsia="fr-FR"/>
        </w:rPr>
        <w:t xml:space="preserve"> (no. 2)), заява № 8559/08, від 4 січня 2011 </w:t>
      </w:r>
      <w:r w:rsidRPr="009A3F85">
        <w:rPr>
          <w:rFonts w:eastAsia="Times New Roman"/>
          <w:lang w:val="uk-UA" w:eastAsia="fr-FR"/>
        </w:rPr>
        <w:t>року; «Оджалан проти Туреччини» (</w:t>
      </w:r>
      <w:r w:rsidRPr="009A3F85">
        <w:rPr>
          <w:rFonts w:eastAsia="Times New Roman"/>
          <w:i/>
          <w:lang w:val="uk-UA" w:eastAsia="fr-FR"/>
        </w:rPr>
        <w:t>Öcalan v. Turkey</w:t>
      </w:r>
      <w:r w:rsidRPr="009A3F85">
        <w:rPr>
          <w:rFonts w:eastAsia="Times New Roman"/>
          <w:lang w:val="uk-UA" w:eastAsia="fr-FR"/>
        </w:rPr>
        <w:t>), заява № 5980/07, від 6 липня 2010 року; рішення у справі «Хаазе проти Німеччини» (</w:t>
      </w:r>
      <w:r w:rsidRPr="009A3F85">
        <w:rPr>
          <w:rFonts w:eastAsia="Times New Roman"/>
          <w:i/>
          <w:lang w:val="uk-UA" w:eastAsia="fr-FR"/>
        </w:rPr>
        <w:t>Haase v. Germany</w:t>
      </w:r>
      <w:r w:rsidRPr="009A3F85">
        <w:rPr>
          <w:rFonts w:eastAsia="Times New Roman"/>
          <w:lang w:val="uk-UA" w:eastAsia="fr-FR"/>
        </w:rPr>
        <w:t>), заява № 11057/02, ECHR 2004 III; ухвали щодо прийнятності у справах «Команіцький проти Словаччини» (</w:t>
      </w:r>
      <w:r w:rsidRPr="009A3F85">
        <w:rPr>
          <w:rFonts w:eastAsia="Times New Roman"/>
          <w:i/>
          <w:lang w:val="uk-UA" w:eastAsia="fr-FR"/>
        </w:rPr>
        <w:t>Komanický v. Slovakia</w:t>
      </w:r>
      <w:r w:rsidRPr="009A3F85">
        <w:rPr>
          <w:rFonts w:eastAsia="Times New Roman"/>
          <w:lang w:val="uk-UA" w:eastAsia="fr-FR"/>
        </w:rPr>
        <w:t>), заява № 13677/03, від 1 березня 2005 року; вищенаведені ухвали щодо прийнятності у справах «Лайонз та інші проти Сполученого Королівства» (</w:t>
      </w:r>
      <w:r w:rsidRPr="009A3F85">
        <w:rPr>
          <w:rFonts w:eastAsia="Times New Roman"/>
          <w:i/>
          <w:lang w:val="uk-UA" w:eastAsia="fr-FR"/>
        </w:rPr>
        <w:t>Lyons and Others v. the United Kingdom</w:t>
      </w:r>
      <w:r w:rsidRPr="009A3F85">
        <w:rPr>
          <w:rFonts w:eastAsia="Times New Roman"/>
          <w:lang w:val="uk-UA" w:eastAsia="fr-FR"/>
        </w:rPr>
        <w:t>); «Крчмар та інші проти Чеської Республіки » (</w:t>
      </w:r>
      <w:r w:rsidRPr="009A3F85">
        <w:rPr>
          <w:rFonts w:eastAsia="Times New Roman"/>
          <w:i/>
          <w:lang w:val="uk-UA" w:eastAsia="fr-FR"/>
        </w:rPr>
        <w:t>Krčmář and Others v. the Czech Republic</w:t>
      </w:r>
      <w:r w:rsidRPr="009A3F85">
        <w:rPr>
          <w:rFonts w:eastAsia="Times New Roman"/>
          <w:lang w:val="uk-UA" w:eastAsia="fr-FR"/>
        </w:rPr>
        <w:t>); та «[Фішер] проти Австрії» ([</w:t>
      </w:r>
      <w:r w:rsidRPr="009A3F85">
        <w:rPr>
          <w:rFonts w:eastAsia="Times New Roman"/>
          <w:i/>
          <w:lang w:val="uk-UA" w:eastAsia="fr-FR"/>
        </w:rPr>
        <w:t>Fischer</w:t>
      </w:r>
      <w:r w:rsidRPr="009A3F85">
        <w:rPr>
          <w:rFonts w:eastAsia="Times New Roman"/>
          <w:sz w:val="22"/>
          <w:lang w:val="uk-UA" w:eastAsia="fr-FR"/>
        </w:rPr>
        <w:t>]</w:t>
      </w:r>
      <w:r w:rsidRPr="009A3F85">
        <w:rPr>
          <w:rFonts w:eastAsia="Times New Roman"/>
          <w:i/>
          <w:lang w:val="uk-UA" w:eastAsia="fr-FR"/>
        </w:rPr>
        <w:t xml:space="preserve"> v. Austria</w:t>
      </w:r>
      <w:r w:rsidRPr="009A3F85">
        <w:rPr>
          <w:rFonts w:eastAsia="Times New Roman"/>
          <w:lang w:val="uk-UA" w:eastAsia="fr-FR"/>
        </w:rPr>
        <w:t>), заява № 27569/02, ECHR 2003 VI).</w:t>
      </w:r>
    </w:p>
    <w:p w:rsidRPr="009A3F85" w:rsidR="006D147C" w:rsidP="009A3F85">
      <w:pPr>
        <w:pStyle w:val="ECHRParaQuote"/>
        <w:rPr>
          <w:rFonts w:eastAsia="Times New Roman"/>
          <w:lang w:val="uk-UA" w:eastAsia="fr-FR"/>
        </w:rPr>
      </w:pPr>
      <w:r w:rsidRPr="009A3F85">
        <w:rPr>
          <w:rFonts w:eastAsia="Times New Roman"/>
          <w:lang w:val="uk-UA" w:eastAsia="fr-FR"/>
        </w:rPr>
        <w:t xml:space="preserve">51.  Проте </w:t>
      </w:r>
      <w:r w:rsidRPr="009A3F85" w:rsidR="00205A07">
        <w:rPr>
          <w:rFonts w:eastAsia="Times New Roman"/>
          <w:lang w:val="uk-UA" w:eastAsia="fr-FR"/>
        </w:rPr>
        <w:t xml:space="preserve">роль </w:t>
      </w:r>
      <w:r w:rsidRPr="009A3F85">
        <w:rPr>
          <w:rFonts w:eastAsia="Times New Roman"/>
          <w:lang w:val="uk-UA" w:eastAsia="fr-FR"/>
        </w:rPr>
        <w:t xml:space="preserve">Комітету </w:t>
      </w:r>
      <w:r w:rsidRPr="009A3F85" w:rsidR="00EA628B">
        <w:rPr>
          <w:rFonts w:eastAsia="Times New Roman"/>
          <w:lang w:val="uk-UA" w:eastAsia="fr-FR"/>
        </w:rPr>
        <w:t xml:space="preserve">міністрів </w:t>
      </w:r>
      <w:r w:rsidRPr="009A3F85">
        <w:rPr>
          <w:rFonts w:eastAsia="Times New Roman"/>
          <w:lang w:val="uk-UA" w:eastAsia="fr-FR"/>
        </w:rPr>
        <w:t xml:space="preserve">у цій сфері не означає, що вжиті державою-відповідачем заходи з виправлення встановленого Судом порушення не можуть порушити нове питання, яке не </w:t>
      </w:r>
      <w:r w:rsidRPr="009A3F85" w:rsidR="00AA0D10">
        <w:rPr>
          <w:rFonts w:eastAsia="Times New Roman"/>
          <w:lang w:val="uk-UA" w:eastAsia="fr-FR"/>
        </w:rPr>
        <w:t>було вирішено</w:t>
      </w:r>
      <w:r w:rsidRPr="009A3F85">
        <w:rPr>
          <w:rFonts w:eastAsia="Times New Roman"/>
          <w:lang w:val="uk-UA" w:eastAsia="fr-FR"/>
        </w:rPr>
        <w:t xml:space="preserve"> у рішенні Суду (див. вищенаведене рішення у справі</w:t>
      </w:r>
      <w:r w:rsidRPr="009A3F85">
        <w:rPr>
          <w:rFonts w:eastAsia="Times New Roman"/>
          <w:lang w:val="uk-UA"/>
        </w:rPr>
        <w:t xml:space="preserve"> «</w:t>
      </w:r>
      <w:r w:rsidRPr="009A3F85" w:rsidR="00AA0D10">
        <w:rPr>
          <w:rFonts w:eastAsia="Times New Roman"/>
          <w:lang w:val="uk-UA"/>
        </w:rPr>
        <w:t>«</w:t>
      </w:r>
      <w:r w:rsidRPr="009A3F85" w:rsidR="00205A07">
        <w:rPr>
          <w:rFonts w:eastAsia="Times New Roman"/>
          <w:lang w:val="uk-UA"/>
        </w:rPr>
        <w:t>Verein gegen Tierfabriken Schweiz</w:t>
      </w:r>
      <w:r w:rsidRPr="009A3F85" w:rsidR="00AA0D10">
        <w:rPr>
          <w:rFonts w:eastAsia="Times New Roman"/>
          <w:lang w:val="uk-UA"/>
        </w:rPr>
        <w:t>»</w:t>
      </w:r>
      <w:r w:rsidRPr="009A3F85">
        <w:rPr>
          <w:rFonts w:eastAsia="Times New Roman"/>
          <w:lang w:val="uk-UA"/>
        </w:rPr>
        <w:t xml:space="preserve"> </w:t>
      </w:r>
      <w:r w:rsidRPr="009A3F85" w:rsidR="00AA0D10">
        <w:rPr>
          <w:lang w:val="uk-UA"/>
        </w:rPr>
        <w:t>(VgT)</w:t>
      </w:r>
      <w:r w:rsidRPr="009A3F85" w:rsidR="00AA0D10">
        <w:rPr>
          <w:i/>
          <w:lang w:val="uk-UA"/>
        </w:rPr>
        <w:t xml:space="preserve"> </w:t>
      </w:r>
      <w:r w:rsidRPr="009A3F85">
        <w:rPr>
          <w:rFonts w:eastAsia="Times New Roman"/>
          <w:lang w:val="uk-UA"/>
        </w:rPr>
        <w:t>проти Швейцарії (№</w:t>
      </w:r>
      <w:r w:rsidRPr="009A3F85">
        <w:rPr>
          <w:rFonts w:eastAsia="Times New Roman"/>
          <w:lang w:val="uk-UA" w:eastAsia="fr-FR"/>
        </w:rPr>
        <w:t> </w:t>
      </w:r>
      <w:r w:rsidRPr="009A3F85">
        <w:rPr>
          <w:rFonts w:eastAsia="Times New Roman"/>
          <w:lang w:val="uk-UA"/>
        </w:rPr>
        <w:t>2)» (</w:t>
      </w:r>
      <w:r w:rsidRPr="009A3F85">
        <w:rPr>
          <w:i/>
          <w:lang w:val="uk-UA"/>
        </w:rPr>
        <w:t>Verein gegen Tierfabriken Schweiz (VgT) v. Switzerland (no. 2)</w:t>
      </w:r>
      <w:r w:rsidRPr="009A3F85">
        <w:rPr>
          <w:lang w:val="uk-UA"/>
        </w:rPr>
        <w:t>)</w:t>
      </w:r>
      <w:r w:rsidRPr="009A3F85">
        <w:rPr>
          <w:rFonts w:eastAsia="Times New Roman"/>
          <w:lang w:val="uk-UA" w:eastAsia="fr-FR"/>
        </w:rPr>
        <w:t>, п. 62; ухвалу щодо прийнятності у справі «Аккар проти Франції» (</w:t>
      </w:r>
      <w:r w:rsidRPr="009A3F85">
        <w:rPr>
          <w:rFonts w:eastAsia="Times New Roman"/>
          <w:i/>
          <w:lang w:val="uk-UA" w:eastAsia="fr-FR"/>
        </w:rPr>
        <w:t>Hakkar v. France</w:t>
      </w:r>
      <w:r w:rsidRPr="009A3F85">
        <w:rPr>
          <w:rFonts w:eastAsia="Times New Roman"/>
          <w:lang w:val="uk-UA" w:eastAsia="fr-FR"/>
        </w:rPr>
        <w:t>), заява № 43580/04, від 7 квітня 2009 року; вищенаведене рішення у справі «Хаазе проти Німеччини» (</w:t>
      </w:r>
      <w:r w:rsidRPr="009A3F85">
        <w:rPr>
          <w:rFonts w:eastAsia="Times New Roman"/>
          <w:i/>
          <w:lang w:val="uk-UA" w:eastAsia="fr-FR"/>
        </w:rPr>
        <w:t>Haase v. Germany</w:t>
      </w:r>
      <w:r w:rsidRPr="009A3F85">
        <w:rPr>
          <w:rFonts w:eastAsia="Times New Roman"/>
          <w:lang w:val="uk-UA" w:eastAsia="fr-FR"/>
        </w:rPr>
        <w:t>); рішення у справах «Меемі проти Франції (№ 2)» (</w:t>
      </w:r>
      <w:r w:rsidRPr="009A3F85">
        <w:rPr>
          <w:i/>
          <w:lang w:val="uk-UA"/>
        </w:rPr>
        <w:t xml:space="preserve">Mehemi </w:t>
      </w:r>
      <w:r w:rsidRPr="009A3F85">
        <w:rPr>
          <w:lang w:val="uk-UA"/>
        </w:rPr>
        <w:t>[</w:t>
      </w:r>
      <w:r w:rsidRPr="009A3F85">
        <w:rPr>
          <w:i/>
          <w:lang w:val="uk-UA"/>
        </w:rPr>
        <w:t>v. France (no. 2))</w:t>
      </w:r>
      <w:r w:rsidRPr="009A3F85">
        <w:rPr>
          <w:lang w:val="uk-UA"/>
        </w:rPr>
        <w:t>,</w:t>
      </w:r>
      <w:r w:rsidRPr="009A3F85">
        <w:rPr>
          <w:i/>
          <w:lang w:val="uk-UA"/>
        </w:rPr>
        <w:t xml:space="preserve"> </w:t>
      </w:r>
      <w:r w:rsidRPr="009A3F85">
        <w:rPr>
          <w:lang w:val="uk-UA"/>
        </w:rPr>
        <w:t>заява №</w:t>
      </w:r>
      <w:r w:rsidRPr="009A3F85">
        <w:rPr>
          <w:rFonts w:eastAsia="Times New Roman"/>
          <w:lang w:val="uk-UA" w:eastAsia="fr-FR"/>
        </w:rPr>
        <w:t> </w:t>
      </w:r>
      <w:r w:rsidRPr="009A3F85">
        <w:rPr>
          <w:lang w:val="uk-UA"/>
        </w:rPr>
        <w:t xml:space="preserve">53470/99, § </w:t>
      </w:r>
      <w:r w:rsidRPr="009A3F85">
        <w:rPr>
          <w:rFonts w:eastAsia="Times New Roman"/>
          <w:lang w:val="uk-UA" w:eastAsia="fr-FR"/>
        </w:rPr>
        <w:t>43</w:t>
      </w:r>
      <w:r w:rsidRPr="009A3F85">
        <w:rPr>
          <w:lang w:val="uk-UA"/>
        </w:rPr>
        <w:t>, ECHR 2003</w:t>
      </w:r>
      <w:r w:rsidRPr="009A3F85">
        <w:rPr>
          <w:lang w:val="uk-UA"/>
        </w:rPr>
        <w:noBreakHyphen/>
        <w:t>IV]</w:t>
      </w:r>
      <w:r w:rsidRPr="009A3F85">
        <w:rPr>
          <w:rFonts w:eastAsia="Times New Roman"/>
          <w:lang w:val="uk-UA" w:eastAsia="fr-FR"/>
        </w:rPr>
        <w:t>; «Ронгоні проти Італії» (</w:t>
      </w:r>
      <w:r w:rsidRPr="009A3F85">
        <w:rPr>
          <w:rFonts w:eastAsia="Times New Roman"/>
          <w:i/>
          <w:lang w:val="uk-UA" w:eastAsia="fr-FR"/>
        </w:rPr>
        <w:t>Rongoni v. Italy</w:t>
      </w:r>
      <w:r w:rsidRPr="009A3F85">
        <w:rPr>
          <w:rFonts w:eastAsia="Times New Roman"/>
          <w:lang w:val="uk-UA" w:eastAsia="fr-FR"/>
        </w:rPr>
        <w:t>), заява № 44531/98, п. 13, від 25 жовтня 2001 року; «Рандо проти Італії» (</w:t>
      </w:r>
      <w:r w:rsidRPr="009A3F85">
        <w:rPr>
          <w:rFonts w:eastAsia="Times New Roman"/>
          <w:i/>
          <w:lang w:val="uk-UA" w:eastAsia="fr-FR"/>
        </w:rPr>
        <w:t>Rando v. Italy</w:t>
      </w:r>
      <w:r w:rsidRPr="009A3F85">
        <w:rPr>
          <w:rFonts w:eastAsia="Times New Roman"/>
          <w:lang w:val="uk-UA" w:eastAsia="fr-FR"/>
        </w:rPr>
        <w:t>), заява № 38498/97, п. 17, від 15 лютого 2000 року; «Летерм проти Франції» (</w:t>
      </w:r>
      <w:r w:rsidRPr="009A3F85">
        <w:rPr>
          <w:rFonts w:eastAsia="Times New Roman"/>
          <w:i/>
          <w:lang w:val="uk-UA" w:eastAsia="fr-FR"/>
        </w:rPr>
        <w:t>Leterme v. France</w:t>
      </w:r>
      <w:r w:rsidRPr="009A3F85">
        <w:rPr>
          <w:rFonts w:eastAsia="Times New Roman"/>
          <w:lang w:val="uk-UA" w:eastAsia="fr-FR"/>
        </w:rPr>
        <w:t>), від 29 квітня 1998 року, Reports 1998-III; «Пайо проти Франції» (</w:t>
      </w:r>
      <w:r w:rsidRPr="009A3F85">
        <w:rPr>
          <w:rFonts w:eastAsia="Times New Roman"/>
          <w:i/>
          <w:lang w:val="uk-UA" w:eastAsia="fr-FR"/>
        </w:rPr>
        <w:t>Pailot v. France</w:t>
      </w:r>
      <w:r w:rsidRPr="009A3F85">
        <w:rPr>
          <w:rFonts w:eastAsia="Times New Roman"/>
          <w:lang w:val="uk-UA" w:eastAsia="fr-FR"/>
        </w:rPr>
        <w:t>), від 22 квітня 1998 року, п. 57, Reports 1998-II; та «Ольс</w:t>
      </w:r>
      <w:r w:rsidRPr="009A3F85" w:rsidR="003F1D90">
        <w:rPr>
          <w:rFonts w:eastAsia="Times New Roman"/>
          <w:lang w:val="uk-UA" w:eastAsia="fr-FR"/>
        </w:rPr>
        <w:t>с</w:t>
      </w:r>
      <w:r w:rsidRPr="009A3F85">
        <w:rPr>
          <w:rFonts w:eastAsia="Times New Roman"/>
          <w:lang w:val="uk-UA" w:eastAsia="fr-FR"/>
        </w:rPr>
        <w:t>он проти Швеції (№ 2)» (</w:t>
      </w:r>
      <w:r w:rsidRPr="009A3F85">
        <w:rPr>
          <w:rFonts w:eastAsia="Times New Roman"/>
          <w:i/>
          <w:lang w:val="uk-UA" w:eastAsia="fr-FR"/>
        </w:rPr>
        <w:t>Olsson v. Swede</w:t>
      </w:r>
      <w:r w:rsidRPr="009A3F85">
        <w:rPr>
          <w:rFonts w:eastAsia="Times New Roman"/>
          <w:lang w:val="uk-UA" w:eastAsia="fr-FR"/>
        </w:rPr>
        <w:t>n (no. 2), від 27 листопада 1992 року, Series A № 250) і як таке становить предмет нової заяви, що може розглядатися Судом.</w:t>
      </w:r>
    </w:p>
    <w:p w:rsidRPr="009A3F85" w:rsidR="006D147C" w:rsidP="009A3F85">
      <w:pPr>
        <w:pStyle w:val="ECHRParaQuote"/>
        <w:rPr>
          <w:rFonts w:eastAsia="Times New Roman"/>
          <w:lang w:val="uk-UA" w:eastAsia="fr-FR"/>
        </w:rPr>
      </w:pPr>
      <w:r w:rsidRPr="009A3F85">
        <w:rPr>
          <w:rFonts w:eastAsia="Times New Roman"/>
          <w:lang w:val="uk-UA" w:eastAsia="fr-FR"/>
        </w:rPr>
        <w:t xml:space="preserve">52.  Виходячи з цього, Суд встановив, що він наділений компетенцією </w:t>
      </w:r>
      <w:r w:rsidRPr="009A3F85" w:rsidR="00090D33">
        <w:rPr>
          <w:rFonts w:eastAsia="Times New Roman"/>
          <w:lang w:val="uk-UA" w:eastAsia="fr-FR"/>
        </w:rPr>
        <w:t>розглядати</w:t>
      </w:r>
      <w:r w:rsidRPr="009A3F85">
        <w:rPr>
          <w:rFonts w:eastAsia="Times New Roman"/>
          <w:lang w:val="uk-UA" w:eastAsia="fr-FR"/>
        </w:rPr>
        <w:t xml:space="preserve"> скарги у низці </w:t>
      </w:r>
      <w:r w:rsidRPr="009A3F85" w:rsidR="00A13118">
        <w:rPr>
          <w:rFonts w:eastAsia="Times New Roman"/>
          <w:lang w:val="uk-UA" w:eastAsia="fr-FR"/>
        </w:rPr>
        <w:t xml:space="preserve">повторних </w:t>
      </w:r>
      <w:r w:rsidRPr="009A3F85">
        <w:rPr>
          <w:rFonts w:eastAsia="Times New Roman"/>
          <w:lang w:val="uk-UA" w:eastAsia="fr-FR"/>
        </w:rPr>
        <w:t xml:space="preserve">справ, наприклад, якщо національні органи влади провели новий розгляд справи на національному рівні </w:t>
      </w:r>
      <w:r w:rsidRPr="009A3F85" w:rsidR="00090D33">
        <w:rPr>
          <w:rFonts w:eastAsia="Times New Roman"/>
          <w:lang w:val="uk-UA" w:eastAsia="fr-FR"/>
        </w:rPr>
        <w:t xml:space="preserve">з метою </w:t>
      </w:r>
      <w:r w:rsidRPr="009A3F85">
        <w:rPr>
          <w:rFonts w:eastAsia="Times New Roman"/>
          <w:lang w:val="uk-UA" w:eastAsia="fr-FR"/>
        </w:rPr>
        <w:t>виконання одного з рішень</w:t>
      </w:r>
      <w:r w:rsidRPr="009A3F85" w:rsidR="00090D33">
        <w:rPr>
          <w:rFonts w:eastAsia="Times New Roman"/>
          <w:lang w:val="uk-UA" w:eastAsia="fr-FR"/>
        </w:rPr>
        <w:t xml:space="preserve"> Суду</w:t>
      </w:r>
      <w:r w:rsidRPr="009A3F85">
        <w:rPr>
          <w:rFonts w:eastAsia="Times New Roman"/>
          <w:lang w:val="uk-UA" w:eastAsia="fr-FR"/>
        </w:rPr>
        <w:t xml:space="preserve"> чи то шляхом відновлення провадження (див. рішення від 11 жовтня 2011 року у справі «Емре проти Швейцарії (№</w:t>
      </w:r>
      <w:r w:rsidRPr="009A3F85">
        <w:rPr>
          <w:rFonts w:eastAsia="Times New Roman"/>
          <w:i/>
          <w:lang w:val="uk-UA" w:eastAsia="fr-FR"/>
        </w:rPr>
        <w:t> </w:t>
      </w:r>
      <w:r w:rsidRPr="009A3F85">
        <w:rPr>
          <w:rFonts w:eastAsia="Times New Roman"/>
          <w:lang w:val="uk-UA" w:eastAsia="fr-FR"/>
        </w:rPr>
        <w:t>2)» (</w:t>
      </w:r>
      <w:r w:rsidRPr="009A3F85">
        <w:rPr>
          <w:rFonts w:eastAsia="Times New Roman"/>
          <w:i/>
          <w:lang w:val="uk-UA" w:eastAsia="fr-FR"/>
        </w:rPr>
        <w:t>Emre v. Switzerland (no. 2)</w:t>
      </w:r>
      <w:r w:rsidRPr="009A3F85">
        <w:rPr>
          <w:rFonts w:eastAsia="Times New Roman"/>
          <w:lang w:val="uk-UA" w:eastAsia="fr-FR"/>
        </w:rPr>
        <w:t>), заява № 5056/10, та ухвалу щодо прийнятності у справі «Гертель проти Швейцарії» (</w:t>
      </w:r>
      <w:r w:rsidRPr="009A3F85">
        <w:rPr>
          <w:rFonts w:eastAsia="Times New Roman"/>
          <w:i/>
          <w:lang w:val="uk-UA" w:eastAsia="fr-FR"/>
        </w:rPr>
        <w:t>Hertel</w:t>
      </w:r>
      <w:r w:rsidRPr="009A3F85">
        <w:rPr>
          <w:rFonts w:eastAsia="Times New Roman"/>
          <w:lang w:val="uk-UA" w:eastAsia="fr-FR"/>
        </w:rPr>
        <w:t xml:space="preserve"> </w:t>
      </w:r>
      <w:r w:rsidRPr="009A3F85">
        <w:rPr>
          <w:rFonts w:eastAsia="Times New Roman"/>
          <w:i/>
          <w:lang w:val="uk-UA" w:eastAsia="fr-FR"/>
        </w:rPr>
        <w:t>v. Switzerland</w:t>
      </w:r>
      <w:r w:rsidRPr="009A3F85">
        <w:rPr>
          <w:rFonts w:eastAsia="Times New Roman"/>
          <w:lang w:val="uk-UA" w:eastAsia="fr-FR"/>
        </w:rPr>
        <w:t xml:space="preserve">), заява № 53440/99, ECHR 2002-I]), </w:t>
      </w:r>
      <w:r w:rsidRPr="009A3F85" w:rsidR="00090D33">
        <w:rPr>
          <w:rFonts w:eastAsia="Times New Roman"/>
          <w:lang w:val="uk-UA" w:eastAsia="fr-FR"/>
        </w:rPr>
        <w:t>аб</w:t>
      </w:r>
      <w:r w:rsidRPr="009A3F85">
        <w:rPr>
          <w:rFonts w:eastAsia="Times New Roman"/>
          <w:lang w:val="uk-UA" w:eastAsia="fr-FR"/>
        </w:rPr>
        <w:t xml:space="preserve">о шляхом порушення </w:t>
      </w:r>
      <w:r w:rsidRPr="009A3F85" w:rsidR="00090D33">
        <w:rPr>
          <w:rFonts w:eastAsia="Times New Roman"/>
          <w:lang w:val="uk-UA" w:eastAsia="fr-FR"/>
        </w:rPr>
        <w:t xml:space="preserve">повністю </w:t>
      </w:r>
      <w:r w:rsidRPr="009A3F85">
        <w:rPr>
          <w:rFonts w:eastAsia="Times New Roman"/>
          <w:lang w:val="uk-UA" w:eastAsia="fr-FR"/>
        </w:rPr>
        <w:t>нового провадження на національно</w:t>
      </w:r>
      <w:r w:rsidRPr="009A3F85" w:rsidR="003F1D90">
        <w:rPr>
          <w:rFonts w:eastAsia="Times New Roman"/>
          <w:lang w:val="uk-UA" w:eastAsia="fr-FR"/>
        </w:rPr>
        <w:t>му</w:t>
      </w:r>
      <w:r w:rsidRPr="009A3F85">
        <w:rPr>
          <w:rFonts w:eastAsia="Times New Roman"/>
          <w:lang w:val="uk-UA" w:eastAsia="fr-FR"/>
        </w:rPr>
        <w:t xml:space="preserve"> рівні (див. рішення у справах «</w:t>
      </w:r>
      <w:r w:rsidRPr="009A3F85">
        <w:rPr>
          <w:rFonts w:eastAsia="Times New Roman"/>
          <w:lang w:val="uk-UA"/>
        </w:rPr>
        <w:t>Об</w:t>
      </w:r>
      <w:r w:rsidRPr="009A3F85" w:rsidR="009A3F85">
        <w:rPr>
          <w:rFonts w:eastAsia="Times New Roman"/>
          <w:lang w:val="uk-UA"/>
        </w:rPr>
        <w:t>’</w:t>
      </w:r>
      <w:r w:rsidRPr="009A3F85">
        <w:rPr>
          <w:rFonts w:eastAsia="Times New Roman"/>
          <w:lang w:val="uk-UA"/>
        </w:rPr>
        <w:t>єднана македонська організаці</w:t>
      </w:r>
      <w:r w:rsidRPr="009A3F85" w:rsidR="003F1D90">
        <w:rPr>
          <w:rFonts w:eastAsia="Times New Roman"/>
          <w:lang w:val="uk-UA"/>
        </w:rPr>
        <w:t>я</w:t>
      </w:r>
      <w:r w:rsidRPr="009A3F85">
        <w:rPr>
          <w:rFonts w:eastAsia="Times New Roman"/>
          <w:lang w:val="uk-UA"/>
        </w:rPr>
        <w:t xml:space="preserve"> “Ilinden – PIRIN” та інші проти Болгарії (№ 2)</w:t>
      </w:r>
      <w:r w:rsidRPr="009A3F85">
        <w:rPr>
          <w:rFonts w:eastAsia="Times New Roman"/>
          <w:lang w:val="uk-UA" w:eastAsia="fr-FR"/>
        </w:rPr>
        <w:t>» (</w:t>
      </w:r>
      <w:r w:rsidRPr="009A3F85">
        <w:rPr>
          <w:rFonts w:eastAsia="Times New Roman"/>
          <w:i/>
          <w:lang w:val="uk-UA"/>
        </w:rPr>
        <w:t>The United Macedonian Organisation Ilinden – PIRIN and Others v. Bulgaria (no. 2)</w:t>
      </w:r>
      <w:r w:rsidRPr="009A3F85">
        <w:rPr>
          <w:rFonts w:eastAsia="Times New Roman"/>
          <w:lang w:val="uk-UA"/>
        </w:rPr>
        <w:t>)</w:t>
      </w:r>
      <w:r w:rsidRPr="009A3F85">
        <w:rPr>
          <w:rFonts w:eastAsia="Times New Roman"/>
          <w:lang w:val="uk-UA" w:eastAsia="fr-FR"/>
        </w:rPr>
        <w:t>, заява №</w:t>
      </w:r>
      <w:r w:rsidRPr="009A3F85">
        <w:rPr>
          <w:rFonts w:eastAsia="Times New Roman"/>
          <w:i/>
          <w:lang w:val="uk-UA" w:eastAsia="fr-FR"/>
        </w:rPr>
        <w:t> </w:t>
      </w:r>
      <w:r w:rsidRPr="009A3F85">
        <w:rPr>
          <w:rFonts w:eastAsia="Times New Roman"/>
          <w:lang w:val="uk-UA" w:eastAsia="fr-FR"/>
        </w:rPr>
        <w:t>41561/07</w:t>
      </w:r>
      <w:r w:rsidRPr="009A3F85" w:rsidR="009A3F85">
        <w:rPr>
          <w:rFonts w:eastAsia="Times New Roman"/>
          <w:lang w:val="uk-UA" w:eastAsia="fr-FR"/>
        </w:rPr>
        <w:t xml:space="preserve"> </w:t>
      </w:r>
      <w:r w:rsidRPr="009A3F85">
        <w:rPr>
          <w:rFonts w:eastAsia="Times New Roman"/>
          <w:lang w:val="uk-UA" w:eastAsia="fr-FR"/>
        </w:rPr>
        <w:t>та № 20972/08, від 18 жовтня 2011</w:t>
      </w:r>
      <w:r w:rsidRPr="009A3F85" w:rsidR="00090D33">
        <w:rPr>
          <w:rFonts w:eastAsia="Times New Roman"/>
          <w:lang w:val="uk-UA" w:eastAsia="fr-FR"/>
        </w:rPr>
        <w:t xml:space="preserve"> року</w:t>
      </w:r>
      <w:r w:rsidRPr="009A3F85">
        <w:rPr>
          <w:rFonts w:eastAsia="Times New Roman"/>
          <w:lang w:val="uk-UA" w:eastAsia="fr-FR"/>
        </w:rPr>
        <w:t>, та «Лю проти Росії (№ 2)» (</w:t>
      </w:r>
      <w:r w:rsidRPr="009A3F85">
        <w:rPr>
          <w:rFonts w:eastAsia="Times New Roman"/>
          <w:i/>
          <w:lang w:val="uk-UA" w:eastAsia="fr-FR"/>
        </w:rPr>
        <w:t>Liu v. Russia (no. 2)</w:t>
      </w:r>
      <w:r w:rsidRPr="009A3F85">
        <w:rPr>
          <w:rFonts w:eastAsia="Times New Roman"/>
          <w:lang w:val="uk-UA" w:eastAsia="fr-FR"/>
        </w:rPr>
        <w:t>), заява № 29157/09, від 26 липня 2011 року).</w:t>
      </w:r>
    </w:p>
    <w:p w:rsidRPr="009A3F85" w:rsidR="006D147C" w:rsidP="009A3F85">
      <w:pPr>
        <w:pStyle w:val="ECHRParaQuote"/>
        <w:rPr>
          <w:rFonts w:eastAsia="Times New Roman"/>
          <w:lang w:val="uk-UA" w:eastAsia="fr-FR"/>
        </w:rPr>
      </w:pPr>
      <w:r w:rsidRPr="009A3F85">
        <w:rPr>
          <w:rFonts w:eastAsia="Times New Roman"/>
          <w:lang w:val="uk-UA" w:eastAsia="fr-FR"/>
        </w:rPr>
        <w:t>53.  Більше того, у конкретному контексті триваючого порушення конвенційного права після ухвалення рішення, у якому Суд встановив порушення цього права, яке тривало впродовж певного періоду часу, розгляд другої заяви щодо порушення цього права у подальшому не є чимось незвичайним для Суду (див. серед інших джерел рішення у справах «Іванцок та інші проти Молдови та Росії» (</w:t>
      </w:r>
      <w:r w:rsidRPr="009A3F85">
        <w:rPr>
          <w:rFonts w:eastAsia="Times New Roman"/>
          <w:i/>
          <w:lang w:val="uk-UA" w:eastAsia="fr-FR"/>
        </w:rPr>
        <w:t>Ivanţoc and Others v. Moldova and Russia</w:t>
      </w:r>
      <w:r w:rsidRPr="009A3F85">
        <w:rPr>
          <w:rFonts w:eastAsia="Times New Roman"/>
          <w:lang w:val="uk-UA" w:eastAsia="fr-FR"/>
        </w:rPr>
        <w:t xml:space="preserve">), заява № 23687/05, пп. 93-96, від 15 листопада 2011 року щодо </w:t>
      </w:r>
      <w:r w:rsidRPr="009A3F85" w:rsidR="00090D33">
        <w:rPr>
          <w:rFonts w:eastAsia="Times New Roman"/>
          <w:lang w:val="uk-UA" w:eastAsia="fr-FR"/>
        </w:rPr>
        <w:t>порушення тривалого тримання під вартою</w:t>
      </w:r>
      <w:r w:rsidRPr="009A3F85">
        <w:rPr>
          <w:rFonts w:eastAsia="Times New Roman"/>
          <w:lang w:val="uk-UA" w:eastAsia="fr-FR"/>
        </w:rPr>
        <w:t>; «Вассерман проти Росії (№ 2)» (</w:t>
      </w:r>
      <w:r w:rsidRPr="009A3F85">
        <w:rPr>
          <w:rFonts w:eastAsia="Times New Roman"/>
          <w:i/>
          <w:lang w:val="uk-UA" w:eastAsia="fr-FR"/>
        </w:rPr>
        <w:t>Wasserman v. Russia (no. 2)</w:t>
      </w:r>
      <w:r w:rsidRPr="009A3F85">
        <w:rPr>
          <w:rFonts w:eastAsia="Times New Roman"/>
          <w:lang w:val="uk-UA" w:eastAsia="fr-FR"/>
        </w:rPr>
        <w:t>), заява № 21071/05, пп. 36-37, від 10 квітня 2008 року щодо невиконання рішення національного суду; та вищенаведене рішення у справі «Ронгоні проти Італії» (</w:t>
      </w:r>
      <w:r w:rsidRPr="009A3F85">
        <w:rPr>
          <w:rFonts w:eastAsia="Times New Roman"/>
          <w:i/>
          <w:lang w:val="uk-UA" w:eastAsia="fr-FR"/>
        </w:rPr>
        <w:t>Rongoni v. Italy</w:t>
      </w:r>
      <w:r w:rsidRPr="009A3F85">
        <w:rPr>
          <w:rFonts w:eastAsia="Times New Roman"/>
          <w:lang w:val="uk-UA" w:eastAsia="fr-FR"/>
        </w:rPr>
        <w:t xml:space="preserve">), п.13, щодо тривалості провадження). У таких випадках «нове питання» випливає з продовження порушення, яке </w:t>
      </w:r>
      <w:r w:rsidRPr="009A3F85" w:rsidR="00A13118">
        <w:rPr>
          <w:rFonts w:eastAsia="Times New Roman"/>
          <w:lang w:val="uk-UA" w:eastAsia="fr-FR"/>
        </w:rPr>
        <w:t xml:space="preserve">було підставою для </w:t>
      </w:r>
      <w:r w:rsidRPr="009A3F85">
        <w:rPr>
          <w:rFonts w:eastAsia="Times New Roman"/>
          <w:lang w:val="uk-UA" w:eastAsia="fr-FR"/>
        </w:rPr>
        <w:t xml:space="preserve">первинного рішення Суду. Проте розгляд </w:t>
      </w:r>
      <w:r w:rsidRPr="009A3F85" w:rsidR="00090D33">
        <w:rPr>
          <w:rFonts w:eastAsia="Times New Roman"/>
          <w:lang w:val="uk-UA" w:eastAsia="fr-FR"/>
        </w:rPr>
        <w:t xml:space="preserve">Суду </w:t>
      </w:r>
      <w:r w:rsidRPr="009A3F85">
        <w:rPr>
          <w:rFonts w:eastAsia="Times New Roman"/>
          <w:lang w:val="uk-UA" w:eastAsia="fr-FR"/>
        </w:rPr>
        <w:t xml:space="preserve">обмежується відповідними новими періодами та усіма новими </w:t>
      </w:r>
      <w:r w:rsidRPr="009A3F85" w:rsidR="00090D33">
        <w:rPr>
          <w:rFonts w:eastAsia="Times New Roman"/>
          <w:lang w:val="uk-UA" w:eastAsia="fr-FR"/>
        </w:rPr>
        <w:t xml:space="preserve">поданими </w:t>
      </w:r>
      <w:r w:rsidRPr="009A3F85">
        <w:rPr>
          <w:rFonts w:eastAsia="Times New Roman"/>
          <w:lang w:val="uk-UA" w:eastAsia="fr-FR"/>
        </w:rPr>
        <w:t>у зв</w:t>
      </w:r>
      <w:r w:rsidRPr="009A3F85" w:rsidR="009A3F85">
        <w:rPr>
          <w:rFonts w:eastAsia="Times New Roman"/>
          <w:lang w:val="uk-UA" w:eastAsia="fr-FR"/>
        </w:rPr>
        <w:t>’</w:t>
      </w:r>
      <w:r w:rsidRPr="009A3F85">
        <w:rPr>
          <w:rFonts w:eastAsia="Times New Roman"/>
          <w:lang w:val="uk-UA" w:eastAsia="fr-FR"/>
        </w:rPr>
        <w:t>язку з цим</w:t>
      </w:r>
      <w:r w:rsidRPr="009A3F85" w:rsidR="00A13118">
        <w:rPr>
          <w:rFonts w:eastAsia="Times New Roman"/>
          <w:lang w:val="uk-UA" w:eastAsia="fr-FR"/>
        </w:rPr>
        <w:t xml:space="preserve"> скаргами</w:t>
      </w:r>
      <w:r w:rsidRPr="009A3F85">
        <w:rPr>
          <w:rFonts w:eastAsia="Times New Roman"/>
          <w:lang w:val="uk-UA" w:eastAsia="fr-FR"/>
        </w:rPr>
        <w:t xml:space="preserve"> (див., наприклад, вищенаведене рішення у справі «Іванцок та інші проти Молдови та Росії» (</w:t>
      </w:r>
      <w:r w:rsidRPr="009A3F85">
        <w:rPr>
          <w:rFonts w:eastAsia="Times New Roman"/>
          <w:i/>
          <w:lang w:val="uk-UA" w:eastAsia="fr-FR"/>
        </w:rPr>
        <w:t>Ivanţoc and Others v. Moldova and Russia</w:t>
      </w:r>
      <w:r w:rsidRPr="009A3F85">
        <w:rPr>
          <w:rFonts w:eastAsia="Times New Roman"/>
          <w:lang w:val="uk-UA" w:eastAsia="fr-FR"/>
        </w:rPr>
        <w:t>)).</w:t>
      </w:r>
    </w:p>
    <w:p w:rsidRPr="009A3F85" w:rsidR="006D147C" w:rsidP="009A3F85">
      <w:pPr>
        <w:pStyle w:val="ECHRParaQuote"/>
        <w:rPr>
          <w:rFonts w:eastAsia="Times New Roman"/>
          <w:lang w:val="uk-UA" w:eastAsia="fr-FR"/>
        </w:rPr>
      </w:pPr>
      <w:r w:rsidRPr="009A3F85">
        <w:rPr>
          <w:rFonts w:eastAsia="Times New Roman"/>
          <w:lang w:val="uk-UA" w:eastAsia="fr-FR"/>
        </w:rPr>
        <w:t xml:space="preserve">54.  З практики Суду зрозуміло, що визначення наявності «нового питання» великою мірою залежить від конкретних обставин певної справи і що різниця між справами не завжди є чіткою. Так, наприклад, у наведеному рішенні у справі </w:t>
      </w:r>
      <w:r w:rsidRPr="009A3F85">
        <w:rPr>
          <w:rFonts w:eastAsia="Times New Roman"/>
          <w:lang w:val="uk-UA"/>
        </w:rPr>
        <w:t>«</w:t>
      </w:r>
      <w:r w:rsidRPr="009A3F85" w:rsidR="003F1D90">
        <w:rPr>
          <w:rFonts w:eastAsia="Times New Roman"/>
          <w:lang w:val="uk-UA"/>
        </w:rPr>
        <w:t>«</w:t>
      </w:r>
      <w:r w:rsidRPr="009A3F85" w:rsidR="00205A07">
        <w:rPr>
          <w:rFonts w:eastAsia="Times New Roman"/>
          <w:lang w:val="uk-UA"/>
        </w:rPr>
        <w:t>Verein gegen Tierfabriken Schweiz</w:t>
      </w:r>
      <w:r w:rsidRPr="009A3F85" w:rsidR="003F1D90">
        <w:rPr>
          <w:rFonts w:eastAsia="Times New Roman"/>
          <w:lang w:val="uk-UA"/>
        </w:rPr>
        <w:t>»</w:t>
      </w:r>
      <w:r w:rsidRPr="009A3F85">
        <w:rPr>
          <w:rFonts w:eastAsia="Times New Roman"/>
          <w:lang w:val="uk-UA"/>
        </w:rPr>
        <w:t xml:space="preserve"> </w:t>
      </w:r>
      <w:r w:rsidRPr="009A3F85" w:rsidR="003F1D90">
        <w:rPr>
          <w:lang w:val="uk-UA"/>
        </w:rPr>
        <w:t>(VgT)</w:t>
      </w:r>
      <w:r w:rsidRPr="009A3F85" w:rsidR="003F1D90">
        <w:rPr>
          <w:i/>
          <w:lang w:val="uk-UA"/>
        </w:rPr>
        <w:t xml:space="preserve"> </w:t>
      </w:r>
      <w:r w:rsidRPr="009A3F85">
        <w:rPr>
          <w:rFonts w:eastAsia="Times New Roman"/>
          <w:lang w:val="uk-UA"/>
        </w:rPr>
        <w:t>проти Швейцарії (№</w:t>
      </w:r>
      <w:r w:rsidRPr="009A3F85">
        <w:rPr>
          <w:rFonts w:eastAsia="Times New Roman"/>
          <w:lang w:val="uk-UA" w:eastAsia="fr-FR"/>
        </w:rPr>
        <w:t> </w:t>
      </w:r>
      <w:r w:rsidRPr="009A3F85">
        <w:rPr>
          <w:rFonts w:eastAsia="Times New Roman"/>
          <w:lang w:val="uk-UA"/>
        </w:rPr>
        <w:t>2)» (</w:t>
      </w:r>
      <w:r w:rsidRPr="009A3F85">
        <w:rPr>
          <w:i/>
          <w:lang w:val="uk-UA"/>
        </w:rPr>
        <w:t>Verein gegen Tierfabriken Schweiz (VgT) v. Switzerland (no. 2)</w:t>
      </w:r>
      <w:r w:rsidRPr="009A3F85">
        <w:rPr>
          <w:lang w:val="uk-UA"/>
        </w:rPr>
        <w:t>)</w:t>
      </w:r>
      <w:r w:rsidRPr="009A3F85">
        <w:rPr>
          <w:rFonts w:eastAsia="Times New Roman"/>
          <w:lang w:val="uk-UA" w:eastAsia="fr-FR"/>
        </w:rPr>
        <w:t xml:space="preserve"> Суд встановив, що він має право розглядати скаргу на </w:t>
      </w:r>
      <w:r w:rsidRPr="009A3F85" w:rsidR="00090D33">
        <w:rPr>
          <w:rFonts w:eastAsia="Times New Roman"/>
          <w:lang w:val="uk-UA" w:eastAsia="fr-FR"/>
        </w:rPr>
        <w:t>відмову</w:t>
      </w:r>
      <w:r w:rsidRPr="009A3F85">
        <w:rPr>
          <w:rFonts w:eastAsia="Times New Roman"/>
          <w:lang w:val="uk-UA" w:eastAsia="fr-FR"/>
        </w:rPr>
        <w:t xml:space="preserve"> </w:t>
      </w:r>
      <w:r w:rsidRPr="009A3F85" w:rsidR="00090D33">
        <w:rPr>
          <w:rFonts w:eastAsia="Times New Roman"/>
          <w:lang w:val="uk-UA" w:eastAsia="fr-FR"/>
        </w:rPr>
        <w:t xml:space="preserve">відповідного національного </w:t>
      </w:r>
      <w:r w:rsidRPr="009A3F85">
        <w:rPr>
          <w:rFonts w:eastAsia="Times New Roman"/>
          <w:lang w:val="uk-UA" w:eastAsia="fr-FR"/>
        </w:rPr>
        <w:t>суд</w:t>
      </w:r>
      <w:r w:rsidRPr="009A3F85" w:rsidR="00090D33">
        <w:rPr>
          <w:rFonts w:eastAsia="Times New Roman"/>
          <w:lang w:val="uk-UA" w:eastAsia="fr-FR"/>
        </w:rPr>
        <w:t>у</w:t>
      </w:r>
      <w:r w:rsidRPr="009A3F85">
        <w:rPr>
          <w:rFonts w:eastAsia="Times New Roman"/>
          <w:lang w:val="uk-UA" w:eastAsia="fr-FR"/>
        </w:rPr>
        <w:t xml:space="preserve"> </w:t>
      </w:r>
      <w:r w:rsidRPr="009A3F85" w:rsidR="009C4181">
        <w:rPr>
          <w:rFonts w:eastAsia="Times New Roman"/>
          <w:lang w:val="uk-UA" w:eastAsia="fr-FR"/>
        </w:rPr>
        <w:t>віднов</w:t>
      </w:r>
      <w:r w:rsidRPr="009A3F85" w:rsidR="00090D33">
        <w:rPr>
          <w:rFonts w:eastAsia="Times New Roman"/>
          <w:lang w:val="uk-UA" w:eastAsia="fr-FR"/>
        </w:rPr>
        <w:t>ити</w:t>
      </w:r>
      <w:r w:rsidRPr="009A3F85">
        <w:rPr>
          <w:rFonts w:eastAsia="Times New Roman"/>
          <w:lang w:val="uk-UA" w:eastAsia="fr-FR"/>
        </w:rPr>
        <w:t xml:space="preserve"> провадження після ухвалення рішення Суду. Суд </w:t>
      </w:r>
      <w:r w:rsidRPr="009A3F85" w:rsidR="009C4181">
        <w:rPr>
          <w:rFonts w:eastAsia="Times New Roman"/>
          <w:lang w:val="uk-UA" w:eastAsia="fr-FR"/>
        </w:rPr>
        <w:t>здебільшого</w:t>
      </w:r>
      <w:r w:rsidRPr="009A3F85">
        <w:rPr>
          <w:rFonts w:eastAsia="Times New Roman"/>
          <w:lang w:val="uk-UA" w:eastAsia="fr-FR"/>
        </w:rPr>
        <w:t xml:space="preserve"> посилався на той факт, що підстави для відмови у задоволенні заяви були новими, а отже становили відповідну нову інформацію, </w:t>
      </w:r>
      <w:r w:rsidRPr="009A3F85" w:rsidR="00090D33">
        <w:rPr>
          <w:rFonts w:eastAsia="Times New Roman"/>
          <w:lang w:val="uk-UA" w:eastAsia="fr-FR"/>
        </w:rPr>
        <w:t xml:space="preserve">здатну </w:t>
      </w:r>
      <w:r w:rsidRPr="009A3F85">
        <w:rPr>
          <w:rFonts w:eastAsia="Times New Roman"/>
          <w:lang w:val="uk-UA" w:eastAsia="fr-FR"/>
        </w:rPr>
        <w:t xml:space="preserve">призвести до </w:t>
      </w:r>
      <w:r w:rsidRPr="009A3F85" w:rsidR="009C4181">
        <w:rPr>
          <w:rFonts w:eastAsia="Times New Roman"/>
          <w:lang w:val="uk-UA" w:eastAsia="fr-FR"/>
        </w:rPr>
        <w:t>порушення питання про нове</w:t>
      </w:r>
      <w:r w:rsidRPr="009A3F85">
        <w:rPr>
          <w:rFonts w:eastAsia="Times New Roman"/>
          <w:lang w:val="uk-UA" w:eastAsia="fr-FR"/>
        </w:rPr>
        <w:t xml:space="preserve"> порушення Конвенції (див. вищенаведене рішення у справі </w:t>
      </w:r>
      <w:r w:rsidRPr="009A3F85" w:rsidR="009C4181">
        <w:rPr>
          <w:rFonts w:eastAsia="Times New Roman"/>
          <w:lang w:val="uk-UA"/>
        </w:rPr>
        <w:t>««</w:t>
      </w:r>
      <w:r w:rsidRPr="009A3F85" w:rsidR="00205A07">
        <w:rPr>
          <w:rFonts w:eastAsia="Times New Roman"/>
          <w:lang w:val="uk-UA"/>
        </w:rPr>
        <w:t>Verein gegen Tierfabriken Schweiz</w:t>
      </w:r>
      <w:r w:rsidRPr="009A3F85" w:rsidR="009C4181">
        <w:rPr>
          <w:rFonts w:eastAsia="Times New Roman"/>
          <w:lang w:val="uk-UA"/>
        </w:rPr>
        <w:t xml:space="preserve">» </w:t>
      </w:r>
      <w:r w:rsidRPr="009A3F85" w:rsidR="009C4181">
        <w:rPr>
          <w:lang w:val="uk-UA"/>
        </w:rPr>
        <w:t>(VgT)</w:t>
      </w:r>
      <w:r w:rsidRPr="009A3F85" w:rsidR="009C4181">
        <w:rPr>
          <w:i/>
          <w:lang w:val="uk-UA"/>
        </w:rPr>
        <w:t xml:space="preserve"> </w:t>
      </w:r>
      <w:r w:rsidRPr="009A3F85" w:rsidR="009C4181">
        <w:rPr>
          <w:rFonts w:eastAsia="Times New Roman"/>
          <w:lang w:val="uk-UA"/>
        </w:rPr>
        <w:t>проти Швейцарії (№</w:t>
      </w:r>
      <w:r w:rsidRPr="009A3F85" w:rsidR="009C4181">
        <w:rPr>
          <w:rFonts w:eastAsia="Times New Roman"/>
          <w:lang w:val="uk-UA" w:eastAsia="fr-FR"/>
        </w:rPr>
        <w:t> </w:t>
      </w:r>
      <w:r w:rsidRPr="009A3F85" w:rsidR="009C4181">
        <w:rPr>
          <w:rFonts w:eastAsia="Times New Roman"/>
          <w:lang w:val="uk-UA"/>
        </w:rPr>
        <w:t>2)»</w:t>
      </w:r>
      <w:r w:rsidRPr="009A3F85">
        <w:rPr>
          <w:rFonts w:eastAsia="Times New Roman"/>
          <w:lang w:val="uk-UA"/>
        </w:rPr>
        <w:t xml:space="preserve"> (</w:t>
      </w:r>
      <w:r w:rsidRPr="009A3F85">
        <w:rPr>
          <w:i/>
          <w:lang w:val="uk-UA"/>
        </w:rPr>
        <w:t>Verein gegen Tierfabriken Schweiz (VgT) v. Switzerland (no. 2)</w:t>
      </w:r>
      <w:r w:rsidRPr="009A3F85">
        <w:rPr>
          <w:lang w:val="uk-UA"/>
        </w:rPr>
        <w:t>),</w:t>
      </w:r>
      <w:r w:rsidRPr="009A3F85">
        <w:rPr>
          <w:rFonts w:eastAsia="Times New Roman"/>
          <w:lang w:val="uk-UA" w:eastAsia="fr-FR"/>
        </w:rPr>
        <w:t xml:space="preserve"> п. 65). Суд також взяв до уваги і той факт, що Комітет </w:t>
      </w:r>
      <w:r w:rsidRPr="009A3F85" w:rsidR="00F71E0E">
        <w:rPr>
          <w:rFonts w:eastAsia="Times New Roman"/>
          <w:lang w:val="uk-UA" w:eastAsia="fr-FR"/>
        </w:rPr>
        <w:t xml:space="preserve">міністрів </w:t>
      </w:r>
      <w:r w:rsidRPr="009A3F85">
        <w:rPr>
          <w:rFonts w:eastAsia="Times New Roman"/>
          <w:lang w:val="uk-UA" w:eastAsia="fr-FR"/>
        </w:rPr>
        <w:t>закінчив здійснення нагляду за виконанням рішення Суду, не врахувавши відмову у відновленні провадження, оскільки його не повідомили про це рішення. Суд вважав, що також і з цієї точки зору зазначена відмова становить новий факт (там само, п.</w:t>
      </w:r>
      <w:r w:rsidRPr="009A3F85" w:rsidR="009C4181">
        <w:rPr>
          <w:rFonts w:eastAsia="Times New Roman"/>
          <w:lang w:val="uk-UA" w:eastAsia="fr-FR"/>
        </w:rPr>
        <w:t> </w:t>
      </w:r>
      <w:r w:rsidRPr="009A3F85">
        <w:rPr>
          <w:rFonts w:eastAsia="Times New Roman"/>
          <w:lang w:val="uk-UA" w:eastAsia="fr-FR"/>
        </w:rPr>
        <w:t xml:space="preserve">67). Аналогічним чином, у своєму нещодавньому </w:t>
      </w:r>
      <w:r w:rsidRPr="009A3F85" w:rsidR="00A13118">
        <w:rPr>
          <w:rFonts w:eastAsia="Times New Roman"/>
          <w:lang w:val="uk-UA" w:eastAsia="fr-FR"/>
        </w:rPr>
        <w:t xml:space="preserve">вже наведеному </w:t>
      </w:r>
      <w:r w:rsidRPr="009A3F85">
        <w:rPr>
          <w:rFonts w:eastAsia="Times New Roman"/>
          <w:lang w:val="uk-UA" w:eastAsia="fr-FR"/>
        </w:rPr>
        <w:t>рішенні у справі «Емре проти Швейцарії (№</w:t>
      </w:r>
      <w:r w:rsidRPr="009A3F85">
        <w:rPr>
          <w:rFonts w:eastAsia="Times New Roman"/>
          <w:i/>
          <w:lang w:val="uk-UA" w:eastAsia="fr-FR"/>
        </w:rPr>
        <w:t> </w:t>
      </w:r>
      <w:r w:rsidRPr="009A3F85">
        <w:rPr>
          <w:rFonts w:eastAsia="Times New Roman"/>
          <w:lang w:val="uk-UA" w:eastAsia="fr-FR"/>
        </w:rPr>
        <w:t>2)» (</w:t>
      </w:r>
      <w:r w:rsidRPr="009A3F85">
        <w:rPr>
          <w:rFonts w:eastAsia="Times New Roman"/>
          <w:i/>
          <w:lang w:val="uk-UA" w:eastAsia="fr-FR"/>
        </w:rPr>
        <w:t>Emre v. Switzerland (no. 2)</w:t>
      </w:r>
      <w:r w:rsidRPr="009A3F85">
        <w:rPr>
          <w:rFonts w:eastAsia="Times New Roman"/>
          <w:lang w:val="uk-UA" w:eastAsia="fr-FR"/>
        </w:rPr>
        <w:t xml:space="preserve">) Суд встановив, що нове рішення, </w:t>
      </w:r>
      <w:r w:rsidRPr="009A3F85" w:rsidR="009C4181">
        <w:rPr>
          <w:rFonts w:eastAsia="Times New Roman"/>
          <w:lang w:val="uk-UA" w:eastAsia="fr-FR"/>
        </w:rPr>
        <w:t>постановлене</w:t>
      </w:r>
      <w:r w:rsidRPr="009A3F85">
        <w:rPr>
          <w:rFonts w:eastAsia="Times New Roman"/>
          <w:lang w:val="uk-UA" w:eastAsia="fr-FR"/>
        </w:rPr>
        <w:t xml:space="preserve"> національним судом після відновлення провадження</w:t>
      </w:r>
      <w:r w:rsidRPr="009A3F85" w:rsidR="009C4181">
        <w:rPr>
          <w:rFonts w:eastAsia="Times New Roman"/>
          <w:lang w:val="uk-UA" w:eastAsia="fr-FR"/>
        </w:rPr>
        <w:t>,</w:t>
      </w:r>
      <w:r w:rsidRPr="009A3F85">
        <w:rPr>
          <w:rFonts w:eastAsia="Times New Roman"/>
          <w:lang w:val="uk-UA" w:eastAsia="fr-FR"/>
        </w:rPr>
        <w:t xml:space="preserve"> у якому національний суд пров</w:t>
      </w:r>
      <w:r w:rsidRPr="009A3F85" w:rsidR="009C4181">
        <w:rPr>
          <w:rFonts w:eastAsia="Times New Roman"/>
          <w:lang w:val="uk-UA" w:eastAsia="fr-FR"/>
        </w:rPr>
        <w:t>ів</w:t>
      </w:r>
      <w:r w:rsidRPr="009A3F85">
        <w:rPr>
          <w:rFonts w:eastAsia="Times New Roman"/>
          <w:lang w:val="uk-UA" w:eastAsia="fr-FR"/>
        </w:rPr>
        <w:t xml:space="preserve"> нове збалансування інтересів, становило новий факт. У зв</w:t>
      </w:r>
      <w:r w:rsidRPr="009A3F85" w:rsidR="009A3F85">
        <w:rPr>
          <w:rFonts w:eastAsia="Times New Roman"/>
          <w:lang w:val="uk-UA" w:eastAsia="fr-FR"/>
        </w:rPr>
        <w:t>’</w:t>
      </w:r>
      <w:r w:rsidRPr="009A3F85">
        <w:rPr>
          <w:rFonts w:eastAsia="Times New Roman"/>
          <w:lang w:val="uk-UA" w:eastAsia="fr-FR"/>
        </w:rPr>
        <w:t xml:space="preserve">язку з цим Суд також зауважив, що у Комітеті </w:t>
      </w:r>
      <w:r w:rsidRPr="009A3F85" w:rsidR="00EA628B">
        <w:rPr>
          <w:rFonts w:eastAsia="Times New Roman"/>
          <w:lang w:val="uk-UA" w:eastAsia="fr-FR"/>
        </w:rPr>
        <w:t xml:space="preserve">міністрів </w:t>
      </w:r>
      <w:r w:rsidRPr="009A3F85">
        <w:rPr>
          <w:rFonts w:eastAsia="Times New Roman"/>
          <w:lang w:val="uk-UA" w:eastAsia="fr-FR"/>
        </w:rPr>
        <w:t>процедура виконання ще не розпочалася. Проте аналогічні скарги було відхилено в ухвалах щодо прийнятності у справах «Шеллінг проти Австрії (№ 2)» (</w:t>
      </w:r>
      <w:r w:rsidRPr="009A3F85">
        <w:rPr>
          <w:rFonts w:eastAsia="Times New Roman"/>
          <w:i/>
          <w:lang w:val="uk-UA" w:eastAsia="fr-FR"/>
        </w:rPr>
        <w:t>Schelling v. Austria (no. 2)</w:t>
      </w:r>
      <w:r w:rsidRPr="009A3F85">
        <w:rPr>
          <w:rFonts w:eastAsia="Times New Roman"/>
          <w:lang w:val="uk-UA" w:eastAsia="fr-FR"/>
        </w:rPr>
        <w:t xml:space="preserve">), заява № 46128/07, від 16 вересня 2010 року, та </w:t>
      </w:r>
      <w:r w:rsidRPr="009A3F85">
        <w:rPr>
          <w:rFonts w:eastAsia="Times New Roman"/>
          <w:lang w:val="uk-UA"/>
        </w:rPr>
        <w:t xml:space="preserve">«Штек-Ріш та ніші проти </w:t>
      </w:r>
      <w:r w:rsidRPr="009A3F85" w:rsidR="009C4181">
        <w:rPr>
          <w:rFonts w:eastAsia="Times New Roman"/>
          <w:lang w:val="uk-UA"/>
        </w:rPr>
        <w:t>Ліхтенштейну</w:t>
      </w:r>
      <w:r w:rsidRPr="009A3F85">
        <w:rPr>
          <w:rFonts w:eastAsia="Times New Roman"/>
          <w:lang w:val="uk-UA"/>
        </w:rPr>
        <w:t>» (</w:t>
      </w:r>
      <w:r w:rsidRPr="009A3F85">
        <w:rPr>
          <w:rFonts w:eastAsia="Times New Roman"/>
          <w:i/>
          <w:iCs/>
          <w:color w:val="000000"/>
          <w:szCs w:val="24"/>
          <w:lang w:val="uk-UA" w:eastAsia="en-GB"/>
        </w:rPr>
        <w:t>Steck-Risch and Others v. Liechtenstein</w:t>
      </w:r>
      <w:r w:rsidRPr="009A3F85">
        <w:rPr>
          <w:rFonts w:eastAsia="Times New Roman"/>
          <w:lang w:val="uk-UA"/>
        </w:rPr>
        <w:t>),</w:t>
      </w:r>
      <w:r w:rsidRPr="009A3F85">
        <w:rPr>
          <w:rFonts w:eastAsia="Times New Roman"/>
          <w:lang w:val="uk-UA" w:eastAsia="fr-FR"/>
        </w:rPr>
        <w:t xml:space="preserve"> заява № 629061//08, від 11 травня 2010 р</w:t>
      </w:r>
      <w:r w:rsidRPr="009A3F85" w:rsidR="00E51AB6">
        <w:rPr>
          <w:rFonts w:eastAsia="Times New Roman"/>
          <w:lang w:val="uk-UA" w:eastAsia="fr-FR"/>
        </w:rPr>
        <w:t>оку), оскільки Суд вважав, що</w:t>
      </w:r>
      <w:r w:rsidRPr="009A3F85">
        <w:rPr>
          <w:rFonts w:eastAsia="Times New Roman"/>
          <w:lang w:val="uk-UA" w:eastAsia="fr-FR"/>
        </w:rPr>
        <w:t xml:space="preserve"> згідно з фактами рішення національних судів про відмову у задоволенні заяв про відновлення провадження не ґрунтувалися </w:t>
      </w:r>
      <w:r w:rsidRPr="009A3F85" w:rsidR="00E51AB6">
        <w:rPr>
          <w:rFonts w:eastAsia="Times New Roman"/>
          <w:lang w:val="uk-UA" w:eastAsia="fr-FR"/>
        </w:rPr>
        <w:t xml:space="preserve">на відповідних нових підставах, які могли спричинити виявлення нового порушення положень Конвенції, </w:t>
      </w:r>
      <w:r w:rsidRPr="009A3F85">
        <w:rPr>
          <w:rFonts w:eastAsia="Times New Roman"/>
          <w:lang w:val="uk-UA" w:eastAsia="fr-FR"/>
        </w:rPr>
        <w:t>або не були пов</w:t>
      </w:r>
      <w:r w:rsidRPr="009A3F85" w:rsidR="009A3F85">
        <w:rPr>
          <w:rFonts w:eastAsia="Times New Roman"/>
          <w:lang w:val="uk-UA" w:eastAsia="fr-FR"/>
        </w:rPr>
        <w:t>’</w:t>
      </w:r>
      <w:r w:rsidRPr="009A3F85">
        <w:rPr>
          <w:rFonts w:eastAsia="Times New Roman"/>
          <w:lang w:val="uk-UA" w:eastAsia="fr-FR"/>
        </w:rPr>
        <w:t xml:space="preserve">язані з </w:t>
      </w:r>
      <w:r w:rsidRPr="009A3F85" w:rsidR="00E51AB6">
        <w:rPr>
          <w:rFonts w:eastAsia="Times New Roman"/>
          <w:lang w:val="uk-UA" w:eastAsia="fr-FR"/>
        </w:rPr>
        <w:t>ними</w:t>
      </w:r>
      <w:r w:rsidRPr="009A3F85">
        <w:rPr>
          <w:rFonts w:eastAsia="Times New Roman"/>
          <w:lang w:val="uk-UA" w:eastAsia="fr-FR"/>
        </w:rPr>
        <w:t xml:space="preserve">. Також в ухвалі щодо прийнятності у справі </w:t>
      </w:r>
      <w:r w:rsidRPr="009A3F85">
        <w:rPr>
          <w:rFonts w:eastAsia="Times New Roman"/>
          <w:lang w:val="uk-UA"/>
        </w:rPr>
        <w:t xml:space="preserve">«Штек-Ріш та ніші проти </w:t>
      </w:r>
      <w:r w:rsidRPr="009A3F85" w:rsidR="009C4181">
        <w:rPr>
          <w:rFonts w:eastAsia="Times New Roman"/>
          <w:lang w:val="uk-UA"/>
        </w:rPr>
        <w:t>Ліхтенштейну</w:t>
      </w:r>
      <w:r w:rsidRPr="009A3F85">
        <w:rPr>
          <w:rFonts w:eastAsia="Times New Roman"/>
          <w:lang w:val="uk-UA"/>
        </w:rPr>
        <w:t>» (</w:t>
      </w:r>
      <w:r w:rsidRPr="009A3F85">
        <w:rPr>
          <w:rFonts w:eastAsia="Times New Roman"/>
          <w:i/>
          <w:iCs/>
          <w:color w:val="000000"/>
          <w:szCs w:val="24"/>
          <w:lang w:val="uk-UA" w:eastAsia="en-GB"/>
        </w:rPr>
        <w:t>Steck-Risch and Others v. Liechtenstein</w:t>
      </w:r>
      <w:r w:rsidRPr="009A3F85">
        <w:rPr>
          <w:rFonts w:eastAsia="Times New Roman"/>
          <w:lang w:val="uk-UA"/>
        </w:rPr>
        <w:t>)</w:t>
      </w:r>
      <w:r w:rsidRPr="009A3F85">
        <w:rPr>
          <w:rFonts w:eastAsia="Times New Roman"/>
          <w:lang w:val="uk-UA" w:eastAsia="fr-FR"/>
        </w:rPr>
        <w:t xml:space="preserve"> Суд зауважив, що Комітет </w:t>
      </w:r>
      <w:r w:rsidRPr="009A3F85" w:rsidR="00F71E0E">
        <w:rPr>
          <w:rFonts w:eastAsia="Times New Roman"/>
          <w:lang w:val="uk-UA" w:eastAsia="fr-FR"/>
        </w:rPr>
        <w:t xml:space="preserve">міністрів </w:t>
      </w:r>
      <w:r w:rsidRPr="009A3F85">
        <w:rPr>
          <w:rFonts w:eastAsia="Times New Roman"/>
          <w:lang w:val="uk-UA" w:eastAsia="fr-FR"/>
        </w:rPr>
        <w:t>за</w:t>
      </w:r>
      <w:r w:rsidRPr="009A3F85" w:rsidR="00237AAD">
        <w:rPr>
          <w:rFonts w:eastAsia="Times New Roman"/>
          <w:lang w:val="uk-UA" w:eastAsia="fr-FR"/>
        </w:rPr>
        <w:t>вершив</w:t>
      </w:r>
      <w:r w:rsidRPr="009A3F85">
        <w:rPr>
          <w:rFonts w:eastAsia="Times New Roman"/>
          <w:lang w:val="uk-UA" w:eastAsia="fr-FR"/>
        </w:rPr>
        <w:t xml:space="preserve"> нагляд за виконанням попереднього рішення Суду до відмови національним судом у відновленні провадження та не посилаючись на т</w:t>
      </w:r>
      <w:r w:rsidRPr="009A3F85" w:rsidR="00237AAD">
        <w:rPr>
          <w:rFonts w:eastAsia="Times New Roman"/>
          <w:lang w:val="uk-UA" w:eastAsia="fr-FR"/>
        </w:rPr>
        <w:t>е</w:t>
      </w:r>
      <w:r w:rsidRPr="009A3F85">
        <w:rPr>
          <w:rFonts w:eastAsia="Times New Roman"/>
          <w:lang w:val="uk-UA" w:eastAsia="fr-FR"/>
        </w:rPr>
        <w:t>, що можна було подати клопотання про відновлення провадження. Також не було відповідної нової інформації щодо цього.</w:t>
      </w:r>
    </w:p>
    <w:p w:rsidRPr="009A3F85" w:rsidR="006D147C" w:rsidP="009A3F85">
      <w:pPr>
        <w:pStyle w:val="ECHRParaQuote"/>
        <w:rPr>
          <w:rFonts w:eastAsia="Times New Roman"/>
          <w:lang w:val="uk-UA" w:eastAsia="fr-FR"/>
        </w:rPr>
      </w:pPr>
      <w:r w:rsidRPr="009A3F85">
        <w:rPr>
          <w:rFonts w:eastAsia="Times New Roman"/>
          <w:lang w:val="uk-UA" w:eastAsia="fr-FR"/>
        </w:rPr>
        <w:t>55.  У цьому контексті також слід зважати на критерії, встановлені практикою</w:t>
      </w:r>
      <w:r w:rsidRPr="009A3F85" w:rsidR="00E51AB6">
        <w:rPr>
          <w:rFonts w:eastAsia="Times New Roman"/>
          <w:lang w:val="uk-UA" w:eastAsia="fr-FR"/>
        </w:rPr>
        <w:t xml:space="preserve"> Суду</w:t>
      </w:r>
      <w:r w:rsidRPr="009A3F85">
        <w:rPr>
          <w:rFonts w:eastAsia="Times New Roman"/>
          <w:lang w:val="uk-UA" w:eastAsia="fr-FR"/>
        </w:rPr>
        <w:t xml:space="preserve"> щодо підпункту «b» пункту 2 статті 35 Конвенції, за якими заява </w:t>
      </w:r>
      <w:r w:rsidRPr="009A3F85" w:rsidR="00E51AB6">
        <w:rPr>
          <w:rFonts w:eastAsia="Times New Roman"/>
          <w:lang w:val="uk-UA" w:eastAsia="fr-FR"/>
        </w:rPr>
        <w:t>має</w:t>
      </w:r>
      <w:r w:rsidRPr="009A3F85">
        <w:rPr>
          <w:rFonts w:eastAsia="Times New Roman"/>
          <w:lang w:val="uk-UA" w:eastAsia="fr-FR"/>
        </w:rPr>
        <w:t xml:space="preserve"> бути визнана неприйнятною</w:t>
      </w:r>
      <w:r w:rsidRPr="009A3F85" w:rsidR="00E51AB6">
        <w:rPr>
          <w:rFonts w:eastAsia="Times New Roman"/>
          <w:lang w:val="uk-UA" w:eastAsia="fr-FR"/>
        </w:rPr>
        <w:t xml:space="preserve"> </w:t>
      </w:r>
      <w:r w:rsidRPr="009A3F85">
        <w:rPr>
          <w:rFonts w:eastAsia="Times New Roman"/>
          <w:lang w:val="uk-UA" w:eastAsia="fr-FR"/>
        </w:rPr>
        <w:t>у разі</w:t>
      </w:r>
      <w:r w:rsidRPr="009A3F85" w:rsidR="00E51AB6">
        <w:rPr>
          <w:rFonts w:eastAsia="Times New Roman"/>
          <w:lang w:val="uk-UA" w:eastAsia="fr-FR"/>
        </w:rPr>
        <w:t>,</w:t>
      </w:r>
      <w:r w:rsidRPr="009A3F85">
        <w:rPr>
          <w:rFonts w:eastAsia="Times New Roman"/>
          <w:lang w:val="uk-UA" w:eastAsia="fr-FR"/>
        </w:rPr>
        <w:t xml:space="preserve"> якщо вона «за своєю суттю є ідентичною до заяви, що вже була розглянута Судом ... і якщо вона не містить нових фактів у справі»: (i) заява вважається такою, що «за своєю суттю є ідентичною», якщо сторони, скарги та факти є ідентичними (див. вищенаведене рішення у справі </w:t>
      </w:r>
      <w:r w:rsidRPr="009A3F85">
        <w:rPr>
          <w:rFonts w:eastAsia="Times New Roman"/>
          <w:lang w:val="uk-UA"/>
        </w:rPr>
        <w:t>«</w:t>
      </w:r>
      <w:r w:rsidRPr="009A3F85" w:rsidR="00E51AB6">
        <w:rPr>
          <w:rFonts w:eastAsia="Times New Roman"/>
          <w:lang w:val="uk-UA"/>
        </w:rPr>
        <w:t>«</w:t>
      </w:r>
      <w:r w:rsidRPr="009A3F85" w:rsidR="00205A07">
        <w:rPr>
          <w:rFonts w:eastAsia="Times New Roman"/>
          <w:lang w:val="uk-UA"/>
        </w:rPr>
        <w:t>Verein gegen Tierfabriken Schweiz</w:t>
      </w:r>
      <w:r w:rsidRPr="009A3F85">
        <w:rPr>
          <w:rFonts w:eastAsia="Times New Roman"/>
          <w:lang w:val="uk-UA"/>
        </w:rPr>
        <w:t xml:space="preserve"> </w:t>
      </w:r>
      <w:r w:rsidRPr="009A3F85" w:rsidR="00AA0D10">
        <w:rPr>
          <w:lang w:val="uk-UA"/>
        </w:rPr>
        <w:t>(VgT)</w:t>
      </w:r>
      <w:r w:rsidRPr="009A3F85" w:rsidR="00E51AB6">
        <w:rPr>
          <w:lang w:val="uk-UA"/>
        </w:rPr>
        <w:t>»</w:t>
      </w:r>
      <w:r w:rsidRPr="009A3F85" w:rsidR="00AA0D10">
        <w:rPr>
          <w:i/>
          <w:lang w:val="uk-UA"/>
        </w:rPr>
        <w:t xml:space="preserve"> </w:t>
      </w:r>
      <w:r w:rsidRPr="009A3F85">
        <w:rPr>
          <w:rFonts w:eastAsia="Times New Roman"/>
          <w:lang w:val="uk-UA"/>
        </w:rPr>
        <w:t>проти Швейцарії (№</w:t>
      </w:r>
      <w:r w:rsidRPr="009A3F85">
        <w:rPr>
          <w:rFonts w:eastAsia="Times New Roman"/>
          <w:lang w:val="uk-UA" w:eastAsia="fr-FR"/>
        </w:rPr>
        <w:t> </w:t>
      </w:r>
      <w:r w:rsidRPr="009A3F85">
        <w:rPr>
          <w:rFonts w:eastAsia="Times New Roman"/>
          <w:lang w:val="uk-UA"/>
        </w:rPr>
        <w:t>2)» (</w:t>
      </w:r>
      <w:r w:rsidRPr="009A3F85">
        <w:rPr>
          <w:i/>
          <w:lang w:val="uk-UA"/>
        </w:rPr>
        <w:t>Verein gegen Tierfabriken Schweiz (VgT) v. Switzerland (no. 2)</w:t>
      </w:r>
      <w:r w:rsidRPr="009A3F85">
        <w:rPr>
          <w:lang w:val="uk-UA"/>
        </w:rPr>
        <w:t>)</w:t>
      </w:r>
      <w:r w:rsidRPr="009A3F85">
        <w:rPr>
          <w:rFonts w:eastAsia="Times New Roman"/>
          <w:lang w:val="uk-UA" w:eastAsia="fr-FR"/>
        </w:rPr>
        <w:t>, п. 63 та ухвал</w:t>
      </w:r>
      <w:r w:rsidRPr="009A3F85" w:rsidR="00E51AB6">
        <w:rPr>
          <w:rFonts w:eastAsia="Times New Roman"/>
          <w:lang w:val="uk-UA" w:eastAsia="fr-FR"/>
        </w:rPr>
        <w:t>у</w:t>
      </w:r>
      <w:r w:rsidRPr="009A3F85">
        <w:rPr>
          <w:rFonts w:eastAsia="Times New Roman"/>
          <w:lang w:val="uk-UA" w:eastAsia="fr-FR"/>
        </w:rPr>
        <w:t xml:space="preserve"> щодо прийнятності у справі «Паугер проти Австрії» (</w:t>
      </w:r>
      <w:r w:rsidRPr="009A3F85">
        <w:rPr>
          <w:rFonts w:eastAsia="Times New Roman"/>
          <w:i/>
          <w:lang w:val="uk-UA" w:eastAsia="fr-FR"/>
        </w:rPr>
        <w:t>Pauger v. Austria</w:t>
      </w:r>
      <w:r w:rsidRPr="009A3F85">
        <w:rPr>
          <w:rFonts w:eastAsia="Times New Roman"/>
          <w:lang w:val="uk-UA" w:eastAsia="fr-FR"/>
        </w:rPr>
        <w:t>), заяви №</w:t>
      </w:r>
      <w:r w:rsidRPr="009A3F85">
        <w:rPr>
          <w:rFonts w:eastAsia="Times New Roman"/>
          <w:i/>
          <w:lang w:val="uk-UA" w:eastAsia="fr-FR"/>
        </w:rPr>
        <w:t> </w:t>
      </w:r>
      <w:r w:rsidRPr="009A3F85">
        <w:rPr>
          <w:rFonts w:eastAsia="Times New Roman"/>
          <w:lang w:val="uk-UA" w:eastAsia="fr-FR"/>
        </w:rPr>
        <w:t xml:space="preserve">16717/90 та №24872/94, ухвали Комісії від 9 січня 1995 року); (ii) концепція скарги характеризується заявленими у ній фактами, а не лише самими правовими підставами або аргументами, на які робиться посилання (див. </w:t>
      </w:r>
      <w:r w:rsidRPr="009A3F85">
        <w:rPr>
          <w:rFonts w:eastAsia="Times New Roman"/>
          <w:lang w:val="uk-UA" w:eastAsia="fr-FR"/>
        </w:rPr>
        <w:t>рішення у справах «Герра та інші проти Італії» (</w:t>
      </w:r>
      <w:r w:rsidRPr="009A3F85">
        <w:rPr>
          <w:rFonts w:eastAsia="Times New Roman"/>
          <w:i/>
          <w:lang w:val="uk-UA" w:eastAsia="fr-FR"/>
        </w:rPr>
        <w:t>Guerra and Others v. Italy</w:t>
      </w:r>
      <w:r w:rsidRPr="009A3F85">
        <w:rPr>
          <w:rFonts w:eastAsia="Times New Roman"/>
          <w:lang w:val="uk-UA" w:eastAsia="fr-FR"/>
        </w:rPr>
        <w:t>), від 19 лютого 1998 року, п. 44, Reports 1998-I, та «Пауелл і Рейнер проти Сполученого Королівства» (</w:t>
      </w:r>
      <w:r w:rsidRPr="009A3F85">
        <w:rPr>
          <w:rFonts w:eastAsia="Times New Roman"/>
          <w:i/>
          <w:lang w:val="uk-UA" w:eastAsia="fr-FR"/>
        </w:rPr>
        <w:t>Powell and Rayner v. the United Kingdom</w:t>
      </w:r>
      <w:r w:rsidRPr="009A3F85">
        <w:rPr>
          <w:rFonts w:eastAsia="Times New Roman"/>
          <w:lang w:val="uk-UA" w:eastAsia="fr-FR"/>
        </w:rPr>
        <w:t xml:space="preserve">), від 21 лютого 1990 року, п. 29, Series A № 172); та (iii) якщо заявник надає нову інформацію, заява не буде </w:t>
      </w:r>
      <w:r w:rsidRPr="009A3F85" w:rsidR="0004594D">
        <w:rPr>
          <w:rFonts w:eastAsia="Times New Roman"/>
          <w:lang w:val="uk-UA" w:eastAsia="fr-FR"/>
        </w:rPr>
        <w:t xml:space="preserve">по суті </w:t>
      </w:r>
      <w:r w:rsidRPr="009A3F85">
        <w:rPr>
          <w:rFonts w:eastAsia="Times New Roman"/>
          <w:lang w:val="uk-UA" w:eastAsia="fr-FR"/>
        </w:rPr>
        <w:t xml:space="preserve">такою </w:t>
      </w:r>
      <w:r w:rsidRPr="009A3F85" w:rsidR="0004594D">
        <w:rPr>
          <w:rFonts w:eastAsia="Times New Roman"/>
          <w:lang w:val="uk-UA" w:eastAsia="fr-FR"/>
        </w:rPr>
        <w:t>ж,</w:t>
      </w:r>
      <w:r w:rsidRPr="009A3F85">
        <w:rPr>
          <w:rFonts w:eastAsia="Times New Roman"/>
          <w:lang w:val="uk-UA" w:eastAsia="fr-FR"/>
        </w:rPr>
        <w:t xml:space="preserve"> як попередня заява (див. ухвали щодо прийнятності у справах «Патера проти Чеської Республіки» (</w:t>
      </w:r>
      <w:r w:rsidRPr="009A3F85">
        <w:rPr>
          <w:rFonts w:eastAsia="Times New Roman"/>
          <w:i/>
          <w:lang w:val="uk-UA" w:eastAsia="fr-FR"/>
        </w:rPr>
        <w:t>Patera v. the Czech Republic</w:t>
      </w:r>
      <w:r w:rsidRPr="009A3F85">
        <w:rPr>
          <w:rFonts w:eastAsia="Times New Roman"/>
          <w:lang w:val="uk-UA" w:eastAsia="fr-FR"/>
        </w:rPr>
        <w:t>), заява № 25326/03), ухвала Комісії від 10 січня 1996 року, та «Шаппекс проти Швейцарії» (</w:t>
      </w:r>
      <w:r w:rsidRPr="009A3F85">
        <w:rPr>
          <w:rFonts w:eastAsia="Times New Roman"/>
          <w:i/>
          <w:lang w:val="uk-UA" w:eastAsia="fr-FR"/>
        </w:rPr>
        <w:t>Chappex v. Switzerland</w:t>
      </w:r>
      <w:r w:rsidRPr="009A3F85">
        <w:rPr>
          <w:rFonts w:eastAsia="Times New Roman"/>
          <w:lang w:val="uk-UA" w:eastAsia="fr-FR"/>
        </w:rPr>
        <w:t>), заява № 20338/92,ухвала Комісії від 12 жовтня 1994 року).</w:t>
      </w:r>
    </w:p>
    <w:p w:rsidRPr="009A3F85" w:rsidR="006D147C" w:rsidP="009A3F85">
      <w:pPr>
        <w:pStyle w:val="ECHRParaQuote"/>
        <w:rPr>
          <w:rFonts w:eastAsia="Times New Roman"/>
          <w:lang w:val="uk-UA" w:eastAsia="fr-FR"/>
        </w:rPr>
      </w:pPr>
      <w:r w:rsidRPr="009A3F85">
        <w:rPr>
          <w:rFonts w:eastAsia="Times New Roman"/>
          <w:lang w:val="uk-UA" w:eastAsia="fr-FR"/>
        </w:rPr>
        <w:t xml:space="preserve">56.  Відповідно, надані Комітету </w:t>
      </w:r>
      <w:r w:rsidRPr="009A3F85" w:rsidR="00EA628B">
        <w:rPr>
          <w:rFonts w:eastAsia="Times New Roman"/>
          <w:lang w:val="uk-UA" w:eastAsia="fr-FR"/>
        </w:rPr>
        <w:t xml:space="preserve">міністрів </w:t>
      </w:r>
      <w:r w:rsidRPr="009A3F85">
        <w:rPr>
          <w:rFonts w:eastAsia="Times New Roman"/>
          <w:lang w:val="uk-UA" w:eastAsia="fr-FR"/>
        </w:rPr>
        <w:t xml:space="preserve">статтею 46 Конвенції повноваження здійснювати нагляд за виконанням рішень Суду та оцінку реалізації заходів, вжитих державами згідно з цією статтею, не порушуватимуться, якщо Суд має розглядати відповідну нову інформацію у контексті нової заяви (див. вищенаведене рішення у справі </w:t>
      </w:r>
      <w:r w:rsidRPr="009A3F85" w:rsidR="0004594D">
        <w:rPr>
          <w:rFonts w:eastAsia="Times New Roman"/>
          <w:lang w:val="uk-UA" w:eastAsia="fr-FR"/>
        </w:rPr>
        <w:t>«</w:t>
      </w:r>
      <w:r w:rsidRPr="009A3F85">
        <w:rPr>
          <w:rFonts w:eastAsia="Times New Roman"/>
          <w:lang w:val="uk-UA"/>
        </w:rPr>
        <w:t>«Об</w:t>
      </w:r>
      <w:r w:rsidRPr="009A3F85" w:rsidR="009A3F85">
        <w:rPr>
          <w:rFonts w:eastAsia="Times New Roman"/>
          <w:lang w:val="uk-UA"/>
        </w:rPr>
        <w:t>’</w:t>
      </w:r>
      <w:r w:rsidRPr="009A3F85">
        <w:rPr>
          <w:rFonts w:eastAsia="Times New Roman"/>
          <w:lang w:val="uk-UA"/>
        </w:rPr>
        <w:t>єднання проти тваринних ферм Швейцарії</w:t>
      </w:r>
      <w:r w:rsidRPr="009A3F85" w:rsidR="0004594D">
        <w:rPr>
          <w:rFonts w:eastAsia="Times New Roman"/>
          <w:lang w:val="uk-UA"/>
        </w:rPr>
        <w:t xml:space="preserve">» </w:t>
      </w:r>
      <w:r w:rsidRPr="009A3F85" w:rsidR="0004594D">
        <w:rPr>
          <w:lang w:val="uk-UA"/>
        </w:rPr>
        <w:t>(VgT)</w:t>
      </w:r>
      <w:r w:rsidRPr="009A3F85" w:rsidR="0004594D">
        <w:rPr>
          <w:i/>
          <w:lang w:val="uk-UA"/>
        </w:rPr>
        <w:t xml:space="preserve"> </w:t>
      </w:r>
      <w:r w:rsidRPr="009A3F85">
        <w:rPr>
          <w:rFonts w:eastAsia="Times New Roman"/>
          <w:lang w:val="uk-UA"/>
        </w:rPr>
        <w:t>проти Швейцарії (№</w:t>
      </w:r>
      <w:r w:rsidRPr="009A3F85">
        <w:rPr>
          <w:rFonts w:eastAsia="Times New Roman"/>
          <w:lang w:val="uk-UA" w:eastAsia="fr-FR"/>
        </w:rPr>
        <w:t> </w:t>
      </w:r>
      <w:r w:rsidRPr="009A3F85">
        <w:rPr>
          <w:rFonts w:eastAsia="Times New Roman"/>
          <w:lang w:val="uk-UA"/>
        </w:rPr>
        <w:t>2)» (</w:t>
      </w:r>
      <w:r w:rsidRPr="009A3F85">
        <w:rPr>
          <w:i/>
          <w:lang w:val="uk-UA"/>
        </w:rPr>
        <w:t>Verein gegen Tierfabriken Schweiz (VgT) v. Switzerland (no. 2)</w:t>
      </w:r>
      <w:r w:rsidRPr="009A3F85">
        <w:rPr>
          <w:lang w:val="uk-UA"/>
        </w:rPr>
        <w:t>)</w:t>
      </w:r>
      <w:r w:rsidRPr="009A3F85">
        <w:rPr>
          <w:rFonts w:eastAsia="Times New Roman"/>
          <w:lang w:val="uk-UA" w:eastAsia="fr-FR"/>
        </w:rPr>
        <w:t>, п. 67).”</w:t>
      </w:r>
    </w:p>
    <w:p w:rsidRPr="009A3F85" w:rsidR="009A3F85" w:rsidP="009A3F85">
      <w:pPr>
        <w:pStyle w:val="ECHRHeading3"/>
        <w:rPr>
          <w:iCs/>
          <w:lang w:val="uk-UA"/>
        </w:rPr>
      </w:pPr>
      <w:r w:rsidRPr="009A3F85">
        <w:rPr>
          <w:lang w:val="uk-UA"/>
        </w:rPr>
        <w:t>2.  </w:t>
      </w:r>
      <w:r w:rsidRPr="009A3F85">
        <w:rPr>
          <w:iCs/>
          <w:lang w:val="uk-UA"/>
        </w:rPr>
        <w:t>Застосування наведених загальних принципів у цій справі</w:t>
      </w:r>
    </w:p>
    <w:p w:rsidRPr="009A3F85" w:rsidR="006D147C" w:rsidP="009A3F85">
      <w:pPr>
        <w:pStyle w:val="ECHRPara"/>
        <w:rPr>
          <w:rFonts w:eastAsia="Times New Roman"/>
          <w:lang w:val="uk-UA" w:eastAsia="fr-FR"/>
        </w:rPr>
      </w:pPr>
      <w:r w:rsidRPr="009A3F85">
        <w:rPr>
          <w:rFonts w:eastAsia="Times New Roman"/>
          <w:lang w:val="uk-UA" w:eastAsia="fr-FR"/>
        </w:rPr>
        <w:fldChar w:fldCharType="begin"/>
      </w:r>
      <w:r w:rsidRPr="009A3F85">
        <w:rPr>
          <w:rFonts w:eastAsia="Times New Roman"/>
          <w:lang w:val="uk-UA" w:eastAsia="fr-FR"/>
        </w:rPr>
        <w:instrText xml:space="preserve"> SEQ level0 \*arabic </w:instrText>
      </w:r>
      <w:r w:rsidRPr="009A3F85">
        <w:rPr>
          <w:rFonts w:eastAsia="Times New Roman"/>
          <w:lang w:val="uk-UA" w:eastAsia="fr-FR"/>
        </w:rPr>
        <w:fldChar w:fldCharType="separate"/>
      </w:r>
      <w:r w:rsidRPr="009A3F85" w:rsidR="009A3F85">
        <w:rPr>
          <w:rFonts w:eastAsia="Times New Roman"/>
          <w:noProof/>
          <w:lang w:val="uk-UA" w:eastAsia="fr-FR"/>
        </w:rPr>
        <w:t>35</w:t>
      </w:r>
      <w:r w:rsidRPr="009A3F85">
        <w:rPr>
          <w:rFonts w:eastAsia="Times New Roman"/>
          <w:lang w:val="uk-UA" w:eastAsia="fr-FR"/>
        </w:rPr>
        <w:fldChar w:fldCharType="end"/>
      </w:r>
      <w:r w:rsidRPr="009A3F85">
        <w:rPr>
          <w:rFonts w:eastAsia="Times New Roman"/>
          <w:lang w:val="uk-UA" w:eastAsia="fr-FR"/>
        </w:rPr>
        <w:t xml:space="preserve">.  Повертаючись до </w:t>
      </w:r>
      <w:r w:rsidRPr="009A3F85" w:rsidR="00090D33">
        <w:rPr>
          <w:rFonts w:eastAsia="Times New Roman"/>
          <w:lang w:val="uk-UA" w:eastAsia="fr-FR"/>
        </w:rPr>
        <w:t xml:space="preserve">цієї </w:t>
      </w:r>
      <w:r w:rsidRPr="009A3F85" w:rsidR="00221A9E">
        <w:rPr>
          <w:rFonts w:eastAsia="Times New Roman"/>
          <w:lang w:val="uk-UA" w:eastAsia="fr-FR"/>
        </w:rPr>
        <w:t>справи</w:t>
      </w:r>
      <w:r w:rsidRPr="009A3F85">
        <w:rPr>
          <w:rFonts w:eastAsia="Times New Roman"/>
          <w:lang w:val="uk-UA" w:eastAsia="fr-FR"/>
        </w:rPr>
        <w:t xml:space="preserve">, Суд вважає, що деякі з тверджень заявниці можна розуміти як скарги на </w:t>
      </w:r>
      <w:r w:rsidRPr="009A3F85" w:rsidR="00090D33">
        <w:rPr>
          <w:rFonts w:eastAsia="Times New Roman"/>
          <w:lang w:val="uk-UA" w:eastAsia="fr-FR"/>
        </w:rPr>
        <w:t xml:space="preserve">стверджуване неналежне </w:t>
      </w:r>
      <w:r w:rsidRPr="009A3F85">
        <w:rPr>
          <w:rFonts w:eastAsia="Times New Roman"/>
          <w:lang w:val="uk-UA" w:eastAsia="fr-FR"/>
        </w:rPr>
        <w:t xml:space="preserve">виконання рішення Суду від 3 травня 2007 року у її попередній справі. Зокрема, </w:t>
      </w:r>
      <w:r w:rsidRPr="009A3F85" w:rsidR="00090D33">
        <w:rPr>
          <w:rFonts w:eastAsia="Times New Roman"/>
          <w:lang w:val="uk-UA" w:eastAsia="fr-FR"/>
        </w:rPr>
        <w:t>видається</w:t>
      </w:r>
      <w:r w:rsidRPr="009A3F85" w:rsidR="0004594D">
        <w:rPr>
          <w:rFonts w:eastAsia="Times New Roman"/>
          <w:lang w:val="uk-UA" w:eastAsia="fr-FR"/>
        </w:rPr>
        <w:t xml:space="preserve">, що </w:t>
      </w:r>
      <w:r w:rsidRPr="009A3F85">
        <w:rPr>
          <w:rFonts w:eastAsia="Times New Roman"/>
          <w:lang w:val="uk-UA" w:eastAsia="fr-FR"/>
        </w:rPr>
        <w:t>заявниц</w:t>
      </w:r>
      <w:r w:rsidRPr="009A3F85" w:rsidR="0004594D">
        <w:rPr>
          <w:rFonts w:eastAsia="Times New Roman"/>
          <w:lang w:val="uk-UA" w:eastAsia="fr-FR"/>
        </w:rPr>
        <w:t>я</w:t>
      </w:r>
      <w:r w:rsidRPr="009A3F85">
        <w:rPr>
          <w:rFonts w:eastAsia="Times New Roman"/>
          <w:lang w:val="uk-UA" w:eastAsia="fr-FR"/>
        </w:rPr>
        <w:t xml:space="preserve"> стверджує, що недоліки первинно</w:t>
      </w:r>
      <w:r w:rsidRPr="009A3F85" w:rsidR="00090D33">
        <w:rPr>
          <w:rFonts w:eastAsia="Times New Roman"/>
          <w:lang w:val="uk-UA" w:eastAsia="fr-FR"/>
        </w:rPr>
        <w:t>го</w:t>
      </w:r>
      <w:r w:rsidRPr="009A3F85">
        <w:rPr>
          <w:rFonts w:eastAsia="Times New Roman"/>
          <w:lang w:val="uk-UA" w:eastAsia="fr-FR"/>
        </w:rPr>
        <w:t xml:space="preserve"> </w:t>
      </w:r>
      <w:r w:rsidRPr="009A3F85" w:rsidR="00090D33">
        <w:rPr>
          <w:rFonts w:eastAsia="Times New Roman"/>
          <w:lang w:val="uk-UA" w:eastAsia="fr-FR"/>
        </w:rPr>
        <w:t xml:space="preserve">провадження </w:t>
      </w:r>
      <w:r w:rsidRPr="009A3F85">
        <w:rPr>
          <w:rFonts w:eastAsia="Times New Roman"/>
          <w:lang w:val="uk-UA" w:eastAsia="fr-FR"/>
        </w:rPr>
        <w:t xml:space="preserve">на національному рівні, </w:t>
      </w:r>
      <w:r w:rsidRPr="009A3F85" w:rsidR="00090D33">
        <w:rPr>
          <w:rFonts w:eastAsia="Times New Roman"/>
          <w:lang w:val="uk-UA" w:eastAsia="fr-FR"/>
        </w:rPr>
        <w:t xml:space="preserve">яке було </w:t>
      </w:r>
      <w:r w:rsidRPr="009A3F85">
        <w:rPr>
          <w:rFonts w:eastAsia="Times New Roman"/>
          <w:lang w:val="uk-UA" w:eastAsia="fr-FR"/>
        </w:rPr>
        <w:t>предметом рішення Суду 2007 року, не було виправлено у провадженн</w:t>
      </w:r>
      <w:r w:rsidRPr="009A3F85" w:rsidR="00090D33">
        <w:rPr>
          <w:rFonts w:eastAsia="Times New Roman"/>
          <w:lang w:val="uk-UA" w:eastAsia="fr-FR"/>
        </w:rPr>
        <w:t>і</w:t>
      </w:r>
      <w:r w:rsidRPr="009A3F85">
        <w:rPr>
          <w:rFonts w:eastAsia="Times New Roman"/>
          <w:lang w:val="uk-UA" w:eastAsia="fr-FR"/>
        </w:rPr>
        <w:t xml:space="preserve">, яке закінчилося ухвалою </w:t>
      </w:r>
      <w:r w:rsidRPr="009A3F85" w:rsidR="00090D33">
        <w:rPr>
          <w:rFonts w:eastAsia="Times New Roman"/>
          <w:lang w:val="uk-UA" w:eastAsia="fr-FR"/>
        </w:rPr>
        <w:t xml:space="preserve">Верховного </w:t>
      </w:r>
      <w:r w:rsidRPr="009A3F85">
        <w:rPr>
          <w:rFonts w:eastAsia="Times New Roman"/>
          <w:lang w:val="uk-UA" w:eastAsia="fr-FR"/>
        </w:rPr>
        <w:t>Суду України від 14</w:t>
      </w:r>
      <w:r w:rsidRPr="009A3F85" w:rsidR="00221A9E">
        <w:rPr>
          <w:rFonts w:eastAsia="Times New Roman"/>
          <w:lang w:val="uk-UA" w:eastAsia="fr-FR"/>
        </w:rPr>
        <w:t xml:space="preserve"> </w:t>
      </w:r>
      <w:r w:rsidRPr="009A3F85">
        <w:rPr>
          <w:rFonts w:eastAsia="Times New Roman"/>
          <w:lang w:val="uk-UA" w:eastAsia="fr-FR"/>
        </w:rPr>
        <w:t xml:space="preserve">березня 2008 року, </w:t>
      </w:r>
      <w:r w:rsidRPr="009A3F85" w:rsidR="00221A9E">
        <w:rPr>
          <w:rFonts w:eastAsia="Times New Roman"/>
          <w:lang w:val="uk-UA" w:eastAsia="fr-FR"/>
        </w:rPr>
        <w:t>оскільки</w:t>
      </w:r>
      <w:r w:rsidRPr="009A3F85">
        <w:rPr>
          <w:rFonts w:eastAsia="Times New Roman"/>
          <w:lang w:val="uk-UA" w:eastAsia="fr-FR"/>
        </w:rPr>
        <w:t xml:space="preserve"> Верховний Суд України не розглянув </w:t>
      </w:r>
      <w:r w:rsidRPr="009A3F85" w:rsidR="00221A9E">
        <w:rPr>
          <w:rFonts w:eastAsia="Times New Roman"/>
          <w:lang w:val="uk-UA" w:eastAsia="fr-FR"/>
        </w:rPr>
        <w:t xml:space="preserve">юридичну силу </w:t>
      </w:r>
      <w:r w:rsidRPr="009A3F85">
        <w:rPr>
          <w:rFonts w:eastAsia="Times New Roman"/>
          <w:lang w:val="uk-UA" w:eastAsia="fr-FR"/>
        </w:rPr>
        <w:t xml:space="preserve">головного </w:t>
      </w:r>
      <w:r w:rsidRPr="009A3F85" w:rsidR="00221A9E">
        <w:rPr>
          <w:rFonts w:eastAsia="Times New Roman"/>
          <w:lang w:val="uk-UA" w:eastAsia="fr-FR"/>
        </w:rPr>
        <w:t xml:space="preserve">документального </w:t>
      </w:r>
      <w:r w:rsidRPr="009A3F85" w:rsidR="00AA2432">
        <w:rPr>
          <w:rFonts w:eastAsia="Times New Roman"/>
          <w:lang w:val="uk-UA" w:eastAsia="fr-FR"/>
        </w:rPr>
        <w:t>доказу</w:t>
      </w:r>
      <w:r w:rsidRPr="009A3F85">
        <w:rPr>
          <w:rFonts w:eastAsia="Times New Roman"/>
          <w:lang w:val="uk-UA" w:eastAsia="fr-FR"/>
        </w:rPr>
        <w:t xml:space="preserve">, на якому ґрунтувалися оскаржувані рішення національних судів (див. пункт 29). Проте скарги </w:t>
      </w:r>
      <w:r w:rsidRPr="009A3F85" w:rsidR="00AA2432">
        <w:rPr>
          <w:rFonts w:eastAsia="Times New Roman"/>
          <w:lang w:val="uk-UA" w:eastAsia="fr-FR"/>
        </w:rPr>
        <w:t>як на</w:t>
      </w:r>
      <w:r w:rsidRPr="009A3F85">
        <w:rPr>
          <w:rFonts w:eastAsia="Times New Roman"/>
          <w:lang w:val="uk-UA" w:eastAsia="fr-FR"/>
        </w:rPr>
        <w:t xml:space="preserve"> невиконання рішення Суду, </w:t>
      </w:r>
      <w:r w:rsidRPr="009A3F85" w:rsidR="00AA2432">
        <w:rPr>
          <w:rFonts w:eastAsia="Times New Roman"/>
          <w:lang w:val="uk-UA" w:eastAsia="fr-FR"/>
        </w:rPr>
        <w:t>так і на</w:t>
      </w:r>
      <w:r w:rsidRPr="009A3F85">
        <w:rPr>
          <w:rFonts w:eastAsia="Times New Roman"/>
          <w:lang w:val="uk-UA" w:eastAsia="fr-FR"/>
        </w:rPr>
        <w:t xml:space="preserve"> невиправлення вже встановленого Судом порушення не належать до компетенції Суду </w:t>
      </w:r>
      <w:r w:rsidRPr="009A3F85">
        <w:rPr>
          <w:rFonts w:eastAsia="Times New Roman"/>
          <w:i/>
          <w:lang w:val="uk-UA" w:eastAsia="fr-FR"/>
        </w:rPr>
        <w:t>ratione materiae</w:t>
      </w:r>
      <w:r w:rsidRPr="009A3F85">
        <w:rPr>
          <w:rFonts w:eastAsia="Times New Roman"/>
          <w:lang w:val="uk-UA" w:eastAsia="fr-FR"/>
        </w:rPr>
        <w:t xml:space="preserve"> (див. стислий виклад практики Суду, наведений у попередньому пункті, зокрема у вищенаведеній ухвалі щодо прийнятності у справі «Лайонз та інші проти Сполученого Королівства» (</w:t>
      </w:r>
      <w:r w:rsidRPr="009A3F85">
        <w:rPr>
          <w:rFonts w:eastAsia="Times New Roman"/>
          <w:i/>
          <w:lang w:val="uk-UA" w:eastAsia="fr-FR"/>
        </w:rPr>
        <w:t>Lyons and Others v. the United Kingdom</w:t>
      </w:r>
      <w:r w:rsidRPr="009A3F85">
        <w:rPr>
          <w:rFonts w:eastAsia="Times New Roman"/>
          <w:lang w:val="uk-UA" w:eastAsia="fr-FR"/>
        </w:rPr>
        <w:t xml:space="preserve">)). Відповідно, скарги заявниці, у частині, що стосується невиправлення первинного порушення пункту 1 статті 6 Конвенції, встановленого у рішенні Суду 2007 року, мають бути визнані несумісними </w:t>
      </w:r>
      <w:r w:rsidRPr="009A3F85">
        <w:rPr>
          <w:rFonts w:eastAsia="Times New Roman"/>
          <w:i/>
          <w:lang w:val="uk-UA" w:eastAsia="fr-FR"/>
        </w:rPr>
        <w:t>ratione materiae</w:t>
      </w:r>
      <w:r w:rsidRPr="009A3F85">
        <w:rPr>
          <w:rFonts w:eastAsia="Times New Roman"/>
          <w:lang w:val="uk-UA" w:eastAsia="fr-FR"/>
        </w:rPr>
        <w:t xml:space="preserve"> із положеннями Конвенції згідно з підпунктом «а» пункту 3 та пунктом 4 статті 35 Конвенції.</w:t>
      </w:r>
    </w:p>
    <w:p w:rsidRPr="009A3F85" w:rsidR="006D147C" w:rsidP="009A3F85">
      <w:pPr>
        <w:pStyle w:val="ECHRPara"/>
        <w:rPr>
          <w:rFonts w:eastAsia="Times New Roman"/>
          <w:lang w:val="uk-UA" w:eastAsia="fr-FR"/>
        </w:rPr>
      </w:pPr>
      <w:r w:rsidRPr="009A3F85">
        <w:rPr>
          <w:rFonts w:eastAsia="Times New Roman"/>
          <w:lang w:val="uk-UA" w:eastAsia="fr-FR"/>
        </w:rPr>
        <w:fldChar w:fldCharType="begin"/>
      </w:r>
      <w:r w:rsidRPr="009A3F85">
        <w:rPr>
          <w:rFonts w:eastAsia="Times New Roman"/>
          <w:lang w:val="uk-UA" w:eastAsia="fr-FR"/>
        </w:rPr>
        <w:instrText xml:space="preserve"> SEQ level0 \*arabic </w:instrText>
      </w:r>
      <w:r w:rsidRPr="009A3F85">
        <w:rPr>
          <w:rFonts w:eastAsia="Times New Roman"/>
          <w:lang w:val="uk-UA" w:eastAsia="fr-FR"/>
        </w:rPr>
        <w:fldChar w:fldCharType="separate"/>
      </w:r>
      <w:r w:rsidRPr="009A3F85" w:rsidR="009A3F85">
        <w:rPr>
          <w:rFonts w:eastAsia="Times New Roman"/>
          <w:noProof/>
          <w:lang w:val="uk-UA" w:eastAsia="fr-FR"/>
        </w:rPr>
        <w:t>36</w:t>
      </w:r>
      <w:r w:rsidRPr="009A3F85">
        <w:rPr>
          <w:rFonts w:eastAsia="Times New Roman"/>
          <w:lang w:val="uk-UA" w:eastAsia="fr-FR"/>
        </w:rPr>
        <w:fldChar w:fldCharType="end"/>
      </w:r>
      <w:r w:rsidRPr="009A3F85">
        <w:rPr>
          <w:rFonts w:eastAsia="Times New Roman"/>
          <w:lang w:val="uk-UA" w:eastAsia="fr-FR"/>
        </w:rPr>
        <w:t xml:space="preserve">.  Проте нова заява заявниці також </w:t>
      </w:r>
      <w:r w:rsidRPr="009A3F85" w:rsidR="00AA2432">
        <w:rPr>
          <w:rFonts w:eastAsia="Times New Roman"/>
          <w:lang w:val="uk-UA" w:eastAsia="fr-FR"/>
        </w:rPr>
        <w:t xml:space="preserve">містить </w:t>
      </w:r>
      <w:r w:rsidRPr="009A3F85">
        <w:rPr>
          <w:rFonts w:eastAsia="Times New Roman"/>
          <w:lang w:val="uk-UA" w:eastAsia="fr-FR"/>
        </w:rPr>
        <w:t>нов</w:t>
      </w:r>
      <w:r w:rsidRPr="009A3F85" w:rsidR="006C4406">
        <w:rPr>
          <w:rFonts w:eastAsia="Times New Roman"/>
          <w:lang w:val="uk-UA" w:eastAsia="fr-FR"/>
        </w:rPr>
        <w:t>у</w:t>
      </w:r>
      <w:r w:rsidRPr="009A3F85">
        <w:rPr>
          <w:rFonts w:eastAsia="Times New Roman"/>
          <w:lang w:val="uk-UA" w:eastAsia="fr-FR"/>
        </w:rPr>
        <w:t xml:space="preserve"> </w:t>
      </w:r>
      <w:r w:rsidRPr="009A3F85" w:rsidR="006C4406">
        <w:rPr>
          <w:rFonts w:eastAsia="Times New Roman"/>
          <w:lang w:val="uk-UA" w:eastAsia="fr-FR"/>
        </w:rPr>
        <w:t>скаргу</w:t>
      </w:r>
      <w:r w:rsidRPr="009A3F85">
        <w:rPr>
          <w:rFonts w:eastAsia="Times New Roman"/>
          <w:lang w:val="uk-UA" w:eastAsia="fr-FR"/>
        </w:rPr>
        <w:t xml:space="preserve">, що стосується не стільки результатів провадження 2008 року у Верховному Суді України, скільки </w:t>
      </w:r>
      <w:r w:rsidRPr="009A3F85" w:rsidR="00AA2432">
        <w:rPr>
          <w:rFonts w:eastAsia="Times New Roman"/>
          <w:lang w:val="uk-UA" w:eastAsia="fr-FR"/>
        </w:rPr>
        <w:t xml:space="preserve">здійснення та справедливість </w:t>
      </w:r>
      <w:r w:rsidRPr="009A3F85" w:rsidR="006C4406">
        <w:rPr>
          <w:rFonts w:eastAsia="Times New Roman"/>
          <w:lang w:val="uk-UA" w:eastAsia="fr-FR"/>
        </w:rPr>
        <w:t>цього провадження</w:t>
      </w:r>
      <w:r w:rsidRPr="009A3F85">
        <w:rPr>
          <w:rFonts w:eastAsia="Times New Roman"/>
          <w:lang w:val="uk-UA" w:eastAsia="fr-FR"/>
        </w:rPr>
        <w:t>, яке хронологічно відбувалося пізніше і відрізнялося від провадження на національному рівні, оскаржуваного у рамках рішення Суду 2007 року.</w:t>
      </w:r>
    </w:p>
    <w:p w:rsidRPr="009A3F85" w:rsidR="006D147C" w:rsidP="009A3F85">
      <w:pPr>
        <w:pStyle w:val="ECHRPara"/>
        <w:rPr>
          <w:rFonts w:eastAsia="Times New Roman"/>
          <w:lang w:val="uk-UA" w:eastAsia="fr-FR"/>
        </w:rPr>
      </w:pPr>
      <w:r w:rsidRPr="009A3F85">
        <w:rPr>
          <w:rFonts w:eastAsia="Times New Roman"/>
          <w:lang w:val="uk-UA" w:eastAsia="fr-FR"/>
        </w:rPr>
        <w:fldChar w:fldCharType="begin"/>
      </w:r>
      <w:r w:rsidRPr="009A3F85">
        <w:rPr>
          <w:rFonts w:eastAsia="Times New Roman"/>
          <w:lang w:val="uk-UA" w:eastAsia="fr-FR"/>
        </w:rPr>
        <w:instrText xml:space="preserve"> SEQ level0 \*arabic </w:instrText>
      </w:r>
      <w:r w:rsidRPr="009A3F85">
        <w:rPr>
          <w:rFonts w:eastAsia="Times New Roman"/>
          <w:lang w:val="uk-UA" w:eastAsia="fr-FR"/>
        </w:rPr>
        <w:fldChar w:fldCharType="separate"/>
      </w:r>
      <w:r w:rsidRPr="009A3F85" w:rsidR="009A3F85">
        <w:rPr>
          <w:rFonts w:eastAsia="Times New Roman"/>
          <w:noProof/>
          <w:lang w:val="uk-UA" w:eastAsia="fr-FR"/>
        </w:rPr>
        <w:t>37</w:t>
      </w:r>
      <w:r w:rsidRPr="009A3F85">
        <w:rPr>
          <w:rFonts w:eastAsia="Times New Roman"/>
          <w:lang w:val="uk-UA" w:eastAsia="fr-FR"/>
        </w:rPr>
        <w:fldChar w:fldCharType="end"/>
      </w:r>
      <w:r w:rsidRPr="009A3F85" w:rsidR="00CF1311">
        <w:rPr>
          <w:rFonts w:eastAsia="Times New Roman"/>
          <w:lang w:val="uk-UA" w:eastAsia="fr-FR"/>
        </w:rPr>
        <w:t>.  </w:t>
      </w:r>
      <w:r w:rsidRPr="009A3F85" w:rsidR="00221A9E">
        <w:rPr>
          <w:rFonts w:eastAsia="Times New Roman"/>
          <w:lang w:val="uk-UA" w:eastAsia="fr-FR"/>
        </w:rPr>
        <w:t>С</w:t>
      </w:r>
      <w:r w:rsidRPr="009A3F85" w:rsidR="00AA2432">
        <w:rPr>
          <w:rFonts w:eastAsia="Times New Roman"/>
          <w:lang w:val="uk-UA" w:eastAsia="fr-FR"/>
        </w:rPr>
        <w:t>карга заявниці</w:t>
      </w:r>
      <w:r w:rsidRPr="009A3F85" w:rsidR="00D62925">
        <w:rPr>
          <w:rFonts w:eastAsia="Times New Roman"/>
          <w:lang w:val="uk-UA" w:eastAsia="fr-FR"/>
        </w:rPr>
        <w:t xml:space="preserve"> у </w:t>
      </w:r>
      <w:r w:rsidRPr="009A3F85" w:rsidR="0088764A">
        <w:rPr>
          <w:rFonts w:eastAsia="Times New Roman"/>
          <w:lang w:val="uk-UA" w:eastAsia="fr-FR"/>
        </w:rPr>
        <w:t>цьому зв</w:t>
      </w:r>
      <w:r w:rsidRPr="009A3F85" w:rsidR="009A3F85">
        <w:rPr>
          <w:rFonts w:eastAsia="Times New Roman"/>
          <w:lang w:val="uk-UA" w:eastAsia="fr-FR"/>
        </w:rPr>
        <w:t>’</w:t>
      </w:r>
      <w:r w:rsidRPr="009A3F85" w:rsidR="0088764A">
        <w:rPr>
          <w:rFonts w:eastAsia="Times New Roman"/>
          <w:lang w:val="uk-UA" w:eastAsia="fr-FR"/>
        </w:rPr>
        <w:t>язку</w:t>
      </w:r>
      <w:r w:rsidRPr="009A3F85" w:rsidR="00AA2432">
        <w:rPr>
          <w:rFonts w:eastAsia="Times New Roman"/>
          <w:lang w:val="uk-UA" w:eastAsia="fr-FR"/>
        </w:rPr>
        <w:t xml:space="preserve">, як її </w:t>
      </w:r>
      <w:r w:rsidRPr="009A3F85" w:rsidR="00CF1311">
        <w:rPr>
          <w:rFonts w:eastAsia="Times New Roman"/>
          <w:lang w:val="uk-UA" w:eastAsia="fr-FR"/>
        </w:rPr>
        <w:t xml:space="preserve">можна виокремити з </w:t>
      </w:r>
      <w:r w:rsidRPr="009A3F85" w:rsidR="00AA2432">
        <w:rPr>
          <w:rFonts w:eastAsia="Times New Roman"/>
          <w:lang w:val="uk-UA" w:eastAsia="fr-FR"/>
        </w:rPr>
        <w:t>її заяви,</w:t>
      </w:r>
      <w:r w:rsidRPr="009A3F85">
        <w:rPr>
          <w:rFonts w:eastAsia="Times New Roman"/>
          <w:lang w:val="uk-UA" w:eastAsia="fr-FR"/>
        </w:rPr>
        <w:t xml:space="preserve"> стосується способу, у який Верховний Суд України розглядав один з її головних аргументів, </w:t>
      </w:r>
      <w:r w:rsidRPr="009A3F85" w:rsidR="00D62925">
        <w:rPr>
          <w:rFonts w:eastAsia="Times New Roman"/>
          <w:lang w:val="uk-UA" w:eastAsia="fr-FR"/>
        </w:rPr>
        <w:t xml:space="preserve">який ґрунтувався </w:t>
      </w:r>
      <w:r w:rsidRPr="009A3F85">
        <w:rPr>
          <w:rFonts w:eastAsia="Times New Roman"/>
          <w:lang w:val="uk-UA" w:eastAsia="fr-FR"/>
        </w:rPr>
        <w:t>на рішенні Суду 2007</w:t>
      </w:r>
      <w:r w:rsidRPr="009A3F85" w:rsidR="00D62925">
        <w:rPr>
          <w:rFonts w:eastAsia="Times New Roman"/>
          <w:lang w:val="uk-UA" w:eastAsia="fr-FR"/>
        </w:rPr>
        <w:t> </w:t>
      </w:r>
      <w:r w:rsidRPr="009A3F85">
        <w:rPr>
          <w:rFonts w:eastAsia="Times New Roman"/>
          <w:lang w:val="uk-UA" w:eastAsia="fr-FR"/>
        </w:rPr>
        <w:t>року. Зокрема, вона стверджувала, що обґрунтування Верховн</w:t>
      </w:r>
      <w:r w:rsidRPr="009A3F85" w:rsidR="00AA2432">
        <w:rPr>
          <w:rFonts w:eastAsia="Times New Roman"/>
          <w:lang w:val="uk-UA" w:eastAsia="fr-FR"/>
        </w:rPr>
        <w:t>ого</w:t>
      </w:r>
      <w:r w:rsidRPr="009A3F85">
        <w:rPr>
          <w:rFonts w:eastAsia="Times New Roman"/>
          <w:lang w:val="uk-UA" w:eastAsia="fr-FR"/>
        </w:rPr>
        <w:t xml:space="preserve"> </w:t>
      </w:r>
      <w:r w:rsidRPr="009A3F85" w:rsidR="00AA2432">
        <w:rPr>
          <w:rFonts w:eastAsia="Times New Roman"/>
          <w:lang w:val="uk-UA" w:eastAsia="fr-FR"/>
        </w:rPr>
        <w:t xml:space="preserve">Суду </w:t>
      </w:r>
      <w:r w:rsidRPr="009A3F85">
        <w:rPr>
          <w:rFonts w:eastAsia="Times New Roman"/>
          <w:lang w:val="uk-UA" w:eastAsia="fr-FR"/>
        </w:rPr>
        <w:t>України</w:t>
      </w:r>
      <w:r w:rsidRPr="009A3F85" w:rsidR="00AA2432">
        <w:rPr>
          <w:rFonts w:eastAsia="Times New Roman"/>
          <w:lang w:val="uk-UA" w:eastAsia="fr-FR"/>
        </w:rPr>
        <w:t>, наведене</w:t>
      </w:r>
      <w:r w:rsidRPr="009A3F85">
        <w:rPr>
          <w:rFonts w:eastAsia="Times New Roman"/>
          <w:lang w:val="uk-UA" w:eastAsia="fr-FR"/>
        </w:rPr>
        <w:t xml:space="preserve"> у його ухвалі від 14 березня 2008 року, явно суперечить відповідним висновкам Суду у рішенні 2007 року (див. пункт 29). Отже, ц</w:t>
      </w:r>
      <w:r w:rsidRPr="009A3F85" w:rsidR="00A26CE5">
        <w:rPr>
          <w:rFonts w:eastAsia="Times New Roman"/>
          <w:lang w:val="uk-UA" w:eastAsia="fr-FR"/>
        </w:rPr>
        <w:t>я</w:t>
      </w:r>
      <w:r w:rsidRPr="009A3F85">
        <w:rPr>
          <w:rFonts w:eastAsia="Times New Roman"/>
          <w:lang w:val="uk-UA" w:eastAsia="fr-FR"/>
        </w:rPr>
        <w:t xml:space="preserve"> нов</w:t>
      </w:r>
      <w:r w:rsidRPr="009A3F85" w:rsidR="00A26CE5">
        <w:rPr>
          <w:rFonts w:eastAsia="Times New Roman"/>
          <w:lang w:val="uk-UA" w:eastAsia="fr-FR"/>
        </w:rPr>
        <w:t>а</w:t>
      </w:r>
      <w:r w:rsidRPr="009A3F85">
        <w:rPr>
          <w:rFonts w:eastAsia="Times New Roman"/>
          <w:lang w:val="uk-UA" w:eastAsia="fr-FR"/>
        </w:rPr>
        <w:t xml:space="preserve"> </w:t>
      </w:r>
      <w:r w:rsidRPr="009A3F85" w:rsidR="00A26CE5">
        <w:rPr>
          <w:rFonts w:eastAsia="Times New Roman"/>
          <w:lang w:val="uk-UA" w:eastAsia="fr-FR"/>
        </w:rPr>
        <w:t>скарга</w:t>
      </w:r>
      <w:r w:rsidRPr="009A3F85">
        <w:rPr>
          <w:rFonts w:eastAsia="Times New Roman"/>
          <w:lang w:val="uk-UA" w:eastAsia="fr-FR"/>
        </w:rPr>
        <w:t xml:space="preserve"> стосується способу</w:t>
      </w:r>
      <w:r w:rsidRPr="009A3F85" w:rsidR="009A3F85">
        <w:rPr>
          <w:rFonts w:eastAsia="Times New Roman"/>
          <w:lang w:val="uk-UA" w:eastAsia="fr-FR"/>
        </w:rPr>
        <w:t xml:space="preserve"> </w:t>
      </w:r>
      <w:r w:rsidRPr="009A3F85" w:rsidR="00AA2432">
        <w:rPr>
          <w:rFonts w:eastAsia="Times New Roman"/>
          <w:lang w:val="uk-UA" w:eastAsia="fr-FR"/>
        </w:rPr>
        <w:t xml:space="preserve">ухвалення </w:t>
      </w:r>
      <w:r w:rsidRPr="009A3F85">
        <w:rPr>
          <w:rFonts w:eastAsia="Times New Roman"/>
          <w:lang w:val="uk-UA" w:eastAsia="fr-FR"/>
        </w:rPr>
        <w:t xml:space="preserve">рішення </w:t>
      </w:r>
      <w:r w:rsidRPr="009A3F85" w:rsidR="00AA2432">
        <w:rPr>
          <w:rFonts w:eastAsia="Times New Roman"/>
          <w:lang w:val="uk-UA" w:eastAsia="fr-FR"/>
        </w:rPr>
        <w:t xml:space="preserve">у березні </w:t>
      </w:r>
      <w:r w:rsidRPr="009A3F85">
        <w:rPr>
          <w:rFonts w:eastAsia="Times New Roman"/>
          <w:lang w:val="uk-UA" w:eastAsia="fr-FR"/>
        </w:rPr>
        <w:t>2008 року у провадженн</w:t>
      </w:r>
      <w:r w:rsidRPr="009A3F85" w:rsidR="00AA2432">
        <w:rPr>
          <w:rFonts w:eastAsia="Times New Roman"/>
          <w:lang w:val="uk-UA" w:eastAsia="fr-FR"/>
        </w:rPr>
        <w:t>і</w:t>
      </w:r>
      <w:r w:rsidRPr="009A3F85">
        <w:rPr>
          <w:rFonts w:eastAsia="Times New Roman"/>
          <w:lang w:val="uk-UA" w:eastAsia="fr-FR"/>
        </w:rPr>
        <w:t xml:space="preserve"> </w:t>
      </w:r>
      <w:r w:rsidRPr="009A3F85" w:rsidR="00AA2432">
        <w:rPr>
          <w:rFonts w:eastAsia="Times New Roman"/>
          <w:lang w:val="uk-UA" w:eastAsia="fr-FR"/>
        </w:rPr>
        <w:t xml:space="preserve">за скаргою </w:t>
      </w:r>
      <w:r w:rsidRPr="009A3F85">
        <w:rPr>
          <w:rFonts w:eastAsia="Times New Roman"/>
          <w:lang w:val="uk-UA" w:eastAsia="fr-FR"/>
        </w:rPr>
        <w:t>заявниці у зв</w:t>
      </w:r>
      <w:r w:rsidRPr="009A3F85" w:rsidR="009A3F85">
        <w:rPr>
          <w:rFonts w:eastAsia="Times New Roman"/>
          <w:lang w:val="uk-UA" w:eastAsia="fr-FR"/>
        </w:rPr>
        <w:t>’</w:t>
      </w:r>
      <w:r w:rsidRPr="009A3F85">
        <w:rPr>
          <w:rFonts w:eastAsia="Times New Roman"/>
          <w:lang w:val="uk-UA" w:eastAsia="fr-FR"/>
        </w:rPr>
        <w:t>язку з винятковими обставин</w:t>
      </w:r>
      <w:r w:rsidRPr="009A3F85" w:rsidR="00597B8B">
        <w:rPr>
          <w:rFonts w:eastAsia="Times New Roman"/>
          <w:lang w:val="uk-UA" w:eastAsia="fr-FR"/>
        </w:rPr>
        <w:t>ам</w:t>
      </w:r>
      <w:r w:rsidRPr="009A3F85">
        <w:rPr>
          <w:rFonts w:eastAsia="Times New Roman"/>
          <w:lang w:val="uk-UA" w:eastAsia="fr-FR"/>
        </w:rPr>
        <w:t xml:space="preserve">и, а не його результатів як таких або ефективності </w:t>
      </w:r>
      <w:r w:rsidRPr="009A3F85" w:rsidR="00AA2432">
        <w:rPr>
          <w:rFonts w:eastAsia="Times New Roman"/>
          <w:lang w:val="uk-UA" w:eastAsia="fr-FR"/>
        </w:rPr>
        <w:t xml:space="preserve">імплементації </w:t>
      </w:r>
      <w:r w:rsidRPr="009A3F85">
        <w:rPr>
          <w:rFonts w:eastAsia="Times New Roman"/>
          <w:lang w:val="uk-UA" w:eastAsia="fr-FR"/>
        </w:rPr>
        <w:t xml:space="preserve">рішення Суду національними судами (див. для порівняння </w:t>
      </w:r>
      <w:r w:rsidRPr="009A3F85" w:rsidR="00597B8B">
        <w:rPr>
          <w:rFonts w:eastAsia="Times New Roman"/>
          <w:lang w:val="uk-UA" w:eastAsia="fr-FR"/>
        </w:rPr>
        <w:t>в</w:t>
      </w:r>
      <w:r w:rsidRPr="009A3F85">
        <w:rPr>
          <w:rFonts w:eastAsia="Times New Roman"/>
          <w:lang w:val="uk-UA" w:eastAsia="fr-FR"/>
        </w:rPr>
        <w:t xml:space="preserve"> як</w:t>
      </w:r>
      <w:r w:rsidRPr="009A3F85" w:rsidR="00597B8B">
        <w:rPr>
          <w:rFonts w:eastAsia="Times New Roman"/>
          <w:lang w:val="uk-UA" w:eastAsia="fr-FR"/>
        </w:rPr>
        <w:t>ості</w:t>
      </w:r>
      <w:r w:rsidRPr="009A3F85">
        <w:rPr>
          <w:rFonts w:eastAsia="Times New Roman"/>
          <w:lang w:val="uk-UA" w:eastAsia="fr-FR"/>
        </w:rPr>
        <w:t xml:space="preserve"> протилежн</w:t>
      </w:r>
      <w:r w:rsidRPr="009A3F85" w:rsidR="00597B8B">
        <w:rPr>
          <w:rFonts w:eastAsia="Times New Roman"/>
          <w:lang w:val="uk-UA" w:eastAsia="fr-FR"/>
        </w:rPr>
        <w:t>ого</w:t>
      </w:r>
      <w:r w:rsidRPr="009A3F85">
        <w:rPr>
          <w:rFonts w:eastAsia="Times New Roman"/>
          <w:lang w:val="uk-UA" w:eastAsia="fr-FR"/>
        </w:rPr>
        <w:t xml:space="preserve"> приклад</w:t>
      </w:r>
      <w:r w:rsidRPr="009A3F85" w:rsidR="00597B8B">
        <w:rPr>
          <w:rFonts w:eastAsia="Times New Roman"/>
          <w:lang w:val="uk-UA" w:eastAsia="fr-FR"/>
        </w:rPr>
        <w:t>у</w:t>
      </w:r>
      <w:r w:rsidRPr="009A3F85">
        <w:rPr>
          <w:rFonts w:eastAsia="Times New Roman"/>
          <w:lang w:val="uk-UA" w:eastAsia="fr-FR"/>
        </w:rPr>
        <w:t xml:space="preserve"> вищенаведені ухвали щодо прийнятності у справах </w:t>
      </w:r>
      <w:r w:rsidRPr="009A3F85">
        <w:rPr>
          <w:rFonts w:eastAsia="Times New Roman"/>
          <w:lang w:val="uk-UA"/>
        </w:rPr>
        <w:t xml:space="preserve">«Штек-Ріш та ніші проти </w:t>
      </w:r>
      <w:r w:rsidRPr="009A3F85" w:rsidR="00B8226B">
        <w:rPr>
          <w:rFonts w:eastAsia="Times New Roman"/>
          <w:lang w:val="uk-UA"/>
        </w:rPr>
        <w:t>Ліхтенштейну</w:t>
      </w:r>
      <w:r w:rsidRPr="009A3F85">
        <w:rPr>
          <w:rFonts w:eastAsia="Times New Roman"/>
          <w:lang w:val="uk-UA"/>
        </w:rPr>
        <w:t>» (</w:t>
      </w:r>
      <w:r w:rsidRPr="009A3F85">
        <w:rPr>
          <w:rFonts w:eastAsia="Times New Roman"/>
          <w:i/>
          <w:iCs/>
          <w:color w:val="000000"/>
          <w:szCs w:val="24"/>
          <w:lang w:val="uk-UA" w:eastAsia="en-GB"/>
        </w:rPr>
        <w:t>Steck-Risch and Others v. Liechtenstein</w:t>
      </w:r>
      <w:r w:rsidRPr="009A3F85">
        <w:rPr>
          <w:rFonts w:eastAsia="Times New Roman"/>
          <w:lang w:val="uk-UA"/>
        </w:rPr>
        <w:t>)</w:t>
      </w:r>
      <w:r w:rsidRPr="009A3F85">
        <w:rPr>
          <w:rFonts w:eastAsia="Times New Roman"/>
          <w:lang w:val="uk-UA" w:eastAsia="fr-FR"/>
        </w:rPr>
        <w:t>,</w:t>
      </w:r>
      <w:r w:rsidRPr="009A3F85">
        <w:rPr>
          <w:rFonts w:eastAsia="Times New Roman"/>
          <w:i/>
          <w:lang w:val="uk-UA" w:eastAsia="fr-FR"/>
        </w:rPr>
        <w:t xml:space="preserve"> </w:t>
      </w:r>
      <w:r w:rsidRPr="009A3F85">
        <w:rPr>
          <w:rFonts w:eastAsia="Times New Roman"/>
          <w:lang w:val="uk-UA" w:eastAsia="fr-FR"/>
        </w:rPr>
        <w:t>«Оджалан проти Туреччини» (</w:t>
      </w:r>
      <w:r w:rsidRPr="009A3F85">
        <w:rPr>
          <w:rFonts w:eastAsia="Times New Roman"/>
          <w:i/>
          <w:lang w:val="uk-UA" w:eastAsia="fr-FR"/>
        </w:rPr>
        <w:t>Öcalan v. Turkey</w:t>
      </w:r>
      <w:r w:rsidRPr="009A3F85">
        <w:rPr>
          <w:rFonts w:eastAsia="Times New Roman"/>
          <w:lang w:val="uk-UA" w:eastAsia="fr-FR"/>
        </w:rPr>
        <w:t>), та «Шеллінг проти Австрії (№ 2)» (</w:t>
      </w:r>
      <w:r w:rsidRPr="009A3F85">
        <w:rPr>
          <w:rFonts w:eastAsia="Times New Roman"/>
          <w:i/>
          <w:lang w:val="uk-UA" w:eastAsia="fr-FR"/>
        </w:rPr>
        <w:t>Schelling v. Austria (no. 2)</w:t>
      </w:r>
      <w:r w:rsidRPr="009A3F85">
        <w:rPr>
          <w:rFonts w:eastAsia="Times New Roman"/>
          <w:lang w:val="uk-UA" w:eastAsia="fr-FR"/>
        </w:rPr>
        <w:t>), у яких не стверджувалось про явну несправедливість нових проваджень, порушених заявниками у їхніх справах на національному рівні). Хоча ініціативи заявниці щодо перегляду рішень національних судів у цій справі були беззаперечно пов</w:t>
      </w:r>
      <w:r w:rsidRPr="009A3F85" w:rsidR="009A3F85">
        <w:rPr>
          <w:rFonts w:eastAsia="Times New Roman"/>
          <w:lang w:val="uk-UA" w:eastAsia="fr-FR"/>
        </w:rPr>
        <w:t>’</w:t>
      </w:r>
      <w:r w:rsidRPr="009A3F85">
        <w:rPr>
          <w:rFonts w:eastAsia="Times New Roman"/>
          <w:lang w:val="uk-UA" w:eastAsia="fr-FR"/>
        </w:rPr>
        <w:t xml:space="preserve">язані з виконанням рішення Суду від 3 травня 2007 року, її скарги на несправедливість подальшого судового провадження стосуються ситуації, що відрізняється від тієї, яка розглядалася у </w:t>
      </w:r>
      <w:r w:rsidRPr="009A3F85" w:rsidR="00AA2432">
        <w:rPr>
          <w:rFonts w:eastAsia="Times New Roman"/>
          <w:lang w:val="uk-UA" w:eastAsia="fr-FR"/>
        </w:rPr>
        <w:t xml:space="preserve">першому </w:t>
      </w:r>
      <w:r w:rsidRPr="009A3F85">
        <w:rPr>
          <w:rFonts w:eastAsia="Times New Roman"/>
          <w:lang w:val="uk-UA" w:eastAsia="fr-FR"/>
        </w:rPr>
        <w:t xml:space="preserve">рішенні, а </w:t>
      </w:r>
      <w:r w:rsidRPr="009A3F85" w:rsidR="00AA2432">
        <w:rPr>
          <w:rFonts w:eastAsia="Times New Roman"/>
          <w:lang w:val="uk-UA" w:eastAsia="fr-FR"/>
        </w:rPr>
        <w:t xml:space="preserve">також </w:t>
      </w:r>
      <w:r w:rsidRPr="009A3F85">
        <w:rPr>
          <w:rFonts w:eastAsia="Times New Roman"/>
          <w:lang w:val="uk-UA" w:eastAsia="fr-FR"/>
        </w:rPr>
        <w:t>містять відповідну нову інформацію, пов</w:t>
      </w:r>
      <w:r w:rsidRPr="009A3F85" w:rsidR="009A3F85">
        <w:rPr>
          <w:rFonts w:eastAsia="Times New Roman"/>
          <w:lang w:val="uk-UA" w:eastAsia="fr-FR"/>
        </w:rPr>
        <w:t>’</w:t>
      </w:r>
      <w:r w:rsidRPr="009A3F85">
        <w:rPr>
          <w:rFonts w:eastAsia="Times New Roman"/>
          <w:lang w:val="uk-UA" w:eastAsia="fr-FR"/>
        </w:rPr>
        <w:t xml:space="preserve">язану з </w:t>
      </w:r>
      <w:r w:rsidRPr="009A3F85" w:rsidR="00D62925">
        <w:rPr>
          <w:rFonts w:eastAsia="Times New Roman"/>
          <w:lang w:val="uk-UA" w:eastAsia="fr-FR"/>
        </w:rPr>
        <w:t xml:space="preserve">невирішеними </w:t>
      </w:r>
      <w:r w:rsidRPr="009A3F85" w:rsidR="00AA2432">
        <w:rPr>
          <w:rFonts w:eastAsia="Times New Roman"/>
          <w:lang w:val="uk-UA" w:eastAsia="fr-FR"/>
        </w:rPr>
        <w:t>перш</w:t>
      </w:r>
      <w:r w:rsidRPr="009A3F85" w:rsidR="00D62925">
        <w:rPr>
          <w:rFonts w:eastAsia="Times New Roman"/>
          <w:lang w:val="uk-UA" w:eastAsia="fr-FR"/>
        </w:rPr>
        <w:t>и</w:t>
      </w:r>
      <w:r w:rsidRPr="009A3F85" w:rsidR="00AA2432">
        <w:rPr>
          <w:rFonts w:eastAsia="Times New Roman"/>
          <w:lang w:val="uk-UA" w:eastAsia="fr-FR"/>
        </w:rPr>
        <w:t>м рішенн</w:t>
      </w:r>
      <w:r w:rsidRPr="009A3F85" w:rsidR="00D62925">
        <w:rPr>
          <w:rFonts w:eastAsia="Times New Roman"/>
          <w:lang w:val="uk-UA" w:eastAsia="fr-FR"/>
        </w:rPr>
        <w:t>ям</w:t>
      </w:r>
      <w:r w:rsidRPr="009A3F85">
        <w:rPr>
          <w:rFonts w:eastAsia="Times New Roman"/>
          <w:lang w:val="uk-UA" w:eastAsia="fr-FR"/>
        </w:rPr>
        <w:t xml:space="preserve"> питаннями.</w:t>
      </w:r>
    </w:p>
    <w:p w:rsidRPr="009A3F85" w:rsidR="006D147C" w:rsidP="009A3F85">
      <w:pPr>
        <w:pStyle w:val="ECHRPara"/>
        <w:rPr>
          <w:rFonts w:eastAsia="Times New Roman"/>
          <w:lang w:val="uk-UA" w:eastAsia="fr-FR"/>
        </w:rPr>
      </w:pPr>
      <w:r w:rsidRPr="009A3F85">
        <w:rPr>
          <w:rFonts w:eastAsia="Times New Roman"/>
          <w:lang w:val="uk-UA" w:eastAsia="fr-FR"/>
        </w:rPr>
        <w:fldChar w:fldCharType="begin"/>
      </w:r>
      <w:r w:rsidRPr="009A3F85">
        <w:rPr>
          <w:rFonts w:eastAsia="Times New Roman"/>
          <w:lang w:val="uk-UA" w:eastAsia="fr-FR"/>
        </w:rPr>
        <w:instrText xml:space="preserve"> SEQ level0 \*arabic </w:instrText>
      </w:r>
      <w:r w:rsidRPr="009A3F85">
        <w:rPr>
          <w:rFonts w:eastAsia="Times New Roman"/>
          <w:lang w:val="uk-UA" w:eastAsia="fr-FR"/>
        </w:rPr>
        <w:fldChar w:fldCharType="separate"/>
      </w:r>
      <w:r w:rsidRPr="009A3F85" w:rsidR="009A3F85">
        <w:rPr>
          <w:rFonts w:eastAsia="Times New Roman"/>
          <w:noProof/>
          <w:lang w:val="uk-UA" w:eastAsia="fr-FR"/>
        </w:rPr>
        <w:t>38</w:t>
      </w:r>
      <w:r w:rsidRPr="009A3F85">
        <w:rPr>
          <w:rFonts w:eastAsia="Times New Roman"/>
          <w:lang w:val="uk-UA" w:eastAsia="fr-FR"/>
        </w:rPr>
        <w:fldChar w:fldCharType="end"/>
      </w:r>
      <w:r w:rsidRPr="009A3F85">
        <w:rPr>
          <w:rFonts w:eastAsia="Times New Roman"/>
          <w:lang w:val="uk-UA" w:eastAsia="fr-FR"/>
        </w:rPr>
        <w:t xml:space="preserve">.  Як результат, у цій справі «нове питання», яке </w:t>
      </w:r>
      <w:r w:rsidRPr="009A3F85" w:rsidR="00AA2432">
        <w:rPr>
          <w:rFonts w:eastAsia="Times New Roman"/>
          <w:lang w:val="uk-UA" w:eastAsia="fr-FR"/>
        </w:rPr>
        <w:t xml:space="preserve">Суд </w:t>
      </w:r>
      <w:r w:rsidRPr="009A3F85">
        <w:rPr>
          <w:rFonts w:eastAsia="Times New Roman"/>
          <w:lang w:val="uk-UA" w:eastAsia="fr-FR"/>
        </w:rPr>
        <w:t xml:space="preserve">може розглядати, не </w:t>
      </w:r>
      <w:r w:rsidRPr="009A3F85" w:rsidR="00D62925">
        <w:rPr>
          <w:rFonts w:eastAsia="Times New Roman"/>
          <w:lang w:val="uk-UA" w:eastAsia="fr-FR"/>
        </w:rPr>
        <w:t>втручаючись у виключн</w:t>
      </w:r>
      <w:r w:rsidRPr="009A3F85" w:rsidR="00840AEE">
        <w:rPr>
          <w:rFonts w:eastAsia="Times New Roman"/>
          <w:lang w:val="uk-UA" w:eastAsia="fr-FR"/>
        </w:rPr>
        <w:t>і</w:t>
      </w:r>
      <w:r w:rsidRPr="009A3F85" w:rsidR="00D62925">
        <w:rPr>
          <w:rFonts w:eastAsia="Times New Roman"/>
          <w:lang w:val="uk-UA" w:eastAsia="fr-FR"/>
        </w:rPr>
        <w:t xml:space="preserve"> </w:t>
      </w:r>
      <w:r w:rsidRPr="009A3F85" w:rsidR="00840AEE">
        <w:rPr>
          <w:rFonts w:eastAsia="Times New Roman"/>
          <w:lang w:val="uk-UA" w:eastAsia="fr-FR"/>
        </w:rPr>
        <w:t xml:space="preserve">права </w:t>
      </w:r>
      <w:r w:rsidRPr="009A3F85">
        <w:rPr>
          <w:rFonts w:eastAsia="Times New Roman"/>
          <w:lang w:val="uk-UA" w:eastAsia="fr-FR"/>
        </w:rPr>
        <w:t xml:space="preserve">держави-відповідача та Комітету </w:t>
      </w:r>
      <w:r w:rsidRPr="009A3F85" w:rsidR="00EA628B">
        <w:rPr>
          <w:rFonts w:eastAsia="Times New Roman"/>
          <w:lang w:val="uk-UA" w:eastAsia="fr-FR"/>
        </w:rPr>
        <w:t xml:space="preserve">міністрів </w:t>
      </w:r>
      <w:r w:rsidRPr="009A3F85">
        <w:rPr>
          <w:rFonts w:eastAsia="Times New Roman"/>
          <w:lang w:val="uk-UA" w:eastAsia="fr-FR"/>
        </w:rPr>
        <w:t>з</w:t>
      </w:r>
      <w:r w:rsidRPr="009A3F85" w:rsidR="00D62925">
        <w:rPr>
          <w:rFonts w:eastAsia="Times New Roman"/>
          <w:lang w:val="uk-UA" w:eastAsia="fr-FR"/>
        </w:rPr>
        <w:t>а</w:t>
      </w:r>
      <w:r w:rsidRPr="009A3F85">
        <w:rPr>
          <w:rFonts w:eastAsia="Times New Roman"/>
          <w:lang w:val="uk-UA" w:eastAsia="fr-FR"/>
        </w:rPr>
        <w:t xml:space="preserve"> статтею 46 Конвенції, стосується стверджуваної несправедливості провадження за скаргою заявниці у зв</w:t>
      </w:r>
      <w:r w:rsidRPr="009A3F85" w:rsidR="009A3F85">
        <w:rPr>
          <w:rFonts w:eastAsia="Times New Roman"/>
          <w:lang w:val="uk-UA" w:eastAsia="fr-FR"/>
        </w:rPr>
        <w:t>’</w:t>
      </w:r>
      <w:r w:rsidRPr="009A3F85">
        <w:rPr>
          <w:rFonts w:eastAsia="Times New Roman"/>
          <w:lang w:val="uk-UA" w:eastAsia="fr-FR"/>
        </w:rPr>
        <w:t>язку з винятковими обставинами, а не його результатів як таких та його впливу на належне виконання рішення Суду від 3 травня 2007 року.</w:t>
      </w:r>
    </w:p>
    <w:p w:rsidRPr="009A3F85" w:rsidR="006D147C" w:rsidP="009A3F85">
      <w:pPr>
        <w:pStyle w:val="ECHRPara"/>
        <w:rPr>
          <w:rFonts w:eastAsia="Times New Roman"/>
          <w:lang w:val="uk-UA" w:eastAsia="fr-FR"/>
        </w:rPr>
      </w:pPr>
      <w:r w:rsidRPr="009A3F85">
        <w:rPr>
          <w:rFonts w:eastAsia="Times New Roman"/>
          <w:lang w:val="uk-UA" w:eastAsia="fr-FR"/>
        </w:rPr>
        <w:fldChar w:fldCharType="begin"/>
      </w:r>
      <w:r w:rsidRPr="009A3F85">
        <w:rPr>
          <w:rFonts w:eastAsia="Times New Roman"/>
          <w:lang w:val="uk-UA" w:eastAsia="fr-FR"/>
        </w:rPr>
        <w:instrText xml:space="preserve"> SEQ level0 \*arabic </w:instrText>
      </w:r>
      <w:r w:rsidRPr="009A3F85">
        <w:rPr>
          <w:rFonts w:eastAsia="Times New Roman"/>
          <w:lang w:val="uk-UA" w:eastAsia="fr-FR"/>
        </w:rPr>
        <w:fldChar w:fldCharType="separate"/>
      </w:r>
      <w:r w:rsidRPr="009A3F85" w:rsidR="009A3F85">
        <w:rPr>
          <w:rFonts w:eastAsia="Times New Roman"/>
          <w:noProof/>
          <w:lang w:val="uk-UA" w:eastAsia="fr-FR"/>
        </w:rPr>
        <w:t>39</w:t>
      </w:r>
      <w:r w:rsidRPr="009A3F85">
        <w:rPr>
          <w:rFonts w:eastAsia="Times New Roman"/>
          <w:lang w:val="uk-UA" w:eastAsia="fr-FR"/>
        </w:rPr>
        <w:fldChar w:fldCharType="end"/>
      </w:r>
      <w:r w:rsidRPr="009A3F85">
        <w:rPr>
          <w:rFonts w:eastAsia="Times New Roman"/>
          <w:lang w:val="uk-UA" w:eastAsia="fr-FR"/>
        </w:rPr>
        <w:t xml:space="preserve">.  Відповідно, стаття 46 Конвенції не забороняє Суду розглядати нову скаргу заявниці на несправедливість провадження, що закінчилося ухвалою Верховного Суду України від 14 березня 2008 року. Тепер Суд повертається до питання, чи </w:t>
      </w:r>
      <w:r w:rsidRPr="009A3F85" w:rsidR="00211206">
        <w:rPr>
          <w:rFonts w:eastAsia="Times New Roman"/>
          <w:lang w:val="uk-UA" w:eastAsia="fr-FR"/>
        </w:rPr>
        <w:t xml:space="preserve">відповідало </w:t>
      </w:r>
      <w:r w:rsidRPr="009A3F85">
        <w:rPr>
          <w:rFonts w:eastAsia="Times New Roman"/>
          <w:lang w:val="uk-UA" w:eastAsia="fr-FR"/>
        </w:rPr>
        <w:t>оскаржуван</w:t>
      </w:r>
      <w:r w:rsidRPr="009A3F85" w:rsidR="00E77674">
        <w:rPr>
          <w:rFonts w:eastAsia="Times New Roman"/>
          <w:lang w:val="uk-UA" w:eastAsia="fr-FR"/>
        </w:rPr>
        <w:t>е</w:t>
      </w:r>
      <w:r w:rsidRPr="009A3F85">
        <w:rPr>
          <w:rFonts w:eastAsia="Times New Roman"/>
          <w:lang w:val="uk-UA" w:eastAsia="fr-FR"/>
        </w:rPr>
        <w:t xml:space="preserve"> провадження на національному рівні гаранті</w:t>
      </w:r>
      <w:r w:rsidRPr="009A3F85" w:rsidR="00211206">
        <w:rPr>
          <w:rFonts w:eastAsia="Times New Roman"/>
          <w:lang w:val="uk-UA" w:eastAsia="fr-FR"/>
        </w:rPr>
        <w:t>ям</w:t>
      </w:r>
      <w:r w:rsidRPr="009A3F85">
        <w:rPr>
          <w:rFonts w:eastAsia="Times New Roman"/>
          <w:lang w:val="uk-UA" w:eastAsia="fr-FR"/>
        </w:rPr>
        <w:t xml:space="preserve"> пункту 1 статті</w:t>
      </w:r>
      <w:r w:rsidRPr="009A3F85" w:rsidR="00E77674">
        <w:rPr>
          <w:rFonts w:eastAsia="Times New Roman"/>
          <w:lang w:val="uk-UA" w:eastAsia="fr-FR"/>
        </w:rPr>
        <w:t> </w:t>
      </w:r>
      <w:r w:rsidRPr="009A3F85">
        <w:rPr>
          <w:rFonts w:eastAsia="Times New Roman"/>
          <w:lang w:val="uk-UA" w:eastAsia="fr-FR"/>
        </w:rPr>
        <w:t>6 Конвенції щодо справедливості.</w:t>
      </w:r>
    </w:p>
    <w:p w:rsidRPr="009A3F85" w:rsidR="006D147C" w:rsidP="009A3F85">
      <w:pPr>
        <w:pStyle w:val="ECHRHeading2"/>
        <w:rPr>
          <w:lang w:val="uk-UA"/>
        </w:rPr>
      </w:pPr>
      <w:r w:rsidRPr="009A3F85">
        <w:rPr>
          <w:lang w:val="uk-UA"/>
        </w:rPr>
        <w:t xml:space="preserve">B.  Чи сумісна нова скарга заявниці </w:t>
      </w:r>
      <w:r w:rsidRPr="009A3F85">
        <w:rPr>
          <w:i/>
          <w:lang w:val="uk-UA"/>
        </w:rPr>
        <w:t>ratione materiae</w:t>
      </w:r>
      <w:r w:rsidRPr="009A3F85">
        <w:rPr>
          <w:lang w:val="uk-UA"/>
        </w:rPr>
        <w:t xml:space="preserve"> з пунктом 1 статті 6 Конвенції</w:t>
      </w:r>
    </w:p>
    <w:p w:rsidRPr="009A3F85" w:rsidR="006D147C" w:rsidP="009A3F85">
      <w:pPr>
        <w:pStyle w:val="ECHRHeading3"/>
        <w:rPr>
          <w:lang w:val="uk-UA"/>
        </w:rPr>
      </w:pPr>
      <w:r w:rsidRPr="009A3F85">
        <w:rPr>
          <w:lang w:val="uk-UA"/>
        </w:rPr>
        <w:t>1.  Доводи сторін</w:t>
      </w:r>
    </w:p>
    <w:p w:rsidRPr="009A3F85" w:rsidR="006D147C" w:rsidP="009A3F85">
      <w:pPr>
        <w:pStyle w:val="ECHRPara"/>
        <w:rPr>
          <w:rFonts w:eastAsia="Times New Roman"/>
          <w:lang w:val="uk-UA" w:eastAsia="fr-FR"/>
        </w:rPr>
      </w:pPr>
      <w:r w:rsidRPr="009A3F85">
        <w:rPr>
          <w:rFonts w:eastAsia="Times New Roman"/>
          <w:lang w:val="uk-UA" w:eastAsia="fr-FR"/>
        </w:rPr>
        <w:fldChar w:fldCharType="begin"/>
      </w:r>
      <w:r w:rsidRPr="009A3F85">
        <w:rPr>
          <w:rFonts w:eastAsia="Times New Roman"/>
          <w:lang w:val="uk-UA" w:eastAsia="fr-FR"/>
        </w:rPr>
        <w:instrText xml:space="preserve"> SEQ level0 \*arabic </w:instrText>
      </w:r>
      <w:r w:rsidRPr="009A3F85">
        <w:rPr>
          <w:rFonts w:eastAsia="Times New Roman"/>
          <w:lang w:val="uk-UA" w:eastAsia="fr-FR"/>
        </w:rPr>
        <w:fldChar w:fldCharType="separate"/>
      </w:r>
      <w:r w:rsidRPr="009A3F85" w:rsidR="009A3F85">
        <w:rPr>
          <w:rFonts w:eastAsia="Times New Roman"/>
          <w:noProof/>
          <w:lang w:val="uk-UA" w:eastAsia="fr-FR"/>
        </w:rPr>
        <w:t>40</w:t>
      </w:r>
      <w:r w:rsidRPr="009A3F85">
        <w:rPr>
          <w:rFonts w:eastAsia="Times New Roman"/>
          <w:lang w:val="uk-UA" w:eastAsia="fr-FR"/>
        </w:rPr>
        <w:fldChar w:fldCharType="end"/>
      </w:r>
      <w:r w:rsidRPr="009A3F85">
        <w:rPr>
          <w:rFonts w:eastAsia="Times New Roman"/>
          <w:lang w:val="uk-UA" w:eastAsia="fr-FR"/>
        </w:rPr>
        <w:t>.  Уряд стверджував, що стаття 6 Конвенції є незастосовною до провадження щодо «скарги заявниці</w:t>
      </w:r>
      <w:r w:rsidRPr="009A3F85" w:rsidR="00597B8B">
        <w:rPr>
          <w:rFonts w:eastAsia="Times New Roman"/>
          <w:lang w:val="uk-UA" w:eastAsia="fr-FR"/>
        </w:rPr>
        <w:t xml:space="preserve"> про перегляд </w:t>
      </w:r>
      <w:r w:rsidRPr="009A3F85" w:rsidR="00597B8B">
        <w:rPr>
          <w:rFonts w:eastAsia="Times New Roman"/>
          <w:lang w:val="uk-UA" w:eastAsia="fr-FR"/>
        </w:rPr>
        <w:t>судових рішень</w:t>
      </w:r>
      <w:r w:rsidRPr="009A3F85">
        <w:rPr>
          <w:rFonts w:eastAsia="Times New Roman"/>
          <w:lang w:val="uk-UA" w:eastAsia="fr-FR"/>
        </w:rPr>
        <w:t xml:space="preserve"> у зв</w:t>
      </w:r>
      <w:r w:rsidRPr="009A3F85" w:rsidR="009A3F85">
        <w:rPr>
          <w:rFonts w:eastAsia="Times New Roman"/>
          <w:lang w:val="uk-UA" w:eastAsia="fr-FR"/>
        </w:rPr>
        <w:t>’</w:t>
      </w:r>
      <w:r w:rsidRPr="009A3F85">
        <w:rPr>
          <w:rFonts w:eastAsia="Times New Roman"/>
          <w:lang w:val="uk-UA" w:eastAsia="fr-FR"/>
        </w:rPr>
        <w:t xml:space="preserve">язку з винятковими обставинами». Він стверджував, що ухвала Верховного Суду України від 14 березня 2008 року, якою </w:t>
      </w:r>
      <w:r w:rsidRPr="009A3F85" w:rsidR="00E77674">
        <w:rPr>
          <w:rFonts w:eastAsia="Times New Roman"/>
          <w:lang w:val="uk-UA" w:eastAsia="fr-FR"/>
        </w:rPr>
        <w:t xml:space="preserve">заявниці </w:t>
      </w:r>
      <w:r w:rsidRPr="009A3F85">
        <w:rPr>
          <w:rFonts w:eastAsia="Times New Roman"/>
          <w:lang w:val="uk-UA" w:eastAsia="fr-FR"/>
        </w:rPr>
        <w:t>відмовлено у задоволенні її першої скарги, бул</w:t>
      </w:r>
      <w:r w:rsidRPr="009A3F85" w:rsidR="00A55972">
        <w:rPr>
          <w:rFonts w:eastAsia="Times New Roman"/>
          <w:lang w:val="uk-UA" w:eastAsia="fr-FR"/>
        </w:rPr>
        <w:t>а</w:t>
      </w:r>
      <w:r w:rsidRPr="009A3F85">
        <w:rPr>
          <w:rFonts w:eastAsia="Times New Roman"/>
          <w:lang w:val="uk-UA" w:eastAsia="fr-FR"/>
        </w:rPr>
        <w:t xml:space="preserve"> </w:t>
      </w:r>
      <w:r w:rsidRPr="009A3F85" w:rsidR="00211206">
        <w:rPr>
          <w:rFonts w:eastAsia="Times New Roman"/>
          <w:lang w:val="uk-UA" w:eastAsia="fr-FR"/>
        </w:rPr>
        <w:t xml:space="preserve">проміжною </w:t>
      </w:r>
      <w:r w:rsidRPr="009A3F85">
        <w:rPr>
          <w:rFonts w:eastAsia="Times New Roman"/>
          <w:lang w:val="uk-UA" w:eastAsia="fr-FR"/>
        </w:rPr>
        <w:t>і не вирішувал</w:t>
      </w:r>
      <w:r w:rsidRPr="009A3F85" w:rsidR="00A55972">
        <w:rPr>
          <w:rFonts w:eastAsia="Times New Roman"/>
          <w:lang w:val="uk-UA" w:eastAsia="fr-FR"/>
        </w:rPr>
        <w:t>а</w:t>
      </w:r>
      <w:r w:rsidRPr="009A3F85">
        <w:rPr>
          <w:rFonts w:eastAsia="Times New Roman"/>
          <w:lang w:val="uk-UA" w:eastAsia="fr-FR"/>
        </w:rPr>
        <w:t xml:space="preserve"> спір щодо її прав </w:t>
      </w:r>
      <w:r w:rsidRPr="009A3F85" w:rsidR="00E77674">
        <w:rPr>
          <w:rFonts w:eastAsia="Times New Roman"/>
          <w:lang w:val="uk-UA" w:eastAsia="fr-FR"/>
        </w:rPr>
        <w:t xml:space="preserve">та </w:t>
      </w:r>
      <w:r w:rsidRPr="009A3F85">
        <w:rPr>
          <w:rFonts w:eastAsia="Times New Roman"/>
          <w:lang w:val="uk-UA" w:eastAsia="fr-FR"/>
        </w:rPr>
        <w:t>обов</w:t>
      </w:r>
      <w:r w:rsidRPr="009A3F85" w:rsidR="009A3F85">
        <w:rPr>
          <w:rFonts w:eastAsia="Times New Roman"/>
          <w:lang w:val="uk-UA" w:eastAsia="fr-FR"/>
        </w:rPr>
        <w:t>’</w:t>
      </w:r>
      <w:r w:rsidRPr="009A3F85">
        <w:rPr>
          <w:rFonts w:eastAsia="Times New Roman"/>
          <w:lang w:val="uk-UA" w:eastAsia="fr-FR"/>
        </w:rPr>
        <w:t>язк</w:t>
      </w:r>
      <w:r w:rsidRPr="009A3F85" w:rsidR="00A55972">
        <w:rPr>
          <w:rFonts w:eastAsia="Times New Roman"/>
          <w:lang w:val="uk-UA" w:eastAsia="fr-FR"/>
        </w:rPr>
        <w:t>ів</w:t>
      </w:r>
      <w:r w:rsidRPr="009A3F85">
        <w:rPr>
          <w:rFonts w:eastAsia="Times New Roman"/>
          <w:lang w:val="uk-UA" w:eastAsia="fr-FR"/>
        </w:rPr>
        <w:t xml:space="preserve"> цивільного характеру. Саме </w:t>
      </w:r>
      <w:r w:rsidRPr="009A3F85" w:rsidR="00E77674">
        <w:rPr>
          <w:rFonts w:eastAsia="Times New Roman"/>
          <w:lang w:val="uk-UA" w:eastAsia="fr-FR"/>
        </w:rPr>
        <w:t xml:space="preserve">наступна </w:t>
      </w:r>
      <w:r w:rsidRPr="009A3F85">
        <w:rPr>
          <w:rFonts w:eastAsia="Times New Roman"/>
          <w:lang w:val="uk-UA" w:eastAsia="fr-FR"/>
        </w:rPr>
        <w:t>ухвала Верховного Суду України від 5 червня 2008 року, як</w:t>
      </w:r>
      <w:r w:rsidRPr="009A3F85" w:rsidR="00A55972">
        <w:rPr>
          <w:rFonts w:eastAsia="Times New Roman"/>
          <w:lang w:val="uk-UA" w:eastAsia="fr-FR"/>
        </w:rPr>
        <w:t>ою</w:t>
      </w:r>
      <w:r w:rsidRPr="009A3F85">
        <w:rPr>
          <w:rFonts w:eastAsia="Times New Roman"/>
          <w:lang w:val="uk-UA" w:eastAsia="fr-FR"/>
        </w:rPr>
        <w:t xml:space="preserve"> </w:t>
      </w:r>
      <w:r w:rsidRPr="009A3F85" w:rsidR="00E77674">
        <w:rPr>
          <w:rFonts w:eastAsia="Times New Roman"/>
          <w:lang w:val="uk-UA" w:eastAsia="fr-FR"/>
        </w:rPr>
        <w:t xml:space="preserve">заявниці </w:t>
      </w:r>
      <w:r w:rsidRPr="009A3F85">
        <w:rPr>
          <w:rFonts w:eastAsia="Times New Roman"/>
          <w:lang w:val="uk-UA" w:eastAsia="fr-FR"/>
        </w:rPr>
        <w:t>було відмовлено у задоволенні її другої скарги, «вирішувал</w:t>
      </w:r>
      <w:r w:rsidRPr="009A3F85" w:rsidR="00A55972">
        <w:rPr>
          <w:rFonts w:eastAsia="Times New Roman"/>
          <w:lang w:val="uk-UA" w:eastAsia="fr-FR"/>
        </w:rPr>
        <w:t>а</w:t>
      </w:r>
      <w:r w:rsidRPr="009A3F85">
        <w:rPr>
          <w:rFonts w:eastAsia="Times New Roman"/>
          <w:lang w:val="uk-UA" w:eastAsia="fr-FR"/>
        </w:rPr>
        <w:t xml:space="preserve"> сп</w:t>
      </w:r>
      <w:r w:rsidRPr="009A3F85" w:rsidR="00A55972">
        <w:rPr>
          <w:rFonts w:eastAsia="Times New Roman"/>
          <w:lang w:val="uk-UA" w:eastAsia="fr-FR"/>
        </w:rPr>
        <w:t>і</w:t>
      </w:r>
      <w:r w:rsidRPr="009A3F85">
        <w:rPr>
          <w:rFonts w:eastAsia="Times New Roman"/>
          <w:lang w:val="uk-UA" w:eastAsia="fr-FR"/>
        </w:rPr>
        <w:t>р</w:t>
      </w:r>
      <w:r w:rsidRPr="009A3F85" w:rsidR="00A55972">
        <w:rPr>
          <w:rFonts w:eastAsia="Times New Roman"/>
          <w:lang w:val="uk-UA" w:eastAsia="fr-FR"/>
        </w:rPr>
        <w:t>»</w:t>
      </w:r>
      <w:r w:rsidRPr="009A3F85">
        <w:rPr>
          <w:rFonts w:eastAsia="Times New Roman"/>
          <w:lang w:val="uk-UA" w:eastAsia="fr-FR"/>
        </w:rPr>
        <w:t xml:space="preserve"> щодо її прав та обов</w:t>
      </w:r>
      <w:r w:rsidRPr="009A3F85" w:rsidR="009A3F85">
        <w:rPr>
          <w:rFonts w:eastAsia="Times New Roman"/>
          <w:lang w:val="uk-UA" w:eastAsia="fr-FR"/>
        </w:rPr>
        <w:t>’</w:t>
      </w:r>
      <w:r w:rsidRPr="009A3F85">
        <w:rPr>
          <w:rFonts w:eastAsia="Times New Roman"/>
          <w:lang w:val="uk-UA" w:eastAsia="fr-FR"/>
        </w:rPr>
        <w:t>язк</w:t>
      </w:r>
      <w:r w:rsidRPr="009A3F85" w:rsidR="00A55972">
        <w:rPr>
          <w:rFonts w:eastAsia="Times New Roman"/>
          <w:lang w:val="uk-UA" w:eastAsia="fr-FR"/>
        </w:rPr>
        <w:t>ів</w:t>
      </w:r>
      <w:r w:rsidRPr="009A3F85">
        <w:rPr>
          <w:rFonts w:eastAsia="Times New Roman"/>
          <w:lang w:val="uk-UA" w:eastAsia="fr-FR"/>
        </w:rPr>
        <w:t xml:space="preserve"> цивільного характеру. Проте, оскільки заявниця не скаржилася </w:t>
      </w:r>
      <w:r w:rsidRPr="009A3F85" w:rsidR="00211206">
        <w:rPr>
          <w:rFonts w:eastAsia="Times New Roman"/>
          <w:lang w:val="uk-UA" w:eastAsia="fr-FR"/>
        </w:rPr>
        <w:t xml:space="preserve">на </w:t>
      </w:r>
      <w:r w:rsidRPr="009A3F85">
        <w:rPr>
          <w:rFonts w:eastAsia="Times New Roman"/>
          <w:lang w:val="uk-UA" w:eastAsia="fr-FR"/>
        </w:rPr>
        <w:t>провадженн</w:t>
      </w:r>
      <w:r w:rsidRPr="009A3F85" w:rsidR="00E77674">
        <w:rPr>
          <w:rFonts w:eastAsia="Times New Roman"/>
          <w:lang w:val="uk-UA" w:eastAsia="fr-FR"/>
        </w:rPr>
        <w:t>я у</w:t>
      </w:r>
      <w:r w:rsidRPr="009A3F85">
        <w:rPr>
          <w:rFonts w:eastAsia="Times New Roman"/>
          <w:lang w:val="uk-UA" w:eastAsia="fr-FR"/>
        </w:rPr>
        <w:t xml:space="preserve"> </w:t>
      </w:r>
      <w:r w:rsidRPr="009A3F85" w:rsidR="00E77674">
        <w:rPr>
          <w:rFonts w:eastAsia="Times New Roman"/>
          <w:lang w:val="uk-UA" w:eastAsia="fr-FR"/>
        </w:rPr>
        <w:t xml:space="preserve">червні </w:t>
      </w:r>
      <w:r w:rsidRPr="009A3F85">
        <w:rPr>
          <w:rFonts w:eastAsia="Times New Roman"/>
          <w:lang w:val="uk-UA" w:eastAsia="fr-FR"/>
        </w:rPr>
        <w:t>2008</w:t>
      </w:r>
      <w:r w:rsidRPr="009A3F85" w:rsidR="00211206">
        <w:rPr>
          <w:rFonts w:eastAsia="Times New Roman"/>
          <w:lang w:val="uk-UA" w:eastAsia="fr-FR"/>
        </w:rPr>
        <w:t> </w:t>
      </w:r>
      <w:r w:rsidRPr="009A3F85">
        <w:rPr>
          <w:rFonts w:eastAsia="Times New Roman"/>
          <w:lang w:val="uk-UA" w:eastAsia="fr-FR"/>
        </w:rPr>
        <w:t xml:space="preserve">року, стаття 6 </w:t>
      </w:r>
      <w:r w:rsidRPr="009A3F85" w:rsidR="00A55972">
        <w:rPr>
          <w:rFonts w:eastAsia="Times New Roman"/>
          <w:lang w:val="uk-UA" w:eastAsia="fr-FR"/>
        </w:rPr>
        <w:t xml:space="preserve">Конвенції </w:t>
      </w:r>
      <w:r w:rsidRPr="009A3F85">
        <w:rPr>
          <w:rFonts w:eastAsia="Times New Roman"/>
          <w:lang w:val="uk-UA" w:eastAsia="fr-FR"/>
        </w:rPr>
        <w:t xml:space="preserve">є </w:t>
      </w:r>
      <w:r w:rsidRPr="009A3F85" w:rsidR="00A55972">
        <w:rPr>
          <w:rFonts w:eastAsia="Times New Roman"/>
          <w:lang w:val="uk-UA" w:eastAsia="fr-FR"/>
        </w:rPr>
        <w:t>не</w:t>
      </w:r>
      <w:r w:rsidRPr="009A3F85">
        <w:rPr>
          <w:rFonts w:eastAsia="Times New Roman"/>
          <w:lang w:val="uk-UA" w:eastAsia="fr-FR"/>
        </w:rPr>
        <w:t>застосовною.</w:t>
      </w:r>
    </w:p>
    <w:p w:rsidRPr="009A3F85" w:rsidR="006D147C" w:rsidP="009A3F85">
      <w:pPr>
        <w:pStyle w:val="ECHRPara"/>
        <w:rPr>
          <w:rFonts w:eastAsia="Times New Roman"/>
          <w:lang w:val="uk-UA" w:eastAsia="fr-FR"/>
        </w:rPr>
      </w:pPr>
      <w:r w:rsidRPr="009A3F85">
        <w:rPr>
          <w:rFonts w:eastAsia="Times New Roman"/>
          <w:lang w:val="uk-UA" w:eastAsia="fr-FR"/>
        </w:rPr>
        <w:fldChar w:fldCharType="begin"/>
      </w:r>
      <w:r w:rsidRPr="009A3F85">
        <w:rPr>
          <w:rFonts w:eastAsia="Times New Roman"/>
          <w:lang w:val="uk-UA" w:eastAsia="fr-FR"/>
        </w:rPr>
        <w:instrText xml:space="preserve"> SEQ level0 \*arabic </w:instrText>
      </w:r>
      <w:r w:rsidRPr="009A3F85">
        <w:rPr>
          <w:rFonts w:eastAsia="Times New Roman"/>
          <w:lang w:val="uk-UA" w:eastAsia="fr-FR"/>
        </w:rPr>
        <w:fldChar w:fldCharType="separate"/>
      </w:r>
      <w:r w:rsidRPr="009A3F85" w:rsidR="009A3F85">
        <w:rPr>
          <w:rFonts w:eastAsia="Times New Roman"/>
          <w:noProof/>
          <w:lang w:val="uk-UA" w:eastAsia="fr-FR"/>
        </w:rPr>
        <w:t>41</w:t>
      </w:r>
      <w:r w:rsidRPr="009A3F85">
        <w:rPr>
          <w:rFonts w:eastAsia="Times New Roman"/>
          <w:lang w:val="uk-UA" w:eastAsia="fr-FR"/>
        </w:rPr>
        <w:fldChar w:fldCharType="end"/>
      </w:r>
      <w:r w:rsidRPr="009A3F85">
        <w:rPr>
          <w:rFonts w:eastAsia="Times New Roman"/>
          <w:lang w:val="uk-UA" w:eastAsia="fr-FR"/>
        </w:rPr>
        <w:t xml:space="preserve">.  Заявниця стверджувала, що пункт 1 статті 6 Конвенції є застосовним до провадження </w:t>
      </w:r>
      <w:r w:rsidRPr="009A3F85" w:rsidR="00A55972">
        <w:rPr>
          <w:rFonts w:eastAsia="Times New Roman"/>
          <w:lang w:val="uk-UA" w:eastAsia="fr-FR"/>
        </w:rPr>
        <w:t>за</w:t>
      </w:r>
      <w:r w:rsidRPr="009A3F85">
        <w:rPr>
          <w:rFonts w:eastAsia="Times New Roman"/>
          <w:lang w:val="uk-UA" w:eastAsia="fr-FR"/>
        </w:rPr>
        <w:t xml:space="preserve"> її скарг</w:t>
      </w:r>
      <w:r w:rsidRPr="009A3F85" w:rsidR="00A55972">
        <w:rPr>
          <w:rFonts w:eastAsia="Times New Roman"/>
          <w:lang w:val="uk-UA" w:eastAsia="fr-FR"/>
        </w:rPr>
        <w:t>ою</w:t>
      </w:r>
      <w:r w:rsidRPr="009A3F85" w:rsidR="00E77674">
        <w:rPr>
          <w:rFonts w:eastAsia="Times New Roman"/>
          <w:lang w:val="uk-UA" w:eastAsia="fr-FR"/>
        </w:rPr>
        <w:t xml:space="preserve"> про перегляд судових рішень</w:t>
      </w:r>
      <w:r w:rsidRPr="009A3F85">
        <w:rPr>
          <w:rFonts w:eastAsia="Times New Roman"/>
          <w:lang w:val="uk-UA" w:eastAsia="fr-FR"/>
        </w:rPr>
        <w:t xml:space="preserve"> у зв</w:t>
      </w:r>
      <w:r w:rsidRPr="009A3F85" w:rsidR="009A3F85">
        <w:rPr>
          <w:rFonts w:eastAsia="Times New Roman"/>
          <w:lang w:val="uk-UA" w:eastAsia="fr-FR"/>
        </w:rPr>
        <w:t>’</w:t>
      </w:r>
      <w:r w:rsidRPr="009A3F85">
        <w:rPr>
          <w:rFonts w:eastAsia="Times New Roman"/>
          <w:lang w:val="uk-UA" w:eastAsia="fr-FR"/>
        </w:rPr>
        <w:t>язку з винятковими обставинами, яке закінчилося ухвалою Верховного Суду України від 14 березня 2008 року.</w:t>
      </w:r>
    </w:p>
    <w:p w:rsidRPr="009A3F85" w:rsidR="006D147C" w:rsidP="009A3F85">
      <w:pPr>
        <w:pStyle w:val="ECHRHeading3"/>
        <w:rPr>
          <w:lang w:val="uk-UA"/>
        </w:rPr>
      </w:pPr>
      <w:r w:rsidRPr="009A3F85">
        <w:rPr>
          <w:lang w:val="uk-UA"/>
        </w:rPr>
        <w:t>2.  Оцінка Суду</w:t>
      </w:r>
    </w:p>
    <w:p w:rsidRPr="009A3F85" w:rsidR="006D147C" w:rsidP="009A3F85">
      <w:pPr>
        <w:pStyle w:val="ECHRHeading4"/>
        <w:rPr>
          <w:lang w:val="uk-UA"/>
        </w:rPr>
      </w:pPr>
      <w:r w:rsidRPr="009A3F85">
        <w:rPr>
          <w:lang w:val="uk-UA"/>
        </w:rPr>
        <w:t>(a)  Основні принципи</w:t>
      </w:r>
    </w:p>
    <w:p w:rsidRPr="009A3F85" w:rsidR="006D147C" w:rsidP="009A3F85">
      <w:pPr>
        <w:pStyle w:val="ECHRPara"/>
        <w:rPr>
          <w:lang w:val="uk-UA"/>
        </w:rPr>
      </w:pPr>
      <w:r w:rsidRPr="009A3F85">
        <w:rPr>
          <w:rFonts w:eastAsia="Times New Roman"/>
          <w:lang w:val="uk-UA"/>
        </w:rPr>
        <w:fldChar w:fldCharType="begin"/>
      </w:r>
      <w:r w:rsidRPr="009A3F85">
        <w:rPr>
          <w:rFonts w:eastAsia="Times New Roman"/>
          <w:lang w:val="uk-UA"/>
        </w:rPr>
        <w:instrText xml:space="preserve"> SEQ level0 \*arabic </w:instrText>
      </w:r>
      <w:r w:rsidRPr="009A3F85">
        <w:rPr>
          <w:rFonts w:eastAsia="Times New Roman"/>
          <w:lang w:val="uk-UA"/>
        </w:rPr>
        <w:fldChar w:fldCharType="separate"/>
      </w:r>
      <w:r w:rsidRPr="009A3F85" w:rsidR="009A3F85">
        <w:rPr>
          <w:rFonts w:eastAsia="Times New Roman"/>
          <w:noProof/>
          <w:lang w:val="uk-UA"/>
        </w:rPr>
        <w:t>42</w:t>
      </w:r>
      <w:r w:rsidRPr="009A3F85">
        <w:rPr>
          <w:rFonts w:eastAsia="Times New Roman"/>
          <w:lang w:val="uk-UA"/>
        </w:rPr>
        <w:fldChar w:fldCharType="end"/>
      </w:r>
      <w:r w:rsidRPr="009A3F85" w:rsidR="00A55972">
        <w:rPr>
          <w:rFonts w:eastAsia="Times New Roman"/>
          <w:lang w:val="uk-UA"/>
        </w:rPr>
        <w:t xml:space="preserve">.  Суд повторює, що </w:t>
      </w:r>
      <w:r w:rsidRPr="009A3F85">
        <w:rPr>
          <w:rFonts w:eastAsia="Times New Roman"/>
          <w:lang w:val="uk-UA"/>
        </w:rPr>
        <w:t>для того, щоб «цивільний» аспект пункту 1 статті 6 Конвенції</w:t>
      </w:r>
      <w:r w:rsidRPr="009A3F85" w:rsidR="00E77674">
        <w:rPr>
          <w:rFonts w:eastAsia="Times New Roman"/>
          <w:lang w:val="uk-UA"/>
        </w:rPr>
        <w:t xml:space="preserve"> був застосовним</w:t>
      </w:r>
      <w:r w:rsidRPr="009A3F85">
        <w:rPr>
          <w:rFonts w:eastAsia="Times New Roman"/>
          <w:lang w:val="uk-UA"/>
        </w:rPr>
        <w:t>, має існувати спір (французькою «</w:t>
      </w:r>
      <w:r w:rsidRPr="009A3F85">
        <w:rPr>
          <w:rFonts w:eastAsia="Times New Roman"/>
          <w:i/>
          <w:lang w:val="uk-UA"/>
        </w:rPr>
        <w:t>contestation</w:t>
      </w:r>
      <w:r w:rsidRPr="009A3F85">
        <w:rPr>
          <w:rFonts w:eastAsia="Times New Roman"/>
          <w:lang w:val="uk-UA"/>
        </w:rPr>
        <w:t xml:space="preserve">») щодо «права», яке можна </w:t>
      </w:r>
      <w:r w:rsidRPr="009A3F85" w:rsidR="00E77674">
        <w:rPr>
          <w:rFonts w:eastAsia="Times New Roman"/>
          <w:lang w:val="uk-UA"/>
        </w:rPr>
        <w:t xml:space="preserve">небезпідставно </w:t>
      </w:r>
      <w:r w:rsidRPr="009A3F85">
        <w:rPr>
          <w:rFonts w:eastAsia="Times New Roman"/>
          <w:lang w:val="uk-UA"/>
        </w:rPr>
        <w:t>назвати</w:t>
      </w:r>
      <w:r w:rsidRPr="009A3F85" w:rsidR="00E77674">
        <w:rPr>
          <w:rFonts w:eastAsia="Times New Roman"/>
          <w:lang w:val="uk-UA"/>
        </w:rPr>
        <w:t xml:space="preserve"> таким, що</w:t>
      </w:r>
      <w:r w:rsidRPr="009A3F85">
        <w:rPr>
          <w:rFonts w:eastAsia="Times New Roman"/>
          <w:lang w:val="uk-UA"/>
        </w:rPr>
        <w:t xml:space="preserve"> </w:t>
      </w:r>
      <w:r w:rsidRPr="009A3F85" w:rsidR="00E77674">
        <w:rPr>
          <w:rFonts w:eastAsia="Times New Roman"/>
          <w:lang w:val="uk-UA"/>
        </w:rPr>
        <w:t xml:space="preserve">визнане </w:t>
      </w:r>
      <w:r w:rsidRPr="009A3F85">
        <w:rPr>
          <w:rFonts w:eastAsia="Times New Roman"/>
          <w:lang w:val="uk-UA"/>
        </w:rPr>
        <w:t>національним законодавством</w:t>
      </w:r>
      <w:r w:rsidRPr="009A3F85" w:rsidR="00E77674">
        <w:rPr>
          <w:rFonts w:eastAsia="Times New Roman"/>
          <w:lang w:val="uk-UA"/>
        </w:rPr>
        <w:t>,</w:t>
      </w:r>
      <w:r w:rsidRPr="009A3F85">
        <w:rPr>
          <w:rFonts w:eastAsia="Times New Roman"/>
          <w:lang w:val="uk-UA"/>
        </w:rPr>
        <w:t xml:space="preserve"> незалежно від того, чи </w:t>
      </w:r>
      <w:r w:rsidRPr="009A3F85" w:rsidR="00E77674">
        <w:rPr>
          <w:rFonts w:eastAsia="Times New Roman"/>
          <w:lang w:val="uk-UA"/>
        </w:rPr>
        <w:t xml:space="preserve">захищене </w:t>
      </w:r>
      <w:r w:rsidRPr="009A3F85">
        <w:rPr>
          <w:rFonts w:eastAsia="Times New Roman"/>
          <w:lang w:val="uk-UA"/>
        </w:rPr>
        <w:t xml:space="preserve">це право Конвенцією. Спір має бути </w:t>
      </w:r>
      <w:r w:rsidRPr="009A3F85" w:rsidR="00E77674">
        <w:rPr>
          <w:rFonts w:eastAsia="Times New Roman"/>
          <w:lang w:val="uk-UA"/>
        </w:rPr>
        <w:t xml:space="preserve">дійсним </w:t>
      </w:r>
      <w:r w:rsidRPr="009A3F85">
        <w:rPr>
          <w:rFonts w:eastAsia="Times New Roman"/>
          <w:lang w:val="uk-UA"/>
        </w:rPr>
        <w:t xml:space="preserve">та серйозним; він може стосуватися не лише фактичної наявності права, але й меж і способу його </w:t>
      </w:r>
      <w:r w:rsidRPr="009A3F85" w:rsidR="00D96DC3">
        <w:rPr>
          <w:rFonts w:eastAsia="Times New Roman"/>
          <w:lang w:val="uk-UA"/>
        </w:rPr>
        <w:t>здійснення</w:t>
      </w:r>
      <w:r w:rsidRPr="009A3F85">
        <w:rPr>
          <w:rFonts w:eastAsia="Times New Roman"/>
          <w:lang w:val="uk-UA"/>
        </w:rPr>
        <w:t>;</w:t>
      </w:r>
      <w:r w:rsidRPr="009A3F85" w:rsidR="00E77674">
        <w:rPr>
          <w:rFonts w:eastAsia="Times New Roman"/>
          <w:lang w:val="uk-UA"/>
        </w:rPr>
        <w:t xml:space="preserve"> </w:t>
      </w:r>
      <w:r w:rsidRPr="009A3F85">
        <w:rPr>
          <w:rFonts w:eastAsia="Times New Roman"/>
          <w:lang w:val="uk-UA"/>
        </w:rPr>
        <w:t xml:space="preserve">і, насамкінець, результат провадження </w:t>
      </w:r>
      <w:r w:rsidRPr="009A3F85" w:rsidR="00E77674">
        <w:rPr>
          <w:rFonts w:eastAsia="Times New Roman"/>
          <w:lang w:val="uk-UA"/>
        </w:rPr>
        <w:t xml:space="preserve">має </w:t>
      </w:r>
      <w:r w:rsidRPr="009A3F85">
        <w:rPr>
          <w:rFonts w:eastAsia="Times New Roman"/>
          <w:lang w:val="uk-UA"/>
        </w:rPr>
        <w:t xml:space="preserve">бути безпосередньо вирішальними для зазначеного права, при цьому самих лише </w:t>
      </w:r>
      <w:r w:rsidRPr="009A3F85" w:rsidR="00E77674">
        <w:rPr>
          <w:rFonts w:eastAsia="Times New Roman"/>
          <w:lang w:val="uk-UA"/>
        </w:rPr>
        <w:t xml:space="preserve">опосередкованих </w:t>
      </w:r>
      <w:r w:rsidRPr="009A3F85">
        <w:rPr>
          <w:rFonts w:eastAsia="Times New Roman"/>
          <w:lang w:val="uk-UA"/>
        </w:rPr>
        <w:t>зв</w:t>
      </w:r>
      <w:r w:rsidRPr="009A3F85" w:rsidR="009A3F85">
        <w:rPr>
          <w:rFonts w:eastAsia="Times New Roman"/>
          <w:lang w:val="uk-UA"/>
        </w:rPr>
        <w:t>’</w:t>
      </w:r>
      <w:r w:rsidRPr="009A3F85">
        <w:rPr>
          <w:rFonts w:eastAsia="Times New Roman"/>
          <w:lang w:val="uk-UA"/>
        </w:rPr>
        <w:t>язків або непрямих наслідків не достатньо для застосування пункту 1 статті 6 Конвенції (див. серед багатьох інших джерел рішення у справах «Мікаллеф проти Мальти» (</w:t>
      </w:r>
      <w:r w:rsidRPr="009A3F85">
        <w:rPr>
          <w:rFonts w:eastAsia="Times New Roman"/>
          <w:i/>
          <w:lang w:val="uk-UA" w:eastAsia="fr-FR"/>
        </w:rPr>
        <w:t>Micallef v. Malta</w:t>
      </w:r>
      <w:r w:rsidRPr="009A3F85">
        <w:rPr>
          <w:rFonts w:eastAsia="Times New Roman"/>
          <w:lang w:val="uk-UA" w:eastAsia="fr-FR"/>
        </w:rPr>
        <w:t>) [ВП], заява №</w:t>
      </w:r>
      <w:r w:rsidRPr="009A3F85">
        <w:rPr>
          <w:lang w:val="uk-UA"/>
        </w:rPr>
        <w:t> </w:t>
      </w:r>
      <w:r w:rsidRPr="009A3F85">
        <w:rPr>
          <w:rFonts w:eastAsia="Times New Roman"/>
          <w:lang w:val="uk-UA" w:eastAsia="fr-FR"/>
        </w:rPr>
        <w:t>17056/06, п. 74, ECHR 2009</w:t>
      </w:r>
      <w:r w:rsidRPr="009A3F85">
        <w:rPr>
          <w:snapToGrid w:val="0"/>
          <w:lang w:val="uk-UA"/>
        </w:rPr>
        <w:t>; та «Бул</w:t>
      </w:r>
      <w:r w:rsidRPr="009A3F85" w:rsidR="00D96DC3">
        <w:rPr>
          <w:snapToGrid w:val="0"/>
          <w:lang w:val="uk-UA"/>
        </w:rPr>
        <w:t>у</w:t>
      </w:r>
      <w:r w:rsidRPr="009A3F85">
        <w:rPr>
          <w:snapToGrid w:val="0"/>
          <w:lang w:val="uk-UA"/>
        </w:rPr>
        <w:t>а проти Люксембурга» (</w:t>
      </w:r>
      <w:r w:rsidRPr="009A3F85">
        <w:rPr>
          <w:i/>
          <w:lang w:val="uk-UA"/>
        </w:rPr>
        <w:t>Boulois v. Luxembourg</w:t>
      </w:r>
      <w:r w:rsidRPr="009A3F85">
        <w:rPr>
          <w:lang w:val="uk-UA"/>
        </w:rPr>
        <w:t>) [ВП], заява № 37575/04</w:t>
      </w:r>
      <w:r w:rsidRPr="009A3F85">
        <w:rPr>
          <w:snapToGrid w:val="0"/>
          <w:szCs w:val="24"/>
          <w:lang w:val="uk-UA"/>
        </w:rPr>
        <w:t xml:space="preserve">, п. 90, </w:t>
      </w:r>
      <w:r w:rsidRPr="009A3F85">
        <w:rPr>
          <w:snapToGrid w:val="0"/>
          <w:lang w:val="uk-UA"/>
        </w:rPr>
        <w:t>ECHR 2012</w:t>
      </w:r>
      <w:r w:rsidRPr="009A3F85">
        <w:rPr>
          <w:rFonts w:eastAsia="Times New Roman"/>
          <w:lang w:val="uk-UA"/>
        </w:rPr>
        <w:t>).</w:t>
      </w:r>
    </w:p>
    <w:p w:rsidRPr="009A3F85" w:rsidR="006D147C" w:rsidP="009A3F85">
      <w:pPr>
        <w:pStyle w:val="ECHRPara"/>
        <w:rPr>
          <w:rFonts w:eastAsia="Times New Roman"/>
          <w:lang w:val="uk-UA"/>
        </w:rPr>
      </w:pPr>
      <w:r w:rsidRPr="009A3F85">
        <w:rPr>
          <w:lang w:val="uk-UA"/>
        </w:rPr>
        <w:fldChar w:fldCharType="begin"/>
      </w:r>
      <w:r w:rsidRPr="009A3F85">
        <w:rPr>
          <w:lang w:val="uk-UA"/>
        </w:rPr>
        <w:instrText xml:space="preserve"> SEQ level0 \*arabic </w:instrText>
      </w:r>
      <w:r w:rsidRPr="009A3F85">
        <w:rPr>
          <w:lang w:val="uk-UA"/>
        </w:rPr>
        <w:fldChar w:fldCharType="separate"/>
      </w:r>
      <w:r w:rsidRPr="009A3F85" w:rsidR="009A3F85">
        <w:rPr>
          <w:noProof/>
          <w:lang w:val="uk-UA"/>
        </w:rPr>
        <w:t>43</w:t>
      </w:r>
      <w:r w:rsidRPr="009A3F85">
        <w:rPr>
          <w:lang w:val="uk-UA"/>
        </w:rPr>
        <w:fldChar w:fldCharType="end"/>
      </w:r>
      <w:r w:rsidRPr="009A3F85">
        <w:rPr>
          <w:lang w:val="uk-UA"/>
        </w:rPr>
        <w:t>.  У зв</w:t>
      </w:r>
      <w:r w:rsidRPr="009A3F85" w:rsidR="009A3F85">
        <w:rPr>
          <w:lang w:val="uk-UA"/>
        </w:rPr>
        <w:t>’</w:t>
      </w:r>
      <w:r w:rsidRPr="009A3F85">
        <w:rPr>
          <w:lang w:val="uk-UA"/>
        </w:rPr>
        <w:t xml:space="preserve">язку з цим характер законодавства, </w:t>
      </w:r>
      <w:r w:rsidRPr="009A3F85" w:rsidR="00E77674">
        <w:rPr>
          <w:rFonts w:eastAsia="Times New Roman"/>
          <w:lang w:val="uk-UA"/>
        </w:rPr>
        <w:t xml:space="preserve">яке </w:t>
      </w:r>
      <w:r w:rsidRPr="009A3F85">
        <w:rPr>
          <w:rFonts w:eastAsia="Times New Roman"/>
          <w:lang w:val="uk-UA"/>
        </w:rPr>
        <w:t xml:space="preserve">регулює </w:t>
      </w:r>
      <w:r w:rsidRPr="009A3F85" w:rsidR="00533B1E">
        <w:rPr>
          <w:rFonts w:eastAsia="Times New Roman"/>
          <w:lang w:val="uk-UA"/>
        </w:rPr>
        <w:t xml:space="preserve">визначення </w:t>
      </w:r>
      <w:r w:rsidRPr="009A3F85" w:rsidR="00E77674">
        <w:rPr>
          <w:rFonts w:eastAsia="Times New Roman"/>
          <w:lang w:val="uk-UA"/>
        </w:rPr>
        <w:t>поряд</w:t>
      </w:r>
      <w:r w:rsidRPr="009A3F85" w:rsidR="00294566">
        <w:rPr>
          <w:rFonts w:eastAsia="Times New Roman"/>
          <w:lang w:val="uk-UA"/>
        </w:rPr>
        <w:t>ку</w:t>
      </w:r>
      <w:r w:rsidRPr="009A3F85" w:rsidR="00E77674">
        <w:rPr>
          <w:rFonts w:eastAsia="Times New Roman"/>
          <w:lang w:val="uk-UA"/>
        </w:rPr>
        <w:t xml:space="preserve"> вирішення зазначеного </w:t>
      </w:r>
      <w:r w:rsidRPr="009A3F85">
        <w:rPr>
          <w:rFonts w:eastAsia="Times New Roman"/>
          <w:lang w:val="uk-UA"/>
        </w:rPr>
        <w:t xml:space="preserve">питання (цивільне, господарське, адміністративне право та ін.) та характер органу влади, </w:t>
      </w:r>
      <w:r w:rsidRPr="009A3F85" w:rsidR="00E77674">
        <w:rPr>
          <w:rFonts w:eastAsia="Times New Roman"/>
          <w:lang w:val="uk-UA"/>
        </w:rPr>
        <w:t>до повноважень якого належить розгляд цього питання</w:t>
      </w:r>
      <w:r w:rsidRPr="009A3F85">
        <w:rPr>
          <w:rFonts w:eastAsia="Times New Roman"/>
          <w:lang w:val="uk-UA"/>
        </w:rPr>
        <w:t xml:space="preserve"> (суд загальної юрисдикції, адміністративний орган тощо) не має вирішальн</w:t>
      </w:r>
      <w:r w:rsidRPr="009A3F85" w:rsidR="00533B1E">
        <w:rPr>
          <w:rFonts w:eastAsia="Times New Roman"/>
          <w:lang w:val="uk-UA"/>
        </w:rPr>
        <w:t>ого значення</w:t>
      </w:r>
      <w:r w:rsidRPr="009A3F85">
        <w:rPr>
          <w:rFonts w:eastAsia="Times New Roman"/>
          <w:lang w:val="uk-UA"/>
        </w:rPr>
        <w:t xml:space="preserve"> (див. вищенаведене рішення у справі «Мікаллеф проти Мальти» (</w:t>
      </w:r>
      <w:r w:rsidRPr="009A3F85">
        <w:rPr>
          <w:rFonts w:eastAsia="Times New Roman"/>
          <w:i/>
          <w:lang w:val="uk-UA" w:eastAsia="fr-FR"/>
        </w:rPr>
        <w:t>Micallef v. Malta</w:t>
      </w:r>
      <w:r w:rsidRPr="009A3F85">
        <w:rPr>
          <w:rFonts w:eastAsia="Times New Roman"/>
          <w:lang w:val="uk-UA" w:eastAsia="fr-FR"/>
        </w:rPr>
        <w:t>), п. 74</w:t>
      </w:r>
      <w:r w:rsidRPr="009A3F85">
        <w:rPr>
          <w:rFonts w:eastAsia="Times New Roman"/>
          <w:lang w:val="uk-UA"/>
        </w:rPr>
        <w:t>).</w:t>
      </w:r>
    </w:p>
    <w:p w:rsidRPr="009A3F85" w:rsidR="006D147C" w:rsidP="009A3F85">
      <w:pPr>
        <w:pStyle w:val="ECHRHeading4"/>
        <w:rPr>
          <w:lang w:val="uk-UA"/>
        </w:rPr>
      </w:pPr>
      <w:r w:rsidRPr="009A3F85">
        <w:rPr>
          <w:lang w:val="uk-UA"/>
        </w:rPr>
        <w:t>(b)  </w:t>
      </w:r>
      <w:r w:rsidRPr="009A3F85" w:rsidR="00D96DC3">
        <w:rPr>
          <w:lang w:val="uk-UA"/>
        </w:rPr>
        <w:t>Судова п</w:t>
      </w:r>
      <w:r w:rsidRPr="009A3F85">
        <w:rPr>
          <w:lang w:val="uk-UA"/>
        </w:rPr>
        <w:t xml:space="preserve">рактика щодо застосовності статті 6 </w:t>
      </w:r>
      <w:r w:rsidRPr="009A3F85" w:rsidR="00D96DC3">
        <w:rPr>
          <w:lang w:val="uk-UA"/>
        </w:rPr>
        <w:t xml:space="preserve">Конвенції </w:t>
      </w:r>
      <w:r w:rsidRPr="009A3F85">
        <w:rPr>
          <w:lang w:val="uk-UA"/>
        </w:rPr>
        <w:t>до провадження з</w:t>
      </w:r>
      <w:r w:rsidRPr="009A3F85" w:rsidR="008B3A03">
        <w:rPr>
          <w:lang w:val="uk-UA"/>
        </w:rPr>
        <w:t>а</w:t>
      </w:r>
      <w:r w:rsidRPr="009A3F85" w:rsidR="004D46A9">
        <w:rPr>
          <w:lang w:val="uk-UA"/>
        </w:rPr>
        <w:t xml:space="preserve"> </w:t>
      </w:r>
      <w:r w:rsidRPr="009A3F85" w:rsidR="008B3A03">
        <w:rPr>
          <w:lang w:val="uk-UA"/>
        </w:rPr>
        <w:t xml:space="preserve">скаргами у </w:t>
      </w:r>
      <w:r w:rsidRPr="009A3F85" w:rsidR="004D46A9">
        <w:rPr>
          <w:lang w:val="uk-UA"/>
        </w:rPr>
        <w:t>екстраординарно</w:t>
      </w:r>
      <w:r w:rsidRPr="009A3F85" w:rsidR="008B3A03">
        <w:rPr>
          <w:lang w:val="uk-UA"/>
        </w:rPr>
        <w:t>му</w:t>
      </w:r>
      <w:r w:rsidRPr="009A3F85" w:rsidR="004D46A9">
        <w:rPr>
          <w:lang w:val="uk-UA"/>
        </w:rPr>
        <w:t xml:space="preserve"> </w:t>
      </w:r>
      <w:r w:rsidRPr="009A3F85" w:rsidR="008B3A03">
        <w:rPr>
          <w:lang w:val="uk-UA"/>
        </w:rPr>
        <w:t>порядку</w:t>
      </w:r>
    </w:p>
    <w:p w:rsidRPr="009A3F85" w:rsidR="006D147C" w:rsidP="009A3F85">
      <w:pPr>
        <w:pStyle w:val="ECHRPara"/>
        <w:rPr>
          <w:lang w:val="uk-UA"/>
        </w:rPr>
      </w:pPr>
      <w:r w:rsidRPr="009A3F85">
        <w:rPr>
          <w:lang w:val="uk-UA"/>
        </w:rPr>
        <w:fldChar w:fldCharType="begin"/>
      </w:r>
      <w:r w:rsidRPr="009A3F85">
        <w:rPr>
          <w:lang w:val="uk-UA"/>
        </w:rPr>
        <w:instrText xml:space="preserve"> SEQ level0 \*arabic </w:instrText>
      </w:r>
      <w:r w:rsidRPr="009A3F85">
        <w:rPr>
          <w:lang w:val="uk-UA"/>
        </w:rPr>
        <w:fldChar w:fldCharType="separate"/>
      </w:r>
      <w:r w:rsidRPr="009A3F85" w:rsidR="009A3F85">
        <w:rPr>
          <w:noProof/>
          <w:lang w:val="uk-UA"/>
        </w:rPr>
        <w:t>44</w:t>
      </w:r>
      <w:r w:rsidRPr="009A3F85">
        <w:rPr>
          <w:lang w:val="uk-UA"/>
        </w:rPr>
        <w:fldChar w:fldCharType="end"/>
      </w:r>
      <w:r w:rsidRPr="009A3F85">
        <w:rPr>
          <w:lang w:val="uk-UA"/>
        </w:rPr>
        <w:t>.  </w:t>
      </w:r>
      <w:r w:rsidRPr="009A3F85" w:rsidR="00533B1E">
        <w:rPr>
          <w:lang w:val="uk-UA"/>
        </w:rPr>
        <w:t>Відповідно до</w:t>
      </w:r>
      <w:r w:rsidRPr="009A3F85">
        <w:rPr>
          <w:lang w:val="uk-UA"/>
        </w:rPr>
        <w:t xml:space="preserve"> </w:t>
      </w:r>
      <w:r w:rsidRPr="009A3F85" w:rsidR="00533B1E">
        <w:rPr>
          <w:lang w:val="uk-UA"/>
        </w:rPr>
        <w:t xml:space="preserve">зазначених принципів і </w:t>
      </w:r>
      <w:r w:rsidRPr="009A3F85">
        <w:rPr>
          <w:rFonts w:eastAsia="Times New Roman"/>
          <w:lang w:val="uk-UA"/>
        </w:rPr>
        <w:t>тривало</w:t>
      </w:r>
      <w:r w:rsidRPr="009A3F85" w:rsidR="00533B1E">
        <w:rPr>
          <w:rFonts w:eastAsia="Times New Roman"/>
          <w:lang w:val="uk-UA"/>
        </w:rPr>
        <w:t>ї</w:t>
      </w:r>
      <w:r w:rsidRPr="009A3F85">
        <w:rPr>
          <w:rFonts w:eastAsia="Times New Roman"/>
          <w:lang w:val="uk-UA"/>
        </w:rPr>
        <w:t xml:space="preserve"> </w:t>
      </w:r>
      <w:r w:rsidRPr="009A3F85" w:rsidR="00533B1E">
        <w:rPr>
          <w:rFonts w:eastAsia="Times New Roman"/>
          <w:lang w:val="uk-UA"/>
        </w:rPr>
        <w:t xml:space="preserve">та </w:t>
      </w:r>
      <w:r w:rsidRPr="009A3F85">
        <w:rPr>
          <w:rFonts w:eastAsia="Times New Roman"/>
          <w:lang w:val="uk-UA"/>
        </w:rPr>
        <w:t>усталено</w:t>
      </w:r>
      <w:r w:rsidRPr="009A3F85" w:rsidR="00533B1E">
        <w:rPr>
          <w:rFonts w:eastAsia="Times New Roman"/>
          <w:lang w:val="uk-UA"/>
        </w:rPr>
        <w:t>ї</w:t>
      </w:r>
      <w:r w:rsidRPr="009A3F85">
        <w:rPr>
          <w:rFonts w:eastAsia="Times New Roman"/>
          <w:lang w:val="uk-UA"/>
        </w:rPr>
        <w:t xml:space="preserve"> </w:t>
      </w:r>
      <w:r w:rsidRPr="009A3F85" w:rsidR="00533B1E">
        <w:rPr>
          <w:rFonts w:eastAsia="Times New Roman"/>
          <w:lang w:val="uk-UA"/>
        </w:rPr>
        <w:t>практики Суду</w:t>
      </w:r>
      <w:r w:rsidRPr="009A3F85" w:rsidR="00533B1E">
        <w:rPr>
          <w:lang w:val="uk-UA"/>
        </w:rPr>
        <w:t xml:space="preserve"> </w:t>
      </w:r>
      <w:r w:rsidRPr="009A3F85">
        <w:rPr>
          <w:lang w:val="uk-UA"/>
        </w:rPr>
        <w:t>Конвенція не</w:t>
      </w:r>
      <w:r w:rsidRPr="009A3F85" w:rsidR="00D96DC3">
        <w:rPr>
          <w:lang w:val="uk-UA"/>
        </w:rPr>
        <w:t xml:space="preserve"> </w:t>
      </w:r>
      <w:r w:rsidRPr="009A3F85">
        <w:rPr>
          <w:lang w:val="uk-UA"/>
        </w:rPr>
        <w:t>гарантує права на</w:t>
      </w:r>
      <w:r w:rsidRPr="009A3F85" w:rsidR="00D96DC3">
        <w:rPr>
          <w:lang w:val="uk-UA"/>
        </w:rPr>
        <w:t xml:space="preserve"> </w:t>
      </w:r>
      <w:r w:rsidRPr="009A3F85">
        <w:rPr>
          <w:lang w:val="uk-UA"/>
        </w:rPr>
        <w:t xml:space="preserve">повторний розгляд </w:t>
      </w:r>
      <w:r w:rsidRPr="009A3F85" w:rsidR="00533B1E">
        <w:rPr>
          <w:lang w:val="uk-UA"/>
        </w:rPr>
        <w:t xml:space="preserve">завершеної </w:t>
      </w:r>
      <w:r w:rsidRPr="009A3F85">
        <w:rPr>
          <w:lang w:val="uk-UA"/>
        </w:rPr>
        <w:t>справи</w:t>
      </w:r>
      <w:r w:rsidRPr="009A3F85">
        <w:rPr>
          <w:rFonts w:eastAsia="Times New Roman"/>
          <w:lang w:val="uk-UA"/>
        </w:rPr>
        <w:t xml:space="preserve">. </w:t>
      </w:r>
      <w:r w:rsidRPr="009A3F85">
        <w:rPr>
          <w:lang w:val="uk-UA"/>
        </w:rPr>
        <w:t>Скарги у зв</w:t>
      </w:r>
      <w:r w:rsidRPr="009A3F85" w:rsidR="009A3F85">
        <w:rPr>
          <w:lang w:val="uk-UA"/>
        </w:rPr>
        <w:t>’</w:t>
      </w:r>
      <w:r w:rsidRPr="009A3F85">
        <w:rPr>
          <w:lang w:val="uk-UA"/>
        </w:rPr>
        <w:t xml:space="preserve">язку з винятковими обставинами, за якими вимагається відновлення </w:t>
      </w:r>
      <w:r w:rsidRPr="009A3F85" w:rsidR="00E77674">
        <w:rPr>
          <w:lang w:val="uk-UA"/>
        </w:rPr>
        <w:t xml:space="preserve">закритого </w:t>
      </w:r>
      <w:r w:rsidRPr="009A3F85">
        <w:rPr>
          <w:lang w:val="uk-UA"/>
        </w:rPr>
        <w:t>провадження, як правило, не включають в себе вирішення спору щодо «прав та обов</w:t>
      </w:r>
      <w:r w:rsidRPr="009A3F85" w:rsidR="009A3F85">
        <w:rPr>
          <w:lang w:val="uk-UA"/>
        </w:rPr>
        <w:t>’</w:t>
      </w:r>
      <w:r w:rsidRPr="009A3F85">
        <w:rPr>
          <w:lang w:val="uk-UA"/>
        </w:rPr>
        <w:t>язків цивільного характеру» або «будь-якого кримінального обвинувачення», а отже стаття 6 Конвенції вважається незастосовною до них (див. серед багатьох інших джерел ухвал</w:t>
      </w:r>
      <w:r w:rsidRPr="009A3F85" w:rsidR="00022DEE">
        <w:rPr>
          <w:lang w:val="uk-UA"/>
        </w:rPr>
        <w:t>и</w:t>
      </w:r>
      <w:r w:rsidRPr="009A3F85">
        <w:rPr>
          <w:lang w:val="uk-UA"/>
        </w:rPr>
        <w:t xml:space="preserve"> </w:t>
      </w:r>
      <w:r w:rsidRPr="009A3F85" w:rsidR="00022DEE">
        <w:rPr>
          <w:lang w:val="uk-UA"/>
        </w:rPr>
        <w:t xml:space="preserve">Комісії </w:t>
      </w:r>
      <w:r w:rsidRPr="009A3F85">
        <w:rPr>
          <w:lang w:val="uk-UA"/>
        </w:rPr>
        <w:t>у справ</w:t>
      </w:r>
      <w:r w:rsidRPr="009A3F85" w:rsidR="00022DEE">
        <w:rPr>
          <w:lang w:val="uk-UA"/>
        </w:rPr>
        <w:t>ах</w:t>
      </w:r>
      <w:r w:rsidRPr="009A3F85">
        <w:rPr>
          <w:lang w:val="uk-UA"/>
        </w:rPr>
        <w:t xml:space="preserve"> «Х. проти Австрії» (</w:t>
      </w:r>
      <w:r w:rsidRPr="009A3F85">
        <w:rPr>
          <w:i/>
          <w:lang w:val="uk-UA"/>
        </w:rPr>
        <w:t>X. v. Austria</w:t>
      </w:r>
      <w:r w:rsidRPr="009A3F85">
        <w:rPr>
          <w:lang w:val="uk-UA"/>
        </w:rPr>
        <w:t xml:space="preserve">), заява № 7761/77, </w:t>
      </w:r>
      <w:r w:rsidRPr="009A3F85" w:rsidR="00022DEE">
        <w:rPr>
          <w:lang w:val="uk-UA"/>
        </w:rPr>
        <w:t>від 8 травня 1978 року</w:t>
      </w:r>
      <w:r w:rsidRPr="009A3F85">
        <w:rPr>
          <w:lang w:val="uk-UA"/>
        </w:rPr>
        <w:t>, D.R. 14, с. 171; «Сюрмон та Де Мюреши проти Бельгії» (</w:t>
      </w:r>
      <w:r w:rsidRPr="009A3F85">
        <w:rPr>
          <w:i/>
          <w:lang w:val="uk-UA"/>
        </w:rPr>
        <w:t>Surmont and De Meurechy v. Belgium</w:t>
      </w:r>
      <w:r w:rsidRPr="009A3F85">
        <w:rPr>
          <w:lang w:val="uk-UA"/>
        </w:rPr>
        <w:t xml:space="preserve">), заяви № 13601/88 та № 13602/88, від 6 липня 1989 року, D.R. 62, с. 284; </w:t>
      </w:r>
      <w:r w:rsidRPr="009A3F85" w:rsidR="00022DEE">
        <w:rPr>
          <w:lang w:val="uk-UA"/>
        </w:rPr>
        <w:t xml:space="preserve">ухвали щодо прийнятності у справах </w:t>
      </w:r>
      <w:r w:rsidRPr="009A3F85">
        <w:rPr>
          <w:lang w:val="uk-UA"/>
        </w:rPr>
        <w:t xml:space="preserve">«Ж.Ф. проти Франції» </w:t>
      </w:r>
      <w:r w:rsidRPr="009A3F85" w:rsidR="00E77674">
        <w:rPr>
          <w:lang w:val="uk-UA"/>
        </w:rPr>
        <w:t>(</w:t>
      </w:r>
      <w:r w:rsidRPr="009A3F85">
        <w:rPr>
          <w:i/>
          <w:lang w:val="uk-UA"/>
        </w:rPr>
        <w:t>J.F. v. France</w:t>
      </w:r>
      <w:r w:rsidRPr="009A3F85" w:rsidR="00022DEE">
        <w:rPr>
          <w:lang w:val="uk-UA"/>
        </w:rPr>
        <w:t xml:space="preserve">), заява </w:t>
      </w:r>
      <w:r w:rsidRPr="009A3F85">
        <w:rPr>
          <w:lang w:val="uk-UA"/>
        </w:rPr>
        <w:t>№</w:t>
      </w:r>
      <w:r w:rsidRPr="009A3F85" w:rsidR="00022DEE">
        <w:rPr>
          <w:lang w:val="uk-UA"/>
        </w:rPr>
        <w:t xml:space="preserve"> </w:t>
      </w:r>
      <w:r w:rsidRPr="009A3F85">
        <w:rPr>
          <w:lang w:val="uk-UA"/>
        </w:rPr>
        <w:t>39616/98,</w:t>
      </w:r>
      <w:r w:rsidRPr="009A3F85" w:rsidR="00E77674">
        <w:rPr>
          <w:lang w:val="uk-UA"/>
        </w:rPr>
        <w:t xml:space="preserve"> </w:t>
      </w:r>
      <w:r w:rsidRPr="009A3F85">
        <w:rPr>
          <w:lang w:val="uk-UA"/>
        </w:rPr>
        <w:t>від 20 квітня 1999 року; «Завадський проти Польщі» (</w:t>
      </w:r>
      <w:r w:rsidRPr="009A3F85">
        <w:rPr>
          <w:i/>
          <w:lang w:val="uk-UA"/>
        </w:rPr>
        <w:t>Zawadzki v. Poland</w:t>
      </w:r>
      <w:r w:rsidRPr="009A3F85">
        <w:rPr>
          <w:lang w:val="uk-UA"/>
        </w:rPr>
        <w:t>) заява № 34158/96, від 6 липня 1999 року; «Зоннляйтнер проти Австрії» (</w:t>
      </w:r>
      <w:r w:rsidRPr="009A3F85">
        <w:rPr>
          <w:i/>
          <w:lang w:val="uk-UA"/>
        </w:rPr>
        <w:t>Sonnleitner v. Austria</w:t>
      </w:r>
      <w:r w:rsidRPr="009A3F85">
        <w:rPr>
          <w:lang w:val="uk-UA"/>
        </w:rPr>
        <w:t>) заява №. 34813/97, від 6 січня 2000 року; рішення у справі «Саблон проти Бельгії» (</w:t>
      </w:r>
      <w:r w:rsidRPr="009A3F85">
        <w:rPr>
          <w:i/>
          <w:lang w:val="uk-UA"/>
        </w:rPr>
        <w:t>Sablon v. Belgium</w:t>
      </w:r>
      <w:r w:rsidRPr="009A3F85">
        <w:rPr>
          <w:lang w:val="uk-UA"/>
        </w:rPr>
        <w:t xml:space="preserve">), заява № 36445/97, п. 86, від 10 квітня 2001 року; ухвалу щодо прийнятності </w:t>
      </w:r>
      <w:r w:rsidRPr="009A3F85" w:rsidR="00E77674">
        <w:rPr>
          <w:lang w:val="uk-UA"/>
        </w:rPr>
        <w:t xml:space="preserve">у справі </w:t>
      </w:r>
      <w:r w:rsidRPr="009A3F85">
        <w:rPr>
          <w:lang w:val="uk-UA"/>
        </w:rPr>
        <w:t>«Валентин Горіздра проти Молдови» (</w:t>
      </w:r>
      <w:r w:rsidRPr="009A3F85">
        <w:rPr>
          <w:i/>
          <w:lang w:val="uk-UA"/>
        </w:rPr>
        <w:t>Valentin Gorizdra v. Moldova</w:t>
      </w:r>
      <w:r w:rsidRPr="009A3F85">
        <w:rPr>
          <w:lang w:val="uk-UA"/>
        </w:rPr>
        <w:t>) заява № 53180/99, від 2 липня 2002 року; рішення у справі «Кучера проти Ав</w:t>
      </w:r>
      <w:r w:rsidRPr="009A3F85" w:rsidR="00AA0101">
        <w:rPr>
          <w:lang w:val="uk-UA"/>
        </w:rPr>
        <w:t>с</w:t>
      </w:r>
      <w:r w:rsidRPr="009A3F85">
        <w:rPr>
          <w:lang w:val="uk-UA"/>
        </w:rPr>
        <w:t>трії» (</w:t>
      </w:r>
      <w:r w:rsidRPr="009A3F85">
        <w:rPr>
          <w:i/>
          <w:lang w:val="uk-UA"/>
        </w:rPr>
        <w:t>Kucera v. Austria</w:t>
      </w:r>
      <w:r w:rsidRPr="009A3F85">
        <w:rPr>
          <w:lang w:val="uk-UA"/>
        </w:rPr>
        <w:t>), заява № 40072/98, від 3 жовтня 2002</w:t>
      </w:r>
      <w:r w:rsidRPr="009A3F85">
        <w:rPr>
          <w:i/>
          <w:lang w:val="uk-UA"/>
        </w:rPr>
        <w:t> </w:t>
      </w:r>
      <w:r w:rsidRPr="009A3F85" w:rsidR="00022DEE">
        <w:rPr>
          <w:lang w:val="uk-UA"/>
        </w:rPr>
        <w:t>року; вищенаведену у</w:t>
      </w:r>
      <w:r w:rsidRPr="009A3F85">
        <w:rPr>
          <w:lang w:val="uk-UA"/>
        </w:rPr>
        <w:t xml:space="preserve">хвалу щодо прийнятності у справі </w:t>
      </w:r>
      <w:r w:rsidRPr="009A3F85">
        <w:rPr>
          <w:rFonts w:eastAsia="Times New Roman"/>
          <w:lang w:val="uk-UA" w:eastAsia="fr-FR"/>
        </w:rPr>
        <w:t>«Фішер</w:t>
      </w:r>
      <w:r w:rsidRPr="009A3F85">
        <w:rPr>
          <w:rFonts w:eastAsia="Times New Roman"/>
          <w:sz w:val="22"/>
          <w:lang w:val="uk-UA" w:eastAsia="fr-FR"/>
        </w:rPr>
        <w:t xml:space="preserve"> проти Австрії</w:t>
      </w:r>
      <w:r w:rsidRPr="009A3F85">
        <w:rPr>
          <w:rFonts w:eastAsia="Times New Roman"/>
          <w:lang w:val="uk-UA" w:eastAsia="fr-FR"/>
        </w:rPr>
        <w:t>» (</w:t>
      </w:r>
      <w:r w:rsidRPr="009A3F85">
        <w:rPr>
          <w:rFonts w:eastAsia="Times New Roman"/>
          <w:i/>
          <w:lang w:val="uk-UA" w:eastAsia="fr-FR"/>
        </w:rPr>
        <w:t>Fischer v. Austria</w:t>
      </w:r>
      <w:r w:rsidRPr="009A3F85">
        <w:rPr>
          <w:rFonts w:eastAsia="Times New Roman"/>
          <w:lang w:val="uk-UA" w:eastAsia="fr-FR"/>
        </w:rPr>
        <w:t>)</w:t>
      </w:r>
      <w:r w:rsidRPr="009A3F85">
        <w:rPr>
          <w:rFonts w:eastAsia="Times New Roman"/>
          <w:szCs w:val="24"/>
          <w:lang w:val="uk-UA" w:eastAsia="fr-FR"/>
        </w:rPr>
        <w:t>; рішення у справах «Жюссі проти Франції» (</w:t>
      </w:r>
      <w:r w:rsidRPr="009A3F85">
        <w:rPr>
          <w:i/>
          <w:lang w:val="uk-UA"/>
        </w:rPr>
        <w:t>Jussy v. France</w:t>
      </w:r>
      <w:r w:rsidRPr="009A3F85">
        <w:rPr>
          <w:lang w:val="uk-UA"/>
        </w:rPr>
        <w:t>),</w:t>
      </w:r>
      <w:r w:rsidRPr="009A3F85">
        <w:rPr>
          <w:i/>
          <w:lang w:val="uk-UA"/>
        </w:rPr>
        <w:t xml:space="preserve"> </w:t>
      </w:r>
      <w:r w:rsidRPr="009A3F85">
        <w:rPr>
          <w:lang w:val="uk-UA"/>
        </w:rPr>
        <w:t>заява № 42277/98, п. 18, від 8 квітня 2003</w:t>
      </w:r>
      <w:r w:rsidRPr="009A3F85">
        <w:rPr>
          <w:i/>
          <w:lang w:val="uk-UA"/>
        </w:rPr>
        <w:t> </w:t>
      </w:r>
      <w:r w:rsidRPr="009A3F85">
        <w:rPr>
          <w:lang w:val="uk-UA"/>
        </w:rPr>
        <w:t>року; «Данкевич проти України» (</w:t>
      </w:r>
      <w:r w:rsidRPr="009A3F85">
        <w:rPr>
          <w:i/>
          <w:lang w:val="uk-UA"/>
        </w:rPr>
        <w:t>Dankevich v. Ukraine</w:t>
      </w:r>
      <w:r w:rsidRPr="009A3F85">
        <w:rPr>
          <w:lang w:val="uk-UA"/>
        </w:rPr>
        <w:t>),</w:t>
      </w:r>
      <w:r w:rsidRPr="009A3F85">
        <w:rPr>
          <w:i/>
          <w:lang w:val="uk-UA"/>
        </w:rPr>
        <w:t xml:space="preserve"> </w:t>
      </w:r>
      <w:r w:rsidRPr="009A3F85">
        <w:rPr>
          <w:lang w:val="uk-UA"/>
        </w:rPr>
        <w:t xml:space="preserve">заява № 40679/98, від 29 квітня 2003 року; вищенаведені ухвали щодо прийнятності у справах </w:t>
      </w:r>
      <w:r w:rsidRPr="009A3F85">
        <w:rPr>
          <w:rFonts w:eastAsia="Times New Roman"/>
          <w:lang w:val="uk-UA"/>
        </w:rPr>
        <w:t>«Штек-Ріш та ніші проти Ліхтенштейн</w:t>
      </w:r>
      <w:r w:rsidRPr="009A3F85" w:rsidR="00022DEE">
        <w:rPr>
          <w:rFonts w:eastAsia="Times New Roman"/>
          <w:lang w:val="uk-UA"/>
        </w:rPr>
        <w:t>у</w:t>
      </w:r>
      <w:r w:rsidRPr="009A3F85">
        <w:rPr>
          <w:rFonts w:eastAsia="Times New Roman"/>
          <w:lang w:val="uk-UA"/>
        </w:rPr>
        <w:t>» (</w:t>
      </w:r>
      <w:r w:rsidRPr="009A3F85">
        <w:rPr>
          <w:rFonts w:eastAsia="Times New Roman"/>
          <w:i/>
          <w:iCs/>
          <w:color w:val="000000"/>
          <w:szCs w:val="24"/>
          <w:lang w:val="uk-UA" w:eastAsia="en-GB"/>
        </w:rPr>
        <w:t>Steck-Risch and Others v. Liechtenstein</w:t>
      </w:r>
      <w:r w:rsidRPr="009A3F85">
        <w:rPr>
          <w:rFonts w:eastAsia="Times New Roman"/>
          <w:lang w:val="uk-UA"/>
        </w:rPr>
        <w:t>)</w:t>
      </w:r>
      <w:r w:rsidRPr="009A3F85">
        <w:rPr>
          <w:rFonts w:eastAsia="Times New Roman"/>
          <w:lang w:val="uk-UA" w:eastAsia="fr-FR"/>
        </w:rPr>
        <w:t>,</w:t>
      </w:r>
      <w:r w:rsidRPr="009A3F85">
        <w:rPr>
          <w:rFonts w:eastAsia="Times New Roman"/>
          <w:i/>
          <w:lang w:val="uk-UA" w:eastAsia="fr-FR"/>
        </w:rPr>
        <w:t xml:space="preserve"> </w:t>
      </w:r>
      <w:r w:rsidRPr="009A3F85">
        <w:rPr>
          <w:rFonts w:eastAsia="Times New Roman"/>
          <w:lang w:val="uk-UA" w:eastAsia="fr-FR"/>
        </w:rPr>
        <w:t>«Оджалан проти Туреччини» (</w:t>
      </w:r>
      <w:r w:rsidRPr="009A3F85">
        <w:rPr>
          <w:rFonts w:eastAsia="Times New Roman"/>
          <w:i/>
          <w:lang w:val="uk-UA" w:eastAsia="fr-FR"/>
        </w:rPr>
        <w:t>Öcalan v. Turkey</w:t>
      </w:r>
      <w:r w:rsidRPr="009A3F85">
        <w:rPr>
          <w:rFonts w:eastAsia="Times New Roman"/>
          <w:lang w:val="uk-UA" w:eastAsia="fr-FR"/>
        </w:rPr>
        <w:t>)</w:t>
      </w:r>
      <w:r w:rsidRPr="009A3F85">
        <w:rPr>
          <w:lang w:val="uk-UA"/>
        </w:rPr>
        <w:t>; ухвали щодо прийнятності у справах «Гуртер проти Швейцарії» (</w:t>
      </w:r>
      <w:r w:rsidRPr="009A3F85">
        <w:rPr>
          <w:i/>
          <w:lang w:val="uk-UA"/>
        </w:rPr>
        <w:t>Hurter v. Switzerland</w:t>
      </w:r>
      <w:r w:rsidRPr="009A3F85">
        <w:rPr>
          <w:lang w:val="uk-UA"/>
        </w:rPr>
        <w:t>), заява № 48111/07, від 15 травня 2012 року; «Дубеку проти Албанії» (</w:t>
      </w:r>
      <w:r w:rsidRPr="009A3F85">
        <w:rPr>
          <w:i/>
          <w:lang w:val="uk-UA"/>
        </w:rPr>
        <w:t>Dybeku v. Albania</w:t>
      </w:r>
      <w:r w:rsidRPr="009A3F85">
        <w:rPr>
          <w:lang w:val="uk-UA"/>
        </w:rPr>
        <w:t>), заява №</w:t>
      </w:r>
      <w:r w:rsidRPr="009A3F85" w:rsidR="00022DEE">
        <w:rPr>
          <w:i/>
          <w:lang w:val="uk-UA"/>
        </w:rPr>
        <w:t> </w:t>
      </w:r>
      <w:r w:rsidRPr="009A3F85">
        <w:rPr>
          <w:lang w:val="uk-UA"/>
        </w:rPr>
        <w:t xml:space="preserve">557/12, п. 30, від 11 березня 2014 року). Справа в тому, що </w:t>
      </w:r>
      <w:r w:rsidRPr="009A3F85" w:rsidR="00022DEE">
        <w:rPr>
          <w:lang w:val="uk-UA"/>
        </w:rPr>
        <w:t>тією мірою, якою</w:t>
      </w:r>
      <w:r w:rsidRPr="009A3F85">
        <w:rPr>
          <w:lang w:val="uk-UA"/>
        </w:rPr>
        <w:t xml:space="preserve"> питання охоплюється принципом </w:t>
      </w:r>
      <w:r w:rsidRPr="009A3F85">
        <w:rPr>
          <w:i/>
          <w:lang w:val="uk-UA"/>
        </w:rPr>
        <w:t>res iudicata</w:t>
      </w:r>
      <w:r w:rsidRPr="009A3F85">
        <w:rPr>
          <w:lang w:val="uk-UA"/>
        </w:rPr>
        <w:t xml:space="preserve"> остаточного рішення у рамках провадження на національно</w:t>
      </w:r>
      <w:r w:rsidRPr="009A3F85" w:rsidR="00022DEE">
        <w:rPr>
          <w:lang w:val="uk-UA"/>
        </w:rPr>
        <w:t>му</w:t>
      </w:r>
      <w:r w:rsidRPr="009A3F85">
        <w:rPr>
          <w:lang w:val="uk-UA"/>
        </w:rPr>
        <w:t xml:space="preserve"> рівні, в принципі не можна стверджувати, що наступна заява або скарга </w:t>
      </w:r>
      <w:r w:rsidRPr="009A3F85" w:rsidR="008B3A03">
        <w:rPr>
          <w:lang w:val="uk-UA"/>
        </w:rPr>
        <w:t>у екстраординарному порядку</w:t>
      </w:r>
      <w:r w:rsidRPr="009A3F85" w:rsidR="004D46A9">
        <w:rPr>
          <w:lang w:val="uk-UA"/>
        </w:rPr>
        <w:t xml:space="preserve"> </w:t>
      </w:r>
      <w:r w:rsidRPr="009A3F85" w:rsidR="008176DF">
        <w:rPr>
          <w:lang w:val="uk-UA"/>
        </w:rPr>
        <w:t xml:space="preserve">породжує </w:t>
      </w:r>
      <w:r w:rsidRPr="009A3F85">
        <w:rPr>
          <w:lang w:val="uk-UA"/>
        </w:rPr>
        <w:t xml:space="preserve">небезпідставне твердження щодо наявності визнаного національним законодавством права або </w:t>
      </w:r>
      <w:r w:rsidRPr="009A3F85" w:rsidR="00E13340">
        <w:rPr>
          <w:lang w:val="uk-UA"/>
        </w:rPr>
        <w:t xml:space="preserve">щодо того, </w:t>
      </w:r>
      <w:r w:rsidRPr="009A3F85">
        <w:rPr>
          <w:lang w:val="uk-UA"/>
        </w:rPr>
        <w:t>що результати провадження, у рамках якого виріш</w:t>
      </w:r>
      <w:r w:rsidRPr="009A3F85" w:rsidR="008176DF">
        <w:rPr>
          <w:lang w:val="uk-UA"/>
        </w:rPr>
        <w:t>увалось питання про</w:t>
      </w:r>
      <w:r w:rsidRPr="009A3F85" w:rsidR="00022DEE">
        <w:rPr>
          <w:lang w:val="uk-UA"/>
        </w:rPr>
        <w:t xml:space="preserve"> </w:t>
      </w:r>
      <w:r w:rsidRPr="009A3F85">
        <w:rPr>
          <w:lang w:val="uk-UA"/>
        </w:rPr>
        <w:t xml:space="preserve">перегляд </w:t>
      </w:r>
      <w:r w:rsidRPr="009A3F85" w:rsidR="008176DF">
        <w:rPr>
          <w:lang w:val="uk-UA"/>
        </w:rPr>
        <w:t>справи</w:t>
      </w:r>
      <w:r w:rsidRPr="009A3F85">
        <w:rPr>
          <w:lang w:val="uk-UA"/>
        </w:rPr>
        <w:t>, є вирішальними для «вирішення спору щодо прав та обов</w:t>
      </w:r>
      <w:r w:rsidRPr="009A3F85" w:rsidR="009A3F85">
        <w:rPr>
          <w:lang w:val="uk-UA"/>
        </w:rPr>
        <w:t>’</w:t>
      </w:r>
      <w:r w:rsidRPr="009A3F85">
        <w:rPr>
          <w:lang w:val="uk-UA"/>
        </w:rPr>
        <w:t>язків цивільного характеру ... або встановлення обґрунтованості будь-якого висунутого</w:t>
      </w:r>
      <w:r w:rsidRPr="009A3F85" w:rsidR="009A3F85">
        <w:rPr>
          <w:lang w:val="uk-UA"/>
        </w:rPr>
        <w:t>...</w:t>
      </w:r>
      <w:r w:rsidRPr="009A3F85">
        <w:rPr>
          <w:lang w:val="uk-UA"/>
        </w:rPr>
        <w:t xml:space="preserve"> кримінального обвинувачення» (див. для порівняння </w:t>
      </w:r>
      <w:r w:rsidRPr="009A3F85" w:rsidR="00022DEE">
        <w:rPr>
          <w:lang w:val="uk-UA"/>
        </w:rPr>
        <w:t xml:space="preserve">в якості </w:t>
      </w:r>
      <w:r w:rsidRPr="009A3F85">
        <w:rPr>
          <w:lang w:val="uk-UA"/>
        </w:rPr>
        <w:t>протилежн</w:t>
      </w:r>
      <w:r w:rsidRPr="009A3F85" w:rsidR="00022DEE">
        <w:rPr>
          <w:lang w:val="uk-UA"/>
        </w:rPr>
        <w:t>ого</w:t>
      </w:r>
      <w:r w:rsidRPr="009A3F85">
        <w:rPr>
          <w:lang w:val="uk-UA"/>
        </w:rPr>
        <w:t xml:space="preserve"> приклад</w:t>
      </w:r>
      <w:r w:rsidRPr="009A3F85" w:rsidR="00022DEE">
        <w:rPr>
          <w:lang w:val="uk-UA"/>
        </w:rPr>
        <w:t>у</w:t>
      </w:r>
      <w:r w:rsidRPr="009A3F85">
        <w:rPr>
          <w:lang w:val="uk-UA"/>
        </w:rPr>
        <w:t xml:space="preserve"> рішення від</w:t>
      </w:r>
      <w:r w:rsidRPr="009A3F85">
        <w:rPr>
          <w:rFonts w:eastAsia="Times New Roman"/>
          <w:szCs w:val="24"/>
          <w:lang w:val="uk-UA" w:eastAsia="fr-FR"/>
        </w:rPr>
        <w:t xml:space="preserve"> 22 липня 2010 року</w:t>
      </w:r>
      <w:r w:rsidRPr="009A3F85">
        <w:rPr>
          <w:lang w:val="uk-UA"/>
        </w:rPr>
        <w:t xml:space="preserve"> у справі «Меліс проти Греції» (</w:t>
      </w:r>
      <w:r w:rsidRPr="009A3F85">
        <w:rPr>
          <w:rFonts w:eastAsia="Times New Roman"/>
          <w:i/>
          <w:szCs w:val="24"/>
          <w:lang w:val="uk-UA" w:eastAsia="fr-FR"/>
        </w:rPr>
        <w:t>Melis v. Greece</w:t>
      </w:r>
      <w:r w:rsidRPr="009A3F85">
        <w:rPr>
          <w:rFonts w:eastAsia="Times New Roman"/>
          <w:szCs w:val="24"/>
          <w:lang w:val="uk-UA" w:eastAsia="fr-FR"/>
        </w:rPr>
        <w:t>), заява № 30604/07, пп.</w:t>
      </w:r>
      <w:r w:rsidRPr="009A3F85" w:rsidR="00022DEE">
        <w:rPr>
          <w:rFonts w:eastAsia="Times New Roman"/>
          <w:lang w:val="uk-UA" w:eastAsia="fr-FR"/>
        </w:rPr>
        <w:t> </w:t>
      </w:r>
      <w:r w:rsidRPr="009A3F85">
        <w:rPr>
          <w:rFonts w:eastAsia="Times New Roman"/>
          <w:szCs w:val="24"/>
          <w:lang w:val="uk-UA" w:eastAsia="fr-FR"/>
        </w:rPr>
        <w:t xml:space="preserve">18-20, що </w:t>
      </w:r>
      <w:r w:rsidRPr="009A3F85" w:rsidR="00022DEE">
        <w:rPr>
          <w:rFonts w:eastAsia="Times New Roman"/>
          <w:szCs w:val="24"/>
          <w:lang w:val="uk-UA" w:eastAsia="fr-FR"/>
        </w:rPr>
        <w:t>відходить від</w:t>
      </w:r>
      <w:r w:rsidRPr="009A3F85">
        <w:rPr>
          <w:rFonts w:eastAsia="Times New Roman"/>
          <w:szCs w:val="24"/>
          <w:lang w:val="uk-UA" w:eastAsia="fr-FR"/>
        </w:rPr>
        <w:t xml:space="preserve"> зазначен</w:t>
      </w:r>
      <w:r w:rsidRPr="009A3F85" w:rsidR="00022DEE">
        <w:rPr>
          <w:rFonts w:eastAsia="Times New Roman"/>
          <w:szCs w:val="24"/>
          <w:lang w:val="uk-UA" w:eastAsia="fr-FR"/>
        </w:rPr>
        <w:t>ого</w:t>
      </w:r>
      <w:r w:rsidRPr="009A3F85">
        <w:rPr>
          <w:rFonts w:eastAsia="Times New Roman"/>
          <w:szCs w:val="24"/>
          <w:lang w:val="uk-UA" w:eastAsia="fr-FR"/>
        </w:rPr>
        <w:t xml:space="preserve"> підход</w:t>
      </w:r>
      <w:r w:rsidRPr="009A3F85" w:rsidR="00022DEE">
        <w:rPr>
          <w:rFonts w:eastAsia="Times New Roman"/>
          <w:szCs w:val="24"/>
          <w:lang w:val="uk-UA" w:eastAsia="fr-FR"/>
        </w:rPr>
        <w:t>у</w:t>
      </w:r>
      <w:r w:rsidRPr="009A3F85">
        <w:rPr>
          <w:rFonts w:eastAsia="Times New Roman"/>
          <w:szCs w:val="24"/>
          <w:lang w:val="uk-UA" w:eastAsia="fr-FR"/>
        </w:rPr>
        <w:t>)</w:t>
      </w:r>
      <w:r w:rsidRPr="009A3F85">
        <w:rPr>
          <w:lang w:val="uk-UA"/>
        </w:rPr>
        <w:t>.</w:t>
      </w:r>
    </w:p>
    <w:p w:rsidRPr="009A3F85" w:rsidR="006D147C" w:rsidP="009A3F85">
      <w:pPr>
        <w:pStyle w:val="ECHRPara"/>
        <w:rPr>
          <w:rFonts w:eastAsia="Times New Roman"/>
          <w:sz w:val="20"/>
          <w:lang w:val="uk-UA" w:eastAsia="fr-FR"/>
        </w:rPr>
      </w:pPr>
      <w:r w:rsidRPr="009A3F85">
        <w:rPr>
          <w:rFonts w:eastAsia="Times New Roman"/>
          <w:lang w:val="uk-UA" w:eastAsia="fr-FR"/>
        </w:rPr>
        <w:fldChar w:fldCharType="begin"/>
      </w:r>
      <w:r w:rsidRPr="009A3F85">
        <w:rPr>
          <w:rFonts w:eastAsia="Times New Roman"/>
          <w:lang w:val="uk-UA" w:eastAsia="fr-FR"/>
        </w:rPr>
        <w:instrText xml:space="preserve"> SEQ level0 \*arabic </w:instrText>
      </w:r>
      <w:r w:rsidRPr="009A3F85">
        <w:rPr>
          <w:rFonts w:eastAsia="Times New Roman"/>
          <w:lang w:val="uk-UA" w:eastAsia="fr-FR"/>
        </w:rPr>
        <w:fldChar w:fldCharType="separate"/>
      </w:r>
      <w:r w:rsidRPr="009A3F85" w:rsidR="009A3F85">
        <w:rPr>
          <w:rFonts w:eastAsia="Times New Roman"/>
          <w:noProof/>
          <w:lang w:val="uk-UA" w:eastAsia="fr-FR"/>
        </w:rPr>
        <w:t>45</w:t>
      </w:r>
      <w:r w:rsidRPr="009A3F85">
        <w:rPr>
          <w:rFonts w:eastAsia="Times New Roman"/>
          <w:lang w:val="uk-UA" w:eastAsia="fr-FR"/>
        </w:rPr>
        <w:fldChar w:fldCharType="end"/>
      </w:r>
      <w:r w:rsidRPr="009A3F85">
        <w:rPr>
          <w:rFonts w:eastAsia="Times New Roman"/>
          <w:lang w:val="uk-UA" w:eastAsia="fr-FR"/>
        </w:rPr>
        <w:t xml:space="preserve">.  Цього підходу </w:t>
      </w:r>
      <w:r w:rsidRPr="009A3F85" w:rsidR="008176DF">
        <w:rPr>
          <w:rFonts w:eastAsia="Times New Roman"/>
          <w:lang w:val="uk-UA" w:eastAsia="fr-FR"/>
        </w:rPr>
        <w:t xml:space="preserve">було дотримано </w:t>
      </w:r>
      <w:r w:rsidRPr="009A3F85">
        <w:rPr>
          <w:rFonts w:eastAsia="Times New Roman"/>
          <w:lang w:val="uk-UA" w:eastAsia="fr-FR"/>
        </w:rPr>
        <w:t xml:space="preserve">також і у справах, у яких </w:t>
      </w:r>
      <w:r w:rsidRPr="009A3F85" w:rsidR="008176DF">
        <w:rPr>
          <w:rFonts w:eastAsia="Times New Roman"/>
          <w:lang w:val="uk-UA" w:eastAsia="fr-FR"/>
        </w:rPr>
        <w:t xml:space="preserve">відновлення на національному рівні </w:t>
      </w:r>
      <w:r w:rsidRPr="009A3F85" w:rsidR="00533B1E">
        <w:rPr>
          <w:rFonts w:eastAsia="Times New Roman"/>
          <w:lang w:val="uk-UA" w:eastAsia="fr-FR"/>
        </w:rPr>
        <w:t xml:space="preserve">завершеного судового провадження </w:t>
      </w:r>
      <w:r w:rsidRPr="009A3F85" w:rsidR="008176DF">
        <w:rPr>
          <w:rFonts w:eastAsia="Times New Roman"/>
          <w:lang w:val="uk-UA" w:eastAsia="fr-FR"/>
        </w:rPr>
        <w:t xml:space="preserve">вимагалося </w:t>
      </w:r>
      <w:r w:rsidRPr="009A3F85">
        <w:rPr>
          <w:rFonts w:eastAsia="Times New Roman"/>
          <w:lang w:val="uk-UA" w:eastAsia="fr-FR"/>
        </w:rPr>
        <w:t>на підставі висновку Суду про порушення Конвенції (див., наприклад, вищенаведену ухвалу щодо прийнятності у справі «Фішер</w:t>
      </w:r>
      <w:r w:rsidRPr="009A3F85">
        <w:rPr>
          <w:rFonts w:eastAsia="Times New Roman"/>
          <w:sz w:val="22"/>
          <w:lang w:val="uk-UA" w:eastAsia="fr-FR"/>
        </w:rPr>
        <w:t xml:space="preserve"> проти Австрії</w:t>
      </w:r>
      <w:r w:rsidRPr="009A3F85">
        <w:rPr>
          <w:rFonts w:eastAsia="Times New Roman"/>
          <w:lang w:val="uk-UA" w:eastAsia="fr-FR"/>
        </w:rPr>
        <w:t>» (</w:t>
      </w:r>
      <w:r w:rsidRPr="009A3F85">
        <w:rPr>
          <w:rFonts w:eastAsia="Times New Roman"/>
          <w:i/>
          <w:lang w:val="uk-UA" w:eastAsia="fr-FR"/>
        </w:rPr>
        <w:t>Fischer v. Austria</w:t>
      </w:r>
      <w:r w:rsidRPr="009A3F85">
        <w:rPr>
          <w:rFonts w:eastAsia="Times New Roman"/>
          <w:lang w:val="uk-UA" w:eastAsia="fr-FR"/>
        </w:rPr>
        <w:t xml:space="preserve">)). Оголошуючи скаргу заявника за статтею 6 Конвенції у справі </w:t>
      </w:r>
      <w:r w:rsidRPr="009A3F85" w:rsidR="00E13340">
        <w:rPr>
          <w:rFonts w:eastAsia="Times New Roman"/>
          <w:lang w:val="uk-UA" w:eastAsia="fr-FR"/>
        </w:rPr>
        <w:t>«</w:t>
      </w:r>
      <w:r w:rsidRPr="009A3F85">
        <w:rPr>
          <w:rFonts w:eastAsia="Times New Roman"/>
          <w:lang w:val="uk-UA"/>
        </w:rPr>
        <w:t>«</w:t>
      </w:r>
      <w:r w:rsidRPr="009A3F85" w:rsidR="00205A07">
        <w:rPr>
          <w:rFonts w:eastAsia="Times New Roman"/>
          <w:lang w:val="uk-UA"/>
        </w:rPr>
        <w:t>Verein gegen Tierfabriken Schweiz</w:t>
      </w:r>
      <w:r w:rsidRPr="009A3F85" w:rsidR="00E13340">
        <w:rPr>
          <w:rFonts w:eastAsia="Times New Roman"/>
          <w:lang w:val="uk-UA"/>
        </w:rPr>
        <w:t>»</w:t>
      </w:r>
      <w:r w:rsidRPr="009A3F85">
        <w:rPr>
          <w:rFonts w:eastAsia="Times New Roman"/>
          <w:lang w:val="uk-UA"/>
        </w:rPr>
        <w:t xml:space="preserve"> </w:t>
      </w:r>
      <w:r w:rsidRPr="009A3F85" w:rsidR="00E13340">
        <w:rPr>
          <w:lang w:val="uk-UA"/>
        </w:rPr>
        <w:t>(VgT)</w:t>
      </w:r>
      <w:r w:rsidRPr="009A3F85" w:rsidR="00E13340">
        <w:rPr>
          <w:i/>
          <w:lang w:val="uk-UA"/>
        </w:rPr>
        <w:t xml:space="preserve"> </w:t>
      </w:r>
      <w:r w:rsidRPr="009A3F85">
        <w:rPr>
          <w:rFonts w:eastAsia="Times New Roman"/>
          <w:lang w:val="uk-UA"/>
        </w:rPr>
        <w:t>проти Швейцарії (№</w:t>
      </w:r>
      <w:r w:rsidRPr="009A3F85">
        <w:rPr>
          <w:rFonts w:eastAsia="Times New Roman"/>
          <w:lang w:val="uk-UA" w:eastAsia="fr-FR"/>
        </w:rPr>
        <w:t> </w:t>
      </w:r>
      <w:r w:rsidRPr="009A3F85">
        <w:rPr>
          <w:rFonts w:eastAsia="Times New Roman"/>
          <w:lang w:val="uk-UA"/>
        </w:rPr>
        <w:t>2)» (</w:t>
      </w:r>
      <w:r w:rsidRPr="009A3F85">
        <w:rPr>
          <w:i/>
          <w:lang w:val="uk-UA"/>
        </w:rPr>
        <w:t>Verein gegen Tierfabriken Schweiz (VgT) v. Switzerland (no. 2)</w:t>
      </w:r>
      <w:r w:rsidRPr="009A3F85">
        <w:rPr>
          <w:lang w:val="uk-UA"/>
        </w:rPr>
        <w:t>)</w:t>
      </w:r>
      <w:r w:rsidRPr="009A3F85">
        <w:rPr>
          <w:rFonts w:eastAsia="Times New Roman"/>
          <w:lang w:val="uk-UA" w:eastAsia="fr-FR"/>
        </w:rPr>
        <w:t xml:space="preserve"> (заява №</w:t>
      </w:r>
      <w:r w:rsidRPr="009A3F85" w:rsidR="00E13340">
        <w:rPr>
          <w:rFonts w:eastAsia="Times New Roman"/>
          <w:lang w:val="uk-UA" w:eastAsia="fr-FR"/>
        </w:rPr>
        <w:t> </w:t>
      </w:r>
      <w:r w:rsidRPr="009A3F85">
        <w:rPr>
          <w:rFonts w:eastAsia="Times New Roman"/>
          <w:lang w:val="uk-UA" w:eastAsia="fr-FR"/>
        </w:rPr>
        <w:t xml:space="preserve">32772/02, п. 24, </w:t>
      </w:r>
      <w:r w:rsidRPr="009A3F85" w:rsidR="00E13340">
        <w:rPr>
          <w:rFonts w:eastAsia="Times New Roman"/>
          <w:lang w:val="uk-UA" w:eastAsia="fr-FR"/>
        </w:rPr>
        <w:t xml:space="preserve">від </w:t>
      </w:r>
      <w:r w:rsidRPr="009A3F85">
        <w:rPr>
          <w:rFonts w:eastAsia="Times New Roman"/>
          <w:lang w:val="uk-UA" w:eastAsia="fr-FR"/>
        </w:rPr>
        <w:t xml:space="preserve">4 жовтня 2007 року) </w:t>
      </w:r>
      <w:r w:rsidRPr="009A3F85" w:rsidR="00533B1E">
        <w:rPr>
          <w:rFonts w:eastAsia="Times New Roman"/>
          <w:lang w:val="uk-UA" w:eastAsia="fr-FR"/>
        </w:rPr>
        <w:t xml:space="preserve">неприйнятною, </w:t>
      </w:r>
      <w:r w:rsidRPr="009A3F85">
        <w:rPr>
          <w:rFonts w:eastAsia="Times New Roman"/>
          <w:lang w:val="uk-UA" w:eastAsia="fr-FR"/>
        </w:rPr>
        <w:t>палата постановила:</w:t>
      </w:r>
    </w:p>
    <w:p w:rsidRPr="009A3F85" w:rsidR="006D147C" w:rsidP="009A3F85">
      <w:pPr>
        <w:pStyle w:val="ECHRParaQuote"/>
        <w:rPr>
          <w:rFonts w:eastAsia="Times New Roman"/>
          <w:lang w:val="uk-UA" w:eastAsia="fr-FR"/>
        </w:rPr>
      </w:pPr>
      <w:r w:rsidRPr="009A3F85">
        <w:rPr>
          <w:rFonts w:eastAsia="Times New Roman"/>
          <w:lang w:val="uk-UA" w:eastAsia="fr-FR"/>
        </w:rPr>
        <w:t xml:space="preserve">«24.  ... Із практики Суду зрозуміло, що ця стаття є незастосовною до провадження </w:t>
      </w:r>
      <w:r w:rsidRPr="009A3F85" w:rsidR="008176DF">
        <w:rPr>
          <w:rFonts w:eastAsia="Times New Roman"/>
          <w:lang w:val="uk-UA" w:eastAsia="fr-FR"/>
        </w:rPr>
        <w:t xml:space="preserve">за заявою </w:t>
      </w:r>
      <w:r w:rsidRPr="009A3F85">
        <w:rPr>
          <w:rFonts w:eastAsia="Times New Roman"/>
          <w:lang w:val="uk-UA" w:eastAsia="fr-FR"/>
        </w:rPr>
        <w:t>про повторний розгляд справи судом або відновлення цивільного провадження (див. рішення від, 10 квітня 2001 року у справі «Саблон проти Бельгії» (</w:t>
      </w:r>
      <w:r w:rsidRPr="009A3F85">
        <w:rPr>
          <w:rFonts w:eastAsia="Times New Roman"/>
          <w:i/>
          <w:lang w:val="uk-UA" w:eastAsia="fr-FR"/>
        </w:rPr>
        <w:t>Sablon v. Belgium</w:t>
      </w:r>
      <w:r w:rsidRPr="009A3F85">
        <w:rPr>
          <w:rFonts w:eastAsia="Times New Roman"/>
          <w:lang w:val="uk-UA" w:eastAsia="fr-FR"/>
        </w:rPr>
        <w:t xml:space="preserve">), заява № 36445/97, п. 86). Суд не вбачає жодних </w:t>
      </w:r>
      <w:r w:rsidRPr="009A3F85" w:rsidR="008176DF">
        <w:rPr>
          <w:rFonts w:eastAsia="Times New Roman"/>
          <w:lang w:val="uk-UA" w:eastAsia="fr-FR"/>
        </w:rPr>
        <w:t>причин</w:t>
      </w:r>
      <w:r w:rsidRPr="009A3F85">
        <w:rPr>
          <w:rFonts w:eastAsia="Times New Roman"/>
          <w:lang w:val="uk-UA" w:eastAsia="fr-FR"/>
        </w:rPr>
        <w:t>, чому це обґрунтування не м</w:t>
      </w:r>
      <w:r w:rsidRPr="009A3F85" w:rsidR="00E13340">
        <w:rPr>
          <w:rFonts w:eastAsia="Times New Roman"/>
          <w:lang w:val="uk-UA" w:eastAsia="fr-FR"/>
        </w:rPr>
        <w:t>оже</w:t>
      </w:r>
      <w:r w:rsidRPr="009A3F85">
        <w:rPr>
          <w:rFonts w:eastAsia="Times New Roman"/>
          <w:lang w:val="uk-UA" w:eastAsia="fr-FR"/>
        </w:rPr>
        <w:t xml:space="preserve"> застосовуватися також і до заяви про відновлення провадження після </w:t>
      </w:r>
      <w:r w:rsidRPr="009A3F85" w:rsidR="008176DF">
        <w:rPr>
          <w:rFonts w:eastAsia="Times New Roman"/>
          <w:lang w:val="uk-UA" w:eastAsia="fr-FR"/>
        </w:rPr>
        <w:t>встановлення Європейським судом</w:t>
      </w:r>
      <w:r w:rsidRPr="009A3F85">
        <w:rPr>
          <w:rFonts w:eastAsia="Times New Roman"/>
          <w:lang w:val="uk-UA" w:eastAsia="fr-FR"/>
        </w:rPr>
        <w:t xml:space="preserve"> порушення Конвенції (див. </w:t>
      </w:r>
      <w:r w:rsidRPr="009A3F85" w:rsidR="008176DF">
        <w:rPr>
          <w:rFonts w:eastAsia="Times New Roman"/>
          <w:lang w:val="uk-UA" w:eastAsia="fr-FR"/>
        </w:rPr>
        <w:t xml:space="preserve">стосовно </w:t>
      </w:r>
      <w:r w:rsidRPr="009A3F85">
        <w:rPr>
          <w:rFonts w:eastAsia="Times New Roman"/>
          <w:lang w:val="uk-UA" w:eastAsia="fr-FR"/>
        </w:rPr>
        <w:t xml:space="preserve">кримінальної справи </w:t>
      </w:r>
      <w:r w:rsidRPr="009A3F85" w:rsidR="00E13340">
        <w:rPr>
          <w:rFonts w:eastAsia="Times New Roman"/>
          <w:lang w:val="uk-UA" w:eastAsia="fr-FR"/>
        </w:rPr>
        <w:t>у</w:t>
      </w:r>
      <w:r w:rsidRPr="009A3F85">
        <w:rPr>
          <w:rFonts w:eastAsia="Times New Roman"/>
          <w:lang w:val="uk-UA" w:eastAsia="fr-FR"/>
        </w:rPr>
        <w:t>хвалу щодо прийнятності у справі «[Фішер] проти Австрії» ([Fischer] v. Austria), заява №</w:t>
      </w:r>
      <w:r w:rsidRPr="009A3F85">
        <w:rPr>
          <w:lang w:val="uk-UA"/>
        </w:rPr>
        <w:t> </w:t>
      </w:r>
      <w:r w:rsidRPr="009A3F85">
        <w:rPr>
          <w:rFonts w:eastAsia="Times New Roman"/>
          <w:lang w:val="uk-UA" w:eastAsia="fr-FR"/>
        </w:rPr>
        <w:t>27569/02, ECHR 2003</w:t>
      </w:r>
      <w:r w:rsidRPr="009A3F85">
        <w:rPr>
          <w:rFonts w:eastAsia="Times New Roman"/>
          <w:lang w:val="uk-UA" w:eastAsia="fr-FR"/>
        </w:rPr>
        <w:noBreakHyphen/>
        <w:t>VI). Тому Суд вважає, що</w:t>
      </w:r>
      <w:r w:rsidRPr="009A3F85" w:rsidR="009A3F85">
        <w:rPr>
          <w:rFonts w:eastAsia="Times New Roman"/>
          <w:lang w:val="uk-UA" w:eastAsia="fr-FR"/>
        </w:rPr>
        <w:t xml:space="preserve"> </w:t>
      </w:r>
      <w:r w:rsidRPr="009A3F85">
        <w:rPr>
          <w:rFonts w:eastAsia="Times New Roman"/>
          <w:lang w:val="uk-UA" w:eastAsia="fr-FR"/>
        </w:rPr>
        <w:t>с</w:t>
      </w:r>
      <w:r w:rsidRPr="009A3F85" w:rsidR="00E13340">
        <w:rPr>
          <w:rFonts w:eastAsia="Times New Roman"/>
          <w:lang w:val="uk-UA" w:eastAsia="fr-FR"/>
        </w:rPr>
        <w:t>карга за статтею 6 є несумісною</w:t>
      </w:r>
      <w:r w:rsidRPr="009A3F85">
        <w:rPr>
          <w:rFonts w:eastAsia="Times New Roman"/>
          <w:lang w:val="uk-UA" w:eastAsia="fr-FR"/>
        </w:rPr>
        <w:t xml:space="preserve"> </w:t>
      </w:r>
      <w:r w:rsidRPr="009A3F85">
        <w:rPr>
          <w:rFonts w:eastAsia="Times New Roman"/>
          <w:i/>
          <w:lang w:val="uk-UA" w:eastAsia="fr-FR"/>
        </w:rPr>
        <w:t>ratione materiae</w:t>
      </w:r>
      <w:r w:rsidRPr="009A3F85">
        <w:rPr>
          <w:rFonts w:eastAsia="Times New Roman"/>
          <w:lang w:val="uk-UA" w:eastAsia="fr-FR"/>
        </w:rPr>
        <w:t xml:space="preserve"> з положеннями Конвенції.»</w:t>
      </w:r>
    </w:p>
    <w:p w:rsidRPr="009A3F85" w:rsidR="006D147C" w:rsidP="009A3F85">
      <w:pPr>
        <w:pStyle w:val="ECHRPara"/>
        <w:rPr>
          <w:lang w:val="uk-UA"/>
        </w:rPr>
      </w:pPr>
      <w:r w:rsidRPr="009A3F85">
        <w:rPr>
          <w:lang w:val="uk-UA"/>
        </w:rPr>
        <w:fldChar w:fldCharType="begin"/>
      </w:r>
      <w:r w:rsidRPr="009A3F85">
        <w:rPr>
          <w:lang w:val="uk-UA"/>
        </w:rPr>
        <w:instrText xml:space="preserve"> SEQ level0 \*arabic </w:instrText>
      </w:r>
      <w:r w:rsidRPr="009A3F85">
        <w:rPr>
          <w:lang w:val="uk-UA"/>
        </w:rPr>
        <w:fldChar w:fldCharType="separate"/>
      </w:r>
      <w:r w:rsidRPr="009A3F85" w:rsidR="009A3F85">
        <w:rPr>
          <w:noProof/>
          <w:lang w:val="uk-UA"/>
        </w:rPr>
        <w:t>46</w:t>
      </w:r>
      <w:r w:rsidRPr="009A3F85">
        <w:rPr>
          <w:lang w:val="uk-UA"/>
        </w:rPr>
        <w:fldChar w:fldCharType="end"/>
      </w:r>
      <w:r w:rsidRPr="009A3F85">
        <w:rPr>
          <w:lang w:val="uk-UA"/>
        </w:rPr>
        <w:t xml:space="preserve">.  Проте </w:t>
      </w:r>
      <w:r w:rsidRPr="009A3F85" w:rsidR="00E13340">
        <w:rPr>
          <w:lang w:val="uk-UA"/>
        </w:rPr>
        <w:t>у разі, якщо</w:t>
      </w:r>
      <w:r w:rsidRPr="009A3F85">
        <w:rPr>
          <w:lang w:val="uk-UA"/>
        </w:rPr>
        <w:t xml:space="preserve"> скарга у </w:t>
      </w:r>
      <w:r w:rsidRPr="009A3F85" w:rsidR="008B3A03">
        <w:rPr>
          <w:lang w:val="uk-UA"/>
        </w:rPr>
        <w:t>екстраординарному порядку</w:t>
      </w:r>
      <w:r w:rsidRPr="009A3F85">
        <w:rPr>
          <w:lang w:val="uk-UA"/>
        </w:rPr>
        <w:t xml:space="preserve"> </w:t>
      </w:r>
      <w:r w:rsidRPr="009A3F85" w:rsidR="00D42424">
        <w:rPr>
          <w:lang w:val="uk-UA"/>
        </w:rPr>
        <w:t xml:space="preserve">стосується або призводить до повторного </w:t>
      </w:r>
      <w:r w:rsidRPr="009A3F85" w:rsidR="00E13340">
        <w:rPr>
          <w:lang w:val="uk-UA"/>
        </w:rPr>
        <w:t>розгляд</w:t>
      </w:r>
      <w:r w:rsidRPr="009A3F85" w:rsidR="00D42424">
        <w:rPr>
          <w:lang w:val="uk-UA"/>
        </w:rPr>
        <w:t>у</w:t>
      </w:r>
      <w:r w:rsidRPr="009A3F85" w:rsidR="00E13340">
        <w:rPr>
          <w:lang w:val="uk-UA"/>
        </w:rPr>
        <w:t xml:space="preserve"> справи</w:t>
      </w:r>
      <w:r w:rsidRPr="009A3F85">
        <w:rPr>
          <w:lang w:val="uk-UA"/>
        </w:rPr>
        <w:t xml:space="preserve">, стаття 6 Конвенції </w:t>
      </w:r>
      <w:r w:rsidRPr="009A3F85" w:rsidR="00E13340">
        <w:rPr>
          <w:lang w:val="uk-UA"/>
        </w:rPr>
        <w:t>застосовуватиметься</w:t>
      </w:r>
      <w:r w:rsidRPr="009A3F85">
        <w:rPr>
          <w:lang w:val="uk-UA"/>
        </w:rPr>
        <w:t xml:space="preserve"> </w:t>
      </w:r>
      <w:r w:rsidRPr="009A3F85" w:rsidR="00E13340">
        <w:rPr>
          <w:lang w:val="uk-UA"/>
        </w:rPr>
        <w:t xml:space="preserve">до провадження </w:t>
      </w:r>
      <w:r w:rsidRPr="009A3F85" w:rsidR="00D42424">
        <w:rPr>
          <w:lang w:val="uk-UA"/>
        </w:rPr>
        <w:t>щодо</w:t>
      </w:r>
      <w:r w:rsidRPr="009A3F85" w:rsidR="00E13340">
        <w:rPr>
          <w:lang w:val="uk-UA"/>
        </w:rPr>
        <w:t xml:space="preserve"> «повторного розгляду»</w:t>
      </w:r>
      <w:r w:rsidRPr="009A3F85">
        <w:rPr>
          <w:lang w:val="uk-UA"/>
        </w:rPr>
        <w:t xml:space="preserve"> </w:t>
      </w:r>
      <w:r w:rsidRPr="009A3F85" w:rsidR="00D42424">
        <w:rPr>
          <w:lang w:val="uk-UA"/>
        </w:rPr>
        <w:t>за загальним правилом</w:t>
      </w:r>
      <w:r w:rsidRPr="009A3F85">
        <w:rPr>
          <w:lang w:val="uk-UA"/>
        </w:rPr>
        <w:t xml:space="preserve"> (див., наприклад, вищенаведене рішення у справі «Саблон проти Бельгії» (</w:t>
      </w:r>
      <w:r w:rsidRPr="009A3F85">
        <w:rPr>
          <w:i/>
          <w:lang w:val="uk-UA"/>
        </w:rPr>
        <w:t>Sablon v. Belgium</w:t>
      </w:r>
      <w:r w:rsidRPr="009A3F85">
        <w:rPr>
          <w:lang w:val="uk-UA"/>
        </w:rPr>
        <w:t>), пп. 88-89; рішення у справах «Ванян проти Ро</w:t>
      </w:r>
      <w:r w:rsidRPr="009A3F85" w:rsidR="00E13340">
        <w:rPr>
          <w:lang w:val="uk-UA"/>
        </w:rPr>
        <w:t>с</w:t>
      </w:r>
      <w:r w:rsidRPr="009A3F85">
        <w:rPr>
          <w:lang w:val="uk-UA"/>
        </w:rPr>
        <w:t>ії» (</w:t>
      </w:r>
      <w:r w:rsidRPr="009A3F85">
        <w:rPr>
          <w:i/>
          <w:lang w:val="uk-UA"/>
        </w:rPr>
        <w:t>Vanyan v. Russia</w:t>
      </w:r>
      <w:r w:rsidRPr="009A3F85">
        <w:rPr>
          <w:lang w:val="uk-UA"/>
        </w:rPr>
        <w:t>), заява №</w:t>
      </w:r>
      <w:r w:rsidRPr="009A3F85">
        <w:rPr>
          <w:rFonts w:eastAsia="Times New Roman"/>
          <w:szCs w:val="24"/>
          <w:lang w:val="uk-UA" w:eastAsia="fr-FR"/>
        </w:rPr>
        <w:t> </w:t>
      </w:r>
      <w:r w:rsidRPr="009A3F85">
        <w:rPr>
          <w:lang w:val="uk-UA"/>
        </w:rPr>
        <w:t>53203/99, п. 56, від 15 грудня 2005 року;</w:t>
      </w:r>
      <w:r w:rsidRPr="009A3F85">
        <w:rPr>
          <w:i/>
          <w:lang w:val="uk-UA"/>
        </w:rPr>
        <w:t xml:space="preserve"> </w:t>
      </w:r>
      <w:r w:rsidRPr="009A3F85">
        <w:rPr>
          <w:lang w:val="uk-UA"/>
        </w:rPr>
        <w:t>«Засурцев проти Росії»</w:t>
      </w:r>
      <w:r w:rsidRPr="009A3F85">
        <w:rPr>
          <w:i/>
          <w:lang w:val="uk-UA"/>
        </w:rPr>
        <w:t xml:space="preserve"> (Zasurtsev v. Russia</w:t>
      </w:r>
      <w:r w:rsidRPr="009A3F85">
        <w:rPr>
          <w:lang w:val="uk-UA"/>
        </w:rPr>
        <w:t xml:space="preserve">), заява № 67051/01, п. 62, від 27 квітня 2006 </w:t>
      </w:r>
      <w:r w:rsidRPr="009A3F85">
        <w:rPr>
          <w:rFonts w:eastAsia="Times New Roman"/>
          <w:szCs w:val="24"/>
          <w:lang w:val="uk-UA" w:eastAsia="fr-FR"/>
        </w:rPr>
        <w:t>року</w:t>
      </w:r>
      <w:r w:rsidRPr="009A3F85">
        <w:rPr>
          <w:lang w:val="uk-UA"/>
        </w:rPr>
        <w:t xml:space="preserve">; </w:t>
      </w:r>
      <w:r w:rsidRPr="009A3F85" w:rsidR="00E13340">
        <w:rPr>
          <w:lang w:val="uk-UA"/>
        </w:rPr>
        <w:t>«Алєксєєнко проти Росії» (</w:t>
      </w:r>
      <w:r w:rsidRPr="009A3F85">
        <w:rPr>
          <w:i/>
          <w:lang w:val="uk-UA"/>
        </w:rPr>
        <w:t>Alekseyenko v. Russia</w:t>
      </w:r>
      <w:r w:rsidRPr="009A3F85" w:rsidR="00E13340">
        <w:rPr>
          <w:lang w:val="uk-UA"/>
        </w:rPr>
        <w:t>)</w:t>
      </w:r>
      <w:r w:rsidRPr="009A3F85">
        <w:rPr>
          <w:lang w:val="uk-UA"/>
        </w:rPr>
        <w:t>, заява №</w:t>
      </w:r>
      <w:r w:rsidRPr="009A3F85" w:rsidR="00D42424">
        <w:rPr>
          <w:rFonts w:eastAsia="Times New Roman"/>
          <w:szCs w:val="24"/>
          <w:lang w:val="uk-UA" w:eastAsia="fr-FR"/>
        </w:rPr>
        <w:t> </w:t>
      </w:r>
      <w:r w:rsidRPr="009A3F85">
        <w:rPr>
          <w:lang w:val="uk-UA"/>
        </w:rPr>
        <w:t xml:space="preserve">74266/01, п. 55, від 8 січня 2009 року; вищенаведене рішення у справі </w:t>
      </w:r>
      <w:r w:rsidRPr="009A3F85">
        <w:rPr>
          <w:rFonts w:eastAsia="Times New Roman"/>
          <w:lang w:val="uk-UA" w:eastAsia="fr-FR"/>
        </w:rPr>
        <w:t>«Аккар проти Франції» (</w:t>
      </w:r>
      <w:r w:rsidRPr="009A3F85">
        <w:rPr>
          <w:rFonts w:eastAsia="Times New Roman"/>
          <w:i/>
          <w:lang w:val="uk-UA" w:eastAsia="fr-FR"/>
        </w:rPr>
        <w:t>Hakkar v. France</w:t>
      </w:r>
      <w:r w:rsidRPr="009A3F85">
        <w:rPr>
          <w:rFonts w:eastAsia="Times New Roman"/>
          <w:lang w:val="uk-UA" w:eastAsia="fr-FR"/>
        </w:rPr>
        <w:t>)</w:t>
      </w:r>
      <w:r w:rsidRPr="009A3F85">
        <w:rPr>
          <w:lang w:val="uk-UA"/>
        </w:rPr>
        <w:t>; та ухвалу щодо прийнятності у справі «Різі проти Албанії» (</w:t>
      </w:r>
      <w:r w:rsidRPr="009A3F85">
        <w:rPr>
          <w:i/>
          <w:lang w:val="uk-UA"/>
        </w:rPr>
        <w:t>Rizi v. Albania</w:t>
      </w:r>
      <w:r w:rsidRPr="009A3F85">
        <w:rPr>
          <w:lang w:val="uk-UA"/>
        </w:rPr>
        <w:t>), заява №</w:t>
      </w:r>
      <w:r w:rsidRPr="009A3F85" w:rsidR="00E13340">
        <w:rPr>
          <w:rFonts w:eastAsia="Times New Roman"/>
          <w:szCs w:val="24"/>
          <w:lang w:val="uk-UA" w:eastAsia="fr-FR"/>
        </w:rPr>
        <w:t> </w:t>
      </w:r>
      <w:r w:rsidRPr="009A3F85">
        <w:rPr>
          <w:lang w:val="uk-UA"/>
        </w:rPr>
        <w:t>49201/06, п. 47, від 8 листопада 2011 року).</w:t>
      </w:r>
    </w:p>
    <w:p w:rsidRPr="009A3F85" w:rsidR="006D147C" w:rsidP="009A3F85">
      <w:pPr>
        <w:pStyle w:val="ECHRPara"/>
        <w:rPr>
          <w:rFonts w:eastAsia="Times New Roman"/>
          <w:snapToGrid w:val="0"/>
          <w:szCs w:val="24"/>
          <w:lang w:val="uk-UA" w:eastAsia="fr-FR"/>
        </w:rPr>
      </w:pPr>
      <w:r w:rsidRPr="009A3F85">
        <w:rPr>
          <w:rFonts w:eastAsia="Times New Roman"/>
          <w:szCs w:val="24"/>
          <w:lang w:val="uk-UA" w:eastAsia="fr-FR"/>
        </w:rPr>
        <w:fldChar w:fldCharType="begin"/>
      </w:r>
      <w:r w:rsidRPr="009A3F85">
        <w:rPr>
          <w:rFonts w:eastAsia="Times New Roman"/>
          <w:szCs w:val="24"/>
          <w:lang w:val="uk-UA" w:eastAsia="fr-FR"/>
        </w:rPr>
        <w:instrText xml:space="preserve"> SEQ level0 \*arabic </w:instrText>
      </w:r>
      <w:r w:rsidRPr="009A3F85">
        <w:rPr>
          <w:rFonts w:eastAsia="Times New Roman"/>
          <w:szCs w:val="24"/>
          <w:lang w:val="uk-UA" w:eastAsia="fr-FR"/>
        </w:rPr>
        <w:fldChar w:fldCharType="separate"/>
      </w:r>
      <w:r w:rsidRPr="009A3F85" w:rsidR="009A3F85">
        <w:rPr>
          <w:rFonts w:eastAsia="Times New Roman"/>
          <w:noProof/>
          <w:szCs w:val="24"/>
          <w:lang w:val="uk-UA" w:eastAsia="fr-FR"/>
        </w:rPr>
        <w:t>47</w:t>
      </w:r>
      <w:r w:rsidRPr="009A3F85">
        <w:rPr>
          <w:rFonts w:eastAsia="Times New Roman"/>
          <w:szCs w:val="24"/>
          <w:lang w:val="uk-UA" w:eastAsia="fr-FR"/>
        </w:rPr>
        <w:fldChar w:fldCharType="end"/>
      </w:r>
      <w:r w:rsidRPr="009A3F85">
        <w:rPr>
          <w:rFonts w:eastAsia="Times New Roman"/>
          <w:szCs w:val="24"/>
          <w:lang w:val="uk-UA" w:eastAsia="fr-FR"/>
        </w:rPr>
        <w:t xml:space="preserve">.  Більше того, </w:t>
      </w:r>
      <w:r w:rsidRPr="009A3F85">
        <w:rPr>
          <w:rFonts w:eastAsia="Times New Roman"/>
          <w:snapToGrid w:val="0"/>
          <w:szCs w:val="24"/>
          <w:lang w:val="uk-UA" w:eastAsia="fr-FR"/>
        </w:rPr>
        <w:t>статт</w:t>
      </w:r>
      <w:r w:rsidRPr="009A3F85" w:rsidR="00747E91">
        <w:rPr>
          <w:rFonts w:eastAsia="Times New Roman"/>
          <w:snapToGrid w:val="0"/>
          <w:szCs w:val="24"/>
          <w:lang w:val="uk-UA" w:eastAsia="fr-FR"/>
        </w:rPr>
        <w:t>я</w:t>
      </w:r>
      <w:r w:rsidRPr="009A3F85">
        <w:rPr>
          <w:rFonts w:eastAsia="Times New Roman"/>
          <w:snapToGrid w:val="0"/>
          <w:szCs w:val="24"/>
          <w:lang w:val="uk-UA" w:eastAsia="fr-FR"/>
        </w:rPr>
        <w:t xml:space="preserve"> 6 Конвенці</w:t>
      </w:r>
      <w:r w:rsidRPr="009A3F85" w:rsidR="00747E91">
        <w:rPr>
          <w:rFonts w:eastAsia="Times New Roman"/>
          <w:snapToGrid w:val="0"/>
          <w:szCs w:val="24"/>
          <w:lang w:val="uk-UA" w:eastAsia="fr-FR"/>
        </w:rPr>
        <w:t>ї</w:t>
      </w:r>
      <w:r w:rsidRPr="009A3F85">
        <w:rPr>
          <w:rFonts w:eastAsia="Times New Roman"/>
          <w:snapToGrid w:val="0"/>
          <w:szCs w:val="24"/>
          <w:lang w:val="uk-UA" w:eastAsia="fr-FR"/>
        </w:rPr>
        <w:t xml:space="preserve"> визна</w:t>
      </w:r>
      <w:r w:rsidRPr="009A3F85" w:rsidR="00747E91">
        <w:rPr>
          <w:rFonts w:eastAsia="Times New Roman"/>
          <w:snapToGrid w:val="0"/>
          <w:szCs w:val="24"/>
          <w:lang w:val="uk-UA" w:eastAsia="fr-FR"/>
        </w:rPr>
        <w:t>валась</w:t>
      </w:r>
      <w:r w:rsidRPr="009A3F85">
        <w:rPr>
          <w:rFonts w:eastAsia="Times New Roman"/>
          <w:snapToGrid w:val="0"/>
          <w:szCs w:val="24"/>
          <w:lang w:val="uk-UA" w:eastAsia="fr-FR"/>
        </w:rPr>
        <w:t xml:space="preserve"> застосовною у певних випадках, коли провадження, хоч і </w:t>
      </w:r>
      <w:r w:rsidRPr="009A3F85" w:rsidR="00747E91">
        <w:rPr>
          <w:rFonts w:eastAsia="Times New Roman"/>
          <w:snapToGrid w:val="0"/>
          <w:szCs w:val="24"/>
          <w:lang w:val="uk-UA" w:eastAsia="fr-FR"/>
        </w:rPr>
        <w:t xml:space="preserve">характеризувалось </w:t>
      </w:r>
      <w:r w:rsidRPr="009A3F85">
        <w:rPr>
          <w:rFonts w:eastAsia="Times New Roman"/>
          <w:snapToGrid w:val="0"/>
          <w:szCs w:val="24"/>
          <w:lang w:val="uk-UA" w:eastAsia="fr-FR"/>
        </w:rPr>
        <w:t>за національним законодавством як «</w:t>
      </w:r>
      <w:r w:rsidRPr="009A3F85" w:rsidR="00747E91">
        <w:rPr>
          <w:rFonts w:eastAsia="Times New Roman"/>
          <w:snapToGrid w:val="0"/>
          <w:szCs w:val="24"/>
          <w:lang w:val="uk-UA" w:eastAsia="fr-FR"/>
        </w:rPr>
        <w:t>екстраординарн</w:t>
      </w:r>
      <w:r w:rsidRPr="009A3F85" w:rsidR="00D30C03">
        <w:rPr>
          <w:rFonts w:eastAsia="Times New Roman"/>
          <w:snapToGrid w:val="0"/>
          <w:szCs w:val="24"/>
          <w:lang w:val="uk-UA" w:eastAsia="fr-FR"/>
        </w:rPr>
        <w:t>им</w:t>
      </w:r>
      <w:r w:rsidRPr="009A3F85">
        <w:rPr>
          <w:rFonts w:eastAsia="Times New Roman"/>
          <w:snapToGrid w:val="0"/>
          <w:szCs w:val="24"/>
          <w:lang w:val="uk-UA" w:eastAsia="fr-FR"/>
        </w:rPr>
        <w:t>» або «</w:t>
      </w:r>
      <w:r w:rsidRPr="009A3F85" w:rsidR="00747E91">
        <w:rPr>
          <w:rFonts w:eastAsia="Times New Roman"/>
          <w:snapToGrid w:val="0"/>
          <w:szCs w:val="24"/>
          <w:lang w:val="uk-UA" w:eastAsia="fr-FR"/>
        </w:rPr>
        <w:t>виключн</w:t>
      </w:r>
      <w:r w:rsidRPr="009A3F85" w:rsidR="00D30C03">
        <w:rPr>
          <w:rFonts w:eastAsia="Times New Roman"/>
          <w:snapToGrid w:val="0"/>
          <w:szCs w:val="24"/>
          <w:lang w:val="uk-UA" w:eastAsia="fr-FR"/>
        </w:rPr>
        <w:t>им</w:t>
      </w:r>
      <w:r w:rsidRPr="009A3F85">
        <w:rPr>
          <w:rFonts w:eastAsia="Times New Roman"/>
          <w:snapToGrid w:val="0"/>
          <w:szCs w:val="24"/>
          <w:lang w:val="uk-UA" w:eastAsia="fr-FR"/>
        </w:rPr>
        <w:t xml:space="preserve">», </w:t>
      </w:r>
      <w:r w:rsidRPr="009A3F85" w:rsidR="00D42424">
        <w:rPr>
          <w:rFonts w:eastAsia="Times New Roman"/>
          <w:snapToGrid w:val="0"/>
          <w:szCs w:val="24"/>
          <w:lang w:val="uk-UA" w:eastAsia="fr-FR"/>
        </w:rPr>
        <w:t xml:space="preserve">видавалися </w:t>
      </w:r>
      <w:r w:rsidRPr="009A3F85">
        <w:rPr>
          <w:rFonts w:eastAsia="Times New Roman"/>
          <w:snapToGrid w:val="0"/>
          <w:szCs w:val="24"/>
          <w:lang w:val="uk-UA" w:eastAsia="fr-FR"/>
        </w:rPr>
        <w:t xml:space="preserve">за </w:t>
      </w:r>
      <w:r w:rsidRPr="009A3F85" w:rsidR="00747E91">
        <w:rPr>
          <w:rFonts w:eastAsia="Times New Roman"/>
          <w:snapToGrid w:val="0"/>
          <w:szCs w:val="24"/>
          <w:lang w:val="uk-UA" w:eastAsia="fr-FR"/>
        </w:rPr>
        <w:t xml:space="preserve">своєю природою </w:t>
      </w:r>
      <w:r w:rsidRPr="009A3F85">
        <w:rPr>
          <w:rFonts w:eastAsia="Times New Roman"/>
          <w:snapToGrid w:val="0"/>
          <w:szCs w:val="24"/>
          <w:lang w:val="uk-UA" w:eastAsia="fr-FR"/>
        </w:rPr>
        <w:t xml:space="preserve">та </w:t>
      </w:r>
      <w:r w:rsidRPr="009A3F85" w:rsidR="00747E91">
        <w:rPr>
          <w:rFonts w:eastAsia="Times New Roman"/>
          <w:snapToGrid w:val="0"/>
          <w:szCs w:val="24"/>
          <w:lang w:val="uk-UA" w:eastAsia="fr-FR"/>
        </w:rPr>
        <w:t xml:space="preserve">обсягом </w:t>
      </w:r>
      <w:r w:rsidRPr="009A3F85" w:rsidR="00D42424">
        <w:rPr>
          <w:rFonts w:eastAsia="Times New Roman"/>
          <w:snapToGrid w:val="0"/>
          <w:szCs w:val="24"/>
          <w:lang w:val="uk-UA" w:eastAsia="fr-FR"/>
        </w:rPr>
        <w:t xml:space="preserve">схожими на звичайне </w:t>
      </w:r>
      <w:r w:rsidRPr="009A3F85">
        <w:rPr>
          <w:rFonts w:eastAsia="Times New Roman"/>
          <w:snapToGrid w:val="0"/>
          <w:szCs w:val="24"/>
          <w:lang w:val="uk-UA" w:eastAsia="fr-FR"/>
        </w:rPr>
        <w:t>провадженн</w:t>
      </w:r>
      <w:r w:rsidRPr="009A3F85" w:rsidR="00D42424">
        <w:rPr>
          <w:rFonts w:eastAsia="Times New Roman"/>
          <w:snapToGrid w:val="0"/>
          <w:szCs w:val="24"/>
          <w:lang w:val="uk-UA" w:eastAsia="fr-FR"/>
        </w:rPr>
        <w:t>я</w:t>
      </w:r>
      <w:r w:rsidRPr="009A3F85">
        <w:rPr>
          <w:rFonts w:eastAsia="Times New Roman"/>
          <w:snapToGrid w:val="0"/>
          <w:szCs w:val="24"/>
          <w:lang w:val="uk-UA" w:eastAsia="fr-FR"/>
        </w:rPr>
        <w:t xml:space="preserve"> у рамках оскарження, при цьому кваліфікація провадження на національному рівні для питання застосовності</w:t>
      </w:r>
      <w:r w:rsidRPr="009A3F85" w:rsidR="00747E91">
        <w:rPr>
          <w:rFonts w:eastAsia="Times New Roman"/>
          <w:snapToGrid w:val="0"/>
          <w:szCs w:val="24"/>
          <w:lang w:val="uk-UA" w:eastAsia="fr-FR"/>
        </w:rPr>
        <w:t xml:space="preserve"> не вважалася вирішальною</w:t>
      </w:r>
      <w:r w:rsidRPr="009A3F85">
        <w:rPr>
          <w:rFonts w:eastAsia="Times New Roman"/>
          <w:snapToGrid w:val="0"/>
          <w:szCs w:val="24"/>
          <w:lang w:val="uk-UA" w:eastAsia="fr-FR"/>
        </w:rPr>
        <w:t>.</w:t>
      </w:r>
    </w:p>
    <w:p w:rsidRPr="009A3F85" w:rsidR="006D147C" w:rsidP="009A3F85">
      <w:pPr>
        <w:pStyle w:val="ECHRPara"/>
        <w:rPr>
          <w:lang w:val="uk-UA"/>
        </w:rPr>
      </w:pPr>
      <w:r w:rsidRPr="009A3F85">
        <w:rPr>
          <w:lang w:val="uk-UA"/>
        </w:rPr>
        <w:fldChar w:fldCharType="begin"/>
      </w:r>
      <w:r w:rsidRPr="009A3F85">
        <w:rPr>
          <w:lang w:val="uk-UA"/>
        </w:rPr>
        <w:instrText xml:space="preserve"> SEQ level0 \*arabic </w:instrText>
      </w:r>
      <w:r w:rsidRPr="009A3F85">
        <w:rPr>
          <w:lang w:val="uk-UA"/>
        </w:rPr>
        <w:fldChar w:fldCharType="separate"/>
      </w:r>
      <w:r w:rsidRPr="009A3F85" w:rsidR="009A3F85">
        <w:rPr>
          <w:noProof/>
          <w:lang w:val="uk-UA"/>
        </w:rPr>
        <w:t>48</w:t>
      </w:r>
      <w:r w:rsidRPr="009A3F85">
        <w:rPr>
          <w:noProof/>
          <w:lang w:val="uk-UA"/>
        </w:rPr>
        <w:fldChar w:fldCharType="end"/>
      </w:r>
      <w:r w:rsidRPr="009A3F85">
        <w:rPr>
          <w:lang w:val="uk-UA"/>
        </w:rPr>
        <w:t>.  Отже, у рішенні у справі «</w:t>
      </w:r>
      <w:r w:rsidRPr="009A3F85" w:rsidR="001034EA">
        <w:rPr>
          <w:lang w:val="uk-UA"/>
        </w:rPr>
        <w:t>«</w:t>
      </w:r>
      <w:r w:rsidRPr="009A3F85">
        <w:rPr>
          <w:lang w:val="uk-UA"/>
        </w:rPr>
        <w:t>San Leonard Band Club</w:t>
      </w:r>
      <w:r w:rsidRPr="009A3F85" w:rsidR="001034EA">
        <w:rPr>
          <w:lang w:val="uk-UA"/>
        </w:rPr>
        <w:t>»</w:t>
      </w:r>
      <w:r w:rsidRPr="009A3F85">
        <w:rPr>
          <w:lang w:val="uk-UA"/>
        </w:rPr>
        <w:t xml:space="preserve"> проти Мальти» (</w:t>
      </w:r>
      <w:r w:rsidRPr="009A3F85">
        <w:rPr>
          <w:i/>
          <w:lang w:val="uk-UA"/>
        </w:rPr>
        <w:t>San Leonard Band Club v. Malta</w:t>
      </w:r>
      <w:r w:rsidRPr="009A3F85">
        <w:rPr>
          <w:lang w:val="uk-UA"/>
        </w:rPr>
        <w:t xml:space="preserve">) (заява № 77562/01, пп. 41-48, ECHR 2004 IX) статтю 6 Конвенції було визнано застосовною до провадження </w:t>
      </w:r>
      <w:r w:rsidRPr="009A3F85" w:rsidR="00747E91">
        <w:rPr>
          <w:lang w:val="uk-UA"/>
        </w:rPr>
        <w:t>за</w:t>
      </w:r>
      <w:r w:rsidRPr="009A3F85">
        <w:rPr>
          <w:lang w:val="uk-UA"/>
        </w:rPr>
        <w:t xml:space="preserve"> клопотання</w:t>
      </w:r>
      <w:r w:rsidRPr="009A3F85" w:rsidR="00747E91">
        <w:rPr>
          <w:lang w:val="uk-UA"/>
        </w:rPr>
        <w:t>м</w:t>
      </w:r>
      <w:r w:rsidRPr="009A3F85">
        <w:rPr>
          <w:lang w:val="uk-UA"/>
        </w:rPr>
        <w:t xml:space="preserve"> про новий розгляд справи. Суд дійшов висновку, що клопотання було </w:t>
      </w:r>
      <w:r w:rsidRPr="009A3F85" w:rsidR="00D42424">
        <w:rPr>
          <w:lang w:val="uk-UA"/>
        </w:rPr>
        <w:t xml:space="preserve">схожим на скаргу </w:t>
      </w:r>
      <w:r w:rsidRPr="009A3F85">
        <w:rPr>
          <w:lang w:val="uk-UA"/>
        </w:rPr>
        <w:t xml:space="preserve">з </w:t>
      </w:r>
      <w:r w:rsidRPr="009A3F85">
        <w:rPr>
          <w:lang w:val="uk-UA"/>
        </w:rPr>
        <w:t>питань права</w:t>
      </w:r>
      <w:r w:rsidRPr="009A3F85" w:rsidR="00747E91">
        <w:rPr>
          <w:lang w:val="uk-UA"/>
        </w:rPr>
        <w:t>, яка подається</w:t>
      </w:r>
      <w:r w:rsidRPr="009A3F85">
        <w:rPr>
          <w:lang w:val="uk-UA"/>
        </w:rPr>
        <w:t xml:space="preserve"> до суду касаційної інстанції, органи влади Мальти не було наділено жодними дискреційними повноваженнями, але вони мали </w:t>
      </w:r>
      <w:r w:rsidRPr="009A3F85" w:rsidR="00D42424">
        <w:rPr>
          <w:lang w:val="uk-UA"/>
        </w:rPr>
        <w:t xml:space="preserve">прийняти </w:t>
      </w:r>
      <w:r w:rsidRPr="009A3F85">
        <w:rPr>
          <w:lang w:val="uk-UA"/>
        </w:rPr>
        <w:t>рішення за клопотанням</w:t>
      </w:r>
      <w:r w:rsidRPr="009A3F85" w:rsidR="001034EA">
        <w:rPr>
          <w:lang w:val="uk-UA"/>
        </w:rPr>
        <w:t>, а</w:t>
      </w:r>
      <w:r w:rsidRPr="009A3F85">
        <w:rPr>
          <w:lang w:val="uk-UA"/>
        </w:rPr>
        <w:t xml:space="preserve"> результати нового судового розгляду були вирішальними для «прав та обов</w:t>
      </w:r>
      <w:r w:rsidRPr="009A3F85" w:rsidR="009A3F85">
        <w:rPr>
          <w:lang w:val="uk-UA"/>
        </w:rPr>
        <w:t>’</w:t>
      </w:r>
      <w:r w:rsidRPr="009A3F85">
        <w:rPr>
          <w:lang w:val="uk-UA"/>
        </w:rPr>
        <w:t>язків цивільного характеру» підприємства-заявника.</w:t>
      </w:r>
    </w:p>
    <w:p w:rsidRPr="009A3F85" w:rsidR="006D147C" w:rsidP="009A3F85">
      <w:pPr>
        <w:pStyle w:val="ECHRPara"/>
        <w:rPr>
          <w:rFonts w:eastAsia="Times New Roman"/>
          <w:snapToGrid w:val="0"/>
          <w:lang w:val="uk-UA" w:eastAsia="fr-FR"/>
        </w:rPr>
      </w:pPr>
      <w:r w:rsidRPr="009A3F85">
        <w:rPr>
          <w:rFonts w:eastAsia="Times New Roman"/>
          <w:lang w:val="uk-UA" w:eastAsia="fr-FR"/>
        </w:rPr>
        <w:fldChar w:fldCharType="begin"/>
      </w:r>
      <w:r w:rsidRPr="009A3F85">
        <w:rPr>
          <w:rFonts w:eastAsia="Times New Roman"/>
          <w:lang w:val="uk-UA" w:eastAsia="fr-FR"/>
        </w:rPr>
        <w:instrText xml:space="preserve"> SEQ level0 \*arabic </w:instrText>
      </w:r>
      <w:r w:rsidRPr="009A3F85">
        <w:rPr>
          <w:rFonts w:eastAsia="Times New Roman"/>
          <w:lang w:val="uk-UA" w:eastAsia="fr-FR"/>
        </w:rPr>
        <w:fldChar w:fldCharType="separate"/>
      </w:r>
      <w:r w:rsidRPr="009A3F85" w:rsidR="009A3F85">
        <w:rPr>
          <w:rFonts w:eastAsia="Times New Roman"/>
          <w:noProof/>
          <w:lang w:val="uk-UA" w:eastAsia="fr-FR"/>
        </w:rPr>
        <w:t>49</w:t>
      </w:r>
      <w:r w:rsidRPr="009A3F85">
        <w:rPr>
          <w:rFonts w:eastAsia="Times New Roman"/>
          <w:lang w:val="uk-UA" w:eastAsia="fr-FR"/>
        </w:rPr>
        <w:fldChar w:fldCharType="end"/>
      </w:r>
      <w:r w:rsidRPr="009A3F85">
        <w:rPr>
          <w:rFonts w:eastAsia="Times New Roman"/>
          <w:lang w:val="uk-UA" w:eastAsia="fr-FR"/>
        </w:rPr>
        <w:t>.  Аналогічним чином у рішенні від</w:t>
      </w:r>
      <w:r w:rsidRPr="009A3F85">
        <w:rPr>
          <w:rFonts w:eastAsia="Times New Roman"/>
          <w:snapToGrid w:val="0"/>
          <w:lang w:val="uk-UA" w:eastAsia="fr-FR"/>
        </w:rPr>
        <w:t xml:space="preserve"> 25 </w:t>
      </w:r>
      <w:r w:rsidRPr="009A3F85" w:rsidR="000711F0">
        <w:rPr>
          <w:rFonts w:eastAsia="Times New Roman"/>
          <w:snapToGrid w:val="0"/>
          <w:lang w:val="uk-UA" w:eastAsia="fr-FR"/>
        </w:rPr>
        <w:t xml:space="preserve">червня </w:t>
      </w:r>
      <w:r w:rsidRPr="009A3F85">
        <w:rPr>
          <w:rFonts w:eastAsia="Times New Roman"/>
          <w:snapToGrid w:val="0"/>
          <w:lang w:val="uk-UA" w:eastAsia="fr-FR"/>
        </w:rPr>
        <w:t>2009 року</w:t>
      </w:r>
      <w:r w:rsidRPr="009A3F85">
        <w:rPr>
          <w:rFonts w:eastAsia="Times New Roman"/>
          <w:lang w:val="uk-UA" w:eastAsia="fr-FR"/>
        </w:rPr>
        <w:t xml:space="preserve"> у справі «Маресті проти Хорватії» (</w:t>
      </w:r>
      <w:r w:rsidRPr="009A3F85">
        <w:rPr>
          <w:rFonts w:eastAsia="Times New Roman"/>
          <w:i/>
          <w:lang w:val="uk-UA" w:eastAsia="fr-FR"/>
        </w:rPr>
        <w:t>Maresti v. Croatia</w:t>
      </w:r>
      <w:r w:rsidRPr="009A3F85">
        <w:rPr>
          <w:rFonts w:eastAsia="Times New Roman"/>
          <w:lang w:val="uk-UA" w:eastAsia="fr-FR"/>
        </w:rPr>
        <w:t>) (заява № 55759/07</w:t>
      </w:r>
      <w:r w:rsidRPr="009A3F85">
        <w:rPr>
          <w:rFonts w:eastAsia="Times New Roman"/>
          <w:snapToGrid w:val="0"/>
          <w:lang w:val="uk-UA" w:eastAsia="fr-FR"/>
        </w:rPr>
        <w:t>) Суд встановив, що провадження з</w:t>
      </w:r>
      <w:r w:rsidRPr="009A3F85" w:rsidR="00747E91">
        <w:rPr>
          <w:rFonts w:eastAsia="Times New Roman"/>
          <w:snapToGrid w:val="0"/>
          <w:lang w:val="uk-UA" w:eastAsia="fr-FR"/>
        </w:rPr>
        <w:t>а</w:t>
      </w:r>
      <w:r w:rsidRPr="009A3F85">
        <w:rPr>
          <w:rFonts w:eastAsia="Times New Roman"/>
          <w:snapToGrid w:val="0"/>
          <w:lang w:val="uk-UA" w:eastAsia="fr-FR"/>
        </w:rPr>
        <w:t xml:space="preserve"> клопотанням про </w:t>
      </w:r>
      <w:r w:rsidRPr="009A3F85" w:rsidR="001034EA">
        <w:rPr>
          <w:rFonts w:eastAsia="Times New Roman"/>
          <w:snapToGrid w:val="0"/>
          <w:lang w:val="uk-UA" w:eastAsia="fr-FR"/>
        </w:rPr>
        <w:t>пере</w:t>
      </w:r>
      <w:r w:rsidRPr="009A3F85">
        <w:rPr>
          <w:rFonts w:eastAsia="Times New Roman"/>
          <w:snapToGrid w:val="0"/>
          <w:lang w:val="uk-UA" w:eastAsia="fr-FR"/>
        </w:rPr>
        <w:t xml:space="preserve">гляд </w:t>
      </w:r>
      <w:r w:rsidRPr="009A3F85" w:rsidR="002C7CF7">
        <w:rPr>
          <w:rFonts w:eastAsia="Times New Roman"/>
          <w:snapToGrid w:val="0"/>
          <w:lang w:val="uk-UA" w:eastAsia="fr-FR"/>
        </w:rPr>
        <w:t xml:space="preserve">у екстраординарному порядку </w:t>
      </w:r>
      <w:r w:rsidRPr="009A3F85" w:rsidR="001034EA">
        <w:rPr>
          <w:rFonts w:eastAsia="Times New Roman"/>
          <w:snapToGrid w:val="0"/>
          <w:lang w:val="uk-UA" w:eastAsia="fr-FR"/>
        </w:rPr>
        <w:t xml:space="preserve">остаточного вироку у кримінальній справі </w:t>
      </w:r>
      <w:r w:rsidRPr="009A3F85">
        <w:rPr>
          <w:rFonts w:eastAsia="Times New Roman"/>
          <w:snapToGrid w:val="0"/>
          <w:lang w:val="uk-UA" w:eastAsia="fr-FR"/>
        </w:rPr>
        <w:t xml:space="preserve">підпадає під дію статті 6 Конвенції. Розглядаючи </w:t>
      </w:r>
      <w:r w:rsidRPr="009A3F85" w:rsidR="00747E91">
        <w:rPr>
          <w:rFonts w:eastAsia="Times New Roman"/>
          <w:snapToGrid w:val="0"/>
          <w:lang w:val="uk-UA" w:eastAsia="fr-FR"/>
        </w:rPr>
        <w:t xml:space="preserve">природу </w:t>
      </w:r>
      <w:r w:rsidRPr="009A3F85">
        <w:rPr>
          <w:rFonts w:eastAsia="Times New Roman"/>
          <w:snapToGrid w:val="0"/>
          <w:lang w:val="uk-UA" w:eastAsia="fr-FR"/>
        </w:rPr>
        <w:t xml:space="preserve">та специфічні риси </w:t>
      </w:r>
      <w:r w:rsidRPr="009A3F85" w:rsidR="00747E91">
        <w:rPr>
          <w:rFonts w:eastAsia="Times New Roman"/>
          <w:snapToGrid w:val="0"/>
          <w:lang w:val="uk-UA" w:eastAsia="fr-FR"/>
        </w:rPr>
        <w:t xml:space="preserve">цього </w:t>
      </w:r>
      <w:r w:rsidRPr="009A3F85">
        <w:rPr>
          <w:rFonts w:eastAsia="Times New Roman"/>
          <w:snapToGrid w:val="0"/>
          <w:szCs w:val="24"/>
          <w:lang w:val="uk-UA" w:eastAsia="fr-FR"/>
        </w:rPr>
        <w:t xml:space="preserve">провадження, Суд зазначив, що </w:t>
      </w:r>
      <w:r w:rsidRPr="009A3F85" w:rsidR="00C67D34">
        <w:rPr>
          <w:rFonts w:eastAsia="Times New Roman"/>
          <w:snapToGrid w:val="0"/>
          <w:szCs w:val="24"/>
          <w:lang w:val="uk-UA" w:eastAsia="fr-FR"/>
        </w:rPr>
        <w:t xml:space="preserve">подання </w:t>
      </w:r>
      <w:r w:rsidRPr="009A3F85">
        <w:rPr>
          <w:rFonts w:eastAsia="Times New Roman"/>
          <w:snapToGrid w:val="0"/>
          <w:szCs w:val="24"/>
          <w:lang w:val="uk-UA" w:eastAsia="fr-FR"/>
        </w:rPr>
        <w:t>підсудни</w:t>
      </w:r>
      <w:r w:rsidRPr="009A3F85" w:rsidR="00C67D34">
        <w:rPr>
          <w:rFonts w:eastAsia="Times New Roman"/>
          <w:snapToGrid w:val="0"/>
          <w:szCs w:val="24"/>
          <w:lang w:val="uk-UA" w:eastAsia="fr-FR"/>
        </w:rPr>
        <w:t>м</w:t>
      </w:r>
      <w:r w:rsidRPr="009A3F85">
        <w:rPr>
          <w:rFonts w:eastAsia="Times New Roman"/>
          <w:snapToGrid w:val="0"/>
          <w:szCs w:val="24"/>
          <w:lang w:val="uk-UA" w:eastAsia="fr-FR"/>
        </w:rPr>
        <w:t xml:space="preserve"> клопотання про </w:t>
      </w:r>
      <w:r w:rsidRPr="009A3F85" w:rsidR="00C67D34">
        <w:rPr>
          <w:rFonts w:eastAsia="Times New Roman"/>
          <w:snapToGrid w:val="0"/>
          <w:szCs w:val="24"/>
          <w:lang w:val="uk-UA" w:eastAsia="fr-FR"/>
        </w:rPr>
        <w:t xml:space="preserve">перегляд </w:t>
      </w:r>
      <w:r w:rsidRPr="009A3F85" w:rsidR="002C7CF7">
        <w:rPr>
          <w:rFonts w:eastAsia="Times New Roman"/>
          <w:snapToGrid w:val="0"/>
          <w:lang w:val="uk-UA" w:eastAsia="fr-FR"/>
        </w:rPr>
        <w:t>у екстраординарному порядку</w:t>
      </w:r>
      <w:r w:rsidRPr="009A3F85" w:rsidR="001034EA">
        <w:rPr>
          <w:rFonts w:eastAsia="Times New Roman"/>
          <w:snapToGrid w:val="0"/>
          <w:lang w:val="uk-UA" w:eastAsia="fr-FR"/>
        </w:rPr>
        <w:t xml:space="preserve"> </w:t>
      </w:r>
      <w:r w:rsidRPr="009A3F85" w:rsidR="00C67D34">
        <w:rPr>
          <w:rFonts w:eastAsia="Times New Roman"/>
          <w:szCs w:val="24"/>
          <w:lang w:val="uk-UA" w:eastAsia="fr-FR"/>
        </w:rPr>
        <w:t>було можливим лише за чітко обмежених</w:t>
      </w:r>
      <w:r w:rsidRPr="009A3F85">
        <w:rPr>
          <w:rFonts w:eastAsia="Times New Roman"/>
          <w:szCs w:val="24"/>
          <w:lang w:val="uk-UA" w:eastAsia="fr-FR"/>
        </w:rPr>
        <w:t xml:space="preserve"> помилок щодо права, які завдали шкоди підсудному; </w:t>
      </w:r>
      <w:r w:rsidRPr="009A3F85" w:rsidR="00C67D34">
        <w:rPr>
          <w:rFonts w:eastAsia="Times New Roman"/>
          <w:szCs w:val="24"/>
          <w:lang w:val="uk-UA" w:eastAsia="fr-FR"/>
        </w:rPr>
        <w:t xml:space="preserve">клопотання мало </w:t>
      </w:r>
      <w:r w:rsidRPr="009A3F85">
        <w:rPr>
          <w:rFonts w:eastAsia="Times New Roman"/>
          <w:szCs w:val="24"/>
          <w:lang w:val="uk-UA" w:eastAsia="fr-FR"/>
        </w:rPr>
        <w:t>бу</w:t>
      </w:r>
      <w:r w:rsidRPr="009A3F85" w:rsidR="00C67D34">
        <w:rPr>
          <w:rFonts w:eastAsia="Times New Roman"/>
          <w:szCs w:val="24"/>
          <w:lang w:val="uk-UA" w:eastAsia="fr-FR"/>
        </w:rPr>
        <w:t>ти</w:t>
      </w:r>
      <w:r w:rsidRPr="009A3F85">
        <w:rPr>
          <w:rFonts w:eastAsia="Times New Roman"/>
          <w:szCs w:val="24"/>
          <w:lang w:val="uk-UA" w:eastAsia="fr-FR"/>
        </w:rPr>
        <w:t xml:space="preserve"> </w:t>
      </w:r>
      <w:r w:rsidRPr="009A3F85" w:rsidR="00C67D34">
        <w:rPr>
          <w:rFonts w:eastAsia="Times New Roman"/>
          <w:szCs w:val="24"/>
          <w:lang w:val="uk-UA" w:eastAsia="fr-FR"/>
        </w:rPr>
        <w:t>подан</w:t>
      </w:r>
      <w:r w:rsidRPr="009A3F85" w:rsidR="00E6594F">
        <w:rPr>
          <w:rFonts w:eastAsia="Times New Roman"/>
          <w:szCs w:val="24"/>
          <w:lang w:val="uk-UA" w:eastAsia="fr-FR"/>
        </w:rPr>
        <w:t>е</w:t>
      </w:r>
      <w:r w:rsidRPr="009A3F85" w:rsidR="00C67D34">
        <w:rPr>
          <w:rFonts w:eastAsia="Times New Roman"/>
          <w:szCs w:val="24"/>
          <w:lang w:val="uk-UA" w:eastAsia="fr-FR"/>
        </w:rPr>
        <w:t xml:space="preserve"> чітко</w:t>
      </w:r>
      <w:r w:rsidRPr="009A3F85" w:rsidR="00D42424">
        <w:rPr>
          <w:rFonts w:eastAsia="Times New Roman"/>
          <w:szCs w:val="24"/>
          <w:lang w:val="uk-UA" w:eastAsia="fr-FR"/>
        </w:rPr>
        <w:t xml:space="preserve"> </w:t>
      </w:r>
      <w:r w:rsidRPr="009A3F85">
        <w:rPr>
          <w:rFonts w:eastAsia="Times New Roman"/>
          <w:szCs w:val="24"/>
          <w:lang w:val="uk-UA" w:eastAsia="fr-FR"/>
        </w:rPr>
        <w:t xml:space="preserve">впродовж </w:t>
      </w:r>
      <w:r w:rsidRPr="009A3F85" w:rsidR="00D42424">
        <w:rPr>
          <w:rFonts w:eastAsia="Times New Roman"/>
          <w:szCs w:val="24"/>
          <w:lang w:val="uk-UA" w:eastAsia="fr-FR"/>
        </w:rPr>
        <w:t xml:space="preserve">місячного </w:t>
      </w:r>
      <w:r w:rsidRPr="009A3F85">
        <w:rPr>
          <w:rFonts w:eastAsia="Times New Roman"/>
          <w:szCs w:val="24"/>
          <w:lang w:val="uk-UA" w:eastAsia="fr-FR"/>
        </w:rPr>
        <w:t xml:space="preserve">строку після </w:t>
      </w:r>
      <w:r w:rsidRPr="009A3F85" w:rsidR="00D42424">
        <w:rPr>
          <w:rFonts w:eastAsia="Times New Roman"/>
          <w:szCs w:val="24"/>
          <w:lang w:val="uk-UA" w:eastAsia="fr-FR"/>
        </w:rPr>
        <w:t xml:space="preserve">отримання підсудним </w:t>
      </w:r>
      <w:r w:rsidRPr="009A3F85">
        <w:rPr>
          <w:rFonts w:eastAsia="Times New Roman"/>
          <w:szCs w:val="24"/>
          <w:lang w:val="uk-UA" w:eastAsia="fr-FR"/>
        </w:rPr>
        <w:t xml:space="preserve">рішення суду апеляційної інстанції і підстави </w:t>
      </w:r>
      <w:r w:rsidRPr="009A3F85" w:rsidR="00C67D34">
        <w:rPr>
          <w:rFonts w:eastAsia="Times New Roman"/>
          <w:szCs w:val="24"/>
          <w:lang w:val="uk-UA" w:eastAsia="fr-FR"/>
        </w:rPr>
        <w:t xml:space="preserve">перегляду </w:t>
      </w:r>
      <w:r w:rsidRPr="009A3F85">
        <w:rPr>
          <w:rFonts w:eastAsia="Times New Roman"/>
          <w:szCs w:val="24"/>
          <w:lang w:val="uk-UA" w:eastAsia="fr-FR"/>
        </w:rPr>
        <w:t xml:space="preserve">справи </w:t>
      </w:r>
      <w:r w:rsidRPr="009A3F85" w:rsidR="002C7CF7">
        <w:rPr>
          <w:rFonts w:eastAsia="Times New Roman"/>
          <w:snapToGrid w:val="0"/>
          <w:lang w:val="uk-UA" w:eastAsia="fr-FR"/>
        </w:rPr>
        <w:t>у екстраординарному порядку</w:t>
      </w:r>
      <w:r w:rsidRPr="009A3F85" w:rsidR="002C7CF7">
        <w:rPr>
          <w:rFonts w:eastAsia="Times New Roman"/>
          <w:szCs w:val="24"/>
          <w:lang w:val="uk-UA" w:eastAsia="fr-FR"/>
        </w:rPr>
        <w:t xml:space="preserve"> </w:t>
      </w:r>
      <w:r w:rsidRPr="009A3F85">
        <w:rPr>
          <w:rFonts w:eastAsia="Times New Roman"/>
          <w:szCs w:val="24"/>
          <w:lang w:val="uk-UA" w:eastAsia="fr-FR"/>
        </w:rPr>
        <w:t xml:space="preserve">були чітко </w:t>
      </w:r>
      <w:r w:rsidRPr="009A3F85" w:rsidR="003D2C80">
        <w:rPr>
          <w:rFonts w:eastAsia="Times New Roman"/>
          <w:szCs w:val="24"/>
          <w:lang w:val="uk-UA" w:eastAsia="fr-FR"/>
        </w:rPr>
        <w:t xml:space="preserve">передбачені </w:t>
      </w:r>
      <w:r w:rsidRPr="009A3F85">
        <w:rPr>
          <w:rFonts w:eastAsia="Times New Roman"/>
          <w:szCs w:val="24"/>
          <w:lang w:val="uk-UA" w:eastAsia="fr-FR"/>
        </w:rPr>
        <w:t>Кримінальн</w:t>
      </w:r>
      <w:r w:rsidRPr="009A3F85" w:rsidR="00C67D34">
        <w:rPr>
          <w:rFonts w:eastAsia="Times New Roman"/>
          <w:szCs w:val="24"/>
          <w:lang w:val="uk-UA" w:eastAsia="fr-FR"/>
        </w:rPr>
        <w:t>и</w:t>
      </w:r>
      <w:r w:rsidRPr="009A3F85">
        <w:rPr>
          <w:rFonts w:eastAsia="Times New Roman"/>
          <w:szCs w:val="24"/>
          <w:lang w:val="uk-UA" w:eastAsia="fr-FR"/>
        </w:rPr>
        <w:t xml:space="preserve">м </w:t>
      </w:r>
      <w:r w:rsidRPr="009A3F85" w:rsidR="00C67D34">
        <w:rPr>
          <w:rFonts w:eastAsia="Times New Roman"/>
          <w:szCs w:val="24"/>
          <w:lang w:val="uk-UA" w:eastAsia="fr-FR"/>
        </w:rPr>
        <w:t xml:space="preserve">процесуальним кодексом </w:t>
      </w:r>
      <w:r w:rsidRPr="009A3F85">
        <w:rPr>
          <w:rFonts w:eastAsia="Times New Roman"/>
          <w:szCs w:val="24"/>
          <w:lang w:val="uk-UA" w:eastAsia="fr-FR"/>
        </w:rPr>
        <w:t>Хорватії та не</w:t>
      </w:r>
      <w:r w:rsidRPr="009A3F85" w:rsidR="003D2C80">
        <w:rPr>
          <w:rFonts w:eastAsia="Times New Roman"/>
          <w:szCs w:val="24"/>
          <w:lang w:val="uk-UA" w:eastAsia="fr-FR"/>
        </w:rPr>
        <w:t xml:space="preserve"> залишали місця</w:t>
      </w:r>
      <w:r w:rsidRPr="009A3F85">
        <w:rPr>
          <w:rFonts w:eastAsia="Times New Roman"/>
          <w:szCs w:val="24"/>
          <w:lang w:val="uk-UA" w:eastAsia="fr-FR"/>
        </w:rPr>
        <w:t xml:space="preserve"> для жодного дискреційного рішення Верховного Суду Хорватії</w:t>
      </w:r>
      <w:r w:rsidRPr="009A3F85">
        <w:rPr>
          <w:rFonts w:eastAsia="Times New Roman"/>
          <w:snapToGrid w:val="0"/>
          <w:szCs w:val="24"/>
          <w:lang w:val="uk-UA" w:eastAsia="fr-FR"/>
        </w:rPr>
        <w:t xml:space="preserve">. Суд також зауважив, що клопотання про </w:t>
      </w:r>
      <w:r w:rsidRPr="009A3F85" w:rsidR="00043DEB">
        <w:rPr>
          <w:rFonts w:eastAsia="Times New Roman"/>
          <w:snapToGrid w:val="0"/>
          <w:szCs w:val="24"/>
          <w:lang w:val="uk-UA" w:eastAsia="fr-FR"/>
        </w:rPr>
        <w:t xml:space="preserve">перегляд </w:t>
      </w:r>
      <w:r w:rsidRPr="009A3F85">
        <w:rPr>
          <w:rFonts w:eastAsia="Times New Roman"/>
          <w:snapToGrid w:val="0"/>
          <w:szCs w:val="24"/>
          <w:lang w:val="uk-UA" w:eastAsia="fr-FR"/>
        </w:rPr>
        <w:t>справи</w:t>
      </w:r>
      <w:r w:rsidRPr="009A3F85" w:rsidR="002C7958">
        <w:rPr>
          <w:rFonts w:eastAsia="Times New Roman"/>
          <w:snapToGrid w:val="0"/>
          <w:lang w:val="uk-UA" w:eastAsia="fr-FR"/>
        </w:rPr>
        <w:t xml:space="preserve"> у екстраординарному порядку</w:t>
      </w:r>
      <w:r w:rsidRPr="009A3F85">
        <w:rPr>
          <w:rFonts w:eastAsia="Times New Roman"/>
          <w:snapToGrid w:val="0"/>
          <w:szCs w:val="24"/>
          <w:lang w:val="uk-UA" w:eastAsia="fr-FR"/>
        </w:rPr>
        <w:t xml:space="preserve"> має свій еквівалент і у цивільному судочинстві Хорватії у вигляді оскарження з питань права у цивільних справах, до якого застосовується стаття</w:t>
      </w:r>
      <w:r w:rsidRPr="009A3F85">
        <w:rPr>
          <w:rFonts w:eastAsia="Times New Roman"/>
          <w:snapToGrid w:val="0"/>
          <w:lang w:val="uk-UA" w:eastAsia="fr-FR"/>
        </w:rPr>
        <w:t> 6 Конвенції (див. пункти 25-28 зазначеного рішення).</w:t>
      </w:r>
    </w:p>
    <w:p w:rsidRPr="009A3F85" w:rsidR="006D147C" w:rsidP="009A3F85">
      <w:pPr>
        <w:pStyle w:val="ECHRPara"/>
        <w:rPr>
          <w:rFonts w:eastAsia="Times New Roman"/>
          <w:snapToGrid w:val="0"/>
          <w:lang w:val="uk-UA" w:eastAsia="fr-FR"/>
        </w:rPr>
      </w:pPr>
      <w:r w:rsidRPr="009A3F85">
        <w:rPr>
          <w:rFonts w:eastAsia="Times New Roman"/>
          <w:snapToGrid w:val="0"/>
          <w:lang w:val="uk-UA" w:eastAsia="fr-FR"/>
        </w:rPr>
        <w:fldChar w:fldCharType="begin"/>
      </w:r>
      <w:r w:rsidRPr="009A3F85">
        <w:rPr>
          <w:rFonts w:eastAsia="Times New Roman"/>
          <w:snapToGrid w:val="0"/>
          <w:lang w:val="uk-UA" w:eastAsia="fr-FR"/>
        </w:rPr>
        <w:instrText xml:space="preserve"> SEQ level0 \*arabic </w:instrText>
      </w:r>
      <w:r w:rsidRPr="009A3F85">
        <w:rPr>
          <w:rFonts w:eastAsia="Times New Roman"/>
          <w:snapToGrid w:val="0"/>
          <w:lang w:val="uk-UA" w:eastAsia="fr-FR"/>
        </w:rPr>
        <w:fldChar w:fldCharType="separate"/>
      </w:r>
      <w:r w:rsidRPr="009A3F85" w:rsidR="009A3F85">
        <w:rPr>
          <w:rFonts w:eastAsia="Times New Roman"/>
          <w:noProof/>
          <w:snapToGrid w:val="0"/>
          <w:lang w:val="uk-UA" w:eastAsia="fr-FR"/>
        </w:rPr>
        <w:t>50</w:t>
      </w:r>
      <w:r w:rsidRPr="009A3F85">
        <w:rPr>
          <w:rFonts w:eastAsia="Times New Roman"/>
          <w:snapToGrid w:val="0"/>
          <w:lang w:val="uk-UA" w:eastAsia="fr-FR"/>
        </w:rPr>
        <w:fldChar w:fldCharType="end"/>
      </w:r>
      <w:r w:rsidRPr="009A3F85">
        <w:rPr>
          <w:rFonts w:eastAsia="Times New Roman"/>
          <w:snapToGrid w:val="0"/>
          <w:lang w:val="uk-UA" w:eastAsia="fr-FR"/>
        </w:rPr>
        <w:t>.  </w:t>
      </w:r>
      <w:r w:rsidRPr="009A3F85" w:rsidR="00D96DC3">
        <w:rPr>
          <w:rFonts w:eastAsia="Times New Roman"/>
          <w:snapToGrid w:val="0"/>
          <w:lang w:val="uk-UA" w:eastAsia="fr-FR"/>
        </w:rPr>
        <w:t>У підсумку, хоча пункт 1 статті 6 Конвенції зазвичай незастосовни</w:t>
      </w:r>
      <w:r w:rsidRPr="009A3F85" w:rsidR="00043DEB">
        <w:rPr>
          <w:rFonts w:eastAsia="Times New Roman"/>
          <w:snapToGrid w:val="0"/>
          <w:lang w:val="uk-UA" w:eastAsia="fr-FR"/>
        </w:rPr>
        <w:t>й</w:t>
      </w:r>
      <w:r w:rsidRPr="009A3F85" w:rsidR="00D96DC3">
        <w:rPr>
          <w:rFonts w:eastAsia="Times New Roman"/>
          <w:snapToGrid w:val="0"/>
          <w:lang w:val="uk-UA" w:eastAsia="fr-FR"/>
        </w:rPr>
        <w:t xml:space="preserve"> до скарг </w:t>
      </w:r>
      <w:r w:rsidRPr="009A3F85" w:rsidR="00722CE8">
        <w:rPr>
          <w:rFonts w:eastAsia="Times New Roman"/>
          <w:szCs w:val="24"/>
          <w:lang w:val="uk-UA" w:eastAsia="fr-FR"/>
        </w:rPr>
        <w:t>щодо перегляду за</w:t>
      </w:r>
      <w:r w:rsidRPr="009A3F85" w:rsidR="00043DEB">
        <w:rPr>
          <w:rFonts w:eastAsia="Times New Roman"/>
          <w:szCs w:val="24"/>
          <w:lang w:val="uk-UA" w:eastAsia="fr-FR"/>
        </w:rPr>
        <w:t>вершених</w:t>
      </w:r>
      <w:r w:rsidRPr="009A3F85" w:rsidR="00722CE8">
        <w:rPr>
          <w:rFonts w:eastAsia="Times New Roman"/>
          <w:szCs w:val="24"/>
          <w:lang w:val="uk-UA" w:eastAsia="fr-FR"/>
        </w:rPr>
        <w:t xml:space="preserve"> судових справ</w:t>
      </w:r>
      <w:r w:rsidRPr="009A3F85" w:rsidR="002C7958">
        <w:rPr>
          <w:rFonts w:eastAsia="Times New Roman"/>
          <w:szCs w:val="24"/>
          <w:lang w:val="uk-UA" w:eastAsia="fr-FR"/>
        </w:rPr>
        <w:t xml:space="preserve"> </w:t>
      </w:r>
      <w:r w:rsidRPr="009A3F85" w:rsidR="002C7958">
        <w:rPr>
          <w:rFonts w:eastAsia="Times New Roman"/>
          <w:snapToGrid w:val="0"/>
          <w:lang w:val="uk-UA" w:eastAsia="fr-FR"/>
        </w:rPr>
        <w:t>у екстраординарному порядку</w:t>
      </w:r>
      <w:r w:rsidRPr="009A3F85" w:rsidR="00722CE8">
        <w:rPr>
          <w:rFonts w:eastAsia="Times New Roman"/>
          <w:szCs w:val="24"/>
          <w:lang w:val="uk-UA" w:eastAsia="fr-FR"/>
        </w:rPr>
        <w:t>,</w:t>
      </w:r>
      <w:r w:rsidRPr="009A3F85" w:rsidR="00D96DC3">
        <w:rPr>
          <w:rFonts w:eastAsia="Times New Roman"/>
          <w:snapToGrid w:val="0"/>
          <w:lang w:val="uk-UA" w:eastAsia="fr-FR"/>
        </w:rPr>
        <w:t xml:space="preserve"> </w:t>
      </w:r>
      <w:r w:rsidRPr="009A3F85" w:rsidR="00043DEB">
        <w:rPr>
          <w:rFonts w:eastAsia="Times New Roman"/>
          <w:snapToGrid w:val="0"/>
          <w:lang w:val="uk-UA" w:eastAsia="fr-FR"/>
        </w:rPr>
        <w:t>природа</w:t>
      </w:r>
      <w:r w:rsidRPr="009A3F85" w:rsidR="00CD4839">
        <w:rPr>
          <w:rFonts w:eastAsia="Times New Roman"/>
          <w:snapToGrid w:val="0"/>
          <w:lang w:val="uk-UA" w:eastAsia="fr-FR"/>
        </w:rPr>
        <w:t>,</w:t>
      </w:r>
      <w:r w:rsidRPr="009A3F85" w:rsidR="00D96DC3">
        <w:rPr>
          <w:rFonts w:eastAsia="Times New Roman"/>
          <w:snapToGrid w:val="0"/>
          <w:lang w:val="uk-UA" w:eastAsia="fr-FR"/>
        </w:rPr>
        <w:t xml:space="preserve"> </w:t>
      </w:r>
      <w:r w:rsidRPr="009A3F85" w:rsidR="00043DEB">
        <w:rPr>
          <w:rFonts w:eastAsia="Times New Roman"/>
          <w:snapToGrid w:val="0"/>
          <w:lang w:val="uk-UA" w:eastAsia="fr-FR"/>
        </w:rPr>
        <w:t>обся</w:t>
      </w:r>
      <w:r w:rsidRPr="009A3F85" w:rsidR="00CD4839">
        <w:rPr>
          <w:rFonts w:eastAsia="Times New Roman"/>
          <w:snapToGrid w:val="0"/>
          <w:lang w:val="uk-UA" w:eastAsia="fr-FR"/>
        </w:rPr>
        <w:t>г</w:t>
      </w:r>
      <w:r w:rsidRPr="009A3F85" w:rsidR="00043DEB">
        <w:rPr>
          <w:rFonts w:eastAsia="Times New Roman"/>
          <w:snapToGrid w:val="0"/>
          <w:lang w:val="uk-UA" w:eastAsia="fr-FR"/>
        </w:rPr>
        <w:t xml:space="preserve"> </w:t>
      </w:r>
      <w:r w:rsidRPr="009A3F85" w:rsidR="00D96DC3">
        <w:rPr>
          <w:rFonts w:eastAsia="Times New Roman"/>
          <w:snapToGrid w:val="0"/>
          <w:lang w:val="uk-UA" w:eastAsia="fr-FR"/>
        </w:rPr>
        <w:t xml:space="preserve">та специфічні риси провадження за </w:t>
      </w:r>
      <w:r w:rsidRPr="009A3F85" w:rsidR="00722CE8">
        <w:rPr>
          <w:rFonts w:eastAsia="Times New Roman"/>
          <w:snapToGrid w:val="0"/>
          <w:lang w:val="uk-UA" w:eastAsia="fr-FR"/>
        </w:rPr>
        <w:t xml:space="preserve">такою </w:t>
      </w:r>
      <w:r w:rsidRPr="009A3F85" w:rsidR="00D96DC3">
        <w:rPr>
          <w:rFonts w:eastAsia="Times New Roman"/>
          <w:snapToGrid w:val="0"/>
          <w:lang w:val="uk-UA" w:eastAsia="fr-FR"/>
        </w:rPr>
        <w:t xml:space="preserve">скаргою у </w:t>
      </w:r>
      <w:r w:rsidRPr="009A3F85" w:rsidR="00722CE8">
        <w:rPr>
          <w:rFonts w:eastAsia="Times New Roman"/>
          <w:snapToGrid w:val="0"/>
          <w:lang w:val="uk-UA" w:eastAsia="fr-FR"/>
        </w:rPr>
        <w:t xml:space="preserve">відповідній правовій системі </w:t>
      </w:r>
      <w:r w:rsidRPr="009A3F85" w:rsidR="00D96DC3">
        <w:rPr>
          <w:rFonts w:eastAsia="Times New Roman"/>
          <w:snapToGrid w:val="0"/>
          <w:lang w:val="uk-UA" w:eastAsia="fr-FR"/>
        </w:rPr>
        <w:t xml:space="preserve">можуть бути такими, що провадження за такою скаргою </w:t>
      </w:r>
      <w:r w:rsidRPr="009A3F85" w:rsidR="00722CE8">
        <w:rPr>
          <w:rFonts w:eastAsia="Times New Roman"/>
          <w:snapToGrid w:val="0"/>
          <w:lang w:val="uk-UA" w:eastAsia="fr-FR"/>
        </w:rPr>
        <w:t xml:space="preserve">охоплюватиметься </w:t>
      </w:r>
      <w:r w:rsidRPr="009A3F85" w:rsidR="00D96DC3">
        <w:rPr>
          <w:rFonts w:eastAsia="Times New Roman"/>
          <w:snapToGrid w:val="0"/>
          <w:lang w:val="uk-UA" w:eastAsia="fr-FR"/>
        </w:rPr>
        <w:t>сферою застосування пункту 1 статті 6 Конвенції та гарантіями щодо справедливого суду, як</w:t>
      </w:r>
      <w:r w:rsidRPr="009A3F85" w:rsidR="00722CE8">
        <w:rPr>
          <w:rFonts w:eastAsia="Times New Roman"/>
          <w:snapToGrid w:val="0"/>
          <w:lang w:val="uk-UA" w:eastAsia="fr-FR"/>
        </w:rPr>
        <w:t>ими</w:t>
      </w:r>
      <w:r w:rsidRPr="009A3F85" w:rsidR="00D96DC3">
        <w:rPr>
          <w:rFonts w:eastAsia="Times New Roman"/>
          <w:snapToGrid w:val="0"/>
          <w:lang w:val="uk-UA" w:eastAsia="fr-FR"/>
        </w:rPr>
        <w:t xml:space="preserve"> він над</w:t>
      </w:r>
      <w:r w:rsidRPr="009A3F85" w:rsidR="00722CE8">
        <w:rPr>
          <w:rFonts w:eastAsia="Times New Roman"/>
          <w:snapToGrid w:val="0"/>
          <w:lang w:val="uk-UA" w:eastAsia="fr-FR"/>
        </w:rPr>
        <w:t>іля</w:t>
      </w:r>
      <w:r w:rsidRPr="009A3F85" w:rsidR="00D96DC3">
        <w:rPr>
          <w:rFonts w:eastAsia="Times New Roman"/>
          <w:snapToGrid w:val="0"/>
          <w:lang w:val="uk-UA" w:eastAsia="fr-FR"/>
        </w:rPr>
        <w:t xml:space="preserve">є </w:t>
      </w:r>
      <w:r w:rsidRPr="009A3F85" w:rsidR="00722CE8">
        <w:rPr>
          <w:rFonts w:eastAsia="Times New Roman"/>
          <w:snapToGrid w:val="0"/>
          <w:lang w:val="uk-UA" w:eastAsia="fr-FR"/>
        </w:rPr>
        <w:t xml:space="preserve">сторони </w:t>
      </w:r>
      <w:r w:rsidRPr="009A3F85" w:rsidR="00D96DC3">
        <w:rPr>
          <w:rFonts w:eastAsia="Times New Roman"/>
          <w:snapToGrid w:val="0"/>
          <w:lang w:val="uk-UA" w:eastAsia="fr-FR"/>
        </w:rPr>
        <w:t>провадження</w:t>
      </w:r>
      <w:r w:rsidRPr="009A3F85">
        <w:rPr>
          <w:rFonts w:eastAsia="Times New Roman"/>
          <w:snapToGrid w:val="0"/>
          <w:lang w:val="uk-UA" w:eastAsia="fr-FR"/>
        </w:rPr>
        <w:t xml:space="preserve">. Відповідно, Суд має розглянути </w:t>
      </w:r>
      <w:r w:rsidRPr="009A3F85" w:rsidR="00043DEB">
        <w:rPr>
          <w:rFonts w:eastAsia="Times New Roman"/>
          <w:snapToGrid w:val="0"/>
          <w:lang w:val="uk-UA" w:eastAsia="fr-FR"/>
        </w:rPr>
        <w:t>природу</w:t>
      </w:r>
      <w:r w:rsidRPr="009A3F85">
        <w:rPr>
          <w:rFonts w:eastAsia="Times New Roman"/>
          <w:snapToGrid w:val="0"/>
          <w:lang w:val="uk-UA" w:eastAsia="fr-FR"/>
        </w:rPr>
        <w:t xml:space="preserve">, </w:t>
      </w:r>
      <w:r w:rsidRPr="009A3F85" w:rsidR="00043DEB">
        <w:rPr>
          <w:rFonts w:eastAsia="Times New Roman"/>
          <w:snapToGrid w:val="0"/>
          <w:lang w:val="uk-UA" w:eastAsia="fr-FR"/>
        </w:rPr>
        <w:t xml:space="preserve">обсяг </w:t>
      </w:r>
      <w:r w:rsidRPr="009A3F85">
        <w:rPr>
          <w:rFonts w:eastAsia="Times New Roman"/>
          <w:snapToGrid w:val="0"/>
          <w:lang w:val="uk-UA" w:eastAsia="fr-FR"/>
        </w:rPr>
        <w:t xml:space="preserve">та специфічні риси скарги </w:t>
      </w:r>
      <w:r w:rsidRPr="009A3F85" w:rsidR="00722CE8">
        <w:rPr>
          <w:rFonts w:eastAsia="Times New Roman"/>
          <w:snapToGrid w:val="0"/>
          <w:lang w:val="uk-UA" w:eastAsia="fr-FR"/>
        </w:rPr>
        <w:t xml:space="preserve">про перегляд </w:t>
      </w:r>
      <w:r w:rsidRPr="009A3F85">
        <w:rPr>
          <w:rFonts w:eastAsia="Times New Roman"/>
          <w:snapToGrid w:val="0"/>
          <w:lang w:val="uk-UA" w:eastAsia="fr-FR"/>
        </w:rPr>
        <w:t>у зв</w:t>
      </w:r>
      <w:r w:rsidRPr="009A3F85" w:rsidR="009A3F85">
        <w:rPr>
          <w:rFonts w:eastAsia="Times New Roman"/>
          <w:snapToGrid w:val="0"/>
          <w:lang w:val="uk-UA" w:eastAsia="fr-FR"/>
        </w:rPr>
        <w:t>’</w:t>
      </w:r>
      <w:r w:rsidRPr="009A3F85">
        <w:rPr>
          <w:rFonts w:eastAsia="Times New Roman"/>
          <w:snapToGrid w:val="0"/>
          <w:lang w:val="uk-UA" w:eastAsia="fr-FR"/>
        </w:rPr>
        <w:t>язку з винятковими обставинами</w:t>
      </w:r>
      <w:r w:rsidRPr="009A3F85" w:rsidR="00D9196B">
        <w:rPr>
          <w:rFonts w:eastAsia="Times New Roman"/>
          <w:snapToGrid w:val="0"/>
          <w:lang w:val="uk-UA" w:eastAsia="fr-FR"/>
        </w:rPr>
        <w:t>, зазначеної у цій справі</w:t>
      </w:r>
      <w:r w:rsidRPr="009A3F85">
        <w:rPr>
          <w:rFonts w:eastAsia="Times New Roman"/>
          <w:snapToGrid w:val="0"/>
          <w:lang w:val="uk-UA" w:eastAsia="fr-FR"/>
        </w:rPr>
        <w:t>.</w:t>
      </w:r>
    </w:p>
    <w:p w:rsidRPr="009A3F85" w:rsidR="006D147C" w:rsidP="009A3F85">
      <w:pPr>
        <w:pStyle w:val="ECHRHeading4"/>
        <w:rPr>
          <w:lang w:val="uk-UA"/>
        </w:rPr>
      </w:pPr>
      <w:r w:rsidRPr="009A3F85">
        <w:rPr>
          <w:lang w:val="uk-UA"/>
        </w:rPr>
        <w:t>(c)  </w:t>
      </w:r>
      <w:r w:rsidRPr="009A3F85">
        <w:rPr>
          <w:rFonts w:eastAsia="Times New Roman"/>
          <w:szCs w:val="20"/>
          <w:lang w:val="uk-UA"/>
        </w:rPr>
        <w:t>Застосування вищезазначених принципів у цій справі</w:t>
      </w:r>
    </w:p>
    <w:p w:rsidRPr="009A3F85" w:rsidR="006D147C" w:rsidP="009A3F85">
      <w:pPr>
        <w:pStyle w:val="ECHRPara"/>
        <w:rPr>
          <w:rFonts w:eastAsia="Times New Roman"/>
          <w:lang w:val="uk-UA" w:eastAsia="fr-FR"/>
        </w:rPr>
      </w:pPr>
      <w:r w:rsidRPr="009A3F85">
        <w:rPr>
          <w:rFonts w:eastAsia="Times New Roman"/>
          <w:snapToGrid w:val="0"/>
          <w:lang w:val="uk-UA" w:eastAsia="fr-FR"/>
        </w:rPr>
        <w:fldChar w:fldCharType="begin"/>
      </w:r>
      <w:r w:rsidRPr="009A3F85">
        <w:rPr>
          <w:rFonts w:eastAsia="Times New Roman"/>
          <w:snapToGrid w:val="0"/>
          <w:lang w:val="uk-UA" w:eastAsia="fr-FR"/>
        </w:rPr>
        <w:instrText xml:space="preserve"> SEQ level0 \*arabic </w:instrText>
      </w:r>
      <w:r w:rsidRPr="009A3F85">
        <w:rPr>
          <w:rFonts w:eastAsia="Times New Roman"/>
          <w:snapToGrid w:val="0"/>
          <w:lang w:val="uk-UA" w:eastAsia="fr-FR"/>
        </w:rPr>
        <w:fldChar w:fldCharType="separate"/>
      </w:r>
      <w:r w:rsidRPr="009A3F85" w:rsidR="009A3F85">
        <w:rPr>
          <w:rFonts w:eastAsia="Times New Roman"/>
          <w:noProof/>
          <w:snapToGrid w:val="0"/>
          <w:lang w:val="uk-UA" w:eastAsia="fr-FR"/>
        </w:rPr>
        <w:t>51</w:t>
      </w:r>
      <w:r w:rsidRPr="009A3F85">
        <w:rPr>
          <w:rFonts w:eastAsia="Times New Roman"/>
          <w:snapToGrid w:val="0"/>
          <w:lang w:val="uk-UA" w:eastAsia="fr-FR"/>
        </w:rPr>
        <w:fldChar w:fldCharType="end"/>
      </w:r>
      <w:r w:rsidRPr="009A3F85">
        <w:rPr>
          <w:rFonts w:eastAsia="Times New Roman"/>
          <w:snapToGrid w:val="0"/>
          <w:lang w:val="uk-UA" w:eastAsia="fr-FR"/>
        </w:rPr>
        <w:t>.  Отже, повертаючись до конкретних обставин цієї справи, Суд зазначає</w:t>
      </w:r>
      <w:r w:rsidRPr="009A3F85" w:rsidR="00D9196B">
        <w:rPr>
          <w:rFonts w:eastAsia="Times New Roman"/>
          <w:snapToGrid w:val="0"/>
          <w:lang w:val="uk-UA" w:eastAsia="fr-FR"/>
        </w:rPr>
        <w:t>,</w:t>
      </w:r>
      <w:r w:rsidRPr="009A3F85">
        <w:rPr>
          <w:rFonts w:eastAsia="Times New Roman"/>
          <w:snapToGrid w:val="0"/>
          <w:lang w:val="uk-UA" w:eastAsia="fr-FR"/>
        </w:rPr>
        <w:t xml:space="preserve"> що </w:t>
      </w:r>
      <w:r w:rsidRPr="009A3F85" w:rsidR="00722CE8">
        <w:rPr>
          <w:rFonts w:eastAsia="Times New Roman"/>
          <w:snapToGrid w:val="0"/>
          <w:lang w:val="uk-UA" w:eastAsia="fr-FR"/>
        </w:rPr>
        <w:t xml:space="preserve">на </w:t>
      </w:r>
      <w:r w:rsidRPr="009A3F85">
        <w:rPr>
          <w:rFonts w:eastAsia="Times New Roman"/>
          <w:snapToGrid w:val="0"/>
          <w:lang w:val="uk-UA" w:eastAsia="fr-FR"/>
        </w:rPr>
        <w:t>час</w:t>
      </w:r>
      <w:r w:rsidRPr="009A3F85" w:rsidR="00722CE8">
        <w:rPr>
          <w:rFonts w:eastAsia="Times New Roman"/>
          <w:snapToGrid w:val="0"/>
          <w:lang w:val="uk-UA" w:eastAsia="fr-FR"/>
        </w:rPr>
        <w:t xml:space="preserve"> подій</w:t>
      </w:r>
      <w:r w:rsidRPr="009A3F85">
        <w:rPr>
          <w:rFonts w:eastAsia="Times New Roman"/>
          <w:snapToGrid w:val="0"/>
          <w:lang w:val="uk-UA" w:eastAsia="fr-FR"/>
        </w:rPr>
        <w:t xml:space="preserve"> Цивільний процесуальний кодекс України гарантував сторонам провадження, яке вже було </w:t>
      </w:r>
      <w:r w:rsidRPr="009A3F85" w:rsidR="00D9196B">
        <w:rPr>
          <w:rFonts w:eastAsia="Times New Roman"/>
          <w:snapToGrid w:val="0"/>
          <w:lang w:val="uk-UA" w:eastAsia="fr-FR"/>
        </w:rPr>
        <w:t xml:space="preserve">завершено </w:t>
      </w:r>
      <w:r w:rsidRPr="009A3F85">
        <w:rPr>
          <w:rFonts w:eastAsia="Times New Roman"/>
          <w:snapToGrid w:val="0"/>
          <w:lang w:val="uk-UA" w:eastAsia="fr-FR"/>
        </w:rPr>
        <w:t>рішенням касаційної інстанції, «право оскаржити до Верховного Суду України судові рішення у цивільних справах у зв</w:t>
      </w:r>
      <w:r w:rsidRPr="009A3F85" w:rsidR="009A3F85">
        <w:rPr>
          <w:rFonts w:eastAsia="Times New Roman"/>
          <w:snapToGrid w:val="0"/>
          <w:lang w:val="uk-UA" w:eastAsia="fr-FR"/>
        </w:rPr>
        <w:t>’</w:t>
      </w:r>
      <w:r w:rsidRPr="009A3F85">
        <w:rPr>
          <w:rFonts w:eastAsia="Times New Roman"/>
          <w:snapToGrid w:val="0"/>
          <w:lang w:val="uk-UA" w:eastAsia="fr-FR"/>
        </w:rPr>
        <w:t>язку з винятковими обставинами» (стаття 353, ввідна стаття частини Кодексу, що регулює оскарження у зв</w:t>
      </w:r>
      <w:r w:rsidRPr="009A3F85" w:rsidR="009A3F85">
        <w:rPr>
          <w:rFonts w:eastAsia="Times New Roman"/>
          <w:snapToGrid w:val="0"/>
          <w:lang w:val="uk-UA" w:eastAsia="fr-FR"/>
        </w:rPr>
        <w:t>’</w:t>
      </w:r>
      <w:r w:rsidRPr="009A3F85">
        <w:rPr>
          <w:rFonts w:eastAsia="Times New Roman"/>
          <w:snapToGrid w:val="0"/>
          <w:lang w:val="uk-UA" w:eastAsia="fr-FR"/>
        </w:rPr>
        <w:t xml:space="preserve">язку з винятковими обставинами – текст наведено у пункті 24). На підставі наведених </w:t>
      </w:r>
      <w:r w:rsidRPr="009A3F85" w:rsidR="00D9196B">
        <w:rPr>
          <w:rFonts w:eastAsia="Times New Roman"/>
          <w:snapToGrid w:val="0"/>
          <w:lang w:val="uk-UA" w:eastAsia="fr-FR"/>
        </w:rPr>
        <w:t xml:space="preserve">нижче </w:t>
      </w:r>
      <w:r w:rsidRPr="009A3F85">
        <w:rPr>
          <w:rFonts w:eastAsia="Times New Roman"/>
          <w:snapToGrid w:val="0"/>
          <w:lang w:val="uk-UA" w:eastAsia="fr-FR"/>
        </w:rPr>
        <w:t>положень Кодексу</w:t>
      </w:r>
      <w:r w:rsidRPr="009A3F85" w:rsidR="00852100">
        <w:rPr>
          <w:rFonts w:eastAsia="Times New Roman"/>
          <w:snapToGrid w:val="0"/>
          <w:lang w:val="uk-UA" w:eastAsia="fr-FR"/>
        </w:rPr>
        <w:t xml:space="preserve"> </w:t>
      </w:r>
      <w:r w:rsidRPr="009A3F85">
        <w:rPr>
          <w:rFonts w:eastAsia="Times New Roman"/>
          <w:snapToGrid w:val="0"/>
          <w:lang w:val="uk-UA" w:eastAsia="fr-FR"/>
        </w:rPr>
        <w:t>(частина 1 статті 354 – текст також наведено у пункті 24) «визнання судового рішення міжнародною судовою установою, юрисдикція якої визнана Україною, таким, що порушує міжнародні зобов</w:t>
      </w:r>
      <w:r w:rsidRPr="009A3F85" w:rsidR="009A3F85">
        <w:rPr>
          <w:rFonts w:eastAsia="Times New Roman"/>
          <w:snapToGrid w:val="0"/>
          <w:lang w:val="uk-UA" w:eastAsia="fr-FR"/>
        </w:rPr>
        <w:t>’</w:t>
      </w:r>
      <w:r w:rsidRPr="009A3F85">
        <w:rPr>
          <w:rFonts w:eastAsia="Times New Roman"/>
          <w:snapToGrid w:val="0"/>
          <w:lang w:val="uk-UA" w:eastAsia="fr-FR"/>
        </w:rPr>
        <w:t>язання України» є одн</w:t>
      </w:r>
      <w:r w:rsidRPr="009A3F85" w:rsidR="00852100">
        <w:rPr>
          <w:rFonts w:eastAsia="Times New Roman"/>
          <w:snapToGrid w:val="0"/>
          <w:lang w:val="uk-UA" w:eastAsia="fr-FR"/>
        </w:rPr>
        <w:t>ією</w:t>
      </w:r>
      <w:r w:rsidRPr="009A3F85">
        <w:rPr>
          <w:rFonts w:eastAsia="Times New Roman"/>
          <w:snapToGrid w:val="0"/>
          <w:lang w:val="uk-UA" w:eastAsia="fr-FR"/>
        </w:rPr>
        <w:t xml:space="preserve"> із двох </w:t>
      </w:r>
      <w:r w:rsidRPr="009A3F85" w:rsidR="00852100">
        <w:rPr>
          <w:rFonts w:eastAsia="Times New Roman"/>
          <w:snapToGrid w:val="0"/>
          <w:lang w:val="uk-UA" w:eastAsia="fr-FR"/>
        </w:rPr>
        <w:t>підстав</w:t>
      </w:r>
      <w:r w:rsidRPr="009A3F85">
        <w:rPr>
          <w:rFonts w:eastAsia="Times New Roman"/>
          <w:snapToGrid w:val="0"/>
          <w:lang w:val="uk-UA" w:eastAsia="fr-FR"/>
        </w:rPr>
        <w:t xml:space="preserve"> </w:t>
      </w:r>
      <w:r w:rsidRPr="009A3F85" w:rsidR="00D9196B">
        <w:rPr>
          <w:rFonts w:eastAsia="Times New Roman"/>
          <w:snapToGrid w:val="0"/>
          <w:lang w:val="uk-UA" w:eastAsia="fr-FR"/>
        </w:rPr>
        <w:t xml:space="preserve">для </w:t>
      </w:r>
      <w:r w:rsidRPr="009A3F85">
        <w:rPr>
          <w:rFonts w:eastAsia="Times New Roman"/>
          <w:snapToGrid w:val="0"/>
          <w:lang w:val="uk-UA" w:eastAsia="fr-FR"/>
        </w:rPr>
        <w:t>пода</w:t>
      </w:r>
      <w:r w:rsidRPr="009A3F85" w:rsidR="000F7B90">
        <w:rPr>
          <w:rFonts w:eastAsia="Times New Roman"/>
          <w:snapToGrid w:val="0"/>
          <w:lang w:val="uk-UA" w:eastAsia="fr-FR"/>
        </w:rPr>
        <w:t>ння</w:t>
      </w:r>
      <w:r w:rsidRPr="009A3F85">
        <w:rPr>
          <w:rFonts w:eastAsia="Times New Roman"/>
          <w:snapToGrid w:val="0"/>
          <w:lang w:val="uk-UA" w:eastAsia="fr-FR"/>
        </w:rPr>
        <w:t xml:space="preserve"> так</w:t>
      </w:r>
      <w:r w:rsidRPr="009A3F85" w:rsidR="000F7B90">
        <w:rPr>
          <w:rFonts w:eastAsia="Times New Roman"/>
          <w:snapToGrid w:val="0"/>
          <w:lang w:val="uk-UA" w:eastAsia="fr-FR"/>
        </w:rPr>
        <w:t>ої</w:t>
      </w:r>
      <w:r w:rsidRPr="009A3F85">
        <w:rPr>
          <w:rFonts w:eastAsia="Times New Roman"/>
          <w:snapToGrid w:val="0"/>
          <w:lang w:val="uk-UA" w:eastAsia="fr-FR"/>
        </w:rPr>
        <w:t xml:space="preserve"> скарг</w:t>
      </w:r>
      <w:r w:rsidRPr="009A3F85" w:rsidR="000F7B90">
        <w:rPr>
          <w:rFonts w:eastAsia="Times New Roman"/>
          <w:snapToGrid w:val="0"/>
          <w:lang w:val="uk-UA" w:eastAsia="fr-FR"/>
        </w:rPr>
        <w:t>и</w:t>
      </w:r>
      <w:r w:rsidRPr="009A3F85">
        <w:rPr>
          <w:rFonts w:eastAsia="Times New Roman"/>
          <w:snapToGrid w:val="0"/>
          <w:lang w:val="uk-UA" w:eastAsia="fr-FR"/>
        </w:rPr>
        <w:t xml:space="preserve"> у зв</w:t>
      </w:r>
      <w:r w:rsidRPr="009A3F85" w:rsidR="009A3F85">
        <w:rPr>
          <w:rFonts w:eastAsia="Times New Roman"/>
          <w:snapToGrid w:val="0"/>
          <w:lang w:val="uk-UA" w:eastAsia="fr-FR"/>
        </w:rPr>
        <w:t>’</w:t>
      </w:r>
      <w:r w:rsidRPr="009A3F85">
        <w:rPr>
          <w:rFonts w:eastAsia="Times New Roman"/>
          <w:snapToGrid w:val="0"/>
          <w:lang w:val="uk-UA" w:eastAsia="fr-FR"/>
        </w:rPr>
        <w:t>язку з виняткови</w:t>
      </w:r>
      <w:r w:rsidRPr="009A3F85" w:rsidR="00852100">
        <w:rPr>
          <w:rFonts w:eastAsia="Times New Roman"/>
          <w:snapToGrid w:val="0"/>
          <w:lang w:val="uk-UA" w:eastAsia="fr-FR"/>
        </w:rPr>
        <w:t>ми</w:t>
      </w:r>
      <w:r w:rsidRPr="009A3F85">
        <w:rPr>
          <w:rFonts w:eastAsia="Times New Roman"/>
          <w:snapToGrid w:val="0"/>
          <w:lang w:val="uk-UA" w:eastAsia="fr-FR"/>
        </w:rPr>
        <w:t xml:space="preserve"> обставин</w:t>
      </w:r>
      <w:r w:rsidRPr="009A3F85" w:rsidR="00852100">
        <w:rPr>
          <w:rFonts w:eastAsia="Times New Roman"/>
          <w:snapToGrid w:val="0"/>
          <w:lang w:val="uk-UA" w:eastAsia="fr-FR"/>
        </w:rPr>
        <w:t>ами</w:t>
      </w:r>
      <w:r w:rsidRPr="009A3F85">
        <w:rPr>
          <w:rFonts w:eastAsia="Times New Roman"/>
          <w:snapToGrid w:val="0"/>
          <w:lang w:val="uk-UA" w:eastAsia="fr-FR"/>
        </w:rPr>
        <w:t>. Статтею  357 (там само) «розгляд справи у зв</w:t>
      </w:r>
      <w:r w:rsidRPr="009A3F85" w:rsidR="009A3F85">
        <w:rPr>
          <w:rFonts w:eastAsia="Times New Roman"/>
          <w:snapToGrid w:val="0"/>
          <w:lang w:val="uk-UA" w:eastAsia="fr-FR"/>
        </w:rPr>
        <w:t>’</w:t>
      </w:r>
      <w:r w:rsidRPr="009A3F85">
        <w:rPr>
          <w:rFonts w:eastAsia="Times New Roman"/>
          <w:snapToGrid w:val="0"/>
          <w:lang w:val="uk-UA" w:eastAsia="fr-FR"/>
        </w:rPr>
        <w:t xml:space="preserve">язку з винятковими обставинами» визначено як «різновид касаційного провадження», що здійснюється Верховним Судом України, який має такі </w:t>
      </w:r>
      <w:r w:rsidRPr="009A3F85" w:rsidR="000F7B90">
        <w:rPr>
          <w:rFonts w:eastAsia="Times New Roman"/>
          <w:snapToGrid w:val="0"/>
          <w:lang w:val="uk-UA" w:eastAsia="fr-FR"/>
        </w:rPr>
        <w:t xml:space="preserve">ж </w:t>
      </w:r>
      <w:r w:rsidRPr="009A3F85">
        <w:rPr>
          <w:rFonts w:eastAsia="Times New Roman"/>
          <w:snapToGrid w:val="0"/>
          <w:lang w:val="uk-UA" w:eastAsia="fr-FR"/>
        </w:rPr>
        <w:t xml:space="preserve">повноваження </w:t>
      </w:r>
      <w:r w:rsidRPr="009A3F85" w:rsidR="000F7B90">
        <w:rPr>
          <w:rFonts w:eastAsia="Times New Roman"/>
          <w:snapToGrid w:val="0"/>
          <w:lang w:val="uk-UA" w:eastAsia="fr-FR"/>
        </w:rPr>
        <w:t>щодо</w:t>
      </w:r>
      <w:r w:rsidRPr="009A3F85">
        <w:rPr>
          <w:rFonts w:eastAsia="Times New Roman"/>
          <w:snapToGrid w:val="0"/>
          <w:lang w:val="uk-UA" w:eastAsia="fr-FR"/>
        </w:rPr>
        <w:t xml:space="preserve"> перегляду, як</w:t>
      </w:r>
      <w:r w:rsidRPr="009A3F85" w:rsidR="000F7B90">
        <w:rPr>
          <w:rFonts w:eastAsia="Times New Roman"/>
          <w:snapToGrid w:val="0"/>
          <w:lang w:val="uk-UA" w:eastAsia="fr-FR"/>
        </w:rPr>
        <w:t xml:space="preserve"> </w:t>
      </w:r>
      <w:r w:rsidRPr="009A3F85">
        <w:rPr>
          <w:rFonts w:eastAsia="Times New Roman"/>
          <w:snapToGrid w:val="0"/>
          <w:lang w:val="uk-UA" w:eastAsia="fr-FR"/>
        </w:rPr>
        <w:t>і у касаційно</w:t>
      </w:r>
      <w:r w:rsidRPr="009A3F85" w:rsidR="000F7B90">
        <w:rPr>
          <w:rFonts w:eastAsia="Times New Roman"/>
          <w:snapToGrid w:val="0"/>
          <w:lang w:val="uk-UA" w:eastAsia="fr-FR"/>
        </w:rPr>
        <w:t>му</w:t>
      </w:r>
      <w:r w:rsidRPr="009A3F85">
        <w:rPr>
          <w:rFonts w:eastAsia="Times New Roman"/>
          <w:snapToGrid w:val="0"/>
          <w:lang w:val="uk-UA" w:eastAsia="fr-FR"/>
        </w:rPr>
        <w:t xml:space="preserve"> </w:t>
      </w:r>
      <w:r w:rsidRPr="009A3F85" w:rsidR="000F7B90">
        <w:rPr>
          <w:rFonts w:eastAsia="Times New Roman"/>
          <w:snapToGrid w:val="0"/>
          <w:lang w:val="uk-UA" w:eastAsia="fr-FR"/>
        </w:rPr>
        <w:t>провадженні</w:t>
      </w:r>
      <w:r w:rsidRPr="009A3F85">
        <w:rPr>
          <w:rFonts w:eastAsia="Times New Roman"/>
          <w:snapToGrid w:val="0"/>
          <w:lang w:val="uk-UA" w:eastAsia="fr-FR"/>
        </w:rPr>
        <w:t xml:space="preserve">, а скарги </w:t>
      </w:r>
      <w:r w:rsidRPr="009A3F85" w:rsidR="000F7B90">
        <w:rPr>
          <w:rFonts w:eastAsia="Times New Roman"/>
          <w:snapToGrid w:val="0"/>
          <w:lang w:val="uk-UA" w:eastAsia="fr-FR"/>
        </w:rPr>
        <w:t xml:space="preserve">про перегляд </w:t>
      </w:r>
      <w:r w:rsidRPr="009A3F85">
        <w:rPr>
          <w:rFonts w:eastAsia="Times New Roman"/>
          <w:snapToGrid w:val="0"/>
          <w:lang w:val="uk-UA" w:eastAsia="fr-FR"/>
        </w:rPr>
        <w:t>у зв</w:t>
      </w:r>
      <w:r w:rsidRPr="009A3F85" w:rsidR="009A3F85">
        <w:rPr>
          <w:rFonts w:eastAsia="Times New Roman"/>
          <w:snapToGrid w:val="0"/>
          <w:lang w:val="uk-UA" w:eastAsia="fr-FR"/>
        </w:rPr>
        <w:t>’</w:t>
      </w:r>
      <w:r w:rsidRPr="009A3F85">
        <w:rPr>
          <w:rFonts w:eastAsia="Times New Roman"/>
          <w:snapToGrid w:val="0"/>
          <w:lang w:val="uk-UA" w:eastAsia="fr-FR"/>
        </w:rPr>
        <w:t xml:space="preserve">язку з винятковими обставинами </w:t>
      </w:r>
      <w:r w:rsidRPr="009A3F85" w:rsidR="000F7B90">
        <w:rPr>
          <w:rFonts w:eastAsia="Times New Roman"/>
          <w:snapToGrid w:val="0"/>
          <w:lang w:val="uk-UA" w:eastAsia="fr-FR"/>
        </w:rPr>
        <w:t xml:space="preserve">розглядаються </w:t>
      </w:r>
      <w:r w:rsidRPr="009A3F85" w:rsidR="00D9196B">
        <w:rPr>
          <w:rFonts w:eastAsia="Times New Roman"/>
          <w:snapToGrid w:val="0"/>
          <w:lang w:val="uk-UA" w:eastAsia="fr-FR"/>
        </w:rPr>
        <w:t>в</w:t>
      </w:r>
      <w:r w:rsidRPr="009A3F85" w:rsidR="000F7B90">
        <w:rPr>
          <w:rFonts w:eastAsia="Times New Roman"/>
          <w:snapToGrid w:val="0"/>
          <w:lang w:val="uk-UA" w:eastAsia="fr-FR"/>
        </w:rPr>
        <w:t xml:space="preserve"> тако</w:t>
      </w:r>
      <w:r w:rsidRPr="009A3F85" w:rsidR="00D9196B">
        <w:rPr>
          <w:rFonts w:eastAsia="Times New Roman"/>
          <w:snapToGrid w:val="0"/>
          <w:lang w:val="uk-UA" w:eastAsia="fr-FR"/>
        </w:rPr>
        <w:t>му</w:t>
      </w:r>
      <w:r w:rsidRPr="009A3F85" w:rsidR="000F7B90">
        <w:rPr>
          <w:rFonts w:eastAsia="Times New Roman"/>
          <w:snapToGrid w:val="0"/>
          <w:lang w:val="uk-UA" w:eastAsia="fr-FR"/>
        </w:rPr>
        <w:t xml:space="preserve"> ж </w:t>
      </w:r>
      <w:r w:rsidRPr="009A3F85">
        <w:rPr>
          <w:rFonts w:eastAsia="Times New Roman"/>
          <w:snapToGrid w:val="0"/>
          <w:lang w:val="uk-UA" w:eastAsia="fr-FR"/>
        </w:rPr>
        <w:t>порядк</w:t>
      </w:r>
      <w:r w:rsidRPr="009A3F85" w:rsidR="000F7B90">
        <w:rPr>
          <w:rFonts w:eastAsia="Times New Roman"/>
          <w:snapToGrid w:val="0"/>
          <w:lang w:val="uk-UA" w:eastAsia="fr-FR"/>
        </w:rPr>
        <w:t>у</w:t>
      </w:r>
      <w:r w:rsidRPr="009A3F85">
        <w:rPr>
          <w:rFonts w:eastAsia="Times New Roman"/>
          <w:snapToGrid w:val="0"/>
          <w:lang w:val="uk-UA" w:eastAsia="fr-FR"/>
        </w:rPr>
        <w:t>, що й касаційні скарги. Повноваження Верховного Суду України щодо розгляд</w:t>
      </w:r>
      <w:r w:rsidRPr="009A3F85" w:rsidR="00852100">
        <w:rPr>
          <w:rFonts w:eastAsia="Times New Roman"/>
          <w:snapToGrid w:val="0"/>
          <w:lang w:val="uk-UA" w:eastAsia="fr-FR"/>
        </w:rPr>
        <w:t>у</w:t>
      </w:r>
      <w:r w:rsidRPr="009A3F85">
        <w:rPr>
          <w:rFonts w:eastAsia="Times New Roman"/>
          <w:snapToGrid w:val="0"/>
          <w:lang w:val="uk-UA" w:eastAsia="fr-FR"/>
        </w:rPr>
        <w:t xml:space="preserve"> скарг </w:t>
      </w:r>
      <w:r w:rsidRPr="009A3F85" w:rsidR="000F7B90">
        <w:rPr>
          <w:rFonts w:eastAsia="Times New Roman"/>
          <w:snapToGrid w:val="0"/>
          <w:lang w:val="uk-UA" w:eastAsia="fr-FR"/>
        </w:rPr>
        <w:t xml:space="preserve">про перегляд </w:t>
      </w:r>
      <w:r w:rsidRPr="009A3F85">
        <w:rPr>
          <w:rFonts w:eastAsia="Times New Roman"/>
          <w:snapToGrid w:val="0"/>
          <w:lang w:val="uk-UA" w:eastAsia="fr-FR"/>
        </w:rPr>
        <w:t>у зв</w:t>
      </w:r>
      <w:r w:rsidRPr="009A3F85" w:rsidR="009A3F85">
        <w:rPr>
          <w:rFonts w:eastAsia="Times New Roman"/>
          <w:snapToGrid w:val="0"/>
          <w:lang w:val="uk-UA" w:eastAsia="fr-FR"/>
        </w:rPr>
        <w:t>’</w:t>
      </w:r>
      <w:r w:rsidRPr="009A3F85">
        <w:rPr>
          <w:rFonts w:eastAsia="Times New Roman"/>
          <w:snapToGrid w:val="0"/>
          <w:lang w:val="uk-UA" w:eastAsia="fr-FR"/>
        </w:rPr>
        <w:t xml:space="preserve">язку з </w:t>
      </w:r>
      <w:r w:rsidRPr="009A3F85" w:rsidR="00852100">
        <w:rPr>
          <w:rFonts w:eastAsia="Times New Roman"/>
          <w:snapToGrid w:val="0"/>
          <w:lang w:val="uk-UA" w:eastAsia="fr-FR"/>
        </w:rPr>
        <w:t xml:space="preserve">винятковими </w:t>
      </w:r>
      <w:r w:rsidRPr="009A3F85">
        <w:rPr>
          <w:rFonts w:eastAsia="Times New Roman"/>
          <w:snapToGrid w:val="0"/>
          <w:lang w:val="uk-UA" w:eastAsia="fr-FR"/>
        </w:rPr>
        <w:t xml:space="preserve">обставинами є такими ж, що </w:t>
      </w:r>
      <w:r w:rsidRPr="009A3F85" w:rsidR="000F7B90">
        <w:rPr>
          <w:rFonts w:eastAsia="Times New Roman"/>
          <w:snapToGrid w:val="0"/>
          <w:lang w:val="uk-UA" w:eastAsia="fr-FR"/>
        </w:rPr>
        <w:t xml:space="preserve">і </w:t>
      </w:r>
      <w:r w:rsidRPr="009A3F85" w:rsidR="00852100">
        <w:rPr>
          <w:rFonts w:eastAsia="Times New Roman"/>
          <w:snapToGrid w:val="0"/>
          <w:lang w:val="uk-UA" w:eastAsia="fr-FR"/>
        </w:rPr>
        <w:t>його</w:t>
      </w:r>
      <w:r w:rsidRPr="009A3F85">
        <w:rPr>
          <w:rFonts w:eastAsia="Times New Roman"/>
          <w:snapToGrid w:val="0"/>
          <w:lang w:val="uk-UA" w:eastAsia="fr-FR"/>
        </w:rPr>
        <w:t xml:space="preserve"> повноваження у </w:t>
      </w:r>
      <w:r w:rsidRPr="009A3F85" w:rsidR="000F7B90">
        <w:rPr>
          <w:rFonts w:eastAsia="Times New Roman"/>
          <w:snapToGrid w:val="0"/>
          <w:lang w:val="uk-UA" w:eastAsia="fr-FR"/>
        </w:rPr>
        <w:t xml:space="preserve">касаційному </w:t>
      </w:r>
      <w:r w:rsidRPr="009A3F85">
        <w:rPr>
          <w:rFonts w:eastAsia="Times New Roman"/>
          <w:snapToGrid w:val="0"/>
          <w:lang w:val="uk-UA" w:eastAsia="fr-FR"/>
        </w:rPr>
        <w:t>провадженн</w:t>
      </w:r>
      <w:r w:rsidRPr="009A3F85" w:rsidR="000F7B90">
        <w:rPr>
          <w:rFonts w:eastAsia="Times New Roman"/>
          <w:snapToGrid w:val="0"/>
          <w:lang w:val="uk-UA" w:eastAsia="fr-FR"/>
        </w:rPr>
        <w:t>і</w:t>
      </w:r>
      <w:r w:rsidRPr="009A3F85">
        <w:rPr>
          <w:rFonts w:eastAsia="Times New Roman"/>
          <w:snapToGrid w:val="0"/>
          <w:lang w:val="uk-UA" w:eastAsia="fr-FR"/>
        </w:rPr>
        <w:t xml:space="preserve">. Отже, провадження </w:t>
      </w:r>
      <w:r w:rsidRPr="009A3F85" w:rsidR="000F7B90">
        <w:rPr>
          <w:rFonts w:eastAsia="Times New Roman"/>
          <w:snapToGrid w:val="0"/>
          <w:lang w:val="uk-UA" w:eastAsia="fr-FR"/>
        </w:rPr>
        <w:t>щодо перегляду</w:t>
      </w:r>
      <w:r w:rsidRPr="009A3F85">
        <w:rPr>
          <w:rFonts w:eastAsia="Times New Roman"/>
          <w:snapToGrid w:val="0"/>
          <w:lang w:val="uk-UA" w:eastAsia="fr-FR"/>
        </w:rPr>
        <w:t xml:space="preserve"> у зв</w:t>
      </w:r>
      <w:r w:rsidRPr="009A3F85" w:rsidR="009A3F85">
        <w:rPr>
          <w:rFonts w:eastAsia="Times New Roman"/>
          <w:snapToGrid w:val="0"/>
          <w:lang w:val="uk-UA" w:eastAsia="fr-FR"/>
        </w:rPr>
        <w:t>’</w:t>
      </w:r>
      <w:r w:rsidRPr="009A3F85">
        <w:rPr>
          <w:rFonts w:eastAsia="Times New Roman"/>
          <w:snapToGrid w:val="0"/>
          <w:lang w:val="uk-UA" w:eastAsia="fr-FR"/>
        </w:rPr>
        <w:t xml:space="preserve">язку з </w:t>
      </w:r>
      <w:r w:rsidRPr="009A3F85" w:rsidR="00852100">
        <w:rPr>
          <w:rFonts w:eastAsia="Times New Roman"/>
          <w:snapToGrid w:val="0"/>
          <w:lang w:val="uk-UA" w:eastAsia="fr-FR"/>
        </w:rPr>
        <w:t xml:space="preserve">винятковими </w:t>
      </w:r>
      <w:r w:rsidRPr="009A3F85">
        <w:rPr>
          <w:rFonts w:eastAsia="Times New Roman"/>
          <w:snapToGrid w:val="0"/>
          <w:lang w:val="uk-UA" w:eastAsia="fr-FR"/>
        </w:rPr>
        <w:t xml:space="preserve">обставинами можуть </w:t>
      </w:r>
      <w:r w:rsidRPr="009A3F85" w:rsidR="000F7B90">
        <w:rPr>
          <w:rFonts w:eastAsia="Times New Roman"/>
          <w:snapToGrid w:val="0"/>
          <w:lang w:val="uk-UA" w:eastAsia="fr-FR"/>
        </w:rPr>
        <w:t>закінчитися постановленням</w:t>
      </w:r>
      <w:r w:rsidRPr="009A3F85">
        <w:rPr>
          <w:rFonts w:eastAsia="Times New Roman"/>
          <w:snapToGrid w:val="0"/>
          <w:lang w:val="uk-UA" w:eastAsia="fr-FR"/>
        </w:rPr>
        <w:t xml:space="preserve"> однієї з </w:t>
      </w:r>
      <w:r w:rsidRPr="009A3F85">
        <w:rPr>
          <w:rFonts w:eastAsia="Times New Roman"/>
          <w:lang w:val="uk-UA" w:eastAsia="fr-FR"/>
        </w:rPr>
        <w:t xml:space="preserve">ухвал різних видів, </w:t>
      </w:r>
      <w:r w:rsidRPr="009A3F85" w:rsidR="000F7B90">
        <w:rPr>
          <w:rFonts w:eastAsia="Times New Roman"/>
          <w:lang w:val="uk-UA" w:eastAsia="fr-FR"/>
        </w:rPr>
        <w:t xml:space="preserve">передбачених </w:t>
      </w:r>
      <w:r w:rsidRPr="009A3F85">
        <w:rPr>
          <w:rFonts w:eastAsia="Times New Roman"/>
          <w:lang w:val="uk-UA" w:eastAsia="fr-FR"/>
        </w:rPr>
        <w:t>статтею</w:t>
      </w:r>
      <w:r w:rsidRPr="009A3F85" w:rsidR="00852100">
        <w:rPr>
          <w:rFonts w:eastAsia="Times New Roman"/>
          <w:lang w:val="uk-UA" w:eastAsia="fr-FR"/>
        </w:rPr>
        <w:t> </w:t>
      </w:r>
      <w:r w:rsidRPr="009A3F85">
        <w:rPr>
          <w:rFonts w:eastAsia="Times New Roman"/>
          <w:lang w:val="uk-UA" w:eastAsia="fr-FR"/>
        </w:rPr>
        <w:t xml:space="preserve">358 Кодексу, зокрема ухвалою «про відхилення скарги і залишення рішення, ухвали без змін», «про повне або часткове скасування судового рішення і </w:t>
      </w:r>
      <w:r w:rsidRPr="009A3F85" w:rsidR="000F7B90">
        <w:rPr>
          <w:rFonts w:eastAsia="Times New Roman"/>
          <w:lang w:val="uk-UA" w:eastAsia="fr-FR"/>
        </w:rPr>
        <w:t xml:space="preserve">направлення </w:t>
      </w:r>
      <w:r w:rsidRPr="009A3F85">
        <w:rPr>
          <w:rFonts w:eastAsia="Times New Roman"/>
          <w:lang w:val="uk-UA" w:eastAsia="fr-FR"/>
        </w:rPr>
        <w:t>справ</w:t>
      </w:r>
      <w:r w:rsidRPr="009A3F85" w:rsidR="000F7B90">
        <w:rPr>
          <w:rFonts w:eastAsia="Times New Roman"/>
          <w:lang w:val="uk-UA" w:eastAsia="fr-FR"/>
        </w:rPr>
        <w:t>и</w:t>
      </w:r>
      <w:r w:rsidRPr="009A3F85">
        <w:rPr>
          <w:rFonts w:eastAsia="Times New Roman"/>
          <w:lang w:val="uk-UA" w:eastAsia="fr-FR"/>
        </w:rPr>
        <w:t xml:space="preserve"> відповідно на новий розгляд у суд першої, апеляційної або касаційної інстанції», «про скасування рішення і залиш</w:t>
      </w:r>
      <w:r w:rsidRPr="009A3F85" w:rsidR="00852100">
        <w:rPr>
          <w:rFonts w:eastAsia="Times New Roman"/>
          <w:lang w:val="uk-UA" w:eastAsia="fr-FR"/>
        </w:rPr>
        <w:t>ення</w:t>
      </w:r>
      <w:r w:rsidRPr="009A3F85">
        <w:rPr>
          <w:rFonts w:eastAsia="Times New Roman"/>
          <w:lang w:val="uk-UA" w:eastAsia="fr-FR"/>
        </w:rPr>
        <w:t xml:space="preserve"> в силі судов</w:t>
      </w:r>
      <w:r w:rsidRPr="009A3F85" w:rsidR="00852100">
        <w:rPr>
          <w:rFonts w:eastAsia="Times New Roman"/>
          <w:lang w:val="uk-UA" w:eastAsia="fr-FR"/>
        </w:rPr>
        <w:t>ого</w:t>
      </w:r>
      <w:r w:rsidRPr="009A3F85">
        <w:rPr>
          <w:rFonts w:eastAsia="Times New Roman"/>
          <w:lang w:val="uk-UA" w:eastAsia="fr-FR"/>
        </w:rPr>
        <w:t xml:space="preserve"> рішення, що було помилково скасовано судом апеляційної або касаційної інстанції», або «ухвалити нове рішення по суті справи або змінити рішення» (там само).</w:t>
      </w:r>
    </w:p>
    <w:p w:rsidRPr="009A3F85" w:rsidR="006D147C" w:rsidP="009A3F85">
      <w:pPr>
        <w:pStyle w:val="ECHRPara"/>
        <w:rPr>
          <w:rFonts w:eastAsia="Times New Roman"/>
          <w:snapToGrid w:val="0"/>
          <w:lang w:val="uk-UA" w:eastAsia="fr-FR"/>
        </w:rPr>
      </w:pPr>
      <w:r w:rsidRPr="009A3F85">
        <w:rPr>
          <w:rFonts w:eastAsia="Times New Roman"/>
          <w:lang w:val="uk-UA" w:eastAsia="fr-FR"/>
        </w:rPr>
        <w:fldChar w:fldCharType="begin"/>
      </w:r>
      <w:r w:rsidRPr="009A3F85">
        <w:rPr>
          <w:rFonts w:eastAsia="Times New Roman"/>
          <w:lang w:val="uk-UA" w:eastAsia="fr-FR"/>
        </w:rPr>
        <w:instrText xml:space="preserve"> SEQ level0 \*arabic </w:instrText>
      </w:r>
      <w:r w:rsidRPr="009A3F85">
        <w:rPr>
          <w:rFonts w:eastAsia="Times New Roman"/>
          <w:lang w:val="uk-UA" w:eastAsia="fr-FR"/>
        </w:rPr>
        <w:fldChar w:fldCharType="separate"/>
      </w:r>
      <w:r w:rsidRPr="009A3F85" w:rsidR="009A3F85">
        <w:rPr>
          <w:rFonts w:eastAsia="Times New Roman"/>
          <w:noProof/>
          <w:lang w:val="uk-UA" w:eastAsia="fr-FR"/>
        </w:rPr>
        <w:t>52</w:t>
      </w:r>
      <w:r w:rsidRPr="009A3F85">
        <w:rPr>
          <w:rFonts w:eastAsia="Times New Roman"/>
          <w:lang w:val="uk-UA" w:eastAsia="fr-FR"/>
        </w:rPr>
        <w:fldChar w:fldCharType="end"/>
      </w:r>
      <w:r w:rsidRPr="009A3F85">
        <w:rPr>
          <w:rFonts w:eastAsia="Times New Roman"/>
          <w:lang w:val="uk-UA" w:eastAsia="fr-FR"/>
        </w:rPr>
        <w:t xml:space="preserve">.  Для цілей розгляду Судом </w:t>
      </w:r>
      <w:r w:rsidRPr="009A3F85" w:rsidR="004B740F">
        <w:rPr>
          <w:rFonts w:eastAsia="Times New Roman"/>
          <w:lang w:val="uk-UA" w:eastAsia="fr-FR"/>
        </w:rPr>
        <w:t xml:space="preserve">природи </w:t>
      </w:r>
      <w:r w:rsidRPr="009A3F85">
        <w:rPr>
          <w:rFonts w:eastAsia="Times New Roman"/>
          <w:lang w:val="uk-UA" w:eastAsia="fr-FR"/>
        </w:rPr>
        <w:t xml:space="preserve">та </w:t>
      </w:r>
      <w:r w:rsidRPr="009A3F85" w:rsidR="004B740F">
        <w:rPr>
          <w:rFonts w:eastAsia="Times New Roman"/>
          <w:lang w:val="uk-UA" w:eastAsia="fr-FR"/>
        </w:rPr>
        <w:t xml:space="preserve">обсягу </w:t>
      </w:r>
      <w:r w:rsidRPr="009A3F85" w:rsidR="004B740F">
        <w:rPr>
          <w:rFonts w:eastAsia="Times New Roman"/>
          <w:snapToGrid w:val="0"/>
          <w:lang w:val="uk-UA" w:eastAsia="fr-FR"/>
        </w:rPr>
        <w:t xml:space="preserve">використаного заявницею </w:t>
      </w:r>
      <w:r w:rsidRPr="009A3F85">
        <w:rPr>
          <w:rFonts w:eastAsia="Times New Roman"/>
          <w:snapToGrid w:val="0"/>
          <w:lang w:val="uk-UA" w:eastAsia="fr-FR"/>
        </w:rPr>
        <w:t xml:space="preserve">засобу юридичного захисту згідно з Цивільним процесуальним кодексом України, </w:t>
      </w:r>
      <w:r w:rsidRPr="009A3F85" w:rsidR="004B740F">
        <w:rPr>
          <w:rFonts w:eastAsia="Times New Roman"/>
          <w:snapToGrid w:val="0"/>
          <w:lang w:val="uk-UA" w:eastAsia="fr-FR"/>
        </w:rPr>
        <w:t xml:space="preserve">важливим </w:t>
      </w:r>
      <w:r w:rsidRPr="009A3F85">
        <w:rPr>
          <w:rFonts w:eastAsia="Times New Roman"/>
          <w:snapToGrid w:val="0"/>
          <w:lang w:val="uk-UA" w:eastAsia="fr-FR"/>
        </w:rPr>
        <w:t>також може бути</w:t>
      </w:r>
      <w:r w:rsidRPr="009A3F85" w:rsidR="009A3F85">
        <w:rPr>
          <w:rFonts w:eastAsia="Times New Roman"/>
          <w:snapToGrid w:val="0"/>
          <w:lang w:val="uk-UA" w:eastAsia="fr-FR"/>
        </w:rPr>
        <w:t xml:space="preserve"> </w:t>
      </w:r>
      <w:r w:rsidRPr="009A3F85">
        <w:rPr>
          <w:rFonts w:eastAsia="Times New Roman"/>
          <w:snapToGrid w:val="0"/>
          <w:lang w:val="uk-UA" w:eastAsia="fr-FR"/>
        </w:rPr>
        <w:t>контекст</w:t>
      </w:r>
      <w:r w:rsidRPr="009A3F85" w:rsidR="000F7B90">
        <w:rPr>
          <w:rFonts w:eastAsia="Times New Roman"/>
          <w:snapToGrid w:val="0"/>
          <w:lang w:val="uk-UA" w:eastAsia="fr-FR"/>
        </w:rPr>
        <w:t xml:space="preserve"> </w:t>
      </w:r>
      <w:r w:rsidRPr="009A3F85" w:rsidR="004B740F">
        <w:rPr>
          <w:rFonts w:eastAsia="Times New Roman"/>
          <w:snapToGrid w:val="0"/>
          <w:lang w:val="uk-UA" w:eastAsia="fr-FR"/>
        </w:rPr>
        <w:t>законодавчого підґрунтя</w:t>
      </w:r>
      <w:r w:rsidRPr="009A3F85">
        <w:rPr>
          <w:rFonts w:eastAsia="Times New Roman"/>
          <w:snapToGrid w:val="0"/>
          <w:lang w:val="uk-UA" w:eastAsia="fr-FR"/>
        </w:rPr>
        <w:t xml:space="preserve">, </w:t>
      </w:r>
      <w:r w:rsidRPr="009A3F85" w:rsidR="000F7B90">
        <w:rPr>
          <w:rFonts w:eastAsia="Times New Roman"/>
          <w:snapToGrid w:val="0"/>
          <w:lang w:val="uk-UA" w:eastAsia="fr-FR"/>
        </w:rPr>
        <w:t>зокрема</w:t>
      </w:r>
      <w:r w:rsidRPr="009A3F85">
        <w:rPr>
          <w:rFonts w:eastAsia="Times New Roman"/>
          <w:snapToGrid w:val="0"/>
          <w:lang w:val="uk-UA" w:eastAsia="fr-FR"/>
        </w:rPr>
        <w:t xml:space="preserve"> </w:t>
      </w:r>
      <w:r w:rsidRPr="009A3F85" w:rsidR="004B740F">
        <w:rPr>
          <w:rFonts w:eastAsia="Times New Roman"/>
          <w:snapToGrid w:val="0"/>
          <w:lang w:val="uk-UA" w:eastAsia="fr-FR"/>
        </w:rPr>
        <w:t xml:space="preserve">положень </w:t>
      </w:r>
      <w:r w:rsidRPr="009A3F85">
        <w:rPr>
          <w:rFonts w:eastAsia="Times New Roman"/>
          <w:snapToGrid w:val="0"/>
          <w:lang w:val="uk-UA" w:eastAsia="fr-FR"/>
        </w:rPr>
        <w:t>Закон</w:t>
      </w:r>
      <w:r w:rsidRPr="009A3F85" w:rsidR="004B740F">
        <w:rPr>
          <w:rFonts w:eastAsia="Times New Roman"/>
          <w:snapToGrid w:val="0"/>
          <w:lang w:val="uk-UA" w:eastAsia="fr-FR"/>
        </w:rPr>
        <w:t>у</w:t>
      </w:r>
      <w:r w:rsidRPr="009A3F85">
        <w:rPr>
          <w:rFonts w:eastAsia="Times New Roman"/>
          <w:snapToGrid w:val="0"/>
          <w:lang w:val="uk-UA" w:eastAsia="fr-FR"/>
        </w:rPr>
        <w:t xml:space="preserve"> України «Про виконання рішень та застосування практики Європейського суду з прав людини» 2006 року (див. пункт 25, у якому викладено відповідні положення цього закону). Зокрема, у пункті «а» частини 3 статті 10 Закону 2006 року зазначено, що «</w:t>
      </w:r>
      <w:r w:rsidRPr="009A3F85" w:rsidR="0049718A">
        <w:rPr>
          <w:rFonts w:eastAsia="Times New Roman"/>
          <w:snapToGrid w:val="0"/>
          <w:lang w:val="uk-UA" w:eastAsia="fr-FR"/>
        </w:rPr>
        <w:t>в</w:t>
      </w:r>
      <w:r w:rsidRPr="009A3F85">
        <w:rPr>
          <w:rFonts w:eastAsia="Times New Roman"/>
          <w:snapToGrid w:val="0"/>
          <w:lang w:val="uk-UA" w:eastAsia="fr-FR"/>
        </w:rPr>
        <w:t xml:space="preserve">ідновлення попереднього юридичного статусу Стягувача» тобто </w:t>
      </w:r>
      <w:r w:rsidRPr="009A3F85" w:rsidR="00361D28">
        <w:rPr>
          <w:rFonts w:eastAsia="Times New Roman"/>
          <w:snapToGrid w:val="0"/>
          <w:lang w:val="uk-UA" w:eastAsia="fr-FR"/>
        </w:rPr>
        <w:t>заявника,</w:t>
      </w:r>
      <w:r w:rsidRPr="009A3F85" w:rsidR="00361D28">
        <w:rPr>
          <w:rFonts w:eastAsia="Times New Roman"/>
          <w:lang w:val="uk-UA" w:eastAsia="fr-FR"/>
        </w:rPr>
        <w:t xml:space="preserve"> на користь якого постановлено рішення Європейського суду з прав людини</w:t>
      </w:r>
      <w:r w:rsidRPr="009A3F85" w:rsidR="004B740F">
        <w:rPr>
          <w:rFonts w:eastAsia="Times New Roman"/>
          <w:lang w:val="uk-UA" w:eastAsia="fr-FR"/>
        </w:rPr>
        <w:t>,</w:t>
      </w:r>
      <w:r w:rsidRPr="009A3F85" w:rsidR="00361D28">
        <w:rPr>
          <w:rFonts w:eastAsia="Times New Roman"/>
          <w:snapToGrid w:val="0"/>
          <w:lang w:val="uk-UA" w:eastAsia="fr-FR"/>
        </w:rPr>
        <w:t xml:space="preserve"> – «здійснюється</w:t>
      </w:r>
      <w:r w:rsidRPr="009A3F85">
        <w:rPr>
          <w:rFonts w:eastAsia="Times New Roman"/>
          <w:snapToGrid w:val="0"/>
          <w:lang w:val="uk-UA" w:eastAsia="fr-FR"/>
        </w:rPr>
        <w:t xml:space="preserve">, зокрема, шляхом повторного розгляду справи судом, включаючи відновлення провадження у справі» (там само). До того ж, згідно з пунктом «а» статті 11 того </w:t>
      </w:r>
      <w:r w:rsidRPr="009A3F85" w:rsidR="0049718A">
        <w:rPr>
          <w:rFonts w:eastAsia="Times New Roman"/>
          <w:snapToGrid w:val="0"/>
          <w:lang w:val="uk-UA" w:eastAsia="fr-FR"/>
        </w:rPr>
        <w:t xml:space="preserve">ж </w:t>
      </w:r>
      <w:r w:rsidRPr="009A3F85">
        <w:rPr>
          <w:rFonts w:eastAsia="Times New Roman"/>
          <w:snapToGrid w:val="0"/>
          <w:lang w:val="uk-UA" w:eastAsia="fr-FR"/>
        </w:rPr>
        <w:t xml:space="preserve">Закону </w:t>
      </w:r>
      <w:r w:rsidRPr="009A3F85" w:rsidR="0049718A">
        <w:rPr>
          <w:rFonts w:eastAsia="Times New Roman"/>
          <w:snapToGrid w:val="0"/>
          <w:lang w:val="uk-UA" w:eastAsia="fr-FR"/>
        </w:rPr>
        <w:t xml:space="preserve">Орган </w:t>
      </w:r>
      <w:r w:rsidRPr="009A3F85">
        <w:rPr>
          <w:rFonts w:eastAsia="Times New Roman"/>
          <w:snapToGrid w:val="0"/>
          <w:lang w:val="uk-UA" w:eastAsia="fr-FR"/>
        </w:rPr>
        <w:t>представництва надсилає Стягувачеві «повідомлення з роз</w:t>
      </w:r>
      <w:r w:rsidRPr="009A3F85" w:rsidR="009A3F85">
        <w:rPr>
          <w:rFonts w:eastAsia="Times New Roman"/>
          <w:snapToGrid w:val="0"/>
          <w:lang w:val="uk-UA" w:eastAsia="fr-FR"/>
        </w:rPr>
        <w:t>’</w:t>
      </w:r>
      <w:r w:rsidRPr="009A3F85">
        <w:rPr>
          <w:rFonts w:eastAsia="Times New Roman"/>
          <w:snapToGrid w:val="0"/>
          <w:lang w:val="uk-UA" w:eastAsia="fr-FR"/>
        </w:rPr>
        <w:t>ясненням його права порушити провадження про перегляд справи та/або про його право на відновлення провадження відповідно до чинного законодавства».</w:t>
      </w:r>
    </w:p>
    <w:p w:rsidRPr="009A3F85" w:rsidR="006D147C" w:rsidP="009A3F85">
      <w:pPr>
        <w:pStyle w:val="ECHRPara"/>
        <w:rPr>
          <w:lang w:val="uk-UA"/>
        </w:rPr>
      </w:pPr>
      <w:r w:rsidRPr="009A3F85">
        <w:rPr>
          <w:rFonts w:eastAsia="Times New Roman"/>
          <w:snapToGrid w:val="0"/>
          <w:szCs w:val="24"/>
          <w:lang w:val="uk-UA" w:eastAsia="fr-FR"/>
        </w:rPr>
        <w:fldChar w:fldCharType="begin"/>
      </w:r>
      <w:r w:rsidRPr="009A3F85">
        <w:rPr>
          <w:rFonts w:eastAsia="Times New Roman"/>
          <w:snapToGrid w:val="0"/>
          <w:szCs w:val="24"/>
          <w:lang w:val="uk-UA" w:eastAsia="fr-FR"/>
        </w:rPr>
        <w:instrText xml:space="preserve"> SEQ level0 \*arabic </w:instrText>
      </w:r>
      <w:r w:rsidRPr="009A3F85">
        <w:rPr>
          <w:rFonts w:eastAsia="Times New Roman"/>
          <w:snapToGrid w:val="0"/>
          <w:szCs w:val="24"/>
          <w:lang w:val="uk-UA" w:eastAsia="fr-FR"/>
        </w:rPr>
        <w:fldChar w:fldCharType="separate"/>
      </w:r>
      <w:r w:rsidRPr="009A3F85" w:rsidR="009A3F85">
        <w:rPr>
          <w:rFonts w:eastAsia="Times New Roman"/>
          <w:noProof/>
          <w:snapToGrid w:val="0"/>
          <w:szCs w:val="24"/>
          <w:lang w:val="uk-UA" w:eastAsia="fr-FR"/>
        </w:rPr>
        <w:t>53</w:t>
      </w:r>
      <w:r w:rsidRPr="009A3F85">
        <w:rPr>
          <w:rFonts w:eastAsia="Times New Roman"/>
          <w:snapToGrid w:val="0"/>
          <w:szCs w:val="24"/>
          <w:lang w:val="uk-UA" w:eastAsia="fr-FR"/>
        </w:rPr>
        <w:fldChar w:fldCharType="end"/>
      </w:r>
      <w:r w:rsidRPr="009A3F85">
        <w:rPr>
          <w:rFonts w:eastAsia="Times New Roman"/>
          <w:snapToGrid w:val="0"/>
          <w:szCs w:val="24"/>
          <w:lang w:val="uk-UA" w:eastAsia="fr-FR"/>
        </w:rPr>
        <w:t xml:space="preserve">.  Таким чином, </w:t>
      </w:r>
      <w:r w:rsidRPr="009A3F85" w:rsidR="004B740F">
        <w:rPr>
          <w:rFonts w:eastAsia="Times New Roman"/>
          <w:snapToGrid w:val="0"/>
          <w:szCs w:val="24"/>
          <w:lang w:val="uk-UA" w:eastAsia="fr-FR"/>
        </w:rPr>
        <w:t xml:space="preserve">застосовне </w:t>
      </w:r>
      <w:r w:rsidRPr="009A3F85">
        <w:rPr>
          <w:rFonts w:eastAsia="Times New Roman"/>
          <w:snapToGrid w:val="0"/>
          <w:szCs w:val="24"/>
          <w:lang w:val="uk-UA" w:eastAsia="fr-FR"/>
        </w:rPr>
        <w:t>національн</w:t>
      </w:r>
      <w:r w:rsidRPr="009A3F85" w:rsidR="004B740F">
        <w:rPr>
          <w:rFonts w:eastAsia="Times New Roman"/>
          <w:snapToGrid w:val="0"/>
          <w:szCs w:val="24"/>
          <w:lang w:val="uk-UA" w:eastAsia="fr-FR"/>
        </w:rPr>
        <w:t>е</w:t>
      </w:r>
      <w:r w:rsidRPr="009A3F85">
        <w:rPr>
          <w:rFonts w:eastAsia="Times New Roman"/>
          <w:snapToGrid w:val="0"/>
          <w:szCs w:val="24"/>
          <w:lang w:val="uk-UA" w:eastAsia="fr-FR"/>
        </w:rPr>
        <w:t xml:space="preserve"> законодавство </w:t>
      </w:r>
      <w:r w:rsidRPr="009A3F85" w:rsidR="004B740F">
        <w:rPr>
          <w:rFonts w:eastAsia="Times New Roman"/>
          <w:snapToGrid w:val="0"/>
          <w:szCs w:val="24"/>
          <w:lang w:val="uk-UA" w:eastAsia="fr-FR"/>
        </w:rPr>
        <w:t xml:space="preserve">надавало </w:t>
      </w:r>
      <w:r w:rsidRPr="009A3F85">
        <w:rPr>
          <w:rFonts w:eastAsia="Times New Roman"/>
          <w:snapToGrid w:val="0"/>
          <w:szCs w:val="24"/>
          <w:lang w:val="uk-UA" w:eastAsia="fr-FR"/>
        </w:rPr>
        <w:t xml:space="preserve">заявниці засіб юридичного захисту, що </w:t>
      </w:r>
      <w:r w:rsidRPr="009A3F85" w:rsidR="0049718A">
        <w:rPr>
          <w:rFonts w:eastAsia="Times New Roman"/>
          <w:snapToGrid w:val="0"/>
          <w:szCs w:val="24"/>
          <w:lang w:val="uk-UA" w:eastAsia="fr-FR"/>
        </w:rPr>
        <w:t xml:space="preserve">передбачає можливість судового </w:t>
      </w:r>
      <w:r w:rsidRPr="009A3F85">
        <w:rPr>
          <w:rFonts w:eastAsia="Times New Roman"/>
          <w:snapToGrid w:val="0"/>
          <w:szCs w:val="24"/>
          <w:lang w:val="uk-UA" w:eastAsia="fr-FR"/>
        </w:rPr>
        <w:t>перегляд</w:t>
      </w:r>
      <w:r w:rsidRPr="009A3F85" w:rsidR="0049718A">
        <w:rPr>
          <w:rFonts w:eastAsia="Times New Roman"/>
          <w:snapToGrid w:val="0"/>
          <w:szCs w:val="24"/>
          <w:lang w:val="uk-UA" w:eastAsia="fr-FR"/>
        </w:rPr>
        <w:t>у</w:t>
      </w:r>
      <w:r w:rsidRPr="009A3F85">
        <w:rPr>
          <w:rFonts w:eastAsia="Times New Roman"/>
          <w:snapToGrid w:val="0"/>
          <w:szCs w:val="24"/>
          <w:lang w:val="uk-UA" w:eastAsia="fr-FR"/>
        </w:rPr>
        <w:t xml:space="preserve"> її цивільної справи Верховним Судом України з урахуванням висновку Суду про те, що </w:t>
      </w:r>
      <w:r w:rsidRPr="009A3F85">
        <w:rPr>
          <w:rFonts w:eastAsia="Times New Roman"/>
          <w:snapToGrid w:val="0"/>
          <w:szCs w:val="24"/>
          <w:lang w:val="uk-UA" w:eastAsia="fr-FR"/>
        </w:rPr>
        <w:t xml:space="preserve">первинні судові рішення, ухвалені на національному рівні, </w:t>
      </w:r>
      <w:r w:rsidRPr="009A3F85" w:rsidR="004B740F">
        <w:rPr>
          <w:rFonts w:eastAsia="Times New Roman"/>
          <w:snapToGrid w:val="0"/>
          <w:szCs w:val="24"/>
          <w:lang w:val="uk-UA" w:eastAsia="fr-FR"/>
        </w:rPr>
        <w:t>мали вади</w:t>
      </w:r>
      <w:r w:rsidRPr="009A3F85">
        <w:rPr>
          <w:rFonts w:eastAsia="Times New Roman"/>
          <w:snapToGrid w:val="0"/>
          <w:szCs w:val="24"/>
          <w:lang w:val="uk-UA" w:eastAsia="fr-FR"/>
        </w:rPr>
        <w:t xml:space="preserve">. </w:t>
      </w:r>
      <w:r w:rsidRPr="009A3F85" w:rsidR="00361D28">
        <w:rPr>
          <w:rFonts w:eastAsia="Times New Roman"/>
          <w:snapToGrid w:val="0"/>
          <w:szCs w:val="24"/>
          <w:lang w:val="uk-UA" w:eastAsia="fr-FR"/>
        </w:rPr>
        <w:t>З огляду на різно</w:t>
      </w:r>
      <w:r w:rsidRPr="009A3F85">
        <w:rPr>
          <w:rFonts w:eastAsia="Times New Roman"/>
          <w:snapToGrid w:val="0"/>
          <w:szCs w:val="24"/>
          <w:lang w:val="uk-UA" w:eastAsia="fr-FR"/>
        </w:rPr>
        <w:t xml:space="preserve">вид судового розгляду, передбаченого Законом, </w:t>
      </w:r>
      <w:r w:rsidRPr="009A3F85" w:rsidR="00EA6391">
        <w:rPr>
          <w:rFonts w:eastAsia="Times New Roman"/>
          <w:snapToGrid w:val="0"/>
          <w:szCs w:val="24"/>
          <w:lang w:val="uk-UA" w:eastAsia="fr-FR"/>
        </w:rPr>
        <w:t>скарга</w:t>
      </w:r>
      <w:r w:rsidRPr="009A3F85">
        <w:rPr>
          <w:rFonts w:eastAsia="Times New Roman"/>
          <w:snapToGrid w:val="0"/>
          <w:szCs w:val="24"/>
          <w:lang w:val="uk-UA" w:eastAsia="fr-FR"/>
        </w:rPr>
        <w:t xml:space="preserve"> заявниц</w:t>
      </w:r>
      <w:r w:rsidRPr="009A3F85" w:rsidR="00EA6391">
        <w:rPr>
          <w:rFonts w:eastAsia="Times New Roman"/>
          <w:snapToGrid w:val="0"/>
          <w:szCs w:val="24"/>
          <w:lang w:val="uk-UA" w:eastAsia="fr-FR"/>
        </w:rPr>
        <w:t>і</w:t>
      </w:r>
      <w:r w:rsidRPr="009A3F85">
        <w:rPr>
          <w:rFonts w:eastAsia="Times New Roman"/>
          <w:snapToGrid w:val="0"/>
          <w:szCs w:val="24"/>
          <w:lang w:val="uk-UA" w:eastAsia="fr-FR"/>
        </w:rPr>
        <w:t xml:space="preserve"> у зв</w:t>
      </w:r>
      <w:r w:rsidRPr="009A3F85" w:rsidR="009A3F85">
        <w:rPr>
          <w:rFonts w:eastAsia="Times New Roman"/>
          <w:snapToGrid w:val="0"/>
          <w:szCs w:val="24"/>
          <w:lang w:val="uk-UA" w:eastAsia="fr-FR"/>
        </w:rPr>
        <w:t>’</w:t>
      </w:r>
      <w:r w:rsidRPr="009A3F85">
        <w:rPr>
          <w:rFonts w:eastAsia="Times New Roman"/>
          <w:snapToGrid w:val="0"/>
          <w:szCs w:val="24"/>
          <w:lang w:val="uk-UA" w:eastAsia="fr-FR"/>
        </w:rPr>
        <w:t>язку з ви</w:t>
      </w:r>
      <w:r w:rsidRPr="009A3F85" w:rsidR="00EA6391">
        <w:rPr>
          <w:rFonts w:eastAsia="Times New Roman"/>
          <w:snapToGrid w:val="0"/>
          <w:szCs w:val="24"/>
          <w:lang w:val="uk-UA" w:eastAsia="fr-FR"/>
        </w:rPr>
        <w:t>нятков</w:t>
      </w:r>
      <w:r w:rsidRPr="009A3F85">
        <w:rPr>
          <w:rFonts w:eastAsia="Times New Roman"/>
          <w:snapToGrid w:val="0"/>
          <w:szCs w:val="24"/>
          <w:lang w:val="uk-UA" w:eastAsia="fr-FR"/>
        </w:rPr>
        <w:t>ими обставинами може розглядатися як продовження первинно</w:t>
      </w:r>
      <w:r w:rsidRPr="009A3F85" w:rsidR="00361D28">
        <w:rPr>
          <w:rFonts w:eastAsia="Times New Roman"/>
          <w:snapToGrid w:val="0"/>
          <w:szCs w:val="24"/>
          <w:lang w:val="uk-UA" w:eastAsia="fr-FR"/>
        </w:rPr>
        <w:t>го</w:t>
      </w:r>
      <w:r w:rsidRPr="009A3F85">
        <w:rPr>
          <w:rFonts w:eastAsia="Times New Roman"/>
          <w:snapToGrid w:val="0"/>
          <w:szCs w:val="24"/>
          <w:lang w:val="uk-UA" w:eastAsia="fr-FR"/>
        </w:rPr>
        <w:t xml:space="preserve"> цивільного провадження (яке було </w:t>
      </w:r>
      <w:r w:rsidRPr="009A3F85" w:rsidR="004B740F">
        <w:rPr>
          <w:rFonts w:eastAsia="Times New Roman"/>
          <w:snapToGrid w:val="0"/>
          <w:szCs w:val="24"/>
          <w:lang w:val="uk-UA" w:eastAsia="fr-FR"/>
        </w:rPr>
        <w:t>завершено</w:t>
      </w:r>
      <w:r w:rsidRPr="009A3F85">
        <w:rPr>
          <w:rFonts w:eastAsia="Times New Roman"/>
          <w:snapToGrid w:val="0"/>
          <w:szCs w:val="24"/>
          <w:lang w:val="uk-UA" w:eastAsia="fr-FR"/>
        </w:rPr>
        <w:t xml:space="preserve">), </w:t>
      </w:r>
      <w:r w:rsidRPr="009A3F85" w:rsidR="0049718A">
        <w:rPr>
          <w:rFonts w:eastAsia="Times New Roman"/>
          <w:snapToGrid w:val="0"/>
          <w:szCs w:val="24"/>
          <w:lang w:val="uk-UA" w:eastAsia="fr-FR"/>
        </w:rPr>
        <w:t xml:space="preserve">що є </w:t>
      </w:r>
      <w:r w:rsidRPr="009A3F85">
        <w:rPr>
          <w:rFonts w:eastAsia="Times New Roman"/>
          <w:snapToGrid w:val="0"/>
          <w:szCs w:val="24"/>
          <w:lang w:val="uk-UA" w:eastAsia="fr-FR"/>
        </w:rPr>
        <w:t>схож</w:t>
      </w:r>
      <w:r w:rsidRPr="009A3F85" w:rsidR="0049718A">
        <w:rPr>
          <w:rFonts w:eastAsia="Times New Roman"/>
          <w:snapToGrid w:val="0"/>
          <w:szCs w:val="24"/>
          <w:lang w:val="uk-UA" w:eastAsia="fr-FR"/>
        </w:rPr>
        <w:t>им</w:t>
      </w:r>
      <w:r w:rsidRPr="009A3F85">
        <w:rPr>
          <w:rFonts w:eastAsia="Times New Roman"/>
          <w:snapToGrid w:val="0"/>
          <w:szCs w:val="24"/>
          <w:lang w:val="uk-UA" w:eastAsia="fr-FR"/>
        </w:rPr>
        <w:t xml:space="preserve"> на визначене законодавством України касаційне провадження</w:t>
      </w:r>
      <w:r w:rsidRPr="009A3F85" w:rsidR="00EC3596">
        <w:rPr>
          <w:rFonts w:eastAsia="Times New Roman"/>
          <w:snapToGrid w:val="0"/>
          <w:szCs w:val="24"/>
          <w:lang w:val="uk-UA" w:eastAsia="fr-FR"/>
        </w:rPr>
        <w:t>. Таким чином</w:t>
      </w:r>
      <w:r w:rsidRPr="009A3F85">
        <w:rPr>
          <w:rFonts w:eastAsia="Times New Roman"/>
          <w:snapToGrid w:val="0"/>
          <w:szCs w:val="24"/>
          <w:lang w:val="uk-UA" w:eastAsia="fr-FR"/>
        </w:rPr>
        <w:t xml:space="preserve">, </w:t>
      </w:r>
      <w:r w:rsidRPr="009A3F85" w:rsidR="0049718A">
        <w:rPr>
          <w:rFonts w:eastAsia="Times New Roman"/>
          <w:snapToGrid w:val="0"/>
          <w:szCs w:val="24"/>
          <w:lang w:val="uk-UA" w:eastAsia="fr-FR"/>
        </w:rPr>
        <w:t xml:space="preserve">якщо </w:t>
      </w:r>
      <w:r w:rsidRPr="009A3F85">
        <w:rPr>
          <w:rFonts w:eastAsia="Times New Roman"/>
          <w:snapToGrid w:val="0"/>
          <w:szCs w:val="24"/>
          <w:lang w:val="uk-UA" w:eastAsia="fr-FR"/>
        </w:rPr>
        <w:t>специфічні риси цього провадження</w:t>
      </w:r>
      <w:r w:rsidRPr="009A3F85" w:rsidR="0049718A">
        <w:rPr>
          <w:rFonts w:eastAsia="Times New Roman"/>
          <w:snapToGrid w:val="0"/>
          <w:szCs w:val="24"/>
          <w:lang w:val="uk-UA" w:eastAsia="fr-FR"/>
        </w:rPr>
        <w:t xml:space="preserve"> </w:t>
      </w:r>
      <w:r w:rsidRPr="009A3F85">
        <w:rPr>
          <w:rFonts w:eastAsia="Times New Roman"/>
          <w:snapToGrid w:val="0"/>
          <w:szCs w:val="24"/>
          <w:lang w:val="uk-UA" w:eastAsia="fr-FR"/>
        </w:rPr>
        <w:t>касаційн</w:t>
      </w:r>
      <w:r w:rsidRPr="009A3F85" w:rsidR="00974D61">
        <w:rPr>
          <w:rFonts w:eastAsia="Times New Roman"/>
          <w:snapToGrid w:val="0"/>
          <w:szCs w:val="24"/>
          <w:lang w:val="uk-UA" w:eastAsia="fr-FR"/>
        </w:rPr>
        <w:t>ого</w:t>
      </w:r>
      <w:r w:rsidRPr="009A3F85" w:rsidR="004B740F">
        <w:rPr>
          <w:rFonts w:eastAsia="Times New Roman"/>
          <w:snapToGrid w:val="0"/>
          <w:szCs w:val="24"/>
          <w:lang w:val="uk-UA" w:eastAsia="fr-FR"/>
        </w:rPr>
        <w:t xml:space="preserve"> типу</w:t>
      </w:r>
      <w:r w:rsidRPr="009A3F85">
        <w:rPr>
          <w:rFonts w:eastAsia="Times New Roman"/>
          <w:snapToGrid w:val="0"/>
          <w:szCs w:val="24"/>
          <w:lang w:val="uk-UA" w:eastAsia="fr-FR"/>
        </w:rPr>
        <w:t xml:space="preserve"> можуть вплинути на </w:t>
      </w:r>
      <w:r w:rsidRPr="009A3F85" w:rsidR="0049718A">
        <w:rPr>
          <w:rFonts w:eastAsia="Times New Roman"/>
          <w:snapToGrid w:val="0"/>
          <w:szCs w:val="24"/>
          <w:lang w:val="uk-UA" w:eastAsia="fr-FR"/>
        </w:rPr>
        <w:t xml:space="preserve">порядок застосування </w:t>
      </w:r>
      <w:r w:rsidRPr="009A3F85">
        <w:rPr>
          <w:rFonts w:eastAsia="Times New Roman"/>
          <w:snapToGrid w:val="0"/>
          <w:szCs w:val="24"/>
          <w:lang w:val="uk-UA" w:eastAsia="fr-FR"/>
        </w:rPr>
        <w:t xml:space="preserve">передбачених пунктом 1 статті 6 Конвенції процесуальних гарантій (див. рішення від </w:t>
      </w:r>
      <w:r w:rsidRPr="009A3F85">
        <w:rPr>
          <w:lang w:val="uk-UA"/>
        </w:rPr>
        <w:t xml:space="preserve">17 січня 1970 року </w:t>
      </w:r>
      <w:r w:rsidRPr="009A3F85">
        <w:rPr>
          <w:rFonts w:eastAsia="Times New Roman"/>
          <w:snapToGrid w:val="0"/>
          <w:szCs w:val="24"/>
          <w:lang w:val="uk-UA" w:eastAsia="fr-FR"/>
        </w:rPr>
        <w:t>у справі «Делькур проти Бельгії» (</w:t>
      </w:r>
      <w:r w:rsidRPr="009A3F85">
        <w:rPr>
          <w:i/>
          <w:lang w:val="uk-UA"/>
        </w:rPr>
        <w:t>Delcourt v. Belgium</w:t>
      </w:r>
      <w:r w:rsidRPr="009A3F85">
        <w:rPr>
          <w:lang w:val="uk-UA"/>
        </w:rPr>
        <w:t>), п. 26, Series A № 11</w:t>
      </w:r>
      <w:r w:rsidRPr="009A3F85">
        <w:rPr>
          <w:rFonts w:eastAsia="Times New Roman"/>
          <w:snapToGrid w:val="0"/>
          <w:szCs w:val="24"/>
          <w:lang w:val="uk-UA" w:eastAsia="fr-FR"/>
        </w:rPr>
        <w:t xml:space="preserve">), Суд вважає, що ці гарантії </w:t>
      </w:r>
      <w:r w:rsidRPr="009A3F85" w:rsidR="00974D61">
        <w:rPr>
          <w:rFonts w:eastAsia="Times New Roman"/>
          <w:snapToGrid w:val="0"/>
          <w:szCs w:val="24"/>
          <w:lang w:val="uk-UA" w:eastAsia="fr-FR"/>
        </w:rPr>
        <w:t>мають бути застосовними</w:t>
      </w:r>
      <w:r w:rsidRPr="009A3F85">
        <w:rPr>
          <w:rFonts w:eastAsia="Times New Roman"/>
          <w:snapToGrid w:val="0"/>
          <w:szCs w:val="24"/>
          <w:lang w:val="uk-UA" w:eastAsia="fr-FR"/>
        </w:rPr>
        <w:t xml:space="preserve"> до цього провадження у такий самий спосіб, що й загалом до касаційного провадження </w:t>
      </w:r>
      <w:r w:rsidRPr="009A3F85" w:rsidR="00974D61">
        <w:rPr>
          <w:rFonts w:eastAsia="Times New Roman"/>
          <w:snapToGrid w:val="0"/>
          <w:szCs w:val="24"/>
          <w:lang w:val="uk-UA" w:eastAsia="fr-FR"/>
        </w:rPr>
        <w:t>у</w:t>
      </w:r>
      <w:r w:rsidRPr="009A3F85">
        <w:rPr>
          <w:rFonts w:eastAsia="Times New Roman"/>
          <w:snapToGrid w:val="0"/>
          <w:szCs w:val="24"/>
          <w:lang w:val="uk-UA" w:eastAsia="fr-FR"/>
        </w:rPr>
        <w:t xml:space="preserve"> цивільних </w:t>
      </w:r>
      <w:r w:rsidRPr="009A3F85" w:rsidR="00974D61">
        <w:rPr>
          <w:rFonts w:eastAsia="Times New Roman"/>
          <w:snapToGrid w:val="0"/>
          <w:szCs w:val="24"/>
          <w:lang w:val="uk-UA" w:eastAsia="fr-FR"/>
        </w:rPr>
        <w:t>справах</w:t>
      </w:r>
      <w:r w:rsidRPr="009A3F85">
        <w:rPr>
          <w:rFonts w:eastAsia="Times New Roman"/>
          <w:snapToGrid w:val="0"/>
          <w:szCs w:val="24"/>
          <w:lang w:val="uk-UA" w:eastAsia="fr-FR"/>
        </w:rPr>
        <w:t xml:space="preserve"> (див., наприклад, рішення від 18 листопада 2010 року у справі «Мушта проти України» (</w:t>
      </w:r>
      <w:r w:rsidRPr="009A3F85">
        <w:rPr>
          <w:rFonts w:eastAsia="Times New Roman"/>
          <w:i/>
          <w:iCs/>
          <w:snapToGrid w:val="0"/>
          <w:szCs w:val="24"/>
          <w:lang w:val="uk-UA" w:eastAsia="fr-FR"/>
        </w:rPr>
        <w:t>Mushta v. Ukraine</w:t>
      </w:r>
      <w:r w:rsidRPr="009A3F85">
        <w:rPr>
          <w:rFonts w:eastAsia="Times New Roman"/>
          <w:iCs/>
          <w:snapToGrid w:val="0"/>
          <w:szCs w:val="24"/>
          <w:lang w:val="uk-UA" w:eastAsia="fr-FR"/>
        </w:rPr>
        <w:t>)</w:t>
      </w:r>
      <w:r w:rsidRPr="009A3F85">
        <w:rPr>
          <w:rFonts w:eastAsia="Times New Roman"/>
          <w:snapToGrid w:val="0"/>
          <w:szCs w:val="24"/>
          <w:lang w:val="uk-UA" w:eastAsia="fr-FR"/>
        </w:rPr>
        <w:t>, заява № 8863/06, п. 39; та</w:t>
      </w:r>
      <w:r w:rsidRPr="009A3F85" w:rsidR="00974D61">
        <w:rPr>
          <w:rFonts w:eastAsia="Times New Roman"/>
          <w:snapToGrid w:val="0"/>
          <w:szCs w:val="24"/>
          <w:lang w:val="uk-UA" w:eastAsia="fr-FR"/>
        </w:rPr>
        <w:t>,</w:t>
      </w:r>
      <w:r w:rsidRPr="009A3F85">
        <w:rPr>
          <w:rFonts w:eastAsia="Times New Roman"/>
          <w:snapToGrid w:val="0"/>
          <w:szCs w:val="24"/>
          <w:lang w:val="uk-UA" w:eastAsia="fr-FR"/>
        </w:rPr>
        <w:t xml:space="preserve"> </w:t>
      </w:r>
      <w:r w:rsidRPr="009A3F85">
        <w:rPr>
          <w:rFonts w:eastAsia="Times New Roman"/>
          <w:i/>
          <w:snapToGrid w:val="0"/>
          <w:szCs w:val="24"/>
          <w:lang w:val="uk-UA" w:eastAsia="fr-FR"/>
        </w:rPr>
        <w:t>mutatis mutandis</w:t>
      </w:r>
      <w:r w:rsidRPr="009A3F85">
        <w:rPr>
          <w:rFonts w:eastAsia="Times New Roman"/>
          <w:snapToGrid w:val="0"/>
          <w:szCs w:val="24"/>
          <w:lang w:val="uk-UA" w:eastAsia="fr-FR"/>
        </w:rPr>
        <w:t xml:space="preserve"> вищенаведені у пунктах 48-49 рішення у справах </w:t>
      </w:r>
      <w:r w:rsidRPr="009A3F85" w:rsidR="00974D61">
        <w:rPr>
          <w:rFonts w:eastAsia="Times New Roman"/>
          <w:snapToGrid w:val="0"/>
          <w:szCs w:val="24"/>
          <w:lang w:val="uk-UA" w:eastAsia="fr-FR"/>
        </w:rPr>
        <w:t>«</w:t>
      </w:r>
      <w:r w:rsidRPr="009A3F85">
        <w:rPr>
          <w:lang w:val="uk-UA"/>
        </w:rPr>
        <w:t>«San Leonard Band Club</w:t>
      </w:r>
      <w:r w:rsidRPr="009A3F85" w:rsidR="00974D61">
        <w:rPr>
          <w:lang w:val="uk-UA"/>
        </w:rPr>
        <w:t>»</w:t>
      </w:r>
      <w:r w:rsidRPr="009A3F85">
        <w:rPr>
          <w:lang w:val="uk-UA"/>
        </w:rPr>
        <w:t xml:space="preserve"> проти Мальти» (</w:t>
      </w:r>
      <w:r w:rsidRPr="009A3F85">
        <w:rPr>
          <w:i/>
          <w:lang w:val="uk-UA"/>
        </w:rPr>
        <w:t>San Leonard Band Club v. Malta</w:t>
      </w:r>
      <w:r w:rsidRPr="009A3F85">
        <w:rPr>
          <w:lang w:val="uk-UA"/>
        </w:rPr>
        <w:t>)</w:t>
      </w:r>
      <w:r w:rsidRPr="009A3F85">
        <w:rPr>
          <w:rFonts w:eastAsia="Times New Roman"/>
          <w:snapToGrid w:val="0"/>
          <w:szCs w:val="24"/>
          <w:lang w:val="uk-UA" w:eastAsia="fr-FR"/>
        </w:rPr>
        <w:t xml:space="preserve"> та </w:t>
      </w:r>
      <w:r w:rsidRPr="009A3F85">
        <w:rPr>
          <w:rFonts w:eastAsia="Times New Roman"/>
          <w:lang w:val="uk-UA" w:eastAsia="fr-FR"/>
        </w:rPr>
        <w:t>«Маресті проти Хорватії» (</w:t>
      </w:r>
      <w:r w:rsidRPr="009A3F85">
        <w:rPr>
          <w:rFonts w:eastAsia="Times New Roman"/>
          <w:i/>
          <w:lang w:val="uk-UA" w:eastAsia="fr-FR"/>
        </w:rPr>
        <w:t>Maresti v. Croatia</w:t>
      </w:r>
      <w:r w:rsidRPr="009A3F85">
        <w:rPr>
          <w:rFonts w:eastAsia="Times New Roman"/>
          <w:lang w:val="uk-UA" w:eastAsia="fr-FR"/>
        </w:rPr>
        <w:t>)</w:t>
      </w:r>
      <w:r w:rsidRPr="009A3F85">
        <w:rPr>
          <w:rFonts w:eastAsia="Times New Roman"/>
          <w:snapToGrid w:val="0"/>
          <w:szCs w:val="24"/>
          <w:lang w:val="uk-UA" w:eastAsia="fr-FR"/>
        </w:rPr>
        <w:t>).</w:t>
      </w:r>
    </w:p>
    <w:p w:rsidRPr="009A3F85" w:rsidR="006D147C" w:rsidP="009A3F85">
      <w:pPr>
        <w:pStyle w:val="ECHRPara"/>
        <w:rPr>
          <w:rFonts w:eastAsia="Times New Roman"/>
          <w:snapToGrid w:val="0"/>
          <w:szCs w:val="24"/>
          <w:lang w:val="uk-UA" w:eastAsia="fr-FR"/>
        </w:rPr>
      </w:pPr>
      <w:r w:rsidRPr="009A3F85">
        <w:rPr>
          <w:rFonts w:eastAsia="Times New Roman"/>
          <w:snapToGrid w:val="0"/>
          <w:szCs w:val="24"/>
          <w:lang w:val="uk-UA" w:eastAsia="fr-FR"/>
        </w:rPr>
        <w:fldChar w:fldCharType="begin"/>
      </w:r>
      <w:r w:rsidRPr="009A3F85">
        <w:rPr>
          <w:rFonts w:eastAsia="Times New Roman"/>
          <w:snapToGrid w:val="0"/>
          <w:szCs w:val="24"/>
          <w:lang w:val="uk-UA" w:eastAsia="fr-FR"/>
        </w:rPr>
        <w:instrText xml:space="preserve"> SEQ level0 \*arabic </w:instrText>
      </w:r>
      <w:r w:rsidRPr="009A3F85">
        <w:rPr>
          <w:rFonts w:eastAsia="Times New Roman"/>
          <w:snapToGrid w:val="0"/>
          <w:szCs w:val="24"/>
          <w:lang w:val="uk-UA" w:eastAsia="fr-FR"/>
        </w:rPr>
        <w:fldChar w:fldCharType="separate"/>
      </w:r>
      <w:r w:rsidRPr="009A3F85" w:rsidR="009A3F85">
        <w:rPr>
          <w:rFonts w:eastAsia="Times New Roman"/>
          <w:noProof/>
          <w:snapToGrid w:val="0"/>
          <w:szCs w:val="24"/>
          <w:lang w:val="uk-UA" w:eastAsia="fr-FR"/>
        </w:rPr>
        <w:t>54</w:t>
      </w:r>
      <w:r w:rsidRPr="009A3F85">
        <w:rPr>
          <w:rFonts w:eastAsia="Times New Roman"/>
          <w:snapToGrid w:val="0"/>
          <w:szCs w:val="24"/>
          <w:lang w:val="uk-UA" w:eastAsia="fr-FR"/>
        </w:rPr>
        <w:fldChar w:fldCharType="end"/>
      </w:r>
      <w:r w:rsidRPr="009A3F85">
        <w:rPr>
          <w:rFonts w:eastAsia="Times New Roman"/>
          <w:snapToGrid w:val="0"/>
          <w:szCs w:val="24"/>
          <w:lang w:val="uk-UA" w:eastAsia="fr-FR"/>
        </w:rPr>
        <w:t>.  </w:t>
      </w:r>
      <w:r w:rsidRPr="009A3F85">
        <w:rPr>
          <w:rFonts w:eastAsia="Times New Roman"/>
          <w:lang w:val="uk-UA" w:eastAsia="fr-FR"/>
        </w:rPr>
        <w:t xml:space="preserve">Цей висновок, </w:t>
      </w:r>
      <w:r w:rsidRPr="009A3F85" w:rsidR="0049718A">
        <w:rPr>
          <w:rFonts w:eastAsia="Times New Roman"/>
          <w:lang w:val="uk-UA" w:eastAsia="fr-FR"/>
        </w:rPr>
        <w:t xml:space="preserve">що випливає </w:t>
      </w:r>
      <w:r w:rsidRPr="009A3F85">
        <w:rPr>
          <w:rFonts w:eastAsia="Times New Roman"/>
          <w:lang w:val="uk-UA" w:eastAsia="fr-FR"/>
        </w:rPr>
        <w:t xml:space="preserve">із застосовних положень законодавства України, підтверджено посиланням на </w:t>
      </w:r>
      <w:r w:rsidRPr="009A3F85" w:rsidR="00DA4107">
        <w:rPr>
          <w:rFonts w:eastAsia="Times New Roman"/>
          <w:lang w:val="uk-UA" w:eastAsia="fr-FR"/>
        </w:rPr>
        <w:t xml:space="preserve">обсяг </w:t>
      </w:r>
      <w:r w:rsidRPr="009A3F85">
        <w:rPr>
          <w:rFonts w:eastAsia="Times New Roman"/>
          <w:lang w:val="uk-UA" w:eastAsia="fr-FR"/>
        </w:rPr>
        <w:t xml:space="preserve">та </w:t>
      </w:r>
      <w:r w:rsidRPr="009A3F85" w:rsidR="00DA4107">
        <w:rPr>
          <w:rFonts w:eastAsia="Times New Roman"/>
          <w:lang w:val="uk-UA" w:eastAsia="fr-FR"/>
        </w:rPr>
        <w:t xml:space="preserve">природу </w:t>
      </w:r>
      <w:r w:rsidRPr="009A3F85">
        <w:rPr>
          <w:rFonts w:eastAsia="Times New Roman"/>
          <w:lang w:val="uk-UA" w:eastAsia="fr-FR"/>
        </w:rPr>
        <w:t>«розгляду»</w:t>
      </w:r>
      <w:r w:rsidRPr="009A3F85" w:rsidR="00974D61">
        <w:rPr>
          <w:rFonts w:eastAsia="Times New Roman"/>
          <w:lang w:val="uk-UA" w:eastAsia="fr-FR"/>
        </w:rPr>
        <w:t>,</w:t>
      </w:r>
      <w:r w:rsidRPr="009A3F85">
        <w:rPr>
          <w:rFonts w:eastAsia="Times New Roman"/>
          <w:lang w:val="uk-UA" w:eastAsia="fr-FR"/>
        </w:rPr>
        <w:t xml:space="preserve"> фактично проведеного Верховим Судом України 14</w:t>
      </w:r>
      <w:r w:rsidRPr="009A3F85" w:rsidR="00DA4107">
        <w:rPr>
          <w:rFonts w:eastAsia="Times New Roman"/>
          <w:snapToGrid w:val="0"/>
          <w:szCs w:val="24"/>
          <w:lang w:val="uk-UA" w:eastAsia="fr-FR"/>
        </w:rPr>
        <w:t> </w:t>
      </w:r>
      <w:r w:rsidRPr="009A3F85">
        <w:rPr>
          <w:rFonts w:eastAsia="Times New Roman"/>
          <w:lang w:val="uk-UA" w:eastAsia="fr-FR"/>
        </w:rPr>
        <w:t xml:space="preserve">березня 2008 року перед тим, як він відмовив </w:t>
      </w:r>
      <w:r w:rsidRPr="009A3F85" w:rsidR="00DA4107">
        <w:rPr>
          <w:rFonts w:eastAsia="Times New Roman"/>
          <w:lang w:val="uk-UA" w:eastAsia="fr-FR"/>
        </w:rPr>
        <w:t xml:space="preserve">заявниці </w:t>
      </w:r>
      <w:r w:rsidRPr="009A3F85">
        <w:rPr>
          <w:rFonts w:eastAsia="Times New Roman"/>
          <w:lang w:val="uk-UA" w:eastAsia="fr-FR"/>
        </w:rPr>
        <w:t>у задоволенні скарги у зв</w:t>
      </w:r>
      <w:r w:rsidRPr="009A3F85" w:rsidR="009A3F85">
        <w:rPr>
          <w:rFonts w:eastAsia="Times New Roman"/>
          <w:lang w:val="uk-UA" w:eastAsia="fr-FR"/>
        </w:rPr>
        <w:t>’</w:t>
      </w:r>
      <w:r w:rsidRPr="009A3F85">
        <w:rPr>
          <w:rFonts w:eastAsia="Times New Roman"/>
          <w:lang w:val="uk-UA" w:eastAsia="fr-FR"/>
        </w:rPr>
        <w:t xml:space="preserve">язку з </w:t>
      </w:r>
      <w:r w:rsidRPr="009A3F85" w:rsidR="00974D61">
        <w:rPr>
          <w:rFonts w:eastAsia="Times New Roman"/>
          <w:lang w:val="uk-UA" w:eastAsia="fr-FR"/>
        </w:rPr>
        <w:t>винятковими</w:t>
      </w:r>
      <w:r w:rsidRPr="009A3F85">
        <w:rPr>
          <w:rFonts w:eastAsia="Times New Roman"/>
          <w:lang w:val="uk-UA" w:eastAsia="fr-FR"/>
        </w:rPr>
        <w:t xml:space="preserve"> обставинами, залишивши оскаржувані рішення без змін. У ході цього розгляду Верховний Суд України вивч</w:t>
      </w:r>
      <w:r w:rsidRPr="009A3F85" w:rsidR="0049718A">
        <w:rPr>
          <w:rFonts w:eastAsia="Times New Roman"/>
          <w:lang w:val="uk-UA" w:eastAsia="fr-FR"/>
        </w:rPr>
        <w:t>и</w:t>
      </w:r>
      <w:r w:rsidRPr="009A3F85">
        <w:rPr>
          <w:rFonts w:eastAsia="Times New Roman"/>
          <w:lang w:val="uk-UA" w:eastAsia="fr-FR"/>
        </w:rPr>
        <w:t xml:space="preserve">в матеріали справи та рішення судів </w:t>
      </w:r>
      <w:r w:rsidRPr="009A3F85" w:rsidR="00974D61">
        <w:rPr>
          <w:rFonts w:eastAsia="Times New Roman"/>
          <w:lang w:val="uk-UA" w:eastAsia="fr-FR"/>
        </w:rPr>
        <w:t>в рамках</w:t>
      </w:r>
      <w:r w:rsidRPr="009A3F85">
        <w:rPr>
          <w:rFonts w:eastAsia="Times New Roman"/>
          <w:lang w:val="uk-UA" w:eastAsia="fr-FR"/>
        </w:rPr>
        <w:t xml:space="preserve"> </w:t>
      </w:r>
      <w:r w:rsidRPr="009A3F85" w:rsidR="00974D61">
        <w:rPr>
          <w:rFonts w:eastAsia="Times New Roman"/>
          <w:lang w:val="uk-UA" w:eastAsia="fr-FR"/>
        </w:rPr>
        <w:t>первинного</w:t>
      </w:r>
      <w:r w:rsidRPr="009A3F85">
        <w:rPr>
          <w:rFonts w:eastAsia="Times New Roman"/>
          <w:lang w:val="uk-UA" w:eastAsia="fr-FR"/>
        </w:rPr>
        <w:t xml:space="preserve"> провадження з урахуванням нових доводів заявниці, </w:t>
      </w:r>
      <w:r w:rsidRPr="009A3F85" w:rsidR="00DA4107">
        <w:rPr>
          <w:rFonts w:eastAsia="Times New Roman"/>
          <w:lang w:val="uk-UA" w:eastAsia="fr-FR"/>
        </w:rPr>
        <w:t xml:space="preserve">які ґрунтувались </w:t>
      </w:r>
      <w:r w:rsidRPr="009A3F85">
        <w:rPr>
          <w:rFonts w:eastAsia="Times New Roman"/>
          <w:lang w:val="uk-UA" w:eastAsia="fr-FR"/>
        </w:rPr>
        <w:t xml:space="preserve">в основному на рішенні Суду від </w:t>
      </w:r>
      <w:r w:rsidRPr="009A3F85" w:rsidR="00DA4107">
        <w:rPr>
          <w:rFonts w:eastAsia="Times New Roman"/>
          <w:lang w:val="uk-UA" w:eastAsia="fr-FR"/>
        </w:rPr>
        <w:t>3</w:t>
      </w:r>
      <w:r w:rsidRPr="009A3F85" w:rsidR="00DA4107">
        <w:rPr>
          <w:rFonts w:eastAsia="Times New Roman"/>
          <w:snapToGrid w:val="0"/>
          <w:szCs w:val="24"/>
          <w:lang w:val="uk-UA" w:eastAsia="fr-FR"/>
        </w:rPr>
        <w:t xml:space="preserve"> </w:t>
      </w:r>
      <w:r w:rsidRPr="009A3F85">
        <w:rPr>
          <w:rFonts w:eastAsia="Times New Roman"/>
          <w:lang w:val="uk-UA" w:eastAsia="fr-FR"/>
        </w:rPr>
        <w:t xml:space="preserve">травня 2007 року (див. пункти 20-21). Отже, те, що відбувалося </w:t>
      </w:r>
      <w:r w:rsidRPr="009A3F85" w:rsidR="00DE29CE">
        <w:rPr>
          <w:rFonts w:eastAsia="Times New Roman"/>
          <w:lang w:val="uk-UA" w:eastAsia="fr-FR"/>
        </w:rPr>
        <w:t xml:space="preserve">упродовж </w:t>
      </w:r>
      <w:r w:rsidRPr="009A3F85">
        <w:rPr>
          <w:rFonts w:eastAsia="Times New Roman"/>
          <w:lang w:val="uk-UA" w:eastAsia="fr-FR"/>
        </w:rPr>
        <w:t xml:space="preserve">провадження у березні 2008 року, можна порівняти з провадженням </w:t>
      </w:r>
      <w:r w:rsidRPr="009A3F85" w:rsidR="00974D61">
        <w:rPr>
          <w:rFonts w:eastAsia="Times New Roman"/>
          <w:lang w:val="uk-UA" w:eastAsia="fr-FR"/>
        </w:rPr>
        <w:t>за</w:t>
      </w:r>
      <w:r w:rsidRPr="009A3F85">
        <w:rPr>
          <w:rFonts w:eastAsia="Times New Roman"/>
          <w:lang w:val="uk-UA" w:eastAsia="fr-FR"/>
        </w:rPr>
        <w:t xml:space="preserve"> касаційною скаргою заявниці, що закінчилося рішенням Верховного Суду України у серпні 2002 року (див. пункт 11 та вищенаведене рішення у справі «Бочан проти України» </w:t>
      </w:r>
      <w:r w:rsidRPr="009A3F85">
        <w:rPr>
          <w:rFonts w:eastAsia="Times New Roman"/>
          <w:i/>
          <w:lang w:val="uk-UA" w:eastAsia="fr-FR"/>
        </w:rPr>
        <w:t>(</w:t>
      </w:r>
      <w:r w:rsidRPr="009A3F85">
        <w:rPr>
          <w:rFonts w:eastAsia="Times New Roman"/>
          <w:i/>
          <w:lang w:val="uk-UA"/>
        </w:rPr>
        <w:t>Bochan v. Ukraine</w:t>
      </w:r>
      <w:r w:rsidRPr="009A3F85">
        <w:rPr>
          <w:rFonts w:eastAsia="Times New Roman"/>
          <w:i/>
          <w:lang w:val="uk-UA" w:eastAsia="fr-FR"/>
        </w:rPr>
        <w:t>)</w:t>
      </w:r>
      <w:r w:rsidRPr="009A3F85">
        <w:rPr>
          <w:rFonts w:eastAsia="Times New Roman"/>
          <w:lang w:val="uk-UA" w:eastAsia="fr-FR"/>
        </w:rPr>
        <w:t xml:space="preserve">, п. 39), до якого пункт 1 статті 6 Конвенції застосовувався </w:t>
      </w:r>
      <w:r w:rsidRPr="009A3F85">
        <w:rPr>
          <w:rFonts w:eastAsia="Times New Roman"/>
          <w:i/>
          <w:lang w:val="uk-UA" w:eastAsia="fr-FR"/>
        </w:rPr>
        <w:t>ratione materiae</w:t>
      </w:r>
      <w:r w:rsidRPr="009A3F85">
        <w:rPr>
          <w:rFonts w:eastAsia="Times New Roman"/>
          <w:lang w:val="uk-UA" w:eastAsia="fr-FR"/>
        </w:rPr>
        <w:t xml:space="preserve">. </w:t>
      </w:r>
      <w:r w:rsidRPr="009A3F85" w:rsidR="00974D61">
        <w:rPr>
          <w:rFonts w:eastAsia="Times New Roman"/>
          <w:lang w:val="uk-UA" w:eastAsia="fr-FR"/>
        </w:rPr>
        <w:t>На думку</w:t>
      </w:r>
      <w:r w:rsidRPr="009A3F85">
        <w:rPr>
          <w:rFonts w:eastAsia="Times New Roman"/>
          <w:lang w:val="uk-UA" w:eastAsia="fr-FR"/>
        </w:rPr>
        <w:t xml:space="preserve"> Суду, у березні 2008</w:t>
      </w:r>
      <w:r w:rsidRPr="009A3F85">
        <w:rPr>
          <w:rFonts w:eastAsia="Times New Roman"/>
          <w:snapToGrid w:val="0"/>
          <w:szCs w:val="24"/>
          <w:lang w:val="uk-UA" w:eastAsia="fr-FR"/>
        </w:rPr>
        <w:t> </w:t>
      </w:r>
      <w:r w:rsidRPr="009A3F85">
        <w:rPr>
          <w:rFonts w:eastAsia="Times New Roman"/>
          <w:lang w:val="uk-UA" w:eastAsia="fr-FR"/>
        </w:rPr>
        <w:t>року Верховний Суд України розглянув цивільну справу заявниці «у зв</w:t>
      </w:r>
      <w:r w:rsidRPr="009A3F85" w:rsidR="009A3F85">
        <w:rPr>
          <w:rFonts w:eastAsia="Times New Roman"/>
          <w:lang w:val="uk-UA" w:eastAsia="fr-FR"/>
        </w:rPr>
        <w:t>’</w:t>
      </w:r>
      <w:r w:rsidRPr="009A3F85">
        <w:rPr>
          <w:rFonts w:eastAsia="Times New Roman"/>
          <w:lang w:val="uk-UA" w:eastAsia="fr-FR"/>
        </w:rPr>
        <w:t xml:space="preserve">язку з </w:t>
      </w:r>
      <w:r w:rsidRPr="009A3F85" w:rsidR="00974D61">
        <w:rPr>
          <w:rFonts w:eastAsia="Times New Roman"/>
          <w:lang w:val="uk-UA" w:eastAsia="fr-FR"/>
        </w:rPr>
        <w:t>винятковими</w:t>
      </w:r>
      <w:r w:rsidRPr="009A3F85">
        <w:rPr>
          <w:rFonts w:eastAsia="Times New Roman"/>
          <w:lang w:val="uk-UA" w:eastAsia="fr-FR"/>
        </w:rPr>
        <w:t xml:space="preserve"> обставинами», </w:t>
      </w:r>
      <w:r w:rsidRPr="009A3F85" w:rsidR="00DA4107">
        <w:rPr>
          <w:rFonts w:eastAsia="Times New Roman"/>
          <w:lang w:val="uk-UA" w:eastAsia="fr-FR"/>
        </w:rPr>
        <w:t xml:space="preserve">а </w:t>
      </w:r>
      <w:r w:rsidRPr="009A3F85" w:rsidR="00DE29CE">
        <w:rPr>
          <w:rFonts w:eastAsia="Times New Roman"/>
          <w:lang w:val="uk-UA" w:eastAsia="fr-FR"/>
        </w:rPr>
        <w:t>саме у зв</w:t>
      </w:r>
      <w:r w:rsidRPr="009A3F85" w:rsidR="009A3F85">
        <w:rPr>
          <w:rFonts w:eastAsia="Times New Roman"/>
          <w:lang w:val="uk-UA" w:eastAsia="fr-FR"/>
        </w:rPr>
        <w:t>’</w:t>
      </w:r>
      <w:r w:rsidRPr="009A3F85" w:rsidR="00DE29CE">
        <w:rPr>
          <w:rFonts w:eastAsia="Times New Roman"/>
          <w:lang w:val="uk-UA" w:eastAsia="fr-FR"/>
        </w:rPr>
        <w:t>язку з</w:t>
      </w:r>
      <w:r w:rsidRPr="009A3F85">
        <w:rPr>
          <w:rFonts w:eastAsia="Times New Roman"/>
          <w:lang w:val="uk-UA" w:eastAsia="fr-FR"/>
        </w:rPr>
        <w:t xml:space="preserve"> рішення</w:t>
      </w:r>
      <w:r w:rsidRPr="009A3F85" w:rsidR="00DE29CE">
        <w:rPr>
          <w:rFonts w:eastAsia="Times New Roman"/>
          <w:lang w:val="uk-UA" w:eastAsia="fr-FR"/>
        </w:rPr>
        <w:t>м</w:t>
      </w:r>
      <w:r w:rsidRPr="009A3F85">
        <w:rPr>
          <w:rFonts w:eastAsia="Times New Roman"/>
          <w:lang w:val="uk-UA" w:eastAsia="fr-FR"/>
        </w:rPr>
        <w:t xml:space="preserve"> Суду </w:t>
      </w:r>
      <w:r w:rsidRPr="009A3F85" w:rsidR="00DE29CE">
        <w:rPr>
          <w:rFonts w:eastAsia="Times New Roman"/>
          <w:lang w:val="uk-UA" w:eastAsia="fr-FR"/>
        </w:rPr>
        <w:t>2007</w:t>
      </w:r>
      <w:r w:rsidRPr="009A3F85" w:rsidR="00DE29CE">
        <w:rPr>
          <w:rFonts w:eastAsia="Times New Roman"/>
          <w:snapToGrid w:val="0"/>
          <w:szCs w:val="24"/>
          <w:lang w:val="uk-UA" w:eastAsia="fr-FR"/>
        </w:rPr>
        <w:t xml:space="preserve"> </w:t>
      </w:r>
      <w:r w:rsidRPr="009A3F85">
        <w:rPr>
          <w:rFonts w:eastAsia="Times New Roman"/>
          <w:lang w:val="uk-UA" w:eastAsia="fr-FR"/>
        </w:rPr>
        <w:t>року</w:t>
      </w:r>
      <w:r w:rsidRPr="009A3F85" w:rsidR="00974D61">
        <w:rPr>
          <w:rFonts w:eastAsia="Times New Roman"/>
          <w:lang w:val="uk-UA" w:eastAsia="fr-FR"/>
        </w:rPr>
        <w:t>,</w:t>
      </w:r>
      <w:r w:rsidRPr="009A3F85">
        <w:rPr>
          <w:rFonts w:eastAsia="Times New Roman"/>
          <w:lang w:val="uk-UA" w:eastAsia="fr-FR"/>
        </w:rPr>
        <w:t xml:space="preserve"> у рамках провадження касаційного</w:t>
      </w:r>
      <w:r w:rsidRPr="009A3F85" w:rsidR="00DA4107">
        <w:rPr>
          <w:rFonts w:eastAsia="Times New Roman"/>
          <w:lang w:val="uk-UA" w:eastAsia="fr-FR"/>
        </w:rPr>
        <w:t xml:space="preserve"> типу</w:t>
      </w:r>
      <w:r w:rsidRPr="009A3F85">
        <w:rPr>
          <w:rFonts w:eastAsia="Times New Roman"/>
          <w:lang w:val="uk-UA" w:eastAsia="fr-FR"/>
        </w:rPr>
        <w:t xml:space="preserve"> та не встановив жодних причин для скасування оскаржуваних рішень. При цьому Верховний Суд України провів «повторний розгляд», як це визначено Законом 2006 року, її майнових вимог </w:t>
      </w:r>
      <w:r w:rsidRPr="009A3F85" w:rsidR="00DA4107">
        <w:rPr>
          <w:rFonts w:eastAsia="Times New Roman"/>
          <w:lang w:val="uk-UA" w:eastAsia="fr-FR"/>
        </w:rPr>
        <w:t>на підставі</w:t>
      </w:r>
      <w:r w:rsidRPr="009A3F85">
        <w:rPr>
          <w:rFonts w:eastAsia="Times New Roman"/>
          <w:lang w:val="uk-UA" w:eastAsia="fr-FR"/>
        </w:rPr>
        <w:t xml:space="preserve"> </w:t>
      </w:r>
      <w:r w:rsidRPr="009A3F85" w:rsidR="00DA4107">
        <w:rPr>
          <w:rFonts w:eastAsia="Times New Roman"/>
          <w:lang w:val="uk-UA" w:eastAsia="fr-FR"/>
        </w:rPr>
        <w:t xml:space="preserve">нових </w:t>
      </w:r>
      <w:r w:rsidRPr="009A3F85">
        <w:rPr>
          <w:rFonts w:eastAsia="Times New Roman"/>
          <w:lang w:val="uk-UA" w:eastAsia="fr-FR"/>
        </w:rPr>
        <w:t xml:space="preserve">обставин, </w:t>
      </w:r>
      <w:r w:rsidRPr="009A3F85" w:rsidR="00DA4107">
        <w:rPr>
          <w:rFonts w:eastAsia="Times New Roman"/>
          <w:lang w:val="uk-UA" w:eastAsia="fr-FR"/>
        </w:rPr>
        <w:t>пов</w:t>
      </w:r>
      <w:r w:rsidRPr="009A3F85" w:rsidR="009A3F85">
        <w:rPr>
          <w:rFonts w:eastAsia="Times New Roman"/>
          <w:lang w:val="uk-UA" w:eastAsia="fr-FR"/>
        </w:rPr>
        <w:t>’</w:t>
      </w:r>
      <w:r w:rsidRPr="009A3F85" w:rsidR="00DA4107">
        <w:rPr>
          <w:rFonts w:eastAsia="Times New Roman"/>
          <w:lang w:val="uk-UA" w:eastAsia="fr-FR"/>
        </w:rPr>
        <w:t xml:space="preserve">язаних </w:t>
      </w:r>
      <w:r w:rsidRPr="009A3F85">
        <w:rPr>
          <w:rFonts w:eastAsia="Times New Roman"/>
          <w:lang w:val="uk-UA" w:eastAsia="fr-FR"/>
        </w:rPr>
        <w:t xml:space="preserve">з тлумаченням </w:t>
      </w:r>
      <w:r w:rsidRPr="009A3F85" w:rsidR="00DE29CE">
        <w:rPr>
          <w:rFonts w:eastAsia="Times New Roman"/>
          <w:lang w:val="uk-UA" w:eastAsia="fr-FR"/>
        </w:rPr>
        <w:t xml:space="preserve">цих вимог </w:t>
      </w:r>
      <w:r w:rsidRPr="009A3F85">
        <w:rPr>
          <w:rFonts w:eastAsia="Times New Roman"/>
          <w:lang w:val="uk-UA" w:eastAsia="fr-FR"/>
        </w:rPr>
        <w:t>рішення</w:t>
      </w:r>
      <w:r w:rsidRPr="009A3F85" w:rsidR="00DE29CE">
        <w:rPr>
          <w:rFonts w:eastAsia="Times New Roman"/>
          <w:lang w:val="uk-UA" w:eastAsia="fr-FR"/>
        </w:rPr>
        <w:t>м</w:t>
      </w:r>
      <w:r w:rsidRPr="009A3F85">
        <w:rPr>
          <w:rFonts w:eastAsia="Times New Roman"/>
          <w:lang w:val="uk-UA" w:eastAsia="fr-FR"/>
        </w:rPr>
        <w:t xml:space="preserve"> Суду від 3</w:t>
      </w:r>
      <w:r w:rsidRPr="009A3F85" w:rsidR="00DA4107">
        <w:rPr>
          <w:rFonts w:eastAsia="Times New Roman"/>
          <w:snapToGrid w:val="0"/>
          <w:szCs w:val="24"/>
          <w:lang w:val="uk-UA" w:eastAsia="fr-FR"/>
        </w:rPr>
        <w:t> </w:t>
      </w:r>
      <w:r w:rsidRPr="009A3F85">
        <w:rPr>
          <w:rFonts w:eastAsia="Times New Roman"/>
          <w:lang w:val="uk-UA" w:eastAsia="fr-FR"/>
        </w:rPr>
        <w:t xml:space="preserve">травня 2007 року, хоча і вирішив не змінювати результат розгляду справи та, зокрема, не </w:t>
      </w:r>
      <w:r w:rsidRPr="009A3F85" w:rsidR="00DE29CE">
        <w:rPr>
          <w:rFonts w:eastAsia="Times New Roman"/>
          <w:lang w:val="uk-UA" w:eastAsia="fr-FR"/>
        </w:rPr>
        <w:t xml:space="preserve">призначив </w:t>
      </w:r>
      <w:r w:rsidRPr="009A3F85">
        <w:rPr>
          <w:rFonts w:eastAsia="Times New Roman"/>
          <w:lang w:val="uk-UA" w:eastAsia="fr-FR"/>
        </w:rPr>
        <w:t>повний перегляд справи нижчестоящим судом.</w:t>
      </w:r>
    </w:p>
    <w:p w:rsidRPr="009A3F85" w:rsidR="006D147C" w:rsidP="009A3F85">
      <w:pPr>
        <w:pStyle w:val="ECHRPara"/>
        <w:rPr>
          <w:rFonts w:eastAsia="Times New Roman"/>
          <w:snapToGrid w:val="0"/>
          <w:szCs w:val="24"/>
          <w:lang w:val="uk-UA" w:eastAsia="fr-FR"/>
        </w:rPr>
      </w:pPr>
      <w:r w:rsidRPr="009A3F85">
        <w:rPr>
          <w:rFonts w:eastAsia="Times New Roman"/>
          <w:snapToGrid w:val="0"/>
          <w:szCs w:val="24"/>
          <w:lang w:val="uk-UA" w:eastAsia="fr-FR"/>
        </w:rPr>
        <w:fldChar w:fldCharType="begin"/>
      </w:r>
      <w:r w:rsidRPr="009A3F85">
        <w:rPr>
          <w:rFonts w:eastAsia="Times New Roman"/>
          <w:snapToGrid w:val="0"/>
          <w:szCs w:val="24"/>
          <w:lang w:val="uk-UA" w:eastAsia="fr-FR"/>
        </w:rPr>
        <w:instrText xml:space="preserve"> SEQ level0 \*arabic </w:instrText>
      </w:r>
      <w:r w:rsidRPr="009A3F85">
        <w:rPr>
          <w:rFonts w:eastAsia="Times New Roman"/>
          <w:snapToGrid w:val="0"/>
          <w:szCs w:val="24"/>
          <w:lang w:val="uk-UA" w:eastAsia="fr-FR"/>
        </w:rPr>
        <w:fldChar w:fldCharType="separate"/>
      </w:r>
      <w:r w:rsidRPr="009A3F85" w:rsidR="009A3F85">
        <w:rPr>
          <w:rFonts w:eastAsia="Times New Roman"/>
          <w:noProof/>
          <w:snapToGrid w:val="0"/>
          <w:szCs w:val="24"/>
          <w:lang w:val="uk-UA" w:eastAsia="fr-FR"/>
        </w:rPr>
        <w:t>55</w:t>
      </w:r>
      <w:r w:rsidRPr="009A3F85">
        <w:rPr>
          <w:rFonts w:eastAsia="Times New Roman"/>
          <w:snapToGrid w:val="0"/>
          <w:szCs w:val="24"/>
          <w:lang w:val="uk-UA" w:eastAsia="fr-FR"/>
        </w:rPr>
        <w:fldChar w:fldCharType="end"/>
      </w:r>
      <w:r w:rsidRPr="009A3F85">
        <w:rPr>
          <w:rFonts w:eastAsia="Times New Roman"/>
          <w:snapToGrid w:val="0"/>
          <w:szCs w:val="24"/>
          <w:lang w:val="uk-UA" w:eastAsia="fr-FR"/>
        </w:rPr>
        <w:t>.  </w:t>
      </w:r>
      <w:r w:rsidRPr="009A3F85" w:rsidR="00DA4107">
        <w:rPr>
          <w:rFonts w:eastAsia="Times New Roman"/>
          <w:snapToGrid w:val="0"/>
          <w:szCs w:val="24"/>
          <w:lang w:val="uk-UA" w:eastAsia="fr-FR"/>
        </w:rPr>
        <w:t xml:space="preserve">Наведені </w:t>
      </w:r>
      <w:r w:rsidRPr="009A3F85">
        <w:rPr>
          <w:rFonts w:eastAsia="Times New Roman"/>
          <w:snapToGrid w:val="0"/>
          <w:szCs w:val="24"/>
          <w:lang w:val="uk-UA" w:eastAsia="fr-FR"/>
        </w:rPr>
        <w:t xml:space="preserve">міркування не </w:t>
      </w:r>
      <w:r w:rsidRPr="009A3F85" w:rsidR="00974D61">
        <w:rPr>
          <w:rFonts w:eastAsia="Times New Roman"/>
          <w:snapToGrid w:val="0"/>
          <w:szCs w:val="24"/>
          <w:lang w:val="uk-UA" w:eastAsia="fr-FR"/>
        </w:rPr>
        <w:t>змінює той</w:t>
      </w:r>
      <w:r w:rsidRPr="009A3F85">
        <w:rPr>
          <w:rFonts w:eastAsia="Times New Roman"/>
          <w:snapToGrid w:val="0"/>
          <w:szCs w:val="24"/>
          <w:lang w:val="uk-UA" w:eastAsia="fr-FR"/>
        </w:rPr>
        <w:t xml:space="preserve"> факт, що у червні 2008 року Верховний Суд України, посилаючись на статтю 356 Цивільного процесуального кодексу України</w:t>
      </w:r>
      <w:r w:rsidRPr="009A3F85" w:rsidR="00D83CC7">
        <w:rPr>
          <w:rFonts w:eastAsia="Times New Roman"/>
          <w:snapToGrid w:val="0"/>
          <w:szCs w:val="24"/>
          <w:lang w:val="uk-UA" w:eastAsia="fr-FR"/>
        </w:rPr>
        <w:t>,</w:t>
      </w:r>
      <w:r w:rsidRPr="009A3F85">
        <w:rPr>
          <w:rFonts w:eastAsia="Times New Roman"/>
          <w:snapToGrid w:val="0"/>
          <w:szCs w:val="24"/>
          <w:lang w:val="uk-UA" w:eastAsia="fr-FR"/>
        </w:rPr>
        <w:t xml:space="preserve"> відмовив у задоволенні наступної скарги заявниці за квітень 2008 року </w:t>
      </w:r>
      <w:r w:rsidRPr="009A3F85" w:rsidR="00DA4107">
        <w:rPr>
          <w:rFonts w:eastAsia="Times New Roman"/>
          <w:snapToGrid w:val="0"/>
          <w:szCs w:val="24"/>
          <w:lang w:val="uk-UA" w:eastAsia="fr-FR"/>
        </w:rPr>
        <w:t xml:space="preserve">з огляду на її невідповідність </w:t>
      </w:r>
      <w:r w:rsidRPr="009A3F85">
        <w:rPr>
          <w:rFonts w:eastAsia="Times New Roman"/>
          <w:snapToGrid w:val="0"/>
          <w:szCs w:val="24"/>
          <w:lang w:val="uk-UA" w:eastAsia="fr-FR"/>
        </w:rPr>
        <w:t>формальни</w:t>
      </w:r>
      <w:r w:rsidRPr="009A3F85" w:rsidR="00DA4107">
        <w:rPr>
          <w:rFonts w:eastAsia="Times New Roman"/>
          <w:snapToGrid w:val="0"/>
          <w:szCs w:val="24"/>
          <w:lang w:val="uk-UA" w:eastAsia="fr-FR"/>
        </w:rPr>
        <w:t>м</w:t>
      </w:r>
      <w:r w:rsidRPr="009A3F85">
        <w:rPr>
          <w:rFonts w:eastAsia="Times New Roman"/>
          <w:snapToGrid w:val="0"/>
          <w:szCs w:val="24"/>
          <w:lang w:val="uk-UA" w:eastAsia="fr-FR"/>
        </w:rPr>
        <w:t xml:space="preserve"> підстав</w:t>
      </w:r>
      <w:r w:rsidRPr="009A3F85" w:rsidR="00DA4107">
        <w:rPr>
          <w:rFonts w:eastAsia="Times New Roman"/>
          <w:snapToGrid w:val="0"/>
          <w:szCs w:val="24"/>
          <w:lang w:val="uk-UA" w:eastAsia="fr-FR"/>
        </w:rPr>
        <w:t>ам</w:t>
      </w:r>
      <w:r w:rsidRPr="009A3F85">
        <w:rPr>
          <w:rFonts w:eastAsia="Times New Roman"/>
          <w:snapToGrid w:val="0"/>
          <w:szCs w:val="24"/>
          <w:lang w:val="uk-UA" w:eastAsia="fr-FR"/>
        </w:rPr>
        <w:t xml:space="preserve">, не </w:t>
      </w:r>
      <w:r w:rsidRPr="009A3F85" w:rsidR="00D83CC7">
        <w:rPr>
          <w:rFonts w:eastAsia="Times New Roman"/>
          <w:snapToGrid w:val="0"/>
          <w:szCs w:val="24"/>
          <w:lang w:val="uk-UA" w:eastAsia="fr-FR"/>
        </w:rPr>
        <w:t>здійснивши</w:t>
      </w:r>
      <w:r w:rsidRPr="009A3F85">
        <w:rPr>
          <w:rFonts w:eastAsia="Times New Roman"/>
          <w:snapToGrid w:val="0"/>
          <w:szCs w:val="24"/>
          <w:lang w:val="uk-UA" w:eastAsia="fr-FR"/>
        </w:rPr>
        <w:t xml:space="preserve"> подальший «розгляд» матеріальних аспектів справи (див. пункт 23).</w:t>
      </w:r>
    </w:p>
    <w:p w:rsidRPr="009A3F85" w:rsidR="006D147C" w:rsidP="009A3F85">
      <w:pPr>
        <w:pStyle w:val="ECHRPara"/>
        <w:rPr>
          <w:rFonts w:eastAsia="Times New Roman"/>
          <w:lang w:val="uk-UA" w:eastAsia="fr-FR"/>
        </w:rPr>
      </w:pPr>
      <w:r w:rsidRPr="009A3F85">
        <w:rPr>
          <w:rFonts w:eastAsia="Times New Roman"/>
          <w:lang w:val="uk-UA" w:eastAsia="fr-FR"/>
        </w:rPr>
        <w:fldChar w:fldCharType="begin"/>
      </w:r>
      <w:r w:rsidRPr="009A3F85">
        <w:rPr>
          <w:rFonts w:eastAsia="Times New Roman"/>
          <w:lang w:val="uk-UA" w:eastAsia="fr-FR"/>
        </w:rPr>
        <w:instrText xml:space="preserve"> SEQ level0 \*arabic </w:instrText>
      </w:r>
      <w:r w:rsidRPr="009A3F85">
        <w:rPr>
          <w:rFonts w:eastAsia="Times New Roman"/>
          <w:lang w:val="uk-UA" w:eastAsia="fr-FR"/>
        </w:rPr>
        <w:fldChar w:fldCharType="separate"/>
      </w:r>
      <w:r w:rsidRPr="009A3F85" w:rsidR="009A3F85">
        <w:rPr>
          <w:rFonts w:eastAsia="Times New Roman"/>
          <w:noProof/>
          <w:lang w:val="uk-UA" w:eastAsia="fr-FR"/>
        </w:rPr>
        <w:t>56</w:t>
      </w:r>
      <w:r w:rsidRPr="009A3F85">
        <w:rPr>
          <w:rFonts w:eastAsia="Times New Roman"/>
          <w:lang w:val="uk-UA" w:eastAsia="fr-FR"/>
        </w:rPr>
        <w:fldChar w:fldCharType="end"/>
      </w:r>
      <w:r w:rsidRPr="009A3F85">
        <w:rPr>
          <w:rFonts w:eastAsia="Times New Roman"/>
          <w:lang w:val="uk-UA" w:eastAsia="fr-FR"/>
        </w:rPr>
        <w:t xml:space="preserve">.  Отже, </w:t>
      </w:r>
      <w:r w:rsidRPr="009A3F85" w:rsidR="00DA4107">
        <w:rPr>
          <w:rFonts w:eastAsia="Times New Roman"/>
          <w:lang w:val="uk-UA" w:eastAsia="fr-FR"/>
        </w:rPr>
        <w:t>беручи до уваги</w:t>
      </w:r>
      <w:r w:rsidRPr="009A3F85">
        <w:rPr>
          <w:rFonts w:eastAsia="Times New Roman"/>
          <w:lang w:val="uk-UA" w:eastAsia="fr-FR"/>
        </w:rPr>
        <w:t xml:space="preserve"> </w:t>
      </w:r>
      <w:r w:rsidRPr="009A3F85" w:rsidR="00A16E9E">
        <w:rPr>
          <w:rFonts w:eastAsia="Times New Roman"/>
          <w:lang w:val="uk-UA" w:eastAsia="fr-FR"/>
        </w:rPr>
        <w:t xml:space="preserve">як </w:t>
      </w:r>
      <w:r w:rsidRPr="009A3F85">
        <w:rPr>
          <w:rFonts w:eastAsia="Times New Roman"/>
          <w:lang w:val="uk-UA" w:eastAsia="fr-FR"/>
        </w:rPr>
        <w:t>відповідні положення законодавства України</w:t>
      </w:r>
      <w:r w:rsidRPr="009A3F85" w:rsidR="00A16E9E">
        <w:rPr>
          <w:rFonts w:eastAsia="Times New Roman"/>
          <w:lang w:val="uk-UA" w:eastAsia="fr-FR"/>
        </w:rPr>
        <w:t>, так</w:t>
      </w:r>
      <w:r w:rsidRPr="009A3F85">
        <w:rPr>
          <w:rFonts w:eastAsia="Times New Roman"/>
          <w:lang w:val="uk-UA" w:eastAsia="fr-FR"/>
        </w:rPr>
        <w:t xml:space="preserve"> і </w:t>
      </w:r>
      <w:r w:rsidRPr="009A3F85" w:rsidR="00A16E9E">
        <w:rPr>
          <w:rFonts w:eastAsia="Times New Roman"/>
          <w:lang w:val="uk-UA" w:eastAsia="fr-FR"/>
        </w:rPr>
        <w:t>природу та обсяг</w:t>
      </w:r>
      <w:r w:rsidRPr="009A3F85">
        <w:rPr>
          <w:rFonts w:eastAsia="Times New Roman"/>
          <w:lang w:val="uk-UA" w:eastAsia="fr-FR"/>
        </w:rPr>
        <w:t xml:space="preserve"> провадження за скаргою заявниці, що завершилося ухвалою Верховного Суду України від 14 березня 2008</w:t>
      </w:r>
      <w:r w:rsidRPr="009A3F85" w:rsidR="00A16E9E">
        <w:rPr>
          <w:rFonts w:eastAsia="Times New Roman"/>
          <w:lang w:val="uk-UA" w:eastAsia="fr-FR"/>
        </w:rPr>
        <w:t> </w:t>
      </w:r>
      <w:r w:rsidRPr="009A3F85">
        <w:rPr>
          <w:rFonts w:eastAsia="Times New Roman"/>
          <w:lang w:val="uk-UA" w:eastAsia="fr-FR"/>
        </w:rPr>
        <w:t xml:space="preserve">року, після якого </w:t>
      </w:r>
      <w:r w:rsidRPr="009A3F85" w:rsidR="00670D02">
        <w:rPr>
          <w:rFonts w:eastAsia="Times New Roman"/>
          <w:lang w:val="uk-UA" w:eastAsia="fr-FR"/>
        </w:rPr>
        <w:t xml:space="preserve">у червні 2008 року </w:t>
      </w:r>
      <w:r w:rsidRPr="009A3F85">
        <w:rPr>
          <w:rFonts w:eastAsia="Times New Roman"/>
          <w:lang w:val="uk-UA" w:eastAsia="fr-FR"/>
        </w:rPr>
        <w:t xml:space="preserve">було ухвалено </w:t>
      </w:r>
      <w:r w:rsidRPr="009A3F85" w:rsidR="00DE29CE">
        <w:rPr>
          <w:rFonts w:eastAsia="Times New Roman"/>
          <w:lang w:val="uk-UA" w:eastAsia="fr-FR"/>
        </w:rPr>
        <w:t>підтверджуюче</w:t>
      </w:r>
      <w:r w:rsidRPr="009A3F85" w:rsidR="00A16E9E">
        <w:rPr>
          <w:rFonts w:eastAsia="Times New Roman"/>
          <w:lang w:val="uk-UA" w:eastAsia="fr-FR"/>
        </w:rPr>
        <w:t xml:space="preserve"> </w:t>
      </w:r>
      <w:r w:rsidRPr="009A3F85">
        <w:rPr>
          <w:rFonts w:eastAsia="Times New Roman"/>
          <w:lang w:val="uk-UA" w:eastAsia="fr-FR"/>
        </w:rPr>
        <w:t>рішення, Суд вважає, що ц</w:t>
      </w:r>
      <w:r w:rsidRPr="009A3F85" w:rsidR="00A16E9E">
        <w:rPr>
          <w:rFonts w:eastAsia="Times New Roman"/>
          <w:lang w:val="uk-UA" w:eastAsia="fr-FR"/>
        </w:rPr>
        <w:t>і</w:t>
      </w:r>
      <w:r w:rsidRPr="009A3F85">
        <w:rPr>
          <w:rFonts w:eastAsia="Times New Roman"/>
          <w:lang w:val="uk-UA" w:eastAsia="fr-FR"/>
        </w:rPr>
        <w:t xml:space="preserve"> провадження бул</w:t>
      </w:r>
      <w:r w:rsidRPr="009A3F85" w:rsidR="00A16E9E">
        <w:rPr>
          <w:rFonts w:eastAsia="Times New Roman"/>
          <w:lang w:val="uk-UA" w:eastAsia="fr-FR"/>
        </w:rPr>
        <w:t>и</w:t>
      </w:r>
      <w:r w:rsidRPr="009A3F85">
        <w:rPr>
          <w:rFonts w:eastAsia="Times New Roman"/>
          <w:lang w:val="uk-UA" w:eastAsia="fr-FR"/>
        </w:rPr>
        <w:t xml:space="preserve"> вирішальним</w:t>
      </w:r>
      <w:r w:rsidRPr="009A3F85" w:rsidR="00A16E9E">
        <w:rPr>
          <w:rFonts w:eastAsia="Times New Roman"/>
          <w:lang w:val="uk-UA" w:eastAsia="fr-FR"/>
        </w:rPr>
        <w:t>и</w:t>
      </w:r>
      <w:r w:rsidRPr="009A3F85">
        <w:rPr>
          <w:rFonts w:eastAsia="Times New Roman"/>
          <w:lang w:val="uk-UA" w:eastAsia="fr-FR"/>
        </w:rPr>
        <w:t xml:space="preserve"> для </w:t>
      </w:r>
      <w:r w:rsidRPr="009A3F85" w:rsidR="00A16E9E">
        <w:rPr>
          <w:rFonts w:eastAsia="Times New Roman"/>
          <w:lang w:val="uk-UA" w:eastAsia="fr-FR"/>
        </w:rPr>
        <w:t>визначення</w:t>
      </w:r>
      <w:r w:rsidRPr="009A3F85">
        <w:rPr>
          <w:rFonts w:eastAsia="Times New Roman"/>
          <w:lang w:val="uk-UA" w:eastAsia="fr-FR"/>
        </w:rPr>
        <w:t xml:space="preserve"> прав та обов</w:t>
      </w:r>
      <w:r w:rsidRPr="009A3F85" w:rsidR="009A3F85">
        <w:rPr>
          <w:rFonts w:eastAsia="Times New Roman"/>
          <w:lang w:val="uk-UA" w:eastAsia="fr-FR"/>
        </w:rPr>
        <w:t>’</w:t>
      </w:r>
      <w:r w:rsidRPr="009A3F85">
        <w:rPr>
          <w:rFonts w:eastAsia="Times New Roman"/>
          <w:lang w:val="uk-UA" w:eastAsia="fr-FR"/>
        </w:rPr>
        <w:t>язків цивільного характеру</w:t>
      </w:r>
      <w:r w:rsidRPr="009A3F85" w:rsidR="00A16E9E">
        <w:rPr>
          <w:rFonts w:eastAsia="Times New Roman"/>
          <w:lang w:val="uk-UA" w:eastAsia="fr-FR"/>
        </w:rPr>
        <w:t xml:space="preserve"> заявниці</w:t>
      </w:r>
      <w:r w:rsidRPr="009A3F85">
        <w:rPr>
          <w:rFonts w:eastAsia="Times New Roman"/>
          <w:lang w:val="uk-UA" w:eastAsia="fr-FR"/>
        </w:rPr>
        <w:t>. Отже, відповідні гарантії пункту 1 статті 6 Конвенції застосовувалися до такого провадження. Відповідно, слід відхилити заперечення Уряду щодо застосовності цього положення до оскаржуваного провадження.</w:t>
      </w:r>
    </w:p>
    <w:p w:rsidRPr="009A3F85" w:rsidR="006D147C" w:rsidP="009A3F85">
      <w:pPr>
        <w:pStyle w:val="ECHRPara"/>
        <w:rPr>
          <w:rFonts w:eastAsia="Times New Roman"/>
          <w:lang w:val="uk-UA" w:eastAsia="fr-FR"/>
        </w:rPr>
      </w:pPr>
      <w:r w:rsidRPr="009A3F85">
        <w:rPr>
          <w:rFonts w:eastAsia="Times New Roman"/>
          <w:lang w:val="uk-UA" w:eastAsia="fr-FR"/>
        </w:rPr>
        <w:fldChar w:fldCharType="begin"/>
      </w:r>
      <w:r w:rsidRPr="009A3F85">
        <w:rPr>
          <w:rFonts w:eastAsia="Times New Roman"/>
          <w:lang w:val="uk-UA" w:eastAsia="fr-FR"/>
        </w:rPr>
        <w:instrText xml:space="preserve"> SEQ level0 \*arabic </w:instrText>
      </w:r>
      <w:r w:rsidRPr="009A3F85">
        <w:rPr>
          <w:rFonts w:eastAsia="Times New Roman"/>
          <w:lang w:val="uk-UA" w:eastAsia="fr-FR"/>
        </w:rPr>
        <w:fldChar w:fldCharType="separate"/>
      </w:r>
      <w:r w:rsidRPr="009A3F85" w:rsidR="009A3F85">
        <w:rPr>
          <w:rFonts w:eastAsia="Times New Roman"/>
          <w:noProof/>
          <w:lang w:val="uk-UA" w:eastAsia="fr-FR"/>
        </w:rPr>
        <w:t>57</w:t>
      </w:r>
      <w:r w:rsidRPr="009A3F85">
        <w:rPr>
          <w:rFonts w:eastAsia="Times New Roman"/>
          <w:lang w:val="uk-UA" w:eastAsia="fr-FR"/>
        </w:rPr>
        <w:fldChar w:fldCharType="end"/>
      </w:r>
      <w:r w:rsidRPr="009A3F85">
        <w:rPr>
          <w:rFonts w:eastAsia="Times New Roman"/>
          <w:lang w:val="uk-UA" w:eastAsia="fr-FR"/>
        </w:rPr>
        <w:t>.  Незалежно від висновку щодо застосовності у цій справі пу</w:t>
      </w:r>
      <w:r w:rsidRPr="009A3F85" w:rsidR="009F2BFA">
        <w:rPr>
          <w:rFonts w:eastAsia="Times New Roman"/>
          <w:lang w:val="uk-UA" w:eastAsia="fr-FR"/>
        </w:rPr>
        <w:t>нкту 1 статті 6 Конвенції</w:t>
      </w:r>
      <w:r w:rsidRPr="009A3F85">
        <w:rPr>
          <w:rFonts w:eastAsia="Times New Roman"/>
          <w:lang w:val="uk-UA" w:eastAsia="fr-FR"/>
        </w:rPr>
        <w:t xml:space="preserve"> до зазначеного виду провадження Суд </w:t>
      </w:r>
      <w:r w:rsidRPr="009A3F85" w:rsidR="00C10F3B">
        <w:rPr>
          <w:rFonts w:eastAsia="Times New Roman"/>
          <w:lang w:val="uk-UA" w:eastAsia="fr-FR"/>
        </w:rPr>
        <w:t>повторно зазначає</w:t>
      </w:r>
      <w:r w:rsidRPr="009A3F85">
        <w:rPr>
          <w:rFonts w:eastAsia="Times New Roman"/>
          <w:lang w:val="uk-UA" w:eastAsia="fr-FR"/>
        </w:rPr>
        <w:t xml:space="preserve">, що </w:t>
      </w:r>
      <w:r w:rsidRPr="009A3F85">
        <w:rPr>
          <w:rFonts w:eastAsia="Times New Roman"/>
          <w:lang w:val="uk-UA"/>
        </w:rPr>
        <w:t>саме Договірні Сторони вирішують</w:t>
      </w:r>
      <w:r w:rsidRPr="009A3F85" w:rsidR="00C10F3B">
        <w:rPr>
          <w:rFonts w:eastAsia="Times New Roman"/>
          <w:lang w:val="uk-UA"/>
        </w:rPr>
        <w:t>,</w:t>
      </w:r>
      <w:r w:rsidRPr="009A3F85">
        <w:rPr>
          <w:rFonts w:eastAsia="Times New Roman"/>
          <w:lang w:val="uk-UA"/>
        </w:rPr>
        <w:t xml:space="preserve"> як найкраще виконувати рішення Суду</w:t>
      </w:r>
      <w:r w:rsidRPr="009A3F85" w:rsidR="00C10F3B">
        <w:rPr>
          <w:rFonts w:eastAsia="Times New Roman"/>
          <w:lang w:val="uk-UA"/>
        </w:rPr>
        <w:t xml:space="preserve"> і</w:t>
      </w:r>
      <w:r w:rsidRPr="009A3F85">
        <w:rPr>
          <w:rFonts w:eastAsia="Times New Roman"/>
          <w:lang w:val="uk-UA"/>
        </w:rPr>
        <w:t xml:space="preserve"> </w:t>
      </w:r>
      <w:r w:rsidRPr="009A3F85" w:rsidR="00670D02">
        <w:rPr>
          <w:rFonts w:eastAsia="Times New Roman"/>
          <w:lang w:val="uk-UA"/>
        </w:rPr>
        <w:t xml:space="preserve">при цьому </w:t>
      </w:r>
      <w:r w:rsidRPr="009A3F85">
        <w:rPr>
          <w:rFonts w:eastAsia="Times New Roman"/>
          <w:lang w:val="uk-UA"/>
        </w:rPr>
        <w:t xml:space="preserve">невиправдано не </w:t>
      </w:r>
      <w:r w:rsidRPr="009A3F85" w:rsidR="00C10F3B">
        <w:rPr>
          <w:rFonts w:eastAsia="Times New Roman"/>
          <w:lang w:val="uk-UA"/>
        </w:rPr>
        <w:t xml:space="preserve">порушувати </w:t>
      </w:r>
      <w:r w:rsidRPr="009A3F85">
        <w:rPr>
          <w:rFonts w:eastAsia="Times New Roman"/>
          <w:lang w:val="uk-UA"/>
        </w:rPr>
        <w:t xml:space="preserve">принципи </w:t>
      </w:r>
      <w:r w:rsidRPr="009A3F85">
        <w:rPr>
          <w:rFonts w:eastAsia="Times New Roman"/>
          <w:i/>
          <w:lang w:val="uk-UA"/>
        </w:rPr>
        <w:t>res iudicata</w:t>
      </w:r>
      <w:r w:rsidRPr="009A3F85">
        <w:rPr>
          <w:rFonts w:eastAsia="Times New Roman"/>
          <w:lang w:val="uk-UA"/>
        </w:rPr>
        <w:t xml:space="preserve"> або юридичної визначеності у цивільно</w:t>
      </w:r>
      <w:r w:rsidRPr="009A3F85" w:rsidR="00C10F3B">
        <w:rPr>
          <w:rFonts w:eastAsia="Times New Roman"/>
          <w:lang w:val="uk-UA"/>
        </w:rPr>
        <w:t>му</w:t>
      </w:r>
      <w:r w:rsidRPr="009A3F85">
        <w:rPr>
          <w:rFonts w:eastAsia="Times New Roman"/>
          <w:lang w:val="uk-UA"/>
        </w:rPr>
        <w:t xml:space="preserve"> провадженн</w:t>
      </w:r>
      <w:r w:rsidRPr="009A3F85" w:rsidR="00C10F3B">
        <w:rPr>
          <w:rFonts w:eastAsia="Times New Roman"/>
          <w:lang w:val="uk-UA"/>
        </w:rPr>
        <w:t>і</w:t>
      </w:r>
      <w:r w:rsidRPr="009A3F85">
        <w:rPr>
          <w:rFonts w:eastAsia="Times New Roman"/>
          <w:lang w:val="uk-UA"/>
        </w:rPr>
        <w:t xml:space="preserve">, зокрема коли таке провадження стосується третіх осіб, які мають власні законні інтереси, що </w:t>
      </w:r>
      <w:r w:rsidRPr="009A3F85" w:rsidR="00EA6391">
        <w:rPr>
          <w:rFonts w:eastAsia="Times New Roman"/>
          <w:lang w:val="uk-UA"/>
        </w:rPr>
        <w:t>повинні</w:t>
      </w:r>
      <w:r w:rsidRPr="009A3F85">
        <w:rPr>
          <w:rFonts w:eastAsia="Times New Roman"/>
          <w:lang w:val="uk-UA"/>
        </w:rPr>
        <w:t xml:space="preserve"> захищатися. Більше того, навіть якщо Договірною </w:t>
      </w:r>
      <w:r w:rsidRPr="009A3F85" w:rsidR="00C10F3B">
        <w:rPr>
          <w:rFonts w:eastAsia="Times New Roman"/>
          <w:lang w:val="uk-UA"/>
        </w:rPr>
        <w:t xml:space="preserve">Стороною </w:t>
      </w:r>
      <w:r w:rsidRPr="009A3F85">
        <w:rPr>
          <w:rFonts w:eastAsia="Times New Roman"/>
          <w:lang w:val="uk-UA"/>
        </w:rPr>
        <w:t xml:space="preserve">передбачено можливість подання на підставі рішення Суду клопотання про відновлення </w:t>
      </w:r>
      <w:r w:rsidRPr="009A3F85" w:rsidR="00C10F3B">
        <w:rPr>
          <w:rFonts w:eastAsia="Times New Roman"/>
          <w:lang w:val="uk-UA"/>
        </w:rPr>
        <w:t>за</w:t>
      </w:r>
      <w:r w:rsidRPr="009A3F85" w:rsidR="0098256B">
        <w:rPr>
          <w:rFonts w:eastAsia="Times New Roman"/>
          <w:lang w:val="uk-UA"/>
        </w:rPr>
        <w:t>вершеного</w:t>
      </w:r>
      <w:r w:rsidRPr="009A3F85" w:rsidR="00C10F3B">
        <w:rPr>
          <w:rFonts w:eastAsia="Times New Roman"/>
          <w:lang w:val="uk-UA"/>
        </w:rPr>
        <w:t xml:space="preserve"> </w:t>
      </w:r>
      <w:r w:rsidRPr="009A3F85">
        <w:rPr>
          <w:rFonts w:eastAsia="Times New Roman"/>
          <w:lang w:val="uk-UA"/>
        </w:rPr>
        <w:t>судового провадження, саме національні органи влади мають визнач</w:t>
      </w:r>
      <w:r w:rsidRPr="009A3F85" w:rsidR="00C10F3B">
        <w:rPr>
          <w:rFonts w:eastAsia="Times New Roman"/>
          <w:lang w:val="uk-UA"/>
        </w:rPr>
        <w:t>и</w:t>
      </w:r>
      <w:r w:rsidRPr="009A3F85">
        <w:rPr>
          <w:rFonts w:eastAsia="Times New Roman"/>
          <w:lang w:val="uk-UA"/>
        </w:rPr>
        <w:t xml:space="preserve">ти порядок розгляду такого клопотання та </w:t>
      </w:r>
      <w:r w:rsidRPr="009A3F85" w:rsidR="00C10F3B">
        <w:rPr>
          <w:rFonts w:eastAsia="Times New Roman"/>
          <w:lang w:val="uk-UA"/>
        </w:rPr>
        <w:t xml:space="preserve">встановити </w:t>
      </w:r>
      <w:r w:rsidRPr="009A3F85">
        <w:rPr>
          <w:rFonts w:eastAsia="Times New Roman"/>
          <w:lang w:val="uk-UA"/>
        </w:rPr>
        <w:t xml:space="preserve">критерії визначення, чи </w:t>
      </w:r>
      <w:r w:rsidRPr="009A3F85" w:rsidR="0098256B">
        <w:rPr>
          <w:rFonts w:eastAsia="Times New Roman"/>
          <w:lang w:val="uk-UA"/>
        </w:rPr>
        <w:t xml:space="preserve">необхідне </w:t>
      </w:r>
      <w:r w:rsidRPr="009A3F85">
        <w:rPr>
          <w:rFonts w:eastAsia="Times New Roman"/>
          <w:lang w:val="uk-UA"/>
        </w:rPr>
        <w:t xml:space="preserve">у конкретній справі відновлення провадження. Серед Договірних </w:t>
      </w:r>
      <w:r w:rsidRPr="009A3F85" w:rsidR="00C10F3B">
        <w:rPr>
          <w:rFonts w:eastAsia="Times New Roman"/>
          <w:lang w:val="uk-UA"/>
        </w:rPr>
        <w:t xml:space="preserve">Сторін </w:t>
      </w:r>
      <w:r w:rsidRPr="009A3F85">
        <w:rPr>
          <w:rFonts w:eastAsia="Times New Roman"/>
          <w:lang w:val="uk-UA"/>
        </w:rPr>
        <w:t>немає універсального підходу до можливості</w:t>
      </w:r>
      <w:r w:rsidRPr="009A3F85" w:rsidR="00E60288">
        <w:rPr>
          <w:rFonts w:eastAsia="Times New Roman"/>
          <w:lang w:val="uk-UA"/>
        </w:rPr>
        <w:t xml:space="preserve"> </w:t>
      </w:r>
      <w:r w:rsidRPr="009A3F85" w:rsidR="0098256B">
        <w:rPr>
          <w:rFonts w:eastAsia="Times New Roman"/>
          <w:lang w:val="uk-UA" w:eastAsia="fr-FR"/>
        </w:rPr>
        <w:t xml:space="preserve">вимагати клопотати </w:t>
      </w:r>
      <w:r w:rsidRPr="009A3F85" w:rsidR="00E60288">
        <w:rPr>
          <w:rFonts w:eastAsia="Times New Roman"/>
          <w:lang w:val="uk-UA" w:eastAsia="fr-FR"/>
        </w:rPr>
        <w:t xml:space="preserve">про </w:t>
      </w:r>
      <w:r w:rsidRPr="009A3F85">
        <w:rPr>
          <w:rFonts w:eastAsia="Times New Roman"/>
          <w:lang w:val="uk-UA" w:eastAsia="fr-FR"/>
        </w:rPr>
        <w:t xml:space="preserve">відновлення </w:t>
      </w:r>
      <w:r w:rsidRPr="009A3F85" w:rsidR="00FD7AB6">
        <w:rPr>
          <w:rFonts w:eastAsia="Times New Roman"/>
          <w:lang w:val="uk-UA" w:eastAsia="fr-FR"/>
        </w:rPr>
        <w:t xml:space="preserve">завершеного </w:t>
      </w:r>
      <w:r w:rsidRPr="009A3F85">
        <w:rPr>
          <w:rFonts w:eastAsia="Times New Roman"/>
          <w:lang w:val="uk-UA" w:eastAsia="fr-FR"/>
        </w:rPr>
        <w:t>провадження у цивільній справі</w:t>
      </w:r>
      <w:r w:rsidRPr="009A3F85" w:rsidR="0098256B">
        <w:rPr>
          <w:rFonts w:eastAsia="Times New Roman"/>
          <w:lang w:val="uk-UA" w:eastAsia="fr-FR"/>
        </w:rPr>
        <w:t xml:space="preserve"> після встановлення Судом порушення</w:t>
      </w:r>
      <w:r w:rsidRPr="009A3F85">
        <w:rPr>
          <w:rFonts w:eastAsia="Times New Roman"/>
          <w:lang w:val="uk-UA" w:eastAsia="fr-FR"/>
        </w:rPr>
        <w:t xml:space="preserve"> або </w:t>
      </w:r>
      <w:r w:rsidRPr="009A3F85" w:rsidR="00FD7AB6">
        <w:rPr>
          <w:rFonts w:eastAsia="Times New Roman"/>
          <w:lang w:val="uk-UA" w:eastAsia="fr-FR"/>
        </w:rPr>
        <w:t xml:space="preserve">щодо умов </w:t>
      </w:r>
      <w:r w:rsidRPr="009A3F85" w:rsidR="00E60288">
        <w:rPr>
          <w:rFonts w:eastAsia="Times New Roman"/>
          <w:lang w:val="uk-UA" w:eastAsia="fr-FR"/>
        </w:rPr>
        <w:t>імплементації існуючих</w:t>
      </w:r>
      <w:r w:rsidRPr="009A3F85">
        <w:rPr>
          <w:rFonts w:eastAsia="Times New Roman"/>
          <w:lang w:val="uk-UA" w:eastAsia="fr-FR"/>
        </w:rPr>
        <w:t xml:space="preserve"> механізмів відновлення провадження (див. пункти 26-27).</w:t>
      </w:r>
    </w:p>
    <w:p w:rsidRPr="009A3F85" w:rsidR="006D147C" w:rsidP="009A3F85">
      <w:pPr>
        <w:pStyle w:val="ECHRPara"/>
        <w:rPr>
          <w:rFonts w:eastAsia="Times New Roman"/>
          <w:lang w:val="uk-UA"/>
        </w:rPr>
      </w:pPr>
      <w:r w:rsidRPr="009A3F85">
        <w:rPr>
          <w:rFonts w:eastAsia="Times New Roman"/>
          <w:lang w:val="uk-UA"/>
        </w:rPr>
        <w:fldChar w:fldCharType="begin"/>
      </w:r>
      <w:r w:rsidRPr="009A3F85">
        <w:rPr>
          <w:rFonts w:eastAsia="Times New Roman"/>
          <w:lang w:val="uk-UA"/>
        </w:rPr>
        <w:instrText xml:space="preserve"> SEQ level0 \*arabic </w:instrText>
      </w:r>
      <w:r w:rsidRPr="009A3F85">
        <w:rPr>
          <w:rFonts w:eastAsia="Times New Roman"/>
          <w:lang w:val="uk-UA"/>
        </w:rPr>
        <w:fldChar w:fldCharType="separate"/>
      </w:r>
      <w:r w:rsidRPr="009A3F85" w:rsidR="009A3F85">
        <w:rPr>
          <w:rFonts w:eastAsia="Times New Roman"/>
          <w:noProof/>
          <w:lang w:val="uk-UA"/>
        </w:rPr>
        <w:t>58</w:t>
      </w:r>
      <w:r w:rsidRPr="009A3F85">
        <w:rPr>
          <w:rFonts w:eastAsia="Times New Roman"/>
          <w:lang w:val="uk-UA"/>
        </w:rPr>
        <w:fldChar w:fldCharType="end"/>
      </w:r>
      <w:r w:rsidRPr="009A3F85">
        <w:rPr>
          <w:rFonts w:eastAsia="Times New Roman"/>
          <w:lang w:val="uk-UA"/>
        </w:rPr>
        <w:t xml:space="preserve">.  Проте у цілях ефективності </w:t>
      </w:r>
      <w:r w:rsidRPr="009A3F85" w:rsidR="00D836BF">
        <w:rPr>
          <w:rFonts w:eastAsia="Times New Roman"/>
          <w:lang w:val="uk-UA"/>
        </w:rPr>
        <w:t xml:space="preserve">конвенційної </w:t>
      </w:r>
      <w:r w:rsidRPr="009A3F85">
        <w:rPr>
          <w:rFonts w:eastAsia="Times New Roman"/>
          <w:lang w:val="uk-UA"/>
        </w:rPr>
        <w:t>системи вищенаведені міркування не повинні применшувати важливість забезпечення на національному рівні</w:t>
      </w:r>
      <w:r w:rsidRPr="009A3F85" w:rsidR="00D836BF">
        <w:rPr>
          <w:rFonts w:eastAsia="Times New Roman"/>
          <w:lang w:val="uk-UA"/>
        </w:rPr>
        <w:t xml:space="preserve"> механізмів</w:t>
      </w:r>
      <w:r w:rsidRPr="009A3F85">
        <w:rPr>
          <w:rFonts w:eastAsia="Times New Roman"/>
          <w:lang w:val="uk-UA"/>
        </w:rPr>
        <w:t xml:space="preserve">, що дозволяють </w:t>
      </w:r>
      <w:r w:rsidRPr="009A3F85" w:rsidR="00484E41">
        <w:rPr>
          <w:rFonts w:eastAsia="Times New Roman"/>
          <w:lang w:val="uk-UA"/>
        </w:rPr>
        <w:t>переглянути</w:t>
      </w:r>
      <w:r w:rsidRPr="009A3F85" w:rsidR="00D836BF">
        <w:rPr>
          <w:rFonts w:eastAsia="Times New Roman"/>
          <w:lang w:val="uk-UA"/>
        </w:rPr>
        <w:t xml:space="preserve"> справ</w:t>
      </w:r>
      <w:r w:rsidRPr="009A3F85" w:rsidR="00484E41">
        <w:rPr>
          <w:rFonts w:eastAsia="Times New Roman"/>
          <w:lang w:val="uk-UA"/>
        </w:rPr>
        <w:t>у</w:t>
      </w:r>
      <w:r w:rsidRPr="009A3F85" w:rsidR="00D836BF">
        <w:rPr>
          <w:rFonts w:eastAsia="Times New Roman"/>
          <w:lang w:val="uk-UA"/>
        </w:rPr>
        <w:t xml:space="preserve"> </w:t>
      </w:r>
      <w:r w:rsidRPr="009A3F85" w:rsidR="006C5DE0">
        <w:rPr>
          <w:rFonts w:eastAsia="Times New Roman"/>
          <w:lang w:val="uk-UA"/>
        </w:rPr>
        <w:t>на підставі</w:t>
      </w:r>
      <w:r w:rsidRPr="009A3F85">
        <w:rPr>
          <w:rFonts w:eastAsia="Times New Roman"/>
          <w:lang w:val="uk-UA"/>
        </w:rPr>
        <w:t xml:space="preserve"> висновку про наявність порушення гаранті</w:t>
      </w:r>
      <w:r w:rsidRPr="009A3F85" w:rsidR="00484E41">
        <w:rPr>
          <w:rFonts w:eastAsia="Times New Roman"/>
          <w:lang w:val="uk-UA"/>
        </w:rPr>
        <w:t>й</w:t>
      </w:r>
      <w:r w:rsidRPr="009A3F85">
        <w:rPr>
          <w:rFonts w:eastAsia="Times New Roman"/>
          <w:lang w:val="uk-UA"/>
        </w:rPr>
        <w:t xml:space="preserve"> статті 6 Конвенції щодо справедливого суду. Навпаки, такі механізми можна вважати важливою частиною виконання рішень Суду, як це встановлено статтею 46 Конвенції, а їхня наявність демонструє відданість Договірної </w:t>
      </w:r>
      <w:r w:rsidRPr="009A3F85" w:rsidR="00E60288">
        <w:rPr>
          <w:rFonts w:eastAsia="Times New Roman"/>
          <w:lang w:val="uk-UA"/>
        </w:rPr>
        <w:t xml:space="preserve">Сторони </w:t>
      </w:r>
      <w:r w:rsidRPr="009A3F85">
        <w:rPr>
          <w:rFonts w:eastAsia="Times New Roman"/>
          <w:lang w:val="uk-UA"/>
        </w:rPr>
        <w:t xml:space="preserve">Конвенції та практиці Суду (див. вищенаведену ухвалу щодо прийнятності у справі </w:t>
      </w:r>
      <w:r w:rsidRPr="009A3F85">
        <w:rPr>
          <w:rFonts w:eastAsia="Times New Roman"/>
          <w:lang w:val="uk-UA" w:eastAsia="fr-FR"/>
        </w:rPr>
        <w:t>«Лайонз та інші проти Сполученого Королівства» (</w:t>
      </w:r>
      <w:r w:rsidRPr="009A3F85">
        <w:rPr>
          <w:rFonts w:eastAsia="Times New Roman"/>
          <w:i/>
          <w:lang w:val="uk-UA" w:eastAsia="fr-FR"/>
        </w:rPr>
        <w:t>Lyons and Others v. the United Kingdom</w:t>
      </w:r>
      <w:r w:rsidRPr="009A3F85">
        <w:rPr>
          <w:rFonts w:eastAsia="Times New Roman"/>
          <w:lang w:val="uk-UA" w:eastAsia="fr-FR"/>
        </w:rPr>
        <w:t>)</w:t>
      </w:r>
      <w:r w:rsidRPr="009A3F85">
        <w:rPr>
          <w:rFonts w:eastAsia="Times New Roman"/>
          <w:lang w:val="uk-UA"/>
        </w:rPr>
        <w:t>).</w:t>
      </w:r>
      <w:r w:rsidRPr="009A3F85">
        <w:rPr>
          <w:lang w:val="uk-UA"/>
        </w:rPr>
        <w:t xml:space="preserve"> </w:t>
      </w:r>
      <w:r w:rsidRPr="009A3F85">
        <w:rPr>
          <w:rFonts w:eastAsia="Times New Roman"/>
          <w:lang w:val="uk-UA"/>
        </w:rPr>
        <w:t>У зв</w:t>
      </w:r>
      <w:r w:rsidRPr="009A3F85" w:rsidR="009A3F85">
        <w:rPr>
          <w:rFonts w:eastAsia="Times New Roman"/>
          <w:lang w:val="uk-UA"/>
        </w:rPr>
        <w:t>’</w:t>
      </w:r>
      <w:r w:rsidRPr="009A3F85">
        <w:rPr>
          <w:rFonts w:eastAsia="Times New Roman"/>
          <w:lang w:val="uk-UA"/>
        </w:rPr>
        <w:t>язку з цим Суд нагаду</w:t>
      </w:r>
      <w:r w:rsidRPr="009A3F85" w:rsidR="006C5DE0">
        <w:rPr>
          <w:rFonts w:eastAsia="Times New Roman"/>
          <w:lang w:val="uk-UA"/>
        </w:rPr>
        <w:t xml:space="preserve">є про Рекомендацію </w:t>
      </w:r>
      <w:r w:rsidRPr="009A3F85" w:rsidR="006C5DE0">
        <w:rPr>
          <w:rFonts w:eastAsia="Times New Roman"/>
          <w:lang w:val="uk-UA"/>
        </w:rPr>
        <w:t>№ R (2000)</w:t>
      </w:r>
      <w:r w:rsidRPr="009A3F85" w:rsidR="00E60288">
        <w:rPr>
          <w:rFonts w:eastAsia="Times New Roman"/>
          <w:lang w:val="uk-UA"/>
        </w:rPr>
        <w:t> </w:t>
      </w:r>
      <w:r w:rsidRPr="009A3F85" w:rsidR="006C5DE0">
        <w:rPr>
          <w:rFonts w:eastAsia="Times New Roman"/>
          <w:lang w:val="uk-UA"/>
        </w:rPr>
        <w:t>2</w:t>
      </w:r>
      <w:r w:rsidRPr="009A3F85">
        <w:rPr>
          <w:rFonts w:eastAsia="Times New Roman"/>
          <w:lang w:val="uk-UA"/>
        </w:rPr>
        <w:t xml:space="preserve">, ухвалену Комітетом </w:t>
      </w:r>
      <w:r w:rsidRPr="009A3F85" w:rsidR="00EA628B">
        <w:rPr>
          <w:rFonts w:eastAsia="Times New Roman"/>
          <w:lang w:val="uk-UA"/>
        </w:rPr>
        <w:t>міністрів</w:t>
      </w:r>
      <w:r w:rsidRPr="009A3F85">
        <w:rPr>
          <w:rFonts w:eastAsia="Times New Roman"/>
          <w:lang w:val="uk-UA"/>
        </w:rPr>
        <w:t>, у якій держави-сторони Конвенції заклика</w:t>
      </w:r>
      <w:r w:rsidRPr="009A3F85" w:rsidR="006C5DE0">
        <w:rPr>
          <w:rFonts w:eastAsia="Times New Roman"/>
          <w:lang w:val="uk-UA"/>
        </w:rPr>
        <w:t>но</w:t>
      </w:r>
      <w:r w:rsidRPr="009A3F85">
        <w:rPr>
          <w:rFonts w:eastAsia="Times New Roman"/>
          <w:lang w:val="uk-UA"/>
        </w:rPr>
        <w:t xml:space="preserve"> забезпечити наявність адекватної можливості для </w:t>
      </w:r>
      <w:r w:rsidRPr="009A3F85" w:rsidR="006C5DE0">
        <w:rPr>
          <w:rFonts w:eastAsia="Times New Roman"/>
          <w:lang w:val="uk-UA"/>
        </w:rPr>
        <w:t>від</w:t>
      </w:r>
      <w:r w:rsidRPr="009A3F85">
        <w:rPr>
          <w:rFonts w:eastAsia="Times New Roman"/>
          <w:lang w:val="uk-UA"/>
        </w:rPr>
        <w:t>новлення розгляду</w:t>
      </w:r>
      <w:r w:rsidRPr="009A3F85" w:rsidR="00484E41">
        <w:rPr>
          <w:rFonts w:eastAsia="Times New Roman"/>
          <w:lang w:val="uk-UA"/>
        </w:rPr>
        <w:t xml:space="preserve"> справи</w:t>
      </w:r>
      <w:r w:rsidRPr="009A3F85">
        <w:rPr>
          <w:rFonts w:eastAsia="Times New Roman"/>
          <w:lang w:val="uk-UA"/>
        </w:rPr>
        <w:t xml:space="preserve"> на національно</w:t>
      </w:r>
      <w:r w:rsidRPr="009A3F85" w:rsidR="006C5DE0">
        <w:rPr>
          <w:rFonts w:eastAsia="Times New Roman"/>
          <w:lang w:val="uk-UA"/>
        </w:rPr>
        <w:t>м</w:t>
      </w:r>
      <w:r w:rsidRPr="009A3F85">
        <w:rPr>
          <w:rFonts w:eastAsia="Times New Roman"/>
          <w:lang w:val="uk-UA"/>
        </w:rPr>
        <w:t>у</w:t>
      </w:r>
      <w:r w:rsidRPr="009A3F85" w:rsidR="006C5DE0">
        <w:rPr>
          <w:rFonts w:eastAsia="Times New Roman"/>
          <w:lang w:val="uk-UA"/>
        </w:rPr>
        <w:t xml:space="preserve"> </w:t>
      </w:r>
      <w:r w:rsidRPr="009A3F85">
        <w:rPr>
          <w:rFonts w:eastAsia="Times New Roman"/>
          <w:lang w:val="uk-UA"/>
        </w:rPr>
        <w:t>рівні у разі</w:t>
      </w:r>
      <w:r w:rsidRPr="009A3F85" w:rsidR="006C5DE0">
        <w:rPr>
          <w:rFonts w:eastAsia="Times New Roman"/>
          <w:lang w:val="uk-UA"/>
        </w:rPr>
        <w:t>,</w:t>
      </w:r>
      <w:r w:rsidRPr="009A3F85">
        <w:rPr>
          <w:rFonts w:eastAsia="Times New Roman"/>
          <w:lang w:val="uk-UA"/>
        </w:rPr>
        <w:t xml:space="preserve"> якщо Суд встанов</w:t>
      </w:r>
      <w:r w:rsidRPr="009A3F85" w:rsidR="006C5DE0">
        <w:rPr>
          <w:rFonts w:eastAsia="Times New Roman"/>
          <w:lang w:val="uk-UA"/>
        </w:rPr>
        <w:t>лює</w:t>
      </w:r>
      <w:r w:rsidRPr="009A3F85">
        <w:rPr>
          <w:rFonts w:eastAsia="Times New Roman"/>
          <w:lang w:val="uk-UA"/>
        </w:rPr>
        <w:t xml:space="preserve"> порушення Конвенції (див. пункт 28). Суд підтверджує свою позицію, що такі заходи можуть становити «найбільш ефективний, якщо не єдиний, засіб досягнення </w:t>
      </w:r>
      <w:r w:rsidRPr="009A3F85">
        <w:rPr>
          <w:rFonts w:eastAsia="Times New Roman"/>
          <w:i/>
          <w:lang w:val="uk-UA"/>
        </w:rPr>
        <w:t>restitutio in integrum</w:t>
      </w:r>
      <w:r w:rsidRPr="009A3F85">
        <w:rPr>
          <w:rFonts w:eastAsia="Times New Roman"/>
          <w:lang w:val="uk-UA"/>
        </w:rPr>
        <w:t xml:space="preserve">» (див. вищенаведене у пункті 33 рішення у справі </w:t>
      </w:r>
      <w:r w:rsidRPr="009A3F85" w:rsidR="006C5DE0">
        <w:rPr>
          <w:rFonts w:eastAsia="Times New Roman"/>
          <w:lang w:val="uk-UA"/>
        </w:rPr>
        <w:t>«</w:t>
      </w:r>
      <w:r w:rsidRPr="009A3F85">
        <w:rPr>
          <w:rFonts w:eastAsia="Times New Roman"/>
          <w:lang w:val="uk-UA"/>
        </w:rPr>
        <w:t>«</w:t>
      </w:r>
      <w:r w:rsidRPr="009A3F85" w:rsidR="00205A07">
        <w:rPr>
          <w:rFonts w:eastAsia="Times New Roman"/>
          <w:lang w:val="uk-UA"/>
        </w:rPr>
        <w:t>Verein gegen Tierfabriken Schweiz</w:t>
      </w:r>
      <w:r w:rsidRPr="009A3F85" w:rsidR="006C5DE0">
        <w:rPr>
          <w:rFonts w:eastAsia="Times New Roman"/>
          <w:lang w:val="uk-UA"/>
        </w:rPr>
        <w:t>»</w:t>
      </w:r>
      <w:r w:rsidRPr="009A3F85">
        <w:rPr>
          <w:rFonts w:eastAsia="Times New Roman"/>
          <w:lang w:val="uk-UA"/>
        </w:rPr>
        <w:t xml:space="preserve"> </w:t>
      </w:r>
      <w:r w:rsidRPr="009A3F85" w:rsidR="006C5DE0">
        <w:rPr>
          <w:lang w:val="uk-UA"/>
        </w:rPr>
        <w:t>(VgT)</w:t>
      </w:r>
      <w:r w:rsidRPr="009A3F85" w:rsidR="006C5DE0">
        <w:rPr>
          <w:i/>
          <w:lang w:val="uk-UA"/>
        </w:rPr>
        <w:t xml:space="preserve"> </w:t>
      </w:r>
      <w:r w:rsidRPr="009A3F85">
        <w:rPr>
          <w:rFonts w:eastAsia="Times New Roman"/>
          <w:lang w:val="uk-UA"/>
        </w:rPr>
        <w:t>проти Швейцарії (№</w:t>
      </w:r>
      <w:r w:rsidRPr="009A3F85">
        <w:rPr>
          <w:rFonts w:eastAsia="Times New Roman"/>
          <w:lang w:val="uk-UA" w:eastAsia="fr-FR"/>
        </w:rPr>
        <w:t> </w:t>
      </w:r>
      <w:r w:rsidRPr="009A3F85">
        <w:rPr>
          <w:rFonts w:eastAsia="Times New Roman"/>
          <w:lang w:val="uk-UA"/>
        </w:rPr>
        <w:t>2)» (</w:t>
      </w:r>
      <w:r w:rsidRPr="009A3F85">
        <w:rPr>
          <w:i/>
          <w:lang w:val="uk-UA"/>
        </w:rPr>
        <w:t>Verein gegen Tierfabriken Schweiz (VgT) v. Switzerland (no. 2)</w:t>
      </w:r>
      <w:r w:rsidRPr="009A3F85">
        <w:rPr>
          <w:lang w:val="uk-UA"/>
        </w:rPr>
        <w:t>)</w:t>
      </w:r>
      <w:r w:rsidRPr="009A3F85">
        <w:rPr>
          <w:rFonts w:eastAsia="Times New Roman"/>
          <w:lang w:val="uk-UA"/>
        </w:rPr>
        <w:t>, п</w:t>
      </w:r>
      <w:r w:rsidRPr="009A3F85" w:rsidR="006C5DE0">
        <w:rPr>
          <w:rFonts w:eastAsia="Times New Roman"/>
          <w:lang w:val="uk-UA"/>
        </w:rPr>
        <w:t>п</w:t>
      </w:r>
      <w:r w:rsidRPr="009A3F85">
        <w:rPr>
          <w:rFonts w:eastAsia="Times New Roman"/>
          <w:lang w:val="uk-UA"/>
        </w:rPr>
        <w:t xml:space="preserve">. 33 </w:t>
      </w:r>
      <w:r w:rsidRPr="009A3F85" w:rsidR="006C5DE0">
        <w:rPr>
          <w:rFonts w:eastAsia="Times New Roman"/>
          <w:lang w:val="uk-UA"/>
        </w:rPr>
        <w:t>і</w:t>
      </w:r>
      <w:r w:rsidRPr="009A3F85">
        <w:rPr>
          <w:rFonts w:eastAsia="Times New Roman"/>
          <w:lang w:val="uk-UA"/>
        </w:rPr>
        <w:t xml:space="preserve"> 89; та </w:t>
      </w:r>
      <w:r w:rsidRPr="009A3F85">
        <w:rPr>
          <w:rFonts w:eastAsia="Times New Roman"/>
          <w:lang w:val="uk-UA" w:eastAsia="fr-FR"/>
        </w:rPr>
        <w:t xml:space="preserve">вищенаведену ухвалу щодо прийнятності у справі </w:t>
      </w:r>
      <w:r w:rsidRPr="009A3F85">
        <w:rPr>
          <w:rFonts w:eastAsia="Times New Roman"/>
          <w:lang w:val="uk-UA"/>
        </w:rPr>
        <w:t>«Штек-Ріш та ніші проти Ліхтенштейн</w:t>
      </w:r>
      <w:r w:rsidRPr="009A3F85" w:rsidR="006C5DE0">
        <w:rPr>
          <w:rFonts w:eastAsia="Times New Roman"/>
          <w:lang w:val="uk-UA"/>
        </w:rPr>
        <w:t>у</w:t>
      </w:r>
      <w:r w:rsidRPr="009A3F85">
        <w:rPr>
          <w:rFonts w:eastAsia="Times New Roman"/>
          <w:lang w:val="uk-UA"/>
        </w:rPr>
        <w:t>» (</w:t>
      </w:r>
      <w:r w:rsidRPr="009A3F85">
        <w:rPr>
          <w:rFonts w:eastAsia="Times New Roman"/>
          <w:i/>
          <w:iCs/>
          <w:color w:val="000000"/>
          <w:szCs w:val="24"/>
          <w:lang w:val="uk-UA" w:eastAsia="en-GB"/>
        </w:rPr>
        <w:t>Steck-Risch and Others v. Liechtenstein</w:t>
      </w:r>
      <w:r w:rsidRPr="009A3F85">
        <w:rPr>
          <w:rFonts w:eastAsia="Times New Roman"/>
          <w:lang w:val="uk-UA"/>
        </w:rPr>
        <w:t>)).</w:t>
      </w:r>
    </w:p>
    <w:p w:rsidRPr="009A3F85" w:rsidR="006D147C" w:rsidP="009A3F85">
      <w:pPr>
        <w:pStyle w:val="ECHRHeading2"/>
        <w:rPr>
          <w:lang w:val="uk-UA"/>
        </w:rPr>
      </w:pPr>
      <w:r w:rsidRPr="009A3F85">
        <w:rPr>
          <w:lang w:val="uk-UA"/>
        </w:rPr>
        <w:t>C.  </w:t>
      </w:r>
      <w:r w:rsidRPr="009A3F85">
        <w:rPr>
          <w:rFonts w:eastAsia="Times New Roman"/>
          <w:lang w:val="uk-UA" w:eastAsia="fr-FR"/>
        </w:rPr>
        <w:t>Щодо того, чи відповідає нова скарга заявниці за пунктом 1 статті 6 Конвенції інш</w:t>
      </w:r>
      <w:r w:rsidRPr="009A3F85" w:rsidR="006C5DE0">
        <w:rPr>
          <w:rFonts w:eastAsia="Times New Roman"/>
          <w:lang w:val="uk-UA" w:eastAsia="fr-FR"/>
        </w:rPr>
        <w:t>им</w:t>
      </w:r>
      <w:r w:rsidRPr="009A3F85">
        <w:rPr>
          <w:rFonts w:eastAsia="Times New Roman"/>
          <w:lang w:val="uk-UA" w:eastAsia="fr-FR"/>
        </w:rPr>
        <w:t xml:space="preserve"> умов</w:t>
      </w:r>
      <w:r w:rsidRPr="009A3F85" w:rsidR="006C5DE0">
        <w:rPr>
          <w:rFonts w:eastAsia="Times New Roman"/>
          <w:lang w:val="uk-UA" w:eastAsia="fr-FR"/>
        </w:rPr>
        <w:t>ам</w:t>
      </w:r>
      <w:r w:rsidRPr="009A3F85">
        <w:rPr>
          <w:rFonts w:eastAsia="Times New Roman"/>
          <w:lang w:val="uk-UA" w:eastAsia="fr-FR"/>
        </w:rPr>
        <w:t xml:space="preserve"> прийнятності</w:t>
      </w:r>
    </w:p>
    <w:p w:rsidRPr="009A3F85" w:rsidR="006D147C" w:rsidP="009A3F85">
      <w:pPr>
        <w:pStyle w:val="ECHRPara"/>
        <w:rPr>
          <w:lang w:val="uk-UA"/>
        </w:rPr>
      </w:pPr>
      <w:r w:rsidRPr="009A3F85">
        <w:rPr>
          <w:lang w:val="uk-UA"/>
        </w:rPr>
        <w:fldChar w:fldCharType="begin"/>
      </w:r>
      <w:r w:rsidRPr="009A3F85">
        <w:rPr>
          <w:lang w:val="uk-UA"/>
        </w:rPr>
        <w:instrText xml:space="preserve"> SEQ level0 \*arabic </w:instrText>
      </w:r>
      <w:r w:rsidRPr="009A3F85">
        <w:rPr>
          <w:lang w:val="uk-UA"/>
        </w:rPr>
        <w:fldChar w:fldCharType="separate"/>
      </w:r>
      <w:r w:rsidRPr="009A3F85" w:rsidR="009A3F85">
        <w:rPr>
          <w:noProof/>
          <w:lang w:val="uk-UA"/>
        </w:rPr>
        <w:t>59</w:t>
      </w:r>
      <w:r w:rsidRPr="009A3F85">
        <w:rPr>
          <w:lang w:val="uk-UA"/>
        </w:rPr>
        <w:fldChar w:fldCharType="end"/>
      </w:r>
      <w:r w:rsidRPr="009A3F85">
        <w:rPr>
          <w:lang w:val="uk-UA"/>
        </w:rPr>
        <w:t xml:space="preserve">.  Суд також вважає, що скарга заявниці на несправедливість провадження, яке </w:t>
      </w:r>
      <w:r w:rsidRPr="009A3F85" w:rsidR="00405E1B">
        <w:rPr>
          <w:lang w:val="uk-UA"/>
        </w:rPr>
        <w:t>завершил</w:t>
      </w:r>
      <w:r w:rsidRPr="009A3F85" w:rsidR="0042303A">
        <w:rPr>
          <w:lang w:val="uk-UA"/>
        </w:rPr>
        <w:t>о</w:t>
      </w:r>
      <w:r w:rsidRPr="009A3F85" w:rsidR="00405E1B">
        <w:rPr>
          <w:lang w:val="uk-UA"/>
        </w:rPr>
        <w:t xml:space="preserve">сь </w:t>
      </w:r>
      <w:r w:rsidRPr="009A3F85">
        <w:rPr>
          <w:lang w:val="uk-UA"/>
        </w:rPr>
        <w:t>ухвалою Верховного Суду України від 14 березня 2008 року</w:t>
      </w:r>
      <w:r w:rsidRPr="009A3F85" w:rsidR="006C5DE0">
        <w:rPr>
          <w:lang w:val="uk-UA"/>
        </w:rPr>
        <w:t>,</w:t>
      </w:r>
      <w:r w:rsidRPr="009A3F85">
        <w:rPr>
          <w:lang w:val="uk-UA"/>
        </w:rPr>
        <w:t xml:space="preserve"> не є явно необґрунтованою у розумінні підпункту «а» пункту 3 статті 35 Конвенції і що вона не є неприйнятною з будь-яких інших підстав. Тому вона має бути визнана прийнятною.</w:t>
      </w:r>
    </w:p>
    <w:p w:rsidRPr="009A3F85" w:rsidR="006D147C" w:rsidP="009A3F85">
      <w:pPr>
        <w:pStyle w:val="ECHRHeading2"/>
        <w:rPr>
          <w:lang w:val="uk-UA"/>
        </w:rPr>
      </w:pPr>
      <w:r w:rsidRPr="009A3F85">
        <w:rPr>
          <w:lang w:val="uk-UA"/>
        </w:rPr>
        <w:t>D.  Суть нової скарги заявниці за пунктом 1 статті 6 Конвенції</w:t>
      </w:r>
    </w:p>
    <w:p w:rsidRPr="009A3F85" w:rsidR="006D147C" w:rsidP="009A3F85">
      <w:pPr>
        <w:pStyle w:val="ECHRPara"/>
        <w:rPr>
          <w:lang w:val="uk-UA"/>
        </w:rPr>
      </w:pPr>
      <w:r w:rsidRPr="009A3F85">
        <w:rPr>
          <w:lang w:val="uk-UA"/>
        </w:rPr>
        <w:fldChar w:fldCharType="begin"/>
      </w:r>
      <w:r w:rsidRPr="009A3F85">
        <w:rPr>
          <w:lang w:val="uk-UA"/>
        </w:rPr>
        <w:instrText xml:space="preserve"> SEQ level0 \*arabic </w:instrText>
      </w:r>
      <w:r w:rsidRPr="009A3F85">
        <w:rPr>
          <w:lang w:val="uk-UA"/>
        </w:rPr>
        <w:fldChar w:fldCharType="separate"/>
      </w:r>
      <w:r w:rsidRPr="009A3F85" w:rsidR="009A3F85">
        <w:rPr>
          <w:noProof/>
          <w:lang w:val="uk-UA"/>
        </w:rPr>
        <w:t>60</w:t>
      </w:r>
      <w:r w:rsidRPr="009A3F85">
        <w:rPr>
          <w:lang w:val="uk-UA"/>
        </w:rPr>
        <w:fldChar w:fldCharType="end"/>
      </w:r>
      <w:r w:rsidRPr="009A3F85">
        <w:rPr>
          <w:lang w:val="uk-UA"/>
        </w:rPr>
        <w:t>.  Щодо питання дотримання у цій справі вимог пункту 1 статті 6 Конвенції Суд зазначає, що скарг</w:t>
      </w:r>
      <w:r w:rsidRPr="009A3F85" w:rsidR="00E60288">
        <w:rPr>
          <w:lang w:val="uk-UA"/>
        </w:rPr>
        <w:t>а</w:t>
      </w:r>
      <w:r w:rsidRPr="009A3F85">
        <w:rPr>
          <w:lang w:val="uk-UA"/>
        </w:rPr>
        <w:t xml:space="preserve"> заявниці на несправедливість провадження </w:t>
      </w:r>
      <w:r w:rsidRPr="009A3F85" w:rsidR="00E60288">
        <w:rPr>
          <w:lang w:val="uk-UA"/>
        </w:rPr>
        <w:t>стосувалася</w:t>
      </w:r>
      <w:r w:rsidRPr="009A3F85">
        <w:rPr>
          <w:lang w:val="uk-UA"/>
        </w:rPr>
        <w:t xml:space="preserve"> саме обґрунтування</w:t>
      </w:r>
      <w:r w:rsidRPr="009A3F85" w:rsidR="006C5DE0">
        <w:rPr>
          <w:lang w:val="uk-UA"/>
        </w:rPr>
        <w:t xml:space="preserve"> </w:t>
      </w:r>
      <w:r w:rsidRPr="009A3F85">
        <w:rPr>
          <w:lang w:val="uk-UA"/>
        </w:rPr>
        <w:t>Верховного Суду України</w:t>
      </w:r>
      <w:r w:rsidRPr="009A3F85" w:rsidR="00405E1B">
        <w:rPr>
          <w:lang w:val="uk-UA"/>
        </w:rPr>
        <w:t xml:space="preserve">, наведеного у його ухвалі </w:t>
      </w:r>
      <w:r w:rsidRPr="009A3F85">
        <w:rPr>
          <w:lang w:val="uk-UA"/>
        </w:rPr>
        <w:t>від 14 березня 2008 року.</w:t>
      </w:r>
    </w:p>
    <w:p w:rsidRPr="009A3F85" w:rsidR="006D147C" w:rsidP="009A3F85">
      <w:pPr>
        <w:pStyle w:val="ECHRPara"/>
        <w:rPr>
          <w:rFonts w:eastAsia="Times New Roman"/>
          <w:lang w:val="uk-UA"/>
        </w:rPr>
      </w:pPr>
      <w:r w:rsidRPr="009A3F85">
        <w:rPr>
          <w:rFonts w:eastAsia="Times New Roman"/>
          <w:lang w:val="uk-UA"/>
        </w:rPr>
        <w:fldChar w:fldCharType="begin"/>
      </w:r>
      <w:r w:rsidRPr="009A3F85">
        <w:rPr>
          <w:rFonts w:eastAsia="Times New Roman"/>
          <w:lang w:val="uk-UA"/>
        </w:rPr>
        <w:instrText xml:space="preserve"> SEQ level0 \*arabic </w:instrText>
      </w:r>
      <w:r w:rsidRPr="009A3F85">
        <w:rPr>
          <w:rFonts w:eastAsia="Times New Roman"/>
          <w:lang w:val="uk-UA"/>
        </w:rPr>
        <w:fldChar w:fldCharType="separate"/>
      </w:r>
      <w:r w:rsidRPr="009A3F85" w:rsidR="009A3F85">
        <w:rPr>
          <w:rFonts w:eastAsia="Times New Roman"/>
          <w:noProof/>
          <w:lang w:val="uk-UA"/>
        </w:rPr>
        <w:t>61</w:t>
      </w:r>
      <w:r w:rsidRPr="009A3F85">
        <w:rPr>
          <w:rFonts w:eastAsia="Times New Roman"/>
          <w:lang w:val="uk-UA"/>
        </w:rPr>
        <w:fldChar w:fldCharType="end"/>
      </w:r>
      <w:r w:rsidRPr="009A3F85">
        <w:rPr>
          <w:rFonts w:eastAsia="Times New Roman"/>
          <w:lang w:val="uk-UA"/>
        </w:rPr>
        <w:t xml:space="preserve">.  Суд повторює, що згідно з його тривалою та усталеною практикою до компетенції </w:t>
      </w:r>
      <w:r w:rsidRPr="009A3F85">
        <w:rPr>
          <w:lang w:val="uk-UA"/>
        </w:rPr>
        <w:t xml:space="preserve">Суду не належить розгляд </w:t>
      </w:r>
      <w:r w:rsidRPr="009A3F85" w:rsidR="006C5DE0">
        <w:rPr>
          <w:lang w:val="uk-UA"/>
        </w:rPr>
        <w:t xml:space="preserve">стверджуваних </w:t>
      </w:r>
      <w:r w:rsidRPr="009A3F85">
        <w:rPr>
          <w:lang w:val="uk-UA"/>
        </w:rPr>
        <w:t xml:space="preserve">помилок </w:t>
      </w:r>
      <w:r w:rsidRPr="009A3F85" w:rsidR="00E60288">
        <w:rPr>
          <w:lang w:val="uk-UA"/>
        </w:rPr>
        <w:t xml:space="preserve">щодо питань </w:t>
      </w:r>
      <w:r w:rsidRPr="009A3F85">
        <w:rPr>
          <w:lang w:val="uk-UA"/>
        </w:rPr>
        <w:t>факт</w:t>
      </w:r>
      <w:r w:rsidRPr="009A3F85" w:rsidR="006C5DE0">
        <w:rPr>
          <w:lang w:val="uk-UA"/>
        </w:rPr>
        <w:t>у</w:t>
      </w:r>
      <w:r w:rsidRPr="009A3F85">
        <w:rPr>
          <w:lang w:val="uk-UA"/>
        </w:rPr>
        <w:t xml:space="preserve"> або права, яких</w:t>
      </w:r>
      <w:r w:rsidRPr="009A3F85" w:rsidR="006C5DE0">
        <w:rPr>
          <w:lang w:val="uk-UA"/>
        </w:rPr>
        <w:t xml:space="preserve"> </w:t>
      </w:r>
      <w:r w:rsidRPr="009A3F85">
        <w:rPr>
          <w:lang w:val="uk-UA"/>
        </w:rPr>
        <w:t>припустилися національні суди, якщо тільки такі помилки не поруши</w:t>
      </w:r>
      <w:r w:rsidRPr="009A3F85" w:rsidR="006C5DE0">
        <w:rPr>
          <w:lang w:val="uk-UA"/>
        </w:rPr>
        <w:t>л</w:t>
      </w:r>
      <w:r w:rsidRPr="009A3F85">
        <w:rPr>
          <w:lang w:val="uk-UA"/>
        </w:rPr>
        <w:t xml:space="preserve">и права та свободи, що охороняються Конвенцією </w:t>
      </w:r>
      <w:r w:rsidRPr="009A3F85">
        <w:rPr>
          <w:rFonts w:eastAsia="Times New Roman"/>
          <w:lang w:val="uk-UA"/>
        </w:rPr>
        <w:t>(див., наприклад, рішення у справах «Гарсія Руїс проти Іспанії» (</w:t>
      </w:r>
      <w:r w:rsidRPr="009A3F85">
        <w:rPr>
          <w:i/>
          <w:lang w:val="uk-UA"/>
        </w:rPr>
        <w:t>García Ruiz v. Spain</w:t>
      </w:r>
      <w:r w:rsidRPr="009A3F85">
        <w:rPr>
          <w:lang w:val="uk-UA"/>
        </w:rPr>
        <w:t>) [ВП], заява № 30544/96, п. 28, ECHR 1999</w:t>
      </w:r>
      <w:r w:rsidRPr="009A3F85">
        <w:rPr>
          <w:lang w:val="uk-UA"/>
        </w:rPr>
        <w:noBreakHyphen/>
        <w:t>I</w:t>
      </w:r>
      <w:r w:rsidRPr="009A3F85">
        <w:rPr>
          <w:rFonts w:eastAsia="Times New Roman"/>
          <w:lang w:val="uk-UA"/>
        </w:rPr>
        <w:t>; та «Перес проти Франції» (</w:t>
      </w:r>
      <w:r w:rsidRPr="009A3F85">
        <w:rPr>
          <w:i/>
          <w:lang w:val="uk-UA"/>
        </w:rPr>
        <w:t>Perez v. France</w:t>
      </w:r>
      <w:r w:rsidRPr="009A3F85">
        <w:rPr>
          <w:lang w:val="uk-UA"/>
        </w:rPr>
        <w:t>)</w:t>
      </w:r>
      <w:r w:rsidRPr="009A3F85">
        <w:rPr>
          <w:i/>
          <w:lang w:val="uk-UA"/>
        </w:rPr>
        <w:t xml:space="preserve"> </w:t>
      </w:r>
      <w:r w:rsidRPr="009A3F85">
        <w:rPr>
          <w:lang w:val="uk-UA"/>
        </w:rPr>
        <w:t>[ВП], заява №</w:t>
      </w:r>
      <w:r w:rsidRPr="009A3F85">
        <w:rPr>
          <w:rFonts w:eastAsia="Times New Roman"/>
          <w:lang w:val="uk-UA"/>
        </w:rPr>
        <w:t> </w:t>
      </w:r>
      <w:r w:rsidRPr="009A3F85">
        <w:rPr>
          <w:lang w:val="uk-UA"/>
        </w:rPr>
        <w:t>47287/99, п. 82, ECHR 2004</w:t>
      </w:r>
      <w:r w:rsidRPr="009A3F85">
        <w:rPr>
          <w:lang w:val="uk-UA"/>
        </w:rPr>
        <w:noBreakHyphen/>
        <w:t>I</w:t>
      </w:r>
      <w:r w:rsidRPr="009A3F85">
        <w:rPr>
          <w:rFonts w:eastAsia="Times New Roman"/>
          <w:lang w:val="uk-UA"/>
        </w:rPr>
        <w:t xml:space="preserve">), наприклад, коли, як </w:t>
      </w:r>
      <w:r w:rsidRPr="009A3F85" w:rsidR="006C5DE0">
        <w:rPr>
          <w:rFonts w:eastAsia="Times New Roman"/>
          <w:lang w:val="uk-UA"/>
        </w:rPr>
        <w:t>виняток</w:t>
      </w:r>
      <w:r w:rsidRPr="009A3F85">
        <w:rPr>
          <w:rFonts w:eastAsia="Times New Roman"/>
          <w:lang w:val="uk-UA"/>
        </w:rPr>
        <w:t xml:space="preserve">, можна </w:t>
      </w:r>
      <w:r w:rsidRPr="009A3F85" w:rsidR="00E60288">
        <w:rPr>
          <w:rFonts w:eastAsia="Times New Roman"/>
          <w:lang w:val="uk-UA"/>
        </w:rPr>
        <w:t>стверджувати</w:t>
      </w:r>
      <w:r w:rsidRPr="009A3F85">
        <w:rPr>
          <w:rFonts w:eastAsia="Times New Roman"/>
          <w:lang w:val="uk-UA"/>
        </w:rPr>
        <w:t xml:space="preserve">, що помилки становлять несумісну зі статтею 6 Конвенції «несправедливість». </w:t>
      </w:r>
      <w:r w:rsidRPr="009A3F85" w:rsidR="00E60288">
        <w:rPr>
          <w:szCs w:val="24"/>
          <w:lang w:val="uk-UA"/>
        </w:rPr>
        <w:t>Хоча</w:t>
      </w:r>
      <w:r w:rsidRPr="009A3F85">
        <w:rPr>
          <w:szCs w:val="24"/>
          <w:lang w:val="uk-UA"/>
        </w:rPr>
        <w:t xml:space="preserve"> це положення гарантує право на справедливий розгляд справи, </w:t>
      </w:r>
      <w:r w:rsidRPr="009A3F85" w:rsidR="00E60288">
        <w:rPr>
          <w:szCs w:val="24"/>
          <w:lang w:val="uk-UA"/>
        </w:rPr>
        <w:t xml:space="preserve">воно </w:t>
      </w:r>
      <w:r w:rsidRPr="009A3F85">
        <w:rPr>
          <w:szCs w:val="24"/>
          <w:lang w:val="uk-UA"/>
        </w:rPr>
        <w:t>не встановлює жодних правил щодо прийнятності доказів або способу, у який вони повинні оцін</w:t>
      </w:r>
      <w:r w:rsidRPr="009A3F85" w:rsidR="00E60288">
        <w:rPr>
          <w:szCs w:val="24"/>
          <w:lang w:val="uk-UA"/>
        </w:rPr>
        <w:t>юватись</w:t>
      </w:r>
      <w:r w:rsidRPr="009A3F85">
        <w:rPr>
          <w:szCs w:val="24"/>
          <w:lang w:val="uk-UA"/>
        </w:rPr>
        <w:t>, що є у першу чергу предметом регулювання національного законодавства та національних судів</w:t>
      </w:r>
      <w:r w:rsidRPr="009A3F85">
        <w:rPr>
          <w:rFonts w:eastAsia="Times New Roman"/>
          <w:lang w:val="uk-UA"/>
        </w:rPr>
        <w:t xml:space="preserve">. </w:t>
      </w:r>
      <w:r w:rsidRPr="009A3F85" w:rsidR="00405E1B">
        <w:rPr>
          <w:rFonts w:eastAsia="Times New Roman"/>
          <w:lang w:val="uk-UA"/>
        </w:rPr>
        <w:t>Зазвичай</w:t>
      </w:r>
      <w:r w:rsidRPr="009A3F85">
        <w:rPr>
          <w:rFonts w:eastAsia="Times New Roman"/>
          <w:lang w:val="uk-UA"/>
        </w:rPr>
        <w:t xml:space="preserve"> Судом не переглядаються такі питання, як вага, що надається </w:t>
      </w:r>
      <w:r w:rsidRPr="009A3F85">
        <w:rPr>
          <w:rFonts w:eastAsia="Times New Roman"/>
          <w:lang w:val="uk-UA"/>
        </w:rPr>
        <w:t>національними судами певним доказ</w:t>
      </w:r>
      <w:r w:rsidRPr="009A3F85" w:rsidR="003968D6">
        <w:rPr>
          <w:rFonts w:eastAsia="Times New Roman"/>
          <w:lang w:val="uk-UA"/>
        </w:rPr>
        <w:t>ам</w:t>
      </w:r>
      <w:r w:rsidRPr="009A3F85">
        <w:rPr>
          <w:rFonts w:eastAsia="Times New Roman"/>
          <w:lang w:val="uk-UA"/>
        </w:rPr>
        <w:t xml:space="preserve"> або висновк</w:t>
      </w:r>
      <w:r w:rsidRPr="009A3F85" w:rsidR="003772C3">
        <w:rPr>
          <w:rFonts w:eastAsia="Times New Roman"/>
          <w:lang w:val="uk-UA"/>
        </w:rPr>
        <w:t>ам</w:t>
      </w:r>
      <w:r w:rsidRPr="009A3F85">
        <w:rPr>
          <w:rFonts w:eastAsia="Times New Roman"/>
          <w:lang w:val="uk-UA"/>
        </w:rPr>
        <w:t xml:space="preserve"> чи оцінкам, які </w:t>
      </w:r>
      <w:r w:rsidRPr="009A3F85" w:rsidR="00405E1B">
        <w:rPr>
          <w:rFonts w:eastAsia="Times New Roman"/>
          <w:lang w:val="uk-UA"/>
        </w:rPr>
        <w:t>перебувають у них на розгляді</w:t>
      </w:r>
      <w:r w:rsidRPr="009A3F85">
        <w:rPr>
          <w:rFonts w:eastAsia="Times New Roman"/>
          <w:lang w:val="uk-UA"/>
        </w:rPr>
        <w:t>. Суд не має діяти як четверта інстанція, а тому не ставитиме рішення національних судів під сумнів на підставі пункт</w:t>
      </w:r>
      <w:r w:rsidRPr="009A3F85" w:rsidR="003968D6">
        <w:rPr>
          <w:rFonts w:eastAsia="Times New Roman"/>
          <w:lang w:val="uk-UA"/>
        </w:rPr>
        <w:t>у</w:t>
      </w:r>
      <w:r w:rsidRPr="009A3F85">
        <w:rPr>
          <w:rFonts w:eastAsia="Times New Roman"/>
          <w:lang w:val="uk-UA"/>
        </w:rPr>
        <w:t xml:space="preserve"> 1 статті 6 Конвенції, якщо </w:t>
      </w:r>
      <w:r w:rsidRPr="009A3F85" w:rsidR="00E60288">
        <w:rPr>
          <w:rFonts w:eastAsia="Times New Roman"/>
          <w:lang w:val="uk-UA"/>
        </w:rPr>
        <w:t xml:space="preserve">їхні висновки </w:t>
      </w:r>
      <w:r w:rsidRPr="009A3F85">
        <w:rPr>
          <w:rFonts w:eastAsia="Times New Roman"/>
          <w:lang w:val="uk-UA"/>
        </w:rPr>
        <w:t>не можна вважати свавільним</w:t>
      </w:r>
      <w:r w:rsidRPr="009A3F85" w:rsidR="00E60288">
        <w:rPr>
          <w:rFonts w:eastAsia="Times New Roman"/>
          <w:lang w:val="uk-UA"/>
        </w:rPr>
        <w:t>и</w:t>
      </w:r>
      <w:r w:rsidRPr="009A3F85">
        <w:rPr>
          <w:rFonts w:eastAsia="Times New Roman"/>
          <w:lang w:val="uk-UA"/>
        </w:rPr>
        <w:t xml:space="preserve"> або явно необґрунтованим</w:t>
      </w:r>
      <w:r w:rsidRPr="009A3F85" w:rsidR="00E60288">
        <w:rPr>
          <w:rFonts w:eastAsia="Times New Roman"/>
          <w:lang w:val="uk-UA"/>
        </w:rPr>
        <w:t>и</w:t>
      </w:r>
      <w:r w:rsidRPr="009A3F85">
        <w:rPr>
          <w:rFonts w:eastAsia="Times New Roman"/>
          <w:lang w:val="uk-UA"/>
        </w:rPr>
        <w:t xml:space="preserve"> </w:t>
      </w:r>
      <w:r w:rsidRPr="009A3F85">
        <w:rPr>
          <w:lang w:val="uk-UA"/>
        </w:rPr>
        <w:t>(див., наприклад, рішення у справах «Дюлоран проти Франції» ((</w:t>
      </w:r>
      <w:r w:rsidRPr="009A3F85">
        <w:rPr>
          <w:i/>
          <w:lang w:val="uk-UA"/>
        </w:rPr>
        <w:t>Dulaurans v. France</w:t>
      </w:r>
      <w:r w:rsidRPr="009A3F85">
        <w:rPr>
          <w:lang w:val="uk-UA"/>
        </w:rPr>
        <w:t>), заява № 34553/97, пп. 33-34 та 38, від 21 березня 2000 року; «Хамідов проти Росії» (</w:t>
      </w:r>
      <w:r w:rsidRPr="009A3F85">
        <w:rPr>
          <w:rFonts w:eastAsia="Times New Roman"/>
          <w:i/>
          <w:lang w:val="uk-UA"/>
        </w:rPr>
        <w:t>Khamidov v. Russia</w:t>
      </w:r>
      <w:r w:rsidRPr="009A3F85">
        <w:rPr>
          <w:rFonts w:eastAsia="Times New Roman"/>
          <w:lang w:val="uk-UA"/>
        </w:rPr>
        <w:t>), заява № 72118/01, п. 170, від 15 листопада 2007; та «Анджелькович проти Сербії» (</w:t>
      </w:r>
      <w:r w:rsidRPr="009A3F85">
        <w:rPr>
          <w:i/>
          <w:lang w:val="uk-UA"/>
        </w:rPr>
        <w:t>Anđelković v. Serbia</w:t>
      </w:r>
      <w:r w:rsidRPr="009A3F85">
        <w:rPr>
          <w:lang w:val="uk-UA"/>
        </w:rPr>
        <w:t>), заява № 1401/08</w:t>
      </w:r>
      <w:r w:rsidRPr="009A3F85">
        <w:rPr>
          <w:snapToGrid w:val="0"/>
          <w:lang w:val="uk-UA"/>
        </w:rPr>
        <w:t>, п. 24, від 9 квітня 2013 року).</w:t>
      </w:r>
    </w:p>
    <w:p w:rsidRPr="009A3F85" w:rsidR="006D147C" w:rsidP="009A3F85">
      <w:pPr>
        <w:pStyle w:val="ECHRPara"/>
        <w:rPr>
          <w:rFonts w:eastAsia="Times New Roman"/>
          <w:lang w:val="uk-UA"/>
        </w:rPr>
      </w:pPr>
      <w:r w:rsidRPr="009A3F85">
        <w:rPr>
          <w:rFonts w:eastAsia="Times New Roman"/>
          <w:lang w:val="uk-UA"/>
        </w:rPr>
        <w:fldChar w:fldCharType="begin"/>
      </w:r>
      <w:r w:rsidRPr="009A3F85">
        <w:rPr>
          <w:rFonts w:eastAsia="Times New Roman"/>
          <w:lang w:val="uk-UA"/>
        </w:rPr>
        <w:instrText xml:space="preserve"> SEQ level0 \*arabic </w:instrText>
      </w:r>
      <w:r w:rsidRPr="009A3F85">
        <w:rPr>
          <w:rFonts w:eastAsia="Times New Roman"/>
          <w:lang w:val="uk-UA"/>
        </w:rPr>
        <w:fldChar w:fldCharType="separate"/>
      </w:r>
      <w:r w:rsidRPr="009A3F85" w:rsidR="009A3F85">
        <w:rPr>
          <w:rFonts w:eastAsia="Times New Roman"/>
          <w:noProof/>
          <w:lang w:val="uk-UA"/>
        </w:rPr>
        <w:t>62</w:t>
      </w:r>
      <w:r w:rsidRPr="009A3F85">
        <w:rPr>
          <w:rFonts w:eastAsia="Times New Roman"/>
          <w:lang w:val="uk-UA"/>
        </w:rPr>
        <w:fldChar w:fldCharType="end"/>
      </w:r>
      <w:r w:rsidRPr="009A3F85">
        <w:rPr>
          <w:rFonts w:eastAsia="Times New Roman"/>
          <w:lang w:val="uk-UA"/>
        </w:rPr>
        <w:t>.  </w:t>
      </w:r>
      <w:r w:rsidRPr="009A3F85" w:rsidR="003968D6">
        <w:rPr>
          <w:rFonts w:eastAsia="Times New Roman"/>
          <w:lang w:val="uk-UA"/>
        </w:rPr>
        <w:t>Так</w:t>
      </w:r>
      <w:r w:rsidRPr="009A3F85" w:rsidR="00DA4CA5">
        <w:rPr>
          <w:rFonts w:eastAsia="Times New Roman"/>
          <w:lang w:val="uk-UA"/>
        </w:rPr>
        <w:t>,</w:t>
      </w:r>
      <w:r w:rsidRPr="009A3F85">
        <w:rPr>
          <w:rFonts w:eastAsia="Times New Roman"/>
          <w:lang w:val="uk-UA"/>
        </w:rPr>
        <w:t xml:space="preserve"> у рішенні у справі </w:t>
      </w:r>
      <w:r w:rsidRPr="009A3F85">
        <w:rPr>
          <w:lang w:val="uk-UA"/>
        </w:rPr>
        <w:t>«Дюлоран проти Франції» ((</w:t>
      </w:r>
      <w:r w:rsidRPr="009A3F85">
        <w:rPr>
          <w:i/>
          <w:lang w:val="uk-UA"/>
        </w:rPr>
        <w:t>Dulaurans v. France</w:t>
      </w:r>
      <w:r w:rsidRPr="009A3F85">
        <w:rPr>
          <w:lang w:val="uk-UA"/>
        </w:rPr>
        <w:t xml:space="preserve">) Суд </w:t>
      </w:r>
      <w:r w:rsidRPr="009A3F85">
        <w:rPr>
          <w:rFonts w:eastAsia="Times New Roman"/>
          <w:lang w:val="uk-UA"/>
        </w:rPr>
        <w:t>встановив порушення права на справедливий суд, оскільки єдиною причиною, чому касаційний суд Франції ухвалив оскаржуване рішення</w:t>
      </w:r>
      <w:r w:rsidRPr="009A3F85" w:rsidR="003968D6">
        <w:rPr>
          <w:rFonts w:eastAsia="Times New Roman"/>
          <w:lang w:val="uk-UA"/>
        </w:rPr>
        <w:t xml:space="preserve"> про</w:t>
      </w:r>
      <w:r w:rsidRPr="009A3F85">
        <w:rPr>
          <w:rFonts w:eastAsia="Times New Roman"/>
          <w:lang w:val="uk-UA"/>
        </w:rPr>
        <w:t xml:space="preserve"> </w:t>
      </w:r>
      <w:r w:rsidRPr="009A3F85" w:rsidR="003968D6">
        <w:rPr>
          <w:rFonts w:eastAsia="Times New Roman"/>
          <w:lang w:val="uk-UA"/>
        </w:rPr>
        <w:t xml:space="preserve">залишення </w:t>
      </w:r>
      <w:r w:rsidRPr="009A3F85">
        <w:rPr>
          <w:rFonts w:eastAsia="Times New Roman"/>
          <w:lang w:val="uk-UA"/>
        </w:rPr>
        <w:t>касаційн</w:t>
      </w:r>
      <w:r w:rsidRPr="009A3F85" w:rsidR="003968D6">
        <w:rPr>
          <w:rFonts w:eastAsia="Times New Roman"/>
          <w:lang w:val="uk-UA"/>
        </w:rPr>
        <w:t>ої</w:t>
      </w:r>
      <w:r w:rsidRPr="009A3F85">
        <w:rPr>
          <w:rFonts w:eastAsia="Times New Roman"/>
          <w:lang w:val="uk-UA"/>
        </w:rPr>
        <w:t xml:space="preserve"> скарг</w:t>
      </w:r>
      <w:r w:rsidRPr="009A3F85" w:rsidR="003968D6">
        <w:rPr>
          <w:rFonts w:eastAsia="Times New Roman"/>
          <w:lang w:val="uk-UA"/>
        </w:rPr>
        <w:t>и</w:t>
      </w:r>
      <w:r w:rsidRPr="009A3F85">
        <w:rPr>
          <w:rFonts w:eastAsia="Times New Roman"/>
          <w:lang w:val="uk-UA"/>
        </w:rPr>
        <w:t xml:space="preserve"> заявниці</w:t>
      </w:r>
      <w:r w:rsidRPr="009A3F85" w:rsidR="00DA4CA5">
        <w:rPr>
          <w:rFonts w:eastAsia="Times New Roman"/>
          <w:lang w:val="uk-UA"/>
        </w:rPr>
        <w:t xml:space="preserve"> без задоволення</w:t>
      </w:r>
      <w:r w:rsidRPr="009A3F85">
        <w:rPr>
          <w:rFonts w:eastAsia="Times New Roman"/>
          <w:lang w:val="uk-UA"/>
        </w:rPr>
        <w:t xml:space="preserve"> як неприйнятн</w:t>
      </w:r>
      <w:r w:rsidRPr="009A3F85" w:rsidR="003968D6">
        <w:rPr>
          <w:rFonts w:eastAsia="Times New Roman"/>
          <w:lang w:val="uk-UA"/>
        </w:rPr>
        <w:t>ої</w:t>
      </w:r>
      <w:r w:rsidRPr="009A3F85">
        <w:rPr>
          <w:rFonts w:eastAsia="Times New Roman"/>
          <w:lang w:val="uk-UA"/>
        </w:rPr>
        <w:t>, був результат «</w:t>
      </w:r>
      <w:r w:rsidRPr="009A3F85">
        <w:rPr>
          <w:rFonts w:eastAsia="Times New Roman"/>
          <w:i/>
          <w:lang w:val="uk-UA"/>
        </w:rPr>
        <w:t>une erreur manifeste d</w:t>
      </w:r>
      <w:r w:rsidRPr="009A3F85" w:rsidR="009A3F85">
        <w:rPr>
          <w:rFonts w:eastAsia="Times New Roman"/>
          <w:i/>
          <w:lang w:val="uk-UA"/>
        </w:rPr>
        <w:t>’</w:t>
      </w:r>
      <w:r w:rsidRPr="009A3F85">
        <w:rPr>
          <w:rFonts w:eastAsia="Times New Roman"/>
          <w:i/>
          <w:lang w:val="uk-UA"/>
        </w:rPr>
        <w:t>appréciation</w:t>
      </w:r>
      <w:r w:rsidRPr="009A3F85">
        <w:rPr>
          <w:rFonts w:eastAsia="Times New Roman"/>
          <w:lang w:val="uk-UA"/>
        </w:rPr>
        <w:t xml:space="preserve">» («явної помилки в оцінці») (див. вищенаведене рішення у справі </w:t>
      </w:r>
      <w:r w:rsidRPr="009A3F85">
        <w:rPr>
          <w:lang w:val="uk-UA"/>
        </w:rPr>
        <w:t>«Дюлоран проти Франції» ((</w:t>
      </w:r>
      <w:r w:rsidRPr="009A3F85">
        <w:rPr>
          <w:i/>
          <w:lang w:val="uk-UA"/>
        </w:rPr>
        <w:t>Dulaurans v. France</w:t>
      </w:r>
      <w:r w:rsidRPr="009A3F85">
        <w:rPr>
          <w:lang w:val="uk-UA"/>
        </w:rPr>
        <w:t>)</w:t>
      </w:r>
      <w:r w:rsidRPr="009A3F85">
        <w:rPr>
          <w:rFonts w:eastAsia="Times New Roman"/>
          <w:lang w:val="uk-UA"/>
        </w:rPr>
        <w:t>). Іде</w:t>
      </w:r>
      <w:r w:rsidRPr="009A3F85" w:rsidR="003968D6">
        <w:rPr>
          <w:rFonts w:eastAsia="Times New Roman"/>
          <w:lang w:val="uk-UA"/>
        </w:rPr>
        <w:t>я</w:t>
      </w:r>
      <w:r w:rsidRPr="009A3F85">
        <w:rPr>
          <w:rFonts w:eastAsia="Times New Roman"/>
          <w:lang w:val="uk-UA"/>
        </w:rPr>
        <w:t>, що леж</w:t>
      </w:r>
      <w:r w:rsidRPr="009A3F85" w:rsidR="003968D6">
        <w:rPr>
          <w:rFonts w:eastAsia="Times New Roman"/>
          <w:lang w:val="uk-UA"/>
        </w:rPr>
        <w:t>и</w:t>
      </w:r>
      <w:r w:rsidRPr="009A3F85">
        <w:rPr>
          <w:rFonts w:eastAsia="Times New Roman"/>
          <w:lang w:val="uk-UA"/>
        </w:rPr>
        <w:t>ть в основі цього поняття «</w:t>
      </w:r>
      <w:r w:rsidRPr="009A3F85">
        <w:rPr>
          <w:rFonts w:eastAsia="Times New Roman"/>
          <w:i/>
          <w:lang w:val="uk-UA"/>
        </w:rPr>
        <w:t>erreur manifeste d</w:t>
      </w:r>
      <w:r w:rsidRPr="009A3F85" w:rsidR="009A3F85">
        <w:rPr>
          <w:rFonts w:eastAsia="Times New Roman"/>
          <w:i/>
          <w:lang w:val="uk-UA"/>
        </w:rPr>
        <w:t>’</w:t>
      </w:r>
      <w:r w:rsidRPr="009A3F85">
        <w:rPr>
          <w:rFonts w:eastAsia="Times New Roman"/>
          <w:i/>
          <w:lang w:val="uk-UA"/>
        </w:rPr>
        <w:t>appréciation</w:t>
      </w:r>
      <w:r w:rsidRPr="009A3F85">
        <w:rPr>
          <w:rFonts w:eastAsia="Times New Roman"/>
          <w:lang w:val="uk-UA"/>
        </w:rPr>
        <w:t>» (</w:t>
      </w:r>
      <w:r w:rsidRPr="009A3F85" w:rsidR="00173126">
        <w:rPr>
          <w:rFonts w:eastAsia="Times New Roman"/>
          <w:lang w:val="uk-UA"/>
        </w:rPr>
        <w:t xml:space="preserve">концепція </w:t>
      </w:r>
      <w:r w:rsidRPr="009A3F85">
        <w:rPr>
          <w:rFonts w:eastAsia="Times New Roman"/>
          <w:lang w:val="uk-UA"/>
        </w:rPr>
        <w:t>адміністративного права Франції) у тому вигляді, в якому воно використовується у контексті пункту 1 статті 6 Конвенції, безсумнівно поляга</w:t>
      </w:r>
      <w:r w:rsidRPr="009A3F85" w:rsidR="003968D6">
        <w:rPr>
          <w:rFonts w:eastAsia="Times New Roman"/>
          <w:lang w:val="uk-UA"/>
        </w:rPr>
        <w:t>є</w:t>
      </w:r>
      <w:r w:rsidRPr="009A3F85">
        <w:rPr>
          <w:rFonts w:eastAsia="Times New Roman"/>
          <w:lang w:val="uk-UA"/>
        </w:rPr>
        <w:t xml:space="preserve"> </w:t>
      </w:r>
      <w:r w:rsidRPr="009A3F85" w:rsidR="003968D6">
        <w:rPr>
          <w:rFonts w:eastAsia="Times New Roman"/>
          <w:lang w:val="uk-UA"/>
        </w:rPr>
        <w:t>у</w:t>
      </w:r>
      <w:r w:rsidRPr="009A3F85">
        <w:rPr>
          <w:rFonts w:eastAsia="Times New Roman"/>
          <w:lang w:val="uk-UA"/>
        </w:rPr>
        <w:t xml:space="preserve"> тому, що, якщо помилка національного суду </w:t>
      </w:r>
      <w:r w:rsidRPr="009A3F85" w:rsidR="00DA4CA5">
        <w:rPr>
          <w:rFonts w:eastAsia="Times New Roman"/>
          <w:lang w:val="uk-UA"/>
        </w:rPr>
        <w:t xml:space="preserve">щодо питань </w:t>
      </w:r>
      <w:r w:rsidRPr="009A3F85">
        <w:rPr>
          <w:rFonts w:eastAsia="Times New Roman"/>
          <w:lang w:val="uk-UA"/>
        </w:rPr>
        <w:t xml:space="preserve">права або факту є </w:t>
      </w:r>
      <w:r w:rsidRPr="009A3F85" w:rsidR="00DA4CA5">
        <w:rPr>
          <w:rFonts w:eastAsia="Times New Roman"/>
          <w:lang w:val="uk-UA"/>
        </w:rPr>
        <w:t>настільки очевидною</w:t>
      </w:r>
      <w:r w:rsidRPr="009A3F85">
        <w:rPr>
          <w:rFonts w:eastAsia="Times New Roman"/>
          <w:lang w:val="uk-UA"/>
        </w:rPr>
        <w:t xml:space="preserve">, що її </w:t>
      </w:r>
      <w:r w:rsidRPr="009A3F85" w:rsidR="00DA4CA5">
        <w:rPr>
          <w:rFonts w:eastAsia="Times New Roman"/>
          <w:lang w:val="uk-UA"/>
        </w:rPr>
        <w:t xml:space="preserve">можна </w:t>
      </w:r>
      <w:r w:rsidRPr="009A3F85">
        <w:rPr>
          <w:rFonts w:eastAsia="Times New Roman"/>
          <w:lang w:val="uk-UA"/>
        </w:rPr>
        <w:t xml:space="preserve">кваліфікувати як «явну помилку» (тобто помилку, якої не міг би припустися </w:t>
      </w:r>
      <w:r w:rsidRPr="009A3F85" w:rsidR="00DA4CA5">
        <w:rPr>
          <w:rFonts w:eastAsia="Times New Roman"/>
          <w:lang w:val="uk-UA"/>
        </w:rPr>
        <w:t xml:space="preserve">розумний </w:t>
      </w:r>
      <w:r w:rsidRPr="009A3F85">
        <w:rPr>
          <w:rFonts w:eastAsia="Times New Roman"/>
          <w:lang w:val="uk-UA"/>
        </w:rPr>
        <w:t xml:space="preserve">суд), вона може порушити справедливість провадження. У рішенні у справі </w:t>
      </w:r>
      <w:r w:rsidRPr="009A3F85">
        <w:rPr>
          <w:lang w:val="uk-UA"/>
        </w:rPr>
        <w:t>«Хамідов проти Росії» (</w:t>
      </w:r>
      <w:r w:rsidRPr="009A3F85">
        <w:rPr>
          <w:rFonts w:eastAsia="Times New Roman"/>
          <w:i/>
          <w:lang w:val="uk-UA"/>
        </w:rPr>
        <w:t>Khamidov v. Russia</w:t>
      </w:r>
      <w:r w:rsidRPr="009A3F85">
        <w:rPr>
          <w:rFonts w:eastAsia="Times New Roman"/>
          <w:lang w:val="uk-UA"/>
        </w:rPr>
        <w:t xml:space="preserve">) безпідставність висновку національних судів щодо фактів була «такою разючою та </w:t>
      </w:r>
      <w:r w:rsidRPr="009A3F85" w:rsidR="003968D6">
        <w:rPr>
          <w:rFonts w:eastAsia="Times New Roman"/>
          <w:lang w:val="uk-UA"/>
        </w:rPr>
        <w:t>відчутною</w:t>
      </w:r>
      <w:r w:rsidRPr="009A3F85">
        <w:rPr>
          <w:rFonts w:eastAsia="Times New Roman"/>
          <w:lang w:val="uk-UA"/>
        </w:rPr>
        <w:t xml:space="preserve">», що Суд постановив, що провадження, на яке скаржився заявник, мало вважатися «грубим свавіллям» (див. вищенаведене рішення у справі </w:t>
      </w:r>
      <w:r w:rsidRPr="009A3F85">
        <w:rPr>
          <w:lang w:val="uk-UA"/>
        </w:rPr>
        <w:t>«Хамідов проти Росії» (</w:t>
      </w:r>
      <w:r w:rsidRPr="009A3F85">
        <w:rPr>
          <w:rFonts w:eastAsia="Times New Roman"/>
          <w:i/>
          <w:lang w:val="uk-UA"/>
        </w:rPr>
        <w:t>Khamidov v. Russia</w:t>
      </w:r>
      <w:r w:rsidRPr="009A3F85">
        <w:rPr>
          <w:rFonts w:eastAsia="Times New Roman"/>
          <w:lang w:val="uk-UA"/>
        </w:rPr>
        <w:t>), п. 174). У рішенні у справі «Анджелькович проти Сербії» (</w:t>
      </w:r>
      <w:r w:rsidRPr="009A3F85">
        <w:rPr>
          <w:i/>
          <w:lang w:val="uk-UA"/>
        </w:rPr>
        <w:t>Anđelković v. Serbia</w:t>
      </w:r>
      <w:r w:rsidRPr="009A3F85">
        <w:rPr>
          <w:lang w:val="uk-UA"/>
        </w:rPr>
        <w:t>)</w:t>
      </w:r>
      <w:r w:rsidRPr="009A3F85">
        <w:rPr>
          <w:rFonts w:eastAsia="Times New Roman"/>
          <w:lang w:val="uk-UA"/>
        </w:rPr>
        <w:t xml:space="preserve"> Суд встановив, що свавільність рішення національного суду, яке в принципі не мало правових підстав за національним законодавством та не </w:t>
      </w:r>
      <w:r w:rsidRPr="009A3F85" w:rsidR="00173126">
        <w:rPr>
          <w:rFonts w:eastAsia="Times New Roman"/>
          <w:lang w:val="uk-UA"/>
        </w:rPr>
        <w:t xml:space="preserve">мало </w:t>
      </w:r>
      <w:r w:rsidRPr="009A3F85">
        <w:rPr>
          <w:rFonts w:eastAsia="Times New Roman"/>
          <w:lang w:val="uk-UA"/>
        </w:rPr>
        <w:t>жодного зв</w:t>
      </w:r>
      <w:r w:rsidRPr="009A3F85" w:rsidR="009A3F85">
        <w:rPr>
          <w:rFonts w:eastAsia="Times New Roman"/>
          <w:lang w:val="uk-UA"/>
        </w:rPr>
        <w:t>’</w:t>
      </w:r>
      <w:r w:rsidRPr="009A3F85">
        <w:rPr>
          <w:rFonts w:eastAsia="Times New Roman"/>
          <w:lang w:val="uk-UA"/>
        </w:rPr>
        <w:t xml:space="preserve">язку </w:t>
      </w:r>
      <w:r w:rsidRPr="009A3F85" w:rsidR="00DA4CA5">
        <w:rPr>
          <w:rFonts w:eastAsia="Times New Roman"/>
          <w:lang w:val="uk-UA"/>
        </w:rPr>
        <w:t xml:space="preserve">між </w:t>
      </w:r>
      <w:r w:rsidRPr="009A3F85">
        <w:rPr>
          <w:rFonts w:eastAsia="Times New Roman"/>
          <w:lang w:val="uk-UA"/>
        </w:rPr>
        <w:t>встановленими фактами, застосовним правом та результатами провадження, становила «відмову у правосудді» (див. вищенаведене рішення у справі «Анджелькович проти Сербії» (</w:t>
      </w:r>
      <w:r w:rsidRPr="009A3F85">
        <w:rPr>
          <w:i/>
          <w:lang w:val="uk-UA"/>
        </w:rPr>
        <w:t>Anđelković v. Serbia</w:t>
      </w:r>
      <w:r w:rsidRPr="009A3F85">
        <w:rPr>
          <w:lang w:val="uk-UA"/>
        </w:rPr>
        <w:t>)</w:t>
      </w:r>
      <w:r w:rsidRPr="009A3F85">
        <w:rPr>
          <w:snapToGrid w:val="0"/>
          <w:lang w:val="uk-UA"/>
        </w:rPr>
        <w:t>, п. 27</w:t>
      </w:r>
      <w:r w:rsidRPr="009A3F85">
        <w:rPr>
          <w:rFonts w:eastAsia="Times New Roman"/>
          <w:lang w:val="uk-UA"/>
        </w:rPr>
        <w:t>).</w:t>
      </w:r>
    </w:p>
    <w:p w:rsidRPr="009A3F85" w:rsidR="006D147C" w:rsidP="009A3F85">
      <w:pPr>
        <w:pStyle w:val="ECHRPara"/>
        <w:rPr>
          <w:rFonts w:eastAsia="Times New Roman"/>
          <w:lang w:val="uk-UA"/>
        </w:rPr>
      </w:pPr>
      <w:r w:rsidRPr="009A3F85">
        <w:rPr>
          <w:rFonts w:eastAsia="Times New Roman"/>
          <w:lang w:val="uk-UA"/>
        </w:rPr>
        <w:fldChar w:fldCharType="begin"/>
      </w:r>
      <w:r w:rsidRPr="009A3F85">
        <w:rPr>
          <w:rFonts w:eastAsia="Times New Roman"/>
          <w:lang w:val="uk-UA"/>
        </w:rPr>
        <w:instrText xml:space="preserve"> SEQ level0 \*arabic </w:instrText>
      </w:r>
      <w:r w:rsidRPr="009A3F85">
        <w:rPr>
          <w:rFonts w:eastAsia="Times New Roman"/>
          <w:lang w:val="uk-UA"/>
        </w:rPr>
        <w:fldChar w:fldCharType="separate"/>
      </w:r>
      <w:r w:rsidRPr="009A3F85" w:rsidR="009A3F85">
        <w:rPr>
          <w:rFonts w:eastAsia="Times New Roman"/>
          <w:noProof/>
          <w:lang w:val="uk-UA"/>
        </w:rPr>
        <w:t>63</w:t>
      </w:r>
      <w:r w:rsidRPr="009A3F85">
        <w:rPr>
          <w:rFonts w:eastAsia="Times New Roman"/>
          <w:lang w:val="uk-UA"/>
        </w:rPr>
        <w:fldChar w:fldCharType="end"/>
      </w:r>
      <w:r w:rsidRPr="009A3F85">
        <w:rPr>
          <w:rFonts w:eastAsia="Times New Roman"/>
          <w:lang w:val="uk-UA"/>
        </w:rPr>
        <w:t xml:space="preserve">.  У цій справі Суд зазначає, що у своїй ухвалі від 14 березня 2008 року Верховний Суд України грубо викривив висновки </w:t>
      </w:r>
      <w:r w:rsidRPr="009A3F85" w:rsidR="00173126">
        <w:rPr>
          <w:rFonts w:eastAsia="Times New Roman"/>
          <w:lang w:val="uk-UA"/>
        </w:rPr>
        <w:t xml:space="preserve">рішення </w:t>
      </w:r>
      <w:r w:rsidRPr="009A3F85">
        <w:rPr>
          <w:rFonts w:eastAsia="Times New Roman"/>
          <w:lang w:val="uk-UA"/>
        </w:rPr>
        <w:t xml:space="preserve">Суду від 3 травня 2007 року. Зокрема, Верховний Суд України </w:t>
      </w:r>
      <w:r w:rsidRPr="009A3F85" w:rsidR="00DA4CA5">
        <w:rPr>
          <w:rFonts w:eastAsia="Times New Roman"/>
          <w:lang w:val="uk-UA"/>
        </w:rPr>
        <w:t>зазначив</w:t>
      </w:r>
      <w:r w:rsidRPr="009A3F85">
        <w:rPr>
          <w:rFonts w:eastAsia="Times New Roman"/>
          <w:lang w:val="uk-UA"/>
        </w:rPr>
        <w:t>, що Суд встановив, що рішення національних судів у справі заявниці були законними та обґрунтованими і що їй було присуджено відшкодування у зв</w:t>
      </w:r>
      <w:r w:rsidRPr="009A3F85" w:rsidR="009A3F85">
        <w:rPr>
          <w:rFonts w:eastAsia="Times New Roman"/>
          <w:lang w:val="uk-UA"/>
        </w:rPr>
        <w:t>’</w:t>
      </w:r>
      <w:r w:rsidRPr="009A3F85">
        <w:rPr>
          <w:rFonts w:eastAsia="Times New Roman"/>
          <w:lang w:val="uk-UA"/>
        </w:rPr>
        <w:t xml:space="preserve">язку з порушенням гарантії щодо </w:t>
      </w:r>
      <w:r w:rsidRPr="009A3F85">
        <w:rPr>
          <w:rFonts w:eastAsia="Times New Roman"/>
          <w:lang w:val="uk-UA"/>
        </w:rPr>
        <w:t xml:space="preserve">«розумного строку», </w:t>
      </w:r>
      <w:r w:rsidRPr="009A3F85" w:rsidR="00DA4CA5">
        <w:rPr>
          <w:rFonts w:eastAsia="Times New Roman"/>
          <w:lang w:val="uk-UA"/>
        </w:rPr>
        <w:t>а ці</w:t>
      </w:r>
      <w:r w:rsidRPr="009A3F85">
        <w:rPr>
          <w:rFonts w:eastAsia="Times New Roman"/>
          <w:lang w:val="uk-UA"/>
        </w:rPr>
        <w:t xml:space="preserve"> твердження є явно некоректними (див. пункти 13-18 та 21).</w:t>
      </w:r>
    </w:p>
    <w:p w:rsidRPr="009A3F85" w:rsidR="006D147C" w:rsidP="009A3F85">
      <w:pPr>
        <w:pStyle w:val="ECHRPara"/>
        <w:rPr>
          <w:rFonts w:eastAsia="Times New Roman"/>
          <w:lang w:val="uk-UA"/>
        </w:rPr>
      </w:pPr>
      <w:r w:rsidRPr="009A3F85">
        <w:rPr>
          <w:rFonts w:eastAsia="Times New Roman"/>
          <w:lang w:val="uk-UA"/>
        </w:rPr>
        <w:fldChar w:fldCharType="begin"/>
      </w:r>
      <w:r w:rsidRPr="009A3F85">
        <w:rPr>
          <w:rFonts w:eastAsia="Times New Roman"/>
          <w:lang w:val="uk-UA"/>
        </w:rPr>
        <w:instrText xml:space="preserve"> SEQ level0 \*arabic </w:instrText>
      </w:r>
      <w:r w:rsidRPr="009A3F85">
        <w:rPr>
          <w:rFonts w:eastAsia="Times New Roman"/>
          <w:lang w:val="uk-UA"/>
        </w:rPr>
        <w:fldChar w:fldCharType="separate"/>
      </w:r>
      <w:r w:rsidRPr="009A3F85" w:rsidR="009A3F85">
        <w:rPr>
          <w:rFonts w:eastAsia="Times New Roman"/>
          <w:noProof/>
          <w:lang w:val="uk-UA"/>
        </w:rPr>
        <w:t>64</w:t>
      </w:r>
      <w:r w:rsidRPr="009A3F85">
        <w:rPr>
          <w:rFonts w:eastAsia="Times New Roman"/>
          <w:lang w:val="uk-UA"/>
        </w:rPr>
        <w:fldChar w:fldCharType="end"/>
      </w:r>
      <w:r w:rsidRPr="009A3F85">
        <w:rPr>
          <w:rFonts w:eastAsia="Times New Roman"/>
          <w:lang w:val="uk-UA"/>
        </w:rPr>
        <w:t>.  Суд зауважує, що обґрунтування Верховного Суду України становило не просто інш</w:t>
      </w:r>
      <w:r w:rsidRPr="009A3F85" w:rsidR="00DA4CA5">
        <w:rPr>
          <w:rFonts w:eastAsia="Times New Roman"/>
          <w:lang w:val="uk-UA"/>
        </w:rPr>
        <w:t>е розуміння</w:t>
      </w:r>
      <w:r w:rsidRPr="009A3F85">
        <w:rPr>
          <w:rFonts w:eastAsia="Times New Roman"/>
          <w:lang w:val="uk-UA"/>
        </w:rPr>
        <w:t xml:space="preserve"> правового документу. Суд вважає, що </w:t>
      </w:r>
      <w:r w:rsidRPr="009A3F85" w:rsidR="00DA4CA5">
        <w:rPr>
          <w:rFonts w:eastAsia="Times New Roman"/>
          <w:lang w:val="uk-UA"/>
        </w:rPr>
        <w:t xml:space="preserve">обґрунтування Верховного Суду України </w:t>
      </w:r>
      <w:r w:rsidRPr="009A3F85">
        <w:rPr>
          <w:rFonts w:eastAsia="Times New Roman"/>
          <w:lang w:val="uk-UA"/>
        </w:rPr>
        <w:t xml:space="preserve">можна тлумачити лише як «грубе свавілля» або «відмову </w:t>
      </w:r>
      <w:r w:rsidRPr="009A3F85" w:rsidR="00DA4CA5">
        <w:rPr>
          <w:rFonts w:eastAsia="Times New Roman"/>
          <w:lang w:val="uk-UA"/>
        </w:rPr>
        <w:t>у</w:t>
      </w:r>
      <w:r w:rsidRPr="009A3F85">
        <w:rPr>
          <w:rFonts w:eastAsia="Times New Roman"/>
          <w:lang w:val="uk-UA"/>
        </w:rPr>
        <w:t xml:space="preserve"> правосудді» у тому розумінні, що викривлений виклад рішення 2007 року у першій справі «Бочан проти України» (</w:t>
      </w:r>
      <w:r w:rsidRPr="009A3F85">
        <w:rPr>
          <w:rFonts w:eastAsia="Times New Roman"/>
          <w:i/>
          <w:lang w:val="uk-UA"/>
        </w:rPr>
        <w:t>Bochan</w:t>
      </w:r>
      <w:r w:rsidRPr="009A3F85" w:rsidR="00173126">
        <w:rPr>
          <w:rFonts w:eastAsia="Times New Roman"/>
          <w:i/>
          <w:lang w:val="uk-UA"/>
        </w:rPr>
        <w:t xml:space="preserve"> </w:t>
      </w:r>
      <w:r w:rsidRPr="009A3F85">
        <w:rPr>
          <w:rFonts w:eastAsia="Times New Roman"/>
          <w:i/>
          <w:lang w:val="uk-UA"/>
        </w:rPr>
        <w:t>v. Ukraine</w:t>
      </w:r>
      <w:r w:rsidRPr="009A3F85">
        <w:rPr>
          <w:rFonts w:eastAsia="Times New Roman"/>
          <w:lang w:val="uk-UA"/>
        </w:rPr>
        <w:t xml:space="preserve">) </w:t>
      </w:r>
      <w:r w:rsidRPr="009A3F85" w:rsidR="00173126">
        <w:rPr>
          <w:rFonts w:eastAsia="Times New Roman"/>
          <w:lang w:val="uk-UA"/>
        </w:rPr>
        <w:t>призвів до</w:t>
      </w:r>
      <w:r w:rsidRPr="009A3F85">
        <w:rPr>
          <w:rFonts w:eastAsia="Times New Roman"/>
          <w:lang w:val="uk-UA"/>
        </w:rPr>
        <w:t xml:space="preserve"> руйнування намагань заявниці домогтися</w:t>
      </w:r>
      <w:r w:rsidRPr="009A3F85" w:rsidR="00DA4CA5">
        <w:rPr>
          <w:rFonts w:eastAsia="Times New Roman"/>
          <w:lang w:val="uk-UA" w:eastAsia="fr-FR"/>
        </w:rPr>
        <w:t xml:space="preserve"> </w:t>
      </w:r>
      <w:r w:rsidRPr="009A3F85" w:rsidR="00173126">
        <w:rPr>
          <w:rFonts w:eastAsia="Times New Roman"/>
          <w:lang w:val="uk-UA"/>
        </w:rPr>
        <w:t>розгляду</w:t>
      </w:r>
      <w:r w:rsidRPr="009A3F85" w:rsidR="00625F96">
        <w:rPr>
          <w:rFonts w:eastAsia="Times New Roman"/>
          <w:lang w:val="uk-UA"/>
        </w:rPr>
        <w:t xml:space="preserve"> у рамках передбаченої національним законодавством процедури касаційного типу</w:t>
      </w:r>
      <w:r w:rsidRPr="009A3F85">
        <w:rPr>
          <w:rFonts w:eastAsia="Times New Roman"/>
          <w:lang w:val="uk-UA"/>
        </w:rPr>
        <w:t xml:space="preserve"> її майнових вимог </w:t>
      </w:r>
      <w:r w:rsidRPr="009A3F85" w:rsidR="008D2EDE">
        <w:rPr>
          <w:rFonts w:eastAsia="Times New Roman"/>
          <w:lang w:val="uk-UA" w:eastAsia="fr-FR"/>
        </w:rPr>
        <w:t>на підставі</w:t>
      </w:r>
      <w:r w:rsidRPr="009A3F85">
        <w:rPr>
          <w:rFonts w:eastAsia="Times New Roman"/>
          <w:lang w:val="uk-UA" w:eastAsia="fr-FR"/>
        </w:rPr>
        <w:t xml:space="preserve"> рішення Суду у попередній справі </w:t>
      </w:r>
      <w:r w:rsidRPr="009A3F85">
        <w:rPr>
          <w:rFonts w:eastAsia="Times New Roman"/>
          <w:lang w:val="uk-UA"/>
        </w:rPr>
        <w:t>(див. пункти 51-53). У зв</w:t>
      </w:r>
      <w:r w:rsidRPr="009A3F85" w:rsidR="009A3F85">
        <w:rPr>
          <w:rFonts w:eastAsia="Times New Roman"/>
          <w:lang w:val="uk-UA"/>
        </w:rPr>
        <w:t>’</w:t>
      </w:r>
      <w:r w:rsidRPr="009A3F85">
        <w:rPr>
          <w:rFonts w:eastAsia="Times New Roman"/>
          <w:lang w:val="uk-UA"/>
        </w:rPr>
        <w:t xml:space="preserve">язку з цим слід зазначити, що у своєму рішенні 2007 року Суд встановив, що, зважаючи на обставини, за яких Верховний Суд України </w:t>
      </w:r>
      <w:r w:rsidRPr="009A3F85" w:rsidR="000D3E51">
        <w:rPr>
          <w:rFonts w:eastAsia="Times New Roman"/>
          <w:lang w:val="uk-UA" w:eastAsia="fr-FR"/>
        </w:rPr>
        <w:t>передавав</w:t>
      </w:r>
      <w:r w:rsidRPr="009A3F85" w:rsidR="008D2EDE">
        <w:rPr>
          <w:rFonts w:eastAsia="Times New Roman"/>
          <w:lang w:val="uk-UA" w:eastAsia="fr-FR"/>
        </w:rPr>
        <w:t xml:space="preserve"> справ</w:t>
      </w:r>
      <w:r w:rsidRPr="009A3F85" w:rsidR="000D3E51">
        <w:rPr>
          <w:rFonts w:eastAsia="Times New Roman"/>
          <w:lang w:val="uk-UA" w:eastAsia="fr-FR"/>
        </w:rPr>
        <w:t>у</w:t>
      </w:r>
      <w:r w:rsidRPr="009A3F85" w:rsidR="008D2EDE">
        <w:rPr>
          <w:rFonts w:eastAsia="Times New Roman"/>
          <w:lang w:val="uk-UA" w:eastAsia="fr-FR"/>
        </w:rPr>
        <w:t xml:space="preserve"> заявниці</w:t>
      </w:r>
      <w:r w:rsidRPr="009A3F85" w:rsidR="008D2EDE">
        <w:rPr>
          <w:rFonts w:eastAsia="Times New Roman"/>
          <w:lang w:val="uk-UA"/>
        </w:rPr>
        <w:t xml:space="preserve"> </w:t>
      </w:r>
      <w:r w:rsidRPr="009A3F85" w:rsidR="00173126">
        <w:rPr>
          <w:rFonts w:eastAsia="Times New Roman"/>
          <w:lang w:val="uk-UA"/>
        </w:rPr>
        <w:t xml:space="preserve">до </w:t>
      </w:r>
      <w:r w:rsidRPr="009A3F85">
        <w:rPr>
          <w:rFonts w:eastAsia="Times New Roman"/>
          <w:lang w:val="uk-UA"/>
        </w:rPr>
        <w:t>нижчестоящих суд</w:t>
      </w:r>
      <w:r w:rsidRPr="009A3F85" w:rsidR="000D3E51">
        <w:rPr>
          <w:rFonts w:eastAsia="Times New Roman"/>
          <w:lang w:val="uk-UA"/>
        </w:rPr>
        <w:t>ів</w:t>
      </w:r>
      <w:r w:rsidRPr="009A3F85">
        <w:rPr>
          <w:rFonts w:eastAsia="Times New Roman"/>
          <w:lang w:val="uk-UA"/>
        </w:rPr>
        <w:t>, сумніви заявниці щодо безсторонності суддів, які розглядали справу, включаючи суддів Верховного Суду України</w:t>
      </w:r>
      <w:r w:rsidRPr="009A3F85" w:rsidR="008D2EDE">
        <w:rPr>
          <w:rFonts w:eastAsia="Times New Roman"/>
          <w:lang w:val="uk-UA"/>
        </w:rPr>
        <w:t>,</w:t>
      </w:r>
      <w:r w:rsidRPr="009A3F85">
        <w:rPr>
          <w:rFonts w:eastAsia="Times New Roman"/>
          <w:lang w:val="uk-UA"/>
        </w:rPr>
        <w:t xml:space="preserve"> були об</w:t>
      </w:r>
      <w:r w:rsidRPr="009A3F85" w:rsidR="009A3F85">
        <w:rPr>
          <w:rFonts w:eastAsia="Times New Roman"/>
          <w:lang w:val="uk-UA"/>
        </w:rPr>
        <w:t>’</w:t>
      </w:r>
      <w:r w:rsidRPr="009A3F85">
        <w:rPr>
          <w:rFonts w:eastAsia="Times New Roman"/>
          <w:lang w:val="uk-UA"/>
        </w:rPr>
        <w:t>єктивно обґрунтованими (див. пункти 13-15).</w:t>
      </w:r>
    </w:p>
    <w:p w:rsidRPr="009A3F85" w:rsidR="006D147C" w:rsidP="009A3F85">
      <w:pPr>
        <w:pStyle w:val="ECHRPara"/>
        <w:rPr>
          <w:lang w:val="uk-UA"/>
        </w:rPr>
      </w:pPr>
      <w:r w:rsidRPr="009A3F85">
        <w:rPr>
          <w:rFonts w:eastAsia="Times New Roman"/>
          <w:lang w:val="uk-UA"/>
        </w:rPr>
        <w:fldChar w:fldCharType="begin"/>
      </w:r>
      <w:r w:rsidRPr="009A3F85">
        <w:rPr>
          <w:rFonts w:eastAsia="Times New Roman"/>
          <w:lang w:val="uk-UA" w:eastAsia="fr-FR"/>
        </w:rPr>
        <w:instrText xml:space="preserve"> SEQ level0 \*arabic </w:instrText>
      </w:r>
      <w:r w:rsidRPr="009A3F85">
        <w:rPr>
          <w:rFonts w:eastAsia="Times New Roman"/>
          <w:lang w:val="uk-UA"/>
        </w:rPr>
        <w:fldChar w:fldCharType="separate"/>
      </w:r>
      <w:r w:rsidRPr="009A3F85" w:rsidR="009A3F85">
        <w:rPr>
          <w:rFonts w:eastAsia="Times New Roman"/>
          <w:noProof/>
          <w:lang w:val="uk-UA" w:eastAsia="fr-FR"/>
        </w:rPr>
        <w:t>65</w:t>
      </w:r>
      <w:r w:rsidRPr="009A3F85">
        <w:rPr>
          <w:rFonts w:eastAsia="Times New Roman"/>
          <w:lang w:val="uk-UA"/>
        </w:rPr>
        <w:fldChar w:fldCharType="end"/>
      </w:r>
      <w:r w:rsidRPr="009A3F85">
        <w:rPr>
          <w:rFonts w:eastAsia="Times New Roman"/>
          <w:lang w:val="uk-UA" w:eastAsia="fr-FR"/>
        </w:rPr>
        <w:t xml:space="preserve">.  Відповідно, з огляду на висновки Суду щодо характеру та наслідків </w:t>
      </w:r>
      <w:r w:rsidRPr="009A3F85" w:rsidR="000D3E51">
        <w:rPr>
          <w:rFonts w:eastAsia="Times New Roman"/>
          <w:lang w:val="uk-UA" w:eastAsia="fr-FR"/>
        </w:rPr>
        <w:t xml:space="preserve">недоліків </w:t>
      </w:r>
      <w:r w:rsidRPr="009A3F85">
        <w:rPr>
          <w:rFonts w:eastAsia="Times New Roman"/>
          <w:lang w:val="uk-UA" w:eastAsia="fr-FR"/>
        </w:rPr>
        <w:t xml:space="preserve">ухвали Верховного Суду України від </w:t>
      </w:r>
      <w:r w:rsidRPr="009A3F85">
        <w:rPr>
          <w:rFonts w:eastAsia="Times New Roman"/>
          <w:lang w:val="uk-UA"/>
        </w:rPr>
        <w:t>14</w:t>
      </w:r>
      <w:r w:rsidRPr="009A3F85">
        <w:rPr>
          <w:rFonts w:eastAsia="Times New Roman"/>
          <w:lang w:val="uk-UA" w:eastAsia="fr-FR"/>
        </w:rPr>
        <w:t> </w:t>
      </w:r>
      <w:r w:rsidRPr="009A3F85">
        <w:rPr>
          <w:rFonts w:eastAsia="Times New Roman"/>
          <w:lang w:val="uk-UA"/>
        </w:rPr>
        <w:t>березня 2008 року</w:t>
      </w:r>
      <w:r w:rsidRPr="009A3F85" w:rsidR="000224C0">
        <w:rPr>
          <w:rFonts w:eastAsia="Times New Roman"/>
          <w:lang w:val="uk-UA" w:eastAsia="fr-FR"/>
        </w:rPr>
        <w:t xml:space="preserve"> (див. пункти 63-64)</w:t>
      </w:r>
      <w:r w:rsidRPr="009A3F85">
        <w:rPr>
          <w:rFonts w:eastAsia="Times New Roman"/>
          <w:lang w:val="uk-UA" w:eastAsia="fr-FR"/>
        </w:rPr>
        <w:t xml:space="preserve"> слід зробити висновок, що оскаржуване провадження не відповідало вимозі пункту</w:t>
      </w:r>
      <w:r w:rsidRPr="009A3F85">
        <w:rPr>
          <w:lang w:val="uk-UA"/>
        </w:rPr>
        <w:t> </w:t>
      </w:r>
      <w:r w:rsidRPr="009A3F85">
        <w:rPr>
          <w:rFonts w:eastAsia="Times New Roman"/>
          <w:lang w:val="uk-UA" w:eastAsia="fr-FR"/>
        </w:rPr>
        <w:t xml:space="preserve">1 статті 6 Конвенції щодо «справедливого суду» і що було порушення </w:t>
      </w:r>
      <w:r w:rsidRPr="009A3F85">
        <w:rPr>
          <w:lang w:val="uk-UA"/>
        </w:rPr>
        <w:t>цього положення</w:t>
      </w:r>
      <w:r w:rsidRPr="009A3F85">
        <w:rPr>
          <w:rFonts w:eastAsia="Times New Roman"/>
          <w:lang w:val="uk-UA" w:eastAsia="fr-FR"/>
        </w:rPr>
        <w:t>.</w:t>
      </w:r>
    </w:p>
    <w:p w:rsidRPr="009A3F85" w:rsidR="006D147C" w:rsidP="009A3F85">
      <w:pPr>
        <w:pStyle w:val="ECHRHeading2"/>
        <w:rPr>
          <w:lang w:val="uk-UA"/>
        </w:rPr>
      </w:pPr>
      <w:r w:rsidRPr="009A3F85">
        <w:rPr>
          <w:lang w:val="uk-UA"/>
        </w:rPr>
        <w:t>E.  Нова скарга заявниці у частині, що стосується статті 1 Першого протоколу</w:t>
      </w:r>
    </w:p>
    <w:p w:rsidRPr="009A3F85" w:rsidR="006D147C" w:rsidP="009A3F85">
      <w:pPr>
        <w:pStyle w:val="ECHRPara"/>
        <w:rPr>
          <w:rFonts w:eastAsia="Times New Roman"/>
          <w:lang w:val="uk-UA" w:eastAsia="fr-FR"/>
        </w:rPr>
      </w:pPr>
      <w:r w:rsidRPr="009A3F85">
        <w:rPr>
          <w:rFonts w:eastAsia="Times New Roman"/>
          <w:lang w:val="uk-UA" w:eastAsia="fr-FR"/>
        </w:rPr>
        <w:fldChar w:fldCharType="begin"/>
      </w:r>
      <w:r w:rsidRPr="009A3F85">
        <w:rPr>
          <w:rFonts w:eastAsia="Times New Roman"/>
          <w:lang w:val="uk-UA" w:eastAsia="fr-FR"/>
        </w:rPr>
        <w:instrText xml:space="preserve"> SEQ level0 \*arabic </w:instrText>
      </w:r>
      <w:r w:rsidRPr="009A3F85">
        <w:rPr>
          <w:rFonts w:eastAsia="Times New Roman"/>
          <w:lang w:val="uk-UA" w:eastAsia="fr-FR"/>
        </w:rPr>
        <w:fldChar w:fldCharType="separate"/>
      </w:r>
      <w:r w:rsidRPr="009A3F85" w:rsidR="009A3F85">
        <w:rPr>
          <w:rFonts w:eastAsia="Times New Roman"/>
          <w:noProof/>
          <w:lang w:val="uk-UA" w:eastAsia="fr-FR"/>
        </w:rPr>
        <w:t>66</w:t>
      </w:r>
      <w:r w:rsidRPr="009A3F85">
        <w:rPr>
          <w:rFonts w:eastAsia="Times New Roman"/>
          <w:lang w:val="uk-UA" w:eastAsia="fr-FR"/>
        </w:rPr>
        <w:fldChar w:fldCharType="end"/>
      </w:r>
      <w:r w:rsidRPr="009A3F85">
        <w:rPr>
          <w:rFonts w:eastAsia="Times New Roman"/>
          <w:lang w:val="uk-UA" w:eastAsia="fr-FR"/>
        </w:rPr>
        <w:t>.  Заявниця стверджувала, що у зв</w:t>
      </w:r>
      <w:r w:rsidRPr="009A3F85" w:rsidR="009A3F85">
        <w:rPr>
          <w:rFonts w:eastAsia="Times New Roman"/>
          <w:lang w:val="uk-UA" w:eastAsia="fr-FR"/>
        </w:rPr>
        <w:t>’</w:t>
      </w:r>
      <w:r w:rsidRPr="009A3F85">
        <w:rPr>
          <w:rFonts w:eastAsia="Times New Roman"/>
          <w:lang w:val="uk-UA" w:eastAsia="fr-FR"/>
        </w:rPr>
        <w:t>язку з провадженням за її скаргою у зв</w:t>
      </w:r>
      <w:r w:rsidRPr="009A3F85" w:rsidR="009A3F85">
        <w:rPr>
          <w:rFonts w:eastAsia="Times New Roman"/>
          <w:lang w:val="uk-UA" w:eastAsia="fr-FR"/>
        </w:rPr>
        <w:t>’</w:t>
      </w:r>
      <w:r w:rsidRPr="009A3F85">
        <w:rPr>
          <w:rFonts w:eastAsia="Times New Roman"/>
          <w:lang w:val="uk-UA" w:eastAsia="fr-FR"/>
        </w:rPr>
        <w:t>язку з винятковими обставинами</w:t>
      </w:r>
      <w:r w:rsidRPr="009A3F85" w:rsidR="00173126">
        <w:rPr>
          <w:rFonts w:eastAsia="Times New Roman"/>
          <w:lang w:val="uk-UA" w:eastAsia="fr-FR"/>
        </w:rPr>
        <w:t xml:space="preserve"> її було незаконно позбавлено майна</w:t>
      </w:r>
      <w:r w:rsidRPr="009A3F85">
        <w:rPr>
          <w:rFonts w:eastAsia="Times New Roman"/>
          <w:lang w:val="uk-UA" w:eastAsia="fr-FR"/>
        </w:rPr>
        <w:t>. Вона посилалася</w:t>
      </w:r>
      <w:r w:rsidRPr="009A3F85" w:rsidR="009A3F85">
        <w:rPr>
          <w:rFonts w:eastAsia="Times New Roman"/>
          <w:lang w:val="uk-UA" w:eastAsia="fr-FR"/>
        </w:rPr>
        <w:t xml:space="preserve"> </w:t>
      </w:r>
      <w:r w:rsidRPr="009A3F85">
        <w:rPr>
          <w:rFonts w:eastAsia="Times New Roman"/>
          <w:lang w:val="uk-UA" w:eastAsia="fr-FR"/>
        </w:rPr>
        <w:t>на статтю 1 Першого протоколу.</w:t>
      </w:r>
    </w:p>
    <w:p w:rsidRPr="009A3F85" w:rsidR="006D147C" w:rsidP="009A3F85">
      <w:pPr>
        <w:pStyle w:val="ECHRPara"/>
        <w:rPr>
          <w:lang w:val="uk-UA"/>
        </w:rPr>
      </w:pPr>
      <w:r w:rsidRPr="009A3F85">
        <w:rPr>
          <w:lang w:val="uk-UA"/>
        </w:rPr>
        <w:fldChar w:fldCharType="begin"/>
      </w:r>
      <w:r w:rsidRPr="009A3F85">
        <w:rPr>
          <w:lang w:val="uk-UA"/>
        </w:rPr>
        <w:instrText xml:space="preserve"> SEQ level0 \*arabic </w:instrText>
      </w:r>
      <w:r w:rsidRPr="009A3F85">
        <w:rPr>
          <w:lang w:val="uk-UA"/>
        </w:rPr>
        <w:fldChar w:fldCharType="separate"/>
      </w:r>
      <w:r w:rsidRPr="009A3F85" w:rsidR="009A3F85">
        <w:rPr>
          <w:noProof/>
          <w:lang w:val="uk-UA"/>
        </w:rPr>
        <w:t>67</w:t>
      </w:r>
      <w:r w:rsidRPr="009A3F85">
        <w:rPr>
          <w:lang w:val="uk-UA"/>
        </w:rPr>
        <w:fldChar w:fldCharType="end"/>
      </w:r>
      <w:r w:rsidRPr="009A3F85">
        <w:rPr>
          <w:lang w:val="uk-UA"/>
        </w:rPr>
        <w:t>.  Суд зауважує, що ця скарга пов</w:t>
      </w:r>
      <w:r w:rsidRPr="009A3F85" w:rsidR="009A3F85">
        <w:rPr>
          <w:lang w:val="uk-UA"/>
        </w:rPr>
        <w:t>’</w:t>
      </w:r>
      <w:r w:rsidRPr="009A3F85">
        <w:rPr>
          <w:lang w:val="uk-UA"/>
        </w:rPr>
        <w:t>язана зі скаргою, що розглядалася вище, а отже має бути аналогічним чином визнана прийнятною.</w:t>
      </w:r>
    </w:p>
    <w:p w:rsidRPr="009A3F85" w:rsidR="006D147C" w:rsidP="009A3F85">
      <w:pPr>
        <w:pStyle w:val="ECHRPara"/>
        <w:rPr>
          <w:lang w:val="uk-UA"/>
        </w:rPr>
      </w:pPr>
      <w:r w:rsidRPr="009A3F85">
        <w:rPr>
          <w:lang w:val="uk-UA"/>
        </w:rPr>
        <w:fldChar w:fldCharType="begin"/>
      </w:r>
      <w:r w:rsidRPr="009A3F85">
        <w:rPr>
          <w:lang w:val="uk-UA"/>
        </w:rPr>
        <w:instrText xml:space="preserve"> SEQ level0 \*arabic </w:instrText>
      </w:r>
      <w:r w:rsidRPr="009A3F85">
        <w:rPr>
          <w:lang w:val="uk-UA"/>
        </w:rPr>
        <w:fldChar w:fldCharType="separate"/>
      </w:r>
      <w:r w:rsidRPr="009A3F85" w:rsidR="009A3F85">
        <w:rPr>
          <w:noProof/>
          <w:lang w:val="uk-UA"/>
        </w:rPr>
        <w:t>68</w:t>
      </w:r>
      <w:r w:rsidRPr="009A3F85">
        <w:rPr>
          <w:lang w:val="uk-UA"/>
        </w:rPr>
        <w:fldChar w:fldCharType="end"/>
      </w:r>
      <w:r w:rsidRPr="009A3F85">
        <w:rPr>
          <w:lang w:val="uk-UA"/>
        </w:rPr>
        <w:t xml:space="preserve">.  Зважаючи на свої висновки за пунктом 1 статті 6 Конвенції (див. пункт 65), Суд вважає, що немає необхідності розглядати питання, чи було у цій справі порушення статті </w:t>
      </w:r>
      <w:r w:rsidRPr="009A3F85">
        <w:rPr>
          <w:rFonts w:eastAsia="Times New Roman"/>
          <w:lang w:val="uk-UA"/>
        </w:rPr>
        <w:t>1 Першого протоколу.</w:t>
      </w:r>
    </w:p>
    <w:p w:rsidRPr="009A3F85" w:rsidR="006D147C" w:rsidP="009A3F85">
      <w:pPr>
        <w:pStyle w:val="ECHRHeading1"/>
        <w:rPr>
          <w:lang w:val="uk-UA"/>
        </w:rPr>
      </w:pPr>
      <w:r w:rsidRPr="009A3F85">
        <w:rPr>
          <w:lang w:val="uk-UA"/>
        </w:rPr>
        <w:t>II.  ЗАСТОСУВАННЯ СТАТТІ 41 КОНВЕНЦІЇ</w:t>
      </w:r>
    </w:p>
    <w:p w:rsidRPr="009A3F85" w:rsidR="006D147C" w:rsidP="009A3F85">
      <w:pPr>
        <w:pStyle w:val="ECHRPara"/>
        <w:rPr>
          <w:lang w:val="uk-UA"/>
        </w:rPr>
      </w:pPr>
      <w:r w:rsidRPr="009A3F85">
        <w:rPr>
          <w:lang w:val="uk-UA"/>
        </w:rPr>
        <w:fldChar w:fldCharType="begin"/>
      </w:r>
      <w:r w:rsidRPr="009A3F85">
        <w:rPr>
          <w:lang w:val="uk-UA"/>
        </w:rPr>
        <w:instrText xml:space="preserve"> SEQ level0 \*arabic </w:instrText>
      </w:r>
      <w:r w:rsidRPr="009A3F85">
        <w:rPr>
          <w:lang w:val="uk-UA"/>
        </w:rPr>
        <w:fldChar w:fldCharType="separate"/>
      </w:r>
      <w:r w:rsidRPr="009A3F85" w:rsidR="009A3F85">
        <w:rPr>
          <w:noProof/>
          <w:lang w:val="uk-UA"/>
        </w:rPr>
        <w:t>69</w:t>
      </w:r>
      <w:r w:rsidRPr="009A3F85">
        <w:rPr>
          <w:lang w:val="uk-UA"/>
        </w:rPr>
        <w:fldChar w:fldCharType="end"/>
      </w:r>
      <w:r w:rsidRPr="009A3F85">
        <w:rPr>
          <w:lang w:val="uk-UA"/>
        </w:rPr>
        <w:t>.  Статтею 41 Конвенції передбачено:</w:t>
      </w:r>
    </w:p>
    <w:p w:rsidRPr="009A3F85" w:rsidR="006D147C" w:rsidP="009A3F85">
      <w:pPr>
        <w:pStyle w:val="ECHRParaQuote"/>
        <w:keepNext/>
        <w:keepLines/>
        <w:rPr>
          <w:lang w:val="uk-UA"/>
        </w:rPr>
      </w:pPr>
      <w:r w:rsidRPr="009A3F85">
        <w:rPr>
          <w:lang w:val="uk-UA"/>
        </w:rPr>
        <w:t>«Якщо Суд визнає факт порушення Конвенції або протоколів до неї і якщо внутрішнє право відповідної Високої Договірної Сторони передбачає лише часткове відшкодування, Суд, у разі необхідності, надає потерпілій стороні справедливу сатисфакцію.»</w:t>
      </w:r>
    </w:p>
    <w:p w:rsidRPr="009A3F85" w:rsidR="006D147C" w:rsidP="009A3F85">
      <w:pPr>
        <w:pStyle w:val="ECHRHeading2"/>
        <w:rPr>
          <w:lang w:val="uk-UA"/>
        </w:rPr>
      </w:pPr>
      <w:r w:rsidRPr="009A3F85">
        <w:rPr>
          <w:lang w:val="uk-UA"/>
        </w:rPr>
        <w:t>A.  Шкода</w:t>
      </w:r>
    </w:p>
    <w:p w:rsidRPr="009A3F85" w:rsidR="006D147C" w:rsidP="009A3F85">
      <w:pPr>
        <w:pStyle w:val="ECHRPara"/>
        <w:rPr>
          <w:lang w:val="uk-UA"/>
        </w:rPr>
      </w:pPr>
      <w:r w:rsidRPr="009A3F85">
        <w:rPr>
          <w:lang w:val="uk-UA"/>
        </w:rPr>
        <w:fldChar w:fldCharType="begin"/>
      </w:r>
      <w:r w:rsidRPr="009A3F85">
        <w:rPr>
          <w:lang w:val="uk-UA"/>
        </w:rPr>
        <w:instrText xml:space="preserve"> SEQ level0 \*arabic </w:instrText>
      </w:r>
      <w:r w:rsidRPr="009A3F85">
        <w:rPr>
          <w:lang w:val="uk-UA"/>
        </w:rPr>
        <w:fldChar w:fldCharType="separate"/>
      </w:r>
      <w:r w:rsidRPr="009A3F85" w:rsidR="009A3F85">
        <w:rPr>
          <w:noProof/>
          <w:lang w:val="uk-UA"/>
        </w:rPr>
        <w:t>70</w:t>
      </w:r>
      <w:r w:rsidRPr="009A3F85">
        <w:rPr>
          <w:lang w:val="uk-UA"/>
        </w:rPr>
        <w:fldChar w:fldCharType="end"/>
      </w:r>
      <w:r w:rsidRPr="009A3F85">
        <w:rPr>
          <w:lang w:val="uk-UA"/>
        </w:rPr>
        <w:t xml:space="preserve">.  Заявниця вимагала </w:t>
      </w:r>
      <w:r w:rsidRPr="009A3F85">
        <w:rPr>
          <w:rFonts w:eastAsia="Times New Roman"/>
          <w:lang w:val="uk-UA" w:eastAsia="fr-FR"/>
        </w:rPr>
        <w:t>300</w:t>
      </w:r>
      <w:r w:rsidRPr="009A3F85" w:rsidR="000224C0">
        <w:rPr>
          <w:lang w:val="uk-UA"/>
        </w:rPr>
        <w:t> </w:t>
      </w:r>
      <w:r w:rsidRPr="009A3F85">
        <w:rPr>
          <w:rFonts w:eastAsia="Times New Roman"/>
          <w:lang w:val="uk-UA" w:eastAsia="fr-FR"/>
        </w:rPr>
        <w:t xml:space="preserve">000 </w:t>
      </w:r>
      <w:r w:rsidRPr="009A3F85">
        <w:rPr>
          <w:lang w:val="uk-UA"/>
        </w:rPr>
        <w:t xml:space="preserve">євро відшкодування шкоди, завданої </w:t>
      </w:r>
      <w:r w:rsidRPr="009A3F85" w:rsidR="000D3E51">
        <w:rPr>
          <w:lang w:val="uk-UA"/>
        </w:rPr>
        <w:t xml:space="preserve">стверджуваним </w:t>
      </w:r>
      <w:r w:rsidRPr="009A3F85">
        <w:rPr>
          <w:lang w:val="uk-UA"/>
        </w:rPr>
        <w:t xml:space="preserve">порушенням </w:t>
      </w:r>
      <w:r w:rsidRPr="009A3F85">
        <w:rPr>
          <w:rFonts w:eastAsia="Times New Roman"/>
          <w:lang w:val="uk-UA" w:eastAsia="fr-FR"/>
        </w:rPr>
        <w:t>її прав за статтею 6 Конвенції та статтею 1 Першого протоколу.</w:t>
      </w:r>
    </w:p>
    <w:p w:rsidRPr="009A3F85" w:rsidR="006D147C" w:rsidP="009A3F85">
      <w:pPr>
        <w:pStyle w:val="ECHRPara"/>
        <w:rPr>
          <w:rFonts w:eastAsia="Times New Roman"/>
          <w:lang w:val="uk-UA" w:eastAsia="fr-FR"/>
        </w:rPr>
      </w:pPr>
      <w:r w:rsidRPr="009A3F85">
        <w:rPr>
          <w:rFonts w:eastAsia="Times New Roman"/>
          <w:lang w:val="uk-UA" w:eastAsia="fr-FR"/>
        </w:rPr>
        <w:fldChar w:fldCharType="begin"/>
      </w:r>
      <w:r w:rsidRPr="009A3F85">
        <w:rPr>
          <w:rFonts w:eastAsia="Times New Roman"/>
          <w:lang w:val="uk-UA" w:eastAsia="fr-FR"/>
        </w:rPr>
        <w:instrText xml:space="preserve"> SEQ level0 \*arabic </w:instrText>
      </w:r>
      <w:r w:rsidRPr="009A3F85">
        <w:rPr>
          <w:rFonts w:eastAsia="Times New Roman"/>
          <w:lang w:val="uk-UA" w:eastAsia="fr-FR"/>
        </w:rPr>
        <w:fldChar w:fldCharType="separate"/>
      </w:r>
      <w:r w:rsidRPr="009A3F85" w:rsidR="009A3F85">
        <w:rPr>
          <w:rFonts w:eastAsia="Times New Roman"/>
          <w:noProof/>
          <w:lang w:val="uk-UA" w:eastAsia="fr-FR"/>
        </w:rPr>
        <w:t>71</w:t>
      </w:r>
      <w:r w:rsidRPr="009A3F85">
        <w:rPr>
          <w:rFonts w:eastAsia="Times New Roman"/>
          <w:lang w:val="uk-UA" w:eastAsia="fr-FR"/>
        </w:rPr>
        <w:fldChar w:fldCharType="end"/>
      </w:r>
      <w:r w:rsidRPr="009A3F85">
        <w:rPr>
          <w:rFonts w:eastAsia="Times New Roman"/>
          <w:lang w:val="uk-UA" w:eastAsia="fr-FR"/>
        </w:rPr>
        <w:t xml:space="preserve">.  Уряд </w:t>
      </w:r>
      <w:r w:rsidRPr="009A3F85" w:rsidR="000D3E51">
        <w:rPr>
          <w:rFonts w:eastAsia="Times New Roman"/>
          <w:lang w:val="uk-UA" w:eastAsia="fr-FR"/>
        </w:rPr>
        <w:t>заявляв</w:t>
      </w:r>
      <w:r w:rsidRPr="009A3F85">
        <w:rPr>
          <w:rFonts w:eastAsia="Times New Roman"/>
          <w:lang w:val="uk-UA" w:eastAsia="fr-FR"/>
        </w:rPr>
        <w:t>, що заявниця не вказала характер шкоди, якої, як стверджувалося, вона зазнала у зв</w:t>
      </w:r>
      <w:r w:rsidRPr="009A3F85" w:rsidR="009A3F85">
        <w:rPr>
          <w:rFonts w:eastAsia="Times New Roman"/>
          <w:lang w:val="uk-UA" w:eastAsia="fr-FR"/>
        </w:rPr>
        <w:t>’</w:t>
      </w:r>
      <w:r w:rsidRPr="009A3F85">
        <w:rPr>
          <w:rFonts w:eastAsia="Times New Roman"/>
          <w:lang w:val="uk-UA" w:eastAsia="fr-FR"/>
        </w:rPr>
        <w:t>язку з рішенням Верховного Суду України у її справі та не надала жодних доказів на підтвердження своєї вимоги. Відповідно, вимогу слід відхилити у повному обсязі.</w:t>
      </w:r>
    </w:p>
    <w:p w:rsidRPr="009A3F85" w:rsidR="006D147C" w:rsidP="009A3F85">
      <w:pPr>
        <w:pStyle w:val="ECHRPara"/>
        <w:rPr>
          <w:rFonts w:eastAsia="Times New Roman"/>
          <w:lang w:val="uk-UA" w:eastAsia="fr-FR"/>
        </w:rPr>
      </w:pPr>
      <w:r w:rsidRPr="009A3F85">
        <w:rPr>
          <w:rFonts w:eastAsia="Times New Roman"/>
          <w:lang w:val="uk-UA" w:eastAsia="fr-FR"/>
        </w:rPr>
        <w:fldChar w:fldCharType="begin"/>
      </w:r>
      <w:r w:rsidRPr="009A3F85">
        <w:rPr>
          <w:rFonts w:eastAsia="Times New Roman"/>
          <w:lang w:val="uk-UA" w:eastAsia="fr-FR"/>
        </w:rPr>
        <w:instrText xml:space="preserve"> SEQ level0 \*arabic </w:instrText>
      </w:r>
      <w:r w:rsidRPr="009A3F85">
        <w:rPr>
          <w:rFonts w:eastAsia="Times New Roman"/>
          <w:lang w:val="uk-UA" w:eastAsia="fr-FR"/>
        </w:rPr>
        <w:fldChar w:fldCharType="separate"/>
      </w:r>
      <w:r w:rsidRPr="009A3F85" w:rsidR="009A3F85">
        <w:rPr>
          <w:rFonts w:eastAsia="Times New Roman"/>
          <w:noProof/>
          <w:lang w:val="uk-UA" w:eastAsia="fr-FR"/>
        </w:rPr>
        <w:t>72</w:t>
      </w:r>
      <w:r w:rsidRPr="009A3F85">
        <w:rPr>
          <w:rFonts w:eastAsia="Times New Roman"/>
          <w:lang w:val="uk-UA" w:eastAsia="fr-FR"/>
        </w:rPr>
        <w:fldChar w:fldCharType="end"/>
      </w:r>
      <w:r w:rsidRPr="009A3F85">
        <w:rPr>
          <w:rFonts w:eastAsia="Times New Roman"/>
          <w:lang w:val="uk-UA" w:eastAsia="fr-FR"/>
        </w:rPr>
        <w:t xml:space="preserve">.  Суд зазначає, що заявниця не надала жодних деталей щодо характеру </w:t>
      </w:r>
      <w:r w:rsidRPr="009A3F85" w:rsidR="000D3E51">
        <w:rPr>
          <w:rFonts w:eastAsia="Times New Roman"/>
          <w:lang w:val="uk-UA" w:eastAsia="fr-FR"/>
        </w:rPr>
        <w:t xml:space="preserve">стверджуваної </w:t>
      </w:r>
      <w:r w:rsidRPr="009A3F85">
        <w:rPr>
          <w:rFonts w:eastAsia="Times New Roman"/>
          <w:lang w:val="uk-UA" w:eastAsia="fr-FR"/>
        </w:rPr>
        <w:t>шкоди або її ступеню. Проте Суд вважає, що заявниця зазнала страждань і тривоги у зв</w:t>
      </w:r>
      <w:r w:rsidRPr="009A3F85" w:rsidR="009A3F85">
        <w:rPr>
          <w:rFonts w:eastAsia="Times New Roman"/>
          <w:lang w:val="uk-UA" w:eastAsia="fr-FR"/>
        </w:rPr>
        <w:t>’</w:t>
      </w:r>
      <w:r w:rsidRPr="009A3F85">
        <w:rPr>
          <w:rFonts w:eastAsia="Times New Roman"/>
          <w:lang w:val="uk-UA" w:eastAsia="fr-FR"/>
        </w:rPr>
        <w:t xml:space="preserve">язку з «несправедливим» способом, у який Верховний Суд України </w:t>
      </w:r>
      <w:r w:rsidRPr="009A3F85" w:rsidR="00646F99">
        <w:rPr>
          <w:rFonts w:eastAsia="Times New Roman"/>
          <w:lang w:val="uk-UA" w:eastAsia="fr-FR"/>
        </w:rPr>
        <w:t xml:space="preserve">розглянув </w:t>
      </w:r>
      <w:r w:rsidRPr="009A3F85" w:rsidR="000D3E51">
        <w:rPr>
          <w:rFonts w:eastAsia="Times New Roman"/>
          <w:lang w:val="uk-UA" w:eastAsia="fr-FR"/>
        </w:rPr>
        <w:t xml:space="preserve">її </w:t>
      </w:r>
      <w:r w:rsidRPr="009A3F85">
        <w:rPr>
          <w:rFonts w:eastAsia="Times New Roman"/>
          <w:lang w:val="uk-UA" w:eastAsia="fr-FR"/>
        </w:rPr>
        <w:t>скаргу у зв</w:t>
      </w:r>
      <w:r w:rsidRPr="009A3F85" w:rsidR="009A3F85">
        <w:rPr>
          <w:rFonts w:eastAsia="Times New Roman"/>
          <w:lang w:val="uk-UA" w:eastAsia="fr-FR"/>
        </w:rPr>
        <w:t>’</w:t>
      </w:r>
      <w:r w:rsidRPr="009A3F85">
        <w:rPr>
          <w:rFonts w:eastAsia="Times New Roman"/>
          <w:lang w:val="uk-UA" w:eastAsia="fr-FR"/>
        </w:rPr>
        <w:t>язку з</w:t>
      </w:r>
      <w:r w:rsidRPr="009A3F85" w:rsidR="009A3F85">
        <w:rPr>
          <w:rFonts w:eastAsia="Times New Roman"/>
          <w:lang w:val="uk-UA" w:eastAsia="fr-FR"/>
        </w:rPr>
        <w:t xml:space="preserve"> </w:t>
      </w:r>
      <w:r w:rsidRPr="009A3F85" w:rsidR="000224C0">
        <w:rPr>
          <w:rFonts w:eastAsia="Times New Roman"/>
          <w:lang w:val="uk-UA" w:eastAsia="fr-FR"/>
        </w:rPr>
        <w:t>винятковими</w:t>
      </w:r>
      <w:r w:rsidRPr="009A3F85">
        <w:rPr>
          <w:rFonts w:eastAsia="Times New Roman"/>
          <w:lang w:val="uk-UA" w:eastAsia="fr-FR"/>
        </w:rPr>
        <w:t xml:space="preserve"> обставинами, що, як наслідок, звело нанівець її спроби домогтися розгляду </w:t>
      </w:r>
      <w:r w:rsidRPr="009A3F85" w:rsidR="00646F99">
        <w:rPr>
          <w:rFonts w:eastAsia="Times New Roman"/>
          <w:lang w:val="uk-UA" w:eastAsia="fr-FR"/>
        </w:rPr>
        <w:t xml:space="preserve">на підставі рішення Суду у її попередній справі </w:t>
      </w:r>
      <w:r w:rsidRPr="009A3F85">
        <w:rPr>
          <w:rFonts w:eastAsia="Times New Roman"/>
          <w:lang w:val="uk-UA" w:eastAsia="fr-FR"/>
        </w:rPr>
        <w:t>її майнов</w:t>
      </w:r>
      <w:r w:rsidRPr="009A3F85" w:rsidR="000224C0">
        <w:rPr>
          <w:rFonts w:eastAsia="Times New Roman"/>
          <w:lang w:val="uk-UA" w:eastAsia="fr-FR"/>
        </w:rPr>
        <w:t>их</w:t>
      </w:r>
      <w:r w:rsidRPr="009A3F85">
        <w:rPr>
          <w:rFonts w:eastAsia="Times New Roman"/>
          <w:lang w:val="uk-UA" w:eastAsia="fr-FR"/>
        </w:rPr>
        <w:t xml:space="preserve"> вимог</w:t>
      </w:r>
      <w:r w:rsidRPr="009A3F85" w:rsidR="000224C0">
        <w:rPr>
          <w:rFonts w:eastAsia="Times New Roman"/>
          <w:lang w:val="uk-UA" w:eastAsia="fr-FR"/>
        </w:rPr>
        <w:t xml:space="preserve"> у </w:t>
      </w:r>
      <w:r w:rsidRPr="009A3F85" w:rsidR="00646F99">
        <w:rPr>
          <w:rFonts w:eastAsia="Times New Roman"/>
          <w:lang w:val="uk-UA" w:eastAsia="fr-FR"/>
        </w:rPr>
        <w:t xml:space="preserve">межах </w:t>
      </w:r>
      <w:r w:rsidRPr="009A3F85" w:rsidR="000224C0">
        <w:rPr>
          <w:rFonts w:eastAsia="Times New Roman"/>
          <w:lang w:val="uk-UA" w:eastAsia="fr-FR"/>
        </w:rPr>
        <w:t>про</w:t>
      </w:r>
      <w:r w:rsidRPr="009A3F85" w:rsidR="00646F99">
        <w:rPr>
          <w:rFonts w:eastAsia="Times New Roman"/>
          <w:lang w:val="uk-UA" w:eastAsia="fr-FR"/>
        </w:rPr>
        <w:t>цедури</w:t>
      </w:r>
      <w:r w:rsidRPr="009A3F85" w:rsidR="000D3E51">
        <w:rPr>
          <w:rFonts w:eastAsia="Times New Roman"/>
          <w:lang w:val="uk-UA" w:eastAsia="fr-FR"/>
        </w:rPr>
        <w:t xml:space="preserve"> касаційно</w:t>
      </w:r>
      <w:r w:rsidRPr="009A3F85" w:rsidR="00646F99">
        <w:rPr>
          <w:rFonts w:eastAsia="Times New Roman"/>
          <w:lang w:val="uk-UA" w:eastAsia="fr-FR"/>
        </w:rPr>
        <w:t>го типу,</w:t>
      </w:r>
      <w:r w:rsidRPr="009A3F85" w:rsidR="000224C0">
        <w:rPr>
          <w:rFonts w:eastAsia="Times New Roman"/>
          <w:lang w:val="uk-UA" w:eastAsia="fr-FR"/>
        </w:rPr>
        <w:t xml:space="preserve"> передбачено</w:t>
      </w:r>
      <w:r w:rsidRPr="009A3F85" w:rsidR="00646F99">
        <w:rPr>
          <w:rFonts w:eastAsia="Times New Roman"/>
          <w:lang w:val="uk-UA" w:eastAsia="fr-FR"/>
        </w:rPr>
        <w:t>ї</w:t>
      </w:r>
      <w:r w:rsidRPr="009A3F85" w:rsidR="000224C0">
        <w:rPr>
          <w:rFonts w:eastAsia="Times New Roman"/>
          <w:lang w:val="uk-UA" w:eastAsia="fr-FR"/>
        </w:rPr>
        <w:t xml:space="preserve"> національним законодавством (див. пункт 64)</w:t>
      </w:r>
      <w:r w:rsidRPr="009A3F85">
        <w:rPr>
          <w:rFonts w:eastAsia="Times New Roman"/>
          <w:lang w:val="uk-UA" w:eastAsia="fr-FR"/>
        </w:rPr>
        <w:t xml:space="preserve">. Суд не вважає за належне розглядати питання, чи </w:t>
      </w:r>
      <w:r w:rsidRPr="009A3F85" w:rsidR="000D3E51">
        <w:rPr>
          <w:rFonts w:eastAsia="Times New Roman"/>
          <w:lang w:val="uk-UA" w:eastAsia="fr-FR"/>
        </w:rPr>
        <w:t xml:space="preserve">є можливим </w:t>
      </w:r>
      <w:r w:rsidRPr="009A3F85">
        <w:rPr>
          <w:rFonts w:eastAsia="Times New Roman"/>
          <w:lang w:val="uk-UA" w:eastAsia="fr-FR"/>
        </w:rPr>
        <w:t xml:space="preserve">за </w:t>
      </w:r>
      <w:r w:rsidRPr="009A3F85" w:rsidR="000D3E51">
        <w:rPr>
          <w:rFonts w:eastAsia="Times New Roman"/>
          <w:lang w:val="uk-UA" w:eastAsia="fr-FR"/>
        </w:rPr>
        <w:t xml:space="preserve">цих </w:t>
      </w:r>
      <w:r w:rsidRPr="009A3F85">
        <w:rPr>
          <w:rFonts w:eastAsia="Times New Roman"/>
          <w:lang w:val="uk-UA" w:eastAsia="fr-FR"/>
        </w:rPr>
        <w:t xml:space="preserve">обставин </w:t>
      </w:r>
      <w:r w:rsidRPr="009A3F85" w:rsidR="000D3E51">
        <w:rPr>
          <w:rFonts w:eastAsia="Times New Roman"/>
          <w:lang w:val="uk-UA" w:eastAsia="fr-FR"/>
        </w:rPr>
        <w:t>будь-який подальший розгляд майнових вимог заявниці</w:t>
      </w:r>
      <w:r w:rsidRPr="009A3F85" w:rsidR="000D3E51">
        <w:rPr>
          <w:rFonts w:eastAsia="Times New Roman"/>
          <w:lang w:val="uk-UA" w:eastAsia="fr-FR"/>
        </w:rPr>
        <w:t xml:space="preserve"> </w:t>
      </w:r>
      <w:r w:rsidRPr="009A3F85">
        <w:rPr>
          <w:rFonts w:eastAsia="Times New Roman"/>
          <w:lang w:val="uk-UA" w:eastAsia="fr-FR"/>
        </w:rPr>
        <w:t xml:space="preserve">на національному рівні, зокрема, зважаючи на значний час, що вже сплинув, можливі наслідки такого </w:t>
      </w:r>
      <w:r w:rsidRPr="009A3F85" w:rsidR="000D3E51">
        <w:rPr>
          <w:rFonts w:eastAsia="Times New Roman"/>
          <w:lang w:val="uk-UA" w:eastAsia="fr-FR"/>
        </w:rPr>
        <w:t xml:space="preserve">перегляду </w:t>
      </w:r>
      <w:r w:rsidRPr="009A3F85">
        <w:rPr>
          <w:rFonts w:eastAsia="Times New Roman"/>
          <w:lang w:val="uk-UA" w:eastAsia="fr-FR"/>
        </w:rPr>
        <w:t xml:space="preserve">для принципів </w:t>
      </w:r>
      <w:r w:rsidRPr="009A3F85">
        <w:rPr>
          <w:rFonts w:eastAsia="Times New Roman"/>
          <w:i/>
          <w:lang w:val="uk-UA"/>
        </w:rPr>
        <w:t>res iudicata</w:t>
      </w:r>
      <w:r w:rsidRPr="009A3F85">
        <w:rPr>
          <w:rFonts w:eastAsia="Times New Roman"/>
          <w:lang w:val="uk-UA"/>
        </w:rPr>
        <w:t xml:space="preserve"> та </w:t>
      </w:r>
      <w:r w:rsidRPr="009A3F85" w:rsidR="000224C0">
        <w:rPr>
          <w:rFonts w:eastAsia="Times New Roman"/>
          <w:lang w:val="uk-UA"/>
        </w:rPr>
        <w:t>юридичної</w:t>
      </w:r>
      <w:r w:rsidRPr="009A3F85">
        <w:rPr>
          <w:rFonts w:eastAsia="Times New Roman"/>
          <w:lang w:val="uk-UA"/>
        </w:rPr>
        <w:t xml:space="preserve"> визначеності у цивільному провадженні, що було </w:t>
      </w:r>
      <w:r w:rsidRPr="009A3F85" w:rsidR="00646F99">
        <w:rPr>
          <w:rFonts w:eastAsia="Times New Roman"/>
          <w:lang w:val="uk-UA"/>
        </w:rPr>
        <w:t>завершене</w:t>
      </w:r>
      <w:r w:rsidRPr="009A3F85">
        <w:rPr>
          <w:rFonts w:eastAsia="Times New Roman"/>
          <w:lang w:val="uk-UA"/>
        </w:rPr>
        <w:t xml:space="preserve">, а також для законних інтересів третіх осіб. З іншого боку, </w:t>
      </w:r>
      <w:r w:rsidRPr="009A3F85" w:rsidR="000224C0">
        <w:rPr>
          <w:rFonts w:eastAsia="Times New Roman"/>
          <w:lang w:val="uk-UA"/>
        </w:rPr>
        <w:t>реальність, що склалася, є такою</w:t>
      </w:r>
      <w:r w:rsidRPr="009A3F85">
        <w:rPr>
          <w:rFonts w:eastAsia="Times New Roman"/>
          <w:lang w:val="uk-UA"/>
        </w:rPr>
        <w:t>, що</w:t>
      </w:r>
      <w:r w:rsidRPr="009A3F85">
        <w:rPr>
          <w:rFonts w:eastAsia="Times New Roman"/>
          <w:lang w:val="uk-UA" w:eastAsia="fr-FR"/>
        </w:rPr>
        <w:t xml:space="preserve"> для цілей оцінки Судом за статтею 41 Конвенції заявницю слід вважати такою, що не має практичної </w:t>
      </w:r>
      <w:r w:rsidRPr="009A3F85" w:rsidR="00646F99">
        <w:rPr>
          <w:rFonts w:eastAsia="Times New Roman"/>
          <w:lang w:val="uk-UA" w:eastAsia="fr-FR"/>
        </w:rPr>
        <w:t xml:space="preserve">доступної для неї </w:t>
      </w:r>
      <w:r w:rsidRPr="009A3F85">
        <w:rPr>
          <w:rFonts w:eastAsia="Times New Roman"/>
          <w:lang w:val="uk-UA" w:eastAsia="fr-FR"/>
        </w:rPr>
        <w:t xml:space="preserve">можливості для виправлення </w:t>
      </w:r>
      <w:r w:rsidRPr="009A3F85" w:rsidR="00944D06">
        <w:rPr>
          <w:rFonts w:eastAsia="Times New Roman"/>
          <w:lang w:val="uk-UA" w:eastAsia="fr-FR"/>
        </w:rPr>
        <w:t xml:space="preserve">встановленого у її </w:t>
      </w:r>
      <w:r w:rsidRPr="009A3F85" w:rsidR="00646F99">
        <w:rPr>
          <w:rFonts w:eastAsia="Times New Roman"/>
          <w:lang w:val="uk-UA" w:eastAsia="fr-FR"/>
        </w:rPr>
        <w:t>с</w:t>
      </w:r>
      <w:r w:rsidRPr="009A3F85" w:rsidR="00944D06">
        <w:rPr>
          <w:rFonts w:eastAsia="Times New Roman"/>
          <w:lang w:val="uk-UA" w:eastAsia="fr-FR"/>
        </w:rPr>
        <w:t xml:space="preserve">праві порушення </w:t>
      </w:r>
      <w:r w:rsidRPr="009A3F85">
        <w:rPr>
          <w:rFonts w:eastAsia="Times New Roman"/>
          <w:lang w:val="uk-UA" w:eastAsia="fr-FR"/>
        </w:rPr>
        <w:t xml:space="preserve">на національному рівні. Отже, </w:t>
      </w:r>
      <w:r w:rsidRPr="009A3F85">
        <w:rPr>
          <w:lang w:val="uk-UA"/>
        </w:rPr>
        <w:t xml:space="preserve">здійснюючи оцінку на засадах справедливості, Суд вважає за належне присудити заявниці </w:t>
      </w:r>
      <w:r w:rsidRPr="009A3F85">
        <w:rPr>
          <w:rFonts w:eastAsia="Times New Roman"/>
          <w:lang w:val="uk-UA" w:eastAsia="fr-FR"/>
        </w:rPr>
        <w:t xml:space="preserve">10 000 євро відшкодування моральної шкоди </w:t>
      </w:r>
      <w:r w:rsidRPr="009A3F85">
        <w:rPr>
          <w:lang w:val="uk-UA"/>
        </w:rPr>
        <w:t>та додатково суму будь-яких податків, що можуть нараховуватися</w:t>
      </w:r>
      <w:r w:rsidRPr="009A3F85">
        <w:rPr>
          <w:rFonts w:eastAsia="Times New Roman"/>
          <w:lang w:val="uk-UA" w:eastAsia="fr-FR"/>
        </w:rPr>
        <w:t>.</w:t>
      </w:r>
    </w:p>
    <w:p w:rsidRPr="009A3F85" w:rsidR="006D147C" w:rsidP="009A3F85">
      <w:pPr>
        <w:pStyle w:val="ECHRHeading2"/>
        <w:rPr>
          <w:lang w:val="uk-UA"/>
        </w:rPr>
      </w:pPr>
      <w:r w:rsidRPr="009A3F85">
        <w:rPr>
          <w:lang w:val="uk-UA"/>
        </w:rPr>
        <w:t>B.  Судові та інші витрати</w:t>
      </w:r>
    </w:p>
    <w:p w:rsidRPr="009A3F85" w:rsidR="006D147C" w:rsidP="009A3F85">
      <w:pPr>
        <w:pStyle w:val="ECHRPara"/>
        <w:rPr>
          <w:lang w:val="uk-UA"/>
        </w:rPr>
      </w:pPr>
      <w:r w:rsidRPr="009A3F85">
        <w:rPr>
          <w:lang w:val="uk-UA"/>
        </w:rPr>
        <w:fldChar w:fldCharType="begin"/>
      </w:r>
      <w:r w:rsidRPr="009A3F85">
        <w:rPr>
          <w:lang w:val="uk-UA"/>
        </w:rPr>
        <w:instrText xml:space="preserve"> SEQ level0 \*arabic </w:instrText>
      </w:r>
      <w:r w:rsidRPr="009A3F85">
        <w:rPr>
          <w:lang w:val="uk-UA"/>
        </w:rPr>
        <w:fldChar w:fldCharType="separate"/>
      </w:r>
      <w:r w:rsidRPr="009A3F85" w:rsidR="009A3F85">
        <w:rPr>
          <w:noProof/>
          <w:lang w:val="uk-UA"/>
        </w:rPr>
        <w:t>73</w:t>
      </w:r>
      <w:r w:rsidRPr="009A3F85">
        <w:rPr>
          <w:noProof/>
          <w:lang w:val="uk-UA"/>
        </w:rPr>
        <w:fldChar w:fldCharType="end"/>
      </w:r>
      <w:r w:rsidRPr="009A3F85">
        <w:rPr>
          <w:lang w:val="uk-UA"/>
        </w:rPr>
        <w:t>.  Заявниця не подавала вимогу щодо компенсації судових та інших витрат.</w:t>
      </w:r>
    </w:p>
    <w:p w:rsidRPr="009A3F85" w:rsidR="006D147C" w:rsidP="009A3F85">
      <w:pPr>
        <w:pStyle w:val="ECHRHeading2"/>
        <w:rPr>
          <w:lang w:val="uk-UA"/>
        </w:rPr>
      </w:pPr>
      <w:r w:rsidRPr="009A3F85">
        <w:rPr>
          <w:lang w:val="uk-UA"/>
        </w:rPr>
        <w:t>C.  Пеня</w:t>
      </w:r>
    </w:p>
    <w:p w:rsidRPr="009A3F85" w:rsidR="006D147C" w:rsidP="009A3F85">
      <w:pPr>
        <w:pStyle w:val="ECHRPara"/>
        <w:rPr>
          <w:lang w:val="uk-UA"/>
        </w:rPr>
      </w:pPr>
      <w:r w:rsidRPr="009A3F85">
        <w:rPr>
          <w:lang w:val="uk-UA"/>
        </w:rPr>
        <w:fldChar w:fldCharType="begin"/>
      </w:r>
      <w:r w:rsidRPr="009A3F85">
        <w:rPr>
          <w:lang w:val="uk-UA"/>
        </w:rPr>
        <w:instrText xml:space="preserve"> SEQ level0 \*arabic </w:instrText>
      </w:r>
      <w:r w:rsidRPr="009A3F85">
        <w:rPr>
          <w:lang w:val="uk-UA"/>
        </w:rPr>
        <w:fldChar w:fldCharType="separate"/>
      </w:r>
      <w:r w:rsidRPr="009A3F85" w:rsidR="009A3F85">
        <w:rPr>
          <w:noProof/>
          <w:lang w:val="uk-UA"/>
        </w:rPr>
        <w:t>74</w:t>
      </w:r>
      <w:r w:rsidRPr="009A3F85">
        <w:rPr>
          <w:lang w:val="uk-UA"/>
        </w:rPr>
        <w:fldChar w:fldCharType="end"/>
      </w:r>
      <w:r w:rsidRPr="009A3F85">
        <w:rPr>
          <w:lang w:val="uk-UA"/>
        </w:rPr>
        <w:t>.  Суд вважає за належне призначити пеню на підставі граничної позичкової ставки Європейського центрального банку, до якої має бути додано три відсоткові пункти.</w:t>
      </w:r>
    </w:p>
    <w:p w:rsidRPr="009A3F85" w:rsidR="006D147C" w:rsidP="009A3F85">
      <w:pPr>
        <w:pStyle w:val="ECHRTitle1"/>
        <w:rPr>
          <w:lang w:val="uk-UA"/>
        </w:rPr>
      </w:pPr>
      <w:r w:rsidRPr="009A3F85">
        <w:rPr>
          <w:lang w:val="uk-UA"/>
        </w:rPr>
        <w:t>ЗА ЦИХ ОБСТАВИН СУД ОДНОГОЛОСНО</w:t>
      </w:r>
    </w:p>
    <w:p w:rsidRPr="009A3F85" w:rsidR="006D147C" w:rsidP="009A3F85">
      <w:pPr>
        <w:pStyle w:val="JuList"/>
        <w:rPr>
          <w:lang w:val="uk-UA"/>
        </w:rPr>
      </w:pPr>
      <w:r w:rsidRPr="009A3F85">
        <w:rPr>
          <w:lang w:val="uk-UA"/>
        </w:rPr>
        <w:t>1.  </w:t>
      </w:r>
      <w:r w:rsidRPr="009A3F85">
        <w:rPr>
          <w:i/>
          <w:lang w:val="uk-UA"/>
        </w:rPr>
        <w:t>Оголошує</w:t>
      </w:r>
      <w:r w:rsidRPr="009A3F85">
        <w:rPr>
          <w:lang w:val="uk-UA"/>
        </w:rPr>
        <w:t xml:space="preserve"> прийнятними скаргу заявниці за пунктом 1 статті 6 Конвенції на несправедливість провадження, що закінчилося ухвал</w:t>
      </w:r>
      <w:r w:rsidRPr="009A3F85" w:rsidR="00944D06">
        <w:rPr>
          <w:lang w:val="uk-UA"/>
        </w:rPr>
        <w:t>ою</w:t>
      </w:r>
      <w:r w:rsidRPr="009A3F85">
        <w:rPr>
          <w:lang w:val="uk-UA"/>
        </w:rPr>
        <w:t xml:space="preserve"> Верховного Суду від 14 березня 2008 року, та її скаргу за статтею 1 Першого протоколу на те, що її </w:t>
      </w:r>
      <w:r w:rsidRPr="009A3F85" w:rsidR="000D3E51">
        <w:rPr>
          <w:lang w:val="uk-UA"/>
        </w:rPr>
        <w:t xml:space="preserve">було </w:t>
      </w:r>
      <w:r w:rsidRPr="009A3F85">
        <w:rPr>
          <w:lang w:val="uk-UA"/>
        </w:rPr>
        <w:t>незаконно позбавл</w:t>
      </w:r>
      <w:r w:rsidRPr="009A3F85" w:rsidR="000D3E51">
        <w:rPr>
          <w:lang w:val="uk-UA"/>
        </w:rPr>
        <w:t>ено</w:t>
      </w:r>
      <w:r w:rsidRPr="009A3F85">
        <w:rPr>
          <w:lang w:val="uk-UA"/>
        </w:rPr>
        <w:t xml:space="preserve"> її майна у зв</w:t>
      </w:r>
      <w:r w:rsidRPr="009A3F85" w:rsidR="009A3F85">
        <w:rPr>
          <w:lang w:val="uk-UA"/>
        </w:rPr>
        <w:t>’</w:t>
      </w:r>
      <w:r w:rsidRPr="009A3F85">
        <w:rPr>
          <w:lang w:val="uk-UA"/>
        </w:rPr>
        <w:t>язку з цим провадженням, а решту скарг у заяві – неприйнятними;</w:t>
      </w:r>
    </w:p>
    <w:p w:rsidRPr="009A3F85" w:rsidR="006D147C" w:rsidP="009A3F85">
      <w:pPr>
        <w:pStyle w:val="JuList"/>
        <w:ind w:left="0" w:firstLine="0"/>
        <w:rPr>
          <w:lang w:val="uk-UA"/>
        </w:rPr>
      </w:pPr>
    </w:p>
    <w:p w:rsidRPr="009A3F85" w:rsidR="006D147C" w:rsidP="009A3F85">
      <w:pPr>
        <w:pStyle w:val="JuList"/>
        <w:rPr>
          <w:lang w:val="uk-UA"/>
        </w:rPr>
      </w:pPr>
      <w:r w:rsidRPr="009A3F85">
        <w:rPr>
          <w:lang w:val="uk-UA"/>
        </w:rPr>
        <w:t>2.  </w:t>
      </w:r>
      <w:r w:rsidRPr="009A3F85">
        <w:rPr>
          <w:i/>
          <w:lang w:val="uk-UA"/>
        </w:rPr>
        <w:t>Постановляє,</w:t>
      </w:r>
      <w:r w:rsidRPr="009A3F85">
        <w:rPr>
          <w:lang w:val="uk-UA"/>
        </w:rPr>
        <w:t xml:space="preserve"> що було порушення пункту 1 статті 6 Конвенції;</w:t>
      </w:r>
    </w:p>
    <w:p w:rsidRPr="009A3F85" w:rsidR="006D147C" w:rsidP="009A3F85">
      <w:pPr>
        <w:pStyle w:val="JuList"/>
        <w:rPr>
          <w:lang w:val="uk-UA"/>
        </w:rPr>
      </w:pPr>
    </w:p>
    <w:p w:rsidRPr="009A3F85" w:rsidR="006D147C" w:rsidP="009A3F85">
      <w:pPr>
        <w:pStyle w:val="JuList"/>
        <w:rPr>
          <w:lang w:val="uk-UA"/>
        </w:rPr>
      </w:pPr>
      <w:r w:rsidRPr="009A3F85">
        <w:rPr>
          <w:lang w:val="uk-UA"/>
        </w:rPr>
        <w:t>3.  </w:t>
      </w:r>
      <w:r w:rsidRPr="009A3F85">
        <w:rPr>
          <w:i/>
          <w:lang w:val="uk-UA"/>
        </w:rPr>
        <w:t>Постановляє,</w:t>
      </w:r>
      <w:r w:rsidRPr="009A3F85">
        <w:rPr>
          <w:lang w:val="uk-UA"/>
        </w:rPr>
        <w:t xml:space="preserve"> що немає потреби розглядати скаргу за статтею 1 Першого протоколу до Конвенції;</w:t>
      </w:r>
    </w:p>
    <w:p w:rsidRPr="009A3F85" w:rsidR="006D147C" w:rsidP="009A3F85">
      <w:pPr>
        <w:pStyle w:val="JuList"/>
        <w:rPr>
          <w:lang w:val="uk-UA"/>
        </w:rPr>
      </w:pPr>
    </w:p>
    <w:p w:rsidRPr="009A3F85" w:rsidR="006D147C" w:rsidP="009A3F85">
      <w:pPr>
        <w:pStyle w:val="JuList"/>
        <w:rPr>
          <w:lang w:val="uk-UA"/>
        </w:rPr>
      </w:pPr>
      <w:r w:rsidRPr="009A3F85">
        <w:rPr>
          <w:lang w:val="uk-UA"/>
        </w:rPr>
        <w:t>4.  </w:t>
      </w:r>
      <w:r w:rsidRPr="009A3F85">
        <w:rPr>
          <w:i/>
          <w:lang w:val="uk-UA"/>
        </w:rPr>
        <w:t>Постановляє,</w:t>
      </w:r>
      <w:r w:rsidRPr="009A3F85">
        <w:rPr>
          <w:lang w:val="uk-UA"/>
        </w:rPr>
        <w:t xml:space="preserve"> що:</w:t>
      </w:r>
    </w:p>
    <w:p w:rsidRPr="009A3F85" w:rsidR="006D147C" w:rsidP="009A3F85">
      <w:pPr>
        <w:pStyle w:val="JuLista"/>
        <w:rPr>
          <w:lang w:val="uk-UA"/>
        </w:rPr>
      </w:pPr>
      <w:r w:rsidRPr="009A3F85">
        <w:rPr>
          <w:lang w:val="uk-UA"/>
        </w:rPr>
        <w:t>(a)  упродовж трьох місяців держава-відповідач повинна сплатити заявниці 10 000 (десять тисяч) євро відшкодування моральної шкоди та додатково суму податків, що можуть нараховуватися</w:t>
      </w:r>
      <w:r w:rsidRPr="009A3F85">
        <w:rPr>
          <w:rFonts w:eastAsia="Times New Roman"/>
          <w:szCs w:val="20"/>
          <w:lang w:val="uk-UA" w:eastAsia="fr-FR"/>
        </w:rPr>
        <w:t xml:space="preserve">; ця сума має бути </w:t>
      </w:r>
      <w:r w:rsidRPr="009A3F85">
        <w:rPr>
          <w:lang w:val="uk-UA"/>
        </w:rPr>
        <w:t xml:space="preserve">конвертована у </w:t>
      </w:r>
      <w:r w:rsidRPr="009A3F85">
        <w:rPr>
          <w:color w:val="000000"/>
          <w:lang w:val="uk-UA"/>
        </w:rPr>
        <w:t xml:space="preserve">валюту держави-відповідача </w:t>
      </w:r>
      <w:r w:rsidRPr="009A3F85">
        <w:rPr>
          <w:lang w:val="uk-UA"/>
        </w:rPr>
        <w:t>за курсом станом на день здійснення платежу;</w:t>
      </w:r>
    </w:p>
    <w:p w:rsidRPr="009A3F85" w:rsidR="006D147C" w:rsidP="009A3F85">
      <w:pPr>
        <w:pStyle w:val="JuLista"/>
        <w:rPr>
          <w:lang w:val="uk-UA"/>
        </w:rPr>
      </w:pPr>
      <w:r w:rsidRPr="009A3F85">
        <w:rPr>
          <w:lang w:val="uk-UA"/>
        </w:rPr>
        <w:t>(b)  із закінченням зазначеного тримісячного строку до остаточного розрахунку на вищезазначену суму нараховуватиметься простий відсоток (</w:t>
      </w:r>
      <w:r w:rsidRPr="009A3F85">
        <w:rPr>
          <w:i/>
          <w:lang w:val="uk-UA"/>
        </w:rPr>
        <w:t>simple interest</w:t>
      </w:r>
      <w:r w:rsidRPr="009A3F85">
        <w:rPr>
          <w:lang w:val="uk-UA"/>
        </w:rPr>
        <w:t>) у розмірі граничної позичкової ставки Європейського центрального банку, яка діятиме в період несплати, до якої має бути додано три відсоткові пункти;</w:t>
      </w:r>
    </w:p>
    <w:p w:rsidRPr="009A3F85" w:rsidR="006D147C" w:rsidP="009A3F85">
      <w:pPr>
        <w:pStyle w:val="JuList"/>
        <w:rPr>
          <w:lang w:val="uk-UA"/>
        </w:rPr>
      </w:pPr>
    </w:p>
    <w:p w:rsidRPr="009A3F85" w:rsidR="006D147C" w:rsidP="009A3F85">
      <w:pPr>
        <w:pStyle w:val="JuList"/>
        <w:rPr>
          <w:lang w:val="uk-UA"/>
        </w:rPr>
      </w:pPr>
      <w:r w:rsidRPr="009A3F85">
        <w:rPr>
          <w:lang w:val="uk-UA"/>
        </w:rPr>
        <w:t>5.  В</w:t>
      </w:r>
      <w:r w:rsidRPr="009A3F85">
        <w:rPr>
          <w:i/>
          <w:lang w:val="uk-UA"/>
        </w:rPr>
        <w:t>ідхиляє</w:t>
      </w:r>
      <w:r w:rsidRPr="009A3F85">
        <w:rPr>
          <w:lang w:val="uk-UA"/>
        </w:rPr>
        <w:t xml:space="preserve"> решту вимог заявниці щодо справедливої сатисфакції.</w:t>
      </w:r>
    </w:p>
    <w:p w:rsidRPr="009A3F85" w:rsidR="006D147C" w:rsidP="009A3F85">
      <w:pPr>
        <w:pStyle w:val="JuParaLast"/>
        <w:rPr>
          <w:lang w:val="uk-UA"/>
        </w:rPr>
      </w:pPr>
      <w:r w:rsidRPr="009A3F85">
        <w:rPr>
          <w:lang w:val="uk-UA"/>
        </w:rPr>
        <w:t xml:space="preserve">Учинено англійською </w:t>
      </w:r>
      <w:r w:rsidRPr="009A3F85" w:rsidR="00AA0101">
        <w:rPr>
          <w:lang w:val="uk-UA"/>
        </w:rPr>
        <w:t xml:space="preserve">та французькою </w:t>
      </w:r>
      <w:r w:rsidRPr="009A3F85">
        <w:rPr>
          <w:lang w:val="uk-UA"/>
        </w:rPr>
        <w:t xml:space="preserve">мовою та повідомлено письмово 5 лютого 2015 року відповідно до пунктів 2 та 3 </w:t>
      </w:r>
      <w:r w:rsidRPr="009A3F85" w:rsidR="00AA0101">
        <w:rPr>
          <w:lang w:val="uk-UA"/>
        </w:rPr>
        <w:t xml:space="preserve">Правила </w:t>
      </w:r>
      <w:r w:rsidRPr="009A3F85">
        <w:rPr>
          <w:lang w:val="uk-UA"/>
        </w:rPr>
        <w:t>77 Регламенту Суду.</w:t>
      </w:r>
    </w:p>
    <w:p w:rsidRPr="009A3F85" w:rsidR="006D147C" w:rsidP="009A3F85">
      <w:pPr>
        <w:pStyle w:val="JuParaLast"/>
        <w:ind w:firstLine="0"/>
        <w:rPr>
          <w:lang w:val="uk-UA"/>
        </w:rPr>
      </w:pPr>
    </w:p>
    <w:tbl>
      <w:tblPr>
        <w:tblW w:w="0" w:type="auto"/>
        <w:tblLook w:val="04A0"/>
      </w:tblPr>
      <w:tblGrid>
        <w:gridCol w:w="3787"/>
        <w:gridCol w:w="3787"/>
      </w:tblGrid>
      <w:tr w:rsidTr="00AC7B2A">
        <w:tblPrEx>
          <w:tblW w:w="0" w:type="auto"/>
          <w:tblLook w:val="04A0"/>
        </w:tblPrEx>
        <w:tc>
          <w:tcPr>
            <w:tcW w:w="3787" w:type="dxa"/>
            <w:vAlign w:val="center"/>
          </w:tcPr>
          <w:p w:rsidRPr="009A3F85" w:rsidR="006D147C" w:rsidP="009A3F85">
            <w:pPr>
              <w:pStyle w:val="JuSigned"/>
              <w:spacing w:before="0"/>
              <w:jc w:val="center"/>
              <w:rPr>
                <w:lang w:val="uk-UA"/>
              </w:rPr>
            </w:pPr>
            <w:r w:rsidRPr="009A3F85">
              <w:rPr>
                <w:lang w:val="uk-UA"/>
              </w:rPr>
              <w:t>Лоуренс Ерлі</w:t>
            </w:r>
          </w:p>
          <w:p w:rsidRPr="009A3F85" w:rsidR="006D147C" w:rsidP="009A3F85">
            <w:pPr>
              <w:pStyle w:val="JuSigned"/>
              <w:spacing w:before="0"/>
              <w:jc w:val="center"/>
              <w:rPr>
                <w:iCs/>
                <w:lang w:val="uk-UA"/>
              </w:rPr>
            </w:pPr>
            <w:r w:rsidRPr="009A3F85">
              <w:rPr>
                <w:lang w:val="uk-UA"/>
              </w:rPr>
              <w:t>(</w:t>
            </w:r>
            <w:r w:rsidRPr="009A3F85">
              <w:rPr>
                <w:i/>
                <w:lang w:val="uk-UA"/>
              </w:rPr>
              <w:t>Lawrence Early</w:t>
            </w:r>
            <w:r w:rsidRPr="009A3F85">
              <w:rPr>
                <w:lang w:val="uk-UA"/>
              </w:rPr>
              <w:t>)</w:t>
            </w:r>
          </w:p>
          <w:p w:rsidRPr="009A3F85" w:rsidR="006D147C" w:rsidP="009A3F85">
            <w:pPr>
              <w:pStyle w:val="JuSigned"/>
              <w:spacing w:before="0"/>
              <w:jc w:val="center"/>
              <w:rPr>
                <w:lang w:val="uk-UA"/>
              </w:rPr>
            </w:pPr>
            <w:r w:rsidRPr="009A3F85">
              <w:rPr>
                <w:iCs/>
                <w:lang w:val="uk-UA"/>
              </w:rPr>
              <w:t>Юрисконсульт</w:t>
            </w:r>
          </w:p>
        </w:tc>
        <w:tc>
          <w:tcPr>
            <w:tcW w:w="3787" w:type="dxa"/>
            <w:vAlign w:val="center"/>
          </w:tcPr>
          <w:p w:rsidRPr="009A3F85" w:rsidR="006D147C" w:rsidP="009A3F85">
            <w:pPr>
              <w:pStyle w:val="JuSigned"/>
              <w:spacing w:before="0"/>
              <w:jc w:val="center"/>
              <w:rPr>
                <w:szCs w:val="24"/>
                <w:lang w:val="uk-UA"/>
              </w:rPr>
            </w:pPr>
            <w:r w:rsidRPr="009A3F85">
              <w:rPr>
                <w:szCs w:val="24"/>
                <w:lang w:val="uk-UA"/>
              </w:rPr>
              <w:t>Дін Шпільманн</w:t>
            </w:r>
          </w:p>
          <w:p w:rsidRPr="009A3F85" w:rsidR="006D147C" w:rsidP="009A3F85">
            <w:pPr>
              <w:pStyle w:val="JuSigned"/>
              <w:spacing w:before="0"/>
              <w:jc w:val="center"/>
              <w:rPr>
                <w:lang w:val="uk-UA"/>
              </w:rPr>
            </w:pPr>
            <w:r w:rsidRPr="009A3F85">
              <w:rPr>
                <w:szCs w:val="24"/>
                <w:lang w:val="uk-UA"/>
              </w:rPr>
              <w:t>(</w:t>
            </w:r>
            <w:r w:rsidRPr="009A3F85">
              <w:rPr>
                <w:i/>
                <w:szCs w:val="24"/>
                <w:lang w:val="uk-UA"/>
              </w:rPr>
              <w:t>Dean Spielmann</w:t>
            </w:r>
            <w:r w:rsidRPr="009A3F85">
              <w:rPr>
                <w:szCs w:val="24"/>
                <w:lang w:val="uk-UA"/>
              </w:rPr>
              <w:t>)</w:t>
            </w:r>
          </w:p>
          <w:p w:rsidRPr="009A3F85" w:rsidR="006D147C" w:rsidP="009A3F85">
            <w:pPr>
              <w:pStyle w:val="JuSigned"/>
              <w:spacing w:before="0"/>
              <w:jc w:val="center"/>
              <w:rPr>
                <w:lang w:val="uk-UA"/>
              </w:rPr>
            </w:pPr>
            <w:r w:rsidRPr="009A3F85">
              <w:rPr>
                <w:lang w:val="uk-UA"/>
              </w:rPr>
              <w:t>Голова</w:t>
            </w:r>
          </w:p>
        </w:tc>
      </w:tr>
    </w:tbl>
    <w:p w:rsidRPr="009A3F85" w:rsidR="006D147C" w:rsidP="009A3F85">
      <w:pPr>
        <w:pStyle w:val="JuParaLast"/>
        <w:rPr>
          <w:lang w:val="uk-UA"/>
        </w:rPr>
      </w:pPr>
      <w:r w:rsidRPr="009A3F85">
        <w:rPr>
          <w:lang w:val="uk-UA"/>
        </w:rPr>
        <w:t>Відповідно до пункту 2 статті 45 Конвенції та пункту 2 Правила 74 Регламенту Суду до цього рішення додаються окремі думки:</w:t>
      </w:r>
    </w:p>
    <w:p w:rsidRPr="009A3F85" w:rsidR="006D147C" w:rsidP="009A3F85">
      <w:pPr>
        <w:pStyle w:val="ECHRPara"/>
        <w:rPr>
          <w:rFonts w:eastAsia="Times New Roman"/>
          <w:lang w:val="uk-UA" w:eastAsia="fr-FR"/>
        </w:rPr>
      </w:pPr>
      <w:r w:rsidRPr="009A3F85">
        <w:rPr>
          <w:rFonts w:eastAsia="Times New Roman"/>
          <w:lang w:val="uk-UA" w:eastAsia="fr-FR"/>
        </w:rPr>
        <w:t xml:space="preserve">(a)  спільна думка суддів Юдківської та Лемменса, що </w:t>
      </w:r>
      <w:r w:rsidRPr="009A3F85" w:rsidR="00D17581">
        <w:rPr>
          <w:lang w:val="uk-UA"/>
        </w:rPr>
        <w:t xml:space="preserve">збігається </w:t>
      </w:r>
      <w:r w:rsidRPr="009A3F85">
        <w:rPr>
          <w:rFonts w:eastAsia="Times New Roman"/>
          <w:lang w:val="uk-UA" w:eastAsia="fr-FR"/>
        </w:rPr>
        <w:t xml:space="preserve">з думкою більшості </w:t>
      </w:r>
      <w:r w:rsidRPr="009A3F85" w:rsidR="00D17581">
        <w:rPr>
          <w:lang w:val="uk-UA"/>
        </w:rPr>
        <w:t>складу</w:t>
      </w:r>
      <w:r w:rsidRPr="009A3F85" w:rsidR="00D17581">
        <w:rPr>
          <w:rFonts w:eastAsia="Times New Roman"/>
          <w:lang w:val="uk-UA" w:eastAsia="fr-FR"/>
        </w:rPr>
        <w:t xml:space="preserve"> </w:t>
      </w:r>
      <w:r w:rsidRPr="009A3F85">
        <w:rPr>
          <w:rFonts w:eastAsia="Times New Roman"/>
          <w:lang w:val="uk-UA" w:eastAsia="fr-FR"/>
        </w:rPr>
        <w:t>Суду;</w:t>
      </w:r>
    </w:p>
    <w:p w:rsidRPr="009A3F85" w:rsidR="006D147C" w:rsidP="009A3F85">
      <w:pPr>
        <w:pStyle w:val="ECHRPara"/>
        <w:rPr>
          <w:rFonts w:eastAsia="Times New Roman"/>
          <w:lang w:val="uk-UA" w:eastAsia="fr-FR"/>
        </w:rPr>
      </w:pPr>
      <w:r w:rsidRPr="009A3F85">
        <w:rPr>
          <w:rFonts w:eastAsia="Times New Roman"/>
          <w:lang w:val="uk-UA" w:eastAsia="fr-FR"/>
        </w:rPr>
        <w:t xml:space="preserve">(b)  думка судді Войтичека, що </w:t>
      </w:r>
      <w:r w:rsidRPr="009A3F85" w:rsidR="00D17581">
        <w:rPr>
          <w:lang w:val="uk-UA"/>
        </w:rPr>
        <w:t>збігається</w:t>
      </w:r>
      <w:r w:rsidRPr="009A3F85" w:rsidR="00D17581">
        <w:rPr>
          <w:rFonts w:eastAsia="Times New Roman"/>
          <w:lang w:val="uk-UA" w:eastAsia="fr-FR"/>
        </w:rPr>
        <w:t xml:space="preserve"> </w:t>
      </w:r>
      <w:r w:rsidRPr="009A3F85">
        <w:rPr>
          <w:rFonts w:eastAsia="Times New Roman"/>
          <w:lang w:val="uk-UA" w:eastAsia="fr-FR"/>
        </w:rPr>
        <w:t>з думкою більшості</w:t>
      </w:r>
      <w:r w:rsidRPr="009A3F85" w:rsidR="00D17581">
        <w:rPr>
          <w:lang w:val="uk-UA"/>
        </w:rPr>
        <w:t xml:space="preserve"> складу</w:t>
      </w:r>
      <w:r w:rsidRPr="009A3F85" w:rsidR="00D17581">
        <w:rPr>
          <w:rFonts w:eastAsia="Times New Roman"/>
          <w:lang w:val="uk-UA" w:eastAsia="fr-FR"/>
        </w:rPr>
        <w:t xml:space="preserve"> </w:t>
      </w:r>
      <w:r w:rsidRPr="009A3F85">
        <w:rPr>
          <w:rFonts w:eastAsia="Times New Roman"/>
          <w:lang w:val="uk-UA" w:eastAsia="fr-FR"/>
        </w:rPr>
        <w:t>Суду.</w:t>
      </w:r>
    </w:p>
    <w:p w:rsidRPr="009A3F85" w:rsidR="006D147C" w:rsidP="009A3F85">
      <w:pPr>
        <w:pStyle w:val="JuInitialled"/>
        <w:rPr>
          <w:lang w:val="uk-UA"/>
        </w:rPr>
      </w:pPr>
      <w:r w:rsidRPr="009A3F85">
        <w:rPr>
          <w:lang w:val="uk-UA"/>
        </w:rPr>
        <w:t>Д.</w:t>
      </w:r>
      <w:r w:rsidRPr="009A3F85" w:rsidR="00D17581">
        <w:rPr>
          <w:lang w:val="uk-UA"/>
        </w:rPr>
        <w:t>Ш</w:t>
      </w:r>
      <w:r w:rsidRPr="009A3F85">
        <w:rPr>
          <w:lang w:val="uk-UA"/>
        </w:rPr>
        <w:t>.</w:t>
      </w:r>
      <w:r w:rsidRPr="009A3F85">
        <w:rPr>
          <w:lang w:val="uk-UA"/>
        </w:rPr>
        <w:br/>
        <w:t>Т.Л.Е.</w:t>
      </w:r>
    </w:p>
    <w:p w:rsidRPr="009A3F85" w:rsidR="006D147C" w:rsidP="009A3F85">
      <w:pPr>
        <w:pStyle w:val="ECHRPara"/>
        <w:rPr>
          <w:rFonts w:eastAsia="Times New Roman"/>
          <w:lang w:val="uk-UA" w:eastAsia="fr-FR"/>
        </w:rPr>
        <w:sectPr w:rsidSect="008174E8">
          <w:headerReference w:type="even" r:id="rId12"/>
          <w:footnotePr>
            <w:numRestart w:val="eachPage"/>
          </w:footnotePr>
          <w:pgSz w:w="11906" w:h="16838" w:code="9"/>
          <w:pgMar w:top="2274" w:right="2274" w:bottom="2274" w:left="2274" w:header="1701" w:footer="720" w:gutter="0"/>
          <w:pgNumType w:start="1"/>
          <w:cols w:space="720"/>
          <w:docGrid w:linePitch="326"/>
        </w:sectPr>
      </w:pPr>
    </w:p>
    <w:p w:rsidRPr="009A3F85" w:rsidR="006D147C" w:rsidP="009A3F85">
      <w:pPr>
        <w:pStyle w:val="OpiPara"/>
        <w:rPr>
          <w:rFonts w:eastAsia="Times New Roman"/>
          <w:lang w:val="uk-UA" w:eastAsia="fr-FR"/>
        </w:rPr>
      </w:pPr>
    </w:p>
    <w:p w:rsidRPr="009A3F85" w:rsidR="006D147C" w:rsidP="009A3F85">
      <w:pPr>
        <w:pStyle w:val="ECHRTitleCentre1"/>
        <w:rPr>
          <w:lang w:val="uk-UA"/>
        </w:rPr>
      </w:pPr>
      <w:r w:rsidRPr="009A3F85">
        <w:rPr>
          <w:lang w:val="uk-UA"/>
        </w:rPr>
        <w:t xml:space="preserve">СПІЛЬНА ДУМКА СУДДІВ ЮДКІВСЬКОЇ ТА ЛЕММЕНСА, ЩО </w:t>
      </w:r>
      <w:r w:rsidRPr="009A3F85" w:rsidR="00D17581">
        <w:rPr>
          <w:lang w:val="uk-UA"/>
        </w:rPr>
        <w:t xml:space="preserve">ЗБІГАЄТЬСЯ </w:t>
      </w:r>
      <w:r w:rsidRPr="009A3F85">
        <w:rPr>
          <w:lang w:val="uk-UA"/>
        </w:rPr>
        <w:t xml:space="preserve">З ДУМКОЮ БІЛЬШОСТІ </w:t>
      </w:r>
      <w:r w:rsidRPr="009A3F85" w:rsidR="00D17581">
        <w:rPr>
          <w:lang w:val="uk-UA"/>
        </w:rPr>
        <w:t xml:space="preserve">СКЛАДУ </w:t>
      </w:r>
      <w:r w:rsidRPr="009A3F85">
        <w:rPr>
          <w:lang w:val="uk-UA"/>
        </w:rPr>
        <w:t>СУДУ</w:t>
      </w:r>
    </w:p>
    <w:p w:rsidRPr="009A3F85" w:rsidR="006D147C" w:rsidP="009A3F85">
      <w:pPr>
        <w:pStyle w:val="OpiPara"/>
        <w:rPr>
          <w:lang w:val="uk-UA"/>
        </w:rPr>
      </w:pPr>
      <w:r w:rsidRPr="009A3F85">
        <w:rPr>
          <w:lang w:val="uk-UA"/>
        </w:rPr>
        <w:t xml:space="preserve">1.  Ми </w:t>
      </w:r>
      <w:r w:rsidRPr="009A3F85" w:rsidR="00FB0D4E">
        <w:rPr>
          <w:lang w:val="uk-UA"/>
        </w:rPr>
        <w:t xml:space="preserve">повністю </w:t>
      </w:r>
      <w:r w:rsidRPr="009A3F85">
        <w:rPr>
          <w:lang w:val="uk-UA"/>
        </w:rPr>
        <w:t>погоджуємося з висновком, що було порушено пункт 1 статті 6 Конвенції.</w:t>
      </w:r>
    </w:p>
    <w:p w:rsidRPr="009A3F85" w:rsidR="006D147C" w:rsidP="009A3F85">
      <w:pPr>
        <w:pStyle w:val="OpiPara"/>
        <w:rPr>
          <w:lang w:val="uk-UA"/>
        </w:rPr>
      </w:pPr>
      <w:r w:rsidRPr="009A3F85">
        <w:rPr>
          <w:lang w:val="uk-UA"/>
        </w:rPr>
        <w:t xml:space="preserve">З цієї точки зору рішення становить важливий крок вперед у напрямку захисту, передбаченого Конвенцією для </w:t>
      </w:r>
      <w:r w:rsidRPr="009A3F85" w:rsidR="00646F99">
        <w:rPr>
          <w:lang w:val="uk-UA"/>
        </w:rPr>
        <w:t>заявників,</w:t>
      </w:r>
      <w:r w:rsidRPr="009A3F85" w:rsidR="00FB0D4E">
        <w:rPr>
          <w:lang w:val="uk-UA"/>
        </w:rPr>
        <w:t xml:space="preserve"> які успішно подали скаргу про </w:t>
      </w:r>
      <w:r w:rsidRPr="009A3F85">
        <w:rPr>
          <w:lang w:val="uk-UA"/>
        </w:rPr>
        <w:t xml:space="preserve">порушення їхніх основоположних прав і які потім намагалися домогтися відновлення провадження на </w:t>
      </w:r>
      <w:r w:rsidRPr="009A3F85" w:rsidR="00944D06">
        <w:rPr>
          <w:lang w:val="uk-UA"/>
        </w:rPr>
        <w:t>національному рівні</w:t>
      </w:r>
      <w:r w:rsidRPr="009A3F85">
        <w:rPr>
          <w:lang w:val="uk-UA"/>
        </w:rPr>
        <w:t>.</w:t>
      </w:r>
    </w:p>
    <w:p w:rsidRPr="009A3F85" w:rsidR="006D147C" w:rsidP="009A3F85">
      <w:pPr>
        <w:pStyle w:val="OpiPara"/>
        <w:rPr>
          <w:lang w:val="uk-UA"/>
        </w:rPr>
      </w:pPr>
      <w:r w:rsidRPr="009A3F85">
        <w:rPr>
          <w:lang w:val="uk-UA"/>
        </w:rPr>
        <w:t xml:space="preserve">2.  Проте ми хотіли б зазначити, що </w:t>
      </w:r>
      <w:r w:rsidRPr="009A3F85" w:rsidR="00FB0D4E">
        <w:rPr>
          <w:lang w:val="uk-UA"/>
        </w:rPr>
        <w:t>ми віддаємо перевагу дещо ширшому обґрунтуванню</w:t>
      </w:r>
      <w:r w:rsidRPr="009A3F85" w:rsidR="00FB0D4E">
        <w:rPr>
          <w:lang w:val="uk-UA"/>
        </w:rPr>
        <w:t xml:space="preserve"> </w:t>
      </w:r>
      <w:r w:rsidRPr="009A3F85">
        <w:rPr>
          <w:lang w:val="uk-UA"/>
        </w:rPr>
        <w:t>частин</w:t>
      </w:r>
      <w:r w:rsidRPr="009A3F85" w:rsidR="00FB0D4E">
        <w:rPr>
          <w:lang w:val="uk-UA"/>
        </w:rPr>
        <w:t>и рішення</w:t>
      </w:r>
      <w:r w:rsidRPr="009A3F85">
        <w:rPr>
          <w:lang w:val="uk-UA"/>
        </w:rPr>
        <w:t xml:space="preserve">, </w:t>
      </w:r>
      <w:r w:rsidRPr="009A3F85" w:rsidR="00FB0D4E">
        <w:rPr>
          <w:lang w:val="uk-UA"/>
        </w:rPr>
        <w:t xml:space="preserve">у якій </w:t>
      </w:r>
      <w:r w:rsidRPr="009A3F85">
        <w:rPr>
          <w:lang w:val="uk-UA"/>
        </w:rPr>
        <w:t>розглядається застосовність пункту 1 статті 6 Конвенції до провадження у Верховному Суді України.</w:t>
      </w:r>
    </w:p>
    <w:p w:rsidRPr="009A3F85" w:rsidR="006D147C" w:rsidP="009A3F85">
      <w:pPr>
        <w:pStyle w:val="OpiPara"/>
        <w:rPr>
          <w:lang w:val="uk-UA"/>
        </w:rPr>
      </w:pPr>
      <w:r w:rsidRPr="009A3F85">
        <w:rPr>
          <w:lang w:val="uk-UA"/>
        </w:rPr>
        <w:t xml:space="preserve">На нашу думку, </w:t>
      </w:r>
      <w:r w:rsidRPr="009A3F85" w:rsidR="00944D06">
        <w:rPr>
          <w:lang w:val="uk-UA"/>
        </w:rPr>
        <w:t>достатньо</w:t>
      </w:r>
      <w:r w:rsidRPr="009A3F85">
        <w:rPr>
          <w:lang w:val="uk-UA"/>
        </w:rPr>
        <w:t xml:space="preserve"> відмітити, що провадження стосувалося судового перегляду рішень національних судів, включаючи первинну ухвалу Верховного Суду України від 22 серпня 2002 року, після висновку Суду</w:t>
      </w:r>
      <w:r w:rsidRPr="009A3F85" w:rsidR="00330937">
        <w:rPr>
          <w:lang w:val="uk-UA"/>
        </w:rPr>
        <w:t xml:space="preserve"> про несправедливість</w:t>
      </w:r>
      <w:r w:rsidRPr="009A3F85">
        <w:rPr>
          <w:lang w:val="uk-UA"/>
        </w:rPr>
        <w:t xml:space="preserve"> провадження у Верховному Суді України. Ми вважаємо дуже важливим той факт, що </w:t>
      </w:r>
      <w:r w:rsidRPr="009A3F85" w:rsidR="00FB0D4E">
        <w:rPr>
          <w:lang w:val="uk-UA"/>
        </w:rPr>
        <w:t xml:space="preserve">провадження за скаргою </w:t>
      </w:r>
      <w:r w:rsidRPr="009A3F85">
        <w:rPr>
          <w:lang w:val="uk-UA"/>
        </w:rPr>
        <w:t>заявниц</w:t>
      </w:r>
      <w:r w:rsidRPr="009A3F85" w:rsidR="00FB0D4E">
        <w:rPr>
          <w:lang w:val="uk-UA"/>
        </w:rPr>
        <w:t>і</w:t>
      </w:r>
      <w:r w:rsidRPr="009A3F85">
        <w:rPr>
          <w:lang w:val="uk-UA"/>
        </w:rPr>
        <w:t xml:space="preserve"> у зв</w:t>
      </w:r>
      <w:r w:rsidRPr="009A3F85" w:rsidR="009A3F85">
        <w:rPr>
          <w:lang w:val="uk-UA"/>
        </w:rPr>
        <w:t>’</w:t>
      </w:r>
      <w:r w:rsidRPr="009A3F85">
        <w:rPr>
          <w:lang w:val="uk-UA"/>
        </w:rPr>
        <w:t>язку з винятковими обставинами може вважатися продовженням первинного провадження</w:t>
      </w:r>
      <w:r w:rsidRPr="009A3F85" w:rsidR="00FB0D4E">
        <w:rPr>
          <w:lang w:val="uk-UA"/>
        </w:rPr>
        <w:t xml:space="preserve"> і є</w:t>
      </w:r>
      <w:r w:rsidRPr="009A3F85">
        <w:rPr>
          <w:lang w:val="uk-UA"/>
        </w:rPr>
        <w:t xml:space="preserve"> </w:t>
      </w:r>
      <w:r w:rsidRPr="009A3F85" w:rsidR="00FB0D4E">
        <w:rPr>
          <w:lang w:val="uk-UA"/>
        </w:rPr>
        <w:t xml:space="preserve">схожим </w:t>
      </w:r>
      <w:r w:rsidRPr="009A3F85">
        <w:rPr>
          <w:lang w:val="uk-UA"/>
        </w:rPr>
        <w:t>на касаційне (див. пункт 53 рішення).</w:t>
      </w:r>
    </w:p>
    <w:p w:rsidRPr="009A3F85" w:rsidR="006D147C" w:rsidP="009A3F85">
      <w:pPr>
        <w:pStyle w:val="OpiPara"/>
        <w:rPr>
          <w:lang w:val="uk-UA"/>
        </w:rPr>
      </w:pPr>
      <w:r w:rsidRPr="009A3F85">
        <w:rPr>
          <w:lang w:val="uk-UA"/>
        </w:rPr>
        <w:t>І навпаки</w:t>
      </w:r>
      <w:r w:rsidRPr="009A3F85">
        <w:rPr>
          <w:lang w:val="uk-UA"/>
        </w:rPr>
        <w:t xml:space="preserve">, ми не вважаємо, що до уваги слід брати спосіб, у який </w:t>
      </w:r>
      <w:r w:rsidRPr="009A3F85" w:rsidR="00EA6391">
        <w:rPr>
          <w:lang w:val="uk-UA"/>
        </w:rPr>
        <w:t>В</w:t>
      </w:r>
      <w:r w:rsidRPr="009A3F85">
        <w:rPr>
          <w:lang w:val="uk-UA"/>
        </w:rPr>
        <w:t xml:space="preserve">ерховний Суд України </w:t>
      </w:r>
      <w:r w:rsidRPr="009A3F85">
        <w:rPr>
          <w:lang w:val="uk-UA"/>
        </w:rPr>
        <w:t xml:space="preserve">фактично </w:t>
      </w:r>
      <w:r w:rsidRPr="009A3F85">
        <w:rPr>
          <w:lang w:val="uk-UA"/>
        </w:rPr>
        <w:t>виконував свої функції у рамках провадження за скаргою у зв</w:t>
      </w:r>
      <w:r w:rsidRPr="009A3F85" w:rsidR="009A3F85">
        <w:rPr>
          <w:lang w:val="uk-UA"/>
        </w:rPr>
        <w:t>’</w:t>
      </w:r>
      <w:r w:rsidRPr="009A3F85">
        <w:rPr>
          <w:lang w:val="uk-UA"/>
        </w:rPr>
        <w:t>язку з винятковими обставинами (див. пункт 54 рішення). Застосовність пункту 1 статті 6 Конвенції не має залежати від результатів провадження, зокрема</w:t>
      </w:r>
      <w:r w:rsidRPr="009A3F85" w:rsidR="00EA6391">
        <w:rPr>
          <w:lang w:val="uk-UA"/>
        </w:rPr>
        <w:t>,</w:t>
      </w:r>
      <w:r w:rsidRPr="009A3F85">
        <w:rPr>
          <w:lang w:val="uk-UA"/>
        </w:rPr>
        <w:t xml:space="preserve"> від того факту, що суд касаційної інстанції певною мірою міг розгля</w:t>
      </w:r>
      <w:r w:rsidRPr="009A3F85" w:rsidR="00EA6391">
        <w:rPr>
          <w:lang w:val="uk-UA"/>
        </w:rPr>
        <w:t>ну</w:t>
      </w:r>
      <w:r w:rsidRPr="009A3F85">
        <w:rPr>
          <w:lang w:val="uk-UA"/>
        </w:rPr>
        <w:t>ти питання щодо суті первинної позовної вимоги.</w:t>
      </w:r>
    </w:p>
    <w:p w:rsidRPr="009A3F85" w:rsidR="006D147C" w:rsidP="009A3F85">
      <w:pPr>
        <w:pStyle w:val="OpiPara"/>
        <w:rPr>
          <w:lang w:val="uk-UA"/>
        </w:rPr>
      </w:pPr>
      <w:r w:rsidRPr="009A3F85">
        <w:rPr>
          <w:lang w:val="uk-UA"/>
        </w:rPr>
        <w:t xml:space="preserve">3.  Ми також хотіли б наголосити на тому, що згадані у пункті 57 рішення принципи </w:t>
      </w:r>
      <w:r w:rsidRPr="009A3F85">
        <w:rPr>
          <w:i/>
          <w:iCs/>
          <w:lang w:val="uk-UA"/>
        </w:rPr>
        <w:t>res iudicata</w:t>
      </w:r>
      <w:r w:rsidRPr="009A3F85">
        <w:rPr>
          <w:lang w:val="uk-UA"/>
        </w:rPr>
        <w:t xml:space="preserve"> та юридичної визначеності не можна зайвий раз порушувати у таких справах як ця, оскільки можливість відновлення провадження у справі, </w:t>
      </w:r>
      <w:r w:rsidRPr="009A3F85" w:rsidR="00646F99">
        <w:rPr>
          <w:lang w:val="uk-UA"/>
        </w:rPr>
        <w:t xml:space="preserve">яке </w:t>
      </w:r>
      <w:r w:rsidRPr="009A3F85">
        <w:rPr>
          <w:lang w:val="uk-UA"/>
        </w:rPr>
        <w:t xml:space="preserve">було </w:t>
      </w:r>
      <w:r w:rsidRPr="009A3F85" w:rsidR="00646F99">
        <w:rPr>
          <w:lang w:val="uk-UA"/>
        </w:rPr>
        <w:t>завершене</w:t>
      </w:r>
      <w:r w:rsidRPr="009A3F85">
        <w:rPr>
          <w:lang w:val="uk-UA"/>
        </w:rPr>
        <w:t xml:space="preserve">, </w:t>
      </w:r>
      <w:r w:rsidRPr="009A3F85" w:rsidR="00FB0D4E">
        <w:rPr>
          <w:lang w:val="uk-UA"/>
        </w:rPr>
        <w:t>перш за все</w:t>
      </w:r>
      <w:r w:rsidRPr="009A3F85">
        <w:rPr>
          <w:lang w:val="uk-UA"/>
        </w:rPr>
        <w:t xml:space="preserve"> передбачено національним законодавством.</w:t>
      </w:r>
    </w:p>
    <w:p w:rsidRPr="009A3F85" w:rsidR="006D147C" w:rsidP="009A3F85">
      <w:pPr>
        <w:pStyle w:val="OpiPara"/>
        <w:rPr>
          <w:lang w:val="uk-UA"/>
        </w:rPr>
      </w:pPr>
      <w:r w:rsidRPr="009A3F85">
        <w:rPr>
          <w:lang w:val="uk-UA"/>
        </w:rPr>
        <w:t>У зв</w:t>
      </w:r>
      <w:r w:rsidRPr="009A3F85" w:rsidR="009A3F85">
        <w:rPr>
          <w:lang w:val="uk-UA"/>
        </w:rPr>
        <w:t>’</w:t>
      </w:r>
      <w:r w:rsidRPr="009A3F85">
        <w:rPr>
          <w:lang w:val="uk-UA"/>
        </w:rPr>
        <w:t>язку з цим ми повторюємо, що положення Конвенції слід тлумачити як такі, що гарантують права</w:t>
      </w:r>
      <w:r w:rsidRPr="009A3F85" w:rsidR="00EA6391">
        <w:rPr>
          <w:lang w:val="uk-UA"/>
        </w:rPr>
        <w:t>, що є</w:t>
      </w:r>
      <w:r w:rsidRPr="009A3F85">
        <w:rPr>
          <w:lang w:val="uk-UA"/>
        </w:rPr>
        <w:t xml:space="preserve"> практичними та ефективними. </w:t>
      </w:r>
      <w:r w:rsidRPr="009A3F85" w:rsidR="00EA6391">
        <w:rPr>
          <w:lang w:val="uk-UA"/>
        </w:rPr>
        <w:t>Принципове н</w:t>
      </w:r>
      <w:r w:rsidRPr="009A3F85">
        <w:rPr>
          <w:lang w:val="uk-UA"/>
        </w:rPr>
        <w:t xml:space="preserve">аголошення на незмінності ухвалених на </w:t>
      </w:r>
      <w:r w:rsidRPr="009A3F85" w:rsidR="00944D06">
        <w:rPr>
          <w:lang w:val="uk-UA"/>
        </w:rPr>
        <w:t>національному рівні</w:t>
      </w:r>
      <w:r w:rsidRPr="009A3F85">
        <w:rPr>
          <w:lang w:val="uk-UA"/>
        </w:rPr>
        <w:t xml:space="preserve"> рішень, визнаних Судом такими, що порушують положення Конвенції, може </w:t>
      </w:r>
      <w:r w:rsidRPr="009A3F85" w:rsidR="00FB0D4E">
        <w:rPr>
          <w:lang w:val="uk-UA"/>
        </w:rPr>
        <w:t xml:space="preserve">значною мірою </w:t>
      </w:r>
      <w:r w:rsidRPr="009A3F85">
        <w:rPr>
          <w:lang w:val="uk-UA"/>
        </w:rPr>
        <w:t>означати позбавлення рішень Суду їхнього реального впливу, таким чином перетворюючи страсбурзький засіб юридичного захисту на ілюзорний.</w:t>
      </w:r>
    </w:p>
    <w:p w:rsidRPr="009A3F85" w:rsidR="006D147C" w:rsidP="009A3F85">
      <w:pPr>
        <w:pStyle w:val="OpiPara"/>
        <w:rPr>
          <w:lang w:val="uk-UA"/>
        </w:rPr>
      </w:pPr>
      <w:r w:rsidRPr="009A3F85">
        <w:rPr>
          <w:lang w:val="uk-UA"/>
        </w:rPr>
        <w:t xml:space="preserve">4.  Користуючись нагодою, ми зазначаємо, що загалом ми схиляємося до більш широкого підходу до застосовності пункту 1 статті 6 Конвенції </w:t>
      </w:r>
      <w:r w:rsidRPr="009A3F85" w:rsidR="00646F99">
        <w:rPr>
          <w:lang w:val="uk-UA"/>
        </w:rPr>
        <w:t>до</w:t>
      </w:r>
      <w:r w:rsidRPr="009A3F85">
        <w:rPr>
          <w:lang w:val="uk-UA"/>
        </w:rPr>
        <w:t xml:space="preserve"> </w:t>
      </w:r>
      <w:r w:rsidRPr="009A3F85" w:rsidR="00646F99">
        <w:rPr>
          <w:lang w:val="uk-UA"/>
        </w:rPr>
        <w:t xml:space="preserve">проваджень </w:t>
      </w:r>
      <w:r w:rsidRPr="009A3F85">
        <w:rPr>
          <w:lang w:val="uk-UA"/>
        </w:rPr>
        <w:t>у цивільних справах.</w:t>
      </w:r>
    </w:p>
    <w:p w:rsidRPr="009A3F85" w:rsidR="006D147C" w:rsidP="009A3F85">
      <w:pPr>
        <w:pStyle w:val="OpiPara"/>
        <w:rPr>
          <w:lang w:val="uk-UA"/>
        </w:rPr>
      </w:pPr>
      <w:r w:rsidRPr="009A3F85">
        <w:rPr>
          <w:lang w:val="uk-UA"/>
        </w:rPr>
        <w:t xml:space="preserve">Слід </w:t>
      </w:r>
      <w:r w:rsidRPr="009A3F85" w:rsidR="00FB0D4E">
        <w:rPr>
          <w:lang w:val="uk-UA"/>
        </w:rPr>
        <w:t xml:space="preserve">запитати </w:t>
      </w:r>
      <w:r w:rsidRPr="009A3F85">
        <w:rPr>
          <w:lang w:val="uk-UA"/>
        </w:rPr>
        <w:t xml:space="preserve">себе, чи не застосовується пункт 1 статті 6 Конвенції до </w:t>
      </w:r>
      <w:r w:rsidRPr="009A3F85">
        <w:rPr>
          <w:i/>
          <w:lang w:val="uk-UA"/>
        </w:rPr>
        <w:t>усіх</w:t>
      </w:r>
      <w:r w:rsidRPr="009A3F85">
        <w:rPr>
          <w:lang w:val="uk-UA"/>
        </w:rPr>
        <w:t xml:space="preserve"> судових проваджень, що стосуються захищених законом прав або інтересів</w:t>
      </w:r>
      <w:r w:rsidRPr="009A3F85" w:rsidR="00EA6391">
        <w:rPr>
          <w:lang w:val="uk-UA"/>
        </w:rPr>
        <w:t>,</w:t>
      </w:r>
      <w:r w:rsidRPr="009A3F85">
        <w:rPr>
          <w:lang w:val="uk-UA"/>
        </w:rPr>
        <w:t xml:space="preserve"> незалежно від міри, якою вони вважаються вирішальними у вирішенні спорів щодо будь-якого права та обов</w:t>
      </w:r>
      <w:r w:rsidRPr="009A3F85" w:rsidR="009A3F85">
        <w:rPr>
          <w:lang w:val="uk-UA"/>
        </w:rPr>
        <w:t>’</w:t>
      </w:r>
      <w:r w:rsidRPr="009A3F85">
        <w:rPr>
          <w:lang w:val="uk-UA"/>
        </w:rPr>
        <w:t>язку (цивільного характеру). Такий підхід дозволить уникнути тривалих розглядів питання, чи підпадають конкретні провадження</w:t>
      </w:r>
      <w:r w:rsidRPr="009A3F85" w:rsidR="00FB0D4E">
        <w:rPr>
          <w:lang w:val="uk-UA"/>
        </w:rPr>
        <w:t>, зважаючи на їхні специфічні риси,</w:t>
      </w:r>
      <w:r w:rsidRPr="009A3F85">
        <w:rPr>
          <w:lang w:val="uk-UA"/>
        </w:rPr>
        <w:t xml:space="preserve"> під дію пункту 1 статті 6 Конвенції.</w:t>
      </w:r>
    </w:p>
    <w:p w:rsidRPr="009A3F85" w:rsidR="00C302FE" w:rsidP="009A3F85">
      <w:pPr>
        <w:pStyle w:val="ECHRPara"/>
      </w:pPr>
      <w:r w:rsidRPr="009A3F85">
        <w:br w:type="page"/>
      </w:r>
    </w:p>
    <w:p w:rsidRPr="009A3F85" w:rsidR="009A3F85" w:rsidP="009A3F85">
      <w:pPr>
        <w:pStyle w:val="ECHRTitleCentre1"/>
        <w:spacing w:before="480"/>
        <w:rPr>
          <w:lang w:val="uk-UA"/>
        </w:rPr>
      </w:pPr>
      <w:r w:rsidRPr="009A3F85">
        <w:rPr>
          <w:lang w:val="uk-UA"/>
        </w:rPr>
        <w:t>ДУМКА СУДДІ ВОЙТИЧЕКА, ЩО ЗБІГАЄТЬСЯ З ДУМКОЮ БІЛЬШОСТІ СКЛАДУ СУДУ</w:t>
      </w:r>
    </w:p>
    <w:p w:rsidRPr="009A3F85" w:rsidR="00D17581" w:rsidP="009A3F85">
      <w:pPr>
        <w:pStyle w:val="OpiTranslation"/>
        <w:rPr>
          <w:lang w:val="uk-UA"/>
        </w:rPr>
      </w:pPr>
      <w:r w:rsidRPr="009A3F85">
        <w:rPr>
          <w:lang w:val="uk-UA"/>
        </w:rPr>
        <w:t>(Переклад)</w:t>
      </w:r>
    </w:p>
    <w:p w:rsidRPr="009A3F85" w:rsidR="00D17581" w:rsidP="009A3F85">
      <w:pPr>
        <w:pStyle w:val="OpiPara"/>
        <w:rPr>
          <w:lang w:val="uk-UA"/>
        </w:rPr>
      </w:pPr>
    </w:p>
    <w:p w:rsidRPr="009A3F85" w:rsidR="00D17581" w:rsidP="009A3F85">
      <w:pPr>
        <w:pStyle w:val="OpiPara"/>
        <w:rPr>
          <w:lang w:val="uk-UA"/>
        </w:rPr>
      </w:pPr>
      <w:r w:rsidRPr="009A3F85">
        <w:rPr>
          <w:lang w:val="uk-UA"/>
        </w:rPr>
        <w:t>1.  У цій справ</w:t>
      </w:r>
      <w:r w:rsidRPr="009A3F85" w:rsidR="00FB0D4E">
        <w:rPr>
          <w:lang w:val="uk-UA"/>
        </w:rPr>
        <w:t>і</w:t>
      </w:r>
      <w:r w:rsidRPr="009A3F85">
        <w:rPr>
          <w:lang w:val="uk-UA"/>
        </w:rPr>
        <w:t xml:space="preserve"> я проголосував разом з більшістю </w:t>
      </w:r>
      <w:r w:rsidRPr="009A3F85" w:rsidR="00C67657">
        <w:rPr>
          <w:lang w:val="uk-UA"/>
        </w:rPr>
        <w:t>за</w:t>
      </w:r>
      <w:r w:rsidRPr="009A3F85">
        <w:rPr>
          <w:lang w:val="uk-UA"/>
        </w:rPr>
        <w:t xml:space="preserve"> встановленн</w:t>
      </w:r>
      <w:r w:rsidRPr="009A3F85" w:rsidR="004B7C1E">
        <w:rPr>
          <w:lang w:val="uk-UA"/>
        </w:rPr>
        <w:t>я</w:t>
      </w:r>
      <w:r w:rsidRPr="009A3F85">
        <w:rPr>
          <w:lang w:val="uk-UA"/>
        </w:rPr>
        <w:t xml:space="preserve"> порушення пункту 1 статті 6 Конвенції. Проте </w:t>
      </w:r>
      <w:r w:rsidRPr="009A3F85" w:rsidR="00C67657">
        <w:rPr>
          <w:lang w:val="uk-UA"/>
        </w:rPr>
        <w:t>у</w:t>
      </w:r>
      <w:r w:rsidRPr="009A3F85">
        <w:rPr>
          <w:lang w:val="uk-UA"/>
        </w:rPr>
        <w:t xml:space="preserve"> мене є деякі сумніви щодо </w:t>
      </w:r>
      <w:r w:rsidRPr="009A3F85" w:rsidR="004B7C1E">
        <w:rPr>
          <w:lang w:val="uk-UA"/>
        </w:rPr>
        <w:t xml:space="preserve">обґрунтування </w:t>
      </w:r>
      <w:r w:rsidRPr="009A3F85">
        <w:rPr>
          <w:lang w:val="uk-UA"/>
        </w:rPr>
        <w:t xml:space="preserve">рішення, зокрема щодо міркувань про застосовність статті 6 Конвенції до проваджень за скаргами про </w:t>
      </w:r>
      <w:r w:rsidRPr="009A3F85" w:rsidR="003C10AC">
        <w:rPr>
          <w:lang w:val="uk-UA"/>
        </w:rPr>
        <w:t xml:space="preserve">екстраординарний </w:t>
      </w:r>
      <w:r w:rsidRPr="009A3F85">
        <w:rPr>
          <w:lang w:val="uk-UA"/>
        </w:rPr>
        <w:t>перегляд судових рішень.</w:t>
      </w:r>
    </w:p>
    <w:p w:rsidRPr="009A3F85" w:rsidR="00D17581" w:rsidP="009A3F85">
      <w:pPr>
        <w:pStyle w:val="OpiPara"/>
        <w:rPr>
          <w:lang w:val="uk-UA"/>
        </w:rPr>
      </w:pPr>
      <w:r w:rsidRPr="009A3F85">
        <w:rPr>
          <w:lang w:val="uk-UA"/>
        </w:rPr>
        <w:t>2.  Питання</w:t>
      </w:r>
      <w:r w:rsidRPr="009A3F85" w:rsidR="00C67657">
        <w:rPr>
          <w:lang w:val="uk-UA"/>
        </w:rPr>
        <w:t>, чи застосовується</w:t>
      </w:r>
      <w:r w:rsidRPr="009A3F85" w:rsidR="004B7C1E">
        <w:rPr>
          <w:lang w:val="uk-UA"/>
        </w:rPr>
        <w:t xml:space="preserve"> </w:t>
      </w:r>
      <w:r w:rsidRPr="009A3F85" w:rsidR="00D423F7">
        <w:rPr>
          <w:lang w:val="uk-UA"/>
        </w:rPr>
        <w:t xml:space="preserve">і якою мірою застосовується </w:t>
      </w:r>
      <w:r w:rsidRPr="009A3F85">
        <w:rPr>
          <w:lang w:val="uk-UA"/>
        </w:rPr>
        <w:t xml:space="preserve">стаття 6 Конвенції до проваджень за </w:t>
      </w:r>
      <w:r w:rsidRPr="009A3F85" w:rsidR="00C67657">
        <w:rPr>
          <w:lang w:val="uk-UA"/>
        </w:rPr>
        <w:t xml:space="preserve">скаргами </w:t>
      </w:r>
      <w:r w:rsidRPr="009A3F85">
        <w:rPr>
          <w:lang w:val="uk-UA"/>
        </w:rPr>
        <w:t xml:space="preserve">щодо </w:t>
      </w:r>
      <w:r w:rsidRPr="009A3F85" w:rsidR="003C10AC">
        <w:rPr>
          <w:lang w:val="uk-UA"/>
        </w:rPr>
        <w:t xml:space="preserve">екстраординарного </w:t>
      </w:r>
      <w:r w:rsidRPr="009A3F85">
        <w:rPr>
          <w:lang w:val="uk-UA"/>
        </w:rPr>
        <w:t xml:space="preserve">перегляду судових рішень або окремих рішень адміністративних органів, є дуже непростим з огляду на значну складність процесуального законодавства в Європі та його відмінності. Окрім </w:t>
      </w:r>
      <w:r w:rsidRPr="009A3F85" w:rsidR="004B7C1E">
        <w:rPr>
          <w:lang w:val="uk-UA"/>
        </w:rPr>
        <w:t>труднощів, пов</w:t>
      </w:r>
      <w:r w:rsidRPr="009A3F85" w:rsidR="009A3F85">
        <w:rPr>
          <w:lang w:val="uk-UA"/>
        </w:rPr>
        <w:t>’</w:t>
      </w:r>
      <w:r w:rsidRPr="009A3F85" w:rsidR="004B7C1E">
        <w:rPr>
          <w:lang w:val="uk-UA"/>
        </w:rPr>
        <w:t>язаних із суттю питання,</w:t>
      </w:r>
      <w:r w:rsidRPr="009A3F85">
        <w:rPr>
          <w:lang w:val="uk-UA"/>
        </w:rPr>
        <w:t xml:space="preserve"> існують лінгвістичні </w:t>
      </w:r>
      <w:r w:rsidRPr="009A3F85" w:rsidR="004B7C1E">
        <w:rPr>
          <w:lang w:val="uk-UA"/>
        </w:rPr>
        <w:t>проблеми</w:t>
      </w:r>
      <w:r w:rsidRPr="009A3F85">
        <w:rPr>
          <w:lang w:val="uk-UA"/>
        </w:rPr>
        <w:t>, які у цій сфері стоять особливо гостро, оскільки багато юридичних термінів, що використовуються у законодавстві Договірних Сторін, не мають еквіваленту в офіційних мовах Суду.</w:t>
      </w:r>
    </w:p>
    <w:p w:rsidRPr="009A3F85" w:rsidR="00D17581" w:rsidP="009A3F85">
      <w:pPr>
        <w:pStyle w:val="OpiPara"/>
        <w:rPr>
          <w:lang w:val="uk-UA"/>
        </w:rPr>
      </w:pPr>
      <w:r w:rsidRPr="009A3F85">
        <w:rPr>
          <w:lang w:val="uk-UA"/>
        </w:rPr>
        <w:t xml:space="preserve">Я зазначаю, що у своїй попередній практиці Суд </w:t>
      </w:r>
      <w:r w:rsidRPr="009A3F85" w:rsidR="004B7C1E">
        <w:rPr>
          <w:lang w:val="uk-UA"/>
        </w:rPr>
        <w:t xml:space="preserve">погоджувався </w:t>
      </w:r>
      <w:r w:rsidRPr="009A3F85">
        <w:rPr>
          <w:lang w:val="uk-UA"/>
        </w:rPr>
        <w:t xml:space="preserve">із застосовністю статті 6 Конвенції до «касаційних скарг» у судових провадженнях деяких держав, навіть якщо така скарга згідно з національним законодавством вважається </w:t>
      </w:r>
      <w:r w:rsidRPr="009A3F85" w:rsidR="00F71E0E">
        <w:rPr>
          <w:lang w:val="uk-UA"/>
        </w:rPr>
        <w:t xml:space="preserve">екстраординарним </w:t>
      </w:r>
      <w:r w:rsidRPr="009A3F85">
        <w:rPr>
          <w:lang w:val="uk-UA"/>
        </w:rPr>
        <w:t>засобом юридичного захисту. З іншого боку</w:t>
      </w:r>
      <w:r w:rsidRPr="009A3F85" w:rsidR="004B7C1E">
        <w:rPr>
          <w:lang w:val="uk-UA"/>
        </w:rPr>
        <w:t>,</w:t>
      </w:r>
      <w:r w:rsidRPr="009A3F85">
        <w:rPr>
          <w:lang w:val="uk-UA"/>
        </w:rPr>
        <w:t xml:space="preserve"> Суд</w:t>
      </w:r>
      <w:r w:rsidRPr="009A3F85" w:rsidR="004B7C1E">
        <w:rPr>
          <w:lang w:val="uk-UA"/>
        </w:rPr>
        <w:t xml:space="preserve"> доходить висновку про принципову незастосовність</w:t>
      </w:r>
      <w:r w:rsidRPr="009A3F85">
        <w:rPr>
          <w:lang w:val="uk-UA"/>
        </w:rPr>
        <w:t xml:space="preserve"> статт</w:t>
      </w:r>
      <w:r w:rsidRPr="009A3F85" w:rsidR="004B7C1E">
        <w:rPr>
          <w:lang w:val="uk-UA"/>
        </w:rPr>
        <w:t>і</w:t>
      </w:r>
      <w:r w:rsidRPr="009A3F85">
        <w:rPr>
          <w:lang w:val="uk-UA"/>
        </w:rPr>
        <w:t> 6 Конвенції до провадження за зверненням про «</w:t>
      </w:r>
      <w:r w:rsidRPr="009A3F85" w:rsidR="00C67657">
        <w:rPr>
          <w:lang w:val="uk-UA"/>
        </w:rPr>
        <w:t xml:space="preserve">відновлення </w:t>
      </w:r>
      <w:r w:rsidRPr="009A3F85">
        <w:rPr>
          <w:lang w:val="uk-UA"/>
        </w:rPr>
        <w:t xml:space="preserve">судового провадження» (див. рішення у справах, наведених у пункті 44 рішення). Водночас Суд у кількох справах </w:t>
      </w:r>
      <w:r w:rsidRPr="009A3F85" w:rsidR="004B7C1E">
        <w:rPr>
          <w:lang w:val="uk-UA"/>
        </w:rPr>
        <w:t>в</w:t>
      </w:r>
      <w:r w:rsidRPr="009A3F85">
        <w:rPr>
          <w:lang w:val="uk-UA"/>
        </w:rPr>
        <w:t>станов</w:t>
      </w:r>
      <w:r w:rsidRPr="009A3F85" w:rsidR="004B7C1E">
        <w:rPr>
          <w:lang w:val="uk-UA"/>
        </w:rPr>
        <w:t>люва</w:t>
      </w:r>
      <w:r w:rsidRPr="009A3F85">
        <w:rPr>
          <w:lang w:val="uk-UA"/>
        </w:rPr>
        <w:t xml:space="preserve">в застосовність статті 6 Конвенції до інших </w:t>
      </w:r>
      <w:r w:rsidRPr="009A3F85" w:rsidR="00F71E0E">
        <w:rPr>
          <w:lang w:val="uk-UA"/>
        </w:rPr>
        <w:t xml:space="preserve">екстраординарних </w:t>
      </w:r>
      <w:r w:rsidRPr="009A3F85">
        <w:rPr>
          <w:lang w:val="uk-UA"/>
        </w:rPr>
        <w:t>засобів юридичного захисту, передбачених законодавством певних держав (див., зокрема, рішення у справах «Меліс проти Греції» (</w:t>
      </w:r>
      <w:r w:rsidRPr="009A3F85">
        <w:rPr>
          <w:i/>
          <w:lang w:val="uk-UA"/>
        </w:rPr>
        <w:t>Melis v. Greece</w:t>
      </w:r>
      <w:r w:rsidRPr="009A3F85">
        <w:rPr>
          <w:lang w:val="uk-UA"/>
        </w:rPr>
        <w:t>), заява № 30604/07, п. 19, від 22 липня 2010 року; «“San Leonard Band Club” проти Мальти»</w:t>
      </w:r>
      <w:r w:rsidRPr="009A3F85">
        <w:rPr>
          <w:i/>
          <w:lang w:val="uk-UA"/>
        </w:rPr>
        <w:t xml:space="preserve"> </w:t>
      </w:r>
      <w:r w:rsidRPr="009A3F85">
        <w:rPr>
          <w:lang w:val="uk-UA"/>
        </w:rPr>
        <w:t>(</w:t>
      </w:r>
      <w:r w:rsidRPr="009A3F85">
        <w:rPr>
          <w:i/>
          <w:lang w:val="uk-UA"/>
        </w:rPr>
        <w:t>San Leonard Band Club v. Malta</w:t>
      </w:r>
      <w:r w:rsidRPr="009A3F85">
        <w:rPr>
          <w:lang w:val="uk-UA"/>
        </w:rPr>
        <w:t>), заява № 77562/01, ECHR 2004-IX; «Маресті проти Хорватії» (</w:t>
      </w:r>
      <w:r w:rsidRPr="009A3F85">
        <w:rPr>
          <w:i/>
          <w:lang w:val="uk-UA"/>
        </w:rPr>
        <w:t>Maresti v. Croatia</w:t>
      </w:r>
      <w:r w:rsidRPr="009A3F85">
        <w:rPr>
          <w:lang w:val="uk-UA"/>
        </w:rPr>
        <w:t>), заява № 55759/07, від 25 </w:t>
      </w:r>
      <w:r w:rsidRPr="009A3F85" w:rsidR="004B7C1E">
        <w:rPr>
          <w:lang w:val="uk-UA"/>
        </w:rPr>
        <w:t xml:space="preserve">червня </w:t>
      </w:r>
      <w:r w:rsidRPr="009A3F85">
        <w:rPr>
          <w:lang w:val="uk-UA"/>
        </w:rPr>
        <w:t>2009 року; та «J.S. і A.S. проти Польщі» (</w:t>
      </w:r>
      <w:r w:rsidRPr="009A3F85">
        <w:rPr>
          <w:i/>
          <w:lang w:val="uk-UA"/>
        </w:rPr>
        <w:t>J.S. and A.S. v. Poland</w:t>
      </w:r>
      <w:r w:rsidRPr="009A3F85">
        <w:rPr>
          <w:lang w:val="uk-UA"/>
        </w:rPr>
        <w:t>), заява № 40732/98, від 24 травня 2005 року).</w:t>
      </w:r>
    </w:p>
    <w:p w:rsidRPr="009A3F85" w:rsidR="00D17581" w:rsidP="009A3F85">
      <w:pPr>
        <w:pStyle w:val="OpiPara"/>
        <w:rPr>
          <w:lang w:val="uk-UA"/>
        </w:rPr>
      </w:pPr>
      <w:r w:rsidRPr="009A3F85">
        <w:rPr>
          <w:lang w:val="uk-UA"/>
        </w:rPr>
        <w:t>У цих рішеннях наводилися різні доводи для обґрунтування застосовності статті 6 Конвенції. У рішенні у справі «“San Leonard Band Club” проти Мальти»</w:t>
      </w:r>
      <w:r w:rsidRPr="009A3F85">
        <w:rPr>
          <w:i/>
          <w:lang w:val="uk-UA"/>
        </w:rPr>
        <w:t xml:space="preserve"> </w:t>
      </w:r>
      <w:r w:rsidRPr="009A3F85">
        <w:rPr>
          <w:lang w:val="uk-UA"/>
        </w:rPr>
        <w:t>(</w:t>
      </w:r>
      <w:r w:rsidRPr="009A3F85">
        <w:rPr>
          <w:i/>
          <w:lang w:val="uk-UA"/>
        </w:rPr>
        <w:t>San Leonard Band Club v. Malta</w:t>
      </w:r>
      <w:r w:rsidRPr="009A3F85">
        <w:rPr>
          <w:lang w:val="uk-UA"/>
        </w:rPr>
        <w:t xml:space="preserve">) щодо </w:t>
      </w:r>
      <w:r w:rsidRPr="009A3F85" w:rsidR="003177CE">
        <w:rPr>
          <w:lang w:val="uk-UA"/>
        </w:rPr>
        <w:t>клопотання</w:t>
      </w:r>
      <w:r w:rsidRPr="009A3F85" w:rsidR="004B7C1E">
        <w:rPr>
          <w:lang w:val="uk-UA"/>
        </w:rPr>
        <w:t xml:space="preserve"> </w:t>
      </w:r>
      <w:r w:rsidRPr="009A3F85">
        <w:rPr>
          <w:lang w:val="uk-UA"/>
        </w:rPr>
        <w:t xml:space="preserve">про перегляд у кримінальній справі Суд наголосив на трьох чинниках: 1) </w:t>
      </w:r>
      <w:r w:rsidRPr="009A3F85" w:rsidR="003177CE">
        <w:rPr>
          <w:lang w:val="uk-UA"/>
        </w:rPr>
        <w:t>клопотання</w:t>
      </w:r>
      <w:r w:rsidRPr="009A3F85" w:rsidR="004B7C1E">
        <w:rPr>
          <w:lang w:val="uk-UA"/>
        </w:rPr>
        <w:t xml:space="preserve"> </w:t>
      </w:r>
      <w:r w:rsidRPr="009A3F85">
        <w:rPr>
          <w:lang w:val="uk-UA"/>
        </w:rPr>
        <w:t>про судовий перегляд</w:t>
      </w:r>
      <w:r w:rsidRPr="009A3F85" w:rsidR="004B7C1E">
        <w:rPr>
          <w:lang w:val="uk-UA"/>
        </w:rPr>
        <w:t>, як</w:t>
      </w:r>
      <w:r w:rsidRPr="009A3F85" w:rsidR="003177CE">
        <w:rPr>
          <w:lang w:val="uk-UA"/>
        </w:rPr>
        <w:t>е</w:t>
      </w:r>
      <w:r w:rsidRPr="009A3F85">
        <w:rPr>
          <w:lang w:val="uk-UA"/>
        </w:rPr>
        <w:t xml:space="preserve"> </w:t>
      </w:r>
      <w:r w:rsidRPr="009A3F85" w:rsidR="00D97271">
        <w:rPr>
          <w:lang w:val="uk-UA"/>
        </w:rPr>
        <w:t xml:space="preserve">згідно із </w:t>
      </w:r>
      <w:r w:rsidRPr="009A3F85" w:rsidR="00D97271">
        <w:rPr>
          <w:lang w:val="uk-UA"/>
        </w:rPr>
        <w:t>законодавством Мальти</w:t>
      </w:r>
      <w:r w:rsidRPr="009A3F85" w:rsidR="003177CE">
        <w:rPr>
          <w:lang w:val="uk-UA"/>
        </w:rPr>
        <w:t xml:space="preserve"> є</w:t>
      </w:r>
      <w:r w:rsidRPr="009A3F85" w:rsidR="00D97271">
        <w:rPr>
          <w:lang w:val="uk-UA"/>
        </w:rPr>
        <w:t xml:space="preserve"> єдиним засобом оскарження рішення, </w:t>
      </w:r>
      <w:r w:rsidRPr="009A3F85" w:rsidR="003177CE">
        <w:rPr>
          <w:lang w:val="uk-UA"/>
        </w:rPr>
        <w:t xml:space="preserve">яке </w:t>
      </w:r>
      <w:r w:rsidRPr="009A3F85">
        <w:rPr>
          <w:lang w:val="uk-UA"/>
        </w:rPr>
        <w:t>бул</w:t>
      </w:r>
      <w:r w:rsidRPr="009A3F85" w:rsidR="003177CE">
        <w:rPr>
          <w:lang w:val="uk-UA"/>
        </w:rPr>
        <w:t>о</w:t>
      </w:r>
      <w:r w:rsidRPr="009A3F85">
        <w:rPr>
          <w:lang w:val="uk-UA"/>
        </w:rPr>
        <w:t xml:space="preserve"> залишен</w:t>
      </w:r>
      <w:r w:rsidRPr="009A3F85" w:rsidR="003177CE">
        <w:rPr>
          <w:lang w:val="uk-UA"/>
        </w:rPr>
        <w:t>е</w:t>
      </w:r>
      <w:r w:rsidRPr="009A3F85">
        <w:rPr>
          <w:lang w:val="uk-UA"/>
        </w:rPr>
        <w:t xml:space="preserve"> без змін в апеляційному порядку; 2) </w:t>
      </w:r>
      <w:r w:rsidRPr="009A3F85" w:rsidR="003177CE">
        <w:rPr>
          <w:lang w:val="uk-UA"/>
        </w:rPr>
        <w:t>клопотання</w:t>
      </w:r>
      <w:r w:rsidRPr="009A3F85" w:rsidR="004B7C1E">
        <w:rPr>
          <w:lang w:val="uk-UA"/>
        </w:rPr>
        <w:t xml:space="preserve"> </w:t>
      </w:r>
      <w:r w:rsidRPr="009A3F85">
        <w:rPr>
          <w:lang w:val="uk-UA"/>
        </w:rPr>
        <w:t xml:space="preserve">у зазначеній справі </w:t>
      </w:r>
      <w:r w:rsidRPr="009A3F85" w:rsidR="00D97271">
        <w:rPr>
          <w:lang w:val="uk-UA"/>
        </w:rPr>
        <w:t>ґрунтувал</w:t>
      </w:r>
      <w:r w:rsidRPr="009A3F85" w:rsidR="003177CE">
        <w:rPr>
          <w:lang w:val="uk-UA"/>
        </w:rPr>
        <w:t>о</w:t>
      </w:r>
      <w:r w:rsidRPr="009A3F85" w:rsidR="00D97271">
        <w:rPr>
          <w:lang w:val="uk-UA"/>
        </w:rPr>
        <w:t xml:space="preserve">ся </w:t>
      </w:r>
      <w:r w:rsidRPr="009A3F85">
        <w:rPr>
          <w:lang w:val="uk-UA"/>
        </w:rPr>
        <w:t>на помилковому, як стверджувалося, застосуванні закону; та 3) при дотриманні вимог законодавства звернення автоматично призводило до нового розгляду справи по суті за відсутності свободи розсуду у вирішенні питання щодо його доцільності.</w:t>
      </w:r>
    </w:p>
    <w:p w:rsidRPr="009A3F85" w:rsidR="00D17581" w:rsidP="009A3F85">
      <w:pPr>
        <w:pStyle w:val="OpiPara"/>
        <w:rPr>
          <w:lang w:val="uk-UA"/>
        </w:rPr>
      </w:pPr>
      <w:r w:rsidRPr="009A3F85">
        <w:rPr>
          <w:lang w:val="uk-UA"/>
        </w:rPr>
        <w:t>У рішенні у справі «Меліс проти Греції» (</w:t>
      </w:r>
      <w:r w:rsidRPr="009A3F85">
        <w:rPr>
          <w:i/>
          <w:lang w:val="uk-UA"/>
        </w:rPr>
        <w:t>Melis v. Greece</w:t>
      </w:r>
      <w:r w:rsidRPr="009A3F85">
        <w:rPr>
          <w:lang w:val="uk-UA"/>
        </w:rPr>
        <w:t xml:space="preserve">), яка стосувалась </w:t>
      </w:r>
      <w:r w:rsidRPr="009A3F85" w:rsidR="00D97271">
        <w:rPr>
          <w:lang w:val="uk-UA"/>
        </w:rPr>
        <w:t xml:space="preserve">заяви </w:t>
      </w:r>
      <w:r w:rsidRPr="009A3F85">
        <w:rPr>
          <w:lang w:val="uk-UA"/>
        </w:rPr>
        <w:t>про відновлення провадження, Суд підкреслив</w:t>
      </w:r>
      <w:r w:rsidRPr="009A3F85" w:rsidR="00D97271">
        <w:rPr>
          <w:lang w:val="uk-UA"/>
        </w:rPr>
        <w:t>, що</w:t>
      </w:r>
      <w:r w:rsidRPr="009A3F85">
        <w:rPr>
          <w:lang w:val="uk-UA"/>
        </w:rPr>
        <w:t xml:space="preserve"> «вирішальним чинником</w:t>
      </w:r>
      <w:r w:rsidRPr="009A3F85" w:rsidR="009A3F85">
        <w:rPr>
          <w:lang w:val="uk-UA"/>
        </w:rPr>
        <w:t>...</w:t>
      </w:r>
      <w:r w:rsidRPr="009A3F85">
        <w:rPr>
          <w:lang w:val="uk-UA"/>
        </w:rPr>
        <w:t xml:space="preserve"> було те, що у цій справі </w:t>
      </w:r>
      <w:r w:rsidRPr="009A3F85" w:rsidR="00D97271">
        <w:rPr>
          <w:lang w:val="uk-UA"/>
        </w:rPr>
        <w:t xml:space="preserve">заява </w:t>
      </w:r>
      <w:r w:rsidRPr="009A3F85">
        <w:rPr>
          <w:lang w:val="uk-UA"/>
        </w:rPr>
        <w:t>про відновлення провадження бул</w:t>
      </w:r>
      <w:r w:rsidRPr="009A3F85" w:rsidR="00A5162B">
        <w:rPr>
          <w:lang w:val="uk-UA"/>
        </w:rPr>
        <w:t>а</w:t>
      </w:r>
      <w:r w:rsidRPr="009A3F85">
        <w:rPr>
          <w:lang w:val="uk-UA"/>
        </w:rPr>
        <w:t xml:space="preserve"> єдиним засобом юридичного захисту, за допомогою якого заявник міг скасувати рішення суду апеляційної інстанції у цивільній справі та відновити свої права власності» (п. 19).</w:t>
      </w:r>
    </w:p>
    <w:p w:rsidRPr="009A3F85" w:rsidR="009A3F85" w:rsidP="009A3F85">
      <w:pPr>
        <w:pStyle w:val="OpiPara"/>
        <w:rPr>
          <w:lang w:val="uk-UA"/>
        </w:rPr>
      </w:pPr>
      <w:r w:rsidRPr="009A3F85">
        <w:rPr>
          <w:lang w:val="uk-UA"/>
        </w:rPr>
        <w:t>У рішенні у справі «Маресті проти Хорватії» (</w:t>
      </w:r>
      <w:r w:rsidRPr="009A3F85">
        <w:rPr>
          <w:i/>
          <w:lang w:val="uk-UA"/>
        </w:rPr>
        <w:t>Maresti v. Croatia</w:t>
      </w:r>
      <w:r w:rsidRPr="009A3F85">
        <w:rPr>
          <w:lang w:val="uk-UA"/>
        </w:rPr>
        <w:t xml:space="preserve">) стосовно </w:t>
      </w:r>
      <w:r w:rsidRPr="009A3F85" w:rsidR="0046587F">
        <w:rPr>
          <w:lang w:val="uk-UA"/>
        </w:rPr>
        <w:t>клопотання</w:t>
      </w:r>
      <w:r w:rsidRPr="009A3F85" w:rsidR="00D97271">
        <w:rPr>
          <w:lang w:val="uk-UA"/>
        </w:rPr>
        <w:t xml:space="preserve"> </w:t>
      </w:r>
      <w:r w:rsidRPr="009A3F85">
        <w:rPr>
          <w:lang w:val="uk-UA"/>
        </w:rPr>
        <w:t xml:space="preserve">про </w:t>
      </w:r>
      <w:r w:rsidRPr="009A3F85" w:rsidR="006B49C3">
        <w:rPr>
          <w:lang w:val="uk-UA"/>
        </w:rPr>
        <w:t xml:space="preserve">екстраординарний </w:t>
      </w:r>
      <w:r w:rsidRPr="009A3F85">
        <w:rPr>
          <w:lang w:val="uk-UA"/>
        </w:rPr>
        <w:t xml:space="preserve">перегляд вироку у кримінальній справі застосовність статті 6 Конвенції головним чином обґрунтовувалась тим, що зазначений засіб юридичного захисту був подібним до касаційного оскарження у цивільному провадженні. Суд також наголосив на тому, що, подаючи </w:t>
      </w:r>
      <w:r w:rsidRPr="009A3F85" w:rsidR="0046587F">
        <w:rPr>
          <w:lang w:val="uk-UA"/>
        </w:rPr>
        <w:t>клопотання</w:t>
      </w:r>
      <w:r w:rsidRPr="009A3F85">
        <w:rPr>
          <w:lang w:val="uk-UA"/>
        </w:rPr>
        <w:t xml:space="preserve">, заявник посилався на той факт, що кримінальне переслідування у його справі </w:t>
      </w:r>
      <w:r w:rsidRPr="009A3F85" w:rsidR="0046587F">
        <w:rPr>
          <w:lang w:val="uk-UA"/>
        </w:rPr>
        <w:t>було заборонено</w:t>
      </w:r>
      <w:r w:rsidRPr="009A3F85">
        <w:rPr>
          <w:lang w:val="uk-UA"/>
        </w:rPr>
        <w:t xml:space="preserve"> законом.</w:t>
      </w:r>
    </w:p>
    <w:p w:rsidRPr="009A3F85" w:rsidR="00D17581" w:rsidP="009A3F85">
      <w:pPr>
        <w:pStyle w:val="OpiPara"/>
        <w:rPr>
          <w:lang w:val="uk-UA"/>
        </w:rPr>
      </w:pPr>
      <w:r w:rsidRPr="009A3F85">
        <w:rPr>
          <w:lang w:val="uk-UA"/>
        </w:rPr>
        <w:t>Також цікаво зазначити, що у рішенні «J.S. і A.S. проти Польщі» (</w:t>
      </w:r>
      <w:r w:rsidRPr="009A3F85">
        <w:rPr>
          <w:i/>
          <w:lang w:val="uk-UA"/>
        </w:rPr>
        <w:t>J.S. and A.S. v. Poland</w:t>
      </w:r>
      <w:r w:rsidRPr="009A3F85">
        <w:rPr>
          <w:lang w:val="uk-UA"/>
        </w:rPr>
        <w:t xml:space="preserve">) стаття 6 Конвенції була визнана застосовною до одного з </w:t>
      </w:r>
      <w:r w:rsidRPr="009A3F85" w:rsidR="005A5927">
        <w:rPr>
          <w:lang w:val="uk-UA"/>
        </w:rPr>
        <w:t xml:space="preserve">екстраординарних </w:t>
      </w:r>
      <w:r w:rsidRPr="009A3F85">
        <w:rPr>
          <w:lang w:val="uk-UA"/>
        </w:rPr>
        <w:t xml:space="preserve">засобів юридичного захисту, передбачених польським адміністративним процесуальним правом, – у цьому випадку таким було звернення про визнання недійсним окремого адміністративного рішення, яке характеризувалось особливо серйозними недоліками. Цей засіб юридичного захисту надає заявникам можливість домогтися перегляду законності остаточного окремого адміністративного рішення навіть через багато років після його ухвалення. Відповідно, особи, які подають звернення про визнання недійсним </w:t>
      </w:r>
      <w:r w:rsidRPr="009A3F85" w:rsidR="005A5927">
        <w:rPr>
          <w:lang w:val="uk-UA"/>
        </w:rPr>
        <w:t xml:space="preserve">ухваленого за багато років до того </w:t>
      </w:r>
      <w:r w:rsidRPr="009A3F85">
        <w:rPr>
          <w:lang w:val="uk-UA"/>
        </w:rPr>
        <w:t>остаточного</w:t>
      </w:r>
      <w:r w:rsidRPr="009A3F85" w:rsidR="005A5927">
        <w:rPr>
          <w:lang w:val="uk-UA"/>
        </w:rPr>
        <w:t xml:space="preserve"> індивідуального </w:t>
      </w:r>
      <w:r w:rsidRPr="009A3F85">
        <w:rPr>
          <w:lang w:val="uk-UA"/>
        </w:rPr>
        <w:t>адміністративного рішення, яке стосується прав та обов</w:t>
      </w:r>
      <w:r w:rsidRPr="009A3F85" w:rsidR="009A3F85">
        <w:rPr>
          <w:lang w:val="uk-UA"/>
        </w:rPr>
        <w:t>’</w:t>
      </w:r>
      <w:r w:rsidRPr="009A3F85">
        <w:rPr>
          <w:lang w:val="uk-UA"/>
        </w:rPr>
        <w:t>язків цивільного характеру у розумінні Конвенції, мають право на розгляд їхніх справ упродовж розумного строку незалежним і безстороннім судом, який має розглянути їхні вимоги по суті. На підтвердження свого висновку щодо застосовності статті 6 Конвенції Суд вказав на те, що заявники у зазначеній справі не вимагали відновлення адміністративного провадження, а лише визнання недійсним попереднього адміністративного рішення.</w:t>
      </w:r>
    </w:p>
    <w:p w:rsidRPr="009A3F85" w:rsidR="00D17581" w:rsidP="009A3F85">
      <w:pPr>
        <w:pStyle w:val="OpiPara"/>
        <w:rPr>
          <w:lang w:val="uk-UA"/>
        </w:rPr>
      </w:pPr>
      <w:r w:rsidRPr="009A3F85">
        <w:rPr>
          <w:lang w:val="uk-UA"/>
        </w:rPr>
        <w:t xml:space="preserve">3.  Не вдаючись до порівняльного аналізу процесуального законодавства, ми можемо коротко зазначити, що у багатьох законодавствах «касаційне оскарження» </w:t>
      </w:r>
      <w:r w:rsidRPr="009A3F85" w:rsidR="00D97271">
        <w:rPr>
          <w:lang w:val="uk-UA"/>
        </w:rPr>
        <w:t xml:space="preserve">є </w:t>
      </w:r>
      <w:r w:rsidRPr="009A3F85">
        <w:rPr>
          <w:lang w:val="uk-UA"/>
        </w:rPr>
        <w:t xml:space="preserve">жорстко </w:t>
      </w:r>
      <w:r w:rsidRPr="009A3F85" w:rsidR="00D97271">
        <w:rPr>
          <w:lang w:val="uk-UA"/>
        </w:rPr>
        <w:t xml:space="preserve">регламентованим </w:t>
      </w:r>
      <w:r w:rsidRPr="009A3F85">
        <w:rPr>
          <w:lang w:val="uk-UA"/>
        </w:rPr>
        <w:t>з</w:t>
      </w:r>
      <w:r w:rsidRPr="009A3F85" w:rsidR="00D97271">
        <w:rPr>
          <w:lang w:val="uk-UA"/>
        </w:rPr>
        <w:t xml:space="preserve"> точки</w:t>
      </w:r>
      <w:r w:rsidRPr="009A3F85">
        <w:rPr>
          <w:lang w:val="uk-UA"/>
        </w:rPr>
        <w:t xml:space="preserve"> </w:t>
      </w:r>
      <w:r w:rsidRPr="009A3F85" w:rsidR="00D97271">
        <w:rPr>
          <w:lang w:val="uk-UA"/>
        </w:rPr>
        <w:t>зору строків звернення</w:t>
      </w:r>
      <w:r w:rsidRPr="009A3F85" w:rsidR="009A3F85">
        <w:rPr>
          <w:lang w:val="uk-UA"/>
        </w:rPr>
        <w:t xml:space="preserve"> </w:t>
      </w:r>
      <w:r w:rsidRPr="009A3F85">
        <w:rPr>
          <w:lang w:val="uk-UA"/>
        </w:rPr>
        <w:t>та стосується питань права</w:t>
      </w:r>
      <w:r w:rsidRPr="009A3F85" w:rsidR="00D97271">
        <w:rPr>
          <w:lang w:val="uk-UA"/>
        </w:rPr>
        <w:t>,</w:t>
      </w:r>
      <w:r w:rsidRPr="009A3F85">
        <w:rPr>
          <w:lang w:val="uk-UA"/>
        </w:rPr>
        <w:t xml:space="preserve"> у той час як </w:t>
      </w:r>
      <w:r w:rsidRPr="009A3F85">
        <w:rPr>
          <w:lang w:val="uk-UA"/>
        </w:rPr>
        <w:t>«</w:t>
      </w:r>
      <w:r w:rsidRPr="009A3F85" w:rsidR="00D97271">
        <w:rPr>
          <w:lang w:val="uk-UA"/>
        </w:rPr>
        <w:t xml:space="preserve">заяви </w:t>
      </w:r>
      <w:r w:rsidRPr="009A3F85">
        <w:rPr>
          <w:lang w:val="uk-UA"/>
        </w:rPr>
        <w:t>про відновлення провадження» можуть подаватися через багато років і ґрунтуються, зокрема, на нововиявлених фактах, нових доказах або певних серйозних процесуальних недоліках. Отже, ми можемо доволі інтуїтивно зауважити, що розгляд касаційної скарги у певному сенсі є «природним продовженням» первинного провадження, яке на цьому етапі зосереджується на питаннях тлумачення застосовного законодавства та продовжує для сторін стан невизначеності щодо результатів провадження. Поновлення провадження видається чимось більш винятковим та може відбутися через дуже тривалий час після ухвалення остаточного судового рішення у первинному провадженні.</w:t>
      </w:r>
    </w:p>
    <w:p w:rsidRPr="009A3F85" w:rsidR="009A3F85" w:rsidP="009A3F85">
      <w:pPr>
        <w:pStyle w:val="OpiPara"/>
        <w:rPr>
          <w:lang w:val="uk-UA"/>
        </w:rPr>
      </w:pPr>
      <w:r w:rsidRPr="009A3F85">
        <w:rPr>
          <w:lang w:val="uk-UA"/>
        </w:rPr>
        <w:t>З іншого боку, важливо наголосити на тому, що у багатьох законодавствах касаційне оскарження насамперед слугує суспільному інтересу. Воно є засобом встановлення правильного тлумачення закону та впорядкування практики нижчестоящих судів. Особи, які бажають подати так</w:t>
      </w:r>
      <w:r w:rsidRPr="009A3F85" w:rsidR="00D97271">
        <w:rPr>
          <w:lang w:val="uk-UA"/>
        </w:rPr>
        <w:t xml:space="preserve">у </w:t>
      </w:r>
      <w:r w:rsidRPr="009A3F85" w:rsidR="005A5927">
        <w:rPr>
          <w:lang w:val="uk-UA"/>
        </w:rPr>
        <w:t>скаргу</w:t>
      </w:r>
      <w:r w:rsidRPr="009A3F85">
        <w:rPr>
          <w:lang w:val="uk-UA"/>
        </w:rPr>
        <w:t xml:space="preserve">, повинні довести, що </w:t>
      </w:r>
      <w:r w:rsidRPr="009A3F85" w:rsidR="005A5927">
        <w:rPr>
          <w:lang w:val="uk-UA"/>
        </w:rPr>
        <w:t xml:space="preserve">її </w:t>
      </w:r>
      <w:r w:rsidRPr="009A3F85">
        <w:rPr>
          <w:lang w:val="uk-UA"/>
        </w:rPr>
        <w:t xml:space="preserve">розгляд слугує суспільному інтересу. </w:t>
      </w:r>
      <w:r w:rsidRPr="009A3F85" w:rsidR="00D97271">
        <w:rPr>
          <w:lang w:val="uk-UA"/>
        </w:rPr>
        <w:t>І навпаки</w:t>
      </w:r>
      <w:r w:rsidRPr="009A3F85">
        <w:rPr>
          <w:lang w:val="uk-UA"/>
        </w:rPr>
        <w:t xml:space="preserve">, </w:t>
      </w:r>
      <w:r w:rsidRPr="009A3F85" w:rsidR="005A5927">
        <w:rPr>
          <w:lang w:val="uk-UA"/>
        </w:rPr>
        <w:t>скарга</w:t>
      </w:r>
      <w:r w:rsidRPr="009A3F85" w:rsidR="00D97271">
        <w:rPr>
          <w:lang w:val="uk-UA"/>
        </w:rPr>
        <w:t xml:space="preserve"> </w:t>
      </w:r>
      <w:r w:rsidRPr="009A3F85">
        <w:rPr>
          <w:lang w:val="uk-UA"/>
        </w:rPr>
        <w:t xml:space="preserve">про відновлення провадження дуже часто не </w:t>
      </w:r>
      <w:r w:rsidRPr="009A3F85" w:rsidR="00D97271">
        <w:rPr>
          <w:lang w:val="uk-UA"/>
        </w:rPr>
        <w:t xml:space="preserve">обмежується </w:t>
      </w:r>
      <w:r w:rsidRPr="009A3F85">
        <w:rPr>
          <w:lang w:val="uk-UA"/>
        </w:rPr>
        <w:t xml:space="preserve">жодною з подібних умов. Отже, </w:t>
      </w:r>
      <w:r w:rsidRPr="009A3F85" w:rsidR="005A5927">
        <w:rPr>
          <w:lang w:val="uk-UA"/>
        </w:rPr>
        <w:t xml:space="preserve">вона </w:t>
      </w:r>
      <w:r w:rsidRPr="009A3F85">
        <w:rPr>
          <w:lang w:val="uk-UA"/>
        </w:rPr>
        <w:t>може слугувати для захисту особистих прав і не вимагає доведення того, що його розгляд слугує суспільному інтересу. Більше того, несправедливість, яку було виправлено шляхом відновлення провадження і яка пов</w:t>
      </w:r>
      <w:r w:rsidRPr="009A3F85">
        <w:rPr>
          <w:lang w:val="uk-UA"/>
        </w:rPr>
        <w:t>’</w:t>
      </w:r>
      <w:r w:rsidRPr="009A3F85">
        <w:rPr>
          <w:lang w:val="uk-UA"/>
        </w:rPr>
        <w:t xml:space="preserve">язана з фактичними помилками, часто є більш </w:t>
      </w:r>
      <w:r w:rsidRPr="009A3F85" w:rsidR="00D97271">
        <w:rPr>
          <w:lang w:val="uk-UA"/>
        </w:rPr>
        <w:t>явною</w:t>
      </w:r>
      <w:r w:rsidRPr="009A3F85" w:rsidR="003E7215">
        <w:rPr>
          <w:lang w:val="uk-UA"/>
        </w:rPr>
        <w:t>,</w:t>
      </w:r>
      <w:r w:rsidRPr="009A3F85" w:rsidR="00D97271">
        <w:rPr>
          <w:lang w:val="uk-UA"/>
        </w:rPr>
        <w:t xml:space="preserve"> </w:t>
      </w:r>
      <w:r w:rsidRPr="009A3F85">
        <w:rPr>
          <w:lang w:val="uk-UA"/>
        </w:rPr>
        <w:t>аніж часто неминучі сумніви при тлумаченні закону, які долаються за допомогою касаційного оскарження. Крім того, касаційні скарги часто проходять процедуру попереднього відбору, що дає змогу розглянути їхню прийнятність до їх розгляду по суті.</w:t>
      </w:r>
    </w:p>
    <w:p w:rsidRPr="009A3F85" w:rsidR="009A3F85" w:rsidP="009A3F85">
      <w:pPr>
        <w:pStyle w:val="OpiPara"/>
        <w:rPr>
          <w:lang w:val="uk-UA"/>
        </w:rPr>
      </w:pPr>
      <w:r w:rsidRPr="009A3F85">
        <w:rPr>
          <w:lang w:val="uk-UA"/>
        </w:rPr>
        <w:t xml:space="preserve">У різних рішеннях Суд постановляв, що розгляд </w:t>
      </w:r>
      <w:r w:rsidRPr="009A3F85" w:rsidR="005A5927">
        <w:rPr>
          <w:lang w:val="uk-UA"/>
        </w:rPr>
        <w:t xml:space="preserve">клопотань </w:t>
      </w:r>
      <w:r w:rsidRPr="009A3F85">
        <w:rPr>
          <w:lang w:val="uk-UA"/>
        </w:rPr>
        <w:t xml:space="preserve">про відновлення провадження сам по собі не є процедурою, яка призводить до вирішення </w:t>
      </w:r>
      <w:r w:rsidRPr="009A3F85" w:rsidR="003E7215">
        <w:rPr>
          <w:lang w:val="uk-UA"/>
        </w:rPr>
        <w:t xml:space="preserve">питань </w:t>
      </w:r>
      <w:r w:rsidRPr="009A3F85">
        <w:rPr>
          <w:lang w:val="uk-UA"/>
        </w:rPr>
        <w:t>щодо прав або обов</w:t>
      </w:r>
      <w:r w:rsidRPr="009A3F85">
        <w:rPr>
          <w:lang w:val="uk-UA"/>
        </w:rPr>
        <w:t>’</w:t>
      </w:r>
      <w:r w:rsidRPr="009A3F85">
        <w:rPr>
          <w:lang w:val="uk-UA"/>
        </w:rPr>
        <w:t>язків сторін або кримінального обвинувачення. Нове вирішення спору щодо прав та обов</w:t>
      </w:r>
      <w:r w:rsidRPr="009A3F85">
        <w:rPr>
          <w:lang w:val="uk-UA"/>
        </w:rPr>
        <w:t>’</w:t>
      </w:r>
      <w:r w:rsidRPr="009A3F85">
        <w:rPr>
          <w:lang w:val="uk-UA"/>
        </w:rPr>
        <w:t xml:space="preserve">язків сторін відбувається тільки тоді, коли ухвалюється рішення про відновлення провадження. Зі свого боку я зазначаю, що </w:t>
      </w:r>
      <w:r w:rsidRPr="009A3F85" w:rsidR="003E7215">
        <w:rPr>
          <w:lang w:val="uk-UA"/>
        </w:rPr>
        <w:t>у зв</w:t>
      </w:r>
      <w:r w:rsidRPr="009A3F85">
        <w:rPr>
          <w:lang w:val="uk-UA"/>
        </w:rPr>
        <w:t>’</w:t>
      </w:r>
      <w:r w:rsidRPr="009A3F85" w:rsidR="003E7215">
        <w:rPr>
          <w:lang w:val="uk-UA"/>
        </w:rPr>
        <w:t>язку з цим</w:t>
      </w:r>
      <w:r w:rsidRPr="009A3F85">
        <w:rPr>
          <w:lang w:val="uk-UA"/>
        </w:rPr>
        <w:t xml:space="preserve"> у деяких країнах касаційне оскарження має багато схожих рис. На першому етапі компетентний суд розглядає прийнятність скарги. На другій стадії суд розглядає скаргу по суті і, можливо, скасує оскаржуване рішення. На третьому етапі, за необхідності, інший суд наново встановить права і обов</w:t>
      </w:r>
      <w:r w:rsidRPr="009A3F85">
        <w:rPr>
          <w:lang w:val="uk-UA"/>
        </w:rPr>
        <w:t>’</w:t>
      </w:r>
      <w:r w:rsidRPr="009A3F85">
        <w:rPr>
          <w:lang w:val="uk-UA"/>
        </w:rPr>
        <w:t>язки сторін.</w:t>
      </w:r>
    </w:p>
    <w:p w:rsidRPr="009A3F85" w:rsidR="00D17581" w:rsidP="009A3F85">
      <w:pPr>
        <w:pStyle w:val="OpiPara"/>
        <w:rPr>
          <w:lang w:val="uk-UA"/>
        </w:rPr>
      </w:pPr>
      <w:r w:rsidRPr="009A3F85">
        <w:rPr>
          <w:lang w:val="uk-UA"/>
        </w:rPr>
        <w:t xml:space="preserve">На цьому тлі чи можемо ми насправді встановити різницю між двома типами виняткових засобів юридичного захисту у цілях застосування статті 6 Конвенції? Сумнівно. У будь-якому разі, переконлива ствердна відповідь вимагатиме поглибленого аналізу процесуального законодавства різних держав. Аналіз рішень та ухвал Суду приводить до висновку, що судовою практикою не </w:t>
      </w:r>
      <w:r w:rsidRPr="009A3F85" w:rsidR="003E7215">
        <w:rPr>
          <w:lang w:val="uk-UA"/>
        </w:rPr>
        <w:t xml:space="preserve">встановлено </w:t>
      </w:r>
      <w:r w:rsidRPr="009A3F85">
        <w:rPr>
          <w:lang w:val="uk-UA"/>
        </w:rPr>
        <w:t xml:space="preserve">чітких критеріїв, за допомогою яких можна встановити, які саме виняткові засоби юридичного захисту охоплюються сферою </w:t>
      </w:r>
      <w:r w:rsidRPr="009A3F85">
        <w:rPr>
          <w:lang w:val="uk-UA"/>
        </w:rPr>
        <w:t>застосування статті 6 Конвенції. Крім того, на мою думку, підхід, застосований у рішенні у справі «J.S. і A.S. проти Польщі» (</w:t>
      </w:r>
      <w:r w:rsidRPr="009A3F85">
        <w:rPr>
          <w:i/>
          <w:lang w:val="uk-UA"/>
        </w:rPr>
        <w:t>J.S. and A.S. v. Poland</w:t>
      </w:r>
      <w:r w:rsidRPr="009A3F85">
        <w:rPr>
          <w:lang w:val="uk-UA"/>
        </w:rPr>
        <w:t xml:space="preserve">), важко узгодити з практикою Суду щодо засобів юридичного захисту, які забезпечують можливість перегляду рішень, </w:t>
      </w:r>
      <w:r w:rsidRPr="009A3F85" w:rsidR="003E7215">
        <w:rPr>
          <w:lang w:val="uk-UA"/>
        </w:rPr>
        <w:t xml:space="preserve">ухвалених </w:t>
      </w:r>
      <w:r w:rsidRPr="009A3F85">
        <w:rPr>
          <w:lang w:val="uk-UA"/>
        </w:rPr>
        <w:t>у провадженнях різних видів. Проаналізована судова практика свідчить про високий рівень невизначеності для сторін провадження та Договірних Сторін Конвенції.</w:t>
      </w:r>
    </w:p>
    <w:p w:rsidRPr="009A3F85" w:rsidR="00D17581" w:rsidP="009A3F85">
      <w:pPr>
        <w:pStyle w:val="OpiPara"/>
        <w:rPr>
          <w:lang w:val="uk-UA"/>
        </w:rPr>
      </w:pPr>
      <w:r w:rsidRPr="009A3F85">
        <w:rPr>
          <w:lang w:val="uk-UA"/>
        </w:rPr>
        <w:t>4.  Справа «Бочан проти України» (</w:t>
      </w:r>
      <w:r w:rsidRPr="009A3F85">
        <w:rPr>
          <w:i/>
          <w:lang w:val="uk-UA"/>
        </w:rPr>
        <w:t>Bochan v. Ukraine</w:t>
      </w:r>
      <w:r w:rsidRPr="009A3F85">
        <w:rPr>
          <w:lang w:val="uk-UA"/>
        </w:rPr>
        <w:t>) становить гарну нагоду для уточнення практики Суду щодо застосовності статті</w:t>
      </w:r>
      <w:r w:rsidRPr="009A3F85" w:rsidR="003E7215">
        <w:rPr>
          <w:lang w:val="uk-UA"/>
        </w:rPr>
        <w:t> </w:t>
      </w:r>
      <w:r w:rsidRPr="009A3F85">
        <w:rPr>
          <w:lang w:val="uk-UA"/>
        </w:rPr>
        <w:t>6 Конвенції до скарг у зв</w:t>
      </w:r>
      <w:r w:rsidRPr="009A3F85" w:rsidR="009A3F85">
        <w:rPr>
          <w:lang w:val="uk-UA"/>
        </w:rPr>
        <w:t>’</w:t>
      </w:r>
      <w:r w:rsidRPr="009A3F85">
        <w:rPr>
          <w:lang w:val="uk-UA"/>
        </w:rPr>
        <w:t>язку з винятковими обставинами</w:t>
      </w:r>
      <w:r w:rsidRPr="009A3F85" w:rsidR="003E7215">
        <w:rPr>
          <w:lang w:val="uk-UA"/>
        </w:rPr>
        <w:t>,</w:t>
      </w:r>
      <w:r w:rsidRPr="009A3F85">
        <w:rPr>
          <w:lang w:val="uk-UA"/>
        </w:rPr>
        <w:t xml:space="preserve"> принаймні </w:t>
      </w:r>
      <w:r w:rsidRPr="009A3F85" w:rsidR="003E7215">
        <w:rPr>
          <w:lang w:val="uk-UA"/>
        </w:rPr>
        <w:t xml:space="preserve">у </w:t>
      </w:r>
      <w:r w:rsidRPr="009A3F85">
        <w:rPr>
          <w:lang w:val="uk-UA"/>
        </w:rPr>
        <w:t>провадженнях у цивільних справах.</w:t>
      </w:r>
    </w:p>
    <w:p w:rsidRPr="009A3F85" w:rsidR="00D17581" w:rsidP="009A3F85">
      <w:pPr>
        <w:pStyle w:val="OpiPara"/>
        <w:rPr>
          <w:lang w:val="uk-UA"/>
        </w:rPr>
      </w:pPr>
      <w:r w:rsidRPr="009A3F85">
        <w:rPr>
          <w:lang w:val="uk-UA"/>
        </w:rPr>
        <w:t xml:space="preserve">Більшість </w:t>
      </w:r>
      <w:r w:rsidRPr="009A3F85" w:rsidR="001634ED">
        <w:rPr>
          <w:lang w:val="uk-UA"/>
        </w:rPr>
        <w:t xml:space="preserve">у пункті </w:t>
      </w:r>
      <w:r w:rsidRPr="009A3F85">
        <w:rPr>
          <w:lang w:val="uk-UA"/>
        </w:rPr>
        <w:t>50 зазначає таке: «</w:t>
      </w:r>
      <w:r w:rsidRPr="009A3F85" w:rsidR="005A5927">
        <w:rPr>
          <w:rFonts w:eastAsia="Times New Roman"/>
          <w:snapToGrid w:val="0"/>
          <w:lang w:val="uk-UA" w:eastAsia="fr-FR"/>
        </w:rPr>
        <w:t xml:space="preserve">У підсумку, хоча пункт 1 статті 6 Конвенції зазвичай незастосовний до скарг </w:t>
      </w:r>
      <w:r w:rsidRPr="009A3F85" w:rsidR="005A5927">
        <w:rPr>
          <w:rFonts w:eastAsia="Times New Roman"/>
          <w:szCs w:val="24"/>
          <w:lang w:val="uk-UA" w:eastAsia="fr-FR"/>
        </w:rPr>
        <w:t xml:space="preserve">щодо перегляду завершених судових справ у </w:t>
      </w:r>
      <w:r w:rsidRPr="009A3F85" w:rsidR="00826F96">
        <w:rPr>
          <w:rFonts w:eastAsia="Times New Roman"/>
          <w:szCs w:val="24"/>
          <w:lang w:val="uk-UA" w:eastAsia="fr-FR"/>
        </w:rPr>
        <w:t xml:space="preserve">екстраординарному </w:t>
      </w:r>
      <w:r w:rsidRPr="009A3F85" w:rsidR="005A5927">
        <w:rPr>
          <w:rFonts w:eastAsia="Times New Roman"/>
          <w:szCs w:val="24"/>
          <w:lang w:val="uk-UA" w:eastAsia="fr-FR"/>
        </w:rPr>
        <w:t>порядку,</w:t>
      </w:r>
      <w:r w:rsidRPr="009A3F85" w:rsidR="005A5927">
        <w:rPr>
          <w:rFonts w:eastAsia="Times New Roman"/>
          <w:snapToGrid w:val="0"/>
          <w:lang w:val="uk-UA" w:eastAsia="fr-FR"/>
        </w:rPr>
        <w:t xml:space="preserve"> природа</w:t>
      </w:r>
      <w:r w:rsidRPr="009A3F85" w:rsidR="00043F95">
        <w:rPr>
          <w:rFonts w:eastAsia="Times New Roman"/>
          <w:snapToGrid w:val="0"/>
          <w:lang w:val="uk-UA" w:eastAsia="fr-FR"/>
        </w:rPr>
        <w:t>,</w:t>
      </w:r>
      <w:r w:rsidRPr="009A3F85" w:rsidR="005A5927">
        <w:rPr>
          <w:rFonts w:eastAsia="Times New Roman"/>
          <w:snapToGrid w:val="0"/>
          <w:lang w:val="uk-UA" w:eastAsia="fr-FR"/>
        </w:rPr>
        <w:t xml:space="preserve"> обсяг та специфічні риси провадження за такою скаргою у відповідній правовій системі можуть бути такими, що провадження за такою скаргою охоплюватиметься сферою застосування пункту 1 статті 6 Конвенції та гарантіями щодо справедливого суду, якими він наділяє сторони провадження</w:t>
      </w:r>
      <w:r w:rsidRPr="009A3F85">
        <w:rPr>
          <w:rFonts w:eastAsia="Times New Roman"/>
          <w:snapToGrid w:val="0"/>
          <w:lang w:val="uk-UA" w:eastAsia="fr-FR"/>
        </w:rPr>
        <w:t>». Аналізуючи</w:t>
      </w:r>
      <w:r w:rsidRPr="009A3F85">
        <w:rPr>
          <w:lang w:val="uk-UA"/>
        </w:rPr>
        <w:t xml:space="preserve"> зазначену скаргу до того, як проаналізувати перегляд зазначеної справи Верховним Судом України, Суд підкреслює риси, схожі з «касаційним оскарженням»</w:t>
      </w:r>
      <w:r w:rsidRPr="009A3F85" w:rsidR="00AD3356">
        <w:rPr>
          <w:lang w:val="uk-UA"/>
        </w:rPr>
        <w:t>,</w:t>
      </w:r>
      <w:r w:rsidRPr="009A3F85">
        <w:rPr>
          <w:lang w:val="uk-UA"/>
        </w:rPr>
        <w:t xml:space="preserve"> та наголошує</w:t>
      </w:r>
      <w:r w:rsidRPr="009A3F85" w:rsidR="00AD3356">
        <w:rPr>
          <w:lang w:val="uk-UA"/>
        </w:rPr>
        <w:t>,</w:t>
      </w:r>
      <w:r w:rsidRPr="009A3F85">
        <w:rPr>
          <w:lang w:val="uk-UA"/>
        </w:rPr>
        <w:t xml:space="preserve"> що </w:t>
      </w:r>
      <w:r w:rsidRPr="009A3F85" w:rsidR="00AD3356">
        <w:rPr>
          <w:lang w:val="uk-UA"/>
        </w:rPr>
        <w:t xml:space="preserve">ця скарга </w:t>
      </w:r>
      <w:r w:rsidRPr="009A3F85">
        <w:rPr>
          <w:lang w:val="uk-UA"/>
        </w:rPr>
        <w:t xml:space="preserve">може вважатися продовженням первинного провадження. Мені жаль, що мотивувальна частина рішення не пропонує більш </w:t>
      </w:r>
      <w:r w:rsidRPr="009A3F85" w:rsidR="00AD3356">
        <w:rPr>
          <w:lang w:val="uk-UA"/>
        </w:rPr>
        <w:t xml:space="preserve">детальних </w:t>
      </w:r>
      <w:r w:rsidRPr="009A3F85">
        <w:rPr>
          <w:lang w:val="uk-UA"/>
        </w:rPr>
        <w:t xml:space="preserve">загальних критеріїв для вирішення того, які саме чинники, що стосуються </w:t>
      </w:r>
      <w:r w:rsidRPr="009A3F85" w:rsidR="00507F66">
        <w:rPr>
          <w:lang w:val="uk-UA"/>
        </w:rPr>
        <w:t>природи</w:t>
      </w:r>
      <w:r w:rsidRPr="009A3F85">
        <w:rPr>
          <w:lang w:val="uk-UA"/>
        </w:rPr>
        <w:t xml:space="preserve">, </w:t>
      </w:r>
      <w:r w:rsidRPr="009A3F85" w:rsidR="00507F66">
        <w:rPr>
          <w:lang w:val="uk-UA"/>
        </w:rPr>
        <w:t xml:space="preserve">обсягу </w:t>
      </w:r>
      <w:r w:rsidRPr="009A3F85">
        <w:rPr>
          <w:lang w:val="uk-UA"/>
        </w:rPr>
        <w:t>та специфічних рис даного провадження є вирішальними для застосування статті 6 Конвенції.</w:t>
      </w:r>
    </w:p>
    <w:p w:rsidRPr="009A3F85" w:rsidR="00D17581" w:rsidP="009A3F85">
      <w:pPr>
        <w:pStyle w:val="OpiPara"/>
        <w:rPr>
          <w:lang w:val="uk-UA"/>
        </w:rPr>
      </w:pPr>
      <w:r w:rsidRPr="009A3F85">
        <w:rPr>
          <w:lang w:val="uk-UA"/>
        </w:rPr>
        <w:t>Невизначеність стосовно точних меж застосування статті 6 Конвенції, як видається, відображен</w:t>
      </w:r>
      <w:r w:rsidRPr="009A3F85" w:rsidR="00AD3356">
        <w:rPr>
          <w:lang w:val="uk-UA"/>
        </w:rPr>
        <w:t>о</w:t>
      </w:r>
      <w:r w:rsidRPr="009A3F85">
        <w:rPr>
          <w:lang w:val="uk-UA"/>
        </w:rPr>
        <w:t xml:space="preserve"> у </w:t>
      </w:r>
      <w:r w:rsidRPr="009A3F85" w:rsidR="00AD3356">
        <w:rPr>
          <w:lang w:val="uk-UA"/>
        </w:rPr>
        <w:t>мотивуванні мотивувальній частині</w:t>
      </w:r>
      <w:r w:rsidRPr="009A3F85">
        <w:rPr>
          <w:lang w:val="uk-UA"/>
        </w:rPr>
        <w:t xml:space="preserve">. Наприклад, </w:t>
      </w:r>
      <w:r w:rsidRPr="009A3F85" w:rsidR="00AD3356">
        <w:rPr>
          <w:lang w:val="uk-UA"/>
        </w:rPr>
        <w:t>у пункті</w:t>
      </w:r>
      <w:r w:rsidRPr="009A3F85">
        <w:rPr>
          <w:lang w:val="uk-UA"/>
        </w:rPr>
        <w:t xml:space="preserve"> 44</w:t>
      </w:r>
      <w:r w:rsidRPr="009A3F85" w:rsidR="00AD3356">
        <w:rPr>
          <w:lang w:val="ru-RU"/>
        </w:rPr>
        <w:t xml:space="preserve"> </w:t>
      </w:r>
      <w:r w:rsidRPr="009A3F85" w:rsidR="00AD3356">
        <w:rPr>
          <w:i/>
          <w:lang w:val="en-US"/>
        </w:rPr>
        <w:t>in</w:t>
      </w:r>
      <w:r w:rsidRPr="009A3F85" w:rsidR="00AD3356">
        <w:rPr>
          <w:i/>
          <w:lang w:val="ru-RU"/>
        </w:rPr>
        <w:t xml:space="preserve"> </w:t>
      </w:r>
      <w:r w:rsidRPr="009A3F85" w:rsidR="00AD3356">
        <w:rPr>
          <w:i/>
          <w:lang w:val="en-US"/>
        </w:rPr>
        <w:t>fine</w:t>
      </w:r>
      <w:r w:rsidRPr="009A3F85">
        <w:rPr>
          <w:lang w:val="uk-UA"/>
        </w:rPr>
        <w:t xml:space="preserve"> </w:t>
      </w:r>
      <w:r w:rsidRPr="009A3F85" w:rsidR="00AD3356">
        <w:rPr>
          <w:lang w:val="uk-UA"/>
        </w:rPr>
        <w:t xml:space="preserve">Суд </w:t>
      </w:r>
      <w:r w:rsidRPr="009A3F85">
        <w:rPr>
          <w:lang w:val="uk-UA"/>
        </w:rPr>
        <w:t>стисло викладає усталену судову практику стосовно оскарження у зв</w:t>
      </w:r>
      <w:r w:rsidRPr="009A3F85" w:rsidR="009A3F85">
        <w:rPr>
          <w:lang w:val="uk-UA"/>
        </w:rPr>
        <w:t>’</w:t>
      </w:r>
      <w:r w:rsidRPr="009A3F85">
        <w:rPr>
          <w:lang w:val="uk-UA"/>
        </w:rPr>
        <w:t>язку з винятковими обставинами таким чином: «</w:t>
      </w:r>
      <w:r w:rsidRPr="009A3F85" w:rsidR="00507F66">
        <w:rPr>
          <w:lang w:val="uk-UA"/>
        </w:rPr>
        <w:t xml:space="preserve">Справа в тому, що тією мірою, якою питання охоплюється принципом </w:t>
      </w:r>
      <w:r w:rsidRPr="009A3F85" w:rsidR="00507F66">
        <w:rPr>
          <w:i/>
          <w:lang w:val="uk-UA"/>
        </w:rPr>
        <w:t>res iudicata</w:t>
      </w:r>
      <w:r w:rsidRPr="009A3F85" w:rsidR="00507F66">
        <w:rPr>
          <w:lang w:val="uk-UA"/>
        </w:rPr>
        <w:t xml:space="preserve"> остаточного рішення у рамках провадження на національному рівні, в принципі не можна стверджувати, що наступна заява або скарга щодо перегляду судового рішення у зв</w:t>
      </w:r>
      <w:r w:rsidRPr="009A3F85" w:rsidR="009A3F85">
        <w:rPr>
          <w:lang w:val="uk-UA"/>
        </w:rPr>
        <w:t>’</w:t>
      </w:r>
      <w:r w:rsidRPr="009A3F85" w:rsidR="00507F66">
        <w:rPr>
          <w:lang w:val="uk-UA"/>
        </w:rPr>
        <w:t>язку з винятковими обставинами породжує небезпідставне твердження щодо наявності визнаного національним законодавством права або щодо того, що результати провадження, у рамках якого вирішувалось питання про перегляд справи, є вирішальними для «вирішення спору щодо прав та обов</w:t>
      </w:r>
      <w:r w:rsidRPr="009A3F85" w:rsidR="009A3F85">
        <w:rPr>
          <w:lang w:val="uk-UA"/>
        </w:rPr>
        <w:t>’</w:t>
      </w:r>
      <w:r w:rsidRPr="009A3F85" w:rsidR="00507F66">
        <w:rPr>
          <w:lang w:val="uk-UA"/>
        </w:rPr>
        <w:t>язків цивільного характеру ... або встановлення обґрунтованості будь-якого висунутого</w:t>
      </w:r>
      <w:r w:rsidRPr="009A3F85" w:rsidR="009A3F85">
        <w:rPr>
          <w:lang w:val="uk-UA"/>
        </w:rPr>
        <w:t>...</w:t>
      </w:r>
      <w:r w:rsidRPr="009A3F85" w:rsidR="00507F66">
        <w:rPr>
          <w:lang w:val="uk-UA"/>
        </w:rPr>
        <w:t xml:space="preserve"> кримінального обвинувачення»</w:t>
      </w:r>
      <w:r w:rsidRPr="009A3F85">
        <w:rPr>
          <w:lang w:val="uk-UA"/>
        </w:rPr>
        <w:t xml:space="preserve">». Хочу зазначити, що цей довід, використаний для пояснення, чому стаття 6 Конвенції є незастосовною до звернень про відновлення провадження, рівною </w:t>
      </w:r>
      <w:r w:rsidRPr="009A3F85">
        <w:rPr>
          <w:lang w:val="uk-UA"/>
        </w:rPr>
        <w:t xml:space="preserve">мірою свідчить на користь незастосовності статті 6 Конвенції до касаційних скарг у </w:t>
      </w:r>
      <w:r w:rsidRPr="009A3F85" w:rsidR="00AD3356">
        <w:rPr>
          <w:lang w:val="uk-UA"/>
        </w:rPr>
        <w:t>правових системах</w:t>
      </w:r>
      <w:r w:rsidRPr="009A3F85">
        <w:rPr>
          <w:lang w:val="uk-UA"/>
        </w:rPr>
        <w:t xml:space="preserve">, в яких такі скарги </w:t>
      </w:r>
      <w:r w:rsidRPr="009A3F85" w:rsidR="00AD3356">
        <w:rPr>
          <w:lang w:val="uk-UA"/>
        </w:rPr>
        <w:t>стосуються</w:t>
      </w:r>
      <w:r w:rsidRPr="009A3F85">
        <w:rPr>
          <w:lang w:val="uk-UA"/>
        </w:rPr>
        <w:t xml:space="preserve"> судов</w:t>
      </w:r>
      <w:r w:rsidRPr="009A3F85" w:rsidR="00AD3356">
        <w:rPr>
          <w:lang w:val="uk-UA"/>
        </w:rPr>
        <w:t>их</w:t>
      </w:r>
      <w:r w:rsidRPr="009A3F85">
        <w:rPr>
          <w:lang w:val="uk-UA"/>
        </w:rPr>
        <w:t xml:space="preserve"> рішен</w:t>
      </w:r>
      <w:r w:rsidRPr="009A3F85" w:rsidR="00AD3356">
        <w:rPr>
          <w:lang w:val="uk-UA"/>
        </w:rPr>
        <w:t>ь</w:t>
      </w:r>
      <w:r w:rsidRPr="009A3F85">
        <w:rPr>
          <w:lang w:val="uk-UA"/>
        </w:rPr>
        <w:t xml:space="preserve">, що у національному законодавстві вважаються остаточними та такими, що </w:t>
      </w:r>
      <w:r w:rsidRPr="009A3F85" w:rsidR="00AD3356">
        <w:rPr>
          <w:lang w:val="uk-UA"/>
        </w:rPr>
        <w:t>підлягають виконанню</w:t>
      </w:r>
      <w:r w:rsidRPr="009A3F85">
        <w:rPr>
          <w:lang w:val="uk-UA"/>
        </w:rPr>
        <w:t>.</w:t>
      </w:r>
    </w:p>
    <w:p w:rsidRPr="009A3F85" w:rsidR="009A3F85" w:rsidP="009A3F85">
      <w:pPr>
        <w:pStyle w:val="OpiPara"/>
        <w:rPr>
          <w:lang w:val="uk-UA"/>
        </w:rPr>
      </w:pPr>
      <w:r w:rsidRPr="009A3F85">
        <w:rPr>
          <w:lang w:val="uk-UA"/>
        </w:rPr>
        <w:t>Крім того, у пункті 47 більшість зазначає, що Суд також визнав статтю 6 Конвенції застосовною у провадженнях, які вважаються подібними до звичайних апеляційних проваджень. Водночас у пункті</w:t>
      </w:r>
      <w:r w:rsidRPr="009A3F85" w:rsidR="00AD3356">
        <w:rPr>
          <w:lang w:val="uk-UA"/>
        </w:rPr>
        <w:t> </w:t>
      </w:r>
      <w:r w:rsidRPr="009A3F85">
        <w:rPr>
          <w:lang w:val="uk-UA"/>
        </w:rPr>
        <w:t>48, який ма</w:t>
      </w:r>
      <w:r w:rsidRPr="009A3F85" w:rsidR="00AD3356">
        <w:rPr>
          <w:lang w:val="uk-UA"/>
        </w:rPr>
        <w:t>в би</w:t>
      </w:r>
      <w:r w:rsidRPr="009A3F85">
        <w:rPr>
          <w:lang w:val="uk-UA"/>
        </w:rPr>
        <w:t xml:space="preserve"> проілюструвати цей довід, Суд зазначає, що у рішенні у справі ««San Leonard Band Club» проти Мальти»</w:t>
      </w:r>
      <w:r w:rsidRPr="009A3F85">
        <w:rPr>
          <w:i/>
          <w:lang w:val="uk-UA"/>
        </w:rPr>
        <w:t xml:space="preserve"> </w:t>
      </w:r>
      <w:r w:rsidRPr="009A3F85">
        <w:rPr>
          <w:lang w:val="uk-UA"/>
        </w:rPr>
        <w:t>(</w:t>
      </w:r>
      <w:r w:rsidRPr="009A3F85">
        <w:rPr>
          <w:i/>
          <w:lang w:val="uk-UA"/>
        </w:rPr>
        <w:t>San Leonard Band Club v. Malta</w:t>
      </w:r>
      <w:r w:rsidRPr="009A3F85">
        <w:rPr>
          <w:lang w:val="uk-UA"/>
        </w:rPr>
        <w:t xml:space="preserve">) підкреслювалося, що «клопотання про новий судовий розгляд» у законодавстві Мальти було </w:t>
      </w:r>
      <w:r w:rsidRPr="009A3F85" w:rsidR="00726D15">
        <w:rPr>
          <w:lang w:val="uk-UA"/>
        </w:rPr>
        <w:t>схожим на скаргу з питань права</w:t>
      </w:r>
      <w:r w:rsidRPr="009A3F85">
        <w:rPr>
          <w:lang w:val="uk-UA"/>
        </w:rPr>
        <w:t xml:space="preserve"> у касаційному суді. Проте звичайне</w:t>
      </w:r>
      <w:r w:rsidRPr="009A3F85" w:rsidR="00AD3356">
        <w:rPr>
          <w:lang w:val="uk-UA"/>
        </w:rPr>
        <w:t xml:space="preserve"> апеляційне</w:t>
      </w:r>
      <w:r w:rsidRPr="009A3F85">
        <w:rPr>
          <w:lang w:val="uk-UA"/>
        </w:rPr>
        <w:t xml:space="preserve"> оскарження та касаційне оскарження є двома дуже різними засобами юридичного захисту.</w:t>
      </w:r>
    </w:p>
    <w:p w:rsidRPr="009A3F85" w:rsidR="009A3F85" w:rsidP="009A3F85">
      <w:pPr>
        <w:pStyle w:val="OpiPara"/>
        <w:rPr>
          <w:lang w:val="uk-UA"/>
        </w:rPr>
      </w:pPr>
      <w:r w:rsidRPr="009A3F85">
        <w:rPr>
          <w:lang w:val="uk-UA"/>
        </w:rPr>
        <w:t>5.  Стаття 6 Конвенції вимагає, щоб спори щодо прав та обов</w:t>
      </w:r>
      <w:r w:rsidRPr="009A3F85">
        <w:rPr>
          <w:lang w:val="uk-UA"/>
        </w:rPr>
        <w:t>’</w:t>
      </w:r>
      <w:r w:rsidRPr="009A3F85">
        <w:rPr>
          <w:lang w:val="uk-UA"/>
        </w:rPr>
        <w:t xml:space="preserve">язків цивільного характеру вирішувались упродовж розумного строку незалежним і безстороннім судом, встановленим законом. Формулювання цього положення не виключає його застосування до </w:t>
      </w:r>
      <w:r w:rsidRPr="009A3F85" w:rsidR="006B49C3">
        <w:rPr>
          <w:lang w:val="uk-UA"/>
        </w:rPr>
        <w:t xml:space="preserve">екстраординарного </w:t>
      </w:r>
      <w:r w:rsidRPr="009A3F85">
        <w:rPr>
          <w:lang w:val="uk-UA"/>
        </w:rPr>
        <w:t>оскарження судових рішень, якими були вирішені права та обов</w:t>
      </w:r>
      <w:r w:rsidRPr="009A3F85">
        <w:rPr>
          <w:lang w:val="uk-UA"/>
        </w:rPr>
        <w:t>’</w:t>
      </w:r>
      <w:r w:rsidRPr="009A3F85">
        <w:rPr>
          <w:lang w:val="uk-UA"/>
        </w:rPr>
        <w:t xml:space="preserve">язки цивільного характеру та які набули законної сили (у розумінні національного законодавства). Крім того, стаття 6 Конвенції призначена забезпечувати ефективний захист учасників цивільного або кримінального провадження від порушення процесуальних норм. Отже, телеологічний аргумент свідчить на користь якомога ширшого застосування цього положення до різноманітних видів звичайного та </w:t>
      </w:r>
      <w:r w:rsidRPr="009A3F85" w:rsidR="004615FF">
        <w:rPr>
          <w:lang w:val="uk-UA"/>
        </w:rPr>
        <w:t xml:space="preserve">екстраординарного </w:t>
      </w:r>
      <w:r w:rsidRPr="009A3F85" w:rsidR="000D1E79">
        <w:rPr>
          <w:lang w:val="uk-UA"/>
        </w:rPr>
        <w:t>оскарження</w:t>
      </w:r>
      <w:r w:rsidRPr="009A3F85">
        <w:rPr>
          <w:lang w:val="uk-UA"/>
        </w:rPr>
        <w:t xml:space="preserve">. За цих обставин видається більш переконливим вважати статтю 6 Конвенції застосовною – хоча б у принципі – до усіх </w:t>
      </w:r>
      <w:r w:rsidRPr="009A3F85" w:rsidR="003516B6">
        <w:rPr>
          <w:lang w:val="uk-UA"/>
        </w:rPr>
        <w:t xml:space="preserve">екстраординарних </w:t>
      </w:r>
      <w:r w:rsidRPr="009A3F85">
        <w:rPr>
          <w:lang w:val="uk-UA"/>
        </w:rPr>
        <w:t xml:space="preserve">засобів юридичного захисту у судових провадженнях. Проте якщо сфера її застосування має залишатися обмеженою тільки певними видами </w:t>
      </w:r>
      <w:r w:rsidRPr="009A3F85" w:rsidR="003516B6">
        <w:rPr>
          <w:lang w:val="uk-UA"/>
        </w:rPr>
        <w:t xml:space="preserve">екстраординарних </w:t>
      </w:r>
      <w:r w:rsidRPr="009A3F85">
        <w:rPr>
          <w:lang w:val="uk-UA"/>
        </w:rPr>
        <w:t>засобів юридичного захисту, важливо визначати їх на основі точних критеріїв.</w:t>
      </w:r>
    </w:p>
    <w:p w:rsidRPr="009A3F85" w:rsidR="00D17581" w:rsidP="009A3F85">
      <w:pPr>
        <w:pStyle w:val="OpiPara"/>
        <w:rPr>
          <w:lang w:val="uk-UA"/>
        </w:rPr>
      </w:pPr>
      <w:r w:rsidRPr="009A3F85">
        <w:rPr>
          <w:lang w:val="uk-UA"/>
        </w:rPr>
        <w:t xml:space="preserve">Варто підкреслити, що ці висновки стосуються судових проваджень. Застосовність статті 6 Конвенції до </w:t>
      </w:r>
      <w:r w:rsidRPr="009A3F85" w:rsidR="003516B6">
        <w:rPr>
          <w:lang w:val="uk-UA"/>
        </w:rPr>
        <w:t xml:space="preserve">екстраординарних </w:t>
      </w:r>
      <w:r w:rsidRPr="009A3F85">
        <w:rPr>
          <w:lang w:val="uk-UA"/>
        </w:rPr>
        <w:t>засобів юридичного захисту в адміністративних провадженнях є іншим питанням, яке вимагатиме окремого розгляду.</w:t>
      </w:r>
    </w:p>
    <w:p w:rsidRPr="009A3F85" w:rsidR="00D17581" w:rsidP="009A3F85">
      <w:pPr>
        <w:pStyle w:val="OpiPara"/>
        <w:rPr>
          <w:lang w:val="uk-UA"/>
        </w:rPr>
      </w:pPr>
      <w:r w:rsidRPr="009A3F85">
        <w:rPr>
          <w:lang w:val="uk-UA"/>
        </w:rPr>
        <w:t xml:space="preserve">6.  Ця справа також стосується дуже делікатного питання наслідків рішень Суду, в яких </w:t>
      </w:r>
      <w:r w:rsidRPr="009A3F85" w:rsidR="000D1E79">
        <w:rPr>
          <w:lang w:val="uk-UA"/>
        </w:rPr>
        <w:t xml:space="preserve">встановлено </w:t>
      </w:r>
      <w:r w:rsidRPr="009A3F85">
        <w:rPr>
          <w:lang w:val="uk-UA"/>
        </w:rPr>
        <w:t xml:space="preserve">порушення Конвенції </w:t>
      </w:r>
      <w:r w:rsidRPr="009A3F85" w:rsidR="000D1E79">
        <w:rPr>
          <w:lang w:val="uk-UA"/>
        </w:rPr>
        <w:t>у</w:t>
      </w:r>
      <w:r w:rsidRPr="009A3F85">
        <w:rPr>
          <w:lang w:val="uk-UA"/>
        </w:rPr>
        <w:t xml:space="preserve"> </w:t>
      </w:r>
      <w:r w:rsidRPr="009A3F85" w:rsidR="000D1E79">
        <w:rPr>
          <w:lang w:val="uk-UA"/>
        </w:rPr>
        <w:t xml:space="preserve">цивільному </w:t>
      </w:r>
      <w:r w:rsidRPr="009A3F85">
        <w:rPr>
          <w:lang w:val="uk-UA"/>
        </w:rPr>
        <w:t>провадженн</w:t>
      </w:r>
      <w:r w:rsidRPr="009A3F85" w:rsidR="000D1E79">
        <w:rPr>
          <w:lang w:val="uk-UA"/>
        </w:rPr>
        <w:t>і</w:t>
      </w:r>
      <w:r w:rsidRPr="009A3F85">
        <w:rPr>
          <w:lang w:val="uk-UA"/>
        </w:rPr>
        <w:t xml:space="preserve"> або </w:t>
      </w:r>
      <w:r w:rsidRPr="009A3F85" w:rsidR="000D1E79">
        <w:rPr>
          <w:lang w:val="uk-UA"/>
        </w:rPr>
        <w:t xml:space="preserve">порушення, яке випливає із </w:t>
      </w:r>
      <w:r w:rsidRPr="009A3F85">
        <w:rPr>
          <w:lang w:val="uk-UA"/>
        </w:rPr>
        <w:t xml:space="preserve">судового рішення у цивільній справі. Судові рішення у цивільних справах дуже часто слугують для вирішення спорів сторін з протилежними інтересами. Коли одна зі сторін оскаржує до Суду відповідність Конвенції застосованої процедури або постановленого рішення, результат провадження у Суді впливає на права та інтереси інших сторін. Хоча </w:t>
      </w:r>
      <w:r w:rsidRPr="009A3F85">
        <w:rPr>
          <w:lang w:val="uk-UA"/>
        </w:rPr>
        <w:t>Суд розглядає вертикальні відносини (тобто відносини між заявником і державою) та ухвалює рішення щодо порушень Конвенції, відповідальність за які покладається на державні органи влади, рішення, яким встановлюється порушення прав заявника у цивільному провадженні або внаслідок судового рішення у цивільній справі, вплине на захист прав інших сторін провадження, а тому обов</w:t>
      </w:r>
      <w:r w:rsidRPr="009A3F85" w:rsidR="009A3F85">
        <w:rPr>
          <w:lang w:val="uk-UA"/>
        </w:rPr>
        <w:t>’</w:t>
      </w:r>
      <w:r w:rsidRPr="009A3F85">
        <w:rPr>
          <w:lang w:val="uk-UA"/>
        </w:rPr>
        <w:t xml:space="preserve">язково матиме горизонтальний вимір, тобто стосуватиметься відносин між сторонами, якими є приватні особи. Подальше поширення у судовій практиці сфери застосування конвенційних прав на відносини між сторонами у сфері приватного права (німецькою – </w:t>
      </w:r>
      <w:r w:rsidRPr="009A3F85">
        <w:rPr>
          <w:i/>
          <w:lang w:val="uk-UA"/>
        </w:rPr>
        <w:t>Drittwirkung</w:t>
      </w:r>
      <w:r w:rsidRPr="009A3F85">
        <w:rPr>
          <w:lang w:val="uk-UA"/>
        </w:rPr>
        <w:t>) ще більш посилює цю тенденцію.</w:t>
      </w:r>
    </w:p>
    <w:p w:rsidRPr="009A3F85" w:rsidR="00D17581" w:rsidP="009A3F85">
      <w:pPr>
        <w:pStyle w:val="OpiPara"/>
        <w:rPr>
          <w:lang w:val="uk-UA"/>
        </w:rPr>
      </w:pPr>
      <w:r w:rsidRPr="009A3F85">
        <w:rPr>
          <w:lang w:val="uk-UA"/>
        </w:rPr>
        <w:t>Цей вплив рішень Суду був би ще більш глибоким, якби встановлення порушення Конвенції в рамках цивільного провадження або внаслідок судового рішення у цивільній справі призводити</w:t>
      </w:r>
      <w:r w:rsidRPr="009A3F85" w:rsidR="000D1E79">
        <w:rPr>
          <w:lang w:val="uk-UA"/>
        </w:rPr>
        <w:t xml:space="preserve"> б</w:t>
      </w:r>
      <w:r w:rsidRPr="009A3F85">
        <w:rPr>
          <w:lang w:val="uk-UA"/>
        </w:rPr>
        <w:t xml:space="preserve"> до відновлення такого провадження. У мотивувальній частині цього рішення абсолютно справедливо зазначається про відсутність </w:t>
      </w:r>
      <w:r w:rsidRPr="009A3F85" w:rsidR="000D1E79">
        <w:rPr>
          <w:lang w:val="uk-UA"/>
        </w:rPr>
        <w:t xml:space="preserve">консенсусу </w:t>
      </w:r>
      <w:r w:rsidRPr="009A3F85">
        <w:rPr>
          <w:lang w:val="uk-UA"/>
        </w:rPr>
        <w:t>Високих Договірних Сторін у цій сфері (див. пункт 57 рішення). Також дуже доречно зазначається про можливі наслідки перегляду справи заявниці «</w:t>
      </w:r>
      <w:r w:rsidRPr="009A3F85" w:rsidR="004D46A9">
        <w:rPr>
          <w:rFonts w:eastAsia="Times New Roman"/>
          <w:lang w:val="uk-UA" w:eastAsia="fr-FR"/>
        </w:rPr>
        <w:t xml:space="preserve">для принципів </w:t>
      </w:r>
      <w:r w:rsidRPr="009A3F85" w:rsidR="004D46A9">
        <w:rPr>
          <w:rFonts w:eastAsia="Times New Roman"/>
          <w:i/>
          <w:lang w:val="uk-UA"/>
        </w:rPr>
        <w:t>res iudicata</w:t>
      </w:r>
      <w:r w:rsidRPr="009A3F85" w:rsidR="004D46A9">
        <w:rPr>
          <w:rFonts w:eastAsia="Times New Roman"/>
          <w:lang w:val="uk-UA"/>
        </w:rPr>
        <w:t xml:space="preserve"> та юридичної визначеності у цивільному провадженні, що було завершене, а також для законних інтересів третіх осіб</w:t>
      </w:r>
      <w:r w:rsidRPr="009A3F85">
        <w:rPr>
          <w:rFonts w:eastAsia="Times New Roman"/>
          <w:lang w:val="uk-UA"/>
        </w:rPr>
        <w:t>»</w:t>
      </w:r>
      <w:r w:rsidRPr="009A3F85">
        <w:rPr>
          <w:lang w:val="uk-UA"/>
        </w:rPr>
        <w:t xml:space="preserve"> (пункт 72). Проте в мотивувальній частині рішення, як видається, певна перевага </w:t>
      </w:r>
      <w:r w:rsidRPr="009A3F85" w:rsidR="00314F9B">
        <w:rPr>
          <w:lang w:val="uk-UA"/>
        </w:rPr>
        <w:t xml:space="preserve">надається </w:t>
      </w:r>
      <w:r w:rsidRPr="009A3F85">
        <w:rPr>
          <w:lang w:val="uk-UA"/>
        </w:rPr>
        <w:t>забезпеченн</w:t>
      </w:r>
      <w:r w:rsidRPr="009A3F85" w:rsidR="00314F9B">
        <w:rPr>
          <w:lang w:val="uk-UA"/>
        </w:rPr>
        <w:t>ю</w:t>
      </w:r>
      <w:r w:rsidRPr="009A3F85">
        <w:rPr>
          <w:lang w:val="uk-UA"/>
        </w:rPr>
        <w:t xml:space="preserve"> існування можливостей для відновлення цивільного провадження з метою сприяння виконанню рішень Суду (пункт 58). Особисто я волів би включити у мотивування Суду деякі кваліфікації.</w:t>
      </w:r>
    </w:p>
    <w:p w:rsidRPr="009A3F85" w:rsidR="00D17581" w:rsidP="009A3F85">
      <w:pPr>
        <w:pStyle w:val="OpiPara"/>
        <w:rPr>
          <w:lang w:val="uk-UA"/>
        </w:rPr>
      </w:pPr>
      <w:r w:rsidRPr="009A3F85">
        <w:rPr>
          <w:lang w:val="uk-UA"/>
        </w:rPr>
        <w:t>Кожна сторона цивільного провадження має право на незмінне остаточне рішення, постановлене впродовж розумного строку. Остаточне рішення</w:t>
      </w:r>
      <w:r w:rsidRPr="009A3F85" w:rsidR="00314F9B">
        <w:rPr>
          <w:lang w:val="uk-UA"/>
        </w:rPr>
        <w:t>,</w:t>
      </w:r>
      <w:r w:rsidRPr="009A3F85">
        <w:rPr>
          <w:lang w:val="uk-UA"/>
        </w:rPr>
        <w:t xml:space="preserve"> навіть таке, що має</w:t>
      </w:r>
      <w:r w:rsidRPr="009A3F85" w:rsidR="00314F9B">
        <w:rPr>
          <w:lang w:val="uk-UA"/>
        </w:rPr>
        <w:t xml:space="preserve"> недоліки</w:t>
      </w:r>
      <w:r w:rsidRPr="009A3F85">
        <w:rPr>
          <w:lang w:val="uk-UA"/>
        </w:rPr>
        <w:t xml:space="preserve"> у розумінні Конвенції, створює правомірні очікування щодо його незмінності, </w:t>
      </w:r>
      <w:r w:rsidRPr="009A3F85" w:rsidR="00314F9B">
        <w:rPr>
          <w:lang w:val="uk-UA"/>
        </w:rPr>
        <w:t>особливо для</w:t>
      </w:r>
      <w:r w:rsidRPr="009A3F85">
        <w:rPr>
          <w:lang w:val="uk-UA"/>
        </w:rPr>
        <w:t xml:space="preserve"> протилежн</w:t>
      </w:r>
      <w:r w:rsidRPr="009A3F85" w:rsidR="00314F9B">
        <w:rPr>
          <w:lang w:val="uk-UA"/>
        </w:rPr>
        <w:t xml:space="preserve">ої </w:t>
      </w:r>
      <w:r w:rsidRPr="009A3F85">
        <w:rPr>
          <w:lang w:val="uk-UA"/>
        </w:rPr>
        <w:t>сторон</w:t>
      </w:r>
      <w:r w:rsidRPr="009A3F85" w:rsidR="00314F9B">
        <w:rPr>
          <w:lang w:val="uk-UA"/>
        </w:rPr>
        <w:t>и,</w:t>
      </w:r>
      <w:r w:rsidRPr="009A3F85">
        <w:rPr>
          <w:lang w:val="uk-UA"/>
        </w:rPr>
        <w:t xml:space="preserve"> </w:t>
      </w:r>
      <w:r w:rsidRPr="009A3F85" w:rsidR="00314F9B">
        <w:rPr>
          <w:lang w:val="uk-UA"/>
        </w:rPr>
        <w:t xml:space="preserve">особливо коли вона </w:t>
      </w:r>
      <w:r w:rsidRPr="009A3F85">
        <w:rPr>
          <w:lang w:val="uk-UA"/>
        </w:rPr>
        <w:t xml:space="preserve">діяла добросовісно у ситуації, </w:t>
      </w:r>
      <w:r w:rsidRPr="009A3F85" w:rsidR="00314F9B">
        <w:rPr>
          <w:lang w:val="uk-UA"/>
        </w:rPr>
        <w:t xml:space="preserve">за якої </w:t>
      </w:r>
      <w:r w:rsidRPr="009A3F85">
        <w:rPr>
          <w:lang w:val="uk-UA"/>
        </w:rPr>
        <w:t>порушення Конвенції не були очевидними з огляду на існуючу практику Суду. Необхідність забезпечення незмінності остаточних судових рішень у провадження</w:t>
      </w:r>
      <w:r w:rsidRPr="009A3F85" w:rsidR="004D46A9">
        <w:rPr>
          <w:lang w:val="uk-UA"/>
        </w:rPr>
        <w:t>х</w:t>
      </w:r>
      <w:r w:rsidRPr="009A3F85">
        <w:rPr>
          <w:lang w:val="uk-UA"/>
        </w:rPr>
        <w:t xml:space="preserve">, учасниками яких є приватні особи та які стосуються законних інтересів усіх сторін провадження, є сильним аргументом проти відновлення цивільного провадження на підставі рішення Суду, яким встановлено порушення Конвенції. Наслідком відновлення такого провадження може навіть стати порушення прав інших сторін, які також захищені Конвенцією. Тим не менш, неможна виключити того, що у певних ситуаціях остаточне рішення національного суду у цивільних справах може призвести до несправедливості у відносинах між сторонами провадження, які є приватними особами, </w:t>
      </w:r>
      <w:r w:rsidRPr="009A3F85" w:rsidR="00314F9B">
        <w:rPr>
          <w:lang w:val="uk-UA"/>
        </w:rPr>
        <w:t xml:space="preserve">і </w:t>
      </w:r>
      <w:r w:rsidRPr="009A3F85" w:rsidR="004D46A9">
        <w:rPr>
          <w:lang w:val="uk-UA"/>
        </w:rPr>
        <w:t>вона</w:t>
      </w:r>
      <w:r w:rsidRPr="009A3F85" w:rsidR="00314F9B">
        <w:rPr>
          <w:lang w:val="uk-UA"/>
        </w:rPr>
        <w:t xml:space="preserve"> </w:t>
      </w:r>
      <w:r w:rsidRPr="009A3F85">
        <w:rPr>
          <w:lang w:val="uk-UA"/>
        </w:rPr>
        <w:t xml:space="preserve">буде настільки кричущою, що виправити її можна буде тільки </w:t>
      </w:r>
      <w:r w:rsidRPr="009A3F85" w:rsidR="00314F9B">
        <w:rPr>
          <w:lang w:val="uk-UA"/>
        </w:rPr>
        <w:t xml:space="preserve">шляхом скасування </w:t>
      </w:r>
      <w:r w:rsidRPr="009A3F85">
        <w:rPr>
          <w:lang w:val="uk-UA"/>
        </w:rPr>
        <w:t>зазначен</w:t>
      </w:r>
      <w:r w:rsidRPr="009A3F85" w:rsidR="00314F9B">
        <w:rPr>
          <w:lang w:val="uk-UA"/>
        </w:rPr>
        <w:t>ого</w:t>
      </w:r>
      <w:r w:rsidRPr="009A3F85">
        <w:rPr>
          <w:lang w:val="uk-UA"/>
        </w:rPr>
        <w:t xml:space="preserve"> рішення або </w:t>
      </w:r>
      <w:r w:rsidRPr="009A3F85" w:rsidR="00314F9B">
        <w:rPr>
          <w:lang w:val="uk-UA"/>
        </w:rPr>
        <w:t xml:space="preserve">внесення </w:t>
      </w:r>
      <w:r w:rsidRPr="009A3F85">
        <w:rPr>
          <w:lang w:val="uk-UA"/>
        </w:rPr>
        <w:t xml:space="preserve">до нього змін. Проте, </w:t>
      </w:r>
      <w:r w:rsidRPr="009A3F85">
        <w:rPr>
          <w:lang w:val="uk-UA"/>
        </w:rPr>
        <w:t>загалом кажучи, для видів ситуацій, що тут розглядаються, справедлива сатисфакція частіше за все полягатиме у відшкодуванні шкоди державою.</w:t>
      </w:r>
    </w:p>
    <w:p w:rsidRPr="009A3F85" w:rsidR="00D17581" w:rsidP="009A3F85">
      <w:pPr>
        <w:pStyle w:val="OpiPara"/>
        <w:rPr>
          <w:lang w:val="uk-UA"/>
        </w:rPr>
      </w:pPr>
      <w:r w:rsidRPr="009A3F85">
        <w:rPr>
          <w:lang w:val="uk-UA"/>
        </w:rPr>
        <w:t xml:space="preserve">7.  Питання </w:t>
      </w:r>
      <w:r w:rsidRPr="009A3F85" w:rsidR="00314F9B">
        <w:rPr>
          <w:lang w:val="uk-UA"/>
        </w:rPr>
        <w:t xml:space="preserve">щодо </w:t>
      </w:r>
      <w:r w:rsidRPr="009A3F85">
        <w:rPr>
          <w:lang w:val="uk-UA"/>
        </w:rPr>
        <w:t>наслідків рішень Суду природно пов</w:t>
      </w:r>
      <w:r w:rsidRPr="009A3F85" w:rsidR="009A3F85">
        <w:rPr>
          <w:lang w:val="uk-UA"/>
        </w:rPr>
        <w:t>’</w:t>
      </w:r>
      <w:r w:rsidRPr="009A3F85">
        <w:rPr>
          <w:lang w:val="uk-UA"/>
        </w:rPr>
        <w:t xml:space="preserve">язане з питанням процедури розгляду справи у Суді. Усі процесуальні норми </w:t>
      </w:r>
      <w:r w:rsidRPr="009A3F85" w:rsidR="004D46A9">
        <w:rPr>
          <w:lang w:val="uk-UA"/>
        </w:rPr>
        <w:t xml:space="preserve">мають </w:t>
      </w:r>
      <w:r w:rsidRPr="009A3F85">
        <w:rPr>
          <w:lang w:val="uk-UA"/>
        </w:rPr>
        <w:t>відповідати цілі та завданню провадження і повинні забезпечити ефективний захист законних інтересів усіх його сторін. Більше того, вони повинні гарантувати беззаперечну процесуальну законність постановлених рішень.</w:t>
      </w:r>
    </w:p>
    <w:p w:rsidRPr="009A3F85" w:rsidR="009A3F85" w:rsidP="009A3F85">
      <w:pPr>
        <w:pStyle w:val="OpiPara"/>
        <w:rPr>
          <w:lang w:val="uk-UA"/>
        </w:rPr>
      </w:pPr>
      <w:r w:rsidRPr="009A3F85">
        <w:rPr>
          <w:lang w:val="uk-UA"/>
        </w:rPr>
        <w:t>Процесуальна справедливість вимагає, зокрема, надання гарантії права бути заслуханим усім особам, яких стосується результат провадження. Як зауважено Сенекою у трагедії «Медея»:</w:t>
      </w:r>
      <w:r w:rsidRPr="009A3F85">
        <w:rPr>
          <w:i/>
          <w:lang w:val="uk-UA"/>
        </w:rPr>
        <w:t xml:space="preserve"> </w:t>
      </w:r>
      <w:r w:rsidRPr="009A3F85">
        <w:rPr>
          <w:lang w:val="uk-UA"/>
        </w:rPr>
        <w:t>«Qui statuit aliquid parte inaudita altera, aequum licet statuerit, haud aequus fuit». Чим більш всеосяжними ставатимуть наслідки рішень Суду, тим більш нагальною буде необхідність забезпечення для всіх осіб, яких ці рішення стосуються, права бути заслуханим. Тенденції у судовій практиці щодо наслідків та виконання рішень Суду можуть вимагати коригування застосовних процесуальних норм.</w:t>
      </w:r>
    </w:p>
    <w:p w:rsidRPr="009A3F85" w:rsidR="00D17581" w:rsidP="009A3F85">
      <w:pPr>
        <w:pStyle w:val="OpiPara"/>
        <w:rPr>
          <w:lang w:val="uk-UA"/>
        </w:rPr>
      </w:pPr>
      <w:r w:rsidRPr="009A3F85">
        <w:rPr>
          <w:lang w:val="uk-UA"/>
        </w:rPr>
        <w:t>8.  При розгляді заяв, в яких стверджується про порушення прав людини в рамках цивільних проваджень або внаслідок судових рішень у цивільних справах, вирішення спорів між фізичними або юридичними особами, що регулюються приватним правом, ніколи не слід забувати про права сторони, протилежної стороні-заявнику. Адже встановлення Судом порушення Конвенції у зв</w:t>
      </w:r>
      <w:r w:rsidRPr="009A3F85" w:rsidR="009A3F85">
        <w:rPr>
          <w:lang w:val="uk-UA"/>
        </w:rPr>
        <w:t>’</w:t>
      </w:r>
      <w:r w:rsidRPr="009A3F85">
        <w:rPr>
          <w:lang w:val="uk-UA"/>
        </w:rPr>
        <w:t>язку з судовим рішенням у цивільній справі може мати практичні та правові наслідки для інших сторін цивільного провадження і для здійснення їхніх прав. Ця проблема особливо гостро постає у випадку, коли заяви подаються проти держав, чиє законодавство (як в Україні) дозволяє відновлення цивільного провадження на підставі рішення Суду.</w:t>
      </w:r>
    </w:p>
    <w:p w:rsidRPr="009A3F85" w:rsidR="00D17581" w:rsidP="009A3F85">
      <w:pPr>
        <w:pStyle w:val="OpiPara"/>
        <w:rPr>
          <w:lang w:val="uk-UA"/>
        </w:rPr>
      </w:pPr>
      <w:r w:rsidRPr="009A3F85">
        <w:rPr>
          <w:lang w:val="uk-UA"/>
        </w:rPr>
        <w:t>Тут варто зазначити, що у своєму рішенні у справі «Руїс-Матеос проти Іспанії» (</w:t>
      </w:r>
      <w:r w:rsidRPr="009A3F85">
        <w:rPr>
          <w:i/>
          <w:lang w:val="uk-UA"/>
        </w:rPr>
        <w:t>Ruiz-Mateos v. Spain</w:t>
      </w:r>
      <w:r w:rsidRPr="009A3F85">
        <w:rPr>
          <w:lang w:val="uk-UA"/>
        </w:rPr>
        <w:t>), від 23 </w:t>
      </w:r>
      <w:r w:rsidRPr="009A3F85" w:rsidR="00314F9B">
        <w:rPr>
          <w:lang w:val="uk-UA"/>
        </w:rPr>
        <w:t xml:space="preserve">червня </w:t>
      </w:r>
      <w:r w:rsidRPr="009A3F85">
        <w:rPr>
          <w:lang w:val="uk-UA"/>
        </w:rPr>
        <w:t xml:space="preserve">1993 року, Series A № 262), Суд розглянув право зазначених осіб бути заслуханими у </w:t>
      </w:r>
      <w:r w:rsidRPr="009A3F85" w:rsidR="00314F9B">
        <w:rPr>
          <w:lang w:val="uk-UA"/>
        </w:rPr>
        <w:t xml:space="preserve">конституційному </w:t>
      </w:r>
      <w:r w:rsidRPr="009A3F85">
        <w:rPr>
          <w:lang w:val="uk-UA"/>
        </w:rPr>
        <w:t>провадженні</w:t>
      </w:r>
      <w:r w:rsidRPr="009A3F85" w:rsidR="00314F9B">
        <w:rPr>
          <w:lang w:val="uk-UA"/>
        </w:rPr>
        <w:t xml:space="preserve"> щодо перегляду</w:t>
      </w:r>
      <w:r w:rsidRPr="009A3F85">
        <w:rPr>
          <w:lang w:val="uk-UA"/>
        </w:rPr>
        <w:t xml:space="preserve">. Питання було порушено у контексті </w:t>
      </w:r>
      <w:r w:rsidRPr="009A3F85" w:rsidR="00314F9B">
        <w:rPr>
          <w:lang w:val="uk-UA"/>
        </w:rPr>
        <w:t>взаємозв</w:t>
      </w:r>
      <w:r w:rsidRPr="009A3F85" w:rsidR="009A3F85">
        <w:rPr>
          <w:lang w:val="uk-UA"/>
        </w:rPr>
        <w:t>’</w:t>
      </w:r>
      <w:r w:rsidRPr="009A3F85" w:rsidR="00314F9B">
        <w:rPr>
          <w:lang w:val="uk-UA"/>
        </w:rPr>
        <w:t xml:space="preserve">язку </w:t>
      </w:r>
      <w:r w:rsidRPr="009A3F85">
        <w:rPr>
          <w:lang w:val="uk-UA"/>
        </w:rPr>
        <w:t xml:space="preserve">між цивільним провадженням і провадженням </w:t>
      </w:r>
      <w:r w:rsidRPr="009A3F85" w:rsidR="00E92FE6">
        <w:rPr>
          <w:lang w:val="uk-UA"/>
        </w:rPr>
        <w:t>щодо</w:t>
      </w:r>
      <w:r w:rsidRPr="009A3F85">
        <w:rPr>
          <w:lang w:val="uk-UA"/>
        </w:rPr>
        <w:t xml:space="preserve"> конституційності</w:t>
      </w:r>
      <w:r w:rsidRPr="009A3F85" w:rsidR="00E92FE6">
        <w:rPr>
          <w:lang w:val="uk-UA"/>
        </w:rPr>
        <w:t xml:space="preserve"> законодавчих актів</w:t>
      </w:r>
      <w:r w:rsidRPr="009A3F85">
        <w:rPr>
          <w:lang w:val="uk-UA"/>
        </w:rPr>
        <w:t xml:space="preserve">. У зазначеній справі іспанський суд під час цивільного провадження звернувся до Конституційного суду з запитом про конституційність застосованих у справі законодавчих актів. Суд встановив порушення Конвенції на тій підставі, що у провадженні </w:t>
      </w:r>
      <w:r w:rsidRPr="009A3F85" w:rsidR="00E92FE6">
        <w:rPr>
          <w:lang w:val="uk-UA"/>
        </w:rPr>
        <w:t>щодо конституційності</w:t>
      </w:r>
      <w:r w:rsidRPr="009A3F85">
        <w:rPr>
          <w:lang w:val="uk-UA"/>
        </w:rPr>
        <w:t xml:space="preserve"> цих законодавчих актів у Конституційному суді іспанські органи влади не забезпечили одній зі сторін цивільного провадження права на надання зауважень щодо позиції протилежної сторони стосовно конституційності законодавчого акту (п. 67).</w:t>
      </w:r>
    </w:p>
    <w:p w:rsidRPr="009A3F85" w:rsidR="009A3F85" w:rsidP="009A3F85">
      <w:pPr>
        <w:pStyle w:val="OpiPara"/>
        <w:rPr>
          <w:lang w:val="uk-UA"/>
        </w:rPr>
      </w:pPr>
      <w:r w:rsidRPr="009A3F85">
        <w:rPr>
          <w:lang w:val="uk-UA"/>
        </w:rPr>
        <w:t>9.  Безперечно, порядок розгляду Судом індивідуальних заяв має багато специфічних рис, які відрізняють її від порядку, у якому діють різні національні суди вищих інстанцій. Хоча рішення Суду може бути важливим для здійснення прав інших сторін у національному провадження, воно не встановлює для них прав і обов</w:t>
      </w:r>
      <w:r w:rsidRPr="009A3F85">
        <w:rPr>
          <w:lang w:val="uk-UA"/>
        </w:rPr>
        <w:t>’</w:t>
      </w:r>
      <w:r w:rsidRPr="009A3F85">
        <w:rPr>
          <w:lang w:val="uk-UA"/>
        </w:rPr>
        <w:t>язків, які б мали пряму дію на території Договірних Сторін. Проте з огляду на те, що у розглянутих ситуаціях результат провадження у Суді часто впливає на треті сторони, підхід, обраний у справі «Руїс-Матеос проти Іспанії» (</w:t>
      </w:r>
      <w:r w:rsidRPr="009A3F85">
        <w:rPr>
          <w:i/>
          <w:lang w:val="uk-UA"/>
        </w:rPr>
        <w:t>Ruiz-Mateos v. Spain</w:t>
      </w:r>
      <w:r w:rsidRPr="009A3F85">
        <w:rPr>
          <w:lang w:val="uk-UA"/>
        </w:rPr>
        <w:t xml:space="preserve">) у контексті </w:t>
      </w:r>
      <w:r w:rsidRPr="009A3F85" w:rsidR="00E92FE6">
        <w:rPr>
          <w:lang w:val="uk-UA"/>
        </w:rPr>
        <w:t>взаємозв</w:t>
      </w:r>
      <w:r w:rsidRPr="009A3F85">
        <w:rPr>
          <w:lang w:val="uk-UA"/>
        </w:rPr>
        <w:t>’</w:t>
      </w:r>
      <w:r w:rsidRPr="009A3F85" w:rsidR="00E92FE6">
        <w:rPr>
          <w:lang w:val="uk-UA"/>
        </w:rPr>
        <w:t xml:space="preserve">язку </w:t>
      </w:r>
      <w:r w:rsidRPr="009A3F85">
        <w:rPr>
          <w:lang w:val="uk-UA"/>
        </w:rPr>
        <w:t>цивільн</w:t>
      </w:r>
      <w:r w:rsidRPr="009A3F85" w:rsidR="00E92FE6">
        <w:rPr>
          <w:lang w:val="uk-UA"/>
        </w:rPr>
        <w:t>ого</w:t>
      </w:r>
      <w:r w:rsidRPr="009A3F85">
        <w:rPr>
          <w:lang w:val="uk-UA"/>
        </w:rPr>
        <w:t xml:space="preserve"> провадження і провадження </w:t>
      </w:r>
      <w:r w:rsidRPr="009A3F85" w:rsidR="00E92FE6">
        <w:rPr>
          <w:lang w:val="uk-UA"/>
        </w:rPr>
        <w:t>щодо конституційності</w:t>
      </w:r>
      <w:r w:rsidRPr="009A3F85">
        <w:rPr>
          <w:lang w:val="uk-UA"/>
        </w:rPr>
        <w:t xml:space="preserve"> законодавчих актів, є також справедливим і для контексту </w:t>
      </w:r>
      <w:r w:rsidRPr="009A3F85" w:rsidR="00E5270E">
        <w:rPr>
          <w:lang w:val="uk-UA"/>
        </w:rPr>
        <w:t>взаємозв</w:t>
      </w:r>
      <w:r w:rsidRPr="009A3F85">
        <w:rPr>
          <w:lang w:val="uk-UA"/>
        </w:rPr>
        <w:t>’</w:t>
      </w:r>
      <w:r w:rsidRPr="009A3F85" w:rsidR="00E5270E">
        <w:rPr>
          <w:lang w:val="uk-UA"/>
        </w:rPr>
        <w:t xml:space="preserve">язку </w:t>
      </w:r>
      <w:r w:rsidRPr="009A3F85">
        <w:rPr>
          <w:lang w:val="uk-UA"/>
        </w:rPr>
        <w:t>цивільн</w:t>
      </w:r>
      <w:r w:rsidRPr="009A3F85" w:rsidR="00E5270E">
        <w:rPr>
          <w:lang w:val="uk-UA"/>
        </w:rPr>
        <w:t>ого</w:t>
      </w:r>
      <w:r w:rsidRPr="009A3F85">
        <w:rPr>
          <w:lang w:val="uk-UA"/>
        </w:rPr>
        <w:t xml:space="preserve"> провадження на національному рівні і провадження у Європейському суді з прав людини.</w:t>
      </w:r>
    </w:p>
    <w:p w:rsidRPr="009A3F85" w:rsidR="00D17581" w:rsidP="009A3F85">
      <w:pPr>
        <w:pStyle w:val="OpiPara"/>
        <w:rPr>
          <w:lang w:val="uk-UA"/>
        </w:rPr>
      </w:pPr>
      <w:r w:rsidRPr="009A3F85">
        <w:rPr>
          <w:lang w:val="uk-UA"/>
        </w:rPr>
        <w:t>Конвенція не гарантує іншим сторонам провадження на національному рівні, яких стосується оскаржуване судове рішення, права бути заслуханими Судом. Дійсно, згідно з пунктом 2 статті 36 Конвенції у поєднанн</w:t>
      </w:r>
      <w:r w:rsidRPr="009A3F85" w:rsidR="00E5270E">
        <w:rPr>
          <w:lang w:val="uk-UA"/>
        </w:rPr>
        <w:t>і</w:t>
      </w:r>
      <w:r w:rsidRPr="009A3F85">
        <w:rPr>
          <w:lang w:val="uk-UA"/>
        </w:rPr>
        <w:t xml:space="preserve"> з пунктом 3 Правила 44 Регламенту Суду в інтересах належного здійснення правосуддя Голова палати може дозволити або запропонувати будь-якій заінтересованій особі, яка не є заявником, подати свої письмові зауваження або – за виняткових обставин – взяти участь у слуханнях. Суд іноді користується цією можливістю, зокрема у справах, що стосуються сімейного права. Обраний підхід, як на мене, справляє враження неадекватного, оскільки залишене на розсуд Голови палати право надання заінтересованій особи можливості висловити свою думку не є тотожним праву бути заслуханим. Воно не завжди використовується, кол</w:t>
      </w:r>
      <w:r w:rsidRPr="009A3F85" w:rsidR="004D46A9">
        <w:rPr>
          <w:lang w:val="uk-UA"/>
        </w:rPr>
        <w:t>и</w:t>
      </w:r>
      <w:r w:rsidRPr="009A3F85">
        <w:rPr>
          <w:lang w:val="uk-UA"/>
        </w:rPr>
        <w:t xml:space="preserve"> зачіпаються інтереси третіх сторін.</w:t>
      </w:r>
    </w:p>
    <w:p w:rsidRPr="009A3F85" w:rsidR="00D17581" w:rsidP="009A3F85">
      <w:pPr>
        <w:pStyle w:val="OpiPara"/>
        <w:rPr>
          <w:lang w:val="uk-UA"/>
        </w:rPr>
      </w:pPr>
      <w:r w:rsidRPr="009A3F85">
        <w:rPr>
          <w:lang w:val="uk-UA"/>
        </w:rPr>
        <w:t xml:space="preserve">Засідаючи у справах, в яких </w:t>
      </w:r>
      <w:r w:rsidRPr="009A3F85" w:rsidR="00E5270E">
        <w:rPr>
          <w:lang w:val="uk-UA"/>
        </w:rPr>
        <w:t xml:space="preserve">розглядаються </w:t>
      </w:r>
      <w:r w:rsidRPr="009A3F85">
        <w:rPr>
          <w:lang w:val="uk-UA"/>
        </w:rPr>
        <w:t xml:space="preserve">порушення Конвенції в рамках цивільного провадження або внаслідок судового рішення у цивільній справі, я завжди </w:t>
      </w:r>
      <w:r w:rsidRPr="009A3F85" w:rsidR="00E5270E">
        <w:rPr>
          <w:lang w:val="uk-UA"/>
        </w:rPr>
        <w:t>розмірковую</w:t>
      </w:r>
      <w:r w:rsidRPr="009A3F85">
        <w:rPr>
          <w:lang w:val="uk-UA"/>
        </w:rPr>
        <w:t xml:space="preserve">, чи </w:t>
      </w:r>
      <w:r w:rsidRPr="009A3F85" w:rsidR="00E5270E">
        <w:rPr>
          <w:lang w:val="uk-UA"/>
        </w:rPr>
        <w:t xml:space="preserve">не </w:t>
      </w:r>
      <w:r w:rsidRPr="009A3F85">
        <w:rPr>
          <w:lang w:val="uk-UA"/>
        </w:rPr>
        <w:t xml:space="preserve">слід </w:t>
      </w:r>
      <w:r w:rsidRPr="009A3F85" w:rsidR="00E5270E">
        <w:rPr>
          <w:lang w:val="uk-UA"/>
        </w:rPr>
        <w:t xml:space="preserve">забезпечити </w:t>
      </w:r>
      <w:r w:rsidRPr="009A3F85">
        <w:rPr>
          <w:lang w:val="uk-UA"/>
        </w:rPr>
        <w:t xml:space="preserve">іншим заінтересованим сторонам у </w:t>
      </w:r>
      <w:r w:rsidRPr="009A3F85" w:rsidR="00E5270E">
        <w:rPr>
          <w:lang w:val="uk-UA"/>
        </w:rPr>
        <w:t>с</w:t>
      </w:r>
      <w:r w:rsidRPr="009A3F85">
        <w:rPr>
          <w:lang w:val="uk-UA"/>
        </w:rPr>
        <w:t xml:space="preserve">праві </w:t>
      </w:r>
      <w:r w:rsidRPr="009A3F85" w:rsidR="00E5270E">
        <w:rPr>
          <w:lang w:val="uk-UA"/>
        </w:rPr>
        <w:t xml:space="preserve">право </w:t>
      </w:r>
      <w:r w:rsidRPr="009A3F85">
        <w:rPr>
          <w:lang w:val="uk-UA"/>
        </w:rPr>
        <w:t>надати Суду зауваження. Чи правильно постановляти рішення, не заслухавши інші заінтересовані сторони? Забезпечення їхнього права бути заслуханими не тільки</w:t>
      </w:r>
      <w:r w:rsidRPr="009A3F85" w:rsidR="00183C3E">
        <w:rPr>
          <w:lang w:val="uk-UA"/>
        </w:rPr>
        <w:t xml:space="preserve"> надало б більшої ваги принципу </w:t>
      </w:r>
      <w:r w:rsidRPr="009A3F85">
        <w:rPr>
          <w:lang w:val="uk-UA"/>
        </w:rPr>
        <w:t xml:space="preserve">процесуальної справедливості, але в багатьох випадках також забезпечило би </w:t>
      </w:r>
      <w:r w:rsidRPr="009A3F85" w:rsidR="00183C3E">
        <w:rPr>
          <w:lang w:val="uk-UA"/>
        </w:rPr>
        <w:t>глибше вивчення</w:t>
      </w:r>
      <w:r w:rsidRPr="009A3F85">
        <w:rPr>
          <w:lang w:val="uk-UA"/>
        </w:rPr>
        <w:t xml:space="preserve"> питань, що розглядаються.</w:t>
      </w:r>
    </w:p>
    <w:p w:rsidRPr="009A3F85" w:rsidR="004D15F3" w:rsidP="009A3F85">
      <w:pPr>
        <w:pStyle w:val="OpiPara"/>
        <w:rPr>
          <w:lang w:val="uk-UA"/>
        </w:rPr>
      </w:pPr>
      <w:r w:rsidRPr="009A3F85">
        <w:rPr>
          <w:lang w:val="uk-UA"/>
        </w:rPr>
        <w:t xml:space="preserve">З огляду на </w:t>
      </w:r>
      <w:r w:rsidRPr="009A3F85" w:rsidR="00183C3E">
        <w:rPr>
          <w:lang w:val="uk-UA"/>
        </w:rPr>
        <w:t xml:space="preserve">вищезазначені </w:t>
      </w:r>
      <w:r w:rsidRPr="009A3F85">
        <w:rPr>
          <w:lang w:val="uk-UA"/>
        </w:rPr>
        <w:t xml:space="preserve">тенденції у судовій практиці, правила, застосовні до порядку розгляду Судом заяв, не надають достатньої процесуальної </w:t>
      </w:r>
      <w:r w:rsidRPr="009A3F85" w:rsidR="00183C3E">
        <w:rPr>
          <w:lang w:val="uk-UA"/>
        </w:rPr>
        <w:t xml:space="preserve">легітимності </w:t>
      </w:r>
      <w:r w:rsidRPr="009A3F85">
        <w:rPr>
          <w:lang w:val="uk-UA"/>
        </w:rPr>
        <w:t xml:space="preserve">ухваленим рішенням. На цій підставі </w:t>
      </w:r>
      <w:r w:rsidRPr="009A3F85" w:rsidR="00183C3E">
        <w:rPr>
          <w:lang w:val="uk-UA"/>
        </w:rPr>
        <w:t xml:space="preserve">саме </w:t>
      </w:r>
      <w:r w:rsidRPr="009A3F85">
        <w:rPr>
          <w:lang w:val="uk-UA"/>
        </w:rPr>
        <w:t xml:space="preserve">час переосмислити порядок розгляду справ у Суді для кращого </w:t>
      </w:r>
      <w:r w:rsidRPr="009A3F85" w:rsidR="004D46A9">
        <w:rPr>
          <w:lang w:val="uk-UA"/>
        </w:rPr>
        <w:t xml:space="preserve">його </w:t>
      </w:r>
      <w:r w:rsidRPr="009A3F85">
        <w:rPr>
          <w:lang w:val="uk-UA"/>
        </w:rPr>
        <w:t>пристосування до вимог процесуальної справедливості.</w:t>
      </w:r>
    </w:p>
    <w:sectPr w:rsidSect="00BC78CC">
      <w:headerReference w:type="even" r:id="rId13"/>
      <w:headerReference w:type="default" r:id="rId14"/>
      <w:footnotePr>
        <w:numRestart w:val="eachPage"/>
      </w:footnotePr>
      <w:pgSz w:w="11906" w:h="16838" w:code="9"/>
      <w:pgMar w:top="2274" w:right="2274" w:bottom="2274" w:left="2274" w:header="1701"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1C7E" w:rsidRPr="00150BFA" w:rsidP="001B4C2E">
    <w:pPr>
      <w:jc w:val="center"/>
      <w:rPr>
        <w:sz w:val="4"/>
        <w:szCs w:val="4"/>
      </w:rPr>
    </w:pPr>
  </w:p>
  <w:p w:rsidR="001F1C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1C7E" w:rsidRPr="00150BFA" w:rsidP="001B4C2E">
    <w:pPr>
      <w:jc w:val="center"/>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 o:spid="_x0000_i2050" type="#_x0000_t75" style="width:60.75pt;height:48.75pt;visibility:visible">
          <v:imagedata r:id="rId1" o:title="ECHR_CoverpageCS61_ECHR_Coverpage_Footer_COE_Black"/>
        </v:shape>
      </w:pict>
    </w:r>
  </w:p>
  <w:p w:rsidR="001F1C7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1C7E" w:rsidRPr="00C77937" w:rsidP="00A8515B">
    <w:pPr>
      <w:pStyle w:val="Kopflinks"/>
      <w:rPr>
        <w:lang w:val="ru-RU"/>
      </w:rPr>
    </w:pPr>
    <w:r>
      <w:tab/>
    </w:r>
    <w:r>
      <w:rPr>
        <w:lang w:val="uk-UA"/>
      </w:rPr>
      <w:t xml:space="preserve">РІШЕННЯ У </w:t>
    </w:r>
    <w:r w:rsidRPr="00D47CFE">
      <w:rPr>
        <w:lang w:val="uk-UA"/>
      </w:rPr>
      <w:t>СПРАВ</w:t>
    </w:r>
    <w:r>
      <w:rPr>
        <w:lang w:val="uk-UA"/>
      </w:rPr>
      <w:t>І</w:t>
    </w:r>
    <w:r w:rsidRPr="00D47CFE">
      <w:rPr>
        <w:lang w:val="uk-UA"/>
      </w:rPr>
      <w:t xml:space="preserve"> «БОЧАН ПРОТИ УКРАЇНИ (№ 2)»</w:t>
    </w:r>
    <w:r w:rsidRPr="00C77937">
      <w:rPr>
        <w:lang w:val="ru-RU"/>
      </w:rPr>
      <w:tab/>
    </w:r>
    <w:r>
      <w:fldChar w:fldCharType="begin"/>
    </w:r>
    <w:r w:rsidRPr="00C77937">
      <w:rPr>
        <w:lang w:val="ru-RU"/>
      </w:rPr>
      <w:instrText xml:space="preserve"> </w:instrText>
    </w:r>
    <w:r w:rsidRPr="00A366F9">
      <w:rPr>
        <w:lang w:val="en-US"/>
      </w:rPr>
      <w:instrText>PAGE</w:instrText>
    </w:r>
    <w:r w:rsidRPr="00C77937">
      <w:rPr>
        <w:lang w:val="ru-RU"/>
      </w:rPr>
      <w:instrText xml:space="preserve">  \* </w:instrText>
    </w:r>
    <w:r w:rsidRPr="00A366F9">
      <w:rPr>
        <w:lang w:val="en-US"/>
      </w:rPr>
      <w:instrText>MERGEFORMAT</w:instrText>
    </w:r>
    <w:r w:rsidRPr="00C77937">
      <w:rPr>
        <w:lang w:val="ru-RU"/>
      </w:rPr>
      <w:instrText xml:space="preserve"> </w:instrText>
    </w:r>
    <w:r>
      <w:fldChar w:fldCharType="separate"/>
    </w:r>
    <w:r w:rsidRPr="006653DF" w:rsidR="006653DF">
      <w:rPr>
        <w:noProof/>
        <w:lang w:val="ru-RU"/>
      </w:rPr>
      <w:t>13</w:t>
    </w:r>
    <w:r>
      <w:fldChar w:fldCharType="end"/>
    </w:r>
  </w:p>
  <w:p w:rsidR="001F1C7E" w:rsidRPr="00C77937" w:rsidP="00E3356A">
    <w:pPr>
      <w:pStyle w:val="ECHRHeader"/>
      <w:tabs>
        <w:tab w:val="center" w:pos="3648"/>
        <w:tab w:val="clear" w:pos="3686"/>
      </w:tabs>
      <w:ind w:right="1032"/>
      <w:jc w:val="center"/>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1C7E" w:rsidRPr="00A45145" w:rsidP="001B4C2E">
    <w:pPr>
      <w:jc w:val="center"/>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 o:spid="_x0000_i2049" type="#_x0000_t75" style="width:233.25pt;height:96pt;visibility:visible">
          <v:imagedata r:id="rId1" o:title="ECHR_CoverpageCS61_ECHR_Coverpage_Header_Black"/>
        </v:shape>
      </w:pict>
    </w:r>
  </w:p>
  <w:p w:rsidR="001F1C7E" w:rsidRPr="00D31801">
    <w:pPr>
      <w:pStyle w:val="Header"/>
      <w:ind w:left="-142"/>
      <w:jc w:val="center"/>
      <w:rPr>
        <w:sz w:val="4"/>
        <w:szCs w:val="4"/>
      </w:rPr>
    </w:pPr>
  </w:p>
  <w:p w:rsidR="001F1C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1C7E" w:rsidRPr="00646F99" w:rsidP="00EE1DA9">
    <w:pPr>
      <w:pStyle w:val="ECHRHeader"/>
      <w:rPr>
        <w:lang w:val="ru-RU"/>
      </w:rPr>
    </w:pPr>
    <w:r>
      <w:rPr>
        <w:rStyle w:val="PageNumber"/>
        <w:szCs w:val="18"/>
        <w:lang w:val="en-GB"/>
      </w:rPr>
      <w:fldChar w:fldCharType="begin"/>
    </w:r>
    <w:r w:rsidRPr="00646F99">
      <w:rPr>
        <w:rStyle w:val="PageNumber"/>
        <w:szCs w:val="18"/>
        <w:lang w:val="ru-RU"/>
      </w:rPr>
      <w:instrText xml:space="preserve"> </w:instrText>
    </w:r>
    <w:r>
      <w:rPr>
        <w:rStyle w:val="PageNumber"/>
        <w:szCs w:val="18"/>
        <w:lang w:val="en-GB"/>
      </w:rPr>
      <w:instrText>PAGE</w:instrText>
    </w:r>
    <w:r w:rsidRPr="00646F99">
      <w:rPr>
        <w:rStyle w:val="PageNumber"/>
        <w:szCs w:val="18"/>
        <w:lang w:val="ru-RU"/>
      </w:rPr>
      <w:instrText xml:space="preserve"> </w:instrText>
    </w:r>
    <w:r>
      <w:rPr>
        <w:rStyle w:val="PageNumber"/>
        <w:szCs w:val="18"/>
        <w:lang w:val="en-GB"/>
      </w:rPr>
      <w:fldChar w:fldCharType="separate"/>
    </w:r>
    <w:r w:rsidR="006653DF">
      <w:rPr>
        <w:rStyle w:val="PageNumber"/>
        <w:noProof/>
        <w:szCs w:val="18"/>
        <w:lang w:val="en-GB"/>
      </w:rPr>
      <w:t>12</w:t>
    </w:r>
    <w:r>
      <w:rPr>
        <w:rStyle w:val="PageNumber"/>
        <w:szCs w:val="18"/>
        <w:lang w:val="en-GB"/>
      </w:rPr>
      <w:fldChar w:fldCharType="end"/>
    </w:r>
    <w:r w:rsidRPr="00646F99">
      <w:rPr>
        <w:lang w:val="ru-RU"/>
      </w:rPr>
      <w:tab/>
    </w:r>
    <w:r>
      <w:rPr>
        <w:lang w:val="uk-UA"/>
      </w:rPr>
      <w:t xml:space="preserve">РІШЕННЯ У </w:t>
    </w:r>
    <w:r w:rsidRPr="00D47CFE">
      <w:rPr>
        <w:lang w:val="uk-UA"/>
      </w:rPr>
      <w:t>СПРАВ</w:t>
    </w:r>
    <w:r>
      <w:rPr>
        <w:lang w:val="uk-UA"/>
      </w:rPr>
      <w:t>І</w:t>
    </w:r>
    <w:r w:rsidRPr="00D47CFE">
      <w:rPr>
        <w:lang w:val="uk-UA"/>
      </w:rPr>
      <w:t xml:space="preserve"> «БОЧАН ПРОТИ УКРАЇНИ (№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1C7E" w:rsidRPr="00FB0D4E" w:rsidP="00FA17DA">
    <w:pPr>
      <w:pStyle w:val="ECHRHeader"/>
      <w:jc w:val="center"/>
      <w:rPr>
        <w:lang w:val="uk-UA"/>
      </w:rPr>
    </w:pPr>
    <w:r w:rsidRPr="00FB0D4E">
      <w:rPr>
        <w:rStyle w:val="PageNumber"/>
        <w:szCs w:val="18"/>
        <w:lang w:val="uk-UA"/>
      </w:rPr>
      <w:fldChar w:fldCharType="begin"/>
    </w:r>
    <w:r w:rsidRPr="00FB0D4E">
      <w:rPr>
        <w:rStyle w:val="PageNumber"/>
        <w:szCs w:val="18"/>
        <w:lang w:val="uk-UA"/>
      </w:rPr>
      <w:instrText xml:space="preserve"> PAGE </w:instrText>
    </w:r>
    <w:r w:rsidRPr="00FB0D4E">
      <w:rPr>
        <w:rStyle w:val="PageNumber"/>
        <w:szCs w:val="18"/>
        <w:lang w:val="uk-UA"/>
      </w:rPr>
      <w:fldChar w:fldCharType="separate"/>
    </w:r>
    <w:r w:rsidR="006653DF">
      <w:rPr>
        <w:rStyle w:val="PageNumber"/>
        <w:noProof/>
        <w:szCs w:val="18"/>
        <w:lang w:val="uk-UA"/>
      </w:rPr>
      <w:t>40</w:t>
    </w:r>
    <w:r w:rsidRPr="00FB0D4E">
      <w:rPr>
        <w:rStyle w:val="PageNumber"/>
        <w:szCs w:val="18"/>
        <w:lang w:val="uk-UA"/>
      </w:rPr>
      <w:fldChar w:fldCharType="end"/>
    </w:r>
    <w:r w:rsidRPr="00FB0D4E">
      <w:rPr>
        <w:lang w:val="uk-UA"/>
      </w:rPr>
      <w:tab/>
    </w:r>
    <w:r w:rsidRPr="00FB0D4E">
      <w:rPr>
        <w:sz w:val="20"/>
        <w:szCs w:val="20"/>
        <w:lang w:val="uk-UA"/>
      </w:rPr>
      <w:t>РІШЕННЯ У СПРАВІ «БОЧАН ПРОТИ УКРАЇНИ (№ 2)» –</w:t>
    </w:r>
    <w:r w:rsidRPr="00FB0D4E">
      <w:rPr>
        <w:sz w:val="20"/>
        <w:lang w:val="uk-UA"/>
      </w:rPr>
      <w:t xml:space="preserve"> </w:t>
    </w:r>
    <w:r w:rsidRPr="00FB0D4E">
      <w:rPr>
        <w:lang w:val="uk-UA"/>
      </w:rPr>
      <w:tab/>
    </w:r>
    <w:r w:rsidRPr="00FB0D4E">
      <w:rPr>
        <w:sz w:val="20"/>
        <w:lang w:val="uk-UA"/>
      </w:rPr>
      <w:br/>
      <w:t>ОКРЕМІ ДУМКИ</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1C7E" w:rsidRPr="00A85741" w:rsidP="00057D75">
    <w:pPr>
      <w:pStyle w:val="Kopflinks"/>
      <w:jc w:val="center"/>
      <w:rPr>
        <w:lang w:val="ru-RU"/>
      </w:rPr>
    </w:pPr>
    <w:r>
      <w:rPr>
        <w:sz w:val="20"/>
        <w:lang w:val="en-US"/>
      </w:rPr>
      <w:tab/>
    </w:r>
    <w:r w:rsidRPr="00C570A4">
      <w:rPr>
        <w:sz w:val="20"/>
        <w:lang w:val="uk-UA"/>
      </w:rPr>
      <w:t>РІШЕННЯ У СПРАВІ «БОЧАН ПРОТИ УКРАЇНИ (№ 2)»</w:t>
    </w:r>
    <w:r w:rsidRPr="00A85741">
      <w:rPr>
        <w:sz w:val="20"/>
        <w:lang w:val="ru-RU"/>
      </w:rPr>
      <w:t xml:space="preserve"> – </w:t>
    </w:r>
    <w:r w:rsidRPr="00A85741">
      <w:rPr>
        <w:lang w:val="ru-RU"/>
      </w:rPr>
      <w:tab/>
    </w:r>
    <w:r>
      <w:fldChar w:fldCharType="begin"/>
    </w:r>
    <w:r w:rsidRPr="00A85741">
      <w:rPr>
        <w:lang w:val="ru-RU"/>
      </w:rPr>
      <w:instrText xml:space="preserve"> </w:instrText>
    </w:r>
    <w:r w:rsidRPr="00A366F9">
      <w:rPr>
        <w:lang w:val="en-US"/>
      </w:rPr>
      <w:instrText>PAGE</w:instrText>
    </w:r>
    <w:r w:rsidRPr="00A85741">
      <w:rPr>
        <w:lang w:val="ru-RU"/>
      </w:rPr>
      <w:instrText xml:space="preserve">  \* </w:instrText>
    </w:r>
    <w:r w:rsidRPr="00A366F9">
      <w:rPr>
        <w:lang w:val="en-US"/>
      </w:rPr>
      <w:instrText>MERGEFORMAT</w:instrText>
    </w:r>
    <w:r w:rsidRPr="00A85741">
      <w:rPr>
        <w:lang w:val="ru-RU"/>
      </w:rPr>
      <w:instrText xml:space="preserve"> </w:instrText>
    </w:r>
    <w:r>
      <w:fldChar w:fldCharType="separate"/>
    </w:r>
    <w:r w:rsidRPr="006653DF" w:rsidR="006653DF">
      <w:rPr>
        <w:noProof/>
        <w:lang w:val="ru-RU"/>
      </w:rPr>
      <w:t>39</w:t>
    </w:r>
    <w:r>
      <w:fldChar w:fldCharType="end"/>
    </w:r>
    <w:r w:rsidRPr="00A85741">
      <w:rPr>
        <w:sz w:val="20"/>
        <w:lang w:val="ru-RU"/>
      </w:rPr>
      <w:br/>
    </w:r>
    <w:r>
      <w:rPr>
        <w:sz w:val="20"/>
        <w:lang w:val="uk-UA"/>
      </w:rPr>
      <w:t>ОКРЕМІ ДУМКИ</w:t>
    </w:r>
  </w:p>
  <w:p w:rsidR="001F1C7E" w:rsidRPr="00A85741" w:rsidP="00E3356A">
    <w:pPr>
      <w:pStyle w:val="ECHRHeader"/>
      <w:tabs>
        <w:tab w:val="center" w:pos="3648"/>
        <w:tab w:val="clear" w:pos="3686"/>
      </w:tabs>
      <w:ind w:right="1032"/>
      <w:jc w:val="cent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AF7039A"/>
    <w:multiLevelType w:val="multilevel"/>
    <w:tmpl w:val="9B34AC6C"/>
    <w:lvl w:ilvl="0">
      <w:start w:val="1"/>
      <w:numFmt w:val="decimal"/>
      <w:lvlText w:val="%1."/>
      <w:lvlJc w:val="left"/>
      <w:pPr>
        <w:tabs>
          <w:tab w:val="num" w:pos="964"/>
        </w:tabs>
        <w:ind w:left="964" w:hanging="397"/>
      </w:pPr>
      <w:rPr>
        <w:rFonts w:hint="default"/>
      </w:rPr>
    </w:lvl>
    <w:lvl w:ilvl="1">
      <w:start w:val="1"/>
      <w:numFmt w:val="lowerLetter"/>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2">
    <w:nsid w:val="388D47DE"/>
    <w:multiLevelType w:val="multilevel"/>
    <w:tmpl w:val="8012C870"/>
    <w:lvl w:ilvl="0">
      <w:start w:val="1"/>
      <w:numFmt w:val="decimal"/>
      <w:lvlText w:val="%1."/>
      <w:lvlJc w:val="left"/>
      <w:pPr>
        <w:ind w:left="992"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92F51A1"/>
    <w:multiLevelType w:val="multilevel"/>
    <w:tmpl w:val="F842BC8C"/>
    <w:lvl w:ilvl="0">
      <w:start w:val="1"/>
      <w:numFmt w:val="bullet"/>
      <w:lvlText w:val=""/>
      <w:lvlJc w:val="left"/>
      <w:pPr>
        <w:tabs>
          <w:tab w:val="num" w:pos="851"/>
        </w:tabs>
        <w:ind w:left="851" w:hanging="284"/>
      </w:pPr>
      <w:rPr>
        <w:rFonts w:ascii="Wingdings" w:hAnsi="Wingdings" w:hint="default"/>
        <w:color w:val="0072BC"/>
      </w:rPr>
    </w:lvl>
    <w:lvl w:ilvl="1">
      <w:start w:val="1"/>
      <w:numFmt w:val="bullet"/>
      <w:lvlText w:val=""/>
      <w:lvlJc w:val="left"/>
      <w:pPr>
        <w:tabs>
          <w:tab w:val="num" w:pos="1134"/>
        </w:tabs>
        <w:ind w:left="1135" w:hanging="284"/>
      </w:pPr>
      <w:rPr>
        <w:rFonts w:ascii="Wingdings" w:hAnsi="Wingdings" w:hint="default"/>
        <w:color w:val="0072BC"/>
      </w:rPr>
    </w:lvl>
    <w:lvl w:ilvl="2">
      <w:start w:val="1"/>
      <w:numFmt w:val="bullet"/>
      <w:lvlText w:val=""/>
      <w:lvlJc w:val="left"/>
      <w:pPr>
        <w:tabs>
          <w:tab w:val="num" w:pos="1418"/>
        </w:tabs>
        <w:ind w:left="1419" w:hanging="284"/>
      </w:pPr>
      <w:rPr>
        <w:rFonts w:ascii="Wingdings" w:hAnsi="Wingdings" w:hint="default"/>
        <w:color w:val="7F7F7F"/>
      </w:rPr>
    </w:lvl>
    <w:lvl w:ilvl="3">
      <w:start w:val="1"/>
      <w:numFmt w:val="bullet"/>
      <w:lvlText w:val=""/>
      <w:lvlJc w:val="left"/>
      <w:pPr>
        <w:tabs>
          <w:tab w:val="num" w:pos="1701"/>
        </w:tabs>
        <w:ind w:left="1703" w:hanging="284"/>
      </w:pPr>
      <w:rPr>
        <w:rFonts w:ascii="Wingdings" w:hAnsi="Wingdings" w:hint="default"/>
        <w:color w:val="7F7F7F"/>
      </w:rPr>
    </w:lvl>
    <w:lvl w:ilvl="4">
      <w:start w:val="1"/>
      <w:numFmt w:val="bullet"/>
      <w:lvlText w:val=""/>
      <w:lvlJc w:val="left"/>
      <w:pPr>
        <w:tabs>
          <w:tab w:val="num" w:pos="1760"/>
        </w:tabs>
        <w:ind w:left="1987" w:hanging="284"/>
      </w:pPr>
      <w:rPr>
        <w:rFonts w:ascii="Wingdings" w:hAnsi="Wingdings" w:hint="default"/>
        <w:color w:val="0072BC"/>
      </w:rPr>
    </w:lvl>
    <w:lvl w:ilvl="5">
      <w:start w:val="1"/>
      <w:numFmt w:val="bullet"/>
      <w:lvlText w:val=""/>
      <w:lvlJc w:val="left"/>
      <w:pPr>
        <w:tabs>
          <w:tab w:val="num" w:pos="2044"/>
        </w:tabs>
        <w:ind w:left="2271" w:hanging="284"/>
      </w:pPr>
      <w:rPr>
        <w:rFonts w:ascii="Wingdings" w:hAnsi="Wingdings" w:hint="default"/>
        <w:color w:val="5F5F5F"/>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4">
    <w:nsid w:val="67FD1241"/>
    <w:multiLevelType w:val="hybridMultilevel"/>
    <w:tmpl w:val="F6D86CC2"/>
    <w:lvl w:ilvl="0">
      <w:start w:val="1"/>
      <w:numFmt w:val="bullet"/>
      <w:pStyle w:val="ListBullet"/>
      <w:lvlText w:val=""/>
      <w:lvlJc w:val="left"/>
      <w:pPr>
        <w:tabs>
          <w:tab w:val="num" w:pos="851"/>
        </w:tabs>
        <w:ind w:left="568" w:firstLine="0"/>
      </w:pPr>
      <w:rPr>
        <w:rFonts w:ascii="Wingdings" w:hAnsi="Wingdings" w:hint="default"/>
        <w:color w:val="808080"/>
        <w:sz w:val="16"/>
      </w:rPr>
    </w:lvl>
    <w:lvl w:ilvl="1" w:tentative="1">
      <w:start w:val="1"/>
      <w:numFmt w:val="bullet"/>
      <w:lvlText w:val="o"/>
      <w:lvlJc w:val="left"/>
      <w:pPr>
        <w:tabs>
          <w:tab w:val="num" w:pos="1724"/>
        </w:tabs>
        <w:ind w:left="1724" w:hanging="360"/>
      </w:pPr>
      <w:rPr>
        <w:rFonts w:ascii="Courier New" w:hAnsi="Courier New" w:cs="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cs="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cs="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15">
    <w:nsid w:val="76903243"/>
    <w:multiLevelType w:val="multilevel"/>
    <w:tmpl w:val="E884A926"/>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7737461D"/>
    <w:multiLevelType w:val="multilevel"/>
    <w:tmpl w:val="040C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2"/>
  </w:num>
  <w:num w:numId="2">
    <w:abstractNumId w:val="1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1"/>
  </w:num>
  <w:num w:numId="6">
    <w:abstractNumId w:val="13"/>
  </w:num>
  <w:num w:numId="7">
    <w:abstractNumId w:val="11"/>
  </w:num>
  <w:num w:numId="8">
    <w:abstractNumId w:val="14"/>
  </w:num>
  <w:num w:numId="9">
    <w:abstractNumId w:val="10"/>
  </w:num>
  <w:num w:numId="10">
    <w:abstractNumId w:val="9"/>
  </w:num>
  <w:num w:numId="11">
    <w:abstractNumId w:val="16"/>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D004" w:allStyles="0" w:alternateStyleNames="1" w:clearFormatting="1" w:customStyles="0" w:directFormattingOnNumbering="0" w:directFormattingOnParagraphs="0" w:directFormattingOnRuns="0" w:directFormattingOnTables="0" w:headingStyles="0" w:latentStyles="1" w:numberingStyles="0" w:stylesInUse="0" w:tableStyles="0" w:top3HeadingStyles="0" w:visibleStyles="1"/>
  <w:doNotTrackMoves/>
  <w:defaultTabStop w:val="720"/>
  <w:hyphenationZone w:val="425"/>
  <w:evenAndOddHeaders/>
  <w:drawingGridHorizontalSpacing w:val="110"/>
  <w:displayHorizontalDrawingGridEvery w:val="2"/>
  <w:displayVerticalDrawingGridEvery w:val="2"/>
  <w:characterSpacingControl w:val="doNotCompress"/>
  <w:footnotePr>
    <w:numRestart w:val="eachPage"/>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CC4"/>
    <w:rsid w:val="0000106B"/>
    <w:rsid w:val="0000110F"/>
    <w:rsid w:val="000041F8"/>
    <w:rsid w:val="000042A8"/>
    <w:rsid w:val="00004308"/>
    <w:rsid w:val="000056F4"/>
    <w:rsid w:val="00005BF0"/>
    <w:rsid w:val="0000602B"/>
    <w:rsid w:val="00006E47"/>
    <w:rsid w:val="00007154"/>
    <w:rsid w:val="00007EAE"/>
    <w:rsid w:val="000103AE"/>
    <w:rsid w:val="00010B57"/>
    <w:rsid w:val="00011D69"/>
    <w:rsid w:val="00012AD3"/>
    <w:rsid w:val="00014566"/>
    <w:rsid w:val="0001547E"/>
    <w:rsid w:val="00015C2D"/>
    <w:rsid w:val="00015F00"/>
    <w:rsid w:val="00016841"/>
    <w:rsid w:val="000216E0"/>
    <w:rsid w:val="000224C0"/>
    <w:rsid w:val="00022C1D"/>
    <w:rsid w:val="00022DEE"/>
    <w:rsid w:val="00023EFF"/>
    <w:rsid w:val="000241FA"/>
    <w:rsid w:val="0002426D"/>
    <w:rsid w:val="0002455E"/>
    <w:rsid w:val="000257E3"/>
    <w:rsid w:val="000268F1"/>
    <w:rsid w:val="00027566"/>
    <w:rsid w:val="00027BFB"/>
    <w:rsid w:val="00031A34"/>
    <w:rsid w:val="00033595"/>
    <w:rsid w:val="00034987"/>
    <w:rsid w:val="00035269"/>
    <w:rsid w:val="00041BBF"/>
    <w:rsid w:val="00041FC8"/>
    <w:rsid w:val="00043DEB"/>
    <w:rsid w:val="00043F95"/>
    <w:rsid w:val="00044199"/>
    <w:rsid w:val="00045901"/>
    <w:rsid w:val="0004594D"/>
    <w:rsid w:val="00054AB9"/>
    <w:rsid w:val="00056117"/>
    <w:rsid w:val="00056CEE"/>
    <w:rsid w:val="00057D75"/>
    <w:rsid w:val="000602DF"/>
    <w:rsid w:val="00061B05"/>
    <w:rsid w:val="00061C6F"/>
    <w:rsid w:val="000632D5"/>
    <w:rsid w:val="000636E8"/>
    <w:rsid w:val="000644EE"/>
    <w:rsid w:val="00065C35"/>
    <w:rsid w:val="00065E07"/>
    <w:rsid w:val="000711F0"/>
    <w:rsid w:val="00071BA4"/>
    <w:rsid w:val="00071C0C"/>
    <w:rsid w:val="000731FE"/>
    <w:rsid w:val="000750BE"/>
    <w:rsid w:val="0007543E"/>
    <w:rsid w:val="00076AE6"/>
    <w:rsid w:val="00077219"/>
    <w:rsid w:val="00080B80"/>
    <w:rsid w:val="00080C30"/>
    <w:rsid w:val="00081326"/>
    <w:rsid w:val="00090D33"/>
    <w:rsid w:val="000923FA"/>
    <w:rsid w:val="000925AD"/>
    <w:rsid w:val="00093BAC"/>
    <w:rsid w:val="00095B4F"/>
    <w:rsid w:val="00096B38"/>
    <w:rsid w:val="000A24EB"/>
    <w:rsid w:val="000A3AE0"/>
    <w:rsid w:val="000A42D3"/>
    <w:rsid w:val="000A531B"/>
    <w:rsid w:val="000A5AF2"/>
    <w:rsid w:val="000A5CAF"/>
    <w:rsid w:val="000A6794"/>
    <w:rsid w:val="000A7AD7"/>
    <w:rsid w:val="000B5A6A"/>
    <w:rsid w:val="000B5AE2"/>
    <w:rsid w:val="000B6923"/>
    <w:rsid w:val="000B698B"/>
    <w:rsid w:val="000B6EC9"/>
    <w:rsid w:val="000C07FA"/>
    <w:rsid w:val="000C0A7F"/>
    <w:rsid w:val="000C148F"/>
    <w:rsid w:val="000C1537"/>
    <w:rsid w:val="000C513A"/>
    <w:rsid w:val="000C5221"/>
    <w:rsid w:val="000C5F3C"/>
    <w:rsid w:val="000C6DCC"/>
    <w:rsid w:val="000C7B9F"/>
    <w:rsid w:val="000D1CA0"/>
    <w:rsid w:val="000D1E79"/>
    <w:rsid w:val="000D3E51"/>
    <w:rsid w:val="000D428E"/>
    <w:rsid w:val="000D47AA"/>
    <w:rsid w:val="000D49BB"/>
    <w:rsid w:val="000D52A6"/>
    <w:rsid w:val="000D721F"/>
    <w:rsid w:val="000D790F"/>
    <w:rsid w:val="000E069B"/>
    <w:rsid w:val="000E0E82"/>
    <w:rsid w:val="000E1176"/>
    <w:rsid w:val="000E1CF6"/>
    <w:rsid w:val="000E1DC5"/>
    <w:rsid w:val="000E223F"/>
    <w:rsid w:val="000E2373"/>
    <w:rsid w:val="000E4284"/>
    <w:rsid w:val="000E4399"/>
    <w:rsid w:val="000E5390"/>
    <w:rsid w:val="000E7913"/>
    <w:rsid w:val="000E7D45"/>
    <w:rsid w:val="000F2921"/>
    <w:rsid w:val="000F7851"/>
    <w:rsid w:val="000F7B90"/>
    <w:rsid w:val="00102EDE"/>
    <w:rsid w:val="001034EA"/>
    <w:rsid w:val="00104E23"/>
    <w:rsid w:val="00104EA8"/>
    <w:rsid w:val="0010674C"/>
    <w:rsid w:val="001079F1"/>
    <w:rsid w:val="00111A06"/>
    <w:rsid w:val="00111B0C"/>
    <w:rsid w:val="001151C3"/>
    <w:rsid w:val="001207F0"/>
    <w:rsid w:val="00120D6C"/>
    <w:rsid w:val="001210E8"/>
    <w:rsid w:val="00122983"/>
    <w:rsid w:val="001244BA"/>
    <w:rsid w:val="001257EC"/>
    <w:rsid w:val="00133747"/>
    <w:rsid w:val="00133D33"/>
    <w:rsid w:val="00134D64"/>
    <w:rsid w:val="00135A30"/>
    <w:rsid w:val="00135B29"/>
    <w:rsid w:val="0013612C"/>
    <w:rsid w:val="00137FF6"/>
    <w:rsid w:val="00140FF0"/>
    <w:rsid w:val="00141650"/>
    <w:rsid w:val="0014189F"/>
    <w:rsid w:val="00141FF0"/>
    <w:rsid w:val="0014229B"/>
    <w:rsid w:val="00145340"/>
    <w:rsid w:val="001455FC"/>
    <w:rsid w:val="00147C48"/>
    <w:rsid w:val="00150BFA"/>
    <w:rsid w:val="0015219B"/>
    <w:rsid w:val="001522CB"/>
    <w:rsid w:val="00152DD9"/>
    <w:rsid w:val="001537C3"/>
    <w:rsid w:val="001540B4"/>
    <w:rsid w:val="00155FDE"/>
    <w:rsid w:val="00162A12"/>
    <w:rsid w:val="001634ED"/>
    <w:rsid w:val="001641BA"/>
    <w:rsid w:val="00164799"/>
    <w:rsid w:val="00164FCD"/>
    <w:rsid w:val="001663FE"/>
    <w:rsid w:val="00166530"/>
    <w:rsid w:val="001710E0"/>
    <w:rsid w:val="00171276"/>
    <w:rsid w:val="00173126"/>
    <w:rsid w:val="00174911"/>
    <w:rsid w:val="001757EE"/>
    <w:rsid w:val="001779AA"/>
    <w:rsid w:val="0018108E"/>
    <w:rsid w:val="001813BF"/>
    <w:rsid w:val="00182918"/>
    <w:rsid w:val="00182E52"/>
    <w:rsid w:val="001832BD"/>
    <w:rsid w:val="00183C3E"/>
    <w:rsid w:val="00184223"/>
    <w:rsid w:val="001855D6"/>
    <w:rsid w:val="00185DFB"/>
    <w:rsid w:val="001900EB"/>
    <w:rsid w:val="00191576"/>
    <w:rsid w:val="001922A7"/>
    <w:rsid w:val="001943B5"/>
    <w:rsid w:val="00195134"/>
    <w:rsid w:val="001A145B"/>
    <w:rsid w:val="001A29FE"/>
    <w:rsid w:val="001A57B0"/>
    <w:rsid w:val="001A59A1"/>
    <w:rsid w:val="001A5EF3"/>
    <w:rsid w:val="001A674C"/>
    <w:rsid w:val="001A6813"/>
    <w:rsid w:val="001A6B8C"/>
    <w:rsid w:val="001B06BF"/>
    <w:rsid w:val="001B090A"/>
    <w:rsid w:val="001B0DCF"/>
    <w:rsid w:val="001B3B24"/>
    <w:rsid w:val="001B4C2E"/>
    <w:rsid w:val="001B6CA2"/>
    <w:rsid w:val="001B7DAC"/>
    <w:rsid w:val="001C01F0"/>
    <w:rsid w:val="001C0996"/>
    <w:rsid w:val="001C0F98"/>
    <w:rsid w:val="001C2A42"/>
    <w:rsid w:val="001C4491"/>
    <w:rsid w:val="001C4F9B"/>
    <w:rsid w:val="001D2044"/>
    <w:rsid w:val="001D63ED"/>
    <w:rsid w:val="001D7348"/>
    <w:rsid w:val="001E035B"/>
    <w:rsid w:val="001E0961"/>
    <w:rsid w:val="001E18DF"/>
    <w:rsid w:val="001E31EE"/>
    <w:rsid w:val="001E3EAE"/>
    <w:rsid w:val="001E4493"/>
    <w:rsid w:val="001E49F7"/>
    <w:rsid w:val="001E4B3C"/>
    <w:rsid w:val="001E6F32"/>
    <w:rsid w:val="001F1B9D"/>
    <w:rsid w:val="001F1C7E"/>
    <w:rsid w:val="001F2145"/>
    <w:rsid w:val="001F3E63"/>
    <w:rsid w:val="001F4A20"/>
    <w:rsid w:val="001F6262"/>
    <w:rsid w:val="001F6295"/>
    <w:rsid w:val="001F67B0"/>
    <w:rsid w:val="001F7B3D"/>
    <w:rsid w:val="001F7B8C"/>
    <w:rsid w:val="00200321"/>
    <w:rsid w:val="002005CE"/>
    <w:rsid w:val="002014DA"/>
    <w:rsid w:val="00202507"/>
    <w:rsid w:val="00202CA2"/>
    <w:rsid w:val="002035C6"/>
    <w:rsid w:val="00205A07"/>
    <w:rsid w:val="00205F9F"/>
    <w:rsid w:val="0020636F"/>
    <w:rsid w:val="00206F50"/>
    <w:rsid w:val="00210338"/>
    <w:rsid w:val="00211206"/>
    <w:rsid w:val="002115FC"/>
    <w:rsid w:val="00212EA2"/>
    <w:rsid w:val="002138F0"/>
    <w:rsid w:val="0021423C"/>
    <w:rsid w:val="00215FAB"/>
    <w:rsid w:val="00221A9E"/>
    <w:rsid w:val="00225E4F"/>
    <w:rsid w:val="00226640"/>
    <w:rsid w:val="00230D00"/>
    <w:rsid w:val="00231DF7"/>
    <w:rsid w:val="00231FD1"/>
    <w:rsid w:val="002339E0"/>
    <w:rsid w:val="00233CF8"/>
    <w:rsid w:val="00233EA1"/>
    <w:rsid w:val="00233F29"/>
    <w:rsid w:val="00234006"/>
    <w:rsid w:val="002347A7"/>
    <w:rsid w:val="0023575D"/>
    <w:rsid w:val="00235D81"/>
    <w:rsid w:val="00236119"/>
    <w:rsid w:val="0023660B"/>
    <w:rsid w:val="00237148"/>
    <w:rsid w:val="00237A61"/>
    <w:rsid w:val="00237AAD"/>
    <w:rsid w:val="0024222D"/>
    <w:rsid w:val="0024265D"/>
    <w:rsid w:val="00242A9B"/>
    <w:rsid w:val="00242B9C"/>
    <w:rsid w:val="00243207"/>
    <w:rsid w:val="00243C3C"/>
    <w:rsid w:val="00244B0E"/>
    <w:rsid w:val="00244F6C"/>
    <w:rsid w:val="00245B44"/>
    <w:rsid w:val="0024689D"/>
    <w:rsid w:val="00247C5F"/>
    <w:rsid w:val="002532C5"/>
    <w:rsid w:val="00253555"/>
    <w:rsid w:val="00254802"/>
    <w:rsid w:val="00260C03"/>
    <w:rsid w:val="0026229F"/>
    <w:rsid w:val="00262501"/>
    <w:rsid w:val="002637EA"/>
    <w:rsid w:val="0026434D"/>
    <w:rsid w:val="0026540E"/>
    <w:rsid w:val="002670B7"/>
    <w:rsid w:val="00272251"/>
    <w:rsid w:val="00272D25"/>
    <w:rsid w:val="00275123"/>
    <w:rsid w:val="002779C7"/>
    <w:rsid w:val="00281E6F"/>
    <w:rsid w:val="00282240"/>
    <w:rsid w:val="00283650"/>
    <w:rsid w:val="00283A06"/>
    <w:rsid w:val="002850C2"/>
    <w:rsid w:val="002874C7"/>
    <w:rsid w:val="00287CCF"/>
    <w:rsid w:val="0029057E"/>
    <w:rsid w:val="0029069C"/>
    <w:rsid w:val="0029339C"/>
    <w:rsid w:val="00294011"/>
    <w:rsid w:val="00294566"/>
    <w:rsid w:val="002948AD"/>
    <w:rsid w:val="00294C92"/>
    <w:rsid w:val="0029590D"/>
    <w:rsid w:val="00296D23"/>
    <w:rsid w:val="0029792E"/>
    <w:rsid w:val="002A01CC"/>
    <w:rsid w:val="002A11E1"/>
    <w:rsid w:val="002A1319"/>
    <w:rsid w:val="002A61B1"/>
    <w:rsid w:val="002A663C"/>
    <w:rsid w:val="002B0CCF"/>
    <w:rsid w:val="002B154C"/>
    <w:rsid w:val="002B17B8"/>
    <w:rsid w:val="002B1DF1"/>
    <w:rsid w:val="002B3E7D"/>
    <w:rsid w:val="002B444B"/>
    <w:rsid w:val="002B5887"/>
    <w:rsid w:val="002B5BC3"/>
    <w:rsid w:val="002B7D68"/>
    <w:rsid w:val="002C00A8"/>
    <w:rsid w:val="002C0692"/>
    <w:rsid w:val="002C085E"/>
    <w:rsid w:val="002C0E27"/>
    <w:rsid w:val="002C1D72"/>
    <w:rsid w:val="002C1E0F"/>
    <w:rsid w:val="002C3040"/>
    <w:rsid w:val="002C3F8E"/>
    <w:rsid w:val="002C4482"/>
    <w:rsid w:val="002C58DA"/>
    <w:rsid w:val="002C712A"/>
    <w:rsid w:val="002C7958"/>
    <w:rsid w:val="002C7CF7"/>
    <w:rsid w:val="002D022D"/>
    <w:rsid w:val="002D24BB"/>
    <w:rsid w:val="002D28F7"/>
    <w:rsid w:val="002D2C3E"/>
    <w:rsid w:val="002D43EA"/>
    <w:rsid w:val="002D4E18"/>
    <w:rsid w:val="002E05C1"/>
    <w:rsid w:val="002E2B36"/>
    <w:rsid w:val="002E454B"/>
    <w:rsid w:val="002E66C1"/>
    <w:rsid w:val="002F2AF7"/>
    <w:rsid w:val="002F7E1C"/>
    <w:rsid w:val="0030160B"/>
    <w:rsid w:val="003019B7"/>
    <w:rsid w:val="00301A75"/>
    <w:rsid w:val="00302C37"/>
    <w:rsid w:val="00302F70"/>
    <w:rsid w:val="0030336F"/>
    <w:rsid w:val="0030375E"/>
    <w:rsid w:val="00304E6F"/>
    <w:rsid w:val="00312A30"/>
    <w:rsid w:val="00312E73"/>
    <w:rsid w:val="0031300B"/>
    <w:rsid w:val="00314F9B"/>
    <w:rsid w:val="003169E4"/>
    <w:rsid w:val="0031709D"/>
    <w:rsid w:val="003177CE"/>
    <w:rsid w:val="00320F72"/>
    <w:rsid w:val="00321CC1"/>
    <w:rsid w:val="00323B89"/>
    <w:rsid w:val="0032463E"/>
    <w:rsid w:val="00324852"/>
    <w:rsid w:val="00325C1D"/>
    <w:rsid w:val="00325EF6"/>
    <w:rsid w:val="00326224"/>
    <w:rsid w:val="0032676B"/>
    <w:rsid w:val="00330937"/>
    <w:rsid w:val="00331E2C"/>
    <w:rsid w:val="00334CD4"/>
    <w:rsid w:val="00335B05"/>
    <w:rsid w:val="00337EE4"/>
    <w:rsid w:val="00340FFD"/>
    <w:rsid w:val="003422A4"/>
    <w:rsid w:val="00344331"/>
    <w:rsid w:val="00344555"/>
    <w:rsid w:val="00344C37"/>
    <w:rsid w:val="00345342"/>
    <w:rsid w:val="003506B1"/>
    <w:rsid w:val="0035124D"/>
    <w:rsid w:val="003516B6"/>
    <w:rsid w:val="0035194D"/>
    <w:rsid w:val="00352A17"/>
    <w:rsid w:val="003540EF"/>
    <w:rsid w:val="003542FA"/>
    <w:rsid w:val="00355128"/>
    <w:rsid w:val="00356AC7"/>
    <w:rsid w:val="003573BB"/>
    <w:rsid w:val="00357B73"/>
    <w:rsid w:val="003609FA"/>
    <w:rsid w:val="00360CD9"/>
    <w:rsid w:val="00361A44"/>
    <w:rsid w:val="00361D28"/>
    <w:rsid w:val="00362E93"/>
    <w:rsid w:val="00363E27"/>
    <w:rsid w:val="00365869"/>
    <w:rsid w:val="00365A04"/>
    <w:rsid w:val="00365F81"/>
    <w:rsid w:val="003702E2"/>
    <w:rsid w:val="003710C8"/>
    <w:rsid w:val="00371296"/>
    <w:rsid w:val="003722D4"/>
    <w:rsid w:val="003750BE"/>
    <w:rsid w:val="003751A6"/>
    <w:rsid w:val="00375CA9"/>
    <w:rsid w:val="003767A0"/>
    <w:rsid w:val="003772C3"/>
    <w:rsid w:val="0038097B"/>
    <w:rsid w:val="003832FA"/>
    <w:rsid w:val="003840CF"/>
    <w:rsid w:val="00387B9D"/>
    <w:rsid w:val="00390AD0"/>
    <w:rsid w:val="0039364F"/>
    <w:rsid w:val="00396686"/>
    <w:rsid w:val="003968D6"/>
    <w:rsid w:val="0039778E"/>
    <w:rsid w:val="003A17F2"/>
    <w:rsid w:val="003A27B5"/>
    <w:rsid w:val="003A4A80"/>
    <w:rsid w:val="003B0C1D"/>
    <w:rsid w:val="003B380D"/>
    <w:rsid w:val="003B3F29"/>
    <w:rsid w:val="003B4347"/>
    <w:rsid w:val="003B45D5"/>
    <w:rsid w:val="003B4941"/>
    <w:rsid w:val="003B6017"/>
    <w:rsid w:val="003C00DA"/>
    <w:rsid w:val="003C10AC"/>
    <w:rsid w:val="003C31B1"/>
    <w:rsid w:val="003C426B"/>
    <w:rsid w:val="003C5714"/>
    <w:rsid w:val="003C6B9F"/>
    <w:rsid w:val="003C6E2A"/>
    <w:rsid w:val="003D0089"/>
    <w:rsid w:val="003D0299"/>
    <w:rsid w:val="003D2C80"/>
    <w:rsid w:val="003D3ABF"/>
    <w:rsid w:val="003D3E9D"/>
    <w:rsid w:val="003D6133"/>
    <w:rsid w:val="003D67E9"/>
    <w:rsid w:val="003E063A"/>
    <w:rsid w:val="003E214C"/>
    <w:rsid w:val="003E3E4F"/>
    <w:rsid w:val="003E3F32"/>
    <w:rsid w:val="003E463C"/>
    <w:rsid w:val="003E6D80"/>
    <w:rsid w:val="003E7215"/>
    <w:rsid w:val="003F05FA"/>
    <w:rsid w:val="003F1BFA"/>
    <w:rsid w:val="003F1D90"/>
    <w:rsid w:val="003F1F19"/>
    <w:rsid w:val="003F244A"/>
    <w:rsid w:val="003F290E"/>
    <w:rsid w:val="003F2B38"/>
    <w:rsid w:val="003F30B8"/>
    <w:rsid w:val="003F49BD"/>
    <w:rsid w:val="003F4C45"/>
    <w:rsid w:val="003F5B5B"/>
    <w:rsid w:val="003F5F7B"/>
    <w:rsid w:val="003F721C"/>
    <w:rsid w:val="003F7D64"/>
    <w:rsid w:val="00401BA4"/>
    <w:rsid w:val="00402359"/>
    <w:rsid w:val="00402409"/>
    <w:rsid w:val="0040409F"/>
    <w:rsid w:val="00405351"/>
    <w:rsid w:val="00405717"/>
    <w:rsid w:val="00405E1B"/>
    <w:rsid w:val="004113B1"/>
    <w:rsid w:val="004114F6"/>
    <w:rsid w:val="00411FEF"/>
    <w:rsid w:val="00412D11"/>
    <w:rsid w:val="00414300"/>
    <w:rsid w:val="004148D5"/>
    <w:rsid w:val="00416F78"/>
    <w:rsid w:val="0041795B"/>
    <w:rsid w:val="004179C2"/>
    <w:rsid w:val="0042303A"/>
    <w:rsid w:val="0042362F"/>
    <w:rsid w:val="00423AEA"/>
    <w:rsid w:val="00425C67"/>
    <w:rsid w:val="004268A7"/>
    <w:rsid w:val="00427E7A"/>
    <w:rsid w:val="00431D92"/>
    <w:rsid w:val="004321DB"/>
    <w:rsid w:val="00436307"/>
    <w:rsid w:val="00436C49"/>
    <w:rsid w:val="004372AE"/>
    <w:rsid w:val="00440BC1"/>
    <w:rsid w:val="00441136"/>
    <w:rsid w:val="004423BF"/>
    <w:rsid w:val="0044302B"/>
    <w:rsid w:val="004446BE"/>
    <w:rsid w:val="00445366"/>
    <w:rsid w:val="004463A3"/>
    <w:rsid w:val="00447B0D"/>
    <w:rsid w:val="00447F5B"/>
    <w:rsid w:val="00452CEA"/>
    <w:rsid w:val="00454330"/>
    <w:rsid w:val="0045651E"/>
    <w:rsid w:val="00457092"/>
    <w:rsid w:val="0046070D"/>
    <w:rsid w:val="004615FF"/>
    <w:rsid w:val="0046174C"/>
    <w:rsid w:val="00461DB0"/>
    <w:rsid w:val="004630F6"/>
    <w:rsid w:val="00463926"/>
    <w:rsid w:val="004646E0"/>
    <w:rsid w:val="00464C9A"/>
    <w:rsid w:val="0046587F"/>
    <w:rsid w:val="00467320"/>
    <w:rsid w:val="004714A6"/>
    <w:rsid w:val="00471AB3"/>
    <w:rsid w:val="00474C4E"/>
    <w:rsid w:val="00474F3D"/>
    <w:rsid w:val="004775EE"/>
    <w:rsid w:val="004778CD"/>
    <w:rsid w:val="00477E3A"/>
    <w:rsid w:val="00477EBC"/>
    <w:rsid w:val="00480E3A"/>
    <w:rsid w:val="00482A7F"/>
    <w:rsid w:val="00483C68"/>
    <w:rsid w:val="00483E5F"/>
    <w:rsid w:val="004842FB"/>
    <w:rsid w:val="00484E41"/>
    <w:rsid w:val="00484F11"/>
    <w:rsid w:val="00485FF9"/>
    <w:rsid w:val="00487540"/>
    <w:rsid w:val="004907F0"/>
    <w:rsid w:val="0049140B"/>
    <w:rsid w:val="004915E8"/>
    <w:rsid w:val="004923A5"/>
    <w:rsid w:val="004924D6"/>
    <w:rsid w:val="00493A15"/>
    <w:rsid w:val="0049407E"/>
    <w:rsid w:val="004945C6"/>
    <w:rsid w:val="004947B6"/>
    <w:rsid w:val="00494C95"/>
    <w:rsid w:val="004951E3"/>
    <w:rsid w:val="00496BFB"/>
    <w:rsid w:val="0049718A"/>
    <w:rsid w:val="00497D08"/>
    <w:rsid w:val="004A15C7"/>
    <w:rsid w:val="004A1A06"/>
    <w:rsid w:val="004A1CAD"/>
    <w:rsid w:val="004B00A9"/>
    <w:rsid w:val="004B013B"/>
    <w:rsid w:val="004B112B"/>
    <w:rsid w:val="004B18B2"/>
    <w:rsid w:val="004B3229"/>
    <w:rsid w:val="004B335D"/>
    <w:rsid w:val="004B740F"/>
    <w:rsid w:val="004B7BFF"/>
    <w:rsid w:val="004B7C1E"/>
    <w:rsid w:val="004B7CC5"/>
    <w:rsid w:val="004B7DBB"/>
    <w:rsid w:val="004C01E4"/>
    <w:rsid w:val="004C086C"/>
    <w:rsid w:val="004C1784"/>
    <w:rsid w:val="004C1F56"/>
    <w:rsid w:val="004C27BC"/>
    <w:rsid w:val="004C340B"/>
    <w:rsid w:val="004C6C94"/>
    <w:rsid w:val="004C78CA"/>
    <w:rsid w:val="004D0213"/>
    <w:rsid w:val="004D15F3"/>
    <w:rsid w:val="004D1D01"/>
    <w:rsid w:val="004D1F85"/>
    <w:rsid w:val="004D46A9"/>
    <w:rsid w:val="004D5311"/>
    <w:rsid w:val="004D5DCC"/>
    <w:rsid w:val="004E2A11"/>
    <w:rsid w:val="004E2F3F"/>
    <w:rsid w:val="004E33CE"/>
    <w:rsid w:val="004F10AF"/>
    <w:rsid w:val="004F11A4"/>
    <w:rsid w:val="004F1822"/>
    <w:rsid w:val="004F2389"/>
    <w:rsid w:val="004F304D"/>
    <w:rsid w:val="004F5A68"/>
    <w:rsid w:val="004F61BE"/>
    <w:rsid w:val="004F66B1"/>
    <w:rsid w:val="005005FC"/>
    <w:rsid w:val="00500853"/>
    <w:rsid w:val="0050111C"/>
    <w:rsid w:val="00501EA2"/>
    <w:rsid w:val="0050584A"/>
    <w:rsid w:val="00506E6B"/>
    <w:rsid w:val="00507F66"/>
    <w:rsid w:val="00511C07"/>
    <w:rsid w:val="00512E75"/>
    <w:rsid w:val="005141FA"/>
    <w:rsid w:val="005173A6"/>
    <w:rsid w:val="0051786E"/>
    <w:rsid w:val="00520BAA"/>
    <w:rsid w:val="00522747"/>
    <w:rsid w:val="00522C5B"/>
    <w:rsid w:val="005234E7"/>
    <w:rsid w:val="00524B9D"/>
    <w:rsid w:val="00525208"/>
    <w:rsid w:val="005257A5"/>
    <w:rsid w:val="00525A5F"/>
    <w:rsid w:val="005264C0"/>
    <w:rsid w:val="00526A8A"/>
    <w:rsid w:val="00530FC9"/>
    <w:rsid w:val="00531DF2"/>
    <w:rsid w:val="00533B1E"/>
    <w:rsid w:val="00536C6D"/>
    <w:rsid w:val="00540063"/>
    <w:rsid w:val="005404DB"/>
    <w:rsid w:val="005407D7"/>
    <w:rsid w:val="00540BD9"/>
    <w:rsid w:val="00542861"/>
    <w:rsid w:val="0054396C"/>
    <w:rsid w:val="00544231"/>
    <w:rsid w:val="005442EE"/>
    <w:rsid w:val="00545352"/>
    <w:rsid w:val="00545400"/>
    <w:rsid w:val="0054676E"/>
    <w:rsid w:val="0054698A"/>
    <w:rsid w:val="00546A47"/>
    <w:rsid w:val="00547353"/>
    <w:rsid w:val="005474E7"/>
    <w:rsid w:val="00550C13"/>
    <w:rsid w:val="005512A3"/>
    <w:rsid w:val="00551579"/>
    <w:rsid w:val="00553469"/>
    <w:rsid w:val="00553847"/>
    <w:rsid w:val="00557875"/>
    <w:rsid w:val="005578CE"/>
    <w:rsid w:val="005611CC"/>
    <w:rsid w:val="00561A67"/>
    <w:rsid w:val="00562781"/>
    <w:rsid w:val="005706E6"/>
    <w:rsid w:val="005707EE"/>
    <w:rsid w:val="00571B77"/>
    <w:rsid w:val="00572292"/>
    <w:rsid w:val="0057271C"/>
    <w:rsid w:val="00572845"/>
    <w:rsid w:val="00575803"/>
    <w:rsid w:val="00577C18"/>
    <w:rsid w:val="00580A0A"/>
    <w:rsid w:val="00580D24"/>
    <w:rsid w:val="00581CBD"/>
    <w:rsid w:val="00581E35"/>
    <w:rsid w:val="00582948"/>
    <w:rsid w:val="00584FB8"/>
    <w:rsid w:val="005867B5"/>
    <w:rsid w:val="005870C3"/>
    <w:rsid w:val="00591716"/>
    <w:rsid w:val="00592772"/>
    <w:rsid w:val="00592DF5"/>
    <w:rsid w:val="00592EB5"/>
    <w:rsid w:val="00593461"/>
    <w:rsid w:val="0059574A"/>
    <w:rsid w:val="0059689E"/>
    <w:rsid w:val="0059749C"/>
    <w:rsid w:val="00597B8B"/>
    <w:rsid w:val="005A1B9B"/>
    <w:rsid w:val="005A2542"/>
    <w:rsid w:val="005A2914"/>
    <w:rsid w:val="005A2CA5"/>
    <w:rsid w:val="005A3429"/>
    <w:rsid w:val="005A3D54"/>
    <w:rsid w:val="005A4203"/>
    <w:rsid w:val="005A5927"/>
    <w:rsid w:val="005A6751"/>
    <w:rsid w:val="005A6C7A"/>
    <w:rsid w:val="005A6D1E"/>
    <w:rsid w:val="005B00E5"/>
    <w:rsid w:val="005B092E"/>
    <w:rsid w:val="005B152C"/>
    <w:rsid w:val="005B1EE0"/>
    <w:rsid w:val="005B2B24"/>
    <w:rsid w:val="005B4425"/>
    <w:rsid w:val="005B48F3"/>
    <w:rsid w:val="005B4B94"/>
    <w:rsid w:val="005C203B"/>
    <w:rsid w:val="005C2D32"/>
    <w:rsid w:val="005C3EE8"/>
    <w:rsid w:val="005C4F41"/>
    <w:rsid w:val="005D34F9"/>
    <w:rsid w:val="005D4190"/>
    <w:rsid w:val="005D5327"/>
    <w:rsid w:val="005D5A7C"/>
    <w:rsid w:val="005D67A3"/>
    <w:rsid w:val="005D7294"/>
    <w:rsid w:val="005D7B3E"/>
    <w:rsid w:val="005D7E73"/>
    <w:rsid w:val="005E0EE4"/>
    <w:rsid w:val="005E0FF4"/>
    <w:rsid w:val="005E1BB9"/>
    <w:rsid w:val="005E21F2"/>
    <w:rsid w:val="005E2988"/>
    <w:rsid w:val="005E2A43"/>
    <w:rsid w:val="005E3085"/>
    <w:rsid w:val="005E3AE9"/>
    <w:rsid w:val="005E5413"/>
    <w:rsid w:val="005E5DBC"/>
    <w:rsid w:val="005E5E62"/>
    <w:rsid w:val="005E6B89"/>
    <w:rsid w:val="005F1CA0"/>
    <w:rsid w:val="005F496F"/>
    <w:rsid w:val="005F51E1"/>
    <w:rsid w:val="00601720"/>
    <w:rsid w:val="00602473"/>
    <w:rsid w:val="0060265E"/>
    <w:rsid w:val="0060445B"/>
    <w:rsid w:val="0060757E"/>
    <w:rsid w:val="00611C80"/>
    <w:rsid w:val="00613392"/>
    <w:rsid w:val="0061516F"/>
    <w:rsid w:val="00617BB2"/>
    <w:rsid w:val="00620692"/>
    <w:rsid w:val="00621354"/>
    <w:rsid w:val="0062363B"/>
    <w:rsid w:val="0062403B"/>
    <w:rsid w:val="0062405B"/>
    <w:rsid w:val="006242CA"/>
    <w:rsid w:val="00624492"/>
    <w:rsid w:val="00625564"/>
    <w:rsid w:val="00625F96"/>
    <w:rsid w:val="00627507"/>
    <w:rsid w:val="006308E0"/>
    <w:rsid w:val="00631D97"/>
    <w:rsid w:val="00633717"/>
    <w:rsid w:val="006344E1"/>
    <w:rsid w:val="00634632"/>
    <w:rsid w:val="00634C7B"/>
    <w:rsid w:val="00635FBB"/>
    <w:rsid w:val="0063680A"/>
    <w:rsid w:val="006369C5"/>
    <w:rsid w:val="006418FB"/>
    <w:rsid w:val="00643B4B"/>
    <w:rsid w:val="00644BF1"/>
    <w:rsid w:val="00644EF6"/>
    <w:rsid w:val="00646F99"/>
    <w:rsid w:val="00647498"/>
    <w:rsid w:val="006545C4"/>
    <w:rsid w:val="00655879"/>
    <w:rsid w:val="006564D0"/>
    <w:rsid w:val="00661971"/>
    <w:rsid w:val="00661CE8"/>
    <w:rsid w:val="00661F7B"/>
    <w:rsid w:val="006623D9"/>
    <w:rsid w:val="00663154"/>
    <w:rsid w:val="00664605"/>
    <w:rsid w:val="00664667"/>
    <w:rsid w:val="00664F24"/>
    <w:rsid w:val="006653DF"/>
    <w:rsid w:val="0066550C"/>
    <w:rsid w:val="00665A1E"/>
    <w:rsid w:val="00670D02"/>
    <w:rsid w:val="006716F2"/>
    <w:rsid w:val="0067722F"/>
    <w:rsid w:val="006801F3"/>
    <w:rsid w:val="00680461"/>
    <w:rsid w:val="006806BF"/>
    <w:rsid w:val="00680C33"/>
    <w:rsid w:val="00681A3B"/>
    <w:rsid w:val="00682BF2"/>
    <w:rsid w:val="00683C4C"/>
    <w:rsid w:val="006859CE"/>
    <w:rsid w:val="00686C77"/>
    <w:rsid w:val="006876B8"/>
    <w:rsid w:val="00691270"/>
    <w:rsid w:val="00693101"/>
    <w:rsid w:val="00694BA8"/>
    <w:rsid w:val="00695D5A"/>
    <w:rsid w:val="00695EB7"/>
    <w:rsid w:val="00697E4F"/>
    <w:rsid w:val="006A037C"/>
    <w:rsid w:val="006A36F4"/>
    <w:rsid w:val="006A37A8"/>
    <w:rsid w:val="006A406F"/>
    <w:rsid w:val="006A41D9"/>
    <w:rsid w:val="006A5D3A"/>
    <w:rsid w:val="006B141E"/>
    <w:rsid w:val="006B3750"/>
    <w:rsid w:val="006B49C3"/>
    <w:rsid w:val="006B6D5F"/>
    <w:rsid w:val="006C132F"/>
    <w:rsid w:val="006C23D4"/>
    <w:rsid w:val="006C3831"/>
    <w:rsid w:val="006C4406"/>
    <w:rsid w:val="006C5DE0"/>
    <w:rsid w:val="006C61AD"/>
    <w:rsid w:val="006C637E"/>
    <w:rsid w:val="006C6CC5"/>
    <w:rsid w:val="006C7BB0"/>
    <w:rsid w:val="006D147C"/>
    <w:rsid w:val="006D3156"/>
    <w:rsid w:val="006D3237"/>
    <w:rsid w:val="006D3EA9"/>
    <w:rsid w:val="006D5089"/>
    <w:rsid w:val="006D5D98"/>
    <w:rsid w:val="006D7A5F"/>
    <w:rsid w:val="006D7F08"/>
    <w:rsid w:val="006E0174"/>
    <w:rsid w:val="006E2562"/>
    <w:rsid w:val="006E2E37"/>
    <w:rsid w:val="006E3CF1"/>
    <w:rsid w:val="006E3F0A"/>
    <w:rsid w:val="006E4165"/>
    <w:rsid w:val="006E7E80"/>
    <w:rsid w:val="006F0A55"/>
    <w:rsid w:val="006F225C"/>
    <w:rsid w:val="006F344E"/>
    <w:rsid w:val="006F48CA"/>
    <w:rsid w:val="006F64DD"/>
    <w:rsid w:val="006F7920"/>
    <w:rsid w:val="00705D04"/>
    <w:rsid w:val="00705E39"/>
    <w:rsid w:val="007070E6"/>
    <w:rsid w:val="0070783D"/>
    <w:rsid w:val="00710579"/>
    <w:rsid w:val="00714622"/>
    <w:rsid w:val="00715127"/>
    <w:rsid w:val="00715B9F"/>
    <w:rsid w:val="00715E8E"/>
    <w:rsid w:val="007164BD"/>
    <w:rsid w:val="0071695F"/>
    <w:rsid w:val="007214D8"/>
    <w:rsid w:val="00721590"/>
    <w:rsid w:val="0072223E"/>
    <w:rsid w:val="00722CE8"/>
    <w:rsid w:val="00723580"/>
    <w:rsid w:val="00723755"/>
    <w:rsid w:val="00724923"/>
    <w:rsid w:val="00726D15"/>
    <w:rsid w:val="00726EAC"/>
    <w:rsid w:val="00730199"/>
    <w:rsid w:val="00731041"/>
    <w:rsid w:val="0073136C"/>
    <w:rsid w:val="0073198B"/>
    <w:rsid w:val="00731F0F"/>
    <w:rsid w:val="0073214E"/>
    <w:rsid w:val="00732432"/>
    <w:rsid w:val="00732D40"/>
    <w:rsid w:val="00733250"/>
    <w:rsid w:val="00734EFF"/>
    <w:rsid w:val="00735315"/>
    <w:rsid w:val="00736ABA"/>
    <w:rsid w:val="00740A88"/>
    <w:rsid w:val="00741404"/>
    <w:rsid w:val="00742117"/>
    <w:rsid w:val="007426FD"/>
    <w:rsid w:val="00743F7F"/>
    <w:rsid w:val="007449E5"/>
    <w:rsid w:val="00746C5A"/>
    <w:rsid w:val="00747E91"/>
    <w:rsid w:val="00747FF0"/>
    <w:rsid w:val="0075183E"/>
    <w:rsid w:val="0075329B"/>
    <w:rsid w:val="0076171A"/>
    <w:rsid w:val="00764D4E"/>
    <w:rsid w:val="00765A1F"/>
    <w:rsid w:val="00765F84"/>
    <w:rsid w:val="00771504"/>
    <w:rsid w:val="0077237D"/>
    <w:rsid w:val="00775B6D"/>
    <w:rsid w:val="00776C2D"/>
    <w:rsid w:val="00776D68"/>
    <w:rsid w:val="007770E3"/>
    <w:rsid w:val="00777302"/>
    <w:rsid w:val="00780312"/>
    <w:rsid w:val="007813E7"/>
    <w:rsid w:val="00781C63"/>
    <w:rsid w:val="007850EE"/>
    <w:rsid w:val="00785B95"/>
    <w:rsid w:val="00785EF6"/>
    <w:rsid w:val="0079005D"/>
    <w:rsid w:val="0079066A"/>
    <w:rsid w:val="00790726"/>
    <w:rsid w:val="00790BC6"/>
    <w:rsid w:val="00790E96"/>
    <w:rsid w:val="00793366"/>
    <w:rsid w:val="00793B16"/>
    <w:rsid w:val="007963D0"/>
    <w:rsid w:val="00796995"/>
    <w:rsid w:val="00796CA9"/>
    <w:rsid w:val="007978E7"/>
    <w:rsid w:val="007A010C"/>
    <w:rsid w:val="007A1579"/>
    <w:rsid w:val="007A716F"/>
    <w:rsid w:val="007B270A"/>
    <w:rsid w:val="007B29C7"/>
    <w:rsid w:val="007B3BF3"/>
    <w:rsid w:val="007B3E79"/>
    <w:rsid w:val="007B5FE4"/>
    <w:rsid w:val="007B6169"/>
    <w:rsid w:val="007B7119"/>
    <w:rsid w:val="007B799B"/>
    <w:rsid w:val="007C023D"/>
    <w:rsid w:val="007C0695"/>
    <w:rsid w:val="007C088A"/>
    <w:rsid w:val="007C145F"/>
    <w:rsid w:val="007C3EA8"/>
    <w:rsid w:val="007C419A"/>
    <w:rsid w:val="007C4CC8"/>
    <w:rsid w:val="007C5426"/>
    <w:rsid w:val="007C5798"/>
    <w:rsid w:val="007D0101"/>
    <w:rsid w:val="007D11B9"/>
    <w:rsid w:val="007D1A3E"/>
    <w:rsid w:val="007D3320"/>
    <w:rsid w:val="007D4832"/>
    <w:rsid w:val="007D4B56"/>
    <w:rsid w:val="007D5E37"/>
    <w:rsid w:val="007E21B2"/>
    <w:rsid w:val="007E2C4E"/>
    <w:rsid w:val="007E4DCE"/>
    <w:rsid w:val="007F0E45"/>
    <w:rsid w:val="007F1905"/>
    <w:rsid w:val="007F49CD"/>
    <w:rsid w:val="007F4F83"/>
    <w:rsid w:val="007F5A59"/>
    <w:rsid w:val="007F5C09"/>
    <w:rsid w:val="007F6805"/>
    <w:rsid w:val="007F6CCD"/>
    <w:rsid w:val="007F7513"/>
    <w:rsid w:val="007F760A"/>
    <w:rsid w:val="00801300"/>
    <w:rsid w:val="00802C64"/>
    <w:rsid w:val="00805E52"/>
    <w:rsid w:val="00805EA7"/>
    <w:rsid w:val="008061D0"/>
    <w:rsid w:val="00806419"/>
    <w:rsid w:val="00806F77"/>
    <w:rsid w:val="00810B38"/>
    <w:rsid w:val="00813AD6"/>
    <w:rsid w:val="008140E5"/>
    <w:rsid w:val="00814F5B"/>
    <w:rsid w:val="0081528F"/>
    <w:rsid w:val="008174E8"/>
    <w:rsid w:val="008176DF"/>
    <w:rsid w:val="008204C7"/>
    <w:rsid w:val="00820645"/>
    <w:rsid w:val="00820992"/>
    <w:rsid w:val="00822A07"/>
    <w:rsid w:val="00823602"/>
    <w:rsid w:val="00824BFD"/>
    <w:rsid w:val="008255B4"/>
    <w:rsid w:val="008255F5"/>
    <w:rsid w:val="00826F96"/>
    <w:rsid w:val="0083014E"/>
    <w:rsid w:val="0083214A"/>
    <w:rsid w:val="00832896"/>
    <w:rsid w:val="008334D5"/>
    <w:rsid w:val="00834220"/>
    <w:rsid w:val="00834B4E"/>
    <w:rsid w:val="008359FC"/>
    <w:rsid w:val="0083715E"/>
    <w:rsid w:val="008376B5"/>
    <w:rsid w:val="008407E4"/>
    <w:rsid w:val="00840AEE"/>
    <w:rsid w:val="008437A3"/>
    <w:rsid w:val="00845723"/>
    <w:rsid w:val="00845A15"/>
    <w:rsid w:val="00851EF9"/>
    <w:rsid w:val="00852100"/>
    <w:rsid w:val="00854F07"/>
    <w:rsid w:val="008577FD"/>
    <w:rsid w:val="00860B03"/>
    <w:rsid w:val="00863EB8"/>
    <w:rsid w:val="0086497A"/>
    <w:rsid w:val="0086529F"/>
    <w:rsid w:val="00865F6F"/>
    <w:rsid w:val="008713A1"/>
    <w:rsid w:val="00872E5D"/>
    <w:rsid w:val="008754AB"/>
    <w:rsid w:val="00875D96"/>
    <w:rsid w:val="008768E5"/>
    <w:rsid w:val="00877797"/>
    <w:rsid w:val="0088060C"/>
    <w:rsid w:val="00884008"/>
    <w:rsid w:val="008847BC"/>
    <w:rsid w:val="0088596C"/>
    <w:rsid w:val="008860FD"/>
    <w:rsid w:val="0088764A"/>
    <w:rsid w:val="00891024"/>
    <w:rsid w:val="00892250"/>
    <w:rsid w:val="00892307"/>
    <w:rsid w:val="00893576"/>
    <w:rsid w:val="00893E73"/>
    <w:rsid w:val="00894AD0"/>
    <w:rsid w:val="00895814"/>
    <w:rsid w:val="00896E77"/>
    <w:rsid w:val="008A1DC3"/>
    <w:rsid w:val="008A37EC"/>
    <w:rsid w:val="008A3A1F"/>
    <w:rsid w:val="008A6465"/>
    <w:rsid w:val="008A6E18"/>
    <w:rsid w:val="008B02DC"/>
    <w:rsid w:val="008B164F"/>
    <w:rsid w:val="008B21C4"/>
    <w:rsid w:val="008B290B"/>
    <w:rsid w:val="008B3A03"/>
    <w:rsid w:val="008B438D"/>
    <w:rsid w:val="008B4C6A"/>
    <w:rsid w:val="008B57CE"/>
    <w:rsid w:val="008B71E4"/>
    <w:rsid w:val="008B7CB0"/>
    <w:rsid w:val="008C0686"/>
    <w:rsid w:val="008C26DE"/>
    <w:rsid w:val="008C3AE9"/>
    <w:rsid w:val="008D207E"/>
    <w:rsid w:val="008D2225"/>
    <w:rsid w:val="008D2EDE"/>
    <w:rsid w:val="008D3205"/>
    <w:rsid w:val="008D3844"/>
    <w:rsid w:val="008D38D2"/>
    <w:rsid w:val="008D4752"/>
    <w:rsid w:val="008D4E49"/>
    <w:rsid w:val="008D5D24"/>
    <w:rsid w:val="008D5DB5"/>
    <w:rsid w:val="008D6D5A"/>
    <w:rsid w:val="008D6F2B"/>
    <w:rsid w:val="008D7752"/>
    <w:rsid w:val="008E271C"/>
    <w:rsid w:val="008E418E"/>
    <w:rsid w:val="008E5BC6"/>
    <w:rsid w:val="008E5C05"/>
    <w:rsid w:val="008E6A25"/>
    <w:rsid w:val="008E6C88"/>
    <w:rsid w:val="008E7A37"/>
    <w:rsid w:val="008F109B"/>
    <w:rsid w:val="008F166E"/>
    <w:rsid w:val="008F265A"/>
    <w:rsid w:val="008F365E"/>
    <w:rsid w:val="008F5193"/>
    <w:rsid w:val="008F527A"/>
    <w:rsid w:val="008F5B16"/>
    <w:rsid w:val="008F5D26"/>
    <w:rsid w:val="00900ABE"/>
    <w:rsid w:val="009013A7"/>
    <w:rsid w:val="009017FB"/>
    <w:rsid w:val="009017FC"/>
    <w:rsid w:val="00903028"/>
    <w:rsid w:val="009031FC"/>
    <w:rsid w:val="00903AB8"/>
    <w:rsid w:val="00904C9F"/>
    <w:rsid w:val="0090506B"/>
    <w:rsid w:val="009050C9"/>
    <w:rsid w:val="0090565E"/>
    <w:rsid w:val="009066FC"/>
    <w:rsid w:val="00913F2C"/>
    <w:rsid w:val="0091404A"/>
    <w:rsid w:val="009140A3"/>
    <w:rsid w:val="009144A2"/>
    <w:rsid w:val="0091510C"/>
    <w:rsid w:val="00915CA6"/>
    <w:rsid w:val="00916024"/>
    <w:rsid w:val="00916A52"/>
    <w:rsid w:val="009215CF"/>
    <w:rsid w:val="0092287D"/>
    <w:rsid w:val="00923A02"/>
    <w:rsid w:val="009259AC"/>
    <w:rsid w:val="00926F38"/>
    <w:rsid w:val="00932028"/>
    <w:rsid w:val="00934301"/>
    <w:rsid w:val="009343E3"/>
    <w:rsid w:val="009349A2"/>
    <w:rsid w:val="009353A5"/>
    <w:rsid w:val="00935BCD"/>
    <w:rsid w:val="00936CD1"/>
    <w:rsid w:val="009376A1"/>
    <w:rsid w:val="00940F25"/>
    <w:rsid w:val="009412B1"/>
    <w:rsid w:val="00941747"/>
    <w:rsid w:val="00941EFB"/>
    <w:rsid w:val="00944A31"/>
    <w:rsid w:val="00944D06"/>
    <w:rsid w:val="00946345"/>
    <w:rsid w:val="009467C9"/>
    <w:rsid w:val="00947AFB"/>
    <w:rsid w:val="00950411"/>
    <w:rsid w:val="00950618"/>
    <w:rsid w:val="00950D6A"/>
    <w:rsid w:val="00951D7D"/>
    <w:rsid w:val="0096042D"/>
    <w:rsid w:val="00960BCC"/>
    <w:rsid w:val="009619E4"/>
    <w:rsid w:val="009630C7"/>
    <w:rsid w:val="00963DF4"/>
    <w:rsid w:val="009656A4"/>
    <w:rsid w:val="009660B9"/>
    <w:rsid w:val="00966758"/>
    <w:rsid w:val="0096750F"/>
    <w:rsid w:val="00972B55"/>
    <w:rsid w:val="00973316"/>
    <w:rsid w:val="009743B7"/>
    <w:rsid w:val="00974790"/>
    <w:rsid w:val="00974D61"/>
    <w:rsid w:val="009815AA"/>
    <w:rsid w:val="00981724"/>
    <w:rsid w:val="00981A50"/>
    <w:rsid w:val="0098228B"/>
    <w:rsid w:val="0098256B"/>
    <w:rsid w:val="009828DA"/>
    <w:rsid w:val="00983DF4"/>
    <w:rsid w:val="00985B2E"/>
    <w:rsid w:val="00985BAB"/>
    <w:rsid w:val="00990137"/>
    <w:rsid w:val="00993931"/>
    <w:rsid w:val="0099507A"/>
    <w:rsid w:val="0099568E"/>
    <w:rsid w:val="00995FD6"/>
    <w:rsid w:val="009A3F85"/>
    <w:rsid w:val="009A42F0"/>
    <w:rsid w:val="009A6D25"/>
    <w:rsid w:val="009A7731"/>
    <w:rsid w:val="009B04CD"/>
    <w:rsid w:val="009B1B5F"/>
    <w:rsid w:val="009B37A1"/>
    <w:rsid w:val="009B4B04"/>
    <w:rsid w:val="009B5465"/>
    <w:rsid w:val="009B6673"/>
    <w:rsid w:val="009C106E"/>
    <w:rsid w:val="009C191B"/>
    <w:rsid w:val="009C20BC"/>
    <w:rsid w:val="009C2BD6"/>
    <w:rsid w:val="009C4181"/>
    <w:rsid w:val="009D09BB"/>
    <w:rsid w:val="009D2480"/>
    <w:rsid w:val="009D6ABD"/>
    <w:rsid w:val="009E17C8"/>
    <w:rsid w:val="009E1F32"/>
    <w:rsid w:val="009E28A1"/>
    <w:rsid w:val="009E776C"/>
    <w:rsid w:val="009E7B33"/>
    <w:rsid w:val="009F2BFA"/>
    <w:rsid w:val="009F3DFE"/>
    <w:rsid w:val="009F6EB6"/>
    <w:rsid w:val="009F7640"/>
    <w:rsid w:val="00A002A7"/>
    <w:rsid w:val="00A016C2"/>
    <w:rsid w:val="00A11961"/>
    <w:rsid w:val="00A13118"/>
    <w:rsid w:val="00A14938"/>
    <w:rsid w:val="00A14E5D"/>
    <w:rsid w:val="00A153C5"/>
    <w:rsid w:val="00A153E9"/>
    <w:rsid w:val="00A156D1"/>
    <w:rsid w:val="00A1628D"/>
    <w:rsid w:val="00A16E9E"/>
    <w:rsid w:val="00A17248"/>
    <w:rsid w:val="00A1726E"/>
    <w:rsid w:val="00A17BAB"/>
    <w:rsid w:val="00A204CF"/>
    <w:rsid w:val="00A23B0D"/>
    <w:rsid w:val="00A23D49"/>
    <w:rsid w:val="00A26CE5"/>
    <w:rsid w:val="00A27004"/>
    <w:rsid w:val="00A30936"/>
    <w:rsid w:val="00A30970"/>
    <w:rsid w:val="00A30C29"/>
    <w:rsid w:val="00A315F6"/>
    <w:rsid w:val="00A319DA"/>
    <w:rsid w:val="00A31CB2"/>
    <w:rsid w:val="00A33D72"/>
    <w:rsid w:val="00A34303"/>
    <w:rsid w:val="00A34DD6"/>
    <w:rsid w:val="00A366F9"/>
    <w:rsid w:val="00A36819"/>
    <w:rsid w:val="00A36989"/>
    <w:rsid w:val="00A37C27"/>
    <w:rsid w:val="00A37DCD"/>
    <w:rsid w:val="00A408A0"/>
    <w:rsid w:val="00A40A87"/>
    <w:rsid w:val="00A41C39"/>
    <w:rsid w:val="00A43628"/>
    <w:rsid w:val="00A43D50"/>
    <w:rsid w:val="00A45145"/>
    <w:rsid w:val="00A47831"/>
    <w:rsid w:val="00A5162B"/>
    <w:rsid w:val="00A51932"/>
    <w:rsid w:val="00A5328B"/>
    <w:rsid w:val="00A53750"/>
    <w:rsid w:val="00A53C0D"/>
    <w:rsid w:val="00A54192"/>
    <w:rsid w:val="00A5451A"/>
    <w:rsid w:val="00A54B10"/>
    <w:rsid w:val="00A55972"/>
    <w:rsid w:val="00A568A7"/>
    <w:rsid w:val="00A569B0"/>
    <w:rsid w:val="00A57C3B"/>
    <w:rsid w:val="00A6035E"/>
    <w:rsid w:val="00A60573"/>
    <w:rsid w:val="00A6144C"/>
    <w:rsid w:val="00A61AF3"/>
    <w:rsid w:val="00A65963"/>
    <w:rsid w:val="00A66617"/>
    <w:rsid w:val="00A671F8"/>
    <w:rsid w:val="00A673A4"/>
    <w:rsid w:val="00A7216C"/>
    <w:rsid w:val="00A724AE"/>
    <w:rsid w:val="00A73329"/>
    <w:rsid w:val="00A7380B"/>
    <w:rsid w:val="00A75DAA"/>
    <w:rsid w:val="00A76D77"/>
    <w:rsid w:val="00A774D8"/>
    <w:rsid w:val="00A81763"/>
    <w:rsid w:val="00A82359"/>
    <w:rsid w:val="00A83432"/>
    <w:rsid w:val="00A8515B"/>
    <w:rsid w:val="00A85741"/>
    <w:rsid w:val="00A86125"/>
    <w:rsid w:val="00A865D2"/>
    <w:rsid w:val="00A867CF"/>
    <w:rsid w:val="00A86D09"/>
    <w:rsid w:val="00A87D63"/>
    <w:rsid w:val="00A93690"/>
    <w:rsid w:val="00A94C20"/>
    <w:rsid w:val="00A96048"/>
    <w:rsid w:val="00AA0101"/>
    <w:rsid w:val="00AA0D10"/>
    <w:rsid w:val="00AA21F4"/>
    <w:rsid w:val="00AA227F"/>
    <w:rsid w:val="00AA2432"/>
    <w:rsid w:val="00AA279B"/>
    <w:rsid w:val="00AA3BC7"/>
    <w:rsid w:val="00AA41B0"/>
    <w:rsid w:val="00AA49EF"/>
    <w:rsid w:val="00AA4FD4"/>
    <w:rsid w:val="00AA754A"/>
    <w:rsid w:val="00AA7A26"/>
    <w:rsid w:val="00AB0304"/>
    <w:rsid w:val="00AB099E"/>
    <w:rsid w:val="00AB3E3A"/>
    <w:rsid w:val="00AB4328"/>
    <w:rsid w:val="00AB6EBA"/>
    <w:rsid w:val="00AB78CA"/>
    <w:rsid w:val="00AB7B8F"/>
    <w:rsid w:val="00AC0EBD"/>
    <w:rsid w:val="00AC137C"/>
    <w:rsid w:val="00AC5309"/>
    <w:rsid w:val="00AC7B2A"/>
    <w:rsid w:val="00AD28FC"/>
    <w:rsid w:val="00AD3356"/>
    <w:rsid w:val="00AE0A2E"/>
    <w:rsid w:val="00AE11ED"/>
    <w:rsid w:val="00AE180A"/>
    <w:rsid w:val="00AE354C"/>
    <w:rsid w:val="00AF1260"/>
    <w:rsid w:val="00AF30D4"/>
    <w:rsid w:val="00AF3EA4"/>
    <w:rsid w:val="00AF4B07"/>
    <w:rsid w:val="00AF6186"/>
    <w:rsid w:val="00AF7A3A"/>
    <w:rsid w:val="00B02403"/>
    <w:rsid w:val="00B06829"/>
    <w:rsid w:val="00B10719"/>
    <w:rsid w:val="00B126D5"/>
    <w:rsid w:val="00B13F30"/>
    <w:rsid w:val="00B160DB"/>
    <w:rsid w:val="00B1617A"/>
    <w:rsid w:val="00B20836"/>
    <w:rsid w:val="00B219A3"/>
    <w:rsid w:val="00B235BB"/>
    <w:rsid w:val="00B244E6"/>
    <w:rsid w:val="00B25C7F"/>
    <w:rsid w:val="00B2772A"/>
    <w:rsid w:val="00B27A44"/>
    <w:rsid w:val="00B27DC8"/>
    <w:rsid w:val="00B30139"/>
    <w:rsid w:val="00B3092D"/>
    <w:rsid w:val="00B30BBF"/>
    <w:rsid w:val="00B33C03"/>
    <w:rsid w:val="00B341FF"/>
    <w:rsid w:val="00B44E56"/>
    <w:rsid w:val="00B46543"/>
    <w:rsid w:val="00B47D33"/>
    <w:rsid w:val="00B509CE"/>
    <w:rsid w:val="00B52BE0"/>
    <w:rsid w:val="00B54133"/>
    <w:rsid w:val="00B54169"/>
    <w:rsid w:val="00B5643C"/>
    <w:rsid w:val="00B64EDE"/>
    <w:rsid w:val="00B65A3E"/>
    <w:rsid w:val="00B66AA0"/>
    <w:rsid w:val="00B67F6E"/>
    <w:rsid w:val="00B701ED"/>
    <w:rsid w:val="00B71FFB"/>
    <w:rsid w:val="00B73B7D"/>
    <w:rsid w:val="00B74DE2"/>
    <w:rsid w:val="00B75683"/>
    <w:rsid w:val="00B75BBD"/>
    <w:rsid w:val="00B7694D"/>
    <w:rsid w:val="00B8086C"/>
    <w:rsid w:val="00B8226B"/>
    <w:rsid w:val="00B824E1"/>
    <w:rsid w:val="00B82EC6"/>
    <w:rsid w:val="00B830D0"/>
    <w:rsid w:val="00B83FFA"/>
    <w:rsid w:val="00B861B4"/>
    <w:rsid w:val="00B86DFE"/>
    <w:rsid w:val="00B90990"/>
    <w:rsid w:val="00B91B15"/>
    <w:rsid w:val="00B922FF"/>
    <w:rsid w:val="00B92307"/>
    <w:rsid w:val="00B92609"/>
    <w:rsid w:val="00B9281E"/>
    <w:rsid w:val="00B93925"/>
    <w:rsid w:val="00B95187"/>
    <w:rsid w:val="00B95C29"/>
    <w:rsid w:val="00B96F32"/>
    <w:rsid w:val="00BA0C95"/>
    <w:rsid w:val="00BA1D38"/>
    <w:rsid w:val="00BA20B1"/>
    <w:rsid w:val="00BA2D55"/>
    <w:rsid w:val="00BA33A7"/>
    <w:rsid w:val="00BA4AA7"/>
    <w:rsid w:val="00BA4FCF"/>
    <w:rsid w:val="00BA61EB"/>
    <w:rsid w:val="00BA71B1"/>
    <w:rsid w:val="00BA720A"/>
    <w:rsid w:val="00BA7CF6"/>
    <w:rsid w:val="00BB0637"/>
    <w:rsid w:val="00BB2632"/>
    <w:rsid w:val="00BB26E0"/>
    <w:rsid w:val="00BB345F"/>
    <w:rsid w:val="00BB42FF"/>
    <w:rsid w:val="00BB68EA"/>
    <w:rsid w:val="00BB7CF5"/>
    <w:rsid w:val="00BC1A90"/>
    <w:rsid w:val="00BC1C27"/>
    <w:rsid w:val="00BC43AC"/>
    <w:rsid w:val="00BC4F91"/>
    <w:rsid w:val="00BC66DB"/>
    <w:rsid w:val="00BC6BBF"/>
    <w:rsid w:val="00BC78CC"/>
    <w:rsid w:val="00BD1144"/>
    <w:rsid w:val="00BD1572"/>
    <w:rsid w:val="00BD1839"/>
    <w:rsid w:val="00BD32AB"/>
    <w:rsid w:val="00BD5AE9"/>
    <w:rsid w:val="00BD66A4"/>
    <w:rsid w:val="00BE101C"/>
    <w:rsid w:val="00BE14E3"/>
    <w:rsid w:val="00BE1DA7"/>
    <w:rsid w:val="00BE3774"/>
    <w:rsid w:val="00BE41E5"/>
    <w:rsid w:val="00BE4E85"/>
    <w:rsid w:val="00BE6C8A"/>
    <w:rsid w:val="00BF1030"/>
    <w:rsid w:val="00BF247D"/>
    <w:rsid w:val="00BF31E2"/>
    <w:rsid w:val="00BF37BA"/>
    <w:rsid w:val="00BF4109"/>
    <w:rsid w:val="00BF4812"/>
    <w:rsid w:val="00BF4CC3"/>
    <w:rsid w:val="00C014AB"/>
    <w:rsid w:val="00C01A67"/>
    <w:rsid w:val="00C054C7"/>
    <w:rsid w:val="00C057B5"/>
    <w:rsid w:val="00C06D12"/>
    <w:rsid w:val="00C07AB9"/>
    <w:rsid w:val="00C10F3B"/>
    <w:rsid w:val="00C12A62"/>
    <w:rsid w:val="00C144B8"/>
    <w:rsid w:val="00C16482"/>
    <w:rsid w:val="00C225BE"/>
    <w:rsid w:val="00C22687"/>
    <w:rsid w:val="00C24299"/>
    <w:rsid w:val="00C25F96"/>
    <w:rsid w:val="00C264B2"/>
    <w:rsid w:val="00C264C5"/>
    <w:rsid w:val="00C302FE"/>
    <w:rsid w:val="00C315B9"/>
    <w:rsid w:val="00C32E4D"/>
    <w:rsid w:val="00C333A0"/>
    <w:rsid w:val="00C34E83"/>
    <w:rsid w:val="00C358F9"/>
    <w:rsid w:val="00C36A81"/>
    <w:rsid w:val="00C379BC"/>
    <w:rsid w:val="00C41974"/>
    <w:rsid w:val="00C41D7B"/>
    <w:rsid w:val="00C426B6"/>
    <w:rsid w:val="00C430C4"/>
    <w:rsid w:val="00C520AB"/>
    <w:rsid w:val="00C52643"/>
    <w:rsid w:val="00C536A6"/>
    <w:rsid w:val="00C53F4A"/>
    <w:rsid w:val="00C54125"/>
    <w:rsid w:val="00C55B54"/>
    <w:rsid w:val="00C57073"/>
    <w:rsid w:val="00C570A4"/>
    <w:rsid w:val="00C604EA"/>
    <w:rsid w:val="00C6098E"/>
    <w:rsid w:val="00C6152C"/>
    <w:rsid w:val="00C621C0"/>
    <w:rsid w:val="00C621C2"/>
    <w:rsid w:val="00C6336D"/>
    <w:rsid w:val="00C675AE"/>
    <w:rsid w:val="00C67657"/>
    <w:rsid w:val="00C67D34"/>
    <w:rsid w:val="00C70E74"/>
    <w:rsid w:val="00C720DD"/>
    <w:rsid w:val="00C74810"/>
    <w:rsid w:val="00C77937"/>
    <w:rsid w:val="00C802DB"/>
    <w:rsid w:val="00C8179A"/>
    <w:rsid w:val="00C834DA"/>
    <w:rsid w:val="00C875A5"/>
    <w:rsid w:val="00C8795F"/>
    <w:rsid w:val="00C90567"/>
    <w:rsid w:val="00C90D68"/>
    <w:rsid w:val="00C923FE"/>
    <w:rsid w:val="00C926D0"/>
    <w:rsid w:val="00C939FE"/>
    <w:rsid w:val="00C94EDB"/>
    <w:rsid w:val="00C96D2C"/>
    <w:rsid w:val="00CA0771"/>
    <w:rsid w:val="00CA2A9F"/>
    <w:rsid w:val="00CA483B"/>
    <w:rsid w:val="00CA4BDA"/>
    <w:rsid w:val="00CA6AC6"/>
    <w:rsid w:val="00CA78C3"/>
    <w:rsid w:val="00CB1F66"/>
    <w:rsid w:val="00CB21EA"/>
    <w:rsid w:val="00CB2951"/>
    <w:rsid w:val="00CB45EE"/>
    <w:rsid w:val="00CB7DCA"/>
    <w:rsid w:val="00CC032C"/>
    <w:rsid w:val="00CC0EE0"/>
    <w:rsid w:val="00CC49B2"/>
    <w:rsid w:val="00CC6809"/>
    <w:rsid w:val="00CD1AFB"/>
    <w:rsid w:val="00CD1BC6"/>
    <w:rsid w:val="00CD282B"/>
    <w:rsid w:val="00CD4839"/>
    <w:rsid w:val="00CD4C35"/>
    <w:rsid w:val="00CD4D27"/>
    <w:rsid w:val="00CD72C7"/>
    <w:rsid w:val="00CD7369"/>
    <w:rsid w:val="00CD78E4"/>
    <w:rsid w:val="00CE0B0E"/>
    <w:rsid w:val="00CE2B0D"/>
    <w:rsid w:val="00CE3831"/>
    <w:rsid w:val="00CE385B"/>
    <w:rsid w:val="00CE42F4"/>
    <w:rsid w:val="00CE5237"/>
    <w:rsid w:val="00CE5DFF"/>
    <w:rsid w:val="00CE738A"/>
    <w:rsid w:val="00CF0E25"/>
    <w:rsid w:val="00CF1311"/>
    <w:rsid w:val="00CF18BF"/>
    <w:rsid w:val="00CF4C06"/>
    <w:rsid w:val="00CF7705"/>
    <w:rsid w:val="00CF7EB3"/>
    <w:rsid w:val="00D00ABB"/>
    <w:rsid w:val="00D01166"/>
    <w:rsid w:val="00D0127D"/>
    <w:rsid w:val="00D023D0"/>
    <w:rsid w:val="00D02EEC"/>
    <w:rsid w:val="00D03551"/>
    <w:rsid w:val="00D04291"/>
    <w:rsid w:val="00D0636F"/>
    <w:rsid w:val="00D06A63"/>
    <w:rsid w:val="00D070B7"/>
    <w:rsid w:val="00D07E0E"/>
    <w:rsid w:val="00D11478"/>
    <w:rsid w:val="00D1271E"/>
    <w:rsid w:val="00D12CE5"/>
    <w:rsid w:val="00D13CC9"/>
    <w:rsid w:val="00D15ED0"/>
    <w:rsid w:val="00D17581"/>
    <w:rsid w:val="00D20450"/>
    <w:rsid w:val="00D21B3E"/>
    <w:rsid w:val="00D21D0A"/>
    <w:rsid w:val="00D21FED"/>
    <w:rsid w:val="00D23BCA"/>
    <w:rsid w:val="00D23EA1"/>
    <w:rsid w:val="00D24251"/>
    <w:rsid w:val="00D257F9"/>
    <w:rsid w:val="00D25C92"/>
    <w:rsid w:val="00D26141"/>
    <w:rsid w:val="00D265B0"/>
    <w:rsid w:val="00D27416"/>
    <w:rsid w:val="00D30C03"/>
    <w:rsid w:val="00D31801"/>
    <w:rsid w:val="00D320F2"/>
    <w:rsid w:val="00D32B3D"/>
    <w:rsid w:val="00D343E2"/>
    <w:rsid w:val="00D357DA"/>
    <w:rsid w:val="00D35F36"/>
    <w:rsid w:val="00D361A2"/>
    <w:rsid w:val="00D366E8"/>
    <w:rsid w:val="00D406D0"/>
    <w:rsid w:val="00D423F7"/>
    <w:rsid w:val="00D42424"/>
    <w:rsid w:val="00D43CAA"/>
    <w:rsid w:val="00D44139"/>
    <w:rsid w:val="00D44188"/>
    <w:rsid w:val="00D44C2E"/>
    <w:rsid w:val="00D45414"/>
    <w:rsid w:val="00D45454"/>
    <w:rsid w:val="00D47CFE"/>
    <w:rsid w:val="00D501E3"/>
    <w:rsid w:val="00D5123F"/>
    <w:rsid w:val="00D51DD1"/>
    <w:rsid w:val="00D52507"/>
    <w:rsid w:val="00D53B44"/>
    <w:rsid w:val="00D53DBD"/>
    <w:rsid w:val="00D54204"/>
    <w:rsid w:val="00D5454C"/>
    <w:rsid w:val="00D566BD"/>
    <w:rsid w:val="00D57A4D"/>
    <w:rsid w:val="00D60AA7"/>
    <w:rsid w:val="00D60D87"/>
    <w:rsid w:val="00D62925"/>
    <w:rsid w:val="00D62CE1"/>
    <w:rsid w:val="00D63A43"/>
    <w:rsid w:val="00D6435F"/>
    <w:rsid w:val="00D67A9B"/>
    <w:rsid w:val="00D67F37"/>
    <w:rsid w:val="00D71D8B"/>
    <w:rsid w:val="00D72206"/>
    <w:rsid w:val="00D73AE5"/>
    <w:rsid w:val="00D74B34"/>
    <w:rsid w:val="00D74DB0"/>
    <w:rsid w:val="00D75E28"/>
    <w:rsid w:val="00D772C2"/>
    <w:rsid w:val="00D8008E"/>
    <w:rsid w:val="00D800C7"/>
    <w:rsid w:val="00D820D6"/>
    <w:rsid w:val="00D82C45"/>
    <w:rsid w:val="00D836BF"/>
    <w:rsid w:val="00D83CC7"/>
    <w:rsid w:val="00D83FF5"/>
    <w:rsid w:val="00D902FB"/>
    <w:rsid w:val="00D908A8"/>
    <w:rsid w:val="00D913BF"/>
    <w:rsid w:val="00D915A5"/>
    <w:rsid w:val="00D9196B"/>
    <w:rsid w:val="00D92CC0"/>
    <w:rsid w:val="00D939A1"/>
    <w:rsid w:val="00D96895"/>
    <w:rsid w:val="00D96DC3"/>
    <w:rsid w:val="00D97271"/>
    <w:rsid w:val="00D97419"/>
    <w:rsid w:val="00D977B6"/>
    <w:rsid w:val="00DA1E59"/>
    <w:rsid w:val="00DA2E6B"/>
    <w:rsid w:val="00DA4107"/>
    <w:rsid w:val="00DA4A31"/>
    <w:rsid w:val="00DA4CA5"/>
    <w:rsid w:val="00DA585F"/>
    <w:rsid w:val="00DA6BC0"/>
    <w:rsid w:val="00DA7613"/>
    <w:rsid w:val="00DA7B04"/>
    <w:rsid w:val="00DB1A83"/>
    <w:rsid w:val="00DB1D2C"/>
    <w:rsid w:val="00DB23C4"/>
    <w:rsid w:val="00DB3363"/>
    <w:rsid w:val="00DB367D"/>
    <w:rsid w:val="00DB36C2"/>
    <w:rsid w:val="00DB6E30"/>
    <w:rsid w:val="00DC169B"/>
    <w:rsid w:val="00DC2AB9"/>
    <w:rsid w:val="00DC35F9"/>
    <w:rsid w:val="00DC561C"/>
    <w:rsid w:val="00DC63F0"/>
    <w:rsid w:val="00DC7056"/>
    <w:rsid w:val="00DD0390"/>
    <w:rsid w:val="00DD66BE"/>
    <w:rsid w:val="00DD6EE5"/>
    <w:rsid w:val="00DD7A5E"/>
    <w:rsid w:val="00DE0557"/>
    <w:rsid w:val="00DE29CE"/>
    <w:rsid w:val="00DE3700"/>
    <w:rsid w:val="00DE386C"/>
    <w:rsid w:val="00DE3CC4"/>
    <w:rsid w:val="00DE492C"/>
    <w:rsid w:val="00DE4980"/>
    <w:rsid w:val="00DE4D35"/>
    <w:rsid w:val="00DE5572"/>
    <w:rsid w:val="00DE62BA"/>
    <w:rsid w:val="00DE6C5A"/>
    <w:rsid w:val="00DF0549"/>
    <w:rsid w:val="00DF098B"/>
    <w:rsid w:val="00DF11C4"/>
    <w:rsid w:val="00DF210C"/>
    <w:rsid w:val="00DF4050"/>
    <w:rsid w:val="00DF407F"/>
    <w:rsid w:val="00DF4B6A"/>
    <w:rsid w:val="00E02C09"/>
    <w:rsid w:val="00E04167"/>
    <w:rsid w:val="00E04D59"/>
    <w:rsid w:val="00E06A20"/>
    <w:rsid w:val="00E07224"/>
    <w:rsid w:val="00E07DA1"/>
    <w:rsid w:val="00E10296"/>
    <w:rsid w:val="00E123CB"/>
    <w:rsid w:val="00E12CDC"/>
    <w:rsid w:val="00E13151"/>
    <w:rsid w:val="00E13340"/>
    <w:rsid w:val="00E13D8D"/>
    <w:rsid w:val="00E15C77"/>
    <w:rsid w:val="00E20E13"/>
    <w:rsid w:val="00E2102F"/>
    <w:rsid w:val="00E21DBC"/>
    <w:rsid w:val="00E22525"/>
    <w:rsid w:val="00E24964"/>
    <w:rsid w:val="00E26DA2"/>
    <w:rsid w:val="00E275D7"/>
    <w:rsid w:val="00E27DBE"/>
    <w:rsid w:val="00E323AB"/>
    <w:rsid w:val="00E32581"/>
    <w:rsid w:val="00E32AB1"/>
    <w:rsid w:val="00E32DBC"/>
    <w:rsid w:val="00E3356A"/>
    <w:rsid w:val="00E354A7"/>
    <w:rsid w:val="00E36C71"/>
    <w:rsid w:val="00E37577"/>
    <w:rsid w:val="00E40404"/>
    <w:rsid w:val="00E41DA1"/>
    <w:rsid w:val="00E4399D"/>
    <w:rsid w:val="00E43DD6"/>
    <w:rsid w:val="00E459C6"/>
    <w:rsid w:val="00E464C3"/>
    <w:rsid w:val="00E47589"/>
    <w:rsid w:val="00E50E44"/>
    <w:rsid w:val="00E50EE8"/>
    <w:rsid w:val="00E515A1"/>
    <w:rsid w:val="00E5165F"/>
    <w:rsid w:val="00E51AB6"/>
    <w:rsid w:val="00E52210"/>
    <w:rsid w:val="00E52218"/>
    <w:rsid w:val="00E5270E"/>
    <w:rsid w:val="00E538E8"/>
    <w:rsid w:val="00E54197"/>
    <w:rsid w:val="00E54A98"/>
    <w:rsid w:val="00E60288"/>
    <w:rsid w:val="00E62CDA"/>
    <w:rsid w:val="00E63903"/>
    <w:rsid w:val="00E64915"/>
    <w:rsid w:val="00E6594F"/>
    <w:rsid w:val="00E661D4"/>
    <w:rsid w:val="00E70091"/>
    <w:rsid w:val="00E7067B"/>
    <w:rsid w:val="00E70FE9"/>
    <w:rsid w:val="00E720F5"/>
    <w:rsid w:val="00E7383B"/>
    <w:rsid w:val="00E75C51"/>
    <w:rsid w:val="00E75EDB"/>
    <w:rsid w:val="00E76D47"/>
    <w:rsid w:val="00E77674"/>
    <w:rsid w:val="00E849F7"/>
    <w:rsid w:val="00E84E78"/>
    <w:rsid w:val="00E8698D"/>
    <w:rsid w:val="00E87C52"/>
    <w:rsid w:val="00E90302"/>
    <w:rsid w:val="00E92FE6"/>
    <w:rsid w:val="00E933AB"/>
    <w:rsid w:val="00E94868"/>
    <w:rsid w:val="00E957E4"/>
    <w:rsid w:val="00E96161"/>
    <w:rsid w:val="00E967B2"/>
    <w:rsid w:val="00E97396"/>
    <w:rsid w:val="00E97B48"/>
    <w:rsid w:val="00EA0C94"/>
    <w:rsid w:val="00EA14F6"/>
    <w:rsid w:val="00EA185E"/>
    <w:rsid w:val="00EA1EA9"/>
    <w:rsid w:val="00EA5061"/>
    <w:rsid w:val="00EA592A"/>
    <w:rsid w:val="00EA5A65"/>
    <w:rsid w:val="00EA5D5C"/>
    <w:rsid w:val="00EA628B"/>
    <w:rsid w:val="00EA6391"/>
    <w:rsid w:val="00EA654E"/>
    <w:rsid w:val="00EA7152"/>
    <w:rsid w:val="00EB119B"/>
    <w:rsid w:val="00EB14E4"/>
    <w:rsid w:val="00EB32A5"/>
    <w:rsid w:val="00EB34ED"/>
    <w:rsid w:val="00EB43AC"/>
    <w:rsid w:val="00EB4AA9"/>
    <w:rsid w:val="00EB4CA6"/>
    <w:rsid w:val="00EB5358"/>
    <w:rsid w:val="00EB67B2"/>
    <w:rsid w:val="00EB6F71"/>
    <w:rsid w:val="00EB7BE0"/>
    <w:rsid w:val="00EC018D"/>
    <w:rsid w:val="00EC03DD"/>
    <w:rsid w:val="00EC0927"/>
    <w:rsid w:val="00EC11E3"/>
    <w:rsid w:val="00EC2807"/>
    <w:rsid w:val="00EC2BB1"/>
    <w:rsid w:val="00EC315E"/>
    <w:rsid w:val="00EC3596"/>
    <w:rsid w:val="00EC43FF"/>
    <w:rsid w:val="00EC448B"/>
    <w:rsid w:val="00EC5146"/>
    <w:rsid w:val="00EC6684"/>
    <w:rsid w:val="00EC7337"/>
    <w:rsid w:val="00ED0008"/>
    <w:rsid w:val="00ED077C"/>
    <w:rsid w:val="00ED1190"/>
    <w:rsid w:val="00ED33E2"/>
    <w:rsid w:val="00ED5FB9"/>
    <w:rsid w:val="00ED6544"/>
    <w:rsid w:val="00EE0277"/>
    <w:rsid w:val="00EE0AF7"/>
    <w:rsid w:val="00EE1DA9"/>
    <w:rsid w:val="00EE24ED"/>
    <w:rsid w:val="00EE2E7A"/>
    <w:rsid w:val="00EE3E00"/>
    <w:rsid w:val="00EE5DD2"/>
    <w:rsid w:val="00EF03A7"/>
    <w:rsid w:val="00EF5AF1"/>
    <w:rsid w:val="00EF711C"/>
    <w:rsid w:val="00EF77E3"/>
    <w:rsid w:val="00EF7E12"/>
    <w:rsid w:val="00EF7E67"/>
    <w:rsid w:val="00EF7F28"/>
    <w:rsid w:val="00F00A79"/>
    <w:rsid w:val="00F00E86"/>
    <w:rsid w:val="00F056A0"/>
    <w:rsid w:val="00F062B4"/>
    <w:rsid w:val="00F07C1E"/>
    <w:rsid w:val="00F105AA"/>
    <w:rsid w:val="00F105DB"/>
    <w:rsid w:val="00F106DA"/>
    <w:rsid w:val="00F132BC"/>
    <w:rsid w:val="00F13D80"/>
    <w:rsid w:val="00F15B44"/>
    <w:rsid w:val="00F16AAA"/>
    <w:rsid w:val="00F17067"/>
    <w:rsid w:val="00F17FD6"/>
    <w:rsid w:val="00F203B0"/>
    <w:rsid w:val="00F21161"/>
    <w:rsid w:val="00F218EF"/>
    <w:rsid w:val="00F21BC7"/>
    <w:rsid w:val="00F241A2"/>
    <w:rsid w:val="00F266A2"/>
    <w:rsid w:val="00F2711D"/>
    <w:rsid w:val="00F30110"/>
    <w:rsid w:val="00F315B1"/>
    <w:rsid w:val="00F32269"/>
    <w:rsid w:val="00F34770"/>
    <w:rsid w:val="00F34D5E"/>
    <w:rsid w:val="00F36354"/>
    <w:rsid w:val="00F37C1E"/>
    <w:rsid w:val="00F40648"/>
    <w:rsid w:val="00F416C9"/>
    <w:rsid w:val="00F42150"/>
    <w:rsid w:val="00F431D2"/>
    <w:rsid w:val="00F4432D"/>
    <w:rsid w:val="00F45D24"/>
    <w:rsid w:val="00F47DF2"/>
    <w:rsid w:val="00F51B99"/>
    <w:rsid w:val="00F531EE"/>
    <w:rsid w:val="00F554EA"/>
    <w:rsid w:val="00F5575F"/>
    <w:rsid w:val="00F5601B"/>
    <w:rsid w:val="00F56A6F"/>
    <w:rsid w:val="00F5709C"/>
    <w:rsid w:val="00F60409"/>
    <w:rsid w:val="00F60B11"/>
    <w:rsid w:val="00F62DA2"/>
    <w:rsid w:val="00F632A4"/>
    <w:rsid w:val="00F646A9"/>
    <w:rsid w:val="00F64EF1"/>
    <w:rsid w:val="00F64FF9"/>
    <w:rsid w:val="00F67354"/>
    <w:rsid w:val="00F67364"/>
    <w:rsid w:val="00F6783C"/>
    <w:rsid w:val="00F679CB"/>
    <w:rsid w:val="00F71E0E"/>
    <w:rsid w:val="00F71E74"/>
    <w:rsid w:val="00F728E6"/>
    <w:rsid w:val="00F775F6"/>
    <w:rsid w:val="00F847F2"/>
    <w:rsid w:val="00F84C1D"/>
    <w:rsid w:val="00F84F34"/>
    <w:rsid w:val="00F8765F"/>
    <w:rsid w:val="00F90767"/>
    <w:rsid w:val="00F9445B"/>
    <w:rsid w:val="00F96829"/>
    <w:rsid w:val="00F9739A"/>
    <w:rsid w:val="00FA0A50"/>
    <w:rsid w:val="00FA17DA"/>
    <w:rsid w:val="00FA2077"/>
    <w:rsid w:val="00FA5BA9"/>
    <w:rsid w:val="00FA660E"/>
    <w:rsid w:val="00FA685B"/>
    <w:rsid w:val="00FA6864"/>
    <w:rsid w:val="00FA793D"/>
    <w:rsid w:val="00FB0C01"/>
    <w:rsid w:val="00FB0D4E"/>
    <w:rsid w:val="00FB26F5"/>
    <w:rsid w:val="00FB6F26"/>
    <w:rsid w:val="00FB7AD6"/>
    <w:rsid w:val="00FC0D8C"/>
    <w:rsid w:val="00FC18F2"/>
    <w:rsid w:val="00FC2BD7"/>
    <w:rsid w:val="00FC3427"/>
    <w:rsid w:val="00FC39E5"/>
    <w:rsid w:val="00FC3A78"/>
    <w:rsid w:val="00FC4DBF"/>
    <w:rsid w:val="00FC6819"/>
    <w:rsid w:val="00FC6A61"/>
    <w:rsid w:val="00FD0B91"/>
    <w:rsid w:val="00FD1005"/>
    <w:rsid w:val="00FD36B1"/>
    <w:rsid w:val="00FD4929"/>
    <w:rsid w:val="00FD531C"/>
    <w:rsid w:val="00FD6C75"/>
    <w:rsid w:val="00FD7AB6"/>
    <w:rsid w:val="00FE043C"/>
    <w:rsid w:val="00FE0A85"/>
    <w:rsid w:val="00FE1E59"/>
    <w:rsid w:val="00FE2FD2"/>
    <w:rsid w:val="00FE3B42"/>
    <w:rsid w:val="00FE5907"/>
    <w:rsid w:val="00FE6E28"/>
    <w:rsid w:val="00FE71B3"/>
    <w:rsid w:val="00FF0832"/>
    <w:rsid w:val="00FF42C5"/>
    <w:rsid w:val="00FF5742"/>
    <w:rsid w:val="00FF7827"/>
  </w:rsids>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m:mathPr>
    <m:mathFont m:val="Cambria Math"/>
  </m:mathPr>
  <w:themeFontLang w:val="fr-FR"/>
  <w:clrSchemeMapping w:bg1="light1" w:t1="dark1" w:bg2="light2" w:t2="dark2" w:accent1="accent1" w:accent2="accent2" w:accent3="accent3" w:accent4="accent4" w:accent5="accent5" w:accent6="accent6" w:hyperlink="hyperlink" w:followedHyperlink="followedHyperlink"/>
  <w:doNotAutoCompressPicture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lsdException w:name="toc 7" w:semiHidden="1"/>
    <w:lsdException w:name="toc 8" w:semiHidden="1"/>
    <w:lsdException w:name="toc 9" w:semiHidden="1"/>
    <w:lsdException w:name="Normal Indent" w:semiHidden="1"/>
    <w:lsdException w:name="footnote text" w:semiHidden="1" w:unhideWhenUsed="1"/>
    <w:lsdException w:name="annotation text" w:semiHidden="1" w:uiPriority="0"/>
    <w:lsdException w:name="header" w:semiHidden="1" w:uiPriority="48" w:unhideWhenUsed="1"/>
    <w:lsdException w:name="footer" w:semiHidden="1" w:uiPriority="57"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iPriority="0"/>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semiHidden/>
    <w:rsid w:val="001B4C2E"/>
    <w:pPr>
      <w:jc w:val="both"/>
    </w:pPr>
    <w:rPr>
      <w:rFonts w:eastAsia="MS Mincho"/>
      <w:sz w:val="24"/>
      <w:szCs w:val="22"/>
      <w:lang w:val="en-US" w:eastAsia="en-US"/>
    </w:rPr>
  </w:style>
  <w:style w:type="paragraph" w:styleId="Heading1">
    <w:name w:val="heading 1"/>
    <w:basedOn w:val="Normal"/>
    <w:next w:val="Normal"/>
    <w:link w:val="Heading1Char"/>
    <w:uiPriority w:val="99"/>
    <w:semiHidden/>
    <w:rsid w:val="00941747"/>
    <w:pPr>
      <w:numPr>
        <w:numId w:val="11"/>
      </w:numPr>
      <w:spacing w:before="480"/>
      <w:contextualSpacing/>
      <w:jc w:val="left"/>
      <w:outlineLvl w:val="0"/>
    </w:pPr>
    <w:rPr>
      <w:rFonts w:eastAsia="MS Gothic"/>
      <w:b/>
      <w:bCs/>
      <w:color w:val="333333"/>
      <w:sz w:val="28"/>
      <w:szCs w:val="28"/>
    </w:rPr>
  </w:style>
  <w:style w:type="paragraph" w:styleId="Heading2">
    <w:name w:val="heading 2"/>
    <w:basedOn w:val="Normal"/>
    <w:next w:val="Normal"/>
    <w:link w:val="Heading2Char"/>
    <w:uiPriority w:val="99"/>
    <w:semiHidden/>
    <w:rsid w:val="00941747"/>
    <w:pPr>
      <w:numPr>
        <w:ilvl w:val="1"/>
        <w:numId w:val="11"/>
      </w:numPr>
      <w:spacing w:before="200"/>
      <w:jc w:val="left"/>
      <w:outlineLvl w:val="1"/>
    </w:pPr>
    <w:rPr>
      <w:rFonts w:eastAsia="MS Gothic"/>
      <w:b/>
      <w:bCs/>
      <w:color w:val="4D4D4D"/>
      <w:sz w:val="26"/>
      <w:szCs w:val="26"/>
    </w:rPr>
  </w:style>
  <w:style w:type="paragraph" w:styleId="Heading3">
    <w:name w:val="heading 3"/>
    <w:basedOn w:val="Normal"/>
    <w:next w:val="Normal"/>
    <w:link w:val="Heading3Char"/>
    <w:uiPriority w:val="99"/>
    <w:semiHidden/>
    <w:rsid w:val="00941747"/>
    <w:pPr>
      <w:numPr>
        <w:ilvl w:val="2"/>
        <w:numId w:val="11"/>
      </w:numPr>
      <w:spacing w:before="200" w:line="271" w:lineRule="auto"/>
      <w:jc w:val="left"/>
      <w:outlineLvl w:val="2"/>
    </w:pPr>
    <w:rPr>
      <w:rFonts w:eastAsia="MS Gothic"/>
      <w:b/>
      <w:bCs/>
      <w:color w:val="5F5F5F"/>
    </w:rPr>
  </w:style>
  <w:style w:type="paragraph" w:styleId="Heading4">
    <w:name w:val="heading 4"/>
    <w:basedOn w:val="Normal"/>
    <w:next w:val="Normal"/>
    <w:link w:val="Heading4Char"/>
    <w:uiPriority w:val="99"/>
    <w:semiHidden/>
    <w:rsid w:val="00941747"/>
    <w:pPr>
      <w:numPr>
        <w:ilvl w:val="3"/>
        <w:numId w:val="11"/>
      </w:numPr>
      <w:spacing w:before="200"/>
      <w:jc w:val="left"/>
      <w:outlineLvl w:val="3"/>
    </w:pPr>
    <w:rPr>
      <w:rFonts w:eastAsia="MS Gothic"/>
      <w:b/>
      <w:bCs/>
      <w:i/>
      <w:iCs/>
      <w:color w:val="777777"/>
    </w:rPr>
  </w:style>
  <w:style w:type="paragraph" w:styleId="Heading5">
    <w:name w:val="heading 5"/>
    <w:basedOn w:val="Normal"/>
    <w:next w:val="Normal"/>
    <w:link w:val="Heading5Char"/>
    <w:uiPriority w:val="99"/>
    <w:semiHidden/>
    <w:qFormat/>
    <w:rsid w:val="001B4C2E"/>
    <w:pPr>
      <w:spacing w:before="200"/>
      <w:outlineLvl w:val="4"/>
    </w:pPr>
    <w:rPr>
      <w:rFonts w:eastAsia="MS Gothic"/>
      <w:b/>
      <w:bCs/>
      <w:color w:val="808080"/>
      <w:sz w:val="22"/>
    </w:rPr>
  </w:style>
  <w:style w:type="paragraph" w:styleId="Heading6">
    <w:name w:val="heading 6"/>
    <w:basedOn w:val="Normal"/>
    <w:next w:val="Normal"/>
    <w:link w:val="Heading6Char"/>
    <w:uiPriority w:val="99"/>
    <w:semiHidden/>
    <w:rsid w:val="00941747"/>
    <w:pPr>
      <w:numPr>
        <w:ilvl w:val="5"/>
        <w:numId w:val="11"/>
      </w:numPr>
      <w:spacing w:line="271" w:lineRule="auto"/>
      <w:jc w:val="left"/>
      <w:outlineLvl w:val="5"/>
    </w:pPr>
    <w:rPr>
      <w:rFonts w:eastAsia="MS Gothic"/>
      <w:b/>
      <w:bCs/>
      <w:i/>
      <w:iCs/>
      <w:color w:val="7F7F7F"/>
      <w:lang w:bidi="en-US"/>
    </w:rPr>
  </w:style>
  <w:style w:type="paragraph" w:styleId="Heading7">
    <w:name w:val="heading 7"/>
    <w:basedOn w:val="Normal"/>
    <w:next w:val="Normal"/>
    <w:link w:val="Heading7Char"/>
    <w:uiPriority w:val="99"/>
    <w:semiHidden/>
    <w:qFormat/>
    <w:rsid w:val="001B4C2E"/>
    <w:pPr>
      <w:outlineLvl w:val="6"/>
    </w:pPr>
    <w:rPr>
      <w:rFonts w:eastAsia="MS Gothic"/>
      <w:i/>
      <w:iCs/>
      <w:sz w:val="22"/>
      <w:lang w:bidi="en-US"/>
    </w:rPr>
  </w:style>
  <w:style w:type="paragraph" w:styleId="Heading8">
    <w:name w:val="heading 8"/>
    <w:basedOn w:val="Normal"/>
    <w:next w:val="Normal"/>
    <w:link w:val="Heading8Char"/>
    <w:uiPriority w:val="99"/>
    <w:semiHidden/>
    <w:qFormat/>
    <w:rsid w:val="001B4C2E"/>
    <w:pPr>
      <w:outlineLvl w:val="7"/>
    </w:pPr>
    <w:rPr>
      <w:rFonts w:eastAsia="MS Gothic"/>
      <w:sz w:val="20"/>
      <w:szCs w:val="20"/>
      <w:lang w:bidi="en-US"/>
    </w:rPr>
  </w:style>
  <w:style w:type="paragraph" w:styleId="Heading9">
    <w:name w:val="heading 9"/>
    <w:basedOn w:val="Normal"/>
    <w:next w:val="Normal"/>
    <w:link w:val="Heading9Char"/>
    <w:uiPriority w:val="99"/>
    <w:semiHidden/>
    <w:qFormat/>
    <w:rsid w:val="001B4C2E"/>
    <w:pPr>
      <w:outlineLvl w:val="8"/>
    </w:pPr>
    <w:rPr>
      <w:rFonts w:eastAsia="MS Gothic"/>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41747"/>
    <w:rPr>
      <w:rFonts w:ascii="Tahoma" w:hAnsi="Tahoma" w:cs="Tahoma"/>
      <w:sz w:val="16"/>
      <w:szCs w:val="16"/>
    </w:rPr>
  </w:style>
  <w:style w:type="character" w:customStyle="1" w:styleId="BalloonTextChar">
    <w:name w:val="Balloon Text Char"/>
    <w:link w:val="BalloonText"/>
    <w:uiPriority w:val="99"/>
    <w:semiHidden/>
    <w:rsid w:val="00A671F8"/>
    <w:rPr>
      <w:rFonts w:ascii="Tahoma" w:eastAsia="MS Mincho" w:hAnsi="Tahoma" w:cs="Tahoma"/>
      <w:sz w:val="16"/>
      <w:szCs w:val="16"/>
    </w:rPr>
  </w:style>
  <w:style w:type="character" w:styleId="BookTitle">
    <w:name w:val="Book Title"/>
    <w:uiPriority w:val="99"/>
    <w:semiHidden/>
    <w:qFormat/>
    <w:rsid w:val="001B4C2E"/>
    <w:rPr>
      <w:i/>
      <w:iCs/>
      <w:smallCaps/>
      <w:spacing w:val="5"/>
    </w:rPr>
  </w:style>
  <w:style w:type="paragraph" w:customStyle="1" w:styleId="ECHRHeader">
    <w:name w:val="ECHR_Header"/>
    <w:aliases w:val="Ju_Header"/>
    <w:basedOn w:val="Header"/>
    <w:uiPriority w:val="4"/>
    <w:qFormat/>
    <w:rsid w:val="001B4C2E"/>
    <w:pPr>
      <w:tabs>
        <w:tab w:val="center" w:pos="3686"/>
        <w:tab w:val="clear" w:pos="4536"/>
        <w:tab w:val="right" w:pos="7371"/>
        <w:tab w:val="clear" w:pos="9696"/>
      </w:tabs>
      <w:ind w:left="0" w:right="0"/>
      <w:jc w:val="left"/>
    </w:pPr>
    <w:rPr>
      <w:rFonts w:eastAsia="Times New Roman"/>
      <w:sz w:val="18"/>
    </w:rPr>
  </w:style>
  <w:style w:type="paragraph" w:customStyle="1" w:styleId="OpiPara">
    <w:name w:val="Opi_Para"/>
    <w:basedOn w:val="ECHRPara"/>
    <w:uiPriority w:val="46"/>
    <w:qFormat/>
    <w:rsid w:val="001B4C2E"/>
  </w:style>
  <w:style w:type="character" w:styleId="Strong">
    <w:name w:val="Strong"/>
    <w:uiPriority w:val="99"/>
    <w:semiHidden/>
    <w:qFormat/>
    <w:rsid w:val="001B4C2E"/>
    <w:rPr>
      <w:b/>
      <w:bCs/>
    </w:rPr>
  </w:style>
  <w:style w:type="paragraph" w:styleId="NoSpacing">
    <w:name w:val="No Spacing"/>
    <w:basedOn w:val="Normal"/>
    <w:link w:val="NoSpacingChar"/>
    <w:semiHidden/>
    <w:qFormat/>
    <w:rsid w:val="001B4C2E"/>
    <w:rPr>
      <w:sz w:val="22"/>
    </w:rPr>
  </w:style>
  <w:style w:type="character" w:customStyle="1" w:styleId="NoSpacingChar">
    <w:name w:val="No Spacing Char"/>
    <w:link w:val="NoSpacing"/>
    <w:semiHidden/>
    <w:rsid w:val="001B4C2E"/>
    <w:rPr>
      <w:rFonts w:eastAsia="MS Mincho"/>
    </w:rPr>
  </w:style>
  <w:style w:type="paragraph" w:customStyle="1" w:styleId="JuParaSub">
    <w:name w:val="Ju_Para_Sub"/>
    <w:basedOn w:val="ECHRPara"/>
    <w:uiPriority w:val="13"/>
    <w:qFormat/>
    <w:rsid w:val="001B4C2E"/>
    <w:pPr>
      <w:ind w:left="284"/>
    </w:pPr>
  </w:style>
  <w:style w:type="paragraph" w:customStyle="1" w:styleId="OpiParaSub">
    <w:name w:val="Opi_Para_Sub"/>
    <w:basedOn w:val="JuParaSub"/>
    <w:uiPriority w:val="47"/>
    <w:qFormat/>
    <w:rsid w:val="001B4C2E"/>
  </w:style>
  <w:style w:type="paragraph" w:customStyle="1" w:styleId="OpiQuot">
    <w:name w:val="Opi_Quot"/>
    <w:basedOn w:val="ECHRParaQuote"/>
    <w:uiPriority w:val="48"/>
    <w:qFormat/>
    <w:rsid w:val="001B4C2E"/>
  </w:style>
  <w:style w:type="paragraph" w:customStyle="1" w:styleId="OpiQuotSub">
    <w:name w:val="Opi_Quot_Sub"/>
    <w:basedOn w:val="JuQuotSub"/>
    <w:uiPriority w:val="49"/>
    <w:qFormat/>
    <w:rsid w:val="001B4C2E"/>
  </w:style>
  <w:style w:type="paragraph" w:customStyle="1" w:styleId="ECHRTitleCentre3">
    <w:name w:val="ECHR_Title_Centre_3"/>
    <w:aliases w:val="Ju_H_Article"/>
    <w:basedOn w:val="Normal"/>
    <w:next w:val="ECHRParaQuote"/>
    <w:uiPriority w:val="27"/>
    <w:qFormat/>
    <w:rsid w:val="001B4C2E"/>
    <w:pPr>
      <w:keepNext/>
      <w:keepLines/>
      <w:spacing w:before="240" w:after="120"/>
      <w:jc w:val="center"/>
      <w:outlineLvl w:val="3"/>
    </w:pPr>
    <w:rPr>
      <w:b/>
      <w:sz w:val="20"/>
      <w:lang w:bidi="en-US"/>
    </w:rPr>
  </w:style>
  <w:style w:type="paragraph" w:customStyle="1" w:styleId="ECHRTitleCentre1">
    <w:name w:val="ECHR_Title_Centre_1"/>
    <w:aliases w:val="Opi_H_Head"/>
    <w:basedOn w:val="Normal"/>
    <w:next w:val="OpiPara"/>
    <w:uiPriority w:val="39"/>
    <w:qFormat/>
    <w:rsid w:val="001B4C2E"/>
    <w:pPr>
      <w:keepNext/>
      <w:keepLines/>
      <w:spacing w:after="240"/>
      <w:jc w:val="center"/>
      <w:outlineLvl w:val="0"/>
    </w:pPr>
    <w:rPr>
      <w:sz w:val="28"/>
    </w:rPr>
  </w:style>
  <w:style w:type="paragraph" w:customStyle="1" w:styleId="JuQuotSub">
    <w:name w:val="Ju_Quot_Sub"/>
    <w:basedOn w:val="ECHRParaQuote"/>
    <w:uiPriority w:val="15"/>
    <w:qFormat/>
    <w:rsid w:val="001B4C2E"/>
    <w:pPr>
      <w:ind w:left="567"/>
    </w:pPr>
  </w:style>
  <w:style w:type="paragraph" w:customStyle="1" w:styleId="JuInitialled">
    <w:name w:val="Ju_Initialled"/>
    <w:basedOn w:val="Normal"/>
    <w:uiPriority w:val="31"/>
    <w:qFormat/>
    <w:rsid w:val="001B4C2E"/>
    <w:pPr>
      <w:tabs>
        <w:tab w:val="center" w:pos="6407"/>
      </w:tabs>
      <w:spacing w:before="720"/>
      <w:jc w:val="right"/>
    </w:pPr>
  </w:style>
  <w:style w:type="paragraph" w:customStyle="1" w:styleId="OpiHA">
    <w:name w:val="Opi_H_A"/>
    <w:basedOn w:val="ECHRHeading1"/>
    <w:next w:val="OpiPara"/>
    <w:uiPriority w:val="41"/>
    <w:qFormat/>
    <w:rsid w:val="001B4C2E"/>
    <w:pPr>
      <w:tabs>
        <w:tab w:val="clear" w:pos="357"/>
      </w:tabs>
      <w:outlineLvl w:val="1"/>
    </w:pPr>
    <w:rPr>
      <w:b/>
    </w:rPr>
  </w:style>
  <w:style w:type="character" w:customStyle="1" w:styleId="JUNAMES">
    <w:name w:val="JU_NAMES"/>
    <w:uiPriority w:val="17"/>
    <w:qFormat/>
    <w:rsid w:val="001B4C2E"/>
    <w:rPr>
      <w:caps w:val="0"/>
      <w:smallCaps/>
    </w:rPr>
  </w:style>
  <w:style w:type="paragraph" w:customStyle="1" w:styleId="OpiTranslation">
    <w:name w:val="Opi_Translation"/>
    <w:basedOn w:val="Normal"/>
    <w:next w:val="OpiPara"/>
    <w:uiPriority w:val="40"/>
    <w:qFormat/>
    <w:rsid w:val="001B4C2E"/>
    <w:pPr>
      <w:jc w:val="center"/>
      <w:outlineLvl w:val="0"/>
    </w:pPr>
    <w:rPr>
      <w:i/>
    </w:rPr>
  </w:style>
  <w:style w:type="paragraph" w:styleId="Title">
    <w:name w:val="Title"/>
    <w:basedOn w:val="Normal"/>
    <w:next w:val="Normal"/>
    <w:link w:val="TitleChar"/>
    <w:uiPriority w:val="99"/>
    <w:semiHidden/>
    <w:qFormat/>
    <w:rsid w:val="001B4C2E"/>
    <w:pPr>
      <w:pBdr>
        <w:bottom w:val="single" w:sz="4" w:space="1" w:color="auto"/>
      </w:pBdr>
      <w:contextualSpacing/>
    </w:pPr>
    <w:rPr>
      <w:rFonts w:eastAsia="MS Gothic"/>
      <w:spacing w:val="5"/>
      <w:sz w:val="52"/>
      <w:szCs w:val="52"/>
      <w:lang w:bidi="en-US"/>
    </w:rPr>
  </w:style>
  <w:style w:type="character" w:customStyle="1" w:styleId="TitleChar">
    <w:name w:val="Title Char"/>
    <w:link w:val="Title"/>
    <w:uiPriority w:val="99"/>
    <w:semiHidden/>
    <w:rsid w:val="001B4C2E"/>
    <w:rPr>
      <w:rFonts w:ascii="Times New Roman" w:eastAsia="MS Gothic" w:hAnsi="Times New Roman" w:cs="Times New Roman"/>
      <w:spacing w:val="5"/>
      <w:sz w:val="52"/>
      <w:szCs w:val="52"/>
      <w:lang w:bidi="en-US"/>
    </w:rPr>
  </w:style>
  <w:style w:type="paragraph" w:customStyle="1" w:styleId="ECHRHeading3">
    <w:name w:val="ECHR_Heading_3"/>
    <w:aliases w:val="Ju_H_1."/>
    <w:basedOn w:val="Heading3"/>
    <w:next w:val="ECHRPara"/>
    <w:uiPriority w:val="21"/>
    <w:qFormat/>
    <w:rsid w:val="001B4C2E"/>
    <w:pPr>
      <w:keepNext/>
      <w:keepLines/>
      <w:numPr>
        <w:ilvl w:val="0"/>
        <w:numId w:val="0"/>
      </w:numPr>
      <w:tabs>
        <w:tab w:val="left" w:pos="731"/>
      </w:tabs>
      <w:spacing w:before="240" w:after="120" w:line="240" w:lineRule="auto"/>
      <w:ind w:left="732" w:hanging="301"/>
      <w:jc w:val="both"/>
    </w:pPr>
    <w:rPr>
      <w:b w:val="0"/>
      <w:i/>
      <w:color w:val="auto"/>
    </w:rPr>
  </w:style>
  <w:style w:type="paragraph" w:customStyle="1" w:styleId="ECHRHeading4">
    <w:name w:val="ECHR_Heading_4"/>
    <w:aliases w:val="Ju_H_a"/>
    <w:basedOn w:val="Heading4"/>
    <w:next w:val="ECHRPara"/>
    <w:uiPriority w:val="22"/>
    <w:qFormat/>
    <w:rsid w:val="001B4C2E"/>
    <w:pPr>
      <w:keepNext/>
      <w:keepLines/>
      <w:numPr>
        <w:ilvl w:val="0"/>
        <w:numId w:val="0"/>
      </w:numPr>
      <w:tabs>
        <w:tab w:val="left" w:pos="975"/>
      </w:tabs>
      <w:spacing w:before="240" w:after="120"/>
      <w:ind w:left="975" w:hanging="340"/>
      <w:jc w:val="both"/>
    </w:pPr>
    <w:rPr>
      <w:i w:val="0"/>
      <w:color w:val="auto"/>
      <w:sz w:val="20"/>
    </w:rPr>
  </w:style>
  <w:style w:type="paragraph" w:customStyle="1" w:styleId="ECHRHeading5">
    <w:name w:val="ECHR_Heading_5"/>
    <w:aliases w:val="Ju_H_i"/>
    <w:basedOn w:val="Heading5"/>
    <w:next w:val="ECHRPara"/>
    <w:uiPriority w:val="23"/>
    <w:qFormat/>
    <w:rsid w:val="001B4C2E"/>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1B4C2E"/>
    <w:pPr>
      <w:keepNext/>
      <w:keepLines/>
      <w:numPr>
        <w:ilvl w:val="0"/>
        <w:numId w:val="0"/>
      </w:numPr>
      <w:tabs>
        <w:tab w:val="left" w:pos="1372"/>
      </w:tabs>
      <w:spacing w:before="240" w:after="120" w:line="240" w:lineRule="auto"/>
      <w:ind w:left="1373" w:hanging="335"/>
      <w:jc w:val="both"/>
    </w:pPr>
    <w:rPr>
      <w:b w:val="0"/>
      <w:color w:val="auto"/>
      <w:sz w:val="20"/>
    </w:rPr>
  </w:style>
  <w:style w:type="paragraph" w:customStyle="1" w:styleId="ECHRHeading7">
    <w:name w:val="ECHR_Heading_7"/>
    <w:aliases w:val="Ju_H_–"/>
    <w:basedOn w:val="Heading7"/>
    <w:next w:val="ECHRPara"/>
    <w:uiPriority w:val="25"/>
    <w:qFormat/>
    <w:rsid w:val="001B4C2E"/>
    <w:pPr>
      <w:keepNext/>
      <w:keepLines/>
      <w:spacing w:before="240" w:after="120"/>
      <w:ind w:left="1236"/>
    </w:pPr>
    <w:rPr>
      <w:sz w:val="20"/>
    </w:rPr>
  </w:style>
  <w:style w:type="paragraph" w:customStyle="1" w:styleId="OpiH1">
    <w:name w:val="Opi_H_1"/>
    <w:basedOn w:val="ECHRHeading2"/>
    <w:uiPriority w:val="42"/>
    <w:qFormat/>
    <w:rsid w:val="001B4C2E"/>
    <w:pPr>
      <w:ind w:left="635" w:hanging="357"/>
      <w:outlineLvl w:val="2"/>
    </w:pPr>
  </w:style>
  <w:style w:type="paragraph" w:customStyle="1" w:styleId="OpiHa0">
    <w:name w:val="Opi_H_a"/>
    <w:basedOn w:val="ECHRHeading3"/>
    <w:uiPriority w:val="43"/>
    <w:qFormat/>
    <w:rsid w:val="001B4C2E"/>
    <w:pPr>
      <w:ind w:left="833" w:hanging="357"/>
      <w:outlineLvl w:val="3"/>
    </w:pPr>
    <w:rPr>
      <w:b/>
      <w:i w:val="0"/>
      <w:sz w:val="20"/>
    </w:rPr>
  </w:style>
  <w:style w:type="paragraph" w:customStyle="1" w:styleId="OpiHi">
    <w:name w:val="Opi_H_i"/>
    <w:basedOn w:val="ECHRHeading4"/>
    <w:uiPriority w:val="44"/>
    <w:qFormat/>
    <w:rsid w:val="001B4C2E"/>
    <w:pPr>
      <w:ind w:left="1037" w:hanging="357"/>
      <w:outlineLvl w:val="4"/>
    </w:pPr>
    <w:rPr>
      <w:b w:val="0"/>
      <w:i/>
    </w:rPr>
  </w:style>
  <w:style w:type="paragraph" w:styleId="Header">
    <w:name w:val="header"/>
    <w:basedOn w:val="Normal"/>
    <w:link w:val="HeaderChar"/>
    <w:uiPriority w:val="48"/>
    <w:rsid w:val="00941747"/>
    <w:pPr>
      <w:tabs>
        <w:tab w:val="center" w:pos="4536"/>
        <w:tab w:val="right" w:pos="9696"/>
      </w:tabs>
      <w:ind w:left="-680" w:right="-680"/>
    </w:pPr>
  </w:style>
  <w:style w:type="character" w:customStyle="1" w:styleId="HeaderChar">
    <w:name w:val="Header Char"/>
    <w:basedOn w:val="DefaultParagraphFont"/>
    <w:link w:val="Header"/>
    <w:uiPriority w:val="48"/>
    <w:rsid w:val="008D4752"/>
  </w:style>
  <w:style w:type="character" w:customStyle="1" w:styleId="Heading1Char">
    <w:name w:val="Heading 1 Char"/>
    <w:link w:val="Heading1"/>
    <w:uiPriority w:val="99"/>
    <w:semiHidden/>
    <w:rsid w:val="00A671F8"/>
    <w:rPr>
      <w:rFonts w:ascii="Times New Roman" w:eastAsia="MS Gothic" w:hAnsi="Times New Roman" w:cs="Times New Roman"/>
      <w:b/>
      <w:bCs/>
      <w:color w:val="333333"/>
      <w:sz w:val="28"/>
      <w:szCs w:val="28"/>
    </w:rPr>
  </w:style>
  <w:style w:type="paragraph" w:customStyle="1" w:styleId="ECHRHeading1">
    <w:name w:val="ECHR_Heading_1"/>
    <w:aliases w:val="Ju_H_I_Roman"/>
    <w:basedOn w:val="Heading1"/>
    <w:next w:val="ECHRPara"/>
    <w:uiPriority w:val="19"/>
    <w:qFormat/>
    <w:rsid w:val="001B4C2E"/>
    <w:pPr>
      <w:keepNext/>
      <w:keepLines/>
      <w:numPr>
        <w:numId w:val="0"/>
      </w:numPr>
      <w:tabs>
        <w:tab w:val="left" w:pos="357"/>
      </w:tabs>
      <w:spacing w:before="360" w:after="240"/>
      <w:ind w:left="357" w:hanging="357"/>
      <w:contextualSpacing w:val="0"/>
      <w:jc w:val="both"/>
    </w:pPr>
    <w:rPr>
      <w:b w:val="0"/>
      <w:color w:val="auto"/>
      <w:sz w:val="24"/>
    </w:rPr>
  </w:style>
  <w:style w:type="paragraph" w:customStyle="1" w:styleId="ECHRHeading2">
    <w:name w:val="ECHR_Heading_2"/>
    <w:aliases w:val="Ju_H_A"/>
    <w:basedOn w:val="Heading2"/>
    <w:next w:val="ECHRPara"/>
    <w:uiPriority w:val="20"/>
    <w:qFormat/>
    <w:rsid w:val="001B4C2E"/>
    <w:pPr>
      <w:keepNext/>
      <w:keepLines/>
      <w:numPr>
        <w:ilvl w:val="0"/>
        <w:numId w:val="0"/>
      </w:numPr>
      <w:tabs>
        <w:tab w:val="left" w:pos="584"/>
      </w:tabs>
      <w:spacing w:before="360" w:after="240"/>
      <w:ind w:left="584" w:hanging="352"/>
      <w:jc w:val="both"/>
    </w:pPr>
    <w:rPr>
      <w:color w:val="auto"/>
      <w:sz w:val="24"/>
    </w:rPr>
  </w:style>
  <w:style w:type="character" w:customStyle="1" w:styleId="Heading2Char">
    <w:name w:val="Heading 2 Char"/>
    <w:link w:val="Heading2"/>
    <w:uiPriority w:val="99"/>
    <w:semiHidden/>
    <w:rsid w:val="00A671F8"/>
    <w:rPr>
      <w:rFonts w:ascii="Times New Roman" w:eastAsia="MS Gothic" w:hAnsi="Times New Roman" w:cs="Times New Roman"/>
      <w:b/>
      <w:bCs/>
      <w:color w:val="4D4D4D"/>
      <w:sz w:val="26"/>
      <w:szCs w:val="26"/>
    </w:rPr>
  </w:style>
  <w:style w:type="paragraph" w:customStyle="1" w:styleId="DummyStyle">
    <w:name w:val="Dummy_Style"/>
    <w:basedOn w:val="Normal"/>
    <w:semiHidden/>
    <w:qFormat/>
    <w:rsid w:val="001B4C2E"/>
    <w:rPr>
      <w:color w:val="00B050"/>
    </w:rPr>
  </w:style>
  <w:style w:type="paragraph" w:customStyle="1" w:styleId="JuCase">
    <w:name w:val="Ju_Case"/>
    <w:basedOn w:val="Normal"/>
    <w:next w:val="Normal"/>
    <w:uiPriority w:val="10"/>
    <w:rsid w:val="00D60D87"/>
    <w:pPr>
      <w:ind w:firstLine="284"/>
    </w:pPr>
    <w:rPr>
      <w:b/>
    </w:rPr>
  </w:style>
  <w:style w:type="character" w:customStyle="1" w:styleId="Heading3Char">
    <w:name w:val="Heading 3 Char"/>
    <w:link w:val="Heading3"/>
    <w:uiPriority w:val="99"/>
    <w:semiHidden/>
    <w:rsid w:val="00A671F8"/>
    <w:rPr>
      <w:rFonts w:ascii="Times New Roman" w:eastAsia="MS Gothic" w:hAnsi="Times New Roman" w:cs="Times New Roman"/>
      <w:b/>
      <w:bCs/>
      <w:color w:val="5F5F5F"/>
    </w:rPr>
  </w:style>
  <w:style w:type="character" w:customStyle="1" w:styleId="Heading4Char">
    <w:name w:val="Heading 4 Char"/>
    <w:link w:val="Heading4"/>
    <w:uiPriority w:val="99"/>
    <w:semiHidden/>
    <w:rsid w:val="00A671F8"/>
    <w:rPr>
      <w:rFonts w:ascii="Times New Roman" w:eastAsia="MS Gothic" w:hAnsi="Times New Roman" w:cs="Times New Roman"/>
      <w:b/>
      <w:bCs/>
      <w:i/>
      <w:iCs/>
      <w:color w:val="777777"/>
    </w:rPr>
  </w:style>
  <w:style w:type="character" w:customStyle="1" w:styleId="Heading5Char">
    <w:name w:val="Heading 5 Char"/>
    <w:link w:val="Heading5"/>
    <w:uiPriority w:val="99"/>
    <w:semiHidden/>
    <w:rsid w:val="001B4C2E"/>
    <w:rPr>
      <w:rFonts w:ascii="Times New Roman" w:eastAsia="MS Gothic" w:hAnsi="Times New Roman" w:cs="Times New Roman"/>
      <w:b/>
      <w:bCs/>
      <w:color w:val="808080"/>
    </w:rPr>
  </w:style>
  <w:style w:type="character" w:styleId="SubtleEmphasis">
    <w:name w:val="Subtle Emphasis"/>
    <w:uiPriority w:val="99"/>
    <w:semiHidden/>
    <w:qFormat/>
    <w:rsid w:val="001B4C2E"/>
    <w:rPr>
      <w:i/>
      <w:iCs/>
    </w:rPr>
  </w:style>
  <w:style w:type="table" w:customStyle="1" w:styleId="ECHRTable">
    <w:name w:val="ECHR_Table"/>
    <w:basedOn w:val="TableNormal"/>
    <w:rsid w:val="00860B03"/>
    <w:rPr>
      <w:lang w:val="en-GB"/>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4C086C"/>
    <w:rPr>
      <w:rFonts w:ascii="Verdana" w:hAnsi="Verdana"/>
      <w:lang w:val="en-GB"/>
    </w:rPr>
    <w:tblPr>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ECHRTitle1">
    <w:name w:val="ECHR_Title_1"/>
    <w:aliases w:val="Ju_H_Head"/>
    <w:basedOn w:val="Normal"/>
    <w:next w:val="ECHRPara"/>
    <w:uiPriority w:val="18"/>
    <w:qFormat/>
    <w:rsid w:val="001B4C2E"/>
    <w:pPr>
      <w:keepNext/>
      <w:keepLines/>
      <w:spacing w:before="720" w:after="240"/>
      <w:outlineLvl w:val="0"/>
    </w:pPr>
    <w:rPr>
      <w:sz w:val="28"/>
    </w:rPr>
  </w:style>
  <w:style w:type="character" w:styleId="Emphasis">
    <w:name w:val="Emphasis"/>
    <w:uiPriority w:val="99"/>
    <w:semiHidden/>
    <w:qFormat/>
    <w:rsid w:val="001B4C2E"/>
    <w:rPr>
      <w:b/>
      <w:bCs/>
      <w:i/>
      <w:iCs/>
      <w:spacing w:val="10"/>
      <w:bdr w:val="none" w:sz="0" w:space="0" w:color="auto"/>
      <w:shd w:val="clear" w:color="auto" w:fill="auto"/>
    </w:rPr>
  </w:style>
  <w:style w:type="paragraph" w:styleId="Footer">
    <w:name w:val="footer"/>
    <w:basedOn w:val="Normal"/>
    <w:link w:val="FooterChar"/>
    <w:uiPriority w:val="57"/>
    <w:semiHidden/>
    <w:rsid w:val="00941747"/>
    <w:pPr>
      <w:tabs>
        <w:tab w:val="center" w:pos="4536"/>
        <w:tab w:val="right" w:pos="9696"/>
      </w:tabs>
      <w:ind w:left="-680" w:right="-680"/>
    </w:pPr>
  </w:style>
  <w:style w:type="character" w:customStyle="1" w:styleId="FooterChar">
    <w:name w:val="Footer Char"/>
    <w:basedOn w:val="DefaultParagraphFont"/>
    <w:link w:val="Footer"/>
    <w:uiPriority w:val="57"/>
    <w:semiHidden/>
    <w:rsid w:val="008D4752"/>
  </w:style>
  <w:style w:type="character" w:styleId="FootnoteReference">
    <w:name w:val="footnote reference"/>
    <w:uiPriority w:val="99"/>
    <w:semiHidden/>
    <w:rsid w:val="00941747"/>
    <w:rPr>
      <w:vertAlign w:val="superscript"/>
    </w:rPr>
  </w:style>
  <w:style w:type="paragraph" w:styleId="FootnoteText">
    <w:name w:val="footnote text"/>
    <w:basedOn w:val="Normal"/>
    <w:link w:val="FootnoteTextChar"/>
    <w:uiPriority w:val="99"/>
    <w:semiHidden/>
    <w:rsid w:val="00941747"/>
    <w:rPr>
      <w:sz w:val="20"/>
      <w:szCs w:val="20"/>
    </w:rPr>
  </w:style>
  <w:style w:type="character" w:customStyle="1" w:styleId="FootnoteTextChar">
    <w:name w:val="Footnote Text Char"/>
    <w:link w:val="FootnoteText"/>
    <w:uiPriority w:val="99"/>
    <w:semiHidden/>
    <w:rsid w:val="00A671F8"/>
    <w:rPr>
      <w:rFonts w:eastAsia="MS Mincho"/>
      <w:sz w:val="20"/>
      <w:szCs w:val="20"/>
    </w:rPr>
  </w:style>
  <w:style w:type="character" w:customStyle="1" w:styleId="Heading6Char">
    <w:name w:val="Heading 6 Char"/>
    <w:link w:val="Heading6"/>
    <w:uiPriority w:val="99"/>
    <w:semiHidden/>
    <w:rsid w:val="00A671F8"/>
    <w:rPr>
      <w:rFonts w:ascii="Times New Roman" w:eastAsia="MS Gothic" w:hAnsi="Times New Roman" w:cs="Times New Roman"/>
      <w:b/>
      <w:bCs/>
      <w:i/>
      <w:iCs/>
      <w:color w:val="7F7F7F"/>
      <w:lang w:bidi="en-US"/>
    </w:rPr>
  </w:style>
  <w:style w:type="character" w:customStyle="1" w:styleId="Heading7Char">
    <w:name w:val="Heading 7 Char"/>
    <w:link w:val="Heading7"/>
    <w:uiPriority w:val="99"/>
    <w:semiHidden/>
    <w:rsid w:val="001B4C2E"/>
    <w:rPr>
      <w:rFonts w:ascii="Times New Roman" w:eastAsia="MS Gothic" w:hAnsi="Times New Roman" w:cs="Times New Roman"/>
      <w:i/>
      <w:iCs/>
      <w:lang w:bidi="en-US"/>
    </w:rPr>
  </w:style>
  <w:style w:type="character" w:customStyle="1" w:styleId="Heading8Char">
    <w:name w:val="Heading 8 Char"/>
    <w:link w:val="Heading8"/>
    <w:uiPriority w:val="99"/>
    <w:semiHidden/>
    <w:rsid w:val="001B4C2E"/>
    <w:rPr>
      <w:rFonts w:ascii="Times New Roman" w:eastAsia="MS Gothic" w:hAnsi="Times New Roman" w:cs="Times New Roman"/>
      <w:sz w:val="20"/>
      <w:szCs w:val="20"/>
      <w:lang w:bidi="en-US"/>
    </w:rPr>
  </w:style>
  <w:style w:type="character" w:customStyle="1" w:styleId="Heading9Char">
    <w:name w:val="Heading 9 Char"/>
    <w:link w:val="Heading9"/>
    <w:uiPriority w:val="99"/>
    <w:semiHidden/>
    <w:rsid w:val="001B4C2E"/>
    <w:rPr>
      <w:rFonts w:ascii="Times New Roman" w:eastAsia="MS Gothic" w:hAnsi="Times New Roman" w:cs="Times New Roman"/>
      <w:i/>
      <w:iCs/>
      <w:spacing w:val="5"/>
      <w:sz w:val="20"/>
      <w:szCs w:val="20"/>
      <w:lang w:bidi="en-US"/>
    </w:rPr>
  </w:style>
  <w:style w:type="character" w:styleId="Hyperlink">
    <w:name w:val="Hyperlink"/>
    <w:uiPriority w:val="99"/>
    <w:semiHidden/>
    <w:rsid w:val="00941747"/>
    <w:rPr>
      <w:color w:val="0072BC"/>
      <w:u w:val="single"/>
    </w:rPr>
  </w:style>
  <w:style w:type="character" w:styleId="IntenseEmphasis">
    <w:name w:val="Intense Emphasis"/>
    <w:uiPriority w:val="99"/>
    <w:semiHidden/>
    <w:qFormat/>
    <w:rsid w:val="001B4C2E"/>
    <w:rPr>
      <w:b/>
      <w:bCs/>
    </w:rPr>
  </w:style>
  <w:style w:type="paragraph" w:styleId="IntenseQuote">
    <w:name w:val="Intense Quote"/>
    <w:basedOn w:val="Normal"/>
    <w:next w:val="Normal"/>
    <w:link w:val="IntenseQuoteChar"/>
    <w:uiPriority w:val="99"/>
    <w:semiHidden/>
    <w:qFormat/>
    <w:rsid w:val="001B4C2E"/>
    <w:pPr>
      <w:pBdr>
        <w:bottom w:val="single" w:sz="4" w:space="1" w:color="auto"/>
      </w:pBdr>
      <w:spacing w:before="200" w:after="280"/>
      <w:ind w:left="1008" w:right="1152"/>
    </w:pPr>
    <w:rPr>
      <w:b/>
      <w:bCs/>
      <w:i/>
      <w:iCs/>
      <w:sz w:val="22"/>
      <w:lang w:bidi="en-US"/>
    </w:rPr>
  </w:style>
  <w:style w:type="character" w:customStyle="1" w:styleId="IntenseQuoteChar">
    <w:name w:val="Intense Quote Char"/>
    <w:link w:val="IntenseQuote"/>
    <w:uiPriority w:val="99"/>
    <w:semiHidden/>
    <w:rsid w:val="001B4C2E"/>
    <w:rPr>
      <w:rFonts w:eastAsia="MS Mincho"/>
      <w:b/>
      <w:bCs/>
      <w:i/>
      <w:iCs/>
      <w:lang w:bidi="en-US"/>
    </w:rPr>
  </w:style>
  <w:style w:type="character" w:styleId="IntenseReference">
    <w:name w:val="Intense Reference"/>
    <w:uiPriority w:val="99"/>
    <w:semiHidden/>
    <w:qFormat/>
    <w:rsid w:val="001B4C2E"/>
    <w:rPr>
      <w:smallCaps/>
      <w:spacing w:val="5"/>
      <w:u w:val="single"/>
    </w:rPr>
  </w:style>
  <w:style w:type="paragraph" w:styleId="ListParagraph">
    <w:name w:val="List Paragraph"/>
    <w:basedOn w:val="Normal"/>
    <w:uiPriority w:val="99"/>
    <w:semiHidden/>
    <w:qFormat/>
    <w:rsid w:val="001B4C2E"/>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1B4C2E"/>
    <w:pPr>
      <w:spacing w:before="200"/>
      <w:ind w:left="360" w:right="360"/>
    </w:pPr>
    <w:rPr>
      <w:i/>
      <w:iCs/>
      <w:sz w:val="22"/>
      <w:lang w:bidi="en-US"/>
    </w:rPr>
  </w:style>
  <w:style w:type="character" w:customStyle="1" w:styleId="QuoteChar">
    <w:name w:val="Quote Char"/>
    <w:link w:val="Quote"/>
    <w:uiPriority w:val="99"/>
    <w:semiHidden/>
    <w:rsid w:val="001B4C2E"/>
    <w:rPr>
      <w:rFonts w:eastAsia="MS Mincho"/>
      <w:i/>
      <w:iCs/>
      <w:lang w:bidi="en-US"/>
    </w:rPr>
  </w:style>
  <w:style w:type="character" w:styleId="SubtleReference">
    <w:name w:val="Subtle Reference"/>
    <w:uiPriority w:val="99"/>
    <w:semiHidden/>
    <w:qFormat/>
    <w:rsid w:val="001B4C2E"/>
    <w:rPr>
      <w:smallCaps/>
    </w:rPr>
  </w:style>
  <w:style w:type="table" w:styleId="TableGrid">
    <w:name w:val="Table Grid"/>
    <w:basedOn w:val="TableNormal"/>
    <w:uiPriority w:val="59"/>
    <w:semiHidden/>
    <w:rsid w:val="00941747"/>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EA185E"/>
    <w:pPr>
      <w:spacing w:before="120" w:after="60"/>
      <w:ind w:left="340" w:right="340" w:hanging="340"/>
    </w:pPr>
    <w:rPr>
      <w:color w:val="0D0D0D"/>
    </w:rPr>
  </w:style>
  <w:style w:type="paragraph" w:styleId="TOC2">
    <w:name w:val="toc 2"/>
    <w:basedOn w:val="Normal"/>
    <w:next w:val="Normal"/>
    <w:autoRedefine/>
    <w:uiPriority w:val="99"/>
    <w:semiHidden/>
    <w:rsid w:val="00EA185E"/>
    <w:pPr>
      <w:spacing w:after="60"/>
      <w:ind w:left="680" w:right="340" w:hanging="340"/>
    </w:pPr>
  </w:style>
  <w:style w:type="paragraph" w:styleId="TOC3">
    <w:name w:val="toc 3"/>
    <w:basedOn w:val="Normal"/>
    <w:next w:val="Normal"/>
    <w:autoRedefine/>
    <w:uiPriority w:val="99"/>
    <w:semiHidden/>
    <w:rsid w:val="00EA185E"/>
    <w:pPr>
      <w:spacing w:after="60"/>
      <w:ind w:left="1020" w:right="340" w:hanging="340"/>
    </w:pPr>
  </w:style>
  <w:style w:type="paragraph" w:styleId="TOC4">
    <w:name w:val="toc 4"/>
    <w:basedOn w:val="Normal"/>
    <w:next w:val="Normal"/>
    <w:autoRedefine/>
    <w:uiPriority w:val="99"/>
    <w:semiHidden/>
    <w:rsid w:val="00EA185E"/>
    <w:pPr>
      <w:tabs>
        <w:tab w:val="right" w:leader="dot" w:pos="9017"/>
      </w:tabs>
      <w:spacing w:after="60"/>
      <w:ind w:left="1361" w:right="340" w:hanging="340"/>
    </w:pPr>
  </w:style>
  <w:style w:type="paragraph" w:styleId="TOC5">
    <w:name w:val="toc 5"/>
    <w:basedOn w:val="Normal"/>
    <w:next w:val="Normal"/>
    <w:autoRedefine/>
    <w:uiPriority w:val="99"/>
    <w:semiHidden/>
    <w:rsid w:val="00B46543"/>
    <w:pPr>
      <w:spacing w:after="60"/>
      <w:ind w:left="1701" w:right="340" w:hanging="340"/>
    </w:pPr>
  </w:style>
  <w:style w:type="paragraph" w:styleId="TOCHeading">
    <w:name w:val="TOC Heading"/>
    <w:basedOn w:val="Heading1"/>
    <w:next w:val="Normal"/>
    <w:uiPriority w:val="99"/>
    <w:semiHidden/>
    <w:qFormat/>
    <w:rsid w:val="001B4C2E"/>
    <w:pPr>
      <w:numPr>
        <w:numId w:val="0"/>
      </w:numPr>
      <w:jc w:val="both"/>
      <w:outlineLvl w:val="9"/>
    </w:pPr>
    <w:rPr>
      <w:color w:val="474747"/>
    </w:rPr>
  </w:style>
  <w:style w:type="table" w:customStyle="1" w:styleId="UGTable">
    <w:name w:val="UG_Table"/>
    <w:basedOn w:val="TableNormal"/>
    <w:uiPriority w:val="99"/>
    <w:rsid w:val="00801300"/>
    <w:rPr>
      <w:rFonts w:eastAsia="MS Mincho"/>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MS Mincho"/>
      <w:lang w:val="en-GB"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0" w:leftChars="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C333A0"/>
    <w:pPr>
      <w:spacing w:before="120"/>
    </w:pPr>
    <w:rPr>
      <w:rFonts w:eastAsia="MS Gothic"/>
      <w:b/>
      <w:bCs/>
      <w:color w:val="474747"/>
      <w:szCs w:val="24"/>
    </w:rPr>
  </w:style>
  <w:style w:type="paragraph" w:customStyle="1" w:styleId="ECHRParaQuote">
    <w:name w:val="ECHR_Para_Quote"/>
    <w:aliases w:val="Ju_Quot"/>
    <w:basedOn w:val="Normal"/>
    <w:uiPriority w:val="14"/>
    <w:qFormat/>
    <w:rsid w:val="001B4C2E"/>
    <w:pPr>
      <w:spacing w:before="120" w:after="120"/>
      <w:ind w:left="425" w:firstLine="142"/>
    </w:pPr>
    <w:rPr>
      <w:sz w:val="20"/>
    </w:rPr>
  </w:style>
  <w:style w:type="paragraph" w:customStyle="1" w:styleId="ECHRPara">
    <w:name w:val="ECHR_Para"/>
    <w:aliases w:val="First line:  0 cm,Ju_Para,Left"/>
    <w:basedOn w:val="Normal"/>
    <w:link w:val="JuParaCar"/>
    <w:uiPriority w:val="12"/>
    <w:qFormat/>
    <w:rsid w:val="001B4C2E"/>
    <w:pPr>
      <w:ind w:firstLine="284"/>
    </w:pPr>
    <w:rPr>
      <w:szCs w:val="20"/>
      <w:lang w:val="x-none" w:eastAsia="x-none"/>
    </w:rPr>
  </w:style>
  <w:style w:type="table" w:customStyle="1" w:styleId="ECHRTableSimpleBox">
    <w:name w:val="ECHR_Table_Simple_Box"/>
    <w:basedOn w:val="TableNormal"/>
    <w:uiPriority w:val="99"/>
    <w:rsid w:val="00AE354C"/>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ForInternalUse">
    <w:name w:val="ECHR_Table_For_Internal_Use"/>
    <w:basedOn w:val="TableNormal"/>
    <w:uiPriority w:val="99"/>
    <w:rsid w:val="005474E7"/>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520BAA"/>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HeaderTable">
    <w:name w:val="ECHR_Header_Table"/>
    <w:basedOn w:val="TableNormal"/>
    <w:uiPriority w:val="99"/>
    <w:rsid w:val="00661971"/>
    <w:tblPr>
      <w:tblInd w:w="-680"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customStyle="1" w:styleId="ECHRDecisionBody">
    <w:name w:val="ECHR_Decision_Body"/>
    <w:aliases w:val="Ju_Judges"/>
    <w:basedOn w:val="Normal"/>
    <w:uiPriority w:val="11"/>
    <w:qFormat/>
    <w:rsid w:val="001B4C2E"/>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List">
    <w:name w:val="Ju_List"/>
    <w:basedOn w:val="Normal"/>
    <w:uiPriority w:val="28"/>
    <w:qFormat/>
    <w:rsid w:val="001B4C2E"/>
    <w:pPr>
      <w:ind w:left="340" w:hanging="340"/>
    </w:pPr>
  </w:style>
  <w:style w:type="paragraph" w:customStyle="1" w:styleId="JuSigned">
    <w:name w:val="Ju_Signed"/>
    <w:basedOn w:val="Normal"/>
    <w:next w:val="JuParaLast"/>
    <w:uiPriority w:val="32"/>
    <w:qFormat/>
    <w:rsid w:val="001B4C2E"/>
    <w:pPr>
      <w:tabs>
        <w:tab w:val="center" w:pos="851"/>
        <w:tab w:val="center" w:pos="6407"/>
      </w:tabs>
      <w:spacing w:before="720"/>
      <w:jc w:val="left"/>
    </w:pPr>
  </w:style>
  <w:style w:type="paragraph" w:customStyle="1" w:styleId="JuParaLast">
    <w:name w:val="Ju_Para_Last"/>
    <w:basedOn w:val="Normal"/>
    <w:next w:val="ECHRPara"/>
    <w:uiPriority w:val="30"/>
    <w:qFormat/>
    <w:rsid w:val="001B4C2E"/>
    <w:pPr>
      <w:keepNext/>
      <w:keepLines/>
      <w:spacing w:before="240"/>
      <w:ind w:firstLine="284"/>
    </w:pPr>
  </w:style>
  <w:style w:type="paragraph" w:customStyle="1" w:styleId="JuCourt">
    <w:name w:val="Ju_Court"/>
    <w:basedOn w:val="Normal"/>
    <w:next w:val="Normal"/>
    <w:uiPriority w:val="16"/>
    <w:qFormat/>
    <w:rsid w:val="001B4C2E"/>
    <w:pPr>
      <w:tabs>
        <w:tab w:val="left" w:pos="907"/>
        <w:tab w:val="left" w:pos="1701"/>
        <w:tab w:val="right" w:pos="7371"/>
      </w:tabs>
      <w:spacing w:before="240"/>
      <w:ind w:left="397" w:hanging="397"/>
      <w:jc w:val="left"/>
    </w:pPr>
    <w:rPr>
      <w:lang w:bidi="en-US"/>
    </w:rPr>
  </w:style>
  <w:style w:type="character" w:styleId="PageNumber">
    <w:name w:val="page number"/>
    <w:semiHidden/>
    <w:rsid w:val="00014566"/>
    <w:rPr>
      <w:sz w:val="18"/>
    </w:rPr>
  </w:style>
  <w:style w:type="paragraph" w:customStyle="1" w:styleId="JuLista">
    <w:name w:val="Ju_List_a"/>
    <w:basedOn w:val="JuList"/>
    <w:uiPriority w:val="28"/>
    <w:qFormat/>
    <w:rsid w:val="001B4C2E"/>
    <w:pPr>
      <w:ind w:left="346" w:firstLine="0"/>
    </w:pPr>
  </w:style>
  <w:style w:type="paragraph" w:customStyle="1" w:styleId="JuListi">
    <w:name w:val="Ju_List_i"/>
    <w:basedOn w:val="Normal"/>
    <w:next w:val="JuLista"/>
    <w:uiPriority w:val="28"/>
    <w:qFormat/>
    <w:rsid w:val="001B4C2E"/>
    <w:pPr>
      <w:ind w:left="794"/>
    </w:pPr>
  </w:style>
  <w:style w:type="character" w:styleId="CommentReference">
    <w:name w:val="annotation reference"/>
    <w:semiHidden/>
    <w:rsid w:val="00014566"/>
    <w:rPr>
      <w:sz w:val="16"/>
    </w:rPr>
  </w:style>
  <w:style w:type="paragraph" w:styleId="CommentText">
    <w:name w:val="annotation text"/>
    <w:basedOn w:val="Normal"/>
    <w:link w:val="CommentTextChar"/>
    <w:semiHidden/>
    <w:rsid w:val="00014566"/>
    <w:rPr>
      <w:sz w:val="20"/>
    </w:rPr>
  </w:style>
  <w:style w:type="character" w:customStyle="1" w:styleId="CommentTextChar">
    <w:name w:val="Comment Text Char"/>
    <w:link w:val="CommentText"/>
    <w:uiPriority w:val="99"/>
    <w:semiHidden/>
    <w:rsid w:val="00014566"/>
    <w:rPr>
      <w:rFonts w:eastAsia="MS Mincho"/>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link w:val="CommentSubject"/>
    <w:uiPriority w:val="99"/>
    <w:semiHidden/>
    <w:rsid w:val="00014566"/>
    <w:rPr>
      <w:rFonts w:eastAsia="MS Mincho"/>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link w:val="EndnoteText"/>
    <w:uiPriority w:val="99"/>
    <w:semiHidden/>
    <w:rsid w:val="00014566"/>
    <w:rPr>
      <w:rFonts w:eastAsia="MS Mincho"/>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link w:val="DocumentMap"/>
    <w:uiPriority w:val="99"/>
    <w:semiHidden/>
    <w:rsid w:val="00014566"/>
    <w:rPr>
      <w:rFonts w:ascii="Tahoma" w:eastAsia="MS Mincho" w:hAnsi="Tahoma" w:cs="Tahoma"/>
      <w:sz w:val="20"/>
      <w:shd w:val="clear" w:color="auto" w:fill="000080"/>
    </w:rPr>
  </w:style>
  <w:style w:type="character" w:customStyle="1" w:styleId="JuNames0">
    <w:name w:val="Ju_Names"/>
    <w:rsid w:val="00014566"/>
    <w:rPr>
      <w:smallCaps/>
    </w:rPr>
  </w:style>
  <w:style w:type="paragraph" w:styleId="ListBullet">
    <w:name w:val="List Bullet"/>
    <w:basedOn w:val="Normal"/>
    <w:uiPriority w:val="99"/>
    <w:semiHidden/>
    <w:rsid w:val="00014566"/>
    <w:pPr>
      <w:numPr>
        <w:numId w:val="8"/>
      </w:numPr>
    </w:pPr>
  </w:style>
  <w:style w:type="character" w:customStyle="1" w:styleId="JuITMark">
    <w:name w:val="Ju_ITMark"/>
    <w:uiPriority w:val="38"/>
    <w:qFormat/>
    <w:rsid w:val="001B4C2E"/>
    <w:rPr>
      <w:vanish w:val="0"/>
      <w:color w:val="auto"/>
      <w:sz w:val="14"/>
    </w:rPr>
  </w:style>
  <w:style w:type="paragraph" w:styleId="Subtitle">
    <w:name w:val="Subtitle"/>
    <w:basedOn w:val="Normal"/>
    <w:next w:val="Normal"/>
    <w:link w:val="SubtitleChar"/>
    <w:uiPriority w:val="99"/>
    <w:semiHidden/>
    <w:qFormat/>
    <w:rsid w:val="001B4C2E"/>
    <w:pPr>
      <w:spacing w:after="600"/>
    </w:pPr>
    <w:rPr>
      <w:rFonts w:eastAsia="MS Gothic"/>
      <w:i/>
      <w:iCs/>
      <w:spacing w:val="13"/>
      <w:szCs w:val="24"/>
      <w:lang w:bidi="en-US"/>
    </w:rPr>
  </w:style>
  <w:style w:type="character" w:customStyle="1" w:styleId="SubtitleChar">
    <w:name w:val="Subtitle Char"/>
    <w:link w:val="Subtitle"/>
    <w:uiPriority w:val="99"/>
    <w:semiHidden/>
    <w:rsid w:val="001B4C2E"/>
    <w:rPr>
      <w:rFonts w:ascii="Times New Roman" w:eastAsia="MS Gothic" w:hAnsi="Times New Roman" w:cs="Times New Roman"/>
      <w:i/>
      <w:iCs/>
      <w:spacing w:val="13"/>
      <w:sz w:val="24"/>
      <w:szCs w:val="24"/>
      <w:lang w:bidi="en-US"/>
    </w:rPr>
  </w:style>
  <w:style w:type="numbering" w:styleId="111111">
    <w:name w:val="Outline List 2"/>
    <w:basedOn w:val="NoList"/>
    <w:uiPriority w:val="99"/>
    <w:semiHidden/>
    <w:rsid w:val="00014566"/>
    <w:pPr>
      <w:numPr>
        <w:numId w:val="9"/>
      </w:numPr>
    </w:pPr>
  </w:style>
  <w:style w:type="numbering" w:styleId="1ai">
    <w:name w:val="Outline List 1"/>
    <w:basedOn w:val="NoList"/>
    <w:uiPriority w:val="99"/>
    <w:semiHidden/>
    <w:rsid w:val="00014566"/>
    <w:pPr>
      <w:numPr>
        <w:numId w:val="10"/>
      </w:numPr>
    </w:pPr>
  </w:style>
  <w:style w:type="numbering" w:styleId="ArticleSection">
    <w:name w:val="Outline List 3"/>
    <w:basedOn w:val="NoList"/>
    <w:uiPriority w:val="99"/>
    <w:semiHidden/>
    <w:rsid w:val="00014566"/>
    <w:pPr>
      <w:numPr>
        <w:numId w:val="11"/>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shadow="1" w:frame="1"/>
        <w:left w:val="single" w:sz="2" w:space="10" w:color="0072BC" w:shadow="1" w:frame="1"/>
        <w:bottom w:val="single" w:sz="2" w:space="10" w:color="0072BC" w:shadow="1" w:frame="1"/>
        <w:right w:val="single" w:sz="2" w:space="10" w:color="0072BC" w:shadow="1" w:frame="1"/>
      </w:pBdr>
      <w:ind w:left="1152" w:right="1152"/>
    </w:pPr>
    <w:rPr>
      <w:i/>
      <w:iCs/>
      <w:color w:val="0072BC"/>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link w:val="BodyText"/>
    <w:uiPriority w:val="99"/>
    <w:semiHidden/>
    <w:rsid w:val="00014566"/>
    <w:rPr>
      <w:rFonts w:eastAsia="MS Mincho"/>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link w:val="BodyText2"/>
    <w:uiPriority w:val="99"/>
    <w:semiHidden/>
    <w:rsid w:val="00014566"/>
    <w:rPr>
      <w:rFonts w:eastAsia="MS Mincho"/>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link w:val="BodyText3"/>
    <w:uiPriority w:val="99"/>
    <w:semiHidden/>
    <w:rsid w:val="00014566"/>
    <w:rPr>
      <w:rFonts w:eastAsia="MS Mincho"/>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link w:val="BodyTextFirstIndent"/>
    <w:uiPriority w:val="99"/>
    <w:semiHidden/>
    <w:rsid w:val="00014566"/>
    <w:rPr>
      <w:rFonts w:eastAsia="MS Mincho"/>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link w:val="BodyTextIndent"/>
    <w:uiPriority w:val="99"/>
    <w:semiHidden/>
    <w:rsid w:val="00014566"/>
    <w:rPr>
      <w:rFonts w:eastAsia="MS Mincho"/>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link w:val="BodyTextFirstIndent2"/>
    <w:uiPriority w:val="99"/>
    <w:semiHidden/>
    <w:rsid w:val="00014566"/>
    <w:rPr>
      <w:rFonts w:eastAsia="MS Mincho"/>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link w:val="BodyTextIndent2"/>
    <w:uiPriority w:val="99"/>
    <w:semiHidden/>
    <w:rsid w:val="00014566"/>
    <w:rPr>
      <w:rFonts w:eastAsia="MS Mincho"/>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link w:val="BodyTextIndent3"/>
    <w:uiPriority w:val="99"/>
    <w:semiHidden/>
    <w:rsid w:val="00014566"/>
    <w:rPr>
      <w:rFonts w:eastAsia="MS Mincho"/>
      <w:sz w:val="16"/>
      <w:szCs w:val="16"/>
    </w:rPr>
  </w:style>
  <w:style w:type="paragraph" w:styleId="Caption">
    <w:name w:val="caption"/>
    <w:basedOn w:val="Normal"/>
    <w:next w:val="Normal"/>
    <w:uiPriority w:val="99"/>
    <w:semiHidden/>
    <w:qFormat/>
    <w:rsid w:val="00014566"/>
    <w:pPr>
      <w:spacing w:after="200"/>
    </w:pPr>
    <w:rPr>
      <w:b/>
      <w:bCs/>
      <w:color w:val="0072BC"/>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link w:val="Closing"/>
    <w:uiPriority w:val="99"/>
    <w:semiHidden/>
    <w:rsid w:val="00014566"/>
    <w:rPr>
      <w:rFonts w:eastAsia="MS Mincho"/>
      <w:sz w:val="24"/>
    </w:rPr>
  </w:style>
  <w:style w:type="table" w:customStyle="1" w:styleId="a">
    <w:name w:val="Кольорова сітка"/>
    <w:basedOn w:val="TableNormal"/>
    <w:uiPriority w:val="99"/>
    <w:semiHidden/>
    <w:rsid w:val="00014566"/>
    <w:rPr>
      <w:color w:val="000000"/>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99"/>
    <w:semiHidden/>
    <w:rsid w:val="00014566"/>
    <w:rPr>
      <w:color w:val="000000"/>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99"/>
    <w:semiHidden/>
    <w:rsid w:val="00014566"/>
    <w:rPr>
      <w:color w:val="000000"/>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99"/>
    <w:semiHidden/>
    <w:rsid w:val="00014566"/>
    <w:rPr>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99"/>
    <w:semiHidden/>
    <w:rsid w:val="00014566"/>
    <w:rPr>
      <w:color w:val="000000"/>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99"/>
    <w:semiHidden/>
    <w:rsid w:val="00014566"/>
    <w:rPr>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99"/>
    <w:semiHidden/>
    <w:rsid w:val="00014566"/>
    <w:rPr>
      <w:color w:val="000000"/>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customStyle="1" w:styleId="a0">
    <w:name w:val="Кольоровий список"/>
    <w:basedOn w:val="TableNormal"/>
    <w:uiPriority w:val="99"/>
    <w:semiHidden/>
    <w:rsid w:val="00014566"/>
    <w:rPr>
      <w:color w:val="000000"/>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9"/>
    <w:semiHidden/>
    <w:rsid w:val="00014566"/>
    <w:rPr>
      <w:color w:val="000000"/>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99"/>
    <w:semiHidden/>
    <w:rsid w:val="00014566"/>
    <w:rPr>
      <w:color w:val="000000"/>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99"/>
    <w:semiHidden/>
    <w:rsid w:val="00014566"/>
    <w:rPr>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99"/>
    <w:semiHidden/>
    <w:rsid w:val="00014566"/>
    <w:rPr>
      <w:color w:val="000000"/>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99"/>
    <w:semiHidden/>
    <w:rsid w:val="00014566"/>
    <w:rPr>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99"/>
    <w:semiHidden/>
    <w:rsid w:val="00014566"/>
    <w:rPr>
      <w:color w:val="000000"/>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customStyle="1" w:styleId="a1">
    <w:name w:val="Кольорова заливка"/>
    <w:basedOn w:val="TableNormal"/>
    <w:uiPriority w:val="99"/>
    <w:semiHidden/>
    <w:rsid w:val="00014566"/>
    <w:rPr>
      <w:color w:val="000000"/>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9"/>
    <w:semiHidden/>
    <w:rsid w:val="00014566"/>
    <w:rPr>
      <w:color w:val="000000"/>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9"/>
    <w:semiHidden/>
    <w:rsid w:val="00014566"/>
    <w:rPr>
      <w:color w:val="000000"/>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99"/>
    <w:semiHidden/>
    <w:rsid w:val="00014566"/>
    <w:rPr>
      <w:color w:val="000000"/>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99"/>
    <w:semiHidden/>
    <w:rsid w:val="00014566"/>
    <w:rPr>
      <w:color w:val="000000"/>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99"/>
    <w:semiHidden/>
    <w:rsid w:val="00014566"/>
    <w:rPr>
      <w:color w:val="000000"/>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99"/>
    <w:semiHidden/>
    <w:rsid w:val="00014566"/>
    <w:rPr>
      <w:color w:val="000000"/>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table" w:customStyle="1" w:styleId="a2">
    <w:name w:val="Темний список"/>
    <w:basedOn w:val="TableNormal"/>
    <w:uiPriority w:val="99"/>
    <w:semiHidden/>
    <w:rsid w:val="00014566"/>
    <w:rPr>
      <w:color w:val="0072BC"/>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semiHidden/>
    <w:rsid w:val="00014566"/>
    <w:rPr>
      <w:color w:val="0072BC"/>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99"/>
    <w:semiHidden/>
    <w:rsid w:val="00014566"/>
    <w:rPr>
      <w:color w:val="0072BC"/>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99"/>
    <w:semiHidden/>
    <w:rsid w:val="00014566"/>
    <w:rPr>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99"/>
    <w:semiHidden/>
    <w:rsid w:val="00014566"/>
    <w:rPr>
      <w:color w:val="0072BC"/>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99"/>
    <w:semiHidden/>
    <w:rsid w:val="00014566"/>
    <w:rPr>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99"/>
    <w:semiHidden/>
    <w:rsid w:val="00014566"/>
    <w:rPr>
      <w:color w:val="0072BC"/>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014566"/>
  </w:style>
  <w:style w:type="character" w:customStyle="1" w:styleId="DateChar">
    <w:name w:val="Date Char"/>
    <w:link w:val="Date"/>
    <w:uiPriority w:val="99"/>
    <w:semiHidden/>
    <w:rsid w:val="00014566"/>
    <w:rPr>
      <w:rFonts w:eastAsia="MS Mincho"/>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link w:val="E-mailSignature"/>
    <w:uiPriority w:val="99"/>
    <w:semiHidden/>
    <w:rsid w:val="00014566"/>
    <w:rPr>
      <w:rFonts w:eastAsia="MS Mincho"/>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eastAsia="MS Gothic"/>
      <w:szCs w:val="24"/>
    </w:rPr>
  </w:style>
  <w:style w:type="paragraph" w:styleId="EnvelopeReturn">
    <w:name w:val="envelope return"/>
    <w:basedOn w:val="Normal"/>
    <w:uiPriority w:val="99"/>
    <w:semiHidden/>
    <w:rsid w:val="00014566"/>
    <w:rPr>
      <w:rFonts w:eastAsia="MS Gothic"/>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link w:val="HTMLAddress"/>
    <w:uiPriority w:val="99"/>
    <w:semiHidden/>
    <w:rsid w:val="00014566"/>
    <w:rPr>
      <w:rFonts w:eastAsia="MS Mincho"/>
      <w:i/>
      <w:iCs/>
      <w:sz w:val="24"/>
    </w:rPr>
  </w:style>
  <w:style w:type="character" w:styleId="HTMLCite">
    <w:name w:val="HTML Cite"/>
    <w:uiPriority w:val="99"/>
    <w:semiHidden/>
    <w:rsid w:val="00014566"/>
    <w:rPr>
      <w:i/>
      <w:iCs/>
    </w:rPr>
  </w:style>
  <w:style w:type="character" w:styleId="HTMLCode">
    <w:name w:val="HTML Code"/>
    <w:uiPriority w:val="99"/>
    <w:semiHidden/>
    <w:rsid w:val="00014566"/>
    <w:rPr>
      <w:rFonts w:ascii="Consolas" w:hAnsi="Consolas" w:cs="Consolas"/>
      <w:sz w:val="20"/>
      <w:szCs w:val="20"/>
    </w:rPr>
  </w:style>
  <w:style w:type="character" w:styleId="HTMLDefinition">
    <w:name w:val="HTML Definition"/>
    <w:uiPriority w:val="99"/>
    <w:semiHidden/>
    <w:rsid w:val="00014566"/>
    <w:rPr>
      <w:i/>
      <w:iCs/>
    </w:rPr>
  </w:style>
  <w:style w:type="character" w:styleId="HTMLKeyboard">
    <w:name w:val="HTML Keyboard"/>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link w:val="HTMLPreformatted"/>
    <w:uiPriority w:val="99"/>
    <w:semiHidden/>
    <w:rsid w:val="00014566"/>
    <w:rPr>
      <w:rFonts w:ascii="Consolas" w:eastAsia="MS Mincho" w:hAnsi="Consolas" w:cs="Consolas"/>
      <w:sz w:val="20"/>
      <w:szCs w:val="20"/>
    </w:rPr>
  </w:style>
  <w:style w:type="character" w:styleId="HTMLSample">
    <w:name w:val="HTML Sample"/>
    <w:uiPriority w:val="99"/>
    <w:semiHidden/>
    <w:rsid w:val="00014566"/>
    <w:rPr>
      <w:rFonts w:ascii="Consolas" w:hAnsi="Consolas" w:cs="Consolas"/>
      <w:sz w:val="24"/>
      <w:szCs w:val="24"/>
    </w:rPr>
  </w:style>
  <w:style w:type="character" w:styleId="HTMLTypewriter">
    <w:name w:val="HTML Typewriter"/>
    <w:uiPriority w:val="99"/>
    <w:semiHidden/>
    <w:rsid w:val="00014566"/>
    <w:rPr>
      <w:rFonts w:ascii="Consolas" w:hAnsi="Consolas" w:cs="Consolas"/>
      <w:sz w:val="20"/>
      <w:szCs w:val="20"/>
    </w:rPr>
  </w:style>
  <w:style w:type="character" w:styleId="HTMLVariable">
    <w:name w:val="HTML Variable"/>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eastAsia="MS Gothic"/>
      <w:b/>
      <w:bCs/>
    </w:rPr>
  </w:style>
  <w:style w:type="table" w:customStyle="1" w:styleId="a3">
    <w:name w:val="Світла сітка"/>
    <w:basedOn w:val="TableNormal"/>
    <w:uiPriority w:val="99"/>
    <w:semiHidden/>
    <w:rsid w:val="0001456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
    <w:name w:val="Світла сітка — акцент 1"/>
    <w:basedOn w:val="TableNormal"/>
    <w:uiPriority w:val="99"/>
    <w:semiHidden/>
    <w:rsid w:val="00014566"/>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99"/>
    <w:semiHidden/>
    <w:rsid w:val="00014566"/>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99"/>
    <w:semiHidden/>
    <w:rsid w:val="00014566"/>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99"/>
    <w:semiHidden/>
    <w:rsid w:val="00014566"/>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99"/>
    <w:semiHidden/>
    <w:rsid w:val="00014566"/>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99"/>
    <w:semiHidden/>
    <w:rsid w:val="00014566"/>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customStyle="1" w:styleId="a4">
    <w:name w:val="Світлий список"/>
    <w:basedOn w:val="TableNormal"/>
    <w:uiPriority w:val="99"/>
    <w:semiHidden/>
    <w:rsid w:val="0001456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0">
    <w:name w:val="Світлий список — акцент 1"/>
    <w:basedOn w:val="TableNormal"/>
    <w:uiPriority w:val="99"/>
    <w:semiHidden/>
    <w:rsid w:val="00014566"/>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99"/>
    <w:semiHidden/>
    <w:rsid w:val="00014566"/>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99"/>
    <w:semiHidden/>
    <w:rsid w:val="00014566"/>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99"/>
    <w:semiHidden/>
    <w:rsid w:val="00014566"/>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99"/>
    <w:semiHidden/>
    <w:rsid w:val="00014566"/>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99"/>
    <w:semiHidden/>
    <w:rsid w:val="00014566"/>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customStyle="1" w:styleId="a5">
    <w:name w:val="Світле штрихування"/>
    <w:basedOn w:val="TableNormal"/>
    <w:uiPriority w:val="99"/>
    <w:semiHidden/>
    <w:rsid w:val="0001456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ітла заливка — акцент 1"/>
    <w:basedOn w:val="TableNormal"/>
    <w:uiPriority w:val="99"/>
    <w:semiHidden/>
    <w:rsid w:val="00014566"/>
    <w:rPr>
      <w:color w:val="00548C"/>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99"/>
    <w:semiHidden/>
    <w:rsid w:val="00014566"/>
    <w:rPr>
      <w:color w:val="8F0000"/>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99"/>
    <w:semiHidden/>
    <w:rsid w:val="00014566"/>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99"/>
    <w:semiHidden/>
    <w:rsid w:val="00014566"/>
    <w:rPr>
      <w:color w:val="70707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99"/>
    <w:semiHidden/>
    <w:rsid w:val="00014566"/>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99"/>
    <w:semiHidden/>
    <w:rsid w:val="00014566"/>
    <w:rPr>
      <w:color w:val="393939"/>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12"/>
      </w:numPr>
      <w:contextualSpacing/>
    </w:pPr>
  </w:style>
  <w:style w:type="paragraph" w:styleId="ListBullet3">
    <w:name w:val="List Bullet 3"/>
    <w:basedOn w:val="Normal"/>
    <w:uiPriority w:val="99"/>
    <w:semiHidden/>
    <w:rsid w:val="00014566"/>
    <w:pPr>
      <w:numPr>
        <w:numId w:val="13"/>
      </w:numPr>
      <w:contextualSpacing/>
    </w:pPr>
  </w:style>
  <w:style w:type="paragraph" w:styleId="ListBullet4">
    <w:name w:val="List Bullet 4"/>
    <w:basedOn w:val="Normal"/>
    <w:uiPriority w:val="99"/>
    <w:semiHidden/>
    <w:rsid w:val="00014566"/>
    <w:pPr>
      <w:numPr>
        <w:numId w:val="14"/>
      </w:numPr>
      <w:contextualSpacing/>
    </w:pPr>
  </w:style>
  <w:style w:type="paragraph" w:styleId="ListBullet5">
    <w:name w:val="List Bullet 5"/>
    <w:basedOn w:val="Normal"/>
    <w:uiPriority w:val="99"/>
    <w:semiHidden/>
    <w:rsid w:val="00014566"/>
    <w:pPr>
      <w:numPr>
        <w:numId w:val="15"/>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16"/>
      </w:numPr>
      <w:contextualSpacing/>
    </w:pPr>
  </w:style>
  <w:style w:type="paragraph" w:styleId="ListNumber2">
    <w:name w:val="List Number 2"/>
    <w:basedOn w:val="Normal"/>
    <w:uiPriority w:val="99"/>
    <w:semiHidden/>
    <w:rsid w:val="00014566"/>
    <w:pPr>
      <w:numPr>
        <w:numId w:val="17"/>
      </w:numPr>
      <w:contextualSpacing/>
    </w:pPr>
  </w:style>
  <w:style w:type="paragraph" w:styleId="ListNumber3">
    <w:name w:val="List Number 3"/>
    <w:basedOn w:val="Normal"/>
    <w:uiPriority w:val="99"/>
    <w:semiHidden/>
    <w:rsid w:val="00014566"/>
    <w:pPr>
      <w:numPr>
        <w:numId w:val="18"/>
      </w:numPr>
      <w:contextualSpacing/>
    </w:pPr>
  </w:style>
  <w:style w:type="paragraph" w:styleId="ListNumber4">
    <w:name w:val="List Number 4"/>
    <w:basedOn w:val="Normal"/>
    <w:uiPriority w:val="99"/>
    <w:semiHidden/>
    <w:rsid w:val="00014566"/>
    <w:pPr>
      <w:numPr>
        <w:numId w:val="19"/>
      </w:numPr>
      <w:contextualSpacing/>
    </w:pPr>
  </w:style>
  <w:style w:type="paragraph" w:styleId="ListNumber5">
    <w:name w:val="List Number 5"/>
    <w:basedOn w:val="Normal"/>
    <w:uiPriority w:val="99"/>
    <w:semiHidden/>
    <w:rsid w:val="00014566"/>
    <w:pPr>
      <w:numPr>
        <w:numId w:val="20"/>
      </w:numPr>
      <w:contextualSpacing/>
    </w:pPr>
  </w:style>
  <w:style w:type="paragraph" w:styleId="Macro">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lang w:val="en-GB"/>
    </w:rPr>
  </w:style>
  <w:style w:type="character" w:customStyle="1" w:styleId="MacroTextChar">
    <w:name w:val="Macro Text Char"/>
    <w:link w:val="Macro"/>
    <w:uiPriority w:val="99"/>
    <w:semiHidden/>
    <w:rsid w:val="00014566"/>
    <w:rPr>
      <w:rFonts w:ascii="Consolas" w:hAnsi="Consolas" w:cs="Consolas"/>
      <w:lang w:val="en-GB" w:eastAsia="fr-FR" w:bidi="ar-SA"/>
    </w:rPr>
  </w:style>
  <w:style w:type="table" w:customStyle="1" w:styleId="12">
    <w:name w:val="Середня сітка 1"/>
    <w:basedOn w:val="TableNormal"/>
    <w:uiPriority w:val="99"/>
    <w:semiHidden/>
    <w:rsid w:val="0001456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99"/>
    <w:semiHidden/>
    <w:rsid w:val="00014566"/>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99"/>
    <w:semiHidden/>
    <w:rsid w:val="00014566"/>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99"/>
    <w:semiHidden/>
    <w:rsid w:val="00014566"/>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99"/>
    <w:semiHidden/>
    <w:rsid w:val="00014566"/>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99"/>
    <w:semiHidden/>
    <w:rsid w:val="00014566"/>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99"/>
    <w:semiHidden/>
    <w:rsid w:val="00014566"/>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customStyle="1" w:styleId="2">
    <w:name w:val="Середня сітка 2"/>
    <w:basedOn w:val="TableNormal"/>
    <w:uiPriority w:val="99"/>
    <w:semiHidden/>
    <w:rsid w:val="00014566"/>
    <w:rPr>
      <w:rFonts w:eastAsia="MS Gothic"/>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99"/>
    <w:semiHidden/>
    <w:rsid w:val="00014566"/>
    <w:rPr>
      <w:rFonts w:eastAsia="MS Gothic"/>
      <w:color w:val="000000"/>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99"/>
    <w:semiHidden/>
    <w:rsid w:val="00014566"/>
    <w:rPr>
      <w:rFonts w:eastAsia="MS Gothic"/>
      <w:color w:val="000000"/>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99"/>
    <w:semiHidden/>
    <w:rsid w:val="00014566"/>
    <w:rPr>
      <w:rFonts w:eastAsia="MS Gothic"/>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99"/>
    <w:semiHidden/>
    <w:rsid w:val="00014566"/>
    <w:rPr>
      <w:rFonts w:eastAsia="MS Gothic"/>
      <w:color w:val="00000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99"/>
    <w:semiHidden/>
    <w:rsid w:val="00014566"/>
    <w:rPr>
      <w:rFonts w:eastAsia="MS Gothic"/>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99"/>
    <w:semiHidden/>
    <w:rsid w:val="00014566"/>
    <w:rPr>
      <w:rFonts w:eastAsia="MS Gothic"/>
      <w:color w:val="000000"/>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customStyle="1" w:styleId="3">
    <w:name w:val="Середня сітка 3"/>
    <w:basedOn w:val="TableNormal"/>
    <w:uiPriority w:val="99"/>
    <w:semiHidden/>
    <w:rsid w:val="00014566"/>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99"/>
    <w:semiHidden/>
    <w:rsid w:val="00014566"/>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99"/>
    <w:semiHidden/>
    <w:rsid w:val="00014566"/>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99"/>
    <w:semiHidden/>
    <w:rsid w:val="00014566"/>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99"/>
    <w:semiHidden/>
    <w:rsid w:val="00014566"/>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99"/>
    <w:semiHidden/>
    <w:rsid w:val="00014566"/>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99"/>
    <w:semiHidden/>
    <w:rsid w:val="00014566"/>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customStyle="1" w:styleId="13">
    <w:name w:val="Середній список 1"/>
    <w:basedOn w:val="TableNormal"/>
    <w:uiPriority w:val="99"/>
    <w:semiHidden/>
    <w:rsid w:val="00014566"/>
    <w:rPr>
      <w:color w:val="000000"/>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0">
    <w:name w:val="Середній список 1 – акцент 1"/>
    <w:basedOn w:val="TableNormal"/>
    <w:uiPriority w:val="99"/>
    <w:semiHidden/>
    <w:rsid w:val="00014566"/>
    <w:rPr>
      <w:color w:val="000000"/>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99"/>
    <w:semiHidden/>
    <w:rsid w:val="00014566"/>
    <w:rPr>
      <w:color w:val="000000"/>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99"/>
    <w:semiHidden/>
    <w:rsid w:val="00014566"/>
    <w:rPr>
      <w:color w:val="000000"/>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99"/>
    <w:semiHidden/>
    <w:rsid w:val="00014566"/>
    <w:rPr>
      <w:color w:val="000000"/>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99"/>
    <w:semiHidden/>
    <w:rsid w:val="00014566"/>
    <w:rPr>
      <w:color w:val="000000"/>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99"/>
    <w:semiHidden/>
    <w:rsid w:val="00014566"/>
    <w:rPr>
      <w:color w:val="000000"/>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customStyle="1" w:styleId="20">
    <w:name w:val="Середній список 2"/>
    <w:basedOn w:val="TableNormal"/>
    <w:uiPriority w:val="99"/>
    <w:semiHidden/>
    <w:rsid w:val="00014566"/>
    <w:rPr>
      <w:rFonts w:eastAsia="MS Gothic"/>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eastAsia="MS Gothic"/>
      <w:color w:val="000000"/>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eastAsia="MS Gothic"/>
      <w:color w:val="000000"/>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eastAsia="MS Gothic"/>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eastAsia="MS Gothic"/>
      <w:color w:val="00000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eastAsia="MS Gothic"/>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eastAsia="MS Gothic"/>
      <w:color w:val="000000"/>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customStyle="1" w:styleId="14">
    <w:name w:val="Середня заливка 1"/>
    <w:basedOn w:val="TableNormal"/>
    <w:uiPriority w:val="99"/>
    <w:semiHidden/>
    <w:rsid w:val="0001456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
    <w:name w:val="Середня заливка 1 – акцент 1"/>
    <w:basedOn w:val="TableNormal"/>
    <w:uiPriority w:val="99"/>
    <w:semiHidden/>
    <w:rsid w:val="00014566"/>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21">
    <w:name w:val="Середня заливка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210">
    <w:name w:val="Середня заливка 2 – акцент 1"/>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eastAsia="MS Gothic"/>
      <w:szCs w:val="24"/>
    </w:rPr>
  </w:style>
  <w:style w:type="character" w:customStyle="1" w:styleId="MessageHeaderChar">
    <w:name w:val="Message Header Char"/>
    <w:link w:val="MessageHeader"/>
    <w:uiPriority w:val="99"/>
    <w:semiHidden/>
    <w:rsid w:val="00014566"/>
    <w:rPr>
      <w:rFonts w:ascii="Times New Roman" w:eastAsia="MS Gothic" w:hAnsi="Times New Roman" w:cs="Times New Roman"/>
      <w:sz w:val="24"/>
      <w:szCs w:val="24"/>
      <w:shd w:val="pct20" w:color="auto" w:fill="auto"/>
    </w:rPr>
  </w:style>
  <w:style w:type="paragraph" w:styleId="NormalWeb">
    <w:name w:val="Normal (Web)"/>
    <w:basedOn w:val="Normal"/>
    <w:uiPriority w:val="99"/>
    <w:semiHidden/>
    <w:rsid w:val="00014566"/>
    <w:rPr>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link w:val="NoteHeading"/>
    <w:uiPriority w:val="99"/>
    <w:semiHidden/>
    <w:rsid w:val="00014566"/>
    <w:rPr>
      <w:rFonts w:eastAsia="MS Mincho"/>
      <w:sz w:val="24"/>
    </w:rPr>
  </w:style>
  <w:style w:type="character" w:styleId="PlaceholderText">
    <w:name w:val="Placeholder Text"/>
    <w:uiPriority w:val="99"/>
    <w:semiHidden/>
    <w:rsid w:val="00014566"/>
    <w:rPr>
      <w:color w:val="808080"/>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link w:val="PlainText"/>
    <w:uiPriority w:val="99"/>
    <w:semiHidden/>
    <w:rsid w:val="00014566"/>
    <w:rPr>
      <w:rFonts w:ascii="Consolas" w:eastAsia="MS Mincho"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link w:val="Salutation"/>
    <w:uiPriority w:val="99"/>
    <w:semiHidden/>
    <w:rsid w:val="00014566"/>
    <w:rPr>
      <w:rFonts w:eastAsia="MS Mincho"/>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link w:val="Signature"/>
    <w:uiPriority w:val="99"/>
    <w:semiHidden/>
    <w:rsid w:val="00014566"/>
    <w:rPr>
      <w:rFonts w:eastAsia="MS Mincho"/>
      <w:sz w:val="24"/>
    </w:rPr>
  </w:style>
  <w:style w:type="table" w:styleId="Table3Deffects1">
    <w:name w:val="Table 3D effects 1"/>
    <w:basedOn w:val="TableNormal"/>
    <w:uiPriority w:val="99"/>
    <w:semiHidden/>
    <w:rsid w:val="00014566"/>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14566"/>
    <w:pPr>
      <w:spacing w:after="100"/>
      <w:ind w:left="1200"/>
    </w:pPr>
  </w:style>
  <w:style w:type="paragraph" w:styleId="TOC7">
    <w:name w:val="toc 7"/>
    <w:basedOn w:val="Normal"/>
    <w:next w:val="Normal"/>
    <w:autoRedefine/>
    <w:uiPriority w:val="99"/>
    <w:semiHidden/>
    <w:rsid w:val="00014566"/>
    <w:pPr>
      <w:spacing w:after="100"/>
      <w:ind w:left="1440"/>
    </w:p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character" w:customStyle="1" w:styleId="JuParaCar">
    <w:name w:val="Ju_Para Car"/>
    <w:link w:val="ECHRPara"/>
    <w:uiPriority w:val="12"/>
    <w:rsid w:val="00946345"/>
    <w:rPr>
      <w:rFonts w:eastAsia="MS Mincho"/>
      <w:sz w:val="24"/>
    </w:rPr>
  </w:style>
  <w:style w:type="character" w:customStyle="1" w:styleId="JuParaChar">
    <w:name w:val="Ju_Para Char"/>
    <w:aliases w:val="ECHR_Para Char"/>
    <w:uiPriority w:val="12"/>
    <w:rsid w:val="008F109B"/>
    <w:rPr>
      <w:rFonts w:eastAsia="MS Mincho"/>
      <w:sz w:val="24"/>
      <w:lang w:val="en-US" w:eastAsia="en-US"/>
    </w:rPr>
  </w:style>
  <w:style w:type="paragraph" w:styleId="Revision">
    <w:name w:val="Revision"/>
    <w:hidden/>
    <w:uiPriority w:val="99"/>
    <w:semiHidden/>
    <w:rsid w:val="002C00A8"/>
    <w:rPr>
      <w:rFonts w:eastAsia="MS Mincho"/>
      <w:sz w:val="24"/>
      <w:szCs w:val="22"/>
      <w:lang w:val="en-US" w:eastAsia="en-US"/>
    </w:rPr>
  </w:style>
  <w:style w:type="paragraph" w:customStyle="1" w:styleId="Kopflinks">
    <w:name w:val="Kopf_links"/>
    <w:basedOn w:val="Normal"/>
    <w:rsid w:val="00A8515B"/>
    <w:pPr>
      <w:tabs>
        <w:tab w:val="center" w:pos="3686"/>
        <w:tab w:val="right" w:pos="7371"/>
      </w:tabs>
      <w:suppressAutoHyphens/>
      <w:jc w:val="left"/>
    </w:pPr>
    <w:rPr>
      <w:rFonts w:eastAsia="Times New Roman"/>
      <w:caps/>
      <w:sz w:val="18"/>
      <w:szCs w:val="20"/>
      <w:lang w:val="fr-FR"/>
    </w:rPr>
  </w:style>
  <w:style w:type="paragraph" w:customStyle="1" w:styleId="a6">
    <w:name w:val="Знак Знак Знак Знак Знак Знак Знак Знак Знак Знак Знак Знак Знак Знак"/>
    <w:basedOn w:val="Normal"/>
    <w:uiPriority w:val="99"/>
    <w:rsid w:val="005707EE"/>
    <w:pPr>
      <w:jc w:val="left"/>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footer2.xml.rels><?xml version="1.0" encoding="utf-8" standalone="yes"?><Relationships xmlns="http://schemas.openxmlformats.org/package/2006/relationships"><Relationship Id="rId1" Type="http://schemas.openxmlformats.org/officeDocument/2006/relationships/image" Target="media/image2.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FF256-6C0B-4FD3-B276-6365C2E3A6A5}">
  <ds:schemaRefs>
    <ds:schemaRef ds:uri="http://schemas.microsoft.com/sharepoint/v3/contenttype/forms"/>
  </ds:schemaRefs>
</ds:datastoreItem>
</file>

<file path=customXml/itemProps2.xml><?xml version="1.0" encoding="utf-8"?>
<ds:datastoreItem xmlns:ds="http://schemas.openxmlformats.org/officeDocument/2006/customXml" ds:itemID="{F2E60B85-F7E6-4AC7-85C6-8AD80242E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A8B7F53-E98F-4209-8EEA-CC7921E5CB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54D247-C95E-4681-9D97-AA74AE8A7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14357</Words>
  <Characters>87440</Characters>
  <Application>Microsoft Office Word</Application>
  <DocSecurity>0</DocSecurity>
  <Lines>1748</Lines>
  <Paragraphs>318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ECHR</vt:lpstr>
      <vt:lpstr>ECHR</vt:lpstr>
    </vt:vector>
  </TitlesOfParts>
  <Company/>
  <LinksUpToDate>false</LinksUpToDate>
  <CharactersWithSpaces>101479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cp:revision>1</cp:revision>
  <dcterms:created xsi:type="dcterms:W3CDTF">2021-03-09T13:14:00Z</dcterms:created>
  <dcterms:modified xsi:type="dcterms:W3CDTF">2021-03-09T13:15:00Z</dcterms:modified>
</cp:coreProperties>
</file>